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98F6B" w14:textId="4901CEB3" w:rsidR="00012568" w:rsidRPr="00831EFF" w:rsidRDefault="00012568" w:rsidP="00831EFF">
      <w:pPr>
        <w:rPr>
          <w:rFonts w:ascii="Arial" w:eastAsia="Verdana" w:hAnsi="Arial" w:cs="Arial"/>
          <w:b/>
          <w:color w:val="000000"/>
          <w:sz w:val="22"/>
          <w:szCs w:val="22"/>
        </w:rPr>
      </w:pPr>
      <w:r w:rsidRPr="00831EFF">
        <w:rPr>
          <w:rFonts w:ascii="Arial" w:eastAsia="Verdana" w:hAnsi="Arial" w:cs="Arial"/>
          <w:b/>
          <w:color w:val="000000"/>
          <w:sz w:val="22"/>
          <w:szCs w:val="22"/>
        </w:rPr>
        <w:t xml:space="preserve">TUTELA CONTRA PROVIDENCIAS JUDICIALES – </w:t>
      </w:r>
      <w:r w:rsidR="00E137DD">
        <w:rPr>
          <w:rFonts w:ascii="Arial" w:eastAsia="Verdana" w:hAnsi="Arial" w:cs="Arial"/>
          <w:b/>
          <w:color w:val="000000"/>
          <w:sz w:val="22"/>
          <w:szCs w:val="22"/>
        </w:rPr>
        <w:t xml:space="preserve">Procedencia </w:t>
      </w:r>
      <w:r w:rsidR="00E137DD" w:rsidRPr="00831EFF">
        <w:rPr>
          <w:rFonts w:ascii="Arial" w:eastAsia="Verdana" w:hAnsi="Arial" w:cs="Arial"/>
          <w:b/>
          <w:color w:val="000000"/>
          <w:sz w:val="22"/>
          <w:szCs w:val="22"/>
        </w:rPr>
        <w:t xml:space="preserve">– </w:t>
      </w:r>
      <w:r w:rsidRPr="00831EFF">
        <w:rPr>
          <w:rFonts w:ascii="Arial" w:eastAsia="Verdana" w:hAnsi="Arial" w:cs="Arial"/>
          <w:b/>
          <w:color w:val="000000"/>
          <w:sz w:val="22"/>
          <w:szCs w:val="22"/>
        </w:rPr>
        <w:t>Requisitos</w:t>
      </w:r>
    </w:p>
    <w:p w14:paraId="68DFC9CB" w14:textId="77777777" w:rsidR="00012568" w:rsidRPr="00831EFF" w:rsidRDefault="00012568" w:rsidP="00831EFF">
      <w:pPr>
        <w:rPr>
          <w:rFonts w:ascii="Arial" w:eastAsia="Verdana" w:hAnsi="Arial" w:cs="Arial"/>
          <w:color w:val="000000"/>
          <w:sz w:val="22"/>
          <w:szCs w:val="22"/>
        </w:rPr>
      </w:pPr>
    </w:p>
    <w:p w14:paraId="6C4D6D59" w14:textId="77777777" w:rsidR="00012568" w:rsidRPr="00831EFF" w:rsidRDefault="00012568" w:rsidP="00831EFF">
      <w:pPr>
        <w:rPr>
          <w:rFonts w:ascii="Arial" w:hAnsi="Arial" w:cs="Arial"/>
          <w:sz w:val="22"/>
          <w:szCs w:val="22"/>
        </w:rPr>
      </w:pPr>
      <w:r w:rsidRPr="00831EFF">
        <w:rPr>
          <w:rFonts w:ascii="Arial" w:hAnsi="Arial" w:cs="Arial"/>
          <w:sz w:val="22"/>
          <w:szCs w:val="22"/>
        </w:rPr>
        <w:t>Para tal efecto, el juez de tutela debe verificar el cumplimiento de los requisitos generales (procesales o de procedibilidad que fijó la Corte Constitucional, en la sentencia C-590 de 2005. Esto es: (i) la relevancia constitucional; (</w:t>
      </w:r>
      <w:proofErr w:type="spellStart"/>
      <w:r w:rsidRPr="00831EFF">
        <w:rPr>
          <w:rFonts w:ascii="Arial" w:hAnsi="Arial" w:cs="Arial"/>
          <w:sz w:val="22"/>
          <w:szCs w:val="22"/>
        </w:rPr>
        <w:t>ii</w:t>
      </w:r>
      <w:proofErr w:type="spellEnd"/>
      <w:r w:rsidRPr="00831EFF">
        <w:rPr>
          <w:rFonts w:ascii="Arial" w:hAnsi="Arial" w:cs="Arial"/>
          <w:sz w:val="22"/>
          <w:szCs w:val="22"/>
        </w:rPr>
        <w:t>) el agotamiento de los medios ordinarios de defensa; (</w:t>
      </w:r>
      <w:proofErr w:type="spellStart"/>
      <w:r w:rsidRPr="00831EFF">
        <w:rPr>
          <w:rFonts w:ascii="Arial" w:hAnsi="Arial" w:cs="Arial"/>
          <w:sz w:val="22"/>
          <w:szCs w:val="22"/>
        </w:rPr>
        <w:t>iii</w:t>
      </w:r>
      <w:proofErr w:type="spellEnd"/>
      <w:r w:rsidRPr="00831EFF">
        <w:rPr>
          <w:rFonts w:ascii="Arial" w:hAnsi="Arial" w:cs="Arial"/>
          <w:sz w:val="22"/>
          <w:szCs w:val="22"/>
        </w:rPr>
        <w:t>) la inmediatez; (</w:t>
      </w:r>
      <w:proofErr w:type="spellStart"/>
      <w:r w:rsidRPr="00831EFF">
        <w:rPr>
          <w:rFonts w:ascii="Arial" w:hAnsi="Arial" w:cs="Arial"/>
          <w:sz w:val="22"/>
          <w:szCs w:val="22"/>
        </w:rPr>
        <w:t>iv</w:t>
      </w:r>
      <w:proofErr w:type="spellEnd"/>
      <w:r w:rsidRPr="00831EFF">
        <w:rPr>
          <w:rFonts w:ascii="Arial" w:hAnsi="Arial" w:cs="Arial"/>
          <w:sz w:val="22"/>
          <w:szCs w:val="22"/>
        </w:rPr>
        <w:t xml:space="preserve">) que, si se trata de una irregularidad procesal, ésta debe tener un efecto decisivo o determinante; (v) que se identifiquen los hechos que generaron la vulneración y los derechos vulnerados, y que esa vulneración se hubiere alegado en el proceso judicial, y (vi) que no se cuestione una sentencia de tutela. </w:t>
      </w:r>
    </w:p>
    <w:p w14:paraId="7168F227" w14:textId="77777777" w:rsidR="00012568" w:rsidRPr="00831EFF" w:rsidRDefault="00012568" w:rsidP="00831EFF">
      <w:pPr>
        <w:rPr>
          <w:rFonts w:ascii="Arial" w:hAnsi="Arial" w:cs="Arial"/>
          <w:sz w:val="22"/>
          <w:szCs w:val="22"/>
        </w:rPr>
      </w:pPr>
    </w:p>
    <w:p w14:paraId="621EC810" w14:textId="656385A3" w:rsidR="00012568" w:rsidRPr="00831EFF" w:rsidRDefault="00012568" w:rsidP="00831EFF">
      <w:pPr>
        <w:rPr>
          <w:rFonts w:ascii="Arial" w:hAnsi="Arial" w:cs="Arial"/>
          <w:b/>
          <w:sz w:val="22"/>
          <w:szCs w:val="22"/>
        </w:rPr>
      </w:pPr>
      <w:r w:rsidRPr="00831EFF">
        <w:rPr>
          <w:rFonts w:ascii="Arial" w:eastAsia="Verdana" w:hAnsi="Arial" w:cs="Arial"/>
          <w:b/>
          <w:color w:val="000000"/>
          <w:sz w:val="22"/>
          <w:szCs w:val="22"/>
        </w:rPr>
        <w:t xml:space="preserve">TUTELA CONTRA PROVIDENCIAS JUDICIALES – </w:t>
      </w:r>
      <w:r w:rsidR="00E137DD">
        <w:rPr>
          <w:rFonts w:ascii="Arial" w:eastAsia="Verdana" w:hAnsi="Arial" w:cs="Arial"/>
          <w:b/>
          <w:color w:val="000000"/>
          <w:sz w:val="22"/>
          <w:szCs w:val="22"/>
        </w:rPr>
        <w:t xml:space="preserve">Procedencia </w:t>
      </w:r>
      <w:r w:rsidR="00E137DD" w:rsidRPr="00831EFF">
        <w:rPr>
          <w:rFonts w:ascii="Arial" w:eastAsia="Verdana" w:hAnsi="Arial" w:cs="Arial"/>
          <w:b/>
          <w:color w:val="000000"/>
          <w:sz w:val="22"/>
          <w:szCs w:val="22"/>
        </w:rPr>
        <w:t xml:space="preserve">– </w:t>
      </w:r>
      <w:r w:rsidRPr="00831EFF">
        <w:rPr>
          <w:rFonts w:ascii="Arial" w:hAnsi="Arial" w:cs="Arial"/>
          <w:b/>
          <w:sz w:val="22"/>
          <w:szCs w:val="22"/>
        </w:rPr>
        <w:t>Causales</w:t>
      </w:r>
    </w:p>
    <w:p w14:paraId="51EDFE6E" w14:textId="77777777" w:rsidR="00012568" w:rsidRPr="00831EFF" w:rsidRDefault="00012568" w:rsidP="00831EFF">
      <w:pPr>
        <w:rPr>
          <w:rFonts w:ascii="Arial" w:hAnsi="Arial" w:cs="Arial"/>
          <w:b/>
          <w:sz w:val="22"/>
          <w:szCs w:val="22"/>
        </w:rPr>
      </w:pPr>
    </w:p>
    <w:p w14:paraId="32469C07" w14:textId="77777777" w:rsidR="00012568" w:rsidRPr="00831EFF" w:rsidRDefault="00012568" w:rsidP="00831EFF">
      <w:pPr>
        <w:rPr>
          <w:rFonts w:ascii="Arial" w:hAnsi="Arial" w:cs="Arial"/>
          <w:sz w:val="22"/>
          <w:szCs w:val="22"/>
        </w:rPr>
      </w:pPr>
      <w:r w:rsidRPr="00831EFF">
        <w:rPr>
          <w:rFonts w:ascii="Arial" w:hAnsi="Arial" w:cs="Arial"/>
          <w:sz w:val="22"/>
          <w:szCs w:val="22"/>
        </w:rPr>
        <w:t>Una vez la acción de tutela supere el estudio de las causales procesales, el juez puede conceder la protección, siempre que advierta la presencia de alguno de los siguientes defectos o vicios de fondo, que miran más hacia la prosperidad de la tutela: (i) defecto sustantivo, (</w:t>
      </w:r>
      <w:proofErr w:type="spellStart"/>
      <w:r w:rsidRPr="00831EFF">
        <w:rPr>
          <w:rFonts w:ascii="Arial" w:hAnsi="Arial" w:cs="Arial"/>
          <w:sz w:val="22"/>
          <w:szCs w:val="22"/>
        </w:rPr>
        <w:t>ii</w:t>
      </w:r>
      <w:proofErr w:type="spellEnd"/>
      <w:r w:rsidRPr="00831EFF">
        <w:rPr>
          <w:rFonts w:ascii="Arial" w:hAnsi="Arial" w:cs="Arial"/>
          <w:sz w:val="22"/>
          <w:szCs w:val="22"/>
        </w:rPr>
        <w:t>) defecto fáctico, (</w:t>
      </w:r>
      <w:proofErr w:type="spellStart"/>
      <w:r w:rsidRPr="00831EFF">
        <w:rPr>
          <w:rFonts w:ascii="Arial" w:hAnsi="Arial" w:cs="Arial"/>
          <w:sz w:val="22"/>
          <w:szCs w:val="22"/>
        </w:rPr>
        <w:t>iii</w:t>
      </w:r>
      <w:proofErr w:type="spellEnd"/>
      <w:r w:rsidRPr="00831EFF">
        <w:rPr>
          <w:rFonts w:ascii="Arial" w:hAnsi="Arial" w:cs="Arial"/>
          <w:sz w:val="22"/>
          <w:szCs w:val="22"/>
        </w:rPr>
        <w:t>) defecto procedimental absoluto, (</w:t>
      </w:r>
      <w:proofErr w:type="spellStart"/>
      <w:r w:rsidRPr="00831EFF">
        <w:rPr>
          <w:rFonts w:ascii="Arial" w:hAnsi="Arial" w:cs="Arial"/>
          <w:sz w:val="22"/>
          <w:szCs w:val="22"/>
        </w:rPr>
        <w:t>iv</w:t>
      </w:r>
      <w:proofErr w:type="spellEnd"/>
      <w:r w:rsidRPr="00831EFF">
        <w:rPr>
          <w:rFonts w:ascii="Arial" w:hAnsi="Arial" w:cs="Arial"/>
          <w:sz w:val="22"/>
          <w:szCs w:val="22"/>
        </w:rPr>
        <w:t>) defecto orgánico, (v) error inducido, (vi) decisión sin motivación, (</w:t>
      </w:r>
      <w:proofErr w:type="spellStart"/>
      <w:r w:rsidRPr="00831EFF">
        <w:rPr>
          <w:rFonts w:ascii="Arial" w:hAnsi="Arial" w:cs="Arial"/>
          <w:sz w:val="22"/>
          <w:szCs w:val="22"/>
        </w:rPr>
        <w:t>vii</w:t>
      </w:r>
      <w:proofErr w:type="spellEnd"/>
      <w:r w:rsidRPr="00831EFF">
        <w:rPr>
          <w:rFonts w:ascii="Arial" w:hAnsi="Arial" w:cs="Arial"/>
          <w:sz w:val="22"/>
          <w:szCs w:val="22"/>
        </w:rPr>
        <w:t>) desconocimiento del precedente y (</w:t>
      </w:r>
      <w:proofErr w:type="spellStart"/>
      <w:r w:rsidRPr="00831EFF">
        <w:rPr>
          <w:rFonts w:ascii="Arial" w:hAnsi="Arial" w:cs="Arial"/>
          <w:sz w:val="22"/>
          <w:szCs w:val="22"/>
        </w:rPr>
        <w:t>viii</w:t>
      </w:r>
      <w:proofErr w:type="spellEnd"/>
      <w:r w:rsidRPr="00831EFF">
        <w:rPr>
          <w:rFonts w:ascii="Arial" w:hAnsi="Arial" w:cs="Arial"/>
          <w:sz w:val="22"/>
          <w:szCs w:val="22"/>
        </w:rPr>
        <w:t xml:space="preserve">) violación directa de la Constitución. </w:t>
      </w:r>
    </w:p>
    <w:p w14:paraId="59DC78C1" w14:textId="77777777" w:rsidR="00012568" w:rsidRPr="00831EFF" w:rsidRDefault="00012568" w:rsidP="00831EFF">
      <w:pPr>
        <w:rPr>
          <w:rFonts w:ascii="Arial" w:hAnsi="Arial" w:cs="Arial"/>
          <w:sz w:val="22"/>
          <w:szCs w:val="22"/>
        </w:rPr>
      </w:pPr>
    </w:p>
    <w:p w14:paraId="7A117780" w14:textId="360AAB89" w:rsidR="00012568" w:rsidRPr="00831EFF" w:rsidRDefault="00E137DD" w:rsidP="00831EFF">
      <w:pPr>
        <w:rPr>
          <w:rFonts w:ascii="Arial" w:hAnsi="Arial" w:cs="Arial"/>
          <w:b/>
          <w:bCs/>
          <w:sz w:val="22"/>
          <w:szCs w:val="22"/>
        </w:rPr>
      </w:pPr>
      <w:r w:rsidRPr="00831EFF">
        <w:rPr>
          <w:rFonts w:ascii="Arial" w:eastAsia="Verdana" w:hAnsi="Arial" w:cs="Arial"/>
          <w:b/>
          <w:color w:val="000000"/>
          <w:sz w:val="22"/>
          <w:szCs w:val="22"/>
        </w:rPr>
        <w:t xml:space="preserve">TUTELA CONTRA PROVIDENCIAS JUDICIALES – </w:t>
      </w:r>
      <w:r>
        <w:rPr>
          <w:rFonts w:ascii="Arial" w:eastAsia="Verdana" w:hAnsi="Arial" w:cs="Arial"/>
          <w:b/>
          <w:color w:val="000000"/>
          <w:sz w:val="22"/>
          <w:szCs w:val="22"/>
        </w:rPr>
        <w:t xml:space="preserve">Procedencia </w:t>
      </w:r>
      <w:r w:rsidRPr="00831EFF">
        <w:rPr>
          <w:rFonts w:ascii="Arial" w:eastAsia="Verdana" w:hAnsi="Arial" w:cs="Arial"/>
          <w:b/>
          <w:color w:val="000000"/>
          <w:sz w:val="22"/>
          <w:szCs w:val="22"/>
        </w:rPr>
        <w:t xml:space="preserve">– </w:t>
      </w:r>
      <w:r w:rsidRPr="00831EFF">
        <w:rPr>
          <w:rFonts w:ascii="Arial" w:hAnsi="Arial" w:cs="Arial"/>
          <w:b/>
          <w:sz w:val="22"/>
          <w:szCs w:val="22"/>
        </w:rPr>
        <w:t>Causales</w:t>
      </w:r>
      <w:r>
        <w:rPr>
          <w:rFonts w:ascii="Arial" w:hAnsi="Arial" w:cs="Arial"/>
          <w:b/>
          <w:sz w:val="22"/>
          <w:szCs w:val="22"/>
        </w:rPr>
        <w:t xml:space="preserve"> </w:t>
      </w:r>
      <w:r w:rsidR="00012568" w:rsidRPr="00831EFF">
        <w:rPr>
          <w:rFonts w:ascii="Arial" w:eastAsia="Verdana" w:hAnsi="Arial" w:cs="Arial"/>
          <w:b/>
          <w:color w:val="000000"/>
          <w:sz w:val="22"/>
          <w:szCs w:val="22"/>
        </w:rPr>
        <w:t xml:space="preserve">– </w:t>
      </w:r>
      <w:r w:rsidR="00012568" w:rsidRPr="00831EFF">
        <w:rPr>
          <w:rFonts w:ascii="Arial" w:hAnsi="Arial" w:cs="Arial"/>
          <w:b/>
          <w:bCs/>
          <w:sz w:val="22"/>
          <w:szCs w:val="22"/>
        </w:rPr>
        <w:t>Objeto</w:t>
      </w:r>
    </w:p>
    <w:p w14:paraId="0B225F37" w14:textId="77777777" w:rsidR="00012568" w:rsidRPr="00831EFF" w:rsidRDefault="00012568" w:rsidP="00831EFF">
      <w:pPr>
        <w:rPr>
          <w:rFonts w:ascii="Arial" w:hAnsi="Arial" w:cs="Arial"/>
          <w:sz w:val="22"/>
          <w:szCs w:val="22"/>
        </w:rPr>
      </w:pPr>
    </w:p>
    <w:p w14:paraId="40AB823E" w14:textId="77777777" w:rsidR="00012568" w:rsidRPr="00831EFF" w:rsidRDefault="00012568" w:rsidP="00831EFF">
      <w:pPr>
        <w:rPr>
          <w:rFonts w:ascii="Arial" w:hAnsi="Arial" w:cs="Arial"/>
          <w:sz w:val="22"/>
          <w:szCs w:val="22"/>
        </w:rPr>
      </w:pPr>
      <w:r w:rsidRPr="00831EFF">
        <w:rPr>
          <w:rFonts w:ascii="Arial" w:hAnsi="Arial" w:cs="Arial"/>
          <w:sz w:val="22"/>
          <w:szCs w:val="22"/>
        </w:rPr>
        <w:t xml:space="preserve">Las causales específicas que ha decantado la Corte Constitucional (y que han aplicado la mayoría de las autoridades judiciales) buscan que la tutela no se convierta en una instancia adicional para que las partes reabran discusiones jurídicas que son propias de los procesos ordinarios o expongan los argumentos que, por negligencia o decisión propia, dejaron de proponer oportunamente. </w:t>
      </w:r>
    </w:p>
    <w:p w14:paraId="0EB06662" w14:textId="77777777" w:rsidR="00012568" w:rsidRPr="00831EFF" w:rsidRDefault="00012568" w:rsidP="00831EFF">
      <w:pPr>
        <w:rPr>
          <w:rFonts w:ascii="Arial" w:hAnsi="Arial" w:cs="Arial"/>
          <w:sz w:val="22"/>
          <w:szCs w:val="22"/>
        </w:rPr>
      </w:pPr>
    </w:p>
    <w:p w14:paraId="2054799F" w14:textId="77777777" w:rsidR="00012568" w:rsidRPr="00831EFF" w:rsidRDefault="00012568" w:rsidP="00831EFF">
      <w:pPr>
        <w:rPr>
          <w:rFonts w:ascii="Arial" w:eastAsia="Verdana" w:hAnsi="Arial" w:cs="Arial"/>
          <w:b/>
          <w:bCs/>
          <w:color w:val="000000"/>
          <w:sz w:val="22"/>
          <w:szCs w:val="22"/>
        </w:rPr>
      </w:pPr>
      <w:r w:rsidRPr="00831EFF">
        <w:rPr>
          <w:rFonts w:ascii="Arial" w:eastAsia="Verdana" w:hAnsi="Arial" w:cs="Arial"/>
          <w:b/>
          <w:color w:val="000000"/>
          <w:sz w:val="22"/>
          <w:szCs w:val="22"/>
        </w:rPr>
        <w:t xml:space="preserve">ACCESO A LA ADMINISTRACIÓN DE JUSTICIA – </w:t>
      </w:r>
      <w:r w:rsidRPr="00831EFF">
        <w:rPr>
          <w:rFonts w:ascii="Arial" w:eastAsia="Verdana" w:hAnsi="Arial" w:cs="Arial"/>
          <w:b/>
          <w:bCs/>
          <w:color w:val="000000"/>
          <w:sz w:val="22"/>
          <w:szCs w:val="22"/>
        </w:rPr>
        <w:t>Garantías</w:t>
      </w:r>
    </w:p>
    <w:p w14:paraId="63CA8F31" w14:textId="77777777" w:rsidR="00012568" w:rsidRPr="00831EFF" w:rsidRDefault="00012568" w:rsidP="00831EFF">
      <w:pPr>
        <w:rPr>
          <w:rFonts w:ascii="Arial" w:eastAsia="Verdana" w:hAnsi="Arial" w:cs="Arial"/>
          <w:b/>
          <w:color w:val="000000"/>
          <w:sz w:val="22"/>
          <w:szCs w:val="22"/>
        </w:rPr>
      </w:pPr>
    </w:p>
    <w:p w14:paraId="6CE4411C" w14:textId="77777777" w:rsidR="00012568" w:rsidRPr="00831EFF" w:rsidRDefault="00012568" w:rsidP="00831EFF">
      <w:pPr>
        <w:rPr>
          <w:rFonts w:ascii="Arial" w:eastAsia="Verdana" w:hAnsi="Arial" w:cs="Arial"/>
          <w:color w:val="000000"/>
          <w:sz w:val="22"/>
          <w:szCs w:val="22"/>
        </w:rPr>
      </w:pPr>
      <w:r w:rsidRPr="00831EFF">
        <w:rPr>
          <w:rFonts w:ascii="Arial" w:eastAsia="Verdana" w:hAnsi="Arial" w:cs="Arial"/>
          <w:color w:val="000000"/>
          <w:sz w:val="22"/>
          <w:szCs w:val="22"/>
        </w:rPr>
        <w:t>El artículo 229 de la Constitución Política garantiza el derecho de acceso a la administración de justicia. Este derecho involucra tres garantías fundamentales: el acceso efectivo a la justicia, el derecho a obtener una resolución de fondo y el derecho a la ejecución material del fallo (…)</w:t>
      </w:r>
    </w:p>
    <w:p w14:paraId="0BA2C81C" w14:textId="77777777" w:rsidR="00012568" w:rsidRPr="00831EFF" w:rsidRDefault="00012568" w:rsidP="00831EFF">
      <w:pPr>
        <w:rPr>
          <w:rFonts w:ascii="Arial" w:eastAsia="Verdana" w:hAnsi="Arial" w:cs="Arial"/>
          <w:color w:val="000000"/>
          <w:sz w:val="22"/>
          <w:szCs w:val="22"/>
        </w:rPr>
      </w:pPr>
    </w:p>
    <w:p w14:paraId="7EE3943D" w14:textId="77777777" w:rsidR="00012568" w:rsidRPr="00831EFF" w:rsidRDefault="00012568" w:rsidP="00831EFF">
      <w:pPr>
        <w:rPr>
          <w:rFonts w:ascii="Arial" w:hAnsi="Arial" w:cs="Arial"/>
          <w:b/>
          <w:bCs/>
          <w:sz w:val="22"/>
          <w:szCs w:val="22"/>
        </w:rPr>
      </w:pPr>
      <w:r w:rsidRPr="00831EFF">
        <w:rPr>
          <w:rFonts w:ascii="Arial" w:hAnsi="Arial" w:cs="Arial"/>
          <w:b/>
          <w:sz w:val="22"/>
          <w:szCs w:val="22"/>
        </w:rPr>
        <w:t xml:space="preserve">VALORACIÓN PROBATORIA - </w:t>
      </w:r>
      <w:r w:rsidRPr="00831EFF">
        <w:rPr>
          <w:rFonts w:ascii="Arial" w:hAnsi="Arial" w:cs="Arial"/>
          <w:b/>
          <w:bCs/>
          <w:sz w:val="22"/>
          <w:szCs w:val="22"/>
        </w:rPr>
        <w:t>Reglas de la sana crítica</w:t>
      </w:r>
    </w:p>
    <w:p w14:paraId="7BBADF98" w14:textId="77777777" w:rsidR="00012568" w:rsidRPr="00831EFF" w:rsidRDefault="00012568" w:rsidP="00831EFF">
      <w:pPr>
        <w:rPr>
          <w:rFonts w:ascii="Arial" w:hAnsi="Arial" w:cs="Arial"/>
          <w:sz w:val="22"/>
          <w:szCs w:val="22"/>
        </w:rPr>
      </w:pPr>
    </w:p>
    <w:p w14:paraId="4B20B8BD" w14:textId="77777777" w:rsidR="00012568" w:rsidRPr="00831EFF" w:rsidRDefault="00012568" w:rsidP="00831EFF">
      <w:pPr>
        <w:rPr>
          <w:rFonts w:ascii="Arial" w:eastAsia="Verdana" w:hAnsi="Arial" w:cs="Arial"/>
          <w:color w:val="000000"/>
          <w:sz w:val="22"/>
          <w:szCs w:val="22"/>
        </w:rPr>
      </w:pPr>
      <w:r w:rsidRPr="00831EFF">
        <w:rPr>
          <w:rFonts w:ascii="Arial" w:eastAsia="Verdana" w:hAnsi="Arial" w:cs="Arial"/>
          <w:color w:val="000000"/>
          <w:sz w:val="22"/>
          <w:szCs w:val="22"/>
        </w:rPr>
        <w:t xml:space="preserve">Una vez conformado el conjunto de elementos de juicio que se aportaron al proceso para demostrar los hechos en que se fundan la demanda y la contestación, el juzgador tiene el deber de «establecer la conexión final entre los medios de prueba presentados y la verdad o falsedad de los enunciados sobre los hechos en litigio», esto es, al juez le corresponde darles el valor que en derecho corresponda. Empero, el razonamiento o valoración que hace el juez sobre los medios de prueba no están atados a reglas abstractas o de tarifa legal, pues el sistema procesal colombiano prevé el principio de la libre valoración de la prueba, salvo las solemnidades que se requieran para demostrar ciertos hechos. (…) Lo anterior quiere decir que es el juez, mediante una valoración libre y discrecional y bajo las reglas de la sana crítica, el encargado de determinar el valor de cada medio de prueba. De hecho, el artículo 176 del Código General del Proceso establece que «las pruebas deberán ser apreciadas en conjunto, de acuerdo con las reglas de la sana crítica, sin perjuicio de las solemnidades prescritas en la ley sustancial para la existencia o validez de ciertos actos».  </w:t>
      </w:r>
    </w:p>
    <w:p w14:paraId="415C0181" w14:textId="77777777" w:rsidR="00012568" w:rsidRPr="00831EFF" w:rsidRDefault="00012568" w:rsidP="00831EFF">
      <w:pPr>
        <w:rPr>
          <w:rFonts w:ascii="Arial" w:eastAsia="Verdana" w:hAnsi="Arial" w:cs="Arial"/>
          <w:color w:val="000000"/>
          <w:sz w:val="22"/>
          <w:szCs w:val="22"/>
        </w:rPr>
      </w:pPr>
    </w:p>
    <w:p w14:paraId="01B27959" w14:textId="6166B598" w:rsidR="00012568" w:rsidRPr="00831EFF" w:rsidRDefault="00012568" w:rsidP="00831EFF">
      <w:pPr>
        <w:rPr>
          <w:rFonts w:ascii="Arial" w:eastAsia="Verdana" w:hAnsi="Arial" w:cs="Arial"/>
          <w:b/>
          <w:bCs/>
          <w:color w:val="000000"/>
          <w:sz w:val="22"/>
          <w:szCs w:val="22"/>
        </w:rPr>
      </w:pPr>
      <w:r w:rsidRPr="00831EFF">
        <w:rPr>
          <w:rFonts w:ascii="Arial" w:eastAsia="Verdana" w:hAnsi="Arial" w:cs="Arial"/>
          <w:b/>
          <w:color w:val="000000"/>
          <w:sz w:val="22"/>
          <w:szCs w:val="22"/>
        </w:rPr>
        <w:t xml:space="preserve">VALORACIÓN PROBATORIA - </w:t>
      </w:r>
      <w:r w:rsidRPr="00831EFF">
        <w:rPr>
          <w:rFonts w:ascii="Arial" w:eastAsia="Verdana" w:hAnsi="Arial" w:cs="Arial"/>
          <w:b/>
          <w:bCs/>
          <w:color w:val="000000"/>
          <w:sz w:val="22"/>
          <w:szCs w:val="22"/>
        </w:rPr>
        <w:t xml:space="preserve">Defecto fáctico </w:t>
      </w:r>
    </w:p>
    <w:p w14:paraId="36E609C0" w14:textId="77777777" w:rsidR="00012568" w:rsidRPr="00831EFF" w:rsidRDefault="00012568" w:rsidP="00831EFF">
      <w:pPr>
        <w:rPr>
          <w:rFonts w:ascii="Arial" w:eastAsia="Verdana" w:hAnsi="Arial" w:cs="Arial"/>
          <w:b/>
          <w:color w:val="000000"/>
          <w:sz w:val="22"/>
          <w:szCs w:val="22"/>
        </w:rPr>
      </w:pPr>
      <w:r w:rsidRPr="00831EFF">
        <w:rPr>
          <w:rFonts w:ascii="Arial" w:eastAsia="Verdana" w:hAnsi="Arial" w:cs="Arial"/>
          <w:b/>
          <w:bCs/>
          <w:color w:val="000000"/>
          <w:sz w:val="22"/>
          <w:szCs w:val="22"/>
        </w:rPr>
        <w:t xml:space="preserve"> </w:t>
      </w:r>
    </w:p>
    <w:p w14:paraId="3210C9FE" w14:textId="77777777" w:rsidR="00012568" w:rsidRPr="00831EFF" w:rsidRDefault="00012568" w:rsidP="00831EFF">
      <w:pPr>
        <w:rPr>
          <w:rFonts w:ascii="Arial" w:eastAsia="Verdana" w:hAnsi="Arial" w:cs="Arial"/>
          <w:color w:val="000000"/>
          <w:sz w:val="22"/>
          <w:szCs w:val="22"/>
        </w:rPr>
      </w:pPr>
      <w:r w:rsidRPr="00831EFF">
        <w:rPr>
          <w:rFonts w:ascii="Arial" w:eastAsia="Verdana" w:hAnsi="Arial" w:cs="Arial"/>
          <w:color w:val="000000"/>
          <w:sz w:val="22"/>
          <w:szCs w:val="22"/>
        </w:rPr>
        <w:t>La Corte Constitucional, se presenta en los siguientes casos: (i) Cuando el funcionario judicial, en contra de la evidencia probatoria, decide separarse por completo de los hechos debidamente probados y resolver a su arbitrio el asunto jurídico debatido; (</w:t>
      </w:r>
      <w:proofErr w:type="spellStart"/>
      <w:r w:rsidRPr="00831EFF">
        <w:rPr>
          <w:rFonts w:ascii="Arial" w:eastAsia="Verdana" w:hAnsi="Arial" w:cs="Arial"/>
          <w:color w:val="000000"/>
          <w:sz w:val="22"/>
          <w:szCs w:val="22"/>
        </w:rPr>
        <w:t>ii</w:t>
      </w:r>
      <w:proofErr w:type="spellEnd"/>
      <w:r w:rsidRPr="00831EFF">
        <w:rPr>
          <w:rFonts w:ascii="Arial" w:eastAsia="Verdana" w:hAnsi="Arial" w:cs="Arial"/>
          <w:color w:val="000000"/>
          <w:sz w:val="22"/>
          <w:szCs w:val="22"/>
        </w:rPr>
        <w:t>) cuando a pesar de existir pruebas ilícitas no se abstiene de excluirlas y con base en ellas fundamenta la decisión respectiva; (</w:t>
      </w:r>
      <w:proofErr w:type="spellStart"/>
      <w:r w:rsidRPr="00831EFF">
        <w:rPr>
          <w:rFonts w:ascii="Arial" w:eastAsia="Verdana" w:hAnsi="Arial" w:cs="Arial"/>
          <w:color w:val="000000"/>
          <w:sz w:val="22"/>
          <w:szCs w:val="22"/>
        </w:rPr>
        <w:t>iii</w:t>
      </w:r>
      <w:proofErr w:type="spellEnd"/>
      <w:r w:rsidRPr="00831EFF">
        <w:rPr>
          <w:rFonts w:ascii="Arial" w:eastAsia="Verdana" w:hAnsi="Arial" w:cs="Arial"/>
          <w:color w:val="000000"/>
          <w:sz w:val="22"/>
          <w:szCs w:val="22"/>
        </w:rPr>
        <w:t>) en la hipótesis de incongruencia entre lo probado y lo resuelto, esto es, cuando se adoptan decisiones en contravía de la evidencia probatoria y sin un apoyo fáctico claro; (</w:t>
      </w:r>
      <w:proofErr w:type="spellStart"/>
      <w:r w:rsidRPr="00831EFF">
        <w:rPr>
          <w:rFonts w:ascii="Arial" w:eastAsia="Verdana" w:hAnsi="Arial" w:cs="Arial"/>
          <w:color w:val="000000"/>
          <w:sz w:val="22"/>
          <w:szCs w:val="22"/>
        </w:rPr>
        <w:t>iv</w:t>
      </w:r>
      <w:proofErr w:type="spellEnd"/>
      <w:r w:rsidRPr="00831EFF">
        <w:rPr>
          <w:rFonts w:ascii="Arial" w:eastAsia="Verdana" w:hAnsi="Arial" w:cs="Arial"/>
          <w:color w:val="000000"/>
          <w:sz w:val="22"/>
          <w:szCs w:val="22"/>
        </w:rPr>
        <w:t xml:space="preserve">) cuando el funcionario judicial valora pruebas manifiestamente inconducentes respecto de los hechos y pretensiones debatidos en un proceso ordinario, </w:t>
      </w:r>
      <w:r w:rsidRPr="00831EFF">
        <w:rPr>
          <w:rFonts w:ascii="Arial" w:eastAsia="Verdana" w:hAnsi="Arial" w:cs="Arial"/>
          <w:color w:val="000000"/>
          <w:sz w:val="22"/>
          <w:szCs w:val="22"/>
        </w:rPr>
        <w:lastRenderedPageBreak/>
        <w:t xml:space="preserve">no por tratarse en estricto sentido de pruebas viciadas de nulidad sino porque se trata de elementos probatorios que no guardaban relación con el asunto debatido en el proceso; (v) cuando el juez de conocimiento da por probados hechos que no cuentan con soporte probatorio dentro del proceso y (vi) cuando no valore pruebas debidamente aportadas en el proceso. </w:t>
      </w:r>
    </w:p>
    <w:p w14:paraId="4921EB71" w14:textId="77777777" w:rsidR="00012568" w:rsidRPr="00831EFF" w:rsidRDefault="00012568" w:rsidP="00831EFF">
      <w:pPr>
        <w:rPr>
          <w:rFonts w:ascii="Arial" w:eastAsia="Verdana" w:hAnsi="Arial" w:cs="Arial"/>
          <w:color w:val="000000"/>
          <w:sz w:val="22"/>
          <w:szCs w:val="22"/>
        </w:rPr>
      </w:pPr>
    </w:p>
    <w:p w14:paraId="3552238C" w14:textId="77777777" w:rsidR="00012568" w:rsidRPr="00831EFF" w:rsidRDefault="00012568" w:rsidP="00831EFF">
      <w:pPr>
        <w:rPr>
          <w:rFonts w:ascii="Arial" w:eastAsia="Verdana" w:hAnsi="Arial" w:cs="Arial"/>
          <w:color w:val="000000"/>
          <w:sz w:val="22"/>
          <w:szCs w:val="22"/>
        </w:rPr>
      </w:pPr>
      <w:r w:rsidRPr="00831EFF">
        <w:rPr>
          <w:rFonts w:ascii="Arial" w:eastAsia="Verdana" w:hAnsi="Arial" w:cs="Arial"/>
          <w:b/>
          <w:color w:val="000000"/>
          <w:sz w:val="22"/>
          <w:szCs w:val="22"/>
        </w:rPr>
        <w:t xml:space="preserve">ENRIQUECIMIENTO SIN CAUSA - </w:t>
      </w:r>
      <w:r w:rsidRPr="00831EFF">
        <w:rPr>
          <w:rFonts w:ascii="Arial" w:eastAsia="Verdana" w:hAnsi="Arial" w:cs="Arial"/>
          <w:b/>
          <w:bCs/>
          <w:color w:val="000000"/>
          <w:sz w:val="22"/>
          <w:szCs w:val="22"/>
        </w:rPr>
        <w:t>Carga de la prueba</w:t>
      </w:r>
      <w:r w:rsidRPr="00831EFF">
        <w:rPr>
          <w:rFonts w:ascii="Arial" w:eastAsia="Verdana" w:hAnsi="Arial" w:cs="Arial"/>
          <w:color w:val="000000"/>
          <w:sz w:val="22"/>
          <w:szCs w:val="22"/>
        </w:rPr>
        <w:t xml:space="preserve"> </w:t>
      </w:r>
    </w:p>
    <w:p w14:paraId="2B2A6F01" w14:textId="77777777" w:rsidR="00012568" w:rsidRPr="00831EFF" w:rsidRDefault="00012568" w:rsidP="00831EFF">
      <w:pPr>
        <w:rPr>
          <w:rFonts w:ascii="Arial" w:eastAsia="Verdana" w:hAnsi="Arial" w:cs="Arial"/>
          <w:color w:val="000000"/>
          <w:sz w:val="22"/>
          <w:szCs w:val="22"/>
        </w:rPr>
      </w:pPr>
    </w:p>
    <w:p w14:paraId="15F1353C" w14:textId="77777777" w:rsidR="00012568" w:rsidRPr="00831EFF" w:rsidRDefault="00012568" w:rsidP="00831EFF">
      <w:pPr>
        <w:rPr>
          <w:rFonts w:ascii="Arial" w:hAnsi="Arial" w:cs="Arial"/>
          <w:sz w:val="22"/>
          <w:szCs w:val="22"/>
        </w:rPr>
      </w:pPr>
      <w:r w:rsidRPr="00831EFF">
        <w:rPr>
          <w:rFonts w:ascii="Arial" w:hAnsi="Arial" w:cs="Arial"/>
          <w:sz w:val="22"/>
          <w:szCs w:val="22"/>
        </w:rPr>
        <w:t xml:space="preserve">De hecho, ese análisis también está acorde con la jurisprudencia de la Sección Tercera del Consejo de Estado - especializada en asuntos de responsabilidad contractual y extracontractual del Estado -, que ha establecido que «el enriquecimiento sin causa constituye básicamente una pretensión». Luego, si esa es la pretensión de la </w:t>
      </w:r>
      <w:proofErr w:type="spellStart"/>
      <w:r w:rsidRPr="00831EFF">
        <w:rPr>
          <w:rFonts w:ascii="Arial" w:hAnsi="Arial" w:cs="Arial"/>
          <w:sz w:val="22"/>
          <w:szCs w:val="22"/>
        </w:rPr>
        <w:t>actio</w:t>
      </w:r>
      <w:proofErr w:type="spellEnd"/>
      <w:r w:rsidRPr="00831EFF">
        <w:rPr>
          <w:rFonts w:ascii="Arial" w:hAnsi="Arial" w:cs="Arial"/>
          <w:sz w:val="22"/>
          <w:szCs w:val="22"/>
        </w:rPr>
        <w:t xml:space="preserve"> de in rem verso, resulta lógico que el demandante tenga el deber de demostrar el enriquecimiento que busca sea restituido con pruebas contundentes del beneficio presuntamente entregado.  </w:t>
      </w:r>
    </w:p>
    <w:p w14:paraId="6193F74B" w14:textId="77777777" w:rsidR="00012568" w:rsidRPr="00831EFF" w:rsidRDefault="00012568" w:rsidP="00831EFF">
      <w:pPr>
        <w:rPr>
          <w:rFonts w:ascii="Arial" w:hAnsi="Arial" w:cs="Arial"/>
          <w:sz w:val="22"/>
          <w:szCs w:val="22"/>
        </w:rPr>
      </w:pPr>
    </w:p>
    <w:p w14:paraId="0482D071" w14:textId="6AD5B978" w:rsidR="00012568" w:rsidRPr="00831EFF" w:rsidRDefault="00012568" w:rsidP="00831EFF">
      <w:pPr>
        <w:rPr>
          <w:rFonts w:ascii="Arial" w:hAnsi="Arial" w:cs="Arial"/>
          <w:b/>
          <w:sz w:val="22"/>
          <w:szCs w:val="22"/>
        </w:rPr>
      </w:pPr>
      <w:r w:rsidRPr="00831EFF">
        <w:rPr>
          <w:rFonts w:ascii="Arial" w:hAnsi="Arial" w:cs="Arial"/>
          <w:b/>
          <w:sz w:val="22"/>
          <w:szCs w:val="22"/>
        </w:rPr>
        <w:t>ACTIO IN REM VERSO -</w:t>
      </w:r>
      <w:r w:rsidRPr="00831EFF">
        <w:rPr>
          <w:rFonts w:ascii="Arial" w:hAnsi="Arial" w:cs="Arial"/>
          <w:b/>
          <w:bCs/>
          <w:sz w:val="22"/>
          <w:szCs w:val="22"/>
        </w:rPr>
        <w:t xml:space="preserve"> Procedencia</w:t>
      </w:r>
      <w:r w:rsidRPr="00831EFF">
        <w:rPr>
          <w:rFonts w:ascii="Arial" w:hAnsi="Arial" w:cs="Arial"/>
          <w:b/>
          <w:sz w:val="22"/>
          <w:szCs w:val="22"/>
        </w:rPr>
        <w:t xml:space="preserve">  </w:t>
      </w:r>
    </w:p>
    <w:p w14:paraId="29832A83" w14:textId="77777777" w:rsidR="00012568" w:rsidRPr="00831EFF" w:rsidRDefault="00012568" w:rsidP="00831EFF">
      <w:pPr>
        <w:rPr>
          <w:rFonts w:ascii="Arial" w:hAnsi="Arial" w:cs="Arial"/>
          <w:b/>
          <w:sz w:val="22"/>
          <w:szCs w:val="22"/>
        </w:rPr>
      </w:pPr>
    </w:p>
    <w:p w14:paraId="2802A48E" w14:textId="4A26263F" w:rsidR="00012568" w:rsidRDefault="00866983" w:rsidP="00831EFF">
      <w:pPr>
        <w:widowControl w:val="0"/>
        <w:autoSpaceDN w:val="0"/>
        <w:adjustRightInd w:val="0"/>
        <w:rPr>
          <w:rFonts w:ascii="Arial" w:hAnsi="Arial" w:cs="Arial"/>
          <w:sz w:val="22"/>
          <w:szCs w:val="22"/>
        </w:rPr>
      </w:pPr>
      <w:r>
        <w:rPr>
          <w:rFonts w:ascii="Arial" w:hAnsi="Arial" w:cs="Arial"/>
          <w:sz w:val="22"/>
          <w:szCs w:val="22"/>
        </w:rPr>
        <w:t xml:space="preserve">(…) </w:t>
      </w:r>
      <w:r w:rsidR="00012568" w:rsidRPr="00831EFF">
        <w:rPr>
          <w:rFonts w:ascii="Arial" w:hAnsi="Arial" w:cs="Arial"/>
          <w:sz w:val="22"/>
          <w:szCs w:val="22"/>
        </w:rPr>
        <w:t xml:space="preserve">la jurisprudencia actual de la Sección Tercera del Consejo de Estado que ha establecido que de manera excepcional y por razones de interés público o general, resultaría procedente la </w:t>
      </w:r>
      <w:proofErr w:type="spellStart"/>
      <w:r w:rsidR="00012568" w:rsidRPr="00831EFF">
        <w:rPr>
          <w:rFonts w:ascii="Arial" w:hAnsi="Arial" w:cs="Arial"/>
          <w:i/>
          <w:sz w:val="22"/>
          <w:szCs w:val="22"/>
        </w:rPr>
        <w:t>actio</w:t>
      </w:r>
      <w:proofErr w:type="spellEnd"/>
      <w:r w:rsidR="00012568" w:rsidRPr="00831EFF">
        <w:rPr>
          <w:rFonts w:ascii="Arial" w:hAnsi="Arial" w:cs="Arial"/>
          <w:i/>
          <w:sz w:val="22"/>
          <w:szCs w:val="22"/>
        </w:rPr>
        <w:t xml:space="preserve"> de in rem verso</w:t>
      </w:r>
      <w:r w:rsidR="00012568" w:rsidRPr="00831EFF">
        <w:rPr>
          <w:rFonts w:ascii="Arial" w:hAnsi="Arial" w:cs="Arial"/>
          <w:sz w:val="22"/>
          <w:szCs w:val="22"/>
        </w:rPr>
        <w:t xml:space="preserve">, ente otros, en los siguientes eventos: a) Cuando se acredite de manera fehaciente y evidente en el proceso, que fue exclusivamente la entidad pública, sin participación y sin culpa del particular afectado, la que, en virtud de su supremacía, de su autoridad o de su </w:t>
      </w:r>
      <w:proofErr w:type="spellStart"/>
      <w:r w:rsidR="00012568" w:rsidRPr="00831EFF">
        <w:rPr>
          <w:rFonts w:ascii="Arial" w:hAnsi="Arial" w:cs="Arial"/>
          <w:sz w:val="22"/>
          <w:szCs w:val="22"/>
        </w:rPr>
        <w:t>imperium</w:t>
      </w:r>
      <w:proofErr w:type="spellEnd"/>
      <w:r w:rsidR="00012568" w:rsidRPr="00831EFF">
        <w:rPr>
          <w:rFonts w:ascii="Arial" w:hAnsi="Arial" w:cs="Arial"/>
          <w:sz w:val="22"/>
          <w:szCs w:val="22"/>
        </w:rPr>
        <w:t xml:space="preserve"> constriñó o impuso al respectivo particular la ejecución de prestaciones o el suministro de bienes o servicios en su beneficio, por fuera del marco de un contrato estatal o con prescindencia del mismo. b) En los que es urgente y necesario adquirir bienes, solicitar servicios, suministros, ordenar obras con el fin de prestar un servicio para evitar una amenaza o una lesión inminente e irreversible al derecho a la salud,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 c) 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41 inciso 4º de la Ley 80 de 1993.</w:t>
      </w:r>
    </w:p>
    <w:p w14:paraId="34962889" w14:textId="77777777" w:rsidR="00A0789F" w:rsidRPr="00831EFF" w:rsidRDefault="00A0789F" w:rsidP="00831EFF">
      <w:pPr>
        <w:widowControl w:val="0"/>
        <w:autoSpaceDN w:val="0"/>
        <w:adjustRightInd w:val="0"/>
        <w:rPr>
          <w:sz w:val="22"/>
          <w:szCs w:val="22"/>
        </w:rPr>
      </w:pPr>
    </w:p>
    <w:p w14:paraId="086FA193" w14:textId="77777777" w:rsidR="00BB44F3" w:rsidRPr="00831EFF" w:rsidRDefault="00BB44F3" w:rsidP="00831EFF">
      <w:pPr>
        <w:jc w:val="center"/>
        <w:rPr>
          <w:rFonts w:ascii="Arial" w:hAnsi="Arial" w:cs="Arial"/>
          <w:b/>
          <w:sz w:val="22"/>
          <w:szCs w:val="22"/>
          <w:lang w:val="es-CO"/>
        </w:rPr>
      </w:pPr>
    </w:p>
    <w:p w14:paraId="3D962A8B" w14:textId="77777777" w:rsidR="00B4153C" w:rsidRPr="00586C0E" w:rsidRDefault="00B4153C" w:rsidP="00642831">
      <w:pPr>
        <w:jc w:val="center"/>
        <w:rPr>
          <w:rFonts w:ascii="Arial" w:hAnsi="Arial" w:cs="Arial"/>
          <w:b/>
          <w:sz w:val="24"/>
          <w:szCs w:val="24"/>
        </w:rPr>
      </w:pPr>
      <w:r w:rsidRPr="00586C0E">
        <w:rPr>
          <w:rFonts w:ascii="Arial" w:hAnsi="Arial" w:cs="Arial"/>
          <w:b/>
          <w:sz w:val="24"/>
          <w:szCs w:val="24"/>
        </w:rPr>
        <w:t>CONSEJO DE ESTADO</w:t>
      </w:r>
    </w:p>
    <w:p w14:paraId="44EADB6E" w14:textId="77777777" w:rsidR="00642831" w:rsidRPr="00586C0E" w:rsidRDefault="00642831" w:rsidP="00642831">
      <w:pPr>
        <w:jc w:val="center"/>
        <w:rPr>
          <w:rFonts w:ascii="Arial" w:hAnsi="Arial" w:cs="Arial"/>
          <w:b/>
          <w:sz w:val="24"/>
          <w:szCs w:val="24"/>
        </w:rPr>
      </w:pPr>
    </w:p>
    <w:p w14:paraId="00F0E900" w14:textId="77777777" w:rsidR="00F31354" w:rsidRPr="00586C0E" w:rsidRDefault="00F31354" w:rsidP="00642831">
      <w:pPr>
        <w:jc w:val="center"/>
        <w:rPr>
          <w:rFonts w:ascii="Arial" w:hAnsi="Arial" w:cs="Arial"/>
          <w:b/>
          <w:sz w:val="24"/>
          <w:szCs w:val="24"/>
        </w:rPr>
      </w:pPr>
      <w:r w:rsidRPr="00586C0E">
        <w:rPr>
          <w:rFonts w:ascii="Arial" w:hAnsi="Arial" w:cs="Arial"/>
          <w:b/>
          <w:sz w:val="24"/>
          <w:szCs w:val="24"/>
        </w:rPr>
        <w:t>SALA DE LO CONTENCIOSO ADMINISTRATIVO</w:t>
      </w:r>
    </w:p>
    <w:p w14:paraId="352756E7" w14:textId="77777777" w:rsidR="00642831" w:rsidRPr="00586C0E" w:rsidRDefault="00642831" w:rsidP="00642831">
      <w:pPr>
        <w:jc w:val="center"/>
        <w:rPr>
          <w:rFonts w:ascii="Arial" w:hAnsi="Arial" w:cs="Arial"/>
          <w:b/>
          <w:sz w:val="24"/>
          <w:szCs w:val="24"/>
        </w:rPr>
      </w:pPr>
    </w:p>
    <w:p w14:paraId="413DB4B6" w14:textId="77777777" w:rsidR="00F31354" w:rsidRPr="00586C0E" w:rsidRDefault="00F31354" w:rsidP="00642831">
      <w:pPr>
        <w:jc w:val="center"/>
        <w:rPr>
          <w:rFonts w:ascii="Arial" w:hAnsi="Arial" w:cs="Arial"/>
          <w:b/>
          <w:sz w:val="24"/>
          <w:szCs w:val="24"/>
        </w:rPr>
      </w:pPr>
      <w:r w:rsidRPr="00586C0E">
        <w:rPr>
          <w:rFonts w:ascii="Arial" w:hAnsi="Arial" w:cs="Arial"/>
          <w:b/>
          <w:sz w:val="24"/>
          <w:szCs w:val="24"/>
        </w:rPr>
        <w:t>SECCIÓN CUARTA</w:t>
      </w:r>
    </w:p>
    <w:p w14:paraId="774A7275" w14:textId="77777777" w:rsidR="00F31354" w:rsidRPr="00586C0E" w:rsidRDefault="00F31354" w:rsidP="00642831">
      <w:pPr>
        <w:jc w:val="center"/>
        <w:rPr>
          <w:rFonts w:ascii="Arial" w:hAnsi="Arial" w:cs="Arial"/>
          <w:b/>
          <w:sz w:val="24"/>
          <w:szCs w:val="24"/>
        </w:rPr>
      </w:pPr>
    </w:p>
    <w:p w14:paraId="7E15EDD5" w14:textId="77777777" w:rsidR="00F31354" w:rsidRPr="00586C0E" w:rsidRDefault="00F31354" w:rsidP="00642831">
      <w:pPr>
        <w:jc w:val="center"/>
        <w:rPr>
          <w:rFonts w:ascii="Arial" w:hAnsi="Arial" w:cs="Arial"/>
          <w:b/>
          <w:sz w:val="24"/>
          <w:szCs w:val="24"/>
        </w:rPr>
      </w:pPr>
      <w:r w:rsidRPr="00586C0E">
        <w:rPr>
          <w:rFonts w:ascii="Arial" w:hAnsi="Arial" w:cs="Arial"/>
          <w:b/>
          <w:sz w:val="24"/>
          <w:szCs w:val="24"/>
        </w:rPr>
        <w:t>CONSEJERO PONENTE: JULIO ROBERTO PIZA RODRÍGUEZ</w:t>
      </w:r>
    </w:p>
    <w:p w14:paraId="2A5203FC" w14:textId="77777777" w:rsidR="00F31354" w:rsidRPr="00586C0E" w:rsidRDefault="00F31354" w:rsidP="00642831">
      <w:pPr>
        <w:jc w:val="center"/>
        <w:rPr>
          <w:rFonts w:ascii="Arial" w:hAnsi="Arial" w:cs="Arial"/>
          <w:b/>
          <w:sz w:val="24"/>
          <w:szCs w:val="24"/>
        </w:rPr>
      </w:pPr>
    </w:p>
    <w:p w14:paraId="276F9AE9" w14:textId="77777777" w:rsidR="00F31354" w:rsidRPr="00586C0E" w:rsidRDefault="00F31354" w:rsidP="00642831">
      <w:pPr>
        <w:rPr>
          <w:rFonts w:ascii="Arial" w:hAnsi="Arial" w:cs="Arial"/>
          <w:sz w:val="24"/>
          <w:szCs w:val="24"/>
        </w:rPr>
      </w:pPr>
      <w:r w:rsidRPr="00586C0E">
        <w:rPr>
          <w:rFonts w:ascii="Arial" w:hAnsi="Arial" w:cs="Arial"/>
          <w:sz w:val="24"/>
          <w:szCs w:val="24"/>
        </w:rPr>
        <w:t>Bogotá</w:t>
      </w:r>
      <w:r w:rsidR="00642831" w:rsidRPr="00586C0E">
        <w:rPr>
          <w:rFonts w:ascii="Arial" w:hAnsi="Arial" w:cs="Arial"/>
          <w:sz w:val="24"/>
          <w:szCs w:val="24"/>
        </w:rPr>
        <w:t>,</w:t>
      </w:r>
      <w:r w:rsidRPr="00586C0E">
        <w:rPr>
          <w:rFonts w:ascii="Arial" w:hAnsi="Arial" w:cs="Arial"/>
          <w:sz w:val="24"/>
          <w:szCs w:val="24"/>
        </w:rPr>
        <w:t xml:space="preserve"> D.C., </w:t>
      </w:r>
      <w:r w:rsidR="000B391A" w:rsidRPr="00586C0E">
        <w:rPr>
          <w:rFonts w:ascii="Arial" w:hAnsi="Arial" w:cs="Arial"/>
          <w:sz w:val="24"/>
          <w:szCs w:val="24"/>
        </w:rPr>
        <w:t>diecinueve</w:t>
      </w:r>
      <w:r w:rsidR="00B4153C" w:rsidRPr="00586C0E">
        <w:rPr>
          <w:rFonts w:ascii="Arial" w:hAnsi="Arial" w:cs="Arial"/>
          <w:sz w:val="24"/>
          <w:szCs w:val="24"/>
        </w:rPr>
        <w:t xml:space="preserve"> (</w:t>
      </w:r>
      <w:r w:rsidR="000B391A" w:rsidRPr="00586C0E">
        <w:rPr>
          <w:rFonts w:ascii="Arial" w:hAnsi="Arial" w:cs="Arial"/>
          <w:sz w:val="24"/>
          <w:szCs w:val="24"/>
        </w:rPr>
        <w:t>19</w:t>
      </w:r>
      <w:r w:rsidR="00B4153C" w:rsidRPr="00586C0E">
        <w:rPr>
          <w:rFonts w:ascii="Arial" w:hAnsi="Arial" w:cs="Arial"/>
          <w:sz w:val="24"/>
          <w:szCs w:val="24"/>
        </w:rPr>
        <w:t xml:space="preserve">) de marzo de </w:t>
      </w:r>
      <w:r w:rsidRPr="00586C0E">
        <w:rPr>
          <w:rFonts w:ascii="Arial" w:hAnsi="Arial" w:cs="Arial"/>
          <w:sz w:val="24"/>
          <w:szCs w:val="24"/>
        </w:rPr>
        <w:t>dos mil diecinueve (2019)</w:t>
      </w:r>
    </w:p>
    <w:p w14:paraId="7F96B79B" w14:textId="77777777" w:rsidR="00F31354" w:rsidRPr="00586C0E" w:rsidRDefault="00F31354" w:rsidP="00642831">
      <w:pPr>
        <w:rPr>
          <w:rFonts w:ascii="Arial" w:hAnsi="Arial" w:cs="Arial"/>
          <w:b/>
          <w:sz w:val="24"/>
          <w:szCs w:val="24"/>
        </w:rPr>
      </w:pPr>
    </w:p>
    <w:p w14:paraId="540EA2C7" w14:textId="77777777" w:rsidR="00F31354" w:rsidRPr="00586C0E" w:rsidRDefault="00F31354" w:rsidP="00642831">
      <w:pPr>
        <w:rPr>
          <w:rFonts w:ascii="Arial" w:hAnsi="Arial" w:cs="Arial"/>
          <w:b/>
          <w:sz w:val="24"/>
          <w:szCs w:val="24"/>
        </w:rPr>
      </w:pPr>
      <w:r w:rsidRPr="00586C0E">
        <w:rPr>
          <w:rFonts w:ascii="Arial" w:hAnsi="Arial" w:cs="Arial"/>
          <w:b/>
          <w:sz w:val="24"/>
          <w:szCs w:val="24"/>
        </w:rPr>
        <w:t>Radicación</w:t>
      </w:r>
      <w:r w:rsidR="00642831" w:rsidRPr="00586C0E">
        <w:rPr>
          <w:rFonts w:ascii="Arial" w:hAnsi="Arial" w:cs="Arial"/>
          <w:b/>
          <w:sz w:val="24"/>
          <w:szCs w:val="24"/>
        </w:rPr>
        <w:t xml:space="preserve"> número</w:t>
      </w:r>
      <w:r w:rsidRPr="00586C0E">
        <w:rPr>
          <w:rFonts w:ascii="Arial" w:hAnsi="Arial" w:cs="Arial"/>
          <w:b/>
          <w:sz w:val="24"/>
          <w:szCs w:val="24"/>
        </w:rPr>
        <w:t>:</w:t>
      </w:r>
      <w:r w:rsidR="00642831" w:rsidRPr="00586C0E">
        <w:rPr>
          <w:rFonts w:ascii="Arial" w:hAnsi="Arial" w:cs="Arial"/>
          <w:b/>
          <w:sz w:val="24"/>
          <w:szCs w:val="24"/>
        </w:rPr>
        <w:t xml:space="preserve"> </w:t>
      </w:r>
      <w:r w:rsidRPr="00586C0E">
        <w:rPr>
          <w:rFonts w:ascii="Arial" w:hAnsi="Arial" w:cs="Arial"/>
          <w:b/>
          <w:sz w:val="24"/>
          <w:szCs w:val="24"/>
        </w:rPr>
        <w:t>11001-03-15-000-2018-0</w:t>
      </w:r>
      <w:r w:rsidR="00A879E0" w:rsidRPr="00586C0E">
        <w:rPr>
          <w:rFonts w:ascii="Arial" w:hAnsi="Arial" w:cs="Arial"/>
          <w:b/>
          <w:sz w:val="24"/>
          <w:szCs w:val="24"/>
        </w:rPr>
        <w:t>1633</w:t>
      </w:r>
      <w:r w:rsidRPr="00586C0E">
        <w:rPr>
          <w:rFonts w:ascii="Arial" w:hAnsi="Arial" w:cs="Arial"/>
          <w:b/>
          <w:sz w:val="24"/>
          <w:szCs w:val="24"/>
        </w:rPr>
        <w:t>-01</w:t>
      </w:r>
      <w:r w:rsidR="00642831" w:rsidRPr="00586C0E">
        <w:rPr>
          <w:rFonts w:ascii="Arial" w:hAnsi="Arial" w:cs="Arial"/>
          <w:b/>
          <w:sz w:val="24"/>
          <w:szCs w:val="24"/>
        </w:rPr>
        <w:t>(AC)</w:t>
      </w:r>
    </w:p>
    <w:p w14:paraId="508794AB" w14:textId="77777777" w:rsidR="00642831" w:rsidRPr="00586C0E" w:rsidRDefault="00642831" w:rsidP="00642831">
      <w:pPr>
        <w:rPr>
          <w:rFonts w:ascii="Arial" w:hAnsi="Arial" w:cs="Arial"/>
          <w:b/>
          <w:sz w:val="24"/>
          <w:szCs w:val="24"/>
        </w:rPr>
      </w:pPr>
    </w:p>
    <w:p w14:paraId="7C5F3EEE" w14:textId="77777777" w:rsidR="00F31354" w:rsidRPr="00586C0E" w:rsidRDefault="00642831" w:rsidP="00642831">
      <w:pPr>
        <w:rPr>
          <w:rFonts w:ascii="Arial" w:hAnsi="Arial" w:cs="Arial"/>
          <w:b/>
          <w:sz w:val="24"/>
          <w:szCs w:val="24"/>
        </w:rPr>
      </w:pPr>
      <w:r w:rsidRPr="00586C0E">
        <w:rPr>
          <w:rFonts w:ascii="Arial" w:hAnsi="Arial" w:cs="Arial"/>
          <w:b/>
          <w:sz w:val="24"/>
          <w:szCs w:val="24"/>
        </w:rPr>
        <w:t>Actor</w:t>
      </w:r>
      <w:r w:rsidR="00F31354" w:rsidRPr="00586C0E">
        <w:rPr>
          <w:rFonts w:ascii="Arial" w:hAnsi="Arial" w:cs="Arial"/>
          <w:b/>
          <w:sz w:val="24"/>
          <w:szCs w:val="24"/>
        </w:rPr>
        <w:t>:</w:t>
      </w:r>
      <w:r w:rsidRPr="00586C0E">
        <w:rPr>
          <w:rFonts w:ascii="Arial" w:hAnsi="Arial" w:cs="Arial"/>
          <w:b/>
          <w:sz w:val="24"/>
          <w:szCs w:val="24"/>
        </w:rPr>
        <w:t xml:space="preserve"> </w:t>
      </w:r>
      <w:r w:rsidR="00A44F01" w:rsidRPr="00586C0E">
        <w:rPr>
          <w:rFonts w:ascii="Arial" w:hAnsi="Arial" w:cs="Arial"/>
          <w:b/>
          <w:sz w:val="24"/>
          <w:szCs w:val="24"/>
        </w:rPr>
        <w:t>SURTIELÉCTRICOS</w:t>
      </w:r>
      <w:r w:rsidR="00A879E0" w:rsidRPr="00586C0E">
        <w:rPr>
          <w:rFonts w:ascii="Arial" w:hAnsi="Arial" w:cs="Arial"/>
          <w:b/>
          <w:sz w:val="24"/>
          <w:szCs w:val="24"/>
        </w:rPr>
        <w:t xml:space="preserve"> CALI LTDA.</w:t>
      </w:r>
    </w:p>
    <w:p w14:paraId="6CFE365B" w14:textId="77777777" w:rsidR="00642831" w:rsidRPr="00586C0E" w:rsidRDefault="00642831" w:rsidP="00642831">
      <w:pPr>
        <w:rPr>
          <w:rFonts w:ascii="Arial" w:hAnsi="Arial" w:cs="Arial"/>
          <w:b/>
          <w:sz w:val="24"/>
          <w:szCs w:val="24"/>
        </w:rPr>
      </w:pPr>
    </w:p>
    <w:p w14:paraId="6F7831AC" w14:textId="77777777" w:rsidR="00F31354" w:rsidRPr="00586C0E" w:rsidRDefault="00F31354" w:rsidP="00642831">
      <w:pPr>
        <w:rPr>
          <w:rFonts w:ascii="Arial" w:hAnsi="Arial" w:cs="Arial"/>
          <w:b/>
          <w:sz w:val="24"/>
          <w:szCs w:val="24"/>
        </w:rPr>
      </w:pPr>
      <w:r w:rsidRPr="00586C0E">
        <w:rPr>
          <w:rFonts w:ascii="Arial" w:hAnsi="Arial" w:cs="Arial"/>
          <w:b/>
          <w:sz w:val="24"/>
          <w:szCs w:val="24"/>
        </w:rPr>
        <w:t>Demandado:</w:t>
      </w:r>
      <w:r w:rsidR="00642831" w:rsidRPr="00586C0E">
        <w:rPr>
          <w:rFonts w:ascii="Arial" w:hAnsi="Arial" w:cs="Arial"/>
          <w:b/>
          <w:sz w:val="24"/>
          <w:szCs w:val="24"/>
        </w:rPr>
        <w:t xml:space="preserve"> </w:t>
      </w:r>
      <w:r w:rsidRPr="00586C0E">
        <w:rPr>
          <w:rFonts w:ascii="Arial" w:hAnsi="Arial" w:cs="Arial"/>
          <w:b/>
          <w:sz w:val="24"/>
          <w:szCs w:val="24"/>
        </w:rPr>
        <w:t>TRIBUNAL ADMINISTRATIVO DE NARIÑO</w:t>
      </w:r>
    </w:p>
    <w:p w14:paraId="711693FC" w14:textId="77777777" w:rsidR="00F31354" w:rsidRPr="00586C0E" w:rsidRDefault="00F31354" w:rsidP="00642831">
      <w:pPr>
        <w:rPr>
          <w:rFonts w:ascii="Arial" w:hAnsi="Arial" w:cs="Arial"/>
          <w:b/>
          <w:sz w:val="24"/>
          <w:szCs w:val="24"/>
        </w:rPr>
      </w:pPr>
    </w:p>
    <w:p w14:paraId="0A38182C" w14:textId="77777777" w:rsidR="00F31354" w:rsidRPr="00586C0E" w:rsidRDefault="00F31354" w:rsidP="00642831">
      <w:pPr>
        <w:rPr>
          <w:rFonts w:ascii="Arial" w:hAnsi="Arial" w:cs="Arial"/>
          <w:b/>
          <w:sz w:val="24"/>
          <w:szCs w:val="24"/>
        </w:rPr>
      </w:pPr>
    </w:p>
    <w:p w14:paraId="2503F992" w14:textId="77777777" w:rsidR="00F31354" w:rsidRPr="00586C0E" w:rsidRDefault="00F31354" w:rsidP="00642831">
      <w:pPr>
        <w:rPr>
          <w:rFonts w:ascii="Arial" w:hAnsi="Arial" w:cs="Arial"/>
          <w:b/>
          <w:sz w:val="24"/>
          <w:szCs w:val="24"/>
        </w:rPr>
      </w:pPr>
    </w:p>
    <w:p w14:paraId="248A289D" w14:textId="77777777" w:rsidR="00F31354" w:rsidRPr="00586C0E" w:rsidRDefault="00F31354" w:rsidP="00CD03C3">
      <w:pPr>
        <w:ind w:right="51"/>
        <w:rPr>
          <w:rFonts w:ascii="Arial" w:eastAsia="Verdana" w:hAnsi="Arial" w:cs="Arial"/>
          <w:sz w:val="24"/>
          <w:szCs w:val="24"/>
        </w:rPr>
      </w:pPr>
      <w:r w:rsidRPr="00586C0E">
        <w:rPr>
          <w:rFonts w:ascii="Arial" w:eastAsia="Verdana" w:hAnsi="Arial" w:cs="Arial"/>
          <w:sz w:val="24"/>
          <w:szCs w:val="24"/>
        </w:rPr>
        <w:t>La Sala decide la impugnación interpuesta por</w:t>
      </w:r>
      <w:r w:rsidR="00A44F01" w:rsidRPr="00586C0E">
        <w:rPr>
          <w:rFonts w:ascii="Arial" w:eastAsia="Verdana" w:hAnsi="Arial" w:cs="Arial"/>
          <w:sz w:val="24"/>
          <w:szCs w:val="24"/>
        </w:rPr>
        <w:t xml:space="preserve"> </w:t>
      </w:r>
      <w:proofErr w:type="spellStart"/>
      <w:r w:rsidR="00A44F01" w:rsidRPr="00586C0E">
        <w:rPr>
          <w:rFonts w:ascii="Arial" w:eastAsia="Verdana" w:hAnsi="Arial" w:cs="Arial"/>
          <w:sz w:val="24"/>
          <w:szCs w:val="24"/>
        </w:rPr>
        <w:t>Surtieléctricos</w:t>
      </w:r>
      <w:proofErr w:type="spellEnd"/>
      <w:r w:rsidR="00A879E0" w:rsidRPr="00586C0E">
        <w:rPr>
          <w:rFonts w:ascii="Arial" w:eastAsia="Verdana" w:hAnsi="Arial" w:cs="Arial"/>
          <w:sz w:val="24"/>
          <w:szCs w:val="24"/>
        </w:rPr>
        <w:t xml:space="preserve"> Cali </w:t>
      </w:r>
      <w:r w:rsidRPr="00586C0E">
        <w:rPr>
          <w:rFonts w:ascii="Arial" w:eastAsia="Verdana" w:hAnsi="Arial" w:cs="Arial"/>
          <w:sz w:val="24"/>
          <w:szCs w:val="24"/>
        </w:rPr>
        <w:t>contra la sentencia del 1</w:t>
      </w:r>
      <w:r w:rsidR="00A879E0" w:rsidRPr="00586C0E">
        <w:rPr>
          <w:rFonts w:ascii="Arial" w:eastAsia="Verdana" w:hAnsi="Arial" w:cs="Arial"/>
          <w:sz w:val="24"/>
          <w:szCs w:val="24"/>
        </w:rPr>
        <w:t>0</w:t>
      </w:r>
      <w:r w:rsidRPr="00586C0E">
        <w:rPr>
          <w:rFonts w:ascii="Arial" w:eastAsia="Verdana" w:hAnsi="Arial" w:cs="Arial"/>
          <w:sz w:val="24"/>
          <w:szCs w:val="24"/>
        </w:rPr>
        <w:t xml:space="preserve"> de </w:t>
      </w:r>
      <w:r w:rsidR="00A879E0" w:rsidRPr="00586C0E">
        <w:rPr>
          <w:rFonts w:ascii="Arial" w:eastAsia="Verdana" w:hAnsi="Arial" w:cs="Arial"/>
          <w:sz w:val="24"/>
          <w:szCs w:val="24"/>
        </w:rPr>
        <w:t xml:space="preserve">julio </w:t>
      </w:r>
      <w:r w:rsidRPr="00586C0E">
        <w:rPr>
          <w:rFonts w:ascii="Arial" w:eastAsia="Verdana" w:hAnsi="Arial" w:cs="Arial"/>
          <w:sz w:val="24"/>
          <w:szCs w:val="24"/>
        </w:rPr>
        <w:t>de 2018</w:t>
      </w:r>
      <w:r w:rsidR="00A879E0" w:rsidRPr="00586C0E">
        <w:rPr>
          <w:rStyle w:val="Refdenotaalpie"/>
          <w:rFonts w:ascii="Arial" w:eastAsia="Verdana" w:hAnsi="Arial" w:cs="Arial"/>
          <w:szCs w:val="24"/>
        </w:rPr>
        <w:footnoteReference w:id="1"/>
      </w:r>
      <w:r w:rsidR="00A44F01" w:rsidRPr="00586C0E">
        <w:rPr>
          <w:rFonts w:ascii="Arial" w:eastAsia="Verdana" w:hAnsi="Arial" w:cs="Arial"/>
          <w:sz w:val="24"/>
          <w:szCs w:val="24"/>
        </w:rPr>
        <w:t>, proferida</w:t>
      </w:r>
      <w:r w:rsidRPr="00586C0E">
        <w:rPr>
          <w:rFonts w:ascii="Arial" w:eastAsia="Verdana" w:hAnsi="Arial" w:cs="Arial"/>
          <w:sz w:val="24"/>
          <w:szCs w:val="24"/>
        </w:rPr>
        <w:t xml:space="preserve"> por el Consejo de Estado, Sección Segunda, Subsección A. </w:t>
      </w:r>
    </w:p>
    <w:p w14:paraId="6344C8F4" w14:textId="77777777" w:rsidR="00F31354" w:rsidRPr="00586C0E" w:rsidRDefault="00F31354" w:rsidP="00CD03C3">
      <w:pPr>
        <w:ind w:right="51"/>
        <w:rPr>
          <w:rFonts w:ascii="Arial" w:eastAsia="Verdana" w:hAnsi="Arial" w:cs="Arial"/>
          <w:sz w:val="24"/>
          <w:szCs w:val="24"/>
        </w:rPr>
      </w:pPr>
    </w:p>
    <w:p w14:paraId="60DE2223" w14:textId="77777777" w:rsidR="00F31354" w:rsidRPr="00586C0E" w:rsidRDefault="00F31354" w:rsidP="00CD03C3">
      <w:pPr>
        <w:widowControl w:val="0"/>
        <w:pBdr>
          <w:top w:val="nil"/>
          <w:left w:val="nil"/>
          <w:bottom w:val="nil"/>
          <w:right w:val="nil"/>
          <w:between w:val="nil"/>
        </w:pBdr>
        <w:jc w:val="center"/>
        <w:rPr>
          <w:rFonts w:ascii="Arial" w:eastAsia="Verdana" w:hAnsi="Arial" w:cs="Arial"/>
          <w:sz w:val="24"/>
          <w:szCs w:val="24"/>
        </w:rPr>
      </w:pPr>
      <w:r w:rsidRPr="00586C0E">
        <w:rPr>
          <w:rFonts w:ascii="Arial" w:eastAsia="Verdana" w:hAnsi="Arial" w:cs="Arial"/>
          <w:b/>
          <w:sz w:val="24"/>
          <w:szCs w:val="24"/>
        </w:rPr>
        <w:t>ANTECEDENTES</w:t>
      </w:r>
    </w:p>
    <w:p w14:paraId="44D08F54" w14:textId="77777777" w:rsidR="00F31354" w:rsidRPr="00586C0E" w:rsidRDefault="00F31354" w:rsidP="00CD03C3">
      <w:pPr>
        <w:widowControl w:val="0"/>
        <w:pBdr>
          <w:top w:val="nil"/>
          <w:left w:val="nil"/>
          <w:bottom w:val="nil"/>
          <w:right w:val="nil"/>
          <w:between w:val="nil"/>
        </w:pBdr>
        <w:ind w:left="283" w:hanging="283"/>
        <w:jc w:val="center"/>
        <w:rPr>
          <w:rFonts w:ascii="Arial" w:eastAsia="Verdana" w:hAnsi="Arial" w:cs="Arial"/>
          <w:sz w:val="24"/>
          <w:szCs w:val="24"/>
        </w:rPr>
      </w:pPr>
    </w:p>
    <w:p w14:paraId="1017519A" w14:textId="77777777" w:rsidR="00F31354" w:rsidRPr="00586C0E" w:rsidRDefault="00F31354" w:rsidP="00CD03C3">
      <w:pPr>
        <w:widowControl w:val="0"/>
        <w:numPr>
          <w:ilvl w:val="0"/>
          <w:numId w:val="1"/>
        </w:numPr>
        <w:jc w:val="left"/>
        <w:rPr>
          <w:rFonts w:ascii="Arial" w:eastAsia="Verdana" w:hAnsi="Arial" w:cs="Arial"/>
          <w:sz w:val="24"/>
          <w:szCs w:val="24"/>
        </w:rPr>
      </w:pPr>
      <w:r w:rsidRPr="00586C0E">
        <w:rPr>
          <w:rFonts w:ascii="Arial" w:eastAsia="Verdana" w:hAnsi="Arial" w:cs="Arial"/>
          <w:b/>
          <w:sz w:val="24"/>
          <w:szCs w:val="24"/>
        </w:rPr>
        <w:t xml:space="preserve">Pretensiones </w:t>
      </w:r>
    </w:p>
    <w:p w14:paraId="69A22A61" w14:textId="77777777" w:rsidR="00F31354" w:rsidRPr="00586C0E" w:rsidRDefault="00F31354" w:rsidP="00CD03C3">
      <w:pPr>
        <w:widowControl w:val="0"/>
        <w:ind w:left="360"/>
        <w:rPr>
          <w:rFonts w:ascii="Arial" w:eastAsia="Verdana" w:hAnsi="Arial" w:cs="Arial"/>
          <w:sz w:val="24"/>
          <w:szCs w:val="24"/>
        </w:rPr>
      </w:pPr>
    </w:p>
    <w:p w14:paraId="0D40B63D" w14:textId="77777777" w:rsidR="00CD371A" w:rsidRPr="00586C0E" w:rsidRDefault="00F31354" w:rsidP="00CD03C3">
      <w:pPr>
        <w:tabs>
          <w:tab w:val="left" w:pos="8789"/>
        </w:tabs>
        <w:rPr>
          <w:rFonts w:ascii="Arial" w:eastAsia="Times New Roman" w:hAnsi="Arial" w:cs="Arial"/>
          <w:sz w:val="24"/>
          <w:szCs w:val="24"/>
        </w:rPr>
      </w:pPr>
      <w:bookmarkStart w:id="0" w:name="_Hlk517685860"/>
      <w:bookmarkStart w:id="1" w:name="_Hlk517694726"/>
      <w:bookmarkStart w:id="2" w:name="_Hlk517685400"/>
      <w:r w:rsidRPr="00586C0E">
        <w:rPr>
          <w:rFonts w:ascii="Arial" w:eastAsia="Times New Roman" w:hAnsi="Arial" w:cs="Arial"/>
          <w:sz w:val="24"/>
          <w:szCs w:val="24"/>
          <w:lang w:val="es-CO"/>
        </w:rPr>
        <w:t xml:space="preserve">1.1. En ejercicio de la acción de tutela, </w:t>
      </w:r>
      <w:proofErr w:type="spellStart"/>
      <w:r w:rsidR="00A879E0" w:rsidRPr="00586C0E">
        <w:rPr>
          <w:rFonts w:ascii="Arial" w:eastAsia="Times New Roman" w:hAnsi="Arial" w:cs="Arial"/>
          <w:sz w:val="24"/>
          <w:szCs w:val="24"/>
          <w:lang w:val="es-CO"/>
        </w:rPr>
        <w:t>Surtieléctricos</w:t>
      </w:r>
      <w:proofErr w:type="spellEnd"/>
      <w:r w:rsidR="00A879E0" w:rsidRPr="00586C0E">
        <w:rPr>
          <w:rFonts w:ascii="Arial" w:eastAsia="Times New Roman" w:hAnsi="Arial" w:cs="Arial"/>
          <w:sz w:val="24"/>
          <w:szCs w:val="24"/>
          <w:lang w:val="es-CO"/>
        </w:rPr>
        <w:t xml:space="preserve"> Cali Ltda.</w:t>
      </w:r>
      <w:r w:rsidRPr="00586C0E">
        <w:rPr>
          <w:rFonts w:ascii="Arial" w:hAnsi="Arial" w:cs="Arial"/>
          <w:sz w:val="24"/>
          <w:szCs w:val="24"/>
        </w:rPr>
        <w:t xml:space="preserve"> </w:t>
      </w:r>
      <w:r w:rsidRPr="00586C0E">
        <w:rPr>
          <w:rFonts w:ascii="Arial" w:eastAsia="Times New Roman" w:hAnsi="Arial" w:cs="Arial"/>
          <w:sz w:val="24"/>
          <w:szCs w:val="24"/>
        </w:rPr>
        <w:t>solicitó la protección de los derechos f</w:t>
      </w:r>
      <w:r w:rsidR="000E3F3B" w:rsidRPr="00586C0E">
        <w:rPr>
          <w:rFonts w:ascii="Arial" w:eastAsia="Times New Roman" w:hAnsi="Arial" w:cs="Arial"/>
          <w:sz w:val="24"/>
          <w:szCs w:val="24"/>
        </w:rPr>
        <w:t>undamentales al debido proceso y</w:t>
      </w:r>
      <w:r w:rsidR="00D256F9" w:rsidRPr="00586C0E">
        <w:rPr>
          <w:rFonts w:ascii="Arial" w:eastAsia="Times New Roman" w:hAnsi="Arial" w:cs="Arial"/>
          <w:sz w:val="24"/>
          <w:szCs w:val="24"/>
        </w:rPr>
        <w:t xml:space="preserve"> </w:t>
      </w:r>
      <w:r w:rsidRPr="00586C0E">
        <w:rPr>
          <w:rFonts w:ascii="Arial" w:eastAsia="Times New Roman" w:hAnsi="Arial" w:cs="Arial"/>
          <w:sz w:val="24"/>
          <w:szCs w:val="24"/>
        </w:rPr>
        <w:t>de acceso a</w:t>
      </w:r>
      <w:r w:rsidR="00A44F01" w:rsidRPr="00586C0E">
        <w:rPr>
          <w:rFonts w:ascii="Arial" w:eastAsia="Times New Roman" w:hAnsi="Arial" w:cs="Arial"/>
          <w:sz w:val="24"/>
          <w:szCs w:val="24"/>
        </w:rPr>
        <w:t xml:space="preserve"> la administración de justicia, </w:t>
      </w:r>
      <w:r w:rsidRPr="00586C0E">
        <w:rPr>
          <w:rFonts w:ascii="Arial" w:eastAsia="Times New Roman" w:hAnsi="Arial" w:cs="Arial"/>
          <w:sz w:val="24"/>
          <w:szCs w:val="24"/>
        </w:rPr>
        <w:t xml:space="preserve">que estimó vulnerados por la sentencia del </w:t>
      </w:r>
      <w:r w:rsidR="00D256F9" w:rsidRPr="00586C0E">
        <w:rPr>
          <w:rFonts w:ascii="Arial" w:eastAsia="Times New Roman" w:hAnsi="Arial" w:cs="Arial"/>
          <w:sz w:val="24"/>
          <w:szCs w:val="24"/>
        </w:rPr>
        <w:t>28 de febrero de 2018</w:t>
      </w:r>
      <w:r w:rsidRPr="00586C0E">
        <w:rPr>
          <w:rFonts w:ascii="Arial" w:eastAsia="Times New Roman" w:hAnsi="Arial" w:cs="Arial"/>
          <w:sz w:val="24"/>
          <w:szCs w:val="24"/>
        </w:rPr>
        <w:t>, dictada por el</w:t>
      </w:r>
      <w:r w:rsidRPr="00586C0E">
        <w:rPr>
          <w:rFonts w:ascii="Arial" w:hAnsi="Arial" w:cs="Arial"/>
          <w:sz w:val="24"/>
          <w:szCs w:val="24"/>
        </w:rPr>
        <w:t xml:space="preserve"> </w:t>
      </w:r>
      <w:r w:rsidR="00D256F9" w:rsidRPr="00586C0E">
        <w:rPr>
          <w:rFonts w:ascii="Arial" w:eastAsia="Times New Roman" w:hAnsi="Arial" w:cs="Arial"/>
          <w:sz w:val="24"/>
          <w:szCs w:val="24"/>
        </w:rPr>
        <w:t>Tribunal Administrativo Nariño</w:t>
      </w:r>
      <w:r w:rsidRPr="00586C0E">
        <w:rPr>
          <w:rFonts w:ascii="Arial" w:eastAsia="Times New Roman" w:hAnsi="Arial" w:cs="Arial"/>
          <w:sz w:val="24"/>
          <w:szCs w:val="24"/>
        </w:rPr>
        <w:t>. En con</w:t>
      </w:r>
      <w:r w:rsidR="00CD371A" w:rsidRPr="00586C0E">
        <w:rPr>
          <w:rFonts w:ascii="Arial" w:eastAsia="Times New Roman" w:hAnsi="Arial" w:cs="Arial"/>
          <w:sz w:val="24"/>
          <w:szCs w:val="24"/>
        </w:rPr>
        <w:t>secuencia, pidió que se ordenara a</w:t>
      </w:r>
      <w:r w:rsidR="00A44F01" w:rsidRPr="00586C0E">
        <w:rPr>
          <w:rFonts w:ascii="Arial" w:eastAsia="Times New Roman" w:hAnsi="Arial" w:cs="Arial"/>
          <w:sz w:val="24"/>
          <w:szCs w:val="24"/>
        </w:rPr>
        <w:t xml:space="preserve"> ese mismo tribunal </w:t>
      </w:r>
      <w:r w:rsidR="00CD371A" w:rsidRPr="00586C0E">
        <w:rPr>
          <w:rFonts w:ascii="Arial" w:eastAsia="Times New Roman" w:hAnsi="Arial" w:cs="Arial"/>
          <w:sz w:val="24"/>
          <w:szCs w:val="24"/>
        </w:rPr>
        <w:t>que «</w:t>
      </w:r>
      <w:r w:rsidR="00CD371A" w:rsidRPr="00586C0E">
        <w:rPr>
          <w:rFonts w:ascii="Arial" w:eastAsia="Times New Roman" w:hAnsi="Arial" w:cs="Arial"/>
          <w:i/>
          <w:sz w:val="24"/>
          <w:szCs w:val="24"/>
        </w:rPr>
        <w:t>CONFIRME LA SENTENCIA DE PRIMERA INSTANCIA DEL JUEZ A-QUO, con la consiguiente condena en costas procesales</w:t>
      </w:r>
      <w:r w:rsidR="00CD371A" w:rsidRPr="00586C0E">
        <w:rPr>
          <w:rFonts w:ascii="Arial" w:eastAsia="Times New Roman" w:hAnsi="Arial" w:cs="Arial"/>
          <w:sz w:val="24"/>
          <w:szCs w:val="24"/>
        </w:rPr>
        <w:t>»</w:t>
      </w:r>
      <w:r w:rsidR="00CD371A" w:rsidRPr="00586C0E">
        <w:rPr>
          <w:rStyle w:val="Refdenotaalpie"/>
          <w:rFonts w:ascii="Arial" w:eastAsia="Times New Roman" w:hAnsi="Arial" w:cs="Arial"/>
          <w:szCs w:val="24"/>
        </w:rPr>
        <w:footnoteReference w:id="2"/>
      </w:r>
      <w:r w:rsidR="00CD371A" w:rsidRPr="00586C0E">
        <w:rPr>
          <w:rFonts w:ascii="Arial" w:eastAsia="Times New Roman" w:hAnsi="Arial" w:cs="Arial"/>
          <w:sz w:val="24"/>
          <w:szCs w:val="24"/>
        </w:rPr>
        <w:t xml:space="preserve">. </w:t>
      </w:r>
    </w:p>
    <w:p w14:paraId="069C0453" w14:textId="77777777" w:rsidR="00F31354" w:rsidRPr="00586C0E" w:rsidRDefault="00F31354" w:rsidP="00CD03C3">
      <w:pPr>
        <w:tabs>
          <w:tab w:val="left" w:pos="8789"/>
        </w:tabs>
        <w:ind w:left="567"/>
        <w:rPr>
          <w:rFonts w:ascii="Arial" w:eastAsia="Times New Roman" w:hAnsi="Arial" w:cs="Arial"/>
          <w:sz w:val="24"/>
          <w:szCs w:val="24"/>
        </w:rPr>
      </w:pPr>
    </w:p>
    <w:p w14:paraId="2A5EA68A" w14:textId="77777777" w:rsidR="00F31354" w:rsidRPr="00586C0E" w:rsidRDefault="00F31354" w:rsidP="00CD03C3">
      <w:pPr>
        <w:pStyle w:val="Prrafodelista"/>
        <w:ind w:left="0"/>
        <w:rPr>
          <w:rFonts w:ascii="Arial" w:eastAsia="Times New Roman" w:hAnsi="Arial" w:cs="Arial"/>
          <w:b/>
          <w:sz w:val="24"/>
          <w:szCs w:val="24"/>
          <w:lang w:val="x-none"/>
        </w:rPr>
      </w:pPr>
      <w:r w:rsidRPr="00586C0E">
        <w:rPr>
          <w:rFonts w:ascii="Arial" w:eastAsia="Times New Roman" w:hAnsi="Arial" w:cs="Arial"/>
          <w:b/>
          <w:sz w:val="24"/>
          <w:szCs w:val="24"/>
          <w:lang w:val="es-CO"/>
        </w:rPr>
        <w:tab/>
        <w:t xml:space="preserve">2. Hechos </w:t>
      </w:r>
    </w:p>
    <w:p w14:paraId="0C27D36E" w14:textId="77777777" w:rsidR="00F31354" w:rsidRPr="00586C0E" w:rsidRDefault="00F31354" w:rsidP="00CD03C3">
      <w:pPr>
        <w:pStyle w:val="Prrafodelista"/>
        <w:tabs>
          <w:tab w:val="left" w:pos="8789"/>
        </w:tabs>
        <w:ind w:left="927"/>
        <w:rPr>
          <w:rFonts w:ascii="Arial" w:eastAsia="Times New Roman" w:hAnsi="Arial" w:cs="Arial"/>
          <w:b/>
          <w:sz w:val="24"/>
          <w:szCs w:val="24"/>
          <w:lang w:val="x-none"/>
        </w:rPr>
      </w:pPr>
    </w:p>
    <w:p w14:paraId="6EE6C786" w14:textId="77777777" w:rsidR="00F31354" w:rsidRPr="00586C0E" w:rsidRDefault="00F31354" w:rsidP="00CD03C3">
      <w:pPr>
        <w:rPr>
          <w:rFonts w:ascii="Arial" w:eastAsia="Verdana" w:hAnsi="Arial" w:cs="Arial"/>
          <w:sz w:val="24"/>
          <w:szCs w:val="24"/>
        </w:rPr>
      </w:pPr>
      <w:r w:rsidRPr="00586C0E">
        <w:rPr>
          <w:rFonts w:ascii="Arial" w:eastAsia="Verdana" w:hAnsi="Arial" w:cs="Arial"/>
          <w:sz w:val="24"/>
          <w:szCs w:val="24"/>
        </w:rPr>
        <w:t xml:space="preserve">Del expediente de tutela, la Sala destaca la siguiente información: </w:t>
      </w:r>
    </w:p>
    <w:p w14:paraId="26815219" w14:textId="77777777" w:rsidR="002839E5" w:rsidRPr="00586C0E" w:rsidRDefault="002839E5" w:rsidP="00CD03C3">
      <w:pPr>
        <w:widowControl w:val="0"/>
        <w:ind w:right="51"/>
        <w:rPr>
          <w:rFonts w:ascii="Arial" w:eastAsia="Verdana" w:hAnsi="Arial" w:cs="Arial"/>
          <w:sz w:val="24"/>
          <w:szCs w:val="24"/>
        </w:rPr>
      </w:pPr>
    </w:p>
    <w:p w14:paraId="4A374AA5" w14:textId="77777777" w:rsidR="00F31354" w:rsidRPr="00586C0E" w:rsidRDefault="005D5494" w:rsidP="00CD03C3">
      <w:pPr>
        <w:widowControl w:val="0"/>
        <w:ind w:right="51"/>
        <w:rPr>
          <w:rFonts w:ascii="Arial" w:eastAsia="Verdana" w:hAnsi="Arial" w:cs="Arial"/>
          <w:sz w:val="24"/>
          <w:szCs w:val="24"/>
        </w:rPr>
      </w:pPr>
      <w:r w:rsidRPr="00586C0E">
        <w:rPr>
          <w:rFonts w:ascii="Arial" w:eastAsia="Verdana" w:hAnsi="Arial" w:cs="Arial"/>
          <w:sz w:val="24"/>
          <w:szCs w:val="24"/>
        </w:rPr>
        <w:t xml:space="preserve">2.1. </w:t>
      </w:r>
      <w:r w:rsidR="00922620" w:rsidRPr="00586C0E">
        <w:rPr>
          <w:rFonts w:ascii="Arial" w:eastAsia="Verdana" w:hAnsi="Arial" w:cs="Arial"/>
          <w:sz w:val="24"/>
          <w:szCs w:val="24"/>
        </w:rPr>
        <w:t>Según la parte actora, e</w:t>
      </w:r>
      <w:r w:rsidRPr="00586C0E">
        <w:rPr>
          <w:rFonts w:ascii="Arial" w:eastAsia="Verdana" w:hAnsi="Arial" w:cs="Arial"/>
          <w:sz w:val="24"/>
          <w:szCs w:val="24"/>
        </w:rPr>
        <w:t xml:space="preserve">l 10 de mayo de 2010, </w:t>
      </w:r>
      <w:r w:rsidR="00A44F01" w:rsidRPr="00586C0E">
        <w:rPr>
          <w:rFonts w:ascii="Arial" w:eastAsia="Verdana" w:hAnsi="Arial" w:cs="Arial"/>
          <w:sz w:val="24"/>
          <w:szCs w:val="24"/>
        </w:rPr>
        <w:t xml:space="preserve">El Instituto Municipal de la Reforma Urbana y Vivienda de Pasto (en adelante </w:t>
      </w:r>
      <w:proofErr w:type="spellStart"/>
      <w:r w:rsidR="00A44F01" w:rsidRPr="00586C0E">
        <w:rPr>
          <w:rFonts w:ascii="Arial" w:eastAsia="Verdana" w:hAnsi="Arial" w:cs="Arial"/>
          <w:sz w:val="24"/>
          <w:szCs w:val="24"/>
        </w:rPr>
        <w:t>Invipasto</w:t>
      </w:r>
      <w:proofErr w:type="spellEnd"/>
      <w:r w:rsidR="00A44F01" w:rsidRPr="00586C0E">
        <w:rPr>
          <w:rFonts w:ascii="Arial" w:eastAsia="Verdana" w:hAnsi="Arial" w:cs="Arial"/>
          <w:sz w:val="24"/>
          <w:szCs w:val="24"/>
        </w:rPr>
        <w:t xml:space="preserve">) </w:t>
      </w:r>
      <w:r w:rsidRPr="00586C0E">
        <w:rPr>
          <w:rFonts w:ascii="Arial" w:eastAsia="Verdana" w:hAnsi="Arial" w:cs="Arial"/>
          <w:sz w:val="24"/>
          <w:szCs w:val="24"/>
        </w:rPr>
        <w:t xml:space="preserve">solicitó a </w:t>
      </w:r>
      <w:proofErr w:type="spellStart"/>
      <w:r w:rsidRPr="00586C0E">
        <w:rPr>
          <w:rFonts w:ascii="Arial" w:eastAsia="Verdana" w:hAnsi="Arial" w:cs="Arial"/>
          <w:sz w:val="24"/>
          <w:szCs w:val="24"/>
        </w:rPr>
        <w:t>Surtieléctri</w:t>
      </w:r>
      <w:r w:rsidR="00A44F01" w:rsidRPr="00586C0E">
        <w:rPr>
          <w:rFonts w:ascii="Arial" w:eastAsia="Verdana" w:hAnsi="Arial" w:cs="Arial"/>
          <w:sz w:val="24"/>
          <w:szCs w:val="24"/>
        </w:rPr>
        <w:t>c</w:t>
      </w:r>
      <w:r w:rsidRPr="00586C0E">
        <w:rPr>
          <w:rFonts w:ascii="Arial" w:eastAsia="Verdana" w:hAnsi="Arial" w:cs="Arial"/>
          <w:sz w:val="24"/>
          <w:szCs w:val="24"/>
        </w:rPr>
        <w:t>os</w:t>
      </w:r>
      <w:proofErr w:type="spellEnd"/>
      <w:r w:rsidRPr="00586C0E">
        <w:rPr>
          <w:rFonts w:ascii="Arial" w:eastAsia="Verdana" w:hAnsi="Arial" w:cs="Arial"/>
          <w:sz w:val="24"/>
          <w:szCs w:val="24"/>
        </w:rPr>
        <w:t xml:space="preserve"> Cali Ltda.</w:t>
      </w:r>
      <w:r w:rsidR="00637FD8" w:rsidRPr="00586C0E">
        <w:rPr>
          <w:rFonts w:ascii="Arial" w:eastAsia="Verdana" w:hAnsi="Arial" w:cs="Arial"/>
          <w:sz w:val="24"/>
          <w:szCs w:val="24"/>
        </w:rPr>
        <w:t>,</w:t>
      </w:r>
      <w:r w:rsidRPr="00586C0E">
        <w:rPr>
          <w:rFonts w:ascii="Arial" w:eastAsia="Verdana" w:hAnsi="Arial" w:cs="Arial"/>
          <w:sz w:val="24"/>
          <w:szCs w:val="24"/>
        </w:rPr>
        <w:t xml:space="preserve"> el suministro de material elé</w:t>
      </w:r>
      <w:r w:rsidR="00922620" w:rsidRPr="00586C0E">
        <w:rPr>
          <w:rFonts w:ascii="Arial" w:eastAsia="Verdana" w:hAnsi="Arial" w:cs="Arial"/>
          <w:sz w:val="24"/>
          <w:szCs w:val="24"/>
        </w:rPr>
        <w:t>ctrico para el desarrollo de</w:t>
      </w:r>
      <w:r w:rsidRPr="00586C0E">
        <w:rPr>
          <w:rFonts w:ascii="Arial" w:eastAsia="Verdana" w:hAnsi="Arial" w:cs="Arial"/>
          <w:sz w:val="24"/>
          <w:szCs w:val="24"/>
        </w:rPr>
        <w:t xml:space="preserve"> proyectos de vivienda en el municipio de Pasto. </w:t>
      </w:r>
      <w:r w:rsidR="00C001BB" w:rsidRPr="00586C0E">
        <w:rPr>
          <w:rFonts w:ascii="Arial" w:eastAsia="Verdana" w:hAnsi="Arial" w:cs="Arial"/>
          <w:sz w:val="24"/>
          <w:szCs w:val="24"/>
        </w:rPr>
        <w:t xml:space="preserve">Que </w:t>
      </w:r>
      <w:r w:rsidR="00A44F01" w:rsidRPr="00586C0E">
        <w:rPr>
          <w:rFonts w:ascii="Arial" w:eastAsia="Verdana" w:hAnsi="Arial" w:cs="Arial"/>
          <w:sz w:val="24"/>
          <w:szCs w:val="24"/>
        </w:rPr>
        <w:t>esa</w:t>
      </w:r>
      <w:r w:rsidRPr="00586C0E">
        <w:rPr>
          <w:rFonts w:ascii="Arial" w:eastAsia="Verdana" w:hAnsi="Arial" w:cs="Arial"/>
          <w:sz w:val="24"/>
          <w:szCs w:val="24"/>
        </w:rPr>
        <w:t xml:space="preserve"> petición fue atendida por la sociedad demandante y expidió </w:t>
      </w:r>
      <w:r w:rsidR="00A44F01" w:rsidRPr="00586C0E">
        <w:rPr>
          <w:rFonts w:ascii="Arial" w:eastAsia="Verdana" w:hAnsi="Arial" w:cs="Arial"/>
          <w:sz w:val="24"/>
          <w:szCs w:val="24"/>
        </w:rPr>
        <w:t xml:space="preserve">cinco facturas, en las que se detallan las mercancías entregadas, la cantidad y el precio. Que, sin embargo, </w:t>
      </w:r>
      <w:proofErr w:type="spellStart"/>
      <w:r w:rsidR="00A44F01" w:rsidRPr="00586C0E">
        <w:rPr>
          <w:rFonts w:ascii="Arial" w:eastAsia="Verdana" w:hAnsi="Arial" w:cs="Arial"/>
          <w:sz w:val="24"/>
          <w:szCs w:val="24"/>
        </w:rPr>
        <w:t>Invipasto</w:t>
      </w:r>
      <w:proofErr w:type="spellEnd"/>
      <w:r w:rsidR="00A44F01" w:rsidRPr="00586C0E">
        <w:rPr>
          <w:rFonts w:ascii="Arial" w:eastAsia="Verdana" w:hAnsi="Arial" w:cs="Arial"/>
          <w:sz w:val="24"/>
          <w:szCs w:val="24"/>
        </w:rPr>
        <w:t xml:space="preserve"> no pagó el valor de los materiales.  </w:t>
      </w:r>
    </w:p>
    <w:p w14:paraId="4637734F" w14:textId="77777777" w:rsidR="005D5494" w:rsidRPr="00586C0E" w:rsidRDefault="005D5494" w:rsidP="00CD03C3">
      <w:pPr>
        <w:widowControl w:val="0"/>
        <w:ind w:right="51"/>
        <w:rPr>
          <w:rFonts w:ascii="Arial" w:eastAsia="Verdana" w:hAnsi="Arial" w:cs="Arial"/>
          <w:sz w:val="24"/>
          <w:szCs w:val="24"/>
        </w:rPr>
      </w:pPr>
    </w:p>
    <w:p w14:paraId="584F6F98" w14:textId="77777777" w:rsidR="0052689C" w:rsidRPr="00586C0E" w:rsidRDefault="00A44F01" w:rsidP="00CD03C3">
      <w:pPr>
        <w:widowControl w:val="0"/>
        <w:ind w:right="51"/>
        <w:rPr>
          <w:rFonts w:ascii="Arial" w:eastAsia="Verdana" w:hAnsi="Arial" w:cs="Arial"/>
          <w:sz w:val="24"/>
          <w:szCs w:val="24"/>
        </w:rPr>
      </w:pPr>
      <w:r w:rsidRPr="00586C0E">
        <w:rPr>
          <w:rFonts w:ascii="Arial" w:eastAsia="Verdana" w:hAnsi="Arial" w:cs="Arial"/>
          <w:sz w:val="24"/>
          <w:szCs w:val="24"/>
        </w:rPr>
        <w:t>2.2</w:t>
      </w:r>
      <w:r w:rsidR="005D5494" w:rsidRPr="00586C0E">
        <w:rPr>
          <w:rFonts w:ascii="Arial" w:eastAsia="Verdana" w:hAnsi="Arial" w:cs="Arial"/>
          <w:sz w:val="24"/>
          <w:szCs w:val="24"/>
        </w:rPr>
        <w:t xml:space="preserve">. En ejercicio de la acción de </w:t>
      </w:r>
      <w:r w:rsidR="00333237" w:rsidRPr="00586C0E">
        <w:rPr>
          <w:rFonts w:ascii="Arial" w:eastAsia="Verdana" w:hAnsi="Arial" w:cs="Arial"/>
          <w:sz w:val="24"/>
          <w:szCs w:val="24"/>
        </w:rPr>
        <w:t>controversias co</w:t>
      </w:r>
      <w:r w:rsidRPr="00586C0E">
        <w:rPr>
          <w:rFonts w:ascii="Arial" w:eastAsia="Verdana" w:hAnsi="Arial" w:cs="Arial"/>
          <w:sz w:val="24"/>
          <w:szCs w:val="24"/>
        </w:rPr>
        <w:t xml:space="preserve">ntractuales, </w:t>
      </w:r>
      <w:proofErr w:type="spellStart"/>
      <w:r w:rsidRPr="00586C0E">
        <w:rPr>
          <w:rFonts w:ascii="Arial" w:eastAsia="Verdana" w:hAnsi="Arial" w:cs="Arial"/>
          <w:sz w:val="24"/>
          <w:szCs w:val="24"/>
        </w:rPr>
        <w:t>Surtieléctricos</w:t>
      </w:r>
      <w:proofErr w:type="spellEnd"/>
      <w:r w:rsidRPr="00586C0E">
        <w:rPr>
          <w:rFonts w:ascii="Arial" w:eastAsia="Verdana" w:hAnsi="Arial" w:cs="Arial"/>
          <w:sz w:val="24"/>
          <w:szCs w:val="24"/>
        </w:rPr>
        <w:t xml:space="preserve"> </w:t>
      </w:r>
      <w:r w:rsidR="00333237" w:rsidRPr="00586C0E">
        <w:rPr>
          <w:rFonts w:ascii="Arial" w:eastAsia="Verdana" w:hAnsi="Arial" w:cs="Arial"/>
          <w:sz w:val="24"/>
          <w:szCs w:val="24"/>
        </w:rPr>
        <w:t>Cali Ltda.</w:t>
      </w:r>
      <w:r w:rsidR="00637FD8" w:rsidRPr="00586C0E">
        <w:rPr>
          <w:rFonts w:ascii="Arial" w:eastAsia="Verdana" w:hAnsi="Arial" w:cs="Arial"/>
          <w:sz w:val="24"/>
          <w:szCs w:val="24"/>
        </w:rPr>
        <w:t>,</w:t>
      </w:r>
      <w:r w:rsidR="00333237" w:rsidRPr="00586C0E">
        <w:rPr>
          <w:rFonts w:ascii="Arial" w:eastAsia="Verdana" w:hAnsi="Arial" w:cs="Arial"/>
          <w:sz w:val="24"/>
          <w:szCs w:val="24"/>
        </w:rPr>
        <w:t xml:space="preserve"> solicitó que se declara</w:t>
      </w:r>
      <w:r w:rsidR="0052689C" w:rsidRPr="00586C0E">
        <w:rPr>
          <w:rFonts w:ascii="Arial" w:eastAsia="Verdana" w:hAnsi="Arial" w:cs="Arial"/>
          <w:sz w:val="24"/>
          <w:szCs w:val="24"/>
        </w:rPr>
        <w:t>ra</w:t>
      </w:r>
      <w:r w:rsidR="00333237" w:rsidRPr="00586C0E">
        <w:rPr>
          <w:rFonts w:ascii="Arial" w:eastAsia="Verdana" w:hAnsi="Arial" w:cs="Arial"/>
          <w:sz w:val="24"/>
          <w:szCs w:val="24"/>
        </w:rPr>
        <w:t xml:space="preserve"> la existencia de contrato de compraventa de mercancías, el incump</w:t>
      </w:r>
      <w:r w:rsidR="0052689C" w:rsidRPr="00586C0E">
        <w:rPr>
          <w:rFonts w:ascii="Arial" w:eastAsia="Verdana" w:hAnsi="Arial" w:cs="Arial"/>
          <w:sz w:val="24"/>
          <w:szCs w:val="24"/>
        </w:rPr>
        <w:t xml:space="preserve">limiento por parte de </w:t>
      </w:r>
      <w:proofErr w:type="spellStart"/>
      <w:r w:rsidR="0052689C" w:rsidRPr="00586C0E">
        <w:rPr>
          <w:rFonts w:ascii="Arial" w:eastAsia="Verdana" w:hAnsi="Arial" w:cs="Arial"/>
          <w:sz w:val="24"/>
          <w:szCs w:val="24"/>
        </w:rPr>
        <w:t>Invipasto</w:t>
      </w:r>
      <w:proofErr w:type="spellEnd"/>
      <w:r w:rsidR="0052689C" w:rsidRPr="00586C0E">
        <w:rPr>
          <w:rFonts w:ascii="Arial" w:eastAsia="Verdana" w:hAnsi="Arial" w:cs="Arial"/>
          <w:sz w:val="24"/>
          <w:szCs w:val="24"/>
        </w:rPr>
        <w:t xml:space="preserve">, el pago del material eléctrico suministrado y los intereses moratorios. </w:t>
      </w:r>
    </w:p>
    <w:p w14:paraId="7A790883" w14:textId="77777777" w:rsidR="0052689C" w:rsidRPr="00586C0E" w:rsidRDefault="0052689C" w:rsidP="00CD03C3">
      <w:pPr>
        <w:widowControl w:val="0"/>
        <w:ind w:right="51"/>
        <w:rPr>
          <w:rFonts w:ascii="Arial" w:eastAsia="Verdana" w:hAnsi="Arial" w:cs="Arial"/>
          <w:sz w:val="24"/>
          <w:szCs w:val="24"/>
        </w:rPr>
      </w:pPr>
    </w:p>
    <w:p w14:paraId="104871D1" w14:textId="77777777" w:rsidR="0052689C" w:rsidRPr="00586C0E" w:rsidRDefault="00A44F01" w:rsidP="00CD03C3">
      <w:pPr>
        <w:widowControl w:val="0"/>
        <w:ind w:right="51"/>
        <w:rPr>
          <w:rFonts w:ascii="Arial" w:eastAsia="Verdana" w:hAnsi="Arial" w:cs="Arial"/>
          <w:sz w:val="24"/>
          <w:szCs w:val="24"/>
        </w:rPr>
      </w:pPr>
      <w:r w:rsidRPr="00586C0E">
        <w:rPr>
          <w:rFonts w:ascii="Arial" w:eastAsia="Verdana" w:hAnsi="Arial" w:cs="Arial"/>
          <w:sz w:val="24"/>
          <w:szCs w:val="24"/>
        </w:rPr>
        <w:t>2.3</w:t>
      </w:r>
      <w:r w:rsidR="0052689C" w:rsidRPr="00586C0E">
        <w:rPr>
          <w:rFonts w:ascii="Arial" w:eastAsia="Verdana" w:hAnsi="Arial" w:cs="Arial"/>
          <w:sz w:val="24"/>
          <w:szCs w:val="24"/>
        </w:rPr>
        <w:t xml:space="preserve">. La demanda correspondió, en su momento, al Juzgado Segundo Administrativo de Descongestión de Pasto, que, por auto del 9 de noviembre de 2012, la inadmitió y ordenó </w:t>
      </w:r>
      <w:proofErr w:type="spellStart"/>
      <w:r w:rsidRPr="00586C0E">
        <w:rPr>
          <w:rFonts w:ascii="Arial" w:eastAsia="Verdana" w:hAnsi="Arial" w:cs="Arial"/>
          <w:sz w:val="24"/>
          <w:szCs w:val="24"/>
        </w:rPr>
        <w:t>Surtieléctricos</w:t>
      </w:r>
      <w:proofErr w:type="spellEnd"/>
      <w:r w:rsidRPr="00586C0E">
        <w:rPr>
          <w:rFonts w:ascii="Arial" w:eastAsia="Verdana" w:hAnsi="Arial" w:cs="Arial"/>
          <w:sz w:val="24"/>
          <w:szCs w:val="24"/>
        </w:rPr>
        <w:t xml:space="preserve"> Cali Ltda. </w:t>
      </w:r>
      <w:r w:rsidR="0052689C" w:rsidRPr="00586C0E">
        <w:rPr>
          <w:rFonts w:ascii="Arial" w:eastAsia="Verdana" w:hAnsi="Arial" w:cs="Arial"/>
          <w:sz w:val="24"/>
          <w:szCs w:val="24"/>
        </w:rPr>
        <w:t xml:space="preserve">que adecuara la demanda a la acción correspondiente, toda vez que no aportó ningún contrato estatal que la habilitara a ejercer la acción de controversias contractuales. </w:t>
      </w:r>
    </w:p>
    <w:p w14:paraId="46432BE1" w14:textId="77777777" w:rsidR="0052689C" w:rsidRPr="00586C0E" w:rsidRDefault="0052689C" w:rsidP="00CD03C3">
      <w:pPr>
        <w:widowControl w:val="0"/>
        <w:ind w:right="51"/>
        <w:rPr>
          <w:rFonts w:ascii="Arial" w:eastAsia="Verdana" w:hAnsi="Arial" w:cs="Arial"/>
          <w:sz w:val="24"/>
          <w:szCs w:val="24"/>
        </w:rPr>
      </w:pPr>
    </w:p>
    <w:p w14:paraId="19F71F1F" w14:textId="77777777" w:rsidR="005D5494" w:rsidRPr="00586C0E" w:rsidRDefault="00A44F01" w:rsidP="00CD03C3">
      <w:pPr>
        <w:widowControl w:val="0"/>
        <w:ind w:right="51"/>
        <w:rPr>
          <w:rFonts w:ascii="Arial" w:eastAsia="Verdana" w:hAnsi="Arial" w:cs="Arial"/>
          <w:sz w:val="24"/>
          <w:szCs w:val="24"/>
        </w:rPr>
      </w:pPr>
      <w:r w:rsidRPr="00586C0E">
        <w:rPr>
          <w:rFonts w:ascii="Arial" w:eastAsia="Verdana" w:hAnsi="Arial" w:cs="Arial"/>
          <w:sz w:val="24"/>
          <w:szCs w:val="24"/>
        </w:rPr>
        <w:t>2.4</w:t>
      </w:r>
      <w:r w:rsidR="0052689C" w:rsidRPr="00586C0E">
        <w:rPr>
          <w:rFonts w:ascii="Arial" w:eastAsia="Verdana" w:hAnsi="Arial" w:cs="Arial"/>
          <w:sz w:val="24"/>
          <w:szCs w:val="24"/>
        </w:rPr>
        <w:t xml:space="preserve">. </w:t>
      </w:r>
      <w:proofErr w:type="spellStart"/>
      <w:r w:rsidR="0052689C" w:rsidRPr="00586C0E">
        <w:rPr>
          <w:rFonts w:ascii="Arial" w:eastAsia="Verdana" w:hAnsi="Arial" w:cs="Arial"/>
          <w:sz w:val="24"/>
          <w:szCs w:val="24"/>
        </w:rPr>
        <w:t>Surtielé</w:t>
      </w:r>
      <w:r w:rsidR="00EC6A7C" w:rsidRPr="00586C0E">
        <w:rPr>
          <w:rFonts w:ascii="Arial" w:eastAsia="Verdana" w:hAnsi="Arial" w:cs="Arial"/>
          <w:sz w:val="24"/>
          <w:szCs w:val="24"/>
        </w:rPr>
        <w:t>c</w:t>
      </w:r>
      <w:r w:rsidR="0052689C" w:rsidRPr="00586C0E">
        <w:rPr>
          <w:rFonts w:ascii="Arial" w:eastAsia="Verdana" w:hAnsi="Arial" w:cs="Arial"/>
          <w:sz w:val="24"/>
          <w:szCs w:val="24"/>
        </w:rPr>
        <w:t>tricos</w:t>
      </w:r>
      <w:proofErr w:type="spellEnd"/>
      <w:r w:rsidR="0052689C" w:rsidRPr="00586C0E">
        <w:rPr>
          <w:rFonts w:ascii="Arial" w:eastAsia="Verdana" w:hAnsi="Arial" w:cs="Arial"/>
          <w:sz w:val="24"/>
          <w:szCs w:val="24"/>
        </w:rPr>
        <w:t xml:space="preserve"> Cali Ltda. adecuó la demanda a la acción de reparación directa y pidió </w:t>
      </w:r>
      <w:r w:rsidR="00821E37" w:rsidRPr="00586C0E">
        <w:rPr>
          <w:rFonts w:ascii="Arial" w:eastAsia="Verdana" w:hAnsi="Arial" w:cs="Arial"/>
          <w:sz w:val="24"/>
          <w:szCs w:val="24"/>
        </w:rPr>
        <w:t xml:space="preserve">que se declarara que </w:t>
      </w:r>
      <w:proofErr w:type="spellStart"/>
      <w:r w:rsidR="00821E37" w:rsidRPr="00586C0E">
        <w:rPr>
          <w:rFonts w:ascii="Arial" w:eastAsia="Verdana" w:hAnsi="Arial" w:cs="Arial"/>
          <w:sz w:val="24"/>
          <w:szCs w:val="24"/>
        </w:rPr>
        <w:t>Invipasto</w:t>
      </w:r>
      <w:proofErr w:type="spellEnd"/>
      <w:r w:rsidR="00821E37" w:rsidRPr="00586C0E">
        <w:rPr>
          <w:rFonts w:ascii="Arial" w:eastAsia="Verdana" w:hAnsi="Arial" w:cs="Arial"/>
          <w:sz w:val="24"/>
          <w:szCs w:val="24"/>
        </w:rPr>
        <w:t xml:space="preserve"> es responsable de los perjuicios causados por haber omitido el deber de adelantar la contratación, en los términos de la Ley 80 de 1993. </w:t>
      </w:r>
    </w:p>
    <w:p w14:paraId="3871AD92" w14:textId="77777777" w:rsidR="00821E37" w:rsidRPr="00586C0E" w:rsidRDefault="00821E37" w:rsidP="00CD03C3">
      <w:pPr>
        <w:widowControl w:val="0"/>
        <w:ind w:right="51"/>
        <w:rPr>
          <w:rFonts w:ascii="Arial" w:eastAsia="Verdana" w:hAnsi="Arial" w:cs="Arial"/>
          <w:sz w:val="24"/>
          <w:szCs w:val="24"/>
        </w:rPr>
      </w:pPr>
    </w:p>
    <w:p w14:paraId="7C1C948D" w14:textId="77777777" w:rsidR="00821E37" w:rsidRPr="00586C0E" w:rsidRDefault="00821E37" w:rsidP="00CD03C3">
      <w:pPr>
        <w:widowControl w:val="0"/>
        <w:ind w:right="51"/>
        <w:rPr>
          <w:rFonts w:ascii="Arial" w:eastAsia="Verdana" w:hAnsi="Arial" w:cs="Arial"/>
          <w:sz w:val="24"/>
          <w:szCs w:val="24"/>
        </w:rPr>
      </w:pPr>
      <w:r w:rsidRPr="00586C0E">
        <w:rPr>
          <w:rFonts w:ascii="Arial" w:eastAsia="Verdana" w:hAnsi="Arial" w:cs="Arial"/>
          <w:sz w:val="24"/>
          <w:szCs w:val="24"/>
        </w:rPr>
        <w:t>2.</w:t>
      </w:r>
      <w:r w:rsidR="00A44F01" w:rsidRPr="00586C0E">
        <w:rPr>
          <w:rFonts w:ascii="Arial" w:eastAsia="Verdana" w:hAnsi="Arial" w:cs="Arial"/>
          <w:sz w:val="24"/>
          <w:szCs w:val="24"/>
        </w:rPr>
        <w:t>5</w:t>
      </w:r>
      <w:r w:rsidRPr="00586C0E">
        <w:rPr>
          <w:rFonts w:ascii="Arial" w:eastAsia="Verdana" w:hAnsi="Arial" w:cs="Arial"/>
          <w:sz w:val="24"/>
          <w:szCs w:val="24"/>
        </w:rPr>
        <w:t xml:space="preserve">. </w:t>
      </w:r>
      <w:r w:rsidR="0052689C" w:rsidRPr="00586C0E">
        <w:rPr>
          <w:rFonts w:ascii="Arial" w:eastAsia="Verdana" w:hAnsi="Arial" w:cs="Arial"/>
          <w:sz w:val="24"/>
          <w:szCs w:val="24"/>
        </w:rPr>
        <w:t>El</w:t>
      </w:r>
      <w:r w:rsidRPr="00586C0E">
        <w:rPr>
          <w:rFonts w:ascii="Arial" w:eastAsia="Verdana" w:hAnsi="Arial" w:cs="Arial"/>
          <w:sz w:val="24"/>
          <w:szCs w:val="24"/>
        </w:rPr>
        <w:t xml:space="preserve"> Juzgado Noveno Administrativo de Pasto</w:t>
      </w:r>
      <w:r w:rsidR="0052689C" w:rsidRPr="00586C0E">
        <w:rPr>
          <w:rFonts w:ascii="Arial" w:eastAsia="Verdana" w:hAnsi="Arial" w:cs="Arial"/>
          <w:sz w:val="24"/>
          <w:szCs w:val="24"/>
        </w:rPr>
        <w:t xml:space="preserve"> —que luego asumió el conocimiento del asunto—, </w:t>
      </w:r>
      <w:r w:rsidRPr="00586C0E">
        <w:rPr>
          <w:rFonts w:ascii="Arial" w:eastAsia="Verdana" w:hAnsi="Arial" w:cs="Arial"/>
          <w:sz w:val="24"/>
          <w:szCs w:val="24"/>
        </w:rPr>
        <w:t xml:space="preserve">mediante sentencia del 25 de octubre de 2016, </w:t>
      </w:r>
      <w:r w:rsidR="005746C2" w:rsidRPr="00586C0E">
        <w:rPr>
          <w:rFonts w:ascii="Arial" w:eastAsia="Verdana" w:hAnsi="Arial" w:cs="Arial"/>
          <w:sz w:val="24"/>
          <w:szCs w:val="24"/>
        </w:rPr>
        <w:t>accedió a las pretensiones</w:t>
      </w:r>
      <w:r w:rsidR="00A44F01" w:rsidRPr="00586C0E">
        <w:rPr>
          <w:rFonts w:ascii="Arial" w:eastAsia="Verdana" w:hAnsi="Arial" w:cs="Arial"/>
          <w:sz w:val="24"/>
          <w:szCs w:val="24"/>
        </w:rPr>
        <w:t xml:space="preserve"> de la demanda de reparación directa,</w:t>
      </w:r>
      <w:r w:rsidR="005746C2" w:rsidRPr="00586C0E">
        <w:rPr>
          <w:rFonts w:ascii="Arial" w:eastAsia="Verdana" w:hAnsi="Arial" w:cs="Arial"/>
          <w:sz w:val="24"/>
          <w:szCs w:val="24"/>
        </w:rPr>
        <w:t xml:space="preserve"> porque encontró probado el enriquecimiento sin causa por parte de </w:t>
      </w:r>
      <w:proofErr w:type="spellStart"/>
      <w:r w:rsidR="005746C2" w:rsidRPr="00586C0E">
        <w:rPr>
          <w:rFonts w:ascii="Arial" w:eastAsia="Verdana" w:hAnsi="Arial" w:cs="Arial"/>
          <w:sz w:val="24"/>
          <w:szCs w:val="24"/>
        </w:rPr>
        <w:t>Invipasto</w:t>
      </w:r>
      <w:proofErr w:type="spellEnd"/>
      <w:r w:rsidR="00A44F01" w:rsidRPr="00586C0E">
        <w:rPr>
          <w:rFonts w:ascii="Arial" w:eastAsia="Verdana" w:hAnsi="Arial" w:cs="Arial"/>
          <w:sz w:val="24"/>
          <w:szCs w:val="24"/>
        </w:rPr>
        <w:t>,</w:t>
      </w:r>
      <w:r w:rsidR="005746C2" w:rsidRPr="00586C0E">
        <w:rPr>
          <w:rFonts w:ascii="Arial" w:eastAsia="Verdana" w:hAnsi="Arial" w:cs="Arial"/>
          <w:sz w:val="24"/>
          <w:szCs w:val="24"/>
        </w:rPr>
        <w:t xml:space="preserve"> el empob</w:t>
      </w:r>
      <w:r w:rsidR="00A44F01" w:rsidRPr="00586C0E">
        <w:rPr>
          <w:rFonts w:ascii="Arial" w:eastAsia="Verdana" w:hAnsi="Arial" w:cs="Arial"/>
          <w:sz w:val="24"/>
          <w:szCs w:val="24"/>
        </w:rPr>
        <w:t xml:space="preserve">recimiento de </w:t>
      </w:r>
      <w:proofErr w:type="spellStart"/>
      <w:r w:rsidR="00A44F01" w:rsidRPr="00586C0E">
        <w:rPr>
          <w:rFonts w:ascii="Arial" w:eastAsia="Verdana" w:hAnsi="Arial" w:cs="Arial"/>
          <w:sz w:val="24"/>
          <w:szCs w:val="24"/>
        </w:rPr>
        <w:t>Surtieléctricos</w:t>
      </w:r>
      <w:proofErr w:type="spellEnd"/>
      <w:r w:rsidR="005746C2" w:rsidRPr="00586C0E">
        <w:rPr>
          <w:rFonts w:ascii="Arial" w:eastAsia="Verdana" w:hAnsi="Arial" w:cs="Arial"/>
          <w:sz w:val="24"/>
          <w:szCs w:val="24"/>
        </w:rPr>
        <w:t xml:space="preserve"> Cali Ltda.</w:t>
      </w:r>
      <w:r w:rsidR="00A44F01" w:rsidRPr="00586C0E">
        <w:rPr>
          <w:rFonts w:ascii="Arial" w:eastAsia="Verdana" w:hAnsi="Arial" w:cs="Arial"/>
          <w:sz w:val="24"/>
          <w:szCs w:val="24"/>
        </w:rPr>
        <w:t xml:space="preserve"> y el nexo de causalidad.</w:t>
      </w:r>
      <w:r w:rsidR="005746C2" w:rsidRPr="00586C0E">
        <w:rPr>
          <w:rFonts w:ascii="Arial" w:eastAsia="Verdana" w:hAnsi="Arial" w:cs="Arial"/>
          <w:sz w:val="24"/>
          <w:szCs w:val="24"/>
        </w:rPr>
        <w:t xml:space="preserve"> </w:t>
      </w:r>
    </w:p>
    <w:p w14:paraId="6F7BCF3E" w14:textId="77777777" w:rsidR="005746C2" w:rsidRPr="00586C0E" w:rsidRDefault="005746C2" w:rsidP="00CD03C3">
      <w:pPr>
        <w:widowControl w:val="0"/>
        <w:ind w:right="51"/>
        <w:rPr>
          <w:rFonts w:ascii="Arial" w:eastAsia="Verdana" w:hAnsi="Arial" w:cs="Arial"/>
          <w:sz w:val="24"/>
          <w:szCs w:val="24"/>
        </w:rPr>
      </w:pPr>
    </w:p>
    <w:p w14:paraId="7BCA7E9F" w14:textId="77777777" w:rsidR="00A44F01" w:rsidRPr="00586C0E" w:rsidRDefault="005746C2" w:rsidP="00CD03C3">
      <w:pPr>
        <w:widowControl w:val="0"/>
        <w:ind w:right="51"/>
        <w:rPr>
          <w:rFonts w:ascii="Arial" w:eastAsia="Verdana" w:hAnsi="Arial" w:cs="Arial"/>
          <w:sz w:val="24"/>
          <w:szCs w:val="24"/>
        </w:rPr>
      </w:pPr>
      <w:r w:rsidRPr="00586C0E">
        <w:rPr>
          <w:rFonts w:ascii="Arial" w:eastAsia="Verdana" w:hAnsi="Arial" w:cs="Arial"/>
          <w:sz w:val="24"/>
          <w:szCs w:val="24"/>
        </w:rPr>
        <w:t>2.</w:t>
      </w:r>
      <w:r w:rsidR="00A44F01" w:rsidRPr="00586C0E">
        <w:rPr>
          <w:rFonts w:ascii="Arial" w:eastAsia="Verdana" w:hAnsi="Arial" w:cs="Arial"/>
          <w:sz w:val="24"/>
          <w:szCs w:val="24"/>
        </w:rPr>
        <w:t>6</w:t>
      </w:r>
      <w:r w:rsidRPr="00586C0E">
        <w:rPr>
          <w:rFonts w:ascii="Arial" w:eastAsia="Verdana" w:hAnsi="Arial" w:cs="Arial"/>
          <w:sz w:val="24"/>
          <w:szCs w:val="24"/>
        </w:rPr>
        <w:t xml:space="preserve">. Inconforme con la decisión, </w:t>
      </w:r>
      <w:proofErr w:type="spellStart"/>
      <w:r w:rsidRPr="00586C0E">
        <w:rPr>
          <w:rFonts w:ascii="Arial" w:eastAsia="Verdana" w:hAnsi="Arial" w:cs="Arial"/>
          <w:sz w:val="24"/>
          <w:szCs w:val="24"/>
        </w:rPr>
        <w:t>Invipasto</w:t>
      </w:r>
      <w:proofErr w:type="spellEnd"/>
      <w:r w:rsidRPr="00586C0E">
        <w:rPr>
          <w:rFonts w:ascii="Arial" w:eastAsia="Verdana" w:hAnsi="Arial" w:cs="Arial"/>
          <w:sz w:val="24"/>
          <w:szCs w:val="24"/>
        </w:rPr>
        <w:t xml:space="preserve"> apeló la decisión y el Tribunal Administrativo de Nariño, en sentencia del 28 de febrero de 2018, la revocó y, en su lugar, denegó las pretensiones de la demanda de re</w:t>
      </w:r>
      <w:r w:rsidR="00492AE2" w:rsidRPr="00586C0E">
        <w:rPr>
          <w:rFonts w:ascii="Arial" w:eastAsia="Verdana" w:hAnsi="Arial" w:cs="Arial"/>
          <w:sz w:val="24"/>
          <w:szCs w:val="24"/>
        </w:rPr>
        <w:t xml:space="preserve">paración directa, por cuanto </w:t>
      </w:r>
      <w:proofErr w:type="spellStart"/>
      <w:r w:rsidR="00A44F01" w:rsidRPr="00586C0E">
        <w:rPr>
          <w:rFonts w:ascii="Arial" w:eastAsia="Verdana" w:hAnsi="Arial" w:cs="Arial"/>
          <w:sz w:val="24"/>
          <w:szCs w:val="24"/>
        </w:rPr>
        <w:t>Surtieléctricos</w:t>
      </w:r>
      <w:proofErr w:type="spellEnd"/>
      <w:r w:rsidRPr="00586C0E">
        <w:rPr>
          <w:rFonts w:ascii="Arial" w:eastAsia="Verdana" w:hAnsi="Arial" w:cs="Arial"/>
          <w:sz w:val="24"/>
          <w:szCs w:val="24"/>
        </w:rPr>
        <w:t xml:space="preserve"> Cali Ltda. </w:t>
      </w:r>
      <w:r w:rsidR="00A44F01" w:rsidRPr="00586C0E">
        <w:rPr>
          <w:rFonts w:ascii="Arial" w:eastAsia="Verdana" w:hAnsi="Arial" w:cs="Arial"/>
          <w:sz w:val="24"/>
          <w:szCs w:val="24"/>
        </w:rPr>
        <w:t xml:space="preserve">pretende hacer efectivas las facturas que expidió y que, para el efecto, cuenta con la acción ejecutiva ante la jurisdicción ordinaria. Que, en todo caso, la </w:t>
      </w:r>
      <w:proofErr w:type="spellStart"/>
      <w:r w:rsidR="00A44F01" w:rsidRPr="00586C0E">
        <w:rPr>
          <w:rFonts w:ascii="Arial" w:eastAsia="Verdana" w:hAnsi="Arial" w:cs="Arial"/>
          <w:i/>
          <w:sz w:val="24"/>
          <w:szCs w:val="24"/>
        </w:rPr>
        <w:t>actio</w:t>
      </w:r>
      <w:proofErr w:type="spellEnd"/>
      <w:r w:rsidR="00A44F01" w:rsidRPr="00586C0E">
        <w:rPr>
          <w:rFonts w:ascii="Arial" w:eastAsia="Verdana" w:hAnsi="Arial" w:cs="Arial"/>
          <w:i/>
          <w:sz w:val="24"/>
          <w:szCs w:val="24"/>
        </w:rPr>
        <w:t xml:space="preserve"> de in rem verso </w:t>
      </w:r>
      <w:r w:rsidR="00A44F01" w:rsidRPr="00586C0E">
        <w:rPr>
          <w:rFonts w:ascii="Arial" w:eastAsia="Verdana" w:hAnsi="Arial" w:cs="Arial"/>
          <w:sz w:val="24"/>
          <w:szCs w:val="24"/>
        </w:rPr>
        <w:t xml:space="preserve">no es procedente toda vez que la sociedad demandante no demostró haber entregado suministros a </w:t>
      </w:r>
      <w:proofErr w:type="spellStart"/>
      <w:r w:rsidR="00A44F01" w:rsidRPr="00586C0E">
        <w:rPr>
          <w:rFonts w:ascii="Arial" w:eastAsia="Verdana" w:hAnsi="Arial" w:cs="Arial"/>
          <w:sz w:val="24"/>
          <w:szCs w:val="24"/>
        </w:rPr>
        <w:t>Invipasto</w:t>
      </w:r>
      <w:proofErr w:type="spellEnd"/>
      <w:r w:rsidR="00A44F01" w:rsidRPr="00586C0E">
        <w:rPr>
          <w:rFonts w:ascii="Arial" w:eastAsia="Verdana" w:hAnsi="Arial" w:cs="Arial"/>
          <w:sz w:val="24"/>
          <w:szCs w:val="24"/>
        </w:rPr>
        <w:t xml:space="preserve"> y, por lo tanto, tampoco quedó demostrado el enriquecimiento de </w:t>
      </w:r>
      <w:proofErr w:type="spellStart"/>
      <w:r w:rsidR="00A44F01" w:rsidRPr="00586C0E">
        <w:rPr>
          <w:rFonts w:ascii="Arial" w:eastAsia="Verdana" w:hAnsi="Arial" w:cs="Arial"/>
          <w:sz w:val="24"/>
          <w:szCs w:val="24"/>
        </w:rPr>
        <w:t>invipasto</w:t>
      </w:r>
      <w:proofErr w:type="spellEnd"/>
      <w:r w:rsidR="00A44F01" w:rsidRPr="00586C0E">
        <w:rPr>
          <w:rFonts w:ascii="Arial" w:eastAsia="Verdana" w:hAnsi="Arial" w:cs="Arial"/>
          <w:sz w:val="24"/>
          <w:szCs w:val="24"/>
        </w:rPr>
        <w:t xml:space="preserve">, que es uno de los requisitos para la procedencia de la acción. </w:t>
      </w:r>
    </w:p>
    <w:p w14:paraId="226898C4" w14:textId="77777777" w:rsidR="005746C2" w:rsidRPr="00586C0E" w:rsidRDefault="005746C2" w:rsidP="00CD03C3">
      <w:pPr>
        <w:widowControl w:val="0"/>
        <w:ind w:right="51"/>
        <w:rPr>
          <w:rFonts w:ascii="Arial" w:eastAsia="Verdana" w:hAnsi="Arial" w:cs="Arial"/>
          <w:sz w:val="24"/>
          <w:szCs w:val="24"/>
        </w:rPr>
      </w:pPr>
    </w:p>
    <w:p w14:paraId="21B96C8C" w14:textId="77777777" w:rsidR="00BE7A3E" w:rsidRPr="00586C0E" w:rsidRDefault="00BE7A3E" w:rsidP="00CD03C3">
      <w:pPr>
        <w:widowControl w:val="0"/>
        <w:ind w:right="51"/>
        <w:rPr>
          <w:rFonts w:ascii="Arial" w:eastAsia="Verdana" w:hAnsi="Arial" w:cs="Arial"/>
          <w:sz w:val="24"/>
          <w:szCs w:val="24"/>
        </w:rPr>
      </w:pPr>
      <w:r w:rsidRPr="00586C0E">
        <w:rPr>
          <w:rFonts w:ascii="Arial" w:eastAsia="Verdana" w:hAnsi="Arial" w:cs="Arial"/>
          <w:sz w:val="24"/>
          <w:szCs w:val="24"/>
        </w:rPr>
        <w:t>2.</w:t>
      </w:r>
      <w:r w:rsidR="00A44F01" w:rsidRPr="00586C0E">
        <w:rPr>
          <w:rFonts w:ascii="Arial" w:eastAsia="Verdana" w:hAnsi="Arial" w:cs="Arial"/>
          <w:sz w:val="24"/>
          <w:szCs w:val="24"/>
        </w:rPr>
        <w:t>6</w:t>
      </w:r>
      <w:r w:rsidRPr="00586C0E">
        <w:rPr>
          <w:rFonts w:ascii="Arial" w:eastAsia="Verdana" w:hAnsi="Arial" w:cs="Arial"/>
          <w:sz w:val="24"/>
          <w:szCs w:val="24"/>
        </w:rPr>
        <w:t>.1. E</w:t>
      </w:r>
      <w:r w:rsidR="005746C2" w:rsidRPr="00586C0E">
        <w:rPr>
          <w:rFonts w:ascii="Arial" w:eastAsia="Verdana" w:hAnsi="Arial" w:cs="Arial"/>
          <w:sz w:val="24"/>
          <w:szCs w:val="24"/>
        </w:rPr>
        <w:t xml:space="preserve">l magistrado Edgar Cabrera Ramos salvó el voto. Estimó que </w:t>
      </w:r>
      <w:r w:rsidRPr="00586C0E">
        <w:rPr>
          <w:rFonts w:ascii="Arial" w:eastAsia="Verdana" w:hAnsi="Arial" w:cs="Arial"/>
          <w:sz w:val="24"/>
          <w:szCs w:val="24"/>
        </w:rPr>
        <w:t xml:space="preserve">la jurisdicción de lo contencioso administrativo sí es competente para decidir la acción de reparación directa que promovió de </w:t>
      </w:r>
      <w:proofErr w:type="spellStart"/>
      <w:r w:rsidRPr="00586C0E">
        <w:rPr>
          <w:rFonts w:ascii="Arial" w:eastAsia="Verdana" w:hAnsi="Arial" w:cs="Arial"/>
          <w:sz w:val="24"/>
          <w:szCs w:val="24"/>
        </w:rPr>
        <w:t>Surtieléctricos</w:t>
      </w:r>
      <w:proofErr w:type="spellEnd"/>
      <w:r w:rsidRPr="00586C0E">
        <w:rPr>
          <w:rFonts w:ascii="Arial" w:eastAsia="Verdana" w:hAnsi="Arial" w:cs="Arial"/>
          <w:sz w:val="24"/>
          <w:szCs w:val="24"/>
        </w:rPr>
        <w:t xml:space="preserve"> de Cali Ltda., porque está solicitando el pago </w:t>
      </w:r>
      <w:r w:rsidR="00805E38" w:rsidRPr="00586C0E">
        <w:rPr>
          <w:rFonts w:ascii="Arial" w:eastAsia="Verdana" w:hAnsi="Arial" w:cs="Arial"/>
          <w:sz w:val="24"/>
          <w:szCs w:val="24"/>
        </w:rPr>
        <w:t xml:space="preserve">por el </w:t>
      </w:r>
      <w:r w:rsidRPr="00586C0E">
        <w:rPr>
          <w:rFonts w:ascii="Arial" w:eastAsia="Verdana" w:hAnsi="Arial" w:cs="Arial"/>
          <w:sz w:val="24"/>
          <w:szCs w:val="24"/>
        </w:rPr>
        <w:t>suministr</w:t>
      </w:r>
      <w:r w:rsidR="00805E38" w:rsidRPr="00586C0E">
        <w:rPr>
          <w:rFonts w:ascii="Arial" w:eastAsia="Verdana" w:hAnsi="Arial" w:cs="Arial"/>
          <w:sz w:val="24"/>
          <w:szCs w:val="24"/>
        </w:rPr>
        <w:t>o</w:t>
      </w:r>
      <w:r w:rsidRPr="00586C0E">
        <w:rPr>
          <w:rFonts w:ascii="Arial" w:eastAsia="Verdana" w:hAnsi="Arial" w:cs="Arial"/>
          <w:sz w:val="24"/>
          <w:szCs w:val="24"/>
        </w:rPr>
        <w:t xml:space="preserve"> </w:t>
      </w:r>
      <w:r w:rsidR="00805E38" w:rsidRPr="00586C0E">
        <w:rPr>
          <w:rFonts w:ascii="Arial" w:eastAsia="Verdana" w:hAnsi="Arial" w:cs="Arial"/>
          <w:sz w:val="24"/>
          <w:szCs w:val="24"/>
        </w:rPr>
        <w:t xml:space="preserve">de </w:t>
      </w:r>
      <w:r w:rsidRPr="00586C0E">
        <w:rPr>
          <w:rFonts w:ascii="Arial" w:eastAsia="Verdana" w:hAnsi="Arial" w:cs="Arial"/>
          <w:sz w:val="24"/>
          <w:szCs w:val="24"/>
        </w:rPr>
        <w:t xml:space="preserve">materiales a </w:t>
      </w:r>
      <w:proofErr w:type="spellStart"/>
      <w:r w:rsidR="00805E38" w:rsidRPr="00586C0E">
        <w:rPr>
          <w:rFonts w:ascii="Arial" w:eastAsia="Verdana" w:hAnsi="Arial" w:cs="Arial"/>
          <w:sz w:val="24"/>
          <w:szCs w:val="24"/>
        </w:rPr>
        <w:t>Invipasto</w:t>
      </w:r>
      <w:proofErr w:type="spellEnd"/>
      <w:r w:rsidR="00805E38" w:rsidRPr="00586C0E">
        <w:rPr>
          <w:rFonts w:ascii="Arial" w:eastAsia="Verdana" w:hAnsi="Arial" w:cs="Arial"/>
          <w:sz w:val="24"/>
          <w:szCs w:val="24"/>
        </w:rPr>
        <w:t xml:space="preserve">, sin que mediara contrato. </w:t>
      </w:r>
      <w:r w:rsidR="00A44F01" w:rsidRPr="00586C0E">
        <w:rPr>
          <w:rFonts w:ascii="Arial" w:eastAsia="Verdana" w:hAnsi="Arial" w:cs="Arial"/>
          <w:sz w:val="24"/>
          <w:szCs w:val="24"/>
        </w:rPr>
        <w:t xml:space="preserve">Que, a su juicio, sí está probado el suministro de mercancías y, por lo tanto, debió accederse a las pretensiones. </w:t>
      </w:r>
    </w:p>
    <w:p w14:paraId="61860C6D" w14:textId="77777777" w:rsidR="005D5494" w:rsidRPr="00586C0E" w:rsidRDefault="005D5494" w:rsidP="00CD03C3">
      <w:pPr>
        <w:widowControl w:val="0"/>
        <w:ind w:right="51"/>
        <w:rPr>
          <w:rFonts w:ascii="Arial" w:eastAsia="Times New Roman" w:hAnsi="Arial" w:cs="Arial"/>
          <w:sz w:val="24"/>
          <w:szCs w:val="24"/>
          <w:lang w:val="es-CO"/>
        </w:rPr>
      </w:pPr>
    </w:p>
    <w:p w14:paraId="6E979C11" w14:textId="77777777" w:rsidR="00F31354" w:rsidRPr="00586C0E" w:rsidRDefault="00F31354" w:rsidP="00CD03C3">
      <w:pPr>
        <w:pStyle w:val="Prrafodelista"/>
        <w:numPr>
          <w:ilvl w:val="0"/>
          <w:numId w:val="3"/>
        </w:numPr>
        <w:rPr>
          <w:rFonts w:ascii="Arial" w:eastAsia="Times New Roman" w:hAnsi="Arial" w:cs="Arial"/>
          <w:b/>
          <w:sz w:val="24"/>
          <w:szCs w:val="24"/>
          <w:lang w:val="x-none"/>
        </w:rPr>
      </w:pPr>
      <w:r w:rsidRPr="00586C0E">
        <w:rPr>
          <w:rFonts w:ascii="Arial" w:eastAsia="Times New Roman" w:hAnsi="Arial" w:cs="Arial"/>
          <w:b/>
          <w:sz w:val="24"/>
          <w:szCs w:val="24"/>
          <w:lang w:val="es-CO"/>
        </w:rPr>
        <w:t>Argumentos</w:t>
      </w:r>
      <w:r w:rsidRPr="00586C0E">
        <w:rPr>
          <w:rFonts w:ascii="Arial" w:eastAsia="Times New Roman" w:hAnsi="Arial" w:cs="Arial"/>
          <w:b/>
          <w:sz w:val="24"/>
          <w:szCs w:val="24"/>
          <w:lang w:val="x-none"/>
        </w:rPr>
        <w:t xml:space="preserve"> de la tutela</w:t>
      </w:r>
    </w:p>
    <w:p w14:paraId="494B3CA6" w14:textId="77777777" w:rsidR="00F31354" w:rsidRPr="00586C0E" w:rsidRDefault="00F31354" w:rsidP="00CD03C3">
      <w:pPr>
        <w:pStyle w:val="Prrafodelista"/>
        <w:ind w:left="0"/>
        <w:rPr>
          <w:rFonts w:ascii="Arial" w:eastAsia="Times New Roman" w:hAnsi="Arial" w:cs="Arial"/>
          <w:b/>
          <w:sz w:val="24"/>
          <w:szCs w:val="24"/>
          <w:lang w:val="x-none"/>
        </w:rPr>
      </w:pPr>
    </w:p>
    <w:p w14:paraId="66628B89" w14:textId="77777777" w:rsidR="00676E23" w:rsidRPr="00586C0E" w:rsidRDefault="00492AE2" w:rsidP="00CD03C3">
      <w:pPr>
        <w:pStyle w:val="Prrafodelista"/>
        <w:ind w:left="0"/>
        <w:rPr>
          <w:rFonts w:ascii="Arial" w:eastAsia="Times New Roman" w:hAnsi="Arial" w:cs="Arial"/>
          <w:sz w:val="24"/>
          <w:szCs w:val="24"/>
          <w:lang w:val="es-CO"/>
        </w:rPr>
      </w:pPr>
      <w:r w:rsidRPr="00586C0E">
        <w:rPr>
          <w:rFonts w:ascii="Arial" w:eastAsia="Times New Roman" w:hAnsi="Arial" w:cs="Arial"/>
          <w:sz w:val="24"/>
          <w:szCs w:val="24"/>
          <w:lang w:val="es-CO"/>
        </w:rPr>
        <w:t xml:space="preserve">A juicio de </w:t>
      </w:r>
      <w:proofErr w:type="spellStart"/>
      <w:r w:rsidR="00676E23" w:rsidRPr="00586C0E">
        <w:rPr>
          <w:rFonts w:ascii="Arial" w:eastAsia="Verdana" w:hAnsi="Arial" w:cs="Arial"/>
          <w:sz w:val="24"/>
          <w:szCs w:val="24"/>
        </w:rPr>
        <w:t>Surtieléctricos</w:t>
      </w:r>
      <w:proofErr w:type="spellEnd"/>
      <w:r w:rsidR="00676E23" w:rsidRPr="00586C0E">
        <w:rPr>
          <w:rFonts w:ascii="Arial" w:eastAsia="Verdana" w:hAnsi="Arial" w:cs="Arial"/>
          <w:sz w:val="24"/>
          <w:szCs w:val="24"/>
        </w:rPr>
        <w:t xml:space="preserve"> de Cali Ltda.</w:t>
      </w:r>
      <w:r w:rsidRPr="00586C0E">
        <w:rPr>
          <w:rFonts w:ascii="Arial" w:eastAsia="Times New Roman" w:hAnsi="Arial" w:cs="Arial"/>
          <w:sz w:val="24"/>
          <w:szCs w:val="24"/>
          <w:lang w:val="es-CO"/>
        </w:rPr>
        <w:t xml:space="preserve">, </w:t>
      </w:r>
      <w:r w:rsidR="00676E23" w:rsidRPr="00586C0E">
        <w:rPr>
          <w:rFonts w:ascii="Arial" w:eastAsia="Times New Roman" w:hAnsi="Arial" w:cs="Arial"/>
          <w:sz w:val="24"/>
          <w:szCs w:val="24"/>
          <w:lang w:val="es-CO"/>
        </w:rPr>
        <w:t xml:space="preserve">el amparo es procedente por las siguientes razones: </w:t>
      </w:r>
    </w:p>
    <w:p w14:paraId="6D9001CD" w14:textId="77777777" w:rsidR="00676E23" w:rsidRPr="00586C0E" w:rsidRDefault="00676E23" w:rsidP="00CD03C3">
      <w:pPr>
        <w:pStyle w:val="Prrafodelista"/>
        <w:ind w:left="0"/>
        <w:rPr>
          <w:rFonts w:ascii="Arial" w:eastAsia="Times New Roman" w:hAnsi="Arial" w:cs="Arial"/>
          <w:sz w:val="24"/>
          <w:szCs w:val="24"/>
          <w:lang w:val="es-CO"/>
        </w:rPr>
      </w:pPr>
    </w:p>
    <w:p w14:paraId="48A1F90D" w14:textId="77777777" w:rsidR="00FD52C6" w:rsidRPr="00586C0E" w:rsidRDefault="00676E23" w:rsidP="00CD03C3">
      <w:pPr>
        <w:pStyle w:val="Prrafodelista"/>
        <w:ind w:left="0"/>
        <w:rPr>
          <w:rFonts w:ascii="Arial" w:eastAsia="Times New Roman" w:hAnsi="Arial" w:cs="Arial"/>
          <w:sz w:val="24"/>
          <w:szCs w:val="24"/>
          <w:lang w:val="es-CO"/>
        </w:rPr>
      </w:pPr>
      <w:r w:rsidRPr="00586C0E">
        <w:rPr>
          <w:rFonts w:ascii="Arial" w:eastAsia="Times New Roman" w:hAnsi="Arial" w:cs="Arial"/>
          <w:sz w:val="24"/>
          <w:szCs w:val="24"/>
          <w:lang w:val="es-CO"/>
        </w:rPr>
        <w:t xml:space="preserve">3.1. </w:t>
      </w:r>
      <w:r w:rsidRPr="00586C0E">
        <w:rPr>
          <w:rFonts w:ascii="Arial" w:eastAsia="Times New Roman" w:hAnsi="Arial" w:cs="Arial"/>
          <w:b/>
          <w:sz w:val="24"/>
          <w:szCs w:val="24"/>
          <w:lang w:val="es-CO"/>
        </w:rPr>
        <w:t>Violación del derecho fundamental de acceso a la administración de justicia</w:t>
      </w:r>
      <w:r w:rsidRPr="00586C0E">
        <w:rPr>
          <w:rFonts w:ascii="Arial" w:eastAsia="Times New Roman" w:hAnsi="Arial" w:cs="Arial"/>
          <w:sz w:val="24"/>
          <w:szCs w:val="24"/>
          <w:lang w:val="es-CO"/>
        </w:rPr>
        <w:t xml:space="preserve">. Para la parte actora, el tribunal demandado no podía volver a pronunciarse sobre la jurisdicción competente para resolver el conflicto, porque ese asunto ya fue resuelto cuando se </w:t>
      </w:r>
      <w:r w:rsidR="00FD52C6" w:rsidRPr="00586C0E">
        <w:rPr>
          <w:rFonts w:ascii="Arial" w:eastAsia="Times New Roman" w:hAnsi="Arial" w:cs="Arial"/>
          <w:sz w:val="24"/>
          <w:szCs w:val="24"/>
          <w:lang w:val="es-CO"/>
        </w:rPr>
        <w:t xml:space="preserve">promovido </w:t>
      </w:r>
      <w:r w:rsidRPr="00586C0E">
        <w:rPr>
          <w:rFonts w:ascii="Arial" w:eastAsia="Times New Roman" w:hAnsi="Arial" w:cs="Arial"/>
          <w:sz w:val="24"/>
          <w:szCs w:val="24"/>
          <w:lang w:val="es-CO"/>
        </w:rPr>
        <w:t>el</w:t>
      </w:r>
      <w:r w:rsidR="00FD52C6" w:rsidRPr="00586C0E">
        <w:rPr>
          <w:rFonts w:ascii="Arial" w:eastAsia="Times New Roman" w:hAnsi="Arial" w:cs="Arial"/>
          <w:sz w:val="24"/>
          <w:szCs w:val="24"/>
          <w:lang w:val="es-CO"/>
        </w:rPr>
        <w:t xml:space="preserve"> proceso ejecutivo </w:t>
      </w:r>
      <w:r w:rsidRPr="00586C0E">
        <w:rPr>
          <w:rFonts w:ascii="Arial" w:eastAsia="Times New Roman" w:hAnsi="Arial" w:cs="Arial"/>
          <w:sz w:val="24"/>
          <w:szCs w:val="24"/>
          <w:lang w:val="es-CO"/>
        </w:rPr>
        <w:t xml:space="preserve">y la </w:t>
      </w:r>
      <w:r w:rsidR="00FD52C6" w:rsidRPr="00586C0E">
        <w:rPr>
          <w:rFonts w:ascii="Arial" w:eastAsia="Times New Roman" w:hAnsi="Arial" w:cs="Arial"/>
          <w:sz w:val="24"/>
          <w:szCs w:val="24"/>
          <w:lang w:val="es-CO"/>
        </w:rPr>
        <w:t>jurisdicción ordinaria</w:t>
      </w:r>
      <w:r w:rsidRPr="00586C0E">
        <w:rPr>
          <w:rFonts w:ascii="Arial" w:eastAsia="Times New Roman" w:hAnsi="Arial" w:cs="Arial"/>
          <w:sz w:val="24"/>
          <w:szCs w:val="24"/>
          <w:lang w:val="es-CO"/>
        </w:rPr>
        <w:t xml:space="preserve"> estimó que no era competente porque involucraba </w:t>
      </w:r>
      <w:r w:rsidR="00FD52C6" w:rsidRPr="00586C0E">
        <w:rPr>
          <w:rFonts w:ascii="Arial" w:eastAsia="Times New Roman" w:hAnsi="Arial" w:cs="Arial"/>
          <w:sz w:val="24"/>
          <w:szCs w:val="24"/>
          <w:lang w:val="es-CO"/>
        </w:rPr>
        <w:t>una entidad pública.</w:t>
      </w:r>
    </w:p>
    <w:p w14:paraId="08DC5100" w14:textId="77777777" w:rsidR="003925B9" w:rsidRPr="00586C0E" w:rsidRDefault="003925B9" w:rsidP="00CD03C3">
      <w:pPr>
        <w:pStyle w:val="Prrafodelista"/>
        <w:ind w:left="0"/>
        <w:rPr>
          <w:rFonts w:ascii="Arial" w:eastAsia="Times New Roman" w:hAnsi="Arial" w:cs="Arial"/>
          <w:sz w:val="24"/>
          <w:szCs w:val="24"/>
          <w:lang w:val="es-CO"/>
        </w:rPr>
      </w:pPr>
    </w:p>
    <w:p w14:paraId="071C2859" w14:textId="77777777" w:rsidR="00492AE2" w:rsidRPr="00586C0E" w:rsidRDefault="003925B9" w:rsidP="003925B9">
      <w:pPr>
        <w:pStyle w:val="Prrafodelista"/>
        <w:ind w:left="0"/>
        <w:rPr>
          <w:rFonts w:ascii="Arial" w:eastAsia="Times New Roman" w:hAnsi="Arial" w:cs="Arial"/>
          <w:sz w:val="24"/>
          <w:szCs w:val="24"/>
          <w:lang w:val="es-CO"/>
        </w:rPr>
      </w:pPr>
      <w:r w:rsidRPr="00586C0E">
        <w:rPr>
          <w:rFonts w:ascii="Arial" w:eastAsia="Times New Roman" w:hAnsi="Arial" w:cs="Arial"/>
          <w:sz w:val="24"/>
          <w:szCs w:val="24"/>
          <w:lang w:val="es-CO"/>
        </w:rPr>
        <w:t xml:space="preserve">3.1.1. Que, contra lo expuesto por el tribunal, </w:t>
      </w:r>
      <w:r w:rsidR="00FD52C6" w:rsidRPr="00586C0E">
        <w:rPr>
          <w:rFonts w:ascii="Arial" w:eastAsia="Times New Roman" w:hAnsi="Arial" w:cs="Arial"/>
          <w:sz w:val="24"/>
          <w:szCs w:val="24"/>
          <w:lang w:val="es-CO"/>
        </w:rPr>
        <w:t xml:space="preserve">la </w:t>
      </w:r>
      <w:r w:rsidR="003F5256" w:rsidRPr="00586C0E">
        <w:rPr>
          <w:rFonts w:ascii="Arial" w:eastAsia="Times New Roman" w:hAnsi="Arial" w:cs="Arial"/>
          <w:sz w:val="24"/>
          <w:szCs w:val="24"/>
          <w:lang w:val="es-CO"/>
        </w:rPr>
        <w:t xml:space="preserve">acción </w:t>
      </w:r>
      <w:r w:rsidRPr="00586C0E">
        <w:rPr>
          <w:rFonts w:ascii="Arial" w:eastAsia="Times New Roman" w:hAnsi="Arial" w:cs="Arial"/>
          <w:sz w:val="24"/>
          <w:szCs w:val="24"/>
          <w:lang w:val="es-CO"/>
        </w:rPr>
        <w:t xml:space="preserve">procedente es </w:t>
      </w:r>
      <w:r w:rsidR="003F5256" w:rsidRPr="00586C0E">
        <w:rPr>
          <w:rFonts w:ascii="Arial" w:eastAsia="Times New Roman" w:hAnsi="Arial" w:cs="Arial"/>
          <w:sz w:val="24"/>
          <w:szCs w:val="24"/>
          <w:lang w:val="es-CO"/>
        </w:rPr>
        <w:t xml:space="preserve">la </w:t>
      </w:r>
      <w:proofErr w:type="spellStart"/>
      <w:r w:rsidR="003F5256" w:rsidRPr="00586C0E">
        <w:rPr>
          <w:rFonts w:ascii="Arial" w:eastAsia="Times New Roman" w:hAnsi="Arial" w:cs="Arial"/>
          <w:i/>
          <w:sz w:val="24"/>
          <w:szCs w:val="24"/>
          <w:lang w:val="es-CO"/>
        </w:rPr>
        <w:t>actio</w:t>
      </w:r>
      <w:proofErr w:type="spellEnd"/>
      <w:r w:rsidR="003F5256" w:rsidRPr="00586C0E">
        <w:rPr>
          <w:rFonts w:ascii="Arial" w:eastAsia="Times New Roman" w:hAnsi="Arial" w:cs="Arial"/>
          <w:i/>
          <w:sz w:val="24"/>
          <w:szCs w:val="24"/>
          <w:lang w:val="es-CO"/>
        </w:rPr>
        <w:t xml:space="preserve"> de in rem verso</w:t>
      </w:r>
      <w:r w:rsidR="003F5256" w:rsidRPr="00586C0E">
        <w:rPr>
          <w:rFonts w:ascii="Arial" w:eastAsia="Times New Roman" w:hAnsi="Arial" w:cs="Arial"/>
          <w:sz w:val="24"/>
          <w:szCs w:val="24"/>
          <w:lang w:val="es-CO"/>
        </w:rPr>
        <w:t xml:space="preserve">, </w:t>
      </w:r>
      <w:r w:rsidRPr="00586C0E">
        <w:rPr>
          <w:rFonts w:ascii="Arial" w:eastAsia="Times New Roman" w:hAnsi="Arial" w:cs="Arial"/>
          <w:sz w:val="24"/>
          <w:szCs w:val="24"/>
          <w:lang w:val="es-CO"/>
        </w:rPr>
        <w:t xml:space="preserve">pues se pretende el pago de los materiales entregados a </w:t>
      </w:r>
      <w:proofErr w:type="spellStart"/>
      <w:r w:rsidRPr="00586C0E">
        <w:rPr>
          <w:rFonts w:ascii="Arial" w:eastAsia="Times New Roman" w:hAnsi="Arial" w:cs="Arial"/>
          <w:sz w:val="24"/>
          <w:szCs w:val="24"/>
          <w:lang w:val="es-CO"/>
        </w:rPr>
        <w:t>Invipasto</w:t>
      </w:r>
      <w:proofErr w:type="spellEnd"/>
      <w:r w:rsidRPr="00586C0E">
        <w:rPr>
          <w:rFonts w:ascii="Arial" w:eastAsia="Times New Roman" w:hAnsi="Arial" w:cs="Arial"/>
          <w:sz w:val="24"/>
          <w:szCs w:val="24"/>
          <w:lang w:val="es-CO"/>
        </w:rPr>
        <w:t xml:space="preserve">. </w:t>
      </w:r>
      <w:proofErr w:type="gramStart"/>
      <w:r w:rsidR="00492AE2" w:rsidRPr="00586C0E">
        <w:rPr>
          <w:rFonts w:ascii="Arial" w:eastAsia="Times New Roman" w:hAnsi="Arial" w:cs="Arial"/>
          <w:sz w:val="24"/>
          <w:szCs w:val="24"/>
          <w:lang w:val="es-CO"/>
        </w:rPr>
        <w:t>Que</w:t>
      </w:r>
      <w:proofErr w:type="gramEnd"/>
      <w:r w:rsidR="00492AE2" w:rsidRPr="00586C0E">
        <w:rPr>
          <w:rFonts w:ascii="Arial" w:eastAsia="Times New Roman" w:hAnsi="Arial" w:cs="Arial"/>
          <w:sz w:val="24"/>
          <w:szCs w:val="24"/>
          <w:lang w:val="es-CO"/>
        </w:rPr>
        <w:t xml:space="preserve"> si </w:t>
      </w:r>
      <w:proofErr w:type="spellStart"/>
      <w:r w:rsidR="00492AE2" w:rsidRPr="00586C0E">
        <w:rPr>
          <w:rFonts w:ascii="Arial" w:eastAsia="Times New Roman" w:hAnsi="Arial" w:cs="Arial"/>
          <w:sz w:val="24"/>
          <w:szCs w:val="24"/>
          <w:lang w:val="es-CO"/>
        </w:rPr>
        <w:t>Invipasto</w:t>
      </w:r>
      <w:proofErr w:type="spellEnd"/>
      <w:r w:rsidR="00492AE2" w:rsidRPr="00586C0E">
        <w:rPr>
          <w:rFonts w:ascii="Arial" w:eastAsia="Times New Roman" w:hAnsi="Arial" w:cs="Arial"/>
          <w:sz w:val="24"/>
          <w:szCs w:val="24"/>
          <w:lang w:val="es-CO"/>
        </w:rPr>
        <w:t xml:space="preserve"> obró de manera negligente al no adelantar el proceso de selección conforme con las reglas de la contratación estatal, las consecuencias de esa omisión debe asumirlas </w:t>
      </w:r>
      <w:proofErr w:type="spellStart"/>
      <w:r w:rsidR="00492AE2" w:rsidRPr="00586C0E">
        <w:rPr>
          <w:rFonts w:ascii="Arial" w:eastAsia="Times New Roman" w:hAnsi="Arial" w:cs="Arial"/>
          <w:sz w:val="24"/>
          <w:szCs w:val="24"/>
          <w:lang w:val="es-CO"/>
        </w:rPr>
        <w:t>Invipasto</w:t>
      </w:r>
      <w:proofErr w:type="spellEnd"/>
      <w:r w:rsidR="00492AE2" w:rsidRPr="00586C0E">
        <w:rPr>
          <w:rFonts w:ascii="Arial" w:eastAsia="Times New Roman" w:hAnsi="Arial" w:cs="Arial"/>
          <w:sz w:val="24"/>
          <w:szCs w:val="24"/>
          <w:lang w:val="es-CO"/>
        </w:rPr>
        <w:t xml:space="preserve">, mas no </w:t>
      </w:r>
      <w:proofErr w:type="spellStart"/>
      <w:r w:rsidR="00492AE2" w:rsidRPr="00586C0E">
        <w:rPr>
          <w:rFonts w:ascii="Arial" w:eastAsia="Times New Roman" w:hAnsi="Arial" w:cs="Arial"/>
          <w:sz w:val="24"/>
          <w:szCs w:val="24"/>
          <w:lang w:val="es-CO"/>
        </w:rPr>
        <w:t>Surtieléctricos</w:t>
      </w:r>
      <w:proofErr w:type="spellEnd"/>
      <w:r w:rsidR="00492AE2" w:rsidRPr="00586C0E">
        <w:rPr>
          <w:rFonts w:ascii="Arial" w:eastAsia="Times New Roman" w:hAnsi="Arial" w:cs="Arial"/>
          <w:sz w:val="24"/>
          <w:szCs w:val="24"/>
          <w:lang w:val="es-CO"/>
        </w:rPr>
        <w:t xml:space="preserve"> de Cali Ltda.</w:t>
      </w:r>
      <w:r w:rsidR="002C6376" w:rsidRPr="00586C0E">
        <w:rPr>
          <w:rFonts w:ascii="Arial" w:eastAsia="Times New Roman" w:hAnsi="Arial" w:cs="Arial"/>
          <w:sz w:val="24"/>
          <w:szCs w:val="24"/>
          <w:lang w:val="es-CO"/>
        </w:rPr>
        <w:t xml:space="preserve">, que suministró los materiales de buena fe. </w:t>
      </w:r>
      <w:r w:rsidR="00492AE2" w:rsidRPr="00586C0E">
        <w:rPr>
          <w:rFonts w:ascii="Arial" w:eastAsia="Times New Roman" w:hAnsi="Arial" w:cs="Arial"/>
          <w:sz w:val="24"/>
          <w:szCs w:val="24"/>
          <w:lang w:val="es-CO"/>
        </w:rPr>
        <w:t xml:space="preserve"> </w:t>
      </w:r>
    </w:p>
    <w:p w14:paraId="5E448C69" w14:textId="77777777" w:rsidR="00F31354" w:rsidRPr="00586C0E" w:rsidRDefault="00492AE2" w:rsidP="00CD03C3">
      <w:pPr>
        <w:pStyle w:val="Prrafodelista"/>
        <w:ind w:left="0"/>
        <w:rPr>
          <w:rFonts w:ascii="Arial" w:eastAsia="Times New Roman" w:hAnsi="Arial" w:cs="Arial"/>
          <w:sz w:val="24"/>
          <w:szCs w:val="24"/>
          <w:lang w:val="es-CO"/>
        </w:rPr>
      </w:pPr>
      <w:r w:rsidRPr="00586C0E">
        <w:rPr>
          <w:rFonts w:ascii="Arial" w:eastAsia="Times New Roman" w:hAnsi="Arial" w:cs="Arial"/>
          <w:sz w:val="24"/>
          <w:szCs w:val="24"/>
          <w:lang w:val="es-CO"/>
        </w:rPr>
        <w:t xml:space="preserve"> </w:t>
      </w:r>
    </w:p>
    <w:p w14:paraId="06CB8D30" w14:textId="77777777" w:rsidR="00C001BB" w:rsidRPr="00586C0E" w:rsidRDefault="003925B9" w:rsidP="00CD03C3">
      <w:pPr>
        <w:pStyle w:val="Prrafodelista"/>
        <w:ind w:left="0"/>
        <w:rPr>
          <w:rFonts w:ascii="Arial" w:eastAsia="Times New Roman" w:hAnsi="Arial" w:cs="Arial"/>
          <w:sz w:val="24"/>
          <w:szCs w:val="24"/>
          <w:lang w:val="es-CO"/>
        </w:rPr>
      </w:pPr>
      <w:r w:rsidRPr="00586C0E">
        <w:rPr>
          <w:rFonts w:ascii="Arial" w:eastAsia="Times New Roman" w:hAnsi="Arial" w:cs="Arial"/>
          <w:sz w:val="24"/>
          <w:szCs w:val="24"/>
          <w:lang w:val="es-CO"/>
        </w:rPr>
        <w:t xml:space="preserve">3.2. </w:t>
      </w:r>
      <w:r w:rsidRPr="00586C0E">
        <w:rPr>
          <w:rFonts w:ascii="Arial" w:eastAsia="Times New Roman" w:hAnsi="Arial" w:cs="Arial"/>
          <w:b/>
          <w:sz w:val="24"/>
          <w:szCs w:val="24"/>
          <w:lang w:val="es-CO"/>
        </w:rPr>
        <w:t xml:space="preserve">Defecto fáctico, por indebida valoración probatoria. </w:t>
      </w:r>
      <w:r w:rsidRPr="00586C0E">
        <w:rPr>
          <w:rFonts w:ascii="Arial" w:eastAsia="Times New Roman" w:hAnsi="Arial" w:cs="Arial"/>
          <w:sz w:val="24"/>
          <w:szCs w:val="24"/>
          <w:lang w:val="es-CO"/>
        </w:rPr>
        <w:t xml:space="preserve">Según la parte actora, la autoridad judicial demandada valoró indebidamente las pruebas </w:t>
      </w:r>
      <w:proofErr w:type="gramStart"/>
      <w:r w:rsidRPr="00586C0E">
        <w:rPr>
          <w:rFonts w:ascii="Arial" w:eastAsia="Times New Roman" w:hAnsi="Arial" w:cs="Arial"/>
          <w:sz w:val="24"/>
          <w:szCs w:val="24"/>
          <w:lang w:val="es-CO"/>
        </w:rPr>
        <w:t>del procesos</w:t>
      </w:r>
      <w:proofErr w:type="gramEnd"/>
      <w:r w:rsidRPr="00586C0E">
        <w:rPr>
          <w:rFonts w:ascii="Arial" w:eastAsia="Times New Roman" w:hAnsi="Arial" w:cs="Arial"/>
          <w:sz w:val="24"/>
          <w:szCs w:val="24"/>
          <w:lang w:val="es-CO"/>
        </w:rPr>
        <w:t xml:space="preserve">, pues, a pesar de que se probó el suministro de mercancías, el enriquecimiento de </w:t>
      </w:r>
      <w:proofErr w:type="spellStart"/>
      <w:r w:rsidR="00637FD8" w:rsidRPr="00586C0E">
        <w:rPr>
          <w:rFonts w:ascii="Arial" w:eastAsia="Times New Roman" w:hAnsi="Arial" w:cs="Arial"/>
          <w:sz w:val="24"/>
          <w:szCs w:val="24"/>
          <w:lang w:val="es-CO"/>
        </w:rPr>
        <w:t>I</w:t>
      </w:r>
      <w:r w:rsidRPr="00586C0E">
        <w:rPr>
          <w:rFonts w:ascii="Arial" w:eastAsia="Times New Roman" w:hAnsi="Arial" w:cs="Arial"/>
          <w:sz w:val="24"/>
          <w:szCs w:val="24"/>
          <w:lang w:val="es-CO"/>
        </w:rPr>
        <w:t>nvipasto</w:t>
      </w:r>
      <w:proofErr w:type="spellEnd"/>
      <w:r w:rsidRPr="00586C0E">
        <w:rPr>
          <w:rFonts w:ascii="Arial" w:eastAsia="Times New Roman" w:hAnsi="Arial" w:cs="Arial"/>
          <w:sz w:val="24"/>
          <w:szCs w:val="24"/>
          <w:lang w:val="es-CO"/>
        </w:rPr>
        <w:t xml:space="preserve"> y el empobrecimiento correlativo de </w:t>
      </w:r>
      <w:proofErr w:type="spellStart"/>
      <w:r w:rsidRPr="00586C0E">
        <w:rPr>
          <w:rFonts w:ascii="Arial" w:eastAsia="Times New Roman" w:hAnsi="Arial" w:cs="Arial"/>
          <w:sz w:val="24"/>
          <w:szCs w:val="24"/>
          <w:lang w:val="es-CO"/>
        </w:rPr>
        <w:t>Surtieléctricos</w:t>
      </w:r>
      <w:proofErr w:type="spellEnd"/>
      <w:r w:rsidRPr="00586C0E">
        <w:rPr>
          <w:rFonts w:ascii="Arial" w:eastAsia="Times New Roman" w:hAnsi="Arial" w:cs="Arial"/>
          <w:sz w:val="24"/>
          <w:szCs w:val="24"/>
          <w:lang w:val="es-CO"/>
        </w:rPr>
        <w:t xml:space="preserve"> Cali Ltda., concluyó que la </w:t>
      </w:r>
      <w:proofErr w:type="spellStart"/>
      <w:r w:rsidRPr="00586C0E">
        <w:rPr>
          <w:rFonts w:ascii="Arial" w:eastAsia="Times New Roman" w:hAnsi="Arial" w:cs="Arial"/>
          <w:i/>
          <w:sz w:val="24"/>
          <w:szCs w:val="24"/>
          <w:lang w:val="es-CO"/>
        </w:rPr>
        <w:t>actio</w:t>
      </w:r>
      <w:proofErr w:type="spellEnd"/>
      <w:r w:rsidRPr="00586C0E">
        <w:rPr>
          <w:rFonts w:ascii="Arial" w:eastAsia="Times New Roman" w:hAnsi="Arial" w:cs="Arial"/>
          <w:i/>
          <w:sz w:val="24"/>
          <w:szCs w:val="24"/>
          <w:lang w:val="es-CO"/>
        </w:rPr>
        <w:t xml:space="preserve"> de in rem verso </w:t>
      </w:r>
      <w:r w:rsidRPr="00586C0E">
        <w:rPr>
          <w:rFonts w:ascii="Arial" w:eastAsia="Times New Roman" w:hAnsi="Arial" w:cs="Arial"/>
          <w:sz w:val="24"/>
          <w:szCs w:val="24"/>
          <w:lang w:val="es-CO"/>
        </w:rPr>
        <w:t xml:space="preserve">no era procedente. </w:t>
      </w:r>
    </w:p>
    <w:p w14:paraId="49F41346" w14:textId="77777777" w:rsidR="00C001BB" w:rsidRPr="00586C0E" w:rsidRDefault="00C001BB" w:rsidP="00CD03C3">
      <w:pPr>
        <w:pStyle w:val="Prrafodelista"/>
        <w:ind w:left="0"/>
        <w:rPr>
          <w:rFonts w:ascii="Arial" w:eastAsia="Times New Roman" w:hAnsi="Arial" w:cs="Arial"/>
          <w:sz w:val="24"/>
          <w:szCs w:val="24"/>
          <w:lang w:val="es-CO"/>
        </w:rPr>
      </w:pPr>
    </w:p>
    <w:p w14:paraId="33943E0C" w14:textId="77777777" w:rsidR="00F31354" w:rsidRPr="00586C0E" w:rsidRDefault="00F31354" w:rsidP="00CD03C3">
      <w:pPr>
        <w:numPr>
          <w:ilvl w:val="0"/>
          <w:numId w:val="3"/>
        </w:numPr>
        <w:rPr>
          <w:rFonts w:ascii="Arial" w:eastAsia="Verdana" w:hAnsi="Arial" w:cs="Arial"/>
          <w:sz w:val="24"/>
          <w:szCs w:val="24"/>
        </w:rPr>
      </w:pPr>
      <w:r w:rsidRPr="00586C0E">
        <w:rPr>
          <w:rFonts w:ascii="Arial" w:eastAsia="Times New Roman" w:hAnsi="Arial" w:cs="Arial"/>
          <w:b/>
          <w:sz w:val="24"/>
          <w:szCs w:val="24"/>
          <w:lang w:val="es-CO"/>
        </w:rPr>
        <w:t>Intervención de la autoridad judicial demandada</w:t>
      </w:r>
    </w:p>
    <w:p w14:paraId="591D0F20" w14:textId="77777777" w:rsidR="00F31354" w:rsidRPr="00586C0E" w:rsidRDefault="00F31354" w:rsidP="00CD03C3">
      <w:pPr>
        <w:tabs>
          <w:tab w:val="left" w:pos="8789"/>
        </w:tabs>
        <w:rPr>
          <w:rFonts w:ascii="Arial" w:hAnsi="Arial" w:cs="Arial"/>
          <w:sz w:val="24"/>
          <w:szCs w:val="24"/>
        </w:rPr>
      </w:pPr>
    </w:p>
    <w:p w14:paraId="4ADA2461" w14:textId="77777777" w:rsidR="00603820" w:rsidRPr="00586C0E" w:rsidRDefault="00C54E29" w:rsidP="00CD03C3">
      <w:pPr>
        <w:rPr>
          <w:rFonts w:ascii="Arial" w:hAnsi="Arial" w:cs="Arial"/>
          <w:color w:val="000000"/>
          <w:sz w:val="24"/>
          <w:szCs w:val="24"/>
          <w:lang w:val="es-ES_tradnl"/>
        </w:rPr>
      </w:pPr>
      <w:r w:rsidRPr="00586C0E">
        <w:rPr>
          <w:rFonts w:ascii="Arial" w:hAnsi="Arial" w:cs="Arial"/>
          <w:color w:val="000000"/>
          <w:sz w:val="24"/>
          <w:szCs w:val="24"/>
          <w:lang w:val="es-ES_tradnl"/>
        </w:rPr>
        <w:t xml:space="preserve">4.1. </w:t>
      </w:r>
      <w:r w:rsidR="00F31354" w:rsidRPr="00586C0E">
        <w:rPr>
          <w:rFonts w:ascii="Arial" w:hAnsi="Arial" w:cs="Arial"/>
          <w:color w:val="000000"/>
          <w:sz w:val="24"/>
          <w:szCs w:val="24"/>
          <w:lang w:val="es-ES_tradnl"/>
        </w:rPr>
        <w:t xml:space="preserve">El </w:t>
      </w:r>
      <w:r w:rsidR="00F31354" w:rsidRPr="00586C0E">
        <w:rPr>
          <w:rFonts w:ascii="Arial" w:hAnsi="Arial" w:cs="Arial"/>
          <w:b/>
          <w:color w:val="000000"/>
          <w:sz w:val="24"/>
          <w:szCs w:val="24"/>
          <w:lang w:val="es-ES_tradnl"/>
        </w:rPr>
        <w:t>Tribunal Administrativo de Nariño</w:t>
      </w:r>
      <w:r w:rsidR="00F31354" w:rsidRPr="00586C0E">
        <w:rPr>
          <w:rFonts w:ascii="Arial" w:hAnsi="Arial" w:cs="Arial"/>
          <w:color w:val="000000"/>
          <w:sz w:val="24"/>
          <w:szCs w:val="24"/>
          <w:lang w:val="es-ES_tradnl"/>
        </w:rPr>
        <w:t xml:space="preserve">, por conducto de la magistrada ponente de la decisión acusada, </w:t>
      </w:r>
      <w:r w:rsidR="00603820" w:rsidRPr="00586C0E">
        <w:rPr>
          <w:rFonts w:ascii="Arial" w:hAnsi="Arial" w:cs="Arial"/>
          <w:color w:val="000000"/>
          <w:sz w:val="24"/>
          <w:szCs w:val="24"/>
          <w:lang w:val="es-ES_tradnl"/>
        </w:rPr>
        <w:t>solicitó que se denegara</w:t>
      </w:r>
      <w:r w:rsidR="003925B9" w:rsidRPr="00586C0E">
        <w:rPr>
          <w:rFonts w:ascii="Arial" w:hAnsi="Arial" w:cs="Arial"/>
          <w:color w:val="000000"/>
          <w:sz w:val="24"/>
          <w:szCs w:val="24"/>
          <w:lang w:val="es-ES_tradnl"/>
        </w:rPr>
        <w:t xml:space="preserve">n las pretensiones de </w:t>
      </w:r>
      <w:proofErr w:type="spellStart"/>
      <w:r w:rsidR="003925B9" w:rsidRPr="00586C0E">
        <w:rPr>
          <w:rFonts w:ascii="Arial" w:eastAsia="Times New Roman" w:hAnsi="Arial" w:cs="Arial"/>
          <w:sz w:val="24"/>
          <w:szCs w:val="24"/>
          <w:lang w:val="es-CO"/>
        </w:rPr>
        <w:t>Surtieléctricos</w:t>
      </w:r>
      <w:proofErr w:type="spellEnd"/>
      <w:r w:rsidR="003925B9" w:rsidRPr="00586C0E">
        <w:rPr>
          <w:rFonts w:ascii="Arial" w:eastAsia="Times New Roman" w:hAnsi="Arial" w:cs="Arial"/>
          <w:sz w:val="24"/>
          <w:szCs w:val="24"/>
          <w:lang w:val="es-CO"/>
        </w:rPr>
        <w:t xml:space="preserve"> Cali Ltda. Explicó que </w:t>
      </w:r>
      <w:r w:rsidR="00603820" w:rsidRPr="00586C0E">
        <w:rPr>
          <w:rFonts w:ascii="Arial" w:hAnsi="Arial" w:cs="Arial"/>
          <w:color w:val="000000"/>
          <w:sz w:val="24"/>
          <w:szCs w:val="24"/>
          <w:lang w:val="es-ES_tradnl"/>
        </w:rPr>
        <w:t xml:space="preserve">en el proceso </w:t>
      </w:r>
      <w:r w:rsidR="003925B9" w:rsidRPr="00586C0E">
        <w:rPr>
          <w:rFonts w:ascii="Arial" w:hAnsi="Arial" w:cs="Arial"/>
          <w:color w:val="000000"/>
          <w:sz w:val="24"/>
          <w:szCs w:val="24"/>
          <w:lang w:val="es-ES_tradnl"/>
        </w:rPr>
        <w:t xml:space="preserve">ordinario </w:t>
      </w:r>
      <w:r w:rsidR="00603820" w:rsidRPr="00586C0E">
        <w:rPr>
          <w:rFonts w:ascii="Arial" w:hAnsi="Arial" w:cs="Arial"/>
          <w:color w:val="000000"/>
          <w:sz w:val="24"/>
          <w:szCs w:val="24"/>
          <w:lang w:val="es-ES_tradnl"/>
        </w:rPr>
        <w:t xml:space="preserve">se probó que </w:t>
      </w:r>
      <w:r w:rsidR="00616F96" w:rsidRPr="00586C0E">
        <w:rPr>
          <w:rFonts w:ascii="Arial" w:hAnsi="Arial" w:cs="Arial"/>
          <w:color w:val="000000"/>
          <w:sz w:val="24"/>
          <w:szCs w:val="24"/>
          <w:lang w:val="es-ES_tradnl"/>
        </w:rPr>
        <w:t>el objeto de</w:t>
      </w:r>
      <w:r w:rsidR="003925B9" w:rsidRPr="00586C0E">
        <w:rPr>
          <w:rFonts w:ascii="Arial" w:hAnsi="Arial" w:cs="Arial"/>
          <w:color w:val="000000"/>
          <w:sz w:val="24"/>
          <w:szCs w:val="24"/>
          <w:lang w:val="es-ES_tradnl"/>
        </w:rPr>
        <w:t xml:space="preserve"> la demanda era hacer efectivo </w:t>
      </w:r>
      <w:r w:rsidR="00616F96" w:rsidRPr="00586C0E">
        <w:rPr>
          <w:rFonts w:ascii="Arial" w:hAnsi="Arial" w:cs="Arial"/>
          <w:color w:val="000000"/>
          <w:sz w:val="24"/>
          <w:szCs w:val="24"/>
          <w:lang w:val="es-ES_tradnl"/>
        </w:rPr>
        <w:t xml:space="preserve">el pago de las sumas de dinero reconocidas en </w:t>
      </w:r>
      <w:r w:rsidR="00603820" w:rsidRPr="00586C0E">
        <w:rPr>
          <w:rFonts w:ascii="Arial" w:hAnsi="Arial" w:cs="Arial"/>
          <w:color w:val="000000"/>
          <w:sz w:val="24"/>
          <w:szCs w:val="24"/>
          <w:lang w:val="es-ES_tradnl"/>
        </w:rPr>
        <w:t xml:space="preserve">facturas </w:t>
      </w:r>
      <w:r w:rsidR="00616F96" w:rsidRPr="00586C0E">
        <w:rPr>
          <w:rFonts w:ascii="Arial" w:hAnsi="Arial" w:cs="Arial"/>
          <w:color w:val="000000"/>
          <w:sz w:val="24"/>
          <w:szCs w:val="24"/>
          <w:lang w:val="es-ES_tradnl"/>
        </w:rPr>
        <w:t>e</w:t>
      </w:r>
      <w:r w:rsidR="003925B9" w:rsidRPr="00586C0E">
        <w:rPr>
          <w:rFonts w:ascii="Arial" w:hAnsi="Arial" w:cs="Arial"/>
          <w:color w:val="000000"/>
          <w:sz w:val="24"/>
          <w:szCs w:val="24"/>
          <w:lang w:val="es-ES_tradnl"/>
        </w:rPr>
        <w:t xml:space="preserve">xpedidas por </w:t>
      </w:r>
      <w:proofErr w:type="spellStart"/>
      <w:r w:rsidR="003925B9" w:rsidRPr="00586C0E">
        <w:rPr>
          <w:rFonts w:ascii="Arial" w:hAnsi="Arial" w:cs="Arial"/>
          <w:color w:val="000000"/>
          <w:sz w:val="24"/>
          <w:szCs w:val="24"/>
          <w:lang w:val="es-ES_tradnl"/>
        </w:rPr>
        <w:t>Surtieléctricos</w:t>
      </w:r>
      <w:proofErr w:type="spellEnd"/>
      <w:r w:rsidR="003925B9" w:rsidRPr="00586C0E">
        <w:rPr>
          <w:rFonts w:ascii="Arial" w:hAnsi="Arial" w:cs="Arial"/>
          <w:color w:val="000000"/>
          <w:sz w:val="24"/>
          <w:szCs w:val="24"/>
          <w:lang w:val="es-ES_tradnl"/>
        </w:rPr>
        <w:t xml:space="preserve"> </w:t>
      </w:r>
      <w:r w:rsidR="00616F96" w:rsidRPr="00586C0E">
        <w:rPr>
          <w:rFonts w:ascii="Arial" w:hAnsi="Arial" w:cs="Arial"/>
          <w:color w:val="000000"/>
          <w:sz w:val="24"/>
          <w:szCs w:val="24"/>
          <w:lang w:val="es-ES_tradnl"/>
        </w:rPr>
        <w:t>Cali</w:t>
      </w:r>
      <w:r w:rsidR="003925B9" w:rsidRPr="00586C0E">
        <w:rPr>
          <w:rFonts w:ascii="Arial" w:hAnsi="Arial" w:cs="Arial"/>
          <w:color w:val="000000"/>
          <w:sz w:val="24"/>
          <w:szCs w:val="24"/>
          <w:lang w:val="es-ES_tradnl"/>
        </w:rPr>
        <w:t xml:space="preserve"> Ltda.</w:t>
      </w:r>
      <w:r w:rsidR="00616F96" w:rsidRPr="00586C0E">
        <w:rPr>
          <w:rFonts w:ascii="Arial" w:hAnsi="Arial" w:cs="Arial"/>
          <w:color w:val="000000"/>
          <w:sz w:val="24"/>
          <w:szCs w:val="24"/>
          <w:lang w:val="es-ES_tradnl"/>
        </w:rPr>
        <w:t xml:space="preserve">, facturas que </w:t>
      </w:r>
      <w:r w:rsidR="003925B9" w:rsidRPr="00586C0E">
        <w:rPr>
          <w:rFonts w:ascii="Arial" w:hAnsi="Arial" w:cs="Arial"/>
          <w:color w:val="000000"/>
          <w:sz w:val="24"/>
          <w:szCs w:val="24"/>
          <w:lang w:val="es-ES_tradnl"/>
        </w:rPr>
        <w:t>conforman</w:t>
      </w:r>
      <w:r w:rsidR="00603820" w:rsidRPr="00586C0E">
        <w:rPr>
          <w:rFonts w:ascii="Arial" w:hAnsi="Arial" w:cs="Arial"/>
          <w:color w:val="000000"/>
          <w:sz w:val="24"/>
          <w:szCs w:val="24"/>
          <w:lang w:val="es-ES_tradnl"/>
        </w:rPr>
        <w:t xml:space="preserve"> un título valor</w:t>
      </w:r>
      <w:r w:rsidR="00616F96" w:rsidRPr="00586C0E">
        <w:rPr>
          <w:rFonts w:ascii="Arial" w:hAnsi="Arial" w:cs="Arial"/>
          <w:color w:val="000000"/>
          <w:sz w:val="24"/>
          <w:szCs w:val="24"/>
          <w:lang w:val="es-ES_tradnl"/>
        </w:rPr>
        <w:t xml:space="preserve"> y, por lo tanto, debía adelantarse un proceso ejecutivo ante la jurisdicción ordinaria. </w:t>
      </w:r>
    </w:p>
    <w:p w14:paraId="2DB26A57" w14:textId="77777777" w:rsidR="00616F96" w:rsidRPr="00586C0E" w:rsidRDefault="00616F96" w:rsidP="00CD03C3">
      <w:pPr>
        <w:rPr>
          <w:rFonts w:ascii="Arial" w:hAnsi="Arial" w:cs="Arial"/>
          <w:color w:val="000000"/>
          <w:sz w:val="24"/>
          <w:szCs w:val="24"/>
          <w:lang w:val="es-ES_tradnl"/>
        </w:rPr>
      </w:pPr>
    </w:p>
    <w:p w14:paraId="30A661ED" w14:textId="77777777" w:rsidR="00616F96" w:rsidRPr="00586C0E" w:rsidRDefault="00616F96" w:rsidP="00CD03C3">
      <w:pPr>
        <w:rPr>
          <w:rFonts w:ascii="Arial" w:hAnsi="Arial" w:cs="Arial"/>
          <w:color w:val="000000"/>
          <w:sz w:val="24"/>
          <w:szCs w:val="24"/>
          <w:lang w:val="es-ES_tradnl"/>
        </w:rPr>
      </w:pPr>
      <w:r w:rsidRPr="00586C0E">
        <w:rPr>
          <w:rFonts w:ascii="Arial" w:hAnsi="Arial" w:cs="Arial"/>
          <w:color w:val="000000"/>
          <w:sz w:val="24"/>
          <w:szCs w:val="24"/>
          <w:lang w:val="es-ES_tradnl"/>
        </w:rPr>
        <w:t xml:space="preserve">4.2. Que, en todo caso, la </w:t>
      </w:r>
      <w:proofErr w:type="spellStart"/>
      <w:r w:rsidRPr="00586C0E">
        <w:rPr>
          <w:rFonts w:ascii="Arial" w:hAnsi="Arial" w:cs="Arial"/>
          <w:i/>
          <w:color w:val="000000"/>
          <w:sz w:val="24"/>
          <w:szCs w:val="24"/>
          <w:lang w:val="es-ES_tradnl"/>
        </w:rPr>
        <w:t>actio</w:t>
      </w:r>
      <w:proofErr w:type="spellEnd"/>
      <w:r w:rsidRPr="00586C0E">
        <w:rPr>
          <w:rFonts w:ascii="Arial" w:hAnsi="Arial" w:cs="Arial"/>
          <w:i/>
          <w:color w:val="000000"/>
          <w:sz w:val="24"/>
          <w:szCs w:val="24"/>
          <w:lang w:val="es-ES_tradnl"/>
        </w:rPr>
        <w:t xml:space="preserve"> de in rem verso </w:t>
      </w:r>
      <w:r w:rsidRPr="00586C0E">
        <w:rPr>
          <w:rFonts w:ascii="Arial" w:hAnsi="Arial" w:cs="Arial"/>
          <w:color w:val="000000"/>
          <w:sz w:val="24"/>
          <w:szCs w:val="24"/>
          <w:lang w:val="es-ES_tradnl"/>
        </w:rPr>
        <w:t>tampoco prosper</w:t>
      </w:r>
      <w:r w:rsidR="003925B9" w:rsidRPr="00586C0E">
        <w:rPr>
          <w:rFonts w:ascii="Arial" w:hAnsi="Arial" w:cs="Arial"/>
          <w:color w:val="000000"/>
          <w:sz w:val="24"/>
          <w:szCs w:val="24"/>
          <w:lang w:val="es-ES_tradnl"/>
        </w:rPr>
        <w:t>ó</w:t>
      </w:r>
      <w:r w:rsidRPr="00586C0E">
        <w:rPr>
          <w:rFonts w:ascii="Arial" w:hAnsi="Arial" w:cs="Arial"/>
          <w:color w:val="000000"/>
          <w:sz w:val="24"/>
          <w:szCs w:val="24"/>
          <w:lang w:val="es-ES_tradnl"/>
        </w:rPr>
        <w:t>, por cuanto la sociedad demandante no demostró que efectivamente suministró ma</w:t>
      </w:r>
      <w:r w:rsidR="003925B9" w:rsidRPr="00586C0E">
        <w:rPr>
          <w:rFonts w:ascii="Arial" w:hAnsi="Arial" w:cs="Arial"/>
          <w:color w:val="000000"/>
          <w:sz w:val="24"/>
          <w:szCs w:val="24"/>
          <w:lang w:val="es-ES_tradnl"/>
        </w:rPr>
        <w:t xml:space="preserve">teriales </w:t>
      </w:r>
      <w:r w:rsidR="003925B9" w:rsidRPr="00586C0E">
        <w:rPr>
          <w:rFonts w:ascii="Arial" w:hAnsi="Arial" w:cs="Arial"/>
          <w:color w:val="000000"/>
          <w:sz w:val="24"/>
          <w:szCs w:val="24"/>
          <w:lang w:val="es-ES_tradnl"/>
        </w:rPr>
        <w:lastRenderedPageBreak/>
        <w:t xml:space="preserve">eléctricos a </w:t>
      </w:r>
      <w:proofErr w:type="spellStart"/>
      <w:r w:rsidR="003925B9" w:rsidRPr="00586C0E">
        <w:rPr>
          <w:rFonts w:ascii="Arial" w:hAnsi="Arial" w:cs="Arial"/>
          <w:color w:val="000000"/>
          <w:sz w:val="24"/>
          <w:szCs w:val="24"/>
          <w:lang w:val="es-ES_tradnl"/>
        </w:rPr>
        <w:t>Invipasto</w:t>
      </w:r>
      <w:proofErr w:type="spellEnd"/>
      <w:r w:rsidR="003925B9" w:rsidRPr="00586C0E">
        <w:rPr>
          <w:rFonts w:ascii="Arial" w:hAnsi="Arial" w:cs="Arial"/>
          <w:color w:val="000000"/>
          <w:sz w:val="24"/>
          <w:szCs w:val="24"/>
          <w:lang w:val="es-ES_tradnl"/>
        </w:rPr>
        <w:t xml:space="preserve"> y, en consecuencia, no estaba probado el enriquecimiento alegado. </w:t>
      </w:r>
      <w:r w:rsidRPr="00586C0E">
        <w:rPr>
          <w:rFonts w:ascii="Arial" w:hAnsi="Arial" w:cs="Arial"/>
          <w:color w:val="000000"/>
          <w:sz w:val="24"/>
          <w:szCs w:val="24"/>
          <w:lang w:val="es-ES_tradnl"/>
        </w:rPr>
        <w:t xml:space="preserve"> </w:t>
      </w:r>
    </w:p>
    <w:p w14:paraId="7A077E29" w14:textId="77777777" w:rsidR="00C54E29" w:rsidRPr="00586C0E" w:rsidRDefault="00C54E29" w:rsidP="00CD03C3">
      <w:pPr>
        <w:rPr>
          <w:rFonts w:ascii="Arial" w:hAnsi="Arial" w:cs="Arial"/>
          <w:color w:val="000000"/>
          <w:sz w:val="24"/>
          <w:szCs w:val="24"/>
          <w:lang w:val="es-ES_tradnl"/>
        </w:rPr>
      </w:pPr>
    </w:p>
    <w:p w14:paraId="0C7FEC86" w14:textId="77777777" w:rsidR="00F31354" w:rsidRPr="00586C0E" w:rsidRDefault="00F31354" w:rsidP="00CD03C3">
      <w:pPr>
        <w:numPr>
          <w:ilvl w:val="0"/>
          <w:numId w:val="3"/>
        </w:numPr>
        <w:rPr>
          <w:rFonts w:ascii="Arial" w:hAnsi="Arial" w:cs="Arial"/>
          <w:b/>
          <w:color w:val="000000"/>
          <w:sz w:val="24"/>
          <w:szCs w:val="24"/>
          <w:lang w:val="es-ES_tradnl"/>
        </w:rPr>
      </w:pPr>
      <w:r w:rsidRPr="00586C0E">
        <w:rPr>
          <w:rFonts w:ascii="Arial" w:hAnsi="Arial" w:cs="Arial"/>
          <w:color w:val="000000"/>
          <w:sz w:val="24"/>
          <w:szCs w:val="24"/>
          <w:lang w:val="es-ES_tradnl"/>
        </w:rPr>
        <w:t xml:space="preserve"> </w:t>
      </w:r>
      <w:r w:rsidRPr="00586C0E">
        <w:rPr>
          <w:rFonts w:ascii="Arial" w:hAnsi="Arial" w:cs="Arial"/>
          <w:b/>
          <w:color w:val="000000"/>
          <w:sz w:val="24"/>
          <w:szCs w:val="24"/>
          <w:lang w:val="es-ES_tradnl"/>
        </w:rPr>
        <w:t xml:space="preserve">Intervención de terceros </w:t>
      </w:r>
    </w:p>
    <w:p w14:paraId="22A18D73" w14:textId="77777777" w:rsidR="00F31354" w:rsidRPr="00586C0E" w:rsidRDefault="00F31354" w:rsidP="00CD03C3">
      <w:pPr>
        <w:rPr>
          <w:rFonts w:ascii="Arial" w:hAnsi="Arial" w:cs="Arial"/>
          <w:sz w:val="24"/>
          <w:szCs w:val="24"/>
          <w:lang w:val="es-CO"/>
        </w:rPr>
      </w:pPr>
    </w:p>
    <w:p w14:paraId="2ABC342B" w14:textId="77777777" w:rsidR="0010200F" w:rsidRPr="00586C0E" w:rsidRDefault="00F31354" w:rsidP="00CD03C3">
      <w:pPr>
        <w:rPr>
          <w:rFonts w:ascii="Arial" w:eastAsia="Verdana" w:hAnsi="Arial" w:cs="Arial"/>
          <w:sz w:val="24"/>
          <w:szCs w:val="24"/>
        </w:rPr>
      </w:pPr>
      <w:r w:rsidRPr="00586C0E">
        <w:rPr>
          <w:rFonts w:ascii="Arial" w:eastAsia="Verdana" w:hAnsi="Arial" w:cs="Arial"/>
          <w:sz w:val="24"/>
          <w:szCs w:val="24"/>
        </w:rPr>
        <w:t xml:space="preserve">5.1. </w:t>
      </w:r>
      <w:r w:rsidR="00616F96" w:rsidRPr="00586C0E">
        <w:rPr>
          <w:rFonts w:ascii="Arial" w:eastAsia="Verdana" w:hAnsi="Arial" w:cs="Arial"/>
          <w:sz w:val="24"/>
          <w:szCs w:val="24"/>
        </w:rPr>
        <w:t xml:space="preserve">La directora ejecutiva de </w:t>
      </w:r>
      <w:proofErr w:type="spellStart"/>
      <w:r w:rsidR="00616F96" w:rsidRPr="00586C0E">
        <w:rPr>
          <w:rFonts w:ascii="Arial" w:eastAsia="Verdana" w:hAnsi="Arial" w:cs="Arial"/>
          <w:sz w:val="24"/>
          <w:szCs w:val="24"/>
        </w:rPr>
        <w:t>Invipasto</w:t>
      </w:r>
      <w:proofErr w:type="spellEnd"/>
      <w:r w:rsidR="00616F96" w:rsidRPr="00586C0E">
        <w:rPr>
          <w:rFonts w:ascii="Arial" w:eastAsia="Verdana" w:hAnsi="Arial" w:cs="Arial"/>
          <w:sz w:val="24"/>
          <w:szCs w:val="24"/>
        </w:rPr>
        <w:t xml:space="preserve"> </w:t>
      </w:r>
      <w:r w:rsidR="0010200F" w:rsidRPr="00586C0E">
        <w:rPr>
          <w:rFonts w:ascii="Arial" w:eastAsia="Verdana" w:hAnsi="Arial" w:cs="Arial"/>
          <w:sz w:val="24"/>
          <w:szCs w:val="24"/>
        </w:rPr>
        <w:t xml:space="preserve">pidió </w:t>
      </w:r>
      <w:r w:rsidRPr="00586C0E">
        <w:rPr>
          <w:rFonts w:ascii="Arial" w:eastAsia="Verdana" w:hAnsi="Arial" w:cs="Arial"/>
          <w:sz w:val="24"/>
          <w:szCs w:val="24"/>
        </w:rPr>
        <w:t xml:space="preserve">que se declarara improcedente el amparo solicitado por </w:t>
      </w:r>
      <w:r w:rsidR="0010200F" w:rsidRPr="00586C0E">
        <w:rPr>
          <w:rFonts w:ascii="Arial" w:eastAsia="Verdana" w:hAnsi="Arial" w:cs="Arial"/>
          <w:sz w:val="24"/>
          <w:szCs w:val="24"/>
        </w:rPr>
        <w:t xml:space="preserve">la parte actora, pues la sentencia acusada explicó las razones por las que no había lugar a declarar el enriquecimiento sin causa. Para demostrar tal afirmación, transcribió las consideraciones del fallo cuestionado. </w:t>
      </w:r>
    </w:p>
    <w:p w14:paraId="112A22BA" w14:textId="77777777" w:rsidR="0010200F" w:rsidRPr="00586C0E" w:rsidRDefault="0010200F" w:rsidP="00CD03C3">
      <w:pPr>
        <w:rPr>
          <w:rFonts w:ascii="Arial" w:eastAsia="Verdana" w:hAnsi="Arial" w:cs="Arial"/>
          <w:sz w:val="24"/>
          <w:szCs w:val="24"/>
        </w:rPr>
      </w:pPr>
    </w:p>
    <w:p w14:paraId="1882E987" w14:textId="77777777" w:rsidR="0010200F" w:rsidRPr="00586C0E" w:rsidRDefault="0010200F" w:rsidP="00CD03C3">
      <w:pPr>
        <w:rPr>
          <w:rFonts w:ascii="Arial" w:eastAsia="Verdana" w:hAnsi="Arial" w:cs="Arial"/>
          <w:sz w:val="24"/>
          <w:szCs w:val="24"/>
        </w:rPr>
      </w:pPr>
      <w:r w:rsidRPr="00586C0E">
        <w:rPr>
          <w:rFonts w:ascii="Arial" w:eastAsia="Verdana" w:hAnsi="Arial" w:cs="Arial"/>
          <w:sz w:val="24"/>
          <w:szCs w:val="24"/>
        </w:rPr>
        <w:t>5.2. Que, además,</w:t>
      </w:r>
      <w:r w:rsidR="009D79EE" w:rsidRPr="00586C0E">
        <w:rPr>
          <w:rFonts w:ascii="Arial" w:eastAsia="Verdana" w:hAnsi="Arial" w:cs="Arial"/>
          <w:sz w:val="24"/>
          <w:szCs w:val="24"/>
        </w:rPr>
        <w:t xml:space="preserve"> la sociedad demandante no puede utilizar la acción de tutela para aportar pruebas que </w:t>
      </w:r>
      <w:r w:rsidR="000A3E0F" w:rsidRPr="00586C0E">
        <w:rPr>
          <w:rFonts w:ascii="Arial" w:eastAsia="Verdana" w:hAnsi="Arial" w:cs="Arial"/>
          <w:sz w:val="24"/>
          <w:szCs w:val="24"/>
        </w:rPr>
        <w:t xml:space="preserve">no hizo valer en </w:t>
      </w:r>
      <w:r w:rsidR="009D79EE" w:rsidRPr="00586C0E">
        <w:rPr>
          <w:rFonts w:ascii="Arial" w:eastAsia="Verdana" w:hAnsi="Arial" w:cs="Arial"/>
          <w:sz w:val="24"/>
          <w:szCs w:val="24"/>
        </w:rPr>
        <w:t>el proceso ordinario</w:t>
      </w:r>
      <w:r w:rsidR="000A3E0F" w:rsidRPr="00586C0E">
        <w:rPr>
          <w:rFonts w:ascii="Arial" w:eastAsia="Verdana" w:hAnsi="Arial" w:cs="Arial"/>
          <w:sz w:val="24"/>
          <w:szCs w:val="24"/>
        </w:rPr>
        <w:t xml:space="preserve">, que es el escenario natural en el que sí debía aportar las pruebas que estimara necesarias para acreditar los hechos que sustentan la demanda y que, además, podían ser controvertidas por la contraparte. </w:t>
      </w:r>
    </w:p>
    <w:p w14:paraId="71459D1B" w14:textId="77777777" w:rsidR="000A3E0F" w:rsidRPr="00586C0E" w:rsidRDefault="000A3E0F" w:rsidP="00CD03C3">
      <w:pPr>
        <w:rPr>
          <w:rFonts w:ascii="Arial" w:eastAsia="Verdana" w:hAnsi="Arial" w:cs="Arial"/>
          <w:sz w:val="24"/>
          <w:szCs w:val="24"/>
        </w:rPr>
      </w:pPr>
    </w:p>
    <w:p w14:paraId="16A91670" w14:textId="77777777" w:rsidR="00F31354" w:rsidRPr="00586C0E" w:rsidRDefault="00F31354" w:rsidP="00CD03C3">
      <w:pPr>
        <w:numPr>
          <w:ilvl w:val="0"/>
          <w:numId w:val="3"/>
        </w:numPr>
        <w:rPr>
          <w:rFonts w:ascii="Arial" w:eastAsia="Verdana" w:hAnsi="Arial" w:cs="Arial"/>
          <w:sz w:val="24"/>
          <w:szCs w:val="24"/>
        </w:rPr>
      </w:pPr>
      <w:r w:rsidRPr="00586C0E">
        <w:rPr>
          <w:rFonts w:ascii="Arial" w:eastAsia="Verdana" w:hAnsi="Arial" w:cs="Arial"/>
          <w:b/>
          <w:sz w:val="24"/>
          <w:szCs w:val="24"/>
        </w:rPr>
        <w:t xml:space="preserve">Sentencia </w:t>
      </w:r>
      <w:r w:rsidRPr="00586C0E">
        <w:rPr>
          <w:rFonts w:ascii="Arial" w:eastAsia="Times New Roman" w:hAnsi="Arial" w:cs="Arial"/>
          <w:b/>
          <w:sz w:val="24"/>
          <w:szCs w:val="24"/>
          <w:lang w:val="es-CO"/>
        </w:rPr>
        <w:t>impugnada</w:t>
      </w:r>
    </w:p>
    <w:p w14:paraId="6FCE8374" w14:textId="77777777" w:rsidR="00F31354" w:rsidRPr="00586C0E" w:rsidRDefault="00F31354" w:rsidP="00CD03C3">
      <w:pPr>
        <w:widowControl w:val="0"/>
        <w:rPr>
          <w:rFonts w:ascii="Arial" w:eastAsia="Verdana" w:hAnsi="Arial" w:cs="Arial"/>
          <w:b/>
          <w:sz w:val="24"/>
          <w:szCs w:val="24"/>
        </w:rPr>
      </w:pPr>
    </w:p>
    <w:p w14:paraId="6095DEE4" w14:textId="77777777" w:rsidR="002E614D" w:rsidRPr="00586C0E" w:rsidRDefault="00F31354" w:rsidP="00CD03C3">
      <w:pPr>
        <w:widowControl w:val="0"/>
        <w:pBdr>
          <w:top w:val="nil"/>
          <w:left w:val="nil"/>
          <w:bottom w:val="nil"/>
          <w:right w:val="nil"/>
          <w:between w:val="nil"/>
        </w:pBdr>
        <w:rPr>
          <w:rFonts w:ascii="Arial" w:eastAsia="Verdana" w:hAnsi="Arial" w:cs="Arial"/>
          <w:sz w:val="24"/>
          <w:szCs w:val="24"/>
        </w:rPr>
      </w:pPr>
      <w:r w:rsidRPr="00586C0E">
        <w:rPr>
          <w:rFonts w:ascii="Arial" w:eastAsia="Verdana" w:hAnsi="Arial" w:cs="Arial"/>
          <w:sz w:val="24"/>
          <w:szCs w:val="24"/>
        </w:rPr>
        <w:t xml:space="preserve">6.1. El Consejo de Estado, Sección Segunda, Subsección </w:t>
      </w:r>
      <w:r w:rsidR="00A575AC" w:rsidRPr="00586C0E">
        <w:rPr>
          <w:rFonts w:ascii="Arial" w:eastAsia="Verdana" w:hAnsi="Arial" w:cs="Arial"/>
          <w:sz w:val="24"/>
          <w:szCs w:val="24"/>
        </w:rPr>
        <w:t>B</w:t>
      </w:r>
      <w:r w:rsidRPr="00586C0E">
        <w:rPr>
          <w:rFonts w:ascii="Arial" w:eastAsia="Verdana" w:hAnsi="Arial" w:cs="Arial"/>
          <w:sz w:val="24"/>
          <w:szCs w:val="24"/>
        </w:rPr>
        <w:t>, mediante sentencia del 1</w:t>
      </w:r>
      <w:r w:rsidR="00A575AC" w:rsidRPr="00586C0E">
        <w:rPr>
          <w:rFonts w:ascii="Arial" w:eastAsia="Verdana" w:hAnsi="Arial" w:cs="Arial"/>
          <w:sz w:val="24"/>
          <w:szCs w:val="24"/>
        </w:rPr>
        <w:t xml:space="preserve">0 de julio de 2018, </w:t>
      </w:r>
      <w:r w:rsidRPr="00586C0E">
        <w:rPr>
          <w:rFonts w:ascii="Arial" w:eastAsia="Verdana" w:hAnsi="Arial" w:cs="Arial"/>
          <w:sz w:val="24"/>
          <w:szCs w:val="24"/>
        </w:rPr>
        <w:t xml:space="preserve">denegó las pretensiones de la tutela. El </w:t>
      </w:r>
      <w:r w:rsidRPr="00586C0E">
        <w:rPr>
          <w:rFonts w:ascii="Arial" w:eastAsia="Verdana" w:hAnsi="Arial" w:cs="Arial"/>
          <w:i/>
          <w:sz w:val="24"/>
          <w:szCs w:val="24"/>
        </w:rPr>
        <w:t>a quo</w:t>
      </w:r>
      <w:r w:rsidRPr="00586C0E">
        <w:rPr>
          <w:rFonts w:ascii="Arial" w:eastAsia="Verdana" w:hAnsi="Arial" w:cs="Arial"/>
          <w:sz w:val="24"/>
          <w:szCs w:val="24"/>
        </w:rPr>
        <w:t xml:space="preserve"> estimó que </w:t>
      </w:r>
      <w:r w:rsidR="00A86585" w:rsidRPr="00586C0E">
        <w:rPr>
          <w:rFonts w:ascii="Arial" w:eastAsia="Verdana" w:hAnsi="Arial" w:cs="Arial"/>
          <w:sz w:val="24"/>
          <w:szCs w:val="24"/>
        </w:rPr>
        <w:t>«</w:t>
      </w:r>
      <w:r w:rsidR="00F01B4F" w:rsidRPr="00586C0E">
        <w:rPr>
          <w:rFonts w:ascii="Arial" w:eastAsia="Verdana" w:hAnsi="Arial" w:cs="Arial"/>
          <w:i/>
          <w:sz w:val="24"/>
          <w:szCs w:val="24"/>
        </w:rPr>
        <w:t>en lo que se refiere a la consideración expuesta acerca de que, contrario</w:t>
      </w:r>
      <w:r w:rsidR="00116F80" w:rsidRPr="00586C0E">
        <w:rPr>
          <w:rFonts w:ascii="Arial" w:eastAsia="Verdana" w:hAnsi="Arial" w:cs="Arial"/>
          <w:i/>
          <w:sz w:val="24"/>
          <w:szCs w:val="24"/>
        </w:rPr>
        <w:t xml:space="preserve"> a lo considerado por el Tribunal accionado, la jurisdicción contenciosa sí es la competente para conocer </w:t>
      </w:r>
      <w:r w:rsidR="002E614D" w:rsidRPr="00586C0E">
        <w:rPr>
          <w:rFonts w:ascii="Arial" w:eastAsia="Verdana" w:hAnsi="Arial" w:cs="Arial"/>
          <w:i/>
          <w:sz w:val="24"/>
          <w:szCs w:val="24"/>
        </w:rPr>
        <w:t xml:space="preserve">del asunto, se advierte que la parte actora aparte de señalar la inconformidad al </w:t>
      </w:r>
      <w:proofErr w:type="gramStart"/>
      <w:r w:rsidR="002E614D" w:rsidRPr="00586C0E">
        <w:rPr>
          <w:rFonts w:ascii="Arial" w:eastAsia="Verdana" w:hAnsi="Arial" w:cs="Arial"/>
          <w:i/>
          <w:sz w:val="24"/>
          <w:szCs w:val="24"/>
        </w:rPr>
        <w:t>respecto,</w:t>
      </w:r>
      <w:proofErr w:type="gramEnd"/>
      <w:r w:rsidR="002E614D" w:rsidRPr="00586C0E">
        <w:rPr>
          <w:rFonts w:ascii="Arial" w:eastAsia="Verdana" w:hAnsi="Arial" w:cs="Arial"/>
          <w:i/>
          <w:sz w:val="24"/>
          <w:szCs w:val="24"/>
        </w:rPr>
        <w:t xml:space="preserve"> no expuso argumento alguno que sustente la misma, razón por la cual, la Sala no encuentra razones que conlleven a realizar mayor consideración al respecto</w:t>
      </w:r>
      <w:r w:rsidR="002E614D" w:rsidRPr="00586C0E">
        <w:rPr>
          <w:rFonts w:ascii="Arial" w:eastAsia="Verdana" w:hAnsi="Arial" w:cs="Arial"/>
          <w:sz w:val="24"/>
          <w:szCs w:val="24"/>
        </w:rPr>
        <w:t>»</w:t>
      </w:r>
      <w:r w:rsidR="002E614D" w:rsidRPr="00586C0E">
        <w:rPr>
          <w:rStyle w:val="Refdenotaalpie"/>
          <w:rFonts w:ascii="Arial" w:eastAsia="Verdana" w:hAnsi="Arial" w:cs="Arial"/>
          <w:szCs w:val="24"/>
        </w:rPr>
        <w:footnoteReference w:id="3"/>
      </w:r>
      <w:r w:rsidR="002E614D" w:rsidRPr="00586C0E">
        <w:rPr>
          <w:rFonts w:ascii="Arial" w:eastAsia="Verdana" w:hAnsi="Arial" w:cs="Arial"/>
          <w:sz w:val="24"/>
          <w:szCs w:val="24"/>
        </w:rPr>
        <w:t>.</w:t>
      </w:r>
    </w:p>
    <w:p w14:paraId="7094C471" w14:textId="77777777" w:rsidR="002E614D" w:rsidRPr="00586C0E" w:rsidRDefault="002E614D" w:rsidP="00CD03C3">
      <w:pPr>
        <w:widowControl w:val="0"/>
        <w:pBdr>
          <w:top w:val="nil"/>
          <w:left w:val="nil"/>
          <w:bottom w:val="nil"/>
          <w:right w:val="nil"/>
          <w:between w:val="nil"/>
        </w:pBdr>
        <w:rPr>
          <w:rFonts w:ascii="Arial" w:eastAsia="Verdana" w:hAnsi="Arial" w:cs="Arial"/>
          <w:sz w:val="24"/>
          <w:szCs w:val="24"/>
        </w:rPr>
      </w:pPr>
    </w:p>
    <w:p w14:paraId="1641074F" w14:textId="77777777" w:rsidR="002827CB" w:rsidRPr="00586C0E" w:rsidRDefault="002E614D" w:rsidP="00CD03C3">
      <w:pPr>
        <w:widowControl w:val="0"/>
        <w:pBdr>
          <w:top w:val="nil"/>
          <w:left w:val="nil"/>
          <w:bottom w:val="nil"/>
          <w:right w:val="nil"/>
          <w:between w:val="nil"/>
        </w:pBdr>
        <w:rPr>
          <w:rFonts w:ascii="Arial" w:eastAsia="Verdana" w:hAnsi="Arial" w:cs="Arial"/>
          <w:sz w:val="24"/>
          <w:szCs w:val="24"/>
        </w:rPr>
      </w:pPr>
      <w:r w:rsidRPr="00586C0E">
        <w:rPr>
          <w:rFonts w:ascii="Arial" w:eastAsia="Verdana" w:hAnsi="Arial" w:cs="Arial"/>
          <w:sz w:val="24"/>
          <w:szCs w:val="24"/>
        </w:rPr>
        <w:t>6.</w:t>
      </w:r>
      <w:r w:rsidR="002827CB" w:rsidRPr="00586C0E">
        <w:rPr>
          <w:rFonts w:ascii="Arial" w:eastAsia="Verdana" w:hAnsi="Arial" w:cs="Arial"/>
          <w:sz w:val="24"/>
          <w:szCs w:val="24"/>
        </w:rPr>
        <w:t>1.1</w:t>
      </w:r>
      <w:r w:rsidRPr="00586C0E">
        <w:rPr>
          <w:rFonts w:ascii="Arial" w:eastAsia="Verdana" w:hAnsi="Arial" w:cs="Arial"/>
          <w:sz w:val="24"/>
          <w:szCs w:val="24"/>
        </w:rPr>
        <w:t>. Que, en todo caso, es cierto que las pre</w:t>
      </w:r>
      <w:r w:rsidR="000A3E0F" w:rsidRPr="00586C0E">
        <w:rPr>
          <w:rFonts w:ascii="Arial" w:eastAsia="Verdana" w:hAnsi="Arial" w:cs="Arial"/>
          <w:sz w:val="24"/>
          <w:szCs w:val="24"/>
        </w:rPr>
        <w:t xml:space="preserve">tensiones de </w:t>
      </w:r>
      <w:proofErr w:type="spellStart"/>
      <w:r w:rsidR="000A3E0F" w:rsidRPr="00586C0E">
        <w:rPr>
          <w:rFonts w:ascii="Arial" w:eastAsia="Verdana" w:hAnsi="Arial" w:cs="Arial"/>
          <w:sz w:val="24"/>
          <w:szCs w:val="24"/>
        </w:rPr>
        <w:t>Surtieléctricos</w:t>
      </w:r>
      <w:proofErr w:type="spellEnd"/>
      <w:r w:rsidR="000A3E0F" w:rsidRPr="00586C0E">
        <w:rPr>
          <w:rFonts w:ascii="Arial" w:eastAsia="Verdana" w:hAnsi="Arial" w:cs="Arial"/>
          <w:sz w:val="24"/>
          <w:szCs w:val="24"/>
        </w:rPr>
        <w:t xml:space="preserve"> </w:t>
      </w:r>
      <w:r w:rsidRPr="00586C0E">
        <w:rPr>
          <w:rFonts w:ascii="Arial" w:eastAsia="Verdana" w:hAnsi="Arial" w:cs="Arial"/>
          <w:sz w:val="24"/>
          <w:szCs w:val="24"/>
        </w:rPr>
        <w:t xml:space="preserve">Cali tienen como fundamento facturas cambiarias. Que, por lo tanto, la ejecución debía adelantarse ante la jurisdicción ordinaria, pues la jurisdicción de lo contencioso administrativo </w:t>
      </w:r>
      <w:r w:rsidR="002827CB" w:rsidRPr="00586C0E">
        <w:rPr>
          <w:rFonts w:ascii="Arial" w:eastAsia="Verdana" w:hAnsi="Arial" w:cs="Arial"/>
          <w:sz w:val="24"/>
          <w:szCs w:val="24"/>
        </w:rPr>
        <w:t xml:space="preserve">solo conoce de las demandas ejecutivas que se adelantan con fundamento en condenas impuestas en sentencias dictadas por esa jurisdicción o </w:t>
      </w:r>
      <w:r w:rsidR="000A3E0F" w:rsidRPr="00586C0E">
        <w:rPr>
          <w:rFonts w:ascii="Arial" w:eastAsia="Verdana" w:hAnsi="Arial" w:cs="Arial"/>
          <w:sz w:val="24"/>
          <w:szCs w:val="24"/>
        </w:rPr>
        <w:t xml:space="preserve">en virtud de </w:t>
      </w:r>
      <w:r w:rsidR="002827CB" w:rsidRPr="00586C0E">
        <w:rPr>
          <w:rFonts w:ascii="Arial" w:eastAsia="Verdana" w:hAnsi="Arial" w:cs="Arial"/>
          <w:sz w:val="24"/>
          <w:szCs w:val="24"/>
        </w:rPr>
        <w:t xml:space="preserve">contratos estatales. Que, incluso, por garantizar el acceso a la administración de justicia el tribunal analizó de fondo si se acreditaron o no los requisitos del enriquecimiento sin causa. </w:t>
      </w:r>
    </w:p>
    <w:p w14:paraId="57C216AC" w14:textId="77777777" w:rsidR="00A86585" w:rsidRPr="00586C0E" w:rsidRDefault="002E614D" w:rsidP="00CD03C3">
      <w:pPr>
        <w:widowControl w:val="0"/>
        <w:pBdr>
          <w:top w:val="nil"/>
          <w:left w:val="nil"/>
          <w:bottom w:val="nil"/>
          <w:right w:val="nil"/>
          <w:between w:val="nil"/>
        </w:pBdr>
        <w:rPr>
          <w:rFonts w:ascii="Arial" w:eastAsia="Verdana" w:hAnsi="Arial" w:cs="Arial"/>
          <w:sz w:val="24"/>
          <w:szCs w:val="24"/>
        </w:rPr>
      </w:pPr>
      <w:r w:rsidRPr="00586C0E">
        <w:rPr>
          <w:rFonts w:ascii="Arial" w:eastAsia="Verdana" w:hAnsi="Arial" w:cs="Arial"/>
          <w:sz w:val="24"/>
          <w:szCs w:val="24"/>
        </w:rPr>
        <w:t xml:space="preserve"> </w:t>
      </w:r>
    </w:p>
    <w:p w14:paraId="4BECAE6F" w14:textId="77777777" w:rsidR="002827CB" w:rsidRPr="00586C0E" w:rsidRDefault="002827CB" w:rsidP="00CD03C3">
      <w:pPr>
        <w:widowControl w:val="0"/>
        <w:pBdr>
          <w:top w:val="nil"/>
          <w:left w:val="nil"/>
          <w:bottom w:val="nil"/>
          <w:right w:val="nil"/>
          <w:between w:val="nil"/>
        </w:pBdr>
        <w:rPr>
          <w:rFonts w:ascii="Arial" w:eastAsia="Verdana" w:hAnsi="Arial" w:cs="Arial"/>
          <w:sz w:val="24"/>
          <w:szCs w:val="24"/>
        </w:rPr>
      </w:pPr>
      <w:r w:rsidRPr="00586C0E">
        <w:rPr>
          <w:rFonts w:ascii="Arial" w:eastAsia="Verdana" w:hAnsi="Arial" w:cs="Arial"/>
          <w:sz w:val="24"/>
          <w:szCs w:val="24"/>
        </w:rPr>
        <w:t xml:space="preserve">6.2. Por último, el </w:t>
      </w:r>
      <w:r w:rsidRPr="00586C0E">
        <w:rPr>
          <w:rFonts w:ascii="Arial" w:eastAsia="Verdana" w:hAnsi="Arial" w:cs="Arial"/>
          <w:i/>
          <w:sz w:val="24"/>
          <w:szCs w:val="24"/>
        </w:rPr>
        <w:t xml:space="preserve">a quo </w:t>
      </w:r>
      <w:r w:rsidRPr="00586C0E">
        <w:rPr>
          <w:rFonts w:ascii="Arial" w:eastAsia="Verdana" w:hAnsi="Arial" w:cs="Arial"/>
          <w:sz w:val="24"/>
          <w:szCs w:val="24"/>
        </w:rPr>
        <w:t>estimó que la decisión del tribunal analizó el enriquecimiento sin causa de acuerdo con la jurisprudencia de la Sección</w:t>
      </w:r>
      <w:r w:rsidR="00B37645" w:rsidRPr="00586C0E">
        <w:rPr>
          <w:rFonts w:ascii="Arial" w:eastAsia="Verdana" w:hAnsi="Arial" w:cs="Arial"/>
          <w:sz w:val="24"/>
          <w:szCs w:val="24"/>
        </w:rPr>
        <w:t xml:space="preserve"> Tercera del Consejo de Estado, que solo permite la procedencia de la </w:t>
      </w:r>
      <w:proofErr w:type="spellStart"/>
      <w:r w:rsidR="00B37645" w:rsidRPr="00586C0E">
        <w:rPr>
          <w:rFonts w:ascii="Arial" w:eastAsia="Verdana" w:hAnsi="Arial" w:cs="Arial"/>
          <w:i/>
          <w:sz w:val="24"/>
          <w:szCs w:val="24"/>
        </w:rPr>
        <w:t>actio</w:t>
      </w:r>
      <w:proofErr w:type="spellEnd"/>
      <w:r w:rsidR="00B37645" w:rsidRPr="00586C0E">
        <w:rPr>
          <w:rFonts w:ascii="Arial" w:eastAsia="Verdana" w:hAnsi="Arial" w:cs="Arial"/>
          <w:i/>
          <w:sz w:val="24"/>
          <w:szCs w:val="24"/>
        </w:rPr>
        <w:t xml:space="preserve"> de in rem verso </w:t>
      </w:r>
      <w:r w:rsidR="00B37645" w:rsidRPr="00586C0E">
        <w:rPr>
          <w:rFonts w:ascii="Arial" w:eastAsia="Verdana" w:hAnsi="Arial" w:cs="Arial"/>
          <w:sz w:val="24"/>
          <w:szCs w:val="24"/>
        </w:rPr>
        <w:t xml:space="preserve">cuando fue la entidad pública la que impuso al particular la ejecución de prestaciones o el suministro de bienes o servicios; cuando se requiere adquirir bienes, solicitar servicios u obras con el fin de prestar un servicio y así evitar amenaza o daño a la salud, y cuando, debiéndose declarar la urgencia manifiesta, no se hizo, eventos que no se presentan en el caso propuesto por </w:t>
      </w:r>
      <w:proofErr w:type="spellStart"/>
      <w:r w:rsidR="00B37645" w:rsidRPr="00586C0E">
        <w:rPr>
          <w:rFonts w:ascii="Arial" w:eastAsia="Verdana" w:hAnsi="Arial" w:cs="Arial"/>
          <w:sz w:val="24"/>
          <w:szCs w:val="24"/>
        </w:rPr>
        <w:t>Surtieléctricos</w:t>
      </w:r>
      <w:proofErr w:type="spellEnd"/>
      <w:r w:rsidR="00B37645" w:rsidRPr="00586C0E">
        <w:rPr>
          <w:rFonts w:ascii="Arial" w:eastAsia="Verdana" w:hAnsi="Arial" w:cs="Arial"/>
          <w:sz w:val="24"/>
          <w:szCs w:val="24"/>
        </w:rPr>
        <w:t xml:space="preserve"> de Cali Ltda. </w:t>
      </w:r>
      <w:r w:rsidR="00E84E6D" w:rsidRPr="00586C0E">
        <w:rPr>
          <w:rFonts w:ascii="Arial" w:eastAsia="Verdana" w:hAnsi="Arial" w:cs="Arial"/>
          <w:sz w:val="24"/>
          <w:szCs w:val="24"/>
        </w:rPr>
        <w:t xml:space="preserve">y, por consiguiente, es razonable haber denegado las pretensiones. </w:t>
      </w:r>
    </w:p>
    <w:p w14:paraId="51ECAC05" w14:textId="77777777" w:rsidR="00F31354" w:rsidRPr="00586C0E" w:rsidRDefault="00F31354" w:rsidP="00CD03C3">
      <w:pPr>
        <w:widowControl w:val="0"/>
        <w:pBdr>
          <w:top w:val="nil"/>
          <w:left w:val="nil"/>
          <w:bottom w:val="nil"/>
          <w:right w:val="nil"/>
          <w:between w:val="nil"/>
        </w:pBdr>
        <w:rPr>
          <w:rFonts w:ascii="Arial" w:eastAsia="Verdana" w:hAnsi="Arial" w:cs="Arial"/>
          <w:sz w:val="24"/>
          <w:szCs w:val="24"/>
        </w:rPr>
      </w:pPr>
    </w:p>
    <w:p w14:paraId="7F901188" w14:textId="77777777" w:rsidR="00F31354" w:rsidRPr="00586C0E" w:rsidRDefault="00F31354" w:rsidP="00CD03C3">
      <w:pPr>
        <w:numPr>
          <w:ilvl w:val="0"/>
          <w:numId w:val="3"/>
        </w:numPr>
        <w:rPr>
          <w:rFonts w:ascii="Arial" w:eastAsia="Verdana" w:hAnsi="Arial" w:cs="Arial"/>
          <w:b/>
          <w:sz w:val="24"/>
          <w:szCs w:val="24"/>
        </w:rPr>
      </w:pPr>
      <w:r w:rsidRPr="00586C0E">
        <w:rPr>
          <w:rFonts w:ascii="Arial" w:eastAsia="Verdana" w:hAnsi="Arial" w:cs="Arial"/>
          <w:b/>
          <w:sz w:val="24"/>
          <w:szCs w:val="24"/>
        </w:rPr>
        <w:t xml:space="preserve">Impugnación </w:t>
      </w:r>
    </w:p>
    <w:p w14:paraId="54FD86D1" w14:textId="77777777" w:rsidR="00F31354" w:rsidRPr="00586C0E" w:rsidRDefault="00F31354" w:rsidP="00CD03C3">
      <w:pPr>
        <w:widowControl w:val="0"/>
        <w:pBdr>
          <w:top w:val="nil"/>
          <w:left w:val="nil"/>
          <w:bottom w:val="nil"/>
          <w:right w:val="nil"/>
          <w:between w:val="nil"/>
        </w:pBdr>
        <w:rPr>
          <w:rFonts w:ascii="Arial" w:eastAsia="Verdana" w:hAnsi="Arial" w:cs="Arial"/>
          <w:b/>
          <w:sz w:val="24"/>
          <w:szCs w:val="24"/>
        </w:rPr>
      </w:pPr>
    </w:p>
    <w:p w14:paraId="1D29D5DF" w14:textId="77777777" w:rsidR="001F7E00" w:rsidRPr="00586C0E" w:rsidRDefault="00F31354" w:rsidP="00CD03C3">
      <w:pPr>
        <w:rPr>
          <w:rFonts w:ascii="Arial" w:eastAsia="Verdana" w:hAnsi="Arial" w:cs="Arial"/>
          <w:sz w:val="24"/>
          <w:szCs w:val="24"/>
        </w:rPr>
      </w:pPr>
      <w:r w:rsidRPr="00586C0E">
        <w:rPr>
          <w:rFonts w:ascii="Arial" w:eastAsia="Verdana" w:hAnsi="Arial" w:cs="Arial"/>
          <w:sz w:val="24"/>
          <w:szCs w:val="24"/>
        </w:rPr>
        <w:t xml:space="preserve">7.1. </w:t>
      </w:r>
      <w:proofErr w:type="spellStart"/>
      <w:r w:rsidR="00964F33" w:rsidRPr="00586C0E">
        <w:rPr>
          <w:rFonts w:ascii="Arial" w:eastAsia="Verdana" w:hAnsi="Arial" w:cs="Arial"/>
          <w:sz w:val="24"/>
          <w:szCs w:val="24"/>
        </w:rPr>
        <w:t>Surtieléctricos</w:t>
      </w:r>
      <w:proofErr w:type="spellEnd"/>
      <w:r w:rsidR="00964F33" w:rsidRPr="00586C0E">
        <w:rPr>
          <w:rFonts w:ascii="Arial" w:eastAsia="Verdana" w:hAnsi="Arial" w:cs="Arial"/>
          <w:sz w:val="24"/>
          <w:szCs w:val="24"/>
        </w:rPr>
        <w:t xml:space="preserve"> Cali Ltda. </w:t>
      </w:r>
      <w:r w:rsidRPr="00586C0E">
        <w:rPr>
          <w:rFonts w:ascii="Arial" w:eastAsia="Verdana" w:hAnsi="Arial" w:cs="Arial"/>
          <w:sz w:val="24"/>
          <w:szCs w:val="24"/>
        </w:rPr>
        <w:t>impugnó</w:t>
      </w:r>
      <w:r w:rsidR="00964F33" w:rsidRPr="00586C0E">
        <w:rPr>
          <w:rFonts w:ascii="Arial" w:eastAsia="Verdana" w:hAnsi="Arial" w:cs="Arial"/>
          <w:sz w:val="24"/>
          <w:szCs w:val="24"/>
        </w:rPr>
        <w:t xml:space="preserve"> la anterior decisión</w:t>
      </w:r>
      <w:r w:rsidRPr="00586C0E">
        <w:rPr>
          <w:rFonts w:ascii="Arial" w:eastAsia="Verdana" w:hAnsi="Arial" w:cs="Arial"/>
          <w:sz w:val="24"/>
          <w:szCs w:val="24"/>
        </w:rPr>
        <w:t>. Solicitó que se revocara y que, en su lugar, se accediera a las pretensiones de la demanda. En concre</w:t>
      </w:r>
      <w:r w:rsidR="00E84E6D" w:rsidRPr="00586C0E">
        <w:rPr>
          <w:rFonts w:ascii="Arial" w:eastAsia="Verdana" w:hAnsi="Arial" w:cs="Arial"/>
          <w:sz w:val="24"/>
          <w:szCs w:val="24"/>
        </w:rPr>
        <w:t>to, insistió en</w:t>
      </w:r>
      <w:r w:rsidRPr="00586C0E">
        <w:rPr>
          <w:rFonts w:ascii="Arial" w:eastAsia="Verdana" w:hAnsi="Arial" w:cs="Arial"/>
          <w:sz w:val="24"/>
          <w:szCs w:val="24"/>
        </w:rPr>
        <w:t xml:space="preserve"> que </w:t>
      </w:r>
      <w:r w:rsidR="001F7E00" w:rsidRPr="00586C0E">
        <w:rPr>
          <w:rFonts w:ascii="Arial" w:eastAsia="Verdana" w:hAnsi="Arial" w:cs="Arial"/>
          <w:sz w:val="24"/>
          <w:szCs w:val="24"/>
        </w:rPr>
        <w:t xml:space="preserve">se está desconociendo el derecho de acceso a la administración de justicia, por cuanto el tribunal demandado determinó que debía tramitarse un proceso ejecutivo, </w:t>
      </w:r>
      <w:r w:rsidR="00CD03C3" w:rsidRPr="00586C0E">
        <w:rPr>
          <w:rFonts w:ascii="Arial" w:eastAsia="Verdana" w:hAnsi="Arial" w:cs="Arial"/>
          <w:sz w:val="24"/>
          <w:szCs w:val="24"/>
        </w:rPr>
        <w:t xml:space="preserve">sin tener en cuenta que </w:t>
      </w:r>
      <w:r w:rsidR="001F7E00" w:rsidRPr="00586C0E">
        <w:rPr>
          <w:rFonts w:ascii="Arial" w:eastAsia="Verdana" w:hAnsi="Arial" w:cs="Arial"/>
          <w:sz w:val="24"/>
          <w:szCs w:val="24"/>
        </w:rPr>
        <w:t xml:space="preserve">la jurisdicción ordinaria </w:t>
      </w:r>
      <w:r w:rsidR="00CD03C3" w:rsidRPr="00586C0E">
        <w:rPr>
          <w:rFonts w:ascii="Arial" w:eastAsia="Verdana" w:hAnsi="Arial" w:cs="Arial"/>
          <w:sz w:val="24"/>
          <w:szCs w:val="24"/>
        </w:rPr>
        <w:t xml:space="preserve">ya </w:t>
      </w:r>
      <w:r w:rsidR="001F7E00" w:rsidRPr="00586C0E">
        <w:rPr>
          <w:rFonts w:ascii="Arial" w:eastAsia="Verdana" w:hAnsi="Arial" w:cs="Arial"/>
          <w:sz w:val="24"/>
          <w:szCs w:val="24"/>
        </w:rPr>
        <w:t xml:space="preserve">había </w:t>
      </w:r>
      <w:r w:rsidR="001F7E00" w:rsidRPr="00586C0E">
        <w:rPr>
          <w:rFonts w:ascii="Arial" w:eastAsia="Verdana" w:hAnsi="Arial" w:cs="Arial"/>
          <w:sz w:val="24"/>
          <w:szCs w:val="24"/>
        </w:rPr>
        <w:lastRenderedPageBreak/>
        <w:t xml:space="preserve">declarado falta de jurisdicción. Que, además, de aceptarse el argumento del tribunal, las facturas estarían prescritas. </w:t>
      </w:r>
    </w:p>
    <w:p w14:paraId="68FE8C99" w14:textId="77777777" w:rsidR="001F7E00" w:rsidRPr="00586C0E" w:rsidRDefault="001F7E00" w:rsidP="00CD03C3">
      <w:pPr>
        <w:rPr>
          <w:rFonts w:ascii="Arial" w:eastAsia="Verdana" w:hAnsi="Arial" w:cs="Arial"/>
          <w:sz w:val="24"/>
          <w:szCs w:val="24"/>
        </w:rPr>
      </w:pPr>
    </w:p>
    <w:p w14:paraId="0864B974" w14:textId="77777777" w:rsidR="00C93BC1" w:rsidRPr="00586C0E" w:rsidRDefault="00427821" w:rsidP="00CD03C3">
      <w:pPr>
        <w:rPr>
          <w:rFonts w:ascii="Arial" w:eastAsia="Verdana" w:hAnsi="Arial" w:cs="Arial"/>
          <w:sz w:val="24"/>
          <w:szCs w:val="24"/>
        </w:rPr>
      </w:pPr>
      <w:r w:rsidRPr="00586C0E">
        <w:rPr>
          <w:rFonts w:ascii="Arial" w:eastAsia="Verdana" w:hAnsi="Arial" w:cs="Arial"/>
          <w:sz w:val="24"/>
          <w:szCs w:val="24"/>
        </w:rPr>
        <w:t>7.2</w:t>
      </w:r>
      <w:r w:rsidR="00C93BC1" w:rsidRPr="00586C0E">
        <w:rPr>
          <w:rFonts w:ascii="Arial" w:eastAsia="Verdana" w:hAnsi="Arial" w:cs="Arial"/>
          <w:sz w:val="24"/>
          <w:szCs w:val="24"/>
        </w:rPr>
        <w:t xml:space="preserve">. </w:t>
      </w:r>
      <w:r w:rsidRPr="00586C0E">
        <w:rPr>
          <w:rFonts w:ascii="Arial" w:eastAsia="Verdana" w:hAnsi="Arial" w:cs="Arial"/>
          <w:sz w:val="24"/>
          <w:szCs w:val="24"/>
        </w:rPr>
        <w:t>Sostuvo que</w:t>
      </w:r>
      <w:r w:rsidR="00C93BC1" w:rsidRPr="00586C0E">
        <w:rPr>
          <w:rFonts w:ascii="Arial" w:eastAsia="Verdana" w:hAnsi="Arial" w:cs="Arial"/>
          <w:sz w:val="24"/>
          <w:szCs w:val="24"/>
        </w:rPr>
        <w:t xml:space="preserve"> un proceso ejecutivo y la </w:t>
      </w:r>
      <w:proofErr w:type="spellStart"/>
      <w:r w:rsidR="00C93BC1" w:rsidRPr="00586C0E">
        <w:rPr>
          <w:rFonts w:ascii="Arial" w:eastAsia="Verdana" w:hAnsi="Arial" w:cs="Arial"/>
          <w:i/>
          <w:sz w:val="24"/>
          <w:szCs w:val="24"/>
        </w:rPr>
        <w:t>actio</w:t>
      </w:r>
      <w:proofErr w:type="spellEnd"/>
      <w:r w:rsidR="00C93BC1" w:rsidRPr="00586C0E">
        <w:rPr>
          <w:rFonts w:ascii="Arial" w:eastAsia="Verdana" w:hAnsi="Arial" w:cs="Arial"/>
          <w:i/>
          <w:sz w:val="24"/>
          <w:szCs w:val="24"/>
        </w:rPr>
        <w:t xml:space="preserve"> de in rem verso </w:t>
      </w:r>
      <w:r w:rsidR="00C93BC1" w:rsidRPr="00586C0E">
        <w:rPr>
          <w:rFonts w:ascii="Arial" w:eastAsia="Verdana" w:hAnsi="Arial" w:cs="Arial"/>
          <w:sz w:val="24"/>
          <w:szCs w:val="24"/>
        </w:rPr>
        <w:t>son completamente diferentes. Que en el primero se busca el pago de las obligaciones debidas, mientras que en la segunda se discute el derecho a la indemnización de perjuicios causados por la falta del pago. Que</w:t>
      </w:r>
      <w:r w:rsidR="00E84E6D" w:rsidRPr="00586C0E">
        <w:rPr>
          <w:rFonts w:ascii="Arial" w:eastAsia="Verdana" w:hAnsi="Arial" w:cs="Arial"/>
          <w:sz w:val="24"/>
          <w:szCs w:val="24"/>
        </w:rPr>
        <w:t xml:space="preserve"> las facturas se aportaron </w:t>
      </w:r>
      <w:r w:rsidR="00C93BC1" w:rsidRPr="00586C0E">
        <w:rPr>
          <w:rFonts w:ascii="Arial" w:eastAsia="Verdana" w:hAnsi="Arial" w:cs="Arial"/>
          <w:sz w:val="24"/>
          <w:szCs w:val="24"/>
        </w:rPr>
        <w:t xml:space="preserve">como prueba del suministro del material eléctrico, mas no con el propósito de que se librara mandamiento de pago. </w:t>
      </w:r>
    </w:p>
    <w:p w14:paraId="1B2B51E3" w14:textId="77777777" w:rsidR="00427821" w:rsidRPr="00586C0E" w:rsidRDefault="00427821" w:rsidP="00CD03C3">
      <w:pPr>
        <w:rPr>
          <w:rFonts w:ascii="Arial" w:eastAsia="Verdana" w:hAnsi="Arial" w:cs="Arial"/>
          <w:sz w:val="24"/>
          <w:szCs w:val="24"/>
        </w:rPr>
      </w:pPr>
    </w:p>
    <w:p w14:paraId="67F13486" w14:textId="77777777" w:rsidR="00427821" w:rsidRPr="00586C0E" w:rsidRDefault="00427821" w:rsidP="00CD03C3">
      <w:pPr>
        <w:rPr>
          <w:rFonts w:ascii="Arial" w:eastAsia="Verdana" w:hAnsi="Arial" w:cs="Arial"/>
          <w:sz w:val="24"/>
          <w:szCs w:val="24"/>
        </w:rPr>
      </w:pPr>
      <w:r w:rsidRPr="00586C0E">
        <w:rPr>
          <w:rFonts w:ascii="Arial" w:eastAsia="Verdana" w:hAnsi="Arial" w:cs="Arial"/>
          <w:sz w:val="24"/>
          <w:szCs w:val="24"/>
        </w:rPr>
        <w:t>7.2.1. Que</w:t>
      </w:r>
      <w:r w:rsidR="00E84E6D" w:rsidRPr="00586C0E">
        <w:rPr>
          <w:rFonts w:ascii="Arial" w:eastAsia="Verdana" w:hAnsi="Arial" w:cs="Arial"/>
          <w:sz w:val="24"/>
          <w:szCs w:val="24"/>
        </w:rPr>
        <w:t xml:space="preserve">, de hecho, </w:t>
      </w:r>
      <w:r w:rsidRPr="00586C0E">
        <w:rPr>
          <w:rFonts w:ascii="Arial" w:eastAsia="Verdana" w:hAnsi="Arial" w:cs="Arial"/>
          <w:sz w:val="24"/>
          <w:szCs w:val="24"/>
        </w:rPr>
        <w:t xml:space="preserve">las facturas, junto con los oficios que remitieron el material eléctrico y las declaraciones de las personas que los recibieron, demuestran el suministro del material y el enriquecimiento de </w:t>
      </w:r>
      <w:proofErr w:type="spellStart"/>
      <w:r w:rsidRPr="00586C0E">
        <w:rPr>
          <w:rFonts w:ascii="Arial" w:eastAsia="Verdana" w:hAnsi="Arial" w:cs="Arial"/>
          <w:sz w:val="24"/>
          <w:szCs w:val="24"/>
        </w:rPr>
        <w:t>Inv</w:t>
      </w:r>
      <w:r w:rsidR="00E84E6D" w:rsidRPr="00586C0E">
        <w:rPr>
          <w:rFonts w:ascii="Arial" w:eastAsia="Verdana" w:hAnsi="Arial" w:cs="Arial"/>
          <w:sz w:val="24"/>
          <w:szCs w:val="24"/>
        </w:rPr>
        <w:t>ipasto</w:t>
      </w:r>
      <w:proofErr w:type="spellEnd"/>
      <w:r w:rsidR="00E84E6D" w:rsidRPr="00586C0E">
        <w:rPr>
          <w:rFonts w:ascii="Arial" w:eastAsia="Verdana" w:hAnsi="Arial" w:cs="Arial"/>
          <w:sz w:val="24"/>
          <w:szCs w:val="24"/>
        </w:rPr>
        <w:t>, pero que el tribunal</w:t>
      </w:r>
      <w:r w:rsidRPr="00586C0E">
        <w:rPr>
          <w:rFonts w:ascii="Arial" w:eastAsia="Verdana" w:hAnsi="Arial" w:cs="Arial"/>
          <w:sz w:val="24"/>
          <w:szCs w:val="24"/>
        </w:rPr>
        <w:t xml:space="preserve"> valoró esas pruebas indebidamente</w:t>
      </w:r>
      <w:r w:rsidR="00E84E6D" w:rsidRPr="00586C0E">
        <w:rPr>
          <w:rFonts w:ascii="Arial" w:eastAsia="Verdana" w:hAnsi="Arial" w:cs="Arial"/>
          <w:sz w:val="24"/>
          <w:szCs w:val="24"/>
        </w:rPr>
        <w:t xml:space="preserve">, a tal punto que concluyó que no se </w:t>
      </w:r>
      <w:r w:rsidR="00C42A3A" w:rsidRPr="00586C0E">
        <w:rPr>
          <w:rFonts w:ascii="Arial" w:eastAsia="Verdana" w:hAnsi="Arial" w:cs="Arial"/>
          <w:sz w:val="24"/>
          <w:szCs w:val="24"/>
        </w:rPr>
        <w:t xml:space="preserve">probó la entrega del material. </w:t>
      </w:r>
      <w:r w:rsidRPr="00586C0E">
        <w:rPr>
          <w:rFonts w:ascii="Arial" w:eastAsia="Verdana" w:hAnsi="Arial" w:cs="Arial"/>
          <w:sz w:val="24"/>
          <w:szCs w:val="24"/>
        </w:rPr>
        <w:t xml:space="preserve"> </w:t>
      </w:r>
    </w:p>
    <w:p w14:paraId="2B78E853" w14:textId="77777777" w:rsidR="00F31354" w:rsidRPr="00586C0E" w:rsidRDefault="00F31354" w:rsidP="00CD03C3">
      <w:pPr>
        <w:tabs>
          <w:tab w:val="left" w:pos="8789"/>
        </w:tabs>
        <w:jc w:val="center"/>
        <w:rPr>
          <w:rFonts w:ascii="Arial" w:hAnsi="Arial" w:cs="Arial"/>
          <w:b/>
          <w:sz w:val="24"/>
          <w:szCs w:val="24"/>
        </w:rPr>
      </w:pPr>
    </w:p>
    <w:p w14:paraId="5875845A" w14:textId="77777777" w:rsidR="00F31354" w:rsidRPr="00586C0E" w:rsidRDefault="00F31354" w:rsidP="00CD03C3">
      <w:pPr>
        <w:tabs>
          <w:tab w:val="left" w:pos="8789"/>
        </w:tabs>
        <w:jc w:val="center"/>
        <w:rPr>
          <w:rFonts w:ascii="Arial" w:hAnsi="Arial" w:cs="Arial"/>
          <w:b/>
          <w:sz w:val="24"/>
          <w:szCs w:val="24"/>
          <w:lang w:val="es-CO"/>
        </w:rPr>
      </w:pPr>
      <w:r w:rsidRPr="00586C0E">
        <w:rPr>
          <w:rFonts w:ascii="Arial" w:hAnsi="Arial" w:cs="Arial"/>
          <w:b/>
          <w:sz w:val="24"/>
          <w:szCs w:val="24"/>
          <w:lang w:val="es-CO"/>
        </w:rPr>
        <w:t>CONSIDERACIONES</w:t>
      </w:r>
    </w:p>
    <w:p w14:paraId="2F63667C" w14:textId="77777777" w:rsidR="00F31354" w:rsidRPr="00586C0E" w:rsidRDefault="00F31354" w:rsidP="00CD03C3">
      <w:pPr>
        <w:shd w:val="clear" w:color="auto" w:fill="FFFFFF"/>
        <w:tabs>
          <w:tab w:val="left" w:pos="8789"/>
        </w:tabs>
        <w:rPr>
          <w:rFonts w:ascii="Arial" w:eastAsia="Times New Roman" w:hAnsi="Arial" w:cs="Arial"/>
          <w:color w:val="000000"/>
          <w:sz w:val="24"/>
          <w:szCs w:val="24"/>
        </w:rPr>
      </w:pPr>
    </w:p>
    <w:p w14:paraId="135F6B35" w14:textId="77777777" w:rsidR="00CD7471" w:rsidRPr="00586C0E" w:rsidRDefault="00F31354" w:rsidP="00CD03C3">
      <w:pPr>
        <w:pStyle w:val="Sangradetextonormal"/>
        <w:widowControl w:val="0"/>
        <w:spacing w:line="240" w:lineRule="auto"/>
        <w:rPr>
          <w:rFonts w:cs="Arial"/>
          <w:sz w:val="24"/>
          <w:szCs w:val="24"/>
          <w:lang w:val="es-CO"/>
        </w:rPr>
      </w:pPr>
      <w:r w:rsidRPr="00586C0E">
        <w:rPr>
          <w:rFonts w:cs="Arial"/>
          <w:b w:val="0"/>
          <w:sz w:val="24"/>
          <w:szCs w:val="24"/>
          <w:lang w:val="es-CO"/>
        </w:rPr>
        <w:t>Para resolver la impugnación presentada por</w:t>
      </w:r>
      <w:r w:rsidR="00902236" w:rsidRPr="00586C0E">
        <w:rPr>
          <w:rFonts w:cs="Arial"/>
          <w:b w:val="0"/>
          <w:sz w:val="24"/>
          <w:szCs w:val="24"/>
          <w:lang w:val="es-CO"/>
        </w:rPr>
        <w:t xml:space="preserve"> la sociedad </w:t>
      </w:r>
      <w:proofErr w:type="spellStart"/>
      <w:r w:rsidR="00902236" w:rsidRPr="00586C0E">
        <w:rPr>
          <w:rFonts w:cs="Arial"/>
          <w:b w:val="0"/>
          <w:sz w:val="24"/>
          <w:szCs w:val="24"/>
          <w:lang w:val="es-CO"/>
        </w:rPr>
        <w:t>Surtieléctricos</w:t>
      </w:r>
      <w:proofErr w:type="spellEnd"/>
      <w:r w:rsidR="00902236" w:rsidRPr="00586C0E">
        <w:rPr>
          <w:rFonts w:cs="Arial"/>
          <w:b w:val="0"/>
          <w:sz w:val="24"/>
          <w:szCs w:val="24"/>
          <w:lang w:val="es-CO"/>
        </w:rPr>
        <w:t xml:space="preserve"> Cali Ltda.</w:t>
      </w:r>
      <w:r w:rsidRPr="00586C0E">
        <w:rPr>
          <w:rFonts w:cs="Arial"/>
          <w:b w:val="0"/>
          <w:sz w:val="24"/>
          <w:szCs w:val="24"/>
          <w:lang w:val="es-CO"/>
        </w:rPr>
        <w:t>, la Sala se referirá, en primer lugar, a la procedencia de la acción de tutela contra providencias judiciales. Seguidamente, formulará el problema jurídico a resolver y adoptará la decisión que corresponda.</w:t>
      </w:r>
      <w:r w:rsidRPr="00586C0E">
        <w:rPr>
          <w:rFonts w:cs="Arial"/>
          <w:sz w:val="24"/>
          <w:szCs w:val="24"/>
          <w:lang w:val="es-CO"/>
        </w:rPr>
        <w:t xml:space="preserve"> </w:t>
      </w:r>
    </w:p>
    <w:p w14:paraId="4EA080A8" w14:textId="77777777" w:rsidR="00C37FC5" w:rsidRPr="00586C0E" w:rsidRDefault="00C37FC5" w:rsidP="00CD03C3">
      <w:pPr>
        <w:pStyle w:val="Sangradetextonormal"/>
        <w:widowControl w:val="0"/>
        <w:spacing w:line="240" w:lineRule="auto"/>
        <w:rPr>
          <w:rFonts w:cs="Arial"/>
          <w:sz w:val="24"/>
          <w:szCs w:val="24"/>
          <w:lang w:val="es-CO"/>
        </w:rPr>
      </w:pPr>
    </w:p>
    <w:p w14:paraId="7E7493E8" w14:textId="77777777" w:rsidR="00CD7471" w:rsidRPr="00586C0E" w:rsidRDefault="00CD7471" w:rsidP="00CD03C3">
      <w:pPr>
        <w:pStyle w:val="Sangradetextonormal"/>
        <w:widowControl w:val="0"/>
        <w:spacing w:line="240" w:lineRule="auto"/>
        <w:rPr>
          <w:rFonts w:cs="Arial"/>
          <w:sz w:val="24"/>
          <w:szCs w:val="24"/>
          <w:lang w:val="es-CO"/>
        </w:rPr>
      </w:pPr>
    </w:p>
    <w:p w14:paraId="595B142E" w14:textId="77777777" w:rsidR="00F31354" w:rsidRPr="00586C0E" w:rsidRDefault="00D44CB9" w:rsidP="00642831">
      <w:pPr>
        <w:numPr>
          <w:ilvl w:val="0"/>
          <w:numId w:val="2"/>
        </w:numPr>
        <w:pBdr>
          <w:top w:val="nil"/>
          <w:left w:val="nil"/>
          <w:bottom w:val="nil"/>
          <w:right w:val="nil"/>
          <w:between w:val="nil"/>
        </w:pBdr>
        <w:contextualSpacing/>
        <w:rPr>
          <w:rFonts w:ascii="Arial" w:hAnsi="Arial" w:cs="Arial"/>
          <w:sz w:val="24"/>
          <w:szCs w:val="24"/>
        </w:rPr>
      </w:pPr>
      <w:r w:rsidRPr="00586C0E">
        <w:rPr>
          <w:rFonts w:ascii="Arial" w:eastAsia="Verdana" w:hAnsi="Arial" w:cs="Arial"/>
          <w:b/>
          <w:color w:val="000000"/>
          <w:sz w:val="24"/>
          <w:szCs w:val="24"/>
        </w:rPr>
        <w:t>DE LA ACCIÓN DE TUTELA CONTRA PROVIDENCIAS JUDICIALES</w:t>
      </w:r>
    </w:p>
    <w:p w14:paraId="16220DF1" w14:textId="77777777" w:rsidR="00F31354" w:rsidRPr="00586C0E" w:rsidRDefault="00F31354" w:rsidP="00CD03C3">
      <w:pPr>
        <w:shd w:val="clear" w:color="auto" w:fill="FFFFFF"/>
        <w:tabs>
          <w:tab w:val="left" w:pos="8789"/>
        </w:tabs>
        <w:rPr>
          <w:rFonts w:ascii="Arial" w:eastAsia="Times New Roman" w:hAnsi="Arial" w:cs="Arial"/>
          <w:color w:val="000000"/>
          <w:sz w:val="24"/>
          <w:szCs w:val="24"/>
        </w:rPr>
      </w:pPr>
    </w:p>
    <w:p w14:paraId="337D993D" w14:textId="77777777" w:rsidR="00F31354" w:rsidRPr="00586C0E" w:rsidRDefault="00C42A3A" w:rsidP="00CD03C3">
      <w:pPr>
        <w:rPr>
          <w:rFonts w:ascii="Arial" w:hAnsi="Arial" w:cs="Arial"/>
          <w:sz w:val="24"/>
          <w:szCs w:val="24"/>
        </w:rPr>
      </w:pPr>
      <w:r w:rsidRPr="00586C0E">
        <w:rPr>
          <w:rFonts w:ascii="Arial" w:hAnsi="Arial" w:cs="Arial"/>
          <w:sz w:val="24"/>
          <w:szCs w:val="24"/>
        </w:rPr>
        <w:t xml:space="preserve">1.1. </w:t>
      </w:r>
      <w:r w:rsidR="00F31354" w:rsidRPr="00586C0E">
        <w:rPr>
          <w:rFonts w:ascii="Arial" w:hAnsi="Arial" w:cs="Arial"/>
          <w:sz w:val="24"/>
          <w:szCs w:val="24"/>
        </w:rPr>
        <w:t>A partir del año 2012</w:t>
      </w:r>
      <w:r w:rsidR="00F31354" w:rsidRPr="00586C0E">
        <w:rPr>
          <w:rStyle w:val="Refdenotaalpie"/>
          <w:rFonts w:ascii="Arial" w:hAnsi="Arial" w:cs="Arial"/>
          <w:szCs w:val="24"/>
        </w:rPr>
        <w:footnoteReference w:id="4"/>
      </w:r>
      <w:r w:rsidR="00F31354" w:rsidRPr="00586C0E">
        <w:rPr>
          <w:rFonts w:ascii="Arial" w:hAnsi="Arial" w:cs="Arial"/>
          <w:sz w:val="24"/>
          <w:szCs w:val="24"/>
        </w:rPr>
        <w:t>, la Sala Plena de lo Contencioso Administrativo de esta Corporación aceptó la procedencia de la acción de tutela contra providencias judiciales. Posteriormente, en la sentencia de unificación del 5 de agosto de 2014</w:t>
      </w:r>
      <w:r w:rsidR="00F31354" w:rsidRPr="00586C0E">
        <w:rPr>
          <w:rStyle w:val="Refdenotaalpie"/>
          <w:rFonts w:ascii="Arial" w:hAnsi="Arial" w:cs="Arial"/>
          <w:szCs w:val="24"/>
        </w:rPr>
        <w:footnoteReference w:id="5"/>
      </w:r>
      <w:r w:rsidR="00F31354" w:rsidRPr="00586C0E">
        <w:rPr>
          <w:rFonts w:ascii="Arial" w:hAnsi="Arial" w:cs="Arial"/>
          <w:sz w:val="24"/>
          <w:szCs w:val="24"/>
        </w:rPr>
        <w:t xml:space="preserve">, se precisó que la acción de tutela, incluso, es procedente para cuestionar providencias judiciales dictadas por el Consejo de Estado, pues, de conformidad con el artículo 86 de la Constitución Política, ese mecanismo puede ejercerse contra cualquier </w:t>
      </w:r>
      <w:proofErr w:type="gramStart"/>
      <w:r w:rsidR="00F31354" w:rsidRPr="00586C0E">
        <w:rPr>
          <w:rFonts w:ascii="Arial" w:hAnsi="Arial" w:cs="Arial"/>
          <w:sz w:val="24"/>
          <w:szCs w:val="24"/>
        </w:rPr>
        <w:t>autoridad pública</w:t>
      </w:r>
      <w:proofErr w:type="gramEnd"/>
      <w:r w:rsidR="00F31354" w:rsidRPr="00586C0E">
        <w:rPr>
          <w:rFonts w:ascii="Arial" w:hAnsi="Arial" w:cs="Arial"/>
          <w:sz w:val="24"/>
          <w:szCs w:val="24"/>
        </w:rPr>
        <w:t xml:space="preserve">. </w:t>
      </w:r>
    </w:p>
    <w:p w14:paraId="746C85F5" w14:textId="77777777" w:rsidR="00F31354" w:rsidRPr="00586C0E" w:rsidRDefault="00F31354" w:rsidP="00CD03C3">
      <w:pPr>
        <w:rPr>
          <w:rFonts w:ascii="Arial" w:hAnsi="Arial" w:cs="Arial"/>
          <w:sz w:val="24"/>
          <w:szCs w:val="24"/>
        </w:rPr>
      </w:pPr>
    </w:p>
    <w:p w14:paraId="025C0F2E" w14:textId="77777777" w:rsidR="00F31354" w:rsidRPr="00586C0E" w:rsidRDefault="00C42A3A" w:rsidP="00CD03C3">
      <w:pPr>
        <w:rPr>
          <w:rFonts w:ascii="Arial" w:hAnsi="Arial" w:cs="Arial"/>
          <w:bCs/>
          <w:sz w:val="24"/>
          <w:szCs w:val="24"/>
        </w:rPr>
      </w:pPr>
      <w:r w:rsidRPr="00586C0E">
        <w:rPr>
          <w:rFonts w:ascii="Arial" w:eastAsia="Verdana" w:hAnsi="Arial" w:cs="Arial"/>
          <w:sz w:val="24"/>
          <w:szCs w:val="24"/>
        </w:rPr>
        <w:t xml:space="preserve">1.1.1. </w:t>
      </w:r>
      <w:r w:rsidR="00F31354" w:rsidRPr="00586C0E">
        <w:rPr>
          <w:rFonts w:ascii="Arial" w:eastAsia="Verdana" w:hAnsi="Arial" w:cs="Arial"/>
          <w:sz w:val="24"/>
          <w:szCs w:val="24"/>
        </w:rPr>
        <w:t xml:space="preserve">Para tal efecto, el juez de tutela debe verificar el cumplimiento de los requisitos generales (procesales o de procedibilidad) que fijó la Corte Constitucional, en la sentencia C-590 de 2005. Esto es: </w:t>
      </w:r>
      <w:r w:rsidR="00F31354" w:rsidRPr="00586C0E">
        <w:rPr>
          <w:rFonts w:ascii="Arial" w:eastAsia="Verdana" w:hAnsi="Arial" w:cs="Arial"/>
          <w:b/>
          <w:sz w:val="24"/>
          <w:szCs w:val="24"/>
        </w:rPr>
        <w:t>(i)</w:t>
      </w:r>
      <w:r w:rsidR="00F31354" w:rsidRPr="00586C0E">
        <w:rPr>
          <w:rFonts w:ascii="Arial" w:eastAsia="Verdana" w:hAnsi="Arial" w:cs="Arial"/>
          <w:sz w:val="24"/>
          <w:szCs w:val="24"/>
        </w:rPr>
        <w:t xml:space="preserve"> la relevancia constitucional; </w:t>
      </w:r>
      <w:r w:rsidR="00F31354" w:rsidRPr="00586C0E">
        <w:rPr>
          <w:rFonts w:ascii="Arial" w:eastAsia="Verdana" w:hAnsi="Arial" w:cs="Arial"/>
          <w:b/>
          <w:sz w:val="24"/>
          <w:szCs w:val="24"/>
        </w:rPr>
        <w:t>(</w:t>
      </w:r>
      <w:proofErr w:type="spellStart"/>
      <w:r w:rsidR="00F31354" w:rsidRPr="00586C0E">
        <w:rPr>
          <w:rFonts w:ascii="Arial" w:eastAsia="Verdana" w:hAnsi="Arial" w:cs="Arial"/>
          <w:b/>
          <w:sz w:val="24"/>
          <w:szCs w:val="24"/>
        </w:rPr>
        <w:t>ii</w:t>
      </w:r>
      <w:proofErr w:type="spellEnd"/>
      <w:r w:rsidR="00F31354" w:rsidRPr="00586C0E">
        <w:rPr>
          <w:rFonts w:ascii="Arial" w:eastAsia="Verdana" w:hAnsi="Arial" w:cs="Arial"/>
          <w:b/>
          <w:sz w:val="24"/>
          <w:szCs w:val="24"/>
        </w:rPr>
        <w:t>)</w:t>
      </w:r>
      <w:r w:rsidR="00F31354" w:rsidRPr="00586C0E">
        <w:rPr>
          <w:rFonts w:ascii="Arial" w:eastAsia="Verdana" w:hAnsi="Arial" w:cs="Arial"/>
          <w:sz w:val="24"/>
          <w:szCs w:val="24"/>
        </w:rPr>
        <w:t xml:space="preserve"> el agotamiento de los medios ordinarios de defensa; </w:t>
      </w:r>
      <w:r w:rsidR="00F31354" w:rsidRPr="00586C0E">
        <w:rPr>
          <w:rFonts w:ascii="Arial" w:eastAsia="Verdana" w:hAnsi="Arial" w:cs="Arial"/>
          <w:b/>
          <w:sz w:val="24"/>
          <w:szCs w:val="24"/>
        </w:rPr>
        <w:t>(</w:t>
      </w:r>
      <w:proofErr w:type="spellStart"/>
      <w:r w:rsidR="00F31354" w:rsidRPr="00586C0E">
        <w:rPr>
          <w:rFonts w:ascii="Arial" w:eastAsia="Verdana" w:hAnsi="Arial" w:cs="Arial"/>
          <w:b/>
          <w:sz w:val="24"/>
          <w:szCs w:val="24"/>
        </w:rPr>
        <w:t>iii</w:t>
      </w:r>
      <w:proofErr w:type="spellEnd"/>
      <w:r w:rsidR="00F31354" w:rsidRPr="00586C0E">
        <w:rPr>
          <w:rFonts w:ascii="Arial" w:eastAsia="Verdana" w:hAnsi="Arial" w:cs="Arial"/>
          <w:b/>
          <w:sz w:val="24"/>
          <w:szCs w:val="24"/>
        </w:rPr>
        <w:t>)</w:t>
      </w:r>
      <w:r w:rsidR="00F31354" w:rsidRPr="00586C0E">
        <w:rPr>
          <w:rFonts w:ascii="Arial" w:eastAsia="Verdana" w:hAnsi="Arial" w:cs="Arial"/>
          <w:sz w:val="24"/>
          <w:szCs w:val="24"/>
        </w:rPr>
        <w:t xml:space="preserve"> la inmediatez; </w:t>
      </w:r>
      <w:r w:rsidR="00F31354" w:rsidRPr="00586C0E">
        <w:rPr>
          <w:rFonts w:ascii="Arial" w:eastAsia="Verdana" w:hAnsi="Arial" w:cs="Arial"/>
          <w:b/>
          <w:sz w:val="24"/>
          <w:szCs w:val="24"/>
        </w:rPr>
        <w:t>(</w:t>
      </w:r>
      <w:proofErr w:type="spellStart"/>
      <w:r w:rsidR="00F31354" w:rsidRPr="00586C0E">
        <w:rPr>
          <w:rFonts w:ascii="Arial" w:eastAsia="Verdana" w:hAnsi="Arial" w:cs="Arial"/>
          <w:b/>
          <w:sz w:val="24"/>
          <w:szCs w:val="24"/>
        </w:rPr>
        <w:t>iv</w:t>
      </w:r>
      <w:proofErr w:type="spellEnd"/>
      <w:r w:rsidR="00F31354" w:rsidRPr="00586C0E">
        <w:rPr>
          <w:rFonts w:ascii="Arial" w:eastAsia="Verdana" w:hAnsi="Arial" w:cs="Arial"/>
          <w:b/>
          <w:sz w:val="24"/>
          <w:szCs w:val="24"/>
        </w:rPr>
        <w:t>)</w:t>
      </w:r>
      <w:r w:rsidR="00F31354" w:rsidRPr="00586C0E">
        <w:rPr>
          <w:rFonts w:ascii="Arial" w:eastAsia="Verdana" w:hAnsi="Arial" w:cs="Arial"/>
          <w:sz w:val="24"/>
          <w:szCs w:val="24"/>
        </w:rPr>
        <w:t xml:space="preserve"> que si se trata de una irregularidad procesal, ésta debe tener un efecto decisivo o determinante; </w:t>
      </w:r>
      <w:r w:rsidR="00F31354" w:rsidRPr="00586C0E">
        <w:rPr>
          <w:rFonts w:ascii="Arial" w:eastAsia="Verdana" w:hAnsi="Arial" w:cs="Arial"/>
          <w:b/>
          <w:sz w:val="24"/>
          <w:szCs w:val="24"/>
        </w:rPr>
        <w:t>(v)</w:t>
      </w:r>
      <w:r w:rsidR="00F31354" w:rsidRPr="00586C0E">
        <w:rPr>
          <w:rFonts w:ascii="Arial" w:eastAsia="Verdana" w:hAnsi="Arial" w:cs="Arial"/>
          <w:sz w:val="24"/>
          <w:szCs w:val="24"/>
        </w:rPr>
        <w:t xml:space="preserve"> que se identifiquen los hechos que generaron la vulneración y los derechos vulnerados, y que esa vulneración se hubiere alegado en el proceso judicial, y </w:t>
      </w:r>
      <w:r w:rsidR="00F31354" w:rsidRPr="00586C0E">
        <w:rPr>
          <w:rFonts w:ascii="Arial" w:eastAsia="Verdana" w:hAnsi="Arial" w:cs="Arial"/>
          <w:b/>
          <w:sz w:val="24"/>
          <w:szCs w:val="24"/>
        </w:rPr>
        <w:t>(vi)</w:t>
      </w:r>
      <w:r w:rsidR="00F31354" w:rsidRPr="00586C0E">
        <w:rPr>
          <w:rFonts w:ascii="Arial" w:eastAsia="Verdana" w:hAnsi="Arial" w:cs="Arial"/>
          <w:sz w:val="24"/>
          <w:szCs w:val="24"/>
        </w:rPr>
        <w:t xml:space="preserve"> que no se cuestione una sentencia de tutela. </w:t>
      </w:r>
    </w:p>
    <w:p w14:paraId="20BEFEE7" w14:textId="77777777" w:rsidR="00F31354" w:rsidRPr="00586C0E" w:rsidRDefault="00F31354" w:rsidP="00CD03C3">
      <w:pPr>
        <w:rPr>
          <w:rFonts w:ascii="Arial" w:hAnsi="Arial" w:cs="Arial"/>
          <w:bCs/>
          <w:sz w:val="24"/>
          <w:szCs w:val="24"/>
        </w:rPr>
      </w:pPr>
    </w:p>
    <w:p w14:paraId="5A459752" w14:textId="77777777" w:rsidR="00F31354" w:rsidRPr="00586C0E" w:rsidRDefault="00C42A3A" w:rsidP="00CD03C3">
      <w:pPr>
        <w:rPr>
          <w:rFonts w:ascii="Arial" w:hAnsi="Arial" w:cs="Arial"/>
          <w:bCs/>
          <w:sz w:val="24"/>
          <w:szCs w:val="24"/>
        </w:rPr>
      </w:pPr>
      <w:r w:rsidRPr="00586C0E">
        <w:rPr>
          <w:rFonts w:ascii="Arial" w:hAnsi="Arial" w:cs="Arial"/>
          <w:bCs/>
          <w:sz w:val="24"/>
          <w:szCs w:val="24"/>
        </w:rPr>
        <w:t>1.</w:t>
      </w:r>
      <w:r w:rsidR="00FB4A81" w:rsidRPr="00586C0E">
        <w:rPr>
          <w:rFonts w:ascii="Arial" w:hAnsi="Arial" w:cs="Arial"/>
          <w:bCs/>
          <w:sz w:val="24"/>
          <w:szCs w:val="24"/>
        </w:rPr>
        <w:t>1.</w:t>
      </w:r>
      <w:r w:rsidRPr="00586C0E">
        <w:rPr>
          <w:rFonts w:ascii="Arial" w:hAnsi="Arial" w:cs="Arial"/>
          <w:bCs/>
          <w:sz w:val="24"/>
          <w:szCs w:val="24"/>
        </w:rPr>
        <w:t xml:space="preserve">2. </w:t>
      </w:r>
      <w:r w:rsidR="00F31354" w:rsidRPr="00586C0E">
        <w:rPr>
          <w:rFonts w:ascii="Arial" w:hAnsi="Arial" w:cs="Arial"/>
          <w:bCs/>
          <w:sz w:val="24"/>
          <w:szCs w:val="24"/>
        </w:rPr>
        <w:t>Una vez la acción de tutela supere el estudio de las causales procesales, el juez puede conceder la protección, siempre que advierta la presencia de alguno de los siguientes defectos o vicios de fondo, que miran más hacia la prosperidad de la tutela: </w:t>
      </w:r>
      <w:r w:rsidR="00F31354" w:rsidRPr="00586C0E">
        <w:rPr>
          <w:rFonts w:ascii="Arial" w:hAnsi="Arial" w:cs="Arial"/>
          <w:b/>
          <w:bCs/>
          <w:sz w:val="24"/>
          <w:szCs w:val="24"/>
        </w:rPr>
        <w:t xml:space="preserve">(i) </w:t>
      </w:r>
      <w:r w:rsidR="00F31354" w:rsidRPr="00586C0E">
        <w:rPr>
          <w:rFonts w:ascii="Arial" w:hAnsi="Arial" w:cs="Arial"/>
          <w:bCs/>
          <w:sz w:val="24"/>
          <w:szCs w:val="24"/>
        </w:rPr>
        <w:t xml:space="preserve">defecto sustantivo, </w:t>
      </w:r>
      <w:r w:rsidR="00F31354" w:rsidRPr="00586C0E">
        <w:rPr>
          <w:rFonts w:ascii="Arial" w:hAnsi="Arial" w:cs="Arial"/>
          <w:b/>
          <w:bCs/>
          <w:sz w:val="24"/>
          <w:szCs w:val="24"/>
        </w:rPr>
        <w:t>(</w:t>
      </w:r>
      <w:proofErr w:type="spellStart"/>
      <w:r w:rsidR="00F31354" w:rsidRPr="00586C0E">
        <w:rPr>
          <w:rFonts w:ascii="Arial" w:hAnsi="Arial" w:cs="Arial"/>
          <w:b/>
          <w:bCs/>
          <w:sz w:val="24"/>
          <w:szCs w:val="24"/>
        </w:rPr>
        <w:t>ii</w:t>
      </w:r>
      <w:proofErr w:type="spellEnd"/>
      <w:r w:rsidR="00F31354" w:rsidRPr="00586C0E">
        <w:rPr>
          <w:rFonts w:ascii="Arial" w:hAnsi="Arial" w:cs="Arial"/>
          <w:b/>
          <w:bCs/>
          <w:sz w:val="24"/>
          <w:szCs w:val="24"/>
        </w:rPr>
        <w:t>)</w:t>
      </w:r>
      <w:r w:rsidR="00F31354" w:rsidRPr="00586C0E">
        <w:rPr>
          <w:rFonts w:ascii="Arial" w:hAnsi="Arial" w:cs="Arial"/>
          <w:bCs/>
          <w:sz w:val="24"/>
          <w:szCs w:val="24"/>
        </w:rPr>
        <w:t xml:space="preserve"> defecto fáctico, </w:t>
      </w:r>
      <w:r w:rsidR="00F31354" w:rsidRPr="00586C0E">
        <w:rPr>
          <w:rFonts w:ascii="Arial" w:hAnsi="Arial" w:cs="Arial"/>
          <w:b/>
          <w:bCs/>
          <w:sz w:val="24"/>
          <w:szCs w:val="24"/>
        </w:rPr>
        <w:t>(</w:t>
      </w:r>
      <w:proofErr w:type="spellStart"/>
      <w:r w:rsidR="00F31354" w:rsidRPr="00586C0E">
        <w:rPr>
          <w:rFonts w:ascii="Arial" w:hAnsi="Arial" w:cs="Arial"/>
          <w:b/>
          <w:bCs/>
          <w:sz w:val="24"/>
          <w:szCs w:val="24"/>
        </w:rPr>
        <w:t>iii</w:t>
      </w:r>
      <w:proofErr w:type="spellEnd"/>
      <w:r w:rsidR="00F31354" w:rsidRPr="00586C0E">
        <w:rPr>
          <w:rFonts w:ascii="Arial" w:hAnsi="Arial" w:cs="Arial"/>
          <w:b/>
          <w:bCs/>
          <w:sz w:val="24"/>
          <w:szCs w:val="24"/>
        </w:rPr>
        <w:t xml:space="preserve">) </w:t>
      </w:r>
      <w:r w:rsidR="00F31354" w:rsidRPr="00586C0E">
        <w:rPr>
          <w:rFonts w:ascii="Arial" w:hAnsi="Arial" w:cs="Arial"/>
          <w:bCs/>
          <w:sz w:val="24"/>
          <w:szCs w:val="24"/>
        </w:rPr>
        <w:t xml:space="preserve">defecto procedimental absoluto, </w:t>
      </w:r>
      <w:r w:rsidR="00F31354" w:rsidRPr="00586C0E">
        <w:rPr>
          <w:rFonts w:ascii="Arial" w:hAnsi="Arial" w:cs="Arial"/>
          <w:b/>
          <w:bCs/>
          <w:sz w:val="24"/>
          <w:szCs w:val="24"/>
        </w:rPr>
        <w:t>(</w:t>
      </w:r>
      <w:proofErr w:type="spellStart"/>
      <w:r w:rsidR="00F31354" w:rsidRPr="00586C0E">
        <w:rPr>
          <w:rFonts w:ascii="Arial" w:hAnsi="Arial" w:cs="Arial"/>
          <w:b/>
          <w:bCs/>
          <w:sz w:val="24"/>
          <w:szCs w:val="24"/>
        </w:rPr>
        <w:t>iv</w:t>
      </w:r>
      <w:proofErr w:type="spellEnd"/>
      <w:r w:rsidR="00F31354" w:rsidRPr="00586C0E">
        <w:rPr>
          <w:rFonts w:ascii="Arial" w:hAnsi="Arial" w:cs="Arial"/>
          <w:b/>
          <w:bCs/>
          <w:sz w:val="24"/>
          <w:szCs w:val="24"/>
        </w:rPr>
        <w:t xml:space="preserve">) </w:t>
      </w:r>
      <w:r w:rsidR="00F31354" w:rsidRPr="00586C0E">
        <w:rPr>
          <w:rFonts w:ascii="Arial" w:hAnsi="Arial" w:cs="Arial"/>
          <w:bCs/>
          <w:sz w:val="24"/>
          <w:szCs w:val="24"/>
        </w:rPr>
        <w:t xml:space="preserve">defecto orgánico, </w:t>
      </w:r>
      <w:r w:rsidR="00F31354" w:rsidRPr="00586C0E">
        <w:rPr>
          <w:rFonts w:ascii="Arial" w:hAnsi="Arial" w:cs="Arial"/>
          <w:b/>
          <w:bCs/>
          <w:sz w:val="24"/>
          <w:szCs w:val="24"/>
        </w:rPr>
        <w:t xml:space="preserve">(v) </w:t>
      </w:r>
      <w:r w:rsidR="00F31354" w:rsidRPr="00586C0E">
        <w:rPr>
          <w:rFonts w:ascii="Arial" w:hAnsi="Arial" w:cs="Arial"/>
          <w:bCs/>
          <w:sz w:val="24"/>
          <w:szCs w:val="24"/>
        </w:rPr>
        <w:t xml:space="preserve">error inducido, </w:t>
      </w:r>
      <w:r w:rsidR="00F31354" w:rsidRPr="00586C0E">
        <w:rPr>
          <w:rFonts w:ascii="Arial" w:hAnsi="Arial" w:cs="Arial"/>
          <w:b/>
          <w:bCs/>
          <w:sz w:val="24"/>
          <w:szCs w:val="24"/>
        </w:rPr>
        <w:t xml:space="preserve">(vi) </w:t>
      </w:r>
      <w:r w:rsidR="00F31354" w:rsidRPr="00586C0E">
        <w:rPr>
          <w:rFonts w:ascii="Arial" w:hAnsi="Arial" w:cs="Arial"/>
          <w:bCs/>
          <w:sz w:val="24"/>
          <w:szCs w:val="24"/>
        </w:rPr>
        <w:t xml:space="preserve">decisión sin motivación, </w:t>
      </w:r>
      <w:r w:rsidR="00F31354" w:rsidRPr="00586C0E">
        <w:rPr>
          <w:rFonts w:ascii="Arial" w:hAnsi="Arial" w:cs="Arial"/>
          <w:b/>
          <w:bCs/>
          <w:sz w:val="24"/>
          <w:szCs w:val="24"/>
        </w:rPr>
        <w:t>(</w:t>
      </w:r>
      <w:proofErr w:type="spellStart"/>
      <w:r w:rsidR="00F31354" w:rsidRPr="00586C0E">
        <w:rPr>
          <w:rFonts w:ascii="Arial" w:hAnsi="Arial" w:cs="Arial"/>
          <w:b/>
          <w:bCs/>
          <w:sz w:val="24"/>
          <w:szCs w:val="24"/>
        </w:rPr>
        <w:t>vii</w:t>
      </w:r>
      <w:proofErr w:type="spellEnd"/>
      <w:r w:rsidR="00F31354" w:rsidRPr="00586C0E">
        <w:rPr>
          <w:rFonts w:ascii="Arial" w:hAnsi="Arial" w:cs="Arial"/>
          <w:b/>
          <w:bCs/>
          <w:sz w:val="24"/>
          <w:szCs w:val="24"/>
        </w:rPr>
        <w:t xml:space="preserve">) </w:t>
      </w:r>
      <w:r w:rsidR="00F31354" w:rsidRPr="00586C0E">
        <w:rPr>
          <w:rFonts w:ascii="Arial" w:hAnsi="Arial" w:cs="Arial"/>
          <w:bCs/>
          <w:sz w:val="24"/>
          <w:szCs w:val="24"/>
        </w:rPr>
        <w:t xml:space="preserve">desconocimiento del precedente y </w:t>
      </w:r>
      <w:r w:rsidR="00F31354" w:rsidRPr="00586C0E">
        <w:rPr>
          <w:rFonts w:ascii="Arial" w:hAnsi="Arial" w:cs="Arial"/>
          <w:b/>
          <w:bCs/>
          <w:sz w:val="24"/>
          <w:szCs w:val="24"/>
        </w:rPr>
        <w:t>(</w:t>
      </w:r>
      <w:proofErr w:type="spellStart"/>
      <w:r w:rsidR="00F31354" w:rsidRPr="00586C0E">
        <w:rPr>
          <w:rFonts w:ascii="Arial" w:hAnsi="Arial" w:cs="Arial"/>
          <w:b/>
          <w:bCs/>
          <w:sz w:val="24"/>
          <w:szCs w:val="24"/>
        </w:rPr>
        <w:t>viii</w:t>
      </w:r>
      <w:proofErr w:type="spellEnd"/>
      <w:r w:rsidR="00F31354" w:rsidRPr="00586C0E">
        <w:rPr>
          <w:rFonts w:ascii="Arial" w:hAnsi="Arial" w:cs="Arial"/>
          <w:b/>
          <w:bCs/>
          <w:sz w:val="24"/>
          <w:szCs w:val="24"/>
        </w:rPr>
        <w:t xml:space="preserve">) </w:t>
      </w:r>
      <w:r w:rsidR="00F31354" w:rsidRPr="00586C0E">
        <w:rPr>
          <w:rFonts w:ascii="Arial" w:hAnsi="Arial" w:cs="Arial"/>
          <w:bCs/>
          <w:sz w:val="24"/>
          <w:szCs w:val="24"/>
        </w:rPr>
        <w:t xml:space="preserve">violación directa de la Constitución. </w:t>
      </w:r>
    </w:p>
    <w:p w14:paraId="3ACB067F" w14:textId="77777777" w:rsidR="00F31354" w:rsidRPr="00586C0E" w:rsidRDefault="00F31354" w:rsidP="00CD03C3">
      <w:pPr>
        <w:rPr>
          <w:rFonts w:ascii="Arial" w:hAnsi="Arial" w:cs="Arial"/>
          <w:bCs/>
          <w:sz w:val="24"/>
          <w:szCs w:val="24"/>
        </w:rPr>
      </w:pPr>
    </w:p>
    <w:p w14:paraId="19C50A95" w14:textId="77777777" w:rsidR="00F31354" w:rsidRPr="00586C0E" w:rsidRDefault="00C42A3A" w:rsidP="00CD03C3">
      <w:pPr>
        <w:rPr>
          <w:rFonts w:ascii="Arial" w:hAnsi="Arial" w:cs="Arial"/>
          <w:bCs/>
          <w:sz w:val="24"/>
          <w:szCs w:val="24"/>
        </w:rPr>
      </w:pPr>
      <w:r w:rsidRPr="00586C0E">
        <w:rPr>
          <w:rFonts w:ascii="Arial" w:hAnsi="Arial" w:cs="Arial"/>
          <w:bCs/>
          <w:sz w:val="24"/>
          <w:szCs w:val="24"/>
        </w:rPr>
        <w:t xml:space="preserve">1.3. </w:t>
      </w:r>
      <w:r w:rsidR="00F31354" w:rsidRPr="00586C0E">
        <w:rPr>
          <w:rFonts w:ascii="Arial" w:hAnsi="Arial" w:cs="Arial"/>
          <w:bCs/>
          <w:sz w:val="24"/>
          <w:szCs w:val="24"/>
        </w:rPr>
        <w:t xml:space="preserve">Las causales específicas que ha decantado la Corte Constitucional (y que han aplicado la mayoría de las autoridades judiciales) buscan que la tutela no se </w:t>
      </w:r>
      <w:r w:rsidR="00F31354" w:rsidRPr="00586C0E">
        <w:rPr>
          <w:rFonts w:ascii="Arial" w:hAnsi="Arial" w:cs="Arial"/>
          <w:bCs/>
          <w:sz w:val="24"/>
          <w:szCs w:val="24"/>
        </w:rPr>
        <w:lastRenderedPageBreak/>
        <w:t xml:space="preserve">convierta en una instancia adicional para que las partes reabran discusiones jurídicas que son propias de los procesos ordinarios o expongan los argumentos que, por negligencia o decisión propia, dejaron de proponer oportunamente. </w:t>
      </w:r>
    </w:p>
    <w:p w14:paraId="3733C4CE" w14:textId="77777777" w:rsidR="00F31354" w:rsidRPr="00586C0E" w:rsidRDefault="00F31354" w:rsidP="00CD03C3">
      <w:pPr>
        <w:rPr>
          <w:rFonts w:ascii="Arial" w:hAnsi="Arial" w:cs="Arial"/>
          <w:bCs/>
          <w:sz w:val="24"/>
          <w:szCs w:val="24"/>
        </w:rPr>
      </w:pPr>
    </w:p>
    <w:p w14:paraId="5811E209" w14:textId="77777777" w:rsidR="00F31354" w:rsidRPr="00586C0E" w:rsidRDefault="00C42A3A" w:rsidP="00CD03C3">
      <w:pPr>
        <w:rPr>
          <w:rFonts w:ascii="Arial" w:hAnsi="Arial" w:cs="Arial"/>
          <w:sz w:val="24"/>
          <w:szCs w:val="24"/>
          <w:lang w:val="es-CO"/>
        </w:rPr>
      </w:pPr>
      <w:r w:rsidRPr="00586C0E">
        <w:rPr>
          <w:rFonts w:ascii="Arial" w:hAnsi="Arial" w:cs="Arial"/>
          <w:sz w:val="24"/>
          <w:szCs w:val="24"/>
          <w:lang w:val="es-CO"/>
        </w:rPr>
        <w:t xml:space="preserve">1.4. </w:t>
      </w:r>
      <w:r w:rsidR="00F31354" w:rsidRPr="00586C0E">
        <w:rPr>
          <w:rFonts w:ascii="Arial" w:hAnsi="Arial" w:cs="Arial"/>
          <w:sz w:val="24"/>
          <w:szCs w:val="24"/>
          <w:lang w:val="es-CO"/>
        </w:rPr>
        <w:t>Ahora, tratándose de tutela contra providencias judiciales proferidas por el Consejo de Estado o por la Corte Suprema de Justicia, cuando ejercen funciones de órganos de cierre en las respectivas jurisdicciones, la Corte Constitucional ha establecido un requisito adicional, consistente en «</w:t>
      </w:r>
      <w:r w:rsidR="00F31354" w:rsidRPr="00586C0E">
        <w:rPr>
          <w:rFonts w:ascii="Arial" w:hAnsi="Arial" w:cs="Arial"/>
          <w:i/>
          <w:sz w:val="24"/>
          <w:szCs w:val="24"/>
          <w:lang w:val="es-CO"/>
        </w:rPr>
        <w:t>la configuración de una anomalía de tal entidad que exija la imperiosa intervención del juez constitucional</w:t>
      </w:r>
      <w:r w:rsidR="00F31354" w:rsidRPr="00586C0E">
        <w:rPr>
          <w:rFonts w:ascii="Arial" w:hAnsi="Arial" w:cs="Arial"/>
          <w:sz w:val="24"/>
          <w:szCs w:val="24"/>
          <w:lang w:val="es-CO"/>
        </w:rPr>
        <w:t>»</w:t>
      </w:r>
      <w:r w:rsidR="00F31354" w:rsidRPr="00586C0E">
        <w:rPr>
          <w:rStyle w:val="Refdenotaalpie"/>
          <w:rFonts w:ascii="Arial" w:hAnsi="Arial" w:cs="Arial"/>
          <w:szCs w:val="24"/>
          <w:lang w:val="es-CO"/>
        </w:rPr>
        <w:footnoteReference w:id="6"/>
      </w:r>
      <w:r w:rsidR="00F31354" w:rsidRPr="00586C0E">
        <w:rPr>
          <w:rFonts w:ascii="Arial" w:hAnsi="Arial" w:cs="Arial"/>
          <w:sz w:val="24"/>
          <w:szCs w:val="24"/>
          <w:lang w:val="es-CO"/>
        </w:rPr>
        <w:t xml:space="preserve">. </w:t>
      </w:r>
    </w:p>
    <w:p w14:paraId="41194CE2" w14:textId="77777777" w:rsidR="00F31354" w:rsidRPr="00586C0E" w:rsidRDefault="00F31354" w:rsidP="00CD03C3">
      <w:pPr>
        <w:rPr>
          <w:rFonts w:ascii="Arial" w:hAnsi="Arial" w:cs="Arial"/>
          <w:sz w:val="24"/>
          <w:szCs w:val="24"/>
          <w:lang w:val="es-CO"/>
        </w:rPr>
      </w:pPr>
    </w:p>
    <w:p w14:paraId="02A75D3C" w14:textId="77777777" w:rsidR="00F31354" w:rsidRPr="00586C0E" w:rsidRDefault="00F31354" w:rsidP="00CD03C3">
      <w:pPr>
        <w:numPr>
          <w:ilvl w:val="0"/>
          <w:numId w:val="2"/>
        </w:numPr>
        <w:pBdr>
          <w:top w:val="nil"/>
          <w:left w:val="nil"/>
          <w:bottom w:val="nil"/>
          <w:right w:val="nil"/>
          <w:between w:val="nil"/>
        </w:pBdr>
        <w:contextualSpacing/>
        <w:jc w:val="left"/>
        <w:rPr>
          <w:rFonts w:ascii="Arial" w:hAnsi="Arial" w:cs="Arial"/>
          <w:sz w:val="24"/>
          <w:szCs w:val="24"/>
        </w:rPr>
      </w:pPr>
      <w:bookmarkStart w:id="3" w:name="_Hlk517684705"/>
      <w:r w:rsidRPr="00586C0E">
        <w:rPr>
          <w:rFonts w:ascii="Arial" w:hAnsi="Arial" w:cs="Arial"/>
          <w:b/>
          <w:sz w:val="24"/>
          <w:szCs w:val="24"/>
        </w:rPr>
        <w:t xml:space="preserve">Planteamiento y solución del problema jurídico </w:t>
      </w:r>
    </w:p>
    <w:p w14:paraId="69B0862F" w14:textId="77777777" w:rsidR="00F31354" w:rsidRPr="00586C0E" w:rsidRDefault="00F31354" w:rsidP="00CD03C3">
      <w:pPr>
        <w:contextualSpacing/>
        <w:rPr>
          <w:rFonts w:ascii="Arial" w:hAnsi="Arial" w:cs="Arial"/>
          <w:b/>
          <w:sz w:val="24"/>
          <w:szCs w:val="24"/>
        </w:rPr>
      </w:pPr>
    </w:p>
    <w:p w14:paraId="3418AC8B" w14:textId="77777777" w:rsidR="006835DB" w:rsidRPr="00586C0E" w:rsidRDefault="00C42A3A" w:rsidP="00CD03C3">
      <w:pPr>
        <w:rPr>
          <w:rFonts w:ascii="Arial" w:eastAsia="Verdana" w:hAnsi="Arial" w:cs="Arial"/>
          <w:sz w:val="24"/>
          <w:szCs w:val="24"/>
        </w:rPr>
      </w:pPr>
      <w:r w:rsidRPr="00586C0E">
        <w:rPr>
          <w:rFonts w:ascii="Arial" w:hAnsi="Arial" w:cs="Arial"/>
          <w:sz w:val="24"/>
          <w:szCs w:val="24"/>
        </w:rPr>
        <w:t>En los términos de la impugnación, c</w:t>
      </w:r>
      <w:r w:rsidR="00F31354" w:rsidRPr="00586C0E">
        <w:rPr>
          <w:rFonts w:ascii="Arial" w:eastAsia="Verdana" w:hAnsi="Arial" w:cs="Arial"/>
          <w:sz w:val="24"/>
          <w:szCs w:val="24"/>
        </w:rPr>
        <w:t xml:space="preserve">orresponde a la Sala </w:t>
      </w:r>
      <w:r w:rsidR="00902236" w:rsidRPr="00586C0E">
        <w:rPr>
          <w:rFonts w:ascii="Arial" w:eastAsia="Verdana" w:hAnsi="Arial" w:cs="Arial"/>
          <w:sz w:val="24"/>
          <w:szCs w:val="24"/>
        </w:rPr>
        <w:t xml:space="preserve">determinar si confirma la sentencia de tutela de primera instancia, que denegó el amparo solicitado, o si, como lo alega la sociedad impugnante, debe revocarse porque la sentencia del 28 de febrero de 2018, dictada por </w:t>
      </w:r>
      <w:r w:rsidR="00F31354" w:rsidRPr="00586C0E">
        <w:rPr>
          <w:rFonts w:ascii="Arial" w:eastAsia="Verdana" w:hAnsi="Arial" w:cs="Arial"/>
          <w:sz w:val="24"/>
          <w:szCs w:val="24"/>
        </w:rPr>
        <w:t xml:space="preserve">el Tribunal Administrativo de Nariño, </w:t>
      </w:r>
      <w:r w:rsidR="00CE663E" w:rsidRPr="00586C0E">
        <w:rPr>
          <w:rFonts w:ascii="Arial" w:eastAsia="Verdana" w:hAnsi="Arial" w:cs="Arial"/>
          <w:sz w:val="24"/>
          <w:szCs w:val="24"/>
        </w:rPr>
        <w:t xml:space="preserve">i) </w:t>
      </w:r>
      <w:r w:rsidR="00902236" w:rsidRPr="00586C0E">
        <w:rPr>
          <w:rFonts w:ascii="Arial" w:eastAsia="Verdana" w:hAnsi="Arial" w:cs="Arial"/>
          <w:sz w:val="24"/>
          <w:szCs w:val="24"/>
        </w:rPr>
        <w:t>desconoció el derecho de acceso a la administración de justicia</w:t>
      </w:r>
      <w:r w:rsidRPr="00586C0E">
        <w:rPr>
          <w:rFonts w:ascii="Arial" w:eastAsia="Verdana" w:hAnsi="Arial" w:cs="Arial"/>
          <w:sz w:val="24"/>
          <w:szCs w:val="24"/>
        </w:rPr>
        <w:t>,</w:t>
      </w:r>
      <w:r w:rsidR="00902236" w:rsidRPr="00586C0E">
        <w:rPr>
          <w:rFonts w:ascii="Arial" w:eastAsia="Verdana" w:hAnsi="Arial" w:cs="Arial"/>
          <w:sz w:val="24"/>
          <w:szCs w:val="24"/>
        </w:rPr>
        <w:t xml:space="preserve"> cuando concluyó que la acción que debió adelantar es la ejecutiva ante la jurisdicción ordinaria</w:t>
      </w:r>
      <w:r w:rsidRPr="00586C0E">
        <w:rPr>
          <w:rFonts w:ascii="Arial" w:eastAsia="Verdana" w:hAnsi="Arial" w:cs="Arial"/>
          <w:sz w:val="24"/>
          <w:szCs w:val="24"/>
        </w:rPr>
        <w:t>, e</w:t>
      </w:r>
      <w:r w:rsidR="00902236" w:rsidRPr="00586C0E">
        <w:rPr>
          <w:rFonts w:ascii="Arial" w:eastAsia="Verdana" w:hAnsi="Arial" w:cs="Arial"/>
          <w:sz w:val="24"/>
          <w:szCs w:val="24"/>
        </w:rPr>
        <w:t xml:space="preserve"> </w:t>
      </w:r>
      <w:proofErr w:type="spellStart"/>
      <w:r w:rsidR="00CE663E" w:rsidRPr="00586C0E">
        <w:rPr>
          <w:rFonts w:ascii="Arial" w:eastAsia="Verdana" w:hAnsi="Arial" w:cs="Arial"/>
          <w:sz w:val="24"/>
          <w:szCs w:val="24"/>
        </w:rPr>
        <w:t>ii</w:t>
      </w:r>
      <w:proofErr w:type="spellEnd"/>
      <w:r w:rsidR="00CE663E" w:rsidRPr="00586C0E">
        <w:rPr>
          <w:rFonts w:ascii="Arial" w:eastAsia="Verdana" w:hAnsi="Arial" w:cs="Arial"/>
          <w:sz w:val="24"/>
          <w:szCs w:val="24"/>
        </w:rPr>
        <w:t xml:space="preserve">) </w:t>
      </w:r>
      <w:r w:rsidR="00427821" w:rsidRPr="00586C0E">
        <w:rPr>
          <w:rFonts w:ascii="Arial" w:eastAsia="Verdana" w:hAnsi="Arial" w:cs="Arial"/>
          <w:sz w:val="24"/>
          <w:szCs w:val="24"/>
        </w:rPr>
        <w:t>incurrió en defecto fáctico por indebida valoración probatoria</w:t>
      </w:r>
      <w:r w:rsidRPr="00586C0E">
        <w:rPr>
          <w:rFonts w:ascii="Arial" w:eastAsia="Verdana" w:hAnsi="Arial" w:cs="Arial"/>
          <w:sz w:val="24"/>
          <w:szCs w:val="24"/>
        </w:rPr>
        <w:t>,</w:t>
      </w:r>
      <w:r w:rsidR="00427821" w:rsidRPr="00586C0E">
        <w:rPr>
          <w:rFonts w:ascii="Arial" w:eastAsia="Verdana" w:hAnsi="Arial" w:cs="Arial"/>
          <w:sz w:val="24"/>
          <w:szCs w:val="24"/>
        </w:rPr>
        <w:t xml:space="preserve"> al estimar que</w:t>
      </w:r>
      <w:r w:rsidR="00902236" w:rsidRPr="00586C0E">
        <w:rPr>
          <w:rFonts w:ascii="Arial" w:eastAsia="Verdana" w:hAnsi="Arial" w:cs="Arial"/>
          <w:sz w:val="24"/>
          <w:szCs w:val="24"/>
        </w:rPr>
        <w:t xml:space="preserve">, en todo caso, tampoco se probaron los requisitos del enriquecimiento sin causa.  </w:t>
      </w:r>
      <w:r w:rsidR="000F22F2" w:rsidRPr="00586C0E">
        <w:rPr>
          <w:rFonts w:ascii="Arial" w:eastAsia="Verdana" w:hAnsi="Arial" w:cs="Arial"/>
          <w:sz w:val="24"/>
          <w:szCs w:val="24"/>
        </w:rPr>
        <w:t xml:space="preserve">En ese mismo orden serán resueltos por la Sala. </w:t>
      </w:r>
    </w:p>
    <w:p w14:paraId="31A01774" w14:textId="77777777" w:rsidR="000F22F2" w:rsidRPr="00586C0E" w:rsidRDefault="000F22F2" w:rsidP="00427821">
      <w:pPr>
        <w:shd w:val="clear" w:color="auto" w:fill="FFFFFF"/>
        <w:rPr>
          <w:rFonts w:ascii="Arial" w:eastAsia="Verdana" w:hAnsi="Arial" w:cs="Arial"/>
          <w:b/>
          <w:sz w:val="24"/>
          <w:szCs w:val="24"/>
        </w:rPr>
      </w:pPr>
    </w:p>
    <w:p w14:paraId="65B09781" w14:textId="77777777" w:rsidR="000F22F2" w:rsidRPr="00586C0E" w:rsidRDefault="000F22F2" w:rsidP="000F22F2">
      <w:pPr>
        <w:shd w:val="clear" w:color="auto" w:fill="FFFFFF"/>
        <w:ind w:left="708"/>
        <w:rPr>
          <w:rFonts w:ascii="Arial" w:eastAsia="Verdana" w:hAnsi="Arial" w:cs="Arial"/>
          <w:b/>
          <w:sz w:val="24"/>
          <w:szCs w:val="24"/>
        </w:rPr>
      </w:pPr>
      <w:r w:rsidRPr="00586C0E">
        <w:rPr>
          <w:rFonts w:ascii="Arial" w:eastAsia="Verdana" w:hAnsi="Arial" w:cs="Arial"/>
          <w:b/>
          <w:sz w:val="24"/>
          <w:szCs w:val="24"/>
        </w:rPr>
        <w:t>2.</w:t>
      </w:r>
      <w:r w:rsidR="00476AB2" w:rsidRPr="00586C0E">
        <w:rPr>
          <w:rFonts w:ascii="Arial" w:eastAsia="Verdana" w:hAnsi="Arial" w:cs="Arial"/>
          <w:b/>
          <w:sz w:val="24"/>
          <w:szCs w:val="24"/>
        </w:rPr>
        <w:t>1</w:t>
      </w:r>
      <w:r w:rsidRPr="00586C0E">
        <w:rPr>
          <w:rFonts w:ascii="Arial" w:eastAsia="Verdana" w:hAnsi="Arial" w:cs="Arial"/>
          <w:b/>
          <w:sz w:val="24"/>
          <w:szCs w:val="24"/>
        </w:rPr>
        <w:t xml:space="preserve">. Sobre el derecho fundamental de acceso a la administración de justicia </w:t>
      </w:r>
    </w:p>
    <w:p w14:paraId="42B10BF3" w14:textId="77777777" w:rsidR="000F22F2" w:rsidRPr="00586C0E" w:rsidRDefault="000F22F2" w:rsidP="000F22F2">
      <w:pPr>
        <w:shd w:val="clear" w:color="auto" w:fill="FFFFFF"/>
        <w:rPr>
          <w:rFonts w:ascii="Arial" w:eastAsia="Verdana" w:hAnsi="Arial" w:cs="Arial"/>
          <w:b/>
          <w:sz w:val="24"/>
          <w:szCs w:val="24"/>
        </w:rPr>
      </w:pPr>
    </w:p>
    <w:p w14:paraId="1D244C2F" w14:textId="77777777" w:rsidR="00FB4A81" w:rsidRPr="00586C0E" w:rsidRDefault="00894C1B" w:rsidP="00FB4A81">
      <w:pPr>
        <w:shd w:val="clear" w:color="auto" w:fill="FFFFFF"/>
        <w:rPr>
          <w:rFonts w:ascii="Arial" w:eastAsia="Verdana" w:hAnsi="Arial" w:cs="Arial"/>
          <w:sz w:val="24"/>
          <w:szCs w:val="24"/>
        </w:rPr>
      </w:pPr>
      <w:r w:rsidRPr="00586C0E">
        <w:rPr>
          <w:rFonts w:ascii="Arial" w:eastAsia="Verdana" w:hAnsi="Arial" w:cs="Arial"/>
          <w:sz w:val="24"/>
          <w:szCs w:val="24"/>
        </w:rPr>
        <w:t>2.</w:t>
      </w:r>
      <w:r w:rsidR="00476AB2" w:rsidRPr="00586C0E">
        <w:rPr>
          <w:rFonts w:ascii="Arial" w:eastAsia="Verdana" w:hAnsi="Arial" w:cs="Arial"/>
          <w:sz w:val="24"/>
          <w:szCs w:val="24"/>
        </w:rPr>
        <w:t>1</w:t>
      </w:r>
      <w:r w:rsidRPr="00586C0E">
        <w:rPr>
          <w:rFonts w:ascii="Arial" w:eastAsia="Verdana" w:hAnsi="Arial" w:cs="Arial"/>
          <w:sz w:val="24"/>
          <w:szCs w:val="24"/>
        </w:rPr>
        <w:t xml:space="preserve">.1. </w:t>
      </w:r>
      <w:r w:rsidR="000F22F2" w:rsidRPr="00586C0E">
        <w:rPr>
          <w:rFonts w:ascii="Arial" w:eastAsia="Verdana" w:hAnsi="Arial" w:cs="Arial"/>
          <w:sz w:val="24"/>
          <w:szCs w:val="24"/>
        </w:rPr>
        <w:t xml:space="preserve">El </w:t>
      </w:r>
      <w:r w:rsidR="00FB4A81" w:rsidRPr="00586C0E">
        <w:rPr>
          <w:rFonts w:ascii="Arial" w:eastAsia="Verdana" w:hAnsi="Arial" w:cs="Arial"/>
          <w:sz w:val="24"/>
          <w:szCs w:val="24"/>
        </w:rPr>
        <w:t xml:space="preserve">artículo 229 </w:t>
      </w:r>
      <w:r w:rsidR="000F22F2" w:rsidRPr="00586C0E">
        <w:rPr>
          <w:rFonts w:ascii="Arial" w:eastAsia="Verdana" w:hAnsi="Arial" w:cs="Arial"/>
          <w:sz w:val="24"/>
          <w:szCs w:val="24"/>
        </w:rPr>
        <w:t>de la Constitución Política</w:t>
      </w:r>
      <w:r w:rsidR="00FB4A81" w:rsidRPr="00586C0E">
        <w:rPr>
          <w:rFonts w:ascii="Arial" w:eastAsia="Verdana" w:hAnsi="Arial" w:cs="Arial"/>
          <w:sz w:val="24"/>
          <w:szCs w:val="24"/>
        </w:rPr>
        <w:t xml:space="preserve"> garantiza el derecho de acceso a la administración de justicia. Este derecho involucra tres garantías fundamentales: el acceso </w:t>
      </w:r>
      <w:r w:rsidRPr="00586C0E">
        <w:rPr>
          <w:rFonts w:ascii="Arial" w:eastAsia="Verdana" w:hAnsi="Arial" w:cs="Arial"/>
          <w:sz w:val="24"/>
          <w:szCs w:val="24"/>
        </w:rPr>
        <w:t xml:space="preserve">efectivo </w:t>
      </w:r>
      <w:r w:rsidR="00FB4A81" w:rsidRPr="00586C0E">
        <w:rPr>
          <w:rFonts w:ascii="Arial" w:eastAsia="Verdana" w:hAnsi="Arial" w:cs="Arial"/>
          <w:sz w:val="24"/>
          <w:szCs w:val="24"/>
        </w:rPr>
        <w:t>a la justicia, el derecho a obtener una resolución de fondo y el derecho a la ejecución material del fallo</w:t>
      </w:r>
      <w:r w:rsidR="00142FFF" w:rsidRPr="00586C0E">
        <w:rPr>
          <w:rFonts w:ascii="Arial" w:eastAsia="Verdana" w:hAnsi="Arial" w:cs="Arial"/>
          <w:sz w:val="24"/>
          <w:szCs w:val="24"/>
        </w:rPr>
        <w:t xml:space="preserve">, como a continuación se explica. </w:t>
      </w:r>
    </w:p>
    <w:p w14:paraId="148B77ED" w14:textId="77777777" w:rsidR="00CD7471" w:rsidRPr="00586C0E" w:rsidRDefault="00CD7471" w:rsidP="00FB4A81">
      <w:pPr>
        <w:shd w:val="clear" w:color="auto" w:fill="FFFFFF"/>
        <w:rPr>
          <w:rFonts w:ascii="Arial" w:eastAsia="Verdana" w:hAnsi="Arial" w:cs="Arial"/>
          <w:sz w:val="24"/>
          <w:szCs w:val="24"/>
        </w:rPr>
      </w:pPr>
    </w:p>
    <w:p w14:paraId="45847233" w14:textId="77777777" w:rsidR="00C05B16" w:rsidRPr="00586C0E" w:rsidRDefault="00476AB2" w:rsidP="00FB4A81">
      <w:pPr>
        <w:shd w:val="clear" w:color="auto" w:fill="FFFFFF"/>
        <w:rPr>
          <w:rFonts w:ascii="Arial" w:hAnsi="Arial" w:cs="Arial"/>
          <w:color w:val="000000"/>
          <w:sz w:val="24"/>
          <w:szCs w:val="24"/>
          <w:shd w:val="clear" w:color="auto" w:fill="FFFFFF"/>
        </w:rPr>
      </w:pPr>
      <w:r w:rsidRPr="00586C0E">
        <w:rPr>
          <w:rFonts w:ascii="Arial" w:eastAsia="Verdana" w:hAnsi="Arial" w:cs="Arial"/>
          <w:sz w:val="24"/>
          <w:szCs w:val="24"/>
        </w:rPr>
        <w:t>2.1</w:t>
      </w:r>
      <w:r w:rsidR="00C05B16" w:rsidRPr="00586C0E">
        <w:rPr>
          <w:rFonts w:ascii="Arial" w:eastAsia="Verdana" w:hAnsi="Arial" w:cs="Arial"/>
          <w:sz w:val="24"/>
          <w:szCs w:val="24"/>
        </w:rPr>
        <w:t>.</w:t>
      </w:r>
      <w:r w:rsidR="00142FFF" w:rsidRPr="00586C0E">
        <w:rPr>
          <w:rFonts w:ascii="Arial" w:eastAsia="Verdana" w:hAnsi="Arial" w:cs="Arial"/>
          <w:sz w:val="24"/>
          <w:szCs w:val="24"/>
        </w:rPr>
        <w:t>1.1</w:t>
      </w:r>
      <w:r w:rsidR="00C05B16" w:rsidRPr="00586C0E">
        <w:rPr>
          <w:rFonts w:ascii="Arial" w:eastAsia="Verdana" w:hAnsi="Arial" w:cs="Arial"/>
          <w:sz w:val="24"/>
          <w:szCs w:val="24"/>
        </w:rPr>
        <w:t xml:space="preserve">. La primera garantía, esto es, el acceso a la justicia tiene que ver con la posibilidad de que cualquier persona solicite a los jueces competentes la protección de los derechos reconocidos por el ordenamiento jurídico. Se trata de la garantía más importante, por cuanto constituye un presupuesto indispensable para </w:t>
      </w:r>
      <w:r w:rsidR="00C05B16" w:rsidRPr="00586C0E">
        <w:rPr>
          <w:rFonts w:ascii="Arial" w:eastAsia="Verdana" w:hAnsi="Arial" w:cs="Arial"/>
          <w:color w:val="000000"/>
          <w:sz w:val="24"/>
          <w:szCs w:val="24"/>
        </w:rPr>
        <w:t>materializar los demás derechos fundamentales. En palabra</w:t>
      </w:r>
      <w:r w:rsidRPr="00586C0E">
        <w:rPr>
          <w:rFonts w:ascii="Arial" w:eastAsia="Verdana" w:hAnsi="Arial" w:cs="Arial"/>
          <w:color w:val="000000"/>
          <w:sz w:val="24"/>
          <w:szCs w:val="24"/>
        </w:rPr>
        <w:t xml:space="preserve">s de la Corte Constitucional, esta garantía </w:t>
      </w:r>
      <w:r w:rsidR="00C05B16" w:rsidRPr="00586C0E">
        <w:rPr>
          <w:rFonts w:ascii="Arial" w:eastAsia="Verdana" w:hAnsi="Arial" w:cs="Arial"/>
          <w:color w:val="000000"/>
          <w:sz w:val="24"/>
          <w:szCs w:val="24"/>
        </w:rPr>
        <w:t>«</w:t>
      </w:r>
      <w:r w:rsidR="00C05B16" w:rsidRPr="00586C0E">
        <w:rPr>
          <w:rFonts w:ascii="Arial" w:hAnsi="Arial" w:cs="Arial"/>
          <w:i/>
          <w:color w:val="000000"/>
          <w:sz w:val="24"/>
          <w:szCs w:val="24"/>
          <w:shd w:val="clear" w:color="auto" w:fill="FFFFFF"/>
        </w:rPr>
        <w:t>comprende: (i) el derecho de acción; (</w:t>
      </w:r>
      <w:proofErr w:type="spellStart"/>
      <w:r w:rsidR="00C05B16" w:rsidRPr="00586C0E">
        <w:rPr>
          <w:rFonts w:ascii="Arial" w:hAnsi="Arial" w:cs="Arial"/>
          <w:i/>
          <w:color w:val="000000"/>
          <w:sz w:val="24"/>
          <w:szCs w:val="24"/>
          <w:shd w:val="clear" w:color="auto" w:fill="FFFFFF"/>
        </w:rPr>
        <w:t>ii</w:t>
      </w:r>
      <w:proofErr w:type="spellEnd"/>
      <w:r w:rsidR="00C05B16" w:rsidRPr="00586C0E">
        <w:rPr>
          <w:rFonts w:ascii="Arial" w:hAnsi="Arial" w:cs="Arial"/>
          <w:i/>
          <w:color w:val="000000"/>
          <w:sz w:val="24"/>
          <w:szCs w:val="24"/>
          <w:shd w:val="clear" w:color="auto" w:fill="FFFFFF"/>
        </w:rPr>
        <w:t>) a contar con procedimientos idóneos y efectivos para la determinación legal de derechos y obligaciones</w:t>
      </w:r>
      <w:r w:rsidR="00C05B16" w:rsidRPr="00586C0E">
        <w:rPr>
          <w:rStyle w:val="Refdenotaalpie"/>
          <w:rFonts w:ascii="Arial" w:hAnsi="Arial" w:cs="Arial"/>
          <w:i/>
          <w:color w:val="000000"/>
          <w:szCs w:val="24"/>
          <w:shd w:val="clear" w:color="auto" w:fill="FFFFFF"/>
        </w:rPr>
        <w:footnoteReference w:id="7"/>
      </w:r>
      <w:r w:rsidR="00C05B16" w:rsidRPr="00586C0E">
        <w:rPr>
          <w:rFonts w:ascii="Arial" w:hAnsi="Arial" w:cs="Arial"/>
          <w:i/>
          <w:color w:val="000000"/>
          <w:sz w:val="24"/>
          <w:szCs w:val="24"/>
          <w:shd w:val="clear" w:color="auto" w:fill="FFFFFF"/>
        </w:rPr>
        <w:t>; y (</w:t>
      </w:r>
      <w:proofErr w:type="spellStart"/>
      <w:r w:rsidR="00C05B16" w:rsidRPr="00586C0E">
        <w:rPr>
          <w:rFonts w:ascii="Arial" w:hAnsi="Arial" w:cs="Arial"/>
          <w:i/>
          <w:color w:val="000000"/>
          <w:sz w:val="24"/>
          <w:szCs w:val="24"/>
          <w:shd w:val="clear" w:color="auto" w:fill="FFFFFF"/>
        </w:rPr>
        <w:t>iii</w:t>
      </w:r>
      <w:proofErr w:type="spellEnd"/>
      <w:r w:rsidR="00C05B16" w:rsidRPr="00586C0E">
        <w:rPr>
          <w:rFonts w:ascii="Arial" w:hAnsi="Arial" w:cs="Arial"/>
          <w:i/>
          <w:color w:val="000000"/>
          <w:sz w:val="24"/>
          <w:szCs w:val="24"/>
          <w:shd w:val="clear" w:color="auto" w:fill="FFFFFF"/>
        </w:rPr>
        <w:t>) a que la oferta de justicia permita el acceso a ella en todo el territorio nacional</w:t>
      </w:r>
      <w:r w:rsidR="00C05B16" w:rsidRPr="00586C0E">
        <w:rPr>
          <w:rStyle w:val="Refdenotaalpie"/>
          <w:rFonts w:ascii="Arial" w:hAnsi="Arial" w:cs="Arial"/>
          <w:color w:val="000000"/>
          <w:szCs w:val="24"/>
          <w:shd w:val="clear" w:color="auto" w:fill="FFFFFF"/>
        </w:rPr>
        <w:footnoteReference w:id="8"/>
      </w:r>
      <w:r w:rsidR="00C05B16" w:rsidRPr="00586C0E">
        <w:rPr>
          <w:rFonts w:ascii="Arial" w:hAnsi="Arial" w:cs="Arial"/>
          <w:color w:val="000000"/>
          <w:sz w:val="24"/>
          <w:szCs w:val="24"/>
          <w:shd w:val="clear" w:color="auto" w:fill="FFFFFF"/>
        </w:rPr>
        <w:t>»</w:t>
      </w:r>
      <w:r w:rsidR="00A86338" w:rsidRPr="00586C0E">
        <w:rPr>
          <w:rStyle w:val="Refdenotaalpie"/>
          <w:rFonts w:ascii="Arial" w:hAnsi="Arial" w:cs="Arial"/>
          <w:szCs w:val="24"/>
          <w:shd w:val="clear" w:color="auto" w:fill="FFFFFF"/>
        </w:rPr>
        <w:footnoteReference w:id="9"/>
      </w:r>
      <w:r w:rsidR="00C05B16" w:rsidRPr="00586C0E">
        <w:rPr>
          <w:rFonts w:ascii="Arial" w:hAnsi="Arial" w:cs="Arial"/>
          <w:color w:val="000000"/>
          <w:sz w:val="24"/>
          <w:szCs w:val="24"/>
          <w:shd w:val="clear" w:color="auto" w:fill="FFFFFF"/>
        </w:rPr>
        <w:t xml:space="preserve">. </w:t>
      </w:r>
    </w:p>
    <w:p w14:paraId="051DE3BA" w14:textId="77777777" w:rsidR="00C05B16" w:rsidRPr="00586C0E" w:rsidRDefault="00C05B16" w:rsidP="00FB4A81">
      <w:pPr>
        <w:shd w:val="clear" w:color="auto" w:fill="FFFFFF"/>
        <w:rPr>
          <w:rFonts w:ascii="Arial" w:hAnsi="Arial" w:cs="Arial"/>
          <w:color w:val="000000"/>
          <w:sz w:val="24"/>
          <w:szCs w:val="24"/>
          <w:shd w:val="clear" w:color="auto" w:fill="FFFFFF"/>
        </w:rPr>
      </w:pPr>
    </w:p>
    <w:p w14:paraId="66B5F7D6" w14:textId="77777777" w:rsidR="00C05B16" w:rsidRPr="00586C0E" w:rsidRDefault="00C05B16" w:rsidP="00FB4A81">
      <w:pPr>
        <w:shd w:val="clear" w:color="auto" w:fill="FFFFFF"/>
        <w:rPr>
          <w:rFonts w:ascii="Arial" w:eastAsia="Verdana" w:hAnsi="Arial" w:cs="Arial"/>
          <w:sz w:val="24"/>
          <w:szCs w:val="24"/>
        </w:rPr>
      </w:pPr>
      <w:r w:rsidRPr="00586C0E">
        <w:rPr>
          <w:rFonts w:ascii="Arial" w:hAnsi="Arial" w:cs="Arial"/>
          <w:color w:val="000000"/>
          <w:sz w:val="24"/>
          <w:szCs w:val="24"/>
          <w:shd w:val="clear" w:color="auto" w:fill="FFFFFF"/>
        </w:rPr>
        <w:t>2.</w:t>
      </w:r>
      <w:r w:rsidR="00476AB2" w:rsidRPr="00586C0E">
        <w:rPr>
          <w:rFonts w:ascii="Arial" w:hAnsi="Arial" w:cs="Arial"/>
          <w:color w:val="000000"/>
          <w:sz w:val="24"/>
          <w:szCs w:val="24"/>
          <w:shd w:val="clear" w:color="auto" w:fill="FFFFFF"/>
        </w:rPr>
        <w:t>1</w:t>
      </w:r>
      <w:r w:rsidRPr="00586C0E">
        <w:rPr>
          <w:rFonts w:ascii="Arial" w:hAnsi="Arial" w:cs="Arial"/>
          <w:color w:val="000000"/>
          <w:sz w:val="24"/>
          <w:szCs w:val="24"/>
          <w:shd w:val="clear" w:color="auto" w:fill="FFFFFF"/>
        </w:rPr>
        <w:t>.</w:t>
      </w:r>
      <w:r w:rsidR="00142FFF" w:rsidRPr="00586C0E">
        <w:rPr>
          <w:rFonts w:ascii="Arial" w:hAnsi="Arial" w:cs="Arial"/>
          <w:color w:val="000000"/>
          <w:sz w:val="24"/>
          <w:szCs w:val="24"/>
          <w:shd w:val="clear" w:color="auto" w:fill="FFFFFF"/>
        </w:rPr>
        <w:t>1.2</w:t>
      </w:r>
      <w:r w:rsidRPr="00586C0E">
        <w:rPr>
          <w:rFonts w:ascii="Arial" w:hAnsi="Arial" w:cs="Arial"/>
          <w:color w:val="000000"/>
          <w:sz w:val="24"/>
          <w:szCs w:val="24"/>
          <w:shd w:val="clear" w:color="auto" w:fill="FFFFFF"/>
        </w:rPr>
        <w:t>. E</w:t>
      </w:r>
      <w:r w:rsidRPr="00586C0E">
        <w:rPr>
          <w:rFonts w:ascii="Arial" w:eastAsia="Verdana" w:hAnsi="Arial" w:cs="Arial"/>
          <w:sz w:val="24"/>
          <w:szCs w:val="24"/>
        </w:rPr>
        <w:t xml:space="preserve">l derecho a obtener una resolución de fondo (segunda garantía) implica que el derecho de acceso a la administración de justicia no se materializa </w:t>
      </w:r>
      <w:r w:rsidRPr="00586C0E">
        <w:rPr>
          <w:rFonts w:ascii="Arial" w:eastAsia="Verdana" w:hAnsi="Arial" w:cs="Arial"/>
          <w:sz w:val="24"/>
          <w:szCs w:val="24"/>
        </w:rPr>
        <w:lastRenderedPageBreak/>
        <w:t>simplemente con la posibilidad de acudir a la jurisdicción, sino que requiere de la decisión de fondo sob</w:t>
      </w:r>
      <w:r w:rsidR="00476AB2" w:rsidRPr="00586C0E">
        <w:rPr>
          <w:rFonts w:ascii="Arial" w:eastAsia="Verdana" w:hAnsi="Arial" w:cs="Arial"/>
          <w:sz w:val="24"/>
          <w:szCs w:val="24"/>
        </w:rPr>
        <w:t>re las pretensiones formuladas</w:t>
      </w:r>
      <w:r w:rsidRPr="00586C0E">
        <w:rPr>
          <w:rFonts w:ascii="Arial" w:eastAsia="Verdana" w:hAnsi="Arial" w:cs="Arial"/>
          <w:sz w:val="24"/>
          <w:szCs w:val="24"/>
        </w:rPr>
        <w:t>. Por supuesto, esta garantía no pu</w:t>
      </w:r>
      <w:r w:rsidR="00142FFF" w:rsidRPr="00586C0E">
        <w:rPr>
          <w:rFonts w:ascii="Arial" w:eastAsia="Verdana" w:hAnsi="Arial" w:cs="Arial"/>
          <w:sz w:val="24"/>
          <w:szCs w:val="24"/>
        </w:rPr>
        <w:t xml:space="preserve">ede traducirse en el derecho a obtener una decisión favorable a las pretensiones. Lo verdaderamente importante es la decisión de fondo, bien sea favorable o desfavorable. </w:t>
      </w:r>
    </w:p>
    <w:p w14:paraId="6DF1BF74" w14:textId="77777777" w:rsidR="00142FFF" w:rsidRPr="00586C0E" w:rsidRDefault="00142FFF" w:rsidP="00FB4A81">
      <w:pPr>
        <w:shd w:val="clear" w:color="auto" w:fill="FFFFFF"/>
        <w:rPr>
          <w:rFonts w:ascii="Arial" w:eastAsia="Verdana" w:hAnsi="Arial" w:cs="Arial"/>
          <w:sz w:val="24"/>
          <w:szCs w:val="24"/>
        </w:rPr>
      </w:pPr>
    </w:p>
    <w:p w14:paraId="6E4AC8DD" w14:textId="77777777" w:rsidR="000F22F2" w:rsidRPr="00586C0E" w:rsidRDefault="00476AB2" w:rsidP="00894C1B">
      <w:pPr>
        <w:shd w:val="clear" w:color="auto" w:fill="FFFFFF"/>
        <w:rPr>
          <w:rFonts w:ascii="Arial" w:hAnsi="Arial" w:cs="Arial"/>
          <w:color w:val="000000"/>
          <w:sz w:val="24"/>
          <w:szCs w:val="24"/>
          <w:shd w:val="clear" w:color="auto" w:fill="FFFFFF"/>
        </w:rPr>
      </w:pPr>
      <w:r w:rsidRPr="00586C0E">
        <w:rPr>
          <w:rFonts w:ascii="Arial" w:eastAsia="Verdana" w:hAnsi="Arial" w:cs="Arial"/>
          <w:sz w:val="24"/>
          <w:szCs w:val="24"/>
        </w:rPr>
        <w:t>2.1</w:t>
      </w:r>
      <w:r w:rsidR="00142FFF" w:rsidRPr="00586C0E">
        <w:rPr>
          <w:rFonts w:ascii="Arial" w:eastAsia="Verdana" w:hAnsi="Arial" w:cs="Arial"/>
          <w:sz w:val="24"/>
          <w:szCs w:val="24"/>
        </w:rPr>
        <w:t xml:space="preserve">.1.3. Por último, el derecho de acceso a la administración de justicia implica </w:t>
      </w:r>
      <w:r w:rsidRPr="00586C0E">
        <w:rPr>
          <w:rFonts w:ascii="Arial" w:eastAsia="Verdana" w:hAnsi="Arial" w:cs="Arial"/>
          <w:sz w:val="24"/>
          <w:szCs w:val="24"/>
        </w:rPr>
        <w:t>la ejecución material del fallo, es decir, que</w:t>
      </w:r>
      <w:r w:rsidR="00142FFF" w:rsidRPr="00586C0E">
        <w:rPr>
          <w:rFonts w:ascii="Arial" w:eastAsia="Verdana" w:hAnsi="Arial" w:cs="Arial"/>
          <w:sz w:val="24"/>
          <w:szCs w:val="24"/>
        </w:rPr>
        <w:t xml:space="preserve"> se cumpla</w:t>
      </w:r>
      <w:r w:rsidR="00A86338" w:rsidRPr="00586C0E">
        <w:rPr>
          <w:rFonts w:ascii="Arial" w:eastAsia="Verdana" w:hAnsi="Arial" w:cs="Arial"/>
          <w:color w:val="000000"/>
          <w:sz w:val="24"/>
          <w:szCs w:val="24"/>
        </w:rPr>
        <w:t xml:space="preserve"> en los términos previstos en la propia sentencia. Sobre este punto, la Corte Constitucional ha explicado que «</w:t>
      </w:r>
      <w:r w:rsidR="00A86338" w:rsidRPr="00586C0E">
        <w:rPr>
          <w:rFonts w:ascii="Arial" w:eastAsia="Verdana" w:hAnsi="Arial" w:cs="Arial"/>
          <w:i/>
          <w:color w:val="000000"/>
          <w:sz w:val="24"/>
          <w:szCs w:val="24"/>
        </w:rPr>
        <w:t>e</w:t>
      </w:r>
      <w:r w:rsidR="00A86338" w:rsidRPr="00586C0E">
        <w:rPr>
          <w:rFonts w:ascii="Arial" w:hAnsi="Arial" w:cs="Arial"/>
          <w:i/>
          <w:color w:val="000000"/>
          <w:sz w:val="24"/>
          <w:szCs w:val="24"/>
          <w:shd w:val="clear" w:color="auto" w:fill="FFFFFF"/>
        </w:rPr>
        <w:t>l derecho de acceso a la administración de justicia va más allá del mero acceso formal a las instancias jurisdiccionales y de la obtención de un pronunciamiento formal de los jueces o tribunales conocedores de la controversia, sino que exige para su concreción, que las decisiones emitidas sean efectivamente cumplidas, pues solo así se logra la firme materialización de los derechos</w:t>
      </w:r>
      <w:r w:rsidR="00A86338" w:rsidRPr="00586C0E">
        <w:rPr>
          <w:rFonts w:ascii="Arial" w:hAnsi="Arial" w:cs="Arial"/>
          <w:color w:val="000000"/>
          <w:sz w:val="24"/>
          <w:szCs w:val="24"/>
          <w:shd w:val="clear" w:color="auto" w:fill="FFFFFF"/>
        </w:rPr>
        <w:t>»</w:t>
      </w:r>
      <w:r w:rsidR="00A86338" w:rsidRPr="00586C0E">
        <w:rPr>
          <w:rStyle w:val="Refdenotaalpie"/>
          <w:rFonts w:ascii="Arial" w:hAnsi="Arial" w:cs="Arial"/>
          <w:szCs w:val="24"/>
          <w:shd w:val="clear" w:color="auto" w:fill="FFFFFF"/>
        </w:rPr>
        <w:footnoteReference w:id="10"/>
      </w:r>
      <w:r w:rsidR="00A86338" w:rsidRPr="00586C0E">
        <w:rPr>
          <w:rFonts w:ascii="Arial" w:hAnsi="Arial" w:cs="Arial"/>
          <w:color w:val="000000"/>
          <w:sz w:val="24"/>
          <w:szCs w:val="24"/>
          <w:shd w:val="clear" w:color="auto" w:fill="FFFFFF"/>
        </w:rPr>
        <w:t>.</w:t>
      </w:r>
    </w:p>
    <w:p w14:paraId="4608ACB6" w14:textId="77777777" w:rsidR="0047015F" w:rsidRPr="00586C0E" w:rsidRDefault="0047015F" w:rsidP="0047015F">
      <w:pPr>
        <w:shd w:val="clear" w:color="auto" w:fill="FFFFFF"/>
        <w:rPr>
          <w:rFonts w:ascii="Arial" w:eastAsia="Verdana" w:hAnsi="Arial" w:cs="Arial"/>
          <w:b/>
          <w:sz w:val="24"/>
          <w:szCs w:val="24"/>
        </w:rPr>
      </w:pPr>
    </w:p>
    <w:p w14:paraId="55D6A7A5" w14:textId="77777777" w:rsidR="000F22F2" w:rsidRPr="00586C0E" w:rsidRDefault="00476AB2" w:rsidP="000F22F2">
      <w:pPr>
        <w:shd w:val="clear" w:color="auto" w:fill="FFFFFF"/>
        <w:ind w:firstLine="708"/>
        <w:rPr>
          <w:rFonts w:ascii="Arial" w:eastAsia="Verdana" w:hAnsi="Arial" w:cs="Arial"/>
          <w:b/>
          <w:sz w:val="24"/>
          <w:szCs w:val="24"/>
        </w:rPr>
      </w:pPr>
      <w:r w:rsidRPr="00586C0E">
        <w:rPr>
          <w:rFonts w:ascii="Arial" w:eastAsia="Verdana" w:hAnsi="Arial" w:cs="Arial"/>
          <w:b/>
          <w:sz w:val="24"/>
          <w:szCs w:val="24"/>
        </w:rPr>
        <w:t>2.2</w:t>
      </w:r>
      <w:r w:rsidR="000F22F2" w:rsidRPr="00586C0E">
        <w:rPr>
          <w:rFonts w:ascii="Arial" w:eastAsia="Verdana" w:hAnsi="Arial" w:cs="Arial"/>
          <w:b/>
          <w:sz w:val="24"/>
          <w:szCs w:val="24"/>
        </w:rPr>
        <w:t xml:space="preserve">. El acceso a la administración de justicia en el caso concreto </w:t>
      </w:r>
    </w:p>
    <w:p w14:paraId="26EA4381" w14:textId="77777777" w:rsidR="000F22F2" w:rsidRPr="00586C0E" w:rsidRDefault="000F22F2" w:rsidP="00427821">
      <w:pPr>
        <w:shd w:val="clear" w:color="auto" w:fill="FFFFFF"/>
        <w:rPr>
          <w:rFonts w:ascii="Arial" w:eastAsia="Verdana" w:hAnsi="Arial" w:cs="Arial"/>
          <w:sz w:val="24"/>
          <w:szCs w:val="24"/>
        </w:rPr>
      </w:pPr>
    </w:p>
    <w:p w14:paraId="042C682F" w14:textId="77777777" w:rsidR="00864ED1" w:rsidRPr="00586C0E" w:rsidRDefault="00427821" w:rsidP="00CD03C3">
      <w:pPr>
        <w:shd w:val="clear" w:color="auto" w:fill="FFFFFF"/>
        <w:rPr>
          <w:rFonts w:ascii="Arial" w:hAnsi="Arial" w:cs="Arial"/>
          <w:sz w:val="24"/>
          <w:szCs w:val="24"/>
        </w:rPr>
      </w:pPr>
      <w:r w:rsidRPr="00586C0E">
        <w:rPr>
          <w:rFonts w:ascii="Arial" w:hAnsi="Arial" w:cs="Arial"/>
          <w:sz w:val="24"/>
          <w:szCs w:val="24"/>
          <w:lang w:val="es-CO"/>
        </w:rPr>
        <w:t>2.</w:t>
      </w:r>
      <w:r w:rsidR="00F1123E" w:rsidRPr="00586C0E">
        <w:rPr>
          <w:rFonts w:ascii="Arial" w:hAnsi="Arial" w:cs="Arial"/>
          <w:sz w:val="24"/>
          <w:szCs w:val="24"/>
          <w:lang w:val="es-CO"/>
        </w:rPr>
        <w:t>2</w:t>
      </w:r>
      <w:r w:rsidR="00F31354" w:rsidRPr="00586C0E">
        <w:rPr>
          <w:rFonts w:ascii="Arial" w:hAnsi="Arial" w:cs="Arial"/>
          <w:sz w:val="24"/>
          <w:szCs w:val="24"/>
          <w:lang w:val="es-CO"/>
        </w:rPr>
        <w:t>.1. E</w:t>
      </w:r>
      <w:r w:rsidR="00864ED1" w:rsidRPr="00586C0E">
        <w:rPr>
          <w:rFonts w:ascii="Arial" w:hAnsi="Arial" w:cs="Arial"/>
          <w:sz w:val="24"/>
          <w:szCs w:val="24"/>
          <w:lang w:val="es-CO"/>
        </w:rPr>
        <w:t xml:space="preserve">n el caso concreto, la Sala encuentra </w:t>
      </w:r>
      <w:r w:rsidR="00A86338" w:rsidRPr="00586C0E">
        <w:rPr>
          <w:rFonts w:ascii="Arial" w:hAnsi="Arial" w:cs="Arial"/>
          <w:sz w:val="24"/>
          <w:szCs w:val="24"/>
          <w:lang w:val="es-CO"/>
        </w:rPr>
        <w:t xml:space="preserve">que </w:t>
      </w:r>
      <w:r w:rsidR="00864ED1" w:rsidRPr="00586C0E">
        <w:rPr>
          <w:rFonts w:ascii="Arial" w:hAnsi="Arial" w:cs="Arial"/>
          <w:sz w:val="24"/>
          <w:szCs w:val="24"/>
          <w:lang w:val="es-CO"/>
        </w:rPr>
        <w:t>es</w:t>
      </w:r>
      <w:r w:rsidR="005C28BB" w:rsidRPr="00586C0E">
        <w:rPr>
          <w:rFonts w:ascii="Arial" w:hAnsi="Arial" w:cs="Arial"/>
          <w:sz w:val="24"/>
          <w:szCs w:val="24"/>
          <w:lang w:val="es-CO"/>
        </w:rPr>
        <w:t xml:space="preserve"> cierto que en la sentencia acusada se concluyó </w:t>
      </w:r>
      <w:r w:rsidR="006A056A" w:rsidRPr="00586C0E">
        <w:rPr>
          <w:rFonts w:ascii="Arial" w:hAnsi="Arial" w:cs="Arial"/>
          <w:sz w:val="24"/>
          <w:szCs w:val="24"/>
        </w:rPr>
        <w:t xml:space="preserve">que </w:t>
      </w:r>
      <w:r w:rsidR="00072685" w:rsidRPr="00586C0E">
        <w:rPr>
          <w:rFonts w:ascii="Arial" w:hAnsi="Arial" w:cs="Arial"/>
          <w:sz w:val="24"/>
          <w:szCs w:val="24"/>
        </w:rPr>
        <w:t>las facturas cambiarias de compraventa expedida</w:t>
      </w:r>
      <w:r w:rsidR="006A056A" w:rsidRPr="00586C0E">
        <w:rPr>
          <w:rFonts w:ascii="Arial" w:hAnsi="Arial" w:cs="Arial"/>
          <w:sz w:val="24"/>
          <w:szCs w:val="24"/>
        </w:rPr>
        <w:t xml:space="preserve">s por </w:t>
      </w:r>
      <w:proofErr w:type="spellStart"/>
      <w:r w:rsidR="006A056A" w:rsidRPr="00586C0E">
        <w:rPr>
          <w:rFonts w:ascii="Arial" w:hAnsi="Arial" w:cs="Arial"/>
          <w:sz w:val="24"/>
          <w:szCs w:val="24"/>
        </w:rPr>
        <w:t>Surtieléctricos</w:t>
      </w:r>
      <w:proofErr w:type="spellEnd"/>
      <w:r w:rsidR="006A056A" w:rsidRPr="00586C0E">
        <w:rPr>
          <w:rFonts w:ascii="Arial" w:hAnsi="Arial" w:cs="Arial"/>
          <w:sz w:val="24"/>
          <w:szCs w:val="24"/>
        </w:rPr>
        <w:t xml:space="preserve"> Cali Ltda. c</w:t>
      </w:r>
      <w:r w:rsidR="00072685" w:rsidRPr="00586C0E">
        <w:rPr>
          <w:rFonts w:ascii="Arial" w:hAnsi="Arial" w:cs="Arial"/>
          <w:sz w:val="24"/>
          <w:szCs w:val="24"/>
        </w:rPr>
        <w:t>umpl</w:t>
      </w:r>
      <w:r w:rsidR="006A056A" w:rsidRPr="00586C0E">
        <w:rPr>
          <w:rFonts w:ascii="Arial" w:hAnsi="Arial" w:cs="Arial"/>
          <w:sz w:val="24"/>
          <w:szCs w:val="24"/>
        </w:rPr>
        <w:t>ían los</w:t>
      </w:r>
      <w:r w:rsidR="00072685" w:rsidRPr="00586C0E">
        <w:rPr>
          <w:rFonts w:ascii="Arial" w:hAnsi="Arial" w:cs="Arial"/>
          <w:sz w:val="24"/>
          <w:szCs w:val="24"/>
        </w:rPr>
        <w:t xml:space="preserve"> requisitos previstos en el artículo 774 del Código de Comercio </w:t>
      </w:r>
      <w:r w:rsidR="006A056A" w:rsidRPr="00586C0E">
        <w:rPr>
          <w:rFonts w:ascii="Arial" w:hAnsi="Arial" w:cs="Arial"/>
          <w:sz w:val="24"/>
          <w:szCs w:val="24"/>
        </w:rPr>
        <w:t xml:space="preserve">y </w:t>
      </w:r>
      <w:r w:rsidR="00072685" w:rsidRPr="00586C0E">
        <w:rPr>
          <w:rFonts w:ascii="Arial" w:hAnsi="Arial" w:cs="Arial"/>
          <w:sz w:val="24"/>
          <w:szCs w:val="24"/>
        </w:rPr>
        <w:t>el artículo 617 del Estatuto Tributario y</w:t>
      </w:r>
      <w:r w:rsidR="00756B54" w:rsidRPr="00586C0E">
        <w:rPr>
          <w:rFonts w:ascii="Arial" w:hAnsi="Arial" w:cs="Arial"/>
          <w:sz w:val="24"/>
          <w:szCs w:val="24"/>
        </w:rPr>
        <w:t xml:space="preserve"> que</w:t>
      </w:r>
      <w:r w:rsidR="006A056A" w:rsidRPr="00586C0E">
        <w:rPr>
          <w:rFonts w:ascii="Arial" w:hAnsi="Arial" w:cs="Arial"/>
          <w:sz w:val="24"/>
          <w:szCs w:val="24"/>
        </w:rPr>
        <w:t>,</w:t>
      </w:r>
      <w:r w:rsidR="00072685" w:rsidRPr="00586C0E">
        <w:rPr>
          <w:rFonts w:ascii="Arial" w:hAnsi="Arial" w:cs="Arial"/>
          <w:sz w:val="24"/>
          <w:szCs w:val="24"/>
        </w:rPr>
        <w:t xml:space="preserve"> por ende, </w:t>
      </w:r>
      <w:r w:rsidR="006A056A" w:rsidRPr="00586C0E">
        <w:rPr>
          <w:rFonts w:ascii="Arial" w:hAnsi="Arial" w:cs="Arial"/>
          <w:sz w:val="24"/>
          <w:szCs w:val="24"/>
        </w:rPr>
        <w:t xml:space="preserve">constituían </w:t>
      </w:r>
      <w:r w:rsidR="00756B54" w:rsidRPr="00586C0E">
        <w:rPr>
          <w:rFonts w:ascii="Arial" w:hAnsi="Arial" w:cs="Arial"/>
          <w:sz w:val="24"/>
          <w:szCs w:val="24"/>
        </w:rPr>
        <w:t xml:space="preserve">títulos ejecutivos con los que debió adelantarse una acción ejecutiva ante la jurisdicción ordinaria, pues tales títulos no provenían de contratos estatales. </w:t>
      </w:r>
    </w:p>
    <w:p w14:paraId="36A58F05" w14:textId="77777777" w:rsidR="00864ED1" w:rsidRPr="00586C0E" w:rsidRDefault="00864ED1" w:rsidP="00CD03C3">
      <w:pPr>
        <w:shd w:val="clear" w:color="auto" w:fill="FFFFFF"/>
        <w:rPr>
          <w:rFonts w:ascii="Arial" w:hAnsi="Arial" w:cs="Arial"/>
          <w:sz w:val="24"/>
          <w:szCs w:val="24"/>
        </w:rPr>
      </w:pPr>
    </w:p>
    <w:p w14:paraId="086C7249" w14:textId="77777777" w:rsidR="007B6446" w:rsidRPr="00586C0E" w:rsidRDefault="00864ED1" w:rsidP="00CD03C3">
      <w:pPr>
        <w:shd w:val="clear" w:color="auto" w:fill="FFFFFF"/>
        <w:rPr>
          <w:rFonts w:ascii="Arial" w:hAnsi="Arial" w:cs="Arial"/>
          <w:sz w:val="24"/>
          <w:szCs w:val="24"/>
        </w:rPr>
      </w:pPr>
      <w:r w:rsidRPr="00586C0E">
        <w:rPr>
          <w:rFonts w:ascii="Arial" w:hAnsi="Arial" w:cs="Arial"/>
          <w:sz w:val="24"/>
          <w:szCs w:val="24"/>
        </w:rPr>
        <w:t>2.2.2. Se</w:t>
      </w:r>
      <w:r w:rsidR="00987540" w:rsidRPr="00586C0E">
        <w:rPr>
          <w:rFonts w:ascii="Arial" w:hAnsi="Arial" w:cs="Arial"/>
          <w:sz w:val="24"/>
          <w:szCs w:val="24"/>
        </w:rPr>
        <w:t xml:space="preserve"> observa </w:t>
      </w:r>
      <w:r w:rsidRPr="00586C0E">
        <w:rPr>
          <w:rFonts w:ascii="Arial" w:hAnsi="Arial" w:cs="Arial"/>
          <w:sz w:val="24"/>
          <w:szCs w:val="24"/>
        </w:rPr>
        <w:t xml:space="preserve">también que </w:t>
      </w:r>
      <w:r w:rsidR="007B6446" w:rsidRPr="00586C0E">
        <w:rPr>
          <w:rFonts w:ascii="Arial" w:hAnsi="Arial" w:cs="Arial"/>
          <w:sz w:val="24"/>
          <w:szCs w:val="24"/>
        </w:rPr>
        <w:t xml:space="preserve">el Tribunal Administrativo de Nariño </w:t>
      </w:r>
      <w:r w:rsidR="00987540" w:rsidRPr="00586C0E">
        <w:rPr>
          <w:rFonts w:ascii="Arial" w:hAnsi="Arial" w:cs="Arial"/>
          <w:sz w:val="24"/>
          <w:szCs w:val="24"/>
        </w:rPr>
        <w:t xml:space="preserve">explicó </w:t>
      </w:r>
      <w:r w:rsidR="005C28BB" w:rsidRPr="00586C0E">
        <w:rPr>
          <w:rFonts w:ascii="Arial" w:hAnsi="Arial" w:cs="Arial"/>
          <w:sz w:val="24"/>
          <w:szCs w:val="24"/>
        </w:rPr>
        <w:t xml:space="preserve">que </w:t>
      </w:r>
      <w:r w:rsidR="007B6446" w:rsidRPr="00586C0E">
        <w:rPr>
          <w:rFonts w:ascii="Arial" w:hAnsi="Arial" w:cs="Arial"/>
          <w:sz w:val="24"/>
          <w:szCs w:val="24"/>
        </w:rPr>
        <w:t>la sociedad demandante ya había presentado acción ejecutiva ante la jurisdicción ordinaria</w:t>
      </w:r>
      <w:r w:rsidRPr="00586C0E">
        <w:rPr>
          <w:rFonts w:ascii="Arial" w:hAnsi="Arial" w:cs="Arial"/>
          <w:sz w:val="24"/>
          <w:szCs w:val="24"/>
        </w:rPr>
        <w:t>,</w:t>
      </w:r>
      <w:r w:rsidR="00A86338" w:rsidRPr="00586C0E">
        <w:rPr>
          <w:rFonts w:ascii="Arial" w:hAnsi="Arial" w:cs="Arial"/>
          <w:sz w:val="24"/>
          <w:szCs w:val="24"/>
        </w:rPr>
        <w:t xml:space="preserve"> pero </w:t>
      </w:r>
      <w:r w:rsidR="005C28BB" w:rsidRPr="00586C0E">
        <w:rPr>
          <w:rFonts w:ascii="Arial" w:hAnsi="Arial" w:cs="Arial"/>
          <w:sz w:val="24"/>
          <w:szCs w:val="24"/>
        </w:rPr>
        <w:t>q</w:t>
      </w:r>
      <w:r w:rsidR="007B6446" w:rsidRPr="00586C0E">
        <w:rPr>
          <w:rFonts w:ascii="Arial" w:hAnsi="Arial" w:cs="Arial"/>
          <w:sz w:val="24"/>
          <w:szCs w:val="24"/>
        </w:rPr>
        <w:t xml:space="preserve">ue, en primera instancia, el Juzgado Primero Civil del Circuito de Pasto </w:t>
      </w:r>
      <w:r w:rsidR="00F73AA3" w:rsidRPr="00586C0E">
        <w:rPr>
          <w:rFonts w:ascii="Arial" w:hAnsi="Arial" w:cs="Arial"/>
          <w:sz w:val="24"/>
          <w:szCs w:val="24"/>
        </w:rPr>
        <w:t xml:space="preserve">rechazó </w:t>
      </w:r>
      <w:r w:rsidR="007B6446" w:rsidRPr="00586C0E">
        <w:rPr>
          <w:rFonts w:ascii="Arial" w:hAnsi="Arial" w:cs="Arial"/>
          <w:sz w:val="24"/>
          <w:szCs w:val="24"/>
        </w:rPr>
        <w:t xml:space="preserve">la </w:t>
      </w:r>
      <w:r w:rsidR="00F73AA3" w:rsidRPr="00586C0E">
        <w:rPr>
          <w:rFonts w:ascii="Arial" w:hAnsi="Arial" w:cs="Arial"/>
          <w:sz w:val="24"/>
          <w:szCs w:val="24"/>
        </w:rPr>
        <w:t xml:space="preserve">demanda </w:t>
      </w:r>
      <w:r w:rsidR="007B6446" w:rsidRPr="00586C0E">
        <w:rPr>
          <w:rFonts w:ascii="Arial" w:hAnsi="Arial" w:cs="Arial"/>
          <w:sz w:val="24"/>
          <w:szCs w:val="24"/>
        </w:rPr>
        <w:t>porque, para ese momento, no habían transcurrido los 18 meses previstos en el Código Conten</w:t>
      </w:r>
      <w:r w:rsidR="00A86338" w:rsidRPr="00586C0E">
        <w:rPr>
          <w:rFonts w:ascii="Arial" w:hAnsi="Arial" w:cs="Arial"/>
          <w:sz w:val="24"/>
          <w:szCs w:val="24"/>
        </w:rPr>
        <w:t>cioso Administrativo y, por consiguiente</w:t>
      </w:r>
      <w:r w:rsidR="007B6446" w:rsidRPr="00586C0E">
        <w:rPr>
          <w:rFonts w:ascii="Arial" w:hAnsi="Arial" w:cs="Arial"/>
          <w:sz w:val="24"/>
          <w:szCs w:val="24"/>
        </w:rPr>
        <w:t>, no eran exigibles. Y, en segunda instancia, el Tribunal Superior de Pasto, Sala Civil – Familia, declaró la falta de competencia, po</w:t>
      </w:r>
      <w:r w:rsidR="005C28BB" w:rsidRPr="00586C0E">
        <w:rPr>
          <w:rFonts w:ascii="Arial" w:hAnsi="Arial" w:cs="Arial"/>
          <w:sz w:val="24"/>
          <w:szCs w:val="24"/>
        </w:rPr>
        <w:t xml:space="preserve">r cuanto la parte demandada estaba conformada por </w:t>
      </w:r>
      <w:r w:rsidR="007B6446" w:rsidRPr="00586C0E">
        <w:rPr>
          <w:rFonts w:ascii="Arial" w:hAnsi="Arial" w:cs="Arial"/>
          <w:sz w:val="24"/>
          <w:szCs w:val="24"/>
        </w:rPr>
        <w:t xml:space="preserve">entidades públicas y, por ende, correspondía a la jurisdicción de lo contencioso administrativo.   </w:t>
      </w:r>
    </w:p>
    <w:p w14:paraId="4369083A" w14:textId="77777777" w:rsidR="00FF0FC1" w:rsidRPr="00586C0E" w:rsidRDefault="00FF0FC1" w:rsidP="00CD03C3">
      <w:pPr>
        <w:shd w:val="clear" w:color="auto" w:fill="FFFFFF"/>
        <w:rPr>
          <w:rFonts w:ascii="Arial" w:hAnsi="Arial" w:cs="Arial"/>
          <w:sz w:val="24"/>
          <w:szCs w:val="24"/>
        </w:rPr>
      </w:pPr>
    </w:p>
    <w:p w14:paraId="2F6D6B45" w14:textId="77777777" w:rsidR="005413F6" w:rsidRPr="00586C0E" w:rsidRDefault="00F1123E" w:rsidP="00CD03C3">
      <w:pPr>
        <w:shd w:val="clear" w:color="auto" w:fill="FFFFFF"/>
        <w:rPr>
          <w:rFonts w:ascii="Arial" w:hAnsi="Arial" w:cs="Arial"/>
          <w:sz w:val="24"/>
          <w:szCs w:val="24"/>
        </w:rPr>
      </w:pPr>
      <w:r w:rsidRPr="00586C0E">
        <w:rPr>
          <w:rFonts w:ascii="Arial" w:hAnsi="Arial" w:cs="Arial"/>
          <w:sz w:val="24"/>
          <w:szCs w:val="24"/>
        </w:rPr>
        <w:t>2.2.</w:t>
      </w:r>
      <w:r w:rsidR="00F73AA3" w:rsidRPr="00586C0E">
        <w:rPr>
          <w:rFonts w:ascii="Arial" w:hAnsi="Arial" w:cs="Arial"/>
          <w:sz w:val="24"/>
          <w:szCs w:val="24"/>
        </w:rPr>
        <w:t xml:space="preserve">3. Ahora, cuando el tribunal se ocupó de analizar el trámite de la acción de reparación directa, precisó que, a su juicio, </w:t>
      </w:r>
      <w:r w:rsidR="005413F6" w:rsidRPr="00586C0E">
        <w:rPr>
          <w:rFonts w:ascii="Arial" w:hAnsi="Arial" w:cs="Arial"/>
          <w:sz w:val="24"/>
          <w:szCs w:val="24"/>
        </w:rPr>
        <w:t xml:space="preserve">el juzgado administrativo que conoció en primera instancia </w:t>
      </w:r>
      <w:r w:rsidR="00F73AA3" w:rsidRPr="00586C0E">
        <w:rPr>
          <w:rFonts w:ascii="Arial" w:hAnsi="Arial" w:cs="Arial"/>
          <w:sz w:val="24"/>
          <w:szCs w:val="24"/>
        </w:rPr>
        <w:t xml:space="preserve">el asunto </w:t>
      </w:r>
      <w:r w:rsidR="005413F6" w:rsidRPr="00586C0E">
        <w:rPr>
          <w:rFonts w:ascii="Arial" w:hAnsi="Arial" w:cs="Arial"/>
          <w:sz w:val="24"/>
          <w:szCs w:val="24"/>
        </w:rPr>
        <w:t>debió declarar la falta de jurisdicción, pues</w:t>
      </w:r>
      <w:r w:rsidR="005C28BB" w:rsidRPr="00586C0E">
        <w:rPr>
          <w:rFonts w:ascii="Arial" w:hAnsi="Arial" w:cs="Arial"/>
          <w:sz w:val="24"/>
          <w:szCs w:val="24"/>
        </w:rPr>
        <w:t xml:space="preserve"> </w:t>
      </w:r>
      <w:r w:rsidR="005413F6" w:rsidRPr="00586C0E">
        <w:rPr>
          <w:rFonts w:ascii="Arial" w:hAnsi="Arial" w:cs="Arial"/>
          <w:sz w:val="24"/>
          <w:szCs w:val="24"/>
        </w:rPr>
        <w:t xml:space="preserve">el objeto de la demanda no era otro que hacer efectivas las facturas de compraventa. </w:t>
      </w:r>
      <w:r w:rsidR="00F73AA3" w:rsidRPr="00586C0E">
        <w:rPr>
          <w:rFonts w:ascii="Arial" w:hAnsi="Arial" w:cs="Arial"/>
          <w:sz w:val="24"/>
          <w:szCs w:val="24"/>
        </w:rPr>
        <w:t>Pero que</w:t>
      </w:r>
      <w:r w:rsidR="005C28BB" w:rsidRPr="00586C0E">
        <w:rPr>
          <w:rFonts w:ascii="Arial" w:hAnsi="Arial" w:cs="Arial"/>
          <w:sz w:val="24"/>
          <w:szCs w:val="24"/>
        </w:rPr>
        <w:t xml:space="preserve">, </w:t>
      </w:r>
      <w:r w:rsidR="005413F6" w:rsidRPr="00586C0E">
        <w:rPr>
          <w:rFonts w:ascii="Arial" w:hAnsi="Arial" w:cs="Arial"/>
          <w:sz w:val="24"/>
          <w:szCs w:val="24"/>
        </w:rPr>
        <w:t>como así no se hizo</w:t>
      </w:r>
      <w:r w:rsidR="005C28BB" w:rsidRPr="00586C0E">
        <w:rPr>
          <w:rFonts w:ascii="Arial" w:hAnsi="Arial" w:cs="Arial"/>
          <w:sz w:val="24"/>
          <w:szCs w:val="24"/>
        </w:rPr>
        <w:t xml:space="preserve">, dicha omisión </w:t>
      </w:r>
      <w:r w:rsidR="005413F6" w:rsidRPr="00586C0E">
        <w:rPr>
          <w:rFonts w:ascii="Arial" w:hAnsi="Arial" w:cs="Arial"/>
          <w:sz w:val="24"/>
          <w:szCs w:val="24"/>
        </w:rPr>
        <w:t>«</w:t>
      </w:r>
      <w:r w:rsidR="005413F6" w:rsidRPr="00586C0E">
        <w:rPr>
          <w:rFonts w:ascii="Arial" w:hAnsi="Arial" w:cs="Arial"/>
          <w:i/>
          <w:sz w:val="24"/>
          <w:szCs w:val="24"/>
        </w:rPr>
        <w:t>conlleva que el juzgado aceptó implícitamente la competencia</w:t>
      </w:r>
      <w:r w:rsidR="005413F6" w:rsidRPr="00586C0E">
        <w:rPr>
          <w:rFonts w:ascii="Arial" w:hAnsi="Arial" w:cs="Arial"/>
          <w:sz w:val="24"/>
          <w:szCs w:val="24"/>
        </w:rPr>
        <w:t>»</w:t>
      </w:r>
      <w:r w:rsidR="005413F6" w:rsidRPr="00586C0E">
        <w:rPr>
          <w:rStyle w:val="Refdenotaalpie"/>
          <w:rFonts w:ascii="Arial" w:hAnsi="Arial" w:cs="Arial"/>
          <w:szCs w:val="24"/>
        </w:rPr>
        <w:footnoteReference w:id="11"/>
      </w:r>
      <w:r w:rsidR="005413F6" w:rsidRPr="00586C0E">
        <w:rPr>
          <w:rFonts w:ascii="Arial" w:hAnsi="Arial" w:cs="Arial"/>
          <w:sz w:val="24"/>
          <w:szCs w:val="24"/>
        </w:rPr>
        <w:t xml:space="preserve">. </w:t>
      </w:r>
      <w:r w:rsidR="00C441CD" w:rsidRPr="00586C0E">
        <w:rPr>
          <w:rFonts w:ascii="Arial" w:hAnsi="Arial" w:cs="Arial"/>
          <w:sz w:val="24"/>
          <w:szCs w:val="24"/>
        </w:rPr>
        <w:t xml:space="preserve">De ahí que </w:t>
      </w:r>
      <w:r w:rsidR="005413F6" w:rsidRPr="00586C0E">
        <w:rPr>
          <w:rFonts w:ascii="Arial" w:hAnsi="Arial" w:cs="Arial"/>
          <w:sz w:val="24"/>
          <w:szCs w:val="24"/>
        </w:rPr>
        <w:t>el Tribunal Administrativo de Nariño</w:t>
      </w:r>
      <w:r w:rsidR="00987540" w:rsidRPr="00586C0E">
        <w:rPr>
          <w:rFonts w:ascii="Arial" w:hAnsi="Arial" w:cs="Arial"/>
          <w:sz w:val="24"/>
          <w:szCs w:val="24"/>
        </w:rPr>
        <w:t xml:space="preserve">, en últimas, </w:t>
      </w:r>
      <w:r w:rsidRPr="00586C0E">
        <w:rPr>
          <w:rFonts w:ascii="Arial" w:hAnsi="Arial" w:cs="Arial"/>
          <w:sz w:val="24"/>
          <w:szCs w:val="24"/>
        </w:rPr>
        <w:t>termin</w:t>
      </w:r>
      <w:r w:rsidR="00C441CD" w:rsidRPr="00586C0E">
        <w:rPr>
          <w:rFonts w:ascii="Arial" w:hAnsi="Arial" w:cs="Arial"/>
          <w:sz w:val="24"/>
          <w:szCs w:val="24"/>
        </w:rPr>
        <w:t>ara</w:t>
      </w:r>
      <w:r w:rsidRPr="00586C0E">
        <w:rPr>
          <w:rFonts w:ascii="Arial" w:hAnsi="Arial" w:cs="Arial"/>
          <w:sz w:val="24"/>
          <w:szCs w:val="24"/>
        </w:rPr>
        <w:t xml:space="preserve"> analizando </w:t>
      </w:r>
      <w:r w:rsidR="005413F6" w:rsidRPr="00586C0E">
        <w:rPr>
          <w:rFonts w:ascii="Arial" w:hAnsi="Arial" w:cs="Arial"/>
          <w:sz w:val="24"/>
          <w:szCs w:val="24"/>
        </w:rPr>
        <w:t xml:space="preserve">si se cumplían o no los requisitos establecidos por la jurisprudencia para la prosperidad de la </w:t>
      </w:r>
      <w:proofErr w:type="spellStart"/>
      <w:r w:rsidR="005413F6" w:rsidRPr="00586C0E">
        <w:rPr>
          <w:rFonts w:ascii="Arial" w:hAnsi="Arial" w:cs="Arial"/>
          <w:i/>
          <w:sz w:val="24"/>
          <w:szCs w:val="24"/>
        </w:rPr>
        <w:t>actio</w:t>
      </w:r>
      <w:proofErr w:type="spellEnd"/>
      <w:r w:rsidR="005413F6" w:rsidRPr="00586C0E">
        <w:rPr>
          <w:rFonts w:ascii="Arial" w:hAnsi="Arial" w:cs="Arial"/>
          <w:i/>
          <w:sz w:val="24"/>
          <w:szCs w:val="24"/>
        </w:rPr>
        <w:t xml:space="preserve"> de in rem verso. </w:t>
      </w:r>
    </w:p>
    <w:p w14:paraId="13B8F383" w14:textId="77777777" w:rsidR="005413F6" w:rsidRPr="00586C0E" w:rsidRDefault="005413F6" w:rsidP="00CD03C3">
      <w:pPr>
        <w:shd w:val="clear" w:color="auto" w:fill="FFFFFF"/>
        <w:rPr>
          <w:rFonts w:ascii="Arial" w:hAnsi="Arial" w:cs="Arial"/>
          <w:sz w:val="24"/>
          <w:szCs w:val="24"/>
        </w:rPr>
      </w:pPr>
    </w:p>
    <w:p w14:paraId="396299F8" w14:textId="77777777" w:rsidR="00F73AA3" w:rsidRPr="00586C0E" w:rsidRDefault="005C28BB" w:rsidP="00F73AA3">
      <w:pPr>
        <w:shd w:val="clear" w:color="auto" w:fill="FFFFFF"/>
        <w:rPr>
          <w:rFonts w:ascii="Arial" w:hAnsi="Arial" w:cs="Arial"/>
          <w:sz w:val="24"/>
          <w:szCs w:val="24"/>
        </w:rPr>
      </w:pPr>
      <w:r w:rsidRPr="00586C0E">
        <w:rPr>
          <w:rFonts w:ascii="Arial" w:hAnsi="Arial" w:cs="Arial"/>
          <w:sz w:val="24"/>
          <w:szCs w:val="24"/>
        </w:rPr>
        <w:t>2.</w:t>
      </w:r>
      <w:r w:rsidR="009A7791" w:rsidRPr="00586C0E">
        <w:rPr>
          <w:rFonts w:ascii="Arial" w:hAnsi="Arial" w:cs="Arial"/>
          <w:sz w:val="24"/>
          <w:szCs w:val="24"/>
        </w:rPr>
        <w:t>2</w:t>
      </w:r>
      <w:r w:rsidR="00987540" w:rsidRPr="00586C0E">
        <w:rPr>
          <w:rFonts w:ascii="Arial" w:hAnsi="Arial" w:cs="Arial"/>
          <w:sz w:val="24"/>
          <w:szCs w:val="24"/>
        </w:rPr>
        <w:t>.4</w:t>
      </w:r>
      <w:r w:rsidRPr="00586C0E">
        <w:rPr>
          <w:rFonts w:ascii="Arial" w:hAnsi="Arial" w:cs="Arial"/>
          <w:sz w:val="24"/>
          <w:szCs w:val="24"/>
        </w:rPr>
        <w:t xml:space="preserve">. </w:t>
      </w:r>
      <w:r w:rsidR="00C441CD" w:rsidRPr="00586C0E">
        <w:rPr>
          <w:rFonts w:ascii="Arial" w:hAnsi="Arial" w:cs="Arial"/>
          <w:sz w:val="24"/>
          <w:szCs w:val="24"/>
        </w:rPr>
        <w:t xml:space="preserve">Siendo así, la Sala estima que, al margen de las consideraciones expuestas por el Tribunal Administrativo de Nariño sobre la acción procedente, lo cierto es que </w:t>
      </w:r>
      <w:r w:rsidR="00987540" w:rsidRPr="00586C0E">
        <w:rPr>
          <w:rFonts w:ascii="Arial" w:hAnsi="Arial" w:cs="Arial"/>
          <w:sz w:val="24"/>
          <w:szCs w:val="24"/>
        </w:rPr>
        <w:t xml:space="preserve">dictó una decisión </w:t>
      </w:r>
      <w:r w:rsidR="00987540" w:rsidRPr="00586C0E">
        <w:rPr>
          <w:rFonts w:ascii="Arial" w:eastAsia="Verdana" w:hAnsi="Arial" w:cs="Arial"/>
          <w:sz w:val="24"/>
          <w:szCs w:val="24"/>
        </w:rPr>
        <w:t>de fondo sobre las pretensiones formuladas</w:t>
      </w:r>
      <w:r w:rsidR="00987540" w:rsidRPr="00586C0E">
        <w:rPr>
          <w:rFonts w:ascii="Arial" w:hAnsi="Arial" w:cs="Arial"/>
          <w:sz w:val="24"/>
          <w:szCs w:val="24"/>
        </w:rPr>
        <w:t xml:space="preserve"> y, por lo tanto, garantizó </w:t>
      </w:r>
      <w:r w:rsidR="00C441CD" w:rsidRPr="00586C0E">
        <w:rPr>
          <w:rFonts w:ascii="Arial" w:hAnsi="Arial" w:cs="Arial"/>
          <w:sz w:val="24"/>
          <w:szCs w:val="24"/>
        </w:rPr>
        <w:t xml:space="preserve">el </w:t>
      </w:r>
      <w:r w:rsidR="009A7791" w:rsidRPr="00586C0E">
        <w:rPr>
          <w:rFonts w:ascii="Arial" w:hAnsi="Arial" w:cs="Arial"/>
          <w:sz w:val="24"/>
          <w:szCs w:val="24"/>
        </w:rPr>
        <w:t xml:space="preserve">derecho de </w:t>
      </w:r>
      <w:r w:rsidR="00C441CD" w:rsidRPr="00586C0E">
        <w:rPr>
          <w:rFonts w:ascii="Arial" w:hAnsi="Arial" w:cs="Arial"/>
          <w:sz w:val="24"/>
          <w:szCs w:val="24"/>
        </w:rPr>
        <w:t xml:space="preserve">acceso a la administración de justicia de </w:t>
      </w:r>
      <w:proofErr w:type="spellStart"/>
      <w:r w:rsidR="00C441CD" w:rsidRPr="00586C0E">
        <w:rPr>
          <w:rFonts w:ascii="Arial" w:hAnsi="Arial" w:cs="Arial"/>
          <w:sz w:val="24"/>
          <w:szCs w:val="24"/>
        </w:rPr>
        <w:t>Surtieléctricos</w:t>
      </w:r>
      <w:proofErr w:type="spellEnd"/>
      <w:r w:rsidR="00C441CD" w:rsidRPr="00586C0E">
        <w:rPr>
          <w:rFonts w:ascii="Arial" w:hAnsi="Arial" w:cs="Arial"/>
          <w:sz w:val="24"/>
          <w:szCs w:val="24"/>
        </w:rPr>
        <w:t xml:space="preserve"> Cali Ltda.</w:t>
      </w:r>
      <w:r w:rsidR="00F73AA3" w:rsidRPr="00586C0E">
        <w:rPr>
          <w:rFonts w:ascii="Arial" w:hAnsi="Arial" w:cs="Arial"/>
          <w:sz w:val="24"/>
          <w:szCs w:val="24"/>
        </w:rPr>
        <w:t xml:space="preserve"> </w:t>
      </w:r>
      <w:r w:rsidR="00FD2CDB" w:rsidRPr="00586C0E">
        <w:rPr>
          <w:rFonts w:ascii="Arial" w:hAnsi="Arial" w:cs="Arial"/>
          <w:sz w:val="24"/>
          <w:szCs w:val="24"/>
        </w:rPr>
        <w:t xml:space="preserve">Otra cosa es que </w:t>
      </w:r>
      <w:r w:rsidR="00987540" w:rsidRPr="00586C0E">
        <w:rPr>
          <w:rFonts w:ascii="Arial" w:hAnsi="Arial" w:cs="Arial"/>
          <w:sz w:val="24"/>
          <w:szCs w:val="24"/>
        </w:rPr>
        <w:t xml:space="preserve">la decisión no resultara </w:t>
      </w:r>
      <w:r w:rsidR="00FD2CDB" w:rsidRPr="00586C0E">
        <w:rPr>
          <w:rFonts w:ascii="Arial" w:hAnsi="Arial" w:cs="Arial"/>
          <w:sz w:val="24"/>
          <w:szCs w:val="24"/>
        </w:rPr>
        <w:t>favorable a los intereses de la parte actora</w:t>
      </w:r>
      <w:r w:rsidR="00476AB2" w:rsidRPr="00586C0E">
        <w:rPr>
          <w:rFonts w:ascii="Arial" w:hAnsi="Arial" w:cs="Arial"/>
          <w:sz w:val="24"/>
          <w:szCs w:val="24"/>
        </w:rPr>
        <w:t>, pero, c</w:t>
      </w:r>
      <w:r w:rsidR="00FD2CDB" w:rsidRPr="00586C0E">
        <w:rPr>
          <w:rFonts w:ascii="Arial" w:hAnsi="Arial" w:cs="Arial"/>
          <w:sz w:val="24"/>
          <w:szCs w:val="24"/>
        </w:rPr>
        <w:t xml:space="preserve">omo se vio, </w:t>
      </w:r>
      <w:r w:rsidR="00987540" w:rsidRPr="00586C0E">
        <w:rPr>
          <w:rFonts w:ascii="Arial" w:hAnsi="Arial" w:cs="Arial"/>
          <w:sz w:val="24"/>
          <w:szCs w:val="24"/>
        </w:rPr>
        <w:t xml:space="preserve">la decisión favorable </w:t>
      </w:r>
      <w:r w:rsidR="00FD2CDB" w:rsidRPr="00586C0E">
        <w:rPr>
          <w:rFonts w:ascii="Arial" w:hAnsi="Arial" w:cs="Arial"/>
          <w:sz w:val="24"/>
          <w:szCs w:val="24"/>
        </w:rPr>
        <w:t>no hace parte esencial del acceso a la administración de justicia.</w:t>
      </w:r>
    </w:p>
    <w:p w14:paraId="16B98D79" w14:textId="77777777" w:rsidR="00864ED1" w:rsidRPr="00586C0E" w:rsidRDefault="00864ED1" w:rsidP="00CD03C3">
      <w:pPr>
        <w:shd w:val="clear" w:color="auto" w:fill="FFFFFF"/>
        <w:rPr>
          <w:rFonts w:ascii="Arial" w:eastAsia="Verdana" w:hAnsi="Arial" w:cs="Arial"/>
          <w:sz w:val="24"/>
          <w:szCs w:val="24"/>
        </w:rPr>
      </w:pPr>
    </w:p>
    <w:p w14:paraId="67750E48" w14:textId="77777777" w:rsidR="00FD2CDB" w:rsidRPr="00586C0E" w:rsidRDefault="00FD2CDB" w:rsidP="00CD03C3">
      <w:pPr>
        <w:shd w:val="clear" w:color="auto" w:fill="FFFFFF"/>
        <w:rPr>
          <w:rFonts w:ascii="Arial" w:eastAsia="Verdana" w:hAnsi="Arial" w:cs="Arial"/>
          <w:sz w:val="24"/>
          <w:szCs w:val="24"/>
        </w:rPr>
      </w:pPr>
      <w:r w:rsidRPr="00586C0E">
        <w:rPr>
          <w:rFonts w:ascii="Arial" w:eastAsia="Verdana" w:hAnsi="Arial" w:cs="Arial"/>
          <w:sz w:val="24"/>
          <w:szCs w:val="24"/>
        </w:rPr>
        <w:lastRenderedPageBreak/>
        <w:t>2.</w:t>
      </w:r>
      <w:r w:rsidR="00987540" w:rsidRPr="00586C0E">
        <w:rPr>
          <w:rFonts w:ascii="Arial" w:eastAsia="Verdana" w:hAnsi="Arial" w:cs="Arial"/>
          <w:sz w:val="24"/>
          <w:szCs w:val="24"/>
        </w:rPr>
        <w:t>2.5</w:t>
      </w:r>
      <w:r w:rsidRPr="00586C0E">
        <w:rPr>
          <w:rFonts w:ascii="Arial" w:eastAsia="Verdana" w:hAnsi="Arial" w:cs="Arial"/>
          <w:sz w:val="24"/>
          <w:szCs w:val="24"/>
        </w:rPr>
        <w:t xml:space="preserve">. Se descarta, entonces, la violación del derecho fundamental </w:t>
      </w:r>
      <w:r w:rsidR="0047015F" w:rsidRPr="00586C0E">
        <w:rPr>
          <w:rFonts w:ascii="Arial" w:eastAsia="Verdana" w:hAnsi="Arial" w:cs="Arial"/>
          <w:sz w:val="24"/>
          <w:szCs w:val="24"/>
        </w:rPr>
        <w:t>a acceso a la administración de justicia</w:t>
      </w:r>
      <w:r w:rsidRPr="00586C0E">
        <w:rPr>
          <w:rFonts w:ascii="Arial" w:eastAsia="Verdana" w:hAnsi="Arial" w:cs="Arial"/>
          <w:sz w:val="24"/>
          <w:szCs w:val="24"/>
        </w:rPr>
        <w:t xml:space="preserve">, por lo tanto, la Sala continuará con el análisis del defecto fáctico, por indebida valoración probatoria, endilgado por la parte actora a la sentencia del 28 de febrero de 2018. </w:t>
      </w:r>
    </w:p>
    <w:p w14:paraId="10B1CA42" w14:textId="77777777" w:rsidR="00F145EB" w:rsidRPr="00586C0E" w:rsidRDefault="00F145EB" w:rsidP="00EC6CFB">
      <w:pPr>
        <w:autoSpaceDE w:val="0"/>
        <w:autoSpaceDN w:val="0"/>
        <w:adjustRightInd w:val="0"/>
        <w:rPr>
          <w:rFonts w:ascii="Arial" w:hAnsi="Arial" w:cs="Arial"/>
          <w:b/>
          <w:sz w:val="24"/>
          <w:szCs w:val="24"/>
        </w:rPr>
      </w:pPr>
    </w:p>
    <w:p w14:paraId="0FA90140" w14:textId="77777777" w:rsidR="00F145EB" w:rsidRPr="00586C0E" w:rsidRDefault="000F22F2" w:rsidP="00EC6CFB">
      <w:pPr>
        <w:ind w:firstLine="708"/>
        <w:rPr>
          <w:rFonts w:ascii="Arial" w:hAnsi="Arial" w:cs="Arial"/>
          <w:b/>
          <w:sz w:val="24"/>
          <w:szCs w:val="24"/>
          <w:lang w:val="es-ES_tradnl"/>
        </w:rPr>
      </w:pPr>
      <w:r w:rsidRPr="00586C0E">
        <w:rPr>
          <w:rFonts w:ascii="Arial" w:hAnsi="Arial" w:cs="Arial"/>
          <w:b/>
          <w:sz w:val="24"/>
          <w:szCs w:val="24"/>
          <w:lang w:val="es-ES_tradnl"/>
        </w:rPr>
        <w:t>2.3.</w:t>
      </w:r>
      <w:r w:rsidR="00F145EB" w:rsidRPr="00586C0E">
        <w:rPr>
          <w:rFonts w:ascii="Arial" w:hAnsi="Arial" w:cs="Arial"/>
          <w:b/>
          <w:sz w:val="24"/>
          <w:szCs w:val="24"/>
          <w:lang w:val="es-ES_tradnl"/>
        </w:rPr>
        <w:t xml:space="preserve"> </w:t>
      </w:r>
      <w:r w:rsidR="00EC6CFB" w:rsidRPr="00586C0E">
        <w:rPr>
          <w:rFonts w:ascii="Arial" w:hAnsi="Arial" w:cs="Arial"/>
          <w:b/>
          <w:sz w:val="24"/>
          <w:szCs w:val="24"/>
          <w:lang w:val="es-ES_tradnl"/>
        </w:rPr>
        <w:t xml:space="preserve">Sobre </w:t>
      </w:r>
      <w:r w:rsidR="00F145EB" w:rsidRPr="00586C0E">
        <w:rPr>
          <w:rFonts w:ascii="Arial" w:hAnsi="Arial" w:cs="Arial"/>
          <w:b/>
          <w:sz w:val="24"/>
          <w:szCs w:val="24"/>
          <w:lang w:val="es-ES_tradnl"/>
        </w:rPr>
        <w:t xml:space="preserve">el defecto fáctico, por indebida valoración probatoria </w:t>
      </w:r>
    </w:p>
    <w:p w14:paraId="61A19B5C" w14:textId="77777777" w:rsidR="00F145EB" w:rsidRPr="00586C0E" w:rsidRDefault="00F145EB" w:rsidP="00EC6CFB">
      <w:pPr>
        <w:rPr>
          <w:rFonts w:ascii="Arial" w:hAnsi="Arial" w:cs="Arial"/>
          <w:sz w:val="24"/>
          <w:szCs w:val="24"/>
        </w:rPr>
      </w:pPr>
    </w:p>
    <w:p w14:paraId="0FD21196" w14:textId="77777777" w:rsidR="00F145EB" w:rsidRPr="00586C0E" w:rsidRDefault="00476AB2" w:rsidP="00EC6CFB">
      <w:pPr>
        <w:rPr>
          <w:rFonts w:ascii="Arial" w:hAnsi="Arial" w:cs="Arial"/>
          <w:sz w:val="24"/>
          <w:szCs w:val="24"/>
        </w:rPr>
      </w:pPr>
      <w:r w:rsidRPr="00586C0E">
        <w:rPr>
          <w:rFonts w:ascii="Arial" w:hAnsi="Arial" w:cs="Arial"/>
          <w:sz w:val="24"/>
          <w:szCs w:val="24"/>
        </w:rPr>
        <w:t>2.</w:t>
      </w:r>
      <w:r w:rsidR="00EC6CFB" w:rsidRPr="00586C0E">
        <w:rPr>
          <w:rFonts w:ascii="Arial" w:hAnsi="Arial" w:cs="Arial"/>
          <w:sz w:val="24"/>
          <w:szCs w:val="24"/>
        </w:rPr>
        <w:t xml:space="preserve">3.1. </w:t>
      </w:r>
      <w:r w:rsidR="00F145EB" w:rsidRPr="00586C0E">
        <w:rPr>
          <w:rFonts w:ascii="Arial" w:hAnsi="Arial" w:cs="Arial"/>
          <w:sz w:val="24"/>
          <w:szCs w:val="24"/>
        </w:rPr>
        <w:t>Como se sabe, la prueba judicial es, por esencia, un medio procesal, cuya función principal es «</w:t>
      </w:r>
      <w:r w:rsidR="00F145EB" w:rsidRPr="00586C0E">
        <w:rPr>
          <w:rFonts w:ascii="Arial" w:hAnsi="Arial" w:cs="Arial"/>
          <w:i/>
          <w:sz w:val="24"/>
          <w:szCs w:val="24"/>
        </w:rPr>
        <w:t>ofrecer al juzgador información fiable acerca de la verdad de los hechos en litigio</w:t>
      </w:r>
      <w:r w:rsidR="00F145EB" w:rsidRPr="00586C0E">
        <w:rPr>
          <w:rFonts w:ascii="Arial" w:hAnsi="Arial" w:cs="Arial"/>
          <w:sz w:val="24"/>
          <w:szCs w:val="24"/>
        </w:rPr>
        <w:t>»</w:t>
      </w:r>
      <w:r w:rsidR="00F145EB" w:rsidRPr="00586C0E">
        <w:rPr>
          <w:rStyle w:val="Refdenotaalpie"/>
          <w:rFonts w:ascii="Arial" w:hAnsi="Arial" w:cs="Arial"/>
          <w:szCs w:val="24"/>
        </w:rPr>
        <w:footnoteReference w:id="12"/>
      </w:r>
      <w:r w:rsidR="00F145EB" w:rsidRPr="00586C0E">
        <w:rPr>
          <w:rFonts w:ascii="Arial" w:hAnsi="Arial" w:cs="Arial"/>
          <w:sz w:val="24"/>
          <w:szCs w:val="24"/>
        </w:rPr>
        <w:t xml:space="preserve">. Es decir, la prueba le permite al juez adoptar una decisión fundada en la realidad fáctica del proceso. </w:t>
      </w:r>
    </w:p>
    <w:p w14:paraId="08F94FF5" w14:textId="77777777" w:rsidR="00EC6CFB" w:rsidRPr="00586C0E" w:rsidRDefault="00EC6CFB" w:rsidP="00EC6CFB">
      <w:pPr>
        <w:rPr>
          <w:rFonts w:ascii="Arial" w:hAnsi="Arial" w:cs="Arial"/>
          <w:sz w:val="24"/>
          <w:szCs w:val="24"/>
        </w:rPr>
      </w:pPr>
    </w:p>
    <w:p w14:paraId="5F7D20C6" w14:textId="77777777" w:rsidR="00F145EB" w:rsidRPr="00586C0E" w:rsidRDefault="00476AB2" w:rsidP="00EC6CFB">
      <w:pPr>
        <w:rPr>
          <w:rFonts w:ascii="Arial" w:hAnsi="Arial" w:cs="Arial"/>
          <w:sz w:val="24"/>
          <w:szCs w:val="24"/>
        </w:rPr>
      </w:pPr>
      <w:r w:rsidRPr="00586C0E">
        <w:rPr>
          <w:rFonts w:ascii="Arial" w:hAnsi="Arial" w:cs="Arial"/>
          <w:sz w:val="24"/>
          <w:szCs w:val="24"/>
        </w:rPr>
        <w:t>2.</w:t>
      </w:r>
      <w:r w:rsidR="00EC6CFB" w:rsidRPr="00586C0E">
        <w:rPr>
          <w:rFonts w:ascii="Arial" w:hAnsi="Arial" w:cs="Arial"/>
          <w:sz w:val="24"/>
          <w:szCs w:val="24"/>
        </w:rPr>
        <w:t xml:space="preserve">3.2. </w:t>
      </w:r>
      <w:r w:rsidR="00F145EB" w:rsidRPr="00586C0E">
        <w:rPr>
          <w:rFonts w:ascii="Arial" w:hAnsi="Arial" w:cs="Arial"/>
          <w:sz w:val="24"/>
          <w:szCs w:val="24"/>
        </w:rPr>
        <w:t>Una vez conformado el conjunto de elementos de juicio que se aportaron al proceso para demostrar los hechos en que se fundan la demanda y la contestación, el juzgador tiene el deber de «</w:t>
      </w:r>
      <w:r w:rsidR="00F145EB" w:rsidRPr="00586C0E">
        <w:rPr>
          <w:rFonts w:ascii="Arial" w:hAnsi="Arial" w:cs="Arial"/>
          <w:i/>
          <w:sz w:val="24"/>
          <w:szCs w:val="24"/>
        </w:rPr>
        <w:t>establecer la conexión final entre los medios de prueba presentados y la verdad o falsedad de los enunciados sobre los hechos en litigio</w:t>
      </w:r>
      <w:r w:rsidR="00F145EB" w:rsidRPr="00586C0E">
        <w:rPr>
          <w:rFonts w:ascii="Arial" w:hAnsi="Arial" w:cs="Arial"/>
          <w:sz w:val="24"/>
          <w:szCs w:val="24"/>
        </w:rPr>
        <w:t>»</w:t>
      </w:r>
      <w:r w:rsidR="00F145EB" w:rsidRPr="00586C0E">
        <w:rPr>
          <w:rStyle w:val="Refdenotaalpie"/>
          <w:rFonts w:ascii="Arial" w:hAnsi="Arial" w:cs="Arial"/>
          <w:szCs w:val="24"/>
        </w:rPr>
        <w:footnoteReference w:id="13"/>
      </w:r>
      <w:r w:rsidR="00F145EB" w:rsidRPr="00586C0E">
        <w:rPr>
          <w:rFonts w:ascii="Arial" w:hAnsi="Arial" w:cs="Arial"/>
          <w:sz w:val="24"/>
          <w:szCs w:val="24"/>
        </w:rPr>
        <w:t xml:space="preserve">, esto es, al juez le corresponde darles el valor que en derecho corresponda. Empero, el razonamiento o valoración que hace el juez sobre los medios de prueba no están atados a reglas abstractas o de tarifa legal, pues el sistema procesal colombiano prevé el principio de la libre valoración de la prueba, salvo las solemnidades que se requieran para demostrar ciertos hechos. </w:t>
      </w:r>
    </w:p>
    <w:p w14:paraId="5E5F43AA" w14:textId="77777777" w:rsidR="00F145EB" w:rsidRPr="00586C0E" w:rsidRDefault="00F145EB" w:rsidP="00EC6CFB">
      <w:pPr>
        <w:rPr>
          <w:rFonts w:ascii="Arial" w:hAnsi="Arial" w:cs="Arial"/>
          <w:sz w:val="24"/>
          <w:szCs w:val="24"/>
        </w:rPr>
      </w:pPr>
    </w:p>
    <w:p w14:paraId="07B3B4A4" w14:textId="77777777" w:rsidR="00F145EB" w:rsidRPr="00586C0E" w:rsidRDefault="00476AB2" w:rsidP="00EC6CFB">
      <w:pPr>
        <w:rPr>
          <w:rFonts w:ascii="Arial" w:hAnsi="Arial" w:cs="Arial"/>
          <w:i/>
          <w:sz w:val="24"/>
          <w:szCs w:val="24"/>
        </w:rPr>
      </w:pPr>
      <w:r w:rsidRPr="00586C0E">
        <w:rPr>
          <w:rFonts w:ascii="Arial" w:hAnsi="Arial" w:cs="Arial"/>
          <w:sz w:val="24"/>
          <w:szCs w:val="24"/>
        </w:rPr>
        <w:t>2.</w:t>
      </w:r>
      <w:r w:rsidR="00EC6CFB" w:rsidRPr="00586C0E">
        <w:rPr>
          <w:rFonts w:ascii="Arial" w:hAnsi="Arial" w:cs="Arial"/>
          <w:sz w:val="24"/>
          <w:szCs w:val="24"/>
        </w:rPr>
        <w:t xml:space="preserve">3.3. </w:t>
      </w:r>
      <w:r w:rsidR="00F145EB" w:rsidRPr="00586C0E">
        <w:rPr>
          <w:rFonts w:ascii="Arial" w:hAnsi="Arial" w:cs="Arial"/>
          <w:sz w:val="24"/>
          <w:szCs w:val="24"/>
        </w:rPr>
        <w:t>Lo anterior quiere decir que es el juez, mediante una valoración libre y discrecional y bajo las reglas de la sana crítica, el encargado de determinar el valor de cada medio de prueba. De hecho, el artículo 176 del Código General del Proceso establece que «</w:t>
      </w:r>
      <w:r w:rsidR="00F145EB" w:rsidRPr="00586C0E">
        <w:rPr>
          <w:rFonts w:ascii="Arial" w:hAnsi="Arial" w:cs="Arial"/>
          <w:i/>
          <w:sz w:val="24"/>
          <w:szCs w:val="24"/>
        </w:rPr>
        <w:t>las pruebas deberán ser apreciadas en conjunto, de acuerdo con las reglas de la sana crítica, sin perjuicio de las solemnidades prescritas en la ley sustancial para la existencia o validez de ciertos actos</w:t>
      </w:r>
      <w:r w:rsidR="00F145EB" w:rsidRPr="00586C0E">
        <w:rPr>
          <w:rFonts w:ascii="Arial" w:hAnsi="Arial" w:cs="Arial"/>
          <w:sz w:val="24"/>
          <w:szCs w:val="24"/>
        </w:rPr>
        <w:t xml:space="preserve">». </w:t>
      </w:r>
      <w:r w:rsidR="00F145EB" w:rsidRPr="00586C0E">
        <w:rPr>
          <w:rFonts w:ascii="Arial" w:hAnsi="Arial" w:cs="Arial"/>
          <w:i/>
          <w:sz w:val="24"/>
          <w:szCs w:val="24"/>
        </w:rPr>
        <w:t xml:space="preserve"> </w:t>
      </w:r>
    </w:p>
    <w:p w14:paraId="1425AFED" w14:textId="77777777" w:rsidR="00F145EB" w:rsidRPr="00586C0E" w:rsidRDefault="00F145EB" w:rsidP="00EC6CFB">
      <w:pPr>
        <w:rPr>
          <w:rFonts w:ascii="Arial" w:hAnsi="Arial" w:cs="Arial"/>
          <w:sz w:val="24"/>
          <w:szCs w:val="24"/>
        </w:rPr>
      </w:pPr>
    </w:p>
    <w:p w14:paraId="04DAE15B" w14:textId="77777777" w:rsidR="00F145EB" w:rsidRPr="00586C0E" w:rsidRDefault="00476AB2" w:rsidP="00EC6CFB">
      <w:pPr>
        <w:rPr>
          <w:rFonts w:ascii="Arial" w:hAnsi="Arial" w:cs="Arial"/>
          <w:sz w:val="24"/>
          <w:szCs w:val="24"/>
        </w:rPr>
      </w:pPr>
      <w:r w:rsidRPr="00586C0E">
        <w:rPr>
          <w:rFonts w:ascii="Arial" w:hAnsi="Arial" w:cs="Arial"/>
          <w:sz w:val="24"/>
          <w:szCs w:val="24"/>
        </w:rPr>
        <w:t>2.</w:t>
      </w:r>
      <w:r w:rsidR="00EC6CFB" w:rsidRPr="00586C0E">
        <w:rPr>
          <w:rFonts w:ascii="Arial" w:hAnsi="Arial" w:cs="Arial"/>
          <w:sz w:val="24"/>
          <w:szCs w:val="24"/>
        </w:rPr>
        <w:t xml:space="preserve">3.4. </w:t>
      </w:r>
      <w:r w:rsidR="00F145EB" w:rsidRPr="00586C0E">
        <w:rPr>
          <w:rFonts w:ascii="Arial" w:hAnsi="Arial" w:cs="Arial"/>
          <w:sz w:val="24"/>
          <w:szCs w:val="24"/>
        </w:rPr>
        <w:t xml:space="preserve">Ahora, la valoración probatoria que se hace sobre los medios de prueba debe estar consignada en la sentencia, pues de ese modo las partes conocen por qué el juez declaró probados los hechos y cuál fue el apoyo probatorio en el que basó la decisión y, de contera, permite determinar si la decisión resulta válida o no. </w:t>
      </w:r>
    </w:p>
    <w:p w14:paraId="5C0413C2" w14:textId="77777777" w:rsidR="00F145EB" w:rsidRPr="00586C0E" w:rsidRDefault="00F145EB" w:rsidP="00EC6CFB">
      <w:pPr>
        <w:rPr>
          <w:rFonts w:ascii="Arial" w:hAnsi="Arial" w:cs="Arial"/>
          <w:sz w:val="24"/>
          <w:szCs w:val="24"/>
        </w:rPr>
      </w:pPr>
    </w:p>
    <w:p w14:paraId="2376E00E" w14:textId="77777777" w:rsidR="00F145EB" w:rsidRPr="00586C0E" w:rsidRDefault="00476AB2" w:rsidP="00EC6CFB">
      <w:pPr>
        <w:rPr>
          <w:rFonts w:ascii="Arial" w:hAnsi="Arial" w:cs="Arial"/>
          <w:sz w:val="24"/>
          <w:szCs w:val="24"/>
        </w:rPr>
      </w:pPr>
      <w:r w:rsidRPr="00586C0E">
        <w:rPr>
          <w:rFonts w:ascii="Arial" w:hAnsi="Arial" w:cs="Arial"/>
          <w:sz w:val="24"/>
          <w:szCs w:val="24"/>
        </w:rPr>
        <w:t>2.</w:t>
      </w:r>
      <w:r w:rsidR="00EC6CFB" w:rsidRPr="00586C0E">
        <w:rPr>
          <w:rFonts w:ascii="Arial" w:hAnsi="Arial" w:cs="Arial"/>
          <w:sz w:val="24"/>
          <w:szCs w:val="24"/>
        </w:rPr>
        <w:t xml:space="preserve">3.4.1. </w:t>
      </w:r>
      <w:r w:rsidR="00F145EB" w:rsidRPr="00586C0E">
        <w:rPr>
          <w:rFonts w:ascii="Arial" w:hAnsi="Arial" w:cs="Arial"/>
          <w:sz w:val="24"/>
          <w:szCs w:val="24"/>
        </w:rPr>
        <w:t xml:space="preserve">Por ejemplo, una decisión puede ser inválida cuando se demuestra que el juez valoró indebidamente las pruebas del proceso. En ese caso se configuraría un defecto fáctico, por indebida valoración probatoria, que, según la Corte Constitucional, se presenta en los siguientes casos: </w:t>
      </w:r>
    </w:p>
    <w:p w14:paraId="227E461D" w14:textId="77777777" w:rsidR="00F145EB" w:rsidRPr="00586C0E" w:rsidRDefault="00F145EB" w:rsidP="00EC6CFB">
      <w:pPr>
        <w:rPr>
          <w:rFonts w:ascii="Arial" w:hAnsi="Arial" w:cs="Arial"/>
          <w:i/>
          <w:color w:val="000000"/>
          <w:sz w:val="24"/>
          <w:szCs w:val="24"/>
          <w:shd w:val="clear" w:color="auto" w:fill="FFFFFF"/>
        </w:rPr>
      </w:pPr>
    </w:p>
    <w:p w14:paraId="615495E2" w14:textId="77777777" w:rsidR="00F145EB" w:rsidRPr="00586C0E" w:rsidRDefault="00F145EB" w:rsidP="00EC6CFB">
      <w:pPr>
        <w:ind w:left="397"/>
        <w:rPr>
          <w:rFonts w:ascii="Arial" w:hAnsi="Arial" w:cs="Arial"/>
          <w:color w:val="000000"/>
          <w:sz w:val="24"/>
          <w:szCs w:val="24"/>
          <w:shd w:val="clear" w:color="auto" w:fill="FFFFFF"/>
        </w:rPr>
      </w:pPr>
      <w:r w:rsidRPr="00586C0E">
        <w:rPr>
          <w:rFonts w:ascii="Arial" w:hAnsi="Arial" w:cs="Arial"/>
          <w:color w:val="000000"/>
          <w:sz w:val="24"/>
          <w:szCs w:val="24"/>
          <w:shd w:val="clear" w:color="auto" w:fill="FFFFFF"/>
        </w:rPr>
        <w:t>(i) Cuando el funcionario judicial, en contra de la evidencia probatoria, decide separarse por completo de los hechos debidamente probados y resolver a su arbitrio el asunto jurídico debatido; (</w:t>
      </w:r>
      <w:proofErr w:type="spellStart"/>
      <w:r w:rsidRPr="00586C0E">
        <w:rPr>
          <w:rFonts w:ascii="Arial" w:hAnsi="Arial" w:cs="Arial"/>
          <w:color w:val="000000"/>
          <w:sz w:val="24"/>
          <w:szCs w:val="24"/>
          <w:shd w:val="clear" w:color="auto" w:fill="FFFFFF"/>
        </w:rPr>
        <w:t>ii</w:t>
      </w:r>
      <w:proofErr w:type="spellEnd"/>
      <w:r w:rsidRPr="00586C0E">
        <w:rPr>
          <w:rFonts w:ascii="Arial" w:hAnsi="Arial" w:cs="Arial"/>
          <w:color w:val="000000"/>
          <w:sz w:val="24"/>
          <w:szCs w:val="24"/>
          <w:shd w:val="clear" w:color="auto" w:fill="FFFFFF"/>
        </w:rPr>
        <w:t>) cuando a pesar de existir pruebas ilícitas no se abstiene de excluirlas y con base en ellas fundamenta la decisión respectiva; (</w:t>
      </w:r>
      <w:proofErr w:type="spellStart"/>
      <w:r w:rsidRPr="00586C0E">
        <w:rPr>
          <w:rFonts w:ascii="Arial" w:hAnsi="Arial" w:cs="Arial"/>
          <w:color w:val="000000"/>
          <w:sz w:val="24"/>
          <w:szCs w:val="24"/>
          <w:shd w:val="clear" w:color="auto" w:fill="FFFFFF"/>
        </w:rPr>
        <w:t>iii</w:t>
      </w:r>
      <w:proofErr w:type="spellEnd"/>
      <w:r w:rsidRPr="00586C0E">
        <w:rPr>
          <w:rFonts w:ascii="Arial" w:hAnsi="Arial" w:cs="Arial"/>
          <w:color w:val="000000"/>
          <w:sz w:val="24"/>
          <w:szCs w:val="24"/>
          <w:shd w:val="clear" w:color="auto" w:fill="FFFFFF"/>
        </w:rPr>
        <w:t>) en la hipótesis de incongruencia entre lo probado y lo resuelto, esto es, cuando se adoptan decisiones en contravía de la evidencia probatoria y sin un apoyo fáctico claro; (</w:t>
      </w:r>
      <w:proofErr w:type="spellStart"/>
      <w:r w:rsidRPr="00586C0E">
        <w:rPr>
          <w:rFonts w:ascii="Arial" w:hAnsi="Arial" w:cs="Arial"/>
          <w:color w:val="000000"/>
          <w:sz w:val="24"/>
          <w:szCs w:val="24"/>
          <w:shd w:val="clear" w:color="auto" w:fill="FFFFFF"/>
        </w:rPr>
        <w:t>iv</w:t>
      </w:r>
      <w:proofErr w:type="spellEnd"/>
      <w:r w:rsidRPr="00586C0E">
        <w:rPr>
          <w:rFonts w:ascii="Arial" w:hAnsi="Arial" w:cs="Arial"/>
          <w:color w:val="000000"/>
          <w:sz w:val="24"/>
          <w:szCs w:val="24"/>
          <w:shd w:val="clear" w:color="auto" w:fill="FFFFFF"/>
        </w:rPr>
        <w:t xml:space="preserve">) cuando el funcionario judicial valora pruebas manifiestamente inconducentes respecto de los hechos y pretensiones debatidos en un proceso ordinario, no por tratarse en estricto sentido de pruebas viciadas de nulidad sino porque se trata de elementos probatorios que no guardaban relación con el asunto debatido en el proceso; (v) cuando el juez de conocimiento da por probados hechos que no cuentan con soporte probatorio </w:t>
      </w:r>
      <w:r w:rsidRPr="00586C0E">
        <w:rPr>
          <w:rFonts w:ascii="Arial" w:hAnsi="Arial" w:cs="Arial"/>
          <w:color w:val="000000"/>
          <w:sz w:val="24"/>
          <w:szCs w:val="24"/>
          <w:shd w:val="clear" w:color="auto" w:fill="FFFFFF"/>
        </w:rPr>
        <w:lastRenderedPageBreak/>
        <w:t>dentro del proceso y (vi) cuando no valore pruebas debidamente aportadas en el proceso</w:t>
      </w:r>
      <w:r w:rsidRPr="00586C0E">
        <w:rPr>
          <w:rStyle w:val="Refdenotaalpie"/>
          <w:rFonts w:ascii="Arial" w:hAnsi="Arial" w:cs="Arial"/>
          <w:color w:val="000000"/>
          <w:szCs w:val="24"/>
          <w:shd w:val="clear" w:color="auto" w:fill="FFFFFF"/>
        </w:rPr>
        <w:footnoteReference w:id="14"/>
      </w:r>
      <w:r w:rsidRPr="00586C0E">
        <w:rPr>
          <w:rFonts w:ascii="Arial" w:hAnsi="Arial" w:cs="Arial"/>
          <w:color w:val="000000"/>
          <w:sz w:val="24"/>
          <w:szCs w:val="24"/>
          <w:shd w:val="clear" w:color="auto" w:fill="FFFFFF"/>
        </w:rPr>
        <w:t>.</w:t>
      </w:r>
    </w:p>
    <w:p w14:paraId="0506E6A8" w14:textId="77777777" w:rsidR="00F145EB" w:rsidRPr="00586C0E" w:rsidRDefault="00F145EB" w:rsidP="00CD03C3">
      <w:pPr>
        <w:shd w:val="clear" w:color="auto" w:fill="FFFFFF"/>
        <w:rPr>
          <w:rFonts w:ascii="Arial" w:hAnsi="Arial" w:cs="Arial"/>
          <w:b/>
          <w:sz w:val="24"/>
          <w:szCs w:val="24"/>
        </w:rPr>
      </w:pPr>
    </w:p>
    <w:p w14:paraId="74CB6F8E" w14:textId="77777777" w:rsidR="00EC6CFB" w:rsidRPr="00586C0E" w:rsidRDefault="00476AB2" w:rsidP="00EC6CFB">
      <w:pPr>
        <w:ind w:left="927"/>
        <w:rPr>
          <w:rFonts w:ascii="Arial" w:hAnsi="Arial" w:cs="Arial"/>
          <w:b/>
          <w:sz w:val="24"/>
          <w:szCs w:val="24"/>
        </w:rPr>
      </w:pPr>
      <w:r w:rsidRPr="00586C0E">
        <w:rPr>
          <w:rFonts w:ascii="Arial" w:hAnsi="Arial" w:cs="Arial"/>
          <w:b/>
          <w:sz w:val="24"/>
          <w:szCs w:val="24"/>
        </w:rPr>
        <w:t>2.4</w:t>
      </w:r>
      <w:r w:rsidR="00EC6CFB" w:rsidRPr="00586C0E">
        <w:rPr>
          <w:rFonts w:ascii="Arial" w:hAnsi="Arial" w:cs="Arial"/>
          <w:b/>
          <w:sz w:val="24"/>
          <w:szCs w:val="24"/>
        </w:rPr>
        <w:t xml:space="preserve">. Sobre </w:t>
      </w:r>
      <w:r w:rsidR="000F22F2" w:rsidRPr="00586C0E">
        <w:rPr>
          <w:rFonts w:ascii="Arial" w:hAnsi="Arial" w:cs="Arial"/>
          <w:b/>
          <w:sz w:val="24"/>
          <w:szCs w:val="24"/>
        </w:rPr>
        <w:t xml:space="preserve">el defecto fáctico en el caso concreto </w:t>
      </w:r>
    </w:p>
    <w:p w14:paraId="3B838117" w14:textId="77777777" w:rsidR="00EC6CFB" w:rsidRPr="00586C0E" w:rsidRDefault="00EC6CFB" w:rsidP="005C28BB">
      <w:pPr>
        <w:shd w:val="clear" w:color="auto" w:fill="FFFFFF"/>
        <w:rPr>
          <w:rFonts w:ascii="Arial" w:hAnsi="Arial" w:cs="Arial"/>
          <w:sz w:val="24"/>
          <w:szCs w:val="24"/>
          <w:lang w:val="es-CO"/>
        </w:rPr>
      </w:pPr>
    </w:p>
    <w:p w14:paraId="3EFC156A" w14:textId="77777777" w:rsidR="005C28BB" w:rsidRPr="00586C0E" w:rsidRDefault="00476AB2" w:rsidP="005C28BB">
      <w:pPr>
        <w:shd w:val="clear" w:color="auto" w:fill="FFFFFF"/>
        <w:rPr>
          <w:rFonts w:ascii="Arial" w:hAnsi="Arial" w:cs="Arial"/>
          <w:sz w:val="24"/>
          <w:szCs w:val="24"/>
        </w:rPr>
      </w:pPr>
      <w:r w:rsidRPr="00586C0E">
        <w:rPr>
          <w:rFonts w:ascii="Arial" w:hAnsi="Arial" w:cs="Arial"/>
          <w:sz w:val="24"/>
          <w:szCs w:val="24"/>
          <w:lang w:val="es-CO"/>
        </w:rPr>
        <w:t>2.</w:t>
      </w:r>
      <w:r w:rsidR="00EC6CFB" w:rsidRPr="00586C0E">
        <w:rPr>
          <w:rFonts w:ascii="Arial" w:hAnsi="Arial" w:cs="Arial"/>
          <w:sz w:val="24"/>
          <w:szCs w:val="24"/>
          <w:lang w:val="es-CO"/>
        </w:rPr>
        <w:t xml:space="preserve">4.1. En </w:t>
      </w:r>
      <w:r w:rsidR="005C28BB" w:rsidRPr="00586C0E">
        <w:rPr>
          <w:rFonts w:ascii="Arial" w:hAnsi="Arial" w:cs="Arial"/>
          <w:sz w:val="24"/>
          <w:szCs w:val="24"/>
          <w:lang w:val="es-CO"/>
        </w:rPr>
        <w:t>lo que aquí interesa, l</w:t>
      </w:r>
      <w:r w:rsidR="005C28BB" w:rsidRPr="00586C0E">
        <w:rPr>
          <w:rFonts w:ascii="Arial" w:hAnsi="Arial" w:cs="Arial"/>
          <w:sz w:val="24"/>
          <w:szCs w:val="24"/>
        </w:rPr>
        <w:t xml:space="preserve">a sentencia objeto de tutela se ocupó de decidir si estaban acreditados los requisitos del enriquecimiento sin causa de </w:t>
      </w:r>
      <w:proofErr w:type="spellStart"/>
      <w:r w:rsidR="005C28BB" w:rsidRPr="00586C0E">
        <w:rPr>
          <w:rFonts w:ascii="Arial" w:hAnsi="Arial" w:cs="Arial"/>
          <w:sz w:val="24"/>
          <w:szCs w:val="24"/>
        </w:rPr>
        <w:t>Invipasto</w:t>
      </w:r>
      <w:proofErr w:type="spellEnd"/>
      <w:r w:rsidR="005C28BB" w:rsidRPr="00586C0E">
        <w:rPr>
          <w:rFonts w:ascii="Arial" w:hAnsi="Arial" w:cs="Arial"/>
          <w:sz w:val="24"/>
          <w:szCs w:val="24"/>
        </w:rPr>
        <w:t xml:space="preserve">, que hiciera procedente el deber de compensar a </w:t>
      </w:r>
      <w:proofErr w:type="spellStart"/>
      <w:r w:rsidR="005C28BB" w:rsidRPr="00586C0E">
        <w:rPr>
          <w:rFonts w:ascii="Arial" w:hAnsi="Arial" w:cs="Arial"/>
          <w:sz w:val="24"/>
          <w:szCs w:val="24"/>
        </w:rPr>
        <w:t>Surtieléctricos</w:t>
      </w:r>
      <w:proofErr w:type="spellEnd"/>
      <w:r w:rsidR="005C28BB" w:rsidRPr="00586C0E">
        <w:rPr>
          <w:rFonts w:ascii="Arial" w:hAnsi="Arial" w:cs="Arial"/>
          <w:sz w:val="24"/>
          <w:szCs w:val="24"/>
        </w:rPr>
        <w:t xml:space="preserve"> Cali Ltda. </w:t>
      </w:r>
      <w:r w:rsidR="00EC6CFB" w:rsidRPr="00586C0E">
        <w:rPr>
          <w:rFonts w:ascii="Arial" w:hAnsi="Arial" w:cs="Arial"/>
          <w:sz w:val="24"/>
          <w:szCs w:val="24"/>
        </w:rPr>
        <w:t xml:space="preserve">Para el efecto, </w:t>
      </w:r>
      <w:r w:rsidR="005C28BB" w:rsidRPr="00586C0E">
        <w:rPr>
          <w:rFonts w:ascii="Arial" w:hAnsi="Arial" w:cs="Arial"/>
          <w:sz w:val="24"/>
          <w:szCs w:val="24"/>
        </w:rPr>
        <w:t xml:space="preserve">la sentencia del 28 de febrero de </w:t>
      </w:r>
      <w:r w:rsidR="005C28BB" w:rsidRPr="00586C0E">
        <w:rPr>
          <w:rFonts w:ascii="Arial" w:eastAsia="Verdana" w:hAnsi="Arial" w:cs="Arial"/>
          <w:sz w:val="24"/>
          <w:szCs w:val="24"/>
        </w:rPr>
        <w:t>2018</w:t>
      </w:r>
      <w:r w:rsidR="005C28BB" w:rsidRPr="00586C0E">
        <w:rPr>
          <w:rFonts w:ascii="Arial" w:hAnsi="Arial" w:cs="Arial"/>
          <w:sz w:val="24"/>
          <w:szCs w:val="24"/>
        </w:rPr>
        <w:t xml:space="preserve"> comenzó por referirse a la</w:t>
      </w:r>
      <w:r w:rsidR="00EC6CFB" w:rsidRPr="00586C0E">
        <w:rPr>
          <w:rFonts w:ascii="Arial" w:hAnsi="Arial" w:cs="Arial"/>
          <w:sz w:val="24"/>
          <w:szCs w:val="24"/>
        </w:rPr>
        <w:t xml:space="preserve"> evolución jurisprudencial </w:t>
      </w:r>
      <w:r w:rsidR="005C28BB" w:rsidRPr="00586C0E">
        <w:rPr>
          <w:rFonts w:ascii="Arial" w:hAnsi="Arial" w:cs="Arial"/>
          <w:sz w:val="24"/>
          <w:szCs w:val="24"/>
        </w:rPr>
        <w:t>sobre el enriquecimiento sin causa hasta llegar a la sentencia de unificación del 19 de noviembre de 2012, dictada por la Sección Tercera del Consejo de Estado.</w:t>
      </w:r>
    </w:p>
    <w:p w14:paraId="67CE56FA" w14:textId="77777777" w:rsidR="00EB4676" w:rsidRPr="00586C0E" w:rsidRDefault="00476AB2" w:rsidP="00CD03C3">
      <w:pPr>
        <w:shd w:val="clear" w:color="auto" w:fill="FFFFFF"/>
        <w:rPr>
          <w:rFonts w:ascii="Arial" w:hAnsi="Arial" w:cs="Arial"/>
          <w:sz w:val="24"/>
          <w:szCs w:val="24"/>
        </w:rPr>
      </w:pPr>
      <w:r w:rsidRPr="00586C0E">
        <w:rPr>
          <w:rFonts w:ascii="Arial" w:hAnsi="Arial" w:cs="Arial"/>
          <w:sz w:val="24"/>
          <w:szCs w:val="24"/>
        </w:rPr>
        <w:t>2.</w:t>
      </w:r>
      <w:r w:rsidR="00EC6CFB" w:rsidRPr="00586C0E">
        <w:rPr>
          <w:rFonts w:ascii="Arial" w:hAnsi="Arial" w:cs="Arial"/>
          <w:sz w:val="24"/>
          <w:szCs w:val="24"/>
        </w:rPr>
        <w:t>4.</w:t>
      </w:r>
      <w:r w:rsidR="002B1D13" w:rsidRPr="00586C0E">
        <w:rPr>
          <w:rFonts w:ascii="Arial" w:hAnsi="Arial" w:cs="Arial"/>
          <w:sz w:val="24"/>
          <w:szCs w:val="24"/>
        </w:rPr>
        <w:t>1.1</w:t>
      </w:r>
      <w:r w:rsidR="00EC6CFB" w:rsidRPr="00586C0E">
        <w:rPr>
          <w:rFonts w:ascii="Arial" w:hAnsi="Arial" w:cs="Arial"/>
          <w:sz w:val="24"/>
          <w:szCs w:val="24"/>
        </w:rPr>
        <w:t>. Luego de valorar las pruebas del proceso, e</w:t>
      </w:r>
      <w:r w:rsidR="00B20F35" w:rsidRPr="00586C0E">
        <w:rPr>
          <w:rFonts w:ascii="Arial" w:hAnsi="Arial" w:cs="Arial"/>
          <w:sz w:val="24"/>
          <w:szCs w:val="24"/>
        </w:rPr>
        <w:t>l Tribunal Administrativo de Nariño</w:t>
      </w:r>
      <w:r w:rsidR="00EC6CFB" w:rsidRPr="00586C0E">
        <w:rPr>
          <w:rFonts w:ascii="Arial" w:hAnsi="Arial" w:cs="Arial"/>
          <w:sz w:val="24"/>
          <w:szCs w:val="24"/>
        </w:rPr>
        <w:t xml:space="preserve"> concluyó que </w:t>
      </w:r>
      <w:proofErr w:type="spellStart"/>
      <w:r w:rsidR="00EC6CFB" w:rsidRPr="00586C0E">
        <w:rPr>
          <w:rFonts w:ascii="Arial" w:hAnsi="Arial" w:cs="Arial"/>
          <w:sz w:val="24"/>
          <w:szCs w:val="24"/>
        </w:rPr>
        <w:t>Surtieléctricos</w:t>
      </w:r>
      <w:proofErr w:type="spellEnd"/>
      <w:r w:rsidR="00EC6CFB" w:rsidRPr="00586C0E">
        <w:rPr>
          <w:rFonts w:ascii="Arial" w:hAnsi="Arial" w:cs="Arial"/>
          <w:sz w:val="24"/>
          <w:szCs w:val="24"/>
        </w:rPr>
        <w:t xml:space="preserve"> Cali Ltda. no </w:t>
      </w:r>
      <w:r w:rsidR="00987540" w:rsidRPr="00586C0E">
        <w:rPr>
          <w:rFonts w:ascii="Arial" w:hAnsi="Arial" w:cs="Arial"/>
          <w:sz w:val="24"/>
          <w:szCs w:val="24"/>
        </w:rPr>
        <w:t>probó</w:t>
      </w:r>
      <w:r w:rsidR="00EC6CFB" w:rsidRPr="00586C0E">
        <w:rPr>
          <w:rFonts w:ascii="Arial" w:hAnsi="Arial" w:cs="Arial"/>
          <w:sz w:val="24"/>
          <w:szCs w:val="24"/>
        </w:rPr>
        <w:t xml:space="preserve"> el primer </w:t>
      </w:r>
      <w:r w:rsidR="00B20F35" w:rsidRPr="00586C0E">
        <w:rPr>
          <w:rFonts w:ascii="Arial" w:hAnsi="Arial" w:cs="Arial"/>
          <w:sz w:val="24"/>
          <w:szCs w:val="24"/>
        </w:rPr>
        <w:t>requisito</w:t>
      </w:r>
      <w:r w:rsidR="00EC6CFB" w:rsidRPr="00586C0E">
        <w:rPr>
          <w:rFonts w:ascii="Arial" w:hAnsi="Arial" w:cs="Arial"/>
          <w:sz w:val="24"/>
          <w:szCs w:val="24"/>
        </w:rPr>
        <w:t xml:space="preserve"> </w:t>
      </w:r>
      <w:r w:rsidR="00B20F35" w:rsidRPr="00586C0E">
        <w:rPr>
          <w:rFonts w:ascii="Arial" w:hAnsi="Arial" w:cs="Arial"/>
          <w:sz w:val="24"/>
          <w:szCs w:val="24"/>
        </w:rPr>
        <w:t>del enriquecimiento sin causa</w:t>
      </w:r>
      <w:r w:rsidR="00EB4676" w:rsidRPr="00586C0E">
        <w:rPr>
          <w:rFonts w:ascii="Arial" w:hAnsi="Arial" w:cs="Arial"/>
          <w:sz w:val="24"/>
          <w:szCs w:val="24"/>
        </w:rPr>
        <w:t xml:space="preserve"> previsto por la jurisprudencia de esta Corporación, esto es, «</w:t>
      </w:r>
      <w:r w:rsidR="00EB4676" w:rsidRPr="00586C0E">
        <w:rPr>
          <w:rFonts w:ascii="Arial" w:hAnsi="Arial" w:cs="Arial"/>
          <w:i/>
          <w:sz w:val="24"/>
          <w:szCs w:val="24"/>
        </w:rPr>
        <w:t>un enriquecimiento que conlleve un aumento económico patrimonial en la parte enriquecida, bien porque recibe nuevos bienes o porque no tiene que gastar los que posee</w:t>
      </w:r>
      <w:r w:rsidR="00EB4676" w:rsidRPr="00586C0E">
        <w:rPr>
          <w:rFonts w:ascii="Arial" w:hAnsi="Arial" w:cs="Arial"/>
          <w:sz w:val="24"/>
          <w:szCs w:val="24"/>
        </w:rPr>
        <w:t>»</w:t>
      </w:r>
      <w:r w:rsidR="00B20F35" w:rsidRPr="00586C0E">
        <w:rPr>
          <w:rFonts w:ascii="Arial" w:hAnsi="Arial" w:cs="Arial"/>
          <w:sz w:val="24"/>
          <w:szCs w:val="24"/>
        </w:rPr>
        <w:t xml:space="preserve">. </w:t>
      </w:r>
    </w:p>
    <w:p w14:paraId="71EB9BFE" w14:textId="77777777" w:rsidR="00EB4676" w:rsidRPr="00586C0E" w:rsidRDefault="00EB4676" w:rsidP="00CD03C3">
      <w:pPr>
        <w:shd w:val="clear" w:color="auto" w:fill="FFFFFF"/>
        <w:rPr>
          <w:rFonts w:ascii="Arial" w:hAnsi="Arial" w:cs="Arial"/>
          <w:sz w:val="24"/>
          <w:szCs w:val="24"/>
        </w:rPr>
      </w:pPr>
    </w:p>
    <w:p w14:paraId="76CC640B" w14:textId="77777777" w:rsidR="001108E4" w:rsidRPr="00586C0E" w:rsidRDefault="00476AB2" w:rsidP="00CD03C3">
      <w:pPr>
        <w:shd w:val="clear" w:color="auto" w:fill="FFFFFF"/>
        <w:rPr>
          <w:rFonts w:ascii="Arial" w:hAnsi="Arial" w:cs="Arial"/>
          <w:sz w:val="24"/>
          <w:szCs w:val="24"/>
        </w:rPr>
      </w:pPr>
      <w:r w:rsidRPr="00586C0E">
        <w:rPr>
          <w:rFonts w:ascii="Arial" w:hAnsi="Arial" w:cs="Arial"/>
          <w:sz w:val="24"/>
          <w:szCs w:val="24"/>
        </w:rPr>
        <w:t>2.</w:t>
      </w:r>
      <w:r w:rsidR="00EB4676" w:rsidRPr="00586C0E">
        <w:rPr>
          <w:rFonts w:ascii="Arial" w:hAnsi="Arial" w:cs="Arial"/>
          <w:sz w:val="24"/>
          <w:szCs w:val="24"/>
        </w:rPr>
        <w:t>4.</w:t>
      </w:r>
      <w:r w:rsidR="002B1D13" w:rsidRPr="00586C0E">
        <w:rPr>
          <w:rFonts w:ascii="Arial" w:hAnsi="Arial" w:cs="Arial"/>
          <w:sz w:val="24"/>
          <w:szCs w:val="24"/>
        </w:rPr>
        <w:t>1.2.</w:t>
      </w:r>
      <w:r w:rsidR="00EB4676" w:rsidRPr="00586C0E">
        <w:rPr>
          <w:rFonts w:ascii="Arial" w:hAnsi="Arial" w:cs="Arial"/>
          <w:sz w:val="24"/>
          <w:szCs w:val="24"/>
        </w:rPr>
        <w:t xml:space="preserve"> </w:t>
      </w:r>
      <w:r w:rsidR="00B20F35" w:rsidRPr="00586C0E">
        <w:rPr>
          <w:rFonts w:ascii="Arial" w:hAnsi="Arial" w:cs="Arial"/>
          <w:sz w:val="24"/>
          <w:szCs w:val="24"/>
        </w:rPr>
        <w:t xml:space="preserve">En </w:t>
      </w:r>
      <w:r w:rsidR="00EB4676" w:rsidRPr="00586C0E">
        <w:rPr>
          <w:rFonts w:ascii="Arial" w:hAnsi="Arial" w:cs="Arial"/>
          <w:sz w:val="24"/>
          <w:szCs w:val="24"/>
        </w:rPr>
        <w:t xml:space="preserve">efecto, el tribunal demandado </w:t>
      </w:r>
      <w:r w:rsidR="0035586B" w:rsidRPr="00586C0E">
        <w:rPr>
          <w:rFonts w:ascii="Arial" w:hAnsi="Arial" w:cs="Arial"/>
          <w:sz w:val="24"/>
          <w:szCs w:val="24"/>
        </w:rPr>
        <w:t xml:space="preserve">estimó que </w:t>
      </w:r>
      <w:proofErr w:type="spellStart"/>
      <w:r w:rsidR="0035586B" w:rsidRPr="00586C0E">
        <w:rPr>
          <w:rFonts w:ascii="Arial" w:hAnsi="Arial" w:cs="Arial"/>
          <w:sz w:val="24"/>
          <w:szCs w:val="24"/>
        </w:rPr>
        <w:t>Surtieléctricos</w:t>
      </w:r>
      <w:proofErr w:type="spellEnd"/>
      <w:r w:rsidR="0035586B" w:rsidRPr="00586C0E">
        <w:rPr>
          <w:rFonts w:ascii="Arial" w:hAnsi="Arial" w:cs="Arial"/>
          <w:sz w:val="24"/>
          <w:szCs w:val="24"/>
        </w:rPr>
        <w:t xml:space="preserve"> Cali Ltda. «</w:t>
      </w:r>
      <w:r w:rsidR="0035586B" w:rsidRPr="00586C0E">
        <w:rPr>
          <w:rFonts w:ascii="Arial" w:hAnsi="Arial" w:cs="Arial"/>
          <w:i/>
          <w:sz w:val="24"/>
          <w:szCs w:val="24"/>
        </w:rPr>
        <w:t>no logró acreditar que efectivamente suministró materiales eléctricos a INVIPASTO»</w:t>
      </w:r>
      <w:r w:rsidR="0035586B" w:rsidRPr="00586C0E">
        <w:rPr>
          <w:rStyle w:val="Refdenotaalpie"/>
          <w:rFonts w:ascii="Arial" w:hAnsi="Arial" w:cs="Arial"/>
          <w:i/>
          <w:szCs w:val="24"/>
        </w:rPr>
        <w:footnoteReference w:id="15"/>
      </w:r>
      <w:r w:rsidR="00AB4064" w:rsidRPr="00586C0E">
        <w:rPr>
          <w:rFonts w:ascii="Arial" w:hAnsi="Arial" w:cs="Arial"/>
          <w:sz w:val="24"/>
          <w:szCs w:val="24"/>
        </w:rPr>
        <w:t xml:space="preserve">, </w:t>
      </w:r>
      <w:r w:rsidR="00EB4676" w:rsidRPr="00586C0E">
        <w:rPr>
          <w:rFonts w:ascii="Arial" w:hAnsi="Arial" w:cs="Arial"/>
          <w:sz w:val="24"/>
          <w:szCs w:val="24"/>
        </w:rPr>
        <w:t xml:space="preserve">básicamente </w:t>
      </w:r>
      <w:r w:rsidR="00AB4064" w:rsidRPr="00586C0E">
        <w:rPr>
          <w:rFonts w:ascii="Arial" w:hAnsi="Arial" w:cs="Arial"/>
          <w:sz w:val="24"/>
          <w:szCs w:val="24"/>
        </w:rPr>
        <w:t xml:space="preserve">por dos razones. La primera, porque </w:t>
      </w:r>
      <w:r w:rsidR="00BC28C9" w:rsidRPr="00586C0E">
        <w:rPr>
          <w:rFonts w:ascii="Arial" w:hAnsi="Arial" w:cs="Arial"/>
          <w:sz w:val="24"/>
          <w:szCs w:val="24"/>
        </w:rPr>
        <w:t xml:space="preserve">en </w:t>
      </w:r>
      <w:r w:rsidR="00AB4064" w:rsidRPr="00586C0E">
        <w:rPr>
          <w:rFonts w:ascii="Arial" w:hAnsi="Arial" w:cs="Arial"/>
          <w:sz w:val="24"/>
          <w:szCs w:val="24"/>
        </w:rPr>
        <w:t>las facturas de compraventa «</w:t>
      </w:r>
      <w:r w:rsidR="00AB4064" w:rsidRPr="00586C0E">
        <w:rPr>
          <w:rFonts w:ascii="Arial" w:hAnsi="Arial" w:cs="Arial"/>
          <w:i/>
          <w:sz w:val="24"/>
          <w:szCs w:val="24"/>
        </w:rPr>
        <w:t>no se especifica que el comprador hubiese sido el instituto demandando</w:t>
      </w:r>
      <w:r w:rsidR="00BC28C9" w:rsidRPr="00586C0E">
        <w:rPr>
          <w:rFonts w:ascii="Arial" w:hAnsi="Arial" w:cs="Arial"/>
          <w:sz w:val="24"/>
          <w:szCs w:val="24"/>
        </w:rPr>
        <w:t xml:space="preserve"> (…). </w:t>
      </w:r>
      <w:r w:rsidR="00BC28C9" w:rsidRPr="00586C0E">
        <w:rPr>
          <w:rFonts w:ascii="Arial" w:hAnsi="Arial" w:cs="Arial"/>
          <w:i/>
          <w:sz w:val="24"/>
          <w:szCs w:val="24"/>
        </w:rPr>
        <w:t>Por lo tanto, tales documentos no soportan el suministro de bienes en favor del ente territorial</w:t>
      </w:r>
      <w:r w:rsidR="00AB4064" w:rsidRPr="00586C0E">
        <w:rPr>
          <w:rFonts w:ascii="Arial" w:hAnsi="Arial" w:cs="Arial"/>
          <w:sz w:val="24"/>
          <w:szCs w:val="24"/>
        </w:rPr>
        <w:t>»</w:t>
      </w:r>
      <w:r w:rsidR="00AB4064" w:rsidRPr="00586C0E">
        <w:rPr>
          <w:rStyle w:val="Refdenotaalpie"/>
          <w:rFonts w:ascii="Arial" w:hAnsi="Arial" w:cs="Arial"/>
          <w:szCs w:val="24"/>
        </w:rPr>
        <w:footnoteReference w:id="16"/>
      </w:r>
      <w:r w:rsidR="00AB4064" w:rsidRPr="00586C0E">
        <w:rPr>
          <w:rFonts w:ascii="Arial" w:hAnsi="Arial" w:cs="Arial"/>
          <w:sz w:val="24"/>
          <w:szCs w:val="24"/>
        </w:rPr>
        <w:t>.</w:t>
      </w:r>
      <w:r w:rsidR="00BC28C9" w:rsidRPr="00586C0E">
        <w:rPr>
          <w:rFonts w:ascii="Arial" w:hAnsi="Arial" w:cs="Arial"/>
          <w:sz w:val="24"/>
          <w:szCs w:val="24"/>
        </w:rPr>
        <w:t xml:space="preserve"> </w:t>
      </w:r>
    </w:p>
    <w:p w14:paraId="1A26F51B" w14:textId="77777777" w:rsidR="001108E4" w:rsidRPr="00586C0E" w:rsidRDefault="001108E4" w:rsidP="00CD03C3">
      <w:pPr>
        <w:shd w:val="clear" w:color="auto" w:fill="FFFFFF"/>
        <w:rPr>
          <w:rFonts w:ascii="Arial" w:hAnsi="Arial" w:cs="Arial"/>
          <w:sz w:val="24"/>
          <w:szCs w:val="24"/>
        </w:rPr>
      </w:pPr>
    </w:p>
    <w:p w14:paraId="6395D111" w14:textId="77777777" w:rsidR="00BC28C9" w:rsidRPr="00586C0E" w:rsidRDefault="00476AB2" w:rsidP="00CD03C3">
      <w:pPr>
        <w:shd w:val="clear" w:color="auto" w:fill="FFFFFF"/>
        <w:rPr>
          <w:rFonts w:ascii="Arial" w:hAnsi="Arial" w:cs="Arial"/>
          <w:sz w:val="24"/>
          <w:szCs w:val="24"/>
        </w:rPr>
      </w:pPr>
      <w:r w:rsidRPr="00586C0E">
        <w:rPr>
          <w:rFonts w:ascii="Arial" w:hAnsi="Arial" w:cs="Arial"/>
          <w:sz w:val="24"/>
          <w:szCs w:val="24"/>
        </w:rPr>
        <w:t>2.</w:t>
      </w:r>
      <w:r w:rsidR="00EB4676" w:rsidRPr="00586C0E">
        <w:rPr>
          <w:rFonts w:ascii="Arial" w:hAnsi="Arial" w:cs="Arial"/>
          <w:sz w:val="24"/>
          <w:szCs w:val="24"/>
        </w:rPr>
        <w:t>4.</w:t>
      </w:r>
      <w:r w:rsidR="002B1D13" w:rsidRPr="00586C0E">
        <w:rPr>
          <w:rFonts w:ascii="Arial" w:hAnsi="Arial" w:cs="Arial"/>
          <w:sz w:val="24"/>
          <w:szCs w:val="24"/>
        </w:rPr>
        <w:t>1.3.</w:t>
      </w:r>
      <w:r w:rsidR="001108E4" w:rsidRPr="00586C0E">
        <w:rPr>
          <w:rFonts w:ascii="Arial" w:hAnsi="Arial" w:cs="Arial"/>
          <w:sz w:val="24"/>
          <w:szCs w:val="24"/>
        </w:rPr>
        <w:t xml:space="preserve"> </w:t>
      </w:r>
      <w:r w:rsidR="00BC28C9" w:rsidRPr="00586C0E">
        <w:rPr>
          <w:rFonts w:ascii="Arial" w:hAnsi="Arial" w:cs="Arial"/>
          <w:sz w:val="24"/>
          <w:szCs w:val="24"/>
        </w:rPr>
        <w:t>Y la segunda, porque en los oficios en los que supuestamente se remitieron los materiales no se puede identificar qu</w:t>
      </w:r>
      <w:r w:rsidR="001108E4" w:rsidRPr="00586C0E">
        <w:rPr>
          <w:rFonts w:ascii="Arial" w:hAnsi="Arial" w:cs="Arial"/>
          <w:sz w:val="24"/>
          <w:szCs w:val="24"/>
        </w:rPr>
        <w:t>ién recibió la mercancía, «</w:t>
      </w:r>
      <w:r w:rsidR="001108E4" w:rsidRPr="00586C0E">
        <w:rPr>
          <w:rFonts w:ascii="Arial" w:hAnsi="Arial" w:cs="Arial"/>
          <w:i/>
          <w:sz w:val="24"/>
          <w:szCs w:val="24"/>
        </w:rPr>
        <w:t xml:space="preserve">toda vez que </w:t>
      </w:r>
      <w:r w:rsidR="00A46BFB" w:rsidRPr="00586C0E">
        <w:rPr>
          <w:rFonts w:ascii="Arial" w:hAnsi="Arial" w:cs="Arial"/>
          <w:i/>
          <w:sz w:val="24"/>
          <w:szCs w:val="24"/>
        </w:rPr>
        <w:t xml:space="preserve">en </w:t>
      </w:r>
      <w:r w:rsidR="001108E4" w:rsidRPr="00586C0E">
        <w:rPr>
          <w:rFonts w:ascii="Arial" w:hAnsi="Arial" w:cs="Arial"/>
          <w:i/>
          <w:sz w:val="24"/>
          <w:szCs w:val="24"/>
        </w:rPr>
        <w:t>el aparte correspondiente se observa una firma ilegible, sin anotación del nombre o número de identificación; se aclara que en la factura de fecha 2 de septiembre de 2010 –No. 10734, folio 45- aparece una rúbrica ilegible en el espacio de recibido y en otro lugar del documento, figura el nombre de Jorge Meneses R. bajo el título: revisado</w:t>
      </w:r>
      <w:r w:rsidR="00031755" w:rsidRPr="00586C0E">
        <w:rPr>
          <w:rFonts w:ascii="Arial" w:hAnsi="Arial" w:cs="Arial"/>
          <w:i/>
          <w:sz w:val="24"/>
          <w:szCs w:val="24"/>
        </w:rPr>
        <w:t xml:space="preserve"> </w:t>
      </w:r>
      <w:r w:rsidR="00031755" w:rsidRPr="00586C0E">
        <w:rPr>
          <w:rFonts w:ascii="Arial" w:hAnsi="Arial" w:cs="Arial"/>
          <w:sz w:val="24"/>
          <w:szCs w:val="24"/>
        </w:rPr>
        <w:t>(…)</w:t>
      </w:r>
      <w:r w:rsidR="001108E4" w:rsidRPr="00586C0E">
        <w:rPr>
          <w:rFonts w:ascii="Arial" w:hAnsi="Arial" w:cs="Arial"/>
          <w:sz w:val="24"/>
          <w:szCs w:val="24"/>
        </w:rPr>
        <w:t>.</w:t>
      </w:r>
      <w:r w:rsidR="00031755" w:rsidRPr="00586C0E">
        <w:rPr>
          <w:rFonts w:ascii="Arial" w:hAnsi="Arial" w:cs="Arial"/>
          <w:i/>
          <w:sz w:val="24"/>
          <w:szCs w:val="24"/>
        </w:rPr>
        <w:t xml:space="preserve"> Así las cosas, no se conoce a ciencia cierta qué persona recibió las mercancías detalladas en las facturas números 10663, 10669, 10651, 10660 y 10734, menos aún si lo hizo a nombre y con destino a INVIPASTO. Igual sucede con la anotación de recibido</w:t>
      </w:r>
      <w:r w:rsidR="00A46BFB" w:rsidRPr="00586C0E">
        <w:rPr>
          <w:rFonts w:ascii="Arial" w:hAnsi="Arial" w:cs="Arial"/>
          <w:i/>
          <w:sz w:val="24"/>
          <w:szCs w:val="24"/>
        </w:rPr>
        <w:t xml:space="preserve"> visible en los cinco (5) oficios mediante los cuales SURTIELECTRICOS CALI Ltda. registró la remisión de mercancías, puesto que estos contienen —al parecer— firmas provenientes de la misma persona, que coinciden con aquellas impuestas en las facturas, de las cuales tampoco se conoce su procedencia</w:t>
      </w:r>
      <w:r w:rsidR="00A46BFB" w:rsidRPr="00586C0E">
        <w:rPr>
          <w:rFonts w:ascii="Arial" w:hAnsi="Arial" w:cs="Arial"/>
          <w:sz w:val="24"/>
          <w:szCs w:val="24"/>
        </w:rPr>
        <w:t>»</w:t>
      </w:r>
      <w:r w:rsidR="00A46BFB" w:rsidRPr="00586C0E">
        <w:rPr>
          <w:rStyle w:val="Refdenotaalpie"/>
          <w:rFonts w:ascii="Arial" w:hAnsi="Arial" w:cs="Arial"/>
          <w:szCs w:val="24"/>
        </w:rPr>
        <w:footnoteReference w:id="17"/>
      </w:r>
      <w:r w:rsidR="00A46BFB" w:rsidRPr="00586C0E">
        <w:rPr>
          <w:rFonts w:ascii="Arial" w:hAnsi="Arial" w:cs="Arial"/>
          <w:sz w:val="24"/>
          <w:szCs w:val="24"/>
        </w:rPr>
        <w:t xml:space="preserve">. </w:t>
      </w:r>
      <w:r w:rsidR="001108E4" w:rsidRPr="00586C0E">
        <w:rPr>
          <w:rFonts w:ascii="Arial" w:hAnsi="Arial" w:cs="Arial"/>
          <w:sz w:val="24"/>
          <w:szCs w:val="24"/>
        </w:rPr>
        <w:t xml:space="preserve"> </w:t>
      </w:r>
    </w:p>
    <w:p w14:paraId="0582653A" w14:textId="77777777" w:rsidR="00BC28C9" w:rsidRPr="00586C0E" w:rsidRDefault="00BC28C9" w:rsidP="00CD03C3">
      <w:pPr>
        <w:shd w:val="clear" w:color="auto" w:fill="FFFFFF"/>
        <w:rPr>
          <w:rFonts w:ascii="Arial" w:hAnsi="Arial" w:cs="Arial"/>
          <w:sz w:val="24"/>
          <w:szCs w:val="24"/>
        </w:rPr>
      </w:pPr>
    </w:p>
    <w:p w14:paraId="767212B2" w14:textId="77777777" w:rsidR="007B6446" w:rsidRPr="00586C0E" w:rsidRDefault="00476AB2" w:rsidP="00CD03C3">
      <w:pPr>
        <w:shd w:val="clear" w:color="auto" w:fill="FFFFFF"/>
        <w:rPr>
          <w:rFonts w:ascii="Arial" w:hAnsi="Arial" w:cs="Arial"/>
          <w:sz w:val="24"/>
          <w:szCs w:val="24"/>
        </w:rPr>
      </w:pPr>
      <w:r w:rsidRPr="00586C0E">
        <w:rPr>
          <w:rFonts w:ascii="Arial" w:hAnsi="Arial" w:cs="Arial"/>
          <w:sz w:val="24"/>
          <w:szCs w:val="24"/>
        </w:rPr>
        <w:t>2.</w:t>
      </w:r>
      <w:r w:rsidR="002B1D13" w:rsidRPr="00586C0E">
        <w:rPr>
          <w:rFonts w:ascii="Arial" w:hAnsi="Arial" w:cs="Arial"/>
          <w:sz w:val="24"/>
          <w:szCs w:val="24"/>
        </w:rPr>
        <w:t>4.1.4. Ahora, s</w:t>
      </w:r>
      <w:r w:rsidR="00A46BFB" w:rsidRPr="00586C0E">
        <w:rPr>
          <w:rFonts w:ascii="Arial" w:hAnsi="Arial" w:cs="Arial"/>
          <w:sz w:val="24"/>
          <w:szCs w:val="24"/>
        </w:rPr>
        <w:t xml:space="preserve">i bien se hicieron tres diligencias de reconocimiento de los oficios remisorios, lo cierto es que el Tribunal Administrativo de Nariño las descartó. Respecto del oficio del 26 de mayo de 2010, en el que supuestamente el director ejecutivo de </w:t>
      </w:r>
      <w:proofErr w:type="spellStart"/>
      <w:r w:rsidR="00A46BFB" w:rsidRPr="00586C0E">
        <w:rPr>
          <w:rFonts w:ascii="Arial" w:hAnsi="Arial" w:cs="Arial"/>
          <w:sz w:val="24"/>
          <w:szCs w:val="24"/>
        </w:rPr>
        <w:t>Invipasto</w:t>
      </w:r>
      <w:proofErr w:type="spellEnd"/>
      <w:r w:rsidR="00A46BFB" w:rsidRPr="00586C0E">
        <w:rPr>
          <w:rFonts w:ascii="Arial" w:hAnsi="Arial" w:cs="Arial"/>
          <w:sz w:val="24"/>
          <w:szCs w:val="24"/>
        </w:rPr>
        <w:t xml:space="preserve"> remitió materiales eléctricos para la urbanización Juan Pablo II del municipio de Pasto, el tribunal estimó que</w:t>
      </w:r>
      <w:r w:rsidR="00DA7516" w:rsidRPr="00586C0E">
        <w:rPr>
          <w:rFonts w:ascii="Arial" w:hAnsi="Arial" w:cs="Arial"/>
          <w:sz w:val="24"/>
          <w:szCs w:val="24"/>
        </w:rPr>
        <w:t xml:space="preserve">, en realidad, </w:t>
      </w:r>
      <w:r w:rsidR="00A46BFB" w:rsidRPr="00586C0E">
        <w:rPr>
          <w:rFonts w:ascii="Arial" w:hAnsi="Arial" w:cs="Arial"/>
          <w:sz w:val="24"/>
          <w:szCs w:val="24"/>
        </w:rPr>
        <w:t>«</w:t>
      </w:r>
      <w:r w:rsidR="00A46BFB" w:rsidRPr="00586C0E">
        <w:rPr>
          <w:rFonts w:ascii="Arial" w:hAnsi="Arial" w:cs="Arial"/>
          <w:i/>
          <w:sz w:val="24"/>
          <w:szCs w:val="24"/>
        </w:rPr>
        <w:t>no existe documento alguno que indique que INVIPASTO realizó la solicitud de entrega de tales bienes, ni tampoco factura de compraventa que avale dicho suministro, circunstancia que resta credibilidad al supuesto reconocimiento</w:t>
      </w:r>
      <w:r w:rsidR="00DA7516" w:rsidRPr="00586C0E">
        <w:rPr>
          <w:rFonts w:ascii="Arial" w:hAnsi="Arial" w:cs="Arial"/>
          <w:sz w:val="24"/>
          <w:szCs w:val="24"/>
        </w:rPr>
        <w:t>»</w:t>
      </w:r>
      <w:r w:rsidR="00DA7516" w:rsidRPr="00586C0E">
        <w:rPr>
          <w:rStyle w:val="Refdenotaalpie"/>
          <w:rFonts w:ascii="Arial" w:hAnsi="Arial" w:cs="Arial"/>
          <w:szCs w:val="24"/>
        </w:rPr>
        <w:footnoteReference w:id="18"/>
      </w:r>
      <w:r w:rsidR="00DA7516" w:rsidRPr="00586C0E">
        <w:rPr>
          <w:rFonts w:ascii="Arial" w:hAnsi="Arial" w:cs="Arial"/>
          <w:sz w:val="24"/>
          <w:szCs w:val="24"/>
        </w:rPr>
        <w:t xml:space="preserve">. </w:t>
      </w:r>
      <w:r w:rsidR="00A46BFB" w:rsidRPr="00586C0E">
        <w:rPr>
          <w:rFonts w:ascii="Arial" w:hAnsi="Arial" w:cs="Arial"/>
          <w:sz w:val="24"/>
          <w:szCs w:val="24"/>
        </w:rPr>
        <w:t xml:space="preserve"> </w:t>
      </w:r>
    </w:p>
    <w:p w14:paraId="11443273" w14:textId="77777777" w:rsidR="00DA7516" w:rsidRPr="00586C0E" w:rsidRDefault="00DA7516" w:rsidP="00CD03C3">
      <w:pPr>
        <w:shd w:val="clear" w:color="auto" w:fill="FFFFFF"/>
        <w:rPr>
          <w:rFonts w:ascii="Arial" w:hAnsi="Arial" w:cs="Arial"/>
          <w:sz w:val="24"/>
          <w:szCs w:val="24"/>
        </w:rPr>
      </w:pPr>
    </w:p>
    <w:p w14:paraId="00501BF4" w14:textId="77777777" w:rsidR="00D040AE" w:rsidRPr="00586C0E" w:rsidRDefault="00476AB2" w:rsidP="00CD03C3">
      <w:pPr>
        <w:shd w:val="clear" w:color="auto" w:fill="FFFFFF"/>
        <w:rPr>
          <w:rFonts w:ascii="Arial" w:hAnsi="Arial" w:cs="Arial"/>
          <w:sz w:val="24"/>
          <w:szCs w:val="24"/>
        </w:rPr>
      </w:pPr>
      <w:r w:rsidRPr="00586C0E">
        <w:rPr>
          <w:rFonts w:ascii="Arial" w:hAnsi="Arial" w:cs="Arial"/>
          <w:sz w:val="24"/>
          <w:szCs w:val="24"/>
        </w:rPr>
        <w:lastRenderedPageBreak/>
        <w:t>2.</w:t>
      </w:r>
      <w:r w:rsidR="002B1D13" w:rsidRPr="00586C0E">
        <w:rPr>
          <w:rFonts w:ascii="Arial" w:hAnsi="Arial" w:cs="Arial"/>
          <w:sz w:val="24"/>
          <w:szCs w:val="24"/>
        </w:rPr>
        <w:t xml:space="preserve">4.1.4.1. </w:t>
      </w:r>
      <w:r w:rsidR="00DA7516" w:rsidRPr="00586C0E">
        <w:rPr>
          <w:rFonts w:ascii="Arial" w:hAnsi="Arial" w:cs="Arial"/>
          <w:sz w:val="24"/>
          <w:szCs w:val="24"/>
        </w:rPr>
        <w:t>Sobre el oficio del 27 de mayo de 2010</w:t>
      </w:r>
      <w:r w:rsidR="00740E56" w:rsidRPr="00586C0E">
        <w:rPr>
          <w:rFonts w:ascii="Arial" w:hAnsi="Arial" w:cs="Arial"/>
          <w:sz w:val="24"/>
          <w:szCs w:val="24"/>
        </w:rPr>
        <w:t>, que enviaba material a la urbanización Juan Pablo II, el tribunal advirtió que «</w:t>
      </w:r>
      <w:r w:rsidR="00740E56" w:rsidRPr="00586C0E">
        <w:rPr>
          <w:rFonts w:ascii="Arial" w:hAnsi="Arial" w:cs="Arial"/>
          <w:i/>
          <w:sz w:val="24"/>
          <w:szCs w:val="24"/>
        </w:rPr>
        <w:t xml:space="preserve">los elementos supuestamente entregados coinciden con aquellos enlistados en la factura de venta </w:t>
      </w:r>
      <w:proofErr w:type="spellStart"/>
      <w:r w:rsidR="00740E56" w:rsidRPr="00586C0E">
        <w:rPr>
          <w:rFonts w:ascii="Arial" w:hAnsi="Arial" w:cs="Arial"/>
          <w:i/>
          <w:sz w:val="24"/>
          <w:szCs w:val="24"/>
        </w:rPr>
        <w:t>N°</w:t>
      </w:r>
      <w:proofErr w:type="spellEnd"/>
      <w:r w:rsidR="00740E56" w:rsidRPr="00586C0E">
        <w:rPr>
          <w:rFonts w:ascii="Arial" w:hAnsi="Arial" w:cs="Arial"/>
          <w:i/>
          <w:sz w:val="24"/>
          <w:szCs w:val="24"/>
        </w:rPr>
        <w:t>. 10651 de fecha 15 de julio de 2010 —folio 37</w:t>
      </w:r>
      <w:r w:rsidR="003A4F32" w:rsidRPr="00586C0E">
        <w:rPr>
          <w:rFonts w:ascii="Arial" w:hAnsi="Arial" w:cs="Arial"/>
          <w:i/>
          <w:sz w:val="24"/>
          <w:szCs w:val="24"/>
        </w:rPr>
        <w:t xml:space="preserve">—, sin embargo, los mismos elementos y en iguales cantidades, se encuentran detallados en el oficio remisorio de fecha 27 de mayo de 2010, que figura a folio 38 del expediente, este último con la misma rúbrica impuesta en los otros oficios remisorios, que difiere de la firma del señor Criollo; es decir que la parte demandante aportó dos constancias de recibo de la misma mercancía —folios 38 y 50—, suscritas por dos personas diferentes, circunstancias que antes </w:t>
      </w:r>
      <w:r w:rsidR="00D040AE" w:rsidRPr="00586C0E">
        <w:rPr>
          <w:rFonts w:ascii="Arial" w:hAnsi="Arial" w:cs="Arial"/>
          <w:i/>
          <w:sz w:val="24"/>
          <w:szCs w:val="24"/>
        </w:rPr>
        <w:t>acreditar la entrega real de dichos bienes, genera dudas sobre la veracidad y confiabilidad de tales documentos</w:t>
      </w:r>
      <w:r w:rsidR="00D040AE" w:rsidRPr="00586C0E">
        <w:rPr>
          <w:rFonts w:ascii="Arial" w:hAnsi="Arial" w:cs="Arial"/>
          <w:sz w:val="24"/>
          <w:szCs w:val="24"/>
        </w:rPr>
        <w:t>»</w:t>
      </w:r>
      <w:r w:rsidR="00D040AE" w:rsidRPr="00586C0E">
        <w:rPr>
          <w:rStyle w:val="Refdenotaalpie"/>
          <w:rFonts w:ascii="Arial" w:hAnsi="Arial" w:cs="Arial"/>
          <w:szCs w:val="24"/>
        </w:rPr>
        <w:footnoteReference w:id="19"/>
      </w:r>
      <w:r w:rsidR="00D040AE" w:rsidRPr="00586C0E">
        <w:rPr>
          <w:rFonts w:ascii="Arial" w:hAnsi="Arial" w:cs="Arial"/>
          <w:sz w:val="24"/>
          <w:szCs w:val="24"/>
        </w:rPr>
        <w:t>. En este punto, en la sentencia acusada también se precisó que la unión temporal Juan Pablo II ejerció actividades hasta el año 2008, «</w:t>
      </w:r>
      <w:r w:rsidR="00D040AE" w:rsidRPr="00586C0E">
        <w:rPr>
          <w:rFonts w:ascii="Arial" w:hAnsi="Arial" w:cs="Arial"/>
          <w:i/>
          <w:sz w:val="24"/>
          <w:szCs w:val="24"/>
        </w:rPr>
        <w:t>hecho indicativo de que esta no habría podido recibir materiales para la construcción en el año 2010, cuando supuestamente la demandante suministró tales bienes por petición de INVIPASTO</w:t>
      </w:r>
      <w:r w:rsidR="00D040AE" w:rsidRPr="00586C0E">
        <w:rPr>
          <w:rFonts w:ascii="Arial" w:hAnsi="Arial" w:cs="Arial"/>
          <w:sz w:val="24"/>
          <w:szCs w:val="24"/>
        </w:rPr>
        <w:t>».</w:t>
      </w:r>
    </w:p>
    <w:p w14:paraId="1C4D1FA2" w14:textId="77777777" w:rsidR="00D040AE" w:rsidRPr="00586C0E" w:rsidRDefault="00D040AE" w:rsidP="00CD03C3">
      <w:pPr>
        <w:shd w:val="clear" w:color="auto" w:fill="FFFFFF"/>
        <w:rPr>
          <w:rFonts w:ascii="Arial" w:hAnsi="Arial" w:cs="Arial"/>
          <w:sz w:val="24"/>
          <w:szCs w:val="24"/>
        </w:rPr>
      </w:pPr>
    </w:p>
    <w:p w14:paraId="55C341F9" w14:textId="77777777" w:rsidR="00DA7516" w:rsidRPr="00586C0E" w:rsidRDefault="00476AB2" w:rsidP="00CD03C3">
      <w:pPr>
        <w:shd w:val="clear" w:color="auto" w:fill="FFFFFF"/>
        <w:rPr>
          <w:rFonts w:ascii="Arial" w:hAnsi="Arial" w:cs="Arial"/>
          <w:sz w:val="24"/>
          <w:szCs w:val="24"/>
        </w:rPr>
      </w:pPr>
      <w:r w:rsidRPr="00586C0E">
        <w:rPr>
          <w:rFonts w:ascii="Arial" w:hAnsi="Arial" w:cs="Arial"/>
          <w:sz w:val="24"/>
          <w:szCs w:val="24"/>
        </w:rPr>
        <w:t>2.</w:t>
      </w:r>
      <w:r w:rsidR="002B1D13" w:rsidRPr="00586C0E">
        <w:rPr>
          <w:rFonts w:ascii="Arial" w:hAnsi="Arial" w:cs="Arial"/>
          <w:sz w:val="24"/>
          <w:szCs w:val="24"/>
        </w:rPr>
        <w:t xml:space="preserve">4.1.4.2. </w:t>
      </w:r>
      <w:r w:rsidR="003E758B" w:rsidRPr="00586C0E">
        <w:rPr>
          <w:rFonts w:ascii="Arial" w:hAnsi="Arial" w:cs="Arial"/>
          <w:sz w:val="24"/>
          <w:szCs w:val="24"/>
        </w:rPr>
        <w:t>R</w:t>
      </w:r>
      <w:r w:rsidR="00D040AE" w:rsidRPr="00586C0E">
        <w:rPr>
          <w:rFonts w:ascii="Arial" w:hAnsi="Arial" w:cs="Arial"/>
          <w:sz w:val="24"/>
          <w:szCs w:val="24"/>
        </w:rPr>
        <w:t xml:space="preserve">especto de la factura </w:t>
      </w:r>
      <w:proofErr w:type="spellStart"/>
      <w:r w:rsidR="00D040AE" w:rsidRPr="00586C0E">
        <w:rPr>
          <w:rFonts w:ascii="Arial" w:hAnsi="Arial" w:cs="Arial"/>
          <w:sz w:val="24"/>
          <w:szCs w:val="24"/>
        </w:rPr>
        <w:t>N°</w:t>
      </w:r>
      <w:proofErr w:type="spellEnd"/>
      <w:r w:rsidR="00D040AE" w:rsidRPr="00586C0E">
        <w:rPr>
          <w:rFonts w:ascii="Arial" w:hAnsi="Arial" w:cs="Arial"/>
          <w:sz w:val="24"/>
          <w:szCs w:val="24"/>
        </w:rPr>
        <w:t>. 10734 del 2 de septiembre de 2010, el tribunal consideró que el reconocimiento del documento «</w:t>
      </w:r>
      <w:r w:rsidR="00D040AE" w:rsidRPr="00586C0E">
        <w:rPr>
          <w:rFonts w:ascii="Arial" w:hAnsi="Arial" w:cs="Arial"/>
          <w:i/>
          <w:sz w:val="24"/>
          <w:szCs w:val="24"/>
        </w:rPr>
        <w:t>deviene inocuo, puesto que no provino de quien firmó el documento; adicionalmente, contradiciendo lo expuesto por el mencionado, el señor Jorge Meneses R. figura en dicho documento como la persona encargada de efectuar la revisión, mas es otra la firma de quien recibió la mercancía —persona no identificada, puesto que no se anotó su nombre ni su número de documento de identidad</w:t>
      </w:r>
      <w:r w:rsidR="00D040AE" w:rsidRPr="00586C0E">
        <w:rPr>
          <w:rFonts w:ascii="Arial" w:hAnsi="Arial" w:cs="Arial"/>
          <w:sz w:val="24"/>
          <w:szCs w:val="24"/>
        </w:rPr>
        <w:t>»</w:t>
      </w:r>
      <w:r w:rsidR="00D040AE" w:rsidRPr="00586C0E">
        <w:rPr>
          <w:rStyle w:val="Refdenotaalpie"/>
          <w:rFonts w:ascii="Arial" w:hAnsi="Arial" w:cs="Arial"/>
          <w:szCs w:val="24"/>
        </w:rPr>
        <w:footnoteReference w:id="20"/>
      </w:r>
      <w:r w:rsidR="00D040AE" w:rsidRPr="00586C0E">
        <w:rPr>
          <w:rFonts w:ascii="Arial" w:hAnsi="Arial" w:cs="Arial"/>
          <w:sz w:val="24"/>
          <w:szCs w:val="24"/>
        </w:rPr>
        <w:t xml:space="preserve">.  </w:t>
      </w:r>
      <w:r w:rsidR="00AF2FF7" w:rsidRPr="00586C0E">
        <w:rPr>
          <w:rFonts w:ascii="Arial" w:hAnsi="Arial" w:cs="Arial"/>
          <w:sz w:val="24"/>
          <w:szCs w:val="24"/>
        </w:rPr>
        <w:t>Que, además, obra un oficio remisorio del 28 de mayo de 2010 a la unión temporal Rincón de Pasto, cuando en el proceso se probó que esa unión temporal se constituyó el 31 de mayo de 2010, es decir, «</w:t>
      </w:r>
      <w:r w:rsidR="00AF2FF7" w:rsidRPr="00586C0E">
        <w:rPr>
          <w:rFonts w:ascii="Arial" w:hAnsi="Arial" w:cs="Arial"/>
          <w:i/>
          <w:sz w:val="24"/>
          <w:szCs w:val="24"/>
        </w:rPr>
        <w:t>que la supuesta entrega se habría realizado a una entidad inexistente</w:t>
      </w:r>
      <w:r w:rsidR="00AF2FF7" w:rsidRPr="00586C0E">
        <w:rPr>
          <w:rFonts w:ascii="Arial" w:hAnsi="Arial" w:cs="Arial"/>
          <w:sz w:val="24"/>
          <w:szCs w:val="24"/>
        </w:rPr>
        <w:t>»</w:t>
      </w:r>
      <w:r w:rsidR="00AF2FF7" w:rsidRPr="00586C0E">
        <w:rPr>
          <w:rStyle w:val="Refdenotaalpie"/>
          <w:rFonts w:ascii="Arial" w:hAnsi="Arial" w:cs="Arial"/>
          <w:szCs w:val="24"/>
        </w:rPr>
        <w:footnoteReference w:id="21"/>
      </w:r>
      <w:r w:rsidR="00AF2FF7" w:rsidRPr="00586C0E">
        <w:rPr>
          <w:rFonts w:ascii="Arial" w:hAnsi="Arial" w:cs="Arial"/>
          <w:sz w:val="24"/>
          <w:szCs w:val="24"/>
        </w:rPr>
        <w:t xml:space="preserve">. </w:t>
      </w:r>
    </w:p>
    <w:p w14:paraId="3EC6D78E" w14:textId="77777777" w:rsidR="002B1D13" w:rsidRPr="00586C0E" w:rsidRDefault="002B1D13" w:rsidP="00CD03C3">
      <w:pPr>
        <w:shd w:val="clear" w:color="auto" w:fill="FFFFFF"/>
        <w:rPr>
          <w:rFonts w:ascii="Arial" w:hAnsi="Arial" w:cs="Arial"/>
          <w:sz w:val="24"/>
          <w:szCs w:val="24"/>
        </w:rPr>
      </w:pPr>
    </w:p>
    <w:p w14:paraId="6D484437" w14:textId="77777777" w:rsidR="00964CB5" w:rsidRPr="00586C0E" w:rsidRDefault="00476AB2" w:rsidP="00CD03C3">
      <w:pPr>
        <w:shd w:val="clear" w:color="auto" w:fill="FFFFFF"/>
        <w:rPr>
          <w:rFonts w:ascii="Arial" w:hAnsi="Arial" w:cs="Arial"/>
          <w:sz w:val="24"/>
          <w:szCs w:val="24"/>
        </w:rPr>
      </w:pPr>
      <w:r w:rsidRPr="00586C0E">
        <w:rPr>
          <w:rFonts w:ascii="Arial" w:hAnsi="Arial" w:cs="Arial"/>
          <w:sz w:val="24"/>
          <w:szCs w:val="24"/>
        </w:rPr>
        <w:t>2.</w:t>
      </w:r>
      <w:r w:rsidR="003E758B" w:rsidRPr="00586C0E">
        <w:rPr>
          <w:rFonts w:ascii="Arial" w:hAnsi="Arial" w:cs="Arial"/>
          <w:sz w:val="24"/>
          <w:szCs w:val="24"/>
        </w:rPr>
        <w:t xml:space="preserve">4.1.4.2.1. Que la declaración del testigo Álvaro Eugenio Urbano, en la que afirma tener conocimiento de que </w:t>
      </w:r>
      <w:proofErr w:type="spellStart"/>
      <w:r w:rsidR="003E758B" w:rsidRPr="00586C0E">
        <w:rPr>
          <w:rFonts w:ascii="Arial" w:hAnsi="Arial" w:cs="Arial"/>
          <w:sz w:val="24"/>
          <w:szCs w:val="24"/>
        </w:rPr>
        <w:t>Invipasto</w:t>
      </w:r>
      <w:proofErr w:type="spellEnd"/>
      <w:r w:rsidR="003E758B" w:rsidRPr="00586C0E">
        <w:rPr>
          <w:rFonts w:ascii="Arial" w:hAnsi="Arial" w:cs="Arial"/>
          <w:sz w:val="24"/>
          <w:szCs w:val="24"/>
        </w:rPr>
        <w:t xml:space="preserve"> recibió a satisfacci</w:t>
      </w:r>
      <w:r w:rsidRPr="00586C0E">
        <w:rPr>
          <w:rFonts w:ascii="Arial" w:hAnsi="Arial" w:cs="Arial"/>
          <w:sz w:val="24"/>
          <w:szCs w:val="24"/>
        </w:rPr>
        <w:t>ón lo</w:t>
      </w:r>
      <w:r w:rsidR="003E758B" w:rsidRPr="00586C0E">
        <w:rPr>
          <w:rFonts w:ascii="Arial" w:hAnsi="Arial" w:cs="Arial"/>
          <w:sz w:val="24"/>
          <w:szCs w:val="24"/>
        </w:rPr>
        <w:t xml:space="preserve">s </w:t>
      </w:r>
      <w:r w:rsidRPr="00586C0E">
        <w:rPr>
          <w:rFonts w:ascii="Arial" w:hAnsi="Arial" w:cs="Arial"/>
          <w:sz w:val="24"/>
          <w:szCs w:val="24"/>
        </w:rPr>
        <w:t>materiales</w:t>
      </w:r>
      <w:r w:rsidR="003E758B" w:rsidRPr="00586C0E">
        <w:rPr>
          <w:rFonts w:ascii="Arial" w:hAnsi="Arial" w:cs="Arial"/>
          <w:sz w:val="24"/>
          <w:szCs w:val="24"/>
        </w:rPr>
        <w:t>, tampoco era relevante, porque «</w:t>
      </w:r>
      <w:r w:rsidR="003E758B" w:rsidRPr="00586C0E">
        <w:rPr>
          <w:rFonts w:ascii="Arial" w:hAnsi="Arial" w:cs="Arial"/>
          <w:i/>
          <w:sz w:val="24"/>
          <w:szCs w:val="24"/>
        </w:rPr>
        <w:t xml:space="preserve">tal testimonio provino de un pariente en tercer grado de consanguinidad con el demandante, razón por la cual sus afirmaciones merecen valorarse de manera más estricta, </w:t>
      </w:r>
      <w:proofErr w:type="gramStart"/>
      <w:r w:rsidR="003E758B" w:rsidRPr="00586C0E">
        <w:rPr>
          <w:rFonts w:ascii="Arial" w:hAnsi="Arial" w:cs="Arial"/>
          <w:i/>
          <w:sz w:val="24"/>
          <w:szCs w:val="24"/>
        </w:rPr>
        <w:t>en razón del</w:t>
      </w:r>
      <w:proofErr w:type="gramEnd"/>
      <w:r w:rsidR="003E758B" w:rsidRPr="00586C0E">
        <w:rPr>
          <w:rFonts w:ascii="Arial" w:hAnsi="Arial" w:cs="Arial"/>
          <w:i/>
          <w:sz w:val="24"/>
          <w:szCs w:val="24"/>
        </w:rPr>
        <w:t xml:space="preserve"> natural interés que puede asistirle en favorecer a su primo. Empero, su declaración carece de concreción en la información que suministra, toda vez que no aporta datos ciertos y verificables, sino que se limita a referir unas negociaciones realizadas durante un amplio período de tiempo –un año-</w:t>
      </w:r>
      <w:r w:rsidR="003E758B" w:rsidRPr="00586C0E">
        <w:rPr>
          <w:rFonts w:ascii="Arial" w:hAnsi="Arial" w:cs="Arial"/>
          <w:sz w:val="24"/>
          <w:szCs w:val="24"/>
        </w:rPr>
        <w:t>»</w:t>
      </w:r>
      <w:r w:rsidR="003E758B" w:rsidRPr="00586C0E">
        <w:rPr>
          <w:rStyle w:val="Refdenotaalpie"/>
          <w:rFonts w:ascii="Arial" w:hAnsi="Arial" w:cs="Arial"/>
          <w:szCs w:val="24"/>
        </w:rPr>
        <w:footnoteReference w:id="22"/>
      </w:r>
      <w:r w:rsidR="003E758B" w:rsidRPr="00586C0E">
        <w:rPr>
          <w:rFonts w:ascii="Arial" w:hAnsi="Arial" w:cs="Arial"/>
          <w:sz w:val="24"/>
          <w:szCs w:val="24"/>
        </w:rPr>
        <w:t xml:space="preserve">.    </w:t>
      </w:r>
    </w:p>
    <w:p w14:paraId="086DE5D3" w14:textId="77777777" w:rsidR="00964CB5" w:rsidRPr="00586C0E" w:rsidRDefault="00964CB5" w:rsidP="00CD03C3">
      <w:pPr>
        <w:shd w:val="clear" w:color="auto" w:fill="FFFFFF"/>
        <w:rPr>
          <w:rFonts w:ascii="Arial" w:hAnsi="Arial" w:cs="Arial"/>
          <w:sz w:val="24"/>
          <w:szCs w:val="24"/>
        </w:rPr>
      </w:pPr>
    </w:p>
    <w:p w14:paraId="7B167C3B" w14:textId="77777777" w:rsidR="00AF2FF7" w:rsidRPr="00586C0E" w:rsidRDefault="00476AB2" w:rsidP="00CD03C3">
      <w:pPr>
        <w:shd w:val="clear" w:color="auto" w:fill="FFFFFF"/>
        <w:rPr>
          <w:rFonts w:ascii="Arial" w:hAnsi="Arial" w:cs="Arial"/>
          <w:sz w:val="24"/>
          <w:szCs w:val="24"/>
        </w:rPr>
      </w:pPr>
      <w:r w:rsidRPr="00586C0E">
        <w:rPr>
          <w:rFonts w:ascii="Arial" w:hAnsi="Arial" w:cs="Arial"/>
          <w:sz w:val="24"/>
          <w:szCs w:val="24"/>
        </w:rPr>
        <w:t>2.</w:t>
      </w:r>
      <w:r w:rsidR="002B1D13" w:rsidRPr="00586C0E">
        <w:rPr>
          <w:rFonts w:ascii="Arial" w:hAnsi="Arial" w:cs="Arial"/>
          <w:sz w:val="24"/>
          <w:szCs w:val="24"/>
        </w:rPr>
        <w:t xml:space="preserve">4.1.5. Con fundamento en lo anterior, </w:t>
      </w:r>
      <w:r w:rsidR="00AF2FF7" w:rsidRPr="00586C0E">
        <w:rPr>
          <w:rFonts w:ascii="Arial" w:hAnsi="Arial" w:cs="Arial"/>
          <w:sz w:val="24"/>
          <w:szCs w:val="24"/>
        </w:rPr>
        <w:t xml:space="preserve">el tribunal </w:t>
      </w:r>
      <w:r w:rsidR="002B1D13" w:rsidRPr="00586C0E">
        <w:rPr>
          <w:rFonts w:ascii="Arial" w:hAnsi="Arial" w:cs="Arial"/>
          <w:sz w:val="24"/>
          <w:szCs w:val="24"/>
        </w:rPr>
        <w:t xml:space="preserve">consideró </w:t>
      </w:r>
      <w:r w:rsidR="00AF2FF7" w:rsidRPr="00586C0E">
        <w:rPr>
          <w:rFonts w:ascii="Arial" w:hAnsi="Arial" w:cs="Arial"/>
          <w:sz w:val="24"/>
          <w:szCs w:val="24"/>
        </w:rPr>
        <w:t>que «</w:t>
      </w:r>
      <w:r w:rsidR="00AF2FF7" w:rsidRPr="00586C0E">
        <w:rPr>
          <w:rFonts w:ascii="Arial" w:hAnsi="Arial" w:cs="Arial"/>
          <w:i/>
          <w:sz w:val="24"/>
          <w:szCs w:val="24"/>
        </w:rPr>
        <w:t>la valoración de las pruebas genera más dudas que certeza acerca de si efectivamente INVIPASTO, a través de su representante legal, solicitó el suministro de unos elementos eléctricos para la ejecución de las obras que desarrolló a través de las uniones temporales de las cuales hacía parte, pese a no corresponder a sus funciones ni estar entre sus obligaciones, razón de más para revocar la decisión de primera instancia</w:t>
      </w:r>
      <w:r w:rsidR="00AF2FF7" w:rsidRPr="00586C0E">
        <w:rPr>
          <w:rFonts w:ascii="Arial" w:hAnsi="Arial" w:cs="Arial"/>
          <w:sz w:val="24"/>
          <w:szCs w:val="24"/>
        </w:rPr>
        <w:t>»</w:t>
      </w:r>
      <w:r w:rsidR="00AF2FF7" w:rsidRPr="00586C0E">
        <w:rPr>
          <w:rStyle w:val="Refdenotaalpie"/>
          <w:rFonts w:ascii="Arial" w:hAnsi="Arial" w:cs="Arial"/>
          <w:szCs w:val="24"/>
        </w:rPr>
        <w:footnoteReference w:id="23"/>
      </w:r>
      <w:r w:rsidR="00AF2FF7" w:rsidRPr="00586C0E">
        <w:rPr>
          <w:rFonts w:ascii="Arial" w:hAnsi="Arial" w:cs="Arial"/>
          <w:sz w:val="24"/>
          <w:szCs w:val="24"/>
        </w:rPr>
        <w:t xml:space="preserve">. </w:t>
      </w:r>
    </w:p>
    <w:p w14:paraId="28A8E68F" w14:textId="77777777" w:rsidR="00AF2FF7" w:rsidRPr="00586C0E" w:rsidRDefault="00AF2FF7" w:rsidP="00CD03C3">
      <w:pPr>
        <w:shd w:val="clear" w:color="auto" w:fill="FFFFFF"/>
        <w:rPr>
          <w:rFonts w:ascii="Arial" w:hAnsi="Arial" w:cs="Arial"/>
          <w:sz w:val="24"/>
          <w:szCs w:val="24"/>
        </w:rPr>
      </w:pPr>
    </w:p>
    <w:p w14:paraId="72A1D0FD" w14:textId="77777777" w:rsidR="00344EE9" w:rsidRPr="00586C0E" w:rsidRDefault="00476AB2" w:rsidP="00527D24">
      <w:pPr>
        <w:tabs>
          <w:tab w:val="left" w:pos="2655"/>
        </w:tabs>
        <w:rPr>
          <w:rFonts w:ascii="Arial" w:eastAsia="Verdana" w:hAnsi="Arial" w:cs="Arial"/>
          <w:sz w:val="24"/>
          <w:szCs w:val="24"/>
        </w:rPr>
      </w:pPr>
      <w:r w:rsidRPr="00586C0E">
        <w:rPr>
          <w:rFonts w:ascii="Arial" w:hAnsi="Arial" w:cs="Arial"/>
          <w:sz w:val="24"/>
          <w:szCs w:val="24"/>
        </w:rPr>
        <w:t>2.</w:t>
      </w:r>
      <w:r w:rsidR="002B1D13" w:rsidRPr="00586C0E">
        <w:rPr>
          <w:rFonts w:ascii="Arial" w:hAnsi="Arial" w:cs="Arial"/>
          <w:sz w:val="24"/>
          <w:szCs w:val="24"/>
        </w:rPr>
        <w:t xml:space="preserve">4.2. </w:t>
      </w:r>
      <w:r w:rsidR="003E758B" w:rsidRPr="00586C0E">
        <w:rPr>
          <w:rFonts w:ascii="Arial" w:hAnsi="Arial" w:cs="Arial"/>
          <w:sz w:val="24"/>
          <w:szCs w:val="24"/>
        </w:rPr>
        <w:t>De lo anterior</w:t>
      </w:r>
      <w:r w:rsidRPr="00586C0E">
        <w:rPr>
          <w:rFonts w:ascii="Arial" w:hAnsi="Arial" w:cs="Arial"/>
          <w:sz w:val="24"/>
          <w:szCs w:val="24"/>
        </w:rPr>
        <w:t xml:space="preserve"> recuento</w:t>
      </w:r>
      <w:r w:rsidR="003E758B" w:rsidRPr="00586C0E">
        <w:rPr>
          <w:rFonts w:ascii="Arial" w:hAnsi="Arial" w:cs="Arial"/>
          <w:sz w:val="24"/>
          <w:szCs w:val="24"/>
        </w:rPr>
        <w:t xml:space="preserve">, </w:t>
      </w:r>
      <w:r w:rsidR="00964CB5" w:rsidRPr="00586C0E">
        <w:rPr>
          <w:rFonts w:ascii="Arial" w:eastAsia="Verdana" w:hAnsi="Arial" w:cs="Arial"/>
          <w:sz w:val="24"/>
          <w:szCs w:val="24"/>
        </w:rPr>
        <w:t xml:space="preserve">no advierte la </w:t>
      </w:r>
      <w:r w:rsidR="00017AB9" w:rsidRPr="00586C0E">
        <w:rPr>
          <w:rFonts w:ascii="Arial" w:eastAsia="Verdana" w:hAnsi="Arial" w:cs="Arial"/>
          <w:sz w:val="24"/>
          <w:szCs w:val="24"/>
        </w:rPr>
        <w:t>Sal</w:t>
      </w:r>
      <w:r w:rsidR="002C3AA2" w:rsidRPr="00586C0E">
        <w:rPr>
          <w:rFonts w:ascii="Arial" w:eastAsia="Verdana" w:hAnsi="Arial" w:cs="Arial"/>
          <w:sz w:val="24"/>
          <w:szCs w:val="24"/>
        </w:rPr>
        <w:t xml:space="preserve">a </w:t>
      </w:r>
      <w:r w:rsidR="00964CB5" w:rsidRPr="00586C0E">
        <w:rPr>
          <w:rFonts w:ascii="Arial" w:eastAsia="Verdana" w:hAnsi="Arial" w:cs="Arial"/>
          <w:sz w:val="24"/>
          <w:szCs w:val="24"/>
        </w:rPr>
        <w:t xml:space="preserve">que el Tribunal Administrativo de Nariño hubiese resuelto a su arbitrio o que se hubiera apartado por completo de los hechos probados en el proceso. Todo lo contrario, la Sala encuentra en la decisión del tribunal demandado el ejercicio de la libre apreciación de las pruebas a la que se refiere el artículo 176 del Código General del Proceso. </w:t>
      </w:r>
    </w:p>
    <w:p w14:paraId="44DB8055" w14:textId="77777777" w:rsidR="00344EE9" w:rsidRPr="00586C0E" w:rsidRDefault="00344EE9" w:rsidP="00527D24">
      <w:pPr>
        <w:tabs>
          <w:tab w:val="left" w:pos="2655"/>
        </w:tabs>
        <w:rPr>
          <w:rFonts w:ascii="Arial" w:eastAsia="Verdana" w:hAnsi="Arial" w:cs="Arial"/>
          <w:sz w:val="24"/>
          <w:szCs w:val="24"/>
        </w:rPr>
      </w:pPr>
    </w:p>
    <w:p w14:paraId="33D711A0" w14:textId="77777777" w:rsidR="00527D24" w:rsidRPr="00586C0E" w:rsidRDefault="00476AB2" w:rsidP="00527D24">
      <w:pPr>
        <w:tabs>
          <w:tab w:val="left" w:pos="2655"/>
        </w:tabs>
        <w:rPr>
          <w:rFonts w:ascii="Arial" w:eastAsia="Times New Roman" w:hAnsi="Arial" w:cs="Arial"/>
          <w:bCs/>
          <w:sz w:val="24"/>
          <w:szCs w:val="24"/>
        </w:rPr>
      </w:pPr>
      <w:r w:rsidRPr="00586C0E">
        <w:rPr>
          <w:rFonts w:ascii="Arial" w:eastAsia="Verdana" w:hAnsi="Arial" w:cs="Arial"/>
          <w:sz w:val="24"/>
          <w:szCs w:val="24"/>
        </w:rPr>
        <w:t>2.</w:t>
      </w:r>
      <w:r w:rsidR="00344EE9" w:rsidRPr="00586C0E">
        <w:rPr>
          <w:rFonts w:ascii="Arial" w:eastAsia="Verdana" w:hAnsi="Arial" w:cs="Arial"/>
          <w:sz w:val="24"/>
          <w:szCs w:val="24"/>
        </w:rPr>
        <w:t xml:space="preserve">4.2.1. </w:t>
      </w:r>
      <w:r w:rsidR="003E758B" w:rsidRPr="00586C0E">
        <w:rPr>
          <w:rFonts w:ascii="Arial" w:eastAsia="Verdana" w:hAnsi="Arial" w:cs="Arial"/>
          <w:sz w:val="24"/>
          <w:szCs w:val="24"/>
        </w:rPr>
        <w:t xml:space="preserve">En efecto, </w:t>
      </w:r>
      <w:r w:rsidR="002C3AA2" w:rsidRPr="00586C0E">
        <w:rPr>
          <w:rFonts w:ascii="Arial" w:eastAsia="Verdana" w:hAnsi="Arial" w:cs="Arial"/>
          <w:sz w:val="24"/>
          <w:szCs w:val="24"/>
        </w:rPr>
        <w:t xml:space="preserve">la </w:t>
      </w:r>
      <w:r w:rsidR="003E758B" w:rsidRPr="00586C0E">
        <w:rPr>
          <w:rFonts w:ascii="Arial" w:eastAsia="Verdana" w:hAnsi="Arial" w:cs="Arial"/>
          <w:sz w:val="24"/>
          <w:szCs w:val="24"/>
        </w:rPr>
        <w:t xml:space="preserve">valoración probatoria del tribunal es razonable, </w:t>
      </w:r>
      <w:r w:rsidR="002C3AA2" w:rsidRPr="00586C0E">
        <w:rPr>
          <w:rFonts w:ascii="Arial" w:hAnsi="Arial" w:cs="Arial"/>
          <w:sz w:val="24"/>
          <w:szCs w:val="24"/>
          <w:lang w:val="es-CO"/>
        </w:rPr>
        <w:t xml:space="preserve">pues </w:t>
      </w:r>
      <w:r w:rsidR="00527D24" w:rsidRPr="00586C0E">
        <w:rPr>
          <w:rFonts w:ascii="Arial" w:hAnsi="Arial" w:cs="Arial"/>
          <w:sz w:val="24"/>
          <w:szCs w:val="24"/>
          <w:lang w:val="es-CO"/>
        </w:rPr>
        <w:t xml:space="preserve">es cierto </w:t>
      </w:r>
      <w:proofErr w:type="gramStart"/>
      <w:r w:rsidR="00527D24" w:rsidRPr="00586C0E">
        <w:rPr>
          <w:rFonts w:ascii="Arial" w:hAnsi="Arial" w:cs="Arial"/>
          <w:sz w:val="24"/>
          <w:szCs w:val="24"/>
          <w:lang w:val="es-CO"/>
        </w:rPr>
        <w:t>que</w:t>
      </w:r>
      <w:proofErr w:type="gramEnd"/>
      <w:r w:rsidR="00527D24" w:rsidRPr="00586C0E">
        <w:rPr>
          <w:rFonts w:ascii="Arial" w:hAnsi="Arial" w:cs="Arial"/>
          <w:sz w:val="24"/>
          <w:szCs w:val="24"/>
          <w:lang w:val="es-CO"/>
        </w:rPr>
        <w:t xml:space="preserve"> s</w:t>
      </w:r>
      <w:r w:rsidR="00527D24" w:rsidRPr="00586C0E">
        <w:rPr>
          <w:rFonts w:ascii="Arial" w:eastAsia="Times New Roman" w:hAnsi="Arial" w:cs="Arial"/>
          <w:bCs/>
          <w:sz w:val="24"/>
          <w:szCs w:val="24"/>
        </w:rPr>
        <w:t>i la parte actora pretendía el pago de</w:t>
      </w:r>
      <w:r w:rsidR="001B49AF" w:rsidRPr="00586C0E">
        <w:rPr>
          <w:rFonts w:ascii="Arial" w:eastAsia="Times New Roman" w:hAnsi="Arial" w:cs="Arial"/>
          <w:bCs/>
          <w:sz w:val="24"/>
          <w:szCs w:val="24"/>
        </w:rPr>
        <w:t xml:space="preserve"> una contraprestación, </w:t>
      </w:r>
      <w:r w:rsidR="00527D24" w:rsidRPr="00586C0E">
        <w:rPr>
          <w:rFonts w:ascii="Arial" w:eastAsia="Times New Roman" w:hAnsi="Arial" w:cs="Arial"/>
          <w:bCs/>
          <w:sz w:val="24"/>
          <w:szCs w:val="24"/>
        </w:rPr>
        <w:t xml:space="preserve">lo primero que debía demostrar era </w:t>
      </w:r>
      <w:r w:rsidR="00A34B71" w:rsidRPr="00586C0E">
        <w:rPr>
          <w:rFonts w:ascii="Arial" w:hAnsi="Arial" w:cs="Arial"/>
          <w:sz w:val="24"/>
          <w:szCs w:val="24"/>
        </w:rPr>
        <w:t>que el obligado obtuvo una ventaja o beneficio patrimonial</w:t>
      </w:r>
      <w:r w:rsidRPr="00586C0E">
        <w:rPr>
          <w:rFonts w:ascii="Arial" w:hAnsi="Arial" w:cs="Arial"/>
          <w:sz w:val="24"/>
          <w:szCs w:val="24"/>
        </w:rPr>
        <w:t xml:space="preserve">. En este </w:t>
      </w:r>
      <w:r w:rsidR="00A34B71" w:rsidRPr="00586C0E">
        <w:rPr>
          <w:rFonts w:ascii="Arial" w:hAnsi="Arial" w:cs="Arial"/>
          <w:sz w:val="24"/>
          <w:szCs w:val="24"/>
        </w:rPr>
        <w:t xml:space="preserve">caso, </w:t>
      </w:r>
      <w:r w:rsidRPr="00586C0E">
        <w:rPr>
          <w:rFonts w:ascii="Arial" w:hAnsi="Arial" w:cs="Arial"/>
          <w:sz w:val="24"/>
          <w:szCs w:val="24"/>
        </w:rPr>
        <w:t xml:space="preserve">debió acreditar </w:t>
      </w:r>
      <w:r w:rsidR="009336D5" w:rsidRPr="00586C0E">
        <w:rPr>
          <w:rFonts w:ascii="Arial" w:hAnsi="Arial" w:cs="Arial"/>
          <w:sz w:val="24"/>
          <w:szCs w:val="24"/>
          <w:lang w:val="es-CO"/>
        </w:rPr>
        <w:t xml:space="preserve">que </w:t>
      </w:r>
      <w:proofErr w:type="spellStart"/>
      <w:r w:rsidR="009336D5" w:rsidRPr="00586C0E">
        <w:rPr>
          <w:rFonts w:ascii="Arial" w:hAnsi="Arial" w:cs="Arial"/>
          <w:sz w:val="24"/>
          <w:szCs w:val="24"/>
          <w:lang w:val="es-CO"/>
        </w:rPr>
        <w:t>Invipasto</w:t>
      </w:r>
      <w:proofErr w:type="spellEnd"/>
      <w:r w:rsidR="009336D5" w:rsidRPr="00586C0E">
        <w:rPr>
          <w:rFonts w:ascii="Arial" w:hAnsi="Arial" w:cs="Arial"/>
          <w:sz w:val="24"/>
          <w:szCs w:val="24"/>
          <w:lang w:val="es-CO"/>
        </w:rPr>
        <w:t xml:space="preserve"> </w:t>
      </w:r>
      <w:r w:rsidRPr="00586C0E">
        <w:rPr>
          <w:rFonts w:ascii="Arial" w:hAnsi="Arial" w:cs="Arial"/>
          <w:sz w:val="24"/>
          <w:szCs w:val="24"/>
          <w:lang w:val="es-CO"/>
        </w:rPr>
        <w:t xml:space="preserve">resultó </w:t>
      </w:r>
      <w:r w:rsidR="009336D5" w:rsidRPr="00586C0E">
        <w:rPr>
          <w:rFonts w:ascii="Arial" w:hAnsi="Arial" w:cs="Arial"/>
          <w:sz w:val="24"/>
          <w:szCs w:val="24"/>
          <w:lang w:val="es-CO"/>
        </w:rPr>
        <w:t xml:space="preserve">favorecido con el suministro de material eléctrico, sin mediar contraprestación económica.  </w:t>
      </w:r>
      <w:r w:rsidR="001B49AF" w:rsidRPr="00586C0E">
        <w:rPr>
          <w:rFonts w:ascii="Arial" w:eastAsia="Times New Roman" w:hAnsi="Arial" w:cs="Arial"/>
          <w:bCs/>
          <w:sz w:val="24"/>
          <w:szCs w:val="24"/>
        </w:rPr>
        <w:t xml:space="preserve">Si bien aportó facturas y oficios en los que aparentemente remitía dicho material, esas pruebas, </w:t>
      </w:r>
      <w:r w:rsidR="00527D24" w:rsidRPr="00586C0E">
        <w:rPr>
          <w:rFonts w:ascii="Arial" w:hAnsi="Arial" w:cs="Arial"/>
          <w:sz w:val="24"/>
          <w:szCs w:val="24"/>
          <w:lang w:val="es-CO"/>
        </w:rPr>
        <w:t xml:space="preserve">antes que certeza, generaron </w:t>
      </w:r>
      <w:r w:rsidR="00017AB9" w:rsidRPr="00586C0E">
        <w:rPr>
          <w:rFonts w:ascii="Arial" w:hAnsi="Arial" w:cs="Arial"/>
          <w:sz w:val="24"/>
          <w:szCs w:val="24"/>
          <w:lang w:val="es-CO"/>
        </w:rPr>
        <w:t xml:space="preserve">serios motivos de duda </w:t>
      </w:r>
      <w:r w:rsidR="00344EE9" w:rsidRPr="00586C0E">
        <w:rPr>
          <w:rFonts w:ascii="Arial" w:hAnsi="Arial" w:cs="Arial"/>
          <w:sz w:val="24"/>
          <w:szCs w:val="24"/>
          <w:lang w:val="es-CO"/>
        </w:rPr>
        <w:t xml:space="preserve">en el tribunal </w:t>
      </w:r>
      <w:r w:rsidR="00017AB9" w:rsidRPr="00586C0E">
        <w:rPr>
          <w:rFonts w:ascii="Arial" w:hAnsi="Arial" w:cs="Arial"/>
          <w:sz w:val="24"/>
          <w:szCs w:val="24"/>
          <w:lang w:val="es-CO"/>
        </w:rPr>
        <w:t>sobre el presunto suministro</w:t>
      </w:r>
      <w:r w:rsidR="001B49AF" w:rsidRPr="00586C0E">
        <w:rPr>
          <w:rFonts w:ascii="Arial" w:hAnsi="Arial" w:cs="Arial"/>
          <w:sz w:val="24"/>
          <w:szCs w:val="24"/>
          <w:lang w:val="es-CO"/>
        </w:rPr>
        <w:t xml:space="preserve">, </w:t>
      </w:r>
      <w:proofErr w:type="gramStart"/>
      <w:r w:rsidR="001B49AF" w:rsidRPr="00586C0E">
        <w:rPr>
          <w:rFonts w:ascii="Arial" w:hAnsi="Arial" w:cs="Arial"/>
          <w:sz w:val="24"/>
          <w:szCs w:val="24"/>
          <w:lang w:val="es-CO"/>
        </w:rPr>
        <w:t>en razón de</w:t>
      </w:r>
      <w:proofErr w:type="gramEnd"/>
      <w:r w:rsidR="001B49AF" w:rsidRPr="00586C0E">
        <w:rPr>
          <w:rFonts w:ascii="Arial" w:hAnsi="Arial" w:cs="Arial"/>
          <w:sz w:val="24"/>
          <w:szCs w:val="24"/>
          <w:lang w:val="es-CO"/>
        </w:rPr>
        <w:t xml:space="preserve"> </w:t>
      </w:r>
      <w:r w:rsidR="003E758B" w:rsidRPr="00586C0E">
        <w:rPr>
          <w:rFonts w:ascii="Arial" w:hAnsi="Arial" w:cs="Arial"/>
          <w:sz w:val="24"/>
          <w:szCs w:val="24"/>
          <w:lang w:val="es-CO"/>
        </w:rPr>
        <w:t>las inconsistencias</w:t>
      </w:r>
      <w:r w:rsidR="001B49AF" w:rsidRPr="00586C0E">
        <w:rPr>
          <w:rFonts w:ascii="Arial" w:hAnsi="Arial" w:cs="Arial"/>
          <w:sz w:val="24"/>
          <w:szCs w:val="24"/>
          <w:lang w:val="es-CO"/>
        </w:rPr>
        <w:t xml:space="preserve"> de tales documentos.</w:t>
      </w:r>
      <w:r w:rsidR="00A34B71" w:rsidRPr="00586C0E">
        <w:rPr>
          <w:rFonts w:ascii="Arial" w:hAnsi="Arial" w:cs="Arial"/>
          <w:sz w:val="24"/>
          <w:szCs w:val="24"/>
          <w:lang w:val="es-CO"/>
        </w:rPr>
        <w:t xml:space="preserve"> </w:t>
      </w:r>
      <w:r w:rsidR="001B49AF" w:rsidRPr="00586C0E">
        <w:rPr>
          <w:rFonts w:ascii="Arial" w:hAnsi="Arial" w:cs="Arial"/>
          <w:sz w:val="24"/>
          <w:szCs w:val="24"/>
          <w:lang w:val="es-CO"/>
        </w:rPr>
        <w:t xml:space="preserve">De ahí que el tribunal tuviera por no probado </w:t>
      </w:r>
      <w:r w:rsidR="00017AB9" w:rsidRPr="00586C0E">
        <w:rPr>
          <w:rFonts w:ascii="Arial" w:hAnsi="Arial" w:cs="Arial"/>
          <w:sz w:val="24"/>
          <w:szCs w:val="24"/>
          <w:lang w:val="es-CO"/>
        </w:rPr>
        <w:t xml:space="preserve">el enriquecimiento de </w:t>
      </w:r>
      <w:proofErr w:type="spellStart"/>
      <w:r w:rsidR="00017AB9" w:rsidRPr="00586C0E">
        <w:rPr>
          <w:rFonts w:ascii="Arial" w:hAnsi="Arial" w:cs="Arial"/>
          <w:sz w:val="24"/>
          <w:szCs w:val="24"/>
          <w:lang w:val="es-CO"/>
        </w:rPr>
        <w:t>Invipasto</w:t>
      </w:r>
      <w:proofErr w:type="spellEnd"/>
      <w:r w:rsidR="00017AB9" w:rsidRPr="00586C0E">
        <w:rPr>
          <w:rFonts w:ascii="Arial" w:hAnsi="Arial" w:cs="Arial"/>
          <w:sz w:val="24"/>
          <w:szCs w:val="24"/>
          <w:lang w:val="es-CO"/>
        </w:rPr>
        <w:t xml:space="preserve">. </w:t>
      </w:r>
    </w:p>
    <w:p w14:paraId="5CCBEB4F" w14:textId="77777777" w:rsidR="00A34B71" w:rsidRPr="00586C0E" w:rsidRDefault="00A34B71" w:rsidP="00527D24">
      <w:pPr>
        <w:tabs>
          <w:tab w:val="left" w:pos="2655"/>
        </w:tabs>
        <w:rPr>
          <w:rFonts w:ascii="Arial" w:hAnsi="Arial" w:cs="Arial"/>
          <w:sz w:val="24"/>
          <w:szCs w:val="24"/>
          <w:lang w:val="es-CO"/>
        </w:rPr>
      </w:pPr>
    </w:p>
    <w:p w14:paraId="160F1AC8" w14:textId="77777777" w:rsidR="008F31A0" w:rsidRPr="00586C0E" w:rsidRDefault="00476AB2" w:rsidP="00A34B71">
      <w:pPr>
        <w:autoSpaceDE w:val="0"/>
        <w:autoSpaceDN w:val="0"/>
        <w:adjustRightInd w:val="0"/>
        <w:rPr>
          <w:rFonts w:ascii="Arial" w:hAnsi="Arial" w:cs="Arial"/>
          <w:sz w:val="24"/>
          <w:szCs w:val="24"/>
          <w:lang w:val="es-CO"/>
        </w:rPr>
      </w:pPr>
      <w:r w:rsidRPr="00586C0E">
        <w:rPr>
          <w:rFonts w:ascii="Arial" w:hAnsi="Arial" w:cs="Arial"/>
          <w:sz w:val="24"/>
          <w:szCs w:val="24"/>
          <w:lang w:val="es-CO"/>
        </w:rPr>
        <w:t>2.4.2.2</w:t>
      </w:r>
      <w:r w:rsidR="00527D24" w:rsidRPr="00586C0E">
        <w:rPr>
          <w:rFonts w:ascii="Arial" w:hAnsi="Arial" w:cs="Arial"/>
          <w:sz w:val="24"/>
          <w:szCs w:val="24"/>
          <w:lang w:val="es-CO"/>
        </w:rPr>
        <w:t>.</w:t>
      </w:r>
      <w:r w:rsidR="001B49AF" w:rsidRPr="00586C0E">
        <w:rPr>
          <w:rFonts w:ascii="Arial" w:hAnsi="Arial" w:cs="Arial"/>
          <w:sz w:val="24"/>
          <w:szCs w:val="24"/>
          <w:lang w:val="es-CO"/>
        </w:rPr>
        <w:t xml:space="preserve"> </w:t>
      </w:r>
      <w:r w:rsidR="00017AB9" w:rsidRPr="00586C0E">
        <w:rPr>
          <w:rFonts w:ascii="Arial" w:eastAsia="Times New Roman" w:hAnsi="Arial" w:cs="Arial"/>
          <w:bCs/>
          <w:sz w:val="24"/>
          <w:szCs w:val="24"/>
        </w:rPr>
        <w:t>Esa decisión</w:t>
      </w:r>
      <w:r w:rsidRPr="00586C0E">
        <w:rPr>
          <w:rFonts w:ascii="Arial" w:eastAsia="Times New Roman" w:hAnsi="Arial" w:cs="Arial"/>
          <w:bCs/>
          <w:sz w:val="24"/>
          <w:szCs w:val="24"/>
        </w:rPr>
        <w:t xml:space="preserve">, se insiste, </w:t>
      </w:r>
      <w:r w:rsidR="00017AB9" w:rsidRPr="00586C0E">
        <w:rPr>
          <w:rFonts w:ascii="Arial" w:eastAsia="Times New Roman" w:hAnsi="Arial" w:cs="Arial"/>
          <w:bCs/>
          <w:sz w:val="24"/>
          <w:szCs w:val="24"/>
        </w:rPr>
        <w:t xml:space="preserve">no </w:t>
      </w:r>
      <w:r w:rsidR="00017AB9" w:rsidRPr="00586C0E">
        <w:rPr>
          <w:rFonts w:ascii="Arial" w:hAnsi="Arial" w:cs="Arial"/>
          <w:sz w:val="24"/>
          <w:szCs w:val="24"/>
        </w:rPr>
        <w:t>responde a una valoración manifiestamente equivocada o arbitraria de las pruebas del proceso, sino más bien a la aplicación de las reglas de la sana crítica, que le permiten al juez establecer el valor d</w:t>
      </w:r>
      <w:r w:rsidR="00CD03C3" w:rsidRPr="00586C0E">
        <w:rPr>
          <w:rFonts w:ascii="Arial" w:hAnsi="Arial" w:cs="Arial"/>
          <w:sz w:val="24"/>
          <w:szCs w:val="24"/>
        </w:rPr>
        <w:t>e las pruebas, conforme con las normas</w:t>
      </w:r>
      <w:r w:rsidR="00017AB9" w:rsidRPr="00586C0E">
        <w:rPr>
          <w:rFonts w:ascii="Arial" w:hAnsi="Arial" w:cs="Arial"/>
          <w:sz w:val="24"/>
          <w:szCs w:val="24"/>
        </w:rPr>
        <w:t xml:space="preserve"> de la lógica, la ciencia y la experiencia</w:t>
      </w:r>
      <w:r w:rsidR="00017AB9" w:rsidRPr="00586C0E">
        <w:rPr>
          <w:rStyle w:val="Refdenotaalpie"/>
          <w:rFonts w:ascii="Arial" w:hAnsi="Arial" w:cs="Arial"/>
          <w:szCs w:val="24"/>
        </w:rPr>
        <w:footnoteReference w:id="24"/>
      </w:r>
      <w:r w:rsidR="00017AB9" w:rsidRPr="00586C0E">
        <w:rPr>
          <w:rFonts w:ascii="Arial" w:hAnsi="Arial" w:cs="Arial"/>
          <w:sz w:val="24"/>
          <w:szCs w:val="24"/>
        </w:rPr>
        <w:t>.</w:t>
      </w:r>
      <w:r w:rsidR="00017AB9" w:rsidRPr="00586C0E">
        <w:rPr>
          <w:rFonts w:ascii="Arial" w:eastAsia="Times New Roman" w:hAnsi="Arial" w:cs="Arial"/>
          <w:bCs/>
          <w:sz w:val="24"/>
          <w:szCs w:val="24"/>
        </w:rPr>
        <w:t xml:space="preserve"> </w:t>
      </w:r>
      <w:r w:rsidR="008F31A0" w:rsidRPr="00586C0E">
        <w:rPr>
          <w:rFonts w:ascii="Arial" w:hAnsi="Arial" w:cs="Arial"/>
          <w:sz w:val="24"/>
          <w:szCs w:val="24"/>
        </w:rPr>
        <w:t xml:space="preserve"> De </w:t>
      </w:r>
      <w:r w:rsidR="008F31A0" w:rsidRPr="00586C0E">
        <w:rPr>
          <w:rFonts w:ascii="Arial" w:hAnsi="Arial" w:cs="Arial"/>
          <w:sz w:val="24"/>
          <w:szCs w:val="24"/>
          <w:lang w:val="es-CO"/>
        </w:rPr>
        <w:t>hecho, ese análisis también está acorde con la jurisprudencia de la Sección Tercera del Consejo de Estado</w:t>
      </w:r>
      <w:r w:rsidR="008F31A0" w:rsidRPr="00586C0E">
        <w:rPr>
          <w:rStyle w:val="Refdenotaalpie"/>
          <w:rFonts w:ascii="Arial" w:hAnsi="Arial" w:cs="Arial"/>
          <w:szCs w:val="24"/>
          <w:lang w:val="es-CO"/>
        </w:rPr>
        <w:footnoteReference w:id="25"/>
      </w:r>
      <w:r w:rsidR="008F31A0" w:rsidRPr="00586C0E">
        <w:rPr>
          <w:rFonts w:ascii="Arial" w:hAnsi="Arial" w:cs="Arial"/>
          <w:sz w:val="24"/>
          <w:szCs w:val="24"/>
          <w:lang w:val="es-CO"/>
        </w:rPr>
        <w:t xml:space="preserve"> —especializada en asuntos de responsabilidad contractual y extracontractual del Estado—, que ha establecido que «</w:t>
      </w:r>
      <w:r w:rsidR="008F31A0" w:rsidRPr="00586C0E">
        <w:rPr>
          <w:rFonts w:ascii="Arial" w:hAnsi="Arial" w:cs="Arial"/>
          <w:bCs/>
          <w:i/>
          <w:sz w:val="24"/>
          <w:szCs w:val="24"/>
        </w:rPr>
        <w:t>el enriquecimiento sin causa constituye básicamente una pretensión</w:t>
      </w:r>
      <w:r w:rsidR="008F31A0" w:rsidRPr="00586C0E">
        <w:rPr>
          <w:rFonts w:ascii="Arial" w:hAnsi="Arial" w:cs="Arial"/>
          <w:bCs/>
          <w:sz w:val="24"/>
          <w:szCs w:val="24"/>
        </w:rPr>
        <w:t>». Luego, si esa es la pretensión</w:t>
      </w:r>
      <w:r w:rsidR="00527D24" w:rsidRPr="00586C0E">
        <w:rPr>
          <w:rFonts w:ascii="Arial" w:hAnsi="Arial" w:cs="Arial"/>
          <w:bCs/>
          <w:sz w:val="24"/>
          <w:szCs w:val="24"/>
        </w:rPr>
        <w:t xml:space="preserve"> de la </w:t>
      </w:r>
      <w:proofErr w:type="spellStart"/>
      <w:r w:rsidR="00527D24" w:rsidRPr="00586C0E">
        <w:rPr>
          <w:rFonts w:ascii="Arial" w:hAnsi="Arial" w:cs="Arial"/>
          <w:bCs/>
          <w:i/>
          <w:sz w:val="24"/>
          <w:szCs w:val="24"/>
        </w:rPr>
        <w:t>actio</w:t>
      </w:r>
      <w:proofErr w:type="spellEnd"/>
      <w:r w:rsidR="00527D24" w:rsidRPr="00586C0E">
        <w:rPr>
          <w:rFonts w:ascii="Arial" w:hAnsi="Arial" w:cs="Arial"/>
          <w:bCs/>
          <w:i/>
          <w:sz w:val="24"/>
          <w:szCs w:val="24"/>
        </w:rPr>
        <w:t xml:space="preserve"> de in rem verso</w:t>
      </w:r>
      <w:r w:rsidR="008F31A0" w:rsidRPr="00586C0E">
        <w:rPr>
          <w:rFonts w:ascii="Arial" w:hAnsi="Arial" w:cs="Arial"/>
          <w:bCs/>
          <w:sz w:val="24"/>
          <w:szCs w:val="24"/>
        </w:rPr>
        <w:t>, resulta lógico que el demandante tenga el deber de demostrar el enriquecimiento</w:t>
      </w:r>
      <w:r w:rsidR="00527D24" w:rsidRPr="00586C0E">
        <w:rPr>
          <w:rFonts w:ascii="Arial" w:hAnsi="Arial" w:cs="Arial"/>
          <w:sz w:val="24"/>
          <w:szCs w:val="24"/>
          <w:lang w:val="es-CO"/>
        </w:rPr>
        <w:t xml:space="preserve"> que busca</w:t>
      </w:r>
      <w:r w:rsidR="008F31A0" w:rsidRPr="00586C0E">
        <w:rPr>
          <w:rFonts w:ascii="Arial" w:hAnsi="Arial" w:cs="Arial"/>
          <w:sz w:val="24"/>
          <w:szCs w:val="24"/>
          <w:lang w:val="es-CO"/>
        </w:rPr>
        <w:t xml:space="preserve"> sea </w:t>
      </w:r>
      <w:r w:rsidR="00527D24" w:rsidRPr="00586C0E">
        <w:rPr>
          <w:rFonts w:ascii="Arial" w:hAnsi="Arial" w:cs="Arial"/>
          <w:sz w:val="24"/>
          <w:szCs w:val="24"/>
          <w:lang w:val="es-CO"/>
        </w:rPr>
        <w:t>restituido</w:t>
      </w:r>
      <w:r w:rsidR="001B49AF" w:rsidRPr="00586C0E">
        <w:rPr>
          <w:rFonts w:ascii="Arial" w:hAnsi="Arial" w:cs="Arial"/>
          <w:sz w:val="24"/>
          <w:szCs w:val="24"/>
          <w:lang w:val="es-CO"/>
        </w:rPr>
        <w:t xml:space="preserve"> con pruebas contundentes del beneficio </w:t>
      </w:r>
      <w:r w:rsidR="00344EE9" w:rsidRPr="00586C0E">
        <w:rPr>
          <w:rFonts w:ascii="Arial" w:hAnsi="Arial" w:cs="Arial"/>
          <w:sz w:val="24"/>
          <w:szCs w:val="24"/>
          <w:lang w:val="es-CO"/>
        </w:rPr>
        <w:t xml:space="preserve">presuntamente </w:t>
      </w:r>
      <w:r w:rsidR="001B49AF" w:rsidRPr="00586C0E">
        <w:rPr>
          <w:rFonts w:ascii="Arial" w:hAnsi="Arial" w:cs="Arial"/>
          <w:sz w:val="24"/>
          <w:szCs w:val="24"/>
          <w:lang w:val="es-CO"/>
        </w:rPr>
        <w:t xml:space="preserve">entregado. </w:t>
      </w:r>
      <w:r w:rsidR="00527D24" w:rsidRPr="00586C0E">
        <w:rPr>
          <w:rFonts w:ascii="Arial" w:hAnsi="Arial" w:cs="Arial"/>
          <w:sz w:val="24"/>
          <w:szCs w:val="24"/>
          <w:lang w:val="es-CO"/>
        </w:rPr>
        <w:t xml:space="preserve"> </w:t>
      </w:r>
    </w:p>
    <w:p w14:paraId="5C831F68" w14:textId="77777777" w:rsidR="00527D24" w:rsidRPr="00586C0E" w:rsidRDefault="00527D24" w:rsidP="00A34B71">
      <w:pPr>
        <w:autoSpaceDE w:val="0"/>
        <w:autoSpaceDN w:val="0"/>
        <w:adjustRightInd w:val="0"/>
        <w:rPr>
          <w:rFonts w:ascii="Arial" w:hAnsi="Arial" w:cs="Arial"/>
          <w:sz w:val="24"/>
          <w:szCs w:val="24"/>
          <w:lang w:val="es-CO"/>
        </w:rPr>
      </w:pPr>
    </w:p>
    <w:p w14:paraId="2D58ADD4" w14:textId="77777777" w:rsidR="001B49AF" w:rsidRPr="00586C0E" w:rsidRDefault="00476AB2" w:rsidP="00A34B71">
      <w:pPr>
        <w:widowControl w:val="0"/>
        <w:autoSpaceDN w:val="0"/>
        <w:adjustRightInd w:val="0"/>
        <w:rPr>
          <w:rFonts w:ascii="Arial" w:hAnsi="Arial" w:cs="Arial"/>
          <w:sz w:val="24"/>
          <w:szCs w:val="24"/>
        </w:rPr>
      </w:pPr>
      <w:r w:rsidRPr="00586C0E">
        <w:rPr>
          <w:rFonts w:ascii="Arial" w:hAnsi="Arial" w:cs="Arial"/>
          <w:sz w:val="24"/>
          <w:szCs w:val="24"/>
        </w:rPr>
        <w:t xml:space="preserve">2.4.3. Fuera de lo anterior, </w:t>
      </w:r>
      <w:r w:rsidR="00964CB5" w:rsidRPr="00586C0E">
        <w:rPr>
          <w:rFonts w:ascii="Arial" w:hAnsi="Arial" w:cs="Arial"/>
          <w:sz w:val="24"/>
          <w:szCs w:val="24"/>
        </w:rPr>
        <w:t xml:space="preserve">la providencia cuestionada </w:t>
      </w:r>
      <w:r w:rsidRPr="00586C0E">
        <w:rPr>
          <w:rFonts w:ascii="Arial" w:hAnsi="Arial" w:cs="Arial"/>
          <w:sz w:val="24"/>
          <w:szCs w:val="24"/>
        </w:rPr>
        <w:t xml:space="preserve">también </w:t>
      </w:r>
      <w:r w:rsidR="00964CB5" w:rsidRPr="00586C0E">
        <w:rPr>
          <w:rFonts w:ascii="Arial" w:hAnsi="Arial" w:cs="Arial"/>
          <w:sz w:val="24"/>
          <w:szCs w:val="24"/>
        </w:rPr>
        <w:t xml:space="preserve">se ajusta a la jurisprudencia </w:t>
      </w:r>
      <w:r w:rsidR="00753B23" w:rsidRPr="00586C0E">
        <w:rPr>
          <w:rFonts w:ascii="Arial" w:hAnsi="Arial" w:cs="Arial"/>
          <w:sz w:val="24"/>
          <w:szCs w:val="24"/>
        </w:rPr>
        <w:t xml:space="preserve">actual </w:t>
      </w:r>
      <w:r w:rsidR="00964CB5" w:rsidRPr="00586C0E">
        <w:rPr>
          <w:rFonts w:ascii="Arial" w:hAnsi="Arial" w:cs="Arial"/>
          <w:sz w:val="24"/>
          <w:szCs w:val="24"/>
        </w:rPr>
        <w:t xml:space="preserve">de la Sección Tercera del Consejo de Estado que ha establecido </w:t>
      </w:r>
      <w:r w:rsidR="00C37FC5" w:rsidRPr="00586C0E">
        <w:rPr>
          <w:rFonts w:ascii="Arial" w:hAnsi="Arial" w:cs="Arial"/>
          <w:sz w:val="24"/>
          <w:szCs w:val="24"/>
        </w:rPr>
        <w:t xml:space="preserve">que de manera excepcional y por razones de interés público o general, resultaría procedente la </w:t>
      </w:r>
      <w:proofErr w:type="spellStart"/>
      <w:r w:rsidR="00C37FC5" w:rsidRPr="00586C0E">
        <w:rPr>
          <w:rFonts w:ascii="Arial" w:hAnsi="Arial" w:cs="Arial"/>
          <w:i/>
          <w:sz w:val="24"/>
          <w:szCs w:val="24"/>
        </w:rPr>
        <w:t>actio</w:t>
      </w:r>
      <w:proofErr w:type="spellEnd"/>
      <w:r w:rsidR="00C37FC5" w:rsidRPr="00586C0E">
        <w:rPr>
          <w:rFonts w:ascii="Arial" w:hAnsi="Arial" w:cs="Arial"/>
          <w:i/>
          <w:sz w:val="24"/>
          <w:szCs w:val="24"/>
        </w:rPr>
        <w:t xml:space="preserve"> de in rem verso</w:t>
      </w:r>
      <w:r w:rsidR="00C37FC5" w:rsidRPr="00586C0E">
        <w:rPr>
          <w:rFonts w:ascii="Arial" w:hAnsi="Arial" w:cs="Arial"/>
          <w:sz w:val="24"/>
          <w:szCs w:val="24"/>
        </w:rPr>
        <w:t>, ente otros, en los siguientes eventos:</w:t>
      </w:r>
      <w:r w:rsidR="001B49AF" w:rsidRPr="00586C0E">
        <w:rPr>
          <w:rStyle w:val="Refdenotaalpie"/>
          <w:rFonts w:ascii="Arial" w:hAnsi="Arial" w:cs="Arial"/>
          <w:szCs w:val="24"/>
        </w:rPr>
        <w:footnoteReference w:id="26"/>
      </w:r>
      <w:r w:rsidR="00C37FC5" w:rsidRPr="00586C0E">
        <w:rPr>
          <w:rFonts w:ascii="Arial" w:hAnsi="Arial" w:cs="Arial"/>
          <w:sz w:val="24"/>
          <w:szCs w:val="24"/>
        </w:rPr>
        <w:t>:</w:t>
      </w:r>
      <w:r w:rsidR="00753B23" w:rsidRPr="00586C0E">
        <w:rPr>
          <w:rFonts w:ascii="Arial" w:hAnsi="Arial" w:cs="Arial"/>
          <w:sz w:val="24"/>
          <w:szCs w:val="24"/>
        </w:rPr>
        <w:t xml:space="preserve"> </w:t>
      </w:r>
    </w:p>
    <w:p w14:paraId="3E1157B6" w14:textId="77777777" w:rsidR="001B49AF" w:rsidRPr="00586C0E" w:rsidRDefault="001B49AF" w:rsidP="00A34B71">
      <w:pPr>
        <w:widowControl w:val="0"/>
        <w:autoSpaceDN w:val="0"/>
        <w:adjustRightInd w:val="0"/>
        <w:rPr>
          <w:rFonts w:ascii="Arial" w:hAnsi="Arial" w:cs="Arial"/>
          <w:sz w:val="24"/>
          <w:szCs w:val="24"/>
        </w:rPr>
      </w:pPr>
    </w:p>
    <w:p w14:paraId="3A5EB5B6" w14:textId="77777777" w:rsidR="00476AB2" w:rsidRPr="00586C0E" w:rsidRDefault="001B49AF" w:rsidP="00217F7D">
      <w:pPr>
        <w:numPr>
          <w:ilvl w:val="0"/>
          <w:numId w:val="5"/>
        </w:numPr>
        <w:ind w:left="397"/>
        <w:rPr>
          <w:rFonts w:ascii="Arial" w:hAnsi="Arial" w:cs="Arial"/>
          <w:bCs/>
          <w:sz w:val="24"/>
          <w:szCs w:val="24"/>
        </w:rPr>
      </w:pPr>
      <w:r w:rsidRPr="00586C0E">
        <w:rPr>
          <w:rFonts w:ascii="Arial" w:hAnsi="Arial" w:cs="Arial"/>
          <w:bCs/>
          <w:sz w:val="24"/>
          <w:szCs w:val="24"/>
        </w:rPr>
        <w:t xml:space="preserve">Cuando se acredite de manera fehaciente y evidente en el proceso, que fue exclusivamente la entidad pública, sin participación y sin culpa del particular afectado, la </w:t>
      </w:r>
      <w:proofErr w:type="gramStart"/>
      <w:r w:rsidRPr="00586C0E">
        <w:rPr>
          <w:rFonts w:ascii="Arial" w:hAnsi="Arial" w:cs="Arial"/>
          <w:bCs/>
          <w:sz w:val="24"/>
          <w:szCs w:val="24"/>
        </w:rPr>
        <w:t>que</w:t>
      </w:r>
      <w:proofErr w:type="gramEnd"/>
      <w:r w:rsidRPr="00586C0E">
        <w:rPr>
          <w:rFonts w:ascii="Arial" w:hAnsi="Arial" w:cs="Arial"/>
          <w:bCs/>
          <w:sz w:val="24"/>
          <w:szCs w:val="24"/>
        </w:rPr>
        <w:t xml:space="preserve"> en virtud de su supremacía, de su autoridad o de su </w:t>
      </w:r>
      <w:proofErr w:type="spellStart"/>
      <w:r w:rsidRPr="00586C0E">
        <w:rPr>
          <w:rFonts w:ascii="Arial" w:hAnsi="Arial" w:cs="Arial"/>
          <w:bCs/>
          <w:sz w:val="24"/>
          <w:szCs w:val="24"/>
        </w:rPr>
        <w:t>imperium</w:t>
      </w:r>
      <w:proofErr w:type="spellEnd"/>
      <w:r w:rsidRPr="00586C0E">
        <w:rPr>
          <w:rFonts w:ascii="Arial" w:hAnsi="Arial" w:cs="Arial"/>
          <w:bCs/>
          <w:sz w:val="24"/>
          <w:szCs w:val="24"/>
        </w:rPr>
        <w:t xml:space="preserve"> constriñó o impuso al respectivo particular la ejecución de prestaciones o el suministro de bienes o servicios en su beneficio, por fuera del marco de un contrato estatal o con prescindencia del mismo.</w:t>
      </w:r>
    </w:p>
    <w:p w14:paraId="5E6DE3BA" w14:textId="77777777" w:rsidR="00476AB2" w:rsidRPr="00586C0E" w:rsidRDefault="001B49AF" w:rsidP="00217F7D">
      <w:pPr>
        <w:numPr>
          <w:ilvl w:val="0"/>
          <w:numId w:val="5"/>
        </w:numPr>
        <w:ind w:left="397"/>
        <w:rPr>
          <w:rFonts w:ascii="Arial" w:hAnsi="Arial" w:cs="Arial"/>
          <w:bCs/>
          <w:sz w:val="24"/>
          <w:szCs w:val="24"/>
        </w:rPr>
      </w:pPr>
      <w:r w:rsidRPr="00586C0E">
        <w:rPr>
          <w:rFonts w:ascii="Arial" w:hAnsi="Arial" w:cs="Arial"/>
          <w:bCs/>
          <w:sz w:val="24"/>
          <w:szCs w:val="24"/>
        </w:rPr>
        <w:t>En los que es urgente y necesario adquirir bienes, solicitar servicios, suministros, ordenar obras con el fin de prestar un servicio para evitar una amenaza o una lesión inminente e irreversible al derecho a la salud,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w:t>
      </w:r>
    </w:p>
    <w:p w14:paraId="38C643E4" w14:textId="77777777" w:rsidR="001B49AF" w:rsidRPr="00586C0E" w:rsidRDefault="001B49AF" w:rsidP="00217F7D">
      <w:pPr>
        <w:numPr>
          <w:ilvl w:val="0"/>
          <w:numId w:val="5"/>
        </w:numPr>
        <w:ind w:left="397"/>
        <w:rPr>
          <w:rFonts w:ascii="Arial" w:hAnsi="Arial" w:cs="Arial"/>
          <w:bCs/>
          <w:sz w:val="24"/>
          <w:szCs w:val="24"/>
        </w:rPr>
      </w:pPr>
      <w:r w:rsidRPr="00586C0E">
        <w:rPr>
          <w:rFonts w:ascii="Arial" w:hAnsi="Arial" w:cs="Arial"/>
          <w:bCs/>
          <w:sz w:val="24"/>
          <w:szCs w:val="24"/>
        </w:rPr>
        <w:t>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41</w:t>
      </w:r>
      <w:r w:rsidR="00476AB2" w:rsidRPr="00586C0E">
        <w:rPr>
          <w:rFonts w:ascii="Arial" w:hAnsi="Arial" w:cs="Arial"/>
          <w:bCs/>
          <w:sz w:val="24"/>
          <w:szCs w:val="24"/>
        </w:rPr>
        <w:t xml:space="preserve"> inciso 4º de la Ley 80 de 1993. </w:t>
      </w:r>
    </w:p>
    <w:p w14:paraId="29275C32" w14:textId="77777777" w:rsidR="001B49AF" w:rsidRPr="00586C0E" w:rsidRDefault="001B49AF" w:rsidP="009336D5">
      <w:pPr>
        <w:widowControl w:val="0"/>
        <w:autoSpaceDN w:val="0"/>
        <w:adjustRightInd w:val="0"/>
        <w:ind w:left="397"/>
        <w:rPr>
          <w:rFonts w:ascii="Arial" w:hAnsi="Arial" w:cs="Arial"/>
          <w:i/>
          <w:sz w:val="24"/>
          <w:szCs w:val="24"/>
          <w:lang w:eastAsia="es-CO"/>
        </w:rPr>
      </w:pPr>
    </w:p>
    <w:p w14:paraId="66089FE3" w14:textId="77777777" w:rsidR="00753B23" w:rsidRPr="00586C0E" w:rsidRDefault="00476AB2" w:rsidP="00A34B71">
      <w:pPr>
        <w:widowControl w:val="0"/>
        <w:autoSpaceDN w:val="0"/>
        <w:adjustRightInd w:val="0"/>
        <w:rPr>
          <w:rFonts w:ascii="Arial" w:hAnsi="Arial" w:cs="Arial"/>
          <w:sz w:val="24"/>
          <w:szCs w:val="24"/>
        </w:rPr>
      </w:pPr>
      <w:r w:rsidRPr="00586C0E">
        <w:rPr>
          <w:rFonts w:ascii="Arial" w:hAnsi="Arial" w:cs="Arial"/>
          <w:sz w:val="24"/>
          <w:szCs w:val="24"/>
        </w:rPr>
        <w:t xml:space="preserve">2.4.3.1. </w:t>
      </w:r>
      <w:r w:rsidR="00753B23" w:rsidRPr="00586C0E">
        <w:rPr>
          <w:rFonts w:ascii="Arial" w:hAnsi="Arial" w:cs="Arial"/>
          <w:sz w:val="24"/>
          <w:szCs w:val="24"/>
        </w:rPr>
        <w:t xml:space="preserve">El caso propuesto por </w:t>
      </w:r>
      <w:proofErr w:type="spellStart"/>
      <w:r w:rsidR="00753B23" w:rsidRPr="00586C0E">
        <w:rPr>
          <w:rFonts w:ascii="Arial" w:hAnsi="Arial" w:cs="Arial"/>
          <w:sz w:val="24"/>
          <w:szCs w:val="24"/>
        </w:rPr>
        <w:t>Surtieléctricos</w:t>
      </w:r>
      <w:proofErr w:type="spellEnd"/>
      <w:r w:rsidR="00753B23" w:rsidRPr="00586C0E">
        <w:rPr>
          <w:rFonts w:ascii="Arial" w:hAnsi="Arial" w:cs="Arial"/>
          <w:sz w:val="24"/>
          <w:szCs w:val="24"/>
        </w:rPr>
        <w:t xml:space="preserve"> Cali Ltda. no se adecúa a ninguna de las excepciones previstas por la Sección Tercera del Consejo de Estado, pues, como lo explicó </w:t>
      </w:r>
      <w:r w:rsidR="006700DB" w:rsidRPr="00586C0E">
        <w:rPr>
          <w:rFonts w:ascii="Arial" w:hAnsi="Arial" w:cs="Arial"/>
          <w:sz w:val="24"/>
          <w:szCs w:val="24"/>
        </w:rPr>
        <w:t>la autoridad judicial demandada, de haberse probado el suministro, se habría tratado de un negocio consensual</w:t>
      </w:r>
      <w:r w:rsidR="00A34B71" w:rsidRPr="00586C0E">
        <w:rPr>
          <w:rFonts w:ascii="Arial" w:hAnsi="Arial" w:cs="Arial"/>
          <w:sz w:val="24"/>
          <w:szCs w:val="24"/>
        </w:rPr>
        <w:t>, según lo propone la propia sociedad demandante</w:t>
      </w:r>
      <w:r w:rsidR="00EC6A7C" w:rsidRPr="00586C0E">
        <w:rPr>
          <w:rFonts w:ascii="Arial" w:hAnsi="Arial" w:cs="Arial"/>
          <w:sz w:val="24"/>
          <w:szCs w:val="24"/>
        </w:rPr>
        <w:t>, mas no de un constreñimiento o de una imposición por parte de la administración</w:t>
      </w:r>
      <w:r w:rsidR="00A34B71" w:rsidRPr="00586C0E">
        <w:rPr>
          <w:rFonts w:ascii="Arial" w:hAnsi="Arial" w:cs="Arial"/>
          <w:sz w:val="24"/>
          <w:szCs w:val="24"/>
        </w:rPr>
        <w:t xml:space="preserve">. El tribunal precisó que </w:t>
      </w:r>
      <w:r w:rsidR="006700DB" w:rsidRPr="00586C0E">
        <w:rPr>
          <w:rFonts w:ascii="Arial" w:hAnsi="Arial" w:cs="Arial"/>
          <w:sz w:val="24"/>
          <w:szCs w:val="24"/>
        </w:rPr>
        <w:t>«</w:t>
      </w:r>
      <w:r w:rsidR="006700DB" w:rsidRPr="00586C0E">
        <w:rPr>
          <w:rFonts w:ascii="Arial" w:hAnsi="Arial" w:cs="Arial"/>
          <w:i/>
          <w:sz w:val="24"/>
          <w:szCs w:val="24"/>
        </w:rPr>
        <w:t xml:space="preserve">si bien se aportó un oficio de fecha mayo 10 de 2010, por el cual el señor Germán Andrés Rodríguez Ortiz, en calidad de Representante Uniones Temporales solicitó al Gerente de </w:t>
      </w:r>
      <w:proofErr w:type="spellStart"/>
      <w:r w:rsidR="006700DB" w:rsidRPr="00586C0E">
        <w:rPr>
          <w:rFonts w:ascii="Arial" w:hAnsi="Arial" w:cs="Arial"/>
          <w:i/>
          <w:sz w:val="24"/>
          <w:szCs w:val="24"/>
        </w:rPr>
        <w:t>Surtieléctricos</w:t>
      </w:r>
      <w:proofErr w:type="spellEnd"/>
      <w:r w:rsidR="006700DB" w:rsidRPr="00586C0E">
        <w:rPr>
          <w:rFonts w:ascii="Arial" w:hAnsi="Arial" w:cs="Arial"/>
          <w:i/>
          <w:sz w:val="24"/>
          <w:szCs w:val="24"/>
        </w:rPr>
        <w:t xml:space="preserve"> de la Ciudad de Cali la provisión de “material eléctrico con destino a las Uniones Temporales que en la actualidad desarrollan proyectos de vivienda en el Municipio de Pasto”, ello, antes que corroborar la tesis de la parte demandante, ratifica que si esta cumplió con lo pedido, lo hizo, se insiste, de manera voluntaria y libre, toda vez que el referido documento se contrajo a una invitación, sin amenaza alguna que tuviera el poder de obligar al particular a plegarse a su autoridad</w:t>
      </w:r>
      <w:r w:rsidR="006700DB" w:rsidRPr="00586C0E">
        <w:rPr>
          <w:rFonts w:ascii="Arial" w:hAnsi="Arial" w:cs="Arial"/>
          <w:sz w:val="24"/>
          <w:szCs w:val="24"/>
        </w:rPr>
        <w:t>»</w:t>
      </w:r>
      <w:r w:rsidR="00EC6A7C" w:rsidRPr="00586C0E">
        <w:rPr>
          <w:rStyle w:val="Refdenotaalpie"/>
          <w:rFonts w:ascii="Arial" w:hAnsi="Arial" w:cs="Arial"/>
          <w:szCs w:val="24"/>
        </w:rPr>
        <w:footnoteReference w:id="27"/>
      </w:r>
      <w:r w:rsidR="00EC6A7C" w:rsidRPr="00586C0E">
        <w:rPr>
          <w:rFonts w:ascii="Arial" w:hAnsi="Arial" w:cs="Arial"/>
          <w:sz w:val="24"/>
          <w:szCs w:val="24"/>
        </w:rPr>
        <w:t xml:space="preserve">, circunstancia que descarta la configuración de una de las excepciones previstas por la sentencia del 19 de noviembre de 2012. </w:t>
      </w:r>
    </w:p>
    <w:p w14:paraId="73EAAA5E" w14:textId="77777777" w:rsidR="001B49AF" w:rsidRPr="00586C0E" w:rsidRDefault="001B49AF" w:rsidP="00A34B71">
      <w:pPr>
        <w:widowControl w:val="0"/>
        <w:autoSpaceDN w:val="0"/>
        <w:adjustRightInd w:val="0"/>
        <w:rPr>
          <w:rFonts w:ascii="Arial" w:hAnsi="Arial" w:cs="Arial"/>
          <w:b/>
          <w:sz w:val="24"/>
          <w:szCs w:val="24"/>
          <w:lang w:eastAsia="es-CO"/>
        </w:rPr>
      </w:pPr>
    </w:p>
    <w:p w14:paraId="0C96CF5D" w14:textId="77777777" w:rsidR="008F31A0" w:rsidRPr="00586C0E" w:rsidRDefault="00EC6A7C" w:rsidP="00527D24">
      <w:pPr>
        <w:pStyle w:val="Sangradetextonormal"/>
        <w:tabs>
          <w:tab w:val="left" w:pos="2655"/>
        </w:tabs>
        <w:spacing w:line="240" w:lineRule="auto"/>
        <w:rPr>
          <w:rFonts w:cs="Arial"/>
          <w:b w:val="0"/>
          <w:sz w:val="24"/>
          <w:szCs w:val="24"/>
        </w:rPr>
      </w:pPr>
      <w:r w:rsidRPr="00586C0E">
        <w:rPr>
          <w:rFonts w:cs="Arial"/>
          <w:b w:val="0"/>
          <w:sz w:val="24"/>
          <w:szCs w:val="24"/>
          <w:lang w:val="es-CO"/>
        </w:rPr>
        <w:t xml:space="preserve">2.5. </w:t>
      </w:r>
      <w:r w:rsidR="008F31A0" w:rsidRPr="00586C0E">
        <w:rPr>
          <w:rFonts w:cs="Arial"/>
          <w:b w:val="0"/>
          <w:sz w:val="24"/>
          <w:szCs w:val="24"/>
        </w:rPr>
        <w:t xml:space="preserve">Se </w:t>
      </w:r>
      <w:r w:rsidR="008F31A0" w:rsidRPr="00586C0E">
        <w:rPr>
          <w:rFonts w:cs="Arial"/>
          <w:b w:val="0"/>
          <w:sz w:val="24"/>
          <w:szCs w:val="24"/>
          <w:lang w:val="es-CO"/>
        </w:rPr>
        <w:t xml:space="preserve">resuelve, </w:t>
      </w:r>
      <w:r w:rsidR="008F31A0" w:rsidRPr="00586C0E">
        <w:rPr>
          <w:rFonts w:cs="Arial"/>
          <w:b w:val="0"/>
          <w:sz w:val="24"/>
          <w:szCs w:val="24"/>
        </w:rPr>
        <w:t xml:space="preserve">entonces, </w:t>
      </w:r>
      <w:r w:rsidR="008F31A0" w:rsidRPr="00586C0E">
        <w:rPr>
          <w:rFonts w:cs="Arial"/>
          <w:b w:val="0"/>
          <w:sz w:val="24"/>
          <w:szCs w:val="24"/>
          <w:lang w:val="es-CO"/>
        </w:rPr>
        <w:t xml:space="preserve">el problema jurídico propuesto: la sentencia </w:t>
      </w:r>
      <w:r w:rsidRPr="00586C0E">
        <w:rPr>
          <w:rFonts w:cs="Arial"/>
          <w:b w:val="0"/>
          <w:sz w:val="24"/>
          <w:szCs w:val="24"/>
          <w:lang w:val="es-CO"/>
        </w:rPr>
        <w:t>del 28</w:t>
      </w:r>
      <w:r w:rsidR="00527D24" w:rsidRPr="00586C0E">
        <w:rPr>
          <w:rFonts w:cs="Arial"/>
          <w:b w:val="0"/>
          <w:sz w:val="24"/>
          <w:szCs w:val="24"/>
          <w:lang w:val="es-CO"/>
        </w:rPr>
        <w:t xml:space="preserve"> de febrero de 2018</w:t>
      </w:r>
      <w:r w:rsidR="008F31A0" w:rsidRPr="00586C0E">
        <w:rPr>
          <w:rFonts w:cs="Arial"/>
          <w:b w:val="0"/>
          <w:sz w:val="24"/>
          <w:szCs w:val="24"/>
          <w:lang w:val="es-CO"/>
        </w:rPr>
        <w:t xml:space="preserve">, dictada por el Tribunal Administrativo de </w:t>
      </w:r>
      <w:r w:rsidR="00527D24" w:rsidRPr="00586C0E">
        <w:rPr>
          <w:rFonts w:cs="Arial"/>
          <w:b w:val="0"/>
          <w:sz w:val="24"/>
          <w:szCs w:val="24"/>
          <w:lang w:val="es-CO"/>
        </w:rPr>
        <w:t>Nariño</w:t>
      </w:r>
      <w:r w:rsidR="008F31A0" w:rsidRPr="00586C0E">
        <w:rPr>
          <w:rFonts w:cs="Arial"/>
          <w:b w:val="0"/>
          <w:sz w:val="24"/>
          <w:szCs w:val="24"/>
          <w:lang w:val="es-CO"/>
        </w:rPr>
        <w:t xml:space="preserve">, no </w:t>
      </w:r>
      <w:r w:rsidRPr="00586C0E">
        <w:rPr>
          <w:rFonts w:cs="Arial"/>
          <w:b w:val="0"/>
          <w:sz w:val="24"/>
          <w:szCs w:val="24"/>
          <w:lang w:val="es-CO"/>
        </w:rPr>
        <w:t xml:space="preserve">violó el derecho </w:t>
      </w:r>
      <w:r w:rsidR="008F31A0" w:rsidRPr="00586C0E">
        <w:rPr>
          <w:rFonts w:cs="Arial"/>
          <w:b w:val="0"/>
          <w:sz w:val="24"/>
          <w:szCs w:val="24"/>
          <w:lang w:val="es-MX"/>
        </w:rPr>
        <w:t>de acceso a la administración de justicia</w:t>
      </w:r>
      <w:r w:rsidRPr="00586C0E">
        <w:rPr>
          <w:rFonts w:cs="Arial"/>
          <w:b w:val="0"/>
          <w:sz w:val="24"/>
          <w:szCs w:val="24"/>
          <w:lang w:val="es-MX"/>
        </w:rPr>
        <w:t xml:space="preserve"> ni incurrió en defecto fáctico,</w:t>
      </w:r>
      <w:r w:rsidR="008F31A0" w:rsidRPr="00586C0E">
        <w:rPr>
          <w:rFonts w:cs="Arial"/>
          <w:b w:val="0"/>
          <w:sz w:val="24"/>
          <w:szCs w:val="24"/>
          <w:lang w:val="es-CO"/>
        </w:rPr>
        <w:t xml:space="preserve"> cuando concluyó que </w:t>
      </w:r>
      <w:proofErr w:type="spellStart"/>
      <w:r w:rsidR="00527D24" w:rsidRPr="00586C0E">
        <w:rPr>
          <w:rFonts w:cs="Arial"/>
          <w:b w:val="0"/>
          <w:sz w:val="24"/>
          <w:szCs w:val="24"/>
          <w:lang w:val="es-CO"/>
        </w:rPr>
        <w:t>Surtieléctricos</w:t>
      </w:r>
      <w:proofErr w:type="spellEnd"/>
      <w:r w:rsidR="00527D24" w:rsidRPr="00586C0E">
        <w:rPr>
          <w:rFonts w:cs="Arial"/>
          <w:b w:val="0"/>
          <w:sz w:val="24"/>
          <w:szCs w:val="24"/>
          <w:lang w:val="es-CO"/>
        </w:rPr>
        <w:t xml:space="preserve"> Cali Ltda. </w:t>
      </w:r>
      <w:r w:rsidR="008F31A0" w:rsidRPr="00586C0E">
        <w:rPr>
          <w:rFonts w:cs="Arial"/>
          <w:b w:val="0"/>
          <w:sz w:val="24"/>
          <w:szCs w:val="24"/>
          <w:lang w:val="es-CO"/>
        </w:rPr>
        <w:t xml:space="preserve">no demostró </w:t>
      </w:r>
      <w:r w:rsidR="00527D24" w:rsidRPr="00586C0E">
        <w:rPr>
          <w:rFonts w:cs="Arial"/>
          <w:b w:val="0"/>
          <w:sz w:val="24"/>
          <w:szCs w:val="24"/>
          <w:lang w:val="es-CO"/>
        </w:rPr>
        <w:t>el suministro de materiales y</w:t>
      </w:r>
      <w:r w:rsidRPr="00586C0E">
        <w:rPr>
          <w:rFonts w:cs="Arial"/>
          <w:b w:val="0"/>
          <w:sz w:val="24"/>
          <w:szCs w:val="24"/>
          <w:lang w:val="es-CO"/>
        </w:rPr>
        <w:t xml:space="preserve"> que</w:t>
      </w:r>
      <w:r w:rsidR="00527D24" w:rsidRPr="00586C0E">
        <w:rPr>
          <w:rFonts w:cs="Arial"/>
          <w:b w:val="0"/>
          <w:sz w:val="24"/>
          <w:szCs w:val="24"/>
          <w:lang w:val="es-CO"/>
        </w:rPr>
        <w:t xml:space="preserve">, por ende, </w:t>
      </w:r>
      <w:r w:rsidRPr="00586C0E">
        <w:rPr>
          <w:rFonts w:cs="Arial"/>
          <w:b w:val="0"/>
          <w:sz w:val="24"/>
          <w:szCs w:val="24"/>
          <w:lang w:val="es-CO"/>
        </w:rPr>
        <w:t xml:space="preserve">la </w:t>
      </w:r>
      <w:proofErr w:type="spellStart"/>
      <w:r w:rsidRPr="00586C0E">
        <w:rPr>
          <w:rFonts w:cs="Arial"/>
          <w:b w:val="0"/>
          <w:i/>
          <w:sz w:val="24"/>
          <w:szCs w:val="24"/>
          <w:lang w:val="es-CO"/>
        </w:rPr>
        <w:t>actio</w:t>
      </w:r>
      <w:proofErr w:type="spellEnd"/>
      <w:r w:rsidRPr="00586C0E">
        <w:rPr>
          <w:rFonts w:cs="Arial"/>
          <w:b w:val="0"/>
          <w:i/>
          <w:sz w:val="24"/>
          <w:szCs w:val="24"/>
          <w:lang w:val="es-CO"/>
        </w:rPr>
        <w:t xml:space="preserve"> de in rem verso </w:t>
      </w:r>
      <w:r w:rsidRPr="00586C0E">
        <w:rPr>
          <w:rFonts w:cs="Arial"/>
          <w:b w:val="0"/>
          <w:sz w:val="24"/>
          <w:szCs w:val="24"/>
          <w:lang w:val="es-CO"/>
        </w:rPr>
        <w:t xml:space="preserve">no era procedente. </w:t>
      </w:r>
      <w:r w:rsidR="008F31A0" w:rsidRPr="00586C0E">
        <w:rPr>
          <w:rFonts w:cs="Arial"/>
          <w:b w:val="0"/>
          <w:sz w:val="24"/>
          <w:szCs w:val="24"/>
        </w:rPr>
        <w:t xml:space="preserve">Se impone, pues, confirmar la sentencia impugnada. </w:t>
      </w:r>
    </w:p>
    <w:bookmarkEnd w:id="3"/>
    <w:p w14:paraId="109DD5F7" w14:textId="77777777" w:rsidR="002B1D13" w:rsidRPr="00586C0E" w:rsidRDefault="002B1D13" w:rsidP="00CD03C3">
      <w:pPr>
        <w:pStyle w:val="Sangradetextonormal"/>
        <w:tabs>
          <w:tab w:val="left" w:pos="2655"/>
        </w:tabs>
        <w:spacing w:line="240" w:lineRule="auto"/>
        <w:rPr>
          <w:rFonts w:cs="Arial"/>
          <w:sz w:val="24"/>
          <w:szCs w:val="24"/>
        </w:rPr>
      </w:pPr>
    </w:p>
    <w:p w14:paraId="12261A88" w14:textId="77777777" w:rsidR="00F31354" w:rsidRPr="00586C0E" w:rsidRDefault="00F31354" w:rsidP="00CD03C3">
      <w:pPr>
        <w:ind w:right="51"/>
        <w:rPr>
          <w:rFonts w:ascii="Arial" w:hAnsi="Arial" w:cs="Arial"/>
          <w:sz w:val="24"/>
          <w:szCs w:val="24"/>
        </w:rPr>
      </w:pPr>
      <w:r w:rsidRPr="00586C0E">
        <w:rPr>
          <w:rFonts w:ascii="Arial" w:hAnsi="Arial" w:cs="Arial"/>
          <w:sz w:val="24"/>
          <w:szCs w:val="24"/>
        </w:rPr>
        <w:t>Por lo expuesto, el Consejo de Estado, Sala de lo Contencioso Administrativo, Sección Cuarta, administrando justicia en nombre de la República de Colombia y por autoridad de la ley,</w:t>
      </w:r>
    </w:p>
    <w:p w14:paraId="5AD496EA" w14:textId="77777777" w:rsidR="00F31354" w:rsidRPr="00586C0E" w:rsidRDefault="00F31354" w:rsidP="00CD03C3">
      <w:pPr>
        <w:ind w:right="51"/>
        <w:rPr>
          <w:rFonts w:ascii="Arial" w:hAnsi="Arial" w:cs="Arial"/>
          <w:b/>
          <w:sz w:val="24"/>
          <w:szCs w:val="24"/>
        </w:rPr>
      </w:pPr>
    </w:p>
    <w:p w14:paraId="28AE8219" w14:textId="77777777" w:rsidR="00C37FC5" w:rsidRPr="00586C0E" w:rsidRDefault="00C37FC5" w:rsidP="00CD03C3">
      <w:pPr>
        <w:ind w:right="51"/>
        <w:rPr>
          <w:rFonts w:ascii="Arial" w:hAnsi="Arial" w:cs="Arial"/>
          <w:b/>
          <w:sz w:val="24"/>
          <w:szCs w:val="24"/>
        </w:rPr>
      </w:pPr>
    </w:p>
    <w:p w14:paraId="49C1D2EC" w14:textId="77777777" w:rsidR="00F31354" w:rsidRPr="00586C0E" w:rsidRDefault="00F31354" w:rsidP="00EC6A7C">
      <w:pPr>
        <w:spacing w:before="120" w:after="120"/>
        <w:jc w:val="center"/>
        <w:rPr>
          <w:rFonts w:ascii="Arial" w:hAnsi="Arial" w:cs="Arial"/>
          <w:b/>
          <w:bCs/>
          <w:sz w:val="24"/>
          <w:szCs w:val="24"/>
        </w:rPr>
      </w:pPr>
      <w:r w:rsidRPr="00586C0E">
        <w:rPr>
          <w:rFonts w:ascii="Arial" w:hAnsi="Arial" w:cs="Arial"/>
          <w:b/>
          <w:bCs/>
          <w:sz w:val="24"/>
          <w:szCs w:val="24"/>
        </w:rPr>
        <w:t>FALLA</w:t>
      </w:r>
    </w:p>
    <w:p w14:paraId="2BC57968" w14:textId="77777777" w:rsidR="00F31354" w:rsidRPr="00586C0E" w:rsidRDefault="00F31354" w:rsidP="00EC6A7C">
      <w:pPr>
        <w:spacing w:before="120" w:after="120"/>
        <w:rPr>
          <w:rFonts w:ascii="Arial" w:eastAsia="Times New Roman" w:hAnsi="Arial" w:cs="Arial"/>
          <w:bCs/>
          <w:sz w:val="24"/>
          <w:szCs w:val="24"/>
        </w:rPr>
      </w:pPr>
    </w:p>
    <w:p w14:paraId="51CF642C" w14:textId="77777777" w:rsidR="00F31354" w:rsidRPr="00586C0E" w:rsidRDefault="00F31354" w:rsidP="00EC6A7C">
      <w:pPr>
        <w:spacing w:before="120" w:after="120"/>
        <w:rPr>
          <w:rFonts w:ascii="Arial" w:eastAsia="Verdana" w:hAnsi="Arial" w:cs="Arial"/>
          <w:b/>
          <w:sz w:val="24"/>
          <w:szCs w:val="24"/>
        </w:rPr>
      </w:pPr>
      <w:r w:rsidRPr="00586C0E">
        <w:rPr>
          <w:rFonts w:ascii="Arial" w:eastAsia="Verdana" w:hAnsi="Arial" w:cs="Arial"/>
          <w:b/>
          <w:sz w:val="24"/>
          <w:szCs w:val="24"/>
        </w:rPr>
        <w:t>1. Confirmar</w:t>
      </w:r>
      <w:r w:rsidRPr="00586C0E">
        <w:rPr>
          <w:rFonts w:ascii="Arial" w:eastAsia="Verdana" w:hAnsi="Arial" w:cs="Arial"/>
          <w:sz w:val="24"/>
          <w:szCs w:val="24"/>
        </w:rPr>
        <w:t xml:space="preserve"> la sentencia impugnada, por las razones expuestas en la parte motiva de esta decisión. </w:t>
      </w:r>
    </w:p>
    <w:p w14:paraId="1C42BA36" w14:textId="77777777" w:rsidR="00F31354" w:rsidRPr="00586C0E" w:rsidRDefault="00F31354" w:rsidP="00EC6A7C">
      <w:pPr>
        <w:spacing w:before="120" w:after="120"/>
        <w:rPr>
          <w:rFonts w:ascii="Arial" w:eastAsia="Verdana" w:hAnsi="Arial" w:cs="Arial"/>
          <w:sz w:val="24"/>
          <w:szCs w:val="24"/>
        </w:rPr>
      </w:pPr>
      <w:r w:rsidRPr="00586C0E">
        <w:rPr>
          <w:rFonts w:ascii="Arial" w:eastAsia="Verdana" w:hAnsi="Arial" w:cs="Arial"/>
          <w:b/>
          <w:sz w:val="24"/>
          <w:szCs w:val="24"/>
        </w:rPr>
        <w:t xml:space="preserve">2. Notificar </w:t>
      </w:r>
      <w:r w:rsidRPr="00586C0E">
        <w:rPr>
          <w:rFonts w:ascii="Arial" w:eastAsia="Verdana" w:hAnsi="Arial" w:cs="Arial"/>
          <w:sz w:val="24"/>
          <w:szCs w:val="24"/>
        </w:rPr>
        <w:t>a las partes por el medio más expedito.</w:t>
      </w:r>
    </w:p>
    <w:p w14:paraId="46EE755F" w14:textId="77777777" w:rsidR="00F31354" w:rsidRPr="00586C0E" w:rsidRDefault="00F31354" w:rsidP="00EC6A7C">
      <w:pPr>
        <w:spacing w:before="120" w:after="120"/>
        <w:rPr>
          <w:rFonts w:ascii="Arial" w:eastAsia="Verdana" w:hAnsi="Arial" w:cs="Arial"/>
          <w:b/>
          <w:sz w:val="24"/>
          <w:szCs w:val="24"/>
        </w:rPr>
      </w:pPr>
    </w:p>
    <w:p w14:paraId="4519897D" w14:textId="77777777" w:rsidR="00F31354" w:rsidRPr="00586C0E" w:rsidRDefault="00F31354" w:rsidP="00EC6A7C">
      <w:pPr>
        <w:spacing w:before="120" w:after="120"/>
        <w:rPr>
          <w:rFonts w:ascii="Arial" w:eastAsia="Verdana" w:hAnsi="Arial" w:cs="Arial"/>
          <w:sz w:val="24"/>
          <w:szCs w:val="24"/>
        </w:rPr>
      </w:pPr>
      <w:r w:rsidRPr="00586C0E">
        <w:rPr>
          <w:rFonts w:ascii="Arial" w:eastAsia="Verdana" w:hAnsi="Arial" w:cs="Arial"/>
          <w:b/>
          <w:sz w:val="24"/>
          <w:szCs w:val="24"/>
        </w:rPr>
        <w:t xml:space="preserve">3. Enviar </w:t>
      </w:r>
      <w:r w:rsidRPr="00586C0E">
        <w:rPr>
          <w:rFonts w:ascii="Arial" w:eastAsia="Verdana" w:hAnsi="Arial" w:cs="Arial"/>
          <w:sz w:val="24"/>
          <w:szCs w:val="24"/>
        </w:rPr>
        <w:t xml:space="preserve">el expediente a la Corte Constitucional para lo de su cargo. </w:t>
      </w:r>
    </w:p>
    <w:p w14:paraId="7FBC614A" w14:textId="77777777" w:rsidR="00F31354" w:rsidRPr="00586C0E" w:rsidRDefault="00F31354" w:rsidP="00EC6A7C">
      <w:pPr>
        <w:spacing w:before="120" w:after="120"/>
        <w:rPr>
          <w:rFonts w:ascii="Arial" w:eastAsia="Verdana" w:hAnsi="Arial" w:cs="Arial"/>
          <w:sz w:val="24"/>
          <w:szCs w:val="24"/>
        </w:rPr>
      </w:pPr>
    </w:p>
    <w:p w14:paraId="78ED4EC3" w14:textId="77777777" w:rsidR="00F31354" w:rsidRPr="00586C0E" w:rsidRDefault="00F31354" w:rsidP="00EC6A7C">
      <w:pPr>
        <w:spacing w:before="120" w:after="120"/>
        <w:rPr>
          <w:rFonts w:ascii="Arial" w:eastAsia="Times New Roman" w:hAnsi="Arial" w:cs="Arial"/>
          <w:bCs/>
          <w:sz w:val="24"/>
          <w:szCs w:val="24"/>
        </w:rPr>
      </w:pPr>
      <w:r w:rsidRPr="00586C0E">
        <w:rPr>
          <w:rFonts w:ascii="Arial" w:eastAsia="Times New Roman" w:hAnsi="Arial" w:cs="Arial"/>
          <w:bCs/>
          <w:sz w:val="24"/>
          <w:szCs w:val="24"/>
        </w:rPr>
        <w:t>Cópiese, notifíquese y cúmplase.</w:t>
      </w:r>
    </w:p>
    <w:p w14:paraId="42F38AD9" w14:textId="77777777" w:rsidR="00F31354" w:rsidRPr="00586C0E" w:rsidRDefault="00F31354" w:rsidP="00EC6A7C">
      <w:pPr>
        <w:spacing w:before="120" w:after="120"/>
        <w:rPr>
          <w:rFonts w:ascii="Arial" w:eastAsia="Verdana" w:hAnsi="Arial" w:cs="Arial"/>
          <w:sz w:val="24"/>
          <w:szCs w:val="24"/>
        </w:rPr>
      </w:pPr>
    </w:p>
    <w:p w14:paraId="142271FD" w14:textId="77777777" w:rsidR="00F31354" w:rsidRPr="00586C0E" w:rsidRDefault="00F31354" w:rsidP="00EC6A7C">
      <w:pPr>
        <w:spacing w:before="120" w:after="120"/>
        <w:rPr>
          <w:rFonts w:ascii="Arial" w:eastAsia="Verdana" w:hAnsi="Arial" w:cs="Arial"/>
          <w:sz w:val="24"/>
          <w:szCs w:val="24"/>
        </w:rPr>
      </w:pPr>
      <w:r w:rsidRPr="00586C0E">
        <w:rPr>
          <w:rFonts w:ascii="Arial" w:eastAsia="Verdana" w:hAnsi="Arial" w:cs="Arial"/>
          <w:sz w:val="24"/>
          <w:szCs w:val="24"/>
        </w:rPr>
        <w:t>La anterior providencia fue discutida y aprobada en sesión de la fecha.</w:t>
      </w:r>
    </w:p>
    <w:bookmarkEnd w:id="0"/>
    <w:bookmarkEnd w:id="1"/>
    <w:bookmarkEnd w:id="2"/>
    <w:p w14:paraId="087BB182" w14:textId="77777777" w:rsidR="00F31354" w:rsidRPr="00586C0E" w:rsidRDefault="00F31354" w:rsidP="00642831">
      <w:pPr>
        <w:jc w:val="center"/>
        <w:rPr>
          <w:rFonts w:ascii="Arial" w:eastAsia="Verdana" w:hAnsi="Arial" w:cs="Arial"/>
          <w:b/>
          <w:color w:val="000000"/>
          <w:sz w:val="24"/>
          <w:szCs w:val="24"/>
        </w:rPr>
      </w:pPr>
    </w:p>
    <w:p w14:paraId="0C557D5B" w14:textId="77777777" w:rsidR="00F31354" w:rsidRPr="00586C0E" w:rsidRDefault="00F31354" w:rsidP="00642831">
      <w:pPr>
        <w:jc w:val="center"/>
        <w:rPr>
          <w:rFonts w:ascii="Arial" w:eastAsia="Verdana" w:hAnsi="Arial" w:cs="Arial"/>
          <w:b/>
          <w:color w:val="000000"/>
          <w:sz w:val="24"/>
          <w:szCs w:val="24"/>
        </w:rPr>
      </w:pPr>
    </w:p>
    <w:p w14:paraId="46B6B738" w14:textId="77777777" w:rsidR="00EC6A7C" w:rsidRPr="00586C0E" w:rsidRDefault="00EC6A7C" w:rsidP="00642831">
      <w:pPr>
        <w:jc w:val="center"/>
        <w:rPr>
          <w:rFonts w:ascii="Arial" w:eastAsia="Verdana" w:hAnsi="Arial" w:cs="Arial"/>
          <w:b/>
          <w:color w:val="000000"/>
          <w:sz w:val="24"/>
          <w:szCs w:val="24"/>
        </w:rPr>
      </w:pPr>
    </w:p>
    <w:p w14:paraId="6A9FAACB" w14:textId="77777777" w:rsidR="00F31354" w:rsidRPr="00586C0E" w:rsidRDefault="00F31354" w:rsidP="00642831">
      <w:pPr>
        <w:jc w:val="center"/>
        <w:rPr>
          <w:rFonts w:ascii="Arial" w:eastAsia="Verdana" w:hAnsi="Arial" w:cs="Arial"/>
          <w:b/>
          <w:color w:val="000000"/>
          <w:sz w:val="24"/>
          <w:szCs w:val="24"/>
        </w:rPr>
      </w:pPr>
    </w:p>
    <w:p w14:paraId="0A682A95" w14:textId="77777777" w:rsidR="00F31354" w:rsidRPr="00586C0E" w:rsidRDefault="00F31354" w:rsidP="00642831">
      <w:pPr>
        <w:widowControl w:val="0"/>
        <w:jc w:val="center"/>
        <w:rPr>
          <w:rFonts w:ascii="Arial" w:eastAsia="Verdana" w:hAnsi="Arial" w:cs="Arial"/>
          <w:b/>
          <w:color w:val="000000"/>
          <w:sz w:val="24"/>
          <w:szCs w:val="24"/>
        </w:rPr>
      </w:pPr>
      <w:r w:rsidRPr="00586C0E">
        <w:rPr>
          <w:rFonts w:ascii="Arial" w:eastAsia="Verdana" w:hAnsi="Arial" w:cs="Arial"/>
          <w:b/>
          <w:color w:val="000000"/>
          <w:sz w:val="24"/>
          <w:szCs w:val="24"/>
        </w:rPr>
        <w:t>JULIO ROBERTO PIZA RODRÍGUEZ</w:t>
      </w:r>
    </w:p>
    <w:p w14:paraId="59363AC5" w14:textId="77777777" w:rsidR="00F31354" w:rsidRPr="00586C0E" w:rsidRDefault="00F31354" w:rsidP="00642831">
      <w:pPr>
        <w:widowControl w:val="0"/>
        <w:jc w:val="center"/>
        <w:rPr>
          <w:rFonts w:ascii="Arial" w:eastAsia="Verdana" w:hAnsi="Arial" w:cs="Arial"/>
          <w:b/>
          <w:color w:val="000000"/>
          <w:sz w:val="24"/>
          <w:szCs w:val="24"/>
        </w:rPr>
      </w:pPr>
      <w:r w:rsidRPr="00586C0E">
        <w:rPr>
          <w:rFonts w:ascii="Arial" w:eastAsia="Verdana" w:hAnsi="Arial" w:cs="Arial"/>
          <w:b/>
          <w:color w:val="000000"/>
          <w:sz w:val="24"/>
          <w:szCs w:val="24"/>
        </w:rPr>
        <w:t>Presidente de la Sección</w:t>
      </w:r>
    </w:p>
    <w:p w14:paraId="10796A97" w14:textId="77777777" w:rsidR="00F31354" w:rsidRPr="00586C0E" w:rsidRDefault="00F31354" w:rsidP="00642831">
      <w:pPr>
        <w:widowControl w:val="0"/>
        <w:jc w:val="center"/>
        <w:rPr>
          <w:rFonts w:ascii="Arial" w:eastAsia="Verdana" w:hAnsi="Arial" w:cs="Arial"/>
          <w:b/>
          <w:color w:val="000000"/>
          <w:sz w:val="24"/>
          <w:szCs w:val="24"/>
        </w:rPr>
      </w:pPr>
    </w:p>
    <w:p w14:paraId="1CFAE039" w14:textId="77777777" w:rsidR="00F31354" w:rsidRPr="00586C0E" w:rsidRDefault="00F31354" w:rsidP="00642831">
      <w:pPr>
        <w:widowControl w:val="0"/>
        <w:jc w:val="center"/>
        <w:rPr>
          <w:rFonts w:ascii="Arial" w:eastAsia="Verdana" w:hAnsi="Arial" w:cs="Arial"/>
          <w:b/>
          <w:color w:val="000000"/>
          <w:sz w:val="24"/>
          <w:szCs w:val="24"/>
        </w:rPr>
      </w:pPr>
    </w:p>
    <w:p w14:paraId="5F78BB7A" w14:textId="77777777" w:rsidR="00F31354" w:rsidRPr="00586C0E" w:rsidRDefault="00F31354" w:rsidP="00642831">
      <w:pPr>
        <w:widowControl w:val="0"/>
        <w:jc w:val="center"/>
        <w:rPr>
          <w:rFonts w:ascii="Arial" w:eastAsia="Verdana" w:hAnsi="Arial" w:cs="Arial"/>
          <w:b/>
          <w:color w:val="000000"/>
          <w:sz w:val="24"/>
          <w:szCs w:val="24"/>
        </w:rPr>
      </w:pPr>
    </w:p>
    <w:p w14:paraId="35BD302E" w14:textId="77777777" w:rsidR="00F31354" w:rsidRPr="00586C0E" w:rsidRDefault="00F31354" w:rsidP="00642831">
      <w:pPr>
        <w:widowControl w:val="0"/>
        <w:jc w:val="center"/>
        <w:rPr>
          <w:rFonts w:ascii="Arial" w:eastAsia="Verdana" w:hAnsi="Arial" w:cs="Arial"/>
          <w:b/>
          <w:color w:val="000000"/>
          <w:sz w:val="24"/>
          <w:szCs w:val="24"/>
        </w:rPr>
      </w:pPr>
    </w:p>
    <w:p w14:paraId="35EE2E07" w14:textId="77777777" w:rsidR="00F31354" w:rsidRPr="00586C0E" w:rsidRDefault="00F31354" w:rsidP="00642831">
      <w:pPr>
        <w:widowControl w:val="0"/>
        <w:jc w:val="center"/>
        <w:rPr>
          <w:rFonts w:ascii="Arial" w:eastAsia="Verdana" w:hAnsi="Arial" w:cs="Arial"/>
          <w:b/>
          <w:color w:val="000000"/>
          <w:sz w:val="24"/>
          <w:szCs w:val="24"/>
        </w:rPr>
      </w:pPr>
      <w:r w:rsidRPr="00586C0E">
        <w:rPr>
          <w:rFonts w:ascii="Arial" w:eastAsia="Verdana" w:hAnsi="Arial" w:cs="Arial"/>
          <w:b/>
          <w:color w:val="000000"/>
          <w:sz w:val="24"/>
          <w:szCs w:val="24"/>
        </w:rPr>
        <w:t>STELLA JEANNETTE CARVAJAL BASTO</w:t>
      </w:r>
    </w:p>
    <w:p w14:paraId="0D6889CE" w14:textId="77777777" w:rsidR="00F31354" w:rsidRPr="00586C0E" w:rsidRDefault="00F31354" w:rsidP="00642831">
      <w:pPr>
        <w:widowControl w:val="0"/>
        <w:jc w:val="center"/>
        <w:rPr>
          <w:rFonts w:ascii="Arial" w:eastAsia="Verdana" w:hAnsi="Arial" w:cs="Arial"/>
          <w:b/>
          <w:color w:val="000000"/>
          <w:sz w:val="24"/>
          <w:szCs w:val="24"/>
        </w:rPr>
      </w:pPr>
      <w:r w:rsidRPr="00586C0E">
        <w:rPr>
          <w:rFonts w:ascii="Arial" w:eastAsia="Verdana" w:hAnsi="Arial" w:cs="Arial"/>
          <w:b/>
          <w:color w:val="000000"/>
          <w:sz w:val="24"/>
          <w:szCs w:val="24"/>
        </w:rPr>
        <w:t>Magistrada</w:t>
      </w:r>
    </w:p>
    <w:p w14:paraId="7E7B4D58" w14:textId="77777777" w:rsidR="00F31354" w:rsidRPr="00586C0E" w:rsidRDefault="00F31354" w:rsidP="00642831">
      <w:pPr>
        <w:widowControl w:val="0"/>
        <w:jc w:val="center"/>
        <w:rPr>
          <w:rFonts w:ascii="Arial" w:eastAsia="Verdana" w:hAnsi="Arial" w:cs="Arial"/>
          <w:b/>
          <w:color w:val="000000"/>
          <w:sz w:val="24"/>
          <w:szCs w:val="24"/>
        </w:rPr>
      </w:pPr>
    </w:p>
    <w:p w14:paraId="5B531AEF" w14:textId="77777777" w:rsidR="00F31354" w:rsidRPr="00586C0E" w:rsidRDefault="00F31354" w:rsidP="00642831">
      <w:pPr>
        <w:widowControl w:val="0"/>
        <w:jc w:val="center"/>
        <w:rPr>
          <w:rFonts w:ascii="Arial" w:eastAsia="Verdana" w:hAnsi="Arial" w:cs="Arial"/>
          <w:b/>
          <w:color w:val="000000"/>
          <w:sz w:val="24"/>
          <w:szCs w:val="24"/>
        </w:rPr>
      </w:pPr>
    </w:p>
    <w:p w14:paraId="1E3D274E" w14:textId="77777777" w:rsidR="00F31354" w:rsidRPr="00586C0E" w:rsidRDefault="00F31354" w:rsidP="00642831">
      <w:pPr>
        <w:widowControl w:val="0"/>
        <w:jc w:val="center"/>
        <w:rPr>
          <w:rFonts w:ascii="Arial" w:eastAsia="Verdana" w:hAnsi="Arial" w:cs="Arial"/>
          <w:b/>
          <w:color w:val="000000"/>
          <w:sz w:val="24"/>
          <w:szCs w:val="24"/>
        </w:rPr>
      </w:pPr>
    </w:p>
    <w:p w14:paraId="2B19A511" w14:textId="77777777" w:rsidR="00F31354" w:rsidRPr="00586C0E" w:rsidRDefault="00F31354" w:rsidP="00642831">
      <w:pPr>
        <w:widowControl w:val="0"/>
        <w:jc w:val="center"/>
        <w:rPr>
          <w:rFonts w:ascii="Arial" w:eastAsia="Verdana" w:hAnsi="Arial" w:cs="Arial"/>
          <w:b/>
          <w:color w:val="000000"/>
          <w:sz w:val="24"/>
          <w:szCs w:val="24"/>
        </w:rPr>
      </w:pPr>
    </w:p>
    <w:p w14:paraId="11DE4CD4" w14:textId="77777777" w:rsidR="00F31354" w:rsidRPr="00586C0E" w:rsidRDefault="00F31354" w:rsidP="00642831">
      <w:pPr>
        <w:widowControl w:val="0"/>
        <w:jc w:val="center"/>
        <w:rPr>
          <w:rFonts w:ascii="Arial" w:eastAsia="Verdana" w:hAnsi="Arial" w:cs="Arial"/>
          <w:b/>
          <w:color w:val="000000"/>
          <w:sz w:val="24"/>
          <w:szCs w:val="24"/>
        </w:rPr>
      </w:pPr>
      <w:r w:rsidRPr="00586C0E">
        <w:rPr>
          <w:rFonts w:ascii="Arial" w:eastAsia="Verdana" w:hAnsi="Arial" w:cs="Arial"/>
          <w:b/>
          <w:color w:val="000000"/>
          <w:sz w:val="24"/>
          <w:szCs w:val="24"/>
        </w:rPr>
        <w:t>MILTON CHAVES GARCÍA</w:t>
      </w:r>
    </w:p>
    <w:p w14:paraId="183617B7" w14:textId="77777777" w:rsidR="00F31354" w:rsidRPr="00586C0E" w:rsidRDefault="00F31354" w:rsidP="00642831">
      <w:pPr>
        <w:widowControl w:val="0"/>
        <w:jc w:val="center"/>
        <w:rPr>
          <w:rFonts w:ascii="Arial" w:eastAsia="Verdana" w:hAnsi="Arial" w:cs="Arial"/>
          <w:b/>
          <w:color w:val="000000"/>
          <w:sz w:val="24"/>
          <w:szCs w:val="24"/>
        </w:rPr>
      </w:pPr>
      <w:r w:rsidRPr="00586C0E">
        <w:rPr>
          <w:rFonts w:ascii="Arial" w:eastAsia="Verdana" w:hAnsi="Arial" w:cs="Arial"/>
          <w:b/>
          <w:color w:val="000000"/>
          <w:sz w:val="24"/>
          <w:szCs w:val="24"/>
        </w:rPr>
        <w:t>Magistrado</w:t>
      </w:r>
    </w:p>
    <w:p w14:paraId="6E3891E2" w14:textId="77777777" w:rsidR="00F31354" w:rsidRPr="00586C0E" w:rsidRDefault="00F31354" w:rsidP="00642831">
      <w:pPr>
        <w:widowControl w:val="0"/>
        <w:jc w:val="center"/>
        <w:rPr>
          <w:rFonts w:ascii="Arial" w:eastAsia="Verdana" w:hAnsi="Arial" w:cs="Arial"/>
          <w:b/>
          <w:color w:val="000000"/>
          <w:sz w:val="24"/>
          <w:szCs w:val="24"/>
        </w:rPr>
      </w:pPr>
    </w:p>
    <w:p w14:paraId="0B41731B" w14:textId="77777777" w:rsidR="00F31354" w:rsidRPr="00586C0E" w:rsidRDefault="00F31354" w:rsidP="00642831">
      <w:pPr>
        <w:widowControl w:val="0"/>
        <w:jc w:val="center"/>
        <w:rPr>
          <w:rFonts w:ascii="Arial" w:eastAsia="Verdana" w:hAnsi="Arial" w:cs="Arial"/>
          <w:b/>
          <w:color w:val="000000"/>
          <w:sz w:val="24"/>
          <w:szCs w:val="24"/>
        </w:rPr>
      </w:pPr>
    </w:p>
    <w:p w14:paraId="68E98AC7" w14:textId="77777777" w:rsidR="00EC6A7C" w:rsidRPr="00586C0E" w:rsidRDefault="00EC6A7C" w:rsidP="00642831">
      <w:pPr>
        <w:widowControl w:val="0"/>
        <w:jc w:val="center"/>
        <w:rPr>
          <w:rFonts w:ascii="Arial" w:eastAsia="Verdana" w:hAnsi="Arial" w:cs="Arial"/>
          <w:b/>
          <w:color w:val="000000"/>
          <w:sz w:val="24"/>
          <w:szCs w:val="24"/>
        </w:rPr>
      </w:pPr>
    </w:p>
    <w:p w14:paraId="627DE86E" w14:textId="77777777" w:rsidR="00F31354" w:rsidRPr="00586C0E" w:rsidRDefault="00F31354" w:rsidP="00642831">
      <w:pPr>
        <w:widowControl w:val="0"/>
        <w:jc w:val="center"/>
        <w:rPr>
          <w:rFonts w:ascii="Arial" w:eastAsia="Verdana" w:hAnsi="Arial" w:cs="Arial"/>
          <w:b/>
          <w:color w:val="000000"/>
          <w:sz w:val="24"/>
          <w:szCs w:val="24"/>
        </w:rPr>
      </w:pPr>
    </w:p>
    <w:p w14:paraId="134AB2A2" w14:textId="77777777" w:rsidR="00F31354" w:rsidRPr="00586C0E" w:rsidRDefault="00F31354" w:rsidP="00642831">
      <w:pPr>
        <w:pStyle w:val="Textoindependiente"/>
        <w:widowControl w:val="0"/>
        <w:spacing w:line="240" w:lineRule="auto"/>
        <w:jc w:val="center"/>
        <w:rPr>
          <w:rFonts w:eastAsia="Verdana" w:cs="Arial"/>
          <w:b/>
          <w:color w:val="000000"/>
          <w:sz w:val="24"/>
        </w:rPr>
      </w:pPr>
      <w:r w:rsidRPr="00586C0E">
        <w:rPr>
          <w:rFonts w:eastAsia="Verdana" w:cs="Arial"/>
          <w:b/>
          <w:color w:val="000000"/>
          <w:sz w:val="24"/>
        </w:rPr>
        <w:t xml:space="preserve">JORGE OCTAVIO RAMÍREZ </w:t>
      </w:r>
      <w:proofErr w:type="spellStart"/>
      <w:r w:rsidRPr="00586C0E">
        <w:rPr>
          <w:rFonts w:eastAsia="Verdana" w:cs="Arial"/>
          <w:b/>
          <w:color w:val="000000"/>
          <w:sz w:val="24"/>
        </w:rPr>
        <w:t>RAMÍREZ</w:t>
      </w:r>
      <w:proofErr w:type="spellEnd"/>
    </w:p>
    <w:p w14:paraId="33B3AF31" w14:textId="77777777" w:rsidR="00F31354" w:rsidRPr="00586C0E" w:rsidRDefault="00F31354" w:rsidP="00642831">
      <w:pPr>
        <w:pStyle w:val="Textoindependiente"/>
        <w:widowControl w:val="0"/>
        <w:spacing w:line="240" w:lineRule="auto"/>
        <w:jc w:val="center"/>
        <w:rPr>
          <w:rFonts w:eastAsia="Verdana" w:cs="Arial"/>
          <w:b/>
          <w:color w:val="000000"/>
          <w:sz w:val="24"/>
        </w:rPr>
      </w:pPr>
      <w:r w:rsidRPr="00586C0E">
        <w:rPr>
          <w:rFonts w:eastAsia="Verdana" w:cs="Arial"/>
          <w:b/>
          <w:color w:val="000000"/>
          <w:sz w:val="24"/>
        </w:rPr>
        <w:t>Magistrado</w:t>
      </w:r>
    </w:p>
    <w:sectPr w:rsidR="00F31354" w:rsidRPr="00586C0E" w:rsidSect="00642831">
      <w:pgSz w:w="12242" w:h="18722" w:code="14"/>
      <w:pgMar w:top="1701" w:right="1701" w:bottom="1701"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4893A" w14:textId="77777777" w:rsidR="002D4554" w:rsidRDefault="002D4554" w:rsidP="00F31354">
      <w:r>
        <w:separator/>
      </w:r>
    </w:p>
  </w:endnote>
  <w:endnote w:type="continuationSeparator" w:id="0">
    <w:p w14:paraId="4DC91A41" w14:textId="77777777" w:rsidR="002D4554" w:rsidRDefault="002D4554" w:rsidP="00F3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9F55E" w14:textId="77777777" w:rsidR="002D4554" w:rsidRDefault="002D4554" w:rsidP="00F31354">
      <w:r>
        <w:separator/>
      </w:r>
    </w:p>
  </w:footnote>
  <w:footnote w:type="continuationSeparator" w:id="0">
    <w:p w14:paraId="778CE253" w14:textId="77777777" w:rsidR="002D4554" w:rsidRDefault="002D4554" w:rsidP="00F31354">
      <w:r>
        <w:continuationSeparator/>
      </w:r>
    </w:p>
  </w:footnote>
  <w:footnote w:id="1">
    <w:p w14:paraId="6EE3AE8C" w14:textId="77777777" w:rsidR="001B49AF" w:rsidRPr="00642831" w:rsidRDefault="001B49AF" w:rsidP="00EC6A7C">
      <w:pPr>
        <w:pStyle w:val="Textonotapie"/>
        <w:rPr>
          <w:rFonts w:ascii="Arial" w:hAnsi="Arial" w:cs="Arial"/>
          <w:color w:val="000000"/>
          <w:lang w:val="es-CO"/>
        </w:rPr>
      </w:pPr>
      <w:r w:rsidRPr="00642831">
        <w:rPr>
          <w:rStyle w:val="Refdenotaalpie"/>
          <w:rFonts w:ascii="Arial" w:hAnsi="Arial" w:cs="Arial"/>
          <w:color w:val="000000"/>
          <w:sz w:val="20"/>
        </w:rPr>
        <w:footnoteRef/>
      </w:r>
      <w:r w:rsidRPr="00642831">
        <w:rPr>
          <w:rFonts w:ascii="Arial" w:hAnsi="Arial" w:cs="Arial"/>
          <w:color w:val="000000"/>
        </w:rPr>
        <w:t xml:space="preserve"> </w:t>
      </w:r>
      <w:r w:rsidRPr="00642831">
        <w:rPr>
          <w:rFonts w:ascii="Arial" w:hAnsi="Arial" w:cs="Arial"/>
          <w:color w:val="000000"/>
          <w:lang w:val="es-CO"/>
        </w:rPr>
        <w:t xml:space="preserve">El 10 de diciembre de 2018, el proceso ingresó a despacho para fallo de segunda instancia. </w:t>
      </w:r>
    </w:p>
  </w:footnote>
  <w:footnote w:id="2">
    <w:p w14:paraId="2FAC217A" w14:textId="77777777" w:rsidR="001B49AF" w:rsidRPr="00642831" w:rsidRDefault="001B49AF" w:rsidP="00EC6A7C">
      <w:pPr>
        <w:pStyle w:val="Textonotapie"/>
        <w:rPr>
          <w:rFonts w:ascii="Arial" w:hAnsi="Arial" w:cs="Arial"/>
          <w:color w:val="000000"/>
          <w:lang w:val="es-CO"/>
        </w:rPr>
      </w:pPr>
      <w:r w:rsidRPr="00642831">
        <w:rPr>
          <w:rStyle w:val="Refdenotaalpie"/>
          <w:rFonts w:ascii="Arial" w:hAnsi="Arial" w:cs="Arial"/>
          <w:color w:val="000000"/>
          <w:sz w:val="20"/>
        </w:rPr>
        <w:footnoteRef/>
      </w:r>
      <w:r w:rsidRPr="00642831">
        <w:rPr>
          <w:rFonts w:ascii="Arial" w:hAnsi="Arial" w:cs="Arial"/>
          <w:color w:val="000000"/>
        </w:rPr>
        <w:t xml:space="preserve"> </w:t>
      </w:r>
      <w:r w:rsidRPr="00642831">
        <w:rPr>
          <w:rFonts w:ascii="Arial" w:hAnsi="Arial" w:cs="Arial"/>
          <w:color w:val="000000"/>
          <w:lang w:val="es-CO"/>
        </w:rPr>
        <w:t xml:space="preserve">Folio 3 del expediente. </w:t>
      </w:r>
    </w:p>
  </w:footnote>
  <w:footnote w:id="3">
    <w:p w14:paraId="798D1F75" w14:textId="77777777" w:rsidR="001B49AF" w:rsidRPr="00642831" w:rsidRDefault="001B49AF" w:rsidP="00EC6A7C">
      <w:pPr>
        <w:pStyle w:val="Textonotapie"/>
        <w:rPr>
          <w:rFonts w:ascii="Arial" w:hAnsi="Arial" w:cs="Arial"/>
          <w:color w:val="000000"/>
          <w:lang w:val="es-CO"/>
        </w:rPr>
      </w:pPr>
      <w:r w:rsidRPr="00642831">
        <w:rPr>
          <w:rStyle w:val="Refdenotaalpie"/>
          <w:rFonts w:ascii="Arial" w:hAnsi="Arial" w:cs="Arial"/>
          <w:color w:val="000000"/>
          <w:sz w:val="20"/>
        </w:rPr>
        <w:footnoteRef/>
      </w:r>
      <w:r w:rsidRPr="00642831">
        <w:rPr>
          <w:rFonts w:ascii="Arial" w:hAnsi="Arial" w:cs="Arial"/>
          <w:color w:val="000000"/>
        </w:rPr>
        <w:t xml:space="preserve"> </w:t>
      </w:r>
      <w:r w:rsidRPr="00642831">
        <w:rPr>
          <w:rFonts w:ascii="Arial" w:hAnsi="Arial" w:cs="Arial"/>
          <w:color w:val="000000"/>
          <w:lang w:val="es-CO"/>
        </w:rPr>
        <w:t xml:space="preserve">Folio 127 del expediente de tutela. </w:t>
      </w:r>
    </w:p>
  </w:footnote>
  <w:footnote w:id="4">
    <w:p w14:paraId="35FCB90D" w14:textId="77777777" w:rsidR="001B49AF" w:rsidRPr="00642831" w:rsidRDefault="001B49AF" w:rsidP="00EC6A7C">
      <w:pPr>
        <w:pStyle w:val="Textonotapie"/>
        <w:rPr>
          <w:rFonts w:ascii="Arial" w:hAnsi="Arial" w:cs="Arial"/>
          <w:color w:val="000000"/>
          <w:lang w:val="es-CO"/>
        </w:rPr>
      </w:pPr>
      <w:r w:rsidRPr="00642831">
        <w:rPr>
          <w:rStyle w:val="Refdenotaalpie"/>
          <w:rFonts w:ascii="Arial" w:eastAsia="Calibri" w:hAnsi="Arial" w:cs="Arial"/>
          <w:color w:val="000000"/>
          <w:sz w:val="20"/>
        </w:rPr>
        <w:footnoteRef/>
      </w:r>
      <w:r w:rsidRPr="00642831">
        <w:rPr>
          <w:rFonts w:ascii="Arial" w:hAnsi="Arial" w:cs="Arial"/>
          <w:color w:val="000000"/>
        </w:rPr>
        <w:t xml:space="preserve"> Expediente 11001-03-15-000-2009-01328-01.</w:t>
      </w:r>
      <w:r w:rsidRPr="00642831">
        <w:rPr>
          <w:rFonts w:ascii="Arial" w:hAnsi="Arial" w:cs="Arial"/>
          <w:color w:val="000000"/>
          <w:lang w:val="es-CO"/>
        </w:rPr>
        <w:t xml:space="preserve"> </w:t>
      </w:r>
    </w:p>
  </w:footnote>
  <w:footnote w:id="5">
    <w:p w14:paraId="3B53F0C7" w14:textId="77777777" w:rsidR="001B49AF" w:rsidRPr="00642831" w:rsidRDefault="001B49AF" w:rsidP="00EC6A7C">
      <w:pPr>
        <w:pStyle w:val="Textonotapie"/>
        <w:rPr>
          <w:rFonts w:ascii="Arial" w:hAnsi="Arial" w:cs="Arial"/>
          <w:color w:val="000000"/>
          <w:lang w:val="es-CO"/>
        </w:rPr>
      </w:pPr>
      <w:r w:rsidRPr="00642831">
        <w:rPr>
          <w:rStyle w:val="Refdenotaalpie"/>
          <w:rFonts w:ascii="Arial" w:eastAsia="Calibri" w:hAnsi="Arial" w:cs="Arial"/>
          <w:color w:val="000000"/>
          <w:sz w:val="20"/>
        </w:rPr>
        <w:footnoteRef/>
      </w:r>
      <w:r w:rsidRPr="00642831">
        <w:rPr>
          <w:rFonts w:ascii="Arial" w:hAnsi="Arial" w:cs="Arial"/>
          <w:color w:val="000000"/>
        </w:rPr>
        <w:t xml:space="preserve"> Expediente (IJ) 11001-03-15-000-2012-02201-01.</w:t>
      </w:r>
      <w:r w:rsidRPr="00642831">
        <w:rPr>
          <w:rFonts w:ascii="Arial" w:hAnsi="Arial" w:cs="Arial"/>
          <w:color w:val="000000"/>
          <w:lang w:val="es-CO"/>
        </w:rPr>
        <w:t xml:space="preserve"> </w:t>
      </w:r>
    </w:p>
  </w:footnote>
  <w:footnote w:id="6">
    <w:p w14:paraId="1E48DFF5" w14:textId="77777777" w:rsidR="001B49AF" w:rsidRPr="00642831" w:rsidRDefault="001B49AF" w:rsidP="00EC6A7C">
      <w:pPr>
        <w:pStyle w:val="Textonotapie"/>
        <w:rPr>
          <w:rFonts w:ascii="Arial" w:hAnsi="Arial" w:cs="Arial"/>
          <w:color w:val="000000"/>
          <w:lang w:val="es-ES_tradnl"/>
        </w:rPr>
      </w:pPr>
      <w:r w:rsidRPr="00642831">
        <w:rPr>
          <w:rStyle w:val="Refdenotaalpie"/>
          <w:rFonts w:ascii="Arial" w:eastAsia="Calibri" w:hAnsi="Arial" w:cs="Arial"/>
          <w:color w:val="000000"/>
          <w:sz w:val="20"/>
        </w:rPr>
        <w:footnoteRef/>
      </w:r>
      <w:r w:rsidRPr="00642831">
        <w:rPr>
          <w:rFonts w:ascii="Arial" w:hAnsi="Arial" w:cs="Arial"/>
          <w:color w:val="000000"/>
        </w:rPr>
        <w:t xml:space="preserve"> </w:t>
      </w:r>
      <w:r w:rsidRPr="00642831">
        <w:rPr>
          <w:rFonts w:ascii="Arial" w:hAnsi="Arial" w:cs="Arial"/>
          <w:color w:val="000000"/>
          <w:lang w:val="es-ES_tradnl"/>
        </w:rPr>
        <w:t xml:space="preserve">SU-573 de 2017. </w:t>
      </w:r>
    </w:p>
  </w:footnote>
  <w:footnote w:id="7">
    <w:p w14:paraId="6CC46F6D" w14:textId="77777777" w:rsidR="00C05B16" w:rsidRPr="00642831" w:rsidRDefault="00C05B16" w:rsidP="00EC6A7C">
      <w:pPr>
        <w:pStyle w:val="Textonotapie"/>
        <w:rPr>
          <w:rFonts w:ascii="Arial" w:hAnsi="Arial" w:cs="Arial"/>
          <w:color w:val="000000"/>
          <w:lang w:val="es-CO"/>
        </w:rPr>
      </w:pPr>
      <w:r w:rsidRPr="00642831">
        <w:rPr>
          <w:rStyle w:val="Refdenotaalpie"/>
          <w:rFonts w:ascii="Arial" w:hAnsi="Arial" w:cs="Arial"/>
          <w:color w:val="000000"/>
          <w:sz w:val="20"/>
        </w:rPr>
        <w:footnoteRef/>
      </w:r>
      <w:r w:rsidRPr="00642831">
        <w:rPr>
          <w:rFonts w:ascii="Arial" w:hAnsi="Arial" w:cs="Arial"/>
          <w:color w:val="000000"/>
        </w:rPr>
        <w:t xml:space="preserve"> </w:t>
      </w:r>
      <w:r w:rsidRPr="00642831">
        <w:rPr>
          <w:rFonts w:ascii="Arial" w:hAnsi="Arial" w:cs="Arial"/>
          <w:color w:val="000000"/>
          <w:lang w:val="es-CO"/>
        </w:rPr>
        <w:t>Cita original de la sentencia: «</w:t>
      </w:r>
      <w:r w:rsidRPr="00642831">
        <w:rPr>
          <w:rFonts w:ascii="Arial" w:hAnsi="Arial" w:cs="Arial"/>
          <w:color w:val="000000"/>
          <w:shd w:val="clear" w:color="auto" w:fill="FFFFFF"/>
        </w:rPr>
        <w:t>Corte Constitucional, Sentencias T-597de 1992; SU-067de 1993;</w:t>
      </w:r>
      <w:r w:rsidR="00EC6A7C" w:rsidRPr="00642831">
        <w:rPr>
          <w:rFonts w:ascii="Arial" w:hAnsi="Arial" w:cs="Arial"/>
          <w:color w:val="000000"/>
          <w:shd w:val="clear" w:color="auto" w:fill="FFFFFF"/>
        </w:rPr>
        <w:t> T</w:t>
      </w:r>
      <w:r w:rsidRPr="00642831">
        <w:rPr>
          <w:rFonts w:ascii="Arial" w:hAnsi="Arial" w:cs="Arial"/>
          <w:color w:val="000000"/>
          <w:shd w:val="clear" w:color="auto" w:fill="FFFFFF"/>
        </w:rPr>
        <w:t>-451/93; T-268/96, entre otras</w:t>
      </w:r>
      <w:r w:rsidRPr="00642831">
        <w:rPr>
          <w:rFonts w:ascii="Arial" w:hAnsi="Arial" w:cs="Arial"/>
          <w:color w:val="000000"/>
          <w:shd w:val="clear" w:color="auto" w:fill="FFFFFF"/>
          <w:lang w:val="es-CO"/>
        </w:rPr>
        <w:t>»</w:t>
      </w:r>
      <w:r w:rsidRPr="00642831">
        <w:rPr>
          <w:rFonts w:ascii="Arial" w:hAnsi="Arial" w:cs="Arial"/>
          <w:color w:val="000000"/>
          <w:shd w:val="clear" w:color="auto" w:fill="FFFFFF"/>
        </w:rPr>
        <w:t>.</w:t>
      </w:r>
    </w:p>
  </w:footnote>
  <w:footnote w:id="8">
    <w:p w14:paraId="46F395FE" w14:textId="77777777" w:rsidR="00C05B16" w:rsidRPr="00642831" w:rsidRDefault="00C05B16" w:rsidP="00EC6A7C">
      <w:pPr>
        <w:pStyle w:val="Textonotapie"/>
        <w:rPr>
          <w:rFonts w:ascii="Arial" w:hAnsi="Arial" w:cs="Arial"/>
          <w:color w:val="000000"/>
          <w:lang w:val="es-CO"/>
        </w:rPr>
      </w:pPr>
      <w:r w:rsidRPr="00642831">
        <w:rPr>
          <w:rStyle w:val="Refdenotaalpie"/>
          <w:rFonts w:ascii="Arial" w:hAnsi="Arial" w:cs="Arial"/>
          <w:color w:val="000000"/>
          <w:sz w:val="20"/>
        </w:rPr>
        <w:footnoteRef/>
      </w:r>
      <w:r w:rsidRPr="00642831">
        <w:rPr>
          <w:rFonts w:ascii="Arial" w:hAnsi="Arial" w:cs="Arial"/>
          <w:color w:val="000000"/>
        </w:rPr>
        <w:t xml:space="preserve"> </w:t>
      </w:r>
      <w:r w:rsidRPr="00642831">
        <w:rPr>
          <w:rFonts w:ascii="Arial" w:hAnsi="Arial" w:cs="Arial"/>
          <w:color w:val="000000"/>
          <w:lang w:val="es-CO"/>
        </w:rPr>
        <w:t>Cita original de la sentencia: «</w:t>
      </w:r>
      <w:r w:rsidRPr="00642831">
        <w:rPr>
          <w:rFonts w:ascii="Arial" w:hAnsi="Arial" w:cs="Arial"/>
          <w:color w:val="000000"/>
          <w:shd w:val="clear" w:color="auto" w:fill="FFFFFF"/>
        </w:rPr>
        <w:t>Ver por ejemplo la sentencia C-157/</w:t>
      </w:r>
      <w:r w:rsidR="00EC6A7C" w:rsidRPr="00642831">
        <w:rPr>
          <w:rFonts w:ascii="Arial" w:hAnsi="Arial" w:cs="Arial"/>
          <w:color w:val="000000"/>
          <w:shd w:val="clear" w:color="auto" w:fill="FFFFFF"/>
        </w:rPr>
        <w:t>98,</w:t>
      </w:r>
      <w:r w:rsidRPr="00642831">
        <w:rPr>
          <w:rFonts w:ascii="Arial" w:hAnsi="Arial" w:cs="Arial"/>
          <w:color w:val="000000"/>
          <w:shd w:val="clear" w:color="auto" w:fill="FFFFFF"/>
        </w:rPr>
        <w:t xml:space="preserve"> en la cual la Corte encontró que no se vulneraba el derecho a acceder a la justicia al exigir que la interposición de la acción de cumplimiento se hiciera ante los Tribunales Administrativos, pues la ley establecía un mecanismo para facilitar el acceso en aquellos sitios donde no hubiera Tribunales. Dijo entonces la Corte: “</w:t>
      </w:r>
      <w:r w:rsidRPr="00642831">
        <w:rPr>
          <w:rFonts w:ascii="Arial" w:hAnsi="Arial" w:cs="Arial"/>
          <w:i/>
          <w:iCs/>
          <w:color w:val="000000"/>
          <w:bdr w:val="none" w:sz="0" w:space="0" w:color="auto" w:frame="1"/>
          <w:shd w:val="clear" w:color="auto" w:fill="FFFFFF"/>
        </w:rPr>
        <w:t>No se vulnera el derecho de acceso a la justicia con la asignación de la competencia en los Tribunales Contencioso Administrativos, porque aquél se garantiza en la medida en que las personas no tienen que acudir directa y personalmente ante los respectivos tribunales a ejercer su derecho a incoar la acción de cumplimiento, porque pueden remitir, previa autenticación ante juez o notario del lugar de su residencia, la respectiva demanda, según las reglas previstas para la presentación de la demanda en el Código Contencioso Administrativo, cuando el demandante no resida en la sede del Tribunal</w:t>
      </w:r>
      <w:r w:rsidRPr="00642831">
        <w:rPr>
          <w:rFonts w:ascii="Arial" w:hAnsi="Arial" w:cs="Arial"/>
          <w:color w:val="000000"/>
          <w:shd w:val="clear" w:color="auto" w:fill="FFFFFF"/>
        </w:rPr>
        <w:t>.”</w:t>
      </w:r>
      <w:r w:rsidRPr="00642831">
        <w:rPr>
          <w:rFonts w:ascii="Arial" w:hAnsi="Arial" w:cs="Arial"/>
          <w:color w:val="000000"/>
          <w:shd w:val="clear" w:color="auto" w:fill="FFFFFF"/>
          <w:lang w:val="es-CO"/>
        </w:rPr>
        <w:t>»</w:t>
      </w:r>
    </w:p>
  </w:footnote>
  <w:footnote w:id="9">
    <w:p w14:paraId="09CE129C" w14:textId="77777777" w:rsidR="00A86338" w:rsidRPr="00642831" w:rsidRDefault="00A86338" w:rsidP="00EC6A7C">
      <w:pPr>
        <w:pStyle w:val="Textonotapie"/>
        <w:rPr>
          <w:rFonts w:ascii="Arial" w:hAnsi="Arial" w:cs="Arial"/>
          <w:color w:val="000000"/>
          <w:lang w:val="es-CO"/>
        </w:rPr>
      </w:pPr>
      <w:r w:rsidRPr="00642831">
        <w:rPr>
          <w:rStyle w:val="Refdenotaalpie"/>
          <w:rFonts w:ascii="Arial" w:hAnsi="Arial" w:cs="Arial"/>
          <w:color w:val="000000"/>
          <w:sz w:val="20"/>
        </w:rPr>
        <w:footnoteRef/>
      </w:r>
      <w:r w:rsidRPr="00642831">
        <w:rPr>
          <w:rFonts w:ascii="Arial" w:hAnsi="Arial" w:cs="Arial"/>
          <w:color w:val="000000"/>
        </w:rPr>
        <w:t xml:space="preserve"> </w:t>
      </w:r>
      <w:r w:rsidRPr="00642831">
        <w:rPr>
          <w:rFonts w:ascii="Arial" w:hAnsi="Arial" w:cs="Arial"/>
          <w:color w:val="000000"/>
          <w:lang w:val="es-CO"/>
        </w:rPr>
        <w:t>Sentencia T-799 de 2011.</w:t>
      </w:r>
    </w:p>
  </w:footnote>
  <w:footnote w:id="10">
    <w:p w14:paraId="41AC9C46" w14:textId="77777777" w:rsidR="00A86338" w:rsidRPr="00642831" w:rsidRDefault="00A86338" w:rsidP="00EC6A7C">
      <w:pPr>
        <w:pStyle w:val="Textonotapie"/>
        <w:rPr>
          <w:rFonts w:ascii="Arial" w:hAnsi="Arial" w:cs="Arial"/>
          <w:color w:val="000000"/>
          <w:lang w:val="es-CO"/>
        </w:rPr>
      </w:pPr>
      <w:r w:rsidRPr="00642831">
        <w:rPr>
          <w:rStyle w:val="Refdenotaalpie"/>
          <w:rFonts w:ascii="Arial" w:hAnsi="Arial" w:cs="Arial"/>
          <w:color w:val="000000"/>
          <w:sz w:val="20"/>
        </w:rPr>
        <w:footnoteRef/>
      </w:r>
      <w:r w:rsidRPr="00642831">
        <w:rPr>
          <w:rFonts w:ascii="Arial" w:hAnsi="Arial" w:cs="Arial"/>
          <w:color w:val="000000"/>
        </w:rPr>
        <w:t xml:space="preserve"> </w:t>
      </w:r>
      <w:r w:rsidRPr="00642831">
        <w:rPr>
          <w:rFonts w:ascii="Arial" w:hAnsi="Arial" w:cs="Arial"/>
          <w:color w:val="000000"/>
          <w:lang w:val="es-CO"/>
        </w:rPr>
        <w:t xml:space="preserve">Sentencia T-799 de 2011. </w:t>
      </w:r>
    </w:p>
  </w:footnote>
  <w:footnote w:id="11">
    <w:p w14:paraId="15F40CB6" w14:textId="77777777" w:rsidR="001B49AF" w:rsidRPr="00642831" w:rsidRDefault="001B49AF" w:rsidP="00EC6A7C">
      <w:pPr>
        <w:pStyle w:val="Textonotapie"/>
        <w:rPr>
          <w:rFonts w:ascii="Arial" w:hAnsi="Arial" w:cs="Arial"/>
          <w:color w:val="000000"/>
          <w:lang w:val="es-CO"/>
        </w:rPr>
      </w:pPr>
      <w:r w:rsidRPr="00642831">
        <w:rPr>
          <w:rStyle w:val="Refdenotaalpie"/>
          <w:rFonts w:ascii="Arial" w:hAnsi="Arial" w:cs="Arial"/>
          <w:color w:val="000000"/>
          <w:sz w:val="20"/>
        </w:rPr>
        <w:footnoteRef/>
      </w:r>
      <w:r w:rsidRPr="00642831">
        <w:rPr>
          <w:rFonts w:ascii="Arial" w:hAnsi="Arial" w:cs="Arial"/>
          <w:color w:val="000000"/>
        </w:rPr>
        <w:t xml:space="preserve"> </w:t>
      </w:r>
      <w:r w:rsidRPr="00642831">
        <w:rPr>
          <w:rFonts w:ascii="Arial" w:hAnsi="Arial" w:cs="Arial"/>
          <w:color w:val="000000"/>
          <w:lang w:val="es-CO"/>
        </w:rPr>
        <w:t xml:space="preserve">Folio 773 (vuelto) del expediente ordinario. </w:t>
      </w:r>
    </w:p>
  </w:footnote>
  <w:footnote w:id="12">
    <w:p w14:paraId="4E986F71" w14:textId="77777777" w:rsidR="001B49AF" w:rsidRPr="00642831" w:rsidRDefault="001B49AF" w:rsidP="00EC6A7C">
      <w:pPr>
        <w:pStyle w:val="Textonotapie"/>
        <w:rPr>
          <w:rFonts w:ascii="Arial" w:hAnsi="Arial" w:cs="Arial"/>
          <w:color w:val="000000"/>
        </w:rPr>
      </w:pPr>
      <w:r w:rsidRPr="00642831">
        <w:rPr>
          <w:rStyle w:val="Refdenotaalpie"/>
          <w:rFonts w:ascii="Arial" w:eastAsia="Calibri" w:hAnsi="Arial" w:cs="Arial"/>
          <w:color w:val="000000"/>
          <w:sz w:val="20"/>
        </w:rPr>
        <w:footnoteRef/>
      </w:r>
      <w:r w:rsidRPr="00642831">
        <w:rPr>
          <w:rFonts w:ascii="Arial" w:hAnsi="Arial" w:cs="Arial"/>
          <w:color w:val="000000"/>
        </w:rPr>
        <w:t xml:space="preserve"> TARUFFO, Michele. </w:t>
      </w:r>
      <w:r w:rsidRPr="00642831">
        <w:rPr>
          <w:rFonts w:ascii="Arial" w:hAnsi="Arial" w:cs="Arial"/>
          <w:i/>
          <w:color w:val="000000"/>
        </w:rPr>
        <w:t xml:space="preserve">La Prueba. </w:t>
      </w:r>
      <w:r w:rsidRPr="00642831">
        <w:rPr>
          <w:rFonts w:ascii="Arial" w:hAnsi="Arial" w:cs="Arial"/>
          <w:color w:val="000000"/>
        </w:rPr>
        <w:t xml:space="preserve">Marcial Pons 2008. Pág. 131. </w:t>
      </w:r>
    </w:p>
  </w:footnote>
  <w:footnote w:id="13">
    <w:p w14:paraId="48F82D46" w14:textId="77777777" w:rsidR="001B49AF" w:rsidRPr="00642831" w:rsidRDefault="001B49AF" w:rsidP="00EC6A7C">
      <w:pPr>
        <w:pStyle w:val="Textonotapie"/>
        <w:rPr>
          <w:rFonts w:ascii="Arial" w:hAnsi="Arial" w:cs="Arial"/>
          <w:color w:val="000000"/>
        </w:rPr>
      </w:pPr>
      <w:r w:rsidRPr="00642831">
        <w:rPr>
          <w:rStyle w:val="Refdenotaalpie"/>
          <w:rFonts w:ascii="Arial" w:eastAsia="Calibri" w:hAnsi="Arial" w:cs="Arial"/>
          <w:color w:val="000000"/>
          <w:sz w:val="20"/>
        </w:rPr>
        <w:footnoteRef/>
      </w:r>
      <w:r w:rsidRPr="00642831">
        <w:rPr>
          <w:rFonts w:ascii="Arial" w:hAnsi="Arial" w:cs="Arial"/>
          <w:color w:val="000000"/>
        </w:rPr>
        <w:t xml:space="preserve"> </w:t>
      </w:r>
      <w:proofErr w:type="spellStart"/>
      <w:r w:rsidRPr="00642831">
        <w:rPr>
          <w:rFonts w:ascii="Arial" w:hAnsi="Arial" w:cs="Arial"/>
          <w:color w:val="000000"/>
        </w:rPr>
        <w:t>Ibíd</w:t>
      </w:r>
      <w:proofErr w:type="spellEnd"/>
      <w:r w:rsidRPr="00642831">
        <w:rPr>
          <w:rFonts w:ascii="Arial" w:hAnsi="Arial" w:cs="Arial"/>
          <w:color w:val="000000"/>
        </w:rPr>
        <w:t>., p 132.</w:t>
      </w:r>
    </w:p>
  </w:footnote>
  <w:footnote w:id="14">
    <w:p w14:paraId="73EDAD7E" w14:textId="77777777" w:rsidR="001B49AF" w:rsidRPr="00642831" w:rsidRDefault="001B49AF" w:rsidP="00EC6A7C">
      <w:pPr>
        <w:pStyle w:val="Textonotapie"/>
        <w:rPr>
          <w:rFonts w:ascii="Arial" w:hAnsi="Arial" w:cs="Arial"/>
          <w:color w:val="000000"/>
          <w:lang w:val="es-CO"/>
        </w:rPr>
      </w:pPr>
      <w:r w:rsidRPr="00642831">
        <w:rPr>
          <w:rStyle w:val="Refdenotaalpie"/>
          <w:rFonts w:ascii="Arial" w:hAnsi="Arial" w:cs="Arial"/>
          <w:color w:val="000000"/>
          <w:sz w:val="20"/>
        </w:rPr>
        <w:footnoteRef/>
      </w:r>
      <w:r w:rsidRPr="00642831">
        <w:rPr>
          <w:rFonts w:ascii="Arial" w:hAnsi="Arial" w:cs="Arial"/>
          <w:color w:val="000000"/>
        </w:rPr>
        <w:t xml:space="preserve"> </w:t>
      </w:r>
      <w:r w:rsidRPr="00642831">
        <w:rPr>
          <w:rFonts w:ascii="Arial" w:hAnsi="Arial" w:cs="Arial"/>
          <w:color w:val="000000"/>
          <w:lang w:val="es-CO"/>
        </w:rPr>
        <w:t xml:space="preserve">Sentencia T 117 de 2013, </w:t>
      </w:r>
    </w:p>
  </w:footnote>
  <w:footnote w:id="15">
    <w:p w14:paraId="0025BD87" w14:textId="77777777" w:rsidR="001B49AF" w:rsidRPr="00642831" w:rsidRDefault="001B49AF" w:rsidP="00EC6A7C">
      <w:pPr>
        <w:pStyle w:val="Textonotapie"/>
        <w:rPr>
          <w:rFonts w:ascii="Arial" w:hAnsi="Arial" w:cs="Arial"/>
          <w:color w:val="000000"/>
          <w:lang w:val="es-CO"/>
        </w:rPr>
      </w:pPr>
      <w:r w:rsidRPr="00642831">
        <w:rPr>
          <w:rStyle w:val="Refdenotaalpie"/>
          <w:rFonts w:ascii="Arial" w:hAnsi="Arial" w:cs="Arial"/>
          <w:color w:val="000000"/>
          <w:sz w:val="20"/>
        </w:rPr>
        <w:footnoteRef/>
      </w:r>
      <w:r w:rsidRPr="00642831">
        <w:rPr>
          <w:rFonts w:ascii="Arial" w:hAnsi="Arial" w:cs="Arial"/>
          <w:color w:val="000000"/>
        </w:rPr>
        <w:t xml:space="preserve"> </w:t>
      </w:r>
      <w:proofErr w:type="spellStart"/>
      <w:r w:rsidRPr="00642831">
        <w:rPr>
          <w:rFonts w:ascii="Arial" w:hAnsi="Arial" w:cs="Arial"/>
          <w:color w:val="000000"/>
          <w:lang w:val="es-CO"/>
        </w:rPr>
        <w:t>Ibídem</w:t>
      </w:r>
      <w:proofErr w:type="spellEnd"/>
      <w:r w:rsidRPr="00642831">
        <w:rPr>
          <w:rFonts w:ascii="Arial" w:hAnsi="Arial" w:cs="Arial"/>
          <w:color w:val="000000"/>
          <w:lang w:val="es-CO"/>
        </w:rPr>
        <w:t xml:space="preserve">. </w:t>
      </w:r>
    </w:p>
  </w:footnote>
  <w:footnote w:id="16">
    <w:p w14:paraId="42E4962C" w14:textId="77777777" w:rsidR="001B49AF" w:rsidRPr="00642831" w:rsidRDefault="001B49AF" w:rsidP="00EC6A7C">
      <w:pPr>
        <w:pStyle w:val="Textonotapie"/>
        <w:rPr>
          <w:rFonts w:ascii="Arial" w:hAnsi="Arial" w:cs="Arial"/>
          <w:color w:val="000000"/>
          <w:lang w:val="es-CO"/>
        </w:rPr>
      </w:pPr>
      <w:r w:rsidRPr="00642831">
        <w:rPr>
          <w:rStyle w:val="Refdenotaalpie"/>
          <w:rFonts w:ascii="Arial" w:hAnsi="Arial" w:cs="Arial"/>
          <w:color w:val="000000"/>
          <w:sz w:val="20"/>
        </w:rPr>
        <w:footnoteRef/>
      </w:r>
      <w:r w:rsidRPr="00642831">
        <w:rPr>
          <w:rFonts w:ascii="Arial" w:hAnsi="Arial" w:cs="Arial"/>
          <w:color w:val="000000"/>
        </w:rPr>
        <w:t xml:space="preserve"> </w:t>
      </w:r>
      <w:r w:rsidRPr="00642831">
        <w:rPr>
          <w:rFonts w:ascii="Arial" w:hAnsi="Arial" w:cs="Arial"/>
          <w:color w:val="000000"/>
          <w:lang w:val="es-CO"/>
        </w:rPr>
        <w:t xml:space="preserve">Folio 774 del expediente ordinario. </w:t>
      </w:r>
    </w:p>
  </w:footnote>
  <w:footnote w:id="17">
    <w:p w14:paraId="5661DD51" w14:textId="77777777" w:rsidR="001B49AF" w:rsidRPr="00642831" w:rsidRDefault="001B49AF" w:rsidP="00EC6A7C">
      <w:pPr>
        <w:pStyle w:val="Textonotapie"/>
        <w:rPr>
          <w:rFonts w:ascii="Arial" w:hAnsi="Arial" w:cs="Arial"/>
          <w:color w:val="000000"/>
          <w:lang w:val="es-CO"/>
        </w:rPr>
      </w:pPr>
      <w:r w:rsidRPr="00642831">
        <w:rPr>
          <w:rStyle w:val="Refdenotaalpie"/>
          <w:rFonts w:ascii="Arial" w:hAnsi="Arial" w:cs="Arial"/>
          <w:color w:val="000000"/>
          <w:sz w:val="20"/>
        </w:rPr>
        <w:footnoteRef/>
      </w:r>
      <w:r w:rsidRPr="00642831">
        <w:rPr>
          <w:rFonts w:ascii="Arial" w:hAnsi="Arial" w:cs="Arial"/>
          <w:color w:val="000000"/>
        </w:rPr>
        <w:t xml:space="preserve"> </w:t>
      </w:r>
      <w:r w:rsidRPr="00642831">
        <w:rPr>
          <w:rFonts w:ascii="Arial" w:hAnsi="Arial" w:cs="Arial"/>
          <w:color w:val="000000"/>
          <w:lang w:val="es-CO"/>
        </w:rPr>
        <w:t xml:space="preserve">Folio 774 (vuelto) del expediente ordinario. </w:t>
      </w:r>
    </w:p>
  </w:footnote>
  <w:footnote w:id="18">
    <w:p w14:paraId="037451A8" w14:textId="77777777" w:rsidR="001B49AF" w:rsidRPr="00642831" w:rsidRDefault="001B49AF" w:rsidP="00EC6A7C">
      <w:pPr>
        <w:pStyle w:val="Textonotapie"/>
        <w:rPr>
          <w:rFonts w:ascii="Arial" w:hAnsi="Arial" w:cs="Arial"/>
          <w:color w:val="000000"/>
          <w:lang w:val="es-CO"/>
        </w:rPr>
      </w:pPr>
      <w:r w:rsidRPr="00642831">
        <w:rPr>
          <w:rStyle w:val="Refdenotaalpie"/>
          <w:rFonts w:ascii="Arial" w:hAnsi="Arial" w:cs="Arial"/>
          <w:color w:val="000000"/>
          <w:sz w:val="20"/>
        </w:rPr>
        <w:footnoteRef/>
      </w:r>
      <w:r w:rsidRPr="00642831">
        <w:rPr>
          <w:rFonts w:ascii="Arial" w:hAnsi="Arial" w:cs="Arial"/>
          <w:color w:val="000000"/>
        </w:rPr>
        <w:t xml:space="preserve"> </w:t>
      </w:r>
      <w:proofErr w:type="spellStart"/>
      <w:r w:rsidRPr="00642831">
        <w:rPr>
          <w:rFonts w:ascii="Arial" w:hAnsi="Arial" w:cs="Arial"/>
          <w:color w:val="000000"/>
          <w:lang w:val="es-CO"/>
        </w:rPr>
        <w:t>Ibídem</w:t>
      </w:r>
      <w:proofErr w:type="spellEnd"/>
      <w:r w:rsidRPr="00642831">
        <w:rPr>
          <w:rFonts w:ascii="Arial" w:hAnsi="Arial" w:cs="Arial"/>
          <w:color w:val="000000"/>
          <w:lang w:val="es-CO"/>
        </w:rPr>
        <w:t xml:space="preserve">. </w:t>
      </w:r>
    </w:p>
  </w:footnote>
  <w:footnote w:id="19">
    <w:p w14:paraId="206D5CB8" w14:textId="77777777" w:rsidR="001B49AF" w:rsidRPr="00642831" w:rsidRDefault="001B49AF" w:rsidP="00EC6A7C">
      <w:pPr>
        <w:pStyle w:val="Textonotapie"/>
        <w:rPr>
          <w:rFonts w:ascii="Arial" w:hAnsi="Arial" w:cs="Arial"/>
          <w:color w:val="000000"/>
          <w:lang w:val="es-CO"/>
        </w:rPr>
      </w:pPr>
      <w:r w:rsidRPr="00642831">
        <w:rPr>
          <w:rStyle w:val="Refdenotaalpie"/>
          <w:rFonts w:ascii="Arial" w:hAnsi="Arial" w:cs="Arial"/>
          <w:color w:val="000000"/>
          <w:sz w:val="20"/>
        </w:rPr>
        <w:footnoteRef/>
      </w:r>
      <w:r w:rsidRPr="00642831">
        <w:rPr>
          <w:rFonts w:ascii="Arial" w:hAnsi="Arial" w:cs="Arial"/>
          <w:color w:val="000000"/>
        </w:rPr>
        <w:t xml:space="preserve"> </w:t>
      </w:r>
      <w:proofErr w:type="spellStart"/>
      <w:r w:rsidRPr="00642831">
        <w:rPr>
          <w:rFonts w:ascii="Arial" w:hAnsi="Arial" w:cs="Arial"/>
          <w:color w:val="000000"/>
          <w:lang w:val="es-CO"/>
        </w:rPr>
        <w:t>Ibídem</w:t>
      </w:r>
      <w:proofErr w:type="spellEnd"/>
      <w:r w:rsidRPr="00642831">
        <w:rPr>
          <w:rFonts w:ascii="Arial" w:hAnsi="Arial" w:cs="Arial"/>
          <w:color w:val="000000"/>
          <w:lang w:val="es-CO"/>
        </w:rPr>
        <w:t xml:space="preserve">. </w:t>
      </w:r>
    </w:p>
  </w:footnote>
  <w:footnote w:id="20">
    <w:p w14:paraId="1E8ACBA6" w14:textId="77777777" w:rsidR="001B49AF" w:rsidRPr="00642831" w:rsidRDefault="001B49AF" w:rsidP="00EC6A7C">
      <w:pPr>
        <w:pStyle w:val="Textonotapie"/>
        <w:rPr>
          <w:rFonts w:ascii="Arial" w:hAnsi="Arial" w:cs="Arial"/>
          <w:color w:val="000000"/>
          <w:lang w:val="es-CO"/>
        </w:rPr>
      </w:pPr>
      <w:r w:rsidRPr="00642831">
        <w:rPr>
          <w:rStyle w:val="Refdenotaalpie"/>
          <w:rFonts w:ascii="Arial" w:hAnsi="Arial" w:cs="Arial"/>
          <w:color w:val="000000"/>
          <w:sz w:val="20"/>
        </w:rPr>
        <w:footnoteRef/>
      </w:r>
      <w:r w:rsidRPr="00642831">
        <w:rPr>
          <w:rFonts w:ascii="Arial" w:hAnsi="Arial" w:cs="Arial"/>
          <w:color w:val="000000"/>
        </w:rPr>
        <w:t xml:space="preserve"> </w:t>
      </w:r>
      <w:r w:rsidRPr="00642831">
        <w:rPr>
          <w:rFonts w:ascii="Arial" w:hAnsi="Arial" w:cs="Arial"/>
          <w:color w:val="000000"/>
          <w:lang w:val="es-CO"/>
        </w:rPr>
        <w:t xml:space="preserve">Folio 775 del expediente. </w:t>
      </w:r>
    </w:p>
  </w:footnote>
  <w:footnote w:id="21">
    <w:p w14:paraId="4DB359C0" w14:textId="77777777" w:rsidR="001B49AF" w:rsidRPr="00642831" w:rsidRDefault="001B49AF" w:rsidP="00EC6A7C">
      <w:pPr>
        <w:pStyle w:val="Textonotapie"/>
        <w:rPr>
          <w:rFonts w:ascii="Arial" w:hAnsi="Arial" w:cs="Arial"/>
          <w:color w:val="000000"/>
          <w:lang w:val="es-CO"/>
        </w:rPr>
      </w:pPr>
      <w:r w:rsidRPr="00642831">
        <w:rPr>
          <w:rStyle w:val="Refdenotaalpie"/>
          <w:rFonts w:ascii="Arial" w:hAnsi="Arial" w:cs="Arial"/>
          <w:color w:val="000000"/>
          <w:sz w:val="20"/>
        </w:rPr>
        <w:footnoteRef/>
      </w:r>
      <w:r w:rsidRPr="00642831">
        <w:rPr>
          <w:rFonts w:ascii="Arial" w:hAnsi="Arial" w:cs="Arial"/>
          <w:color w:val="000000"/>
        </w:rPr>
        <w:t xml:space="preserve"> </w:t>
      </w:r>
      <w:proofErr w:type="spellStart"/>
      <w:r w:rsidRPr="00642831">
        <w:rPr>
          <w:rFonts w:ascii="Arial" w:hAnsi="Arial" w:cs="Arial"/>
          <w:color w:val="000000"/>
          <w:lang w:val="es-CO"/>
        </w:rPr>
        <w:t>Ibídem</w:t>
      </w:r>
      <w:proofErr w:type="spellEnd"/>
      <w:r w:rsidRPr="00642831">
        <w:rPr>
          <w:rFonts w:ascii="Arial" w:hAnsi="Arial" w:cs="Arial"/>
          <w:color w:val="000000"/>
          <w:lang w:val="es-CO"/>
        </w:rPr>
        <w:t xml:space="preserve">. </w:t>
      </w:r>
    </w:p>
  </w:footnote>
  <w:footnote w:id="22">
    <w:p w14:paraId="7486E84C" w14:textId="77777777" w:rsidR="003E758B" w:rsidRPr="00642831" w:rsidRDefault="003E758B" w:rsidP="00EC6A7C">
      <w:pPr>
        <w:pStyle w:val="Textonotapie"/>
        <w:rPr>
          <w:rFonts w:ascii="Arial" w:hAnsi="Arial" w:cs="Arial"/>
          <w:lang w:val="es-CO"/>
        </w:rPr>
      </w:pPr>
      <w:r w:rsidRPr="00642831">
        <w:rPr>
          <w:rStyle w:val="Refdenotaalpie"/>
          <w:rFonts w:ascii="Arial" w:hAnsi="Arial" w:cs="Arial"/>
          <w:sz w:val="20"/>
        </w:rPr>
        <w:footnoteRef/>
      </w:r>
      <w:r w:rsidRPr="00642831">
        <w:rPr>
          <w:rFonts w:ascii="Arial" w:hAnsi="Arial" w:cs="Arial"/>
        </w:rPr>
        <w:t xml:space="preserve"> </w:t>
      </w:r>
      <w:r w:rsidRPr="00642831">
        <w:rPr>
          <w:rFonts w:ascii="Arial" w:hAnsi="Arial" w:cs="Arial"/>
          <w:lang w:val="es-CO"/>
        </w:rPr>
        <w:t xml:space="preserve">Folio 775 y vuelto del proceso ordinario. </w:t>
      </w:r>
    </w:p>
  </w:footnote>
  <w:footnote w:id="23">
    <w:p w14:paraId="768AABBC" w14:textId="77777777" w:rsidR="001B49AF" w:rsidRPr="00642831" w:rsidRDefault="001B49AF" w:rsidP="00EC6A7C">
      <w:pPr>
        <w:pStyle w:val="Textonotapie"/>
        <w:rPr>
          <w:rFonts w:ascii="Arial" w:hAnsi="Arial" w:cs="Arial"/>
          <w:color w:val="000000"/>
          <w:lang w:val="es-CO"/>
        </w:rPr>
      </w:pPr>
      <w:r w:rsidRPr="00642831">
        <w:rPr>
          <w:rStyle w:val="Refdenotaalpie"/>
          <w:rFonts w:ascii="Arial" w:hAnsi="Arial" w:cs="Arial"/>
          <w:color w:val="000000"/>
          <w:sz w:val="20"/>
        </w:rPr>
        <w:footnoteRef/>
      </w:r>
      <w:r w:rsidRPr="00642831">
        <w:rPr>
          <w:rFonts w:ascii="Arial" w:hAnsi="Arial" w:cs="Arial"/>
          <w:color w:val="000000"/>
        </w:rPr>
        <w:t xml:space="preserve"> </w:t>
      </w:r>
      <w:r w:rsidRPr="00642831">
        <w:rPr>
          <w:rFonts w:ascii="Arial" w:hAnsi="Arial" w:cs="Arial"/>
          <w:color w:val="000000"/>
          <w:lang w:val="es-CO"/>
        </w:rPr>
        <w:t xml:space="preserve">Folio 776 del expediente ordinario. </w:t>
      </w:r>
    </w:p>
  </w:footnote>
  <w:footnote w:id="24">
    <w:p w14:paraId="40EB3C84" w14:textId="77777777" w:rsidR="001B49AF" w:rsidRPr="00642831" w:rsidRDefault="001B49AF" w:rsidP="00EC6A7C">
      <w:pPr>
        <w:pStyle w:val="Textonotapie"/>
        <w:rPr>
          <w:rFonts w:ascii="Arial" w:hAnsi="Arial" w:cs="Arial"/>
          <w:color w:val="000000"/>
          <w:lang w:val="es-CO"/>
        </w:rPr>
      </w:pPr>
      <w:r w:rsidRPr="00642831">
        <w:rPr>
          <w:rStyle w:val="Refdenotaalpie"/>
          <w:rFonts w:ascii="Arial" w:hAnsi="Arial" w:cs="Arial"/>
          <w:color w:val="000000"/>
          <w:sz w:val="20"/>
        </w:rPr>
        <w:footnoteRef/>
      </w:r>
      <w:r w:rsidRPr="00642831">
        <w:rPr>
          <w:rFonts w:ascii="Arial" w:hAnsi="Arial" w:cs="Arial"/>
          <w:color w:val="000000"/>
        </w:rPr>
        <w:t xml:space="preserve"> </w:t>
      </w:r>
      <w:r w:rsidRPr="00642831">
        <w:rPr>
          <w:rFonts w:ascii="Arial" w:hAnsi="Arial" w:cs="Arial"/>
          <w:color w:val="000000"/>
          <w:lang w:val="es-CO"/>
        </w:rPr>
        <w:t xml:space="preserve">Sentencia C-202 de 2005.  </w:t>
      </w:r>
    </w:p>
  </w:footnote>
  <w:footnote w:id="25">
    <w:p w14:paraId="1B7D591D" w14:textId="77777777" w:rsidR="001B49AF" w:rsidRPr="00642831" w:rsidRDefault="001B49AF" w:rsidP="00EC6A7C">
      <w:pPr>
        <w:autoSpaceDE w:val="0"/>
        <w:autoSpaceDN w:val="0"/>
        <w:adjustRightInd w:val="0"/>
        <w:rPr>
          <w:rFonts w:ascii="Arial" w:hAnsi="Arial" w:cs="Arial"/>
          <w:color w:val="000000"/>
          <w:sz w:val="20"/>
          <w:szCs w:val="20"/>
          <w:lang w:val="es-CO"/>
        </w:rPr>
      </w:pPr>
      <w:r w:rsidRPr="00642831">
        <w:rPr>
          <w:rStyle w:val="Refdenotaalpie"/>
          <w:rFonts w:ascii="Arial" w:hAnsi="Arial" w:cs="Arial"/>
          <w:color w:val="000000"/>
          <w:sz w:val="20"/>
          <w:szCs w:val="20"/>
        </w:rPr>
        <w:footnoteRef/>
      </w:r>
      <w:r w:rsidRPr="00642831">
        <w:rPr>
          <w:rFonts w:ascii="Arial" w:hAnsi="Arial" w:cs="Arial"/>
          <w:color w:val="000000"/>
          <w:sz w:val="20"/>
          <w:szCs w:val="20"/>
        </w:rPr>
        <w:t xml:space="preserve"> Sentencia de unificación del 19 de noviembre de 2012, dictada por la Sala Plena de la Sección Tercera del Consejo de Estado, expediente </w:t>
      </w:r>
      <w:proofErr w:type="spellStart"/>
      <w:r w:rsidRPr="00642831">
        <w:rPr>
          <w:rFonts w:ascii="Arial" w:hAnsi="Arial" w:cs="Arial"/>
          <w:color w:val="000000"/>
          <w:sz w:val="20"/>
          <w:szCs w:val="20"/>
        </w:rPr>
        <w:t>N°</w:t>
      </w:r>
      <w:proofErr w:type="spellEnd"/>
      <w:r w:rsidRPr="00642831">
        <w:rPr>
          <w:rFonts w:ascii="Arial" w:hAnsi="Arial" w:cs="Arial"/>
          <w:color w:val="000000"/>
          <w:sz w:val="20"/>
          <w:szCs w:val="20"/>
        </w:rPr>
        <w:t xml:space="preserve">. 24.897, M.P. Jaime Orlando Santofimio Gamboa. </w:t>
      </w:r>
    </w:p>
  </w:footnote>
  <w:footnote w:id="26">
    <w:p w14:paraId="32D07A1D" w14:textId="77777777" w:rsidR="00476AB2" w:rsidRPr="00642831" w:rsidRDefault="001B49AF" w:rsidP="00EC6A7C">
      <w:pPr>
        <w:pStyle w:val="Textonotapie"/>
        <w:rPr>
          <w:rFonts w:ascii="Arial" w:hAnsi="Arial" w:cs="Arial"/>
          <w:color w:val="000000"/>
          <w:lang w:val="es-CO"/>
        </w:rPr>
      </w:pPr>
      <w:r w:rsidRPr="00642831">
        <w:rPr>
          <w:rStyle w:val="Refdenotaalpie"/>
          <w:rFonts w:ascii="Arial" w:hAnsi="Arial" w:cs="Arial"/>
          <w:color w:val="000000"/>
          <w:sz w:val="20"/>
        </w:rPr>
        <w:footnoteRef/>
      </w:r>
      <w:r w:rsidRPr="00642831">
        <w:rPr>
          <w:rFonts w:ascii="Arial" w:hAnsi="Arial" w:cs="Arial"/>
          <w:color w:val="000000"/>
        </w:rPr>
        <w:t xml:space="preserve"> “(…) la Sala empieza por precisar que, por regla general, el enriquecimiento sin causa,  y en consecuencia la </w:t>
      </w:r>
      <w:proofErr w:type="spellStart"/>
      <w:r w:rsidRPr="00642831">
        <w:rPr>
          <w:rFonts w:ascii="Arial" w:hAnsi="Arial" w:cs="Arial"/>
          <w:color w:val="000000"/>
        </w:rPr>
        <w:t>actio</w:t>
      </w:r>
      <w:proofErr w:type="spellEnd"/>
      <w:r w:rsidRPr="00642831">
        <w:rPr>
          <w:rFonts w:ascii="Arial" w:hAnsi="Arial" w:cs="Arial"/>
          <w:color w:val="000000"/>
        </w:rPr>
        <w:t xml:space="preserve"> de in rem verso (…) no pueden ser invocados para reclamar el pago de obras, entrega de bienes o servicios ejecutados sin la previa celebración de un contrato estatal que los justifique por la elemental pero suficiente  razón consistente en que la </w:t>
      </w:r>
      <w:proofErr w:type="spellStart"/>
      <w:r w:rsidRPr="00642831">
        <w:rPr>
          <w:rFonts w:ascii="Arial" w:hAnsi="Arial" w:cs="Arial"/>
          <w:color w:val="000000"/>
        </w:rPr>
        <w:t>actio</w:t>
      </w:r>
      <w:proofErr w:type="spellEnd"/>
      <w:r w:rsidRPr="00642831">
        <w:rPr>
          <w:rFonts w:ascii="Arial" w:hAnsi="Arial" w:cs="Arial"/>
          <w:color w:val="000000"/>
        </w:rPr>
        <w:t xml:space="preserve"> de in rem verso requiere para su procedencia, entre otros requisitos, que con ella no se pretenda desconocer o contrariar una norma imperativa o </w:t>
      </w:r>
      <w:proofErr w:type="spellStart"/>
      <w:r w:rsidRPr="00642831">
        <w:rPr>
          <w:rFonts w:ascii="Arial" w:hAnsi="Arial" w:cs="Arial"/>
          <w:color w:val="000000"/>
        </w:rPr>
        <w:t>cogente</w:t>
      </w:r>
      <w:proofErr w:type="spellEnd"/>
      <w:r w:rsidRPr="00642831">
        <w:rPr>
          <w:rFonts w:ascii="Arial" w:hAnsi="Arial" w:cs="Arial"/>
          <w:color w:val="000000"/>
        </w:rPr>
        <w:t xml:space="preserve">. </w:t>
      </w:r>
      <w:r w:rsidR="00476AB2" w:rsidRPr="00642831">
        <w:rPr>
          <w:rFonts w:ascii="Arial" w:hAnsi="Arial" w:cs="Arial"/>
          <w:color w:val="000000"/>
          <w:lang w:val="es-CO"/>
        </w:rPr>
        <w:t>(…)</w:t>
      </w:r>
    </w:p>
    <w:p w14:paraId="02E97671" w14:textId="77777777" w:rsidR="00476AB2" w:rsidRPr="00642831" w:rsidRDefault="001B49AF" w:rsidP="00EC6A7C">
      <w:pPr>
        <w:pStyle w:val="Textonotapie"/>
        <w:rPr>
          <w:rFonts w:ascii="Arial" w:hAnsi="Arial" w:cs="Arial"/>
          <w:color w:val="000000"/>
          <w:lang w:val="es-CO"/>
        </w:rPr>
      </w:pPr>
      <w:r w:rsidRPr="00642831">
        <w:rPr>
          <w:rFonts w:ascii="Arial" w:hAnsi="Arial" w:cs="Arial"/>
          <w:color w:val="000000"/>
        </w:rPr>
        <w:t xml:space="preserve">Pues bien, de acuerdo con lo dispuesto en los artículos 39  y  41 de la Ley 80 de 1993 los contratos estatales son solemnes puesto que su perfeccionamiento exige la solemnidad del escrito, excepción hecha de ciertos eventos de urgencia manifiesta en que el contrato se torna consensual ante la imposibilidad de cumplir con la exigencia de  la solemnidad del escrito (Ley 80 de 1993 artículo 41 inciso 4º). En los demás casos de urgencia manifiesta, que no queden comprendidos en ésta hipótesis, la solemnidad del escrito se sujeta a la regla general expuesta. </w:t>
      </w:r>
      <w:r w:rsidR="00476AB2" w:rsidRPr="00642831">
        <w:rPr>
          <w:rFonts w:ascii="Arial" w:hAnsi="Arial" w:cs="Arial"/>
          <w:color w:val="000000"/>
          <w:lang w:val="es-CO"/>
        </w:rPr>
        <w:t>(…)</w:t>
      </w:r>
    </w:p>
    <w:p w14:paraId="5171809A" w14:textId="77777777" w:rsidR="00476AB2" w:rsidRPr="00642831" w:rsidRDefault="001B49AF" w:rsidP="00EC6A7C">
      <w:pPr>
        <w:pStyle w:val="Textonotapie"/>
        <w:rPr>
          <w:rFonts w:ascii="Arial" w:hAnsi="Arial" w:cs="Arial"/>
          <w:color w:val="000000"/>
          <w:lang w:val="es-CO"/>
        </w:rPr>
      </w:pPr>
      <w:r w:rsidRPr="00642831">
        <w:rPr>
          <w:rFonts w:ascii="Arial" w:hAnsi="Arial" w:cs="Arial"/>
          <w:color w:val="000000"/>
        </w:rPr>
        <w:t xml:space="preserve">No se olvide que las normas que exigen solemnidades constitutivas son de orden público e imperativas y por lo tanto inmodificables e inderogables por el querer de sus destinatarios. </w:t>
      </w:r>
      <w:r w:rsidR="00476AB2" w:rsidRPr="00642831">
        <w:rPr>
          <w:rFonts w:ascii="Arial" w:hAnsi="Arial" w:cs="Arial"/>
          <w:color w:val="000000"/>
          <w:lang w:val="es-CO"/>
        </w:rPr>
        <w:t>(…)</w:t>
      </w:r>
    </w:p>
    <w:p w14:paraId="0A5F6C97" w14:textId="77777777" w:rsidR="00476AB2" w:rsidRPr="00642831" w:rsidRDefault="001B49AF" w:rsidP="00EC6A7C">
      <w:pPr>
        <w:pStyle w:val="Textonotapie"/>
        <w:rPr>
          <w:rFonts w:ascii="Arial" w:hAnsi="Arial" w:cs="Arial"/>
          <w:color w:val="000000"/>
          <w:lang w:val="es-CO"/>
        </w:rPr>
      </w:pPr>
      <w:r w:rsidRPr="00642831">
        <w:rPr>
          <w:rFonts w:ascii="Arial" w:hAnsi="Arial" w:cs="Arial"/>
          <w:color w:val="000000"/>
        </w:rPr>
        <w:t>En consecuencia, sus destinatarios, es decir todos los que pretendan intervenir en la celebración de un contrato estatal, tienen el deber de acatar la exigencia legal del escrito para perfeccionar un negocio jurídico de esa estirpe sin que sea admisible la ignorancia del precepto como excusa para su inobservancia.</w:t>
      </w:r>
      <w:r w:rsidR="00476AB2" w:rsidRPr="00642831">
        <w:rPr>
          <w:rFonts w:ascii="Arial" w:hAnsi="Arial" w:cs="Arial"/>
          <w:color w:val="000000"/>
          <w:lang w:val="es-CO"/>
        </w:rPr>
        <w:t xml:space="preserve"> (…)</w:t>
      </w:r>
    </w:p>
    <w:p w14:paraId="09D5A2C4" w14:textId="77777777" w:rsidR="00476AB2" w:rsidRPr="00642831" w:rsidRDefault="001B49AF" w:rsidP="00EC6A7C">
      <w:pPr>
        <w:pStyle w:val="Textonotapie"/>
        <w:rPr>
          <w:rFonts w:ascii="Arial" w:hAnsi="Arial" w:cs="Arial"/>
          <w:color w:val="000000"/>
          <w:lang w:val="es-CO"/>
        </w:rPr>
      </w:pPr>
      <w:r w:rsidRPr="00642831">
        <w:rPr>
          <w:rFonts w:ascii="Arial" w:hAnsi="Arial" w:cs="Arial"/>
          <w:color w:val="000000"/>
        </w:rPr>
        <w:t xml:space="preserve">Y si se invoca la buena fe para justificar la procedencia de la </w:t>
      </w:r>
      <w:proofErr w:type="spellStart"/>
      <w:r w:rsidRPr="00642831">
        <w:rPr>
          <w:rFonts w:ascii="Arial" w:hAnsi="Arial" w:cs="Arial"/>
          <w:color w:val="000000"/>
        </w:rPr>
        <w:t>actio</w:t>
      </w:r>
      <w:proofErr w:type="spellEnd"/>
      <w:r w:rsidRPr="00642831">
        <w:rPr>
          <w:rFonts w:ascii="Arial" w:hAnsi="Arial" w:cs="Arial"/>
          <w:color w:val="000000"/>
        </w:rPr>
        <w:t xml:space="preserve"> de in rem verso en los casos en que se han ejecutado obras o prestado servicios al margen de una relación contractual, como lo hace la tesis intermedia, tal justificación se derrumba con sólo percatarse de que la buena fe que debe guiar y que debe campear en todo el </w:t>
      </w:r>
      <w:proofErr w:type="spellStart"/>
      <w:r w:rsidRPr="00642831">
        <w:rPr>
          <w:rFonts w:ascii="Arial" w:hAnsi="Arial" w:cs="Arial"/>
          <w:color w:val="000000"/>
        </w:rPr>
        <w:t>iter</w:t>
      </w:r>
      <w:proofErr w:type="spellEnd"/>
      <w:r w:rsidRPr="00642831">
        <w:rPr>
          <w:rFonts w:ascii="Arial" w:hAnsi="Arial" w:cs="Arial"/>
          <w:color w:val="000000"/>
        </w:rPr>
        <w:t xml:space="preserve"> contractual, es decir antes, durante y después del contrato, es la buena fe objetiva y no la subjetiva. </w:t>
      </w:r>
      <w:r w:rsidR="00476AB2" w:rsidRPr="00642831">
        <w:rPr>
          <w:rFonts w:ascii="Arial" w:hAnsi="Arial" w:cs="Arial"/>
          <w:color w:val="000000"/>
          <w:lang w:val="es-CO"/>
        </w:rPr>
        <w:t>(…)</w:t>
      </w:r>
    </w:p>
    <w:p w14:paraId="63D1FEBC" w14:textId="77777777" w:rsidR="001B49AF" w:rsidRPr="00642831" w:rsidRDefault="001B49AF" w:rsidP="00EC6A7C">
      <w:pPr>
        <w:pStyle w:val="Textonotapie"/>
        <w:rPr>
          <w:rFonts w:ascii="Arial" w:hAnsi="Arial" w:cs="Arial"/>
          <w:color w:val="000000"/>
        </w:rPr>
      </w:pPr>
      <w:r w:rsidRPr="00642831">
        <w:rPr>
          <w:rFonts w:ascii="Arial" w:hAnsi="Arial" w:cs="Arial"/>
          <w:color w:val="000000"/>
        </w:rPr>
        <w:t xml:space="preserve">En efecto, la buena fe subjetiva es un estado de convencimiento o creencia de estar actuando conforme a derecho, que es propia de las situaciones posesorias, y que resulta impropia en materia de las distintas fases negociales pues en estas lo relevante no es la creencia o el convencimiento del sujeto sino su efectivo y real comportamiento ajustado al ordenamiento y a los postulados de la lealtad y la corrección, en lo que se conoce como buena fe objetiva”.  </w:t>
      </w:r>
      <w:r w:rsidR="00476AB2" w:rsidRPr="00642831">
        <w:rPr>
          <w:rFonts w:ascii="Arial" w:hAnsi="Arial" w:cs="Arial"/>
          <w:color w:val="000000"/>
        </w:rPr>
        <w:t xml:space="preserve">Sentencia de unificación del 19 de noviembre de 2012, dictada por la Sala Plena de la Sección Tercera del Consejo de Estado, expediente </w:t>
      </w:r>
      <w:proofErr w:type="spellStart"/>
      <w:r w:rsidR="00476AB2" w:rsidRPr="00642831">
        <w:rPr>
          <w:rFonts w:ascii="Arial" w:hAnsi="Arial" w:cs="Arial"/>
          <w:color w:val="000000"/>
        </w:rPr>
        <w:t>N°</w:t>
      </w:r>
      <w:proofErr w:type="spellEnd"/>
      <w:r w:rsidR="00476AB2" w:rsidRPr="00642831">
        <w:rPr>
          <w:rFonts w:ascii="Arial" w:hAnsi="Arial" w:cs="Arial"/>
          <w:color w:val="000000"/>
        </w:rPr>
        <w:t>. 24.897, M.P. Jaime Orlando Santofimio Gamboa.</w:t>
      </w:r>
    </w:p>
    <w:p w14:paraId="0A2661B8" w14:textId="77777777" w:rsidR="001B49AF" w:rsidRPr="00642831" w:rsidRDefault="001B49AF" w:rsidP="00EC6A7C">
      <w:pPr>
        <w:pStyle w:val="Textonotapie"/>
        <w:rPr>
          <w:rFonts w:ascii="Arial" w:hAnsi="Arial" w:cs="Arial"/>
          <w:color w:val="000000"/>
        </w:rPr>
      </w:pPr>
    </w:p>
  </w:footnote>
  <w:footnote w:id="27">
    <w:p w14:paraId="7D7F8723" w14:textId="77777777" w:rsidR="00EC6A7C" w:rsidRPr="00642831" w:rsidRDefault="00EC6A7C" w:rsidP="00EC6A7C">
      <w:pPr>
        <w:pStyle w:val="Textonotapie"/>
        <w:rPr>
          <w:rFonts w:ascii="Arial" w:hAnsi="Arial" w:cs="Arial"/>
          <w:lang w:val="es-CO"/>
        </w:rPr>
      </w:pPr>
      <w:r w:rsidRPr="00642831">
        <w:rPr>
          <w:rStyle w:val="Refdenotaalpie"/>
          <w:rFonts w:ascii="Arial" w:hAnsi="Arial" w:cs="Arial"/>
          <w:sz w:val="20"/>
        </w:rPr>
        <w:footnoteRef/>
      </w:r>
      <w:r w:rsidRPr="00642831">
        <w:rPr>
          <w:rFonts w:ascii="Arial" w:hAnsi="Arial" w:cs="Arial"/>
        </w:rPr>
        <w:t xml:space="preserve"> </w:t>
      </w:r>
      <w:r w:rsidRPr="00642831">
        <w:rPr>
          <w:rFonts w:ascii="Arial" w:hAnsi="Arial" w:cs="Arial"/>
          <w:lang w:val="es-CO"/>
        </w:rPr>
        <w:t xml:space="preserve">Folio 775 (vuelto) y 776 del proceso ordinario.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D74DF"/>
    <w:multiLevelType w:val="multilevel"/>
    <w:tmpl w:val="903CC68C"/>
    <w:lvl w:ilvl="0">
      <w:start w:val="1"/>
      <w:numFmt w:val="decimal"/>
      <w:lvlText w:val="%1."/>
      <w:lvlJc w:val="left"/>
      <w:pPr>
        <w:ind w:left="927" w:hanging="360"/>
      </w:pPr>
      <w:rPr>
        <w:rFonts w:ascii="Arial" w:eastAsia="Verdana" w:hAnsi="Arial" w:cs="Arial" w:hint="default"/>
        <w:b/>
        <w:sz w:val="24"/>
        <w:szCs w:val="24"/>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 w15:restartNumberingAfterBreak="0">
    <w:nsid w:val="1FB345B7"/>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3EBA3084"/>
    <w:multiLevelType w:val="multilevel"/>
    <w:tmpl w:val="897CCB34"/>
    <w:lvl w:ilvl="0">
      <w:start w:val="1"/>
      <w:numFmt w:val="decimal"/>
      <w:lvlText w:val="%1."/>
      <w:lvlJc w:val="left"/>
      <w:pPr>
        <w:ind w:left="1068" w:hanging="360"/>
      </w:pPr>
      <w:rPr>
        <w:rFonts w:ascii="Verdana" w:hAnsi="Verdana" w:hint="default"/>
        <w:b/>
        <w:vertAlign w:val="baseline"/>
      </w:rPr>
    </w:lvl>
    <w:lvl w:ilvl="1">
      <w:start w:val="2"/>
      <w:numFmt w:val="decimal"/>
      <w:lvlText w:val="%1.%2"/>
      <w:lvlJc w:val="left"/>
      <w:pPr>
        <w:ind w:left="1158" w:hanging="450"/>
      </w:pPr>
      <w:rPr>
        <w:vertAlign w:val="baseline"/>
      </w:rPr>
    </w:lvl>
    <w:lvl w:ilvl="2">
      <w:start w:val="1"/>
      <w:numFmt w:val="decimal"/>
      <w:lvlText w:val="%1.%2.%3"/>
      <w:lvlJc w:val="left"/>
      <w:pPr>
        <w:ind w:left="1428" w:hanging="719"/>
      </w:pPr>
      <w:rPr>
        <w:vertAlign w:val="baseline"/>
      </w:rPr>
    </w:lvl>
    <w:lvl w:ilvl="3">
      <w:start w:val="1"/>
      <w:numFmt w:val="decimal"/>
      <w:lvlText w:val="%1.%2.%3.%4"/>
      <w:lvlJc w:val="left"/>
      <w:pPr>
        <w:ind w:left="1788" w:hanging="1080"/>
      </w:pPr>
      <w:rPr>
        <w:vertAlign w:val="baseline"/>
      </w:rPr>
    </w:lvl>
    <w:lvl w:ilvl="4">
      <w:start w:val="1"/>
      <w:numFmt w:val="decimal"/>
      <w:lvlText w:val="%1.%2.%3.%4.%5"/>
      <w:lvlJc w:val="left"/>
      <w:pPr>
        <w:ind w:left="1788" w:hanging="1080"/>
      </w:pPr>
      <w:rPr>
        <w:vertAlign w:val="baseline"/>
      </w:rPr>
    </w:lvl>
    <w:lvl w:ilvl="5">
      <w:start w:val="1"/>
      <w:numFmt w:val="decimal"/>
      <w:lvlText w:val="%1.%2.%3.%4.%5.%6"/>
      <w:lvlJc w:val="left"/>
      <w:pPr>
        <w:ind w:left="2148" w:hanging="1440"/>
      </w:pPr>
      <w:rPr>
        <w:vertAlign w:val="baseline"/>
      </w:rPr>
    </w:lvl>
    <w:lvl w:ilvl="6">
      <w:start w:val="1"/>
      <w:numFmt w:val="decimal"/>
      <w:lvlText w:val="%1.%2.%3.%4.%5.%6.%7"/>
      <w:lvlJc w:val="left"/>
      <w:pPr>
        <w:ind w:left="2148" w:hanging="1440"/>
      </w:pPr>
      <w:rPr>
        <w:vertAlign w:val="baseline"/>
      </w:rPr>
    </w:lvl>
    <w:lvl w:ilvl="7">
      <w:start w:val="1"/>
      <w:numFmt w:val="decimal"/>
      <w:lvlText w:val="%1.%2.%3.%4.%5.%6.%7.%8"/>
      <w:lvlJc w:val="left"/>
      <w:pPr>
        <w:ind w:left="2508" w:hanging="1800"/>
      </w:pPr>
      <w:rPr>
        <w:vertAlign w:val="baseline"/>
      </w:rPr>
    </w:lvl>
    <w:lvl w:ilvl="8">
      <w:start w:val="1"/>
      <w:numFmt w:val="decimal"/>
      <w:lvlText w:val="%1.%2.%3.%4.%5.%6.%7.%8.%9"/>
      <w:lvlJc w:val="left"/>
      <w:pPr>
        <w:ind w:left="2508" w:hanging="1800"/>
      </w:pPr>
      <w:rPr>
        <w:vertAlign w:val="baseline"/>
      </w:rPr>
    </w:lvl>
  </w:abstractNum>
  <w:abstractNum w:abstractNumId="3" w15:restartNumberingAfterBreak="0">
    <w:nsid w:val="4FD30EFC"/>
    <w:multiLevelType w:val="hybridMultilevel"/>
    <w:tmpl w:val="67DCD70C"/>
    <w:lvl w:ilvl="0" w:tplc="C82CFD3A">
      <w:start w:val="1"/>
      <w:numFmt w:val="lowerLetter"/>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4" w15:restartNumberingAfterBreak="0">
    <w:nsid w:val="54D37847"/>
    <w:multiLevelType w:val="multilevel"/>
    <w:tmpl w:val="AACCC1F2"/>
    <w:lvl w:ilvl="0">
      <w:start w:val="3"/>
      <w:numFmt w:val="decimal"/>
      <w:lvlText w:val="%1."/>
      <w:lvlJc w:val="left"/>
      <w:pPr>
        <w:ind w:left="927"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2007" w:hanging="144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3087" w:hanging="2520"/>
      </w:pPr>
      <w:rPr>
        <w:rFonts w:hint="default"/>
      </w:rPr>
    </w:lvl>
    <w:lvl w:ilvl="8">
      <w:start w:val="1"/>
      <w:numFmt w:val="decimal"/>
      <w:isLgl/>
      <w:lvlText w:val="%1.%2.%3.%4.%5.%6.%7.%8.%9."/>
      <w:lvlJc w:val="left"/>
      <w:pPr>
        <w:ind w:left="3447" w:hanging="2880"/>
      </w:pPr>
      <w:rPr>
        <w:rFont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54"/>
    <w:rsid w:val="00007633"/>
    <w:rsid w:val="00012568"/>
    <w:rsid w:val="00017AB9"/>
    <w:rsid w:val="00031755"/>
    <w:rsid w:val="00066C44"/>
    <w:rsid w:val="00072685"/>
    <w:rsid w:val="000A3E0F"/>
    <w:rsid w:val="000B391A"/>
    <w:rsid w:val="000D5EA4"/>
    <w:rsid w:val="000E3F3B"/>
    <w:rsid w:val="000E65AD"/>
    <w:rsid w:val="000F22F2"/>
    <w:rsid w:val="0010200F"/>
    <w:rsid w:val="001108E4"/>
    <w:rsid w:val="00116F80"/>
    <w:rsid w:val="001251C5"/>
    <w:rsid w:val="00142FFF"/>
    <w:rsid w:val="00152829"/>
    <w:rsid w:val="001711C7"/>
    <w:rsid w:val="00182C56"/>
    <w:rsid w:val="001B49AF"/>
    <w:rsid w:val="001C6923"/>
    <w:rsid w:val="001F5DD5"/>
    <w:rsid w:val="001F7E00"/>
    <w:rsid w:val="00211D49"/>
    <w:rsid w:val="00217F7D"/>
    <w:rsid w:val="002827CB"/>
    <w:rsid w:val="002839E5"/>
    <w:rsid w:val="002913AE"/>
    <w:rsid w:val="002B1D13"/>
    <w:rsid w:val="002B2525"/>
    <w:rsid w:val="002C3AA2"/>
    <w:rsid w:val="002C6376"/>
    <w:rsid w:val="002D4554"/>
    <w:rsid w:val="002E32FB"/>
    <w:rsid w:val="002E614D"/>
    <w:rsid w:val="002F3B23"/>
    <w:rsid w:val="00333237"/>
    <w:rsid w:val="003363C3"/>
    <w:rsid w:val="0034075B"/>
    <w:rsid w:val="00344EE9"/>
    <w:rsid w:val="0035586B"/>
    <w:rsid w:val="003925B9"/>
    <w:rsid w:val="003A4F32"/>
    <w:rsid w:val="003A5394"/>
    <w:rsid w:val="003E5DCF"/>
    <w:rsid w:val="003E758B"/>
    <w:rsid w:val="003F5256"/>
    <w:rsid w:val="004030D7"/>
    <w:rsid w:val="00405BF5"/>
    <w:rsid w:val="00411004"/>
    <w:rsid w:val="00427821"/>
    <w:rsid w:val="00431349"/>
    <w:rsid w:val="0047015F"/>
    <w:rsid w:val="00476AB2"/>
    <w:rsid w:val="00492AE2"/>
    <w:rsid w:val="004A60FB"/>
    <w:rsid w:val="004B4F20"/>
    <w:rsid w:val="00502538"/>
    <w:rsid w:val="005267A8"/>
    <w:rsid w:val="0052689C"/>
    <w:rsid w:val="00527D24"/>
    <w:rsid w:val="005413F6"/>
    <w:rsid w:val="005459AC"/>
    <w:rsid w:val="005746C2"/>
    <w:rsid w:val="00586C0E"/>
    <w:rsid w:val="005C28BB"/>
    <w:rsid w:val="005D52B4"/>
    <w:rsid w:val="005D5494"/>
    <w:rsid w:val="006009E9"/>
    <w:rsid w:val="00603820"/>
    <w:rsid w:val="00616F96"/>
    <w:rsid w:val="0062423F"/>
    <w:rsid w:val="006320D3"/>
    <w:rsid w:val="00637FD8"/>
    <w:rsid w:val="00642831"/>
    <w:rsid w:val="00653671"/>
    <w:rsid w:val="00667B16"/>
    <w:rsid w:val="006700DB"/>
    <w:rsid w:val="006709AF"/>
    <w:rsid w:val="00676E23"/>
    <w:rsid w:val="0068286A"/>
    <w:rsid w:val="006835DB"/>
    <w:rsid w:val="006A056A"/>
    <w:rsid w:val="006A46F8"/>
    <w:rsid w:val="006C2F4C"/>
    <w:rsid w:val="00702176"/>
    <w:rsid w:val="007045F6"/>
    <w:rsid w:val="007109B4"/>
    <w:rsid w:val="0071583D"/>
    <w:rsid w:val="00727D6B"/>
    <w:rsid w:val="00740E56"/>
    <w:rsid w:val="00753B23"/>
    <w:rsid w:val="00756B54"/>
    <w:rsid w:val="00770560"/>
    <w:rsid w:val="00780C23"/>
    <w:rsid w:val="007844C9"/>
    <w:rsid w:val="00786E4F"/>
    <w:rsid w:val="007B6446"/>
    <w:rsid w:val="007C1EF1"/>
    <w:rsid w:val="007E0F84"/>
    <w:rsid w:val="007E6138"/>
    <w:rsid w:val="00805E38"/>
    <w:rsid w:val="00821E37"/>
    <w:rsid w:val="00831EFF"/>
    <w:rsid w:val="00864ED1"/>
    <w:rsid w:val="00866983"/>
    <w:rsid w:val="00894C1B"/>
    <w:rsid w:val="008B4D97"/>
    <w:rsid w:val="008C79DA"/>
    <w:rsid w:val="008D357A"/>
    <w:rsid w:val="008F31A0"/>
    <w:rsid w:val="00902236"/>
    <w:rsid w:val="009079DE"/>
    <w:rsid w:val="00910CF6"/>
    <w:rsid w:val="00922620"/>
    <w:rsid w:val="009336D5"/>
    <w:rsid w:val="0094091D"/>
    <w:rsid w:val="00964CB5"/>
    <w:rsid w:val="00964F33"/>
    <w:rsid w:val="00987540"/>
    <w:rsid w:val="00992B96"/>
    <w:rsid w:val="009A7791"/>
    <w:rsid w:val="009D79EE"/>
    <w:rsid w:val="009F52CA"/>
    <w:rsid w:val="00A0789F"/>
    <w:rsid w:val="00A342AE"/>
    <w:rsid w:val="00A34B71"/>
    <w:rsid w:val="00A44F01"/>
    <w:rsid w:val="00A46BFB"/>
    <w:rsid w:val="00A575AC"/>
    <w:rsid w:val="00A86338"/>
    <w:rsid w:val="00A86585"/>
    <w:rsid w:val="00A879E0"/>
    <w:rsid w:val="00AB4064"/>
    <w:rsid w:val="00AF2FF7"/>
    <w:rsid w:val="00AF36D0"/>
    <w:rsid w:val="00B20F35"/>
    <w:rsid w:val="00B24AF5"/>
    <w:rsid w:val="00B3069B"/>
    <w:rsid w:val="00B37645"/>
    <w:rsid w:val="00B4153C"/>
    <w:rsid w:val="00BB44F3"/>
    <w:rsid w:val="00BC28C9"/>
    <w:rsid w:val="00BD433F"/>
    <w:rsid w:val="00BE7A3E"/>
    <w:rsid w:val="00C001BB"/>
    <w:rsid w:val="00C05B16"/>
    <w:rsid w:val="00C074A6"/>
    <w:rsid w:val="00C37FC5"/>
    <w:rsid w:val="00C42A3A"/>
    <w:rsid w:val="00C441CD"/>
    <w:rsid w:val="00C54E29"/>
    <w:rsid w:val="00C82DD2"/>
    <w:rsid w:val="00C93BC1"/>
    <w:rsid w:val="00CD03C3"/>
    <w:rsid w:val="00CD371A"/>
    <w:rsid w:val="00CD7471"/>
    <w:rsid w:val="00CE663E"/>
    <w:rsid w:val="00D040AE"/>
    <w:rsid w:val="00D07928"/>
    <w:rsid w:val="00D17412"/>
    <w:rsid w:val="00D256F9"/>
    <w:rsid w:val="00D27ECB"/>
    <w:rsid w:val="00D40F80"/>
    <w:rsid w:val="00D44CB9"/>
    <w:rsid w:val="00D94ABF"/>
    <w:rsid w:val="00DA7516"/>
    <w:rsid w:val="00DF555A"/>
    <w:rsid w:val="00E137DD"/>
    <w:rsid w:val="00E41784"/>
    <w:rsid w:val="00E84E6D"/>
    <w:rsid w:val="00EB4676"/>
    <w:rsid w:val="00EB4FFA"/>
    <w:rsid w:val="00EC1A3E"/>
    <w:rsid w:val="00EC6A7C"/>
    <w:rsid w:val="00EC6CFB"/>
    <w:rsid w:val="00EE6B5E"/>
    <w:rsid w:val="00F01B4F"/>
    <w:rsid w:val="00F1123E"/>
    <w:rsid w:val="00F145EB"/>
    <w:rsid w:val="00F250EF"/>
    <w:rsid w:val="00F26073"/>
    <w:rsid w:val="00F31354"/>
    <w:rsid w:val="00F31DF7"/>
    <w:rsid w:val="00F642AC"/>
    <w:rsid w:val="00F67EBE"/>
    <w:rsid w:val="00F73AA3"/>
    <w:rsid w:val="00FB4A81"/>
    <w:rsid w:val="00FD20E2"/>
    <w:rsid w:val="00FD2CDB"/>
    <w:rsid w:val="00FD52C6"/>
    <w:rsid w:val="00FF0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FB66A"/>
  <w15:chartTrackingRefBased/>
  <w15:docId w15:val="{F74B41AB-96DE-4F4A-AB91-22951E11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31354"/>
    <w:pPr>
      <w:jc w:val="both"/>
    </w:pPr>
    <w:rPr>
      <w:rFonts w:ascii="Palatino Linotype" w:eastAsia="Palatino Linotype" w:hAnsi="Palatino Linotype" w:cs="Palatino Linotype"/>
      <w:sz w:val="18"/>
      <w:szCs w:val="18"/>
      <w:lang w:val="es-ES" w:eastAsia="es-ES"/>
    </w:rPr>
  </w:style>
  <w:style w:type="paragraph" w:styleId="Ttulo1">
    <w:name w:val="heading 1"/>
    <w:basedOn w:val="Normal"/>
    <w:next w:val="Normal"/>
    <w:link w:val="Ttulo1Car"/>
    <w:qFormat/>
    <w:rsid w:val="00431349"/>
    <w:pPr>
      <w:keepNext/>
      <w:spacing w:line="360" w:lineRule="auto"/>
      <w:outlineLvl w:val="0"/>
    </w:pPr>
    <w:rPr>
      <w:rFonts w:ascii="Arial" w:eastAsia="Calibri" w:hAnsi="Arial" w:cs="Times New Roman"/>
      <w:b/>
      <w:bCs/>
      <w:sz w:val="26"/>
      <w:szCs w:val="24"/>
      <w:u w:val="single"/>
      <w:lang w:val="x-none" w:eastAsia="x-none"/>
    </w:rPr>
  </w:style>
  <w:style w:type="paragraph" w:styleId="Ttulo3">
    <w:name w:val="heading 3"/>
    <w:basedOn w:val="Normal"/>
    <w:next w:val="Normal"/>
    <w:link w:val="Ttulo3Car"/>
    <w:qFormat/>
    <w:rsid w:val="00431349"/>
    <w:pPr>
      <w:keepNext/>
      <w:spacing w:before="240" w:after="60"/>
      <w:outlineLvl w:val="2"/>
    </w:pPr>
    <w:rPr>
      <w:rFonts w:ascii="Arial" w:eastAsia="Times New Roman" w:hAnsi="Arial" w:cs="Times New Roman"/>
      <w:b/>
      <w:bCs/>
      <w:sz w:val="26"/>
      <w:szCs w:val="26"/>
      <w:lang w:val="es-CO" w:eastAsia="x-none"/>
    </w:rPr>
  </w:style>
  <w:style w:type="paragraph" w:styleId="Ttulo4">
    <w:name w:val="heading 4"/>
    <w:basedOn w:val="Normal"/>
    <w:next w:val="Normal"/>
    <w:link w:val="Ttulo4Car"/>
    <w:uiPriority w:val="9"/>
    <w:qFormat/>
    <w:rsid w:val="00431349"/>
    <w:pPr>
      <w:keepNext/>
      <w:spacing w:before="240" w:after="60"/>
      <w:outlineLvl w:val="3"/>
    </w:pPr>
    <w:rPr>
      <w:rFonts w:ascii="Verdana" w:eastAsia="Times New Roman" w:hAnsi="Verdana" w:cs="Times New Roman"/>
      <w:b/>
      <w:bCs/>
      <w:sz w:val="28"/>
      <w:szCs w:val="28"/>
      <w:lang w:val="x-none" w:eastAsia="x-none"/>
    </w:rPr>
  </w:style>
  <w:style w:type="paragraph" w:styleId="Ttulo9">
    <w:name w:val="heading 9"/>
    <w:basedOn w:val="Normal"/>
    <w:next w:val="Normal"/>
    <w:link w:val="Ttulo9Car"/>
    <w:uiPriority w:val="9"/>
    <w:qFormat/>
    <w:rsid w:val="00431349"/>
    <w:pPr>
      <w:spacing w:before="240" w:after="60"/>
      <w:outlineLvl w:val="8"/>
    </w:pPr>
    <w:rPr>
      <w:rFonts w:ascii="Calibri Light" w:eastAsia="Times New Roman" w:hAnsi="Calibri Light" w:cs="Times New Roman"/>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Texto de nota al pie,referencia nota al pie,Ref. de nota al pie 2,Pie de Página,FC,Texto de nota al pi,Appel note de bas de page,Footnotes refss,Footnote number,BVI fnr,f,4_G,16 Point,Superscript 6 Point,Texto nota al pie,Nota a pie"/>
    <w:link w:val="4GChar"/>
    <w:uiPriority w:val="99"/>
    <w:qFormat/>
    <w:rsid w:val="00EE6B5E"/>
    <w:rPr>
      <w:rFonts w:ascii="Verdana" w:hAnsi="Verdana"/>
      <w:color w:val="auto"/>
      <w:sz w:val="24"/>
      <w:vertAlign w:val="superscript"/>
    </w:rPr>
  </w:style>
  <w:style w:type="paragraph" w:customStyle="1" w:styleId="BodyText31">
    <w:name w:val="Body Text 31"/>
    <w:basedOn w:val="Normal"/>
    <w:rsid w:val="00431349"/>
    <w:pPr>
      <w:overflowPunct w:val="0"/>
      <w:autoSpaceDE w:val="0"/>
      <w:autoSpaceDN w:val="0"/>
      <w:adjustRightInd w:val="0"/>
      <w:spacing w:line="360" w:lineRule="auto"/>
      <w:textAlignment w:val="baseline"/>
    </w:pPr>
    <w:rPr>
      <w:rFonts w:ascii="Arial" w:eastAsia="Times New Roman" w:hAnsi="Arial" w:cs="Arial"/>
      <w:sz w:val="28"/>
      <w:szCs w:val="28"/>
      <w:lang w:val="es-ES_tradnl"/>
    </w:rPr>
  </w:style>
  <w:style w:type="paragraph" w:customStyle="1" w:styleId="Sangra3detindependiente1">
    <w:name w:val="Sangría 3 de t. independiente1"/>
    <w:basedOn w:val="Normal"/>
    <w:rsid w:val="00431349"/>
    <w:pPr>
      <w:overflowPunct w:val="0"/>
      <w:autoSpaceDE w:val="0"/>
      <w:autoSpaceDN w:val="0"/>
      <w:adjustRightInd w:val="0"/>
      <w:spacing w:after="120"/>
      <w:ind w:left="283"/>
      <w:textAlignment w:val="baseline"/>
    </w:pPr>
    <w:rPr>
      <w:rFonts w:ascii="Times New Roman" w:eastAsia="Times New Roman" w:hAnsi="Times New Roman"/>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qFormat/>
    <w:rsid w:val="00431349"/>
    <w:rPr>
      <w:lang w:eastAsia="en-US"/>
    </w:rPr>
  </w:style>
  <w:style w:type="character" w:customStyle="1" w:styleId="apple-converted-space">
    <w:name w:val="apple-converted-space"/>
    <w:rsid w:val="00431349"/>
  </w:style>
  <w:style w:type="paragraph" w:customStyle="1" w:styleId="ecxmsobodytext2">
    <w:name w:val="ecxmsobodytext2"/>
    <w:basedOn w:val="Normal"/>
    <w:rsid w:val="00431349"/>
    <w:pPr>
      <w:spacing w:before="100" w:beforeAutospacing="1" w:after="100" w:afterAutospacing="1"/>
    </w:pPr>
    <w:rPr>
      <w:rFonts w:ascii="Times New Roman" w:eastAsia="Times New Roman" w:hAnsi="Times New Roman"/>
      <w:sz w:val="24"/>
      <w:szCs w:val="24"/>
      <w:lang w:eastAsia="es-CO"/>
    </w:rPr>
  </w:style>
  <w:style w:type="paragraph" w:customStyle="1" w:styleId="Listavistosa-nfasis11">
    <w:name w:val="Lista vistosa - Énfasis 11"/>
    <w:basedOn w:val="Normal"/>
    <w:uiPriority w:val="34"/>
    <w:qFormat/>
    <w:rsid w:val="00431349"/>
    <w:pPr>
      <w:ind w:left="708"/>
    </w:pPr>
  </w:style>
  <w:style w:type="paragraph" w:customStyle="1" w:styleId="pa8">
    <w:name w:val="pa8"/>
    <w:basedOn w:val="Normal"/>
    <w:rsid w:val="00431349"/>
    <w:pPr>
      <w:spacing w:before="100" w:beforeAutospacing="1" w:after="100" w:afterAutospacing="1"/>
    </w:pPr>
    <w:rPr>
      <w:rFonts w:ascii="Times New Roman" w:eastAsia="Times New Roman" w:hAnsi="Times New Roman"/>
      <w:sz w:val="24"/>
      <w:szCs w:val="24"/>
    </w:rPr>
  </w:style>
  <w:style w:type="character" w:customStyle="1" w:styleId="a0">
    <w:name w:val="a0"/>
    <w:rsid w:val="00431349"/>
  </w:style>
  <w:style w:type="paragraph" w:customStyle="1" w:styleId="default">
    <w:name w:val="default"/>
    <w:basedOn w:val="Normal"/>
    <w:rsid w:val="00431349"/>
    <w:pPr>
      <w:spacing w:before="100" w:beforeAutospacing="1" w:after="100" w:afterAutospacing="1"/>
    </w:pPr>
    <w:rPr>
      <w:rFonts w:ascii="Times New Roman" w:eastAsia="Times New Roman" w:hAnsi="Times New Roman"/>
      <w:sz w:val="24"/>
      <w:szCs w:val="24"/>
    </w:rPr>
  </w:style>
  <w:style w:type="character" w:customStyle="1" w:styleId="textonavy">
    <w:name w:val="texto_navy"/>
    <w:rsid w:val="00431349"/>
  </w:style>
  <w:style w:type="paragraph" w:customStyle="1" w:styleId="ecxmsonormal">
    <w:name w:val="ecxmsonormal"/>
    <w:basedOn w:val="Normal"/>
    <w:rsid w:val="00431349"/>
    <w:pPr>
      <w:spacing w:before="100" w:beforeAutospacing="1" w:after="100" w:afterAutospacing="1"/>
    </w:pPr>
    <w:rPr>
      <w:rFonts w:ascii="Times New Roman" w:eastAsia="Times New Roman" w:hAnsi="Times New Roman"/>
      <w:sz w:val="24"/>
      <w:szCs w:val="24"/>
      <w:lang w:eastAsia="es-CO"/>
    </w:rPr>
  </w:style>
  <w:style w:type="paragraph" w:customStyle="1" w:styleId="Textodebloque1">
    <w:name w:val="Texto de bloque1"/>
    <w:basedOn w:val="Normal"/>
    <w:rsid w:val="00431349"/>
    <w:pPr>
      <w:widowControl w:val="0"/>
      <w:tabs>
        <w:tab w:val="left" w:pos="2160"/>
        <w:tab w:val="left" w:pos="4464"/>
        <w:tab w:val="left" w:pos="5328"/>
      </w:tabs>
      <w:suppressAutoHyphens/>
      <w:overflowPunct w:val="0"/>
      <w:autoSpaceDE w:val="0"/>
      <w:ind w:left="720" w:right="432"/>
      <w:textAlignment w:val="baseline"/>
    </w:pPr>
    <w:rPr>
      <w:rFonts w:ascii="Arial" w:eastAsia="Times New Roman" w:hAnsi="Arial" w:cs="Arial"/>
      <w:i/>
      <w:spacing w:val="-3"/>
      <w:lang w:eastAsia="zh-CN"/>
    </w:rPr>
  </w:style>
  <w:style w:type="paragraph" w:customStyle="1" w:styleId="Textodebloque2">
    <w:name w:val="Texto de bloque2"/>
    <w:basedOn w:val="Normal"/>
    <w:rsid w:val="00431349"/>
    <w:pPr>
      <w:overflowPunct w:val="0"/>
      <w:autoSpaceDE w:val="0"/>
      <w:autoSpaceDN w:val="0"/>
      <w:adjustRightInd w:val="0"/>
      <w:ind w:left="567" w:right="618"/>
      <w:textAlignment w:val="baseline"/>
    </w:pPr>
    <w:rPr>
      <w:rFonts w:ascii="Arial" w:eastAsia="Times New Roman" w:hAnsi="Arial"/>
      <w:i/>
      <w:lang w:val="es-ES_tradnl"/>
    </w:rPr>
  </w:style>
  <w:style w:type="paragraph" w:customStyle="1" w:styleId="Textoindependiente21">
    <w:name w:val="Texto independiente 21"/>
    <w:basedOn w:val="Normal"/>
    <w:rsid w:val="003363C3"/>
    <w:pPr>
      <w:overflowPunct w:val="0"/>
      <w:autoSpaceDE w:val="0"/>
      <w:autoSpaceDN w:val="0"/>
      <w:adjustRightInd w:val="0"/>
      <w:spacing w:line="360" w:lineRule="auto"/>
      <w:ind w:firstLine="709"/>
    </w:pPr>
    <w:rPr>
      <w:rFonts w:ascii="Century Gothic" w:eastAsia="Times New Roman" w:hAnsi="Century Gothic"/>
      <w:kern w:val="28"/>
      <w:lang w:val="es-ES_tradnl"/>
    </w:rPr>
  </w:style>
  <w:style w:type="character" w:customStyle="1" w:styleId="Ttulo1Car">
    <w:name w:val="Título 1 Car"/>
    <w:link w:val="Ttulo1"/>
    <w:rsid w:val="00431349"/>
    <w:rPr>
      <w:rFonts w:ascii="Arial" w:eastAsia="Calibri" w:hAnsi="Arial"/>
      <w:b/>
      <w:bCs/>
      <w:sz w:val="26"/>
      <w:szCs w:val="24"/>
      <w:u w:val="single"/>
      <w:lang w:val="x-none" w:eastAsia="x-none"/>
    </w:rPr>
  </w:style>
  <w:style w:type="character" w:customStyle="1" w:styleId="Ttulo3Car">
    <w:name w:val="Título 3 Car"/>
    <w:link w:val="Ttulo3"/>
    <w:rsid w:val="00431349"/>
    <w:rPr>
      <w:rFonts w:ascii="Arial" w:eastAsia="Times New Roman" w:hAnsi="Arial"/>
      <w:b/>
      <w:bCs/>
      <w:sz w:val="26"/>
      <w:szCs w:val="26"/>
      <w:lang w:val="es-CO" w:eastAsia="x-none"/>
    </w:rPr>
  </w:style>
  <w:style w:type="character" w:customStyle="1" w:styleId="Ttulo4Car">
    <w:name w:val="Título 4 Car"/>
    <w:link w:val="Ttulo4"/>
    <w:uiPriority w:val="9"/>
    <w:rsid w:val="00431349"/>
    <w:rPr>
      <w:rFonts w:eastAsia="Times New Roman"/>
      <w:b/>
      <w:bCs/>
      <w:sz w:val="28"/>
      <w:szCs w:val="28"/>
    </w:rPr>
  </w:style>
  <w:style w:type="character" w:customStyle="1" w:styleId="Ttulo9Car">
    <w:name w:val="Título 9 Car"/>
    <w:link w:val="Ttulo9"/>
    <w:uiPriority w:val="9"/>
    <w:rsid w:val="00431349"/>
    <w:rPr>
      <w:rFonts w:ascii="Calibri Light" w:eastAsia="Times New Roman" w:hAnsi="Calibri Light"/>
      <w:sz w:val="22"/>
      <w:szCs w:val="22"/>
    </w:rPr>
  </w:style>
  <w:style w:type="paragraph" w:styleId="Textonotapie">
    <w:name w:val="footnote text"/>
    <w:aliases w:val="Footnote Text Char Char Char Char Char,Footnote Text Char Char Char Char,Footnote reference,FA Fu,Footnote Text Char Char Char,Footnote Text Char Char Char Char Char Char Char Char,Footnote Text Char,texto de nota al pi,texto de nota al p"/>
    <w:basedOn w:val="Normal"/>
    <w:link w:val="TextonotapieCar1"/>
    <w:qFormat/>
    <w:rsid w:val="004A60FB"/>
    <w:rPr>
      <w:rFonts w:ascii="Verdana" w:eastAsia="Times New Roman" w:hAnsi="Verdana" w:cs="Times New Roman"/>
      <w:sz w:val="20"/>
      <w:szCs w:val="20"/>
      <w:lang w:val="x-none" w:eastAsia="x-none"/>
    </w:rPr>
  </w:style>
  <w:style w:type="character" w:customStyle="1" w:styleId="TextonotapieCar1">
    <w:name w:val="Texto nota pie Car1"/>
    <w:aliases w:val="Footnote Text Char Char Char Char Char Car,Footnote Text Char Char Char Char Car,Footnote reference Car,FA Fu Car,Footnote Text Char Char Char Car,Footnote Text Char Char Char Char Char Char Char Char Car,Footnote Text Char Car"/>
    <w:link w:val="Textonotapie"/>
    <w:qFormat/>
    <w:rsid w:val="004A60FB"/>
    <w:rPr>
      <w:rFonts w:eastAsia="Times New Roman"/>
      <w:lang w:val="x-none" w:eastAsia="x-none"/>
    </w:rPr>
  </w:style>
  <w:style w:type="paragraph" w:styleId="Textocomentario">
    <w:name w:val="annotation text"/>
    <w:basedOn w:val="Normal"/>
    <w:link w:val="TextocomentarioCar"/>
    <w:uiPriority w:val="99"/>
    <w:semiHidden/>
    <w:unhideWhenUsed/>
    <w:rsid w:val="00431349"/>
    <w:rPr>
      <w:rFonts w:ascii="Verdana" w:eastAsia="Calibri" w:hAnsi="Verdana" w:cs="Times New Roman"/>
      <w:sz w:val="20"/>
      <w:szCs w:val="20"/>
      <w:lang w:val="x-none" w:eastAsia="x-none"/>
    </w:rPr>
  </w:style>
  <w:style w:type="character" w:customStyle="1" w:styleId="TextocomentarioCar">
    <w:name w:val="Texto comentario Car"/>
    <w:link w:val="Textocomentario"/>
    <w:uiPriority w:val="99"/>
    <w:semiHidden/>
    <w:rsid w:val="00431349"/>
    <w:rPr>
      <w:rFonts w:eastAsia="Calibri"/>
    </w:rPr>
  </w:style>
  <w:style w:type="paragraph" w:styleId="Encabezado">
    <w:name w:val="header"/>
    <w:basedOn w:val="Normal"/>
    <w:link w:val="EncabezadoCar"/>
    <w:uiPriority w:val="99"/>
    <w:rsid w:val="00431349"/>
    <w:pPr>
      <w:tabs>
        <w:tab w:val="center" w:pos="4419"/>
        <w:tab w:val="right" w:pos="8838"/>
      </w:tabs>
    </w:pPr>
    <w:rPr>
      <w:rFonts w:ascii="Times New Roman" w:eastAsia="Times New Roman" w:hAnsi="Times New Roman" w:cs="Times New Roman"/>
      <w:sz w:val="24"/>
      <w:szCs w:val="24"/>
      <w:lang w:val="x-none" w:eastAsia="x-none"/>
    </w:rPr>
  </w:style>
  <w:style w:type="character" w:customStyle="1" w:styleId="EncabezadoCar">
    <w:name w:val="Encabezado Car"/>
    <w:link w:val="Encabezado"/>
    <w:uiPriority w:val="99"/>
    <w:rsid w:val="00431349"/>
    <w:rPr>
      <w:rFonts w:ascii="Times New Roman" w:eastAsia="Times New Roman" w:hAnsi="Times New Roman"/>
      <w:sz w:val="24"/>
      <w:szCs w:val="24"/>
      <w:lang w:val="x-none" w:eastAsia="x-none"/>
    </w:rPr>
  </w:style>
  <w:style w:type="paragraph" w:styleId="Piedepgina">
    <w:name w:val="footer"/>
    <w:basedOn w:val="Normal"/>
    <w:link w:val="PiedepginaCar"/>
    <w:uiPriority w:val="99"/>
    <w:unhideWhenUsed/>
    <w:rsid w:val="00431349"/>
    <w:pPr>
      <w:tabs>
        <w:tab w:val="center" w:pos="4252"/>
        <w:tab w:val="right" w:pos="8504"/>
      </w:tabs>
    </w:pPr>
    <w:rPr>
      <w:rFonts w:ascii="Verdana" w:eastAsia="Calibri" w:hAnsi="Verdana" w:cs="Times New Roman"/>
      <w:sz w:val="22"/>
      <w:szCs w:val="22"/>
      <w:lang w:val="x-none" w:eastAsia="x-none"/>
    </w:rPr>
  </w:style>
  <w:style w:type="character" w:customStyle="1" w:styleId="PiedepginaCar">
    <w:name w:val="Pie de página Car"/>
    <w:link w:val="Piedepgina"/>
    <w:uiPriority w:val="99"/>
    <w:rsid w:val="00431349"/>
    <w:rPr>
      <w:rFonts w:eastAsia="Calibri"/>
      <w:sz w:val="22"/>
      <w:szCs w:val="22"/>
    </w:rPr>
  </w:style>
  <w:style w:type="character" w:styleId="Refdecomentario">
    <w:name w:val="annotation reference"/>
    <w:uiPriority w:val="99"/>
    <w:semiHidden/>
    <w:unhideWhenUsed/>
    <w:rsid w:val="00431349"/>
    <w:rPr>
      <w:sz w:val="16"/>
      <w:szCs w:val="16"/>
    </w:rPr>
  </w:style>
  <w:style w:type="character" w:styleId="Nmerodepgina">
    <w:name w:val="page number"/>
    <w:rsid w:val="00431349"/>
  </w:style>
  <w:style w:type="paragraph" w:styleId="Textoindependiente">
    <w:name w:val="Body Text"/>
    <w:aliases w:val=" Car Car, Car Car Car Car"/>
    <w:basedOn w:val="Normal"/>
    <w:link w:val="TextoindependienteCar"/>
    <w:rsid w:val="00431349"/>
    <w:pPr>
      <w:spacing w:line="360" w:lineRule="auto"/>
    </w:pPr>
    <w:rPr>
      <w:rFonts w:ascii="Arial" w:eastAsia="Calibri" w:hAnsi="Arial" w:cs="Times New Roman"/>
      <w:sz w:val="26"/>
      <w:szCs w:val="24"/>
      <w:lang w:val="x-none" w:eastAsia="x-none"/>
    </w:rPr>
  </w:style>
  <w:style w:type="character" w:customStyle="1" w:styleId="TextoindependienteCar">
    <w:name w:val="Texto independiente Car"/>
    <w:aliases w:val=" Car Car Car, Car Car Car Car Car"/>
    <w:link w:val="Textoindependiente"/>
    <w:rsid w:val="00431349"/>
    <w:rPr>
      <w:rFonts w:ascii="Arial" w:eastAsia="Calibri" w:hAnsi="Arial"/>
      <w:sz w:val="26"/>
      <w:szCs w:val="24"/>
      <w:lang w:val="x-none" w:eastAsia="x-none"/>
    </w:rPr>
  </w:style>
  <w:style w:type="paragraph" w:styleId="Sangradetextonormal">
    <w:name w:val="Body Text Indent"/>
    <w:basedOn w:val="Normal"/>
    <w:link w:val="SangradetextonormalCar"/>
    <w:rsid w:val="00431349"/>
    <w:pPr>
      <w:spacing w:line="360" w:lineRule="auto"/>
    </w:pPr>
    <w:rPr>
      <w:rFonts w:ascii="Arial" w:eastAsia="Times New Roman" w:hAnsi="Arial" w:cs="Times New Roman"/>
      <w:b/>
      <w:bCs/>
      <w:sz w:val="26"/>
      <w:szCs w:val="26"/>
      <w:lang w:val="x-none" w:eastAsia="x-none"/>
    </w:rPr>
  </w:style>
  <w:style w:type="character" w:customStyle="1" w:styleId="SangradetextonormalCar">
    <w:name w:val="Sangría de texto normal Car"/>
    <w:link w:val="Sangradetextonormal"/>
    <w:rsid w:val="00431349"/>
    <w:rPr>
      <w:rFonts w:ascii="Arial" w:eastAsia="Times New Roman" w:hAnsi="Arial"/>
      <w:b/>
      <w:bCs/>
      <w:sz w:val="26"/>
      <w:szCs w:val="26"/>
      <w:lang w:val="x-none" w:eastAsia="x-none"/>
    </w:rPr>
  </w:style>
  <w:style w:type="paragraph" w:styleId="Textoindependiente2">
    <w:name w:val="Body Text 2"/>
    <w:basedOn w:val="Normal"/>
    <w:link w:val="Textoindependiente2Car"/>
    <w:rsid w:val="00431349"/>
    <w:pPr>
      <w:spacing w:after="120" w:line="480" w:lineRule="auto"/>
    </w:pPr>
    <w:rPr>
      <w:rFonts w:ascii="Times New Roman" w:eastAsia="Times New Roman" w:hAnsi="Times New Roman" w:cs="Times New Roman"/>
      <w:sz w:val="24"/>
      <w:szCs w:val="24"/>
      <w:lang w:val="es-CO" w:eastAsia="x-none"/>
    </w:rPr>
  </w:style>
  <w:style w:type="character" w:customStyle="1" w:styleId="Textoindependiente2Car">
    <w:name w:val="Texto independiente 2 Car"/>
    <w:link w:val="Textoindependiente2"/>
    <w:rsid w:val="00431349"/>
    <w:rPr>
      <w:rFonts w:ascii="Times New Roman" w:eastAsia="Times New Roman" w:hAnsi="Times New Roman"/>
      <w:sz w:val="24"/>
      <w:szCs w:val="24"/>
      <w:lang w:val="es-CO" w:eastAsia="x-none"/>
    </w:rPr>
  </w:style>
  <w:style w:type="paragraph" w:styleId="Textoindependiente3">
    <w:name w:val="Body Text 3"/>
    <w:basedOn w:val="Normal"/>
    <w:link w:val="Textoindependiente3Car"/>
    <w:uiPriority w:val="99"/>
    <w:rsid w:val="00431349"/>
    <w:pPr>
      <w:spacing w:after="120"/>
    </w:pPr>
    <w:rPr>
      <w:rFonts w:ascii="Times New Roman" w:eastAsia="Times New Roman" w:hAnsi="Times New Roman" w:cs="Times New Roman"/>
      <w:sz w:val="16"/>
      <w:szCs w:val="16"/>
      <w:lang w:val="x-none" w:eastAsia="x-none"/>
    </w:rPr>
  </w:style>
  <w:style w:type="character" w:customStyle="1" w:styleId="Textoindependiente3Car">
    <w:name w:val="Texto independiente 3 Car"/>
    <w:link w:val="Textoindependiente3"/>
    <w:uiPriority w:val="99"/>
    <w:rsid w:val="00431349"/>
    <w:rPr>
      <w:rFonts w:ascii="Times New Roman" w:eastAsia="Times New Roman" w:hAnsi="Times New Roman"/>
      <w:sz w:val="16"/>
      <w:szCs w:val="16"/>
      <w:lang w:val="x-none" w:eastAsia="x-none"/>
    </w:rPr>
  </w:style>
  <w:style w:type="paragraph" w:styleId="Sangra2detindependiente">
    <w:name w:val="Body Text Indent 2"/>
    <w:basedOn w:val="Normal"/>
    <w:link w:val="Sangra2detindependienteCar"/>
    <w:uiPriority w:val="99"/>
    <w:unhideWhenUsed/>
    <w:rsid w:val="00431349"/>
    <w:pPr>
      <w:spacing w:after="120" w:line="480" w:lineRule="auto"/>
      <w:ind w:left="283"/>
    </w:pPr>
    <w:rPr>
      <w:rFonts w:ascii="Verdana" w:eastAsia="Calibri" w:hAnsi="Verdana" w:cs="Times New Roman"/>
      <w:sz w:val="22"/>
      <w:szCs w:val="22"/>
      <w:lang w:val="es-CO" w:eastAsia="x-none"/>
    </w:rPr>
  </w:style>
  <w:style w:type="character" w:customStyle="1" w:styleId="Sangra2detindependienteCar">
    <w:name w:val="Sangría 2 de t. independiente Car"/>
    <w:link w:val="Sangra2detindependiente"/>
    <w:uiPriority w:val="99"/>
    <w:rsid w:val="00431349"/>
    <w:rPr>
      <w:rFonts w:eastAsia="Calibri"/>
      <w:sz w:val="22"/>
      <w:szCs w:val="22"/>
      <w:lang w:val="es-CO"/>
    </w:rPr>
  </w:style>
  <w:style w:type="character" w:styleId="Hipervnculo">
    <w:name w:val="Hyperlink"/>
    <w:uiPriority w:val="99"/>
    <w:unhideWhenUsed/>
    <w:rsid w:val="00431349"/>
    <w:rPr>
      <w:color w:val="0000FF"/>
      <w:u w:val="single"/>
    </w:rPr>
  </w:style>
  <w:style w:type="character" w:styleId="Textoennegrita">
    <w:name w:val="Strong"/>
    <w:uiPriority w:val="22"/>
    <w:qFormat/>
    <w:rsid w:val="00431349"/>
    <w:rPr>
      <w:b/>
      <w:bCs/>
    </w:rPr>
  </w:style>
  <w:style w:type="paragraph" w:styleId="NormalWeb">
    <w:name w:val="Normal (Web)"/>
    <w:basedOn w:val="Normal"/>
    <w:uiPriority w:val="99"/>
    <w:unhideWhenUsed/>
    <w:rsid w:val="00431349"/>
    <w:pPr>
      <w:spacing w:before="100" w:beforeAutospacing="1" w:after="100" w:afterAutospacing="1"/>
    </w:pPr>
    <w:rPr>
      <w:rFonts w:ascii="Times New Roman" w:eastAsia="Times New Roman" w:hAnsi="Times New Roman"/>
      <w:sz w:val="24"/>
      <w:szCs w:val="24"/>
    </w:rPr>
  </w:style>
  <w:style w:type="paragraph" w:styleId="Asuntodelcomentario">
    <w:name w:val="annotation subject"/>
    <w:basedOn w:val="Textocomentario"/>
    <w:next w:val="Textocomentario"/>
    <w:link w:val="AsuntodelcomentarioCar"/>
    <w:uiPriority w:val="99"/>
    <w:semiHidden/>
    <w:unhideWhenUsed/>
    <w:rsid w:val="00431349"/>
    <w:rPr>
      <w:b/>
      <w:bCs/>
    </w:rPr>
  </w:style>
  <w:style w:type="character" w:customStyle="1" w:styleId="AsuntodelcomentarioCar">
    <w:name w:val="Asunto del comentario Car"/>
    <w:link w:val="Asuntodelcomentario"/>
    <w:uiPriority w:val="99"/>
    <w:semiHidden/>
    <w:rsid w:val="00431349"/>
    <w:rPr>
      <w:rFonts w:eastAsia="Calibri"/>
      <w:b/>
      <w:bCs/>
    </w:rPr>
  </w:style>
  <w:style w:type="paragraph" w:styleId="Textodeglobo">
    <w:name w:val="Balloon Text"/>
    <w:basedOn w:val="Normal"/>
    <w:link w:val="TextodegloboCar"/>
    <w:uiPriority w:val="99"/>
    <w:semiHidden/>
    <w:unhideWhenUsed/>
    <w:rsid w:val="00431349"/>
    <w:rPr>
      <w:rFonts w:ascii="Segoe UI" w:eastAsia="Calibri" w:hAnsi="Segoe UI" w:cs="Times New Roman"/>
      <w:lang w:val="x-none" w:eastAsia="x-none"/>
    </w:rPr>
  </w:style>
  <w:style w:type="character" w:customStyle="1" w:styleId="TextodegloboCar">
    <w:name w:val="Texto de globo Car"/>
    <w:link w:val="Textodeglobo"/>
    <w:uiPriority w:val="99"/>
    <w:semiHidden/>
    <w:rsid w:val="00431349"/>
    <w:rPr>
      <w:rFonts w:ascii="Segoe UI" w:eastAsia="Calibri" w:hAnsi="Segoe UI" w:cs="Segoe UI"/>
      <w:sz w:val="18"/>
      <w:szCs w:val="18"/>
    </w:rPr>
  </w:style>
  <w:style w:type="paragraph" w:styleId="Sinespaciado">
    <w:name w:val="No Spacing"/>
    <w:uiPriority w:val="1"/>
    <w:qFormat/>
    <w:rsid w:val="00431349"/>
    <w:rPr>
      <w:sz w:val="22"/>
      <w:szCs w:val="22"/>
      <w:vertAlign w:val="superscript"/>
      <w:lang w:val="es-CO"/>
    </w:rPr>
  </w:style>
  <w:style w:type="paragraph" w:styleId="Prrafodelista">
    <w:name w:val="List Paragraph"/>
    <w:basedOn w:val="Normal"/>
    <w:uiPriority w:val="34"/>
    <w:qFormat/>
    <w:rsid w:val="00431349"/>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F31354"/>
    <w:rPr>
      <w:rFonts w:ascii="Verdana" w:eastAsia="Calibri" w:hAnsi="Verdana" w:cs="Times New Roman"/>
      <w:sz w:val="24"/>
      <w:szCs w:val="20"/>
      <w:vertAlign w:val="superscript"/>
      <w:lang w:val="x-none" w:eastAsia="x-none"/>
    </w:rPr>
  </w:style>
  <w:style w:type="paragraph" w:customStyle="1" w:styleId="Default0">
    <w:name w:val="Default"/>
    <w:rsid w:val="00F31354"/>
    <w:pPr>
      <w:autoSpaceDE w:val="0"/>
      <w:autoSpaceDN w:val="0"/>
      <w:adjustRightInd w:val="0"/>
    </w:pPr>
    <w:rPr>
      <w:rFonts w:ascii="Arial" w:hAnsi="Arial" w:cs="Arial"/>
      <w:color w:val="000000"/>
      <w:sz w:val="24"/>
      <w:szCs w:val="24"/>
      <w:lang w:val="es-ES" w:eastAsia="es-ES"/>
    </w:rPr>
  </w:style>
  <w:style w:type="paragraph" w:customStyle="1" w:styleId="BodyText21">
    <w:name w:val="Body Text 21"/>
    <w:basedOn w:val="Normal"/>
    <w:link w:val="BodyText21Car"/>
    <w:rsid w:val="001B49AF"/>
    <w:pPr>
      <w:overflowPunct w:val="0"/>
      <w:autoSpaceDE w:val="0"/>
      <w:autoSpaceDN w:val="0"/>
      <w:adjustRightInd w:val="0"/>
      <w:spacing w:line="360" w:lineRule="auto"/>
      <w:ind w:left="1418"/>
      <w:textAlignment w:val="baseline"/>
    </w:pPr>
    <w:rPr>
      <w:rFonts w:ascii="Arial" w:eastAsia="Times New Roman" w:hAnsi="Arial" w:cs="Times New Roman"/>
      <w:sz w:val="24"/>
      <w:szCs w:val="20"/>
      <w:lang w:val="x-none" w:eastAsia="x-none"/>
    </w:rPr>
  </w:style>
  <w:style w:type="character" w:customStyle="1" w:styleId="BodyText21Car">
    <w:name w:val="Body Text 21 Car"/>
    <w:link w:val="BodyText21"/>
    <w:rsid w:val="001B49AF"/>
    <w:rPr>
      <w:rFonts w:ascii="Arial" w:eastAsia="Times New Roman" w:hAnsi="Arial"/>
      <w:sz w:val="24"/>
    </w:rPr>
  </w:style>
  <w:style w:type="paragraph" w:customStyle="1" w:styleId="Appelnotedebasde">
    <w:name w:val="Appel note de bas de..."/>
    <w:basedOn w:val="Normal"/>
    <w:rsid w:val="001B49AF"/>
    <w:pPr>
      <w:spacing w:after="160" w:line="240" w:lineRule="exact"/>
      <w:jc w:val="left"/>
    </w:pPr>
    <w:rPr>
      <w:rFonts w:ascii="Calibri" w:eastAsia="Calibri" w:hAnsi="Calibri" w:cs="Times New Roman"/>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075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283F631-849A-49AA-8445-099D484E6D85}">
  <ds:schemaRefs>
    <ds:schemaRef ds:uri="http://schemas.microsoft.com/sharepoint/v3/contenttype/forms"/>
  </ds:schemaRefs>
</ds:datastoreItem>
</file>

<file path=customXml/itemProps2.xml><?xml version="1.0" encoding="utf-8"?>
<ds:datastoreItem xmlns:ds="http://schemas.openxmlformats.org/officeDocument/2006/customXml" ds:itemID="{0E20313B-E4B1-4374-917F-6FBCC38CAFDA}">
  <ds:schemaRefs>
    <ds:schemaRef ds:uri="http://schemas.openxmlformats.org/officeDocument/2006/bibliography"/>
  </ds:schemaRefs>
</ds:datastoreItem>
</file>

<file path=customXml/itemProps3.xml><?xml version="1.0" encoding="utf-8"?>
<ds:datastoreItem xmlns:ds="http://schemas.openxmlformats.org/officeDocument/2006/customXml" ds:itemID="{9677B486-039A-41A9-92CF-5875EF8E5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399CA-7C73-4C16-B87D-2E752BA0A38E}">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6416</Words>
  <Characters>35291</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EUGENIA DOMINGUEZ BETANCOUR</dc:creator>
  <cp:keywords/>
  <cp:lastModifiedBy>Carlos Mario Castrillón Endo</cp:lastModifiedBy>
  <cp:revision>2</cp:revision>
  <cp:lastPrinted>2019-03-27T20:24:00Z</cp:lastPrinted>
  <dcterms:created xsi:type="dcterms:W3CDTF">2020-07-02T15:46:00Z</dcterms:created>
  <dcterms:modified xsi:type="dcterms:W3CDTF">2020-07-02T15:46:00Z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_ip_UnifiedCompliancePolicyUIAction">
    <vt:lpwstr/>
  </property>
  <property fmtid="{D5CDD505-2E9C-101B-9397-08002B2CF9AE}" pid="4" name="_ip_UnifiedCompliancePolicyProperties">
    <vt:lpwstr/>
  </property>
</Properties>
</file>