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F37B" w14:textId="7D701E08" w:rsidR="0034091D" w:rsidRPr="00FC37BE" w:rsidRDefault="0034091D" w:rsidP="0034091D">
      <w:pPr>
        <w:jc w:val="both"/>
        <w:rPr>
          <w:rFonts w:ascii="Arial" w:hAnsi="Arial" w:cs="Arial"/>
          <w:b/>
        </w:rPr>
      </w:pPr>
      <w:r w:rsidRPr="00FC37BE">
        <w:rPr>
          <w:rFonts w:ascii="Arial" w:hAnsi="Arial" w:cs="Arial"/>
          <w:b/>
        </w:rPr>
        <w:t xml:space="preserve">EQUILIBRIO ECONÓMICO DEL CONTRATO </w:t>
      </w:r>
      <w:r w:rsidR="00982D23" w:rsidRPr="00FC37BE">
        <w:rPr>
          <w:rFonts w:ascii="Arial" w:hAnsi="Arial" w:cs="Arial"/>
          <w:b/>
        </w:rPr>
        <w:t>-</w:t>
      </w:r>
      <w:r w:rsidRPr="00FC37BE">
        <w:rPr>
          <w:rFonts w:ascii="Arial" w:hAnsi="Arial" w:cs="Arial"/>
          <w:b/>
        </w:rPr>
        <w:t xml:space="preserve"> Teoría de la imprevisión </w:t>
      </w:r>
      <w:r w:rsidR="00982D23" w:rsidRPr="00FC37BE">
        <w:rPr>
          <w:rFonts w:ascii="Arial" w:hAnsi="Arial" w:cs="Arial"/>
          <w:b/>
        </w:rPr>
        <w:t>-</w:t>
      </w:r>
      <w:r w:rsidRPr="00FC37BE">
        <w:rPr>
          <w:rFonts w:ascii="Arial" w:hAnsi="Arial" w:cs="Arial"/>
          <w:b/>
        </w:rPr>
        <w:t xml:space="preserve"> Ecuació</w:t>
      </w:r>
      <w:r w:rsidR="00982D23" w:rsidRPr="00FC37BE">
        <w:rPr>
          <w:rFonts w:ascii="Arial" w:hAnsi="Arial" w:cs="Arial"/>
          <w:b/>
        </w:rPr>
        <w:t xml:space="preserve">n </w:t>
      </w:r>
      <w:r w:rsidR="0096012E">
        <w:rPr>
          <w:rFonts w:ascii="Arial" w:hAnsi="Arial" w:cs="Arial"/>
          <w:b/>
        </w:rPr>
        <w:t>contractual</w:t>
      </w:r>
    </w:p>
    <w:p w14:paraId="3E116364" w14:textId="77777777" w:rsidR="0034091D" w:rsidRPr="00FC37BE" w:rsidRDefault="0034091D" w:rsidP="0034091D">
      <w:pPr>
        <w:jc w:val="both"/>
        <w:rPr>
          <w:rFonts w:ascii="Arial" w:hAnsi="Arial" w:cs="Arial"/>
        </w:rPr>
      </w:pPr>
    </w:p>
    <w:p w14:paraId="3C1EC587" w14:textId="77777777" w:rsidR="0034091D" w:rsidRPr="00FC37BE" w:rsidRDefault="0034091D" w:rsidP="0034091D">
      <w:pPr>
        <w:jc w:val="both"/>
        <w:rPr>
          <w:rFonts w:ascii="Arial" w:hAnsi="Arial" w:cs="Arial"/>
        </w:rPr>
      </w:pPr>
      <w:r w:rsidRPr="00FC37BE">
        <w:rPr>
          <w:rFonts w:ascii="Arial" w:hAnsi="Arial" w:cs="Arial"/>
        </w:rPr>
        <w:t xml:space="preserve">El motivo por el cual el Tribunal negó las pretensiones de rompimiento del equilibrio económico del contrato fue que, a su juicio, el mayor número de niños atendidos no constituía un supuesto de ruptura de la ecuación contractual propio de la teoría de la imprevisión y que, por el contrario, en el contrato se había estipulado que en ningún caso podrían atenderse más de 4000 niños. Por otra parte, el Tribunal reprochó que el contratista, si consideraba que el equilibrio económico del contrato se había visto afectado, no lo hubiera puesto en conocimiento de la Secretaría de Educación, para lo cual indicó que en el expediente no existían comunicaciones en este sentido. Esta consideración fue apenas un dicho de paso y no la razón de la decisión adoptada por el Tribunal. Al margen de lo anterior, el Tribunal sí tuvo presente que en ejecución del contrato se prestó el servicio educativo a más de 4000 niños y así lo reseñó en el acápite de hechos probados de la Sentencia de primera instancia.  En ese orden de ideas, no es cierto que el Tribunal haya ignorado el hecho de que el demandante atendiera a más niños de los 4000 inicialmente previstos en el contrato y, de todas formas, esta consideración no fue la razón de la decisión adoptada por el Tribunal. </w:t>
      </w:r>
    </w:p>
    <w:p w14:paraId="23050224" w14:textId="77777777" w:rsidR="00982D23" w:rsidRPr="00FC37BE" w:rsidRDefault="00982D23" w:rsidP="0034091D">
      <w:pPr>
        <w:jc w:val="both"/>
        <w:rPr>
          <w:rFonts w:ascii="Arial" w:hAnsi="Arial" w:cs="Arial"/>
          <w:b/>
          <w:bCs/>
        </w:rPr>
      </w:pPr>
    </w:p>
    <w:p w14:paraId="43AB18F5" w14:textId="331D963D" w:rsidR="0034091D" w:rsidRPr="00FC37BE" w:rsidRDefault="0034091D" w:rsidP="0034091D">
      <w:pPr>
        <w:jc w:val="both"/>
        <w:rPr>
          <w:rFonts w:ascii="Arial" w:hAnsi="Arial" w:cs="Arial"/>
          <w:b/>
          <w:bCs/>
        </w:rPr>
      </w:pPr>
      <w:r w:rsidRPr="00FC37BE">
        <w:rPr>
          <w:rFonts w:ascii="Arial" w:hAnsi="Arial" w:cs="Arial"/>
          <w:b/>
          <w:bCs/>
        </w:rPr>
        <w:t xml:space="preserve">APELACIÓN </w:t>
      </w:r>
      <w:r w:rsidR="00982D23" w:rsidRPr="00FC37BE">
        <w:rPr>
          <w:rFonts w:ascii="Arial" w:hAnsi="Arial" w:cs="Arial"/>
          <w:b/>
          <w:bCs/>
        </w:rPr>
        <w:t>-</w:t>
      </w:r>
      <w:r w:rsidRPr="00FC37BE">
        <w:rPr>
          <w:rFonts w:ascii="Arial" w:hAnsi="Arial" w:cs="Arial"/>
          <w:b/>
          <w:bCs/>
        </w:rPr>
        <w:t xml:space="preserve"> Competencia</w:t>
      </w:r>
    </w:p>
    <w:p w14:paraId="15E94BC5" w14:textId="77777777" w:rsidR="0034091D" w:rsidRPr="00FC37BE" w:rsidRDefault="0034091D" w:rsidP="0034091D">
      <w:pPr>
        <w:jc w:val="both"/>
        <w:rPr>
          <w:rFonts w:ascii="Arial" w:hAnsi="Arial" w:cs="Arial"/>
        </w:rPr>
      </w:pPr>
    </w:p>
    <w:p w14:paraId="320C7319" w14:textId="77777777" w:rsidR="0034091D" w:rsidRPr="00FC37BE" w:rsidRDefault="0034091D" w:rsidP="0034091D">
      <w:pPr>
        <w:jc w:val="both"/>
        <w:rPr>
          <w:rFonts w:ascii="Arial" w:hAnsi="Arial" w:cs="Arial"/>
        </w:rPr>
      </w:pPr>
      <w:r w:rsidRPr="00FC37BE">
        <w:rPr>
          <w:rFonts w:ascii="Arial" w:hAnsi="Arial" w:cs="Arial"/>
        </w:rPr>
        <w:t>También es importante señalar que, de conformidad con el artículo 357 del Código de Procedimiento Civil (CPC), esta Sala se abstendrá de pronunciarse sobre la calificación que el Tribunal hizo del aumento en el número de estudiantes como supuesto de rompimiento de la ecuación financiera del contrato, en la medida en que este no fue uno de los puntos del recurso de apelación interpuesto por la parte demandante. Al margen de esto, no obra prueba en el expediente en la que se acredite que el Departamento de Guaviare obligó al demandante a prestar el servicio a más estudiantes, sino que, por el contrario, pareciera que fue Cristian Fabián Vargas Rodríguez quien se tomó la libertad de atender más niños de los inicialmente estipulados.</w:t>
      </w:r>
    </w:p>
    <w:p w14:paraId="7878336C" w14:textId="77777777" w:rsidR="00982D23" w:rsidRPr="00FC37BE" w:rsidRDefault="00982D23" w:rsidP="0034091D">
      <w:pPr>
        <w:jc w:val="both"/>
        <w:rPr>
          <w:rFonts w:ascii="Arial" w:hAnsi="Arial" w:cs="Arial"/>
          <w:b/>
        </w:rPr>
      </w:pPr>
    </w:p>
    <w:p w14:paraId="2F4C9FBA" w14:textId="00293A31" w:rsidR="0034091D" w:rsidRPr="00FC37BE" w:rsidRDefault="0034091D" w:rsidP="0034091D">
      <w:pPr>
        <w:jc w:val="both"/>
        <w:rPr>
          <w:rFonts w:ascii="Arial" w:hAnsi="Arial" w:cs="Arial"/>
          <w:b/>
          <w:bCs/>
        </w:rPr>
      </w:pPr>
      <w:r w:rsidRPr="00FC37BE">
        <w:rPr>
          <w:rFonts w:ascii="Arial" w:hAnsi="Arial" w:cs="Arial"/>
          <w:b/>
        </w:rPr>
        <w:t>CONTRA</w:t>
      </w:r>
      <w:r w:rsidR="00982D23" w:rsidRPr="00FC37BE">
        <w:rPr>
          <w:rFonts w:ascii="Arial" w:hAnsi="Arial" w:cs="Arial"/>
          <w:b/>
        </w:rPr>
        <w:t>TO ESTATAL</w:t>
      </w:r>
      <w:r w:rsidRPr="00FC37BE">
        <w:rPr>
          <w:rFonts w:ascii="Arial" w:hAnsi="Arial" w:cs="Arial"/>
          <w:b/>
        </w:rPr>
        <w:t xml:space="preserve"> </w:t>
      </w:r>
      <w:r w:rsidR="00982D23" w:rsidRPr="00FC37BE">
        <w:rPr>
          <w:rFonts w:ascii="Arial" w:hAnsi="Arial" w:cs="Arial"/>
          <w:b/>
        </w:rPr>
        <w:t>- Obligaciones -</w:t>
      </w:r>
      <w:r w:rsidRPr="00FC37BE">
        <w:rPr>
          <w:rFonts w:ascii="Arial" w:hAnsi="Arial" w:cs="Arial"/>
          <w:b/>
        </w:rPr>
        <w:t xml:space="preserve"> </w:t>
      </w:r>
      <w:r w:rsidRPr="00FC37BE">
        <w:rPr>
          <w:rFonts w:ascii="Arial" w:hAnsi="Arial" w:cs="Arial"/>
          <w:b/>
          <w:bCs/>
        </w:rPr>
        <w:t xml:space="preserve">Derecho a la educación </w:t>
      </w:r>
      <w:r w:rsidR="00982D23" w:rsidRPr="00FC37BE">
        <w:rPr>
          <w:rFonts w:ascii="Arial" w:hAnsi="Arial" w:cs="Arial"/>
          <w:b/>
          <w:bCs/>
        </w:rPr>
        <w:t>-</w:t>
      </w:r>
      <w:r w:rsidRPr="00FC37BE">
        <w:rPr>
          <w:rFonts w:ascii="Arial" w:hAnsi="Arial" w:cs="Arial"/>
          <w:b/>
          <w:bCs/>
        </w:rPr>
        <w:t xml:space="preserve"> Derechos de los niños </w:t>
      </w:r>
    </w:p>
    <w:p w14:paraId="29987E6F" w14:textId="77777777" w:rsidR="0034091D" w:rsidRPr="00FC37BE" w:rsidRDefault="0034091D" w:rsidP="0034091D">
      <w:pPr>
        <w:jc w:val="both"/>
        <w:rPr>
          <w:rFonts w:ascii="Arial" w:hAnsi="Arial" w:cs="Arial"/>
          <w:b/>
        </w:rPr>
      </w:pPr>
    </w:p>
    <w:p w14:paraId="5A373653" w14:textId="77777777" w:rsidR="0034091D" w:rsidRPr="00FC37BE" w:rsidRDefault="0034091D" w:rsidP="0034091D">
      <w:pPr>
        <w:ind w:right="-142"/>
        <w:contextualSpacing/>
        <w:jc w:val="both"/>
        <w:rPr>
          <w:rFonts w:ascii="Arial" w:hAnsi="Arial" w:cs="Arial"/>
        </w:rPr>
      </w:pPr>
      <w:r w:rsidRPr="00FC37BE">
        <w:rPr>
          <w:rFonts w:ascii="Arial" w:hAnsi="Arial" w:cs="Arial"/>
        </w:rPr>
        <w:t xml:space="preserve">En el capítulo de derechos sociales, económicos y culturales de la Constitución Política, se prevé que “la educación es un derecho de la persona y un servicio público que tiene una función social”, “el Estado, la sociedad y la familia son responsables de la educación” (Art. 67) y “el Estado tiene el deber de promover y fomentar al acceso a la cultura de todos los colombianos en igualdad de oportunidades, por medio de la educación permanente y la enseñanza técnica, artística y profesional” (Art. 70). De igual forma, es cierto que en virtud del inciso final del artículo 44 superior, los derechos de los niños prevalecen sobre los derechos de los demás.  Las anteriores normas constitucionales no son incompatibles con aquellas que regulan la formación y ejecución de los contratos, como lo son las relativas al pago -contenidas en el título XIV del Código Civil-, las cuales regulan, en extenso, cómo deben ejecutarse las prestaciones de un determinado contrato. Sobre el pago en general los artículos 1626 y 1627 establecen lo </w:t>
      </w:r>
      <w:proofErr w:type="spellStart"/>
      <w:proofErr w:type="gramStart"/>
      <w:r w:rsidRPr="00FC37BE">
        <w:rPr>
          <w:rFonts w:ascii="Arial" w:hAnsi="Arial" w:cs="Arial"/>
        </w:rPr>
        <w:t>siguiente:“</w:t>
      </w:r>
      <w:proofErr w:type="gramEnd"/>
      <w:r w:rsidRPr="00FC37BE">
        <w:rPr>
          <w:rFonts w:ascii="Arial" w:hAnsi="Arial" w:cs="Arial"/>
        </w:rPr>
        <w:t>Artículo</w:t>
      </w:r>
      <w:proofErr w:type="spellEnd"/>
      <w:r w:rsidRPr="00FC37BE">
        <w:rPr>
          <w:rFonts w:ascii="Arial" w:hAnsi="Arial" w:cs="Arial"/>
        </w:rPr>
        <w:t xml:space="preserve"> 1626. El pago efectivo es la prestación de lo que se debe”. “Artículo 1627. El pago se hará bajo todos respectos en conformidad al tenor de la obligación; sin perjuicio de lo que en los casos especiales dispongan las leyes (…)”. De acuerdo con las normas en cita, en el caso bajo estudio el contratista estaba obligado a cumplir con sus obligaciones al tenor de lo acordado con la Secretaría de Educación: es decir, debía prestar el servicio de educación a 4000 niños en la zona rural del Departamento de Guaviare y no estaba obligado, en ningún caso, a prestar el servicio a más niños. En ese sentido, no es cierto que la parte demandante estuviera en la obligación de atender a más de 4000 niños y, por consiguiente, este cargo de la apelación también será rechazado.</w:t>
      </w:r>
    </w:p>
    <w:p w14:paraId="132BEB5E" w14:textId="77777777" w:rsidR="00FB1B99" w:rsidRDefault="00FB1B99" w:rsidP="00626308">
      <w:pPr>
        <w:tabs>
          <w:tab w:val="left" w:pos="495"/>
          <w:tab w:val="left" w:pos="810"/>
          <w:tab w:val="left" w:pos="930"/>
          <w:tab w:val="left" w:pos="2085"/>
        </w:tabs>
        <w:spacing w:line="360" w:lineRule="auto"/>
        <w:ind w:right="-142"/>
        <w:contextualSpacing/>
        <w:rPr>
          <w:rFonts w:ascii="Century Gothic" w:hAnsi="Century Gothic" w:cs="Arial"/>
          <w:b/>
          <w:sz w:val="24"/>
          <w:szCs w:val="24"/>
        </w:rPr>
      </w:pPr>
    </w:p>
    <w:p w14:paraId="16F12721" w14:textId="77777777" w:rsidR="00FB1B99" w:rsidRDefault="00FB1B99" w:rsidP="00626308">
      <w:pPr>
        <w:tabs>
          <w:tab w:val="left" w:pos="495"/>
          <w:tab w:val="left" w:pos="810"/>
          <w:tab w:val="left" w:pos="930"/>
          <w:tab w:val="left" w:pos="2085"/>
        </w:tabs>
        <w:spacing w:line="360" w:lineRule="auto"/>
        <w:ind w:right="-142"/>
        <w:contextualSpacing/>
        <w:rPr>
          <w:rFonts w:ascii="Century Gothic" w:hAnsi="Century Gothic" w:cs="Arial"/>
          <w:b/>
          <w:sz w:val="24"/>
          <w:szCs w:val="24"/>
        </w:rPr>
      </w:pPr>
    </w:p>
    <w:p w14:paraId="3C76D662" w14:textId="77777777" w:rsidR="00FB1B99" w:rsidRDefault="00FB1B99" w:rsidP="00626308">
      <w:pPr>
        <w:tabs>
          <w:tab w:val="left" w:pos="495"/>
          <w:tab w:val="left" w:pos="810"/>
          <w:tab w:val="left" w:pos="930"/>
          <w:tab w:val="left" w:pos="2085"/>
        </w:tabs>
        <w:spacing w:line="360" w:lineRule="auto"/>
        <w:ind w:right="-142"/>
        <w:contextualSpacing/>
        <w:rPr>
          <w:rFonts w:ascii="Century Gothic" w:hAnsi="Century Gothic" w:cs="Arial"/>
          <w:b/>
          <w:sz w:val="24"/>
          <w:szCs w:val="24"/>
        </w:rPr>
      </w:pPr>
    </w:p>
    <w:p w14:paraId="41FE05F1" w14:textId="44D5EFFF" w:rsidR="00626308" w:rsidRPr="00742D59" w:rsidRDefault="00E314B3" w:rsidP="00403AEF">
      <w:pPr>
        <w:tabs>
          <w:tab w:val="left" w:pos="495"/>
          <w:tab w:val="left" w:pos="810"/>
          <w:tab w:val="left" w:pos="930"/>
          <w:tab w:val="left" w:pos="2085"/>
        </w:tabs>
        <w:spacing w:line="360" w:lineRule="auto"/>
        <w:ind w:right="-142"/>
        <w:contextualSpacing/>
        <w:rPr>
          <w:rFonts w:ascii="Century Gothic" w:hAnsi="Century Gothic" w:cs="Arial"/>
          <w:b/>
          <w:sz w:val="24"/>
          <w:szCs w:val="24"/>
        </w:rPr>
      </w:pPr>
      <w:r>
        <w:rPr>
          <w:rFonts w:ascii="Century Gothic" w:hAnsi="Century Gothic" w:cs="Arial"/>
          <w:b/>
          <w:noProof/>
          <w:sz w:val="24"/>
          <w:szCs w:val="24"/>
          <w:lang w:val="en-US"/>
        </w:rPr>
        <w:drawing>
          <wp:anchor distT="0" distB="0" distL="114300" distR="114300" simplePos="0" relativeHeight="251657728" behindDoc="0" locked="0" layoutInCell="1" allowOverlap="1" wp14:anchorId="571C42E9" wp14:editId="723FD7E2">
            <wp:simplePos x="0" y="0"/>
            <wp:positionH relativeFrom="column">
              <wp:posOffset>-52705</wp:posOffset>
            </wp:positionH>
            <wp:positionV relativeFrom="paragraph">
              <wp:posOffset>-717550</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308" w:rsidRPr="00D34179">
        <w:rPr>
          <w:rFonts w:ascii="Century Gothic" w:hAnsi="Century Gothic" w:cs="Arial"/>
          <w:b/>
          <w:sz w:val="24"/>
          <w:szCs w:val="24"/>
        </w:rPr>
        <w:tab/>
        <w:t xml:space="preserve">               </w:t>
      </w:r>
      <w:r w:rsidR="00626308" w:rsidRPr="00742D59">
        <w:rPr>
          <w:rFonts w:ascii="Century Gothic" w:hAnsi="Century Gothic" w:cs="Arial"/>
          <w:b/>
          <w:sz w:val="24"/>
          <w:szCs w:val="24"/>
        </w:rPr>
        <w:t>CONSEJO DE ESTADO</w:t>
      </w:r>
    </w:p>
    <w:p w14:paraId="4936D700" w14:textId="77777777" w:rsidR="00626308" w:rsidRPr="00742D59" w:rsidRDefault="00626308" w:rsidP="00626308">
      <w:pPr>
        <w:ind w:right="-142"/>
        <w:contextualSpacing/>
        <w:jc w:val="center"/>
        <w:rPr>
          <w:rFonts w:ascii="Century Gothic" w:hAnsi="Century Gothic" w:cs="Arial"/>
          <w:b/>
          <w:sz w:val="24"/>
          <w:szCs w:val="24"/>
        </w:rPr>
      </w:pPr>
    </w:p>
    <w:p w14:paraId="57E2FCC8" w14:textId="77777777" w:rsidR="00626308" w:rsidRPr="00742D59" w:rsidRDefault="00626308" w:rsidP="00626308">
      <w:pPr>
        <w:ind w:right="-142"/>
        <w:contextualSpacing/>
        <w:jc w:val="center"/>
        <w:rPr>
          <w:rFonts w:ascii="Century Gothic" w:hAnsi="Century Gothic" w:cs="Arial"/>
          <w:b/>
          <w:sz w:val="24"/>
          <w:szCs w:val="24"/>
        </w:rPr>
      </w:pPr>
      <w:r w:rsidRPr="00742D59">
        <w:rPr>
          <w:rFonts w:ascii="Century Gothic" w:hAnsi="Century Gothic" w:cs="Arial"/>
          <w:b/>
          <w:sz w:val="24"/>
          <w:szCs w:val="24"/>
        </w:rPr>
        <w:t>SALA DE LO CONTENCIOSO ADMINISTRATIVO</w:t>
      </w:r>
    </w:p>
    <w:p w14:paraId="3A086012" w14:textId="77777777" w:rsidR="00626308" w:rsidRPr="00742D59" w:rsidRDefault="00626308" w:rsidP="00626308">
      <w:pPr>
        <w:ind w:right="-142"/>
        <w:contextualSpacing/>
        <w:jc w:val="center"/>
        <w:rPr>
          <w:rFonts w:ascii="Century Gothic" w:hAnsi="Century Gothic" w:cs="Arial"/>
          <w:b/>
          <w:sz w:val="24"/>
          <w:szCs w:val="24"/>
        </w:rPr>
      </w:pPr>
    </w:p>
    <w:p w14:paraId="6E5A5D17" w14:textId="77777777" w:rsidR="00626308" w:rsidRPr="00742D59" w:rsidRDefault="00626308" w:rsidP="00626308">
      <w:pPr>
        <w:ind w:right="-142"/>
        <w:contextualSpacing/>
        <w:jc w:val="center"/>
        <w:rPr>
          <w:rFonts w:ascii="Century Gothic" w:hAnsi="Century Gothic" w:cs="Arial"/>
          <w:b/>
          <w:sz w:val="24"/>
          <w:szCs w:val="24"/>
        </w:rPr>
      </w:pPr>
      <w:r w:rsidRPr="00742D59">
        <w:rPr>
          <w:rFonts w:ascii="Century Gothic" w:hAnsi="Century Gothic" w:cs="Arial"/>
          <w:b/>
          <w:sz w:val="24"/>
          <w:szCs w:val="24"/>
        </w:rPr>
        <w:lastRenderedPageBreak/>
        <w:t>SECCIÓN TERCERA</w:t>
      </w:r>
    </w:p>
    <w:p w14:paraId="1BB2314C" w14:textId="77777777" w:rsidR="00626308" w:rsidRPr="00742D59" w:rsidRDefault="00626308" w:rsidP="00626308">
      <w:pPr>
        <w:ind w:right="-142"/>
        <w:contextualSpacing/>
        <w:jc w:val="center"/>
        <w:rPr>
          <w:rFonts w:ascii="Century Gothic" w:hAnsi="Century Gothic" w:cs="Arial"/>
          <w:b/>
          <w:sz w:val="24"/>
          <w:szCs w:val="24"/>
        </w:rPr>
      </w:pPr>
    </w:p>
    <w:p w14:paraId="1E19E07E" w14:textId="77777777" w:rsidR="00626308" w:rsidRPr="00742D59" w:rsidRDefault="00626308" w:rsidP="00626308">
      <w:pPr>
        <w:tabs>
          <w:tab w:val="center" w:pos="4420"/>
          <w:tab w:val="left" w:pos="6060"/>
        </w:tabs>
        <w:ind w:right="-142"/>
        <w:contextualSpacing/>
        <w:jc w:val="center"/>
        <w:rPr>
          <w:rFonts w:ascii="Century Gothic" w:hAnsi="Century Gothic" w:cs="Arial"/>
          <w:b/>
          <w:sz w:val="24"/>
          <w:szCs w:val="24"/>
        </w:rPr>
      </w:pPr>
      <w:r w:rsidRPr="00742D59">
        <w:rPr>
          <w:rFonts w:ascii="Century Gothic" w:hAnsi="Century Gothic" w:cs="Arial"/>
          <w:b/>
          <w:sz w:val="24"/>
          <w:szCs w:val="24"/>
        </w:rPr>
        <w:t>SUBSECCIÓN B</w:t>
      </w:r>
    </w:p>
    <w:p w14:paraId="61C5F7DF" w14:textId="77777777" w:rsidR="00626308" w:rsidRPr="00742D59" w:rsidRDefault="00626308" w:rsidP="00626308">
      <w:pPr>
        <w:ind w:right="-142"/>
        <w:contextualSpacing/>
        <w:jc w:val="center"/>
        <w:rPr>
          <w:rFonts w:ascii="Century Gothic" w:hAnsi="Century Gothic" w:cs="Arial"/>
          <w:b/>
          <w:sz w:val="24"/>
          <w:szCs w:val="24"/>
        </w:rPr>
      </w:pPr>
    </w:p>
    <w:p w14:paraId="02C30566" w14:textId="77777777" w:rsidR="00626308" w:rsidRPr="00742D59" w:rsidRDefault="00626308" w:rsidP="00626308">
      <w:pPr>
        <w:ind w:right="-142"/>
        <w:contextualSpacing/>
        <w:jc w:val="center"/>
        <w:rPr>
          <w:rFonts w:ascii="Century Gothic" w:hAnsi="Century Gothic" w:cs="Arial"/>
          <w:b/>
          <w:sz w:val="24"/>
          <w:szCs w:val="24"/>
        </w:rPr>
      </w:pPr>
      <w:r w:rsidRPr="00E210A2">
        <w:rPr>
          <w:rFonts w:ascii="Century Gothic" w:hAnsi="Century Gothic" w:cs="Arial"/>
          <w:sz w:val="24"/>
          <w:szCs w:val="24"/>
        </w:rPr>
        <w:t>Consejero ponente:</w:t>
      </w:r>
      <w:r w:rsidRPr="00742D59">
        <w:rPr>
          <w:rFonts w:ascii="Century Gothic" w:hAnsi="Century Gothic" w:cs="Arial"/>
          <w:b/>
          <w:sz w:val="24"/>
          <w:szCs w:val="24"/>
        </w:rPr>
        <w:t xml:space="preserve"> </w:t>
      </w:r>
      <w:r w:rsidRPr="000E49A5">
        <w:rPr>
          <w:rFonts w:ascii="Century Gothic" w:hAnsi="Century Gothic" w:cs="Arial"/>
          <w:sz w:val="24"/>
          <w:szCs w:val="24"/>
        </w:rPr>
        <w:t>Alberto Montaña Plata</w:t>
      </w:r>
    </w:p>
    <w:p w14:paraId="0EB2D64D" w14:textId="77777777" w:rsidR="00626308" w:rsidRPr="00742D59" w:rsidRDefault="00626308" w:rsidP="00626308">
      <w:pPr>
        <w:ind w:right="-142"/>
        <w:contextualSpacing/>
        <w:jc w:val="center"/>
        <w:rPr>
          <w:rFonts w:ascii="Century Gothic" w:hAnsi="Century Gothic" w:cs="Arial"/>
          <w:b/>
          <w:sz w:val="24"/>
          <w:szCs w:val="24"/>
        </w:rPr>
      </w:pPr>
    </w:p>
    <w:p w14:paraId="7DD3FCF2" w14:textId="77777777" w:rsidR="00626308" w:rsidRPr="00742D59" w:rsidRDefault="00626308" w:rsidP="00626308">
      <w:pPr>
        <w:ind w:right="-142"/>
        <w:contextualSpacing/>
        <w:jc w:val="both"/>
        <w:rPr>
          <w:rFonts w:ascii="Century Gothic" w:hAnsi="Century Gothic" w:cs="Arial"/>
          <w:sz w:val="24"/>
          <w:szCs w:val="24"/>
        </w:rPr>
      </w:pPr>
      <w:r>
        <w:rPr>
          <w:rFonts w:ascii="Century Gothic" w:hAnsi="Century Gothic" w:cs="Arial"/>
          <w:sz w:val="24"/>
          <w:szCs w:val="24"/>
        </w:rPr>
        <w:t xml:space="preserve">Bogotá D.C., 5 de agosto </w:t>
      </w:r>
      <w:r w:rsidRPr="00742D59">
        <w:rPr>
          <w:rFonts w:ascii="Century Gothic" w:hAnsi="Century Gothic" w:cs="Arial"/>
          <w:sz w:val="24"/>
          <w:szCs w:val="24"/>
        </w:rPr>
        <w:t>de 2019</w:t>
      </w:r>
    </w:p>
    <w:p w14:paraId="489BD0DE" w14:textId="77777777" w:rsidR="00626308" w:rsidRPr="00742D59" w:rsidRDefault="00626308" w:rsidP="00626308">
      <w:pPr>
        <w:ind w:right="-142"/>
        <w:contextualSpacing/>
        <w:jc w:val="both"/>
        <w:rPr>
          <w:rFonts w:ascii="Century Gothic" w:hAnsi="Century Gothic" w:cs="Arial"/>
          <w:sz w:val="24"/>
          <w:szCs w:val="24"/>
        </w:rPr>
      </w:pPr>
    </w:p>
    <w:p w14:paraId="1CA89F5B" w14:textId="77777777" w:rsidR="00626308" w:rsidRPr="008E5C40" w:rsidRDefault="00626308" w:rsidP="00626308">
      <w:pPr>
        <w:ind w:right="-142"/>
        <w:contextualSpacing/>
        <w:jc w:val="both"/>
        <w:rPr>
          <w:rFonts w:ascii="Century Gothic" w:hAnsi="Century Gothic" w:cs="Arial"/>
          <w:szCs w:val="24"/>
        </w:rPr>
      </w:pPr>
      <w:r w:rsidRPr="008E5C40">
        <w:rPr>
          <w:rFonts w:ascii="Century Gothic" w:hAnsi="Century Gothic" w:cs="Arial"/>
          <w:b/>
          <w:szCs w:val="24"/>
        </w:rPr>
        <w:t xml:space="preserve">Radicación número: </w:t>
      </w:r>
      <w:r w:rsidRPr="008E5C40">
        <w:rPr>
          <w:rFonts w:ascii="Century Gothic" w:hAnsi="Century Gothic" w:cs="Arial"/>
          <w:b/>
          <w:szCs w:val="24"/>
        </w:rPr>
        <w:tab/>
      </w:r>
      <w:r>
        <w:rPr>
          <w:rFonts w:ascii="Century Gothic" w:hAnsi="Century Gothic" w:cs="Arial"/>
          <w:szCs w:val="24"/>
        </w:rPr>
        <w:t>50001-23-31-000-2008-000363-01 (44.681</w:t>
      </w:r>
      <w:r w:rsidRPr="008E5C40">
        <w:rPr>
          <w:rFonts w:ascii="Century Gothic" w:hAnsi="Century Gothic" w:cs="Arial"/>
          <w:szCs w:val="24"/>
        </w:rPr>
        <w:t>)</w:t>
      </w:r>
    </w:p>
    <w:p w14:paraId="0BF61D36" w14:textId="77777777" w:rsidR="00626308" w:rsidRPr="00D42E73" w:rsidRDefault="00626308" w:rsidP="00626308">
      <w:pPr>
        <w:ind w:left="2832" w:right="-142" w:hanging="2832"/>
        <w:contextualSpacing/>
        <w:jc w:val="both"/>
        <w:rPr>
          <w:rFonts w:ascii="Century Gothic" w:hAnsi="Century Gothic" w:cs="Arial"/>
          <w:szCs w:val="24"/>
        </w:rPr>
      </w:pPr>
      <w:r w:rsidRPr="008E5C40">
        <w:rPr>
          <w:rFonts w:ascii="Century Gothic" w:hAnsi="Century Gothic" w:cs="Arial"/>
          <w:b/>
          <w:szCs w:val="24"/>
        </w:rPr>
        <w:t xml:space="preserve">Actor: </w:t>
      </w:r>
      <w:r w:rsidRPr="008E5C40">
        <w:rPr>
          <w:rFonts w:ascii="Century Gothic" w:hAnsi="Century Gothic" w:cs="Arial"/>
          <w:b/>
          <w:szCs w:val="24"/>
        </w:rPr>
        <w:tab/>
      </w:r>
      <w:r>
        <w:rPr>
          <w:rFonts w:ascii="Century Gothic" w:hAnsi="Century Gothic" w:cs="Arial"/>
          <w:szCs w:val="24"/>
        </w:rPr>
        <w:t>Cristian Fabián Vargas Rodríguez</w:t>
      </w:r>
    </w:p>
    <w:p w14:paraId="7BCB481A" w14:textId="77777777" w:rsidR="00626308" w:rsidRPr="008E5C40" w:rsidRDefault="00626308" w:rsidP="00626308">
      <w:pPr>
        <w:ind w:left="2832" w:right="-142" w:hanging="2832"/>
        <w:contextualSpacing/>
        <w:jc w:val="both"/>
        <w:rPr>
          <w:rFonts w:ascii="Century Gothic" w:hAnsi="Century Gothic" w:cs="Arial"/>
          <w:szCs w:val="24"/>
        </w:rPr>
      </w:pPr>
      <w:r>
        <w:rPr>
          <w:rFonts w:ascii="Century Gothic" w:hAnsi="Century Gothic" w:cs="Arial"/>
          <w:b/>
          <w:szCs w:val="24"/>
        </w:rPr>
        <w:t xml:space="preserve">Demandado: </w:t>
      </w:r>
      <w:r>
        <w:rPr>
          <w:rFonts w:ascii="Century Gothic" w:hAnsi="Century Gothic" w:cs="Arial"/>
          <w:b/>
          <w:szCs w:val="24"/>
        </w:rPr>
        <w:tab/>
      </w:r>
      <w:r>
        <w:rPr>
          <w:rFonts w:ascii="Century Gothic" w:hAnsi="Century Gothic" w:cs="Arial"/>
          <w:szCs w:val="24"/>
        </w:rPr>
        <w:t>Departamento de Guaviare – Secretaría de Educación</w:t>
      </w:r>
      <w:r w:rsidRPr="008E5C40">
        <w:rPr>
          <w:rFonts w:ascii="Century Gothic" w:hAnsi="Century Gothic" w:cs="Arial"/>
          <w:szCs w:val="24"/>
        </w:rPr>
        <w:t xml:space="preserve"> </w:t>
      </w:r>
    </w:p>
    <w:p w14:paraId="409A0315" w14:textId="77777777" w:rsidR="00626308" w:rsidRPr="008E5C40" w:rsidRDefault="00626308" w:rsidP="00626308">
      <w:pPr>
        <w:ind w:right="-142"/>
        <w:contextualSpacing/>
        <w:jc w:val="both"/>
        <w:rPr>
          <w:rFonts w:ascii="Century Gothic" w:hAnsi="Century Gothic" w:cs="Arial"/>
          <w:szCs w:val="24"/>
        </w:rPr>
      </w:pPr>
      <w:r w:rsidRPr="008E5C40">
        <w:rPr>
          <w:rFonts w:ascii="Century Gothic" w:hAnsi="Century Gothic" w:cs="Arial"/>
          <w:b/>
          <w:szCs w:val="24"/>
        </w:rPr>
        <w:t xml:space="preserve">Referencia: </w:t>
      </w:r>
      <w:r w:rsidRPr="008E5C40">
        <w:rPr>
          <w:rFonts w:ascii="Century Gothic" w:hAnsi="Century Gothic" w:cs="Arial"/>
          <w:b/>
          <w:szCs w:val="24"/>
        </w:rPr>
        <w:tab/>
      </w:r>
      <w:r w:rsidRPr="008E5C40">
        <w:rPr>
          <w:rFonts w:ascii="Century Gothic" w:hAnsi="Century Gothic" w:cs="Arial"/>
          <w:b/>
          <w:szCs w:val="24"/>
        </w:rPr>
        <w:tab/>
      </w:r>
      <w:r w:rsidRPr="008E5C40">
        <w:rPr>
          <w:rFonts w:ascii="Century Gothic" w:hAnsi="Century Gothic" w:cs="Arial"/>
          <w:b/>
          <w:szCs w:val="24"/>
        </w:rPr>
        <w:tab/>
      </w:r>
      <w:r w:rsidRPr="008E5C40">
        <w:rPr>
          <w:rFonts w:ascii="Century Gothic" w:hAnsi="Century Gothic" w:cs="Arial"/>
          <w:szCs w:val="24"/>
        </w:rPr>
        <w:t xml:space="preserve">Controversias contractuales </w:t>
      </w:r>
    </w:p>
    <w:p w14:paraId="6F751D5C" w14:textId="77777777" w:rsidR="00626308" w:rsidRPr="003F2531" w:rsidRDefault="00626308" w:rsidP="00626308">
      <w:pPr>
        <w:ind w:right="-142"/>
        <w:contextualSpacing/>
        <w:jc w:val="both"/>
        <w:rPr>
          <w:rFonts w:ascii="Century Gothic" w:hAnsi="Century Gothic" w:cs="Arial"/>
        </w:rPr>
      </w:pPr>
    </w:p>
    <w:p w14:paraId="7AF43F5D" w14:textId="77777777" w:rsidR="00626308" w:rsidRDefault="00626308" w:rsidP="00626308">
      <w:pPr>
        <w:ind w:right="-142"/>
        <w:contextualSpacing/>
        <w:jc w:val="both"/>
        <w:rPr>
          <w:rFonts w:ascii="Century Gothic" w:hAnsi="Century Gothic" w:cs="Arial"/>
          <w:sz w:val="20"/>
        </w:rPr>
      </w:pPr>
      <w:r w:rsidRPr="000A2589">
        <w:rPr>
          <w:rFonts w:ascii="Century Gothic" w:hAnsi="Century Gothic" w:cs="Arial"/>
          <w:sz w:val="20"/>
        </w:rPr>
        <w:t>Temas:</w:t>
      </w:r>
      <w:r w:rsidRPr="008369FE">
        <w:rPr>
          <w:rFonts w:ascii="Century Gothic" w:hAnsi="Century Gothic" w:cs="Arial"/>
          <w:sz w:val="20"/>
        </w:rPr>
        <w:t xml:space="preserve"> co</w:t>
      </w:r>
      <w:r>
        <w:rPr>
          <w:rFonts w:ascii="Century Gothic" w:hAnsi="Century Gothic" w:cs="Arial"/>
          <w:sz w:val="20"/>
        </w:rPr>
        <w:t>ntroversias contractuales</w:t>
      </w:r>
      <w:r w:rsidRPr="00AC7AD8">
        <w:rPr>
          <w:rFonts w:ascii="Century Gothic" w:hAnsi="Century Gothic" w:cs="Arial"/>
          <w:sz w:val="20"/>
        </w:rPr>
        <w:t xml:space="preserve"> –</w:t>
      </w:r>
      <w:r>
        <w:rPr>
          <w:rFonts w:ascii="Century Gothic" w:hAnsi="Century Gothic" w:cs="Arial"/>
          <w:sz w:val="20"/>
        </w:rPr>
        <w:t xml:space="preserve"> rompimiento del equilibrio económico del contrato </w:t>
      </w:r>
    </w:p>
    <w:p w14:paraId="072FD730" w14:textId="77777777" w:rsidR="00626308" w:rsidRPr="008369FE" w:rsidRDefault="00626308" w:rsidP="00626308">
      <w:pPr>
        <w:ind w:right="-142"/>
        <w:contextualSpacing/>
        <w:jc w:val="both"/>
        <w:rPr>
          <w:rFonts w:ascii="Century Gothic" w:hAnsi="Century Gothic" w:cs="Arial"/>
          <w:sz w:val="20"/>
        </w:rPr>
      </w:pPr>
    </w:p>
    <w:p w14:paraId="515EFE6A" w14:textId="77777777" w:rsidR="00626308" w:rsidRDefault="00626308" w:rsidP="00626308">
      <w:pPr>
        <w:ind w:right="-142"/>
        <w:contextualSpacing/>
        <w:jc w:val="both"/>
        <w:rPr>
          <w:rFonts w:ascii="Century Gothic" w:hAnsi="Century Gothic" w:cs="Arial"/>
          <w:sz w:val="20"/>
        </w:rPr>
      </w:pPr>
      <w:r w:rsidRPr="000A2589">
        <w:rPr>
          <w:rFonts w:ascii="Century Gothic" w:hAnsi="Century Gothic" w:cs="Arial"/>
          <w:sz w:val="20"/>
        </w:rPr>
        <w:t>Síntesis:</w:t>
      </w:r>
      <w:r w:rsidRPr="008369FE">
        <w:rPr>
          <w:rFonts w:ascii="Century Gothic" w:hAnsi="Century Gothic" w:cs="Arial"/>
          <w:b/>
          <w:sz w:val="20"/>
        </w:rPr>
        <w:t xml:space="preserve"> </w:t>
      </w:r>
      <w:r>
        <w:rPr>
          <w:rFonts w:ascii="Century Gothic" w:hAnsi="Century Gothic" w:cs="Arial"/>
          <w:sz w:val="20"/>
        </w:rPr>
        <w:t xml:space="preserve">El demandante celebró con la secretaría de educación del Departamento un contrato para la prestación del servicio educativo a 4000 niños en la zona rural del departamento. Durante la ejecución del contrato, el demandante prestó el servicio a 4382 niños, es decir, 382 más de los previstos inicialmente en el contrato. En la demanda solicita que se declare el rompimiento del equilibrio económico del contrato, que se restablezca el mismo y, finalmente, que se liquide el contrato. </w:t>
      </w:r>
    </w:p>
    <w:p w14:paraId="44530844" w14:textId="77777777" w:rsidR="00626308" w:rsidRDefault="00626308" w:rsidP="00626308">
      <w:pPr>
        <w:spacing w:line="360" w:lineRule="auto"/>
        <w:ind w:right="-142"/>
        <w:contextualSpacing/>
        <w:jc w:val="both"/>
        <w:rPr>
          <w:rFonts w:ascii="Century Gothic" w:hAnsi="Century Gothic" w:cs="Arial"/>
          <w:sz w:val="24"/>
          <w:szCs w:val="24"/>
        </w:rPr>
      </w:pPr>
    </w:p>
    <w:p w14:paraId="4070F7CA" w14:textId="77777777" w:rsidR="00626308" w:rsidRPr="00D34179" w:rsidRDefault="00626308" w:rsidP="00626308">
      <w:pPr>
        <w:spacing w:line="360" w:lineRule="auto"/>
        <w:ind w:right="-142"/>
        <w:contextualSpacing/>
        <w:jc w:val="both"/>
        <w:rPr>
          <w:rFonts w:ascii="Century Gothic" w:hAnsi="Century Gothic" w:cs="Arial"/>
          <w:sz w:val="24"/>
          <w:szCs w:val="24"/>
        </w:rPr>
      </w:pPr>
      <w:r w:rsidRPr="00D34179">
        <w:rPr>
          <w:rFonts w:ascii="Century Gothic" w:hAnsi="Century Gothic" w:cs="Arial"/>
          <w:sz w:val="24"/>
          <w:szCs w:val="24"/>
        </w:rPr>
        <w:t>Decide la Sala el recurso de apelación interpuesto por</w:t>
      </w:r>
      <w:r>
        <w:rPr>
          <w:rFonts w:ascii="Century Gothic" w:hAnsi="Century Gothic" w:cs="Arial"/>
          <w:sz w:val="24"/>
          <w:szCs w:val="24"/>
        </w:rPr>
        <w:t xml:space="preserve"> la parte demandante contra la S</w:t>
      </w:r>
      <w:r w:rsidRPr="00D34179">
        <w:rPr>
          <w:rFonts w:ascii="Century Gothic" w:hAnsi="Century Gothic" w:cs="Arial"/>
          <w:sz w:val="24"/>
          <w:szCs w:val="24"/>
        </w:rPr>
        <w:t>entencia proferida por el Tribunal Admi</w:t>
      </w:r>
      <w:r>
        <w:rPr>
          <w:rFonts w:ascii="Century Gothic" w:hAnsi="Century Gothic" w:cs="Arial"/>
          <w:sz w:val="24"/>
          <w:szCs w:val="24"/>
        </w:rPr>
        <w:t>nistrativo de Meta el 14 de febrero de 2012</w:t>
      </w:r>
      <w:r w:rsidRPr="00D34179">
        <w:rPr>
          <w:rFonts w:ascii="Century Gothic" w:hAnsi="Century Gothic" w:cs="Arial"/>
          <w:sz w:val="24"/>
          <w:szCs w:val="24"/>
        </w:rPr>
        <w:t>, mediante la cual se decidió</w:t>
      </w:r>
      <w:r>
        <w:rPr>
          <w:rFonts w:ascii="Century Gothic" w:hAnsi="Century Gothic" w:cs="Arial"/>
          <w:sz w:val="24"/>
          <w:szCs w:val="24"/>
        </w:rPr>
        <w:t xml:space="preserve"> (se trascribe)</w:t>
      </w:r>
      <w:r w:rsidRPr="00D34179">
        <w:rPr>
          <w:rFonts w:ascii="Century Gothic" w:hAnsi="Century Gothic" w:cs="Arial"/>
          <w:sz w:val="24"/>
          <w:szCs w:val="24"/>
        </w:rPr>
        <w:t>:</w:t>
      </w:r>
    </w:p>
    <w:p w14:paraId="48DEC71D" w14:textId="77777777" w:rsidR="00626308" w:rsidRPr="00D34179" w:rsidRDefault="00626308" w:rsidP="00626308">
      <w:pPr>
        <w:spacing w:line="360" w:lineRule="auto"/>
        <w:ind w:right="-142"/>
        <w:contextualSpacing/>
        <w:jc w:val="both"/>
        <w:rPr>
          <w:rFonts w:ascii="Century Gothic" w:hAnsi="Century Gothic" w:cs="Arial"/>
          <w:i/>
          <w:iCs/>
          <w:sz w:val="24"/>
          <w:szCs w:val="24"/>
        </w:rPr>
      </w:pPr>
    </w:p>
    <w:p w14:paraId="25898F5C" w14:textId="77777777" w:rsidR="00626308" w:rsidRDefault="00626308" w:rsidP="00626308">
      <w:pPr>
        <w:ind w:left="567" w:right="567"/>
        <w:contextualSpacing/>
        <w:jc w:val="both"/>
        <w:rPr>
          <w:rFonts w:ascii="Century Gothic" w:hAnsi="Century Gothic" w:cs="Arial"/>
          <w:i/>
          <w:szCs w:val="24"/>
        </w:rPr>
      </w:pPr>
      <w:r w:rsidRPr="00206A6D">
        <w:rPr>
          <w:rFonts w:ascii="Century Gothic" w:hAnsi="Century Gothic" w:cs="Arial"/>
          <w:szCs w:val="24"/>
        </w:rPr>
        <w:t>“</w:t>
      </w:r>
      <w:r>
        <w:rPr>
          <w:rFonts w:ascii="Century Gothic" w:hAnsi="Century Gothic" w:cs="Arial"/>
          <w:i/>
          <w:szCs w:val="24"/>
        </w:rPr>
        <w:t>PRIMERO: Téngase al Dr. FRANKLIN ALBERTO MARÍN GARZÓN como apoderado judicial del Departamento del Guaviare, en los términos y fines del poder conferido (</w:t>
      </w:r>
      <w:proofErr w:type="spellStart"/>
      <w:r>
        <w:rPr>
          <w:rFonts w:ascii="Century Gothic" w:hAnsi="Century Gothic" w:cs="Arial"/>
          <w:i/>
          <w:szCs w:val="24"/>
        </w:rPr>
        <w:t>fl</w:t>
      </w:r>
      <w:proofErr w:type="spellEnd"/>
      <w:r>
        <w:rPr>
          <w:rFonts w:ascii="Century Gothic" w:hAnsi="Century Gothic" w:cs="Arial"/>
          <w:i/>
          <w:szCs w:val="24"/>
        </w:rPr>
        <w:t>. 134).</w:t>
      </w:r>
    </w:p>
    <w:p w14:paraId="294D7E83"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t>SEGUNDO: NEGAR las excepciones planteadas por el Departamento del Guaviare, por lo expuesto en la parte motiva de esta providencia.</w:t>
      </w:r>
    </w:p>
    <w:p w14:paraId="1CFB2303" w14:textId="77777777" w:rsidR="00626308" w:rsidRPr="00206A6D" w:rsidRDefault="00626308" w:rsidP="00626308">
      <w:pPr>
        <w:ind w:left="567" w:right="567"/>
        <w:contextualSpacing/>
        <w:jc w:val="both"/>
        <w:rPr>
          <w:rFonts w:ascii="Century Gothic" w:hAnsi="Century Gothic" w:cs="Arial"/>
          <w:i/>
          <w:szCs w:val="24"/>
        </w:rPr>
      </w:pPr>
      <w:r>
        <w:rPr>
          <w:rFonts w:ascii="Century Gothic" w:hAnsi="Century Gothic" w:cs="Arial"/>
          <w:i/>
          <w:szCs w:val="24"/>
        </w:rPr>
        <w:t>TERCERO: NIEGÁNSE las pretensiones de la demanda</w:t>
      </w:r>
      <w:r w:rsidRPr="00206A6D">
        <w:rPr>
          <w:rFonts w:ascii="Century Gothic" w:hAnsi="Century Gothic" w:cs="Arial"/>
          <w:i/>
          <w:szCs w:val="24"/>
        </w:rPr>
        <w:t>”.</w:t>
      </w:r>
    </w:p>
    <w:p w14:paraId="697ADF23" w14:textId="77777777" w:rsidR="00626308" w:rsidRDefault="00626308" w:rsidP="00626308">
      <w:pPr>
        <w:spacing w:line="360" w:lineRule="auto"/>
        <w:ind w:right="-142"/>
        <w:contextualSpacing/>
        <w:jc w:val="both"/>
        <w:rPr>
          <w:rFonts w:ascii="Century Gothic" w:hAnsi="Century Gothic" w:cs="Arial"/>
          <w:sz w:val="20"/>
          <w:szCs w:val="24"/>
        </w:rPr>
      </w:pPr>
    </w:p>
    <w:p w14:paraId="29CF32A2" w14:textId="77777777" w:rsidR="00626308" w:rsidRDefault="00626308" w:rsidP="00626308">
      <w:pPr>
        <w:spacing w:line="360" w:lineRule="auto"/>
        <w:ind w:right="-142"/>
        <w:contextualSpacing/>
        <w:jc w:val="both"/>
        <w:rPr>
          <w:rFonts w:ascii="Century Gothic" w:hAnsi="Century Gothic" w:cs="Arial"/>
          <w:sz w:val="20"/>
          <w:szCs w:val="24"/>
        </w:rPr>
      </w:pPr>
      <w:r>
        <w:rPr>
          <w:rFonts w:ascii="Century Gothic" w:hAnsi="Century Gothic" w:cs="Arial"/>
          <w:sz w:val="20"/>
          <w:szCs w:val="24"/>
        </w:rPr>
        <w:t>Contenido: 1. Antecedentes – 2. Consideraciones – 3. Decisión</w:t>
      </w:r>
    </w:p>
    <w:p w14:paraId="0CD6406E" w14:textId="77777777" w:rsidR="00626308" w:rsidRDefault="00626308" w:rsidP="00626308">
      <w:pPr>
        <w:spacing w:line="360" w:lineRule="auto"/>
        <w:ind w:right="-142"/>
        <w:contextualSpacing/>
        <w:jc w:val="both"/>
        <w:rPr>
          <w:rFonts w:ascii="Century Gothic" w:hAnsi="Century Gothic" w:cs="Arial"/>
          <w:sz w:val="20"/>
          <w:szCs w:val="24"/>
        </w:rPr>
      </w:pPr>
    </w:p>
    <w:p w14:paraId="12726BB2" w14:textId="77777777" w:rsidR="00626308" w:rsidRDefault="00626308" w:rsidP="00626308">
      <w:pPr>
        <w:spacing w:line="360" w:lineRule="auto"/>
        <w:ind w:right="-142"/>
        <w:contextualSpacing/>
        <w:jc w:val="both"/>
        <w:rPr>
          <w:rFonts w:ascii="Century Gothic" w:hAnsi="Century Gothic" w:cs="Arial"/>
          <w:sz w:val="20"/>
          <w:szCs w:val="24"/>
        </w:rPr>
      </w:pPr>
    </w:p>
    <w:p w14:paraId="4A9A33D3" w14:textId="77777777" w:rsidR="00626308" w:rsidRDefault="00626308" w:rsidP="00626308">
      <w:pPr>
        <w:spacing w:line="360" w:lineRule="auto"/>
        <w:ind w:right="-142"/>
        <w:contextualSpacing/>
        <w:jc w:val="both"/>
        <w:rPr>
          <w:rFonts w:ascii="Century Gothic" w:hAnsi="Century Gothic" w:cs="Arial"/>
          <w:sz w:val="20"/>
          <w:szCs w:val="24"/>
        </w:rPr>
      </w:pPr>
    </w:p>
    <w:p w14:paraId="18C30D48" w14:textId="77777777" w:rsidR="00626308" w:rsidRDefault="00626308" w:rsidP="00626308">
      <w:pPr>
        <w:spacing w:line="360" w:lineRule="auto"/>
        <w:ind w:right="-142"/>
        <w:contextualSpacing/>
        <w:jc w:val="both"/>
        <w:rPr>
          <w:rFonts w:ascii="Century Gothic" w:hAnsi="Century Gothic" w:cs="Arial"/>
          <w:sz w:val="20"/>
          <w:szCs w:val="24"/>
        </w:rPr>
      </w:pPr>
    </w:p>
    <w:p w14:paraId="0DE13EA7" w14:textId="77777777" w:rsidR="00626308" w:rsidRDefault="00626308" w:rsidP="00626308">
      <w:pPr>
        <w:spacing w:line="360" w:lineRule="auto"/>
        <w:ind w:right="-142"/>
        <w:contextualSpacing/>
        <w:jc w:val="both"/>
        <w:rPr>
          <w:rFonts w:ascii="Century Gothic" w:hAnsi="Century Gothic" w:cs="Arial"/>
          <w:sz w:val="20"/>
          <w:szCs w:val="24"/>
        </w:rPr>
      </w:pPr>
    </w:p>
    <w:p w14:paraId="152D48B0" w14:textId="77777777" w:rsidR="00626308" w:rsidRPr="00B87806" w:rsidRDefault="00626308" w:rsidP="00626308">
      <w:pPr>
        <w:spacing w:line="360" w:lineRule="auto"/>
        <w:ind w:right="-142"/>
        <w:contextualSpacing/>
        <w:jc w:val="both"/>
        <w:rPr>
          <w:rFonts w:ascii="Century Gothic" w:hAnsi="Century Gothic" w:cs="Arial"/>
          <w:sz w:val="20"/>
          <w:szCs w:val="24"/>
        </w:rPr>
      </w:pPr>
    </w:p>
    <w:p w14:paraId="054A4E60" w14:textId="77777777" w:rsidR="00626308" w:rsidRPr="00D34179" w:rsidRDefault="00626308" w:rsidP="00626308">
      <w:pPr>
        <w:spacing w:line="360" w:lineRule="auto"/>
        <w:ind w:right="-142"/>
        <w:contextualSpacing/>
        <w:jc w:val="center"/>
        <w:rPr>
          <w:rFonts w:ascii="Century Gothic" w:hAnsi="Century Gothic" w:cs="Arial"/>
          <w:b/>
          <w:sz w:val="24"/>
          <w:szCs w:val="24"/>
        </w:rPr>
      </w:pPr>
      <w:r>
        <w:rPr>
          <w:rFonts w:ascii="Century Gothic" w:hAnsi="Century Gothic" w:cs="Arial"/>
          <w:b/>
          <w:sz w:val="24"/>
          <w:szCs w:val="24"/>
        </w:rPr>
        <w:t>1</w:t>
      </w:r>
      <w:r w:rsidRPr="00D34179">
        <w:rPr>
          <w:rFonts w:ascii="Century Gothic" w:hAnsi="Century Gothic" w:cs="Arial"/>
          <w:b/>
          <w:sz w:val="24"/>
          <w:szCs w:val="24"/>
        </w:rPr>
        <w:t>.- ANTECEDENTES</w:t>
      </w:r>
    </w:p>
    <w:p w14:paraId="0EAD6277" w14:textId="77777777" w:rsidR="00626308" w:rsidRDefault="00626308" w:rsidP="00626308">
      <w:pPr>
        <w:spacing w:line="360" w:lineRule="auto"/>
        <w:ind w:right="-142"/>
        <w:contextualSpacing/>
        <w:jc w:val="center"/>
        <w:rPr>
          <w:rFonts w:ascii="Century Gothic" w:hAnsi="Century Gothic" w:cs="Arial"/>
          <w:b/>
          <w:sz w:val="24"/>
          <w:szCs w:val="24"/>
        </w:rPr>
      </w:pPr>
    </w:p>
    <w:p w14:paraId="2CA71B71" w14:textId="77777777" w:rsidR="00626308" w:rsidRPr="00DA5243" w:rsidRDefault="00626308" w:rsidP="00626308">
      <w:pPr>
        <w:ind w:right="-142"/>
        <w:contextualSpacing/>
        <w:jc w:val="both"/>
        <w:rPr>
          <w:rFonts w:ascii="Century Gothic" w:hAnsi="Century Gothic" w:cs="Arial"/>
          <w:sz w:val="20"/>
          <w:szCs w:val="24"/>
        </w:rPr>
      </w:pPr>
      <w:r>
        <w:rPr>
          <w:rFonts w:ascii="Century Gothic" w:hAnsi="Century Gothic" w:cs="Arial"/>
          <w:sz w:val="20"/>
          <w:szCs w:val="24"/>
        </w:rPr>
        <w:t>Contenido: 1.1. La demanda y su trámite en primera instancia - 1.2. El recurso de apelación y su trámite en segunda instancia</w:t>
      </w:r>
    </w:p>
    <w:p w14:paraId="21D477F9" w14:textId="77777777" w:rsidR="00626308" w:rsidRPr="004B4E4E" w:rsidRDefault="00626308" w:rsidP="00626308">
      <w:pPr>
        <w:spacing w:line="360" w:lineRule="auto"/>
        <w:ind w:right="-142"/>
        <w:contextualSpacing/>
        <w:jc w:val="both"/>
        <w:rPr>
          <w:rFonts w:ascii="Century Gothic" w:hAnsi="Century Gothic" w:cs="Arial"/>
          <w:sz w:val="24"/>
          <w:szCs w:val="24"/>
        </w:rPr>
      </w:pPr>
    </w:p>
    <w:p w14:paraId="6F0B4E97" w14:textId="77777777" w:rsidR="00626308" w:rsidRPr="00D34179" w:rsidRDefault="00626308" w:rsidP="00626308">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 xml:space="preserve">1.1. </w:t>
      </w:r>
      <w:r w:rsidRPr="00D34179">
        <w:rPr>
          <w:rFonts w:ascii="Century Gothic" w:hAnsi="Century Gothic" w:cs="Arial"/>
          <w:b/>
          <w:sz w:val="24"/>
          <w:szCs w:val="24"/>
        </w:rPr>
        <w:t xml:space="preserve">La demanda </w:t>
      </w:r>
      <w:r>
        <w:rPr>
          <w:rFonts w:ascii="Century Gothic" w:hAnsi="Century Gothic" w:cs="Arial"/>
          <w:b/>
          <w:sz w:val="24"/>
          <w:szCs w:val="24"/>
        </w:rPr>
        <w:t>y su trámite en primera instancia</w:t>
      </w:r>
    </w:p>
    <w:p w14:paraId="1FD2ED78" w14:textId="77777777" w:rsidR="00626308" w:rsidRPr="00791398" w:rsidRDefault="00626308" w:rsidP="00626308">
      <w:pPr>
        <w:spacing w:line="360" w:lineRule="auto"/>
        <w:ind w:right="-142"/>
        <w:contextualSpacing/>
        <w:jc w:val="both"/>
        <w:rPr>
          <w:rFonts w:ascii="Century Gothic" w:hAnsi="Century Gothic" w:cs="Arial"/>
          <w:b/>
          <w:sz w:val="24"/>
          <w:szCs w:val="24"/>
        </w:rPr>
      </w:pPr>
    </w:p>
    <w:p w14:paraId="79ECDCBF" w14:textId="77777777" w:rsidR="00626308" w:rsidRPr="007F23CF"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r w:rsidRPr="00791398">
        <w:rPr>
          <w:rFonts w:ascii="Century Gothic" w:hAnsi="Century Gothic" w:cs="Arial"/>
          <w:sz w:val="24"/>
          <w:szCs w:val="24"/>
        </w:rPr>
        <w:lastRenderedPageBreak/>
        <w:t>1</w:t>
      </w:r>
      <w:r>
        <w:rPr>
          <w:rFonts w:ascii="Century Gothic" w:hAnsi="Century Gothic" w:cs="Arial"/>
          <w:sz w:val="24"/>
          <w:szCs w:val="24"/>
        </w:rPr>
        <w:t xml:space="preserve">. El 15 de octubre de 2008 </w:t>
      </w:r>
      <w:r>
        <w:rPr>
          <w:rFonts w:ascii="Century Gothic" w:hAnsi="Century Gothic" w:cs="Arial"/>
          <w:sz w:val="24"/>
          <w:szCs w:val="24"/>
          <w:u w:val="single"/>
        </w:rPr>
        <w:t>Cristian Fabián Vargas Rodríguez</w:t>
      </w:r>
      <w:r>
        <w:rPr>
          <w:rFonts w:ascii="Century Gothic" w:hAnsi="Century Gothic" w:cs="Arial"/>
          <w:sz w:val="24"/>
          <w:szCs w:val="24"/>
        </w:rPr>
        <w:t>,</w:t>
      </w:r>
      <w:r w:rsidRPr="00F56F12">
        <w:rPr>
          <w:rFonts w:ascii="Century Gothic" w:hAnsi="Century Gothic" w:cs="Arial"/>
          <w:sz w:val="24"/>
          <w:szCs w:val="24"/>
        </w:rPr>
        <w:t xml:space="preserve"> </w:t>
      </w:r>
      <w:r>
        <w:rPr>
          <w:rFonts w:ascii="Century Gothic" w:hAnsi="Century Gothic" w:cs="Arial"/>
          <w:sz w:val="24"/>
          <w:szCs w:val="24"/>
        </w:rPr>
        <w:t xml:space="preserve">presentó </w:t>
      </w:r>
      <w:r w:rsidRPr="00E44CF3">
        <w:rPr>
          <w:rFonts w:ascii="Century Gothic" w:hAnsi="Century Gothic" w:cs="Arial"/>
          <w:b/>
          <w:sz w:val="24"/>
          <w:szCs w:val="24"/>
        </w:rPr>
        <w:t>demanda</w:t>
      </w:r>
      <w:r>
        <w:rPr>
          <w:rFonts w:ascii="Century Gothic" w:hAnsi="Century Gothic" w:cs="Arial"/>
          <w:b/>
          <w:sz w:val="24"/>
          <w:szCs w:val="24"/>
        </w:rPr>
        <w:t xml:space="preserve"> en ejercicio de la acción contractual</w:t>
      </w:r>
      <w:r>
        <w:rPr>
          <w:rFonts w:ascii="Century Gothic" w:hAnsi="Century Gothic" w:cs="Arial"/>
          <w:sz w:val="24"/>
          <w:szCs w:val="24"/>
        </w:rPr>
        <w:t xml:space="preserve"> en contra del </w:t>
      </w:r>
      <w:r>
        <w:rPr>
          <w:rFonts w:ascii="Century Gothic" w:hAnsi="Century Gothic" w:cs="Arial"/>
          <w:sz w:val="24"/>
          <w:szCs w:val="24"/>
          <w:u w:val="single"/>
        </w:rPr>
        <w:t>Departamento de Guaviare-Secretaría de Educación</w:t>
      </w:r>
      <w:r>
        <w:rPr>
          <w:rFonts w:ascii="Century Gothic" w:hAnsi="Century Gothic" w:cs="Arial"/>
          <w:sz w:val="24"/>
          <w:szCs w:val="24"/>
        </w:rPr>
        <w:t xml:space="preserve"> (secretaría de educación),</w:t>
      </w:r>
      <w:r w:rsidRPr="00D34179">
        <w:rPr>
          <w:rFonts w:ascii="Century Gothic" w:hAnsi="Century Gothic" w:cs="Arial"/>
          <w:sz w:val="24"/>
          <w:szCs w:val="24"/>
        </w:rPr>
        <w:t xml:space="preserve"> en cuyas pretensiones solicitó que se hicieran las siguientes declaraciones y condenas</w:t>
      </w:r>
      <w:r>
        <w:rPr>
          <w:rFonts w:ascii="Century Gothic" w:hAnsi="Century Gothic" w:cs="Arial"/>
          <w:sz w:val="24"/>
          <w:szCs w:val="24"/>
        </w:rPr>
        <w:t xml:space="preserve"> (se trascribe)</w:t>
      </w:r>
      <w:r w:rsidRPr="00D34179">
        <w:rPr>
          <w:rFonts w:ascii="Century Gothic" w:hAnsi="Century Gothic" w:cs="Arial"/>
          <w:sz w:val="24"/>
          <w:szCs w:val="24"/>
        </w:rPr>
        <w:t>:</w:t>
      </w:r>
      <w:r w:rsidRPr="00D34179">
        <w:rPr>
          <w:rFonts w:ascii="Century Gothic" w:hAnsi="Century Gothic" w:cs="Arial"/>
          <w:sz w:val="24"/>
          <w:szCs w:val="24"/>
          <w:vertAlign w:val="superscript"/>
        </w:rPr>
        <w:footnoteReference w:id="1"/>
      </w:r>
      <w:r>
        <w:rPr>
          <w:rFonts w:ascii="Century Gothic" w:hAnsi="Century Gothic" w:cs="Arial"/>
          <w:sz w:val="24"/>
          <w:szCs w:val="24"/>
        </w:rPr>
        <w:t xml:space="preserve"> </w:t>
      </w:r>
    </w:p>
    <w:p w14:paraId="0EDD8885"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p>
    <w:p w14:paraId="63CB16FA"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t xml:space="preserve">“1. </w:t>
      </w:r>
      <w:proofErr w:type="gramStart"/>
      <w:r>
        <w:rPr>
          <w:rFonts w:ascii="Century Gothic" w:hAnsi="Century Gothic" w:cs="Arial"/>
          <w:i/>
          <w:szCs w:val="24"/>
        </w:rPr>
        <w:t>Declarar</w:t>
      </w:r>
      <w:proofErr w:type="gramEnd"/>
      <w:r>
        <w:rPr>
          <w:rFonts w:ascii="Century Gothic" w:hAnsi="Century Gothic" w:cs="Arial"/>
          <w:i/>
          <w:szCs w:val="24"/>
        </w:rPr>
        <w:t xml:space="preserve"> que hubo desequilibrio económico contractual en la ejecución del contrato de prestación del servicio educativo </w:t>
      </w:r>
      <w:proofErr w:type="spellStart"/>
      <w:r>
        <w:rPr>
          <w:rFonts w:ascii="Century Gothic" w:hAnsi="Century Gothic" w:cs="Arial"/>
          <w:i/>
          <w:szCs w:val="24"/>
        </w:rPr>
        <w:t>Nº</w:t>
      </w:r>
      <w:proofErr w:type="spellEnd"/>
      <w:r>
        <w:rPr>
          <w:rFonts w:ascii="Century Gothic" w:hAnsi="Century Gothic" w:cs="Arial"/>
          <w:i/>
          <w:szCs w:val="24"/>
        </w:rPr>
        <w:t xml:space="preserve"> 135 de 2006, suscrito entre el DEPARTAMENTO DEL GUAVIARE – Secretaría de educación, y mi patrocinado.</w:t>
      </w:r>
    </w:p>
    <w:p w14:paraId="013D6BA9"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t xml:space="preserve">2. Que como consecuencia de la anterior declaración se ordene la revisión de la liquidación del contrato </w:t>
      </w:r>
      <w:proofErr w:type="spellStart"/>
      <w:r>
        <w:rPr>
          <w:rFonts w:ascii="Century Gothic" w:hAnsi="Century Gothic" w:cs="Arial"/>
          <w:i/>
          <w:szCs w:val="24"/>
        </w:rPr>
        <w:t>Nº</w:t>
      </w:r>
      <w:proofErr w:type="spellEnd"/>
      <w:r>
        <w:rPr>
          <w:rFonts w:ascii="Century Gothic" w:hAnsi="Century Gothic" w:cs="Arial"/>
          <w:i/>
          <w:szCs w:val="24"/>
        </w:rPr>
        <w:t xml:space="preserve"> 135 de 2006.</w:t>
      </w:r>
    </w:p>
    <w:p w14:paraId="2C57E905"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t xml:space="preserve">3. </w:t>
      </w:r>
      <w:proofErr w:type="gramStart"/>
      <w:r>
        <w:rPr>
          <w:rFonts w:ascii="Century Gothic" w:hAnsi="Century Gothic" w:cs="Arial"/>
          <w:i/>
          <w:szCs w:val="24"/>
        </w:rPr>
        <w:t>Que</w:t>
      </w:r>
      <w:proofErr w:type="gramEnd"/>
      <w:r>
        <w:rPr>
          <w:rFonts w:ascii="Century Gothic" w:hAnsi="Century Gothic" w:cs="Arial"/>
          <w:i/>
          <w:szCs w:val="24"/>
        </w:rPr>
        <w:t xml:space="preserve"> como consecuencia de la anterior revisión, se liquide judicialmente el contrato de prestación del servicio educativo </w:t>
      </w:r>
      <w:proofErr w:type="spellStart"/>
      <w:r>
        <w:rPr>
          <w:rFonts w:ascii="Century Gothic" w:hAnsi="Century Gothic" w:cs="Arial"/>
          <w:i/>
          <w:szCs w:val="24"/>
        </w:rPr>
        <w:t>Nº</w:t>
      </w:r>
      <w:proofErr w:type="spellEnd"/>
      <w:r>
        <w:rPr>
          <w:rFonts w:ascii="Century Gothic" w:hAnsi="Century Gothic" w:cs="Arial"/>
          <w:i/>
          <w:szCs w:val="24"/>
        </w:rPr>
        <w:t xml:space="preserve"> 135 de 2006, incluyendo en ella los rubros correspondientes a la mayor cantidad de servicio – estudiantes atendidos, así como toda suma de dinero que de ella se derive, y las indemnizaciones a que </w:t>
      </w:r>
      <w:proofErr w:type="spellStart"/>
      <w:r>
        <w:rPr>
          <w:rFonts w:ascii="Century Gothic" w:hAnsi="Century Gothic" w:cs="Arial"/>
          <w:i/>
          <w:szCs w:val="24"/>
        </w:rPr>
        <w:t>halla</w:t>
      </w:r>
      <w:proofErr w:type="spellEnd"/>
      <w:r>
        <w:rPr>
          <w:rFonts w:ascii="Century Gothic" w:hAnsi="Century Gothic" w:cs="Arial"/>
          <w:i/>
          <w:szCs w:val="24"/>
        </w:rPr>
        <w:t xml:space="preserve"> lugar y que resulten a favor del contratista.</w:t>
      </w:r>
    </w:p>
    <w:p w14:paraId="43932841"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t xml:space="preserve">4. Que como consecuencia de la anterior revisión, condene al Departamento del Guaviare – Secretaría de Educación a indemnizar plenamente a CRISTIAN FABIAN VARGAS RODRÍGUEZ y/o COLEGIO PEDAGÓGICO DEL META por los perjuicios de todo orden que le ha causado con ocasión de la mayor cantidad de servicio prestado – mayor número de estudiantes atendidos, reflejada en el no pago del valor de la prestación del servicio público de educación a TRESCIENTOS OCHENTA Y DOS (382) estudiantes beneficiados, adicionales a los amparados por el contrato </w:t>
      </w:r>
      <w:proofErr w:type="spellStart"/>
      <w:r>
        <w:rPr>
          <w:rFonts w:ascii="Century Gothic" w:hAnsi="Century Gothic" w:cs="Arial"/>
          <w:i/>
          <w:szCs w:val="24"/>
        </w:rPr>
        <w:t>Nº</w:t>
      </w:r>
      <w:proofErr w:type="spellEnd"/>
      <w:r>
        <w:rPr>
          <w:rFonts w:ascii="Century Gothic" w:hAnsi="Century Gothic" w:cs="Arial"/>
          <w:i/>
          <w:szCs w:val="24"/>
        </w:rPr>
        <w:t xml:space="preserve"> 135 de 2006, constituidos entre otros, por los daños directos e indirectos, en sus aspectos de daño emergente y lucro cesante, daño inmaterial en su modalidad de daño moral y daño a la vida de relación, los perjuicios materiales y los costos financieros en que ha incurrido mi poderdante como consecuencia de la conducta descrita.</w:t>
      </w:r>
    </w:p>
    <w:p w14:paraId="7F7C16DF"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t>5. Que se condene al Departamento del Guaviare – Secretaría de Educación a pagar a CRISTIAN FABIAN VARGAS RODRÍGUEZ y/o COLEGIO PEDAGÓGICO DEL META el monto indemnizatorio debidamente actualizado o corregido monetariamente a fin de que se compensen los efectos de la pérdida del poder adquisitivo del dinero (inflación) entre la época de causación del daño y la fecha del pago efectivo de la indemnización y que deben aplicarse intereses moratorios sobre las sumas de dinero líquidas adeudadas por la demandada, durante todo el período de la mora, a la tasa máxima autorizada por la Superintendencia Bancaria.</w:t>
      </w:r>
    </w:p>
    <w:p w14:paraId="568655A8"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t>En subsidio de esta pretensión solicito que el monto indemnizatorio se actualice o corrija monetariamente con el fin de compensar al demandante de los efectos de la pérdida del poder adquisitivo del dinero (inflación) desde la época de acusación del daño y la fecha de la sentencia que ponga fin al proceso y que adicionalmente se ordene pagar intereses puros o legales a la tasa máxima autorizada por la Superintendencia Bancaria, sobre tal monto de perjuicios ya actualizados y para el mismo período.</w:t>
      </w:r>
    </w:p>
    <w:p w14:paraId="7A90F68E"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t xml:space="preserve">6. Que se condene al Departamento del Guaviare – Secretaría de Educación a pagar a CRISTIAN FABIAN VARGAS RODRÍGUEZ y/o COLEGIO PEDAGOGICO DEL META los intereses comerciales sobre las cantidades líquidas reconocidas en la sentencia que ponga fin a </w:t>
      </w:r>
      <w:proofErr w:type="gramStart"/>
      <w:r>
        <w:rPr>
          <w:rFonts w:ascii="Century Gothic" w:hAnsi="Century Gothic" w:cs="Arial"/>
          <w:i/>
          <w:szCs w:val="24"/>
        </w:rPr>
        <w:t>éste</w:t>
      </w:r>
      <w:proofErr w:type="gramEnd"/>
      <w:r>
        <w:rPr>
          <w:rFonts w:ascii="Century Gothic" w:hAnsi="Century Gothic" w:cs="Arial"/>
          <w:i/>
          <w:szCs w:val="24"/>
        </w:rPr>
        <w:t xml:space="preserve"> proceso durante los seis (6) meses siguientes a la ejecución del fallo, e intereses moratorios después de ése término, hasta la fecha del pago efectivo de la condena.</w:t>
      </w:r>
    </w:p>
    <w:p w14:paraId="264F8E56" w14:textId="77777777" w:rsidR="00626308" w:rsidRDefault="00626308" w:rsidP="00626308">
      <w:pPr>
        <w:ind w:left="567" w:right="567"/>
        <w:contextualSpacing/>
        <w:jc w:val="both"/>
        <w:rPr>
          <w:rFonts w:ascii="Century Gothic" w:hAnsi="Century Gothic" w:cs="Arial"/>
          <w:i/>
          <w:szCs w:val="24"/>
        </w:rPr>
      </w:pPr>
      <w:r>
        <w:rPr>
          <w:rFonts w:ascii="Century Gothic" w:hAnsi="Century Gothic" w:cs="Arial"/>
          <w:i/>
          <w:szCs w:val="24"/>
        </w:rPr>
        <w:lastRenderedPageBreak/>
        <w:t>7. Que se ordene al Departamento del Guaviare – Secretaría de Educación a cumplir la sentencia en el término de treinta (30) días contados a partir de la fecha de notificación de dicha providencia.</w:t>
      </w:r>
    </w:p>
    <w:p w14:paraId="551450AF" w14:textId="77777777" w:rsidR="00626308" w:rsidRPr="00206A6D" w:rsidRDefault="00626308" w:rsidP="00626308">
      <w:pPr>
        <w:ind w:left="567" w:right="567"/>
        <w:contextualSpacing/>
        <w:jc w:val="both"/>
        <w:rPr>
          <w:rFonts w:ascii="Century Gothic" w:hAnsi="Century Gothic" w:cs="Arial"/>
          <w:i/>
          <w:szCs w:val="24"/>
        </w:rPr>
      </w:pPr>
      <w:r>
        <w:rPr>
          <w:rFonts w:ascii="Century Gothic" w:hAnsi="Century Gothic" w:cs="Arial"/>
          <w:i/>
          <w:szCs w:val="24"/>
        </w:rPr>
        <w:t>8. Que se condene a los demandados a satisfacer las costas del proceso”.</w:t>
      </w:r>
    </w:p>
    <w:p w14:paraId="07682271"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p>
    <w:p w14:paraId="40FE0CDC"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2. </w:t>
      </w:r>
      <w:r w:rsidRPr="00D34179">
        <w:rPr>
          <w:rFonts w:ascii="Century Gothic" w:hAnsi="Century Gothic" w:cs="Arial"/>
          <w:sz w:val="24"/>
          <w:szCs w:val="24"/>
        </w:rPr>
        <w:t xml:space="preserve">En el escrito de </w:t>
      </w:r>
      <w:r w:rsidRPr="00E84022">
        <w:rPr>
          <w:rFonts w:ascii="Century Gothic" w:hAnsi="Century Gothic" w:cs="Arial"/>
          <w:b/>
          <w:sz w:val="24"/>
          <w:szCs w:val="24"/>
        </w:rPr>
        <w:t>demanda,</w:t>
      </w:r>
      <w:r w:rsidRPr="00D34179">
        <w:rPr>
          <w:rFonts w:ascii="Century Gothic" w:hAnsi="Century Gothic" w:cs="Arial"/>
          <w:sz w:val="24"/>
          <w:szCs w:val="24"/>
        </w:rPr>
        <w:t xml:space="preserve"> la p</w:t>
      </w:r>
      <w:r>
        <w:rPr>
          <w:rFonts w:ascii="Century Gothic" w:hAnsi="Century Gothic" w:cs="Arial"/>
          <w:sz w:val="24"/>
          <w:szCs w:val="24"/>
        </w:rPr>
        <w:t>arte actora narró, en síntesis, los siguientes</w:t>
      </w:r>
      <w:r w:rsidRPr="00D34179">
        <w:rPr>
          <w:rFonts w:ascii="Century Gothic" w:hAnsi="Century Gothic" w:cs="Arial"/>
          <w:sz w:val="24"/>
          <w:szCs w:val="24"/>
        </w:rPr>
        <w:t xml:space="preserve"> </w:t>
      </w:r>
      <w:r w:rsidRPr="001F3D98">
        <w:rPr>
          <w:rFonts w:ascii="Century Gothic" w:hAnsi="Century Gothic" w:cs="Arial"/>
          <w:b/>
          <w:sz w:val="24"/>
          <w:szCs w:val="24"/>
        </w:rPr>
        <w:t>hechos</w:t>
      </w:r>
      <w:r w:rsidRPr="003613B8">
        <w:rPr>
          <w:rFonts w:ascii="Century Gothic" w:hAnsi="Century Gothic" w:cs="Arial"/>
          <w:b/>
          <w:sz w:val="24"/>
          <w:szCs w:val="24"/>
        </w:rPr>
        <w:t>:</w:t>
      </w:r>
    </w:p>
    <w:p w14:paraId="6D403C85"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p>
    <w:p w14:paraId="545EAA09"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3. 1) La secretaría de educación del Departamento de Guaviare y Cristian Fabián Vargas Rodríguez, “</w:t>
      </w:r>
      <w:r>
        <w:rPr>
          <w:rFonts w:ascii="Century Gothic" w:hAnsi="Century Gothic" w:cs="Arial"/>
          <w:i/>
          <w:sz w:val="24"/>
          <w:szCs w:val="24"/>
        </w:rPr>
        <w:t>en aquel entonces representante legal de la Institución Educativa demandante”,</w:t>
      </w:r>
      <w:r>
        <w:rPr>
          <w:rFonts w:ascii="Century Gothic" w:hAnsi="Century Gothic" w:cs="Arial"/>
          <w:sz w:val="24"/>
          <w:szCs w:val="24"/>
        </w:rPr>
        <w:t xml:space="preserve"> suscribieron el contrato de prestación de servicios No. 135 de 2006, cuyo objeto consistió en la prestación del servicio educativo a 4000 niños en edad escolar, en la zona rural del Departamento de Guaviare, a razón de 500 horas académicas, por el término de 5 meses. </w:t>
      </w:r>
    </w:p>
    <w:p w14:paraId="4EADEE84"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p>
    <w:p w14:paraId="01A4103B" w14:textId="77777777" w:rsidR="00626308" w:rsidRPr="00756EA9"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4. 2) En el contrato se estableció el valor a pagar en $1.423.644.</w:t>
      </w:r>
      <w:proofErr w:type="gramStart"/>
      <w:r>
        <w:rPr>
          <w:rFonts w:ascii="Century Gothic" w:hAnsi="Century Gothic" w:cs="Arial"/>
          <w:sz w:val="24"/>
          <w:szCs w:val="24"/>
        </w:rPr>
        <w:t>000,oo</w:t>
      </w:r>
      <w:proofErr w:type="gramEnd"/>
      <w:r>
        <w:rPr>
          <w:rFonts w:ascii="Century Gothic" w:hAnsi="Century Gothic" w:cs="Arial"/>
          <w:sz w:val="24"/>
          <w:szCs w:val="24"/>
        </w:rPr>
        <w:t xml:space="preserve">, </w:t>
      </w:r>
      <w:r w:rsidRPr="00C66AE9">
        <w:rPr>
          <w:rFonts w:ascii="Century Gothic" w:hAnsi="Century Gothic" w:cs="Arial"/>
          <w:i/>
          <w:sz w:val="24"/>
          <w:szCs w:val="24"/>
        </w:rPr>
        <w:t>“resultado obtenido de multiplicar el valor de la canasta educativa mensual –fijada para el año de celebración del contrato en $711.882,oo- por el número de estudiantes, es decir, a razón de $71.182,</w:t>
      </w:r>
      <w:r w:rsidRPr="00C66AE9">
        <w:rPr>
          <w:rFonts w:ascii="Century Gothic" w:hAnsi="Century Gothic" w:cs="Arial"/>
          <w:i/>
          <w:sz w:val="24"/>
          <w:szCs w:val="24"/>
          <w:vertAlign w:val="subscript"/>
        </w:rPr>
        <w:t>20</w:t>
      </w:r>
      <w:r w:rsidRPr="00756EA9">
        <w:rPr>
          <w:rFonts w:ascii="Century Gothic" w:hAnsi="Century Gothic" w:cs="Arial"/>
          <w:i/>
          <w:sz w:val="24"/>
          <w:szCs w:val="24"/>
        </w:rPr>
        <w:t>”</w:t>
      </w:r>
      <w:r w:rsidRPr="00C66AE9">
        <w:rPr>
          <w:rFonts w:ascii="Century Gothic" w:hAnsi="Century Gothic" w:cs="Arial"/>
          <w:i/>
          <w:sz w:val="24"/>
          <w:szCs w:val="24"/>
        </w:rPr>
        <w:t>.</w:t>
      </w:r>
    </w:p>
    <w:p w14:paraId="0E0F457C" w14:textId="77777777" w:rsidR="00626308" w:rsidRPr="003B6863" w:rsidRDefault="00626308" w:rsidP="00626308">
      <w:pPr>
        <w:spacing w:line="360" w:lineRule="auto"/>
        <w:contextualSpacing/>
        <w:jc w:val="both"/>
        <w:rPr>
          <w:rFonts w:ascii="Century Gothic" w:hAnsi="Century Gothic" w:cs="Arial"/>
          <w:i/>
          <w:sz w:val="24"/>
          <w:szCs w:val="24"/>
        </w:rPr>
      </w:pPr>
      <w:r>
        <w:rPr>
          <w:rFonts w:ascii="Century Gothic" w:hAnsi="Century Gothic" w:cs="Arial"/>
          <w:sz w:val="24"/>
          <w:szCs w:val="24"/>
        </w:rPr>
        <w:t>5. 3) Mediante comunicación de 12 de julio de 2006, el Colegio Pedagógico del Meta solicitó al secretario de educación una adición económica al contrato, con la finalidad de ampliar, en 173, el número de horas estipuladas y, consecuentemente, el valor del contrato en $711.822.</w:t>
      </w:r>
      <w:proofErr w:type="gramStart"/>
      <w:r>
        <w:rPr>
          <w:rFonts w:ascii="Century Gothic" w:hAnsi="Century Gothic" w:cs="Arial"/>
          <w:sz w:val="24"/>
          <w:szCs w:val="24"/>
        </w:rPr>
        <w:t>000,oo</w:t>
      </w:r>
      <w:proofErr w:type="gramEnd"/>
      <w:r>
        <w:rPr>
          <w:rFonts w:ascii="Century Gothic" w:hAnsi="Century Gothic" w:cs="Arial"/>
          <w:sz w:val="24"/>
          <w:szCs w:val="24"/>
        </w:rPr>
        <w:t>.</w:t>
      </w:r>
    </w:p>
    <w:p w14:paraId="7AE9534D"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p>
    <w:p w14:paraId="642DB196" w14:textId="77777777" w:rsidR="00626308" w:rsidRPr="000C3190" w:rsidRDefault="00626308" w:rsidP="00626308">
      <w:pPr>
        <w:spacing w:line="360" w:lineRule="auto"/>
        <w:contextualSpacing/>
        <w:jc w:val="both"/>
        <w:rPr>
          <w:rFonts w:ascii="Century Gothic" w:hAnsi="Century Gothic" w:cs="Arial"/>
          <w:i/>
          <w:sz w:val="24"/>
          <w:szCs w:val="24"/>
        </w:rPr>
      </w:pPr>
      <w:r>
        <w:rPr>
          <w:rFonts w:ascii="Century Gothic" w:hAnsi="Century Gothic" w:cs="Arial"/>
          <w:sz w:val="24"/>
          <w:szCs w:val="24"/>
        </w:rPr>
        <w:t>6. 4) Mediante comunicaciones de 12 de julio y 3 de agosto de 2006, el “interventor” del contrato coadyuvó la solicitud de adición económica presentada por el contratista.</w:t>
      </w:r>
    </w:p>
    <w:p w14:paraId="4802AC6C"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p>
    <w:p w14:paraId="299D786A" w14:textId="77777777" w:rsidR="00626308" w:rsidRPr="00A409C0"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7. 5) El</w:t>
      </w:r>
      <w:r>
        <w:rPr>
          <w:rFonts w:ascii="Century Gothic" w:hAnsi="Century Gothic" w:cs="Arial"/>
          <w:i/>
          <w:sz w:val="24"/>
          <w:szCs w:val="24"/>
        </w:rPr>
        <w:t xml:space="preserve"> </w:t>
      </w:r>
      <w:r>
        <w:rPr>
          <w:rFonts w:ascii="Century Gothic" w:hAnsi="Century Gothic" w:cs="Arial"/>
          <w:sz w:val="24"/>
          <w:szCs w:val="24"/>
        </w:rPr>
        <w:t xml:space="preserve">11 de agosto de 2006, las partes del contrato No. 135 de 2006 suscribieron el “anexo modificatorio y de adición </w:t>
      </w:r>
      <w:proofErr w:type="spellStart"/>
      <w:r>
        <w:rPr>
          <w:rFonts w:ascii="Century Gothic" w:hAnsi="Century Gothic" w:cs="Arial"/>
          <w:sz w:val="24"/>
          <w:szCs w:val="24"/>
        </w:rPr>
        <w:t>Nº</w:t>
      </w:r>
      <w:proofErr w:type="spellEnd"/>
      <w:r>
        <w:rPr>
          <w:rFonts w:ascii="Century Gothic" w:hAnsi="Century Gothic" w:cs="Arial"/>
          <w:sz w:val="24"/>
          <w:szCs w:val="24"/>
        </w:rPr>
        <w:t xml:space="preserve"> 2”, por medio del cual: ampliaron el número de horas en 77, la duración del contrato en un mes y adicionaron el valor del contrato en $219.241.</w:t>
      </w:r>
      <w:proofErr w:type="gramStart"/>
      <w:r>
        <w:rPr>
          <w:rFonts w:ascii="Century Gothic" w:hAnsi="Century Gothic" w:cs="Arial"/>
          <w:sz w:val="24"/>
          <w:szCs w:val="24"/>
        </w:rPr>
        <w:t>176,oo</w:t>
      </w:r>
      <w:proofErr w:type="gramEnd"/>
      <w:r>
        <w:rPr>
          <w:rFonts w:ascii="Century Gothic" w:hAnsi="Century Gothic" w:cs="Arial"/>
          <w:sz w:val="24"/>
          <w:szCs w:val="24"/>
        </w:rPr>
        <w:t>.</w:t>
      </w:r>
    </w:p>
    <w:p w14:paraId="1921316F"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p>
    <w:p w14:paraId="29722845"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8. 6) Mediante comunicación de 5 septiembre de 2006, el demandante solicitó una adición del 50% del contrato, correspondiente a 250 horas.</w:t>
      </w:r>
    </w:p>
    <w:p w14:paraId="1B7FBAB5" w14:textId="77777777" w:rsidR="00626308" w:rsidRDefault="00626308" w:rsidP="00626308">
      <w:pPr>
        <w:widowControl w:val="0"/>
        <w:autoSpaceDE w:val="0"/>
        <w:autoSpaceDN w:val="0"/>
        <w:adjustRightInd w:val="0"/>
        <w:spacing w:line="360" w:lineRule="auto"/>
        <w:ind w:right="-142"/>
        <w:contextualSpacing/>
        <w:jc w:val="both"/>
        <w:rPr>
          <w:rFonts w:ascii="Century Gothic" w:hAnsi="Century Gothic" w:cs="Arial"/>
          <w:sz w:val="24"/>
          <w:szCs w:val="24"/>
        </w:rPr>
      </w:pPr>
    </w:p>
    <w:p w14:paraId="0E2A6ADA"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9. 7) El 2 de octubre de 2006, el interventor del contrato No. 135 de 2006 dio viabilidad a la solicitud realizada por el demandante.</w:t>
      </w:r>
    </w:p>
    <w:p w14:paraId="0C51F069" w14:textId="77777777" w:rsidR="00626308" w:rsidRDefault="00626308" w:rsidP="00626308">
      <w:pPr>
        <w:widowControl w:val="0"/>
        <w:autoSpaceDE w:val="0"/>
        <w:autoSpaceDN w:val="0"/>
        <w:adjustRightInd w:val="0"/>
        <w:spacing w:line="360" w:lineRule="auto"/>
        <w:ind w:right="-142"/>
        <w:contextualSpacing/>
        <w:rPr>
          <w:rFonts w:ascii="Century Gothic" w:hAnsi="Century Gothic" w:cs="Arial"/>
          <w:sz w:val="24"/>
          <w:szCs w:val="24"/>
        </w:rPr>
      </w:pPr>
    </w:p>
    <w:p w14:paraId="3E809D00"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10. 8) El 29 de septiembre de 2006, las partes del contrato suscribieron el “anexo modificatorio y de adición </w:t>
      </w:r>
      <w:proofErr w:type="spellStart"/>
      <w:r>
        <w:rPr>
          <w:rFonts w:ascii="Century Gothic" w:hAnsi="Century Gothic" w:cs="Arial"/>
          <w:sz w:val="24"/>
          <w:szCs w:val="24"/>
        </w:rPr>
        <w:t>Nº</w:t>
      </w:r>
      <w:proofErr w:type="spellEnd"/>
      <w:r>
        <w:rPr>
          <w:rFonts w:ascii="Century Gothic" w:hAnsi="Century Gothic" w:cs="Arial"/>
          <w:sz w:val="24"/>
          <w:szCs w:val="24"/>
        </w:rPr>
        <w:t xml:space="preserve"> 3”, por medio del cual: ampliaron el número de horas en 173, la duración del contrato en dos meses y adicionaron el valor del contrato en $492.580.</w:t>
      </w:r>
      <w:proofErr w:type="gramStart"/>
      <w:r>
        <w:rPr>
          <w:rFonts w:ascii="Century Gothic" w:hAnsi="Century Gothic" w:cs="Arial"/>
          <w:sz w:val="24"/>
          <w:szCs w:val="24"/>
        </w:rPr>
        <w:t>524,oo</w:t>
      </w:r>
      <w:proofErr w:type="gramEnd"/>
      <w:r>
        <w:rPr>
          <w:rFonts w:ascii="Century Gothic" w:hAnsi="Century Gothic" w:cs="Arial"/>
          <w:sz w:val="24"/>
          <w:szCs w:val="24"/>
        </w:rPr>
        <w:t>.</w:t>
      </w:r>
    </w:p>
    <w:p w14:paraId="6713CCF5" w14:textId="77777777" w:rsidR="00626308" w:rsidRPr="00C527DF" w:rsidRDefault="00626308" w:rsidP="00626308">
      <w:pPr>
        <w:widowControl w:val="0"/>
        <w:autoSpaceDE w:val="0"/>
        <w:autoSpaceDN w:val="0"/>
        <w:adjustRightInd w:val="0"/>
        <w:spacing w:line="360" w:lineRule="auto"/>
        <w:ind w:right="-142"/>
        <w:contextualSpacing/>
        <w:jc w:val="both"/>
        <w:rPr>
          <w:rFonts w:ascii="Century Gothic" w:hAnsi="Century Gothic" w:cs="Arial"/>
          <w:b/>
          <w:sz w:val="24"/>
          <w:szCs w:val="24"/>
        </w:rPr>
      </w:pPr>
    </w:p>
    <w:p w14:paraId="7DAAC989" w14:textId="77777777" w:rsidR="00626308" w:rsidRPr="001530B3"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11. 9) Durante la ejecución del contrato, el número de estudiantes realmente atendido por el demandante no fue de 4000, como se había establecido en el contrato, sino de 4382, según consta en una comunicación de 2 de agosto de 2006 suscrita por el técnico de sistemas del Departamento del Guaviare y en una certificación de 9 de agosto de 2006, expedida por el “interventor” del contrato.</w:t>
      </w:r>
    </w:p>
    <w:p w14:paraId="1C029A9C" w14:textId="77777777" w:rsidR="00626308" w:rsidRDefault="00626308" w:rsidP="00626308">
      <w:pPr>
        <w:spacing w:line="360" w:lineRule="auto"/>
        <w:ind w:right="-142"/>
        <w:contextualSpacing/>
        <w:jc w:val="both"/>
        <w:rPr>
          <w:rFonts w:ascii="Century Gothic" w:hAnsi="Century Gothic" w:cs="Arial"/>
          <w:sz w:val="24"/>
          <w:szCs w:val="24"/>
        </w:rPr>
      </w:pPr>
    </w:p>
    <w:p w14:paraId="2AF226AB" w14:textId="77777777" w:rsidR="00626308" w:rsidRPr="001530B3" w:rsidRDefault="00626308" w:rsidP="00626308">
      <w:pPr>
        <w:tabs>
          <w:tab w:val="left" w:pos="2116"/>
        </w:tabs>
        <w:spacing w:line="360" w:lineRule="auto"/>
        <w:contextualSpacing/>
        <w:jc w:val="both"/>
        <w:rPr>
          <w:rFonts w:ascii="Century Gothic" w:hAnsi="Century Gothic" w:cs="Arial"/>
          <w:sz w:val="24"/>
          <w:szCs w:val="24"/>
        </w:rPr>
      </w:pPr>
      <w:r>
        <w:rPr>
          <w:rFonts w:ascii="Century Gothic" w:hAnsi="Century Gothic" w:cs="Arial"/>
          <w:sz w:val="24"/>
          <w:szCs w:val="24"/>
        </w:rPr>
        <w:t>12. 10) El mayor número de estudiantes atendidos por el demandante obedeció a la alta demanda educativa presentada en el lugar de ejecución del contrato y a la aprobación que, en tal sentido, realizó el departamento. Al no reubicar a dichos estudiantes y “permitir que continuaran su proceso formativo en manos del Colegio Pedagógico del Meta”, la secretaría de educación “protegió el derecho a la educación que les acudía, a costa del patrimonio económico” del mandante, quien tuvo que asumir varios sobrecostos.</w:t>
      </w:r>
    </w:p>
    <w:p w14:paraId="26C2395A" w14:textId="77777777" w:rsidR="00626308" w:rsidRDefault="00626308" w:rsidP="00626308">
      <w:pPr>
        <w:spacing w:line="360" w:lineRule="auto"/>
        <w:ind w:right="-142"/>
        <w:contextualSpacing/>
        <w:jc w:val="both"/>
        <w:rPr>
          <w:rFonts w:ascii="Century Gothic" w:hAnsi="Century Gothic" w:cs="Arial"/>
          <w:sz w:val="24"/>
          <w:szCs w:val="24"/>
        </w:rPr>
      </w:pPr>
    </w:p>
    <w:p w14:paraId="041EF343" w14:textId="77777777" w:rsidR="00626308" w:rsidRPr="002C5500" w:rsidRDefault="00626308" w:rsidP="00626308">
      <w:pPr>
        <w:spacing w:line="360" w:lineRule="auto"/>
        <w:contextualSpacing/>
        <w:jc w:val="both"/>
        <w:rPr>
          <w:rFonts w:ascii="Century Gothic" w:hAnsi="Century Gothic" w:cs="Arial"/>
          <w:i/>
          <w:sz w:val="24"/>
          <w:szCs w:val="24"/>
        </w:rPr>
      </w:pPr>
      <w:r>
        <w:rPr>
          <w:rFonts w:ascii="Century Gothic" w:hAnsi="Century Gothic" w:cs="Arial"/>
          <w:sz w:val="24"/>
          <w:szCs w:val="24"/>
        </w:rPr>
        <w:t xml:space="preserve">13. 11) En la demanda también se indicó que, al momento de su presentación, cursaba ante esta Sección un “trámite de conciliación prejudicial” solicitado por el Colegio Pedagógico del Meta a la secretaría de educación del Departamento de Guaviare, identificado con el número de expediente 34.233, en el cual se pretendía la aprobación del acuerdo conciliatorio al que llegaron las partes respecto del reconocimiento y pago de las sumas de dinero causadas a favor del demandante con ocasión de la prestación del servicio público educativo a 4000 estudiantes. </w:t>
      </w:r>
    </w:p>
    <w:p w14:paraId="32670258" w14:textId="77777777" w:rsidR="00626308" w:rsidRPr="00EC3410" w:rsidRDefault="00626308" w:rsidP="00626308">
      <w:pPr>
        <w:spacing w:line="360" w:lineRule="auto"/>
        <w:ind w:right="-142"/>
        <w:contextualSpacing/>
        <w:jc w:val="both"/>
        <w:rPr>
          <w:rFonts w:ascii="Century Gothic" w:hAnsi="Century Gothic" w:cs="Arial"/>
          <w:sz w:val="24"/>
          <w:szCs w:val="24"/>
        </w:rPr>
      </w:pPr>
    </w:p>
    <w:p w14:paraId="34D1BBDE" w14:textId="77777777" w:rsidR="00626308" w:rsidRPr="00F47259"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14. 12) Por último, se agregó que en el trámite conciliatorio mencionado en el numeral anterior no se “incluyeron los 382 estudiantes objeto de este </w:t>
      </w:r>
      <w:proofErr w:type="gramStart"/>
      <w:r>
        <w:rPr>
          <w:rFonts w:ascii="Century Gothic" w:hAnsi="Century Gothic" w:cs="Arial"/>
          <w:sz w:val="24"/>
          <w:szCs w:val="24"/>
        </w:rPr>
        <w:t>proceso”  y</w:t>
      </w:r>
      <w:proofErr w:type="gramEnd"/>
      <w:r>
        <w:rPr>
          <w:rFonts w:ascii="Century Gothic" w:hAnsi="Century Gothic" w:cs="Arial"/>
          <w:sz w:val="24"/>
          <w:szCs w:val="24"/>
        </w:rPr>
        <w:t xml:space="preserve"> que, a la fecha de presentación de la demanda, la entidad accionada no había pagado estos valores.</w:t>
      </w:r>
    </w:p>
    <w:p w14:paraId="6D20FB94" w14:textId="77777777" w:rsidR="00626308" w:rsidRDefault="00626308" w:rsidP="00626308">
      <w:pPr>
        <w:spacing w:line="360" w:lineRule="auto"/>
        <w:ind w:right="-142"/>
        <w:contextualSpacing/>
        <w:jc w:val="both"/>
        <w:rPr>
          <w:rFonts w:ascii="Century Gothic" w:hAnsi="Century Gothic" w:cs="Arial"/>
          <w:sz w:val="24"/>
          <w:szCs w:val="24"/>
        </w:rPr>
      </w:pPr>
    </w:p>
    <w:p w14:paraId="256044FE"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15. </w:t>
      </w:r>
      <w:r w:rsidRPr="00D34179">
        <w:rPr>
          <w:rFonts w:ascii="Century Gothic" w:hAnsi="Century Gothic" w:cs="Arial"/>
          <w:sz w:val="24"/>
          <w:szCs w:val="24"/>
        </w:rPr>
        <w:t>El Tribuna</w:t>
      </w:r>
      <w:r>
        <w:rPr>
          <w:rFonts w:ascii="Century Gothic" w:hAnsi="Century Gothic" w:cs="Arial"/>
          <w:sz w:val="24"/>
          <w:szCs w:val="24"/>
        </w:rPr>
        <w:t>l Administrativo de Meta</w:t>
      </w:r>
      <w:r w:rsidRPr="00D34179">
        <w:rPr>
          <w:rFonts w:ascii="Century Gothic" w:hAnsi="Century Gothic" w:cs="Arial"/>
          <w:sz w:val="24"/>
          <w:szCs w:val="24"/>
        </w:rPr>
        <w:t xml:space="preserve"> </w:t>
      </w:r>
      <w:r w:rsidRPr="00D82798">
        <w:rPr>
          <w:rFonts w:ascii="Century Gothic" w:hAnsi="Century Gothic" w:cs="Arial"/>
          <w:b/>
          <w:sz w:val="24"/>
          <w:szCs w:val="24"/>
        </w:rPr>
        <w:t>admitió la demanda</w:t>
      </w:r>
      <w:r w:rsidRPr="00D34179">
        <w:rPr>
          <w:rFonts w:ascii="Century Gothic" w:hAnsi="Century Gothic" w:cs="Arial"/>
          <w:sz w:val="24"/>
          <w:szCs w:val="24"/>
        </w:rPr>
        <w:t xml:space="preserve"> mediante </w:t>
      </w:r>
      <w:r>
        <w:rPr>
          <w:rFonts w:ascii="Century Gothic" w:hAnsi="Century Gothic" w:cs="Arial"/>
          <w:sz w:val="24"/>
          <w:szCs w:val="24"/>
        </w:rPr>
        <w:t>Auto de 10 de febrero de 2009</w:t>
      </w:r>
      <w:r w:rsidRPr="00206A6D">
        <w:rPr>
          <w:rStyle w:val="Refdenotaalpie"/>
          <w:rFonts w:ascii="Century Gothic" w:hAnsi="Century Gothic" w:cs="Arial"/>
        </w:rPr>
        <w:footnoteReference w:id="2"/>
      </w:r>
      <w:r>
        <w:rPr>
          <w:rFonts w:ascii="Century Gothic" w:hAnsi="Century Gothic" w:cs="Arial"/>
          <w:sz w:val="24"/>
          <w:szCs w:val="24"/>
        </w:rPr>
        <w:t>.</w:t>
      </w:r>
    </w:p>
    <w:p w14:paraId="79439139" w14:textId="77777777" w:rsidR="00626308" w:rsidRPr="007918BA" w:rsidRDefault="00626308" w:rsidP="00626308">
      <w:pPr>
        <w:spacing w:line="360" w:lineRule="auto"/>
        <w:ind w:right="-142"/>
        <w:contextualSpacing/>
        <w:jc w:val="both"/>
        <w:rPr>
          <w:rFonts w:ascii="Century Gothic" w:hAnsi="Century Gothic" w:cs="Arial"/>
          <w:sz w:val="24"/>
          <w:szCs w:val="24"/>
        </w:rPr>
      </w:pPr>
    </w:p>
    <w:p w14:paraId="30272674"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16</w:t>
      </w:r>
      <w:r w:rsidRPr="00177D6D">
        <w:rPr>
          <w:rFonts w:ascii="Century Gothic" w:hAnsi="Century Gothic" w:cs="Arial"/>
          <w:sz w:val="24"/>
          <w:szCs w:val="24"/>
        </w:rPr>
        <w:t xml:space="preserve">. </w:t>
      </w:r>
      <w:r>
        <w:rPr>
          <w:rFonts w:ascii="Century Gothic" w:hAnsi="Century Gothic" w:cs="Arial"/>
          <w:sz w:val="24"/>
          <w:szCs w:val="24"/>
        </w:rPr>
        <w:t>El 5 de octubre de 2009, la secretaría de educación del Departamento de Guaviare</w:t>
      </w:r>
      <w:r w:rsidRPr="00206A6D">
        <w:rPr>
          <w:rFonts w:ascii="Century Gothic" w:hAnsi="Century Gothic" w:cs="Arial"/>
          <w:sz w:val="24"/>
          <w:szCs w:val="24"/>
        </w:rPr>
        <w:t xml:space="preserve"> </w:t>
      </w:r>
      <w:r w:rsidRPr="00206A6D">
        <w:rPr>
          <w:rFonts w:ascii="Century Gothic" w:hAnsi="Century Gothic" w:cs="Arial"/>
          <w:b/>
          <w:sz w:val="24"/>
          <w:szCs w:val="24"/>
        </w:rPr>
        <w:t>contestó la demanda</w:t>
      </w:r>
      <w:r w:rsidRPr="00206A6D">
        <w:rPr>
          <w:rStyle w:val="Refdenotaalpie"/>
          <w:rFonts w:ascii="Century Gothic" w:hAnsi="Century Gothic" w:cs="Arial"/>
          <w:b/>
        </w:rPr>
        <w:footnoteReference w:id="3"/>
      </w:r>
      <w:r w:rsidRPr="00206A6D">
        <w:rPr>
          <w:rFonts w:ascii="Century Gothic" w:hAnsi="Century Gothic" w:cs="Arial"/>
          <w:b/>
          <w:sz w:val="24"/>
          <w:szCs w:val="24"/>
        </w:rPr>
        <w:t>.</w:t>
      </w:r>
      <w:r>
        <w:rPr>
          <w:rFonts w:ascii="Century Gothic" w:hAnsi="Century Gothic" w:cs="Arial"/>
          <w:sz w:val="24"/>
          <w:szCs w:val="24"/>
        </w:rPr>
        <w:t xml:space="preserve"> Propuso las excepciones</w:t>
      </w:r>
      <w:r w:rsidRPr="00206A6D">
        <w:rPr>
          <w:rFonts w:ascii="Century Gothic" w:hAnsi="Century Gothic" w:cs="Arial"/>
          <w:sz w:val="24"/>
          <w:szCs w:val="24"/>
        </w:rPr>
        <w:t xml:space="preserve"> que denominó </w:t>
      </w:r>
      <w:r>
        <w:rPr>
          <w:rFonts w:ascii="Century Gothic" w:hAnsi="Century Gothic" w:cs="Arial"/>
          <w:sz w:val="24"/>
          <w:szCs w:val="24"/>
        </w:rPr>
        <w:t>“</w:t>
      </w:r>
      <w:r>
        <w:rPr>
          <w:rFonts w:ascii="Century Gothic" w:hAnsi="Century Gothic" w:cs="Arial"/>
          <w:i/>
          <w:sz w:val="24"/>
          <w:szCs w:val="24"/>
        </w:rPr>
        <w:t xml:space="preserve">inexistencia del servicio prestado”, “incumplimiento de las obligaciones contractuales” </w:t>
      </w:r>
      <w:r>
        <w:rPr>
          <w:rFonts w:ascii="Century Gothic" w:hAnsi="Century Gothic" w:cs="Arial"/>
          <w:sz w:val="24"/>
          <w:szCs w:val="24"/>
        </w:rPr>
        <w:t>y “</w:t>
      </w:r>
      <w:r>
        <w:rPr>
          <w:rFonts w:ascii="Century Gothic" w:hAnsi="Century Gothic" w:cs="Arial"/>
          <w:i/>
          <w:sz w:val="24"/>
          <w:szCs w:val="24"/>
        </w:rPr>
        <w:t>obligatoriedad del acto conciliado”.</w:t>
      </w:r>
    </w:p>
    <w:p w14:paraId="68FAF599" w14:textId="77777777" w:rsidR="00626308" w:rsidRDefault="00626308" w:rsidP="00626308">
      <w:pPr>
        <w:spacing w:line="360" w:lineRule="auto"/>
        <w:ind w:right="-142"/>
        <w:contextualSpacing/>
        <w:jc w:val="both"/>
        <w:rPr>
          <w:rFonts w:ascii="Century Gothic" w:hAnsi="Century Gothic" w:cs="Arial"/>
          <w:sz w:val="24"/>
          <w:szCs w:val="24"/>
        </w:rPr>
      </w:pPr>
    </w:p>
    <w:p w14:paraId="7EACD707"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17. Respecto de la excepción de “</w:t>
      </w:r>
      <w:r>
        <w:rPr>
          <w:rFonts w:ascii="Century Gothic" w:hAnsi="Century Gothic" w:cs="Arial"/>
          <w:i/>
          <w:sz w:val="24"/>
          <w:szCs w:val="24"/>
        </w:rPr>
        <w:t>inexistencia del servicio prestado”</w:t>
      </w:r>
      <w:r>
        <w:rPr>
          <w:rFonts w:ascii="Century Gothic" w:hAnsi="Century Gothic" w:cs="Arial"/>
          <w:sz w:val="24"/>
          <w:szCs w:val="24"/>
        </w:rPr>
        <w:t>, la secretaría de educación indicó (se trascribe):</w:t>
      </w:r>
    </w:p>
    <w:p w14:paraId="47C22FB0" w14:textId="77777777" w:rsidR="00626308" w:rsidRDefault="00626308" w:rsidP="00626308">
      <w:pPr>
        <w:spacing w:line="360" w:lineRule="auto"/>
        <w:contextualSpacing/>
        <w:jc w:val="both"/>
        <w:rPr>
          <w:rFonts w:ascii="Century Gothic" w:hAnsi="Century Gothic" w:cs="Arial"/>
          <w:sz w:val="24"/>
          <w:szCs w:val="24"/>
        </w:rPr>
      </w:pPr>
    </w:p>
    <w:p w14:paraId="7FAC4E6C" w14:textId="77777777" w:rsidR="00626308" w:rsidRPr="00C04F16" w:rsidRDefault="00626308" w:rsidP="00626308">
      <w:pPr>
        <w:tabs>
          <w:tab w:val="left" w:pos="8080"/>
        </w:tabs>
        <w:spacing w:line="276" w:lineRule="auto"/>
        <w:ind w:left="567" w:right="567"/>
        <w:contextualSpacing/>
        <w:jc w:val="both"/>
        <w:rPr>
          <w:rFonts w:ascii="Century Gothic" w:hAnsi="Century Gothic" w:cs="Arial"/>
          <w:i/>
          <w:szCs w:val="24"/>
        </w:rPr>
      </w:pPr>
      <w:r w:rsidRPr="00C04F16">
        <w:rPr>
          <w:rFonts w:ascii="Century Gothic" w:hAnsi="Century Gothic" w:cs="Arial"/>
          <w:szCs w:val="24"/>
        </w:rPr>
        <w:t>“</w:t>
      </w:r>
      <w:r w:rsidRPr="00C04F16">
        <w:rPr>
          <w:rFonts w:ascii="Century Gothic" w:hAnsi="Century Gothic" w:cs="Arial"/>
          <w:i/>
          <w:szCs w:val="24"/>
        </w:rPr>
        <w:t>a) La parte actora solicita que se reconozca mayor cantidad de servicio de estudiantes atendidos según el contrato 135 de 2006</w:t>
      </w:r>
    </w:p>
    <w:p w14:paraId="10497D1F" w14:textId="77777777" w:rsidR="00626308" w:rsidRPr="00C04F16" w:rsidRDefault="00626308" w:rsidP="00626308">
      <w:pPr>
        <w:tabs>
          <w:tab w:val="left" w:pos="8080"/>
        </w:tabs>
        <w:spacing w:line="276" w:lineRule="auto"/>
        <w:ind w:left="567" w:right="567"/>
        <w:contextualSpacing/>
        <w:jc w:val="both"/>
        <w:rPr>
          <w:rFonts w:ascii="Century Gothic" w:hAnsi="Century Gothic" w:cs="Arial"/>
          <w:i/>
          <w:szCs w:val="24"/>
        </w:rPr>
      </w:pPr>
      <w:r w:rsidRPr="00C04F16">
        <w:rPr>
          <w:rFonts w:ascii="Century Gothic" w:hAnsi="Century Gothic" w:cs="Arial"/>
          <w:i/>
          <w:szCs w:val="24"/>
        </w:rPr>
        <w:t>b) Según el mismo contrato en la cláusula cuarta parágrafo único las partes contratantes de mutuo acuerdo y en forma expresa dijeron: PARAGR</w:t>
      </w:r>
      <w:r>
        <w:rPr>
          <w:rFonts w:ascii="Century Gothic" w:hAnsi="Century Gothic" w:cs="Arial"/>
          <w:i/>
          <w:szCs w:val="24"/>
        </w:rPr>
        <w:t>A</w:t>
      </w:r>
      <w:r w:rsidRPr="00C04F16">
        <w:rPr>
          <w:rFonts w:ascii="Century Gothic" w:hAnsi="Century Gothic" w:cs="Arial"/>
          <w:i/>
          <w:szCs w:val="24"/>
        </w:rPr>
        <w:t>FO: ‘En caso de ser menor el número de niños atendiditos el Departamento del Guaviare Secretaría de Educación Departamental descontará de los pagos parciales el valor de la canasta educativa correspondiente por cada niño. Por ningún caso el número de niños atendidos podrá ser superior a lo ofrecido por el contratista’.</w:t>
      </w:r>
    </w:p>
    <w:p w14:paraId="6E51D9B6" w14:textId="77777777" w:rsidR="00626308" w:rsidRPr="00C04F16" w:rsidRDefault="00626308" w:rsidP="00626308">
      <w:pPr>
        <w:tabs>
          <w:tab w:val="left" w:pos="8080"/>
        </w:tabs>
        <w:spacing w:line="276" w:lineRule="auto"/>
        <w:ind w:left="567" w:right="567"/>
        <w:contextualSpacing/>
        <w:jc w:val="both"/>
        <w:rPr>
          <w:rFonts w:ascii="Century Gothic" w:hAnsi="Century Gothic" w:cs="Arial"/>
          <w:i/>
          <w:szCs w:val="24"/>
        </w:rPr>
      </w:pPr>
      <w:r w:rsidRPr="00C04F16">
        <w:rPr>
          <w:rFonts w:ascii="Century Gothic" w:hAnsi="Century Gothic" w:cs="Arial"/>
          <w:i/>
          <w:szCs w:val="24"/>
        </w:rPr>
        <w:t xml:space="preserve">c) De acuerdo al acta de liquidación del día 25 de </w:t>
      </w:r>
      <w:proofErr w:type="gramStart"/>
      <w:r w:rsidRPr="00C04F16">
        <w:rPr>
          <w:rFonts w:ascii="Century Gothic" w:hAnsi="Century Gothic" w:cs="Arial"/>
          <w:i/>
          <w:szCs w:val="24"/>
        </w:rPr>
        <w:t>Abril</w:t>
      </w:r>
      <w:proofErr w:type="gramEnd"/>
      <w:r w:rsidRPr="00C04F16">
        <w:rPr>
          <w:rFonts w:ascii="Century Gothic" w:hAnsi="Century Gothic" w:cs="Arial"/>
          <w:i/>
          <w:szCs w:val="24"/>
        </w:rPr>
        <w:t xml:space="preserve"> de 2007 el señor contratista manifestó estar de acuerdo y quedar a PAZ Y SALVO POR TODO CONCEPTO. </w:t>
      </w:r>
    </w:p>
    <w:p w14:paraId="551A17F2" w14:textId="77777777" w:rsidR="00626308" w:rsidRPr="00C04F16" w:rsidRDefault="00626308" w:rsidP="00626308">
      <w:pPr>
        <w:tabs>
          <w:tab w:val="left" w:pos="8080"/>
        </w:tabs>
        <w:spacing w:line="276" w:lineRule="auto"/>
        <w:ind w:left="567" w:right="567"/>
        <w:contextualSpacing/>
        <w:jc w:val="both"/>
        <w:rPr>
          <w:rFonts w:ascii="Century Gothic" w:hAnsi="Century Gothic" w:cs="Arial"/>
          <w:szCs w:val="24"/>
        </w:rPr>
      </w:pPr>
      <w:r w:rsidRPr="00C04F16">
        <w:rPr>
          <w:rFonts w:ascii="Century Gothic" w:hAnsi="Century Gothic" w:cs="Arial"/>
          <w:i/>
          <w:szCs w:val="24"/>
        </w:rPr>
        <w:t xml:space="preserve">d) Señor magistrado, es improcedente la solicitud de revisión de liquidación del contrato No 135 de 2006, teniendo en cuenta que la Ley 80 de 1993 prevé como tiempo </w:t>
      </w:r>
      <w:proofErr w:type="gramStart"/>
      <w:r w:rsidRPr="00C04F16">
        <w:rPr>
          <w:rFonts w:ascii="Century Gothic" w:hAnsi="Century Gothic" w:cs="Arial"/>
          <w:i/>
          <w:szCs w:val="24"/>
        </w:rPr>
        <w:t>extra legal</w:t>
      </w:r>
      <w:proofErr w:type="gramEnd"/>
      <w:r w:rsidRPr="00C04F16">
        <w:rPr>
          <w:rFonts w:ascii="Century Gothic" w:hAnsi="Century Gothic" w:cs="Arial"/>
          <w:i/>
          <w:szCs w:val="24"/>
        </w:rPr>
        <w:t xml:space="preserve"> de liquidación bilateral 4 meses más de la duración del mismo. En </w:t>
      </w:r>
      <w:proofErr w:type="gramStart"/>
      <w:r w:rsidRPr="00C04F16">
        <w:rPr>
          <w:rFonts w:ascii="Century Gothic" w:hAnsi="Century Gothic" w:cs="Arial"/>
          <w:i/>
          <w:szCs w:val="24"/>
        </w:rPr>
        <w:t>consecuencia</w:t>
      </w:r>
      <w:proofErr w:type="gramEnd"/>
      <w:r w:rsidRPr="00C04F16">
        <w:rPr>
          <w:rFonts w:ascii="Century Gothic" w:hAnsi="Century Gothic" w:cs="Arial"/>
          <w:i/>
          <w:szCs w:val="24"/>
        </w:rPr>
        <w:t xml:space="preserve"> esta solicitud de revisión es extemporánea frente a los términos que instituye la Ley”.</w:t>
      </w:r>
    </w:p>
    <w:p w14:paraId="6515906E" w14:textId="77777777" w:rsidR="00626308" w:rsidRPr="00BB43A5" w:rsidRDefault="00626308" w:rsidP="00626308">
      <w:pPr>
        <w:spacing w:line="360" w:lineRule="auto"/>
        <w:ind w:right="-142"/>
        <w:contextualSpacing/>
        <w:jc w:val="both"/>
        <w:rPr>
          <w:rFonts w:ascii="Century Gothic" w:hAnsi="Century Gothic" w:cs="Arial"/>
          <w:sz w:val="24"/>
          <w:szCs w:val="24"/>
        </w:rPr>
      </w:pPr>
    </w:p>
    <w:p w14:paraId="0752ACEC"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18</w:t>
      </w:r>
      <w:r w:rsidRPr="00A63CE6">
        <w:rPr>
          <w:rFonts w:ascii="Century Gothic" w:hAnsi="Century Gothic" w:cs="Arial"/>
          <w:sz w:val="24"/>
          <w:szCs w:val="24"/>
        </w:rPr>
        <w:t>.</w:t>
      </w:r>
      <w:r>
        <w:rPr>
          <w:rFonts w:ascii="Century Gothic" w:hAnsi="Century Gothic" w:cs="Arial"/>
          <w:sz w:val="24"/>
          <w:szCs w:val="24"/>
        </w:rPr>
        <w:t xml:space="preserve"> Sobre la excepción titulada “</w:t>
      </w:r>
      <w:r>
        <w:rPr>
          <w:rFonts w:ascii="Century Gothic" w:hAnsi="Century Gothic" w:cs="Arial"/>
          <w:i/>
          <w:sz w:val="24"/>
          <w:szCs w:val="24"/>
        </w:rPr>
        <w:t>incumplimiento de las obligaciones contractuales”</w:t>
      </w:r>
      <w:r>
        <w:rPr>
          <w:rFonts w:ascii="Century Gothic" w:hAnsi="Century Gothic" w:cs="Arial"/>
          <w:sz w:val="24"/>
          <w:szCs w:val="24"/>
        </w:rPr>
        <w:t>, la secretaría de educación señaló (se trascribe):</w:t>
      </w:r>
    </w:p>
    <w:p w14:paraId="09C08EDD" w14:textId="77777777" w:rsidR="00626308" w:rsidRDefault="00626308" w:rsidP="00626308">
      <w:pPr>
        <w:spacing w:line="360" w:lineRule="auto"/>
        <w:contextualSpacing/>
        <w:jc w:val="both"/>
        <w:rPr>
          <w:rFonts w:ascii="Century Gothic" w:hAnsi="Century Gothic" w:cs="Arial"/>
          <w:sz w:val="24"/>
          <w:szCs w:val="24"/>
        </w:rPr>
      </w:pPr>
    </w:p>
    <w:p w14:paraId="3B355F72" w14:textId="77777777" w:rsidR="00626308" w:rsidRPr="00F31317" w:rsidRDefault="00626308" w:rsidP="00626308">
      <w:pPr>
        <w:spacing w:line="276" w:lineRule="auto"/>
        <w:ind w:left="567" w:right="567"/>
        <w:contextualSpacing/>
        <w:jc w:val="both"/>
        <w:rPr>
          <w:rFonts w:ascii="Century Gothic" w:hAnsi="Century Gothic" w:cs="Arial"/>
          <w:i/>
          <w:szCs w:val="24"/>
        </w:rPr>
      </w:pPr>
      <w:r w:rsidRPr="00F31317">
        <w:rPr>
          <w:rFonts w:ascii="Century Gothic" w:hAnsi="Century Gothic" w:cs="Arial"/>
          <w:szCs w:val="24"/>
        </w:rPr>
        <w:t>“</w:t>
      </w:r>
      <w:r w:rsidRPr="00F31317">
        <w:rPr>
          <w:rFonts w:ascii="Century Gothic" w:hAnsi="Century Gothic" w:cs="Arial"/>
          <w:i/>
          <w:szCs w:val="24"/>
        </w:rPr>
        <w:t>a) Dentro de las cláusulas que hacen parte del contrato No 135 del 2006 se estableció en la cláusula segunda presentar un informe mensual matricula de los alumnos en la institución, situación jurídica que jamás cumplió la parte contratista.</w:t>
      </w:r>
    </w:p>
    <w:p w14:paraId="099B63DF" w14:textId="77777777" w:rsidR="00626308" w:rsidRPr="00F31317" w:rsidRDefault="00626308" w:rsidP="00626308">
      <w:pPr>
        <w:spacing w:line="276" w:lineRule="auto"/>
        <w:ind w:left="567" w:right="567"/>
        <w:contextualSpacing/>
        <w:jc w:val="both"/>
        <w:rPr>
          <w:rFonts w:ascii="Century Gothic" w:hAnsi="Century Gothic" w:cs="Arial"/>
          <w:i/>
          <w:szCs w:val="24"/>
        </w:rPr>
      </w:pPr>
      <w:r w:rsidRPr="00F31317">
        <w:rPr>
          <w:rFonts w:ascii="Century Gothic" w:hAnsi="Century Gothic" w:cs="Arial"/>
          <w:i/>
          <w:szCs w:val="24"/>
        </w:rPr>
        <w:t xml:space="preserve">b) Se consagró además en la cláusula novena del respectivo contrato, que las garantías que debía constituir el contratista </w:t>
      </w:r>
      <w:proofErr w:type="gramStart"/>
      <w:r w:rsidRPr="00F31317">
        <w:rPr>
          <w:rFonts w:ascii="Century Gothic" w:hAnsi="Century Gothic" w:cs="Arial"/>
          <w:i/>
          <w:szCs w:val="24"/>
        </w:rPr>
        <w:t>incluía</w:t>
      </w:r>
      <w:proofErr w:type="gramEnd"/>
      <w:r w:rsidRPr="00F31317">
        <w:rPr>
          <w:rFonts w:ascii="Century Gothic" w:hAnsi="Century Gothic" w:cs="Arial"/>
          <w:i/>
          <w:szCs w:val="24"/>
        </w:rPr>
        <w:t xml:space="preserve"> entre ellas el pago de salarios y prestaciones sociales al personal empleado para la ejecución del </w:t>
      </w:r>
      <w:r w:rsidRPr="00F31317">
        <w:rPr>
          <w:rFonts w:ascii="Century Gothic" w:hAnsi="Century Gothic" w:cs="Arial"/>
          <w:i/>
          <w:szCs w:val="24"/>
        </w:rPr>
        <w:lastRenderedPageBreak/>
        <w:t>contrato, Honorable Magistrado Ponente, el contratista incumplió con sus obligaciones y fue así que FELIZ BONILLA Y ABOGADOS ASOCIADOS presentaron derecho de petición a nombre de 161 profesores por el no pago de las prestaciones sociales en su calidad de docentes.</w:t>
      </w:r>
    </w:p>
    <w:p w14:paraId="2953121E" w14:textId="77777777" w:rsidR="00626308" w:rsidRPr="00220C92" w:rsidRDefault="00626308" w:rsidP="00626308">
      <w:pPr>
        <w:spacing w:line="276" w:lineRule="auto"/>
        <w:ind w:left="567" w:right="567"/>
        <w:contextualSpacing/>
        <w:jc w:val="both"/>
        <w:rPr>
          <w:rFonts w:ascii="Century Gothic" w:hAnsi="Century Gothic" w:cs="Arial"/>
          <w:i/>
          <w:szCs w:val="24"/>
        </w:rPr>
      </w:pPr>
      <w:r w:rsidRPr="00F31317">
        <w:rPr>
          <w:rFonts w:ascii="Century Gothic" w:hAnsi="Century Gothic" w:cs="Arial"/>
          <w:i/>
          <w:szCs w:val="24"/>
        </w:rPr>
        <w:t>c) En vista de los anterior, el Departamento del Guaviare en su condición de contratante profirió Resolución No 311 del 22 de abril de 2009. Por medio de la cual declara un siniestro de incumplimiento por parte del colegio Pedagógico del Meta, contrato No 135 de 2006. Este se encuentra debidamente notificado al contratista y a la Compañía Aseguradora a la fecha no han interpuesto ninguna clase de recurso”.</w:t>
      </w:r>
    </w:p>
    <w:p w14:paraId="72EAD3E6" w14:textId="77777777" w:rsidR="00626308" w:rsidRDefault="00626308" w:rsidP="00626308">
      <w:pPr>
        <w:spacing w:line="360" w:lineRule="auto"/>
        <w:ind w:right="-142"/>
        <w:contextualSpacing/>
        <w:jc w:val="both"/>
        <w:rPr>
          <w:rFonts w:ascii="Century Gothic" w:hAnsi="Century Gothic" w:cs="Arial"/>
          <w:b/>
          <w:sz w:val="24"/>
          <w:szCs w:val="24"/>
        </w:rPr>
      </w:pPr>
    </w:p>
    <w:p w14:paraId="35D017F1" w14:textId="77777777" w:rsidR="00626308" w:rsidRDefault="00626308" w:rsidP="00626308">
      <w:pPr>
        <w:spacing w:line="360" w:lineRule="auto"/>
        <w:contextualSpacing/>
        <w:jc w:val="both"/>
        <w:rPr>
          <w:rFonts w:ascii="Century Gothic" w:hAnsi="Century Gothic" w:cs="Arial"/>
          <w:sz w:val="24"/>
          <w:szCs w:val="24"/>
        </w:rPr>
      </w:pPr>
      <w:r w:rsidRPr="007E17B7">
        <w:rPr>
          <w:rFonts w:ascii="Century Gothic" w:hAnsi="Century Gothic" w:cs="Arial"/>
          <w:sz w:val="24"/>
          <w:szCs w:val="24"/>
        </w:rPr>
        <w:t>1</w:t>
      </w:r>
      <w:r>
        <w:rPr>
          <w:rFonts w:ascii="Century Gothic" w:hAnsi="Century Gothic" w:cs="Arial"/>
          <w:sz w:val="24"/>
          <w:szCs w:val="24"/>
        </w:rPr>
        <w:t>9</w:t>
      </w:r>
      <w:r w:rsidRPr="003B48A2">
        <w:rPr>
          <w:rFonts w:ascii="Century Gothic" w:hAnsi="Century Gothic" w:cs="Arial"/>
          <w:sz w:val="24"/>
          <w:szCs w:val="24"/>
        </w:rPr>
        <w:t>.</w:t>
      </w:r>
      <w:r>
        <w:rPr>
          <w:rFonts w:ascii="Century Gothic" w:hAnsi="Century Gothic" w:cs="Arial"/>
          <w:sz w:val="24"/>
          <w:szCs w:val="24"/>
        </w:rPr>
        <w:t xml:space="preserve"> Por último, en desarrollo de la excepción de </w:t>
      </w:r>
      <w:r>
        <w:rPr>
          <w:rFonts w:ascii="Century Gothic" w:hAnsi="Century Gothic" w:cs="Arial"/>
          <w:i/>
          <w:sz w:val="24"/>
          <w:szCs w:val="24"/>
        </w:rPr>
        <w:t xml:space="preserve">“obligatoriedad del acto conciliado”, </w:t>
      </w:r>
      <w:r>
        <w:rPr>
          <w:rFonts w:ascii="Century Gothic" w:hAnsi="Century Gothic" w:cs="Arial"/>
          <w:sz w:val="24"/>
          <w:szCs w:val="24"/>
        </w:rPr>
        <w:t>la entidad demandada argumentó (se trascribe):</w:t>
      </w:r>
    </w:p>
    <w:p w14:paraId="0B3335EC" w14:textId="77777777" w:rsidR="00626308" w:rsidRDefault="00626308" w:rsidP="00626308">
      <w:pPr>
        <w:spacing w:line="360" w:lineRule="auto"/>
        <w:contextualSpacing/>
        <w:jc w:val="both"/>
        <w:rPr>
          <w:rFonts w:ascii="Century Gothic" w:hAnsi="Century Gothic" w:cs="Arial"/>
          <w:sz w:val="24"/>
          <w:szCs w:val="24"/>
        </w:rPr>
      </w:pPr>
    </w:p>
    <w:p w14:paraId="46A84925" w14:textId="77777777" w:rsidR="00626308" w:rsidRPr="00237080" w:rsidRDefault="00626308" w:rsidP="00626308">
      <w:pPr>
        <w:spacing w:line="276" w:lineRule="auto"/>
        <w:ind w:left="567" w:right="567"/>
        <w:contextualSpacing/>
        <w:jc w:val="both"/>
        <w:rPr>
          <w:rFonts w:ascii="Century Gothic" w:hAnsi="Century Gothic" w:cs="Arial"/>
          <w:i/>
          <w:szCs w:val="24"/>
        </w:rPr>
      </w:pPr>
      <w:r w:rsidRPr="00237080">
        <w:rPr>
          <w:rFonts w:ascii="Century Gothic" w:hAnsi="Century Gothic" w:cs="Arial"/>
          <w:szCs w:val="24"/>
        </w:rPr>
        <w:t>“</w:t>
      </w:r>
      <w:r w:rsidRPr="00237080">
        <w:rPr>
          <w:rFonts w:ascii="Century Gothic" w:hAnsi="Century Gothic" w:cs="Arial"/>
          <w:i/>
          <w:szCs w:val="24"/>
        </w:rPr>
        <w:t>a) La parte actora Colegio Pedagógico del Meta en cabeza de su representante Legal y propietario el señor CRISTIAN FABIAN VARGAS RODRIGUEZ adelantó CONCILIACIÓN EXTRA JUDICIAL, que se r</w:t>
      </w:r>
      <w:r>
        <w:rPr>
          <w:rFonts w:ascii="Century Gothic" w:hAnsi="Century Gothic" w:cs="Arial"/>
          <w:i/>
          <w:szCs w:val="24"/>
        </w:rPr>
        <w:t>a</w:t>
      </w:r>
      <w:r w:rsidRPr="00237080">
        <w:rPr>
          <w:rFonts w:ascii="Century Gothic" w:hAnsi="Century Gothic" w:cs="Arial"/>
          <w:i/>
          <w:szCs w:val="24"/>
        </w:rPr>
        <w:t>dicó bajo el No 50001233100020070001401, expediente No 34233, el cual terminó conociendo y resolviendo el recurso de apelación, interpuesto por el Ministerio Público, EL CONSEJO DE ESTADO – SALA DE LO CONTENCIOSO ADMINISTRATIVO SECIONAL TERCERA, en providencia de fecha 26 de marzo de 2009, resolvió en el inciso segundo IMPROBAR el acuerdo conciliados suscrito el 28 de febrero de 2007, entre el departamento del Guaviare y el Señor Cristian Fabián Vargas Rodríguez, propietario del Colegio Pedagógico del Meta.</w:t>
      </w:r>
    </w:p>
    <w:p w14:paraId="410AE2F0" w14:textId="77777777" w:rsidR="00626308" w:rsidRPr="00237080" w:rsidRDefault="00626308" w:rsidP="00626308">
      <w:pPr>
        <w:spacing w:line="276" w:lineRule="auto"/>
        <w:ind w:left="567" w:right="567"/>
        <w:contextualSpacing/>
        <w:jc w:val="both"/>
        <w:rPr>
          <w:rFonts w:ascii="Century Gothic" w:hAnsi="Century Gothic" w:cs="Arial"/>
          <w:i/>
          <w:szCs w:val="24"/>
        </w:rPr>
      </w:pPr>
      <w:r w:rsidRPr="00237080">
        <w:rPr>
          <w:rFonts w:ascii="Century Gothic" w:hAnsi="Century Gothic" w:cs="Arial"/>
          <w:i/>
          <w:szCs w:val="24"/>
        </w:rPr>
        <w:t xml:space="preserve">b) Los aspectos probatorios que sirvieron de fundamento para la decisión del Consejo de Estado, fue la inexistencia de la prueba sobre la prestación del servicio y concretamente la cantidad de alumnos atendidos, situación que a la fecha no ha cambiado, si miramos los informes mensuales del contratista, jamás puso en conocimiento del contratante </w:t>
      </w:r>
      <w:proofErr w:type="gramStart"/>
      <w:r w:rsidRPr="00237080">
        <w:rPr>
          <w:rFonts w:ascii="Century Gothic" w:hAnsi="Century Gothic" w:cs="Arial"/>
          <w:i/>
          <w:szCs w:val="24"/>
        </w:rPr>
        <w:t>el incrementos</w:t>
      </w:r>
      <w:proofErr w:type="gramEnd"/>
      <w:r w:rsidRPr="00237080">
        <w:rPr>
          <w:rFonts w:ascii="Century Gothic" w:hAnsi="Century Gothic" w:cs="Arial"/>
          <w:i/>
          <w:szCs w:val="24"/>
        </w:rPr>
        <w:t xml:space="preserve"> de alumnos, amen.</w:t>
      </w:r>
    </w:p>
    <w:p w14:paraId="59B0EA80" w14:textId="77777777" w:rsidR="00626308" w:rsidRPr="00237080" w:rsidRDefault="00626308" w:rsidP="00626308">
      <w:pPr>
        <w:spacing w:line="276" w:lineRule="auto"/>
        <w:ind w:left="567" w:right="567"/>
        <w:contextualSpacing/>
        <w:jc w:val="both"/>
        <w:rPr>
          <w:rFonts w:ascii="Century Gothic" w:hAnsi="Century Gothic" w:cs="Arial"/>
          <w:i/>
          <w:szCs w:val="24"/>
        </w:rPr>
      </w:pPr>
      <w:r w:rsidRPr="00237080">
        <w:rPr>
          <w:rFonts w:ascii="Century Gothic" w:hAnsi="Century Gothic" w:cs="Arial"/>
          <w:i/>
          <w:szCs w:val="24"/>
        </w:rPr>
        <w:t xml:space="preserve">c) Como los hechos y pretensiones de la conciliación extrajudicial son los mismos y las mismas que se narran en la demanda ordinaria contractual, al igual que las partes que intervienen, considero que la providencia del Consejo de </w:t>
      </w:r>
      <w:proofErr w:type="gramStart"/>
      <w:r w:rsidRPr="00237080">
        <w:rPr>
          <w:rFonts w:ascii="Century Gothic" w:hAnsi="Century Gothic" w:cs="Arial"/>
          <w:i/>
          <w:szCs w:val="24"/>
        </w:rPr>
        <w:t>Estado,</w:t>
      </w:r>
      <w:proofErr w:type="gramEnd"/>
      <w:r w:rsidRPr="00237080">
        <w:rPr>
          <w:rFonts w:ascii="Century Gothic" w:hAnsi="Century Gothic" w:cs="Arial"/>
          <w:i/>
          <w:szCs w:val="24"/>
        </w:rPr>
        <w:t xml:space="preserve"> debe ser acogida y acatada por las partes”.</w:t>
      </w:r>
    </w:p>
    <w:p w14:paraId="73211E1E" w14:textId="77777777" w:rsidR="00626308" w:rsidRPr="000366C5" w:rsidRDefault="00626308" w:rsidP="00626308">
      <w:pPr>
        <w:spacing w:line="360" w:lineRule="auto"/>
        <w:ind w:right="-142"/>
        <w:contextualSpacing/>
        <w:jc w:val="both"/>
        <w:rPr>
          <w:rFonts w:ascii="Century Gothic" w:hAnsi="Century Gothic" w:cs="Arial"/>
          <w:sz w:val="24"/>
          <w:szCs w:val="24"/>
        </w:rPr>
      </w:pPr>
    </w:p>
    <w:p w14:paraId="588D5B22" w14:textId="77777777" w:rsidR="00626308" w:rsidRDefault="00626308" w:rsidP="00626308">
      <w:pPr>
        <w:tabs>
          <w:tab w:val="left" w:pos="2116"/>
        </w:tabs>
        <w:spacing w:line="360" w:lineRule="auto"/>
        <w:ind w:right="-142"/>
        <w:contextualSpacing/>
        <w:jc w:val="both"/>
        <w:rPr>
          <w:rFonts w:ascii="Century Gothic" w:hAnsi="Century Gothic" w:cs="Arial"/>
          <w:sz w:val="24"/>
          <w:szCs w:val="24"/>
        </w:rPr>
      </w:pPr>
      <w:r>
        <w:rPr>
          <w:rFonts w:ascii="Century Gothic" w:hAnsi="Century Gothic" w:cs="Arial"/>
          <w:sz w:val="24"/>
          <w:szCs w:val="24"/>
        </w:rPr>
        <w:t>20. Mediante Auto de 11 de diciembre de 2009</w:t>
      </w:r>
      <w:r w:rsidRPr="00206A6D">
        <w:rPr>
          <w:rFonts w:ascii="Century Gothic" w:hAnsi="Century Gothic" w:cs="Arial"/>
          <w:sz w:val="24"/>
          <w:szCs w:val="24"/>
        </w:rPr>
        <w:t xml:space="preserve">, se </w:t>
      </w:r>
      <w:r w:rsidRPr="00206A6D">
        <w:rPr>
          <w:rFonts w:ascii="Century Gothic" w:hAnsi="Century Gothic" w:cs="Arial"/>
          <w:b/>
          <w:sz w:val="24"/>
          <w:szCs w:val="24"/>
        </w:rPr>
        <w:t>decretaron las pruebas</w:t>
      </w:r>
      <w:r w:rsidRPr="00206A6D">
        <w:rPr>
          <w:rFonts w:ascii="Century Gothic" w:hAnsi="Century Gothic" w:cs="Arial"/>
          <w:sz w:val="24"/>
          <w:szCs w:val="24"/>
        </w:rPr>
        <w:t xml:space="preserve"> a ser tenidas en cuenta en el proceso</w:t>
      </w:r>
      <w:r w:rsidRPr="00206A6D">
        <w:rPr>
          <w:rStyle w:val="Refdenotaalpie"/>
          <w:rFonts w:ascii="Century Gothic" w:hAnsi="Century Gothic" w:cs="Arial"/>
        </w:rPr>
        <w:footnoteReference w:id="4"/>
      </w:r>
      <w:r>
        <w:rPr>
          <w:rFonts w:ascii="Century Gothic" w:hAnsi="Century Gothic" w:cs="Arial"/>
          <w:sz w:val="24"/>
          <w:szCs w:val="24"/>
        </w:rPr>
        <w:t>. Se tuvieron en cuenta las pruebas documentales aportadas en los escritos de demanda y contestación.</w:t>
      </w:r>
    </w:p>
    <w:p w14:paraId="41EE1978" w14:textId="77777777" w:rsidR="00626308" w:rsidRDefault="00626308" w:rsidP="00626308">
      <w:pPr>
        <w:spacing w:line="360" w:lineRule="auto"/>
        <w:ind w:right="-142"/>
        <w:contextualSpacing/>
        <w:jc w:val="both"/>
        <w:rPr>
          <w:rFonts w:ascii="Century Gothic" w:hAnsi="Century Gothic" w:cs="Arial"/>
          <w:sz w:val="24"/>
          <w:szCs w:val="24"/>
        </w:rPr>
      </w:pPr>
    </w:p>
    <w:p w14:paraId="6653DC92"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21</w:t>
      </w:r>
      <w:r w:rsidRPr="0046336A">
        <w:rPr>
          <w:rFonts w:ascii="Century Gothic" w:hAnsi="Century Gothic" w:cs="Arial"/>
          <w:sz w:val="24"/>
          <w:szCs w:val="24"/>
        </w:rPr>
        <w:t xml:space="preserve">. </w:t>
      </w:r>
      <w:r>
        <w:rPr>
          <w:rFonts w:ascii="Century Gothic" w:hAnsi="Century Gothic" w:cs="Arial"/>
          <w:sz w:val="24"/>
          <w:szCs w:val="24"/>
        </w:rPr>
        <w:t>Una vez vencido el periodo probatorio, mediante Auto de 10 de noviembre de 2011</w:t>
      </w:r>
      <w:r w:rsidRPr="00206A6D">
        <w:rPr>
          <w:rFonts w:ascii="Century Gothic" w:hAnsi="Century Gothic" w:cs="Arial"/>
          <w:sz w:val="24"/>
          <w:szCs w:val="24"/>
        </w:rPr>
        <w:t xml:space="preserve"> se corrió traslado a las partes para alegar de conclusión</w:t>
      </w:r>
      <w:r w:rsidRPr="00206A6D">
        <w:rPr>
          <w:rStyle w:val="Refdenotaalpie"/>
          <w:rFonts w:ascii="Century Gothic" w:hAnsi="Century Gothic" w:cs="Arial"/>
        </w:rPr>
        <w:footnoteReference w:id="5"/>
      </w:r>
      <w:r>
        <w:rPr>
          <w:rFonts w:ascii="Century Gothic" w:hAnsi="Century Gothic" w:cs="Arial"/>
          <w:sz w:val="24"/>
          <w:szCs w:val="24"/>
        </w:rPr>
        <w:t>.</w:t>
      </w:r>
    </w:p>
    <w:p w14:paraId="3A41ADEC" w14:textId="77777777" w:rsidR="00626308" w:rsidRDefault="00626308" w:rsidP="00626308">
      <w:pPr>
        <w:spacing w:line="360" w:lineRule="auto"/>
        <w:ind w:right="-142"/>
        <w:contextualSpacing/>
        <w:jc w:val="both"/>
        <w:rPr>
          <w:rFonts w:ascii="Century Gothic" w:hAnsi="Century Gothic" w:cs="Arial"/>
          <w:sz w:val="24"/>
          <w:szCs w:val="24"/>
        </w:rPr>
      </w:pPr>
    </w:p>
    <w:p w14:paraId="04BA0B42"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22. Por medio de memorial radicado</w:t>
      </w:r>
      <w:r w:rsidRPr="00206A6D">
        <w:rPr>
          <w:rFonts w:ascii="Century Gothic" w:hAnsi="Century Gothic" w:cs="Arial"/>
          <w:sz w:val="24"/>
          <w:szCs w:val="24"/>
        </w:rPr>
        <w:t xml:space="preserve"> en el Tribunal Administra</w:t>
      </w:r>
      <w:r>
        <w:rPr>
          <w:rFonts w:ascii="Century Gothic" w:hAnsi="Century Gothic" w:cs="Arial"/>
          <w:sz w:val="24"/>
          <w:szCs w:val="24"/>
        </w:rPr>
        <w:t>tivo de Meta el 30 de noviembre de 2011, la parte demandante presentó</w:t>
      </w:r>
      <w:r w:rsidRPr="00206A6D">
        <w:rPr>
          <w:rFonts w:ascii="Century Gothic" w:hAnsi="Century Gothic" w:cs="Arial"/>
          <w:sz w:val="24"/>
          <w:szCs w:val="24"/>
        </w:rPr>
        <w:t xml:space="preserve"> </w:t>
      </w:r>
      <w:r w:rsidRPr="00206A6D">
        <w:rPr>
          <w:rFonts w:ascii="Century Gothic" w:hAnsi="Century Gothic" w:cs="Arial"/>
          <w:b/>
          <w:sz w:val="24"/>
          <w:szCs w:val="24"/>
        </w:rPr>
        <w:t>alegatos de conclusión</w:t>
      </w:r>
      <w:r w:rsidRPr="00206A6D">
        <w:rPr>
          <w:rFonts w:ascii="Century Gothic" w:hAnsi="Century Gothic" w:cs="Arial"/>
          <w:sz w:val="24"/>
          <w:szCs w:val="24"/>
        </w:rPr>
        <w:t xml:space="preserve">, reiterando </w:t>
      </w:r>
      <w:r>
        <w:rPr>
          <w:rFonts w:ascii="Century Gothic" w:hAnsi="Century Gothic" w:cs="Arial"/>
          <w:sz w:val="24"/>
          <w:szCs w:val="24"/>
        </w:rPr>
        <w:t>los argumentos expuestos en el escrito</w:t>
      </w:r>
      <w:r w:rsidRPr="00206A6D">
        <w:rPr>
          <w:rFonts w:ascii="Century Gothic" w:hAnsi="Century Gothic" w:cs="Arial"/>
          <w:sz w:val="24"/>
          <w:szCs w:val="24"/>
        </w:rPr>
        <w:t xml:space="preserve"> de demanda</w:t>
      </w:r>
      <w:r w:rsidRPr="00206A6D">
        <w:rPr>
          <w:rStyle w:val="Refdenotaalpie"/>
          <w:rFonts w:ascii="Century Gothic" w:hAnsi="Century Gothic" w:cs="Arial"/>
        </w:rPr>
        <w:footnoteReference w:id="6"/>
      </w:r>
      <w:r w:rsidRPr="00206A6D">
        <w:rPr>
          <w:rFonts w:ascii="Century Gothic" w:hAnsi="Century Gothic" w:cs="Arial"/>
          <w:sz w:val="24"/>
          <w:szCs w:val="24"/>
        </w:rPr>
        <w:t>.</w:t>
      </w:r>
      <w:r>
        <w:rPr>
          <w:rFonts w:ascii="Century Gothic" w:hAnsi="Century Gothic" w:cs="Arial"/>
          <w:sz w:val="24"/>
          <w:szCs w:val="24"/>
        </w:rPr>
        <w:t xml:space="preserve"> La entidad demandada guardó silencio.</w:t>
      </w:r>
    </w:p>
    <w:p w14:paraId="704E9241" w14:textId="77777777" w:rsidR="00626308" w:rsidRDefault="00626308" w:rsidP="00626308">
      <w:pPr>
        <w:spacing w:line="360" w:lineRule="auto"/>
        <w:ind w:right="-142"/>
        <w:contextualSpacing/>
        <w:jc w:val="both"/>
        <w:rPr>
          <w:rFonts w:ascii="Century Gothic" w:hAnsi="Century Gothic" w:cs="Arial"/>
          <w:sz w:val="24"/>
          <w:szCs w:val="24"/>
        </w:rPr>
      </w:pPr>
    </w:p>
    <w:p w14:paraId="114DB90F" w14:textId="77777777" w:rsidR="00626308" w:rsidRPr="00290569" w:rsidRDefault="00626308" w:rsidP="00626308">
      <w:pPr>
        <w:spacing w:line="360" w:lineRule="auto"/>
        <w:contextualSpacing/>
        <w:jc w:val="both"/>
        <w:rPr>
          <w:rFonts w:ascii="Century Gothic" w:hAnsi="Century Gothic" w:cs="Arial"/>
          <w:i/>
          <w:sz w:val="24"/>
          <w:szCs w:val="24"/>
        </w:rPr>
      </w:pPr>
      <w:r>
        <w:rPr>
          <w:rFonts w:ascii="Century Gothic" w:hAnsi="Century Gothic" w:cs="Arial"/>
          <w:sz w:val="24"/>
          <w:szCs w:val="24"/>
        </w:rPr>
        <w:t>23</w:t>
      </w:r>
      <w:r w:rsidRPr="00E71118">
        <w:rPr>
          <w:rFonts w:ascii="Century Gothic" w:hAnsi="Century Gothic" w:cs="Arial"/>
          <w:sz w:val="24"/>
          <w:szCs w:val="24"/>
        </w:rPr>
        <w:t>.</w:t>
      </w:r>
      <w:r>
        <w:rPr>
          <w:rFonts w:ascii="Century Gothic" w:hAnsi="Century Gothic" w:cs="Arial"/>
          <w:sz w:val="24"/>
          <w:szCs w:val="24"/>
        </w:rPr>
        <w:t xml:space="preserve"> El 14 de febrero de 2012, el Tribunal Administrativo de</w:t>
      </w:r>
      <w:r w:rsidRPr="00206A6D">
        <w:rPr>
          <w:rFonts w:ascii="Century Gothic" w:hAnsi="Century Gothic" w:cs="Arial"/>
          <w:sz w:val="24"/>
          <w:szCs w:val="24"/>
        </w:rPr>
        <w:t xml:space="preserve"> </w:t>
      </w:r>
      <w:r>
        <w:rPr>
          <w:rFonts w:ascii="Century Gothic" w:hAnsi="Century Gothic" w:cs="Arial"/>
          <w:sz w:val="24"/>
          <w:szCs w:val="24"/>
        </w:rPr>
        <w:t xml:space="preserve">Meta </w:t>
      </w:r>
      <w:r w:rsidRPr="00206A6D">
        <w:rPr>
          <w:rFonts w:ascii="Century Gothic" w:hAnsi="Century Gothic" w:cs="Arial"/>
          <w:sz w:val="24"/>
          <w:szCs w:val="24"/>
        </w:rPr>
        <w:t xml:space="preserve">profirió </w:t>
      </w:r>
      <w:r>
        <w:rPr>
          <w:rFonts w:ascii="Century Gothic" w:hAnsi="Century Gothic" w:cs="Arial"/>
          <w:b/>
          <w:sz w:val="24"/>
          <w:szCs w:val="24"/>
        </w:rPr>
        <w:t>S</w:t>
      </w:r>
      <w:r w:rsidRPr="00206A6D">
        <w:rPr>
          <w:rFonts w:ascii="Century Gothic" w:hAnsi="Century Gothic" w:cs="Arial"/>
          <w:b/>
          <w:sz w:val="24"/>
          <w:szCs w:val="24"/>
        </w:rPr>
        <w:t>entencia</w:t>
      </w:r>
      <w:r>
        <w:rPr>
          <w:rFonts w:ascii="Century Gothic" w:hAnsi="Century Gothic" w:cs="Arial"/>
          <w:b/>
          <w:sz w:val="24"/>
          <w:szCs w:val="24"/>
        </w:rPr>
        <w:t xml:space="preserve"> de primera instancia</w:t>
      </w:r>
      <w:r w:rsidRPr="00206A6D">
        <w:rPr>
          <w:rStyle w:val="Refdenotaalpie"/>
          <w:rFonts w:ascii="Century Gothic" w:hAnsi="Century Gothic" w:cs="Arial"/>
        </w:rPr>
        <w:footnoteReference w:id="7"/>
      </w:r>
      <w:r>
        <w:rPr>
          <w:rFonts w:ascii="Century Gothic" w:hAnsi="Century Gothic" w:cs="Arial"/>
          <w:b/>
          <w:sz w:val="24"/>
          <w:szCs w:val="24"/>
        </w:rPr>
        <w:t xml:space="preserve">. </w:t>
      </w:r>
      <w:r>
        <w:rPr>
          <w:rFonts w:ascii="Century Gothic" w:hAnsi="Century Gothic" w:cs="Arial"/>
          <w:sz w:val="24"/>
          <w:szCs w:val="24"/>
        </w:rPr>
        <w:t>Antes que nada</w:t>
      </w:r>
      <w:r w:rsidRPr="00206A6D">
        <w:rPr>
          <w:rFonts w:ascii="Century Gothic" w:hAnsi="Century Gothic" w:cs="Arial"/>
          <w:sz w:val="24"/>
          <w:szCs w:val="24"/>
        </w:rPr>
        <w:t xml:space="preserve">, el Tribunal </w:t>
      </w:r>
      <w:r>
        <w:rPr>
          <w:rFonts w:ascii="Century Gothic" w:hAnsi="Century Gothic" w:cs="Arial"/>
          <w:sz w:val="24"/>
          <w:szCs w:val="24"/>
        </w:rPr>
        <w:t>estableció que el problema jurídico a resolver consistía en determinar: “</w:t>
      </w:r>
      <w:r>
        <w:rPr>
          <w:rFonts w:ascii="Century Gothic" w:hAnsi="Century Gothic" w:cs="Arial"/>
          <w:i/>
          <w:sz w:val="24"/>
          <w:szCs w:val="24"/>
        </w:rPr>
        <w:t>si hubo desequilibrio económico en el contrato No. 135 de 2006 suscrito entre el Señor CRISTIAN FABIÁN VARGAS RODRÍGUEZ en calidad de propietario del establecimiento comercial denominado COLEGIO PEDAGÓGICO DEL META y el DEPARTAMENTO DEL GUAVIARE, y por tanto determinar si hay derecho a reconocer el valor dejado de percibir por el actor”.</w:t>
      </w:r>
    </w:p>
    <w:p w14:paraId="6DC12839" w14:textId="77777777" w:rsidR="00626308" w:rsidRDefault="00626308" w:rsidP="00626308">
      <w:pPr>
        <w:spacing w:line="360" w:lineRule="auto"/>
        <w:ind w:right="-142"/>
        <w:contextualSpacing/>
        <w:jc w:val="both"/>
        <w:rPr>
          <w:rFonts w:ascii="Century Gothic" w:hAnsi="Century Gothic" w:cs="Arial"/>
          <w:sz w:val="24"/>
          <w:szCs w:val="24"/>
        </w:rPr>
      </w:pPr>
    </w:p>
    <w:p w14:paraId="26310041"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24. Definido el problema jurídico, y luego de haber realizado algunas consideraciones sobre el equilibrio económico de los contratos estatales y las modificaciones de este tipo de contratos, el Tribunal pasó a exponer los motivos por los cuales negaría las pretensiones de la demanda. </w:t>
      </w:r>
    </w:p>
    <w:p w14:paraId="40E386AB" w14:textId="77777777" w:rsidR="00626308" w:rsidRDefault="00626308" w:rsidP="00626308">
      <w:pPr>
        <w:tabs>
          <w:tab w:val="left" w:pos="3456"/>
        </w:tabs>
        <w:spacing w:line="360" w:lineRule="auto"/>
        <w:ind w:right="-142"/>
        <w:contextualSpacing/>
        <w:jc w:val="both"/>
        <w:rPr>
          <w:rFonts w:ascii="Century Gothic" w:hAnsi="Century Gothic" w:cs="Arial"/>
          <w:sz w:val="24"/>
          <w:szCs w:val="24"/>
        </w:rPr>
      </w:pPr>
    </w:p>
    <w:p w14:paraId="73B22BC7" w14:textId="77777777" w:rsidR="00626308" w:rsidRDefault="00626308" w:rsidP="00626308">
      <w:pPr>
        <w:tabs>
          <w:tab w:val="left" w:pos="3456"/>
        </w:tabs>
        <w:spacing w:line="360" w:lineRule="auto"/>
        <w:ind w:right="-142"/>
        <w:contextualSpacing/>
        <w:jc w:val="both"/>
        <w:rPr>
          <w:rFonts w:ascii="Century Gothic" w:hAnsi="Century Gothic" w:cs="Arial"/>
          <w:sz w:val="24"/>
          <w:szCs w:val="24"/>
        </w:rPr>
      </w:pPr>
      <w:r>
        <w:rPr>
          <w:rFonts w:ascii="Century Gothic" w:hAnsi="Century Gothic" w:cs="Arial"/>
          <w:sz w:val="24"/>
          <w:szCs w:val="24"/>
        </w:rPr>
        <w:tab/>
      </w:r>
    </w:p>
    <w:p w14:paraId="15467372" w14:textId="77777777" w:rsidR="00626308" w:rsidRPr="00806770" w:rsidRDefault="00626308" w:rsidP="00626308">
      <w:pPr>
        <w:spacing w:line="360" w:lineRule="auto"/>
        <w:contextualSpacing/>
        <w:jc w:val="both"/>
        <w:rPr>
          <w:rFonts w:ascii="Century Gothic" w:hAnsi="Century Gothic" w:cs="Arial"/>
          <w:i/>
          <w:sz w:val="24"/>
          <w:szCs w:val="24"/>
        </w:rPr>
      </w:pPr>
      <w:r>
        <w:rPr>
          <w:rFonts w:ascii="Century Gothic" w:hAnsi="Century Gothic" w:cs="Arial"/>
          <w:sz w:val="24"/>
          <w:szCs w:val="24"/>
        </w:rPr>
        <w:t>25</w:t>
      </w:r>
      <w:r w:rsidRPr="00EA19BC">
        <w:rPr>
          <w:rFonts w:ascii="Century Gothic" w:hAnsi="Century Gothic" w:cs="Arial"/>
          <w:sz w:val="24"/>
          <w:szCs w:val="24"/>
        </w:rPr>
        <w:t>.</w:t>
      </w:r>
      <w:r>
        <w:rPr>
          <w:rFonts w:ascii="Century Gothic" w:hAnsi="Century Gothic" w:cs="Arial"/>
          <w:sz w:val="24"/>
          <w:szCs w:val="24"/>
        </w:rPr>
        <w:t xml:space="preserve"> En este punto, el Tribunal indicó, en primer lugar, que el análisis de las pretensiones de rompimiento del equilibrio económico elevadas en la demanda debía hacerse a partir de la teoría de la imprevisión, en vista de que: “</w:t>
      </w:r>
      <w:r>
        <w:rPr>
          <w:rFonts w:ascii="Century Gothic" w:hAnsi="Century Gothic" w:cs="Arial"/>
          <w:i/>
          <w:sz w:val="24"/>
          <w:szCs w:val="24"/>
        </w:rPr>
        <w:t xml:space="preserve">dentro del proceso no se demostró que el Departamento del Guaviare incumpliera las obligaciones contraídas en el negocio jurídico materia de controversia y tampoco, que haya modificado las condiciones del contrato, pues lo que se solicita es el pago por una mayor ejecución del servicio contratado”. </w:t>
      </w:r>
      <w:r>
        <w:rPr>
          <w:rFonts w:ascii="Century Gothic" w:hAnsi="Century Gothic" w:cs="Arial"/>
          <w:sz w:val="24"/>
          <w:szCs w:val="24"/>
        </w:rPr>
        <w:t>Hecho lo anterior, el Tribunal señaló que la teoría de la imprevisión tenía aplicación cuando un hecho imprevisible tornaba más oneroso el cumplimiento del contrato para una de las partes, sin impedir su ejecución.</w:t>
      </w:r>
    </w:p>
    <w:p w14:paraId="4AC7A385" w14:textId="77777777" w:rsidR="00626308" w:rsidRDefault="00626308" w:rsidP="00626308">
      <w:pPr>
        <w:spacing w:line="360" w:lineRule="auto"/>
        <w:ind w:right="-142"/>
        <w:contextualSpacing/>
        <w:jc w:val="both"/>
        <w:rPr>
          <w:rFonts w:ascii="Century Gothic" w:hAnsi="Century Gothic" w:cs="Arial"/>
          <w:sz w:val="24"/>
          <w:szCs w:val="24"/>
        </w:rPr>
      </w:pPr>
    </w:p>
    <w:p w14:paraId="67D90D9D"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26. Así las cosas, el Tribunal concluyó (se trascribe):</w:t>
      </w:r>
    </w:p>
    <w:p w14:paraId="0CEC3A3F" w14:textId="77777777" w:rsidR="00626308" w:rsidRDefault="00626308" w:rsidP="00626308">
      <w:pPr>
        <w:spacing w:line="360" w:lineRule="auto"/>
        <w:contextualSpacing/>
        <w:jc w:val="both"/>
        <w:rPr>
          <w:rFonts w:ascii="Century Gothic" w:hAnsi="Century Gothic" w:cs="Arial"/>
          <w:sz w:val="24"/>
          <w:szCs w:val="24"/>
        </w:rPr>
      </w:pPr>
    </w:p>
    <w:p w14:paraId="5D83402D" w14:textId="77777777" w:rsidR="00626308" w:rsidRPr="004A4D7C" w:rsidRDefault="00626308" w:rsidP="00626308">
      <w:pPr>
        <w:spacing w:line="276" w:lineRule="auto"/>
        <w:ind w:left="567" w:right="567"/>
        <w:contextualSpacing/>
        <w:jc w:val="both"/>
        <w:rPr>
          <w:rFonts w:ascii="Century Gothic" w:hAnsi="Century Gothic" w:cs="Arial"/>
          <w:i/>
          <w:szCs w:val="24"/>
        </w:rPr>
      </w:pPr>
      <w:r w:rsidRPr="0077733A">
        <w:rPr>
          <w:rFonts w:ascii="Century Gothic" w:hAnsi="Century Gothic" w:cs="Arial"/>
          <w:szCs w:val="24"/>
        </w:rPr>
        <w:t>“</w:t>
      </w:r>
      <w:r w:rsidRPr="0077733A">
        <w:rPr>
          <w:rFonts w:ascii="Century Gothic" w:hAnsi="Century Gothic" w:cs="Arial"/>
          <w:i/>
          <w:szCs w:val="24"/>
        </w:rPr>
        <w:t>Confrontadas las anteriores condiciones con el contrato mismo, se encuentra que en el parágrafo de la cláusula cuarta se estipuló que ‘en ningún caso el número de niños atendidos podrá ser superior al ofrecido por el Contratista’, lo que demuestra que no puede tenerse como un hecho imprevisto, pues por el contrario, la entidad contratante previó que en ningún evento el contratista podía aumentar la cantidad de niños atendidos y entonces, le correspondía al Contratista verificar que esta situación no se presentara, por lo que no puede en este momento reclamar por este incremento injustificado de estudiantes, pues el contrato fue muy claro al estipular dicha prohibición, razón por la cual tampoco se configura la teoría de la imprevisión”.</w:t>
      </w:r>
    </w:p>
    <w:p w14:paraId="0F41EE85" w14:textId="77777777" w:rsidR="00626308" w:rsidRPr="009426C0" w:rsidRDefault="00626308" w:rsidP="00626308">
      <w:pPr>
        <w:spacing w:line="360" w:lineRule="auto"/>
        <w:ind w:right="-142"/>
        <w:contextualSpacing/>
        <w:jc w:val="both"/>
        <w:rPr>
          <w:rFonts w:ascii="Century Gothic" w:hAnsi="Century Gothic" w:cs="Arial"/>
          <w:sz w:val="24"/>
          <w:szCs w:val="24"/>
        </w:rPr>
      </w:pPr>
    </w:p>
    <w:p w14:paraId="6F681491"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27. Y agregó (se trascribe):</w:t>
      </w:r>
    </w:p>
    <w:p w14:paraId="06E9FDFC" w14:textId="77777777" w:rsidR="00626308" w:rsidRDefault="00626308" w:rsidP="00626308">
      <w:pPr>
        <w:spacing w:line="360" w:lineRule="auto"/>
        <w:contextualSpacing/>
        <w:jc w:val="both"/>
        <w:rPr>
          <w:rFonts w:ascii="Century Gothic" w:hAnsi="Century Gothic" w:cs="Arial"/>
          <w:sz w:val="24"/>
          <w:szCs w:val="24"/>
        </w:rPr>
      </w:pPr>
    </w:p>
    <w:p w14:paraId="59C15109" w14:textId="77777777" w:rsidR="00626308" w:rsidRPr="005A3402" w:rsidRDefault="00626308" w:rsidP="00626308">
      <w:pPr>
        <w:spacing w:line="276" w:lineRule="auto"/>
        <w:ind w:left="567" w:right="567"/>
        <w:contextualSpacing/>
        <w:jc w:val="both"/>
        <w:rPr>
          <w:rFonts w:ascii="Century Gothic" w:hAnsi="Century Gothic" w:cs="Arial"/>
          <w:i/>
          <w:szCs w:val="24"/>
        </w:rPr>
      </w:pPr>
      <w:r w:rsidRPr="005A3402">
        <w:rPr>
          <w:rFonts w:ascii="Century Gothic" w:hAnsi="Century Gothic" w:cs="Arial"/>
          <w:szCs w:val="24"/>
        </w:rPr>
        <w:t>“</w:t>
      </w:r>
      <w:r w:rsidRPr="005A3402">
        <w:rPr>
          <w:rFonts w:ascii="Century Gothic" w:hAnsi="Century Gothic" w:cs="Arial"/>
          <w:i/>
          <w:szCs w:val="24"/>
        </w:rPr>
        <w:t>(…) el contratista debió darse cuenta desde el principio de la ejecución del contrato, el incremento injustificado de niños y ponerlo inmediatamente en conocimiento de la administración departamental para que se tomaran los correctivos respectivos, pero echa de menos la Sala que en el plenario no hay un solo documento que demuestre que se haya comunicado esta situación a la demandada, ni siquiera que se haya elevado una sola petición o reclamo al respecto, a pesar que durante la vigencia del contrato se realizaron varias modificaciones al mismo”.</w:t>
      </w:r>
    </w:p>
    <w:p w14:paraId="684EB1B7" w14:textId="77777777" w:rsidR="00626308" w:rsidRPr="00F12981" w:rsidRDefault="00626308" w:rsidP="00626308">
      <w:pPr>
        <w:spacing w:line="360" w:lineRule="auto"/>
        <w:ind w:right="-142"/>
        <w:contextualSpacing/>
        <w:jc w:val="both"/>
        <w:rPr>
          <w:rFonts w:ascii="Century Gothic" w:hAnsi="Century Gothic" w:cs="Arial"/>
          <w:sz w:val="24"/>
          <w:szCs w:val="24"/>
        </w:rPr>
      </w:pPr>
    </w:p>
    <w:p w14:paraId="2E04A574"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28. Posteriormente, el Tribunal indicó </w:t>
      </w:r>
      <w:proofErr w:type="gramStart"/>
      <w:r w:rsidRPr="009F543F">
        <w:rPr>
          <w:rFonts w:ascii="Century Gothic" w:hAnsi="Century Gothic" w:cs="Arial"/>
          <w:sz w:val="24"/>
          <w:szCs w:val="24"/>
        </w:rPr>
        <w:t>que</w:t>
      </w:r>
      <w:proofErr w:type="gramEnd"/>
      <w:r w:rsidRPr="009F543F">
        <w:rPr>
          <w:rFonts w:ascii="Century Gothic" w:hAnsi="Century Gothic" w:cs="Arial"/>
          <w:sz w:val="24"/>
          <w:szCs w:val="24"/>
        </w:rPr>
        <w:t xml:space="preserve"> </w:t>
      </w:r>
      <w:r>
        <w:rPr>
          <w:rFonts w:ascii="Century Gothic" w:hAnsi="Century Gothic" w:cs="Arial"/>
          <w:sz w:val="24"/>
          <w:szCs w:val="24"/>
        </w:rPr>
        <w:t>al acudir a la jurisdicción</w:t>
      </w:r>
      <w:r w:rsidRPr="009F543F">
        <w:rPr>
          <w:rFonts w:ascii="Century Gothic" w:hAnsi="Century Gothic" w:cs="Arial"/>
          <w:sz w:val="24"/>
          <w:szCs w:val="24"/>
        </w:rPr>
        <w:t>,</w:t>
      </w:r>
      <w:r>
        <w:rPr>
          <w:rFonts w:ascii="Century Gothic" w:hAnsi="Century Gothic" w:cs="Arial"/>
          <w:sz w:val="24"/>
          <w:szCs w:val="24"/>
        </w:rPr>
        <w:t xml:space="preserve"> Cristian Fabián Vargas Rodríguez vulneró la prohibición de actuar en contra de los actos propios, ya que su comportamiento al momento de suscribir el contrato no era coherente </w:t>
      </w:r>
      <w:r w:rsidRPr="009F543F">
        <w:rPr>
          <w:rFonts w:ascii="Century Gothic" w:hAnsi="Century Gothic" w:cs="Arial"/>
          <w:sz w:val="24"/>
          <w:szCs w:val="24"/>
        </w:rPr>
        <w:t>con lo expresado en la demanda.</w:t>
      </w:r>
    </w:p>
    <w:p w14:paraId="034C232B" w14:textId="77777777" w:rsidR="00626308" w:rsidRDefault="00626308" w:rsidP="00626308">
      <w:pPr>
        <w:spacing w:line="360" w:lineRule="auto"/>
        <w:ind w:right="-142"/>
        <w:contextualSpacing/>
        <w:jc w:val="both"/>
        <w:rPr>
          <w:rFonts w:ascii="Century Gothic" w:hAnsi="Century Gothic" w:cs="Arial"/>
          <w:sz w:val="24"/>
          <w:szCs w:val="24"/>
        </w:rPr>
      </w:pPr>
    </w:p>
    <w:p w14:paraId="1AEDDBCD" w14:textId="77777777" w:rsidR="00626308" w:rsidRPr="004A6574" w:rsidRDefault="00626308" w:rsidP="00626308">
      <w:pPr>
        <w:spacing w:line="360" w:lineRule="auto"/>
        <w:contextualSpacing/>
        <w:jc w:val="both"/>
        <w:rPr>
          <w:rFonts w:ascii="Century Gothic" w:hAnsi="Century Gothic" w:cs="Arial"/>
          <w:i/>
          <w:sz w:val="24"/>
          <w:szCs w:val="24"/>
        </w:rPr>
      </w:pPr>
      <w:r>
        <w:rPr>
          <w:rFonts w:ascii="Century Gothic" w:hAnsi="Century Gothic" w:cs="Arial"/>
          <w:sz w:val="24"/>
          <w:szCs w:val="24"/>
        </w:rPr>
        <w:t>29. Por último, el Tribunal explicó el motivo por el cual adoptó una decisión distinta a la que tomó en un proceso identificado con el radicado No. 50001-33-31-005-2009-00285-01. Al respecto indicó que: “</w:t>
      </w:r>
      <w:r>
        <w:rPr>
          <w:rFonts w:ascii="Century Gothic" w:hAnsi="Century Gothic" w:cs="Arial"/>
          <w:i/>
          <w:sz w:val="24"/>
          <w:szCs w:val="24"/>
        </w:rPr>
        <w:t xml:space="preserve">si bien aparentemente el caso es el mismo, existe una gran diferencia y es </w:t>
      </w:r>
      <w:proofErr w:type="gramStart"/>
      <w:r>
        <w:rPr>
          <w:rFonts w:ascii="Century Gothic" w:hAnsi="Century Gothic" w:cs="Arial"/>
          <w:i/>
          <w:sz w:val="24"/>
          <w:szCs w:val="24"/>
        </w:rPr>
        <w:t>que</w:t>
      </w:r>
      <w:proofErr w:type="gramEnd"/>
      <w:r>
        <w:rPr>
          <w:rFonts w:ascii="Century Gothic" w:hAnsi="Century Gothic" w:cs="Arial"/>
          <w:i/>
          <w:sz w:val="24"/>
          <w:szCs w:val="24"/>
        </w:rPr>
        <w:t xml:space="preserve"> en dicho proceso, la entidad demandada había reconocido dicho incremento en el servicio y aquí, como se dijo antes, ni siquiera hay prueba que se le haya reclamado por el aumento citado”.</w:t>
      </w:r>
    </w:p>
    <w:p w14:paraId="3215FD46" w14:textId="77777777" w:rsidR="00626308" w:rsidRDefault="00626308" w:rsidP="00626308">
      <w:pPr>
        <w:spacing w:line="360" w:lineRule="auto"/>
        <w:ind w:right="-142"/>
        <w:contextualSpacing/>
        <w:jc w:val="both"/>
        <w:rPr>
          <w:rFonts w:ascii="Century Gothic" w:hAnsi="Century Gothic" w:cs="Arial"/>
          <w:sz w:val="24"/>
          <w:szCs w:val="24"/>
        </w:rPr>
      </w:pPr>
    </w:p>
    <w:p w14:paraId="10A240F2"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b/>
          <w:sz w:val="24"/>
          <w:szCs w:val="24"/>
        </w:rPr>
        <w:t>1.2. El recurso de apelación y su trámite en segunda instancia</w:t>
      </w:r>
    </w:p>
    <w:p w14:paraId="3BA24793" w14:textId="77777777" w:rsidR="00626308" w:rsidRPr="003A26AF" w:rsidRDefault="00626308" w:rsidP="00626308">
      <w:pPr>
        <w:spacing w:line="360" w:lineRule="auto"/>
        <w:ind w:right="-142"/>
        <w:contextualSpacing/>
        <w:jc w:val="both"/>
        <w:rPr>
          <w:rFonts w:ascii="Century Gothic" w:hAnsi="Century Gothic" w:cs="Arial"/>
          <w:sz w:val="24"/>
          <w:szCs w:val="24"/>
        </w:rPr>
      </w:pPr>
    </w:p>
    <w:p w14:paraId="5BA0AD10"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 xml:space="preserve">30. </w:t>
      </w:r>
      <w:r w:rsidRPr="00206A6D">
        <w:rPr>
          <w:rFonts w:ascii="Century Gothic" w:hAnsi="Century Gothic" w:cs="Arial"/>
          <w:sz w:val="24"/>
          <w:szCs w:val="24"/>
        </w:rPr>
        <w:t>El 2</w:t>
      </w:r>
      <w:r>
        <w:rPr>
          <w:rFonts w:ascii="Century Gothic" w:hAnsi="Century Gothic" w:cs="Arial"/>
          <w:sz w:val="24"/>
          <w:szCs w:val="24"/>
        </w:rPr>
        <w:t>8 de febrero</w:t>
      </w:r>
      <w:r w:rsidRPr="00206A6D">
        <w:rPr>
          <w:rFonts w:ascii="Century Gothic" w:hAnsi="Century Gothic" w:cs="Arial"/>
          <w:sz w:val="24"/>
          <w:szCs w:val="24"/>
        </w:rPr>
        <w:t xml:space="preserve"> de 20</w:t>
      </w:r>
      <w:r>
        <w:rPr>
          <w:rFonts w:ascii="Century Gothic" w:hAnsi="Century Gothic" w:cs="Arial"/>
          <w:sz w:val="24"/>
          <w:szCs w:val="24"/>
        </w:rPr>
        <w:t xml:space="preserve">12, el apoderado de la parte demandante </w:t>
      </w:r>
      <w:r w:rsidRPr="00206A6D">
        <w:rPr>
          <w:rFonts w:ascii="Century Gothic" w:hAnsi="Century Gothic" w:cs="Arial"/>
          <w:sz w:val="24"/>
          <w:szCs w:val="24"/>
        </w:rPr>
        <w:t xml:space="preserve">presentó </w:t>
      </w:r>
      <w:r w:rsidRPr="00206A6D">
        <w:rPr>
          <w:rFonts w:ascii="Century Gothic" w:hAnsi="Century Gothic" w:cs="Arial"/>
          <w:b/>
          <w:sz w:val="24"/>
          <w:szCs w:val="24"/>
        </w:rPr>
        <w:t>recurso de apelación</w:t>
      </w:r>
      <w:r>
        <w:rPr>
          <w:rFonts w:ascii="Century Gothic" w:hAnsi="Century Gothic" w:cs="Arial"/>
          <w:sz w:val="24"/>
          <w:szCs w:val="24"/>
        </w:rPr>
        <w:t xml:space="preserve"> en contra de la Sentencia de 14 de febrero de 2012</w:t>
      </w:r>
      <w:r w:rsidRPr="00206A6D">
        <w:rPr>
          <w:rStyle w:val="Refdenotaalpie"/>
          <w:rFonts w:ascii="Century Gothic" w:hAnsi="Century Gothic" w:cs="Arial"/>
        </w:rPr>
        <w:footnoteReference w:id="8"/>
      </w:r>
      <w:r>
        <w:rPr>
          <w:rFonts w:ascii="Century Gothic" w:hAnsi="Century Gothic" w:cs="Arial"/>
          <w:sz w:val="24"/>
          <w:szCs w:val="24"/>
        </w:rPr>
        <w:t>. En el recurso señaló (se trascribe):</w:t>
      </w:r>
    </w:p>
    <w:p w14:paraId="3E1C36C6" w14:textId="77777777" w:rsidR="00626308" w:rsidRDefault="00626308" w:rsidP="00626308">
      <w:pPr>
        <w:spacing w:line="360" w:lineRule="auto"/>
        <w:contextualSpacing/>
        <w:jc w:val="both"/>
        <w:rPr>
          <w:rFonts w:ascii="Century Gothic" w:hAnsi="Century Gothic" w:cs="Arial"/>
          <w:sz w:val="24"/>
          <w:szCs w:val="24"/>
        </w:rPr>
      </w:pPr>
    </w:p>
    <w:p w14:paraId="5B6E1C59" w14:textId="77777777" w:rsidR="00626308" w:rsidRPr="00C96F31" w:rsidRDefault="00626308" w:rsidP="00626308">
      <w:pPr>
        <w:ind w:left="567" w:right="567"/>
        <w:contextualSpacing/>
        <w:jc w:val="both"/>
        <w:rPr>
          <w:rFonts w:ascii="Century Gothic" w:hAnsi="Century Gothic" w:cs="Arial"/>
          <w:i/>
          <w:szCs w:val="24"/>
        </w:rPr>
      </w:pPr>
      <w:r w:rsidRPr="00C96F31">
        <w:rPr>
          <w:rFonts w:ascii="Century Gothic" w:hAnsi="Century Gothic" w:cs="Arial"/>
          <w:szCs w:val="24"/>
        </w:rPr>
        <w:t>“</w:t>
      </w:r>
      <w:r w:rsidRPr="00C96F31">
        <w:rPr>
          <w:rFonts w:ascii="Century Gothic" w:hAnsi="Century Gothic" w:cs="Arial"/>
          <w:i/>
          <w:szCs w:val="24"/>
        </w:rPr>
        <w:t>En virtud del fallo al negar las pretensiones de la demanda porque en el plenario no hay un solo documento que demuestre que se haya comunicado esta situación a la demandada, ni siquiera que se haya elevado una sola petición o reclamo al respecto, quiero significarle a su Señoría, la sustentación del recurso aquí interpuesto donde se prueba que la entidad tenía pleno conocimiento del incremento de estudiantes pactados inicialmente:</w:t>
      </w:r>
    </w:p>
    <w:p w14:paraId="2A427B0B" w14:textId="77777777" w:rsidR="00626308" w:rsidRPr="00C96F31" w:rsidRDefault="00626308" w:rsidP="00626308">
      <w:pPr>
        <w:ind w:left="567" w:right="567"/>
        <w:contextualSpacing/>
        <w:jc w:val="both"/>
        <w:rPr>
          <w:rFonts w:ascii="Century Gothic" w:hAnsi="Century Gothic" w:cs="Arial"/>
          <w:i/>
          <w:szCs w:val="24"/>
        </w:rPr>
      </w:pPr>
      <w:r w:rsidRPr="00C96F31">
        <w:rPr>
          <w:rFonts w:ascii="Century Gothic" w:hAnsi="Century Gothic" w:cs="Arial"/>
          <w:i/>
          <w:szCs w:val="24"/>
        </w:rPr>
        <w:t xml:space="preserve">1- Dentro del proceso en referencia obra como hecho probado lo siguiente: Certificación expedida el 09 de agosto de 2006 por el señor ERICK A HINESTROZA RENGIFO, en calidad de supervisor del contrato número 135 de 2006 (folio 44); en la cual se certifica que durante la ejecución del contrato se atendieron 4.382 estudiantes, superando la cantidad de 4.000 estudiantes pactada, en el contrato inicial, de lo cual se infiere que la entidad demandada tenía conocimiento de la prestación de servicio de educación a los 382 estudiantes, ya que con la expedición de la certificación por parte </w:t>
      </w:r>
      <w:proofErr w:type="spellStart"/>
      <w:r w:rsidRPr="00C96F31">
        <w:rPr>
          <w:rFonts w:ascii="Century Gothic" w:hAnsi="Century Gothic" w:cs="Arial"/>
          <w:i/>
          <w:szCs w:val="24"/>
        </w:rPr>
        <w:t>delsupervisor</w:t>
      </w:r>
      <w:proofErr w:type="spellEnd"/>
      <w:r w:rsidRPr="00C96F31">
        <w:rPr>
          <w:rFonts w:ascii="Century Gothic" w:hAnsi="Century Gothic" w:cs="Arial"/>
          <w:i/>
          <w:szCs w:val="24"/>
        </w:rPr>
        <w:t xml:space="preserve"> del contrato número 135 de 2005, DR. ERICK A HINESTROZA RENGIFO, a solicitud del Secretario de Educación Departamental, ratifica y acepta el servicio que fue prestado por el contratista, a los estudiantes, con ello se prueba que tenían pleno conocimiento y RECONOCEN el incremento en el servicio prestado por la entidad, que buscó proteger el derecho a la educación.</w:t>
      </w:r>
    </w:p>
    <w:p w14:paraId="53772060" w14:textId="77777777" w:rsidR="00626308" w:rsidRPr="00C96F31" w:rsidRDefault="00626308" w:rsidP="00626308">
      <w:pPr>
        <w:ind w:left="567" w:right="567"/>
        <w:contextualSpacing/>
        <w:jc w:val="both"/>
        <w:rPr>
          <w:rFonts w:ascii="Century Gothic" w:hAnsi="Century Gothic" w:cs="Arial"/>
          <w:i/>
          <w:szCs w:val="24"/>
        </w:rPr>
      </w:pPr>
      <w:r w:rsidRPr="00C96F31">
        <w:rPr>
          <w:rFonts w:ascii="Century Gothic" w:hAnsi="Century Gothic" w:cs="Arial"/>
          <w:i/>
          <w:szCs w:val="24"/>
        </w:rPr>
        <w:t xml:space="preserve">2- Igualmente a folio 41 obra copia de la comunicación de fecha agosto 2 de 2006 firmada por WILMAR CORTES, técnico de sistemas de la Secretaría de Educación Departamental, en la que expone una relación del número de estudiantes atendido en cada una de las sedes, por el contratista, Colegio Pedagógico del Meta y en la cual resulta el número total de 4382 educandos, en toda </w:t>
      </w:r>
      <w:r>
        <w:rPr>
          <w:rFonts w:ascii="Century Gothic" w:hAnsi="Century Gothic" w:cs="Arial"/>
          <w:i/>
          <w:szCs w:val="24"/>
        </w:rPr>
        <w:t>el área rural del Departamento.</w:t>
      </w:r>
    </w:p>
    <w:p w14:paraId="1C21D260" w14:textId="77777777" w:rsidR="00626308" w:rsidRPr="00C96F31" w:rsidRDefault="00626308" w:rsidP="00626308">
      <w:pPr>
        <w:ind w:left="567" w:right="567"/>
        <w:contextualSpacing/>
        <w:jc w:val="both"/>
        <w:rPr>
          <w:rFonts w:ascii="Century Gothic" w:hAnsi="Century Gothic" w:cs="Arial"/>
          <w:i/>
          <w:szCs w:val="24"/>
        </w:rPr>
      </w:pPr>
      <w:r w:rsidRPr="00C96F31">
        <w:rPr>
          <w:rFonts w:ascii="Century Gothic" w:hAnsi="Century Gothic" w:cs="Arial"/>
          <w:i/>
          <w:szCs w:val="24"/>
        </w:rPr>
        <w:t>3- Así las cosas, aunque es cierto que en la cláusula cuarta del contrato 135 de 2006 se estableció un número de estudiantes, no sería de recibo que el contratista, como prestador del servicio de educación, (pública para el caso), se negara por cuenta de dicha cláusula a recibir en sus sedes a los niños, que por mandato constitucional, (art. 67 C.P.), tienen derecho a recibir del estado éste servicio y que precisamente el fin del Departamento, al suscribir el contrato en litigio, fue el dar cumplimiento a lo normado en el inciso final de la norma en cita; así como acatar y cumplir su deber como estado, que le impon</w:t>
      </w:r>
      <w:r>
        <w:rPr>
          <w:rFonts w:ascii="Century Gothic" w:hAnsi="Century Gothic" w:cs="Arial"/>
          <w:i/>
          <w:szCs w:val="24"/>
        </w:rPr>
        <w:t>e el Art. 70 de la Carta magna.</w:t>
      </w:r>
    </w:p>
    <w:p w14:paraId="58907C00" w14:textId="77777777" w:rsidR="00626308" w:rsidRDefault="00626308" w:rsidP="00626308">
      <w:pPr>
        <w:ind w:left="567" w:right="567"/>
        <w:contextualSpacing/>
        <w:jc w:val="both"/>
        <w:rPr>
          <w:rFonts w:ascii="Century Gothic" w:hAnsi="Century Gothic" w:cs="Arial"/>
          <w:sz w:val="24"/>
          <w:szCs w:val="24"/>
        </w:rPr>
      </w:pPr>
      <w:r w:rsidRPr="00C96F31">
        <w:rPr>
          <w:rFonts w:ascii="Century Gothic" w:hAnsi="Century Gothic" w:cs="Arial"/>
          <w:i/>
          <w:szCs w:val="24"/>
        </w:rPr>
        <w:t>4- El a quo al hacer su análisis respecto de la cláusula mencionada, no tuvo en cuenta que para el contratista resultaba obligatorio proceder como lo hizo, por tratarse de dar cumplimiento a preceptos de rango constitucional, donde se trataba derechos fundamentales de los niños, ni la obligatoriedad que para el Departamento resulta su protección por ser el derecho a la educación, un mandato constitucional inviolable e inaplazable”.</w:t>
      </w:r>
    </w:p>
    <w:p w14:paraId="39F1DEA6" w14:textId="77777777" w:rsidR="00626308" w:rsidRDefault="00626308" w:rsidP="00626308">
      <w:pPr>
        <w:spacing w:line="360" w:lineRule="auto"/>
        <w:ind w:right="-142"/>
        <w:contextualSpacing/>
        <w:jc w:val="both"/>
        <w:rPr>
          <w:rFonts w:ascii="Century Gothic" w:hAnsi="Century Gothic" w:cs="Arial"/>
          <w:sz w:val="24"/>
          <w:szCs w:val="24"/>
        </w:rPr>
      </w:pPr>
    </w:p>
    <w:p w14:paraId="0EF74732"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31. El 6 de febrero de 2013 se corrió traslado a las partes para presentar </w:t>
      </w:r>
      <w:r w:rsidRPr="003F452A">
        <w:rPr>
          <w:rFonts w:ascii="Century Gothic" w:hAnsi="Century Gothic" w:cs="Arial"/>
          <w:b/>
          <w:sz w:val="24"/>
          <w:szCs w:val="24"/>
        </w:rPr>
        <w:t>alegatos de conclusión</w:t>
      </w:r>
      <w:r>
        <w:rPr>
          <w:rFonts w:ascii="Century Gothic" w:hAnsi="Century Gothic" w:cs="Arial"/>
          <w:sz w:val="24"/>
          <w:szCs w:val="24"/>
        </w:rPr>
        <w:t xml:space="preserve"> en segunda instancia</w:t>
      </w:r>
      <w:r>
        <w:rPr>
          <w:rStyle w:val="Refdenotaalpie"/>
          <w:rFonts w:ascii="Century Gothic" w:hAnsi="Century Gothic" w:cs="Arial"/>
        </w:rPr>
        <w:footnoteReference w:id="9"/>
      </w:r>
      <w:r>
        <w:rPr>
          <w:rFonts w:ascii="Century Gothic" w:hAnsi="Century Gothic" w:cs="Arial"/>
          <w:sz w:val="24"/>
          <w:szCs w:val="24"/>
        </w:rPr>
        <w:t>. Las partes guardaron silencio.</w:t>
      </w:r>
    </w:p>
    <w:p w14:paraId="3F73082E" w14:textId="77777777" w:rsidR="00626308" w:rsidRDefault="00626308" w:rsidP="00626308">
      <w:pPr>
        <w:spacing w:line="360" w:lineRule="auto"/>
        <w:ind w:right="-142"/>
        <w:contextualSpacing/>
        <w:jc w:val="both"/>
        <w:rPr>
          <w:rFonts w:ascii="Century Gothic" w:hAnsi="Century Gothic" w:cs="Arial"/>
          <w:sz w:val="24"/>
          <w:szCs w:val="24"/>
        </w:rPr>
      </w:pPr>
    </w:p>
    <w:p w14:paraId="3B0D9D56" w14:textId="77777777" w:rsidR="00626308" w:rsidRDefault="00626308" w:rsidP="00626308">
      <w:pPr>
        <w:spacing w:line="360" w:lineRule="auto"/>
        <w:ind w:right="-142"/>
        <w:contextualSpacing/>
        <w:jc w:val="center"/>
        <w:rPr>
          <w:rFonts w:ascii="Century Gothic" w:hAnsi="Century Gothic" w:cs="Arial"/>
          <w:b/>
          <w:sz w:val="24"/>
          <w:szCs w:val="24"/>
        </w:rPr>
      </w:pPr>
      <w:r>
        <w:rPr>
          <w:rFonts w:ascii="Century Gothic" w:hAnsi="Century Gothic" w:cs="Arial"/>
          <w:b/>
          <w:sz w:val="24"/>
          <w:szCs w:val="24"/>
        </w:rPr>
        <w:t>2.- CONSIDERACIONES</w:t>
      </w:r>
    </w:p>
    <w:p w14:paraId="1459B0CE" w14:textId="77777777" w:rsidR="00626308" w:rsidRDefault="00626308" w:rsidP="00626308">
      <w:pPr>
        <w:spacing w:line="360" w:lineRule="auto"/>
        <w:ind w:right="-142"/>
        <w:contextualSpacing/>
        <w:jc w:val="center"/>
        <w:rPr>
          <w:rFonts w:ascii="Century Gothic" w:hAnsi="Century Gothic" w:cs="Arial"/>
          <w:b/>
          <w:sz w:val="24"/>
          <w:szCs w:val="24"/>
        </w:rPr>
      </w:pPr>
    </w:p>
    <w:p w14:paraId="4FE08A07" w14:textId="77777777" w:rsidR="00626308" w:rsidRDefault="00626308" w:rsidP="00626308">
      <w:pPr>
        <w:ind w:right="-142"/>
        <w:contextualSpacing/>
        <w:jc w:val="both"/>
        <w:rPr>
          <w:rFonts w:ascii="Century Gothic" w:hAnsi="Century Gothic" w:cs="Arial"/>
          <w:sz w:val="20"/>
          <w:szCs w:val="24"/>
        </w:rPr>
      </w:pPr>
      <w:r>
        <w:rPr>
          <w:rFonts w:ascii="Century Gothic" w:hAnsi="Century Gothic" w:cs="Arial"/>
          <w:sz w:val="20"/>
          <w:szCs w:val="24"/>
        </w:rPr>
        <w:t xml:space="preserve">Contenido: 2.1. Jurisdicción y competencia – 2.2. Hechos probados – 2.3. El problema jurídico – 2.4. El caso concreto – 2.5. Sobre la condena en costas </w:t>
      </w:r>
    </w:p>
    <w:p w14:paraId="741C1B69" w14:textId="77777777" w:rsidR="00626308" w:rsidRDefault="00626308" w:rsidP="00626308">
      <w:pPr>
        <w:ind w:right="-142"/>
        <w:contextualSpacing/>
        <w:jc w:val="both"/>
        <w:rPr>
          <w:rFonts w:ascii="Century Gothic" w:hAnsi="Century Gothic" w:cs="Arial"/>
          <w:sz w:val="20"/>
          <w:szCs w:val="24"/>
        </w:rPr>
      </w:pPr>
    </w:p>
    <w:p w14:paraId="7554886C" w14:textId="77777777" w:rsidR="00626308" w:rsidRDefault="00626308" w:rsidP="00626308">
      <w:pPr>
        <w:ind w:right="-142"/>
        <w:contextualSpacing/>
        <w:jc w:val="both"/>
        <w:rPr>
          <w:rFonts w:ascii="Century Gothic" w:hAnsi="Century Gothic" w:cs="Arial"/>
          <w:sz w:val="20"/>
          <w:szCs w:val="24"/>
        </w:rPr>
      </w:pPr>
    </w:p>
    <w:p w14:paraId="47028C0C" w14:textId="77777777" w:rsidR="00626308" w:rsidRDefault="00626308" w:rsidP="00626308">
      <w:pPr>
        <w:ind w:right="-142"/>
        <w:contextualSpacing/>
        <w:jc w:val="both"/>
        <w:rPr>
          <w:rFonts w:ascii="Century Gothic" w:hAnsi="Century Gothic" w:cs="Arial"/>
          <w:sz w:val="20"/>
          <w:szCs w:val="24"/>
        </w:rPr>
      </w:pPr>
    </w:p>
    <w:p w14:paraId="47C38917" w14:textId="77777777" w:rsidR="00626308" w:rsidRPr="00963039" w:rsidRDefault="00626308" w:rsidP="00626308">
      <w:pPr>
        <w:ind w:right="-142"/>
        <w:contextualSpacing/>
        <w:jc w:val="both"/>
        <w:rPr>
          <w:rFonts w:ascii="Century Gothic" w:hAnsi="Century Gothic" w:cs="Arial"/>
          <w:sz w:val="20"/>
          <w:szCs w:val="24"/>
        </w:rPr>
      </w:pPr>
    </w:p>
    <w:p w14:paraId="336F244D" w14:textId="77777777" w:rsidR="00626308" w:rsidRDefault="00626308" w:rsidP="00626308">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2.</w:t>
      </w:r>
      <w:r w:rsidRPr="007415DD">
        <w:rPr>
          <w:rFonts w:ascii="Century Gothic" w:hAnsi="Century Gothic" w:cs="Arial"/>
          <w:b/>
          <w:sz w:val="24"/>
          <w:szCs w:val="24"/>
        </w:rPr>
        <w:t xml:space="preserve">1. </w:t>
      </w:r>
      <w:r>
        <w:rPr>
          <w:rFonts w:ascii="Century Gothic" w:hAnsi="Century Gothic" w:cs="Arial"/>
          <w:b/>
          <w:sz w:val="24"/>
          <w:szCs w:val="24"/>
        </w:rPr>
        <w:t>Jurisdicción y c</w:t>
      </w:r>
      <w:r w:rsidRPr="007415DD">
        <w:rPr>
          <w:rFonts w:ascii="Century Gothic" w:hAnsi="Century Gothic" w:cs="Arial"/>
          <w:b/>
          <w:sz w:val="24"/>
          <w:szCs w:val="24"/>
        </w:rPr>
        <w:t>ompetencia</w:t>
      </w:r>
      <w:r>
        <w:rPr>
          <w:rFonts w:ascii="Century Gothic" w:hAnsi="Century Gothic" w:cs="Arial"/>
          <w:b/>
          <w:sz w:val="24"/>
          <w:szCs w:val="24"/>
        </w:rPr>
        <w:t xml:space="preserve"> </w:t>
      </w:r>
    </w:p>
    <w:p w14:paraId="49D07BDC" w14:textId="77777777" w:rsidR="00626308" w:rsidRDefault="00626308" w:rsidP="00626308">
      <w:pPr>
        <w:spacing w:line="360" w:lineRule="auto"/>
        <w:ind w:right="-142"/>
        <w:contextualSpacing/>
        <w:jc w:val="both"/>
        <w:rPr>
          <w:rFonts w:ascii="Century Gothic" w:hAnsi="Century Gothic" w:cs="Arial"/>
          <w:sz w:val="24"/>
          <w:szCs w:val="24"/>
        </w:rPr>
      </w:pPr>
    </w:p>
    <w:p w14:paraId="5E2C7140"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32. De acuerdo con el artículo 82 del Código Contencioso Administrativo (CCA): </w:t>
      </w:r>
      <w:r w:rsidRPr="008F7E1B">
        <w:rPr>
          <w:rFonts w:ascii="Century Gothic" w:hAnsi="Century Gothic" w:cs="Arial"/>
          <w:i/>
          <w:sz w:val="24"/>
          <w:szCs w:val="24"/>
        </w:rPr>
        <w:t xml:space="preserve">“la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w:t>
      </w:r>
      <w:proofErr w:type="gramStart"/>
      <w:r w:rsidRPr="008F7E1B">
        <w:rPr>
          <w:rFonts w:ascii="Century Gothic" w:hAnsi="Century Gothic" w:cs="Arial"/>
          <w:i/>
          <w:sz w:val="24"/>
          <w:szCs w:val="24"/>
        </w:rPr>
        <w:t>tribunales administrativos y los juzgados administrativos</w:t>
      </w:r>
      <w:proofErr w:type="gramEnd"/>
      <w:r w:rsidRPr="008F7E1B">
        <w:rPr>
          <w:rFonts w:ascii="Century Gothic" w:hAnsi="Century Gothic" w:cs="Arial"/>
          <w:i/>
          <w:sz w:val="24"/>
          <w:szCs w:val="24"/>
        </w:rPr>
        <w:t xml:space="preserve"> de conformidad con la constitución y la ley”</w:t>
      </w:r>
      <w:r w:rsidRPr="008F7E1B">
        <w:rPr>
          <w:rFonts w:ascii="Century Gothic" w:hAnsi="Century Gothic" w:cs="Arial"/>
          <w:sz w:val="24"/>
          <w:szCs w:val="24"/>
        </w:rPr>
        <w:t>.</w:t>
      </w:r>
      <w:r>
        <w:rPr>
          <w:rFonts w:ascii="Century Gothic" w:hAnsi="Century Gothic" w:cs="Arial"/>
          <w:sz w:val="24"/>
          <w:szCs w:val="24"/>
        </w:rPr>
        <w:t xml:space="preserve"> Así mismo, el artículo 75 de la Ley 80 de 1993 prevé que “</w:t>
      </w:r>
      <w:r>
        <w:rPr>
          <w:rFonts w:ascii="Century Gothic" w:hAnsi="Century Gothic" w:cs="Arial"/>
          <w:i/>
          <w:sz w:val="24"/>
          <w:szCs w:val="24"/>
        </w:rPr>
        <w:t xml:space="preserve">el juez competente para conocer de las controversias derivadas de los contratos estatales (…) será el de la jurisdicción </w:t>
      </w:r>
      <w:proofErr w:type="gramStart"/>
      <w:r>
        <w:rPr>
          <w:rFonts w:ascii="Century Gothic" w:hAnsi="Century Gothic" w:cs="Arial"/>
          <w:i/>
          <w:sz w:val="24"/>
          <w:szCs w:val="24"/>
        </w:rPr>
        <w:t>contencioso administrativa</w:t>
      </w:r>
      <w:proofErr w:type="gramEnd"/>
      <w:r>
        <w:rPr>
          <w:rFonts w:ascii="Century Gothic" w:hAnsi="Century Gothic" w:cs="Arial"/>
          <w:i/>
          <w:sz w:val="24"/>
          <w:szCs w:val="24"/>
        </w:rPr>
        <w:t>”.</w:t>
      </w:r>
    </w:p>
    <w:p w14:paraId="6A018548" w14:textId="77777777" w:rsidR="00626308" w:rsidRDefault="00626308" w:rsidP="00626308">
      <w:pPr>
        <w:spacing w:line="360" w:lineRule="auto"/>
        <w:ind w:right="-142"/>
        <w:contextualSpacing/>
        <w:jc w:val="both"/>
        <w:rPr>
          <w:rFonts w:ascii="Century Gothic" w:hAnsi="Century Gothic" w:cs="Arial"/>
          <w:sz w:val="24"/>
          <w:szCs w:val="24"/>
        </w:rPr>
      </w:pPr>
    </w:p>
    <w:p w14:paraId="5762FD9C" w14:textId="77777777" w:rsidR="00626308" w:rsidRDefault="00626308" w:rsidP="00626308">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33. </w:t>
      </w:r>
      <w:r w:rsidRPr="00F204B9">
        <w:rPr>
          <w:rFonts w:ascii="Century Gothic" w:hAnsi="Century Gothic" w:cs="Arial"/>
          <w:sz w:val="24"/>
          <w:szCs w:val="24"/>
        </w:rPr>
        <w:t>Por consiguiente, en vista de que en la demanda presentada por</w:t>
      </w:r>
      <w:r>
        <w:rPr>
          <w:rFonts w:ascii="Century Gothic" w:hAnsi="Century Gothic" w:cs="Arial"/>
          <w:sz w:val="24"/>
          <w:szCs w:val="24"/>
        </w:rPr>
        <w:t xml:space="preserve"> Cristian Fabián Vargas Rodríguez</w:t>
      </w:r>
      <w:r w:rsidRPr="00F204B9">
        <w:rPr>
          <w:rFonts w:ascii="Century Gothic" w:hAnsi="Century Gothic" w:cs="Arial"/>
          <w:sz w:val="24"/>
          <w:szCs w:val="24"/>
        </w:rPr>
        <w:t xml:space="preserve"> se</w:t>
      </w:r>
      <w:r>
        <w:rPr>
          <w:rFonts w:ascii="Century Gothic" w:hAnsi="Century Gothic" w:cs="Arial"/>
          <w:sz w:val="24"/>
          <w:szCs w:val="24"/>
        </w:rPr>
        <w:t xml:space="preserve"> elevan pretensiones de declaratoria responsabilidad en contra de una entidad pública con ocasión de un contrato estatal, el presente asunto es de conocimiento de la </w:t>
      </w:r>
      <w:r w:rsidRPr="00BE678A">
        <w:rPr>
          <w:rFonts w:ascii="Century Gothic" w:hAnsi="Century Gothic" w:cs="Arial"/>
          <w:b/>
          <w:sz w:val="24"/>
          <w:szCs w:val="24"/>
        </w:rPr>
        <w:t>jurisdicción</w:t>
      </w:r>
      <w:r>
        <w:rPr>
          <w:rFonts w:ascii="Century Gothic" w:hAnsi="Century Gothic" w:cs="Arial"/>
          <w:sz w:val="24"/>
          <w:szCs w:val="24"/>
        </w:rPr>
        <w:t xml:space="preserve"> </w:t>
      </w:r>
      <w:r w:rsidRPr="00054F08">
        <w:rPr>
          <w:rFonts w:ascii="Century Gothic" w:hAnsi="Century Gothic" w:cs="Arial"/>
          <w:b/>
          <w:sz w:val="24"/>
          <w:szCs w:val="24"/>
        </w:rPr>
        <w:t>de lo contencioso administrativo</w:t>
      </w:r>
      <w:r>
        <w:rPr>
          <w:rFonts w:ascii="Century Gothic" w:hAnsi="Century Gothic" w:cs="Arial"/>
          <w:sz w:val="24"/>
          <w:szCs w:val="24"/>
        </w:rPr>
        <w:t>.</w:t>
      </w:r>
    </w:p>
    <w:p w14:paraId="0BA83D71" w14:textId="77777777" w:rsidR="00626308" w:rsidRDefault="00626308" w:rsidP="00626308">
      <w:pPr>
        <w:spacing w:line="360" w:lineRule="auto"/>
        <w:ind w:right="-142"/>
        <w:contextualSpacing/>
        <w:jc w:val="both"/>
        <w:rPr>
          <w:rFonts w:ascii="Century Gothic" w:hAnsi="Century Gothic" w:cs="Arial"/>
          <w:sz w:val="24"/>
          <w:szCs w:val="24"/>
        </w:rPr>
      </w:pPr>
    </w:p>
    <w:p w14:paraId="5049BD84"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34. E</w:t>
      </w:r>
      <w:r w:rsidRPr="007415DD">
        <w:rPr>
          <w:rFonts w:ascii="Century Gothic" w:hAnsi="Century Gothic" w:cs="Arial"/>
          <w:sz w:val="24"/>
          <w:szCs w:val="24"/>
        </w:rPr>
        <w:t xml:space="preserve">l Consejo de Estado es </w:t>
      </w:r>
      <w:r w:rsidRPr="00527E2B">
        <w:rPr>
          <w:rFonts w:ascii="Century Gothic" w:hAnsi="Century Gothic" w:cs="Arial"/>
          <w:b/>
          <w:sz w:val="24"/>
          <w:szCs w:val="24"/>
        </w:rPr>
        <w:t>competente</w:t>
      </w:r>
      <w:r w:rsidRPr="007415DD">
        <w:rPr>
          <w:rFonts w:ascii="Century Gothic" w:hAnsi="Century Gothic" w:cs="Arial"/>
          <w:sz w:val="24"/>
          <w:szCs w:val="24"/>
        </w:rPr>
        <w:t xml:space="preserve"> para conocer del presente asunto en virtud del recurso de apelación inte</w:t>
      </w:r>
      <w:r>
        <w:rPr>
          <w:rFonts w:ascii="Century Gothic" w:hAnsi="Century Gothic" w:cs="Arial"/>
          <w:sz w:val="24"/>
          <w:szCs w:val="24"/>
        </w:rPr>
        <w:t>rpuesto por la parte demandante el 28 de febrero de 2012</w:t>
      </w:r>
      <w:r w:rsidRPr="007415DD">
        <w:rPr>
          <w:rFonts w:ascii="Century Gothic" w:hAnsi="Century Gothic" w:cs="Arial"/>
          <w:sz w:val="24"/>
          <w:szCs w:val="24"/>
        </w:rPr>
        <w:t>, en un proceso con vocación de segunda instancia ante esta Corporación</w:t>
      </w:r>
      <w:r>
        <w:rPr>
          <w:rFonts w:ascii="Century Gothic" w:hAnsi="Century Gothic" w:cs="Arial"/>
          <w:sz w:val="24"/>
          <w:szCs w:val="24"/>
        </w:rPr>
        <w:t>, de conformidad con lo establecido en el artículo 129 del CCA</w:t>
      </w:r>
      <w:r>
        <w:rPr>
          <w:rStyle w:val="Refdenotaalpie"/>
          <w:rFonts w:ascii="Century Gothic" w:hAnsi="Century Gothic" w:cs="Arial"/>
        </w:rPr>
        <w:footnoteReference w:id="10"/>
      </w:r>
      <w:r>
        <w:rPr>
          <w:rFonts w:ascii="Century Gothic" w:hAnsi="Century Gothic" w:cs="Arial"/>
          <w:sz w:val="24"/>
          <w:szCs w:val="24"/>
        </w:rPr>
        <w:t>.</w:t>
      </w:r>
    </w:p>
    <w:p w14:paraId="37F843E6" w14:textId="77777777" w:rsidR="00626308" w:rsidRDefault="00626308" w:rsidP="00626308">
      <w:pPr>
        <w:spacing w:line="360" w:lineRule="auto"/>
        <w:ind w:right="-142"/>
        <w:contextualSpacing/>
        <w:jc w:val="both"/>
        <w:rPr>
          <w:rFonts w:ascii="Century Gothic" w:hAnsi="Century Gothic" w:cs="Arial"/>
          <w:sz w:val="24"/>
          <w:szCs w:val="24"/>
        </w:rPr>
      </w:pPr>
    </w:p>
    <w:p w14:paraId="4A51AB51" w14:textId="77777777" w:rsidR="00626308" w:rsidRPr="00F642E7" w:rsidRDefault="00626308" w:rsidP="00626308">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2.2</w:t>
      </w:r>
      <w:r w:rsidRPr="00001168">
        <w:rPr>
          <w:rFonts w:ascii="Century Gothic" w:hAnsi="Century Gothic" w:cs="Arial"/>
          <w:b/>
          <w:sz w:val="24"/>
          <w:szCs w:val="24"/>
        </w:rPr>
        <w:t>. Hechos probados</w:t>
      </w:r>
      <w:r w:rsidRPr="001E3CA5">
        <w:rPr>
          <w:rFonts w:ascii="Century Gothic" w:hAnsi="Century Gothic" w:cs="Arial"/>
          <w:b/>
          <w:sz w:val="24"/>
          <w:szCs w:val="24"/>
        </w:rPr>
        <w:t xml:space="preserve"> </w:t>
      </w:r>
    </w:p>
    <w:p w14:paraId="3A261752" w14:textId="77777777" w:rsidR="00626308" w:rsidRPr="001935D4" w:rsidRDefault="00626308" w:rsidP="00626308">
      <w:pPr>
        <w:spacing w:line="360" w:lineRule="auto"/>
        <w:ind w:right="-142"/>
        <w:contextualSpacing/>
        <w:jc w:val="both"/>
        <w:rPr>
          <w:rFonts w:ascii="Century Gothic" w:hAnsi="Century Gothic" w:cs="Arial"/>
          <w:i/>
          <w:sz w:val="24"/>
          <w:szCs w:val="24"/>
        </w:rPr>
      </w:pPr>
    </w:p>
    <w:p w14:paraId="625976E9"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lastRenderedPageBreak/>
        <w:t xml:space="preserve">35. El 31 de marzo de 2006, la secretaría de educación del Departamento de Guaviare –en calidad de contratante- y el propietario del establecimiento educativo “Colegio Pedagógico del Meta”, Cristian Fabián Vargas Rodríguez –en calidad de contratista-, suscribieron el contrato de prestación de servicios No. 135 del mismo año. Según la cláusula primera del contrato, el objeto </w:t>
      </w:r>
      <w:proofErr w:type="gramStart"/>
      <w:r>
        <w:rPr>
          <w:rFonts w:ascii="Century Gothic" w:hAnsi="Century Gothic" w:cs="Arial"/>
          <w:sz w:val="24"/>
          <w:szCs w:val="24"/>
        </w:rPr>
        <w:t>del mismo</w:t>
      </w:r>
      <w:proofErr w:type="gramEnd"/>
      <w:r>
        <w:rPr>
          <w:rFonts w:ascii="Century Gothic" w:hAnsi="Century Gothic" w:cs="Arial"/>
          <w:sz w:val="24"/>
          <w:szCs w:val="24"/>
        </w:rPr>
        <w:t xml:space="preserve"> fue la prestación del servicio educativo a 4000 niños de la zona rural del municipio de San José del Guaviare</w:t>
      </w:r>
      <w:r>
        <w:rPr>
          <w:rStyle w:val="Refdenotaalpie"/>
          <w:rFonts w:ascii="Century Gothic" w:hAnsi="Century Gothic" w:cs="Arial"/>
          <w:sz w:val="24"/>
          <w:szCs w:val="24"/>
        </w:rPr>
        <w:footnoteReference w:id="11"/>
      </w:r>
      <w:r>
        <w:rPr>
          <w:rFonts w:ascii="Century Gothic" w:hAnsi="Century Gothic" w:cs="Arial"/>
          <w:sz w:val="24"/>
          <w:szCs w:val="24"/>
        </w:rPr>
        <w:t xml:space="preserve">. </w:t>
      </w:r>
    </w:p>
    <w:p w14:paraId="1D33A57C" w14:textId="77777777" w:rsidR="00626308" w:rsidRDefault="00626308" w:rsidP="00626308">
      <w:pPr>
        <w:spacing w:line="360" w:lineRule="auto"/>
        <w:ind w:right="-142"/>
        <w:contextualSpacing/>
        <w:jc w:val="both"/>
        <w:rPr>
          <w:rFonts w:ascii="Century Gothic" w:hAnsi="Century Gothic" w:cs="Arial"/>
          <w:sz w:val="24"/>
          <w:szCs w:val="24"/>
        </w:rPr>
      </w:pPr>
    </w:p>
    <w:p w14:paraId="61603B8B"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36. Respecto del valor del contrato y su forma de pago, en la cláusula cuarta del contrato se estableció lo siguiente (se trascribe):</w:t>
      </w:r>
    </w:p>
    <w:p w14:paraId="43D937DC" w14:textId="77777777" w:rsidR="00626308" w:rsidRDefault="00626308" w:rsidP="00626308">
      <w:pPr>
        <w:spacing w:line="360" w:lineRule="auto"/>
        <w:ind w:right="-142"/>
        <w:contextualSpacing/>
        <w:jc w:val="both"/>
        <w:rPr>
          <w:rFonts w:ascii="Century Gothic" w:hAnsi="Century Gothic" w:cs="Arial"/>
          <w:sz w:val="24"/>
          <w:szCs w:val="24"/>
        </w:rPr>
      </w:pPr>
    </w:p>
    <w:p w14:paraId="7F40D021" w14:textId="77777777" w:rsidR="00626308" w:rsidRPr="003E1D45" w:rsidRDefault="00626308" w:rsidP="00626308">
      <w:pPr>
        <w:spacing w:line="276" w:lineRule="auto"/>
        <w:ind w:left="567" w:right="567"/>
        <w:jc w:val="both"/>
        <w:rPr>
          <w:rFonts w:ascii="Century Gothic" w:hAnsi="Century Gothic" w:cs="Arial"/>
          <w:i/>
        </w:rPr>
      </w:pPr>
      <w:r>
        <w:rPr>
          <w:rFonts w:ascii="Century Gothic" w:hAnsi="Century Gothic" w:cs="Arial"/>
          <w:i/>
        </w:rPr>
        <w:t>“</w:t>
      </w:r>
      <w:r w:rsidRPr="003E1D45">
        <w:rPr>
          <w:rFonts w:ascii="Century Gothic" w:hAnsi="Century Gothic" w:cs="Arial"/>
          <w:i/>
        </w:rPr>
        <w:t>CLAUSULA CUARTA: VALOR Y FORMA DE PAGO: El valor total del presente contrato de Prestación de Servicios Educativos para todos los efectos legales y fiscales es la suma de MIL CUATROCIENTOS VEINTITRÉS MILLONES SEISCIENTOS CUARENTA Y CUATRO MIL PESOS ($1.423’644.000,oo) M/CTE, que resulta de la multiplicación del valor de la canasta educativa SETECIENTOS ONCE MIL OCHOCIENTOS VEINTIDOS PESOS ($711.822.oo) Mensuales por el número de niños y niñas que el contratista ofrece atender (4.000), los cuales serán cancelados de la siguiente forma:</w:t>
      </w:r>
    </w:p>
    <w:p w14:paraId="747D80B0" w14:textId="77777777" w:rsidR="00626308" w:rsidRPr="003E1D45" w:rsidRDefault="00626308" w:rsidP="00626308">
      <w:pPr>
        <w:spacing w:line="276" w:lineRule="auto"/>
        <w:ind w:left="567" w:right="567"/>
        <w:jc w:val="both"/>
        <w:rPr>
          <w:rFonts w:ascii="Century Gothic" w:hAnsi="Century Gothic" w:cs="Arial"/>
          <w:i/>
        </w:rPr>
      </w:pPr>
      <w:r w:rsidRPr="003E1D45">
        <w:rPr>
          <w:rFonts w:ascii="Century Gothic" w:hAnsi="Century Gothic" w:cs="Arial"/>
          <w:i/>
        </w:rPr>
        <w:t>a) Un 50% del valor total del contrato a manera de anticipo, una vez cumplidos la totalidad de los requisitos de pe</w:t>
      </w:r>
      <w:r>
        <w:rPr>
          <w:rFonts w:ascii="Century Gothic" w:hAnsi="Century Gothic" w:cs="Arial"/>
          <w:i/>
        </w:rPr>
        <w:t>rfeccionamiento y ejecución (…)</w:t>
      </w:r>
    </w:p>
    <w:p w14:paraId="0DBEE623" w14:textId="77777777" w:rsidR="00626308" w:rsidRPr="003E1D45" w:rsidRDefault="00626308" w:rsidP="00626308">
      <w:pPr>
        <w:spacing w:line="276" w:lineRule="auto"/>
        <w:ind w:left="567" w:right="567"/>
        <w:jc w:val="both"/>
        <w:rPr>
          <w:rFonts w:ascii="Century Gothic" w:hAnsi="Century Gothic" w:cs="Arial"/>
          <w:i/>
        </w:rPr>
      </w:pPr>
      <w:r w:rsidRPr="003E1D45">
        <w:rPr>
          <w:rFonts w:ascii="Century Gothic" w:hAnsi="Century Gothic" w:cs="Arial"/>
          <w:i/>
        </w:rPr>
        <w:t xml:space="preserve">b) y el saldo en mensualidades vencidas, previa presentación de la constancia de haber prestado el servicio a satisfacción expedida por el Supervisor del </w:t>
      </w:r>
      <w:proofErr w:type="gramStart"/>
      <w:r w:rsidRPr="003E1D45">
        <w:rPr>
          <w:rFonts w:ascii="Century Gothic" w:hAnsi="Century Gothic" w:cs="Arial"/>
          <w:i/>
        </w:rPr>
        <w:t>Contrato.-</w:t>
      </w:r>
      <w:proofErr w:type="gramEnd"/>
      <w:r w:rsidRPr="003E1D45">
        <w:rPr>
          <w:rFonts w:ascii="Century Gothic" w:hAnsi="Century Gothic" w:cs="Arial"/>
          <w:i/>
        </w:rPr>
        <w:t xml:space="preserve"> </w:t>
      </w:r>
    </w:p>
    <w:p w14:paraId="6F8F8C7A" w14:textId="77777777" w:rsidR="00626308" w:rsidRDefault="00626308" w:rsidP="00626308">
      <w:pPr>
        <w:ind w:left="567" w:right="567"/>
        <w:contextualSpacing/>
        <w:jc w:val="both"/>
        <w:rPr>
          <w:rFonts w:ascii="Century Gothic" w:hAnsi="Century Gothic" w:cs="Arial"/>
          <w:sz w:val="24"/>
          <w:szCs w:val="24"/>
        </w:rPr>
      </w:pPr>
      <w:r w:rsidRPr="003E1D45">
        <w:rPr>
          <w:rFonts w:ascii="Century Gothic" w:hAnsi="Century Gothic" w:cs="Arial"/>
          <w:i/>
        </w:rPr>
        <w:t xml:space="preserve">PARAGRAFO: En caso de ser menor el número de niños atendidos el DEPARTAMENTO DEL GUAVIARE – SECRETARIA DE EDUCACION descontará de los pagos parciales el valor de la canasta educativa por cada </w:t>
      </w:r>
      <w:proofErr w:type="gramStart"/>
      <w:r w:rsidRPr="003E1D45">
        <w:rPr>
          <w:rFonts w:ascii="Century Gothic" w:hAnsi="Century Gothic" w:cs="Arial"/>
          <w:i/>
        </w:rPr>
        <w:t>niño.-</w:t>
      </w:r>
      <w:proofErr w:type="gramEnd"/>
      <w:r w:rsidRPr="003E1D45">
        <w:rPr>
          <w:rFonts w:ascii="Century Gothic" w:hAnsi="Century Gothic" w:cs="Arial"/>
          <w:i/>
        </w:rPr>
        <w:t xml:space="preserve"> Por ningún caso el número de niños atendidos podrá ser superior al ofrecido por el Contratista</w:t>
      </w:r>
      <w:r>
        <w:rPr>
          <w:rFonts w:ascii="Century Gothic" w:hAnsi="Century Gothic" w:cs="Arial"/>
          <w:i/>
        </w:rPr>
        <w:t>”</w:t>
      </w:r>
      <w:r w:rsidRPr="003E1D45">
        <w:rPr>
          <w:rFonts w:ascii="Century Gothic" w:hAnsi="Century Gothic" w:cs="Arial"/>
          <w:i/>
        </w:rPr>
        <w:t>.</w:t>
      </w:r>
    </w:p>
    <w:p w14:paraId="710D1443" w14:textId="77777777" w:rsidR="00626308" w:rsidRDefault="00626308" w:rsidP="00626308">
      <w:pPr>
        <w:spacing w:line="360" w:lineRule="auto"/>
        <w:ind w:right="-142"/>
        <w:contextualSpacing/>
        <w:jc w:val="both"/>
        <w:rPr>
          <w:rFonts w:ascii="Century Gothic" w:hAnsi="Century Gothic" w:cs="Arial"/>
          <w:sz w:val="24"/>
          <w:szCs w:val="24"/>
        </w:rPr>
      </w:pPr>
    </w:p>
    <w:p w14:paraId="1DCF3691"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37. En lo que tiene que ver con la duración del contrato, en la cláusula quinta del mismo se estableció que esta sería de 5 meses contados a partir de su firma.</w:t>
      </w:r>
    </w:p>
    <w:p w14:paraId="316D25A1" w14:textId="77777777" w:rsidR="00626308" w:rsidRDefault="00626308" w:rsidP="00626308">
      <w:pPr>
        <w:spacing w:line="360" w:lineRule="auto"/>
        <w:ind w:right="-142"/>
        <w:contextualSpacing/>
        <w:jc w:val="both"/>
        <w:rPr>
          <w:rFonts w:ascii="Century Gothic" w:hAnsi="Century Gothic" w:cs="Arial"/>
          <w:sz w:val="24"/>
          <w:szCs w:val="24"/>
        </w:rPr>
      </w:pPr>
    </w:p>
    <w:p w14:paraId="434959DE" w14:textId="77777777" w:rsidR="00626308" w:rsidRDefault="00626308" w:rsidP="00626308">
      <w:pPr>
        <w:spacing w:line="360" w:lineRule="auto"/>
        <w:ind w:right="-142"/>
        <w:contextualSpacing/>
        <w:jc w:val="both"/>
        <w:rPr>
          <w:rFonts w:ascii="Century Gothic" w:hAnsi="Century Gothic" w:cs="Arial"/>
          <w:sz w:val="24"/>
          <w:szCs w:val="24"/>
        </w:rPr>
      </w:pPr>
    </w:p>
    <w:p w14:paraId="70098551"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38. El 19 de mayo de 2006, las partes del contrato No. 135 suscribieron el “anexo modificatorio y de adición No. 1”. Como primera modificación, se estableció que el contratista prestaría el servicio educativo a 4000 niños de la zona rural del Departamento del Guaviare, es decir, ya no solo en la zona rural de San José del </w:t>
      </w:r>
      <w:r>
        <w:rPr>
          <w:rFonts w:ascii="Century Gothic" w:hAnsi="Century Gothic" w:cs="Arial"/>
          <w:sz w:val="24"/>
          <w:szCs w:val="24"/>
        </w:rPr>
        <w:lastRenderedPageBreak/>
        <w:t>Guaviare. Adicionalmente, se modificaron la forma de pago del valor del contrato y su duración, así (se trascribe)</w:t>
      </w:r>
      <w:r>
        <w:rPr>
          <w:rStyle w:val="Refdenotaalpie"/>
          <w:rFonts w:ascii="Century Gothic" w:hAnsi="Century Gothic" w:cs="Arial"/>
          <w:sz w:val="24"/>
          <w:szCs w:val="24"/>
        </w:rPr>
        <w:footnoteReference w:id="12"/>
      </w:r>
      <w:r>
        <w:rPr>
          <w:rFonts w:ascii="Century Gothic" w:hAnsi="Century Gothic" w:cs="Arial"/>
          <w:sz w:val="24"/>
          <w:szCs w:val="24"/>
        </w:rPr>
        <w:t>:</w:t>
      </w:r>
    </w:p>
    <w:p w14:paraId="384C754E"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 </w:t>
      </w:r>
    </w:p>
    <w:p w14:paraId="683CF4FE" w14:textId="77777777" w:rsidR="00626308" w:rsidRPr="000833BD" w:rsidRDefault="00626308" w:rsidP="00626308">
      <w:pPr>
        <w:spacing w:line="276" w:lineRule="auto"/>
        <w:ind w:left="567" w:right="567"/>
        <w:jc w:val="both"/>
        <w:rPr>
          <w:rFonts w:ascii="Century Gothic" w:hAnsi="Century Gothic" w:cs="Arial"/>
          <w:i/>
          <w:szCs w:val="24"/>
        </w:rPr>
      </w:pPr>
      <w:r>
        <w:rPr>
          <w:rFonts w:ascii="Century Gothic" w:hAnsi="Century Gothic" w:cs="Arial"/>
          <w:i/>
          <w:szCs w:val="24"/>
        </w:rPr>
        <w:t>“</w:t>
      </w:r>
      <w:r w:rsidRPr="000833BD">
        <w:rPr>
          <w:rFonts w:ascii="Century Gothic" w:hAnsi="Century Gothic" w:cs="Arial"/>
          <w:i/>
          <w:szCs w:val="24"/>
        </w:rPr>
        <w:t xml:space="preserve">CLAUSULA CUARTA Modificar la CLAUSULA CUARTA. VALOR Y FORMA DE PAGO – INCISO B), la cual quedará así: CLAUSULA CUARTA, VALOR Y FORMA DE PAGO, INCISO B) el saldo pagadero en dos (2) desembolsos, el primero del 30% al haber ejecutado a entera satisfacción el desembolso correspondiente al 50% correspondiente al anticipo inicial, previa presentación de la constancia de haber prestado el servicio a satisfacción expedida por el supervisor y el 20% restante al finalizar la ejecución total del desembolso anterior, previa presentación de la constancia de haber prestado el servicio a satisfacción expedida por el supervisor. </w:t>
      </w:r>
    </w:p>
    <w:p w14:paraId="058FB54E" w14:textId="77777777" w:rsidR="00626308" w:rsidRPr="000833BD" w:rsidRDefault="00626308" w:rsidP="00626308">
      <w:pPr>
        <w:spacing w:line="276" w:lineRule="auto"/>
        <w:ind w:left="567" w:right="567"/>
        <w:jc w:val="both"/>
        <w:rPr>
          <w:rFonts w:ascii="Century Gothic" w:hAnsi="Century Gothic" w:cs="Arial"/>
          <w:i/>
          <w:szCs w:val="24"/>
        </w:rPr>
      </w:pPr>
      <w:r w:rsidRPr="000833BD">
        <w:rPr>
          <w:rFonts w:ascii="Century Gothic" w:hAnsi="Century Gothic" w:cs="Arial"/>
          <w:i/>
          <w:szCs w:val="24"/>
        </w:rPr>
        <w:t xml:space="preserve">CLAUSULA </w:t>
      </w:r>
      <w:proofErr w:type="gramStart"/>
      <w:r w:rsidRPr="000833BD">
        <w:rPr>
          <w:rFonts w:ascii="Century Gothic" w:hAnsi="Century Gothic" w:cs="Arial"/>
          <w:i/>
          <w:szCs w:val="24"/>
        </w:rPr>
        <w:t>QUINTA.-</w:t>
      </w:r>
      <w:proofErr w:type="gramEnd"/>
      <w:r w:rsidRPr="000833BD">
        <w:rPr>
          <w:rFonts w:ascii="Century Gothic" w:hAnsi="Century Gothic" w:cs="Arial"/>
          <w:i/>
          <w:szCs w:val="24"/>
        </w:rPr>
        <w:t xml:space="preserve"> Modificar la CLAUSULA QUINTA. </w:t>
      </w:r>
      <w:proofErr w:type="gramStart"/>
      <w:r w:rsidRPr="000833BD">
        <w:rPr>
          <w:rFonts w:ascii="Century Gothic" w:hAnsi="Century Gothic" w:cs="Arial"/>
          <w:i/>
          <w:szCs w:val="24"/>
        </w:rPr>
        <w:t>DURACIÓN.-</w:t>
      </w:r>
      <w:proofErr w:type="gramEnd"/>
      <w:r w:rsidRPr="000833BD">
        <w:rPr>
          <w:rFonts w:ascii="Century Gothic" w:hAnsi="Century Gothic" w:cs="Arial"/>
          <w:i/>
          <w:szCs w:val="24"/>
        </w:rPr>
        <w:t xml:space="preserve"> La cual quedará así: DURACION: La duración del contrato será por el término de quinientas (500) horas académicas, a partir del cumplimiento de todos los requisitos para la ejecución del contrato, periodo comprendido entre el 7 de abril hasta el 14 de Julio de 2006”.</w:t>
      </w:r>
    </w:p>
    <w:p w14:paraId="752B1C91" w14:textId="77777777" w:rsidR="00626308" w:rsidRDefault="00626308" w:rsidP="00626308">
      <w:pPr>
        <w:spacing w:line="360" w:lineRule="auto"/>
        <w:ind w:right="-142"/>
        <w:contextualSpacing/>
        <w:jc w:val="both"/>
        <w:rPr>
          <w:rFonts w:ascii="Century Gothic" w:hAnsi="Century Gothic" w:cs="Arial"/>
          <w:sz w:val="24"/>
          <w:szCs w:val="24"/>
        </w:rPr>
      </w:pPr>
    </w:p>
    <w:p w14:paraId="11F3DF77"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39. El 11 de agosto de 2006, las partes del contrato suscribieron el “anexo modificatorio y de adición No. 2”. Como primera modificación, adicionaron el valor del contrato en $219.241.</w:t>
      </w:r>
      <w:proofErr w:type="gramStart"/>
      <w:r>
        <w:rPr>
          <w:rFonts w:ascii="Century Gothic" w:hAnsi="Century Gothic" w:cs="Arial"/>
          <w:sz w:val="24"/>
          <w:szCs w:val="24"/>
        </w:rPr>
        <w:t>176,oo</w:t>
      </w:r>
      <w:proofErr w:type="gramEnd"/>
      <w:r>
        <w:rPr>
          <w:rFonts w:ascii="Century Gothic" w:hAnsi="Century Gothic" w:cs="Arial"/>
          <w:sz w:val="24"/>
          <w:szCs w:val="24"/>
        </w:rPr>
        <w:t>, pagaderos en dos contados. Adicionalmente, modificaron la duración del contrato, así (se trascribe)</w:t>
      </w:r>
      <w:r>
        <w:rPr>
          <w:rStyle w:val="Refdenotaalpie"/>
          <w:rFonts w:ascii="Century Gothic" w:hAnsi="Century Gothic" w:cs="Arial"/>
          <w:sz w:val="24"/>
          <w:szCs w:val="24"/>
        </w:rPr>
        <w:footnoteReference w:id="13"/>
      </w:r>
      <w:r>
        <w:rPr>
          <w:rFonts w:ascii="Century Gothic" w:hAnsi="Century Gothic" w:cs="Arial"/>
          <w:sz w:val="24"/>
          <w:szCs w:val="24"/>
        </w:rPr>
        <w:t>:</w:t>
      </w:r>
    </w:p>
    <w:p w14:paraId="53D08436" w14:textId="77777777" w:rsidR="00626308" w:rsidRDefault="00626308" w:rsidP="00626308">
      <w:pPr>
        <w:spacing w:line="360" w:lineRule="auto"/>
        <w:ind w:right="-142"/>
        <w:contextualSpacing/>
        <w:jc w:val="both"/>
        <w:rPr>
          <w:rFonts w:ascii="Century Gothic" w:hAnsi="Century Gothic" w:cs="Arial"/>
          <w:sz w:val="24"/>
          <w:szCs w:val="24"/>
        </w:rPr>
      </w:pPr>
    </w:p>
    <w:p w14:paraId="016CFD5D" w14:textId="77777777" w:rsidR="00626308" w:rsidRPr="00F727D3" w:rsidRDefault="00626308" w:rsidP="00626308">
      <w:pPr>
        <w:spacing w:line="276" w:lineRule="auto"/>
        <w:ind w:left="567" w:right="567"/>
        <w:jc w:val="both"/>
        <w:rPr>
          <w:rFonts w:ascii="Century Gothic" w:hAnsi="Century Gothic" w:cs="Arial"/>
          <w:i/>
          <w:szCs w:val="24"/>
        </w:rPr>
      </w:pPr>
      <w:r>
        <w:rPr>
          <w:rFonts w:ascii="Century Gothic" w:hAnsi="Century Gothic" w:cs="Arial"/>
          <w:i/>
          <w:szCs w:val="24"/>
        </w:rPr>
        <w:t>“</w:t>
      </w:r>
      <w:r w:rsidRPr="00F727D3">
        <w:rPr>
          <w:rFonts w:ascii="Century Gothic" w:hAnsi="Century Gothic" w:cs="Arial"/>
          <w:i/>
          <w:szCs w:val="24"/>
        </w:rPr>
        <w:t xml:space="preserve">CLAUSULA SEGUNDA: Adicionar la cláusula quinta del Contrato principal, la cual quedará así: CLAUSULA QUINTA. DURACION. Ampliar el término del contrato original en un (1) mes más al inicialmente pactado, tiempo el cual el contratista se compromete a prestar el servicio educativo correspondiente a 77 horas académicas”. </w:t>
      </w:r>
    </w:p>
    <w:p w14:paraId="4D4081EC" w14:textId="77777777" w:rsidR="00626308" w:rsidRPr="004863B8" w:rsidRDefault="00626308" w:rsidP="00626308">
      <w:pPr>
        <w:spacing w:line="360" w:lineRule="auto"/>
        <w:ind w:right="-142"/>
        <w:contextualSpacing/>
        <w:jc w:val="both"/>
        <w:rPr>
          <w:rFonts w:ascii="Century Gothic" w:hAnsi="Century Gothic" w:cs="Arial"/>
          <w:sz w:val="24"/>
          <w:szCs w:val="24"/>
        </w:rPr>
      </w:pPr>
    </w:p>
    <w:p w14:paraId="3EC509DC"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40. El 29 de septiembre de 2006, las partes del contrato suscribieron el “anexo modificatorio y de adición No. 3”. Como primera modificación, adicionaron el valor del contrato en $492.580.</w:t>
      </w:r>
      <w:proofErr w:type="gramStart"/>
      <w:r>
        <w:rPr>
          <w:rFonts w:ascii="Century Gothic" w:hAnsi="Century Gothic" w:cs="Arial"/>
          <w:sz w:val="24"/>
          <w:szCs w:val="24"/>
        </w:rPr>
        <w:t>824,oo</w:t>
      </w:r>
      <w:proofErr w:type="gramEnd"/>
      <w:r>
        <w:rPr>
          <w:rFonts w:ascii="Century Gothic" w:hAnsi="Century Gothic" w:cs="Arial"/>
          <w:sz w:val="24"/>
          <w:szCs w:val="24"/>
        </w:rPr>
        <w:t>, pagaderos en tres contados. Adicionalmente, modificaron la duración del contrato, así (se trascribe)</w:t>
      </w:r>
      <w:r>
        <w:rPr>
          <w:rStyle w:val="Refdenotaalpie"/>
          <w:rFonts w:ascii="Century Gothic" w:hAnsi="Century Gothic" w:cs="Arial"/>
          <w:sz w:val="24"/>
          <w:szCs w:val="24"/>
        </w:rPr>
        <w:footnoteReference w:id="14"/>
      </w:r>
      <w:r>
        <w:rPr>
          <w:rFonts w:ascii="Century Gothic" w:hAnsi="Century Gothic" w:cs="Arial"/>
          <w:sz w:val="24"/>
          <w:szCs w:val="24"/>
        </w:rPr>
        <w:t>:</w:t>
      </w:r>
    </w:p>
    <w:p w14:paraId="28181B09" w14:textId="77777777" w:rsidR="00626308" w:rsidRDefault="00626308" w:rsidP="00626308">
      <w:pPr>
        <w:spacing w:line="360" w:lineRule="auto"/>
        <w:ind w:right="-142"/>
        <w:contextualSpacing/>
        <w:jc w:val="both"/>
        <w:rPr>
          <w:rFonts w:ascii="Century Gothic" w:hAnsi="Century Gothic" w:cs="Arial"/>
          <w:sz w:val="24"/>
          <w:szCs w:val="24"/>
        </w:rPr>
      </w:pPr>
    </w:p>
    <w:p w14:paraId="3FD1E124" w14:textId="77777777" w:rsidR="00626308" w:rsidRPr="00DF3C22" w:rsidRDefault="00626308" w:rsidP="00626308">
      <w:pPr>
        <w:spacing w:line="276" w:lineRule="auto"/>
        <w:ind w:left="567" w:right="567"/>
        <w:jc w:val="both"/>
        <w:rPr>
          <w:rFonts w:ascii="Century Gothic" w:hAnsi="Century Gothic" w:cs="Arial"/>
          <w:i/>
          <w:szCs w:val="24"/>
        </w:rPr>
      </w:pPr>
      <w:r>
        <w:rPr>
          <w:rFonts w:ascii="Century Gothic" w:hAnsi="Century Gothic" w:cs="Arial"/>
          <w:i/>
          <w:szCs w:val="24"/>
        </w:rPr>
        <w:t>“</w:t>
      </w:r>
      <w:r w:rsidRPr="00DF3C22">
        <w:rPr>
          <w:rFonts w:ascii="Century Gothic" w:hAnsi="Century Gothic" w:cs="Arial"/>
          <w:i/>
          <w:szCs w:val="24"/>
        </w:rPr>
        <w:t>CLAUSULA SEGUNDA: Adicionar la cláusula quinta del Contrato principal, la cual quedará así: CLAUSULA QUINTA. DURACION. Ampliar el término del contrato original en dos (2) meses más al inicialmente pactado en el anexo 2, tiempo el cual el contratista se compromete a prestar el servicio educativo correspondiente a 173 horas académicas”.</w:t>
      </w:r>
    </w:p>
    <w:p w14:paraId="71B6F6BF" w14:textId="77777777" w:rsidR="00626308" w:rsidRDefault="00626308" w:rsidP="00626308">
      <w:pPr>
        <w:spacing w:line="360" w:lineRule="auto"/>
        <w:ind w:right="-142"/>
        <w:contextualSpacing/>
        <w:jc w:val="both"/>
        <w:rPr>
          <w:rFonts w:ascii="Century Gothic" w:hAnsi="Century Gothic" w:cs="Arial"/>
          <w:sz w:val="24"/>
          <w:szCs w:val="24"/>
        </w:rPr>
      </w:pPr>
    </w:p>
    <w:p w14:paraId="1324E0F8"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41. Según consta en la comunicación de 12 de julio de 2006 dirigida por el supervisor del contrato al secretario de educación departamental</w:t>
      </w:r>
      <w:r>
        <w:rPr>
          <w:rStyle w:val="Refdenotaalpie"/>
          <w:rFonts w:ascii="Century Gothic" w:hAnsi="Century Gothic" w:cs="Arial"/>
          <w:sz w:val="24"/>
          <w:szCs w:val="24"/>
        </w:rPr>
        <w:footnoteReference w:id="15"/>
      </w:r>
      <w:r>
        <w:rPr>
          <w:rFonts w:ascii="Century Gothic" w:hAnsi="Century Gothic" w:cs="Arial"/>
          <w:sz w:val="24"/>
          <w:szCs w:val="24"/>
        </w:rPr>
        <w:t>, en la comunicación de 2 de agosto de 2006 dirigida por el técnico de sistemas de la secretaría de educación departamental al “Colegio Pedagógico del Meta”</w:t>
      </w:r>
      <w:r>
        <w:rPr>
          <w:rStyle w:val="Refdenotaalpie"/>
          <w:rFonts w:ascii="Century Gothic" w:hAnsi="Century Gothic" w:cs="Arial"/>
          <w:sz w:val="24"/>
          <w:szCs w:val="24"/>
        </w:rPr>
        <w:footnoteReference w:id="16"/>
      </w:r>
      <w:r>
        <w:rPr>
          <w:rFonts w:ascii="Century Gothic" w:hAnsi="Century Gothic" w:cs="Arial"/>
          <w:sz w:val="24"/>
          <w:szCs w:val="24"/>
        </w:rPr>
        <w:t>, en la certificación de 9 de agosto de 2006 expedida por el supervisor del contrato</w:t>
      </w:r>
      <w:r>
        <w:rPr>
          <w:rStyle w:val="Refdenotaalpie"/>
          <w:rFonts w:ascii="Century Gothic" w:hAnsi="Century Gothic" w:cs="Arial"/>
          <w:sz w:val="24"/>
          <w:szCs w:val="24"/>
        </w:rPr>
        <w:footnoteReference w:id="17"/>
      </w:r>
      <w:r>
        <w:rPr>
          <w:rFonts w:ascii="Century Gothic" w:hAnsi="Century Gothic" w:cs="Arial"/>
          <w:sz w:val="24"/>
          <w:szCs w:val="24"/>
        </w:rPr>
        <w:t xml:space="preserve"> y en la comunicación No. 0105-06 de 5 de septiembre de 2006 dirigida por el “Colegio Pedagógico del Meta” al secretario de educación</w:t>
      </w:r>
      <w:r>
        <w:rPr>
          <w:rStyle w:val="Refdenotaalpie"/>
          <w:rFonts w:ascii="Century Gothic" w:hAnsi="Century Gothic" w:cs="Arial"/>
          <w:sz w:val="24"/>
          <w:szCs w:val="24"/>
        </w:rPr>
        <w:footnoteReference w:id="18"/>
      </w:r>
      <w:r>
        <w:rPr>
          <w:rFonts w:ascii="Century Gothic" w:hAnsi="Century Gothic" w:cs="Arial"/>
          <w:sz w:val="24"/>
          <w:szCs w:val="24"/>
        </w:rPr>
        <w:t>, el contratista prestó el servicio educativo a más de 4000 niños.</w:t>
      </w:r>
    </w:p>
    <w:p w14:paraId="08D74D02" w14:textId="77777777" w:rsidR="00626308" w:rsidRDefault="00626308" w:rsidP="00626308">
      <w:pPr>
        <w:spacing w:line="360" w:lineRule="auto"/>
        <w:ind w:right="-142"/>
        <w:contextualSpacing/>
        <w:jc w:val="both"/>
        <w:rPr>
          <w:rFonts w:ascii="Century Gothic" w:hAnsi="Century Gothic" w:cs="Arial"/>
          <w:sz w:val="24"/>
          <w:szCs w:val="24"/>
        </w:rPr>
      </w:pPr>
    </w:p>
    <w:p w14:paraId="46B20112" w14:textId="77777777" w:rsidR="00626308" w:rsidRPr="00343DD7" w:rsidRDefault="00626308" w:rsidP="00626308">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2.3</w:t>
      </w:r>
      <w:r w:rsidRPr="006B2625">
        <w:rPr>
          <w:rFonts w:ascii="Century Gothic" w:hAnsi="Century Gothic" w:cs="Arial"/>
          <w:b/>
          <w:sz w:val="24"/>
          <w:szCs w:val="24"/>
        </w:rPr>
        <w:t>. El problema jurídico</w:t>
      </w:r>
    </w:p>
    <w:p w14:paraId="35DFE3FC" w14:textId="77777777" w:rsidR="00626308" w:rsidRDefault="00626308" w:rsidP="00626308">
      <w:pPr>
        <w:spacing w:line="360" w:lineRule="auto"/>
        <w:ind w:right="-142"/>
        <w:contextualSpacing/>
        <w:jc w:val="both"/>
        <w:rPr>
          <w:rFonts w:ascii="Century Gothic" w:hAnsi="Century Gothic" w:cs="Arial"/>
          <w:sz w:val="24"/>
          <w:szCs w:val="24"/>
        </w:rPr>
      </w:pPr>
    </w:p>
    <w:p w14:paraId="693A0938"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42. A partir de</w:t>
      </w:r>
      <w:r w:rsidRPr="007415DD">
        <w:rPr>
          <w:rFonts w:ascii="Century Gothic" w:hAnsi="Century Gothic" w:cs="Arial"/>
          <w:sz w:val="24"/>
          <w:szCs w:val="24"/>
        </w:rPr>
        <w:t xml:space="preserve"> los hechos probados y los motivos de la apelac</w:t>
      </w:r>
      <w:r>
        <w:rPr>
          <w:rFonts w:ascii="Century Gothic" w:hAnsi="Century Gothic" w:cs="Arial"/>
          <w:sz w:val="24"/>
          <w:szCs w:val="24"/>
        </w:rPr>
        <w:t>ión interpuesta por la parte demandante, deberá la Sala establecer si el Tribunal erró: 1) al ignorar la existencia de documentos que probaban que la demandada tenía conocimiento del incremento en el número de estudiantes atendidos y; 2) al no tener en cuenta que, por mandato constitucional, el contratista estaba obligado a prestar el servicio a los niños adicionales.</w:t>
      </w:r>
    </w:p>
    <w:p w14:paraId="72809EE7" w14:textId="77777777" w:rsidR="00626308" w:rsidRDefault="00626308" w:rsidP="00626308">
      <w:pPr>
        <w:spacing w:line="360" w:lineRule="auto"/>
        <w:ind w:right="-142"/>
        <w:contextualSpacing/>
        <w:jc w:val="both"/>
        <w:rPr>
          <w:rFonts w:ascii="Century Gothic" w:hAnsi="Century Gothic" w:cs="Arial"/>
          <w:sz w:val="24"/>
          <w:szCs w:val="24"/>
        </w:rPr>
      </w:pPr>
    </w:p>
    <w:p w14:paraId="4B5D03E5" w14:textId="77777777" w:rsidR="00626308" w:rsidRPr="0008166A" w:rsidRDefault="00626308" w:rsidP="00626308">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 xml:space="preserve">2.4. </w:t>
      </w:r>
      <w:r w:rsidRPr="004B5864">
        <w:rPr>
          <w:rFonts w:ascii="Century Gothic" w:hAnsi="Century Gothic" w:cs="Arial"/>
          <w:b/>
          <w:sz w:val="24"/>
          <w:szCs w:val="24"/>
        </w:rPr>
        <w:t>El caso concreto</w:t>
      </w:r>
    </w:p>
    <w:p w14:paraId="4A6B4B52" w14:textId="77777777" w:rsidR="00626308" w:rsidRPr="004863B8" w:rsidRDefault="00626308" w:rsidP="00626308">
      <w:pPr>
        <w:spacing w:line="360" w:lineRule="auto"/>
        <w:ind w:right="-142"/>
        <w:contextualSpacing/>
        <w:jc w:val="both"/>
        <w:rPr>
          <w:rFonts w:ascii="Century Gothic" w:hAnsi="Century Gothic" w:cs="Arial"/>
          <w:sz w:val="24"/>
          <w:szCs w:val="24"/>
        </w:rPr>
      </w:pPr>
    </w:p>
    <w:p w14:paraId="11356E8B" w14:textId="77777777" w:rsidR="00626308" w:rsidRPr="00D3756A" w:rsidRDefault="00626308" w:rsidP="00626308">
      <w:pPr>
        <w:spacing w:line="360" w:lineRule="auto"/>
        <w:ind w:right="-142"/>
        <w:contextualSpacing/>
        <w:jc w:val="both"/>
        <w:rPr>
          <w:rFonts w:ascii="Century Gothic" w:hAnsi="Century Gothic" w:cs="Arial"/>
          <w:i/>
          <w:szCs w:val="24"/>
        </w:rPr>
      </w:pPr>
      <w:r>
        <w:rPr>
          <w:rFonts w:ascii="Century Gothic" w:hAnsi="Century Gothic" w:cs="Arial"/>
          <w:sz w:val="24"/>
          <w:szCs w:val="24"/>
        </w:rPr>
        <w:t>43. Con relación al primer cargo de la apelación, esto es, aquel según el cual el Tribunal debió acceder a las pretensiones de ruptura del equilibrio económico del contrato por estar probado que la Secretaría de Educación estaba al tanto del mayor número de estudiantes atendidos, la Sala considera que el mismo no está llamado a prosperar por las siguientes razones:</w:t>
      </w:r>
    </w:p>
    <w:p w14:paraId="49DE9799" w14:textId="77777777" w:rsidR="00626308" w:rsidRDefault="00626308" w:rsidP="00626308">
      <w:pPr>
        <w:spacing w:line="360" w:lineRule="auto"/>
        <w:ind w:right="-142"/>
        <w:contextualSpacing/>
        <w:jc w:val="both"/>
        <w:rPr>
          <w:rFonts w:ascii="Century Gothic" w:hAnsi="Century Gothic" w:cs="Arial"/>
          <w:sz w:val="24"/>
          <w:szCs w:val="24"/>
        </w:rPr>
      </w:pPr>
    </w:p>
    <w:p w14:paraId="7B6A9EE5" w14:textId="77777777" w:rsidR="00626308" w:rsidRPr="0006571E" w:rsidRDefault="00626308" w:rsidP="00626308">
      <w:pPr>
        <w:spacing w:line="360" w:lineRule="auto"/>
        <w:ind w:right="-142"/>
        <w:contextualSpacing/>
        <w:jc w:val="both"/>
        <w:rPr>
          <w:rFonts w:ascii="Century Gothic" w:hAnsi="Century Gothic" w:cs="Arial"/>
          <w:szCs w:val="24"/>
        </w:rPr>
      </w:pPr>
      <w:r>
        <w:rPr>
          <w:rFonts w:ascii="Century Gothic" w:hAnsi="Century Gothic" w:cs="Arial"/>
          <w:sz w:val="24"/>
          <w:szCs w:val="24"/>
        </w:rPr>
        <w:t xml:space="preserve">44. El motivo por el cual el Tribunal negó las pretensiones de rompimiento del equilibrio económico del contrato fue que, a su juicio, el mayor número de niños atendidos no constituía un supuesto de ruptura de la ecuación contractual propio </w:t>
      </w:r>
      <w:r>
        <w:rPr>
          <w:rFonts w:ascii="Century Gothic" w:hAnsi="Century Gothic" w:cs="Arial"/>
          <w:sz w:val="24"/>
          <w:szCs w:val="24"/>
        </w:rPr>
        <w:lastRenderedPageBreak/>
        <w:t>de la teoría de la imprevisión y que, por el contrario, en el contrato se había estipulado que en ningún caso podrían atenderse más de 4000 niños.</w:t>
      </w:r>
    </w:p>
    <w:p w14:paraId="445EC0FC" w14:textId="77777777" w:rsidR="00626308" w:rsidRDefault="00626308" w:rsidP="00626308">
      <w:pPr>
        <w:spacing w:line="360" w:lineRule="auto"/>
        <w:ind w:right="-142"/>
        <w:contextualSpacing/>
        <w:jc w:val="both"/>
        <w:rPr>
          <w:rFonts w:ascii="Century Gothic" w:hAnsi="Century Gothic" w:cs="Arial"/>
          <w:sz w:val="24"/>
          <w:szCs w:val="24"/>
        </w:rPr>
      </w:pPr>
    </w:p>
    <w:p w14:paraId="021E5EE3"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45. Por otra parte, el Tribunal reprochó que el contratista, si consideraba que el equilibrio económico del contrato se había visto afectado, no lo hubiera puesto en conocimiento de la Secretaría de Educación, para lo cual indicó que en el expediente no existían comunicaciones en este sentido. Esta consideración fue apenas un dicho de paso y no la razón de la decisión adoptada por el Tribunal.</w:t>
      </w:r>
    </w:p>
    <w:p w14:paraId="622AEE0C" w14:textId="77777777" w:rsidR="00626308" w:rsidRPr="00D82270" w:rsidRDefault="00626308" w:rsidP="00626308">
      <w:pPr>
        <w:spacing w:line="360" w:lineRule="auto"/>
        <w:ind w:right="-142"/>
        <w:contextualSpacing/>
        <w:jc w:val="both"/>
        <w:rPr>
          <w:rFonts w:ascii="Century Gothic" w:hAnsi="Century Gothic" w:cs="Arial"/>
          <w:sz w:val="24"/>
          <w:szCs w:val="24"/>
        </w:rPr>
      </w:pPr>
    </w:p>
    <w:p w14:paraId="23FB3C6C"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46. Al margen de lo anterior, el Tribunal sí tuvo presente que en ejecución del contrato se prestó el servicio educativo a más de 4000 niños y así lo reseñó en el acápite de hechos probados de la Sentencia de primera instancia.  </w:t>
      </w:r>
    </w:p>
    <w:p w14:paraId="7849C197" w14:textId="77777777" w:rsidR="00626308" w:rsidRPr="00200552" w:rsidRDefault="00626308" w:rsidP="00626308">
      <w:pPr>
        <w:spacing w:line="360" w:lineRule="auto"/>
        <w:ind w:right="-142"/>
        <w:contextualSpacing/>
        <w:jc w:val="both"/>
        <w:rPr>
          <w:rFonts w:ascii="Century Gothic" w:hAnsi="Century Gothic" w:cs="Arial"/>
          <w:sz w:val="24"/>
          <w:szCs w:val="24"/>
        </w:rPr>
      </w:pPr>
    </w:p>
    <w:p w14:paraId="4094AD33" w14:textId="77777777" w:rsidR="00626308" w:rsidRPr="00D90939"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47. En ese orden de ideas, no es cierto que el Tribunal haya ignorado el hecho de que el demandante atendiera a más niños de los 4000 inicialmente previstos en el contrato y, de todas formas, esta consideración no fue la razón de la decisión adoptada por el Tribunal. Por consiguiente, este cargo de la apelación será rechazado.</w:t>
      </w:r>
    </w:p>
    <w:p w14:paraId="22C5545F" w14:textId="77777777" w:rsidR="00626308" w:rsidRDefault="00626308" w:rsidP="00626308">
      <w:pPr>
        <w:spacing w:line="360" w:lineRule="auto"/>
        <w:ind w:right="-142"/>
        <w:contextualSpacing/>
        <w:jc w:val="both"/>
        <w:rPr>
          <w:rFonts w:ascii="Century Gothic" w:hAnsi="Century Gothic" w:cs="Arial"/>
          <w:sz w:val="24"/>
          <w:szCs w:val="24"/>
        </w:rPr>
      </w:pPr>
    </w:p>
    <w:p w14:paraId="074287FF" w14:textId="77777777" w:rsidR="00626308" w:rsidRPr="0089682A" w:rsidRDefault="00626308" w:rsidP="00626308">
      <w:pPr>
        <w:spacing w:line="360" w:lineRule="auto"/>
        <w:ind w:right="-142"/>
        <w:contextualSpacing/>
        <w:jc w:val="both"/>
        <w:rPr>
          <w:rFonts w:ascii="Century Gothic" w:hAnsi="Century Gothic" w:cs="Arial"/>
          <w:i/>
          <w:smallCaps/>
          <w:szCs w:val="24"/>
        </w:rPr>
      </w:pPr>
      <w:r>
        <w:rPr>
          <w:rFonts w:ascii="Century Gothic" w:hAnsi="Century Gothic" w:cs="Arial"/>
          <w:sz w:val="24"/>
          <w:szCs w:val="24"/>
        </w:rPr>
        <w:t>48. También es importante señalar que, de conformidad con el artículo 357</w:t>
      </w:r>
      <w:r>
        <w:rPr>
          <w:rStyle w:val="Refdenotaalpie"/>
          <w:rFonts w:ascii="Century Gothic" w:hAnsi="Century Gothic" w:cs="Arial"/>
          <w:sz w:val="24"/>
          <w:szCs w:val="24"/>
        </w:rPr>
        <w:footnoteReference w:id="19"/>
      </w:r>
      <w:r>
        <w:rPr>
          <w:rFonts w:ascii="Century Gothic" w:hAnsi="Century Gothic" w:cs="Arial"/>
          <w:sz w:val="24"/>
          <w:szCs w:val="24"/>
        </w:rPr>
        <w:t xml:space="preserve"> del Código de Procedimiento Civil (CPC), esta Sala se abstendrá de pronunciarse sobre la calificación que el Tribunal hizo del aumento en el número de estudiantes como supuesto de rompimiento de la ecuación financiera del contrato, en la medida en que este no fue uno de los puntos del recurso de apelación interpuesto por la parte demandante</w:t>
      </w:r>
      <w:r>
        <w:rPr>
          <w:rStyle w:val="Refdenotaalpie"/>
          <w:rFonts w:ascii="Century Gothic" w:hAnsi="Century Gothic" w:cs="Arial"/>
          <w:sz w:val="24"/>
          <w:szCs w:val="24"/>
        </w:rPr>
        <w:footnoteReference w:id="20"/>
      </w:r>
      <w:r>
        <w:rPr>
          <w:rFonts w:ascii="Century Gothic" w:hAnsi="Century Gothic" w:cs="Arial"/>
          <w:sz w:val="24"/>
          <w:szCs w:val="24"/>
        </w:rPr>
        <w:t xml:space="preserve">. Al margen de esto, no obra prueba en el expediente en la que se acredite que el Departamento de Guaviare obligó al demandante a prestar el servicio a más </w:t>
      </w:r>
      <w:proofErr w:type="gramStart"/>
      <w:r>
        <w:rPr>
          <w:rFonts w:ascii="Century Gothic" w:hAnsi="Century Gothic" w:cs="Arial"/>
          <w:sz w:val="24"/>
          <w:szCs w:val="24"/>
        </w:rPr>
        <w:t>estudiantes</w:t>
      </w:r>
      <w:proofErr w:type="gramEnd"/>
      <w:r>
        <w:rPr>
          <w:rFonts w:ascii="Century Gothic" w:hAnsi="Century Gothic" w:cs="Arial"/>
          <w:sz w:val="24"/>
          <w:szCs w:val="24"/>
        </w:rPr>
        <w:t xml:space="preserve"> sino que, por el contrario, pareciera que fue Cristian Fabián Vargas Rodríguez quien se tomó la libertad de atender más niños de los inicialmente estipulados.</w:t>
      </w:r>
    </w:p>
    <w:p w14:paraId="1E68000E" w14:textId="77777777" w:rsidR="00626308" w:rsidRDefault="00626308" w:rsidP="00626308">
      <w:pPr>
        <w:spacing w:line="360" w:lineRule="auto"/>
        <w:ind w:right="-142"/>
        <w:contextualSpacing/>
        <w:jc w:val="both"/>
        <w:rPr>
          <w:rFonts w:ascii="Century Gothic" w:hAnsi="Century Gothic" w:cs="Arial"/>
          <w:sz w:val="24"/>
          <w:szCs w:val="24"/>
        </w:rPr>
      </w:pPr>
    </w:p>
    <w:p w14:paraId="16D6D854" w14:textId="77777777" w:rsidR="00626308" w:rsidRPr="00C546B4"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lastRenderedPageBreak/>
        <w:t>49. En lo que tiene que ver con el argumento de la apelación según el cual el contratista estaba obligado a prestar el servicio al mayor número de niños puesto que, por mandato constitucional “inviolable e inaplazable”, el Estado es responsable de la prestación de este servicio a los niños, la Sala considera lo que a continuación se expone:</w:t>
      </w:r>
    </w:p>
    <w:p w14:paraId="4B35CDAE" w14:textId="77777777" w:rsidR="00626308" w:rsidRDefault="00626308" w:rsidP="00626308">
      <w:pPr>
        <w:spacing w:line="360" w:lineRule="auto"/>
        <w:ind w:right="-142"/>
        <w:contextualSpacing/>
        <w:jc w:val="both"/>
        <w:rPr>
          <w:rFonts w:ascii="Century Gothic" w:hAnsi="Century Gothic" w:cs="Arial"/>
          <w:sz w:val="24"/>
          <w:szCs w:val="24"/>
        </w:rPr>
      </w:pPr>
    </w:p>
    <w:p w14:paraId="6A206AC5" w14:textId="77777777" w:rsidR="00626308" w:rsidRPr="00B22DB5"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50. Efectivamente, como lo señala la parte demandante, en el capítulo de derechos sociales, económicos y culturales de la Constitución Política, se prevé que “</w:t>
      </w:r>
      <w:r>
        <w:rPr>
          <w:rFonts w:ascii="Century Gothic" w:hAnsi="Century Gothic" w:cs="Arial"/>
          <w:i/>
          <w:sz w:val="24"/>
          <w:szCs w:val="24"/>
        </w:rPr>
        <w:t>la educación es un derecho de la persona y un servicio público que tiene una función social”</w:t>
      </w:r>
      <w:r>
        <w:rPr>
          <w:rFonts w:ascii="Century Gothic" w:hAnsi="Century Gothic" w:cs="Arial"/>
          <w:sz w:val="24"/>
          <w:szCs w:val="24"/>
        </w:rPr>
        <w:t>, “</w:t>
      </w:r>
      <w:r>
        <w:rPr>
          <w:rFonts w:ascii="Century Gothic" w:hAnsi="Century Gothic" w:cs="Arial"/>
          <w:i/>
          <w:sz w:val="24"/>
          <w:szCs w:val="24"/>
        </w:rPr>
        <w:t xml:space="preserve">el Estado, la sociedad y la familia son responsables de la educación” </w:t>
      </w:r>
      <w:r>
        <w:rPr>
          <w:rFonts w:ascii="Century Gothic" w:hAnsi="Century Gothic" w:cs="Arial"/>
          <w:sz w:val="24"/>
          <w:szCs w:val="24"/>
        </w:rPr>
        <w:t>(Art. 67) y “</w:t>
      </w:r>
      <w:r>
        <w:rPr>
          <w:rFonts w:ascii="Century Gothic" w:hAnsi="Century Gothic" w:cs="Arial"/>
          <w:i/>
          <w:sz w:val="24"/>
          <w:szCs w:val="24"/>
        </w:rPr>
        <w:t xml:space="preserve">el Estado tiene el deber de promover y fomentar al acceso a la cultura de todos los colombianos en igualdad de oportunidades, por medio de la educación permanente y la enseñanza técnica, artística y profesional” </w:t>
      </w:r>
      <w:r>
        <w:rPr>
          <w:rFonts w:ascii="Century Gothic" w:hAnsi="Century Gothic" w:cs="Arial"/>
          <w:sz w:val="24"/>
          <w:szCs w:val="24"/>
        </w:rPr>
        <w:t xml:space="preserve">(Art. 70). De igual forma, es cierto que en virtud del inciso final del artículo 44 superior, los derechos de los niños prevalecen sobre los derechos de los demás. </w:t>
      </w:r>
    </w:p>
    <w:p w14:paraId="78ACEA3E" w14:textId="77777777" w:rsidR="00626308" w:rsidRDefault="00626308" w:rsidP="00626308">
      <w:pPr>
        <w:spacing w:line="360" w:lineRule="auto"/>
        <w:ind w:right="-142"/>
        <w:contextualSpacing/>
        <w:jc w:val="both"/>
        <w:rPr>
          <w:rFonts w:ascii="Century Gothic" w:hAnsi="Century Gothic" w:cs="Arial"/>
          <w:sz w:val="24"/>
          <w:szCs w:val="24"/>
        </w:rPr>
      </w:pPr>
    </w:p>
    <w:p w14:paraId="1CA35532"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51. Las anteriores normas constitucionales no son incompatibles con aquellas que regulan la formación y ejecución de los contratos, como lo son las relativas al pago -contenidas en el título XIV del Código Civil-, las cuales regulan, en extenso, cómo deben ejecutarse las prestaciones de un determinado contrato.</w:t>
      </w:r>
    </w:p>
    <w:p w14:paraId="41081EA1" w14:textId="77777777" w:rsidR="00626308" w:rsidRPr="000C31CC" w:rsidRDefault="00626308" w:rsidP="00626308">
      <w:pPr>
        <w:spacing w:line="360" w:lineRule="auto"/>
        <w:ind w:right="-142"/>
        <w:contextualSpacing/>
        <w:jc w:val="both"/>
        <w:rPr>
          <w:rFonts w:ascii="Century Gothic" w:hAnsi="Century Gothic" w:cs="Arial"/>
          <w:sz w:val="24"/>
          <w:szCs w:val="24"/>
        </w:rPr>
      </w:pPr>
    </w:p>
    <w:p w14:paraId="6F8BDA8E"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52. Sobre el pago en general los artículos 1626 y 1627 establecen lo siguiente:</w:t>
      </w:r>
    </w:p>
    <w:p w14:paraId="634C7225" w14:textId="77777777" w:rsidR="00626308" w:rsidRPr="001378F9" w:rsidRDefault="00626308" w:rsidP="00626308">
      <w:pPr>
        <w:spacing w:line="360" w:lineRule="auto"/>
        <w:ind w:right="-142"/>
        <w:contextualSpacing/>
        <w:jc w:val="both"/>
        <w:rPr>
          <w:rFonts w:ascii="Century Gothic" w:hAnsi="Century Gothic" w:cs="Arial"/>
          <w:sz w:val="24"/>
          <w:szCs w:val="24"/>
        </w:rPr>
      </w:pPr>
    </w:p>
    <w:p w14:paraId="06C3D953" w14:textId="77777777" w:rsidR="00626308" w:rsidRPr="003C4824" w:rsidRDefault="00626308" w:rsidP="00626308">
      <w:pPr>
        <w:ind w:left="567" w:right="567"/>
        <w:contextualSpacing/>
        <w:jc w:val="both"/>
        <w:rPr>
          <w:rFonts w:ascii="Century Gothic" w:hAnsi="Century Gothic" w:cs="Arial"/>
          <w:i/>
          <w:szCs w:val="24"/>
        </w:rPr>
      </w:pPr>
      <w:r w:rsidRPr="003C4824">
        <w:rPr>
          <w:rFonts w:ascii="Century Gothic" w:hAnsi="Century Gothic" w:cs="Arial"/>
          <w:i/>
          <w:szCs w:val="24"/>
        </w:rPr>
        <w:t>“Artículo 1626. El pago efectivo es la prestación de lo que se debe”.</w:t>
      </w:r>
    </w:p>
    <w:p w14:paraId="2274FD80" w14:textId="77777777" w:rsidR="00626308" w:rsidRPr="003C4824" w:rsidRDefault="00626308" w:rsidP="00626308">
      <w:pPr>
        <w:ind w:right="567"/>
        <w:contextualSpacing/>
        <w:jc w:val="both"/>
        <w:rPr>
          <w:rFonts w:ascii="Century Gothic" w:hAnsi="Century Gothic" w:cs="Arial"/>
          <w:i/>
          <w:szCs w:val="24"/>
        </w:rPr>
      </w:pPr>
    </w:p>
    <w:p w14:paraId="7D2DE1C0" w14:textId="77777777" w:rsidR="00626308" w:rsidRPr="003C4824" w:rsidRDefault="00626308" w:rsidP="00626308">
      <w:pPr>
        <w:ind w:left="567" w:right="567"/>
        <w:contextualSpacing/>
        <w:jc w:val="both"/>
        <w:rPr>
          <w:rFonts w:ascii="Century Gothic" w:hAnsi="Century Gothic" w:cs="Arial"/>
          <w:i/>
          <w:szCs w:val="24"/>
        </w:rPr>
      </w:pPr>
      <w:r w:rsidRPr="003C4824">
        <w:rPr>
          <w:rFonts w:ascii="Century Gothic" w:hAnsi="Century Gothic" w:cs="Arial"/>
          <w:i/>
          <w:szCs w:val="24"/>
        </w:rPr>
        <w:t>“Artículo 1627. El pago se hará bajo todos respectos en conformidad al tenor de la obligación; sin perjuicio de lo que en los casos especiales dispongan las leyes (…)”.</w:t>
      </w:r>
    </w:p>
    <w:p w14:paraId="643A832D" w14:textId="77777777" w:rsidR="00626308" w:rsidRDefault="00626308" w:rsidP="00626308">
      <w:pPr>
        <w:spacing w:line="360" w:lineRule="auto"/>
        <w:ind w:right="-142"/>
        <w:contextualSpacing/>
        <w:jc w:val="both"/>
        <w:rPr>
          <w:rFonts w:ascii="Century Gothic" w:hAnsi="Century Gothic" w:cs="Arial"/>
          <w:sz w:val="24"/>
          <w:szCs w:val="24"/>
        </w:rPr>
      </w:pPr>
    </w:p>
    <w:p w14:paraId="33C73C13"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53. De acuerdo con las normas en cita, en el caso bajo estudio el contratista estaba obligado a cumplir con sus obligaciones al tenor de lo acordado con la Secretaría de Educación: es decir, debía prestar el servicio de educación a 4000 niños en la zona rural del Departamento de Guaviare y no estaba obligado, en ningún caso, a prestar el servicio a más niños. En ese sentido, no es cierto que la parte demandante estuviera en la obligación de atender a más de 4000 niños y, por consiguiente, este cargo de la apelación también será rechazado.</w:t>
      </w:r>
    </w:p>
    <w:p w14:paraId="7D587FDD" w14:textId="77777777" w:rsidR="00626308" w:rsidRDefault="00626308" w:rsidP="00626308">
      <w:pPr>
        <w:spacing w:line="360" w:lineRule="auto"/>
        <w:ind w:right="-142"/>
        <w:contextualSpacing/>
        <w:jc w:val="both"/>
        <w:rPr>
          <w:rFonts w:ascii="Century Gothic" w:hAnsi="Century Gothic" w:cs="Arial"/>
          <w:b/>
          <w:sz w:val="24"/>
          <w:szCs w:val="24"/>
        </w:rPr>
      </w:pPr>
    </w:p>
    <w:p w14:paraId="472E2EC1"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54. Por último, en vista de que el Tribunal Administrativo de Meta no realizó un pronunciamiento sobre las pretensiones relativas a la liquidación del contrato No. 135 de 2006, corresponde a la Sala, de conformidad con el inciso segundo del artículo 311 del CPC, pronunciarse al respecto:</w:t>
      </w:r>
    </w:p>
    <w:p w14:paraId="51C48A7D" w14:textId="77777777" w:rsidR="00626308" w:rsidRDefault="00626308" w:rsidP="00626308">
      <w:pPr>
        <w:spacing w:line="360" w:lineRule="auto"/>
        <w:ind w:right="-142"/>
        <w:contextualSpacing/>
        <w:jc w:val="both"/>
        <w:rPr>
          <w:rFonts w:ascii="Century Gothic" w:hAnsi="Century Gothic" w:cs="Arial"/>
          <w:sz w:val="24"/>
          <w:szCs w:val="24"/>
        </w:rPr>
      </w:pPr>
    </w:p>
    <w:p w14:paraId="7C01B838"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55. E</w:t>
      </w:r>
      <w:r w:rsidRPr="00E8715E">
        <w:rPr>
          <w:rFonts w:ascii="Century Gothic" w:hAnsi="Century Gothic" w:cs="Arial"/>
          <w:sz w:val="24"/>
          <w:szCs w:val="24"/>
        </w:rPr>
        <w:t xml:space="preserve">n vista de que en el proceso no se demostró </w:t>
      </w:r>
      <w:r>
        <w:rPr>
          <w:rFonts w:ascii="Century Gothic" w:hAnsi="Century Gothic" w:cs="Arial"/>
          <w:sz w:val="24"/>
          <w:szCs w:val="24"/>
        </w:rPr>
        <w:t xml:space="preserve">la existencia de </w:t>
      </w:r>
      <w:r w:rsidRPr="00E8715E">
        <w:rPr>
          <w:rFonts w:ascii="Century Gothic" w:hAnsi="Century Gothic" w:cs="Arial"/>
          <w:sz w:val="24"/>
          <w:szCs w:val="24"/>
        </w:rPr>
        <w:t>obligaciones pendientes por cumplir de cada una de las partes respecto de su contraparte, la Sala liquidar</w:t>
      </w:r>
      <w:r>
        <w:rPr>
          <w:rFonts w:ascii="Century Gothic" w:hAnsi="Century Gothic" w:cs="Arial"/>
          <w:sz w:val="24"/>
          <w:szCs w:val="24"/>
        </w:rPr>
        <w:t xml:space="preserve">á el contrato No. 135 de 2006, </w:t>
      </w:r>
      <w:r w:rsidRPr="004D75B5">
        <w:rPr>
          <w:rFonts w:ascii="Century Gothic" w:hAnsi="Century Gothic" w:cs="Arial"/>
          <w:sz w:val="24"/>
          <w:szCs w:val="24"/>
        </w:rPr>
        <w:t>dejando a las partes a paz y salvo.</w:t>
      </w:r>
    </w:p>
    <w:p w14:paraId="6905423D" w14:textId="77777777" w:rsidR="00626308" w:rsidRDefault="00626308" w:rsidP="00626308">
      <w:pPr>
        <w:spacing w:line="360" w:lineRule="auto"/>
        <w:ind w:right="-142"/>
        <w:contextualSpacing/>
        <w:jc w:val="both"/>
        <w:rPr>
          <w:rFonts w:ascii="Century Gothic" w:hAnsi="Century Gothic" w:cs="Arial"/>
          <w:sz w:val="24"/>
          <w:szCs w:val="24"/>
        </w:rPr>
      </w:pPr>
    </w:p>
    <w:p w14:paraId="09CB0EC8" w14:textId="77777777" w:rsidR="00626308" w:rsidRPr="0009337F" w:rsidRDefault="00626308" w:rsidP="00626308">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2.5. Sobre la condena en costas</w:t>
      </w:r>
    </w:p>
    <w:p w14:paraId="4E02C25B" w14:textId="77777777" w:rsidR="00626308" w:rsidRPr="007B51A8" w:rsidRDefault="00626308" w:rsidP="00626308">
      <w:pPr>
        <w:spacing w:line="360" w:lineRule="auto"/>
        <w:ind w:right="-142"/>
        <w:contextualSpacing/>
        <w:jc w:val="both"/>
        <w:rPr>
          <w:rFonts w:ascii="Century Gothic" w:hAnsi="Century Gothic" w:cs="Arial"/>
          <w:sz w:val="24"/>
          <w:szCs w:val="24"/>
        </w:rPr>
      </w:pPr>
    </w:p>
    <w:p w14:paraId="5AE703A2"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56. </w:t>
      </w:r>
      <w:r w:rsidRPr="00E8715E">
        <w:rPr>
          <w:rFonts w:ascii="Century Gothic" w:hAnsi="Century Gothic" w:cs="Arial"/>
          <w:sz w:val="24"/>
          <w:szCs w:val="24"/>
        </w:rPr>
        <w:t>La Sala se abstendrá de condenar en costas porque no se dan los supuestos del a</w:t>
      </w:r>
      <w:r>
        <w:rPr>
          <w:rFonts w:ascii="Century Gothic" w:hAnsi="Century Gothic" w:cs="Arial"/>
          <w:sz w:val="24"/>
          <w:szCs w:val="24"/>
        </w:rPr>
        <w:t>rtículo 171 del CCA requeridos.</w:t>
      </w:r>
    </w:p>
    <w:p w14:paraId="6B83513D" w14:textId="77777777" w:rsidR="00626308" w:rsidRDefault="00626308" w:rsidP="00626308">
      <w:pPr>
        <w:spacing w:line="360" w:lineRule="auto"/>
        <w:ind w:right="-142"/>
        <w:contextualSpacing/>
        <w:jc w:val="both"/>
        <w:rPr>
          <w:rFonts w:ascii="Century Gothic" w:hAnsi="Century Gothic" w:cs="Arial"/>
          <w:sz w:val="24"/>
          <w:szCs w:val="24"/>
        </w:rPr>
      </w:pPr>
    </w:p>
    <w:p w14:paraId="27D086E0" w14:textId="77777777" w:rsidR="00626308" w:rsidRPr="008A2884" w:rsidRDefault="00626308" w:rsidP="00626308">
      <w:pPr>
        <w:spacing w:line="360" w:lineRule="auto"/>
        <w:ind w:right="-142"/>
        <w:contextualSpacing/>
        <w:jc w:val="center"/>
        <w:rPr>
          <w:rFonts w:ascii="Century Gothic" w:hAnsi="Century Gothic" w:cs="Arial"/>
          <w:sz w:val="24"/>
          <w:szCs w:val="24"/>
        </w:rPr>
      </w:pPr>
      <w:r>
        <w:rPr>
          <w:rFonts w:ascii="Century Gothic" w:hAnsi="Century Gothic" w:cs="Arial"/>
          <w:b/>
          <w:sz w:val="24"/>
          <w:szCs w:val="24"/>
        </w:rPr>
        <w:t>3. DECISIÓN</w:t>
      </w:r>
    </w:p>
    <w:p w14:paraId="05D300A4" w14:textId="77777777" w:rsidR="00626308" w:rsidRPr="007B51A8" w:rsidRDefault="00626308" w:rsidP="00626308">
      <w:pPr>
        <w:spacing w:line="360" w:lineRule="auto"/>
        <w:ind w:right="-142"/>
        <w:contextualSpacing/>
        <w:jc w:val="both"/>
        <w:rPr>
          <w:rFonts w:ascii="Century Gothic" w:hAnsi="Century Gothic" w:cs="Arial"/>
          <w:sz w:val="24"/>
          <w:szCs w:val="24"/>
        </w:rPr>
      </w:pPr>
    </w:p>
    <w:p w14:paraId="0ACC4F13"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57. </w:t>
      </w:r>
      <w:r w:rsidRPr="008C5249">
        <w:rPr>
          <w:rFonts w:ascii="Century Gothic" w:hAnsi="Century Gothic" w:cs="Arial"/>
          <w:sz w:val="24"/>
          <w:szCs w:val="24"/>
        </w:rPr>
        <w:t>En mérito de lo expuesto, el Consejo de Estado, Sala de lo Contencioso Administrativo, Sección Tercera, Subsección B, administrando justicia en nombre de la República y por autoridad de la ley,</w:t>
      </w:r>
    </w:p>
    <w:p w14:paraId="5B0247EB" w14:textId="77777777" w:rsidR="00626308" w:rsidRPr="00F0101B" w:rsidRDefault="00626308" w:rsidP="00626308">
      <w:pPr>
        <w:spacing w:line="360" w:lineRule="auto"/>
        <w:ind w:right="-142"/>
        <w:contextualSpacing/>
        <w:jc w:val="both"/>
        <w:rPr>
          <w:rFonts w:ascii="Century Gothic" w:hAnsi="Century Gothic" w:cs="Arial"/>
          <w:sz w:val="24"/>
          <w:szCs w:val="24"/>
        </w:rPr>
      </w:pPr>
    </w:p>
    <w:p w14:paraId="018DEF2C" w14:textId="77777777" w:rsidR="00626308" w:rsidRPr="009457E9" w:rsidRDefault="00626308" w:rsidP="00626308">
      <w:pPr>
        <w:pStyle w:val="Ttulo1"/>
        <w:spacing w:line="360" w:lineRule="auto"/>
        <w:ind w:right="-142"/>
        <w:contextualSpacing/>
        <w:jc w:val="center"/>
        <w:rPr>
          <w:rFonts w:ascii="Century Gothic" w:eastAsia="Calibri" w:hAnsi="Century Gothic" w:cs="Arial"/>
          <w:b/>
          <w:color w:val="auto"/>
          <w:sz w:val="24"/>
          <w:szCs w:val="24"/>
        </w:rPr>
      </w:pPr>
      <w:r w:rsidRPr="009457E9">
        <w:rPr>
          <w:rFonts w:ascii="Century Gothic" w:eastAsia="Calibri" w:hAnsi="Century Gothic" w:cs="Arial"/>
          <w:b/>
          <w:color w:val="auto"/>
          <w:sz w:val="24"/>
          <w:szCs w:val="24"/>
        </w:rPr>
        <w:t>RESUELVE</w:t>
      </w:r>
    </w:p>
    <w:p w14:paraId="3D1D1492" w14:textId="77777777" w:rsidR="00626308" w:rsidRPr="008C5249" w:rsidRDefault="00626308" w:rsidP="00626308">
      <w:pPr>
        <w:widowControl w:val="0"/>
        <w:spacing w:line="360" w:lineRule="auto"/>
        <w:ind w:right="-142"/>
        <w:contextualSpacing/>
        <w:jc w:val="both"/>
        <w:rPr>
          <w:rFonts w:ascii="Century Gothic" w:hAnsi="Century Gothic" w:cs="Arial"/>
          <w:sz w:val="24"/>
          <w:szCs w:val="24"/>
        </w:rPr>
      </w:pPr>
    </w:p>
    <w:p w14:paraId="1FAAF79D" w14:textId="77777777" w:rsidR="00626308" w:rsidRDefault="00626308" w:rsidP="00626308">
      <w:pPr>
        <w:widowControl w:val="0"/>
        <w:spacing w:line="360" w:lineRule="auto"/>
        <w:ind w:right="-142"/>
        <w:jc w:val="both"/>
        <w:rPr>
          <w:rFonts w:ascii="Century Gothic" w:hAnsi="Century Gothic"/>
          <w:sz w:val="24"/>
          <w:szCs w:val="24"/>
        </w:rPr>
      </w:pPr>
      <w:r>
        <w:rPr>
          <w:rFonts w:ascii="Century Gothic" w:hAnsi="Century Gothic"/>
          <w:b/>
          <w:sz w:val="24"/>
          <w:szCs w:val="24"/>
        </w:rPr>
        <w:t>PRIMERO: CONFIRMAR</w:t>
      </w:r>
      <w:r w:rsidRPr="00AC18E7">
        <w:rPr>
          <w:rFonts w:ascii="Century Gothic" w:hAnsi="Century Gothic"/>
          <w:sz w:val="24"/>
          <w:szCs w:val="24"/>
        </w:rPr>
        <w:t xml:space="preserve"> la </w:t>
      </w:r>
      <w:proofErr w:type="gramStart"/>
      <w:r>
        <w:rPr>
          <w:rFonts w:ascii="Century Gothic" w:hAnsi="Century Gothic"/>
          <w:sz w:val="24"/>
          <w:szCs w:val="24"/>
        </w:rPr>
        <w:t>Sentencia  de</w:t>
      </w:r>
      <w:proofErr w:type="gramEnd"/>
      <w:r>
        <w:rPr>
          <w:rFonts w:ascii="Century Gothic" w:hAnsi="Century Gothic"/>
          <w:sz w:val="24"/>
          <w:szCs w:val="24"/>
        </w:rPr>
        <w:t xml:space="preserve"> 14</w:t>
      </w:r>
      <w:r w:rsidRPr="00AC18E7">
        <w:rPr>
          <w:rFonts w:ascii="Century Gothic" w:hAnsi="Century Gothic"/>
          <w:sz w:val="24"/>
          <w:szCs w:val="24"/>
        </w:rPr>
        <w:t xml:space="preserve"> d</w:t>
      </w:r>
      <w:r>
        <w:rPr>
          <w:rFonts w:ascii="Century Gothic" w:hAnsi="Century Gothic"/>
          <w:sz w:val="24"/>
          <w:szCs w:val="24"/>
        </w:rPr>
        <w:t>e febrero de 2012,</w:t>
      </w:r>
      <w:r w:rsidRPr="00AC18E7">
        <w:rPr>
          <w:rFonts w:ascii="Century Gothic" w:hAnsi="Century Gothic"/>
          <w:sz w:val="24"/>
          <w:szCs w:val="24"/>
        </w:rPr>
        <w:t xml:space="preserve"> </w:t>
      </w:r>
      <w:r>
        <w:rPr>
          <w:rFonts w:ascii="Century Gothic" w:hAnsi="Century Gothic"/>
          <w:sz w:val="24"/>
          <w:szCs w:val="24"/>
        </w:rPr>
        <w:t xml:space="preserve">proferida </w:t>
      </w:r>
      <w:r w:rsidRPr="00AC18E7">
        <w:rPr>
          <w:rFonts w:ascii="Century Gothic" w:hAnsi="Century Gothic"/>
          <w:sz w:val="24"/>
          <w:szCs w:val="24"/>
        </w:rPr>
        <w:t>por el Tribuna</w:t>
      </w:r>
      <w:r>
        <w:rPr>
          <w:rFonts w:ascii="Century Gothic" w:hAnsi="Century Gothic"/>
          <w:sz w:val="24"/>
          <w:szCs w:val="24"/>
        </w:rPr>
        <w:t>l Administrativo de Meta.</w:t>
      </w:r>
    </w:p>
    <w:p w14:paraId="7CEA076A" w14:textId="77777777" w:rsidR="00626308" w:rsidRDefault="00626308" w:rsidP="00626308">
      <w:pPr>
        <w:widowControl w:val="0"/>
        <w:spacing w:line="360" w:lineRule="auto"/>
        <w:ind w:right="-142"/>
        <w:jc w:val="both"/>
        <w:rPr>
          <w:rFonts w:ascii="Century Gothic" w:hAnsi="Century Gothic"/>
          <w:sz w:val="24"/>
          <w:szCs w:val="24"/>
        </w:rPr>
      </w:pPr>
    </w:p>
    <w:p w14:paraId="392B755B" w14:textId="77777777" w:rsidR="00626308" w:rsidRPr="00E848F8" w:rsidRDefault="00626308" w:rsidP="00626308">
      <w:pPr>
        <w:widowControl w:val="0"/>
        <w:spacing w:line="360" w:lineRule="auto"/>
        <w:ind w:right="-142"/>
        <w:jc w:val="both"/>
        <w:rPr>
          <w:rFonts w:ascii="Century Gothic" w:hAnsi="Century Gothic"/>
          <w:sz w:val="24"/>
          <w:szCs w:val="24"/>
        </w:rPr>
      </w:pPr>
      <w:r>
        <w:rPr>
          <w:rFonts w:ascii="Century Gothic" w:hAnsi="Century Gothic"/>
          <w:b/>
          <w:sz w:val="24"/>
          <w:szCs w:val="24"/>
        </w:rPr>
        <w:t xml:space="preserve">SEGUNDO: COMPLEMENTAR </w:t>
      </w:r>
      <w:r>
        <w:rPr>
          <w:rFonts w:ascii="Century Gothic" w:hAnsi="Century Gothic"/>
          <w:sz w:val="24"/>
          <w:szCs w:val="24"/>
        </w:rPr>
        <w:t>la Sentencia de 14 de febrero de 2012,</w:t>
      </w:r>
      <w:r w:rsidRPr="00AC18E7">
        <w:rPr>
          <w:rFonts w:ascii="Century Gothic" w:hAnsi="Century Gothic"/>
          <w:sz w:val="24"/>
          <w:szCs w:val="24"/>
        </w:rPr>
        <w:t xml:space="preserve"> </w:t>
      </w:r>
      <w:r>
        <w:rPr>
          <w:rFonts w:ascii="Century Gothic" w:hAnsi="Century Gothic"/>
          <w:sz w:val="24"/>
          <w:szCs w:val="24"/>
        </w:rPr>
        <w:t xml:space="preserve">proferida </w:t>
      </w:r>
      <w:r w:rsidRPr="00AC18E7">
        <w:rPr>
          <w:rFonts w:ascii="Century Gothic" w:hAnsi="Century Gothic"/>
          <w:sz w:val="24"/>
          <w:szCs w:val="24"/>
        </w:rPr>
        <w:t>por el Tribuna</w:t>
      </w:r>
      <w:r>
        <w:rPr>
          <w:rFonts w:ascii="Century Gothic" w:hAnsi="Century Gothic"/>
          <w:sz w:val="24"/>
          <w:szCs w:val="24"/>
        </w:rPr>
        <w:t>l Administrativo de Meta, a la cual se agregará el siguiente resuelve:</w:t>
      </w:r>
    </w:p>
    <w:p w14:paraId="5341E3AC" w14:textId="77777777" w:rsidR="00626308" w:rsidRPr="00AC18E7" w:rsidRDefault="00626308" w:rsidP="00626308">
      <w:pPr>
        <w:widowControl w:val="0"/>
        <w:spacing w:line="360" w:lineRule="auto"/>
        <w:ind w:right="-142"/>
        <w:jc w:val="both"/>
        <w:rPr>
          <w:rFonts w:ascii="Century Gothic" w:hAnsi="Century Gothic"/>
          <w:sz w:val="24"/>
          <w:szCs w:val="24"/>
        </w:rPr>
      </w:pPr>
    </w:p>
    <w:p w14:paraId="21C81F7E" w14:textId="77777777" w:rsidR="00626308" w:rsidRDefault="00626308" w:rsidP="00626308">
      <w:pPr>
        <w:widowControl w:val="0"/>
        <w:spacing w:line="360" w:lineRule="auto"/>
        <w:ind w:left="708" w:right="-142"/>
        <w:jc w:val="both"/>
        <w:rPr>
          <w:rFonts w:ascii="Century Gothic" w:hAnsi="Century Gothic"/>
          <w:i/>
          <w:sz w:val="24"/>
          <w:szCs w:val="24"/>
        </w:rPr>
      </w:pPr>
      <w:r w:rsidRPr="00B72382">
        <w:rPr>
          <w:rFonts w:ascii="Century Gothic" w:hAnsi="Century Gothic"/>
          <w:b/>
          <w:i/>
          <w:sz w:val="24"/>
          <w:szCs w:val="24"/>
        </w:rPr>
        <w:t xml:space="preserve">“CUARTO: DECLARAR </w:t>
      </w:r>
      <w:r w:rsidRPr="00B72382">
        <w:rPr>
          <w:rFonts w:ascii="Century Gothic" w:hAnsi="Century Gothic"/>
          <w:i/>
          <w:sz w:val="24"/>
          <w:szCs w:val="24"/>
        </w:rPr>
        <w:t>liquidado judicialmente</w:t>
      </w:r>
      <w:r w:rsidRPr="00B72382">
        <w:rPr>
          <w:rFonts w:ascii="Century Gothic" w:hAnsi="Century Gothic"/>
          <w:b/>
          <w:i/>
          <w:sz w:val="24"/>
          <w:szCs w:val="24"/>
        </w:rPr>
        <w:t xml:space="preserve"> </w:t>
      </w:r>
      <w:r w:rsidRPr="00B72382">
        <w:rPr>
          <w:rFonts w:ascii="Century Gothic" w:hAnsi="Century Gothic"/>
          <w:i/>
          <w:sz w:val="24"/>
          <w:szCs w:val="24"/>
        </w:rPr>
        <w:t>el contrato No. 135 de 2006, en los términos expuestos en la parte motiva de esta providencia”.</w:t>
      </w:r>
    </w:p>
    <w:p w14:paraId="156CEEBB" w14:textId="77777777" w:rsidR="00626308" w:rsidRPr="00437851" w:rsidRDefault="00626308" w:rsidP="00626308">
      <w:pPr>
        <w:widowControl w:val="0"/>
        <w:spacing w:line="360" w:lineRule="auto"/>
        <w:ind w:left="708" w:right="-142"/>
        <w:jc w:val="both"/>
        <w:rPr>
          <w:rFonts w:ascii="Century Gothic" w:hAnsi="Century Gothic"/>
          <w:i/>
          <w:sz w:val="24"/>
          <w:szCs w:val="24"/>
        </w:rPr>
      </w:pPr>
    </w:p>
    <w:p w14:paraId="0F0F3A21" w14:textId="77777777" w:rsidR="00626308" w:rsidRPr="00913EDA" w:rsidRDefault="00626308" w:rsidP="00626308">
      <w:pPr>
        <w:widowControl w:val="0"/>
        <w:spacing w:line="360" w:lineRule="auto"/>
        <w:ind w:right="-142"/>
        <w:jc w:val="both"/>
        <w:rPr>
          <w:rFonts w:ascii="Century Gothic" w:hAnsi="Century Gothic" w:cs="Arial"/>
          <w:sz w:val="24"/>
          <w:szCs w:val="24"/>
        </w:rPr>
      </w:pPr>
      <w:r>
        <w:rPr>
          <w:rFonts w:ascii="Century Gothic" w:hAnsi="Century Gothic"/>
          <w:b/>
          <w:sz w:val="24"/>
          <w:szCs w:val="24"/>
        </w:rPr>
        <w:t xml:space="preserve">TERCERO: </w:t>
      </w:r>
      <w:r w:rsidRPr="00AC18E7">
        <w:rPr>
          <w:rFonts w:ascii="Century Gothic" w:hAnsi="Century Gothic"/>
          <w:sz w:val="24"/>
          <w:szCs w:val="24"/>
        </w:rPr>
        <w:t>sin condena en costas.</w:t>
      </w:r>
    </w:p>
    <w:p w14:paraId="5635AE52" w14:textId="77777777" w:rsidR="00626308" w:rsidRPr="008B0B68" w:rsidRDefault="00626308" w:rsidP="00626308">
      <w:pPr>
        <w:widowControl w:val="0"/>
        <w:spacing w:line="360" w:lineRule="auto"/>
        <w:ind w:right="-142"/>
        <w:jc w:val="both"/>
        <w:rPr>
          <w:rFonts w:ascii="Century Gothic" w:hAnsi="Century Gothic" w:cs="Arial"/>
          <w:sz w:val="24"/>
          <w:szCs w:val="24"/>
        </w:rPr>
      </w:pPr>
    </w:p>
    <w:p w14:paraId="646D71AE" w14:textId="77777777" w:rsidR="00626308" w:rsidRDefault="00626308" w:rsidP="00626308">
      <w:pPr>
        <w:widowControl w:val="0"/>
        <w:spacing w:line="360" w:lineRule="auto"/>
        <w:ind w:right="-142"/>
        <w:jc w:val="both"/>
        <w:rPr>
          <w:rFonts w:ascii="Century Gothic" w:hAnsi="Century Gothic"/>
          <w:bCs/>
          <w:sz w:val="24"/>
          <w:szCs w:val="24"/>
        </w:rPr>
      </w:pPr>
      <w:r w:rsidRPr="003A1032">
        <w:rPr>
          <w:rFonts w:ascii="Century Gothic" w:hAnsi="Century Gothic"/>
          <w:sz w:val="24"/>
          <w:szCs w:val="24"/>
        </w:rPr>
        <w:lastRenderedPageBreak/>
        <w:t>P</w:t>
      </w:r>
      <w:r w:rsidRPr="003A1032">
        <w:rPr>
          <w:rFonts w:ascii="Century Gothic" w:hAnsi="Century Gothic"/>
          <w:bCs/>
          <w:sz w:val="24"/>
          <w:szCs w:val="24"/>
        </w:rPr>
        <w:t xml:space="preserve">or Secretaría, una vez de ejecutoriado este proveído, </w:t>
      </w:r>
      <w:r w:rsidRPr="003A1032">
        <w:rPr>
          <w:rFonts w:ascii="Century Gothic" w:hAnsi="Century Gothic"/>
          <w:b/>
          <w:bCs/>
          <w:sz w:val="24"/>
          <w:szCs w:val="24"/>
        </w:rPr>
        <w:t xml:space="preserve">DEVUÉLVASE </w:t>
      </w:r>
      <w:r w:rsidRPr="003A1032">
        <w:rPr>
          <w:rFonts w:ascii="Century Gothic" w:hAnsi="Century Gothic"/>
          <w:bCs/>
          <w:sz w:val="24"/>
          <w:szCs w:val="24"/>
        </w:rPr>
        <w:t>el expediente al Tribunal de origen.</w:t>
      </w:r>
    </w:p>
    <w:p w14:paraId="55AEFDA5" w14:textId="77777777" w:rsidR="00626308" w:rsidRDefault="00626308" w:rsidP="00626308">
      <w:pPr>
        <w:widowControl w:val="0"/>
        <w:spacing w:line="360" w:lineRule="auto"/>
        <w:ind w:right="-142"/>
        <w:jc w:val="both"/>
        <w:rPr>
          <w:rFonts w:ascii="Century Gothic" w:hAnsi="Century Gothic"/>
          <w:bCs/>
          <w:sz w:val="24"/>
          <w:szCs w:val="24"/>
        </w:rPr>
      </w:pPr>
    </w:p>
    <w:p w14:paraId="35459030" w14:textId="77777777" w:rsidR="00626308" w:rsidRPr="00D34179" w:rsidRDefault="00626308" w:rsidP="00626308">
      <w:pPr>
        <w:overflowPunct w:val="0"/>
        <w:autoSpaceDE w:val="0"/>
        <w:autoSpaceDN w:val="0"/>
        <w:adjustRightInd w:val="0"/>
        <w:spacing w:line="360" w:lineRule="auto"/>
        <w:ind w:right="-142"/>
        <w:contextualSpacing/>
        <w:textAlignment w:val="baseline"/>
        <w:rPr>
          <w:rFonts w:ascii="Century Gothic" w:hAnsi="Century Gothic" w:cs="Arial"/>
          <w:sz w:val="24"/>
          <w:szCs w:val="24"/>
        </w:rPr>
      </w:pPr>
    </w:p>
    <w:p w14:paraId="48B954D5" w14:textId="77777777" w:rsidR="00626308" w:rsidRPr="00D34179" w:rsidRDefault="00626308" w:rsidP="00626308">
      <w:pPr>
        <w:spacing w:line="360" w:lineRule="auto"/>
        <w:ind w:right="-142"/>
        <w:contextualSpacing/>
        <w:jc w:val="center"/>
        <w:rPr>
          <w:rFonts w:ascii="Century Gothic" w:hAnsi="Century Gothic" w:cs="Arial"/>
          <w:b/>
          <w:snapToGrid w:val="0"/>
          <w:sz w:val="24"/>
          <w:szCs w:val="24"/>
        </w:rPr>
      </w:pPr>
      <w:r w:rsidRPr="00D34179">
        <w:rPr>
          <w:rFonts w:ascii="Century Gothic" w:hAnsi="Century Gothic" w:cs="Arial"/>
          <w:b/>
          <w:snapToGrid w:val="0"/>
          <w:sz w:val="24"/>
          <w:szCs w:val="24"/>
        </w:rPr>
        <w:t>NOTIFÍQUESE Y CÚMPLASE</w:t>
      </w:r>
    </w:p>
    <w:p w14:paraId="08F84F97" w14:textId="77777777" w:rsidR="00626308" w:rsidRDefault="00626308" w:rsidP="00626308">
      <w:pPr>
        <w:spacing w:line="360" w:lineRule="auto"/>
        <w:ind w:right="-142"/>
        <w:contextualSpacing/>
        <w:rPr>
          <w:rFonts w:ascii="Century Gothic" w:hAnsi="Century Gothic" w:cs="Arial"/>
          <w:b/>
          <w:snapToGrid w:val="0"/>
          <w:sz w:val="24"/>
          <w:szCs w:val="24"/>
        </w:rPr>
      </w:pPr>
    </w:p>
    <w:p w14:paraId="39121006" w14:textId="77777777" w:rsidR="00626308" w:rsidRDefault="00626308" w:rsidP="00626308">
      <w:pPr>
        <w:spacing w:line="360" w:lineRule="auto"/>
        <w:ind w:right="-142"/>
        <w:contextualSpacing/>
        <w:rPr>
          <w:rFonts w:ascii="Century Gothic" w:hAnsi="Century Gothic" w:cs="Arial"/>
          <w:b/>
          <w:snapToGrid w:val="0"/>
          <w:sz w:val="24"/>
          <w:szCs w:val="24"/>
        </w:rPr>
      </w:pPr>
    </w:p>
    <w:p w14:paraId="04FD8A8E" w14:textId="77777777" w:rsidR="00626308" w:rsidRDefault="00626308" w:rsidP="00626308">
      <w:pPr>
        <w:spacing w:line="360" w:lineRule="auto"/>
        <w:ind w:right="-142"/>
        <w:contextualSpacing/>
        <w:rPr>
          <w:rFonts w:ascii="Century Gothic" w:hAnsi="Century Gothic" w:cs="Arial"/>
          <w:b/>
          <w:snapToGrid w:val="0"/>
          <w:sz w:val="24"/>
          <w:szCs w:val="24"/>
        </w:rPr>
      </w:pPr>
    </w:p>
    <w:p w14:paraId="0DB90AEF" w14:textId="77777777" w:rsidR="00626308" w:rsidRDefault="00626308" w:rsidP="00626308">
      <w:pPr>
        <w:spacing w:line="360" w:lineRule="auto"/>
        <w:ind w:right="-142"/>
        <w:contextualSpacing/>
        <w:jc w:val="both"/>
        <w:rPr>
          <w:rFonts w:ascii="Century Gothic" w:hAnsi="Century Gothic" w:cs="Arial"/>
          <w:sz w:val="24"/>
          <w:szCs w:val="24"/>
        </w:rPr>
      </w:pPr>
      <w:r>
        <w:rPr>
          <w:rFonts w:ascii="Century Gothic" w:hAnsi="Century Gothic" w:cs="Arial"/>
          <w:b/>
          <w:sz w:val="24"/>
          <w:szCs w:val="24"/>
        </w:rPr>
        <w:t xml:space="preserve">RAMIRO PAZOS GUERRERO </w:t>
      </w:r>
      <w:r>
        <w:rPr>
          <w:rFonts w:ascii="Century Gothic" w:hAnsi="Century Gothic" w:cs="Arial"/>
          <w:b/>
          <w:sz w:val="24"/>
          <w:szCs w:val="24"/>
        </w:rPr>
        <w:tab/>
      </w:r>
      <w:r>
        <w:rPr>
          <w:rFonts w:ascii="Century Gothic" w:hAnsi="Century Gothic" w:cs="Arial"/>
          <w:b/>
          <w:sz w:val="24"/>
          <w:szCs w:val="24"/>
        </w:rPr>
        <w:tab/>
        <w:t xml:space="preserve">                     MARTÍN BERMÚDEZ MUÑOZ  </w:t>
      </w:r>
      <w:r>
        <w:rPr>
          <w:rFonts w:ascii="Century Gothic" w:hAnsi="Century Gothic" w:cs="Arial"/>
          <w:sz w:val="24"/>
          <w:szCs w:val="24"/>
        </w:rPr>
        <w:t xml:space="preserve">    </w:t>
      </w:r>
      <w:r w:rsidRPr="00D34179">
        <w:rPr>
          <w:rFonts w:ascii="Century Gothic" w:hAnsi="Century Gothic" w:cs="Arial"/>
          <w:sz w:val="24"/>
          <w:szCs w:val="24"/>
        </w:rPr>
        <w:t xml:space="preserve">   </w:t>
      </w:r>
      <w:r>
        <w:rPr>
          <w:rFonts w:ascii="Century Gothic" w:hAnsi="Century Gothic" w:cs="Arial"/>
          <w:sz w:val="24"/>
          <w:szCs w:val="24"/>
        </w:rPr>
        <w:t xml:space="preserve">                             </w:t>
      </w:r>
    </w:p>
    <w:p w14:paraId="0EE51FC9" w14:textId="77777777" w:rsidR="00626308" w:rsidRDefault="00626308" w:rsidP="00626308">
      <w:pPr>
        <w:spacing w:line="360" w:lineRule="auto"/>
        <w:ind w:right="-142"/>
        <w:contextualSpacing/>
        <w:jc w:val="both"/>
        <w:rPr>
          <w:rFonts w:ascii="Century Gothic" w:hAnsi="Century Gothic" w:cs="Arial"/>
          <w:sz w:val="24"/>
          <w:szCs w:val="24"/>
        </w:rPr>
      </w:pPr>
    </w:p>
    <w:p w14:paraId="070114E6" w14:textId="77777777" w:rsidR="00626308" w:rsidRDefault="00626308" w:rsidP="00626308">
      <w:pPr>
        <w:spacing w:line="360" w:lineRule="auto"/>
        <w:ind w:right="-142"/>
        <w:contextualSpacing/>
        <w:jc w:val="both"/>
        <w:rPr>
          <w:rFonts w:ascii="Century Gothic" w:hAnsi="Century Gothic" w:cs="Arial"/>
          <w:sz w:val="24"/>
          <w:szCs w:val="24"/>
        </w:rPr>
      </w:pPr>
    </w:p>
    <w:p w14:paraId="4F8B7BD8" w14:textId="77777777" w:rsidR="00626308" w:rsidRDefault="00626308" w:rsidP="00626308">
      <w:pPr>
        <w:spacing w:line="360" w:lineRule="auto"/>
        <w:ind w:right="-142"/>
        <w:contextualSpacing/>
        <w:jc w:val="both"/>
        <w:rPr>
          <w:rFonts w:ascii="Century Gothic" w:hAnsi="Century Gothic" w:cs="Arial"/>
          <w:sz w:val="24"/>
          <w:szCs w:val="24"/>
        </w:rPr>
      </w:pPr>
    </w:p>
    <w:p w14:paraId="351AE177" w14:textId="77777777" w:rsidR="00626308" w:rsidRDefault="00626308" w:rsidP="00626308">
      <w:pPr>
        <w:spacing w:line="360" w:lineRule="auto"/>
        <w:ind w:right="-142"/>
        <w:contextualSpacing/>
        <w:jc w:val="center"/>
        <w:rPr>
          <w:rFonts w:ascii="Century Gothic" w:hAnsi="Century Gothic" w:cs="Arial"/>
          <w:sz w:val="24"/>
          <w:szCs w:val="24"/>
        </w:rPr>
      </w:pPr>
      <w:r w:rsidRPr="00D34179">
        <w:rPr>
          <w:rFonts w:ascii="Century Gothic" w:hAnsi="Century Gothic" w:cs="Arial"/>
          <w:b/>
          <w:snapToGrid w:val="0"/>
          <w:sz w:val="24"/>
          <w:szCs w:val="24"/>
        </w:rPr>
        <w:t>ALBERTO MONTAÑA PLATA</w:t>
      </w:r>
    </w:p>
    <w:p w14:paraId="63485D75" w14:textId="77777777" w:rsidR="00626308" w:rsidRPr="007B51A8" w:rsidRDefault="00626308" w:rsidP="00626308">
      <w:pPr>
        <w:spacing w:line="360" w:lineRule="auto"/>
        <w:ind w:right="-142"/>
        <w:contextualSpacing/>
        <w:jc w:val="both"/>
        <w:rPr>
          <w:rFonts w:ascii="Century Gothic" w:hAnsi="Century Gothic" w:cs="Arial"/>
          <w:sz w:val="24"/>
          <w:szCs w:val="24"/>
        </w:rPr>
      </w:pPr>
    </w:p>
    <w:p w14:paraId="6A36396D" w14:textId="77777777" w:rsidR="00626308" w:rsidRDefault="00626308" w:rsidP="00626308">
      <w:pPr>
        <w:ind w:right="-142"/>
      </w:pPr>
    </w:p>
    <w:p w14:paraId="3D460854" w14:textId="77777777" w:rsidR="00626308" w:rsidRDefault="00626308" w:rsidP="00626308"/>
    <w:p w14:paraId="42BA506A" w14:textId="77777777" w:rsidR="00A42F1C" w:rsidRPr="008B2995" w:rsidRDefault="00A42F1C" w:rsidP="00A42F1C">
      <w:pPr>
        <w:rPr>
          <w:rFonts w:ascii="Arial" w:hAnsi="Arial" w:cs="Arial"/>
          <w:sz w:val="24"/>
          <w:szCs w:val="24"/>
        </w:rPr>
      </w:pPr>
    </w:p>
    <w:p w14:paraId="00ABBA71" w14:textId="77777777" w:rsidR="005C79DA" w:rsidRDefault="005C79DA"/>
    <w:sectPr w:rsidR="005C79DA" w:rsidSect="00ED1C82">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87B88" w14:textId="77777777" w:rsidR="00C56D9D" w:rsidRDefault="00C56D9D" w:rsidP="00626308">
      <w:r>
        <w:separator/>
      </w:r>
    </w:p>
  </w:endnote>
  <w:endnote w:type="continuationSeparator" w:id="0">
    <w:p w14:paraId="602F7FA4" w14:textId="77777777" w:rsidR="00C56D9D" w:rsidRDefault="00C56D9D" w:rsidP="0062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4D0B5" w14:textId="77777777" w:rsidR="00C56D9D" w:rsidRDefault="00C56D9D" w:rsidP="00626308">
      <w:r>
        <w:separator/>
      </w:r>
    </w:p>
  </w:footnote>
  <w:footnote w:type="continuationSeparator" w:id="0">
    <w:p w14:paraId="290C538C" w14:textId="77777777" w:rsidR="00C56D9D" w:rsidRDefault="00C56D9D" w:rsidP="00626308">
      <w:r>
        <w:continuationSeparator/>
      </w:r>
    </w:p>
  </w:footnote>
  <w:footnote w:id="1">
    <w:p w14:paraId="48B9FFC2" w14:textId="77777777" w:rsidR="00626308" w:rsidRPr="0082751A" w:rsidRDefault="00626308" w:rsidP="00626308">
      <w:pPr>
        <w:pStyle w:val="Textonotapie"/>
        <w:jc w:val="both"/>
        <w:rPr>
          <w:rFonts w:ascii="Arial" w:hAnsi="Arial" w:cs="Arial"/>
          <w:i/>
        </w:rPr>
      </w:pPr>
      <w:r w:rsidRPr="0082751A">
        <w:rPr>
          <w:rStyle w:val="Refdenotaalpie"/>
          <w:rFonts w:ascii="Arial" w:eastAsia="Calibri" w:hAnsi="Arial" w:cs="Arial"/>
        </w:rPr>
        <w:footnoteRef/>
      </w:r>
      <w:r w:rsidRPr="0082751A">
        <w:rPr>
          <w:rFonts w:ascii="Arial" w:hAnsi="Arial" w:cs="Arial"/>
        </w:rPr>
        <w:t xml:space="preserve"> </w:t>
      </w:r>
      <w:r>
        <w:rPr>
          <w:rFonts w:ascii="Century Gothic" w:hAnsi="Century Gothic"/>
          <w:lang w:val="es-CO"/>
        </w:rPr>
        <w:t>Folios 1-16 del cuaderno 2.</w:t>
      </w:r>
    </w:p>
  </w:footnote>
  <w:footnote w:id="2">
    <w:p w14:paraId="22959CA8" w14:textId="77777777" w:rsidR="00626308" w:rsidRPr="005221A1" w:rsidRDefault="00626308" w:rsidP="00626308">
      <w:pPr>
        <w:pStyle w:val="Textonotapie"/>
        <w:rPr>
          <w:rFonts w:ascii="Century Gothic" w:hAnsi="Century Gothic"/>
          <w:lang w:val="es-CO"/>
        </w:rPr>
      </w:pPr>
      <w:r w:rsidRPr="005221A1">
        <w:rPr>
          <w:rStyle w:val="Refdenotaalpie"/>
        </w:rPr>
        <w:footnoteRef/>
      </w:r>
      <w:r w:rsidRPr="005221A1">
        <w:t xml:space="preserve"> </w:t>
      </w:r>
      <w:r>
        <w:rPr>
          <w:rFonts w:ascii="Century Gothic" w:hAnsi="Century Gothic"/>
          <w:lang w:val="es-CO"/>
        </w:rPr>
        <w:t>Folios 46-47 del cuaderno 2.</w:t>
      </w:r>
    </w:p>
  </w:footnote>
  <w:footnote w:id="3">
    <w:p w14:paraId="60A79113" w14:textId="77777777" w:rsidR="00626308" w:rsidRPr="00721D83" w:rsidRDefault="00626308" w:rsidP="00626308">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63-66 del cuaderno 2.</w:t>
      </w:r>
    </w:p>
  </w:footnote>
  <w:footnote w:id="4">
    <w:p w14:paraId="17758103" w14:textId="77777777" w:rsidR="00626308" w:rsidRPr="00D5090D" w:rsidRDefault="00626308" w:rsidP="00626308">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101-105 del cuaderno 2.</w:t>
      </w:r>
    </w:p>
  </w:footnote>
  <w:footnote w:id="5">
    <w:p w14:paraId="11E31447" w14:textId="77777777" w:rsidR="00626308" w:rsidRPr="004F6430" w:rsidRDefault="00626308" w:rsidP="00626308">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133 del cuaderno 2.</w:t>
      </w:r>
    </w:p>
  </w:footnote>
  <w:footnote w:id="6">
    <w:p w14:paraId="4F8DA682" w14:textId="77777777" w:rsidR="00626308" w:rsidRPr="00EC68CD" w:rsidRDefault="00626308" w:rsidP="00626308">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143-150 del cuaderno 2</w:t>
      </w:r>
      <w:r>
        <w:rPr>
          <w:rFonts w:ascii="Century Gothic" w:hAnsi="Century Gothic" w:cs="Arial"/>
          <w:szCs w:val="24"/>
        </w:rPr>
        <w:t>.</w:t>
      </w:r>
    </w:p>
  </w:footnote>
  <w:footnote w:id="7">
    <w:p w14:paraId="0839A458" w14:textId="77777777" w:rsidR="00626308" w:rsidRPr="00945CCE" w:rsidRDefault="00626308" w:rsidP="00626308">
      <w:pPr>
        <w:pStyle w:val="Textonotapie"/>
        <w:rPr>
          <w:rFonts w:ascii="Century Gothic" w:hAnsi="Century Gothic"/>
          <w:lang w:val="es-CO"/>
        </w:rPr>
      </w:pPr>
      <w:r w:rsidRPr="00984B0E">
        <w:rPr>
          <w:rStyle w:val="Refdenotaalpie"/>
        </w:rPr>
        <w:footnoteRef/>
      </w:r>
      <w:r w:rsidRPr="00984B0E">
        <w:t xml:space="preserve"> </w:t>
      </w:r>
      <w:r>
        <w:rPr>
          <w:rFonts w:ascii="Century Gothic" w:hAnsi="Century Gothic"/>
          <w:lang w:val="es-CO"/>
        </w:rPr>
        <w:t>Folios 152-168 del cuaderno principal.</w:t>
      </w:r>
    </w:p>
  </w:footnote>
  <w:footnote w:id="8">
    <w:p w14:paraId="266272A7" w14:textId="77777777" w:rsidR="00626308" w:rsidRPr="00C5413D" w:rsidRDefault="00626308" w:rsidP="00626308">
      <w:pPr>
        <w:pStyle w:val="Textonotapie"/>
        <w:tabs>
          <w:tab w:val="left" w:pos="5560"/>
        </w:tabs>
        <w:rPr>
          <w:rFonts w:ascii="Century Gothic" w:hAnsi="Century Gothic"/>
          <w:lang w:val="es-CO"/>
        </w:rPr>
      </w:pPr>
      <w:r>
        <w:rPr>
          <w:rStyle w:val="Refdenotaalpie"/>
        </w:rPr>
        <w:footnoteRef/>
      </w:r>
      <w:r>
        <w:t xml:space="preserve"> </w:t>
      </w:r>
      <w:r>
        <w:rPr>
          <w:rFonts w:ascii="Century Gothic" w:hAnsi="Century Gothic"/>
          <w:lang w:val="es-CO"/>
        </w:rPr>
        <w:t>Folios 184-185 del cuaderno principal.</w:t>
      </w:r>
      <w:r>
        <w:rPr>
          <w:rFonts w:ascii="Century Gothic" w:hAnsi="Century Gothic"/>
          <w:lang w:val="es-CO"/>
        </w:rPr>
        <w:tab/>
      </w:r>
    </w:p>
  </w:footnote>
  <w:footnote w:id="9">
    <w:p w14:paraId="29D52A5D" w14:textId="77777777" w:rsidR="00626308" w:rsidRPr="001774CB" w:rsidRDefault="00626308" w:rsidP="00626308">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191 del cuaderno principal.</w:t>
      </w:r>
    </w:p>
  </w:footnote>
  <w:footnote w:id="10">
    <w:p w14:paraId="71C70660" w14:textId="77777777" w:rsidR="00626308" w:rsidRPr="00712983" w:rsidRDefault="00626308" w:rsidP="00626308">
      <w:pPr>
        <w:pStyle w:val="Textonotapie"/>
        <w:jc w:val="both"/>
        <w:rPr>
          <w:lang w:val="es-CO"/>
        </w:rPr>
      </w:pPr>
      <w:r>
        <w:rPr>
          <w:rStyle w:val="Refdenotaalpie"/>
        </w:rPr>
        <w:footnoteRef/>
      </w:r>
      <w:r>
        <w:t xml:space="preserve"> </w:t>
      </w:r>
      <w:r w:rsidRPr="00712983">
        <w:rPr>
          <w:rFonts w:ascii="Century Gothic" w:hAnsi="Century Gothic" w:cs="Arial"/>
          <w:szCs w:val="24"/>
        </w:rPr>
        <w:t>“</w:t>
      </w:r>
      <w:r w:rsidRPr="0012071F">
        <w:rPr>
          <w:rFonts w:ascii="Century Gothic" w:hAnsi="Century Gothic" w:cs="Arial"/>
          <w:szCs w:val="24"/>
        </w:rPr>
        <w:t>Artículo 129</w:t>
      </w:r>
      <w:r w:rsidRPr="000734FD">
        <w:rPr>
          <w:rFonts w:ascii="Century Gothic" w:hAnsi="Century Gothic" w:cs="Arial"/>
          <w:szCs w:val="24"/>
        </w:rPr>
        <w:t>. El Consejo de Estado, en Sala de lo Contencioso Administrativo, conocerá en segunda instancia de las apelaciones de las sentencias dictadas en primera instancia por los Tribunales Administrativos”.</w:t>
      </w:r>
    </w:p>
  </w:footnote>
  <w:footnote w:id="11">
    <w:p w14:paraId="7B4C93D9" w14:textId="77777777" w:rsidR="00626308" w:rsidRPr="00305C77" w:rsidRDefault="00626308" w:rsidP="00626308">
      <w:pPr>
        <w:pStyle w:val="Textonotapie"/>
        <w:rPr>
          <w:lang w:val="es-CO"/>
        </w:rPr>
      </w:pPr>
      <w:r>
        <w:rPr>
          <w:rStyle w:val="Refdenotaalpie"/>
        </w:rPr>
        <w:footnoteRef/>
      </w:r>
      <w:r>
        <w:t xml:space="preserve"> </w:t>
      </w:r>
      <w:r>
        <w:rPr>
          <w:rFonts w:ascii="Century Gothic" w:hAnsi="Century Gothic"/>
          <w:lang w:val="es-CO"/>
        </w:rPr>
        <w:t>Folios 18-23 del cuaderno 2.</w:t>
      </w:r>
    </w:p>
  </w:footnote>
  <w:footnote w:id="12">
    <w:p w14:paraId="43D0D927" w14:textId="77777777" w:rsidR="00626308" w:rsidRPr="006977B0" w:rsidRDefault="00626308" w:rsidP="00626308">
      <w:pPr>
        <w:pStyle w:val="Textonotapie"/>
        <w:rPr>
          <w:lang w:val="es-CO"/>
        </w:rPr>
      </w:pPr>
      <w:r>
        <w:rPr>
          <w:rStyle w:val="Refdenotaalpie"/>
        </w:rPr>
        <w:footnoteRef/>
      </w:r>
      <w:r>
        <w:t xml:space="preserve"> </w:t>
      </w:r>
      <w:r>
        <w:rPr>
          <w:rFonts w:ascii="Century Gothic" w:hAnsi="Century Gothic"/>
          <w:lang w:val="es-CO"/>
        </w:rPr>
        <w:t>Folios 24-25 del cuaderno 2.</w:t>
      </w:r>
    </w:p>
  </w:footnote>
  <w:footnote w:id="13">
    <w:p w14:paraId="3E27879B" w14:textId="77777777" w:rsidR="00626308" w:rsidRPr="006977B0" w:rsidRDefault="00626308" w:rsidP="00626308">
      <w:pPr>
        <w:pStyle w:val="Textonotapie"/>
        <w:rPr>
          <w:lang w:val="es-CO"/>
        </w:rPr>
      </w:pPr>
      <w:r>
        <w:rPr>
          <w:rStyle w:val="Refdenotaalpie"/>
        </w:rPr>
        <w:footnoteRef/>
      </w:r>
      <w:r>
        <w:t xml:space="preserve"> </w:t>
      </w:r>
      <w:r>
        <w:rPr>
          <w:rFonts w:ascii="Century Gothic" w:hAnsi="Century Gothic"/>
          <w:lang w:val="es-CO"/>
        </w:rPr>
        <w:t>Folios 26-27 del cuaderno 2.</w:t>
      </w:r>
    </w:p>
  </w:footnote>
  <w:footnote w:id="14">
    <w:p w14:paraId="0D8A285E" w14:textId="77777777" w:rsidR="00626308" w:rsidRPr="006977B0" w:rsidRDefault="00626308" w:rsidP="00626308">
      <w:pPr>
        <w:pStyle w:val="Textonotapie"/>
        <w:rPr>
          <w:lang w:val="es-CO"/>
        </w:rPr>
      </w:pPr>
      <w:r>
        <w:rPr>
          <w:rStyle w:val="Refdenotaalpie"/>
        </w:rPr>
        <w:footnoteRef/>
      </w:r>
      <w:r>
        <w:t xml:space="preserve"> </w:t>
      </w:r>
      <w:r>
        <w:rPr>
          <w:rFonts w:ascii="Century Gothic" w:hAnsi="Century Gothic"/>
          <w:lang w:val="es-CO"/>
        </w:rPr>
        <w:t>Folios 28-29 del cuaderno 2.</w:t>
      </w:r>
    </w:p>
  </w:footnote>
  <w:footnote w:id="15">
    <w:p w14:paraId="083B5693" w14:textId="77777777" w:rsidR="00626308" w:rsidRPr="00FC2D7A" w:rsidRDefault="00626308" w:rsidP="00626308">
      <w:pPr>
        <w:pStyle w:val="Textonotapie"/>
        <w:rPr>
          <w:lang w:val="es-CO"/>
        </w:rPr>
      </w:pPr>
      <w:r>
        <w:rPr>
          <w:rStyle w:val="Refdenotaalpie"/>
        </w:rPr>
        <w:footnoteRef/>
      </w:r>
      <w:r>
        <w:t xml:space="preserve"> </w:t>
      </w:r>
      <w:r>
        <w:rPr>
          <w:rFonts w:ascii="Century Gothic" w:hAnsi="Century Gothic"/>
          <w:lang w:val="es-CO"/>
        </w:rPr>
        <w:t>Folio 31 del cuaderno 2.</w:t>
      </w:r>
    </w:p>
  </w:footnote>
  <w:footnote w:id="16">
    <w:p w14:paraId="6774F042" w14:textId="77777777" w:rsidR="00626308" w:rsidRPr="00C90456" w:rsidRDefault="00626308" w:rsidP="00626308">
      <w:pPr>
        <w:pStyle w:val="Textonotapie"/>
        <w:rPr>
          <w:lang w:val="es-CO"/>
        </w:rPr>
      </w:pPr>
      <w:r>
        <w:rPr>
          <w:rStyle w:val="Refdenotaalpie"/>
        </w:rPr>
        <w:footnoteRef/>
      </w:r>
      <w:r>
        <w:t xml:space="preserve"> </w:t>
      </w:r>
      <w:r>
        <w:rPr>
          <w:rFonts w:ascii="Century Gothic" w:hAnsi="Century Gothic"/>
          <w:lang w:val="es-CO"/>
        </w:rPr>
        <w:t>Folios 41-43 del cuaderno 2.</w:t>
      </w:r>
    </w:p>
  </w:footnote>
  <w:footnote w:id="17">
    <w:p w14:paraId="0C321049" w14:textId="77777777" w:rsidR="00626308" w:rsidRPr="00204E2A" w:rsidRDefault="00626308" w:rsidP="00626308">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44 del cuaderno 2.</w:t>
      </w:r>
    </w:p>
  </w:footnote>
  <w:footnote w:id="18">
    <w:p w14:paraId="77A7811B" w14:textId="77777777" w:rsidR="00626308" w:rsidRPr="00204E2A" w:rsidRDefault="00626308" w:rsidP="00626308">
      <w:pPr>
        <w:pStyle w:val="Textonotapie"/>
        <w:rPr>
          <w:lang w:val="es-CO"/>
        </w:rPr>
      </w:pPr>
      <w:r>
        <w:rPr>
          <w:rStyle w:val="Refdenotaalpie"/>
        </w:rPr>
        <w:footnoteRef/>
      </w:r>
      <w:r>
        <w:t xml:space="preserve"> </w:t>
      </w:r>
      <w:r>
        <w:rPr>
          <w:rFonts w:ascii="Century Gothic" w:hAnsi="Century Gothic"/>
          <w:lang w:val="es-CO"/>
        </w:rPr>
        <w:t>Folio 35 del cuaderno 2.</w:t>
      </w:r>
    </w:p>
  </w:footnote>
  <w:footnote w:id="19">
    <w:p w14:paraId="7010D8AD" w14:textId="77777777" w:rsidR="00626308" w:rsidRPr="00C55146" w:rsidRDefault="00626308" w:rsidP="00626308">
      <w:pPr>
        <w:pStyle w:val="Textonotapie"/>
        <w:rPr>
          <w:lang w:val="es-CO"/>
        </w:rPr>
      </w:pPr>
      <w:r>
        <w:rPr>
          <w:rStyle w:val="Refdenotaalpie"/>
        </w:rPr>
        <w:footnoteRef/>
      </w:r>
      <w:r>
        <w:t xml:space="preserve"> </w:t>
      </w:r>
      <w:r>
        <w:rPr>
          <w:rFonts w:ascii="Century Gothic" w:hAnsi="Century Gothic"/>
          <w:lang w:val="es-CO"/>
        </w:rPr>
        <w:t>Aplicable al presente caso por remisión expresa del artículo 168 del CCA.</w:t>
      </w:r>
    </w:p>
  </w:footnote>
  <w:footnote w:id="20">
    <w:p w14:paraId="51554607" w14:textId="77777777" w:rsidR="00626308" w:rsidRPr="00791BDF" w:rsidRDefault="00626308" w:rsidP="00626308">
      <w:pPr>
        <w:jc w:val="both"/>
        <w:textAlignment w:val="center"/>
      </w:pPr>
      <w:r>
        <w:rPr>
          <w:rStyle w:val="Refdenotaalpie"/>
        </w:rPr>
        <w:footnoteRef/>
      </w:r>
      <w:r>
        <w:t xml:space="preserve"> </w:t>
      </w:r>
      <w:r>
        <w:rPr>
          <w:rFonts w:ascii="Century Gothic" w:hAnsi="Century Gothic"/>
          <w:color w:val="222222"/>
          <w:sz w:val="20"/>
          <w:szCs w:val="20"/>
          <w:shd w:val="clear" w:color="auto" w:fill="FFFFFF"/>
        </w:rPr>
        <w:t>Conviene aclarar que, el Código de Procedimiento Civil es el régimen procesal de integración residual aplicado por los despachos de la Sección Tercera a los procesos que se rigen por el Código Contencioso Administrativo. Véanse, entre otros, aAuto de 28 de enero de 2015, exp. 44.655; Auto de 30 de agosto de 2017, exp. 55.065.; Auto de 12 de febrero de 2019, exp: 59.029. Todo ello, en desarrollo de lo dispuesto en el Auto de Unificación de 25 de junio de 2014. exp. 49.299.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1C"/>
    <w:rsid w:val="00004195"/>
    <w:rsid w:val="00004A7E"/>
    <w:rsid w:val="00005115"/>
    <w:rsid w:val="000053D5"/>
    <w:rsid w:val="000074E3"/>
    <w:rsid w:val="00090E87"/>
    <w:rsid w:val="00091089"/>
    <w:rsid w:val="00097C95"/>
    <w:rsid w:val="00146383"/>
    <w:rsid w:val="00150788"/>
    <w:rsid w:val="0017525C"/>
    <w:rsid w:val="00183E3E"/>
    <w:rsid w:val="001F5612"/>
    <w:rsid w:val="002065E2"/>
    <w:rsid w:val="00284D42"/>
    <w:rsid w:val="002F230E"/>
    <w:rsid w:val="00302EF8"/>
    <w:rsid w:val="003301AF"/>
    <w:rsid w:val="00331131"/>
    <w:rsid w:val="00335DA3"/>
    <w:rsid w:val="0034091D"/>
    <w:rsid w:val="0034692F"/>
    <w:rsid w:val="00357E21"/>
    <w:rsid w:val="00370D84"/>
    <w:rsid w:val="0037132D"/>
    <w:rsid w:val="00391406"/>
    <w:rsid w:val="003928D0"/>
    <w:rsid w:val="0039788D"/>
    <w:rsid w:val="003D0292"/>
    <w:rsid w:val="003D11E1"/>
    <w:rsid w:val="003D6B58"/>
    <w:rsid w:val="003D73FB"/>
    <w:rsid w:val="003F3900"/>
    <w:rsid w:val="003F408C"/>
    <w:rsid w:val="00403AEF"/>
    <w:rsid w:val="00422168"/>
    <w:rsid w:val="0043415D"/>
    <w:rsid w:val="00465D2C"/>
    <w:rsid w:val="004B38D2"/>
    <w:rsid w:val="004D2728"/>
    <w:rsid w:val="0052309D"/>
    <w:rsid w:val="005579A9"/>
    <w:rsid w:val="00565234"/>
    <w:rsid w:val="005733EE"/>
    <w:rsid w:val="00590F55"/>
    <w:rsid w:val="005C229B"/>
    <w:rsid w:val="005C79DA"/>
    <w:rsid w:val="00626308"/>
    <w:rsid w:val="006431D5"/>
    <w:rsid w:val="0066212B"/>
    <w:rsid w:val="006656CD"/>
    <w:rsid w:val="006C0D8A"/>
    <w:rsid w:val="006D4D5F"/>
    <w:rsid w:val="006F1375"/>
    <w:rsid w:val="006F3EBC"/>
    <w:rsid w:val="007134E8"/>
    <w:rsid w:val="007949F8"/>
    <w:rsid w:val="00797A7C"/>
    <w:rsid w:val="007A0A80"/>
    <w:rsid w:val="007A423A"/>
    <w:rsid w:val="007C4D92"/>
    <w:rsid w:val="007D4EC7"/>
    <w:rsid w:val="007F52B5"/>
    <w:rsid w:val="00814B5D"/>
    <w:rsid w:val="0081599D"/>
    <w:rsid w:val="00817A0D"/>
    <w:rsid w:val="008728C8"/>
    <w:rsid w:val="00877D6A"/>
    <w:rsid w:val="00956096"/>
    <w:rsid w:val="0096012E"/>
    <w:rsid w:val="0098045E"/>
    <w:rsid w:val="00982D23"/>
    <w:rsid w:val="009B0D9F"/>
    <w:rsid w:val="009E12A5"/>
    <w:rsid w:val="00A22C92"/>
    <w:rsid w:val="00A42F1C"/>
    <w:rsid w:val="00A765AA"/>
    <w:rsid w:val="00A80C22"/>
    <w:rsid w:val="00A80E05"/>
    <w:rsid w:val="00A93400"/>
    <w:rsid w:val="00AB2023"/>
    <w:rsid w:val="00AE1623"/>
    <w:rsid w:val="00AF6E53"/>
    <w:rsid w:val="00B17C40"/>
    <w:rsid w:val="00B329B3"/>
    <w:rsid w:val="00B57DD7"/>
    <w:rsid w:val="00B76585"/>
    <w:rsid w:val="00BA48D4"/>
    <w:rsid w:val="00BA6C36"/>
    <w:rsid w:val="00BF247B"/>
    <w:rsid w:val="00BF49C5"/>
    <w:rsid w:val="00C56D9D"/>
    <w:rsid w:val="00C97409"/>
    <w:rsid w:val="00CA6178"/>
    <w:rsid w:val="00CD4CB0"/>
    <w:rsid w:val="00CE0F58"/>
    <w:rsid w:val="00CE54A4"/>
    <w:rsid w:val="00D04DDE"/>
    <w:rsid w:val="00D3573C"/>
    <w:rsid w:val="00D5218C"/>
    <w:rsid w:val="00D9576D"/>
    <w:rsid w:val="00DB0864"/>
    <w:rsid w:val="00E128EB"/>
    <w:rsid w:val="00E142DB"/>
    <w:rsid w:val="00E20E73"/>
    <w:rsid w:val="00E314B3"/>
    <w:rsid w:val="00E420D9"/>
    <w:rsid w:val="00E64F05"/>
    <w:rsid w:val="00EA58ED"/>
    <w:rsid w:val="00EC44A0"/>
    <w:rsid w:val="00ED1C82"/>
    <w:rsid w:val="00EE04BB"/>
    <w:rsid w:val="00EE419B"/>
    <w:rsid w:val="00F13A81"/>
    <w:rsid w:val="00F27686"/>
    <w:rsid w:val="00F31109"/>
    <w:rsid w:val="00F41809"/>
    <w:rsid w:val="00F55077"/>
    <w:rsid w:val="00F65EAD"/>
    <w:rsid w:val="00F763D1"/>
    <w:rsid w:val="00F92436"/>
    <w:rsid w:val="00F93556"/>
    <w:rsid w:val="00FB1B99"/>
    <w:rsid w:val="00FC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2CD"/>
  <w15:chartTrackingRefBased/>
  <w15:docId w15:val="{07B20D46-9BD8-4111-836C-9492D0F0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626308"/>
    <w:pPr>
      <w:keepNext/>
      <w:keepLines/>
      <w:spacing w:before="240"/>
      <w:outlineLvl w:val="0"/>
    </w:pPr>
    <w:rPr>
      <w:rFonts w:ascii="Calibri Light" w:eastAsia="Times New Roman" w:hAnsi="Calibri Light"/>
      <w:color w:val="2E74B5"/>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26308"/>
    <w:rPr>
      <w:rFonts w:ascii="Calibri Light" w:eastAsia="Times New Roman" w:hAnsi="Calibri Light"/>
      <w:color w:val="2E74B5"/>
      <w:sz w:val="32"/>
      <w:szCs w:val="3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626308"/>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626308"/>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62630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26308"/>
    <w:pPr>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52F50-256E-42E1-B5B5-DB2CF797F36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C866A7A-CEFF-4E24-8918-DE9CA4F254D1}">
  <ds:schemaRefs>
    <ds:schemaRef ds:uri="http://schemas.microsoft.com/sharepoint/v3/contenttype/forms"/>
  </ds:schemaRefs>
</ds:datastoreItem>
</file>

<file path=customXml/itemProps3.xml><?xml version="1.0" encoding="utf-8"?>
<ds:datastoreItem xmlns:ds="http://schemas.openxmlformats.org/officeDocument/2006/customXml" ds:itemID="{DDDD9EE8-CB07-4650-AB68-3F5BE5288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5988</Words>
  <Characters>32935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Carlos Mario Castrillón Endo</cp:lastModifiedBy>
  <cp:revision>2</cp:revision>
  <dcterms:created xsi:type="dcterms:W3CDTF">2020-07-02T19:50:00Z</dcterms:created>
  <dcterms:modified xsi:type="dcterms:W3CDTF">2020-07-02T19:50:00Z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