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A154" w14:textId="19DFBDB9" w:rsidR="00406DF7" w:rsidRPr="00E10646" w:rsidRDefault="00651126" w:rsidP="00651126">
      <w:pPr>
        <w:pStyle w:val="xmsonormal"/>
        <w:widowControl w:val="0"/>
        <w:shd w:val="clear" w:color="auto" w:fill="FFFFFF"/>
        <w:tabs>
          <w:tab w:val="left" w:pos="2715"/>
          <w:tab w:val="center" w:pos="4136"/>
        </w:tabs>
        <w:spacing w:before="0" w:beforeAutospacing="0" w:after="0" w:afterAutospacing="0"/>
        <w:jc w:val="both"/>
        <w:rPr>
          <w:rFonts w:ascii="Arial" w:hAnsi="Arial" w:cs="Arial"/>
          <w:b/>
          <w:bCs/>
          <w:sz w:val="22"/>
          <w:szCs w:val="22"/>
        </w:rPr>
      </w:pPr>
      <w:bookmarkStart w:id="0" w:name="_GoBack"/>
      <w:r w:rsidRPr="00E10646">
        <w:rPr>
          <w:rFonts w:ascii="Arial" w:hAnsi="Arial" w:cs="Arial"/>
          <w:b/>
          <w:bCs/>
          <w:sz w:val="22"/>
          <w:szCs w:val="22"/>
        </w:rPr>
        <w:t>MANDAMIENTO DE PAGO - Auto - Competencia</w:t>
      </w:r>
    </w:p>
    <w:p w14:paraId="5A489F96" w14:textId="2F1F141C" w:rsidR="00651126" w:rsidRPr="00E10646" w:rsidRDefault="00651126" w:rsidP="00651126">
      <w:pPr>
        <w:pStyle w:val="xmsonormal"/>
        <w:widowControl w:val="0"/>
        <w:shd w:val="clear" w:color="auto" w:fill="FFFFFF"/>
        <w:tabs>
          <w:tab w:val="left" w:pos="2715"/>
          <w:tab w:val="center" w:pos="4136"/>
        </w:tabs>
        <w:spacing w:before="0" w:beforeAutospacing="0" w:after="0" w:afterAutospacing="0"/>
        <w:jc w:val="both"/>
        <w:rPr>
          <w:rFonts w:ascii="Arial" w:hAnsi="Arial" w:cs="Arial"/>
          <w:b/>
          <w:bCs/>
          <w:sz w:val="22"/>
          <w:szCs w:val="22"/>
        </w:rPr>
      </w:pPr>
    </w:p>
    <w:p w14:paraId="0DA2D8BE" w14:textId="2669CD19" w:rsidR="00651126" w:rsidRPr="00E10646" w:rsidRDefault="00651126" w:rsidP="00651126">
      <w:pPr>
        <w:pStyle w:val="xmsonormal"/>
        <w:widowControl w:val="0"/>
        <w:shd w:val="clear" w:color="auto" w:fill="FFFFFF"/>
        <w:tabs>
          <w:tab w:val="left" w:pos="2715"/>
          <w:tab w:val="center" w:pos="4136"/>
        </w:tabs>
        <w:spacing w:before="0" w:beforeAutospacing="0" w:after="0" w:afterAutospacing="0"/>
        <w:jc w:val="both"/>
        <w:rPr>
          <w:rFonts w:ascii="Arial" w:hAnsi="Arial" w:cs="Arial"/>
          <w:sz w:val="22"/>
          <w:szCs w:val="22"/>
        </w:rPr>
      </w:pPr>
      <w:r w:rsidRPr="00E10646">
        <w:rPr>
          <w:rFonts w:ascii="Arial" w:hAnsi="Arial" w:cs="Arial"/>
          <w:sz w:val="22"/>
          <w:szCs w:val="22"/>
        </w:rPr>
        <w:t>El artículo 181 numeral 3° del CCA prevé que el auto que rechace la demanda es susceptible del recurso de apelación y es de competencia de la Sala según el inciso segundo del artículo 146A, excepto en los procesos de única instancia. Por otra parte, el auto que niega el mandamiento de pago se equipar</w:t>
      </w:r>
      <w:r w:rsidR="00AC35A6" w:rsidRPr="00E10646">
        <w:rPr>
          <w:rFonts w:ascii="Arial" w:hAnsi="Arial" w:cs="Arial"/>
          <w:sz w:val="22"/>
          <w:szCs w:val="22"/>
        </w:rPr>
        <w:t>á</w:t>
      </w:r>
      <w:r w:rsidRPr="00E10646">
        <w:rPr>
          <w:rFonts w:ascii="Arial" w:hAnsi="Arial" w:cs="Arial"/>
          <w:sz w:val="22"/>
          <w:szCs w:val="22"/>
        </w:rPr>
        <w:t xml:space="preserve"> al auto que rechaza la demanda, porque impide el trámite del proceso y también deberá ser decidido por la Sala.</w:t>
      </w:r>
      <w:r w:rsidR="00F27F12" w:rsidRPr="00E10646">
        <w:rPr>
          <w:rFonts w:ascii="Arial" w:hAnsi="Arial" w:cs="Arial"/>
          <w:sz w:val="22"/>
          <w:szCs w:val="22"/>
        </w:rPr>
        <w:t xml:space="preserve"> </w:t>
      </w:r>
      <w:r w:rsidRPr="00E10646">
        <w:rPr>
          <w:rFonts w:ascii="Arial" w:hAnsi="Arial" w:cs="Arial"/>
          <w:sz w:val="22"/>
          <w:szCs w:val="22"/>
        </w:rPr>
        <w:t>(...)Como el auto que niega el mandamiento de pago se equipara al rechazo de la demanda, esa providencia es de competencia de la Sala, así el proceso se tramite con arreglo al procedimiento del ejecutivo singular de mayor cuantía previsto en el CPC (Art. 87 CCA), pues la remisión a ese código es para el trámite del proceso sin desconocer las competencias del juez contencioso administrativo previstas en el CCA.</w:t>
      </w:r>
    </w:p>
    <w:bookmarkEnd w:id="0"/>
    <w:p w14:paraId="050741FF" w14:textId="77777777" w:rsidR="00651126" w:rsidRDefault="00651126" w:rsidP="00651126">
      <w:pPr>
        <w:pStyle w:val="xmsonormal"/>
        <w:widowControl w:val="0"/>
        <w:shd w:val="clear" w:color="auto" w:fill="FFFFFF"/>
        <w:tabs>
          <w:tab w:val="left" w:pos="2715"/>
          <w:tab w:val="center" w:pos="4136"/>
        </w:tabs>
        <w:spacing w:before="0" w:beforeAutospacing="0" w:after="0" w:afterAutospacing="0"/>
        <w:jc w:val="both"/>
        <w:rPr>
          <w:rFonts w:ascii="Arial" w:hAnsi="Arial" w:cs="Arial"/>
          <w:b/>
          <w:bCs/>
        </w:rPr>
      </w:pPr>
    </w:p>
    <w:p w14:paraId="7954D160" w14:textId="77777777" w:rsidR="00651126" w:rsidRDefault="00651126" w:rsidP="00762B1D">
      <w:pPr>
        <w:pStyle w:val="xmsonormal"/>
        <w:widowControl w:val="0"/>
        <w:shd w:val="clear" w:color="auto" w:fill="FFFFFF"/>
        <w:tabs>
          <w:tab w:val="left" w:pos="2715"/>
          <w:tab w:val="center" w:pos="4136"/>
        </w:tabs>
        <w:spacing w:before="0" w:beforeAutospacing="0" w:after="0" w:afterAutospacing="0"/>
        <w:jc w:val="center"/>
        <w:rPr>
          <w:rFonts w:ascii="Arial" w:hAnsi="Arial" w:cs="Arial"/>
          <w:b/>
          <w:bCs/>
        </w:rPr>
      </w:pPr>
    </w:p>
    <w:p w14:paraId="59E3FE23" w14:textId="56E06378" w:rsidR="00762B1D" w:rsidRPr="00F0159E" w:rsidRDefault="00762B1D" w:rsidP="00762B1D">
      <w:pPr>
        <w:pStyle w:val="xmsonormal"/>
        <w:widowControl w:val="0"/>
        <w:shd w:val="clear" w:color="auto" w:fill="FFFFFF"/>
        <w:tabs>
          <w:tab w:val="left" w:pos="2715"/>
          <w:tab w:val="center" w:pos="4136"/>
        </w:tabs>
        <w:spacing w:before="0" w:beforeAutospacing="0" w:after="0" w:afterAutospacing="0"/>
        <w:jc w:val="center"/>
        <w:rPr>
          <w:rFonts w:ascii="Arial" w:hAnsi="Arial" w:cs="Arial"/>
          <w:b/>
          <w:bCs/>
        </w:rPr>
      </w:pPr>
      <w:r w:rsidRPr="00F0159E">
        <w:rPr>
          <w:rFonts w:ascii="Arial" w:hAnsi="Arial" w:cs="Arial"/>
          <w:b/>
          <w:bCs/>
        </w:rPr>
        <w:t>CONSEJO DE ESTADO</w:t>
      </w:r>
    </w:p>
    <w:p w14:paraId="1A9970C4" w14:textId="77777777" w:rsidR="00762B1D" w:rsidRPr="00F0159E" w:rsidRDefault="00762B1D" w:rsidP="00762B1D">
      <w:pPr>
        <w:pStyle w:val="xmsonormal"/>
        <w:widowControl w:val="0"/>
        <w:shd w:val="clear" w:color="auto" w:fill="FFFFFF"/>
        <w:spacing w:before="0" w:beforeAutospacing="0" w:after="0" w:afterAutospacing="0"/>
        <w:jc w:val="center"/>
        <w:rPr>
          <w:rFonts w:ascii="Arial" w:hAnsi="Arial" w:cs="Arial"/>
          <w:b/>
          <w:bCs/>
          <w:lang w:val="es-ES_tradnl"/>
        </w:rPr>
      </w:pPr>
    </w:p>
    <w:p w14:paraId="0B87BFD6" w14:textId="77777777" w:rsidR="00762B1D" w:rsidRPr="00F0159E" w:rsidRDefault="00762B1D" w:rsidP="00762B1D">
      <w:pPr>
        <w:pStyle w:val="xmsonormal"/>
        <w:widowControl w:val="0"/>
        <w:shd w:val="clear" w:color="auto" w:fill="FFFFFF"/>
        <w:spacing w:before="0" w:beforeAutospacing="0" w:after="0" w:afterAutospacing="0"/>
        <w:jc w:val="center"/>
        <w:rPr>
          <w:rFonts w:ascii="Arial" w:hAnsi="Arial" w:cs="Arial"/>
          <w:b/>
          <w:bCs/>
        </w:rPr>
      </w:pPr>
      <w:r w:rsidRPr="00F0159E">
        <w:rPr>
          <w:rFonts w:ascii="Arial" w:hAnsi="Arial" w:cs="Arial"/>
          <w:b/>
          <w:bCs/>
        </w:rPr>
        <w:t>SALA DE LO CONTENCIOSO ADMINISTRATIVO</w:t>
      </w:r>
    </w:p>
    <w:p w14:paraId="71D723CB" w14:textId="77777777" w:rsidR="00762B1D" w:rsidRPr="00F0159E" w:rsidRDefault="00762B1D" w:rsidP="00762B1D">
      <w:pPr>
        <w:pStyle w:val="xmsonormal"/>
        <w:widowControl w:val="0"/>
        <w:shd w:val="clear" w:color="auto" w:fill="FFFFFF"/>
        <w:spacing w:before="0" w:beforeAutospacing="0" w:after="0" w:afterAutospacing="0"/>
        <w:jc w:val="center"/>
        <w:rPr>
          <w:rFonts w:ascii="Arial" w:hAnsi="Arial" w:cs="Arial"/>
          <w:b/>
          <w:bCs/>
          <w:lang w:val="es-ES_tradnl"/>
        </w:rPr>
      </w:pPr>
    </w:p>
    <w:p w14:paraId="658525A5" w14:textId="77777777" w:rsidR="00762B1D" w:rsidRPr="00F0159E" w:rsidRDefault="00762B1D" w:rsidP="00762B1D">
      <w:pPr>
        <w:pStyle w:val="xmsonormal"/>
        <w:widowControl w:val="0"/>
        <w:shd w:val="clear" w:color="auto" w:fill="FFFFFF"/>
        <w:spacing w:before="0" w:beforeAutospacing="0" w:after="0" w:afterAutospacing="0"/>
        <w:jc w:val="center"/>
        <w:rPr>
          <w:rFonts w:ascii="Arial" w:hAnsi="Arial" w:cs="Arial"/>
          <w:b/>
          <w:bCs/>
        </w:rPr>
      </w:pPr>
      <w:r w:rsidRPr="00F0159E">
        <w:rPr>
          <w:rFonts w:ascii="Arial" w:hAnsi="Arial" w:cs="Arial"/>
          <w:b/>
          <w:bCs/>
        </w:rPr>
        <w:t>SECCIÓN TERCERA</w:t>
      </w:r>
    </w:p>
    <w:p w14:paraId="4002115E" w14:textId="77777777" w:rsidR="00762B1D" w:rsidRPr="00F0159E" w:rsidRDefault="00762B1D" w:rsidP="00762B1D">
      <w:pPr>
        <w:pStyle w:val="xmsonormal"/>
        <w:widowControl w:val="0"/>
        <w:shd w:val="clear" w:color="auto" w:fill="FFFFFF"/>
        <w:spacing w:before="0" w:beforeAutospacing="0" w:after="0" w:afterAutospacing="0"/>
        <w:jc w:val="center"/>
        <w:rPr>
          <w:rFonts w:ascii="Arial" w:hAnsi="Arial" w:cs="Arial"/>
          <w:b/>
          <w:bCs/>
          <w:lang w:val="es-ES_tradnl"/>
        </w:rPr>
      </w:pPr>
    </w:p>
    <w:p w14:paraId="2A61289A" w14:textId="77777777" w:rsidR="00762B1D" w:rsidRPr="00F0159E" w:rsidRDefault="00762B1D" w:rsidP="00762B1D">
      <w:pPr>
        <w:pStyle w:val="xmsonormal"/>
        <w:widowControl w:val="0"/>
        <w:shd w:val="clear" w:color="auto" w:fill="FFFFFF"/>
        <w:spacing w:before="0" w:beforeAutospacing="0" w:after="0" w:afterAutospacing="0"/>
        <w:jc w:val="center"/>
        <w:rPr>
          <w:rFonts w:ascii="Arial" w:hAnsi="Arial" w:cs="Arial"/>
          <w:b/>
          <w:bCs/>
        </w:rPr>
      </w:pPr>
      <w:r w:rsidRPr="00F0159E">
        <w:rPr>
          <w:rFonts w:ascii="Arial" w:hAnsi="Arial" w:cs="Arial"/>
          <w:b/>
          <w:bCs/>
        </w:rPr>
        <w:t>SUBSECCIÓN C</w:t>
      </w:r>
    </w:p>
    <w:p w14:paraId="6C5F7389" w14:textId="77777777" w:rsidR="00762B1D" w:rsidRPr="00F0159E" w:rsidRDefault="00762B1D" w:rsidP="00762B1D">
      <w:pPr>
        <w:pStyle w:val="xmsonormal"/>
        <w:widowControl w:val="0"/>
        <w:shd w:val="clear" w:color="auto" w:fill="FFFFFF"/>
        <w:spacing w:before="0" w:beforeAutospacing="0" w:after="0" w:afterAutospacing="0"/>
        <w:rPr>
          <w:rFonts w:ascii="Arial" w:hAnsi="Arial" w:cs="Arial"/>
        </w:rPr>
      </w:pPr>
    </w:p>
    <w:p w14:paraId="24E03593" w14:textId="77777777" w:rsidR="00762B1D" w:rsidRPr="00F0159E" w:rsidRDefault="00762B1D" w:rsidP="00762B1D">
      <w:pPr>
        <w:pStyle w:val="xmsonormal"/>
        <w:widowControl w:val="0"/>
        <w:shd w:val="clear" w:color="auto" w:fill="FFFFFF"/>
        <w:spacing w:before="0" w:beforeAutospacing="0" w:after="0" w:afterAutospacing="0"/>
        <w:jc w:val="center"/>
        <w:rPr>
          <w:rFonts w:ascii="Arial" w:hAnsi="Arial" w:cs="Arial"/>
          <w:b/>
          <w:bCs/>
          <w:shd w:val="clear" w:color="auto" w:fill="FF0000"/>
        </w:rPr>
      </w:pPr>
      <w:r w:rsidRPr="00F0159E">
        <w:rPr>
          <w:rFonts w:ascii="Arial" w:hAnsi="Arial" w:cs="Arial"/>
          <w:b/>
          <w:bCs/>
        </w:rPr>
        <w:t>Consejero ponente: GUILLERMO SÁNCHEZ LUQUE</w:t>
      </w:r>
    </w:p>
    <w:p w14:paraId="487403F8" w14:textId="77777777" w:rsidR="00762B1D" w:rsidRPr="00F0159E" w:rsidRDefault="00762B1D" w:rsidP="00762B1D">
      <w:pPr>
        <w:pStyle w:val="xmsonormal"/>
        <w:widowControl w:val="0"/>
        <w:shd w:val="clear" w:color="auto" w:fill="FFFFFF"/>
        <w:spacing w:before="0" w:beforeAutospacing="0" w:after="0" w:afterAutospacing="0"/>
        <w:rPr>
          <w:rFonts w:ascii="Arial" w:hAnsi="Arial" w:cs="Arial"/>
        </w:rPr>
      </w:pPr>
    </w:p>
    <w:p w14:paraId="25C92A72" w14:textId="77777777" w:rsidR="00762B1D" w:rsidRPr="00F0159E" w:rsidRDefault="00762B1D" w:rsidP="00762B1D">
      <w:pPr>
        <w:pStyle w:val="xmsonormal"/>
        <w:widowControl w:val="0"/>
        <w:shd w:val="clear" w:color="auto" w:fill="FFFFFF"/>
        <w:spacing w:before="0" w:beforeAutospacing="0" w:after="0" w:afterAutospacing="0"/>
        <w:jc w:val="both"/>
        <w:rPr>
          <w:rFonts w:ascii="Arial" w:hAnsi="Arial" w:cs="Arial"/>
          <w:b/>
          <w:bCs/>
          <w:shd w:val="clear" w:color="auto" w:fill="FF0000"/>
        </w:rPr>
      </w:pPr>
      <w:r w:rsidRPr="00F0159E">
        <w:rPr>
          <w:rFonts w:ascii="Arial" w:hAnsi="Arial" w:cs="Arial"/>
        </w:rPr>
        <w:t>Bogotá, D.C., quince (15) de febrero de dos mil diecinueve (2019)</w:t>
      </w:r>
    </w:p>
    <w:p w14:paraId="316E19BA" w14:textId="77777777" w:rsidR="00762B1D" w:rsidRPr="00F0159E" w:rsidRDefault="00762B1D" w:rsidP="00762B1D">
      <w:pPr>
        <w:pStyle w:val="xmsonormal"/>
        <w:widowControl w:val="0"/>
        <w:shd w:val="clear" w:color="auto" w:fill="FFFFFF"/>
        <w:spacing w:before="0" w:beforeAutospacing="0" w:after="0" w:afterAutospacing="0"/>
        <w:jc w:val="both"/>
        <w:rPr>
          <w:rFonts w:ascii="Arial" w:hAnsi="Arial" w:cs="Arial"/>
        </w:rPr>
      </w:pPr>
    </w:p>
    <w:p w14:paraId="67DDC4E4" w14:textId="77777777" w:rsidR="00762B1D" w:rsidRPr="00F0159E" w:rsidRDefault="00762B1D" w:rsidP="00762B1D">
      <w:pPr>
        <w:pStyle w:val="xmsobodytext"/>
        <w:widowControl w:val="0"/>
        <w:shd w:val="clear" w:color="auto" w:fill="FFFFFF"/>
        <w:spacing w:before="0" w:beforeAutospacing="0" w:after="0" w:afterAutospacing="0"/>
        <w:jc w:val="both"/>
        <w:rPr>
          <w:rFonts w:ascii="Arial" w:hAnsi="Arial" w:cs="Arial"/>
          <w:b/>
          <w:bCs/>
          <w:lang w:val="es-ES_tradnl"/>
        </w:rPr>
      </w:pPr>
      <w:r w:rsidRPr="00F0159E">
        <w:rPr>
          <w:rFonts w:ascii="Arial" w:hAnsi="Arial" w:cs="Arial"/>
          <w:b/>
          <w:bCs/>
          <w:lang w:val="es-ES_tradnl"/>
        </w:rPr>
        <w:t>Radicación número: 05001-23-31-000-2012-00213-01(61501)</w:t>
      </w:r>
    </w:p>
    <w:p w14:paraId="41D7543E" w14:textId="77777777" w:rsidR="00762B1D" w:rsidRPr="00F0159E" w:rsidRDefault="00762B1D" w:rsidP="00762B1D">
      <w:pPr>
        <w:pStyle w:val="xmsobodytext"/>
        <w:widowControl w:val="0"/>
        <w:shd w:val="clear" w:color="auto" w:fill="FFFFFF"/>
        <w:spacing w:before="0" w:beforeAutospacing="0" w:after="0" w:afterAutospacing="0"/>
        <w:jc w:val="both"/>
        <w:rPr>
          <w:b/>
          <w:bCs/>
          <w:lang w:val="es-ES_tradnl"/>
        </w:rPr>
      </w:pPr>
    </w:p>
    <w:p w14:paraId="7CC79A33" w14:textId="77777777" w:rsidR="00762B1D" w:rsidRPr="00F0159E" w:rsidRDefault="00762B1D" w:rsidP="00762B1D">
      <w:pPr>
        <w:pStyle w:val="Ttulo3"/>
        <w:keepNext w:val="0"/>
        <w:widowControl w:val="0"/>
        <w:shd w:val="clear" w:color="auto" w:fill="FFFFFF"/>
        <w:spacing w:before="0" w:after="0"/>
        <w:jc w:val="both"/>
        <w:rPr>
          <w:rFonts w:ascii="Arial" w:hAnsi="Arial" w:cs="Arial"/>
          <w:sz w:val="24"/>
          <w:szCs w:val="24"/>
          <w:shd w:val="clear" w:color="auto" w:fill="FF0000"/>
          <w:lang w:val="es-ES_tradnl"/>
        </w:rPr>
      </w:pPr>
      <w:r w:rsidRPr="00F0159E">
        <w:rPr>
          <w:rFonts w:ascii="Arial" w:hAnsi="Arial" w:cs="Arial"/>
          <w:sz w:val="24"/>
          <w:szCs w:val="24"/>
          <w:lang w:val="es-ES_tradnl"/>
        </w:rPr>
        <w:t>Actor: UNIMEZCLAS S.A.</w:t>
      </w:r>
    </w:p>
    <w:p w14:paraId="107381E7" w14:textId="77777777" w:rsidR="00762B1D" w:rsidRPr="00F0159E" w:rsidRDefault="00762B1D" w:rsidP="00762B1D">
      <w:pPr>
        <w:widowControl w:val="0"/>
        <w:rPr>
          <w:lang w:val="es-ES_tradnl"/>
        </w:rPr>
      </w:pPr>
    </w:p>
    <w:p w14:paraId="3A4B39A2" w14:textId="77777777" w:rsidR="00762B1D" w:rsidRPr="00F0159E" w:rsidRDefault="00762B1D" w:rsidP="00762B1D">
      <w:pPr>
        <w:pStyle w:val="xmsonormal"/>
        <w:widowControl w:val="0"/>
        <w:shd w:val="clear" w:color="auto" w:fill="FFFFFF"/>
        <w:spacing w:before="0" w:beforeAutospacing="0" w:after="0" w:afterAutospacing="0"/>
        <w:jc w:val="both"/>
        <w:rPr>
          <w:rFonts w:ascii="Arial" w:hAnsi="Arial" w:cs="Arial"/>
          <w:b/>
          <w:bCs/>
        </w:rPr>
      </w:pPr>
      <w:r w:rsidRPr="00F0159E">
        <w:rPr>
          <w:rFonts w:ascii="Arial" w:hAnsi="Arial" w:cs="Arial"/>
          <w:b/>
          <w:bCs/>
        </w:rPr>
        <w:t>Demandado: INSTITUTO NACIONAL DE VIAS-INVIAS</w:t>
      </w:r>
    </w:p>
    <w:p w14:paraId="72EED6F6" w14:textId="77777777" w:rsidR="00762B1D" w:rsidRPr="00F0159E" w:rsidRDefault="00762B1D" w:rsidP="00762B1D">
      <w:pPr>
        <w:pStyle w:val="xmsonormal"/>
        <w:widowControl w:val="0"/>
        <w:shd w:val="clear" w:color="auto" w:fill="FFFFFF"/>
        <w:spacing w:before="0" w:beforeAutospacing="0" w:after="0" w:afterAutospacing="0"/>
        <w:jc w:val="both"/>
        <w:rPr>
          <w:rFonts w:ascii="Arial" w:hAnsi="Arial" w:cs="Arial"/>
          <w:b/>
          <w:bCs/>
        </w:rPr>
      </w:pPr>
    </w:p>
    <w:p w14:paraId="4FB996C6" w14:textId="77777777" w:rsidR="00762B1D" w:rsidRPr="00F0159E" w:rsidRDefault="00762B1D" w:rsidP="00762B1D">
      <w:pPr>
        <w:pStyle w:val="xmsonormal"/>
        <w:widowControl w:val="0"/>
        <w:shd w:val="clear" w:color="auto" w:fill="FFFFFF"/>
        <w:spacing w:before="0" w:beforeAutospacing="0" w:after="0" w:afterAutospacing="0"/>
        <w:jc w:val="both"/>
        <w:rPr>
          <w:rFonts w:ascii="Arial" w:hAnsi="Arial" w:cs="Arial"/>
          <w:b/>
          <w:bCs/>
        </w:rPr>
      </w:pPr>
    </w:p>
    <w:p w14:paraId="1DDA0A11" w14:textId="77777777" w:rsidR="00762B1D" w:rsidRPr="00F0159E" w:rsidRDefault="00762B1D" w:rsidP="00762B1D">
      <w:pPr>
        <w:widowControl w:val="0"/>
        <w:rPr>
          <w:rFonts w:ascii="Arial" w:hAnsi="Arial" w:cs="Arial"/>
          <w:b/>
        </w:rPr>
      </w:pPr>
      <w:r w:rsidRPr="00F0159E">
        <w:rPr>
          <w:rFonts w:ascii="Arial" w:hAnsi="Arial" w:cs="Arial"/>
          <w:b/>
        </w:rPr>
        <w:t>Referencia: EJECUTIVO</w:t>
      </w:r>
    </w:p>
    <w:p w14:paraId="50C0E360" w14:textId="77777777" w:rsidR="00406DF7" w:rsidRDefault="00406DF7" w:rsidP="00762B1D">
      <w:pPr>
        <w:widowControl w:val="0"/>
        <w:spacing w:line="360" w:lineRule="auto"/>
        <w:jc w:val="both"/>
        <w:rPr>
          <w:rFonts w:ascii="Arial" w:hAnsi="Arial" w:cs="Arial"/>
        </w:rPr>
      </w:pPr>
    </w:p>
    <w:p w14:paraId="12DFB25E" w14:textId="77777777" w:rsidR="00762B1D" w:rsidRPr="00F0159E" w:rsidRDefault="00762B1D" w:rsidP="00762B1D">
      <w:pPr>
        <w:widowControl w:val="0"/>
        <w:spacing w:line="360" w:lineRule="auto"/>
        <w:jc w:val="both"/>
        <w:rPr>
          <w:rFonts w:ascii="Arial" w:hAnsi="Arial" w:cs="Arial"/>
        </w:rPr>
      </w:pPr>
      <w:r w:rsidRPr="00F0159E">
        <w:rPr>
          <w:rFonts w:ascii="Arial" w:hAnsi="Arial" w:cs="Arial"/>
        </w:rPr>
        <w:t xml:space="preserve">La sociedad UNIMEZCLAS S.A., a través de apoderado judicial, </w:t>
      </w:r>
      <w:r w:rsidRPr="00F0159E">
        <w:rPr>
          <w:rFonts w:ascii="Arial" w:hAnsi="Arial" w:cs="Arial"/>
          <w:b/>
        </w:rPr>
        <w:t>formuló demanda ejecutiva</w:t>
      </w:r>
      <w:r w:rsidRPr="00F0159E">
        <w:rPr>
          <w:rFonts w:ascii="Arial" w:hAnsi="Arial" w:cs="Arial"/>
        </w:rPr>
        <w:t xml:space="preserve"> contra el Instituto Nacional de VIAS-INVIAS, para que se librara mandamiento de pago por la suma de $6.413.768.489 más intereses. En apoyo de las pretensiones, la parte demandante afirmó que el Tribunal Administrativo de Antioquia aprobó un acuerdo conciliatorio entre las partes dentro del proceso ejecutivo nº. 2000-02747 en el que se acordó un pago a favor de la ejecutante que la ejecutada incumplió. </w:t>
      </w:r>
    </w:p>
    <w:p w14:paraId="2ACA877B" w14:textId="77777777" w:rsidR="00762B1D" w:rsidRPr="00F0159E" w:rsidRDefault="00762B1D" w:rsidP="00762B1D">
      <w:pPr>
        <w:widowControl w:val="0"/>
        <w:spacing w:line="360" w:lineRule="auto"/>
        <w:jc w:val="both"/>
        <w:rPr>
          <w:rFonts w:ascii="Arial" w:hAnsi="Arial" w:cs="Arial"/>
        </w:rPr>
      </w:pPr>
    </w:p>
    <w:p w14:paraId="36BC5087" w14:textId="77777777" w:rsidR="00762B1D" w:rsidRPr="00F0159E" w:rsidRDefault="00762B1D" w:rsidP="00762B1D">
      <w:pPr>
        <w:widowControl w:val="0"/>
        <w:spacing w:line="360" w:lineRule="auto"/>
        <w:jc w:val="both"/>
        <w:rPr>
          <w:rFonts w:ascii="Arial" w:hAnsi="Arial" w:cs="Arial"/>
        </w:rPr>
      </w:pPr>
      <w:r w:rsidRPr="00F0159E">
        <w:rPr>
          <w:rFonts w:ascii="Arial" w:hAnsi="Arial" w:cs="Arial"/>
        </w:rPr>
        <w:t xml:space="preserve">El Magistrado Ponente del Tribunal Administrativo de Antioquia </w:t>
      </w:r>
      <w:r w:rsidRPr="00F0159E">
        <w:rPr>
          <w:rFonts w:ascii="Arial" w:hAnsi="Arial" w:cs="Arial"/>
          <w:b/>
        </w:rPr>
        <w:t>negó el mandamiento de pago</w:t>
      </w:r>
      <w:r w:rsidRPr="00F0159E">
        <w:rPr>
          <w:rFonts w:ascii="Arial" w:hAnsi="Arial" w:cs="Arial"/>
        </w:rPr>
        <w:t xml:space="preserve">. Consideró que la obligación no era exigible, porque la Fiscalía General de la Nación y la Contraloría General de la República ordenaron la suspensión del pago del acuerdo conciliatorio que sirvió de título ejecutivo. La parte demandante esgrimió, en el </w:t>
      </w:r>
      <w:r w:rsidRPr="00F0159E">
        <w:rPr>
          <w:rFonts w:ascii="Arial" w:hAnsi="Arial" w:cs="Arial"/>
          <w:b/>
        </w:rPr>
        <w:t>recurso de reposición</w:t>
      </w:r>
      <w:r w:rsidRPr="00F0159E">
        <w:rPr>
          <w:rFonts w:ascii="Arial" w:hAnsi="Arial" w:cs="Arial"/>
        </w:rPr>
        <w:t xml:space="preserve">, que la decisión debía adoptarla la Sala y no el ponente y en el </w:t>
      </w:r>
      <w:r w:rsidRPr="00F0159E">
        <w:rPr>
          <w:rFonts w:ascii="Arial" w:hAnsi="Arial" w:cs="Arial"/>
          <w:b/>
        </w:rPr>
        <w:t>recurso de apelación</w:t>
      </w:r>
      <w:r w:rsidRPr="00F0159E">
        <w:rPr>
          <w:rFonts w:ascii="Arial" w:hAnsi="Arial" w:cs="Arial"/>
        </w:rPr>
        <w:t xml:space="preserve"> que la medida de suspensión de pago no afectaba la exigibilidad del título. El Magistrado Ponente negó la reposición y concedió el recurso de apelación. Se recibió el expediente en el Consejo de Estado </w:t>
      </w:r>
      <w:r w:rsidRPr="00F0159E">
        <w:rPr>
          <w:rFonts w:ascii="Arial" w:hAnsi="Arial" w:cs="Arial"/>
        </w:rPr>
        <w:lastRenderedPageBreak/>
        <w:t>para tramitar la apelación y se admitió por auto.</w:t>
      </w:r>
    </w:p>
    <w:p w14:paraId="716A1286" w14:textId="77777777" w:rsidR="00762B1D" w:rsidRPr="00F0159E" w:rsidRDefault="00762B1D" w:rsidP="00762B1D">
      <w:pPr>
        <w:widowControl w:val="0"/>
        <w:spacing w:line="360" w:lineRule="auto"/>
        <w:jc w:val="both"/>
        <w:rPr>
          <w:rFonts w:ascii="Arial" w:hAnsi="Arial" w:cs="Arial"/>
        </w:rPr>
      </w:pPr>
    </w:p>
    <w:p w14:paraId="0D558376" w14:textId="77777777" w:rsidR="00762B1D" w:rsidRPr="00F0159E" w:rsidRDefault="00762B1D" w:rsidP="00762B1D">
      <w:pPr>
        <w:widowControl w:val="0"/>
        <w:tabs>
          <w:tab w:val="left" w:pos="8054"/>
        </w:tabs>
        <w:autoSpaceDE w:val="0"/>
        <w:autoSpaceDN w:val="0"/>
        <w:adjustRightInd w:val="0"/>
        <w:spacing w:line="360" w:lineRule="auto"/>
        <w:jc w:val="both"/>
        <w:rPr>
          <w:rFonts w:ascii="Arial" w:hAnsi="Arial" w:cs="Arial"/>
        </w:rPr>
      </w:pPr>
      <w:r w:rsidRPr="00F0159E">
        <w:rPr>
          <w:rFonts w:ascii="Arial" w:hAnsi="Arial" w:cs="Arial"/>
        </w:rPr>
        <w:t>1. El artículo 181 numeral 3° del CCA prevé que el auto que rechace la demanda es susceptible del recurso de apelación y es de competencia de la Sala según el inciso segundo del artículo 146A, excepto en los procesos de única instancia. Por otra parte, el auto que niega el mandamiento de pago se equipara al auto que rechaza la demanda, porque impide el trámite del proceso y también deberá ser decidido por la Sala</w:t>
      </w:r>
      <w:r w:rsidRPr="00F0159E">
        <w:rPr>
          <w:rStyle w:val="Refdenotaalpie"/>
          <w:rFonts w:ascii="Arial" w:hAnsi="Arial" w:cs="Arial"/>
        </w:rPr>
        <w:footnoteReference w:id="1"/>
      </w:r>
      <w:r w:rsidRPr="00F0159E">
        <w:rPr>
          <w:rFonts w:ascii="Arial" w:hAnsi="Arial" w:cs="Arial"/>
        </w:rPr>
        <w:t>.</w:t>
      </w:r>
    </w:p>
    <w:p w14:paraId="24A1052F" w14:textId="77777777" w:rsidR="00762B1D" w:rsidRPr="00D22DD0" w:rsidRDefault="00762B1D" w:rsidP="00762B1D">
      <w:pPr>
        <w:widowControl w:val="0"/>
        <w:spacing w:line="360" w:lineRule="auto"/>
        <w:jc w:val="both"/>
        <w:rPr>
          <w:rFonts w:ascii="Arial" w:hAnsi="Arial" w:cs="Arial"/>
          <w:sz w:val="16"/>
          <w:szCs w:val="16"/>
        </w:rPr>
      </w:pPr>
    </w:p>
    <w:p w14:paraId="5050A235" w14:textId="77777777" w:rsidR="00762B1D" w:rsidRPr="00F0159E" w:rsidRDefault="00762B1D" w:rsidP="00762B1D">
      <w:pPr>
        <w:widowControl w:val="0"/>
        <w:spacing w:line="360" w:lineRule="auto"/>
        <w:jc w:val="both"/>
        <w:rPr>
          <w:rFonts w:ascii="Arial" w:hAnsi="Arial" w:cs="Arial"/>
        </w:rPr>
      </w:pPr>
      <w:r w:rsidRPr="00F0159E">
        <w:rPr>
          <w:rFonts w:ascii="Arial" w:hAnsi="Arial" w:cs="Arial"/>
        </w:rPr>
        <w:t>2. Según el artículo 13 del CPC la competencia es improrrogable cualquiera sea el factor que la determine. A su vez, el numeral 2º del artículo 140 del CPC establece que el proceso es nulo cuando el juez carece de competencia y el artículo 146 dispone que la nulidad solo comprenderá la actuación posterior al motivo que la produjo y que resulte afectada por el vicio, pero las pruebas practicadas dentro de dicha actuación conservarán su validez y tendrán eficacia respecto a quienes tuvieron la oportunidad de contradecirlas.</w:t>
      </w:r>
    </w:p>
    <w:p w14:paraId="406BA5B1" w14:textId="77777777" w:rsidR="00762B1D" w:rsidRPr="00D22DD0" w:rsidRDefault="00762B1D" w:rsidP="00762B1D">
      <w:pPr>
        <w:widowControl w:val="0"/>
        <w:spacing w:line="360" w:lineRule="auto"/>
        <w:jc w:val="both"/>
        <w:rPr>
          <w:rFonts w:ascii="Arial" w:hAnsi="Arial" w:cs="Arial"/>
          <w:sz w:val="16"/>
          <w:szCs w:val="16"/>
        </w:rPr>
      </w:pPr>
    </w:p>
    <w:p w14:paraId="7CC05A5A" w14:textId="77777777" w:rsidR="00762B1D" w:rsidRPr="00F0159E" w:rsidRDefault="00762B1D" w:rsidP="00762B1D">
      <w:pPr>
        <w:widowControl w:val="0"/>
        <w:tabs>
          <w:tab w:val="left" w:pos="8054"/>
        </w:tabs>
        <w:autoSpaceDE w:val="0"/>
        <w:autoSpaceDN w:val="0"/>
        <w:adjustRightInd w:val="0"/>
        <w:spacing w:line="360" w:lineRule="auto"/>
        <w:jc w:val="both"/>
        <w:rPr>
          <w:rFonts w:ascii="Arial" w:hAnsi="Arial" w:cs="Arial"/>
        </w:rPr>
      </w:pPr>
      <w:r w:rsidRPr="00F0159E">
        <w:rPr>
          <w:rFonts w:ascii="Arial" w:hAnsi="Arial" w:cs="Arial"/>
        </w:rPr>
        <w:t>3. Como el auto que niega el mandamiento de pago se equipara al rechazo de la demanda, esa providencia es de competencia de la Sala, así el proceso se tramite con arreglo al procedimiento del ejecutivo singular de mayor cuantía previsto en el CPC (Art. 87 CCA), pues la remisión a ese código es para el trámite del proceso sin desconocer las competencias del juez contencioso administrativo previstas en el CCA.</w:t>
      </w:r>
    </w:p>
    <w:p w14:paraId="7A5733D7" w14:textId="77777777" w:rsidR="00762B1D" w:rsidRPr="00D22DD0" w:rsidRDefault="00762B1D" w:rsidP="00762B1D">
      <w:pPr>
        <w:widowControl w:val="0"/>
        <w:tabs>
          <w:tab w:val="left" w:pos="8054"/>
        </w:tabs>
        <w:autoSpaceDE w:val="0"/>
        <w:autoSpaceDN w:val="0"/>
        <w:adjustRightInd w:val="0"/>
        <w:spacing w:line="360" w:lineRule="auto"/>
        <w:jc w:val="both"/>
        <w:rPr>
          <w:rFonts w:ascii="Arial" w:hAnsi="Arial" w:cs="Arial"/>
          <w:sz w:val="16"/>
          <w:szCs w:val="16"/>
        </w:rPr>
      </w:pPr>
    </w:p>
    <w:p w14:paraId="7E6CB6C3" w14:textId="77777777" w:rsidR="00762B1D" w:rsidRPr="00F0159E" w:rsidRDefault="00762B1D" w:rsidP="00762B1D">
      <w:pPr>
        <w:widowControl w:val="0"/>
        <w:tabs>
          <w:tab w:val="left" w:pos="8054"/>
        </w:tabs>
        <w:autoSpaceDE w:val="0"/>
        <w:autoSpaceDN w:val="0"/>
        <w:adjustRightInd w:val="0"/>
        <w:spacing w:line="360" w:lineRule="auto"/>
        <w:jc w:val="both"/>
        <w:rPr>
          <w:rFonts w:ascii="Arial" w:hAnsi="Arial" w:cs="Arial"/>
        </w:rPr>
      </w:pPr>
      <w:r w:rsidRPr="00F0159E">
        <w:rPr>
          <w:rFonts w:ascii="Arial" w:hAnsi="Arial" w:cs="Arial"/>
        </w:rPr>
        <w:t xml:space="preserve">Como el auto que negó el mandamiento de pago correspondía a la sala de decisión del Tribunal Administrativo de Antioquia y no al Magistrado Ponente, el Despacho declarará la falta de competencia funcional de este y remitirá el proceso al tribunal, para que tome la decisión conforme a las reglas de competencia establecidas en el artículo 146 A del CCA. </w:t>
      </w:r>
    </w:p>
    <w:p w14:paraId="2BAC5A31" w14:textId="77777777" w:rsidR="00762B1D" w:rsidRPr="00D22DD0" w:rsidRDefault="00762B1D" w:rsidP="00762B1D">
      <w:pPr>
        <w:widowControl w:val="0"/>
        <w:spacing w:line="360" w:lineRule="auto"/>
        <w:jc w:val="both"/>
        <w:rPr>
          <w:rFonts w:ascii="Arial" w:hAnsi="Arial" w:cs="Arial"/>
          <w:sz w:val="16"/>
          <w:szCs w:val="16"/>
        </w:rPr>
      </w:pPr>
    </w:p>
    <w:p w14:paraId="0E0CCD51" w14:textId="77777777" w:rsidR="00762B1D" w:rsidRPr="00F0159E" w:rsidRDefault="00762B1D" w:rsidP="00762B1D">
      <w:pPr>
        <w:widowControl w:val="0"/>
        <w:spacing w:line="360" w:lineRule="auto"/>
        <w:jc w:val="center"/>
        <w:rPr>
          <w:rFonts w:ascii="Arial" w:hAnsi="Arial" w:cs="Arial"/>
        </w:rPr>
      </w:pPr>
      <w:r w:rsidRPr="00F0159E">
        <w:rPr>
          <w:rFonts w:ascii="Arial" w:hAnsi="Arial" w:cs="Arial"/>
          <w:b/>
        </w:rPr>
        <w:t>RESUELVE</w:t>
      </w:r>
    </w:p>
    <w:p w14:paraId="1C2D42CB" w14:textId="77777777" w:rsidR="00762B1D" w:rsidRPr="00D22DD0" w:rsidRDefault="00762B1D" w:rsidP="00762B1D">
      <w:pPr>
        <w:pStyle w:val="Prrafodelista"/>
        <w:widowControl w:val="0"/>
        <w:spacing w:line="360" w:lineRule="auto"/>
        <w:ind w:left="0"/>
        <w:contextualSpacing w:val="0"/>
        <w:jc w:val="both"/>
        <w:rPr>
          <w:rFonts w:ascii="Arial" w:hAnsi="Arial" w:cs="Arial"/>
          <w:sz w:val="16"/>
          <w:szCs w:val="16"/>
        </w:rPr>
      </w:pPr>
    </w:p>
    <w:p w14:paraId="0F68193A" w14:textId="77777777" w:rsidR="00762B1D" w:rsidRDefault="00762B1D" w:rsidP="00762B1D">
      <w:pPr>
        <w:pStyle w:val="Prrafodelista"/>
        <w:widowControl w:val="0"/>
        <w:spacing w:line="360" w:lineRule="auto"/>
        <w:ind w:left="0"/>
        <w:contextualSpacing w:val="0"/>
        <w:jc w:val="both"/>
        <w:rPr>
          <w:rFonts w:ascii="Arial" w:hAnsi="Arial" w:cs="Arial"/>
        </w:rPr>
      </w:pPr>
      <w:r w:rsidRPr="00F0159E">
        <w:rPr>
          <w:rFonts w:ascii="Arial" w:hAnsi="Arial" w:cs="Arial"/>
          <w:b/>
        </w:rPr>
        <w:t xml:space="preserve">PRIMERO. DECLÁRASE </w:t>
      </w:r>
      <w:r w:rsidRPr="00D22DD0">
        <w:rPr>
          <w:rFonts w:ascii="Arial" w:hAnsi="Arial" w:cs="Arial"/>
        </w:rPr>
        <w:t>la nulidad del auto del 30 de octubre de 2013 que negó el mandamiento de pago por falta de competencia funcional del Magistrado Ponente del Tribunal Administrativo de Antioquia como la nulidad del proceso desde esa fecha</w:t>
      </w:r>
      <w:r w:rsidRPr="00F0159E">
        <w:rPr>
          <w:rFonts w:ascii="Arial" w:hAnsi="Arial" w:cs="Arial"/>
        </w:rPr>
        <w:t>.</w:t>
      </w:r>
    </w:p>
    <w:p w14:paraId="279C7161" w14:textId="77777777" w:rsidR="00762B1D" w:rsidRPr="00F0159E" w:rsidRDefault="00762B1D" w:rsidP="00762B1D">
      <w:pPr>
        <w:pStyle w:val="Prrafodelista"/>
        <w:widowControl w:val="0"/>
        <w:spacing w:line="360" w:lineRule="auto"/>
        <w:ind w:left="0"/>
        <w:contextualSpacing w:val="0"/>
        <w:jc w:val="both"/>
        <w:rPr>
          <w:rFonts w:ascii="Arial" w:hAnsi="Arial" w:cs="Arial"/>
          <w:spacing w:val="-3"/>
          <w:lang w:val="es-ES_tradnl"/>
        </w:rPr>
      </w:pPr>
      <w:r w:rsidRPr="00F0159E">
        <w:rPr>
          <w:rFonts w:ascii="Arial" w:hAnsi="Arial" w:cs="Arial"/>
          <w:b/>
          <w:spacing w:val="-3"/>
          <w:lang w:val="es-ES_tradnl"/>
        </w:rPr>
        <w:t>SEGUNDO</w:t>
      </w:r>
      <w:r w:rsidRPr="00F0159E">
        <w:rPr>
          <w:rFonts w:ascii="Arial" w:hAnsi="Arial" w:cs="Arial"/>
          <w:spacing w:val="-3"/>
          <w:lang w:val="es-ES_tradnl"/>
        </w:rPr>
        <w:t xml:space="preserve">: Ejecutoriada esta providencia, </w:t>
      </w:r>
      <w:r w:rsidRPr="00F0159E">
        <w:rPr>
          <w:rFonts w:ascii="Arial" w:hAnsi="Arial" w:cs="Arial"/>
          <w:b/>
          <w:spacing w:val="-3"/>
          <w:lang w:val="es-ES_tradnl"/>
        </w:rPr>
        <w:t xml:space="preserve">REMÍTASE </w:t>
      </w:r>
      <w:r w:rsidRPr="00F0159E">
        <w:rPr>
          <w:rFonts w:ascii="Arial" w:hAnsi="Arial" w:cs="Arial"/>
          <w:spacing w:val="-3"/>
          <w:lang w:val="es-ES_tradnl"/>
        </w:rPr>
        <w:t>el expediente al Tribunal Administrativo de Antioquia</w:t>
      </w:r>
      <w:r w:rsidRPr="00F0159E">
        <w:rPr>
          <w:rFonts w:ascii="Arial" w:hAnsi="Arial" w:cs="Arial"/>
        </w:rPr>
        <w:t>, para lo de su cargo.</w:t>
      </w:r>
    </w:p>
    <w:p w14:paraId="37B66FA1" w14:textId="77777777" w:rsidR="00762B1D" w:rsidRPr="002A7186" w:rsidRDefault="00762B1D" w:rsidP="00762B1D">
      <w:pPr>
        <w:pStyle w:val="Prrafodelista"/>
        <w:widowControl w:val="0"/>
        <w:ind w:left="0"/>
        <w:contextualSpacing w:val="0"/>
        <w:jc w:val="both"/>
        <w:rPr>
          <w:rFonts w:ascii="Arial" w:hAnsi="Arial" w:cs="Arial"/>
          <w:spacing w:val="-3"/>
          <w:lang w:val="es-ES_tradnl"/>
        </w:rPr>
      </w:pPr>
    </w:p>
    <w:p w14:paraId="6CE541B6" w14:textId="77777777" w:rsidR="00762B1D" w:rsidRPr="002A7186" w:rsidRDefault="00762B1D" w:rsidP="00762B1D">
      <w:pPr>
        <w:pStyle w:val="Prrafodelista"/>
        <w:widowControl w:val="0"/>
        <w:ind w:left="0"/>
        <w:contextualSpacing w:val="0"/>
        <w:jc w:val="both"/>
        <w:rPr>
          <w:rFonts w:ascii="Arial" w:hAnsi="Arial" w:cs="Arial"/>
          <w:b/>
        </w:rPr>
      </w:pPr>
      <w:r w:rsidRPr="002A7186">
        <w:rPr>
          <w:rFonts w:ascii="Arial" w:hAnsi="Arial" w:cs="Arial"/>
          <w:b/>
        </w:rPr>
        <w:t>NOTIFÍQUESE Y CÚMPLASE</w:t>
      </w:r>
    </w:p>
    <w:p w14:paraId="3216D53C" w14:textId="77777777" w:rsidR="00762B1D" w:rsidRDefault="00762B1D" w:rsidP="00762B1D">
      <w:pPr>
        <w:widowControl w:val="0"/>
        <w:rPr>
          <w:rFonts w:ascii="Arial" w:hAnsi="Arial" w:cs="Arial"/>
          <w:lang w:val="es-ES_tradnl"/>
        </w:rPr>
      </w:pPr>
    </w:p>
    <w:p w14:paraId="30FF2ADA" w14:textId="77777777" w:rsidR="00762B1D" w:rsidRDefault="00762B1D" w:rsidP="00762B1D">
      <w:pPr>
        <w:widowControl w:val="0"/>
        <w:rPr>
          <w:rFonts w:ascii="Arial" w:hAnsi="Arial" w:cs="Arial"/>
          <w:lang w:val="es-ES_tradnl"/>
        </w:rPr>
      </w:pPr>
    </w:p>
    <w:p w14:paraId="481BAEAF" w14:textId="77777777" w:rsidR="00762B1D" w:rsidRDefault="00762B1D" w:rsidP="00762B1D">
      <w:pPr>
        <w:widowControl w:val="0"/>
        <w:rPr>
          <w:rFonts w:ascii="Arial" w:hAnsi="Arial" w:cs="Arial"/>
          <w:lang w:val="es-ES_tradnl"/>
        </w:rPr>
      </w:pPr>
    </w:p>
    <w:p w14:paraId="69093FF8" w14:textId="77777777" w:rsidR="00762B1D" w:rsidRPr="002A7186" w:rsidRDefault="00762B1D" w:rsidP="00762B1D">
      <w:pPr>
        <w:widowControl w:val="0"/>
        <w:rPr>
          <w:rFonts w:ascii="Arial" w:hAnsi="Arial" w:cs="Arial"/>
          <w:lang w:val="es-ES_tradnl"/>
        </w:rPr>
      </w:pPr>
    </w:p>
    <w:p w14:paraId="22E8097A" w14:textId="77777777" w:rsidR="00762B1D" w:rsidRPr="002A7186" w:rsidRDefault="00762B1D" w:rsidP="00762B1D">
      <w:pPr>
        <w:widowControl w:val="0"/>
        <w:rPr>
          <w:rFonts w:ascii="Arial" w:hAnsi="Arial" w:cs="Arial"/>
          <w:lang w:val="es-ES_tradnl"/>
        </w:rPr>
      </w:pPr>
    </w:p>
    <w:p w14:paraId="3AC054E1" w14:textId="77777777" w:rsidR="00762B1D" w:rsidRPr="002A7186" w:rsidRDefault="00762B1D" w:rsidP="00762B1D">
      <w:pPr>
        <w:widowControl w:val="0"/>
        <w:rPr>
          <w:rFonts w:ascii="Arial" w:hAnsi="Arial" w:cs="Arial"/>
          <w:lang w:val="es-ES_tradnl"/>
        </w:rPr>
      </w:pPr>
    </w:p>
    <w:p w14:paraId="7F85011E" w14:textId="77777777" w:rsidR="00762B1D" w:rsidRPr="002A7186" w:rsidRDefault="00762B1D" w:rsidP="00762B1D">
      <w:pPr>
        <w:widowControl w:val="0"/>
        <w:jc w:val="center"/>
        <w:rPr>
          <w:rFonts w:ascii="Arial" w:hAnsi="Arial" w:cs="Arial"/>
          <w:b/>
          <w:lang w:val="es-ES_tradnl"/>
        </w:rPr>
      </w:pPr>
      <w:r w:rsidRPr="002A7186">
        <w:rPr>
          <w:rFonts w:ascii="Arial" w:hAnsi="Arial" w:cs="Arial"/>
          <w:b/>
          <w:lang w:val="es-ES_tradnl"/>
        </w:rPr>
        <w:t>GUILLERMO SÁNCHEZ LUQUE</w:t>
      </w:r>
    </w:p>
    <w:p w14:paraId="2C88E3BF" w14:textId="77777777" w:rsidR="00762B1D" w:rsidRDefault="00762B1D" w:rsidP="00762B1D">
      <w:pPr>
        <w:widowControl w:val="0"/>
        <w:rPr>
          <w:rFonts w:ascii="Arial" w:hAnsi="Arial" w:cs="Arial"/>
          <w:sz w:val="26"/>
          <w:szCs w:val="26"/>
        </w:rPr>
      </w:pPr>
      <w:r>
        <w:rPr>
          <w:rFonts w:ascii="Arial" w:hAnsi="Arial" w:cs="Arial"/>
          <w:bCs/>
          <w:sz w:val="14"/>
          <w:szCs w:val="14"/>
        </w:rPr>
        <w:t>DPP/AOC</w:t>
      </w:r>
      <w:r w:rsidRPr="004E5A1C">
        <w:rPr>
          <w:rFonts w:ascii="Arial" w:hAnsi="Arial" w:cs="Arial"/>
          <w:bCs/>
          <w:sz w:val="14"/>
          <w:szCs w:val="14"/>
        </w:rPr>
        <w:t>/</w:t>
      </w:r>
      <w:r>
        <w:rPr>
          <w:rFonts w:ascii="Arial" w:hAnsi="Arial" w:cs="Arial"/>
          <w:bCs/>
          <w:sz w:val="14"/>
          <w:szCs w:val="14"/>
        </w:rPr>
        <w:t>3C+1T+1copia</w:t>
      </w:r>
    </w:p>
    <w:p w14:paraId="1A95D601" w14:textId="77777777" w:rsidR="0037023E" w:rsidRDefault="0037023E" w:rsidP="0037023E"/>
    <w:p w14:paraId="013FA003" w14:textId="77777777" w:rsidR="00A8191C" w:rsidRDefault="00A8191C"/>
    <w:sectPr w:rsidR="00A8191C" w:rsidSect="002E023D">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29BB0" w14:textId="77777777" w:rsidR="00855614" w:rsidRDefault="00855614" w:rsidP="00762B1D">
      <w:pPr>
        <w:spacing w:after="0" w:line="240" w:lineRule="auto"/>
      </w:pPr>
      <w:r>
        <w:separator/>
      </w:r>
    </w:p>
  </w:endnote>
  <w:endnote w:type="continuationSeparator" w:id="0">
    <w:p w14:paraId="14185DC2" w14:textId="77777777" w:rsidR="00855614" w:rsidRDefault="00855614" w:rsidP="0076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08CC6" w14:textId="77777777" w:rsidR="00855614" w:rsidRDefault="00855614" w:rsidP="00762B1D">
      <w:pPr>
        <w:spacing w:after="0" w:line="240" w:lineRule="auto"/>
      </w:pPr>
      <w:r>
        <w:separator/>
      </w:r>
    </w:p>
  </w:footnote>
  <w:footnote w:type="continuationSeparator" w:id="0">
    <w:p w14:paraId="5A2BA815" w14:textId="77777777" w:rsidR="00855614" w:rsidRDefault="00855614" w:rsidP="00762B1D">
      <w:pPr>
        <w:spacing w:after="0" w:line="240" w:lineRule="auto"/>
      </w:pPr>
      <w:r>
        <w:continuationSeparator/>
      </w:r>
    </w:p>
  </w:footnote>
  <w:footnote w:id="1">
    <w:p w14:paraId="3354C546" w14:textId="77777777" w:rsidR="00762B1D" w:rsidRPr="00C36F64" w:rsidRDefault="00762B1D" w:rsidP="00762B1D">
      <w:pPr>
        <w:pStyle w:val="Textonotapie"/>
        <w:jc w:val="both"/>
        <w:rPr>
          <w:rFonts w:ascii="Arial" w:hAnsi="Arial" w:cs="Arial"/>
          <w:sz w:val="18"/>
          <w:szCs w:val="18"/>
        </w:rPr>
      </w:pPr>
      <w:r w:rsidRPr="00C36F64">
        <w:rPr>
          <w:rStyle w:val="Refdenotaalpie"/>
          <w:sz w:val="18"/>
          <w:szCs w:val="18"/>
        </w:rPr>
        <w:footnoteRef/>
      </w:r>
      <w:r w:rsidRPr="00C36F64">
        <w:rPr>
          <w:rFonts w:ascii="Arial" w:hAnsi="Arial" w:cs="Arial"/>
          <w:sz w:val="18"/>
          <w:szCs w:val="18"/>
          <w:lang w:val="es-CO"/>
        </w:rPr>
        <w:t xml:space="preserve">Cfr. Consejo de Estado, Sección Tercera, auto del 10 de marzo de 2011. Rad. 38.248 [fundamento jurídico 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3E"/>
    <w:rsid w:val="000A33C4"/>
    <w:rsid w:val="0010159B"/>
    <w:rsid w:val="001A16D1"/>
    <w:rsid w:val="002E023D"/>
    <w:rsid w:val="002F0E2B"/>
    <w:rsid w:val="0037023E"/>
    <w:rsid w:val="00406DF7"/>
    <w:rsid w:val="004B3B2D"/>
    <w:rsid w:val="00504E9E"/>
    <w:rsid w:val="005331E8"/>
    <w:rsid w:val="00651126"/>
    <w:rsid w:val="006F0907"/>
    <w:rsid w:val="00762B1D"/>
    <w:rsid w:val="008327F1"/>
    <w:rsid w:val="00855614"/>
    <w:rsid w:val="009F74E5"/>
    <w:rsid w:val="00A8191C"/>
    <w:rsid w:val="00A90C5A"/>
    <w:rsid w:val="00AC35A6"/>
    <w:rsid w:val="00B2424F"/>
    <w:rsid w:val="00D8251C"/>
    <w:rsid w:val="00DE2D51"/>
    <w:rsid w:val="00E10646"/>
    <w:rsid w:val="00F23C0C"/>
    <w:rsid w:val="00F2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0853"/>
  <w15:chartTrackingRefBased/>
  <w15:docId w15:val="{9429AADE-54A9-464D-A966-4EF6D6C4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3">
    <w:name w:val="heading 3"/>
    <w:basedOn w:val="Normal"/>
    <w:next w:val="Normal"/>
    <w:link w:val="Ttulo3Car"/>
    <w:uiPriority w:val="9"/>
    <w:semiHidden/>
    <w:unhideWhenUsed/>
    <w:qFormat/>
    <w:rsid w:val="00762B1D"/>
    <w:pPr>
      <w:keepNext/>
      <w:spacing w:before="240" w:after="60" w:line="240" w:lineRule="auto"/>
      <w:outlineLvl w:val="2"/>
    </w:pPr>
    <w:rPr>
      <w:rFonts w:ascii="Calibri Light" w:eastAsia="Times New Roman" w:hAnsi="Calibri Light"/>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762B1D"/>
    <w:rPr>
      <w:rFonts w:ascii="Calibri Light" w:eastAsia="Times New Roman" w:hAnsi="Calibri Light"/>
      <w:b/>
      <w:bCs/>
      <w:sz w:val="26"/>
      <w:szCs w:val="26"/>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762B1D"/>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762B1D"/>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762B1D"/>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762B1D"/>
    <w:rPr>
      <w:rFonts w:ascii="Times New Roman" w:eastAsia="Times New Roman" w:hAnsi="Times New Roman"/>
      <w:lang w:val="es-ES" w:eastAsia="x-none"/>
    </w:rPr>
  </w:style>
  <w:style w:type="paragraph" w:styleId="Prrafodelista">
    <w:name w:val="List Paragraph"/>
    <w:basedOn w:val="Normal"/>
    <w:qFormat/>
    <w:rsid w:val="00762B1D"/>
    <w:pPr>
      <w:spacing w:after="0" w:line="240" w:lineRule="auto"/>
      <w:ind w:left="720"/>
      <w:contextualSpacing/>
    </w:pPr>
    <w:rPr>
      <w:rFonts w:ascii="Times New Roman" w:eastAsia="Times New Roman" w:hAnsi="Times New Roman"/>
      <w:sz w:val="24"/>
      <w:szCs w:val="24"/>
      <w:lang w:val="es-ES" w:eastAsia="es-ES"/>
    </w:rPr>
  </w:style>
  <w:style w:type="paragraph" w:customStyle="1" w:styleId="xmsonormal">
    <w:name w:val="x_msonormal"/>
    <w:basedOn w:val="Normal"/>
    <w:rsid w:val="00762B1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msobodytext">
    <w:name w:val="x_msobodytext"/>
    <w:basedOn w:val="Normal"/>
    <w:rsid w:val="00762B1D"/>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BF3DD98-5548-49EA-84B2-5D84CE14D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4161-E2C0-44F4-84E0-9B7048469491}">
  <ds:schemaRefs>
    <ds:schemaRef ds:uri="http://schemas.microsoft.com/sharepoint/v3/contenttype/forms"/>
  </ds:schemaRefs>
</ds:datastoreItem>
</file>

<file path=customXml/itemProps3.xml><?xml version="1.0" encoding="utf-8"?>
<ds:datastoreItem xmlns:ds="http://schemas.openxmlformats.org/officeDocument/2006/customXml" ds:itemID="{15D9786D-F21D-4E3E-B7B8-C09194E2581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2020-07-02T19:43:00Z</dcterms:created>
  <dcterms:modified xsi:type="dcterms:W3CDTF">2020-07-02T19:43:00Z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