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611E8" w14:textId="6587193F" w:rsidR="007F4BFA" w:rsidRPr="00855C9E" w:rsidRDefault="007F4BFA" w:rsidP="00CE27AA">
      <w:pPr>
        <w:jc w:val="both"/>
        <w:rPr>
          <w:rFonts w:ascii="Arial" w:hAnsi="Arial" w:cs="Arial"/>
          <w:b/>
          <w:sz w:val="22"/>
          <w:szCs w:val="22"/>
          <w:shd w:val="clear" w:color="auto" w:fill="FFFFFF"/>
        </w:rPr>
      </w:pPr>
      <w:r w:rsidRPr="00855C9E">
        <w:rPr>
          <w:rFonts w:ascii="Arial" w:hAnsi="Arial" w:cs="Arial"/>
          <w:b/>
          <w:bCs/>
          <w:sz w:val="22"/>
          <w:szCs w:val="22"/>
          <w:shd w:val="clear" w:color="auto" w:fill="FFFFFF"/>
        </w:rPr>
        <w:t>CADUCIDAD DE LA ACCIÓN</w:t>
      </w:r>
      <w:r w:rsidR="0077397E" w:rsidRPr="00855C9E">
        <w:rPr>
          <w:rFonts w:ascii="Arial" w:hAnsi="Arial" w:cs="Arial"/>
          <w:b/>
          <w:bCs/>
          <w:sz w:val="22"/>
          <w:szCs w:val="22"/>
          <w:shd w:val="clear" w:color="auto" w:fill="FFFFFF"/>
        </w:rPr>
        <w:t xml:space="preserve"> </w:t>
      </w:r>
      <w:r w:rsidR="00CE27AA" w:rsidRPr="00855C9E">
        <w:rPr>
          <w:rFonts w:ascii="Arial" w:hAnsi="Arial" w:cs="Arial"/>
          <w:b/>
          <w:bCs/>
          <w:sz w:val="22"/>
          <w:szCs w:val="22"/>
          <w:shd w:val="clear" w:color="auto" w:fill="FFFFFF"/>
        </w:rPr>
        <w:t xml:space="preserve">- </w:t>
      </w:r>
      <w:r w:rsidR="00CE27AA" w:rsidRPr="00855C9E">
        <w:rPr>
          <w:rFonts w:ascii="Arial" w:hAnsi="Arial" w:cs="Arial"/>
          <w:b/>
          <w:sz w:val="22"/>
          <w:szCs w:val="22"/>
          <w:shd w:val="clear" w:color="auto" w:fill="FFFFFF"/>
        </w:rPr>
        <w:t>Ley</w:t>
      </w:r>
      <w:r w:rsidRPr="00855C9E">
        <w:rPr>
          <w:rFonts w:ascii="Arial" w:hAnsi="Arial" w:cs="Arial"/>
          <w:b/>
          <w:sz w:val="22"/>
          <w:szCs w:val="22"/>
          <w:shd w:val="clear" w:color="auto" w:fill="FFFFFF"/>
        </w:rPr>
        <w:t xml:space="preserve"> vigente</w:t>
      </w:r>
    </w:p>
    <w:p w14:paraId="17633BB0" w14:textId="77777777" w:rsidR="007F4BFA" w:rsidRPr="00855C9E" w:rsidRDefault="007F4BFA" w:rsidP="00CE27AA">
      <w:pPr>
        <w:jc w:val="both"/>
        <w:rPr>
          <w:rFonts w:ascii="Arial" w:hAnsi="Arial" w:cs="Arial"/>
          <w:b/>
          <w:bCs/>
          <w:sz w:val="22"/>
          <w:szCs w:val="22"/>
          <w:shd w:val="clear" w:color="auto" w:fill="FFFFFF"/>
        </w:rPr>
      </w:pPr>
    </w:p>
    <w:p w14:paraId="6B08DDA0" w14:textId="35FC0A6C" w:rsidR="007F4BFA" w:rsidRPr="00855C9E" w:rsidRDefault="007F4BFA" w:rsidP="00CE27AA">
      <w:pPr>
        <w:jc w:val="both"/>
        <w:rPr>
          <w:rFonts w:ascii="Arial" w:hAnsi="Arial" w:cs="Arial"/>
          <w:sz w:val="22"/>
          <w:szCs w:val="22"/>
          <w:lang w:val="es-MX"/>
        </w:rPr>
      </w:pPr>
      <w:r w:rsidRPr="00855C9E">
        <w:rPr>
          <w:rFonts w:ascii="Arial" w:hAnsi="Arial" w:cs="Arial"/>
          <w:sz w:val="22"/>
          <w:szCs w:val="22"/>
          <w:lang w:val="es-MX"/>
        </w:rPr>
        <w:t xml:space="preserve">La Sala observa que la demanda se presentó oportunamente, </w:t>
      </w:r>
      <w:r w:rsidRPr="00855C9E">
        <w:rPr>
          <w:rFonts w:ascii="Arial" w:hAnsi="Arial" w:cs="Arial"/>
          <w:sz w:val="22"/>
          <w:szCs w:val="22"/>
        </w:rPr>
        <w:t>de conformidad con lo dispuesto en el Decreto 528 de 1964, vigente para la época de celebración y terminación del contrato, toda vez que la oportunidad en la referida presentación de la demanda corresponde a un supuesto procesal y -</w:t>
      </w:r>
      <w:r w:rsidRPr="00855C9E">
        <w:rPr>
          <w:rFonts w:ascii="Arial" w:hAnsi="Arial" w:cs="Arial"/>
          <w:i/>
          <w:sz w:val="22"/>
          <w:szCs w:val="22"/>
        </w:rPr>
        <w:t>en atención a la naturaleza del requisito</w:t>
      </w:r>
      <w:r w:rsidRPr="00855C9E">
        <w:rPr>
          <w:rFonts w:ascii="Arial" w:hAnsi="Arial" w:cs="Arial"/>
          <w:sz w:val="22"/>
          <w:szCs w:val="22"/>
        </w:rPr>
        <w:t xml:space="preserve">- se le aplica la ley vigente al momento en que empezó a correr el término correspondiente, en este caso el de la prescripción </w:t>
      </w:r>
      <w:r w:rsidRPr="00855C9E">
        <w:rPr>
          <w:rFonts w:ascii="Arial" w:hAnsi="Arial" w:cs="Arial"/>
          <w:sz w:val="22"/>
          <w:szCs w:val="22"/>
          <w:lang w:val="es-MX"/>
        </w:rPr>
        <w:t xml:space="preserve">ordinaria de 20 años derivada del Código Civil, tal como fue modificada por la Ley 50 de 1936. </w:t>
      </w:r>
    </w:p>
    <w:p w14:paraId="54F58C01" w14:textId="77777777" w:rsidR="007F4BFA" w:rsidRPr="00855C9E" w:rsidRDefault="007F4BFA" w:rsidP="00CE27AA">
      <w:pPr>
        <w:jc w:val="both"/>
        <w:rPr>
          <w:rFonts w:ascii="Arial" w:hAnsi="Arial" w:cs="Arial"/>
          <w:b/>
          <w:bCs/>
          <w:sz w:val="22"/>
          <w:szCs w:val="22"/>
          <w:shd w:val="clear" w:color="auto" w:fill="FFFFFF"/>
        </w:rPr>
      </w:pPr>
    </w:p>
    <w:p w14:paraId="1002BA90" w14:textId="285284F7" w:rsidR="00E27F0A" w:rsidRPr="00855C9E" w:rsidRDefault="00E27F0A" w:rsidP="00CE27AA">
      <w:pPr>
        <w:jc w:val="both"/>
        <w:rPr>
          <w:rFonts w:ascii="Arial" w:hAnsi="Arial" w:cs="Arial"/>
          <w:b/>
          <w:sz w:val="22"/>
          <w:szCs w:val="22"/>
          <w:shd w:val="clear" w:color="auto" w:fill="FFFFFF"/>
        </w:rPr>
      </w:pPr>
      <w:r w:rsidRPr="00855C9E">
        <w:rPr>
          <w:rFonts w:ascii="Arial" w:hAnsi="Arial" w:cs="Arial"/>
          <w:b/>
          <w:bCs/>
          <w:sz w:val="22"/>
          <w:szCs w:val="22"/>
          <w:shd w:val="clear" w:color="auto" w:fill="FFFFFF"/>
        </w:rPr>
        <w:t>CADUCIDAD DE LA ACCI</w:t>
      </w:r>
      <w:r w:rsidR="0077397E" w:rsidRPr="00855C9E">
        <w:rPr>
          <w:rFonts w:ascii="Arial" w:hAnsi="Arial" w:cs="Arial"/>
          <w:b/>
          <w:bCs/>
          <w:sz w:val="22"/>
          <w:szCs w:val="22"/>
          <w:shd w:val="clear" w:color="auto" w:fill="FFFFFF"/>
        </w:rPr>
        <w:t>Ó</w:t>
      </w:r>
      <w:r w:rsidRPr="00855C9E">
        <w:rPr>
          <w:rFonts w:ascii="Arial" w:hAnsi="Arial" w:cs="Arial"/>
          <w:b/>
          <w:bCs/>
          <w:sz w:val="22"/>
          <w:szCs w:val="22"/>
          <w:shd w:val="clear" w:color="auto" w:fill="FFFFFF"/>
        </w:rPr>
        <w:t xml:space="preserve">N </w:t>
      </w:r>
      <w:r w:rsidR="0077397E" w:rsidRPr="00855C9E">
        <w:rPr>
          <w:rFonts w:ascii="Arial" w:hAnsi="Arial" w:cs="Arial"/>
          <w:b/>
          <w:bCs/>
          <w:sz w:val="22"/>
          <w:szCs w:val="22"/>
          <w:shd w:val="clear" w:color="auto" w:fill="FFFFFF"/>
        </w:rPr>
        <w:t>- Normas - Naturaleza jurídica</w:t>
      </w:r>
      <w:r w:rsidR="007F4BFA" w:rsidRPr="00855C9E">
        <w:rPr>
          <w:rFonts w:ascii="Arial" w:hAnsi="Arial" w:cs="Arial"/>
          <w:b/>
          <w:sz w:val="22"/>
          <w:szCs w:val="22"/>
          <w:shd w:val="clear" w:color="auto" w:fill="FFFFFF"/>
        </w:rPr>
        <w:t xml:space="preserve"> </w:t>
      </w:r>
    </w:p>
    <w:p w14:paraId="53BBCEEC" w14:textId="77777777" w:rsidR="00E27F0A" w:rsidRPr="00855C9E" w:rsidRDefault="00E27F0A" w:rsidP="00CE27AA">
      <w:pPr>
        <w:jc w:val="both"/>
        <w:rPr>
          <w:rFonts w:ascii="Arial" w:hAnsi="Arial" w:cs="Arial"/>
          <w:bCs/>
          <w:sz w:val="22"/>
          <w:szCs w:val="22"/>
          <w:shd w:val="clear" w:color="auto" w:fill="FFFFFF"/>
        </w:rPr>
      </w:pPr>
    </w:p>
    <w:p w14:paraId="66FE1ECE" w14:textId="77777777" w:rsidR="00E27F0A" w:rsidRPr="00855C9E" w:rsidRDefault="00E27F0A" w:rsidP="00CE27AA">
      <w:pPr>
        <w:jc w:val="both"/>
        <w:rPr>
          <w:rFonts w:ascii="Arial" w:hAnsi="Arial" w:cs="Arial"/>
          <w:sz w:val="22"/>
          <w:szCs w:val="22"/>
        </w:rPr>
      </w:pPr>
      <w:r w:rsidRPr="00855C9E">
        <w:rPr>
          <w:rFonts w:ascii="Arial" w:hAnsi="Arial" w:cs="Arial"/>
          <w:sz w:val="22"/>
          <w:szCs w:val="22"/>
        </w:rPr>
        <w:t>Las normas relativas a la caducidad de la acción son de naturaleza procesal, pese a que tienen un trasfondo sustancial, porque limitan en el tiempo el ejercicio del derecho público de acción, por consiguiente, los límites objetivo - temporales que extinguen con el paso del tiempo la posibilidad de poner en funcionamiento el aparato jurisdiccional se encuentran supeditados a la normatividad imperante al momento en que acontece el supuesto que permite acudir a la jurisdicción, en procura de la protección o de la satisfacción del derecho subjetivo conculcado, de manera que la inactividad del administrado, por el período determinado en la ley, genera inexorablemente la caducidad de la acción. Tal planteamiento se acompasa con lo previsto por los artículos 38 y 40 de la Ley 153 de 1887.</w:t>
      </w:r>
    </w:p>
    <w:p w14:paraId="3DF0B454" w14:textId="77777777" w:rsidR="00E27F0A" w:rsidRPr="00855C9E" w:rsidRDefault="00E27F0A" w:rsidP="00CE27AA">
      <w:pPr>
        <w:jc w:val="both"/>
        <w:rPr>
          <w:rFonts w:ascii="Arial" w:hAnsi="Arial" w:cs="Arial"/>
          <w:sz w:val="22"/>
          <w:szCs w:val="22"/>
        </w:rPr>
      </w:pPr>
    </w:p>
    <w:p w14:paraId="5642DF25" w14:textId="40C7CD02" w:rsidR="00E27F0A" w:rsidRPr="00855C9E" w:rsidRDefault="00E27F0A" w:rsidP="00CE27AA">
      <w:pPr>
        <w:jc w:val="both"/>
        <w:rPr>
          <w:rFonts w:ascii="Arial" w:hAnsi="Arial" w:cs="Arial"/>
          <w:b/>
          <w:sz w:val="22"/>
          <w:szCs w:val="22"/>
        </w:rPr>
      </w:pPr>
      <w:r w:rsidRPr="00855C9E">
        <w:rPr>
          <w:rFonts w:ascii="Arial" w:hAnsi="Arial" w:cs="Arial"/>
          <w:b/>
          <w:sz w:val="22"/>
          <w:szCs w:val="22"/>
        </w:rPr>
        <w:t>LEGITIMACI</w:t>
      </w:r>
      <w:r w:rsidR="0077397E" w:rsidRPr="00855C9E">
        <w:rPr>
          <w:rFonts w:ascii="Arial" w:hAnsi="Arial" w:cs="Arial"/>
          <w:b/>
          <w:sz w:val="22"/>
          <w:szCs w:val="22"/>
        </w:rPr>
        <w:t>Ó</w:t>
      </w:r>
      <w:r w:rsidRPr="00855C9E">
        <w:rPr>
          <w:rFonts w:ascii="Arial" w:hAnsi="Arial" w:cs="Arial"/>
          <w:b/>
          <w:sz w:val="22"/>
          <w:szCs w:val="22"/>
        </w:rPr>
        <w:t xml:space="preserve">N EN LA CAUSA </w:t>
      </w:r>
      <w:r w:rsidR="0077397E" w:rsidRPr="00855C9E">
        <w:rPr>
          <w:rFonts w:ascii="Arial" w:hAnsi="Arial" w:cs="Arial"/>
          <w:b/>
          <w:sz w:val="22"/>
          <w:szCs w:val="22"/>
        </w:rPr>
        <w:t>- P</w:t>
      </w:r>
      <w:r w:rsidRPr="00855C9E">
        <w:rPr>
          <w:rFonts w:ascii="Arial" w:hAnsi="Arial" w:cs="Arial"/>
          <w:b/>
          <w:bCs/>
          <w:sz w:val="22"/>
          <w:szCs w:val="22"/>
        </w:rPr>
        <w:t>or pasiva</w:t>
      </w:r>
    </w:p>
    <w:p w14:paraId="5E77661B" w14:textId="77777777" w:rsidR="00E27F0A" w:rsidRPr="00855C9E" w:rsidRDefault="00E27F0A" w:rsidP="00CE27AA">
      <w:pPr>
        <w:jc w:val="both"/>
        <w:rPr>
          <w:rFonts w:ascii="Arial" w:hAnsi="Arial" w:cs="Arial"/>
          <w:b/>
          <w:sz w:val="22"/>
          <w:szCs w:val="22"/>
        </w:rPr>
      </w:pPr>
    </w:p>
    <w:p w14:paraId="25950795" w14:textId="1B190826" w:rsidR="00E27F0A" w:rsidRPr="00855C9E" w:rsidRDefault="00E27F0A" w:rsidP="00CE27AA">
      <w:pPr>
        <w:jc w:val="both"/>
        <w:rPr>
          <w:rFonts w:ascii="Arial" w:hAnsi="Arial" w:cs="Arial"/>
          <w:sz w:val="22"/>
          <w:szCs w:val="22"/>
        </w:rPr>
      </w:pPr>
      <w:r w:rsidRPr="00855C9E">
        <w:rPr>
          <w:rFonts w:ascii="Arial" w:hAnsi="Arial" w:cs="Arial"/>
          <w:sz w:val="22"/>
          <w:szCs w:val="22"/>
        </w:rPr>
        <w:t>Se agrega a lo anterior que al Instituto Nacional de Vías se le asignó la función general de celebrar los contratos, de acuerdo con el artículo 52 del Decreto 2171 de 1992, de manera que, por tratarse de la misma entidad que fue reestructurada, no es válida la</w:t>
      </w:r>
      <w:r w:rsidR="003360CD" w:rsidRPr="00855C9E">
        <w:rPr>
          <w:rFonts w:ascii="Arial" w:hAnsi="Arial" w:cs="Arial"/>
          <w:sz w:val="22"/>
          <w:szCs w:val="22"/>
        </w:rPr>
        <w:t xml:space="preserve"> </w:t>
      </w:r>
      <w:r w:rsidRPr="00855C9E">
        <w:rPr>
          <w:rFonts w:ascii="Arial" w:hAnsi="Arial" w:cs="Arial"/>
          <w:sz w:val="22"/>
          <w:szCs w:val="22"/>
        </w:rPr>
        <w:t xml:space="preserve">diferenciación que propone el </w:t>
      </w:r>
      <w:proofErr w:type="spellStart"/>
      <w:r w:rsidRPr="00855C9E">
        <w:rPr>
          <w:rFonts w:ascii="Arial" w:hAnsi="Arial" w:cs="Arial"/>
          <w:sz w:val="22"/>
          <w:szCs w:val="22"/>
        </w:rPr>
        <w:t>Invías</w:t>
      </w:r>
      <w:proofErr w:type="spellEnd"/>
      <w:r w:rsidRPr="00855C9E">
        <w:rPr>
          <w:rFonts w:ascii="Arial" w:hAnsi="Arial" w:cs="Arial"/>
          <w:sz w:val="22"/>
          <w:szCs w:val="22"/>
        </w:rPr>
        <w:t xml:space="preserve"> entre los contratos vigentes y los celebrados por esa misma entidad, pero que habían terminado antes del decreto de reestructuración de funciones.</w:t>
      </w:r>
    </w:p>
    <w:p w14:paraId="61509693" w14:textId="77777777" w:rsidR="00E27F0A" w:rsidRPr="00855C9E" w:rsidRDefault="00E27F0A" w:rsidP="00CE27AA">
      <w:pPr>
        <w:rPr>
          <w:rFonts w:ascii="Arial" w:hAnsi="Arial" w:cs="Arial"/>
          <w:sz w:val="22"/>
          <w:szCs w:val="22"/>
        </w:rPr>
      </w:pPr>
    </w:p>
    <w:p w14:paraId="6BAD6F20" w14:textId="27E9014D" w:rsidR="00E27F0A" w:rsidRPr="00855C9E" w:rsidRDefault="00E27F0A" w:rsidP="00CE27AA">
      <w:pPr>
        <w:rPr>
          <w:rFonts w:ascii="Arial" w:hAnsi="Arial" w:cs="Arial"/>
          <w:sz w:val="22"/>
          <w:szCs w:val="22"/>
        </w:rPr>
      </w:pPr>
      <w:r w:rsidRPr="00855C9E">
        <w:rPr>
          <w:rFonts w:ascii="Arial" w:hAnsi="Arial" w:cs="Arial"/>
          <w:b/>
          <w:sz w:val="22"/>
          <w:szCs w:val="22"/>
        </w:rPr>
        <w:t xml:space="preserve">CONTROVERSIAS CONTRACTUALES </w:t>
      </w:r>
      <w:r w:rsidR="00AD4DCF" w:rsidRPr="00855C9E">
        <w:rPr>
          <w:rFonts w:ascii="Arial" w:hAnsi="Arial" w:cs="Arial"/>
          <w:b/>
          <w:sz w:val="22"/>
          <w:szCs w:val="22"/>
        </w:rPr>
        <w:t>- Procedencia -</w:t>
      </w:r>
      <w:r w:rsidRPr="00855C9E">
        <w:rPr>
          <w:rFonts w:ascii="Arial" w:hAnsi="Arial" w:cs="Arial"/>
          <w:sz w:val="22"/>
          <w:szCs w:val="22"/>
        </w:rPr>
        <w:t xml:space="preserve"> </w:t>
      </w:r>
      <w:r w:rsidR="00AD4DCF" w:rsidRPr="00855C9E">
        <w:rPr>
          <w:rFonts w:ascii="Arial" w:hAnsi="Arial" w:cs="Arial"/>
          <w:b/>
          <w:bCs/>
          <w:sz w:val="22"/>
          <w:szCs w:val="22"/>
        </w:rPr>
        <w:t>Daño</w:t>
      </w:r>
      <w:r w:rsidR="007F4BFA" w:rsidRPr="00855C9E">
        <w:rPr>
          <w:rFonts w:ascii="Arial" w:hAnsi="Arial" w:cs="Arial"/>
          <w:sz w:val="22"/>
          <w:szCs w:val="22"/>
        </w:rPr>
        <w:t xml:space="preserve"> </w:t>
      </w:r>
      <w:r w:rsidRPr="00855C9E">
        <w:rPr>
          <w:rFonts w:ascii="Arial" w:hAnsi="Arial" w:cs="Arial"/>
          <w:sz w:val="22"/>
          <w:szCs w:val="22"/>
        </w:rPr>
        <w:t xml:space="preserve"> </w:t>
      </w:r>
    </w:p>
    <w:p w14:paraId="778D03C6" w14:textId="77777777" w:rsidR="00E27F0A" w:rsidRPr="00855C9E" w:rsidRDefault="00E27F0A" w:rsidP="00CE27AA">
      <w:pPr>
        <w:rPr>
          <w:rFonts w:ascii="Arial" w:hAnsi="Arial" w:cs="Arial"/>
          <w:sz w:val="22"/>
          <w:szCs w:val="22"/>
        </w:rPr>
      </w:pPr>
    </w:p>
    <w:p w14:paraId="77D6CB85" w14:textId="77777777" w:rsidR="00E27F0A" w:rsidRPr="00855C9E" w:rsidRDefault="00E27F0A" w:rsidP="00CE27AA">
      <w:pPr>
        <w:jc w:val="both"/>
        <w:rPr>
          <w:rFonts w:ascii="Arial" w:hAnsi="Arial" w:cs="Arial"/>
          <w:sz w:val="22"/>
          <w:szCs w:val="22"/>
        </w:rPr>
      </w:pPr>
      <w:r w:rsidRPr="00855C9E">
        <w:rPr>
          <w:rFonts w:ascii="Arial" w:hAnsi="Arial" w:cs="Arial"/>
          <w:sz w:val="22"/>
          <w:szCs w:val="22"/>
        </w:rPr>
        <w:t>La Sala observa que, aunque en la demanda no se hubiera citado dicho artículo del CCA, la “</w:t>
      </w:r>
      <w:proofErr w:type="spellStart"/>
      <w:r w:rsidRPr="00855C9E">
        <w:rPr>
          <w:rFonts w:ascii="Arial" w:hAnsi="Arial" w:cs="Arial"/>
          <w:sz w:val="22"/>
          <w:szCs w:val="22"/>
        </w:rPr>
        <w:t>actio</w:t>
      </w:r>
      <w:proofErr w:type="spellEnd"/>
      <w:r w:rsidRPr="00855C9E">
        <w:rPr>
          <w:rFonts w:ascii="Arial" w:hAnsi="Arial" w:cs="Arial"/>
          <w:sz w:val="22"/>
          <w:szCs w:val="22"/>
        </w:rPr>
        <w:t xml:space="preserve"> in rem verso” o acción de enriquecimiento sin causa que se alegó por la parte demandante correspondió en este caso a una pretensión contractual, en tanto estaba referida a un supuesto enriquecimiento injusto por el incumplimiento y el desequilibrio económico del contrato. En ambos casos planteados en la demanda, la fuente del daño es de carácter contractual, toda vez que se refiere a las prestaciones ocurridas en desarrollo de un contrato</w:t>
      </w:r>
    </w:p>
    <w:p w14:paraId="064AB29E" w14:textId="77777777" w:rsidR="00E27F0A" w:rsidRPr="00855C9E" w:rsidRDefault="00E27F0A" w:rsidP="00CE27AA">
      <w:pPr>
        <w:jc w:val="both"/>
        <w:rPr>
          <w:rFonts w:ascii="Arial" w:hAnsi="Arial" w:cs="Arial"/>
          <w:sz w:val="22"/>
          <w:szCs w:val="22"/>
        </w:rPr>
      </w:pPr>
    </w:p>
    <w:p w14:paraId="7AB31044" w14:textId="3DA1B8AC" w:rsidR="00E27F0A" w:rsidRPr="00855C9E" w:rsidRDefault="00E27F0A" w:rsidP="00CE27AA">
      <w:pPr>
        <w:jc w:val="both"/>
        <w:rPr>
          <w:rFonts w:ascii="Arial" w:hAnsi="Arial" w:cs="Arial"/>
          <w:sz w:val="22"/>
          <w:szCs w:val="22"/>
        </w:rPr>
      </w:pPr>
      <w:r w:rsidRPr="00855C9E">
        <w:rPr>
          <w:rFonts w:ascii="Arial" w:hAnsi="Arial" w:cs="Arial"/>
          <w:b/>
          <w:sz w:val="22"/>
          <w:szCs w:val="22"/>
        </w:rPr>
        <w:t>INTERES</w:t>
      </w:r>
      <w:r w:rsidR="003360CD" w:rsidRPr="00855C9E">
        <w:rPr>
          <w:rFonts w:ascii="Arial" w:hAnsi="Arial" w:cs="Arial"/>
          <w:b/>
          <w:sz w:val="22"/>
          <w:szCs w:val="22"/>
        </w:rPr>
        <w:t>ES</w:t>
      </w:r>
      <w:r w:rsidRPr="00855C9E">
        <w:rPr>
          <w:rFonts w:ascii="Arial" w:hAnsi="Arial" w:cs="Arial"/>
          <w:b/>
          <w:sz w:val="22"/>
          <w:szCs w:val="22"/>
        </w:rPr>
        <w:t xml:space="preserve"> MORATORIO</w:t>
      </w:r>
      <w:r w:rsidR="00AD4DCF" w:rsidRPr="00855C9E">
        <w:rPr>
          <w:rFonts w:ascii="Arial" w:hAnsi="Arial" w:cs="Arial"/>
          <w:b/>
          <w:sz w:val="22"/>
          <w:szCs w:val="22"/>
        </w:rPr>
        <w:t>S</w:t>
      </w:r>
      <w:r w:rsidRPr="00855C9E">
        <w:rPr>
          <w:rFonts w:ascii="Arial" w:hAnsi="Arial" w:cs="Arial"/>
          <w:b/>
          <w:sz w:val="22"/>
          <w:szCs w:val="22"/>
        </w:rPr>
        <w:t xml:space="preserve"> </w:t>
      </w:r>
      <w:r w:rsidR="0057689A" w:rsidRPr="00855C9E">
        <w:rPr>
          <w:rFonts w:ascii="Arial" w:hAnsi="Arial" w:cs="Arial"/>
          <w:b/>
          <w:sz w:val="22"/>
          <w:szCs w:val="22"/>
        </w:rPr>
        <w:t>-</w:t>
      </w:r>
      <w:r w:rsidRPr="00855C9E">
        <w:rPr>
          <w:rFonts w:ascii="Arial" w:hAnsi="Arial" w:cs="Arial"/>
          <w:sz w:val="22"/>
          <w:szCs w:val="22"/>
        </w:rPr>
        <w:t xml:space="preserve"> </w:t>
      </w:r>
      <w:r w:rsidRPr="00855C9E">
        <w:rPr>
          <w:rFonts w:ascii="Arial" w:hAnsi="Arial" w:cs="Arial"/>
          <w:b/>
          <w:bCs/>
          <w:sz w:val="22"/>
          <w:szCs w:val="22"/>
        </w:rPr>
        <w:t xml:space="preserve">Tasa </w:t>
      </w:r>
    </w:p>
    <w:p w14:paraId="4283FBBC" w14:textId="77777777" w:rsidR="00E27F0A" w:rsidRPr="00855C9E" w:rsidRDefault="00E27F0A" w:rsidP="00CE27AA">
      <w:pPr>
        <w:jc w:val="both"/>
        <w:rPr>
          <w:rFonts w:ascii="Arial" w:hAnsi="Arial" w:cs="Arial"/>
          <w:sz w:val="22"/>
          <w:szCs w:val="22"/>
        </w:rPr>
      </w:pPr>
    </w:p>
    <w:p w14:paraId="5C5D3F06" w14:textId="49082BA2" w:rsidR="00E27F0A" w:rsidRPr="00855C9E" w:rsidRDefault="00E27F0A" w:rsidP="00CE27AA">
      <w:pPr>
        <w:jc w:val="both"/>
        <w:rPr>
          <w:rFonts w:ascii="Arial" w:hAnsi="Arial" w:cs="Arial"/>
          <w:sz w:val="22"/>
          <w:szCs w:val="22"/>
        </w:rPr>
      </w:pPr>
      <w:r w:rsidRPr="00855C9E">
        <w:rPr>
          <w:rFonts w:ascii="Arial" w:hAnsi="Arial" w:cs="Arial"/>
          <w:sz w:val="22"/>
          <w:szCs w:val="22"/>
        </w:rPr>
        <w:t>(…) de acuerdo con el numeral 2 de la misma norma, se considera que el interés moratorio, por tener carácter sancionatorio, debe ser liquidado con la tasa de mora vigente al momento de su causación, es decir, de acuerdo con la que haya regido para cada período de tiempo, con base en las certificaciones de la Superintendencia Financiera de Colombia, antes Superintendencia Bancaria, en el caso de que el cobro de tales intereses resulte aplicable de conformidad con la fuente de la obligación correspondiente.</w:t>
      </w:r>
    </w:p>
    <w:p w14:paraId="16CB2836" w14:textId="77777777" w:rsidR="00E27F0A" w:rsidRPr="00855C9E" w:rsidRDefault="00E27F0A" w:rsidP="00CE27AA">
      <w:pPr>
        <w:jc w:val="both"/>
        <w:rPr>
          <w:rFonts w:ascii="Arial" w:hAnsi="Arial" w:cs="Arial"/>
          <w:sz w:val="22"/>
          <w:szCs w:val="22"/>
        </w:rPr>
      </w:pPr>
    </w:p>
    <w:p w14:paraId="0AD266CD" w14:textId="5D645B4E" w:rsidR="00E27F0A" w:rsidRPr="00855C9E" w:rsidRDefault="00E27F0A" w:rsidP="00CE27AA">
      <w:pPr>
        <w:jc w:val="both"/>
        <w:rPr>
          <w:rFonts w:ascii="Arial" w:hAnsi="Arial" w:cs="Arial"/>
          <w:sz w:val="22"/>
          <w:szCs w:val="22"/>
        </w:rPr>
      </w:pPr>
      <w:r w:rsidRPr="00855C9E">
        <w:rPr>
          <w:rFonts w:ascii="Arial" w:hAnsi="Arial" w:cs="Arial"/>
          <w:b/>
          <w:sz w:val="22"/>
          <w:szCs w:val="22"/>
        </w:rPr>
        <w:t>INTERESES MORATORIOS</w:t>
      </w:r>
      <w:r w:rsidR="0057689A" w:rsidRPr="00855C9E">
        <w:rPr>
          <w:rFonts w:ascii="Arial" w:hAnsi="Arial" w:cs="Arial"/>
          <w:b/>
          <w:sz w:val="22"/>
          <w:szCs w:val="22"/>
        </w:rPr>
        <w:t xml:space="preserve"> - Liquidación -</w:t>
      </w:r>
      <w:r w:rsidR="007F4BFA" w:rsidRPr="00855C9E">
        <w:rPr>
          <w:rFonts w:ascii="Arial" w:hAnsi="Arial" w:cs="Arial"/>
          <w:b/>
          <w:sz w:val="22"/>
          <w:szCs w:val="22"/>
        </w:rPr>
        <w:t xml:space="preserve"> D</w:t>
      </w:r>
      <w:r w:rsidR="0057689A" w:rsidRPr="00855C9E">
        <w:rPr>
          <w:rFonts w:ascii="Arial" w:hAnsi="Arial" w:cs="Arial"/>
          <w:b/>
          <w:sz w:val="22"/>
          <w:szCs w:val="22"/>
        </w:rPr>
        <w:t xml:space="preserve">ecreto 222 de </w:t>
      </w:r>
      <w:r w:rsidR="007F4BFA" w:rsidRPr="00855C9E">
        <w:rPr>
          <w:rFonts w:ascii="Arial" w:hAnsi="Arial" w:cs="Arial"/>
          <w:b/>
          <w:sz w:val="22"/>
          <w:szCs w:val="22"/>
        </w:rPr>
        <w:t>1983</w:t>
      </w:r>
      <w:r w:rsidR="005F0C84" w:rsidRPr="00855C9E">
        <w:rPr>
          <w:rFonts w:ascii="Arial" w:hAnsi="Arial" w:cs="Arial"/>
          <w:b/>
          <w:sz w:val="22"/>
          <w:szCs w:val="22"/>
        </w:rPr>
        <w:t xml:space="preserve"> - </w:t>
      </w:r>
      <w:r w:rsidRPr="00855C9E">
        <w:rPr>
          <w:rFonts w:ascii="Arial" w:hAnsi="Arial" w:cs="Arial"/>
          <w:b/>
          <w:sz w:val="22"/>
          <w:szCs w:val="22"/>
        </w:rPr>
        <w:t xml:space="preserve"> </w:t>
      </w:r>
      <w:r w:rsidR="002E1AA2" w:rsidRPr="00855C9E">
        <w:rPr>
          <w:rFonts w:ascii="Arial" w:hAnsi="Arial" w:cs="Arial"/>
          <w:b/>
          <w:sz w:val="22"/>
          <w:szCs w:val="22"/>
        </w:rPr>
        <w:t xml:space="preserve"> </w:t>
      </w:r>
      <w:r w:rsidR="007F4BFA" w:rsidRPr="00855C9E">
        <w:rPr>
          <w:rFonts w:ascii="Arial" w:hAnsi="Arial" w:cs="Arial"/>
          <w:b/>
          <w:bCs/>
          <w:sz w:val="22"/>
          <w:szCs w:val="22"/>
        </w:rPr>
        <w:t xml:space="preserve">Código de </w:t>
      </w:r>
      <w:r w:rsidR="000E78D6" w:rsidRPr="00855C9E">
        <w:rPr>
          <w:rFonts w:ascii="Arial" w:hAnsi="Arial" w:cs="Arial"/>
          <w:b/>
          <w:bCs/>
          <w:sz w:val="22"/>
          <w:szCs w:val="22"/>
        </w:rPr>
        <w:t>c</w:t>
      </w:r>
      <w:r w:rsidR="007F4BFA" w:rsidRPr="00855C9E">
        <w:rPr>
          <w:rFonts w:ascii="Arial" w:hAnsi="Arial" w:cs="Arial"/>
          <w:b/>
          <w:bCs/>
          <w:sz w:val="22"/>
          <w:szCs w:val="22"/>
        </w:rPr>
        <w:t xml:space="preserve">omercio </w:t>
      </w:r>
      <w:r w:rsidR="005F0C84" w:rsidRPr="00855C9E">
        <w:rPr>
          <w:rFonts w:ascii="Arial" w:hAnsi="Arial" w:cs="Arial"/>
          <w:b/>
          <w:bCs/>
          <w:sz w:val="22"/>
          <w:szCs w:val="22"/>
        </w:rPr>
        <w:t>- Reglas -</w:t>
      </w:r>
      <w:r w:rsidR="007F4BFA" w:rsidRPr="00855C9E">
        <w:rPr>
          <w:rFonts w:ascii="Arial" w:hAnsi="Arial" w:cs="Arial"/>
          <w:b/>
          <w:bCs/>
          <w:sz w:val="22"/>
          <w:szCs w:val="22"/>
        </w:rPr>
        <w:t xml:space="preserve"> Superintendencia </w:t>
      </w:r>
      <w:r w:rsidR="00806C1F" w:rsidRPr="00855C9E">
        <w:rPr>
          <w:rFonts w:ascii="Arial" w:hAnsi="Arial" w:cs="Arial"/>
          <w:b/>
          <w:bCs/>
          <w:sz w:val="22"/>
          <w:szCs w:val="22"/>
        </w:rPr>
        <w:t>F</w:t>
      </w:r>
      <w:r w:rsidR="007F4BFA" w:rsidRPr="00855C9E">
        <w:rPr>
          <w:rFonts w:ascii="Arial" w:hAnsi="Arial" w:cs="Arial"/>
          <w:b/>
          <w:bCs/>
          <w:sz w:val="22"/>
          <w:szCs w:val="22"/>
        </w:rPr>
        <w:t xml:space="preserve">inanciera de </w:t>
      </w:r>
      <w:r w:rsidR="00C64087" w:rsidRPr="00855C9E">
        <w:rPr>
          <w:rFonts w:ascii="Arial" w:hAnsi="Arial" w:cs="Arial"/>
          <w:b/>
          <w:bCs/>
          <w:sz w:val="22"/>
          <w:szCs w:val="22"/>
        </w:rPr>
        <w:t>C</w:t>
      </w:r>
      <w:r w:rsidR="007F4BFA" w:rsidRPr="00855C9E">
        <w:rPr>
          <w:rFonts w:ascii="Arial" w:hAnsi="Arial" w:cs="Arial"/>
          <w:b/>
          <w:bCs/>
          <w:sz w:val="22"/>
          <w:szCs w:val="22"/>
        </w:rPr>
        <w:t>olombia</w:t>
      </w:r>
      <w:r w:rsidR="005F0C84" w:rsidRPr="00855C9E">
        <w:rPr>
          <w:rFonts w:ascii="Arial" w:hAnsi="Arial" w:cs="Arial"/>
          <w:b/>
          <w:bCs/>
          <w:sz w:val="22"/>
          <w:szCs w:val="22"/>
        </w:rPr>
        <w:t xml:space="preserve"> - Certificación</w:t>
      </w:r>
    </w:p>
    <w:p w14:paraId="44BE8F61" w14:textId="77777777" w:rsidR="00E27F0A" w:rsidRPr="00855C9E" w:rsidRDefault="00E27F0A" w:rsidP="00CE27AA">
      <w:pPr>
        <w:jc w:val="both"/>
        <w:rPr>
          <w:rFonts w:ascii="Arial" w:hAnsi="Arial" w:cs="Arial"/>
          <w:sz w:val="22"/>
          <w:szCs w:val="22"/>
        </w:rPr>
      </w:pPr>
    </w:p>
    <w:p w14:paraId="5D8F4BF6" w14:textId="77777777" w:rsidR="00E27F0A" w:rsidRPr="00855C9E" w:rsidRDefault="00E27F0A" w:rsidP="00CE27AA">
      <w:pPr>
        <w:jc w:val="both"/>
        <w:rPr>
          <w:rFonts w:ascii="Arial" w:hAnsi="Arial" w:cs="Arial"/>
          <w:sz w:val="22"/>
          <w:szCs w:val="22"/>
          <w:lang w:eastAsia="es-CO"/>
        </w:rPr>
      </w:pPr>
      <w:r w:rsidRPr="00855C9E">
        <w:rPr>
          <w:rFonts w:ascii="Arial" w:hAnsi="Arial" w:cs="Arial"/>
          <w:sz w:val="22"/>
          <w:szCs w:val="22"/>
          <w:lang w:eastAsia="es-CO"/>
        </w:rPr>
        <w:t>En ese contexto, los intereses moratorios en vigencia del Decreto-ley 222 de 1983 -entre el 3 de febrero de 1983 y el 31 de diciembre de 1993- para aquellos contratos que se rigieron por el mencionado Decreto-ley o por el derecho privado, -frente a comerciantes- se liquidan, de acuerdo con la jurisprudencia del Consejo de Estado, a la tasa máxima que se podía cobrar en Colombia en cada período de tiempo, siguiendo las reglas del artículo 884 del Código de Comercio y la correspondiente certificación de la Superintendencia Bancaria, hoy Superintendencia Financiera de Colombia.</w:t>
      </w:r>
    </w:p>
    <w:p w14:paraId="5D620065" w14:textId="77777777" w:rsidR="00E27F0A" w:rsidRPr="00855C9E" w:rsidRDefault="00E27F0A" w:rsidP="00CE27AA">
      <w:pPr>
        <w:jc w:val="both"/>
        <w:rPr>
          <w:rFonts w:ascii="Arial" w:hAnsi="Arial" w:cs="Arial"/>
          <w:sz w:val="22"/>
          <w:szCs w:val="22"/>
          <w:lang w:eastAsia="es-CO"/>
        </w:rPr>
      </w:pPr>
    </w:p>
    <w:p w14:paraId="13B60F57" w14:textId="3B8FB30A" w:rsidR="00E27F0A" w:rsidRPr="00855C9E" w:rsidRDefault="007F4BFA" w:rsidP="00CE27AA">
      <w:pPr>
        <w:jc w:val="both"/>
        <w:rPr>
          <w:rFonts w:ascii="Arial" w:hAnsi="Arial" w:cs="Arial"/>
          <w:b/>
          <w:bCs/>
          <w:sz w:val="22"/>
          <w:szCs w:val="22"/>
          <w:lang w:eastAsia="es-CO"/>
        </w:rPr>
      </w:pPr>
      <w:r w:rsidRPr="00855C9E">
        <w:rPr>
          <w:rFonts w:ascii="Arial" w:hAnsi="Arial" w:cs="Arial"/>
          <w:b/>
          <w:sz w:val="22"/>
          <w:szCs w:val="22"/>
          <w:lang w:eastAsia="es-CO"/>
        </w:rPr>
        <w:lastRenderedPageBreak/>
        <w:t>INTERESES MORATORIO</w:t>
      </w:r>
      <w:r w:rsidR="000E78D6" w:rsidRPr="00855C9E">
        <w:rPr>
          <w:rFonts w:ascii="Arial" w:hAnsi="Arial" w:cs="Arial"/>
          <w:b/>
          <w:sz w:val="22"/>
          <w:szCs w:val="22"/>
          <w:lang w:eastAsia="es-CO"/>
        </w:rPr>
        <w:t>S</w:t>
      </w:r>
      <w:r w:rsidRPr="00855C9E">
        <w:rPr>
          <w:rFonts w:ascii="Arial" w:hAnsi="Arial" w:cs="Arial"/>
          <w:b/>
          <w:sz w:val="22"/>
          <w:szCs w:val="22"/>
          <w:lang w:eastAsia="es-CO"/>
        </w:rPr>
        <w:t xml:space="preserve"> </w:t>
      </w:r>
      <w:r w:rsidR="000E78D6" w:rsidRPr="00855C9E">
        <w:rPr>
          <w:rFonts w:ascii="Arial" w:hAnsi="Arial" w:cs="Arial"/>
          <w:b/>
          <w:sz w:val="22"/>
          <w:szCs w:val="22"/>
          <w:lang w:eastAsia="es-CO"/>
        </w:rPr>
        <w:t>-</w:t>
      </w:r>
      <w:r w:rsidRPr="00855C9E">
        <w:rPr>
          <w:rFonts w:ascii="Arial" w:hAnsi="Arial" w:cs="Arial"/>
          <w:b/>
          <w:sz w:val="22"/>
          <w:szCs w:val="22"/>
          <w:lang w:eastAsia="es-CO"/>
        </w:rPr>
        <w:t xml:space="preserve"> L</w:t>
      </w:r>
      <w:r w:rsidR="000C1191" w:rsidRPr="00855C9E">
        <w:rPr>
          <w:rFonts w:ascii="Arial" w:hAnsi="Arial" w:cs="Arial"/>
          <w:b/>
          <w:sz w:val="22"/>
          <w:szCs w:val="22"/>
          <w:lang w:eastAsia="es-CO"/>
        </w:rPr>
        <w:t xml:space="preserve">ey 80 de </w:t>
      </w:r>
      <w:r w:rsidRPr="00855C9E">
        <w:rPr>
          <w:rFonts w:ascii="Arial" w:hAnsi="Arial" w:cs="Arial"/>
          <w:b/>
          <w:sz w:val="22"/>
          <w:szCs w:val="22"/>
          <w:lang w:eastAsia="es-CO"/>
        </w:rPr>
        <w:t>1993</w:t>
      </w:r>
      <w:r w:rsidR="00E27F0A" w:rsidRPr="00855C9E">
        <w:rPr>
          <w:rFonts w:ascii="Arial" w:hAnsi="Arial" w:cs="Arial"/>
          <w:b/>
          <w:sz w:val="22"/>
          <w:szCs w:val="22"/>
          <w:lang w:eastAsia="es-CO"/>
        </w:rPr>
        <w:t xml:space="preserve"> </w:t>
      </w:r>
      <w:r w:rsidR="000E78D6" w:rsidRPr="00855C9E">
        <w:rPr>
          <w:rFonts w:ascii="Arial" w:hAnsi="Arial" w:cs="Arial"/>
          <w:b/>
          <w:sz w:val="22"/>
          <w:szCs w:val="22"/>
          <w:lang w:eastAsia="es-CO"/>
        </w:rPr>
        <w:t>- Código de comercio -</w:t>
      </w:r>
      <w:r w:rsidR="002E1AA2" w:rsidRPr="00855C9E">
        <w:rPr>
          <w:rFonts w:ascii="Arial" w:hAnsi="Arial" w:cs="Arial"/>
          <w:sz w:val="22"/>
          <w:szCs w:val="22"/>
          <w:lang w:eastAsia="es-CO"/>
        </w:rPr>
        <w:t xml:space="preserve"> </w:t>
      </w:r>
      <w:r w:rsidR="002E1AA2" w:rsidRPr="00855C9E">
        <w:rPr>
          <w:rFonts w:ascii="Arial" w:hAnsi="Arial" w:cs="Arial"/>
          <w:b/>
          <w:bCs/>
          <w:sz w:val="22"/>
          <w:szCs w:val="22"/>
          <w:lang w:eastAsia="es-CO"/>
        </w:rPr>
        <w:t>Aplicación</w:t>
      </w:r>
      <w:r w:rsidRPr="00855C9E">
        <w:rPr>
          <w:rFonts w:ascii="Arial" w:hAnsi="Arial" w:cs="Arial"/>
          <w:b/>
          <w:bCs/>
          <w:sz w:val="22"/>
          <w:szCs w:val="22"/>
          <w:lang w:eastAsia="es-CO"/>
        </w:rPr>
        <w:t xml:space="preserve"> supletiv</w:t>
      </w:r>
      <w:r w:rsidR="000E78D6" w:rsidRPr="00855C9E">
        <w:rPr>
          <w:rFonts w:ascii="Arial" w:hAnsi="Arial" w:cs="Arial"/>
          <w:b/>
          <w:bCs/>
          <w:sz w:val="22"/>
          <w:szCs w:val="22"/>
          <w:lang w:eastAsia="es-CO"/>
        </w:rPr>
        <w:t>a</w:t>
      </w:r>
      <w:r w:rsidRPr="00855C9E">
        <w:rPr>
          <w:rFonts w:ascii="Arial" w:hAnsi="Arial" w:cs="Arial"/>
          <w:b/>
          <w:bCs/>
          <w:sz w:val="22"/>
          <w:szCs w:val="22"/>
          <w:lang w:eastAsia="es-CO"/>
        </w:rPr>
        <w:t xml:space="preserve"> </w:t>
      </w:r>
    </w:p>
    <w:p w14:paraId="4A773E9E" w14:textId="77777777" w:rsidR="00E27F0A" w:rsidRPr="00855C9E" w:rsidRDefault="00E27F0A" w:rsidP="00CE27AA">
      <w:pPr>
        <w:jc w:val="both"/>
        <w:rPr>
          <w:rFonts w:ascii="Arial" w:hAnsi="Arial" w:cs="Arial"/>
          <w:sz w:val="22"/>
          <w:szCs w:val="22"/>
          <w:lang w:eastAsia="es-CO"/>
        </w:rPr>
      </w:pPr>
    </w:p>
    <w:p w14:paraId="5BAA0E36" w14:textId="77777777" w:rsidR="00E27F0A" w:rsidRPr="00855C9E" w:rsidRDefault="00E27F0A" w:rsidP="00CE27AA">
      <w:pPr>
        <w:jc w:val="both"/>
        <w:rPr>
          <w:rFonts w:ascii="Arial" w:hAnsi="Arial" w:cs="Arial"/>
          <w:sz w:val="22"/>
          <w:szCs w:val="22"/>
          <w:lang w:eastAsia="es-CO"/>
        </w:rPr>
      </w:pPr>
      <w:r w:rsidRPr="00855C9E">
        <w:rPr>
          <w:rFonts w:ascii="Arial" w:hAnsi="Arial" w:cs="Arial"/>
          <w:sz w:val="22"/>
          <w:szCs w:val="22"/>
          <w:lang w:eastAsia="es-CO"/>
        </w:rPr>
        <w:t>La Ley 80 de 1993, cuya mayoría de artículos entró a regir el 1o de enero de 1994, consagró la aplicación supletiva del Código de Comercio, pero en materia de intereses de mora adoptó el sistema de la tasa nominal partiendo del 6% señalado en el artículo 1617 del Código Civil.</w:t>
      </w:r>
    </w:p>
    <w:p w14:paraId="25F00D27" w14:textId="77777777" w:rsidR="00E27F0A" w:rsidRPr="00855C9E" w:rsidRDefault="00E27F0A" w:rsidP="00CE27AA">
      <w:pPr>
        <w:jc w:val="both"/>
        <w:rPr>
          <w:rFonts w:ascii="Arial" w:hAnsi="Arial" w:cs="Arial"/>
          <w:b/>
          <w:sz w:val="22"/>
          <w:szCs w:val="22"/>
          <w:lang w:eastAsia="es-CO"/>
        </w:rPr>
      </w:pPr>
    </w:p>
    <w:p w14:paraId="05355B5A" w14:textId="072B12EF" w:rsidR="00E27F0A" w:rsidRPr="00855C9E" w:rsidRDefault="00E27F0A" w:rsidP="00CE27AA">
      <w:pPr>
        <w:jc w:val="both"/>
        <w:rPr>
          <w:rFonts w:ascii="Arial" w:hAnsi="Arial" w:cs="Arial"/>
          <w:sz w:val="22"/>
          <w:szCs w:val="22"/>
          <w:lang w:eastAsia="es-CO"/>
        </w:rPr>
      </w:pPr>
      <w:r w:rsidRPr="00855C9E">
        <w:rPr>
          <w:rFonts w:ascii="Arial" w:hAnsi="Arial" w:cs="Arial"/>
          <w:b/>
          <w:sz w:val="22"/>
          <w:szCs w:val="22"/>
          <w:lang w:eastAsia="es-CO"/>
        </w:rPr>
        <w:t xml:space="preserve">INTERESES MORATORIOS </w:t>
      </w:r>
      <w:r w:rsidR="000C1191" w:rsidRPr="00855C9E">
        <w:rPr>
          <w:rFonts w:ascii="Arial" w:hAnsi="Arial" w:cs="Arial"/>
          <w:b/>
          <w:sz w:val="22"/>
          <w:szCs w:val="22"/>
          <w:lang w:eastAsia="es-CO"/>
        </w:rPr>
        <w:t>- C</w:t>
      </w:r>
      <w:r w:rsidRPr="00855C9E">
        <w:rPr>
          <w:rFonts w:ascii="Arial" w:hAnsi="Arial" w:cs="Arial"/>
          <w:b/>
          <w:bCs/>
          <w:sz w:val="22"/>
          <w:szCs w:val="22"/>
          <w:lang w:eastAsia="es-CO"/>
        </w:rPr>
        <w:t>ontratación pública</w:t>
      </w:r>
      <w:r w:rsidR="000C1191" w:rsidRPr="00855C9E">
        <w:rPr>
          <w:rFonts w:ascii="Arial" w:hAnsi="Arial" w:cs="Arial"/>
          <w:b/>
          <w:bCs/>
          <w:sz w:val="22"/>
          <w:szCs w:val="22"/>
          <w:lang w:eastAsia="es-CO"/>
        </w:rPr>
        <w:t xml:space="preserve"> - Aplicación</w:t>
      </w:r>
      <w:r w:rsidRPr="00855C9E">
        <w:rPr>
          <w:rFonts w:ascii="Arial" w:hAnsi="Arial" w:cs="Arial"/>
          <w:sz w:val="22"/>
          <w:szCs w:val="22"/>
          <w:lang w:eastAsia="es-CO"/>
        </w:rPr>
        <w:t xml:space="preserve"> </w:t>
      </w:r>
    </w:p>
    <w:p w14:paraId="269B95EF" w14:textId="77777777" w:rsidR="003360CD" w:rsidRPr="00855C9E" w:rsidRDefault="003360CD" w:rsidP="00CE27AA">
      <w:pPr>
        <w:jc w:val="both"/>
        <w:rPr>
          <w:rFonts w:ascii="Arial" w:hAnsi="Arial" w:cs="Arial"/>
          <w:sz w:val="22"/>
          <w:szCs w:val="22"/>
          <w:lang w:eastAsia="es-CO"/>
        </w:rPr>
      </w:pPr>
    </w:p>
    <w:p w14:paraId="6AFE386D" w14:textId="77777777" w:rsidR="00E27F0A" w:rsidRPr="00855C9E" w:rsidRDefault="00E27F0A" w:rsidP="00CE27AA">
      <w:pPr>
        <w:jc w:val="both"/>
        <w:rPr>
          <w:rFonts w:ascii="Arial" w:hAnsi="Arial" w:cs="Arial"/>
          <w:sz w:val="22"/>
          <w:szCs w:val="22"/>
          <w:lang w:eastAsia="es-CO"/>
        </w:rPr>
      </w:pPr>
      <w:r w:rsidRPr="00855C9E">
        <w:rPr>
          <w:rFonts w:ascii="Arial" w:hAnsi="Arial" w:cs="Arial"/>
          <w:sz w:val="22"/>
          <w:szCs w:val="22"/>
          <w:lang w:eastAsia="es-CO"/>
        </w:rPr>
        <w:t>De acuerdo con la jurisprudencia que se ha citado, en vigencia del Decreto-ley 150 de 1976 se aplicó el interés del 6% más la actualización con el IPC, este último indicador, si no se hubiere pactado otro índice de ajuste, y bajo el Decreto-ley 222 de 1983 se liquidan los intereses a la tasa máxima legal permitida para cada período de mora, de acuerdo con el artículo 884 del Código de Comercio. (…) Con el fin de concluir este punto se debe precisar que la jurisprudencia antedicha no se ha referido a la tasa de interés para calcular el restablecimiento del equilibrio económico del contrato en el caso de los desfases de los flujos financieros, aspecto que no ha merecido mayores desarrollos  sobre el asunto de los intereses al que se hace referencia en este proceso, dado que algunas de las pretensiones de la demanda -y de los argumentos de la apelación-  se refieren al desequilibrio económico que se habría presentado en el contrato y a la supuesta violación de la equivalencia entre la tasa de interés del anticipo y la que se impuso en la sentencia de primera instancia para liquidar los perjuicios a cargo de la entidad pública.</w:t>
      </w:r>
    </w:p>
    <w:p w14:paraId="1DE93008" w14:textId="77777777" w:rsidR="00DB601C" w:rsidRPr="00855C9E" w:rsidRDefault="00DB601C" w:rsidP="00CE27AA">
      <w:pPr>
        <w:jc w:val="both"/>
        <w:rPr>
          <w:rFonts w:ascii="Arial" w:hAnsi="Arial" w:cs="Arial"/>
          <w:sz w:val="22"/>
          <w:szCs w:val="22"/>
          <w:lang w:eastAsia="es-CO"/>
        </w:rPr>
      </w:pPr>
    </w:p>
    <w:p w14:paraId="452A6843" w14:textId="7FC183E4" w:rsidR="00E27F0A" w:rsidRPr="00855C9E" w:rsidRDefault="000C1191" w:rsidP="00CE27AA">
      <w:pPr>
        <w:jc w:val="both"/>
        <w:rPr>
          <w:rFonts w:ascii="Arial" w:hAnsi="Arial" w:cs="Arial"/>
          <w:b/>
          <w:bCs/>
          <w:sz w:val="22"/>
          <w:szCs w:val="22"/>
          <w:lang w:eastAsia="es-CO"/>
        </w:rPr>
      </w:pPr>
      <w:r w:rsidRPr="00855C9E">
        <w:rPr>
          <w:rFonts w:ascii="Arial" w:hAnsi="Arial" w:cs="Arial"/>
          <w:b/>
          <w:sz w:val="22"/>
          <w:szCs w:val="22"/>
          <w:lang w:eastAsia="es-CO"/>
        </w:rPr>
        <w:t xml:space="preserve">CONTRATISTA - Facturas - Presentación extemporánea - </w:t>
      </w:r>
      <w:r w:rsidR="007855C6" w:rsidRPr="00855C9E">
        <w:rPr>
          <w:rFonts w:ascii="Arial" w:hAnsi="Arial" w:cs="Arial"/>
          <w:b/>
          <w:sz w:val="22"/>
          <w:szCs w:val="22"/>
          <w:lang w:eastAsia="es-CO"/>
        </w:rPr>
        <w:t xml:space="preserve">Imputable al contratista </w:t>
      </w:r>
      <w:r w:rsidR="00DB601C" w:rsidRPr="00855C9E">
        <w:rPr>
          <w:rFonts w:ascii="Arial" w:hAnsi="Arial" w:cs="Arial"/>
          <w:b/>
          <w:sz w:val="22"/>
          <w:szCs w:val="22"/>
          <w:lang w:eastAsia="es-CO"/>
        </w:rPr>
        <w:t xml:space="preserve">- </w:t>
      </w:r>
      <w:r w:rsidR="007855C6" w:rsidRPr="00855C9E">
        <w:rPr>
          <w:rFonts w:ascii="Arial" w:hAnsi="Arial" w:cs="Arial"/>
          <w:b/>
          <w:sz w:val="22"/>
          <w:szCs w:val="22"/>
          <w:lang w:eastAsia="es-CO"/>
        </w:rPr>
        <w:t>A</w:t>
      </w:r>
      <w:r w:rsidR="00DB601C" w:rsidRPr="00855C9E">
        <w:rPr>
          <w:rFonts w:ascii="Arial" w:hAnsi="Arial" w:cs="Arial"/>
          <w:b/>
          <w:bCs/>
          <w:sz w:val="22"/>
          <w:szCs w:val="22"/>
          <w:lang w:eastAsia="es-CO"/>
        </w:rPr>
        <w:t>just</w:t>
      </w:r>
      <w:r w:rsidR="007855C6" w:rsidRPr="00855C9E">
        <w:rPr>
          <w:rFonts w:ascii="Arial" w:hAnsi="Arial" w:cs="Arial"/>
          <w:b/>
          <w:bCs/>
          <w:sz w:val="22"/>
          <w:szCs w:val="22"/>
          <w:lang w:eastAsia="es-CO"/>
        </w:rPr>
        <w:t>e de</w:t>
      </w:r>
      <w:r w:rsidR="00DB601C" w:rsidRPr="00855C9E">
        <w:rPr>
          <w:rFonts w:ascii="Arial" w:hAnsi="Arial" w:cs="Arial"/>
          <w:b/>
          <w:bCs/>
          <w:sz w:val="22"/>
          <w:szCs w:val="22"/>
          <w:lang w:eastAsia="es-CO"/>
        </w:rPr>
        <w:t xml:space="preserve"> precios </w:t>
      </w:r>
      <w:r w:rsidR="007855C6" w:rsidRPr="00855C9E">
        <w:rPr>
          <w:rFonts w:ascii="Arial" w:hAnsi="Arial" w:cs="Arial"/>
          <w:b/>
          <w:bCs/>
          <w:sz w:val="22"/>
          <w:szCs w:val="22"/>
          <w:lang w:eastAsia="es-CO"/>
        </w:rPr>
        <w:t>-</w:t>
      </w:r>
      <w:r w:rsidR="00DB601C" w:rsidRPr="00855C9E">
        <w:rPr>
          <w:rFonts w:ascii="Arial" w:hAnsi="Arial" w:cs="Arial"/>
          <w:b/>
          <w:bCs/>
          <w:sz w:val="22"/>
          <w:szCs w:val="22"/>
          <w:lang w:eastAsia="es-CO"/>
        </w:rPr>
        <w:t xml:space="preserve"> </w:t>
      </w:r>
      <w:r w:rsidR="007855C6" w:rsidRPr="00855C9E">
        <w:rPr>
          <w:rFonts w:ascii="Arial" w:hAnsi="Arial" w:cs="Arial"/>
          <w:b/>
          <w:bCs/>
          <w:sz w:val="22"/>
          <w:szCs w:val="22"/>
          <w:lang w:eastAsia="es-CO"/>
        </w:rPr>
        <w:t>I</w:t>
      </w:r>
      <w:r w:rsidR="00DB601C" w:rsidRPr="00855C9E">
        <w:rPr>
          <w:rFonts w:ascii="Arial" w:hAnsi="Arial" w:cs="Arial"/>
          <w:b/>
          <w:bCs/>
          <w:sz w:val="22"/>
          <w:szCs w:val="22"/>
          <w:lang w:eastAsia="es-CO"/>
        </w:rPr>
        <w:t xml:space="preserve">ntereses moratorios </w:t>
      </w:r>
      <w:r w:rsidR="007855C6" w:rsidRPr="00855C9E">
        <w:rPr>
          <w:rFonts w:ascii="Arial" w:hAnsi="Arial" w:cs="Arial"/>
          <w:b/>
          <w:bCs/>
          <w:sz w:val="22"/>
          <w:szCs w:val="22"/>
          <w:lang w:eastAsia="es-CO"/>
        </w:rPr>
        <w:t>- Improcedencia</w:t>
      </w:r>
    </w:p>
    <w:p w14:paraId="06EEA537" w14:textId="77777777" w:rsidR="00E27F0A" w:rsidRPr="00855C9E" w:rsidRDefault="00E27F0A" w:rsidP="00CE27AA">
      <w:pPr>
        <w:jc w:val="both"/>
        <w:rPr>
          <w:rFonts w:ascii="Arial" w:hAnsi="Arial" w:cs="Arial"/>
          <w:sz w:val="22"/>
          <w:szCs w:val="22"/>
          <w:lang w:eastAsia="es-CO"/>
        </w:rPr>
      </w:pPr>
    </w:p>
    <w:p w14:paraId="0C44DE6A" w14:textId="77777777" w:rsidR="00E27F0A" w:rsidRPr="00855C9E" w:rsidRDefault="00E27F0A" w:rsidP="00CE27AA">
      <w:pPr>
        <w:jc w:val="both"/>
        <w:rPr>
          <w:rFonts w:ascii="Arial" w:hAnsi="Arial" w:cs="Arial"/>
          <w:sz w:val="22"/>
          <w:szCs w:val="22"/>
        </w:rPr>
      </w:pPr>
      <w:r w:rsidRPr="00855C9E">
        <w:rPr>
          <w:rFonts w:ascii="Arial" w:hAnsi="Arial" w:cs="Arial"/>
          <w:sz w:val="22"/>
          <w:szCs w:val="22"/>
        </w:rPr>
        <w:t>Se reitera que la tasa de interés prevista en el Código Civil opera de manera supletiva, es decir, a falta de ley especial o de otro pacto entre las partes (…) la Subsección A de la Sección Tercera ha sido reiterativa en advertir que la demora en la presentación de las cuentas o de las facturas, si se presenta por una conducta atribuible al contratista, no puede obrar en perjuicio del Estado , es decir, que no proceden las pretensiones para que se reconozcan ajustes de precios o intereses de mora respecto de actas, facturas o cuentas de cobro, cuando estas son presentadas de manera extemporánea por hechos imputables al contratista. Las condenas en dichos eventos se han impuesto sobre el valor nominal del capital o del acta, actualizado, sin intereses de mora ni ajustes de precios sobre el período de la extemporaneidad, toda vez que el acreedor no puede invocar su propia demora para derivar el reconocimiento de un perjuicio.</w:t>
      </w:r>
    </w:p>
    <w:p w14:paraId="49153B29" w14:textId="77777777" w:rsidR="00E27F0A" w:rsidRPr="00855C9E" w:rsidRDefault="00E27F0A" w:rsidP="00CE27AA">
      <w:pPr>
        <w:jc w:val="both"/>
        <w:rPr>
          <w:rFonts w:ascii="Arial" w:hAnsi="Arial" w:cs="Arial"/>
          <w:sz w:val="22"/>
          <w:szCs w:val="22"/>
        </w:rPr>
      </w:pPr>
    </w:p>
    <w:p w14:paraId="4E8B65A4" w14:textId="719F9803" w:rsidR="00E27F0A" w:rsidRPr="00855C9E" w:rsidRDefault="00E27F0A" w:rsidP="00CE27AA">
      <w:pPr>
        <w:jc w:val="both"/>
        <w:rPr>
          <w:rFonts w:ascii="Arial" w:hAnsi="Arial" w:cs="Arial"/>
          <w:sz w:val="22"/>
          <w:szCs w:val="22"/>
        </w:rPr>
      </w:pPr>
      <w:r w:rsidRPr="00855C9E">
        <w:rPr>
          <w:rFonts w:ascii="Arial" w:hAnsi="Arial" w:cs="Arial"/>
          <w:b/>
          <w:sz w:val="22"/>
          <w:szCs w:val="22"/>
        </w:rPr>
        <w:t xml:space="preserve">FACTURA </w:t>
      </w:r>
      <w:r w:rsidR="00A91FF6" w:rsidRPr="00855C9E">
        <w:rPr>
          <w:rFonts w:ascii="Arial" w:hAnsi="Arial" w:cs="Arial"/>
          <w:b/>
          <w:sz w:val="22"/>
          <w:szCs w:val="22"/>
        </w:rPr>
        <w:t>- Contenido -</w:t>
      </w:r>
      <w:r w:rsidRPr="00855C9E">
        <w:rPr>
          <w:rFonts w:ascii="Arial" w:hAnsi="Arial" w:cs="Arial"/>
          <w:sz w:val="22"/>
          <w:szCs w:val="22"/>
        </w:rPr>
        <w:t xml:space="preserve"> </w:t>
      </w:r>
      <w:r w:rsidR="002E1AA2" w:rsidRPr="00855C9E">
        <w:rPr>
          <w:rFonts w:ascii="Arial" w:hAnsi="Arial" w:cs="Arial"/>
          <w:b/>
          <w:bCs/>
          <w:sz w:val="22"/>
          <w:szCs w:val="22"/>
        </w:rPr>
        <w:t>C</w:t>
      </w:r>
      <w:r w:rsidR="00DB601C" w:rsidRPr="00855C9E">
        <w:rPr>
          <w:rFonts w:ascii="Arial" w:hAnsi="Arial" w:cs="Arial"/>
          <w:b/>
          <w:bCs/>
          <w:sz w:val="22"/>
          <w:szCs w:val="22"/>
        </w:rPr>
        <w:t>lasificación</w:t>
      </w:r>
      <w:r w:rsidR="00DB601C" w:rsidRPr="00855C9E">
        <w:rPr>
          <w:rFonts w:ascii="Arial" w:hAnsi="Arial" w:cs="Arial"/>
          <w:sz w:val="22"/>
          <w:szCs w:val="22"/>
        </w:rPr>
        <w:t xml:space="preserve"> </w:t>
      </w:r>
    </w:p>
    <w:p w14:paraId="54C724EF" w14:textId="77777777" w:rsidR="00E27F0A" w:rsidRPr="00855C9E" w:rsidRDefault="00E27F0A" w:rsidP="00CE27AA">
      <w:pPr>
        <w:jc w:val="both"/>
        <w:rPr>
          <w:rFonts w:ascii="Arial" w:hAnsi="Arial" w:cs="Arial"/>
          <w:sz w:val="22"/>
          <w:szCs w:val="22"/>
        </w:rPr>
      </w:pPr>
    </w:p>
    <w:p w14:paraId="76E0D54A" w14:textId="77777777" w:rsidR="00E27F0A" w:rsidRPr="00855C9E" w:rsidRDefault="00E27F0A" w:rsidP="00CE27AA">
      <w:pPr>
        <w:jc w:val="both"/>
        <w:rPr>
          <w:rFonts w:ascii="Arial" w:hAnsi="Arial" w:cs="Arial"/>
          <w:sz w:val="22"/>
          <w:szCs w:val="22"/>
        </w:rPr>
      </w:pPr>
      <w:r w:rsidRPr="00855C9E">
        <w:rPr>
          <w:rFonts w:ascii="Arial" w:hAnsi="Arial" w:cs="Arial"/>
          <w:sz w:val="22"/>
          <w:szCs w:val="22"/>
        </w:rPr>
        <w:t>Para finalizar este acápite es necesario llamar la atención sobre los distintos conceptos que se incorporan en el valor del acta y de la factura en su caso, por cuanto: i) los ajustes e intereses no pueden acumularse con los intereses calculados a la tasa máxima legal permitida y ii) el monto de anticipo compensado debe deducirse para establecer la base del cálculo de intereses, dado que este último valor realmente no se encuentra en mora.</w:t>
      </w:r>
    </w:p>
    <w:p w14:paraId="21A03E22" w14:textId="77777777" w:rsidR="00E27F0A" w:rsidRPr="00855C9E" w:rsidRDefault="00E27F0A" w:rsidP="00CE27AA">
      <w:pPr>
        <w:jc w:val="both"/>
        <w:rPr>
          <w:rFonts w:ascii="Arial" w:hAnsi="Arial" w:cs="Arial"/>
          <w:sz w:val="22"/>
          <w:szCs w:val="22"/>
        </w:rPr>
      </w:pPr>
    </w:p>
    <w:p w14:paraId="1B7C757F" w14:textId="0F0008C3" w:rsidR="00E27F0A" w:rsidRPr="00855C9E" w:rsidRDefault="00E27F0A" w:rsidP="00CE27AA">
      <w:pPr>
        <w:jc w:val="both"/>
        <w:rPr>
          <w:rFonts w:ascii="Arial" w:hAnsi="Arial" w:cs="Arial"/>
          <w:sz w:val="22"/>
          <w:szCs w:val="22"/>
        </w:rPr>
      </w:pPr>
      <w:r w:rsidRPr="00855C9E">
        <w:rPr>
          <w:rFonts w:ascii="Arial" w:hAnsi="Arial" w:cs="Arial"/>
          <w:b/>
          <w:sz w:val="22"/>
          <w:szCs w:val="22"/>
        </w:rPr>
        <w:t>LIQUIDACI</w:t>
      </w:r>
      <w:r w:rsidR="001F5E67" w:rsidRPr="00855C9E">
        <w:rPr>
          <w:rFonts w:ascii="Arial" w:hAnsi="Arial" w:cs="Arial"/>
          <w:b/>
          <w:sz w:val="22"/>
          <w:szCs w:val="22"/>
        </w:rPr>
        <w:t>Ó</w:t>
      </w:r>
      <w:r w:rsidRPr="00855C9E">
        <w:rPr>
          <w:rFonts w:ascii="Arial" w:hAnsi="Arial" w:cs="Arial"/>
          <w:b/>
          <w:sz w:val="22"/>
          <w:szCs w:val="22"/>
        </w:rPr>
        <w:t xml:space="preserve">N DEL CONTRATO </w:t>
      </w:r>
      <w:r w:rsidR="001F5E67" w:rsidRPr="00855C9E">
        <w:rPr>
          <w:rFonts w:ascii="Arial" w:hAnsi="Arial" w:cs="Arial"/>
          <w:b/>
          <w:sz w:val="22"/>
          <w:szCs w:val="22"/>
        </w:rPr>
        <w:t>-</w:t>
      </w:r>
      <w:r w:rsidR="002E1AA2" w:rsidRPr="00855C9E">
        <w:rPr>
          <w:rFonts w:ascii="Arial" w:hAnsi="Arial" w:cs="Arial"/>
          <w:sz w:val="22"/>
          <w:szCs w:val="22"/>
        </w:rPr>
        <w:t xml:space="preserve"> </w:t>
      </w:r>
      <w:r w:rsidRPr="00855C9E">
        <w:rPr>
          <w:rFonts w:ascii="Arial" w:hAnsi="Arial" w:cs="Arial"/>
          <w:b/>
          <w:bCs/>
          <w:sz w:val="22"/>
          <w:szCs w:val="22"/>
        </w:rPr>
        <w:t xml:space="preserve">Decreto Ley 150 de 1976 </w:t>
      </w:r>
    </w:p>
    <w:p w14:paraId="18A25720" w14:textId="77777777" w:rsidR="00DB601C" w:rsidRPr="00855C9E" w:rsidRDefault="00DB601C" w:rsidP="00CE27AA">
      <w:pPr>
        <w:jc w:val="both"/>
        <w:rPr>
          <w:rFonts w:ascii="Arial" w:hAnsi="Arial" w:cs="Arial"/>
          <w:sz w:val="22"/>
          <w:szCs w:val="22"/>
        </w:rPr>
      </w:pPr>
    </w:p>
    <w:p w14:paraId="10B44622" w14:textId="77777777" w:rsidR="00E27F0A" w:rsidRPr="00855C9E" w:rsidRDefault="00E27F0A" w:rsidP="00CE27AA">
      <w:pPr>
        <w:jc w:val="both"/>
        <w:rPr>
          <w:rFonts w:ascii="Arial" w:hAnsi="Arial" w:cs="Arial"/>
          <w:sz w:val="22"/>
          <w:szCs w:val="22"/>
        </w:rPr>
      </w:pPr>
      <w:r w:rsidRPr="00855C9E">
        <w:rPr>
          <w:rFonts w:ascii="Arial" w:hAnsi="Arial" w:cs="Arial"/>
          <w:sz w:val="22"/>
          <w:szCs w:val="22"/>
        </w:rPr>
        <w:t>Por ello, se reitera que no era aceptable el supuesto de liquidar perjuicios por el solo hecho del plazo transcurrido entre la fecha en que se firmó el contrato y aquella en que firmó el acta de inicio, toda vez que la entidad contratante debía esperar a que se le certificara el registro presupuestal.</w:t>
      </w:r>
    </w:p>
    <w:p w14:paraId="6EF33448" w14:textId="77777777" w:rsidR="00E27F0A" w:rsidRPr="00855C9E" w:rsidRDefault="00E27F0A" w:rsidP="00CE27AA">
      <w:pPr>
        <w:jc w:val="both"/>
        <w:rPr>
          <w:rFonts w:ascii="Arial" w:hAnsi="Arial" w:cs="Arial"/>
          <w:sz w:val="22"/>
          <w:szCs w:val="22"/>
        </w:rPr>
      </w:pPr>
    </w:p>
    <w:p w14:paraId="03299543" w14:textId="2F5B5FEB" w:rsidR="00E27F0A" w:rsidRPr="00855C9E" w:rsidRDefault="00CD145F" w:rsidP="00CE27AA">
      <w:pPr>
        <w:jc w:val="both"/>
        <w:rPr>
          <w:rFonts w:ascii="Arial" w:hAnsi="Arial" w:cs="Arial"/>
          <w:b/>
          <w:bCs/>
          <w:sz w:val="22"/>
          <w:szCs w:val="22"/>
        </w:rPr>
      </w:pPr>
      <w:r w:rsidRPr="00855C9E">
        <w:rPr>
          <w:rFonts w:ascii="Arial" w:hAnsi="Arial" w:cs="Arial"/>
          <w:b/>
          <w:sz w:val="22"/>
          <w:szCs w:val="22"/>
        </w:rPr>
        <w:t>INC</w:t>
      </w:r>
      <w:r w:rsidR="00DB601C" w:rsidRPr="00855C9E">
        <w:rPr>
          <w:rFonts w:ascii="Arial" w:hAnsi="Arial" w:cs="Arial"/>
          <w:b/>
          <w:sz w:val="22"/>
          <w:szCs w:val="22"/>
        </w:rPr>
        <w:t>UMPLIM</w:t>
      </w:r>
      <w:r w:rsidR="00E27F0A" w:rsidRPr="00855C9E">
        <w:rPr>
          <w:rFonts w:ascii="Arial" w:hAnsi="Arial" w:cs="Arial"/>
          <w:b/>
          <w:sz w:val="22"/>
          <w:szCs w:val="22"/>
        </w:rPr>
        <w:t>I</w:t>
      </w:r>
      <w:r w:rsidR="00DB601C" w:rsidRPr="00855C9E">
        <w:rPr>
          <w:rFonts w:ascii="Arial" w:hAnsi="Arial" w:cs="Arial"/>
          <w:b/>
          <w:sz w:val="22"/>
          <w:szCs w:val="22"/>
        </w:rPr>
        <w:t>E</w:t>
      </w:r>
      <w:r w:rsidR="00E27F0A" w:rsidRPr="00855C9E">
        <w:rPr>
          <w:rFonts w:ascii="Arial" w:hAnsi="Arial" w:cs="Arial"/>
          <w:b/>
          <w:sz w:val="22"/>
          <w:szCs w:val="22"/>
        </w:rPr>
        <w:t xml:space="preserve">NTO DEL CONTRATO </w:t>
      </w:r>
      <w:r w:rsidR="002E1AA2" w:rsidRPr="00855C9E">
        <w:rPr>
          <w:rFonts w:ascii="Arial" w:hAnsi="Arial" w:cs="Arial"/>
          <w:b/>
          <w:sz w:val="22"/>
          <w:szCs w:val="22"/>
        </w:rPr>
        <w:t xml:space="preserve">- </w:t>
      </w:r>
      <w:r w:rsidR="001F5E67" w:rsidRPr="00855C9E">
        <w:rPr>
          <w:rFonts w:ascii="Arial" w:hAnsi="Arial" w:cs="Arial"/>
          <w:b/>
          <w:bCs/>
          <w:sz w:val="22"/>
          <w:szCs w:val="22"/>
        </w:rPr>
        <w:t>Efectos -</w:t>
      </w:r>
      <w:r w:rsidR="00E27F0A" w:rsidRPr="00855C9E">
        <w:rPr>
          <w:rFonts w:ascii="Arial" w:hAnsi="Arial" w:cs="Arial"/>
          <w:b/>
          <w:bCs/>
          <w:sz w:val="22"/>
          <w:szCs w:val="22"/>
        </w:rPr>
        <w:t xml:space="preserve"> </w:t>
      </w:r>
      <w:r w:rsidR="001F5E67" w:rsidRPr="00855C9E">
        <w:rPr>
          <w:rFonts w:ascii="Arial" w:hAnsi="Arial" w:cs="Arial"/>
          <w:b/>
          <w:bCs/>
          <w:sz w:val="22"/>
          <w:szCs w:val="22"/>
        </w:rPr>
        <w:t>Precio</w:t>
      </w:r>
    </w:p>
    <w:p w14:paraId="6D4FDC6A" w14:textId="77777777" w:rsidR="00E27F0A" w:rsidRPr="00855C9E" w:rsidRDefault="00E27F0A" w:rsidP="00CE27AA">
      <w:pPr>
        <w:jc w:val="both"/>
        <w:rPr>
          <w:rFonts w:ascii="Arial" w:hAnsi="Arial" w:cs="Arial"/>
          <w:sz w:val="22"/>
          <w:szCs w:val="22"/>
        </w:rPr>
      </w:pPr>
    </w:p>
    <w:p w14:paraId="2BC7CDBD" w14:textId="77777777" w:rsidR="00E27F0A" w:rsidRPr="00855C9E" w:rsidRDefault="00E27F0A" w:rsidP="00CE27AA">
      <w:pPr>
        <w:jc w:val="both"/>
        <w:rPr>
          <w:rFonts w:ascii="Arial" w:hAnsi="Arial" w:cs="Arial"/>
          <w:sz w:val="22"/>
          <w:szCs w:val="22"/>
        </w:rPr>
      </w:pPr>
      <w:r w:rsidRPr="00855C9E">
        <w:rPr>
          <w:rFonts w:ascii="Arial" w:hAnsi="Arial" w:cs="Arial"/>
          <w:sz w:val="22"/>
          <w:szCs w:val="22"/>
        </w:rPr>
        <w:t xml:space="preserve">Por ello, advirtiendo que en este proceso no se desvirtuó lo que indican esos informes y documentos, se concluye que no se presentó el incumplimiento en la fijación de nuevos precios y el pago de las cantidades correspondientes, contrario a lo que asumió el Tribunal </w:t>
      </w:r>
      <w:r w:rsidRPr="00855C9E">
        <w:rPr>
          <w:rFonts w:ascii="Arial" w:hAnsi="Arial" w:cs="Arial"/>
          <w:sz w:val="22"/>
          <w:szCs w:val="22"/>
        </w:rPr>
        <w:lastRenderedPageBreak/>
        <w:t>a quo, puesto que no se acreditaron nuevas cantidades de obra ni se reclasificaron las referidas como material de roca.</w:t>
      </w:r>
    </w:p>
    <w:p w14:paraId="2B2CA68D" w14:textId="77777777" w:rsidR="00E27F0A" w:rsidRPr="009E0462" w:rsidRDefault="00E27F0A" w:rsidP="00CE27AA">
      <w:pPr>
        <w:jc w:val="both"/>
        <w:rPr>
          <w:rFonts w:ascii="Arial" w:hAnsi="Arial" w:cs="Arial"/>
          <w:sz w:val="22"/>
          <w:szCs w:val="22"/>
        </w:rPr>
      </w:pPr>
    </w:p>
    <w:p w14:paraId="2604DA04" w14:textId="77777777" w:rsidR="00E27F0A" w:rsidRPr="00855C9E" w:rsidRDefault="00E27F0A" w:rsidP="00BF333B">
      <w:pPr>
        <w:jc w:val="center"/>
        <w:rPr>
          <w:rFonts w:ascii="Arial" w:hAnsi="Arial" w:cs="Arial"/>
          <w:b/>
          <w:sz w:val="22"/>
          <w:szCs w:val="22"/>
        </w:rPr>
      </w:pPr>
    </w:p>
    <w:p w14:paraId="232C933D" w14:textId="77777777" w:rsidR="003C1A94" w:rsidRPr="007A177A" w:rsidRDefault="0062090C" w:rsidP="00BF333B">
      <w:pPr>
        <w:jc w:val="center"/>
        <w:rPr>
          <w:rFonts w:ascii="Arial" w:hAnsi="Arial" w:cs="Arial"/>
          <w:b/>
        </w:rPr>
      </w:pPr>
      <w:r w:rsidRPr="007A177A">
        <w:rPr>
          <w:rFonts w:ascii="Arial" w:hAnsi="Arial" w:cs="Arial"/>
          <w:b/>
        </w:rPr>
        <w:t>C</w:t>
      </w:r>
      <w:r w:rsidR="003C1A94" w:rsidRPr="007A177A">
        <w:rPr>
          <w:rFonts w:ascii="Arial" w:hAnsi="Arial" w:cs="Arial"/>
          <w:b/>
        </w:rPr>
        <w:t>ONSEJO DE ESTADO</w:t>
      </w:r>
    </w:p>
    <w:p w14:paraId="00193F17" w14:textId="77777777" w:rsidR="00CB7F3C" w:rsidRPr="007A177A" w:rsidRDefault="00CB7F3C" w:rsidP="00BF333B">
      <w:pPr>
        <w:jc w:val="center"/>
        <w:rPr>
          <w:rFonts w:ascii="Arial" w:hAnsi="Arial" w:cs="Arial"/>
          <w:b/>
        </w:rPr>
      </w:pPr>
    </w:p>
    <w:p w14:paraId="6396041C" w14:textId="77777777" w:rsidR="003C1A94" w:rsidRPr="007A177A" w:rsidRDefault="003C1A94" w:rsidP="00BF333B">
      <w:pPr>
        <w:jc w:val="center"/>
        <w:rPr>
          <w:rFonts w:ascii="Arial" w:hAnsi="Arial" w:cs="Arial"/>
          <w:b/>
        </w:rPr>
      </w:pPr>
      <w:r w:rsidRPr="007A177A">
        <w:rPr>
          <w:rFonts w:ascii="Arial" w:hAnsi="Arial" w:cs="Arial"/>
          <w:b/>
        </w:rPr>
        <w:t>SALA DE LO CONTENCIOSO ADMINISTRATIVO</w:t>
      </w:r>
    </w:p>
    <w:p w14:paraId="0D288D34" w14:textId="77777777" w:rsidR="00CB7F3C" w:rsidRPr="007A177A" w:rsidRDefault="00CB7F3C" w:rsidP="00BF333B">
      <w:pPr>
        <w:jc w:val="center"/>
        <w:rPr>
          <w:rFonts w:ascii="Arial" w:hAnsi="Arial" w:cs="Arial"/>
          <w:b/>
        </w:rPr>
      </w:pPr>
    </w:p>
    <w:p w14:paraId="67BDBBA3" w14:textId="77777777" w:rsidR="00CB7F3C" w:rsidRPr="007A177A" w:rsidRDefault="000655F0" w:rsidP="00BF333B">
      <w:pPr>
        <w:jc w:val="center"/>
        <w:rPr>
          <w:rFonts w:ascii="Arial" w:hAnsi="Arial" w:cs="Arial"/>
          <w:b/>
        </w:rPr>
      </w:pPr>
      <w:r w:rsidRPr="007A177A">
        <w:rPr>
          <w:rFonts w:ascii="Arial" w:hAnsi="Arial" w:cs="Arial"/>
          <w:b/>
        </w:rPr>
        <w:t>SECCIÓ</w:t>
      </w:r>
      <w:r w:rsidR="003C1A94" w:rsidRPr="007A177A">
        <w:rPr>
          <w:rFonts w:ascii="Arial" w:hAnsi="Arial" w:cs="Arial"/>
          <w:b/>
        </w:rPr>
        <w:t>N TERCERA</w:t>
      </w:r>
    </w:p>
    <w:p w14:paraId="74D43B72" w14:textId="77777777" w:rsidR="00CB7F3C" w:rsidRPr="007A177A" w:rsidRDefault="00CB7F3C" w:rsidP="00BF333B">
      <w:pPr>
        <w:jc w:val="center"/>
        <w:rPr>
          <w:rFonts w:ascii="Arial" w:hAnsi="Arial" w:cs="Arial"/>
          <w:b/>
        </w:rPr>
      </w:pPr>
    </w:p>
    <w:p w14:paraId="0CF97F73" w14:textId="77777777" w:rsidR="00F526A5" w:rsidRPr="007A177A" w:rsidRDefault="000655F0" w:rsidP="00BF333B">
      <w:pPr>
        <w:jc w:val="center"/>
        <w:rPr>
          <w:rFonts w:ascii="Arial" w:hAnsi="Arial" w:cs="Arial"/>
          <w:b/>
        </w:rPr>
      </w:pPr>
      <w:r w:rsidRPr="007A177A">
        <w:rPr>
          <w:rFonts w:ascii="Arial" w:hAnsi="Arial" w:cs="Arial"/>
          <w:b/>
        </w:rPr>
        <w:t>SUBSECCIÓ</w:t>
      </w:r>
      <w:r w:rsidR="003C1A94" w:rsidRPr="007A177A">
        <w:rPr>
          <w:rFonts w:ascii="Arial" w:hAnsi="Arial" w:cs="Arial"/>
          <w:b/>
        </w:rPr>
        <w:t>N A</w:t>
      </w:r>
    </w:p>
    <w:p w14:paraId="5A9B1C24" w14:textId="77777777" w:rsidR="004B2766" w:rsidRPr="007A177A" w:rsidRDefault="004B2766" w:rsidP="00BF333B">
      <w:pPr>
        <w:jc w:val="center"/>
        <w:rPr>
          <w:rFonts w:ascii="Arial" w:hAnsi="Arial" w:cs="Arial"/>
          <w:b/>
        </w:rPr>
      </w:pPr>
    </w:p>
    <w:p w14:paraId="0B938838" w14:textId="77777777" w:rsidR="00F526A5" w:rsidRPr="007A177A" w:rsidRDefault="00842AC5" w:rsidP="00BF333B">
      <w:pPr>
        <w:jc w:val="center"/>
        <w:rPr>
          <w:rFonts w:ascii="Arial" w:hAnsi="Arial" w:cs="Arial"/>
          <w:b/>
        </w:rPr>
      </w:pPr>
      <w:r w:rsidRPr="007A177A">
        <w:rPr>
          <w:rFonts w:ascii="Arial" w:hAnsi="Arial" w:cs="Arial"/>
          <w:b/>
        </w:rPr>
        <w:t>Consejera</w:t>
      </w:r>
      <w:r w:rsidR="000655F0" w:rsidRPr="007A177A">
        <w:rPr>
          <w:rFonts w:ascii="Arial" w:hAnsi="Arial" w:cs="Arial"/>
          <w:b/>
        </w:rPr>
        <w:t xml:space="preserve"> ponente: MARTA NUBIA VELÁ</w:t>
      </w:r>
      <w:r w:rsidR="00CB7F3C" w:rsidRPr="007A177A">
        <w:rPr>
          <w:rFonts w:ascii="Arial" w:hAnsi="Arial" w:cs="Arial"/>
          <w:b/>
        </w:rPr>
        <w:t>SQUEZ RICO</w:t>
      </w:r>
    </w:p>
    <w:p w14:paraId="35DD787A" w14:textId="77777777" w:rsidR="00CB7F3C" w:rsidRPr="007A177A" w:rsidRDefault="00CB7F3C" w:rsidP="00BF333B">
      <w:pPr>
        <w:jc w:val="both"/>
        <w:rPr>
          <w:rFonts w:ascii="Arial" w:hAnsi="Arial" w:cs="Arial"/>
          <w:b/>
        </w:rPr>
      </w:pPr>
    </w:p>
    <w:p w14:paraId="0C63B9A3" w14:textId="77777777" w:rsidR="00EE1AAA" w:rsidRPr="007A177A" w:rsidRDefault="006220A5" w:rsidP="00BF333B">
      <w:pPr>
        <w:jc w:val="both"/>
        <w:rPr>
          <w:rFonts w:ascii="Arial" w:hAnsi="Arial" w:cs="Arial"/>
        </w:rPr>
      </w:pPr>
      <w:r w:rsidRPr="007A177A">
        <w:rPr>
          <w:rFonts w:ascii="Arial" w:hAnsi="Arial" w:cs="Arial"/>
        </w:rPr>
        <w:t>Bogotá D.C.,</w:t>
      </w:r>
      <w:r w:rsidR="00D37A99" w:rsidRPr="007A177A">
        <w:rPr>
          <w:rFonts w:ascii="Arial" w:hAnsi="Arial" w:cs="Arial"/>
        </w:rPr>
        <w:t xml:space="preserve"> doce (12) </w:t>
      </w:r>
      <w:r w:rsidR="00EE1AAA" w:rsidRPr="007A177A">
        <w:rPr>
          <w:rFonts w:ascii="Arial" w:hAnsi="Arial" w:cs="Arial"/>
        </w:rPr>
        <w:t>de</w:t>
      </w:r>
      <w:r w:rsidR="00D37A99" w:rsidRPr="007A177A">
        <w:rPr>
          <w:rFonts w:ascii="Arial" w:hAnsi="Arial" w:cs="Arial"/>
        </w:rPr>
        <w:t xml:space="preserve"> agosto </w:t>
      </w:r>
      <w:r w:rsidR="0086192B" w:rsidRPr="007A177A">
        <w:rPr>
          <w:rFonts w:ascii="Arial" w:hAnsi="Arial" w:cs="Arial"/>
        </w:rPr>
        <w:t xml:space="preserve"> </w:t>
      </w:r>
      <w:r w:rsidR="00EE1AAA" w:rsidRPr="007A177A">
        <w:rPr>
          <w:rFonts w:ascii="Arial" w:hAnsi="Arial" w:cs="Arial"/>
        </w:rPr>
        <w:t>de dos mil dieci</w:t>
      </w:r>
      <w:r w:rsidR="0086192B" w:rsidRPr="007A177A">
        <w:rPr>
          <w:rFonts w:ascii="Arial" w:hAnsi="Arial" w:cs="Arial"/>
        </w:rPr>
        <w:t>nueve</w:t>
      </w:r>
      <w:r w:rsidR="00423081" w:rsidRPr="007A177A">
        <w:rPr>
          <w:rFonts w:ascii="Arial" w:hAnsi="Arial" w:cs="Arial"/>
        </w:rPr>
        <w:t xml:space="preserve"> </w:t>
      </w:r>
      <w:r w:rsidR="00EE1AAA" w:rsidRPr="007A177A">
        <w:rPr>
          <w:rFonts w:ascii="Arial" w:hAnsi="Arial" w:cs="Arial"/>
        </w:rPr>
        <w:t>(201</w:t>
      </w:r>
      <w:r w:rsidR="0086192B" w:rsidRPr="007A177A">
        <w:rPr>
          <w:rFonts w:ascii="Arial" w:hAnsi="Arial" w:cs="Arial"/>
        </w:rPr>
        <w:t>9</w:t>
      </w:r>
      <w:r w:rsidR="00EE1AAA" w:rsidRPr="007A177A">
        <w:rPr>
          <w:rFonts w:ascii="Arial" w:hAnsi="Arial" w:cs="Arial"/>
        </w:rPr>
        <w:t>)</w:t>
      </w:r>
      <w:r w:rsidR="00CB7F3C" w:rsidRPr="007A177A">
        <w:rPr>
          <w:rFonts w:ascii="Arial" w:hAnsi="Arial" w:cs="Arial"/>
        </w:rPr>
        <w:t>.</w:t>
      </w:r>
    </w:p>
    <w:p w14:paraId="68D56978" w14:textId="77777777" w:rsidR="00CB7F3C" w:rsidRPr="007A177A" w:rsidRDefault="00CB7F3C" w:rsidP="00BF333B">
      <w:pPr>
        <w:jc w:val="both"/>
        <w:rPr>
          <w:rFonts w:ascii="Arial" w:hAnsi="Arial" w:cs="Arial"/>
          <w:b/>
        </w:rPr>
      </w:pPr>
    </w:p>
    <w:p w14:paraId="5E3C16D4" w14:textId="77777777" w:rsidR="00B60B29" w:rsidRPr="007A177A" w:rsidRDefault="00B60B29" w:rsidP="00BF333B">
      <w:pPr>
        <w:jc w:val="both"/>
        <w:rPr>
          <w:rFonts w:ascii="Arial" w:hAnsi="Arial" w:cs="Arial"/>
          <w:b/>
        </w:rPr>
      </w:pPr>
      <w:r w:rsidRPr="007A177A">
        <w:rPr>
          <w:rFonts w:ascii="Arial" w:hAnsi="Arial" w:cs="Arial"/>
          <w:b/>
        </w:rPr>
        <w:t>Radicación</w:t>
      </w:r>
      <w:r w:rsidR="00CB7F3C" w:rsidRPr="007A177A">
        <w:rPr>
          <w:rFonts w:ascii="Arial" w:hAnsi="Arial" w:cs="Arial"/>
          <w:b/>
        </w:rPr>
        <w:t xml:space="preserve"> número</w:t>
      </w:r>
      <w:r w:rsidR="00CE3B84" w:rsidRPr="007A177A">
        <w:rPr>
          <w:rFonts w:ascii="Arial" w:hAnsi="Arial" w:cs="Arial"/>
          <w:b/>
        </w:rPr>
        <w:t xml:space="preserve">: </w:t>
      </w:r>
      <w:r w:rsidR="00423081" w:rsidRPr="007A177A">
        <w:rPr>
          <w:rFonts w:ascii="Arial" w:hAnsi="Arial" w:cs="Arial"/>
          <w:b/>
        </w:rPr>
        <w:t>13</w:t>
      </w:r>
      <w:r w:rsidR="00027DBA" w:rsidRPr="007A177A">
        <w:rPr>
          <w:rFonts w:ascii="Arial" w:hAnsi="Arial" w:cs="Arial"/>
          <w:b/>
        </w:rPr>
        <w:t>-</w:t>
      </w:r>
      <w:r w:rsidR="00423081" w:rsidRPr="007A177A">
        <w:rPr>
          <w:rFonts w:ascii="Arial" w:hAnsi="Arial" w:cs="Arial"/>
          <w:b/>
        </w:rPr>
        <w:t>001</w:t>
      </w:r>
      <w:r w:rsidR="00027DBA" w:rsidRPr="007A177A">
        <w:rPr>
          <w:rFonts w:ascii="Arial" w:hAnsi="Arial" w:cs="Arial"/>
          <w:b/>
        </w:rPr>
        <w:t>-</w:t>
      </w:r>
      <w:r w:rsidR="00423081" w:rsidRPr="007A177A">
        <w:rPr>
          <w:rFonts w:ascii="Arial" w:hAnsi="Arial" w:cs="Arial"/>
          <w:b/>
        </w:rPr>
        <w:t>23</w:t>
      </w:r>
      <w:r w:rsidR="00027DBA" w:rsidRPr="007A177A">
        <w:rPr>
          <w:rFonts w:ascii="Arial" w:hAnsi="Arial" w:cs="Arial"/>
          <w:b/>
        </w:rPr>
        <w:t>-</w:t>
      </w:r>
      <w:r w:rsidR="00423081" w:rsidRPr="007A177A">
        <w:rPr>
          <w:rFonts w:ascii="Arial" w:hAnsi="Arial" w:cs="Arial"/>
          <w:b/>
        </w:rPr>
        <w:t>31</w:t>
      </w:r>
      <w:r w:rsidR="00027DBA" w:rsidRPr="007A177A">
        <w:rPr>
          <w:rFonts w:ascii="Arial" w:hAnsi="Arial" w:cs="Arial"/>
          <w:b/>
        </w:rPr>
        <w:t>-</w:t>
      </w:r>
      <w:r w:rsidR="00423081" w:rsidRPr="007A177A">
        <w:rPr>
          <w:rFonts w:ascii="Arial" w:hAnsi="Arial" w:cs="Arial"/>
          <w:b/>
        </w:rPr>
        <w:t>004</w:t>
      </w:r>
      <w:r w:rsidR="00027DBA" w:rsidRPr="007A177A">
        <w:rPr>
          <w:rFonts w:ascii="Arial" w:hAnsi="Arial" w:cs="Arial"/>
          <w:b/>
        </w:rPr>
        <w:t>-</w:t>
      </w:r>
      <w:r w:rsidR="00423081" w:rsidRPr="007A177A">
        <w:rPr>
          <w:rFonts w:ascii="Arial" w:hAnsi="Arial" w:cs="Arial"/>
          <w:b/>
        </w:rPr>
        <w:t>200</w:t>
      </w:r>
      <w:r w:rsidR="00027DBA" w:rsidRPr="007A177A">
        <w:rPr>
          <w:rFonts w:ascii="Arial" w:hAnsi="Arial" w:cs="Arial"/>
          <w:b/>
        </w:rPr>
        <w:t>1-</w:t>
      </w:r>
      <w:r w:rsidR="00423081" w:rsidRPr="007A177A">
        <w:rPr>
          <w:rFonts w:ascii="Arial" w:hAnsi="Arial" w:cs="Arial"/>
          <w:b/>
        </w:rPr>
        <w:t>00696</w:t>
      </w:r>
      <w:r w:rsidR="00027DBA" w:rsidRPr="007A177A">
        <w:rPr>
          <w:rFonts w:ascii="Arial" w:hAnsi="Arial" w:cs="Arial"/>
          <w:b/>
        </w:rPr>
        <w:t>-</w:t>
      </w:r>
      <w:r w:rsidR="00423081" w:rsidRPr="007A177A">
        <w:rPr>
          <w:rFonts w:ascii="Arial" w:hAnsi="Arial" w:cs="Arial"/>
          <w:b/>
        </w:rPr>
        <w:t>01(59676)</w:t>
      </w:r>
      <w:r w:rsidR="007A68EA" w:rsidRPr="007A177A">
        <w:rPr>
          <w:rFonts w:ascii="Arial" w:hAnsi="Arial" w:cs="Arial"/>
          <w:b/>
        </w:rPr>
        <w:t xml:space="preserve"> </w:t>
      </w:r>
    </w:p>
    <w:p w14:paraId="4244B4FB" w14:textId="77777777" w:rsidR="00CB7F3C" w:rsidRPr="007A177A" w:rsidRDefault="00CB7F3C" w:rsidP="00BF333B">
      <w:pPr>
        <w:jc w:val="both"/>
        <w:rPr>
          <w:rFonts w:ascii="Arial" w:hAnsi="Arial" w:cs="Arial"/>
          <w:b/>
        </w:rPr>
      </w:pPr>
    </w:p>
    <w:p w14:paraId="60DFE596" w14:textId="77777777" w:rsidR="00B60B29" w:rsidRPr="007A177A" w:rsidRDefault="00B60B29" w:rsidP="00BF333B">
      <w:pPr>
        <w:jc w:val="both"/>
        <w:rPr>
          <w:rFonts w:ascii="Arial" w:hAnsi="Arial" w:cs="Arial"/>
          <w:b/>
        </w:rPr>
      </w:pPr>
      <w:r w:rsidRPr="007A177A">
        <w:rPr>
          <w:rFonts w:ascii="Arial" w:hAnsi="Arial" w:cs="Arial"/>
          <w:b/>
        </w:rPr>
        <w:t>Actor</w:t>
      </w:r>
      <w:r w:rsidR="00CE3B84" w:rsidRPr="007A177A">
        <w:rPr>
          <w:rFonts w:ascii="Arial" w:hAnsi="Arial" w:cs="Arial"/>
          <w:b/>
        </w:rPr>
        <w:t>:</w:t>
      </w:r>
      <w:r w:rsidR="007A68EA" w:rsidRPr="007A177A">
        <w:rPr>
          <w:rFonts w:ascii="Arial" w:hAnsi="Arial" w:cs="Arial"/>
          <w:b/>
        </w:rPr>
        <w:t xml:space="preserve"> </w:t>
      </w:r>
      <w:r w:rsidR="00423081" w:rsidRPr="007A177A">
        <w:rPr>
          <w:rFonts w:ascii="Arial" w:hAnsi="Arial" w:cs="Arial"/>
          <w:b/>
        </w:rPr>
        <w:t xml:space="preserve">BOTERO AGUILAR </w:t>
      </w:r>
      <w:r w:rsidR="007E436C" w:rsidRPr="007A177A">
        <w:rPr>
          <w:rFonts w:ascii="Arial" w:hAnsi="Arial" w:cs="Arial"/>
          <w:b/>
        </w:rPr>
        <w:t xml:space="preserve">Y CÍA </w:t>
      </w:r>
      <w:r w:rsidR="00423081" w:rsidRPr="007A177A">
        <w:rPr>
          <w:rFonts w:ascii="Arial" w:hAnsi="Arial" w:cs="Arial"/>
          <w:b/>
        </w:rPr>
        <w:t>S.A.</w:t>
      </w:r>
      <w:r w:rsidR="00547C7E" w:rsidRPr="007A177A">
        <w:rPr>
          <w:rFonts w:ascii="Arial" w:hAnsi="Arial" w:cs="Arial"/>
          <w:b/>
        </w:rPr>
        <w:t xml:space="preserve"> Y OTRO</w:t>
      </w:r>
      <w:r w:rsidR="006D5E53" w:rsidRPr="007A177A">
        <w:rPr>
          <w:rFonts w:ascii="Arial" w:hAnsi="Arial" w:cs="Arial"/>
          <w:b/>
        </w:rPr>
        <w:t>S</w:t>
      </w:r>
    </w:p>
    <w:p w14:paraId="0877949F" w14:textId="77777777" w:rsidR="00CB7F3C" w:rsidRPr="007A177A" w:rsidRDefault="00CB7F3C" w:rsidP="00BF333B">
      <w:pPr>
        <w:jc w:val="both"/>
        <w:rPr>
          <w:rFonts w:ascii="Arial" w:hAnsi="Arial" w:cs="Arial"/>
          <w:b/>
        </w:rPr>
      </w:pPr>
    </w:p>
    <w:p w14:paraId="6E8D452A" w14:textId="77777777" w:rsidR="00CB7F3C" w:rsidRPr="007A177A" w:rsidRDefault="00B60B29" w:rsidP="00BF333B">
      <w:pPr>
        <w:jc w:val="both"/>
        <w:rPr>
          <w:rFonts w:ascii="Arial" w:hAnsi="Arial" w:cs="Arial"/>
          <w:b/>
        </w:rPr>
      </w:pPr>
      <w:r w:rsidRPr="007A177A">
        <w:rPr>
          <w:rFonts w:ascii="Arial" w:hAnsi="Arial" w:cs="Arial"/>
          <w:b/>
        </w:rPr>
        <w:t>Demandado</w:t>
      </w:r>
      <w:r w:rsidR="007A68EA" w:rsidRPr="007A177A">
        <w:rPr>
          <w:rFonts w:ascii="Arial" w:hAnsi="Arial" w:cs="Arial"/>
          <w:b/>
        </w:rPr>
        <w:t xml:space="preserve">: </w:t>
      </w:r>
      <w:r w:rsidR="001D15C8" w:rsidRPr="007A177A">
        <w:rPr>
          <w:rFonts w:ascii="Arial" w:hAnsi="Arial" w:cs="Arial"/>
          <w:b/>
        </w:rPr>
        <w:t>INSTITUTO NACIONAL DE VÍAS</w:t>
      </w:r>
      <w:r w:rsidR="00B51FBA" w:rsidRPr="007A177A">
        <w:rPr>
          <w:rFonts w:ascii="Arial" w:hAnsi="Arial" w:cs="Arial"/>
          <w:b/>
        </w:rPr>
        <w:t xml:space="preserve"> -</w:t>
      </w:r>
      <w:r w:rsidR="001D15C8" w:rsidRPr="007A177A">
        <w:rPr>
          <w:rFonts w:ascii="Arial" w:hAnsi="Arial" w:cs="Arial"/>
          <w:b/>
        </w:rPr>
        <w:t xml:space="preserve"> INVÍAS </w:t>
      </w:r>
    </w:p>
    <w:p w14:paraId="3CA35F4F" w14:textId="77777777" w:rsidR="007A68EA" w:rsidRPr="007A177A" w:rsidRDefault="007A68EA" w:rsidP="00BF333B">
      <w:pPr>
        <w:jc w:val="both"/>
        <w:rPr>
          <w:rFonts w:ascii="Arial" w:hAnsi="Arial" w:cs="Arial"/>
          <w:b/>
        </w:rPr>
      </w:pPr>
    </w:p>
    <w:p w14:paraId="628C27B3" w14:textId="77777777" w:rsidR="00CE3B84" w:rsidRPr="007A177A" w:rsidRDefault="00CE3B84" w:rsidP="00BF333B">
      <w:pPr>
        <w:jc w:val="both"/>
        <w:rPr>
          <w:rFonts w:ascii="Arial" w:hAnsi="Arial" w:cs="Arial"/>
          <w:b/>
        </w:rPr>
      </w:pPr>
    </w:p>
    <w:p w14:paraId="35DBDB3D" w14:textId="77777777" w:rsidR="000C4B12" w:rsidRPr="007A177A" w:rsidRDefault="007A68EA" w:rsidP="00BF333B">
      <w:pPr>
        <w:jc w:val="both"/>
        <w:rPr>
          <w:rFonts w:ascii="Arial" w:hAnsi="Arial" w:cs="Arial"/>
          <w:b/>
        </w:rPr>
      </w:pPr>
      <w:r w:rsidRPr="007A177A">
        <w:rPr>
          <w:rFonts w:ascii="Arial" w:hAnsi="Arial" w:cs="Arial"/>
          <w:b/>
        </w:rPr>
        <w:t xml:space="preserve">Referencia: </w:t>
      </w:r>
      <w:r w:rsidR="000655F0" w:rsidRPr="007A177A">
        <w:rPr>
          <w:rFonts w:ascii="Arial" w:hAnsi="Arial" w:cs="Arial"/>
          <w:b/>
        </w:rPr>
        <w:t>ACCIÓ</w:t>
      </w:r>
      <w:r w:rsidR="00CB24F6" w:rsidRPr="007A177A">
        <w:rPr>
          <w:rFonts w:ascii="Arial" w:hAnsi="Arial" w:cs="Arial"/>
          <w:b/>
        </w:rPr>
        <w:t xml:space="preserve">N </w:t>
      </w:r>
      <w:r w:rsidRPr="007A177A">
        <w:rPr>
          <w:rFonts w:ascii="Arial" w:hAnsi="Arial" w:cs="Arial"/>
          <w:b/>
        </w:rPr>
        <w:t xml:space="preserve">DE CONTROVERSIAS </w:t>
      </w:r>
      <w:r w:rsidR="00CB24F6" w:rsidRPr="007A177A">
        <w:rPr>
          <w:rFonts w:ascii="Arial" w:hAnsi="Arial" w:cs="Arial"/>
          <w:b/>
        </w:rPr>
        <w:t>CONTRACTUAL</w:t>
      </w:r>
      <w:r w:rsidRPr="007A177A">
        <w:rPr>
          <w:rFonts w:ascii="Arial" w:hAnsi="Arial" w:cs="Arial"/>
          <w:b/>
        </w:rPr>
        <w:t xml:space="preserve">ES (SENTENCIA) </w:t>
      </w:r>
    </w:p>
    <w:p w14:paraId="4E768B80" w14:textId="77777777" w:rsidR="007A68EA" w:rsidRPr="007A177A" w:rsidRDefault="007A68EA" w:rsidP="00BF333B">
      <w:pPr>
        <w:jc w:val="both"/>
        <w:rPr>
          <w:rFonts w:ascii="Arial" w:hAnsi="Arial" w:cs="Arial"/>
          <w:b/>
        </w:rPr>
      </w:pPr>
    </w:p>
    <w:p w14:paraId="34D28D42" w14:textId="77777777" w:rsidR="007A68EA" w:rsidRPr="007A177A" w:rsidRDefault="007A68EA" w:rsidP="00BF333B">
      <w:pPr>
        <w:jc w:val="both"/>
        <w:rPr>
          <w:rFonts w:ascii="Arial" w:hAnsi="Arial" w:cs="Arial"/>
          <w:b/>
        </w:rPr>
      </w:pPr>
    </w:p>
    <w:p w14:paraId="0C81FC10" w14:textId="77777777" w:rsidR="00CE3B84" w:rsidRPr="007A177A" w:rsidRDefault="00CE3B84" w:rsidP="00BF333B">
      <w:pPr>
        <w:jc w:val="both"/>
        <w:rPr>
          <w:rFonts w:ascii="Arial" w:hAnsi="Arial" w:cs="Arial"/>
          <w:b/>
        </w:rPr>
      </w:pPr>
    </w:p>
    <w:p w14:paraId="71AFB88B" w14:textId="77777777" w:rsidR="0046431E" w:rsidRPr="007A177A" w:rsidRDefault="00124515" w:rsidP="00BF333B">
      <w:pPr>
        <w:pStyle w:val="Textoindependiente"/>
        <w:widowControl w:val="0"/>
        <w:spacing w:line="276" w:lineRule="auto"/>
        <w:ind w:right="-1"/>
        <w:jc w:val="both"/>
        <w:rPr>
          <w:rFonts w:cs="Arial"/>
          <w:i/>
          <w:iCs/>
          <w:sz w:val="24"/>
          <w:szCs w:val="24"/>
        </w:rPr>
      </w:pPr>
      <w:r w:rsidRPr="007A177A">
        <w:rPr>
          <w:rFonts w:cs="Arial"/>
          <w:b/>
          <w:bCs/>
          <w:i/>
          <w:iCs/>
          <w:sz w:val="24"/>
          <w:szCs w:val="24"/>
        </w:rPr>
        <w:t>Tema</w:t>
      </w:r>
      <w:r w:rsidR="00CB24F6" w:rsidRPr="007A177A">
        <w:rPr>
          <w:rFonts w:cs="Arial"/>
          <w:b/>
          <w:bCs/>
          <w:i/>
          <w:iCs/>
          <w:sz w:val="24"/>
          <w:szCs w:val="24"/>
        </w:rPr>
        <w:t>s:</w:t>
      </w:r>
      <w:r w:rsidR="0046431E" w:rsidRPr="007A177A">
        <w:rPr>
          <w:rFonts w:cs="Arial"/>
          <w:i/>
          <w:iCs/>
          <w:sz w:val="24"/>
          <w:szCs w:val="24"/>
        </w:rPr>
        <w:t xml:space="preserve"> </w:t>
      </w:r>
      <w:r w:rsidR="00F87FC3" w:rsidRPr="007A177A">
        <w:rPr>
          <w:rFonts w:cs="Arial"/>
          <w:i/>
          <w:iCs/>
          <w:sz w:val="24"/>
          <w:szCs w:val="24"/>
        </w:rPr>
        <w:t>CADUCIDAD Y PRESCR</w:t>
      </w:r>
      <w:r w:rsidR="00D263DF" w:rsidRPr="007A177A">
        <w:rPr>
          <w:rFonts w:cs="Arial"/>
          <w:i/>
          <w:iCs/>
          <w:sz w:val="24"/>
          <w:szCs w:val="24"/>
        </w:rPr>
        <w:t>I</w:t>
      </w:r>
      <w:r w:rsidR="00F87FC3" w:rsidRPr="007A177A">
        <w:rPr>
          <w:rFonts w:cs="Arial"/>
          <w:i/>
          <w:iCs/>
          <w:sz w:val="24"/>
          <w:szCs w:val="24"/>
        </w:rPr>
        <w:t>PCIÓN – Contrato celebrado en vigencia del Decreto</w:t>
      </w:r>
      <w:r w:rsidR="0084782D" w:rsidRPr="007A177A">
        <w:rPr>
          <w:rFonts w:cs="Arial"/>
          <w:i/>
          <w:iCs/>
          <w:sz w:val="24"/>
          <w:szCs w:val="24"/>
        </w:rPr>
        <w:t>-ley</w:t>
      </w:r>
      <w:r w:rsidR="00F87FC3" w:rsidRPr="007A177A">
        <w:rPr>
          <w:rFonts w:cs="Arial"/>
          <w:i/>
          <w:iCs/>
          <w:sz w:val="24"/>
          <w:szCs w:val="24"/>
        </w:rPr>
        <w:t xml:space="preserve"> 150 de 1976 - </w:t>
      </w:r>
      <w:r w:rsidR="00F87FC3" w:rsidRPr="007A177A">
        <w:rPr>
          <w:rFonts w:cs="Arial"/>
          <w:bCs/>
          <w:i/>
          <w:iCs/>
          <w:sz w:val="24"/>
          <w:szCs w:val="24"/>
        </w:rPr>
        <w:t>aplica el término de prescripción de 20 años</w:t>
      </w:r>
      <w:r w:rsidR="00323037" w:rsidRPr="007A177A">
        <w:rPr>
          <w:rFonts w:cs="Arial"/>
          <w:bCs/>
          <w:i/>
          <w:iCs/>
          <w:sz w:val="24"/>
          <w:szCs w:val="24"/>
        </w:rPr>
        <w:t xml:space="preserve"> de acuerdo con el Decreto</w:t>
      </w:r>
      <w:r w:rsidR="00590E45" w:rsidRPr="007A177A">
        <w:rPr>
          <w:rFonts w:cs="Arial"/>
          <w:bCs/>
          <w:i/>
          <w:iCs/>
          <w:sz w:val="24"/>
          <w:szCs w:val="24"/>
        </w:rPr>
        <w:t xml:space="preserve"> ley</w:t>
      </w:r>
      <w:r w:rsidR="00323037" w:rsidRPr="007A177A">
        <w:rPr>
          <w:rFonts w:cs="Arial"/>
          <w:bCs/>
          <w:i/>
          <w:iCs/>
          <w:sz w:val="24"/>
          <w:szCs w:val="24"/>
        </w:rPr>
        <w:t xml:space="preserve"> 528 de 1964, norma vigente a la fecha en que empezó a correr el término para definir la oportunidad de la demanda. </w:t>
      </w:r>
      <w:r w:rsidR="00F87FC3" w:rsidRPr="007A177A">
        <w:rPr>
          <w:rFonts w:cs="Arial"/>
          <w:bCs/>
          <w:i/>
          <w:iCs/>
          <w:sz w:val="24"/>
          <w:szCs w:val="24"/>
        </w:rPr>
        <w:t xml:space="preserve"> </w:t>
      </w:r>
      <w:r w:rsidR="00D263DF" w:rsidRPr="007A177A">
        <w:rPr>
          <w:rFonts w:cs="Arial"/>
          <w:bCs/>
          <w:i/>
          <w:iCs/>
          <w:sz w:val="24"/>
          <w:szCs w:val="24"/>
        </w:rPr>
        <w:t>/</w:t>
      </w:r>
      <w:r w:rsidR="00F87FC3" w:rsidRPr="007A177A">
        <w:rPr>
          <w:rFonts w:cs="Arial"/>
          <w:b/>
          <w:i/>
          <w:iCs/>
          <w:sz w:val="24"/>
          <w:szCs w:val="24"/>
        </w:rPr>
        <w:t xml:space="preserve"> </w:t>
      </w:r>
      <w:r w:rsidR="00503F01" w:rsidRPr="007A177A">
        <w:rPr>
          <w:rFonts w:cs="Arial"/>
          <w:i/>
          <w:iCs/>
          <w:sz w:val="24"/>
          <w:szCs w:val="24"/>
        </w:rPr>
        <w:t>ACCI</w:t>
      </w:r>
      <w:r w:rsidR="009F20D5" w:rsidRPr="007A177A">
        <w:rPr>
          <w:rFonts w:cs="Arial"/>
          <w:i/>
          <w:iCs/>
          <w:sz w:val="24"/>
          <w:szCs w:val="24"/>
        </w:rPr>
        <w:t>Ó</w:t>
      </w:r>
      <w:r w:rsidR="00503F01" w:rsidRPr="007A177A">
        <w:rPr>
          <w:rFonts w:cs="Arial"/>
          <w:i/>
          <w:iCs/>
          <w:sz w:val="24"/>
          <w:szCs w:val="24"/>
        </w:rPr>
        <w:t>N CONTRACTUAL - la “</w:t>
      </w:r>
      <w:proofErr w:type="spellStart"/>
      <w:r w:rsidR="00503F01" w:rsidRPr="007A177A">
        <w:rPr>
          <w:rFonts w:cs="Arial"/>
          <w:i/>
          <w:iCs/>
          <w:sz w:val="24"/>
          <w:szCs w:val="24"/>
        </w:rPr>
        <w:t>ac</w:t>
      </w:r>
      <w:r w:rsidR="005068DB" w:rsidRPr="007A177A">
        <w:rPr>
          <w:rFonts w:cs="Arial"/>
          <w:i/>
          <w:iCs/>
          <w:sz w:val="24"/>
          <w:szCs w:val="24"/>
        </w:rPr>
        <w:t>t</w:t>
      </w:r>
      <w:r w:rsidR="00503F01" w:rsidRPr="007A177A">
        <w:rPr>
          <w:rFonts w:cs="Arial"/>
          <w:i/>
          <w:iCs/>
          <w:sz w:val="24"/>
          <w:szCs w:val="24"/>
        </w:rPr>
        <w:t>io</w:t>
      </w:r>
      <w:proofErr w:type="spellEnd"/>
      <w:r w:rsidR="00503F01" w:rsidRPr="007A177A">
        <w:rPr>
          <w:rFonts w:cs="Arial"/>
          <w:i/>
          <w:iCs/>
          <w:sz w:val="24"/>
          <w:szCs w:val="24"/>
        </w:rPr>
        <w:t xml:space="preserve"> i</w:t>
      </w:r>
      <w:r w:rsidR="009F20D5" w:rsidRPr="007A177A">
        <w:rPr>
          <w:rFonts w:cs="Arial"/>
          <w:i/>
          <w:iCs/>
          <w:sz w:val="24"/>
          <w:szCs w:val="24"/>
        </w:rPr>
        <w:t>n</w:t>
      </w:r>
      <w:r w:rsidR="00503F01" w:rsidRPr="007A177A">
        <w:rPr>
          <w:rFonts w:cs="Arial"/>
          <w:i/>
          <w:iCs/>
          <w:sz w:val="24"/>
          <w:szCs w:val="24"/>
        </w:rPr>
        <w:t xml:space="preserve"> rem verso”, que se planteó en la demanda correspondió en este caso a una pretensión contractua</w:t>
      </w:r>
      <w:r w:rsidR="007472F8" w:rsidRPr="007A177A">
        <w:rPr>
          <w:rFonts w:cs="Arial"/>
          <w:i/>
          <w:iCs/>
          <w:sz w:val="24"/>
          <w:szCs w:val="24"/>
        </w:rPr>
        <w:t>l</w:t>
      </w:r>
      <w:r w:rsidR="009F20D5" w:rsidRPr="007A177A">
        <w:rPr>
          <w:rFonts w:cs="Arial"/>
          <w:i/>
          <w:iCs/>
          <w:sz w:val="24"/>
          <w:szCs w:val="24"/>
        </w:rPr>
        <w:t xml:space="preserve"> /</w:t>
      </w:r>
      <w:r w:rsidR="00503F01" w:rsidRPr="007A177A">
        <w:rPr>
          <w:rFonts w:cs="Arial"/>
          <w:i/>
          <w:iCs/>
          <w:sz w:val="24"/>
          <w:szCs w:val="24"/>
        </w:rPr>
        <w:t xml:space="preserve"> </w:t>
      </w:r>
      <w:r w:rsidR="0046431E" w:rsidRPr="007A177A">
        <w:rPr>
          <w:rFonts w:cs="Arial"/>
          <w:i/>
          <w:iCs/>
          <w:sz w:val="24"/>
          <w:szCs w:val="24"/>
        </w:rPr>
        <w:t xml:space="preserve">INTERESES </w:t>
      </w:r>
      <w:r w:rsidR="00F87FC3" w:rsidRPr="007A177A">
        <w:rPr>
          <w:rFonts w:cs="Arial"/>
          <w:i/>
          <w:iCs/>
          <w:sz w:val="24"/>
          <w:szCs w:val="24"/>
        </w:rPr>
        <w:t>–</w:t>
      </w:r>
      <w:r w:rsidR="00CB24F6" w:rsidRPr="007A177A">
        <w:rPr>
          <w:rFonts w:cs="Arial"/>
          <w:i/>
          <w:iCs/>
          <w:sz w:val="24"/>
          <w:szCs w:val="24"/>
        </w:rPr>
        <w:t xml:space="preserve"> </w:t>
      </w:r>
      <w:r w:rsidR="009552D8" w:rsidRPr="007A177A">
        <w:rPr>
          <w:rFonts w:cs="Arial"/>
          <w:bCs/>
          <w:i/>
          <w:sz w:val="24"/>
          <w:szCs w:val="24"/>
        </w:rPr>
        <w:t>Reglas de interpretación del contrato y tasa de interés aplicable</w:t>
      </w:r>
      <w:r w:rsidR="009552D8" w:rsidRPr="007A177A">
        <w:rPr>
          <w:rFonts w:cs="Arial"/>
          <w:i/>
          <w:iCs/>
          <w:sz w:val="24"/>
          <w:szCs w:val="24"/>
        </w:rPr>
        <w:t xml:space="preserve">  - </w:t>
      </w:r>
      <w:r w:rsidR="00F87FC3" w:rsidRPr="007A177A">
        <w:rPr>
          <w:rFonts w:cs="Arial"/>
          <w:i/>
          <w:iCs/>
          <w:sz w:val="24"/>
          <w:szCs w:val="24"/>
        </w:rPr>
        <w:t xml:space="preserve">régimen legal - </w:t>
      </w:r>
      <w:r w:rsidR="0046431E" w:rsidRPr="007A177A">
        <w:rPr>
          <w:rFonts w:cs="Arial"/>
          <w:i/>
          <w:iCs/>
          <w:sz w:val="24"/>
          <w:szCs w:val="24"/>
        </w:rPr>
        <w:t>imputación de los pagos -primero a intereses y luego a capital-, no era aplicable el artículo 1653</w:t>
      </w:r>
      <w:r w:rsidR="00E017B9" w:rsidRPr="007A177A">
        <w:rPr>
          <w:rFonts w:cs="Arial"/>
          <w:i/>
          <w:iCs/>
          <w:sz w:val="24"/>
          <w:szCs w:val="24"/>
        </w:rPr>
        <w:t xml:space="preserve"> </w:t>
      </w:r>
      <w:r w:rsidR="0046431E" w:rsidRPr="007A177A">
        <w:rPr>
          <w:rFonts w:cs="Arial"/>
          <w:i/>
          <w:iCs/>
          <w:sz w:val="24"/>
          <w:szCs w:val="24"/>
        </w:rPr>
        <w:t>del Código Civil, teniendo en cuenta que</w:t>
      </w:r>
      <w:r w:rsidR="005C46CE" w:rsidRPr="007A177A">
        <w:rPr>
          <w:rFonts w:cs="Arial"/>
          <w:i/>
          <w:iCs/>
          <w:sz w:val="24"/>
          <w:szCs w:val="24"/>
        </w:rPr>
        <w:t>,</w:t>
      </w:r>
      <w:r w:rsidR="0046431E" w:rsidRPr="007A177A">
        <w:rPr>
          <w:rFonts w:cs="Arial"/>
          <w:i/>
          <w:iCs/>
          <w:sz w:val="24"/>
          <w:szCs w:val="24"/>
        </w:rPr>
        <w:t xml:space="preserve"> una vez recibidos los valores indicados en las actas de obra, el contratista continuó presentando otras actas de obra y recibiendo pagos sin reclamar la supuesta </w:t>
      </w:r>
      <w:r w:rsidR="005068DB" w:rsidRPr="007A177A">
        <w:rPr>
          <w:rFonts w:cs="Arial"/>
          <w:i/>
          <w:iCs/>
          <w:sz w:val="24"/>
          <w:szCs w:val="24"/>
        </w:rPr>
        <w:t>acreencia /</w:t>
      </w:r>
      <w:r w:rsidR="00F87FC3" w:rsidRPr="007A177A">
        <w:rPr>
          <w:rFonts w:cs="Arial"/>
          <w:i/>
          <w:iCs/>
          <w:sz w:val="24"/>
          <w:szCs w:val="24"/>
        </w:rPr>
        <w:t xml:space="preserve"> </w:t>
      </w:r>
      <w:r w:rsidR="007472F8" w:rsidRPr="007A177A">
        <w:rPr>
          <w:rFonts w:cs="Arial"/>
          <w:i/>
          <w:iCs/>
          <w:sz w:val="24"/>
          <w:szCs w:val="24"/>
        </w:rPr>
        <w:t xml:space="preserve">ARTICULO 885 </w:t>
      </w:r>
      <w:r w:rsidR="00B51FBA" w:rsidRPr="007A177A">
        <w:rPr>
          <w:rFonts w:cs="Arial"/>
          <w:i/>
          <w:iCs/>
          <w:sz w:val="24"/>
          <w:szCs w:val="24"/>
        </w:rPr>
        <w:t>C.CO</w:t>
      </w:r>
      <w:r w:rsidR="007472F8" w:rsidRPr="007A177A">
        <w:rPr>
          <w:rFonts w:cs="Arial"/>
          <w:i/>
          <w:iCs/>
          <w:sz w:val="24"/>
          <w:szCs w:val="24"/>
        </w:rPr>
        <w:t xml:space="preserve">. no se dan los supuestos del plazo vencido para causar intereses de mora en el evento de la falta de entrega a satisfacción o de la existencia de las glosas o rechazos de la cuenta / </w:t>
      </w:r>
      <w:r w:rsidR="005C5111" w:rsidRPr="007A177A">
        <w:rPr>
          <w:rFonts w:cs="Arial"/>
          <w:i/>
          <w:iCs/>
          <w:sz w:val="24"/>
          <w:szCs w:val="24"/>
        </w:rPr>
        <w:t xml:space="preserve"> </w:t>
      </w:r>
      <w:r w:rsidR="00F87FC3" w:rsidRPr="007A177A">
        <w:rPr>
          <w:rFonts w:cs="Arial"/>
          <w:i/>
          <w:iCs/>
          <w:sz w:val="24"/>
          <w:szCs w:val="24"/>
        </w:rPr>
        <w:t>LIQUIDACI</w:t>
      </w:r>
      <w:r w:rsidR="00D263DF" w:rsidRPr="007A177A">
        <w:rPr>
          <w:rFonts w:cs="Arial"/>
          <w:i/>
          <w:iCs/>
          <w:sz w:val="24"/>
          <w:szCs w:val="24"/>
        </w:rPr>
        <w:t>Ó</w:t>
      </w:r>
      <w:r w:rsidR="00F87FC3" w:rsidRPr="007A177A">
        <w:rPr>
          <w:rFonts w:cs="Arial"/>
          <w:i/>
          <w:iCs/>
          <w:sz w:val="24"/>
          <w:szCs w:val="24"/>
        </w:rPr>
        <w:t>N</w:t>
      </w:r>
      <w:r w:rsidR="00D263DF" w:rsidRPr="007A177A">
        <w:rPr>
          <w:rFonts w:cs="Arial"/>
          <w:i/>
          <w:iCs/>
          <w:sz w:val="24"/>
          <w:szCs w:val="24"/>
        </w:rPr>
        <w:t xml:space="preserve"> DEL</w:t>
      </w:r>
      <w:r w:rsidR="007472F8" w:rsidRPr="007A177A">
        <w:rPr>
          <w:rFonts w:cs="Arial"/>
          <w:i/>
          <w:iCs/>
          <w:sz w:val="24"/>
          <w:szCs w:val="24"/>
        </w:rPr>
        <w:t xml:space="preserve"> </w:t>
      </w:r>
      <w:r w:rsidR="00D263DF" w:rsidRPr="007A177A">
        <w:rPr>
          <w:rFonts w:cs="Arial"/>
          <w:i/>
          <w:iCs/>
          <w:sz w:val="24"/>
          <w:szCs w:val="24"/>
        </w:rPr>
        <w:t xml:space="preserve">CONTRATO </w:t>
      </w:r>
      <w:r w:rsidR="00F87FC3" w:rsidRPr="007A177A">
        <w:rPr>
          <w:rFonts w:cs="Arial"/>
          <w:i/>
          <w:iCs/>
          <w:sz w:val="24"/>
          <w:szCs w:val="24"/>
        </w:rPr>
        <w:t xml:space="preserve"> –</w:t>
      </w:r>
      <w:r w:rsidR="00D263DF" w:rsidRPr="007A177A">
        <w:rPr>
          <w:rFonts w:cs="Arial"/>
          <w:i/>
          <w:iCs/>
          <w:sz w:val="24"/>
          <w:szCs w:val="24"/>
        </w:rPr>
        <w:t xml:space="preserve"> </w:t>
      </w:r>
      <w:r w:rsidR="00F87FC3" w:rsidRPr="007A177A">
        <w:rPr>
          <w:rFonts w:cs="Arial"/>
          <w:i/>
          <w:iCs/>
          <w:sz w:val="24"/>
          <w:szCs w:val="24"/>
        </w:rPr>
        <w:t xml:space="preserve">los documentos de la liquidación </w:t>
      </w:r>
      <w:r w:rsidR="00D263DF" w:rsidRPr="007A177A">
        <w:rPr>
          <w:rFonts w:cs="Arial"/>
          <w:i/>
          <w:iCs/>
          <w:sz w:val="24"/>
          <w:szCs w:val="24"/>
        </w:rPr>
        <w:t xml:space="preserve">prueban el saldo final de la ejecución </w:t>
      </w:r>
      <w:r w:rsidR="009F20D5" w:rsidRPr="007A177A">
        <w:rPr>
          <w:rFonts w:cs="Arial"/>
          <w:i/>
          <w:iCs/>
          <w:sz w:val="24"/>
          <w:szCs w:val="24"/>
        </w:rPr>
        <w:t>/</w:t>
      </w:r>
      <w:r w:rsidR="00F87FC3" w:rsidRPr="007A177A">
        <w:rPr>
          <w:rFonts w:cs="Arial"/>
          <w:i/>
          <w:iCs/>
          <w:sz w:val="24"/>
          <w:szCs w:val="24"/>
        </w:rPr>
        <w:t xml:space="preserve"> ANTICIPO – compensación </w:t>
      </w:r>
      <w:r w:rsidR="009F20D5" w:rsidRPr="007A177A">
        <w:rPr>
          <w:rFonts w:cs="Arial"/>
          <w:i/>
          <w:iCs/>
          <w:sz w:val="24"/>
          <w:szCs w:val="24"/>
        </w:rPr>
        <w:t>/</w:t>
      </w:r>
      <w:r w:rsidR="00F87FC3" w:rsidRPr="007A177A">
        <w:rPr>
          <w:rFonts w:cs="Arial"/>
          <w:i/>
          <w:iCs/>
          <w:sz w:val="24"/>
          <w:szCs w:val="24"/>
        </w:rPr>
        <w:t xml:space="preserve"> DECISIÓN- revoca condena.</w:t>
      </w:r>
      <w:r w:rsidR="0046431E" w:rsidRPr="007A177A">
        <w:rPr>
          <w:rFonts w:cs="Arial"/>
          <w:i/>
          <w:iCs/>
          <w:sz w:val="24"/>
          <w:szCs w:val="24"/>
        </w:rPr>
        <w:t xml:space="preserve"> </w:t>
      </w:r>
    </w:p>
    <w:p w14:paraId="7D479851" w14:textId="77777777" w:rsidR="00593CAA" w:rsidRPr="007A177A" w:rsidRDefault="00593CAA" w:rsidP="00BF333B">
      <w:pPr>
        <w:spacing w:line="360" w:lineRule="auto"/>
        <w:jc w:val="both"/>
        <w:rPr>
          <w:rFonts w:ascii="Arial" w:hAnsi="Arial" w:cs="Arial"/>
          <w:lang w:val="es-CO"/>
        </w:rPr>
      </w:pPr>
    </w:p>
    <w:p w14:paraId="3EAB43F3" w14:textId="77777777" w:rsidR="009D0E50" w:rsidRPr="007A177A" w:rsidRDefault="00CB24F6" w:rsidP="00BF333B">
      <w:pPr>
        <w:spacing w:line="360" w:lineRule="auto"/>
        <w:jc w:val="both"/>
        <w:rPr>
          <w:rFonts w:ascii="Arial" w:hAnsi="Arial" w:cs="Arial"/>
        </w:rPr>
      </w:pPr>
      <w:r w:rsidRPr="007A177A">
        <w:rPr>
          <w:rFonts w:ascii="Arial" w:hAnsi="Arial" w:cs="Arial"/>
        </w:rPr>
        <w:t>Procede la Sala a resolver</w:t>
      </w:r>
      <w:r w:rsidR="001D15C8" w:rsidRPr="007A177A">
        <w:rPr>
          <w:rFonts w:ascii="Arial" w:hAnsi="Arial" w:cs="Arial"/>
        </w:rPr>
        <w:t xml:space="preserve"> </w:t>
      </w:r>
      <w:r w:rsidR="009D0E50" w:rsidRPr="007A177A">
        <w:rPr>
          <w:rFonts w:ascii="Arial" w:hAnsi="Arial" w:cs="Arial"/>
        </w:rPr>
        <w:t xml:space="preserve">el recurso de apelación presentado por la parte </w:t>
      </w:r>
      <w:r w:rsidR="00027DBA" w:rsidRPr="007A177A">
        <w:rPr>
          <w:rFonts w:ascii="Arial" w:hAnsi="Arial" w:cs="Arial"/>
        </w:rPr>
        <w:t xml:space="preserve">demandada </w:t>
      </w:r>
      <w:r w:rsidR="009D0E50" w:rsidRPr="007A177A">
        <w:rPr>
          <w:rFonts w:ascii="Arial" w:hAnsi="Arial" w:cs="Arial"/>
        </w:rPr>
        <w:t xml:space="preserve">contra la sentencia proferida por el Tribunal Administrativo de </w:t>
      </w:r>
      <w:r w:rsidR="00456144" w:rsidRPr="007A177A">
        <w:rPr>
          <w:rFonts w:ascii="Arial" w:hAnsi="Arial" w:cs="Arial"/>
        </w:rPr>
        <w:t>Bolívar</w:t>
      </w:r>
      <w:r w:rsidR="009D0E50" w:rsidRPr="007A177A">
        <w:rPr>
          <w:rFonts w:ascii="Arial" w:hAnsi="Arial" w:cs="Arial"/>
        </w:rPr>
        <w:t xml:space="preserve">, el </w:t>
      </w:r>
      <w:r w:rsidR="00456144" w:rsidRPr="007A177A">
        <w:rPr>
          <w:rFonts w:ascii="Arial" w:hAnsi="Arial" w:cs="Arial"/>
        </w:rPr>
        <w:t>24 de noviembre de 2016</w:t>
      </w:r>
      <w:r w:rsidR="009D0E50" w:rsidRPr="007A177A">
        <w:rPr>
          <w:rFonts w:ascii="Arial" w:hAnsi="Arial" w:cs="Arial"/>
        </w:rPr>
        <w:t xml:space="preserve">, </w:t>
      </w:r>
      <w:r w:rsidR="00D263DF" w:rsidRPr="007A177A">
        <w:rPr>
          <w:rFonts w:ascii="Arial" w:hAnsi="Arial" w:cs="Arial"/>
        </w:rPr>
        <w:t>Sala de Decisión No. 5 del sistema escritural</w:t>
      </w:r>
      <w:r w:rsidR="00B61C99" w:rsidRPr="007A177A">
        <w:rPr>
          <w:rFonts w:ascii="Arial" w:hAnsi="Arial" w:cs="Arial"/>
        </w:rPr>
        <w:t xml:space="preserve"> en descongestión</w:t>
      </w:r>
      <w:r w:rsidR="000E279A" w:rsidRPr="007A177A">
        <w:rPr>
          <w:rFonts w:ascii="Arial" w:hAnsi="Arial" w:cs="Arial"/>
        </w:rPr>
        <w:t>,</w:t>
      </w:r>
      <w:r w:rsidR="00B51FBA" w:rsidRPr="007A177A">
        <w:rPr>
          <w:rFonts w:ascii="Arial" w:hAnsi="Arial" w:cs="Arial"/>
        </w:rPr>
        <w:t xml:space="preserve"> </w:t>
      </w:r>
      <w:r w:rsidR="009D0E50" w:rsidRPr="007A177A">
        <w:rPr>
          <w:rFonts w:ascii="Arial" w:hAnsi="Arial" w:cs="Arial"/>
        </w:rPr>
        <w:t>mediante la cual se</w:t>
      </w:r>
      <w:r w:rsidR="0004537F" w:rsidRPr="007A177A">
        <w:rPr>
          <w:rFonts w:ascii="Arial" w:hAnsi="Arial" w:cs="Arial"/>
        </w:rPr>
        <w:t xml:space="preserve"> dispuso</w:t>
      </w:r>
      <w:r w:rsidR="000B61BF" w:rsidRPr="007A177A">
        <w:rPr>
          <w:rFonts w:ascii="Arial" w:hAnsi="Arial" w:cs="Arial"/>
        </w:rPr>
        <w:t xml:space="preserve"> (se transcribe de forma literal):</w:t>
      </w:r>
    </w:p>
    <w:p w14:paraId="4B5AAA1A" w14:textId="77777777" w:rsidR="00F61254" w:rsidRPr="007A177A" w:rsidRDefault="00F61254" w:rsidP="00BF333B">
      <w:pPr>
        <w:spacing w:line="360" w:lineRule="auto"/>
        <w:jc w:val="both"/>
        <w:rPr>
          <w:rFonts w:ascii="Arial" w:hAnsi="Arial" w:cs="Arial"/>
        </w:rPr>
      </w:pPr>
    </w:p>
    <w:p w14:paraId="703C85B4" w14:textId="77777777" w:rsidR="00F61254" w:rsidRPr="007A177A" w:rsidRDefault="00F61254" w:rsidP="00BF333B">
      <w:pPr>
        <w:pStyle w:val="Continuarlista2"/>
        <w:tabs>
          <w:tab w:val="left" w:pos="567"/>
        </w:tabs>
        <w:spacing w:after="0" w:line="240" w:lineRule="auto"/>
        <w:ind w:left="567" w:right="902"/>
        <w:rPr>
          <w:rFonts w:cs="Arial"/>
          <w:i/>
        </w:rPr>
      </w:pPr>
      <w:r w:rsidRPr="007A177A">
        <w:rPr>
          <w:rFonts w:cs="Arial"/>
          <w:i/>
        </w:rPr>
        <w:lastRenderedPageBreak/>
        <w:t>“PRIMERO: Declarar no probada la excepción de falta de legitimación por pasiva y la de compensación propuestas por el apoderado de</w:t>
      </w:r>
      <w:r w:rsidR="005917A8" w:rsidRPr="007A177A">
        <w:rPr>
          <w:rFonts w:cs="Arial"/>
          <w:i/>
        </w:rPr>
        <w:t>l</w:t>
      </w:r>
      <w:r w:rsidRPr="007A177A">
        <w:rPr>
          <w:rFonts w:cs="Arial"/>
          <w:i/>
        </w:rPr>
        <w:t xml:space="preserve"> demandado Instituto Nacional de Vías – INVÍAS, de conformidad con lo expuesto en la parte motiva de este proveído.</w:t>
      </w:r>
    </w:p>
    <w:p w14:paraId="5CE2378F" w14:textId="77777777" w:rsidR="00F61254" w:rsidRPr="007A177A" w:rsidRDefault="00F61254" w:rsidP="00BF333B">
      <w:pPr>
        <w:pStyle w:val="Continuarlista2"/>
        <w:tabs>
          <w:tab w:val="left" w:pos="567"/>
        </w:tabs>
        <w:spacing w:after="0" w:line="240" w:lineRule="auto"/>
        <w:ind w:left="567" w:right="902"/>
        <w:rPr>
          <w:rFonts w:cs="Arial"/>
          <w:i/>
        </w:rPr>
      </w:pPr>
    </w:p>
    <w:p w14:paraId="6D7A5BD0" w14:textId="77777777" w:rsidR="00F61254" w:rsidRPr="007A177A" w:rsidRDefault="00F61254" w:rsidP="00BF333B">
      <w:pPr>
        <w:pStyle w:val="Continuarlista2"/>
        <w:tabs>
          <w:tab w:val="left" w:pos="567"/>
        </w:tabs>
        <w:spacing w:after="0" w:line="240" w:lineRule="auto"/>
        <w:ind w:left="567" w:right="902"/>
        <w:rPr>
          <w:rFonts w:cs="Arial"/>
          <w:i/>
        </w:rPr>
      </w:pPr>
      <w:r w:rsidRPr="007A177A">
        <w:rPr>
          <w:rFonts w:cs="Arial"/>
          <w:i/>
        </w:rPr>
        <w:t>“SEGUNDO: Declárase que el FONDO VIAL NACIONAL hoy Instituto Nacional de Vías, incumplió las obligaciones surgidas del Contrato de obra pública No. 368</w:t>
      </w:r>
      <w:r w:rsidR="00EB161A" w:rsidRPr="007A177A">
        <w:rPr>
          <w:rStyle w:val="Refdenotaalpie"/>
          <w:rFonts w:cs="Arial"/>
          <w:i/>
        </w:rPr>
        <w:footnoteReference w:id="1"/>
      </w:r>
      <w:r w:rsidRPr="007A177A">
        <w:rPr>
          <w:rFonts w:cs="Arial"/>
          <w:i/>
        </w:rPr>
        <w:t xml:space="preserve"> de 1976 y sus adicionales, celebrado con el Consorcio Botero Aguilar y </w:t>
      </w:r>
      <w:proofErr w:type="spellStart"/>
      <w:r w:rsidRPr="007A177A">
        <w:rPr>
          <w:rFonts w:cs="Arial"/>
          <w:i/>
        </w:rPr>
        <w:t>Cía</w:t>
      </w:r>
      <w:proofErr w:type="spellEnd"/>
      <w:r w:rsidRPr="007A177A">
        <w:rPr>
          <w:rFonts w:cs="Arial"/>
          <w:i/>
        </w:rPr>
        <w:t xml:space="preserve"> S.A. – CONSORCIO NACIONAL DE INGENIEROS CONTRATISTAS CONIC S.A. cuyo objeto consistía en ejecutar para el antiguo FONDO VIAL NACIONAL, a precios unitarios fijos y en los términos que señaló el contrato todas las obras necesarias para la construcción y pavimentación del sector </w:t>
      </w:r>
      <w:proofErr w:type="spellStart"/>
      <w:r w:rsidRPr="007A177A">
        <w:rPr>
          <w:rFonts w:cs="Arial"/>
          <w:i/>
        </w:rPr>
        <w:t>Tierrabaja</w:t>
      </w:r>
      <w:proofErr w:type="spellEnd"/>
      <w:r w:rsidRPr="007A177A">
        <w:rPr>
          <w:rFonts w:cs="Arial"/>
          <w:i/>
        </w:rPr>
        <w:t xml:space="preserve"> – Arroyo de Piedra de la Carretera Cartagena – Barranquilla del K.7 al K.19 + 000 de acuerdo con los planos y especificaciones suministradas por el FONDO VIAL bajo las condiciones estipuladas en el presente contrato, y con lo cual ocasionó el rompimiento del equilibrio financiero del mismo, por las razones explicadas en la parte motiva de esta providencia.</w:t>
      </w:r>
    </w:p>
    <w:p w14:paraId="34B646F5" w14:textId="77777777" w:rsidR="00F61254" w:rsidRPr="007A177A" w:rsidRDefault="00F61254" w:rsidP="00BF333B">
      <w:pPr>
        <w:pStyle w:val="Continuarlista2"/>
        <w:tabs>
          <w:tab w:val="left" w:pos="567"/>
        </w:tabs>
        <w:spacing w:after="0" w:line="240" w:lineRule="auto"/>
        <w:ind w:left="567" w:right="902"/>
        <w:rPr>
          <w:rFonts w:cs="Arial"/>
          <w:i/>
        </w:rPr>
      </w:pPr>
    </w:p>
    <w:p w14:paraId="4FCCFD45" w14:textId="77777777" w:rsidR="00F61254" w:rsidRPr="007A177A" w:rsidRDefault="00F61254" w:rsidP="00BF333B">
      <w:pPr>
        <w:pStyle w:val="Continuarlista2"/>
        <w:tabs>
          <w:tab w:val="left" w:pos="567"/>
        </w:tabs>
        <w:spacing w:after="0" w:line="240" w:lineRule="auto"/>
        <w:ind w:left="567" w:right="902"/>
        <w:rPr>
          <w:rFonts w:cs="Arial"/>
          <w:i/>
        </w:rPr>
      </w:pPr>
      <w:r w:rsidRPr="007A177A">
        <w:rPr>
          <w:rFonts w:cs="Arial"/>
          <w:i/>
        </w:rPr>
        <w:t xml:space="preserve">“TERCERO: En consecuencia, se condena al FONDO VIAL NACIONAL hoy Instituto Nacional de Vías – INVÍAS a pagar al Consorcio Botero Aguilar y </w:t>
      </w:r>
      <w:proofErr w:type="spellStart"/>
      <w:r w:rsidRPr="007A177A">
        <w:rPr>
          <w:rFonts w:cs="Arial"/>
          <w:i/>
        </w:rPr>
        <w:t>Cía</w:t>
      </w:r>
      <w:proofErr w:type="spellEnd"/>
      <w:r w:rsidRPr="007A177A">
        <w:rPr>
          <w:rFonts w:cs="Arial"/>
          <w:i/>
        </w:rPr>
        <w:t xml:space="preserve"> S</w:t>
      </w:r>
      <w:r w:rsidR="009E7F97" w:rsidRPr="007A177A">
        <w:rPr>
          <w:rFonts w:cs="Arial"/>
          <w:i/>
        </w:rPr>
        <w:t>.</w:t>
      </w:r>
      <w:r w:rsidRPr="007A177A">
        <w:rPr>
          <w:rFonts w:cs="Arial"/>
          <w:i/>
        </w:rPr>
        <w:t>A, - CONSORCIO NACIONAL DE INGENIEROS C</w:t>
      </w:r>
      <w:r w:rsidR="005917A8" w:rsidRPr="007A177A">
        <w:rPr>
          <w:rFonts w:cs="Arial"/>
          <w:i/>
        </w:rPr>
        <w:t>O</w:t>
      </w:r>
      <w:r w:rsidRPr="007A177A">
        <w:rPr>
          <w:rFonts w:cs="Arial"/>
          <w:i/>
        </w:rPr>
        <w:t>NTRATISTAS CONIC S.A. por concepto de perjuicios materiales causados, la suma total de SEIS MIL CUATROCIENTOS NOVENTA MILLONES DOSCIENTOS SETENTA MIL CUATROCIENTOS VEINTE Y NUEVE PESOS, que resulta de lo</w:t>
      </w:r>
      <w:r w:rsidR="005917A8" w:rsidRPr="007A177A">
        <w:rPr>
          <w:rFonts w:cs="Arial"/>
          <w:i/>
        </w:rPr>
        <w:t>s</w:t>
      </w:r>
      <w:r w:rsidRPr="007A177A">
        <w:rPr>
          <w:rFonts w:cs="Arial"/>
          <w:i/>
        </w:rPr>
        <w:t xml:space="preserve"> siguiente</w:t>
      </w:r>
      <w:r w:rsidR="005917A8" w:rsidRPr="007A177A">
        <w:rPr>
          <w:rFonts w:cs="Arial"/>
          <w:i/>
        </w:rPr>
        <w:t>s</w:t>
      </w:r>
      <w:r w:rsidRPr="007A177A">
        <w:rPr>
          <w:rFonts w:cs="Arial"/>
          <w:i/>
        </w:rPr>
        <w:t xml:space="preserve">: </w:t>
      </w:r>
      <w:r w:rsidR="006D5E53" w:rsidRPr="007A177A">
        <w:rPr>
          <w:rFonts w:cs="Arial"/>
          <w:i/>
        </w:rPr>
        <w:t>(…)</w:t>
      </w:r>
      <w:r w:rsidR="006D5E53" w:rsidRPr="007A177A">
        <w:rPr>
          <w:rStyle w:val="Refdenotaalpie"/>
          <w:rFonts w:cs="Arial"/>
        </w:rPr>
        <w:footnoteReference w:id="2"/>
      </w:r>
      <w:r w:rsidR="005C46CE" w:rsidRPr="007A177A">
        <w:rPr>
          <w:rFonts w:cs="Arial"/>
          <w:i/>
        </w:rPr>
        <w:t>.</w:t>
      </w:r>
    </w:p>
    <w:p w14:paraId="254F6CC4" w14:textId="77777777" w:rsidR="00F61254" w:rsidRPr="007A177A" w:rsidRDefault="00F61254" w:rsidP="00BF333B">
      <w:pPr>
        <w:pStyle w:val="Continuarlista2"/>
        <w:spacing w:after="0" w:line="240" w:lineRule="auto"/>
        <w:rPr>
          <w:rFonts w:cs="Arial"/>
          <w:lang w:val="es-MX"/>
        </w:rPr>
      </w:pPr>
    </w:p>
    <w:p w14:paraId="730C618F" w14:textId="77777777" w:rsidR="00F61254" w:rsidRPr="007A177A" w:rsidRDefault="006D5E53" w:rsidP="00BF333B">
      <w:pPr>
        <w:pStyle w:val="Continuarlista2"/>
        <w:spacing w:after="0" w:line="240" w:lineRule="auto"/>
        <w:ind w:right="902"/>
        <w:rPr>
          <w:rFonts w:cs="Arial"/>
          <w:i/>
          <w:lang w:val="es-MX"/>
        </w:rPr>
      </w:pPr>
      <w:r w:rsidRPr="007A177A">
        <w:rPr>
          <w:rFonts w:cs="Arial"/>
          <w:i/>
          <w:lang w:val="es-MX"/>
        </w:rPr>
        <w:t>“</w:t>
      </w:r>
      <w:r w:rsidR="00F61254" w:rsidRPr="007A177A">
        <w:rPr>
          <w:rFonts w:cs="Arial"/>
          <w:i/>
          <w:lang w:val="es-MX"/>
        </w:rPr>
        <w:t>TERCERO</w:t>
      </w:r>
      <w:r w:rsidRPr="007A177A">
        <w:rPr>
          <w:rStyle w:val="Refdenotaalpie"/>
          <w:rFonts w:cs="Arial"/>
          <w:i/>
          <w:lang w:val="es-MX"/>
        </w:rPr>
        <w:footnoteReference w:id="3"/>
      </w:r>
      <w:r w:rsidR="00F61254" w:rsidRPr="007A177A">
        <w:rPr>
          <w:rFonts w:cs="Arial"/>
          <w:i/>
          <w:lang w:val="es-MX"/>
        </w:rPr>
        <w:t xml:space="preserve">: Declarar judicialmente liquidado el contrato de obra pública No. 358 de abril de 1976 y sus adicionales, celebrado entre el FONDO VIAL NACIONAL, hoy Instituto Nacional de Vías y el Consorcio BOTERO AGUILAR Y CIA S.A. – CONSORCIO NACIONAL DE INGENIEROS CONTRATISTAS CONIC S.A. de acuerdo con los lineamientos expuestos en esta providencia </w:t>
      </w:r>
    </w:p>
    <w:p w14:paraId="67B70616" w14:textId="77777777" w:rsidR="00F61254" w:rsidRPr="007A177A" w:rsidRDefault="00F61254" w:rsidP="00BF333B">
      <w:pPr>
        <w:pStyle w:val="Continuarlista2"/>
        <w:spacing w:after="0" w:line="240" w:lineRule="auto"/>
        <w:ind w:right="902"/>
        <w:rPr>
          <w:rFonts w:cs="Arial"/>
          <w:i/>
          <w:lang w:val="es-MX"/>
        </w:rPr>
      </w:pPr>
    </w:p>
    <w:p w14:paraId="737167D6" w14:textId="77777777" w:rsidR="00F61254" w:rsidRPr="007A177A" w:rsidRDefault="00730C50" w:rsidP="00BF333B">
      <w:pPr>
        <w:ind w:left="566" w:right="902"/>
        <w:jc w:val="both"/>
        <w:rPr>
          <w:rFonts w:ascii="Arial" w:hAnsi="Arial" w:cs="Arial"/>
          <w:i/>
          <w:lang w:val="es-MX"/>
        </w:rPr>
      </w:pPr>
      <w:r w:rsidRPr="007A177A">
        <w:rPr>
          <w:rFonts w:ascii="Arial" w:hAnsi="Arial" w:cs="Arial"/>
          <w:i/>
          <w:lang w:val="es-MX"/>
        </w:rPr>
        <w:t>“</w:t>
      </w:r>
      <w:r w:rsidR="00F61254" w:rsidRPr="007A177A">
        <w:rPr>
          <w:rFonts w:ascii="Arial" w:hAnsi="Arial" w:cs="Arial"/>
          <w:i/>
          <w:lang w:val="es-MX"/>
        </w:rPr>
        <w:t>CUARTO: Deniéguense las demás pretensiones de la demanda, también por las razones expuestas en la parte considerativa”.</w:t>
      </w:r>
    </w:p>
    <w:p w14:paraId="60A96185" w14:textId="77777777" w:rsidR="009D0E50" w:rsidRPr="007A177A" w:rsidRDefault="009D0E50" w:rsidP="00BF333B">
      <w:pPr>
        <w:pStyle w:val="Textoindependienteprimerasangra2"/>
        <w:ind w:left="0" w:firstLine="0"/>
        <w:rPr>
          <w:rFonts w:cs="Arial"/>
          <w:b/>
          <w:i/>
        </w:rPr>
      </w:pPr>
    </w:p>
    <w:p w14:paraId="5D0F10FE" w14:textId="77777777" w:rsidR="009D0E50" w:rsidRPr="007A177A" w:rsidRDefault="009D0E50" w:rsidP="00BF333B">
      <w:pPr>
        <w:pStyle w:val="Lista"/>
        <w:spacing w:line="360" w:lineRule="auto"/>
        <w:jc w:val="center"/>
        <w:rPr>
          <w:b/>
          <w:sz w:val="24"/>
          <w:szCs w:val="24"/>
        </w:rPr>
      </w:pPr>
      <w:r w:rsidRPr="007A177A">
        <w:rPr>
          <w:b/>
          <w:sz w:val="24"/>
          <w:szCs w:val="24"/>
        </w:rPr>
        <w:t>I.</w:t>
      </w:r>
      <w:r w:rsidRPr="007A177A">
        <w:rPr>
          <w:b/>
          <w:sz w:val="24"/>
          <w:szCs w:val="24"/>
        </w:rPr>
        <w:tab/>
        <w:t>A N T E C E D E N T E S</w:t>
      </w:r>
    </w:p>
    <w:p w14:paraId="260BCCC6" w14:textId="77777777" w:rsidR="009D0E50" w:rsidRPr="007A177A" w:rsidRDefault="009D0E50" w:rsidP="00BF333B">
      <w:pPr>
        <w:spacing w:line="360" w:lineRule="auto"/>
        <w:jc w:val="both"/>
        <w:rPr>
          <w:rFonts w:ascii="Arial" w:hAnsi="Arial" w:cs="Arial"/>
          <w:b/>
        </w:rPr>
      </w:pPr>
    </w:p>
    <w:p w14:paraId="2DBB7C02" w14:textId="77777777" w:rsidR="004C594B" w:rsidRPr="007A177A" w:rsidRDefault="009D0E50" w:rsidP="00BF333B">
      <w:pPr>
        <w:pStyle w:val="Lista2"/>
        <w:ind w:left="0" w:firstLine="0"/>
        <w:rPr>
          <w:rFonts w:cs="Arial"/>
          <w:b/>
        </w:rPr>
      </w:pPr>
      <w:r w:rsidRPr="007A177A">
        <w:rPr>
          <w:rFonts w:cs="Arial"/>
          <w:b/>
        </w:rPr>
        <w:t xml:space="preserve">1. </w:t>
      </w:r>
      <w:r w:rsidR="004C594B" w:rsidRPr="007A177A">
        <w:rPr>
          <w:rFonts w:cs="Arial"/>
          <w:b/>
        </w:rPr>
        <w:t>Síntesis del caso</w:t>
      </w:r>
    </w:p>
    <w:p w14:paraId="0C91156C" w14:textId="77777777" w:rsidR="00D263DF" w:rsidRPr="007A177A" w:rsidRDefault="00D263DF" w:rsidP="00BF333B">
      <w:pPr>
        <w:pStyle w:val="Lista2"/>
        <w:ind w:left="0" w:firstLine="0"/>
        <w:rPr>
          <w:rFonts w:cs="Arial"/>
          <w:b/>
        </w:rPr>
      </w:pPr>
    </w:p>
    <w:p w14:paraId="34EF88A8" w14:textId="77777777" w:rsidR="00F87FC3" w:rsidRPr="007A177A" w:rsidRDefault="00F87FC3" w:rsidP="00BF333B">
      <w:pPr>
        <w:pStyle w:val="Continuarlista2"/>
        <w:spacing w:after="0"/>
        <w:ind w:left="0"/>
        <w:rPr>
          <w:rFonts w:cs="Arial"/>
        </w:rPr>
      </w:pPr>
      <w:r w:rsidRPr="007A177A">
        <w:rPr>
          <w:rFonts w:cs="Arial"/>
        </w:rPr>
        <w:t xml:space="preserve">Entre el Fondo Vial Nacional </w:t>
      </w:r>
      <w:r w:rsidR="00D263DF" w:rsidRPr="007A177A">
        <w:rPr>
          <w:rFonts w:cs="Arial"/>
        </w:rPr>
        <w:t>–</w:t>
      </w:r>
      <w:r w:rsidRPr="007A177A">
        <w:rPr>
          <w:rFonts w:cs="Arial"/>
        </w:rPr>
        <w:t xml:space="preserve"> </w:t>
      </w:r>
      <w:r w:rsidR="00D263DF" w:rsidRPr="007A177A">
        <w:rPr>
          <w:rFonts w:cs="Arial"/>
        </w:rPr>
        <w:t xml:space="preserve">hoy </w:t>
      </w:r>
      <w:proofErr w:type="spellStart"/>
      <w:r w:rsidR="00D263DF" w:rsidRPr="007A177A">
        <w:rPr>
          <w:rFonts w:cs="Arial"/>
        </w:rPr>
        <w:t>Invías</w:t>
      </w:r>
      <w:proofErr w:type="spellEnd"/>
      <w:r w:rsidR="00D263DF" w:rsidRPr="007A177A">
        <w:rPr>
          <w:rFonts w:cs="Arial"/>
        </w:rPr>
        <w:t xml:space="preserve">- </w:t>
      </w:r>
      <w:r w:rsidRPr="007A177A">
        <w:rPr>
          <w:rFonts w:cs="Arial"/>
        </w:rPr>
        <w:t xml:space="preserve">y las sociedades Botero Aguilar y </w:t>
      </w:r>
      <w:proofErr w:type="spellStart"/>
      <w:r w:rsidRPr="007A177A">
        <w:rPr>
          <w:rFonts w:cs="Arial"/>
        </w:rPr>
        <w:t>Cía</w:t>
      </w:r>
      <w:proofErr w:type="spellEnd"/>
      <w:r w:rsidRPr="007A177A">
        <w:rPr>
          <w:rFonts w:cs="Arial"/>
        </w:rPr>
        <w:t xml:space="preserve"> S.A. y </w:t>
      </w:r>
      <w:r w:rsidR="00A012A9" w:rsidRPr="007A177A">
        <w:rPr>
          <w:rFonts w:cs="Arial"/>
        </w:rPr>
        <w:t xml:space="preserve">el </w:t>
      </w:r>
      <w:r w:rsidRPr="007A177A">
        <w:rPr>
          <w:rFonts w:cs="Arial"/>
        </w:rPr>
        <w:t xml:space="preserve">Consorcio Nacional de Ingenieros Contratistas </w:t>
      </w:r>
      <w:proofErr w:type="spellStart"/>
      <w:r w:rsidRPr="007A177A">
        <w:rPr>
          <w:rFonts w:cs="Arial"/>
        </w:rPr>
        <w:t>Conic</w:t>
      </w:r>
      <w:proofErr w:type="spellEnd"/>
      <w:r w:rsidRPr="007A177A">
        <w:rPr>
          <w:rFonts w:cs="Arial"/>
        </w:rPr>
        <w:t xml:space="preserve"> S.A.</w:t>
      </w:r>
      <w:r w:rsidR="009E7692" w:rsidRPr="007A177A">
        <w:rPr>
          <w:rStyle w:val="Refdenotaalpie"/>
          <w:rFonts w:cs="Arial"/>
        </w:rPr>
        <w:footnoteReference w:id="4"/>
      </w:r>
      <w:r w:rsidRPr="007A177A">
        <w:rPr>
          <w:rFonts w:cs="Arial"/>
        </w:rPr>
        <w:t xml:space="preserve"> se celebró el contrato de obra No. 358-76</w:t>
      </w:r>
      <w:r w:rsidR="00D263DF" w:rsidRPr="007A177A">
        <w:rPr>
          <w:rFonts w:cs="Arial"/>
        </w:rPr>
        <w:t xml:space="preserve">; </w:t>
      </w:r>
      <w:r w:rsidRPr="007A177A">
        <w:rPr>
          <w:rFonts w:cs="Arial"/>
        </w:rPr>
        <w:t xml:space="preserve">las contratistas consideran que se configuró un </w:t>
      </w:r>
      <w:r w:rsidRPr="007A177A">
        <w:rPr>
          <w:rFonts w:cs="Arial"/>
        </w:rPr>
        <w:lastRenderedPageBreak/>
        <w:t xml:space="preserve">enriquecimiento injusto del </w:t>
      </w:r>
      <w:proofErr w:type="spellStart"/>
      <w:r w:rsidRPr="007A177A">
        <w:rPr>
          <w:rFonts w:cs="Arial"/>
        </w:rPr>
        <w:t>Invías</w:t>
      </w:r>
      <w:proofErr w:type="spellEnd"/>
      <w:r w:rsidRPr="007A177A">
        <w:rPr>
          <w:rFonts w:cs="Arial"/>
        </w:rPr>
        <w:t xml:space="preserve"> </w:t>
      </w:r>
      <w:r w:rsidR="009F20D5" w:rsidRPr="007A177A">
        <w:rPr>
          <w:rFonts w:cs="Arial"/>
        </w:rPr>
        <w:t xml:space="preserve">y el desequilibrio económico del contrato, </w:t>
      </w:r>
      <w:r w:rsidRPr="007A177A">
        <w:rPr>
          <w:rFonts w:cs="Arial"/>
        </w:rPr>
        <w:t xml:space="preserve">como consecuencia de la mayor permanencia en obra, costos </w:t>
      </w:r>
      <w:r w:rsidR="006E714D" w:rsidRPr="007A177A">
        <w:rPr>
          <w:rFonts w:cs="Arial"/>
        </w:rPr>
        <w:t xml:space="preserve">no reconocidos debido a la </w:t>
      </w:r>
      <w:r w:rsidRPr="007A177A">
        <w:rPr>
          <w:rFonts w:cs="Arial"/>
        </w:rPr>
        <w:t xml:space="preserve">errónea clasificación de las excavaciones, falta de fijación de nuevos precios y no pago de intereses de mora sobre las actas de avance de obra. </w:t>
      </w:r>
    </w:p>
    <w:p w14:paraId="7B11A18E" w14:textId="77777777" w:rsidR="009F20D5" w:rsidRPr="007A177A" w:rsidRDefault="009F20D5" w:rsidP="00BF333B">
      <w:pPr>
        <w:pStyle w:val="Lista2"/>
        <w:ind w:left="0" w:firstLine="0"/>
        <w:rPr>
          <w:rFonts w:cs="Arial"/>
        </w:rPr>
      </w:pPr>
    </w:p>
    <w:p w14:paraId="6E6FAB89" w14:textId="77777777" w:rsidR="00F87FC3" w:rsidRPr="007A177A" w:rsidRDefault="00D263DF" w:rsidP="00BF333B">
      <w:pPr>
        <w:pStyle w:val="Lista2"/>
        <w:ind w:left="0" w:firstLine="0"/>
        <w:rPr>
          <w:rFonts w:cs="Arial"/>
          <w:b/>
        </w:rPr>
      </w:pPr>
      <w:r w:rsidRPr="007A177A">
        <w:rPr>
          <w:rFonts w:cs="Arial"/>
        </w:rPr>
        <w:t>La parte actora advirtió que se encontraba en plazo para interponer la demanda</w:t>
      </w:r>
      <w:r w:rsidR="00FB421D" w:rsidRPr="007A177A">
        <w:rPr>
          <w:rFonts w:cs="Arial"/>
        </w:rPr>
        <w:t>,</w:t>
      </w:r>
      <w:r w:rsidRPr="007A177A">
        <w:rPr>
          <w:rFonts w:cs="Arial"/>
        </w:rPr>
        <w:t xml:space="preserve"> por cuanto no había transcurrido la prescripción de 20 años, regulada en el Código Civil</w:t>
      </w:r>
      <w:r w:rsidR="009F20D5" w:rsidRPr="007A177A">
        <w:rPr>
          <w:rFonts w:cs="Arial"/>
        </w:rPr>
        <w:t>.</w:t>
      </w:r>
    </w:p>
    <w:p w14:paraId="4D1496C9" w14:textId="77777777" w:rsidR="00D263DF" w:rsidRPr="007A177A" w:rsidRDefault="00D263DF" w:rsidP="00BF333B">
      <w:pPr>
        <w:pStyle w:val="Lista2"/>
        <w:ind w:left="0" w:firstLine="0"/>
        <w:rPr>
          <w:rFonts w:cs="Arial"/>
          <w:b/>
        </w:rPr>
      </w:pPr>
    </w:p>
    <w:p w14:paraId="29E98C24" w14:textId="77777777" w:rsidR="00A77C82" w:rsidRPr="007A177A" w:rsidRDefault="009F20D5" w:rsidP="00BF333B">
      <w:pPr>
        <w:pStyle w:val="Lista2"/>
        <w:ind w:left="0" w:firstLine="0"/>
        <w:rPr>
          <w:rFonts w:cs="Arial"/>
          <w:bCs/>
        </w:rPr>
      </w:pPr>
      <w:r w:rsidRPr="007A177A">
        <w:rPr>
          <w:rFonts w:cs="Arial"/>
          <w:bCs/>
        </w:rPr>
        <w:t xml:space="preserve">En la sentencia de primera instancia se liquidaron perjuicios por el valor de las cantidades ejecutadas por encima de las presupuestadas y se reconocieron intereses de mora en el pago de actas a la </w:t>
      </w:r>
      <w:r w:rsidR="00D71703" w:rsidRPr="007A177A">
        <w:rPr>
          <w:rFonts w:cs="Arial"/>
          <w:bCs/>
        </w:rPr>
        <w:t xml:space="preserve">tasa </w:t>
      </w:r>
      <w:r w:rsidRPr="007A177A">
        <w:rPr>
          <w:rFonts w:cs="Arial"/>
          <w:bCs/>
        </w:rPr>
        <w:t xml:space="preserve">máxima legal permitida. El </w:t>
      </w:r>
      <w:proofErr w:type="spellStart"/>
      <w:r w:rsidRPr="007A177A">
        <w:rPr>
          <w:rFonts w:cs="Arial"/>
          <w:bCs/>
        </w:rPr>
        <w:t>Invías</w:t>
      </w:r>
      <w:proofErr w:type="spellEnd"/>
      <w:r w:rsidRPr="007A177A">
        <w:rPr>
          <w:rFonts w:cs="Arial"/>
          <w:bCs/>
        </w:rPr>
        <w:t xml:space="preserve"> </w:t>
      </w:r>
      <w:r w:rsidR="00C25B3C" w:rsidRPr="007A177A">
        <w:rPr>
          <w:rFonts w:cs="Arial"/>
          <w:bCs/>
        </w:rPr>
        <w:t>a</w:t>
      </w:r>
      <w:r w:rsidR="00D71703" w:rsidRPr="007A177A">
        <w:rPr>
          <w:rFonts w:cs="Arial"/>
          <w:bCs/>
        </w:rPr>
        <w:t xml:space="preserve">peló </w:t>
      </w:r>
      <w:r w:rsidR="00A77C82" w:rsidRPr="007A177A">
        <w:rPr>
          <w:rFonts w:cs="Arial"/>
          <w:bCs/>
        </w:rPr>
        <w:t xml:space="preserve">alegando </w:t>
      </w:r>
      <w:r w:rsidR="00D71703" w:rsidRPr="007A177A">
        <w:rPr>
          <w:rFonts w:cs="Arial"/>
          <w:bCs/>
        </w:rPr>
        <w:t xml:space="preserve">que </w:t>
      </w:r>
      <w:r w:rsidR="00C25B3C" w:rsidRPr="007A177A">
        <w:rPr>
          <w:rFonts w:cs="Arial"/>
          <w:bCs/>
        </w:rPr>
        <w:t>se</w:t>
      </w:r>
      <w:r w:rsidR="00FB421D" w:rsidRPr="007A177A">
        <w:rPr>
          <w:rFonts w:cs="Arial"/>
          <w:bCs/>
        </w:rPr>
        <w:t xml:space="preserve"> h</w:t>
      </w:r>
      <w:r w:rsidR="00C25B3C" w:rsidRPr="007A177A">
        <w:rPr>
          <w:rFonts w:cs="Arial"/>
          <w:bCs/>
        </w:rPr>
        <w:t xml:space="preserve">an debido analizar las pruebas sobre </w:t>
      </w:r>
      <w:r w:rsidR="00D71703" w:rsidRPr="007A177A">
        <w:rPr>
          <w:rFonts w:cs="Arial"/>
          <w:bCs/>
        </w:rPr>
        <w:t xml:space="preserve">las </w:t>
      </w:r>
      <w:r w:rsidR="00C25B3C" w:rsidRPr="007A177A">
        <w:rPr>
          <w:rFonts w:cs="Arial"/>
          <w:bCs/>
        </w:rPr>
        <w:t xml:space="preserve">cantidades </w:t>
      </w:r>
      <w:r w:rsidR="00D71703" w:rsidRPr="007A177A">
        <w:rPr>
          <w:rFonts w:cs="Arial"/>
          <w:bCs/>
        </w:rPr>
        <w:t xml:space="preserve">de obra </w:t>
      </w:r>
      <w:r w:rsidR="00C25B3C" w:rsidRPr="007A177A">
        <w:rPr>
          <w:rFonts w:cs="Arial"/>
          <w:bCs/>
        </w:rPr>
        <w:t xml:space="preserve">establecidas en </w:t>
      </w:r>
      <w:r w:rsidR="00A77C82" w:rsidRPr="007A177A">
        <w:rPr>
          <w:rFonts w:cs="Arial"/>
          <w:bCs/>
        </w:rPr>
        <w:t xml:space="preserve">el acta final y que la liquidación de la condena, bajo las fórmulas adoptadas por el Tribunal </w:t>
      </w:r>
      <w:r w:rsidR="00A77C82" w:rsidRPr="007A177A">
        <w:rPr>
          <w:rFonts w:cs="Arial"/>
          <w:bCs/>
          <w:i/>
        </w:rPr>
        <w:t>a quo</w:t>
      </w:r>
      <w:r w:rsidR="00E54345" w:rsidRPr="007A177A">
        <w:rPr>
          <w:rFonts w:cs="Arial"/>
          <w:bCs/>
        </w:rPr>
        <w:t>,</w:t>
      </w:r>
      <w:r w:rsidR="00A77C82" w:rsidRPr="007A177A">
        <w:rPr>
          <w:rFonts w:cs="Arial"/>
          <w:bCs/>
        </w:rPr>
        <w:t xml:space="preserve"> resultaba desproporcionada. </w:t>
      </w:r>
    </w:p>
    <w:p w14:paraId="7FB202DD" w14:textId="77777777" w:rsidR="009F20D5" w:rsidRPr="007A177A" w:rsidRDefault="009F20D5" w:rsidP="00BF333B">
      <w:pPr>
        <w:pStyle w:val="Lista2"/>
        <w:ind w:left="0" w:firstLine="0"/>
        <w:rPr>
          <w:rFonts w:cs="Arial"/>
          <w:b/>
        </w:rPr>
      </w:pPr>
    </w:p>
    <w:p w14:paraId="6B24C48E" w14:textId="77777777" w:rsidR="009D0E50" w:rsidRPr="007A177A" w:rsidRDefault="004C594B" w:rsidP="00BF333B">
      <w:pPr>
        <w:pStyle w:val="Lista2"/>
        <w:ind w:left="0" w:firstLine="0"/>
        <w:rPr>
          <w:rFonts w:cs="Arial"/>
          <w:b/>
        </w:rPr>
      </w:pPr>
      <w:r w:rsidRPr="007A177A">
        <w:rPr>
          <w:rFonts w:cs="Arial"/>
          <w:b/>
        </w:rPr>
        <w:t xml:space="preserve">2. </w:t>
      </w:r>
      <w:r w:rsidR="009D0E50" w:rsidRPr="007A177A">
        <w:rPr>
          <w:rFonts w:cs="Arial"/>
          <w:b/>
        </w:rPr>
        <w:t>La demanda</w:t>
      </w:r>
    </w:p>
    <w:p w14:paraId="7C95678E" w14:textId="77777777" w:rsidR="009D0E50" w:rsidRPr="007A177A" w:rsidRDefault="009D0E50" w:rsidP="00BF333B">
      <w:pPr>
        <w:widowControl w:val="0"/>
        <w:autoSpaceDE w:val="0"/>
        <w:autoSpaceDN w:val="0"/>
        <w:adjustRightInd w:val="0"/>
        <w:spacing w:line="360" w:lineRule="auto"/>
        <w:jc w:val="both"/>
        <w:rPr>
          <w:rFonts w:ascii="Arial" w:hAnsi="Arial" w:cs="Arial"/>
        </w:rPr>
      </w:pPr>
    </w:p>
    <w:p w14:paraId="0AB2A90D" w14:textId="77777777" w:rsidR="009D0E50" w:rsidRPr="007A177A" w:rsidRDefault="009D0E50" w:rsidP="00BF333B">
      <w:pPr>
        <w:pStyle w:val="Continuarlista2"/>
        <w:spacing w:after="0"/>
        <w:ind w:left="0"/>
        <w:rPr>
          <w:rFonts w:cs="Arial"/>
        </w:rPr>
      </w:pPr>
      <w:r w:rsidRPr="007A177A">
        <w:rPr>
          <w:rFonts w:cs="Arial"/>
        </w:rPr>
        <w:t>Mediante demanda presentada el</w:t>
      </w:r>
      <w:r w:rsidR="00F152EA" w:rsidRPr="007A177A">
        <w:rPr>
          <w:rFonts w:cs="Arial"/>
        </w:rPr>
        <w:t xml:space="preserve"> </w:t>
      </w:r>
      <w:r w:rsidR="00961146" w:rsidRPr="007A177A">
        <w:rPr>
          <w:rFonts w:cs="Arial"/>
        </w:rPr>
        <w:t>30 de abril de 2001</w:t>
      </w:r>
      <w:r w:rsidR="00961146" w:rsidRPr="007A177A">
        <w:rPr>
          <w:rStyle w:val="Refdenotaalpie"/>
          <w:rFonts w:cs="Arial"/>
        </w:rPr>
        <w:footnoteReference w:id="5"/>
      </w:r>
      <w:r w:rsidR="00961146" w:rsidRPr="007A177A">
        <w:rPr>
          <w:rFonts w:cs="Arial"/>
        </w:rPr>
        <w:t xml:space="preserve">, </w:t>
      </w:r>
      <w:r w:rsidRPr="007A177A">
        <w:rPr>
          <w:rFonts w:cs="Arial"/>
        </w:rPr>
        <w:t>la</w:t>
      </w:r>
      <w:r w:rsidR="00961146" w:rsidRPr="007A177A">
        <w:rPr>
          <w:rFonts w:cs="Arial"/>
        </w:rPr>
        <w:t>s</w:t>
      </w:r>
      <w:r w:rsidRPr="007A177A">
        <w:rPr>
          <w:rFonts w:cs="Arial"/>
        </w:rPr>
        <w:t xml:space="preserve"> sociedad</w:t>
      </w:r>
      <w:r w:rsidR="00961146" w:rsidRPr="007A177A">
        <w:rPr>
          <w:rFonts w:cs="Arial"/>
        </w:rPr>
        <w:t xml:space="preserve">es Botero Aguilar </w:t>
      </w:r>
      <w:r w:rsidR="007E436C" w:rsidRPr="007A177A">
        <w:rPr>
          <w:rFonts w:cs="Arial"/>
        </w:rPr>
        <w:t>y</w:t>
      </w:r>
      <w:r w:rsidR="007F73AF" w:rsidRPr="007A177A">
        <w:rPr>
          <w:rFonts w:cs="Arial"/>
        </w:rPr>
        <w:t xml:space="preserve"> </w:t>
      </w:r>
      <w:proofErr w:type="spellStart"/>
      <w:r w:rsidR="007F73AF" w:rsidRPr="007A177A">
        <w:rPr>
          <w:rFonts w:cs="Arial"/>
        </w:rPr>
        <w:t>Cía</w:t>
      </w:r>
      <w:proofErr w:type="spellEnd"/>
      <w:r w:rsidR="007F73AF" w:rsidRPr="007A177A">
        <w:rPr>
          <w:rFonts w:cs="Arial"/>
        </w:rPr>
        <w:t xml:space="preserve"> S.A. y </w:t>
      </w:r>
      <w:r w:rsidR="000722AA" w:rsidRPr="007A177A">
        <w:rPr>
          <w:rFonts w:cs="Arial"/>
        </w:rPr>
        <w:t xml:space="preserve">el </w:t>
      </w:r>
      <w:r w:rsidR="007F73AF" w:rsidRPr="007A177A">
        <w:rPr>
          <w:rFonts w:cs="Arial"/>
        </w:rPr>
        <w:t xml:space="preserve">Consorcio Nacional de Ingenieros Contratistas </w:t>
      </w:r>
      <w:proofErr w:type="spellStart"/>
      <w:r w:rsidR="007F73AF" w:rsidRPr="007A177A">
        <w:rPr>
          <w:rFonts w:cs="Arial"/>
        </w:rPr>
        <w:t>C</w:t>
      </w:r>
      <w:r w:rsidR="004915CA" w:rsidRPr="007A177A">
        <w:rPr>
          <w:rFonts w:cs="Arial"/>
        </w:rPr>
        <w:t>oni</w:t>
      </w:r>
      <w:r w:rsidR="00663BD2" w:rsidRPr="007A177A">
        <w:rPr>
          <w:rFonts w:cs="Arial"/>
        </w:rPr>
        <w:t>c</w:t>
      </w:r>
      <w:proofErr w:type="spellEnd"/>
      <w:r w:rsidR="007F73AF" w:rsidRPr="007A177A">
        <w:rPr>
          <w:rFonts w:cs="Arial"/>
        </w:rPr>
        <w:t xml:space="preserve"> S.A.</w:t>
      </w:r>
      <w:r w:rsidRPr="007A177A">
        <w:rPr>
          <w:rFonts w:cs="Arial"/>
        </w:rPr>
        <w:t xml:space="preserve"> solicit</w:t>
      </w:r>
      <w:r w:rsidR="007F73AF" w:rsidRPr="007A177A">
        <w:rPr>
          <w:rFonts w:cs="Arial"/>
        </w:rPr>
        <w:t xml:space="preserve">aron </w:t>
      </w:r>
      <w:r w:rsidRPr="007A177A">
        <w:rPr>
          <w:rFonts w:cs="Arial"/>
        </w:rPr>
        <w:t xml:space="preserve">las siguientes declaraciones y condenas contra </w:t>
      </w:r>
      <w:r w:rsidR="00774AD0" w:rsidRPr="007A177A">
        <w:rPr>
          <w:rFonts w:cs="Arial"/>
        </w:rPr>
        <w:t xml:space="preserve">el Instituto Nacional de Vías - </w:t>
      </w:r>
      <w:proofErr w:type="spellStart"/>
      <w:r w:rsidR="00774AD0" w:rsidRPr="007A177A">
        <w:rPr>
          <w:rFonts w:cs="Arial"/>
        </w:rPr>
        <w:t>Invías</w:t>
      </w:r>
      <w:proofErr w:type="spellEnd"/>
      <w:r w:rsidR="00774AD0" w:rsidRPr="007A177A">
        <w:rPr>
          <w:rStyle w:val="Refdenotaalpie"/>
          <w:rFonts w:cs="Arial"/>
        </w:rPr>
        <w:footnoteReference w:id="6"/>
      </w:r>
      <w:r w:rsidR="007E760C" w:rsidRPr="007A177A">
        <w:rPr>
          <w:rFonts w:cs="Arial"/>
        </w:rPr>
        <w:t xml:space="preserve"> (se tra</w:t>
      </w:r>
      <w:r w:rsidR="00E06515" w:rsidRPr="007A177A">
        <w:rPr>
          <w:rFonts w:cs="Arial"/>
        </w:rPr>
        <w:t>n</w:t>
      </w:r>
      <w:r w:rsidR="007E760C" w:rsidRPr="007A177A">
        <w:rPr>
          <w:rFonts w:cs="Arial"/>
        </w:rPr>
        <w:t>scriben de forma literal):</w:t>
      </w:r>
      <w:r w:rsidR="00774AD0" w:rsidRPr="007A177A">
        <w:rPr>
          <w:rFonts w:cs="Arial"/>
        </w:rPr>
        <w:t xml:space="preserve"> </w:t>
      </w:r>
    </w:p>
    <w:p w14:paraId="3D5C3914" w14:textId="77777777" w:rsidR="004B2494" w:rsidRPr="007A177A" w:rsidRDefault="004B2494" w:rsidP="00BF333B">
      <w:pPr>
        <w:pStyle w:val="Continuarlista2"/>
        <w:spacing w:after="0" w:line="276" w:lineRule="auto"/>
        <w:ind w:left="567" w:right="567"/>
        <w:rPr>
          <w:rFonts w:cs="Arial"/>
          <w:i/>
          <w:lang w:val="es-MX"/>
        </w:rPr>
      </w:pPr>
    </w:p>
    <w:p w14:paraId="160694D8" w14:textId="77777777" w:rsidR="00961B09" w:rsidRPr="007A177A" w:rsidRDefault="004B2494" w:rsidP="00BF333B">
      <w:pPr>
        <w:pStyle w:val="Continuarlista2"/>
        <w:spacing w:after="0" w:line="240" w:lineRule="auto"/>
        <w:ind w:left="567" w:right="567"/>
        <w:rPr>
          <w:rFonts w:cs="Arial"/>
          <w:i/>
          <w:lang w:val="es-MX"/>
        </w:rPr>
      </w:pPr>
      <w:r w:rsidRPr="007A177A">
        <w:rPr>
          <w:rFonts w:cs="Arial"/>
          <w:i/>
          <w:lang w:val="es-MX"/>
        </w:rPr>
        <w:t xml:space="preserve"> </w:t>
      </w:r>
      <w:r w:rsidR="004D426A" w:rsidRPr="007A177A">
        <w:rPr>
          <w:rFonts w:cs="Arial"/>
          <w:i/>
          <w:lang w:val="es-MX"/>
        </w:rPr>
        <w:t>“</w:t>
      </w:r>
      <w:r w:rsidRPr="007A177A">
        <w:rPr>
          <w:rFonts w:cs="Arial"/>
          <w:i/>
          <w:lang w:val="es-MX"/>
        </w:rPr>
        <w:t xml:space="preserve">PRIMERA: </w:t>
      </w:r>
      <w:r w:rsidR="004D426A" w:rsidRPr="007A177A">
        <w:rPr>
          <w:rFonts w:cs="Arial"/>
          <w:i/>
          <w:lang w:val="es-MX"/>
        </w:rPr>
        <w:t>Que se declare que el INSTITUTO NACIONAL DE VÍAS anteriormente FONDO VIAL NACIONAL, se enriqueció injustamente en empobrecimiento correlativo de los patrimonios económicos de las firmas BOTERO AGUILAR &amp; CIA S.A.</w:t>
      </w:r>
      <w:r w:rsidR="008D5B7D" w:rsidRPr="007A177A">
        <w:rPr>
          <w:rFonts w:cs="Arial"/>
          <w:i/>
          <w:lang w:val="es-MX"/>
        </w:rPr>
        <w:t xml:space="preserve"> y el CONSORCIO NACIONAL DE INGENIEROS CONTRATISTAS – CONIC S.A. en la suma de CIENTO SE</w:t>
      </w:r>
      <w:r w:rsidR="005917A8" w:rsidRPr="007A177A">
        <w:rPr>
          <w:rFonts w:cs="Arial"/>
          <w:i/>
          <w:lang w:val="es-MX"/>
        </w:rPr>
        <w:t>S</w:t>
      </w:r>
      <w:r w:rsidR="008D5B7D" w:rsidRPr="007A177A">
        <w:rPr>
          <w:rFonts w:cs="Arial"/>
          <w:i/>
          <w:lang w:val="es-MX"/>
        </w:rPr>
        <w:t>ENTA Y DOS MILLONES NOVECIENTOS NOVENTA MIL OCHOCIENTOS DIECISÉIS PESOS ($162’990,816</w:t>
      </w:r>
      <w:r w:rsidR="00E36199" w:rsidRPr="007A177A">
        <w:rPr>
          <w:rFonts w:cs="Arial"/>
          <w:i/>
          <w:lang w:val="es-MX"/>
        </w:rPr>
        <w:t>,oo</w:t>
      </w:r>
      <w:r w:rsidR="008D5B7D" w:rsidRPr="007A177A">
        <w:rPr>
          <w:rFonts w:cs="Arial"/>
          <w:i/>
          <w:lang w:val="es-MX"/>
        </w:rPr>
        <w:t xml:space="preserve">) </w:t>
      </w:r>
      <w:r w:rsidR="00E36199" w:rsidRPr="007A177A">
        <w:rPr>
          <w:rFonts w:cs="Arial"/>
          <w:i/>
          <w:lang w:val="es-MX"/>
        </w:rPr>
        <w:t>M/cte, sufriendo así un desequilibrio económico por los perjuicios ocasionados durante la ejecución del contrato No. 358 de 1976 y sus contratos adicionales, valor que se determina a origen del contrato y</w:t>
      </w:r>
    </w:p>
    <w:p w14:paraId="1588EE60" w14:textId="77777777" w:rsidR="00961B09" w:rsidRPr="007A177A" w:rsidRDefault="00961B09" w:rsidP="00BF333B">
      <w:pPr>
        <w:pStyle w:val="Continuarlista2"/>
        <w:spacing w:after="0" w:line="240" w:lineRule="auto"/>
        <w:ind w:left="567" w:right="567"/>
        <w:rPr>
          <w:rFonts w:cs="Arial"/>
          <w:i/>
          <w:lang w:val="es-MX"/>
        </w:rPr>
      </w:pPr>
    </w:p>
    <w:p w14:paraId="412D8C6D" w14:textId="77777777" w:rsidR="004B2494" w:rsidRPr="007A177A" w:rsidRDefault="00CB2B74" w:rsidP="00BF333B">
      <w:pPr>
        <w:pStyle w:val="Continuarlista2"/>
        <w:spacing w:after="0" w:line="240" w:lineRule="auto"/>
        <w:ind w:left="567" w:right="567"/>
        <w:rPr>
          <w:rFonts w:cs="Arial"/>
          <w:i/>
          <w:lang w:val="es-MX"/>
        </w:rPr>
      </w:pPr>
      <w:r w:rsidRPr="007A177A">
        <w:rPr>
          <w:rFonts w:cs="Arial"/>
          <w:i/>
          <w:lang w:val="es-MX"/>
        </w:rPr>
        <w:t>“</w:t>
      </w:r>
      <w:r w:rsidR="004B2494" w:rsidRPr="007A177A">
        <w:rPr>
          <w:rFonts w:cs="Arial"/>
          <w:i/>
          <w:lang w:val="es-MX"/>
        </w:rPr>
        <w:t xml:space="preserve">El valor anteriormente indicado se discriminará </w:t>
      </w:r>
      <w:r w:rsidR="0004537F" w:rsidRPr="007A177A">
        <w:rPr>
          <w:rFonts w:cs="Arial"/>
          <w:i/>
          <w:lang w:val="es-MX"/>
        </w:rPr>
        <w:t xml:space="preserve">así: </w:t>
      </w:r>
      <w:r w:rsidR="004B2494" w:rsidRPr="007A177A">
        <w:rPr>
          <w:rFonts w:cs="Arial"/>
          <w:i/>
          <w:lang w:val="es-MX"/>
        </w:rPr>
        <w:t>(…).</w:t>
      </w:r>
    </w:p>
    <w:p w14:paraId="0B710A3E" w14:textId="77777777" w:rsidR="000203FF" w:rsidRPr="007A177A" w:rsidRDefault="000203FF" w:rsidP="00BF333B">
      <w:pPr>
        <w:pStyle w:val="Continuarlista2"/>
        <w:spacing w:after="0" w:line="240" w:lineRule="auto"/>
        <w:ind w:left="567" w:right="567"/>
        <w:rPr>
          <w:rFonts w:cs="Arial"/>
          <w:i/>
          <w:lang w:val="es-MX"/>
        </w:rPr>
      </w:pPr>
    </w:p>
    <w:p w14:paraId="0AA29B6F" w14:textId="77777777" w:rsidR="00CF243E" w:rsidRPr="007A177A" w:rsidRDefault="00EC2F1B" w:rsidP="00BF333B">
      <w:pPr>
        <w:pStyle w:val="Continuarlista2"/>
        <w:spacing w:after="0" w:line="240" w:lineRule="auto"/>
        <w:ind w:left="567" w:right="567"/>
        <w:rPr>
          <w:rFonts w:cs="Arial"/>
          <w:i/>
          <w:lang w:val="es-MX"/>
        </w:rPr>
      </w:pPr>
      <w:r w:rsidRPr="007A177A">
        <w:rPr>
          <w:rFonts w:cs="Arial"/>
          <w:i/>
          <w:lang w:val="es-MX"/>
        </w:rPr>
        <w:t>“</w:t>
      </w:r>
      <w:r w:rsidR="004B2494" w:rsidRPr="007A177A">
        <w:rPr>
          <w:rFonts w:cs="Arial"/>
          <w:i/>
          <w:lang w:val="es-MX"/>
        </w:rPr>
        <w:t xml:space="preserve">SEGUNDA: </w:t>
      </w:r>
      <w:r w:rsidR="00961B09" w:rsidRPr="007A177A">
        <w:rPr>
          <w:rFonts w:cs="Arial"/>
          <w:i/>
          <w:lang w:val="es-MX"/>
        </w:rPr>
        <w:t xml:space="preserve">Que como consecuencia de tal declaración </w:t>
      </w:r>
      <w:r w:rsidR="004B2494" w:rsidRPr="007A177A">
        <w:rPr>
          <w:rFonts w:cs="Arial"/>
          <w:i/>
          <w:lang w:val="es-MX"/>
        </w:rPr>
        <w:t xml:space="preserve">y a título de indemnización se le </w:t>
      </w:r>
      <w:r w:rsidR="00961B09" w:rsidRPr="007A177A">
        <w:rPr>
          <w:rFonts w:cs="Arial"/>
          <w:i/>
          <w:lang w:val="es-MX"/>
        </w:rPr>
        <w:t>condene al</w:t>
      </w:r>
      <w:r w:rsidR="004B2494" w:rsidRPr="007A177A">
        <w:rPr>
          <w:rFonts w:cs="Arial"/>
          <w:i/>
          <w:lang w:val="es-MX"/>
        </w:rPr>
        <w:t xml:space="preserve"> INSTITUTO NACIONAL DE VÍAS a reconocer y pagar </w:t>
      </w:r>
      <w:r w:rsidR="00936E2B" w:rsidRPr="007A177A">
        <w:rPr>
          <w:rFonts w:cs="Arial"/>
          <w:i/>
          <w:lang w:val="es-MX"/>
        </w:rPr>
        <w:t>a BOTERO AGUILAR &amp; CIA S.A. y al CONSORCIO NACIONAL DE INGENIEROS CONTRATISTAS – CONIC S.A. la suma de CIENTO SETENTA Y DOS MILLONES NOVECIENTOS NOVENTA MIL OCHOCIENTOS DIECISÉIS PESOS ($162’990</w:t>
      </w:r>
      <w:r w:rsidR="007928C6" w:rsidRPr="007A177A">
        <w:rPr>
          <w:rFonts w:cs="Arial"/>
          <w:i/>
          <w:lang w:val="es-MX"/>
        </w:rPr>
        <w:t>.</w:t>
      </w:r>
      <w:r w:rsidR="00936E2B" w:rsidRPr="007A177A">
        <w:rPr>
          <w:rFonts w:cs="Arial"/>
          <w:i/>
          <w:lang w:val="es-MX"/>
        </w:rPr>
        <w:t>816,oo) o en las cuantías que se determinen dentro del proceso a título de año emergente</w:t>
      </w:r>
      <w:r w:rsidR="00CF243E" w:rsidRPr="007A177A">
        <w:rPr>
          <w:rFonts w:cs="Arial"/>
          <w:i/>
          <w:lang w:val="es-MX"/>
        </w:rPr>
        <w:t>.</w:t>
      </w:r>
    </w:p>
    <w:p w14:paraId="1B319990" w14:textId="77777777" w:rsidR="00CF243E" w:rsidRPr="007A177A" w:rsidRDefault="00CF243E" w:rsidP="00BF333B">
      <w:pPr>
        <w:pStyle w:val="Continuarlista2"/>
        <w:spacing w:after="0" w:line="240" w:lineRule="auto"/>
        <w:ind w:left="567" w:right="567"/>
        <w:rPr>
          <w:rFonts w:cs="Arial"/>
          <w:i/>
          <w:lang w:val="es-MX"/>
        </w:rPr>
      </w:pPr>
    </w:p>
    <w:p w14:paraId="58DCF18B" w14:textId="77777777" w:rsidR="000466B7" w:rsidRPr="007A177A" w:rsidRDefault="00CF243E" w:rsidP="00BF333B">
      <w:pPr>
        <w:pStyle w:val="Continuarlista2"/>
        <w:spacing w:after="0" w:line="240" w:lineRule="auto"/>
        <w:ind w:left="567" w:right="567"/>
        <w:rPr>
          <w:rFonts w:cs="Arial"/>
          <w:i/>
          <w:lang w:val="es-MX"/>
        </w:rPr>
      </w:pPr>
      <w:r w:rsidRPr="007A177A">
        <w:rPr>
          <w:rFonts w:cs="Arial"/>
          <w:i/>
          <w:lang w:val="es-MX"/>
        </w:rPr>
        <w:t>“TERCERA: Que se condene al INSTITUTO NACIONAL DE VÍAS a pagar a favor de mis mandantes la actualización del valor anteriormente indicado desde el veintinueve de 29 de abril de 1976 (fecha de cierre de la licitación), hasta la fecha en la cual se efectúe el pago</w:t>
      </w:r>
      <w:r w:rsidR="000466B7" w:rsidRPr="007A177A">
        <w:rPr>
          <w:rFonts w:cs="Arial"/>
          <w:i/>
          <w:lang w:val="es-MX"/>
        </w:rPr>
        <w:t>, junto con los intereses causad</w:t>
      </w:r>
      <w:r w:rsidR="005F4F92" w:rsidRPr="007A177A">
        <w:rPr>
          <w:rFonts w:cs="Arial"/>
          <w:i/>
          <w:lang w:val="es-MX"/>
        </w:rPr>
        <w:t>o</w:t>
      </w:r>
      <w:r w:rsidR="000466B7" w:rsidRPr="007A177A">
        <w:rPr>
          <w:rFonts w:cs="Arial"/>
          <w:i/>
          <w:lang w:val="es-MX"/>
        </w:rPr>
        <w:t xml:space="preserve">s dentro del plazo acordado, según lo preceptuado en el artículo 884 del Código de Comercio, de acuerdo con la certificación expedida por la </w:t>
      </w:r>
      <w:r w:rsidR="005917A8" w:rsidRPr="007A177A">
        <w:rPr>
          <w:rFonts w:cs="Arial"/>
          <w:i/>
          <w:lang w:val="es-MX"/>
        </w:rPr>
        <w:t>S</w:t>
      </w:r>
      <w:r w:rsidR="000466B7" w:rsidRPr="007A177A">
        <w:rPr>
          <w:rFonts w:cs="Arial"/>
          <w:i/>
          <w:lang w:val="es-MX"/>
        </w:rPr>
        <w:t>uperintendencia Bancaria, a título de lucro cesante.</w:t>
      </w:r>
    </w:p>
    <w:p w14:paraId="2F2B3F3C" w14:textId="77777777" w:rsidR="000466B7" w:rsidRPr="007A177A" w:rsidRDefault="000466B7" w:rsidP="00BF333B">
      <w:pPr>
        <w:pStyle w:val="Continuarlista2"/>
        <w:spacing w:after="0" w:line="240" w:lineRule="auto"/>
        <w:ind w:left="567" w:right="567"/>
        <w:rPr>
          <w:rFonts w:cs="Arial"/>
          <w:i/>
          <w:lang w:val="es-MX"/>
        </w:rPr>
      </w:pPr>
    </w:p>
    <w:p w14:paraId="29259D31" w14:textId="77777777" w:rsidR="007E4BB0" w:rsidRPr="007A177A" w:rsidRDefault="000466B7" w:rsidP="00BF333B">
      <w:pPr>
        <w:pStyle w:val="Continuarlista2"/>
        <w:spacing w:after="0" w:line="240" w:lineRule="auto"/>
        <w:ind w:left="567" w:right="567"/>
        <w:rPr>
          <w:rFonts w:cs="Arial"/>
          <w:i/>
          <w:lang w:val="es-MX"/>
        </w:rPr>
      </w:pPr>
      <w:r w:rsidRPr="007A177A">
        <w:rPr>
          <w:rFonts w:cs="Arial"/>
          <w:i/>
          <w:lang w:val="es-MX"/>
        </w:rPr>
        <w:t>“CUA</w:t>
      </w:r>
      <w:r w:rsidR="005F4F92" w:rsidRPr="007A177A">
        <w:rPr>
          <w:rFonts w:cs="Arial"/>
          <w:i/>
          <w:lang w:val="es-MX"/>
        </w:rPr>
        <w:t>R</w:t>
      </w:r>
      <w:r w:rsidRPr="007A177A">
        <w:rPr>
          <w:rFonts w:cs="Arial"/>
          <w:i/>
          <w:lang w:val="es-MX"/>
        </w:rPr>
        <w:t>TA O PRIMERA SUBSIDIAR</w:t>
      </w:r>
      <w:r w:rsidR="005F4F92" w:rsidRPr="007A177A">
        <w:rPr>
          <w:rFonts w:cs="Arial"/>
          <w:i/>
          <w:lang w:val="es-MX"/>
        </w:rPr>
        <w:t>IA</w:t>
      </w:r>
      <w:r w:rsidR="007E4BB0" w:rsidRPr="007A177A">
        <w:rPr>
          <w:rFonts w:cs="Arial"/>
          <w:i/>
          <w:lang w:val="es-MX"/>
        </w:rPr>
        <w:t xml:space="preserve"> (…) se condene al Instituto Nacional de Vías al reconocimiento y pag</w:t>
      </w:r>
      <w:r w:rsidR="005F4F92" w:rsidRPr="007A177A">
        <w:rPr>
          <w:rFonts w:cs="Arial"/>
          <w:i/>
          <w:lang w:val="es-MX"/>
        </w:rPr>
        <w:t>o</w:t>
      </w:r>
      <w:r w:rsidR="007E4BB0" w:rsidRPr="007A177A">
        <w:rPr>
          <w:rFonts w:cs="Arial"/>
          <w:i/>
          <w:lang w:val="es-MX"/>
        </w:rPr>
        <w:t xml:space="preserve"> de los intereses previstos en el artículo 4, numeral 8, de la Ley 80 de 1993.</w:t>
      </w:r>
    </w:p>
    <w:p w14:paraId="230C23B7" w14:textId="77777777" w:rsidR="007E4BB0" w:rsidRPr="007A177A" w:rsidRDefault="007E4BB0" w:rsidP="00BF333B">
      <w:pPr>
        <w:pStyle w:val="Continuarlista2"/>
        <w:spacing w:after="0" w:line="240" w:lineRule="auto"/>
        <w:ind w:left="567" w:right="567"/>
        <w:rPr>
          <w:rFonts w:cs="Arial"/>
          <w:i/>
          <w:lang w:val="es-MX"/>
        </w:rPr>
      </w:pPr>
    </w:p>
    <w:p w14:paraId="23C2DED3" w14:textId="77777777" w:rsidR="001103D8" w:rsidRPr="007A177A" w:rsidRDefault="007E4BB0" w:rsidP="00BF333B">
      <w:pPr>
        <w:pStyle w:val="Continuarlista2"/>
        <w:spacing w:after="0" w:line="240" w:lineRule="auto"/>
        <w:ind w:left="567" w:right="567"/>
        <w:rPr>
          <w:rFonts w:cs="Arial"/>
          <w:i/>
          <w:lang w:val="es-MX"/>
        </w:rPr>
      </w:pPr>
      <w:r w:rsidRPr="007A177A">
        <w:rPr>
          <w:rFonts w:cs="Arial"/>
          <w:i/>
          <w:lang w:val="es-MX"/>
        </w:rPr>
        <w:t>“Q</w:t>
      </w:r>
      <w:r w:rsidR="001103D8" w:rsidRPr="007A177A">
        <w:rPr>
          <w:rFonts w:cs="Arial"/>
          <w:i/>
          <w:lang w:val="es-MX"/>
        </w:rPr>
        <w:t>U</w:t>
      </w:r>
      <w:r w:rsidRPr="007A177A">
        <w:rPr>
          <w:rFonts w:cs="Arial"/>
          <w:i/>
          <w:lang w:val="es-MX"/>
        </w:rPr>
        <w:t>INTA O SEGUNDA SUBSIDIARIA: Que en el evento que se considere no probadas las sumas de dinero anteriormente indicadas, la condena se profiera en abstracto, (…</w:t>
      </w:r>
      <w:r w:rsidR="001103D8" w:rsidRPr="007A177A">
        <w:rPr>
          <w:rFonts w:cs="Arial"/>
          <w:i/>
          <w:lang w:val="es-MX"/>
        </w:rPr>
        <w:t>)”.</w:t>
      </w:r>
    </w:p>
    <w:p w14:paraId="05EB191A" w14:textId="77777777" w:rsidR="00D71703" w:rsidRPr="007A177A" w:rsidRDefault="00D71703" w:rsidP="00BF333B">
      <w:pPr>
        <w:pStyle w:val="Continuarlista2"/>
        <w:spacing w:after="0" w:line="240" w:lineRule="auto"/>
        <w:ind w:left="567" w:right="567"/>
        <w:rPr>
          <w:rFonts w:cs="Arial"/>
          <w:i/>
          <w:lang w:val="es-MX"/>
        </w:rPr>
      </w:pPr>
    </w:p>
    <w:p w14:paraId="272EA2C2" w14:textId="77777777" w:rsidR="009D0E50" w:rsidRPr="007A177A" w:rsidRDefault="007928C6" w:rsidP="00BF333B">
      <w:pPr>
        <w:pStyle w:val="Continuarlista2"/>
        <w:spacing w:after="0" w:line="240" w:lineRule="auto"/>
        <w:ind w:left="567" w:right="567"/>
        <w:rPr>
          <w:rFonts w:cs="Arial"/>
          <w:i/>
          <w:lang w:val="es-MX"/>
        </w:rPr>
      </w:pPr>
      <w:r w:rsidRPr="007A177A">
        <w:rPr>
          <w:rFonts w:cs="Arial"/>
          <w:i/>
          <w:lang w:val="es-MX"/>
        </w:rPr>
        <w:t>“</w:t>
      </w:r>
      <w:r w:rsidR="001103D8" w:rsidRPr="007A177A">
        <w:rPr>
          <w:rFonts w:cs="Arial"/>
          <w:i/>
          <w:lang w:val="es-MX"/>
        </w:rPr>
        <w:t>SEXTA: Sobre las sumas de dinero que se establezcan en la sentencia (…) el pago de intereses de que trata el artículo 177 del Código Contencioso Administrativo en armonía con lo dispuesto por los artículos 176 y 178 ibídem</w:t>
      </w:r>
      <w:r w:rsidRPr="007A177A">
        <w:rPr>
          <w:rFonts w:cs="Arial"/>
          <w:i/>
          <w:lang w:val="es-MX"/>
        </w:rPr>
        <w:t>”</w:t>
      </w:r>
      <w:r w:rsidR="00EC2F1B" w:rsidRPr="007A177A">
        <w:rPr>
          <w:rStyle w:val="Refdenotaalpie"/>
          <w:rFonts w:cs="Arial"/>
          <w:i/>
          <w:lang w:val="es-MX"/>
        </w:rPr>
        <w:footnoteReference w:id="7"/>
      </w:r>
      <w:r w:rsidR="00D263DF" w:rsidRPr="007A177A">
        <w:rPr>
          <w:rFonts w:cs="Arial"/>
          <w:i/>
          <w:lang w:val="es-MX"/>
        </w:rPr>
        <w:t>.</w:t>
      </w:r>
    </w:p>
    <w:p w14:paraId="3FFAB576" w14:textId="77777777" w:rsidR="00CB2B74" w:rsidRPr="007A177A" w:rsidRDefault="00CB2B74" w:rsidP="00BF333B">
      <w:pPr>
        <w:pStyle w:val="Lista3"/>
        <w:ind w:left="0" w:firstLine="0"/>
        <w:rPr>
          <w:rFonts w:cs="Arial"/>
          <w:b/>
        </w:rPr>
      </w:pPr>
    </w:p>
    <w:p w14:paraId="10105300" w14:textId="77777777" w:rsidR="009D0E50" w:rsidRPr="007A177A" w:rsidRDefault="004C594B" w:rsidP="00BF333B">
      <w:pPr>
        <w:pStyle w:val="Lista3"/>
        <w:ind w:left="0" w:firstLine="0"/>
        <w:rPr>
          <w:rFonts w:cs="Arial"/>
          <w:b/>
        </w:rPr>
      </w:pPr>
      <w:r w:rsidRPr="007A177A">
        <w:rPr>
          <w:rFonts w:cs="Arial"/>
          <w:b/>
        </w:rPr>
        <w:t>3</w:t>
      </w:r>
      <w:r w:rsidR="009D0E50" w:rsidRPr="007A177A">
        <w:rPr>
          <w:rFonts w:cs="Arial"/>
          <w:b/>
        </w:rPr>
        <w:t>. Los hechos</w:t>
      </w:r>
    </w:p>
    <w:p w14:paraId="5D4CE663" w14:textId="77777777" w:rsidR="009D0E50" w:rsidRPr="007A177A" w:rsidRDefault="009D0E50" w:rsidP="00BF333B">
      <w:pPr>
        <w:widowControl w:val="0"/>
        <w:autoSpaceDE w:val="0"/>
        <w:autoSpaceDN w:val="0"/>
        <w:adjustRightInd w:val="0"/>
        <w:spacing w:line="360" w:lineRule="auto"/>
        <w:jc w:val="both"/>
        <w:rPr>
          <w:rFonts w:ascii="Arial" w:hAnsi="Arial" w:cs="Arial"/>
          <w:lang w:val="es-MX"/>
        </w:rPr>
      </w:pPr>
    </w:p>
    <w:p w14:paraId="6A2F576D" w14:textId="77777777" w:rsidR="009D0E50" w:rsidRPr="007A177A" w:rsidRDefault="00EC2F1B" w:rsidP="00BF333B">
      <w:pPr>
        <w:pStyle w:val="Textoindependiente"/>
        <w:spacing w:line="360" w:lineRule="auto"/>
        <w:jc w:val="both"/>
        <w:rPr>
          <w:rFonts w:cs="Arial"/>
          <w:sz w:val="24"/>
          <w:szCs w:val="24"/>
        </w:rPr>
      </w:pPr>
      <w:r w:rsidRPr="007A177A">
        <w:rPr>
          <w:rFonts w:cs="Arial"/>
          <w:sz w:val="24"/>
          <w:szCs w:val="24"/>
        </w:rPr>
        <w:t>L</w:t>
      </w:r>
      <w:r w:rsidR="009D0E50" w:rsidRPr="007A177A">
        <w:rPr>
          <w:rFonts w:cs="Arial"/>
          <w:sz w:val="24"/>
          <w:szCs w:val="24"/>
        </w:rPr>
        <w:t>a parte actora narró los siguientes hechos:</w:t>
      </w:r>
    </w:p>
    <w:p w14:paraId="3539ED48" w14:textId="77777777" w:rsidR="009D0E50" w:rsidRPr="007A177A" w:rsidRDefault="009D0E50" w:rsidP="00BF333B">
      <w:pPr>
        <w:pStyle w:val="Lista2"/>
        <w:ind w:left="0" w:firstLine="0"/>
        <w:rPr>
          <w:rFonts w:cs="Arial"/>
          <w:b/>
        </w:rPr>
      </w:pPr>
    </w:p>
    <w:p w14:paraId="0A50A03A" w14:textId="77777777" w:rsidR="00B3177F" w:rsidRPr="007A177A" w:rsidRDefault="005C5111" w:rsidP="00BF333B">
      <w:pPr>
        <w:pStyle w:val="Continuarlista2"/>
        <w:spacing w:after="0"/>
        <w:ind w:left="0"/>
        <w:rPr>
          <w:rFonts w:cs="Arial"/>
        </w:rPr>
      </w:pPr>
      <w:r w:rsidRPr="007A177A">
        <w:rPr>
          <w:rFonts w:cs="Arial"/>
          <w:b/>
        </w:rPr>
        <w:t>3</w:t>
      </w:r>
      <w:r w:rsidR="00EC2F1B" w:rsidRPr="007A177A">
        <w:rPr>
          <w:rFonts w:cs="Arial"/>
          <w:b/>
        </w:rPr>
        <w:t>.1.</w:t>
      </w:r>
      <w:r w:rsidR="00EC2F1B" w:rsidRPr="007A177A">
        <w:rPr>
          <w:rFonts w:cs="Arial"/>
        </w:rPr>
        <w:t xml:space="preserve"> El </w:t>
      </w:r>
      <w:r w:rsidR="00D952A8" w:rsidRPr="007A177A">
        <w:rPr>
          <w:rFonts w:cs="Arial"/>
        </w:rPr>
        <w:t>2</w:t>
      </w:r>
      <w:r w:rsidR="008B1B87" w:rsidRPr="007A177A">
        <w:rPr>
          <w:rFonts w:cs="Arial"/>
        </w:rPr>
        <w:t>9</w:t>
      </w:r>
      <w:r w:rsidR="00D952A8" w:rsidRPr="007A177A">
        <w:rPr>
          <w:rFonts w:cs="Arial"/>
        </w:rPr>
        <w:t xml:space="preserve"> de noviembre de 1976 el </w:t>
      </w:r>
      <w:r w:rsidR="00EC2F1B" w:rsidRPr="007A177A">
        <w:rPr>
          <w:rFonts w:cs="Arial"/>
        </w:rPr>
        <w:t>antiguo Fondo V</w:t>
      </w:r>
      <w:r w:rsidR="00A00736" w:rsidRPr="007A177A">
        <w:rPr>
          <w:rFonts w:cs="Arial"/>
        </w:rPr>
        <w:t>i</w:t>
      </w:r>
      <w:r w:rsidR="00EC2F1B" w:rsidRPr="007A177A">
        <w:rPr>
          <w:rFonts w:cs="Arial"/>
        </w:rPr>
        <w:t>al Nacional –</w:t>
      </w:r>
      <w:r w:rsidR="004915CA" w:rsidRPr="007A177A">
        <w:rPr>
          <w:rFonts w:cs="Arial"/>
          <w:i/>
        </w:rPr>
        <w:t>h</w:t>
      </w:r>
      <w:r w:rsidR="00EC2F1B" w:rsidRPr="007A177A">
        <w:rPr>
          <w:rFonts w:cs="Arial"/>
          <w:i/>
        </w:rPr>
        <w:t xml:space="preserve">oy </w:t>
      </w:r>
      <w:proofErr w:type="spellStart"/>
      <w:r w:rsidR="00EC2F1B" w:rsidRPr="007A177A">
        <w:rPr>
          <w:rFonts w:cs="Arial"/>
          <w:i/>
        </w:rPr>
        <w:t>Invías</w:t>
      </w:r>
      <w:proofErr w:type="spellEnd"/>
      <w:r w:rsidR="00EC2F1B" w:rsidRPr="007A177A">
        <w:rPr>
          <w:rFonts w:cs="Arial"/>
        </w:rPr>
        <w:t>- celebró con l</w:t>
      </w:r>
      <w:r w:rsidR="00A00736" w:rsidRPr="007A177A">
        <w:rPr>
          <w:rFonts w:cs="Arial"/>
        </w:rPr>
        <w:t>a</w:t>
      </w:r>
      <w:r w:rsidR="00EC2F1B" w:rsidRPr="007A177A">
        <w:rPr>
          <w:rFonts w:cs="Arial"/>
        </w:rPr>
        <w:t>s demandantes</w:t>
      </w:r>
      <w:r w:rsidR="00D952A8" w:rsidRPr="007A177A">
        <w:rPr>
          <w:rFonts w:cs="Arial"/>
        </w:rPr>
        <w:t xml:space="preserve"> </w:t>
      </w:r>
      <w:r w:rsidR="0088288D" w:rsidRPr="007A177A">
        <w:rPr>
          <w:rFonts w:cs="Arial"/>
        </w:rPr>
        <w:t>el Contrato No. 358-76, cuyo objeto era la construcción y pavimentación de</w:t>
      </w:r>
      <w:r w:rsidR="007928C6" w:rsidRPr="007A177A">
        <w:rPr>
          <w:rFonts w:cs="Arial"/>
        </w:rPr>
        <w:t xml:space="preserve"> la </w:t>
      </w:r>
      <w:r w:rsidR="00094901" w:rsidRPr="007A177A">
        <w:rPr>
          <w:rFonts w:cs="Arial"/>
        </w:rPr>
        <w:t xml:space="preserve">vía </w:t>
      </w:r>
      <w:r w:rsidR="007928C6" w:rsidRPr="007A177A">
        <w:rPr>
          <w:rFonts w:cs="Arial"/>
        </w:rPr>
        <w:t>ubicada en el</w:t>
      </w:r>
      <w:r w:rsidR="0088288D" w:rsidRPr="007A177A">
        <w:rPr>
          <w:rFonts w:cs="Arial"/>
        </w:rPr>
        <w:t xml:space="preserve"> sector </w:t>
      </w:r>
      <w:proofErr w:type="spellStart"/>
      <w:r w:rsidR="0088288D" w:rsidRPr="007A177A">
        <w:rPr>
          <w:rFonts w:cs="Arial"/>
        </w:rPr>
        <w:t>Tierra</w:t>
      </w:r>
      <w:r w:rsidR="00A42CDB" w:rsidRPr="007A177A">
        <w:rPr>
          <w:rFonts w:cs="Arial"/>
        </w:rPr>
        <w:t>baja</w:t>
      </w:r>
      <w:proofErr w:type="spellEnd"/>
      <w:r w:rsidR="0088288D" w:rsidRPr="007A177A">
        <w:rPr>
          <w:rFonts w:cs="Arial"/>
        </w:rPr>
        <w:t xml:space="preserve"> – Arroyo de Piedra </w:t>
      </w:r>
      <w:r w:rsidR="00094901" w:rsidRPr="007A177A">
        <w:rPr>
          <w:rFonts w:cs="Arial"/>
        </w:rPr>
        <w:t xml:space="preserve">en </w:t>
      </w:r>
      <w:r w:rsidR="0088288D" w:rsidRPr="007A177A">
        <w:rPr>
          <w:rFonts w:cs="Arial"/>
        </w:rPr>
        <w:t>la carretera Cartagena – Barranquilla</w:t>
      </w:r>
      <w:r w:rsidR="009E7F97" w:rsidRPr="007A177A">
        <w:rPr>
          <w:rFonts w:cs="Arial"/>
        </w:rPr>
        <w:t>.</w:t>
      </w:r>
      <w:r w:rsidR="00B3177F" w:rsidRPr="007A177A">
        <w:rPr>
          <w:rFonts w:cs="Arial"/>
        </w:rPr>
        <w:t xml:space="preserve"> </w:t>
      </w:r>
    </w:p>
    <w:p w14:paraId="521F85F8" w14:textId="77777777" w:rsidR="0088288D" w:rsidRPr="007A177A" w:rsidRDefault="0088288D" w:rsidP="00BF333B">
      <w:pPr>
        <w:pStyle w:val="Continuarlista2"/>
        <w:spacing w:after="0"/>
        <w:ind w:left="0"/>
        <w:rPr>
          <w:rFonts w:cs="Arial"/>
        </w:rPr>
      </w:pPr>
    </w:p>
    <w:p w14:paraId="1E635E14" w14:textId="77777777" w:rsidR="00EC7743" w:rsidRPr="007A177A" w:rsidRDefault="005C5111" w:rsidP="00BF333B">
      <w:pPr>
        <w:pStyle w:val="Continuarlista2"/>
        <w:spacing w:after="0"/>
        <w:ind w:left="0"/>
        <w:rPr>
          <w:rFonts w:cs="Arial"/>
        </w:rPr>
      </w:pPr>
      <w:r w:rsidRPr="007A177A">
        <w:rPr>
          <w:rFonts w:cs="Arial"/>
          <w:b/>
        </w:rPr>
        <w:t>3</w:t>
      </w:r>
      <w:r w:rsidR="0088288D" w:rsidRPr="007A177A">
        <w:rPr>
          <w:rFonts w:cs="Arial"/>
          <w:b/>
        </w:rPr>
        <w:t>.2.</w:t>
      </w:r>
      <w:r w:rsidR="0088288D" w:rsidRPr="007A177A">
        <w:rPr>
          <w:rFonts w:cs="Arial"/>
        </w:rPr>
        <w:t xml:space="preserve"> Las obras </w:t>
      </w:r>
      <w:r w:rsidR="007E436C" w:rsidRPr="007A177A">
        <w:rPr>
          <w:rFonts w:cs="Arial"/>
        </w:rPr>
        <w:t>solo</w:t>
      </w:r>
      <w:r w:rsidR="00094901" w:rsidRPr="007A177A">
        <w:rPr>
          <w:rFonts w:cs="Arial"/>
        </w:rPr>
        <w:t xml:space="preserve"> </w:t>
      </w:r>
      <w:r w:rsidR="0088288D" w:rsidRPr="007A177A">
        <w:rPr>
          <w:rFonts w:cs="Arial"/>
        </w:rPr>
        <w:t xml:space="preserve">se iniciaron el 4 de agosto de 1978, </w:t>
      </w:r>
      <w:r w:rsidR="00094901" w:rsidRPr="007A177A">
        <w:rPr>
          <w:rFonts w:cs="Arial"/>
        </w:rPr>
        <w:t xml:space="preserve">casi dos años después, </w:t>
      </w:r>
      <w:r w:rsidR="00EC7743" w:rsidRPr="007A177A">
        <w:rPr>
          <w:rFonts w:cs="Arial"/>
        </w:rPr>
        <w:t>por cuanto se debió esperar a obtener la correspondiente reserva presupuestal.</w:t>
      </w:r>
    </w:p>
    <w:p w14:paraId="651CD6B7" w14:textId="77777777" w:rsidR="00EC7743" w:rsidRPr="007A177A" w:rsidRDefault="00EC7743" w:rsidP="00BF333B">
      <w:pPr>
        <w:pStyle w:val="Continuarlista2"/>
        <w:spacing w:after="0"/>
        <w:ind w:left="0"/>
        <w:rPr>
          <w:rFonts w:cs="Arial"/>
        </w:rPr>
      </w:pPr>
    </w:p>
    <w:p w14:paraId="1E662630" w14:textId="77777777" w:rsidR="00B3177F" w:rsidRPr="007A177A" w:rsidRDefault="005C5111" w:rsidP="00BF333B">
      <w:pPr>
        <w:pStyle w:val="Continuarlista2"/>
        <w:spacing w:after="0"/>
        <w:ind w:left="0"/>
        <w:rPr>
          <w:rFonts w:cs="Arial"/>
        </w:rPr>
      </w:pPr>
      <w:r w:rsidRPr="007A177A">
        <w:rPr>
          <w:rFonts w:cs="Arial"/>
          <w:b/>
        </w:rPr>
        <w:t>3</w:t>
      </w:r>
      <w:r w:rsidR="00EC7743" w:rsidRPr="007A177A">
        <w:rPr>
          <w:rFonts w:cs="Arial"/>
          <w:b/>
        </w:rPr>
        <w:t>.3.</w:t>
      </w:r>
      <w:r w:rsidR="00EC7743" w:rsidRPr="007A177A">
        <w:rPr>
          <w:rFonts w:cs="Arial"/>
        </w:rPr>
        <w:t xml:space="preserve"> El plazo acordado fue de 24 meses, </w:t>
      </w:r>
      <w:r w:rsidR="00D436D1" w:rsidRPr="007A177A">
        <w:rPr>
          <w:rFonts w:cs="Arial"/>
        </w:rPr>
        <w:t>pero</w:t>
      </w:r>
      <w:r w:rsidR="00645555" w:rsidRPr="007A177A">
        <w:rPr>
          <w:rFonts w:cs="Arial"/>
        </w:rPr>
        <w:t>,</w:t>
      </w:r>
      <w:r w:rsidR="00D436D1" w:rsidRPr="007A177A">
        <w:rPr>
          <w:rFonts w:cs="Arial"/>
        </w:rPr>
        <w:t xml:space="preserve"> </w:t>
      </w:r>
      <w:r w:rsidR="00EC7743" w:rsidRPr="007A177A">
        <w:rPr>
          <w:rFonts w:cs="Arial"/>
        </w:rPr>
        <w:t>posteriormente</w:t>
      </w:r>
      <w:r w:rsidR="00645555" w:rsidRPr="007A177A">
        <w:rPr>
          <w:rFonts w:cs="Arial"/>
        </w:rPr>
        <w:t>,</w:t>
      </w:r>
      <w:r w:rsidR="00EC7743" w:rsidRPr="007A177A">
        <w:rPr>
          <w:rFonts w:cs="Arial"/>
        </w:rPr>
        <w:t xml:space="preserve"> se suscribieron tres contratos adicionales </w:t>
      </w:r>
      <w:r w:rsidR="00D436D1" w:rsidRPr="007A177A">
        <w:rPr>
          <w:rFonts w:cs="Arial"/>
        </w:rPr>
        <w:t xml:space="preserve">y, por ello, </w:t>
      </w:r>
      <w:r w:rsidR="0030615F" w:rsidRPr="007A177A">
        <w:rPr>
          <w:rFonts w:cs="Arial"/>
        </w:rPr>
        <w:t xml:space="preserve">la terminación </w:t>
      </w:r>
      <w:r w:rsidR="00EC7743" w:rsidRPr="007A177A">
        <w:rPr>
          <w:rFonts w:cs="Arial"/>
        </w:rPr>
        <w:t>final ocurrió el 31 de julio de 1981</w:t>
      </w:r>
      <w:r w:rsidR="005917A8" w:rsidRPr="007A177A">
        <w:rPr>
          <w:rFonts w:cs="Arial"/>
        </w:rPr>
        <w:t>.</w:t>
      </w:r>
      <w:r w:rsidR="00904089" w:rsidRPr="007A177A">
        <w:rPr>
          <w:rFonts w:cs="Arial"/>
        </w:rPr>
        <w:t xml:space="preserve"> En el contrato se </w:t>
      </w:r>
      <w:r w:rsidR="00F52637" w:rsidRPr="007A177A">
        <w:rPr>
          <w:rFonts w:cs="Arial"/>
        </w:rPr>
        <w:t>indic</w:t>
      </w:r>
      <w:r w:rsidR="00904089" w:rsidRPr="007A177A">
        <w:rPr>
          <w:rFonts w:cs="Arial"/>
        </w:rPr>
        <w:t xml:space="preserve">ó </w:t>
      </w:r>
      <w:r w:rsidR="00F52637" w:rsidRPr="007A177A">
        <w:rPr>
          <w:rFonts w:cs="Arial"/>
        </w:rPr>
        <w:t xml:space="preserve">como </w:t>
      </w:r>
      <w:r w:rsidR="00B3177F" w:rsidRPr="007A177A">
        <w:rPr>
          <w:rFonts w:cs="Arial"/>
        </w:rPr>
        <w:t xml:space="preserve">valor total </w:t>
      </w:r>
      <w:r w:rsidR="00C0215C" w:rsidRPr="007A177A">
        <w:rPr>
          <w:rFonts w:cs="Arial"/>
        </w:rPr>
        <w:t xml:space="preserve">la suma </w:t>
      </w:r>
      <w:r w:rsidR="00B3177F" w:rsidRPr="007A177A">
        <w:rPr>
          <w:rFonts w:cs="Arial"/>
        </w:rPr>
        <w:t xml:space="preserve">$74’426.400. </w:t>
      </w:r>
    </w:p>
    <w:p w14:paraId="4FD3D501" w14:textId="77777777" w:rsidR="00D436D1" w:rsidRPr="007A177A" w:rsidRDefault="00D436D1" w:rsidP="00BF333B">
      <w:pPr>
        <w:pStyle w:val="Continuarlista2"/>
        <w:spacing w:after="0"/>
        <w:ind w:left="0"/>
        <w:rPr>
          <w:rFonts w:cs="Arial"/>
        </w:rPr>
      </w:pPr>
    </w:p>
    <w:p w14:paraId="0C9F71D7" w14:textId="77777777" w:rsidR="009D516F" w:rsidRPr="007A177A" w:rsidRDefault="005C5111" w:rsidP="00BF333B">
      <w:pPr>
        <w:pStyle w:val="Continuarlista2"/>
        <w:spacing w:after="0"/>
        <w:ind w:left="0"/>
        <w:rPr>
          <w:rFonts w:cs="Arial"/>
        </w:rPr>
      </w:pPr>
      <w:r w:rsidRPr="007A177A">
        <w:rPr>
          <w:rFonts w:cs="Arial"/>
          <w:b/>
        </w:rPr>
        <w:t>3</w:t>
      </w:r>
      <w:r w:rsidR="00A00736" w:rsidRPr="007A177A">
        <w:rPr>
          <w:rFonts w:cs="Arial"/>
          <w:b/>
        </w:rPr>
        <w:t>.</w:t>
      </w:r>
      <w:r w:rsidR="00D436D1" w:rsidRPr="007A177A">
        <w:rPr>
          <w:rFonts w:cs="Arial"/>
          <w:b/>
        </w:rPr>
        <w:t>4</w:t>
      </w:r>
      <w:r w:rsidR="00A00736" w:rsidRPr="007A177A">
        <w:rPr>
          <w:rFonts w:cs="Arial"/>
          <w:b/>
        </w:rPr>
        <w:t>.</w:t>
      </w:r>
      <w:r w:rsidR="00D436D1" w:rsidRPr="007A177A">
        <w:rPr>
          <w:rFonts w:cs="Arial"/>
        </w:rPr>
        <w:t xml:space="preserve"> El contrato sufrió repetidos atrasos por causas imputables al Fondo Vial Nacional</w:t>
      </w:r>
      <w:r w:rsidR="0030615F" w:rsidRPr="007A177A">
        <w:rPr>
          <w:rFonts w:cs="Arial"/>
        </w:rPr>
        <w:t>, tales como la falta de recursos presupuestales, la demora en el trámite de definición y aprobación de precios</w:t>
      </w:r>
      <w:r w:rsidR="009D516F" w:rsidRPr="007A177A">
        <w:rPr>
          <w:rFonts w:cs="Arial"/>
        </w:rPr>
        <w:t xml:space="preserve"> y</w:t>
      </w:r>
      <w:r w:rsidR="0030615F" w:rsidRPr="007A177A">
        <w:rPr>
          <w:rFonts w:cs="Arial"/>
        </w:rPr>
        <w:t xml:space="preserve"> la negativa del Fondo a pagar gran parte de</w:t>
      </w:r>
      <w:r w:rsidR="00631AB8" w:rsidRPr="007A177A">
        <w:rPr>
          <w:rFonts w:cs="Arial"/>
        </w:rPr>
        <w:t>l valor de</w:t>
      </w:r>
      <w:r w:rsidR="0030615F" w:rsidRPr="007A177A">
        <w:rPr>
          <w:rFonts w:cs="Arial"/>
        </w:rPr>
        <w:t xml:space="preserve"> las obras ejecutad</w:t>
      </w:r>
      <w:r w:rsidR="009D516F" w:rsidRPr="007A177A">
        <w:rPr>
          <w:rFonts w:cs="Arial"/>
        </w:rPr>
        <w:t xml:space="preserve">as. </w:t>
      </w:r>
    </w:p>
    <w:p w14:paraId="5BDEFCDA" w14:textId="77777777" w:rsidR="009D516F" w:rsidRPr="007A177A" w:rsidRDefault="009D516F" w:rsidP="00BF333B">
      <w:pPr>
        <w:pStyle w:val="Continuarlista2"/>
        <w:spacing w:after="0"/>
        <w:ind w:left="0"/>
        <w:rPr>
          <w:rFonts w:cs="Arial"/>
        </w:rPr>
      </w:pPr>
    </w:p>
    <w:p w14:paraId="1497166F" w14:textId="77777777" w:rsidR="009D516F" w:rsidRPr="007A177A" w:rsidRDefault="005C5111" w:rsidP="00BF333B">
      <w:pPr>
        <w:pStyle w:val="Continuarlista2"/>
        <w:spacing w:after="0"/>
        <w:ind w:left="0"/>
        <w:rPr>
          <w:rFonts w:cs="Arial"/>
        </w:rPr>
      </w:pPr>
      <w:r w:rsidRPr="007A177A">
        <w:rPr>
          <w:rFonts w:cs="Arial"/>
          <w:b/>
        </w:rPr>
        <w:t>3</w:t>
      </w:r>
      <w:r w:rsidR="009D516F" w:rsidRPr="007A177A">
        <w:rPr>
          <w:rFonts w:cs="Arial"/>
          <w:b/>
        </w:rPr>
        <w:t>.5</w:t>
      </w:r>
      <w:r w:rsidR="009D516F" w:rsidRPr="007A177A">
        <w:rPr>
          <w:rFonts w:cs="Arial"/>
        </w:rPr>
        <w:t xml:space="preserve">. </w:t>
      </w:r>
      <w:r w:rsidR="00F52637" w:rsidRPr="007A177A">
        <w:rPr>
          <w:rFonts w:cs="Arial"/>
        </w:rPr>
        <w:t>Según afirmó la demandante, a</w:t>
      </w:r>
      <w:r w:rsidR="009D516F" w:rsidRPr="007A177A">
        <w:rPr>
          <w:rFonts w:cs="Arial"/>
        </w:rPr>
        <w:t xml:space="preserve"> pesar de múltiples requerimientos por parte de</w:t>
      </w:r>
      <w:r w:rsidR="00B73D25" w:rsidRPr="007A177A">
        <w:rPr>
          <w:rFonts w:cs="Arial"/>
        </w:rPr>
        <w:t>l</w:t>
      </w:r>
      <w:r w:rsidR="009D516F" w:rsidRPr="007A177A">
        <w:rPr>
          <w:rFonts w:cs="Arial"/>
        </w:rPr>
        <w:t xml:space="preserve"> contratista, el </w:t>
      </w:r>
      <w:r w:rsidR="009E7F97" w:rsidRPr="007A177A">
        <w:rPr>
          <w:rFonts w:cs="Arial"/>
        </w:rPr>
        <w:t xml:space="preserve">Fondo Vial Nacional </w:t>
      </w:r>
      <w:r w:rsidR="009D516F" w:rsidRPr="007A177A">
        <w:rPr>
          <w:rFonts w:cs="Arial"/>
        </w:rPr>
        <w:t>nunca liquid</w:t>
      </w:r>
      <w:r w:rsidR="009E7F97" w:rsidRPr="007A177A">
        <w:rPr>
          <w:rFonts w:cs="Arial"/>
        </w:rPr>
        <w:t>ó el contrato</w:t>
      </w:r>
      <w:r w:rsidR="009D516F" w:rsidRPr="007A177A">
        <w:rPr>
          <w:rFonts w:cs="Arial"/>
        </w:rPr>
        <w:t>.</w:t>
      </w:r>
    </w:p>
    <w:p w14:paraId="03444EA2" w14:textId="77777777" w:rsidR="009D516F" w:rsidRPr="007A177A" w:rsidRDefault="009D516F" w:rsidP="00BF333B">
      <w:pPr>
        <w:pStyle w:val="Continuarlista2"/>
        <w:spacing w:after="0"/>
        <w:ind w:left="0"/>
        <w:rPr>
          <w:rFonts w:cs="Arial"/>
        </w:rPr>
      </w:pPr>
    </w:p>
    <w:p w14:paraId="6E895A11" w14:textId="77777777" w:rsidR="000C41EA" w:rsidRPr="007A177A" w:rsidRDefault="005C5111" w:rsidP="00BF333B">
      <w:pPr>
        <w:pStyle w:val="Continuarlista2"/>
        <w:spacing w:after="0"/>
        <w:ind w:left="0"/>
        <w:rPr>
          <w:rFonts w:cs="Arial"/>
        </w:rPr>
      </w:pPr>
      <w:r w:rsidRPr="007A177A">
        <w:rPr>
          <w:rFonts w:cs="Arial"/>
          <w:b/>
        </w:rPr>
        <w:t>3</w:t>
      </w:r>
      <w:r w:rsidR="009D516F" w:rsidRPr="007A177A">
        <w:rPr>
          <w:rFonts w:cs="Arial"/>
          <w:b/>
        </w:rPr>
        <w:t>.6.</w:t>
      </w:r>
      <w:r w:rsidR="009D516F" w:rsidRPr="007A177A">
        <w:rPr>
          <w:rFonts w:cs="Arial"/>
        </w:rPr>
        <w:t xml:space="preserve"> </w:t>
      </w:r>
      <w:r w:rsidR="00904089" w:rsidRPr="007A177A">
        <w:rPr>
          <w:rFonts w:cs="Arial"/>
        </w:rPr>
        <w:t>La parte actora afirmó que s</w:t>
      </w:r>
      <w:r w:rsidR="009D516F" w:rsidRPr="007A177A">
        <w:rPr>
          <w:rFonts w:cs="Arial"/>
        </w:rPr>
        <w:t xml:space="preserve">e configuró un enriquecimiento injusto del </w:t>
      </w:r>
      <w:proofErr w:type="spellStart"/>
      <w:r w:rsidR="009D516F" w:rsidRPr="007A177A">
        <w:rPr>
          <w:rFonts w:cs="Arial"/>
        </w:rPr>
        <w:t>Invías</w:t>
      </w:r>
      <w:proofErr w:type="spellEnd"/>
      <w:r w:rsidR="00D9213F" w:rsidRPr="007A177A">
        <w:rPr>
          <w:rFonts w:cs="Arial"/>
        </w:rPr>
        <w:t xml:space="preserve"> y el empobrecimiento correlativo de la</w:t>
      </w:r>
      <w:r w:rsidR="009E7F97" w:rsidRPr="007A177A">
        <w:rPr>
          <w:rFonts w:cs="Arial"/>
        </w:rPr>
        <w:t>s</w:t>
      </w:r>
      <w:r w:rsidR="00D9213F" w:rsidRPr="007A177A">
        <w:rPr>
          <w:rFonts w:cs="Arial"/>
        </w:rPr>
        <w:t xml:space="preserve"> contratista</w:t>
      </w:r>
      <w:r w:rsidR="009E7F97" w:rsidRPr="007A177A">
        <w:rPr>
          <w:rFonts w:cs="Arial"/>
        </w:rPr>
        <w:t>s</w:t>
      </w:r>
      <w:r w:rsidR="00D9213F" w:rsidRPr="007A177A">
        <w:rPr>
          <w:rFonts w:cs="Arial"/>
        </w:rPr>
        <w:t>,</w:t>
      </w:r>
      <w:r w:rsidR="009D516F" w:rsidRPr="007A177A">
        <w:rPr>
          <w:rFonts w:cs="Arial"/>
        </w:rPr>
        <w:t xml:space="preserve"> como consecuencia de la mayor permanencia de los equipos</w:t>
      </w:r>
      <w:r w:rsidR="000C41EA" w:rsidRPr="007A177A">
        <w:rPr>
          <w:rFonts w:cs="Arial"/>
        </w:rPr>
        <w:t xml:space="preserve"> en la obra, de</w:t>
      </w:r>
      <w:r w:rsidR="009B014C" w:rsidRPr="007A177A">
        <w:rPr>
          <w:rFonts w:cs="Arial"/>
        </w:rPr>
        <w:t xml:space="preserve"> los gastos de</w:t>
      </w:r>
      <w:r w:rsidR="000C41EA" w:rsidRPr="007A177A">
        <w:rPr>
          <w:rFonts w:cs="Arial"/>
        </w:rPr>
        <w:t xml:space="preserve"> personal y recursos de ejecución, </w:t>
      </w:r>
      <w:r w:rsidR="009B014C" w:rsidRPr="007A177A">
        <w:rPr>
          <w:rFonts w:cs="Arial"/>
        </w:rPr>
        <w:t xml:space="preserve">costos por </w:t>
      </w:r>
      <w:r w:rsidR="000C41EA" w:rsidRPr="007A177A">
        <w:rPr>
          <w:rFonts w:cs="Arial"/>
        </w:rPr>
        <w:t xml:space="preserve">errónea clasificación de las excavaciones, pago de regalías en zona de canteras, falta de fijación de nuevos precios y no pago de intereses de mora sobre las actas de avance de obra. </w:t>
      </w:r>
    </w:p>
    <w:p w14:paraId="26512761" w14:textId="77777777" w:rsidR="005D7F9E" w:rsidRPr="007A177A" w:rsidRDefault="005D7F9E" w:rsidP="00BF333B">
      <w:pPr>
        <w:pStyle w:val="Continuarlista2"/>
        <w:spacing w:after="0"/>
        <w:ind w:left="0"/>
        <w:rPr>
          <w:rFonts w:cs="Arial"/>
        </w:rPr>
      </w:pPr>
    </w:p>
    <w:p w14:paraId="12607FB2" w14:textId="77777777" w:rsidR="009D0E50" w:rsidRPr="007A177A" w:rsidRDefault="005C5111" w:rsidP="00BF333B">
      <w:pPr>
        <w:pStyle w:val="Lista3"/>
        <w:ind w:left="0" w:firstLine="0"/>
        <w:rPr>
          <w:rFonts w:cs="Arial"/>
          <w:b/>
        </w:rPr>
      </w:pPr>
      <w:r w:rsidRPr="007A177A">
        <w:rPr>
          <w:rFonts w:cs="Arial"/>
          <w:b/>
        </w:rPr>
        <w:t>4</w:t>
      </w:r>
      <w:r w:rsidR="009D0E50" w:rsidRPr="007A177A">
        <w:rPr>
          <w:rFonts w:cs="Arial"/>
          <w:b/>
        </w:rPr>
        <w:t>. Actuación procesal</w:t>
      </w:r>
    </w:p>
    <w:p w14:paraId="1B0F7FC5" w14:textId="77777777" w:rsidR="009D0E50" w:rsidRPr="007A177A" w:rsidRDefault="009D0E50" w:rsidP="00BF333B">
      <w:pPr>
        <w:spacing w:line="360" w:lineRule="auto"/>
        <w:jc w:val="both"/>
        <w:rPr>
          <w:rFonts w:ascii="Arial" w:hAnsi="Arial" w:cs="Arial"/>
          <w:bCs/>
          <w:iCs/>
        </w:rPr>
      </w:pPr>
    </w:p>
    <w:p w14:paraId="3CA57392" w14:textId="77777777" w:rsidR="00EE3D0E" w:rsidRPr="007A177A" w:rsidRDefault="005C5111" w:rsidP="00BF333B">
      <w:pPr>
        <w:pStyle w:val="Lista4"/>
        <w:ind w:left="0" w:firstLine="0"/>
        <w:rPr>
          <w:rFonts w:cs="Arial"/>
        </w:rPr>
      </w:pPr>
      <w:r w:rsidRPr="007A177A">
        <w:rPr>
          <w:rFonts w:cs="Arial"/>
          <w:b/>
        </w:rPr>
        <w:t>4</w:t>
      </w:r>
      <w:r w:rsidR="009D0E50" w:rsidRPr="007A177A">
        <w:rPr>
          <w:rFonts w:cs="Arial"/>
          <w:b/>
        </w:rPr>
        <w:t xml:space="preserve">.1. </w:t>
      </w:r>
      <w:r w:rsidR="009D0E50" w:rsidRPr="007A177A">
        <w:rPr>
          <w:rFonts w:cs="Arial"/>
        </w:rPr>
        <w:t xml:space="preserve">El Tribunal Administrativo de </w:t>
      </w:r>
      <w:r w:rsidR="005D078C" w:rsidRPr="007A177A">
        <w:rPr>
          <w:rFonts w:cs="Arial"/>
        </w:rPr>
        <w:t xml:space="preserve">Bolívar inadmitió la demanda el 28 de septiembre de 2001, </w:t>
      </w:r>
      <w:r w:rsidR="00590E45" w:rsidRPr="007A177A">
        <w:rPr>
          <w:rFonts w:cs="Arial"/>
        </w:rPr>
        <w:t>decisión que</w:t>
      </w:r>
      <w:r w:rsidR="005D078C" w:rsidRPr="007A177A">
        <w:rPr>
          <w:rFonts w:cs="Arial"/>
        </w:rPr>
        <w:t xml:space="preserve"> fue revocad</w:t>
      </w:r>
      <w:r w:rsidR="00590E45" w:rsidRPr="007A177A">
        <w:rPr>
          <w:rFonts w:cs="Arial"/>
        </w:rPr>
        <w:t>a</w:t>
      </w:r>
      <w:r w:rsidR="005D078C" w:rsidRPr="007A177A">
        <w:rPr>
          <w:rFonts w:cs="Arial"/>
        </w:rPr>
        <w:t xml:space="preserve"> p</w:t>
      </w:r>
      <w:r w:rsidR="0088603F" w:rsidRPr="007A177A">
        <w:rPr>
          <w:rFonts w:cs="Arial"/>
        </w:rPr>
        <w:t xml:space="preserve">or </w:t>
      </w:r>
      <w:r w:rsidR="00EF7869" w:rsidRPr="007A177A">
        <w:rPr>
          <w:rFonts w:cs="Arial"/>
        </w:rPr>
        <w:t>la Sección Tercera d</w:t>
      </w:r>
      <w:r w:rsidR="005D078C" w:rsidRPr="007A177A">
        <w:rPr>
          <w:rFonts w:cs="Arial"/>
        </w:rPr>
        <w:t>el Consejo de Estado en providencia de</w:t>
      </w:r>
      <w:r w:rsidR="0088603F" w:rsidRPr="007A177A">
        <w:rPr>
          <w:rFonts w:cs="Arial"/>
        </w:rPr>
        <w:t xml:space="preserve"> 23 de enero de 2003, en la cual se </w:t>
      </w:r>
      <w:r w:rsidR="00EE3D0E" w:rsidRPr="007A177A">
        <w:rPr>
          <w:rFonts w:cs="Arial"/>
        </w:rPr>
        <w:t xml:space="preserve">dispuso admitir la demanda. </w:t>
      </w:r>
    </w:p>
    <w:p w14:paraId="324F7B10" w14:textId="77777777" w:rsidR="00EE3D0E" w:rsidRPr="007A177A" w:rsidRDefault="00EE3D0E" w:rsidP="00BF333B">
      <w:pPr>
        <w:pStyle w:val="Lista4"/>
        <w:ind w:left="0" w:firstLine="0"/>
        <w:rPr>
          <w:rFonts w:cs="Arial"/>
        </w:rPr>
      </w:pPr>
    </w:p>
    <w:p w14:paraId="2E30D22E" w14:textId="77777777" w:rsidR="00EF3438" w:rsidRPr="007A177A" w:rsidRDefault="00EE3D0E" w:rsidP="00BF333B">
      <w:pPr>
        <w:pStyle w:val="Lista4"/>
        <w:ind w:left="0" w:firstLine="0"/>
        <w:rPr>
          <w:rFonts w:cs="Arial"/>
        </w:rPr>
      </w:pPr>
      <w:r w:rsidRPr="007A177A">
        <w:rPr>
          <w:rFonts w:cs="Arial"/>
        </w:rPr>
        <w:t xml:space="preserve">Al resolver </w:t>
      </w:r>
      <w:r w:rsidR="00B83A55" w:rsidRPr="007A177A">
        <w:rPr>
          <w:rFonts w:cs="Arial"/>
        </w:rPr>
        <w:t xml:space="preserve">sobre </w:t>
      </w:r>
      <w:r w:rsidRPr="007A177A">
        <w:rPr>
          <w:rFonts w:cs="Arial"/>
        </w:rPr>
        <w:t>la oportunidad en la presentación de la demanda</w:t>
      </w:r>
      <w:r w:rsidR="00EF7869" w:rsidRPr="007A177A">
        <w:rPr>
          <w:rFonts w:cs="Arial"/>
        </w:rPr>
        <w:t xml:space="preserve">, </w:t>
      </w:r>
      <w:r w:rsidR="00234924" w:rsidRPr="007A177A">
        <w:rPr>
          <w:rFonts w:cs="Arial"/>
        </w:rPr>
        <w:t xml:space="preserve">la Sección Tercera del Consejo de Estado </w:t>
      </w:r>
      <w:r w:rsidR="00EF7869" w:rsidRPr="007A177A">
        <w:rPr>
          <w:rFonts w:cs="Arial"/>
        </w:rPr>
        <w:t xml:space="preserve">estimó aplicable el término de 20 años </w:t>
      </w:r>
      <w:r w:rsidR="00B83A55" w:rsidRPr="007A177A">
        <w:rPr>
          <w:rFonts w:cs="Arial"/>
        </w:rPr>
        <w:t xml:space="preserve">fijado para </w:t>
      </w:r>
      <w:r w:rsidR="00EF7869" w:rsidRPr="007A177A">
        <w:rPr>
          <w:rFonts w:cs="Arial"/>
        </w:rPr>
        <w:t>la prescripción regulada en el Código Civil</w:t>
      </w:r>
      <w:r w:rsidR="001D7FF1" w:rsidRPr="007A177A">
        <w:rPr>
          <w:rFonts w:cs="Arial"/>
        </w:rPr>
        <w:t xml:space="preserve">, </w:t>
      </w:r>
      <w:r w:rsidR="00B83A55" w:rsidRPr="007A177A">
        <w:rPr>
          <w:rFonts w:cs="Arial"/>
        </w:rPr>
        <w:t xml:space="preserve">el cual se contaba en este </w:t>
      </w:r>
      <w:r w:rsidR="00F52637" w:rsidRPr="007A177A">
        <w:rPr>
          <w:rFonts w:cs="Arial"/>
        </w:rPr>
        <w:t xml:space="preserve">caso </w:t>
      </w:r>
      <w:r w:rsidR="001D7FF1" w:rsidRPr="007A177A">
        <w:rPr>
          <w:rFonts w:cs="Arial"/>
        </w:rPr>
        <w:t>a partir del 1º de agosto de 1981</w:t>
      </w:r>
      <w:r w:rsidR="00861B80" w:rsidRPr="007A177A">
        <w:rPr>
          <w:rStyle w:val="Refdenotaalpie"/>
          <w:rFonts w:cs="Arial"/>
        </w:rPr>
        <w:footnoteReference w:id="8"/>
      </w:r>
      <w:r w:rsidR="001D7FF1" w:rsidRPr="007A177A">
        <w:rPr>
          <w:rFonts w:cs="Arial"/>
        </w:rPr>
        <w:t>, de conformidad con el Decreto 528 de 19</w:t>
      </w:r>
      <w:r w:rsidR="00CB2B74" w:rsidRPr="007A177A">
        <w:rPr>
          <w:rFonts w:cs="Arial"/>
        </w:rPr>
        <w:t>6</w:t>
      </w:r>
      <w:r w:rsidR="001D7FF1" w:rsidRPr="007A177A">
        <w:rPr>
          <w:rFonts w:cs="Arial"/>
        </w:rPr>
        <w:t>4</w:t>
      </w:r>
      <w:r w:rsidR="00CB2B74" w:rsidRPr="007A177A">
        <w:rPr>
          <w:rStyle w:val="Refdenotaalpie"/>
          <w:rFonts w:cs="Arial"/>
        </w:rPr>
        <w:footnoteReference w:id="9"/>
      </w:r>
      <w:r w:rsidR="001D7FF1" w:rsidRPr="007A177A">
        <w:rPr>
          <w:rFonts w:cs="Arial"/>
        </w:rPr>
        <w:t xml:space="preserve">, vigente para la época </w:t>
      </w:r>
      <w:r w:rsidR="00033A99" w:rsidRPr="007A177A">
        <w:rPr>
          <w:rFonts w:cs="Arial"/>
        </w:rPr>
        <w:t>de celebración y terminación del contrato</w:t>
      </w:r>
      <w:r w:rsidR="00033A99" w:rsidRPr="007A177A">
        <w:rPr>
          <w:rStyle w:val="Refdenotaalpie"/>
          <w:rFonts w:cs="Arial"/>
        </w:rPr>
        <w:footnoteReference w:id="10"/>
      </w:r>
      <w:r w:rsidR="00EF3438" w:rsidRPr="007A177A">
        <w:rPr>
          <w:rFonts w:cs="Arial"/>
        </w:rPr>
        <w:t>.</w:t>
      </w:r>
    </w:p>
    <w:p w14:paraId="7FECA5D1" w14:textId="77777777" w:rsidR="009D0E50" w:rsidRPr="007A177A" w:rsidRDefault="009D0E50" w:rsidP="00BF333B">
      <w:pPr>
        <w:pStyle w:val="Lista4"/>
        <w:ind w:left="0" w:firstLine="0"/>
        <w:rPr>
          <w:rFonts w:cs="Arial"/>
          <w:b/>
          <w:bCs/>
          <w:iCs/>
        </w:rPr>
      </w:pPr>
    </w:p>
    <w:p w14:paraId="34A2392A" w14:textId="77777777" w:rsidR="009D0E50" w:rsidRPr="007A177A" w:rsidRDefault="005C5111" w:rsidP="00BF333B">
      <w:pPr>
        <w:pStyle w:val="Lista2"/>
        <w:ind w:left="0" w:firstLine="0"/>
        <w:rPr>
          <w:rFonts w:cs="Arial"/>
          <w:b/>
        </w:rPr>
      </w:pPr>
      <w:r w:rsidRPr="007A177A">
        <w:rPr>
          <w:rFonts w:cs="Arial"/>
          <w:b/>
        </w:rPr>
        <w:t>4</w:t>
      </w:r>
      <w:r w:rsidR="009D0E50" w:rsidRPr="007A177A">
        <w:rPr>
          <w:rFonts w:cs="Arial"/>
          <w:b/>
        </w:rPr>
        <w:t>.</w:t>
      </w:r>
      <w:r w:rsidR="00F83C47" w:rsidRPr="007A177A">
        <w:rPr>
          <w:rFonts w:cs="Arial"/>
          <w:b/>
        </w:rPr>
        <w:t>2</w:t>
      </w:r>
      <w:r w:rsidR="009D0E50" w:rsidRPr="007A177A">
        <w:rPr>
          <w:rFonts w:cs="Arial"/>
          <w:b/>
        </w:rPr>
        <w:t>. Contestación de la demanda</w:t>
      </w:r>
    </w:p>
    <w:p w14:paraId="4E77CC02" w14:textId="77777777" w:rsidR="009D0E50" w:rsidRPr="007A177A" w:rsidRDefault="009D0E50" w:rsidP="00BF333B">
      <w:pPr>
        <w:spacing w:line="360" w:lineRule="auto"/>
        <w:jc w:val="both"/>
        <w:rPr>
          <w:rFonts w:ascii="Arial" w:hAnsi="Arial" w:cs="Arial"/>
          <w:b/>
          <w:bCs/>
          <w:iCs/>
        </w:rPr>
      </w:pPr>
    </w:p>
    <w:p w14:paraId="64DA5B11" w14:textId="77777777" w:rsidR="00983856" w:rsidRPr="007A177A" w:rsidRDefault="009D0E50" w:rsidP="00BF333B">
      <w:pPr>
        <w:pStyle w:val="Continuarlista2"/>
        <w:spacing w:after="0"/>
        <w:ind w:left="0"/>
        <w:rPr>
          <w:rFonts w:cs="Arial"/>
        </w:rPr>
      </w:pPr>
      <w:r w:rsidRPr="007A177A">
        <w:rPr>
          <w:rFonts w:cs="Arial"/>
        </w:rPr>
        <w:t xml:space="preserve">En la contestación de la demanda, la parte demandada </w:t>
      </w:r>
      <w:r w:rsidR="00ED4A04" w:rsidRPr="007A177A">
        <w:rPr>
          <w:rFonts w:cs="Arial"/>
        </w:rPr>
        <w:t>estuvo de acuerdo con</w:t>
      </w:r>
      <w:r w:rsidR="00E90271" w:rsidRPr="007A177A">
        <w:rPr>
          <w:rFonts w:cs="Arial"/>
        </w:rPr>
        <w:t xml:space="preserve"> algunos de los hechos</w:t>
      </w:r>
      <w:r w:rsidR="002733D6" w:rsidRPr="007A177A">
        <w:rPr>
          <w:rFonts w:cs="Arial"/>
        </w:rPr>
        <w:t>;</w:t>
      </w:r>
      <w:r w:rsidR="0004537F" w:rsidRPr="007A177A">
        <w:rPr>
          <w:rFonts w:cs="Arial"/>
        </w:rPr>
        <w:t xml:space="preserve"> sin embargo</w:t>
      </w:r>
      <w:r w:rsidR="005917A8" w:rsidRPr="007A177A">
        <w:rPr>
          <w:rFonts w:cs="Arial"/>
        </w:rPr>
        <w:t>,</w:t>
      </w:r>
      <w:r w:rsidR="0004537F" w:rsidRPr="007A177A">
        <w:rPr>
          <w:rFonts w:cs="Arial"/>
        </w:rPr>
        <w:t xml:space="preserve"> </w:t>
      </w:r>
      <w:r w:rsidR="00E90271" w:rsidRPr="007A177A">
        <w:rPr>
          <w:rFonts w:cs="Arial"/>
        </w:rPr>
        <w:t xml:space="preserve">observó que </w:t>
      </w:r>
      <w:r w:rsidR="00B73D25" w:rsidRPr="007A177A">
        <w:rPr>
          <w:rFonts w:cs="Arial"/>
        </w:rPr>
        <w:t xml:space="preserve">el </w:t>
      </w:r>
      <w:r w:rsidR="00E90271" w:rsidRPr="007A177A">
        <w:rPr>
          <w:rFonts w:cs="Arial"/>
        </w:rPr>
        <w:t>contratista conoció y aceptó los pliegos de condici</w:t>
      </w:r>
      <w:r w:rsidR="00983856" w:rsidRPr="007A177A">
        <w:rPr>
          <w:rFonts w:cs="Arial"/>
        </w:rPr>
        <w:t>o</w:t>
      </w:r>
      <w:r w:rsidR="00E90271" w:rsidRPr="007A177A">
        <w:rPr>
          <w:rFonts w:cs="Arial"/>
        </w:rPr>
        <w:t>nes</w:t>
      </w:r>
      <w:r w:rsidR="00ED4A04" w:rsidRPr="007A177A">
        <w:rPr>
          <w:rFonts w:cs="Arial"/>
        </w:rPr>
        <w:t>,</w:t>
      </w:r>
      <w:r w:rsidR="00E90271" w:rsidRPr="007A177A">
        <w:rPr>
          <w:rFonts w:cs="Arial"/>
        </w:rPr>
        <w:t xml:space="preserve"> en </w:t>
      </w:r>
      <w:r w:rsidR="00F52637" w:rsidRPr="007A177A">
        <w:rPr>
          <w:rFonts w:cs="Arial"/>
        </w:rPr>
        <w:t xml:space="preserve">los que se </w:t>
      </w:r>
      <w:r w:rsidR="00E90271" w:rsidRPr="007A177A">
        <w:rPr>
          <w:rFonts w:cs="Arial"/>
        </w:rPr>
        <w:t>indicó que lo</w:t>
      </w:r>
      <w:r w:rsidR="00983856" w:rsidRPr="007A177A">
        <w:rPr>
          <w:rFonts w:cs="Arial"/>
        </w:rPr>
        <w:t>s</w:t>
      </w:r>
      <w:r w:rsidR="00E90271" w:rsidRPr="007A177A">
        <w:rPr>
          <w:rFonts w:cs="Arial"/>
        </w:rPr>
        <w:t xml:space="preserve"> pagos estaría</w:t>
      </w:r>
      <w:r w:rsidR="00983856" w:rsidRPr="007A177A">
        <w:rPr>
          <w:rFonts w:cs="Arial"/>
        </w:rPr>
        <w:t>n</w:t>
      </w:r>
      <w:r w:rsidR="00E90271" w:rsidRPr="007A177A">
        <w:rPr>
          <w:rFonts w:cs="Arial"/>
        </w:rPr>
        <w:t xml:space="preserve"> sujetos a la</w:t>
      </w:r>
      <w:r w:rsidR="00983856" w:rsidRPr="007A177A">
        <w:rPr>
          <w:rFonts w:cs="Arial"/>
        </w:rPr>
        <w:t>s apropiaciones presupuestales</w:t>
      </w:r>
      <w:r w:rsidR="0046431E" w:rsidRPr="007A177A">
        <w:rPr>
          <w:rFonts w:cs="Arial"/>
        </w:rPr>
        <w:t>.</w:t>
      </w:r>
      <w:r w:rsidR="00983856" w:rsidRPr="007A177A">
        <w:rPr>
          <w:rFonts w:cs="Arial"/>
        </w:rPr>
        <w:t xml:space="preserve"> </w:t>
      </w:r>
    </w:p>
    <w:p w14:paraId="27E47C0F" w14:textId="77777777" w:rsidR="00983856" w:rsidRPr="007A177A" w:rsidRDefault="00983856" w:rsidP="00BF333B">
      <w:pPr>
        <w:pStyle w:val="Continuarlista2"/>
        <w:spacing w:after="0"/>
        <w:ind w:left="0"/>
        <w:rPr>
          <w:rFonts w:cs="Arial"/>
        </w:rPr>
      </w:pPr>
    </w:p>
    <w:p w14:paraId="03781FF9" w14:textId="77777777" w:rsidR="008C7335" w:rsidRPr="007A177A" w:rsidRDefault="00983856" w:rsidP="00BF333B">
      <w:pPr>
        <w:pStyle w:val="Continuarlista2"/>
        <w:spacing w:after="0"/>
        <w:ind w:left="0"/>
        <w:rPr>
          <w:rFonts w:cs="Arial"/>
        </w:rPr>
      </w:pPr>
      <w:r w:rsidRPr="007A177A">
        <w:rPr>
          <w:rFonts w:cs="Arial"/>
        </w:rPr>
        <w:t>En</w:t>
      </w:r>
      <w:r w:rsidR="002733D6" w:rsidRPr="007A177A">
        <w:rPr>
          <w:rFonts w:cs="Arial"/>
        </w:rPr>
        <w:t>tre</w:t>
      </w:r>
      <w:r w:rsidRPr="007A177A">
        <w:rPr>
          <w:rFonts w:cs="Arial"/>
        </w:rPr>
        <w:t xml:space="preserve"> las razones de la defensa adujo que no estaba demostrad</w:t>
      </w:r>
      <w:r w:rsidR="00580E4A" w:rsidRPr="007A177A">
        <w:rPr>
          <w:rFonts w:cs="Arial"/>
        </w:rPr>
        <w:t>a</w:t>
      </w:r>
      <w:r w:rsidRPr="007A177A">
        <w:rPr>
          <w:rFonts w:cs="Arial"/>
        </w:rPr>
        <w:t xml:space="preserve"> la cantidad de equipo</w:t>
      </w:r>
      <w:r w:rsidR="009B014C" w:rsidRPr="007A177A">
        <w:rPr>
          <w:rFonts w:cs="Arial"/>
        </w:rPr>
        <w:t>s</w:t>
      </w:r>
      <w:r w:rsidRPr="007A177A">
        <w:rPr>
          <w:rFonts w:cs="Arial"/>
        </w:rPr>
        <w:t xml:space="preserve"> que </w:t>
      </w:r>
      <w:r w:rsidR="00503F01" w:rsidRPr="007A177A">
        <w:rPr>
          <w:rFonts w:cs="Arial"/>
        </w:rPr>
        <w:t xml:space="preserve">utilizó el </w:t>
      </w:r>
      <w:r w:rsidRPr="007A177A">
        <w:rPr>
          <w:rFonts w:cs="Arial"/>
        </w:rPr>
        <w:t>contratista</w:t>
      </w:r>
      <w:r w:rsidR="00D263DF" w:rsidRPr="007A177A">
        <w:rPr>
          <w:rFonts w:cs="Arial"/>
        </w:rPr>
        <w:t xml:space="preserve"> y a</w:t>
      </w:r>
      <w:r w:rsidR="00252F13" w:rsidRPr="007A177A">
        <w:rPr>
          <w:rFonts w:cs="Arial"/>
        </w:rPr>
        <w:t xml:space="preserve">gregó que el equipo especializado que relacionó </w:t>
      </w:r>
      <w:r w:rsidR="00137B87" w:rsidRPr="007A177A">
        <w:rPr>
          <w:rFonts w:cs="Arial"/>
        </w:rPr>
        <w:lastRenderedPageBreak/>
        <w:t>la</w:t>
      </w:r>
      <w:r w:rsidR="00252F13" w:rsidRPr="007A177A">
        <w:rPr>
          <w:rFonts w:cs="Arial"/>
        </w:rPr>
        <w:t xml:space="preserve"> demandante no era requerido</w:t>
      </w:r>
      <w:r w:rsidR="002733D6" w:rsidRPr="007A177A">
        <w:rPr>
          <w:rFonts w:cs="Arial"/>
        </w:rPr>
        <w:t>,</w:t>
      </w:r>
      <w:r w:rsidR="00252F13" w:rsidRPr="007A177A">
        <w:rPr>
          <w:rFonts w:cs="Arial"/>
        </w:rPr>
        <w:t xml:space="preserve"> </w:t>
      </w:r>
      <w:r w:rsidR="001C3848" w:rsidRPr="007A177A">
        <w:rPr>
          <w:rFonts w:cs="Arial"/>
        </w:rPr>
        <w:t xml:space="preserve">dado </w:t>
      </w:r>
      <w:r w:rsidR="00234924" w:rsidRPr="007A177A">
        <w:rPr>
          <w:rFonts w:cs="Arial"/>
        </w:rPr>
        <w:t xml:space="preserve">que </w:t>
      </w:r>
      <w:r w:rsidR="001C3848" w:rsidRPr="007A177A">
        <w:rPr>
          <w:rFonts w:cs="Arial"/>
        </w:rPr>
        <w:t>el</w:t>
      </w:r>
      <w:r w:rsidR="00E061EA" w:rsidRPr="007A177A">
        <w:rPr>
          <w:rFonts w:cs="Arial"/>
        </w:rPr>
        <w:t xml:space="preserve"> </w:t>
      </w:r>
      <w:r w:rsidR="00252F13" w:rsidRPr="007A177A">
        <w:rPr>
          <w:rFonts w:cs="Arial"/>
        </w:rPr>
        <w:t>cambio de fuentes de materiales</w:t>
      </w:r>
      <w:r w:rsidR="00234924" w:rsidRPr="007A177A">
        <w:rPr>
          <w:rFonts w:cs="Arial"/>
        </w:rPr>
        <w:t xml:space="preserve"> estaba previsto en los pliegos de condiciones</w:t>
      </w:r>
      <w:r w:rsidR="00252F13" w:rsidRPr="007A177A">
        <w:rPr>
          <w:rFonts w:cs="Arial"/>
        </w:rPr>
        <w:t xml:space="preserve">. </w:t>
      </w:r>
      <w:r w:rsidR="00455DF0" w:rsidRPr="007A177A">
        <w:rPr>
          <w:rFonts w:cs="Arial"/>
        </w:rPr>
        <w:t xml:space="preserve"> </w:t>
      </w:r>
    </w:p>
    <w:p w14:paraId="326F42BD" w14:textId="77777777" w:rsidR="00503F01" w:rsidRPr="007A177A" w:rsidRDefault="00503F01" w:rsidP="00BF333B">
      <w:pPr>
        <w:pStyle w:val="Continuarlista2"/>
        <w:spacing w:after="0"/>
        <w:ind w:left="0"/>
        <w:rPr>
          <w:rFonts w:cs="Arial"/>
        </w:rPr>
      </w:pPr>
    </w:p>
    <w:p w14:paraId="716017BC" w14:textId="77777777" w:rsidR="002733D6" w:rsidRPr="007A177A" w:rsidRDefault="00455DF0" w:rsidP="00BF333B">
      <w:pPr>
        <w:pStyle w:val="Continuarlista2"/>
        <w:spacing w:after="0"/>
        <w:ind w:left="0"/>
        <w:rPr>
          <w:rFonts w:cs="Arial"/>
        </w:rPr>
      </w:pPr>
      <w:r w:rsidRPr="007A177A">
        <w:rPr>
          <w:rFonts w:cs="Arial"/>
        </w:rPr>
        <w:t xml:space="preserve">De la misma forma, consideró que la correspondencia relacionada con las supuestas </w:t>
      </w:r>
      <w:r w:rsidR="004E5B3A" w:rsidRPr="007A177A">
        <w:rPr>
          <w:rFonts w:cs="Arial"/>
        </w:rPr>
        <w:t xml:space="preserve">actividades y </w:t>
      </w:r>
      <w:r w:rsidRPr="007A177A">
        <w:rPr>
          <w:rFonts w:cs="Arial"/>
        </w:rPr>
        <w:t xml:space="preserve">obras adicionales no </w:t>
      </w:r>
      <w:r w:rsidR="00580E4A" w:rsidRPr="007A177A">
        <w:rPr>
          <w:rFonts w:cs="Arial"/>
        </w:rPr>
        <w:t xml:space="preserve">constituyó </w:t>
      </w:r>
      <w:r w:rsidRPr="007A177A">
        <w:rPr>
          <w:rFonts w:cs="Arial"/>
        </w:rPr>
        <w:t>prueba de</w:t>
      </w:r>
      <w:r w:rsidR="004E5B3A" w:rsidRPr="007A177A">
        <w:rPr>
          <w:rFonts w:cs="Arial"/>
        </w:rPr>
        <w:t>l mayor valor</w:t>
      </w:r>
      <w:r w:rsidR="002733D6" w:rsidRPr="007A177A">
        <w:rPr>
          <w:rFonts w:cs="Arial"/>
        </w:rPr>
        <w:t>.</w:t>
      </w:r>
      <w:r w:rsidR="002733D6" w:rsidRPr="007A177A" w:rsidDel="002733D6">
        <w:rPr>
          <w:rFonts w:cs="Arial"/>
        </w:rPr>
        <w:t xml:space="preserve"> </w:t>
      </w:r>
    </w:p>
    <w:p w14:paraId="0E7B87A7" w14:textId="77777777" w:rsidR="00137B87" w:rsidRPr="007A177A" w:rsidRDefault="00137B87" w:rsidP="00BF333B">
      <w:pPr>
        <w:pStyle w:val="Continuarlista2"/>
        <w:spacing w:after="0"/>
        <w:ind w:left="0"/>
        <w:rPr>
          <w:rFonts w:cs="Arial"/>
        </w:rPr>
      </w:pPr>
    </w:p>
    <w:p w14:paraId="340FCAFD" w14:textId="77777777" w:rsidR="00760353" w:rsidRPr="007A177A" w:rsidRDefault="00137B87" w:rsidP="00BF333B">
      <w:pPr>
        <w:pStyle w:val="Continuarlista2"/>
        <w:spacing w:after="0"/>
        <w:ind w:left="0"/>
        <w:rPr>
          <w:rFonts w:cs="Arial"/>
        </w:rPr>
      </w:pPr>
      <w:r w:rsidRPr="007A177A">
        <w:rPr>
          <w:rFonts w:cs="Arial"/>
        </w:rPr>
        <w:t xml:space="preserve">Allegó </w:t>
      </w:r>
      <w:r w:rsidR="00E061EA" w:rsidRPr="007A177A">
        <w:rPr>
          <w:rFonts w:cs="Arial"/>
        </w:rPr>
        <w:t xml:space="preserve">varios documentos de importancia, a saber: </w:t>
      </w:r>
      <w:r w:rsidR="00455DF0" w:rsidRPr="007A177A">
        <w:rPr>
          <w:rFonts w:cs="Arial"/>
        </w:rPr>
        <w:t>el acta de recibo de obra</w:t>
      </w:r>
      <w:r w:rsidR="005540C0" w:rsidRPr="007A177A">
        <w:rPr>
          <w:rFonts w:cs="Arial"/>
        </w:rPr>
        <w:t xml:space="preserve"> y</w:t>
      </w:r>
      <w:r w:rsidR="009E7F97" w:rsidRPr="007A177A">
        <w:rPr>
          <w:rFonts w:cs="Arial"/>
        </w:rPr>
        <w:t xml:space="preserve"> el acta final de obra </w:t>
      </w:r>
      <w:r w:rsidR="008A7D79" w:rsidRPr="007A177A">
        <w:rPr>
          <w:rFonts w:cs="Arial"/>
        </w:rPr>
        <w:t xml:space="preserve">de </w:t>
      </w:r>
      <w:r w:rsidR="00580E4A" w:rsidRPr="007A177A">
        <w:rPr>
          <w:rFonts w:cs="Arial"/>
        </w:rPr>
        <w:t xml:space="preserve">septiembre de </w:t>
      </w:r>
      <w:r w:rsidR="008A7D79" w:rsidRPr="007A177A">
        <w:rPr>
          <w:rFonts w:cs="Arial"/>
        </w:rPr>
        <w:t>1982</w:t>
      </w:r>
      <w:r w:rsidR="00580E4A" w:rsidRPr="007A177A">
        <w:rPr>
          <w:rStyle w:val="Refdenotaalpie"/>
          <w:rFonts w:cs="Arial"/>
        </w:rPr>
        <w:footnoteReference w:id="11"/>
      </w:r>
      <w:r w:rsidR="006736CE" w:rsidRPr="007A177A">
        <w:rPr>
          <w:rFonts w:cs="Arial"/>
        </w:rPr>
        <w:t>,</w:t>
      </w:r>
      <w:r w:rsidR="008A7D79" w:rsidRPr="007A177A">
        <w:rPr>
          <w:rFonts w:cs="Arial"/>
        </w:rPr>
        <w:t xml:space="preserve"> </w:t>
      </w:r>
      <w:r w:rsidR="00E93512" w:rsidRPr="007A177A">
        <w:rPr>
          <w:rFonts w:cs="Arial"/>
        </w:rPr>
        <w:t>suscrita</w:t>
      </w:r>
      <w:r w:rsidR="00E061EA" w:rsidRPr="007A177A">
        <w:rPr>
          <w:rFonts w:cs="Arial"/>
        </w:rPr>
        <w:t>s</w:t>
      </w:r>
      <w:r w:rsidR="00E93512" w:rsidRPr="007A177A">
        <w:rPr>
          <w:rFonts w:cs="Arial"/>
        </w:rPr>
        <w:t xml:space="preserve"> por parte de los ingenieros del distrito de obra, el supervisor y el interventor</w:t>
      </w:r>
      <w:r w:rsidR="006736CE" w:rsidRPr="007A177A">
        <w:rPr>
          <w:rFonts w:cs="Arial"/>
        </w:rPr>
        <w:t>,</w:t>
      </w:r>
      <w:r w:rsidR="00E93512" w:rsidRPr="007A177A">
        <w:rPr>
          <w:rFonts w:cs="Arial"/>
        </w:rPr>
        <w:t xml:space="preserve"> </w:t>
      </w:r>
      <w:r w:rsidR="00E061EA" w:rsidRPr="007A177A">
        <w:rPr>
          <w:rFonts w:cs="Arial"/>
        </w:rPr>
        <w:t xml:space="preserve">esta última </w:t>
      </w:r>
      <w:r w:rsidR="009E7F97" w:rsidRPr="007A177A">
        <w:rPr>
          <w:rFonts w:cs="Arial"/>
        </w:rPr>
        <w:t>contentiva de</w:t>
      </w:r>
      <w:r w:rsidR="00E061EA" w:rsidRPr="007A177A">
        <w:rPr>
          <w:rFonts w:cs="Arial"/>
        </w:rPr>
        <w:t>l detalle de</w:t>
      </w:r>
      <w:r w:rsidR="009E7F97" w:rsidRPr="007A177A">
        <w:rPr>
          <w:rFonts w:cs="Arial"/>
        </w:rPr>
        <w:t xml:space="preserve"> las cantidades finales ejecutadas</w:t>
      </w:r>
      <w:r w:rsidR="00932830" w:rsidRPr="007A177A">
        <w:rPr>
          <w:rStyle w:val="Refdenotaalpie"/>
          <w:rFonts w:cs="Arial"/>
        </w:rPr>
        <w:footnoteReference w:id="12"/>
      </w:r>
      <w:r w:rsidR="009E7F97" w:rsidRPr="007A177A">
        <w:rPr>
          <w:rFonts w:cs="Arial"/>
        </w:rPr>
        <w:t xml:space="preserve"> </w:t>
      </w:r>
      <w:r w:rsidR="008A7D79" w:rsidRPr="007A177A">
        <w:rPr>
          <w:rFonts w:cs="Arial"/>
        </w:rPr>
        <w:t>y el acta de liquidación de</w:t>
      </w:r>
      <w:r w:rsidR="005540C0" w:rsidRPr="007A177A">
        <w:rPr>
          <w:rFonts w:cs="Arial"/>
        </w:rPr>
        <w:t xml:space="preserve"> cuentas </w:t>
      </w:r>
      <w:r w:rsidR="008A7D79" w:rsidRPr="007A177A">
        <w:rPr>
          <w:rFonts w:cs="Arial"/>
        </w:rPr>
        <w:t xml:space="preserve">de </w:t>
      </w:r>
      <w:r w:rsidR="00455DF0" w:rsidRPr="007A177A">
        <w:rPr>
          <w:rFonts w:cs="Arial"/>
        </w:rPr>
        <w:t>9 de marzo de 1983</w:t>
      </w:r>
      <w:r w:rsidR="001C3848" w:rsidRPr="007A177A">
        <w:rPr>
          <w:rFonts w:cs="Arial"/>
        </w:rPr>
        <w:t>,</w:t>
      </w:r>
      <w:r w:rsidR="00E93512" w:rsidRPr="007A177A">
        <w:rPr>
          <w:rFonts w:cs="Arial"/>
        </w:rPr>
        <w:t xml:space="preserve"> con la certificación suscrita por los jefes de presupuesto y contabilidad</w:t>
      </w:r>
      <w:r w:rsidR="009E7F97" w:rsidRPr="007A177A">
        <w:rPr>
          <w:rFonts w:cs="Arial"/>
        </w:rPr>
        <w:t xml:space="preserve"> del Ministerio de Obras Públicas y Transporte</w:t>
      </w:r>
      <w:r w:rsidR="002733D6" w:rsidRPr="007A177A">
        <w:rPr>
          <w:rFonts w:cs="Arial"/>
        </w:rPr>
        <w:t>,</w:t>
      </w:r>
      <w:r w:rsidR="009E7F97" w:rsidRPr="007A177A">
        <w:rPr>
          <w:rFonts w:cs="Arial"/>
        </w:rPr>
        <w:t xml:space="preserve"> en la </w:t>
      </w:r>
      <w:r w:rsidR="00E93512" w:rsidRPr="007A177A">
        <w:rPr>
          <w:rFonts w:cs="Arial"/>
        </w:rPr>
        <w:t xml:space="preserve">cual se detallaron las partidas correspondientes a los pagos </w:t>
      </w:r>
      <w:r w:rsidR="00580E4A" w:rsidRPr="007A177A">
        <w:rPr>
          <w:rFonts w:cs="Arial"/>
        </w:rPr>
        <w:t xml:space="preserve">realizados </w:t>
      </w:r>
      <w:r w:rsidR="00E061EA" w:rsidRPr="007A177A">
        <w:rPr>
          <w:rFonts w:cs="Arial"/>
        </w:rPr>
        <w:t>por cada acta</w:t>
      </w:r>
      <w:r w:rsidR="000D12CA" w:rsidRPr="007A177A">
        <w:rPr>
          <w:rFonts w:cs="Arial"/>
        </w:rPr>
        <w:t xml:space="preserve">, el saldo final </w:t>
      </w:r>
      <w:r w:rsidR="006736CE" w:rsidRPr="007A177A">
        <w:rPr>
          <w:rFonts w:cs="Arial"/>
        </w:rPr>
        <w:t xml:space="preserve">ejecutado y pagado </w:t>
      </w:r>
      <w:r w:rsidR="000D12CA" w:rsidRPr="007A177A">
        <w:rPr>
          <w:rFonts w:cs="Arial"/>
        </w:rPr>
        <w:t xml:space="preserve">a favor de las contratistas </w:t>
      </w:r>
      <w:r w:rsidR="00E93512" w:rsidRPr="007A177A">
        <w:rPr>
          <w:rFonts w:cs="Arial"/>
        </w:rPr>
        <w:t xml:space="preserve">y el valor adeudado por </w:t>
      </w:r>
      <w:r w:rsidR="000D12CA" w:rsidRPr="007A177A">
        <w:rPr>
          <w:rFonts w:cs="Arial"/>
        </w:rPr>
        <w:t>e</w:t>
      </w:r>
      <w:r w:rsidR="00E717BE" w:rsidRPr="007A177A">
        <w:rPr>
          <w:rFonts w:cs="Arial"/>
        </w:rPr>
        <w:t xml:space="preserve">stas </w:t>
      </w:r>
      <w:r w:rsidR="000D12CA" w:rsidRPr="007A177A">
        <w:rPr>
          <w:rFonts w:cs="Arial"/>
        </w:rPr>
        <w:t xml:space="preserve">por </w:t>
      </w:r>
      <w:r w:rsidR="00E93512" w:rsidRPr="007A177A">
        <w:rPr>
          <w:rFonts w:cs="Arial"/>
        </w:rPr>
        <w:t>concepto de anticipo</w:t>
      </w:r>
      <w:r w:rsidR="00E93512" w:rsidRPr="007A177A">
        <w:rPr>
          <w:rStyle w:val="Refdenotaalpie"/>
          <w:rFonts w:cs="Arial"/>
        </w:rPr>
        <w:footnoteReference w:id="13"/>
      </w:r>
      <w:r w:rsidR="00346FC5" w:rsidRPr="007A177A">
        <w:rPr>
          <w:rFonts w:cs="Arial"/>
        </w:rPr>
        <w:t>.</w:t>
      </w:r>
      <w:r w:rsidR="00746694" w:rsidRPr="007A177A">
        <w:rPr>
          <w:rFonts w:cs="Arial"/>
        </w:rPr>
        <w:t xml:space="preserve"> </w:t>
      </w:r>
      <w:r w:rsidR="009E7F97" w:rsidRPr="007A177A">
        <w:rPr>
          <w:rFonts w:cs="Arial"/>
        </w:rPr>
        <w:t xml:space="preserve">Indicó </w:t>
      </w:r>
      <w:r w:rsidR="00E717BE" w:rsidRPr="007A177A">
        <w:rPr>
          <w:rFonts w:cs="Arial"/>
        </w:rPr>
        <w:t xml:space="preserve">que en </w:t>
      </w:r>
      <w:r w:rsidR="00E061EA" w:rsidRPr="007A177A">
        <w:rPr>
          <w:rFonts w:cs="Arial"/>
        </w:rPr>
        <w:t xml:space="preserve">dichas </w:t>
      </w:r>
      <w:r w:rsidR="000D12CA" w:rsidRPr="007A177A">
        <w:rPr>
          <w:rFonts w:cs="Arial"/>
        </w:rPr>
        <w:t xml:space="preserve">actas </w:t>
      </w:r>
      <w:r w:rsidR="00E717BE" w:rsidRPr="007A177A">
        <w:rPr>
          <w:rFonts w:cs="Arial"/>
        </w:rPr>
        <w:t xml:space="preserve">faltaba </w:t>
      </w:r>
      <w:r w:rsidR="00EB244C" w:rsidRPr="007A177A">
        <w:rPr>
          <w:rFonts w:cs="Arial"/>
        </w:rPr>
        <w:t>la firma de</w:t>
      </w:r>
      <w:r w:rsidR="004E5B3A" w:rsidRPr="007A177A">
        <w:rPr>
          <w:rFonts w:cs="Arial"/>
        </w:rPr>
        <w:t xml:space="preserve"> l</w:t>
      </w:r>
      <w:r w:rsidR="00746694" w:rsidRPr="007A177A">
        <w:rPr>
          <w:rFonts w:cs="Arial"/>
        </w:rPr>
        <w:t>a</w:t>
      </w:r>
      <w:r w:rsidR="004E5B3A" w:rsidRPr="007A177A">
        <w:rPr>
          <w:rFonts w:cs="Arial"/>
        </w:rPr>
        <w:t xml:space="preserve">s </w:t>
      </w:r>
      <w:r w:rsidR="00EB244C" w:rsidRPr="007A177A">
        <w:rPr>
          <w:rFonts w:cs="Arial"/>
        </w:rPr>
        <w:t>contratista</w:t>
      </w:r>
      <w:r w:rsidR="004E5B3A" w:rsidRPr="007A177A">
        <w:rPr>
          <w:rFonts w:cs="Arial"/>
        </w:rPr>
        <w:t>s</w:t>
      </w:r>
      <w:r w:rsidR="00760353" w:rsidRPr="007A177A">
        <w:rPr>
          <w:rFonts w:cs="Arial"/>
        </w:rPr>
        <w:t xml:space="preserve">, </w:t>
      </w:r>
      <w:r w:rsidR="009E7F97" w:rsidRPr="007A177A">
        <w:rPr>
          <w:rFonts w:cs="Arial"/>
        </w:rPr>
        <w:t xml:space="preserve">por cuanto </w:t>
      </w:r>
      <w:r w:rsidR="00760353" w:rsidRPr="007A177A">
        <w:rPr>
          <w:rFonts w:cs="Arial"/>
        </w:rPr>
        <w:t>no acudieron a suscribirla</w:t>
      </w:r>
      <w:r w:rsidR="003B1B2E" w:rsidRPr="007A177A">
        <w:rPr>
          <w:rFonts w:cs="Arial"/>
        </w:rPr>
        <w:t>s</w:t>
      </w:r>
      <w:r w:rsidR="00760353" w:rsidRPr="007A177A">
        <w:rPr>
          <w:rFonts w:cs="Arial"/>
        </w:rPr>
        <w:t>.</w:t>
      </w:r>
    </w:p>
    <w:p w14:paraId="2DA7C3B0" w14:textId="77777777" w:rsidR="00760353" w:rsidRPr="007A177A" w:rsidRDefault="00760353" w:rsidP="00BF333B">
      <w:pPr>
        <w:pStyle w:val="Continuarlista2"/>
        <w:spacing w:after="0"/>
        <w:ind w:left="0"/>
        <w:rPr>
          <w:rFonts w:cs="Arial"/>
        </w:rPr>
      </w:pPr>
    </w:p>
    <w:p w14:paraId="180B06F7" w14:textId="77777777" w:rsidR="00681CC2" w:rsidRPr="007A177A" w:rsidRDefault="004E5B3A" w:rsidP="00BF333B">
      <w:pPr>
        <w:pStyle w:val="Continuarlista2"/>
        <w:spacing w:after="0"/>
        <w:ind w:left="0"/>
        <w:rPr>
          <w:rFonts w:cs="Arial"/>
        </w:rPr>
      </w:pPr>
      <w:proofErr w:type="spellStart"/>
      <w:r w:rsidRPr="007A177A">
        <w:rPr>
          <w:rFonts w:cs="Arial"/>
        </w:rPr>
        <w:t>Invías</w:t>
      </w:r>
      <w:proofErr w:type="spellEnd"/>
      <w:r w:rsidRPr="007A177A">
        <w:rPr>
          <w:rFonts w:cs="Arial"/>
        </w:rPr>
        <w:t xml:space="preserve"> afirmó que</w:t>
      </w:r>
      <w:r w:rsidR="00746694" w:rsidRPr="007A177A">
        <w:rPr>
          <w:rFonts w:cs="Arial"/>
        </w:rPr>
        <w:t>,</w:t>
      </w:r>
      <w:r w:rsidRPr="007A177A">
        <w:rPr>
          <w:rFonts w:cs="Arial"/>
        </w:rPr>
        <w:t xml:space="preserve"> </w:t>
      </w:r>
      <w:r w:rsidR="003C76F3" w:rsidRPr="007A177A">
        <w:rPr>
          <w:rFonts w:cs="Arial"/>
        </w:rPr>
        <w:t xml:space="preserve">según los archivos, el Fondo </w:t>
      </w:r>
      <w:r w:rsidR="00225FED" w:rsidRPr="007A177A">
        <w:rPr>
          <w:rFonts w:cs="Arial"/>
        </w:rPr>
        <w:t xml:space="preserve">Vial Nacional </w:t>
      </w:r>
      <w:r w:rsidR="003C76F3" w:rsidRPr="007A177A">
        <w:rPr>
          <w:rFonts w:cs="Arial"/>
        </w:rPr>
        <w:t>s</w:t>
      </w:r>
      <w:r w:rsidR="001C3848" w:rsidRPr="007A177A">
        <w:rPr>
          <w:rFonts w:cs="Arial"/>
        </w:rPr>
        <w:t>í</w:t>
      </w:r>
      <w:r w:rsidR="003C76F3" w:rsidRPr="007A177A">
        <w:rPr>
          <w:rFonts w:cs="Arial"/>
        </w:rPr>
        <w:t xml:space="preserve"> trató de liquidar el contrato</w:t>
      </w:r>
      <w:r w:rsidR="008A7D79" w:rsidRPr="007A177A">
        <w:rPr>
          <w:rFonts w:cs="Arial"/>
        </w:rPr>
        <w:t xml:space="preserve"> con la anuencia de</w:t>
      </w:r>
      <w:r w:rsidR="009E7F97" w:rsidRPr="007A177A">
        <w:rPr>
          <w:rFonts w:cs="Arial"/>
        </w:rPr>
        <w:t xml:space="preserve"> las</w:t>
      </w:r>
      <w:r w:rsidR="008A7D79" w:rsidRPr="007A177A">
        <w:rPr>
          <w:rFonts w:cs="Arial"/>
        </w:rPr>
        <w:t xml:space="preserve"> contratista</w:t>
      </w:r>
      <w:r w:rsidR="009E7F97" w:rsidRPr="007A177A">
        <w:rPr>
          <w:rFonts w:cs="Arial"/>
        </w:rPr>
        <w:t>s</w:t>
      </w:r>
      <w:r w:rsidR="003B1B2E" w:rsidRPr="007A177A">
        <w:rPr>
          <w:rFonts w:cs="Arial"/>
        </w:rPr>
        <w:t xml:space="preserve">; </w:t>
      </w:r>
      <w:r w:rsidR="00746694" w:rsidRPr="007A177A">
        <w:rPr>
          <w:rFonts w:cs="Arial"/>
        </w:rPr>
        <w:t xml:space="preserve">observó </w:t>
      </w:r>
      <w:r w:rsidR="00760353" w:rsidRPr="007A177A">
        <w:rPr>
          <w:rFonts w:cs="Arial"/>
        </w:rPr>
        <w:t xml:space="preserve">que </w:t>
      </w:r>
      <w:r w:rsidR="00225FED" w:rsidRPr="007A177A">
        <w:rPr>
          <w:rFonts w:cs="Arial"/>
        </w:rPr>
        <w:t xml:space="preserve">en su momento </w:t>
      </w:r>
      <w:r w:rsidR="003B1B2E" w:rsidRPr="007A177A">
        <w:rPr>
          <w:rFonts w:cs="Arial"/>
        </w:rPr>
        <w:t xml:space="preserve">se </w:t>
      </w:r>
      <w:r w:rsidR="003C76F3" w:rsidRPr="007A177A">
        <w:rPr>
          <w:rFonts w:cs="Arial"/>
        </w:rPr>
        <w:t>realiz</w:t>
      </w:r>
      <w:r w:rsidR="00760353" w:rsidRPr="007A177A">
        <w:rPr>
          <w:rFonts w:cs="Arial"/>
        </w:rPr>
        <w:t>aron</w:t>
      </w:r>
      <w:r w:rsidR="00E717BE" w:rsidRPr="007A177A">
        <w:rPr>
          <w:rFonts w:cs="Arial"/>
        </w:rPr>
        <w:t xml:space="preserve"> reuniones y</w:t>
      </w:r>
      <w:r w:rsidR="00760353" w:rsidRPr="007A177A">
        <w:rPr>
          <w:rFonts w:cs="Arial"/>
        </w:rPr>
        <w:t xml:space="preserve"> </w:t>
      </w:r>
      <w:r w:rsidR="003C76F3" w:rsidRPr="007A177A">
        <w:rPr>
          <w:rFonts w:cs="Arial"/>
        </w:rPr>
        <w:t xml:space="preserve">los estudios geológicos </w:t>
      </w:r>
      <w:r w:rsidR="00225FED" w:rsidRPr="007A177A">
        <w:rPr>
          <w:rFonts w:cs="Arial"/>
        </w:rPr>
        <w:t xml:space="preserve">para </w:t>
      </w:r>
      <w:r w:rsidR="0004537F" w:rsidRPr="007A177A">
        <w:rPr>
          <w:rFonts w:cs="Arial"/>
        </w:rPr>
        <w:t xml:space="preserve">la </w:t>
      </w:r>
      <w:r w:rsidR="00E061EA" w:rsidRPr="007A177A">
        <w:rPr>
          <w:rFonts w:cs="Arial"/>
        </w:rPr>
        <w:t xml:space="preserve">posible </w:t>
      </w:r>
      <w:r w:rsidR="00225FED" w:rsidRPr="007A177A">
        <w:rPr>
          <w:rFonts w:cs="Arial"/>
        </w:rPr>
        <w:t>reclasificación de materiales</w:t>
      </w:r>
      <w:r w:rsidR="0004537F" w:rsidRPr="007A177A">
        <w:rPr>
          <w:rFonts w:cs="Arial"/>
        </w:rPr>
        <w:t xml:space="preserve"> solicitada </w:t>
      </w:r>
      <w:r w:rsidR="006736CE" w:rsidRPr="007A177A">
        <w:rPr>
          <w:rFonts w:cs="Arial"/>
        </w:rPr>
        <w:t>por el representante de las contratistas</w:t>
      </w:r>
      <w:r w:rsidR="001C3848" w:rsidRPr="007A177A">
        <w:rPr>
          <w:rFonts w:cs="Arial"/>
        </w:rPr>
        <w:t>,</w:t>
      </w:r>
      <w:r w:rsidR="006736CE" w:rsidRPr="007A177A">
        <w:rPr>
          <w:rFonts w:cs="Arial"/>
        </w:rPr>
        <w:t xml:space="preserve"> </w:t>
      </w:r>
      <w:r w:rsidR="003C76F3" w:rsidRPr="007A177A">
        <w:rPr>
          <w:rFonts w:cs="Arial"/>
        </w:rPr>
        <w:t xml:space="preserve">pero </w:t>
      </w:r>
      <w:r w:rsidR="009E7F97" w:rsidRPr="007A177A">
        <w:rPr>
          <w:rFonts w:cs="Arial"/>
        </w:rPr>
        <w:t xml:space="preserve">que </w:t>
      </w:r>
      <w:r w:rsidR="00760353" w:rsidRPr="007A177A">
        <w:rPr>
          <w:rFonts w:cs="Arial"/>
        </w:rPr>
        <w:t>no se llegó a un acuerdo</w:t>
      </w:r>
      <w:r w:rsidR="000D12CA" w:rsidRPr="007A177A">
        <w:rPr>
          <w:rFonts w:cs="Arial"/>
        </w:rPr>
        <w:t xml:space="preserve"> </w:t>
      </w:r>
      <w:r w:rsidR="0004537F" w:rsidRPr="007A177A">
        <w:rPr>
          <w:rFonts w:cs="Arial"/>
        </w:rPr>
        <w:t>sobre ell</w:t>
      </w:r>
      <w:r w:rsidR="009E7F97" w:rsidRPr="007A177A">
        <w:rPr>
          <w:rFonts w:cs="Arial"/>
        </w:rPr>
        <w:t>o</w:t>
      </w:r>
      <w:r w:rsidR="003B1B2E" w:rsidRPr="007A177A">
        <w:rPr>
          <w:rFonts w:cs="Arial"/>
        </w:rPr>
        <w:t>,</w:t>
      </w:r>
      <w:r w:rsidR="00760353" w:rsidRPr="007A177A">
        <w:rPr>
          <w:rFonts w:cs="Arial"/>
        </w:rPr>
        <w:t xml:space="preserve"> </w:t>
      </w:r>
      <w:r w:rsidR="00746694" w:rsidRPr="007A177A">
        <w:rPr>
          <w:rFonts w:cs="Arial"/>
        </w:rPr>
        <w:t>lo cual explic</w:t>
      </w:r>
      <w:r w:rsidR="0004537F" w:rsidRPr="007A177A">
        <w:rPr>
          <w:rFonts w:cs="Arial"/>
        </w:rPr>
        <w:t>ó</w:t>
      </w:r>
      <w:r w:rsidR="00746694" w:rsidRPr="007A177A">
        <w:rPr>
          <w:rFonts w:cs="Arial"/>
        </w:rPr>
        <w:t xml:space="preserve"> que la</w:t>
      </w:r>
      <w:r w:rsidR="006736CE" w:rsidRPr="007A177A">
        <w:rPr>
          <w:rFonts w:cs="Arial"/>
        </w:rPr>
        <w:t xml:space="preserve"> parte </w:t>
      </w:r>
      <w:r w:rsidR="00746694" w:rsidRPr="007A177A">
        <w:rPr>
          <w:rFonts w:cs="Arial"/>
        </w:rPr>
        <w:t xml:space="preserve">contratista no hubiera suscrito </w:t>
      </w:r>
      <w:r w:rsidR="003B1B2E" w:rsidRPr="007A177A">
        <w:rPr>
          <w:rFonts w:cs="Arial"/>
        </w:rPr>
        <w:t xml:space="preserve">el </w:t>
      </w:r>
      <w:r w:rsidR="00760353" w:rsidRPr="007A177A">
        <w:rPr>
          <w:rFonts w:cs="Arial"/>
        </w:rPr>
        <w:t xml:space="preserve">acta </w:t>
      </w:r>
      <w:r w:rsidR="003B1B2E" w:rsidRPr="007A177A">
        <w:rPr>
          <w:rFonts w:cs="Arial"/>
        </w:rPr>
        <w:t>contentiva de la</w:t>
      </w:r>
      <w:r w:rsidR="006736CE" w:rsidRPr="007A177A">
        <w:rPr>
          <w:rFonts w:cs="Arial"/>
        </w:rPr>
        <w:t xml:space="preserve">s cifras de </w:t>
      </w:r>
      <w:r w:rsidR="00225FED" w:rsidRPr="007A177A">
        <w:rPr>
          <w:rFonts w:cs="Arial"/>
        </w:rPr>
        <w:t>liquidación</w:t>
      </w:r>
      <w:r w:rsidR="00760353" w:rsidRPr="007A177A">
        <w:rPr>
          <w:rFonts w:cs="Arial"/>
        </w:rPr>
        <w:t xml:space="preserve"> </w:t>
      </w:r>
      <w:r w:rsidR="006736CE" w:rsidRPr="007A177A">
        <w:rPr>
          <w:rFonts w:cs="Arial"/>
        </w:rPr>
        <w:t xml:space="preserve">final </w:t>
      </w:r>
      <w:r w:rsidR="00760353" w:rsidRPr="007A177A">
        <w:rPr>
          <w:rFonts w:cs="Arial"/>
        </w:rPr>
        <w:t>del contrato</w:t>
      </w:r>
      <w:r w:rsidR="000D12CA" w:rsidRPr="007A177A">
        <w:rPr>
          <w:rFonts w:cs="Arial"/>
        </w:rPr>
        <w:t>;</w:t>
      </w:r>
      <w:r w:rsidR="00225FED" w:rsidRPr="007A177A">
        <w:rPr>
          <w:rFonts w:cs="Arial"/>
        </w:rPr>
        <w:t xml:space="preserve"> </w:t>
      </w:r>
      <w:r w:rsidR="00746694" w:rsidRPr="007A177A">
        <w:rPr>
          <w:rFonts w:cs="Arial"/>
        </w:rPr>
        <w:t xml:space="preserve">sin embargo, </w:t>
      </w:r>
      <w:r w:rsidR="00E93512" w:rsidRPr="007A177A">
        <w:rPr>
          <w:rFonts w:cs="Arial"/>
        </w:rPr>
        <w:t xml:space="preserve">en criterio del </w:t>
      </w:r>
      <w:proofErr w:type="spellStart"/>
      <w:r w:rsidR="00225FED" w:rsidRPr="007A177A">
        <w:rPr>
          <w:rFonts w:cs="Arial"/>
        </w:rPr>
        <w:t>Invías</w:t>
      </w:r>
      <w:proofErr w:type="spellEnd"/>
      <w:r w:rsidR="00225FED" w:rsidRPr="007A177A">
        <w:rPr>
          <w:rFonts w:cs="Arial"/>
        </w:rPr>
        <w:t xml:space="preserve">, </w:t>
      </w:r>
      <w:r w:rsidR="00E93512" w:rsidRPr="007A177A">
        <w:rPr>
          <w:rFonts w:cs="Arial"/>
        </w:rPr>
        <w:t>se debe tener en cuenta que</w:t>
      </w:r>
      <w:r w:rsidR="001C3848" w:rsidRPr="007A177A">
        <w:rPr>
          <w:rFonts w:cs="Arial"/>
        </w:rPr>
        <w:t>,</w:t>
      </w:r>
      <w:r w:rsidR="00E93512" w:rsidRPr="007A177A">
        <w:rPr>
          <w:rFonts w:cs="Arial"/>
        </w:rPr>
        <w:t xml:space="preserve"> </w:t>
      </w:r>
      <w:r w:rsidR="0004537F" w:rsidRPr="007A177A">
        <w:rPr>
          <w:rFonts w:cs="Arial"/>
        </w:rPr>
        <w:t xml:space="preserve">al no </w:t>
      </w:r>
      <w:r w:rsidR="00E061EA" w:rsidRPr="007A177A">
        <w:rPr>
          <w:rFonts w:cs="Arial"/>
        </w:rPr>
        <w:t xml:space="preserve">acudir a realizar </w:t>
      </w:r>
      <w:r w:rsidR="0004537F" w:rsidRPr="007A177A">
        <w:rPr>
          <w:rFonts w:cs="Arial"/>
        </w:rPr>
        <w:t>la entrega y</w:t>
      </w:r>
      <w:r w:rsidR="00E061EA" w:rsidRPr="007A177A">
        <w:rPr>
          <w:rFonts w:cs="Arial"/>
        </w:rPr>
        <w:t xml:space="preserve"> no firmar las actas de </w:t>
      </w:r>
      <w:r w:rsidR="0004537F" w:rsidRPr="007A177A">
        <w:rPr>
          <w:rFonts w:cs="Arial"/>
        </w:rPr>
        <w:t xml:space="preserve">liquidación final, </w:t>
      </w:r>
      <w:r w:rsidR="00746694" w:rsidRPr="007A177A">
        <w:rPr>
          <w:rFonts w:cs="Arial"/>
        </w:rPr>
        <w:t xml:space="preserve">las </w:t>
      </w:r>
      <w:r w:rsidR="00E93512" w:rsidRPr="007A177A">
        <w:rPr>
          <w:rFonts w:cs="Arial"/>
        </w:rPr>
        <w:t>contratista</w:t>
      </w:r>
      <w:r w:rsidR="000D12CA" w:rsidRPr="007A177A">
        <w:rPr>
          <w:rFonts w:cs="Arial"/>
        </w:rPr>
        <w:t>s</w:t>
      </w:r>
      <w:r w:rsidR="00E93512" w:rsidRPr="007A177A">
        <w:rPr>
          <w:rFonts w:cs="Arial"/>
        </w:rPr>
        <w:t xml:space="preserve"> </w:t>
      </w:r>
      <w:r w:rsidR="00EB244C" w:rsidRPr="007A177A">
        <w:rPr>
          <w:rFonts w:cs="Arial"/>
        </w:rPr>
        <w:t>perdi</w:t>
      </w:r>
      <w:r w:rsidR="00746694" w:rsidRPr="007A177A">
        <w:rPr>
          <w:rFonts w:cs="Arial"/>
        </w:rPr>
        <w:t xml:space="preserve">eron </w:t>
      </w:r>
      <w:r w:rsidR="00EB244C" w:rsidRPr="007A177A">
        <w:rPr>
          <w:rFonts w:cs="Arial"/>
        </w:rPr>
        <w:t xml:space="preserve">la oportunidad de dejar </w:t>
      </w:r>
      <w:r w:rsidR="00E84E4F" w:rsidRPr="007A177A">
        <w:rPr>
          <w:rFonts w:cs="Arial"/>
        </w:rPr>
        <w:t xml:space="preserve">las </w:t>
      </w:r>
      <w:r w:rsidR="00EB244C" w:rsidRPr="007A177A">
        <w:rPr>
          <w:rFonts w:cs="Arial"/>
        </w:rPr>
        <w:t xml:space="preserve">constancias </w:t>
      </w:r>
      <w:r w:rsidR="00746694" w:rsidRPr="007A177A">
        <w:rPr>
          <w:rFonts w:cs="Arial"/>
        </w:rPr>
        <w:t xml:space="preserve">o salvedades en las actas </w:t>
      </w:r>
      <w:r w:rsidR="00E84E4F" w:rsidRPr="007A177A">
        <w:rPr>
          <w:rFonts w:cs="Arial"/>
        </w:rPr>
        <w:t>correspondientes</w:t>
      </w:r>
      <w:r w:rsidR="00151208" w:rsidRPr="007A177A">
        <w:rPr>
          <w:rStyle w:val="Refdenotaalpie"/>
          <w:rFonts w:cs="Arial"/>
        </w:rPr>
        <w:footnoteReference w:id="14"/>
      </w:r>
      <w:r w:rsidR="00225FED" w:rsidRPr="007A177A">
        <w:rPr>
          <w:rFonts w:cs="Arial"/>
        </w:rPr>
        <w:t>.</w:t>
      </w:r>
      <w:r w:rsidR="00EB244C" w:rsidRPr="007A177A">
        <w:rPr>
          <w:rFonts w:cs="Arial"/>
        </w:rPr>
        <w:t xml:space="preserve"> </w:t>
      </w:r>
    </w:p>
    <w:p w14:paraId="5B587471" w14:textId="77777777" w:rsidR="00564E0C" w:rsidRPr="007A177A" w:rsidRDefault="00564E0C" w:rsidP="00BF333B">
      <w:pPr>
        <w:pStyle w:val="Continuarlista2"/>
        <w:spacing w:after="0"/>
        <w:ind w:left="0"/>
        <w:rPr>
          <w:rFonts w:cs="Arial"/>
        </w:rPr>
      </w:pPr>
    </w:p>
    <w:p w14:paraId="6B77FD12" w14:textId="77777777" w:rsidR="008C7335" w:rsidRPr="007A177A" w:rsidRDefault="008C7335" w:rsidP="00BF333B">
      <w:pPr>
        <w:pStyle w:val="Continuarlista2"/>
        <w:spacing w:after="0"/>
        <w:ind w:left="0"/>
        <w:rPr>
          <w:rFonts w:cs="Arial"/>
        </w:rPr>
      </w:pPr>
      <w:r w:rsidRPr="007A177A">
        <w:rPr>
          <w:rFonts w:cs="Arial"/>
        </w:rPr>
        <w:t>A</w:t>
      </w:r>
      <w:r w:rsidR="00522F90" w:rsidRPr="007A177A">
        <w:rPr>
          <w:rFonts w:cs="Arial"/>
        </w:rPr>
        <w:t xml:space="preserve">dvirtió </w:t>
      </w:r>
      <w:r w:rsidRPr="007A177A">
        <w:rPr>
          <w:rFonts w:cs="Arial"/>
        </w:rPr>
        <w:t xml:space="preserve">que en los precios unitarios </w:t>
      </w:r>
      <w:r w:rsidR="00E717BE" w:rsidRPr="007A177A">
        <w:rPr>
          <w:rFonts w:cs="Arial"/>
        </w:rPr>
        <w:t xml:space="preserve">pactados </w:t>
      </w:r>
      <w:r w:rsidRPr="007A177A">
        <w:rPr>
          <w:rFonts w:cs="Arial"/>
        </w:rPr>
        <w:t>estaban incluid</w:t>
      </w:r>
      <w:r w:rsidR="00592AB9" w:rsidRPr="007A177A">
        <w:rPr>
          <w:rFonts w:cs="Arial"/>
        </w:rPr>
        <w:t xml:space="preserve">os los costos de </w:t>
      </w:r>
      <w:r w:rsidRPr="007A177A">
        <w:rPr>
          <w:rFonts w:cs="Arial"/>
        </w:rPr>
        <w:t>las labores de manejo de desperdicios</w:t>
      </w:r>
      <w:r w:rsidR="000D12CA" w:rsidRPr="007A177A">
        <w:rPr>
          <w:rFonts w:cs="Arial"/>
        </w:rPr>
        <w:t xml:space="preserve"> y</w:t>
      </w:r>
      <w:r w:rsidRPr="007A177A">
        <w:rPr>
          <w:rFonts w:cs="Arial"/>
        </w:rPr>
        <w:t xml:space="preserve"> descapote</w:t>
      </w:r>
      <w:r w:rsidR="009E7F97" w:rsidRPr="007A177A">
        <w:rPr>
          <w:rFonts w:cs="Arial"/>
        </w:rPr>
        <w:t>, por lo que no se podían pedir reconocimientos por esas actividades.</w:t>
      </w:r>
    </w:p>
    <w:p w14:paraId="75349C90" w14:textId="77777777" w:rsidR="008C7335" w:rsidRPr="007A177A" w:rsidRDefault="008C7335" w:rsidP="00BF333B">
      <w:pPr>
        <w:pStyle w:val="Continuarlista2"/>
        <w:spacing w:after="0"/>
        <w:ind w:left="0"/>
        <w:rPr>
          <w:rFonts w:cs="Arial"/>
        </w:rPr>
      </w:pPr>
    </w:p>
    <w:p w14:paraId="7E67386B" w14:textId="77777777" w:rsidR="00592AB9" w:rsidRPr="007A177A" w:rsidRDefault="004E1AB5" w:rsidP="00BF333B">
      <w:pPr>
        <w:pStyle w:val="Continuarlista2"/>
        <w:spacing w:after="0"/>
        <w:ind w:left="0"/>
        <w:rPr>
          <w:rFonts w:cs="Arial"/>
        </w:rPr>
      </w:pPr>
      <w:r w:rsidRPr="007A177A">
        <w:rPr>
          <w:rFonts w:cs="Arial"/>
        </w:rPr>
        <w:lastRenderedPageBreak/>
        <w:t xml:space="preserve">Afirmó </w:t>
      </w:r>
      <w:r w:rsidR="008C7335" w:rsidRPr="007A177A">
        <w:rPr>
          <w:rFonts w:cs="Arial"/>
        </w:rPr>
        <w:t>que</w:t>
      </w:r>
      <w:r w:rsidR="006736CE" w:rsidRPr="007A177A">
        <w:rPr>
          <w:rFonts w:cs="Arial"/>
        </w:rPr>
        <w:t>, según el acta de recibo final,</w:t>
      </w:r>
      <w:r w:rsidR="008C7335" w:rsidRPr="007A177A">
        <w:rPr>
          <w:rFonts w:cs="Arial"/>
        </w:rPr>
        <w:t xml:space="preserve"> </w:t>
      </w:r>
      <w:r w:rsidR="006736CE" w:rsidRPr="007A177A">
        <w:rPr>
          <w:rFonts w:cs="Arial"/>
        </w:rPr>
        <w:t xml:space="preserve">la parte </w:t>
      </w:r>
      <w:r w:rsidR="008C7335" w:rsidRPr="007A177A">
        <w:rPr>
          <w:rFonts w:cs="Arial"/>
        </w:rPr>
        <w:t>contratista quedó debiendo al Fondo V</w:t>
      </w:r>
      <w:r w:rsidRPr="007A177A">
        <w:rPr>
          <w:rFonts w:cs="Arial"/>
        </w:rPr>
        <w:t>i</w:t>
      </w:r>
      <w:r w:rsidR="008C7335" w:rsidRPr="007A177A">
        <w:rPr>
          <w:rFonts w:cs="Arial"/>
        </w:rPr>
        <w:t>al Nacional la suma de $16’414.492 por la disminución de cantidades de obra</w:t>
      </w:r>
      <w:r w:rsidR="0004537F" w:rsidRPr="007A177A">
        <w:rPr>
          <w:rFonts w:cs="Arial"/>
        </w:rPr>
        <w:t xml:space="preserve"> que fueron inicialmente pagadas</w:t>
      </w:r>
      <w:r w:rsidR="00592AB9" w:rsidRPr="007A177A">
        <w:rPr>
          <w:rFonts w:cs="Arial"/>
        </w:rPr>
        <w:t>.</w:t>
      </w:r>
    </w:p>
    <w:p w14:paraId="58EC67AA" w14:textId="77777777" w:rsidR="00972E03" w:rsidRPr="007A177A" w:rsidRDefault="00972E03" w:rsidP="00BF333B">
      <w:pPr>
        <w:pStyle w:val="Continuarlista2"/>
        <w:spacing w:after="0"/>
        <w:ind w:left="0"/>
        <w:rPr>
          <w:rFonts w:cs="Arial"/>
        </w:rPr>
      </w:pPr>
    </w:p>
    <w:p w14:paraId="0051DC46" w14:textId="77777777" w:rsidR="00E061EA" w:rsidRPr="007A177A" w:rsidRDefault="008C7335" w:rsidP="00BF333B">
      <w:pPr>
        <w:pStyle w:val="Continuarlista2"/>
        <w:spacing w:after="0"/>
        <w:ind w:left="0"/>
        <w:rPr>
          <w:rFonts w:cs="Arial"/>
        </w:rPr>
      </w:pPr>
      <w:r w:rsidRPr="007A177A">
        <w:rPr>
          <w:rFonts w:cs="Arial"/>
        </w:rPr>
        <w:t xml:space="preserve">Igualmente indicó que la entidad contratante no </w:t>
      </w:r>
      <w:r w:rsidR="00F91BF4" w:rsidRPr="007A177A">
        <w:rPr>
          <w:rFonts w:cs="Arial"/>
        </w:rPr>
        <w:t>incurrió en mora</w:t>
      </w:r>
      <w:r w:rsidR="001C3848" w:rsidRPr="007A177A">
        <w:rPr>
          <w:rFonts w:cs="Arial"/>
        </w:rPr>
        <w:t>,</w:t>
      </w:r>
      <w:r w:rsidR="00F91BF4" w:rsidRPr="007A177A">
        <w:rPr>
          <w:rFonts w:cs="Arial"/>
        </w:rPr>
        <w:t xml:space="preserve"> por cuanto pag</w:t>
      </w:r>
      <w:r w:rsidR="00C77157" w:rsidRPr="007A177A">
        <w:rPr>
          <w:rFonts w:cs="Arial"/>
        </w:rPr>
        <w:t>ó</w:t>
      </w:r>
      <w:r w:rsidR="00F91BF4" w:rsidRPr="007A177A">
        <w:rPr>
          <w:rFonts w:cs="Arial"/>
        </w:rPr>
        <w:t xml:space="preserve"> </w:t>
      </w:r>
      <w:r w:rsidR="00E061EA" w:rsidRPr="007A177A">
        <w:rPr>
          <w:rFonts w:cs="Arial"/>
        </w:rPr>
        <w:t xml:space="preserve">las actas de obra presentadas </w:t>
      </w:r>
      <w:r w:rsidR="00F91BF4" w:rsidRPr="007A177A">
        <w:rPr>
          <w:rFonts w:cs="Arial"/>
        </w:rPr>
        <w:t>en un t</w:t>
      </w:r>
      <w:r w:rsidR="00EB5987" w:rsidRPr="007A177A">
        <w:rPr>
          <w:rFonts w:cs="Arial"/>
        </w:rPr>
        <w:t>ér</w:t>
      </w:r>
      <w:r w:rsidR="00F91BF4" w:rsidRPr="007A177A">
        <w:rPr>
          <w:rFonts w:cs="Arial"/>
        </w:rPr>
        <w:t>mino prudencial</w:t>
      </w:r>
      <w:r w:rsidR="00E061EA" w:rsidRPr="007A177A">
        <w:rPr>
          <w:rFonts w:cs="Arial"/>
        </w:rPr>
        <w:t>.</w:t>
      </w:r>
    </w:p>
    <w:p w14:paraId="5F7C120A" w14:textId="77777777" w:rsidR="00F91BF4" w:rsidRPr="007A177A" w:rsidRDefault="00F91BF4" w:rsidP="00BF333B">
      <w:pPr>
        <w:pStyle w:val="Continuarlista2"/>
        <w:spacing w:after="0"/>
        <w:ind w:left="0"/>
        <w:rPr>
          <w:rFonts w:cs="Arial"/>
        </w:rPr>
      </w:pPr>
    </w:p>
    <w:p w14:paraId="35CCF4B5" w14:textId="77777777" w:rsidR="00503F01" w:rsidRPr="007A177A" w:rsidRDefault="009D0E50" w:rsidP="00BF333B">
      <w:pPr>
        <w:pStyle w:val="Continuarlista2"/>
        <w:spacing w:after="0"/>
        <w:ind w:left="0"/>
        <w:rPr>
          <w:rFonts w:cs="Arial"/>
        </w:rPr>
      </w:pPr>
      <w:r w:rsidRPr="007A177A">
        <w:rPr>
          <w:rFonts w:cs="Arial"/>
        </w:rPr>
        <w:t xml:space="preserve">Invocó como excepciones las siguientes: </w:t>
      </w:r>
      <w:r w:rsidRPr="007A177A">
        <w:rPr>
          <w:rFonts w:cs="Arial"/>
          <w:b/>
        </w:rPr>
        <w:t>i)</w:t>
      </w:r>
      <w:r w:rsidR="00F91BF4" w:rsidRPr="007A177A">
        <w:rPr>
          <w:rFonts w:cs="Arial"/>
        </w:rPr>
        <w:t xml:space="preserve"> falta de legitimación en la causa por pasiva</w:t>
      </w:r>
      <w:r w:rsidR="001C3848" w:rsidRPr="007A177A">
        <w:rPr>
          <w:rFonts w:cs="Arial"/>
        </w:rPr>
        <w:t>,</w:t>
      </w:r>
      <w:r w:rsidR="00F91BF4" w:rsidRPr="007A177A">
        <w:rPr>
          <w:rFonts w:cs="Arial"/>
        </w:rPr>
        <w:t xml:space="preserve"> por cuanto el </w:t>
      </w:r>
      <w:r w:rsidR="004E7A0F" w:rsidRPr="007A177A">
        <w:rPr>
          <w:rFonts w:cs="Arial"/>
        </w:rPr>
        <w:t>Fondo Vial Nacional</w:t>
      </w:r>
      <w:r w:rsidR="007D2533" w:rsidRPr="007A177A">
        <w:rPr>
          <w:rFonts w:cs="Arial"/>
        </w:rPr>
        <w:t>, entidad</w:t>
      </w:r>
      <w:r w:rsidR="004E7A0F" w:rsidRPr="007A177A">
        <w:rPr>
          <w:rFonts w:cs="Arial"/>
        </w:rPr>
        <w:t xml:space="preserve"> que celebró el contrato</w:t>
      </w:r>
      <w:r w:rsidR="007D2533" w:rsidRPr="007A177A">
        <w:rPr>
          <w:rFonts w:cs="Arial"/>
        </w:rPr>
        <w:t>,</w:t>
      </w:r>
      <w:r w:rsidR="004E7A0F" w:rsidRPr="007A177A">
        <w:rPr>
          <w:rFonts w:cs="Arial"/>
        </w:rPr>
        <w:t xml:space="preserve"> dependía del Ministerio de obras Públicas y Transporte y</w:t>
      </w:r>
      <w:r w:rsidR="006B02FC" w:rsidRPr="007A177A">
        <w:rPr>
          <w:rFonts w:cs="Arial"/>
        </w:rPr>
        <w:t xml:space="preserve"> se encuentra liquidado</w:t>
      </w:r>
      <w:r w:rsidR="001C3848" w:rsidRPr="007A177A">
        <w:rPr>
          <w:rFonts w:cs="Arial"/>
        </w:rPr>
        <w:t>,</w:t>
      </w:r>
      <w:r w:rsidR="006B02FC" w:rsidRPr="007A177A">
        <w:rPr>
          <w:rFonts w:cs="Arial"/>
        </w:rPr>
        <w:t xml:space="preserve"> además de que</w:t>
      </w:r>
      <w:r w:rsidR="001C3848" w:rsidRPr="007A177A">
        <w:rPr>
          <w:rFonts w:cs="Arial"/>
        </w:rPr>
        <w:t>,</w:t>
      </w:r>
      <w:r w:rsidR="004E7A0F" w:rsidRPr="007A177A">
        <w:rPr>
          <w:rFonts w:cs="Arial"/>
        </w:rPr>
        <w:t xml:space="preserve"> por otra pa</w:t>
      </w:r>
      <w:r w:rsidR="006B02FC" w:rsidRPr="007A177A">
        <w:rPr>
          <w:rFonts w:cs="Arial"/>
        </w:rPr>
        <w:t xml:space="preserve">rte, el </w:t>
      </w:r>
      <w:r w:rsidR="006E40F5" w:rsidRPr="007A177A">
        <w:rPr>
          <w:rFonts w:cs="Arial"/>
        </w:rPr>
        <w:t>contrato se ejecutó y terminó muchos años antes de que se creara el Instituto Nacional de V</w:t>
      </w:r>
      <w:r w:rsidR="00205E9E" w:rsidRPr="007A177A">
        <w:rPr>
          <w:rFonts w:cs="Arial"/>
        </w:rPr>
        <w:t>í</w:t>
      </w:r>
      <w:r w:rsidR="006E40F5" w:rsidRPr="007A177A">
        <w:rPr>
          <w:rFonts w:cs="Arial"/>
        </w:rPr>
        <w:t xml:space="preserve">as (Decreto 2171 de 1992); </w:t>
      </w:r>
      <w:r w:rsidRPr="007A177A">
        <w:rPr>
          <w:rFonts w:cs="Arial"/>
          <w:b/>
        </w:rPr>
        <w:t>ii)</w:t>
      </w:r>
      <w:r w:rsidR="006E40F5" w:rsidRPr="007A177A">
        <w:rPr>
          <w:rFonts w:cs="Arial"/>
        </w:rPr>
        <w:t xml:space="preserve"> falta de relación</w:t>
      </w:r>
      <w:r w:rsidR="004E7A0F" w:rsidRPr="007A177A">
        <w:rPr>
          <w:rFonts w:cs="Arial"/>
        </w:rPr>
        <w:t xml:space="preserve"> </w:t>
      </w:r>
      <w:r w:rsidR="006E40F5" w:rsidRPr="007A177A">
        <w:rPr>
          <w:rFonts w:cs="Arial"/>
        </w:rPr>
        <w:t xml:space="preserve">entre el tipo de proceso y las pretensiones. Indicó que no existe </w:t>
      </w:r>
      <w:r w:rsidR="00205E9E" w:rsidRPr="007A177A">
        <w:rPr>
          <w:rFonts w:cs="Arial"/>
        </w:rPr>
        <w:t xml:space="preserve">causa jurídica </w:t>
      </w:r>
      <w:r w:rsidR="006E40F5" w:rsidRPr="007A177A">
        <w:rPr>
          <w:rFonts w:cs="Arial"/>
        </w:rPr>
        <w:t>para cobrar inter</w:t>
      </w:r>
      <w:r w:rsidR="00205E9E" w:rsidRPr="007A177A">
        <w:rPr>
          <w:rFonts w:cs="Arial"/>
        </w:rPr>
        <w:t>e</w:t>
      </w:r>
      <w:r w:rsidR="006E40F5" w:rsidRPr="007A177A">
        <w:rPr>
          <w:rFonts w:cs="Arial"/>
        </w:rPr>
        <w:t>ses ni lucro cesante</w:t>
      </w:r>
      <w:r w:rsidR="00205E9E" w:rsidRPr="007A177A">
        <w:rPr>
          <w:rFonts w:cs="Arial"/>
        </w:rPr>
        <w:t xml:space="preserve"> y que, eventualmente</w:t>
      </w:r>
      <w:r w:rsidR="00ED4A04" w:rsidRPr="007A177A">
        <w:rPr>
          <w:rFonts w:cs="Arial"/>
        </w:rPr>
        <w:t>,</w:t>
      </w:r>
      <w:r w:rsidR="00205E9E" w:rsidRPr="007A177A">
        <w:rPr>
          <w:rFonts w:cs="Arial"/>
        </w:rPr>
        <w:t xml:space="preserve"> bajo la figura del enriquecimiento sin causa que se pretendió en la demanda, solo podría reconocerse el daño emergente</w:t>
      </w:r>
      <w:r w:rsidRPr="007A177A">
        <w:rPr>
          <w:rFonts w:cs="Arial"/>
        </w:rPr>
        <w:t xml:space="preserve"> y </w:t>
      </w:r>
      <w:r w:rsidRPr="007A177A">
        <w:rPr>
          <w:rFonts w:cs="Arial"/>
          <w:b/>
        </w:rPr>
        <w:t>iii)</w:t>
      </w:r>
      <w:r w:rsidRPr="007A177A">
        <w:rPr>
          <w:rFonts w:cs="Arial"/>
        </w:rPr>
        <w:t xml:space="preserve"> </w:t>
      </w:r>
      <w:r w:rsidR="00205E9E" w:rsidRPr="007A177A">
        <w:rPr>
          <w:rFonts w:cs="Arial"/>
        </w:rPr>
        <w:t>compensación de conformidad con el acta final de obra</w:t>
      </w:r>
      <w:r w:rsidR="00D22316" w:rsidRPr="007A177A">
        <w:rPr>
          <w:rFonts w:cs="Arial"/>
        </w:rPr>
        <w:t xml:space="preserve"> de septiembre de 1982</w:t>
      </w:r>
      <w:r w:rsidR="00503F01" w:rsidRPr="007A177A">
        <w:rPr>
          <w:rFonts w:cs="Arial"/>
        </w:rPr>
        <w:t>.</w:t>
      </w:r>
    </w:p>
    <w:p w14:paraId="12D49B46" w14:textId="77777777" w:rsidR="004E7A0F" w:rsidRPr="007A177A" w:rsidRDefault="004E7A0F" w:rsidP="00BF333B">
      <w:pPr>
        <w:pStyle w:val="Continuarlista2"/>
        <w:spacing w:after="0"/>
        <w:ind w:left="0"/>
        <w:rPr>
          <w:rFonts w:cs="Arial"/>
        </w:rPr>
      </w:pPr>
    </w:p>
    <w:p w14:paraId="015585E7" w14:textId="77777777" w:rsidR="00F83C47" w:rsidRPr="007A177A" w:rsidRDefault="005C5111" w:rsidP="00BF333B">
      <w:pPr>
        <w:spacing w:line="360" w:lineRule="auto"/>
        <w:jc w:val="both"/>
        <w:rPr>
          <w:rFonts w:ascii="Arial" w:hAnsi="Arial" w:cs="Arial"/>
          <w:bCs/>
          <w:iCs/>
        </w:rPr>
      </w:pPr>
      <w:r w:rsidRPr="007A177A">
        <w:rPr>
          <w:rFonts w:ascii="Arial" w:hAnsi="Arial" w:cs="Arial"/>
          <w:b/>
          <w:bCs/>
          <w:iCs/>
        </w:rPr>
        <w:t>4</w:t>
      </w:r>
      <w:r w:rsidR="00F83C47" w:rsidRPr="007A177A">
        <w:rPr>
          <w:rFonts w:ascii="Arial" w:hAnsi="Arial" w:cs="Arial"/>
          <w:b/>
          <w:bCs/>
          <w:iCs/>
        </w:rPr>
        <w:t xml:space="preserve">.3. </w:t>
      </w:r>
      <w:r w:rsidR="00F83C47" w:rsidRPr="007A177A">
        <w:rPr>
          <w:rFonts w:ascii="Arial" w:hAnsi="Arial" w:cs="Arial"/>
          <w:bCs/>
          <w:iCs/>
        </w:rPr>
        <w:t>El Tribunal Administrativo de Bolívar decretó las pruebas solicitadas mediante auto de 31 de agosto de 2004</w:t>
      </w:r>
      <w:r w:rsidR="00F83C47" w:rsidRPr="007A177A">
        <w:rPr>
          <w:rStyle w:val="Refdenotaalpie"/>
          <w:rFonts w:ascii="Arial" w:hAnsi="Arial" w:cs="Arial"/>
          <w:bCs/>
          <w:iCs/>
        </w:rPr>
        <w:footnoteReference w:id="15"/>
      </w:r>
      <w:r w:rsidR="00F83C47" w:rsidRPr="007A177A">
        <w:rPr>
          <w:rFonts w:ascii="Arial" w:hAnsi="Arial" w:cs="Arial"/>
          <w:bCs/>
          <w:iCs/>
        </w:rPr>
        <w:t xml:space="preserve">. </w:t>
      </w:r>
    </w:p>
    <w:p w14:paraId="6D7D5948" w14:textId="77777777" w:rsidR="00F83C47" w:rsidRPr="007A177A" w:rsidRDefault="00F83C47" w:rsidP="00BF333B">
      <w:pPr>
        <w:spacing w:line="360" w:lineRule="auto"/>
        <w:jc w:val="both"/>
        <w:rPr>
          <w:rFonts w:ascii="Arial" w:hAnsi="Arial" w:cs="Arial"/>
          <w:bCs/>
          <w:iCs/>
        </w:rPr>
      </w:pPr>
    </w:p>
    <w:p w14:paraId="7CD716D0" w14:textId="77777777" w:rsidR="00F83C47" w:rsidRPr="007A177A" w:rsidRDefault="005C5111" w:rsidP="00BF333B">
      <w:pPr>
        <w:spacing w:line="360" w:lineRule="auto"/>
        <w:jc w:val="both"/>
        <w:rPr>
          <w:rFonts w:ascii="Arial" w:hAnsi="Arial" w:cs="Arial"/>
          <w:bCs/>
          <w:iCs/>
        </w:rPr>
      </w:pPr>
      <w:r w:rsidRPr="007A177A">
        <w:rPr>
          <w:rFonts w:ascii="Arial" w:hAnsi="Arial" w:cs="Arial"/>
          <w:b/>
          <w:bCs/>
          <w:iCs/>
        </w:rPr>
        <w:t>4</w:t>
      </w:r>
      <w:r w:rsidR="00F83C47" w:rsidRPr="007A177A">
        <w:rPr>
          <w:rFonts w:ascii="Arial" w:hAnsi="Arial" w:cs="Arial"/>
          <w:b/>
          <w:bCs/>
          <w:iCs/>
        </w:rPr>
        <w:t>.4.</w:t>
      </w:r>
      <w:r w:rsidR="00F83C47" w:rsidRPr="007A177A">
        <w:rPr>
          <w:rFonts w:ascii="Arial" w:hAnsi="Arial" w:cs="Arial"/>
          <w:bCs/>
          <w:iCs/>
        </w:rPr>
        <w:t xml:space="preserve"> El dictamen pericial </w:t>
      </w:r>
      <w:r w:rsidR="00972E03" w:rsidRPr="007A177A">
        <w:rPr>
          <w:rFonts w:ascii="Arial" w:hAnsi="Arial" w:cs="Arial"/>
          <w:bCs/>
          <w:iCs/>
        </w:rPr>
        <w:t xml:space="preserve">contentivo de </w:t>
      </w:r>
      <w:r w:rsidR="00F83C47" w:rsidRPr="007A177A">
        <w:rPr>
          <w:rFonts w:ascii="Arial" w:hAnsi="Arial" w:cs="Arial"/>
          <w:bCs/>
          <w:iCs/>
        </w:rPr>
        <w:t xml:space="preserve">la liquidación de perjuicios solicitada por la </w:t>
      </w:r>
      <w:r w:rsidR="00522F90" w:rsidRPr="007A177A">
        <w:rPr>
          <w:rFonts w:ascii="Arial" w:hAnsi="Arial" w:cs="Arial"/>
          <w:bCs/>
          <w:iCs/>
        </w:rPr>
        <w:t>parte demandante</w:t>
      </w:r>
      <w:r w:rsidR="00F83C47" w:rsidRPr="007A177A">
        <w:rPr>
          <w:rFonts w:ascii="Arial" w:hAnsi="Arial" w:cs="Arial"/>
          <w:bCs/>
          <w:iCs/>
        </w:rPr>
        <w:t xml:space="preserve"> se presentó debidamente complementado y adicionado, el 27 de septiembre de 2006</w:t>
      </w:r>
      <w:r w:rsidR="00F83C47" w:rsidRPr="007A177A">
        <w:rPr>
          <w:rStyle w:val="Refdenotaalpie"/>
          <w:rFonts w:ascii="Arial" w:hAnsi="Arial" w:cs="Arial"/>
          <w:bCs/>
          <w:iCs/>
        </w:rPr>
        <w:footnoteReference w:id="16"/>
      </w:r>
      <w:r w:rsidR="00F83C47" w:rsidRPr="007A177A">
        <w:rPr>
          <w:rFonts w:ascii="Arial" w:hAnsi="Arial" w:cs="Arial"/>
          <w:bCs/>
          <w:iCs/>
        </w:rPr>
        <w:t>.</w:t>
      </w:r>
    </w:p>
    <w:p w14:paraId="432ED085" w14:textId="77777777" w:rsidR="00F83C47" w:rsidRPr="007A177A" w:rsidRDefault="00F83C47" w:rsidP="00BF333B">
      <w:pPr>
        <w:spacing w:line="360" w:lineRule="auto"/>
        <w:jc w:val="both"/>
        <w:rPr>
          <w:rFonts w:ascii="Arial" w:hAnsi="Arial" w:cs="Arial"/>
          <w:bCs/>
          <w:iCs/>
        </w:rPr>
      </w:pPr>
    </w:p>
    <w:p w14:paraId="76024B0A" w14:textId="77777777" w:rsidR="00F83C47" w:rsidRPr="007A177A" w:rsidRDefault="005C5111" w:rsidP="00BF333B">
      <w:pPr>
        <w:spacing w:line="360" w:lineRule="auto"/>
        <w:jc w:val="both"/>
        <w:rPr>
          <w:rFonts w:ascii="Arial" w:hAnsi="Arial" w:cs="Arial"/>
          <w:bCs/>
          <w:iCs/>
        </w:rPr>
      </w:pPr>
      <w:r w:rsidRPr="007A177A">
        <w:rPr>
          <w:rFonts w:ascii="Arial" w:hAnsi="Arial" w:cs="Arial"/>
          <w:b/>
          <w:bCs/>
          <w:iCs/>
        </w:rPr>
        <w:t>4</w:t>
      </w:r>
      <w:r w:rsidR="00F83C47" w:rsidRPr="007A177A">
        <w:rPr>
          <w:rFonts w:ascii="Arial" w:hAnsi="Arial" w:cs="Arial"/>
          <w:b/>
          <w:bCs/>
          <w:iCs/>
        </w:rPr>
        <w:t>.5.</w:t>
      </w:r>
      <w:r w:rsidR="00F83C47" w:rsidRPr="007A177A">
        <w:rPr>
          <w:rFonts w:ascii="Arial" w:hAnsi="Arial" w:cs="Arial"/>
          <w:bCs/>
          <w:iCs/>
        </w:rPr>
        <w:t xml:space="preserve"> Estando en curso el proceso, las partes celebraron un compromiso para someter </w:t>
      </w:r>
      <w:r w:rsidR="00BD0BFB" w:rsidRPr="007A177A">
        <w:rPr>
          <w:rFonts w:ascii="Arial" w:hAnsi="Arial" w:cs="Arial"/>
          <w:bCs/>
          <w:iCs/>
        </w:rPr>
        <w:t xml:space="preserve">sus </w:t>
      </w:r>
      <w:r w:rsidR="00F83C47" w:rsidRPr="007A177A">
        <w:rPr>
          <w:rFonts w:ascii="Arial" w:hAnsi="Arial" w:cs="Arial"/>
          <w:bCs/>
          <w:iCs/>
        </w:rPr>
        <w:t xml:space="preserve">diferencias a </w:t>
      </w:r>
      <w:r w:rsidR="00F23095" w:rsidRPr="007A177A">
        <w:rPr>
          <w:rFonts w:ascii="Arial" w:hAnsi="Arial" w:cs="Arial"/>
          <w:bCs/>
          <w:iCs/>
        </w:rPr>
        <w:t xml:space="preserve">un </w:t>
      </w:r>
      <w:r w:rsidR="001C3848" w:rsidRPr="007A177A">
        <w:rPr>
          <w:rFonts w:ascii="Arial" w:hAnsi="Arial" w:cs="Arial"/>
          <w:bCs/>
          <w:iCs/>
        </w:rPr>
        <w:t>t</w:t>
      </w:r>
      <w:r w:rsidR="00F83C47" w:rsidRPr="007A177A">
        <w:rPr>
          <w:rFonts w:ascii="Arial" w:hAnsi="Arial" w:cs="Arial"/>
          <w:bCs/>
          <w:iCs/>
        </w:rPr>
        <w:t xml:space="preserve">ribunal de </w:t>
      </w:r>
      <w:r w:rsidR="001C3848" w:rsidRPr="007A177A">
        <w:rPr>
          <w:rFonts w:ascii="Arial" w:hAnsi="Arial" w:cs="Arial"/>
          <w:bCs/>
          <w:iCs/>
        </w:rPr>
        <w:t>a</w:t>
      </w:r>
      <w:r w:rsidR="00F83C47" w:rsidRPr="007A177A">
        <w:rPr>
          <w:rFonts w:ascii="Arial" w:hAnsi="Arial" w:cs="Arial"/>
          <w:bCs/>
          <w:iCs/>
        </w:rPr>
        <w:t>rbitramento, el cual se instaló el 5 de febrero de 2007 -</w:t>
      </w:r>
      <w:r w:rsidR="00F83C47" w:rsidRPr="007A177A">
        <w:rPr>
          <w:rFonts w:ascii="Arial" w:hAnsi="Arial" w:cs="Arial"/>
          <w:bCs/>
          <w:i/>
          <w:iCs/>
        </w:rPr>
        <w:t>habiéndosele remitido las copias del expediente</w:t>
      </w:r>
      <w:r w:rsidR="00F83C47" w:rsidRPr="007A177A">
        <w:rPr>
          <w:rFonts w:ascii="Arial" w:hAnsi="Arial" w:cs="Arial"/>
          <w:bCs/>
          <w:iCs/>
        </w:rPr>
        <w:t>-</w:t>
      </w:r>
      <w:r w:rsidR="001C3848" w:rsidRPr="007A177A">
        <w:rPr>
          <w:rFonts w:ascii="Arial" w:hAnsi="Arial" w:cs="Arial"/>
          <w:bCs/>
          <w:iCs/>
        </w:rPr>
        <w:t>;</w:t>
      </w:r>
      <w:r w:rsidR="00F83C47" w:rsidRPr="007A177A">
        <w:rPr>
          <w:rFonts w:ascii="Arial" w:hAnsi="Arial" w:cs="Arial"/>
          <w:bCs/>
          <w:iCs/>
        </w:rPr>
        <w:t xml:space="preserve"> posteriormente se acreditó que dicho Tribunal cesó en funciones </w:t>
      </w:r>
      <w:r w:rsidR="00BD0BFB" w:rsidRPr="007A177A">
        <w:rPr>
          <w:rFonts w:ascii="Arial" w:hAnsi="Arial" w:cs="Arial"/>
          <w:bCs/>
          <w:iCs/>
        </w:rPr>
        <w:t xml:space="preserve">al no haberse cumplido con el </w:t>
      </w:r>
      <w:r w:rsidR="00F83C47" w:rsidRPr="007A177A">
        <w:rPr>
          <w:rFonts w:ascii="Arial" w:hAnsi="Arial" w:cs="Arial"/>
          <w:bCs/>
          <w:iCs/>
        </w:rPr>
        <w:t>pago de los honorarios</w:t>
      </w:r>
      <w:r w:rsidR="00522F90" w:rsidRPr="007A177A">
        <w:rPr>
          <w:rFonts w:ascii="Arial" w:hAnsi="Arial" w:cs="Arial"/>
          <w:bCs/>
          <w:iCs/>
        </w:rPr>
        <w:t xml:space="preserve"> dentro de la oportunidad establecida en ese trámite</w:t>
      </w:r>
      <w:r w:rsidR="00F23095" w:rsidRPr="007A177A">
        <w:rPr>
          <w:rFonts w:ascii="Arial" w:hAnsi="Arial" w:cs="Arial"/>
          <w:bCs/>
          <w:iCs/>
        </w:rPr>
        <w:t>,</w:t>
      </w:r>
      <w:r w:rsidR="00F83C47" w:rsidRPr="007A177A">
        <w:rPr>
          <w:rFonts w:ascii="Arial" w:hAnsi="Arial" w:cs="Arial"/>
          <w:bCs/>
          <w:iCs/>
        </w:rPr>
        <w:t xml:space="preserve"> según consta en el auto No. 19 contenido en el acta de 25 de agosto de 2008</w:t>
      </w:r>
      <w:r w:rsidR="001C3848" w:rsidRPr="007A177A">
        <w:rPr>
          <w:rFonts w:ascii="Arial" w:hAnsi="Arial" w:cs="Arial"/>
          <w:bCs/>
          <w:iCs/>
        </w:rPr>
        <w:t>,</w:t>
      </w:r>
      <w:r w:rsidR="00F83C47" w:rsidRPr="007A177A">
        <w:rPr>
          <w:rFonts w:ascii="Arial" w:hAnsi="Arial" w:cs="Arial"/>
          <w:bCs/>
          <w:iCs/>
        </w:rPr>
        <w:t xml:space="preserve"> levantada por el </w:t>
      </w:r>
      <w:r w:rsidR="001C3848" w:rsidRPr="007A177A">
        <w:rPr>
          <w:rFonts w:ascii="Arial" w:hAnsi="Arial" w:cs="Arial"/>
          <w:bCs/>
          <w:iCs/>
        </w:rPr>
        <w:t>t</w:t>
      </w:r>
      <w:r w:rsidR="00F83C47" w:rsidRPr="007A177A">
        <w:rPr>
          <w:rFonts w:ascii="Arial" w:hAnsi="Arial" w:cs="Arial"/>
          <w:bCs/>
          <w:iCs/>
        </w:rPr>
        <w:t xml:space="preserve">ribunal de </w:t>
      </w:r>
      <w:r w:rsidR="001C3848" w:rsidRPr="007A177A">
        <w:rPr>
          <w:rFonts w:ascii="Arial" w:hAnsi="Arial" w:cs="Arial"/>
          <w:bCs/>
          <w:iCs/>
        </w:rPr>
        <w:t>a</w:t>
      </w:r>
      <w:r w:rsidR="00F83C47" w:rsidRPr="007A177A">
        <w:rPr>
          <w:rFonts w:ascii="Arial" w:hAnsi="Arial" w:cs="Arial"/>
          <w:bCs/>
          <w:iCs/>
        </w:rPr>
        <w:t>rbitramento</w:t>
      </w:r>
      <w:r w:rsidR="00F83C47" w:rsidRPr="007A177A">
        <w:rPr>
          <w:rStyle w:val="Refdenotaalpie"/>
          <w:rFonts w:ascii="Arial" w:hAnsi="Arial" w:cs="Arial"/>
          <w:bCs/>
          <w:iCs/>
        </w:rPr>
        <w:footnoteReference w:id="17"/>
      </w:r>
      <w:r w:rsidR="00F83C47" w:rsidRPr="007A177A">
        <w:rPr>
          <w:rFonts w:ascii="Arial" w:hAnsi="Arial" w:cs="Arial"/>
          <w:bCs/>
          <w:iCs/>
        </w:rPr>
        <w:t>.</w:t>
      </w:r>
    </w:p>
    <w:p w14:paraId="6476E97D" w14:textId="77777777" w:rsidR="00F83C47" w:rsidRPr="007A177A" w:rsidRDefault="00F83C47" w:rsidP="00BF333B">
      <w:pPr>
        <w:spacing w:line="360" w:lineRule="auto"/>
        <w:jc w:val="both"/>
        <w:rPr>
          <w:rFonts w:ascii="Arial" w:hAnsi="Arial" w:cs="Arial"/>
          <w:bCs/>
          <w:iCs/>
        </w:rPr>
      </w:pPr>
    </w:p>
    <w:p w14:paraId="40E840C5" w14:textId="77777777" w:rsidR="00F83C47" w:rsidRPr="007A177A" w:rsidRDefault="005C5111" w:rsidP="00BF333B">
      <w:pPr>
        <w:spacing w:line="360" w:lineRule="auto"/>
        <w:jc w:val="both"/>
        <w:rPr>
          <w:rFonts w:ascii="Arial" w:hAnsi="Arial" w:cs="Arial"/>
          <w:bCs/>
          <w:iCs/>
        </w:rPr>
      </w:pPr>
      <w:r w:rsidRPr="007A177A">
        <w:rPr>
          <w:rFonts w:ascii="Arial" w:hAnsi="Arial" w:cs="Arial"/>
          <w:b/>
          <w:bCs/>
          <w:iCs/>
        </w:rPr>
        <w:lastRenderedPageBreak/>
        <w:t>4</w:t>
      </w:r>
      <w:r w:rsidR="00F83C47" w:rsidRPr="007A177A">
        <w:rPr>
          <w:rFonts w:ascii="Arial" w:hAnsi="Arial" w:cs="Arial"/>
          <w:b/>
          <w:bCs/>
          <w:iCs/>
        </w:rPr>
        <w:t>.6</w:t>
      </w:r>
      <w:r w:rsidR="00F83C47" w:rsidRPr="007A177A">
        <w:rPr>
          <w:rFonts w:ascii="Arial" w:hAnsi="Arial" w:cs="Arial"/>
          <w:bCs/>
          <w:iCs/>
        </w:rPr>
        <w:t xml:space="preserve">. </w:t>
      </w:r>
      <w:r w:rsidR="006736CE" w:rsidRPr="007A177A">
        <w:rPr>
          <w:rFonts w:ascii="Arial" w:hAnsi="Arial" w:cs="Arial"/>
          <w:bCs/>
          <w:iCs/>
        </w:rPr>
        <w:t>Una vez informado de lo anterior,</w:t>
      </w:r>
      <w:r w:rsidR="00DA2AF3" w:rsidRPr="007A177A">
        <w:rPr>
          <w:rFonts w:ascii="Arial" w:hAnsi="Arial" w:cs="Arial"/>
          <w:bCs/>
          <w:iCs/>
        </w:rPr>
        <w:t xml:space="preserve"> e</w:t>
      </w:r>
      <w:r w:rsidR="00F83C47" w:rsidRPr="007A177A">
        <w:rPr>
          <w:rFonts w:ascii="Arial" w:hAnsi="Arial" w:cs="Arial"/>
          <w:bCs/>
          <w:iCs/>
        </w:rPr>
        <w:t xml:space="preserve">l Tribunal Administrativo de Bolívar, en Sala de descongestión, </w:t>
      </w:r>
      <w:r w:rsidR="001C3848" w:rsidRPr="007A177A">
        <w:rPr>
          <w:rFonts w:ascii="Arial" w:hAnsi="Arial" w:cs="Arial"/>
          <w:bCs/>
          <w:iCs/>
        </w:rPr>
        <w:t xml:space="preserve">asumió </w:t>
      </w:r>
      <w:r w:rsidR="00F83C47" w:rsidRPr="007A177A">
        <w:rPr>
          <w:rFonts w:ascii="Arial" w:hAnsi="Arial" w:cs="Arial"/>
          <w:bCs/>
          <w:iCs/>
        </w:rPr>
        <w:t>el conocimiento del proceso mediante auto de 26 de marzo de 2015, declaró cerrado el per</w:t>
      </w:r>
      <w:r w:rsidR="001C3848" w:rsidRPr="007A177A">
        <w:rPr>
          <w:rFonts w:ascii="Arial" w:hAnsi="Arial" w:cs="Arial"/>
          <w:bCs/>
          <w:iCs/>
        </w:rPr>
        <w:t>í</w:t>
      </w:r>
      <w:r w:rsidR="00F83C47" w:rsidRPr="007A177A">
        <w:rPr>
          <w:rFonts w:ascii="Arial" w:hAnsi="Arial" w:cs="Arial"/>
          <w:bCs/>
          <w:iCs/>
        </w:rPr>
        <w:t>odo probatorio y corrió traslado a las partes para que presentaran los alegatos</w:t>
      </w:r>
      <w:r w:rsidR="00BD0BFB" w:rsidRPr="007A177A">
        <w:rPr>
          <w:rFonts w:ascii="Arial" w:hAnsi="Arial" w:cs="Arial"/>
          <w:bCs/>
          <w:iCs/>
        </w:rPr>
        <w:t xml:space="preserve"> de conclusión</w:t>
      </w:r>
      <w:r w:rsidR="00F83C47" w:rsidRPr="007A177A">
        <w:rPr>
          <w:rFonts w:ascii="Arial" w:hAnsi="Arial" w:cs="Arial"/>
          <w:bCs/>
          <w:iCs/>
        </w:rPr>
        <w:t xml:space="preserve">. </w:t>
      </w:r>
    </w:p>
    <w:p w14:paraId="29098FAC" w14:textId="77777777" w:rsidR="00F83C47" w:rsidRPr="007A177A" w:rsidRDefault="00F83C47" w:rsidP="00BF333B">
      <w:pPr>
        <w:spacing w:line="360" w:lineRule="auto"/>
        <w:jc w:val="both"/>
        <w:rPr>
          <w:rFonts w:ascii="Arial" w:hAnsi="Arial" w:cs="Arial"/>
          <w:bCs/>
          <w:iCs/>
        </w:rPr>
      </w:pPr>
    </w:p>
    <w:p w14:paraId="6ED9859C" w14:textId="77777777" w:rsidR="00F83C47" w:rsidRPr="007A177A" w:rsidRDefault="005C5111" w:rsidP="00BF333B">
      <w:pPr>
        <w:spacing w:line="360" w:lineRule="auto"/>
        <w:jc w:val="both"/>
        <w:rPr>
          <w:rFonts w:ascii="Arial" w:hAnsi="Arial" w:cs="Arial"/>
          <w:bCs/>
          <w:iCs/>
        </w:rPr>
      </w:pPr>
      <w:r w:rsidRPr="007A177A">
        <w:rPr>
          <w:rFonts w:ascii="Arial" w:hAnsi="Arial" w:cs="Arial"/>
          <w:b/>
          <w:bCs/>
          <w:iCs/>
        </w:rPr>
        <w:t>4</w:t>
      </w:r>
      <w:r w:rsidR="00F83C47" w:rsidRPr="007A177A">
        <w:rPr>
          <w:rFonts w:ascii="Arial" w:hAnsi="Arial" w:cs="Arial"/>
          <w:b/>
          <w:bCs/>
          <w:iCs/>
        </w:rPr>
        <w:t>.7.</w:t>
      </w:r>
      <w:r w:rsidR="00F83C47" w:rsidRPr="007A177A">
        <w:rPr>
          <w:rFonts w:ascii="Arial" w:hAnsi="Arial" w:cs="Arial"/>
          <w:bCs/>
          <w:iCs/>
        </w:rPr>
        <w:t xml:space="preserve"> En esa oportunidad el Ministerio Público presentó </w:t>
      </w:r>
      <w:r w:rsidR="00972E03" w:rsidRPr="007A177A">
        <w:rPr>
          <w:rFonts w:ascii="Arial" w:hAnsi="Arial" w:cs="Arial"/>
          <w:bCs/>
          <w:iCs/>
        </w:rPr>
        <w:t xml:space="preserve">su </w:t>
      </w:r>
      <w:r w:rsidR="00F83C47" w:rsidRPr="007A177A">
        <w:rPr>
          <w:rFonts w:ascii="Arial" w:hAnsi="Arial" w:cs="Arial"/>
          <w:bCs/>
          <w:iCs/>
        </w:rPr>
        <w:t>concepto</w:t>
      </w:r>
      <w:r w:rsidR="00DA2AF3" w:rsidRPr="007A177A">
        <w:rPr>
          <w:rFonts w:ascii="Arial" w:hAnsi="Arial" w:cs="Arial"/>
          <w:bCs/>
          <w:iCs/>
        </w:rPr>
        <w:t xml:space="preserve"> y</w:t>
      </w:r>
      <w:r w:rsidR="00F83C47" w:rsidRPr="007A177A">
        <w:rPr>
          <w:rFonts w:ascii="Arial" w:hAnsi="Arial" w:cs="Arial"/>
          <w:bCs/>
          <w:iCs/>
        </w:rPr>
        <w:t xml:space="preserve"> </w:t>
      </w:r>
      <w:r w:rsidR="00DA2AF3" w:rsidRPr="007A177A">
        <w:rPr>
          <w:rFonts w:ascii="Arial" w:hAnsi="Arial" w:cs="Arial"/>
          <w:bCs/>
          <w:iCs/>
        </w:rPr>
        <w:t xml:space="preserve">solicitó </w:t>
      </w:r>
      <w:r w:rsidR="00F83C47" w:rsidRPr="007A177A">
        <w:rPr>
          <w:rFonts w:ascii="Arial" w:hAnsi="Arial" w:cs="Arial"/>
          <w:bCs/>
          <w:iCs/>
        </w:rPr>
        <w:t>denegar las pretensiones de la demanda, por cuanto</w:t>
      </w:r>
      <w:r w:rsidR="00972E03" w:rsidRPr="007A177A">
        <w:rPr>
          <w:rFonts w:ascii="Arial" w:hAnsi="Arial" w:cs="Arial"/>
          <w:bCs/>
          <w:iCs/>
        </w:rPr>
        <w:t xml:space="preserve"> observó que </w:t>
      </w:r>
      <w:r w:rsidR="00F83C47" w:rsidRPr="007A177A">
        <w:rPr>
          <w:rFonts w:ascii="Arial" w:hAnsi="Arial" w:cs="Arial"/>
          <w:bCs/>
          <w:iCs/>
        </w:rPr>
        <w:t>las pruebas obrantes en el expediente acreditaban que el Fondo V</w:t>
      </w:r>
      <w:r w:rsidR="00522F90" w:rsidRPr="007A177A">
        <w:rPr>
          <w:rFonts w:ascii="Arial" w:hAnsi="Arial" w:cs="Arial"/>
          <w:bCs/>
          <w:iCs/>
        </w:rPr>
        <w:t>i</w:t>
      </w:r>
      <w:r w:rsidR="00F83C47" w:rsidRPr="007A177A">
        <w:rPr>
          <w:rFonts w:ascii="Arial" w:hAnsi="Arial" w:cs="Arial"/>
          <w:bCs/>
          <w:iCs/>
        </w:rPr>
        <w:t>al Nacional pagó las obras ejecutadas</w:t>
      </w:r>
      <w:r w:rsidR="006736CE" w:rsidRPr="007A177A">
        <w:rPr>
          <w:rFonts w:ascii="Arial" w:hAnsi="Arial" w:cs="Arial"/>
          <w:bCs/>
          <w:iCs/>
        </w:rPr>
        <w:t>.</w:t>
      </w:r>
    </w:p>
    <w:p w14:paraId="29E7A07E" w14:textId="77777777" w:rsidR="00560E92" w:rsidRPr="007A177A" w:rsidRDefault="00560E92" w:rsidP="00BF333B">
      <w:pPr>
        <w:spacing w:line="360" w:lineRule="auto"/>
        <w:jc w:val="both"/>
        <w:rPr>
          <w:rFonts w:ascii="Arial" w:hAnsi="Arial" w:cs="Arial"/>
          <w:bCs/>
          <w:iCs/>
        </w:rPr>
      </w:pPr>
    </w:p>
    <w:p w14:paraId="3604CE20" w14:textId="77777777" w:rsidR="009D0E50" w:rsidRPr="007A177A" w:rsidRDefault="001B5C0C" w:rsidP="00BF333B">
      <w:pPr>
        <w:pStyle w:val="Lista2"/>
        <w:ind w:left="0" w:firstLine="0"/>
        <w:rPr>
          <w:rFonts w:cs="Arial"/>
          <w:b/>
        </w:rPr>
      </w:pPr>
      <w:r w:rsidRPr="007A177A">
        <w:rPr>
          <w:rFonts w:cs="Arial"/>
          <w:b/>
        </w:rPr>
        <w:t>5.</w:t>
      </w:r>
      <w:r w:rsidR="009D0E50" w:rsidRPr="007A177A">
        <w:rPr>
          <w:rFonts w:cs="Arial"/>
          <w:b/>
        </w:rPr>
        <w:t xml:space="preserve"> La sentencia </w:t>
      </w:r>
      <w:r w:rsidR="005C5111" w:rsidRPr="007A177A">
        <w:rPr>
          <w:rFonts w:cs="Arial"/>
          <w:b/>
        </w:rPr>
        <w:t>apelada</w:t>
      </w:r>
    </w:p>
    <w:p w14:paraId="71647EFC" w14:textId="77777777" w:rsidR="009D0E50" w:rsidRPr="007A177A" w:rsidRDefault="009D0E50" w:rsidP="00BF333B">
      <w:pPr>
        <w:numPr>
          <w:ilvl w:val="12"/>
          <w:numId w:val="0"/>
        </w:numPr>
        <w:spacing w:line="360" w:lineRule="auto"/>
        <w:jc w:val="both"/>
        <w:rPr>
          <w:rFonts w:ascii="Arial" w:hAnsi="Arial" w:cs="Arial"/>
          <w:bCs/>
        </w:rPr>
      </w:pPr>
    </w:p>
    <w:p w14:paraId="37686FD3" w14:textId="77777777" w:rsidR="00C737BA" w:rsidRPr="007A177A" w:rsidRDefault="009D0E50" w:rsidP="00BF333B">
      <w:pPr>
        <w:pStyle w:val="Continuarlista2"/>
        <w:spacing w:after="0"/>
        <w:ind w:left="0"/>
        <w:rPr>
          <w:rFonts w:cs="Arial"/>
        </w:rPr>
      </w:pPr>
      <w:r w:rsidRPr="007A177A">
        <w:rPr>
          <w:rFonts w:cs="Arial"/>
        </w:rPr>
        <w:t>El Tribunal Administrativo de</w:t>
      </w:r>
      <w:r w:rsidR="004E1AB5" w:rsidRPr="007A177A">
        <w:rPr>
          <w:rFonts w:cs="Arial"/>
        </w:rPr>
        <w:t xml:space="preserve"> Bolívar, Sala de Decisión No. 5 del sistema escritural</w:t>
      </w:r>
      <w:r w:rsidR="00231F4C" w:rsidRPr="007A177A">
        <w:rPr>
          <w:rStyle w:val="Refdenotaalpie"/>
          <w:rFonts w:cs="Arial"/>
        </w:rPr>
        <w:footnoteReference w:id="18"/>
      </w:r>
      <w:r w:rsidR="000F538A" w:rsidRPr="007A177A">
        <w:rPr>
          <w:rFonts w:cs="Arial"/>
        </w:rPr>
        <w:t xml:space="preserve"> en </w:t>
      </w:r>
      <w:r w:rsidR="00B51FBA" w:rsidRPr="007A177A">
        <w:rPr>
          <w:rFonts w:cs="Arial"/>
        </w:rPr>
        <w:t>descongestión</w:t>
      </w:r>
      <w:r w:rsidR="00236EF0" w:rsidRPr="007A177A">
        <w:rPr>
          <w:rFonts w:cs="Arial"/>
        </w:rPr>
        <w:t xml:space="preserve">, </w:t>
      </w:r>
      <w:r w:rsidRPr="007A177A">
        <w:rPr>
          <w:rFonts w:cs="Arial"/>
        </w:rPr>
        <w:t xml:space="preserve">profirió sentencia el </w:t>
      </w:r>
      <w:r w:rsidR="006D7634" w:rsidRPr="007A177A">
        <w:rPr>
          <w:rFonts w:cs="Arial"/>
        </w:rPr>
        <w:t xml:space="preserve">24 de noviembre de 2016, </w:t>
      </w:r>
      <w:r w:rsidRPr="007A177A">
        <w:rPr>
          <w:rFonts w:cs="Arial"/>
        </w:rPr>
        <w:t xml:space="preserve">en la </w:t>
      </w:r>
      <w:r w:rsidR="00BD0BFB" w:rsidRPr="007A177A">
        <w:rPr>
          <w:rFonts w:cs="Arial"/>
        </w:rPr>
        <w:t xml:space="preserve">que se </w:t>
      </w:r>
      <w:r w:rsidR="00830FA2" w:rsidRPr="007A177A">
        <w:rPr>
          <w:rFonts w:cs="Arial"/>
        </w:rPr>
        <w:t>declar</w:t>
      </w:r>
      <w:r w:rsidR="00DA2AF3" w:rsidRPr="007A177A">
        <w:rPr>
          <w:rFonts w:cs="Arial"/>
        </w:rPr>
        <w:t>ó</w:t>
      </w:r>
      <w:r w:rsidR="00830FA2" w:rsidRPr="007A177A">
        <w:rPr>
          <w:rFonts w:cs="Arial"/>
        </w:rPr>
        <w:t xml:space="preserve"> el incumplimiento </w:t>
      </w:r>
      <w:r w:rsidR="001A0C62" w:rsidRPr="007A177A">
        <w:rPr>
          <w:rFonts w:cs="Arial"/>
        </w:rPr>
        <w:t>del Contrato No</w:t>
      </w:r>
      <w:r w:rsidR="0004537F" w:rsidRPr="007A177A">
        <w:rPr>
          <w:rFonts w:cs="Arial"/>
        </w:rPr>
        <w:t>.</w:t>
      </w:r>
      <w:r w:rsidR="001A0C62" w:rsidRPr="007A177A">
        <w:rPr>
          <w:rFonts w:cs="Arial"/>
        </w:rPr>
        <w:t xml:space="preserve"> 358 de 197</w:t>
      </w:r>
      <w:r w:rsidR="0004537F" w:rsidRPr="007A177A">
        <w:rPr>
          <w:rFonts w:cs="Arial"/>
        </w:rPr>
        <w:t>6</w:t>
      </w:r>
      <w:r w:rsidR="001A0C62" w:rsidRPr="007A177A">
        <w:rPr>
          <w:rFonts w:cs="Arial"/>
        </w:rPr>
        <w:t>, “</w:t>
      </w:r>
      <w:r w:rsidR="001A0C62" w:rsidRPr="007A177A">
        <w:rPr>
          <w:rFonts w:cs="Arial"/>
          <w:i/>
        </w:rPr>
        <w:t>con lo cual ocasionó el rompimiento del equilibrio financiero del mismo”</w:t>
      </w:r>
      <w:r w:rsidR="001A0C62" w:rsidRPr="007A177A">
        <w:rPr>
          <w:rFonts w:cs="Arial"/>
        </w:rPr>
        <w:t xml:space="preserve"> </w:t>
      </w:r>
      <w:r w:rsidR="00830FA2" w:rsidRPr="007A177A">
        <w:rPr>
          <w:rFonts w:cs="Arial"/>
        </w:rPr>
        <w:t>y conden</w:t>
      </w:r>
      <w:r w:rsidR="006736CE" w:rsidRPr="007A177A">
        <w:rPr>
          <w:rFonts w:cs="Arial"/>
        </w:rPr>
        <w:t>ó</w:t>
      </w:r>
      <w:r w:rsidR="00830FA2" w:rsidRPr="007A177A">
        <w:rPr>
          <w:rFonts w:cs="Arial"/>
        </w:rPr>
        <w:t xml:space="preserve"> a</w:t>
      </w:r>
      <w:r w:rsidR="001A0C62" w:rsidRPr="007A177A">
        <w:rPr>
          <w:rFonts w:cs="Arial"/>
        </w:rPr>
        <w:t xml:space="preserve">l </w:t>
      </w:r>
      <w:proofErr w:type="spellStart"/>
      <w:r w:rsidR="001A0C62" w:rsidRPr="007A177A">
        <w:rPr>
          <w:rFonts w:cs="Arial"/>
        </w:rPr>
        <w:t>Invías</w:t>
      </w:r>
      <w:proofErr w:type="spellEnd"/>
      <w:r w:rsidR="001A0C62" w:rsidRPr="007A177A">
        <w:rPr>
          <w:rFonts w:cs="Arial"/>
        </w:rPr>
        <w:t xml:space="preserve"> a pagar la </w:t>
      </w:r>
      <w:r w:rsidR="00830FA2" w:rsidRPr="007A177A">
        <w:rPr>
          <w:rFonts w:cs="Arial"/>
        </w:rPr>
        <w:t xml:space="preserve">indemnización </w:t>
      </w:r>
      <w:r w:rsidR="001B050B" w:rsidRPr="007A177A">
        <w:rPr>
          <w:rFonts w:cs="Arial"/>
        </w:rPr>
        <w:t xml:space="preserve">de perjuicios por </w:t>
      </w:r>
      <w:r w:rsidR="004004CB" w:rsidRPr="007A177A">
        <w:rPr>
          <w:rFonts w:cs="Arial"/>
        </w:rPr>
        <w:t>la suma de $6.490’270.429 pesos</w:t>
      </w:r>
      <w:r w:rsidR="00ED4A04" w:rsidRPr="007A177A">
        <w:rPr>
          <w:rFonts w:cs="Arial"/>
        </w:rPr>
        <w:t>,</w:t>
      </w:r>
      <w:r w:rsidR="004004CB" w:rsidRPr="007A177A">
        <w:rPr>
          <w:rFonts w:cs="Arial"/>
        </w:rPr>
        <w:t xml:space="preserve"> discriminada en </w:t>
      </w:r>
      <w:r w:rsidR="001B050B" w:rsidRPr="007A177A">
        <w:rPr>
          <w:rFonts w:cs="Arial"/>
        </w:rPr>
        <w:t>los siguientes conceptos</w:t>
      </w:r>
      <w:r w:rsidR="001C3848" w:rsidRPr="007A177A">
        <w:rPr>
          <w:rFonts w:cs="Arial"/>
        </w:rPr>
        <w:t xml:space="preserve"> (se tra</w:t>
      </w:r>
      <w:r w:rsidR="00E06515" w:rsidRPr="007A177A">
        <w:rPr>
          <w:rFonts w:cs="Arial"/>
        </w:rPr>
        <w:t>n</w:t>
      </w:r>
      <w:r w:rsidR="001C3848" w:rsidRPr="007A177A">
        <w:rPr>
          <w:rFonts w:cs="Arial"/>
        </w:rPr>
        <w:t>scribe de forma literal)</w:t>
      </w:r>
      <w:r w:rsidR="001B050B" w:rsidRPr="007A177A">
        <w:rPr>
          <w:rFonts w:cs="Arial"/>
        </w:rPr>
        <w:t xml:space="preserve">: </w:t>
      </w:r>
    </w:p>
    <w:p w14:paraId="7FB33652" w14:textId="77777777" w:rsidR="00C737BA" w:rsidRPr="007A177A" w:rsidRDefault="00C737BA" w:rsidP="00BF333B">
      <w:pPr>
        <w:pStyle w:val="Continuarlista2"/>
        <w:spacing w:after="0"/>
        <w:ind w:left="0"/>
        <w:rPr>
          <w:rFonts w:cs="Arial"/>
        </w:rPr>
      </w:pPr>
    </w:p>
    <w:p w14:paraId="1937F016" w14:textId="77777777" w:rsidR="00C737BA" w:rsidRPr="007A177A" w:rsidRDefault="00C737BA" w:rsidP="00BF333B">
      <w:pPr>
        <w:pStyle w:val="Continuarlista2"/>
        <w:spacing w:after="0" w:line="240" w:lineRule="auto"/>
        <w:ind w:right="902"/>
        <w:rPr>
          <w:rFonts w:cs="Arial"/>
          <w:i/>
          <w:lang w:val="es-MX"/>
        </w:rPr>
      </w:pPr>
      <w:r w:rsidRPr="007A177A">
        <w:rPr>
          <w:rFonts w:cs="Arial"/>
          <w:i/>
          <w:lang w:val="es-MX"/>
        </w:rPr>
        <w:t>“(…) $35’779.583,00, ya actualizados como indemnización por el desequilibrio económico que ocasionó la entidad demandada por el incumplimiento en el pago oportuno de las actas de entrega de obra No. 6 a la No. 11 y la 17, del Contrato 358 de 1976</w:t>
      </w:r>
      <w:r w:rsidR="000541A8" w:rsidRPr="007A177A">
        <w:rPr>
          <w:rStyle w:val="Refdenotaalpie"/>
          <w:rFonts w:cs="Arial"/>
          <w:i/>
          <w:lang w:val="es-MX"/>
        </w:rPr>
        <w:footnoteReference w:id="19"/>
      </w:r>
      <w:r w:rsidR="00E061EA" w:rsidRPr="007A177A">
        <w:rPr>
          <w:rFonts w:cs="Arial"/>
          <w:i/>
          <w:lang w:val="es-MX"/>
        </w:rPr>
        <w:t>.</w:t>
      </w:r>
      <w:r w:rsidRPr="007A177A">
        <w:rPr>
          <w:rFonts w:cs="Arial"/>
          <w:i/>
          <w:lang w:val="es-MX"/>
        </w:rPr>
        <w:t xml:space="preserve"> </w:t>
      </w:r>
    </w:p>
    <w:p w14:paraId="7B39C55D" w14:textId="77777777" w:rsidR="00C737BA" w:rsidRPr="007A177A" w:rsidRDefault="00C737BA" w:rsidP="00BF333B">
      <w:pPr>
        <w:pStyle w:val="Continuarlista2"/>
        <w:spacing w:after="0" w:line="240" w:lineRule="auto"/>
        <w:ind w:right="902"/>
        <w:rPr>
          <w:rFonts w:cs="Arial"/>
          <w:i/>
          <w:lang w:val="es-MX"/>
        </w:rPr>
      </w:pPr>
    </w:p>
    <w:p w14:paraId="72557359" w14:textId="77777777" w:rsidR="00C737BA" w:rsidRPr="007A177A" w:rsidRDefault="00C737BA" w:rsidP="00BF333B">
      <w:pPr>
        <w:pStyle w:val="Continuarlista2"/>
        <w:spacing w:after="0" w:line="240" w:lineRule="auto"/>
        <w:ind w:right="902"/>
        <w:rPr>
          <w:rFonts w:cs="Arial"/>
          <w:i/>
          <w:lang w:val="es-MX"/>
        </w:rPr>
      </w:pPr>
      <w:r w:rsidRPr="007A177A">
        <w:rPr>
          <w:rFonts w:cs="Arial"/>
          <w:i/>
          <w:lang w:val="es-MX"/>
        </w:rPr>
        <w:t xml:space="preserve">“(…) $4.660’163.720,45, suma ya actualizada, como indemnización por el desequilibrio económico que ocasionó la entidad demandada por el incumplimiento de fijación de nuevos precios unitarios del ítem </w:t>
      </w:r>
      <w:r w:rsidR="00740CBE" w:rsidRPr="007A177A">
        <w:rPr>
          <w:rFonts w:cs="Arial"/>
          <w:i/>
          <w:lang w:val="es-MX"/>
        </w:rPr>
        <w:t>excavación en roca</w:t>
      </w:r>
      <w:r w:rsidR="00C83C88" w:rsidRPr="007A177A">
        <w:rPr>
          <w:rStyle w:val="Refdenotaalpie"/>
          <w:rFonts w:cs="Arial"/>
          <w:i/>
          <w:lang w:val="es-MX"/>
        </w:rPr>
        <w:footnoteReference w:id="20"/>
      </w:r>
      <w:r w:rsidR="00740CBE" w:rsidRPr="007A177A">
        <w:rPr>
          <w:rFonts w:cs="Arial"/>
          <w:i/>
          <w:lang w:val="es-MX"/>
        </w:rPr>
        <w:t xml:space="preserve"> </w:t>
      </w:r>
      <w:r w:rsidRPr="007A177A">
        <w:rPr>
          <w:rFonts w:cs="Arial"/>
          <w:i/>
          <w:lang w:val="es-MX"/>
        </w:rPr>
        <w:t>que tuvo variación en más de veinte cinco (25%) de su valor inicial.</w:t>
      </w:r>
    </w:p>
    <w:p w14:paraId="02E8345E" w14:textId="77777777" w:rsidR="00C737BA" w:rsidRPr="007A177A" w:rsidRDefault="00C737BA" w:rsidP="00BF333B">
      <w:pPr>
        <w:pStyle w:val="Continuarlista2"/>
        <w:spacing w:after="0" w:line="240" w:lineRule="auto"/>
        <w:ind w:right="902"/>
        <w:rPr>
          <w:rFonts w:cs="Arial"/>
          <w:i/>
          <w:lang w:val="es-MX"/>
        </w:rPr>
      </w:pPr>
    </w:p>
    <w:p w14:paraId="212DAD67" w14:textId="77777777" w:rsidR="00740CBE" w:rsidRPr="007A177A" w:rsidRDefault="00740CBE" w:rsidP="00BF333B">
      <w:pPr>
        <w:pStyle w:val="Continuarlista2"/>
        <w:spacing w:after="0" w:line="240" w:lineRule="auto"/>
        <w:ind w:right="902"/>
        <w:rPr>
          <w:rFonts w:cs="Arial"/>
          <w:i/>
          <w:lang w:val="es-MX"/>
        </w:rPr>
      </w:pPr>
      <w:r w:rsidRPr="007A177A">
        <w:rPr>
          <w:rFonts w:cs="Arial"/>
          <w:i/>
          <w:lang w:val="es-MX"/>
        </w:rPr>
        <w:t>“(…) $1.487.283.529,88, suma ya actualizada, como indemnización por el desequilibrio económico que ocasionó la entidad demandada por el incumplimiento de fijación de nuevos precios unitarios del ítem de acar</w:t>
      </w:r>
      <w:r w:rsidR="00CE4F7E" w:rsidRPr="007A177A">
        <w:rPr>
          <w:rFonts w:cs="Arial"/>
          <w:i/>
          <w:lang w:val="es-MX"/>
        </w:rPr>
        <w:t>r</w:t>
      </w:r>
      <w:r w:rsidRPr="007A177A">
        <w:rPr>
          <w:rFonts w:cs="Arial"/>
          <w:i/>
          <w:lang w:val="es-MX"/>
        </w:rPr>
        <w:t>eo</w:t>
      </w:r>
      <w:r w:rsidR="00CE4F7E" w:rsidRPr="007A177A">
        <w:rPr>
          <w:rFonts w:cs="Arial"/>
          <w:i/>
          <w:lang w:val="es-MX"/>
        </w:rPr>
        <w:t xml:space="preserve"> de materiales para terraplenes</w:t>
      </w:r>
      <w:r w:rsidR="00CE4F7E" w:rsidRPr="007A177A">
        <w:rPr>
          <w:rStyle w:val="Refdenotaalpie"/>
          <w:rFonts w:cs="Arial"/>
          <w:i/>
          <w:lang w:val="es-MX"/>
        </w:rPr>
        <w:footnoteReference w:id="21"/>
      </w:r>
      <w:r w:rsidR="00CE4F7E" w:rsidRPr="007A177A">
        <w:rPr>
          <w:rFonts w:cs="Arial"/>
          <w:i/>
          <w:lang w:val="es-MX"/>
        </w:rPr>
        <w:t xml:space="preserve"> </w:t>
      </w:r>
      <w:r w:rsidRPr="007A177A">
        <w:rPr>
          <w:rFonts w:cs="Arial"/>
          <w:i/>
          <w:lang w:val="es-MX"/>
        </w:rPr>
        <w:t>que tuvo variación en más de veinte cinco (25%) de su valor inicial</w:t>
      </w:r>
      <w:r w:rsidR="00CE4F7E" w:rsidRPr="007A177A">
        <w:rPr>
          <w:rFonts w:cs="Arial"/>
          <w:i/>
          <w:lang w:val="es-MX"/>
        </w:rPr>
        <w:t>.</w:t>
      </w:r>
    </w:p>
    <w:p w14:paraId="7B6DD8D4" w14:textId="77777777" w:rsidR="00CE4F7E" w:rsidRPr="007A177A" w:rsidRDefault="00CE4F7E" w:rsidP="00BF333B">
      <w:pPr>
        <w:pStyle w:val="Continuarlista2"/>
        <w:spacing w:after="0" w:line="240" w:lineRule="auto"/>
        <w:ind w:right="902"/>
        <w:rPr>
          <w:rFonts w:cs="Arial"/>
          <w:i/>
          <w:lang w:val="es-MX"/>
        </w:rPr>
      </w:pPr>
    </w:p>
    <w:p w14:paraId="4024277D" w14:textId="77777777" w:rsidR="00C737BA" w:rsidRPr="007A177A" w:rsidRDefault="00C737BA" w:rsidP="00BF333B">
      <w:pPr>
        <w:pStyle w:val="Continuarlista2"/>
        <w:spacing w:after="0" w:line="240" w:lineRule="auto"/>
        <w:ind w:right="902"/>
        <w:rPr>
          <w:rFonts w:cs="Arial"/>
          <w:i/>
          <w:lang w:val="es-MX"/>
        </w:rPr>
      </w:pPr>
      <w:r w:rsidRPr="007A177A">
        <w:rPr>
          <w:rFonts w:cs="Arial"/>
          <w:i/>
          <w:lang w:val="es-MX"/>
        </w:rPr>
        <w:t xml:space="preserve">“(…) $307’043.597,97 suma ya actualizada, como indemnización por el desequilibrio económico que ocasionó la entidad demandada por el </w:t>
      </w:r>
      <w:r w:rsidRPr="007A177A">
        <w:rPr>
          <w:rFonts w:cs="Arial"/>
          <w:i/>
          <w:lang w:val="es-MX"/>
        </w:rPr>
        <w:lastRenderedPageBreak/>
        <w:t>incumplimiento en el pago de 82.090</w:t>
      </w:r>
      <w:r w:rsidR="006736CE" w:rsidRPr="007A177A">
        <w:rPr>
          <w:rFonts w:cs="Arial"/>
          <w:i/>
          <w:lang w:val="es-MX"/>
        </w:rPr>
        <w:t>,</w:t>
      </w:r>
      <w:r w:rsidRPr="007A177A">
        <w:rPr>
          <w:rFonts w:cs="Arial"/>
          <w:i/>
          <w:lang w:val="es-MX"/>
        </w:rPr>
        <w:t>30 M3/KM de acarreo de materiales para terraplenes</w:t>
      </w:r>
      <w:r w:rsidR="006B52CB" w:rsidRPr="007A177A">
        <w:rPr>
          <w:rStyle w:val="Refdenotaalpie"/>
          <w:rFonts w:cs="Arial"/>
          <w:i/>
          <w:lang w:val="es-MX"/>
        </w:rPr>
        <w:footnoteReference w:id="22"/>
      </w:r>
      <w:r w:rsidRPr="007A177A">
        <w:rPr>
          <w:rFonts w:cs="Arial"/>
          <w:i/>
          <w:lang w:val="es-MX"/>
        </w:rPr>
        <w:t>, adeudados al contratista, que reflejan las preactas de obra desde la 23 hasta la 30 inclusive</w:t>
      </w:r>
      <w:r w:rsidR="00AC3FAE" w:rsidRPr="007A177A">
        <w:rPr>
          <w:rFonts w:cs="Arial"/>
          <w:i/>
          <w:lang w:val="es-MX"/>
        </w:rPr>
        <w:t>”</w:t>
      </w:r>
      <w:r w:rsidR="003229CA" w:rsidRPr="007A177A">
        <w:rPr>
          <w:rStyle w:val="Refdenotaalpie"/>
          <w:rFonts w:cs="Arial"/>
          <w:i/>
          <w:lang w:val="es-MX"/>
        </w:rPr>
        <w:footnoteReference w:id="23"/>
      </w:r>
      <w:r w:rsidR="0004537F" w:rsidRPr="007A177A">
        <w:rPr>
          <w:rFonts w:cs="Arial"/>
          <w:i/>
          <w:lang w:val="es-MX"/>
        </w:rPr>
        <w:t>.</w:t>
      </w:r>
    </w:p>
    <w:p w14:paraId="2DB1BCC9" w14:textId="77777777" w:rsidR="00387160" w:rsidRPr="007A177A" w:rsidRDefault="00387160" w:rsidP="00BF333B">
      <w:pPr>
        <w:pStyle w:val="Continuarlista2"/>
        <w:spacing w:after="0"/>
        <w:ind w:left="0"/>
        <w:rPr>
          <w:rFonts w:cs="Arial"/>
        </w:rPr>
      </w:pPr>
    </w:p>
    <w:p w14:paraId="16A4289D" w14:textId="77777777" w:rsidR="00400F39" w:rsidRPr="007A177A" w:rsidRDefault="009D0E50" w:rsidP="00BF333B">
      <w:pPr>
        <w:pStyle w:val="Continuarlista2"/>
        <w:spacing w:after="0"/>
        <w:ind w:left="0"/>
        <w:rPr>
          <w:rFonts w:cs="Arial"/>
          <w:lang w:val="es-MX"/>
        </w:rPr>
      </w:pPr>
      <w:r w:rsidRPr="007A177A">
        <w:rPr>
          <w:rFonts w:cs="Arial"/>
          <w:lang w:val="es-MX"/>
        </w:rPr>
        <w:t xml:space="preserve">El Tribunal </w:t>
      </w:r>
      <w:r w:rsidRPr="007A177A">
        <w:rPr>
          <w:rFonts w:cs="Arial"/>
          <w:i/>
          <w:lang w:val="es-MX"/>
        </w:rPr>
        <w:t>a quo</w:t>
      </w:r>
      <w:r w:rsidRPr="007A177A">
        <w:rPr>
          <w:rFonts w:cs="Arial"/>
          <w:lang w:val="es-MX"/>
        </w:rPr>
        <w:t xml:space="preserve"> apoyó su decisión en</w:t>
      </w:r>
      <w:r w:rsidR="009A4BE6" w:rsidRPr="007A177A">
        <w:rPr>
          <w:rFonts w:cs="Arial"/>
          <w:lang w:val="es-MX"/>
        </w:rPr>
        <w:t xml:space="preserve"> el análisis de</w:t>
      </w:r>
      <w:r w:rsidR="00400F39" w:rsidRPr="007A177A">
        <w:rPr>
          <w:rFonts w:cs="Arial"/>
          <w:lang w:val="es-MX"/>
        </w:rPr>
        <w:t xml:space="preserve"> l</w:t>
      </w:r>
      <w:r w:rsidR="00210366" w:rsidRPr="007A177A">
        <w:rPr>
          <w:rFonts w:cs="Arial"/>
          <w:lang w:val="es-MX"/>
        </w:rPr>
        <w:t>as pruebas co</w:t>
      </w:r>
      <w:r w:rsidR="00343252" w:rsidRPr="007A177A">
        <w:rPr>
          <w:rFonts w:cs="Arial"/>
          <w:lang w:val="es-MX"/>
        </w:rPr>
        <w:t xml:space="preserve">ntenidas en </w:t>
      </w:r>
      <w:r w:rsidR="00210366" w:rsidRPr="007A177A">
        <w:rPr>
          <w:rFonts w:cs="Arial"/>
          <w:lang w:val="es-MX"/>
        </w:rPr>
        <w:t>l</w:t>
      </w:r>
      <w:r w:rsidR="00400F39" w:rsidRPr="007A177A">
        <w:rPr>
          <w:rFonts w:cs="Arial"/>
          <w:lang w:val="es-MX"/>
        </w:rPr>
        <w:t>os oficios</w:t>
      </w:r>
      <w:r w:rsidR="004004CB" w:rsidRPr="007A177A">
        <w:rPr>
          <w:rFonts w:cs="Arial"/>
          <w:lang w:val="es-MX"/>
        </w:rPr>
        <w:t xml:space="preserve"> y</w:t>
      </w:r>
      <w:r w:rsidR="00343252" w:rsidRPr="007A177A">
        <w:rPr>
          <w:rFonts w:cs="Arial"/>
          <w:lang w:val="es-MX"/>
        </w:rPr>
        <w:t xml:space="preserve"> la </w:t>
      </w:r>
      <w:r w:rsidR="00400F39" w:rsidRPr="007A177A">
        <w:rPr>
          <w:rFonts w:cs="Arial"/>
          <w:lang w:val="es-MX"/>
        </w:rPr>
        <w:t>correspondencia entre las partes</w:t>
      </w:r>
      <w:r w:rsidR="002921FE" w:rsidRPr="007A177A">
        <w:rPr>
          <w:rFonts w:cs="Arial"/>
          <w:lang w:val="es-MX"/>
        </w:rPr>
        <w:t>, el informe de</w:t>
      </w:r>
      <w:r w:rsidR="00343252" w:rsidRPr="007A177A">
        <w:rPr>
          <w:rFonts w:cs="Arial"/>
          <w:lang w:val="es-MX"/>
        </w:rPr>
        <w:t xml:space="preserve"> </w:t>
      </w:r>
      <w:r w:rsidR="002921FE" w:rsidRPr="007A177A">
        <w:rPr>
          <w:rFonts w:cs="Arial"/>
          <w:lang w:val="es-MX"/>
        </w:rPr>
        <w:t xml:space="preserve">visita </w:t>
      </w:r>
      <w:r w:rsidR="00343252" w:rsidRPr="007A177A">
        <w:rPr>
          <w:rFonts w:cs="Arial"/>
          <w:lang w:val="es-MX"/>
        </w:rPr>
        <w:t xml:space="preserve">presentado </w:t>
      </w:r>
      <w:r w:rsidR="002921FE" w:rsidRPr="007A177A">
        <w:rPr>
          <w:rFonts w:cs="Arial"/>
          <w:lang w:val="es-MX"/>
        </w:rPr>
        <w:t>el 4 de junio de 197</w:t>
      </w:r>
      <w:r w:rsidR="00857DBD" w:rsidRPr="007A177A">
        <w:rPr>
          <w:rFonts w:cs="Arial"/>
          <w:lang w:val="es-MX"/>
        </w:rPr>
        <w:t>9</w:t>
      </w:r>
      <w:r w:rsidR="002921FE" w:rsidRPr="007A177A">
        <w:rPr>
          <w:rFonts w:cs="Arial"/>
          <w:lang w:val="es-MX"/>
        </w:rPr>
        <w:t xml:space="preserve"> y </w:t>
      </w:r>
      <w:r w:rsidR="00400F39" w:rsidRPr="007A177A">
        <w:rPr>
          <w:rFonts w:cs="Arial"/>
          <w:lang w:val="es-MX"/>
        </w:rPr>
        <w:t xml:space="preserve">el contenido del </w:t>
      </w:r>
      <w:r w:rsidR="009A4BE6" w:rsidRPr="007A177A">
        <w:rPr>
          <w:rFonts w:cs="Arial"/>
          <w:lang w:val="es-MX"/>
        </w:rPr>
        <w:t>acta de la visita de inspección real</w:t>
      </w:r>
      <w:r w:rsidR="00927360" w:rsidRPr="007A177A">
        <w:rPr>
          <w:rFonts w:cs="Arial"/>
          <w:lang w:val="es-MX"/>
        </w:rPr>
        <w:t>i</w:t>
      </w:r>
      <w:r w:rsidR="009A4BE6" w:rsidRPr="007A177A">
        <w:rPr>
          <w:rFonts w:cs="Arial"/>
          <w:lang w:val="es-MX"/>
        </w:rPr>
        <w:t>zada el 21 de abril de 1980 por el Viceministro de Obras Públicas, los interventores y los representantes de la</w:t>
      </w:r>
      <w:r w:rsidR="00343252" w:rsidRPr="007A177A">
        <w:rPr>
          <w:rFonts w:cs="Arial"/>
          <w:lang w:val="es-MX"/>
        </w:rPr>
        <w:t xml:space="preserve"> parte </w:t>
      </w:r>
      <w:r w:rsidR="009A4BE6" w:rsidRPr="007A177A">
        <w:rPr>
          <w:rFonts w:cs="Arial"/>
          <w:lang w:val="es-MX"/>
        </w:rPr>
        <w:t>contratista, en l</w:t>
      </w:r>
      <w:r w:rsidR="006736CE" w:rsidRPr="007A177A">
        <w:rPr>
          <w:rFonts w:cs="Arial"/>
          <w:lang w:val="es-MX"/>
        </w:rPr>
        <w:t>a cua</w:t>
      </w:r>
      <w:r w:rsidR="004004CB" w:rsidRPr="007A177A">
        <w:rPr>
          <w:rFonts w:cs="Arial"/>
          <w:lang w:val="es-MX"/>
        </w:rPr>
        <w:t>l</w:t>
      </w:r>
      <w:r w:rsidR="006736CE" w:rsidRPr="007A177A">
        <w:rPr>
          <w:rFonts w:cs="Arial"/>
          <w:lang w:val="es-MX"/>
        </w:rPr>
        <w:t xml:space="preserve"> </w:t>
      </w:r>
      <w:r w:rsidR="009A4BE6" w:rsidRPr="007A177A">
        <w:rPr>
          <w:rFonts w:cs="Arial"/>
          <w:lang w:val="es-MX"/>
        </w:rPr>
        <w:t xml:space="preserve">se evidenció el análisis de las fuentes de </w:t>
      </w:r>
      <w:r w:rsidR="000C00EC" w:rsidRPr="007A177A">
        <w:rPr>
          <w:rFonts w:cs="Arial"/>
          <w:lang w:val="es-MX"/>
        </w:rPr>
        <w:t>materiales, las condiciones de trabajo respecto del precio acordado, la clasificación de las excavaciones</w:t>
      </w:r>
      <w:r w:rsidR="00400F39" w:rsidRPr="007A177A">
        <w:rPr>
          <w:rFonts w:cs="Arial"/>
          <w:lang w:val="es-MX"/>
        </w:rPr>
        <w:t xml:space="preserve"> y otros aspectos técnicos</w:t>
      </w:r>
      <w:r w:rsidR="00591F41" w:rsidRPr="007A177A">
        <w:rPr>
          <w:rStyle w:val="Refdenotaalpie"/>
          <w:rFonts w:cs="Arial"/>
          <w:lang w:val="es-MX"/>
        </w:rPr>
        <w:footnoteReference w:id="24"/>
      </w:r>
      <w:r w:rsidR="00400F39" w:rsidRPr="007A177A">
        <w:rPr>
          <w:rFonts w:cs="Arial"/>
          <w:lang w:val="es-MX"/>
        </w:rPr>
        <w:t xml:space="preserve">. </w:t>
      </w:r>
    </w:p>
    <w:p w14:paraId="2A1718D4" w14:textId="77777777" w:rsidR="00857DBD" w:rsidRPr="007A177A" w:rsidRDefault="00857DBD" w:rsidP="00BF333B">
      <w:pPr>
        <w:pStyle w:val="Continuarlista2"/>
        <w:spacing w:after="0"/>
        <w:ind w:left="0"/>
        <w:rPr>
          <w:rFonts w:cs="Arial"/>
          <w:lang w:val="es-MX"/>
        </w:rPr>
      </w:pPr>
    </w:p>
    <w:p w14:paraId="53205774" w14:textId="77777777" w:rsidR="00857DBD" w:rsidRPr="007A177A" w:rsidRDefault="00E50AB3" w:rsidP="00BF333B">
      <w:pPr>
        <w:pStyle w:val="Continuarlista2"/>
        <w:spacing w:after="0"/>
        <w:ind w:left="0"/>
        <w:rPr>
          <w:rFonts w:cs="Arial"/>
          <w:lang w:val="es-MX"/>
        </w:rPr>
      </w:pPr>
      <w:r w:rsidRPr="007A177A">
        <w:rPr>
          <w:rFonts w:cs="Arial"/>
          <w:lang w:val="es-MX"/>
        </w:rPr>
        <w:t xml:space="preserve">Por otra parte, </w:t>
      </w:r>
      <w:r w:rsidR="00857DBD" w:rsidRPr="007A177A">
        <w:rPr>
          <w:rFonts w:cs="Arial"/>
          <w:lang w:val="es-MX"/>
        </w:rPr>
        <w:t xml:space="preserve">el </w:t>
      </w:r>
      <w:r w:rsidR="00E1549E" w:rsidRPr="007A177A">
        <w:rPr>
          <w:rFonts w:cs="Arial"/>
          <w:lang w:val="es-MX"/>
        </w:rPr>
        <w:t>Tr</w:t>
      </w:r>
      <w:r w:rsidR="00857DBD" w:rsidRPr="007A177A">
        <w:rPr>
          <w:rFonts w:cs="Arial"/>
          <w:lang w:val="es-MX"/>
        </w:rPr>
        <w:t xml:space="preserve">ibunal </w:t>
      </w:r>
      <w:r w:rsidR="00857DBD" w:rsidRPr="007A177A">
        <w:rPr>
          <w:rFonts w:cs="Arial"/>
          <w:i/>
          <w:iCs/>
          <w:lang w:val="es-MX"/>
        </w:rPr>
        <w:t>a quo</w:t>
      </w:r>
      <w:r w:rsidR="007158D5" w:rsidRPr="007A177A">
        <w:rPr>
          <w:rFonts w:cs="Arial"/>
          <w:lang w:val="es-MX"/>
        </w:rPr>
        <w:t xml:space="preserve"> denegó la compensación </w:t>
      </w:r>
      <w:r w:rsidR="00927360" w:rsidRPr="007A177A">
        <w:rPr>
          <w:rFonts w:cs="Arial"/>
          <w:lang w:val="es-MX"/>
        </w:rPr>
        <w:t xml:space="preserve">establecida por el perito, que en su entender estaba fundada en </w:t>
      </w:r>
      <w:r w:rsidR="007158D5" w:rsidRPr="007A177A">
        <w:rPr>
          <w:rFonts w:cs="Arial"/>
          <w:lang w:val="es-MX"/>
        </w:rPr>
        <w:t>la</w:t>
      </w:r>
      <w:r w:rsidR="005B0D4A" w:rsidRPr="007A177A">
        <w:rPr>
          <w:rFonts w:cs="Arial"/>
          <w:lang w:val="es-MX"/>
        </w:rPr>
        <w:t xml:space="preserve"> menor cantidad </w:t>
      </w:r>
      <w:r w:rsidR="00927360" w:rsidRPr="007A177A">
        <w:rPr>
          <w:rFonts w:cs="Arial"/>
          <w:lang w:val="es-MX"/>
        </w:rPr>
        <w:t>d</w:t>
      </w:r>
      <w:r w:rsidR="005B0D4A" w:rsidRPr="007A177A">
        <w:rPr>
          <w:rFonts w:cs="Arial"/>
          <w:lang w:val="es-MX"/>
        </w:rPr>
        <w:t xml:space="preserve">e </w:t>
      </w:r>
      <w:r w:rsidR="007158D5" w:rsidRPr="007A177A">
        <w:rPr>
          <w:rFonts w:cs="Arial"/>
          <w:lang w:val="es-MX"/>
        </w:rPr>
        <w:t xml:space="preserve">actividades </w:t>
      </w:r>
      <w:r w:rsidR="00927360" w:rsidRPr="007A177A">
        <w:rPr>
          <w:rFonts w:cs="Arial"/>
          <w:lang w:val="es-MX"/>
        </w:rPr>
        <w:t xml:space="preserve">de extracción de roca </w:t>
      </w:r>
      <w:r w:rsidR="007158D5" w:rsidRPr="007A177A">
        <w:rPr>
          <w:rFonts w:cs="Arial"/>
          <w:lang w:val="es-MX"/>
        </w:rPr>
        <w:t>que no se incluyeron en las actas</w:t>
      </w:r>
      <w:r w:rsidR="00A472AC" w:rsidRPr="007A177A">
        <w:rPr>
          <w:rFonts w:cs="Arial"/>
          <w:lang w:val="es-MX"/>
        </w:rPr>
        <w:t xml:space="preserve"> </w:t>
      </w:r>
      <w:r w:rsidR="007158D5" w:rsidRPr="007A177A">
        <w:rPr>
          <w:rFonts w:cs="Arial"/>
          <w:lang w:val="es-MX"/>
        </w:rPr>
        <w:t>1 a 4</w:t>
      </w:r>
      <w:r w:rsidR="005B0D4A" w:rsidRPr="007A177A">
        <w:rPr>
          <w:rFonts w:cs="Arial"/>
          <w:lang w:val="es-MX"/>
        </w:rPr>
        <w:t xml:space="preserve"> y </w:t>
      </w:r>
      <w:r w:rsidR="007158D5" w:rsidRPr="007A177A">
        <w:rPr>
          <w:rFonts w:cs="Arial"/>
          <w:lang w:val="es-MX"/>
        </w:rPr>
        <w:t xml:space="preserve">se acumularon posteriormente en las actas subsiguientes, </w:t>
      </w:r>
      <w:r w:rsidR="00927360" w:rsidRPr="007A177A">
        <w:rPr>
          <w:rFonts w:cs="Arial"/>
          <w:lang w:val="es-MX"/>
        </w:rPr>
        <w:t xml:space="preserve">por considerar en la sentencia que no había lugar </w:t>
      </w:r>
      <w:r w:rsidR="00A472AC" w:rsidRPr="007A177A">
        <w:rPr>
          <w:rFonts w:cs="Arial"/>
          <w:lang w:val="es-MX"/>
        </w:rPr>
        <w:t xml:space="preserve">a ordenar su pago, </w:t>
      </w:r>
      <w:r w:rsidR="00927360" w:rsidRPr="007A177A">
        <w:rPr>
          <w:rFonts w:cs="Arial"/>
          <w:lang w:val="es-MX"/>
        </w:rPr>
        <w:t>en cuanto la reclasificación del material de roca no llegó a aprobarse</w:t>
      </w:r>
      <w:r w:rsidR="006736CE" w:rsidRPr="007A177A">
        <w:rPr>
          <w:rFonts w:cs="Arial"/>
          <w:lang w:val="es-MX"/>
        </w:rPr>
        <w:t xml:space="preserve"> por la contratante</w:t>
      </w:r>
      <w:r w:rsidR="00927360" w:rsidRPr="007A177A">
        <w:rPr>
          <w:rFonts w:cs="Arial"/>
          <w:lang w:val="es-MX"/>
        </w:rPr>
        <w:t>, según se observa en la siguiente conclusión</w:t>
      </w:r>
      <w:r w:rsidRPr="007A177A">
        <w:rPr>
          <w:rFonts w:cs="Arial"/>
          <w:lang w:val="es-MX"/>
        </w:rPr>
        <w:t xml:space="preserve"> (se transcribe de forma literal)</w:t>
      </w:r>
      <w:r w:rsidR="007158D5" w:rsidRPr="007A177A">
        <w:rPr>
          <w:rFonts w:cs="Arial"/>
          <w:lang w:val="es-MX"/>
        </w:rPr>
        <w:t xml:space="preserve">: </w:t>
      </w:r>
    </w:p>
    <w:p w14:paraId="1AC7E033" w14:textId="77777777" w:rsidR="007158D5" w:rsidRPr="007A177A" w:rsidRDefault="007158D5" w:rsidP="00BF333B">
      <w:pPr>
        <w:pStyle w:val="Continuarlista2"/>
        <w:spacing w:after="0"/>
        <w:ind w:left="0"/>
        <w:rPr>
          <w:rFonts w:cs="Arial"/>
          <w:lang w:val="es-MX"/>
        </w:rPr>
      </w:pPr>
    </w:p>
    <w:p w14:paraId="00F0BCF4" w14:textId="77777777" w:rsidR="00857DBD" w:rsidRPr="007A177A" w:rsidRDefault="00857DBD" w:rsidP="00BF333B">
      <w:pPr>
        <w:pStyle w:val="Continuarlista2"/>
        <w:spacing w:after="0" w:line="240" w:lineRule="auto"/>
        <w:ind w:left="567" w:right="902"/>
        <w:rPr>
          <w:rFonts w:cs="Arial"/>
          <w:i/>
          <w:lang w:val="es-MX"/>
        </w:rPr>
      </w:pPr>
      <w:r w:rsidRPr="007A177A">
        <w:rPr>
          <w:rFonts w:cs="Arial"/>
          <w:i/>
          <w:lang w:val="es-MX"/>
        </w:rPr>
        <w:t>“Sin embargo, considera la Sala que esa errónea cla</w:t>
      </w:r>
      <w:r w:rsidR="00E1549E" w:rsidRPr="007A177A">
        <w:rPr>
          <w:rFonts w:cs="Arial"/>
          <w:i/>
          <w:lang w:val="es-MX"/>
        </w:rPr>
        <w:t>s</w:t>
      </w:r>
      <w:r w:rsidRPr="007A177A">
        <w:rPr>
          <w:rFonts w:cs="Arial"/>
          <w:i/>
          <w:lang w:val="es-MX"/>
        </w:rPr>
        <w:t xml:space="preserve">ificación que del material de </w:t>
      </w:r>
      <w:r w:rsidR="00E1549E" w:rsidRPr="007A177A">
        <w:rPr>
          <w:rFonts w:cs="Arial"/>
          <w:i/>
          <w:lang w:val="es-MX"/>
        </w:rPr>
        <w:t>r</w:t>
      </w:r>
      <w:r w:rsidRPr="007A177A">
        <w:rPr>
          <w:rFonts w:cs="Arial"/>
          <w:i/>
          <w:lang w:val="es-MX"/>
        </w:rPr>
        <w:t xml:space="preserve">oca </w:t>
      </w:r>
      <w:r w:rsidR="00766EE5" w:rsidRPr="007A177A">
        <w:rPr>
          <w:rFonts w:cs="Arial"/>
          <w:lang w:val="es-MX"/>
        </w:rPr>
        <w:t>[como si fuera excavación de material común]</w:t>
      </w:r>
      <w:r w:rsidR="00766EE5" w:rsidRPr="007A177A">
        <w:rPr>
          <w:rFonts w:cs="Arial"/>
          <w:i/>
          <w:lang w:val="es-MX"/>
        </w:rPr>
        <w:t xml:space="preserve"> </w:t>
      </w:r>
      <w:r w:rsidR="00E1549E" w:rsidRPr="007A177A">
        <w:rPr>
          <w:rFonts w:cs="Arial"/>
          <w:i/>
          <w:lang w:val="es-MX"/>
        </w:rPr>
        <w:t>que se hizo en el acta final de obra de septiembre de 1981 (sic)</w:t>
      </w:r>
      <w:r w:rsidR="00E1549E" w:rsidRPr="007A177A">
        <w:rPr>
          <w:rStyle w:val="Refdenotaalpie"/>
          <w:rFonts w:cs="Arial"/>
          <w:i/>
          <w:lang w:val="es-MX"/>
        </w:rPr>
        <w:footnoteReference w:id="25"/>
      </w:r>
      <w:r w:rsidRPr="007A177A">
        <w:rPr>
          <w:rFonts w:cs="Arial"/>
          <w:i/>
          <w:lang w:val="es-MX"/>
        </w:rPr>
        <w:t>´’</w:t>
      </w:r>
      <w:r w:rsidR="00766EE5" w:rsidRPr="007A177A">
        <w:rPr>
          <w:rFonts w:cs="Arial"/>
          <w:i/>
          <w:lang w:val="es-MX"/>
        </w:rPr>
        <w:t>finalmente no se concretó</w:t>
      </w:r>
      <w:r w:rsidR="00927360" w:rsidRPr="007A177A">
        <w:rPr>
          <w:rFonts w:cs="Arial"/>
          <w:i/>
          <w:lang w:val="es-MX"/>
        </w:rPr>
        <w:t xml:space="preserve"> (</w:t>
      </w:r>
      <w:r w:rsidR="00766EE5" w:rsidRPr="007A177A">
        <w:rPr>
          <w:rFonts w:cs="Arial"/>
          <w:i/>
          <w:lang w:val="es-MX"/>
        </w:rPr>
        <w:t>….</w:t>
      </w:r>
      <w:r w:rsidR="00927360" w:rsidRPr="007A177A">
        <w:rPr>
          <w:rFonts w:cs="Arial"/>
          <w:i/>
          <w:lang w:val="es-MX"/>
        </w:rPr>
        <w:t xml:space="preserve">) </w:t>
      </w:r>
      <w:r w:rsidR="00766EE5" w:rsidRPr="007A177A">
        <w:rPr>
          <w:rFonts w:cs="Arial"/>
          <w:i/>
          <w:lang w:val="es-MX"/>
        </w:rPr>
        <w:t>pues la conclusión del perito no tuvo en cuenta el análisis ahora relacionado por la Sala</w:t>
      </w:r>
      <w:r w:rsidR="00E50AB3" w:rsidRPr="007A177A">
        <w:rPr>
          <w:rFonts w:cs="Arial"/>
          <w:i/>
          <w:lang w:val="es-MX"/>
        </w:rPr>
        <w:t xml:space="preserve"> </w:t>
      </w:r>
      <w:r w:rsidR="00766EE5" w:rsidRPr="007A177A">
        <w:rPr>
          <w:rFonts w:cs="Arial"/>
          <w:i/>
          <w:lang w:val="es-MX"/>
        </w:rPr>
        <w:t>(…)</w:t>
      </w:r>
      <w:r w:rsidR="005B0D4A" w:rsidRPr="007A177A">
        <w:rPr>
          <w:rFonts w:cs="Arial"/>
          <w:i/>
          <w:lang w:val="es-MX"/>
        </w:rPr>
        <w:t>”.</w:t>
      </w:r>
    </w:p>
    <w:p w14:paraId="06940F73" w14:textId="77777777" w:rsidR="00400F39" w:rsidRPr="007A177A" w:rsidRDefault="00400F39" w:rsidP="00BF333B">
      <w:pPr>
        <w:pStyle w:val="Continuarlista2"/>
        <w:spacing w:after="0"/>
        <w:ind w:left="0"/>
        <w:rPr>
          <w:rFonts w:cs="Arial"/>
          <w:lang w:val="es-MX"/>
        </w:rPr>
      </w:pPr>
    </w:p>
    <w:p w14:paraId="79215480" w14:textId="77777777" w:rsidR="00E42419" w:rsidRPr="007A177A" w:rsidRDefault="00E50AB3" w:rsidP="00BF333B">
      <w:pPr>
        <w:pStyle w:val="Continuarlista2"/>
        <w:spacing w:after="0"/>
        <w:ind w:left="0"/>
        <w:rPr>
          <w:rFonts w:cs="Arial"/>
          <w:lang w:val="es-MX"/>
        </w:rPr>
      </w:pPr>
      <w:r w:rsidRPr="007A177A">
        <w:rPr>
          <w:rFonts w:cs="Arial"/>
          <w:lang w:val="es-MX"/>
        </w:rPr>
        <w:t>E</w:t>
      </w:r>
      <w:r w:rsidR="00E42419" w:rsidRPr="007A177A">
        <w:rPr>
          <w:rFonts w:cs="Arial"/>
          <w:lang w:val="es-MX"/>
        </w:rPr>
        <w:t xml:space="preserve">l Tribunal </w:t>
      </w:r>
      <w:r w:rsidR="00E42419" w:rsidRPr="007A177A">
        <w:rPr>
          <w:rFonts w:cs="Arial"/>
          <w:i/>
          <w:lang w:val="es-MX"/>
        </w:rPr>
        <w:t>a quo</w:t>
      </w:r>
      <w:r w:rsidR="00E42419" w:rsidRPr="007A177A">
        <w:rPr>
          <w:rFonts w:cs="Arial"/>
          <w:lang w:val="es-MX"/>
        </w:rPr>
        <w:t xml:space="preserve"> </w:t>
      </w:r>
      <w:r w:rsidR="00D81658" w:rsidRPr="007A177A">
        <w:rPr>
          <w:rFonts w:cs="Arial"/>
          <w:lang w:val="es-MX"/>
        </w:rPr>
        <w:t xml:space="preserve">consideró demostrado el desequilibrio financiero y el incumplimiento del contrato, </w:t>
      </w:r>
      <w:r w:rsidR="000F05AE" w:rsidRPr="007A177A">
        <w:rPr>
          <w:rFonts w:cs="Arial"/>
          <w:i/>
          <w:lang w:val="es-MX"/>
        </w:rPr>
        <w:t>“por falta de fijación de nuevos precios”</w:t>
      </w:r>
      <w:r w:rsidR="000F05AE" w:rsidRPr="007A177A">
        <w:rPr>
          <w:rFonts w:cs="Arial"/>
          <w:lang w:val="es-MX"/>
        </w:rPr>
        <w:t xml:space="preserve"> </w:t>
      </w:r>
      <w:r w:rsidR="002265DE" w:rsidRPr="007A177A">
        <w:rPr>
          <w:rFonts w:cs="Arial"/>
          <w:lang w:val="es-MX"/>
        </w:rPr>
        <w:t xml:space="preserve">para las </w:t>
      </w:r>
      <w:r w:rsidR="000F05AE" w:rsidRPr="007A177A">
        <w:rPr>
          <w:rFonts w:cs="Arial"/>
          <w:i/>
          <w:lang w:val="es-MX"/>
        </w:rPr>
        <w:t>“mayores cantidades de obra”</w:t>
      </w:r>
      <w:r w:rsidR="000F05AE" w:rsidRPr="007A177A">
        <w:rPr>
          <w:rFonts w:cs="Arial"/>
          <w:lang w:val="es-MX"/>
        </w:rPr>
        <w:t xml:space="preserve"> </w:t>
      </w:r>
      <w:r w:rsidR="005764B8" w:rsidRPr="007A177A">
        <w:rPr>
          <w:rFonts w:cs="Arial"/>
          <w:lang w:val="es-MX"/>
        </w:rPr>
        <w:t xml:space="preserve">con base en </w:t>
      </w:r>
      <w:r w:rsidR="00E53E05" w:rsidRPr="007A177A">
        <w:rPr>
          <w:rFonts w:cs="Arial"/>
          <w:lang w:val="es-MX"/>
        </w:rPr>
        <w:t>el reconocimi</w:t>
      </w:r>
      <w:r w:rsidR="002265DE" w:rsidRPr="007A177A">
        <w:rPr>
          <w:rFonts w:cs="Arial"/>
          <w:lang w:val="es-MX"/>
        </w:rPr>
        <w:t>e</w:t>
      </w:r>
      <w:r w:rsidR="00E53E05" w:rsidRPr="007A177A">
        <w:rPr>
          <w:rFonts w:cs="Arial"/>
          <w:lang w:val="es-MX"/>
        </w:rPr>
        <w:t xml:space="preserve">nto que hizo el </w:t>
      </w:r>
      <w:r w:rsidR="00927360" w:rsidRPr="007A177A">
        <w:rPr>
          <w:rFonts w:cs="Arial"/>
          <w:lang w:val="es-MX"/>
        </w:rPr>
        <w:t xml:space="preserve">ingeniero </w:t>
      </w:r>
      <w:r w:rsidR="00E53E05" w:rsidRPr="007A177A">
        <w:rPr>
          <w:rFonts w:cs="Arial"/>
          <w:lang w:val="es-MX"/>
        </w:rPr>
        <w:t xml:space="preserve">interventor en </w:t>
      </w:r>
      <w:r w:rsidR="004A4042" w:rsidRPr="007A177A">
        <w:rPr>
          <w:rFonts w:cs="Arial"/>
          <w:lang w:val="es-MX"/>
        </w:rPr>
        <w:t>el oficio de 30 de junio de 1980</w:t>
      </w:r>
      <w:r w:rsidR="005764B8" w:rsidRPr="007A177A">
        <w:rPr>
          <w:rFonts w:cs="Arial"/>
          <w:lang w:val="es-MX"/>
        </w:rPr>
        <w:t>,</w:t>
      </w:r>
      <w:r w:rsidR="004A4042" w:rsidRPr="007A177A">
        <w:rPr>
          <w:rFonts w:cs="Arial"/>
          <w:lang w:val="es-MX"/>
        </w:rPr>
        <w:t xml:space="preserve"> </w:t>
      </w:r>
      <w:r w:rsidR="005764B8" w:rsidRPr="007A177A">
        <w:rPr>
          <w:rFonts w:cs="Arial"/>
          <w:lang w:val="es-MX"/>
        </w:rPr>
        <w:t xml:space="preserve">al </w:t>
      </w:r>
      <w:r w:rsidR="004A4042" w:rsidRPr="007A177A">
        <w:rPr>
          <w:rFonts w:cs="Arial"/>
          <w:lang w:val="es-MX"/>
        </w:rPr>
        <w:t xml:space="preserve">observar que </w:t>
      </w:r>
      <w:r w:rsidR="004A4042" w:rsidRPr="007A177A">
        <w:rPr>
          <w:rFonts w:cs="Arial"/>
          <w:i/>
          <w:lang w:val="es-MX"/>
        </w:rPr>
        <w:t>“los ítems correspondientes para cumplir esa actividad están pasados en su ejecución en más de un 125%”</w:t>
      </w:r>
      <w:r w:rsidR="004A4042" w:rsidRPr="007A177A">
        <w:rPr>
          <w:rStyle w:val="Refdenotaalpie"/>
          <w:rFonts w:cs="Arial"/>
          <w:lang w:val="es-MX"/>
        </w:rPr>
        <w:footnoteReference w:id="26"/>
      </w:r>
      <w:r w:rsidR="004A4042" w:rsidRPr="007A177A">
        <w:rPr>
          <w:rFonts w:cs="Arial"/>
          <w:lang w:val="es-MX"/>
        </w:rPr>
        <w:t xml:space="preserve">. </w:t>
      </w:r>
    </w:p>
    <w:p w14:paraId="1E9AC816" w14:textId="77777777" w:rsidR="00E42419" w:rsidRPr="007A177A" w:rsidRDefault="00E42419" w:rsidP="00BF333B">
      <w:pPr>
        <w:pStyle w:val="Continuarlista2"/>
        <w:spacing w:after="0"/>
        <w:ind w:left="0"/>
        <w:rPr>
          <w:rFonts w:cs="Arial"/>
          <w:lang w:val="es-MX"/>
        </w:rPr>
      </w:pPr>
    </w:p>
    <w:p w14:paraId="32FAC178" w14:textId="77777777" w:rsidR="00D81658" w:rsidRPr="007A177A" w:rsidRDefault="002265DE" w:rsidP="00BF333B">
      <w:pPr>
        <w:pStyle w:val="Continuarlista2"/>
        <w:spacing w:after="0"/>
        <w:ind w:left="0"/>
        <w:rPr>
          <w:rFonts w:cs="Arial"/>
          <w:lang w:val="es-MX"/>
        </w:rPr>
      </w:pPr>
      <w:r w:rsidRPr="007A177A">
        <w:rPr>
          <w:rFonts w:cs="Arial"/>
          <w:lang w:val="es-MX"/>
        </w:rPr>
        <w:lastRenderedPageBreak/>
        <w:t xml:space="preserve">Al </w:t>
      </w:r>
      <w:r w:rsidR="006736CE" w:rsidRPr="007A177A">
        <w:rPr>
          <w:rFonts w:cs="Arial"/>
          <w:lang w:val="es-MX"/>
        </w:rPr>
        <w:t xml:space="preserve">exponer </w:t>
      </w:r>
      <w:r w:rsidRPr="007A177A">
        <w:rPr>
          <w:rFonts w:cs="Arial"/>
          <w:lang w:val="es-MX"/>
        </w:rPr>
        <w:t>la conclusión</w:t>
      </w:r>
      <w:r w:rsidR="005764B8" w:rsidRPr="007A177A">
        <w:rPr>
          <w:rFonts w:cs="Arial"/>
          <w:lang w:val="es-MX"/>
        </w:rPr>
        <w:t xml:space="preserve"> de su análisis,</w:t>
      </w:r>
      <w:r w:rsidRPr="007A177A">
        <w:rPr>
          <w:rFonts w:cs="Arial"/>
          <w:lang w:val="es-MX"/>
        </w:rPr>
        <w:t xml:space="preserve"> el Tribunal </w:t>
      </w:r>
      <w:r w:rsidRPr="007A177A">
        <w:rPr>
          <w:rFonts w:cs="Arial"/>
          <w:i/>
          <w:iCs/>
          <w:lang w:val="es-MX"/>
        </w:rPr>
        <w:t>a quo</w:t>
      </w:r>
      <w:r w:rsidRPr="007A177A">
        <w:rPr>
          <w:rFonts w:cs="Arial"/>
          <w:lang w:val="es-MX"/>
        </w:rPr>
        <w:t xml:space="preserve"> indicó </w:t>
      </w:r>
      <w:r w:rsidR="000F05AE" w:rsidRPr="007A177A">
        <w:rPr>
          <w:rFonts w:cs="Arial"/>
          <w:lang w:val="es-MX"/>
        </w:rPr>
        <w:t>(se transcribe de forma literal):</w:t>
      </w:r>
      <w:r w:rsidR="00D81658" w:rsidRPr="007A177A">
        <w:rPr>
          <w:rFonts w:cs="Arial"/>
          <w:lang w:val="es-MX"/>
        </w:rPr>
        <w:t xml:space="preserve"> </w:t>
      </w:r>
    </w:p>
    <w:p w14:paraId="58DCEB63" w14:textId="77777777" w:rsidR="009D156D" w:rsidRPr="007A177A" w:rsidRDefault="00D81658" w:rsidP="00BF333B">
      <w:pPr>
        <w:pStyle w:val="Lista2"/>
        <w:spacing w:line="240" w:lineRule="auto"/>
        <w:ind w:left="567" w:right="902" w:firstLine="0"/>
        <w:rPr>
          <w:rFonts w:cs="Arial"/>
          <w:i/>
          <w:lang w:val="es-MX"/>
        </w:rPr>
      </w:pPr>
      <w:r w:rsidRPr="007A177A">
        <w:rPr>
          <w:rFonts w:cs="Arial"/>
          <w:i/>
          <w:lang w:val="es-MX"/>
        </w:rPr>
        <w:t xml:space="preserve"> </w:t>
      </w:r>
      <w:r w:rsidR="00DD19D1" w:rsidRPr="007A177A">
        <w:rPr>
          <w:rFonts w:cs="Arial"/>
          <w:i/>
          <w:lang w:val="es-MX"/>
        </w:rPr>
        <w:t xml:space="preserve">“Esos hechos concretos que produjeron dicho desequilibrio financiero y que fueron demostrados en este asunto por la parte actora, tienen que ver de un lado con el pago extemporáneo </w:t>
      </w:r>
      <w:r w:rsidR="00353E5F" w:rsidRPr="007A177A">
        <w:rPr>
          <w:rFonts w:cs="Arial"/>
          <w:i/>
          <w:lang w:val="es-MX"/>
        </w:rPr>
        <w:t xml:space="preserve">hecho al contratista de algunas actas parciales de avance de obras, por otra parte con la falta de pago de mayores cantidades de obras ejecutadas por el contratista en la partida de mayor explanación </w:t>
      </w:r>
      <w:r w:rsidR="00E05A80" w:rsidRPr="007A177A">
        <w:rPr>
          <w:rFonts w:cs="Arial"/>
          <w:i/>
          <w:lang w:val="es-MX"/>
        </w:rPr>
        <w:t xml:space="preserve">en los ítems de excavación en </w:t>
      </w:r>
      <w:r w:rsidR="00C77157" w:rsidRPr="007A177A">
        <w:rPr>
          <w:rFonts w:cs="Arial"/>
          <w:i/>
          <w:lang w:val="es-MX"/>
        </w:rPr>
        <w:t>r</w:t>
      </w:r>
      <w:r w:rsidR="00E05A80" w:rsidRPr="007A177A">
        <w:rPr>
          <w:rFonts w:cs="Arial"/>
          <w:i/>
          <w:lang w:val="es-MX"/>
        </w:rPr>
        <w:t>oca y de acarreo de materiales para terraplenes, en exceso del 25% de las cantidades iniciales autorizadas,  mayores cantidades que pese a que fueron aprobadas o autorizadas por la demandada, no obstante no le fueron fijados nuevos precios unitarios</w:t>
      </w:r>
      <w:r w:rsidR="009D156D" w:rsidRPr="007A177A">
        <w:rPr>
          <w:rFonts w:cs="Arial"/>
          <w:i/>
          <w:lang w:val="es-MX"/>
        </w:rPr>
        <w:t xml:space="preserve">, incumpliendo así la demandada lo dispuesto taxativamente en los pliegos de condiciones en el capítulo de condiciones </w:t>
      </w:r>
      <w:r w:rsidR="00D078B2" w:rsidRPr="007A177A">
        <w:rPr>
          <w:rFonts w:cs="Arial"/>
          <w:i/>
          <w:lang w:val="es-MX"/>
        </w:rPr>
        <w:t>particulares del contrato, numeral III.2 y en el artículo 1º de la Resolución 10148 de 1973 relativo a las condiciones generales de la contratación</w:t>
      </w:r>
      <w:r w:rsidR="00C67F04" w:rsidRPr="007A177A">
        <w:rPr>
          <w:rFonts w:cs="Arial"/>
          <w:i/>
          <w:lang w:val="es-MX"/>
        </w:rPr>
        <w:t xml:space="preserve"> del ministerio de obras públicas y transporte y finalmente por la falta de pago de 82.090,30 M3/Km de acarreo de materiales para terraplenes que reflejan las preactas de obra 23 a 30 inclusive</w:t>
      </w:r>
      <w:r w:rsidR="001B050B" w:rsidRPr="007A177A">
        <w:rPr>
          <w:rFonts w:cs="Arial"/>
          <w:i/>
          <w:lang w:val="es-MX"/>
        </w:rPr>
        <w:t>”</w:t>
      </w:r>
      <w:r w:rsidR="002265DE" w:rsidRPr="007A177A">
        <w:rPr>
          <w:rStyle w:val="Refdenotaalpie"/>
          <w:rFonts w:cs="Arial"/>
          <w:i/>
          <w:lang w:val="es-MX"/>
        </w:rPr>
        <w:footnoteReference w:id="27"/>
      </w:r>
      <w:r w:rsidR="00C67F04" w:rsidRPr="007A177A">
        <w:rPr>
          <w:rFonts w:cs="Arial"/>
          <w:i/>
          <w:lang w:val="es-MX"/>
        </w:rPr>
        <w:t>.</w:t>
      </w:r>
    </w:p>
    <w:p w14:paraId="4840F74E" w14:textId="77777777" w:rsidR="008D2435" w:rsidRPr="007A177A" w:rsidRDefault="008D2435" w:rsidP="00BF333B">
      <w:pPr>
        <w:pStyle w:val="Lista2"/>
        <w:ind w:left="0" w:firstLine="0"/>
        <w:rPr>
          <w:rFonts w:cs="Arial"/>
          <w:lang w:val="es-MX"/>
        </w:rPr>
      </w:pPr>
    </w:p>
    <w:p w14:paraId="7F5C3CB4" w14:textId="77777777" w:rsidR="003F73D9" w:rsidRPr="007A177A" w:rsidRDefault="001A28F1" w:rsidP="00BF333B">
      <w:pPr>
        <w:pStyle w:val="Lista2"/>
        <w:ind w:left="0" w:firstLine="0"/>
        <w:rPr>
          <w:rFonts w:cs="Arial"/>
          <w:lang w:val="es-MX"/>
        </w:rPr>
      </w:pPr>
      <w:r w:rsidRPr="007A177A">
        <w:rPr>
          <w:rFonts w:cs="Arial"/>
          <w:lang w:val="es-MX"/>
        </w:rPr>
        <w:t>En cuanto a</w:t>
      </w:r>
      <w:r w:rsidR="00927360" w:rsidRPr="007A177A">
        <w:rPr>
          <w:rFonts w:cs="Arial"/>
          <w:lang w:val="es-MX"/>
        </w:rPr>
        <w:t xml:space="preserve">l </w:t>
      </w:r>
      <w:r w:rsidR="00E800B2" w:rsidRPr="007A177A">
        <w:rPr>
          <w:rFonts w:cs="Arial"/>
          <w:lang w:val="es-MX"/>
        </w:rPr>
        <w:t xml:space="preserve">valor </w:t>
      </w:r>
      <w:r w:rsidR="00927360" w:rsidRPr="007A177A">
        <w:rPr>
          <w:rFonts w:cs="Arial"/>
          <w:lang w:val="es-MX"/>
        </w:rPr>
        <w:t xml:space="preserve">de </w:t>
      </w:r>
      <w:r w:rsidR="008931CE" w:rsidRPr="007A177A">
        <w:rPr>
          <w:rFonts w:cs="Arial"/>
          <w:lang w:val="es-MX"/>
        </w:rPr>
        <w:t>los intereses moratorios</w:t>
      </w:r>
      <w:r w:rsidR="00B4552A" w:rsidRPr="007A177A">
        <w:rPr>
          <w:rFonts w:cs="Arial"/>
          <w:lang w:val="es-MX"/>
        </w:rPr>
        <w:t xml:space="preserve">, </w:t>
      </w:r>
      <w:r w:rsidR="005764B8" w:rsidRPr="007A177A">
        <w:rPr>
          <w:rFonts w:cs="Arial"/>
          <w:lang w:val="es-MX"/>
        </w:rPr>
        <w:t xml:space="preserve">la sentencia se </w:t>
      </w:r>
      <w:r w:rsidR="00B4552A" w:rsidRPr="007A177A">
        <w:rPr>
          <w:rFonts w:cs="Arial"/>
          <w:lang w:val="es-MX"/>
        </w:rPr>
        <w:t>apart</w:t>
      </w:r>
      <w:r w:rsidR="005764B8" w:rsidRPr="007A177A">
        <w:rPr>
          <w:rFonts w:cs="Arial"/>
          <w:lang w:val="es-MX"/>
        </w:rPr>
        <w:t xml:space="preserve">ó </w:t>
      </w:r>
      <w:r w:rsidR="00B4552A" w:rsidRPr="007A177A">
        <w:rPr>
          <w:rFonts w:cs="Arial"/>
          <w:lang w:val="es-MX"/>
        </w:rPr>
        <w:t xml:space="preserve">de </w:t>
      </w:r>
      <w:r w:rsidR="00927360" w:rsidRPr="007A177A">
        <w:rPr>
          <w:rFonts w:cs="Arial"/>
          <w:lang w:val="es-MX"/>
        </w:rPr>
        <w:t xml:space="preserve">las </w:t>
      </w:r>
      <w:r w:rsidR="004004CB" w:rsidRPr="007A177A">
        <w:rPr>
          <w:rFonts w:cs="Arial"/>
          <w:lang w:val="es-MX"/>
        </w:rPr>
        <w:t xml:space="preserve">distintas </w:t>
      </w:r>
      <w:r w:rsidR="00927360" w:rsidRPr="007A177A">
        <w:rPr>
          <w:rFonts w:cs="Arial"/>
          <w:lang w:val="es-MX"/>
        </w:rPr>
        <w:t xml:space="preserve">liquidaciones alternas </w:t>
      </w:r>
      <w:r w:rsidR="00E800B2" w:rsidRPr="007A177A">
        <w:rPr>
          <w:rFonts w:cs="Arial"/>
          <w:lang w:val="es-MX"/>
        </w:rPr>
        <w:t xml:space="preserve">expuestas </w:t>
      </w:r>
      <w:r w:rsidR="00927360" w:rsidRPr="007A177A">
        <w:rPr>
          <w:rFonts w:cs="Arial"/>
          <w:lang w:val="es-MX"/>
        </w:rPr>
        <w:t xml:space="preserve">en el </w:t>
      </w:r>
      <w:r w:rsidR="00B4552A" w:rsidRPr="007A177A">
        <w:rPr>
          <w:rFonts w:cs="Arial"/>
          <w:lang w:val="es-MX"/>
        </w:rPr>
        <w:t>dictamen</w:t>
      </w:r>
      <w:r w:rsidR="008931CE" w:rsidRPr="007A177A">
        <w:rPr>
          <w:rFonts w:cs="Arial"/>
          <w:lang w:val="es-MX"/>
        </w:rPr>
        <w:t xml:space="preserve"> pericial</w:t>
      </w:r>
      <w:r w:rsidR="00B4552A" w:rsidRPr="007A177A">
        <w:rPr>
          <w:rFonts w:cs="Arial"/>
          <w:lang w:val="es-MX"/>
        </w:rPr>
        <w:t xml:space="preserve"> </w:t>
      </w:r>
      <w:r w:rsidR="005764B8" w:rsidRPr="007A177A">
        <w:rPr>
          <w:rFonts w:cs="Arial"/>
          <w:lang w:val="es-MX"/>
        </w:rPr>
        <w:t>y</w:t>
      </w:r>
      <w:r w:rsidR="00A472AC" w:rsidRPr="007A177A">
        <w:rPr>
          <w:rFonts w:cs="Arial"/>
          <w:lang w:val="es-MX"/>
        </w:rPr>
        <w:t>,</w:t>
      </w:r>
      <w:r w:rsidR="005764B8" w:rsidRPr="007A177A">
        <w:rPr>
          <w:rFonts w:cs="Arial"/>
          <w:lang w:val="es-MX"/>
        </w:rPr>
        <w:t xml:space="preserve"> en su lugar, </w:t>
      </w:r>
      <w:r w:rsidR="0034233A" w:rsidRPr="007A177A">
        <w:rPr>
          <w:rFonts w:cs="Arial"/>
          <w:lang w:val="es-MX"/>
        </w:rPr>
        <w:t xml:space="preserve">tuvo </w:t>
      </w:r>
      <w:r w:rsidR="00B4552A" w:rsidRPr="007A177A">
        <w:rPr>
          <w:rFonts w:cs="Arial"/>
          <w:lang w:val="es-MX"/>
        </w:rPr>
        <w:t xml:space="preserve">en cuenta </w:t>
      </w:r>
      <w:r w:rsidR="00CC0E42" w:rsidRPr="007A177A">
        <w:rPr>
          <w:rFonts w:cs="Arial"/>
          <w:lang w:val="es-MX"/>
        </w:rPr>
        <w:t xml:space="preserve">las tasas moratorias </w:t>
      </w:r>
      <w:r w:rsidR="00E800B2" w:rsidRPr="007A177A">
        <w:rPr>
          <w:rFonts w:cs="Arial"/>
          <w:lang w:val="es-MX"/>
        </w:rPr>
        <w:t>máxima</w:t>
      </w:r>
      <w:r w:rsidR="00A472AC" w:rsidRPr="007A177A">
        <w:rPr>
          <w:rFonts w:cs="Arial"/>
          <w:lang w:val="es-MX"/>
        </w:rPr>
        <w:t>s</w:t>
      </w:r>
      <w:r w:rsidR="00E800B2" w:rsidRPr="007A177A">
        <w:rPr>
          <w:rFonts w:cs="Arial"/>
          <w:lang w:val="es-MX"/>
        </w:rPr>
        <w:t xml:space="preserve"> legal</w:t>
      </w:r>
      <w:r w:rsidR="00A472AC" w:rsidRPr="007A177A">
        <w:rPr>
          <w:rFonts w:cs="Arial"/>
          <w:lang w:val="es-MX"/>
        </w:rPr>
        <w:t>es</w:t>
      </w:r>
      <w:r w:rsidR="00E800B2" w:rsidRPr="007A177A">
        <w:rPr>
          <w:rFonts w:cs="Arial"/>
          <w:lang w:val="es-MX"/>
        </w:rPr>
        <w:t xml:space="preserve"> vigente</w:t>
      </w:r>
      <w:r w:rsidR="00A472AC" w:rsidRPr="007A177A">
        <w:rPr>
          <w:rFonts w:cs="Arial"/>
          <w:lang w:val="es-MX"/>
        </w:rPr>
        <w:t>s</w:t>
      </w:r>
      <w:r w:rsidR="00E800B2" w:rsidRPr="007A177A">
        <w:rPr>
          <w:rFonts w:cs="Arial"/>
          <w:lang w:val="es-MX"/>
        </w:rPr>
        <w:t xml:space="preserve"> </w:t>
      </w:r>
      <w:r w:rsidR="008931CE" w:rsidRPr="007A177A">
        <w:rPr>
          <w:rFonts w:cs="Arial"/>
          <w:lang w:val="es-MX"/>
        </w:rPr>
        <w:t>que</w:t>
      </w:r>
      <w:r w:rsidR="00D81658" w:rsidRPr="007A177A">
        <w:rPr>
          <w:rFonts w:cs="Arial"/>
          <w:lang w:val="es-MX"/>
        </w:rPr>
        <w:t xml:space="preserve">, en su criterio, </w:t>
      </w:r>
      <w:r w:rsidR="005764B8" w:rsidRPr="007A177A">
        <w:rPr>
          <w:rFonts w:cs="Arial"/>
          <w:lang w:val="es-MX"/>
        </w:rPr>
        <w:t xml:space="preserve">debían ser aplicadas en </w:t>
      </w:r>
      <w:r w:rsidR="00CC0E42" w:rsidRPr="007A177A">
        <w:rPr>
          <w:rFonts w:cs="Arial"/>
          <w:lang w:val="es-MX"/>
        </w:rPr>
        <w:t xml:space="preserve">vigencia de </w:t>
      </w:r>
      <w:r w:rsidR="005764B8" w:rsidRPr="007A177A">
        <w:rPr>
          <w:rFonts w:cs="Arial"/>
          <w:lang w:val="es-MX"/>
        </w:rPr>
        <w:t xml:space="preserve">la mora ocurrida bajo las reglas de </w:t>
      </w:r>
      <w:r w:rsidR="00CC0E42" w:rsidRPr="007A177A">
        <w:rPr>
          <w:rFonts w:cs="Arial"/>
          <w:lang w:val="es-MX"/>
        </w:rPr>
        <w:t>los Decretos</w:t>
      </w:r>
      <w:r w:rsidR="0084782D" w:rsidRPr="007A177A">
        <w:rPr>
          <w:rFonts w:cs="Arial"/>
          <w:lang w:val="es-MX"/>
        </w:rPr>
        <w:t xml:space="preserve"> leyes</w:t>
      </w:r>
      <w:r w:rsidR="00CC0E42" w:rsidRPr="007A177A">
        <w:rPr>
          <w:rFonts w:cs="Arial"/>
          <w:lang w:val="es-MX"/>
        </w:rPr>
        <w:t xml:space="preserve"> 150 de 1976 y 222 de 1983, y </w:t>
      </w:r>
      <w:r w:rsidR="00B4552A" w:rsidRPr="007A177A">
        <w:rPr>
          <w:rFonts w:cs="Arial"/>
          <w:lang w:val="es-MX"/>
        </w:rPr>
        <w:t xml:space="preserve">el </w:t>
      </w:r>
      <w:r w:rsidR="0034233A" w:rsidRPr="007A177A">
        <w:rPr>
          <w:rFonts w:cs="Arial"/>
          <w:lang w:val="es-MX"/>
        </w:rPr>
        <w:t xml:space="preserve">interés del </w:t>
      </w:r>
      <w:r w:rsidR="00B4552A" w:rsidRPr="007A177A">
        <w:rPr>
          <w:rFonts w:cs="Arial"/>
          <w:lang w:val="es-MX"/>
        </w:rPr>
        <w:t>12% sobre el capital actualizado</w:t>
      </w:r>
      <w:r w:rsidR="00927360" w:rsidRPr="007A177A">
        <w:rPr>
          <w:rFonts w:cs="Arial"/>
          <w:lang w:val="es-MX"/>
        </w:rPr>
        <w:t xml:space="preserve"> contenido en la </w:t>
      </w:r>
      <w:r w:rsidR="00CC0E42" w:rsidRPr="007A177A">
        <w:rPr>
          <w:rFonts w:cs="Arial"/>
          <w:lang w:val="es-MX"/>
        </w:rPr>
        <w:t xml:space="preserve">Ley 80 de 1993, </w:t>
      </w:r>
      <w:r w:rsidR="00B4552A" w:rsidRPr="007A177A">
        <w:rPr>
          <w:rFonts w:cs="Arial"/>
          <w:lang w:val="es-MX"/>
        </w:rPr>
        <w:t xml:space="preserve">de acuerdo con </w:t>
      </w:r>
      <w:r w:rsidR="00CC0E42" w:rsidRPr="007A177A">
        <w:rPr>
          <w:rFonts w:cs="Arial"/>
          <w:lang w:val="es-MX"/>
        </w:rPr>
        <w:t xml:space="preserve">los distintos </w:t>
      </w:r>
      <w:r w:rsidR="002B7D51" w:rsidRPr="007A177A">
        <w:rPr>
          <w:rFonts w:cs="Arial"/>
          <w:lang w:val="es-MX"/>
        </w:rPr>
        <w:t xml:space="preserve">períodos </w:t>
      </w:r>
      <w:r w:rsidR="00CC0E42" w:rsidRPr="007A177A">
        <w:rPr>
          <w:rFonts w:cs="Arial"/>
          <w:lang w:val="es-MX"/>
        </w:rPr>
        <w:t>en que tuvo lugar la mora</w:t>
      </w:r>
      <w:r w:rsidR="008931CE" w:rsidRPr="007A177A">
        <w:rPr>
          <w:rFonts w:cs="Arial"/>
          <w:lang w:val="es-MX"/>
        </w:rPr>
        <w:t>.</w:t>
      </w:r>
      <w:r w:rsidR="003827A8" w:rsidRPr="007A177A">
        <w:rPr>
          <w:rFonts w:cs="Arial"/>
          <w:lang w:val="es-MX"/>
        </w:rPr>
        <w:t xml:space="preserve"> </w:t>
      </w:r>
      <w:r w:rsidR="003F73D9" w:rsidRPr="007A177A">
        <w:rPr>
          <w:rFonts w:cs="Arial"/>
          <w:lang w:val="es-MX"/>
        </w:rPr>
        <w:t>La liquidación asum</w:t>
      </w:r>
      <w:r w:rsidR="00503F01" w:rsidRPr="007A177A">
        <w:rPr>
          <w:rFonts w:cs="Arial"/>
          <w:lang w:val="es-MX"/>
        </w:rPr>
        <w:t xml:space="preserve">ió </w:t>
      </w:r>
      <w:r w:rsidR="003F73D9" w:rsidRPr="007A177A">
        <w:rPr>
          <w:rFonts w:cs="Arial"/>
          <w:lang w:val="es-MX"/>
        </w:rPr>
        <w:t xml:space="preserve">el orden de imputación de </w:t>
      </w:r>
      <w:r w:rsidR="00A472AC" w:rsidRPr="007A177A">
        <w:rPr>
          <w:rFonts w:cs="Arial"/>
          <w:lang w:val="es-MX"/>
        </w:rPr>
        <w:t xml:space="preserve">los </w:t>
      </w:r>
      <w:r w:rsidR="003F73D9" w:rsidRPr="007A177A">
        <w:rPr>
          <w:rFonts w:cs="Arial"/>
          <w:lang w:val="es-MX"/>
        </w:rPr>
        <w:t>pagos, primero a intereses y luego a capital, por lo cual</w:t>
      </w:r>
      <w:r w:rsidR="00A472AC" w:rsidRPr="007A177A">
        <w:rPr>
          <w:rFonts w:cs="Arial"/>
          <w:lang w:val="es-MX"/>
        </w:rPr>
        <w:t>,</w:t>
      </w:r>
      <w:r w:rsidR="003F73D9" w:rsidRPr="007A177A">
        <w:rPr>
          <w:rFonts w:cs="Arial"/>
          <w:lang w:val="es-MX"/>
        </w:rPr>
        <w:t xml:space="preserve"> aunque las actas se generaron y pagaron en 1979, se liquid</w:t>
      </w:r>
      <w:r w:rsidR="00503F01" w:rsidRPr="007A177A">
        <w:rPr>
          <w:rFonts w:cs="Arial"/>
          <w:lang w:val="es-MX"/>
        </w:rPr>
        <w:t>ó</w:t>
      </w:r>
      <w:r w:rsidR="003F73D9" w:rsidRPr="007A177A">
        <w:rPr>
          <w:rFonts w:cs="Arial"/>
          <w:lang w:val="es-MX"/>
        </w:rPr>
        <w:t xml:space="preserve"> un saldo </w:t>
      </w:r>
      <w:r w:rsidR="00503F01" w:rsidRPr="007A177A">
        <w:rPr>
          <w:rFonts w:cs="Arial"/>
          <w:lang w:val="es-MX"/>
        </w:rPr>
        <w:t xml:space="preserve">que continuaba </w:t>
      </w:r>
      <w:r w:rsidR="003F73D9" w:rsidRPr="007A177A">
        <w:rPr>
          <w:rFonts w:cs="Arial"/>
          <w:lang w:val="es-MX"/>
        </w:rPr>
        <w:t>vencido hasta la fecha de la sentencia.</w:t>
      </w:r>
    </w:p>
    <w:p w14:paraId="1091CFA3" w14:textId="77777777" w:rsidR="00B80A17" w:rsidRPr="007A177A" w:rsidRDefault="00B80A17" w:rsidP="00BF333B">
      <w:pPr>
        <w:pStyle w:val="Lista2"/>
        <w:ind w:left="0" w:firstLine="0"/>
        <w:rPr>
          <w:rFonts w:cs="Arial"/>
          <w:lang w:val="es-MX"/>
        </w:rPr>
      </w:pPr>
    </w:p>
    <w:p w14:paraId="44D758A3" w14:textId="77777777" w:rsidR="009D156D" w:rsidRPr="007A177A" w:rsidRDefault="003463E1" w:rsidP="00BF333B">
      <w:pPr>
        <w:pStyle w:val="Lista2"/>
        <w:ind w:left="0" w:firstLine="0"/>
        <w:rPr>
          <w:rFonts w:cs="Arial"/>
          <w:lang w:val="es-MX"/>
        </w:rPr>
      </w:pPr>
      <w:r w:rsidRPr="007A177A">
        <w:rPr>
          <w:rFonts w:cs="Arial"/>
          <w:lang w:val="es-MX"/>
        </w:rPr>
        <w:t xml:space="preserve">En la sentencia </w:t>
      </w:r>
      <w:r w:rsidR="00927360" w:rsidRPr="007A177A">
        <w:rPr>
          <w:rFonts w:cs="Arial"/>
          <w:lang w:val="es-MX"/>
        </w:rPr>
        <w:t xml:space="preserve">de primera instancia </w:t>
      </w:r>
      <w:r w:rsidRPr="007A177A">
        <w:rPr>
          <w:rFonts w:cs="Arial"/>
          <w:lang w:val="es-MX"/>
        </w:rPr>
        <w:t xml:space="preserve">se indicó </w:t>
      </w:r>
      <w:r w:rsidR="003827A8" w:rsidRPr="007A177A">
        <w:rPr>
          <w:rFonts w:cs="Arial"/>
          <w:lang w:val="es-MX"/>
        </w:rPr>
        <w:t xml:space="preserve">que en el contrato no existió plazo para el pago de las actas, pero </w:t>
      </w:r>
      <w:r w:rsidR="004004CB" w:rsidRPr="007A177A">
        <w:rPr>
          <w:rFonts w:cs="Arial"/>
          <w:lang w:val="es-MX"/>
        </w:rPr>
        <w:t xml:space="preserve">se </w:t>
      </w:r>
      <w:r w:rsidR="003827A8" w:rsidRPr="007A177A">
        <w:rPr>
          <w:rFonts w:cs="Arial"/>
          <w:lang w:val="es-MX"/>
        </w:rPr>
        <w:t>aplic</w:t>
      </w:r>
      <w:r w:rsidR="004004CB" w:rsidRPr="007A177A">
        <w:rPr>
          <w:rFonts w:cs="Arial"/>
          <w:lang w:val="es-MX"/>
        </w:rPr>
        <w:t>ó</w:t>
      </w:r>
      <w:r w:rsidR="003827A8" w:rsidRPr="007A177A">
        <w:rPr>
          <w:rFonts w:cs="Arial"/>
          <w:lang w:val="es-MX"/>
        </w:rPr>
        <w:t xml:space="preserve"> el art</w:t>
      </w:r>
      <w:r w:rsidR="00F8028D" w:rsidRPr="007A177A">
        <w:rPr>
          <w:rFonts w:cs="Arial"/>
          <w:lang w:val="es-MX"/>
        </w:rPr>
        <w:t>í</w:t>
      </w:r>
      <w:r w:rsidR="003827A8" w:rsidRPr="007A177A">
        <w:rPr>
          <w:rFonts w:cs="Arial"/>
          <w:lang w:val="es-MX"/>
        </w:rPr>
        <w:t>culo 855 del C.Co.</w:t>
      </w:r>
      <w:r w:rsidR="00C8626D" w:rsidRPr="007A177A">
        <w:rPr>
          <w:rFonts w:cs="Arial"/>
          <w:lang w:val="es-MX"/>
        </w:rPr>
        <w:t>,</w:t>
      </w:r>
      <w:r w:rsidR="00F8028D" w:rsidRPr="007A177A">
        <w:rPr>
          <w:rFonts w:cs="Arial"/>
          <w:lang w:val="es-MX"/>
        </w:rPr>
        <w:t xml:space="preserve"> que se refer</w:t>
      </w:r>
      <w:r w:rsidR="008D543A" w:rsidRPr="007A177A">
        <w:rPr>
          <w:rFonts w:cs="Arial"/>
          <w:lang w:val="es-MX"/>
        </w:rPr>
        <w:t>ía</w:t>
      </w:r>
      <w:r w:rsidR="00F8028D" w:rsidRPr="007A177A">
        <w:rPr>
          <w:rFonts w:cs="Arial"/>
          <w:lang w:val="es-MX"/>
        </w:rPr>
        <w:t xml:space="preserve"> al plazo de un mes</w:t>
      </w:r>
      <w:r w:rsidR="002B76F4" w:rsidRPr="007A177A">
        <w:rPr>
          <w:rFonts w:cs="Arial"/>
          <w:lang w:val="es-MX"/>
        </w:rPr>
        <w:t>,</w:t>
      </w:r>
      <w:r w:rsidR="00F8028D" w:rsidRPr="007A177A">
        <w:rPr>
          <w:rFonts w:cs="Arial"/>
          <w:lang w:val="es-MX"/>
        </w:rPr>
        <w:t xml:space="preserve"> </w:t>
      </w:r>
      <w:r w:rsidR="00B80A17" w:rsidRPr="007A177A">
        <w:rPr>
          <w:rFonts w:cs="Arial"/>
          <w:lang w:val="es-MX"/>
        </w:rPr>
        <w:t xml:space="preserve">una vez presentada la </w:t>
      </w:r>
      <w:r w:rsidR="00F8028D" w:rsidRPr="007A177A">
        <w:rPr>
          <w:rFonts w:cs="Arial"/>
          <w:lang w:val="es-MX"/>
        </w:rPr>
        <w:t>cuenta.</w:t>
      </w:r>
    </w:p>
    <w:p w14:paraId="14703671" w14:textId="77777777" w:rsidR="005D6318" w:rsidRPr="007A177A" w:rsidRDefault="005D6318" w:rsidP="00BF333B">
      <w:pPr>
        <w:pStyle w:val="Lista2"/>
        <w:ind w:left="0" w:firstLine="0"/>
        <w:rPr>
          <w:rFonts w:cs="Arial"/>
          <w:lang w:val="es-MX"/>
        </w:rPr>
      </w:pPr>
    </w:p>
    <w:p w14:paraId="2FE53CA2" w14:textId="77777777" w:rsidR="00ED17DB" w:rsidRPr="007A177A" w:rsidRDefault="005D6318" w:rsidP="00BF333B">
      <w:pPr>
        <w:pStyle w:val="Lista2"/>
        <w:ind w:left="0" w:firstLine="0"/>
        <w:rPr>
          <w:rFonts w:cs="Arial"/>
          <w:lang w:val="es-MX"/>
        </w:rPr>
      </w:pPr>
      <w:r w:rsidRPr="007A177A">
        <w:rPr>
          <w:rFonts w:cs="Arial"/>
          <w:lang w:val="es-MX"/>
        </w:rPr>
        <w:t>E</w:t>
      </w:r>
      <w:r w:rsidR="00ED17DB" w:rsidRPr="007A177A">
        <w:rPr>
          <w:rFonts w:cs="Arial"/>
          <w:lang w:val="es-MX"/>
        </w:rPr>
        <w:t xml:space="preserve">n la partida por concepto de intereses, el Tribunal </w:t>
      </w:r>
      <w:r w:rsidR="00ED17DB" w:rsidRPr="007A177A">
        <w:rPr>
          <w:rFonts w:cs="Arial"/>
          <w:i/>
          <w:iCs/>
          <w:lang w:val="es-MX"/>
        </w:rPr>
        <w:t>a quo</w:t>
      </w:r>
      <w:r w:rsidR="00ED17DB" w:rsidRPr="007A177A">
        <w:rPr>
          <w:rFonts w:cs="Arial"/>
          <w:lang w:val="es-MX"/>
        </w:rPr>
        <w:t xml:space="preserve"> arribó a una condena por $35’776</w:t>
      </w:r>
      <w:r w:rsidR="004004CB" w:rsidRPr="007A177A">
        <w:rPr>
          <w:rFonts w:cs="Arial"/>
          <w:lang w:val="es-MX"/>
        </w:rPr>
        <w:t>.</w:t>
      </w:r>
      <w:r w:rsidR="00ED17DB" w:rsidRPr="007A177A">
        <w:rPr>
          <w:rFonts w:cs="Arial"/>
          <w:lang w:val="es-MX"/>
        </w:rPr>
        <w:t>583.</w:t>
      </w:r>
    </w:p>
    <w:p w14:paraId="0853D372" w14:textId="77777777" w:rsidR="00B92A4C" w:rsidRPr="007A177A" w:rsidRDefault="00B92A4C" w:rsidP="00BF333B">
      <w:pPr>
        <w:pStyle w:val="Lista2"/>
        <w:ind w:left="0" w:firstLine="0"/>
        <w:rPr>
          <w:rFonts w:cs="Arial"/>
          <w:lang w:val="es-MX"/>
        </w:rPr>
      </w:pPr>
    </w:p>
    <w:p w14:paraId="12E35F8F" w14:textId="77777777" w:rsidR="00287928" w:rsidRPr="007A177A" w:rsidRDefault="00B92A4C" w:rsidP="00BF333B">
      <w:pPr>
        <w:pStyle w:val="Lista2"/>
        <w:ind w:left="0" w:firstLine="0"/>
        <w:rPr>
          <w:rFonts w:cs="Arial"/>
          <w:lang w:val="es-MX"/>
        </w:rPr>
      </w:pPr>
      <w:r w:rsidRPr="007A177A">
        <w:rPr>
          <w:rFonts w:cs="Arial"/>
          <w:lang w:val="es-MX"/>
        </w:rPr>
        <w:t>En cuanto a</w:t>
      </w:r>
      <w:r w:rsidR="002A5A41" w:rsidRPr="007A177A">
        <w:rPr>
          <w:rFonts w:cs="Arial"/>
          <w:lang w:val="es-MX"/>
        </w:rPr>
        <w:t xml:space="preserve"> </w:t>
      </w:r>
      <w:r w:rsidR="001A28F1" w:rsidRPr="007A177A">
        <w:rPr>
          <w:rFonts w:cs="Arial"/>
          <w:lang w:val="es-MX"/>
        </w:rPr>
        <w:t xml:space="preserve">los perjuicios relacionados con las </w:t>
      </w:r>
      <w:r w:rsidR="002A5A41" w:rsidRPr="007A177A">
        <w:rPr>
          <w:rFonts w:cs="Arial"/>
          <w:lang w:val="es-MX"/>
        </w:rPr>
        <w:t xml:space="preserve">partidas por </w:t>
      </w:r>
      <w:r w:rsidR="009F674E" w:rsidRPr="007A177A">
        <w:rPr>
          <w:rFonts w:cs="Arial"/>
          <w:lang w:val="es-MX"/>
        </w:rPr>
        <w:t xml:space="preserve">mayores cantidades en </w:t>
      </w:r>
      <w:r w:rsidR="002A5A41" w:rsidRPr="007A177A">
        <w:rPr>
          <w:rFonts w:cs="Arial"/>
          <w:lang w:val="es-MX"/>
        </w:rPr>
        <w:t>excavaci</w:t>
      </w:r>
      <w:r w:rsidR="009F674E" w:rsidRPr="007A177A">
        <w:rPr>
          <w:rFonts w:cs="Arial"/>
          <w:lang w:val="es-MX"/>
        </w:rPr>
        <w:t>ones</w:t>
      </w:r>
      <w:r w:rsidR="002A5A41" w:rsidRPr="007A177A">
        <w:rPr>
          <w:rFonts w:cs="Arial"/>
          <w:lang w:val="es-MX"/>
        </w:rPr>
        <w:t xml:space="preserve"> </w:t>
      </w:r>
      <w:r w:rsidR="001A28F1" w:rsidRPr="007A177A">
        <w:rPr>
          <w:rFonts w:cs="Arial"/>
          <w:lang w:val="es-MX"/>
        </w:rPr>
        <w:t xml:space="preserve">de material </w:t>
      </w:r>
      <w:r w:rsidRPr="007A177A">
        <w:rPr>
          <w:rFonts w:cs="Arial"/>
          <w:lang w:val="es-MX"/>
        </w:rPr>
        <w:t xml:space="preserve">para terraplenes, el Tribunal </w:t>
      </w:r>
      <w:r w:rsidRPr="007A177A">
        <w:rPr>
          <w:rFonts w:cs="Arial"/>
          <w:i/>
          <w:iCs/>
          <w:lang w:val="es-MX"/>
        </w:rPr>
        <w:t>a quo</w:t>
      </w:r>
      <w:r w:rsidRPr="007A177A">
        <w:rPr>
          <w:rFonts w:cs="Arial"/>
          <w:lang w:val="es-MX"/>
        </w:rPr>
        <w:t xml:space="preserve"> se apartó de la liquidación del dictamen</w:t>
      </w:r>
      <w:r w:rsidR="0034233A" w:rsidRPr="007A177A">
        <w:rPr>
          <w:rFonts w:cs="Arial"/>
          <w:lang w:val="es-MX"/>
        </w:rPr>
        <w:t>,</w:t>
      </w:r>
      <w:r w:rsidRPr="007A177A">
        <w:rPr>
          <w:rFonts w:cs="Arial"/>
          <w:lang w:val="es-MX"/>
        </w:rPr>
        <w:t xml:space="preserve"> calculó el 25% de </w:t>
      </w:r>
      <w:r w:rsidR="007E0073" w:rsidRPr="007A177A">
        <w:rPr>
          <w:rFonts w:cs="Arial"/>
          <w:lang w:val="es-MX"/>
        </w:rPr>
        <w:t>183.298 M</w:t>
      </w:r>
      <w:r w:rsidR="008D543A" w:rsidRPr="007A177A">
        <w:rPr>
          <w:rFonts w:cs="Arial"/>
          <w:lang w:val="es-MX"/>
        </w:rPr>
        <w:t>3</w:t>
      </w:r>
      <w:r w:rsidR="002B76F4" w:rsidRPr="007A177A">
        <w:rPr>
          <w:rFonts w:cs="Arial"/>
          <w:lang w:val="es-MX"/>
        </w:rPr>
        <w:t>,</w:t>
      </w:r>
      <w:r w:rsidR="007E0073" w:rsidRPr="007A177A">
        <w:rPr>
          <w:rFonts w:cs="Arial"/>
          <w:lang w:val="es-MX"/>
        </w:rPr>
        <w:t xml:space="preserve"> que corresponde al val</w:t>
      </w:r>
      <w:r w:rsidR="00B3523A" w:rsidRPr="007A177A">
        <w:rPr>
          <w:rFonts w:cs="Arial"/>
          <w:lang w:val="es-MX"/>
        </w:rPr>
        <w:t>or</w:t>
      </w:r>
      <w:r w:rsidR="007E0073" w:rsidRPr="007A177A">
        <w:rPr>
          <w:rFonts w:cs="Arial"/>
          <w:lang w:val="es-MX"/>
        </w:rPr>
        <w:t xml:space="preserve"> total ejecutado</w:t>
      </w:r>
      <w:r w:rsidR="001A7151" w:rsidRPr="007A177A">
        <w:rPr>
          <w:rFonts w:cs="Arial"/>
          <w:lang w:val="es-MX"/>
        </w:rPr>
        <w:t xml:space="preserve"> en el ítem correspondiente</w:t>
      </w:r>
      <w:r w:rsidR="007E0073" w:rsidRPr="007A177A">
        <w:rPr>
          <w:rFonts w:cs="Arial"/>
          <w:lang w:val="es-MX"/>
        </w:rPr>
        <w:t xml:space="preserve">, </w:t>
      </w:r>
      <w:r w:rsidR="002A5A41" w:rsidRPr="007A177A">
        <w:rPr>
          <w:rFonts w:cs="Arial"/>
          <w:lang w:val="es-MX"/>
        </w:rPr>
        <w:t>dado que</w:t>
      </w:r>
      <w:r w:rsidR="00257314" w:rsidRPr="007A177A">
        <w:rPr>
          <w:rFonts w:cs="Arial"/>
          <w:lang w:val="es-MX"/>
        </w:rPr>
        <w:t xml:space="preserve"> –</w:t>
      </w:r>
      <w:r w:rsidR="00257314" w:rsidRPr="007A177A">
        <w:rPr>
          <w:rFonts w:cs="Arial"/>
          <w:i/>
          <w:lang w:val="es-MX"/>
        </w:rPr>
        <w:t>según indicó</w:t>
      </w:r>
      <w:r w:rsidR="004004CB" w:rsidRPr="007A177A">
        <w:rPr>
          <w:rFonts w:cs="Arial"/>
          <w:lang w:val="es-MX"/>
        </w:rPr>
        <w:t>-</w:t>
      </w:r>
      <w:r w:rsidR="00BE5F88" w:rsidRPr="007A177A">
        <w:rPr>
          <w:rFonts w:cs="Arial"/>
          <w:lang w:val="es-MX"/>
        </w:rPr>
        <w:t xml:space="preserve"> se encontró </w:t>
      </w:r>
      <w:r w:rsidR="00BE5F88" w:rsidRPr="007A177A">
        <w:rPr>
          <w:rFonts w:cs="Arial"/>
          <w:lang w:val="es-MX"/>
        </w:rPr>
        <w:lastRenderedPageBreak/>
        <w:t xml:space="preserve">demostrada </w:t>
      </w:r>
      <w:r w:rsidR="002A5A41" w:rsidRPr="007A177A">
        <w:rPr>
          <w:rFonts w:cs="Arial"/>
          <w:lang w:val="es-MX"/>
        </w:rPr>
        <w:t>una ejecución del 125%</w:t>
      </w:r>
      <w:r w:rsidR="00E467FD" w:rsidRPr="007A177A">
        <w:rPr>
          <w:rFonts w:cs="Arial"/>
          <w:lang w:val="es-MX"/>
        </w:rPr>
        <w:t xml:space="preserve"> </w:t>
      </w:r>
      <w:r w:rsidR="00FB116F" w:rsidRPr="007A177A">
        <w:rPr>
          <w:rFonts w:cs="Arial"/>
          <w:lang w:val="es-MX"/>
        </w:rPr>
        <w:t>en cantidades</w:t>
      </w:r>
      <w:r w:rsidR="004B4AB3" w:rsidRPr="007A177A">
        <w:rPr>
          <w:rFonts w:cs="Arial"/>
          <w:lang w:val="es-MX"/>
        </w:rPr>
        <w:t xml:space="preserve">. La fórmula </w:t>
      </w:r>
      <w:r w:rsidR="008D543A" w:rsidRPr="007A177A">
        <w:rPr>
          <w:rFonts w:cs="Arial"/>
          <w:lang w:val="es-MX"/>
        </w:rPr>
        <w:t xml:space="preserve">utilizada </w:t>
      </w:r>
      <w:r w:rsidR="004B4AB3" w:rsidRPr="007A177A">
        <w:rPr>
          <w:rFonts w:cs="Arial"/>
          <w:lang w:val="es-MX"/>
        </w:rPr>
        <w:t xml:space="preserve">consistió en deducir el citado 25% y </w:t>
      </w:r>
      <w:r w:rsidR="007E0073" w:rsidRPr="007A177A">
        <w:rPr>
          <w:rFonts w:cs="Arial"/>
          <w:lang w:val="es-MX"/>
        </w:rPr>
        <w:t>aplic</w:t>
      </w:r>
      <w:r w:rsidR="008D543A" w:rsidRPr="007A177A">
        <w:rPr>
          <w:rFonts w:cs="Arial"/>
          <w:lang w:val="es-MX"/>
        </w:rPr>
        <w:t>ar</w:t>
      </w:r>
      <w:r w:rsidR="007E0073" w:rsidRPr="007A177A">
        <w:rPr>
          <w:rFonts w:cs="Arial"/>
          <w:lang w:val="es-MX"/>
        </w:rPr>
        <w:t xml:space="preserve"> </w:t>
      </w:r>
      <w:r w:rsidR="004B4AB3" w:rsidRPr="007A177A">
        <w:rPr>
          <w:rFonts w:cs="Arial"/>
          <w:lang w:val="es-MX"/>
        </w:rPr>
        <w:t xml:space="preserve">a las cantidades restantes </w:t>
      </w:r>
      <w:r w:rsidR="007E0073" w:rsidRPr="007A177A">
        <w:rPr>
          <w:rFonts w:cs="Arial"/>
          <w:lang w:val="es-MX"/>
        </w:rPr>
        <w:t>el precio de $135.30 M3</w:t>
      </w:r>
      <w:r w:rsidR="00E467FD" w:rsidRPr="007A177A">
        <w:rPr>
          <w:rFonts w:cs="Arial"/>
          <w:lang w:val="es-MX"/>
        </w:rPr>
        <w:t xml:space="preserve"> “</w:t>
      </w:r>
      <w:r w:rsidR="00E467FD" w:rsidRPr="007A177A">
        <w:rPr>
          <w:rFonts w:cs="Arial"/>
          <w:i/>
          <w:lang w:val="es-MX"/>
        </w:rPr>
        <w:t>propuesto y justificado técnicamente por el contratista</w:t>
      </w:r>
      <w:r w:rsidR="002A5A41" w:rsidRPr="007A177A">
        <w:rPr>
          <w:rFonts w:cs="Arial"/>
          <w:i/>
          <w:lang w:val="es-MX"/>
        </w:rPr>
        <w:t>”</w:t>
      </w:r>
      <w:r w:rsidR="00BB235B" w:rsidRPr="007A177A">
        <w:rPr>
          <w:rFonts w:cs="Arial"/>
          <w:i/>
          <w:lang w:val="es-MX"/>
        </w:rPr>
        <w:t>.</w:t>
      </w:r>
      <w:r w:rsidR="00116341" w:rsidRPr="007A177A">
        <w:rPr>
          <w:rFonts w:cs="Arial"/>
          <w:lang w:val="es-MX"/>
        </w:rPr>
        <w:t xml:space="preserve"> </w:t>
      </w:r>
    </w:p>
    <w:p w14:paraId="37D5ABB2" w14:textId="77777777" w:rsidR="00287928" w:rsidRPr="007A177A" w:rsidRDefault="00287928" w:rsidP="00BF333B">
      <w:pPr>
        <w:pStyle w:val="Lista2"/>
        <w:ind w:left="0" w:firstLine="0"/>
        <w:rPr>
          <w:rFonts w:cs="Arial"/>
          <w:lang w:val="es-MX"/>
        </w:rPr>
      </w:pPr>
    </w:p>
    <w:p w14:paraId="1B288EBA" w14:textId="77777777" w:rsidR="00287928" w:rsidRPr="007A177A" w:rsidRDefault="001A7151" w:rsidP="00BF333B">
      <w:pPr>
        <w:pStyle w:val="Lista2"/>
        <w:ind w:left="0" w:firstLine="0"/>
        <w:rPr>
          <w:rFonts w:cs="Arial"/>
          <w:lang w:val="es-MX"/>
        </w:rPr>
      </w:pPr>
      <w:r w:rsidRPr="007A177A">
        <w:rPr>
          <w:rFonts w:cs="Arial"/>
          <w:lang w:val="es-MX"/>
        </w:rPr>
        <w:t>L</w:t>
      </w:r>
      <w:r w:rsidR="004B4AB3" w:rsidRPr="007A177A">
        <w:rPr>
          <w:rFonts w:cs="Arial"/>
          <w:lang w:val="es-MX"/>
        </w:rPr>
        <w:t xml:space="preserve">a suma resultante se </w:t>
      </w:r>
      <w:r w:rsidRPr="007A177A">
        <w:rPr>
          <w:rFonts w:cs="Arial"/>
          <w:lang w:val="es-MX"/>
        </w:rPr>
        <w:t xml:space="preserve">actualizó hasta </w:t>
      </w:r>
      <w:r w:rsidR="00946AC6" w:rsidRPr="007A177A">
        <w:rPr>
          <w:rFonts w:cs="Arial"/>
          <w:lang w:val="es-MX"/>
        </w:rPr>
        <w:t>la fecha de la sentencia -</w:t>
      </w:r>
      <w:r w:rsidR="00946AC6" w:rsidRPr="007A177A">
        <w:rPr>
          <w:rFonts w:cs="Arial"/>
          <w:i/>
          <w:lang w:val="es-MX"/>
        </w:rPr>
        <w:t xml:space="preserve">24 de </w:t>
      </w:r>
      <w:r w:rsidR="00E03451" w:rsidRPr="007A177A">
        <w:rPr>
          <w:rFonts w:cs="Arial"/>
          <w:i/>
          <w:lang w:val="es-MX"/>
        </w:rPr>
        <w:t>noviembre de 2016</w:t>
      </w:r>
      <w:r w:rsidR="00946AC6" w:rsidRPr="007A177A">
        <w:rPr>
          <w:rFonts w:cs="Arial"/>
          <w:lang w:val="es-MX"/>
        </w:rPr>
        <w:t>-</w:t>
      </w:r>
      <w:r w:rsidR="00E03451" w:rsidRPr="007A177A">
        <w:rPr>
          <w:rFonts w:cs="Arial"/>
          <w:lang w:val="es-MX"/>
        </w:rPr>
        <w:t xml:space="preserve">, </w:t>
      </w:r>
      <w:r w:rsidRPr="007A177A">
        <w:rPr>
          <w:rFonts w:cs="Arial"/>
          <w:lang w:val="es-MX"/>
        </w:rPr>
        <w:t xml:space="preserve">arribando a un </w:t>
      </w:r>
      <w:r w:rsidR="00116341" w:rsidRPr="007A177A">
        <w:rPr>
          <w:rFonts w:cs="Arial"/>
          <w:lang w:val="es-MX"/>
        </w:rPr>
        <w:t>valor de $4.660</w:t>
      </w:r>
      <w:r w:rsidR="00E03451" w:rsidRPr="007A177A">
        <w:rPr>
          <w:rFonts w:cs="Arial"/>
          <w:lang w:val="es-MX"/>
        </w:rPr>
        <w:t>’</w:t>
      </w:r>
      <w:r w:rsidR="007013EF" w:rsidRPr="007A177A">
        <w:rPr>
          <w:rFonts w:cs="Arial"/>
          <w:lang w:val="es-MX"/>
        </w:rPr>
        <w:t>163.720,45</w:t>
      </w:r>
      <w:r w:rsidR="00946AC6" w:rsidRPr="007A177A">
        <w:rPr>
          <w:rFonts w:cs="Arial"/>
          <w:lang w:val="es-MX"/>
        </w:rPr>
        <w:t xml:space="preserve">, </w:t>
      </w:r>
      <w:r w:rsidR="004B4AB3" w:rsidRPr="007A177A">
        <w:rPr>
          <w:rFonts w:cs="Arial"/>
          <w:lang w:val="es-MX"/>
        </w:rPr>
        <w:t xml:space="preserve">calculado con </w:t>
      </w:r>
      <w:r w:rsidR="007013EF" w:rsidRPr="007A177A">
        <w:rPr>
          <w:rFonts w:cs="Arial"/>
          <w:lang w:val="es-MX"/>
        </w:rPr>
        <w:t>la fórmula tradicional de actualización</w:t>
      </w:r>
      <w:r w:rsidR="00287928" w:rsidRPr="007A177A">
        <w:rPr>
          <w:rFonts w:cs="Arial"/>
          <w:lang w:val="es-MX"/>
        </w:rPr>
        <w:t xml:space="preserve"> </w:t>
      </w:r>
      <w:r w:rsidR="007013EF" w:rsidRPr="007A177A">
        <w:rPr>
          <w:rFonts w:cs="Arial"/>
          <w:lang w:val="es-MX"/>
        </w:rPr>
        <w:t>utiliza</w:t>
      </w:r>
      <w:r w:rsidR="00287928" w:rsidRPr="007A177A">
        <w:rPr>
          <w:rFonts w:cs="Arial"/>
          <w:lang w:val="es-MX"/>
        </w:rPr>
        <w:t xml:space="preserve">da por el Consejo de Estado, </w:t>
      </w:r>
      <w:r w:rsidRPr="007A177A">
        <w:rPr>
          <w:rFonts w:cs="Arial"/>
          <w:lang w:val="es-MX"/>
        </w:rPr>
        <w:t xml:space="preserve">partiendo </w:t>
      </w:r>
      <w:r w:rsidR="004B4AB3" w:rsidRPr="007A177A">
        <w:rPr>
          <w:rFonts w:cs="Arial"/>
          <w:lang w:val="es-MX"/>
        </w:rPr>
        <w:t xml:space="preserve">en ese caso del </w:t>
      </w:r>
      <w:r w:rsidR="007013EF" w:rsidRPr="007A177A">
        <w:rPr>
          <w:rFonts w:cs="Arial"/>
          <w:lang w:val="es-MX"/>
        </w:rPr>
        <w:t>IPC inicial de enero de 1979</w:t>
      </w:r>
      <w:r w:rsidR="00287928" w:rsidRPr="007A177A">
        <w:rPr>
          <w:rFonts w:cs="Arial"/>
          <w:lang w:val="es-MX"/>
        </w:rPr>
        <w:t xml:space="preserve">, </w:t>
      </w:r>
      <w:r w:rsidR="007013EF" w:rsidRPr="007A177A">
        <w:rPr>
          <w:rFonts w:cs="Arial"/>
          <w:lang w:val="es-MX"/>
        </w:rPr>
        <w:t>fecha del acta de modificación No. 2</w:t>
      </w:r>
      <w:r w:rsidR="00287928" w:rsidRPr="007A177A">
        <w:rPr>
          <w:rFonts w:cs="Arial"/>
          <w:lang w:val="es-MX"/>
        </w:rPr>
        <w:t xml:space="preserve">, </w:t>
      </w:r>
      <w:r w:rsidR="004B4AB3" w:rsidRPr="007A177A">
        <w:rPr>
          <w:rFonts w:cs="Arial"/>
          <w:lang w:val="es-MX"/>
        </w:rPr>
        <w:t xml:space="preserve">que seleccionó el Tribunal </w:t>
      </w:r>
      <w:r w:rsidR="008D543A" w:rsidRPr="007A177A">
        <w:rPr>
          <w:rFonts w:cs="Arial"/>
          <w:i/>
          <w:lang w:val="es-MX"/>
        </w:rPr>
        <w:t>a quo</w:t>
      </w:r>
      <w:r w:rsidR="008D543A" w:rsidRPr="007A177A">
        <w:rPr>
          <w:rFonts w:cs="Arial"/>
          <w:lang w:val="es-MX"/>
        </w:rPr>
        <w:t xml:space="preserve"> como </w:t>
      </w:r>
      <w:r w:rsidR="004004CB" w:rsidRPr="007A177A">
        <w:rPr>
          <w:rFonts w:cs="Arial"/>
          <w:lang w:val="es-MX"/>
        </w:rPr>
        <w:t xml:space="preserve">hito </w:t>
      </w:r>
      <w:r w:rsidR="008D543A" w:rsidRPr="007A177A">
        <w:rPr>
          <w:rFonts w:cs="Arial"/>
          <w:lang w:val="es-MX"/>
        </w:rPr>
        <w:t>de partida de la indexación</w:t>
      </w:r>
      <w:r w:rsidR="004004CB" w:rsidRPr="007A177A">
        <w:rPr>
          <w:rFonts w:cs="Arial"/>
          <w:lang w:val="es-MX"/>
        </w:rPr>
        <w:t>,</w:t>
      </w:r>
      <w:r w:rsidR="008D543A" w:rsidRPr="007A177A">
        <w:rPr>
          <w:rFonts w:cs="Arial"/>
          <w:lang w:val="es-MX"/>
        </w:rPr>
        <w:t xml:space="preserve"> </w:t>
      </w:r>
      <w:r w:rsidR="004B4AB3" w:rsidRPr="007A177A">
        <w:rPr>
          <w:rFonts w:cs="Arial"/>
          <w:lang w:val="es-MX"/>
        </w:rPr>
        <w:t>en el entendido de que en es</w:t>
      </w:r>
      <w:r w:rsidR="008D543A" w:rsidRPr="007A177A">
        <w:rPr>
          <w:rFonts w:cs="Arial"/>
          <w:lang w:val="es-MX"/>
        </w:rPr>
        <w:t xml:space="preserve">e mes </w:t>
      </w:r>
      <w:r w:rsidR="004B4AB3" w:rsidRPr="007A177A">
        <w:rPr>
          <w:rFonts w:cs="Arial"/>
          <w:lang w:val="es-MX"/>
        </w:rPr>
        <w:t xml:space="preserve">se </w:t>
      </w:r>
      <w:r w:rsidR="00E03451" w:rsidRPr="007A177A">
        <w:rPr>
          <w:rFonts w:cs="Arial"/>
          <w:lang w:val="es-MX"/>
        </w:rPr>
        <w:t xml:space="preserve">ajustaron </w:t>
      </w:r>
      <w:r w:rsidR="00287928" w:rsidRPr="007A177A">
        <w:rPr>
          <w:rFonts w:cs="Arial"/>
          <w:lang w:val="es-MX"/>
        </w:rPr>
        <w:t>las cantidades de excavación de roca</w:t>
      </w:r>
      <w:r w:rsidR="00E03451" w:rsidRPr="007A177A">
        <w:rPr>
          <w:rFonts w:cs="Arial"/>
          <w:lang w:val="es-MX"/>
        </w:rPr>
        <w:t xml:space="preserve"> a 50</w:t>
      </w:r>
      <w:r w:rsidR="00EC3171" w:rsidRPr="007A177A">
        <w:rPr>
          <w:rFonts w:cs="Arial"/>
          <w:lang w:val="es-MX"/>
        </w:rPr>
        <w:t>.</w:t>
      </w:r>
      <w:r w:rsidR="00E03451" w:rsidRPr="007A177A">
        <w:rPr>
          <w:rFonts w:cs="Arial"/>
          <w:lang w:val="es-MX"/>
        </w:rPr>
        <w:t>000</w:t>
      </w:r>
      <w:r w:rsidR="00D51A6F" w:rsidRPr="007A177A">
        <w:rPr>
          <w:rFonts w:cs="Arial"/>
          <w:lang w:val="es-MX"/>
        </w:rPr>
        <w:t xml:space="preserve"> M3</w:t>
      </w:r>
      <w:r w:rsidR="00287928" w:rsidRPr="007A177A">
        <w:rPr>
          <w:rFonts w:cs="Arial"/>
          <w:lang w:val="es-MX"/>
        </w:rPr>
        <w:t>.</w:t>
      </w:r>
    </w:p>
    <w:p w14:paraId="7DF83ED9" w14:textId="77777777" w:rsidR="00F746E4" w:rsidRPr="007A177A" w:rsidRDefault="00F746E4" w:rsidP="00BF333B">
      <w:pPr>
        <w:pStyle w:val="Lista2"/>
        <w:ind w:left="0" w:firstLine="0"/>
        <w:rPr>
          <w:rFonts w:cs="Arial"/>
          <w:lang w:val="es-MX"/>
        </w:rPr>
      </w:pPr>
    </w:p>
    <w:p w14:paraId="378FFD66" w14:textId="77777777" w:rsidR="00526896" w:rsidRPr="007A177A" w:rsidRDefault="00A143D1" w:rsidP="00BF333B">
      <w:pPr>
        <w:pStyle w:val="Lista2"/>
        <w:ind w:left="0" w:firstLine="0"/>
        <w:rPr>
          <w:rFonts w:cs="Arial"/>
          <w:i/>
          <w:lang w:val="es-MX"/>
        </w:rPr>
      </w:pPr>
      <w:r w:rsidRPr="007A177A">
        <w:rPr>
          <w:rFonts w:cs="Arial"/>
          <w:lang w:val="es-MX"/>
        </w:rPr>
        <w:t>También, e</w:t>
      </w:r>
      <w:r w:rsidR="009F674E" w:rsidRPr="007A177A">
        <w:rPr>
          <w:rFonts w:cs="Arial"/>
          <w:lang w:val="es-MX"/>
        </w:rPr>
        <w:t xml:space="preserve">n </w:t>
      </w:r>
      <w:r w:rsidR="005B57A1" w:rsidRPr="007A177A">
        <w:rPr>
          <w:rFonts w:cs="Arial"/>
          <w:lang w:val="es-MX"/>
        </w:rPr>
        <w:t xml:space="preserve">la partida </w:t>
      </w:r>
      <w:r w:rsidR="001A28F1" w:rsidRPr="007A177A">
        <w:rPr>
          <w:rFonts w:cs="Arial"/>
          <w:lang w:val="es-MX"/>
        </w:rPr>
        <w:t xml:space="preserve">correspondiente al </w:t>
      </w:r>
      <w:r w:rsidR="005B57A1" w:rsidRPr="007A177A">
        <w:rPr>
          <w:rFonts w:cs="Arial"/>
          <w:lang w:val="es-MX"/>
        </w:rPr>
        <w:t xml:space="preserve">pago </w:t>
      </w:r>
      <w:r w:rsidR="00CA3AE2" w:rsidRPr="007A177A">
        <w:rPr>
          <w:rFonts w:cs="Arial"/>
          <w:lang w:val="es-MX"/>
        </w:rPr>
        <w:t xml:space="preserve">de acarreos de </w:t>
      </w:r>
      <w:r w:rsidR="005B57A1" w:rsidRPr="007A177A">
        <w:rPr>
          <w:rFonts w:cs="Arial"/>
          <w:lang w:val="es-MX"/>
        </w:rPr>
        <w:t>materiales para terraplenes</w:t>
      </w:r>
      <w:r w:rsidR="00C8626D" w:rsidRPr="007A177A">
        <w:rPr>
          <w:rFonts w:cs="Arial"/>
          <w:lang w:val="es-MX"/>
        </w:rPr>
        <w:t>,</w:t>
      </w:r>
      <w:r w:rsidR="005B57A1" w:rsidRPr="007A177A">
        <w:rPr>
          <w:rFonts w:cs="Arial"/>
          <w:lang w:val="es-MX"/>
        </w:rPr>
        <w:t xml:space="preserve"> </w:t>
      </w:r>
      <w:r w:rsidR="009F674E" w:rsidRPr="007A177A">
        <w:rPr>
          <w:rFonts w:cs="Arial"/>
          <w:lang w:val="es-MX"/>
        </w:rPr>
        <w:t xml:space="preserve">el </w:t>
      </w:r>
      <w:r w:rsidR="00CA3AE2" w:rsidRPr="007A177A">
        <w:rPr>
          <w:rFonts w:cs="Arial"/>
          <w:lang w:val="es-MX"/>
        </w:rPr>
        <w:t xml:space="preserve">Tribunal </w:t>
      </w:r>
      <w:r w:rsidR="00CA3AE2" w:rsidRPr="007A177A">
        <w:rPr>
          <w:rFonts w:cs="Arial"/>
          <w:i/>
          <w:lang w:val="es-MX"/>
        </w:rPr>
        <w:t>a quo</w:t>
      </w:r>
      <w:r w:rsidR="00CA3AE2" w:rsidRPr="007A177A">
        <w:rPr>
          <w:rFonts w:cs="Arial"/>
          <w:lang w:val="es-MX"/>
        </w:rPr>
        <w:t xml:space="preserve"> se apartó del dictamen, estableció las cantidades en metros cúbicos por kilómetro</w:t>
      </w:r>
      <w:r w:rsidR="00D17AD7" w:rsidRPr="007A177A">
        <w:rPr>
          <w:rFonts w:cs="Arial"/>
          <w:lang w:val="es-MX"/>
        </w:rPr>
        <w:t>, calculó el 25%</w:t>
      </w:r>
      <w:r w:rsidR="00257314" w:rsidRPr="007A177A">
        <w:rPr>
          <w:rFonts w:cs="Arial"/>
          <w:lang w:val="es-MX"/>
        </w:rPr>
        <w:t xml:space="preserve"> de</w:t>
      </w:r>
      <w:r w:rsidR="00B3523A" w:rsidRPr="007A177A">
        <w:rPr>
          <w:rFonts w:cs="Arial"/>
          <w:lang w:val="es-MX"/>
        </w:rPr>
        <w:t xml:space="preserve"> 812.258 M3</w:t>
      </w:r>
      <w:r w:rsidR="002B76F4" w:rsidRPr="007A177A">
        <w:rPr>
          <w:rFonts w:cs="Arial"/>
          <w:lang w:val="es-MX"/>
        </w:rPr>
        <w:t>/</w:t>
      </w:r>
      <w:r w:rsidR="00B3523A" w:rsidRPr="007A177A">
        <w:rPr>
          <w:rFonts w:cs="Arial"/>
          <w:lang w:val="es-MX"/>
        </w:rPr>
        <w:t xml:space="preserve">KM que corresponde al valor </w:t>
      </w:r>
      <w:r w:rsidR="00257314" w:rsidRPr="007A177A">
        <w:rPr>
          <w:rFonts w:cs="Arial"/>
          <w:lang w:val="es-MX"/>
        </w:rPr>
        <w:t>total ejecutado</w:t>
      </w:r>
      <w:r w:rsidR="00526896" w:rsidRPr="007A177A">
        <w:rPr>
          <w:rFonts w:cs="Arial"/>
          <w:lang w:val="es-MX"/>
        </w:rPr>
        <w:t xml:space="preserve"> en ese ítem</w:t>
      </w:r>
      <w:r w:rsidR="00D17AD7" w:rsidRPr="007A177A">
        <w:rPr>
          <w:rFonts w:cs="Arial"/>
          <w:lang w:val="es-MX"/>
        </w:rPr>
        <w:t>, l</w:t>
      </w:r>
      <w:r w:rsidR="00257314" w:rsidRPr="007A177A">
        <w:rPr>
          <w:rFonts w:cs="Arial"/>
          <w:lang w:val="es-MX"/>
        </w:rPr>
        <w:t>o</w:t>
      </w:r>
      <w:r w:rsidR="00D17AD7" w:rsidRPr="007A177A">
        <w:rPr>
          <w:rFonts w:cs="Arial"/>
          <w:lang w:val="es-MX"/>
        </w:rPr>
        <w:t xml:space="preserve"> restó a</w:t>
      </w:r>
      <w:r w:rsidR="00257314" w:rsidRPr="007A177A">
        <w:rPr>
          <w:rFonts w:cs="Arial"/>
          <w:lang w:val="es-MX"/>
        </w:rPr>
        <w:t xml:space="preserve"> las cantidades totales</w:t>
      </w:r>
      <w:r w:rsidR="00D17AD7" w:rsidRPr="007A177A">
        <w:rPr>
          <w:rFonts w:cs="Arial"/>
          <w:lang w:val="es-MX"/>
        </w:rPr>
        <w:t xml:space="preserve"> y </w:t>
      </w:r>
      <w:r w:rsidR="00F24490" w:rsidRPr="007A177A">
        <w:rPr>
          <w:rFonts w:cs="Arial"/>
          <w:lang w:val="es-MX"/>
        </w:rPr>
        <w:t xml:space="preserve">al resultante </w:t>
      </w:r>
      <w:r w:rsidR="00D17AD7" w:rsidRPr="007A177A">
        <w:rPr>
          <w:rFonts w:cs="Arial"/>
          <w:lang w:val="es-MX"/>
        </w:rPr>
        <w:t>le aplicó el precio unitario de $27,00 M3</w:t>
      </w:r>
      <w:r w:rsidR="002B76F4" w:rsidRPr="007A177A">
        <w:rPr>
          <w:rFonts w:cs="Arial"/>
          <w:lang w:val="es-MX"/>
        </w:rPr>
        <w:t>/</w:t>
      </w:r>
      <w:r w:rsidR="00D17AD7" w:rsidRPr="007A177A">
        <w:rPr>
          <w:rFonts w:cs="Arial"/>
          <w:lang w:val="es-MX"/>
        </w:rPr>
        <w:t xml:space="preserve">KM, </w:t>
      </w:r>
      <w:r w:rsidR="00D17AD7" w:rsidRPr="007A177A">
        <w:rPr>
          <w:rFonts w:cs="Arial"/>
          <w:i/>
          <w:lang w:val="es-MX"/>
        </w:rPr>
        <w:t>“propuesto y justificado técnicamente por el contratista”.</w:t>
      </w:r>
      <w:r w:rsidR="00D51A6F" w:rsidRPr="007A177A">
        <w:rPr>
          <w:rFonts w:cs="Arial"/>
          <w:i/>
          <w:lang w:val="es-MX"/>
        </w:rPr>
        <w:t xml:space="preserve"> </w:t>
      </w:r>
    </w:p>
    <w:p w14:paraId="29F9018E" w14:textId="77777777" w:rsidR="00526896" w:rsidRPr="007A177A" w:rsidRDefault="00526896" w:rsidP="00BF333B">
      <w:pPr>
        <w:pStyle w:val="Lista2"/>
        <w:ind w:left="0" w:firstLine="0"/>
        <w:rPr>
          <w:rFonts w:cs="Arial"/>
          <w:i/>
          <w:lang w:val="es-MX"/>
        </w:rPr>
      </w:pPr>
    </w:p>
    <w:p w14:paraId="50BD73B6" w14:textId="77777777" w:rsidR="00D17AD7" w:rsidRPr="007A177A" w:rsidRDefault="00D51A6F" w:rsidP="00BF333B">
      <w:pPr>
        <w:pStyle w:val="Lista2"/>
        <w:ind w:left="0" w:firstLine="0"/>
        <w:rPr>
          <w:rFonts w:cs="Arial"/>
          <w:lang w:val="es-MX"/>
        </w:rPr>
      </w:pPr>
      <w:r w:rsidRPr="007A177A">
        <w:rPr>
          <w:rFonts w:cs="Arial"/>
          <w:lang w:val="es-MX"/>
        </w:rPr>
        <w:t xml:space="preserve">En </w:t>
      </w:r>
      <w:r w:rsidR="004004CB" w:rsidRPr="007A177A">
        <w:rPr>
          <w:rFonts w:cs="Arial"/>
          <w:lang w:val="es-MX"/>
        </w:rPr>
        <w:t xml:space="preserve">dicho </w:t>
      </w:r>
      <w:r w:rsidRPr="007A177A">
        <w:rPr>
          <w:rFonts w:cs="Arial"/>
          <w:lang w:val="es-MX"/>
        </w:rPr>
        <w:t>ítem</w:t>
      </w:r>
      <w:r w:rsidR="00F53286" w:rsidRPr="007A177A">
        <w:rPr>
          <w:rFonts w:cs="Arial"/>
          <w:lang w:val="es-MX"/>
        </w:rPr>
        <w:t>,</w:t>
      </w:r>
      <w:r w:rsidRPr="007A177A">
        <w:rPr>
          <w:rFonts w:cs="Arial"/>
          <w:lang w:val="es-MX"/>
        </w:rPr>
        <w:t xml:space="preserve"> </w:t>
      </w:r>
      <w:r w:rsidR="00526896" w:rsidRPr="007A177A">
        <w:rPr>
          <w:rFonts w:cs="Arial"/>
          <w:lang w:val="es-MX"/>
        </w:rPr>
        <w:t xml:space="preserve">el Tribunal </w:t>
      </w:r>
      <w:r w:rsidR="00526896" w:rsidRPr="007A177A">
        <w:rPr>
          <w:rFonts w:cs="Arial"/>
          <w:i/>
          <w:iCs/>
          <w:lang w:val="es-MX"/>
        </w:rPr>
        <w:t>a quo</w:t>
      </w:r>
      <w:r w:rsidR="00526896" w:rsidRPr="007A177A">
        <w:rPr>
          <w:rFonts w:cs="Arial"/>
          <w:lang w:val="es-MX"/>
        </w:rPr>
        <w:t xml:space="preserve"> </w:t>
      </w:r>
      <w:r w:rsidRPr="007A177A">
        <w:rPr>
          <w:rFonts w:cs="Arial"/>
          <w:lang w:val="es-MX"/>
        </w:rPr>
        <w:t>arribó a una condena por $307’043</w:t>
      </w:r>
      <w:r w:rsidR="008D543A" w:rsidRPr="007A177A">
        <w:rPr>
          <w:rFonts w:cs="Arial"/>
          <w:lang w:val="es-MX"/>
        </w:rPr>
        <w:t>.</w:t>
      </w:r>
      <w:r w:rsidRPr="007A177A">
        <w:rPr>
          <w:rFonts w:cs="Arial"/>
          <w:lang w:val="es-MX"/>
        </w:rPr>
        <w:t xml:space="preserve">597, tomando </w:t>
      </w:r>
      <w:r w:rsidR="00946AC6" w:rsidRPr="007A177A">
        <w:rPr>
          <w:rFonts w:cs="Arial"/>
          <w:lang w:val="es-MX"/>
        </w:rPr>
        <w:t xml:space="preserve">el IPC de </w:t>
      </w:r>
      <w:r w:rsidRPr="007A177A">
        <w:rPr>
          <w:rFonts w:cs="Arial"/>
          <w:lang w:val="es-MX"/>
        </w:rPr>
        <w:t>junio de 1980 como fecha in</w:t>
      </w:r>
      <w:r w:rsidR="005D6318" w:rsidRPr="007A177A">
        <w:rPr>
          <w:rFonts w:cs="Arial"/>
          <w:lang w:val="es-MX"/>
        </w:rPr>
        <w:t>i</w:t>
      </w:r>
      <w:r w:rsidRPr="007A177A">
        <w:rPr>
          <w:rFonts w:cs="Arial"/>
          <w:lang w:val="es-MX"/>
        </w:rPr>
        <w:t>cial, con base en la</w:t>
      </w:r>
      <w:r w:rsidR="00946AC6" w:rsidRPr="007A177A">
        <w:rPr>
          <w:rFonts w:cs="Arial"/>
          <w:lang w:val="es-MX"/>
        </w:rPr>
        <w:t xml:space="preserve"> época en que se elaboraron las</w:t>
      </w:r>
      <w:r w:rsidRPr="007A177A">
        <w:rPr>
          <w:rFonts w:cs="Arial"/>
          <w:lang w:val="es-MX"/>
        </w:rPr>
        <w:t xml:space="preserve"> preactas de </w:t>
      </w:r>
      <w:r w:rsidR="005D6318" w:rsidRPr="007A177A">
        <w:rPr>
          <w:rFonts w:cs="Arial"/>
          <w:lang w:val="es-MX"/>
        </w:rPr>
        <w:t>obra 23 a</w:t>
      </w:r>
      <w:r w:rsidR="002B76F4" w:rsidRPr="007A177A">
        <w:rPr>
          <w:rFonts w:cs="Arial"/>
          <w:lang w:val="es-MX"/>
        </w:rPr>
        <w:t xml:space="preserve"> </w:t>
      </w:r>
      <w:r w:rsidR="005D6318" w:rsidRPr="007A177A">
        <w:rPr>
          <w:rFonts w:cs="Arial"/>
          <w:lang w:val="es-MX"/>
        </w:rPr>
        <w:t>30.</w:t>
      </w:r>
    </w:p>
    <w:p w14:paraId="0F0CDFC4" w14:textId="77777777" w:rsidR="008D0E74" w:rsidRPr="007A177A" w:rsidRDefault="008D0E74" w:rsidP="00BF333B">
      <w:pPr>
        <w:pStyle w:val="Lista2"/>
        <w:ind w:left="0" w:firstLine="0"/>
        <w:rPr>
          <w:rFonts w:cs="Arial"/>
          <w:lang w:val="es-MX"/>
        </w:rPr>
      </w:pPr>
    </w:p>
    <w:p w14:paraId="7BF12316" w14:textId="77777777" w:rsidR="005B307B" w:rsidRPr="007A177A" w:rsidRDefault="00FA2236" w:rsidP="00BF333B">
      <w:pPr>
        <w:pStyle w:val="Lista2"/>
        <w:ind w:left="0" w:firstLine="0"/>
        <w:rPr>
          <w:rFonts w:cs="Arial"/>
          <w:lang w:val="es-MX"/>
        </w:rPr>
      </w:pPr>
      <w:r w:rsidRPr="007A177A">
        <w:rPr>
          <w:rFonts w:cs="Arial"/>
          <w:lang w:val="es-MX"/>
        </w:rPr>
        <w:t>Por otra parte, e</w:t>
      </w:r>
      <w:r w:rsidR="00F8028D" w:rsidRPr="007A177A">
        <w:rPr>
          <w:rFonts w:cs="Arial"/>
          <w:lang w:val="es-MX"/>
        </w:rPr>
        <w:t xml:space="preserve">l Tribunal </w:t>
      </w:r>
      <w:r w:rsidR="00EC3171" w:rsidRPr="007A177A">
        <w:rPr>
          <w:rFonts w:cs="Arial"/>
          <w:lang w:val="es-MX"/>
        </w:rPr>
        <w:t xml:space="preserve">observó </w:t>
      </w:r>
      <w:r w:rsidR="00F8028D" w:rsidRPr="007A177A">
        <w:rPr>
          <w:rFonts w:cs="Arial"/>
          <w:lang w:val="es-MX"/>
        </w:rPr>
        <w:t>que</w:t>
      </w:r>
      <w:r w:rsidR="00EC3171" w:rsidRPr="007A177A">
        <w:rPr>
          <w:rFonts w:cs="Arial"/>
          <w:lang w:val="es-MX"/>
        </w:rPr>
        <w:t>,</w:t>
      </w:r>
      <w:r w:rsidR="00F8028D" w:rsidRPr="007A177A">
        <w:rPr>
          <w:rFonts w:cs="Arial"/>
          <w:lang w:val="es-MX"/>
        </w:rPr>
        <w:t xml:space="preserve"> </w:t>
      </w:r>
      <w:r w:rsidR="0099046F" w:rsidRPr="007A177A">
        <w:rPr>
          <w:rFonts w:cs="Arial"/>
          <w:lang w:val="es-MX"/>
        </w:rPr>
        <w:t xml:space="preserve">de acuerdo con </w:t>
      </w:r>
      <w:r w:rsidR="00F8028D" w:rsidRPr="007A177A">
        <w:rPr>
          <w:rFonts w:cs="Arial"/>
          <w:lang w:val="es-MX"/>
        </w:rPr>
        <w:t>el contrato</w:t>
      </w:r>
      <w:r w:rsidR="00EC3171" w:rsidRPr="007A177A">
        <w:rPr>
          <w:rFonts w:cs="Arial"/>
          <w:lang w:val="es-MX"/>
        </w:rPr>
        <w:t>,</w:t>
      </w:r>
      <w:r w:rsidR="00F8028D" w:rsidRPr="007A177A">
        <w:rPr>
          <w:rFonts w:cs="Arial"/>
          <w:lang w:val="es-MX"/>
        </w:rPr>
        <w:t xml:space="preserve"> </w:t>
      </w:r>
      <w:r w:rsidR="0099046F" w:rsidRPr="007A177A">
        <w:rPr>
          <w:rFonts w:cs="Arial"/>
          <w:lang w:val="es-MX"/>
        </w:rPr>
        <w:t>los precios fueron ajustados en cada acta de obra y que</w:t>
      </w:r>
      <w:r w:rsidR="00F24490" w:rsidRPr="007A177A">
        <w:rPr>
          <w:rFonts w:cs="Arial"/>
          <w:lang w:val="es-MX"/>
        </w:rPr>
        <w:t xml:space="preserve">, de </w:t>
      </w:r>
      <w:r w:rsidR="00B80A17" w:rsidRPr="007A177A">
        <w:rPr>
          <w:rFonts w:cs="Arial"/>
          <w:lang w:val="es-MX"/>
        </w:rPr>
        <w:t xml:space="preserve">conformidad </w:t>
      </w:r>
      <w:r w:rsidR="00F24490" w:rsidRPr="007A177A">
        <w:rPr>
          <w:rFonts w:cs="Arial"/>
          <w:lang w:val="es-MX"/>
        </w:rPr>
        <w:t>con las pruebas, a</w:t>
      </w:r>
      <w:r w:rsidR="00B80A17" w:rsidRPr="007A177A">
        <w:rPr>
          <w:rFonts w:cs="Arial"/>
          <w:lang w:val="es-MX"/>
        </w:rPr>
        <w:t xml:space="preserve"> la parte</w:t>
      </w:r>
      <w:r w:rsidR="00F24490" w:rsidRPr="007A177A">
        <w:rPr>
          <w:rFonts w:cs="Arial"/>
          <w:lang w:val="es-MX"/>
        </w:rPr>
        <w:t xml:space="preserve"> contrati</w:t>
      </w:r>
      <w:r w:rsidR="00EC4AE8" w:rsidRPr="007A177A">
        <w:rPr>
          <w:rFonts w:cs="Arial"/>
          <w:lang w:val="es-MX"/>
        </w:rPr>
        <w:t>s</w:t>
      </w:r>
      <w:r w:rsidR="00F24490" w:rsidRPr="007A177A">
        <w:rPr>
          <w:rFonts w:cs="Arial"/>
          <w:lang w:val="es-MX"/>
        </w:rPr>
        <w:t xml:space="preserve">ta </w:t>
      </w:r>
      <w:r w:rsidR="0099046F" w:rsidRPr="007A177A">
        <w:rPr>
          <w:rFonts w:cs="Arial"/>
          <w:lang w:val="es-MX"/>
        </w:rPr>
        <w:t xml:space="preserve">le fueron pagadas las </w:t>
      </w:r>
      <w:r w:rsidR="0099046F" w:rsidRPr="007A177A">
        <w:rPr>
          <w:rFonts w:cs="Arial"/>
          <w:i/>
          <w:iCs/>
          <w:lang w:val="es-MX"/>
        </w:rPr>
        <w:t xml:space="preserve">“cantidades de obras de excavación de material inadecuado dentro de la </w:t>
      </w:r>
      <w:r w:rsidR="005B307B" w:rsidRPr="007A177A">
        <w:rPr>
          <w:rFonts w:cs="Arial"/>
          <w:i/>
          <w:iCs/>
          <w:lang w:val="es-MX"/>
        </w:rPr>
        <w:t>pa</w:t>
      </w:r>
      <w:r w:rsidR="0099046F" w:rsidRPr="007A177A">
        <w:rPr>
          <w:rFonts w:cs="Arial"/>
          <w:i/>
          <w:iCs/>
          <w:lang w:val="es-MX"/>
        </w:rPr>
        <w:t>rtida existente de excavación de material común</w:t>
      </w:r>
      <w:r w:rsidR="005B307B" w:rsidRPr="007A177A">
        <w:rPr>
          <w:rFonts w:cs="Arial"/>
          <w:i/>
          <w:iCs/>
          <w:lang w:val="es-MX"/>
        </w:rPr>
        <w:t>”</w:t>
      </w:r>
      <w:r w:rsidR="005B307B" w:rsidRPr="007A177A">
        <w:rPr>
          <w:rStyle w:val="Refdenotaalpie"/>
          <w:rFonts w:cs="Arial"/>
          <w:lang w:val="es-MX"/>
        </w:rPr>
        <w:footnoteReference w:id="28"/>
      </w:r>
      <w:r w:rsidR="002B7D51" w:rsidRPr="007A177A">
        <w:rPr>
          <w:rFonts w:cs="Arial"/>
          <w:i/>
          <w:iCs/>
          <w:lang w:val="es-MX"/>
        </w:rPr>
        <w:t>,</w:t>
      </w:r>
      <w:r w:rsidR="005B307B" w:rsidRPr="007A177A">
        <w:rPr>
          <w:rFonts w:cs="Arial"/>
          <w:lang w:val="es-MX"/>
        </w:rPr>
        <w:t xml:space="preserve"> por lo </w:t>
      </w:r>
      <w:r w:rsidR="00EC3171" w:rsidRPr="007A177A">
        <w:rPr>
          <w:rFonts w:cs="Arial"/>
          <w:lang w:val="es-MX"/>
        </w:rPr>
        <w:t xml:space="preserve">cual decidió no acceder </w:t>
      </w:r>
      <w:r w:rsidR="005B307B" w:rsidRPr="007A177A">
        <w:rPr>
          <w:rFonts w:cs="Arial"/>
          <w:lang w:val="es-MX"/>
        </w:rPr>
        <w:t>a las pretensiones sobre esos ítems.</w:t>
      </w:r>
    </w:p>
    <w:p w14:paraId="512E12FE" w14:textId="77777777" w:rsidR="00EC4AE8" w:rsidRPr="007A177A" w:rsidRDefault="00EC4AE8" w:rsidP="00BF333B">
      <w:pPr>
        <w:pStyle w:val="Lista2"/>
        <w:ind w:left="0" w:firstLine="0"/>
        <w:rPr>
          <w:rFonts w:cs="Arial"/>
          <w:b/>
          <w:lang w:val="es-MX"/>
        </w:rPr>
      </w:pPr>
    </w:p>
    <w:p w14:paraId="6F9B8C3D" w14:textId="77777777" w:rsidR="00EC4AE8" w:rsidRPr="007A177A" w:rsidRDefault="00EC4AE8" w:rsidP="00BF333B">
      <w:pPr>
        <w:pStyle w:val="Lista2"/>
        <w:ind w:left="0" w:firstLine="0"/>
        <w:rPr>
          <w:rFonts w:cs="Arial"/>
          <w:lang w:val="es-MX"/>
        </w:rPr>
      </w:pPr>
      <w:r w:rsidRPr="007A177A">
        <w:rPr>
          <w:rFonts w:cs="Arial"/>
          <w:lang w:val="es-MX"/>
        </w:rPr>
        <w:t xml:space="preserve">Finalmente, el Tribunal </w:t>
      </w:r>
      <w:r w:rsidRPr="007A177A">
        <w:rPr>
          <w:rFonts w:cs="Arial"/>
          <w:i/>
          <w:iCs/>
          <w:lang w:val="es-MX"/>
        </w:rPr>
        <w:t>a quo</w:t>
      </w:r>
      <w:r w:rsidRPr="007A177A">
        <w:rPr>
          <w:rFonts w:cs="Arial"/>
          <w:lang w:val="es-MX"/>
        </w:rPr>
        <w:t xml:space="preserve"> rechaz</w:t>
      </w:r>
      <w:r w:rsidR="008D543A" w:rsidRPr="007A177A">
        <w:rPr>
          <w:rFonts w:cs="Arial"/>
          <w:lang w:val="es-MX"/>
        </w:rPr>
        <w:t>ó</w:t>
      </w:r>
      <w:r w:rsidRPr="007A177A">
        <w:rPr>
          <w:rFonts w:cs="Arial"/>
          <w:lang w:val="es-MX"/>
        </w:rPr>
        <w:t xml:space="preserve"> las demás pretensiones de la demanda. </w:t>
      </w:r>
    </w:p>
    <w:p w14:paraId="3D5FE491" w14:textId="77777777" w:rsidR="003C0448" w:rsidRPr="007A177A" w:rsidRDefault="003C0448" w:rsidP="00BF333B">
      <w:pPr>
        <w:pStyle w:val="Lista2"/>
        <w:ind w:left="0" w:firstLine="0"/>
        <w:rPr>
          <w:rFonts w:cs="Arial"/>
          <w:b/>
          <w:lang w:val="es-MX"/>
        </w:rPr>
      </w:pPr>
    </w:p>
    <w:p w14:paraId="22D05170" w14:textId="77777777" w:rsidR="009D0E50" w:rsidRPr="007A177A" w:rsidRDefault="001B5C0C" w:rsidP="00BF333B">
      <w:pPr>
        <w:pStyle w:val="Lista2"/>
        <w:ind w:left="0" w:firstLine="0"/>
        <w:rPr>
          <w:rFonts w:cs="Arial"/>
          <w:b/>
          <w:lang w:val="es-MX"/>
        </w:rPr>
      </w:pPr>
      <w:r w:rsidRPr="007A177A">
        <w:rPr>
          <w:rFonts w:cs="Arial"/>
          <w:b/>
          <w:lang w:val="es-MX"/>
        </w:rPr>
        <w:t>6</w:t>
      </w:r>
      <w:r w:rsidR="009D0E50" w:rsidRPr="007A177A">
        <w:rPr>
          <w:rFonts w:cs="Arial"/>
          <w:b/>
          <w:lang w:val="es-MX"/>
        </w:rPr>
        <w:t xml:space="preserve">. El recurso de apelación </w:t>
      </w:r>
    </w:p>
    <w:p w14:paraId="2CD10975" w14:textId="77777777" w:rsidR="009D0E50" w:rsidRPr="007A177A" w:rsidRDefault="009D0E50" w:rsidP="00BF333B">
      <w:pPr>
        <w:spacing w:line="360" w:lineRule="auto"/>
        <w:jc w:val="both"/>
        <w:rPr>
          <w:rFonts w:ascii="Arial" w:hAnsi="Arial" w:cs="Arial"/>
          <w:bCs/>
          <w:lang w:val="es-MX"/>
        </w:rPr>
      </w:pPr>
    </w:p>
    <w:p w14:paraId="6A64AA30" w14:textId="77777777" w:rsidR="009D0E50" w:rsidRPr="007A177A" w:rsidRDefault="009D0E50" w:rsidP="00BF333B">
      <w:pPr>
        <w:pStyle w:val="Textoindependiente"/>
        <w:spacing w:line="360" w:lineRule="auto"/>
        <w:jc w:val="both"/>
        <w:rPr>
          <w:rFonts w:cs="Arial"/>
          <w:sz w:val="24"/>
          <w:szCs w:val="24"/>
          <w:lang w:val="es-MX"/>
        </w:rPr>
      </w:pPr>
      <w:r w:rsidRPr="007A177A">
        <w:rPr>
          <w:rFonts w:cs="Arial"/>
          <w:sz w:val="24"/>
          <w:szCs w:val="24"/>
        </w:rPr>
        <w:t xml:space="preserve">La parte </w:t>
      </w:r>
      <w:r w:rsidR="007A4976" w:rsidRPr="007A177A">
        <w:rPr>
          <w:rFonts w:cs="Arial"/>
          <w:sz w:val="24"/>
          <w:szCs w:val="24"/>
        </w:rPr>
        <w:t xml:space="preserve">demandada </w:t>
      </w:r>
      <w:r w:rsidRPr="007A177A">
        <w:rPr>
          <w:rFonts w:cs="Arial"/>
          <w:sz w:val="24"/>
          <w:szCs w:val="24"/>
        </w:rPr>
        <w:t xml:space="preserve">impugnó la sentencia de primera instancia </w:t>
      </w:r>
      <w:r w:rsidR="00F32AF7" w:rsidRPr="007A177A">
        <w:rPr>
          <w:rFonts w:cs="Arial"/>
          <w:sz w:val="24"/>
          <w:szCs w:val="24"/>
        </w:rPr>
        <w:t>mediante recurso presentado y sustentado el 24 de enero de 2017</w:t>
      </w:r>
      <w:r w:rsidR="001600F7" w:rsidRPr="007A177A">
        <w:rPr>
          <w:rStyle w:val="Refdenotaalpie"/>
          <w:rFonts w:cs="Arial"/>
          <w:sz w:val="24"/>
          <w:szCs w:val="24"/>
        </w:rPr>
        <w:footnoteReference w:id="29"/>
      </w:r>
      <w:r w:rsidR="00F32AF7" w:rsidRPr="007A177A">
        <w:rPr>
          <w:rFonts w:cs="Arial"/>
          <w:sz w:val="24"/>
          <w:szCs w:val="24"/>
        </w:rPr>
        <w:t xml:space="preserve">, </w:t>
      </w:r>
      <w:r w:rsidRPr="007A177A">
        <w:rPr>
          <w:rFonts w:cs="Arial"/>
          <w:sz w:val="24"/>
          <w:szCs w:val="24"/>
          <w:lang w:val="es-MX"/>
        </w:rPr>
        <w:t xml:space="preserve">en la siguiente forma:  </w:t>
      </w:r>
    </w:p>
    <w:p w14:paraId="1F83A0D1" w14:textId="77777777" w:rsidR="009D0E50" w:rsidRPr="007A177A" w:rsidRDefault="009D0E50" w:rsidP="00BF333B">
      <w:pPr>
        <w:spacing w:line="360" w:lineRule="auto"/>
        <w:jc w:val="both"/>
        <w:rPr>
          <w:rFonts w:ascii="Arial" w:hAnsi="Arial" w:cs="Arial"/>
          <w:bCs/>
          <w:lang w:val="es-MX"/>
        </w:rPr>
      </w:pPr>
    </w:p>
    <w:p w14:paraId="17BD2807" w14:textId="77777777" w:rsidR="0060043B" w:rsidRPr="007A177A" w:rsidRDefault="001B5C0C" w:rsidP="00BF333B">
      <w:pPr>
        <w:spacing w:line="360" w:lineRule="auto"/>
        <w:jc w:val="both"/>
        <w:rPr>
          <w:rFonts w:ascii="Arial" w:hAnsi="Arial" w:cs="Arial"/>
          <w:bCs/>
          <w:i/>
          <w:iCs/>
          <w:lang w:val="es-MX"/>
        </w:rPr>
      </w:pPr>
      <w:r w:rsidRPr="007A177A">
        <w:rPr>
          <w:rFonts w:ascii="Arial" w:hAnsi="Arial" w:cs="Arial"/>
          <w:b/>
          <w:bCs/>
          <w:lang w:val="es-MX"/>
        </w:rPr>
        <w:lastRenderedPageBreak/>
        <w:t>6</w:t>
      </w:r>
      <w:r w:rsidR="00196BB4" w:rsidRPr="007A177A">
        <w:rPr>
          <w:rFonts w:ascii="Arial" w:hAnsi="Arial" w:cs="Arial"/>
          <w:b/>
          <w:bCs/>
          <w:lang w:val="es-MX"/>
        </w:rPr>
        <w:t>.1.</w:t>
      </w:r>
      <w:r w:rsidR="00196BB4" w:rsidRPr="007A177A">
        <w:rPr>
          <w:rFonts w:ascii="Arial" w:hAnsi="Arial" w:cs="Arial"/>
          <w:bCs/>
          <w:lang w:val="es-MX"/>
        </w:rPr>
        <w:t xml:space="preserve"> </w:t>
      </w:r>
      <w:r w:rsidR="00F32AF7" w:rsidRPr="007A177A">
        <w:rPr>
          <w:rFonts w:ascii="Arial" w:hAnsi="Arial" w:cs="Arial"/>
          <w:bCs/>
          <w:lang w:val="es-MX"/>
        </w:rPr>
        <w:t xml:space="preserve">El </w:t>
      </w:r>
      <w:r w:rsidR="00F4651D" w:rsidRPr="007A177A">
        <w:rPr>
          <w:rFonts w:ascii="Arial" w:hAnsi="Arial" w:cs="Arial"/>
          <w:bCs/>
          <w:lang w:val="es-MX"/>
        </w:rPr>
        <w:t>C</w:t>
      </w:r>
      <w:r w:rsidR="00F32AF7" w:rsidRPr="007A177A">
        <w:rPr>
          <w:rFonts w:ascii="Arial" w:hAnsi="Arial" w:cs="Arial"/>
          <w:bCs/>
          <w:lang w:val="es-MX"/>
        </w:rPr>
        <w:t xml:space="preserve">ontrato de </w:t>
      </w:r>
      <w:r w:rsidR="00C66D3B" w:rsidRPr="007A177A">
        <w:rPr>
          <w:rFonts w:ascii="Arial" w:hAnsi="Arial" w:cs="Arial"/>
          <w:bCs/>
          <w:lang w:val="es-MX"/>
        </w:rPr>
        <w:t>O</w:t>
      </w:r>
      <w:r w:rsidR="00F32AF7" w:rsidRPr="007A177A">
        <w:rPr>
          <w:rFonts w:ascii="Arial" w:hAnsi="Arial" w:cs="Arial"/>
          <w:bCs/>
          <w:lang w:val="es-MX"/>
        </w:rPr>
        <w:t xml:space="preserve">bra </w:t>
      </w:r>
      <w:r w:rsidR="00C66D3B" w:rsidRPr="007A177A">
        <w:rPr>
          <w:rFonts w:ascii="Arial" w:hAnsi="Arial" w:cs="Arial"/>
          <w:bCs/>
          <w:lang w:val="es-MX"/>
        </w:rPr>
        <w:t>P</w:t>
      </w:r>
      <w:r w:rsidR="00F32AF7" w:rsidRPr="007A177A">
        <w:rPr>
          <w:rFonts w:ascii="Arial" w:hAnsi="Arial" w:cs="Arial"/>
          <w:bCs/>
          <w:lang w:val="es-MX"/>
        </w:rPr>
        <w:t xml:space="preserve">ública </w:t>
      </w:r>
      <w:r w:rsidR="00C66D3B" w:rsidRPr="007A177A">
        <w:rPr>
          <w:rFonts w:ascii="Arial" w:hAnsi="Arial" w:cs="Arial"/>
          <w:bCs/>
          <w:lang w:val="es-MX"/>
        </w:rPr>
        <w:t xml:space="preserve">No. </w:t>
      </w:r>
      <w:r w:rsidR="00F32AF7" w:rsidRPr="007A177A">
        <w:rPr>
          <w:rFonts w:ascii="Arial" w:hAnsi="Arial" w:cs="Arial"/>
          <w:bCs/>
          <w:lang w:val="es-MX"/>
        </w:rPr>
        <w:t xml:space="preserve">358 de 1976 se terminó </w:t>
      </w:r>
      <w:r w:rsidR="009E5FAD" w:rsidRPr="007A177A">
        <w:rPr>
          <w:rFonts w:ascii="Arial" w:hAnsi="Arial" w:cs="Arial"/>
          <w:bCs/>
          <w:lang w:val="es-MX"/>
        </w:rPr>
        <w:t xml:space="preserve">el 31 de julio de 1981, </w:t>
      </w:r>
      <w:r w:rsidR="00F32AF7" w:rsidRPr="007A177A">
        <w:rPr>
          <w:rFonts w:ascii="Arial" w:hAnsi="Arial" w:cs="Arial"/>
          <w:bCs/>
          <w:lang w:val="es-MX"/>
        </w:rPr>
        <w:t xml:space="preserve">antes de la creación del Invías </w:t>
      </w:r>
      <w:r w:rsidR="00F4651D" w:rsidRPr="007A177A">
        <w:rPr>
          <w:rFonts w:ascii="Arial" w:hAnsi="Arial" w:cs="Arial"/>
          <w:bCs/>
          <w:lang w:val="es-MX"/>
        </w:rPr>
        <w:t>y</w:t>
      </w:r>
      <w:r w:rsidR="002B7D51" w:rsidRPr="007A177A">
        <w:rPr>
          <w:rFonts w:ascii="Arial" w:hAnsi="Arial" w:cs="Arial"/>
          <w:bCs/>
          <w:lang w:val="es-MX"/>
        </w:rPr>
        <w:t>,</w:t>
      </w:r>
      <w:r w:rsidR="00F4651D" w:rsidRPr="007A177A">
        <w:rPr>
          <w:rFonts w:ascii="Arial" w:hAnsi="Arial" w:cs="Arial"/>
          <w:bCs/>
          <w:lang w:val="es-MX"/>
        </w:rPr>
        <w:t xml:space="preserve"> por tanto</w:t>
      </w:r>
      <w:r w:rsidR="002B7D51" w:rsidRPr="007A177A">
        <w:rPr>
          <w:rFonts w:ascii="Arial" w:hAnsi="Arial" w:cs="Arial"/>
          <w:bCs/>
          <w:lang w:val="es-MX"/>
        </w:rPr>
        <w:t>,</w:t>
      </w:r>
      <w:r w:rsidR="00F4651D" w:rsidRPr="007A177A">
        <w:rPr>
          <w:rFonts w:ascii="Arial" w:hAnsi="Arial" w:cs="Arial"/>
          <w:bCs/>
          <w:lang w:val="es-MX"/>
        </w:rPr>
        <w:t xml:space="preserve"> no pas</w:t>
      </w:r>
      <w:r w:rsidR="00F24490" w:rsidRPr="007A177A">
        <w:rPr>
          <w:rFonts w:ascii="Arial" w:hAnsi="Arial" w:cs="Arial"/>
          <w:bCs/>
          <w:lang w:val="es-MX"/>
        </w:rPr>
        <w:t>ó</w:t>
      </w:r>
      <w:r w:rsidR="00F4651D" w:rsidRPr="007A177A">
        <w:rPr>
          <w:rFonts w:ascii="Arial" w:hAnsi="Arial" w:cs="Arial"/>
          <w:bCs/>
          <w:lang w:val="es-MX"/>
        </w:rPr>
        <w:t xml:space="preserve"> a la masa de activos y pasivos del Inv</w:t>
      </w:r>
      <w:r w:rsidR="007A4976" w:rsidRPr="007A177A">
        <w:rPr>
          <w:rFonts w:ascii="Arial" w:hAnsi="Arial" w:cs="Arial"/>
          <w:bCs/>
          <w:lang w:val="es-MX"/>
        </w:rPr>
        <w:t>í</w:t>
      </w:r>
      <w:r w:rsidR="00F4651D" w:rsidRPr="007A177A">
        <w:rPr>
          <w:rFonts w:ascii="Arial" w:hAnsi="Arial" w:cs="Arial"/>
          <w:bCs/>
          <w:lang w:val="es-MX"/>
        </w:rPr>
        <w:t>as</w:t>
      </w:r>
      <w:r w:rsidR="003841D9" w:rsidRPr="007A177A">
        <w:rPr>
          <w:rFonts w:ascii="Arial" w:hAnsi="Arial" w:cs="Arial"/>
          <w:bCs/>
          <w:lang w:val="es-MX"/>
        </w:rPr>
        <w:t xml:space="preserve">, </w:t>
      </w:r>
      <w:r w:rsidR="00196BB4" w:rsidRPr="007A177A">
        <w:rPr>
          <w:rFonts w:ascii="Arial" w:hAnsi="Arial" w:cs="Arial"/>
          <w:bCs/>
          <w:lang w:val="es-MX"/>
        </w:rPr>
        <w:t xml:space="preserve">razón por la que </w:t>
      </w:r>
      <w:r w:rsidR="00196BB4" w:rsidRPr="007A177A">
        <w:rPr>
          <w:rFonts w:ascii="Arial" w:hAnsi="Arial" w:cs="Arial"/>
          <w:bCs/>
          <w:i/>
          <w:iCs/>
          <w:lang w:val="es-MX"/>
        </w:rPr>
        <w:t>“</w:t>
      </w:r>
      <w:r w:rsidR="0060043B" w:rsidRPr="007A177A">
        <w:rPr>
          <w:rFonts w:ascii="Arial" w:hAnsi="Arial" w:cs="Arial"/>
          <w:bCs/>
          <w:i/>
          <w:iCs/>
          <w:lang w:val="es-MX"/>
        </w:rPr>
        <w:t>no existe nexo causal para legitimarlo como parte pasiva</w:t>
      </w:r>
      <w:r w:rsidR="007839C9" w:rsidRPr="007A177A">
        <w:rPr>
          <w:rFonts w:ascii="Arial" w:hAnsi="Arial" w:cs="Arial"/>
          <w:bCs/>
          <w:i/>
          <w:iCs/>
          <w:lang w:val="es-MX"/>
        </w:rPr>
        <w:t>”</w:t>
      </w:r>
      <w:r w:rsidR="007A4976" w:rsidRPr="007A177A">
        <w:rPr>
          <w:rFonts w:ascii="Arial" w:hAnsi="Arial" w:cs="Arial"/>
          <w:bCs/>
          <w:i/>
          <w:iCs/>
          <w:lang w:val="es-MX"/>
        </w:rPr>
        <w:t>.</w:t>
      </w:r>
      <w:r w:rsidR="0060043B" w:rsidRPr="007A177A">
        <w:rPr>
          <w:rFonts w:ascii="Arial" w:hAnsi="Arial" w:cs="Arial"/>
          <w:bCs/>
          <w:i/>
          <w:iCs/>
          <w:lang w:val="es-MX"/>
        </w:rPr>
        <w:t xml:space="preserve"> </w:t>
      </w:r>
    </w:p>
    <w:p w14:paraId="4EB54D90" w14:textId="77777777" w:rsidR="0060043B" w:rsidRPr="007A177A" w:rsidRDefault="0060043B" w:rsidP="00BF333B">
      <w:pPr>
        <w:spacing w:line="360" w:lineRule="auto"/>
        <w:jc w:val="both"/>
        <w:rPr>
          <w:rFonts w:ascii="Arial" w:hAnsi="Arial" w:cs="Arial"/>
          <w:bCs/>
          <w:lang w:val="es-MX"/>
        </w:rPr>
      </w:pPr>
    </w:p>
    <w:p w14:paraId="1C6D6FEC" w14:textId="77777777" w:rsidR="009E5FAD" w:rsidRPr="007A177A" w:rsidRDefault="0060043B" w:rsidP="00BF333B">
      <w:pPr>
        <w:spacing w:line="360" w:lineRule="auto"/>
        <w:jc w:val="both"/>
        <w:rPr>
          <w:rFonts w:ascii="Arial" w:hAnsi="Arial" w:cs="Arial"/>
          <w:bCs/>
          <w:lang w:val="es-MX"/>
        </w:rPr>
      </w:pPr>
      <w:r w:rsidRPr="007A177A">
        <w:rPr>
          <w:rFonts w:ascii="Arial" w:hAnsi="Arial" w:cs="Arial"/>
          <w:bCs/>
          <w:lang w:val="es-MX"/>
        </w:rPr>
        <w:t xml:space="preserve">El Invías expuso que el artículo 62 del Decreto 2171 de 1992, </w:t>
      </w:r>
      <w:r w:rsidR="009E5FAD" w:rsidRPr="007A177A">
        <w:rPr>
          <w:rFonts w:ascii="Arial" w:hAnsi="Arial" w:cs="Arial"/>
          <w:bCs/>
          <w:lang w:val="es-MX"/>
        </w:rPr>
        <w:t xml:space="preserve">que transformó el Fondo Vial Nacional en el Invías, </w:t>
      </w:r>
      <w:r w:rsidRPr="007A177A">
        <w:rPr>
          <w:rFonts w:ascii="Arial" w:hAnsi="Arial" w:cs="Arial"/>
          <w:bCs/>
          <w:lang w:val="es-MX"/>
        </w:rPr>
        <w:t xml:space="preserve">citado en la sentencia del Tribunal </w:t>
      </w:r>
      <w:r w:rsidRPr="007A177A">
        <w:rPr>
          <w:rFonts w:ascii="Arial" w:hAnsi="Arial" w:cs="Arial"/>
          <w:bCs/>
          <w:i/>
          <w:iCs/>
          <w:lang w:val="es-MX"/>
        </w:rPr>
        <w:t>a quo</w:t>
      </w:r>
      <w:r w:rsidR="004004CB" w:rsidRPr="007A177A">
        <w:rPr>
          <w:rFonts w:ascii="Arial" w:hAnsi="Arial" w:cs="Arial"/>
          <w:bCs/>
          <w:i/>
          <w:iCs/>
          <w:lang w:val="es-MX"/>
        </w:rPr>
        <w:t>,</w:t>
      </w:r>
      <w:r w:rsidRPr="007A177A">
        <w:rPr>
          <w:rFonts w:ascii="Arial" w:hAnsi="Arial" w:cs="Arial"/>
          <w:bCs/>
          <w:lang w:val="es-MX"/>
        </w:rPr>
        <w:t xml:space="preserve"> </w:t>
      </w:r>
      <w:r w:rsidR="00F53286" w:rsidRPr="007A177A">
        <w:rPr>
          <w:rFonts w:ascii="Arial" w:hAnsi="Arial" w:cs="Arial"/>
          <w:bCs/>
          <w:lang w:val="es-MX"/>
        </w:rPr>
        <w:t xml:space="preserve">solo </w:t>
      </w:r>
      <w:r w:rsidRPr="007A177A">
        <w:rPr>
          <w:rFonts w:ascii="Arial" w:hAnsi="Arial" w:cs="Arial"/>
          <w:bCs/>
          <w:lang w:val="es-MX"/>
        </w:rPr>
        <w:t>aplic</w:t>
      </w:r>
      <w:r w:rsidR="004004CB" w:rsidRPr="007A177A">
        <w:rPr>
          <w:rFonts w:ascii="Arial" w:hAnsi="Arial" w:cs="Arial"/>
          <w:bCs/>
          <w:lang w:val="es-MX"/>
        </w:rPr>
        <w:t>ó</w:t>
      </w:r>
      <w:r w:rsidRPr="007A177A">
        <w:rPr>
          <w:rFonts w:ascii="Arial" w:hAnsi="Arial" w:cs="Arial"/>
          <w:bCs/>
          <w:lang w:val="es-MX"/>
        </w:rPr>
        <w:t xml:space="preserve"> para los contratos </w:t>
      </w:r>
      <w:r w:rsidR="00F53286" w:rsidRPr="007A177A">
        <w:rPr>
          <w:rFonts w:ascii="Arial" w:hAnsi="Arial" w:cs="Arial"/>
          <w:bCs/>
          <w:i/>
          <w:iCs/>
          <w:lang w:val="es-MX"/>
        </w:rPr>
        <w:t>“</w:t>
      </w:r>
      <w:r w:rsidR="001C5AE6" w:rsidRPr="007A177A">
        <w:rPr>
          <w:rFonts w:ascii="Arial" w:hAnsi="Arial" w:cs="Arial"/>
          <w:bCs/>
          <w:i/>
          <w:iCs/>
          <w:lang w:val="es-MX"/>
        </w:rPr>
        <w:t>vigentes</w:t>
      </w:r>
      <w:r w:rsidR="00F53286" w:rsidRPr="007A177A">
        <w:rPr>
          <w:rFonts w:ascii="Arial" w:hAnsi="Arial" w:cs="Arial"/>
          <w:bCs/>
          <w:i/>
          <w:iCs/>
          <w:lang w:val="es-MX"/>
        </w:rPr>
        <w:t>”</w:t>
      </w:r>
      <w:r w:rsidR="001C5AE6" w:rsidRPr="007A177A">
        <w:rPr>
          <w:rFonts w:ascii="Arial" w:hAnsi="Arial" w:cs="Arial"/>
          <w:bCs/>
          <w:lang w:val="es-MX"/>
        </w:rPr>
        <w:t xml:space="preserve"> que correspondieran </w:t>
      </w:r>
      <w:r w:rsidR="007A4976" w:rsidRPr="007A177A">
        <w:rPr>
          <w:rFonts w:ascii="Arial" w:hAnsi="Arial" w:cs="Arial"/>
          <w:bCs/>
          <w:lang w:val="es-MX"/>
        </w:rPr>
        <w:t xml:space="preserve">a su </w:t>
      </w:r>
      <w:r w:rsidR="001C5AE6" w:rsidRPr="007A177A">
        <w:rPr>
          <w:rFonts w:ascii="Arial" w:hAnsi="Arial" w:cs="Arial"/>
          <w:bCs/>
          <w:lang w:val="es-MX"/>
        </w:rPr>
        <w:t>objeto, los cuales se seguirían ejecutando por ese Instituto</w:t>
      </w:r>
      <w:r w:rsidR="003841D9" w:rsidRPr="007A177A">
        <w:rPr>
          <w:rFonts w:ascii="Arial" w:hAnsi="Arial" w:cs="Arial"/>
          <w:bCs/>
          <w:lang w:val="es-MX"/>
        </w:rPr>
        <w:t xml:space="preserve">, por lo que </w:t>
      </w:r>
      <w:r w:rsidR="001E4851" w:rsidRPr="007A177A">
        <w:rPr>
          <w:rFonts w:ascii="Arial" w:hAnsi="Arial" w:cs="Arial"/>
          <w:bCs/>
          <w:lang w:val="es-MX"/>
        </w:rPr>
        <w:t xml:space="preserve">concluyó </w:t>
      </w:r>
      <w:r w:rsidR="009E5FAD" w:rsidRPr="007A177A">
        <w:rPr>
          <w:rFonts w:ascii="Arial" w:hAnsi="Arial" w:cs="Arial"/>
          <w:bCs/>
          <w:lang w:val="es-MX"/>
        </w:rPr>
        <w:t>que la entidad demanda</w:t>
      </w:r>
      <w:r w:rsidR="002B7D51" w:rsidRPr="007A177A">
        <w:rPr>
          <w:rFonts w:ascii="Arial" w:hAnsi="Arial" w:cs="Arial"/>
          <w:bCs/>
          <w:lang w:val="es-MX"/>
        </w:rPr>
        <w:t>da</w:t>
      </w:r>
      <w:r w:rsidR="009E5FAD" w:rsidRPr="007A177A">
        <w:rPr>
          <w:rFonts w:ascii="Arial" w:hAnsi="Arial" w:cs="Arial"/>
          <w:bCs/>
          <w:lang w:val="es-MX"/>
        </w:rPr>
        <w:t xml:space="preserve"> en este proceso “</w:t>
      </w:r>
      <w:r w:rsidR="009E5FAD" w:rsidRPr="007A177A">
        <w:rPr>
          <w:rFonts w:ascii="Arial" w:hAnsi="Arial" w:cs="Arial"/>
          <w:bCs/>
          <w:i/>
          <w:lang w:val="es-MX"/>
        </w:rPr>
        <w:t>debió ser el Ministerio de Transporte y no el Invías”</w:t>
      </w:r>
      <w:r w:rsidR="009E5FAD" w:rsidRPr="007A177A">
        <w:rPr>
          <w:rFonts w:ascii="Arial" w:hAnsi="Arial" w:cs="Arial"/>
          <w:bCs/>
          <w:lang w:val="es-MX"/>
        </w:rPr>
        <w:t>.</w:t>
      </w:r>
    </w:p>
    <w:p w14:paraId="2D6B65B6" w14:textId="77777777" w:rsidR="009E5FAD" w:rsidRPr="007A177A" w:rsidRDefault="009E5FAD" w:rsidP="00BF333B">
      <w:pPr>
        <w:spacing w:line="360" w:lineRule="auto"/>
        <w:jc w:val="both"/>
        <w:rPr>
          <w:rFonts w:ascii="Arial" w:hAnsi="Arial" w:cs="Arial"/>
          <w:bCs/>
          <w:lang w:val="es-MX"/>
        </w:rPr>
      </w:pPr>
    </w:p>
    <w:p w14:paraId="0C29BAB5" w14:textId="77777777" w:rsidR="00196BB4" w:rsidRPr="007A177A" w:rsidRDefault="001B5C0C" w:rsidP="00BF333B">
      <w:pPr>
        <w:spacing w:line="360" w:lineRule="auto"/>
        <w:jc w:val="both"/>
        <w:rPr>
          <w:rFonts w:ascii="Arial" w:hAnsi="Arial" w:cs="Arial"/>
          <w:bCs/>
          <w:lang w:val="es-MX"/>
        </w:rPr>
      </w:pPr>
      <w:r w:rsidRPr="007A177A">
        <w:rPr>
          <w:rFonts w:ascii="Arial" w:hAnsi="Arial" w:cs="Arial"/>
          <w:b/>
          <w:bCs/>
          <w:lang w:val="es-MX"/>
        </w:rPr>
        <w:t>6</w:t>
      </w:r>
      <w:r w:rsidR="00196BB4" w:rsidRPr="007A177A">
        <w:rPr>
          <w:rFonts w:ascii="Arial" w:hAnsi="Arial" w:cs="Arial"/>
          <w:b/>
          <w:bCs/>
          <w:lang w:val="es-MX"/>
        </w:rPr>
        <w:t>.2.</w:t>
      </w:r>
      <w:r w:rsidR="00196BB4" w:rsidRPr="007A177A">
        <w:rPr>
          <w:rFonts w:ascii="Arial" w:hAnsi="Arial" w:cs="Arial"/>
          <w:bCs/>
          <w:lang w:val="es-MX"/>
        </w:rPr>
        <w:t xml:space="preserve"> </w:t>
      </w:r>
      <w:r w:rsidR="00F24490" w:rsidRPr="007A177A">
        <w:rPr>
          <w:rFonts w:ascii="Arial" w:hAnsi="Arial" w:cs="Arial"/>
          <w:bCs/>
          <w:lang w:val="es-MX"/>
        </w:rPr>
        <w:t>En o</w:t>
      </w:r>
      <w:r w:rsidR="0036187C" w:rsidRPr="007A177A">
        <w:rPr>
          <w:rFonts w:ascii="Arial" w:hAnsi="Arial" w:cs="Arial"/>
          <w:bCs/>
          <w:lang w:val="es-MX"/>
        </w:rPr>
        <w:t xml:space="preserve">tro </w:t>
      </w:r>
      <w:r w:rsidR="00F24490" w:rsidRPr="007A177A">
        <w:rPr>
          <w:rFonts w:ascii="Arial" w:hAnsi="Arial" w:cs="Arial"/>
          <w:bCs/>
          <w:lang w:val="es-MX"/>
        </w:rPr>
        <w:t xml:space="preserve">punto </w:t>
      </w:r>
      <w:r w:rsidR="0036187C" w:rsidRPr="007A177A">
        <w:rPr>
          <w:rFonts w:ascii="Arial" w:hAnsi="Arial" w:cs="Arial"/>
          <w:bCs/>
          <w:lang w:val="es-MX"/>
        </w:rPr>
        <w:t>de la apelación</w:t>
      </w:r>
      <w:r w:rsidR="003841D9" w:rsidRPr="007A177A">
        <w:rPr>
          <w:rFonts w:ascii="Arial" w:hAnsi="Arial" w:cs="Arial"/>
          <w:bCs/>
          <w:lang w:val="es-MX"/>
        </w:rPr>
        <w:t>,</w:t>
      </w:r>
      <w:r w:rsidR="0036187C" w:rsidRPr="007A177A">
        <w:rPr>
          <w:rFonts w:ascii="Arial" w:hAnsi="Arial" w:cs="Arial"/>
          <w:bCs/>
          <w:lang w:val="es-MX"/>
        </w:rPr>
        <w:t xml:space="preserve"> </w:t>
      </w:r>
      <w:r w:rsidR="00196BB4" w:rsidRPr="007A177A">
        <w:rPr>
          <w:rFonts w:ascii="Arial" w:hAnsi="Arial" w:cs="Arial"/>
          <w:bCs/>
          <w:lang w:val="es-MX"/>
        </w:rPr>
        <w:t xml:space="preserve">el Invías </w:t>
      </w:r>
      <w:r w:rsidR="0036187C" w:rsidRPr="007A177A">
        <w:rPr>
          <w:rFonts w:ascii="Arial" w:hAnsi="Arial" w:cs="Arial"/>
          <w:bCs/>
          <w:lang w:val="es-MX"/>
        </w:rPr>
        <w:t>se refirió a que las pretensiones de la demanda se fundaron en el enriquecimiento sin causa del contratante</w:t>
      </w:r>
      <w:r w:rsidR="00177E05" w:rsidRPr="007A177A">
        <w:rPr>
          <w:rFonts w:ascii="Arial" w:hAnsi="Arial" w:cs="Arial"/>
          <w:bCs/>
          <w:lang w:val="es-MX"/>
        </w:rPr>
        <w:t xml:space="preserve"> sobre la base del empobrecimiento correlativo del </w:t>
      </w:r>
      <w:r w:rsidR="001E4851" w:rsidRPr="007A177A">
        <w:rPr>
          <w:rFonts w:ascii="Arial" w:hAnsi="Arial" w:cs="Arial"/>
          <w:bCs/>
          <w:lang w:val="es-MX"/>
        </w:rPr>
        <w:t>contratista</w:t>
      </w:r>
      <w:r w:rsidR="00177E05" w:rsidRPr="007A177A">
        <w:rPr>
          <w:rFonts w:ascii="Arial" w:hAnsi="Arial" w:cs="Arial"/>
          <w:bCs/>
          <w:lang w:val="es-MX"/>
        </w:rPr>
        <w:t xml:space="preserve">, </w:t>
      </w:r>
      <w:r w:rsidR="00DC4E89" w:rsidRPr="007A177A">
        <w:rPr>
          <w:rFonts w:ascii="Arial" w:hAnsi="Arial" w:cs="Arial"/>
          <w:bCs/>
          <w:lang w:val="es-MX"/>
        </w:rPr>
        <w:t xml:space="preserve">pero </w:t>
      </w:r>
      <w:r w:rsidR="00196BB4" w:rsidRPr="007A177A">
        <w:rPr>
          <w:rFonts w:ascii="Arial" w:hAnsi="Arial" w:cs="Arial"/>
          <w:bCs/>
          <w:lang w:val="es-MX"/>
        </w:rPr>
        <w:t>no podían prosperar</w:t>
      </w:r>
      <w:r w:rsidR="00AF5E6E" w:rsidRPr="007A177A">
        <w:rPr>
          <w:rFonts w:ascii="Arial" w:hAnsi="Arial" w:cs="Arial"/>
          <w:bCs/>
          <w:lang w:val="es-MX"/>
        </w:rPr>
        <w:t>,</w:t>
      </w:r>
      <w:r w:rsidR="00196BB4" w:rsidRPr="007A177A">
        <w:rPr>
          <w:rFonts w:ascii="Arial" w:hAnsi="Arial" w:cs="Arial"/>
          <w:bCs/>
          <w:lang w:val="es-MX"/>
        </w:rPr>
        <w:t xml:space="preserve"> dado que </w:t>
      </w:r>
      <w:r w:rsidR="00177E05" w:rsidRPr="007A177A">
        <w:rPr>
          <w:rFonts w:ascii="Arial" w:hAnsi="Arial" w:cs="Arial"/>
          <w:bCs/>
          <w:lang w:val="es-MX"/>
        </w:rPr>
        <w:t xml:space="preserve">la parte actora </w:t>
      </w:r>
      <w:r w:rsidR="00DC4E89" w:rsidRPr="007A177A">
        <w:rPr>
          <w:rFonts w:ascii="Arial" w:hAnsi="Arial" w:cs="Arial"/>
          <w:bCs/>
          <w:lang w:val="es-MX"/>
        </w:rPr>
        <w:t xml:space="preserve">no pidió la declaratoria de existencia del contrato frente al Invías, lo cual era necesario para </w:t>
      </w:r>
      <w:r w:rsidR="007839C9" w:rsidRPr="007A177A">
        <w:rPr>
          <w:rFonts w:ascii="Arial" w:hAnsi="Arial" w:cs="Arial"/>
          <w:bCs/>
          <w:lang w:val="es-MX"/>
        </w:rPr>
        <w:t xml:space="preserve">encausar </w:t>
      </w:r>
      <w:r w:rsidR="0092657A" w:rsidRPr="007A177A">
        <w:rPr>
          <w:rFonts w:ascii="Arial" w:hAnsi="Arial" w:cs="Arial"/>
          <w:bCs/>
          <w:lang w:val="es-MX"/>
        </w:rPr>
        <w:t xml:space="preserve">frente al Invías </w:t>
      </w:r>
      <w:r w:rsidR="007839C9" w:rsidRPr="007A177A">
        <w:rPr>
          <w:rFonts w:ascii="Arial" w:hAnsi="Arial" w:cs="Arial"/>
          <w:bCs/>
          <w:lang w:val="es-MX"/>
        </w:rPr>
        <w:t xml:space="preserve">la pretensión por la acción contractual prevista en </w:t>
      </w:r>
      <w:r w:rsidR="00DC4E89" w:rsidRPr="007A177A">
        <w:rPr>
          <w:rFonts w:ascii="Arial" w:hAnsi="Arial" w:cs="Arial"/>
          <w:bCs/>
          <w:lang w:val="es-MX"/>
        </w:rPr>
        <w:t xml:space="preserve">el artículo 87 del CCA. </w:t>
      </w:r>
    </w:p>
    <w:p w14:paraId="37EC5F16" w14:textId="77777777" w:rsidR="00196BB4" w:rsidRPr="007A177A" w:rsidRDefault="00196BB4" w:rsidP="00BF333B">
      <w:pPr>
        <w:spacing w:line="360" w:lineRule="auto"/>
        <w:jc w:val="both"/>
        <w:rPr>
          <w:rFonts w:ascii="Arial" w:hAnsi="Arial" w:cs="Arial"/>
          <w:bCs/>
          <w:lang w:val="es-MX"/>
        </w:rPr>
      </w:pPr>
    </w:p>
    <w:p w14:paraId="0208A4B7" w14:textId="77777777" w:rsidR="005A1A0E" w:rsidRPr="007A177A" w:rsidRDefault="00DC4E89" w:rsidP="00BF333B">
      <w:pPr>
        <w:spacing w:line="360" w:lineRule="auto"/>
        <w:jc w:val="both"/>
        <w:rPr>
          <w:rFonts w:ascii="Arial" w:hAnsi="Arial" w:cs="Arial"/>
          <w:bCs/>
          <w:lang w:val="es-MX"/>
        </w:rPr>
      </w:pPr>
      <w:r w:rsidRPr="007A177A">
        <w:rPr>
          <w:rFonts w:ascii="Arial" w:hAnsi="Arial" w:cs="Arial"/>
          <w:bCs/>
          <w:lang w:val="es-MX"/>
        </w:rPr>
        <w:t xml:space="preserve">Según </w:t>
      </w:r>
      <w:r w:rsidR="00D31D2D" w:rsidRPr="007A177A">
        <w:rPr>
          <w:rFonts w:ascii="Arial" w:hAnsi="Arial" w:cs="Arial"/>
          <w:bCs/>
          <w:lang w:val="es-MX"/>
        </w:rPr>
        <w:t xml:space="preserve">se </w:t>
      </w:r>
      <w:r w:rsidRPr="007A177A">
        <w:rPr>
          <w:rFonts w:ascii="Arial" w:hAnsi="Arial" w:cs="Arial"/>
          <w:bCs/>
          <w:lang w:val="es-MX"/>
        </w:rPr>
        <w:t>afirmó</w:t>
      </w:r>
      <w:r w:rsidR="005A1A0E" w:rsidRPr="007A177A">
        <w:rPr>
          <w:rFonts w:ascii="Arial" w:hAnsi="Arial" w:cs="Arial"/>
          <w:bCs/>
          <w:lang w:val="es-MX"/>
        </w:rPr>
        <w:t xml:space="preserve">, el </w:t>
      </w:r>
      <w:r w:rsidR="00196BB4" w:rsidRPr="007A177A">
        <w:rPr>
          <w:rFonts w:ascii="Arial" w:hAnsi="Arial" w:cs="Arial"/>
          <w:bCs/>
          <w:lang w:val="es-MX"/>
        </w:rPr>
        <w:t xml:space="preserve">Tribunal </w:t>
      </w:r>
      <w:r w:rsidR="00196BB4" w:rsidRPr="007A177A">
        <w:rPr>
          <w:rFonts w:ascii="Arial" w:hAnsi="Arial" w:cs="Arial"/>
          <w:bCs/>
          <w:i/>
          <w:iCs/>
          <w:lang w:val="es-MX"/>
        </w:rPr>
        <w:t>a quo</w:t>
      </w:r>
      <w:r w:rsidR="00196BB4" w:rsidRPr="007A177A">
        <w:rPr>
          <w:rFonts w:ascii="Arial" w:hAnsi="Arial" w:cs="Arial"/>
          <w:bCs/>
          <w:lang w:val="es-MX"/>
        </w:rPr>
        <w:t xml:space="preserve"> </w:t>
      </w:r>
      <w:r w:rsidR="005A1A0E" w:rsidRPr="007A177A">
        <w:rPr>
          <w:rFonts w:ascii="Arial" w:hAnsi="Arial" w:cs="Arial"/>
          <w:bCs/>
          <w:lang w:val="es-MX"/>
        </w:rPr>
        <w:t>deriv</w:t>
      </w:r>
      <w:r w:rsidR="008D543A" w:rsidRPr="007A177A">
        <w:rPr>
          <w:rFonts w:ascii="Arial" w:hAnsi="Arial" w:cs="Arial"/>
          <w:bCs/>
          <w:lang w:val="es-MX"/>
        </w:rPr>
        <w:t>ó</w:t>
      </w:r>
      <w:r w:rsidR="005A1A0E" w:rsidRPr="007A177A">
        <w:rPr>
          <w:rFonts w:ascii="Arial" w:hAnsi="Arial" w:cs="Arial"/>
          <w:bCs/>
          <w:lang w:val="es-MX"/>
        </w:rPr>
        <w:t xml:space="preserve"> obligaciones para el Invías sobre un contrato que era inexistente entre los contendientes. </w:t>
      </w:r>
    </w:p>
    <w:p w14:paraId="20A3AC2A" w14:textId="77777777" w:rsidR="005A1A0E" w:rsidRPr="007A177A" w:rsidRDefault="005A1A0E" w:rsidP="00BF333B">
      <w:pPr>
        <w:spacing w:line="360" w:lineRule="auto"/>
        <w:jc w:val="both"/>
        <w:rPr>
          <w:rFonts w:ascii="Arial" w:hAnsi="Arial" w:cs="Arial"/>
          <w:bCs/>
          <w:lang w:val="es-MX"/>
        </w:rPr>
      </w:pPr>
    </w:p>
    <w:p w14:paraId="42109D21" w14:textId="77777777" w:rsidR="001E4851" w:rsidRPr="007A177A" w:rsidRDefault="005A1A0E" w:rsidP="00BF333B">
      <w:pPr>
        <w:spacing w:line="360" w:lineRule="auto"/>
        <w:jc w:val="both"/>
        <w:rPr>
          <w:rFonts w:ascii="Arial" w:hAnsi="Arial" w:cs="Arial"/>
          <w:bCs/>
          <w:lang w:val="es-MX"/>
        </w:rPr>
      </w:pPr>
      <w:r w:rsidRPr="007A177A">
        <w:rPr>
          <w:rFonts w:ascii="Arial" w:hAnsi="Arial" w:cs="Arial"/>
          <w:bCs/>
          <w:lang w:val="es-MX"/>
        </w:rPr>
        <w:t>En el mismo sentido, indicó que no era pr</w:t>
      </w:r>
      <w:r w:rsidR="001E4851" w:rsidRPr="007A177A">
        <w:rPr>
          <w:rFonts w:ascii="Arial" w:hAnsi="Arial" w:cs="Arial"/>
          <w:bCs/>
          <w:lang w:val="es-MX"/>
        </w:rPr>
        <w:t>o</w:t>
      </w:r>
      <w:r w:rsidRPr="007A177A">
        <w:rPr>
          <w:rFonts w:ascii="Arial" w:hAnsi="Arial" w:cs="Arial"/>
          <w:bCs/>
          <w:lang w:val="es-MX"/>
        </w:rPr>
        <w:t>cedente la aplicación del inciso segundo del artículo 60 del CPC</w:t>
      </w:r>
      <w:r w:rsidR="00AF5E6E" w:rsidRPr="007A177A">
        <w:rPr>
          <w:rFonts w:ascii="Arial" w:hAnsi="Arial" w:cs="Arial"/>
          <w:bCs/>
          <w:lang w:val="es-MX"/>
        </w:rPr>
        <w:t>,</w:t>
      </w:r>
      <w:r w:rsidRPr="007A177A">
        <w:rPr>
          <w:rFonts w:ascii="Arial" w:hAnsi="Arial" w:cs="Arial"/>
          <w:bCs/>
          <w:lang w:val="es-MX"/>
        </w:rPr>
        <w:t xml:space="preserve"> por cuanto el Invías </w:t>
      </w:r>
      <w:r w:rsidR="00177E05" w:rsidRPr="007A177A">
        <w:rPr>
          <w:rFonts w:ascii="Arial" w:hAnsi="Arial" w:cs="Arial"/>
          <w:bCs/>
          <w:lang w:val="es-MX"/>
        </w:rPr>
        <w:t>no era un sucesor procesal del Fondo V</w:t>
      </w:r>
      <w:r w:rsidR="00503F01" w:rsidRPr="007A177A">
        <w:rPr>
          <w:rFonts w:ascii="Arial" w:hAnsi="Arial" w:cs="Arial"/>
          <w:bCs/>
          <w:lang w:val="es-MX"/>
        </w:rPr>
        <w:t>i</w:t>
      </w:r>
      <w:r w:rsidR="00177E05" w:rsidRPr="007A177A">
        <w:rPr>
          <w:rFonts w:ascii="Arial" w:hAnsi="Arial" w:cs="Arial"/>
          <w:bCs/>
          <w:lang w:val="es-MX"/>
        </w:rPr>
        <w:t>al Nacional.</w:t>
      </w:r>
    </w:p>
    <w:p w14:paraId="1268CB9D" w14:textId="77777777" w:rsidR="001E4851" w:rsidRPr="007A177A" w:rsidRDefault="001E4851" w:rsidP="00BF333B">
      <w:pPr>
        <w:spacing w:line="360" w:lineRule="auto"/>
        <w:jc w:val="both"/>
        <w:rPr>
          <w:rFonts w:ascii="Arial" w:hAnsi="Arial" w:cs="Arial"/>
          <w:bCs/>
          <w:lang w:val="es-MX"/>
        </w:rPr>
      </w:pPr>
    </w:p>
    <w:p w14:paraId="59580A98" w14:textId="77777777" w:rsidR="0092657A" w:rsidRPr="007A177A" w:rsidRDefault="001B5C0C" w:rsidP="00BF333B">
      <w:pPr>
        <w:spacing w:line="360" w:lineRule="auto"/>
        <w:jc w:val="both"/>
        <w:rPr>
          <w:rFonts w:ascii="Arial" w:hAnsi="Arial" w:cs="Arial"/>
          <w:bCs/>
          <w:lang w:val="es-MX"/>
        </w:rPr>
      </w:pPr>
      <w:r w:rsidRPr="007A177A">
        <w:rPr>
          <w:rFonts w:ascii="Arial" w:hAnsi="Arial" w:cs="Arial"/>
          <w:b/>
          <w:bCs/>
          <w:lang w:val="es-MX"/>
        </w:rPr>
        <w:t>6</w:t>
      </w:r>
      <w:r w:rsidR="00EE23D4" w:rsidRPr="007A177A">
        <w:rPr>
          <w:rFonts w:ascii="Arial" w:hAnsi="Arial" w:cs="Arial"/>
          <w:b/>
          <w:bCs/>
          <w:lang w:val="es-MX"/>
        </w:rPr>
        <w:t>.3</w:t>
      </w:r>
      <w:r w:rsidR="00EE23D4" w:rsidRPr="007A177A">
        <w:rPr>
          <w:rFonts w:ascii="Arial" w:hAnsi="Arial" w:cs="Arial"/>
          <w:bCs/>
          <w:lang w:val="es-MX"/>
        </w:rPr>
        <w:t xml:space="preserve">. </w:t>
      </w:r>
      <w:r w:rsidR="001E4851" w:rsidRPr="007A177A">
        <w:rPr>
          <w:rFonts w:ascii="Arial" w:hAnsi="Arial" w:cs="Arial"/>
          <w:bCs/>
          <w:lang w:val="es-MX"/>
        </w:rPr>
        <w:t xml:space="preserve">Retraso en impartir </w:t>
      </w:r>
      <w:r w:rsidR="008D543A" w:rsidRPr="007A177A">
        <w:rPr>
          <w:rFonts w:ascii="Arial" w:hAnsi="Arial" w:cs="Arial"/>
          <w:bCs/>
          <w:lang w:val="es-MX"/>
        </w:rPr>
        <w:t xml:space="preserve">las </w:t>
      </w:r>
      <w:r w:rsidR="001E4851" w:rsidRPr="007A177A">
        <w:rPr>
          <w:rFonts w:ascii="Arial" w:hAnsi="Arial" w:cs="Arial"/>
          <w:bCs/>
          <w:lang w:val="es-MX"/>
        </w:rPr>
        <w:t>órdenes de in</w:t>
      </w:r>
      <w:r w:rsidR="00CA7354" w:rsidRPr="007A177A">
        <w:rPr>
          <w:rFonts w:ascii="Arial" w:hAnsi="Arial" w:cs="Arial"/>
          <w:bCs/>
          <w:lang w:val="es-MX"/>
        </w:rPr>
        <w:t>i</w:t>
      </w:r>
      <w:r w:rsidR="001E4851" w:rsidRPr="007A177A">
        <w:rPr>
          <w:rFonts w:ascii="Arial" w:hAnsi="Arial" w:cs="Arial"/>
          <w:bCs/>
          <w:lang w:val="es-MX"/>
        </w:rPr>
        <w:t>ciación</w:t>
      </w:r>
      <w:r w:rsidR="00EE23D4" w:rsidRPr="007A177A">
        <w:rPr>
          <w:rFonts w:ascii="Arial" w:hAnsi="Arial" w:cs="Arial"/>
          <w:bCs/>
          <w:lang w:val="es-MX"/>
        </w:rPr>
        <w:t xml:space="preserve">. </w:t>
      </w:r>
      <w:r w:rsidR="007008A8" w:rsidRPr="007A177A">
        <w:rPr>
          <w:rFonts w:ascii="Arial" w:hAnsi="Arial" w:cs="Arial"/>
          <w:bCs/>
          <w:lang w:val="es-MX"/>
        </w:rPr>
        <w:t>E</w:t>
      </w:r>
      <w:r w:rsidR="0092657A" w:rsidRPr="007A177A">
        <w:rPr>
          <w:rFonts w:ascii="Arial" w:hAnsi="Arial" w:cs="Arial"/>
          <w:bCs/>
          <w:lang w:val="es-MX"/>
        </w:rPr>
        <w:t xml:space="preserve">n su apelación, el </w:t>
      </w:r>
      <w:r w:rsidR="007008A8" w:rsidRPr="007A177A">
        <w:rPr>
          <w:rFonts w:ascii="Arial" w:hAnsi="Arial" w:cs="Arial"/>
          <w:bCs/>
          <w:lang w:val="es-MX"/>
        </w:rPr>
        <w:t xml:space="preserve">Invías indicó que la sentencia de primera instancia </w:t>
      </w:r>
      <w:r w:rsidR="00EE23D4" w:rsidRPr="007A177A">
        <w:rPr>
          <w:rFonts w:ascii="Arial" w:hAnsi="Arial" w:cs="Arial"/>
          <w:bCs/>
          <w:lang w:val="es-MX"/>
        </w:rPr>
        <w:t>no tuvo en cuenta que en el pliego de condiciones estaba advertida la sujeción a las apropiaciones presupuestales</w:t>
      </w:r>
      <w:r w:rsidR="0092657A" w:rsidRPr="007A177A">
        <w:rPr>
          <w:rFonts w:ascii="Arial" w:hAnsi="Arial" w:cs="Arial"/>
          <w:bCs/>
          <w:lang w:val="es-MX"/>
        </w:rPr>
        <w:t xml:space="preserve"> y que no podía reconocerse perjuicio por la demora en la iniciación.</w:t>
      </w:r>
    </w:p>
    <w:p w14:paraId="219B4AC7" w14:textId="77777777" w:rsidR="00EE23D4" w:rsidRPr="007A177A" w:rsidRDefault="00EE23D4" w:rsidP="00BF333B">
      <w:pPr>
        <w:spacing w:line="360" w:lineRule="auto"/>
        <w:jc w:val="both"/>
        <w:rPr>
          <w:rFonts w:ascii="Arial" w:hAnsi="Arial" w:cs="Arial"/>
          <w:bCs/>
          <w:lang w:val="es-MX"/>
        </w:rPr>
      </w:pPr>
    </w:p>
    <w:p w14:paraId="5D907ACD" w14:textId="77777777" w:rsidR="006445AC" w:rsidRPr="007A177A" w:rsidRDefault="001B5C0C" w:rsidP="00BF333B">
      <w:pPr>
        <w:spacing w:line="360" w:lineRule="auto"/>
        <w:jc w:val="both"/>
        <w:rPr>
          <w:rFonts w:ascii="Arial" w:hAnsi="Arial" w:cs="Arial"/>
          <w:bCs/>
          <w:lang w:val="es-MX"/>
        </w:rPr>
      </w:pPr>
      <w:r w:rsidRPr="007A177A">
        <w:rPr>
          <w:rFonts w:ascii="Arial" w:hAnsi="Arial" w:cs="Arial"/>
          <w:b/>
          <w:bCs/>
          <w:lang w:val="es-MX"/>
        </w:rPr>
        <w:t>6</w:t>
      </w:r>
      <w:r w:rsidR="00EE23D4" w:rsidRPr="007A177A">
        <w:rPr>
          <w:rFonts w:ascii="Arial" w:hAnsi="Arial" w:cs="Arial"/>
          <w:b/>
          <w:bCs/>
          <w:lang w:val="es-MX"/>
        </w:rPr>
        <w:t>.4.</w:t>
      </w:r>
      <w:r w:rsidR="00EE23D4" w:rsidRPr="007A177A">
        <w:rPr>
          <w:rFonts w:ascii="Arial" w:hAnsi="Arial" w:cs="Arial"/>
          <w:bCs/>
          <w:lang w:val="es-MX"/>
        </w:rPr>
        <w:t xml:space="preserve"> </w:t>
      </w:r>
      <w:r w:rsidR="001E4851" w:rsidRPr="007A177A">
        <w:rPr>
          <w:rFonts w:ascii="Arial" w:hAnsi="Arial" w:cs="Arial"/>
          <w:bCs/>
          <w:lang w:val="es-MX"/>
        </w:rPr>
        <w:t>Obras ejecutadas al 125%</w:t>
      </w:r>
      <w:r w:rsidR="00EE23D4" w:rsidRPr="007A177A">
        <w:rPr>
          <w:rFonts w:ascii="Arial" w:hAnsi="Arial" w:cs="Arial"/>
          <w:bCs/>
          <w:lang w:val="es-MX"/>
        </w:rPr>
        <w:t xml:space="preserve">. </w:t>
      </w:r>
      <w:r w:rsidR="00941E68" w:rsidRPr="007A177A">
        <w:rPr>
          <w:rFonts w:ascii="Arial" w:hAnsi="Arial" w:cs="Arial"/>
          <w:bCs/>
          <w:lang w:val="es-MX"/>
        </w:rPr>
        <w:t xml:space="preserve">En este punto </w:t>
      </w:r>
      <w:r w:rsidR="00EE23D4" w:rsidRPr="007A177A">
        <w:rPr>
          <w:rFonts w:ascii="Arial" w:hAnsi="Arial" w:cs="Arial"/>
          <w:bCs/>
          <w:lang w:val="es-MX"/>
        </w:rPr>
        <w:t>de</w:t>
      </w:r>
      <w:r w:rsidR="0092657A" w:rsidRPr="007A177A">
        <w:rPr>
          <w:rFonts w:ascii="Arial" w:hAnsi="Arial" w:cs="Arial"/>
          <w:bCs/>
          <w:lang w:val="es-MX"/>
        </w:rPr>
        <w:t xml:space="preserve"> la impugnación, </w:t>
      </w:r>
      <w:r w:rsidR="00EE23D4" w:rsidRPr="007A177A">
        <w:rPr>
          <w:rFonts w:ascii="Arial" w:hAnsi="Arial" w:cs="Arial"/>
          <w:bCs/>
          <w:lang w:val="es-MX"/>
        </w:rPr>
        <w:t xml:space="preserve">el Invías </w:t>
      </w:r>
      <w:r w:rsidR="00941E68" w:rsidRPr="007A177A">
        <w:rPr>
          <w:rFonts w:ascii="Arial" w:hAnsi="Arial" w:cs="Arial"/>
          <w:bCs/>
          <w:lang w:val="es-MX"/>
        </w:rPr>
        <w:t>a</w:t>
      </w:r>
      <w:r w:rsidR="008D543A" w:rsidRPr="007A177A">
        <w:rPr>
          <w:rFonts w:ascii="Arial" w:hAnsi="Arial" w:cs="Arial"/>
          <w:bCs/>
          <w:lang w:val="es-MX"/>
        </w:rPr>
        <w:t xml:space="preserve">dvirtió </w:t>
      </w:r>
      <w:r w:rsidR="00941E68" w:rsidRPr="007A177A">
        <w:rPr>
          <w:rFonts w:ascii="Arial" w:hAnsi="Arial" w:cs="Arial"/>
          <w:bCs/>
          <w:lang w:val="es-MX"/>
        </w:rPr>
        <w:t xml:space="preserve">que </w:t>
      </w:r>
      <w:r w:rsidR="00370E2A" w:rsidRPr="007A177A">
        <w:rPr>
          <w:rFonts w:ascii="Arial" w:hAnsi="Arial" w:cs="Arial"/>
          <w:bCs/>
          <w:lang w:val="es-MX"/>
        </w:rPr>
        <w:t xml:space="preserve">el </w:t>
      </w:r>
      <w:r w:rsidR="007008A8" w:rsidRPr="007A177A">
        <w:rPr>
          <w:rFonts w:ascii="Arial" w:hAnsi="Arial" w:cs="Arial"/>
          <w:bCs/>
          <w:lang w:val="es-MX"/>
        </w:rPr>
        <w:t xml:space="preserve">mayor valor de obra por el </w:t>
      </w:r>
      <w:r w:rsidR="00370E2A" w:rsidRPr="007A177A">
        <w:rPr>
          <w:rFonts w:ascii="Arial" w:hAnsi="Arial" w:cs="Arial"/>
          <w:bCs/>
          <w:lang w:val="es-MX"/>
        </w:rPr>
        <w:t xml:space="preserve">125% debió relacionarse y sustentarse con </w:t>
      </w:r>
      <w:r w:rsidR="0066721D" w:rsidRPr="007A177A">
        <w:rPr>
          <w:rFonts w:ascii="Arial" w:hAnsi="Arial" w:cs="Arial"/>
          <w:bCs/>
          <w:lang w:val="es-MX"/>
        </w:rPr>
        <w:t xml:space="preserve">base en </w:t>
      </w:r>
      <w:r w:rsidR="00370E2A" w:rsidRPr="007A177A">
        <w:rPr>
          <w:rFonts w:ascii="Arial" w:hAnsi="Arial" w:cs="Arial"/>
          <w:bCs/>
          <w:lang w:val="es-MX"/>
        </w:rPr>
        <w:t>las actas de liquidación del contrato</w:t>
      </w:r>
      <w:r w:rsidR="0092657A" w:rsidRPr="007A177A">
        <w:rPr>
          <w:rFonts w:ascii="Arial" w:hAnsi="Arial" w:cs="Arial"/>
          <w:bCs/>
          <w:lang w:val="es-MX"/>
        </w:rPr>
        <w:t xml:space="preserve">, las cuales no se tuvieron en cuenta. </w:t>
      </w:r>
    </w:p>
    <w:p w14:paraId="0AC3E165" w14:textId="77777777" w:rsidR="0092657A" w:rsidRPr="007A177A" w:rsidRDefault="0092657A" w:rsidP="00BF333B">
      <w:pPr>
        <w:spacing w:line="360" w:lineRule="auto"/>
        <w:jc w:val="both"/>
        <w:rPr>
          <w:rFonts w:ascii="Arial" w:hAnsi="Arial" w:cs="Arial"/>
          <w:bCs/>
          <w:lang w:val="es-MX"/>
        </w:rPr>
      </w:pPr>
    </w:p>
    <w:p w14:paraId="17AA87C8" w14:textId="77777777" w:rsidR="0066721D" w:rsidRPr="007A177A" w:rsidRDefault="006445AC" w:rsidP="00BF333B">
      <w:pPr>
        <w:spacing w:line="360" w:lineRule="auto"/>
        <w:jc w:val="both"/>
        <w:rPr>
          <w:rFonts w:ascii="Arial" w:hAnsi="Arial" w:cs="Arial"/>
          <w:bCs/>
          <w:lang w:val="es-MX"/>
        </w:rPr>
      </w:pPr>
      <w:r w:rsidRPr="007A177A">
        <w:rPr>
          <w:rFonts w:ascii="Arial" w:hAnsi="Arial" w:cs="Arial"/>
          <w:bCs/>
          <w:lang w:val="es-MX"/>
        </w:rPr>
        <w:t xml:space="preserve">Agregó </w:t>
      </w:r>
      <w:r w:rsidR="007008A8" w:rsidRPr="007A177A">
        <w:rPr>
          <w:rFonts w:ascii="Arial" w:hAnsi="Arial" w:cs="Arial"/>
          <w:bCs/>
          <w:lang w:val="es-MX"/>
        </w:rPr>
        <w:t xml:space="preserve">que </w:t>
      </w:r>
      <w:r w:rsidR="0066721D" w:rsidRPr="007A177A">
        <w:rPr>
          <w:rFonts w:ascii="Arial" w:hAnsi="Arial" w:cs="Arial"/>
          <w:bCs/>
          <w:lang w:val="es-MX"/>
        </w:rPr>
        <w:t>e</w:t>
      </w:r>
      <w:r w:rsidRPr="007A177A">
        <w:rPr>
          <w:rFonts w:ascii="Arial" w:hAnsi="Arial" w:cs="Arial"/>
          <w:bCs/>
          <w:lang w:val="es-MX"/>
        </w:rPr>
        <w:t xml:space="preserve">l valor calculado en la sentencia </w:t>
      </w:r>
      <w:r w:rsidR="00370E2A" w:rsidRPr="007A177A">
        <w:rPr>
          <w:rFonts w:ascii="Arial" w:hAnsi="Arial" w:cs="Arial"/>
          <w:bCs/>
          <w:lang w:val="es-MX"/>
        </w:rPr>
        <w:t xml:space="preserve">estaba por </w:t>
      </w:r>
      <w:r w:rsidRPr="007A177A">
        <w:rPr>
          <w:rFonts w:ascii="Arial" w:hAnsi="Arial" w:cs="Arial"/>
          <w:bCs/>
          <w:lang w:val="es-MX"/>
        </w:rPr>
        <w:t xml:space="preserve">encima </w:t>
      </w:r>
      <w:r w:rsidR="00370E2A" w:rsidRPr="007A177A">
        <w:rPr>
          <w:rFonts w:ascii="Arial" w:hAnsi="Arial" w:cs="Arial"/>
          <w:bCs/>
          <w:lang w:val="es-MX"/>
        </w:rPr>
        <w:t>de</w:t>
      </w:r>
      <w:r w:rsidR="0066721D" w:rsidRPr="007A177A">
        <w:rPr>
          <w:rFonts w:ascii="Arial" w:hAnsi="Arial" w:cs="Arial"/>
          <w:bCs/>
          <w:lang w:val="es-MX"/>
        </w:rPr>
        <w:t xml:space="preserve"> </w:t>
      </w:r>
      <w:r w:rsidRPr="007A177A">
        <w:rPr>
          <w:rFonts w:ascii="Arial" w:hAnsi="Arial" w:cs="Arial"/>
          <w:bCs/>
          <w:lang w:val="es-MX"/>
        </w:rPr>
        <w:t xml:space="preserve">lo liquidado en </w:t>
      </w:r>
      <w:r w:rsidR="0066721D" w:rsidRPr="007A177A">
        <w:rPr>
          <w:rFonts w:ascii="Arial" w:hAnsi="Arial" w:cs="Arial"/>
          <w:bCs/>
          <w:lang w:val="es-MX"/>
        </w:rPr>
        <w:t>dicha</w:t>
      </w:r>
      <w:r w:rsidR="0092657A" w:rsidRPr="007A177A">
        <w:rPr>
          <w:rFonts w:ascii="Arial" w:hAnsi="Arial" w:cs="Arial"/>
          <w:bCs/>
          <w:lang w:val="es-MX"/>
        </w:rPr>
        <w:t>s</w:t>
      </w:r>
      <w:r w:rsidR="0066721D" w:rsidRPr="007A177A">
        <w:rPr>
          <w:rFonts w:ascii="Arial" w:hAnsi="Arial" w:cs="Arial"/>
          <w:bCs/>
          <w:lang w:val="es-MX"/>
        </w:rPr>
        <w:t xml:space="preserve"> acta</w:t>
      </w:r>
      <w:r w:rsidR="0092657A" w:rsidRPr="007A177A">
        <w:rPr>
          <w:rFonts w:ascii="Arial" w:hAnsi="Arial" w:cs="Arial"/>
          <w:bCs/>
          <w:lang w:val="es-MX"/>
        </w:rPr>
        <w:t>s</w:t>
      </w:r>
      <w:r w:rsidR="0066721D" w:rsidRPr="007A177A">
        <w:rPr>
          <w:rFonts w:ascii="Arial" w:hAnsi="Arial" w:cs="Arial"/>
          <w:bCs/>
          <w:lang w:val="es-MX"/>
        </w:rPr>
        <w:t>, por lo cual, en c</w:t>
      </w:r>
      <w:r w:rsidRPr="007A177A">
        <w:rPr>
          <w:rFonts w:ascii="Arial" w:hAnsi="Arial" w:cs="Arial"/>
          <w:bCs/>
          <w:lang w:val="es-MX"/>
        </w:rPr>
        <w:t xml:space="preserve">riterio </w:t>
      </w:r>
      <w:r w:rsidR="0066721D" w:rsidRPr="007A177A">
        <w:rPr>
          <w:rFonts w:ascii="Arial" w:hAnsi="Arial" w:cs="Arial"/>
          <w:bCs/>
          <w:lang w:val="es-MX"/>
        </w:rPr>
        <w:t xml:space="preserve">del apelante, </w:t>
      </w:r>
      <w:r w:rsidRPr="007A177A">
        <w:rPr>
          <w:rFonts w:ascii="Arial" w:hAnsi="Arial" w:cs="Arial"/>
          <w:bCs/>
          <w:lang w:val="es-MX"/>
        </w:rPr>
        <w:t xml:space="preserve">si había mayores cantidades, </w:t>
      </w:r>
      <w:r w:rsidR="00370E2A" w:rsidRPr="007A177A">
        <w:rPr>
          <w:rFonts w:ascii="Arial" w:hAnsi="Arial" w:cs="Arial"/>
          <w:bCs/>
          <w:lang w:val="es-MX"/>
        </w:rPr>
        <w:t>el demandante debió acudir a la acción de reparación directa</w:t>
      </w:r>
      <w:r w:rsidR="003275D0" w:rsidRPr="007A177A">
        <w:rPr>
          <w:rFonts w:ascii="Arial" w:hAnsi="Arial" w:cs="Arial"/>
          <w:bCs/>
          <w:lang w:val="es-MX"/>
        </w:rPr>
        <w:t xml:space="preserve">. </w:t>
      </w:r>
    </w:p>
    <w:p w14:paraId="0427BDF4" w14:textId="77777777" w:rsidR="0066721D" w:rsidRPr="007A177A" w:rsidRDefault="0066721D" w:rsidP="00BF333B">
      <w:pPr>
        <w:spacing w:line="360" w:lineRule="auto"/>
        <w:jc w:val="both"/>
        <w:rPr>
          <w:rFonts w:ascii="Arial" w:hAnsi="Arial" w:cs="Arial"/>
          <w:bCs/>
          <w:lang w:val="es-MX"/>
        </w:rPr>
      </w:pPr>
    </w:p>
    <w:p w14:paraId="03AEF942" w14:textId="77777777" w:rsidR="0066721D" w:rsidRPr="007A177A" w:rsidRDefault="003275D0" w:rsidP="00BF333B">
      <w:pPr>
        <w:spacing w:line="360" w:lineRule="auto"/>
        <w:jc w:val="both"/>
        <w:rPr>
          <w:rFonts w:ascii="Arial" w:hAnsi="Arial" w:cs="Arial"/>
          <w:bCs/>
          <w:lang w:val="es-MX"/>
        </w:rPr>
      </w:pPr>
      <w:r w:rsidRPr="007A177A">
        <w:rPr>
          <w:rFonts w:ascii="Arial" w:hAnsi="Arial" w:cs="Arial"/>
          <w:bCs/>
          <w:lang w:val="es-MX"/>
        </w:rPr>
        <w:t>Resaltó que</w:t>
      </w:r>
      <w:r w:rsidR="00AF5E6E" w:rsidRPr="007A177A">
        <w:rPr>
          <w:rFonts w:ascii="Arial" w:hAnsi="Arial" w:cs="Arial"/>
          <w:bCs/>
          <w:lang w:val="es-MX"/>
        </w:rPr>
        <w:t>,</w:t>
      </w:r>
      <w:r w:rsidRPr="007A177A">
        <w:rPr>
          <w:rFonts w:ascii="Arial" w:hAnsi="Arial" w:cs="Arial"/>
          <w:bCs/>
          <w:lang w:val="es-MX"/>
        </w:rPr>
        <w:t xml:space="preserve"> si hubo obras adicionales</w:t>
      </w:r>
      <w:r w:rsidR="00AF5E6E" w:rsidRPr="007A177A">
        <w:rPr>
          <w:rFonts w:ascii="Arial" w:hAnsi="Arial" w:cs="Arial"/>
          <w:bCs/>
          <w:lang w:val="es-MX"/>
        </w:rPr>
        <w:t>,</w:t>
      </w:r>
      <w:r w:rsidRPr="007A177A">
        <w:rPr>
          <w:rFonts w:ascii="Arial" w:hAnsi="Arial" w:cs="Arial"/>
          <w:bCs/>
          <w:lang w:val="es-MX"/>
        </w:rPr>
        <w:t xml:space="preserve"> la interventoría no las autorizó y</w:t>
      </w:r>
      <w:r w:rsidR="00AF5E6E" w:rsidRPr="007A177A">
        <w:rPr>
          <w:rFonts w:ascii="Arial" w:hAnsi="Arial" w:cs="Arial"/>
          <w:bCs/>
          <w:lang w:val="es-MX"/>
        </w:rPr>
        <w:t>,</w:t>
      </w:r>
      <w:r w:rsidRPr="007A177A">
        <w:rPr>
          <w:rFonts w:ascii="Arial" w:hAnsi="Arial" w:cs="Arial"/>
          <w:bCs/>
          <w:lang w:val="es-MX"/>
        </w:rPr>
        <w:t xml:space="preserve"> como consecuencia</w:t>
      </w:r>
      <w:r w:rsidR="00AF5E6E" w:rsidRPr="007A177A">
        <w:rPr>
          <w:rFonts w:ascii="Arial" w:hAnsi="Arial" w:cs="Arial"/>
          <w:bCs/>
          <w:lang w:val="es-MX"/>
        </w:rPr>
        <w:t>,</w:t>
      </w:r>
      <w:r w:rsidRPr="007A177A">
        <w:rPr>
          <w:rFonts w:ascii="Arial" w:hAnsi="Arial" w:cs="Arial"/>
          <w:bCs/>
          <w:lang w:val="es-MX"/>
        </w:rPr>
        <w:t xml:space="preserve"> fueron adelantadas a ri</w:t>
      </w:r>
      <w:r w:rsidR="0066721D" w:rsidRPr="007A177A">
        <w:rPr>
          <w:rFonts w:ascii="Arial" w:hAnsi="Arial" w:cs="Arial"/>
          <w:bCs/>
          <w:lang w:val="es-MX"/>
        </w:rPr>
        <w:t>e</w:t>
      </w:r>
      <w:r w:rsidRPr="007A177A">
        <w:rPr>
          <w:rFonts w:ascii="Arial" w:hAnsi="Arial" w:cs="Arial"/>
          <w:bCs/>
          <w:lang w:val="es-MX"/>
        </w:rPr>
        <w:t xml:space="preserve">sgo del contratista. </w:t>
      </w:r>
    </w:p>
    <w:p w14:paraId="6A9D149E" w14:textId="77777777" w:rsidR="0066721D" w:rsidRPr="007A177A" w:rsidRDefault="0066721D" w:rsidP="00BF333B">
      <w:pPr>
        <w:spacing w:line="360" w:lineRule="auto"/>
        <w:jc w:val="both"/>
        <w:rPr>
          <w:rFonts w:ascii="Arial" w:hAnsi="Arial" w:cs="Arial"/>
          <w:bCs/>
          <w:lang w:val="es-MX"/>
        </w:rPr>
      </w:pPr>
    </w:p>
    <w:p w14:paraId="272CE1B8" w14:textId="77777777" w:rsidR="003275D0" w:rsidRPr="007A177A" w:rsidRDefault="003275D0" w:rsidP="00BF333B">
      <w:pPr>
        <w:spacing w:line="360" w:lineRule="auto"/>
        <w:jc w:val="both"/>
        <w:rPr>
          <w:rFonts w:ascii="Arial" w:hAnsi="Arial" w:cs="Arial"/>
          <w:bCs/>
          <w:lang w:val="es-MX"/>
        </w:rPr>
      </w:pPr>
      <w:r w:rsidRPr="007A177A">
        <w:rPr>
          <w:rFonts w:ascii="Arial" w:hAnsi="Arial" w:cs="Arial"/>
          <w:bCs/>
          <w:lang w:val="es-MX"/>
        </w:rPr>
        <w:t xml:space="preserve">Argumentó que la acción de enriquecimiento sin causa no puede ser utilizada para tapar el error del contratista. </w:t>
      </w:r>
    </w:p>
    <w:p w14:paraId="7FDC0E08" w14:textId="77777777" w:rsidR="003275D0" w:rsidRPr="007A177A" w:rsidRDefault="003275D0" w:rsidP="00BF333B">
      <w:pPr>
        <w:spacing w:line="360" w:lineRule="auto"/>
        <w:jc w:val="both"/>
        <w:rPr>
          <w:rFonts w:ascii="Arial" w:hAnsi="Arial" w:cs="Arial"/>
          <w:bCs/>
          <w:lang w:val="es-MX"/>
        </w:rPr>
      </w:pPr>
    </w:p>
    <w:p w14:paraId="38133FF8" w14:textId="77777777" w:rsidR="00370E2A" w:rsidRPr="007A177A" w:rsidRDefault="003275D0" w:rsidP="00BF333B">
      <w:pPr>
        <w:spacing w:line="360" w:lineRule="auto"/>
        <w:jc w:val="both"/>
        <w:rPr>
          <w:rFonts w:ascii="Arial" w:hAnsi="Arial" w:cs="Arial"/>
          <w:bCs/>
          <w:lang w:val="es-MX"/>
        </w:rPr>
      </w:pPr>
      <w:r w:rsidRPr="007A177A">
        <w:rPr>
          <w:rFonts w:ascii="Arial" w:hAnsi="Arial" w:cs="Arial"/>
          <w:bCs/>
          <w:lang w:val="es-MX"/>
        </w:rPr>
        <w:t>Concluy</w:t>
      </w:r>
      <w:r w:rsidR="006445AC" w:rsidRPr="007A177A">
        <w:rPr>
          <w:rFonts w:ascii="Arial" w:hAnsi="Arial" w:cs="Arial"/>
          <w:bCs/>
          <w:lang w:val="es-MX"/>
        </w:rPr>
        <w:t>ó</w:t>
      </w:r>
      <w:r w:rsidRPr="007A177A">
        <w:rPr>
          <w:rFonts w:ascii="Arial" w:hAnsi="Arial" w:cs="Arial"/>
          <w:bCs/>
          <w:lang w:val="es-MX"/>
        </w:rPr>
        <w:t xml:space="preserve"> que </w:t>
      </w:r>
      <w:r w:rsidR="00941E68" w:rsidRPr="007A177A">
        <w:rPr>
          <w:rFonts w:ascii="Arial" w:hAnsi="Arial" w:cs="Arial"/>
          <w:bCs/>
          <w:lang w:val="es-MX"/>
        </w:rPr>
        <w:t>l</w:t>
      </w:r>
      <w:r w:rsidR="0066721D" w:rsidRPr="007A177A">
        <w:rPr>
          <w:rFonts w:ascii="Arial" w:hAnsi="Arial" w:cs="Arial"/>
          <w:bCs/>
          <w:lang w:val="es-MX"/>
        </w:rPr>
        <w:t>as</w:t>
      </w:r>
      <w:r w:rsidR="00941E68" w:rsidRPr="007A177A">
        <w:rPr>
          <w:rFonts w:ascii="Arial" w:hAnsi="Arial" w:cs="Arial"/>
          <w:bCs/>
          <w:lang w:val="es-MX"/>
        </w:rPr>
        <w:t xml:space="preserve"> demandantes eludieron la utilización de la acci</w:t>
      </w:r>
      <w:r w:rsidRPr="007A177A">
        <w:rPr>
          <w:rFonts w:ascii="Arial" w:hAnsi="Arial" w:cs="Arial"/>
          <w:bCs/>
          <w:lang w:val="es-MX"/>
        </w:rPr>
        <w:t>ón</w:t>
      </w:r>
      <w:r w:rsidR="00941E68" w:rsidRPr="007A177A">
        <w:rPr>
          <w:rFonts w:ascii="Arial" w:hAnsi="Arial" w:cs="Arial"/>
          <w:bCs/>
          <w:lang w:val="es-MX"/>
        </w:rPr>
        <w:t xml:space="preserve"> co</w:t>
      </w:r>
      <w:r w:rsidR="00370E2A" w:rsidRPr="007A177A">
        <w:rPr>
          <w:rFonts w:ascii="Arial" w:hAnsi="Arial" w:cs="Arial"/>
          <w:bCs/>
          <w:lang w:val="es-MX"/>
        </w:rPr>
        <w:t>n</w:t>
      </w:r>
      <w:r w:rsidR="00941E68" w:rsidRPr="007A177A">
        <w:rPr>
          <w:rFonts w:ascii="Arial" w:hAnsi="Arial" w:cs="Arial"/>
          <w:bCs/>
          <w:lang w:val="es-MX"/>
        </w:rPr>
        <w:t xml:space="preserve">tractual </w:t>
      </w:r>
      <w:r w:rsidR="00370E2A" w:rsidRPr="007A177A">
        <w:rPr>
          <w:rFonts w:ascii="Arial" w:hAnsi="Arial" w:cs="Arial"/>
          <w:bCs/>
          <w:lang w:val="es-MX"/>
        </w:rPr>
        <w:t xml:space="preserve">y </w:t>
      </w:r>
      <w:r w:rsidR="0066721D" w:rsidRPr="007A177A">
        <w:rPr>
          <w:rFonts w:ascii="Arial" w:hAnsi="Arial" w:cs="Arial"/>
          <w:bCs/>
          <w:lang w:val="es-MX"/>
        </w:rPr>
        <w:t xml:space="preserve">acudieron a </w:t>
      </w:r>
      <w:r w:rsidR="00370E2A" w:rsidRPr="007A177A">
        <w:rPr>
          <w:rFonts w:ascii="Arial" w:hAnsi="Arial" w:cs="Arial"/>
          <w:bCs/>
          <w:lang w:val="es-MX"/>
        </w:rPr>
        <w:t>la acci</w:t>
      </w:r>
      <w:r w:rsidRPr="007A177A">
        <w:rPr>
          <w:rFonts w:ascii="Arial" w:hAnsi="Arial" w:cs="Arial"/>
          <w:bCs/>
          <w:lang w:val="es-MX"/>
        </w:rPr>
        <w:t xml:space="preserve">ón </w:t>
      </w:r>
      <w:r w:rsidRPr="007A177A">
        <w:rPr>
          <w:rFonts w:ascii="Arial" w:hAnsi="Arial" w:cs="Arial"/>
          <w:bCs/>
          <w:i/>
          <w:iCs/>
          <w:lang w:val="es-MX"/>
        </w:rPr>
        <w:t>“</w:t>
      </w:r>
      <w:r w:rsidR="00370E2A" w:rsidRPr="007A177A">
        <w:rPr>
          <w:rFonts w:ascii="Arial" w:hAnsi="Arial" w:cs="Arial"/>
          <w:bCs/>
          <w:i/>
          <w:iCs/>
          <w:lang w:val="es-MX"/>
        </w:rPr>
        <w:t>i</w:t>
      </w:r>
      <w:r w:rsidR="00474836" w:rsidRPr="007A177A">
        <w:rPr>
          <w:rFonts w:ascii="Arial" w:hAnsi="Arial" w:cs="Arial"/>
          <w:bCs/>
          <w:i/>
          <w:iCs/>
          <w:lang w:val="es-MX"/>
        </w:rPr>
        <w:t>n</w:t>
      </w:r>
      <w:r w:rsidR="00370E2A" w:rsidRPr="007A177A">
        <w:rPr>
          <w:rFonts w:ascii="Arial" w:hAnsi="Arial" w:cs="Arial"/>
          <w:bCs/>
          <w:i/>
          <w:iCs/>
          <w:lang w:val="es-MX"/>
        </w:rPr>
        <w:t xml:space="preserve"> rem verso</w:t>
      </w:r>
      <w:r w:rsidR="00474836" w:rsidRPr="007A177A">
        <w:rPr>
          <w:rFonts w:ascii="Arial" w:hAnsi="Arial" w:cs="Arial"/>
          <w:bCs/>
          <w:i/>
          <w:iCs/>
          <w:lang w:val="es-MX"/>
        </w:rPr>
        <w:t>”</w:t>
      </w:r>
      <w:r w:rsidR="00370E2A" w:rsidRPr="007A177A">
        <w:rPr>
          <w:rFonts w:ascii="Arial" w:hAnsi="Arial" w:cs="Arial"/>
          <w:bCs/>
          <w:lang w:val="es-MX"/>
        </w:rPr>
        <w:t xml:space="preserve"> para tapar su propio error</w:t>
      </w:r>
      <w:r w:rsidR="00474836" w:rsidRPr="007A177A">
        <w:rPr>
          <w:rFonts w:ascii="Arial" w:hAnsi="Arial" w:cs="Arial"/>
          <w:bCs/>
          <w:lang w:val="es-MX"/>
        </w:rPr>
        <w:t xml:space="preserve"> y entablar una acción secundaria no permitida en estos casos.</w:t>
      </w:r>
      <w:r w:rsidR="00370E2A" w:rsidRPr="007A177A">
        <w:rPr>
          <w:rFonts w:ascii="Arial" w:hAnsi="Arial" w:cs="Arial"/>
          <w:bCs/>
          <w:lang w:val="es-MX"/>
        </w:rPr>
        <w:t xml:space="preserve"> </w:t>
      </w:r>
    </w:p>
    <w:p w14:paraId="5589D8B2" w14:textId="77777777" w:rsidR="00370E2A" w:rsidRPr="007A177A" w:rsidRDefault="00370E2A" w:rsidP="00BF333B">
      <w:pPr>
        <w:spacing w:line="360" w:lineRule="auto"/>
        <w:jc w:val="both"/>
        <w:rPr>
          <w:rFonts w:ascii="Arial" w:hAnsi="Arial" w:cs="Arial"/>
          <w:bCs/>
          <w:lang w:val="es-MX"/>
        </w:rPr>
      </w:pPr>
    </w:p>
    <w:p w14:paraId="244B0912" w14:textId="77777777" w:rsidR="00774DA2" w:rsidRPr="007A177A" w:rsidRDefault="001B5C0C" w:rsidP="00BF333B">
      <w:pPr>
        <w:spacing w:line="360" w:lineRule="auto"/>
        <w:jc w:val="both"/>
        <w:rPr>
          <w:rFonts w:ascii="Arial" w:hAnsi="Arial" w:cs="Arial"/>
          <w:bCs/>
          <w:lang w:val="es-MX"/>
        </w:rPr>
      </w:pPr>
      <w:r w:rsidRPr="007A177A">
        <w:rPr>
          <w:rFonts w:ascii="Arial" w:hAnsi="Arial" w:cs="Arial"/>
          <w:b/>
          <w:bCs/>
          <w:lang w:val="es-MX"/>
        </w:rPr>
        <w:t>6</w:t>
      </w:r>
      <w:r w:rsidR="00C977EE" w:rsidRPr="007A177A">
        <w:rPr>
          <w:rFonts w:ascii="Arial" w:hAnsi="Arial" w:cs="Arial"/>
          <w:b/>
          <w:bCs/>
          <w:lang w:val="es-MX"/>
        </w:rPr>
        <w:t>.5.</w:t>
      </w:r>
      <w:r w:rsidR="00C977EE" w:rsidRPr="007A177A">
        <w:rPr>
          <w:rFonts w:ascii="Arial" w:hAnsi="Arial" w:cs="Arial"/>
          <w:bCs/>
          <w:lang w:val="es-MX"/>
        </w:rPr>
        <w:t xml:space="preserve"> </w:t>
      </w:r>
      <w:r w:rsidR="001E4851" w:rsidRPr="007A177A">
        <w:rPr>
          <w:rFonts w:ascii="Arial" w:hAnsi="Arial" w:cs="Arial"/>
          <w:bCs/>
          <w:lang w:val="es-MX"/>
        </w:rPr>
        <w:t xml:space="preserve">Retraso en el pago de </w:t>
      </w:r>
      <w:r w:rsidR="008D543A" w:rsidRPr="007A177A">
        <w:rPr>
          <w:rFonts w:ascii="Arial" w:hAnsi="Arial" w:cs="Arial"/>
          <w:bCs/>
          <w:lang w:val="es-MX"/>
        </w:rPr>
        <w:t xml:space="preserve">las </w:t>
      </w:r>
      <w:r w:rsidR="001E4851" w:rsidRPr="007A177A">
        <w:rPr>
          <w:rFonts w:ascii="Arial" w:hAnsi="Arial" w:cs="Arial"/>
          <w:bCs/>
          <w:lang w:val="es-MX"/>
        </w:rPr>
        <w:t>actas de obra</w:t>
      </w:r>
      <w:r w:rsidR="00C977EE" w:rsidRPr="007A177A">
        <w:rPr>
          <w:rFonts w:ascii="Arial" w:hAnsi="Arial" w:cs="Arial"/>
          <w:bCs/>
          <w:lang w:val="es-MX"/>
        </w:rPr>
        <w:t xml:space="preserve">. </w:t>
      </w:r>
      <w:r w:rsidR="008D4939" w:rsidRPr="007A177A">
        <w:rPr>
          <w:rFonts w:ascii="Arial" w:hAnsi="Arial" w:cs="Arial"/>
          <w:bCs/>
          <w:lang w:val="es-MX"/>
        </w:rPr>
        <w:t xml:space="preserve">En este </w:t>
      </w:r>
      <w:r w:rsidR="0092657A" w:rsidRPr="007A177A">
        <w:rPr>
          <w:rFonts w:ascii="Arial" w:hAnsi="Arial" w:cs="Arial"/>
          <w:bCs/>
          <w:lang w:val="es-MX"/>
        </w:rPr>
        <w:t>ítem de su recurso</w:t>
      </w:r>
      <w:r w:rsidR="008D4939" w:rsidRPr="007A177A">
        <w:rPr>
          <w:rFonts w:ascii="Arial" w:hAnsi="Arial" w:cs="Arial"/>
          <w:bCs/>
          <w:lang w:val="es-MX"/>
        </w:rPr>
        <w:t xml:space="preserve"> el Invías indicó que no hubo enriquecim</w:t>
      </w:r>
      <w:r w:rsidR="00C977EE" w:rsidRPr="007A177A">
        <w:rPr>
          <w:rFonts w:ascii="Arial" w:hAnsi="Arial" w:cs="Arial"/>
          <w:bCs/>
          <w:lang w:val="es-MX"/>
        </w:rPr>
        <w:t>i</w:t>
      </w:r>
      <w:r w:rsidR="008D4939" w:rsidRPr="007A177A">
        <w:rPr>
          <w:rFonts w:ascii="Arial" w:hAnsi="Arial" w:cs="Arial"/>
          <w:bCs/>
          <w:lang w:val="es-MX"/>
        </w:rPr>
        <w:t xml:space="preserve">ento sin causa y que </w:t>
      </w:r>
      <w:r w:rsidR="00C977EE" w:rsidRPr="007A177A">
        <w:rPr>
          <w:rFonts w:ascii="Arial" w:hAnsi="Arial" w:cs="Arial"/>
          <w:bCs/>
          <w:lang w:val="es-MX"/>
        </w:rPr>
        <w:t>-</w:t>
      </w:r>
      <w:r w:rsidR="00C977EE" w:rsidRPr="007A177A">
        <w:rPr>
          <w:rFonts w:ascii="Arial" w:hAnsi="Arial" w:cs="Arial"/>
          <w:bCs/>
          <w:i/>
          <w:lang w:val="es-MX"/>
        </w:rPr>
        <w:t>para juzgar el desequilibrio financiero</w:t>
      </w:r>
      <w:r w:rsidR="00C977EE" w:rsidRPr="007A177A">
        <w:rPr>
          <w:rFonts w:ascii="Arial" w:hAnsi="Arial" w:cs="Arial"/>
          <w:bCs/>
          <w:lang w:val="es-MX"/>
        </w:rPr>
        <w:t xml:space="preserve">- se debió </w:t>
      </w:r>
      <w:r w:rsidR="008D4939" w:rsidRPr="007A177A">
        <w:rPr>
          <w:rFonts w:ascii="Arial" w:hAnsi="Arial" w:cs="Arial"/>
          <w:bCs/>
          <w:lang w:val="es-MX"/>
        </w:rPr>
        <w:t>tener en cuenta que el contratista había recibido $14’885.280 c</w:t>
      </w:r>
      <w:r w:rsidR="00D32122" w:rsidRPr="007A177A">
        <w:rPr>
          <w:rFonts w:ascii="Arial" w:hAnsi="Arial" w:cs="Arial"/>
          <w:bCs/>
          <w:lang w:val="es-MX"/>
        </w:rPr>
        <w:t>o</w:t>
      </w:r>
      <w:r w:rsidR="008D4939" w:rsidRPr="007A177A">
        <w:rPr>
          <w:rFonts w:ascii="Arial" w:hAnsi="Arial" w:cs="Arial"/>
          <w:bCs/>
          <w:lang w:val="es-MX"/>
        </w:rPr>
        <w:t>mo anticipo</w:t>
      </w:r>
      <w:r w:rsidR="00AF5E6E" w:rsidRPr="007A177A">
        <w:rPr>
          <w:rFonts w:ascii="Arial" w:hAnsi="Arial" w:cs="Arial"/>
          <w:bCs/>
          <w:lang w:val="es-MX"/>
        </w:rPr>
        <w:t>,</w:t>
      </w:r>
      <w:r w:rsidR="008D4939" w:rsidRPr="007A177A">
        <w:rPr>
          <w:rFonts w:ascii="Arial" w:hAnsi="Arial" w:cs="Arial"/>
          <w:bCs/>
          <w:lang w:val="es-MX"/>
        </w:rPr>
        <w:t xml:space="preserve"> equivalente al 20% del valor del contr</w:t>
      </w:r>
      <w:r w:rsidR="00D32122" w:rsidRPr="007A177A">
        <w:rPr>
          <w:rFonts w:ascii="Arial" w:hAnsi="Arial" w:cs="Arial"/>
          <w:bCs/>
          <w:lang w:val="es-MX"/>
        </w:rPr>
        <w:t>a</w:t>
      </w:r>
      <w:r w:rsidR="008D4939" w:rsidRPr="007A177A">
        <w:rPr>
          <w:rFonts w:ascii="Arial" w:hAnsi="Arial" w:cs="Arial"/>
          <w:bCs/>
          <w:lang w:val="es-MX"/>
        </w:rPr>
        <w:t xml:space="preserve">to que amortizó en </w:t>
      </w:r>
      <w:r w:rsidR="008D4939" w:rsidRPr="007A177A">
        <w:rPr>
          <w:rFonts w:ascii="Arial" w:hAnsi="Arial" w:cs="Arial"/>
          <w:bCs/>
          <w:i/>
          <w:iCs/>
          <w:lang w:val="es-MX"/>
        </w:rPr>
        <w:t>“módicas cuotas de bajo costo, durante todo el tiempo del contrato”</w:t>
      </w:r>
      <w:r w:rsidR="00774DA2" w:rsidRPr="007A177A">
        <w:rPr>
          <w:rFonts w:ascii="Arial" w:hAnsi="Arial" w:cs="Arial"/>
          <w:bCs/>
          <w:lang w:val="es-MX"/>
        </w:rPr>
        <w:t xml:space="preserve"> y que</w:t>
      </w:r>
      <w:r w:rsidR="00813138" w:rsidRPr="007A177A">
        <w:rPr>
          <w:rFonts w:ascii="Arial" w:hAnsi="Arial" w:cs="Arial"/>
          <w:bCs/>
          <w:lang w:val="es-MX"/>
        </w:rPr>
        <w:t xml:space="preserve"> el Fondo tuvo retrasos moderados</w:t>
      </w:r>
      <w:r w:rsidR="00EB47B0" w:rsidRPr="007A177A">
        <w:rPr>
          <w:rFonts w:ascii="Arial" w:hAnsi="Arial" w:cs="Arial"/>
          <w:bCs/>
          <w:lang w:val="es-MX"/>
        </w:rPr>
        <w:t>,</w:t>
      </w:r>
      <w:r w:rsidR="00813138" w:rsidRPr="007A177A">
        <w:rPr>
          <w:rFonts w:ascii="Arial" w:hAnsi="Arial" w:cs="Arial"/>
          <w:bCs/>
          <w:lang w:val="es-MX"/>
        </w:rPr>
        <w:t xml:space="preserve"> por </w:t>
      </w:r>
      <w:r w:rsidR="00EB47B0" w:rsidRPr="007A177A">
        <w:rPr>
          <w:rFonts w:ascii="Arial" w:hAnsi="Arial" w:cs="Arial"/>
          <w:bCs/>
          <w:lang w:val="es-MX"/>
        </w:rPr>
        <w:t xml:space="preserve">razón de los </w:t>
      </w:r>
      <w:r w:rsidR="00813138" w:rsidRPr="007A177A">
        <w:rPr>
          <w:rFonts w:ascii="Arial" w:hAnsi="Arial" w:cs="Arial"/>
          <w:bCs/>
          <w:lang w:val="es-MX"/>
        </w:rPr>
        <w:t>tr</w:t>
      </w:r>
      <w:r w:rsidR="00EB47B0" w:rsidRPr="007A177A">
        <w:rPr>
          <w:rFonts w:ascii="Arial" w:hAnsi="Arial" w:cs="Arial"/>
          <w:bCs/>
          <w:lang w:val="es-MX"/>
        </w:rPr>
        <w:t xml:space="preserve">ámites </w:t>
      </w:r>
      <w:r w:rsidR="00813138" w:rsidRPr="007A177A">
        <w:rPr>
          <w:rFonts w:ascii="Arial" w:hAnsi="Arial" w:cs="Arial"/>
          <w:bCs/>
          <w:lang w:val="es-MX"/>
        </w:rPr>
        <w:t xml:space="preserve">presupuestales. </w:t>
      </w:r>
    </w:p>
    <w:p w14:paraId="6DA7BA4C" w14:textId="77777777" w:rsidR="00774DA2" w:rsidRPr="007A177A" w:rsidRDefault="00774DA2" w:rsidP="00BF333B">
      <w:pPr>
        <w:spacing w:line="360" w:lineRule="auto"/>
        <w:jc w:val="both"/>
        <w:rPr>
          <w:rFonts w:ascii="Arial" w:hAnsi="Arial" w:cs="Arial"/>
          <w:bCs/>
          <w:lang w:val="es-MX"/>
        </w:rPr>
      </w:pPr>
    </w:p>
    <w:p w14:paraId="56A2EFBE" w14:textId="77777777" w:rsidR="00774DA2" w:rsidRPr="007A177A" w:rsidRDefault="00813138" w:rsidP="00BF333B">
      <w:pPr>
        <w:spacing w:line="360" w:lineRule="auto"/>
        <w:jc w:val="both"/>
        <w:rPr>
          <w:rFonts w:ascii="Arial" w:hAnsi="Arial" w:cs="Arial"/>
          <w:bCs/>
          <w:lang w:val="es-MX"/>
        </w:rPr>
      </w:pPr>
      <w:r w:rsidRPr="007A177A">
        <w:rPr>
          <w:rFonts w:ascii="Arial" w:hAnsi="Arial" w:cs="Arial"/>
          <w:bCs/>
          <w:lang w:val="es-MX"/>
        </w:rPr>
        <w:t xml:space="preserve">Invocó la equivalencia de prestaciones </w:t>
      </w:r>
      <w:r w:rsidR="0081264A" w:rsidRPr="007A177A">
        <w:rPr>
          <w:rFonts w:ascii="Arial" w:hAnsi="Arial" w:cs="Arial"/>
          <w:bCs/>
          <w:lang w:val="es-MX"/>
        </w:rPr>
        <w:t xml:space="preserve">prevista en el </w:t>
      </w:r>
      <w:r w:rsidR="00EB47B0" w:rsidRPr="007A177A">
        <w:rPr>
          <w:rFonts w:ascii="Arial" w:hAnsi="Arial" w:cs="Arial"/>
          <w:bCs/>
          <w:lang w:val="es-MX"/>
        </w:rPr>
        <w:t>C</w:t>
      </w:r>
      <w:r w:rsidRPr="007A177A">
        <w:rPr>
          <w:rFonts w:ascii="Arial" w:hAnsi="Arial" w:cs="Arial"/>
          <w:bCs/>
          <w:lang w:val="es-MX"/>
        </w:rPr>
        <w:t xml:space="preserve">ódigo </w:t>
      </w:r>
      <w:r w:rsidR="00EB47B0" w:rsidRPr="007A177A">
        <w:rPr>
          <w:rFonts w:ascii="Arial" w:hAnsi="Arial" w:cs="Arial"/>
          <w:bCs/>
          <w:lang w:val="es-MX"/>
        </w:rPr>
        <w:t>C</w:t>
      </w:r>
      <w:r w:rsidRPr="007A177A">
        <w:rPr>
          <w:rFonts w:ascii="Arial" w:hAnsi="Arial" w:cs="Arial"/>
          <w:bCs/>
          <w:lang w:val="es-MX"/>
        </w:rPr>
        <w:t>ivil y el equilibrio de esfuerzos que se present</w:t>
      </w:r>
      <w:r w:rsidR="00EB47B0" w:rsidRPr="007A177A">
        <w:rPr>
          <w:rFonts w:ascii="Arial" w:hAnsi="Arial" w:cs="Arial"/>
          <w:bCs/>
          <w:lang w:val="es-MX"/>
        </w:rPr>
        <w:t>a</w:t>
      </w:r>
      <w:r w:rsidRPr="007A177A">
        <w:rPr>
          <w:rFonts w:ascii="Arial" w:hAnsi="Arial" w:cs="Arial"/>
          <w:bCs/>
          <w:lang w:val="es-MX"/>
        </w:rPr>
        <w:t xml:space="preserve"> entre las partes</w:t>
      </w:r>
      <w:r w:rsidR="00EB47B0" w:rsidRPr="007A177A">
        <w:rPr>
          <w:rFonts w:ascii="Arial" w:hAnsi="Arial" w:cs="Arial"/>
          <w:bCs/>
          <w:lang w:val="es-MX"/>
        </w:rPr>
        <w:t xml:space="preserve"> del contrato</w:t>
      </w:r>
      <w:r w:rsidRPr="007A177A">
        <w:rPr>
          <w:rFonts w:ascii="Arial" w:hAnsi="Arial" w:cs="Arial"/>
          <w:bCs/>
          <w:lang w:val="es-MX"/>
        </w:rPr>
        <w:t xml:space="preserve">. Insistió en que la demandante </w:t>
      </w:r>
      <w:r w:rsidR="00774DA2" w:rsidRPr="007A177A">
        <w:rPr>
          <w:rFonts w:ascii="Arial" w:hAnsi="Arial" w:cs="Arial"/>
          <w:bCs/>
          <w:lang w:val="es-MX"/>
        </w:rPr>
        <w:t>actuó en eje</w:t>
      </w:r>
      <w:r w:rsidR="00EB47B0" w:rsidRPr="007A177A">
        <w:rPr>
          <w:rFonts w:ascii="Arial" w:hAnsi="Arial" w:cs="Arial"/>
          <w:bCs/>
          <w:lang w:val="es-MX"/>
        </w:rPr>
        <w:t>r</w:t>
      </w:r>
      <w:r w:rsidR="00774DA2" w:rsidRPr="007A177A">
        <w:rPr>
          <w:rFonts w:ascii="Arial" w:hAnsi="Arial" w:cs="Arial"/>
          <w:bCs/>
          <w:lang w:val="es-MX"/>
        </w:rPr>
        <w:t xml:space="preserve">cicio de la </w:t>
      </w:r>
      <w:r w:rsidR="008D543A" w:rsidRPr="007A177A">
        <w:rPr>
          <w:rFonts w:ascii="Arial" w:hAnsi="Arial" w:cs="Arial"/>
          <w:bCs/>
          <w:i/>
          <w:iCs/>
          <w:lang w:val="es-MX"/>
        </w:rPr>
        <w:t>“</w:t>
      </w:r>
      <w:r w:rsidRPr="007A177A">
        <w:rPr>
          <w:rFonts w:ascii="Arial" w:hAnsi="Arial" w:cs="Arial"/>
          <w:bCs/>
          <w:i/>
          <w:iCs/>
          <w:lang w:val="es-MX"/>
        </w:rPr>
        <w:t>actio i</w:t>
      </w:r>
      <w:r w:rsidR="008D543A" w:rsidRPr="007A177A">
        <w:rPr>
          <w:rFonts w:ascii="Arial" w:hAnsi="Arial" w:cs="Arial"/>
          <w:bCs/>
          <w:i/>
          <w:iCs/>
          <w:lang w:val="es-MX"/>
        </w:rPr>
        <w:t>n</w:t>
      </w:r>
      <w:r w:rsidRPr="007A177A">
        <w:rPr>
          <w:rFonts w:ascii="Arial" w:hAnsi="Arial" w:cs="Arial"/>
          <w:bCs/>
          <w:i/>
          <w:iCs/>
          <w:lang w:val="es-MX"/>
        </w:rPr>
        <w:t xml:space="preserve"> rem verso</w:t>
      </w:r>
      <w:r w:rsidR="008D543A" w:rsidRPr="007A177A">
        <w:rPr>
          <w:rFonts w:ascii="Arial" w:hAnsi="Arial" w:cs="Arial"/>
          <w:bCs/>
          <w:i/>
          <w:iCs/>
          <w:lang w:val="es-MX"/>
        </w:rPr>
        <w:t>”</w:t>
      </w:r>
      <w:r w:rsidR="00EB47B0" w:rsidRPr="007A177A">
        <w:rPr>
          <w:rFonts w:ascii="Arial" w:hAnsi="Arial" w:cs="Arial"/>
          <w:bCs/>
          <w:lang w:val="es-MX"/>
        </w:rPr>
        <w:t>,</w:t>
      </w:r>
      <w:r w:rsidRPr="007A177A">
        <w:rPr>
          <w:rFonts w:ascii="Arial" w:hAnsi="Arial" w:cs="Arial"/>
          <w:bCs/>
          <w:lang w:val="es-MX"/>
        </w:rPr>
        <w:t xml:space="preserve"> en </w:t>
      </w:r>
      <w:r w:rsidR="00774DA2" w:rsidRPr="007A177A">
        <w:rPr>
          <w:rFonts w:ascii="Arial" w:hAnsi="Arial" w:cs="Arial"/>
          <w:bCs/>
          <w:lang w:val="es-MX"/>
        </w:rPr>
        <w:t xml:space="preserve">la cual no se pueden cobrar intereses </w:t>
      </w:r>
      <w:r w:rsidR="00EB47B0" w:rsidRPr="007A177A">
        <w:rPr>
          <w:rFonts w:ascii="Arial" w:hAnsi="Arial" w:cs="Arial"/>
          <w:bCs/>
          <w:lang w:val="es-MX"/>
        </w:rPr>
        <w:t xml:space="preserve">como los liquidados en </w:t>
      </w:r>
      <w:r w:rsidR="00774DA2" w:rsidRPr="007A177A">
        <w:rPr>
          <w:rFonts w:ascii="Arial" w:hAnsi="Arial" w:cs="Arial"/>
          <w:bCs/>
          <w:lang w:val="es-MX"/>
        </w:rPr>
        <w:t>este caso.</w:t>
      </w:r>
    </w:p>
    <w:p w14:paraId="43D428DC" w14:textId="77777777" w:rsidR="00774DA2" w:rsidRPr="007A177A" w:rsidRDefault="00774DA2" w:rsidP="00BF333B">
      <w:pPr>
        <w:spacing w:line="360" w:lineRule="auto"/>
        <w:jc w:val="both"/>
        <w:rPr>
          <w:rFonts w:ascii="Arial" w:hAnsi="Arial" w:cs="Arial"/>
          <w:bCs/>
          <w:lang w:val="es-MX"/>
        </w:rPr>
      </w:pPr>
    </w:p>
    <w:p w14:paraId="3D305BC9" w14:textId="77777777" w:rsidR="00EA2092" w:rsidRPr="007A177A" w:rsidRDefault="00774DA2" w:rsidP="00BF333B">
      <w:pPr>
        <w:spacing w:line="360" w:lineRule="auto"/>
        <w:jc w:val="both"/>
        <w:rPr>
          <w:rFonts w:ascii="Arial" w:hAnsi="Arial" w:cs="Arial"/>
          <w:bCs/>
          <w:lang w:val="es-MX"/>
        </w:rPr>
      </w:pPr>
      <w:r w:rsidRPr="007A177A">
        <w:rPr>
          <w:rFonts w:ascii="Arial" w:hAnsi="Arial" w:cs="Arial"/>
          <w:bCs/>
          <w:lang w:val="es-MX"/>
        </w:rPr>
        <w:t xml:space="preserve">Observó que los pagos probados </w:t>
      </w:r>
      <w:r w:rsidR="00EA2092" w:rsidRPr="007A177A">
        <w:rPr>
          <w:rFonts w:ascii="Arial" w:hAnsi="Arial" w:cs="Arial"/>
          <w:bCs/>
          <w:lang w:val="es-MX"/>
        </w:rPr>
        <w:t xml:space="preserve">ascendieron a $132’056.735,22, prácticamente el doble del valor del contrato, por </w:t>
      </w:r>
      <w:r w:rsidRPr="007A177A">
        <w:rPr>
          <w:rFonts w:ascii="Arial" w:hAnsi="Arial" w:cs="Arial"/>
          <w:bCs/>
          <w:lang w:val="es-MX"/>
        </w:rPr>
        <w:t>virtud de l</w:t>
      </w:r>
      <w:r w:rsidR="00EA2092" w:rsidRPr="007A177A">
        <w:rPr>
          <w:rFonts w:ascii="Arial" w:hAnsi="Arial" w:cs="Arial"/>
          <w:bCs/>
          <w:lang w:val="es-MX"/>
        </w:rPr>
        <w:t xml:space="preserve">as actualizaciones de precios que realizó el </w:t>
      </w:r>
      <w:r w:rsidRPr="007A177A">
        <w:rPr>
          <w:rFonts w:ascii="Arial" w:hAnsi="Arial" w:cs="Arial"/>
          <w:bCs/>
          <w:lang w:val="es-MX"/>
        </w:rPr>
        <w:t xml:space="preserve">Fondo </w:t>
      </w:r>
      <w:r w:rsidR="00EA2092" w:rsidRPr="007A177A">
        <w:rPr>
          <w:rFonts w:ascii="Arial" w:hAnsi="Arial" w:cs="Arial"/>
          <w:bCs/>
          <w:lang w:val="es-MX"/>
        </w:rPr>
        <w:t>en favor de</w:t>
      </w:r>
      <w:r w:rsidR="008D543A" w:rsidRPr="007A177A">
        <w:rPr>
          <w:rFonts w:ascii="Arial" w:hAnsi="Arial" w:cs="Arial"/>
          <w:bCs/>
          <w:lang w:val="es-MX"/>
        </w:rPr>
        <w:t xml:space="preserve"> las </w:t>
      </w:r>
      <w:r w:rsidR="00EA2092" w:rsidRPr="007A177A">
        <w:rPr>
          <w:rFonts w:ascii="Arial" w:hAnsi="Arial" w:cs="Arial"/>
          <w:bCs/>
          <w:lang w:val="es-MX"/>
        </w:rPr>
        <w:t>contratista</w:t>
      </w:r>
      <w:r w:rsidR="008D543A" w:rsidRPr="007A177A">
        <w:rPr>
          <w:rFonts w:ascii="Arial" w:hAnsi="Arial" w:cs="Arial"/>
          <w:bCs/>
          <w:lang w:val="es-MX"/>
        </w:rPr>
        <w:t>s.</w:t>
      </w:r>
      <w:r w:rsidR="00EA2092" w:rsidRPr="007A177A">
        <w:rPr>
          <w:rFonts w:ascii="Arial" w:hAnsi="Arial" w:cs="Arial"/>
          <w:bCs/>
          <w:lang w:val="es-MX"/>
        </w:rPr>
        <w:t xml:space="preserve"> </w:t>
      </w:r>
    </w:p>
    <w:p w14:paraId="033DFC06" w14:textId="77777777" w:rsidR="00EA2092" w:rsidRPr="007A177A" w:rsidRDefault="00EA2092" w:rsidP="00BF333B">
      <w:pPr>
        <w:spacing w:line="360" w:lineRule="auto"/>
        <w:jc w:val="both"/>
        <w:rPr>
          <w:rFonts w:ascii="Arial" w:hAnsi="Arial" w:cs="Arial"/>
          <w:bCs/>
          <w:lang w:val="es-MX"/>
        </w:rPr>
      </w:pPr>
    </w:p>
    <w:p w14:paraId="7BFA2906" w14:textId="77777777" w:rsidR="002B529B" w:rsidRPr="007A177A" w:rsidRDefault="001B5C0C" w:rsidP="00BF333B">
      <w:pPr>
        <w:spacing w:line="360" w:lineRule="auto"/>
        <w:jc w:val="both"/>
        <w:rPr>
          <w:rFonts w:ascii="Arial" w:hAnsi="Arial" w:cs="Arial"/>
          <w:bCs/>
          <w:lang w:val="es-MX"/>
        </w:rPr>
      </w:pPr>
      <w:r w:rsidRPr="007A177A">
        <w:rPr>
          <w:rFonts w:ascii="Arial" w:hAnsi="Arial" w:cs="Arial"/>
          <w:b/>
          <w:bCs/>
          <w:lang w:val="es-MX"/>
        </w:rPr>
        <w:t>6</w:t>
      </w:r>
      <w:r w:rsidR="001E1269" w:rsidRPr="007A177A">
        <w:rPr>
          <w:rFonts w:ascii="Arial" w:hAnsi="Arial" w:cs="Arial"/>
          <w:b/>
          <w:bCs/>
          <w:lang w:val="es-MX"/>
        </w:rPr>
        <w:t>.</w:t>
      </w:r>
      <w:r w:rsidR="00EB47B0" w:rsidRPr="007A177A">
        <w:rPr>
          <w:rFonts w:ascii="Arial" w:hAnsi="Arial" w:cs="Arial"/>
          <w:b/>
          <w:bCs/>
          <w:lang w:val="es-MX"/>
        </w:rPr>
        <w:t>6</w:t>
      </w:r>
      <w:r w:rsidR="001E1269" w:rsidRPr="007A177A">
        <w:rPr>
          <w:rFonts w:ascii="Arial" w:hAnsi="Arial" w:cs="Arial"/>
          <w:b/>
          <w:bCs/>
          <w:lang w:val="es-MX"/>
        </w:rPr>
        <w:t>.</w:t>
      </w:r>
      <w:r w:rsidR="00EB47B0" w:rsidRPr="007A177A">
        <w:rPr>
          <w:rFonts w:ascii="Arial" w:hAnsi="Arial" w:cs="Arial"/>
          <w:bCs/>
          <w:lang w:val="es-MX"/>
        </w:rPr>
        <w:t xml:space="preserve"> En cuanto al término para causar la mora, el apelante c</w:t>
      </w:r>
      <w:r w:rsidR="00EA2092" w:rsidRPr="007A177A">
        <w:rPr>
          <w:rFonts w:ascii="Arial" w:hAnsi="Arial" w:cs="Arial"/>
          <w:bCs/>
          <w:lang w:val="es-MX"/>
        </w:rPr>
        <w:t xml:space="preserve">onsideró que el Tribunal </w:t>
      </w:r>
      <w:r w:rsidR="00EA2092" w:rsidRPr="007A177A">
        <w:rPr>
          <w:rFonts w:ascii="Arial" w:hAnsi="Arial" w:cs="Arial"/>
          <w:bCs/>
          <w:i/>
          <w:iCs/>
          <w:lang w:val="es-MX"/>
        </w:rPr>
        <w:t>a quo</w:t>
      </w:r>
      <w:r w:rsidR="00EA2092" w:rsidRPr="007A177A">
        <w:rPr>
          <w:rFonts w:ascii="Arial" w:hAnsi="Arial" w:cs="Arial"/>
          <w:bCs/>
          <w:lang w:val="es-MX"/>
        </w:rPr>
        <w:t xml:space="preserve">, al incorporar el </w:t>
      </w:r>
      <w:r w:rsidR="00F6039B" w:rsidRPr="007A177A">
        <w:rPr>
          <w:rFonts w:ascii="Arial" w:hAnsi="Arial" w:cs="Arial"/>
          <w:bCs/>
          <w:lang w:val="es-MX"/>
        </w:rPr>
        <w:t xml:space="preserve">plazo para el pago </w:t>
      </w:r>
      <w:r w:rsidR="00EA2092" w:rsidRPr="007A177A">
        <w:rPr>
          <w:rFonts w:ascii="Arial" w:hAnsi="Arial" w:cs="Arial"/>
          <w:bCs/>
          <w:lang w:val="es-MX"/>
        </w:rPr>
        <w:t xml:space="preserve">de 30 días </w:t>
      </w:r>
      <w:r w:rsidR="001E1269" w:rsidRPr="007A177A">
        <w:rPr>
          <w:rFonts w:ascii="Arial" w:hAnsi="Arial" w:cs="Arial"/>
          <w:bCs/>
          <w:i/>
          <w:lang w:val="es-MX"/>
        </w:rPr>
        <w:t>-</w:t>
      </w:r>
      <w:r w:rsidR="00EA2092" w:rsidRPr="007A177A">
        <w:rPr>
          <w:rFonts w:ascii="Arial" w:hAnsi="Arial" w:cs="Arial"/>
          <w:bCs/>
          <w:i/>
          <w:lang w:val="es-MX"/>
        </w:rPr>
        <w:t xml:space="preserve">no pactado </w:t>
      </w:r>
      <w:r w:rsidR="00A106E1" w:rsidRPr="007A177A">
        <w:rPr>
          <w:rFonts w:ascii="Arial" w:hAnsi="Arial" w:cs="Arial"/>
          <w:bCs/>
          <w:i/>
          <w:lang w:val="es-MX"/>
        </w:rPr>
        <w:t>por las partes</w:t>
      </w:r>
      <w:r w:rsidR="001E1269" w:rsidRPr="007A177A">
        <w:rPr>
          <w:rFonts w:ascii="Arial" w:hAnsi="Arial" w:cs="Arial"/>
          <w:bCs/>
          <w:lang w:val="es-MX"/>
        </w:rPr>
        <w:t>-</w:t>
      </w:r>
      <w:r w:rsidR="00EA2092" w:rsidRPr="007A177A">
        <w:rPr>
          <w:rFonts w:ascii="Arial" w:hAnsi="Arial" w:cs="Arial"/>
          <w:bCs/>
          <w:lang w:val="es-MX"/>
        </w:rPr>
        <w:t xml:space="preserve"> </w:t>
      </w:r>
      <w:r w:rsidR="002B529B" w:rsidRPr="007A177A">
        <w:rPr>
          <w:rFonts w:ascii="Arial" w:hAnsi="Arial" w:cs="Arial"/>
          <w:bCs/>
          <w:i/>
          <w:lang w:val="es-MX"/>
        </w:rPr>
        <w:t>“le generó un desequilibrio al contrato, siendo que en proceso est</w:t>
      </w:r>
      <w:r w:rsidR="00EB1C9D" w:rsidRPr="007A177A">
        <w:rPr>
          <w:rFonts w:ascii="Arial" w:hAnsi="Arial" w:cs="Arial"/>
          <w:bCs/>
          <w:i/>
          <w:lang w:val="es-MX"/>
        </w:rPr>
        <w:t>á</w:t>
      </w:r>
      <w:r w:rsidR="002B529B" w:rsidRPr="007A177A">
        <w:rPr>
          <w:rFonts w:ascii="Arial" w:hAnsi="Arial" w:cs="Arial"/>
          <w:bCs/>
          <w:i/>
          <w:lang w:val="es-MX"/>
        </w:rPr>
        <w:t xml:space="preserve"> demostrado que por el contrario, </w:t>
      </w:r>
      <w:r w:rsidR="002B529B" w:rsidRPr="007A177A">
        <w:rPr>
          <w:rFonts w:ascii="Arial" w:hAnsi="Arial" w:cs="Arial"/>
          <w:bCs/>
          <w:iCs/>
          <w:lang w:val="es-MX"/>
        </w:rPr>
        <w:t>[el contratista]</w:t>
      </w:r>
      <w:r w:rsidR="002B529B" w:rsidRPr="007A177A">
        <w:rPr>
          <w:rFonts w:ascii="Arial" w:hAnsi="Arial" w:cs="Arial"/>
          <w:bCs/>
          <w:i/>
          <w:lang w:val="es-MX"/>
        </w:rPr>
        <w:t xml:space="preserve"> obtuvo una utilidad del doble del inicialmente pactado</w:t>
      </w:r>
      <w:r w:rsidR="00F6039B" w:rsidRPr="007A177A">
        <w:rPr>
          <w:rFonts w:ascii="Arial" w:hAnsi="Arial" w:cs="Arial"/>
          <w:bCs/>
          <w:i/>
          <w:lang w:val="es-MX"/>
        </w:rPr>
        <w:t>”</w:t>
      </w:r>
      <w:r w:rsidR="002B529B" w:rsidRPr="007A177A">
        <w:rPr>
          <w:rFonts w:ascii="Arial" w:hAnsi="Arial" w:cs="Arial"/>
          <w:bCs/>
          <w:lang w:val="es-MX"/>
        </w:rPr>
        <w:t>.</w:t>
      </w:r>
    </w:p>
    <w:p w14:paraId="4704C9E3" w14:textId="77777777" w:rsidR="002B529B" w:rsidRPr="007A177A" w:rsidRDefault="002B529B" w:rsidP="00BF333B">
      <w:pPr>
        <w:spacing w:line="360" w:lineRule="auto"/>
        <w:jc w:val="both"/>
        <w:rPr>
          <w:rFonts w:ascii="Arial" w:hAnsi="Arial" w:cs="Arial"/>
          <w:bCs/>
          <w:lang w:val="es-MX"/>
        </w:rPr>
      </w:pPr>
    </w:p>
    <w:p w14:paraId="1DC1D9DE" w14:textId="77777777" w:rsidR="00AB18E0" w:rsidRPr="007A177A" w:rsidRDefault="001B5C0C" w:rsidP="00BF333B">
      <w:pPr>
        <w:spacing w:line="360" w:lineRule="auto"/>
        <w:jc w:val="both"/>
        <w:rPr>
          <w:rFonts w:ascii="Arial" w:hAnsi="Arial" w:cs="Arial"/>
          <w:bCs/>
          <w:lang w:val="es-MX"/>
        </w:rPr>
      </w:pPr>
      <w:r w:rsidRPr="007A177A">
        <w:rPr>
          <w:rFonts w:ascii="Arial" w:hAnsi="Arial" w:cs="Arial"/>
          <w:b/>
          <w:bCs/>
          <w:lang w:val="es-MX"/>
        </w:rPr>
        <w:t>6</w:t>
      </w:r>
      <w:r w:rsidR="00102B6E" w:rsidRPr="007A177A">
        <w:rPr>
          <w:rFonts w:ascii="Arial" w:hAnsi="Arial" w:cs="Arial"/>
          <w:b/>
          <w:bCs/>
          <w:lang w:val="es-MX"/>
        </w:rPr>
        <w:t>.7.</w:t>
      </w:r>
      <w:r w:rsidR="00102B6E" w:rsidRPr="007A177A">
        <w:rPr>
          <w:rFonts w:ascii="Arial" w:hAnsi="Arial" w:cs="Arial"/>
          <w:bCs/>
          <w:lang w:val="es-MX"/>
        </w:rPr>
        <w:t xml:space="preserve"> </w:t>
      </w:r>
      <w:r w:rsidR="00F6039B" w:rsidRPr="007A177A">
        <w:rPr>
          <w:rFonts w:ascii="Arial" w:hAnsi="Arial" w:cs="Arial"/>
          <w:bCs/>
          <w:lang w:val="es-MX"/>
        </w:rPr>
        <w:t>En su recurso de apelación</w:t>
      </w:r>
      <w:r w:rsidR="004004CB" w:rsidRPr="007A177A">
        <w:rPr>
          <w:rFonts w:ascii="Arial" w:hAnsi="Arial" w:cs="Arial"/>
          <w:bCs/>
          <w:lang w:val="es-MX"/>
        </w:rPr>
        <w:t>, el Invías</w:t>
      </w:r>
      <w:r w:rsidR="00F6039B" w:rsidRPr="007A177A">
        <w:rPr>
          <w:rFonts w:ascii="Arial" w:hAnsi="Arial" w:cs="Arial"/>
          <w:bCs/>
          <w:lang w:val="es-MX"/>
        </w:rPr>
        <w:t xml:space="preserve"> c</w:t>
      </w:r>
      <w:r w:rsidR="002B529B" w:rsidRPr="007A177A">
        <w:rPr>
          <w:rFonts w:ascii="Arial" w:hAnsi="Arial" w:cs="Arial"/>
          <w:bCs/>
          <w:lang w:val="es-MX"/>
        </w:rPr>
        <w:t xml:space="preserve">alculó las utilidades que usualmente </w:t>
      </w:r>
      <w:r w:rsidR="00EE3ACA" w:rsidRPr="007A177A">
        <w:rPr>
          <w:rFonts w:ascii="Arial" w:hAnsi="Arial" w:cs="Arial"/>
          <w:bCs/>
          <w:lang w:val="es-MX"/>
        </w:rPr>
        <w:t xml:space="preserve">se </w:t>
      </w:r>
      <w:r w:rsidR="002B529B" w:rsidRPr="007A177A">
        <w:rPr>
          <w:rFonts w:ascii="Arial" w:hAnsi="Arial" w:cs="Arial"/>
          <w:bCs/>
          <w:lang w:val="es-MX"/>
        </w:rPr>
        <w:t>tiene</w:t>
      </w:r>
      <w:r w:rsidR="00EE3ACA" w:rsidRPr="007A177A">
        <w:rPr>
          <w:rFonts w:ascii="Arial" w:hAnsi="Arial" w:cs="Arial"/>
          <w:bCs/>
          <w:lang w:val="es-MX"/>
        </w:rPr>
        <w:t>n</w:t>
      </w:r>
      <w:r w:rsidR="002B529B" w:rsidRPr="007A177A">
        <w:rPr>
          <w:rFonts w:ascii="Arial" w:hAnsi="Arial" w:cs="Arial"/>
          <w:bCs/>
          <w:lang w:val="es-MX"/>
        </w:rPr>
        <w:t xml:space="preserve"> </w:t>
      </w:r>
      <w:r w:rsidR="00EE3ACA" w:rsidRPr="007A177A">
        <w:rPr>
          <w:rFonts w:ascii="Arial" w:hAnsi="Arial" w:cs="Arial"/>
          <w:bCs/>
          <w:lang w:val="es-MX"/>
        </w:rPr>
        <w:t xml:space="preserve">en </w:t>
      </w:r>
      <w:r w:rsidR="002B529B" w:rsidRPr="007A177A">
        <w:rPr>
          <w:rFonts w:ascii="Arial" w:hAnsi="Arial" w:cs="Arial"/>
          <w:bCs/>
          <w:lang w:val="es-MX"/>
        </w:rPr>
        <w:t xml:space="preserve">el contrato de obra </w:t>
      </w:r>
      <w:r w:rsidR="00EB1C9D" w:rsidRPr="007A177A">
        <w:rPr>
          <w:rFonts w:ascii="Arial" w:hAnsi="Arial" w:cs="Arial"/>
          <w:bCs/>
          <w:lang w:val="es-MX"/>
        </w:rPr>
        <w:t xml:space="preserve">en un </w:t>
      </w:r>
      <w:r w:rsidR="00C11912" w:rsidRPr="007A177A">
        <w:rPr>
          <w:rFonts w:ascii="Arial" w:hAnsi="Arial" w:cs="Arial"/>
          <w:bCs/>
          <w:lang w:val="es-MX"/>
        </w:rPr>
        <w:t xml:space="preserve">5% </w:t>
      </w:r>
      <w:r w:rsidR="004A48CC" w:rsidRPr="007A177A">
        <w:rPr>
          <w:rFonts w:ascii="Arial" w:hAnsi="Arial" w:cs="Arial"/>
          <w:bCs/>
          <w:lang w:val="es-MX"/>
        </w:rPr>
        <w:t xml:space="preserve">y </w:t>
      </w:r>
      <w:r w:rsidR="00F6039B" w:rsidRPr="007A177A">
        <w:rPr>
          <w:rFonts w:ascii="Arial" w:hAnsi="Arial" w:cs="Arial"/>
          <w:bCs/>
          <w:lang w:val="es-MX"/>
        </w:rPr>
        <w:t>la</w:t>
      </w:r>
      <w:r w:rsidR="00EE3ACA" w:rsidRPr="007A177A">
        <w:rPr>
          <w:rFonts w:ascii="Arial" w:hAnsi="Arial" w:cs="Arial"/>
          <w:bCs/>
          <w:lang w:val="es-MX"/>
        </w:rPr>
        <w:t>s</w:t>
      </w:r>
      <w:r w:rsidR="00F6039B" w:rsidRPr="007A177A">
        <w:rPr>
          <w:rFonts w:ascii="Arial" w:hAnsi="Arial" w:cs="Arial"/>
          <w:bCs/>
          <w:lang w:val="es-MX"/>
        </w:rPr>
        <w:t xml:space="preserve"> aplicó al monto ejecutado en orden a demostrar </w:t>
      </w:r>
      <w:r w:rsidR="004A48CC" w:rsidRPr="007A177A">
        <w:rPr>
          <w:rFonts w:ascii="Arial" w:hAnsi="Arial" w:cs="Arial"/>
          <w:bCs/>
          <w:lang w:val="es-MX"/>
        </w:rPr>
        <w:t xml:space="preserve">que en el proceso está acreditado que </w:t>
      </w:r>
      <w:r w:rsidR="001E1269" w:rsidRPr="007A177A">
        <w:rPr>
          <w:rFonts w:ascii="Arial" w:hAnsi="Arial" w:cs="Arial"/>
          <w:bCs/>
          <w:lang w:val="es-MX"/>
        </w:rPr>
        <w:t xml:space="preserve">la parte </w:t>
      </w:r>
      <w:r w:rsidR="004A48CC" w:rsidRPr="007A177A">
        <w:rPr>
          <w:rFonts w:ascii="Arial" w:hAnsi="Arial" w:cs="Arial"/>
          <w:bCs/>
          <w:lang w:val="es-MX"/>
        </w:rPr>
        <w:t xml:space="preserve">contratista </w:t>
      </w:r>
      <w:r w:rsidR="00AB18E0" w:rsidRPr="007A177A">
        <w:rPr>
          <w:rFonts w:ascii="Arial" w:hAnsi="Arial" w:cs="Arial"/>
          <w:bCs/>
          <w:lang w:val="es-MX"/>
        </w:rPr>
        <w:t xml:space="preserve">no se empobreció </w:t>
      </w:r>
      <w:r w:rsidR="00EE3ACA" w:rsidRPr="007A177A">
        <w:rPr>
          <w:rFonts w:ascii="Arial" w:hAnsi="Arial" w:cs="Arial"/>
          <w:bCs/>
          <w:lang w:val="es-MX"/>
        </w:rPr>
        <w:t xml:space="preserve">y </w:t>
      </w:r>
      <w:r w:rsidR="00AB18E0" w:rsidRPr="007A177A">
        <w:rPr>
          <w:rFonts w:ascii="Arial" w:hAnsi="Arial" w:cs="Arial"/>
          <w:bCs/>
          <w:lang w:val="es-MX"/>
        </w:rPr>
        <w:t>q</w:t>
      </w:r>
      <w:r w:rsidR="00EB1C9D" w:rsidRPr="007A177A">
        <w:rPr>
          <w:rFonts w:ascii="Arial" w:hAnsi="Arial" w:cs="Arial"/>
          <w:bCs/>
          <w:lang w:val="es-MX"/>
        </w:rPr>
        <w:t>u</w:t>
      </w:r>
      <w:r w:rsidR="00AB18E0" w:rsidRPr="007A177A">
        <w:rPr>
          <w:rFonts w:ascii="Arial" w:hAnsi="Arial" w:cs="Arial"/>
          <w:bCs/>
          <w:lang w:val="es-MX"/>
        </w:rPr>
        <w:t>e</w:t>
      </w:r>
      <w:r w:rsidR="00EE3ACA" w:rsidRPr="007A177A">
        <w:rPr>
          <w:rFonts w:ascii="Arial" w:hAnsi="Arial" w:cs="Arial"/>
          <w:bCs/>
          <w:lang w:val="es-MX"/>
        </w:rPr>
        <w:t>,</w:t>
      </w:r>
      <w:r w:rsidR="00AB18E0" w:rsidRPr="007A177A">
        <w:rPr>
          <w:rFonts w:ascii="Arial" w:hAnsi="Arial" w:cs="Arial"/>
          <w:bCs/>
          <w:lang w:val="es-MX"/>
        </w:rPr>
        <w:t xml:space="preserve"> por el contrario,</w:t>
      </w:r>
      <w:r w:rsidR="00CE0D38" w:rsidRPr="007A177A">
        <w:rPr>
          <w:rFonts w:ascii="Arial" w:hAnsi="Arial" w:cs="Arial"/>
          <w:bCs/>
          <w:lang w:val="es-MX"/>
        </w:rPr>
        <w:t xml:space="preserve"> con la sentencia de primera instancia, a la</w:t>
      </w:r>
      <w:r w:rsidR="00F53286" w:rsidRPr="007A177A">
        <w:rPr>
          <w:rFonts w:ascii="Arial" w:hAnsi="Arial" w:cs="Arial"/>
          <w:bCs/>
          <w:lang w:val="es-MX"/>
        </w:rPr>
        <w:t>s</w:t>
      </w:r>
      <w:r w:rsidR="00CE0D38" w:rsidRPr="007A177A">
        <w:rPr>
          <w:rFonts w:ascii="Arial" w:hAnsi="Arial" w:cs="Arial"/>
          <w:bCs/>
          <w:lang w:val="es-MX"/>
        </w:rPr>
        <w:t xml:space="preserve"> demandante</w:t>
      </w:r>
      <w:r w:rsidR="00F53286" w:rsidRPr="007A177A">
        <w:rPr>
          <w:rFonts w:ascii="Arial" w:hAnsi="Arial" w:cs="Arial"/>
          <w:bCs/>
          <w:lang w:val="es-MX"/>
        </w:rPr>
        <w:t>s</w:t>
      </w:r>
      <w:r w:rsidR="00CE0D38" w:rsidRPr="007A177A">
        <w:rPr>
          <w:rFonts w:ascii="Arial" w:hAnsi="Arial" w:cs="Arial"/>
          <w:bCs/>
          <w:lang w:val="es-MX"/>
        </w:rPr>
        <w:t xml:space="preserve"> </w:t>
      </w:r>
      <w:r w:rsidR="00AB18E0" w:rsidRPr="007A177A">
        <w:rPr>
          <w:rFonts w:ascii="Arial" w:hAnsi="Arial" w:cs="Arial"/>
          <w:bCs/>
          <w:lang w:val="es-MX"/>
        </w:rPr>
        <w:t>“</w:t>
      </w:r>
      <w:r w:rsidR="00AB18E0" w:rsidRPr="007A177A">
        <w:rPr>
          <w:rFonts w:ascii="Arial" w:hAnsi="Arial" w:cs="Arial"/>
          <w:bCs/>
          <w:i/>
          <w:lang w:val="es-MX"/>
        </w:rPr>
        <w:t>no solamente se le</w:t>
      </w:r>
      <w:r w:rsidR="00F53286" w:rsidRPr="007A177A">
        <w:rPr>
          <w:rFonts w:ascii="Arial" w:hAnsi="Arial" w:cs="Arial"/>
          <w:bCs/>
          <w:i/>
          <w:lang w:val="es-MX"/>
        </w:rPr>
        <w:t>s</w:t>
      </w:r>
      <w:r w:rsidR="00AB18E0" w:rsidRPr="007A177A">
        <w:rPr>
          <w:rFonts w:ascii="Arial" w:hAnsi="Arial" w:cs="Arial"/>
          <w:bCs/>
          <w:i/>
          <w:lang w:val="es-MX"/>
        </w:rPr>
        <w:t xml:space="preserve"> apareció la virgen sino que se ganaron el </w:t>
      </w:r>
      <w:r w:rsidR="00AB18E0" w:rsidRPr="007A177A">
        <w:rPr>
          <w:rFonts w:ascii="Arial" w:hAnsi="Arial" w:cs="Arial"/>
          <w:bCs/>
          <w:i/>
          <w:lang w:val="es-MX"/>
        </w:rPr>
        <w:lastRenderedPageBreak/>
        <w:t>baloto”</w:t>
      </w:r>
      <w:r w:rsidR="00EE3ACA" w:rsidRPr="007A177A">
        <w:rPr>
          <w:rFonts w:ascii="Arial" w:hAnsi="Arial" w:cs="Arial"/>
          <w:bCs/>
          <w:lang w:val="es-MX"/>
        </w:rPr>
        <w:t>;</w:t>
      </w:r>
      <w:r w:rsidR="00E479C4" w:rsidRPr="007A177A">
        <w:rPr>
          <w:rFonts w:ascii="Arial" w:hAnsi="Arial" w:cs="Arial"/>
          <w:bCs/>
          <w:lang w:val="es-MX"/>
        </w:rPr>
        <w:t xml:space="preserve"> observó que  </w:t>
      </w:r>
      <w:r w:rsidR="00CE0D38" w:rsidRPr="007A177A">
        <w:rPr>
          <w:rFonts w:ascii="Arial" w:hAnsi="Arial" w:cs="Arial"/>
          <w:bCs/>
          <w:lang w:val="es-MX"/>
        </w:rPr>
        <w:t xml:space="preserve">las contratistas no estaban </w:t>
      </w:r>
      <w:r w:rsidR="00EE3ACA" w:rsidRPr="007A177A">
        <w:rPr>
          <w:rFonts w:ascii="Arial" w:hAnsi="Arial" w:cs="Arial"/>
          <w:bCs/>
          <w:i/>
          <w:lang w:val="es-MX"/>
        </w:rPr>
        <w:t>“</w:t>
      </w:r>
      <w:r w:rsidR="00CE0D38" w:rsidRPr="007A177A">
        <w:rPr>
          <w:rFonts w:ascii="Arial" w:hAnsi="Arial" w:cs="Arial"/>
          <w:bCs/>
          <w:i/>
          <w:lang w:val="es-MX"/>
        </w:rPr>
        <w:t>en punto de no pérdida</w:t>
      </w:r>
      <w:r w:rsidR="00EE3ACA" w:rsidRPr="007A177A">
        <w:rPr>
          <w:rFonts w:ascii="Arial" w:hAnsi="Arial" w:cs="Arial"/>
          <w:bCs/>
          <w:i/>
          <w:lang w:val="es-MX"/>
        </w:rPr>
        <w:t>”</w:t>
      </w:r>
      <w:r w:rsidR="00CE0D38" w:rsidRPr="007A177A">
        <w:rPr>
          <w:rFonts w:ascii="Arial" w:hAnsi="Arial" w:cs="Arial"/>
          <w:bCs/>
          <w:i/>
          <w:lang w:val="es-MX"/>
        </w:rPr>
        <w:t xml:space="preserve"> </w:t>
      </w:r>
      <w:r w:rsidR="00CE0D38" w:rsidRPr="007A177A">
        <w:rPr>
          <w:rFonts w:ascii="Arial" w:hAnsi="Arial" w:cs="Arial"/>
          <w:bCs/>
          <w:lang w:val="es-MX"/>
        </w:rPr>
        <w:t xml:space="preserve">y que </w:t>
      </w:r>
      <w:r w:rsidR="00EE3ACA" w:rsidRPr="007A177A">
        <w:rPr>
          <w:rFonts w:ascii="Arial" w:hAnsi="Arial" w:cs="Arial"/>
          <w:bCs/>
          <w:lang w:val="es-MX"/>
        </w:rPr>
        <w:t xml:space="preserve">ahora, </w:t>
      </w:r>
      <w:r w:rsidR="00CE0D38" w:rsidRPr="007A177A">
        <w:rPr>
          <w:rFonts w:ascii="Arial" w:hAnsi="Arial" w:cs="Arial"/>
          <w:bCs/>
          <w:lang w:val="es-MX"/>
        </w:rPr>
        <w:t xml:space="preserve">con la sentencia apelada, se encontraron </w:t>
      </w:r>
      <w:r w:rsidR="004A48CC" w:rsidRPr="007A177A">
        <w:rPr>
          <w:rFonts w:ascii="Arial" w:hAnsi="Arial" w:cs="Arial"/>
          <w:bCs/>
          <w:i/>
          <w:lang w:val="es-MX"/>
        </w:rPr>
        <w:t>“en punto de ganancias”</w:t>
      </w:r>
      <w:r w:rsidR="00EE3ACA" w:rsidRPr="007A177A">
        <w:rPr>
          <w:rFonts w:ascii="Arial" w:hAnsi="Arial" w:cs="Arial"/>
          <w:bCs/>
          <w:lang w:val="es-MX"/>
        </w:rPr>
        <w:t xml:space="preserve">; afirmó </w:t>
      </w:r>
      <w:r w:rsidR="004A48CC" w:rsidRPr="007A177A">
        <w:rPr>
          <w:rFonts w:ascii="Arial" w:hAnsi="Arial" w:cs="Arial"/>
          <w:bCs/>
          <w:lang w:val="es-MX"/>
        </w:rPr>
        <w:t xml:space="preserve">que por virtud de la sentencia, </w:t>
      </w:r>
      <w:r w:rsidR="00E479C4" w:rsidRPr="007A177A">
        <w:rPr>
          <w:rFonts w:ascii="Arial" w:hAnsi="Arial" w:cs="Arial"/>
          <w:bCs/>
          <w:lang w:val="es-MX"/>
        </w:rPr>
        <w:t xml:space="preserve">sobre una utilidad </w:t>
      </w:r>
      <w:r w:rsidR="00EB1C9D" w:rsidRPr="007A177A">
        <w:rPr>
          <w:rFonts w:ascii="Arial" w:hAnsi="Arial" w:cs="Arial"/>
          <w:bCs/>
          <w:lang w:val="es-MX"/>
        </w:rPr>
        <w:t xml:space="preserve">estimada </w:t>
      </w:r>
      <w:r w:rsidR="00E479C4" w:rsidRPr="007A177A">
        <w:rPr>
          <w:rFonts w:ascii="Arial" w:hAnsi="Arial" w:cs="Arial"/>
          <w:bCs/>
          <w:lang w:val="es-MX"/>
        </w:rPr>
        <w:t>de $6’602.836 conseguirá</w:t>
      </w:r>
      <w:r w:rsidR="00EE3ACA" w:rsidRPr="007A177A">
        <w:rPr>
          <w:rFonts w:ascii="Arial" w:hAnsi="Arial" w:cs="Arial"/>
          <w:bCs/>
          <w:lang w:val="es-MX"/>
        </w:rPr>
        <w:t>n</w:t>
      </w:r>
      <w:r w:rsidR="00102B6E" w:rsidRPr="007A177A">
        <w:rPr>
          <w:rFonts w:ascii="Arial" w:hAnsi="Arial" w:cs="Arial"/>
          <w:bCs/>
          <w:lang w:val="es-MX"/>
        </w:rPr>
        <w:t>,</w:t>
      </w:r>
      <w:r w:rsidR="00E479C4" w:rsidRPr="007A177A">
        <w:rPr>
          <w:rFonts w:ascii="Arial" w:hAnsi="Arial" w:cs="Arial"/>
          <w:bCs/>
          <w:lang w:val="es-MX"/>
        </w:rPr>
        <w:t xml:space="preserve"> </w:t>
      </w:r>
      <w:r w:rsidR="00EE3ACA" w:rsidRPr="007A177A">
        <w:rPr>
          <w:rFonts w:ascii="Arial" w:hAnsi="Arial" w:cs="Arial"/>
          <w:bCs/>
          <w:lang w:val="es-MX"/>
        </w:rPr>
        <w:t xml:space="preserve">con apoyo en las </w:t>
      </w:r>
      <w:r w:rsidR="00EB1C9D" w:rsidRPr="007A177A">
        <w:rPr>
          <w:rFonts w:ascii="Arial" w:hAnsi="Arial" w:cs="Arial"/>
          <w:bCs/>
          <w:lang w:val="es-MX"/>
        </w:rPr>
        <w:t xml:space="preserve">fórmulas </w:t>
      </w:r>
      <w:r w:rsidR="00EE3ACA" w:rsidRPr="007A177A">
        <w:rPr>
          <w:rFonts w:ascii="Arial" w:hAnsi="Arial" w:cs="Arial"/>
          <w:bCs/>
          <w:lang w:val="es-MX"/>
        </w:rPr>
        <w:t xml:space="preserve">aplicadas por el Tribunal </w:t>
      </w:r>
      <w:r w:rsidR="00EE3ACA" w:rsidRPr="007A177A">
        <w:rPr>
          <w:rFonts w:ascii="Arial" w:hAnsi="Arial" w:cs="Arial"/>
          <w:bCs/>
          <w:i/>
          <w:lang w:val="es-MX"/>
        </w:rPr>
        <w:t>a quo</w:t>
      </w:r>
      <w:r w:rsidR="00102B6E" w:rsidRPr="007A177A">
        <w:rPr>
          <w:rFonts w:ascii="Arial" w:hAnsi="Arial" w:cs="Arial"/>
          <w:bCs/>
          <w:lang w:val="es-MX"/>
        </w:rPr>
        <w:t>,</w:t>
      </w:r>
      <w:r w:rsidR="00EE3ACA" w:rsidRPr="007A177A">
        <w:rPr>
          <w:rFonts w:ascii="Arial" w:hAnsi="Arial" w:cs="Arial"/>
          <w:bCs/>
          <w:lang w:val="es-MX"/>
        </w:rPr>
        <w:t xml:space="preserve"> </w:t>
      </w:r>
      <w:r w:rsidR="004A48CC" w:rsidRPr="007A177A">
        <w:rPr>
          <w:rFonts w:ascii="Arial" w:hAnsi="Arial" w:cs="Arial"/>
          <w:bCs/>
          <w:lang w:val="es-MX"/>
        </w:rPr>
        <w:t xml:space="preserve">una utilidad </w:t>
      </w:r>
      <w:r w:rsidR="00102B6E" w:rsidRPr="007A177A">
        <w:rPr>
          <w:rFonts w:ascii="Arial" w:hAnsi="Arial" w:cs="Arial"/>
          <w:bCs/>
          <w:lang w:val="es-MX"/>
        </w:rPr>
        <w:t>–</w:t>
      </w:r>
      <w:r w:rsidR="004A48CC" w:rsidRPr="007A177A">
        <w:rPr>
          <w:rFonts w:ascii="Arial" w:hAnsi="Arial" w:cs="Arial"/>
          <w:bCs/>
          <w:i/>
          <w:lang w:val="es-MX"/>
        </w:rPr>
        <w:t>actualizada</w:t>
      </w:r>
      <w:r w:rsidR="00102B6E" w:rsidRPr="007A177A">
        <w:rPr>
          <w:rFonts w:ascii="Arial" w:hAnsi="Arial" w:cs="Arial"/>
          <w:bCs/>
          <w:i/>
          <w:lang w:val="es-MX"/>
        </w:rPr>
        <w:t xml:space="preserve"> a la fecha de la apelación</w:t>
      </w:r>
      <w:r w:rsidR="00102B6E" w:rsidRPr="007A177A">
        <w:rPr>
          <w:rFonts w:ascii="Arial" w:hAnsi="Arial" w:cs="Arial"/>
          <w:bCs/>
          <w:lang w:val="es-MX"/>
        </w:rPr>
        <w:t>– que ascendería a la suma de</w:t>
      </w:r>
      <w:r w:rsidR="004A48CC" w:rsidRPr="007A177A">
        <w:rPr>
          <w:rFonts w:ascii="Arial" w:hAnsi="Arial" w:cs="Arial"/>
          <w:bCs/>
          <w:lang w:val="es-MX"/>
        </w:rPr>
        <w:t xml:space="preserve"> $1.309’123.570,94. </w:t>
      </w:r>
    </w:p>
    <w:p w14:paraId="30CFC94E" w14:textId="77777777" w:rsidR="00AB18E0" w:rsidRPr="007A177A" w:rsidRDefault="00AB18E0" w:rsidP="00BF333B">
      <w:pPr>
        <w:spacing w:line="360" w:lineRule="auto"/>
        <w:jc w:val="both"/>
        <w:rPr>
          <w:rFonts w:ascii="Arial" w:hAnsi="Arial" w:cs="Arial"/>
          <w:bCs/>
          <w:lang w:val="es-MX"/>
        </w:rPr>
      </w:pPr>
    </w:p>
    <w:p w14:paraId="2E6A7CE5" w14:textId="77777777" w:rsidR="00941E68" w:rsidRPr="007A177A" w:rsidRDefault="001B5C0C" w:rsidP="00BF333B">
      <w:pPr>
        <w:spacing w:line="360" w:lineRule="auto"/>
        <w:jc w:val="both"/>
        <w:rPr>
          <w:rFonts w:ascii="Arial" w:hAnsi="Arial" w:cs="Arial"/>
          <w:bCs/>
          <w:lang w:val="es-MX"/>
        </w:rPr>
      </w:pPr>
      <w:r w:rsidRPr="007A177A">
        <w:rPr>
          <w:rFonts w:ascii="Arial" w:hAnsi="Arial" w:cs="Arial"/>
          <w:b/>
          <w:bCs/>
          <w:lang w:val="es-MX"/>
        </w:rPr>
        <w:t>6</w:t>
      </w:r>
      <w:r w:rsidR="00102B6E" w:rsidRPr="007A177A">
        <w:rPr>
          <w:rFonts w:ascii="Arial" w:hAnsi="Arial" w:cs="Arial"/>
          <w:b/>
          <w:bCs/>
          <w:lang w:val="es-MX"/>
        </w:rPr>
        <w:t xml:space="preserve">.8. </w:t>
      </w:r>
      <w:r w:rsidR="00EB1C9D" w:rsidRPr="007A177A">
        <w:rPr>
          <w:rFonts w:ascii="Arial" w:hAnsi="Arial" w:cs="Arial"/>
          <w:bCs/>
          <w:lang w:val="es-MX"/>
        </w:rPr>
        <w:t>Compensación</w:t>
      </w:r>
      <w:r w:rsidR="00102B6E" w:rsidRPr="007A177A">
        <w:rPr>
          <w:rFonts w:ascii="Arial" w:hAnsi="Arial" w:cs="Arial"/>
          <w:bCs/>
          <w:lang w:val="es-MX"/>
        </w:rPr>
        <w:t>.</w:t>
      </w:r>
      <w:r w:rsidR="00102B6E" w:rsidRPr="007A177A">
        <w:rPr>
          <w:rFonts w:ascii="Arial" w:hAnsi="Arial" w:cs="Arial"/>
          <w:b/>
          <w:bCs/>
          <w:lang w:val="es-MX"/>
        </w:rPr>
        <w:t xml:space="preserve"> </w:t>
      </w:r>
      <w:r w:rsidR="00102B6E" w:rsidRPr="007A177A">
        <w:rPr>
          <w:rFonts w:ascii="Arial" w:hAnsi="Arial" w:cs="Arial"/>
          <w:bCs/>
          <w:lang w:val="es-MX"/>
        </w:rPr>
        <w:t>El Invías i</w:t>
      </w:r>
      <w:r w:rsidR="00EB1C9D" w:rsidRPr="007A177A">
        <w:rPr>
          <w:rFonts w:ascii="Arial" w:hAnsi="Arial" w:cs="Arial"/>
          <w:bCs/>
          <w:lang w:val="es-MX"/>
        </w:rPr>
        <w:t>nsistió en que se debe aplicar la compensación de cuentas y e</w:t>
      </w:r>
      <w:r w:rsidR="00941E68" w:rsidRPr="007A177A">
        <w:rPr>
          <w:rFonts w:ascii="Arial" w:hAnsi="Arial" w:cs="Arial"/>
          <w:bCs/>
          <w:lang w:val="es-MX"/>
        </w:rPr>
        <w:t xml:space="preserve">specificó que se encuentran acreditados los desembolsos del anticipo, a los cuales se les </w:t>
      </w:r>
      <w:r w:rsidR="00F53286" w:rsidRPr="007A177A">
        <w:rPr>
          <w:rFonts w:ascii="Arial" w:hAnsi="Arial" w:cs="Arial"/>
          <w:bCs/>
          <w:lang w:val="es-MX"/>
        </w:rPr>
        <w:t xml:space="preserve">tiene que </w:t>
      </w:r>
      <w:r w:rsidR="00941E68" w:rsidRPr="007A177A">
        <w:rPr>
          <w:rFonts w:ascii="Arial" w:hAnsi="Arial" w:cs="Arial"/>
          <w:bCs/>
          <w:lang w:val="es-MX"/>
        </w:rPr>
        <w:t>calcular, en</w:t>
      </w:r>
      <w:r w:rsidR="00363E56" w:rsidRPr="007A177A">
        <w:rPr>
          <w:rFonts w:ascii="Arial" w:hAnsi="Arial" w:cs="Arial"/>
          <w:bCs/>
          <w:lang w:val="es-MX"/>
        </w:rPr>
        <w:t xml:space="preserve"> caso de persistir en la condena, </w:t>
      </w:r>
      <w:r w:rsidR="00941E68" w:rsidRPr="007A177A">
        <w:rPr>
          <w:rFonts w:ascii="Arial" w:hAnsi="Arial" w:cs="Arial"/>
          <w:bCs/>
          <w:lang w:val="es-MX"/>
        </w:rPr>
        <w:t xml:space="preserve">los intereses que determine el Consejo de </w:t>
      </w:r>
      <w:r w:rsidR="00102B6E" w:rsidRPr="007A177A">
        <w:rPr>
          <w:rFonts w:ascii="Arial" w:hAnsi="Arial" w:cs="Arial"/>
          <w:bCs/>
          <w:lang w:val="es-MX"/>
        </w:rPr>
        <w:t>E</w:t>
      </w:r>
      <w:r w:rsidR="00941E68" w:rsidRPr="007A177A">
        <w:rPr>
          <w:rFonts w:ascii="Arial" w:hAnsi="Arial" w:cs="Arial"/>
          <w:bCs/>
          <w:lang w:val="es-MX"/>
        </w:rPr>
        <w:t xml:space="preserve">stado para liquidar el saldo final a pagar. </w:t>
      </w:r>
    </w:p>
    <w:p w14:paraId="46462293" w14:textId="77777777" w:rsidR="00473EA9" w:rsidRPr="007A177A" w:rsidRDefault="00473EA9" w:rsidP="00BF333B">
      <w:pPr>
        <w:spacing w:line="360" w:lineRule="auto"/>
        <w:jc w:val="both"/>
        <w:rPr>
          <w:rFonts w:ascii="Arial" w:hAnsi="Arial" w:cs="Arial"/>
          <w:b/>
          <w:bCs/>
          <w:lang w:val="es-MX"/>
        </w:rPr>
      </w:pPr>
    </w:p>
    <w:p w14:paraId="0BA942E3" w14:textId="77777777" w:rsidR="00A14307" w:rsidRPr="007A177A" w:rsidRDefault="001B5C0C" w:rsidP="00BF333B">
      <w:pPr>
        <w:spacing w:line="360" w:lineRule="auto"/>
        <w:jc w:val="both"/>
        <w:rPr>
          <w:rFonts w:ascii="Arial" w:hAnsi="Arial" w:cs="Arial"/>
          <w:b/>
          <w:bCs/>
          <w:lang w:val="es-MX"/>
        </w:rPr>
      </w:pPr>
      <w:r w:rsidRPr="007A177A">
        <w:rPr>
          <w:rFonts w:ascii="Arial" w:hAnsi="Arial" w:cs="Arial"/>
          <w:b/>
          <w:bCs/>
          <w:lang w:val="es-MX"/>
        </w:rPr>
        <w:t>7</w:t>
      </w:r>
      <w:r w:rsidR="008D0E74" w:rsidRPr="007A177A">
        <w:rPr>
          <w:rFonts w:ascii="Arial" w:hAnsi="Arial" w:cs="Arial"/>
          <w:b/>
          <w:bCs/>
          <w:lang w:val="es-MX"/>
        </w:rPr>
        <w:t xml:space="preserve">. Otras actuaciones </w:t>
      </w:r>
    </w:p>
    <w:p w14:paraId="7777BE00" w14:textId="77777777" w:rsidR="00142907" w:rsidRPr="007A177A" w:rsidRDefault="00142907" w:rsidP="00BF333B">
      <w:pPr>
        <w:spacing w:line="360" w:lineRule="auto"/>
        <w:jc w:val="both"/>
        <w:rPr>
          <w:rFonts w:ascii="Arial" w:hAnsi="Arial" w:cs="Arial"/>
          <w:b/>
          <w:bCs/>
          <w:lang w:val="es-MX"/>
        </w:rPr>
      </w:pPr>
    </w:p>
    <w:p w14:paraId="47C10767" w14:textId="77777777" w:rsidR="0081024E" w:rsidRPr="007A177A" w:rsidRDefault="001B5C0C" w:rsidP="00BF333B">
      <w:pPr>
        <w:spacing w:line="360" w:lineRule="auto"/>
        <w:jc w:val="both"/>
        <w:rPr>
          <w:rFonts w:ascii="Arial" w:hAnsi="Arial" w:cs="Arial"/>
          <w:b/>
          <w:bCs/>
          <w:lang w:val="es-MX"/>
        </w:rPr>
      </w:pPr>
      <w:r w:rsidRPr="007A177A">
        <w:rPr>
          <w:rFonts w:ascii="Arial" w:hAnsi="Arial" w:cs="Arial"/>
          <w:b/>
          <w:bCs/>
          <w:lang w:val="es-MX"/>
        </w:rPr>
        <w:t>7</w:t>
      </w:r>
      <w:r w:rsidR="0081024E" w:rsidRPr="007A177A">
        <w:rPr>
          <w:rFonts w:ascii="Arial" w:hAnsi="Arial" w:cs="Arial"/>
          <w:b/>
          <w:bCs/>
          <w:lang w:val="es-MX"/>
        </w:rPr>
        <w:t xml:space="preserve">.1. Cesiones de derechos litigiosos </w:t>
      </w:r>
    </w:p>
    <w:p w14:paraId="5345C891" w14:textId="77777777" w:rsidR="0081024E" w:rsidRPr="007A177A" w:rsidRDefault="0081024E" w:rsidP="00BF333B">
      <w:pPr>
        <w:spacing w:line="360" w:lineRule="auto"/>
        <w:jc w:val="both"/>
        <w:rPr>
          <w:rFonts w:ascii="Arial" w:hAnsi="Arial" w:cs="Arial"/>
          <w:b/>
          <w:bCs/>
          <w:lang w:val="es-MX"/>
        </w:rPr>
      </w:pPr>
    </w:p>
    <w:p w14:paraId="372C4DD3" w14:textId="77777777" w:rsidR="000423DB" w:rsidRPr="007A177A" w:rsidRDefault="00E16F28" w:rsidP="00BF333B">
      <w:pPr>
        <w:spacing w:line="360" w:lineRule="auto"/>
        <w:jc w:val="both"/>
        <w:rPr>
          <w:rFonts w:ascii="Arial" w:hAnsi="Arial" w:cs="Arial"/>
          <w:bCs/>
          <w:lang w:val="es-MX"/>
        </w:rPr>
      </w:pPr>
      <w:r w:rsidRPr="007A177A">
        <w:rPr>
          <w:rFonts w:ascii="Arial" w:hAnsi="Arial" w:cs="Arial"/>
          <w:bCs/>
          <w:lang w:val="es-MX"/>
        </w:rPr>
        <w:t xml:space="preserve">Mediante auto del 27 de febrero </w:t>
      </w:r>
      <w:r w:rsidR="00A504B5" w:rsidRPr="007A177A">
        <w:rPr>
          <w:rFonts w:ascii="Arial" w:hAnsi="Arial" w:cs="Arial"/>
          <w:bCs/>
          <w:lang w:val="es-MX"/>
        </w:rPr>
        <w:t xml:space="preserve">de </w:t>
      </w:r>
      <w:r w:rsidR="0081024E" w:rsidRPr="007A177A">
        <w:rPr>
          <w:rFonts w:ascii="Arial" w:hAnsi="Arial" w:cs="Arial"/>
          <w:bCs/>
          <w:lang w:val="es-MX"/>
        </w:rPr>
        <w:t xml:space="preserve">2017, </w:t>
      </w:r>
      <w:r w:rsidR="00135968" w:rsidRPr="007A177A">
        <w:rPr>
          <w:rFonts w:ascii="Arial" w:hAnsi="Arial" w:cs="Arial"/>
          <w:bCs/>
          <w:lang w:val="es-MX"/>
        </w:rPr>
        <w:t xml:space="preserve">el Tribunal </w:t>
      </w:r>
      <w:r w:rsidR="00135968" w:rsidRPr="007A177A">
        <w:rPr>
          <w:rFonts w:ascii="Arial" w:hAnsi="Arial" w:cs="Arial"/>
          <w:bCs/>
          <w:i/>
          <w:lang w:val="es-MX"/>
        </w:rPr>
        <w:t>a quo</w:t>
      </w:r>
      <w:r w:rsidR="00135968" w:rsidRPr="007A177A">
        <w:rPr>
          <w:rFonts w:ascii="Arial" w:hAnsi="Arial" w:cs="Arial"/>
          <w:bCs/>
          <w:lang w:val="es-MX"/>
        </w:rPr>
        <w:t xml:space="preserve"> </w:t>
      </w:r>
      <w:r w:rsidR="00A504B5" w:rsidRPr="007A177A">
        <w:rPr>
          <w:rFonts w:ascii="Arial" w:hAnsi="Arial" w:cs="Arial"/>
          <w:bCs/>
          <w:lang w:val="es-MX"/>
        </w:rPr>
        <w:t>reconoció a la sociedad Uniconic S.A</w:t>
      </w:r>
      <w:r w:rsidR="005334C1" w:rsidRPr="007A177A">
        <w:rPr>
          <w:rFonts w:ascii="Arial" w:hAnsi="Arial" w:cs="Arial"/>
          <w:bCs/>
          <w:lang w:val="es-MX"/>
        </w:rPr>
        <w:t>.</w:t>
      </w:r>
      <w:r w:rsidR="00A504B5" w:rsidRPr="007A177A">
        <w:rPr>
          <w:rFonts w:ascii="Arial" w:hAnsi="Arial" w:cs="Arial"/>
          <w:bCs/>
          <w:lang w:val="es-MX"/>
        </w:rPr>
        <w:t xml:space="preserve"> como cesionaria del 100% de los derechos litigiosos</w:t>
      </w:r>
      <w:r w:rsidR="000610B6" w:rsidRPr="007A177A">
        <w:rPr>
          <w:rFonts w:ascii="Arial" w:hAnsi="Arial" w:cs="Arial"/>
          <w:bCs/>
          <w:lang w:val="es-MX"/>
        </w:rPr>
        <w:t xml:space="preserve"> </w:t>
      </w:r>
      <w:r w:rsidR="00A504B5" w:rsidRPr="007A177A">
        <w:rPr>
          <w:rFonts w:ascii="Arial" w:hAnsi="Arial" w:cs="Arial"/>
          <w:bCs/>
          <w:lang w:val="es-MX"/>
        </w:rPr>
        <w:t>y</w:t>
      </w:r>
      <w:r w:rsidR="000610B6" w:rsidRPr="007A177A">
        <w:rPr>
          <w:rFonts w:ascii="Arial" w:hAnsi="Arial" w:cs="Arial"/>
          <w:bCs/>
          <w:lang w:val="es-MX"/>
        </w:rPr>
        <w:t>,</w:t>
      </w:r>
      <w:r w:rsidR="00A504B5" w:rsidRPr="007A177A">
        <w:rPr>
          <w:rFonts w:ascii="Arial" w:hAnsi="Arial" w:cs="Arial"/>
          <w:bCs/>
          <w:lang w:val="es-MX"/>
        </w:rPr>
        <w:t xml:space="preserve"> </w:t>
      </w:r>
      <w:r w:rsidR="00B622CA" w:rsidRPr="007A177A">
        <w:rPr>
          <w:rFonts w:ascii="Arial" w:hAnsi="Arial" w:cs="Arial"/>
          <w:bCs/>
          <w:lang w:val="es-MX"/>
        </w:rPr>
        <w:t>a su vez</w:t>
      </w:r>
      <w:r w:rsidR="000610B6" w:rsidRPr="007A177A">
        <w:rPr>
          <w:rFonts w:ascii="Arial" w:hAnsi="Arial" w:cs="Arial"/>
          <w:bCs/>
          <w:lang w:val="es-MX"/>
        </w:rPr>
        <w:t>,</w:t>
      </w:r>
      <w:r w:rsidR="00B622CA" w:rsidRPr="007A177A">
        <w:rPr>
          <w:rFonts w:ascii="Arial" w:hAnsi="Arial" w:cs="Arial"/>
          <w:bCs/>
          <w:lang w:val="es-MX"/>
        </w:rPr>
        <w:t xml:space="preserve"> reconoció </w:t>
      </w:r>
      <w:r w:rsidR="000423DB" w:rsidRPr="007A177A">
        <w:rPr>
          <w:rFonts w:ascii="Arial" w:hAnsi="Arial" w:cs="Arial"/>
          <w:bCs/>
          <w:lang w:val="es-MX"/>
        </w:rPr>
        <w:t xml:space="preserve">las cesiones realizadas por dicha sociedad en favor de </w:t>
      </w:r>
      <w:r w:rsidR="001F258C" w:rsidRPr="007A177A">
        <w:rPr>
          <w:rFonts w:ascii="Arial" w:hAnsi="Arial" w:cs="Arial"/>
          <w:bCs/>
          <w:lang w:val="es-MX"/>
        </w:rPr>
        <w:t xml:space="preserve">Millenium </w:t>
      </w:r>
      <w:r w:rsidR="00B622CA" w:rsidRPr="007A177A">
        <w:rPr>
          <w:rFonts w:ascii="Arial" w:hAnsi="Arial" w:cs="Arial"/>
          <w:bCs/>
          <w:lang w:val="es-MX"/>
        </w:rPr>
        <w:t>Development SAS</w:t>
      </w:r>
      <w:r w:rsidR="00C9662F" w:rsidRPr="007A177A">
        <w:rPr>
          <w:rFonts w:ascii="Arial" w:hAnsi="Arial" w:cs="Arial"/>
          <w:bCs/>
          <w:lang w:val="es-MX"/>
        </w:rPr>
        <w:t>,</w:t>
      </w:r>
      <w:r w:rsidR="00B622CA" w:rsidRPr="007A177A">
        <w:rPr>
          <w:rFonts w:ascii="Arial" w:hAnsi="Arial" w:cs="Arial"/>
          <w:bCs/>
          <w:lang w:val="es-MX"/>
        </w:rPr>
        <w:t xml:space="preserve"> </w:t>
      </w:r>
      <w:r w:rsidR="000423DB" w:rsidRPr="007A177A">
        <w:rPr>
          <w:rFonts w:ascii="Arial" w:hAnsi="Arial" w:cs="Arial"/>
          <w:bCs/>
          <w:lang w:val="es-MX"/>
        </w:rPr>
        <w:t xml:space="preserve">en un </w:t>
      </w:r>
      <w:r w:rsidR="00B622CA" w:rsidRPr="007A177A">
        <w:rPr>
          <w:rFonts w:ascii="Arial" w:hAnsi="Arial" w:cs="Arial"/>
          <w:bCs/>
          <w:lang w:val="es-MX"/>
        </w:rPr>
        <w:t xml:space="preserve">45% </w:t>
      </w:r>
      <w:r w:rsidR="000423DB" w:rsidRPr="007A177A">
        <w:rPr>
          <w:rFonts w:ascii="Arial" w:hAnsi="Arial" w:cs="Arial"/>
          <w:bCs/>
          <w:lang w:val="es-MX"/>
        </w:rPr>
        <w:t>y de la abogada Colombia Villamil Quiroz, en un 30% de los derechos litigiosos</w:t>
      </w:r>
      <w:r w:rsidR="000423DB" w:rsidRPr="007A177A">
        <w:rPr>
          <w:rStyle w:val="Refdenotaalpie"/>
          <w:rFonts w:ascii="Arial" w:hAnsi="Arial" w:cs="Arial"/>
          <w:bCs/>
          <w:lang w:val="es-MX"/>
        </w:rPr>
        <w:footnoteReference w:id="30"/>
      </w:r>
      <w:r w:rsidR="005334C1" w:rsidRPr="007A177A">
        <w:rPr>
          <w:rFonts w:ascii="Arial" w:hAnsi="Arial" w:cs="Arial"/>
          <w:bCs/>
          <w:lang w:val="es-MX"/>
        </w:rPr>
        <w:t>.</w:t>
      </w:r>
    </w:p>
    <w:p w14:paraId="0C431143" w14:textId="77777777" w:rsidR="000610B6" w:rsidRPr="007A177A" w:rsidRDefault="000610B6" w:rsidP="00BF333B">
      <w:pPr>
        <w:spacing w:line="360" w:lineRule="auto"/>
        <w:jc w:val="both"/>
        <w:rPr>
          <w:rFonts w:ascii="Arial" w:hAnsi="Arial" w:cs="Arial"/>
          <w:b/>
          <w:bCs/>
          <w:lang w:val="es-MX"/>
        </w:rPr>
      </w:pPr>
    </w:p>
    <w:p w14:paraId="03F9E905" w14:textId="77777777" w:rsidR="0081024E" w:rsidRPr="007A177A" w:rsidRDefault="000610B6" w:rsidP="00BF333B">
      <w:pPr>
        <w:spacing w:line="360" w:lineRule="auto"/>
        <w:jc w:val="both"/>
        <w:rPr>
          <w:rFonts w:ascii="Arial" w:hAnsi="Arial" w:cs="Arial"/>
          <w:bCs/>
          <w:lang w:val="es-MX"/>
        </w:rPr>
      </w:pPr>
      <w:r w:rsidRPr="007A177A">
        <w:rPr>
          <w:rFonts w:ascii="Arial" w:hAnsi="Arial" w:cs="Arial"/>
          <w:bCs/>
          <w:lang w:val="es-MX"/>
        </w:rPr>
        <w:t xml:space="preserve">En auto del </w:t>
      </w:r>
      <w:r w:rsidR="00A504B5" w:rsidRPr="007A177A">
        <w:rPr>
          <w:rFonts w:ascii="Arial" w:hAnsi="Arial" w:cs="Arial"/>
          <w:bCs/>
          <w:lang w:val="es-MX"/>
        </w:rPr>
        <w:t xml:space="preserve">8 de mayo de 2017 </w:t>
      </w:r>
      <w:r w:rsidRPr="007A177A">
        <w:rPr>
          <w:rFonts w:ascii="Arial" w:hAnsi="Arial" w:cs="Arial"/>
          <w:bCs/>
          <w:lang w:val="es-MX"/>
        </w:rPr>
        <w:t xml:space="preserve">el Tribunal </w:t>
      </w:r>
      <w:r w:rsidRPr="007A177A">
        <w:rPr>
          <w:rFonts w:ascii="Arial" w:hAnsi="Arial" w:cs="Arial"/>
          <w:bCs/>
          <w:i/>
          <w:lang w:val="es-MX"/>
        </w:rPr>
        <w:t>a quo</w:t>
      </w:r>
      <w:r w:rsidRPr="007A177A">
        <w:rPr>
          <w:rFonts w:ascii="Arial" w:hAnsi="Arial" w:cs="Arial"/>
          <w:bCs/>
          <w:lang w:val="es-MX"/>
        </w:rPr>
        <w:t xml:space="preserve"> </w:t>
      </w:r>
      <w:r w:rsidR="0081024E" w:rsidRPr="007A177A">
        <w:rPr>
          <w:rFonts w:ascii="Arial" w:hAnsi="Arial" w:cs="Arial"/>
          <w:bCs/>
          <w:lang w:val="es-MX"/>
        </w:rPr>
        <w:t>reconoció a Antonio José Fern</w:t>
      </w:r>
      <w:r w:rsidR="00B622CA" w:rsidRPr="007A177A">
        <w:rPr>
          <w:rFonts w:ascii="Arial" w:hAnsi="Arial" w:cs="Arial"/>
          <w:bCs/>
          <w:lang w:val="es-MX"/>
        </w:rPr>
        <w:t>á</w:t>
      </w:r>
      <w:r w:rsidR="0081024E" w:rsidRPr="007A177A">
        <w:rPr>
          <w:rFonts w:ascii="Arial" w:hAnsi="Arial" w:cs="Arial"/>
          <w:bCs/>
          <w:lang w:val="es-MX"/>
        </w:rPr>
        <w:t>ndez Ib</w:t>
      </w:r>
      <w:r w:rsidR="00C9662F" w:rsidRPr="007A177A">
        <w:rPr>
          <w:rFonts w:ascii="Arial" w:hAnsi="Arial" w:cs="Arial"/>
          <w:bCs/>
          <w:lang w:val="es-MX"/>
        </w:rPr>
        <w:t>á</w:t>
      </w:r>
      <w:r w:rsidR="0081024E" w:rsidRPr="007A177A">
        <w:rPr>
          <w:rFonts w:ascii="Arial" w:hAnsi="Arial" w:cs="Arial"/>
          <w:bCs/>
          <w:lang w:val="es-MX"/>
        </w:rPr>
        <w:t>ñez como cesionario del 14% de los derechos litigiosos cedidos por Uniconic S.A.</w:t>
      </w:r>
      <w:r w:rsidRPr="007A177A">
        <w:rPr>
          <w:rStyle w:val="Refdenotaalpie"/>
          <w:rFonts w:ascii="Arial" w:hAnsi="Arial" w:cs="Arial"/>
          <w:bCs/>
          <w:lang w:val="es-MX"/>
        </w:rPr>
        <w:footnoteReference w:id="31"/>
      </w:r>
      <w:r w:rsidR="005334C1" w:rsidRPr="007A177A">
        <w:rPr>
          <w:rFonts w:ascii="Arial" w:hAnsi="Arial" w:cs="Arial"/>
          <w:bCs/>
          <w:lang w:val="es-MX"/>
        </w:rPr>
        <w:t>.</w:t>
      </w:r>
      <w:r w:rsidR="0081024E" w:rsidRPr="007A177A">
        <w:rPr>
          <w:rFonts w:ascii="Arial" w:hAnsi="Arial" w:cs="Arial"/>
          <w:bCs/>
          <w:lang w:val="es-MX"/>
        </w:rPr>
        <w:t xml:space="preserve"> </w:t>
      </w:r>
    </w:p>
    <w:p w14:paraId="67BF4A98" w14:textId="77777777" w:rsidR="0081024E" w:rsidRPr="007A177A" w:rsidRDefault="0081024E" w:rsidP="00BF333B">
      <w:pPr>
        <w:spacing w:line="360" w:lineRule="auto"/>
        <w:jc w:val="both"/>
        <w:rPr>
          <w:rFonts w:ascii="Arial" w:hAnsi="Arial" w:cs="Arial"/>
          <w:b/>
          <w:bCs/>
          <w:lang w:val="es-MX"/>
        </w:rPr>
      </w:pPr>
    </w:p>
    <w:p w14:paraId="309D94D1" w14:textId="77777777" w:rsidR="00171F2F" w:rsidRPr="007A177A" w:rsidRDefault="00C27FA3" w:rsidP="00BF333B">
      <w:pPr>
        <w:spacing w:line="360" w:lineRule="auto"/>
        <w:jc w:val="both"/>
        <w:rPr>
          <w:rFonts w:ascii="Arial" w:hAnsi="Arial" w:cs="Arial"/>
          <w:b/>
          <w:bCs/>
          <w:lang w:val="es-MX"/>
        </w:rPr>
      </w:pPr>
      <w:r w:rsidRPr="007A177A">
        <w:rPr>
          <w:rFonts w:ascii="Arial" w:hAnsi="Arial" w:cs="Arial"/>
          <w:b/>
          <w:bCs/>
          <w:lang w:val="es-MX"/>
        </w:rPr>
        <w:t>7</w:t>
      </w:r>
      <w:r w:rsidR="00171F2F" w:rsidRPr="007A177A">
        <w:rPr>
          <w:rFonts w:ascii="Arial" w:hAnsi="Arial" w:cs="Arial"/>
          <w:b/>
          <w:bCs/>
          <w:lang w:val="es-MX"/>
        </w:rPr>
        <w:t>.2. Audiencia de conciliación</w:t>
      </w:r>
    </w:p>
    <w:p w14:paraId="2862E979" w14:textId="77777777" w:rsidR="00171F2F" w:rsidRPr="007A177A" w:rsidRDefault="00171F2F" w:rsidP="00BF333B">
      <w:pPr>
        <w:spacing w:line="360" w:lineRule="auto"/>
        <w:jc w:val="both"/>
        <w:rPr>
          <w:rFonts w:ascii="Arial" w:hAnsi="Arial" w:cs="Arial"/>
          <w:bCs/>
          <w:lang w:val="es-MX"/>
        </w:rPr>
      </w:pPr>
    </w:p>
    <w:p w14:paraId="75A38EBC" w14:textId="77777777" w:rsidR="00171F2F" w:rsidRPr="007A177A" w:rsidRDefault="00142907" w:rsidP="00BF333B">
      <w:pPr>
        <w:spacing w:line="360" w:lineRule="auto"/>
        <w:jc w:val="both"/>
        <w:rPr>
          <w:rFonts w:ascii="Arial" w:hAnsi="Arial" w:cs="Arial"/>
          <w:bCs/>
          <w:lang w:val="es-MX"/>
        </w:rPr>
      </w:pPr>
      <w:r w:rsidRPr="007A177A">
        <w:rPr>
          <w:rFonts w:ascii="Arial" w:hAnsi="Arial" w:cs="Arial"/>
          <w:bCs/>
          <w:lang w:val="es-MX"/>
        </w:rPr>
        <w:t xml:space="preserve">El 22 de junio de 2017 se llevó a cabo la audiencia de conciliación judicial convocada por el Tribunal </w:t>
      </w:r>
      <w:r w:rsidRPr="007A177A">
        <w:rPr>
          <w:rFonts w:ascii="Arial" w:hAnsi="Arial" w:cs="Arial"/>
          <w:bCs/>
          <w:i/>
          <w:lang w:val="es-MX"/>
        </w:rPr>
        <w:t>a quo</w:t>
      </w:r>
      <w:r w:rsidRPr="007A177A">
        <w:rPr>
          <w:rStyle w:val="Refdenotaalpie"/>
          <w:rFonts w:ascii="Arial" w:hAnsi="Arial" w:cs="Arial"/>
          <w:bCs/>
          <w:lang w:val="es-MX"/>
        </w:rPr>
        <w:footnoteReference w:id="32"/>
      </w:r>
      <w:r w:rsidR="001F258C" w:rsidRPr="007A177A">
        <w:rPr>
          <w:rFonts w:ascii="Arial" w:hAnsi="Arial" w:cs="Arial"/>
          <w:bCs/>
          <w:i/>
          <w:lang w:val="es-MX"/>
        </w:rPr>
        <w:t>,</w:t>
      </w:r>
      <w:r w:rsidRPr="007A177A">
        <w:rPr>
          <w:rFonts w:ascii="Arial" w:hAnsi="Arial" w:cs="Arial"/>
          <w:bCs/>
          <w:lang w:val="es-MX"/>
        </w:rPr>
        <w:t xml:space="preserve"> </w:t>
      </w:r>
      <w:r w:rsidR="009A17A3" w:rsidRPr="007A177A">
        <w:rPr>
          <w:rFonts w:ascii="Arial" w:hAnsi="Arial" w:cs="Arial"/>
          <w:bCs/>
          <w:lang w:val="es-MX"/>
        </w:rPr>
        <w:t xml:space="preserve">en la cual no se aceptó la solicitud de aplazamiento presentada por </w:t>
      </w:r>
      <w:r w:rsidR="00C9662F" w:rsidRPr="007A177A">
        <w:rPr>
          <w:rFonts w:ascii="Arial" w:hAnsi="Arial" w:cs="Arial"/>
          <w:bCs/>
          <w:lang w:val="es-MX"/>
        </w:rPr>
        <w:t xml:space="preserve">una de las </w:t>
      </w:r>
      <w:r w:rsidR="009A17A3" w:rsidRPr="007A177A">
        <w:rPr>
          <w:rFonts w:ascii="Arial" w:hAnsi="Arial" w:cs="Arial"/>
          <w:bCs/>
          <w:lang w:val="es-MX"/>
        </w:rPr>
        <w:t>cesionaria</w:t>
      </w:r>
      <w:r w:rsidR="00684BCE" w:rsidRPr="007A177A">
        <w:rPr>
          <w:rFonts w:ascii="Arial" w:hAnsi="Arial" w:cs="Arial"/>
          <w:bCs/>
          <w:lang w:val="es-MX"/>
        </w:rPr>
        <w:t>s</w:t>
      </w:r>
      <w:r w:rsidR="009A17A3" w:rsidRPr="007A177A">
        <w:rPr>
          <w:rFonts w:ascii="Arial" w:hAnsi="Arial" w:cs="Arial"/>
          <w:bCs/>
          <w:lang w:val="es-MX"/>
        </w:rPr>
        <w:t xml:space="preserve"> del crédito litigioso</w:t>
      </w:r>
      <w:r w:rsidR="00C9662F" w:rsidRPr="007A177A">
        <w:rPr>
          <w:rStyle w:val="Refdenotaalpie"/>
          <w:rFonts w:ascii="Arial" w:hAnsi="Arial" w:cs="Arial"/>
          <w:bCs/>
          <w:lang w:val="es-MX"/>
        </w:rPr>
        <w:footnoteReference w:id="33"/>
      </w:r>
      <w:r w:rsidR="009A17A3" w:rsidRPr="007A177A">
        <w:rPr>
          <w:rFonts w:ascii="Arial" w:hAnsi="Arial" w:cs="Arial"/>
          <w:bCs/>
          <w:lang w:val="es-MX"/>
        </w:rPr>
        <w:t xml:space="preserve"> y se declaró la </w:t>
      </w:r>
      <w:r w:rsidR="00A106E1" w:rsidRPr="007A177A">
        <w:rPr>
          <w:rFonts w:ascii="Arial" w:hAnsi="Arial" w:cs="Arial"/>
          <w:bCs/>
          <w:lang w:val="es-MX"/>
        </w:rPr>
        <w:t>in</w:t>
      </w:r>
      <w:r w:rsidR="009A17A3" w:rsidRPr="007A177A">
        <w:rPr>
          <w:rFonts w:ascii="Arial" w:hAnsi="Arial" w:cs="Arial"/>
          <w:bCs/>
          <w:lang w:val="es-MX"/>
        </w:rPr>
        <w:t xml:space="preserve">existencia de ánimo conciliatorio. </w:t>
      </w:r>
    </w:p>
    <w:p w14:paraId="754E1E96" w14:textId="77777777" w:rsidR="00171F2F" w:rsidRPr="007A177A" w:rsidRDefault="00171F2F" w:rsidP="00BF333B">
      <w:pPr>
        <w:spacing w:line="360" w:lineRule="auto"/>
        <w:jc w:val="both"/>
        <w:rPr>
          <w:rFonts w:ascii="Arial" w:hAnsi="Arial" w:cs="Arial"/>
          <w:bCs/>
          <w:lang w:val="es-MX"/>
        </w:rPr>
      </w:pPr>
    </w:p>
    <w:p w14:paraId="50F85335" w14:textId="77777777" w:rsidR="00397B94" w:rsidRPr="007A177A" w:rsidRDefault="009A17A3" w:rsidP="00BF333B">
      <w:pPr>
        <w:spacing w:line="360" w:lineRule="auto"/>
        <w:jc w:val="both"/>
        <w:rPr>
          <w:rFonts w:ascii="Arial" w:hAnsi="Arial" w:cs="Arial"/>
          <w:bCs/>
          <w:lang w:val="es-MX"/>
        </w:rPr>
      </w:pPr>
      <w:r w:rsidRPr="007A177A">
        <w:rPr>
          <w:rFonts w:ascii="Arial" w:hAnsi="Arial" w:cs="Arial"/>
          <w:bCs/>
          <w:lang w:val="es-MX"/>
        </w:rPr>
        <w:lastRenderedPageBreak/>
        <w:t>En la misma audiencia</w:t>
      </w:r>
      <w:r w:rsidR="00171F2F" w:rsidRPr="007A177A">
        <w:rPr>
          <w:rFonts w:ascii="Arial" w:hAnsi="Arial" w:cs="Arial"/>
          <w:bCs/>
          <w:lang w:val="es-MX"/>
        </w:rPr>
        <w:t xml:space="preserve">, el Tribunal </w:t>
      </w:r>
      <w:r w:rsidR="00171F2F" w:rsidRPr="007A177A">
        <w:rPr>
          <w:rFonts w:ascii="Arial" w:hAnsi="Arial" w:cs="Arial"/>
          <w:bCs/>
          <w:i/>
          <w:lang w:val="es-MX"/>
        </w:rPr>
        <w:t>a quo</w:t>
      </w:r>
      <w:r w:rsidR="00171F2F" w:rsidRPr="007A177A">
        <w:rPr>
          <w:rFonts w:ascii="Arial" w:hAnsi="Arial" w:cs="Arial"/>
          <w:bCs/>
          <w:lang w:val="es-MX"/>
        </w:rPr>
        <w:t xml:space="preserve"> </w:t>
      </w:r>
      <w:r w:rsidR="00397B94" w:rsidRPr="007A177A">
        <w:rPr>
          <w:rFonts w:ascii="Arial" w:hAnsi="Arial" w:cs="Arial"/>
          <w:bCs/>
          <w:lang w:val="es-MX"/>
        </w:rPr>
        <w:t>concedió el recurso de apelación</w:t>
      </w:r>
      <w:r w:rsidR="00684BCE" w:rsidRPr="007A177A">
        <w:rPr>
          <w:rStyle w:val="Refdenotaalpie"/>
          <w:rFonts w:ascii="Arial" w:hAnsi="Arial" w:cs="Arial"/>
          <w:bCs/>
          <w:lang w:val="es-MX"/>
        </w:rPr>
        <w:footnoteReference w:id="34"/>
      </w:r>
      <w:r w:rsidR="00397B94" w:rsidRPr="007A177A">
        <w:rPr>
          <w:rFonts w:ascii="Arial" w:hAnsi="Arial" w:cs="Arial"/>
          <w:bCs/>
          <w:lang w:val="es-MX"/>
        </w:rPr>
        <w:t xml:space="preserve">. </w:t>
      </w:r>
    </w:p>
    <w:p w14:paraId="5D8A4E2E" w14:textId="77777777" w:rsidR="008D0E74" w:rsidRPr="007A177A" w:rsidRDefault="008D0E74" w:rsidP="00BF333B">
      <w:pPr>
        <w:spacing w:line="360" w:lineRule="auto"/>
        <w:jc w:val="both"/>
        <w:rPr>
          <w:rFonts w:ascii="Arial" w:hAnsi="Arial" w:cs="Arial"/>
          <w:bCs/>
          <w:lang w:val="es-MX"/>
        </w:rPr>
      </w:pPr>
    </w:p>
    <w:p w14:paraId="1DE63479" w14:textId="77777777" w:rsidR="00171F2F" w:rsidRPr="007A177A" w:rsidRDefault="00C27FA3" w:rsidP="00BF333B">
      <w:pPr>
        <w:spacing w:line="360" w:lineRule="auto"/>
        <w:jc w:val="both"/>
        <w:rPr>
          <w:rFonts w:ascii="Arial" w:hAnsi="Arial" w:cs="Arial"/>
          <w:b/>
          <w:bCs/>
          <w:lang w:val="es-MX"/>
        </w:rPr>
      </w:pPr>
      <w:r w:rsidRPr="007A177A">
        <w:rPr>
          <w:rFonts w:ascii="Arial" w:hAnsi="Arial" w:cs="Arial"/>
          <w:b/>
          <w:bCs/>
          <w:lang w:val="es-MX"/>
        </w:rPr>
        <w:t>7</w:t>
      </w:r>
      <w:r w:rsidR="00171F2F" w:rsidRPr="007A177A">
        <w:rPr>
          <w:rFonts w:ascii="Arial" w:hAnsi="Arial" w:cs="Arial"/>
          <w:b/>
          <w:bCs/>
          <w:lang w:val="es-MX"/>
        </w:rPr>
        <w:t xml:space="preserve">.3. Admisión del recurso de apelación </w:t>
      </w:r>
    </w:p>
    <w:p w14:paraId="2377BFCE" w14:textId="77777777" w:rsidR="00171F2F" w:rsidRPr="007A177A" w:rsidRDefault="00171F2F" w:rsidP="00BF333B">
      <w:pPr>
        <w:spacing w:line="360" w:lineRule="auto"/>
        <w:jc w:val="both"/>
        <w:rPr>
          <w:rFonts w:ascii="Arial" w:hAnsi="Arial" w:cs="Arial"/>
          <w:bCs/>
          <w:lang w:val="es-MX"/>
        </w:rPr>
      </w:pPr>
    </w:p>
    <w:p w14:paraId="4405FE01" w14:textId="77777777" w:rsidR="00A14307" w:rsidRPr="007A177A" w:rsidRDefault="00397B94" w:rsidP="00BF333B">
      <w:pPr>
        <w:spacing w:line="360" w:lineRule="auto"/>
        <w:jc w:val="both"/>
        <w:rPr>
          <w:rFonts w:ascii="Arial" w:hAnsi="Arial" w:cs="Arial"/>
          <w:bCs/>
          <w:lang w:val="es-MX"/>
        </w:rPr>
      </w:pPr>
      <w:r w:rsidRPr="007A177A">
        <w:rPr>
          <w:rFonts w:ascii="Arial" w:hAnsi="Arial" w:cs="Arial"/>
          <w:bCs/>
          <w:lang w:val="es-MX"/>
        </w:rPr>
        <w:t>Habiendo recibido el expediente en el Consejo de Estado, e</w:t>
      </w:r>
      <w:r w:rsidR="00A14307" w:rsidRPr="007A177A">
        <w:rPr>
          <w:rFonts w:ascii="Arial" w:hAnsi="Arial" w:cs="Arial"/>
          <w:bCs/>
          <w:lang w:val="es-MX"/>
        </w:rPr>
        <w:t xml:space="preserve">l recurso de apelación se admitió mediante auto del 16 de agosto de 2017. </w:t>
      </w:r>
    </w:p>
    <w:p w14:paraId="34EE40BC" w14:textId="77777777" w:rsidR="00A14307" w:rsidRPr="007A177A" w:rsidRDefault="00A14307" w:rsidP="00BF333B">
      <w:pPr>
        <w:spacing w:line="360" w:lineRule="auto"/>
        <w:jc w:val="both"/>
        <w:rPr>
          <w:rFonts w:ascii="Arial" w:hAnsi="Arial" w:cs="Arial"/>
          <w:b/>
          <w:bCs/>
          <w:lang w:val="es-MX"/>
        </w:rPr>
      </w:pPr>
    </w:p>
    <w:p w14:paraId="33363401" w14:textId="77777777" w:rsidR="009D0E50" w:rsidRPr="007A177A" w:rsidRDefault="00A06ED3" w:rsidP="00BF333B">
      <w:pPr>
        <w:spacing w:line="360" w:lineRule="auto"/>
        <w:jc w:val="both"/>
        <w:rPr>
          <w:rFonts w:ascii="Arial" w:hAnsi="Arial" w:cs="Arial"/>
          <w:b/>
          <w:bCs/>
          <w:lang w:val="es-MX"/>
        </w:rPr>
      </w:pPr>
      <w:r w:rsidRPr="007A177A">
        <w:rPr>
          <w:rFonts w:ascii="Arial" w:hAnsi="Arial" w:cs="Arial"/>
          <w:b/>
          <w:bCs/>
          <w:lang w:val="es-MX"/>
        </w:rPr>
        <w:t>8</w:t>
      </w:r>
      <w:r w:rsidR="00473EA9" w:rsidRPr="007A177A">
        <w:rPr>
          <w:rFonts w:ascii="Arial" w:hAnsi="Arial" w:cs="Arial"/>
          <w:b/>
          <w:bCs/>
          <w:lang w:val="es-MX"/>
        </w:rPr>
        <w:t>.</w:t>
      </w:r>
      <w:r w:rsidR="00E11D5F" w:rsidRPr="007A177A">
        <w:rPr>
          <w:rFonts w:ascii="Arial" w:hAnsi="Arial" w:cs="Arial"/>
          <w:b/>
          <w:bCs/>
          <w:lang w:val="es-MX"/>
        </w:rPr>
        <w:t xml:space="preserve"> </w:t>
      </w:r>
      <w:r w:rsidR="009D0E50" w:rsidRPr="007A177A">
        <w:rPr>
          <w:rFonts w:ascii="Arial" w:hAnsi="Arial" w:cs="Arial"/>
          <w:b/>
          <w:bCs/>
          <w:lang w:val="es-MX"/>
        </w:rPr>
        <w:t>Alegatos en segunda instancia</w:t>
      </w:r>
    </w:p>
    <w:p w14:paraId="4175DDAF" w14:textId="77777777" w:rsidR="009D0E50" w:rsidRPr="007A177A" w:rsidRDefault="009D0E50" w:rsidP="00BF333B">
      <w:pPr>
        <w:spacing w:line="360" w:lineRule="auto"/>
        <w:jc w:val="both"/>
        <w:rPr>
          <w:rFonts w:ascii="Arial" w:hAnsi="Arial" w:cs="Arial"/>
          <w:bCs/>
          <w:lang w:val="es-MX"/>
        </w:rPr>
      </w:pPr>
    </w:p>
    <w:p w14:paraId="61C65BD0" w14:textId="77777777" w:rsidR="004E702B" w:rsidRPr="007A177A" w:rsidRDefault="00A06ED3" w:rsidP="00BF333B">
      <w:pPr>
        <w:spacing w:line="360" w:lineRule="auto"/>
        <w:jc w:val="both"/>
        <w:rPr>
          <w:rFonts w:ascii="Arial" w:hAnsi="Arial" w:cs="Arial"/>
          <w:bCs/>
          <w:lang w:val="es-MX"/>
        </w:rPr>
      </w:pPr>
      <w:r w:rsidRPr="007A177A">
        <w:rPr>
          <w:rFonts w:ascii="Arial" w:hAnsi="Arial" w:cs="Arial"/>
          <w:b/>
          <w:bCs/>
          <w:lang w:val="es-MX"/>
        </w:rPr>
        <w:t>8</w:t>
      </w:r>
      <w:r w:rsidR="00473EA9" w:rsidRPr="007A177A">
        <w:rPr>
          <w:rFonts w:ascii="Arial" w:hAnsi="Arial" w:cs="Arial"/>
          <w:b/>
          <w:bCs/>
          <w:lang w:val="es-MX"/>
        </w:rPr>
        <w:t xml:space="preserve">.1. </w:t>
      </w:r>
      <w:r w:rsidR="009D0E50" w:rsidRPr="007A177A">
        <w:rPr>
          <w:rFonts w:ascii="Arial" w:hAnsi="Arial" w:cs="Arial"/>
          <w:bCs/>
          <w:lang w:val="es-MX"/>
        </w:rPr>
        <w:t xml:space="preserve">En la oportunidad para alegar, </w:t>
      </w:r>
      <w:r w:rsidR="0092458F" w:rsidRPr="007A177A">
        <w:rPr>
          <w:rFonts w:ascii="Arial" w:hAnsi="Arial" w:cs="Arial"/>
          <w:bCs/>
          <w:lang w:val="es-MX"/>
        </w:rPr>
        <w:t xml:space="preserve">la parte demandante indicó que el Ministerio de Transporte no </w:t>
      </w:r>
      <w:r w:rsidR="007D0AD4" w:rsidRPr="007A177A">
        <w:rPr>
          <w:rFonts w:ascii="Arial" w:hAnsi="Arial" w:cs="Arial"/>
          <w:bCs/>
          <w:lang w:val="es-MX"/>
        </w:rPr>
        <w:t xml:space="preserve">era la entidad </w:t>
      </w:r>
      <w:r w:rsidR="0092458F" w:rsidRPr="007A177A">
        <w:rPr>
          <w:rFonts w:ascii="Arial" w:hAnsi="Arial" w:cs="Arial"/>
          <w:bCs/>
          <w:lang w:val="es-MX"/>
        </w:rPr>
        <w:t>leg</w:t>
      </w:r>
      <w:r w:rsidR="00363E56" w:rsidRPr="007A177A">
        <w:rPr>
          <w:rFonts w:ascii="Arial" w:hAnsi="Arial" w:cs="Arial"/>
          <w:bCs/>
          <w:lang w:val="es-MX"/>
        </w:rPr>
        <w:t>i</w:t>
      </w:r>
      <w:r w:rsidR="0092458F" w:rsidRPr="007A177A">
        <w:rPr>
          <w:rFonts w:ascii="Arial" w:hAnsi="Arial" w:cs="Arial"/>
          <w:bCs/>
          <w:lang w:val="es-MX"/>
        </w:rPr>
        <w:t>timad</w:t>
      </w:r>
      <w:r w:rsidR="007D0AD4" w:rsidRPr="007A177A">
        <w:rPr>
          <w:rFonts w:ascii="Arial" w:hAnsi="Arial" w:cs="Arial"/>
          <w:bCs/>
          <w:lang w:val="es-MX"/>
        </w:rPr>
        <w:t>a</w:t>
      </w:r>
      <w:r w:rsidR="0092458F" w:rsidRPr="007A177A">
        <w:rPr>
          <w:rFonts w:ascii="Arial" w:hAnsi="Arial" w:cs="Arial"/>
          <w:bCs/>
          <w:lang w:val="es-MX"/>
        </w:rPr>
        <w:t xml:space="preserve"> por pasiva</w:t>
      </w:r>
      <w:r w:rsidR="00363E56" w:rsidRPr="007A177A">
        <w:rPr>
          <w:rFonts w:ascii="Arial" w:hAnsi="Arial" w:cs="Arial"/>
          <w:bCs/>
          <w:lang w:val="es-MX"/>
        </w:rPr>
        <w:t>,</w:t>
      </w:r>
      <w:r w:rsidR="0092458F" w:rsidRPr="007A177A">
        <w:rPr>
          <w:rFonts w:ascii="Arial" w:hAnsi="Arial" w:cs="Arial"/>
          <w:bCs/>
          <w:lang w:val="es-MX"/>
        </w:rPr>
        <w:t xml:space="preserve"> como pretend</w:t>
      </w:r>
      <w:r w:rsidR="00E11D5F" w:rsidRPr="007A177A">
        <w:rPr>
          <w:rFonts w:ascii="Arial" w:hAnsi="Arial" w:cs="Arial"/>
          <w:bCs/>
          <w:lang w:val="es-MX"/>
        </w:rPr>
        <w:t>ió</w:t>
      </w:r>
      <w:r w:rsidR="0092458F" w:rsidRPr="007A177A">
        <w:rPr>
          <w:rFonts w:ascii="Arial" w:hAnsi="Arial" w:cs="Arial"/>
          <w:bCs/>
          <w:lang w:val="es-MX"/>
        </w:rPr>
        <w:t xml:space="preserve"> el Invías, toda vez que </w:t>
      </w:r>
      <w:r w:rsidR="00C731E5" w:rsidRPr="007A177A">
        <w:rPr>
          <w:rFonts w:ascii="Arial" w:hAnsi="Arial" w:cs="Arial"/>
          <w:bCs/>
          <w:lang w:val="es-MX"/>
        </w:rPr>
        <w:t xml:space="preserve">el Decreto 2171 de 1992 estableció </w:t>
      </w:r>
      <w:r w:rsidR="004E702B" w:rsidRPr="007A177A">
        <w:rPr>
          <w:rFonts w:ascii="Arial" w:hAnsi="Arial" w:cs="Arial"/>
          <w:bCs/>
          <w:lang w:val="es-MX"/>
        </w:rPr>
        <w:t xml:space="preserve">las funciones y continuidad de </w:t>
      </w:r>
      <w:r w:rsidR="00C731E5" w:rsidRPr="007A177A">
        <w:rPr>
          <w:rFonts w:ascii="Arial" w:hAnsi="Arial" w:cs="Arial"/>
          <w:bCs/>
          <w:lang w:val="es-MX"/>
        </w:rPr>
        <w:t xml:space="preserve">los </w:t>
      </w:r>
      <w:r w:rsidR="004E702B" w:rsidRPr="007A177A">
        <w:rPr>
          <w:rFonts w:ascii="Arial" w:hAnsi="Arial" w:cs="Arial"/>
          <w:bCs/>
          <w:lang w:val="es-MX"/>
        </w:rPr>
        <w:t>contratos y contingencias del Fondo V</w:t>
      </w:r>
      <w:r w:rsidR="00AF5E6E" w:rsidRPr="007A177A">
        <w:rPr>
          <w:rFonts w:ascii="Arial" w:hAnsi="Arial" w:cs="Arial"/>
          <w:bCs/>
          <w:lang w:val="es-MX"/>
        </w:rPr>
        <w:t>i</w:t>
      </w:r>
      <w:r w:rsidR="004E702B" w:rsidRPr="007A177A">
        <w:rPr>
          <w:rFonts w:ascii="Arial" w:hAnsi="Arial" w:cs="Arial"/>
          <w:bCs/>
          <w:lang w:val="es-MX"/>
        </w:rPr>
        <w:t>al Nacional</w:t>
      </w:r>
      <w:r w:rsidR="007D0AD4" w:rsidRPr="007A177A">
        <w:rPr>
          <w:rFonts w:ascii="Arial" w:hAnsi="Arial" w:cs="Arial"/>
          <w:bCs/>
          <w:lang w:val="es-MX"/>
        </w:rPr>
        <w:t xml:space="preserve"> por parte del Invías</w:t>
      </w:r>
      <w:r w:rsidR="0092657A" w:rsidRPr="007A177A">
        <w:rPr>
          <w:rFonts w:ascii="Arial" w:hAnsi="Arial" w:cs="Arial"/>
          <w:bCs/>
          <w:lang w:val="es-MX"/>
        </w:rPr>
        <w:t>.</w:t>
      </w:r>
    </w:p>
    <w:p w14:paraId="11BD2138" w14:textId="77777777" w:rsidR="004E702B" w:rsidRPr="007A177A" w:rsidRDefault="004E702B" w:rsidP="00BF333B">
      <w:pPr>
        <w:spacing w:line="360" w:lineRule="auto"/>
        <w:jc w:val="both"/>
        <w:rPr>
          <w:rFonts w:ascii="Arial" w:hAnsi="Arial" w:cs="Arial"/>
          <w:bCs/>
          <w:lang w:val="es-MX"/>
        </w:rPr>
      </w:pPr>
    </w:p>
    <w:p w14:paraId="1FB00EFA" w14:textId="77777777" w:rsidR="00D653F4" w:rsidRPr="007A177A" w:rsidRDefault="004E702B" w:rsidP="00BF333B">
      <w:pPr>
        <w:spacing w:line="360" w:lineRule="auto"/>
        <w:jc w:val="both"/>
        <w:rPr>
          <w:rFonts w:ascii="Arial" w:hAnsi="Arial" w:cs="Arial"/>
          <w:bCs/>
          <w:lang w:val="es-MX"/>
        </w:rPr>
      </w:pPr>
      <w:r w:rsidRPr="007A177A">
        <w:rPr>
          <w:rFonts w:ascii="Arial" w:hAnsi="Arial" w:cs="Arial"/>
          <w:bCs/>
          <w:lang w:val="es-MX"/>
        </w:rPr>
        <w:t xml:space="preserve">Frente al retraso en impartir la orden de iniciación del contrato, afirmó que </w:t>
      </w:r>
      <w:r w:rsidR="00533650" w:rsidRPr="007A177A">
        <w:rPr>
          <w:rFonts w:ascii="Arial" w:hAnsi="Arial" w:cs="Arial"/>
          <w:bCs/>
          <w:lang w:val="es-MX"/>
        </w:rPr>
        <w:t xml:space="preserve">el reajuste </w:t>
      </w:r>
      <w:r w:rsidR="0092657A" w:rsidRPr="007A177A">
        <w:rPr>
          <w:rFonts w:ascii="Arial" w:hAnsi="Arial" w:cs="Arial"/>
          <w:bCs/>
          <w:lang w:val="es-MX"/>
        </w:rPr>
        <w:t xml:space="preserve">pactado </w:t>
      </w:r>
      <w:r w:rsidR="00533650" w:rsidRPr="007A177A">
        <w:rPr>
          <w:rFonts w:ascii="Arial" w:hAnsi="Arial" w:cs="Arial"/>
          <w:bCs/>
          <w:lang w:val="es-MX"/>
        </w:rPr>
        <w:t xml:space="preserve">solo operó </w:t>
      </w:r>
      <w:r w:rsidR="00D653F4" w:rsidRPr="007A177A">
        <w:rPr>
          <w:rFonts w:ascii="Arial" w:hAnsi="Arial" w:cs="Arial"/>
          <w:bCs/>
          <w:lang w:val="es-MX"/>
        </w:rPr>
        <w:t>entre la fecha en que se suscribió el acta de in</w:t>
      </w:r>
      <w:r w:rsidR="007D0AD4" w:rsidRPr="007A177A">
        <w:rPr>
          <w:rFonts w:ascii="Arial" w:hAnsi="Arial" w:cs="Arial"/>
          <w:bCs/>
          <w:lang w:val="es-MX"/>
        </w:rPr>
        <w:t>i</w:t>
      </w:r>
      <w:r w:rsidR="00D653F4" w:rsidRPr="007A177A">
        <w:rPr>
          <w:rFonts w:ascii="Arial" w:hAnsi="Arial" w:cs="Arial"/>
          <w:bCs/>
          <w:lang w:val="es-MX"/>
        </w:rPr>
        <w:t>cio y la</w:t>
      </w:r>
      <w:r w:rsidR="007D0AD4" w:rsidRPr="007A177A">
        <w:rPr>
          <w:rFonts w:ascii="Arial" w:hAnsi="Arial" w:cs="Arial"/>
          <w:bCs/>
          <w:lang w:val="es-MX"/>
        </w:rPr>
        <w:t xml:space="preserve"> </w:t>
      </w:r>
      <w:r w:rsidR="00D653F4" w:rsidRPr="007A177A">
        <w:rPr>
          <w:rFonts w:ascii="Arial" w:hAnsi="Arial" w:cs="Arial"/>
          <w:bCs/>
          <w:lang w:val="es-MX"/>
        </w:rPr>
        <w:t xml:space="preserve">fecha en que se iniciaron las obras. </w:t>
      </w:r>
    </w:p>
    <w:p w14:paraId="403B580C" w14:textId="77777777" w:rsidR="00BB72E6" w:rsidRPr="007A177A" w:rsidRDefault="00BB72E6" w:rsidP="00BF333B">
      <w:pPr>
        <w:spacing w:line="360" w:lineRule="auto"/>
        <w:jc w:val="both"/>
        <w:rPr>
          <w:rFonts w:ascii="Arial" w:hAnsi="Arial" w:cs="Arial"/>
          <w:bCs/>
          <w:lang w:val="es-MX"/>
        </w:rPr>
      </w:pPr>
    </w:p>
    <w:p w14:paraId="3FADAC49" w14:textId="77777777" w:rsidR="007D0AD4" w:rsidRPr="007A177A" w:rsidRDefault="00D653F4" w:rsidP="00BF333B">
      <w:pPr>
        <w:spacing w:line="360" w:lineRule="auto"/>
        <w:jc w:val="both"/>
        <w:rPr>
          <w:rFonts w:ascii="Arial" w:hAnsi="Arial" w:cs="Arial"/>
          <w:bCs/>
          <w:lang w:val="es-MX"/>
        </w:rPr>
      </w:pPr>
      <w:r w:rsidRPr="007A177A">
        <w:rPr>
          <w:rFonts w:ascii="Arial" w:hAnsi="Arial" w:cs="Arial"/>
          <w:bCs/>
          <w:lang w:val="es-MX"/>
        </w:rPr>
        <w:t>Af</w:t>
      </w:r>
      <w:r w:rsidR="007E618F" w:rsidRPr="007A177A">
        <w:rPr>
          <w:rFonts w:ascii="Arial" w:hAnsi="Arial" w:cs="Arial"/>
          <w:bCs/>
          <w:lang w:val="es-MX"/>
        </w:rPr>
        <w:t>i</w:t>
      </w:r>
      <w:r w:rsidRPr="007A177A">
        <w:rPr>
          <w:rFonts w:ascii="Arial" w:hAnsi="Arial" w:cs="Arial"/>
          <w:bCs/>
          <w:lang w:val="es-MX"/>
        </w:rPr>
        <w:t xml:space="preserve">rmó que el contrato se dio por terminado unilateralmente por falta de recursos presupuestales y no por </w:t>
      </w:r>
      <w:r w:rsidR="007D0AD4" w:rsidRPr="007A177A">
        <w:rPr>
          <w:rFonts w:ascii="Arial" w:hAnsi="Arial" w:cs="Arial"/>
          <w:bCs/>
          <w:lang w:val="es-MX"/>
        </w:rPr>
        <w:t xml:space="preserve">el </w:t>
      </w:r>
      <w:r w:rsidRPr="007A177A">
        <w:rPr>
          <w:rFonts w:ascii="Arial" w:hAnsi="Arial" w:cs="Arial"/>
          <w:bCs/>
          <w:lang w:val="es-MX"/>
        </w:rPr>
        <w:t>incumplimiento de las obligaciones de</w:t>
      </w:r>
      <w:r w:rsidR="00B73D25" w:rsidRPr="007A177A">
        <w:rPr>
          <w:rFonts w:ascii="Arial" w:hAnsi="Arial" w:cs="Arial"/>
          <w:bCs/>
          <w:lang w:val="es-MX"/>
        </w:rPr>
        <w:t xml:space="preserve">l </w:t>
      </w:r>
      <w:r w:rsidRPr="007A177A">
        <w:rPr>
          <w:rFonts w:ascii="Arial" w:hAnsi="Arial" w:cs="Arial"/>
          <w:bCs/>
          <w:lang w:val="es-MX"/>
        </w:rPr>
        <w:t xml:space="preserve">contratista. </w:t>
      </w:r>
    </w:p>
    <w:p w14:paraId="04B743E4" w14:textId="77777777" w:rsidR="007D0AD4" w:rsidRPr="007A177A" w:rsidRDefault="007D0AD4" w:rsidP="00BF333B">
      <w:pPr>
        <w:spacing w:line="360" w:lineRule="auto"/>
        <w:jc w:val="both"/>
        <w:rPr>
          <w:rFonts w:ascii="Arial" w:hAnsi="Arial" w:cs="Arial"/>
          <w:bCs/>
          <w:lang w:val="es-MX"/>
        </w:rPr>
      </w:pPr>
    </w:p>
    <w:p w14:paraId="05B42D5E" w14:textId="77777777" w:rsidR="00D653F4" w:rsidRPr="007A177A" w:rsidRDefault="00D653F4" w:rsidP="00BF333B">
      <w:pPr>
        <w:spacing w:line="360" w:lineRule="auto"/>
        <w:jc w:val="both"/>
        <w:rPr>
          <w:rFonts w:ascii="Arial" w:hAnsi="Arial" w:cs="Arial"/>
          <w:bCs/>
          <w:lang w:val="es-MX"/>
        </w:rPr>
      </w:pPr>
      <w:r w:rsidRPr="007A177A">
        <w:rPr>
          <w:rFonts w:ascii="Arial" w:hAnsi="Arial" w:cs="Arial"/>
          <w:bCs/>
          <w:lang w:val="es-MX"/>
        </w:rPr>
        <w:t>Insistió en que el tiempo de ejecución del contrato se extendió por más de 34 meses.</w:t>
      </w:r>
    </w:p>
    <w:p w14:paraId="6C3D10B7" w14:textId="77777777" w:rsidR="00D653F4" w:rsidRPr="007A177A" w:rsidRDefault="00D653F4" w:rsidP="00BF333B">
      <w:pPr>
        <w:spacing w:line="360" w:lineRule="auto"/>
        <w:jc w:val="both"/>
        <w:rPr>
          <w:rFonts w:ascii="Arial" w:hAnsi="Arial" w:cs="Arial"/>
          <w:bCs/>
          <w:lang w:val="es-MX"/>
        </w:rPr>
      </w:pPr>
    </w:p>
    <w:p w14:paraId="7DB724B4" w14:textId="77777777" w:rsidR="007E618F" w:rsidRPr="007A177A" w:rsidRDefault="007E618F" w:rsidP="00BF333B">
      <w:pPr>
        <w:spacing w:line="360" w:lineRule="auto"/>
        <w:jc w:val="both"/>
        <w:rPr>
          <w:rFonts w:ascii="Arial" w:hAnsi="Arial" w:cs="Arial"/>
          <w:bCs/>
          <w:lang w:val="es-MX"/>
        </w:rPr>
      </w:pPr>
      <w:r w:rsidRPr="007A177A">
        <w:rPr>
          <w:rFonts w:ascii="Arial" w:hAnsi="Arial" w:cs="Arial"/>
          <w:bCs/>
          <w:lang w:val="es-MX"/>
        </w:rPr>
        <w:t xml:space="preserve">Resaltó que la disponibilidad de los equipos quedó probada con la relación que </w:t>
      </w:r>
      <w:r w:rsidR="00E11D5F" w:rsidRPr="007A177A">
        <w:rPr>
          <w:rFonts w:ascii="Arial" w:hAnsi="Arial" w:cs="Arial"/>
          <w:bCs/>
          <w:lang w:val="es-MX"/>
        </w:rPr>
        <w:t xml:space="preserve">las contratistas </w:t>
      </w:r>
      <w:r w:rsidRPr="007A177A">
        <w:rPr>
          <w:rFonts w:ascii="Arial" w:hAnsi="Arial" w:cs="Arial"/>
          <w:bCs/>
          <w:lang w:val="es-MX"/>
        </w:rPr>
        <w:t>present</w:t>
      </w:r>
      <w:r w:rsidR="00E11D5F" w:rsidRPr="007A177A">
        <w:rPr>
          <w:rFonts w:ascii="Arial" w:hAnsi="Arial" w:cs="Arial"/>
          <w:bCs/>
          <w:lang w:val="es-MX"/>
        </w:rPr>
        <w:t xml:space="preserve">aron con su </w:t>
      </w:r>
      <w:r w:rsidRPr="007A177A">
        <w:rPr>
          <w:rFonts w:ascii="Arial" w:hAnsi="Arial" w:cs="Arial"/>
          <w:bCs/>
          <w:lang w:val="es-MX"/>
        </w:rPr>
        <w:t xml:space="preserve">propuesta y con los informes de visita de la inspección en sitio. </w:t>
      </w:r>
    </w:p>
    <w:p w14:paraId="760800B4" w14:textId="77777777" w:rsidR="007E618F" w:rsidRPr="007A177A" w:rsidRDefault="007E618F" w:rsidP="00BF333B">
      <w:pPr>
        <w:spacing w:line="360" w:lineRule="auto"/>
        <w:jc w:val="both"/>
        <w:rPr>
          <w:rFonts w:ascii="Arial" w:hAnsi="Arial" w:cs="Arial"/>
          <w:bCs/>
          <w:lang w:val="es-MX"/>
        </w:rPr>
      </w:pPr>
    </w:p>
    <w:p w14:paraId="2C0FE836" w14:textId="77777777" w:rsidR="007E618F" w:rsidRPr="007A177A" w:rsidRDefault="007E618F" w:rsidP="00BF333B">
      <w:pPr>
        <w:spacing w:line="360" w:lineRule="auto"/>
        <w:jc w:val="both"/>
        <w:rPr>
          <w:rFonts w:ascii="Arial" w:hAnsi="Arial" w:cs="Arial"/>
          <w:bCs/>
          <w:i/>
          <w:lang w:val="es-MX"/>
        </w:rPr>
      </w:pPr>
      <w:r w:rsidRPr="007A177A">
        <w:rPr>
          <w:rFonts w:ascii="Arial" w:hAnsi="Arial" w:cs="Arial"/>
          <w:bCs/>
          <w:lang w:val="es-MX"/>
        </w:rPr>
        <w:t xml:space="preserve">Agregó que quedó demostrado que la demora en la ejecución del </w:t>
      </w:r>
      <w:r w:rsidRPr="007A177A">
        <w:rPr>
          <w:rFonts w:ascii="Arial" w:hAnsi="Arial" w:cs="Arial"/>
          <w:bCs/>
          <w:i/>
          <w:lang w:val="es-MX"/>
        </w:rPr>
        <w:t xml:space="preserve">contrato </w:t>
      </w:r>
      <w:r w:rsidR="007D0AD4" w:rsidRPr="007A177A">
        <w:rPr>
          <w:rFonts w:ascii="Arial" w:hAnsi="Arial" w:cs="Arial"/>
          <w:bCs/>
          <w:i/>
          <w:lang w:val="es-MX"/>
        </w:rPr>
        <w:t>“</w:t>
      </w:r>
      <w:r w:rsidRPr="007A177A">
        <w:rPr>
          <w:rFonts w:ascii="Arial" w:hAnsi="Arial" w:cs="Arial"/>
          <w:bCs/>
          <w:i/>
          <w:lang w:val="es-MX"/>
        </w:rPr>
        <w:t xml:space="preserve">se debió a la falta de planeación necesaria y de recursos económicos para </w:t>
      </w:r>
      <w:r w:rsidR="007D0AD4" w:rsidRPr="007A177A">
        <w:rPr>
          <w:rFonts w:ascii="Arial" w:hAnsi="Arial" w:cs="Arial"/>
          <w:bCs/>
          <w:i/>
          <w:lang w:val="es-MX"/>
        </w:rPr>
        <w:t xml:space="preserve">su </w:t>
      </w:r>
      <w:r w:rsidRPr="007A177A">
        <w:rPr>
          <w:rFonts w:ascii="Arial" w:hAnsi="Arial" w:cs="Arial"/>
          <w:bCs/>
          <w:i/>
          <w:lang w:val="es-MX"/>
        </w:rPr>
        <w:t>financiación, atribuibles a la entidad contrat</w:t>
      </w:r>
      <w:r w:rsidR="007D0AD4" w:rsidRPr="007A177A">
        <w:rPr>
          <w:rFonts w:ascii="Arial" w:hAnsi="Arial" w:cs="Arial"/>
          <w:bCs/>
          <w:i/>
          <w:lang w:val="es-MX"/>
        </w:rPr>
        <w:t>ista</w:t>
      </w:r>
      <w:r w:rsidRPr="007A177A">
        <w:rPr>
          <w:rFonts w:ascii="Arial" w:hAnsi="Arial" w:cs="Arial"/>
          <w:bCs/>
          <w:i/>
          <w:lang w:val="es-MX"/>
        </w:rPr>
        <w:t>”.</w:t>
      </w:r>
    </w:p>
    <w:p w14:paraId="794C2BF7" w14:textId="77777777" w:rsidR="007D0AD4" w:rsidRPr="007A177A" w:rsidRDefault="007D0AD4" w:rsidP="00BF333B">
      <w:pPr>
        <w:spacing w:line="360" w:lineRule="auto"/>
        <w:jc w:val="both"/>
        <w:rPr>
          <w:rFonts w:ascii="Arial" w:hAnsi="Arial" w:cs="Arial"/>
          <w:bCs/>
          <w:lang w:val="es-MX"/>
        </w:rPr>
      </w:pPr>
    </w:p>
    <w:p w14:paraId="7A3FA674" w14:textId="77777777" w:rsidR="00E11D5F" w:rsidRPr="007A177A" w:rsidRDefault="00E11D5F" w:rsidP="00BF333B">
      <w:pPr>
        <w:spacing w:line="360" w:lineRule="auto"/>
        <w:jc w:val="both"/>
        <w:rPr>
          <w:rFonts w:ascii="Arial" w:hAnsi="Arial" w:cs="Arial"/>
          <w:bCs/>
          <w:lang w:val="es-MX"/>
        </w:rPr>
      </w:pPr>
      <w:r w:rsidRPr="007A177A">
        <w:rPr>
          <w:rFonts w:ascii="Arial" w:hAnsi="Arial" w:cs="Arial"/>
          <w:bCs/>
          <w:lang w:val="es-MX"/>
        </w:rPr>
        <w:t>Solicitó confirmar la sentencia de primera instancia.</w:t>
      </w:r>
    </w:p>
    <w:p w14:paraId="76E19691" w14:textId="77777777" w:rsidR="00E11D5F" w:rsidRPr="007A177A" w:rsidRDefault="00E11D5F" w:rsidP="00BF333B">
      <w:pPr>
        <w:spacing w:line="360" w:lineRule="auto"/>
        <w:jc w:val="both"/>
        <w:rPr>
          <w:rFonts w:ascii="Arial" w:hAnsi="Arial" w:cs="Arial"/>
          <w:bCs/>
          <w:lang w:val="es-MX"/>
        </w:rPr>
      </w:pPr>
    </w:p>
    <w:p w14:paraId="475A1E34" w14:textId="77777777" w:rsidR="00E11D5F" w:rsidRPr="007A177A" w:rsidRDefault="00A06ED3" w:rsidP="00BF333B">
      <w:pPr>
        <w:spacing w:line="360" w:lineRule="auto"/>
        <w:jc w:val="both"/>
        <w:rPr>
          <w:rFonts w:ascii="Arial" w:hAnsi="Arial" w:cs="Arial"/>
          <w:bCs/>
          <w:lang w:val="es-MX"/>
        </w:rPr>
      </w:pPr>
      <w:r w:rsidRPr="007A177A">
        <w:rPr>
          <w:rFonts w:ascii="Arial" w:hAnsi="Arial" w:cs="Arial"/>
          <w:b/>
          <w:bCs/>
          <w:lang w:val="es-MX"/>
        </w:rPr>
        <w:t>8</w:t>
      </w:r>
      <w:r w:rsidR="00473EA9" w:rsidRPr="007A177A">
        <w:rPr>
          <w:rFonts w:ascii="Arial" w:hAnsi="Arial" w:cs="Arial"/>
          <w:b/>
          <w:bCs/>
          <w:lang w:val="es-MX"/>
        </w:rPr>
        <w:t>.2.</w:t>
      </w:r>
      <w:r w:rsidR="00E11D5F" w:rsidRPr="007A177A">
        <w:rPr>
          <w:rFonts w:ascii="Arial" w:hAnsi="Arial" w:cs="Arial"/>
          <w:bCs/>
          <w:lang w:val="es-MX"/>
        </w:rPr>
        <w:t xml:space="preserve"> La parte demandada guard</w:t>
      </w:r>
      <w:r w:rsidR="0092657A" w:rsidRPr="007A177A">
        <w:rPr>
          <w:rFonts w:ascii="Arial" w:hAnsi="Arial" w:cs="Arial"/>
          <w:bCs/>
          <w:lang w:val="es-MX"/>
        </w:rPr>
        <w:t>ó</w:t>
      </w:r>
      <w:r w:rsidR="00E11D5F" w:rsidRPr="007A177A">
        <w:rPr>
          <w:rFonts w:ascii="Arial" w:hAnsi="Arial" w:cs="Arial"/>
          <w:bCs/>
          <w:lang w:val="es-MX"/>
        </w:rPr>
        <w:t xml:space="preserve"> silencio en la oportunidad para alegar.</w:t>
      </w:r>
    </w:p>
    <w:p w14:paraId="67458F86" w14:textId="77777777" w:rsidR="007A68EA" w:rsidRPr="007A177A" w:rsidRDefault="007A68EA" w:rsidP="00BF333B">
      <w:pPr>
        <w:spacing w:line="360" w:lineRule="auto"/>
        <w:jc w:val="both"/>
        <w:rPr>
          <w:rFonts w:ascii="Arial" w:hAnsi="Arial" w:cs="Arial"/>
          <w:bCs/>
          <w:lang w:val="es-MX"/>
        </w:rPr>
      </w:pPr>
    </w:p>
    <w:p w14:paraId="729FF153" w14:textId="77777777" w:rsidR="00905782" w:rsidRPr="007A177A" w:rsidRDefault="00A06ED3" w:rsidP="00BF333B">
      <w:pPr>
        <w:spacing w:line="360" w:lineRule="auto"/>
        <w:jc w:val="both"/>
        <w:rPr>
          <w:rFonts w:ascii="Arial" w:hAnsi="Arial" w:cs="Arial"/>
          <w:bCs/>
          <w:lang w:val="es-MX"/>
        </w:rPr>
      </w:pPr>
      <w:r w:rsidRPr="007A177A">
        <w:rPr>
          <w:rFonts w:ascii="Arial" w:hAnsi="Arial" w:cs="Arial"/>
          <w:b/>
          <w:bCs/>
          <w:lang w:val="es-MX"/>
        </w:rPr>
        <w:lastRenderedPageBreak/>
        <w:t>8</w:t>
      </w:r>
      <w:r w:rsidR="00473EA9" w:rsidRPr="007A177A">
        <w:rPr>
          <w:rFonts w:ascii="Arial" w:hAnsi="Arial" w:cs="Arial"/>
          <w:b/>
          <w:bCs/>
          <w:lang w:val="es-MX"/>
        </w:rPr>
        <w:t xml:space="preserve">.3. </w:t>
      </w:r>
      <w:r w:rsidR="009D0E50" w:rsidRPr="007A177A">
        <w:rPr>
          <w:rFonts w:ascii="Arial" w:hAnsi="Arial" w:cs="Arial"/>
          <w:bCs/>
          <w:lang w:val="es-MX"/>
        </w:rPr>
        <w:t xml:space="preserve">El </w:t>
      </w:r>
      <w:r w:rsidR="009D0E50" w:rsidRPr="007A177A">
        <w:rPr>
          <w:rFonts w:ascii="Arial" w:hAnsi="Arial" w:cs="Arial"/>
          <w:b/>
          <w:bCs/>
          <w:lang w:val="es-MX"/>
        </w:rPr>
        <w:t>Ministerio Público</w:t>
      </w:r>
      <w:r w:rsidR="009D0E50" w:rsidRPr="007A177A">
        <w:rPr>
          <w:rFonts w:ascii="Arial" w:hAnsi="Arial" w:cs="Arial"/>
          <w:bCs/>
          <w:lang w:val="es-MX"/>
        </w:rPr>
        <w:t xml:space="preserve"> emitió concepto en la segunda instancia, estimó que </w:t>
      </w:r>
      <w:r w:rsidR="00905782" w:rsidRPr="007A177A">
        <w:rPr>
          <w:rFonts w:ascii="Arial" w:hAnsi="Arial" w:cs="Arial"/>
          <w:bCs/>
          <w:lang w:val="es-MX"/>
        </w:rPr>
        <w:t xml:space="preserve">sí se encontró probado </w:t>
      </w:r>
      <w:r w:rsidR="0092657A" w:rsidRPr="007A177A">
        <w:rPr>
          <w:rFonts w:ascii="Arial" w:hAnsi="Arial" w:cs="Arial"/>
          <w:bCs/>
          <w:lang w:val="es-MX"/>
        </w:rPr>
        <w:t xml:space="preserve">que </w:t>
      </w:r>
      <w:r w:rsidR="00905782" w:rsidRPr="007A177A">
        <w:rPr>
          <w:rFonts w:ascii="Arial" w:hAnsi="Arial" w:cs="Arial"/>
          <w:bCs/>
          <w:lang w:val="es-MX"/>
        </w:rPr>
        <w:t>el INV</w:t>
      </w:r>
      <w:r w:rsidR="00BF7CD4" w:rsidRPr="007A177A">
        <w:rPr>
          <w:rFonts w:ascii="Arial" w:hAnsi="Arial" w:cs="Arial"/>
          <w:bCs/>
          <w:lang w:val="es-MX"/>
        </w:rPr>
        <w:t>Í</w:t>
      </w:r>
      <w:r w:rsidR="00905782" w:rsidRPr="007A177A">
        <w:rPr>
          <w:rFonts w:ascii="Arial" w:hAnsi="Arial" w:cs="Arial"/>
          <w:bCs/>
          <w:lang w:val="es-MX"/>
        </w:rPr>
        <w:t>AS incumplió en la fijación de nuevos precios unitarios y que se presentó una variación del 25%</w:t>
      </w:r>
      <w:r w:rsidR="00AF5E6E" w:rsidRPr="007A177A">
        <w:rPr>
          <w:rFonts w:ascii="Arial" w:hAnsi="Arial" w:cs="Arial"/>
          <w:bCs/>
          <w:lang w:val="es-MX"/>
        </w:rPr>
        <w:t xml:space="preserve"> </w:t>
      </w:r>
      <w:r w:rsidR="001F258C" w:rsidRPr="007A177A">
        <w:rPr>
          <w:rFonts w:ascii="Arial" w:hAnsi="Arial" w:cs="Arial"/>
          <w:bCs/>
          <w:lang w:val="es-MX"/>
        </w:rPr>
        <w:t xml:space="preserve">en </w:t>
      </w:r>
      <w:r w:rsidR="00D06FA5" w:rsidRPr="007A177A">
        <w:rPr>
          <w:rFonts w:ascii="Arial" w:hAnsi="Arial" w:cs="Arial"/>
          <w:bCs/>
          <w:lang w:val="es-MX"/>
        </w:rPr>
        <w:t>las cantidades</w:t>
      </w:r>
      <w:r w:rsidR="001F258C" w:rsidRPr="007A177A">
        <w:rPr>
          <w:rFonts w:ascii="Arial" w:hAnsi="Arial" w:cs="Arial"/>
          <w:bCs/>
          <w:lang w:val="es-MX"/>
        </w:rPr>
        <w:t>, lo</w:t>
      </w:r>
      <w:r w:rsidR="00D06FA5" w:rsidRPr="007A177A">
        <w:rPr>
          <w:rFonts w:ascii="Arial" w:hAnsi="Arial" w:cs="Arial"/>
          <w:bCs/>
          <w:lang w:val="es-MX"/>
        </w:rPr>
        <w:t xml:space="preserve"> </w:t>
      </w:r>
      <w:r w:rsidR="00AF5E6E" w:rsidRPr="007A177A">
        <w:rPr>
          <w:rFonts w:ascii="Arial" w:hAnsi="Arial" w:cs="Arial"/>
          <w:bCs/>
          <w:lang w:val="es-MX"/>
        </w:rPr>
        <w:t>que le generó</w:t>
      </w:r>
      <w:r w:rsidR="00905782" w:rsidRPr="007A177A">
        <w:rPr>
          <w:rFonts w:ascii="Arial" w:hAnsi="Arial" w:cs="Arial"/>
          <w:bCs/>
          <w:lang w:val="es-MX"/>
        </w:rPr>
        <w:t xml:space="preserve"> un </w:t>
      </w:r>
      <w:r w:rsidR="007E155D" w:rsidRPr="007A177A">
        <w:rPr>
          <w:rFonts w:ascii="Arial" w:hAnsi="Arial" w:cs="Arial"/>
          <w:bCs/>
          <w:i/>
          <w:iCs/>
          <w:lang w:val="es-MX"/>
        </w:rPr>
        <w:t>“</w:t>
      </w:r>
      <w:r w:rsidR="00905782" w:rsidRPr="007A177A">
        <w:rPr>
          <w:rFonts w:ascii="Arial" w:hAnsi="Arial" w:cs="Arial"/>
          <w:bCs/>
          <w:i/>
          <w:iCs/>
          <w:lang w:val="es-MX"/>
        </w:rPr>
        <w:t>notorio desequilibrio económico del contrato</w:t>
      </w:r>
      <w:r w:rsidR="007E155D" w:rsidRPr="007A177A">
        <w:rPr>
          <w:rFonts w:ascii="Arial" w:hAnsi="Arial" w:cs="Arial"/>
          <w:bCs/>
          <w:i/>
          <w:iCs/>
          <w:lang w:val="es-MX"/>
        </w:rPr>
        <w:t>”</w:t>
      </w:r>
      <w:r w:rsidR="007E155D" w:rsidRPr="007A177A">
        <w:rPr>
          <w:rStyle w:val="Refdenotaalpie"/>
          <w:rFonts w:ascii="Arial" w:hAnsi="Arial" w:cs="Arial"/>
          <w:bCs/>
          <w:lang w:val="es-MX"/>
        </w:rPr>
        <w:footnoteReference w:id="35"/>
      </w:r>
      <w:r w:rsidR="00D06FA5" w:rsidRPr="007A177A">
        <w:rPr>
          <w:rFonts w:ascii="Arial" w:hAnsi="Arial" w:cs="Arial"/>
          <w:bCs/>
          <w:i/>
          <w:iCs/>
          <w:lang w:val="es-MX"/>
        </w:rPr>
        <w:t xml:space="preserve"> </w:t>
      </w:r>
      <w:r w:rsidR="00D06FA5" w:rsidRPr="007A177A">
        <w:rPr>
          <w:rFonts w:ascii="Arial" w:hAnsi="Arial" w:cs="Arial"/>
          <w:bCs/>
          <w:iCs/>
          <w:lang w:val="es-MX"/>
        </w:rPr>
        <w:t>a las contratistas</w:t>
      </w:r>
      <w:r w:rsidR="007E155D" w:rsidRPr="007A177A">
        <w:rPr>
          <w:rFonts w:ascii="Arial" w:hAnsi="Arial" w:cs="Arial"/>
          <w:bCs/>
          <w:lang w:val="es-MX"/>
        </w:rPr>
        <w:t>,</w:t>
      </w:r>
      <w:r w:rsidR="00905782" w:rsidRPr="007A177A">
        <w:rPr>
          <w:rFonts w:ascii="Arial" w:hAnsi="Arial" w:cs="Arial"/>
          <w:bCs/>
          <w:lang w:val="es-MX"/>
        </w:rPr>
        <w:t xml:space="preserve"> por lo cual estimó que la sentencia de primera instancia deb</w:t>
      </w:r>
      <w:r w:rsidR="0092657A" w:rsidRPr="007A177A">
        <w:rPr>
          <w:rFonts w:ascii="Arial" w:hAnsi="Arial" w:cs="Arial"/>
          <w:bCs/>
          <w:lang w:val="es-MX"/>
        </w:rPr>
        <w:t xml:space="preserve">ía </w:t>
      </w:r>
      <w:r w:rsidR="00905782" w:rsidRPr="007A177A">
        <w:rPr>
          <w:rFonts w:ascii="Arial" w:hAnsi="Arial" w:cs="Arial"/>
          <w:bCs/>
          <w:lang w:val="es-MX"/>
        </w:rPr>
        <w:t>ser confirmada.</w:t>
      </w:r>
    </w:p>
    <w:p w14:paraId="1E20164F" w14:textId="77777777" w:rsidR="00D06FA5" w:rsidRPr="007A177A" w:rsidRDefault="00D06FA5" w:rsidP="00BF333B">
      <w:pPr>
        <w:pStyle w:val="Lista"/>
        <w:spacing w:line="360" w:lineRule="auto"/>
        <w:jc w:val="both"/>
        <w:rPr>
          <w:b/>
          <w:sz w:val="24"/>
          <w:szCs w:val="24"/>
        </w:rPr>
      </w:pPr>
    </w:p>
    <w:p w14:paraId="500485ED" w14:textId="77777777" w:rsidR="009D0E50" w:rsidRPr="007A177A" w:rsidRDefault="009D0E50" w:rsidP="00BF333B">
      <w:pPr>
        <w:pStyle w:val="Lista"/>
        <w:spacing w:line="360" w:lineRule="auto"/>
        <w:jc w:val="center"/>
        <w:rPr>
          <w:b/>
          <w:sz w:val="24"/>
          <w:szCs w:val="24"/>
        </w:rPr>
      </w:pPr>
      <w:r w:rsidRPr="007A177A">
        <w:rPr>
          <w:b/>
          <w:sz w:val="24"/>
          <w:szCs w:val="24"/>
        </w:rPr>
        <w:t>II.</w:t>
      </w:r>
      <w:r w:rsidRPr="007A177A">
        <w:rPr>
          <w:b/>
          <w:sz w:val="24"/>
          <w:szCs w:val="24"/>
        </w:rPr>
        <w:tab/>
        <w:t>C O N S I D E R A C I O N E S</w:t>
      </w:r>
    </w:p>
    <w:p w14:paraId="5892BBE6" w14:textId="77777777" w:rsidR="009D0E50" w:rsidRPr="007A177A" w:rsidRDefault="009D0E50" w:rsidP="00BF333B">
      <w:pPr>
        <w:spacing w:line="360" w:lineRule="auto"/>
        <w:jc w:val="both"/>
        <w:rPr>
          <w:rFonts w:ascii="Arial" w:hAnsi="Arial" w:cs="Arial"/>
          <w:b/>
        </w:rPr>
      </w:pPr>
    </w:p>
    <w:p w14:paraId="103F487D" w14:textId="77777777" w:rsidR="009D0E50" w:rsidRPr="007A177A" w:rsidRDefault="009D0E50" w:rsidP="00BF333B">
      <w:pPr>
        <w:pStyle w:val="Textoindependiente"/>
        <w:widowControl w:val="0"/>
        <w:spacing w:line="360" w:lineRule="auto"/>
        <w:ind w:right="-1"/>
        <w:jc w:val="both"/>
        <w:rPr>
          <w:rFonts w:cs="Arial"/>
          <w:sz w:val="24"/>
          <w:szCs w:val="24"/>
        </w:rPr>
      </w:pPr>
      <w:r w:rsidRPr="007A177A">
        <w:rPr>
          <w:rFonts w:cs="Arial"/>
          <w:sz w:val="24"/>
          <w:szCs w:val="24"/>
        </w:rPr>
        <w:t xml:space="preserve">Para resolver la presente </w:t>
      </w:r>
      <w:r w:rsidRPr="007A177A">
        <w:rPr>
          <w:rFonts w:cs="Arial"/>
          <w:i/>
          <w:sz w:val="24"/>
          <w:szCs w:val="24"/>
        </w:rPr>
        <w:t>litis</w:t>
      </w:r>
      <w:r w:rsidRPr="007A177A">
        <w:rPr>
          <w:rFonts w:cs="Arial"/>
          <w:sz w:val="24"/>
          <w:szCs w:val="24"/>
        </w:rPr>
        <w:t xml:space="preserve"> se abordarán los siguientes temas: </w:t>
      </w:r>
      <w:r w:rsidRPr="007A177A">
        <w:rPr>
          <w:rFonts w:cs="Arial"/>
          <w:b/>
          <w:sz w:val="24"/>
          <w:szCs w:val="24"/>
        </w:rPr>
        <w:t>1)</w:t>
      </w:r>
      <w:r w:rsidRPr="007A177A">
        <w:rPr>
          <w:rFonts w:cs="Arial"/>
          <w:sz w:val="24"/>
          <w:szCs w:val="24"/>
        </w:rPr>
        <w:t xml:space="preserve"> jurisdicción y competencia del Consejo de Estado; </w:t>
      </w:r>
      <w:r w:rsidRPr="007A177A">
        <w:rPr>
          <w:rFonts w:cs="Arial"/>
          <w:b/>
          <w:sz w:val="24"/>
          <w:szCs w:val="24"/>
        </w:rPr>
        <w:t>2)</w:t>
      </w:r>
      <w:r w:rsidRPr="007A177A">
        <w:rPr>
          <w:rFonts w:cs="Arial"/>
          <w:sz w:val="24"/>
          <w:szCs w:val="24"/>
        </w:rPr>
        <w:t xml:space="preserve"> </w:t>
      </w:r>
      <w:r w:rsidR="0092657A" w:rsidRPr="007A177A">
        <w:rPr>
          <w:rFonts w:cs="Arial"/>
          <w:sz w:val="24"/>
          <w:szCs w:val="24"/>
        </w:rPr>
        <w:t>oportunidad en</w:t>
      </w:r>
      <w:r w:rsidR="00C52780" w:rsidRPr="007A177A">
        <w:rPr>
          <w:rFonts w:cs="Arial"/>
          <w:sz w:val="24"/>
          <w:szCs w:val="24"/>
        </w:rPr>
        <w:t xml:space="preserve"> </w:t>
      </w:r>
      <w:r w:rsidR="0092657A" w:rsidRPr="007A177A">
        <w:rPr>
          <w:rFonts w:cs="Arial"/>
          <w:sz w:val="24"/>
          <w:szCs w:val="24"/>
        </w:rPr>
        <w:t>la presentación de la demanda</w:t>
      </w:r>
      <w:r w:rsidR="00C07961" w:rsidRPr="007A177A">
        <w:rPr>
          <w:rFonts w:cs="Arial"/>
          <w:sz w:val="24"/>
          <w:szCs w:val="24"/>
        </w:rPr>
        <w:t xml:space="preserve"> - </w:t>
      </w:r>
      <w:r w:rsidR="00C07961" w:rsidRPr="007A177A">
        <w:rPr>
          <w:rFonts w:cs="Arial"/>
          <w:color w:val="000000"/>
          <w:sz w:val="24"/>
          <w:szCs w:val="24"/>
        </w:rPr>
        <w:t>aplica el término de prescripción de 20 años a partir de la terminación del contrato – Decreto 528 de 1964</w:t>
      </w:r>
      <w:r w:rsidRPr="007A177A">
        <w:rPr>
          <w:rFonts w:cs="Arial"/>
          <w:sz w:val="24"/>
          <w:szCs w:val="24"/>
        </w:rPr>
        <w:t xml:space="preserve">; </w:t>
      </w:r>
      <w:r w:rsidRPr="007A177A">
        <w:rPr>
          <w:rFonts w:cs="Arial"/>
          <w:b/>
          <w:sz w:val="24"/>
          <w:szCs w:val="24"/>
        </w:rPr>
        <w:t>3)</w:t>
      </w:r>
      <w:r w:rsidRPr="007A177A">
        <w:rPr>
          <w:rFonts w:cs="Arial"/>
          <w:sz w:val="24"/>
          <w:szCs w:val="24"/>
        </w:rPr>
        <w:t xml:space="preserve"> legitimación </w:t>
      </w:r>
      <w:r w:rsidR="0092657A" w:rsidRPr="007A177A">
        <w:rPr>
          <w:rFonts w:cs="Arial"/>
          <w:sz w:val="24"/>
          <w:szCs w:val="24"/>
        </w:rPr>
        <w:t>por pasiva</w:t>
      </w:r>
      <w:r w:rsidRPr="007A177A">
        <w:rPr>
          <w:rFonts w:cs="Arial"/>
          <w:sz w:val="24"/>
          <w:szCs w:val="24"/>
        </w:rPr>
        <w:t xml:space="preserve">; </w:t>
      </w:r>
      <w:r w:rsidRPr="007A177A">
        <w:rPr>
          <w:rFonts w:cs="Arial"/>
          <w:b/>
          <w:sz w:val="24"/>
          <w:szCs w:val="24"/>
        </w:rPr>
        <w:t>4)</w:t>
      </w:r>
      <w:r w:rsidRPr="007A177A">
        <w:rPr>
          <w:rFonts w:cs="Arial"/>
          <w:bCs/>
          <w:color w:val="000000"/>
          <w:sz w:val="24"/>
          <w:szCs w:val="24"/>
        </w:rPr>
        <w:t xml:space="preserve"> </w:t>
      </w:r>
      <w:r w:rsidR="00C52780" w:rsidRPr="007A177A">
        <w:rPr>
          <w:rFonts w:cs="Arial"/>
          <w:bCs/>
          <w:color w:val="000000"/>
          <w:sz w:val="24"/>
          <w:szCs w:val="24"/>
        </w:rPr>
        <w:t xml:space="preserve">acción pertinente </w:t>
      </w:r>
      <w:r w:rsidR="00D525BD" w:rsidRPr="007A177A">
        <w:rPr>
          <w:rFonts w:cs="Arial"/>
          <w:bCs/>
          <w:color w:val="000000"/>
          <w:sz w:val="24"/>
          <w:szCs w:val="24"/>
        </w:rPr>
        <w:t xml:space="preserve">frente a las </w:t>
      </w:r>
      <w:r w:rsidR="00C52780" w:rsidRPr="007A177A">
        <w:rPr>
          <w:rFonts w:cs="Arial"/>
          <w:bCs/>
          <w:color w:val="000000"/>
          <w:sz w:val="24"/>
          <w:szCs w:val="24"/>
        </w:rPr>
        <w:t xml:space="preserve">pretensiones de la demandante; </w:t>
      </w:r>
      <w:r w:rsidR="003850D9" w:rsidRPr="007A177A">
        <w:rPr>
          <w:rFonts w:cs="Arial"/>
          <w:b/>
          <w:color w:val="000000"/>
          <w:sz w:val="24"/>
          <w:szCs w:val="24"/>
        </w:rPr>
        <w:t>5)</w:t>
      </w:r>
      <w:r w:rsidR="0092657A" w:rsidRPr="007A177A">
        <w:rPr>
          <w:rFonts w:cs="Arial"/>
          <w:b/>
          <w:color w:val="000000"/>
          <w:sz w:val="24"/>
          <w:szCs w:val="24"/>
        </w:rPr>
        <w:t xml:space="preserve"> </w:t>
      </w:r>
      <w:r w:rsidR="00C52780" w:rsidRPr="007A177A">
        <w:rPr>
          <w:rFonts w:cs="Arial"/>
          <w:bCs/>
          <w:color w:val="000000"/>
          <w:sz w:val="24"/>
          <w:szCs w:val="24"/>
        </w:rPr>
        <w:t>r</w:t>
      </w:r>
      <w:r w:rsidR="0092657A" w:rsidRPr="007A177A">
        <w:rPr>
          <w:rFonts w:cs="Arial"/>
          <w:bCs/>
          <w:sz w:val="24"/>
          <w:szCs w:val="24"/>
        </w:rPr>
        <w:t>eglas de interpretación del contrato y tasas de interés aplicables;</w:t>
      </w:r>
      <w:r w:rsidRPr="007A177A">
        <w:rPr>
          <w:rFonts w:cs="Arial"/>
          <w:color w:val="000000"/>
          <w:sz w:val="24"/>
          <w:szCs w:val="24"/>
        </w:rPr>
        <w:t xml:space="preserve"> </w:t>
      </w:r>
      <w:r w:rsidR="00937F5A" w:rsidRPr="007A177A">
        <w:rPr>
          <w:rFonts w:cs="Arial"/>
          <w:b/>
          <w:bCs/>
          <w:color w:val="000000"/>
          <w:sz w:val="24"/>
          <w:szCs w:val="24"/>
        </w:rPr>
        <w:t>6</w:t>
      </w:r>
      <w:r w:rsidR="00243F0E" w:rsidRPr="007A177A">
        <w:rPr>
          <w:rFonts w:cs="Arial"/>
          <w:b/>
          <w:bCs/>
          <w:color w:val="000000"/>
          <w:sz w:val="24"/>
          <w:szCs w:val="24"/>
        </w:rPr>
        <w:t>)</w:t>
      </w:r>
      <w:r w:rsidR="00243F0E" w:rsidRPr="007A177A">
        <w:rPr>
          <w:rFonts w:cs="Arial"/>
          <w:color w:val="000000"/>
          <w:sz w:val="24"/>
          <w:szCs w:val="24"/>
        </w:rPr>
        <w:t xml:space="preserve"> el plazo para el pago</w:t>
      </w:r>
      <w:r w:rsidR="00C07961" w:rsidRPr="007A177A">
        <w:rPr>
          <w:rFonts w:cs="Arial"/>
          <w:color w:val="000000"/>
          <w:sz w:val="24"/>
          <w:szCs w:val="24"/>
        </w:rPr>
        <w:t xml:space="preserve"> de las actas de obra; </w:t>
      </w:r>
      <w:r w:rsidR="00937F5A" w:rsidRPr="007A177A">
        <w:rPr>
          <w:rFonts w:cs="Arial"/>
          <w:b/>
          <w:bCs/>
          <w:color w:val="000000"/>
          <w:sz w:val="24"/>
          <w:szCs w:val="24"/>
        </w:rPr>
        <w:t>7</w:t>
      </w:r>
      <w:r w:rsidR="00C07961" w:rsidRPr="007A177A">
        <w:rPr>
          <w:rFonts w:cs="Arial"/>
          <w:b/>
          <w:bCs/>
          <w:color w:val="000000"/>
          <w:sz w:val="24"/>
          <w:szCs w:val="24"/>
        </w:rPr>
        <w:t>)</w:t>
      </w:r>
      <w:r w:rsidR="00C07961" w:rsidRPr="007A177A">
        <w:rPr>
          <w:rFonts w:cs="Arial"/>
          <w:b/>
          <w:sz w:val="24"/>
          <w:szCs w:val="24"/>
        </w:rPr>
        <w:t xml:space="preserve"> </w:t>
      </w:r>
      <w:r w:rsidR="00C07961" w:rsidRPr="007A177A">
        <w:rPr>
          <w:rFonts w:cs="Arial"/>
          <w:bCs/>
          <w:sz w:val="24"/>
          <w:szCs w:val="24"/>
        </w:rPr>
        <w:t>casos en que no procede la aplicación supletiva del artículo 885 del Código de Comercio –</w:t>
      </w:r>
      <w:r w:rsidR="00D06FA5" w:rsidRPr="007A177A">
        <w:rPr>
          <w:rFonts w:cs="Arial"/>
          <w:bCs/>
          <w:sz w:val="24"/>
          <w:szCs w:val="24"/>
        </w:rPr>
        <w:t xml:space="preserve"> observancia </w:t>
      </w:r>
      <w:r w:rsidR="00C07961" w:rsidRPr="007A177A">
        <w:rPr>
          <w:rFonts w:cs="Arial"/>
          <w:bCs/>
          <w:sz w:val="24"/>
          <w:szCs w:val="24"/>
        </w:rPr>
        <w:t>del plazo mensual de acuerdo con el flujo financiero programado</w:t>
      </w:r>
      <w:r w:rsidR="00243F0E" w:rsidRPr="007A177A">
        <w:rPr>
          <w:rFonts w:cs="Arial"/>
          <w:color w:val="000000"/>
          <w:sz w:val="24"/>
          <w:szCs w:val="24"/>
        </w:rPr>
        <w:t xml:space="preserve">; </w:t>
      </w:r>
      <w:r w:rsidR="00503F01" w:rsidRPr="007A177A">
        <w:rPr>
          <w:rFonts w:cs="Arial"/>
          <w:b/>
          <w:bCs/>
          <w:color w:val="000000"/>
          <w:sz w:val="24"/>
          <w:szCs w:val="24"/>
        </w:rPr>
        <w:t>8</w:t>
      </w:r>
      <w:r w:rsidRPr="007A177A">
        <w:rPr>
          <w:rFonts w:cs="Arial"/>
          <w:b/>
          <w:bCs/>
          <w:sz w:val="24"/>
          <w:szCs w:val="24"/>
        </w:rPr>
        <w:t xml:space="preserve">) </w:t>
      </w:r>
      <w:r w:rsidR="00D0439B" w:rsidRPr="007A177A">
        <w:rPr>
          <w:rFonts w:cs="Arial"/>
          <w:sz w:val="24"/>
          <w:szCs w:val="24"/>
        </w:rPr>
        <w:t>las pruebas aportadas al proceso;</w:t>
      </w:r>
      <w:r w:rsidR="00D0439B" w:rsidRPr="007A177A">
        <w:rPr>
          <w:rFonts w:cs="Arial"/>
          <w:b/>
          <w:bCs/>
          <w:sz w:val="24"/>
          <w:szCs w:val="24"/>
        </w:rPr>
        <w:t xml:space="preserve"> </w:t>
      </w:r>
      <w:r w:rsidR="00503F01" w:rsidRPr="007A177A">
        <w:rPr>
          <w:rFonts w:cs="Arial"/>
          <w:b/>
          <w:bCs/>
          <w:sz w:val="24"/>
          <w:szCs w:val="24"/>
        </w:rPr>
        <w:t>9</w:t>
      </w:r>
      <w:r w:rsidR="00D0439B" w:rsidRPr="007A177A">
        <w:rPr>
          <w:rFonts w:cs="Arial"/>
          <w:b/>
          <w:bCs/>
          <w:sz w:val="24"/>
          <w:szCs w:val="24"/>
        </w:rPr>
        <w:t xml:space="preserve">) </w:t>
      </w:r>
      <w:r w:rsidRPr="007A177A">
        <w:rPr>
          <w:rFonts w:cs="Arial"/>
          <w:sz w:val="24"/>
          <w:szCs w:val="24"/>
        </w:rPr>
        <w:t xml:space="preserve">el caso concreto </w:t>
      </w:r>
      <w:r w:rsidR="00C52780" w:rsidRPr="007A177A">
        <w:rPr>
          <w:rFonts w:cs="Arial"/>
          <w:sz w:val="24"/>
          <w:szCs w:val="24"/>
        </w:rPr>
        <w:t>y</w:t>
      </w:r>
      <w:r w:rsidR="00C07961" w:rsidRPr="007A177A">
        <w:rPr>
          <w:rFonts w:cs="Arial"/>
          <w:sz w:val="24"/>
          <w:szCs w:val="24"/>
        </w:rPr>
        <w:t>,</w:t>
      </w:r>
      <w:r w:rsidR="00C52780" w:rsidRPr="007A177A">
        <w:rPr>
          <w:rFonts w:cs="Arial"/>
          <w:sz w:val="24"/>
          <w:szCs w:val="24"/>
        </w:rPr>
        <w:t xml:space="preserve"> </w:t>
      </w:r>
      <w:r w:rsidR="003850D9" w:rsidRPr="007A177A">
        <w:rPr>
          <w:rFonts w:cs="Arial"/>
          <w:b/>
          <w:bCs/>
          <w:sz w:val="24"/>
          <w:szCs w:val="24"/>
        </w:rPr>
        <w:t>1</w:t>
      </w:r>
      <w:r w:rsidR="00503F01" w:rsidRPr="007A177A">
        <w:rPr>
          <w:rFonts w:cs="Arial"/>
          <w:b/>
          <w:bCs/>
          <w:sz w:val="24"/>
          <w:szCs w:val="24"/>
        </w:rPr>
        <w:t>0</w:t>
      </w:r>
      <w:r w:rsidR="00C52780" w:rsidRPr="007A177A">
        <w:rPr>
          <w:rFonts w:cs="Arial"/>
          <w:b/>
          <w:bCs/>
          <w:sz w:val="24"/>
          <w:szCs w:val="24"/>
        </w:rPr>
        <w:t>)</w:t>
      </w:r>
      <w:r w:rsidR="00C52780" w:rsidRPr="007A177A">
        <w:rPr>
          <w:rFonts w:cs="Arial"/>
          <w:sz w:val="24"/>
          <w:szCs w:val="24"/>
        </w:rPr>
        <w:t xml:space="preserve"> </w:t>
      </w:r>
      <w:r w:rsidRPr="007A177A">
        <w:rPr>
          <w:rFonts w:cs="Arial"/>
          <w:sz w:val="24"/>
          <w:szCs w:val="24"/>
        </w:rPr>
        <w:t>costas.</w:t>
      </w:r>
    </w:p>
    <w:p w14:paraId="66CCA665" w14:textId="77777777" w:rsidR="00D06FA5" w:rsidRPr="007A177A" w:rsidRDefault="00D06FA5" w:rsidP="00BF333B">
      <w:pPr>
        <w:pStyle w:val="Sinespaciado"/>
        <w:rPr>
          <w:rFonts w:ascii="Arial" w:hAnsi="Arial" w:cs="Arial"/>
          <w:sz w:val="24"/>
          <w:szCs w:val="24"/>
        </w:rPr>
      </w:pPr>
    </w:p>
    <w:p w14:paraId="5418595E" w14:textId="77777777" w:rsidR="009D0E50" w:rsidRPr="007A177A" w:rsidRDefault="009D0E50" w:rsidP="00BF333B">
      <w:pPr>
        <w:spacing w:line="360" w:lineRule="auto"/>
        <w:jc w:val="both"/>
        <w:rPr>
          <w:rFonts w:ascii="Arial" w:hAnsi="Arial" w:cs="Arial"/>
          <w:b/>
          <w:lang w:val="es-CO"/>
        </w:rPr>
      </w:pPr>
      <w:r w:rsidRPr="007A177A">
        <w:rPr>
          <w:rFonts w:ascii="Arial" w:hAnsi="Arial" w:cs="Arial"/>
          <w:b/>
          <w:lang w:val="es-CO"/>
        </w:rPr>
        <w:t xml:space="preserve">1. </w:t>
      </w:r>
      <w:r w:rsidR="00C26786" w:rsidRPr="007A177A">
        <w:rPr>
          <w:rFonts w:ascii="Arial" w:hAnsi="Arial" w:cs="Arial"/>
          <w:b/>
          <w:lang w:val="es-CO"/>
        </w:rPr>
        <w:t>Jurisdicción y c</w:t>
      </w:r>
      <w:r w:rsidRPr="007A177A">
        <w:rPr>
          <w:rFonts w:ascii="Arial" w:hAnsi="Arial" w:cs="Arial"/>
          <w:b/>
          <w:lang w:val="es-CO"/>
        </w:rPr>
        <w:t>ompetencia del Consejo de Estado</w:t>
      </w:r>
    </w:p>
    <w:p w14:paraId="45293B79" w14:textId="77777777" w:rsidR="009D0E50" w:rsidRPr="007A177A" w:rsidRDefault="009D0E50" w:rsidP="00BF333B">
      <w:pPr>
        <w:pStyle w:val="Sinespaciado"/>
        <w:rPr>
          <w:rFonts w:ascii="Arial" w:hAnsi="Arial" w:cs="Arial"/>
          <w:sz w:val="24"/>
          <w:szCs w:val="24"/>
        </w:rPr>
      </w:pPr>
    </w:p>
    <w:p w14:paraId="59DB6001" w14:textId="77777777" w:rsidR="009D0E50" w:rsidRPr="007A177A" w:rsidRDefault="009D0E50" w:rsidP="00BF333B">
      <w:pPr>
        <w:spacing w:line="360" w:lineRule="auto"/>
        <w:jc w:val="both"/>
        <w:rPr>
          <w:rFonts w:ascii="Arial" w:hAnsi="Arial" w:cs="Arial"/>
          <w:b/>
          <w:lang w:val="es-CO"/>
        </w:rPr>
      </w:pPr>
      <w:r w:rsidRPr="007A177A">
        <w:rPr>
          <w:rFonts w:ascii="Arial" w:hAnsi="Arial" w:cs="Arial"/>
          <w:b/>
          <w:lang w:val="es-CO"/>
        </w:rPr>
        <w:t xml:space="preserve">1.1. Jurisdicción </w:t>
      </w:r>
      <w:r w:rsidR="00C26786" w:rsidRPr="007A177A">
        <w:rPr>
          <w:rFonts w:ascii="Arial" w:hAnsi="Arial" w:cs="Arial"/>
          <w:b/>
          <w:lang w:val="es-CO"/>
        </w:rPr>
        <w:t>c</w:t>
      </w:r>
      <w:r w:rsidRPr="007A177A">
        <w:rPr>
          <w:rFonts w:ascii="Arial" w:hAnsi="Arial" w:cs="Arial"/>
          <w:b/>
          <w:lang w:val="es-CO"/>
        </w:rPr>
        <w:t>ompetente</w:t>
      </w:r>
    </w:p>
    <w:p w14:paraId="4FFEF867" w14:textId="77777777" w:rsidR="009D0E50" w:rsidRPr="007A177A" w:rsidRDefault="009D0E50" w:rsidP="00BF333B">
      <w:pPr>
        <w:pStyle w:val="Sinespaciado"/>
        <w:rPr>
          <w:rFonts w:ascii="Arial" w:hAnsi="Arial" w:cs="Arial"/>
          <w:sz w:val="24"/>
          <w:szCs w:val="24"/>
        </w:rPr>
      </w:pPr>
    </w:p>
    <w:p w14:paraId="038C72CB" w14:textId="77777777" w:rsidR="002C15B4" w:rsidRPr="007A177A" w:rsidRDefault="002C15B4" w:rsidP="00BF333B">
      <w:pPr>
        <w:spacing w:line="360" w:lineRule="auto"/>
        <w:jc w:val="both"/>
        <w:rPr>
          <w:rFonts w:ascii="Arial" w:hAnsi="Arial" w:cs="Arial"/>
          <w:i/>
          <w:iCs/>
        </w:rPr>
      </w:pPr>
      <w:r w:rsidRPr="007A177A">
        <w:rPr>
          <w:rFonts w:ascii="Arial" w:hAnsi="Arial" w:cs="Arial"/>
        </w:rPr>
        <w:t>L</w:t>
      </w:r>
      <w:r w:rsidR="00763B64" w:rsidRPr="007A177A">
        <w:rPr>
          <w:rFonts w:ascii="Arial" w:hAnsi="Arial" w:cs="Arial"/>
        </w:rPr>
        <w:t xml:space="preserve">a demanda se presentó en 2001, encontrándose vigente el </w:t>
      </w:r>
      <w:r w:rsidR="009D0E50" w:rsidRPr="007A177A">
        <w:rPr>
          <w:rFonts w:ascii="Arial" w:hAnsi="Arial" w:cs="Arial"/>
        </w:rPr>
        <w:t>criterio orgánico que se adoptó en la Ley 80 de 1993</w:t>
      </w:r>
      <w:r w:rsidR="009D0E50" w:rsidRPr="007A177A">
        <w:rPr>
          <w:rStyle w:val="Refdenotaalpie"/>
          <w:rFonts w:ascii="Arial" w:hAnsi="Arial" w:cs="Arial"/>
        </w:rPr>
        <w:footnoteReference w:id="36"/>
      </w:r>
      <w:r w:rsidR="00763B64" w:rsidRPr="007A177A">
        <w:rPr>
          <w:rFonts w:ascii="Arial" w:hAnsi="Arial" w:cs="Arial"/>
        </w:rPr>
        <w:t xml:space="preserve"> para definir la jurisdicción competente en las controversias contractuales</w:t>
      </w:r>
      <w:r w:rsidR="009D0E50" w:rsidRPr="007A177A">
        <w:rPr>
          <w:rFonts w:ascii="Arial" w:hAnsi="Arial" w:cs="Arial"/>
        </w:rPr>
        <w:t xml:space="preserve">, en concordancia con el artículo 82 del </w:t>
      </w:r>
      <w:r w:rsidR="00F76569" w:rsidRPr="007A177A">
        <w:rPr>
          <w:rFonts w:ascii="Arial" w:hAnsi="Arial" w:cs="Arial"/>
        </w:rPr>
        <w:t xml:space="preserve">Decreto 01 de 1984, contentivo del </w:t>
      </w:r>
      <w:r w:rsidR="009D0E50" w:rsidRPr="007A177A">
        <w:rPr>
          <w:rFonts w:ascii="Arial" w:hAnsi="Arial" w:cs="Arial"/>
        </w:rPr>
        <w:t>Código Contencioso Administrativo</w:t>
      </w:r>
      <w:r w:rsidR="00F76569" w:rsidRPr="007A177A">
        <w:rPr>
          <w:rFonts w:ascii="Arial" w:hAnsi="Arial" w:cs="Arial"/>
        </w:rPr>
        <w:t xml:space="preserve"> - CCA</w:t>
      </w:r>
      <w:r w:rsidR="009D0E50" w:rsidRPr="007A177A">
        <w:rPr>
          <w:rStyle w:val="Refdenotaalpie"/>
          <w:rFonts w:ascii="Arial" w:hAnsi="Arial" w:cs="Arial"/>
        </w:rPr>
        <w:footnoteReference w:id="37"/>
      </w:r>
      <w:r w:rsidR="009D0E50" w:rsidRPr="007A177A">
        <w:rPr>
          <w:rFonts w:ascii="Arial" w:hAnsi="Arial" w:cs="Arial"/>
        </w:rPr>
        <w:t xml:space="preserve">; </w:t>
      </w:r>
      <w:r w:rsidR="00F76569" w:rsidRPr="007A177A">
        <w:rPr>
          <w:rFonts w:ascii="Arial" w:hAnsi="Arial" w:cs="Arial"/>
        </w:rPr>
        <w:t xml:space="preserve">referido a la competencia de esta jurisdicción para conocer de </w:t>
      </w:r>
      <w:r w:rsidR="00BE52A3" w:rsidRPr="007A177A">
        <w:rPr>
          <w:rFonts w:ascii="Arial" w:hAnsi="Arial" w:cs="Arial"/>
          <w:i/>
          <w:iCs/>
        </w:rPr>
        <w:t>“</w:t>
      </w:r>
      <w:r w:rsidR="00F76569" w:rsidRPr="007A177A">
        <w:rPr>
          <w:rFonts w:ascii="Arial" w:hAnsi="Arial" w:cs="Arial"/>
          <w:i/>
          <w:iCs/>
        </w:rPr>
        <w:t xml:space="preserve">los </w:t>
      </w:r>
      <w:r w:rsidR="00BE52A3" w:rsidRPr="007A177A">
        <w:rPr>
          <w:rFonts w:ascii="Arial" w:hAnsi="Arial" w:cs="Arial"/>
          <w:i/>
          <w:iCs/>
        </w:rPr>
        <w:t>l</w:t>
      </w:r>
      <w:r w:rsidR="00F76569" w:rsidRPr="007A177A">
        <w:rPr>
          <w:rFonts w:ascii="Arial" w:hAnsi="Arial" w:cs="Arial"/>
          <w:i/>
          <w:iCs/>
        </w:rPr>
        <w:t>itigios</w:t>
      </w:r>
      <w:r w:rsidR="00BE52A3" w:rsidRPr="007A177A">
        <w:rPr>
          <w:rFonts w:ascii="Arial" w:hAnsi="Arial" w:cs="Arial"/>
          <w:i/>
          <w:iCs/>
        </w:rPr>
        <w:t xml:space="preserve"> </w:t>
      </w:r>
      <w:r w:rsidR="00F76569" w:rsidRPr="007A177A">
        <w:rPr>
          <w:rFonts w:ascii="Arial" w:hAnsi="Arial" w:cs="Arial"/>
          <w:i/>
          <w:iCs/>
        </w:rPr>
        <w:t>administrativos originados en la actividad de las entidades p</w:t>
      </w:r>
      <w:r w:rsidR="00BE52A3" w:rsidRPr="007A177A">
        <w:rPr>
          <w:rFonts w:ascii="Arial" w:hAnsi="Arial" w:cs="Arial"/>
          <w:i/>
          <w:iCs/>
        </w:rPr>
        <w:t>úblicas”</w:t>
      </w:r>
      <w:r w:rsidR="00C16494" w:rsidRPr="007A177A">
        <w:rPr>
          <w:rFonts w:ascii="Arial" w:hAnsi="Arial" w:cs="Arial"/>
          <w:i/>
          <w:iCs/>
        </w:rPr>
        <w:t>.</w:t>
      </w:r>
    </w:p>
    <w:p w14:paraId="590E0156" w14:textId="77777777" w:rsidR="002C15B4" w:rsidRPr="007A177A" w:rsidRDefault="002C15B4" w:rsidP="00BF333B">
      <w:pPr>
        <w:spacing w:line="360" w:lineRule="auto"/>
        <w:jc w:val="both"/>
        <w:rPr>
          <w:rFonts w:ascii="Arial" w:hAnsi="Arial" w:cs="Arial"/>
          <w:i/>
          <w:iCs/>
        </w:rPr>
      </w:pPr>
    </w:p>
    <w:p w14:paraId="09561FEE" w14:textId="77777777" w:rsidR="002C15B4" w:rsidRPr="007A177A" w:rsidRDefault="002C15B4" w:rsidP="00BF333B">
      <w:pPr>
        <w:spacing w:line="360" w:lineRule="auto"/>
        <w:jc w:val="both"/>
        <w:rPr>
          <w:rFonts w:ascii="Arial" w:hAnsi="Arial" w:cs="Arial"/>
        </w:rPr>
      </w:pPr>
      <w:r w:rsidRPr="007A177A">
        <w:rPr>
          <w:rFonts w:ascii="Arial" w:hAnsi="Arial" w:cs="Arial"/>
        </w:rPr>
        <w:lastRenderedPageBreak/>
        <w:t xml:space="preserve">De conformidad con las normas citadas, teniendo en cuenta que </w:t>
      </w:r>
      <w:r w:rsidR="009D0E50" w:rsidRPr="007A177A">
        <w:rPr>
          <w:rFonts w:ascii="Arial" w:hAnsi="Arial" w:cs="Arial"/>
        </w:rPr>
        <w:t xml:space="preserve">en este caso </w:t>
      </w:r>
      <w:r w:rsidR="00BE52A3" w:rsidRPr="007A177A">
        <w:rPr>
          <w:rFonts w:ascii="Arial" w:hAnsi="Arial" w:cs="Arial"/>
        </w:rPr>
        <w:t xml:space="preserve">la parte demandada </w:t>
      </w:r>
      <w:r w:rsidRPr="007A177A">
        <w:rPr>
          <w:rFonts w:ascii="Arial" w:hAnsi="Arial" w:cs="Arial"/>
        </w:rPr>
        <w:t xml:space="preserve">es </w:t>
      </w:r>
      <w:r w:rsidR="009D0E50" w:rsidRPr="007A177A">
        <w:rPr>
          <w:rFonts w:ascii="Arial" w:hAnsi="Arial" w:cs="Arial"/>
        </w:rPr>
        <w:t xml:space="preserve">una entidad </w:t>
      </w:r>
      <w:r w:rsidR="00BE52A3" w:rsidRPr="007A177A">
        <w:rPr>
          <w:rFonts w:ascii="Arial" w:hAnsi="Arial" w:cs="Arial"/>
        </w:rPr>
        <w:t>pública</w:t>
      </w:r>
      <w:r w:rsidRPr="007A177A">
        <w:rPr>
          <w:rFonts w:ascii="Arial" w:hAnsi="Arial" w:cs="Arial"/>
        </w:rPr>
        <w:t xml:space="preserve">, </w:t>
      </w:r>
      <w:r w:rsidR="009D0E50" w:rsidRPr="007A177A">
        <w:rPr>
          <w:rFonts w:ascii="Arial" w:hAnsi="Arial" w:cs="Arial"/>
        </w:rPr>
        <w:t>se confirma la competencia de la Jurisdicción de lo Contencioso Administrativo</w:t>
      </w:r>
      <w:r w:rsidRPr="007A177A">
        <w:rPr>
          <w:rFonts w:ascii="Arial" w:hAnsi="Arial" w:cs="Arial"/>
        </w:rPr>
        <w:t xml:space="preserve"> para resolver el presente litigio.</w:t>
      </w:r>
    </w:p>
    <w:p w14:paraId="48139F37" w14:textId="77777777" w:rsidR="002C15B4" w:rsidRPr="007A177A" w:rsidRDefault="002C15B4" w:rsidP="00BF333B">
      <w:pPr>
        <w:spacing w:line="360" w:lineRule="auto"/>
        <w:jc w:val="both"/>
        <w:rPr>
          <w:rFonts w:ascii="Arial" w:hAnsi="Arial" w:cs="Arial"/>
        </w:rPr>
      </w:pPr>
    </w:p>
    <w:p w14:paraId="33CFCBD6" w14:textId="77777777" w:rsidR="009D0E50" w:rsidRPr="007A177A" w:rsidRDefault="009D0E50" w:rsidP="00BF333B">
      <w:pPr>
        <w:spacing w:line="360" w:lineRule="auto"/>
        <w:jc w:val="both"/>
        <w:rPr>
          <w:rFonts w:ascii="Arial" w:hAnsi="Arial" w:cs="Arial"/>
          <w:b/>
          <w:color w:val="000000"/>
        </w:rPr>
      </w:pPr>
      <w:r w:rsidRPr="007A177A">
        <w:rPr>
          <w:rFonts w:ascii="Arial" w:hAnsi="Arial" w:cs="Arial"/>
          <w:b/>
          <w:color w:val="000000"/>
        </w:rPr>
        <w:t>1.2. Cuantía</w:t>
      </w:r>
    </w:p>
    <w:p w14:paraId="45CB95D3" w14:textId="77777777" w:rsidR="009D0E50" w:rsidRPr="007A177A" w:rsidRDefault="009D0E50" w:rsidP="00BF333B">
      <w:pPr>
        <w:spacing w:line="360" w:lineRule="auto"/>
        <w:jc w:val="both"/>
        <w:rPr>
          <w:rFonts w:ascii="Arial" w:hAnsi="Arial" w:cs="Arial"/>
          <w:color w:val="000000"/>
        </w:rPr>
      </w:pPr>
    </w:p>
    <w:p w14:paraId="2E3FABA0" w14:textId="77777777" w:rsidR="009D0E50" w:rsidRPr="007A177A" w:rsidRDefault="00FD2164" w:rsidP="00BF333B">
      <w:pPr>
        <w:spacing w:line="360" w:lineRule="auto"/>
        <w:jc w:val="both"/>
        <w:rPr>
          <w:rFonts w:ascii="Arial" w:hAnsi="Arial" w:cs="Arial"/>
        </w:rPr>
      </w:pPr>
      <w:r w:rsidRPr="007A177A">
        <w:rPr>
          <w:rFonts w:ascii="Arial" w:hAnsi="Arial" w:cs="Arial"/>
        </w:rPr>
        <w:t xml:space="preserve">El Consejo de Estado es competente para conocer </w:t>
      </w:r>
      <w:r w:rsidR="00F47A6C" w:rsidRPr="007A177A">
        <w:rPr>
          <w:rFonts w:ascii="Arial" w:hAnsi="Arial" w:cs="Arial"/>
        </w:rPr>
        <w:t xml:space="preserve">de </w:t>
      </w:r>
      <w:r w:rsidR="002C15B4" w:rsidRPr="007A177A">
        <w:rPr>
          <w:rFonts w:ascii="Arial" w:hAnsi="Arial" w:cs="Arial"/>
        </w:rPr>
        <w:t xml:space="preserve">este </w:t>
      </w:r>
      <w:r w:rsidRPr="007A177A">
        <w:rPr>
          <w:rFonts w:ascii="Arial" w:hAnsi="Arial" w:cs="Arial"/>
        </w:rPr>
        <w:t xml:space="preserve">asunto, por tratarse de un proceso de doble instancia en razón de la cuantía, según lo dispuesto en el Decreto 597 de </w:t>
      </w:r>
      <w:r w:rsidR="00F47A6C" w:rsidRPr="007A177A">
        <w:rPr>
          <w:rFonts w:ascii="Arial" w:hAnsi="Arial" w:cs="Arial"/>
        </w:rPr>
        <w:t xml:space="preserve">1988 </w:t>
      </w:r>
      <w:r w:rsidRPr="007A177A">
        <w:rPr>
          <w:rFonts w:ascii="Arial" w:hAnsi="Arial" w:cs="Arial"/>
        </w:rPr>
        <w:t xml:space="preserve">y </w:t>
      </w:r>
      <w:r w:rsidR="00BF2BEF" w:rsidRPr="007A177A">
        <w:rPr>
          <w:rFonts w:ascii="Arial" w:hAnsi="Arial" w:cs="Arial"/>
        </w:rPr>
        <w:t xml:space="preserve">en </w:t>
      </w:r>
      <w:r w:rsidR="00E854DA" w:rsidRPr="007A177A">
        <w:rPr>
          <w:rFonts w:ascii="Arial" w:hAnsi="Arial" w:cs="Arial"/>
        </w:rPr>
        <w:t xml:space="preserve">el </w:t>
      </w:r>
      <w:r w:rsidRPr="007A177A">
        <w:rPr>
          <w:rFonts w:ascii="Arial" w:hAnsi="Arial" w:cs="Arial"/>
        </w:rPr>
        <w:t xml:space="preserve">artículo 20 del CPC, dado que la pretensión mayor ascendió a </w:t>
      </w:r>
      <w:r w:rsidR="00695010" w:rsidRPr="007A177A">
        <w:rPr>
          <w:rFonts w:ascii="Arial" w:hAnsi="Arial" w:cs="Arial"/>
        </w:rPr>
        <w:t>$109’164</w:t>
      </w:r>
      <w:r w:rsidR="00BF2BEF" w:rsidRPr="007A177A">
        <w:rPr>
          <w:rFonts w:ascii="Arial" w:hAnsi="Arial" w:cs="Arial"/>
        </w:rPr>
        <w:t>.</w:t>
      </w:r>
      <w:r w:rsidR="00695010" w:rsidRPr="007A177A">
        <w:rPr>
          <w:rFonts w:ascii="Arial" w:hAnsi="Arial" w:cs="Arial"/>
        </w:rPr>
        <w:t>460</w:t>
      </w:r>
      <w:r w:rsidR="001F0AC6" w:rsidRPr="007A177A">
        <w:rPr>
          <w:rStyle w:val="Refdenotaalpie"/>
          <w:rFonts w:ascii="Arial" w:hAnsi="Arial" w:cs="Arial"/>
        </w:rPr>
        <w:footnoteReference w:id="38"/>
      </w:r>
      <w:r w:rsidR="00F47A6C" w:rsidRPr="007A177A">
        <w:rPr>
          <w:rFonts w:ascii="Arial" w:hAnsi="Arial" w:cs="Arial"/>
        </w:rPr>
        <w:t>,</w:t>
      </w:r>
      <w:r w:rsidRPr="007A177A">
        <w:rPr>
          <w:rFonts w:ascii="Arial" w:hAnsi="Arial" w:cs="Arial"/>
        </w:rPr>
        <w:t xml:space="preserve"> </w:t>
      </w:r>
      <w:r w:rsidR="00695010" w:rsidRPr="007A177A">
        <w:rPr>
          <w:rFonts w:ascii="Arial" w:hAnsi="Arial" w:cs="Arial"/>
        </w:rPr>
        <w:t xml:space="preserve">suma que excede la cuantía de </w:t>
      </w:r>
      <w:r w:rsidR="009D0E50" w:rsidRPr="007A177A">
        <w:rPr>
          <w:rFonts w:ascii="Arial" w:hAnsi="Arial" w:cs="Arial"/>
        </w:rPr>
        <w:t>$</w:t>
      </w:r>
      <w:r w:rsidR="00EF0A11" w:rsidRPr="007A177A">
        <w:rPr>
          <w:rFonts w:ascii="Arial" w:hAnsi="Arial" w:cs="Arial"/>
        </w:rPr>
        <w:t>26’390.000</w:t>
      </w:r>
      <w:r w:rsidR="001F0AC6" w:rsidRPr="007A177A">
        <w:rPr>
          <w:rStyle w:val="Refdenotaalpie"/>
          <w:rFonts w:ascii="Arial" w:hAnsi="Arial" w:cs="Arial"/>
        </w:rPr>
        <w:footnoteReference w:id="39"/>
      </w:r>
      <w:r w:rsidR="00E854DA" w:rsidRPr="007A177A">
        <w:rPr>
          <w:rFonts w:ascii="Arial" w:hAnsi="Arial" w:cs="Arial"/>
        </w:rPr>
        <w:t xml:space="preserve">, </w:t>
      </w:r>
      <w:r w:rsidR="009D0E50" w:rsidRPr="007A177A">
        <w:rPr>
          <w:rFonts w:ascii="Arial" w:hAnsi="Arial" w:cs="Arial"/>
        </w:rPr>
        <w:t xml:space="preserve">de conformidad con las reglas de competencia establecidas en el </w:t>
      </w:r>
      <w:r w:rsidR="00F47A6C" w:rsidRPr="007A177A">
        <w:rPr>
          <w:rFonts w:ascii="Arial" w:hAnsi="Arial" w:cs="Arial"/>
        </w:rPr>
        <w:t xml:space="preserve">mencionado decreto </w:t>
      </w:r>
      <w:r w:rsidR="00BF2BEF" w:rsidRPr="007A177A">
        <w:rPr>
          <w:rFonts w:ascii="Arial" w:hAnsi="Arial" w:cs="Arial"/>
        </w:rPr>
        <w:t xml:space="preserve">y el valor ajustado a 2001, </w:t>
      </w:r>
      <w:r w:rsidR="004102E2" w:rsidRPr="007A177A">
        <w:rPr>
          <w:rFonts w:ascii="Arial" w:hAnsi="Arial" w:cs="Arial"/>
        </w:rPr>
        <w:t>año en que se presentó la demanda</w:t>
      </w:r>
      <w:r w:rsidR="002C15B4" w:rsidRPr="007A177A">
        <w:rPr>
          <w:rFonts w:ascii="Arial" w:hAnsi="Arial" w:cs="Arial"/>
        </w:rPr>
        <w:t>.</w:t>
      </w:r>
    </w:p>
    <w:p w14:paraId="76537C21" w14:textId="77777777" w:rsidR="002379FF" w:rsidRPr="007A177A" w:rsidRDefault="002379FF" w:rsidP="00BF333B">
      <w:pPr>
        <w:spacing w:line="360" w:lineRule="auto"/>
        <w:jc w:val="both"/>
        <w:rPr>
          <w:rFonts w:ascii="Arial" w:hAnsi="Arial" w:cs="Arial"/>
        </w:rPr>
      </w:pPr>
    </w:p>
    <w:p w14:paraId="7BCDE7DC" w14:textId="77777777" w:rsidR="009D0E50" w:rsidRPr="007A177A" w:rsidRDefault="00B27F88" w:rsidP="00BF333B">
      <w:pPr>
        <w:jc w:val="both"/>
        <w:rPr>
          <w:rFonts w:ascii="Arial" w:hAnsi="Arial" w:cs="Arial"/>
          <w:b/>
          <w:color w:val="000000"/>
        </w:rPr>
      </w:pPr>
      <w:r w:rsidRPr="007A177A">
        <w:rPr>
          <w:rFonts w:ascii="Arial" w:hAnsi="Arial" w:cs="Arial"/>
          <w:b/>
          <w:color w:val="000000"/>
        </w:rPr>
        <w:t>2. Oportunidad en la presentación de la demanda</w:t>
      </w:r>
      <w:r w:rsidR="00013A9C" w:rsidRPr="007A177A">
        <w:rPr>
          <w:rFonts w:ascii="Arial" w:hAnsi="Arial" w:cs="Arial"/>
          <w:b/>
          <w:color w:val="000000"/>
        </w:rPr>
        <w:t xml:space="preserve"> </w:t>
      </w:r>
      <w:r w:rsidR="00A0089A" w:rsidRPr="007A177A">
        <w:rPr>
          <w:rFonts w:ascii="Arial" w:hAnsi="Arial" w:cs="Arial"/>
          <w:b/>
          <w:color w:val="000000"/>
        </w:rPr>
        <w:t>-</w:t>
      </w:r>
      <w:r w:rsidR="00013A9C" w:rsidRPr="007A177A">
        <w:rPr>
          <w:rFonts w:ascii="Arial" w:hAnsi="Arial" w:cs="Arial"/>
          <w:b/>
          <w:color w:val="000000"/>
        </w:rPr>
        <w:t xml:space="preserve"> aplica el término de prescripción de 20 años</w:t>
      </w:r>
      <w:r w:rsidR="00EB6BF6" w:rsidRPr="007A177A">
        <w:rPr>
          <w:rFonts w:ascii="Arial" w:hAnsi="Arial" w:cs="Arial"/>
          <w:b/>
          <w:color w:val="000000"/>
        </w:rPr>
        <w:t xml:space="preserve"> a partir de la terminación del contrato </w:t>
      </w:r>
      <w:r w:rsidR="00A0089A" w:rsidRPr="007A177A">
        <w:rPr>
          <w:rFonts w:ascii="Arial" w:hAnsi="Arial" w:cs="Arial"/>
          <w:b/>
          <w:color w:val="000000"/>
        </w:rPr>
        <w:t>-</w:t>
      </w:r>
      <w:r w:rsidR="00EB6BF6" w:rsidRPr="007A177A">
        <w:rPr>
          <w:rFonts w:ascii="Arial" w:hAnsi="Arial" w:cs="Arial"/>
          <w:b/>
          <w:color w:val="000000"/>
        </w:rPr>
        <w:t xml:space="preserve"> Decreto 528 de 1964</w:t>
      </w:r>
    </w:p>
    <w:p w14:paraId="2544D617" w14:textId="77777777" w:rsidR="00B27F88" w:rsidRPr="007A177A" w:rsidRDefault="00B27F88" w:rsidP="00BF333B">
      <w:pPr>
        <w:spacing w:line="360" w:lineRule="auto"/>
        <w:jc w:val="both"/>
        <w:rPr>
          <w:rFonts w:ascii="Arial" w:hAnsi="Arial" w:cs="Arial"/>
          <w:color w:val="000000"/>
        </w:rPr>
      </w:pPr>
    </w:p>
    <w:p w14:paraId="5CD5EADF" w14:textId="77777777" w:rsidR="007E4B16" w:rsidRPr="007A177A" w:rsidRDefault="00826F33" w:rsidP="00BF333B">
      <w:pPr>
        <w:spacing w:line="360" w:lineRule="auto"/>
        <w:jc w:val="both"/>
        <w:rPr>
          <w:rFonts w:ascii="Arial" w:hAnsi="Arial" w:cs="Arial"/>
          <w:color w:val="000000"/>
        </w:rPr>
      </w:pPr>
      <w:r w:rsidRPr="007A177A">
        <w:rPr>
          <w:rFonts w:ascii="Arial" w:hAnsi="Arial" w:cs="Arial"/>
          <w:color w:val="000000"/>
        </w:rPr>
        <w:t xml:space="preserve">Se tiene en cuenta que la demanda se presentó el 30 de abril de 2001, al paso que el </w:t>
      </w:r>
      <w:r w:rsidR="007E4B16" w:rsidRPr="007A177A">
        <w:rPr>
          <w:rFonts w:ascii="Arial" w:hAnsi="Arial" w:cs="Arial"/>
          <w:color w:val="000000"/>
        </w:rPr>
        <w:t>C</w:t>
      </w:r>
      <w:r w:rsidRPr="007A177A">
        <w:rPr>
          <w:rFonts w:ascii="Arial" w:hAnsi="Arial" w:cs="Arial"/>
          <w:color w:val="000000"/>
        </w:rPr>
        <w:t xml:space="preserve">ontrato </w:t>
      </w:r>
      <w:r w:rsidR="007E4B16" w:rsidRPr="007A177A">
        <w:rPr>
          <w:rFonts w:ascii="Arial" w:hAnsi="Arial" w:cs="Arial"/>
          <w:color w:val="000000"/>
        </w:rPr>
        <w:t xml:space="preserve">No. 358 de 1976 </w:t>
      </w:r>
      <w:r w:rsidRPr="007A177A">
        <w:rPr>
          <w:rFonts w:ascii="Arial" w:hAnsi="Arial" w:cs="Arial"/>
          <w:color w:val="000000"/>
        </w:rPr>
        <w:t>terminó</w:t>
      </w:r>
      <w:r w:rsidR="00C16494" w:rsidRPr="007A177A">
        <w:rPr>
          <w:rFonts w:ascii="Arial" w:hAnsi="Arial" w:cs="Arial"/>
          <w:color w:val="000000"/>
        </w:rPr>
        <w:t xml:space="preserve"> </w:t>
      </w:r>
      <w:r w:rsidRPr="007A177A">
        <w:rPr>
          <w:rFonts w:ascii="Arial" w:hAnsi="Arial" w:cs="Arial"/>
          <w:color w:val="000000"/>
        </w:rPr>
        <w:t>el 31 de julio de 19</w:t>
      </w:r>
      <w:r w:rsidR="007E4B16" w:rsidRPr="007A177A">
        <w:rPr>
          <w:rFonts w:ascii="Arial" w:hAnsi="Arial" w:cs="Arial"/>
          <w:color w:val="000000"/>
        </w:rPr>
        <w:t>81.</w:t>
      </w:r>
    </w:p>
    <w:p w14:paraId="15A067E6" w14:textId="77777777" w:rsidR="00826F33" w:rsidRPr="007A177A" w:rsidRDefault="00826F33" w:rsidP="00BF333B">
      <w:pPr>
        <w:spacing w:line="360" w:lineRule="auto"/>
        <w:jc w:val="both"/>
        <w:rPr>
          <w:rFonts w:ascii="Arial" w:hAnsi="Arial" w:cs="Arial"/>
          <w:color w:val="000000"/>
        </w:rPr>
      </w:pPr>
    </w:p>
    <w:p w14:paraId="45BE91D6" w14:textId="77777777" w:rsidR="001811C7" w:rsidRPr="007A177A" w:rsidRDefault="001811C7" w:rsidP="00BF333B">
      <w:pPr>
        <w:spacing w:line="360" w:lineRule="auto"/>
        <w:jc w:val="both"/>
        <w:rPr>
          <w:rFonts w:ascii="Arial" w:hAnsi="Arial" w:cs="Arial"/>
          <w:lang w:val="es-MX"/>
        </w:rPr>
      </w:pPr>
      <w:r w:rsidRPr="007A177A">
        <w:rPr>
          <w:rFonts w:ascii="Arial" w:hAnsi="Arial" w:cs="Arial"/>
          <w:lang w:val="es-MX"/>
        </w:rPr>
        <w:t xml:space="preserve">La Sala observa que </w:t>
      </w:r>
      <w:r w:rsidR="00903E8A" w:rsidRPr="007A177A">
        <w:rPr>
          <w:rFonts w:ascii="Arial" w:hAnsi="Arial" w:cs="Arial"/>
          <w:lang w:val="es-MX"/>
        </w:rPr>
        <w:t>la demanda se presentó oportunamente</w:t>
      </w:r>
      <w:r w:rsidR="004977B9" w:rsidRPr="007A177A">
        <w:rPr>
          <w:rFonts w:ascii="Arial" w:hAnsi="Arial" w:cs="Arial"/>
          <w:lang w:val="es-MX"/>
        </w:rPr>
        <w:t>,</w:t>
      </w:r>
      <w:r w:rsidR="00903E8A" w:rsidRPr="007A177A">
        <w:rPr>
          <w:rFonts w:ascii="Arial" w:hAnsi="Arial" w:cs="Arial"/>
          <w:lang w:val="es-MX"/>
        </w:rPr>
        <w:t xml:space="preserve"> </w:t>
      </w:r>
      <w:r w:rsidR="00903E8A" w:rsidRPr="007A177A">
        <w:rPr>
          <w:rFonts w:ascii="Arial" w:hAnsi="Arial" w:cs="Arial"/>
        </w:rPr>
        <w:t xml:space="preserve">de conformidad con </w:t>
      </w:r>
      <w:r w:rsidR="004977B9" w:rsidRPr="007A177A">
        <w:rPr>
          <w:rFonts w:ascii="Arial" w:hAnsi="Arial" w:cs="Arial"/>
        </w:rPr>
        <w:t xml:space="preserve">lo dispuesto en </w:t>
      </w:r>
      <w:r w:rsidR="00903E8A" w:rsidRPr="007A177A">
        <w:rPr>
          <w:rFonts w:ascii="Arial" w:hAnsi="Arial" w:cs="Arial"/>
        </w:rPr>
        <w:t>el Decreto 528 de 1964</w:t>
      </w:r>
      <w:r w:rsidR="00903E8A" w:rsidRPr="007A177A">
        <w:rPr>
          <w:rStyle w:val="Refdenotaalpie"/>
          <w:rFonts w:ascii="Arial" w:hAnsi="Arial" w:cs="Arial"/>
        </w:rPr>
        <w:footnoteReference w:id="40"/>
      </w:r>
      <w:r w:rsidR="00903E8A" w:rsidRPr="007A177A">
        <w:rPr>
          <w:rFonts w:ascii="Arial" w:hAnsi="Arial" w:cs="Arial"/>
        </w:rPr>
        <w:t>, vigente para la época de celebración y terminación del contrato</w:t>
      </w:r>
      <w:r w:rsidR="00903E8A" w:rsidRPr="007A177A">
        <w:rPr>
          <w:rStyle w:val="Refdenotaalpie"/>
          <w:rFonts w:ascii="Arial" w:hAnsi="Arial" w:cs="Arial"/>
        </w:rPr>
        <w:footnoteReference w:id="41"/>
      </w:r>
      <w:r w:rsidR="00BC1470" w:rsidRPr="007A177A">
        <w:rPr>
          <w:rFonts w:ascii="Arial" w:hAnsi="Arial" w:cs="Arial"/>
        </w:rPr>
        <w:t xml:space="preserve">, toda vez que la oportunidad en la </w:t>
      </w:r>
      <w:r w:rsidR="00BC0F67" w:rsidRPr="007A177A">
        <w:rPr>
          <w:rFonts w:ascii="Arial" w:hAnsi="Arial" w:cs="Arial"/>
        </w:rPr>
        <w:t xml:space="preserve">referida </w:t>
      </w:r>
      <w:r w:rsidR="00BC1470" w:rsidRPr="007A177A">
        <w:rPr>
          <w:rFonts w:ascii="Arial" w:hAnsi="Arial" w:cs="Arial"/>
        </w:rPr>
        <w:t xml:space="preserve">presentación de la demanda </w:t>
      </w:r>
      <w:r w:rsidR="00345CEC" w:rsidRPr="007A177A">
        <w:rPr>
          <w:rFonts w:ascii="Arial" w:hAnsi="Arial" w:cs="Arial"/>
        </w:rPr>
        <w:t xml:space="preserve">corresponde a </w:t>
      </w:r>
      <w:r w:rsidR="00BC1470" w:rsidRPr="007A177A">
        <w:rPr>
          <w:rFonts w:ascii="Arial" w:hAnsi="Arial" w:cs="Arial"/>
        </w:rPr>
        <w:t xml:space="preserve">un supuesto procesal y </w:t>
      </w:r>
      <w:r w:rsidR="00D40AD6" w:rsidRPr="007A177A">
        <w:rPr>
          <w:rFonts w:ascii="Arial" w:hAnsi="Arial" w:cs="Arial"/>
        </w:rPr>
        <w:t>-</w:t>
      </w:r>
      <w:r w:rsidR="00BC1470" w:rsidRPr="007A177A">
        <w:rPr>
          <w:rFonts w:ascii="Arial" w:hAnsi="Arial" w:cs="Arial"/>
          <w:i/>
        </w:rPr>
        <w:t>en atención a la naturaleza del requisito</w:t>
      </w:r>
      <w:r w:rsidR="00D40AD6" w:rsidRPr="007A177A">
        <w:rPr>
          <w:rFonts w:ascii="Arial" w:hAnsi="Arial" w:cs="Arial"/>
        </w:rPr>
        <w:t>-</w:t>
      </w:r>
      <w:r w:rsidR="00826F33" w:rsidRPr="007A177A">
        <w:rPr>
          <w:rFonts w:ascii="Arial" w:hAnsi="Arial" w:cs="Arial"/>
        </w:rPr>
        <w:t xml:space="preserve"> se</w:t>
      </w:r>
      <w:r w:rsidR="00BC1470" w:rsidRPr="007A177A">
        <w:rPr>
          <w:rFonts w:ascii="Arial" w:hAnsi="Arial" w:cs="Arial"/>
        </w:rPr>
        <w:t xml:space="preserve"> le aplica la ley vigente al momento en que empezó a correr</w:t>
      </w:r>
      <w:r w:rsidR="00F41977" w:rsidRPr="007A177A">
        <w:rPr>
          <w:rFonts w:ascii="Arial" w:hAnsi="Arial" w:cs="Arial"/>
        </w:rPr>
        <w:t xml:space="preserve"> el término </w:t>
      </w:r>
      <w:r w:rsidR="00BC0F67" w:rsidRPr="007A177A">
        <w:rPr>
          <w:rFonts w:ascii="Arial" w:hAnsi="Arial" w:cs="Arial"/>
        </w:rPr>
        <w:t>correspondiente</w:t>
      </w:r>
      <w:r w:rsidR="00BC1470" w:rsidRPr="007A177A">
        <w:rPr>
          <w:rFonts w:ascii="Arial" w:hAnsi="Arial" w:cs="Arial"/>
        </w:rPr>
        <w:t>, e</w:t>
      </w:r>
      <w:r w:rsidR="00F41977" w:rsidRPr="007A177A">
        <w:rPr>
          <w:rFonts w:ascii="Arial" w:hAnsi="Arial" w:cs="Arial"/>
        </w:rPr>
        <w:t xml:space="preserve">n este caso el de la </w:t>
      </w:r>
      <w:r w:rsidR="00BC1470" w:rsidRPr="007A177A">
        <w:rPr>
          <w:rFonts w:ascii="Arial" w:hAnsi="Arial" w:cs="Arial"/>
        </w:rPr>
        <w:t xml:space="preserve">prescripción </w:t>
      </w:r>
      <w:r w:rsidRPr="007A177A">
        <w:rPr>
          <w:rFonts w:ascii="Arial" w:hAnsi="Arial" w:cs="Arial"/>
          <w:lang w:val="es-MX"/>
        </w:rPr>
        <w:t>ordinaria de 20 años derivada del Código Civil, tal como fue modificada por la Ley 50 de 1936</w:t>
      </w:r>
      <w:r w:rsidRPr="007A177A">
        <w:rPr>
          <w:rStyle w:val="Refdenotaalpie"/>
          <w:rFonts w:ascii="Arial" w:hAnsi="Arial" w:cs="Arial"/>
          <w:lang w:val="es-MX"/>
        </w:rPr>
        <w:footnoteReference w:id="42"/>
      </w:r>
      <w:r w:rsidRPr="007A177A">
        <w:rPr>
          <w:rFonts w:ascii="Arial" w:hAnsi="Arial" w:cs="Arial"/>
          <w:lang w:val="es-MX"/>
        </w:rPr>
        <w:t xml:space="preserve">. </w:t>
      </w:r>
    </w:p>
    <w:p w14:paraId="511AE691" w14:textId="77777777" w:rsidR="00BC1470" w:rsidRPr="007A177A" w:rsidRDefault="00BC1470" w:rsidP="00BF333B">
      <w:pPr>
        <w:spacing w:line="360" w:lineRule="auto"/>
        <w:jc w:val="both"/>
        <w:rPr>
          <w:rFonts w:ascii="Arial" w:hAnsi="Arial" w:cs="Arial"/>
          <w:lang w:val="es-MX"/>
        </w:rPr>
      </w:pPr>
    </w:p>
    <w:p w14:paraId="100C17A7" w14:textId="77777777" w:rsidR="00345CEC" w:rsidRPr="007A177A" w:rsidRDefault="00D40AD6" w:rsidP="00BF333B">
      <w:pPr>
        <w:pStyle w:val="Textonotapie"/>
        <w:spacing w:line="360" w:lineRule="auto"/>
        <w:jc w:val="both"/>
        <w:rPr>
          <w:rFonts w:ascii="Arial" w:hAnsi="Arial" w:cs="Arial"/>
          <w:sz w:val="24"/>
          <w:szCs w:val="24"/>
          <w:lang w:val="es-MX"/>
        </w:rPr>
      </w:pPr>
      <w:r w:rsidRPr="007A177A">
        <w:rPr>
          <w:rFonts w:ascii="Arial" w:hAnsi="Arial" w:cs="Arial"/>
          <w:sz w:val="24"/>
          <w:szCs w:val="24"/>
          <w:lang w:val="es-MX"/>
        </w:rPr>
        <w:lastRenderedPageBreak/>
        <w:t xml:space="preserve">Como consecuencia, </w:t>
      </w:r>
      <w:r w:rsidR="00345CEC" w:rsidRPr="007A177A">
        <w:rPr>
          <w:rFonts w:ascii="Arial" w:hAnsi="Arial" w:cs="Arial"/>
          <w:sz w:val="24"/>
          <w:szCs w:val="24"/>
          <w:lang w:val="es-MX"/>
        </w:rPr>
        <w:t xml:space="preserve">no </w:t>
      </w:r>
      <w:r w:rsidR="00C16494" w:rsidRPr="007A177A">
        <w:rPr>
          <w:rFonts w:ascii="Arial" w:hAnsi="Arial" w:cs="Arial"/>
          <w:sz w:val="24"/>
          <w:szCs w:val="24"/>
          <w:lang w:val="es-MX"/>
        </w:rPr>
        <w:t xml:space="preserve">ocurrió </w:t>
      </w:r>
      <w:r w:rsidR="00345CEC" w:rsidRPr="007A177A">
        <w:rPr>
          <w:rFonts w:ascii="Arial" w:hAnsi="Arial" w:cs="Arial"/>
          <w:sz w:val="24"/>
          <w:szCs w:val="24"/>
          <w:lang w:val="es-MX"/>
        </w:rPr>
        <w:t>la caducidad de la acción</w:t>
      </w:r>
      <w:r w:rsidR="00BC0F67" w:rsidRPr="007A177A">
        <w:rPr>
          <w:rFonts w:ascii="Arial" w:hAnsi="Arial" w:cs="Arial"/>
          <w:sz w:val="24"/>
          <w:szCs w:val="24"/>
          <w:lang w:val="es-MX"/>
        </w:rPr>
        <w:t xml:space="preserve">, tal como se observó en </w:t>
      </w:r>
      <w:r w:rsidR="00345CEC" w:rsidRPr="007A177A">
        <w:rPr>
          <w:rFonts w:ascii="Arial" w:hAnsi="Arial" w:cs="Arial"/>
          <w:sz w:val="24"/>
          <w:szCs w:val="24"/>
          <w:lang w:val="es-MX"/>
        </w:rPr>
        <w:t>la decisión adoptada por esta Corporación en auto de 23 de enero de 2001</w:t>
      </w:r>
      <w:r w:rsidR="00345CEC" w:rsidRPr="007A177A">
        <w:rPr>
          <w:rStyle w:val="Refdenotaalpie"/>
          <w:rFonts w:ascii="Arial" w:hAnsi="Arial" w:cs="Arial"/>
          <w:sz w:val="24"/>
          <w:szCs w:val="24"/>
          <w:lang w:val="es-MX"/>
        </w:rPr>
        <w:footnoteReference w:id="43"/>
      </w:r>
      <w:r w:rsidR="00345CEC" w:rsidRPr="007A177A">
        <w:rPr>
          <w:rFonts w:ascii="Arial" w:hAnsi="Arial" w:cs="Arial"/>
          <w:sz w:val="24"/>
          <w:szCs w:val="24"/>
          <w:lang w:val="es-MX"/>
        </w:rPr>
        <w:t xml:space="preserve">, </w:t>
      </w:r>
      <w:r w:rsidR="00B07B54" w:rsidRPr="007A177A">
        <w:rPr>
          <w:rFonts w:ascii="Arial" w:hAnsi="Arial" w:cs="Arial"/>
          <w:sz w:val="24"/>
          <w:szCs w:val="24"/>
          <w:lang w:val="es-MX"/>
        </w:rPr>
        <w:t xml:space="preserve">en </w:t>
      </w:r>
      <w:r w:rsidR="00345CEC" w:rsidRPr="007A177A">
        <w:rPr>
          <w:rFonts w:ascii="Arial" w:hAnsi="Arial" w:cs="Arial"/>
          <w:sz w:val="24"/>
          <w:szCs w:val="24"/>
          <w:lang w:val="es-MX"/>
        </w:rPr>
        <w:t>el presente proceso.</w:t>
      </w:r>
    </w:p>
    <w:p w14:paraId="4371205E" w14:textId="77777777" w:rsidR="00345CEC" w:rsidRPr="007A177A" w:rsidRDefault="00345CEC" w:rsidP="00BF333B">
      <w:pPr>
        <w:spacing w:line="360" w:lineRule="auto"/>
        <w:ind w:right="-284"/>
        <w:jc w:val="both"/>
        <w:rPr>
          <w:rFonts w:ascii="Arial" w:hAnsi="Arial" w:cs="Arial"/>
          <w:bCs/>
          <w:color w:val="000000"/>
          <w:shd w:val="clear" w:color="auto" w:fill="FFFFFF"/>
        </w:rPr>
      </w:pPr>
    </w:p>
    <w:p w14:paraId="65F39AC6" w14:textId="77777777" w:rsidR="00345CEC" w:rsidRPr="007A177A" w:rsidRDefault="00BC0F67" w:rsidP="00BF333B">
      <w:pPr>
        <w:spacing w:line="360" w:lineRule="auto"/>
        <w:ind w:right="-284"/>
        <w:jc w:val="both"/>
        <w:rPr>
          <w:rFonts w:ascii="Arial" w:hAnsi="Arial" w:cs="Arial"/>
          <w:bCs/>
          <w:color w:val="000000"/>
          <w:shd w:val="clear" w:color="auto" w:fill="FFFFFF"/>
        </w:rPr>
      </w:pPr>
      <w:r w:rsidRPr="007A177A">
        <w:rPr>
          <w:rFonts w:ascii="Arial" w:hAnsi="Arial" w:cs="Arial"/>
          <w:bCs/>
          <w:color w:val="000000"/>
          <w:shd w:val="clear" w:color="auto" w:fill="FFFFFF"/>
        </w:rPr>
        <w:t xml:space="preserve">Es importante </w:t>
      </w:r>
      <w:r w:rsidR="00345CEC" w:rsidRPr="007A177A">
        <w:rPr>
          <w:rFonts w:ascii="Arial" w:hAnsi="Arial" w:cs="Arial"/>
          <w:bCs/>
          <w:color w:val="000000"/>
          <w:shd w:val="clear" w:color="auto" w:fill="FFFFFF"/>
        </w:rPr>
        <w:t xml:space="preserve">precisar que la Sala Plena </w:t>
      </w:r>
      <w:r w:rsidR="00BF2733" w:rsidRPr="007A177A">
        <w:rPr>
          <w:rFonts w:ascii="Arial" w:hAnsi="Arial" w:cs="Arial"/>
          <w:bCs/>
          <w:color w:val="000000"/>
          <w:shd w:val="clear" w:color="auto" w:fill="FFFFFF"/>
        </w:rPr>
        <w:t xml:space="preserve">de lo Contencioso Administrativo </w:t>
      </w:r>
      <w:r w:rsidR="00BB7011" w:rsidRPr="007A177A">
        <w:rPr>
          <w:rFonts w:ascii="Arial" w:hAnsi="Arial" w:cs="Arial"/>
          <w:bCs/>
          <w:color w:val="000000"/>
          <w:shd w:val="clear" w:color="auto" w:fill="FFFFFF"/>
        </w:rPr>
        <w:t xml:space="preserve">de </w:t>
      </w:r>
      <w:r w:rsidR="00625D01" w:rsidRPr="007A177A">
        <w:rPr>
          <w:rFonts w:ascii="Arial" w:hAnsi="Arial" w:cs="Arial"/>
          <w:bCs/>
          <w:color w:val="000000"/>
          <w:shd w:val="clear" w:color="auto" w:fill="FFFFFF"/>
        </w:rPr>
        <w:t>esta Corporación</w:t>
      </w:r>
      <w:r w:rsidR="008C4643" w:rsidRPr="007A177A">
        <w:rPr>
          <w:rFonts w:ascii="Arial" w:hAnsi="Arial" w:cs="Arial"/>
          <w:bCs/>
          <w:color w:val="000000"/>
          <w:shd w:val="clear" w:color="auto" w:fill="FFFFFF"/>
        </w:rPr>
        <w:t xml:space="preserve"> adoptó la regla de la prescripción del Código Civil </w:t>
      </w:r>
      <w:r w:rsidR="001D3032" w:rsidRPr="007A177A">
        <w:rPr>
          <w:rFonts w:ascii="Arial" w:hAnsi="Arial" w:cs="Arial"/>
          <w:bCs/>
          <w:color w:val="000000"/>
          <w:shd w:val="clear" w:color="auto" w:fill="FFFFFF"/>
        </w:rPr>
        <w:t xml:space="preserve">para </w:t>
      </w:r>
      <w:r w:rsidR="00857E17" w:rsidRPr="007A177A">
        <w:rPr>
          <w:rFonts w:ascii="Arial" w:hAnsi="Arial" w:cs="Arial"/>
          <w:bCs/>
          <w:color w:val="000000"/>
          <w:shd w:val="clear" w:color="auto" w:fill="FFFFFF"/>
        </w:rPr>
        <w:t xml:space="preserve">dirimir la controversia sobre </w:t>
      </w:r>
      <w:r w:rsidR="001D3032" w:rsidRPr="007A177A">
        <w:rPr>
          <w:rFonts w:ascii="Arial" w:hAnsi="Arial" w:cs="Arial"/>
          <w:bCs/>
          <w:color w:val="000000"/>
          <w:shd w:val="clear" w:color="auto" w:fill="FFFFFF"/>
        </w:rPr>
        <w:t xml:space="preserve">un contrato </w:t>
      </w:r>
      <w:r w:rsidR="00625D01" w:rsidRPr="007A177A">
        <w:rPr>
          <w:rFonts w:ascii="Arial" w:hAnsi="Arial" w:cs="Arial"/>
          <w:bCs/>
          <w:color w:val="000000"/>
          <w:shd w:val="clear" w:color="auto" w:fill="FFFFFF"/>
        </w:rPr>
        <w:t>celebrado por el Fondo Vial Nacional</w:t>
      </w:r>
      <w:r w:rsidR="00857E17" w:rsidRPr="007A177A">
        <w:rPr>
          <w:rFonts w:ascii="Arial" w:hAnsi="Arial" w:cs="Arial"/>
          <w:bCs/>
          <w:color w:val="000000"/>
          <w:shd w:val="clear" w:color="auto" w:fill="FFFFFF"/>
        </w:rPr>
        <w:t>, similar al que se debate en el presente proceso</w:t>
      </w:r>
      <w:r w:rsidR="00625D01" w:rsidRPr="007A177A">
        <w:rPr>
          <w:rStyle w:val="Refdenotaalpie"/>
          <w:rFonts w:ascii="Arial" w:hAnsi="Arial" w:cs="Arial"/>
          <w:bCs/>
          <w:color w:val="000000"/>
          <w:shd w:val="clear" w:color="auto" w:fill="FFFFFF"/>
        </w:rPr>
        <w:footnoteReference w:id="44"/>
      </w:r>
      <w:r w:rsidR="00625D01" w:rsidRPr="007A177A">
        <w:rPr>
          <w:rFonts w:ascii="Arial" w:hAnsi="Arial" w:cs="Arial"/>
          <w:bCs/>
          <w:color w:val="000000"/>
          <w:shd w:val="clear" w:color="auto" w:fill="FFFFFF"/>
        </w:rPr>
        <w:t xml:space="preserve">, </w:t>
      </w:r>
      <w:r w:rsidR="001D3032" w:rsidRPr="007A177A">
        <w:rPr>
          <w:rFonts w:ascii="Arial" w:hAnsi="Arial" w:cs="Arial"/>
          <w:bCs/>
          <w:color w:val="000000"/>
          <w:shd w:val="clear" w:color="auto" w:fill="FFFFFF"/>
        </w:rPr>
        <w:t>caso en el que aplicó el Decreto 528 de 1964</w:t>
      </w:r>
      <w:r w:rsidR="001534EF" w:rsidRPr="007A177A">
        <w:rPr>
          <w:rFonts w:ascii="Arial" w:hAnsi="Arial" w:cs="Arial"/>
          <w:bCs/>
          <w:color w:val="000000"/>
          <w:shd w:val="clear" w:color="auto" w:fill="FFFFFF"/>
        </w:rPr>
        <w:t xml:space="preserve"> en</w:t>
      </w:r>
      <w:r w:rsidR="001D3032" w:rsidRPr="007A177A">
        <w:rPr>
          <w:rFonts w:ascii="Arial" w:hAnsi="Arial" w:cs="Arial"/>
          <w:bCs/>
          <w:color w:val="000000"/>
          <w:shd w:val="clear" w:color="auto" w:fill="FFFFFF"/>
        </w:rPr>
        <w:t xml:space="preserve"> jurisprudencia </w:t>
      </w:r>
      <w:r w:rsidR="008C4643" w:rsidRPr="007A177A">
        <w:rPr>
          <w:rFonts w:ascii="Arial" w:hAnsi="Arial" w:cs="Arial"/>
          <w:bCs/>
          <w:color w:val="000000"/>
          <w:shd w:val="clear" w:color="auto" w:fill="FFFFFF"/>
        </w:rPr>
        <w:t xml:space="preserve">que fue acogida por </w:t>
      </w:r>
      <w:r w:rsidR="00345CEC" w:rsidRPr="007A177A">
        <w:rPr>
          <w:rFonts w:ascii="Arial" w:hAnsi="Arial" w:cs="Arial"/>
          <w:bCs/>
          <w:color w:val="000000"/>
          <w:shd w:val="clear" w:color="auto" w:fill="FFFFFF"/>
        </w:rPr>
        <w:t xml:space="preserve">la Sección Tercera del Consejo de Estado, </w:t>
      </w:r>
      <w:r w:rsidR="008C4643" w:rsidRPr="007A177A">
        <w:rPr>
          <w:rFonts w:ascii="Arial" w:hAnsi="Arial" w:cs="Arial"/>
          <w:bCs/>
          <w:color w:val="000000"/>
          <w:shd w:val="clear" w:color="auto" w:fill="FFFFFF"/>
        </w:rPr>
        <w:t>según se observa, por ejemplo, e</w:t>
      </w:r>
      <w:r w:rsidR="00345CEC" w:rsidRPr="007A177A">
        <w:rPr>
          <w:rFonts w:ascii="Arial" w:hAnsi="Arial" w:cs="Arial"/>
          <w:bCs/>
          <w:color w:val="000000"/>
          <w:shd w:val="clear" w:color="auto" w:fill="FFFFFF"/>
        </w:rPr>
        <w:t xml:space="preserve">n </w:t>
      </w:r>
      <w:r w:rsidR="00945DEC" w:rsidRPr="007A177A">
        <w:rPr>
          <w:rFonts w:ascii="Arial" w:hAnsi="Arial" w:cs="Arial"/>
          <w:bCs/>
          <w:color w:val="000000"/>
          <w:shd w:val="clear" w:color="auto" w:fill="FFFFFF"/>
        </w:rPr>
        <w:t>el auto de 9 de marzo de 2000</w:t>
      </w:r>
      <w:r w:rsidR="00945DEC" w:rsidRPr="007A177A">
        <w:rPr>
          <w:rStyle w:val="Refdenotaalpie"/>
          <w:rFonts w:ascii="Arial" w:hAnsi="Arial" w:cs="Arial"/>
          <w:bCs/>
          <w:color w:val="000000"/>
          <w:shd w:val="clear" w:color="auto" w:fill="FFFFFF"/>
        </w:rPr>
        <w:footnoteReference w:id="45"/>
      </w:r>
      <w:r w:rsidR="00945DEC" w:rsidRPr="007A177A">
        <w:rPr>
          <w:rFonts w:ascii="Arial" w:hAnsi="Arial" w:cs="Arial"/>
          <w:bCs/>
          <w:color w:val="000000"/>
          <w:shd w:val="clear" w:color="auto" w:fill="FFFFFF"/>
        </w:rPr>
        <w:t xml:space="preserve">, </w:t>
      </w:r>
      <w:r w:rsidR="00345CEC" w:rsidRPr="007A177A">
        <w:rPr>
          <w:rFonts w:ascii="Arial" w:hAnsi="Arial" w:cs="Arial"/>
          <w:bCs/>
          <w:color w:val="000000"/>
          <w:shd w:val="clear" w:color="auto" w:fill="FFFFFF"/>
        </w:rPr>
        <w:t>la</w:t>
      </w:r>
      <w:r w:rsidR="009F65E2" w:rsidRPr="007A177A">
        <w:rPr>
          <w:rFonts w:ascii="Arial" w:hAnsi="Arial" w:cs="Arial"/>
          <w:bCs/>
          <w:color w:val="000000"/>
          <w:shd w:val="clear" w:color="auto" w:fill="FFFFFF"/>
        </w:rPr>
        <w:t>s</w:t>
      </w:r>
      <w:r w:rsidR="00345CEC" w:rsidRPr="007A177A">
        <w:rPr>
          <w:rFonts w:ascii="Arial" w:hAnsi="Arial" w:cs="Arial"/>
          <w:bCs/>
          <w:color w:val="000000"/>
          <w:shd w:val="clear" w:color="auto" w:fill="FFFFFF"/>
        </w:rPr>
        <w:t xml:space="preserve"> sentencia</w:t>
      </w:r>
      <w:r w:rsidR="009F65E2" w:rsidRPr="007A177A">
        <w:rPr>
          <w:rFonts w:ascii="Arial" w:hAnsi="Arial" w:cs="Arial"/>
          <w:bCs/>
          <w:color w:val="000000"/>
          <w:shd w:val="clear" w:color="auto" w:fill="FFFFFF"/>
        </w:rPr>
        <w:t>s</w:t>
      </w:r>
      <w:r w:rsidR="00345CEC" w:rsidRPr="007A177A">
        <w:rPr>
          <w:rFonts w:ascii="Arial" w:hAnsi="Arial" w:cs="Arial"/>
          <w:bCs/>
          <w:color w:val="000000"/>
          <w:shd w:val="clear" w:color="auto" w:fill="FFFFFF"/>
        </w:rPr>
        <w:t xml:space="preserve"> de 9 de </w:t>
      </w:r>
      <w:r w:rsidR="00345CEC" w:rsidRPr="007A177A">
        <w:rPr>
          <w:rFonts w:ascii="Arial" w:hAnsi="Arial" w:cs="Arial"/>
          <w:bCs/>
          <w:color w:val="000000"/>
          <w:shd w:val="clear" w:color="auto" w:fill="FFFFFF"/>
        </w:rPr>
        <w:lastRenderedPageBreak/>
        <w:t>marzo de 1998</w:t>
      </w:r>
      <w:r w:rsidR="00345CEC" w:rsidRPr="007A177A">
        <w:rPr>
          <w:rStyle w:val="Refdenotaalpie"/>
          <w:rFonts w:ascii="Arial" w:hAnsi="Arial" w:cs="Arial"/>
          <w:bCs/>
          <w:color w:val="000000"/>
          <w:shd w:val="clear" w:color="auto" w:fill="FFFFFF"/>
        </w:rPr>
        <w:footnoteReference w:id="46"/>
      </w:r>
      <w:r w:rsidR="00945DEC" w:rsidRPr="007A177A">
        <w:rPr>
          <w:rFonts w:ascii="Arial" w:hAnsi="Arial" w:cs="Arial"/>
          <w:bCs/>
          <w:color w:val="000000"/>
          <w:shd w:val="clear" w:color="auto" w:fill="FFFFFF"/>
        </w:rPr>
        <w:t>, febrero 14 de 2002</w:t>
      </w:r>
      <w:r w:rsidR="00945DEC" w:rsidRPr="007A177A">
        <w:rPr>
          <w:rStyle w:val="Refdenotaalpie"/>
          <w:rFonts w:ascii="Arial" w:hAnsi="Arial" w:cs="Arial"/>
          <w:bCs/>
          <w:color w:val="000000"/>
          <w:shd w:val="clear" w:color="auto" w:fill="FFFFFF"/>
        </w:rPr>
        <w:footnoteReference w:id="47"/>
      </w:r>
      <w:r w:rsidR="00945DEC" w:rsidRPr="007A177A">
        <w:rPr>
          <w:rFonts w:ascii="Arial" w:hAnsi="Arial" w:cs="Arial"/>
          <w:bCs/>
          <w:color w:val="000000"/>
          <w:shd w:val="clear" w:color="auto" w:fill="FFFFFF"/>
        </w:rPr>
        <w:t>, enero 23 de 2003</w:t>
      </w:r>
      <w:r w:rsidR="00945DEC" w:rsidRPr="007A177A">
        <w:rPr>
          <w:rStyle w:val="Refdenotaalpie"/>
          <w:rFonts w:ascii="Arial" w:hAnsi="Arial" w:cs="Arial"/>
          <w:bCs/>
          <w:color w:val="000000"/>
          <w:shd w:val="clear" w:color="auto" w:fill="FFFFFF"/>
        </w:rPr>
        <w:footnoteReference w:id="48"/>
      </w:r>
      <w:r w:rsidR="009F65E2" w:rsidRPr="007A177A">
        <w:rPr>
          <w:rFonts w:ascii="Arial" w:hAnsi="Arial" w:cs="Arial"/>
          <w:bCs/>
          <w:color w:val="000000"/>
          <w:shd w:val="clear" w:color="auto" w:fill="FFFFFF"/>
        </w:rPr>
        <w:t xml:space="preserve"> </w:t>
      </w:r>
      <w:r w:rsidR="00945DEC" w:rsidRPr="007A177A">
        <w:rPr>
          <w:rFonts w:ascii="Arial" w:hAnsi="Arial" w:cs="Arial"/>
          <w:bCs/>
          <w:color w:val="000000"/>
          <w:shd w:val="clear" w:color="auto" w:fill="FFFFFF"/>
        </w:rPr>
        <w:t xml:space="preserve">y </w:t>
      </w:r>
      <w:r w:rsidR="009F65E2" w:rsidRPr="007A177A">
        <w:rPr>
          <w:rFonts w:ascii="Arial" w:hAnsi="Arial" w:cs="Arial"/>
          <w:bCs/>
          <w:color w:val="000000"/>
          <w:shd w:val="clear" w:color="auto" w:fill="FFFFFF"/>
        </w:rPr>
        <w:t>5 de junio de 2008</w:t>
      </w:r>
      <w:r w:rsidR="009F65E2" w:rsidRPr="007A177A">
        <w:rPr>
          <w:rStyle w:val="Refdenotaalpie"/>
          <w:rFonts w:ascii="Arial" w:hAnsi="Arial" w:cs="Arial"/>
          <w:bCs/>
          <w:color w:val="000000"/>
          <w:shd w:val="clear" w:color="auto" w:fill="FFFFFF"/>
        </w:rPr>
        <w:footnoteReference w:id="49"/>
      </w:r>
      <w:r w:rsidR="00345CEC" w:rsidRPr="007A177A">
        <w:rPr>
          <w:rFonts w:ascii="Arial" w:hAnsi="Arial" w:cs="Arial"/>
          <w:bCs/>
          <w:color w:val="000000"/>
          <w:shd w:val="clear" w:color="auto" w:fill="FFFFFF"/>
        </w:rPr>
        <w:t xml:space="preserve">, y </w:t>
      </w:r>
      <w:r w:rsidR="009F2A6A" w:rsidRPr="007A177A">
        <w:rPr>
          <w:rFonts w:ascii="Arial" w:hAnsi="Arial" w:cs="Arial"/>
          <w:bCs/>
          <w:color w:val="000000"/>
          <w:shd w:val="clear" w:color="auto" w:fill="FFFFFF"/>
        </w:rPr>
        <w:t xml:space="preserve">en sentencia de 16 de julio de 2015 proferida </w:t>
      </w:r>
      <w:r w:rsidR="009F65E2" w:rsidRPr="007A177A">
        <w:rPr>
          <w:rFonts w:ascii="Arial" w:hAnsi="Arial" w:cs="Arial"/>
          <w:bCs/>
          <w:color w:val="000000"/>
          <w:shd w:val="clear" w:color="auto" w:fill="FFFFFF"/>
        </w:rPr>
        <w:t xml:space="preserve">por </w:t>
      </w:r>
      <w:r w:rsidR="00E600CC" w:rsidRPr="007A177A">
        <w:rPr>
          <w:rFonts w:ascii="Arial" w:hAnsi="Arial" w:cs="Arial"/>
          <w:bCs/>
          <w:color w:val="000000"/>
          <w:shd w:val="clear" w:color="auto" w:fill="FFFFFF"/>
        </w:rPr>
        <w:t>esta Subsección</w:t>
      </w:r>
      <w:r w:rsidR="00E600CC" w:rsidRPr="007A177A">
        <w:rPr>
          <w:rStyle w:val="Refdenotaalpie"/>
          <w:rFonts w:ascii="Arial" w:hAnsi="Arial" w:cs="Arial"/>
          <w:bCs/>
          <w:color w:val="000000"/>
          <w:shd w:val="clear" w:color="auto" w:fill="FFFFFF"/>
        </w:rPr>
        <w:footnoteReference w:id="50"/>
      </w:r>
      <w:r w:rsidR="00F83E2C" w:rsidRPr="007A177A">
        <w:rPr>
          <w:rFonts w:ascii="Arial" w:hAnsi="Arial" w:cs="Arial"/>
          <w:bCs/>
          <w:color w:val="000000"/>
          <w:shd w:val="clear" w:color="auto" w:fill="FFFFFF"/>
        </w:rPr>
        <w:t>.</w:t>
      </w:r>
      <w:r w:rsidR="00E600CC" w:rsidRPr="007A177A">
        <w:rPr>
          <w:rFonts w:ascii="Arial" w:hAnsi="Arial" w:cs="Arial"/>
          <w:bCs/>
          <w:color w:val="000000"/>
          <w:shd w:val="clear" w:color="auto" w:fill="FFFFFF"/>
        </w:rPr>
        <w:t xml:space="preserve"> </w:t>
      </w:r>
    </w:p>
    <w:p w14:paraId="5C071670" w14:textId="77777777" w:rsidR="00345CEC" w:rsidRPr="007A177A" w:rsidRDefault="00345CEC" w:rsidP="00BF333B">
      <w:pPr>
        <w:spacing w:line="360" w:lineRule="auto"/>
        <w:ind w:right="-284"/>
        <w:jc w:val="both"/>
        <w:rPr>
          <w:rFonts w:ascii="Arial" w:hAnsi="Arial" w:cs="Arial"/>
          <w:bCs/>
          <w:color w:val="000000"/>
          <w:shd w:val="clear" w:color="auto" w:fill="FFFFFF"/>
        </w:rPr>
      </w:pPr>
    </w:p>
    <w:p w14:paraId="16F4A27A" w14:textId="77777777" w:rsidR="00780F4E" w:rsidRPr="007A177A" w:rsidRDefault="00780F4E" w:rsidP="00BF333B">
      <w:pPr>
        <w:spacing w:line="360" w:lineRule="auto"/>
        <w:jc w:val="both"/>
        <w:rPr>
          <w:rFonts w:ascii="Arial" w:hAnsi="Arial" w:cs="Arial"/>
          <w:lang w:val="es-MX"/>
        </w:rPr>
      </w:pPr>
      <w:r w:rsidRPr="007A177A">
        <w:rPr>
          <w:rFonts w:ascii="Arial" w:hAnsi="Arial" w:cs="Arial"/>
          <w:lang w:val="es-MX"/>
        </w:rPr>
        <w:t xml:space="preserve">No se desconoce que en </w:t>
      </w:r>
      <w:r w:rsidR="00D56840" w:rsidRPr="007A177A">
        <w:rPr>
          <w:rFonts w:ascii="Arial" w:hAnsi="Arial" w:cs="Arial"/>
          <w:lang w:val="es-MX"/>
        </w:rPr>
        <w:t xml:space="preserve">2009, en </w:t>
      </w:r>
      <w:r w:rsidRPr="007A177A">
        <w:rPr>
          <w:rFonts w:ascii="Arial" w:hAnsi="Arial" w:cs="Arial"/>
          <w:lang w:val="es-MX"/>
        </w:rPr>
        <w:t>vigencia del Decreto 01 de 1984, contentivo del C</w:t>
      </w:r>
      <w:r w:rsidR="00D70F3E" w:rsidRPr="007A177A">
        <w:rPr>
          <w:rFonts w:ascii="Arial" w:hAnsi="Arial" w:cs="Arial"/>
          <w:lang w:val="es-MX"/>
        </w:rPr>
        <w:t>ódigo Contencioso Administrativo</w:t>
      </w:r>
      <w:r w:rsidR="00D56840" w:rsidRPr="007A177A">
        <w:rPr>
          <w:rFonts w:ascii="Arial" w:hAnsi="Arial" w:cs="Arial"/>
          <w:lang w:val="es-MX"/>
        </w:rPr>
        <w:t xml:space="preserve"> </w:t>
      </w:r>
      <w:r w:rsidR="00BF2733" w:rsidRPr="007A177A">
        <w:rPr>
          <w:rFonts w:ascii="Arial" w:hAnsi="Arial" w:cs="Arial"/>
          <w:i/>
          <w:lang w:val="es-MX"/>
        </w:rPr>
        <w:t>-C</w:t>
      </w:r>
      <w:r w:rsidR="00D56840" w:rsidRPr="007A177A">
        <w:rPr>
          <w:rFonts w:ascii="Arial" w:hAnsi="Arial" w:cs="Arial"/>
          <w:i/>
          <w:lang w:val="es-MX"/>
        </w:rPr>
        <w:t>CA-</w:t>
      </w:r>
      <w:r w:rsidR="00D70F3E" w:rsidRPr="007A177A">
        <w:rPr>
          <w:rFonts w:ascii="Arial" w:hAnsi="Arial" w:cs="Arial"/>
          <w:lang w:val="es-MX"/>
        </w:rPr>
        <w:t xml:space="preserve">, </w:t>
      </w:r>
      <w:r w:rsidRPr="007A177A">
        <w:rPr>
          <w:rFonts w:ascii="Arial" w:hAnsi="Arial" w:cs="Arial"/>
          <w:lang w:val="es-MX"/>
        </w:rPr>
        <w:t xml:space="preserve">la Sección Tercera del Consejo de Estado estudió el tránsito de legislación y entró a declarar la caducidad de la acción contractual frente a </w:t>
      </w:r>
      <w:r w:rsidR="004165AE" w:rsidRPr="007A177A">
        <w:rPr>
          <w:rFonts w:ascii="Arial" w:hAnsi="Arial" w:cs="Arial"/>
          <w:lang w:val="es-MX"/>
        </w:rPr>
        <w:t xml:space="preserve">una </w:t>
      </w:r>
      <w:r w:rsidRPr="007A177A">
        <w:rPr>
          <w:rFonts w:ascii="Arial" w:hAnsi="Arial" w:cs="Arial"/>
          <w:lang w:val="es-MX"/>
        </w:rPr>
        <w:t xml:space="preserve">demanda </w:t>
      </w:r>
      <w:r w:rsidR="00B03D95" w:rsidRPr="007A177A">
        <w:rPr>
          <w:rFonts w:ascii="Arial" w:hAnsi="Arial" w:cs="Arial"/>
          <w:lang w:val="es-MX"/>
        </w:rPr>
        <w:t xml:space="preserve">relacionada con un </w:t>
      </w:r>
      <w:r w:rsidRPr="007A177A">
        <w:rPr>
          <w:rFonts w:ascii="Arial" w:hAnsi="Arial" w:cs="Arial"/>
          <w:lang w:val="es-MX"/>
        </w:rPr>
        <w:t xml:space="preserve">contrato </w:t>
      </w:r>
      <w:r w:rsidR="00C83BE4" w:rsidRPr="007A177A">
        <w:rPr>
          <w:rFonts w:ascii="Arial" w:hAnsi="Arial" w:cs="Arial"/>
          <w:lang w:val="es-MX"/>
        </w:rPr>
        <w:t xml:space="preserve">de </w:t>
      </w:r>
      <w:r w:rsidR="001D078B" w:rsidRPr="007A177A">
        <w:rPr>
          <w:rFonts w:ascii="Arial" w:hAnsi="Arial" w:cs="Arial"/>
          <w:lang w:val="es-MX"/>
        </w:rPr>
        <w:t>compra</w:t>
      </w:r>
      <w:r w:rsidR="00C83BE4" w:rsidRPr="007A177A">
        <w:rPr>
          <w:rFonts w:ascii="Arial" w:hAnsi="Arial" w:cs="Arial"/>
          <w:lang w:val="es-MX"/>
        </w:rPr>
        <w:t>venta</w:t>
      </w:r>
      <w:r w:rsidR="001D078B" w:rsidRPr="007A177A">
        <w:rPr>
          <w:rFonts w:ascii="Arial" w:hAnsi="Arial" w:cs="Arial"/>
          <w:lang w:val="es-MX"/>
        </w:rPr>
        <w:t xml:space="preserve"> celebrado por el</w:t>
      </w:r>
      <w:r w:rsidR="00C83BE4" w:rsidRPr="007A177A">
        <w:rPr>
          <w:rFonts w:ascii="Arial" w:hAnsi="Arial" w:cs="Arial"/>
          <w:lang w:val="es-MX"/>
        </w:rPr>
        <w:t xml:space="preserve"> ICA</w:t>
      </w:r>
      <w:r w:rsidR="001D078B" w:rsidRPr="007A177A">
        <w:rPr>
          <w:rFonts w:ascii="Arial" w:hAnsi="Arial" w:cs="Arial"/>
          <w:lang w:val="es-MX"/>
        </w:rPr>
        <w:t xml:space="preserve"> </w:t>
      </w:r>
      <w:r w:rsidR="009C075C" w:rsidRPr="007A177A">
        <w:rPr>
          <w:rFonts w:ascii="Arial" w:hAnsi="Arial" w:cs="Arial"/>
          <w:lang w:val="es-MX"/>
        </w:rPr>
        <w:t>con anterioridad a</w:t>
      </w:r>
      <w:r w:rsidR="001D078B" w:rsidRPr="007A177A">
        <w:rPr>
          <w:rFonts w:ascii="Arial" w:hAnsi="Arial" w:cs="Arial"/>
          <w:lang w:val="es-MX"/>
        </w:rPr>
        <w:t xml:space="preserve"> la entrada en vigencia del</w:t>
      </w:r>
      <w:r w:rsidR="009C075C" w:rsidRPr="007A177A">
        <w:rPr>
          <w:rFonts w:ascii="Arial" w:hAnsi="Arial" w:cs="Arial"/>
          <w:lang w:val="es-MX"/>
        </w:rPr>
        <w:t xml:space="preserve"> Decreto</w:t>
      </w:r>
      <w:r w:rsidR="001D078B" w:rsidRPr="007A177A">
        <w:rPr>
          <w:rFonts w:ascii="Arial" w:hAnsi="Arial" w:cs="Arial"/>
          <w:lang w:val="es-MX"/>
        </w:rPr>
        <w:t>-ley</w:t>
      </w:r>
      <w:r w:rsidR="009C075C" w:rsidRPr="007A177A">
        <w:rPr>
          <w:rFonts w:ascii="Arial" w:hAnsi="Arial" w:cs="Arial"/>
          <w:lang w:val="es-MX"/>
        </w:rPr>
        <w:t xml:space="preserve"> 150 de 1976</w:t>
      </w:r>
      <w:r w:rsidR="00C83BE4" w:rsidRPr="007A177A">
        <w:rPr>
          <w:rFonts w:ascii="Arial" w:hAnsi="Arial" w:cs="Arial"/>
          <w:lang w:val="es-MX"/>
        </w:rPr>
        <w:t>,</w:t>
      </w:r>
      <w:r w:rsidR="00044CE1" w:rsidRPr="007A177A">
        <w:rPr>
          <w:rFonts w:ascii="Arial" w:hAnsi="Arial" w:cs="Arial"/>
          <w:lang w:val="es-MX"/>
        </w:rPr>
        <w:t xml:space="preserve"> en el que </w:t>
      </w:r>
      <w:r w:rsidRPr="007A177A">
        <w:rPr>
          <w:rFonts w:ascii="Arial" w:hAnsi="Arial" w:cs="Arial"/>
          <w:lang w:val="es-MX"/>
        </w:rPr>
        <w:t xml:space="preserve">había </w:t>
      </w:r>
      <w:r w:rsidR="00044CE1" w:rsidRPr="007A177A">
        <w:rPr>
          <w:rFonts w:ascii="Arial" w:hAnsi="Arial" w:cs="Arial"/>
          <w:lang w:val="es-MX"/>
        </w:rPr>
        <w:t xml:space="preserve">tenido </w:t>
      </w:r>
      <w:r w:rsidR="008D782A" w:rsidRPr="007A177A">
        <w:rPr>
          <w:rFonts w:ascii="Arial" w:hAnsi="Arial" w:cs="Arial"/>
          <w:lang w:val="es-MX"/>
        </w:rPr>
        <w:t xml:space="preserve">lugar un </w:t>
      </w:r>
      <w:r w:rsidR="00044CE1" w:rsidRPr="007A177A">
        <w:rPr>
          <w:rFonts w:ascii="Arial" w:hAnsi="Arial" w:cs="Arial"/>
          <w:lang w:val="es-MX"/>
        </w:rPr>
        <w:t xml:space="preserve">incumplimiento relacionado con </w:t>
      </w:r>
      <w:r w:rsidR="008D782A" w:rsidRPr="007A177A">
        <w:rPr>
          <w:rFonts w:ascii="Arial" w:hAnsi="Arial" w:cs="Arial"/>
          <w:lang w:val="es-MX"/>
        </w:rPr>
        <w:t>la asistencia técnica</w:t>
      </w:r>
      <w:r w:rsidR="00C83BE4" w:rsidRPr="007A177A">
        <w:rPr>
          <w:rFonts w:ascii="Arial" w:hAnsi="Arial" w:cs="Arial"/>
          <w:lang w:val="es-MX"/>
        </w:rPr>
        <w:t>,</w:t>
      </w:r>
      <w:r w:rsidR="008D782A" w:rsidRPr="007A177A">
        <w:rPr>
          <w:rFonts w:ascii="Arial" w:hAnsi="Arial" w:cs="Arial"/>
          <w:lang w:val="es-MX"/>
        </w:rPr>
        <w:t xml:space="preserve"> evidenciad</w:t>
      </w:r>
      <w:r w:rsidR="00044CE1" w:rsidRPr="007A177A">
        <w:rPr>
          <w:rFonts w:ascii="Arial" w:hAnsi="Arial" w:cs="Arial"/>
          <w:lang w:val="es-MX"/>
        </w:rPr>
        <w:t>o</w:t>
      </w:r>
      <w:r w:rsidR="008D782A" w:rsidRPr="007A177A">
        <w:rPr>
          <w:rFonts w:ascii="Arial" w:hAnsi="Arial" w:cs="Arial"/>
          <w:lang w:val="es-MX"/>
        </w:rPr>
        <w:t xml:space="preserve"> </w:t>
      </w:r>
      <w:r w:rsidR="009C075C" w:rsidRPr="007A177A">
        <w:rPr>
          <w:rFonts w:ascii="Arial" w:hAnsi="Arial" w:cs="Arial"/>
          <w:lang w:val="es-MX"/>
        </w:rPr>
        <w:t xml:space="preserve">unos meses antes de </w:t>
      </w:r>
      <w:r w:rsidR="002A6179" w:rsidRPr="007A177A">
        <w:rPr>
          <w:rFonts w:ascii="Arial" w:hAnsi="Arial" w:cs="Arial"/>
          <w:lang w:val="es-MX"/>
        </w:rPr>
        <w:t>la expedición del CCA</w:t>
      </w:r>
      <w:r w:rsidRPr="007A177A">
        <w:rPr>
          <w:rFonts w:ascii="Arial" w:hAnsi="Arial" w:cs="Arial"/>
          <w:lang w:val="es-MX"/>
        </w:rPr>
        <w:t xml:space="preserve">, </w:t>
      </w:r>
      <w:r w:rsidR="00D56840" w:rsidRPr="007A177A">
        <w:rPr>
          <w:rFonts w:ascii="Arial" w:hAnsi="Arial" w:cs="Arial"/>
          <w:lang w:val="es-MX"/>
        </w:rPr>
        <w:t xml:space="preserve">dado que </w:t>
      </w:r>
      <w:r w:rsidR="00857E17" w:rsidRPr="007A177A">
        <w:rPr>
          <w:rFonts w:ascii="Arial" w:hAnsi="Arial" w:cs="Arial"/>
          <w:lang w:val="es-MX"/>
        </w:rPr>
        <w:t>-</w:t>
      </w:r>
      <w:r w:rsidR="00857E17" w:rsidRPr="007A177A">
        <w:rPr>
          <w:rFonts w:ascii="Arial" w:hAnsi="Arial" w:cs="Arial"/>
          <w:i/>
          <w:lang w:val="es-MX"/>
        </w:rPr>
        <w:t>en ese litigio</w:t>
      </w:r>
      <w:r w:rsidR="00857E17" w:rsidRPr="007A177A">
        <w:rPr>
          <w:rFonts w:ascii="Arial" w:hAnsi="Arial" w:cs="Arial"/>
          <w:lang w:val="es-MX"/>
        </w:rPr>
        <w:t xml:space="preserve">- </w:t>
      </w:r>
      <w:r w:rsidR="00C83BE4" w:rsidRPr="007A177A">
        <w:rPr>
          <w:rFonts w:ascii="Arial" w:hAnsi="Arial" w:cs="Arial"/>
          <w:lang w:val="es-MX"/>
        </w:rPr>
        <w:t xml:space="preserve">se </w:t>
      </w:r>
      <w:r w:rsidRPr="007A177A">
        <w:rPr>
          <w:rFonts w:ascii="Arial" w:hAnsi="Arial" w:cs="Arial"/>
          <w:lang w:val="es-MX"/>
        </w:rPr>
        <w:t xml:space="preserve">estimó que por la observancia inmediata de la ley procesal se imponía la aplicación del término </w:t>
      </w:r>
      <w:r w:rsidR="00C51369" w:rsidRPr="007A177A">
        <w:rPr>
          <w:rFonts w:ascii="Arial" w:hAnsi="Arial" w:cs="Arial"/>
          <w:lang w:val="es-MX"/>
        </w:rPr>
        <w:t xml:space="preserve">de caducidad de </w:t>
      </w:r>
      <w:r w:rsidRPr="007A177A">
        <w:rPr>
          <w:rFonts w:ascii="Arial" w:hAnsi="Arial" w:cs="Arial"/>
          <w:lang w:val="es-MX"/>
        </w:rPr>
        <w:t>dos años contado desde el 1º de marzo de 1984</w:t>
      </w:r>
      <w:r w:rsidRPr="007A177A">
        <w:rPr>
          <w:rStyle w:val="Refdenotaalpie"/>
          <w:rFonts w:ascii="Arial" w:hAnsi="Arial" w:cs="Arial"/>
          <w:lang w:val="es-MX"/>
        </w:rPr>
        <w:footnoteReference w:id="51"/>
      </w:r>
      <w:r w:rsidR="002A6179" w:rsidRPr="007A177A">
        <w:rPr>
          <w:rFonts w:ascii="Arial" w:hAnsi="Arial" w:cs="Arial"/>
          <w:lang w:val="es-MX"/>
        </w:rPr>
        <w:t xml:space="preserve">, fecha en que empezó a regir el </w:t>
      </w:r>
      <w:r w:rsidR="00F0111F" w:rsidRPr="007A177A">
        <w:rPr>
          <w:rFonts w:ascii="Arial" w:hAnsi="Arial" w:cs="Arial"/>
          <w:lang w:val="es-MX"/>
        </w:rPr>
        <w:t xml:space="preserve">citado </w:t>
      </w:r>
      <w:r w:rsidR="002A6179" w:rsidRPr="007A177A">
        <w:rPr>
          <w:rFonts w:ascii="Arial" w:hAnsi="Arial" w:cs="Arial"/>
          <w:lang w:val="es-MX"/>
        </w:rPr>
        <w:t>código</w:t>
      </w:r>
      <w:r w:rsidRPr="007A177A">
        <w:rPr>
          <w:rFonts w:ascii="Arial" w:hAnsi="Arial" w:cs="Arial"/>
          <w:lang w:val="es-MX"/>
        </w:rPr>
        <w:t xml:space="preserve">. </w:t>
      </w:r>
    </w:p>
    <w:p w14:paraId="114A0308" w14:textId="77777777" w:rsidR="00780F4E" w:rsidRPr="007A177A" w:rsidRDefault="00780F4E" w:rsidP="00BF333B">
      <w:pPr>
        <w:spacing w:line="360" w:lineRule="auto"/>
        <w:jc w:val="both"/>
        <w:rPr>
          <w:rFonts w:ascii="Arial" w:hAnsi="Arial" w:cs="Arial"/>
          <w:lang w:val="es-MX"/>
        </w:rPr>
      </w:pPr>
    </w:p>
    <w:p w14:paraId="5F62FB82" w14:textId="77777777" w:rsidR="000953A8" w:rsidRPr="007A177A" w:rsidRDefault="00780F4E" w:rsidP="00BF333B">
      <w:pPr>
        <w:spacing w:line="360" w:lineRule="auto"/>
        <w:jc w:val="both"/>
        <w:rPr>
          <w:rFonts w:ascii="Arial" w:hAnsi="Arial" w:cs="Arial"/>
          <w:shd w:val="clear" w:color="auto" w:fill="E0E0E0"/>
        </w:rPr>
      </w:pPr>
      <w:r w:rsidRPr="007A177A">
        <w:rPr>
          <w:rFonts w:ascii="Arial" w:hAnsi="Arial" w:cs="Arial"/>
          <w:lang w:val="es-MX"/>
        </w:rPr>
        <w:t xml:space="preserve">Sin embargo, </w:t>
      </w:r>
      <w:r w:rsidR="002A6179" w:rsidRPr="007A177A">
        <w:rPr>
          <w:rFonts w:ascii="Arial" w:hAnsi="Arial" w:cs="Arial"/>
          <w:lang w:val="es-MX"/>
        </w:rPr>
        <w:t xml:space="preserve">la </w:t>
      </w:r>
      <w:r w:rsidRPr="007A177A">
        <w:rPr>
          <w:rFonts w:ascii="Arial" w:hAnsi="Arial" w:cs="Arial"/>
          <w:lang w:val="es-MX"/>
        </w:rPr>
        <w:t xml:space="preserve">jurisprudencia </w:t>
      </w:r>
      <w:r w:rsidR="002A6179" w:rsidRPr="007A177A">
        <w:rPr>
          <w:rFonts w:ascii="Arial" w:hAnsi="Arial" w:cs="Arial"/>
          <w:lang w:val="es-MX"/>
        </w:rPr>
        <w:t xml:space="preserve">de la Sección Tercera que se acaba de referir </w:t>
      </w:r>
      <w:r w:rsidRPr="007A177A">
        <w:rPr>
          <w:rFonts w:ascii="Arial" w:hAnsi="Arial" w:cs="Arial"/>
          <w:lang w:val="es-MX"/>
        </w:rPr>
        <w:t xml:space="preserve">no se puede seguir en el caso </w:t>
      </w:r>
      <w:r w:rsidRPr="007A177A">
        <w:rPr>
          <w:rFonts w:ascii="Arial" w:hAnsi="Arial" w:cs="Arial"/>
          <w:i/>
          <w:lang w:val="es-MX"/>
        </w:rPr>
        <w:t>sub lite</w:t>
      </w:r>
      <w:r w:rsidRPr="007A177A">
        <w:rPr>
          <w:rFonts w:ascii="Arial" w:hAnsi="Arial" w:cs="Arial"/>
          <w:lang w:val="es-MX"/>
        </w:rPr>
        <w:t xml:space="preserve">, por cuanto para la época en que empezó a </w:t>
      </w:r>
      <w:r w:rsidR="00AE52D2" w:rsidRPr="007A177A">
        <w:rPr>
          <w:rFonts w:ascii="Arial" w:hAnsi="Arial" w:cs="Arial"/>
          <w:lang w:val="es-MX"/>
        </w:rPr>
        <w:t xml:space="preserve">correr </w:t>
      </w:r>
      <w:r w:rsidRPr="007A177A">
        <w:rPr>
          <w:rFonts w:ascii="Arial" w:hAnsi="Arial" w:cs="Arial"/>
          <w:lang w:val="es-MX"/>
        </w:rPr>
        <w:t xml:space="preserve">el término para presentar la demanda operaba </w:t>
      </w:r>
      <w:r w:rsidR="00D70F3E" w:rsidRPr="007A177A">
        <w:rPr>
          <w:rFonts w:ascii="Arial" w:hAnsi="Arial" w:cs="Arial"/>
          <w:lang w:val="es-MX"/>
        </w:rPr>
        <w:t xml:space="preserve">el de </w:t>
      </w:r>
      <w:r w:rsidR="002A6179" w:rsidRPr="007A177A">
        <w:rPr>
          <w:rFonts w:ascii="Arial" w:hAnsi="Arial" w:cs="Arial"/>
          <w:lang w:val="es-MX"/>
        </w:rPr>
        <w:t xml:space="preserve">la </w:t>
      </w:r>
      <w:r w:rsidRPr="007A177A">
        <w:rPr>
          <w:rFonts w:ascii="Arial" w:hAnsi="Arial" w:cs="Arial"/>
          <w:lang w:val="es-MX"/>
        </w:rPr>
        <w:t xml:space="preserve">prescripción de la acción, teniendo en cuenta lo siguiente: </w:t>
      </w:r>
      <w:r w:rsidRPr="007A177A">
        <w:rPr>
          <w:rFonts w:ascii="Arial" w:hAnsi="Arial" w:cs="Arial"/>
          <w:b/>
          <w:lang w:val="es-MX"/>
        </w:rPr>
        <w:t>i)</w:t>
      </w:r>
      <w:r w:rsidRPr="007A177A">
        <w:rPr>
          <w:rFonts w:ascii="Arial" w:hAnsi="Arial" w:cs="Arial"/>
          <w:lang w:val="es-MX"/>
        </w:rPr>
        <w:t xml:space="preserve"> en el artículo 30 del Decreto 528 de 1964 se introdujo la competencia de la jurisdicción de lo contencioso administrativo para conocer de las controversias contractuales de las entidades públicas y, por otra parte, en </w:t>
      </w:r>
      <w:r w:rsidR="003412A7" w:rsidRPr="007A177A">
        <w:rPr>
          <w:rFonts w:ascii="Arial" w:hAnsi="Arial" w:cs="Arial"/>
          <w:lang w:val="es-MX"/>
        </w:rPr>
        <w:t xml:space="preserve">el </w:t>
      </w:r>
      <w:r w:rsidRPr="007A177A">
        <w:rPr>
          <w:rFonts w:ascii="Arial" w:hAnsi="Arial" w:cs="Arial"/>
          <w:lang w:val="es-MX"/>
        </w:rPr>
        <w:t>artículo 28 de ese decreto se fijó una regla de oportunidad de la demanda</w:t>
      </w:r>
      <w:r w:rsidR="00B53C8E" w:rsidRPr="007A177A">
        <w:rPr>
          <w:rFonts w:ascii="Arial" w:hAnsi="Arial" w:cs="Arial"/>
          <w:lang w:val="es-MX"/>
        </w:rPr>
        <w:t xml:space="preserve">, únicamente </w:t>
      </w:r>
      <w:r w:rsidR="000953A8" w:rsidRPr="007A177A">
        <w:rPr>
          <w:rFonts w:ascii="Arial" w:hAnsi="Arial" w:cs="Arial"/>
          <w:lang w:val="es-MX"/>
        </w:rPr>
        <w:t xml:space="preserve">para  </w:t>
      </w:r>
      <w:r w:rsidR="000953A8" w:rsidRPr="007A177A">
        <w:rPr>
          <w:rFonts w:ascii="Arial" w:hAnsi="Arial" w:cs="Arial"/>
          <w:i/>
          <w:lang w:val="es-MX"/>
        </w:rPr>
        <w:t>“</w:t>
      </w:r>
      <w:r w:rsidR="000953A8" w:rsidRPr="007A177A">
        <w:rPr>
          <w:rFonts w:ascii="Arial" w:hAnsi="Arial" w:cs="Arial"/>
          <w:i/>
        </w:rPr>
        <w:t>las acciones indemnizatorias por hechos u operaciones de la administración […] condicionada a que dichas acciones se instauren dentro de los tres años siguientes a la realización del hecho u operación correspondiente”,</w:t>
      </w:r>
      <w:r w:rsidR="000953A8" w:rsidRPr="007A177A">
        <w:rPr>
          <w:rFonts w:ascii="Arial" w:hAnsi="Arial" w:cs="Arial"/>
        </w:rPr>
        <w:t xml:space="preserve"> por lo cual se concluye –</w:t>
      </w:r>
      <w:r w:rsidR="000953A8" w:rsidRPr="007A177A">
        <w:rPr>
          <w:rFonts w:ascii="Arial" w:hAnsi="Arial" w:cs="Arial"/>
          <w:i/>
        </w:rPr>
        <w:t>como lo hizo en su oportunidad la Sala Plena de lo Contencioso Administrativo</w:t>
      </w:r>
      <w:r w:rsidR="000953A8" w:rsidRPr="007A177A">
        <w:rPr>
          <w:rFonts w:ascii="Arial" w:hAnsi="Arial" w:cs="Arial"/>
        </w:rPr>
        <w:t xml:space="preserve">- que para las controversias contractuales la demanda podía presentarse, oportunamente, dentro del mismo término de la prescripción del Código Civil,  </w:t>
      </w:r>
      <w:r w:rsidR="000953A8" w:rsidRPr="007A177A">
        <w:rPr>
          <w:rFonts w:ascii="Arial" w:hAnsi="Arial" w:cs="Arial"/>
          <w:b/>
        </w:rPr>
        <w:t>ii)</w:t>
      </w:r>
      <w:r w:rsidR="000953A8" w:rsidRPr="007A177A">
        <w:rPr>
          <w:rFonts w:ascii="Arial" w:hAnsi="Arial" w:cs="Arial"/>
        </w:rPr>
        <w:t xml:space="preserve"> El análisis del tránsito de legislación se precisó en la jurisprudencia que se desarrolló al reintroducirse el término de 20 años para interponer las acciones contractuales, por virtud de la Ley 80 de 1993, vigente hasta que se expidió la Ley 446 de 1998, respecto de la cual se indicó que debían respetarse las reglas de los </w:t>
      </w:r>
      <w:r w:rsidR="000953A8" w:rsidRPr="007A177A">
        <w:rPr>
          <w:rFonts w:ascii="Arial" w:hAnsi="Arial" w:cs="Arial"/>
          <w:i/>
        </w:rPr>
        <w:t>“términos que hubiesen empezado a correr”</w:t>
      </w:r>
      <w:r w:rsidR="000953A8" w:rsidRPr="007A177A">
        <w:rPr>
          <w:rStyle w:val="Refdenotaalpie"/>
          <w:rFonts w:ascii="Arial" w:hAnsi="Arial" w:cs="Arial"/>
        </w:rPr>
        <w:footnoteReference w:id="52"/>
      </w:r>
      <w:r w:rsidR="000953A8" w:rsidRPr="007A177A">
        <w:rPr>
          <w:rFonts w:ascii="Arial" w:hAnsi="Arial" w:cs="Arial"/>
          <w:i/>
        </w:rPr>
        <w:t>.</w:t>
      </w:r>
      <w:r w:rsidR="000953A8" w:rsidRPr="007A177A">
        <w:rPr>
          <w:rFonts w:ascii="Arial" w:hAnsi="Arial" w:cs="Arial"/>
          <w:shd w:val="clear" w:color="auto" w:fill="E0E0E0"/>
        </w:rPr>
        <w:t xml:space="preserve"> </w:t>
      </w:r>
    </w:p>
    <w:p w14:paraId="00DC818F" w14:textId="77777777" w:rsidR="00780F4E" w:rsidRPr="007A177A" w:rsidRDefault="00780F4E" w:rsidP="00BF333B">
      <w:pPr>
        <w:spacing w:line="360" w:lineRule="auto"/>
        <w:ind w:right="-284"/>
        <w:jc w:val="both"/>
        <w:rPr>
          <w:rFonts w:ascii="Arial" w:hAnsi="Arial" w:cs="Arial"/>
          <w:bCs/>
          <w:color w:val="000000"/>
          <w:shd w:val="clear" w:color="auto" w:fill="FFFFFF"/>
        </w:rPr>
      </w:pPr>
    </w:p>
    <w:p w14:paraId="2662E972" w14:textId="77777777" w:rsidR="00015653" w:rsidRPr="007A177A" w:rsidRDefault="004116C6" w:rsidP="00BF333B">
      <w:pPr>
        <w:spacing w:line="360" w:lineRule="auto"/>
        <w:jc w:val="both"/>
        <w:rPr>
          <w:rFonts w:ascii="Arial" w:hAnsi="Arial" w:cs="Arial"/>
          <w:color w:val="000000"/>
          <w:shd w:val="clear" w:color="auto" w:fill="FFFFFF"/>
        </w:rPr>
      </w:pPr>
      <w:r w:rsidRPr="007A177A">
        <w:rPr>
          <w:rFonts w:ascii="Arial" w:hAnsi="Arial" w:cs="Arial"/>
          <w:color w:val="000000"/>
          <w:shd w:val="clear" w:color="auto" w:fill="FFFFFF"/>
        </w:rPr>
        <w:t xml:space="preserve">En este último sentido se </w:t>
      </w:r>
      <w:r w:rsidR="00015653" w:rsidRPr="007A177A">
        <w:rPr>
          <w:rFonts w:ascii="Arial" w:hAnsi="Arial" w:cs="Arial"/>
          <w:color w:val="000000"/>
          <w:shd w:val="clear" w:color="auto" w:fill="FFFFFF"/>
        </w:rPr>
        <w:t>reafirma</w:t>
      </w:r>
      <w:r w:rsidRPr="007A177A">
        <w:rPr>
          <w:rFonts w:ascii="Arial" w:hAnsi="Arial" w:cs="Arial"/>
          <w:color w:val="000000"/>
          <w:shd w:val="clear" w:color="auto" w:fill="FFFFFF"/>
        </w:rPr>
        <w:t xml:space="preserve">n los </w:t>
      </w:r>
      <w:r w:rsidR="00015653" w:rsidRPr="007A177A">
        <w:rPr>
          <w:rFonts w:ascii="Arial" w:hAnsi="Arial" w:cs="Arial"/>
          <w:color w:val="000000"/>
          <w:shd w:val="clear" w:color="auto" w:fill="FFFFFF"/>
        </w:rPr>
        <w:t xml:space="preserve"> pronunciamiento</w:t>
      </w:r>
      <w:r w:rsidR="00C51369" w:rsidRPr="007A177A">
        <w:rPr>
          <w:rFonts w:ascii="Arial" w:hAnsi="Arial" w:cs="Arial"/>
          <w:color w:val="000000"/>
          <w:shd w:val="clear" w:color="auto" w:fill="FFFFFF"/>
        </w:rPr>
        <w:t>s de</w:t>
      </w:r>
      <w:r w:rsidR="00015653" w:rsidRPr="007A177A">
        <w:rPr>
          <w:rFonts w:ascii="Arial" w:hAnsi="Arial" w:cs="Arial"/>
          <w:color w:val="000000"/>
          <w:shd w:val="clear" w:color="auto" w:fill="FFFFFF"/>
        </w:rPr>
        <w:t xml:space="preserve"> </w:t>
      </w:r>
      <w:r w:rsidR="00106248" w:rsidRPr="007A177A">
        <w:rPr>
          <w:rFonts w:ascii="Arial" w:hAnsi="Arial" w:cs="Arial"/>
          <w:color w:val="000000"/>
          <w:shd w:val="clear" w:color="auto" w:fill="FFFFFF"/>
        </w:rPr>
        <w:t xml:space="preserve">la </w:t>
      </w:r>
      <w:r w:rsidR="00015653" w:rsidRPr="007A177A">
        <w:rPr>
          <w:rFonts w:ascii="Arial" w:hAnsi="Arial" w:cs="Arial"/>
          <w:color w:val="000000"/>
          <w:shd w:val="clear" w:color="auto" w:fill="FFFFFF"/>
        </w:rPr>
        <w:t xml:space="preserve">Subsección </w:t>
      </w:r>
      <w:r w:rsidR="00106248" w:rsidRPr="007A177A">
        <w:rPr>
          <w:rFonts w:ascii="Arial" w:hAnsi="Arial" w:cs="Arial"/>
          <w:color w:val="000000"/>
          <w:shd w:val="clear" w:color="auto" w:fill="FFFFFF"/>
        </w:rPr>
        <w:t>A</w:t>
      </w:r>
      <w:r w:rsidR="00E34605" w:rsidRPr="007A177A">
        <w:rPr>
          <w:rFonts w:ascii="Arial" w:hAnsi="Arial" w:cs="Arial"/>
          <w:color w:val="000000"/>
          <w:shd w:val="clear" w:color="auto" w:fill="FFFFFF"/>
        </w:rPr>
        <w:t>,</w:t>
      </w:r>
      <w:r w:rsidR="00106248" w:rsidRPr="007A177A">
        <w:rPr>
          <w:rFonts w:ascii="Arial" w:hAnsi="Arial" w:cs="Arial"/>
          <w:color w:val="000000"/>
          <w:shd w:val="clear" w:color="auto" w:fill="FFFFFF"/>
        </w:rPr>
        <w:t xml:space="preserve"> </w:t>
      </w:r>
      <w:r w:rsidR="00015653" w:rsidRPr="007A177A">
        <w:rPr>
          <w:rFonts w:ascii="Arial" w:hAnsi="Arial" w:cs="Arial"/>
          <w:color w:val="000000"/>
          <w:shd w:val="clear" w:color="auto" w:fill="FFFFFF"/>
        </w:rPr>
        <w:t>en orden a advertir la naturaleza de las normas relativas a la caducidad de la acción (hoy medio de control) contractual</w:t>
      </w:r>
      <w:r w:rsidR="00BD0C67" w:rsidRPr="007A177A">
        <w:rPr>
          <w:rFonts w:ascii="Arial" w:hAnsi="Arial" w:cs="Arial"/>
          <w:color w:val="000000"/>
          <w:shd w:val="clear" w:color="auto" w:fill="FFFFFF"/>
        </w:rPr>
        <w:t xml:space="preserve"> que le imprime el </w:t>
      </w:r>
      <w:r w:rsidRPr="007A177A">
        <w:rPr>
          <w:rFonts w:ascii="Arial" w:hAnsi="Arial" w:cs="Arial"/>
          <w:color w:val="000000"/>
          <w:shd w:val="clear" w:color="auto" w:fill="FFFFFF"/>
        </w:rPr>
        <w:t xml:space="preserve">carácter procesal y se aplican de acuerdo con </w:t>
      </w:r>
      <w:r w:rsidRPr="007A177A">
        <w:rPr>
          <w:rFonts w:ascii="Arial" w:hAnsi="Arial" w:cs="Arial"/>
          <w:i/>
          <w:color w:val="000000"/>
          <w:shd w:val="clear" w:color="auto" w:fill="FFFFFF"/>
        </w:rPr>
        <w:t>“</w:t>
      </w:r>
      <w:r w:rsidR="00015653" w:rsidRPr="007A177A">
        <w:rPr>
          <w:rFonts w:ascii="Arial" w:hAnsi="Arial" w:cs="Arial"/>
          <w:i/>
          <w:color w:val="000000"/>
          <w:shd w:val="clear" w:color="auto" w:fill="FFFFFF"/>
        </w:rPr>
        <w:t>el plazo previsto en la norma vigente al momento que ocurre el supuesto que permite acudir a la jurisdicción</w:t>
      </w:r>
      <w:r w:rsidRPr="007A177A">
        <w:rPr>
          <w:rFonts w:ascii="Arial" w:hAnsi="Arial" w:cs="Arial"/>
          <w:i/>
          <w:color w:val="000000"/>
          <w:shd w:val="clear" w:color="auto" w:fill="FFFFFF"/>
        </w:rPr>
        <w:t>”</w:t>
      </w:r>
      <w:r w:rsidR="00015653" w:rsidRPr="007A177A">
        <w:rPr>
          <w:rFonts w:ascii="Arial" w:hAnsi="Arial" w:cs="Arial"/>
          <w:i/>
          <w:color w:val="000000"/>
          <w:shd w:val="clear" w:color="auto" w:fill="FFFFFF"/>
        </w:rPr>
        <w:t>,</w:t>
      </w:r>
      <w:r w:rsidR="00015653" w:rsidRPr="007A177A">
        <w:rPr>
          <w:rFonts w:ascii="Arial" w:hAnsi="Arial" w:cs="Arial"/>
          <w:color w:val="000000"/>
          <w:shd w:val="clear" w:color="auto" w:fill="FFFFFF"/>
        </w:rPr>
        <w:t xml:space="preserve"> así: </w:t>
      </w:r>
    </w:p>
    <w:p w14:paraId="3BA2917C" w14:textId="77777777" w:rsidR="00015653" w:rsidRPr="007A177A" w:rsidRDefault="00015653" w:rsidP="00BF333B">
      <w:pPr>
        <w:spacing w:line="360" w:lineRule="auto"/>
        <w:jc w:val="both"/>
        <w:rPr>
          <w:rFonts w:ascii="Arial" w:hAnsi="Arial" w:cs="Arial"/>
          <w:color w:val="000000"/>
          <w:shd w:val="clear" w:color="auto" w:fill="FFFFFF"/>
        </w:rPr>
      </w:pPr>
    </w:p>
    <w:p w14:paraId="66B40392" w14:textId="77777777" w:rsidR="00015653" w:rsidRPr="007A177A" w:rsidRDefault="00015653" w:rsidP="00BF333B">
      <w:pPr>
        <w:ind w:left="851" w:right="902"/>
        <w:jc w:val="both"/>
        <w:rPr>
          <w:rFonts w:ascii="Arial" w:hAnsi="Arial" w:cs="Arial"/>
          <w:bCs/>
        </w:rPr>
      </w:pPr>
      <w:r w:rsidRPr="007A177A">
        <w:rPr>
          <w:rFonts w:ascii="Arial" w:hAnsi="Arial" w:cs="Arial"/>
        </w:rPr>
        <w:t>“</w:t>
      </w:r>
      <w:r w:rsidRPr="007A177A">
        <w:rPr>
          <w:rFonts w:ascii="Arial" w:hAnsi="Arial" w:cs="Arial"/>
          <w:i/>
        </w:rPr>
        <w:t xml:space="preserve">Las normas relativas a la caducidad de la acción son de naturaleza procesal, pese a que tienen un trasfondo sustancial, porque limitan en el tiempo el ejercicio del derecho público de acción, por consiguiente, </w:t>
      </w:r>
      <w:r w:rsidRPr="007A177A">
        <w:rPr>
          <w:rFonts w:ascii="Arial" w:hAnsi="Arial" w:cs="Arial"/>
          <w:bCs/>
          <w:i/>
        </w:rPr>
        <w:t xml:space="preserve">los límites objetivo - temporales que extinguen con el paso del tiempo la posibilidad de poner en funcionamiento el aparato jurisdiccional </w:t>
      </w:r>
      <w:r w:rsidRPr="007A177A">
        <w:rPr>
          <w:rFonts w:ascii="Arial" w:hAnsi="Arial" w:cs="Arial"/>
          <w:b/>
          <w:bCs/>
          <w:i/>
        </w:rPr>
        <w:t>se encuentran supeditados a la normatividad imperante al momento en que acontece el supuesto que permite acudir a la jurisdicción</w:t>
      </w:r>
      <w:r w:rsidRPr="007A177A">
        <w:rPr>
          <w:rFonts w:ascii="Arial" w:hAnsi="Arial" w:cs="Arial"/>
          <w:bCs/>
          <w:i/>
        </w:rPr>
        <w:t xml:space="preserve">, en procura de la </w:t>
      </w:r>
      <w:r w:rsidRPr="007A177A">
        <w:rPr>
          <w:rFonts w:ascii="Arial" w:hAnsi="Arial" w:cs="Arial"/>
          <w:i/>
        </w:rPr>
        <w:t>protección o de la satisfacción del derecho subjetivo conculcado</w:t>
      </w:r>
      <w:r w:rsidRPr="007A177A">
        <w:rPr>
          <w:rFonts w:ascii="Arial" w:hAnsi="Arial" w:cs="Arial"/>
          <w:bCs/>
          <w:i/>
        </w:rPr>
        <w:t xml:space="preserve">, de manera que la inactividad del administrado, por el período determinado en la ley, genera inexorablemente la caducidad de la </w:t>
      </w:r>
      <w:r w:rsidRPr="007A177A">
        <w:rPr>
          <w:rFonts w:ascii="Arial" w:hAnsi="Arial" w:cs="Arial"/>
          <w:bCs/>
          <w:i/>
        </w:rPr>
        <w:lastRenderedPageBreak/>
        <w:t>acción. Tal planteamiento se acompasa con lo previsto por los artículos 38 y 40 de la Ley 153 de 1887”</w:t>
      </w:r>
      <w:r w:rsidRPr="007A177A">
        <w:rPr>
          <w:rStyle w:val="Refdenotaalpie"/>
          <w:rFonts w:ascii="Arial" w:hAnsi="Arial" w:cs="Arial"/>
          <w:bCs/>
          <w:i/>
        </w:rPr>
        <w:footnoteReference w:id="53"/>
      </w:r>
      <w:r w:rsidR="00C51369" w:rsidRPr="007A177A">
        <w:rPr>
          <w:rFonts w:ascii="Arial" w:hAnsi="Arial" w:cs="Arial"/>
          <w:bCs/>
          <w:i/>
        </w:rPr>
        <w:t xml:space="preserve"> </w:t>
      </w:r>
      <w:r w:rsidR="00C51369" w:rsidRPr="007A177A">
        <w:rPr>
          <w:rFonts w:ascii="Arial" w:hAnsi="Arial" w:cs="Arial"/>
          <w:bCs/>
        </w:rPr>
        <w:t>(la negrilla no es del texto)</w:t>
      </w:r>
      <w:r w:rsidRPr="007A177A">
        <w:rPr>
          <w:rFonts w:ascii="Arial" w:hAnsi="Arial" w:cs="Arial"/>
          <w:bCs/>
        </w:rPr>
        <w:t>.</w:t>
      </w:r>
    </w:p>
    <w:p w14:paraId="66F23F84" w14:textId="77777777" w:rsidR="00015653" w:rsidRPr="007A177A" w:rsidRDefault="00015653" w:rsidP="00BF333B">
      <w:pPr>
        <w:spacing w:line="360" w:lineRule="auto"/>
        <w:ind w:right="-284"/>
        <w:rPr>
          <w:rFonts w:ascii="Arial" w:hAnsi="Arial" w:cs="Arial"/>
          <w:bCs/>
          <w:color w:val="000000"/>
          <w:shd w:val="clear" w:color="auto" w:fill="FFFFFF"/>
        </w:rPr>
      </w:pPr>
    </w:p>
    <w:p w14:paraId="767BAA2E" w14:textId="77777777" w:rsidR="00B27F88" w:rsidRPr="007A177A" w:rsidRDefault="00B27F88" w:rsidP="00BF333B">
      <w:pPr>
        <w:spacing w:line="360" w:lineRule="auto"/>
        <w:jc w:val="both"/>
        <w:rPr>
          <w:rFonts w:ascii="Arial" w:hAnsi="Arial" w:cs="Arial"/>
          <w:b/>
          <w:color w:val="000000"/>
        </w:rPr>
      </w:pPr>
      <w:r w:rsidRPr="007A177A">
        <w:rPr>
          <w:rFonts w:ascii="Arial" w:hAnsi="Arial" w:cs="Arial"/>
          <w:b/>
          <w:color w:val="000000"/>
        </w:rPr>
        <w:t>3. Legitimación por pasiva</w:t>
      </w:r>
    </w:p>
    <w:p w14:paraId="013C90E3" w14:textId="77777777" w:rsidR="009D0E50" w:rsidRPr="007A177A" w:rsidRDefault="009D0E50" w:rsidP="00BF333B">
      <w:pPr>
        <w:tabs>
          <w:tab w:val="left" w:pos="4920"/>
        </w:tabs>
        <w:spacing w:line="360" w:lineRule="auto"/>
        <w:jc w:val="both"/>
        <w:rPr>
          <w:rFonts w:ascii="Arial" w:hAnsi="Arial" w:cs="Arial"/>
        </w:rPr>
      </w:pPr>
    </w:p>
    <w:p w14:paraId="0B8F16C8" w14:textId="77777777" w:rsidR="003C0388" w:rsidRPr="007A177A" w:rsidRDefault="00AE52D2" w:rsidP="00BF333B">
      <w:pPr>
        <w:tabs>
          <w:tab w:val="left" w:pos="4920"/>
        </w:tabs>
        <w:spacing w:line="360" w:lineRule="auto"/>
        <w:jc w:val="both"/>
        <w:rPr>
          <w:rFonts w:ascii="Arial" w:hAnsi="Arial" w:cs="Arial"/>
        </w:rPr>
      </w:pPr>
      <w:r w:rsidRPr="007A177A">
        <w:rPr>
          <w:rFonts w:ascii="Arial" w:hAnsi="Arial" w:cs="Arial"/>
        </w:rPr>
        <w:t>Le a</w:t>
      </w:r>
      <w:r w:rsidR="00663BD2" w:rsidRPr="007A177A">
        <w:rPr>
          <w:rFonts w:ascii="Arial" w:hAnsi="Arial" w:cs="Arial"/>
        </w:rPr>
        <w:t xml:space="preserve">siste razón a la </w:t>
      </w:r>
      <w:r w:rsidR="00392774" w:rsidRPr="007A177A">
        <w:rPr>
          <w:rFonts w:ascii="Arial" w:hAnsi="Arial" w:cs="Arial"/>
        </w:rPr>
        <w:t xml:space="preserve">parte </w:t>
      </w:r>
      <w:r w:rsidR="00663BD2" w:rsidRPr="007A177A">
        <w:rPr>
          <w:rFonts w:ascii="Arial" w:hAnsi="Arial" w:cs="Arial"/>
        </w:rPr>
        <w:t xml:space="preserve">demandante en cuanto a la legitimación por pasiva del </w:t>
      </w:r>
      <w:proofErr w:type="spellStart"/>
      <w:r w:rsidR="00663BD2" w:rsidRPr="007A177A">
        <w:rPr>
          <w:rFonts w:ascii="Arial" w:hAnsi="Arial" w:cs="Arial"/>
        </w:rPr>
        <w:t>Invías</w:t>
      </w:r>
      <w:proofErr w:type="spellEnd"/>
      <w:r w:rsidR="00663BD2" w:rsidRPr="007A177A">
        <w:rPr>
          <w:rFonts w:ascii="Arial" w:hAnsi="Arial" w:cs="Arial"/>
        </w:rPr>
        <w:t xml:space="preserve"> </w:t>
      </w:r>
      <w:r w:rsidR="003C0388" w:rsidRPr="007A177A">
        <w:rPr>
          <w:rFonts w:ascii="Arial" w:hAnsi="Arial" w:cs="Arial"/>
        </w:rPr>
        <w:t xml:space="preserve">en el presente proceso, dado que </w:t>
      </w:r>
      <w:r w:rsidR="009F4C8C" w:rsidRPr="007A177A">
        <w:rPr>
          <w:rFonts w:ascii="Arial" w:hAnsi="Arial" w:cs="Arial"/>
        </w:rPr>
        <w:t xml:space="preserve">por </w:t>
      </w:r>
      <w:r w:rsidR="00E35C02" w:rsidRPr="007A177A">
        <w:rPr>
          <w:rFonts w:ascii="Arial" w:hAnsi="Arial" w:cs="Arial"/>
        </w:rPr>
        <w:t xml:space="preserve">el </w:t>
      </w:r>
      <w:r w:rsidR="00663BD2" w:rsidRPr="007A177A">
        <w:rPr>
          <w:rFonts w:ascii="Arial" w:hAnsi="Arial" w:cs="Arial"/>
        </w:rPr>
        <w:t>Decreto 21</w:t>
      </w:r>
      <w:r w:rsidR="00E35C02" w:rsidRPr="007A177A">
        <w:rPr>
          <w:rFonts w:ascii="Arial" w:hAnsi="Arial" w:cs="Arial"/>
        </w:rPr>
        <w:t>7</w:t>
      </w:r>
      <w:r w:rsidR="00663BD2" w:rsidRPr="007A177A">
        <w:rPr>
          <w:rFonts w:ascii="Arial" w:hAnsi="Arial" w:cs="Arial"/>
        </w:rPr>
        <w:t xml:space="preserve">1 de </w:t>
      </w:r>
      <w:r w:rsidR="00E35C02" w:rsidRPr="007A177A">
        <w:rPr>
          <w:rFonts w:ascii="Arial" w:hAnsi="Arial" w:cs="Arial"/>
        </w:rPr>
        <w:t xml:space="preserve">30 de </w:t>
      </w:r>
      <w:r w:rsidR="00663BD2" w:rsidRPr="007A177A">
        <w:rPr>
          <w:rFonts w:ascii="Arial" w:hAnsi="Arial" w:cs="Arial"/>
        </w:rPr>
        <w:t>di</w:t>
      </w:r>
      <w:r w:rsidR="00E35C02" w:rsidRPr="007A177A">
        <w:rPr>
          <w:rFonts w:ascii="Arial" w:hAnsi="Arial" w:cs="Arial"/>
        </w:rPr>
        <w:t xml:space="preserve">ciembre </w:t>
      </w:r>
      <w:r w:rsidR="00663BD2" w:rsidRPr="007A177A">
        <w:rPr>
          <w:rFonts w:ascii="Arial" w:hAnsi="Arial" w:cs="Arial"/>
        </w:rPr>
        <w:t>de 1992</w:t>
      </w:r>
      <w:r w:rsidR="00E35C02" w:rsidRPr="007A177A">
        <w:rPr>
          <w:rFonts w:ascii="Arial" w:hAnsi="Arial" w:cs="Arial"/>
        </w:rPr>
        <w:t>,</w:t>
      </w:r>
      <w:r w:rsidR="00663BD2" w:rsidRPr="007A177A">
        <w:rPr>
          <w:rFonts w:ascii="Arial" w:hAnsi="Arial" w:cs="Arial"/>
        </w:rPr>
        <w:t xml:space="preserve"> </w:t>
      </w:r>
      <w:r w:rsidR="00E35C02" w:rsidRPr="007A177A">
        <w:rPr>
          <w:rFonts w:ascii="Arial" w:hAnsi="Arial" w:cs="Arial"/>
        </w:rPr>
        <w:t>“</w:t>
      </w:r>
      <w:r w:rsidR="003C0388" w:rsidRPr="007A177A">
        <w:rPr>
          <w:rFonts w:ascii="Arial" w:hAnsi="Arial" w:cs="Arial"/>
          <w:i/>
        </w:rPr>
        <w:t>se reestructura el Ministerio de Obras Públicas y Transporte como Ministerio de transporte y se suprimen, fusionan y reestructuran entidades de la rama ejecutiva del orden nacional</w:t>
      </w:r>
      <w:r w:rsidR="003C0388" w:rsidRPr="007A177A">
        <w:rPr>
          <w:rFonts w:ascii="Arial" w:hAnsi="Arial" w:cs="Arial"/>
        </w:rPr>
        <w:t>”.</w:t>
      </w:r>
    </w:p>
    <w:p w14:paraId="0B69A09F" w14:textId="77777777" w:rsidR="003C0388" w:rsidRPr="007A177A" w:rsidRDefault="003C0388" w:rsidP="00BF333B">
      <w:pPr>
        <w:tabs>
          <w:tab w:val="left" w:pos="4920"/>
        </w:tabs>
        <w:spacing w:line="360" w:lineRule="auto"/>
        <w:jc w:val="both"/>
        <w:rPr>
          <w:rFonts w:ascii="Arial" w:hAnsi="Arial" w:cs="Arial"/>
        </w:rPr>
      </w:pPr>
    </w:p>
    <w:p w14:paraId="6E43A7F2" w14:textId="77777777" w:rsidR="00E35C02" w:rsidRPr="007A177A" w:rsidRDefault="004B5174" w:rsidP="00BF333B">
      <w:pPr>
        <w:tabs>
          <w:tab w:val="left" w:pos="4920"/>
        </w:tabs>
        <w:spacing w:line="360" w:lineRule="auto"/>
        <w:jc w:val="both"/>
        <w:rPr>
          <w:rFonts w:ascii="Arial" w:hAnsi="Arial" w:cs="Arial"/>
        </w:rPr>
      </w:pPr>
      <w:r w:rsidRPr="007A177A">
        <w:rPr>
          <w:rFonts w:ascii="Arial" w:hAnsi="Arial" w:cs="Arial"/>
        </w:rPr>
        <w:t>E</w:t>
      </w:r>
      <w:r w:rsidR="00E35C02" w:rsidRPr="007A177A">
        <w:rPr>
          <w:rFonts w:ascii="Arial" w:hAnsi="Arial" w:cs="Arial"/>
        </w:rPr>
        <w:t>n el caso del Fondo V</w:t>
      </w:r>
      <w:r w:rsidR="00F83E2C" w:rsidRPr="007A177A">
        <w:rPr>
          <w:rFonts w:ascii="Arial" w:hAnsi="Arial" w:cs="Arial"/>
        </w:rPr>
        <w:t>i</w:t>
      </w:r>
      <w:r w:rsidR="00E35C02" w:rsidRPr="007A177A">
        <w:rPr>
          <w:rFonts w:ascii="Arial" w:hAnsi="Arial" w:cs="Arial"/>
        </w:rPr>
        <w:t xml:space="preserve">al Nacional </w:t>
      </w:r>
      <w:r w:rsidR="003C0388" w:rsidRPr="007A177A">
        <w:rPr>
          <w:rFonts w:ascii="Arial" w:hAnsi="Arial" w:cs="Arial"/>
        </w:rPr>
        <w:t>s</w:t>
      </w:r>
      <w:r w:rsidR="00E35C02" w:rsidRPr="007A177A">
        <w:rPr>
          <w:rFonts w:ascii="Arial" w:hAnsi="Arial" w:cs="Arial"/>
        </w:rPr>
        <w:t>e definió su reestructuración pasando a denominarse In</w:t>
      </w:r>
      <w:r w:rsidR="003C0388" w:rsidRPr="007A177A">
        <w:rPr>
          <w:rFonts w:ascii="Arial" w:hAnsi="Arial" w:cs="Arial"/>
        </w:rPr>
        <w:t xml:space="preserve">stituto Nacional de Vías </w:t>
      </w:r>
      <w:r w:rsidR="00E35C02" w:rsidRPr="007A177A">
        <w:rPr>
          <w:rFonts w:ascii="Arial" w:hAnsi="Arial" w:cs="Arial"/>
        </w:rPr>
        <w:t xml:space="preserve">y no ocurrió solución de continuidad en la entidad, tal como se desprende de los artículos </w:t>
      </w:r>
      <w:r w:rsidR="00FF2292" w:rsidRPr="007A177A">
        <w:rPr>
          <w:rFonts w:ascii="Arial" w:hAnsi="Arial" w:cs="Arial"/>
        </w:rPr>
        <w:t xml:space="preserve">52 y </w:t>
      </w:r>
      <w:r w:rsidR="00E35C02" w:rsidRPr="007A177A">
        <w:rPr>
          <w:rFonts w:ascii="Arial" w:hAnsi="Arial" w:cs="Arial"/>
        </w:rPr>
        <w:t>6</w:t>
      </w:r>
      <w:r w:rsidR="009F4C8C" w:rsidRPr="007A177A">
        <w:rPr>
          <w:rFonts w:ascii="Arial" w:hAnsi="Arial" w:cs="Arial"/>
        </w:rPr>
        <w:t>3</w:t>
      </w:r>
      <w:r w:rsidR="00E35C02" w:rsidRPr="007A177A">
        <w:rPr>
          <w:rFonts w:ascii="Arial" w:hAnsi="Arial" w:cs="Arial"/>
        </w:rPr>
        <w:t xml:space="preserve"> que dispusieron:</w:t>
      </w:r>
    </w:p>
    <w:p w14:paraId="348EEF9B" w14:textId="77777777" w:rsidR="00E35C02" w:rsidRPr="007A177A" w:rsidRDefault="00E35C02" w:rsidP="00BF333B">
      <w:pPr>
        <w:tabs>
          <w:tab w:val="left" w:pos="4920"/>
        </w:tabs>
        <w:spacing w:line="360" w:lineRule="auto"/>
        <w:jc w:val="both"/>
        <w:rPr>
          <w:rFonts w:ascii="Arial" w:hAnsi="Arial" w:cs="Arial"/>
        </w:rPr>
      </w:pPr>
    </w:p>
    <w:p w14:paraId="6A8AD2C4" w14:textId="77777777" w:rsidR="00FF2292" w:rsidRPr="007A177A" w:rsidRDefault="00FF2292" w:rsidP="00BF333B">
      <w:pPr>
        <w:tabs>
          <w:tab w:val="left" w:pos="4920"/>
        </w:tabs>
        <w:ind w:left="567" w:right="902"/>
        <w:jc w:val="center"/>
        <w:rPr>
          <w:rFonts w:ascii="Arial" w:hAnsi="Arial" w:cs="Arial"/>
          <w:i/>
        </w:rPr>
      </w:pPr>
      <w:r w:rsidRPr="007A177A">
        <w:rPr>
          <w:rFonts w:ascii="Arial" w:hAnsi="Arial" w:cs="Arial"/>
          <w:i/>
        </w:rPr>
        <w:t>“</w:t>
      </w:r>
      <w:r w:rsidRPr="007A177A">
        <w:rPr>
          <w:rFonts w:ascii="Arial" w:hAnsi="Arial" w:cs="Arial"/>
          <w:b/>
          <w:i/>
        </w:rPr>
        <w:t xml:space="preserve">REESTRUCTURACION </w:t>
      </w:r>
      <w:r w:rsidRPr="007A177A">
        <w:rPr>
          <w:rFonts w:ascii="Arial" w:hAnsi="Arial" w:cs="Arial"/>
          <w:i/>
        </w:rPr>
        <w:t>DEL FONDO VIAL NACIONAL COMO EL INSTITUTO NACIONAL DE VIAS</w:t>
      </w:r>
    </w:p>
    <w:p w14:paraId="6AC491A7" w14:textId="77777777" w:rsidR="00FF2292" w:rsidRPr="007A177A" w:rsidRDefault="00FF2292" w:rsidP="00BF333B">
      <w:pPr>
        <w:tabs>
          <w:tab w:val="left" w:pos="4920"/>
        </w:tabs>
        <w:ind w:left="567" w:right="902"/>
        <w:jc w:val="center"/>
        <w:rPr>
          <w:rFonts w:ascii="Arial" w:hAnsi="Arial" w:cs="Arial"/>
          <w:i/>
        </w:rPr>
      </w:pPr>
    </w:p>
    <w:p w14:paraId="12149574" w14:textId="77777777" w:rsidR="00FF2292" w:rsidRPr="007A177A" w:rsidRDefault="00FF2292" w:rsidP="00BF333B">
      <w:pPr>
        <w:tabs>
          <w:tab w:val="left" w:pos="4920"/>
        </w:tabs>
        <w:ind w:left="567" w:right="902"/>
        <w:jc w:val="both"/>
        <w:rPr>
          <w:rFonts w:ascii="Arial" w:hAnsi="Arial" w:cs="Arial"/>
        </w:rPr>
      </w:pPr>
      <w:r w:rsidRPr="007A177A">
        <w:rPr>
          <w:rFonts w:ascii="Arial" w:hAnsi="Arial" w:cs="Arial"/>
          <w:i/>
        </w:rPr>
        <w:t>“ARTICULO 52. REESTRUCTURACION DEL FONDO VIAL NACIONAL COMO EL INSTITUTO NACIONAL DE VIAS.-</w:t>
      </w:r>
      <w:proofErr w:type="spellStart"/>
      <w:r w:rsidRPr="007A177A">
        <w:rPr>
          <w:rFonts w:ascii="Arial" w:hAnsi="Arial" w:cs="Arial"/>
          <w:b/>
          <w:i/>
        </w:rPr>
        <w:t>Reestructúrase</w:t>
      </w:r>
      <w:proofErr w:type="spellEnd"/>
      <w:r w:rsidRPr="007A177A">
        <w:rPr>
          <w:rFonts w:ascii="Arial" w:hAnsi="Arial" w:cs="Arial"/>
          <w:b/>
          <w:i/>
        </w:rPr>
        <w:t xml:space="preserve"> el Fondo Vial Nacional como el Instituto Nacional de Vías</w:t>
      </w:r>
      <w:r w:rsidRPr="007A177A">
        <w:rPr>
          <w:rFonts w:ascii="Arial" w:hAnsi="Arial" w:cs="Arial"/>
          <w:i/>
        </w:rPr>
        <w:t>, establecimiento público del orden nacional, con personería jurídica, autonomía administrativa, patrimonio propio y adscrito al Ministerio de Transporte</w:t>
      </w:r>
      <w:r w:rsidR="00DA1BDC" w:rsidRPr="007A177A">
        <w:rPr>
          <w:rFonts w:ascii="Arial" w:hAnsi="Arial" w:cs="Arial"/>
          <w:i/>
        </w:rPr>
        <w:t xml:space="preserve"> </w:t>
      </w:r>
      <w:r w:rsidR="00DA1BDC" w:rsidRPr="007A177A">
        <w:rPr>
          <w:rFonts w:ascii="Arial" w:hAnsi="Arial" w:cs="Arial"/>
        </w:rPr>
        <w:t>(la negrilla no es del texto)</w:t>
      </w:r>
      <w:r w:rsidRPr="007A177A">
        <w:rPr>
          <w:rFonts w:ascii="Arial" w:hAnsi="Arial" w:cs="Arial"/>
        </w:rPr>
        <w:t>.</w:t>
      </w:r>
    </w:p>
    <w:p w14:paraId="3AB63844" w14:textId="77777777" w:rsidR="00FF2292" w:rsidRPr="007A177A" w:rsidRDefault="00FF2292" w:rsidP="00BF333B">
      <w:pPr>
        <w:tabs>
          <w:tab w:val="left" w:pos="4920"/>
        </w:tabs>
        <w:ind w:left="567" w:right="902"/>
        <w:jc w:val="both"/>
        <w:rPr>
          <w:rFonts w:ascii="Arial" w:hAnsi="Arial" w:cs="Arial"/>
          <w:i/>
        </w:rPr>
      </w:pPr>
    </w:p>
    <w:p w14:paraId="7B995A39" w14:textId="77777777" w:rsidR="00FF2292" w:rsidRPr="007A177A" w:rsidRDefault="00DA1BDC" w:rsidP="00BF333B">
      <w:pPr>
        <w:tabs>
          <w:tab w:val="left" w:pos="4920"/>
        </w:tabs>
        <w:ind w:left="567" w:right="902"/>
        <w:jc w:val="both"/>
        <w:rPr>
          <w:rFonts w:ascii="Arial" w:hAnsi="Arial" w:cs="Arial"/>
          <w:i/>
        </w:rPr>
      </w:pPr>
      <w:r w:rsidRPr="007A177A">
        <w:rPr>
          <w:rFonts w:ascii="Arial" w:hAnsi="Arial" w:cs="Arial"/>
          <w:i/>
        </w:rPr>
        <w:t>“</w:t>
      </w:r>
      <w:r w:rsidR="00FF2292" w:rsidRPr="007A177A">
        <w:rPr>
          <w:rFonts w:ascii="Arial" w:hAnsi="Arial" w:cs="Arial"/>
          <w:i/>
        </w:rPr>
        <w:t>(…)</w:t>
      </w:r>
    </w:p>
    <w:p w14:paraId="45272E86" w14:textId="77777777" w:rsidR="00FF2292" w:rsidRPr="007A177A" w:rsidRDefault="00FF2292" w:rsidP="00BF333B">
      <w:pPr>
        <w:tabs>
          <w:tab w:val="left" w:pos="4920"/>
        </w:tabs>
        <w:ind w:left="567" w:right="902"/>
        <w:jc w:val="both"/>
        <w:rPr>
          <w:rFonts w:ascii="Arial" w:hAnsi="Arial" w:cs="Arial"/>
          <w:i/>
        </w:rPr>
      </w:pPr>
    </w:p>
    <w:p w14:paraId="0B30A13A" w14:textId="77777777" w:rsidR="00E35C02" w:rsidRPr="007A177A" w:rsidRDefault="00DA1BDC" w:rsidP="00BF333B">
      <w:pPr>
        <w:tabs>
          <w:tab w:val="left" w:pos="4920"/>
        </w:tabs>
        <w:ind w:left="567" w:right="902"/>
        <w:jc w:val="both"/>
        <w:rPr>
          <w:rFonts w:ascii="Arial" w:hAnsi="Arial" w:cs="Arial"/>
          <w:iCs/>
        </w:rPr>
      </w:pPr>
      <w:r w:rsidRPr="007A177A">
        <w:rPr>
          <w:rFonts w:ascii="Arial" w:hAnsi="Arial" w:cs="Arial"/>
          <w:i/>
        </w:rPr>
        <w:t>“</w:t>
      </w:r>
      <w:r w:rsidR="00FF2292" w:rsidRPr="007A177A">
        <w:rPr>
          <w:rFonts w:ascii="Arial" w:hAnsi="Arial" w:cs="Arial"/>
          <w:i/>
        </w:rPr>
        <w:t>ARTICULO 63. TRANSITORIO. APROPIACIONES PRESUPUESTALES.- Los saldos de las apropiaciones presupuestales de gastos de funcionamiento e inversión, existentes a la fecha de vigencia de esta norma, asignados al Fondo Vial Nacional se seguirán ejecutando como rubros del Instituto Nacional de Vías o del Ministerio de Transporte, en cumplimiento de la distribución de competencias que se establece mediante al presente decreto y de conformidad con las decisiones que adopte el Ministro de Transporte</w:t>
      </w:r>
      <w:r w:rsidR="00F83E2C" w:rsidRPr="007A177A">
        <w:rPr>
          <w:rFonts w:ascii="Arial" w:hAnsi="Arial" w:cs="Arial"/>
          <w:i/>
        </w:rPr>
        <w:t>”</w:t>
      </w:r>
      <w:r w:rsidR="008A419A" w:rsidRPr="007A177A">
        <w:rPr>
          <w:rFonts w:ascii="Arial" w:hAnsi="Arial" w:cs="Arial"/>
          <w:iCs/>
        </w:rPr>
        <w:t xml:space="preserve"> (</w:t>
      </w:r>
      <w:r w:rsidR="00AE52D2" w:rsidRPr="007A177A">
        <w:rPr>
          <w:rFonts w:ascii="Arial" w:hAnsi="Arial" w:cs="Arial"/>
          <w:iCs/>
        </w:rPr>
        <w:t>l</w:t>
      </w:r>
      <w:r w:rsidR="008A419A" w:rsidRPr="007A177A">
        <w:rPr>
          <w:rFonts w:ascii="Arial" w:hAnsi="Arial" w:cs="Arial"/>
          <w:iCs/>
        </w:rPr>
        <w:t>a negrilla no es del texto).</w:t>
      </w:r>
    </w:p>
    <w:p w14:paraId="63A5D9AD" w14:textId="77777777" w:rsidR="008A419A" w:rsidRPr="007A177A" w:rsidRDefault="008A419A" w:rsidP="00BF333B">
      <w:pPr>
        <w:tabs>
          <w:tab w:val="left" w:pos="4920"/>
        </w:tabs>
        <w:spacing w:line="360" w:lineRule="auto"/>
        <w:jc w:val="both"/>
        <w:rPr>
          <w:rFonts w:ascii="Arial" w:hAnsi="Arial" w:cs="Arial"/>
        </w:rPr>
      </w:pPr>
    </w:p>
    <w:p w14:paraId="6C9CB71C" w14:textId="77777777" w:rsidR="00275235" w:rsidRPr="007A177A" w:rsidRDefault="008A419A" w:rsidP="00BF333B">
      <w:pPr>
        <w:tabs>
          <w:tab w:val="left" w:pos="4920"/>
        </w:tabs>
        <w:spacing w:line="360" w:lineRule="auto"/>
        <w:jc w:val="both"/>
        <w:rPr>
          <w:rFonts w:ascii="Arial" w:hAnsi="Arial" w:cs="Arial"/>
        </w:rPr>
      </w:pPr>
      <w:r w:rsidRPr="007A177A">
        <w:rPr>
          <w:rFonts w:ascii="Arial" w:hAnsi="Arial" w:cs="Arial"/>
        </w:rPr>
        <w:lastRenderedPageBreak/>
        <w:t xml:space="preserve">Se agrega a lo anterior que al Instituto Nacional de Vías se le asignó la función </w:t>
      </w:r>
      <w:r w:rsidR="00BC377A" w:rsidRPr="007A177A">
        <w:rPr>
          <w:rFonts w:ascii="Arial" w:hAnsi="Arial" w:cs="Arial"/>
        </w:rPr>
        <w:t xml:space="preserve">general de celebrar los </w:t>
      </w:r>
      <w:r w:rsidRPr="007A177A">
        <w:rPr>
          <w:rFonts w:ascii="Arial" w:hAnsi="Arial" w:cs="Arial"/>
        </w:rPr>
        <w:t>contrat</w:t>
      </w:r>
      <w:r w:rsidR="00275235" w:rsidRPr="007A177A">
        <w:rPr>
          <w:rFonts w:ascii="Arial" w:hAnsi="Arial" w:cs="Arial"/>
        </w:rPr>
        <w:t>os</w:t>
      </w:r>
      <w:r w:rsidR="00BC377A" w:rsidRPr="007A177A">
        <w:rPr>
          <w:rFonts w:ascii="Arial" w:hAnsi="Arial" w:cs="Arial"/>
        </w:rPr>
        <w:t>, de acuerdo con el artículo 52</w:t>
      </w:r>
      <w:r w:rsidR="00275235" w:rsidRPr="007A177A">
        <w:rPr>
          <w:rFonts w:ascii="Arial" w:hAnsi="Arial" w:cs="Arial"/>
        </w:rPr>
        <w:t xml:space="preserve"> del Decreto 2171 de 1992</w:t>
      </w:r>
      <w:r w:rsidR="00BC377A" w:rsidRPr="007A177A">
        <w:rPr>
          <w:rFonts w:ascii="Arial" w:hAnsi="Arial" w:cs="Arial"/>
        </w:rPr>
        <w:t>, de manera que</w:t>
      </w:r>
      <w:r w:rsidR="004B5174" w:rsidRPr="007A177A">
        <w:rPr>
          <w:rFonts w:ascii="Arial" w:hAnsi="Arial" w:cs="Arial"/>
        </w:rPr>
        <w:t>,</w:t>
      </w:r>
      <w:r w:rsidR="00BC377A" w:rsidRPr="007A177A">
        <w:rPr>
          <w:rFonts w:ascii="Arial" w:hAnsi="Arial" w:cs="Arial"/>
        </w:rPr>
        <w:t xml:space="preserve"> por tratarse de la misma entidad que fue reestructurada, no es válida la diferenciación que propone el </w:t>
      </w:r>
      <w:proofErr w:type="spellStart"/>
      <w:r w:rsidR="00BC377A" w:rsidRPr="007A177A">
        <w:rPr>
          <w:rFonts w:ascii="Arial" w:hAnsi="Arial" w:cs="Arial"/>
        </w:rPr>
        <w:t>Invías</w:t>
      </w:r>
      <w:proofErr w:type="spellEnd"/>
      <w:r w:rsidR="00BC377A" w:rsidRPr="007A177A">
        <w:rPr>
          <w:rFonts w:ascii="Arial" w:hAnsi="Arial" w:cs="Arial"/>
        </w:rPr>
        <w:t xml:space="preserve"> entre los contratos vigentes y los celebrados por esa misma entidad</w:t>
      </w:r>
      <w:r w:rsidR="004B5174" w:rsidRPr="007A177A">
        <w:rPr>
          <w:rFonts w:ascii="Arial" w:hAnsi="Arial" w:cs="Arial"/>
        </w:rPr>
        <w:t>,</w:t>
      </w:r>
      <w:r w:rsidR="00BC377A" w:rsidRPr="007A177A">
        <w:rPr>
          <w:rFonts w:ascii="Arial" w:hAnsi="Arial" w:cs="Arial"/>
        </w:rPr>
        <w:t xml:space="preserve"> </w:t>
      </w:r>
      <w:r w:rsidR="00275235" w:rsidRPr="007A177A">
        <w:rPr>
          <w:rFonts w:ascii="Arial" w:hAnsi="Arial" w:cs="Arial"/>
        </w:rPr>
        <w:t xml:space="preserve">pero </w:t>
      </w:r>
      <w:r w:rsidR="00BC377A" w:rsidRPr="007A177A">
        <w:rPr>
          <w:rFonts w:ascii="Arial" w:hAnsi="Arial" w:cs="Arial"/>
        </w:rPr>
        <w:t>que habían te</w:t>
      </w:r>
      <w:r w:rsidR="00275235" w:rsidRPr="007A177A">
        <w:rPr>
          <w:rFonts w:ascii="Arial" w:hAnsi="Arial" w:cs="Arial"/>
        </w:rPr>
        <w:t>r</w:t>
      </w:r>
      <w:r w:rsidR="00BC377A" w:rsidRPr="007A177A">
        <w:rPr>
          <w:rFonts w:ascii="Arial" w:hAnsi="Arial" w:cs="Arial"/>
        </w:rPr>
        <w:t>minado antes de</w:t>
      </w:r>
      <w:r w:rsidR="00275235" w:rsidRPr="007A177A">
        <w:rPr>
          <w:rFonts w:ascii="Arial" w:hAnsi="Arial" w:cs="Arial"/>
        </w:rPr>
        <w:t xml:space="preserve">l decreto de reestructuración de funciones. </w:t>
      </w:r>
    </w:p>
    <w:p w14:paraId="53299146" w14:textId="77777777" w:rsidR="00BC377A" w:rsidRPr="007A177A" w:rsidRDefault="00BC377A" w:rsidP="00BF333B">
      <w:pPr>
        <w:tabs>
          <w:tab w:val="left" w:pos="4920"/>
        </w:tabs>
        <w:spacing w:line="360" w:lineRule="auto"/>
        <w:jc w:val="both"/>
        <w:rPr>
          <w:rFonts w:ascii="Arial" w:hAnsi="Arial" w:cs="Arial"/>
        </w:rPr>
      </w:pPr>
    </w:p>
    <w:p w14:paraId="7CB71E0A" w14:textId="77777777" w:rsidR="00D525BD" w:rsidRPr="007A177A" w:rsidRDefault="00D525BD" w:rsidP="00BF333B">
      <w:pPr>
        <w:tabs>
          <w:tab w:val="left" w:pos="4920"/>
        </w:tabs>
        <w:spacing w:line="360" w:lineRule="auto"/>
        <w:jc w:val="both"/>
        <w:rPr>
          <w:rFonts w:ascii="Arial" w:hAnsi="Arial" w:cs="Arial"/>
          <w:b/>
          <w:color w:val="000000"/>
        </w:rPr>
      </w:pPr>
      <w:r w:rsidRPr="007A177A">
        <w:rPr>
          <w:rFonts w:ascii="Arial" w:hAnsi="Arial" w:cs="Arial"/>
          <w:b/>
        </w:rPr>
        <w:t>4.</w:t>
      </w:r>
      <w:r w:rsidRPr="007A177A">
        <w:rPr>
          <w:rFonts w:ascii="Arial" w:hAnsi="Arial" w:cs="Arial"/>
          <w:b/>
          <w:color w:val="000000"/>
        </w:rPr>
        <w:t xml:space="preserve"> La acción pertinente frente a las pretensiones de la demandante</w:t>
      </w:r>
    </w:p>
    <w:p w14:paraId="18087041" w14:textId="77777777" w:rsidR="00D525BD" w:rsidRPr="007A177A" w:rsidRDefault="00D525BD" w:rsidP="00BF333B">
      <w:pPr>
        <w:pStyle w:val="Sinespaciado"/>
        <w:rPr>
          <w:rFonts w:ascii="Arial" w:hAnsi="Arial" w:cs="Arial"/>
          <w:sz w:val="24"/>
          <w:szCs w:val="24"/>
        </w:rPr>
      </w:pPr>
    </w:p>
    <w:p w14:paraId="16C72297" w14:textId="77777777" w:rsidR="00770404" w:rsidRPr="007A177A" w:rsidRDefault="00770404" w:rsidP="00BF333B">
      <w:pPr>
        <w:pStyle w:val="Lista4"/>
        <w:ind w:left="0" w:firstLine="0"/>
        <w:rPr>
          <w:rFonts w:cs="Arial"/>
        </w:rPr>
      </w:pPr>
      <w:r w:rsidRPr="007A177A">
        <w:rPr>
          <w:rFonts w:cs="Arial"/>
        </w:rPr>
        <w:t>Desde la providencia de 23 de enero de 2003, en la cual se dispuso admitir la demanda</w:t>
      </w:r>
      <w:r w:rsidR="004B5174" w:rsidRPr="007A177A">
        <w:rPr>
          <w:rFonts w:cs="Arial"/>
        </w:rPr>
        <w:t>,</w:t>
      </w:r>
      <w:r w:rsidRPr="007A177A">
        <w:rPr>
          <w:rFonts w:cs="Arial"/>
        </w:rPr>
        <w:t xml:space="preserve"> fue claro que el proceso se adelantaría bajo los términos de la acción de controversias contractuales prevista en el artículo 87 del CCA.</w:t>
      </w:r>
    </w:p>
    <w:p w14:paraId="7086BE70" w14:textId="77777777" w:rsidR="00770404" w:rsidRPr="007A177A" w:rsidRDefault="00770404" w:rsidP="00BF333B">
      <w:pPr>
        <w:pStyle w:val="Lista4"/>
        <w:ind w:left="0" w:firstLine="0"/>
        <w:rPr>
          <w:rFonts w:cs="Arial"/>
        </w:rPr>
      </w:pPr>
    </w:p>
    <w:p w14:paraId="7C44C8BE" w14:textId="77777777" w:rsidR="00770404" w:rsidRPr="007A177A" w:rsidRDefault="00770404" w:rsidP="00BF333B">
      <w:pPr>
        <w:pStyle w:val="Lista4"/>
        <w:ind w:left="0" w:firstLine="0"/>
        <w:rPr>
          <w:rFonts w:cs="Arial"/>
        </w:rPr>
      </w:pPr>
      <w:r w:rsidRPr="007A177A">
        <w:rPr>
          <w:rFonts w:cs="Arial"/>
        </w:rPr>
        <w:t>La Sala observa que</w:t>
      </w:r>
      <w:r w:rsidR="004B5174" w:rsidRPr="007A177A">
        <w:rPr>
          <w:rFonts w:cs="Arial"/>
        </w:rPr>
        <w:t>,</w:t>
      </w:r>
      <w:r w:rsidRPr="007A177A">
        <w:rPr>
          <w:rFonts w:cs="Arial"/>
        </w:rPr>
        <w:t xml:space="preserve"> aunque en la demanda no se hubiera citado dicho artículo</w:t>
      </w:r>
      <w:r w:rsidR="007A57A2" w:rsidRPr="007A177A">
        <w:rPr>
          <w:rFonts w:cs="Arial"/>
        </w:rPr>
        <w:t xml:space="preserve"> del CCA</w:t>
      </w:r>
      <w:r w:rsidRPr="007A177A">
        <w:rPr>
          <w:rFonts w:cs="Arial"/>
        </w:rPr>
        <w:t xml:space="preserve">, la </w:t>
      </w:r>
      <w:r w:rsidR="00DC2C6C" w:rsidRPr="007A177A">
        <w:rPr>
          <w:rFonts w:cs="Arial"/>
        </w:rPr>
        <w:t>“</w:t>
      </w:r>
      <w:proofErr w:type="spellStart"/>
      <w:r w:rsidRPr="007A177A">
        <w:rPr>
          <w:rFonts w:cs="Arial"/>
          <w:i/>
        </w:rPr>
        <w:t>ac</w:t>
      </w:r>
      <w:r w:rsidR="009F20D5" w:rsidRPr="007A177A">
        <w:rPr>
          <w:rFonts w:cs="Arial"/>
          <w:i/>
        </w:rPr>
        <w:t>t</w:t>
      </w:r>
      <w:r w:rsidRPr="007A177A">
        <w:rPr>
          <w:rFonts w:cs="Arial"/>
          <w:i/>
        </w:rPr>
        <w:t>io</w:t>
      </w:r>
      <w:proofErr w:type="spellEnd"/>
      <w:r w:rsidRPr="007A177A">
        <w:rPr>
          <w:rFonts w:cs="Arial"/>
          <w:i/>
        </w:rPr>
        <w:t xml:space="preserve"> in rem verso</w:t>
      </w:r>
      <w:r w:rsidR="00DC2C6C" w:rsidRPr="007A177A">
        <w:rPr>
          <w:rFonts w:cs="Arial"/>
        </w:rPr>
        <w:t>”</w:t>
      </w:r>
      <w:r w:rsidR="007A57A2" w:rsidRPr="007A177A">
        <w:rPr>
          <w:rStyle w:val="Refdenotaalpie"/>
          <w:rFonts w:cs="Arial"/>
        </w:rPr>
        <w:footnoteReference w:id="54"/>
      </w:r>
      <w:r w:rsidRPr="007A177A">
        <w:rPr>
          <w:rFonts w:cs="Arial"/>
        </w:rPr>
        <w:t xml:space="preserve"> o acción de enriquecimiento sin causa </w:t>
      </w:r>
      <w:r w:rsidR="007A57A2" w:rsidRPr="007A177A">
        <w:rPr>
          <w:rFonts w:cs="Arial"/>
        </w:rPr>
        <w:t xml:space="preserve">que se </w:t>
      </w:r>
      <w:r w:rsidR="00406E78" w:rsidRPr="007A177A">
        <w:rPr>
          <w:rFonts w:cs="Arial"/>
        </w:rPr>
        <w:t xml:space="preserve">alegó por la parte demandante </w:t>
      </w:r>
      <w:r w:rsidRPr="007A177A">
        <w:rPr>
          <w:rFonts w:cs="Arial"/>
        </w:rPr>
        <w:t xml:space="preserve">correspondió en este caso a una pretensión contractual, en tanto estaba referida a un supuesto enriquecimiento injusto por el incumplimiento </w:t>
      </w:r>
      <w:r w:rsidR="007A57A2" w:rsidRPr="007A177A">
        <w:rPr>
          <w:rFonts w:cs="Arial"/>
        </w:rPr>
        <w:t xml:space="preserve">y el </w:t>
      </w:r>
      <w:r w:rsidRPr="007A177A">
        <w:rPr>
          <w:rFonts w:cs="Arial"/>
        </w:rPr>
        <w:t>desequilibrio económico del contrato.</w:t>
      </w:r>
    </w:p>
    <w:p w14:paraId="322A46CD" w14:textId="77777777" w:rsidR="00B92135" w:rsidRPr="007A177A" w:rsidRDefault="00B92135" w:rsidP="00BF333B">
      <w:pPr>
        <w:pStyle w:val="Lista4"/>
        <w:ind w:left="0" w:firstLine="0"/>
        <w:rPr>
          <w:rFonts w:cs="Arial"/>
        </w:rPr>
      </w:pPr>
    </w:p>
    <w:p w14:paraId="1AEAFF44" w14:textId="77777777" w:rsidR="007A57A2" w:rsidRPr="007A177A" w:rsidRDefault="007A57A2" w:rsidP="00BF333B">
      <w:pPr>
        <w:pStyle w:val="Lista4"/>
        <w:ind w:left="0" w:firstLine="0"/>
        <w:rPr>
          <w:rFonts w:cs="Arial"/>
        </w:rPr>
      </w:pPr>
      <w:r w:rsidRPr="007A177A">
        <w:rPr>
          <w:rFonts w:cs="Arial"/>
        </w:rPr>
        <w:t xml:space="preserve">En ambos casos planteados en la demanda, la fuente del daño es de carácter contractual, </w:t>
      </w:r>
      <w:r w:rsidR="005B25EB" w:rsidRPr="007A177A">
        <w:rPr>
          <w:rFonts w:cs="Arial"/>
        </w:rPr>
        <w:t xml:space="preserve">toda vez que </w:t>
      </w:r>
      <w:r w:rsidRPr="007A177A">
        <w:rPr>
          <w:rFonts w:cs="Arial"/>
        </w:rPr>
        <w:t xml:space="preserve">se refiere a las prestaciones ocurridas en desarrollo de un contrato. </w:t>
      </w:r>
    </w:p>
    <w:p w14:paraId="444F908C" w14:textId="77777777" w:rsidR="00770404" w:rsidRPr="007A177A" w:rsidRDefault="00770404" w:rsidP="00BF333B">
      <w:pPr>
        <w:pStyle w:val="Lista4"/>
        <w:ind w:left="0" w:firstLine="0"/>
        <w:rPr>
          <w:rFonts w:cs="Arial"/>
        </w:rPr>
      </w:pPr>
    </w:p>
    <w:p w14:paraId="3B691138" w14:textId="77777777" w:rsidR="00243F0E" w:rsidRPr="007A177A" w:rsidRDefault="00481B26" w:rsidP="00BF333B">
      <w:pPr>
        <w:pStyle w:val="Lista4"/>
        <w:ind w:left="0" w:firstLine="0"/>
        <w:rPr>
          <w:rFonts w:cs="Arial"/>
        </w:rPr>
      </w:pPr>
      <w:r w:rsidRPr="007A177A">
        <w:rPr>
          <w:rFonts w:cs="Arial"/>
        </w:rPr>
        <w:t>E</w:t>
      </w:r>
      <w:r w:rsidR="00770404" w:rsidRPr="007A177A">
        <w:rPr>
          <w:rFonts w:cs="Arial"/>
        </w:rPr>
        <w:t xml:space="preserve">n </w:t>
      </w:r>
      <w:r w:rsidRPr="007A177A">
        <w:rPr>
          <w:rFonts w:cs="Arial"/>
        </w:rPr>
        <w:t xml:space="preserve">criterio de la Sala, las pretensiones </w:t>
      </w:r>
      <w:r w:rsidR="00406E78" w:rsidRPr="007A177A">
        <w:rPr>
          <w:rFonts w:cs="Arial"/>
        </w:rPr>
        <w:t xml:space="preserve">de la demanda </w:t>
      </w:r>
      <w:r w:rsidRPr="007A177A">
        <w:rPr>
          <w:rFonts w:cs="Arial"/>
        </w:rPr>
        <w:t>se enmarca</w:t>
      </w:r>
      <w:r w:rsidR="00406E78" w:rsidRPr="007A177A">
        <w:rPr>
          <w:rFonts w:cs="Arial"/>
        </w:rPr>
        <w:t xml:space="preserve">ron </w:t>
      </w:r>
      <w:r w:rsidRPr="007A177A">
        <w:rPr>
          <w:rFonts w:cs="Arial"/>
        </w:rPr>
        <w:t xml:space="preserve">en la acción contractual, sin perjuicio de que </w:t>
      </w:r>
      <w:r w:rsidR="007064B9" w:rsidRPr="007A177A">
        <w:rPr>
          <w:rFonts w:cs="Arial"/>
        </w:rPr>
        <w:t xml:space="preserve">ahora </w:t>
      </w:r>
      <w:r w:rsidRPr="007A177A">
        <w:rPr>
          <w:rFonts w:cs="Arial"/>
        </w:rPr>
        <w:t xml:space="preserve">se </w:t>
      </w:r>
      <w:r w:rsidR="00770404" w:rsidRPr="007A177A">
        <w:rPr>
          <w:rFonts w:cs="Arial"/>
        </w:rPr>
        <w:t>pued</w:t>
      </w:r>
      <w:r w:rsidR="00212493" w:rsidRPr="007A177A">
        <w:rPr>
          <w:rFonts w:cs="Arial"/>
        </w:rPr>
        <w:t>a</w:t>
      </w:r>
      <w:r w:rsidR="00770404" w:rsidRPr="007A177A">
        <w:rPr>
          <w:rFonts w:cs="Arial"/>
        </w:rPr>
        <w:t>n diferenciar</w:t>
      </w:r>
      <w:r w:rsidR="007064B9" w:rsidRPr="007A177A">
        <w:rPr>
          <w:rStyle w:val="Refdenotaalpie"/>
          <w:rFonts w:cs="Arial"/>
        </w:rPr>
        <w:footnoteReference w:id="55"/>
      </w:r>
      <w:r w:rsidR="007064B9" w:rsidRPr="007A177A">
        <w:rPr>
          <w:rFonts w:cs="Arial"/>
        </w:rPr>
        <w:t>, así</w:t>
      </w:r>
      <w:r w:rsidR="00243F0E" w:rsidRPr="007A177A">
        <w:rPr>
          <w:rFonts w:cs="Arial"/>
        </w:rPr>
        <w:t>:</w:t>
      </w:r>
      <w:r w:rsidR="00770404" w:rsidRPr="007A177A">
        <w:rPr>
          <w:rFonts w:cs="Arial"/>
        </w:rPr>
        <w:t xml:space="preserve"> </w:t>
      </w:r>
      <w:r w:rsidR="00243F0E" w:rsidRPr="007A177A">
        <w:rPr>
          <w:rFonts w:cs="Arial"/>
          <w:b/>
          <w:bCs/>
        </w:rPr>
        <w:t>i)</w:t>
      </w:r>
      <w:r w:rsidR="00243F0E" w:rsidRPr="007A177A">
        <w:rPr>
          <w:rFonts w:cs="Arial"/>
        </w:rPr>
        <w:t xml:space="preserve"> </w:t>
      </w:r>
      <w:r w:rsidRPr="007A177A">
        <w:rPr>
          <w:rFonts w:cs="Arial"/>
        </w:rPr>
        <w:t xml:space="preserve">la mora en el </w:t>
      </w:r>
      <w:r w:rsidR="00770404" w:rsidRPr="007A177A">
        <w:rPr>
          <w:rFonts w:cs="Arial"/>
        </w:rPr>
        <w:t>pago de las actas de obra</w:t>
      </w:r>
      <w:r w:rsidR="003850D9" w:rsidRPr="007A177A">
        <w:rPr>
          <w:rFonts w:cs="Arial"/>
        </w:rPr>
        <w:t xml:space="preserve"> y la </w:t>
      </w:r>
      <w:r w:rsidR="00E50242" w:rsidRPr="007A177A">
        <w:rPr>
          <w:rFonts w:cs="Arial"/>
        </w:rPr>
        <w:t xml:space="preserve">no </w:t>
      </w:r>
      <w:r w:rsidR="003850D9" w:rsidRPr="007A177A">
        <w:rPr>
          <w:rFonts w:cs="Arial"/>
        </w:rPr>
        <w:t xml:space="preserve">definición de nuevos precios </w:t>
      </w:r>
      <w:r w:rsidR="007A57A2" w:rsidRPr="007A177A">
        <w:rPr>
          <w:rFonts w:cs="Arial"/>
        </w:rPr>
        <w:t>s</w:t>
      </w:r>
      <w:r w:rsidR="00B92135" w:rsidRPr="007A177A">
        <w:rPr>
          <w:rFonts w:cs="Arial"/>
        </w:rPr>
        <w:t xml:space="preserve">obre los cuales se entiende que se formulan </w:t>
      </w:r>
      <w:r w:rsidRPr="007A177A">
        <w:rPr>
          <w:rFonts w:cs="Arial"/>
        </w:rPr>
        <w:t>pretensi</w:t>
      </w:r>
      <w:r w:rsidR="00B92135" w:rsidRPr="007A177A">
        <w:rPr>
          <w:rFonts w:cs="Arial"/>
        </w:rPr>
        <w:t>ones</w:t>
      </w:r>
      <w:r w:rsidRPr="007A177A">
        <w:rPr>
          <w:rFonts w:cs="Arial"/>
        </w:rPr>
        <w:t xml:space="preserve"> de </w:t>
      </w:r>
      <w:r w:rsidR="00770404" w:rsidRPr="007A177A">
        <w:rPr>
          <w:rFonts w:cs="Arial"/>
        </w:rPr>
        <w:t>incumplimiento</w:t>
      </w:r>
      <w:r w:rsidRPr="007A177A">
        <w:rPr>
          <w:rFonts w:cs="Arial"/>
        </w:rPr>
        <w:t xml:space="preserve"> del contrato y </w:t>
      </w:r>
      <w:r w:rsidR="00243F0E" w:rsidRPr="007A177A">
        <w:rPr>
          <w:rFonts w:cs="Arial"/>
          <w:b/>
          <w:bCs/>
        </w:rPr>
        <w:t xml:space="preserve">ii) </w:t>
      </w:r>
      <w:r w:rsidR="00E50242" w:rsidRPr="007A177A">
        <w:rPr>
          <w:rFonts w:cs="Arial"/>
        </w:rPr>
        <w:t>el</w:t>
      </w:r>
      <w:r w:rsidR="00E50242" w:rsidRPr="007A177A">
        <w:rPr>
          <w:rFonts w:cs="Arial"/>
          <w:b/>
          <w:bCs/>
        </w:rPr>
        <w:t xml:space="preserve"> </w:t>
      </w:r>
      <w:r w:rsidRPr="007A177A">
        <w:rPr>
          <w:rFonts w:cs="Arial"/>
        </w:rPr>
        <w:t xml:space="preserve">desequilibrio económico </w:t>
      </w:r>
      <w:r w:rsidR="003850D9" w:rsidRPr="007A177A">
        <w:rPr>
          <w:rFonts w:cs="Arial"/>
        </w:rPr>
        <w:t xml:space="preserve">que se </w:t>
      </w:r>
      <w:r w:rsidR="00E50242" w:rsidRPr="007A177A">
        <w:rPr>
          <w:rFonts w:cs="Arial"/>
        </w:rPr>
        <w:t>invocó</w:t>
      </w:r>
      <w:r w:rsidR="004B5174" w:rsidRPr="007A177A">
        <w:rPr>
          <w:rFonts w:cs="Arial"/>
        </w:rPr>
        <w:t>,</w:t>
      </w:r>
      <w:r w:rsidR="00E50242" w:rsidRPr="007A177A">
        <w:rPr>
          <w:rFonts w:cs="Arial"/>
        </w:rPr>
        <w:t xml:space="preserve"> por cuanto</w:t>
      </w:r>
      <w:r w:rsidR="00152C8A" w:rsidRPr="007A177A">
        <w:rPr>
          <w:rFonts w:cs="Arial"/>
        </w:rPr>
        <w:t>,</w:t>
      </w:r>
      <w:r w:rsidR="00E50242" w:rsidRPr="007A177A">
        <w:rPr>
          <w:rFonts w:cs="Arial"/>
        </w:rPr>
        <w:t xml:space="preserve"> supuestamente</w:t>
      </w:r>
      <w:r w:rsidR="00152C8A" w:rsidRPr="007A177A">
        <w:rPr>
          <w:rFonts w:cs="Arial"/>
        </w:rPr>
        <w:t>,</w:t>
      </w:r>
      <w:r w:rsidR="00E50242" w:rsidRPr="007A177A">
        <w:rPr>
          <w:rFonts w:cs="Arial"/>
        </w:rPr>
        <w:t xml:space="preserve"> se ejecutaron </w:t>
      </w:r>
      <w:r w:rsidR="00243F0E" w:rsidRPr="007A177A">
        <w:rPr>
          <w:rFonts w:cs="Arial"/>
        </w:rPr>
        <w:t xml:space="preserve">mayores cantidades </w:t>
      </w:r>
      <w:r w:rsidR="00E50242" w:rsidRPr="007A177A">
        <w:rPr>
          <w:rFonts w:cs="Arial"/>
        </w:rPr>
        <w:t xml:space="preserve">que fueron pagadas </w:t>
      </w:r>
      <w:r w:rsidR="00243F0E" w:rsidRPr="007A177A">
        <w:rPr>
          <w:rFonts w:cs="Arial"/>
        </w:rPr>
        <w:t>a menor precio.</w:t>
      </w:r>
    </w:p>
    <w:p w14:paraId="7C83F8D7" w14:textId="77777777" w:rsidR="00D6165F" w:rsidRPr="007A177A" w:rsidRDefault="00D6165F" w:rsidP="00BF333B">
      <w:pPr>
        <w:pStyle w:val="Sinespaciado"/>
        <w:rPr>
          <w:rFonts w:ascii="Arial" w:hAnsi="Arial" w:cs="Arial"/>
          <w:sz w:val="24"/>
          <w:szCs w:val="24"/>
        </w:rPr>
      </w:pPr>
    </w:p>
    <w:p w14:paraId="6DEE5660" w14:textId="77777777" w:rsidR="00DC2C6C" w:rsidRPr="007A177A" w:rsidRDefault="00DC2C6C" w:rsidP="00BF333B">
      <w:pPr>
        <w:jc w:val="both"/>
        <w:rPr>
          <w:rFonts w:ascii="Arial" w:hAnsi="Arial" w:cs="Arial"/>
          <w:b/>
          <w:bCs/>
        </w:rPr>
      </w:pPr>
      <w:r w:rsidRPr="007A177A">
        <w:rPr>
          <w:rFonts w:ascii="Arial" w:hAnsi="Arial" w:cs="Arial"/>
          <w:b/>
          <w:bCs/>
        </w:rPr>
        <w:t>5. Reglas de interpretación del contrato y tasa de interés aplicable</w:t>
      </w:r>
    </w:p>
    <w:p w14:paraId="6B748DE5" w14:textId="77777777" w:rsidR="00DC2C6C" w:rsidRPr="007A177A" w:rsidRDefault="00DC2C6C" w:rsidP="00BF333B">
      <w:pPr>
        <w:spacing w:line="276" w:lineRule="auto"/>
        <w:jc w:val="both"/>
        <w:rPr>
          <w:rFonts w:ascii="Arial" w:hAnsi="Arial" w:cs="Arial"/>
        </w:rPr>
      </w:pPr>
    </w:p>
    <w:p w14:paraId="71746F1E" w14:textId="77777777" w:rsidR="00DC2C6C" w:rsidRPr="007A177A" w:rsidRDefault="00E50242" w:rsidP="00BF333B">
      <w:pPr>
        <w:spacing w:line="360" w:lineRule="auto"/>
        <w:jc w:val="both"/>
        <w:rPr>
          <w:rFonts w:ascii="Arial" w:hAnsi="Arial" w:cs="Arial"/>
        </w:rPr>
      </w:pPr>
      <w:r w:rsidRPr="007A177A">
        <w:rPr>
          <w:rFonts w:ascii="Arial" w:hAnsi="Arial" w:cs="Arial"/>
        </w:rPr>
        <w:lastRenderedPageBreak/>
        <w:t>Para resolver los asuntos relacionados con la liquidación de los perjuicios materia de la apelación, s</w:t>
      </w:r>
      <w:r w:rsidR="00DC2C6C" w:rsidRPr="007A177A">
        <w:rPr>
          <w:rFonts w:ascii="Arial" w:hAnsi="Arial" w:cs="Arial"/>
        </w:rPr>
        <w:t xml:space="preserve">iguiendo las voces del artículo 38, numeral 1, de la Ley 153 de 1887, </w:t>
      </w:r>
      <w:r w:rsidRPr="007A177A">
        <w:rPr>
          <w:rFonts w:ascii="Arial" w:hAnsi="Arial" w:cs="Arial"/>
        </w:rPr>
        <w:t xml:space="preserve">se tendrá en cuenta que </w:t>
      </w:r>
      <w:r w:rsidR="00DC2C6C" w:rsidRPr="007A177A">
        <w:rPr>
          <w:rFonts w:ascii="Arial" w:hAnsi="Arial" w:cs="Arial"/>
        </w:rPr>
        <w:t>en cada contrato se aplican las leyes vigentes al momento de su celebración</w:t>
      </w:r>
      <w:r w:rsidR="00DC2C6C" w:rsidRPr="007A177A">
        <w:rPr>
          <w:rStyle w:val="Refdenotaalpie"/>
          <w:rFonts w:ascii="Arial" w:hAnsi="Arial" w:cs="Arial"/>
        </w:rPr>
        <w:footnoteReference w:id="56"/>
      </w:r>
      <w:r w:rsidR="00DC2C6C" w:rsidRPr="007A177A">
        <w:rPr>
          <w:rFonts w:ascii="Arial" w:hAnsi="Arial" w:cs="Arial"/>
        </w:rPr>
        <w:t xml:space="preserve"> y</w:t>
      </w:r>
      <w:r w:rsidR="004B5174" w:rsidRPr="007A177A">
        <w:rPr>
          <w:rFonts w:ascii="Arial" w:hAnsi="Arial" w:cs="Arial"/>
        </w:rPr>
        <w:t>,</w:t>
      </w:r>
      <w:r w:rsidR="00DC2C6C" w:rsidRPr="007A177A">
        <w:rPr>
          <w:rFonts w:ascii="Arial" w:hAnsi="Arial" w:cs="Arial"/>
        </w:rPr>
        <w:t xml:space="preserve"> por otra parte, de acuerdo con el numeral 2 de la misma norma, </w:t>
      </w:r>
      <w:r w:rsidRPr="007A177A">
        <w:rPr>
          <w:rFonts w:ascii="Arial" w:hAnsi="Arial" w:cs="Arial"/>
        </w:rPr>
        <w:t xml:space="preserve">se considera que </w:t>
      </w:r>
      <w:r w:rsidR="00DC2C6C" w:rsidRPr="007A177A">
        <w:rPr>
          <w:rFonts w:ascii="Arial" w:hAnsi="Arial" w:cs="Arial"/>
        </w:rPr>
        <w:t>el interés moratorio, por tener carácter sancionatorio, debe ser liquidado con la tasa de mora vigente al momento de su causación, es decir</w:t>
      </w:r>
      <w:r w:rsidR="003C49DB" w:rsidRPr="007A177A">
        <w:rPr>
          <w:rFonts w:ascii="Arial" w:hAnsi="Arial" w:cs="Arial"/>
        </w:rPr>
        <w:t>,</w:t>
      </w:r>
      <w:r w:rsidR="00DC2C6C" w:rsidRPr="007A177A">
        <w:rPr>
          <w:rFonts w:ascii="Arial" w:hAnsi="Arial" w:cs="Arial"/>
        </w:rPr>
        <w:t xml:space="preserve"> de acuerdo con la que haya regido para cada per</w:t>
      </w:r>
      <w:r w:rsidR="002E41BF" w:rsidRPr="007A177A">
        <w:rPr>
          <w:rFonts w:ascii="Arial" w:hAnsi="Arial" w:cs="Arial"/>
        </w:rPr>
        <w:t>í</w:t>
      </w:r>
      <w:r w:rsidR="00DC2C6C" w:rsidRPr="007A177A">
        <w:rPr>
          <w:rFonts w:ascii="Arial" w:hAnsi="Arial" w:cs="Arial"/>
        </w:rPr>
        <w:t>odo de tiempo</w:t>
      </w:r>
      <w:r w:rsidR="00DC2C6C" w:rsidRPr="007A177A">
        <w:rPr>
          <w:rFonts w:ascii="Arial" w:hAnsi="Arial" w:cs="Arial"/>
          <w:vertAlign w:val="superscript"/>
        </w:rPr>
        <w:footnoteReference w:id="57"/>
      </w:r>
      <w:r w:rsidR="00DC2C6C" w:rsidRPr="007A177A">
        <w:rPr>
          <w:rFonts w:ascii="Arial" w:hAnsi="Arial" w:cs="Arial"/>
        </w:rPr>
        <w:t xml:space="preserve">, con </w:t>
      </w:r>
      <w:r w:rsidR="00A76520" w:rsidRPr="007A177A">
        <w:rPr>
          <w:rFonts w:ascii="Arial" w:hAnsi="Arial" w:cs="Arial"/>
        </w:rPr>
        <w:t xml:space="preserve">base en </w:t>
      </w:r>
      <w:r w:rsidR="00DC2C6C" w:rsidRPr="007A177A">
        <w:rPr>
          <w:rFonts w:ascii="Arial" w:hAnsi="Arial" w:cs="Arial"/>
        </w:rPr>
        <w:t>las certificaciones de la Superintendencia Financiera de Colombia, antes Superintendencia Bancaria</w:t>
      </w:r>
      <w:r w:rsidR="00DC2C6C" w:rsidRPr="007A177A">
        <w:rPr>
          <w:rFonts w:ascii="Arial" w:hAnsi="Arial" w:cs="Arial"/>
          <w:vertAlign w:val="superscript"/>
        </w:rPr>
        <w:footnoteReference w:id="58"/>
      </w:r>
      <w:r w:rsidR="00A207F0" w:rsidRPr="007A177A">
        <w:rPr>
          <w:rFonts w:ascii="Arial" w:hAnsi="Arial" w:cs="Arial"/>
        </w:rPr>
        <w:t>,</w:t>
      </w:r>
      <w:r w:rsidR="00DC2C6C" w:rsidRPr="007A177A">
        <w:rPr>
          <w:rFonts w:ascii="Arial" w:hAnsi="Arial" w:cs="Arial"/>
        </w:rPr>
        <w:t xml:space="preserve"> en </w:t>
      </w:r>
      <w:r w:rsidR="005F5235" w:rsidRPr="007A177A">
        <w:rPr>
          <w:rFonts w:ascii="Arial" w:hAnsi="Arial" w:cs="Arial"/>
        </w:rPr>
        <w:t xml:space="preserve">el caso de que </w:t>
      </w:r>
      <w:r w:rsidR="00D31372" w:rsidRPr="007A177A">
        <w:rPr>
          <w:rFonts w:ascii="Arial" w:hAnsi="Arial" w:cs="Arial"/>
        </w:rPr>
        <w:t xml:space="preserve">el cobro de tales intereses </w:t>
      </w:r>
      <w:r w:rsidR="00DC2C6C" w:rsidRPr="007A177A">
        <w:rPr>
          <w:rFonts w:ascii="Arial" w:hAnsi="Arial" w:cs="Arial"/>
        </w:rPr>
        <w:t>result</w:t>
      </w:r>
      <w:r w:rsidR="005F5235" w:rsidRPr="007A177A">
        <w:rPr>
          <w:rFonts w:ascii="Arial" w:hAnsi="Arial" w:cs="Arial"/>
        </w:rPr>
        <w:t>e</w:t>
      </w:r>
      <w:r w:rsidR="00DC2C6C" w:rsidRPr="007A177A">
        <w:rPr>
          <w:rFonts w:ascii="Arial" w:hAnsi="Arial" w:cs="Arial"/>
        </w:rPr>
        <w:t xml:space="preserve"> aplicable</w:t>
      </w:r>
      <w:r w:rsidR="00D31372" w:rsidRPr="007A177A">
        <w:rPr>
          <w:rFonts w:ascii="Arial" w:hAnsi="Arial" w:cs="Arial"/>
        </w:rPr>
        <w:t xml:space="preserve"> de conformidad con </w:t>
      </w:r>
      <w:r w:rsidR="00F46204" w:rsidRPr="007A177A">
        <w:rPr>
          <w:rFonts w:ascii="Arial" w:hAnsi="Arial" w:cs="Arial"/>
        </w:rPr>
        <w:t>la fuente de la obligación correspondiente</w:t>
      </w:r>
      <w:r w:rsidR="005965D1" w:rsidRPr="007A177A">
        <w:rPr>
          <w:rStyle w:val="Refdenotaalpie"/>
          <w:rFonts w:ascii="Arial" w:hAnsi="Arial" w:cs="Arial"/>
        </w:rPr>
        <w:footnoteReference w:id="59"/>
      </w:r>
      <w:r w:rsidR="003D598C" w:rsidRPr="007A177A">
        <w:rPr>
          <w:rFonts w:ascii="Arial" w:hAnsi="Arial" w:cs="Arial"/>
        </w:rPr>
        <w:t>.</w:t>
      </w:r>
    </w:p>
    <w:p w14:paraId="4A0E4623" w14:textId="77777777" w:rsidR="00DC2C6C" w:rsidRPr="007A177A" w:rsidRDefault="00DC2C6C" w:rsidP="00BF333B">
      <w:pPr>
        <w:spacing w:line="360" w:lineRule="auto"/>
        <w:jc w:val="both"/>
        <w:rPr>
          <w:rFonts w:ascii="Arial" w:hAnsi="Arial" w:cs="Arial"/>
        </w:rPr>
      </w:pPr>
    </w:p>
    <w:p w14:paraId="20A57E2A" w14:textId="77777777" w:rsidR="00DC2C6C" w:rsidRPr="007A177A" w:rsidRDefault="00DC2C6C" w:rsidP="00BF333B">
      <w:pPr>
        <w:spacing w:line="360" w:lineRule="auto"/>
        <w:jc w:val="both"/>
        <w:rPr>
          <w:rFonts w:ascii="Arial" w:hAnsi="Arial" w:cs="Arial"/>
        </w:rPr>
      </w:pPr>
      <w:r w:rsidRPr="007A177A">
        <w:rPr>
          <w:rFonts w:ascii="Arial" w:hAnsi="Arial" w:cs="Arial"/>
        </w:rPr>
        <w:t xml:space="preserve">Para esclarecer los distintos estatutos que han regido la contratación pública en Colombia desde la época en que se celebró el contrato </w:t>
      </w:r>
      <w:proofErr w:type="gramStart"/>
      <w:r w:rsidRPr="007A177A">
        <w:rPr>
          <w:rFonts w:ascii="Arial" w:hAnsi="Arial" w:cs="Arial"/>
          <w:i/>
          <w:iCs/>
        </w:rPr>
        <w:t>sub lite</w:t>
      </w:r>
      <w:proofErr w:type="gramEnd"/>
      <w:r w:rsidRPr="007A177A">
        <w:rPr>
          <w:rFonts w:ascii="Arial" w:hAnsi="Arial" w:cs="Arial"/>
        </w:rPr>
        <w:t xml:space="preserve"> y las diversas tasas de interés que se han aplicado, a continuación se presenta un análisis cronológico incluyendo las </w:t>
      </w:r>
      <w:r w:rsidR="00A207F0" w:rsidRPr="007A177A">
        <w:rPr>
          <w:rFonts w:ascii="Arial" w:hAnsi="Arial" w:cs="Arial"/>
        </w:rPr>
        <w:t xml:space="preserve">correspondientes </w:t>
      </w:r>
      <w:r w:rsidRPr="007A177A">
        <w:rPr>
          <w:rFonts w:ascii="Arial" w:hAnsi="Arial" w:cs="Arial"/>
        </w:rPr>
        <w:t>interpretaciones de la jurisprudencia</w:t>
      </w:r>
      <w:r w:rsidR="00E50242" w:rsidRPr="007A177A">
        <w:rPr>
          <w:rFonts w:ascii="Arial" w:hAnsi="Arial" w:cs="Arial"/>
        </w:rPr>
        <w:t>.</w:t>
      </w:r>
    </w:p>
    <w:p w14:paraId="07E5D5BF" w14:textId="77777777" w:rsidR="008C0420" w:rsidRPr="007A177A" w:rsidRDefault="008C0420" w:rsidP="00BF333B">
      <w:pPr>
        <w:pStyle w:val="NormalWeb"/>
        <w:spacing w:before="0" w:beforeAutospacing="0" w:after="0" w:afterAutospacing="0" w:line="390" w:lineRule="atLeast"/>
        <w:rPr>
          <w:rFonts w:ascii="Arial" w:hAnsi="Arial" w:cs="Arial"/>
          <w:b/>
          <w:bCs/>
          <w:color w:val="000000"/>
          <w:lang w:val="es-ES"/>
        </w:rPr>
      </w:pPr>
    </w:p>
    <w:p w14:paraId="1745B49D" w14:textId="77777777" w:rsidR="00DC2C6C" w:rsidRPr="007A177A" w:rsidRDefault="008C0420" w:rsidP="00BF333B">
      <w:pPr>
        <w:pStyle w:val="NormalWeb"/>
        <w:spacing w:before="0" w:beforeAutospacing="0" w:after="0" w:afterAutospacing="0" w:line="390" w:lineRule="atLeast"/>
        <w:rPr>
          <w:rFonts w:ascii="Arial" w:hAnsi="Arial" w:cs="Arial"/>
          <w:b/>
          <w:bCs/>
          <w:color w:val="000000"/>
        </w:rPr>
      </w:pPr>
      <w:r w:rsidRPr="007A177A">
        <w:rPr>
          <w:rFonts w:ascii="Arial" w:hAnsi="Arial" w:cs="Arial"/>
          <w:b/>
          <w:bCs/>
          <w:color w:val="000000"/>
        </w:rPr>
        <w:t xml:space="preserve">5.1. </w:t>
      </w:r>
      <w:r w:rsidR="00DC2C6C" w:rsidRPr="007A177A">
        <w:rPr>
          <w:rFonts w:ascii="Arial" w:hAnsi="Arial" w:cs="Arial"/>
          <w:b/>
          <w:bCs/>
          <w:color w:val="000000"/>
        </w:rPr>
        <w:t>Decreto</w:t>
      </w:r>
      <w:r w:rsidR="00B956D1" w:rsidRPr="007A177A">
        <w:rPr>
          <w:rFonts w:ascii="Arial" w:hAnsi="Arial" w:cs="Arial"/>
          <w:b/>
          <w:bCs/>
          <w:color w:val="000000"/>
        </w:rPr>
        <w:t>-ley</w:t>
      </w:r>
      <w:r w:rsidR="00DC2C6C" w:rsidRPr="007A177A">
        <w:rPr>
          <w:rFonts w:ascii="Arial" w:hAnsi="Arial" w:cs="Arial"/>
          <w:b/>
          <w:bCs/>
          <w:color w:val="000000"/>
        </w:rPr>
        <w:t xml:space="preserve"> 150 de 1976</w:t>
      </w:r>
      <w:r w:rsidR="00DC2C6C" w:rsidRPr="007A177A">
        <w:rPr>
          <w:rStyle w:val="Refdenotaalpie"/>
          <w:rFonts w:ascii="Arial" w:hAnsi="Arial" w:cs="Arial"/>
          <w:color w:val="000000"/>
        </w:rPr>
        <w:footnoteReference w:id="60"/>
      </w:r>
    </w:p>
    <w:p w14:paraId="62FC114C" w14:textId="77777777" w:rsidR="00DC2C6C" w:rsidRPr="007A177A" w:rsidRDefault="00DC2C6C" w:rsidP="00BF333B">
      <w:pPr>
        <w:pStyle w:val="NormalWeb"/>
        <w:spacing w:before="0" w:beforeAutospacing="0" w:after="0" w:afterAutospacing="0" w:line="390" w:lineRule="atLeast"/>
        <w:jc w:val="center"/>
        <w:rPr>
          <w:rFonts w:ascii="Arial" w:hAnsi="Arial" w:cs="Arial"/>
          <w:b/>
          <w:bCs/>
          <w:color w:val="000000"/>
        </w:rPr>
      </w:pPr>
    </w:p>
    <w:p w14:paraId="7B3088F1" w14:textId="77777777" w:rsidR="00DC2C6C" w:rsidRPr="007A177A" w:rsidRDefault="00DC2C6C" w:rsidP="00BF333B">
      <w:pPr>
        <w:pStyle w:val="NormalWeb"/>
        <w:spacing w:before="0" w:beforeAutospacing="0" w:after="0" w:afterAutospacing="0" w:line="390" w:lineRule="atLeast"/>
        <w:jc w:val="both"/>
        <w:rPr>
          <w:rFonts w:ascii="Arial" w:hAnsi="Arial" w:cs="Arial"/>
          <w:color w:val="000000"/>
        </w:rPr>
      </w:pPr>
      <w:r w:rsidRPr="007A177A">
        <w:rPr>
          <w:rFonts w:ascii="Arial" w:hAnsi="Arial" w:cs="Arial"/>
          <w:color w:val="000000"/>
        </w:rPr>
        <w:t xml:space="preserve">Este decreto rigió para las entidades públicas mencionadas en su artículo primero, reguló </w:t>
      </w:r>
      <w:r w:rsidR="002C2078" w:rsidRPr="007A177A">
        <w:rPr>
          <w:rFonts w:ascii="Arial" w:hAnsi="Arial" w:cs="Arial"/>
          <w:color w:val="000000"/>
        </w:rPr>
        <w:t xml:space="preserve">sus </w:t>
      </w:r>
      <w:r w:rsidRPr="007A177A">
        <w:rPr>
          <w:rFonts w:ascii="Arial" w:hAnsi="Arial" w:cs="Arial"/>
          <w:color w:val="000000"/>
        </w:rPr>
        <w:t>contratos</w:t>
      </w:r>
      <w:r w:rsidR="002C2078" w:rsidRPr="007A177A">
        <w:rPr>
          <w:rFonts w:ascii="Arial" w:hAnsi="Arial" w:cs="Arial"/>
          <w:color w:val="000000"/>
        </w:rPr>
        <w:t xml:space="preserve">, </w:t>
      </w:r>
      <w:r w:rsidRPr="007A177A">
        <w:rPr>
          <w:rFonts w:ascii="Arial" w:hAnsi="Arial" w:cs="Arial"/>
          <w:color w:val="000000"/>
        </w:rPr>
        <w:t xml:space="preserve">especialmente tipificados y autorizados </w:t>
      </w:r>
      <w:r w:rsidR="00F44103" w:rsidRPr="007A177A">
        <w:rPr>
          <w:rFonts w:ascii="Arial" w:hAnsi="Arial" w:cs="Arial"/>
          <w:color w:val="000000"/>
        </w:rPr>
        <w:t>-</w:t>
      </w:r>
      <w:r w:rsidRPr="007A177A">
        <w:rPr>
          <w:rFonts w:ascii="Arial" w:hAnsi="Arial" w:cs="Arial"/>
          <w:i/>
          <w:color w:val="000000"/>
        </w:rPr>
        <w:t>entre ellos el contrato de obra pública</w:t>
      </w:r>
      <w:r w:rsidRPr="007A177A">
        <w:rPr>
          <w:rFonts w:ascii="Arial" w:hAnsi="Arial" w:cs="Arial"/>
          <w:color w:val="000000"/>
        </w:rPr>
        <w:t>- y los requisitos y condiciones establecid</w:t>
      </w:r>
      <w:r w:rsidR="002C2078" w:rsidRPr="007A177A">
        <w:rPr>
          <w:rFonts w:ascii="Arial" w:hAnsi="Arial" w:cs="Arial"/>
          <w:color w:val="000000"/>
        </w:rPr>
        <w:t>o</w:t>
      </w:r>
      <w:r w:rsidRPr="007A177A">
        <w:rPr>
          <w:rFonts w:ascii="Arial" w:hAnsi="Arial" w:cs="Arial"/>
          <w:color w:val="000000"/>
        </w:rPr>
        <w:t xml:space="preserve">s para su celebración. </w:t>
      </w:r>
    </w:p>
    <w:p w14:paraId="10027AD1" w14:textId="77777777" w:rsidR="00DC2C6C" w:rsidRPr="007A177A" w:rsidRDefault="00DC2C6C" w:rsidP="00BF333B">
      <w:pPr>
        <w:pStyle w:val="NormalWeb"/>
        <w:spacing w:before="0" w:beforeAutospacing="0" w:after="0" w:afterAutospacing="0" w:line="390" w:lineRule="atLeast"/>
        <w:jc w:val="both"/>
        <w:rPr>
          <w:rFonts w:ascii="Arial" w:hAnsi="Arial" w:cs="Arial"/>
          <w:color w:val="000000"/>
        </w:rPr>
      </w:pPr>
    </w:p>
    <w:p w14:paraId="4A2E61BE" w14:textId="77777777" w:rsidR="00DC2C6C" w:rsidRPr="007A177A" w:rsidRDefault="00DC2C6C" w:rsidP="00BF333B">
      <w:pPr>
        <w:pStyle w:val="NormalWeb"/>
        <w:spacing w:before="0" w:beforeAutospacing="0" w:after="0" w:afterAutospacing="0" w:line="390" w:lineRule="atLeast"/>
        <w:jc w:val="both"/>
        <w:rPr>
          <w:rFonts w:ascii="Arial" w:hAnsi="Arial" w:cs="Arial"/>
          <w:color w:val="000000"/>
        </w:rPr>
      </w:pPr>
      <w:r w:rsidRPr="007A177A">
        <w:rPr>
          <w:rFonts w:ascii="Arial" w:hAnsi="Arial" w:cs="Arial"/>
          <w:color w:val="000000"/>
        </w:rPr>
        <w:t>El régimen de contratación</w:t>
      </w:r>
      <w:r w:rsidR="002C2078" w:rsidRPr="007A177A">
        <w:rPr>
          <w:rFonts w:ascii="Arial" w:hAnsi="Arial" w:cs="Arial"/>
          <w:color w:val="000000"/>
        </w:rPr>
        <w:t xml:space="preserve"> previsto en </w:t>
      </w:r>
      <w:r w:rsidRPr="007A177A">
        <w:rPr>
          <w:rFonts w:ascii="Arial" w:hAnsi="Arial" w:cs="Arial"/>
          <w:color w:val="000000"/>
        </w:rPr>
        <w:t>el Decreto</w:t>
      </w:r>
      <w:r w:rsidR="00B956D1" w:rsidRPr="007A177A">
        <w:rPr>
          <w:rFonts w:ascii="Arial" w:hAnsi="Arial" w:cs="Arial"/>
          <w:color w:val="000000"/>
        </w:rPr>
        <w:t>-ley</w:t>
      </w:r>
      <w:r w:rsidRPr="007A177A">
        <w:rPr>
          <w:rFonts w:ascii="Arial" w:hAnsi="Arial" w:cs="Arial"/>
          <w:color w:val="000000"/>
        </w:rPr>
        <w:t xml:space="preserve"> 150 de 1976 </w:t>
      </w:r>
      <w:r w:rsidR="007A07F4" w:rsidRPr="007A177A">
        <w:rPr>
          <w:rFonts w:ascii="Arial" w:hAnsi="Arial" w:cs="Arial"/>
          <w:color w:val="000000"/>
        </w:rPr>
        <w:t xml:space="preserve">entró a regir el 18 de febrero de 1976 y </w:t>
      </w:r>
      <w:r w:rsidRPr="007A177A">
        <w:rPr>
          <w:rFonts w:ascii="Arial" w:hAnsi="Arial" w:cs="Arial"/>
          <w:color w:val="000000"/>
        </w:rPr>
        <w:t xml:space="preserve">configuró un cuerpo normativo especial </w:t>
      </w:r>
      <w:r w:rsidR="00E50242" w:rsidRPr="007A177A">
        <w:rPr>
          <w:rFonts w:ascii="Arial" w:hAnsi="Arial" w:cs="Arial"/>
          <w:color w:val="000000"/>
        </w:rPr>
        <w:t xml:space="preserve">que </w:t>
      </w:r>
      <w:r w:rsidRPr="007A177A">
        <w:rPr>
          <w:rFonts w:ascii="Arial" w:hAnsi="Arial" w:cs="Arial"/>
          <w:color w:val="000000"/>
        </w:rPr>
        <w:t>no contempló la aplicación supletiva de la ley comercial, lo cual marca una gran diferencia con el estatuto general de la contratación pública contenido en la Ley 80 de 1993, en cuyo artículo 13 se invocan la ley comercial y civil que se incorporan a las reglas de la contratación pública en lo no establecido en dicha ley de contratación</w:t>
      </w:r>
      <w:r w:rsidRPr="007A177A">
        <w:rPr>
          <w:rStyle w:val="Refdenotaalpie"/>
          <w:rFonts w:ascii="Arial" w:hAnsi="Arial" w:cs="Arial"/>
          <w:color w:val="000000"/>
        </w:rPr>
        <w:footnoteReference w:id="61"/>
      </w:r>
      <w:r w:rsidRPr="007A177A">
        <w:rPr>
          <w:rFonts w:ascii="Arial" w:hAnsi="Arial" w:cs="Arial"/>
          <w:color w:val="000000"/>
        </w:rPr>
        <w:t xml:space="preserve">. </w:t>
      </w:r>
    </w:p>
    <w:p w14:paraId="758C4CA7" w14:textId="77777777" w:rsidR="00DC2C6C" w:rsidRPr="007A177A" w:rsidRDefault="00DC2C6C" w:rsidP="00BF333B">
      <w:pPr>
        <w:pStyle w:val="NormalWeb"/>
        <w:spacing w:before="0" w:beforeAutospacing="0" w:after="0" w:afterAutospacing="0" w:line="390" w:lineRule="atLeast"/>
        <w:jc w:val="both"/>
        <w:rPr>
          <w:rFonts w:ascii="Arial" w:hAnsi="Arial" w:cs="Arial"/>
          <w:color w:val="000000"/>
        </w:rPr>
      </w:pPr>
    </w:p>
    <w:p w14:paraId="2265A4AC" w14:textId="77777777" w:rsidR="00DC2C6C" w:rsidRPr="007A177A" w:rsidRDefault="00DC2C6C" w:rsidP="00BF333B">
      <w:pPr>
        <w:pStyle w:val="NormalWeb"/>
        <w:spacing w:before="0" w:beforeAutospacing="0" w:after="0" w:afterAutospacing="0" w:line="390" w:lineRule="atLeast"/>
        <w:jc w:val="both"/>
        <w:rPr>
          <w:rFonts w:ascii="Arial" w:hAnsi="Arial" w:cs="Arial"/>
          <w:color w:val="000000"/>
        </w:rPr>
      </w:pPr>
      <w:r w:rsidRPr="007A177A">
        <w:rPr>
          <w:rFonts w:ascii="Arial" w:hAnsi="Arial" w:cs="Arial"/>
          <w:color w:val="000000"/>
        </w:rPr>
        <w:t>El Decreto</w:t>
      </w:r>
      <w:r w:rsidR="00B956D1" w:rsidRPr="007A177A">
        <w:rPr>
          <w:rFonts w:ascii="Arial" w:hAnsi="Arial" w:cs="Arial"/>
          <w:color w:val="000000"/>
        </w:rPr>
        <w:t>-ley</w:t>
      </w:r>
      <w:r w:rsidRPr="007A177A">
        <w:rPr>
          <w:rFonts w:ascii="Arial" w:hAnsi="Arial" w:cs="Arial"/>
          <w:color w:val="000000"/>
        </w:rPr>
        <w:t xml:space="preserve"> 150 de 1976 no permitió el pacto contractual de reconocimiento de intereses por parte del Estado, entendiéndose por la Corte Suprema de Justicia que, de acuerdo con la Constitución Política de </w:t>
      </w:r>
      <w:r w:rsidR="002F71BD" w:rsidRPr="007A177A">
        <w:rPr>
          <w:rFonts w:ascii="Arial" w:hAnsi="Arial" w:cs="Arial"/>
          <w:color w:val="000000"/>
        </w:rPr>
        <w:t>1886</w:t>
      </w:r>
      <w:r w:rsidRPr="007A177A">
        <w:rPr>
          <w:rFonts w:ascii="Arial" w:hAnsi="Arial" w:cs="Arial"/>
          <w:color w:val="000000"/>
        </w:rPr>
        <w:t>, la imposición de intereses no podría provenir de una apropiación dispuesta por el legislador –</w:t>
      </w:r>
      <w:r w:rsidRPr="007A177A">
        <w:rPr>
          <w:rFonts w:ascii="Arial" w:hAnsi="Arial" w:cs="Arial"/>
          <w:i/>
          <w:color w:val="000000"/>
        </w:rPr>
        <w:t>ni por las partes</w:t>
      </w:r>
      <w:r w:rsidRPr="007A177A">
        <w:rPr>
          <w:rFonts w:ascii="Arial" w:hAnsi="Arial" w:cs="Arial"/>
          <w:color w:val="000000"/>
        </w:rPr>
        <w:t>- y solo procedía en el escenario del litigio judicial</w:t>
      </w:r>
      <w:r w:rsidRPr="007A177A">
        <w:rPr>
          <w:rStyle w:val="Refdenotaalpie"/>
          <w:rFonts w:ascii="Arial" w:hAnsi="Arial" w:cs="Arial"/>
          <w:color w:val="000000"/>
        </w:rPr>
        <w:footnoteReference w:id="62"/>
      </w:r>
      <w:r w:rsidRPr="007A177A">
        <w:rPr>
          <w:rFonts w:ascii="Arial" w:hAnsi="Arial" w:cs="Arial"/>
          <w:color w:val="000000"/>
        </w:rPr>
        <w:t>.</w:t>
      </w:r>
    </w:p>
    <w:p w14:paraId="16DDDE37" w14:textId="77777777" w:rsidR="00DC2C6C" w:rsidRPr="007A177A" w:rsidRDefault="00DC2C6C" w:rsidP="00BF333B">
      <w:pPr>
        <w:pStyle w:val="NormalWeb"/>
        <w:spacing w:before="0" w:beforeAutospacing="0" w:after="0" w:afterAutospacing="0" w:line="390" w:lineRule="atLeast"/>
        <w:jc w:val="both"/>
        <w:rPr>
          <w:rFonts w:ascii="Arial" w:hAnsi="Arial" w:cs="Arial"/>
          <w:color w:val="000000"/>
        </w:rPr>
      </w:pPr>
    </w:p>
    <w:p w14:paraId="58A290B6" w14:textId="77777777" w:rsidR="00DC2C6C" w:rsidRPr="007A177A" w:rsidRDefault="00DC2C6C" w:rsidP="00BF333B">
      <w:pPr>
        <w:pStyle w:val="NormalWeb"/>
        <w:shd w:val="clear" w:color="auto" w:fill="FFFFFF"/>
        <w:spacing w:before="0" w:beforeAutospacing="0" w:after="0" w:afterAutospacing="0" w:line="360" w:lineRule="auto"/>
        <w:jc w:val="both"/>
        <w:rPr>
          <w:rFonts w:ascii="Arial" w:hAnsi="Arial" w:cs="Arial"/>
        </w:rPr>
      </w:pPr>
      <w:r w:rsidRPr="007A177A">
        <w:rPr>
          <w:rFonts w:ascii="Arial" w:hAnsi="Arial" w:cs="Arial"/>
        </w:rPr>
        <w:t>Sobre la tasa de interés aplicable en caso de litigio judicial</w:t>
      </w:r>
      <w:r w:rsidR="00955510" w:rsidRPr="007A177A">
        <w:rPr>
          <w:rFonts w:ascii="Arial" w:hAnsi="Arial" w:cs="Arial"/>
        </w:rPr>
        <w:t>,</w:t>
      </w:r>
      <w:r w:rsidRPr="007A177A">
        <w:rPr>
          <w:rFonts w:ascii="Arial" w:hAnsi="Arial" w:cs="Arial"/>
        </w:rPr>
        <w:t xml:space="preserve"> la Sala Plena de lo </w:t>
      </w:r>
      <w:r w:rsidR="002F71BD" w:rsidRPr="007A177A">
        <w:rPr>
          <w:rFonts w:ascii="Arial" w:hAnsi="Arial" w:cs="Arial"/>
        </w:rPr>
        <w:t xml:space="preserve">Contencioso Administrativo </w:t>
      </w:r>
      <w:r w:rsidRPr="007A177A">
        <w:rPr>
          <w:rFonts w:ascii="Arial" w:hAnsi="Arial" w:cs="Arial"/>
        </w:rPr>
        <w:t xml:space="preserve">del Consejo de Estado, en un proceso </w:t>
      </w:r>
      <w:r w:rsidR="009E6F45" w:rsidRPr="007A177A">
        <w:rPr>
          <w:rFonts w:ascii="Arial" w:hAnsi="Arial" w:cs="Arial"/>
        </w:rPr>
        <w:t>-</w:t>
      </w:r>
      <w:r w:rsidR="009E6F45" w:rsidRPr="007A177A">
        <w:rPr>
          <w:rFonts w:ascii="Arial" w:hAnsi="Arial" w:cs="Arial"/>
          <w:i/>
        </w:rPr>
        <w:t>al que ya se ha hecho referencia en esta providencia</w:t>
      </w:r>
      <w:r w:rsidR="009E6F45" w:rsidRPr="007A177A">
        <w:rPr>
          <w:rFonts w:ascii="Arial" w:hAnsi="Arial" w:cs="Arial"/>
        </w:rPr>
        <w:t>-</w:t>
      </w:r>
      <w:r w:rsidR="002F71BD" w:rsidRPr="007A177A">
        <w:rPr>
          <w:rFonts w:ascii="Arial" w:hAnsi="Arial" w:cs="Arial"/>
        </w:rPr>
        <w:t xml:space="preserve"> </w:t>
      </w:r>
      <w:r w:rsidRPr="007A177A">
        <w:rPr>
          <w:rFonts w:ascii="Arial" w:hAnsi="Arial" w:cs="Arial"/>
        </w:rPr>
        <w:t xml:space="preserve">en el que conoció sobre los contratos celebrados por el Fondo Vial Nacional, con apoyo en el artículo 1617 del Código Civil, </w:t>
      </w:r>
      <w:r w:rsidR="009E6F45" w:rsidRPr="007A177A">
        <w:rPr>
          <w:rFonts w:ascii="Arial" w:hAnsi="Arial" w:cs="Arial"/>
        </w:rPr>
        <w:t xml:space="preserve">resolvió </w:t>
      </w:r>
      <w:r w:rsidRPr="007A177A">
        <w:rPr>
          <w:rFonts w:ascii="Arial" w:hAnsi="Arial" w:cs="Arial"/>
        </w:rPr>
        <w:t>condenar al pago de intereses del 6% sobre el valor actualizado de las obras adicionales no pagadas -</w:t>
      </w:r>
      <w:r w:rsidRPr="007A177A">
        <w:rPr>
          <w:rFonts w:ascii="Arial" w:hAnsi="Arial" w:cs="Arial"/>
          <w:i/>
        </w:rPr>
        <w:t>que habían sido recibidas de acuerdo con las actas de ajuste</w:t>
      </w:r>
      <w:r w:rsidRPr="007A177A">
        <w:rPr>
          <w:rFonts w:ascii="Arial" w:hAnsi="Arial" w:cs="Arial"/>
        </w:rPr>
        <w:t xml:space="preserve">- según se lee a continuación (se transcribe en forma literal): </w:t>
      </w:r>
    </w:p>
    <w:p w14:paraId="6F9680D0" w14:textId="77777777" w:rsidR="007A68EA" w:rsidRPr="007A177A" w:rsidRDefault="007A68EA" w:rsidP="00BF333B">
      <w:pPr>
        <w:pStyle w:val="NormalWeb"/>
        <w:shd w:val="clear" w:color="auto" w:fill="FFFFFF"/>
        <w:spacing w:before="0" w:beforeAutospacing="0" w:after="0" w:afterAutospacing="0" w:line="360" w:lineRule="auto"/>
        <w:jc w:val="both"/>
        <w:rPr>
          <w:rFonts w:ascii="Arial" w:hAnsi="Arial" w:cs="Arial"/>
        </w:rPr>
      </w:pPr>
    </w:p>
    <w:p w14:paraId="7BD89E93" w14:textId="77777777" w:rsidR="00DC2C6C" w:rsidRPr="007A177A" w:rsidRDefault="00DC2C6C" w:rsidP="00BF333B">
      <w:pPr>
        <w:ind w:left="567" w:right="1041"/>
        <w:jc w:val="both"/>
        <w:rPr>
          <w:rFonts w:ascii="Arial" w:hAnsi="Arial" w:cs="Arial"/>
          <w:i/>
          <w:iCs/>
        </w:rPr>
      </w:pPr>
      <w:r w:rsidRPr="007A177A">
        <w:rPr>
          <w:rFonts w:ascii="Arial" w:hAnsi="Arial" w:cs="Arial"/>
          <w:i/>
          <w:iCs/>
        </w:rPr>
        <w:t xml:space="preserve">“Se atenderá, </w:t>
      </w:r>
      <w:proofErr w:type="spellStart"/>
      <w:r w:rsidRPr="007A177A">
        <w:rPr>
          <w:rFonts w:ascii="Arial" w:hAnsi="Arial" w:cs="Arial"/>
          <w:i/>
          <w:iCs/>
        </w:rPr>
        <w:t>asímismo</w:t>
      </w:r>
      <w:proofErr w:type="spellEnd"/>
      <w:r w:rsidRPr="007A177A">
        <w:rPr>
          <w:rFonts w:ascii="Arial" w:hAnsi="Arial" w:cs="Arial"/>
          <w:i/>
          <w:iCs/>
        </w:rPr>
        <w:t xml:space="preserve">, a la pretensión que busca el reconocimiento del lucro cesante, porque sin lugar a dudas el retardo por parte del Fondo Vial Nacional de su obligación de pagar a la actora la suma adeudada por la obra ejecutada ha causado a ésta el perjuicio de no poder lucrarse con las ganancias que dicho dinero le hubiera podido reportar si lo hubiese percibido oportunamente. - Por definición del artículo 1617 del Código Civil, cuando la obligación es de pagar una suma de dinero, la mora en su cumplimiento da lugar al reconocimiento de intereses, </w:t>
      </w:r>
      <w:r w:rsidRPr="007A177A">
        <w:rPr>
          <w:rFonts w:ascii="Arial" w:hAnsi="Arial" w:cs="Arial"/>
          <w:b/>
          <w:bCs/>
          <w:i/>
          <w:iCs/>
        </w:rPr>
        <w:t>que si no han sido previamente pactados, como ocurrió</w:t>
      </w:r>
      <w:r w:rsidRPr="007A177A">
        <w:rPr>
          <w:rFonts w:ascii="Arial" w:hAnsi="Arial" w:cs="Arial"/>
          <w:i/>
          <w:iCs/>
        </w:rPr>
        <w:t xml:space="preserve"> </w:t>
      </w:r>
      <w:r w:rsidRPr="007A177A">
        <w:rPr>
          <w:rFonts w:ascii="Arial" w:hAnsi="Arial" w:cs="Arial"/>
          <w:b/>
          <w:bCs/>
          <w:i/>
          <w:iCs/>
        </w:rPr>
        <w:t>en el presente caso por no poderse prever la posible mora en el pago, permiten acudir al interés legal del 6% anual</w:t>
      </w:r>
      <w:r w:rsidRPr="007A177A">
        <w:rPr>
          <w:rFonts w:ascii="Arial" w:hAnsi="Arial" w:cs="Arial"/>
          <w:i/>
          <w:iCs/>
        </w:rPr>
        <w:t>. Este reconocimiento se reiteró en el nuevo Estatuto Nacional de Contratación Administrativa - Ley 80 de 1.993- cuando al establecer los derechos y deberes de las entidades estatales que celebren contratos, prescribe: ‘Sin perjuicio de la actualización o revisión de precios, en caso de no haberse pactado intereses moratorios, se aplicará la tasa equivalente al doble del interés legal civil sobre el valor histórico actualizado”</w:t>
      </w:r>
      <w:r w:rsidRPr="007A177A">
        <w:rPr>
          <w:rStyle w:val="Refdenotaalpie"/>
          <w:rFonts w:ascii="Arial" w:hAnsi="Arial" w:cs="Arial"/>
          <w:i/>
          <w:iCs/>
        </w:rPr>
        <w:footnoteReference w:id="63"/>
      </w:r>
      <w:r w:rsidRPr="007A177A">
        <w:rPr>
          <w:rFonts w:ascii="Arial" w:hAnsi="Arial" w:cs="Arial"/>
          <w:i/>
          <w:iCs/>
        </w:rPr>
        <w:t>.</w:t>
      </w:r>
    </w:p>
    <w:p w14:paraId="349930F4" w14:textId="77777777" w:rsidR="00DC2C6C" w:rsidRPr="007A177A" w:rsidRDefault="00DC2C6C" w:rsidP="00BF333B">
      <w:pPr>
        <w:pStyle w:val="NormalWeb"/>
        <w:shd w:val="clear" w:color="auto" w:fill="FFFFFF"/>
        <w:spacing w:before="0" w:beforeAutospacing="0" w:after="0" w:afterAutospacing="0"/>
        <w:ind w:left="567" w:right="1041"/>
        <w:jc w:val="both"/>
        <w:rPr>
          <w:rFonts w:ascii="Arial" w:hAnsi="Arial" w:cs="Arial"/>
          <w:b/>
          <w:bCs/>
          <w:i/>
          <w:iCs/>
          <w:color w:val="666666"/>
        </w:rPr>
      </w:pPr>
    </w:p>
    <w:p w14:paraId="73F7DC80" w14:textId="77777777" w:rsidR="00191388" w:rsidRPr="007A177A" w:rsidRDefault="00DC2C6C" w:rsidP="00BF333B">
      <w:pPr>
        <w:pStyle w:val="NormalWeb"/>
        <w:shd w:val="clear" w:color="auto" w:fill="FFFFFF"/>
        <w:spacing w:before="0" w:beforeAutospacing="0" w:after="0" w:afterAutospacing="0" w:line="360" w:lineRule="auto"/>
        <w:jc w:val="both"/>
        <w:rPr>
          <w:rFonts w:ascii="Arial" w:hAnsi="Arial" w:cs="Arial"/>
        </w:rPr>
      </w:pPr>
      <w:r w:rsidRPr="007A177A">
        <w:rPr>
          <w:rFonts w:ascii="Arial" w:hAnsi="Arial" w:cs="Arial"/>
        </w:rPr>
        <w:t xml:space="preserve">En esa sentencia, la Sala Plena </w:t>
      </w:r>
      <w:r w:rsidR="003D598C" w:rsidRPr="007A177A">
        <w:rPr>
          <w:rFonts w:ascii="Arial" w:hAnsi="Arial" w:cs="Arial"/>
        </w:rPr>
        <w:t xml:space="preserve">de lo Contencioso Administrativo </w:t>
      </w:r>
      <w:r w:rsidRPr="007A177A">
        <w:rPr>
          <w:rFonts w:ascii="Arial" w:hAnsi="Arial" w:cs="Arial"/>
        </w:rPr>
        <w:t xml:space="preserve">desplegó una fórmula consistente en actualizar el valor del capital adeudado con base en el índice de precios al consumidor </w:t>
      </w:r>
      <w:r w:rsidR="00955510" w:rsidRPr="007A177A">
        <w:rPr>
          <w:rFonts w:ascii="Arial" w:hAnsi="Arial" w:cs="Arial"/>
        </w:rPr>
        <w:t>-</w:t>
      </w:r>
      <w:r w:rsidRPr="007A177A">
        <w:rPr>
          <w:rFonts w:ascii="Arial" w:hAnsi="Arial" w:cs="Arial"/>
        </w:rPr>
        <w:t>IPC</w:t>
      </w:r>
      <w:r w:rsidR="00955510" w:rsidRPr="007A177A">
        <w:rPr>
          <w:rFonts w:ascii="Arial" w:hAnsi="Arial" w:cs="Arial"/>
        </w:rPr>
        <w:t xml:space="preserve">- </w:t>
      </w:r>
      <w:r w:rsidRPr="007A177A">
        <w:rPr>
          <w:rFonts w:ascii="Arial" w:hAnsi="Arial" w:cs="Arial"/>
        </w:rPr>
        <w:t xml:space="preserve">y a la suma resultante del ajuste le aplicó el 6% anual, proporcional al número de días transcurridos hasta la sentencia. </w:t>
      </w:r>
    </w:p>
    <w:p w14:paraId="06D30EDE" w14:textId="77777777" w:rsidR="00B75FD6" w:rsidRPr="007A177A" w:rsidRDefault="00B75FD6" w:rsidP="00BF333B">
      <w:pPr>
        <w:pStyle w:val="NormalWeb"/>
        <w:shd w:val="clear" w:color="auto" w:fill="FFFFFF"/>
        <w:spacing w:before="0" w:beforeAutospacing="0" w:after="0" w:afterAutospacing="0" w:line="360" w:lineRule="auto"/>
        <w:jc w:val="both"/>
        <w:rPr>
          <w:rFonts w:ascii="Arial" w:hAnsi="Arial" w:cs="Arial"/>
        </w:rPr>
      </w:pPr>
    </w:p>
    <w:p w14:paraId="69EE1192" w14:textId="77777777" w:rsidR="00DC2C6C" w:rsidRPr="007A177A" w:rsidRDefault="00DC2C6C" w:rsidP="00BF333B">
      <w:pPr>
        <w:pStyle w:val="NormalWeb"/>
        <w:shd w:val="clear" w:color="auto" w:fill="FFFFFF"/>
        <w:spacing w:before="0" w:beforeAutospacing="0" w:after="0" w:afterAutospacing="0" w:line="360" w:lineRule="auto"/>
        <w:jc w:val="both"/>
        <w:rPr>
          <w:rFonts w:ascii="Arial" w:hAnsi="Arial" w:cs="Arial"/>
        </w:rPr>
      </w:pPr>
      <w:r w:rsidRPr="007A177A">
        <w:rPr>
          <w:rFonts w:ascii="Arial" w:hAnsi="Arial" w:cs="Arial"/>
        </w:rPr>
        <w:t>No se consideró una actualización anual y la capitalización de intereses, como se dispone desde que entró a regir la Ley 80 de 1993, con base en el Decreto 679 de 1994.</w:t>
      </w:r>
    </w:p>
    <w:p w14:paraId="6D24ED58" w14:textId="77777777" w:rsidR="00DC2C6C" w:rsidRPr="007A177A" w:rsidRDefault="00DC2C6C" w:rsidP="00BF333B">
      <w:pPr>
        <w:pStyle w:val="NormalWeb"/>
        <w:shd w:val="clear" w:color="auto" w:fill="FFFFFF"/>
        <w:spacing w:before="0" w:beforeAutospacing="0" w:after="0" w:afterAutospacing="0" w:line="360" w:lineRule="auto"/>
        <w:jc w:val="both"/>
        <w:rPr>
          <w:rFonts w:ascii="Arial" w:hAnsi="Arial" w:cs="Arial"/>
        </w:rPr>
      </w:pPr>
      <w:r w:rsidRPr="007A177A">
        <w:rPr>
          <w:rFonts w:ascii="Arial" w:hAnsi="Arial" w:cs="Arial"/>
        </w:rPr>
        <w:lastRenderedPageBreak/>
        <w:t xml:space="preserve">Debe tenerse en cuenta que el </w:t>
      </w:r>
      <w:r w:rsidR="00575DF7" w:rsidRPr="007A177A">
        <w:rPr>
          <w:rFonts w:ascii="Arial" w:hAnsi="Arial" w:cs="Arial"/>
        </w:rPr>
        <w:t>D</w:t>
      </w:r>
      <w:r w:rsidRPr="007A177A">
        <w:rPr>
          <w:rFonts w:ascii="Arial" w:hAnsi="Arial" w:cs="Arial"/>
        </w:rPr>
        <w:t>ecreto</w:t>
      </w:r>
      <w:r w:rsidR="00955510" w:rsidRPr="007A177A">
        <w:rPr>
          <w:rFonts w:ascii="Arial" w:hAnsi="Arial" w:cs="Arial"/>
        </w:rPr>
        <w:t>-ley</w:t>
      </w:r>
      <w:r w:rsidRPr="007A177A">
        <w:rPr>
          <w:rFonts w:ascii="Arial" w:hAnsi="Arial" w:cs="Arial"/>
        </w:rPr>
        <w:t xml:space="preserve"> 150 de 1976 es la ley de celebración del contrato </w:t>
      </w:r>
      <w:r w:rsidR="00575DF7" w:rsidRPr="007A177A">
        <w:rPr>
          <w:rFonts w:ascii="Arial" w:hAnsi="Arial" w:cs="Arial"/>
        </w:rPr>
        <w:t>No. 358 de 1976</w:t>
      </w:r>
      <w:r w:rsidR="003A488B" w:rsidRPr="007A177A">
        <w:rPr>
          <w:rFonts w:ascii="Arial" w:hAnsi="Arial" w:cs="Arial"/>
        </w:rPr>
        <w:t>,</w:t>
      </w:r>
      <w:r w:rsidR="00575DF7" w:rsidRPr="007A177A">
        <w:rPr>
          <w:rFonts w:ascii="Arial" w:hAnsi="Arial" w:cs="Arial"/>
        </w:rPr>
        <w:t xml:space="preserve"> </w:t>
      </w:r>
      <w:r w:rsidRPr="007A177A">
        <w:rPr>
          <w:rFonts w:ascii="Arial" w:hAnsi="Arial" w:cs="Arial"/>
        </w:rPr>
        <w:t xml:space="preserve">que se analizará en el caso concreto. </w:t>
      </w:r>
    </w:p>
    <w:p w14:paraId="3CB24AF8" w14:textId="77777777" w:rsidR="00191388" w:rsidRPr="007A177A" w:rsidRDefault="00191388" w:rsidP="00BF333B">
      <w:pPr>
        <w:pStyle w:val="NormalWeb"/>
        <w:shd w:val="clear" w:color="auto" w:fill="FFFFFF"/>
        <w:spacing w:before="0" w:beforeAutospacing="0" w:after="0" w:afterAutospacing="0" w:line="360" w:lineRule="auto"/>
        <w:jc w:val="both"/>
        <w:rPr>
          <w:rFonts w:ascii="Arial" w:hAnsi="Arial" w:cs="Arial"/>
          <w:b/>
          <w:bCs/>
        </w:rPr>
      </w:pPr>
    </w:p>
    <w:p w14:paraId="1EF2EBA1" w14:textId="77777777" w:rsidR="00DC2C6C" w:rsidRPr="007A177A" w:rsidRDefault="00FF68C0" w:rsidP="00BF333B">
      <w:pPr>
        <w:pStyle w:val="NormalWeb"/>
        <w:shd w:val="clear" w:color="auto" w:fill="FFFFFF"/>
        <w:spacing w:before="0" w:beforeAutospacing="0" w:after="0" w:afterAutospacing="0" w:line="360" w:lineRule="auto"/>
        <w:jc w:val="both"/>
        <w:rPr>
          <w:rFonts w:ascii="Arial" w:hAnsi="Arial" w:cs="Arial"/>
          <w:b/>
          <w:bCs/>
        </w:rPr>
      </w:pPr>
      <w:r w:rsidRPr="007A177A">
        <w:rPr>
          <w:rFonts w:ascii="Arial" w:hAnsi="Arial" w:cs="Arial"/>
          <w:b/>
          <w:bCs/>
        </w:rPr>
        <w:t>5</w:t>
      </w:r>
      <w:r w:rsidR="00162E92" w:rsidRPr="007A177A">
        <w:rPr>
          <w:rFonts w:ascii="Arial" w:hAnsi="Arial" w:cs="Arial"/>
          <w:b/>
          <w:bCs/>
        </w:rPr>
        <w:t>.</w:t>
      </w:r>
      <w:r w:rsidRPr="007A177A">
        <w:rPr>
          <w:rFonts w:ascii="Arial" w:hAnsi="Arial" w:cs="Arial"/>
          <w:b/>
          <w:bCs/>
        </w:rPr>
        <w:t>2</w:t>
      </w:r>
      <w:r w:rsidR="00162E92" w:rsidRPr="007A177A">
        <w:rPr>
          <w:rFonts w:ascii="Arial" w:hAnsi="Arial" w:cs="Arial"/>
          <w:b/>
          <w:bCs/>
        </w:rPr>
        <w:t>.</w:t>
      </w:r>
      <w:r w:rsidRPr="007A177A">
        <w:rPr>
          <w:rFonts w:ascii="Arial" w:hAnsi="Arial" w:cs="Arial"/>
          <w:b/>
          <w:bCs/>
        </w:rPr>
        <w:t xml:space="preserve"> </w:t>
      </w:r>
      <w:r w:rsidR="00DC2C6C" w:rsidRPr="007A177A">
        <w:rPr>
          <w:rFonts w:ascii="Arial" w:hAnsi="Arial" w:cs="Arial"/>
          <w:b/>
          <w:bCs/>
        </w:rPr>
        <w:t>Decreto</w:t>
      </w:r>
      <w:r w:rsidR="0084782D" w:rsidRPr="007A177A">
        <w:rPr>
          <w:rFonts w:ascii="Arial" w:hAnsi="Arial" w:cs="Arial"/>
          <w:b/>
          <w:bCs/>
        </w:rPr>
        <w:t>-ley</w:t>
      </w:r>
      <w:r w:rsidR="00DC2C6C" w:rsidRPr="007A177A">
        <w:rPr>
          <w:rFonts w:ascii="Arial" w:hAnsi="Arial" w:cs="Arial"/>
          <w:b/>
          <w:bCs/>
        </w:rPr>
        <w:t xml:space="preserve"> 222 de 1983 </w:t>
      </w:r>
    </w:p>
    <w:p w14:paraId="684649AA" w14:textId="77777777" w:rsidR="003A488B" w:rsidRPr="007A177A" w:rsidRDefault="003A488B" w:rsidP="00BF333B">
      <w:pPr>
        <w:pStyle w:val="NormalWeb"/>
        <w:spacing w:before="0" w:beforeAutospacing="0" w:after="0" w:afterAutospacing="0" w:line="360" w:lineRule="auto"/>
        <w:jc w:val="both"/>
        <w:rPr>
          <w:rFonts w:ascii="Arial" w:hAnsi="Arial" w:cs="Arial"/>
        </w:rPr>
      </w:pPr>
    </w:p>
    <w:p w14:paraId="6B84F837" w14:textId="77777777" w:rsidR="00DC2C6C" w:rsidRPr="007A177A" w:rsidRDefault="00DC2C6C" w:rsidP="00BF333B">
      <w:pPr>
        <w:pStyle w:val="NormalWeb"/>
        <w:spacing w:before="0" w:beforeAutospacing="0" w:after="0" w:afterAutospacing="0" w:line="360" w:lineRule="auto"/>
        <w:jc w:val="both"/>
        <w:rPr>
          <w:rFonts w:ascii="Arial" w:hAnsi="Arial" w:cs="Arial"/>
        </w:rPr>
      </w:pPr>
      <w:r w:rsidRPr="007A177A">
        <w:rPr>
          <w:rFonts w:ascii="Arial" w:hAnsi="Arial" w:cs="Arial"/>
        </w:rPr>
        <w:t>Se observa que el Decreto</w:t>
      </w:r>
      <w:r w:rsidR="00BF2062" w:rsidRPr="007A177A">
        <w:rPr>
          <w:rFonts w:ascii="Arial" w:hAnsi="Arial" w:cs="Arial"/>
        </w:rPr>
        <w:t>-ley</w:t>
      </w:r>
      <w:r w:rsidRPr="007A177A">
        <w:rPr>
          <w:rFonts w:ascii="Arial" w:hAnsi="Arial" w:cs="Arial"/>
        </w:rPr>
        <w:t xml:space="preserve"> 222 de 1983</w:t>
      </w:r>
      <w:r w:rsidR="007A07F4" w:rsidRPr="007A177A">
        <w:rPr>
          <w:rFonts w:ascii="Arial" w:hAnsi="Arial" w:cs="Arial"/>
        </w:rPr>
        <w:t xml:space="preserve">, que entró a regir el 3 de febrero de 1983, </w:t>
      </w:r>
      <w:r w:rsidRPr="007A177A">
        <w:rPr>
          <w:rFonts w:ascii="Arial" w:hAnsi="Arial" w:cs="Arial"/>
        </w:rPr>
        <w:t>estableció la diferencia entre los contratos administrativos y los contratos de derecho privado de la administración pública, invocó la aplicación del Código de Comercio para algunos efectos</w:t>
      </w:r>
      <w:r w:rsidRPr="007A177A">
        <w:rPr>
          <w:rStyle w:val="Refdenotaalpie"/>
          <w:rFonts w:ascii="Arial" w:hAnsi="Arial" w:cs="Arial"/>
        </w:rPr>
        <w:footnoteReference w:id="64"/>
      </w:r>
      <w:r w:rsidRPr="007A177A">
        <w:rPr>
          <w:rFonts w:ascii="Arial" w:hAnsi="Arial" w:cs="Arial"/>
        </w:rPr>
        <w:t>, pero se cuidó de establecer, por ejemplo, que: “</w:t>
      </w:r>
      <w:r w:rsidRPr="007A177A">
        <w:rPr>
          <w:rFonts w:ascii="Arial" w:hAnsi="Arial" w:cs="Arial"/>
          <w:i/>
          <w:iCs/>
        </w:rPr>
        <w:t>Para todos los efectos legales la celebración del contrato de arrendamiento por entidades públicas, no constituye acto de comercio</w:t>
      </w:r>
      <w:r w:rsidRPr="007A177A">
        <w:rPr>
          <w:rFonts w:ascii="Arial" w:hAnsi="Arial" w:cs="Arial"/>
        </w:rPr>
        <w:t>”.</w:t>
      </w:r>
    </w:p>
    <w:p w14:paraId="34451FDD" w14:textId="77777777" w:rsidR="00DC2C6C" w:rsidRPr="007A177A" w:rsidRDefault="00DC2C6C" w:rsidP="00BF333B">
      <w:pPr>
        <w:pStyle w:val="NormalWeb"/>
        <w:spacing w:before="0" w:beforeAutospacing="0" w:after="0" w:afterAutospacing="0" w:line="360" w:lineRule="auto"/>
        <w:jc w:val="both"/>
        <w:rPr>
          <w:rFonts w:ascii="Arial" w:hAnsi="Arial" w:cs="Arial"/>
        </w:rPr>
      </w:pPr>
      <w:r w:rsidRPr="007A177A">
        <w:rPr>
          <w:rFonts w:ascii="Arial" w:hAnsi="Arial" w:cs="Arial"/>
        </w:rPr>
        <w:t> </w:t>
      </w:r>
    </w:p>
    <w:p w14:paraId="5AE43428" w14:textId="77777777" w:rsidR="00DC2C6C" w:rsidRPr="007A177A" w:rsidRDefault="00DC2C6C" w:rsidP="00BF333B">
      <w:pPr>
        <w:spacing w:line="360" w:lineRule="auto"/>
        <w:jc w:val="both"/>
        <w:rPr>
          <w:rFonts w:ascii="Arial" w:hAnsi="Arial" w:cs="Arial"/>
          <w:color w:val="000000"/>
          <w:lang w:eastAsia="es-CO"/>
        </w:rPr>
      </w:pPr>
      <w:r w:rsidRPr="007A177A">
        <w:rPr>
          <w:rFonts w:ascii="Arial" w:hAnsi="Arial" w:cs="Arial"/>
          <w:color w:val="000000"/>
          <w:lang w:eastAsia="es-CO"/>
        </w:rPr>
        <w:t>Se aclara que el citado Decreto</w:t>
      </w:r>
      <w:r w:rsidR="00D766EA" w:rsidRPr="007A177A">
        <w:rPr>
          <w:rFonts w:ascii="Arial" w:hAnsi="Arial" w:cs="Arial"/>
          <w:color w:val="000000"/>
          <w:lang w:eastAsia="es-CO"/>
        </w:rPr>
        <w:t>-ley</w:t>
      </w:r>
      <w:r w:rsidRPr="007A177A">
        <w:rPr>
          <w:rFonts w:ascii="Arial" w:hAnsi="Arial" w:cs="Arial"/>
          <w:color w:val="000000"/>
          <w:lang w:eastAsia="es-CO"/>
        </w:rPr>
        <w:t xml:space="preserve"> 222 no contempló una aplicación residual del Código de Comercio en forma general, ni se refirió a las tasas de interés fijadas en ese código para las obligaciones dinerarias entre comerciantes.</w:t>
      </w:r>
    </w:p>
    <w:p w14:paraId="7FB1B852" w14:textId="77777777" w:rsidR="00DC2C6C" w:rsidRPr="007A177A" w:rsidRDefault="00DC2C6C" w:rsidP="00BF333B">
      <w:pPr>
        <w:spacing w:line="360" w:lineRule="auto"/>
        <w:jc w:val="both"/>
        <w:rPr>
          <w:rFonts w:ascii="Arial" w:hAnsi="Arial" w:cs="Arial"/>
          <w:color w:val="000000"/>
          <w:lang w:eastAsia="es-CO"/>
        </w:rPr>
      </w:pPr>
    </w:p>
    <w:p w14:paraId="5FF9212A" w14:textId="77777777" w:rsidR="00DC2C6C" w:rsidRPr="007A177A" w:rsidRDefault="00DC2C6C" w:rsidP="00BF333B">
      <w:pPr>
        <w:spacing w:line="360" w:lineRule="auto"/>
        <w:jc w:val="both"/>
        <w:rPr>
          <w:rFonts w:ascii="Arial" w:hAnsi="Arial" w:cs="Arial"/>
          <w:color w:val="000000"/>
          <w:lang w:eastAsia="es-CO"/>
        </w:rPr>
      </w:pPr>
      <w:r w:rsidRPr="007A177A">
        <w:rPr>
          <w:rFonts w:ascii="Arial" w:hAnsi="Arial" w:cs="Arial"/>
          <w:color w:val="000000"/>
          <w:lang w:eastAsia="es-CO"/>
        </w:rPr>
        <w:t>La Sala de Consulta y Servicio Civil del Consejo de Estado siguió la jurisprudencia de la Corte Suprema de Justicia en cuanto a prohibir el pacto o compromiso presupuestal de pagar intereses, pero permitió que el juez de lo contencioso administrativo impusiera la condena que considerara procedente en el caso concreto</w:t>
      </w:r>
      <w:r w:rsidRPr="007A177A">
        <w:rPr>
          <w:rStyle w:val="Refdenotaalpie"/>
          <w:rFonts w:ascii="Arial" w:hAnsi="Arial" w:cs="Arial"/>
          <w:color w:val="000000"/>
          <w:lang w:eastAsia="es-CO"/>
        </w:rPr>
        <w:footnoteReference w:id="65"/>
      </w:r>
      <w:r w:rsidRPr="007A177A">
        <w:rPr>
          <w:rFonts w:ascii="Arial" w:hAnsi="Arial" w:cs="Arial"/>
          <w:color w:val="000000"/>
          <w:lang w:eastAsia="es-CO"/>
        </w:rPr>
        <w:t>.</w:t>
      </w:r>
    </w:p>
    <w:p w14:paraId="34043682" w14:textId="77777777" w:rsidR="00DC2C6C" w:rsidRPr="007A177A" w:rsidRDefault="00DC2C6C" w:rsidP="00BF333B">
      <w:pPr>
        <w:spacing w:line="360" w:lineRule="auto"/>
        <w:jc w:val="both"/>
        <w:rPr>
          <w:rFonts w:ascii="Arial" w:hAnsi="Arial" w:cs="Arial"/>
          <w:color w:val="000000"/>
          <w:lang w:eastAsia="es-CO"/>
        </w:rPr>
      </w:pPr>
    </w:p>
    <w:p w14:paraId="20ABE37C" w14:textId="77777777" w:rsidR="00DC2C6C" w:rsidRPr="007A177A" w:rsidRDefault="00DC2C6C" w:rsidP="00BF333B">
      <w:pPr>
        <w:spacing w:line="360" w:lineRule="auto"/>
        <w:jc w:val="both"/>
        <w:rPr>
          <w:rFonts w:ascii="Arial" w:hAnsi="Arial" w:cs="Arial"/>
          <w:color w:val="000000"/>
          <w:lang w:eastAsia="es-CO"/>
        </w:rPr>
      </w:pPr>
      <w:r w:rsidRPr="007A177A">
        <w:rPr>
          <w:rFonts w:ascii="Arial" w:hAnsi="Arial" w:cs="Arial"/>
          <w:color w:val="000000"/>
          <w:lang w:eastAsia="es-CO"/>
        </w:rPr>
        <w:t>La aplicación del artículo 884 del Código de Comercio para liquidar intereses en caso de mora se estableció por la jurisprudencia de la Sección Tercera del Consejo de Estado en sentencia del 9 de octubre de 2003, en la que condenó al pago de obligaciones en mora de un contrato celebrado en vigencia del Decreto</w:t>
      </w:r>
      <w:r w:rsidR="00D766EA" w:rsidRPr="007A177A">
        <w:rPr>
          <w:rFonts w:ascii="Arial" w:hAnsi="Arial" w:cs="Arial"/>
          <w:color w:val="000000"/>
          <w:lang w:eastAsia="es-CO"/>
        </w:rPr>
        <w:t>-ley</w:t>
      </w:r>
      <w:r w:rsidRPr="007A177A">
        <w:rPr>
          <w:rFonts w:ascii="Arial" w:hAnsi="Arial" w:cs="Arial"/>
          <w:color w:val="000000"/>
          <w:lang w:eastAsia="es-CO"/>
        </w:rPr>
        <w:t xml:space="preserve"> 222 de 1983</w:t>
      </w:r>
      <w:r w:rsidRPr="007A177A">
        <w:rPr>
          <w:rStyle w:val="Refdenotaalpie"/>
          <w:rFonts w:ascii="Arial" w:hAnsi="Arial" w:cs="Arial"/>
          <w:color w:val="000000"/>
          <w:lang w:eastAsia="es-CO"/>
        </w:rPr>
        <w:footnoteReference w:id="66"/>
      </w:r>
      <w:r w:rsidRPr="007A177A">
        <w:rPr>
          <w:rFonts w:ascii="Arial" w:hAnsi="Arial" w:cs="Arial"/>
          <w:color w:val="000000"/>
          <w:lang w:eastAsia="es-CO"/>
        </w:rPr>
        <w:t>.</w:t>
      </w:r>
    </w:p>
    <w:p w14:paraId="04C2E8F8" w14:textId="77777777" w:rsidR="00FF68C0" w:rsidRPr="007A177A" w:rsidRDefault="00FF68C0" w:rsidP="00BF333B">
      <w:pPr>
        <w:spacing w:line="360" w:lineRule="auto"/>
        <w:jc w:val="both"/>
        <w:rPr>
          <w:rFonts w:ascii="Arial" w:hAnsi="Arial" w:cs="Arial"/>
          <w:color w:val="000000"/>
          <w:lang w:eastAsia="es-CO"/>
        </w:rPr>
      </w:pPr>
    </w:p>
    <w:p w14:paraId="447018D5" w14:textId="77777777" w:rsidR="00DC2C6C" w:rsidRPr="007A177A" w:rsidRDefault="00DC2C6C" w:rsidP="00BF333B">
      <w:pPr>
        <w:spacing w:line="360" w:lineRule="auto"/>
        <w:jc w:val="both"/>
        <w:rPr>
          <w:rFonts w:ascii="Arial" w:hAnsi="Arial" w:cs="Arial"/>
          <w:color w:val="000000"/>
          <w:lang w:eastAsia="es-CO"/>
        </w:rPr>
      </w:pPr>
      <w:r w:rsidRPr="007A177A">
        <w:rPr>
          <w:rFonts w:ascii="Arial" w:hAnsi="Arial" w:cs="Arial"/>
          <w:color w:val="000000"/>
          <w:lang w:eastAsia="es-CO"/>
        </w:rPr>
        <w:t>En ese contexto, los intereses moratorios en vigencia del Decreto</w:t>
      </w:r>
      <w:r w:rsidR="00D766EA" w:rsidRPr="007A177A">
        <w:rPr>
          <w:rFonts w:ascii="Arial" w:hAnsi="Arial" w:cs="Arial"/>
          <w:color w:val="000000"/>
          <w:lang w:eastAsia="es-CO"/>
        </w:rPr>
        <w:t>-ley</w:t>
      </w:r>
      <w:r w:rsidRPr="007A177A">
        <w:rPr>
          <w:rFonts w:ascii="Arial" w:hAnsi="Arial" w:cs="Arial"/>
          <w:color w:val="000000"/>
          <w:lang w:eastAsia="es-CO"/>
        </w:rPr>
        <w:t xml:space="preserve"> 222 de 1983 </w:t>
      </w:r>
      <w:r w:rsidR="00921310" w:rsidRPr="007A177A">
        <w:rPr>
          <w:rFonts w:ascii="Arial" w:hAnsi="Arial" w:cs="Arial"/>
          <w:color w:val="000000"/>
          <w:lang w:eastAsia="es-CO"/>
        </w:rPr>
        <w:t>-</w:t>
      </w:r>
      <w:r w:rsidRPr="007A177A">
        <w:rPr>
          <w:rFonts w:ascii="Arial" w:hAnsi="Arial" w:cs="Arial"/>
          <w:i/>
          <w:color w:val="000000"/>
          <w:lang w:eastAsia="es-CO"/>
        </w:rPr>
        <w:t>entre el 3 de febrero de 1983 y el 31 de diciembre de 1993</w:t>
      </w:r>
      <w:r w:rsidRPr="007A177A">
        <w:rPr>
          <w:rFonts w:ascii="Arial" w:hAnsi="Arial" w:cs="Arial"/>
          <w:color w:val="000000"/>
          <w:lang w:eastAsia="es-CO"/>
        </w:rPr>
        <w:t xml:space="preserve">- para aquellos contratos que se rigieron por </w:t>
      </w:r>
      <w:r w:rsidR="00D766EA" w:rsidRPr="007A177A">
        <w:rPr>
          <w:rFonts w:ascii="Arial" w:hAnsi="Arial" w:cs="Arial"/>
          <w:color w:val="000000"/>
          <w:lang w:eastAsia="es-CO"/>
        </w:rPr>
        <w:t>el mencionado Decreto-ley</w:t>
      </w:r>
      <w:r w:rsidRPr="007A177A">
        <w:rPr>
          <w:rFonts w:ascii="Arial" w:hAnsi="Arial" w:cs="Arial"/>
          <w:color w:val="000000"/>
          <w:lang w:eastAsia="es-CO"/>
        </w:rPr>
        <w:t xml:space="preserve"> o por el derecho privado, -</w:t>
      </w:r>
      <w:r w:rsidRPr="007A177A">
        <w:rPr>
          <w:rFonts w:ascii="Arial" w:hAnsi="Arial" w:cs="Arial"/>
          <w:i/>
          <w:color w:val="000000"/>
          <w:lang w:eastAsia="es-CO"/>
        </w:rPr>
        <w:t>frente a comerciantes</w:t>
      </w:r>
      <w:r w:rsidRPr="007A177A">
        <w:rPr>
          <w:rFonts w:ascii="Arial" w:hAnsi="Arial" w:cs="Arial"/>
          <w:color w:val="000000"/>
          <w:lang w:eastAsia="es-CO"/>
        </w:rPr>
        <w:t>- se liquidan</w:t>
      </w:r>
      <w:r w:rsidR="00D766EA" w:rsidRPr="007A177A">
        <w:rPr>
          <w:rFonts w:ascii="Arial" w:hAnsi="Arial" w:cs="Arial"/>
          <w:color w:val="000000"/>
          <w:lang w:eastAsia="es-CO"/>
        </w:rPr>
        <w:t>,</w:t>
      </w:r>
      <w:r w:rsidRPr="007A177A">
        <w:rPr>
          <w:rFonts w:ascii="Arial" w:hAnsi="Arial" w:cs="Arial"/>
          <w:color w:val="000000"/>
          <w:lang w:eastAsia="es-CO"/>
        </w:rPr>
        <w:t xml:space="preserve"> de acuerdo con la jurisprudencia del Consejo de Estado</w:t>
      </w:r>
      <w:r w:rsidR="00D766EA" w:rsidRPr="007A177A">
        <w:rPr>
          <w:rFonts w:ascii="Arial" w:hAnsi="Arial" w:cs="Arial"/>
          <w:color w:val="000000"/>
          <w:lang w:eastAsia="es-CO"/>
        </w:rPr>
        <w:t>,</w:t>
      </w:r>
      <w:r w:rsidRPr="007A177A">
        <w:rPr>
          <w:rFonts w:ascii="Arial" w:hAnsi="Arial" w:cs="Arial"/>
          <w:color w:val="000000"/>
          <w:lang w:eastAsia="es-CO"/>
        </w:rPr>
        <w:t xml:space="preserve"> a la tasa máxima que se podía cobrar en Colombia en cada período de tiempo, siguiendo las reglas del artículo 884 del Código de Comercio</w:t>
      </w:r>
      <w:r w:rsidR="003369E8" w:rsidRPr="007A177A">
        <w:rPr>
          <w:rFonts w:ascii="Arial" w:hAnsi="Arial" w:cs="Arial"/>
          <w:color w:val="000000"/>
          <w:lang w:eastAsia="es-CO"/>
        </w:rPr>
        <w:t xml:space="preserve"> y la correspondiente certificación de la Superintendencia Bancaria, hoy Superintendencia Financiera de Colombia</w:t>
      </w:r>
      <w:r w:rsidRPr="007A177A">
        <w:rPr>
          <w:rFonts w:ascii="Arial" w:hAnsi="Arial" w:cs="Arial"/>
          <w:color w:val="000000"/>
          <w:lang w:eastAsia="es-CO"/>
        </w:rPr>
        <w:t>.</w:t>
      </w:r>
    </w:p>
    <w:p w14:paraId="1B7579B3" w14:textId="77777777" w:rsidR="00162E92" w:rsidRPr="007A177A" w:rsidRDefault="00162E92" w:rsidP="00BF333B">
      <w:pPr>
        <w:pStyle w:val="NormalWeb"/>
        <w:shd w:val="clear" w:color="auto" w:fill="FFFFFF"/>
        <w:spacing w:before="0" w:beforeAutospacing="0" w:after="0" w:afterAutospacing="0"/>
        <w:rPr>
          <w:rFonts w:ascii="Arial" w:hAnsi="Arial" w:cs="Arial"/>
          <w:b/>
          <w:bCs/>
        </w:rPr>
      </w:pPr>
    </w:p>
    <w:p w14:paraId="04CA8519" w14:textId="77777777" w:rsidR="00DC2C6C" w:rsidRPr="007A177A" w:rsidRDefault="00162E92" w:rsidP="00BF333B">
      <w:pPr>
        <w:pStyle w:val="NormalWeb"/>
        <w:shd w:val="clear" w:color="auto" w:fill="FFFFFF"/>
        <w:spacing w:before="0" w:beforeAutospacing="0" w:after="0" w:afterAutospacing="0"/>
        <w:rPr>
          <w:rFonts w:ascii="Arial" w:hAnsi="Arial" w:cs="Arial"/>
          <w:b/>
          <w:bCs/>
        </w:rPr>
      </w:pPr>
      <w:r w:rsidRPr="007A177A">
        <w:rPr>
          <w:rFonts w:ascii="Arial" w:hAnsi="Arial" w:cs="Arial"/>
          <w:b/>
          <w:bCs/>
        </w:rPr>
        <w:t xml:space="preserve">5.3. </w:t>
      </w:r>
      <w:r w:rsidR="00DC2C6C" w:rsidRPr="007A177A">
        <w:rPr>
          <w:rFonts w:ascii="Arial" w:hAnsi="Arial" w:cs="Arial"/>
          <w:b/>
          <w:bCs/>
        </w:rPr>
        <w:t xml:space="preserve">Ley 80 de 1993 </w:t>
      </w:r>
    </w:p>
    <w:p w14:paraId="6860C4FB" w14:textId="77777777" w:rsidR="00DC2C6C" w:rsidRPr="007A177A" w:rsidRDefault="00DC2C6C" w:rsidP="00BF333B">
      <w:pPr>
        <w:pStyle w:val="NormalWeb"/>
        <w:shd w:val="clear" w:color="auto" w:fill="FFFFFF"/>
        <w:spacing w:before="0" w:beforeAutospacing="0" w:after="0" w:afterAutospacing="0"/>
        <w:rPr>
          <w:rFonts w:ascii="Arial" w:hAnsi="Arial" w:cs="Arial"/>
          <w:b/>
          <w:bCs/>
          <w:color w:val="666666"/>
        </w:rPr>
      </w:pPr>
    </w:p>
    <w:p w14:paraId="6371B429" w14:textId="77777777" w:rsidR="00DC2C6C" w:rsidRPr="007A177A" w:rsidRDefault="00DC2C6C" w:rsidP="00BF333B">
      <w:pPr>
        <w:spacing w:line="360" w:lineRule="auto"/>
        <w:jc w:val="both"/>
        <w:rPr>
          <w:rFonts w:ascii="Arial" w:hAnsi="Arial" w:cs="Arial"/>
          <w:color w:val="000000"/>
          <w:lang w:val="es-MX" w:eastAsia="es-MX"/>
        </w:rPr>
      </w:pPr>
      <w:r w:rsidRPr="007A177A">
        <w:rPr>
          <w:rFonts w:ascii="Arial" w:hAnsi="Arial" w:cs="Arial"/>
          <w:color w:val="000000"/>
          <w:lang w:val="es-MX" w:eastAsia="es-MX"/>
        </w:rPr>
        <w:t>La Ley 80 de 1993</w:t>
      </w:r>
      <w:r w:rsidR="007A07F4" w:rsidRPr="007A177A">
        <w:rPr>
          <w:rFonts w:ascii="Arial" w:hAnsi="Arial" w:cs="Arial"/>
          <w:color w:val="000000"/>
          <w:lang w:val="es-MX" w:eastAsia="es-MX"/>
        </w:rPr>
        <w:t xml:space="preserve">, </w:t>
      </w:r>
      <w:r w:rsidR="000F1449" w:rsidRPr="007A177A">
        <w:rPr>
          <w:rFonts w:ascii="Arial" w:hAnsi="Arial" w:cs="Arial"/>
          <w:color w:val="000000"/>
          <w:lang w:val="es-MX" w:eastAsia="es-MX"/>
        </w:rPr>
        <w:t>cuya mayoría de artículos</w:t>
      </w:r>
      <w:r w:rsidR="007A07F4" w:rsidRPr="007A177A">
        <w:rPr>
          <w:rFonts w:ascii="Arial" w:hAnsi="Arial" w:cs="Arial"/>
          <w:color w:val="000000"/>
          <w:lang w:val="es-MX" w:eastAsia="es-MX"/>
        </w:rPr>
        <w:t xml:space="preserve"> entró a regir el 1o de enero de 1994, </w:t>
      </w:r>
      <w:r w:rsidRPr="007A177A">
        <w:rPr>
          <w:rFonts w:ascii="Arial" w:hAnsi="Arial" w:cs="Arial"/>
          <w:color w:val="000000"/>
          <w:lang w:val="es-MX" w:eastAsia="es-MX"/>
        </w:rPr>
        <w:t>consagró la aplicación supletiva del Código de Comercio</w:t>
      </w:r>
      <w:r w:rsidR="007C4741" w:rsidRPr="007A177A">
        <w:rPr>
          <w:rFonts w:ascii="Arial" w:hAnsi="Arial" w:cs="Arial"/>
          <w:color w:val="000000"/>
          <w:lang w:val="es-MX" w:eastAsia="es-MX"/>
        </w:rPr>
        <w:t>,</w:t>
      </w:r>
      <w:r w:rsidRPr="007A177A">
        <w:rPr>
          <w:rFonts w:ascii="Arial" w:hAnsi="Arial" w:cs="Arial"/>
          <w:color w:val="000000"/>
          <w:lang w:val="es-MX" w:eastAsia="es-MX"/>
        </w:rPr>
        <w:t xml:space="preserve"> pero en materia de intereses de mora adoptó el sistema de la tasa nominal partiendo del 6% </w:t>
      </w:r>
      <w:r w:rsidR="00921310" w:rsidRPr="007A177A">
        <w:rPr>
          <w:rFonts w:ascii="Arial" w:hAnsi="Arial" w:cs="Arial"/>
          <w:color w:val="000000"/>
          <w:lang w:val="es-MX" w:eastAsia="es-MX"/>
        </w:rPr>
        <w:t>señalado en el</w:t>
      </w:r>
      <w:r w:rsidRPr="007A177A">
        <w:rPr>
          <w:rFonts w:ascii="Arial" w:hAnsi="Arial" w:cs="Arial"/>
          <w:color w:val="000000"/>
          <w:lang w:val="es-MX" w:eastAsia="es-MX"/>
        </w:rPr>
        <w:t xml:space="preserve"> artículo 1617 del Código Civil. </w:t>
      </w:r>
    </w:p>
    <w:p w14:paraId="1C198714" w14:textId="77777777" w:rsidR="00BF333B" w:rsidRPr="007A177A" w:rsidRDefault="00BF333B" w:rsidP="00BF333B">
      <w:pPr>
        <w:spacing w:line="360" w:lineRule="auto"/>
        <w:jc w:val="both"/>
        <w:rPr>
          <w:rFonts w:ascii="Arial" w:hAnsi="Arial" w:cs="Arial"/>
          <w:color w:val="000000"/>
          <w:lang w:val="es-MX" w:eastAsia="es-MX"/>
        </w:rPr>
      </w:pPr>
    </w:p>
    <w:p w14:paraId="1A5FB940" w14:textId="77777777" w:rsidR="00DC2C6C" w:rsidRPr="007A177A" w:rsidRDefault="00DC2C6C" w:rsidP="00BF333B">
      <w:pPr>
        <w:spacing w:line="360" w:lineRule="auto"/>
        <w:jc w:val="both"/>
        <w:rPr>
          <w:rFonts w:ascii="Arial" w:hAnsi="Arial" w:cs="Arial"/>
          <w:color w:val="000000"/>
          <w:lang w:val="es-MX" w:eastAsia="es-MX"/>
        </w:rPr>
      </w:pPr>
      <w:r w:rsidRPr="007A177A">
        <w:rPr>
          <w:rFonts w:ascii="Arial" w:hAnsi="Arial" w:cs="Arial"/>
          <w:color w:val="000000"/>
          <w:lang w:val="es-MX" w:eastAsia="es-MX"/>
        </w:rPr>
        <w:t>El artículo 4 -</w:t>
      </w:r>
      <w:r w:rsidRPr="007A177A">
        <w:rPr>
          <w:rFonts w:ascii="Arial" w:hAnsi="Arial" w:cs="Arial"/>
          <w:i/>
          <w:color w:val="000000"/>
          <w:lang w:val="es-MX" w:eastAsia="es-MX"/>
        </w:rPr>
        <w:t>en su numeral 8</w:t>
      </w:r>
      <w:r w:rsidRPr="007A177A">
        <w:rPr>
          <w:rFonts w:ascii="Arial" w:hAnsi="Arial" w:cs="Arial"/>
          <w:color w:val="000000"/>
          <w:lang w:val="es-MX" w:eastAsia="es-MX"/>
        </w:rPr>
        <w:t>- fijó el interés de mora en el doble del interés legal civil</w:t>
      </w:r>
      <w:r w:rsidR="00F874F7" w:rsidRPr="007A177A">
        <w:rPr>
          <w:rFonts w:ascii="Arial" w:hAnsi="Arial" w:cs="Arial"/>
          <w:color w:val="000000"/>
          <w:lang w:val="es-MX" w:eastAsia="es-MX"/>
        </w:rPr>
        <w:t xml:space="preserve"> -</w:t>
      </w:r>
      <w:r w:rsidRPr="007A177A">
        <w:rPr>
          <w:rFonts w:ascii="Arial" w:hAnsi="Arial" w:cs="Arial"/>
          <w:i/>
          <w:color w:val="000000"/>
          <w:lang w:val="es-MX" w:eastAsia="es-MX"/>
        </w:rPr>
        <w:t>12% anual</w:t>
      </w:r>
      <w:r w:rsidR="00F874F7" w:rsidRPr="007A177A">
        <w:rPr>
          <w:rFonts w:ascii="Arial" w:hAnsi="Arial" w:cs="Arial"/>
          <w:color w:val="000000"/>
          <w:lang w:val="es-MX" w:eastAsia="es-MX"/>
        </w:rPr>
        <w:t>-</w:t>
      </w:r>
      <w:r w:rsidRPr="007A177A">
        <w:rPr>
          <w:rFonts w:ascii="Arial" w:hAnsi="Arial" w:cs="Arial"/>
          <w:color w:val="000000"/>
          <w:lang w:val="es-MX" w:eastAsia="es-MX"/>
        </w:rPr>
        <w:t xml:space="preserve">, respecto del cual se precisó que debe ser liquidado sobre el valor de la obligación debidamente actualizada. </w:t>
      </w:r>
    </w:p>
    <w:p w14:paraId="65527B74" w14:textId="77777777" w:rsidR="00BF333B" w:rsidRPr="007A177A" w:rsidRDefault="00BF333B" w:rsidP="00BF333B">
      <w:pPr>
        <w:spacing w:line="360" w:lineRule="auto"/>
        <w:jc w:val="both"/>
        <w:rPr>
          <w:rFonts w:ascii="Arial" w:hAnsi="Arial" w:cs="Arial"/>
          <w:color w:val="000000"/>
          <w:lang w:val="es-MX" w:eastAsia="es-MX"/>
        </w:rPr>
      </w:pPr>
    </w:p>
    <w:p w14:paraId="2856FB9E" w14:textId="77777777" w:rsidR="00DC2C6C" w:rsidRPr="007A177A" w:rsidRDefault="00DC2C6C" w:rsidP="00BF333B">
      <w:pPr>
        <w:spacing w:line="360" w:lineRule="auto"/>
        <w:jc w:val="both"/>
        <w:rPr>
          <w:rFonts w:ascii="Arial" w:hAnsi="Arial" w:cs="Arial"/>
          <w:color w:val="000000"/>
          <w:lang w:val="es-MX" w:eastAsia="es-MX"/>
        </w:rPr>
      </w:pPr>
      <w:r w:rsidRPr="007A177A">
        <w:rPr>
          <w:rFonts w:ascii="Arial" w:hAnsi="Arial" w:cs="Arial"/>
          <w:color w:val="000000"/>
          <w:lang w:val="es-MX" w:eastAsia="es-MX"/>
        </w:rPr>
        <w:t xml:space="preserve">Se resalta que la tasa de interés invocada en la Ley 80 de 1993 se aplica para aquellos contratos en los que las partes no hayan pactado una tasa de interés diferente. La referida disposición establece: </w:t>
      </w:r>
    </w:p>
    <w:p w14:paraId="2BFF9426" w14:textId="77777777" w:rsidR="00BF333B" w:rsidRPr="007A177A" w:rsidRDefault="00BF333B" w:rsidP="00BF333B">
      <w:pPr>
        <w:spacing w:line="360" w:lineRule="auto"/>
        <w:jc w:val="both"/>
        <w:rPr>
          <w:rFonts w:ascii="Arial" w:hAnsi="Arial" w:cs="Arial"/>
          <w:color w:val="000000"/>
          <w:lang w:val="es-MX" w:eastAsia="es-MX"/>
        </w:rPr>
      </w:pPr>
    </w:p>
    <w:p w14:paraId="06E32EAE" w14:textId="77777777" w:rsidR="00DC2C6C" w:rsidRPr="007A177A" w:rsidRDefault="00DC2C6C" w:rsidP="00BF333B">
      <w:pPr>
        <w:spacing w:line="276" w:lineRule="auto"/>
        <w:ind w:left="567" w:right="850"/>
        <w:jc w:val="both"/>
        <w:rPr>
          <w:rFonts w:ascii="Arial" w:hAnsi="Arial" w:cs="Arial"/>
          <w:i/>
          <w:lang w:val="es-MX" w:eastAsia="es-MX"/>
        </w:rPr>
      </w:pPr>
      <w:r w:rsidRPr="007A177A">
        <w:rPr>
          <w:rFonts w:ascii="Arial" w:hAnsi="Arial" w:cs="Arial"/>
          <w:i/>
          <w:color w:val="000000"/>
          <w:lang w:val="es-MX" w:eastAsia="es-MX"/>
        </w:rPr>
        <w:t>“</w:t>
      </w:r>
      <w:r w:rsidRPr="007A177A">
        <w:rPr>
          <w:rFonts w:ascii="Arial" w:hAnsi="Arial" w:cs="Arial"/>
          <w:i/>
          <w:lang w:val="es-MX" w:eastAsia="es-MX"/>
        </w:rPr>
        <w:t>Artículo 4º.- De los Derechos y Deberes de las Entidades Estatales. Para la consecución de los fines de que trata el artículo anterior, las entidades estatales:</w:t>
      </w:r>
    </w:p>
    <w:p w14:paraId="54827784" w14:textId="77777777" w:rsidR="00DC2C6C" w:rsidRPr="007A177A" w:rsidRDefault="00DC2C6C" w:rsidP="00BF333B">
      <w:pPr>
        <w:spacing w:line="276" w:lineRule="auto"/>
        <w:ind w:left="567" w:right="850"/>
        <w:jc w:val="both"/>
        <w:rPr>
          <w:rFonts w:ascii="Arial" w:hAnsi="Arial" w:cs="Arial"/>
          <w:i/>
          <w:lang w:val="es-MX" w:eastAsia="es-MX"/>
        </w:rPr>
      </w:pPr>
      <w:r w:rsidRPr="007A177A">
        <w:rPr>
          <w:rFonts w:ascii="Arial" w:hAnsi="Arial" w:cs="Arial"/>
          <w:i/>
          <w:lang w:val="es-MX" w:eastAsia="es-MX"/>
        </w:rPr>
        <w:t>“(…).</w:t>
      </w:r>
    </w:p>
    <w:p w14:paraId="2C2FE689" w14:textId="77777777" w:rsidR="00DC2C6C" w:rsidRPr="007A177A" w:rsidRDefault="00DC2C6C" w:rsidP="00BF333B">
      <w:pPr>
        <w:ind w:left="567" w:right="850"/>
        <w:jc w:val="both"/>
        <w:rPr>
          <w:rFonts w:ascii="Arial" w:hAnsi="Arial" w:cs="Arial"/>
          <w:i/>
          <w:lang w:val="es-MX" w:eastAsia="es-MX"/>
        </w:rPr>
      </w:pPr>
      <w:r w:rsidRPr="007A177A">
        <w:rPr>
          <w:rFonts w:ascii="Arial" w:hAnsi="Arial" w:cs="Arial"/>
          <w:i/>
          <w:lang w:val="es-MX" w:eastAsia="es-MX"/>
        </w:rPr>
        <w:t xml:space="preserve">“8o. Adoptarán las medidas necesarias para mantener durante el desarrollo y ejecución del contrato las condiciones técnicas, económicas y financieras existentes al momento de proponer en los casos en que se hubiere realizado licitación, o de contratar en los casos de contratación directa. Para ello utilizarán los mecanismos de ajuste y revisión de precios, acudirán a los procedimientos de revisión </w:t>
      </w:r>
      <w:r w:rsidRPr="007A177A">
        <w:rPr>
          <w:rFonts w:ascii="Arial" w:hAnsi="Arial" w:cs="Arial"/>
          <w:i/>
          <w:lang w:val="es-MX" w:eastAsia="es-MX"/>
        </w:rPr>
        <w:lastRenderedPageBreak/>
        <w:t>y corrección de tales mecanismos si fracasan los supuestos o hipótesis para la ejecución y pactarán intereses moratorios.</w:t>
      </w:r>
    </w:p>
    <w:p w14:paraId="44ABD89B" w14:textId="77777777" w:rsidR="00DC2C6C" w:rsidRPr="007A177A" w:rsidRDefault="00DC2C6C" w:rsidP="00BF333B">
      <w:pPr>
        <w:ind w:left="567" w:right="850"/>
        <w:jc w:val="both"/>
        <w:rPr>
          <w:rFonts w:ascii="Arial" w:hAnsi="Arial" w:cs="Arial"/>
          <w:lang w:val="es-MX" w:eastAsia="es-MX"/>
        </w:rPr>
      </w:pPr>
      <w:r w:rsidRPr="007A177A">
        <w:rPr>
          <w:rFonts w:ascii="Arial" w:hAnsi="Arial" w:cs="Arial"/>
          <w:i/>
          <w:lang w:val="es-MX" w:eastAsia="es-MX"/>
        </w:rPr>
        <w:t xml:space="preserve">“Sin perjuicio de la actualización o revisión de precios, </w:t>
      </w:r>
      <w:r w:rsidRPr="007A177A">
        <w:rPr>
          <w:rFonts w:ascii="Arial" w:hAnsi="Arial" w:cs="Arial"/>
          <w:b/>
          <w:i/>
          <w:lang w:val="es-MX" w:eastAsia="es-MX"/>
        </w:rPr>
        <w:t>en caso de no haberse pactado intereses moratorios, se aplicará la tasa equivalente al doble del interés legal civil sobre el valor histórico actualizado</w:t>
      </w:r>
      <w:r w:rsidRPr="007A177A">
        <w:rPr>
          <w:rFonts w:ascii="Arial" w:hAnsi="Arial" w:cs="Arial"/>
          <w:i/>
          <w:lang w:val="es-MX" w:eastAsia="es-MX"/>
        </w:rPr>
        <w:t xml:space="preserve">” </w:t>
      </w:r>
      <w:r w:rsidRPr="007A177A">
        <w:rPr>
          <w:rFonts w:ascii="Arial" w:hAnsi="Arial" w:cs="Arial"/>
          <w:lang w:val="es-MX" w:eastAsia="es-MX"/>
        </w:rPr>
        <w:t>(la negrilla no es del texto).</w:t>
      </w:r>
    </w:p>
    <w:p w14:paraId="0FA18D0D" w14:textId="77777777" w:rsidR="00BF333B" w:rsidRPr="007A177A" w:rsidRDefault="00BF333B" w:rsidP="00BF333B">
      <w:pPr>
        <w:spacing w:line="360" w:lineRule="auto"/>
        <w:jc w:val="both"/>
        <w:rPr>
          <w:rFonts w:ascii="Arial" w:hAnsi="Arial" w:cs="Arial"/>
          <w:lang w:val="es-MX" w:eastAsia="es-MX"/>
        </w:rPr>
      </w:pPr>
    </w:p>
    <w:p w14:paraId="43ACDDED" w14:textId="77777777" w:rsidR="00DC2C6C" w:rsidRPr="007A177A" w:rsidRDefault="00A40C72" w:rsidP="00BF333B">
      <w:pPr>
        <w:spacing w:line="360" w:lineRule="auto"/>
        <w:jc w:val="both"/>
        <w:rPr>
          <w:rFonts w:ascii="Arial" w:hAnsi="Arial" w:cs="Arial"/>
          <w:lang w:val="es-MX" w:eastAsia="es-MX"/>
        </w:rPr>
      </w:pPr>
      <w:r w:rsidRPr="007A177A">
        <w:rPr>
          <w:rFonts w:ascii="Arial" w:hAnsi="Arial" w:cs="Arial"/>
          <w:lang w:val="es-MX" w:eastAsia="es-MX"/>
        </w:rPr>
        <w:t>El</w:t>
      </w:r>
      <w:r w:rsidR="00DC2C6C" w:rsidRPr="007A177A">
        <w:rPr>
          <w:rFonts w:ascii="Arial" w:hAnsi="Arial" w:cs="Arial"/>
          <w:lang w:val="es-MX" w:eastAsia="es-MX"/>
        </w:rPr>
        <w:t xml:space="preserve"> Decreto 679 de 1994, </w:t>
      </w:r>
      <w:r w:rsidRPr="007A177A">
        <w:rPr>
          <w:rFonts w:ascii="Arial" w:hAnsi="Arial" w:cs="Arial"/>
          <w:lang w:val="es-MX" w:eastAsia="es-MX"/>
        </w:rPr>
        <w:t>de</w:t>
      </w:r>
      <w:r w:rsidR="00DC2C6C" w:rsidRPr="007A177A">
        <w:rPr>
          <w:rFonts w:ascii="Arial" w:hAnsi="Arial" w:cs="Arial"/>
          <w:lang w:val="es-MX" w:eastAsia="es-MX"/>
        </w:rPr>
        <w:t xml:space="preserve"> carácter reglamentario, describió la forma como se debían liquidar los intereses de mora en los contratos que se rigen por la Ley 80 de 1993, texto normativo que se ha conservado durante más de 20 años</w:t>
      </w:r>
      <w:r w:rsidR="00DC2C6C" w:rsidRPr="007A177A">
        <w:rPr>
          <w:rStyle w:val="Refdenotaalpie"/>
          <w:rFonts w:ascii="Arial" w:hAnsi="Arial" w:cs="Arial"/>
          <w:lang w:val="es-MX" w:eastAsia="es-MX"/>
        </w:rPr>
        <w:footnoteReference w:id="67"/>
      </w:r>
      <w:r w:rsidR="00DC2C6C" w:rsidRPr="007A177A">
        <w:rPr>
          <w:rFonts w:ascii="Arial" w:hAnsi="Arial" w:cs="Arial"/>
          <w:lang w:val="es-MX" w:eastAsia="es-MX"/>
        </w:rPr>
        <w:t>, con el siguiente tenor:</w:t>
      </w:r>
    </w:p>
    <w:p w14:paraId="4CB86AC6" w14:textId="77777777" w:rsidR="00BF333B" w:rsidRPr="007A177A" w:rsidRDefault="00BF333B" w:rsidP="00BF333B">
      <w:pPr>
        <w:spacing w:line="360" w:lineRule="auto"/>
        <w:jc w:val="both"/>
        <w:rPr>
          <w:rFonts w:ascii="Arial" w:hAnsi="Arial" w:cs="Arial"/>
          <w:lang w:val="es-MX" w:eastAsia="es-MX"/>
        </w:rPr>
      </w:pPr>
    </w:p>
    <w:p w14:paraId="59E51C26" w14:textId="77777777" w:rsidR="00DC2C6C" w:rsidRPr="007A177A" w:rsidRDefault="00DC2C6C" w:rsidP="00BF333B">
      <w:pPr>
        <w:ind w:left="567" w:right="850"/>
        <w:jc w:val="both"/>
        <w:rPr>
          <w:rFonts w:ascii="Arial" w:hAnsi="Arial" w:cs="Arial"/>
          <w:color w:val="000000"/>
          <w:lang w:val="es-MX" w:eastAsia="es-MX"/>
        </w:rPr>
      </w:pPr>
      <w:r w:rsidRPr="007A177A">
        <w:rPr>
          <w:rFonts w:ascii="Arial" w:hAnsi="Arial" w:cs="Arial"/>
          <w:i/>
          <w:color w:val="000000"/>
          <w:lang w:val="es-MX" w:eastAsia="es-MX"/>
        </w:rPr>
        <w:t xml:space="preserve">“Artículo 1. De la determinación de los intereses moratorios. Para determinar el </w:t>
      </w:r>
      <w:r w:rsidRPr="007A177A">
        <w:rPr>
          <w:rFonts w:ascii="Arial" w:hAnsi="Arial" w:cs="Arial"/>
          <w:b/>
          <w:i/>
          <w:color w:val="000000"/>
          <w:lang w:val="es-MX" w:eastAsia="es-MX"/>
        </w:rPr>
        <w:t>valor histórico actualizado</w:t>
      </w:r>
      <w:r w:rsidRPr="007A177A">
        <w:rPr>
          <w:rFonts w:ascii="Arial" w:hAnsi="Arial" w:cs="Arial"/>
          <w:i/>
          <w:color w:val="000000"/>
          <w:lang w:val="es-MX" w:eastAsia="es-MX"/>
        </w:rPr>
        <w:t xml:space="preserve"> a que se refiere el artículo 4°, numeral 8° de la Ley 80 de 1993, se aplicará </w:t>
      </w:r>
      <w:r w:rsidRPr="007A177A">
        <w:rPr>
          <w:rFonts w:ascii="Arial" w:hAnsi="Arial" w:cs="Arial"/>
          <w:b/>
          <w:i/>
          <w:color w:val="000000"/>
          <w:lang w:val="es-MX" w:eastAsia="es-MX"/>
        </w:rPr>
        <w:t>a la suma debida por cada año de mora</w:t>
      </w:r>
      <w:r w:rsidRPr="007A177A">
        <w:rPr>
          <w:rFonts w:ascii="Arial" w:hAnsi="Arial" w:cs="Arial"/>
          <w:i/>
          <w:color w:val="000000"/>
          <w:lang w:val="es-MX" w:eastAsia="es-MX"/>
        </w:rPr>
        <w:t xml:space="preserve"> el incremento del índice de precios al consumidor entre el 1° de enero y el 31 de diciembre del año anterior. En el evento de que no haya transcurrido un año completo o se trate de fracciones de año, la actualización se hará en proporción a los días transcurridos” </w:t>
      </w:r>
      <w:r w:rsidRPr="007A177A">
        <w:rPr>
          <w:rFonts w:ascii="Arial" w:hAnsi="Arial" w:cs="Arial"/>
          <w:color w:val="000000"/>
          <w:lang w:val="es-MX" w:eastAsia="es-MX"/>
        </w:rPr>
        <w:t>(la negrilla no es del texto).</w:t>
      </w:r>
    </w:p>
    <w:p w14:paraId="4575BF10" w14:textId="77777777" w:rsidR="00BF333B" w:rsidRPr="007A177A" w:rsidRDefault="00BF333B" w:rsidP="00BF333B">
      <w:pPr>
        <w:spacing w:line="360" w:lineRule="auto"/>
        <w:jc w:val="both"/>
        <w:rPr>
          <w:rFonts w:ascii="Arial" w:hAnsi="Arial" w:cs="Arial"/>
          <w:color w:val="000000"/>
          <w:lang w:val="es-MX" w:eastAsia="es-MX"/>
        </w:rPr>
      </w:pPr>
    </w:p>
    <w:p w14:paraId="512F99CF" w14:textId="77777777" w:rsidR="00DC2C6C" w:rsidRPr="007A177A" w:rsidRDefault="00DC2C6C" w:rsidP="00BF333B">
      <w:pPr>
        <w:spacing w:line="360" w:lineRule="auto"/>
        <w:jc w:val="both"/>
        <w:rPr>
          <w:rFonts w:ascii="Arial" w:hAnsi="Arial" w:cs="Arial"/>
          <w:i/>
          <w:color w:val="000000"/>
          <w:lang w:val="es-MX" w:eastAsia="es-MX"/>
        </w:rPr>
      </w:pPr>
      <w:r w:rsidRPr="007A177A">
        <w:rPr>
          <w:rFonts w:ascii="Arial" w:hAnsi="Arial" w:cs="Arial"/>
          <w:color w:val="000000"/>
          <w:lang w:val="es-MX" w:eastAsia="es-MX"/>
        </w:rPr>
        <w:t>Se entiende que la regulación de intereses</w:t>
      </w:r>
      <w:r w:rsidR="00A40C72" w:rsidRPr="007A177A">
        <w:rPr>
          <w:rFonts w:ascii="Arial" w:hAnsi="Arial" w:cs="Arial"/>
          <w:color w:val="000000"/>
          <w:lang w:val="es-MX" w:eastAsia="es-MX"/>
        </w:rPr>
        <w:t xml:space="preserve"> a la que alude </w:t>
      </w:r>
      <w:r w:rsidRPr="007A177A">
        <w:rPr>
          <w:rFonts w:ascii="Arial" w:hAnsi="Arial" w:cs="Arial"/>
          <w:color w:val="000000"/>
          <w:lang w:val="es-MX" w:eastAsia="es-MX"/>
        </w:rPr>
        <w:t>el Decreto 679 de 1994 está establecida para liquidarlos sobre el precio no pagado de un contrato, debidamente actualizado, en orden a sostener las condiciones hasta la fecha en que se realice el pago, como lo dispone la norma reglamentada</w:t>
      </w:r>
      <w:r w:rsidRPr="007A177A">
        <w:rPr>
          <w:rStyle w:val="Refdenotaalpie"/>
          <w:rFonts w:ascii="Arial" w:hAnsi="Arial" w:cs="Arial"/>
          <w:color w:val="000000"/>
          <w:lang w:val="es-MX" w:eastAsia="es-MX"/>
        </w:rPr>
        <w:footnoteReference w:id="68"/>
      </w:r>
      <w:r w:rsidRPr="007A177A">
        <w:rPr>
          <w:rFonts w:ascii="Arial" w:hAnsi="Arial" w:cs="Arial"/>
          <w:i/>
          <w:color w:val="000000"/>
          <w:lang w:val="es-MX" w:eastAsia="es-MX"/>
        </w:rPr>
        <w:t xml:space="preserve">. </w:t>
      </w:r>
    </w:p>
    <w:p w14:paraId="0874BDE6" w14:textId="77777777" w:rsidR="00BF333B" w:rsidRPr="007A177A" w:rsidRDefault="00BF333B" w:rsidP="00BF333B">
      <w:pPr>
        <w:jc w:val="both"/>
        <w:rPr>
          <w:rFonts w:ascii="Arial" w:hAnsi="Arial" w:cs="Arial"/>
          <w:b/>
          <w:bCs/>
        </w:rPr>
      </w:pPr>
    </w:p>
    <w:p w14:paraId="01A5E8F1" w14:textId="77777777" w:rsidR="00DC2C6C" w:rsidRPr="007A177A" w:rsidRDefault="006014BE" w:rsidP="00BF333B">
      <w:pPr>
        <w:jc w:val="both"/>
        <w:rPr>
          <w:rFonts w:ascii="Arial" w:hAnsi="Arial" w:cs="Arial"/>
          <w:b/>
          <w:bCs/>
        </w:rPr>
      </w:pPr>
      <w:r w:rsidRPr="007A177A">
        <w:rPr>
          <w:rFonts w:ascii="Arial" w:hAnsi="Arial" w:cs="Arial"/>
          <w:b/>
          <w:bCs/>
        </w:rPr>
        <w:t>5.4</w:t>
      </w:r>
      <w:r w:rsidR="009552D8" w:rsidRPr="007A177A">
        <w:rPr>
          <w:rFonts w:ascii="Arial" w:hAnsi="Arial" w:cs="Arial"/>
          <w:b/>
          <w:bCs/>
        </w:rPr>
        <w:t>.</w:t>
      </w:r>
      <w:r w:rsidRPr="007A177A">
        <w:rPr>
          <w:rFonts w:ascii="Arial" w:hAnsi="Arial" w:cs="Arial"/>
          <w:b/>
          <w:bCs/>
        </w:rPr>
        <w:t xml:space="preserve"> </w:t>
      </w:r>
      <w:r w:rsidR="00DC2C6C" w:rsidRPr="007A177A">
        <w:rPr>
          <w:rFonts w:ascii="Arial" w:hAnsi="Arial" w:cs="Arial"/>
          <w:b/>
          <w:bCs/>
        </w:rPr>
        <w:t xml:space="preserve">Conclusiones sobre las tasas de interés aplicables en la contratación pública </w:t>
      </w:r>
    </w:p>
    <w:p w14:paraId="54E6047F" w14:textId="77777777" w:rsidR="00310345" w:rsidRPr="007A177A" w:rsidRDefault="00310345" w:rsidP="00BF333B">
      <w:pPr>
        <w:spacing w:line="360" w:lineRule="auto"/>
        <w:jc w:val="both"/>
        <w:rPr>
          <w:rFonts w:ascii="Arial" w:hAnsi="Arial" w:cs="Arial"/>
        </w:rPr>
      </w:pPr>
    </w:p>
    <w:p w14:paraId="174756A7" w14:textId="77777777" w:rsidR="003F45C0" w:rsidRPr="007A177A" w:rsidRDefault="001D3014" w:rsidP="00BF333B">
      <w:pPr>
        <w:spacing w:line="360" w:lineRule="auto"/>
        <w:jc w:val="both"/>
        <w:rPr>
          <w:rFonts w:ascii="Arial" w:hAnsi="Arial" w:cs="Arial"/>
        </w:rPr>
      </w:pPr>
      <w:r w:rsidRPr="007A177A">
        <w:rPr>
          <w:rFonts w:ascii="Arial" w:hAnsi="Arial" w:cs="Arial"/>
        </w:rPr>
        <w:t>De acuerdo con la jurisprudencia que se ha citado, e</w:t>
      </w:r>
      <w:r w:rsidR="006014BE" w:rsidRPr="007A177A">
        <w:rPr>
          <w:rFonts w:ascii="Arial" w:hAnsi="Arial" w:cs="Arial"/>
        </w:rPr>
        <w:t xml:space="preserve">n </w:t>
      </w:r>
      <w:r w:rsidR="00E16B1C" w:rsidRPr="007A177A">
        <w:rPr>
          <w:rFonts w:ascii="Arial" w:hAnsi="Arial" w:cs="Arial"/>
        </w:rPr>
        <w:t xml:space="preserve">vigencia del </w:t>
      </w:r>
      <w:r w:rsidR="006014BE" w:rsidRPr="007A177A">
        <w:rPr>
          <w:rFonts w:ascii="Arial" w:hAnsi="Arial" w:cs="Arial"/>
        </w:rPr>
        <w:t>Decreto</w:t>
      </w:r>
      <w:r w:rsidR="00A40C72" w:rsidRPr="007A177A">
        <w:rPr>
          <w:rFonts w:ascii="Arial" w:hAnsi="Arial" w:cs="Arial"/>
        </w:rPr>
        <w:t>-ley</w:t>
      </w:r>
      <w:r w:rsidR="006014BE" w:rsidRPr="007A177A">
        <w:rPr>
          <w:rFonts w:ascii="Arial" w:hAnsi="Arial" w:cs="Arial"/>
        </w:rPr>
        <w:t xml:space="preserve"> 150 de 1976 se aplic</w:t>
      </w:r>
      <w:r w:rsidR="007A07F4" w:rsidRPr="007A177A">
        <w:rPr>
          <w:rFonts w:ascii="Arial" w:hAnsi="Arial" w:cs="Arial"/>
        </w:rPr>
        <w:t>ó</w:t>
      </w:r>
      <w:r w:rsidR="006014BE" w:rsidRPr="007A177A">
        <w:rPr>
          <w:rFonts w:ascii="Arial" w:hAnsi="Arial" w:cs="Arial"/>
        </w:rPr>
        <w:t xml:space="preserve"> el interés del 6</w:t>
      </w:r>
      <w:r w:rsidR="00E16B1C" w:rsidRPr="007A177A">
        <w:rPr>
          <w:rFonts w:ascii="Arial" w:hAnsi="Arial" w:cs="Arial"/>
        </w:rPr>
        <w:t>% más la actualización con el IPC</w:t>
      </w:r>
      <w:r w:rsidR="00A40C72" w:rsidRPr="007A177A">
        <w:rPr>
          <w:rFonts w:ascii="Arial" w:hAnsi="Arial" w:cs="Arial"/>
        </w:rPr>
        <w:t>,</w:t>
      </w:r>
      <w:r w:rsidR="003F45C0" w:rsidRPr="007A177A">
        <w:rPr>
          <w:rFonts w:ascii="Arial" w:hAnsi="Arial" w:cs="Arial"/>
        </w:rPr>
        <w:t xml:space="preserve"> </w:t>
      </w:r>
      <w:r w:rsidR="00F874F7" w:rsidRPr="007A177A">
        <w:rPr>
          <w:rFonts w:ascii="Arial" w:hAnsi="Arial" w:cs="Arial"/>
        </w:rPr>
        <w:t>e</w:t>
      </w:r>
      <w:r w:rsidR="00C565F9" w:rsidRPr="007A177A">
        <w:rPr>
          <w:rFonts w:ascii="Arial" w:hAnsi="Arial" w:cs="Arial"/>
        </w:rPr>
        <w:t xml:space="preserve">ste último indicador, </w:t>
      </w:r>
      <w:r w:rsidR="005C5111" w:rsidRPr="007A177A">
        <w:rPr>
          <w:rFonts w:ascii="Arial" w:hAnsi="Arial" w:cs="Arial"/>
        </w:rPr>
        <w:t xml:space="preserve">si no se hubiere pactado otro </w:t>
      </w:r>
      <w:r w:rsidR="00F51B76" w:rsidRPr="007A177A">
        <w:rPr>
          <w:rFonts w:ascii="Arial" w:hAnsi="Arial" w:cs="Arial"/>
        </w:rPr>
        <w:t xml:space="preserve">índice de </w:t>
      </w:r>
      <w:r w:rsidR="005C5111" w:rsidRPr="007A177A">
        <w:rPr>
          <w:rFonts w:ascii="Arial" w:hAnsi="Arial" w:cs="Arial"/>
        </w:rPr>
        <w:t>ajuste</w:t>
      </w:r>
      <w:r w:rsidR="00F51B76" w:rsidRPr="007A177A">
        <w:rPr>
          <w:rStyle w:val="Refdenotaalpie"/>
          <w:rFonts w:ascii="Arial" w:hAnsi="Arial" w:cs="Arial"/>
        </w:rPr>
        <w:footnoteReference w:id="69"/>
      </w:r>
      <w:r w:rsidR="00F874F7" w:rsidRPr="007A177A">
        <w:rPr>
          <w:rFonts w:ascii="Arial" w:hAnsi="Arial" w:cs="Arial"/>
        </w:rPr>
        <w:t xml:space="preserve">, </w:t>
      </w:r>
      <w:r w:rsidR="005C5111" w:rsidRPr="007A177A">
        <w:rPr>
          <w:rFonts w:ascii="Arial" w:hAnsi="Arial" w:cs="Arial"/>
        </w:rPr>
        <w:t>y</w:t>
      </w:r>
      <w:r w:rsidR="003F45C0" w:rsidRPr="007A177A">
        <w:rPr>
          <w:rFonts w:ascii="Arial" w:hAnsi="Arial" w:cs="Arial"/>
        </w:rPr>
        <w:t xml:space="preserve"> </w:t>
      </w:r>
      <w:r w:rsidRPr="007A177A">
        <w:rPr>
          <w:rFonts w:ascii="Arial" w:hAnsi="Arial" w:cs="Arial"/>
        </w:rPr>
        <w:t xml:space="preserve">bajo </w:t>
      </w:r>
      <w:r w:rsidR="003F45C0" w:rsidRPr="007A177A">
        <w:rPr>
          <w:rFonts w:ascii="Arial" w:hAnsi="Arial" w:cs="Arial"/>
        </w:rPr>
        <w:t xml:space="preserve">el </w:t>
      </w:r>
      <w:r w:rsidR="00E16B1C" w:rsidRPr="007A177A">
        <w:rPr>
          <w:rFonts w:ascii="Arial" w:hAnsi="Arial" w:cs="Arial"/>
        </w:rPr>
        <w:t>Decreto</w:t>
      </w:r>
      <w:r w:rsidR="00A40C72" w:rsidRPr="007A177A">
        <w:rPr>
          <w:rFonts w:ascii="Arial" w:hAnsi="Arial" w:cs="Arial"/>
        </w:rPr>
        <w:t>-ley</w:t>
      </w:r>
      <w:r w:rsidR="00E16B1C" w:rsidRPr="007A177A">
        <w:rPr>
          <w:rFonts w:ascii="Arial" w:hAnsi="Arial" w:cs="Arial"/>
        </w:rPr>
        <w:t xml:space="preserve"> 222 de 1983 se liquidan los intereses a la tasa máxima legal permitida para cada período de mora</w:t>
      </w:r>
      <w:r w:rsidR="00A40C72" w:rsidRPr="007A177A">
        <w:rPr>
          <w:rFonts w:ascii="Arial" w:hAnsi="Arial" w:cs="Arial"/>
        </w:rPr>
        <w:t>,</w:t>
      </w:r>
      <w:r w:rsidR="003F45C0" w:rsidRPr="007A177A">
        <w:rPr>
          <w:rFonts w:ascii="Arial" w:hAnsi="Arial" w:cs="Arial"/>
        </w:rPr>
        <w:t xml:space="preserve"> de acuerdo con el artículo 884 del Código de Comercio.</w:t>
      </w:r>
    </w:p>
    <w:p w14:paraId="31082565" w14:textId="77777777" w:rsidR="003F45C0" w:rsidRPr="007A177A" w:rsidRDefault="003F45C0" w:rsidP="00BF333B">
      <w:pPr>
        <w:spacing w:line="360" w:lineRule="auto"/>
        <w:jc w:val="both"/>
        <w:rPr>
          <w:rFonts w:ascii="Arial" w:hAnsi="Arial" w:cs="Arial"/>
        </w:rPr>
      </w:pPr>
    </w:p>
    <w:p w14:paraId="208F5495" w14:textId="77777777" w:rsidR="00731F1E" w:rsidRPr="007A177A" w:rsidRDefault="00DC2C6C" w:rsidP="00BF333B">
      <w:pPr>
        <w:spacing w:line="360" w:lineRule="auto"/>
        <w:jc w:val="both"/>
        <w:rPr>
          <w:rFonts w:ascii="Arial" w:hAnsi="Arial" w:cs="Arial"/>
        </w:rPr>
      </w:pPr>
      <w:r w:rsidRPr="007A177A">
        <w:rPr>
          <w:rFonts w:ascii="Arial" w:hAnsi="Arial" w:cs="Arial"/>
        </w:rPr>
        <w:t>Actualmente</w:t>
      </w:r>
      <w:r w:rsidR="008B35A9" w:rsidRPr="007A177A">
        <w:rPr>
          <w:rFonts w:ascii="Arial" w:hAnsi="Arial" w:cs="Arial"/>
        </w:rPr>
        <w:t>,</w:t>
      </w:r>
      <w:r w:rsidRPr="007A177A">
        <w:rPr>
          <w:rFonts w:ascii="Arial" w:hAnsi="Arial" w:cs="Arial"/>
        </w:rPr>
        <w:t xml:space="preserve"> se encuentra regulado el interés de mora de carácter supletivo para los contratos estatales que se rigen por el artículo 4 de la Ley 80 de 1993 </w:t>
      </w:r>
      <w:r w:rsidR="003F45C0" w:rsidRPr="007A177A">
        <w:rPr>
          <w:rFonts w:ascii="Arial" w:hAnsi="Arial" w:cs="Arial"/>
        </w:rPr>
        <w:t xml:space="preserve">en el 12% </w:t>
      </w:r>
      <w:r w:rsidR="00731F1E" w:rsidRPr="007A177A">
        <w:rPr>
          <w:rFonts w:ascii="Arial" w:hAnsi="Arial" w:cs="Arial"/>
        </w:rPr>
        <w:t xml:space="preserve">sobre el valor </w:t>
      </w:r>
      <w:r w:rsidR="008B35A9" w:rsidRPr="007A177A">
        <w:rPr>
          <w:rFonts w:ascii="Arial" w:hAnsi="Arial" w:cs="Arial"/>
        </w:rPr>
        <w:t xml:space="preserve">histórico </w:t>
      </w:r>
      <w:r w:rsidR="00731F1E" w:rsidRPr="007A177A">
        <w:rPr>
          <w:rFonts w:ascii="Arial" w:hAnsi="Arial" w:cs="Arial"/>
        </w:rPr>
        <w:t>actualizado con</w:t>
      </w:r>
      <w:r w:rsidR="008B35A9" w:rsidRPr="007A177A">
        <w:rPr>
          <w:rFonts w:ascii="Arial" w:hAnsi="Arial" w:cs="Arial"/>
        </w:rPr>
        <w:t xml:space="preserve"> la variación del </w:t>
      </w:r>
      <w:r w:rsidR="00731F1E" w:rsidRPr="007A177A">
        <w:rPr>
          <w:rFonts w:ascii="Arial" w:hAnsi="Arial" w:cs="Arial"/>
        </w:rPr>
        <w:t>IPC.</w:t>
      </w:r>
    </w:p>
    <w:p w14:paraId="35AC9725" w14:textId="77777777" w:rsidR="00731F1E" w:rsidRPr="007A177A" w:rsidRDefault="00731F1E" w:rsidP="00BF333B">
      <w:pPr>
        <w:spacing w:line="360" w:lineRule="auto"/>
        <w:jc w:val="both"/>
        <w:rPr>
          <w:rFonts w:ascii="Arial" w:hAnsi="Arial" w:cs="Arial"/>
        </w:rPr>
      </w:pPr>
    </w:p>
    <w:p w14:paraId="392F3711" w14:textId="77777777" w:rsidR="000C65A0" w:rsidRPr="007A177A" w:rsidRDefault="00DC2C6C" w:rsidP="00BF333B">
      <w:pPr>
        <w:spacing w:line="360" w:lineRule="auto"/>
        <w:jc w:val="both"/>
        <w:rPr>
          <w:rFonts w:ascii="Arial" w:hAnsi="Arial" w:cs="Arial"/>
        </w:rPr>
      </w:pPr>
      <w:r w:rsidRPr="007A177A">
        <w:rPr>
          <w:rFonts w:ascii="Arial" w:hAnsi="Arial" w:cs="Arial"/>
        </w:rPr>
        <w:lastRenderedPageBreak/>
        <w:t>Con el fin de concluir este punto se debe precisar que la jurisprudencia antedicha no se ha referido a la tasa de interés para calcular el restablecimiento del equilibrio económico del contrato en el caso de los desfa</w:t>
      </w:r>
      <w:r w:rsidR="00AD3AEE" w:rsidRPr="007A177A">
        <w:rPr>
          <w:rFonts w:ascii="Arial" w:hAnsi="Arial" w:cs="Arial"/>
        </w:rPr>
        <w:t>s</w:t>
      </w:r>
      <w:r w:rsidRPr="007A177A">
        <w:rPr>
          <w:rFonts w:ascii="Arial" w:hAnsi="Arial" w:cs="Arial"/>
        </w:rPr>
        <w:t xml:space="preserve">es de los flujos financieros, </w:t>
      </w:r>
      <w:r w:rsidR="00191388" w:rsidRPr="007A177A">
        <w:rPr>
          <w:rFonts w:ascii="Arial" w:hAnsi="Arial" w:cs="Arial"/>
        </w:rPr>
        <w:t xml:space="preserve">aspecto que </w:t>
      </w:r>
      <w:r w:rsidRPr="007A177A">
        <w:rPr>
          <w:rFonts w:ascii="Arial" w:hAnsi="Arial" w:cs="Arial"/>
        </w:rPr>
        <w:t>no ha merecido mayores desarrollos</w:t>
      </w:r>
      <w:r w:rsidR="000C0CAF" w:rsidRPr="007A177A">
        <w:rPr>
          <w:rStyle w:val="Refdenotaalpie"/>
          <w:rFonts w:ascii="Arial" w:hAnsi="Arial" w:cs="Arial"/>
        </w:rPr>
        <w:footnoteReference w:id="70"/>
      </w:r>
      <w:r w:rsidR="007A3D17" w:rsidRPr="007A177A">
        <w:rPr>
          <w:rFonts w:ascii="Arial" w:hAnsi="Arial" w:cs="Arial"/>
        </w:rPr>
        <w:t xml:space="preserve"> sobre el asunto de los intereses</w:t>
      </w:r>
      <w:r w:rsidR="0025766F" w:rsidRPr="007A177A">
        <w:rPr>
          <w:rFonts w:ascii="Arial" w:hAnsi="Arial" w:cs="Arial"/>
        </w:rPr>
        <w:t xml:space="preserve"> al que se hace referencia en este p</w:t>
      </w:r>
      <w:r w:rsidR="007A3D17" w:rsidRPr="007A177A">
        <w:rPr>
          <w:rFonts w:ascii="Arial" w:hAnsi="Arial" w:cs="Arial"/>
        </w:rPr>
        <w:t>roceso</w:t>
      </w:r>
      <w:r w:rsidR="0025766F" w:rsidRPr="007A177A">
        <w:rPr>
          <w:rFonts w:ascii="Arial" w:hAnsi="Arial" w:cs="Arial"/>
        </w:rPr>
        <w:t>, d</w:t>
      </w:r>
      <w:r w:rsidR="00424B4B" w:rsidRPr="007A177A">
        <w:rPr>
          <w:rFonts w:ascii="Arial" w:hAnsi="Arial" w:cs="Arial"/>
        </w:rPr>
        <w:t xml:space="preserve">ado que </w:t>
      </w:r>
      <w:r w:rsidR="0025766F" w:rsidRPr="007A177A">
        <w:rPr>
          <w:rFonts w:ascii="Arial" w:hAnsi="Arial" w:cs="Arial"/>
        </w:rPr>
        <w:t xml:space="preserve">algunas de las pretensiones de la demanda </w:t>
      </w:r>
      <w:r w:rsidR="00424B4B" w:rsidRPr="007A177A">
        <w:rPr>
          <w:rFonts w:ascii="Arial" w:hAnsi="Arial" w:cs="Arial"/>
        </w:rPr>
        <w:t>-</w:t>
      </w:r>
      <w:r w:rsidR="0025766F" w:rsidRPr="007A177A">
        <w:rPr>
          <w:rFonts w:ascii="Arial" w:hAnsi="Arial" w:cs="Arial"/>
          <w:i/>
        </w:rPr>
        <w:t xml:space="preserve">y </w:t>
      </w:r>
      <w:r w:rsidR="000C65A0" w:rsidRPr="007A177A">
        <w:rPr>
          <w:rFonts w:ascii="Arial" w:hAnsi="Arial" w:cs="Arial"/>
          <w:i/>
        </w:rPr>
        <w:t xml:space="preserve">de </w:t>
      </w:r>
      <w:r w:rsidR="0025766F" w:rsidRPr="007A177A">
        <w:rPr>
          <w:rFonts w:ascii="Arial" w:hAnsi="Arial" w:cs="Arial"/>
          <w:i/>
        </w:rPr>
        <w:t xml:space="preserve">los </w:t>
      </w:r>
      <w:r w:rsidR="000C65A0" w:rsidRPr="007A177A">
        <w:rPr>
          <w:rFonts w:ascii="Arial" w:hAnsi="Arial" w:cs="Arial"/>
          <w:i/>
        </w:rPr>
        <w:t>argumentos de la apelación</w:t>
      </w:r>
      <w:r w:rsidR="00424B4B" w:rsidRPr="007A177A">
        <w:rPr>
          <w:rFonts w:ascii="Arial" w:hAnsi="Arial" w:cs="Arial"/>
        </w:rPr>
        <w:t xml:space="preserve">- </w:t>
      </w:r>
      <w:r w:rsidR="000C65A0" w:rsidRPr="007A177A">
        <w:rPr>
          <w:rFonts w:ascii="Arial" w:hAnsi="Arial" w:cs="Arial"/>
        </w:rPr>
        <w:t xml:space="preserve"> se refieren al desequilibrio económico que se habría presentado en el contrato y a la supuesta violación de la equivalencia entre la tasa </w:t>
      </w:r>
      <w:r w:rsidR="00175617" w:rsidRPr="007A177A">
        <w:rPr>
          <w:rFonts w:ascii="Arial" w:hAnsi="Arial" w:cs="Arial"/>
        </w:rPr>
        <w:t xml:space="preserve">de interés </w:t>
      </w:r>
      <w:r w:rsidR="000C65A0" w:rsidRPr="007A177A">
        <w:rPr>
          <w:rFonts w:ascii="Arial" w:hAnsi="Arial" w:cs="Arial"/>
        </w:rPr>
        <w:t xml:space="preserve">del anticipo y la que se impuso en la sentencia de primera instancia </w:t>
      </w:r>
      <w:r w:rsidR="00175617" w:rsidRPr="007A177A">
        <w:rPr>
          <w:rFonts w:ascii="Arial" w:hAnsi="Arial" w:cs="Arial"/>
        </w:rPr>
        <w:t xml:space="preserve">para liquidar </w:t>
      </w:r>
      <w:r w:rsidR="000C65A0" w:rsidRPr="007A177A">
        <w:rPr>
          <w:rFonts w:ascii="Arial" w:hAnsi="Arial" w:cs="Arial"/>
        </w:rPr>
        <w:t>los p</w:t>
      </w:r>
      <w:r w:rsidR="00175617" w:rsidRPr="007A177A">
        <w:rPr>
          <w:rFonts w:ascii="Arial" w:hAnsi="Arial" w:cs="Arial"/>
        </w:rPr>
        <w:t xml:space="preserve">erjuicios </w:t>
      </w:r>
      <w:r w:rsidR="000C65A0" w:rsidRPr="007A177A">
        <w:rPr>
          <w:rFonts w:ascii="Arial" w:hAnsi="Arial" w:cs="Arial"/>
        </w:rPr>
        <w:t xml:space="preserve">a cargo de la entidad pública. </w:t>
      </w:r>
    </w:p>
    <w:p w14:paraId="00464CDC" w14:textId="77777777" w:rsidR="001D3014" w:rsidRPr="007A177A" w:rsidRDefault="001D3014" w:rsidP="00BF333B">
      <w:pPr>
        <w:spacing w:line="360" w:lineRule="auto"/>
        <w:jc w:val="both"/>
        <w:rPr>
          <w:rFonts w:ascii="Arial" w:hAnsi="Arial" w:cs="Arial"/>
        </w:rPr>
      </w:pPr>
    </w:p>
    <w:p w14:paraId="23FF3411" w14:textId="77777777" w:rsidR="00DC2C6C" w:rsidRPr="007A177A" w:rsidRDefault="00731F1E" w:rsidP="00BF333B">
      <w:pPr>
        <w:spacing w:line="360" w:lineRule="auto"/>
        <w:ind w:right="-1"/>
        <w:jc w:val="both"/>
        <w:rPr>
          <w:rFonts w:ascii="Arial" w:hAnsi="Arial" w:cs="Arial"/>
          <w:b/>
          <w:bCs/>
        </w:rPr>
      </w:pPr>
      <w:r w:rsidRPr="007A177A">
        <w:rPr>
          <w:rFonts w:ascii="Arial" w:hAnsi="Arial" w:cs="Arial"/>
          <w:b/>
          <w:bCs/>
        </w:rPr>
        <w:t xml:space="preserve">6. </w:t>
      </w:r>
      <w:r w:rsidR="00DC2C6C" w:rsidRPr="007A177A">
        <w:rPr>
          <w:rFonts w:ascii="Arial" w:hAnsi="Arial" w:cs="Arial"/>
          <w:b/>
          <w:bCs/>
        </w:rPr>
        <w:t xml:space="preserve">El plazo para el pago de las actas de obra  </w:t>
      </w:r>
    </w:p>
    <w:p w14:paraId="107D4719" w14:textId="77777777" w:rsidR="00310345" w:rsidRPr="007A177A" w:rsidRDefault="00310345" w:rsidP="00BF333B">
      <w:pPr>
        <w:spacing w:line="360" w:lineRule="auto"/>
        <w:ind w:right="-1"/>
        <w:jc w:val="both"/>
        <w:rPr>
          <w:rFonts w:ascii="Arial" w:hAnsi="Arial" w:cs="Arial"/>
        </w:rPr>
      </w:pPr>
    </w:p>
    <w:p w14:paraId="311D408E" w14:textId="77777777" w:rsidR="00191388" w:rsidRPr="007A177A" w:rsidRDefault="00DC2C6C" w:rsidP="00BF333B">
      <w:pPr>
        <w:spacing w:line="360" w:lineRule="auto"/>
        <w:ind w:right="-1"/>
        <w:jc w:val="both"/>
        <w:rPr>
          <w:rFonts w:ascii="Arial" w:hAnsi="Arial" w:cs="Arial"/>
        </w:rPr>
      </w:pPr>
      <w:r w:rsidRPr="007A177A">
        <w:rPr>
          <w:rFonts w:ascii="Arial" w:hAnsi="Arial" w:cs="Arial"/>
        </w:rPr>
        <w:t xml:space="preserve">Ninguno de los estatutos de contratación pública ha entrado a regular el plazo para el pago de las actas de obra o de las facturas ni ha establecido una regla general supletiva de plazo. La definición del plazo para el pago </w:t>
      </w:r>
      <w:r w:rsidR="00191388" w:rsidRPr="007A177A">
        <w:rPr>
          <w:rFonts w:ascii="Arial" w:hAnsi="Arial" w:cs="Arial"/>
        </w:rPr>
        <w:t xml:space="preserve">de las actas de obra </w:t>
      </w:r>
      <w:r w:rsidRPr="007A177A">
        <w:rPr>
          <w:rFonts w:ascii="Arial" w:hAnsi="Arial" w:cs="Arial"/>
        </w:rPr>
        <w:t>ha sido contractual y</w:t>
      </w:r>
      <w:r w:rsidR="00B031F4" w:rsidRPr="007A177A">
        <w:rPr>
          <w:rFonts w:ascii="Arial" w:hAnsi="Arial" w:cs="Arial"/>
        </w:rPr>
        <w:t xml:space="preserve">, </w:t>
      </w:r>
      <w:r w:rsidRPr="007A177A">
        <w:rPr>
          <w:rFonts w:ascii="Arial" w:hAnsi="Arial" w:cs="Arial"/>
        </w:rPr>
        <w:t>en su defecto, se ha fijado por la jurisprudencia frente a los litigios concretos</w:t>
      </w:r>
      <w:r w:rsidR="00191388" w:rsidRPr="007A177A">
        <w:rPr>
          <w:rFonts w:ascii="Arial" w:hAnsi="Arial" w:cs="Arial"/>
        </w:rPr>
        <w:t>.</w:t>
      </w:r>
    </w:p>
    <w:p w14:paraId="4A426373" w14:textId="77777777" w:rsidR="00731F1E" w:rsidRPr="007A177A" w:rsidRDefault="00731F1E" w:rsidP="00BF333B">
      <w:pPr>
        <w:spacing w:line="360" w:lineRule="auto"/>
        <w:ind w:right="-1"/>
        <w:jc w:val="both"/>
        <w:rPr>
          <w:rFonts w:ascii="Arial" w:hAnsi="Arial" w:cs="Arial"/>
        </w:rPr>
      </w:pPr>
    </w:p>
    <w:p w14:paraId="6FEE00C6" w14:textId="77777777" w:rsidR="00DC2C6C" w:rsidRPr="007A177A" w:rsidRDefault="00DC2C6C" w:rsidP="00BF333B">
      <w:pPr>
        <w:spacing w:line="360" w:lineRule="auto"/>
        <w:ind w:right="-1"/>
        <w:jc w:val="both"/>
        <w:rPr>
          <w:rFonts w:ascii="Arial" w:hAnsi="Arial" w:cs="Arial"/>
        </w:rPr>
      </w:pPr>
      <w:r w:rsidRPr="007A177A">
        <w:rPr>
          <w:rFonts w:ascii="Arial" w:hAnsi="Arial" w:cs="Arial"/>
        </w:rPr>
        <w:t>Se recuerda que en el caso de las obligaciones a plazo</w:t>
      </w:r>
      <w:r w:rsidRPr="007A177A">
        <w:rPr>
          <w:rStyle w:val="Refdenotaalpie"/>
          <w:rFonts w:ascii="Arial" w:hAnsi="Arial" w:cs="Arial"/>
        </w:rPr>
        <w:footnoteReference w:id="71"/>
      </w:r>
      <w:r w:rsidRPr="007A177A">
        <w:rPr>
          <w:rFonts w:ascii="Arial" w:hAnsi="Arial" w:cs="Arial"/>
        </w:rPr>
        <w:t xml:space="preserve"> el deudor se encuentra en mora por el solo hecho del vencimiento del término, regla consagrada en el artículo 1551 del Código Civil, que se corresponde con la máxima del derecho romano “</w:t>
      </w:r>
      <w:proofErr w:type="spellStart"/>
      <w:r w:rsidRPr="007A177A">
        <w:rPr>
          <w:rStyle w:val="nfasis"/>
          <w:rFonts w:ascii="Arial" w:hAnsi="Arial" w:cs="Arial"/>
          <w:bCs/>
          <w:shd w:val="clear" w:color="auto" w:fill="FFFFFF"/>
        </w:rPr>
        <w:t>dies</w:t>
      </w:r>
      <w:proofErr w:type="spellEnd"/>
      <w:r w:rsidRPr="007A177A">
        <w:rPr>
          <w:rFonts w:ascii="Arial" w:hAnsi="Arial" w:cs="Arial"/>
          <w:i/>
          <w:shd w:val="clear" w:color="auto" w:fill="FFFFFF"/>
        </w:rPr>
        <w:t> </w:t>
      </w:r>
      <w:proofErr w:type="spellStart"/>
      <w:r w:rsidRPr="007A177A">
        <w:rPr>
          <w:rFonts w:ascii="Arial" w:hAnsi="Arial" w:cs="Arial"/>
          <w:i/>
          <w:shd w:val="clear" w:color="auto" w:fill="FFFFFF"/>
        </w:rPr>
        <w:t>interpellat</w:t>
      </w:r>
      <w:proofErr w:type="spellEnd"/>
      <w:r w:rsidRPr="007A177A">
        <w:rPr>
          <w:rFonts w:ascii="Arial" w:hAnsi="Arial" w:cs="Arial"/>
          <w:i/>
          <w:shd w:val="clear" w:color="auto" w:fill="FFFFFF"/>
        </w:rPr>
        <w:t xml:space="preserve"> pro homine”</w:t>
      </w:r>
      <w:r w:rsidR="00B031F4" w:rsidRPr="007A177A">
        <w:rPr>
          <w:rFonts w:ascii="Arial" w:hAnsi="Arial" w:cs="Arial"/>
          <w:i/>
          <w:shd w:val="clear" w:color="auto" w:fill="FFFFFF"/>
        </w:rPr>
        <w:t>,</w:t>
      </w:r>
      <w:r w:rsidRPr="007A177A">
        <w:rPr>
          <w:rFonts w:ascii="Arial" w:hAnsi="Arial" w:cs="Arial"/>
        </w:rPr>
        <w:t xml:space="preserve"> según la cual el plazo interpela por el hombre. En el mismo sentido, el artículo 1617 del Código Civil establece: </w:t>
      </w:r>
    </w:p>
    <w:p w14:paraId="6779C034" w14:textId="77777777" w:rsidR="00731F1E" w:rsidRPr="007A177A" w:rsidRDefault="00731F1E" w:rsidP="00BF333B">
      <w:pPr>
        <w:shd w:val="clear" w:color="auto" w:fill="FFFFFF"/>
        <w:spacing w:line="276" w:lineRule="auto"/>
        <w:ind w:left="567" w:right="850"/>
        <w:rPr>
          <w:rFonts w:ascii="Arial" w:hAnsi="Arial" w:cs="Arial"/>
          <w:i/>
          <w:color w:val="000000"/>
        </w:rPr>
      </w:pPr>
    </w:p>
    <w:p w14:paraId="44CF6AA6" w14:textId="77777777" w:rsidR="00DC2C6C" w:rsidRPr="007A177A" w:rsidRDefault="00DC2C6C" w:rsidP="00BF333B">
      <w:pPr>
        <w:shd w:val="clear" w:color="auto" w:fill="FFFFFF"/>
        <w:ind w:left="567" w:right="850"/>
        <w:rPr>
          <w:rFonts w:ascii="Arial" w:hAnsi="Arial" w:cs="Arial"/>
          <w:i/>
          <w:color w:val="000000"/>
        </w:rPr>
      </w:pPr>
      <w:r w:rsidRPr="007A177A">
        <w:rPr>
          <w:rFonts w:ascii="Arial" w:hAnsi="Arial" w:cs="Arial"/>
          <w:i/>
          <w:color w:val="000000"/>
        </w:rPr>
        <w:t>“2a.) El acreedor no tiene necesidad de justificar perjuicios cuando solo cobra intereses; basta el hecho del retardo”.</w:t>
      </w:r>
    </w:p>
    <w:p w14:paraId="643B4163" w14:textId="77777777" w:rsidR="00BF333B" w:rsidRPr="007A177A" w:rsidRDefault="00BF333B" w:rsidP="00BF333B">
      <w:pPr>
        <w:spacing w:line="360" w:lineRule="auto"/>
        <w:jc w:val="both"/>
        <w:rPr>
          <w:rFonts w:ascii="Arial" w:hAnsi="Arial" w:cs="Arial"/>
          <w:color w:val="000000"/>
          <w:lang w:val="es-MX" w:eastAsia="es-MX"/>
        </w:rPr>
      </w:pPr>
    </w:p>
    <w:p w14:paraId="5048600F" w14:textId="77777777" w:rsidR="00DC2C6C" w:rsidRPr="007A177A" w:rsidRDefault="00DC2C6C" w:rsidP="00BF333B">
      <w:pPr>
        <w:spacing w:line="360" w:lineRule="auto"/>
        <w:jc w:val="both"/>
        <w:rPr>
          <w:rFonts w:ascii="Arial" w:hAnsi="Arial" w:cs="Arial"/>
          <w:color w:val="000000"/>
          <w:lang w:val="es-MX" w:eastAsia="es-MX"/>
        </w:rPr>
      </w:pPr>
      <w:r w:rsidRPr="007A177A">
        <w:rPr>
          <w:rFonts w:ascii="Arial" w:hAnsi="Arial" w:cs="Arial"/>
          <w:color w:val="000000"/>
          <w:lang w:val="es-MX" w:eastAsia="es-MX"/>
        </w:rPr>
        <w:t>El artículo 1617 del Código Civil introdujo una tasa de interés legal</w:t>
      </w:r>
      <w:r w:rsidR="00B031F4" w:rsidRPr="007A177A">
        <w:rPr>
          <w:rFonts w:ascii="Arial" w:hAnsi="Arial" w:cs="Arial"/>
          <w:color w:val="000000"/>
          <w:lang w:val="es-MX" w:eastAsia="es-MX"/>
        </w:rPr>
        <w:t xml:space="preserve"> </w:t>
      </w:r>
      <w:r w:rsidR="00731F1E" w:rsidRPr="007A177A">
        <w:rPr>
          <w:rFonts w:ascii="Arial" w:hAnsi="Arial" w:cs="Arial"/>
          <w:color w:val="000000"/>
          <w:lang w:val="es-MX" w:eastAsia="es-MX"/>
        </w:rPr>
        <w:t xml:space="preserve">para la indemnización de perjuicios, </w:t>
      </w:r>
      <w:r w:rsidRPr="007A177A">
        <w:rPr>
          <w:rFonts w:ascii="Arial" w:hAnsi="Arial" w:cs="Arial"/>
          <w:color w:val="000000"/>
          <w:lang w:val="es-MX" w:eastAsia="es-MX"/>
        </w:rPr>
        <w:t xml:space="preserve">fijada en el 6% anual, bajo la siguiente regla: </w:t>
      </w:r>
    </w:p>
    <w:p w14:paraId="039A0B46" w14:textId="77777777" w:rsidR="00BF333B" w:rsidRPr="007A177A" w:rsidRDefault="00BF333B" w:rsidP="00BF333B">
      <w:pPr>
        <w:spacing w:line="360" w:lineRule="auto"/>
        <w:jc w:val="both"/>
        <w:rPr>
          <w:rFonts w:ascii="Arial" w:hAnsi="Arial" w:cs="Arial"/>
          <w:color w:val="000000"/>
          <w:lang w:val="es-MX" w:eastAsia="es-MX"/>
        </w:rPr>
      </w:pPr>
    </w:p>
    <w:p w14:paraId="47AF3E84" w14:textId="77777777" w:rsidR="00DC2C6C" w:rsidRPr="007A177A" w:rsidRDefault="00DC2C6C" w:rsidP="00BF333B">
      <w:pPr>
        <w:pStyle w:val="NormalWeb"/>
        <w:shd w:val="clear" w:color="auto" w:fill="FFFFFF"/>
        <w:spacing w:before="0" w:beforeAutospacing="0" w:after="0" w:afterAutospacing="0"/>
        <w:ind w:left="567" w:right="850"/>
        <w:jc w:val="both"/>
        <w:rPr>
          <w:rFonts w:ascii="Arial" w:hAnsi="Arial" w:cs="Arial"/>
          <w:i/>
          <w:color w:val="000000"/>
        </w:rPr>
      </w:pPr>
      <w:r w:rsidRPr="007A177A">
        <w:rPr>
          <w:rFonts w:ascii="Arial" w:hAnsi="Arial" w:cs="Arial"/>
          <w:bCs/>
          <w:i/>
          <w:color w:val="000000"/>
        </w:rPr>
        <w:t>“Articulo</w:t>
      </w:r>
      <w:r w:rsidRPr="007A177A">
        <w:rPr>
          <w:rFonts w:ascii="Arial" w:hAnsi="Arial" w:cs="Arial"/>
          <w:i/>
          <w:color w:val="000000"/>
        </w:rPr>
        <w:t> </w:t>
      </w:r>
      <w:r w:rsidRPr="007A177A">
        <w:rPr>
          <w:rFonts w:ascii="Arial" w:hAnsi="Arial" w:cs="Arial"/>
          <w:bCs/>
          <w:i/>
          <w:color w:val="000000"/>
        </w:rPr>
        <w:t xml:space="preserve">1617 CC. </w:t>
      </w:r>
      <w:r w:rsidRPr="007A177A">
        <w:rPr>
          <w:rFonts w:ascii="Arial" w:hAnsi="Arial" w:cs="Arial"/>
          <w:i/>
          <w:color w:val="000000"/>
        </w:rPr>
        <w:t>Si la obligación es de pagar una cantidad de dinero, la indemnización de perjuicios por la mora está sujeta a las reglas siguientes:</w:t>
      </w:r>
    </w:p>
    <w:p w14:paraId="28FE2FBC" w14:textId="77777777" w:rsidR="00DC2C6C" w:rsidRPr="007A177A" w:rsidRDefault="00DC2C6C" w:rsidP="00BF333B">
      <w:pPr>
        <w:pStyle w:val="NormalWeb"/>
        <w:shd w:val="clear" w:color="auto" w:fill="FFFFFF"/>
        <w:spacing w:before="0" w:beforeAutospacing="0" w:after="0" w:afterAutospacing="0"/>
        <w:ind w:left="567" w:right="850"/>
        <w:jc w:val="both"/>
        <w:rPr>
          <w:rFonts w:ascii="Arial" w:hAnsi="Arial" w:cs="Arial"/>
          <w:i/>
          <w:color w:val="000000"/>
        </w:rPr>
      </w:pPr>
    </w:p>
    <w:p w14:paraId="3A7A1AB6" w14:textId="77777777" w:rsidR="00DC2C6C" w:rsidRPr="007A177A" w:rsidRDefault="00DC2C6C" w:rsidP="00BF333B">
      <w:pPr>
        <w:shd w:val="clear" w:color="auto" w:fill="FFFFFF"/>
        <w:ind w:left="567" w:right="850"/>
        <w:jc w:val="both"/>
        <w:rPr>
          <w:rFonts w:ascii="Arial" w:hAnsi="Arial" w:cs="Arial"/>
          <w:i/>
          <w:color w:val="000000"/>
        </w:rPr>
      </w:pPr>
      <w:r w:rsidRPr="007A177A">
        <w:rPr>
          <w:rFonts w:ascii="Arial" w:hAnsi="Arial" w:cs="Arial"/>
          <w:i/>
          <w:color w:val="000000"/>
        </w:rPr>
        <w:t>“1a.) Se siguen debiendo los intereses convencionales, si se ha pactado un interés superior al legal, o empiezan a deberse los intereses legales, en el caso contrario; quedando, sin embargo, en su fuerza las disposiciones especiales que autoricen el cobro de los intereses corrientes en ciertos casos.</w:t>
      </w:r>
    </w:p>
    <w:p w14:paraId="795F82AB" w14:textId="77777777" w:rsidR="00DC2C6C" w:rsidRPr="007A177A" w:rsidRDefault="00DC2C6C" w:rsidP="00BF333B">
      <w:pPr>
        <w:shd w:val="clear" w:color="auto" w:fill="FFFFFF"/>
        <w:ind w:left="567" w:right="850"/>
        <w:jc w:val="both"/>
        <w:rPr>
          <w:rFonts w:ascii="Arial" w:hAnsi="Arial" w:cs="Arial"/>
          <w:i/>
          <w:color w:val="000000"/>
        </w:rPr>
      </w:pPr>
    </w:p>
    <w:p w14:paraId="6024D00E" w14:textId="77777777" w:rsidR="00DC2C6C" w:rsidRPr="007A177A" w:rsidRDefault="00DC2C6C" w:rsidP="00BF333B">
      <w:pPr>
        <w:shd w:val="clear" w:color="auto" w:fill="FFFFFF"/>
        <w:ind w:left="567" w:right="850"/>
        <w:jc w:val="both"/>
        <w:rPr>
          <w:rFonts w:ascii="Arial" w:hAnsi="Arial" w:cs="Arial"/>
          <w:color w:val="000000"/>
        </w:rPr>
      </w:pPr>
      <w:r w:rsidRPr="007A177A">
        <w:rPr>
          <w:rFonts w:ascii="Arial" w:hAnsi="Arial" w:cs="Arial"/>
          <w:i/>
          <w:color w:val="000000"/>
        </w:rPr>
        <w:t>“</w:t>
      </w:r>
      <w:r w:rsidRPr="007A177A">
        <w:rPr>
          <w:rFonts w:ascii="Arial" w:hAnsi="Arial" w:cs="Arial"/>
          <w:b/>
          <w:i/>
          <w:color w:val="000000"/>
        </w:rPr>
        <w:t>El interés legal se fija en seis por ciento anual</w:t>
      </w:r>
      <w:r w:rsidRPr="007A177A">
        <w:rPr>
          <w:rFonts w:ascii="Arial" w:hAnsi="Arial" w:cs="Arial"/>
          <w:i/>
          <w:color w:val="000000"/>
        </w:rPr>
        <w:t xml:space="preserve">” </w:t>
      </w:r>
      <w:r w:rsidRPr="007A177A">
        <w:rPr>
          <w:rFonts w:ascii="Arial" w:hAnsi="Arial" w:cs="Arial"/>
          <w:color w:val="000000"/>
        </w:rPr>
        <w:t>(la negrilla no es del texto).</w:t>
      </w:r>
    </w:p>
    <w:p w14:paraId="7F4EA5B0" w14:textId="77777777" w:rsidR="00BF333B" w:rsidRPr="007A177A" w:rsidRDefault="00BF333B" w:rsidP="00BF333B">
      <w:pPr>
        <w:spacing w:line="360" w:lineRule="auto"/>
        <w:jc w:val="both"/>
        <w:rPr>
          <w:rFonts w:ascii="Arial" w:hAnsi="Arial" w:cs="Arial"/>
          <w:color w:val="000000"/>
          <w:lang w:val="es-MX" w:eastAsia="es-MX"/>
        </w:rPr>
      </w:pPr>
    </w:p>
    <w:p w14:paraId="073753C4" w14:textId="77777777" w:rsidR="00DC2C6C" w:rsidRPr="007A177A" w:rsidRDefault="00DC2C6C" w:rsidP="00BF333B">
      <w:pPr>
        <w:spacing w:line="360" w:lineRule="auto"/>
        <w:jc w:val="both"/>
        <w:rPr>
          <w:rFonts w:ascii="Arial" w:hAnsi="Arial" w:cs="Arial"/>
          <w:color w:val="000000"/>
          <w:lang w:val="es-MX" w:eastAsia="es-MX"/>
        </w:rPr>
      </w:pPr>
      <w:r w:rsidRPr="007A177A">
        <w:rPr>
          <w:rFonts w:ascii="Arial" w:hAnsi="Arial" w:cs="Arial"/>
          <w:color w:val="000000"/>
          <w:lang w:val="es-MX" w:eastAsia="es-MX"/>
        </w:rPr>
        <w:t>Se reitera que la tasa</w:t>
      </w:r>
      <w:r w:rsidR="00B031F4" w:rsidRPr="007A177A">
        <w:rPr>
          <w:rFonts w:ascii="Arial" w:hAnsi="Arial" w:cs="Arial"/>
          <w:color w:val="000000"/>
          <w:lang w:val="es-MX" w:eastAsia="es-MX"/>
        </w:rPr>
        <w:t xml:space="preserve"> de interés prevista en</w:t>
      </w:r>
      <w:r w:rsidRPr="007A177A">
        <w:rPr>
          <w:rFonts w:ascii="Arial" w:hAnsi="Arial" w:cs="Arial"/>
          <w:color w:val="000000"/>
          <w:lang w:val="es-MX" w:eastAsia="es-MX"/>
        </w:rPr>
        <w:t xml:space="preserve"> el Código Civil opera de manera supletiva, es decir, a falta de </w:t>
      </w:r>
      <w:r w:rsidR="009A3231" w:rsidRPr="007A177A">
        <w:rPr>
          <w:rFonts w:ascii="Arial" w:hAnsi="Arial" w:cs="Arial"/>
          <w:color w:val="000000"/>
          <w:lang w:val="es-MX" w:eastAsia="es-MX"/>
        </w:rPr>
        <w:t xml:space="preserve">ley especial o de </w:t>
      </w:r>
      <w:r w:rsidRPr="007A177A">
        <w:rPr>
          <w:rFonts w:ascii="Arial" w:hAnsi="Arial" w:cs="Arial"/>
          <w:color w:val="000000"/>
          <w:lang w:val="es-MX" w:eastAsia="es-MX"/>
        </w:rPr>
        <w:t xml:space="preserve">otro pacto entre las partes. </w:t>
      </w:r>
    </w:p>
    <w:p w14:paraId="70953F5F" w14:textId="77777777" w:rsidR="00BF333B" w:rsidRPr="007A177A" w:rsidRDefault="00BF333B" w:rsidP="00BF333B">
      <w:pPr>
        <w:spacing w:line="360" w:lineRule="auto"/>
        <w:jc w:val="both"/>
        <w:rPr>
          <w:rFonts w:ascii="Arial" w:hAnsi="Arial" w:cs="Arial"/>
          <w:color w:val="000000"/>
          <w:lang w:val="es-MX" w:eastAsia="es-MX"/>
        </w:rPr>
      </w:pPr>
    </w:p>
    <w:p w14:paraId="28AD100E" w14:textId="77777777" w:rsidR="00DC2C6C" w:rsidRPr="007A177A" w:rsidRDefault="00DC2C6C" w:rsidP="00BF333B">
      <w:pPr>
        <w:spacing w:line="360" w:lineRule="auto"/>
        <w:jc w:val="both"/>
        <w:rPr>
          <w:rFonts w:ascii="Arial" w:hAnsi="Arial" w:cs="Arial"/>
          <w:color w:val="000000"/>
          <w:lang w:val="es-MX" w:eastAsia="es-MX"/>
        </w:rPr>
      </w:pPr>
      <w:r w:rsidRPr="007A177A">
        <w:rPr>
          <w:rFonts w:ascii="Arial" w:hAnsi="Arial" w:cs="Arial"/>
          <w:color w:val="000000"/>
          <w:lang w:val="es-MX" w:eastAsia="es-MX"/>
        </w:rPr>
        <w:t xml:space="preserve">Por otra parte, </w:t>
      </w:r>
      <w:r w:rsidR="009A3231" w:rsidRPr="007A177A">
        <w:rPr>
          <w:rFonts w:ascii="Arial" w:hAnsi="Arial" w:cs="Arial"/>
          <w:color w:val="000000"/>
          <w:lang w:val="es-MX" w:eastAsia="es-MX"/>
        </w:rPr>
        <w:t xml:space="preserve">es importante resaltar que, </w:t>
      </w:r>
      <w:r w:rsidRPr="007A177A">
        <w:rPr>
          <w:rFonts w:ascii="Arial" w:hAnsi="Arial" w:cs="Arial"/>
          <w:color w:val="000000"/>
          <w:lang w:val="es-MX" w:eastAsia="es-MX"/>
        </w:rPr>
        <w:t xml:space="preserve">teniendo en cuenta que la regla </w:t>
      </w:r>
      <w:r w:rsidR="00DB5E83" w:rsidRPr="007A177A">
        <w:rPr>
          <w:rFonts w:ascii="Arial" w:hAnsi="Arial" w:cs="Arial"/>
          <w:color w:val="000000"/>
          <w:lang w:val="es-MX" w:eastAsia="es-MX"/>
        </w:rPr>
        <w:t xml:space="preserve">prevista en el </w:t>
      </w:r>
      <w:r w:rsidRPr="007A177A">
        <w:rPr>
          <w:rFonts w:ascii="Arial" w:hAnsi="Arial" w:cs="Arial"/>
          <w:color w:val="000000"/>
          <w:lang w:val="es-MX" w:eastAsia="es-MX"/>
        </w:rPr>
        <w:t>artículo 4 de la Ley 80 de 1993 es también de carácter supletivo, en varias providencias el Consejo de Estado ha indicado que no hay lugar a imponer intereses de mora desde la fecha del supuesto incumplimiento, cuando este último solo llega a esclarecerse en la sentencia</w:t>
      </w:r>
      <w:r w:rsidRPr="007A177A">
        <w:rPr>
          <w:rStyle w:val="Refdenotaalpie"/>
          <w:rFonts w:ascii="Arial" w:hAnsi="Arial" w:cs="Arial"/>
          <w:color w:val="000000"/>
          <w:lang w:val="es-MX" w:eastAsia="es-MX"/>
        </w:rPr>
        <w:footnoteReference w:id="72"/>
      </w:r>
      <w:r w:rsidRPr="007A177A">
        <w:rPr>
          <w:rFonts w:ascii="Arial" w:hAnsi="Arial" w:cs="Arial"/>
          <w:color w:val="000000"/>
          <w:lang w:val="es-MX" w:eastAsia="es-MX"/>
        </w:rPr>
        <w:t xml:space="preserve">. </w:t>
      </w:r>
    </w:p>
    <w:p w14:paraId="4B3EDB26" w14:textId="77777777" w:rsidR="00BF333B" w:rsidRPr="007A177A" w:rsidRDefault="00BF333B" w:rsidP="00BF333B">
      <w:pPr>
        <w:spacing w:line="360" w:lineRule="auto"/>
        <w:jc w:val="both"/>
        <w:rPr>
          <w:rFonts w:ascii="Arial" w:hAnsi="Arial" w:cs="Arial"/>
          <w:color w:val="000000"/>
          <w:lang w:val="es-MX" w:eastAsia="es-MX"/>
        </w:rPr>
      </w:pPr>
    </w:p>
    <w:p w14:paraId="456A2B94" w14:textId="77777777" w:rsidR="00DC2C6C" w:rsidRPr="007A177A" w:rsidRDefault="00DC2C6C" w:rsidP="00BF333B">
      <w:pPr>
        <w:spacing w:line="360" w:lineRule="auto"/>
        <w:jc w:val="both"/>
        <w:rPr>
          <w:rFonts w:ascii="Arial" w:hAnsi="Arial" w:cs="Arial"/>
          <w:color w:val="000000"/>
          <w:lang w:val="es-MX" w:eastAsia="es-MX"/>
        </w:rPr>
      </w:pPr>
      <w:r w:rsidRPr="007A177A">
        <w:rPr>
          <w:rFonts w:ascii="Arial" w:hAnsi="Arial" w:cs="Arial"/>
          <w:color w:val="000000"/>
          <w:lang w:val="es-MX" w:eastAsia="es-MX"/>
        </w:rPr>
        <w:t xml:space="preserve">La Subsección A </w:t>
      </w:r>
      <w:r w:rsidR="002D4E05" w:rsidRPr="007A177A">
        <w:rPr>
          <w:rFonts w:ascii="Arial" w:hAnsi="Arial" w:cs="Arial"/>
          <w:color w:val="000000"/>
          <w:lang w:val="es-MX" w:eastAsia="es-MX"/>
        </w:rPr>
        <w:t xml:space="preserve">de la Sección Tercera </w:t>
      </w:r>
      <w:r w:rsidRPr="007A177A">
        <w:rPr>
          <w:rFonts w:ascii="Arial" w:hAnsi="Arial" w:cs="Arial"/>
          <w:color w:val="000000"/>
          <w:lang w:val="es-MX" w:eastAsia="es-MX"/>
        </w:rPr>
        <w:t>ha sido reiterativa en advertir que la demora en la presentación de las cuentas o de las facturas</w:t>
      </w:r>
      <w:r w:rsidR="00B031F4" w:rsidRPr="007A177A">
        <w:rPr>
          <w:rFonts w:ascii="Arial" w:hAnsi="Arial" w:cs="Arial"/>
          <w:color w:val="000000"/>
          <w:lang w:val="es-MX" w:eastAsia="es-MX"/>
        </w:rPr>
        <w:t>,</w:t>
      </w:r>
      <w:r w:rsidRPr="007A177A">
        <w:rPr>
          <w:rFonts w:ascii="Arial" w:hAnsi="Arial" w:cs="Arial"/>
          <w:color w:val="000000"/>
          <w:lang w:val="es-MX" w:eastAsia="es-MX"/>
        </w:rPr>
        <w:t xml:space="preserve"> si se presenta por una conducta atribuible al contratista, no puede obrar en perjuicio del Estado</w:t>
      </w:r>
      <w:r w:rsidRPr="007A177A">
        <w:rPr>
          <w:rStyle w:val="Refdenotaalpie"/>
          <w:rFonts w:ascii="Arial" w:hAnsi="Arial" w:cs="Arial"/>
          <w:color w:val="000000"/>
          <w:lang w:val="es-MX" w:eastAsia="es-MX"/>
        </w:rPr>
        <w:footnoteReference w:id="73"/>
      </w:r>
      <w:r w:rsidRPr="007A177A">
        <w:rPr>
          <w:rFonts w:ascii="Arial" w:hAnsi="Arial" w:cs="Arial"/>
          <w:color w:val="000000"/>
          <w:lang w:val="es-MX" w:eastAsia="es-MX"/>
        </w:rPr>
        <w:t xml:space="preserve">, es decir, que no proceden las pretensiones para que se reconozcan ajustes de precios o intereses de mora respecto de actas, facturas o cuentas de cobro, cuando estas son presentadas de manera extemporánea por hechos imputables al contratista. Las condenas en </w:t>
      </w:r>
      <w:r w:rsidR="00191388" w:rsidRPr="007A177A">
        <w:rPr>
          <w:rFonts w:ascii="Arial" w:hAnsi="Arial" w:cs="Arial"/>
          <w:color w:val="000000"/>
          <w:lang w:val="es-MX" w:eastAsia="es-MX"/>
        </w:rPr>
        <w:t xml:space="preserve">dichos </w:t>
      </w:r>
      <w:r w:rsidRPr="007A177A">
        <w:rPr>
          <w:rFonts w:ascii="Arial" w:hAnsi="Arial" w:cs="Arial"/>
          <w:color w:val="000000"/>
          <w:lang w:val="es-MX" w:eastAsia="es-MX"/>
        </w:rPr>
        <w:t>eventos se han impuesto sobre el valor nominal del capital o del acta, actualizado, sin intereses de mora ni ajustes de precios sobre el período de la extemporaneidad, toda vez que el acreedor no puede invocar su propia demora para derivar el reconocimiento de un perjuicio.</w:t>
      </w:r>
    </w:p>
    <w:p w14:paraId="2013C4B7" w14:textId="77777777" w:rsidR="00BF333B" w:rsidRPr="007A177A" w:rsidRDefault="00BF333B" w:rsidP="00BF333B">
      <w:pPr>
        <w:spacing w:line="360" w:lineRule="auto"/>
        <w:jc w:val="both"/>
        <w:rPr>
          <w:rFonts w:ascii="Arial" w:hAnsi="Arial" w:cs="Arial"/>
          <w:color w:val="000000"/>
          <w:lang w:val="es-MX" w:eastAsia="es-MX"/>
        </w:rPr>
      </w:pPr>
    </w:p>
    <w:p w14:paraId="316E76A6" w14:textId="77777777" w:rsidR="00DC2C6C" w:rsidRPr="007A177A" w:rsidRDefault="00DC2C6C" w:rsidP="00BF333B">
      <w:pPr>
        <w:spacing w:line="360" w:lineRule="auto"/>
        <w:jc w:val="both"/>
        <w:rPr>
          <w:rFonts w:ascii="Arial" w:hAnsi="Arial" w:cs="Arial"/>
          <w:lang w:val="es-MX"/>
        </w:rPr>
      </w:pPr>
      <w:r w:rsidRPr="007A177A">
        <w:rPr>
          <w:rFonts w:ascii="Arial" w:hAnsi="Arial" w:cs="Arial"/>
          <w:color w:val="000000"/>
          <w:lang w:val="es-MX" w:eastAsia="es-MX"/>
        </w:rPr>
        <w:t xml:space="preserve">Por otra parte, en cuanto a la fecha a partir de la cual es posible causar la mora, debe citarse </w:t>
      </w:r>
      <w:r w:rsidRPr="007A177A">
        <w:rPr>
          <w:rFonts w:ascii="Arial" w:hAnsi="Arial" w:cs="Arial"/>
          <w:lang w:val="es-MX"/>
        </w:rPr>
        <w:t>la sentencia C-892 de 2001</w:t>
      </w:r>
      <w:r w:rsidRPr="007A177A">
        <w:rPr>
          <w:rStyle w:val="Refdenotaalpie"/>
          <w:rFonts w:ascii="Arial" w:hAnsi="Arial" w:cs="Arial"/>
          <w:lang w:val="es-MX"/>
        </w:rPr>
        <w:footnoteReference w:id="74"/>
      </w:r>
      <w:r w:rsidRPr="007A177A">
        <w:rPr>
          <w:rFonts w:ascii="Arial" w:hAnsi="Arial" w:cs="Arial"/>
          <w:lang w:val="es-MX"/>
        </w:rPr>
        <w:t>, mediante la cual la Corte Constitucional indicó que</w:t>
      </w:r>
      <w:r w:rsidR="00B031F4" w:rsidRPr="007A177A">
        <w:rPr>
          <w:rFonts w:ascii="Arial" w:hAnsi="Arial" w:cs="Arial"/>
          <w:lang w:val="es-MX"/>
        </w:rPr>
        <w:t>,</w:t>
      </w:r>
      <w:r w:rsidRPr="007A177A">
        <w:rPr>
          <w:rFonts w:ascii="Arial" w:hAnsi="Arial" w:cs="Arial"/>
          <w:lang w:val="es-MX"/>
        </w:rPr>
        <w:t xml:space="preserve"> en el contrato estatal, los intereses de mora se liquidan partiendo de la debida presentación de las cuentas</w:t>
      </w:r>
      <w:r w:rsidRPr="007A177A">
        <w:rPr>
          <w:rStyle w:val="Refdenotaalpie"/>
          <w:rFonts w:ascii="Arial" w:hAnsi="Arial" w:cs="Arial"/>
          <w:lang w:val="es-MX"/>
        </w:rPr>
        <w:footnoteReference w:id="75"/>
      </w:r>
      <w:r w:rsidRPr="007A177A">
        <w:rPr>
          <w:rFonts w:ascii="Arial" w:hAnsi="Arial" w:cs="Arial"/>
          <w:lang w:val="es-MX"/>
        </w:rPr>
        <w:t>:</w:t>
      </w:r>
    </w:p>
    <w:p w14:paraId="24E05545" w14:textId="77777777" w:rsidR="00BF333B" w:rsidRPr="007A177A" w:rsidRDefault="00BF333B" w:rsidP="00BF333B">
      <w:pPr>
        <w:spacing w:line="360" w:lineRule="auto"/>
        <w:jc w:val="both"/>
        <w:rPr>
          <w:rFonts w:ascii="Arial" w:hAnsi="Arial" w:cs="Arial"/>
          <w:lang w:val="es-MX"/>
        </w:rPr>
      </w:pPr>
    </w:p>
    <w:p w14:paraId="4D33F0A3" w14:textId="77777777" w:rsidR="00DC2C6C" w:rsidRPr="007A177A" w:rsidRDefault="00DC2C6C" w:rsidP="00BF333B">
      <w:pPr>
        <w:ind w:left="567" w:right="850"/>
        <w:jc w:val="both"/>
        <w:rPr>
          <w:rFonts w:ascii="Arial" w:hAnsi="Arial" w:cs="Arial"/>
          <w:i/>
          <w:lang w:val="es-MX"/>
        </w:rPr>
      </w:pPr>
      <w:r w:rsidRPr="007A177A">
        <w:rPr>
          <w:rFonts w:ascii="Arial" w:hAnsi="Arial" w:cs="Arial"/>
          <w:i/>
          <w:lang w:val="es-MX"/>
        </w:rPr>
        <w:t>“(…) dies a quo</w:t>
      </w:r>
      <w:r w:rsidRPr="007A177A">
        <w:rPr>
          <w:rStyle w:val="Refdenotaalpie"/>
          <w:rFonts w:ascii="Arial" w:hAnsi="Arial" w:cs="Arial"/>
          <w:lang w:val="es-MX"/>
        </w:rPr>
        <w:footnoteReference w:id="76"/>
      </w:r>
      <w:r w:rsidRPr="007A177A">
        <w:rPr>
          <w:rFonts w:ascii="Arial" w:hAnsi="Arial" w:cs="Arial"/>
          <w:i/>
          <w:lang w:val="es-MX"/>
        </w:rPr>
        <w:t xml:space="preserve"> para iniciar la cuenta o cómputo de los intereses moratorios es el que le sigue al vencimiento del plazo pactado en los respectivos pliegos de condiciones, o en su defecto, en el contrato para el pago de </w:t>
      </w:r>
      <w:r w:rsidRPr="007A177A">
        <w:rPr>
          <w:rFonts w:ascii="Arial" w:hAnsi="Arial" w:cs="Arial"/>
          <w:b/>
          <w:i/>
          <w:lang w:val="es-MX"/>
        </w:rPr>
        <w:t>aquellas cuentas debidamente presentadas y legalizadas por el contratista,</w:t>
      </w:r>
      <w:r w:rsidRPr="007A177A">
        <w:rPr>
          <w:rFonts w:ascii="Arial" w:hAnsi="Arial" w:cs="Arial"/>
          <w:i/>
          <w:lang w:val="es-MX"/>
        </w:rPr>
        <w:t xml:space="preserve"> y se prorroga hasta que la Administración pública haga efectivo el pago” </w:t>
      </w:r>
      <w:r w:rsidRPr="007A177A">
        <w:rPr>
          <w:rFonts w:ascii="Arial" w:hAnsi="Arial" w:cs="Arial"/>
          <w:lang w:val="es-MX"/>
        </w:rPr>
        <w:t>(la negrilla corresponde a la apelante).</w:t>
      </w:r>
    </w:p>
    <w:p w14:paraId="06E73C94" w14:textId="77777777" w:rsidR="00DC2C6C" w:rsidRPr="007A177A" w:rsidRDefault="00DC2C6C" w:rsidP="00BF333B">
      <w:pPr>
        <w:spacing w:line="360" w:lineRule="auto"/>
        <w:ind w:right="-1"/>
        <w:jc w:val="both"/>
        <w:rPr>
          <w:rFonts w:ascii="Arial" w:hAnsi="Arial" w:cs="Arial"/>
        </w:rPr>
      </w:pPr>
    </w:p>
    <w:p w14:paraId="700BBB1A" w14:textId="77777777" w:rsidR="00DC2C6C" w:rsidRPr="007A177A" w:rsidRDefault="00191388" w:rsidP="00BF333B">
      <w:pPr>
        <w:spacing w:line="360" w:lineRule="auto"/>
        <w:ind w:right="-1"/>
        <w:jc w:val="both"/>
        <w:rPr>
          <w:rFonts w:ascii="Arial" w:hAnsi="Arial" w:cs="Arial"/>
        </w:rPr>
      </w:pPr>
      <w:r w:rsidRPr="007A177A">
        <w:rPr>
          <w:rFonts w:ascii="Arial" w:hAnsi="Arial" w:cs="Arial"/>
        </w:rPr>
        <w:t xml:space="preserve">Para finalizar este acápite </w:t>
      </w:r>
      <w:r w:rsidR="00DC2C6C" w:rsidRPr="007A177A">
        <w:rPr>
          <w:rFonts w:ascii="Arial" w:hAnsi="Arial" w:cs="Arial"/>
        </w:rPr>
        <w:t xml:space="preserve">es necesario llamar la atención sobre los distintos conceptos que se incorporan en el valor del acta </w:t>
      </w:r>
      <w:r w:rsidR="003F0235" w:rsidRPr="007A177A">
        <w:rPr>
          <w:rFonts w:ascii="Arial" w:hAnsi="Arial" w:cs="Arial"/>
        </w:rPr>
        <w:t xml:space="preserve">y de la </w:t>
      </w:r>
      <w:r w:rsidR="00DC2C6C" w:rsidRPr="007A177A">
        <w:rPr>
          <w:rFonts w:ascii="Arial" w:hAnsi="Arial" w:cs="Arial"/>
        </w:rPr>
        <w:t>factura</w:t>
      </w:r>
      <w:r w:rsidR="003F0235" w:rsidRPr="007A177A">
        <w:rPr>
          <w:rFonts w:ascii="Arial" w:hAnsi="Arial" w:cs="Arial"/>
        </w:rPr>
        <w:t xml:space="preserve"> en su caso</w:t>
      </w:r>
      <w:r w:rsidR="00C25B3C" w:rsidRPr="007A177A">
        <w:rPr>
          <w:rFonts w:ascii="Arial" w:hAnsi="Arial" w:cs="Arial"/>
        </w:rPr>
        <w:t>,</w:t>
      </w:r>
      <w:r w:rsidR="00DC2C6C" w:rsidRPr="007A177A">
        <w:rPr>
          <w:rFonts w:ascii="Arial" w:hAnsi="Arial" w:cs="Arial"/>
        </w:rPr>
        <w:t xml:space="preserve"> por cuanto</w:t>
      </w:r>
      <w:r w:rsidR="00392774" w:rsidRPr="007A177A">
        <w:rPr>
          <w:rFonts w:ascii="Arial" w:hAnsi="Arial" w:cs="Arial"/>
        </w:rPr>
        <w:t xml:space="preserve">: </w:t>
      </w:r>
      <w:r w:rsidR="00392774" w:rsidRPr="007A177A">
        <w:rPr>
          <w:rFonts w:ascii="Arial" w:hAnsi="Arial" w:cs="Arial"/>
          <w:b/>
          <w:bCs/>
        </w:rPr>
        <w:t>i)</w:t>
      </w:r>
      <w:r w:rsidR="00392774" w:rsidRPr="007A177A">
        <w:rPr>
          <w:rFonts w:ascii="Arial" w:hAnsi="Arial" w:cs="Arial"/>
        </w:rPr>
        <w:t xml:space="preserve"> </w:t>
      </w:r>
      <w:r w:rsidR="00DC2C6C" w:rsidRPr="007A177A">
        <w:rPr>
          <w:rFonts w:ascii="Arial" w:hAnsi="Arial" w:cs="Arial"/>
        </w:rPr>
        <w:t xml:space="preserve">los ajustes e intereses no pueden acumularse con </w:t>
      </w:r>
      <w:r w:rsidR="00392774" w:rsidRPr="007A177A">
        <w:rPr>
          <w:rFonts w:ascii="Arial" w:hAnsi="Arial" w:cs="Arial"/>
        </w:rPr>
        <w:t xml:space="preserve">los intereses calculados a </w:t>
      </w:r>
      <w:r w:rsidR="00DC2C6C" w:rsidRPr="007A177A">
        <w:rPr>
          <w:rFonts w:ascii="Arial" w:hAnsi="Arial" w:cs="Arial"/>
        </w:rPr>
        <w:t>la tasa máxima legal permitida</w:t>
      </w:r>
      <w:r w:rsidR="00392774" w:rsidRPr="007A177A">
        <w:rPr>
          <w:rFonts w:ascii="Arial" w:hAnsi="Arial" w:cs="Arial"/>
        </w:rPr>
        <w:t xml:space="preserve"> y </w:t>
      </w:r>
      <w:r w:rsidR="00392774" w:rsidRPr="007A177A">
        <w:rPr>
          <w:rFonts w:ascii="Arial" w:hAnsi="Arial" w:cs="Arial"/>
          <w:b/>
          <w:bCs/>
        </w:rPr>
        <w:t>ii)</w:t>
      </w:r>
      <w:r w:rsidR="00392774" w:rsidRPr="007A177A">
        <w:rPr>
          <w:rFonts w:ascii="Arial" w:hAnsi="Arial" w:cs="Arial"/>
        </w:rPr>
        <w:t xml:space="preserve"> </w:t>
      </w:r>
      <w:r w:rsidR="00DC2C6C" w:rsidRPr="007A177A">
        <w:rPr>
          <w:rFonts w:ascii="Arial" w:hAnsi="Arial" w:cs="Arial"/>
        </w:rPr>
        <w:t>el monto de anticipo compensado debe deducirse</w:t>
      </w:r>
      <w:r w:rsidR="00392774" w:rsidRPr="007A177A">
        <w:rPr>
          <w:rFonts w:ascii="Arial" w:hAnsi="Arial" w:cs="Arial"/>
        </w:rPr>
        <w:t xml:space="preserve"> para establecer la base del cálculo de intereses</w:t>
      </w:r>
      <w:r w:rsidR="00DC2C6C" w:rsidRPr="007A177A">
        <w:rPr>
          <w:rFonts w:ascii="Arial" w:hAnsi="Arial" w:cs="Arial"/>
        </w:rPr>
        <w:t xml:space="preserve">, dado que </w:t>
      </w:r>
      <w:r w:rsidR="009A3231" w:rsidRPr="007A177A">
        <w:rPr>
          <w:rFonts w:ascii="Arial" w:hAnsi="Arial" w:cs="Arial"/>
        </w:rPr>
        <w:t xml:space="preserve">este último valor </w:t>
      </w:r>
      <w:r w:rsidR="00DC2C6C" w:rsidRPr="007A177A">
        <w:rPr>
          <w:rFonts w:ascii="Arial" w:hAnsi="Arial" w:cs="Arial"/>
        </w:rPr>
        <w:t>realmente no se encuentra en mora</w:t>
      </w:r>
      <w:r w:rsidR="00392774" w:rsidRPr="007A177A">
        <w:rPr>
          <w:rFonts w:ascii="Arial" w:hAnsi="Arial" w:cs="Arial"/>
        </w:rPr>
        <w:t>.</w:t>
      </w:r>
      <w:r w:rsidR="00DC2C6C" w:rsidRPr="007A177A">
        <w:rPr>
          <w:rFonts w:ascii="Arial" w:hAnsi="Arial" w:cs="Arial"/>
        </w:rPr>
        <w:t xml:space="preserve"> </w:t>
      </w:r>
    </w:p>
    <w:p w14:paraId="0D15BD46" w14:textId="77777777" w:rsidR="00DC2C6C" w:rsidRPr="007A177A" w:rsidRDefault="00DC2C6C" w:rsidP="00BF333B">
      <w:pPr>
        <w:spacing w:line="360" w:lineRule="auto"/>
        <w:ind w:right="-1"/>
        <w:jc w:val="both"/>
        <w:rPr>
          <w:rFonts w:ascii="Arial" w:hAnsi="Arial" w:cs="Arial"/>
        </w:rPr>
      </w:pPr>
    </w:p>
    <w:p w14:paraId="160ADE67" w14:textId="77777777" w:rsidR="00DC2C6C" w:rsidRPr="007A177A" w:rsidRDefault="009A3231" w:rsidP="00BF333B">
      <w:pPr>
        <w:pStyle w:val="Textoindependiente"/>
        <w:widowControl w:val="0"/>
        <w:ind w:right="-1"/>
        <w:jc w:val="both"/>
        <w:rPr>
          <w:rFonts w:cs="Arial"/>
          <w:b/>
          <w:sz w:val="24"/>
          <w:szCs w:val="24"/>
        </w:rPr>
      </w:pPr>
      <w:r w:rsidRPr="007A177A">
        <w:rPr>
          <w:rFonts w:cs="Arial"/>
          <w:b/>
          <w:sz w:val="24"/>
          <w:szCs w:val="24"/>
        </w:rPr>
        <w:t xml:space="preserve">7. </w:t>
      </w:r>
      <w:r w:rsidR="00DC2C6C" w:rsidRPr="007A177A">
        <w:rPr>
          <w:rFonts w:cs="Arial"/>
          <w:b/>
          <w:sz w:val="24"/>
          <w:szCs w:val="24"/>
        </w:rPr>
        <w:t>Casos en que no procede la aplicación supletiva del artículo 885 del Código de Comercio</w:t>
      </w:r>
      <w:r w:rsidR="00FD4841" w:rsidRPr="007A177A">
        <w:rPr>
          <w:rFonts w:cs="Arial"/>
          <w:b/>
          <w:sz w:val="24"/>
          <w:szCs w:val="24"/>
        </w:rPr>
        <w:t xml:space="preserve"> –aplicación del plazo mensual de acuerdo con el flujo financiero programado</w:t>
      </w:r>
    </w:p>
    <w:p w14:paraId="3A02E332" w14:textId="77777777" w:rsidR="00DC2C6C" w:rsidRPr="007A177A" w:rsidRDefault="00DC2C6C" w:rsidP="00BF333B">
      <w:pPr>
        <w:pStyle w:val="Textoindependiente"/>
        <w:widowControl w:val="0"/>
        <w:spacing w:line="360" w:lineRule="auto"/>
        <w:ind w:right="-1"/>
        <w:jc w:val="both"/>
        <w:rPr>
          <w:rFonts w:cs="Arial"/>
          <w:sz w:val="24"/>
          <w:szCs w:val="24"/>
        </w:rPr>
      </w:pPr>
    </w:p>
    <w:p w14:paraId="1BD2BD79" w14:textId="77777777" w:rsidR="00DC2C6C" w:rsidRPr="007A177A" w:rsidRDefault="00DC2C6C" w:rsidP="00BF333B">
      <w:pPr>
        <w:pStyle w:val="Textoindependiente"/>
        <w:widowControl w:val="0"/>
        <w:spacing w:line="360" w:lineRule="auto"/>
        <w:ind w:right="-1"/>
        <w:jc w:val="both"/>
        <w:rPr>
          <w:rFonts w:cs="Arial"/>
          <w:iCs/>
          <w:sz w:val="24"/>
          <w:szCs w:val="24"/>
        </w:rPr>
      </w:pPr>
      <w:r w:rsidRPr="007A177A">
        <w:rPr>
          <w:rFonts w:cs="Arial"/>
          <w:sz w:val="24"/>
          <w:szCs w:val="24"/>
        </w:rPr>
        <w:t>Con el fin de establecer el plazo para el pago</w:t>
      </w:r>
      <w:r w:rsidR="008D710B" w:rsidRPr="007A177A">
        <w:rPr>
          <w:rFonts w:cs="Arial"/>
          <w:sz w:val="24"/>
          <w:szCs w:val="24"/>
        </w:rPr>
        <w:t>,</w:t>
      </w:r>
      <w:r w:rsidRPr="007A177A">
        <w:rPr>
          <w:rFonts w:cs="Arial"/>
          <w:sz w:val="24"/>
          <w:szCs w:val="24"/>
        </w:rPr>
        <w:t xml:space="preserve"> a falta de pacto contractual, la jurisprudencia del Consejo de Estado ha invocado la aplicación del artículo 885 del Código de Comercio, de acuerdo con el cual se advierte que </w:t>
      </w:r>
      <w:r w:rsidRPr="007A177A">
        <w:rPr>
          <w:rFonts w:cs="Arial"/>
          <w:iCs/>
          <w:sz w:val="24"/>
          <w:szCs w:val="24"/>
        </w:rPr>
        <w:t xml:space="preserve">debe contarse un período adicional de </w:t>
      </w:r>
      <w:r w:rsidR="00861E44" w:rsidRPr="007A177A">
        <w:rPr>
          <w:rFonts w:cs="Arial"/>
          <w:i/>
          <w:iCs/>
          <w:sz w:val="24"/>
          <w:szCs w:val="24"/>
        </w:rPr>
        <w:t xml:space="preserve">“un mes después de pasada la cuenta” </w:t>
      </w:r>
      <w:r w:rsidRPr="007A177A">
        <w:rPr>
          <w:rFonts w:cs="Arial"/>
          <w:iCs/>
          <w:sz w:val="24"/>
          <w:szCs w:val="24"/>
        </w:rPr>
        <w:t>para iniciar el cobro de los intereses moratorios.</w:t>
      </w:r>
    </w:p>
    <w:p w14:paraId="7EBB894B" w14:textId="77777777" w:rsidR="00DC2C6C" w:rsidRPr="007A177A" w:rsidRDefault="00DC2C6C" w:rsidP="00BF333B">
      <w:pPr>
        <w:pStyle w:val="Textoindependiente"/>
        <w:widowControl w:val="0"/>
        <w:spacing w:line="360" w:lineRule="auto"/>
        <w:ind w:right="-1"/>
        <w:jc w:val="both"/>
        <w:rPr>
          <w:rFonts w:cs="Arial"/>
          <w:sz w:val="24"/>
          <w:szCs w:val="24"/>
        </w:rPr>
      </w:pPr>
    </w:p>
    <w:p w14:paraId="7B8F073E" w14:textId="77777777" w:rsidR="00DC2C6C" w:rsidRPr="007A177A" w:rsidRDefault="00DC2C6C" w:rsidP="00BF333B">
      <w:pPr>
        <w:pStyle w:val="Textoindependiente"/>
        <w:widowControl w:val="0"/>
        <w:spacing w:line="360" w:lineRule="auto"/>
        <w:ind w:right="-1"/>
        <w:jc w:val="both"/>
        <w:rPr>
          <w:rFonts w:cs="Arial"/>
          <w:sz w:val="24"/>
          <w:szCs w:val="24"/>
        </w:rPr>
      </w:pPr>
      <w:r w:rsidRPr="007A177A">
        <w:rPr>
          <w:rFonts w:cs="Arial"/>
          <w:sz w:val="24"/>
          <w:szCs w:val="24"/>
        </w:rPr>
        <w:t xml:space="preserve">El artículo 885 del Código de Comercio establece un plazo supletivo que corre una vez presentada la cuenta al acreedor, </w:t>
      </w:r>
      <w:r w:rsidR="003F0235" w:rsidRPr="007A177A">
        <w:rPr>
          <w:rFonts w:cs="Arial"/>
          <w:sz w:val="24"/>
          <w:szCs w:val="24"/>
        </w:rPr>
        <w:t xml:space="preserve">aplicable a </w:t>
      </w:r>
      <w:r w:rsidRPr="007A177A">
        <w:rPr>
          <w:rFonts w:cs="Arial"/>
          <w:sz w:val="24"/>
          <w:szCs w:val="24"/>
        </w:rPr>
        <w:t>los suministros o ventas “</w:t>
      </w:r>
      <w:r w:rsidRPr="007A177A">
        <w:rPr>
          <w:rFonts w:cs="Arial"/>
          <w:i/>
          <w:sz w:val="24"/>
          <w:szCs w:val="24"/>
        </w:rPr>
        <w:t>que se hagan al fiado”</w:t>
      </w:r>
      <w:r w:rsidRPr="007A177A">
        <w:rPr>
          <w:rFonts w:cs="Arial"/>
          <w:sz w:val="24"/>
          <w:szCs w:val="24"/>
        </w:rPr>
        <w:t xml:space="preserve">, es decir que el supuesto jurídico de la causación de intereses </w:t>
      </w:r>
      <w:r w:rsidR="002C6742" w:rsidRPr="007A177A">
        <w:rPr>
          <w:rFonts w:cs="Arial"/>
          <w:sz w:val="24"/>
          <w:szCs w:val="24"/>
        </w:rPr>
        <w:t xml:space="preserve">con fundamento en </w:t>
      </w:r>
      <w:r w:rsidRPr="007A177A">
        <w:rPr>
          <w:rFonts w:cs="Arial"/>
          <w:sz w:val="24"/>
          <w:szCs w:val="24"/>
        </w:rPr>
        <w:t xml:space="preserve">dicha norma parte de la base de que el bien objeto de la venta o del suministro ha sido entregado previa y oportunamente, caso en el cual se generan </w:t>
      </w:r>
      <w:r w:rsidRPr="007A177A">
        <w:rPr>
          <w:rFonts w:cs="Arial"/>
          <w:sz w:val="24"/>
          <w:szCs w:val="24"/>
        </w:rPr>
        <w:lastRenderedPageBreak/>
        <w:t>intereses de mora sobre el valor correspondiente, vencido</w:t>
      </w:r>
      <w:r w:rsidR="00C054D0" w:rsidRPr="007A177A">
        <w:rPr>
          <w:rFonts w:cs="Arial"/>
          <w:sz w:val="24"/>
          <w:szCs w:val="24"/>
        </w:rPr>
        <w:t xml:space="preserve"> el término de un mes. </w:t>
      </w:r>
    </w:p>
    <w:p w14:paraId="3915BF3F" w14:textId="77777777" w:rsidR="00310345" w:rsidRPr="007A177A" w:rsidRDefault="00310345" w:rsidP="00BF333B">
      <w:pPr>
        <w:pStyle w:val="Textoindependiente"/>
        <w:widowControl w:val="0"/>
        <w:spacing w:line="360" w:lineRule="auto"/>
        <w:ind w:right="-1"/>
        <w:jc w:val="both"/>
        <w:rPr>
          <w:rFonts w:cs="Arial"/>
          <w:sz w:val="24"/>
          <w:szCs w:val="24"/>
        </w:rPr>
      </w:pPr>
    </w:p>
    <w:p w14:paraId="1256B91E" w14:textId="77777777" w:rsidR="00DC2C6C" w:rsidRPr="007A177A" w:rsidRDefault="00A61D6E" w:rsidP="00BF333B">
      <w:pPr>
        <w:pStyle w:val="Textoindependiente"/>
        <w:widowControl w:val="0"/>
        <w:spacing w:line="360" w:lineRule="auto"/>
        <w:ind w:right="-1"/>
        <w:jc w:val="both"/>
        <w:rPr>
          <w:rFonts w:cs="Arial"/>
          <w:sz w:val="24"/>
          <w:szCs w:val="24"/>
        </w:rPr>
      </w:pPr>
      <w:r w:rsidRPr="007A177A">
        <w:rPr>
          <w:rFonts w:cs="Arial"/>
          <w:sz w:val="24"/>
          <w:szCs w:val="24"/>
        </w:rPr>
        <w:t>C</w:t>
      </w:r>
      <w:r w:rsidR="00DC2C6C" w:rsidRPr="007A177A">
        <w:rPr>
          <w:rFonts w:cs="Arial"/>
          <w:sz w:val="24"/>
          <w:szCs w:val="24"/>
        </w:rPr>
        <w:t>omo se ha explicado</w:t>
      </w:r>
      <w:r w:rsidR="00AA33C4" w:rsidRPr="007A177A">
        <w:rPr>
          <w:rFonts w:cs="Arial"/>
          <w:sz w:val="24"/>
          <w:szCs w:val="24"/>
        </w:rPr>
        <w:t>,</w:t>
      </w:r>
      <w:r w:rsidR="00DC2C6C" w:rsidRPr="007A177A">
        <w:rPr>
          <w:rFonts w:cs="Arial"/>
          <w:sz w:val="24"/>
          <w:szCs w:val="24"/>
        </w:rPr>
        <w:t xml:space="preserve"> </w:t>
      </w:r>
      <w:r w:rsidR="00191388" w:rsidRPr="007A177A">
        <w:rPr>
          <w:rFonts w:cs="Arial"/>
          <w:sz w:val="24"/>
          <w:szCs w:val="24"/>
        </w:rPr>
        <w:t xml:space="preserve">actualmente </w:t>
      </w:r>
      <w:r w:rsidR="00DC2C6C" w:rsidRPr="007A177A">
        <w:rPr>
          <w:rFonts w:cs="Arial"/>
          <w:sz w:val="24"/>
          <w:szCs w:val="24"/>
        </w:rPr>
        <w:t xml:space="preserve">la aplicación del Código de Comercio se apoya en la integración de la ley comercial que se consagró en el artículo 13 de la Ley 80 de 1993, a falta de norma especial </w:t>
      </w:r>
      <w:r w:rsidR="00191388" w:rsidRPr="007A177A">
        <w:rPr>
          <w:rFonts w:cs="Arial"/>
          <w:sz w:val="24"/>
          <w:szCs w:val="24"/>
        </w:rPr>
        <w:t xml:space="preserve">contenida </w:t>
      </w:r>
      <w:r w:rsidR="00DC2C6C" w:rsidRPr="007A177A">
        <w:rPr>
          <w:rFonts w:cs="Arial"/>
          <w:sz w:val="24"/>
          <w:szCs w:val="24"/>
        </w:rPr>
        <w:t>en el estatuto general de la contratación pública</w:t>
      </w:r>
      <w:r w:rsidR="00191388" w:rsidRPr="007A177A">
        <w:rPr>
          <w:rFonts w:cs="Arial"/>
          <w:sz w:val="24"/>
          <w:szCs w:val="24"/>
        </w:rPr>
        <w:t xml:space="preserve"> o de la respectiva contratación</w:t>
      </w:r>
      <w:r w:rsidR="00DC2C6C" w:rsidRPr="007A177A">
        <w:rPr>
          <w:rFonts w:cs="Arial"/>
          <w:sz w:val="24"/>
          <w:szCs w:val="24"/>
        </w:rPr>
        <w:t xml:space="preserve">. </w:t>
      </w:r>
    </w:p>
    <w:p w14:paraId="24087696" w14:textId="77777777" w:rsidR="00310345" w:rsidRPr="007A177A" w:rsidRDefault="00310345" w:rsidP="00BF333B">
      <w:pPr>
        <w:pStyle w:val="Textoindependiente"/>
        <w:widowControl w:val="0"/>
        <w:spacing w:line="360" w:lineRule="auto"/>
        <w:ind w:right="-1"/>
        <w:jc w:val="both"/>
        <w:rPr>
          <w:rFonts w:cs="Arial"/>
          <w:sz w:val="24"/>
          <w:szCs w:val="24"/>
        </w:rPr>
      </w:pPr>
    </w:p>
    <w:p w14:paraId="73BA254A" w14:textId="77777777" w:rsidR="00242504" w:rsidRPr="007A177A" w:rsidRDefault="00242504" w:rsidP="00BF333B">
      <w:pPr>
        <w:pStyle w:val="Textoindependiente"/>
        <w:widowControl w:val="0"/>
        <w:spacing w:line="360" w:lineRule="auto"/>
        <w:ind w:right="-1"/>
        <w:jc w:val="both"/>
        <w:rPr>
          <w:rFonts w:cs="Arial"/>
          <w:sz w:val="24"/>
          <w:szCs w:val="24"/>
        </w:rPr>
      </w:pPr>
      <w:r w:rsidRPr="007A177A">
        <w:rPr>
          <w:rFonts w:cs="Arial"/>
          <w:sz w:val="24"/>
          <w:szCs w:val="24"/>
        </w:rPr>
        <w:t>En este estado del análisis</w:t>
      </w:r>
      <w:r w:rsidR="00191388" w:rsidRPr="007A177A">
        <w:rPr>
          <w:rFonts w:cs="Arial"/>
          <w:sz w:val="24"/>
          <w:szCs w:val="24"/>
        </w:rPr>
        <w:t xml:space="preserve"> </w:t>
      </w:r>
      <w:r w:rsidR="002D4E05" w:rsidRPr="007A177A">
        <w:rPr>
          <w:rFonts w:cs="Arial"/>
          <w:sz w:val="24"/>
          <w:szCs w:val="24"/>
        </w:rPr>
        <w:t>-</w:t>
      </w:r>
      <w:r w:rsidR="00641FE0" w:rsidRPr="007A177A">
        <w:rPr>
          <w:rFonts w:cs="Arial"/>
          <w:i/>
          <w:sz w:val="24"/>
          <w:szCs w:val="24"/>
        </w:rPr>
        <w:t>teniendo en cuenta las fórmulas expuestas en el dictamen y en la sentencia</w:t>
      </w:r>
      <w:r w:rsidR="00C054D0" w:rsidRPr="007A177A">
        <w:rPr>
          <w:rFonts w:cs="Arial"/>
          <w:i/>
          <w:sz w:val="24"/>
          <w:szCs w:val="24"/>
        </w:rPr>
        <w:t xml:space="preserve"> sub lite</w:t>
      </w:r>
      <w:r w:rsidR="00641FE0" w:rsidRPr="007A177A">
        <w:rPr>
          <w:rFonts w:cs="Arial"/>
          <w:sz w:val="24"/>
          <w:szCs w:val="24"/>
        </w:rPr>
        <w:t xml:space="preserve">- </w:t>
      </w:r>
      <w:r w:rsidRPr="007A177A">
        <w:rPr>
          <w:rFonts w:cs="Arial"/>
          <w:sz w:val="24"/>
          <w:szCs w:val="24"/>
        </w:rPr>
        <w:t>l</w:t>
      </w:r>
      <w:r w:rsidR="00DC2C6C" w:rsidRPr="007A177A">
        <w:rPr>
          <w:rFonts w:cs="Arial"/>
          <w:sz w:val="24"/>
          <w:szCs w:val="24"/>
        </w:rPr>
        <w:t xml:space="preserve">a Sala </w:t>
      </w:r>
      <w:r w:rsidRPr="007A177A">
        <w:rPr>
          <w:rFonts w:cs="Arial"/>
          <w:sz w:val="24"/>
          <w:szCs w:val="24"/>
        </w:rPr>
        <w:t xml:space="preserve">se pregunta </w:t>
      </w:r>
      <w:r w:rsidR="00DC2C6C" w:rsidRPr="007A177A">
        <w:rPr>
          <w:rFonts w:cs="Arial"/>
          <w:sz w:val="24"/>
          <w:szCs w:val="24"/>
        </w:rPr>
        <w:t xml:space="preserve">si </w:t>
      </w:r>
      <w:r w:rsidR="00392774" w:rsidRPr="007A177A">
        <w:rPr>
          <w:rFonts w:cs="Arial"/>
          <w:sz w:val="24"/>
          <w:szCs w:val="24"/>
        </w:rPr>
        <w:t>¿</w:t>
      </w:r>
      <w:r w:rsidR="00DC2C6C" w:rsidRPr="007A177A">
        <w:rPr>
          <w:rFonts w:cs="Arial"/>
          <w:sz w:val="24"/>
          <w:szCs w:val="24"/>
        </w:rPr>
        <w:t xml:space="preserve">es posible introducir el plazo del artículo 855 del Código de Comercio </w:t>
      </w:r>
      <w:r w:rsidR="00861E44" w:rsidRPr="007A177A">
        <w:rPr>
          <w:rFonts w:cs="Arial"/>
          <w:sz w:val="24"/>
          <w:szCs w:val="24"/>
        </w:rPr>
        <w:t>a los intereses que se caus</w:t>
      </w:r>
      <w:r w:rsidRPr="007A177A">
        <w:rPr>
          <w:rFonts w:cs="Arial"/>
          <w:sz w:val="24"/>
          <w:szCs w:val="24"/>
        </w:rPr>
        <w:t xml:space="preserve">aron en vigencia de </w:t>
      </w:r>
      <w:r w:rsidR="00DC2C6C" w:rsidRPr="007A177A">
        <w:rPr>
          <w:rFonts w:cs="Arial"/>
          <w:sz w:val="24"/>
          <w:szCs w:val="24"/>
        </w:rPr>
        <w:t>los contratos administrativos que se celebraron bajo el Decreto</w:t>
      </w:r>
      <w:r w:rsidR="00853152" w:rsidRPr="007A177A">
        <w:rPr>
          <w:rFonts w:cs="Arial"/>
          <w:sz w:val="24"/>
          <w:szCs w:val="24"/>
        </w:rPr>
        <w:t>-ley</w:t>
      </w:r>
      <w:r w:rsidR="00DC2C6C" w:rsidRPr="007A177A">
        <w:rPr>
          <w:rFonts w:cs="Arial"/>
          <w:sz w:val="24"/>
          <w:szCs w:val="24"/>
        </w:rPr>
        <w:t xml:space="preserve"> 150 de 1976</w:t>
      </w:r>
      <w:r w:rsidRPr="007A177A">
        <w:rPr>
          <w:rFonts w:cs="Arial"/>
          <w:sz w:val="24"/>
          <w:szCs w:val="24"/>
        </w:rPr>
        <w:t>?</w:t>
      </w:r>
    </w:p>
    <w:p w14:paraId="47358F0E" w14:textId="77777777" w:rsidR="00242504" w:rsidRPr="007A177A" w:rsidRDefault="00242504" w:rsidP="00BF333B">
      <w:pPr>
        <w:pStyle w:val="Textoindependiente"/>
        <w:widowControl w:val="0"/>
        <w:spacing w:line="360" w:lineRule="auto"/>
        <w:ind w:right="-1"/>
        <w:jc w:val="both"/>
        <w:rPr>
          <w:rFonts w:cs="Arial"/>
          <w:sz w:val="24"/>
          <w:szCs w:val="24"/>
        </w:rPr>
      </w:pPr>
    </w:p>
    <w:p w14:paraId="6CBDD9A2" w14:textId="77777777" w:rsidR="00FE72E6" w:rsidRPr="007A177A" w:rsidRDefault="00242504" w:rsidP="00BF333B">
      <w:pPr>
        <w:pStyle w:val="Textoindependiente"/>
        <w:widowControl w:val="0"/>
        <w:spacing w:line="360" w:lineRule="auto"/>
        <w:ind w:right="-1"/>
        <w:jc w:val="both"/>
        <w:rPr>
          <w:rFonts w:cs="Arial"/>
          <w:sz w:val="24"/>
          <w:szCs w:val="24"/>
        </w:rPr>
      </w:pPr>
      <w:r w:rsidRPr="007A177A">
        <w:rPr>
          <w:rFonts w:cs="Arial"/>
          <w:sz w:val="24"/>
          <w:szCs w:val="24"/>
        </w:rPr>
        <w:t xml:space="preserve">Se considera que </w:t>
      </w:r>
      <w:r w:rsidR="00DC2C6C" w:rsidRPr="007A177A">
        <w:rPr>
          <w:rFonts w:cs="Arial"/>
          <w:sz w:val="24"/>
          <w:szCs w:val="24"/>
        </w:rPr>
        <w:t>no es procedente la analogía, dado que</w:t>
      </w:r>
      <w:r w:rsidR="00853152" w:rsidRPr="007A177A">
        <w:rPr>
          <w:rFonts w:cs="Arial"/>
          <w:sz w:val="24"/>
          <w:szCs w:val="24"/>
        </w:rPr>
        <w:t xml:space="preserve"> </w:t>
      </w:r>
      <w:r w:rsidR="00DC2C6C" w:rsidRPr="007A177A">
        <w:rPr>
          <w:rFonts w:cs="Arial"/>
          <w:sz w:val="24"/>
          <w:szCs w:val="24"/>
        </w:rPr>
        <w:t xml:space="preserve">la legislación comercial no fue llamada a aplicarse a la contratación administrativa de esa época y menos </w:t>
      </w:r>
      <w:r w:rsidR="00122C2D" w:rsidRPr="007A177A">
        <w:rPr>
          <w:rFonts w:cs="Arial"/>
          <w:sz w:val="24"/>
          <w:szCs w:val="24"/>
        </w:rPr>
        <w:t xml:space="preserve">aun </w:t>
      </w:r>
      <w:r w:rsidR="00DC2C6C" w:rsidRPr="007A177A">
        <w:rPr>
          <w:rFonts w:cs="Arial"/>
          <w:sz w:val="24"/>
          <w:szCs w:val="24"/>
        </w:rPr>
        <w:t xml:space="preserve">frente a </w:t>
      </w:r>
      <w:r w:rsidR="00FE72E6" w:rsidRPr="007A177A">
        <w:rPr>
          <w:rFonts w:cs="Arial"/>
          <w:sz w:val="24"/>
          <w:szCs w:val="24"/>
        </w:rPr>
        <w:t xml:space="preserve">la jurisprudencia constitucional que consideraba improcedente el pacto de intereses. </w:t>
      </w:r>
    </w:p>
    <w:p w14:paraId="4A531BFB" w14:textId="77777777" w:rsidR="00FE72E6" w:rsidRPr="007A177A" w:rsidRDefault="00FE72E6" w:rsidP="00BF333B">
      <w:pPr>
        <w:pStyle w:val="Textoindependiente"/>
        <w:widowControl w:val="0"/>
        <w:spacing w:line="360" w:lineRule="auto"/>
        <w:ind w:right="-1"/>
        <w:jc w:val="both"/>
        <w:rPr>
          <w:rFonts w:cs="Arial"/>
          <w:sz w:val="24"/>
          <w:szCs w:val="24"/>
        </w:rPr>
      </w:pPr>
    </w:p>
    <w:p w14:paraId="71653709" w14:textId="77777777" w:rsidR="00814369" w:rsidRPr="007A177A" w:rsidRDefault="00FE72E6" w:rsidP="00BF333B">
      <w:pPr>
        <w:pStyle w:val="Textoindependiente"/>
        <w:widowControl w:val="0"/>
        <w:spacing w:line="360" w:lineRule="auto"/>
        <w:ind w:right="-1"/>
        <w:jc w:val="both"/>
        <w:rPr>
          <w:rFonts w:cs="Arial"/>
          <w:sz w:val="24"/>
          <w:szCs w:val="24"/>
        </w:rPr>
      </w:pPr>
      <w:r w:rsidRPr="007A177A">
        <w:rPr>
          <w:rFonts w:cs="Arial"/>
          <w:sz w:val="24"/>
          <w:szCs w:val="24"/>
        </w:rPr>
        <w:t xml:space="preserve">De otra parte, debe tenerse en cuenta que la aplicación del artículo </w:t>
      </w:r>
      <w:r w:rsidR="003E404D" w:rsidRPr="007A177A">
        <w:rPr>
          <w:rFonts w:cs="Arial"/>
          <w:sz w:val="24"/>
          <w:szCs w:val="24"/>
        </w:rPr>
        <w:t xml:space="preserve">885 del </w:t>
      </w:r>
      <w:proofErr w:type="spellStart"/>
      <w:r w:rsidR="003E404D" w:rsidRPr="007A177A">
        <w:rPr>
          <w:rFonts w:cs="Arial"/>
          <w:sz w:val="24"/>
          <w:szCs w:val="24"/>
        </w:rPr>
        <w:t>C.Co</w:t>
      </w:r>
      <w:proofErr w:type="spellEnd"/>
      <w:r w:rsidR="00392774" w:rsidRPr="007A177A">
        <w:rPr>
          <w:rFonts w:cs="Arial"/>
          <w:sz w:val="24"/>
          <w:szCs w:val="24"/>
        </w:rPr>
        <w:t>,</w:t>
      </w:r>
      <w:r w:rsidR="003E404D" w:rsidRPr="007A177A">
        <w:rPr>
          <w:rFonts w:cs="Arial"/>
          <w:sz w:val="24"/>
          <w:szCs w:val="24"/>
        </w:rPr>
        <w:t xml:space="preserve"> </w:t>
      </w:r>
      <w:r w:rsidR="00F350D1" w:rsidRPr="007A177A">
        <w:rPr>
          <w:rFonts w:cs="Arial"/>
          <w:sz w:val="24"/>
          <w:szCs w:val="24"/>
        </w:rPr>
        <w:t xml:space="preserve">no procede en </w:t>
      </w:r>
      <w:r w:rsidR="00392774" w:rsidRPr="007A177A">
        <w:rPr>
          <w:rFonts w:cs="Arial"/>
          <w:sz w:val="24"/>
          <w:szCs w:val="24"/>
        </w:rPr>
        <w:t xml:space="preserve">el evento de </w:t>
      </w:r>
      <w:r w:rsidR="003E404D" w:rsidRPr="007A177A">
        <w:rPr>
          <w:rFonts w:cs="Arial"/>
          <w:sz w:val="24"/>
          <w:szCs w:val="24"/>
        </w:rPr>
        <w:t xml:space="preserve">la falta de entrega a satisfacción o </w:t>
      </w:r>
      <w:r w:rsidR="00392774" w:rsidRPr="007A177A">
        <w:rPr>
          <w:rFonts w:cs="Arial"/>
          <w:sz w:val="24"/>
          <w:szCs w:val="24"/>
        </w:rPr>
        <w:t xml:space="preserve">de la </w:t>
      </w:r>
      <w:r w:rsidR="00937F5A" w:rsidRPr="007A177A">
        <w:rPr>
          <w:rFonts w:cs="Arial"/>
          <w:sz w:val="24"/>
          <w:szCs w:val="24"/>
        </w:rPr>
        <w:t>existencia de las</w:t>
      </w:r>
      <w:r w:rsidR="003E404D" w:rsidRPr="007A177A">
        <w:rPr>
          <w:rFonts w:cs="Arial"/>
          <w:sz w:val="24"/>
          <w:szCs w:val="24"/>
        </w:rPr>
        <w:t xml:space="preserve"> glosas o </w:t>
      </w:r>
      <w:r w:rsidR="00814369" w:rsidRPr="007A177A">
        <w:rPr>
          <w:rFonts w:cs="Arial"/>
          <w:sz w:val="24"/>
          <w:szCs w:val="24"/>
        </w:rPr>
        <w:t>rechazos de la cuenta.</w:t>
      </w:r>
    </w:p>
    <w:p w14:paraId="52FD3FB7" w14:textId="77777777" w:rsidR="00310345" w:rsidRPr="007A177A" w:rsidRDefault="00310345" w:rsidP="00BF333B">
      <w:pPr>
        <w:pStyle w:val="Textoindependiente"/>
        <w:widowControl w:val="0"/>
        <w:spacing w:line="360" w:lineRule="auto"/>
        <w:ind w:right="-1"/>
        <w:jc w:val="both"/>
        <w:rPr>
          <w:rFonts w:cs="Arial"/>
          <w:sz w:val="24"/>
          <w:szCs w:val="24"/>
        </w:rPr>
      </w:pPr>
    </w:p>
    <w:p w14:paraId="58823B9A" w14:textId="77777777" w:rsidR="00F350D1" w:rsidRPr="007A177A" w:rsidRDefault="00814369" w:rsidP="00BF333B">
      <w:pPr>
        <w:pStyle w:val="Textoindependiente"/>
        <w:widowControl w:val="0"/>
        <w:spacing w:line="360" w:lineRule="auto"/>
        <w:ind w:right="-1"/>
        <w:jc w:val="both"/>
        <w:rPr>
          <w:rFonts w:cs="Arial"/>
          <w:sz w:val="24"/>
          <w:szCs w:val="24"/>
        </w:rPr>
      </w:pPr>
      <w:r w:rsidRPr="007A177A">
        <w:rPr>
          <w:rFonts w:cs="Arial"/>
          <w:sz w:val="24"/>
          <w:szCs w:val="24"/>
        </w:rPr>
        <w:t xml:space="preserve">No obstante, </w:t>
      </w:r>
      <w:r w:rsidR="00F350D1" w:rsidRPr="007A177A">
        <w:rPr>
          <w:rFonts w:cs="Arial"/>
          <w:sz w:val="24"/>
          <w:szCs w:val="24"/>
        </w:rPr>
        <w:t xml:space="preserve">en el caso </w:t>
      </w:r>
      <w:r w:rsidR="00F350D1" w:rsidRPr="007A177A">
        <w:rPr>
          <w:rFonts w:cs="Arial"/>
          <w:i/>
          <w:sz w:val="24"/>
          <w:szCs w:val="24"/>
        </w:rPr>
        <w:t>sub lite</w:t>
      </w:r>
      <w:r w:rsidR="00F350D1" w:rsidRPr="007A177A">
        <w:rPr>
          <w:rFonts w:cs="Arial"/>
          <w:sz w:val="24"/>
          <w:szCs w:val="24"/>
        </w:rPr>
        <w:t xml:space="preserve"> </w:t>
      </w:r>
      <w:r w:rsidR="00853152" w:rsidRPr="007A177A">
        <w:rPr>
          <w:rFonts w:cs="Arial"/>
          <w:sz w:val="24"/>
          <w:szCs w:val="24"/>
        </w:rPr>
        <w:t>p</w:t>
      </w:r>
      <w:r w:rsidR="00962CAA" w:rsidRPr="007A177A">
        <w:rPr>
          <w:rFonts w:cs="Arial"/>
          <w:sz w:val="24"/>
          <w:szCs w:val="24"/>
        </w:rPr>
        <w:t xml:space="preserve">uede </w:t>
      </w:r>
      <w:r w:rsidRPr="007A177A">
        <w:rPr>
          <w:rFonts w:cs="Arial"/>
          <w:sz w:val="24"/>
          <w:szCs w:val="24"/>
        </w:rPr>
        <w:t>llegarse a la conclusión del plazo mensual, teniendo en cuenta el flujo financiero programado</w:t>
      </w:r>
      <w:r w:rsidR="00605637" w:rsidRPr="007A177A">
        <w:rPr>
          <w:rFonts w:cs="Arial"/>
          <w:sz w:val="24"/>
          <w:szCs w:val="24"/>
        </w:rPr>
        <w:t xml:space="preserve"> para el respectivo contrato</w:t>
      </w:r>
      <w:r w:rsidR="00F350D1" w:rsidRPr="007A177A">
        <w:rPr>
          <w:rFonts w:cs="Arial"/>
          <w:sz w:val="24"/>
          <w:szCs w:val="24"/>
        </w:rPr>
        <w:t>, pero no para reconocer una tasa de interés de mora sino de plazo, a manera de resarcimiento del perjuicio sufrido por el pago tardío.</w:t>
      </w:r>
    </w:p>
    <w:p w14:paraId="173560E9" w14:textId="77777777" w:rsidR="00F350D1" w:rsidRPr="007A177A" w:rsidRDefault="00F350D1" w:rsidP="00BF333B">
      <w:pPr>
        <w:pStyle w:val="Textoindependiente"/>
        <w:widowControl w:val="0"/>
        <w:spacing w:line="360" w:lineRule="auto"/>
        <w:ind w:right="-1"/>
        <w:jc w:val="both"/>
        <w:rPr>
          <w:rFonts w:cs="Arial"/>
          <w:sz w:val="24"/>
          <w:szCs w:val="24"/>
        </w:rPr>
      </w:pPr>
    </w:p>
    <w:p w14:paraId="75D37593" w14:textId="77777777" w:rsidR="00E94A7D" w:rsidRPr="007A177A" w:rsidRDefault="00F350D1" w:rsidP="00BF333B">
      <w:pPr>
        <w:pStyle w:val="Textoindependiente"/>
        <w:widowControl w:val="0"/>
        <w:spacing w:line="360" w:lineRule="auto"/>
        <w:ind w:right="-1"/>
        <w:jc w:val="both"/>
        <w:rPr>
          <w:rFonts w:cs="Arial"/>
          <w:sz w:val="24"/>
          <w:szCs w:val="24"/>
        </w:rPr>
      </w:pPr>
      <w:r w:rsidRPr="007A177A">
        <w:rPr>
          <w:rFonts w:cs="Arial"/>
          <w:sz w:val="24"/>
          <w:szCs w:val="24"/>
        </w:rPr>
        <w:t>En ese sentido, si el contratista est</w:t>
      </w:r>
      <w:r w:rsidR="00E94A7D" w:rsidRPr="007A177A">
        <w:rPr>
          <w:rFonts w:cs="Arial"/>
          <w:sz w:val="24"/>
          <w:szCs w:val="24"/>
        </w:rPr>
        <w:t>aba</w:t>
      </w:r>
      <w:r w:rsidR="00B53D4B" w:rsidRPr="007A177A">
        <w:rPr>
          <w:rFonts w:cs="Arial"/>
          <w:sz w:val="24"/>
          <w:szCs w:val="24"/>
        </w:rPr>
        <w:t xml:space="preserve"> obligado a </w:t>
      </w:r>
      <w:r w:rsidRPr="007A177A">
        <w:rPr>
          <w:rFonts w:cs="Arial"/>
          <w:sz w:val="24"/>
          <w:szCs w:val="24"/>
        </w:rPr>
        <w:t>p</w:t>
      </w:r>
      <w:r w:rsidR="00B53D4B" w:rsidRPr="007A177A">
        <w:rPr>
          <w:rFonts w:cs="Arial"/>
          <w:sz w:val="24"/>
          <w:szCs w:val="24"/>
        </w:rPr>
        <w:t>resentar actas de avances de obra mensual, correlativamente se puede entender que el flujo financiero al que se obliga</w:t>
      </w:r>
      <w:r w:rsidR="00E94A7D" w:rsidRPr="007A177A">
        <w:rPr>
          <w:rFonts w:cs="Arial"/>
          <w:sz w:val="24"/>
          <w:szCs w:val="24"/>
        </w:rPr>
        <w:t>ba</w:t>
      </w:r>
      <w:r w:rsidR="00B53D4B" w:rsidRPr="007A177A">
        <w:rPr>
          <w:rFonts w:cs="Arial"/>
          <w:sz w:val="24"/>
          <w:szCs w:val="24"/>
        </w:rPr>
        <w:t xml:space="preserve"> el </w:t>
      </w:r>
      <w:r w:rsidR="00E94A7D" w:rsidRPr="007A177A">
        <w:rPr>
          <w:rFonts w:cs="Arial"/>
          <w:sz w:val="24"/>
          <w:szCs w:val="24"/>
        </w:rPr>
        <w:t xml:space="preserve">Fondo Vial Nacional era de </w:t>
      </w:r>
      <w:r w:rsidR="00B53D4B" w:rsidRPr="007A177A">
        <w:rPr>
          <w:rFonts w:cs="Arial"/>
          <w:sz w:val="24"/>
          <w:szCs w:val="24"/>
        </w:rPr>
        <w:t xml:space="preserve">carácter mensual, por lo </w:t>
      </w:r>
      <w:r w:rsidR="00962CAA" w:rsidRPr="007A177A">
        <w:rPr>
          <w:rFonts w:cs="Arial"/>
          <w:sz w:val="24"/>
          <w:szCs w:val="24"/>
        </w:rPr>
        <w:t xml:space="preserve">cual, </w:t>
      </w:r>
      <w:r w:rsidR="00B53D4B" w:rsidRPr="007A177A">
        <w:rPr>
          <w:rFonts w:cs="Arial"/>
          <w:sz w:val="24"/>
          <w:szCs w:val="24"/>
        </w:rPr>
        <w:t>en tanto est</w:t>
      </w:r>
      <w:r w:rsidR="00E94A7D" w:rsidRPr="007A177A">
        <w:rPr>
          <w:rFonts w:cs="Arial"/>
          <w:sz w:val="24"/>
          <w:szCs w:val="24"/>
        </w:rPr>
        <w:t xml:space="preserve">uviera </w:t>
      </w:r>
      <w:r w:rsidR="00B53D4B" w:rsidRPr="007A177A">
        <w:rPr>
          <w:rFonts w:cs="Arial"/>
          <w:sz w:val="24"/>
          <w:szCs w:val="24"/>
        </w:rPr>
        <w:t xml:space="preserve">cumpliendo, </w:t>
      </w:r>
      <w:r w:rsidR="00962CAA" w:rsidRPr="007A177A">
        <w:rPr>
          <w:rFonts w:cs="Arial"/>
          <w:sz w:val="24"/>
          <w:szCs w:val="24"/>
        </w:rPr>
        <w:t xml:space="preserve">el contratista </w:t>
      </w:r>
      <w:r w:rsidR="00E94A7D" w:rsidRPr="007A177A">
        <w:rPr>
          <w:rFonts w:cs="Arial"/>
          <w:sz w:val="24"/>
          <w:szCs w:val="24"/>
        </w:rPr>
        <w:t xml:space="preserve">podía </w:t>
      </w:r>
      <w:r w:rsidR="00B53D4B" w:rsidRPr="007A177A">
        <w:rPr>
          <w:rFonts w:cs="Arial"/>
          <w:sz w:val="24"/>
          <w:szCs w:val="24"/>
        </w:rPr>
        <w:t xml:space="preserve">esperar </w:t>
      </w:r>
      <w:r w:rsidR="00E94A7D" w:rsidRPr="007A177A">
        <w:rPr>
          <w:rFonts w:cs="Arial"/>
          <w:sz w:val="24"/>
          <w:szCs w:val="24"/>
        </w:rPr>
        <w:t xml:space="preserve">el pago en forma mensual, aunque </w:t>
      </w:r>
      <w:r w:rsidR="00962CAA" w:rsidRPr="007A177A">
        <w:rPr>
          <w:rFonts w:cs="Arial"/>
          <w:sz w:val="24"/>
          <w:szCs w:val="24"/>
        </w:rPr>
        <w:t xml:space="preserve">en este caso </w:t>
      </w:r>
      <w:r w:rsidR="00E94A7D" w:rsidRPr="007A177A">
        <w:rPr>
          <w:rFonts w:cs="Arial"/>
          <w:sz w:val="24"/>
          <w:szCs w:val="24"/>
        </w:rPr>
        <w:t xml:space="preserve">no tuviera lugar la inserción del artículo 855 del </w:t>
      </w:r>
      <w:proofErr w:type="spellStart"/>
      <w:r w:rsidR="00E94A7D" w:rsidRPr="007A177A">
        <w:rPr>
          <w:rFonts w:cs="Arial"/>
          <w:sz w:val="24"/>
          <w:szCs w:val="24"/>
        </w:rPr>
        <w:t>C.Co</w:t>
      </w:r>
      <w:proofErr w:type="spellEnd"/>
      <w:r w:rsidR="00E94A7D" w:rsidRPr="007A177A">
        <w:rPr>
          <w:rFonts w:cs="Arial"/>
          <w:sz w:val="24"/>
          <w:szCs w:val="24"/>
        </w:rPr>
        <w:t>.</w:t>
      </w:r>
      <w:r w:rsidR="003E4E1C" w:rsidRPr="007A177A">
        <w:rPr>
          <w:rFonts w:cs="Arial"/>
          <w:sz w:val="24"/>
          <w:szCs w:val="24"/>
        </w:rPr>
        <w:t>,</w:t>
      </w:r>
      <w:r w:rsidR="00E94A7D" w:rsidRPr="007A177A">
        <w:rPr>
          <w:rFonts w:cs="Arial"/>
          <w:sz w:val="24"/>
          <w:szCs w:val="24"/>
        </w:rPr>
        <w:t xml:space="preserve"> </w:t>
      </w:r>
      <w:r w:rsidR="00D43C32" w:rsidRPr="007A177A">
        <w:rPr>
          <w:rFonts w:cs="Arial"/>
          <w:sz w:val="24"/>
          <w:szCs w:val="24"/>
        </w:rPr>
        <w:t xml:space="preserve">por tratarse de un </w:t>
      </w:r>
      <w:r w:rsidR="00E94A7D" w:rsidRPr="007A177A">
        <w:rPr>
          <w:rFonts w:cs="Arial"/>
          <w:sz w:val="24"/>
          <w:szCs w:val="24"/>
        </w:rPr>
        <w:t>contrato que se rigi</w:t>
      </w:r>
      <w:r w:rsidR="00D43C32" w:rsidRPr="007A177A">
        <w:rPr>
          <w:rFonts w:cs="Arial"/>
          <w:sz w:val="24"/>
          <w:szCs w:val="24"/>
        </w:rPr>
        <w:t>ó</w:t>
      </w:r>
      <w:r w:rsidR="00E94A7D" w:rsidRPr="007A177A">
        <w:rPr>
          <w:rFonts w:cs="Arial"/>
          <w:sz w:val="24"/>
          <w:szCs w:val="24"/>
        </w:rPr>
        <w:t xml:space="preserve"> por el Decreto</w:t>
      </w:r>
      <w:r w:rsidR="003E4E1C" w:rsidRPr="007A177A">
        <w:rPr>
          <w:rFonts w:cs="Arial"/>
          <w:sz w:val="24"/>
          <w:szCs w:val="24"/>
        </w:rPr>
        <w:t>-ley</w:t>
      </w:r>
      <w:r w:rsidR="00E94A7D" w:rsidRPr="007A177A">
        <w:rPr>
          <w:rFonts w:cs="Arial"/>
          <w:sz w:val="24"/>
          <w:szCs w:val="24"/>
        </w:rPr>
        <w:t xml:space="preserve"> 150 de 1976.  </w:t>
      </w:r>
    </w:p>
    <w:p w14:paraId="4C528BAD" w14:textId="77777777" w:rsidR="00937F5A" w:rsidRPr="007A177A" w:rsidRDefault="00937F5A" w:rsidP="00BF333B">
      <w:pPr>
        <w:pStyle w:val="Textoindependiente"/>
        <w:widowControl w:val="0"/>
        <w:spacing w:line="360" w:lineRule="auto"/>
        <w:ind w:right="-1"/>
        <w:jc w:val="both"/>
        <w:rPr>
          <w:rFonts w:cs="Arial"/>
          <w:sz w:val="24"/>
          <w:szCs w:val="24"/>
        </w:rPr>
      </w:pPr>
    </w:p>
    <w:p w14:paraId="15C54EAE" w14:textId="77777777" w:rsidR="009D0E50" w:rsidRPr="007A177A" w:rsidRDefault="00D0439B" w:rsidP="00BF333B">
      <w:pPr>
        <w:pStyle w:val="Lista"/>
        <w:spacing w:line="360" w:lineRule="auto"/>
        <w:jc w:val="both"/>
        <w:rPr>
          <w:b/>
          <w:sz w:val="24"/>
          <w:szCs w:val="24"/>
        </w:rPr>
      </w:pPr>
      <w:r w:rsidRPr="007A177A">
        <w:rPr>
          <w:b/>
          <w:sz w:val="24"/>
          <w:szCs w:val="24"/>
        </w:rPr>
        <w:t>8</w:t>
      </w:r>
      <w:r w:rsidR="009D0E50" w:rsidRPr="007A177A">
        <w:rPr>
          <w:b/>
          <w:sz w:val="24"/>
          <w:szCs w:val="24"/>
        </w:rPr>
        <w:t>.</w:t>
      </w:r>
      <w:r w:rsidR="009D0E50" w:rsidRPr="007A177A">
        <w:rPr>
          <w:b/>
          <w:sz w:val="24"/>
          <w:szCs w:val="24"/>
        </w:rPr>
        <w:tab/>
        <w:t>Las pruebas aportadas al proceso</w:t>
      </w:r>
    </w:p>
    <w:p w14:paraId="4D683317" w14:textId="77777777" w:rsidR="009D0E50" w:rsidRPr="007A177A" w:rsidRDefault="009D0E50" w:rsidP="00BF333B">
      <w:pPr>
        <w:widowControl w:val="0"/>
        <w:spacing w:line="360" w:lineRule="auto"/>
        <w:jc w:val="both"/>
        <w:rPr>
          <w:rFonts w:ascii="Arial" w:hAnsi="Arial" w:cs="Arial"/>
          <w:lang w:val="es-ES_tradnl"/>
        </w:rPr>
      </w:pPr>
    </w:p>
    <w:p w14:paraId="317CD6F1" w14:textId="77777777" w:rsidR="009D0E50" w:rsidRPr="007A177A" w:rsidRDefault="009D0E50" w:rsidP="00BF333B">
      <w:pPr>
        <w:widowControl w:val="0"/>
        <w:spacing w:line="360" w:lineRule="auto"/>
        <w:jc w:val="both"/>
        <w:rPr>
          <w:rFonts w:ascii="Arial" w:hAnsi="Arial" w:cs="Arial"/>
        </w:rPr>
      </w:pPr>
      <w:r w:rsidRPr="007A177A">
        <w:rPr>
          <w:rFonts w:ascii="Arial" w:hAnsi="Arial" w:cs="Arial"/>
          <w:lang w:val="es-ES_tradnl"/>
        </w:rPr>
        <w:t xml:space="preserve">En su gran mayoría los documentos que obran en el expediente se aportaron en </w:t>
      </w:r>
      <w:r w:rsidRPr="007A177A">
        <w:rPr>
          <w:rFonts w:ascii="Arial" w:hAnsi="Arial" w:cs="Arial"/>
          <w:lang w:val="es-ES_tradnl"/>
        </w:rPr>
        <w:lastRenderedPageBreak/>
        <w:t xml:space="preserve">copias simples remitidas por </w:t>
      </w:r>
      <w:r w:rsidR="00DD0B67" w:rsidRPr="007A177A">
        <w:rPr>
          <w:rFonts w:ascii="Arial" w:hAnsi="Arial" w:cs="Arial"/>
          <w:lang w:val="es-ES_tradnl"/>
        </w:rPr>
        <w:t xml:space="preserve">el </w:t>
      </w:r>
      <w:proofErr w:type="spellStart"/>
      <w:r w:rsidR="00DD0B67" w:rsidRPr="007A177A">
        <w:rPr>
          <w:rFonts w:ascii="Arial" w:hAnsi="Arial" w:cs="Arial"/>
          <w:lang w:val="es-ES_tradnl"/>
        </w:rPr>
        <w:t>Invías</w:t>
      </w:r>
      <w:proofErr w:type="spellEnd"/>
      <w:r w:rsidRPr="007A177A">
        <w:rPr>
          <w:rFonts w:ascii="Arial" w:hAnsi="Arial" w:cs="Arial"/>
          <w:lang w:val="es-ES_tradnl"/>
        </w:rPr>
        <w:t>, las cuales se tienen como pruebas válidas en los términos de los artículos 252 y 254 del Código de Procedimiento Civil</w:t>
      </w:r>
      <w:r w:rsidRPr="007A177A">
        <w:rPr>
          <w:rStyle w:val="Refdenotaalpie"/>
          <w:rFonts w:ascii="Arial" w:hAnsi="Arial" w:cs="Arial"/>
          <w:lang w:val="es-ES_tradnl"/>
        </w:rPr>
        <w:footnoteReference w:id="77"/>
      </w:r>
      <w:r w:rsidRPr="007A177A">
        <w:rPr>
          <w:rFonts w:ascii="Arial" w:hAnsi="Arial" w:cs="Arial"/>
          <w:lang w:val="es-ES_tradnl"/>
        </w:rPr>
        <w:t xml:space="preserve">, de conformidad con </w:t>
      </w:r>
      <w:r w:rsidRPr="007A177A">
        <w:rPr>
          <w:rFonts w:ascii="Arial" w:hAnsi="Arial" w:cs="Arial"/>
        </w:rPr>
        <w:t>la Sentencia de Unificación proferida por la Sección Tercera del Consejo de Estado el 28 de agosto de 2013</w:t>
      </w:r>
      <w:r w:rsidRPr="007A177A">
        <w:rPr>
          <w:rStyle w:val="Refdenotaalpie"/>
          <w:rFonts w:ascii="Arial" w:hAnsi="Arial" w:cs="Arial"/>
        </w:rPr>
        <w:footnoteReference w:id="78"/>
      </w:r>
      <w:r w:rsidRPr="007A177A">
        <w:rPr>
          <w:rFonts w:ascii="Arial" w:hAnsi="Arial" w:cs="Arial"/>
        </w:rPr>
        <w:t xml:space="preserve">. </w:t>
      </w:r>
    </w:p>
    <w:p w14:paraId="61BA15B7" w14:textId="77777777" w:rsidR="009D0E50" w:rsidRPr="007A177A" w:rsidRDefault="009D0E50" w:rsidP="00BF333B">
      <w:pPr>
        <w:widowControl w:val="0"/>
        <w:spacing w:line="360" w:lineRule="auto"/>
        <w:jc w:val="both"/>
        <w:rPr>
          <w:rFonts w:ascii="Arial" w:hAnsi="Arial" w:cs="Arial"/>
          <w:lang w:val="es-ES_tradnl"/>
        </w:rPr>
      </w:pPr>
    </w:p>
    <w:p w14:paraId="3ADFE91E" w14:textId="77777777" w:rsidR="009336BE" w:rsidRPr="007A177A" w:rsidRDefault="009D0E50" w:rsidP="00BF333B">
      <w:pPr>
        <w:widowControl w:val="0"/>
        <w:spacing w:line="360" w:lineRule="auto"/>
        <w:jc w:val="both"/>
        <w:rPr>
          <w:rFonts w:ascii="Arial" w:hAnsi="Arial" w:cs="Arial"/>
          <w:lang w:val="es-ES_tradnl"/>
        </w:rPr>
      </w:pPr>
      <w:r w:rsidRPr="007A177A">
        <w:rPr>
          <w:rFonts w:ascii="Arial" w:hAnsi="Arial" w:cs="Arial"/>
          <w:lang w:val="es-ES_tradnl"/>
        </w:rPr>
        <w:t>A continuación</w:t>
      </w:r>
      <w:r w:rsidR="00D53701" w:rsidRPr="007A177A">
        <w:rPr>
          <w:rFonts w:ascii="Arial" w:hAnsi="Arial" w:cs="Arial"/>
          <w:lang w:val="es-ES_tradnl"/>
        </w:rPr>
        <w:t>,</w:t>
      </w:r>
      <w:r w:rsidRPr="007A177A">
        <w:rPr>
          <w:rFonts w:ascii="Arial" w:hAnsi="Arial" w:cs="Arial"/>
          <w:lang w:val="es-ES_tradnl"/>
        </w:rPr>
        <w:t xml:space="preserve"> se relacionan las pruebas documentales </w:t>
      </w:r>
      <w:r w:rsidR="004901F8" w:rsidRPr="007A177A">
        <w:rPr>
          <w:rFonts w:ascii="Arial" w:hAnsi="Arial" w:cs="Arial"/>
          <w:lang w:val="es-ES_tradnl"/>
        </w:rPr>
        <w:t xml:space="preserve">acerca del </w:t>
      </w:r>
      <w:r w:rsidR="004532C9" w:rsidRPr="007A177A">
        <w:rPr>
          <w:rFonts w:ascii="Arial" w:hAnsi="Arial" w:cs="Arial"/>
          <w:lang w:val="es-ES_tradnl"/>
        </w:rPr>
        <w:t>C</w:t>
      </w:r>
      <w:r w:rsidR="004901F8" w:rsidRPr="007A177A">
        <w:rPr>
          <w:rFonts w:ascii="Arial" w:hAnsi="Arial" w:cs="Arial"/>
          <w:lang w:val="es-ES_tradnl"/>
        </w:rPr>
        <w:t xml:space="preserve">ontrato </w:t>
      </w:r>
      <w:r w:rsidR="004532C9" w:rsidRPr="007A177A">
        <w:rPr>
          <w:rFonts w:ascii="Arial" w:hAnsi="Arial" w:cs="Arial"/>
          <w:lang w:val="es-ES_tradnl"/>
        </w:rPr>
        <w:t xml:space="preserve">No. </w:t>
      </w:r>
      <w:r w:rsidR="007C38C6" w:rsidRPr="007A177A">
        <w:rPr>
          <w:rFonts w:ascii="Arial" w:hAnsi="Arial" w:cs="Arial"/>
          <w:lang w:val="es-ES_tradnl"/>
        </w:rPr>
        <w:t>358-76</w:t>
      </w:r>
      <w:r w:rsidR="00641FE0" w:rsidRPr="007A177A">
        <w:rPr>
          <w:rFonts w:ascii="Arial" w:hAnsi="Arial" w:cs="Arial"/>
          <w:lang w:val="es-ES_tradnl"/>
        </w:rPr>
        <w:t xml:space="preserve">, advirtiendo desde ahora </w:t>
      </w:r>
      <w:r w:rsidR="004901F8" w:rsidRPr="007A177A">
        <w:rPr>
          <w:rFonts w:ascii="Arial" w:hAnsi="Arial" w:cs="Arial"/>
          <w:lang w:val="es-ES_tradnl"/>
        </w:rPr>
        <w:t xml:space="preserve">que permiten observar que </w:t>
      </w:r>
      <w:r w:rsidR="00641FE0" w:rsidRPr="007A177A">
        <w:rPr>
          <w:rFonts w:ascii="Arial" w:hAnsi="Arial" w:cs="Arial"/>
          <w:lang w:val="es-ES_tradnl"/>
        </w:rPr>
        <w:t xml:space="preserve">dicho contrato se </w:t>
      </w:r>
      <w:r w:rsidR="00093C27" w:rsidRPr="007A177A">
        <w:rPr>
          <w:rFonts w:ascii="Arial" w:hAnsi="Arial" w:cs="Arial"/>
          <w:lang w:val="es-ES_tradnl"/>
        </w:rPr>
        <w:t xml:space="preserve">celebró bajo el sistema de precios unitarios por cantidades variables y contó con un </w:t>
      </w:r>
      <w:r w:rsidR="009336BE" w:rsidRPr="007A177A">
        <w:rPr>
          <w:rFonts w:ascii="Arial" w:hAnsi="Arial" w:cs="Arial"/>
          <w:lang w:val="es-ES_tradnl"/>
        </w:rPr>
        <w:t xml:space="preserve">mecanismo </w:t>
      </w:r>
      <w:r w:rsidR="00093C27" w:rsidRPr="007A177A">
        <w:rPr>
          <w:rFonts w:ascii="Arial" w:hAnsi="Arial" w:cs="Arial"/>
          <w:lang w:val="es-ES_tradnl"/>
        </w:rPr>
        <w:t xml:space="preserve">de ajuste de </w:t>
      </w:r>
      <w:r w:rsidR="00A763F1" w:rsidRPr="007A177A">
        <w:rPr>
          <w:rFonts w:ascii="Arial" w:hAnsi="Arial" w:cs="Arial"/>
          <w:lang w:val="es-ES_tradnl"/>
        </w:rPr>
        <w:t>dichos precios</w:t>
      </w:r>
      <w:r w:rsidR="00641FE0" w:rsidRPr="007A177A">
        <w:rPr>
          <w:rFonts w:ascii="Arial" w:hAnsi="Arial" w:cs="Arial"/>
          <w:lang w:val="es-ES_tradnl"/>
        </w:rPr>
        <w:t xml:space="preserve"> con base en una fórmula definida en el contrato, </w:t>
      </w:r>
      <w:r w:rsidR="009336BE" w:rsidRPr="007A177A">
        <w:rPr>
          <w:rFonts w:ascii="Arial" w:hAnsi="Arial" w:cs="Arial"/>
          <w:lang w:val="es-ES_tradnl"/>
        </w:rPr>
        <w:t xml:space="preserve">cuya </w:t>
      </w:r>
      <w:r w:rsidR="000E7EFC" w:rsidRPr="007A177A">
        <w:rPr>
          <w:rFonts w:ascii="Arial" w:hAnsi="Arial" w:cs="Arial"/>
          <w:lang w:val="es-ES_tradnl"/>
        </w:rPr>
        <w:t>observancia</w:t>
      </w:r>
      <w:r w:rsidR="009336BE" w:rsidRPr="007A177A">
        <w:rPr>
          <w:rFonts w:ascii="Arial" w:hAnsi="Arial" w:cs="Arial"/>
          <w:lang w:val="es-ES_tradnl"/>
        </w:rPr>
        <w:t xml:space="preserve">  </w:t>
      </w:r>
      <w:r w:rsidR="00E64FF7" w:rsidRPr="007A177A">
        <w:rPr>
          <w:rFonts w:ascii="Arial" w:hAnsi="Arial" w:cs="Arial"/>
          <w:lang w:val="es-ES_tradnl"/>
        </w:rPr>
        <w:t>-</w:t>
      </w:r>
      <w:r w:rsidR="009336BE" w:rsidRPr="007A177A">
        <w:rPr>
          <w:rFonts w:ascii="Arial" w:hAnsi="Arial" w:cs="Arial"/>
          <w:i/>
          <w:lang w:val="es-ES_tradnl"/>
        </w:rPr>
        <w:t>a diferencia de lo que afirmó la apoderada de la</w:t>
      </w:r>
      <w:r w:rsidR="00E50363" w:rsidRPr="007A177A">
        <w:rPr>
          <w:rFonts w:ascii="Arial" w:hAnsi="Arial" w:cs="Arial"/>
          <w:i/>
          <w:lang w:val="es-ES_tradnl"/>
        </w:rPr>
        <w:t>s</w:t>
      </w:r>
      <w:r w:rsidR="009336BE" w:rsidRPr="007A177A">
        <w:rPr>
          <w:rFonts w:ascii="Arial" w:hAnsi="Arial" w:cs="Arial"/>
          <w:i/>
          <w:lang w:val="es-ES_tradnl"/>
        </w:rPr>
        <w:t xml:space="preserve"> demandante</w:t>
      </w:r>
      <w:r w:rsidR="00E50363" w:rsidRPr="007A177A">
        <w:rPr>
          <w:rFonts w:ascii="Arial" w:hAnsi="Arial" w:cs="Arial"/>
          <w:i/>
          <w:lang w:val="es-ES_tradnl"/>
        </w:rPr>
        <w:t>s</w:t>
      </w:r>
      <w:r w:rsidR="009336BE" w:rsidRPr="007A177A">
        <w:rPr>
          <w:rFonts w:ascii="Arial" w:hAnsi="Arial" w:cs="Arial"/>
          <w:i/>
          <w:lang w:val="es-ES_tradnl"/>
        </w:rPr>
        <w:t xml:space="preserve"> en sus alegatos</w:t>
      </w:r>
      <w:r w:rsidR="009336BE" w:rsidRPr="007A177A">
        <w:rPr>
          <w:rFonts w:ascii="Arial" w:hAnsi="Arial" w:cs="Arial"/>
          <w:lang w:val="es-ES_tradnl"/>
        </w:rPr>
        <w:t xml:space="preserve">- se </w:t>
      </w:r>
      <w:r w:rsidR="000E7EFC" w:rsidRPr="007A177A">
        <w:rPr>
          <w:rFonts w:ascii="Arial" w:hAnsi="Arial" w:cs="Arial"/>
          <w:lang w:val="es-ES_tradnl"/>
        </w:rPr>
        <w:t xml:space="preserve">tuvo en cuenta </w:t>
      </w:r>
      <w:r w:rsidR="009336BE" w:rsidRPr="007A177A">
        <w:rPr>
          <w:rFonts w:ascii="Arial" w:hAnsi="Arial" w:cs="Arial"/>
          <w:lang w:val="es-ES_tradnl"/>
        </w:rPr>
        <w:t>en todas las actas de obra, según la documentación allegada al proceso</w:t>
      </w:r>
      <w:r w:rsidR="009336BE" w:rsidRPr="007A177A">
        <w:rPr>
          <w:rStyle w:val="Refdenotaalpie"/>
          <w:rFonts w:ascii="Arial" w:hAnsi="Arial" w:cs="Arial"/>
          <w:lang w:val="es-ES_tradnl"/>
        </w:rPr>
        <w:footnoteReference w:id="79"/>
      </w:r>
      <w:r w:rsidR="009336BE" w:rsidRPr="007A177A">
        <w:rPr>
          <w:rFonts w:ascii="Arial" w:hAnsi="Arial" w:cs="Arial"/>
          <w:lang w:val="es-ES_tradnl"/>
        </w:rPr>
        <w:t>.</w:t>
      </w:r>
    </w:p>
    <w:p w14:paraId="6430A3A1" w14:textId="77777777" w:rsidR="00A763F1" w:rsidRPr="007A177A" w:rsidRDefault="00A763F1" w:rsidP="00BF333B">
      <w:pPr>
        <w:pStyle w:val="Sangradetextonormal"/>
        <w:spacing w:line="360" w:lineRule="auto"/>
        <w:jc w:val="both"/>
        <w:rPr>
          <w:rFonts w:cs="Arial"/>
          <w:b/>
          <w:szCs w:val="24"/>
          <w:lang w:val="es-CO" w:eastAsia="ar-SA"/>
        </w:rPr>
      </w:pPr>
    </w:p>
    <w:p w14:paraId="39025512" w14:textId="77777777" w:rsidR="007C38C6" w:rsidRPr="007A177A" w:rsidRDefault="007C38C6" w:rsidP="00BF333B">
      <w:pPr>
        <w:pStyle w:val="Sangradetextonormal"/>
        <w:spacing w:line="360" w:lineRule="auto"/>
        <w:jc w:val="both"/>
        <w:rPr>
          <w:rFonts w:cs="Arial"/>
          <w:bCs/>
          <w:szCs w:val="24"/>
          <w:lang w:val="es-CO" w:eastAsia="ar-SA"/>
        </w:rPr>
      </w:pPr>
      <w:r w:rsidRPr="007A177A">
        <w:rPr>
          <w:rFonts w:cs="Arial"/>
          <w:bCs/>
          <w:szCs w:val="24"/>
          <w:lang w:val="es-CO" w:eastAsia="ar-SA"/>
        </w:rPr>
        <w:t>Sobre las cantidades variables, debe advertirse que se trataba de un mecanismo con topes controlados</w:t>
      </w:r>
      <w:r w:rsidR="004532C9" w:rsidRPr="007A177A">
        <w:rPr>
          <w:rFonts w:cs="Arial"/>
          <w:bCs/>
          <w:szCs w:val="24"/>
          <w:lang w:val="es-CO" w:eastAsia="ar-SA"/>
        </w:rPr>
        <w:t xml:space="preserve"> por la interventoría y que -</w:t>
      </w:r>
      <w:r w:rsidR="004532C9" w:rsidRPr="007A177A">
        <w:rPr>
          <w:rFonts w:cs="Arial"/>
          <w:bCs/>
          <w:i/>
          <w:szCs w:val="24"/>
          <w:lang w:val="es-CO" w:eastAsia="ar-SA"/>
        </w:rPr>
        <w:t>según se acreditó en este proceso</w:t>
      </w:r>
      <w:r w:rsidR="004532C9" w:rsidRPr="007A177A">
        <w:rPr>
          <w:rFonts w:cs="Arial"/>
          <w:bCs/>
          <w:szCs w:val="24"/>
          <w:lang w:val="es-CO" w:eastAsia="ar-SA"/>
        </w:rPr>
        <w:t xml:space="preserve">- </w:t>
      </w:r>
      <w:r w:rsidR="00A57C2C" w:rsidRPr="007A177A">
        <w:rPr>
          <w:rFonts w:cs="Arial"/>
          <w:bCs/>
          <w:szCs w:val="24"/>
          <w:lang w:val="es-CO" w:eastAsia="ar-SA"/>
        </w:rPr>
        <w:t xml:space="preserve">a </w:t>
      </w:r>
      <w:r w:rsidR="004532C9" w:rsidRPr="007A177A">
        <w:rPr>
          <w:rFonts w:cs="Arial"/>
          <w:bCs/>
          <w:szCs w:val="24"/>
          <w:lang w:val="es-CO" w:eastAsia="ar-SA"/>
        </w:rPr>
        <w:t>partir de la</w:t>
      </w:r>
      <w:r w:rsidR="00A57C2C" w:rsidRPr="007A177A">
        <w:rPr>
          <w:rFonts w:cs="Arial"/>
          <w:bCs/>
          <w:szCs w:val="24"/>
          <w:lang w:val="es-CO" w:eastAsia="ar-SA"/>
        </w:rPr>
        <w:t xml:space="preserve"> entrada en vigencia de la</w:t>
      </w:r>
      <w:r w:rsidR="004532C9" w:rsidRPr="007A177A">
        <w:rPr>
          <w:rFonts w:cs="Arial"/>
          <w:bCs/>
          <w:szCs w:val="24"/>
          <w:lang w:val="es-CO" w:eastAsia="ar-SA"/>
        </w:rPr>
        <w:t xml:space="preserve"> Resolución 547 de 24 de enero de 1980</w:t>
      </w:r>
      <w:r w:rsidR="00A57C2C" w:rsidRPr="007A177A">
        <w:rPr>
          <w:rFonts w:cs="Arial"/>
          <w:bCs/>
          <w:szCs w:val="24"/>
          <w:lang w:val="es-CO" w:eastAsia="ar-SA"/>
        </w:rPr>
        <w:t>,</w:t>
      </w:r>
      <w:r w:rsidR="004532C9" w:rsidRPr="007A177A">
        <w:rPr>
          <w:rFonts w:cs="Arial"/>
          <w:bCs/>
          <w:szCs w:val="24"/>
          <w:lang w:val="es-CO" w:eastAsia="ar-SA"/>
        </w:rPr>
        <w:t xml:space="preserve"> expedida por el Ministerio de Obras Públicas y Transporte, se dispuso que los precios unitarios debían ser revisado</w:t>
      </w:r>
      <w:r w:rsidR="00641FE0" w:rsidRPr="007A177A">
        <w:rPr>
          <w:rFonts w:cs="Arial"/>
          <w:bCs/>
          <w:szCs w:val="24"/>
          <w:lang w:val="es-CO" w:eastAsia="ar-SA"/>
        </w:rPr>
        <w:t>s</w:t>
      </w:r>
      <w:r w:rsidR="004532C9" w:rsidRPr="007A177A">
        <w:rPr>
          <w:rFonts w:cs="Arial"/>
          <w:bCs/>
          <w:szCs w:val="24"/>
          <w:lang w:val="es-CO" w:eastAsia="ar-SA"/>
        </w:rPr>
        <w:t xml:space="preserve"> </w:t>
      </w:r>
      <w:r w:rsidRPr="007A177A">
        <w:rPr>
          <w:rFonts w:cs="Arial"/>
          <w:bCs/>
          <w:szCs w:val="24"/>
          <w:lang w:val="es-CO" w:eastAsia="ar-SA"/>
        </w:rPr>
        <w:t xml:space="preserve">para ejecutar cantidades superiores al 125% de las </w:t>
      </w:r>
      <w:r w:rsidR="00641FE0" w:rsidRPr="007A177A">
        <w:rPr>
          <w:rFonts w:cs="Arial"/>
          <w:bCs/>
          <w:szCs w:val="24"/>
          <w:lang w:val="es-CO" w:eastAsia="ar-SA"/>
        </w:rPr>
        <w:t xml:space="preserve">fijadas en </w:t>
      </w:r>
      <w:r w:rsidRPr="007A177A">
        <w:rPr>
          <w:rFonts w:cs="Arial"/>
          <w:bCs/>
          <w:szCs w:val="24"/>
          <w:lang w:val="es-CO" w:eastAsia="ar-SA"/>
        </w:rPr>
        <w:t>el presupuesto oficial</w:t>
      </w:r>
      <w:r w:rsidR="00641FE0" w:rsidRPr="007A177A">
        <w:rPr>
          <w:rFonts w:cs="Arial"/>
          <w:bCs/>
          <w:szCs w:val="24"/>
          <w:lang w:val="es-CO" w:eastAsia="ar-SA"/>
        </w:rPr>
        <w:t xml:space="preserve">, caso en el cual </w:t>
      </w:r>
      <w:r w:rsidRPr="007A177A">
        <w:rPr>
          <w:rFonts w:cs="Arial"/>
          <w:bCs/>
          <w:szCs w:val="24"/>
          <w:lang w:val="es-CO" w:eastAsia="ar-SA"/>
        </w:rPr>
        <w:t xml:space="preserve">se requería la aprobación previa del </w:t>
      </w:r>
      <w:r w:rsidR="00A57C2C" w:rsidRPr="007A177A">
        <w:rPr>
          <w:rFonts w:cs="Arial"/>
          <w:bCs/>
          <w:szCs w:val="24"/>
          <w:lang w:val="es-CO" w:eastAsia="ar-SA"/>
        </w:rPr>
        <w:t>c</w:t>
      </w:r>
      <w:r w:rsidRPr="007A177A">
        <w:rPr>
          <w:rFonts w:cs="Arial"/>
          <w:bCs/>
          <w:szCs w:val="24"/>
          <w:lang w:val="es-CO" w:eastAsia="ar-SA"/>
        </w:rPr>
        <w:t xml:space="preserve">omité de </w:t>
      </w:r>
      <w:r w:rsidR="00A57C2C" w:rsidRPr="007A177A">
        <w:rPr>
          <w:rFonts w:cs="Arial"/>
          <w:bCs/>
          <w:szCs w:val="24"/>
          <w:lang w:val="es-CO" w:eastAsia="ar-SA"/>
        </w:rPr>
        <w:t>p</w:t>
      </w:r>
      <w:r w:rsidRPr="007A177A">
        <w:rPr>
          <w:rFonts w:cs="Arial"/>
          <w:bCs/>
          <w:szCs w:val="24"/>
          <w:lang w:val="es-CO" w:eastAsia="ar-SA"/>
        </w:rPr>
        <w:t>recios, l</w:t>
      </w:r>
      <w:r w:rsidR="004532C9" w:rsidRPr="007A177A">
        <w:rPr>
          <w:rFonts w:cs="Arial"/>
          <w:bCs/>
          <w:szCs w:val="24"/>
          <w:lang w:val="es-CO" w:eastAsia="ar-SA"/>
        </w:rPr>
        <w:t xml:space="preserve">o cual se </w:t>
      </w:r>
      <w:r w:rsidR="00641FE0" w:rsidRPr="007A177A">
        <w:rPr>
          <w:rFonts w:cs="Arial"/>
          <w:bCs/>
          <w:szCs w:val="24"/>
          <w:lang w:val="es-CO" w:eastAsia="ar-SA"/>
        </w:rPr>
        <w:t xml:space="preserve">aplicó </w:t>
      </w:r>
      <w:r w:rsidR="004532C9" w:rsidRPr="007A177A">
        <w:rPr>
          <w:rFonts w:cs="Arial"/>
          <w:bCs/>
          <w:szCs w:val="24"/>
          <w:lang w:val="es-CO" w:eastAsia="ar-SA"/>
        </w:rPr>
        <w:t>en el Contrato No. 358-76</w:t>
      </w:r>
      <w:r w:rsidR="00A57C2C" w:rsidRPr="007A177A">
        <w:rPr>
          <w:rFonts w:cs="Arial"/>
          <w:bCs/>
          <w:szCs w:val="24"/>
          <w:lang w:val="es-CO" w:eastAsia="ar-SA"/>
        </w:rPr>
        <w:t>,</w:t>
      </w:r>
      <w:r w:rsidRPr="007A177A">
        <w:rPr>
          <w:rFonts w:cs="Arial"/>
          <w:bCs/>
          <w:szCs w:val="24"/>
          <w:lang w:val="es-CO" w:eastAsia="ar-SA"/>
        </w:rPr>
        <w:t xml:space="preserve"> como se observar</w:t>
      </w:r>
      <w:r w:rsidR="00641FE0" w:rsidRPr="007A177A">
        <w:rPr>
          <w:rFonts w:cs="Arial"/>
          <w:bCs/>
          <w:szCs w:val="24"/>
          <w:lang w:val="es-CO" w:eastAsia="ar-SA"/>
        </w:rPr>
        <w:t>á</w:t>
      </w:r>
      <w:r w:rsidRPr="007A177A">
        <w:rPr>
          <w:rFonts w:cs="Arial"/>
          <w:bCs/>
          <w:szCs w:val="24"/>
          <w:lang w:val="es-CO" w:eastAsia="ar-SA"/>
        </w:rPr>
        <w:t xml:space="preserve"> en el recuento de las pruebas.</w:t>
      </w:r>
    </w:p>
    <w:p w14:paraId="29865780" w14:textId="77777777" w:rsidR="007C38C6" w:rsidRPr="007A177A" w:rsidRDefault="007C38C6" w:rsidP="00BF333B">
      <w:pPr>
        <w:pStyle w:val="Sangradetextonormal"/>
        <w:spacing w:line="360" w:lineRule="auto"/>
        <w:jc w:val="both"/>
        <w:rPr>
          <w:rFonts w:cs="Arial"/>
          <w:bCs/>
          <w:szCs w:val="24"/>
          <w:lang w:val="es-CO" w:eastAsia="ar-SA"/>
        </w:rPr>
      </w:pPr>
    </w:p>
    <w:p w14:paraId="21D799AD" w14:textId="77777777" w:rsidR="00A763F1" w:rsidRPr="007A177A" w:rsidRDefault="007C38C6" w:rsidP="00BF333B">
      <w:pPr>
        <w:pStyle w:val="Sangradetextonormal"/>
        <w:spacing w:line="360" w:lineRule="auto"/>
        <w:jc w:val="both"/>
        <w:rPr>
          <w:rFonts w:cs="Arial"/>
          <w:szCs w:val="24"/>
          <w:lang w:val="es-CO" w:eastAsia="ar-SA"/>
        </w:rPr>
      </w:pPr>
      <w:r w:rsidRPr="007A177A">
        <w:rPr>
          <w:rFonts w:cs="Arial"/>
          <w:szCs w:val="24"/>
          <w:lang w:val="es-CO" w:eastAsia="ar-SA"/>
        </w:rPr>
        <w:t xml:space="preserve">Por ello, se destacan a continuación </w:t>
      </w:r>
      <w:r w:rsidR="00A763F1" w:rsidRPr="007A177A">
        <w:rPr>
          <w:rFonts w:cs="Arial"/>
          <w:szCs w:val="24"/>
          <w:lang w:val="es-CO" w:eastAsia="ar-SA"/>
        </w:rPr>
        <w:t xml:space="preserve">las pruebas que se relacionan </w:t>
      </w:r>
      <w:r w:rsidRPr="007A177A">
        <w:rPr>
          <w:rFonts w:cs="Arial"/>
          <w:szCs w:val="24"/>
          <w:lang w:val="es-CO" w:eastAsia="ar-SA"/>
        </w:rPr>
        <w:t>con las adiciones al contrato y las</w:t>
      </w:r>
      <w:r w:rsidR="00CC5775" w:rsidRPr="007A177A">
        <w:rPr>
          <w:rFonts w:cs="Arial"/>
          <w:szCs w:val="24"/>
          <w:lang w:val="es-CO" w:eastAsia="ar-SA"/>
        </w:rPr>
        <w:t xml:space="preserve"> </w:t>
      </w:r>
      <w:r w:rsidR="00A763F1" w:rsidRPr="007A177A">
        <w:rPr>
          <w:rFonts w:cs="Arial"/>
          <w:szCs w:val="24"/>
          <w:lang w:val="es-CO" w:eastAsia="ar-SA"/>
        </w:rPr>
        <w:t>variaciones de cantidades y precios aprobad</w:t>
      </w:r>
      <w:r w:rsidR="00CC5775" w:rsidRPr="007A177A">
        <w:rPr>
          <w:rFonts w:cs="Arial"/>
          <w:szCs w:val="24"/>
          <w:lang w:val="es-CO" w:eastAsia="ar-SA"/>
        </w:rPr>
        <w:t>o</w:t>
      </w:r>
      <w:r w:rsidR="00A763F1" w:rsidRPr="007A177A">
        <w:rPr>
          <w:rFonts w:cs="Arial"/>
          <w:szCs w:val="24"/>
          <w:lang w:val="es-CO" w:eastAsia="ar-SA"/>
        </w:rPr>
        <w:t xml:space="preserve">s por el </w:t>
      </w:r>
      <w:r w:rsidR="00A57C2C" w:rsidRPr="007A177A">
        <w:rPr>
          <w:rFonts w:cs="Arial"/>
          <w:szCs w:val="24"/>
          <w:lang w:val="es-CO" w:eastAsia="ar-SA"/>
        </w:rPr>
        <w:t>c</w:t>
      </w:r>
      <w:r w:rsidR="00A763F1" w:rsidRPr="007A177A">
        <w:rPr>
          <w:rFonts w:cs="Arial"/>
          <w:szCs w:val="24"/>
          <w:lang w:val="es-CO" w:eastAsia="ar-SA"/>
        </w:rPr>
        <w:t xml:space="preserve">omité de </w:t>
      </w:r>
      <w:r w:rsidR="00A57C2C" w:rsidRPr="007A177A">
        <w:rPr>
          <w:rFonts w:cs="Arial"/>
          <w:szCs w:val="24"/>
          <w:lang w:val="es-CO" w:eastAsia="ar-SA"/>
        </w:rPr>
        <w:t>p</w:t>
      </w:r>
      <w:r w:rsidR="00A763F1" w:rsidRPr="007A177A">
        <w:rPr>
          <w:rFonts w:cs="Arial"/>
          <w:szCs w:val="24"/>
          <w:lang w:val="es-CO" w:eastAsia="ar-SA"/>
        </w:rPr>
        <w:t>recios que funcionaba en el Ministerio de Obras y Transporte para la época de los hechos</w:t>
      </w:r>
      <w:r w:rsidR="00E50363" w:rsidRPr="007A177A">
        <w:rPr>
          <w:rFonts w:cs="Arial"/>
          <w:szCs w:val="24"/>
          <w:lang w:val="es-CO" w:eastAsia="ar-SA"/>
        </w:rPr>
        <w:t xml:space="preserve">, </w:t>
      </w:r>
      <w:r w:rsidR="004532C9" w:rsidRPr="007A177A">
        <w:rPr>
          <w:rFonts w:cs="Arial"/>
          <w:szCs w:val="24"/>
          <w:lang w:val="es-CO" w:eastAsia="ar-SA"/>
        </w:rPr>
        <w:t xml:space="preserve">y la correspondencia relacionada con el trámite </w:t>
      </w:r>
      <w:r w:rsidR="008B6473" w:rsidRPr="007A177A">
        <w:rPr>
          <w:rFonts w:cs="Arial"/>
          <w:szCs w:val="24"/>
          <w:lang w:val="es-CO" w:eastAsia="ar-SA"/>
        </w:rPr>
        <w:t>respectivo</w:t>
      </w:r>
      <w:r w:rsidR="004532C9" w:rsidRPr="007A177A">
        <w:rPr>
          <w:rFonts w:cs="Arial"/>
          <w:szCs w:val="24"/>
          <w:lang w:val="es-CO" w:eastAsia="ar-SA"/>
        </w:rPr>
        <w:t xml:space="preserve">: </w:t>
      </w:r>
    </w:p>
    <w:p w14:paraId="672F42F5" w14:textId="77777777" w:rsidR="00C25B3C" w:rsidRPr="007A177A" w:rsidRDefault="00C25B3C" w:rsidP="00BF333B">
      <w:pPr>
        <w:pStyle w:val="Sangradetextonormal"/>
        <w:spacing w:line="360" w:lineRule="auto"/>
        <w:jc w:val="both"/>
        <w:rPr>
          <w:rFonts w:cs="Arial"/>
          <w:b/>
          <w:szCs w:val="24"/>
          <w:lang w:val="es-CO" w:eastAsia="ar-SA"/>
        </w:rPr>
      </w:pPr>
    </w:p>
    <w:p w14:paraId="1B28AB4A" w14:textId="77777777" w:rsidR="000244A3" w:rsidRPr="007A177A" w:rsidRDefault="00937F5A" w:rsidP="00BF333B">
      <w:pPr>
        <w:pStyle w:val="Sangradetextonormal"/>
        <w:spacing w:line="360" w:lineRule="auto"/>
        <w:jc w:val="both"/>
        <w:rPr>
          <w:rFonts w:cs="Arial"/>
          <w:b/>
          <w:szCs w:val="24"/>
          <w:lang w:val="es-CO" w:eastAsia="ar-SA"/>
        </w:rPr>
      </w:pPr>
      <w:r w:rsidRPr="007A177A">
        <w:rPr>
          <w:rFonts w:cs="Arial"/>
          <w:b/>
          <w:szCs w:val="24"/>
          <w:lang w:val="es-CO" w:eastAsia="ar-SA"/>
        </w:rPr>
        <w:t>8</w:t>
      </w:r>
      <w:r w:rsidR="000244A3" w:rsidRPr="007A177A">
        <w:rPr>
          <w:rFonts w:cs="Arial"/>
          <w:b/>
          <w:szCs w:val="24"/>
          <w:lang w:val="es-CO" w:eastAsia="ar-SA"/>
        </w:rPr>
        <w:t xml:space="preserve">.1. La propuesta presentada </w:t>
      </w:r>
    </w:p>
    <w:p w14:paraId="023FFA26" w14:textId="77777777" w:rsidR="00995362" w:rsidRPr="007A177A" w:rsidRDefault="00995362" w:rsidP="00BF333B">
      <w:pPr>
        <w:pStyle w:val="Sangradetextonormal"/>
        <w:spacing w:line="360" w:lineRule="auto"/>
        <w:jc w:val="both"/>
        <w:rPr>
          <w:rFonts w:cs="Arial"/>
          <w:szCs w:val="24"/>
          <w:lang w:val="es-CO" w:eastAsia="ar-SA"/>
        </w:rPr>
      </w:pPr>
    </w:p>
    <w:p w14:paraId="6B6C231F" w14:textId="77777777" w:rsidR="00097F36" w:rsidRPr="007A177A" w:rsidRDefault="00995362" w:rsidP="00BF333B">
      <w:pPr>
        <w:pStyle w:val="Sangradetextonormal"/>
        <w:spacing w:line="360" w:lineRule="auto"/>
        <w:jc w:val="both"/>
        <w:rPr>
          <w:rFonts w:cs="Arial"/>
          <w:szCs w:val="24"/>
          <w:lang w:val="es-CO" w:eastAsia="ar-SA"/>
        </w:rPr>
      </w:pPr>
      <w:r w:rsidRPr="007A177A">
        <w:rPr>
          <w:rFonts w:cs="Arial"/>
          <w:szCs w:val="24"/>
          <w:lang w:val="es-CO" w:eastAsia="ar-SA"/>
        </w:rPr>
        <w:t xml:space="preserve">Obra en el expediente la propuesta presentada por las demandantes, a la cual anexaron </w:t>
      </w:r>
      <w:r w:rsidR="00863177" w:rsidRPr="007A177A">
        <w:rPr>
          <w:rFonts w:cs="Arial"/>
          <w:szCs w:val="24"/>
          <w:lang w:val="es-CO" w:eastAsia="ar-SA"/>
        </w:rPr>
        <w:t xml:space="preserve">la </w:t>
      </w:r>
      <w:r w:rsidRPr="007A177A">
        <w:rPr>
          <w:rFonts w:cs="Arial"/>
          <w:szCs w:val="24"/>
          <w:lang w:val="es-CO" w:eastAsia="ar-SA"/>
        </w:rPr>
        <w:t xml:space="preserve">constancia de </w:t>
      </w:r>
      <w:r w:rsidR="00D43C32" w:rsidRPr="007A177A">
        <w:rPr>
          <w:rFonts w:cs="Arial"/>
          <w:szCs w:val="24"/>
          <w:lang w:val="es-CO" w:eastAsia="ar-SA"/>
        </w:rPr>
        <w:t xml:space="preserve">la </w:t>
      </w:r>
      <w:r w:rsidRPr="007A177A">
        <w:rPr>
          <w:rFonts w:cs="Arial"/>
          <w:szCs w:val="24"/>
          <w:lang w:val="es-CO" w:eastAsia="ar-SA"/>
        </w:rPr>
        <w:t>vis</w:t>
      </w:r>
      <w:r w:rsidR="00863177" w:rsidRPr="007A177A">
        <w:rPr>
          <w:rFonts w:cs="Arial"/>
          <w:szCs w:val="24"/>
          <w:lang w:val="es-CO" w:eastAsia="ar-SA"/>
        </w:rPr>
        <w:t>i</w:t>
      </w:r>
      <w:r w:rsidRPr="007A177A">
        <w:rPr>
          <w:rFonts w:cs="Arial"/>
          <w:szCs w:val="24"/>
          <w:lang w:val="es-CO" w:eastAsia="ar-SA"/>
        </w:rPr>
        <w:t xml:space="preserve">ta </w:t>
      </w:r>
      <w:r w:rsidR="00035BD4" w:rsidRPr="007A177A">
        <w:rPr>
          <w:rFonts w:cs="Arial"/>
          <w:szCs w:val="24"/>
          <w:lang w:val="es-CO" w:eastAsia="ar-SA"/>
        </w:rPr>
        <w:t>al</w:t>
      </w:r>
      <w:r w:rsidRPr="007A177A">
        <w:rPr>
          <w:rFonts w:cs="Arial"/>
          <w:szCs w:val="24"/>
          <w:lang w:val="es-CO" w:eastAsia="ar-SA"/>
        </w:rPr>
        <w:t xml:space="preserve"> lugar de las obras, </w:t>
      </w:r>
      <w:r w:rsidR="00863177" w:rsidRPr="007A177A">
        <w:rPr>
          <w:rFonts w:cs="Arial"/>
          <w:szCs w:val="24"/>
          <w:lang w:val="es-CO" w:eastAsia="ar-SA"/>
        </w:rPr>
        <w:t xml:space="preserve">la </w:t>
      </w:r>
      <w:r w:rsidRPr="007A177A">
        <w:rPr>
          <w:rFonts w:cs="Arial"/>
          <w:szCs w:val="24"/>
          <w:lang w:val="es-CO" w:eastAsia="ar-SA"/>
        </w:rPr>
        <w:t>relación de cantidades y precios</w:t>
      </w:r>
      <w:r w:rsidR="00CD1663" w:rsidRPr="007A177A">
        <w:rPr>
          <w:rFonts w:cs="Arial"/>
          <w:szCs w:val="24"/>
          <w:lang w:val="es-CO" w:eastAsia="ar-SA"/>
        </w:rPr>
        <w:t xml:space="preserve"> </w:t>
      </w:r>
      <w:r w:rsidR="00863177" w:rsidRPr="007A177A">
        <w:rPr>
          <w:rFonts w:cs="Arial"/>
          <w:szCs w:val="24"/>
          <w:lang w:val="es-CO" w:eastAsia="ar-SA"/>
        </w:rPr>
        <w:t xml:space="preserve">ofrecidos y la </w:t>
      </w:r>
      <w:r w:rsidR="00CD1663" w:rsidRPr="007A177A">
        <w:rPr>
          <w:rFonts w:cs="Arial"/>
          <w:szCs w:val="24"/>
          <w:lang w:val="es-CO" w:eastAsia="ar-SA"/>
        </w:rPr>
        <w:t>información sobre la organización de la prop</w:t>
      </w:r>
      <w:r w:rsidR="00863177" w:rsidRPr="007A177A">
        <w:rPr>
          <w:rFonts w:cs="Arial"/>
          <w:szCs w:val="24"/>
          <w:lang w:val="es-CO" w:eastAsia="ar-SA"/>
        </w:rPr>
        <w:t>onente</w:t>
      </w:r>
      <w:r w:rsidR="0087755C" w:rsidRPr="007A177A">
        <w:rPr>
          <w:rStyle w:val="Refdenotaalpie"/>
          <w:rFonts w:cs="Arial"/>
          <w:szCs w:val="24"/>
          <w:lang w:val="es-CO" w:eastAsia="ar-SA"/>
        </w:rPr>
        <w:footnoteReference w:id="80"/>
      </w:r>
      <w:r w:rsidR="00097F36" w:rsidRPr="007A177A">
        <w:rPr>
          <w:rFonts w:cs="Arial"/>
          <w:szCs w:val="24"/>
          <w:lang w:val="es-CO" w:eastAsia="ar-SA"/>
        </w:rPr>
        <w:t>.</w:t>
      </w:r>
    </w:p>
    <w:p w14:paraId="5956EED2" w14:textId="77777777" w:rsidR="008B6473" w:rsidRPr="007A177A" w:rsidRDefault="008B6473" w:rsidP="00BF333B">
      <w:pPr>
        <w:pStyle w:val="Lista2"/>
        <w:ind w:left="0" w:firstLine="0"/>
        <w:rPr>
          <w:rFonts w:cs="Arial"/>
          <w:b/>
        </w:rPr>
      </w:pPr>
    </w:p>
    <w:p w14:paraId="7714C1C2" w14:textId="77777777" w:rsidR="00FA276D" w:rsidRPr="007A177A" w:rsidRDefault="00937F5A" w:rsidP="00BF333B">
      <w:pPr>
        <w:pStyle w:val="Lista2"/>
        <w:ind w:left="0" w:firstLine="0"/>
        <w:rPr>
          <w:rFonts w:cs="Arial"/>
          <w:b/>
        </w:rPr>
      </w:pPr>
      <w:r w:rsidRPr="007A177A">
        <w:rPr>
          <w:rFonts w:cs="Arial"/>
          <w:b/>
        </w:rPr>
        <w:lastRenderedPageBreak/>
        <w:t>8</w:t>
      </w:r>
      <w:r w:rsidR="00116300" w:rsidRPr="007A177A">
        <w:rPr>
          <w:rFonts w:cs="Arial"/>
          <w:b/>
        </w:rPr>
        <w:t>.</w:t>
      </w:r>
      <w:r w:rsidR="0087755C" w:rsidRPr="007A177A">
        <w:rPr>
          <w:rFonts w:cs="Arial"/>
          <w:b/>
        </w:rPr>
        <w:t>2</w:t>
      </w:r>
      <w:r w:rsidR="00116300" w:rsidRPr="007A177A">
        <w:rPr>
          <w:rFonts w:cs="Arial"/>
          <w:b/>
        </w:rPr>
        <w:t xml:space="preserve">. El contrato </w:t>
      </w:r>
      <w:r w:rsidR="00FA276D" w:rsidRPr="007A177A">
        <w:rPr>
          <w:rFonts w:cs="Arial"/>
          <w:b/>
        </w:rPr>
        <w:t>3</w:t>
      </w:r>
      <w:r w:rsidR="00B964C3" w:rsidRPr="007A177A">
        <w:rPr>
          <w:rFonts w:cs="Arial"/>
          <w:b/>
        </w:rPr>
        <w:t>5</w:t>
      </w:r>
      <w:r w:rsidR="00FA276D" w:rsidRPr="007A177A">
        <w:rPr>
          <w:rFonts w:cs="Arial"/>
          <w:b/>
        </w:rPr>
        <w:t>8 – 76</w:t>
      </w:r>
    </w:p>
    <w:p w14:paraId="725A16A6" w14:textId="77777777" w:rsidR="0085672D" w:rsidRPr="007A177A" w:rsidRDefault="0085672D" w:rsidP="00BF333B">
      <w:pPr>
        <w:pStyle w:val="Lista2"/>
        <w:ind w:left="0" w:firstLine="0"/>
        <w:rPr>
          <w:rFonts w:cs="Arial"/>
          <w:b/>
        </w:rPr>
      </w:pPr>
    </w:p>
    <w:p w14:paraId="0523E328" w14:textId="77777777" w:rsidR="0085672D" w:rsidRPr="007A177A" w:rsidRDefault="004532C9" w:rsidP="00BF333B">
      <w:pPr>
        <w:pStyle w:val="Lista2"/>
        <w:ind w:left="0" w:firstLine="0"/>
        <w:rPr>
          <w:rFonts w:cs="Arial"/>
        </w:rPr>
      </w:pPr>
      <w:r w:rsidRPr="007A177A">
        <w:rPr>
          <w:rFonts w:cs="Arial"/>
        </w:rPr>
        <w:t xml:space="preserve">Se encuentra probado </w:t>
      </w:r>
      <w:r w:rsidR="001C7CBB" w:rsidRPr="007A177A">
        <w:rPr>
          <w:rFonts w:cs="Arial"/>
        </w:rPr>
        <w:t xml:space="preserve">el </w:t>
      </w:r>
      <w:r w:rsidRPr="007A177A">
        <w:rPr>
          <w:rFonts w:cs="Arial"/>
        </w:rPr>
        <w:t>C</w:t>
      </w:r>
      <w:r w:rsidR="001C7CBB" w:rsidRPr="007A177A">
        <w:rPr>
          <w:rFonts w:cs="Arial"/>
        </w:rPr>
        <w:t>ontrato No. 3</w:t>
      </w:r>
      <w:r w:rsidR="00B964C3" w:rsidRPr="007A177A">
        <w:rPr>
          <w:rFonts w:cs="Arial"/>
        </w:rPr>
        <w:t>5</w:t>
      </w:r>
      <w:r w:rsidR="001C7CBB" w:rsidRPr="007A177A">
        <w:rPr>
          <w:rFonts w:cs="Arial"/>
        </w:rPr>
        <w:t>8- 76, suscrito el 2</w:t>
      </w:r>
      <w:r w:rsidR="008B1B87" w:rsidRPr="007A177A">
        <w:rPr>
          <w:rFonts w:cs="Arial"/>
        </w:rPr>
        <w:t>9</w:t>
      </w:r>
      <w:r w:rsidR="001C7CBB" w:rsidRPr="007A177A">
        <w:rPr>
          <w:rFonts w:cs="Arial"/>
        </w:rPr>
        <w:t xml:space="preserve"> de noviembre de 1978 </w:t>
      </w:r>
      <w:r w:rsidRPr="007A177A">
        <w:rPr>
          <w:rFonts w:cs="Arial"/>
        </w:rPr>
        <w:t>entre el Fondo Vial Nacional y las sociedades demandantes e</w:t>
      </w:r>
      <w:r w:rsidR="00F54DE2" w:rsidRPr="007A177A">
        <w:rPr>
          <w:rFonts w:cs="Arial"/>
        </w:rPr>
        <w:t>n</w:t>
      </w:r>
      <w:r w:rsidRPr="007A177A">
        <w:rPr>
          <w:rFonts w:cs="Arial"/>
        </w:rPr>
        <w:t xml:space="preserve"> este proceso</w:t>
      </w:r>
      <w:r w:rsidRPr="007A177A">
        <w:rPr>
          <w:rStyle w:val="Refdenotaalpie"/>
          <w:rFonts w:cs="Arial"/>
        </w:rPr>
        <w:footnoteReference w:id="81"/>
      </w:r>
      <w:r w:rsidRPr="007A177A">
        <w:rPr>
          <w:rFonts w:cs="Arial"/>
        </w:rPr>
        <w:t>, en</w:t>
      </w:r>
      <w:r w:rsidR="001C7CBB" w:rsidRPr="007A177A">
        <w:rPr>
          <w:rFonts w:cs="Arial"/>
        </w:rPr>
        <w:t xml:space="preserve"> el cual se lee</w:t>
      </w:r>
      <w:r w:rsidR="0085672D" w:rsidRPr="007A177A">
        <w:rPr>
          <w:rFonts w:cs="Arial"/>
        </w:rPr>
        <w:t xml:space="preserve"> (se transcribe</w:t>
      </w:r>
      <w:r w:rsidR="00C107B3" w:rsidRPr="007A177A">
        <w:rPr>
          <w:rFonts w:cs="Arial"/>
        </w:rPr>
        <w:t xml:space="preserve"> de forma</w:t>
      </w:r>
      <w:r w:rsidR="0085672D" w:rsidRPr="007A177A">
        <w:rPr>
          <w:rFonts w:cs="Arial"/>
        </w:rPr>
        <w:t xml:space="preserve"> literal</w:t>
      </w:r>
      <w:r w:rsidR="00E9099D" w:rsidRPr="007A177A">
        <w:rPr>
          <w:rFonts w:cs="Arial"/>
        </w:rPr>
        <w:t>, las negrillas se introducen para destacar las reglas de funcionamiento de las variaciones de cantidades y precios</w:t>
      </w:r>
      <w:r w:rsidR="0085672D" w:rsidRPr="007A177A">
        <w:rPr>
          <w:rFonts w:cs="Arial"/>
        </w:rPr>
        <w:t>)</w:t>
      </w:r>
      <w:r w:rsidR="00BA5873" w:rsidRPr="007A177A">
        <w:rPr>
          <w:rFonts w:cs="Arial"/>
        </w:rPr>
        <w:t>:</w:t>
      </w:r>
    </w:p>
    <w:p w14:paraId="1C52C00A" w14:textId="77777777" w:rsidR="00FA276D" w:rsidRPr="007A177A" w:rsidRDefault="00FA276D" w:rsidP="00BF333B">
      <w:pPr>
        <w:pStyle w:val="Lista2"/>
        <w:spacing w:line="240" w:lineRule="auto"/>
        <w:ind w:left="567" w:right="902" w:firstLine="0"/>
        <w:rPr>
          <w:rFonts w:cs="Arial"/>
          <w:i/>
        </w:rPr>
      </w:pPr>
    </w:p>
    <w:p w14:paraId="2D9DFA9A" w14:textId="77777777" w:rsidR="0008016F" w:rsidRPr="007A177A" w:rsidRDefault="00104CC0" w:rsidP="00BF333B">
      <w:pPr>
        <w:pStyle w:val="Lista2"/>
        <w:spacing w:line="240" w:lineRule="auto"/>
        <w:ind w:left="567" w:right="902" w:firstLine="0"/>
        <w:rPr>
          <w:rFonts w:cs="Arial"/>
          <w:i/>
        </w:rPr>
      </w:pPr>
      <w:r w:rsidRPr="007A177A">
        <w:rPr>
          <w:rFonts w:cs="Arial"/>
          <w:i/>
        </w:rPr>
        <w:t>“</w:t>
      </w:r>
      <w:r w:rsidR="00FA276D" w:rsidRPr="007A177A">
        <w:rPr>
          <w:rFonts w:cs="Arial"/>
          <w:i/>
        </w:rPr>
        <w:t>OBJETO</w:t>
      </w:r>
      <w:r w:rsidRPr="007A177A">
        <w:rPr>
          <w:rFonts w:cs="Arial"/>
          <w:i/>
        </w:rPr>
        <w:t>:</w:t>
      </w:r>
      <w:r w:rsidR="00FA276D" w:rsidRPr="007A177A">
        <w:rPr>
          <w:rFonts w:cs="Arial"/>
          <w:i/>
        </w:rPr>
        <w:t xml:space="preserve"> EL CONTRATISTA se obliga a ejecutar para el FNODO VIAL a precios unitarios fijos y en los términos que señala este contrato todas las obras necesarias para la construcción y pavimentación del sector </w:t>
      </w:r>
      <w:proofErr w:type="spellStart"/>
      <w:r w:rsidR="00FA276D" w:rsidRPr="007A177A">
        <w:rPr>
          <w:rFonts w:cs="Arial"/>
          <w:i/>
        </w:rPr>
        <w:t>Tierrabaja</w:t>
      </w:r>
      <w:proofErr w:type="spellEnd"/>
      <w:r w:rsidR="00FA276D" w:rsidRPr="007A177A">
        <w:rPr>
          <w:rFonts w:cs="Arial"/>
          <w:i/>
        </w:rPr>
        <w:t xml:space="preserve"> – Arroyo de Piedra de la </w:t>
      </w:r>
      <w:r w:rsidR="0008016F" w:rsidRPr="007A177A">
        <w:rPr>
          <w:rFonts w:cs="Arial"/>
          <w:i/>
        </w:rPr>
        <w:t>Carretera Cartagena – Barranquilla del K 7 + 00 al K. 10-000 de acuerdo con los planos y especificaciones suministrados por el FONDO VIAL y bajo las condiciones estipuladas en el presente contrato.</w:t>
      </w:r>
    </w:p>
    <w:p w14:paraId="20A3BDEA" w14:textId="77777777" w:rsidR="0008016F" w:rsidRPr="007A177A" w:rsidRDefault="0008016F" w:rsidP="00BF333B">
      <w:pPr>
        <w:pStyle w:val="Lista2"/>
        <w:spacing w:line="240" w:lineRule="auto"/>
        <w:ind w:left="567" w:right="902" w:firstLine="0"/>
        <w:rPr>
          <w:rFonts w:cs="Arial"/>
          <w:i/>
        </w:rPr>
      </w:pPr>
    </w:p>
    <w:p w14:paraId="44B976ED" w14:textId="77777777" w:rsidR="001C7CBB" w:rsidRPr="007A177A" w:rsidRDefault="001C7CBB" w:rsidP="00BF333B">
      <w:pPr>
        <w:pStyle w:val="Lista2"/>
        <w:spacing w:line="240" w:lineRule="auto"/>
        <w:ind w:left="567" w:right="902" w:firstLine="0"/>
        <w:rPr>
          <w:rFonts w:cs="Arial"/>
          <w:i/>
        </w:rPr>
      </w:pPr>
      <w:r w:rsidRPr="007A177A">
        <w:rPr>
          <w:rFonts w:cs="Arial"/>
          <w:i/>
        </w:rPr>
        <w:t>“(…).</w:t>
      </w:r>
    </w:p>
    <w:p w14:paraId="1A142F6D" w14:textId="77777777" w:rsidR="001C7CBB" w:rsidRPr="007A177A" w:rsidRDefault="001C7CBB" w:rsidP="00BF333B">
      <w:pPr>
        <w:pStyle w:val="Lista2"/>
        <w:spacing w:line="240" w:lineRule="auto"/>
        <w:ind w:left="567" w:right="902" w:firstLine="0"/>
        <w:rPr>
          <w:rFonts w:cs="Arial"/>
          <w:i/>
        </w:rPr>
      </w:pPr>
    </w:p>
    <w:p w14:paraId="136C2D76" w14:textId="77777777" w:rsidR="00A72957" w:rsidRPr="007A177A" w:rsidRDefault="00104CC0" w:rsidP="00BF333B">
      <w:pPr>
        <w:pStyle w:val="Lista2"/>
        <w:spacing w:line="240" w:lineRule="auto"/>
        <w:ind w:left="567" w:right="902" w:firstLine="0"/>
        <w:rPr>
          <w:rFonts w:cs="Arial"/>
          <w:i/>
        </w:rPr>
      </w:pPr>
      <w:r w:rsidRPr="007A177A">
        <w:rPr>
          <w:rFonts w:cs="Arial"/>
          <w:i/>
        </w:rPr>
        <w:t>“</w:t>
      </w:r>
      <w:r w:rsidR="0008016F" w:rsidRPr="007A177A">
        <w:rPr>
          <w:rFonts w:cs="Arial"/>
          <w:i/>
        </w:rPr>
        <w:t>CL</w:t>
      </w:r>
      <w:r w:rsidR="008C22D7" w:rsidRPr="007A177A">
        <w:rPr>
          <w:rFonts w:cs="Arial"/>
          <w:i/>
        </w:rPr>
        <w:t>Á</w:t>
      </w:r>
      <w:r w:rsidR="0008016F" w:rsidRPr="007A177A">
        <w:rPr>
          <w:rFonts w:cs="Arial"/>
          <w:i/>
        </w:rPr>
        <w:t>USULA TERCERA.</w:t>
      </w:r>
      <w:r w:rsidRPr="007A177A">
        <w:rPr>
          <w:rFonts w:cs="Arial"/>
          <w:i/>
        </w:rPr>
        <w:t xml:space="preserve">  </w:t>
      </w:r>
      <w:r w:rsidR="0028357A" w:rsidRPr="007A177A">
        <w:rPr>
          <w:rFonts w:cs="Arial"/>
          <w:i/>
        </w:rPr>
        <w:t xml:space="preserve">PLAZO. </w:t>
      </w:r>
      <w:r w:rsidR="0008016F" w:rsidRPr="007A177A">
        <w:rPr>
          <w:rFonts w:cs="Arial"/>
          <w:i/>
        </w:rPr>
        <w:t xml:space="preserve">El CONTRATISTA </w:t>
      </w:r>
      <w:r w:rsidR="00A72957" w:rsidRPr="007A177A">
        <w:rPr>
          <w:rFonts w:cs="Arial"/>
          <w:i/>
        </w:rPr>
        <w:t>se obliga a iniciar la ejecución de las obras dentro de los quince (15) días siguientes a la fecha de legalización del contrato, y a terminarlas y entregarlas dentro de los veinticuatro (24) meses, contados a partir del perfeccionamiento del mismo.</w:t>
      </w:r>
    </w:p>
    <w:p w14:paraId="3818B892" w14:textId="77777777" w:rsidR="00A72957" w:rsidRPr="007A177A" w:rsidRDefault="00A72957" w:rsidP="00BF333B">
      <w:pPr>
        <w:pStyle w:val="Lista2"/>
        <w:spacing w:line="240" w:lineRule="auto"/>
        <w:ind w:left="567" w:right="902" w:firstLine="0"/>
        <w:rPr>
          <w:rFonts w:cs="Arial"/>
          <w:i/>
        </w:rPr>
      </w:pPr>
    </w:p>
    <w:p w14:paraId="276D956D" w14:textId="77777777" w:rsidR="00472ED5" w:rsidRPr="007A177A" w:rsidRDefault="00104CC0" w:rsidP="00BF333B">
      <w:pPr>
        <w:pStyle w:val="Lista2"/>
        <w:spacing w:line="240" w:lineRule="auto"/>
        <w:ind w:left="567" w:right="902" w:firstLine="0"/>
        <w:rPr>
          <w:rFonts w:cs="Arial"/>
          <w:i/>
        </w:rPr>
      </w:pPr>
      <w:r w:rsidRPr="007A177A">
        <w:rPr>
          <w:rFonts w:cs="Arial"/>
          <w:i/>
        </w:rPr>
        <w:t>“</w:t>
      </w:r>
      <w:r w:rsidR="00A72957" w:rsidRPr="007A177A">
        <w:rPr>
          <w:rFonts w:cs="Arial"/>
          <w:i/>
        </w:rPr>
        <w:t>CL</w:t>
      </w:r>
      <w:r w:rsidRPr="007A177A">
        <w:rPr>
          <w:rFonts w:cs="Arial"/>
          <w:i/>
        </w:rPr>
        <w:t>Á</w:t>
      </w:r>
      <w:r w:rsidR="00A72957" w:rsidRPr="007A177A">
        <w:rPr>
          <w:rFonts w:cs="Arial"/>
          <w:i/>
        </w:rPr>
        <w:t>USULA CUARTA</w:t>
      </w:r>
      <w:r w:rsidR="00941D85" w:rsidRPr="007A177A">
        <w:rPr>
          <w:rFonts w:cs="Arial"/>
          <w:i/>
        </w:rPr>
        <w:t>.</w:t>
      </w:r>
      <w:r w:rsidR="00A72957" w:rsidRPr="007A177A">
        <w:rPr>
          <w:rFonts w:cs="Arial"/>
          <w:i/>
        </w:rPr>
        <w:t xml:space="preserve"> </w:t>
      </w:r>
      <w:r w:rsidR="0028357A" w:rsidRPr="007A177A">
        <w:rPr>
          <w:rFonts w:cs="Arial"/>
          <w:i/>
        </w:rPr>
        <w:t>VALOR DEL CONTRATO</w:t>
      </w:r>
      <w:r w:rsidR="00E9099D" w:rsidRPr="007A177A">
        <w:rPr>
          <w:rFonts w:cs="Arial"/>
          <w:i/>
        </w:rPr>
        <w:t>:</w:t>
      </w:r>
      <w:r w:rsidR="0028357A" w:rsidRPr="007A177A">
        <w:rPr>
          <w:rFonts w:cs="Arial"/>
          <w:i/>
        </w:rPr>
        <w:t xml:space="preserve"> Para los efectos fiscales y legales, el valor del presente contrato se fija en la suma de SETENTA Y CUATRO MILLONES CUATROCIENTOS VEINTICUATRO MIL CUATROCIENTOS PESOS ($74’426.400)</w:t>
      </w:r>
      <w:r w:rsidR="00941D85" w:rsidRPr="007A177A">
        <w:rPr>
          <w:rFonts w:cs="Arial"/>
          <w:i/>
        </w:rPr>
        <w:t xml:space="preserve">, </w:t>
      </w:r>
      <w:r w:rsidR="00941D85" w:rsidRPr="007A177A">
        <w:rPr>
          <w:rFonts w:cs="Arial"/>
          <w:b/>
          <w:bCs/>
          <w:i/>
        </w:rPr>
        <w:t>resultante de sumar los productos provenientes de multiplicar las cantidades de obra por los precios unitarios,</w:t>
      </w:r>
      <w:r w:rsidR="00941D85" w:rsidRPr="007A177A">
        <w:rPr>
          <w:rFonts w:cs="Arial"/>
          <w:i/>
        </w:rPr>
        <w:t xml:space="preserve"> </w:t>
      </w:r>
      <w:r w:rsidR="00941D85" w:rsidRPr="007A177A">
        <w:rPr>
          <w:rFonts w:cs="Arial"/>
          <w:b/>
          <w:bCs/>
          <w:i/>
        </w:rPr>
        <w:t>cantidades de obra y costos a cargo del contratista</w:t>
      </w:r>
      <w:r w:rsidR="00941D85" w:rsidRPr="007A177A">
        <w:rPr>
          <w:rFonts w:cs="Arial"/>
          <w:i/>
        </w:rPr>
        <w:t xml:space="preserve">. PARÁGRAFO.- Las partes contratantes declaran </w:t>
      </w:r>
      <w:r w:rsidR="00D44AD6" w:rsidRPr="007A177A">
        <w:rPr>
          <w:rFonts w:cs="Arial"/>
          <w:i/>
        </w:rPr>
        <w:t>que cuando quiera que por cambio de especificaciones, variación de las cantidades estimadas u otras causas imprevistas, haya necesidad de modificar el valor o el plazo totales del presente contrato celebrarán un contrato adicional de acuerdo con las disposiciones legales vigentes</w:t>
      </w:r>
      <w:r w:rsidR="00472ED5" w:rsidRPr="007A177A">
        <w:rPr>
          <w:rFonts w:cs="Arial"/>
          <w:i/>
        </w:rPr>
        <w:t xml:space="preserve">. </w:t>
      </w:r>
      <w:r w:rsidR="00472ED5" w:rsidRPr="007A177A">
        <w:rPr>
          <w:rFonts w:cs="Arial"/>
          <w:b/>
          <w:bCs/>
          <w:i/>
        </w:rPr>
        <w:t>Los precios unitarios del contrato adicional deberán ser los mismos del contrato principal, con excepción de lo contemplado en las normas que reglamentan la materia</w:t>
      </w:r>
      <w:r w:rsidR="00472ED5" w:rsidRPr="007A177A">
        <w:rPr>
          <w:rFonts w:cs="Arial"/>
          <w:i/>
        </w:rPr>
        <w:t xml:space="preserve">. </w:t>
      </w:r>
    </w:p>
    <w:p w14:paraId="320A4F04" w14:textId="77777777" w:rsidR="0085322F" w:rsidRPr="007A177A" w:rsidRDefault="0085322F" w:rsidP="00BF333B">
      <w:pPr>
        <w:pStyle w:val="Lista2"/>
        <w:spacing w:line="240" w:lineRule="auto"/>
        <w:ind w:left="567" w:right="902" w:firstLine="0"/>
        <w:rPr>
          <w:rFonts w:cs="Arial"/>
          <w:i/>
        </w:rPr>
      </w:pPr>
    </w:p>
    <w:p w14:paraId="50860CD1" w14:textId="77777777" w:rsidR="003C03E8" w:rsidRPr="007A177A" w:rsidRDefault="0085322F" w:rsidP="00BF333B">
      <w:pPr>
        <w:pStyle w:val="Lista2"/>
        <w:spacing w:line="240" w:lineRule="auto"/>
        <w:ind w:left="567" w:right="902" w:firstLine="0"/>
        <w:rPr>
          <w:rFonts w:cs="Arial"/>
          <w:i/>
        </w:rPr>
      </w:pPr>
      <w:r w:rsidRPr="007A177A">
        <w:rPr>
          <w:rFonts w:cs="Arial"/>
          <w:i/>
        </w:rPr>
        <w:t>“</w:t>
      </w:r>
      <w:r w:rsidR="00472ED5" w:rsidRPr="007A177A">
        <w:rPr>
          <w:rFonts w:cs="Arial"/>
          <w:i/>
        </w:rPr>
        <w:t>CLÁUSULA QUINTA: PRECIOS UNITARIOS</w:t>
      </w:r>
      <w:r w:rsidR="003C03E8" w:rsidRPr="007A177A">
        <w:rPr>
          <w:rFonts w:cs="Arial"/>
          <w:i/>
        </w:rPr>
        <w:t xml:space="preserve">, CANTIDADES DE OBRA Y COSTOS A CARGO DEL CONTRATISTA.- El CONTRATISTA se obliga a ejecutar para el FONDO VIAL, las obras objeto del contrato </w:t>
      </w:r>
      <w:r w:rsidR="003C03E8" w:rsidRPr="007A177A">
        <w:rPr>
          <w:rFonts w:cs="Arial"/>
          <w:b/>
          <w:bCs/>
          <w:i/>
        </w:rPr>
        <w:t>a los precios unitarios de su propuesta</w:t>
      </w:r>
      <w:r w:rsidR="003C03E8" w:rsidRPr="007A177A">
        <w:rPr>
          <w:rFonts w:cs="Arial"/>
          <w:i/>
        </w:rPr>
        <w:t xml:space="preserve"> que a continuación se detallan:</w:t>
      </w:r>
    </w:p>
    <w:p w14:paraId="41A688E4" w14:textId="77777777" w:rsidR="003C03E8" w:rsidRPr="007A177A" w:rsidRDefault="003C03E8" w:rsidP="00BF333B">
      <w:pPr>
        <w:pStyle w:val="Lista2"/>
        <w:spacing w:line="240" w:lineRule="auto"/>
        <w:ind w:left="567" w:right="902" w:firstLine="0"/>
        <w:rPr>
          <w:rFonts w:cs="Arial"/>
          <w:i/>
        </w:rPr>
      </w:pPr>
    </w:p>
    <w:p w14:paraId="2CDE59F0" w14:textId="77777777" w:rsidR="00CC3A2C" w:rsidRPr="007A177A" w:rsidRDefault="00104CC0" w:rsidP="00BF333B">
      <w:pPr>
        <w:pStyle w:val="Lista2"/>
        <w:spacing w:line="240" w:lineRule="auto"/>
        <w:ind w:left="567" w:right="902" w:firstLine="0"/>
        <w:rPr>
          <w:rFonts w:cs="Arial"/>
          <w:i/>
        </w:rPr>
      </w:pPr>
      <w:r w:rsidRPr="007A177A">
        <w:rPr>
          <w:rFonts w:cs="Arial"/>
          <w:i/>
        </w:rPr>
        <w:t>“</w:t>
      </w:r>
      <w:r w:rsidR="003C03E8" w:rsidRPr="007A177A">
        <w:rPr>
          <w:rFonts w:cs="Arial"/>
          <w:i/>
        </w:rPr>
        <w:t>(…)</w:t>
      </w:r>
      <w:r w:rsidR="0085322F" w:rsidRPr="007A177A">
        <w:rPr>
          <w:rFonts w:cs="Arial"/>
          <w:i/>
        </w:rPr>
        <w:t>.</w:t>
      </w:r>
    </w:p>
    <w:p w14:paraId="692D0E1F" w14:textId="77777777" w:rsidR="00CC3A2C" w:rsidRPr="007A177A" w:rsidRDefault="00CC3A2C" w:rsidP="00BF333B">
      <w:pPr>
        <w:pStyle w:val="Lista2"/>
        <w:spacing w:line="240" w:lineRule="auto"/>
        <w:ind w:left="567" w:right="902" w:firstLine="0"/>
        <w:rPr>
          <w:rFonts w:cs="Arial"/>
          <w:i/>
        </w:rPr>
      </w:pPr>
    </w:p>
    <w:p w14:paraId="0083B579" w14:textId="77777777" w:rsidR="00CC3A2C" w:rsidRPr="007A177A" w:rsidRDefault="00104CC0" w:rsidP="00BF333B">
      <w:pPr>
        <w:pStyle w:val="Lista2"/>
        <w:spacing w:line="240" w:lineRule="auto"/>
        <w:ind w:left="567" w:right="902" w:firstLine="0"/>
        <w:rPr>
          <w:rFonts w:cs="Arial"/>
          <w:i/>
        </w:rPr>
      </w:pPr>
      <w:r w:rsidRPr="007A177A">
        <w:rPr>
          <w:rFonts w:cs="Arial"/>
          <w:i/>
        </w:rPr>
        <w:lastRenderedPageBreak/>
        <w:t>“</w:t>
      </w:r>
      <w:r w:rsidR="00CC3A2C" w:rsidRPr="007A177A">
        <w:rPr>
          <w:rFonts w:cs="Arial"/>
          <w:i/>
        </w:rPr>
        <w:t>4. Terraplenes</w:t>
      </w:r>
      <w:r w:rsidRPr="007A177A">
        <w:rPr>
          <w:rFonts w:cs="Arial"/>
          <w:i/>
        </w:rPr>
        <w:t>:</w:t>
      </w:r>
      <w:r w:rsidR="00CC3A2C" w:rsidRPr="007A177A">
        <w:rPr>
          <w:rFonts w:cs="Arial"/>
          <w:i/>
        </w:rPr>
        <w:t xml:space="preserve"> trescientos noventa mil (390.000) M3 a veinticuatro (24,oo)/M3, </w:t>
      </w:r>
      <w:r w:rsidR="00AA614D" w:rsidRPr="007A177A">
        <w:rPr>
          <w:rFonts w:cs="Arial"/>
          <w:i/>
        </w:rPr>
        <w:t xml:space="preserve">da </w:t>
      </w:r>
      <w:r w:rsidR="00CC3A2C" w:rsidRPr="007A177A">
        <w:rPr>
          <w:rFonts w:cs="Arial"/>
          <w:i/>
        </w:rPr>
        <w:t>…</w:t>
      </w:r>
      <w:r w:rsidR="00AA614D" w:rsidRPr="007A177A">
        <w:rPr>
          <w:rFonts w:cs="Arial"/>
          <w:i/>
        </w:rPr>
        <w:t xml:space="preserve"> $9’360.000.</w:t>
      </w:r>
    </w:p>
    <w:p w14:paraId="57D5A03F" w14:textId="77777777" w:rsidR="00CC3A2C" w:rsidRPr="007A177A" w:rsidRDefault="00CC3A2C" w:rsidP="00BF333B">
      <w:pPr>
        <w:pStyle w:val="Lista2"/>
        <w:spacing w:line="240" w:lineRule="auto"/>
        <w:ind w:left="567" w:right="902" w:firstLine="0"/>
        <w:rPr>
          <w:rFonts w:cs="Arial"/>
          <w:i/>
        </w:rPr>
      </w:pPr>
    </w:p>
    <w:p w14:paraId="3971810E" w14:textId="77777777" w:rsidR="00CC3A2C" w:rsidRPr="007A177A" w:rsidRDefault="00104CC0" w:rsidP="00BF333B">
      <w:pPr>
        <w:pStyle w:val="Lista2"/>
        <w:spacing w:line="240" w:lineRule="auto"/>
        <w:ind w:left="567" w:right="902" w:firstLine="0"/>
        <w:rPr>
          <w:rFonts w:cs="Arial"/>
          <w:i/>
        </w:rPr>
      </w:pPr>
      <w:r w:rsidRPr="007A177A">
        <w:rPr>
          <w:rFonts w:cs="Arial"/>
          <w:i/>
        </w:rPr>
        <w:t>“</w:t>
      </w:r>
      <w:r w:rsidR="00CC3A2C" w:rsidRPr="007A177A">
        <w:rPr>
          <w:rFonts w:cs="Arial"/>
          <w:i/>
        </w:rPr>
        <w:t xml:space="preserve">(,,,) </w:t>
      </w:r>
    </w:p>
    <w:p w14:paraId="5270D82B" w14:textId="77777777" w:rsidR="00CC3A2C" w:rsidRPr="007A177A" w:rsidRDefault="00CC3A2C" w:rsidP="00BF333B">
      <w:pPr>
        <w:pStyle w:val="Lista2"/>
        <w:spacing w:line="240" w:lineRule="auto"/>
        <w:ind w:left="567" w:right="902" w:firstLine="0"/>
        <w:rPr>
          <w:rFonts w:cs="Arial"/>
          <w:i/>
        </w:rPr>
      </w:pPr>
    </w:p>
    <w:p w14:paraId="4E21BA8B" w14:textId="77777777" w:rsidR="002A2FBF" w:rsidRPr="007A177A" w:rsidRDefault="00104CC0" w:rsidP="00BF333B">
      <w:pPr>
        <w:pStyle w:val="Lista2"/>
        <w:spacing w:line="240" w:lineRule="auto"/>
        <w:ind w:left="567" w:right="902" w:firstLine="0"/>
        <w:rPr>
          <w:rFonts w:cs="Arial"/>
          <w:i/>
        </w:rPr>
      </w:pPr>
      <w:r w:rsidRPr="007A177A">
        <w:rPr>
          <w:rFonts w:cs="Arial"/>
          <w:i/>
        </w:rPr>
        <w:t>“</w:t>
      </w:r>
      <w:r w:rsidR="00CC3A2C" w:rsidRPr="007A177A">
        <w:rPr>
          <w:rFonts w:cs="Arial"/>
          <w:i/>
        </w:rPr>
        <w:t xml:space="preserve">6. Acarreo de materiales para terraplenes, capa superior 1.20 </w:t>
      </w:r>
      <w:proofErr w:type="spellStart"/>
      <w:r w:rsidR="00CC3A2C" w:rsidRPr="007A177A">
        <w:rPr>
          <w:rFonts w:cs="Arial"/>
          <w:i/>
        </w:rPr>
        <w:t>mts</w:t>
      </w:r>
      <w:proofErr w:type="spellEnd"/>
      <w:r w:rsidR="00AA614D" w:rsidRPr="007A177A">
        <w:rPr>
          <w:rFonts w:cs="Arial"/>
          <w:i/>
        </w:rPr>
        <w:t xml:space="preserve">, doscientos veinticuatro mil (224.000) M3/KM a seis pesos con veinte centavos </w:t>
      </w:r>
      <w:r w:rsidR="00D525BD" w:rsidRPr="007A177A">
        <w:rPr>
          <w:rFonts w:cs="Arial"/>
          <w:i/>
        </w:rPr>
        <w:t xml:space="preserve"> ($6,20) </w:t>
      </w:r>
      <w:r w:rsidR="00AA614D" w:rsidRPr="007A177A">
        <w:rPr>
          <w:rFonts w:cs="Arial"/>
          <w:i/>
        </w:rPr>
        <w:t xml:space="preserve">da… </w:t>
      </w:r>
      <w:r w:rsidR="002A2FBF" w:rsidRPr="007A177A">
        <w:rPr>
          <w:rFonts w:cs="Arial"/>
          <w:i/>
        </w:rPr>
        <w:t>$1.388.800”</w:t>
      </w:r>
      <w:r w:rsidR="002A2FBF" w:rsidRPr="007A177A">
        <w:rPr>
          <w:rStyle w:val="Refdenotaalpie"/>
          <w:rFonts w:cs="Arial"/>
          <w:i/>
        </w:rPr>
        <w:footnoteReference w:id="82"/>
      </w:r>
    </w:p>
    <w:p w14:paraId="7BF3E988" w14:textId="77777777" w:rsidR="00104CC0" w:rsidRPr="007A177A" w:rsidRDefault="002A2FBF" w:rsidP="00BF333B">
      <w:pPr>
        <w:pStyle w:val="Lista2"/>
        <w:spacing w:line="240" w:lineRule="auto"/>
        <w:ind w:left="567" w:right="902" w:firstLine="0"/>
        <w:rPr>
          <w:rFonts w:cs="Arial"/>
          <w:i/>
        </w:rPr>
      </w:pPr>
      <w:r w:rsidRPr="007A177A">
        <w:rPr>
          <w:rFonts w:cs="Arial"/>
          <w:i/>
        </w:rPr>
        <w:t xml:space="preserve"> </w:t>
      </w:r>
    </w:p>
    <w:p w14:paraId="5752F4ED" w14:textId="77777777" w:rsidR="002A2FBF" w:rsidRPr="007A177A" w:rsidRDefault="00104CC0" w:rsidP="00BF333B">
      <w:pPr>
        <w:pStyle w:val="Lista2"/>
        <w:spacing w:line="240" w:lineRule="auto"/>
        <w:ind w:left="567" w:right="902" w:firstLine="0"/>
        <w:rPr>
          <w:rFonts w:cs="Arial"/>
          <w:i/>
        </w:rPr>
      </w:pPr>
      <w:r w:rsidRPr="007A177A">
        <w:rPr>
          <w:rFonts w:cs="Arial"/>
          <w:i/>
        </w:rPr>
        <w:t>“</w:t>
      </w:r>
      <w:r w:rsidR="002A2FBF" w:rsidRPr="007A177A">
        <w:rPr>
          <w:rFonts w:cs="Arial"/>
          <w:i/>
        </w:rPr>
        <w:t>(…)</w:t>
      </w:r>
      <w:r w:rsidR="00E9099D" w:rsidRPr="007A177A">
        <w:rPr>
          <w:rFonts w:cs="Arial"/>
          <w:i/>
        </w:rPr>
        <w:t>.</w:t>
      </w:r>
    </w:p>
    <w:p w14:paraId="248AFEF1" w14:textId="77777777" w:rsidR="00692B72" w:rsidRPr="007A177A" w:rsidRDefault="00692B72" w:rsidP="00BF333B">
      <w:pPr>
        <w:pStyle w:val="Lista2"/>
        <w:spacing w:line="240" w:lineRule="auto"/>
        <w:ind w:left="567" w:right="902" w:firstLine="0"/>
        <w:rPr>
          <w:rFonts w:cs="Arial"/>
          <w:i/>
        </w:rPr>
      </w:pPr>
    </w:p>
    <w:p w14:paraId="03632B09" w14:textId="77777777" w:rsidR="00C1034F" w:rsidRPr="007A177A" w:rsidRDefault="00104CC0" w:rsidP="00BF333B">
      <w:pPr>
        <w:pStyle w:val="Lista2"/>
        <w:spacing w:line="240" w:lineRule="auto"/>
        <w:ind w:left="567" w:right="902" w:firstLine="0"/>
        <w:rPr>
          <w:rFonts w:cs="Arial"/>
          <w:i/>
        </w:rPr>
      </w:pPr>
      <w:r w:rsidRPr="007A177A">
        <w:rPr>
          <w:rFonts w:cs="Arial"/>
          <w:i/>
        </w:rPr>
        <w:t>“</w:t>
      </w:r>
      <w:r w:rsidR="00775294" w:rsidRPr="007A177A">
        <w:rPr>
          <w:rFonts w:cs="Arial"/>
          <w:i/>
        </w:rPr>
        <w:t>CL</w:t>
      </w:r>
      <w:r w:rsidRPr="007A177A">
        <w:rPr>
          <w:rFonts w:cs="Arial"/>
          <w:i/>
        </w:rPr>
        <w:t>Á</w:t>
      </w:r>
      <w:r w:rsidR="00775294" w:rsidRPr="007A177A">
        <w:rPr>
          <w:rFonts w:cs="Arial"/>
          <w:i/>
        </w:rPr>
        <w:t>USULA OCTAVA: FORMA DE PAGO Y AJUSTES DEL VALOR DEL ACTA CORRESPONDIENTE</w:t>
      </w:r>
      <w:r w:rsidR="00FC3921" w:rsidRPr="007A177A">
        <w:rPr>
          <w:rFonts w:cs="Arial"/>
          <w:i/>
        </w:rPr>
        <w:t>.- Dentro de los diez (10) primero</w:t>
      </w:r>
      <w:r w:rsidR="00D525BD" w:rsidRPr="007A177A">
        <w:rPr>
          <w:rFonts w:cs="Arial"/>
          <w:i/>
        </w:rPr>
        <w:t>s</w:t>
      </w:r>
      <w:r w:rsidR="00FC3921" w:rsidRPr="007A177A">
        <w:rPr>
          <w:rFonts w:cs="Arial"/>
          <w:i/>
        </w:rPr>
        <w:t xml:space="preserve"> días de cada mes, el interventor y el contratista elaborarán actas de pago de las obras terminadas en el mes anterior, de acuerdo con lo estipulado en la cláusula décima y cuyo valor básico </w:t>
      </w:r>
      <w:r w:rsidR="00D525BD" w:rsidRPr="007A177A">
        <w:rPr>
          <w:rFonts w:cs="Arial"/>
          <w:i/>
        </w:rPr>
        <w:t>‘</w:t>
      </w:r>
      <w:r w:rsidR="00C1034F" w:rsidRPr="007A177A">
        <w:rPr>
          <w:rFonts w:cs="Arial"/>
          <w:i/>
        </w:rPr>
        <w:t>Po</w:t>
      </w:r>
      <w:r w:rsidR="00D525BD" w:rsidRPr="007A177A">
        <w:rPr>
          <w:rFonts w:cs="Arial"/>
          <w:i/>
        </w:rPr>
        <w:t>’</w:t>
      </w:r>
      <w:r w:rsidR="00C1034F" w:rsidRPr="007A177A">
        <w:rPr>
          <w:rFonts w:cs="Arial"/>
          <w:i/>
        </w:rPr>
        <w:t xml:space="preserve"> </w:t>
      </w:r>
      <w:r w:rsidR="00FC3921" w:rsidRPr="007A177A">
        <w:rPr>
          <w:rFonts w:cs="Arial"/>
          <w:i/>
        </w:rPr>
        <w:t xml:space="preserve">se determinará </w:t>
      </w:r>
      <w:r w:rsidR="00C1034F" w:rsidRPr="007A177A">
        <w:rPr>
          <w:rFonts w:cs="Arial"/>
          <w:i/>
        </w:rPr>
        <w:t xml:space="preserve">de conformidad con lo estipulado en la cláusula novena del presente contrato, PARÁGRAFO PRIMERO: El valor básico del acta por la obra ejecutada cada mes se ajustará para cada grupo de obra de acuerdo con la siguiente fórmula: </w:t>
      </w:r>
    </w:p>
    <w:p w14:paraId="0E76B6B0" w14:textId="77777777" w:rsidR="00104CC0" w:rsidRPr="007A177A" w:rsidRDefault="00C1034F" w:rsidP="00BF333B">
      <w:pPr>
        <w:pStyle w:val="Lista2"/>
        <w:spacing w:line="240" w:lineRule="auto"/>
        <w:ind w:left="567" w:right="902" w:firstLine="0"/>
        <w:rPr>
          <w:rFonts w:cs="Arial"/>
          <w:i/>
        </w:rPr>
      </w:pPr>
      <w:r w:rsidRPr="007A177A">
        <w:rPr>
          <w:rFonts w:cs="Arial"/>
          <w:i/>
        </w:rPr>
        <w:t xml:space="preserve"> </w:t>
      </w:r>
    </w:p>
    <w:p w14:paraId="7B4B3D2C" w14:textId="77777777" w:rsidR="00DE0F50" w:rsidRPr="007A177A" w:rsidRDefault="00104CC0" w:rsidP="00BF333B">
      <w:pPr>
        <w:pStyle w:val="Lista2"/>
        <w:spacing w:line="240" w:lineRule="auto"/>
        <w:ind w:left="567" w:right="902" w:firstLine="0"/>
        <w:rPr>
          <w:rFonts w:cs="Arial"/>
          <w:i/>
        </w:rPr>
      </w:pPr>
      <w:r w:rsidRPr="007A177A">
        <w:rPr>
          <w:rFonts w:cs="Arial"/>
          <w:i/>
        </w:rPr>
        <w:t>“</w:t>
      </w:r>
      <w:r w:rsidR="00C1034F" w:rsidRPr="007A177A">
        <w:rPr>
          <w:rFonts w:cs="Arial"/>
          <w:i/>
        </w:rPr>
        <w:t xml:space="preserve">P </w:t>
      </w:r>
      <w:r w:rsidR="001860FE" w:rsidRPr="007A177A">
        <w:rPr>
          <w:rFonts w:cs="Arial"/>
          <w:i/>
        </w:rPr>
        <w:t xml:space="preserve">= </w:t>
      </w:r>
      <w:r w:rsidR="00C1034F" w:rsidRPr="007A177A">
        <w:rPr>
          <w:rFonts w:cs="Arial"/>
          <w:i/>
        </w:rPr>
        <w:t xml:space="preserve"> Po</w:t>
      </w:r>
      <w:r w:rsidR="00D525BD" w:rsidRPr="007A177A">
        <w:rPr>
          <w:rFonts w:cs="Arial"/>
          <w:i/>
        </w:rPr>
        <w:t xml:space="preserve"> x</w:t>
      </w:r>
      <w:r w:rsidR="001860FE" w:rsidRPr="007A177A">
        <w:rPr>
          <w:rFonts w:cs="Arial"/>
          <w:i/>
        </w:rPr>
        <w:t xml:space="preserve"> </w:t>
      </w:r>
      <w:r w:rsidR="00D525BD" w:rsidRPr="007A177A">
        <w:rPr>
          <w:rFonts w:cs="Arial"/>
          <w:i/>
        </w:rPr>
        <w:t xml:space="preserve"> </w:t>
      </w:r>
      <w:r w:rsidR="001860FE" w:rsidRPr="007A177A">
        <w:rPr>
          <w:rFonts w:cs="Arial"/>
          <w:i/>
        </w:rPr>
        <w:t>I</w:t>
      </w:r>
      <w:r w:rsidR="00D525BD" w:rsidRPr="007A177A">
        <w:rPr>
          <w:rFonts w:cs="Arial"/>
          <w:i/>
        </w:rPr>
        <w:t xml:space="preserve"> </w:t>
      </w:r>
      <w:r w:rsidR="001860FE" w:rsidRPr="007A177A">
        <w:rPr>
          <w:rFonts w:cs="Arial"/>
          <w:i/>
        </w:rPr>
        <w:t xml:space="preserve">/ </w:t>
      </w:r>
      <w:proofErr w:type="spellStart"/>
      <w:r w:rsidR="001860FE" w:rsidRPr="007A177A">
        <w:rPr>
          <w:rFonts w:cs="Arial"/>
          <w:i/>
        </w:rPr>
        <w:t>Io</w:t>
      </w:r>
      <w:proofErr w:type="spellEnd"/>
      <w:r w:rsidR="001860FE" w:rsidRPr="007A177A">
        <w:rPr>
          <w:rFonts w:cs="Arial"/>
          <w:i/>
        </w:rPr>
        <w:t xml:space="preserve">, en el cual (…) </w:t>
      </w:r>
    </w:p>
    <w:p w14:paraId="1076CCE1" w14:textId="77777777" w:rsidR="00DE0F50" w:rsidRPr="007A177A" w:rsidRDefault="00DE0F50" w:rsidP="00BF333B">
      <w:pPr>
        <w:pStyle w:val="Lista2"/>
        <w:spacing w:line="240" w:lineRule="auto"/>
        <w:ind w:left="567" w:right="902" w:firstLine="0"/>
        <w:rPr>
          <w:rFonts w:cs="Arial"/>
          <w:i/>
        </w:rPr>
      </w:pPr>
    </w:p>
    <w:p w14:paraId="389E8C03" w14:textId="77777777" w:rsidR="00104CC0" w:rsidRPr="007A177A" w:rsidRDefault="00104CC0" w:rsidP="00BF333B">
      <w:pPr>
        <w:pStyle w:val="Lista2"/>
        <w:spacing w:line="240" w:lineRule="auto"/>
        <w:ind w:left="567" w:right="902" w:firstLine="0"/>
        <w:rPr>
          <w:rFonts w:cs="Arial"/>
          <w:i/>
        </w:rPr>
      </w:pPr>
      <w:r w:rsidRPr="007A177A">
        <w:rPr>
          <w:rFonts w:cs="Arial"/>
          <w:i/>
        </w:rPr>
        <w:t xml:space="preserve">“(…) </w:t>
      </w:r>
    </w:p>
    <w:p w14:paraId="356E1260" w14:textId="77777777" w:rsidR="00104CC0" w:rsidRPr="007A177A" w:rsidRDefault="00104CC0" w:rsidP="00BF333B">
      <w:pPr>
        <w:pStyle w:val="Lista2"/>
        <w:spacing w:line="240" w:lineRule="auto"/>
        <w:ind w:left="567" w:right="902" w:firstLine="0"/>
        <w:rPr>
          <w:rFonts w:cs="Arial"/>
          <w:i/>
        </w:rPr>
      </w:pPr>
    </w:p>
    <w:p w14:paraId="5AC3CB0F" w14:textId="77777777" w:rsidR="00DE0F50" w:rsidRPr="007A177A" w:rsidRDefault="00104CC0" w:rsidP="00BF333B">
      <w:pPr>
        <w:pStyle w:val="Lista2"/>
        <w:spacing w:line="240" w:lineRule="auto"/>
        <w:ind w:left="567" w:right="902" w:firstLine="0"/>
        <w:rPr>
          <w:rFonts w:cs="Arial"/>
          <w:i/>
        </w:rPr>
      </w:pPr>
      <w:r w:rsidRPr="007A177A">
        <w:rPr>
          <w:rFonts w:cs="Arial"/>
          <w:i/>
        </w:rPr>
        <w:t>“</w:t>
      </w:r>
      <w:r w:rsidR="001860FE" w:rsidRPr="007A177A">
        <w:rPr>
          <w:rFonts w:cs="Arial"/>
          <w:i/>
        </w:rPr>
        <w:t xml:space="preserve">I = Valor del </w:t>
      </w:r>
      <w:r w:rsidRPr="007A177A">
        <w:rPr>
          <w:rFonts w:cs="Arial"/>
          <w:i/>
        </w:rPr>
        <w:t>“í</w:t>
      </w:r>
      <w:r w:rsidR="00DE0F50" w:rsidRPr="007A177A">
        <w:rPr>
          <w:rFonts w:cs="Arial"/>
          <w:i/>
        </w:rPr>
        <w:t>n</w:t>
      </w:r>
      <w:r w:rsidR="001860FE" w:rsidRPr="007A177A">
        <w:rPr>
          <w:rFonts w:cs="Arial"/>
          <w:i/>
        </w:rPr>
        <w:t>dice</w:t>
      </w:r>
      <w:r w:rsidRPr="007A177A">
        <w:rPr>
          <w:rFonts w:cs="Arial"/>
          <w:i/>
        </w:rPr>
        <w:t>”</w:t>
      </w:r>
      <w:r w:rsidR="001860FE" w:rsidRPr="007A177A">
        <w:rPr>
          <w:rFonts w:cs="Arial"/>
          <w:i/>
        </w:rPr>
        <w:t xml:space="preserve"> de precios de la construcción de carreteras</w:t>
      </w:r>
      <w:r w:rsidR="00D778A9" w:rsidRPr="007A177A">
        <w:rPr>
          <w:rFonts w:cs="Arial"/>
          <w:i/>
        </w:rPr>
        <w:t xml:space="preserve">, para el correspondiente grupo de obra, </w:t>
      </w:r>
      <w:r w:rsidR="00D778A9" w:rsidRPr="007A177A">
        <w:rPr>
          <w:rFonts w:cs="Arial"/>
          <w:b/>
          <w:i/>
        </w:rPr>
        <w:t>para el mes en el cual se ejecutó la obra.</w:t>
      </w:r>
      <w:r w:rsidR="00D778A9" w:rsidRPr="007A177A">
        <w:rPr>
          <w:rFonts w:cs="Arial"/>
          <w:i/>
        </w:rPr>
        <w:t xml:space="preserve"> El valor del índice ser</w:t>
      </w:r>
      <w:r w:rsidR="00D525BD" w:rsidRPr="007A177A">
        <w:rPr>
          <w:rFonts w:cs="Arial"/>
          <w:i/>
        </w:rPr>
        <w:t>á</w:t>
      </w:r>
      <w:r w:rsidR="00D778A9" w:rsidRPr="007A177A">
        <w:rPr>
          <w:rFonts w:cs="Arial"/>
          <w:i/>
        </w:rPr>
        <w:t xml:space="preserve"> calculado por el Ministerio según las Proposiciones Nos 6757 y 6758 de agosto 18 de 1965 de la Junta de Licitaciones.</w:t>
      </w:r>
    </w:p>
    <w:p w14:paraId="2451E4A7" w14:textId="77777777" w:rsidR="00DE0F50" w:rsidRPr="007A177A" w:rsidRDefault="00DE0F50" w:rsidP="00BF333B">
      <w:pPr>
        <w:pStyle w:val="Lista2"/>
        <w:spacing w:line="240" w:lineRule="auto"/>
        <w:ind w:left="567" w:right="902" w:firstLine="0"/>
        <w:rPr>
          <w:rFonts w:cs="Arial"/>
          <w:i/>
        </w:rPr>
      </w:pPr>
    </w:p>
    <w:p w14:paraId="74BDAB37" w14:textId="77777777" w:rsidR="00D778A9" w:rsidRPr="007A177A" w:rsidRDefault="00104CC0" w:rsidP="00BF333B">
      <w:pPr>
        <w:pStyle w:val="Lista2"/>
        <w:spacing w:line="240" w:lineRule="auto"/>
        <w:ind w:left="567" w:right="902" w:firstLine="0"/>
        <w:rPr>
          <w:rFonts w:cs="Arial"/>
          <w:i/>
        </w:rPr>
      </w:pPr>
      <w:r w:rsidRPr="007A177A">
        <w:rPr>
          <w:rFonts w:cs="Arial"/>
          <w:i/>
        </w:rPr>
        <w:t>“</w:t>
      </w:r>
      <w:proofErr w:type="spellStart"/>
      <w:r w:rsidR="00D778A9" w:rsidRPr="007A177A">
        <w:rPr>
          <w:rFonts w:cs="Arial"/>
          <w:i/>
        </w:rPr>
        <w:t>Io</w:t>
      </w:r>
      <w:proofErr w:type="spellEnd"/>
      <w:r w:rsidR="00DE0F50" w:rsidRPr="007A177A">
        <w:rPr>
          <w:rFonts w:cs="Arial"/>
          <w:i/>
        </w:rPr>
        <w:t xml:space="preserve"> = </w:t>
      </w:r>
      <w:r w:rsidR="00D778A9" w:rsidRPr="007A177A">
        <w:rPr>
          <w:rFonts w:cs="Arial"/>
          <w:i/>
        </w:rPr>
        <w:t xml:space="preserve"> Valores de </w:t>
      </w:r>
      <w:r w:rsidR="00DE0F50" w:rsidRPr="007A177A">
        <w:rPr>
          <w:rFonts w:cs="Arial"/>
          <w:i/>
        </w:rPr>
        <w:t xml:space="preserve">I, </w:t>
      </w:r>
      <w:r w:rsidR="00D778A9" w:rsidRPr="007A177A">
        <w:rPr>
          <w:rFonts w:cs="Arial"/>
          <w:i/>
        </w:rPr>
        <w:t>correspondi</w:t>
      </w:r>
      <w:r w:rsidR="00DE0F50" w:rsidRPr="007A177A">
        <w:rPr>
          <w:rFonts w:cs="Arial"/>
          <w:i/>
        </w:rPr>
        <w:t>e</w:t>
      </w:r>
      <w:r w:rsidR="00D778A9" w:rsidRPr="007A177A">
        <w:rPr>
          <w:rFonts w:cs="Arial"/>
          <w:i/>
        </w:rPr>
        <w:t xml:space="preserve">ntes </w:t>
      </w:r>
      <w:r w:rsidR="00D778A9" w:rsidRPr="007A177A">
        <w:rPr>
          <w:rFonts w:cs="Arial"/>
          <w:b/>
          <w:i/>
        </w:rPr>
        <w:t>al mes de cierre de la licitación:</w:t>
      </w:r>
      <w:r w:rsidR="00D778A9" w:rsidRPr="007A177A">
        <w:rPr>
          <w:rFonts w:cs="Arial"/>
          <w:i/>
        </w:rPr>
        <w:t xml:space="preserve"> abril de 197</w:t>
      </w:r>
      <w:r w:rsidR="00D525BD" w:rsidRPr="007A177A">
        <w:rPr>
          <w:rFonts w:cs="Arial"/>
          <w:i/>
        </w:rPr>
        <w:t>6”</w:t>
      </w:r>
      <w:r w:rsidR="00DE0F50" w:rsidRPr="007A177A">
        <w:rPr>
          <w:rFonts w:cs="Arial"/>
        </w:rPr>
        <w:t xml:space="preserve"> (la negrilla no es del texto).</w:t>
      </w:r>
    </w:p>
    <w:p w14:paraId="2B5E40F0" w14:textId="77777777" w:rsidR="00DE0F50" w:rsidRPr="007A177A" w:rsidRDefault="00DE0F50" w:rsidP="00BF333B">
      <w:pPr>
        <w:pStyle w:val="Lista2"/>
        <w:spacing w:line="240" w:lineRule="auto"/>
        <w:ind w:left="567" w:right="902" w:firstLine="0"/>
        <w:rPr>
          <w:rFonts w:cs="Arial"/>
          <w:i/>
        </w:rPr>
      </w:pPr>
    </w:p>
    <w:p w14:paraId="59EDF6A7" w14:textId="77777777" w:rsidR="00DE0F50" w:rsidRPr="007A177A" w:rsidRDefault="00104CC0" w:rsidP="00BF333B">
      <w:pPr>
        <w:pStyle w:val="Lista2"/>
        <w:spacing w:line="240" w:lineRule="auto"/>
        <w:ind w:left="567" w:right="902" w:firstLine="0"/>
        <w:rPr>
          <w:rFonts w:cs="Arial"/>
          <w:i/>
        </w:rPr>
      </w:pPr>
      <w:r w:rsidRPr="007A177A">
        <w:rPr>
          <w:rFonts w:cs="Arial"/>
          <w:i/>
        </w:rPr>
        <w:t>“</w:t>
      </w:r>
      <w:r w:rsidR="00DE0F50" w:rsidRPr="007A177A">
        <w:rPr>
          <w:rFonts w:cs="Arial"/>
          <w:i/>
        </w:rPr>
        <w:t>PARÁGRAFO SEGUNDO: Del valor de cada Acta de pago se desconta</w:t>
      </w:r>
      <w:r w:rsidR="00692B72" w:rsidRPr="007A177A">
        <w:rPr>
          <w:rFonts w:cs="Arial"/>
          <w:i/>
        </w:rPr>
        <w:t>r</w:t>
      </w:r>
      <w:r w:rsidR="00DE0F50" w:rsidRPr="007A177A">
        <w:rPr>
          <w:rFonts w:cs="Arial"/>
          <w:i/>
        </w:rPr>
        <w:t>án las cuotas co</w:t>
      </w:r>
      <w:r w:rsidR="00692B72" w:rsidRPr="007A177A">
        <w:rPr>
          <w:rFonts w:cs="Arial"/>
          <w:i/>
        </w:rPr>
        <w:t xml:space="preserve">rrespondientes a la amortización de anticipos y cualquier otro documento pactado en desarrollo del contrato. </w:t>
      </w:r>
    </w:p>
    <w:p w14:paraId="191C38BD" w14:textId="77777777" w:rsidR="00DE0F50" w:rsidRPr="007A177A" w:rsidRDefault="00DE0F50" w:rsidP="00BF333B">
      <w:pPr>
        <w:pStyle w:val="Lista2"/>
        <w:spacing w:line="240" w:lineRule="auto"/>
        <w:ind w:left="567" w:right="902" w:firstLine="0"/>
        <w:rPr>
          <w:rFonts w:cs="Arial"/>
          <w:i/>
        </w:rPr>
      </w:pPr>
    </w:p>
    <w:p w14:paraId="6AB97CDB" w14:textId="77777777" w:rsidR="007C21C3" w:rsidRPr="007A177A" w:rsidRDefault="00692B72" w:rsidP="00BF333B">
      <w:pPr>
        <w:pStyle w:val="Lista2"/>
        <w:spacing w:line="240" w:lineRule="auto"/>
        <w:ind w:left="567" w:right="902" w:firstLine="0"/>
        <w:rPr>
          <w:rFonts w:cs="Arial"/>
          <w:i/>
        </w:rPr>
      </w:pPr>
      <w:r w:rsidRPr="007A177A">
        <w:rPr>
          <w:rFonts w:cs="Arial"/>
          <w:i/>
        </w:rPr>
        <w:t>“</w:t>
      </w:r>
      <w:r w:rsidR="002A2FBF" w:rsidRPr="007A177A">
        <w:rPr>
          <w:rFonts w:cs="Arial"/>
          <w:i/>
        </w:rPr>
        <w:t>CLÁUSULA NOVENA: REMUNERACI</w:t>
      </w:r>
      <w:r w:rsidR="00D525BD" w:rsidRPr="007A177A">
        <w:rPr>
          <w:rFonts w:cs="Arial"/>
          <w:i/>
        </w:rPr>
        <w:t>Ó</w:t>
      </w:r>
      <w:r w:rsidR="002A2FBF" w:rsidRPr="007A177A">
        <w:rPr>
          <w:rFonts w:cs="Arial"/>
          <w:i/>
        </w:rPr>
        <w:t xml:space="preserve">N.- La remuneración que recibiré </w:t>
      </w:r>
      <w:r w:rsidR="00775294" w:rsidRPr="007A177A">
        <w:rPr>
          <w:rFonts w:cs="Arial"/>
          <w:i/>
        </w:rPr>
        <w:t xml:space="preserve">EL CONTRATISTA </w:t>
      </w:r>
      <w:r w:rsidR="00775294" w:rsidRPr="007A177A">
        <w:rPr>
          <w:rFonts w:cs="Arial"/>
          <w:b/>
          <w:bCs/>
          <w:i/>
        </w:rPr>
        <w:t xml:space="preserve">será </w:t>
      </w:r>
      <w:r w:rsidR="002A2FBF" w:rsidRPr="007A177A">
        <w:rPr>
          <w:rFonts w:cs="Arial"/>
          <w:b/>
          <w:bCs/>
          <w:i/>
        </w:rPr>
        <w:t xml:space="preserve">el </w:t>
      </w:r>
      <w:r w:rsidR="00775294" w:rsidRPr="007A177A">
        <w:rPr>
          <w:rFonts w:cs="Arial"/>
          <w:b/>
          <w:bCs/>
          <w:i/>
        </w:rPr>
        <w:t>resultado de la multiplicación de las cantidades de obra ejecutada por los precios unitarios que figuran en la cláusula quinta más los ajustes corr</w:t>
      </w:r>
      <w:r w:rsidRPr="007A177A">
        <w:rPr>
          <w:rFonts w:cs="Arial"/>
          <w:b/>
          <w:bCs/>
          <w:i/>
        </w:rPr>
        <w:t>e</w:t>
      </w:r>
      <w:r w:rsidR="00775294" w:rsidRPr="007A177A">
        <w:rPr>
          <w:rFonts w:cs="Arial"/>
          <w:b/>
          <w:bCs/>
          <w:i/>
        </w:rPr>
        <w:t>spondientes de acuerdo con lo establecido en la cláusul</w:t>
      </w:r>
      <w:r w:rsidRPr="007A177A">
        <w:rPr>
          <w:rFonts w:cs="Arial"/>
          <w:b/>
          <w:bCs/>
          <w:i/>
        </w:rPr>
        <w:t>a</w:t>
      </w:r>
      <w:r w:rsidR="00775294" w:rsidRPr="007A177A">
        <w:rPr>
          <w:rFonts w:cs="Arial"/>
          <w:b/>
          <w:bCs/>
          <w:i/>
        </w:rPr>
        <w:t xml:space="preserve"> octava</w:t>
      </w:r>
      <w:r w:rsidR="00E9099D" w:rsidRPr="007A177A">
        <w:rPr>
          <w:rFonts w:cs="Arial"/>
          <w:i/>
        </w:rPr>
        <w:t>.</w:t>
      </w:r>
      <w:r w:rsidR="00775294" w:rsidRPr="007A177A">
        <w:rPr>
          <w:rFonts w:cs="Arial"/>
          <w:i/>
        </w:rPr>
        <w:t xml:space="preserve"> </w:t>
      </w:r>
    </w:p>
    <w:p w14:paraId="68F7C15C" w14:textId="77777777" w:rsidR="007C21C3" w:rsidRPr="007A177A" w:rsidRDefault="007C21C3" w:rsidP="00BF333B">
      <w:pPr>
        <w:pStyle w:val="Lista2"/>
        <w:spacing w:line="240" w:lineRule="auto"/>
        <w:ind w:left="567" w:right="902" w:firstLine="0"/>
        <w:rPr>
          <w:rFonts w:cs="Arial"/>
          <w:i/>
        </w:rPr>
      </w:pPr>
    </w:p>
    <w:p w14:paraId="03C1E488" w14:textId="77777777" w:rsidR="007C21C3" w:rsidRPr="007A177A" w:rsidRDefault="001C7CBB" w:rsidP="00BF333B">
      <w:pPr>
        <w:pStyle w:val="Lista2"/>
        <w:spacing w:line="240" w:lineRule="auto"/>
        <w:ind w:left="567" w:right="902" w:firstLine="0"/>
        <w:rPr>
          <w:rFonts w:cs="Arial"/>
          <w:i/>
        </w:rPr>
      </w:pPr>
      <w:r w:rsidRPr="007A177A">
        <w:rPr>
          <w:rFonts w:cs="Arial"/>
          <w:i/>
        </w:rPr>
        <w:t>“</w:t>
      </w:r>
      <w:r w:rsidR="007C21C3" w:rsidRPr="007A177A">
        <w:rPr>
          <w:rFonts w:cs="Arial"/>
          <w:i/>
        </w:rPr>
        <w:t>(</w:t>
      </w:r>
      <w:r w:rsidR="00D525BD" w:rsidRPr="007A177A">
        <w:rPr>
          <w:rFonts w:cs="Arial"/>
          <w:i/>
        </w:rPr>
        <w:t>…</w:t>
      </w:r>
      <w:r w:rsidR="007C21C3" w:rsidRPr="007A177A">
        <w:rPr>
          <w:rFonts w:cs="Arial"/>
          <w:i/>
        </w:rPr>
        <w:t>)</w:t>
      </w:r>
      <w:r w:rsidRPr="007A177A">
        <w:rPr>
          <w:rFonts w:cs="Arial"/>
          <w:i/>
        </w:rPr>
        <w:t>.</w:t>
      </w:r>
    </w:p>
    <w:p w14:paraId="4068DD6B" w14:textId="77777777" w:rsidR="0085322F" w:rsidRPr="007A177A" w:rsidRDefault="0085322F" w:rsidP="00BF333B">
      <w:pPr>
        <w:pStyle w:val="Lista2"/>
        <w:spacing w:line="240" w:lineRule="auto"/>
        <w:ind w:left="567" w:right="902" w:firstLine="0"/>
        <w:rPr>
          <w:rFonts w:cs="Arial"/>
          <w:i/>
        </w:rPr>
      </w:pPr>
    </w:p>
    <w:p w14:paraId="12032B90" w14:textId="77777777" w:rsidR="0085322F" w:rsidRPr="007A177A" w:rsidRDefault="0085322F" w:rsidP="00BF333B">
      <w:pPr>
        <w:pStyle w:val="Lista2"/>
        <w:spacing w:line="240" w:lineRule="auto"/>
        <w:ind w:left="567" w:right="902" w:firstLine="0"/>
        <w:rPr>
          <w:rFonts w:cs="Arial"/>
          <w:i/>
        </w:rPr>
      </w:pPr>
      <w:r w:rsidRPr="007A177A">
        <w:rPr>
          <w:rFonts w:cs="Arial"/>
          <w:i/>
        </w:rPr>
        <w:t xml:space="preserve">“CLÁUSULA DÉCIMA PRIMERA: ANTICIPOS: El FONDO VIAL podrá conceder anticipos hasta por el veinte por ciento </w:t>
      </w:r>
      <w:r w:rsidR="00E3420E" w:rsidRPr="007A177A">
        <w:rPr>
          <w:rFonts w:cs="Arial"/>
          <w:i/>
        </w:rPr>
        <w:t>(20) del valor del contrato, teniendo en cuenta las apropiaciones presupuestales. El CONTRATISTA deberá amortizar los anticipos mediante deducciones de cuotas mensuales de pago (…)</w:t>
      </w:r>
      <w:r w:rsidR="00C05794" w:rsidRPr="007A177A">
        <w:rPr>
          <w:rFonts w:cs="Arial"/>
          <w:i/>
        </w:rPr>
        <w:t>,</w:t>
      </w:r>
      <w:r w:rsidR="00E3420E" w:rsidRPr="007A177A">
        <w:rPr>
          <w:rFonts w:cs="Arial"/>
          <w:i/>
        </w:rPr>
        <w:t xml:space="preserve">  </w:t>
      </w:r>
    </w:p>
    <w:p w14:paraId="1EAAF70D" w14:textId="77777777" w:rsidR="007C21C3" w:rsidRPr="007A177A" w:rsidRDefault="007C21C3" w:rsidP="00BF333B">
      <w:pPr>
        <w:pStyle w:val="Lista2"/>
        <w:spacing w:line="240" w:lineRule="auto"/>
        <w:ind w:left="567" w:right="902" w:firstLine="0"/>
        <w:rPr>
          <w:rFonts w:cs="Arial"/>
          <w:i/>
        </w:rPr>
      </w:pPr>
    </w:p>
    <w:p w14:paraId="1FD468FE" w14:textId="77777777" w:rsidR="00C05794" w:rsidRPr="007A177A" w:rsidRDefault="00C05794" w:rsidP="00BF333B">
      <w:pPr>
        <w:pStyle w:val="Lista2"/>
        <w:spacing w:line="240" w:lineRule="auto"/>
        <w:ind w:left="567" w:right="902" w:firstLine="0"/>
        <w:rPr>
          <w:rFonts w:cs="Arial"/>
          <w:i/>
        </w:rPr>
      </w:pPr>
      <w:r w:rsidRPr="007A177A">
        <w:rPr>
          <w:rFonts w:cs="Arial"/>
          <w:i/>
        </w:rPr>
        <w:t xml:space="preserve">“(…) </w:t>
      </w:r>
    </w:p>
    <w:p w14:paraId="32CCA5C0" w14:textId="77777777" w:rsidR="00C05794" w:rsidRPr="007A177A" w:rsidRDefault="00C05794" w:rsidP="00BF333B">
      <w:pPr>
        <w:pStyle w:val="Lista2"/>
        <w:spacing w:line="240" w:lineRule="auto"/>
        <w:ind w:left="567" w:right="902" w:firstLine="0"/>
        <w:rPr>
          <w:rFonts w:cs="Arial"/>
          <w:i/>
        </w:rPr>
      </w:pPr>
    </w:p>
    <w:p w14:paraId="6FFF898B" w14:textId="77777777" w:rsidR="00424ACD" w:rsidRPr="007A177A" w:rsidRDefault="00C05794" w:rsidP="00BF333B">
      <w:pPr>
        <w:pStyle w:val="Lista2"/>
        <w:spacing w:line="240" w:lineRule="auto"/>
        <w:ind w:left="567" w:right="902" w:firstLine="0"/>
        <w:rPr>
          <w:rFonts w:cs="Arial"/>
          <w:i/>
        </w:rPr>
      </w:pPr>
      <w:r w:rsidRPr="007A177A">
        <w:rPr>
          <w:rFonts w:cs="Arial"/>
          <w:i/>
        </w:rPr>
        <w:t>“</w:t>
      </w:r>
      <w:r w:rsidR="007C21C3" w:rsidRPr="007A177A">
        <w:rPr>
          <w:rFonts w:cs="Arial"/>
          <w:i/>
        </w:rPr>
        <w:t>CLAUSULA VIGÉSIMA CUARTA: L</w:t>
      </w:r>
      <w:r w:rsidR="00D525BD" w:rsidRPr="007A177A">
        <w:rPr>
          <w:rFonts w:cs="Arial"/>
          <w:i/>
        </w:rPr>
        <w:t>I</w:t>
      </w:r>
      <w:r w:rsidR="007C21C3" w:rsidRPr="007A177A">
        <w:rPr>
          <w:rFonts w:cs="Arial"/>
          <w:i/>
        </w:rPr>
        <w:t>QUIDACION.- La liquidación del presente contrato se hará por la división</w:t>
      </w:r>
      <w:r w:rsidR="00424ACD" w:rsidRPr="007A177A">
        <w:rPr>
          <w:rFonts w:cs="Arial"/>
          <w:i/>
        </w:rPr>
        <w:t xml:space="preserve"> de contratación del Ministerio de Obras Públicas y Transporte, de  conformidad con las disposiciones vigentes, para la fecha en que se efectúe, dicha diligencia” </w:t>
      </w:r>
      <w:r w:rsidR="00424ACD" w:rsidRPr="007A177A">
        <w:rPr>
          <w:rStyle w:val="Refdenotaalpie"/>
          <w:rFonts w:cs="Arial"/>
          <w:i/>
        </w:rPr>
        <w:footnoteReference w:id="83"/>
      </w:r>
      <w:r w:rsidR="00BA5873" w:rsidRPr="007A177A">
        <w:rPr>
          <w:rFonts w:cs="Arial"/>
          <w:i/>
        </w:rPr>
        <w:t>.</w:t>
      </w:r>
    </w:p>
    <w:p w14:paraId="490AACB6" w14:textId="77777777" w:rsidR="00424ACD" w:rsidRPr="007A177A" w:rsidRDefault="00424ACD" w:rsidP="00BF333B">
      <w:pPr>
        <w:pStyle w:val="Lista2"/>
        <w:ind w:left="567" w:right="902" w:firstLine="0"/>
        <w:rPr>
          <w:rFonts w:cs="Arial"/>
          <w:i/>
        </w:rPr>
      </w:pPr>
      <w:r w:rsidRPr="007A177A">
        <w:rPr>
          <w:rFonts w:cs="Arial"/>
          <w:i/>
        </w:rPr>
        <w:t xml:space="preserve">. </w:t>
      </w:r>
    </w:p>
    <w:p w14:paraId="3990937D" w14:textId="77777777" w:rsidR="00C56032" w:rsidRPr="007A177A" w:rsidRDefault="00937F5A" w:rsidP="00BF333B">
      <w:pPr>
        <w:pStyle w:val="Lista2"/>
        <w:ind w:left="0" w:firstLine="0"/>
        <w:rPr>
          <w:rFonts w:cs="Arial"/>
        </w:rPr>
      </w:pPr>
      <w:r w:rsidRPr="007A177A">
        <w:rPr>
          <w:rFonts w:cs="Arial"/>
          <w:b/>
        </w:rPr>
        <w:t>8</w:t>
      </w:r>
      <w:r w:rsidR="00424511" w:rsidRPr="007A177A">
        <w:rPr>
          <w:rFonts w:cs="Arial"/>
          <w:b/>
        </w:rPr>
        <w:t>.</w:t>
      </w:r>
      <w:r w:rsidR="0087755C" w:rsidRPr="007A177A">
        <w:rPr>
          <w:rFonts w:cs="Arial"/>
          <w:b/>
        </w:rPr>
        <w:t>3</w:t>
      </w:r>
      <w:r w:rsidR="00424511" w:rsidRPr="007A177A">
        <w:rPr>
          <w:rFonts w:cs="Arial"/>
          <w:b/>
        </w:rPr>
        <w:t>.</w:t>
      </w:r>
      <w:r w:rsidR="00C56032" w:rsidRPr="007A177A">
        <w:rPr>
          <w:rFonts w:cs="Arial"/>
        </w:rPr>
        <w:t xml:space="preserve">  Acta de iniciación de obras suscrita por el representante de las contratistas y el interventor el 4 de agosto de 1978</w:t>
      </w:r>
      <w:r w:rsidR="00C56032" w:rsidRPr="007A177A">
        <w:rPr>
          <w:rStyle w:val="Refdenotaalpie"/>
          <w:rFonts w:cs="Arial"/>
        </w:rPr>
        <w:footnoteReference w:id="84"/>
      </w:r>
      <w:r w:rsidR="00BA5873" w:rsidRPr="007A177A">
        <w:rPr>
          <w:rFonts w:cs="Arial"/>
        </w:rPr>
        <w:t>.</w:t>
      </w:r>
    </w:p>
    <w:p w14:paraId="43392398" w14:textId="77777777" w:rsidR="00C56032" w:rsidRPr="007A177A" w:rsidRDefault="00C56032" w:rsidP="00BF333B">
      <w:pPr>
        <w:pStyle w:val="Lista2"/>
        <w:ind w:left="0" w:firstLine="0"/>
        <w:rPr>
          <w:rFonts w:cs="Arial"/>
          <w:b/>
        </w:rPr>
      </w:pPr>
    </w:p>
    <w:p w14:paraId="0217487A" w14:textId="77777777" w:rsidR="008C0CE4" w:rsidRPr="007A177A" w:rsidRDefault="00937F5A" w:rsidP="00BF333B">
      <w:pPr>
        <w:pStyle w:val="Lista2"/>
        <w:ind w:left="0" w:firstLine="0"/>
        <w:rPr>
          <w:rFonts w:cs="Arial"/>
        </w:rPr>
      </w:pPr>
      <w:r w:rsidRPr="007A177A">
        <w:rPr>
          <w:rFonts w:cs="Arial"/>
          <w:b/>
        </w:rPr>
        <w:t>8</w:t>
      </w:r>
      <w:r w:rsidR="00424511" w:rsidRPr="007A177A">
        <w:rPr>
          <w:rFonts w:cs="Arial"/>
          <w:b/>
        </w:rPr>
        <w:t>.</w:t>
      </w:r>
      <w:r w:rsidR="0087755C" w:rsidRPr="007A177A">
        <w:rPr>
          <w:rFonts w:cs="Arial"/>
          <w:b/>
        </w:rPr>
        <w:t>4</w:t>
      </w:r>
      <w:r w:rsidR="008C0CE4" w:rsidRPr="007A177A">
        <w:rPr>
          <w:rFonts w:cs="Arial"/>
          <w:b/>
        </w:rPr>
        <w:t>.</w:t>
      </w:r>
      <w:r w:rsidR="008C0CE4" w:rsidRPr="007A177A">
        <w:rPr>
          <w:rFonts w:cs="Arial"/>
        </w:rPr>
        <w:t xml:space="preserve"> Contrato </w:t>
      </w:r>
      <w:r w:rsidR="004901F8" w:rsidRPr="007A177A">
        <w:rPr>
          <w:rFonts w:cs="Arial"/>
        </w:rPr>
        <w:t>a</w:t>
      </w:r>
      <w:r w:rsidR="008C0CE4" w:rsidRPr="007A177A">
        <w:rPr>
          <w:rFonts w:cs="Arial"/>
        </w:rPr>
        <w:t>dicional No. 551 suscrito el 12 de diciembre de 1978, en el cual se prorrog</w:t>
      </w:r>
      <w:r w:rsidR="00C05794" w:rsidRPr="007A177A">
        <w:rPr>
          <w:rFonts w:cs="Arial"/>
        </w:rPr>
        <w:t>ó</w:t>
      </w:r>
      <w:r w:rsidR="008C0CE4" w:rsidRPr="007A177A">
        <w:rPr>
          <w:rFonts w:cs="Arial"/>
        </w:rPr>
        <w:t xml:space="preserve"> el plazo de ejecución hasta el 31 de diciembre de</w:t>
      </w:r>
      <w:r w:rsidR="007C13B8" w:rsidRPr="007A177A">
        <w:rPr>
          <w:rFonts w:cs="Arial"/>
        </w:rPr>
        <w:t xml:space="preserve"> ese mismo año</w:t>
      </w:r>
      <w:r w:rsidR="008C0CE4" w:rsidRPr="007A177A">
        <w:rPr>
          <w:rStyle w:val="Refdenotaalpie"/>
          <w:rFonts w:cs="Arial"/>
        </w:rPr>
        <w:footnoteReference w:id="85"/>
      </w:r>
      <w:r w:rsidR="008C0CE4" w:rsidRPr="007A177A">
        <w:rPr>
          <w:rFonts w:cs="Arial"/>
        </w:rPr>
        <w:t>.</w:t>
      </w:r>
    </w:p>
    <w:p w14:paraId="1B26BA66" w14:textId="77777777" w:rsidR="008C0CE4" w:rsidRPr="007A177A" w:rsidRDefault="008C0CE4" w:rsidP="00BF333B">
      <w:pPr>
        <w:pStyle w:val="Lista2"/>
        <w:ind w:left="0" w:firstLine="0"/>
        <w:rPr>
          <w:rFonts w:cs="Arial"/>
        </w:rPr>
      </w:pPr>
    </w:p>
    <w:p w14:paraId="37C998B9" w14:textId="77777777" w:rsidR="00F1663F" w:rsidRPr="007A177A" w:rsidRDefault="00937F5A" w:rsidP="00BF333B">
      <w:pPr>
        <w:pStyle w:val="Lista2"/>
        <w:ind w:left="0" w:firstLine="0"/>
        <w:rPr>
          <w:rFonts w:cs="Arial"/>
        </w:rPr>
      </w:pPr>
      <w:r w:rsidRPr="007A177A">
        <w:rPr>
          <w:rFonts w:cs="Arial"/>
          <w:b/>
        </w:rPr>
        <w:t>8</w:t>
      </w:r>
      <w:r w:rsidR="00424511" w:rsidRPr="007A177A">
        <w:rPr>
          <w:rFonts w:cs="Arial"/>
          <w:b/>
        </w:rPr>
        <w:t>.</w:t>
      </w:r>
      <w:r w:rsidR="00770CBE" w:rsidRPr="007A177A">
        <w:rPr>
          <w:rFonts w:cs="Arial"/>
          <w:b/>
        </w:rPr>
        <w:t>5</w:t>
      </w:r>
      <w:r w:rsidR="00424511" w:rsidRPr="007A177A">
        <w:rPr>
          <w:rFonts w:cs="Arial"/>
          <w:b/>
        </w:rPr>
        <w:t>.</w:t>
      </w:r>
      <w:r w:rsidR="00F1663F" w:rsidRPr="007A177A">
        <w:rPr>
          <w:rFonts w:cs="Arial"/>
        </w:rPr>
        <w:t xml:space="preserve"> Contra</w:t>
      </w:r>
      <w:r w:rsidR="00260A67" w:rsidRPr="007A177A">
        <w:rPr>
          <w:rFonts w:cs="Arial"/>
        </w:rPr>
        <w:t>t</w:t>
      </w:r>
      <w:r w:rsidR="00F1663F" w:rsidRPr="007A177A">
        <w:rPr>
          <w:rFonts w:cs="Arial"/>
        </w:rPr>
        <w:t xml:space="preserve">o </w:t>
      </w:r>
      <w:r w:rsidR="004901F8" w:rsidRPr="007A177A">
        <w:rPr>
          <w:rFonts w:cs="Arial"/>
        </w:rPr>
        <w:t>a</w:t>
      </w:r>
      <w:r w:rsidR="00F1663F" w:rsidRPr="007A177A">
        <w:rPr>
          <w:rFonts w:cs="Arial"/>
        </w:rPr>
        <w:t>dici</w:t>
      </w:r>
      <w:r w:rsidR="00260A67" w:rsidRPr="007A177A">
        <w:rPr>
          <w:rFonts w:cs="Arial"/>
        </w:rPr>
        <w:t>o</w:t>
      </w:r>
      <w:r w:rsidR="00F1663F" w:rsidRPr="007A177A">
        <w:rPr>
          <w:rFonts w:cs="Arial"/>
        </w:rPr>
        <w:t>nal No. 612 – 78 suscrito el 19 de diciembre de</w:t>
      </w:r>
      <w:r w:rsidR="00260A67" w:rsidRPr="007A177A">
        <w:rPr>
          <w:rFonts w:cs="Arial"/>
        </w:rPr>
        <w:t xml:space="preserve"> </w:t>
      </w:r>
      <w:r w:rsidR="00F1663F" w:rsidRPr="007A177A">
        <w:rPr>
          <w:rFonts w:cs="Arial"/>
        </w:rPr>
        <w:t>1978</w:t>
      </w:r>
      <w:r w:rsidR="00BA5873" w:rsidRPr="007A177A">
        <w:rPr>
          <w:rFonts w:cs="Arial"/>
        </w:rPr>
        <w:t>,</w:t>
      </w:r>
      <w:r w:rsidR="00F1663F" w:rsidRPr="007A177A">
        <w:rPr>
          <w:rFonts w:cs="Arial"/>
        </w:rPr>
        <w:t xml:space="preserve"> en el cual se prorrog</w:t>
      </w:r>
      <w:r w:rsidR="00C05794" w:rsidRPr="007A177A">
        <w:rPr>
          <w:rFonts w:cs="Arial"/>
        </w:rPr>
        <w:t>ó</w:t>
      </w:r>
      <w:r w:rsidR="00F1663F" w:rsidRPr="007A177A">
        <w:rPr>
          <w:rFonts w:cs="Arial"/>
        </w:rPr>
        <w:t xml:space="preserve"> el plazo de ejecución hasta el 14 de abril de 1980</w:t>
      </w:r>
      <w:r w:rsidR="00F1663F" w:rsidRPr="007A177A">
        <w:rPr>
          <w:rStyle w:val="Refdenotaalpie"/>
          <w:rFonts w:cs="Arial"/>
        </w:rPr>
        <w:footnoteReference w:id="86"/>
      </w:r>
      <w:r w:rsidR="00F1663F" w:rsidRPr="007A177A">
        <w:rPr>
          <w:rFonts w:cs="Arial"/>
        </w:rPr>
        <w:t>,</w:t>
      </w:r>
      <w:r w:rsidR="00C05794" w:rsidRPr="007A177A">
        <w:rPr>
          <w:rFonts w:cs="Arial"/>
        </w:rPr>
        <w:t xml:space="preserve"> y se determinó el nuevo cronograma de obra.</w:t>
      </w:r>
    </w:p>
    <w:p w14:paraId="06301ECA" w14:textId="77777777" w:rsidR="0045742C" w:rsidRPr="007A177A" w:rsidRDefault="0045742C" w:rsidP="00BF333B">
      <w:pPr>
        <w:pStyle w:val="Lista2"/>
        <w:ind w:left="0" w:firstLine="0"/>
        <w:rPr>
          <w:rFonts w:cs="Arial"/>
        </w:rPr>
      </w:pPr>
    </w:p>
    <w:p w14:paraId="7F19DFD4" w14:textId="77777777" w:rsidR="00CC5775" w:rsidRPr="007A177A" w:rsidRDefault="00937F5A" w:rsidP="00BF333B">
      <w:pPr>
        <w:pStyle w:val="Lista2"/>
        <w:ind w:left="0" w:firstLine="0"/>
        <w:rPr>
          <w:rFonts w:cs="Arial"/>
        </w:rPr>
      </w:pPr>
      <w:r w:rsidRPr="007A177A">
        <w:rPr>
          <w:rFonts w:cs="Arial"/>
          <w:b/>
        </w:rPr>
        <w:t>8</w:t>
      </w:r>
      <w:r w:rsidR="00CC5775" w:rsidRPr="007A177A">
        <w:rPr>
          <w:rFonts w:cs="Arial"/>
          <w:b/>
        </w:rPr>
        <w:t>.</w:t>
      </w:r>
      <w:r w:rsidR="00EC269C" w:rsidRPr="007A177A">
        <w:rPr>
          <w:rFonts w:cs="Arial"/>
          <w:b/>
        </w:rPr>
        <w:t>6</w:t>
      </w:r>
      <w:r w:rsidR="00CC5775" w:rsidRPr="007A177A">
        <w:rPr>
          <w:rFonts w:cs="Arial"/>
          <w:b/>
        </w:rPr>
        <w:t>.</w:t>
      </w:r>
      <w:r w:rsidR="00CC5775" w:rsidRPr="007A177A">
        <w:rPr>
          <w:rFonts w:cs="Arial"/>
        </w:rPr>
        <w:t xml:space="preserve"> Memorando I-05 de mayo 10 de 1979</w:t>
      </w:r>
      <w:r w:rsidR="00BA5873" w:rsidRPr="007A177A">
        <w:rPr>
          <w:rFonts w:cs="Arial"/>
        </w:rPr>
        <w:t>,</w:t>
      </w:r>
      <w:r w:rsidR="00CC5775" w:rsidRPr="007A177A">
        <w:rPr>
          <w:rFonts w:cs="Arial"/>
        </w:rPr>
        <w:t xml:space="preserve"> en el cual el ingeniero interventor remit</w:t>
      </w:r>
      <w:r w:rsidR="00E9099D" w:rsidRPr="007A177A">
        <w:rPr>
          <w:rFonts w:cs="Arial"/>
        </w:rPr>
        <w:t>ió</w:t>
      </w:r>
      <w:r w:rsidR="00CC5775" w:rsidRPr="007A177A">
        <w:rPr>
          <w:rFonts w:cs="Arial"/>
        </w:rPr>
        <w:t xml:space="preserve"> al jefe de división del Ministerio de Obras Públicas y Transporte el análisis del estudio de </w:t>
      </w:r>
      <w:r w:rsidR="00E9099D" w:rsidRPr="007A177A">
        <w:rPr>
          <w:rFonts w:cs="Arial"/>
          <w:i/>
          <w:iCs/>
        </w:rPr>
        <w:t>“</w:t>
      </w:r>
      <w:r w:rsidR="00CC5775" w:rsidRPr="007A177A">
        <w:rPr>
          <w:rFonts w:cs="Arial"/>
          <w:i/>
          <w:iCs/>
        </w:rPr>
        <w:t>precio no previsto</w:t>
      </w:r>
      <w:r w:rsidR="00E9099D" w:rsidRPr="007A177A">
        <w:rPr>
          <w:rFonts w:cs="Arial"/>
          <w:i/>
          <w:iCs/>
        </w:rPr>
        <w:t>”</w:t>
      </w:r>
      <w:r w:rsidR="00CC5775" w:rsidRPr="007A177A">
        <w:rPr>
          <w:rFonts w:cs="Arial"/>
        </w:rPr>
        <w:t xml:space="preserve"> presentado por las contratistas.</w:t>
      </w:r>
    </w:p>
    <w:p w14:paraId="1EACCDEA" w14:textId="77777777" w:rsidR="00CC5775" w:rsidRPr="007A177A" w:rsidRDefault="00CC5775" w:rsidP="00BF333B">
      <w:pPr>
        <w:pStyle w:val="Lista2"/>
        <w:ind w:left="0" w:firstLine="0"/>
        <w:rPr>
          <w:rFonts w:cs="Arial"/>
        </w:rPr>
      </w:pPr>
    </w:p>
    <w:p w14:paraId="66645442" w14:textId="77777777" w:rsidR="00CC5775" w:rsidRPr="007A177A" w:rsidRDefault="00937F5A" w:rsidP="00BF333B">
      <w:pPr>
        <w:pStyle w:val="Lista2"/>
        <w:ind w:left="0" w:firstLine="0"/>
        <w:rPr>
          <w:rFonts w:cs="Arial"/>
        </w:rPr>
      </w:pPr>
      <w:r w:rsidRPr="007A177A">
        <w:rPr>
          <w:rFonts w:cs="Arial"/>
          <w:b/>
        </w:rPr>
        <w:t>8</w:t>
      </w:r>
      <w:r w:rsidR="00CC5775" w:rsidRPr="007A177A">
        <w:rPr>
          <w:rFonts w:cs="Arial"/>
          <w:b/>
        </w:rPr>
        <w:t>.</w:t>
      </w:r>
      <w:r w:rsidR="00EC269C" w:rsidRPr="007A177A">
        <w:rPr>
          <w:rFonts w:cs="Arial"/>
          <w:b/>
        </w:rPr>
        <w:t>7</w:t>
      </w:r>
      <w:r w:rsidR="00CC5775" w:rsidRPr="007A177A">
        <w:rPr>
          <w:rFonts w:cs="Arial"/>
          <w:b/>
        </w:rPr>
        <w:t>.</w:t>
      </w:r>
      <w:r w:rsidR="00CC5775" w:rsidRPr="007A177A">
        <w:rPr>
          <w:rFonts w:cs="Arial"/>
        </w:rPr>
        <w:t xml:space="preserve"> Memorando 54690 de 24 de octubre de 1979</w:t>
      </w:r>
      <w:r w:rsidR="00BA5873" w:rsidRPr="007A177A">
        <w:rPr>
          <w:rFonts w:cs="Arial"/>
        </w:rPr>
        <w:t>,</w:t>
      </w:r>
      <w:r w:rsidR="00CC5775" w:rsidRPr="007A177A">
        <w:rPr>
          <w:rFonts w:cs="Arial"/>
        </w:rPr>
        <w:t xml:space="preserve"> en el cual el director de construcciones comunicó al interventor que el </w:t>
      </w:r>
      <w:r w:rsidR="00BA5873" w:rsidRPr="007A177A">
        <w:rPr>
          <w:rFonts w:cs="Arial"/>
        </w:rPr>
        <w:t>c</w:t>
      </w:r>
      <w:r w:rsidR="00CC5775" w:rsidRPr="007A177A">
        <w:rPr>
          <w:rFonts w:cs="Arial"/>
        </w:rPr>
        <w:t xml:space="preserve">omité de </w:t>
      </w:r>
      <w:r w:rsidR="00BA5873" w:rsidRPr="007A177A">
        <w:rPr>
          <w:rFonts w:cs="Arial"/>
        </w:rPr>
        <w:t>p</w:t>
      </w:r>
      <w:r w:rsidR="00CC5775" w:rsidRPr="007A177A">
        <w:rPr>
          <w:rFonts w:cs="Arial"/>
        </w:rPr>
        <w:t>recios</w:t>
      </w:r>
      <w:r w:rsidR="007C13B8" w:rsidRPr="007A177A">
        <w:rPr>
          <w:rFonts w:cs="Arial"/>
        </w:rPr>
        <w:t>,</w:t>
      </w:r>
      <w:r w:rsidR="00CC5775" w:rsidRPr="007A177A">
        <w:rPr>
          <w:rFonts w:cs="Arial"/>
        </w:rPr>
        <w:t xml:space="preserve"> en sesión de octubre 10 de 1979</w:t>
      </w:r>
      <w:r w:rsidR="007C13B8" w:rsidRPr="007A177A">
        <w:rPr>
          <w:rFonts w:cs="Arial"/>
        </w:rPr>
        <w:t>,</w:t>
      </w:r>
      <w:r w:rsidR="00CC5775" w:rsidRPr="007A177A">
        <w:rPr>
          <w:rFonts w:cs="Arial"/>
        </w:rPr>
        <w:t xml:space="preserve"> aprobó el precio no previsto para el contrato 358-76, en el ítem de “</w:t>
      </w:r>
      <w:r w:rsidR="00CC5775" w:rsidRPr="007A177A">
        <w:rPr>
          <w:rFonts w:cs="Arial"/>
          <w:i/>
        </w:rPr>
        <w:t>suministro de material seleccionado para rellenos, proveniente de canteras, a razón de $93,21 M3”</w:t>
      </w:r>
      <w:r w:rsidR="00CC5775" w:rsidRPr="007A177A">
        <w:rPr>
          <w:rStyle w:val="Refdenotaalpie"/>
          <w:rFonts w:cs="Arial"/>
        </w:rPr>
        <w:footnoteReference w:id="87"/>
      </w:r>
      <w:r w:rsidR="00CC5775" w:rsidRPr="007A177A">
        <w:rPr>
          <w:rFonts w:cs="Arial"/>
        </w:rPr>
        <w:t xml:space="preserve">. </w:t>
      </w:r>
    </w:p>
    <w:p w14:paraId="7B0F1DFE" w14:textId="77777777" w:rsidR="009D6092" w:rsidRPr="007A177A" w:rsidRDefault="009D6092" w:rsidP="00BF333B">
      <w:pPr>
        <w:pStyle w:val="Lista2"/>
        <w:ind w:left="0" w:firstLine="0"/>
        <w:rPr>
          <w:rFonts w:cs="Arial"/>
        </w:rPr>
      </w:pPr>
    </w:p>
    <w:p w14:paraId="0DFE8CAB" w14:textId="77777777" w:rsidR="006634F9" w:rsidRPr="007A177A" w:rsidRDefault="00937F5A" w:rsidP="00BF333B">
      <w:pPr>
        <w:pStyle w:val="Lista2"/>
        <w:ind w:left="0" w:firstLine="0"/>
        <w:rPr>
          <w:rFonts w:cs="Arial"/>
        </w:rPr>
      </w:pPr>
      <w:r w:rsidRPr="007A177A">
        <w:rPr>
          <w:rFonts w:cs="Arial"/>
          <w:b/>
        </w:rPr>
        <w:t>8</w:t>
      </w:r>
      <w:r w:rsidR="00EC269C" w:rsidRPr="007A177A">
        <w:rPr>
          <w:rFonts w:cs="Arial"/>
          <w:b/>
        </w:rPr>
        <w:t>.8.</w:t>
      </w:r>
      <w:r w:rsidR="009D6092" w:rsidRPr="007A177A">
        <w:rPr>
          <w:rFonts w:cs="Arial"/>
        </w:rPr>
        <w:t xml:space="preserve"> Resolución 547 del 24 de enero de 1980</w:t>
      </w:r>
      <w:r w:rsidR="00BA5873" w:rsidRPr="007A177A">
        <w:rPr>
          <w:rFonts w:cs="Arial"/>
        </w:rPr>
        <w:t>,</w:t>
      </w:r>
      <w:r w:rsidR="009D6092" w:rsidRPr="007A177A">
        <w:rPr>
          <w:rFonts w:cs="Arial"/>
        </w:rPr>
        <w:t xml:space="preserve"> expedi</w:t>
      </w:r>
      <w:r w:rsidR="00C2496D" w:rsidRPr="007A177A">
        <w:rPr>
          <w:rFonts w:cs="Arial"/>
        </w:rPr>
        <w:t>d</w:t>
      </w:r>
      <w:r w:rsidR="009D6092" w:rsidRPr="007A177A">
        <w:rPr>
          <w:rFonts w:cs="Arial"/>
        </w:rPr>
        <w:t>a p</w:t>
      </w:r>
      <w:r w:rsidR="00C2496D" w:rsidRPr="007A177A">
        <w:rPr>
          <w:rFonts w:cs="Arial"/>
        </w:rPr>
        <w:t>or</w:t>
      </w:r>
      <w:r w:rsidR="009D6092" w:rsidRPr="007A177A">
        <w:rPr>
          <w:rFonts w:cs="Arial"/>
        </w:rPr>
        <w:t xml:space="preserve"> el Ministro de Obras Públicas y Transporte</w:t>
      </w:r>
      <w:r w:rsidR="00CB54EA" w:rsidRPr="007A177A">
        <w:rPr>
          <w:rFonts w:cs="Arial"/>
        </w:rPr>
        <w:t xml:space="preserve"> que </w:t>
      </w:r>
      <w:r w:rsidR="00E9099D" w:rsidRPr="007A177A">
        <w:rPr>
          <w:rFonts w:cs="Arial"/>
        </w:rPr>
        <w:t xml:space="preserve">reguló </w:t>
      </w:r>
      <w:r w:rsidR="009D6092" w:rsidRPr="007A177A">
        <w:rPr>
          <w:rFonts w:cs="Arial"/>
        </w:rPr>
        <w:t>el procedimiento de fijación de precios unitarios</w:t>
      </w:r>
      <w:r w:rsidR="00F17E36" w:rsidRPr="007A177A">
        <w:rPr>
          <w:rFonts w:cs="Arial"/>
        </w:rPr>
        <w:t>.</w:t>
      </w:r>
      <w:r w:rsidR="006634F9" w:rsidRPr="007A177A">
        <w:rPr>
          <w:rFonts w:cs="Arial"/>
        </w:rPr>
        <w:t xml:space="preserve"> En esa resolución se dispuso: </w:t>
      </w:r>
    </w:p>
    <w:p w14:paraId="7967251B" w14:textId="77777777" w:rsidR="009D6092" w:rsidRPr="007A177A" w:rsidRDefault="009D6092" w:rsidP="00BF333B">
      <w:pPr>
        <w:pStyle w:val="Lista2"/>
        <w:spacing w:line="276" w:lineRule="auto"/>
        <w:ind w:left="567" w:right="902" w:firstLine="0"/>
        <w:rPr>
          <w:rFonts w:cs="Arial"/>
          <w:i/>
        </w:rPr>
      </w:pPr>
    </w:p>
    <w:p w14:paraId="0507645D" w14:textId="77777777" w:rsidR="000F0BD3" w:rsidRPr="007A177A" w:rsidRDefault="006634F9" w:rsidP="00BF333B">
      <w:pPr>
        <w:pStyle w:val="Lista2"/>
        <w:spacing w:line="240" w:lineRule="auto"/>
        <w:ind w:left="567" w:right="902" w:firstLine="0"/>
        <w:rPr>
          <w:rFonts w:cs="Arial"/>
          <w:i/>
        </w:rPr>
      </w:pPr>
      <w:r w:rsidRPr="007A177A">
        <w:rPr>
          <w:rFonts w:cs="Arial"/>
          <w:i/>
        </w:rPr>
        <w:t>“</w:t>
      </w:r>
      <w:r w:rsidR="000F0BD3" w:rsidRPr="007A177A">
        <w:rPr>
          <w:rFonts w:cs="Arial"/>
          <w:i/>
        </w:rPr>
        <w:t>Artículo Primero. Hab</w:t>
      </w:r>
      <w:r w:rsidR="00C2496D" w:rsidRPr="007A177A">
        <w:rPr>
          <w:rFonts w:cs="Arial"/>
          <w:i/>
        </w:rPr>
        <w:t>rá</w:t>
      </w:r>
      <w:r w:rsidR="000F0BD3" w:rsidRPr="007A177A">
        <w:rPr>
          <w:rFonts w:cs="Arial"/>
          <w:i/>
        </w:rPr>
        <w:t xml:space="preserve"> lugar a la fijación de precios unitarios; </w:t>
      </w:r>
    </w:p>
    <w:p w14:paraId="07A1F877" w14:textId="77777777" w:rsidR="00226104" w:rsidRPr="007A177A" w:rsidRDefault="00226104" w:rsidP="00BF333B">
      <w:pPr>
        <w:pStyle w:val="Lista2"/>
        <w:spacing w:line="240" w:lineRule="auto"/>
        <w:ind w:left="567" w:right="902" w:firstLine="0"/>
        <w:rPr>
          <w:rFonts w:cs="Arial"/>
          <w:i/>
        </w:rPr>
      </w:pPr>
    </w:p>
    <w:p w14:paraId="6BC594F1" w14:textId="77777777" w:rsidR="000F0BD3" w:rsidRPr="007A177A" w:rsidRDefault="00937F5A" w:rsidP="00BF333B">
      <w:pPr>
        <w:pStyle w:val="Lista2"/>
        <w:spacing w:line="240" w:lineRule="auto"/>
        <w:ind w:left="567" w:right="902" w:firstLine="0"/>
        <w:rPr>
          <w:rFonts w:cs="Arial"/>
          <w:i/>
        </w:rPr>
      </w:pPr>
      <w:r w:rsidRPr="007A177A">
        <w:rPr>
          <w:rFonts w:cs="Arial"/>
          <w:i/>
        </w:rPr>
        <w:t>“</w:t>
      </w:r>
      <w:r w:rsidR="000F0BD3" w:rsidRPr="007A177A">
        <w:rPr>
          <w:rFonts w:cs="Arial"/>
          <w:i/>
        </w:rPr>
        <w:t>(…)</w:t>
      </w:r>
      <w:r w:rsidR="00C25B3C" w:rsidRPr="007A177A">
        <w:rPr>
          <w:rFonts w:cs="Arial"/>
          <w:i/>
        </w:rPr>
        <w:t>.</w:t>
      </w:r>
    </w:p>
    <w:p w14:paraId="15EFC5BC" w14:textId="77777777" w:rsidR="00226104" w:rsidRPr="007A177A" w:rsidRDefault="00226104" w:rsidP="00BF333B">
      <w:pPr>
        <w:pStyle w:val="Lista2"/>
        <w:spacing w:line="240" w:lineRule="auto"/>
        <w:ind w:left="567" w:right="902" w:firstLine="0"/>
        <w:rPr>
          <w:rFonts w:cs="Arial"/>
          <w:i/>
        </w:rPr>
      </w:pPr>
    </w:p>
    <w:p w14:paraId="2A816B3B" w14:textId="77777777" w:rsidR="000F0BD3" w:rsidRPr="007A177A" w:rsidRDefault="00226104" w:rsidP="00BF333B">
      <w:pPr>
        <w:pStyle w:val="Lista2"/>
        <w:spacing w:line="240" w:lineRule="auto"/>
        <w:ind w:left="567" w:right="902" w:firstLine="0"/>
        <w:rPr>
          <w:rFonts w:cs="Arial"/>
          <w:i/>
        </w:rPr>
      </w:pPr>
      <w:r w:rsidRPr="007A177A">
        <w:rPr>
          <w:rFonts w:cs="Arial"/>
          <w:i/>
        </w:rPr>
        <w:lastRenderedPageBreak/>
        <w:t>“</w:t>
      </w:r>
      <w:r w:rsidR="000F0BD3" w:rsidRPr="007A177A">
        <w:rPr>
          <w:rFonts w:cs="Arial"/>
          <w:i/>
        </w:rPr>
        <w:t>b) Para el pago de obras que estando previstas en el contrato excedan del 125%</w:t>
      </w:r>
    </w:p>
    <w:p w14:paraId="41FB772C" w14:textId="77777777" w:rsidR="000F0BD3" w:rsidRPr="007A177A" w:rsidRDefault="000F0BD3" w:rsidP="00BF333B">
      <w:pPr>
        <w:pStyle w:val="Lista2"/>
        <w:spacing w:line="240" w:lineRule="auto"/>
        <w:ind w:left="567" w:right="902" w:firstLine="0"/>
        <w:rPr>
          <w:rFonts w:cs="Arial"/>
          <w:i/>
        </w:rPr>
      </w:pPr>
    </w:p>
    <w:p w14:paraId="6717AA6C" w14:textId="77777777" w:rsidR="006634F9" w:rsidRPr="007A177A" w:rsidRDefault="00226104" w:rsidP="00BF333B">
      <w:pPr>
        <w:pStyle w:val="Lista2"/>
        <w:spacing w:line="240" w:lineRule="auto"/>
        <w:ind w:left="567" w:right="902" w:firstLine="0"/>
        <w:rPr>
          <w:rFonts w:cs="Arial"/>
          <w:i/>
        </w:rPr>
      </w:pPr>
      <w:r w:rsidRPr="007A177A">
        <w:rPr>
          <w:rFonts w:cs="Arial"/>
          <w:i/>
        </w:rPr>
        <w:t>“</w:t>
      </w:r>
      <w:r w:rsidR="006634F9" w:rsidRPr="007A177A">
        <w:rPr>
          <w:rFonts w:cs="Arial"/>
          <w:i/>
        </w:rPr>
        <w:t xml:space="preserve">Artículo Segundo: El contratista formulará su solicitud de fijación de precios al interventor con copia al Comité de Precios en los formularios establecidos </w:t>
      </w:r>
      <w:r w:rsidR="00441011" w:rsidRPr="007A177A">
        <w:rPr>
          <w:rFonts w:cs="Arial"/>
          <w:i/>
        </w:rPr>
        <w:t xml:space="preserve">por el Ministerio de Obras Públicas y Transporte – Fondo </w:t>
      </w:r>
      <w:proofErr w:type="spellStart"/>
      <w:r w:rsidR="00441011" w:rsidRPr="007A177A">
        <w:rPr>
          <w:rFonts w:cs="Arial"/>
          <w:i/>
        </w:rPr>
        <w:t>Víal</w:t>
      </w:r>
      <w:proofErr w:type="spellEnd"/>
      <w:r w:rsidR="00441011" w:rsidRPr="007A177A">
        <w:rPr>
          <w:rFonts w:cs="Arial"/>
          <w:i/>
        </w:rPr>
        <w:t xml:space="preserve"> Nacional. </w:t>
      </w:r>
    </w:p>
    <w:p w14:paraId="11F1F077" w14:textId="77777777" w:rsidR="00226104" w:rsidRPr="007A177A" w:rsidRDefault="00226104" w:rsidP="00BF333B">
      <w:pPr>
        <w:pStyle w:val="Lista2"/>
        <w:spacing w:line="240" w:lineRule="auto"/>
        <w:ind w:left="567" w:right="902" w:firstLine="0"/>
        <w:rPr>
          <w:rFonts w:cs="Arial"/>
          <w:i/>
        </w:rPr>
      </w:pPr>
    </w:p>
    <w:p w14:paraId="09A2C90B" w14:textId="77777777" w:rsidR="00C2496D" w:rsidRPr="007A177A" w:rsidRDefault="00226104" w:rsidP="00BF333B">
      <w:pPr>
        <w:pStyle w:val="Lista2"/>
        <w:spacing w:line="240" w:lineRule="auto"/>
        <w:ind w:left="567" w:right="902" w:firstLine="0"/>
        <w:rPr>
          <w:rFonts w:cs="Arial"/>
          <w:i/>
        </w:rPr>
      </w:pPr>
      <w:r w:rsidRPr="007A177A">
        <w:rPr>
          <w:rFonts w:cs="Arial"/>
          <w:i/>
        </w:rPr>
        <w:t>“</w:t>
      </w:r>
      <w:r w:rsidR="000F0BD3" w:rsidRPr="007A177A">
        <w:rPr>
          <w:rFonts w:cs="Arial"/>
          <w:i/>
        </w:rPr>
        <w:t>Artículo Tercero: El Ministro de Obras P</w:t>
      </w:r>
      <w:r w:rsidR="00F17E36" w:rsidRPr="007A177A">
        <w:rPr>
          <w:rFonts w:cs="Arial"/>
          <w:i/>
        </w:rPr>
        <w:t>ú</w:t>
      </w:r>
      <w:r w:rsidR="000F0BD3" w:rsidRPr="007A177A">
        <w:rPr>
          <w:rFonts w:cs="Arial"/>
          <w:i/>
        </w:rPr>
        <w:t xml:space="preserve">blicas y Transporte o su delegado comunicará al peticionario su decisión en un </w:t>
      </w:r>
      <w:r w:rsidR="00C2496D" w:rsidRPr="007A177A">
        <w:rPr>
          <w:rFonts w:cs="Arial"/>
          <w:i/>
        </w:rPr>
        <w:t xml:space="preserve">término de 30 días contados a partir de la fecha de la reunión del Comité de Precios. </w:t>
      </w:r>
    </w:p>
    <w:p w14:paraId="45076D3C" w14:textId="77777777" w:rsidR="000F0BD3" w:rsidRPr="007A177A" w:rsidRDefault="000F0BD3" w:rsidP="00BF333B">
      <w:pPr>
        <w:pStyle w:val="Lista2"/>
        <w:spacing w:line="276" w:lineRule="auto"/>
        <w:ind w:left="567" w:right="902" w:firstLine="0"/>
        <w:rPr>
          <w:rFonts w:cs="Arial"/>
          <w:i/>
        </w:rPr>
      </w:pPr>
    </w:p>
    <w:p w14:paraId="48F66027" w14:textId="77777777" w:rsidR="00C2496D" w:rsidRPr="007A177A" w:rsidRDefault="00226104" w:rsidP="00BF333B">
      <w:pPr>
        <w:pStyle w:val="Lista2"/>
        <w:spacing w:line="240" w:lineRule="auto"/>
        <w:ind w:left="567" w:right="902" w:firstLine="0"/>
        <w:rPr>
          <w:rFonts w:cs="Arial"/>
          <w:i/>
        </w:rPr>
      </w:pPr>
      <w:r w:rsidRPr="007A177A">
        <w:rPr>
          <w:rFonts w:cs="Arial"/>
          <w:i/>
        </w:rPr>
        <w:t>“</w:t>
      </w:r>
      <w:r w:rsidR="009D6092" w:rsidRPr="007A177A">
        <w:rPr>
          <w:rFonts w:cs="Arial"/>
          <w:i/>
        </w:rPr>
        <w:t xml:space="preserve">Artículo Cuarto, Mediante el procedimiento indicado se reconocerá en la respectiva acta de recibo de obra </w:t>
      </w:r>
      <w:r w:rsidR="000F0BD3" w:rsidRPr="007A177A">
        <w:rPr>
          <w:rFonts w:cs="Arial"/>
          <w:i/>
        </w:rPr>
        <w:t>y cuentas de cobro el valor de las actas ejecutadas</w:t>
      </w:r>
      <w:r w:rsidR="00925AE6" w:rsidRPr="007A177A">
        <w:rPr>
          <w:rFonts w:cs="Arial"/>
          <w:i/>
        </w:rPr>
        <w:t>”.</w:t>
      </w:r>
      <w:r w:rsidR="000F0BD3" w:rsidRPr="007A177A">
        <w:rPr>
          <w:rFonts w:cs="Arial"/>
          <w:i/>
        </w:rPr>
        <w:t xml:space="preserve"> </w:t>
      </w:r>
    </w:p>
    <w:p w14:paraId="2ED38B57" w14:textId="77777777" w:rsidR="00AD4F72" w:rsidRPr="007A177A" w:rsidRDefault="00AD4F72" w:rsidP="00BF333B">
      <w:pPr>
        <w:pStyle w:val="Lista2"/>
        <w:ind w:left="0" w:firstLine="0"/>
        <w:rPr>
          <w:rFonts w:cs="Arial"/>
        </w:rPr>
      </w:pPr>
    </w:p>
    <w:p w14:paraId="049553EA" w14:textId="77777777" w:rsidR="00EC269C" w:rsidRPr="007A177A" w:rsidRDefault="00937F5A" w:rsidP="00BF333B">
      <w:pPr>
        <w:pStyle w:val="Lista2"/>
        <w:ind w:left="0" w:firstLine="0"/>
        <w:rPr>
          <w:rFonts w:cs="Arial"/>
        </w:rPr>
      </w:pPr>
      <w:r w:rsidRPr="007A177A">
        <w:rPr>
          <w:rFonts w:cs="Arial"/>
          <w:b/>
        </w:rPr>
        <w:t>8</w:t>
      </w:r>
      <w:r w:rsidR="00EC269C" w:rsidRPr="007A177A">
        <w:rPr>
          <w:rFonts w:cs="Arial"/>
          <w:b/>
        </w:rPr>
        <w:t>.9.</w:t>
      </w:r>
      <w:r w:rsidR="00EC269C" w:rsidRPr="007A177A">
        <w:rPr>
          <w:rFonts w:cs="Arial"/>
        </w:rPr>
        <w:t xml:space="preserve"> Contrato </w:t>
      </w:r>
      <w:r w:rsidR="00D7704D" w:rsidRPr="007A177A">
        <w:rPr>
          <w:rFonts w:cs="Arial"/>
        </w:rPr>
        <w:t>a</w:t>
      </w:r>
      <w:r w:rsidR="00EC269C" w:rsidRPr="007A177A">
        <w:rPr>
          <w:rFonts w:cs="Arial"/>
        </w:rPr>
        <w:t>dicional No. 073</w:t>
      </w:r>
      <w:r w:rsidR="00BA5873" w:rsidRPr="007A177A">
        <w:rPr>
          <w:rFonts w:cs="Arial"/>
        </w:rPr>
        <w:t>,</w:t>
      </w:r>
      <w:r w:rsidR="00EC269C" w:rsidRPr="007A177A">
        <w:rPr>
          <w:rFonts w:cs="Arial"/>
        </w:rPr>
        <w:t xml:space="preserve"> suscrito el 14 de marzo de 1980, en el </w:t>
      </w:r>
      <w:r w:rsidR="00CB54EA" w:rsidRPr="007A177A">
        <w:rPr>
          <w:rFonts w:cs="Arial"/>
        </w:rPr>
        <w:t xml:space="preserve">que </w:t>
      </w:r>
      <w:r w:rsidR="00EC269C" w:rsidRPr="007A177A">
        <w:rPr>
          <w:rFonts w:cs="Arial"/>
        </w:rPr>
        <w:t>se prorrogó el plazo para la ejecución hasta el 31 de julio de 1981 y se determinó el nuevo programa de trabajo e inversiones</w:t>
      </w:r>
      <w:r w:rsidR="00EC269C" w:rsidRPr="007A177A">
        <w:rPr>
          <w:rStyle w:val="Refdenotaalpie"/>
          <w:rFonts w:cs="Arial"/>
        </w:rPr>
        <w:footnoteReference w:id="88"/>
      </w:r>
      <w:r w:rsidR="00EC269C" w:rsidRPr="007A177A">
        <w:rPr>
          <w:rFonts w:cs="Arial"/>
        </w:rPr>
        <w:t>.</w:t>
      </w:r>
    </w:p>
    <w:p w14:paraId="547EC398" w14:textId="77777777" w:rsidR="00CC5775" w:rsidRPr="007A177A" w:rsidRDefault="00CC5775" w:rsidP="00BF333B">
      <w:pPr>
        <w:spacing w:line="360" w:lineRule="auto"/>
        <w:jc w:val="both"/>
        <w:rPr>
          <w:rFonts w:ascii="Arial" w:hAnsi="Arial" w:cs="Arial"/>
        </w:rPr>
      </w:pPr>
    </w:p>
    <w:p w14:paraId="1E227091" w14:textId="77777777" w:rsidR="00925E24" w:rsidRPr="007A177A" w:rsidRDefault="00937F5A" w:rsidP="00BF333B">
      <w:pPr>
        <w:spacing w:line="360" w:lineRule="auto"/>
        <w:jc w:val="both"/>
        <w:rPr>
          <w:rFonts w:ascii="Arial" w:hAnsi="Arial" w:cs="Arial"/>
        </w:rPr>
      </w:pPr>
      <w:r w:rsidRPr="007A177A">
        <w:rPr>
          <w:rFonts w:ascii="Arial" w:hAnsi="Arial" w:cs="Arial"/>
          <w:b/>
        </w:rPr>
        <w:t>8</w:t>
      </w:r>
      <w:r w:rsidR="00EC269C" w:rsidRPr="007A177A">
        <w:rPr>
          <w:rFonts w:ascii="Arial" w:hAnsi="Arial" w:cs="Arial"/>
          <w:b/>
        </w:rPr>
        <w:t>.10.</w:t>
      </w:r>
      <w:r w:rsidR="00925E24" w:rsidRPr="007A177A">
        <w:rPr>
          <w:rFonts w:ascii="Arial" w:hAnsi="Arial" w:cs="Arial"/>
        </w:rPr>
        <w:t xml:space="preserve"> Acta de visita</w:t>
      </w:r>
      <w:r w:rsidR="00F115B3" w:rsidRPr="007A177A">
        <w:rPr>
          <w:rFonts w:ascii="Arial" w:hAnsi="Arial" w:cs="Arial"/>
        </w:rPr>
        <w:t xml:space="preserve"> a la obra</w:t>
      </w:r>
      <w:r w:rsidR="00925E24" w:rsidRPr="007A177A">
        <w:rPr>
          <w:rFonts w:ascii="Arial" w:hAnsi="Arial" w:cs="Arial"/>
        </w:rPr>
        <w:t xml:space="preserve"> realizada el 21 de abril de 1980 </w:t>
      </w:r>
      <w:r w:rsidR="00361197" w:rsidRPr="007A177A">
        <w:rPr>
          <w:rFonts w:ascii="Arial" w:hAnsi="Arial" w:cs="Arial"/>
        </w:rPr>
        <w:t xml:space="preserve">a </w:t>
      </w:r>
      <w:r w:rsidR="00925E24" w:rsidRPr="007A177A">
        <w:rPr>
          <w:rFonts w:ascii="Arial" w:hAnsi="Arial" w:cs="Arial"/>
        </w:rPr>
        <w:t>la fuente de materiales de Bayunca</w:t>
      </w:r>
      <w:r w:rsidR="00925AE6" w:rsidRPr="007A177A">
        <w:rPr>
          <w:rFonts w:ascii="Arial" w:hAnsi="Arial" w:cs="Arial"/>
        </w:rPr>
        <w:t>,</w:t>
      </w:r>
      <w:r w:rsidR="00925E24" w:rsidRPr="007A177A">
        <w:rPr>
          <w:rFonts w:ascii="Arial" w:hAnsi="Arial" w:cs="Arial"/>
        </w:rPr>
        <w:t xml:space="preserve"> con la presencia del Viceministro de Obras Públicas y Transporte, el jefe de distrito, los representantes de la firma de interventoría y de l</w:t>
      </w:r>
      <w:r w:rsidR="00F17E36" w:rsidRPr="007A177A">
        <w:rPr>
          <w:rFonts w:ascii="Arial" w:hAnsi="Arial" w:cs="Arial"/>
        </w:rPr>
        <w:t>a</w:t>
      </w:r>
      <w:r w:rsidR="00925E24" w:rsidRPr="007A177A">
        <w:rPr>
          <w:rFonts w:ascii="Arial" w:hAnsi="Arial" w:cs="Arial"/>
        </w:rPr>
        <w:t>s contratistas</w:t>
      </w:r>
      <w:r w:rsidR="00F17E36" w:rsidRPr="007A177A">
        <w:rPr>
          <w:rFonts w:ascii="Arial" w:hAnsi="Arial" w:cs="Arial"/>
        </w:rPr>
        <w:t>,</w:t>
      </w:r>
      <w:r w:rsidR="00925E24" w:rsidRPr="007A177A">
        <w:rPr>
          <w:rFonts w:ascii="Arial" w:hAnsi="Arial" w:cs="Arial"/>
        </w:rPr>
        <w:t xml:space="preserve"> en la cual </w:t>
      </w:r>
      <w:r w:rsidR="00F17E36" w:rsidRPr="007A177A">
        <w:rPr>
          <w:rFonts w:ascii="Arial" w:hAnsi="Arial" w:cs="Arial"/>
        </w:rPr>
        <w:t xml:space="preserve">consta que </w:t>
      </w:r>
      <w:r w:rsidR="00925E24" w:rsidRPr="007A177A">
        <w:rPr>
          <w:rFonts w:ascii="Arial" w:hAnsi="Arial" w:cs="Arial"/>
        </w:rPr>
        <w:t xml:space="preserve">se analizaron las fuentes de materiales, se comentó el incremento generalizado de las cantidades </w:t>
      </w:r>
      <w:r w:rsidR="00925AE6" w:rsidRPr="007A177A">
        <w:rPr>
          <w:rFonts w:ascii="Arial" w:hAnsi="Arial" w:cs="Arial"/>
        </w:rPr>
        <w:t xml:space="preserve">de explanación </w:t>
      </w:r>
      <w:r w:rsidR="00925E24" w:rsidRPr="007A177A">
        <w:rPr>
          <w:rFonts w:ascii="Arial" w:hAnsi="Arial" w:cs="Arial"/>
        </w:rPr>
        <w:t xml:space="preserve">en los contratos de la zona y el </w:t>
      </w:r>
      <w:r w:rsidR="00F17E36" w:rsidRPr="007A177A">
        <w:rPr>
          <w:rFonts w:ascii="Arial" w:hAnsi="Arial" w:cs="Arial"/>
        </w:rPr>
        <w:t xml:space="preserve">representante de las </w:t>
      </w:r>
      <w:r w:rsidR="00925E24" w:rsidRPr="007A177A">
        <w:rPr>
          <w:rFonts w:ascii="Arial" w:hAnsi="Arial" w:cs="Arial"/>
        </w:rPr>
        <w:t>contratista</w:t>
      </w:r>
      <w:r w:rsidR="00F17E36" w:rsidRPr="007A177A">
        <w:rPr>
          <w:rFonts w:ascii="Arial" w:hAnsi="Arial" w:cs="Arial"/>
        </w:rPr>
        <w:t>s</w:t>
      </w:r>
      <w:r w:rsidR="00925E24" w:rsidRPr="007A177A">
        <w:rPr>
          <w:rFonts w:ascii="Arial" w:hAnsi="Arial" w:cs="Arial"/>
        </w:rPr>
        <w:t xml:space="preserve"> </w:t>
      </w:r>
      <w:r w:rsidR="00925E24" w:rsidRPr="007A177A">
        <w:rPr>
          <w:rFonts w:ascii="Arial" w:hAnsi="Arial" w:cs="Arial"/>
          <w:i/>
          <w:iCs/>
        </w:rPr>
        <w:t>manifestó “su extrañeza ante el hecho de que las actas de modificación de cantidades de todos los sectores vecinos han sido tramitadas sin demoras por los funcionarios del Ministerio en Bogotá, en tanto que los sectores en estudio se han encontrado dificultades para obtener el trámite oportuno”</w:t>
      </w:r>
      <w:r w:rsidR="00925E24" w:rsidRPr="007A177A">
        <w:rPr>
          <w:rStyle w:val="Refdenotaalpie"/>
          <w:rFonts w:ascii="Arial" w:hAnsi="Arial" w:cs="Arial"/>
        </w:rPr>
        <w:footnoteReference w:id="89"/>
      </w:r>
      <w:r w:rsidR="00F17E36" w:rsidRPr="007A177A">
        <w:rPr>
          <w:rFonts w:ascii="Arial" w:hAnsi="Arial" w:cs="Arial"/>
          <w:i/>
          <w:iCs/>
        </w:rPr>
        <w:t>.</w:t>
      </w:r>
      <w:r w:rsidR="00925E24" w:rsidRPr="007A177A">
        <w:rPr>
          <w:rFonts w:ascii="Arial" w:hAnsi="Arial" w:cs="Arial"/>
        </w:rPr>
        <w:t xml:space="preserve"> Se refirió al trámite del acta 08 del Sector </w:t>
      </w:r>
      <w:proofErr w:type="spellStart"/>
      <w:r w:rsidR="00925E24" w:rsidRPr="007A177A">
        <w:rPr>
          <w:rFonts w:ascii="Arial" w:hAnsi="Arial" w:cs="Arial"/>
        </w:rPr>
        <w:t>Tierrabaja</w:t>
      </w:r>
      <w:proofErr w:type="spellEnd"/>
      <w:r w:rsidR="00925E24" w:rsidRPr="007A177A">
        <w:rPr>
          <w:rFonts w:ascii="Arial" w:hAnsi="Arial" w:cs="Arial"/>
        </w:rPr>
        <w:t xml:space="preserve"> - Arroyo de Piedra</w:t>
      </w:r>
      <w:r w:rsidR="00D31A54" w:rsidRPr="007A177A">
        <w:rPr>
          <w:rFonts w:ascii="Arial" w:hAnsi="Arial" w:cs="Arial"/>
        </w:rPr>
        <w:t>, la cual</w:t>
      </w:r>
      <w:r w:rsidR="00361197" w:rsidRPr="007A177A">
        <w:rPr>
          <w:rFonts w:ascii="Arial" w:hAnsi="Arial" w:cs="Arial"/>
        </w:rPr>
        <w:t xml:space="preserve">, según se sostuvo, </w:t>
      </w:r>
      <w:r w:rsidR="00925AE6" w:rsidRPr="007A177A">
        <w:rPr>
          <w:rFonts w:ascii="Arial" w:hAnsi="Arial" w:cs="Arial"/>
        </w:rPr>
        <w:t>se encontraba</w:t>
      </w:r>
      <w:r w:rsidR="00925E24" w:rsidRPr="007A177A">
        <w:rPr>
          <w:rFonts w:ascii="Arial" w:hAnsi="Arial" w:cs="Arial"/>
        </w:rPr>
        <w:t xml:space="preserve"> pendiente de una firma</w:t>
      </w:r>
      <w:r w:rsidR="00EA7B0A" w:rsidRPr="007A177A">
        <w:rPr>
          <w:rStyle w:val="Refdenotaalpie"/>
          <w:rFonts w:ascii="Arial" w:hAnsi="Arial" w:cs="Arial"/>
        </w:rPr>
        <w:footnoteReference w:id="90"/>
      </w:r>
      <w:r w:rsidR="00925E24" w:rsidRPr="007A177A">
        <w:rPr>
          <w:rFonts w:ascii="Arial" w:hAnsi="Arial" w:cs="Arial"/>
        </w:rPr>
        <w:t xml:space="preserve">. </w:t>
      </w:r>
    </w:p>
    <w:p w14:paraId="3932F79E" w14:textId="77777777" w:rsidR="00925E24" w:rsidRPr="007A177A" w:rsidRDefault="00925E24" w:rsidP="00BF333B">
      <w:pPr>
        <w:spacing w:line="360" w:lineRule="auto"/>
        <w:jc w:val="both"/>
        <w:rPr>
          <w:rFonts w:ascii="Arial" w:hAnsi="Arial" w:cs="Arial"/>
        </w:rPr>
      </w:pPr>
    </w:p>
    <w:p w14:paraId="73523B0B" w14:textId="77777777" w:rsidR="00925E24" w:rsidRPr="007A177A" w:rsidRDefault="00925E24" w:rsidP="00BF333B">
      <w:pPr>
        <w:spacing w:line="360" w:lineRule="auto"/>
        <w:jc w:val="both"/>
        <w:rPr>
          <w:rFonts w:ascii="Arial" w:hAnsi="Arial" w:cs="Arial"/>
        </w:rPr>
      </w:pPr>
      <w:r w:rsidRPr="007A177A">
        <w:rPr>
          <w:rFonts w:ascii="Arial" w:hAnsi="Arial" w:cs="Arial"/>
        </w:rPr>
        <w:t>Sobre el precio de los materiales seleccionados para rellenos en el sector Arroyo de Piedras – Canoas</w:t>
      </w:r>
      <w:r w:rsidR="002600F0" w:rsidRPr="007A177A">
        <w:rPr>
          <w:rFonts w:ascii="Arial" w:hAnsi="Arial" w:cs="Arial"/>
        </w:rPr>
        <w:t xml:space="preserve">, respecto de otro contrato a cargo del mismo contratista, </w:t>
      </w:r>
      <w:r w:rsidR="00925AE6" w:rsidRPr="007A177A">
        <w:rPr>
          <w:rFonts w:ascii="Arial" w:hAnsi="Arial" w:cs="Arial"/>
        </w:rPr>
        <w:t xml:space="preserve">según el acta, el </w:t>
      </w:r>
      <w:r w:rsidR="00EC269C" w:rsidRPr="007A177A">
        <w:rPr>
          <w:rFonts w:ascii="Arial" w:hAnsi="Arial" w:cs="Arial"/>
        </w:rPr>
        <w:t xml:space="preserve">representante </w:t>
      </w:r>
      <w:r w:rsidR="00925AE6" w:rsidRPr="007A177A">
        <w:rPr>
          <w:rFonts w:ascii="Arial" w:hAnsi="Arial" w:cs="Arial"/>
        </w:rPr>
        <w:t xml:space="preserve">en </w:t>
      </w:r>
      <w:r w:rsidR="00EC269C" w:rsidRPr="007A177A">
        <w:rPr>
          <w:rFonts w:ascii="Arial" w:hAnsi="Arial" w:cs="Arial"/>
        </w:rPr>
        <w:t>esa visita indicó (se transcribe de forma literal)</w:t>
      </w:r>
      <w:r w:rsidR="002600F0" w:rsidRPr="007A177A">
        <w:rPr>
          <w:rFonts w:ascii="Arial" w:hAnsi="Arial" w:cs="Arial"/>
        </w:rPr>
        <w:t xml:space="preserve">: </w:t>
      </w:r>
    </w:p>
    <w:p w14:paraId="34AFFC40" w14:textId="77777777" w:rsidR="00925E24" w:rsidRPr="007A177A" w:rsidRDefault="00925E24" w:rsidP="00BF333B">
      <w:pPr>
        <w:spacing w:line="360" w:lineRule="auto"/>
        <w:jc w:val="both"/>
        <w:rPr>
          <w:rFonts w:ascii="Arial" w:hAnsi="Arial" w:cs="Arial"/>
        </w:rPr>
      </w:pPr>
    </w:p>
    <w:p w14:paraId="5E6CE26A" w14:textId="77777777" w:rsidR="00925E24" w:rsidRPr="007A177A" w:rsidRDefault="00925E24" w:rsidP="00BF333B">
      <w:pPr>
        <w:ind w:left="567" w:right="902"/>
        <w:jc w:val="both"/>
        <w:rPr>
          <w:rFonts w:ascii="Arial" w:hAnsi="Arial" w:cs="Arial"/>
          <w:i/>
        </w:rPr>
      </w:pPr>
      <w:r w:rsidRPr="007A177A">
        <w:rPr>
          <w:rFonts w:ascii="Arial" w:hAnsi="Arial" w:cs="Arial"/>
          <w:i/>
        </w:rPr>
        <w:t xml:space="preserve">“Se observó que este ítem tiene características idénticas al aprobado para el Sector </w:t>
      </w:r>
      <w:proofErr w:type="spellStart"/>
      <w:r w:rsidRPr="007A177A">
        <w:rPr>
          <w:rFonts w:ascii="Arial" w:hAnsi="Arial" w:cs="Arial"/>
          <w:i/>
        </w:rPr>
        <w:t>Tierrabaja</w:t>
      </w:r>
      <w:proofErr w:type="spellEnd"/>
      <w:r w:rsidRPr="007A177A">
        <w:rPr>
          <w:rFonts w:ascii="Arial" w:hAnsi="Arial" w:cs="Arial"/>
          <w:i/>
        </w:rPr>
        <w:t xml:space="preserve"> – Arroyo de Piedra, utilizándose inclusive las mismas canteras de ejecución.</w:t>
      </w:r>
    </w:p>
    <w:p w14:paraId="1236DB12" w14:textId="77777777" w:rsidR="00925E24" w:rsidRPr="007A177A" w:rsidRDefault="00925E24" w:rsidP="00BF333B">
      <w:pPr>
        <w:ind w:left="567" w:right="902"/>
        <w:jc w:val="both"/>
        <w:rPr>
          <w:rFonts w:ascii="Arial" w:hAnsi="Arial" w:cs="Arial"/>
          <w:i/>
        </w:rPr>
      </w:pPr>
    </w:p>
    <w:p w14:paraId="5D7EFDDB" w14:textId="77777777" w:rsidR="00925E24" w:rsidRPr="007A177A" w:rsidRDefault="00925E24" w:rsidP="00BF333B">
      <w:pPr>
        <w:ind w:left="567" w:right="902"/>
        <w:jc w:val="both"/>
        <w:rPr>
          <w:rFonts w:ascii="Arial" w:hAnsi="Arial" w:cs="Arial"/>
          <w:i/>
        </w:rPr>
      </w:pPr>
      <w:r w:rsidRPr="007A177A">
        <w:rPr>
          <w:rFonts w:ascii="Arial" w:hAnsi="Arial" w:cs="Arial"/>
          <w:i/>
        </w:rPr>
        <w:lastRenderedPageBreak/>
        <w:t>“El contratista manifiesta que por la falta de precio para el sector no ha sido posible continuar con la construcción de los rellenos con suministro de material seleccionado”</w:t>
      </w:r>
      <w:r w:rsidRPr="007A177A">
        <w:rPr>
          <w:rStyle w:val="Refdenotaalpie"/>
          <w:rFonts w:ascii="Arial" w:hAnsi="Arial" w:cs="Arial"/>
          <w:i/>
        </w:rPr>
        <w:footnoteReference w:id="91"/>
      </w:r>
      <w:r w:rsidRPr="007A177A">
        <w:rPr>
          <w:rFonts w:ascii="Arial" w:hAnsi="Arial" w:cs="Arial"/>
          <w:i/>
        </w:rPr>
        <w:t xml:space="preserve">. </w:t>
      </w:r>
    </w:p>
    <w:p w14:paraId="2FD7B01D" w14:textId="77777777" w:rsidR="00925E24" w:rsidRPr="007A177A" w:rsidRDefault="00925E24" w:rsidP="00BF333B">
      <w:pPr>
        <w:spacing w:line="360" w:lineRule="auto"/>
        <w:jc w:val="both"/>
        <w:rPr>
          <w:rFonts w:ascii="Arial" w:hAnsi="Arial" w:cs="Arial"/>
        </w:rPr>
      </w:pPr>
    </w:p>
    <w:p w14:paraId="008C1CAF" w14:textId="77777777" w:rsidR="00B21042" w:rsidRPr="007A177A" w:rsidRDefault="00937F5A" w:rsidP="00BF333B">
      <w:pPr>
        <w:pStyle w:val="Lista2"/>
        <w:ind w:left="0" w:firstLine="0"/>
        <w:rPr>
          <w:rFonts w:cs="Arial"/>
        </w:rPr>
      </w:pPr>
      <w:r w:rsidRPr="007A177A">
        <w:rPr>
          <w:rFonts w:cs="Arial"/>
          <w:b/>
        </w:rPr>
        <w:t>8</w:t>
      </w:r>
      <w:r w:rsidR="009371F7" w:rsidRPr="007A177A">
        <w:rPr>
          <w:rFonts w:cs="Arial"/>
          <w:b/>
        </w:rPr>
        <w:t>.11</w:t>
      </w:r>
      <w:r w:rsidR="00474E0F" w:rsidRPr="007A177A">
        <w:rPr>
          <w:rFonts w:cs="Arial"/>
          <w:b/>
        </w:rPr>
        <w:t>.</w:t>
      </w:r>
      <w:r w:rsidR="00474E0F" w:rsidRPr="007A177A">
        <w:rPr>
          <w:rFonts w:cs="Arial"/>
        </w:rPr>
        <w:t xml:space="preserve"> Memorando 1042 de 4 de junio de 1980, en el cual el </w:t>
      </w:r>
      <w:proofErr w:type="gramStart"/>
      <w:r w:rsidR="00474E0F" w:rsidRPr="007A177A">
        <w:rPr>
          <w:rFonts w:cs="Arial"/>
        </w:rPr>
        <w:t>Vicemini</w:t>
      </w:r>
      <w:r w:rsidR="00BF4756" w:rsidRPr="007A177A">
        <w:rPr>
          <w:rFonts w:cs="Arial"/>
        </w:rPr>
        <w:t>s</w:t>
      </w:r>
      <w:r w:rsidR="00474E0F" w:rsidRPr="007A177A">
        <w:rPr>
          <w:rFonts w:cs="Arial"/>
        </w:rPr>
        <w:t>tro</w:t>
      </w:r>
      <w:proofErr w:type="gramEnd"/>
      <w:r w:rsidR="00BF4756" w:rsidRPr="007A177A">
        <w:rPr>
          <w:rFonts w:cs="Arial"/>
        </w:rPr>
        <w:t>,</w:t>
      </w:r>
      <w:r w:rsidR="00474E0F" w:rsidRPr="007A177A">
        <w:rPr>
          <w:rFonts w:cs="Arial"/>
        </w:rPr>
        <w:t xml:space="preserve"> </w:t>
      </w:r>
      <w:r w:rsidR="00BF4756" w:rsidRPr="007A177A">
        <w:rPr>
          <w:rFonts w:cs="Arial"/>
        </w:rPr>
        <w:t xml:space="preserve">en su condición de presidente del </w:t>
      </w:r>
      <w:r w:rsidR="00C65ABB" w:rsidRPr="007A177A">
        <w:rPr>
          <w:rFonts w:cs="Arial"/>
        </w:rPr>
        <w:t>c</w:t>
      </w:r>
      <w:r w:rsidR="00BF4756" w:rsidRPr="007A177A">
        <w:rPr>
          <w:rFonts w:cs="Arial"/>
        </w:rPr>
        <w:t xml:space="preserve">omité de </w:t>
      </w:r>
      <w:r w:rsidR="00C65ABB" w:rsidRPr="007A177A">
        <w:rPr>
          <w:rFonts w:cs="Arial"/>
        </w:rPr>
        <w:t>p</w:t>
      </w:r>
      <w:r w:rsidR="00BF4756" w:rsidRPr="007A177A">
        <w:rPr>
          <w:rFonts w:cs="Arial"/>
        </w:rPr>
        <w:t>recios</w:t>
      </w:r>
      <w:r w:rsidR="0095298D" w:rsidRPr="007A177A">
        <w:rPr>
          <w:rFonts w:cs="Arial"/>
        </w:rPr>
        <w:t>,</w:t>
      </w:r>
      <w:r w:rsidR="00BF4756" w:rsidRPr="007A177A">
        <w:rPr>
          <w:rFonts w:cs="Arial"/>
        </w:rPr>
        <w:t xml:space="preserve"> </w:t>
      </w:r>
      <w:r w:rsidR="00474E0F" w:rsidRPr="007A177A">
        <w:rPr>
          <w:rFonts w:cs="Arial"/>
        </w:rPr>
        <w:t>comunic</w:t>
      </w:r>
      <w:r w:rsidR="002600F0" w:rsidRPr="007A177A">
        <w:rPr>
          <w:rFonts w:cs="Arial"/>
        </w:rPr>
        <w:t>ó</w:t>
      </w:r>
      <w:r w:rsidR="00474E0F" w:rsidRPr="007A177A">
        <w:rPr>
          <w:rFonts w:cs="Arial"/>
        </w:rPr>
        <w:t xml:space="preserve"> que el </w:t>
      </w:r>
      <w:r w:rsidR="002600F0" w:rsidRPr="007A177A">
        <w:rPr>
          <w:rFonts w:cs="Arial"/>
        </w:rPr>
        <w:t>referido comité</w:t>
      </w:r>
      <w:r w:rsidR="006852C3" w:rsidRPr="007A177A">
        <w:rPr>
          <w:rFonts w:cs="Arial"/>
        </w:rPr>
        <w:t>,</w:t>
      </w:r>
      <w:r w:rsidR="002600F0" w:rsidRPr="007A177A">
        <w:rPr>
          <w:rFonts w:cs="Arial"/>
        </w:rPr>
        <w:t xml:space="preserve"> </w:t>
      </w:r>
      <w:r w:rsidR="00474E0F" w:rsidRPr="007A177A">
        <w:rPr>
          <w:rFonts w:cs="Arial"/>
        </w:rPr>
        <w:t>en</w:t>
      </w:r>
      <w:r w:rsidR="002600F0" w:rsidRPr="007A177A">
        <w:rPr>
          <w:rFonts w:cs="Arial"/>
        </w:rPr>
        <w:t xml:space="preserve"> </w:t>
      </w:r>
      <w:r w:rsidR="00B21042" w:rsidRPr="007A177A">
        <w:rPr>
          <w:rFonts w:cs="Arial"/>
        </w:rPr>
        <w:t>s</w:t>
      </w:r>
      <w:r w:rsidR="00474E0F" w:rsidRPr="007A177A">
        <w:rPr>
          <w:rFonts w:cs="Arial"/>
        </w:rPr>
        <w:t>esión del 30 de abril de 1980</w:t>
      </w:r>
      <w:r w:rsidR="006852C3" w:rsidRPr="007A177A">
        <w:rPr>
          <w:rFonts w:cs="Arial"/>
        </w:rPr>
        <w:t>,</w:t>
      </w:r>
      <w:r w:rsidR="00474E0F" w:rsidRPr="007A177A">
        <w:rPr>
          <w:rFonts w:cs="Arial"/>
        </w:rPr>
        <w:t xml:space="preserve"> f</w:t>
      </w:r>
      <w:r w:rsidR="00B21042" w:rsidRPr="007A177A">
        <w:rPr>
          <w:rFonts w:cs="Arial"/>
        </w:rPr>
        <w:t>ijó en 180.000 metr</w:t>
      </w:r>
      <w:r w:rsidR="00BF4756" w:rsidRPr="007A177A">
        <w:rPr>
          <w:rFonts w:cs="Arial"/>
        </w:rPr>
        <w:t>os</w:t>
      </w:r>
      <w:r w:rsidR="00B21042" w:rsidRPr="007A177A">
        <w:rPr>
          <w:rFonts w:cs="Arial"/>
        </w:rPr>
        <w:t xml:space="preserve"> cúbicos </w:t>
      </w:r>
      <w:r w:rsidR="002600F0" w:rsidRPr="007A177A">
        <w:rPr>
          <w:rFonts w:cs="Arial"/>
          <w:i/>
        </w:rPr>
        <w:t>“</w:t>
      </w:r>
      <w:r w:rsidR="00B21042" w:rsidRPr="007A177A">
        <w:rPr>
          <w:rFonts w:cs="Arial"/>
          <w:i/>
        </w:rPr>
        <w:t>compactos</w:t>
      </w:r>
      <w:r w:rsidR="002600F0" w:rsidRPr="007A177A">
        <w:rPr>
          <w:rFonts w:cs="Arial"/>
          <w:i/>
        </w:rPr>
        <w:t>”</w:t>
      </w:r>
      <w:r w:rsidR="00B21042" w:rsidRPr="007A177A">
        <w:rPr>
          <w:rFonts w:cs="Arial"/>
        </w:rPr>
        <w:t xml:space="preserve"> el volumen máximo de suministro de material seleccionado con el precio de $93.21 M3</w:t>
      </w:r>
      <w:r w:rsidR="00B21042" w:rsidRPr="007A177A">
        <w:rPr>
          <w:rStyle w:val="Refdenotaalpie"/>
          <w:rFonts w:cs="Arial"/>
        </w:rPr>
        <w:footnoteReference w:id="92"/>
      </w:r>
      <w:r w:rsidR="006852C3" w:rsidRPr="007A177A">
        <w:rPr>
          <w:rFonts w:cs="Arial"/>
        </w:rPr>
        <w:t>.</w:t>
      </w:r>
    </w:p>
    <w:p w14:paraId="01F4FA90" w14:textId="77777777" w:rsidR="002600F0" w:rsidRPr="007A177A" w:rsidRDefault="002600F0" w:rsidP="00BF333B">
      <w:pPr>
        <w:pStyle w:val="Lista2"/>
        <w:ind w:left="0" w:firstLine="0"/>
        <w:rPr>
          <w:rFonts w:cs="Arial"/>
        </w:rPr>
      </w:pPr>
    </w:p>
    <w:p w14:paraId="2E3D2391" w14:textId="77777777" w:rsidR="000D6CA8" w:rsidRPr="007A177A" w:rsidRDefault="00937F5A" w:rsidP="00BF333B">
      <w:pPr>
        <w:pStyle w:val="Lista2"/>
        <w:ind w:left="0" w:firstLine="0"/>
        <w:rPr>
          <w:rFonts w:cs="Arial"/>
        </w:rPr>
      </w:pPr>
      <w:r w:rsidRPr="007A177A">
        <w:rPr>
          <w:rFonts w:cs="Arial"/>
          <w:b/>
        </w:rPr>
        <w:t>8</w:t>
      </w:r>
      <w:r w:rsidR="009371F7" w:rsidRPr="007A177A">
        <w:rPr>
          <w:rFonts w:cs="Arial"/>
          <w:b/>
        </w:rPr>
        <w:t>.12.</w:t>
      </w:r>
      <w:r w:rsidR="000D6CA8" w:rsidRPr="007A177A">
        <w:rPr>
          <w:rFonts w:cs="Arial"/>
        </w:rPr>
        <w:t xml:space="preserve"> Memorando de junio 11 de 1980, suscrito por el </w:t>
      </w:r>
      <w:r w:rsidR="003965B8" w:rsidRPr="007A177A">
        <w:rPr>
          <w:rFonts w:cs="Arial"/>
        </w:rPr>
        <w:t>i</w:t>
      </w:r>
      <w:r w:rsidR="000D6CA8" w:rsidRPr="007A177A">
        <w:rPr>
          <w:rFonts w:cs="Arial"/>
        </w:rPr>
        <w:t>ngeniero interventor Camilo Roa</w:t>
      </w:r>
      <w:r w:rsidR="004D3CF3" w:rsidRPr="007A177A">
        <w:rPr>
          <w:rFonts w:cs="Arial"/>
        </w:rPr>
        <w:t xml:space="preserve">, en el cual </w:t>
      </w:r>
      <w:r w:rsidR="00A2505B" w:rsidRPr="007A177A">
        <w:rPr>
          <w:rFonts w:cs="Arial"/>
        </w:rPr>
        <w:t>comun</w:t>
      </w:r>
      <w:r w:rsidR="00791225" w:rsidRPr="007A177A">
        <w:rPr>
          <w:rFonts w:cs="Arial"/>
        </w:rPr>
        <w:t>i</w:t>
      </w:r>
      <w:r w:rsidR="00A2505B" w:rsidRPr="007A177A">
        <w:rPr>
          <w:rFonts w:cs="Arial"/>
        </w:rPr>
        <w:t>c</w:t>
      </w:r>
      <w:r w:rsidR="004D3CF3" w:rsidRPr="007A177A">
        <w:rPr>
          <w:rFonts w:cs="Arial"/>
        </w:rPr>
        <w:t xml:space="preserve">ó a las contratistas </w:t>
      </w:r>
      <w:r w:rsidR="00A2505B" w:rsidRPr="007A177A">
        <w:rPr>
          <w:rFonts w:cs="Arial"/>
        </w:rPr>
        <w:t xml:space="preserve">que el ítem </w:t>
      </w:r>
      <w:r w:rsidR="00925AE6" w:rsidRPr="007A177A">
        <w:rPr>
          <w:rFonts w:cs="Arial"/>
        </w:rPr>
        <w:t xml:space="preserve">de </w:t>
      </w:r>
      <w:r w:rsidR="00A2505B" w:rsidRPr="007A177A">
        <w:rPr>
          <w:rFonts w:cs="Arial"/>
        </w:rPr>
        <w:t xml:space="preserve">suministro de material seleccionado para rellenos </w:t>
      </w:r>
      <w:r w:rsidR="00A2505B" w:rsidRPr="007A177A">
        <w:rPr>
          <w:rFonts w:cs="Arial"/>
          <w:i/>
        </w:rPr>
        <w:t>“se</w:t>
      </w:r>
      <w:r w:rsidR="00791225" w:rsidRPr="007A177A">
        <w:rPr>
          <w:rFonts w:cs="Arial"/>
          <w:i/>
        </w:rPr>
        <w:t xml:space="preserve"> </w:t>
      </w:r>
      <w:r w:rsidR="00A2505B" w:rsidRPr="007A177A">
        <w:rPr>
          <w:rFonts w:cs="Arial"/>
          <w:i/>
        </w:rPr>
        <w:t>su</w:t>
      </w:r>
      <w:r w:rsidR="00791225" w:rsidRPr="007A177A">
        <w:rPr>
          <w:rFonts w:cs="Arial"/>
          <w:i/>
        </w:rPr>
        <w:t>s</w:t>
      </w:r>
      <w:r w:rsidR="00A2505B" w:rsidRPr="007A177A">
        <w:rPr>
          <w:rFonts w:cs="Arial"/>
          <w:i/>
        </w:rPr>
        <w:t>pende en su ejecución, pues el Comité de Precios en ses</w:t>
      </w:r>
      <w:r w:rsidR="00791225" w:rsidRPr="007A177A">
        <w:rPr>
          <w:rFonts w:cs="Arial"/>
          <w:i/>
        </w:rPr>
        <w:t>ión</w:t>
      </w:r>
      <w:r w:rsidR="00A2505B" w:rsidRPr="007A177A">
        <w:rPr>
          <w:rFonts w:cs="Arial"/>
          <w:i/>
        </w:rPr>
        <w:t xml:space="preserve"> </w:t>
      </w:r>
      <w:r w:rsidR="004D3CF3" w:rsidRPr="007A177A">
        <w:rPr>
          <w:rFonts w:cs="Arial"/>
          <w:i/>
        </w:rPr>
        <w:t>d</w:t>
      </w:r>
      <w:r w:rsidR="00A2505B" w:rsidRPr="007A177A">
        <w:rPr>
          <w:rFonts w:cs="Arial"/>
          <w:i/>
        </w:rPr>
        <w:t>e abril 30 del presente autorizó hasta una cantidad de 180.000 M3. Teniendo en cuenta que el volumen total ejecutado hasta la fecha es de 230.14</w:t>
      </w:r>
      <w:r w:rsidR="00791225" w:rsidRPr="007A177A">
        <w:rPr>
          <w:rFonts w:cs="Arial"/>
          <w:i/>
        </w:rPr>
        <w:t>7,56 esta interventoría no autoriza el desarrollo de este ítem, hasta cuando se defina la situación”</w:t>
      </w:r>
      <w:r w:rsidR="00791225" w:rsidRPr="007A177A">
        <w:rPr>
          <w:rStyle w:val="Refdenotaalpie"/>
          <w:rFonts w:cs="Arial"/>
        </w:rPr>
        <w:footnoteReference w:id="93"/>
      </w:r>
      <w:r w:rsidR="003965B8" w:rsidRPr="007A177A">
        <w:rPr>
          <w:rFonts w:cs="Arial"/>
          <w:i/>
        </w:rPr>
        <w:t>.</w:t>
      </w:r>
    </w:p>
    <w:p w14:paraId="26730036" w14:textId="77777777" w:rsidR="00791225" w:rsidRPr="007A177A" w:rsidRDefault="00791225" w:rsidP="00BF333B">
      <w:pPr>
        <w:pStyle w:val="Lista2"/>
        <w:ind w:left="0" w:firstLine="0"/>
        <w:rPr>
          <w:rFonts w:cs="Arial"/>
        </w:rPr>
      </w:pPr>
    </w:p>
    <w:p w14:paraId="24DBE76B" w14:textId="77777777" w:rsidR="00DF34D9" w:rsidRPr="007A177A" w:rsidRDefault="00937F5A" w:rsidP="00BF333B">
      <w:pPr>
        <w:pStyle w:val="Lista2"/>
        <w:ind w:left="0" w:firstLine="0"/>
        <w:rPr>
          <w:rFonts w:cs="Arial"/>
        </w:rPr>
      </w:pPr>
      <w:r w:rsidRPr="007A177A">
        <w:rPr>
          <w:rFonts w:cs="Arial"/>
          <w:b/>
        </w:rPr>
        <w:t>8</w:t>
      </w:r>
      <w:r w:rsidR="009371F7" w:rsidRPr="007A177A">
        <w:rPr>
          <w:rFonts w:cs="Arial"/>
          <w:b/>
        </w:rPr>
        <w:t>.13.</w:t>
      </w:r>
      <w:r w:rsidR="00D425BC" w:rsidRPr="007A177A">
        <w:rPr>
          <w:rFonts w:cs="Arial"/>
        </w:rPr>
        <w:t xml:space="preserve"> </w:t>
      </w:r>
      <w:r w:rsidR="00FC2263" w:rsidRPr="007A177A">
        <w:rPr>
          <w:rFonts w:cs="Arial"/>
        </w:rPr>
        <w:t>Comunicación de junio 30 de 1980</w:t>
      </w:r>
      <w:r w:rsidR="003965B8" w:rsidRPr="007A177A">
        <w:rPr>
          <w:rFonts w:cs="Arial"/>
        </w:rPr>
        <w:t>,</w:t>
      </w:r>
      <w:r w:rsidR="00FC2263" w:rsidRPr="007A177A">
        <w:rPr>
          <w:rFonts w:cs="Arial"/>
        </w:rPr>
        <w:t xml:space="preserve"> en la cual el ingeniero </w:t>
      </w:r>
      <w:r w:rsidR="00FB2D23" w:rsidRPr="007A177A">
        <w:rPr>
          <w:rFonts w:cs="Arial"/>
        </w:rPr>
        <w:t>Camilo Roa</w:t>
      </w:r>
      <w:r w:rsidR="003965B8" w:rsidRPr="007A177A">
        <w:rPr>
          <w:rFonts w:cs="Arial"/>
        </w:rPr>
        <w:t>,</w:t>
      </w:r>
      <w:r w:rsidR="00FB2D23" w:rsidRPr="007A177A">
        <w:rPr>
          <w:rFonts w:cs="Arial"/>
        </w:rPr>
        <w:t xml:space="preserve"> de la divisi</w:t>
      </w:r>
      <w:r w:rsidR="008E44EF" w:rsidRPr="007A177A">
        <w:rPr>
          <w:rFonts w:cs="Arial"/>
        </w:rPr>
        <w:t>ó</w:t>
      </w:r>
      <w:r w:rsidR="00FB2D23" w:rsidRPr="007A177A">
        <w:rPr>
          <w:rFonts w:cs="Arial"/>
        </w:rPr>
        <w:t xml:space="preserve">n de interventorías del ministerio </w:t>
      </w:r>
      <w:r w:rsidR="00DF34D9" w:rsidRPr="007A177A">
        <w:rPr>
          <w:rFonts w:cs="Arial"/>
        </w:rPr>
        <w:t>se pronunció sobre la solicitud del contratista para indicar los sitios donde</w:t>
      </w:r>
      <w:r w:rsidR="003965B8" w:rsidRPr="007A177A">
        <w:rPr>
          <w:rFonts w:cs="Arial"/>
        </w:rPr>
        <w:t xml:space="preserve"> se</w:t>
      </w:r>
      <w:r w:rsidR="00DF34D9" w:rsidRPr="007A177A">
        <w:rPr>
          <w:rFonts w:cs="Arial"/>
        </w:rPr>
        <w:t xml:space="preserve"> debía exp</w:t>
      </w:r>
      <w:r w:rsidR="00FB2D23" w:rsidRPr="007A177A">
        <w:rPr>
          <w:rFonts w:cs="Arial"/>
        </w:rPr>
        <w:t xml:space="preserve">lotar </w:t>
      </w:r>
      <w:r w:rsidR="00DF34D9" w:rsidRPr="007A177A">
        <w:rPr>
          <w:rFonts w:cs="Arial"/>
        </w:rPr>
        <w:t xml:space="preserve">material para rellenos, debido a la suspensión del </w:t>
      </w:r>
      <w:r w:rsidR="003965B8" w:rsidRPr="007A177A">
        <w:rPr>
          <w:rFonts w:cs="Arial"/>
        </w:rPr>
        <w:t xml:space="preserve">respectivo </w:t>
      </w:r>
      <w:r w:rsidR="00DF34D9" w:rsidRPr="007A177A">
        <w:rPr>
          <w:rFonts w:cs="Arial"/>
        </w:rPr>
        <w:t>ítem</w:t>
      </w:r>
      <w:r w:rsidR="003965B8" w:rsidRPr="007A177A">
        <w:rPr>
          <w:rFonts w:cs="Arial"/>
        </w:rPr>
        <w:t>,</w:t>
      </w:r>
      <w:r w:rsidR="00DF34D9" w:rsidRPr="007A177A">
        <w:rPr>
          <w:rFonts w:cs="Arial"/>
        </w:rPr>
        <w:t xml:space="preserve"> </w:t>
      </w:r>
      <w:r w:rsidR="00797DF9" w:rsidRPr="007A177A">
        <w:rPr>
          <w:rFonts w:cs="Arial"/>
        </w:rPr>
        <w:t xml:space="preserve">en la que </w:t>
      </w:r>
      <w:r w:rsidR="002600F0" w:rsidRPr="007A177A">
        <w:rPr>
          <w:rFonts w:cs="Arial"/>
        </w:rPr>
        <w:t>i</w:t>
      </w:r>
      <w:r w:rsidR="00DF34D9" w:rsidRPr="007A177A">
        <w:rPr>
          <w:rFonts w:cs="Arial"/>
        </w:rPr>
        <w:t xml:space="preserve">ndicó </w:t>
      </w:r>
      <w:r w:rsidR="003A4FB0" w:rsidRPr="007A177A">
        <w:rPr>
          <w:rFonts w:cs="Arial"/>
        </w:rPr>
        <w:t>(se transcribe de forma literal)</w:t>
      </w:r>
      <w:r w:rsidR="00797DF9" w:rsidRPr="007A177A">
        <w:rPr>
          <w:rFonts w:cs="Arial"/>
        </w:rPr>
        <w:t>:</w:t>
      </w:r>
    </w:p>
    <w:p w14:paraId="2349B882" w14:textId="77777777" w:rsidR="00DF34D9" w:rsidRPr="007A177A" w:rsidRDefault="00DF34D9" w:rsidP="00BF333B">
      <w:pPr>
        <w:pStyle w:val="Lista2"/>
        <w:ind w:left="0" w:firstLine="0"/>
        <w:rPr>
          <w:rFonts w:cs="Arial"/>
        </w:rPr>
      </w:pPr>
    </w:p>
    <w:p w14:paraId="5E381563" w14:textId="77777777" w:rsidR="008E44EF" w:rsidRPr="007A177A" w:rsidRDefault="00DF34D9" w:rsidP="00BF333B">
      <w:pPr>
        <w:pStyle w:val="Lista2"/>
        <w:spacing w:line="240" w:lineRule="auto"/>
        <w:ind w:left="567" w:right="902" w:firstLine="0"/>
        <w:rPr>
          <w:rFonts w:cs="Arial"/>
          <w:i/>
        </w:rPr>
      </w:pPr>
      <w:r w:rsidRPr="007A177A">
        <w:rPr>
          <w:rFonts w:cs="Arial"/>
          <w:i/>
        </w:rPr>
        <w:t>“Esta interventoría es consiente de que los ítems correspondientes est</w:t>
      </w:r>
      <w:r w:rsidR="00FB2D23" w:rsidRPr="007A177A">
        <w:rPr>
          <w:rFonts w:cs="Arial"/>
          <w:i/>
        </w:rPr>
        <w:t>á</w:t>
      </w:r>
      <w:r w:rsidRPr="007A177A">
        <w:rPr>
          <w:rFonts w:cs="Arial"/>
          <w:i/>
        </w:rPr>
        <w:t xml:space="preserve">n pasados en su ejecución </w:t>
      </w:r>
      <w:r w:rsidR="00FB2D23" w:rsidRPr="007A177A">
        <w:rPr>
          <w:rFonts w:cs="Arial"/>
          <w:i/>
        </w:rPr>
        <w:t>en más del 125% y se solicitó al Ministerio la aprobación de nuevos precios por este concepto. Hasta la fecha el comité de precios, no se ha pronu</w:t>
      </w:r>
      <w:r w:rsidR="008E44EF" w:rsidRPr="007A177A">
        <w:rPr>
          <w:rFonts w:cs="Arial"/>
          <w:i/>
        </w:rPr>
        <w:t>n</w:t>
      </w:r>
      <w:r w:rsidR="00FB2D23" w:rsidRPr="007A177A">
        <w:rPr>
          <w:rFonts w:cs="Arial"/>
          <w:i/>
        </w:rPr>
        <w:t xml:space="preserve">ciado el respecto, pero esta interventoría </w:t>
      </w:r>
      <w:r w:rsidR="008E44EF" w:rsidRPr="007A177A">
        <w:rPr>
          <w:rFonts w:cs="Arial"/>
          <w:i/>
        </w:rPr>
        <w:t xml:space="preserve">solicitará al Comité de Precios por intermedio del </w:t>
      </w:r>
      <w:proofErr w:type="gramStart"/>
      <w:r w:rsidR="008E44EF" w:rsidRPr="007A177A">
        <w:rPr>
          <w:rFonts w:cs="Arial"/>
          <w:i/>
        </w:rPr>
        <w:t>Director</w:t>
      </w:r>
      <w:proofErr w:type="gramEnd"/>
      <w:r w:rsidR="008E44EF" w:rsidRPr="007A177A">
        <w:rPr>
          <w:rFonts w:cs="Arial"/>
          <w:i/>
        </w:rPr>
        <w:t xml:space="preserve"> les sea definida radicalmente esta situación”.</w:t>
      </w:r>
    </w:p>
    <w:p w14:paraId="28995FB7" w14:textId="77777777" w:rsidR="00B21042" w:rsidRPr="007A177A" w:rsidRDefault="00B21042" w:rsidP="00BF333B">
      <w:pPr>
        <w:pStyle w:val="Lista2"/>
        <w:ind w:left="0" w:firstLine="0"/>
        <w:rPr>
          <w:rFonts w:cs="Arial"/>
        </w:rPr>
      </w:pPr>
    </w:p>
    <w:p w14:paraId="1EF9C6C6" w14:textId="77777777" w:rsidR="007012B9" w:rsidRPr="007A177A" w:rsidRDefault="00937F5A" w:rsidP="00BF333B">
      <w:pPr>
        <w:pStyle w:val="Lista2"/>
        <w:ind w:left="0" w:firstLine="0"/>
        <w:rPr>
          <w:rFonts w:cs="Arial"/>
        </w:rPr>
      </w:pPr>
      <w:r w:rsidRPr="007A177A">
        <w:rPr>
          <w:rFonts w:cs="Arial"/>
          <w:b/>
        </w:rPr>
        <w:t>8</w:t>
      </w:r>
      <w:r w:rsidR="009371F7" w:rsidRPr="007A177A">
        <w:rPr>
          <w:rFonts w:cs="Arial"/>
          <w:b/>
        </w:rPr>
        <w:t>.14.</w:t>
      </w:r>
      <w:r w:rsidR="007012B9" w:rsidRPr="007A177A">
        <w:rPr>
          <w:rFonts w:cs="Arial"/>
        </w:rPr>
        <w:t xml:space="preserve"> Memorando 1349 de 22 de julio de 1980</w:t>
      </w:r>
      <w:r w:rsidR="00C30ABB" w:rsidRPr="007A177A">
        <w:rPr>
          <w:rFonts w:cs="Arial"/>
        </w:rPr>
        <w:t>,</w:t>
      </w:r>
      <w:r w:rsidR="007012B9" w:rsidRPr="007A177A">
        <w:rPr>
          <w:rFonts w:cs="Arial"/>
        </w:rPr>
        <w:t xml:space="preserve"> en el cual el viceministro, en su condición de presidente del </w:t>
      </w:r>
      <w:r w:rsidR="00C30ABB" w:rsidRPr="007A177A">
        <w:rPr>
          <w:rFonts w:cs="Arial"/>
        </w:rPr>
        <w:t>c</w:t>
      </w:r>
      <w:r w:rsidR="007012B9" w:rsidRPr="007A177A">
        <w:rPr>
          <w:rFonts w:cs="Arial"/>
        </w:rPr>
        <w:t xml:space="preserve">omité de </w:t>
      </w:r>
      <w:r w:rsidR="00C30ABB" w:rsidRPr="007A177A">
        <w:rPr>
          <w:rFonts w:cs="Arial"/>
        </w:rPr>
        <w:t>p</w:t>
      </w:r>
      <w:r w:rsidR="007012B9" w:rsidRPr="007A177A">
        <w:rPr>
          <w:rFonts w:cs="Arial"/>
        </w:rPr>
        <w:t>recios, comunic</w:t>
      </w:r>
      <w:r w:rsidR="002600F0" w:rsidRPr="007A177A">
        <w:rPr>
          <w:rFonts w:cs="Arial"/>
        </w:rPr>
        <w:t>ó</w:t>
      </w:r>
      <w:r w:rsidR="007012B9" w:rsidRPr="007A177A">
        <w:rPr>
          <w:rFonts w:cs="Arial"/>
        </w:rPr>
        <w:t xml:space="preserve"> que el 9 de julio de 1980 el citado comité fijó en 230.147,56 metros cúbicos compactos </w:t>
      </w:r>
      <w:r w:rsidR="007012B9" w:rsidRPr="007A177A">
        <w:rPr>
          <w:rFonts w:cs="Arial"/>
          <w:i/>
          <w:iCs/>
        </w:rPr>
        <w:t>“el volumen máximo de suministro de material seleccionado”</w:t>
      </w:r>
      <w:r w:rsidR="007012B9" w:rsidRPr="007A177A">
        <w:rPr>
          <w:rFonts w:cs="Arial"/>
        </w:rPr>
        <w:t xml:space="preserve"> con el precio de $93.21 M3</w:t>
      </w:r>
      <w:r w:rsidR="007012B9" w:rsidRPr="007A177A">
        <w:rPr>
          <w:rStyle w:val="Refdenotaalpie"/>
          <w:rFonts w:cs="Arial"/>
        </w:rPr>
        <w:footnoteReference w:id="94"/>
      </w:r>
      <w:r w:rsidR="007012B9" w:rsidRPr="007A177A">
        <w:rPr>
          <w:rFonts w:cs="Arial"/>
        </w:rPr>
        <w:t>.</w:t>
      </w:r>
    </w:p>
    <w:p w14:paraId="3A6917FA" w14:textId="77777777" w:rsidR="003A4FB0" w:rsidRPr="007A177A" w:rsidRDefault="003A4FB0" w:rsidP="00BF333B">
      <w:pPr>
        <w:pStyle w:val="Lista2"/>
        <w:ind w:left="0" w:firstLine="0"/>
        <w:rPr>
          <w:rFonts w:cs="Arial"/>
        </w:rPr>
      </w:pPr>
    </w:p>
    <w:p w14:paraId="6CC99361" w14:textId="77777777" w:rsidR="00636051" w:rsidRPr="007A177A" w:rsidRDefault="00937F5A" w:rsidP="00BF333B">
      <w:pPr>
        <w:pStyle w:val="Lista2"/>
        <w:ind w:left="0" w:firstLine="0"/>
        <w:rPr>
          <w:rFonts w:cs="Arial"/>
        </w:rPr>
      </w:pPr>
      <w:r w:rsidRPr="007A177A">
        <w:rPr>
          <w:rFonts w:cs="Arial"/>
          <w:b/>
        </w:rPr>
        <w:lastRenderedPageBreak/>
        <w:t>8</w:t>
      </w:r>
      <w:r w:rsidR="009371F7" w:rsidRPr="007A177A">
        <w:rPr>
          <w:rFonts w:cs="Arial"/>
          <w:b/>
        </w:rPr>
        <w:t>.15.</w:t>
      </w:r>
      <w:r w:rsidR="009371F7" w:rsidRPr="007A177A">
        <w:rPr>
          <w:rFonts w:cs="Arial"/>
        </w:rPr>
        <w:t xml:space="preserve"> </w:t>
      </w:r>
      <w:r w:rsidR="00091838" w:rsidRPr="007A177A">
        <w:rPr>
          <w:rFonts w:cs="Arial"/>
        </w:rPr>
        <w:t xml:space="preserve">Memorando de </w:t>
      </w:r>
      <w:r w:rsidR="00641FE0" w:rsidRPr="007A177A">
        <w:rPr>
          <w:rFonts w:cs="Arial"/>
        </w:rPr>
        <w:t>a</w:t>
      </w:r>
      <w:r w:rsidR="00091838" w:rsidRPr="007A177A">
        <w:rPr>
          <w:rFonts w:cs="Arial"/>
        </w:rPr>
        <w:t>gosto 12 de 1980</w:t>
      </w:r>
      <w:r w:rsidR="00C30ABB" w:rsidRPr="007A177A">
        <w:rPr>
          <w:rFonts w:cs="Arial"/>
        </w:rPr>
        <w:t>,</w:t>
      </w:r>
      <w:r w:rsidR="00091838" w:rsidRPr="007A177A">
        <w:rPr>
          <w:rFonts w:cs="Arial"/>
        </w:rPr>
        <w:t xml:space="preserve"> suscrito por el ingeniero Camilo Roa, con destino al ingeniero Uriel Chacón, de la firma Botero Aguilar y </w:t>
      </w:r>
      <w:proofErr w:type="spellStart"/>
      <w:r w:rsidR="00091838" w:rsidRPr="007A177A">
        <w:rPr>
          <w:rFonts w:cs="Arial"/>
        </w:rPr>
        <w:t>Cía</w:t>
      </w:r>
      <w:proofErr w:type="spellEnd"/>
      <w:r w:rsidR="002600F0" w:rsidRPr="007A177A">
        <w:rPr>
          <w:rFonts w:cs="Arial"/>
        </w:rPr>
        <w:t>,</w:t>
      </w:r>
      <w:r w:rsidR="00091838" w:rsidRPr="007A177A">
        <w:rPr>
          <w:rFonts w:cs="Arial"/>
        </w:rPr>
        <w:t xml:space="preserve"> </w:t>
      </w:r>
      <w:r w:rsidR="002600F0" w:rsidRPr="007A177A">
        <w:rPr>
          <w:rFonts w:cs="Arial"/>
        </w:rPr>
        <w:t xml:space="preserve">en el que advirtió </w:t>
      </w:r>
      <w:r w:rsidR="00925AE6" w:rsidRPr="007A177A">
        <w:rPr>
          <w:rFonts w:cs="Arial"/>
        </w:rPr>
        <w:t xml:space="preserve">su discrepancia </w:t>
      </w:r>
      <w:r w:rsidR="00C30ABB" w:rsidRPr="007A177A">
        <w:rPr>
          <w:rFonts w:cs="Arial"/>
        </w:rPr>
        <w:t>con</w:t>
      </w:r>
      <w:r w:rsidR="00925AE6" w:rsidRPr="007A177A">
        <w:rPr>
          <w:rFonts w:cs="Arial"/>
        </w:rPr>
        <w:t xml:space="preserve"> la forma como se estaban clasificando las cantidades ejecutadas, y le indicó la </w:t>
      </w:r>
      <w:r w:rsidR="002600F0" w:rsidRPr="007A177A">
        <w:rPr>
          <w:rFonts w:cs="Arial"/>
        </w:rPr>
        <w:t>utilización del ítem de préstamos de materiales as</w:t>
      </w:r>
      <w:r w:rsidR="009371F7" w:rsidRPr="007A177A">
        <w:rPr>
          <w:rFonts w:cs="Arial"/>
        </w:rPr>
        <w:t>í</w:t>
      </w:r>
      <w:r w:rsidR="00D42CDC" w:rsidRPr="007A177A">
        <w:rPr>
          <w:rFonts w:cs="Arial"/>
        </w:rPr>
        <w:t xml:space="preserve"> </w:t>
      </w:r>
      <w:r w:rsidR="002600F0" w:rsidRPr="007A177A">
        <w:rPr>
          <w:rFonts w:cs="Arial"/>
        </w:rPr>
        <w:t>(se transcribe en forma literal)</w:t>
      </w:r>
      <w:r w:rsidR="00636051" w:rsidRPr="007A177A">
        <w:rPr>
          <w:rFonts w:cs="Arial"/>
        </w:rPr>
        <w:t>:</w:t>
      </w:r>
    </w:p>
    <w:p w14:paraId="0C27EDF9" w14:textId="77777777" w:rsidR="00636051" w:rsidRPr="007A177A" w:rsidRDefault="00636051" w:rsidP="00BF333B">
      <w:pPr>
        <w:pStyle w:val="Lista2"/>
        <w:spacing w:line="276" w:lineRule="auto"/>
        <w:ind w:left="567" w:right="902" w:firstLine="0"/>
        <w:rPr>
          <w:rFonts w:cs="Arial"/>
          <w:i/>
        </w:rPr>
      </w:pPr>
    </w:p>
    <w:p w14:paraId="72E11523" w14:textId="77777777" w:rsidR="00522ADE" w:rsidRPr="007A177A" w:rsidRDefault="00636051" w:rsidP="00BF333B">
      <w:pPr>
        <w:pStyle w:val="Lista2"/>
        <w:spacing w:line="240" w:lineRule="auto"/>
        <w:ind w:left="567" w:right="902" w:firstLine="0"/>
        <w:rPr>
          <w:rFonts w:cs="Arial"/>
          <w:i/>
        </w:rPr>
      </w:pPr>
      <w:r w:rsidRPr="007A177A">
        <w:rPr>
          <w:rFonts w:cs="Arial"/>
          <w:i/>
        </w:rPr>
        <w:t xml:space="preserve">“Esta interventoría no está de acuerdo con la consideración que Usted tiene en cuenta en el Oficio </w:t>
      </w:r>
      <w:r w:rsidRPr="007A177A">
        <w:rPr>
          <w:rFonts w:cs="Arial"/>
          <w:iCs/>
        </w:rPr>
        <w:t>[de agosto 10 de 1980]</w:t>
      </w:r>
      <w:r w:rsidRPr="007A177A">
        <w:rPr>
          <w:rFonts w:cs="Arial"/>
          <w:i/>
        </w:rPr>
        <w:t xml:space="preserve"> n</w:t>
      </w:r>
      <w:r w:rsidR="008C1D29" w:rsidRPr="007A177A">
        <w:rPr>
          <w:rFonts w:cs="Arial"/>
          <w:i/>
        </w:rPr>
        <w:t>i</w:t>
      </w:r>
      <w:r w:rsidRPr="007A177A">
        <w:rPr>
          <w:rFonts w:cs="Arial"/>
          <w:i/>
        </w:rPr>
        <w:t xml:space="preserve"> tampoco </w:t>
      </w:r>
      <w:r w:rsidR="008C1D29" w:rsidRPr="007A177A">
        <w:rPr>
          <w:rFonts w:cs="Arial"/>
          <w:i/>
        </w:rPr>
        <w:t xml:space="preserve">en </w:t>
      </w:r>
      <w:r w:rsidRPr="007A177A">
        <w:rPr>
          <w:rFonts w:cs="Arial"/>
          <w:i/>
        </w:rPr>
        <w:t xml:space="preserve">los volúmenes a ejecutar </w:t>
      </w:r>
      <w:r w:rsidR="002600F0" w:rsidRPr="007A177A">
        <w:rPr>
          <w:rFonts w:cs="Arial"/>
          <w:i/>
        </w:rPr>
        <w:t xml:space="preserve">[que] </w:t>
      </w:r>
      <w:r w:rsidRPr="007A177A">
        <w:rPr>
          <w:rFonts w:cs="Arial"/>
          <w:i/>
        </w:rPr>
        <w:t xml:space="preserve">se consideraron dentro de ese ítem, </w:t>
      </w:r>
      <w:r w:rsidRPr="007A177A">
        <w:rPr>
          <w:rFonts w:cs="Arial"/>
          <w:b/>
          <w:bCs/>
          <w:i/>
        </w:rPr>
        <w:t>sin</w:t>
      </w:r>
      <w:r w:rsidR="002600F0" w:rsidRPr="007A177A">
        <w:rPr>
          <w:rFonts w:cs="Arial"/>
          <w:b/>
          <w:bCs/>
          <w:i/>
        </w:rPr>
        <w:t>o</w:t>
      </w:r>
      <w:r w:rsidRPr="007A177A">
        <w:rPr>
          <w:rFonts w:cs="Arial"/>
          <w:b/>
          <w:bCs/>
          <w:i/>
        </w:rPr>
        <w:t xml:space="preserve"> dentro del ítem Excavación de pr</w:t>
      </w:r>
      <w:r w:rsidR="00522ADE" w:rsidRPr="007A177A">
        <w:rPr>
          <w:rFonts w:cs="Arial"/>
          <w:b/>
          <w:bCs/>
          <w:i/>
        </w:rPr>
        <w:t>é</w:t>
      </w:r>
      <w:r w:rsidRPr="007A177A">
        <w:rPr>
          <w:rFonts w:cs="Arial"/>
          <w:b/>
          <w:bCs/>
          <w:i/>
        </w:rPr>
        <w:t xml:space="preserve">stamos </w:t>
      </w:r>
      <w:r w:rsidRPr="007A177A">
        <w:rPr>
          <w:rFonts w:cs="Arial"/>
          <w:bCs/>
        </w:rPr>
        <w:t>[de materiales]</w:t>
      </w:r>
      <w:r w:rsidRPr="007A177A">
        <w:rPr>
          <w:rFonts w:cs="Arial"/>
          <w:b/>
          <w:bCs/>
          <w:i/>
        </w:rPr>
        <w:t xml:space="preserve"> </w:t>
      </w:r>
      <w:r w:rsidR="00522ADE" w:rsidRPr="007A177A">
        <w:rPr>
          <w:rFonts w:cs="Arial"/>
          <w:b/>
          <w:bCs/>
          <w:i/>
        </w:rPr>
        <w:t>que es el ordenado y el pactado</w:t>
      </w:r>
      <w:r w:rsidR="00522ADE" w:rsidRPr="007A177A">
        <w:rPr>
          <w:rFonts w:cs="Arial"/>
          <w:i/>
        </w:rPr>
        <w:t>”</w:t>
      </w:r>
      <w:r w:rsidR="00522ADE" w:rsidRPr="007A177A">
        <w:rPr>
          <w:rStyle w:val="Refdenotaalpie"/>
          <w:rFonts w:cs="Arial"/>
          <w:i/>
        </w:rPr>
        <w:footnoteReference w:id="95"/>
      </w:r>
      <w:r w:rsidR="00592C29" w:rsidRPr="007A177A">
        <w:rPr>
          <w:rFonts w:cs="Arial"/>
          <w:i/>
        </w:rPr>
        <w:t xml:space="preserve"> </w:t>
      </w:r>
      <w:r w:rsidR="00592C29" w:rsidRPr="007A177A">
        <w:rPr>
          <w:rFonts w:cs="Arial"/>
        </w:rPr>
        <w:t>(la negrilla no es del texto)</w:t>
      </w:r>
      <w:r w:rsidR="00522ADE" w:rsidRPr="007A177A">
        <w:rPr>
          <w:rFonts w:cs="Arial"/>
          <w:i/>
        </w:rPr>
        <w:t>.</w:t>
      </w:r>
    </w:p>
    <w:p w14:paraId="2FA6B30C" w14:textId="77777777" w:rsidR="00522ADE" w:rsidRPr="007A177A" w:rsidRDefault="00522ADE" w:rsidP="00BF333B">
      <w:pPr>
        <w:pStyle w:val="Lista2"/>
        <w:ind w:left="0" w:firstLine="0"/>
        <w:rPr>
          <w:rFonts w:cs="Arial"/>
        </w:rPr>
      </w:pPr>
    </w:p>
    <w:p w14:paraId="292FAEEC" w14:textId="77777777" w:rsidR="00E82BE2" w:rsidRPr="007A177A" w:rsidRDefault="00937F5A" w:rsidP="00BF333B">
      <w:pPr>
        <w:pStyle w:val="Lista2"/>
        <w:ind w:left="0" w:firstLine="0"/>
        <w:rPr>
          <w:rFonts w:cs="Arial"/>
        </w:rPr>
      </w:pPr>
      <w:r w:rsidRPr="007A177A">
        <w:rPr>
          <w:rFonts w:cs="Arial"/>
          <w:b/>
        </w:rPr>
        <w:t>8</w:t>
      </w:r>
      <w:r w:rsidR="00072B70" w:rsidRPr="007A177A">
        <w:rPr>
          <w:rFonts w:cs="Arial"/>
          <w:b/>
        </w:rPr>
        <w:t>.16.</w:t>
      </w:r>
      <w:r w:rsidR="00072B70" w:rsidRPr="007A177A">
        <w:rPr>
          <w:rFonts w:cs="Arial"/>
        </w:rPr>
        <w:t xml:space="preserve"> </w:t>
      </w:r>
      <w:r w:rsidR="00ED51EE" w:rsidRPr="007A177A">
        <w:rPr>
          <w:rFonts w:cs="Arial"/>
        </w:rPr>
        <w:t>Oficio IGE – 001 de octubre de</w:t>
      </w:r>
      <w:r w:rsidR="00592C29" w:rsidRPr="007A177A">
        <w:rPr>
          <w:rFonts w:cs="Arial"/>
        </w:rPr>
        <w:t xml:space="preserve"> </w:t>
      </w:r>
      <w:r w:rsidR="00ED51EE" w:rsidRPr="007A177A">
        <w:rPr>
          <w:rFonts w:cs="Arial"/>
        </w:rPr>
        <w:t xml:space="preserve">1980, suscrito por el ingeniero Eduardo Maldonado, interventor residente, </w:t>
      </w:r>
      <w:r w:rsidR="00072B70" w:rsidRPr="007A177A">
        <w:rPr>
          <w:rFonts w:cs="Arial"/>
        </w:rPr>
        <w:t xml:space="preserve">en el que </w:t>
      </w:r>
      <w:r w:rsidR="00592C29" w:rsidRPr="007A177A">
        <w:rPr>
          <w:rFonts w:cs="Arial"/>
        </w:rPr>
        <w:t xml:space="preserve">también </w:t>
      </w:r>
      <w:r w:rsidR="00072B70" w:rsidRPr="007A177A">
        <w:rPr>
          <w:rFonts w:cs="Arial"/>
        </w:rPr>
        <w:t xml:space="preserve">consta </w:t>
      </w:r>
      <w:r w:rsidR="00ED51EE" w:rsidRPr="007A177A">
        <w:rPr>
          <w:rFonts w:cs="Arial"/>
        </w:rPr>
        <w:t>el visto bueno del ingeniero jefe del distrito</w:t>
      </w:r>
      <w:r w:rsidR="00072B70" w:rsidRPr="007A177A">
        <w:rPr>
          <w:rFonts w:cs="Arial"/>
        </w:rPr>
        <w:t xml:space="preserve">, mediante el cual se </w:t>
      </w:r>
      <w:r w:rsidR="00ED51EE" w:rsidRPr="007A177A">
        <w:rPr>
          <w:rFonts w:cs="Arial"/>
        </w:rPr>
        <w:t>advirt</w:t>
      </w:r>
      <w:r w:rsidR="008C1D29" w:rsidRPr="007A177A">
        <w:rPr>
          <w:rFonts w:cs="Arial"/>
        </w:rPr>
        <w:t>ió</w:t>
      </w:r>
      <w:r w:rsidR="00ED51EE" w:rsidRPr="007A177A">
        <w:rPr>
          <w:rFonts w:cs="Arial"/>
        </w:rPr>
        <w:t xml:space="preserve"> al ingeniero </w:t>
      </w:r>
      <w:r w:rsidR="00E82BE2" w:rsidRPr="007A177A">
        <w:rPr>
          <w:rFonts w:cs="Arial"/>
        </w:rPr>
        <w:t>Uriel Ch</w:t>
      </w:r>
      <w:r w:rsidR="000D6CA8" w:rsidRPr="007A177A">
        <w:rPr>
          <w:rFonts w:cs="Arial"/>
        </w:rPr>
        <w:t>a</w:t>
      </w:r>
      <w:r w:rsidR="00E82BE2" w:rsidRPr="007A177A">
        <w:rPr>
          <w:rFonts w:cs="Arial"/>
        </w:rPr>
        <w:t>cón que no deb</w:t>
      </w:r>
      <w:r w:rsidR="004249E8" w:rsidRPr="007A177A">
        <w:rPr>
          <w:rFonts w:cs="Arial"/>
        </w:rPr>
        <w:t>ía</w:t>
      </w:r>
      <w:r w:rsidR="00E82BE2" w:rsidRPr="007A177A">
        <w:rPr>
          <w:rFonts w:cs="Arial"/>
        </w:rPr>
        <w:t xml:space="preserve"> utilizar ni</w:t>
      </w:r>
      <w:r w:rsidR="00D425BC" w:rsidRPr="007A177A">
        <w:rPr>
          <w:rFonts w:cs="Arial"/>
        </w:rPr>
        <w:t>n</w:t>
      </w:r>
      <w:r w:rsidR="00E82BE2" w:rsidRPr="007A177A">
        <w:rPr>
          <w:rFonts w:cs="Arial"/>
        </w:rPr>
        <w:t>gún material que no t</w:t>
      </w:r>
      <w:r w:rsidR="004249E8" w:rsidRPr="007A177A">
        <w:rPr>
          <w:rFonts w:cs="Arial"/>
        </w:rPr>
        <w:t xml:space="preserve">uviera </w:t>
      </w:r>
      <w:r w:rsidR="00E82BE2" w:rsidRPr="007A177A">
        <w:rPr>
          <w:rFonts w:cs="Arial"/>
        </w:rPr>
        <w:t>autorización</w:t>
      </w:r>
      <w:r w:rsidR="000D6CA8" w:rsidRPr="007A177A">
        <w:rPr>
          <w:rFonts w:cs="Arial"/>
        </w:rPr>
        <w:t xml:space="preserve"> </w:t>
      </w:r>
      <w:r w:rsidR="00E82BE2" w:rsidRPr="007A177A">
        <w:rPr>
          <w:rFonts w:cs="Arial"/>
        </w:rPr>
        <w:t>de la interventoría en cuanto a calidad</w:t>
      </w:r>
      <w:r w:rsidR="000D6CA8" w:rsidRPr="007A177A">
        <w:rPr>
          <w:rFonts w:cs="Arial"/>
        </w:rPr>
        <w:t>,</w:t>
      </w:r>
      <w:r w:rsidR="00E82BE2" w:rsidRPr="007A177A">
        <w:rPr>
          <w:rFonts w:cs="Arial"/>
        </w:rPr>
        <w:t xml:space="preserve"> </w:t>
      </w:r>
      <w:r w:rsidR="000D6CA8" w:rsidRPr="007A177A">
        <w:rPr>
          <w:rFonts w:cs="Arial"/>
          <w:i/>
        </w:rPr>
        <w:t>“e</w:t>
      </w:r>
      <w:r w:rsidR="00E82BE2" w:rsidRPr="007A177A">
        <w:rPr>
          <w:rFonts w:cs="Arial"/>
          <w:i/>
        </w:rPr>
        <w:t>specialmente en los agregados para concretos que no deben ser de procedencia marina”</w:t>
      </w:r>
      <w:r w:rsidR="00E82BE2" w:rsidRPr="007A177A">
        <w:rPr>
          <w:rStyle w:val="Refdenotaalpie"/>
          <w:rFonts w:cs="Arial"/>
        </w:rPr>
        <w:footnoteReference w:id="96"/>
      </w:r>
      <w:r w:rsidR="00E82BE2" w:rsidRPr="007A177A">
        <w:rPr>
          <w:rFonts w:cs="Arial"/>
        </w:rPr>
        <w:t>.</w:t>
      </w:r>
    </w:p>
    <w:p w14:paraId="7F82B466" w14:textId="77777777" w:rsidR="007012B9" w:rsidRPr="007A177A" w:rsidRDefault="007012B9" w:rsidP="00BF333B">
      <w:pPr>
        <w:spacing w:line="360" w:lineRule="auto"/>
        <w:jc w:val="both"/>
        <w:rPr>
          <w:rFonts w:ascii="Arial" w:hAnsi="Arial" w:cs="Arial"/>
        </w:rPr>
      </w:pPr>
    </w:p>
    <w:p w14:paraId="544FAA42" w14:textId="77777777" w:rsidR="00D425BC" w:rsidRPr="007A177A" w:rsidRDefault="00937F5A" w:rsidP="00BF333B">
      <w:pPr>
        <w:spacing w:line="360" w:lineRule="auto"/>
        <w:jc w:val="both"/>
        <w:rPr>
          <w:rFonts w:ascii="Arial" w:hAnsi="Arial" w:cs="Arial"/>
        </w:rPr>
      </w:pPr>
      <w:r w:rsidRPr="007A177A">
        <w:rPr>
          <w:rFonts w:ascii="Arial" w:hAnsi="Arial" w:cs="Arial"/>
          <w:b/>
        </w:rPr>
        <w:t>8</w:t>
      </w:r>
      <w:r w:rsidR="00072B70" w:rsidRPr="007A177A">
        <w:rPr>
          <w:rFonts w:ascii="Arial" w:hAnsi="Arial" w:cs="Arial"/>
          <w:b/>
        </w:rPr>
        <w:t>.17.</w:t>
      </w:r>
      <w:r w:rsidR="00072B70" w:rsidRPr="007A177A">
        <w:rPr>
          <w:rFonts w:ascii="Arial" w:hAnsi="Arial" w:cs="Arial"/>
        </w:rPr>
        <w:t xml:space="preserve"> </w:t>
      </w:r>
      <w:r w:rsidR="00D425BC" w:rsidRPr="007A177A">
        <w:rPr>
          <w:rFonts w:ascii="Arial" w:hAnsi="Arial" w:cs="Arial"/>
        </w:rPr>
        <w:t xml:space="preserve">Oficio J- D3-023 </w:t>
      </w:r>
      <w:r w:rsidR="004249E8" w:rsidRPr="007A177A">
        <w:rPr>
          <w:rFonts w:ascii="Arial" w:hAnsi="Arial" w:cs="Arial"/>
        </w:rPr>
        <w:t>de</w:t>
      </w:r>
      <w:r w:rsidR="00CE4195" w:rsidRPr="007A177A">
        <w:rPr>
          <w:rFonts w:ascii="Arial" w:hAnsi="Arial" w:cs="Arial"/>
        </w:rPr>
        <w:t xml:space="preserve"> 9 de octubre de 1980</w:t>
      </w:r>
      <w:r w:rsidR="009F423D" w:rsidRPr="007A177A">
        <w:rPr>
          <w:rFonts w:ascii="Arial" w:hAnsi="Arial" w:cs="Arial"/>
        </w:rPr>
        <w:t>,</w:t>
      </w:r>
      <w:r w:rsidR="00CE4195" w:rsidRPr="007A177A">
        <w:rPr>
          <w:rFonts w:ascii="Arial" w:hAnsi="Arial" w:cs="Arial"/>
        </w:rPr>
        <w:t xml:space="preserve"> </w:t>
      </w:r>
      <w:r w:rsidR="00D425BC" w:rsidRPr="007A177A">
        <w:rPr>
          <w:rFonts w:ascii="Arial" w:hAnsi="Arial" w:cs="Arial"/>
        </w:rPr>
        <w:t>suscrito por el ingeniero Eduardo Maldonado</w:t>
      </w:r>
      <w:r w:rsidR="009F423D" w:rsidRPr="007A177A">
        <w:rPr>
          <w:rFonts w:ascii="Arial" w:hAnsi="Arial" w:cs="Arial"/>
        </w:rPr>
        <w:t>,</w:t>
      </w:r>
      <w:r w:rsidR="00D425BC" w:rsidRPr="007A177A">
        <w:rPr>
          <w:rFonts w:ascii="Arial" w:hAnsi="Arial" w:cs="Arial"/>
        </w:rPr>
        <w:t xml:space="preserve"> en el </w:t>
      </w:r>
      <w:r w:rsidR="009C31DC" w:rsidRPr="007A177A">
        <w:rPr>
          <w:rFonts w:ascii="Arial" w:hAnsi="Arial" w:cs="Arial"/>
        </w:rPr>
        <w:t xml:space="preserve">cual </w:t>
      </w:r>
      <w:r w:rsidR="00072B70" w:rsidRPr="007A177A">
        <w:rPr>
          <w:rFonts w:ascii="Arial" w:hAnsi="Arial" w:cs="Arial"/>
        </w:rPr>
        <w:t xml:space="preserve">recordó </w:t>
      </w:r>
      <w:r w:rsidR="00D425BC" w:rsidRPr="007A177A">
        <w:rPr>
          <w:rFonts w:ascii="Arial" w:hAnsi="Arial" w:cs="Arial"/>
        </w:rPr>
        <w:t xml:space="preserve">al </w:t>
      </w:r>
      <w:r w:rsidR="009F423D" w:rsidRPr="007A177A">
        <w:rPr>
          <w:rFonts w:ascii="Arial" w:hAnsi="Arial" w:cs="Arial"/>
        </w:rPr>
        <w:t>i</w:t>
      </w:r>
      <w:r w:rsidR="00D425BC" w:rsidRPr="007A177A">
        <w:rPr>
          <w:rFonts w:ascii="Arial" w:hAnsi="Arial" w:cs="Arial"/>
        </w:rPr>
        <w:t>ngeniero Ur</w:t>
      </w:r>
      <w:r w:rsidR="009C31DC" w:rsidRPr="007A177A">
        <w:rPr>
          <w:rFonts w:ascii="Arial" w:hAnsi="Arial" w:cs="Arial"/>
        </w:rPr>
        <w:t xml:space="preserve">iel </w:t>
      </w:r>
      <w:r w:rsidR="00D425BC" w:rsidRPr="007A177A">
        <w:rPr>
          <w:rFonts w:ascii="Arial" w:hAnsi="Arial" w:cs="Arial"/>
        </w:rPr>
        <w:t>Ch</w:t>
      </w:r>
      <w:r w:rsidR="009C31DC" w:rsidRPr="007A177A">
        <w:rPr>
          <w:rFonts w:ascii="Arial" w:hAnsi="Arial" w:cs="Arial"/>
        </w:rPr>
        <w:t>a</w:t>
      </w:r>
      <w:r w:rsidR="00D425BC" w:rsidRPr="007A177A">
        <w:rPr>
          <w:rFonts w:ascii="Arial" w:hAnsi="Arial" w:cs="Arial"/>
        </w:rPr>
        <w:t>c</w:t>
      </w:r>
      <w:r w:rsidR="009C31DC" w:rsidRPr="007A177A">
        <w:rPr>
          <w:rFonts w:ascii="Arial" w:hAnsi="Arial" w:cs="Arial"/>
        </w:rPr>
        <w:t>ó</w:t>
      </w:r>
      <w:r w:rsidR="00D425BC" w:rsidRPr="007A177A">
        <w:rPr>
          <w:rFonts w:ascii="Arial" w:hAnsi="Arial" w:cs="Arial"/>
        </w:rPr>
        <w:t>n qu</w:t>
      </w:r>
      <w:r w:rsidR="009C31DC" w:rsidRPr="007A177A">
        <w:rPr>
          <w:rFonts w:ascii="Arial" w:hAnsi="Arial" w:cs="Arial"/>
        </w:rPr>
        <w:t xml:space="preserve">e </w:t>
      </w:r>
      <w:r w:rsidR="009C31DC" w:rsidRPr="007A177A">
        <w:rPr>
          <w:rFonts w:ascii="Arial" w:hAnsi="Arial" w:cs="Arial"/>
          <w:i/>
          <w:iCs/>
        </w:rPr>
        <w:t>“no debe continuarse ejecutando ninguna obra que no tenga ítem contemplado en los mismos o para lo cual no se haya aprobado un precio previsto”</w:t>
      </w:r>
      <w:r w:rsidR="009C31DC" w:rsidRPr="007A177A">
        <w:rPr>
          <w:rStyle w:val="Refdenotaalpie"/>
          <w:rFonts w:ascii="Arial" w:hAnsi="Arial" w:cs="Arial"/>
        </w:rPr>
        <w:footnoteReference w:id="97"/>
      </w:r>
      <w:r w:rsidR="009C31DC" w:rsidRPr="007A177A">
        <w:rPr>
          <w:rFonts w:ascii="Arial" w:hAnsi="Arial" w:cs="Arial"/>
        </w:rPr>
        <w:t xml:space="preserve">. </w:t>
      </w:r>
    </w:p>
    <w:p w14:paraId="2E8DA3F1" w14:textId="77777777" w:rsidR="008C1D29" w:rsidRPr="007A177A" w:rsidRDefault="008C1D29" w:rsidP="00BF333B">
      <w:pPr>
        <w:spacing w:line="360" w:lineRule="auto"/>
        <w:jc w:val="both"/>
        <w:rPr>
          <w:rFonts w:ascii="Arial" w:hAnsi="Arial" w:cs="Arial"/>
        </w:rPr>
      </w:pPr>
    </w:p>
    <w:p w14:paraId="0AD70FAC" w14:textId="77777777" w:rsidR="00B9308A" w:rsidRPr="007A177A" w:rsidRDefault="00937F5A" w:rsidP="00BF333B">
      <w:pPr>
        <w:spacing w:line="360" w:lineRule="auto"/>
        <w:jc w:val="both"/>
        <w:rPr>
          <w:rFonts w:ascii="Arial" w:hAnsi="Arial" w:cs="Arial"/>
        </w:rPr>
      </w:pPr>
      <w:r w:rsidRPr="007A177A">
        <w:rPr>
          <w:rFonts w:ascii="Arial" w:hAnsi="Arial" w:cs="Arial"/>
          <w:b/>
        </w:rPr>
        <w:t>8</w:t>
      </w:r>
      <w:r w:rsidR="00072B70" w:rsidRPr="007A177A">
        <w:rPr>
          <w:rFonts w:ascii="Arial" w:hAnsi="Arial" w:cs="Arial"/>
          <w:b/>
        </w:rPr>
        <w:t>.18.</w:t>
      </w:r>
      <w:r w:rsidR="00072B70" w:rsidRPr="007A177A">
        <w:rPr>
          <w:rFonts w:ascii="Arial" w:hAnsi="Arial" w:cs="Arial"/>
        </w:rPr>
        <w:t xml:space="preserve"> </w:t>
      </w:r>
      <w:r w:rsidR="00B2223D" w:rsidRPr="007A177A">
        <w:rPr>
          <w:rFonts w:ascii="Arial" w:hAnsi="Arial" w:cs="Arial"/>
        </w:rPr>
        <w:t xml:space="preserve">Oficio 421 -006 – 81 </w:t>
      </w:r>
      <w:r w:rsidR="00201821" w:rsidRPr="007A177A">
        <w:rPr>
          <w:rFonts w:ascii="Arial" w:hAnsi="Arial" w:cs="Arial"/>
        </w:rPr>
        <w:t>de enero 27 de 1981</w:t>
      </w:r>
      <w:r w:rsidR="009B1113" w:rsidRPr="007A177A">
        <w:rPr>
          <w:rFonts w:ascii="Arial" w:hAnsi="Arial" w:cs="Arial"/>
        </w:rPr>
        <w:t>,</w:t>
      </w:r>
      <w:r w:rsidR="00201821" w:rsidRPr="007A177A">
        <w:rPr>
          <w:rFonts w:ascii="Arial" w:hAnsi="Arial" w:cs="Arial"/>
        </w:rPr>
        <w:t xml:space="preserve"> dirigido </w:t>
      </w:r>
      <w:r w:rsidR="00072B70" w:rsidRPr="007A177A">
        <w:rPr>
          <w:rFonts w:ascii="Arial" w:hAnsi="Arial" w:cs="Arial"/>
        </w:rPr>
        <w:t xml:space="preserve">a las contratistas </w:t>
      </w:r>
      <w:r w:rsidR="00201821" w:rsidRPr="007A177A">
        <w:rPr>
          <w:rFonts w:ascii="Arial" w:hAnsi="Arial" w:cs="Arial"/>
        </w:rPr>
        <w:t xml:space="preserve">por </w:t>
      </w:r>
      <w:r w:rsidR="00B2223D" w:rsidRPr="007A177A">
        <w:rPr>
          <w:rFonts w:ascii="Arial" w:hAnsi="Arial" w:cs="Arial"/>
        </w:rPr>
        <w:t xml:space="preserve">el ingeniero Régulo </w:t>
      </w:r>
      <w:proofErr w:type="spellStart"/>
      <w:r w:rsidR="00B2223D" w:rsidRPr="007A177A">
        <w:rPr>
          <w:rFonts w:ascii="Arial" w:hAnsi="Arial" w:cs="Arial"/>
        </w:rPr>
        <w:t>Mass</w:t>
      </w:r>
      <w:r w:rsidR="00072B70" w:rsidRPr="007A177A">
        <w:rPr>
          <w:rFonts w:ascii="Arial" w:hAnsi="Arial" w:cs="Arial"/>
        </w:rPr>
        <w:t>i</w:t>
      </w:r>
      <w:proofErr w:type="spellEnd"/>
      <w:r w:rsidR="00B2223D" w:rsidRPr="007A177A">
        <w:rPr>
          <w:rFonts w:ascii="Arial" w:hAnsi="Arial" w:cs="Arial"/>
        </w:rPr>
        <w:t xml:space="preserve"> de la firma Senior y Viana </w:t>
      </w:r>
      <w:proofErr w:type="spellStart"/>
      <w:r w:rsidR="00B2223D" w:rsidRPr="007A177A">
        <w:rPr>
          <w:rFonts w:ascii="Arial" w:hAnsi="Arial" w:cs="Arial"/>
        </w:rPr>
        <w:t>Ltda</w:t>
      </w:r>
      <w:proofErr w:type="spellEnd"/>
      <w:r w:rsidR="00B2223D" w:rsidRPr="007A177A">
        <w:rPr>
          <w:rFonts w:ascii="Arial" w:hAnsi="Arial" w:cs="Arial"/>
        </w:rPr>
        <w:t xml:space="preserve"> </w:t>
      </w:r>
      <w:r w:rsidR="00BD7926" w:rsidRPr="007A177A">
        <w:rPr>
          <w:rFonts w:ascii="Arial" w:hAnsi="Arial" w:cs="Arial"/>
        </w:rPr>
        <w:t>-</w:t>
      </w:r>
      <w:r w:rsidR="00201821" w:rsidRPr="007A177A">
        <w:rPr>
          <w:rFonts w:ascii="Arial" w:hAnsi="Arial" w:cs="Arial"/>
          <w:i/>
        </w:rPr>
        <w:t xml:space="preserve">nuevo </w:t>
      </w:r>
      <w:r w:rsidR="00B2223D" w:rsidRPr="007A177A">
        <w:rPr>
          <w:rFonts w:ascii="Arial" w:hAnsi="Arial" w:cs="Arial"/>
          <w:i/>
        </w:rPr>
        <w:t>interventor del contrato</w:t>
      </w:r>
      <w:r w:rsidR="00BD7926" w:rsidRPr="007A177A">
        <w:rPr>
          <w:rFonts w:ascii="Arial" w:hAnsi="Arial" w:cs="Arial"/>
        </w:rPr>
        <w:t>-</w:t>
      </w:r>
      <w:r w:rsidR="00B2223D" w:rsidRPr="007A177A">
        <w:rPr>
          <w:rFonts w:ascii="Arial" w:hAnsi="Arial" w:cs="Arial"/>
        </w:rPr>
        <w:t xml:space="preserve"> </w:t>
      </w:r>
      <w:r w:rsidR="00201821" w:rsidRPr="007A177A">
        <w:rPr>
          <w:rFonts w:ascii="Arial" w:hAnsi="Arial" w:cs="Arial"/>
        </w:rPr>
        <w:t xml:space="preserve">en el que </w:t>
      </w:r>
      <w:r w:rsidR="003154C0" w:rsidRPr="007A177A">
        <w:rPr>
          <w:rFonts w:ascii="Arial" w:hAnsi="Arial" w:cs="Arial"/>
        </w:rPr>
        <w:t xml:space="preserve">solicitó el retiro de </w:t>
      </w:r>
      <w:r w:rsidR="004249E8" w:rsidRPr="007A177A">
        <w:rPr>
          <w:rFonts w:ascii="Arial" w:hAnsi="Arial" w:cs="Arial"/>
        </w:rPr>
        <w:t xml:space="preserve">derrumbes sobre la vía, indicando que </w:t>
      </w:r>
      <w:r w:rsidR="00201821" w:rsidRPr="007A177A">
        <w:rPr>
          <w:rFonts w:ascii="Arial" w:hAnsi="Arial" w:cs="Arial"/>
        </w:rPr>
        <w:t>“</w:t>
      </w:r>
      <w:r w:rsidR="00201821" w:rsidRPr="007A177A">
        <w:rPr>
          <w:rFonts w:ascii="Arial" w:hAnsi="Arial" w:cs="Arial"/>
          <w:i/>
        </w:rPr>
        <w:t>terminada la topografía del material depositado sobre la vía por efecto de los derrumbes</w:t>
      </w:r>
      <w:r w:rsidR="00B9308A" w:rsidRPr="007A177A">
        <w:rPr>
          <w:rFonts w:ascii="Arial" w:hAnsi="Arial" w:cs="Arial"/>
          <w:i/>
        </w:rPr>
        <w:t xml:space="preserve"> (…) asciende a 3.833 M3 el cual deberá ser retirado rápidamente”</w:t>
      </w:r>
      <w:r w:rsidR="00B9308A" w:rsidRPr="007A177A">
        <w:rPr>
          <w:rStyle w:val="Refdenotaalpie"/>
          <w:rFonts w:ascii="Arial" w:hAnsi="Arial" w:cs="Arial"/>
        </w:rPr>
        <w:footnoteReference w:id="98"/>
      </w:r>
      <w:r w:rsidR="00B9308A" w:rsidRPr="007A177A">
        <w:rPr>
          <w:rFonts w:ascii="Arial" w:hAnsi="Arial" w:cs="Arial"/>
        </w:rPr>
        <w:t>.</w:t>
      </w:r>
    </w:p>
    <w:p w14:paraId="29DE3638" w14:textId="77777777" w:rsidR="00B9308A" w:rsidRPr="007A177A" w:rsidRDefault="00B9308A" w:rsidP="00BF333B">
      <w:pPr>
        <w:spacing w:line="360" w:lineRule="auto"/>
        <w:jc w:val="both"/>
        <w:rPr>
          <w:rFonts w:ascii="Arial" w:hAnsi="Arial" w:cs="Arial"/>
        </w:rPr>
      </w:pPr>
    </w:p>
    <w:p w14:paraId="4CD2D07E" w14:textId="77777777" w:rsidR="00D13FBE" w:rsidRPr="007A177A" w:rsidRDefault="00937F5A" w:rsidP="00BF333B">
      <w:pPr>
        <w:spacing w:line="360" w:lineRule="auto"/>
        <w:jc w:val="both"/>
        <w:rPr>
          <w:rFonts w:ascii="Arial" w:hAnsi="Arial" w:cs="Arial"/>
        </w:rPr>
      </w:pPr>
      <w:r w:rsidRPr="007A177A">
        <w:rPr>
          <w:rFonts w:ascii="Arial" w:hAnsi="Arial" w:cs="Arial"/>
          <w:b/>
        </w:rPr>
        <w:t>8</w:t>
      </w:r>
      <w:r w:rsidR="00D7704D" w:rsidRPr="007A177A">
        <w:rPr>
          <w:rFonts w:ascii="Arial" w:hAnsi="Arial" w:cs="Arial"/>
          <w:b/>
        </w:rPr>
        <w:t>.19.</w:t>
      </w:r>
      <w:r w:rsidR="00D7704D" w:rsidRPr="007A177A">
        <w:rPr>
          <w:rFonts w:ascii="Arial" w:hAnsi="Arial" w:cs="Arial"/>
        </w:rPr>
        <w:t xml:space="preserve"> </w:t>
      </w:r>
      <w:r w:rsidR="00D13FBE" w:rsidRPr="007A177A">
        <w:rPr>
          <w:rFonts w:ascii="Arial" w:hAnsi="Arial" w:cs="Arial"/>
        </w:rPr>
        <w:t xml:space="preserve">Comunicación No. 127-81 de junio 30 de 1981, mediante la cual </w:t>
      </w:r>
      <w:r w:rsidR="00B73D25" w:rsidRPr="007A177A">
        <w:rPr>
          <w:rFonts w:ascii="Arial" w:hAnsi="Arial" w:cs="Arial"/>
        </w:rPr>
        <w:t xml:space="preserve">el contratista </w:t>
      </w:r>
      <w:r w:rsidR="00D16E69" w:rsidRPr="007A177A">
        <w:rPr>
          <w:rFonts w:ascii="Arial" w:hAnsi="Arial" w:cs="Arial"/>
        </w:rPr>
        <w:t xml:space="preserve">advirtió </w:t>
      </w:r>
      <w:r w:rsidR="00D13FBE" w:rsidRPr="007A177A">
        <w:rPr>
          <w:rFonts w:ascii="Arial" w:hAnsi="Arial" w:cs="Arial"/>
        </w:rPr>
        <w:t xml:space="preserve">que </w:t>
      </w:r>
      <w:r w:rsidR="00D13FBE" w:rsidRPr="007A177A">
        <w:rPr>
          <w:rFonts w:ascii="Arial" w:hAnsi="Arial" w:cs="Arial"/>
          <w:i/>
          <w:iCs/>
        </w:rPr>
        <w:t>“es muy probable que dentro del término previsto no alcancen a concluirse las obras programadas”</w:t>
      </w:r>
      <w:r w:rsidR="00D13FBE" w:rsidRPr="007A177A">
        <w:rPr>
          <w:rFonts w:ascii="Arial" w:hAnsi="Arial" w:cs="Arial"/>
        </w:rPr>
        <w:t xml:space="preserve"> y solicitó una prórroga de 15 meses</w:t>
      </w:r>
      <w:r w:rsidR="009B1113" w:rsidRPr="007A177A">
        <w:rPr>
          <w:rFonts w:ascii="Arial" w:hAnsi="Arial" w:cs="Arial"/>
        </w:rPr>
        <w:t xml:space="preserve">, en razón de </w:t>
      </w:r>
      <w:r w:rsidR="00D621C2" w:rsidRPr="007A177A">
        <w:rPr>
          <w:rFonts w:ascii="Arial" w:hAnsi="Arial" w:cs="Arial"/>
        </w:rPr>
        <w:t>l</w:t>
      </w:r>
      <w:r w:rsidR="00744563" w:rsidRPr="007A177A">
        <w:rPr>
          <w:rFonts w:ascii="Arial" w:hAnsi="Arial" w:cs="Arial"/>
        </w:rPr>
        <w:t xml:space="preserve">as </w:t>
      </w:r>
      <w:r w:rsidR="00D13FBE" w:rsidRPr="007A177A">
        <w:rPr>
          <w:rFonts w:ascii="Arial" w:hAnsi="Arial" w:cs="Arial"/>
        </w:rPr>
        <w:t xml:space="preserve">restricciones </w:t>
      </w:r>
      <w:r w:rsidR="00D621C2" w:rsidRPr="007A177A">
        <w:rPr>
          <w:rFonts w:ascii="Arial" w:hAnsi="Arial" w:cs="Arial"/>
        </w:rPr>
        <w:t xml:space="preserve">sufridas </w:t>
      </w:r>
      <w:r w:rsidR="00D13FBE" w:rsidRPr="007A177A">
        <w:rPr>
          <w:rFonts w:ascii="Arial" w:hAnsi="Arial" w:cs="Arial"/>
        </w:rPr>
        <w:t xml:space="preserve">por las disponibilidades presupuestales y los tiempos </w:t>
      </w:r>
      <w:r w:rsidR="00D621C2" w:rsidRPr="007A177A">
        <w:rPr>
          <w:rFonts w:ascii="Arial" w:hAnsi="Arial" w:cs="Arial"/>
        </w:rPr>
        <w:t xml:space="preserve">empleados en </w:t>
      </w:r>
      <w:r w:rsidR="00D13FBE" w:rsidRPr="007A177A">
        <w:rPr>
          <w:rFonts w:ascii="Arial" w:hAnsi="Arial" w:cs="Arial"/>
        </w:rPr>
        <w:t>las definiciones de ejecución a cargo del Ministerio</w:t>
      </w:r>
      <w:r w:rsidR="00D13FBE" w:rsidRPr="007A177A">
        <w:rPr>
          <w:rStyle w:val="Refdenotaalpie"/>
          <w:rFonts w:ascii="Arial" w:hAnsi="Arial" w:cs="Arial"/>
        </w:rPr>
        <w:footnoteReference w:id="99"/>
      </w:r>
      <w:r w:rsidR="00D13FBE" w:rsidRPr="007A177A">
        <w:rPr>
          <w:rFonts w:ascii="Arial" w:hAnsi="Arial" w:cs="Arial"/>
        </w:rPr>
        <w:t>.</w:t>
      </w:r>
    </w:p>
    <w:p w14:paraId="531A99D5" w14:textId="77777777" w:rsidR="00D13FBE" w:rsidRPr="007A177A" w:rsidRDefault="00D13FBE" w:rsidP="00BF333B">
      <w:pPr>
        <w:spacing w:line="360" w:lineRule="auto"/>
        <w:jc w:val="both"/>
        <w:rPr>
          <w:rFonts w:ascii="Arial" w:hAnsi="Arial" w:cs="Arial"/>
        </w:rPr>
      </w:pPr>
    </w:p>
    <w:p w14:paraId="3E8C60E3" w14:textId="77777777" w:rsidR="00592C29" w:rsidRPr="007A177A" w:rsidRDefault="00592C29" w:rsidP="00BF333B">
      <w:pPr>
        <w:spacing w:line="360" w:lineRule="auto"/>
        <w:jc w:val="both"/>
        <w:rPr>
          <w:rFonts w:ascii="Arial" w:hAnsi="Arial" w:cs="Arial"/>
        </w:rPr>
      </w:pPr>
      <w:r w:rsidRPr="007A177A">
        <w:rPr>
          <w:rFonts w:ascii="Arial" w:hAnsi="Arial" w:cs="Arial"/>
        </w:rPr>
        <w:t xml:space="preserve">Para concluir esta relación de pruebas, se observa que la última prórroga solicitada no llegó a concederse y </w:t>
      </w:r>
      <w:r w:rsidR="00641FE0" w:rsidRPr="007A177A">
        <w:rPr>
          <w:rFonts w:ascii="Arial" w:hAnsi="Arial" w:cs="Arial"/>
        </w:rPr>
        <w:t xml:space="preserve">que </w:t>
      </w:r>
      <w:r w:rsidRPr="007A177A">
        <w:rPr>
          <w:rFonts w:ascii="Arial" w:hAnsi="Arial" w:cs="Arial"/>
        </w:rPr>
        <w:t>el plazo de ejecución del contrato terminó el 31 de julio de 1981.</w:t>
      </w:r>
    </w:p>
    <w:p w14:paraId="2A6DBC82" w14:textId="77777777" w:rsidR="00592C29" w:rsidRPr="007A177A" w:rsidRDefault="00592C29" w:rsidP="00BF333B">
      <w:pPr>
        <w:spacing w:line="360" w:lineRule="auto"/>
        <w:jc w:val="both"/>
        <w:rPr>
          <w:rFonts w:ascii="Arial" w:hAnsi="Arial" w:cs="Arial"/>
        </w:rPr>
      </w:pPr>
    </w:p>
    <w:p w14:paraId="4EE58B1C" w14:textId="77777777" w:rsidR="005A1045" w:rsidRPr="007A177A" w:rsidRDefault="00D0439B" w:rsidP="00BF333B">
      <w:pPr>
        <w:spacing w:line="360" w:lineRule="auto"/>
        <w:jc w:val="both"/>
        <w:rPr>
          <w:rFonts w:ascii="Arial" w:hAnsi="Arial" w:cs="Arial"/>
          <w:b/>
        </w:rPr>
      </w:pPr>
      <w:r w:rsidRPr="007A177A">
        <w:rPr>
          <w:rFonts w:ascii="Arial" w:hAnsi="Arial" w:cs="Arial"/>
          <w:b/>
        </w:rPr>
        <w:t>9</w:t>
      </w:r>
      <w:r w:rsidR="00592C29" w:rsidRPr="007A177A">
        <w:rPr>
          <w:rFonts w:ascii="Arial" w:hAnsi="Arial" w:cs="Arial"/>
          <w:b/>
        </w:rPr>
        <w:t xml:space="preserve">. </w:t>
      </w:r>
      <w:r w:rsidR="005A1045" w:rsidRPr="007A177A">
        <w:rPr>
          <w:rFonts w:ascii="Arial" w:hAnsi="Arial" w:cs="Arial"/>
          <w:b/>
        </w:rPr>
        <w:t>El caso concreto</w:t>
      </w:r>
    </w:p>
    <w:p w14:paraId="5716A0BD" w14:textId="77777777" w:rsidR="005A1045" w:rsidRPr="007A177A" w:rsidRDefault="005A1045" w:rsidP="00BF333B">
      <w:pPr>
        <w:spacing w:line="360" w:lineRule="auto"/>
        <w:jc w:val="both"/>
        <w:rPr>
          <w:rFonts w:ascii="Arial" w:hAnsi="Arial" w:cs="Arial"/>
        </w:rPr>
      </w:pPr>
    </w:p>
    <w:p w14:paraId="1A215E43" w14:textId="77777777" w:rsidR="00592C29" w:rsidRPr="007A177A" w:rsidRDefault="00592C29" w:rsidP="00BF333B">
      <w:pPr>
        <w:spacing w:line="360" w:lineRule="auto"/>
        <w:jc w:val="both"/>
        <w:rPr>
          <w:rFonts w:ascii="Arial" w:hAnsi="Arial" w:cs="Arial"/>
        </w:rPr>
      </w:pPr>
      <w:r w:rsidRPr="007A177A">
        <w:rPr>
          <w:rFonts w:ascii="Arial" w:hAnsi="Arial" w:cs="Arial"/>
        </w:rPr>
        <w:t>A continuación</w:t>
      </w:r>
      <w:r w:rsidR="00946C5F" w:rsidRPr="007A177A">
        <w:rPr>
          <w:rFonts w:ascii="Arial" w:hAnsi="Arial" w:cs="Arial"/>
        </w:rPr>
        <w:t>,</w:t>
      </w:r>
      <w:r w:rsidRPr="007A177A">
        <w:rPr>
          <w:rFonts w:ascii="Arial" w:hAnsi="Arial" w:cs="Arial"/>
        </w:rPr>
        <w:t xml:space="preserve"> se analizarán los argumentos de la apelación y las pruebas correspondientes.</w:t>
      </w:r>
    </w:p>
    <w:p w14:paraId="0D29DD86" w14:textId="77777777" w:rsidR="00592C29" w:rsidRPr="007A177A" w:rsidRDefault="00592C29" w:rsidP="00BF333B">
      <w:pPr>
        <w:spacing w:line="360" w:lineRule="auto"/>
        <w:jc w:val="both"/>
        <w:rPr>
          <w:rFonts w:ascii="Arial" w:hAnsi="Arial" w:cs="Arial"/>
        </w:rPr>
      </w:pPr>
    </w:p>
    <w:p w14:paraId="1A242577" w14:textId="77777777" w:rsidR="006D5CA1" w:rsidRPr="007A177A" w:rsidRDefault="00937F5A" w:rsidP="00BF333B">
      <w:pPr>
        <w:spacing w:line="360" w:lineRule="auto"/>
        <w:jc w:val="both"/>
        <w:rPr>
          <w:rFonts w:ascii="Arial" w:hAnsi="Arial" w:cs="Arial"/>
          <w:bCs/>
          <w:lang w:val="es-MX"/>
        </w:rPr>
      </w:pPr>
      <w:r w:rsidRPr="007A177A">
        <w:rPr>
          <w:rFonts w:ascii="Arial" w:hAnsi="Arial" w:cs="Arial"/>
          <w:b/>
          <w:bCs/>
          <w:lang w:val="es-MX"/>
        </w:rPr>
        <w:t>9</w:t>
      </w:r>
      <w:r w:rsidR="00602120" w:rsidRPr="007A177A">
        <w:rPr>
          <w:rFonts w:ascii="Arial" w:hAnsi="Arial" w:cs="Arial"/>
          <w:b/>
          <w:bCs/>
          <w:lang w:val="es-MX"/>
        </w:rPr>
        <w:t>.1.</w:t>
      </w:r>
      <w:r w:rsidR="005A1045" w:rsidRPr="007A177A">
        <w:rPr>
          <w:rFonts w:ascii="Arial" w:hAnsi="Arial" w:cs="Arial"/>
          <w:b/>
          <w:bCs/>
          <w:lang w:val="es-MX"/>
        </w:rPr>
        <w:t xml:space="preserve"> Retraso en impartir las órdenes de iniciación</w:t>
      </w:r>
      <w:r w:rsidR="005A1045" w:rsidRPr="007A177A">
        <w:rPr>
          <w:rFonts w:ascii="Arial" w:hAnsi="Arial" w:cs="Arial"/>
          <w:bCs/>
          <w:lang w:val="es-MX"/>
        </w:rPr>
        <w:t xml:space="preserve"> </w:t>
      </w:r>
    </w:p>
    <w:p w14:paraId="77BDFA27" w14:textId="77777777" w:rsidR="006D5CA1" w:rsidRPr="007A177A" w:rsidRDefault="006D5CA1" w:rsidP="00BF333B">
      <w:pPr>
        <w:spacing w:line="360" w:lineRule="auto"/>
        <w:jc w:val="both"/>
        <w:rPr>
          <w:rFonts w:ascii="Arial" w:hAnsi="Arial" w:cs="Arial"/>
          <w:bCs/>
          <w:lang w:val="es-MX"/>
        </w:rPr>
      </w:pPr>
    </w:p>
    <w:p w14:paraId="4E32A5A6" w14:textId="77777777" w:rsidR="005A1045" w:rsidRPr="007A177A" w:rsidRDefault="005A1045" w:rsidP="00BF333B">
      <w:pPr>
        <w:spacing w:line="360" w:lineRule="auto"/>
        <w:jc w:val="both"/>
        <w:rPr>
          <w:rFonts w:ascii="Arial" w:hAnsi="Arial" w:cs="Arial"/>
          <w:bCs/>
          <w:lang w:val="es-MX"/>
        </w:rPr>
      </w:pPr>
      <w:r w:rsidRPr="007A177A">
        <w:rPr>
          <w:rFonts w:ascii="Arial" w:hAnsi="Arial" w:cs="Arial"/>
          <w:bCs/>
          <w:lang w:val="es-MX"/>
        </w:rPr>
        <w:t>En su apelación, el Invías indicó que la sentencia de primera instancia no tuvo en cuenta que en el pliego de condiciones estaba advertida la sujeción a las apropiaciones presupuestales y que</w:t>
      </w:r>
      <w:r w:rsidR="00641FE0" w:rsidRPr="007A177A">
        <w:rPr>
          <w:rFonts w:ascii="Arial" w:hAnsi="Arial" w:cs="Arial"/>
          <w:bCs/>
          <w:lang w:val="es-MX"/>
        </w:rPr>
        <w:t>,</w:t>
      </w:r>
      <w:r w:rsidRPr="007A177A">
        <w:rPr>
          <w:rFonts w:ascii="Arial" w:hAnsi="Arial" w:cs="Arial"/>
          <w:bCs/>
          <w:lang w:val="es-MX"/>
        </w:rPr>
        <w:t xml:space="preserve"> </w:t>
      </w:r>
      <w:r w:rsidR="00592C29" w:rsidRPr="007A177A">
        <w:rPr>
          <w:rFonts w:ascii="Arial" w:hAnsi="Arial" w:cs="Arial"/>
          <w:bCs/>
          <w:lang w:val="es-MX"/>
        </w:rPr>
        <w:t xml:space="preserve">por ello, </w:t>
      </w:r>
      <w:r w:rsidRPr="007A177A">
        <w:rPr>
          <w:rFonts w:ascii="Arial" w:hAnsi="Arial" w:cs="Arial"/>
          <w:bCs/>
          <w:lang w:val="es-MX"/>
        </w:rPr>
        <w:t>no podía reconocerse perjuicio por la demora en la iniciación.</w:t>
      </w:r>
    </w:p>
    <w:p w14:paraId="0809B856" w14:textId="77777777" w:rsidR="005A1045" w:rsidRPr="007A177A" w:rsidRDefault="005A1045" w:rsidP="00BF333B">
      <w:pPr>
        <w:spacing w:line="360" w:lineRule="auto"/>
        <w:jc w:val="both"/>
        <w:rPr>
          <w:rFonts w:ascii="Arial" w:hAnsi="Arial" w:cs="Arial"/>
          <w:bCs/>
          <w:lang w:val="es-MX"/>
        </w:rPr>
      </w:pPr>
    </w:p>
    <w:p w14:paraId="77F16559" w14:textId="77777777" w:rsidR="00A70F8A" w:rsidRPr="007A177A" w:rsidRDefault="005A1045" w:rsidP="00BF333B">
      <w:pPr>
        <w:spacing w:line="360" w:lineRule="auto"/>
        <w:jc w:val="both"/>
        <w:rPr>
          <w:rFonts w:ascii="Arial" w:hAnsi="Arial" w:cs="Arial"/>
          <w:bCs/>
          <w:lang w:val="es-MX"/>
        </w:rPr>
      </w:pPr>
      <w:r w:rsidRPr="007A177A">
        <w:rPr>
          <w:rFonts w:ascii="Arial" w:hAnsi="Arial" w:cs="Arial"/>
          <w:bCs/>
          <w:lang w:val="es-MX"/>
        </w:rPr>
        <w:t>Este argumento fue aceptado desde la sentencia de primera instancia</w:t>
      </w:r>
      <w:r w:rsidR="00B7361B" w:rsidRPr="007A177A">
        <w:rPr>
          <w:rFonts w:ascii="Arial" w:hAnsi="Arial" w:cs="Arial"/>
          <w:bCs/>
          <w:lang w:val="es-MX"/>
        </w:rPr>
        <w:t>,</w:t>
      </w:r>
      <w:r w:rsidRPr="007A177A">
        <w:rPr>
          <w:rFonts w:ascii="Arial" w:hAnsi="Arial" w:cs="Arial"/>
          <w:bCs/>
          <w:lang w:val="es-MX"/>
        </w:rPr>
        <w:t xml:space="preserve"> en la cual se des</w:t>
      </w:r>
      <w:r w:rsidR="00B7361B" w:rsidRPr="007A177A">
        <w:rPr>
          <w:rFonts w:ascii="Arial" w:hAnsi="Arial" w:cs="Arial"/>
          <w:bCs/>
          <w:lang w:val="es-MX"/>
        </w:rPr>
        <w:t>estimó</w:t>
      </w:r>
      <w:r w:rsidRPr="007A177A">
        <w:rPr>
          <w:rFonts w:ascii="Arial" w:hAnsi="Arial" w:cs="Arial"/>
          <w:bCs/>
          <w:lang w:val="es-MX"/>
        </w:rPr>
        <w:t xml:space="preserve"> la </w:t>
      </w:r>
      <w:r w:rsidR="00592C29" w:rsidRPr="007A177A">
        <w:rPr>
          <w:rFonts w:ascii="Arial" w:hAnsi="Arial" w:cs="Arial"/>
          <w:bCs/>
          <w:lang w:val="es-MX"/>
        </w:rPr>
        <w:t xml:space="preserve">pretensión de perjuicios </w:t>
      </w:r>
      <w:r w:rsidRPr="007A177A">
        <w:rPr>
          <w:rFonts w:ascii="Arial" w:hAnsi="Arial" w:cs="Arial"/>
          <w:bCs/>
          <w:lang w:val="es-MX"/>
        </w:rPr>
        <w:t xml:space="preserve">por </w:t>
      </w:r>
      <w:r w:rsidR="00592C29" w:rsidRPr="007A177A">
        <w:rPr>
          <w:rFonts w:ascii="Arial" w:hAnsi="Arial" w:cs="Arial"/>
          <w:bCs/>
          <w:lang w:val="es-MX"/>
        </w:rPr>
        <w:t xml:space="preserve">concepto de </w:t>
      </w:r>
      <w:r w:rsidRPr="007A177A">
        <w:rPr>
          <w:rFonts w:ascii="Arial" w:hAnsi="Arial" w:cs="Arial"/>
          <w:bCs/>
          <w:lang w:val="es-MX"/>
        </w:rPr>
        <w:t xml:space="preserve">mayor permanencia en obra, </w:t>
      </w:r>
      <w:r w:rsidR="00592C29" w:rsidRPr="007A177A">
        <w:rPr>
          <w:rFonts w:ascii="Arial" w:hAnsi="Arial" w:cs="Arial"/>
          <w:bCs/>
          <w:lang w:val="es-MX"/>
        </w:rPr>
        <w:t xml:space="preserve">que había sido calculada por el perito en 34,2 meses, incluyendo </w:t>
      </w:r>
      <w:r w:rsidRPr="007A177A">
        <w:rPr>
          <w:rFonts w:ascii="Arial" w:hAnsi="Arial" w:cs="Arial"/>
          <w:bCs/>
          <w:lang w:val="es-MX"/>
        </w:rPr>
        <w:t>e</w:t>
      </w:r>
      <w:r w:rsidR="00A70F8A" w:rsidRPr="007A177A">
        <w:rPr>
          <w:rFonts w:ascii="Arial" w:hAnsi="Arial" w:cs="Arial"/>
          <w:bCs/>
          <w:lang w:val="es-MX"/>
        </w:rPr>
        <w:t>l per</w:t>
      </w:r>
      <w:r w:rsidR="00B7361B" w:rsidRPr="007A177A">
        <w:rPr>
          <w:rFonts w:ascii="Arial" w:hAnsi="Arial" w:cs="Arial"/>
          <w:bCs/>
          <w:lang w:val="es-MX"/>
        </w:rPr>
        <w:t>í</w:t>
      </w:r>
      <w:r w:rsidR="00A70F8A" w:rsidRPr="007A177A">
        <w:rPr>
          <w:rFonts w:ascii="Arial" w:hAnsi="Arial" w:cs="Arial"/>
          <w:bCs/>
          <w:lang w:val="es-MX"/>
        </w:rPr>
        <w:t xml:space="preserve">odo transcurrido entre la firma del contrato y el acta de inicio. </w:t>
      </w:r>
    </w:p>
    <w:p w14:paraId="02CA0AAF" w14:textId="77777777" w:rsidR="00A70F8A" w:rsidRPr="007A177A" w:rsidRDefault="00A70F8A" w:rsidP="00BF333B">
      <w:pPr>
        <w:spacing w:line="360" w:lineRule="auto"/>
        <w:jc w:val="both"/>
        <w:rPr>
          <w:rFonts w:ascii="Arial" w:hAnsi="Arial" w:cs="Arial"/>
          <w:bCs/>
          <w:lang w:val="es-MX"/>
        </w:rPr>
      </w:pPr>
    </w:p>
    <w:p w14:paraId="1C089F16" w14:textId="77777777" w:rsidR="00A70F8A" w:rsidRPr="007A177A" w:rsidRDefault="00A70F8A" w:rsidP="00BF333B">
      <w:pPr>
        <w:spacing w:line="360" w:lineRule="auto"/>
        <w:jc w:val="both"/>
        <w:rPr>
          <w:rFonts w:ascii="Arial" w:hAnsi="Arial" w:cs="Arial"/>
          <w:bCs/>
          <w:lang w:val="es-MX"/>
        </w:rPr>
      </w:pPr>
      <w:r w:rsidRPr="007A177A">
        <w:rPr>
          <w:rFonts w:ascii="Arial" w:hAnsi="Arial" w:cs="Arial"/>
          <w:bCs/>
          <w:lang w:val="es-MX"/>
        </w:rPr>
        <w:t xml:space="preserve">Se </w:t>
      </w:r>
      <w:r w:rsidR="00592C29" w:rsidRPr="007A177A">
        <w:rPr>
          <w:rFonts w:ascii="Arial" w:hAnsi="Arial" w:cs="Arial"/>
          <w:bCs/>
          <w:lang w:val="es-MX"/>
        </w:rPr>
        <w:t xml:space="preserve">observa </w:t>
      </w:r>
      <w:r w:rsidRPr="007A177A">
        <w:rPr>
          <w:rFonts w:ascii="Arial" w:hAnsi="Arial" w:cs="Arial"/>
          <w:bCs/>
          <w:lang w:val="es-MX"/>
        </w:rPr>
        <w:t>que</w:t>
      </w:r>
      <w:r w:rsidR="00856253" w:rsidRPr="007A177A">
        <w:rPr>
          <w:rFonts w:ascii="Arial" w:hAnsi="Arial" w:cs="Arial"/>
          <w:bCs/>
          <w:lang w:val="es-MX"/>
        </w:rPr>
        <w:t>,</w:t>
      </w:r>
      <w:r w:rsidRPr="007A177A">
        <w:rPr>
          <w:rFonts w:ascii="Arial" w:hAnsi="Arial" w:cs="Arial"/>
          <w:bCs/>
          <w:lang w:val="es-MX"/>
        </w:rPr>
        <w:t xml:space="preserve"> e</w:t>
      </w:r>
      <w:r w:rsidR="00592C29" w:rsidRPr="007A177A">
        <w:rPr>
          <w:rFonts w:ascii="Arial" w:hAnsi="Arial" w:cs="Arial"/>
          <w:bCs/>
          <w:lang w:val="es-MX"/>
        </w:rPr>
        <w:t xml:space="preserve">n el tiempo previo </w:t>
      </w:r>
      <w:r w:rsidR="00DB7A0C" w:rsidRPr="007A177A">
        <w:rPr>
          <w:rFonts w:ascii="Arial" w:hAnsi="Arial" w:cs="Arial"/>
          <w:bCs/>
          <w:lang w:val="es-MX"/>
        </w:rPr>
        <w:t xml:space="preserve">a la suscripción del </w:t>
      </w:r>
      <w:r w:rsidR="00642280" w:rsidRPr="007A177A">
        <w:rPr>
          <w:rFonts w:ascii="Arial" w:hAnsi="Arial" w:cs="Arial"/>
          <w:bCs/>
          <w:lang w:val="es-MX"/>
        </w:rPr>
        <w:t xml:space="preserve">acta de </w:t>
      </w:r>
      <w:r w:rsidR="00592C29" w:rsidRPr="007A177A">
        <w:rPr>
          <w:rFonts w:ascii="Arial" w:hAnsi="Arial" w:cs="Arial"/>
          <w:bCs/>
          <w:lang w:val="es-MX"/>
        </w:rPr>
        <w:t xml:space="preserve">inicio </w:t>
      </w:r>
      <w:r w:rsidRPr="007A177A">
        <w:rPr>
          <w:rFonts w:ascii="Arial" w:hAnsi="Arial" w:cs="Arial"/>
          <w:bCs/>
          <w:lang w:val="es-MX"/>
        </w:rPr>
        <w:t>no hubo obra</w:t>
      </w:r>
      <w:r w:rsidR="00802A5E" w:rsidRPr="007A177A">
        <w:rPr>
          <w:rFonts w:ascii="Arial" w:hAnsi="Arial" w:cs="Arial"/>
          <w:bCs/>
          <w:lang w:val="es-MX"/>
        </w:rPr>
        <w:t>,</w:t>
      </w:r>
      <w:r w:rsidRPr="007A177A">
        <w:rPr>
          <w:rFonts w:ascii="Arial" w:hAnsi="Arial" w:cs="Arial"/>
          <w:bCs/>
          <w:lang w:val="es-MX"/>
        </w:rPr>
        <w:t xml:space="preserve"> ni podía haberla</w:t>
      </w:r>
      <w:r w:rsidR="00856253" w:rsidRPr="007A177A">
        <w:rPr>
          <w:rFonts w:ascii="Arial" w:hAnsi="Arial" w:cs="Arial"/>
          <w:bCs/>
          <w:lang w:val="es-MX"/>
        </w:rPr>
        <w:t>,</w:t>
      </w:r>
      <w:r w:rsidRPr="007A177A">
        <w:rPr>
          <w:rFonts w:ascii="Arial" w:hAnsi="Arial" w:cs="Arial"/>
          <w:bCs/>
          <w:lang w:val="es-MX"/>
        </w:rPr>
        <w:t xml:space="preserve"> de acuerdo con el contrato, toda vez que</w:t>
      </w:r>
      <w:r w:rsidR="00856253" w:rsidRPr="007A177A">
        <w:rPr>
          <w:rFonts w:ascii="Arial" w:hAnsi="Arial" w:cs="Arial"/>
          <w:bCs/>
          <w:lang w:val="es-MX"/>
        </w:rPr>
        <w:t>,</w:t>
      </w:r>
      <w:r w:rsidRPr="007A177A">
        <w:rPr>
          <w:rFonts w:ascii="Arial" w:hAnsi="Arial" w:cs="Arial"/>
          <w:bCs/>
          <w:lang w:val="es-MX"/>
        </w:rPr>
        <w:t xml:space="preserve"> en su cláusula </w:t>
      </w:r>
      <w:r w:rsidR="009563C4" w:rsidRPr="007A177A">
        <w:rPr>
          <w:rFonts w:ascii="Arial" w:hAnsi="Arial" w:cs="Arial"/>
          <w:bCs/>
          <w:lang w:val="es-MX"/>
        </w:rPr>
        <w:t xml:space="preserve">tercera, correspondiente al </w:t>
      </w:r>
      <w:r w:rsidRPr="007A177A">
        <w:rPr>
          <w:rFonts w:ascii="Arial" w:hAnsi="Arial" w:cs="Arial"/>
          <w:bCs/>
          <w:lang w:val="es-MX"/>
        </w:rPr>
        <w:t>plazo</w:t>
      </w:r>
      <w:r w:rsidR="00856253" w:rsidRPr="007A177A">
        <w:rPr>
          <w:rFonts w:ascii="Arial" w:hAnsi="Arial" w:cs="Arial"/>
          <w:bCs/>
          <w:lang w:val="es-MX"/>
        </w:rPr>
        <w:t>,</w:t>
      </w:r>
      <w:r w:rsidRPr="007A177A">
        <w:rPr>
          <w:rFonts w:ascii="Arial" w:hAnsi="Arial" w:cs="Arial"/>
          <w:bCs/>
          <w:lang w:val="es-MX"/>
        </w:rPr>
        <w:t xml:space="preserve"> se indicó</w:t>
      </w:r>
      <w:r w:rsidR="009563C4" w:rsidRPr="007A177A">
        <w:rPr>
          <w:rFonts w:ascii="Arial" w:hAnsi="Arial" w:cs="Arial"/>
          <w:bCs/>
          <w:lang w:val="es-MX"/>
        </w:rPr>
        <w:t xml:space="preserve"> que las obras se iniciarían dentro de los 15 días siguientes a la fecha de legalización del contrato.</w:t>
      </w:r>
    </w:p>
    <w:p w14:paraId="11CBDBB9" w14:textId="77777777" w:rsidR="003A5640" w:rsidRPr="007A177A" w:rsidRDefault="003A5640" w:rsidP="00BF333B">
      <w:pPr>
        <w:pStyle w:val="NormalWeb"/>
        <w:spacing w:before="0" w:beforeAutospacing="0" w:after="0" w:afterAutospacing="0" w:line="390" w:lineRule="atLeast"/>
        <w:jc w:val="both"/>
        <w:rPr>
          <w:rFonts w:ascii="Arial" w:hAnsi="Arial" w:cs="Arial"/>
          <w:color w:val="000000"/>
        </w:rPr>
      </w:pPr>
    </w:p>
    <w:p w14:paraId="54B912AF" w14:textId="77777777" w:rsidR="003A5640" w:rsidRPr="007A177A" w:rsidRDefault="003A5640" w:rsidP="00BF333B">
      <w:pPr>
        <w:pStyle w:val="NormalWeb"/>
        <w:spacing w:before="0" w:beforeAutospacing="0" w:after="0" w:afterAutospacing="0" w:line="390" w:lineRule="atLeast"/>
        <w:jc w:val="both"/>
        <w:rPr>
          <w:rFonts w:ascii="Arial" w:hAnsi="Arial" w:cs="Arial"/>
          <w:color w:val="000000"/>
        </w:rPr>
      </w:pPr>
      <w:r w:rsidRPr="007A177A">
        <w:rPr>
          <w:rFonts w:ascii="Arial" w:hAnsi="Arial" w:cs="Arial"/>
          <w:color w:val="000000"/>
        </w:rPr>
        <w:t>Se precisa que</w:t>
      </w:r>
      <w:r w:rsidR="004C42CF" w:rsidRPr="007A177A">
        <w:rPr>
          <w:rFonts w:ascii="Arial" w:hAnsi="Arial" w:cs="Arial"/>
          <w:color w:val="000000"/>
        </w:rPr>
        <w:t>,</w:t>
      </w:r>
      <w:r w:rsidRPr="007A177A">
        <w:rPr>
          <w:rFonts w:ascii="Arial" w:hAnsi="Arial" w:cs="Arial"/>
          <w:color w:val="000000"/>
        </w:rPr>
        <w:t xml:space="preserve"> </w:t>
      </w:r>
      <w:r w:rsidR="00075BE3" w:rsidRPr="007A177A">
        <w:rPr>
          <w:rFonts w:ascii="Arial" w:hAnsi="Arial" w:cs="Arial"/>
          <w:color w:val="000000"/>
        </w:rPr>
        <w:t xml:space="preserve">de acuerdo con </w:t>
      </w:r>
      <w:r w:rsidRPr="007A177A">
        <w:rPr>
          <w:rFonts w:ascii="Arial" w:hAnsi="Arial" w:cs="Arial"/>
          <w:color w:val="000000"/>
        </w:rPr>
        <w:t>el Decreto</w:t>
      </w:r>
      <w:r w:rsidR="004C42CF" w:rsidRPr="007A177A">
        <w:rPr>
          <w:rFonts w:ascii="Arial" w:hAnsi="Arial" w:cs="Arial"/>
          <w:color w:val="000000"/>
        </w:rPr>
        <w:t xml:space="preserve">-ley </w:t>
      </w:r>
      <w:r w:rsidRPr="007A177A">
        <w:rPr>
          <w:rFonts w:ascii="Arial" w:hAnsi="Arial" w:cs="Arial"/>
          <w:color w:val="000000"/>
        </w:rPr>
        <w:t>150 de 1976, para su perfeccionamiento el contrato requería de la “</w:t>
      </w:r>
      <w:r w:rsidRPr="007A177A">
        <w:rPr>
          <w:rFonts w:ascii="Arial" w:hAnsi="Arial" w:cs="Arial"/>
          <w:i/>
          <w:iCs/>
          <w:color w:val="000000"/>
        </w:rPr>
        <w:t>aprobación y registros presupuestales</w:t>
      </w:r>
      <w:r w:rsidRPr="007A177A">
        <w:rPr>
          <w:rFonts w:ascii="Arial" w:hAnsi="Arial" w:cs="Arial"/>
          <w:color w:val="000000"/>
        </w:rPr>
        <w:t>”</w:t>
      </w:r>
      <w:r w:rsidRPr="007A177A">
        <w:rPr>
          <w:rStyle w:val="Refdenotaalpie"/>
          <w:rFonts w:ascii="Arial" w:hAnsi="Arial" w:cs="Arial"/>
          <w:color w:val="000000"/>
        </w:rPr>
        <w:footnoteReference w:id="100"/>
      </w:r>
      <w:r w:rsidRPr="007A177A">
        <w:rPr>
          <w:rFonts w:ascii="Arial" w:hAnsi="Arial" w:cs="Arial"/>
          <w:color w:val="000000"/>
        </w:rPr>
        <w:t>.</w:t>
      </w:r>
    </w:p>
    <w:p w14:paraId="5DE458B5" w14:textId="77777777" w:rsidR="003A5640" w:rsidRPr="007A177A" w:rsidRDefault="003A5640" w:rsidP="00BF333B">
      <w:pPr>
        <w:pStyle w:val="NormalWeb"/>
        <w:spacing w:before="0" w:beforeAutospacing="0" w:after="0" w:afterAutospacing="0" w:line="360" w:lineRule="auto"/>
        <w:jc w:val="both"/>
        <w:rPr>
          <w:rFonts w:ascii="Arial" w:hAnsi="Arial" w:cs="Arial"/>
          <w:color w:val="000000"/>
        </w:rPr>
      </w:pPr>
    </w:p>
    <w:p w14:paraId="1C2C0C45" w14:textId="77777777" w:rsidR="003A5640" w:rsidRPr="007A177A" w:rsidRDefault="00075BE3" w:rsidP="00BF333B">
      <w:pPr>
        <w:pStyle w:val="NormalWeb"/>
        <w:spacing w:before="0" w:beforeAutospacing="0" w:after="0" w:afterAutospacing="0" w:line="360" w:lineRule="auto"/>
        <w:jc w:val="both"/>
        <w:rPr>
          <w:rFonts w:ascii="Arial" w:hAnsi="Arial" w:cs="Arial"/>
          <w:color w:val="000000"/>
        </w:rPr>
      </w:pPr>
      <w:r w:rsidRPr="007A177A">
        <w:rPr>
          <w:rFonts w:ascii="Arial" w:hAnsi="Arial" w:cs="Arial"/>
          <w:color w:val="000000"/>
        </w:rPr>
        <w:t xml:space="preserve">Puede agregarse </w:t>
      </w:r>
      <w:r w:rsidR="003A5640" w:rsidRPr="007A177A">
        <w:rPr>
          <w:rFonts w:ascii="Arial" w:hAnsi="Arial" w:cs="Arial"/>
          <w:color w:val="000000"/>
        </w:rPr>
        <w:t>que la Ley 42 de 1923</w:t>
      </w:r>
      <w:r w:rsidR="003A5640" w:rsidRPr="007A177A">
        <w:rPr>
          <w:rStyle w:val="Refdenotaalpie"/>
          <w:rFonts w:ascii="Arial" w:hAnsi="Arial" w:cs="Arial"/>
          <w:color w:val="000000"/>
        </w:rPr>
        <w:footnoteReference w:id="101"/>
      </w:r>
      <w:r w:rsidR="003A5640" w:rsidRPr="007A177A">
        <w:rPr>
          <w:rFonts w:ascii="Arial" w:hAnsi="Arial" w:cs="Arial"/>
          <w:color w:val="000000"/>
        </w:rPr>
        <w:t xml:space="preserve"> consagraba en su artículo 53 la prohibición de “</w:t>
      </w:r>
      <w:r w:rsidR="003A5640" w:rsidRPr="007A177A">
        <w:rPr>
          <w:rFonts w:ascii="Arial" w:hAnsi="Arial" w:cs="Arial"/>
          <w:i/>
          <w:iCs/>
          <w:color w:val="000000"/>
        </w:rPr>
        <w:t>celebrar contrato o contraer obligación alguna que requiera la erogación de fondos públicos, a menos que haya en el Presupuesto una apropiación para ello, cuyo saldo no gastado, libre de otras obligaciones, sea suficiente para cubrir el gasto proyectado”</w:t>
      </w:r>
      <w:r w:rsidR="003A5640" w:rsidRPr="007A177A">
        <w:rPr>
          <w:rFonts w:ascii="Arial" w:hAnsi="Arial" w:cs="Arial"/>
          <w:color w:val="000000"/>
        </w:rPr>
        <w:t>.  En esa ley se estableció que:</w:t>
      </w:r>
    </w:p>
    <w:p w14:paraId="7805B64A" w14:textId="77777777" w:rsidR="003A5640" w:rsidRPr="007A177A" w:rsidRDefault="003A5640" w:rsidP="00BF333B">
      <w:pPr>
        <w:rPr>
          <w:rFonts w:ascii="Arial" w:hAnsi="Arial" w:cs="Arial"/>
          <w:color w:val="000000"/>
          <w:lang w:eastAsia="es-CO"/>
        </w:rPr>
      </w:pPr>
    </w:p>
    <w:p w14:paraId="0E2F3BC2" w14:textId="77777777" w:rsidR="003A5640" w:rsidRPr="007A177A" w:rsidRDefault="003A5640" w:rsidP="00BF333B">
      <w:pPr>
        <w:spacing w:line="254" w:lineRule="atLeast"/>
        <w:ind w:left="567" w:right="900"/>
        <w:jc w:val="both"/>
        <w:rPr>
          <w:rFonts w:ascii="Arial" w:hAnsi="Arial" w:cs="Arial"/>
          <w:i/>
          <w:iCs/>
          <w:color w:val="000000"/>
          <w:lang w:eastAsia="es-CO"/>
        </w:rPr>
      </w:pPr>
      <w:r w:rsidRPr="007A177A">
        <w:rPr>
          <w:rFonts w:ascii="Arial" w:hAnsi="Arial" w:cs="Arial"/>
          <w:i/>
          <w:iCs/>
          <w:color w:val="000000"/>
          <w:lang w:eastAsia="es-CO"/>
        </w:rPr>
        <w:t>“Artículo 55. Todo contrato que fuere celebrado contra los requisitos consignados en el artículo anterior, será absolutamente nulo, y el funcionario que celebrare dicho contrato será responsable ante el Gobierno u otra parte contratante de cualquier perjuicio consiguiente, de la misma manera que si la operación se hubiera efectuado entre particulares</w:t>
      </w:r>
      <w:r w:rsidR="00330C84" w:rsidRPr="007A177A">
        <w:rPr>
          <w:rFonts w:ascii="Arial" w:hAnsi="Arial" w:cs="Arial"/>
          <w:i/>
          <w:iCs/>
          <w:color w:val="000000"/>
          <w:lang w:eastAsia="es-CO"/>
        </w:rPr>
        <w:t>”</w:t>
      </w:r>
      <w:r w:rsidRPr="007A177A">
        <w:rPr>
          <w:rFonts w:ascii="Arial" w:hAnsi="Arial" w:cs="Arial"/>
          <w:i/>
          <w:iCs/>
          <w:color w:val="000000"/>
          <w:lang w:eastAsia="es-CO"/>
        </w:rPr>
        <w:t>.</w:t>
      </w:r>
    </w:p>
    <w:p w14:paraId="45143327" w14:textId="77777777" w:rsidR="005A1045" w:rsidRPr="007A177A" w:rsidRDefault="005A1045" w:rsidP="00BF333B">
      <w:pPr>
        <w:spacing w:line="360" w:lineRule="auto"/>
        <w:jc w:val="both"/>
        <w:rPr>
          <w:rFonts w:ascii="Arial" w:hAnsi="Arial" w:cs="Arial"/>
          <w:bCs/>
          <w:lang w:val="es-MX"/>
        </w:rPr>
      </w:pPr>
    </w:p>
    <w:p w14:paraId="32FB496B" w14:textId="77777777" w:rsidR="003A5640" w:rsidRPr="007A177A" w:rsidRDefault="00D42CDC" w:rsidP="00BF333B">
      <w:pPr>
        <w:spacing w:line="360" w:lineRule="auto"/>
        <w:jc w:val="both"/>
        <w:rPr>
          <w:rFonts w:ascii="Arial" w:hAnsi="Arial" w:cs="Arial"/>
          <w:bCs/>
          <w:lang w:val="es-MX"/>
        </w:rPr>
      </w:pPr>
      <w:r w:rsidRPr="007A177A">
        <w:rPr>
          <w:rFonts w:ascii="Arial" w:hAnsi="Arial" w:cs="Arial"/>
          <w:bCs/>
          <w:lang w:val="es-MX"/>
        </w:rPr>
        <w:t>Por ello, se reitera que no era aceptable el supuesto de liquidar perjuicios por el solo hecho del plazo transcurrido entre la fecha en que se firmó el contrato y aquella en que firmó el acta de inicio</w:t>
      </w:r>
      <w:r w:rsidR="00075BE3" w:rsidRPr="007A177A">
        <w:rPr>
          <w:rFonts w:ascii="Arial" w:hAnsi="Arial" w:cs="Arial"/>
          <w:bCs/>
          <w:lang w:val="es-MX"/>
        </w:rPr>
        <w:t xml:space="preserve">, toda vez que la entidad contratante debía esperar a que se le certificara el registro presupuestal. </w:t>
      </w:r>
    </w:p>
    <w:p w14:paraId="6D3C5713" w14:textId="77777777" w:rsidR="00075BE3" w:rsidRPr="007A177A" w:rsidRDefault="00075BE3" w:rsidP="00BF333B">
      <w:pPr>
        <w:spacing w:line="360" w:lineRule="auto"/>
        <w:jc w:val="both"/>
        <w:rPr>
          <w:rFonts w:ascii="Arial" w:hAnsi="Arial" w:cs="Arial"/>
          <w:bCs/>
          <w:lang w:val="es-MX"/>
        </w:rPr>
      </w:pPr>
    </w:p>
    <w:p w14:paraId="3EE55F80" w14:textId="77777777" w:rsidR="009563C4" w:rsidRPr="007A177A" w:rsidRDefault="00937F5A" w:rsidP="00BF333B">
      <w:pPr>
        <w:spacing w:line="360" w:lineRule="auto"/>
        <w:jc w:val="both"/>
        <w:rPr>
          <w:rFonts w:ascii="Arial" w:hAnsi="Arial" w:cs="Arial"/>
          <w:b/>
          <w:bCs/>
          <w:lang w:val="es-MX"/>
        </w:rPr>
      </w:pPr>
      <w:r w:rsidRPr="007A177A">
        <w:rPr>
          <w:rFonts w:ascii="Arial" w:hAnsi="Arial" w:cs="Arial"/>
          <w:b/>
          <w:bCs/>
          <w:lang w:val="es-MX"/>
        </w:rPr>
        <w:t>9</w:t>
      </w:r>
      <w:r w:rsidR="00602120" w:rsidRPr="007A177A">
        <w:rPr>
          <w:rFonts w:ascii="Arial" w:hAnsi="Arial" w:cs="Arial"/>
          <w:b/>
          <w:bCs/>
          <w:lang w:val="es-MX"/>
        </w:rPr>
        <w:t xml:space="preserve">.2. </w:t>
      </w:r>
      <w:r w:rsidR="005A1045" w:rsidRPr="007A177A">
        <w:rPr>
          <w:rFonts w:ascii="Arial" w:hAnsi="Arial" w:cs="Arial"/>
          <w:b/>
          <w:bCs/>
          <w:lang w:val="es-MX"/>
        </w:rPr>
        <w:t xml:space="preserve">Obras ejecutadas al 125% </w:t>
      </w:r>
    </w:p>
    <w:p w14:paraId="008D850D" w14:textId="77777777" w:rsidR="009F3810" w:rsidRPr="007A177A" w:rsidRDefault="009F3810" w:rsidP="00BF333B">
      <w:pPr>
        <w:spacing w:line="360" w:lineRule="auto"/>
        <w:jc w:val="both"/>
        <w:rPr>
          <w:rFonts w:ascii="Arial" w:hAnsi="Arial" w:cs="Arial"/>
          <w:b/>
          <w:bCs/>
          <w:lang w:val="es-MX"/>
        </w:rPr>
      </w:pPr>
    </w:p>
    <w:p w14:paraId="5035E524" w14:textId="77777777" w:rsidR="00641FE0" w:rsidRPr="007A177A" w:rsidRDefault="00075BE3" w:rsidP="00BF333B">
      <w:pPr>
        <w:spacing w:line="360" w:lineRule="auto"/>
        <w:jc w:val="both"/>
        <w:rPr>
          <w:rFonts w:ascii="Arial" w:hAnsi="Arial" w:cs="Arial"/>
          <w:bCs/>
          <w:lang w:val="es-MX"/>
        </w:rPr>
      </w:pPr>
      <w:r w:rsidRPr="007A177A">
        <w:rPr>
          <w:rFonts w:ascii="Arial" w:hAnsi="Arial" w:cs="Arial"/>
          <w:bCs/>
          <w:lang w:val="es-MX"/>
        </w:rPr>
        <w:t>La sentencia de primera instancia consideró probada la sobre</w:t>
      </w:r>
      <w:r w:rsidR="006D5CA1" w:rsidRPr="007A177A">
        <w:rPr>
          <w:rFonts w:ascii="Arial" w:hAnsi="Arial" w:cs="Arial"/>
          <w:bCs/>
          <w:lang w:val="es-MX"/>
        </w:rPr>
        <w:t xml:space="preserve"> </w:t>
      </w:r>
      <w:r w:rsidRPr="007A177A">
        <w:rPr>
          <w:rFonts w:ascii="Arial" w:hAnsi="Arial" w:cs="Arial"/>
          <w:bCs/>
          <w:lang w:val="es-MX"/>
        </w:rPr>
        <w:t xml:space="preserve">ejecución de </w:t>
      </w:r>
      <w:r w:rsidR="009F3810" w:rsidRPr="007A177A">
        <w:rPr>
          <w:rFonts w:ascii="Arial" w:hAnsi="Arial" w:cs="Arial"/>
          <w:bCs/>
          <w:lang w:val="es-MX"/>
        </w:rPr>
        <w:t>1</w:t>
      </w:r>
      <w:r w:rsidRPr="007A177A">
        <w:rPr>
          <w:rFonts w:ascii="Arial" w:hAnsi="Arial" w:cs="Arial"/>
          <w:bCs/>
          <w:lang w:val="es-MX"/>
        </w:rPr>
        <w:t>25% de cantidades</w:t>
      </w:r>
      <w:r w:rsidR="009F3810" w:rsidRPr="007A177A">
        <w:rPr>
          <w:rFonts w:ascii="Arial" w:hAnsi="Arial" w:cs="Arial"/>
          <w:bCs/>
          <w:lang w:val="es-MX"/>
        </w:rPr>
        <w:t xml:space="preserve"> -que no </w:t>
      </w:r>
      <w:r w:rsidR="00602120" w:rsidRPr="007A177A">
        <w:rPr>
          <w:rFonts w:ascii="Arial" w:hAnsi="Arial" w:cs="Arial"/>
          <w:bCs/>
          <w:lang w:val="es-MX"/>
        </w:rPr>
        <w:t xml:space="preserve">habrían </w:t>
      </w:r>
      <w:r w:rsidR="009F3810" w:rsidRPr="007A177A">
        <w:rPr>
          <w:rFonts w:ascii="Arial" w:hAnsi="Arial" w:cs="Arial"/>
          <w:bCs/>
          <w:lang w:val="es-MX"/>
        </w:rPr>
        <w:t>sido pagad</w:t>
      </w:r>
      <w:r w:rsidR="006D5CA1" w:rsidRPr="007A177A">
        <w:rPr>
          <w:rFonts w:ascii="Arial" w:hAnsi="Arial" w:cs="Arial"/>
          <w:bCs/>
          <w:lang w:val="es-MX"/>
        </w:rPr>
        <w:t>a</w:t>
      </w:r>
      <w:r w:rsidR="009F3810" w:rsidRPr="007A177A">
        <w:rPr>
          <w:rFonts w:ascii="Arial" w:hAnsi="Arial" w:cs="Arial"/>
          <w:bCs/>
          <w:lang w:val="es-MX"/>
        </w:rPr>
        <w:t>s</w:t>
      </w:r>
      <w:r w:rsidR="00B26B0B" w:rsidRPr="007A177A">
        <w:rPr>
          <w:rFonts w:ascii="Arial" w:hAnsi="Arial" w:cs="Arial"/>
          <w:bCs/>
          <w:lang w:val="es-MX"/>
        </w:rPr>
        <w:t>-</w:t>
      </w:r>
      <w:r w:rsidR="006B63AE" w:rsidRPr="007A177A">
        <w:rPr>
          <w:rFonts w:ascii="Arial" w:hAnsi="Arial" w:cs="Arial"/>
          <w:bCs/>
          <w:lang w:val="es-MX"/>
        </w:rPr>
        <w:t xml:space="preserve">, </w:t>
      </w:r>
      <w:r w:rsidRPr="007A177A">
        <w:rPr>
          <w:rFonts w:ascii="Arial" w:hAnsi="Arial" w:cs="Arial"/>
          <w:bCs/>
          <w:lang w:val="es-MX"/>
        </w:rPr>
        <w:t>con apoyo en lo manifestado por el ingeniero funcionario de la interventoría</w:t>
      </w:r>
      <w:r w:rsidR="00641FE0" w:rsidRPr="007A177A">
        <w:rPr>
          <w:rFonts w:ascii="Arial" w:hAnsi="Arial" w:cs="Arial"/>
          <w:bCs/>
          <w:lang w:val="es-MX"/>
        </w:rPr>
        <w:t xml:space="preserve"> en un oficio que dirigió al contratista.</w:t>
      </w:r>
    </w:p>
    <w:p w14:paraId="3EA4705E" w14:textId="77777777" w:rsidR="00075BE3" w:rsidRPr="007A177A" w:rsidRDefault="00075BE3" w:rsidP="00BF333B">
      <w:pPr>
        <w:spacing w:line="360" w:lineRule="auto"/>
        <w:jc w:val="both"/>
        <w:rPr>
          <w:rFonts w:ascii="Arial" w:hAnsi="Arial" w:cs="Arial"/>
          <w:bCs/>
          <w:lang w:val="es-MX"/>
        </w:rPr>
      </w:pPr>
    </w:p>
    <w:p w14:paraId="4577A6BB" w14:textId="77777777" w:rsidR="00B227E6" w:rsidRPr="007A177A" w:rsidRDefault="00075BE3" w:rsidP="00BF333B">
      <w:pPr>
        <w:spacing w:line="360" w:lineRule="auto"/>
        <w:jc w:val="both"/>
        <w:rPr>
          <w:rFonts w:ascii="Arial" w:hAnsi="Arial" w:cs="Arial"/>
          <w:bCs/>
          <w:lang w:val="es-MX"/>
        </w:rPr>
      </w:pPr>
      <w:r w:rsidRPr="007A177A">
        <w:rPr>
          <w:rFonts w:ascii="Arial" w:hAnsi="Arial" w:cs="Arial"/>
          <w:bCs/>
          <w:lang w:val="es-MX"/>
        </w:rPr>
        <w:t xml:space="preserve">Sin embargo, salta a la vista que esa prueba se refirió a una </w:t>
      </w:r>
      <w:r w:rsidR="00B227E6" w:rsidRPr="007A177A">
        <w:rPr>
          <w:rFonts w:ascii="Arial" w:hAnsi="Arial" w:cs="Arial"/>
          <w:bCs/>
          <w:lang w:val="es-MX"/>
        </w:rPr>
        <w:t>situación temporal, que di</w:t>
      </w:r>
      <w:r w:rsidR="009F3810" w:rsidRPr="007A177A">
        <w:rPr>
          <w:rFonts w:ascii="Arial" w:hAnsi="Arial" w:cs="Arial"/>
          <w:bCs/>
          <w:lang w:val="es-MX"/>
        </w:rPr>
        <w:t>o</w:t>
      </w:r>
      <w:r w:rsidR="00B227E6" w:rsidRPr="007A177A">
        <w:rPr>
          <w:rFonts w:ascii="Arial" w:hAnsi="Arial" w:cs="Arial"/>
          <w:bCs/>
          <w:lang w:val="es-MX"/>
        </w:rPr>
        <w:t xml:space="preserve"> lugar a</w:t>
      </w:r>
      <w:r w:rsidR="009F3810" w:rsidRPr="007A177A">
        <w:rPr>
          <w:rFonts w:ascii="Arial" w:hAnsi="Arial" w:cs="Arial"/>
          <w:bCs/>
          <w:lang w:val="es-MX"/>
        </w:rPr>
        <w:t xml:space="preserve">l trámite de </w:t>
      </w:r>
      <w:r w:rsidR="00B227E6" w:rsidRPr="007A177A">
        <w:rPr>
          <w:rFonts w:ascii="Arial" w:hAnsi="Arial" w:cs="Arial"/>
          <w:bCs/>
          <w:lang w:val="es-MX"/>
        </w:rPr>
        <w:t>autorización de mayores cantidades y precios, según se ha reseñado en la relación de las pruebas ya descritas en esta providencia.</w:t>
      </w:r>
    </w:p>
    <w:p w14:paraId="1A4432F2" w14:textId="77777777" w:rsidR="00B227E6" w:rsidRPr="007A177A" w:rsidRDefault="00B227E6" w:rsidP="00BF333B">
      <w:pPr>
        <w:spacing w:line="360" w:lineRule="auto"/>
        <w:jc w:val="both"/>
        <w:rPr>
          <w:rFonts w:ascii="Arial" w:hAnsi="Arial" w:cs="Arial"/>
          <w:bCs/>
          <w:lang w:val="es-MX"/>
        </w:rPr>
      </w:pPr>
    </w:p>
    <w:p w14:paraId="45632DAE" w14:textId="77777777" w:rsidR="00075BE3" w:rsidRPr="007A177A" w:rsidRDefault="00B227E6" w:rsidP="00BF333B">
      <w:pPr>
        <w:spacing w:line="360" w:lineRule="auto"/>
        <w:jc w:val="both"/>
        <w:rPr>
          <w:rFonts w:ascii="Arial" w:hAnsi="Arial" w:cs="Arial"/>
        </w:rPr>
      </w:pPr>
      <w:r w:rsidRPr="007A177A">
        <w:rPr>
          <w:rFonts w:ascii="Arial" w:hAnsi="Arial" w:cs="Arial"/>
          <w:bCs/>
          <w:lang w:val="es-MX"/>
        </w:rPr>
        <w:t xml:space="preserve">Se observa que </w:t>
      </w:r>
      <w:r w:rsidR="009F3810" w:rsidRPr="007A177A">
        <w:rPr>
          <w:rFonts w:ascii="Arial" w:hAnsi="Arial" w:cs="Arial"/>
          <w:bCs/>
          <w:lang w:val="es-MX"/>
        </w:rPr>
        <w:t xml:space="preserve">el Tribunal </w:t>
      </w:r>
      <w:r w:rsidR="009F3810" w:rsidRPr="007A177A">
        <w:rPr>
          <w:rFonts w:ascii="Arial" w:hAnsi="Arial" w:cs="Arial"/>
          <w:bCs/>
          <w:i/>
          <w:iCs/>
          <w:lang w:val="es-MX"/>
        </w:rPr>
        <w:t>a quo</w:t>
      </w:r>
      <w:r w:rsidR="009F3810" w:rsidRPr="007A177A">
        <w:rPr>
          <w:rFonts w:ascii="Arial" w:hAnsi="Arial" w:cs="Arial"/>
          <w:bCs/>
          <w:lang w:val="es-MX"/>
        </w:rPr>
        <w:t xml:space="preserve"> </w:t>
      </w:r>
      <w:r w:rsidRPr="007A177A">
        <w:rPr>
          <w:rFonts w:ascii="Arial" w:hAnsi="Arial" w:cs="Arial"/>
          <w:bCs/>
          <w:lang w:val="es-MX"/>
        </w:rPr>
        <w:t>no tuvo en cuenta el contexto del oficio emitido por la interventoría ni su contenido completo -</w:t>
      </w:r>
      <w:r w:rsidR="009F3810" w:rsidRPr="007A177A">
        <w:rPr>
          <w:rFonts w:ascii="Arial" w:hAnsi="Arial" w:cs="Arial"/>
          <w:bCs/>
          <w:i/>
          <w:lang w:val="es-MX"/>
        </w:rPr>
        <w:t>que es bueno repetir en este punto</w:t>
      </w:r>
      <w:r w:rsidR="009F3810" w:rsidRPr="007A177A">
        <w:rPr>
          <w:rFonts w:ascii="Arial" w:hAnsi="Arial" w:cs="Arial"/>
          <w:bCs/>
          <w:lang w:val="es-MX"/>
        </w:rPr>
        <w:t>-</w:t>
      </w:r>
      <w:r w:rsidR="00DA6F34" w:rsidRPr="007A177A">
        <w:rPr>
          <w:rFonts w:ascii="Arial" w:hAnsi="Arial" w:cs="Arial"/>
          <w:bCs/>
          <w:lang w:val="es-MX"/>
        </w:rPr>
        <w:t>,</w:t>
      </w:r>
      <w:r w:rsidR="009F3810" w:rsidRPr="007A177A">
        <w:rPr>
          <w:rFonts w:ascii="Arial" w:hAnsi="Arial" w:cs="Arial"/>
          <w:bCs/>
          <w:lang w:val="es-MX"/>
        </w:rPr>
        <w:t xml:space="preserve"> </w:t>
      </w:r>
      <w:r w:rsidRPr="007A177A">
        <w:rPr>
          <w:rFonts w:ascii="Arial" w:hAnsi="Arial" w:cs="Arial"/>
          <w:bCs/>
          <w:lang w:val="es-MX"/>
        </w:rPr>
        <w:lastRenderedPageBreak/>
        <w:t>dado que</w:t>
      </w:r>
      <w:r w:rsidR="006343B0" w:rsidRPr="007A177A">
        <w:rPr>
          <w:rFonts w:ascii="Arial" w:hAnsi="Arial" w:cs="Arial"/>
          <w:bCs/>
          <w:lang w:val="es-MX"/>
        </w:rPr>
        <w:t>,</w:t>
      </w:r>
      <w:r w:rsidRPr="007A177A">
        <w:rPr>
          <w:rFonts w:ascii="Arial" w:hAnsi="Arial" w:cs="Arial"/>
          <w:bCs/>
          <w:lang w:val="es-MX"/>
        </w:rPr>
        <w:t xml:space="preserve"> </w:t>
      </w:r>
      <w:r w:rsidR="009F3810" w:rsidRPr="007A177A">
        <w:rPr>
          <w:rFonts w:ascii="Arial" w:hAnsi="Arial" w:cs="Arial"/>
          <w:bCs/>
          <w:lang w:val="es-MX"/>
        </w:rPr>
        <w:t xml:space="preserve">en </w:t>
      </w:r>
      <w:r w:rsidR="006D5CA1" w:rsidRPr="007A177A">
        <w:rPr>
          <w:rFonts w:ascii="Arial" w:hAnsi="Arial" w:cs="Arial"/>
          <w:bCs/>
          <w:lang w:val="es-MX"/>
        </w:rPr>
        <w:t xml:space="preserve">comunicación </w:t>
      </w:r>
      <w:r w:rsidR="00075BE3" w:rsidRPr="007A177A">
        <w:rPr>
          <w:rFonts w:ascii="Arial" w:hAnsi="Arial" w:cs="Arial"/>
        </w:rPr>
        <w:t>de junio 30 de 1980</w:t>
      </w:r>
      <w:r w:rsidR="009F3810" w:rsidRPr="007A177A">
        <w:rPr>
          <w:rFonts w:ascii="Arial" w:hAnsi="Arial" w:cs="Arial"/>
        </w:rPr>
        <w:t>,</w:t>
      </w:r>
      <w:r w:rsidR="00075BE3" w:rsidRPr="007A177A">
        <w:rPr>
          <w:rFonts w:ascii="Arial" w:hAnsi="Arial" w:cs="Arial"/>
        </w:rPr>
        <w:t xml:space="preserve"> </w:t>
      </w:r>
      <w:r w:rsidR="009F3810" w:rsidRPr="007A177A">
        <w:rPr>
          <w:rFonts w:ascii="Arial" w:hAnsi="Arial" w:cs="Arial"/>
        </w:rPr>
        <w:t xml:space="preserve">mediante </w:t>
      </w:r>
      <w:r w:rsidR="006D5CA1" w:rsidRPr="007A177A">
        <w:rPr>
          <w:rFonts w:ascii="Arial" w:hAnsi="Arial" w:cs="Arial"/>
        </w:rPr>
        <w:t>la</w:t>
      </w:r>
      <w:r w:rsidR="009F3810" w:rsidRPr="007A177A">
        <w:rPr>
          <w:rFonts w:ascii="Arial" w:hAnsi="Arial" w:cs="Arial"/>
        </w:rPr>
        <w:t xml:space="preserve"> cual </w:t>
      </w:r>
      <w:r w:rsidR="00075BE3" w:rsidRPr="007A177A">
        <w:rPr>
          <w:rFonts w:ascii="Arial" w:hAnsi="Arial" w:cs="Arial"/>
        </w:rPr>
        <w:t>el ingeniero Camilo Roa</w:t>
      </w:r>
      <w:r w:rsidR="009F3810" w:rsidRPr="007A177A">
        <w:rPr>
          <w:rFonts w:ascii="Arial" w:hAnsi="Arial" w:cs="Arial"/>
        </w:rPr>
        <w:t xml:space="preserve">, funcionario </w:t>
      </w:r>
      <w:r w:rsidR="00075BE3" w:rsidRPr="007A177A">
        <w:rPr>
          <w:rFonts w:ascii="Arial" w:hAnsi="Arial" w:cs="Arial"/>
        </w:rPr>
        <w:t xml:space="preserve">de la división de interventorías del </w:t>
      </w:r>
      <w:r w:rsidR="009F3810" w:rsidRPr="007A177A">
        <w:rPr>
          <w:rFonts w:ascii="Arial" w:hAnsi="Arial" w:cs="Arial"/>
        </w:rPr>
        <w:t>M</w:t>
      </w:r>
      <w:r w:rsidR="00075BE3" w:rsidRPr="007A177A">
        <w:rPr>
          <w:rFonts w:ascii="Arial" w:hAnsi="Arial" w:cs="Arial"/>
        </w:rPr>
        <w:t>inisterio</w:t>
      </w:r>
      <w:r w:rsidR="006D5CA1" w:rsidRPr="007A177A">
        <w:rPr>
          <w:rFonts w:ascii="Arial" w:hAnsi="Arial" w:cs="Arial"/>
        </w:rPr>
        <w:t xml:space="preserve"> de Obras Públicas y Transporte</w:t>
      </w:r>
      <w:r w:rsidR="00075BE3" w:rsidRPr="007A177A">
        <w:rPr>
          <w:rFonts w:ascii="Arial" w:hAnsi="Arial" w:cs="Arial"/>
        </w:rPr>
        <w:t xml:space="preserve">, se pronunció sobre la solicitud del contratista para </w:t>
      </w:r>
      <w:r w:rsidR="009F3810" w:rsidRPr="007A177A">
        <w:rPr>
          <w:rFonts w:ascii="Arial" w:hAnsi="Arial" w:cs="Arial"/>
        </w:rPr>
        <w:t xml:space="preserve">que le indicaran </w:t>
      </w:r>
      <w:r w:rsidR="00075BE3" w:rsidRPr="007A177A">
        <w:rPr>
          <w:rFonts w:ascii="Arial" w:hAnsi="Arial" w:cs="Arial"/>
        </w:rPr>
        <w:t xml:space="preserve">los sitios donde debía </w:t>
      </w:r>
      <w:r w:rsidR="006343B0" w:rsidRPr="007A177A">
        <w:rPr>
          <w:rFonts w:ascii="Arial" w:hAnsi="Arial" w:cs="Arial"/>
        </w:rPr>
        <w:t xml:space="preserve">obtener </w:t>
      </w:r>
      <w:r w:rsidR="00075BE3" w:rsidRPr="007A177A">
        <w:rPr>
          <w:rFonts w:ascii="Arial" w:hAnsi="Arial" w:cs="Arial"/>
        </w:rPr>
        <w:t xml:space="preserve">material </w:t>
      </w:r>
      <w:r w:rsidR="006D5CA1" w:rsidRPr="007A177A">
        <w:rPr>
          <w:rFonts w:ascii="Arial" w:hAnsi="Arial" w:cs="Arial"/>
        </w:rPr>
        <w:t xml:space="preserve">de </w:t>
      </w:r>
      <w:r w:rsidR="00075BE3" w:rsidRPr="007A177A">
        <w:rPr>
          <w:rFonts w:ascii="Arial" w:hAnsi="Arial" w:cs="Arial"/>
        </w:rPr>
        <w:t>rellenos</w:t>
      </w:r>
      <w:r w:rsidR="006D5CA1" w:rsidRPr="007A177A">
        <w:rPr>
          <w:rFonts w:ascii="Arial" w:hAnsi="Arial" w:cs="Arial"/>
        </w:rPr>
        <w:t>,</w:t>
      </w:r>
      <w:r w:rsidR="00075BE3" w:rsidRPr="007A177A">
        <w:rPr>
          <w:rFonts w:ascii="Arial" w:hAnsi="Arial" w:cs="Arial"/>
        </w:rPr>
        <w:t xml:space="preserve"> debido a la suspensión del ítem </w:t>
      </w:r>
      <w:r w:rsidR="009F3810" w:rsidRPr="007A177A">
        <w:rPr>
          <w:rFonts w:ascii="Arial" w:hAnsi="Arial" w:cs="Arial"/>
        </w:rPr>
        <w:t xml:space="preserve">correspondiente, </w:t>
      </w:r>
      <w:r w:rsidR="00441739" w:rsidRPr="007A177A">
        <w:rPr>
          <w:rFonts w:ascii="Arial" w:hAnsi="Arial" w:cs="Arial"/>
        </w:rPr>
        <w:t xml:space="preserve">observó </w:t>
      </w:r>
      <w:r w:rsidR="00075BE3" w:rsidRPr="007A177A">
        <w:rPr>
          <w:rFonts w:ascii="Arial" w:hAnsi="Arial" w:cs="Arial"/>
        </w:rPr>
        <w:t>(se transcri</w:t>
      </w:r>
      <w:r w:rsidRPr="007A177A">
        <w:rPr>
          <w:rFonts w:ascii="Arial" w:hAnsi="Arial" w:cs="Arial"/>
        </w:rPr>
        <w:t>be</w:t>
      </w:r>
      <w:r w:rsidR="00075BE3" w:rsidRPr="007A177A">
        <w:rPr>
          <w:rFonts w:ascii="Arial" w:hAnsi="Arial" w:cs="Arial"/>
        </w:rPr>
        <w:t xml:space="preserve"> de forma literal):</w:t>
      </w:r>
    </w:p>
    <w:p w14:paraId="08DC35CB" w14:textId="77777777" w:rsidR="00075BE3" w:rsidRPr="007A177A" w:rsidRDefault="00075BE3" w:rsidP="00BF333B">
      <w:pPr>
        <w:pStyle w:val="Lista2"/>
        <w:ind w:left="0" w:firstLine="0"/>
        <w:rPr>
          <w:rFonts w:cs="Arial"/>
        </w:rPr>
      </w:pPr>
    </w:p>
    <w:p w14:paraId="03086E76" w14:textId="77777777" w:rsidR="00075BE3" w:rsidRPr="007A177A" w:rsidRDefault="00075BE3" w:rsidP="00BF333B">
      <w:pPr>
        <w:pStyle w:val="Lista2"/>
        <w:spacing w:line="240" w:lineRule="auto"/>
        <w:ind w:left="567" w:right="902" w:firstLine="0"/>
        <w:rPr>
          <w:rFonts w:cs="Arial"/>
          <w:iCs/>
        </w:rPr>
      </w:pPr>
      <w:r w:rsidRPr="007A177A">
        <w:rPr>
          <w:rFonts w:cs="Arial"/>
          <w:iCs/>
        </w:rPr>
        <w:t>“</w:t>
      </w:r>
      <w:r w:rsidRPr="007A177A">
        <w:rPr>
          <w:rFonts w:cs="Arial"/>
          <w:i/>
        </w:rPr>
        <w:t xml:space="preserve">Esta interventoría es consiente de que los ítems correspondientes están pasados en su ejecución en más del 125% </w:t>
      </w:r>
      <w:r w:rsidRPr="007A177A">
        <w:rPr>
          <w:rFonts w:cs="Arial"/>
          <w:b/>
          <w:bCs/>
          <w:i/>
        </w:rPr>
        <w:t xml:space="preserve">y se solicitó al Ministerio la aprobación de nuevos precios por este concepto. Hasta la fecha el comité de precios, no se ha pronunciado el respecto, pero esta interventoría solicitará al Comité de Precios por intermedio del </w:t>
      </w:r>
      <w:proofErr w:type="gramStart"/>
      <w:r w:rsidRPr="007A177A">
        <w:rPr>
          <w:rFonts w:cs="Arial"/>
          <w:b/>
          <w:bCs/>
          <w:i/>
        </w:rPr>
        <w:t>Director</w:t>
      </w:r>
      <w:proofErr w:type="gramEnd"/>
      <w:r w:rsidRPr="007A177A">
        <w:rPr>
          <w:rFonts w:cs="Arial"/>
          <w:b/>
          <w:bCs/>
          <w:i/>
        </w:rPr>
        <w:t xml:space="preserve"> les sea definida radicalmente esta situación</w:t>
      </w:r>
      <w:r w:rsidRPr="007A177A">
        <w:rPr>
          <w:rFonts w:cs="Arial"/>
          <w:iCs/>
        </w:rPr>
        <w:t>”</w:t>
      </w:r>
      <w:r w:rsidR="006D5CA1" w:rsidRPr="007A177A">
        <w:rPr>
          <w:rFonts w:cs="Arial"/>
          <w:iCs/>
        </w:rPr>
        <w:t xml:space="preserve"> (la negrilla no es del texto)</w:t>
      </w:r>
      <w:r w:rsidRPr="007A177A">
        <w:rPr>
          <w:rFonts w:cs="Arial"/>
          <w:iCs/>
        </w:rPr>
        <w:t>.</w:t>
      </w:r>
    </w:p>
    <w:p w14:paraId="758263CE" w14:textId="77777777" w:rsidR="00075BE3" w:rsidRPr="007A177A" w:rsidRDefault="00075BE3" w:rsidP="00BF333B">
      <w:pPr>
        <w:spacing w:line="360" w:lineRule="auto"/>
        <w:jc w:val="both"/>
        <w:rPr>
          <w:rFonts w:ascii="Arial" w:hAnsi="Arial" w:cs="Arial"/>
          <w:iCs/>
          <w:lang w:val="es-MX"/>
        </w:rPr>
      </w:pPr>
    </w:p>
    <w:p w14:paraId="263BC5DC" w14:textId="77777777" w:rsidR="00602120" w:rsidRPr="007A177A" w:rsidRDefault="00770A2D" w:rsidP="00BF333B">
      <w:pPr>
        <w:spacing w:line="360" w:lineRule="auto"/>
        <w:jc w:val="both"/>
        <w:rPr>
          <w:rFonts w:ascii="Arial" w:hAnsi="Arial" w:cs="Arial"/>
          <w:bCs/>
          <w:lang w:val="es-MX"/>
        </w:rPr>
      </w:pPr>
      <w:r w:rsidRPr="007A177A">
        <w:rPr>
          <w:rFonts w:ascii="Arial" w:hAnsi="Arial" w:cs="Arial"/>
          <w:bCs/>
          <w:lang w:val="es-MX"/>
        </w:rPr>
        <w:t xml:space="preserve">Es importante resaltar </w:t>
      </w:r>
      <w:r w:rsidR="00602120" w:rsidRPr="007A177A">
        <w:rPr>
          <w:rFonts w:ascii="Arial" w:hAnsi="Arial" w:cs="Arial"/>
          <w:bCs/>
          <w:lang w:val="es-MX"/>
        </w:rPr>
        <w:t>que</w:t>
      </w:r>
      <w:r w:rsidR="006343B0" w:rsidRPr="007A177A">
        <w:rPr>
          <w:rFonts w:ascii="Arial" w:hAnsi="Arial" w:cs="Arial"/>
          <w:bCs/>
          <w:lang w:val="es-MX"/>
        </w:rPr>
        <w:t>,</w:t>
      </w:r>
      <w:r w:rsidR="00602120" w:rsidRPr="007A177A">
        <w:rPr>
          <w:rFonts w:ascii="Arial" w:hAnsi="Arial" w:cs="Arial"/>
          <w:bCs/>
          <w:lang w:val="es-MX"/>
        </w:rPr>
        <w:t xml:space="preserve"> </w:t>
      </w:r>
      <w:r w:rsidRPr="007A177A">
        <w:rPr>
          <w:rFonts w:ascii="Arial" w:hAnsi="Arial" w:cs="Arial"/>
          <w:bCs/>
          <w:lang w:val="es-MX"/>
        </w:rPr>
        <w:t xml:space="preserve">para establecer el monto de las cantidades no pagadas, </w:t>
      </w:r>
      <w:r w:rsidR="00602120" w:rsidRPr="007A177A">
        <w:rPr>
          <w:rFonts w:ascii="Arial" w:hAnsi="Arial" w:cs="Arial"/>
          <w:bCs/>
          <w:lang w:val="es-MX"/>
        </w:rPr>
        <w:t xml:space="preserve">el Tribunal </w:t>
      </w:r>
      <w:r w:rsidR="00602120" w:rsidRPr="007A177A">
        <w:rPr>
          <w:rFonts w:ascii="Arial" w:hAnsi="Arial" w:cs="Arial"/>
          <w:bCs/>
          <w:i/>
          <w:lang w:val="es-MX"/>
        </w:rPr>
        <w:t>a quo</w:t>
      </w:r>
      <w:r w:rsidR="00602120" w:rsidRPr="007A177A">
        <w:rPr>
          <w:rFonts w:ascii="Arial" w:hAnsi="Arial" w:cs="Arial"/>
          <w:bCs/>
          <w:lang w:val="es-MX"/>
        </w:rPr>
        <w:t xml:space="preserve"> </w:t>
      </w:r>
      <w:r w:rsidR="006B0927" w:rsidRPr="007A177A">
        <w:rPr>
          <w:rFonts w:ascii="Arial" w:hAnsi="Arial" w:cs="Arial"/>
          <w:bCs/>
          <w:lang w:val="es-MX"/>
        </w:rPr>
        <w:t xml:space="preserve">utilizó </w:t>
      </w:r>
      <w:r w:rsidR="00602120" w:rsidRPr="007A177A">
        <w:rPr>
          <w:rFonts w:ascii="Arial" w:hAnsi="Arial" w:cs="Arial"/>
          <w:bCs/>
          <w:lang w:val="es-MX"/>
        </w:rPr>
        <w:t xml:space="preserve">una regla de tres </w:t>
      </w:r>
      <w:r w:rsidR="006D5CA1" w:rsidRPr="007A177A">
        <w:rPr>
          <w:rFonts w:ascii="Arial" w:hAnsi="Arial" w:cs="Arial"/>
          <w:bCs/>
          <w:lang w:val="es-MX"/>
        </w:rPr>
        <w:t xml:space="preserve">aplicada </w:t>
      </w:r>
      <w:r w:rsidR="006343B0" w:rsidRPr="007A177A">
        <w:rPr>
          <w:rFonts w:ascii="Arial" w:hAnsi="Arial" w:cs="Arial"/>
          <w:bCs/>
          <w:lang w:val="es-MX"/>
        </w:rPr>
        <w:t xml:space="preserve">a </w:t>
      </w:r>
      <w:r w:rsidR="00602120" w:rsidRPr="007A177A">
        <w:rPr>
          <w:rFonts w:ascii="Arial" w:hAnsi="Arial" w:cs="Arial"/>
          <w:bCs/>
          <w:lang w:val="es-MX"/>
        </w:rPr>
        <w:t>las cantidades totales autorizadas</w:t>
      </w:r>
      <w:r w:rsidRPr="007A177A">
        <w:rPr>
          <w:rFonts w:ascii="Arial" w:hAnsi="Arial" w:cs="Arial"/>
          <w:bCs/>
          <w:lang w:val="es-MX"/>
        </w:rPr>
        <w:t>,</w:t>
      </w:r>
      <w:r w:rsidR="00602120" w:rsidRPr="007A177A">
        <w:rPr>
          <w:rFonts w:ascii="Arial" w:hAnsi="Arial" w:cs="Arial"/>
          <w:bCs/>
          <w:lang w:val="es-MX"/>
        </w:rPr>
        <w:t xml:space="preserve"> sobre</w:t>
      </w:r>
      <w:r w:rsidR="006D5CA1" w:rsidRPr="007A177A">
        <w:rPr>
          <w:rFonts w:ascii="Arial" w:hAnsi="Arial" w:cs="Arial"/>
          <w:bCs/>
          <w:lang w:val="es-MX"/>
        </w:rPr>
        <w:t xml:space="preserve"> </w:t>
      </w:r>
      <w:r w:rsidRPr="007A177A">
        <w:rPr>
          <w:rFonts w:ascii="Arial" w:hAnsi="Arial" w:cs="Arial"/>
          <w:bCs/>
          <w:lang w:val="es-MX"/>
        </w:rPr>
        <w:t xml:space="preserve">la cual </w:t>
      </w:r>
      <w:r w:rsidR="006D5CA1" w:rsidRPr="007A177A">
        <w:rPr>
          <w:rFonts w:ascii="Arial" w:hAnsi="Arial" w:cs="Arial"/>
          <w:bCs/>
          <w:lang w:val="es-MX"/>
        </w:rPr>
        <w:t xml:space="preserve">liquidó </w:t>
      </w:r>
      <w:r w:rsidR="00602120" w:rsidRPr="007A177A">
        <w:rPr>
          <w:rFonts w:ascii="Arial" w:hAnsi="Arial" w:cs="Arial"/>
          <w:bCs/>
          <w:lang w:val="es-MX"/>
        </w:rPr>
        <w:t>el monto de los perjuicios</w:t>
      </w:r>
      <w:r w:rsidR="006D5CA1" w:rsidRPr="007A177A">
        <w:rPr>
          <w:rFonts w:ascii="Arial" w:hAnsi="Arial" w:cs="Arial"/>
          <w:bCs/>
          <w:lang w:val="es-MX"/>
        </w:rPr>
        <w:t xml:space="preserve">, método que se apartó del </w:t>
      </w:r>
      <w:r w:rsidR="00602120" w:rsidRPr="007A177A">
        <w:rPr>
          <w:rFonts w:ascii="Arial" w:hAnsi="Arial" w:cs="Arial"/>
          <w:bCs/>
          <w:lang w:val="es-MX"/>
        </w:rPr>
        <w:t xml:space="preserve">supuesto fáctico </w:t>
      </w:r>
      <w:r w:rsidR="006D5CA1" w:rsidRPr="007A177A">
        <w:rPr>
          <w:rFonts w:ascii="Arial" w:hAnsi="Arial" w:cs="Arial"/>
          <w:bCs/>
          <w:lang w:val="es-MX"/>
        </w:rPr>
        <w:t xml:space="preserve">de </w:t>
      </w:r>
      <w:r w:rsidRPr="007A177A">
        <w:rPr>
          <w:rFonts w:ascii="Arial" w:hAnsi="Arial" w:cs="Arial"/>
          <w:bCs/>
          <w:lang w:val="es-MX"/>
        </w:rPr>
        <w:t xml:space="preserve">las </w:t>
      </w:r>
      <w:r w:rsidR="00602120" w:rsidRPr="007A177A">
        <w:rPr>
          <w:rFonts w:ascii="Arial" w:hAnsi="Arial" w:cs="Arial"/>
          <w:bCs/>
          <w:lang w:val="es-MX"/>
        </w:rPr>
        <w:t>cantidades adicionales</w:t>
      </w:r>
      <w:r w:rsidRPr="007A177A">
        <w:rPr>
          <w:rFonts w:ascii="Arial" w:hAnsi="Arial" w:cs="Arial"/>
          <w:bCs/>
          <w:lang w:val="es-MX"/>
        </w:rPr>
        <w:t>,</w:t>
      </w:r>
      <w:r w:rsidR="00441739" w:rsidRPr="007A177A">
        <w:rPr>
          <w:rFonts w:ascii="Arial" w:hAnsi="Arial" w:cs="Arial"/>
          <w:bCs/>
          <w:lang w:val="es-MX"/>
        </w:rPr>
        <w:t xml:space="preserve"> </w:t>
      </w:r>
      <w:r w:rsidR="006343B0" w:rsidRPr="007A177A">
        <w:rPr>
          <w:rFonts w:ascii="Arial" w:hAnsi="Arial" w:cs="Arial"/>
          <w:bCs/>
          <w:lang w:val="es-MX"/>
        </w:rPr>
        <w:t xml:space="preserve">dado que </w:t>
      </w:r>
      <w:r w:rsidRPr="007A177A">
        <w:rPr>
          <w:rFonts w:ascii="Arial" w:hAnsi="Arial" w:cs="Arial"/>
          <w:bCs/>
          <w:lang w:val="es-MX"/>
        </w:rPr>
        <w:t xml:space="preserve">no identificó las cantidades con base en los hechos probados, sino que las extrajo de un cálculo </w:t>
      </w:r>
      <w:r w:rsidR="006343B0" w:rsidRPr="007A177A">
        <w:rPr>
          <w:rFonts w:ascii="Arial" w:hAnsi="Arial" w:cs="Arial"/>
          <w:bCs/>
          <w:lang w:val="es-MX"/>
        </w:rPr>
        <w:t>aritmético</w:t>
      </w:r>
      <w:r w:rsidRPr="007A177A">
        <w:rPr>
          <w:rFonts w:ascii="Arial" w:hAnsi="Arial" w:cs="Arial"/>
          <w:bCs/>
          <w:lang w:val="es-MX"/>
        </w:rPr>
        <w:t>.</w:t>
      </w:r>
    </w:p>
    <w:p w14:paraId="5E22423E" w14:textId="77777777" w:rsidR="00602120" w:rsidRPr="007A177A" w:rsidRDefault="00602120" w:rsidP="00BF333B">
      <w:pPr>
        <w:spacing w:line="360" w:lineRule="auto"/>
        <w:jc w:val="both"/>
        <w:rPr>
          <w:rFonts w:ascii="Arial" w:hAnsi="Arial" w:cs="Arial"/>
          <w:bCs/>
          <w:lang w:val="es-MX"/>
        </w:rPr>
      </w:pPr>
    </w:p>
    <w:p w14:paraId="63541CA3" w14:textId="77777777" w:rsidR="00795722" w:rsidRPr="007A177A" w:rsidRDefault="00602120" w:rsidP="00BF333B">
      <w:pPr>
        <w:spacing w:line="360" w:lineRule="auto"/>
        <w:jc w:val="both"/>
        <w:rPr>
          <w:rFonts w:ascii="Arial" w:hAnsi="Arial" w:cs="Arial"/>
          <w:bCs/>
          <w:lang w:val="es-MX"/>
        </w:rPr>
      </w:pPr>
      <w:r w:rsidRPr="007A177A">
        <w:rPr>
          <w:rFonts w:ascii="Arial" w:hAnsi="Arial" w:cs="Arial"/>
          <w:bCs/>
          <w:lang w:val="es-MX"/>
        </w:rPr>
        <w:t>Observado lo anterior, con base en el análisis del acervo probatorio, la Sala considera que le a</w:t>
      </w:r>
      <w:r w:rsidR="009563C4" w:rsidRPr="007A177A">
        <w:rPr>
          <w:rFonts w:ascii="Arial" w:hAnsi="Arial" w:cs="Arial"/>
          <w:bCs/>
          <w:lang w:val="es-MX"/>
        </w:rPr>
        <w:t>siste</w:t>
      </w:r>
      <w:r w:rsidRPr="007A177A">
        <w:rPr>
          <w:rFonts w:ascii="Arial" w:hAnsi="Arial" w:cs="Arial"/>
          <w:bCs/>
          <w:lang w:val="es-MX"/>
        </w:rPr>
        <w:t xml:space="preserve"> </w:t>
      </w:r>
      <w:r w:rsidR="009563C4" w:rsidRPr="007A177A">
        <w:rPr>
          <w:rFonts w:ascii="Arial" w:hAnsi="Arial" w:cs="Arial"/>
          <w:bCs/>
          <w:lang w:val="es-MX"/>
        </w:rPr>
        <w:t>la razón al Invías en cuanto</w:t>
      </w:r>
      <w:r w:rsidR="00BA39D0" w:rsidRPr="007A177A">
        <w:rPr>
          <w:rFonts w:ascii="Arial" w:hAnsi="Arial" w:cs="Arial"/>
          <w:bCs/>
          <w:lang w:val="es-MX"/>
        </w:rPr>
        <w:t xml:space="preserve"> a</w:t>
      </w:r>
      <w:r w:rsidR="009563C4" w:rsidRPr="007A177A">
        <w:rPr>
          <w:rFonts w:ascii="Arial" w:hAnsi="Arial" w:cs="Arial"/>
          <w:bCs/>
          <w:lang w:val="es-MX"/>
        </w:rPr>
        <w:t xml:space="preserve"> </w:t>
      </w:r>
      <w:r w:rsidR="008D0B8D" w:rsidRPr="007A177A">
        <w:rPr>
          <w:rFonts w:ascii="Arial" w:hAnsi="Arial" w:cs="Arial"/>
          <w:bCs/>
          <w:lang w:val="es-MX"/>
        </w:rPr>
        <w:t xml:space="preserve">que </w:t>
      </w:r>
      <w:r w:rsidR="005A1045" w:rsidRPr="007A177A">
        <w:rPr>
          <w:rFonts w:ascii="Arial" w:hAnsi="Arial" w:cs="Arial"/>
          <w:bCs/>
          <w:lang w:val="es-MX"/>
        </w:rPr>
        <w:t xml:space="preserve">el mayor valor de obra por el </w:t>
      </w:r>
      <w:r w:rsidRPr="007A177A">
        <w:rPr>
          <w:rFonts w:ascii="Arial" w:hAnsi="Arial" w:cs="Arial"/>
          <w:bCs/>
          <w:lang w:val="es-MX"/>
        </w:rPr>
        <w:t xml:space="preserve">supuesto </w:t>
      </w:r>
      <w:r w:rsidR="005A1045" w:rsidRPr="007A177A">
        <w:rPr>
          <w:rFonts w:ascii="Arial" w:hAnsi="Arial" w:cs="Arial"/>
          <w:bCs/>
          <w:lang w:val="es-MX"/>
        </w:rPr>
        <w:t>125% debió relacionarse y sustentarse con base</w:t>
      </w:r>
      <w:r w:rsidR="00BA39D0" w:rsidRPr="007A177A">
        <w:rPr>
          <w:rFonts w:ascii="Arial" w:hAnsi="Arial" w:cs="Arial"/>
          <w:bCs/>
          <w:lang w:val="es-MX"/>
        </w:rPr>
        <w:t xml:space="preserve"> en</w:t>
      </w:r>
      <w:r w:rsidR="005A1045" w:rsidRPr="007A177A">
        <w:rPr>
          <w:rFonts w:ascii="Arial" w:hAnsi="Arial" w:cs="Arial"/>
          <w:bCs/>
          <w:lang w:val="es-MX"/>
        </w:rPr>
        <w:t xml:space="preserve"> </w:t>
      </w:r>
      <w:r w:rsidR="00EC4B64" w:rsidRPr="007A177A">
        <w:rPr>
          <w:rFonts w:ascii="Arial" w:hAnsi="Arial" w:cs="Arial"/>
          <w:bCs/>
          <w:lang w:val="es-MX"/>
        </w:rPr>
        <w:t>las actas de obra y</w:t>
      </w:r>
      <w:r w:rsidR="006B0927" w:rsidRPr="007A177A">
        <w:rPr>
          <w:rFonts w:ascii="Arial" w:hAnsi="Arial" w:cs="Arial"/>
          <w:bCs/>
          <w:lang w:val="es-MX"/>
        </w:rPr>
        <w:t>,</w:t>
      </w:r>
      <w:r w:rsidR="00EC4B64" w:rsidRPr="007A177A">
        <w:rPr>
          <w:rFonts w:ascii="Arial" w:hAnsi="Arial" w:cs="Arial"/>
          <w:bCs/>
          <w:lang w:val="es-MX"/>
        </w:rPr>
        <w:t xml:space="preserve"> especialmente</w:t>
      </w:r>
      <w:r w:rsidR="006B0927" w:rsidRPr="007A177A">
        <w:rPr>
          <w:rFonts w:ascii="Arial" w:hAnsi="Arial" w:cs="Arial"/>
          <w:bCs/>
          <w:lang w:val="es-MX"/>
        </w:rPr>
        <w:t>,</w:t>
      </w:r>
      <w:r w:rsidR="00EC4B64" w:rsidRPr="007A177A">
        <w:rPr>
          <w:rFonts w:ascii="Arial" w:hAnsi="Arial" w:cs="Arial"/>
          <w:bCs/>
          <w:lang w:val="es-MX"/>
        </w:rPr>
        <w:t xml:space="preserve"> </w:t>
      </w:r>
      <w:r w:rsidRPr="007A177A">
        <w:rPr>
          <w:rFonts w:ascii="Arial" w:hAnsi="Arial" w:cs="Arial"/>
          <w:bCs/>
          <w:lang w:val="es-MX"/>
        </w:rPr>
        <w:t xml:space="preserve">en </w:t>
      </w:r>
      <w:r w:rsidR="00EC4B64" w:rsidRPr="007A177A">
        <w:rPr>
          <w:rFonts w:ascii="Arial" w:hAnsi="Arial" w:cs="Arial"/>
          <w:bCs/>
          <w:lang w:val="es-MX"/>
        </w:rPr>
        <w:t xml:space="preserve">el acta final de septiembre </w:t>
      </w:r>
      <w:r w:rsidR="00795722" w:rsidRPr="007A177A">
        <w:rPr>
          <w:rFonts w:ascii="Arial" w:hAnsi="Arial" w:cs="Arial"/>
          <w:bCs/>
          <w:lang w:val="es-MX"/>
        </w:rPr>
        <w:t>de 1982, suscrita por los representantes de la firma interventora y el supervisor del contrato.</w:t>
      </w:r>
    </w:p>
    <w:p w14:paraId="2CDB8A6F" w14:textId="77777777" w:rsidR="00795722" w:rsidRPr="007A177A" w:rsidRDefault="00795722" w:rsidP="00BF333B">
      <w:pPr>
        <w:spacing w:line="360" w:lineRule="auto"/>
        <w:jc w:val="both"/>
        <w:rPr>
          <w:rFonts w:ascii="Arial" w:hAnsi="Arial" w:cs="Arial"/>
          <w:bCs/>
          <w:lang w:val="es-MX"/>
        </w:rPr>
      </w:pPr>
    </w:p>
    <w:p w14:paraId="7D5A8968" w14:textId="77777777" w:rsidR="005A1045" w:rsidRPr="007A177A" w:rsidRDefault="00602120" w:rsidP="00BF333B">
      <w:pPr>
        <w:spacing w:line="360" w:lineRule="auto"/>
        <w:jc w:val="both"/>
        <w:rPr>
          <w:rFonts w:ascii="Arial" w:hAnsi="Arial" w:cs="Arial"/>
          <w:bCs/>
          <w:lang w:val="es-MX"/>
        </w:rPr>
      </w:pPr>
      <w:r w:rsidRPr="007A177A">
        <w:rPr>
          <w:rFonts w:ascii="Arial" w:hAnsi="Arial" w:cs="Arial"/>
          <w:bCs/>
          <w:lang w:val="es-MX"/>
        </w:rPr>
        <w:t>Por otra parte, se agrega que e</w:t>
      </w:r>
      <w:r w:rsidR="009D7C1E" w:rsidRPr="007A177A">
        <w:rPr>
          <w:rFonts w:ascii="Arial" w:hAnsi="Arial" w:cs="Arial"/>
          <w:bCs/>
          <w:lang w:val="es-MX"/>
        </w:rPr>
        <w:t xml:space="preserve">l dictamen </w:t>
      </w:r>
      <w:r w:rsidR="008D0B8D" w:rsidRPr="007A177A">
        <w:rPr>
          <w:rFonts w:ascii="Arial" w:hAnsi="Arial" w:cs="Arial"/>
          <w:bCs/>
          <w:lang w:val="es-MX"/>
        </w:rPr>
        <w:t xml:space="preserve">tampoco </w:t>
      </w:r>
      <w:r w:rsidR="009D7C1E" w:rsidRPr="007A177A">
        <w:rPr>
          <w:rFonts w:ascii="Arial" w:hAnsi="Arial" w:cs="Arial"/>
          <w:bCs/>
          <w:lang w:val="es-MX"/>
        </w:rPr>
        <w:t>tuvo en cuenta el acta final de septiembre de 1982, según se observa en la relación de documentos anexos</w:t>
      </w:r>
      <w:r w:rsidR="006D5CA1" w:rsidRPr="007A177A">
        <w:rPr>
          <w:rFonts w:ascii="Arial" w:hAnsi="Arial" w:cs="Arial"/>
          <w:bCs/>
          <w:lang w:val="es-MX"/>
        </w:rPr>
        <w:t xml:space="preserve">, </w:t>
      </w:r>
      <w:r w:rsidR="00146C14" w:rsidRPr="007A177A">
        <w:rPr>
          <w:rFonts w:ascii="Arial" w:hAnsi="Arial" w:cs="Arial"/>
          <w:bCs/>
          <w:lang w:val="es-MX"/>
        </w:rPr>
        <w:t xml:space="preserve">que </w:t>
      </w:r>
      <w:r w:rsidR="00DD4E7C" w:rsidRPr="007A177A">
        <w:rPr>
          <w:rFonts w:ascii="Arial" w:hAnsi="Arial" w:cs="Arial"/>
          <w:bCs/>
          <w:lang w:val="es-MX"/>
        </w:rPr>
        <w:t>termina con el acta No. 32</w:t>
      </w:r>
      <w:r w:rsidR="006D5CA1" w:rsidRPr="007A177A">
        <w:rPr>
          <w:rFonts w:ascii="Arial" w:hAnsi="Arial" w:cs="Arial"/>
          <w:bCs/>
          <w:lang w:val="es-MX"/>
        </w:rPr>
        <w:t xml:space="preserve"> </w:t>
      </w:r>
      <w:r w:rsidR="00770A2D" w:rsidRPr="007A177A">
        <w:rPr>
          <w:rFonts w:ascii="Arial" w:hAnsi="Arial" w:cs="Arial"/>
          <w:bCs/>
          <w:lang w:val="es-MX"/>
        </w:rPr>
        <w:t xml:space="preserve">de 1981 </w:t>
      </w:r>
      <w:r w:rsidR="006D5CA1" w:rsidRPr="007A177A">
        <w:rPr>
          <w:rFonts w:ascii="Arial" w:hAnsi="Arial" w:cs="Arial"/>
          <w:bCs/>
          <w:lang w:val="es-MX"/>
        </w:rPr>
        <w:t>y no incluye el acta final que</w:t>
      </w:r>
      <w:r w:rsidR="00146C14" w:rsidRPr="007A177A">
        <w:rPr>
          <w:rFonts w:ascii="Arial" w:hAnsi="Arial" w:cs="Arial"/>
          <w:bCs/>
          <w:lang w:val="es-MX"/>
        </w:rPr>
        <w:t xml:space="preserve"> </w:t>
      </w:r>
      <w:r w:rsidR="006D5CA1" w:rsidRPr="007A177A">
        <w:rPr>
          <w:rFonts w:ascii="Arial" w:hAnsi="Arial" w:cs="Arial"/>
          <w:bCs/>
          <w:lang w:val="es-MX"/>
        </w:rPr>
        <w:t>no fue considerada por el perito.</w:t>
      </w:r>
    </w:p>
    <w:p w14:paraId="155646C1" w14:textId="77777777" w:rsidR="00DD4E7C" w:rsidRPr="007A177A" w:rsidRDefault="00DD4E7C" w:rsidP="00BF333B">
      <w:pPr>
        <w:spacing w:line="360" w:lineRule="auto"/>
        <w:jc w:val="both"/>
        <w:rPr>
          <w:rFonts w:ascii="Arial" w:hAnsi="Arial" w:cs="Arial"/>
          <w:bCs/>
          <w:lang w:val="es-MX"/>
        </w:rPr>
      </w:pPr>
    </w:p>
    <w:p w14:paraId="29E52A37" w14:textId="77777777" w:rsidR="00602120" w:rsidRPr="007A177A" w:rsidRDefault="00602120" w:rsidP="00BF333B">
      <w:pPr>
        <w:spacing w:line="360" w:lineRule="auto"/>
        <w:jc w:val="both"/>
        <w:rPr>
          <w:rFonts w:ascii="Arial" w:hAnsi="Arial" w:cs="Arial"/>
        </w:rPr>
      </w:pPr>
      <w:r w:rsidRPr="007A177A">
        <w:rPr>
          <w:rFonts w:ascii="Arial" w:hAnsi="Arial" w:cs="Arial"/>
        </w:rPr>
        <w:t xml:space="preserve">A continuación se analizan las pruebas que no tuvo en cuenta </w:t>
      </w:r>
      <w:r w:rsidR="00441739" w:rsidRPr="007A177A">
        <w:rPr>
          <w:rFonts w:ascii="Arial" w:hAnsi="Arial" w:cs="Arial"/>
        </w:rPr>
        <w:t>e</w:t>
      </w:r>
      <w:r w:rsidR="006D5CA1" w:rsidRPr="007A177A">
        <w:rPr>
          <w:rFonts w:ascii="Arial" w:hAnsi="Arial" w:cs="Arial"/>
        </w:rPr>
        <w:t xml:space="preserve">l Tribunal </w:t>
      </w:r>
      <w:r w:rsidR="006D5CA1" w:rsidRPr="007A177A">
        <w:rPr>
          <w:rFonts w:ascii="Arial" w:hAnsi="Arial" w:cs="Arial"/>
          <w:i/>
        </w:rPr>
        <w:t>a quo</w:t>
      </w:r>
      <w:r w:rsidR="006003D9" w:rsidRPr="007A177A">
        <w:rPr>
          <w:rFonts w:ascii="Arial" w:hAnsi="Arial" w:cs="Arial"/>
        </w:rPr>
        <w:t>,</w:t>
      </w:r>
      <w:r w:rsidR="006D5CA1" w:rsidRPr="007A177A">
        <w:rPr>
          <w:rFonts w:ascii="Arial" w:hAnsi="Arial" w:cs="Arial"/>
        </w:rPr>
        <w:t xml:space="preserve"> </w:t>
      </w:r>
      <w:r w:rsidRPr="007A177A">
        <w:rPr>
          <w:rFonts w:ascii="Arial" w:hAnsi="Arial" w:cs="Arial"/>
        </w:rPr>
        <w:t>de las cuales se infiere que las mayores cantidades fueron reconocidas y pagadas</w:t>
      </w:r>
      <w:r w:rsidR="00AA1A1F" w:rsidRPr="007A177A">
        <w:rPr>
          <w:rFonts w:ascii="Arial" w:hAnsi="Arial" w:cs="Arial"/>
        </w:rPr>
        <w:t xml:space="preserve"> en la liquidación del contrato</w:t>
      </w:r>
      <w:r w:rsidRPr="007A177A">
        <w:rPr>
          <w:rFonts w:ascii="Arial" w:hAnsi="Arial" w:cs="Arial"/>
        </w:rPr>
        <w:t>:</w:t>
      </w:r>
    </w:p>
    <w:p w14:paraId="57913A20" w14:textId="77777777" w:rsidR="00602120" w:rsidRPr="007A177A" w:rsidRDefault="00602120" w:rsidP="00BF333B">
      <w:pPr>
        <w:spacing w:line="360" w:lineRule="auto"/>
        <w:jc w:val="both"/>
        <w:rPr>
          <w:rFonts w:ascii="Arial" w:hAnsi="Arial" w:cs="Arial"/>
        </w:rPr>
      </w:pPr>
    </w:p>
    <w:p w14:paraId="796FB5AA" w14:textId="77777777" w:rsidR="00AD59EC" w:rsidRPr="007A177A" w:rsidRDefault="00937F5A" w:rsidP="00BF333B">
      <w:pPr>
        <w:spacing w:line="360" w:lineRule="auto"/>
        <w:jc w:val="both"/>
        <w:rPr>
          <w:rFonts w:ascii="Arial" w:hAnsi="Arial" w:cs="Arial"/>
        </w:rPr>
      </w:pPr>
      <w:r w:rsidRPr="007A177A">
        <w:rPr>
          <w:rFonts w:ascii="Arial" w:hAnsi="Arial" w:cs="Arial"/>
          <w:b/>
        </w:rPr>
        <w:t>9</w:t>
      </w:r>
      <w:r w:rsidR="00DF76F9" w:rsidRPr="007A177A">
        <w:rPr>
          <w:rFonts w:ascii="Arial" w:hAnsi="Arial" w:cs="Arial"/>
          <w:b/>
        </w:rPr>
        <w:t>.2.1.</w:t>
      </w:r>
      <w:r w:rsidR="002E5204" w:rsidRPr="007A177A">
        <w:rPr>
          <w:rFonts w:ascii="Arial" w:hAnsi="Arial" w:cs="Arial"/>
        </w:rPr>
        <w:t xml:space="preserve"> </w:t>
      </w:r>
      <w:r w:rsidR="00437E97" w:rsidRPr="007A177A">
        <w:rPr>
          <w:rFonts w:ascii="Arial" w:hAnsi="Arial" w:cs="Arial"/>
        </w:rPr>
        <w:t>Memorando de agosto 21 de 1981 de la firma interventora</w:t>
      </w:r>
      <w:r w:rsidR="006003D9" w:rsidRPr="007A177A">
        <w:rPr>
          <w:rFonts w:ascii="Arial" w:hAnsi="Arial" w:cs="Arial"/>
        </w:rPr>
        <w:t>,</w:t>
      </w:r>
      <w:r w:rsidR="00437E97" w:rsidRPr="007A177A">
        <w:rPr>
          <w:rFonts w:ascii="Arial" w:hAnsi="Arial" w:cs="Arial"/>
        </w:rPr>
        <w:t xml:space="preserve"> en el cual se realizó un recuento de los acarreos realizados para terraplenes</w:t>
      </w:r>
      <w:r w:rsidR="006003D9" w:rsidRPr="007A177A">
        <w:rPr>
          <w:rFonts w:ascii="Arial" w:hAnsi="Arial" w:cs="Arial"/>
        </w:rPr>
        <w:t>,</w:t>
      </w:r>
      <w:r w:rsidR="00437E97" w:rsidRPr="007A177A">
        <w:rPr>
          <w:rFonts w:ascii="Arial" w:hAnsi="Arial" w:cs="Arial"/>
        </w:rPr>
        <w:t xml:space="preserve"> que se expresaron </w:t>
      </w:r>
      <w:r w:rsidR="00437E97" w:rsidRPr="007A177A">
        <w:rPr>
          <w:rFonts w:ascii="Arial" w:hAnsi="Arial" w:cs="Arial"/>
        </w:rPr>
        <w:lastRenderedPageBreak/>
        <w:t xml:space="preserve">en metros cúbicos por kilómetro recorrido. Estimó que </w:t>
      </w:r>
      <w:r w:rsidR="00437E97" w:rsidRPr="007A177A">
        <w:rPr>
          <w:rFonts w:ascii="Arial" w:hAnsi="Arial" w:cs="Arial"/>
          <w:i/>
          <w:iCs/>
        </w:rPr>
        <w:t>“al haber sido transportado el material de una zona de préstamo es justo reconocer el acarreo”</w:t>
      </w:r>
      <w:r w:rsidR="00437E97" w:rsidRPr="007A177A">
        <w:rPr>
          <w:rFonts w:ascii="Arial" w:hAnsi="Arial" w:cs="Arial"/>
        </w:rPr>
        <w:t xml:space="preserve">. </w:t>
      </w:r>
    </w:p>
    <w:p w14:paraId="4D992501" w14:textId="77777777" w:rsidR="00AD59EC" w:rsidRPr="007A177A" w:rsidRDefault="00AD59EC" w:rsidP="00BF333B">
      <w:pPr>
        <w:spacing w:line="360" w:lineRule="auto"/>
        <w:jc w:val="both"/>
        <w:rPr>
          <w:rFonts w:ascii="Arial" w:hAnsi="Arial" w:cs="Arial"/>
        </w:rPr>
      </w:pPr>
    </w:p>
    <w:p w14:paraId="072D8716" w14:textId="77777777" w:rsidR="00437E97" w:rsidRPr="007A177A" w:rsidRDefault="00437E97" w:rsidP="00BF333B">
      <w:pPr>
        <w:spacing w:line="360" w:lineRule="auto"/>
        <w:jc w:val="both"/>
        <w:rPr>
          <w:rFonts w:ascii="Arial" w:hAnsi="Arial" w:cs="Arial"/>
        </w:rPr>
      </w:pPr>
      <w:r w:rsidRPr="007A177A">
        <w:rPr>
          <w:rFonts w:ascii="Arial" w:hAnsi="Arial" w:cs="Arial"/>
        </w:rPr>
        <w:t>El material transportado</w:t>
      </w:r>
      <w:r w:rsidR="006D5CA1" w:rsidRPr="007A177A">
        <w:rPr>
          <w:rFonts w:ascii="Arial" w:hAnsi="Arial" w:cs="Arial"/>
        </w:rPr>
        <w:t xml:space="preserve">, incluyendo esa consideración, </w:t>
      </w:r>
      <w:r w:rsidRPr="007A177A">
        <w:rPr>
          <w:rFonts w:ascii="Arial" w:hAnsi="Arial" w:cs="Arial"/>
        </w:rPr>
        <w:t>ascendió a 227.428,13 M3</w:t>
      </w:r>
      <w:r w:rsidR="006003D9" w:rsidRPr="007A177A">
        <w:rPr>
          <w:rFonts w:ascii="Arial" w:hAnsi="Arial" w:cs="Arial"/>
        </w:rPr>
        <w:t>/</w:t>
      </w:r>
      <w:r w:rsidRPr="007A177A">
        <w:rPr>
          <w:rFonts w:ascii="Arial" w:hAnsi="Arial" w:cs="Arial"/>
        </w:rPr>
        <w:t>Km</w:t>
      </w:r>
      <w:r w:rsidRPr="007A177A">
        <w:rPr>
          <w:rStyle w:val="Refdenotaalpie"/>
          <w:rFonts w:ascii="Arial" w:hAnsi="Arial" w:cs="Arial"/>
        </w:rPr>
        <w:footnoteReference w:id="102"/>
      </w:r>
      <w:r w:rsidRPr="007A177A">
        <w:rPr>
          <w:rFonts w:ascii="Arial" w:hAnsi="Arial" w:cs="Arial"/>
        </w:rPr>
        <w:t xml:space="preserve">. Este memorando </w:t>
      </w:r>
      <w:r w:rsidR="006D5CA1" w:rsidRPr="007A177A">
        <w:rPr>
          <w:rFonts w:ascii="Arial" w:hAnsi="Arial" w:cs="Arial"/>
        </w:rPr>
        <w:t xml:space="preserve">de la interventoría </w:t>
      </w:r>
      <w:r w:rsidRPr="007A177A">
        <w:rPr>
          <w:rFonts w:ascii="Arial" w:hAnsi="Arial" w:cs="Arial"/>
        </w:rPr>
        <w:t xml:space="preserve">indica que el cambio en la fuente de materiales </w:t>
      </w:r>
      <w:r w:rsidR="002E5204" w:rsidRPr="007A177A">
        <w:rPr>
          <w:rFonts w:ascii="Arial" w:hAnsi="Arial" w:cs="Arial"/>
        </w:rPr>
        <w:t>fue</w:t>
      </w:r>
      <w:r w:rsidRPr="007A177A">
        <w:rPr>
          <w:rFonts w:ascii="Arial" w:hAnsi="Arial" w:cs="Arial"/>
        </w:rPr>
        <w:t xml:space="preserve"> reconocido por la interventoría dentro del cálculo de cantidades, bajo el acápite de material de préstamo. </w:t>
      </w:r>
    </w:p>
    <w:p w14:paraId="47329AC7" w14:textId="77777777" w:rsidR="00DD4E7C" w:rsidRPr="007A177A" w:rsidRDefault="00DD4E7C" w:rsidP="00BF333B">
      <w:pPr>
        <w:spacing w:line="360" w:lineRule="auto"/>
        <w:jc w:val="both"/>
        <w:rPr>
          <w:rFonts w:ascii="Arial" w:hAnsi="Arial" w:cs="Arial"/>
          <w:bCs/>
          <w:lang w:val="es-MX"/>
        </w:rPr>
      </w:pPr>
    </w:p>
    <w:p w14:paraId="7B688CE5" w14:textId="77777777" w:rsidR="009D3BCA" w:rsidRPr="007A177A" w:rsidRDefault="00937F5A" w:rsidP="00BF333B">
      <w:pPr>
        <w:spacing w:line="360" w:lineRule="auto"/>
        <w:jc w:val="both"/>
        <w:rPr>
          <w:rFonts w:ascii="Arial" w:hAnsi="Arial" w:cs="Arial"/>
        </w:rPr>
      </w:pPr>
      <w:r w:rsidRPr="007A177A">
        <w:rPr>
          <w:rFonts w:ascii="Arial" w:hAnsi="Arial" w:cs="Arial"/>
          <w:b/>
        </w:rPr>
        <w:t>9</w:t>
      </w:r>
      <w:r w:rsidR="00DF76F9" w:rsidRPr="007A177A">
        <w:rPr>
          <w:rFonts w:ascii="Arial" w:hAnsi="Arial" w:cs="Arial"/>
          <w:b/>
        </w:rPr>
        <w:t>.2.2.</w:t>
      </w:r>
      <w:r w:rsidR="002E5204" w:rsidRPr="007A177A">
        <w:rPr>
          <w:rFonts w:ascii="Arial" w:hAnsi="Arial" w:cs="Arial"/>
        </w:rPr>
        <w:t xml:space="preserve"> </w:t>
      </w:r>
      <w:r w:rsidR="009D3BCA" w:rsidRPr="007A177A">
        <w:rPr>
          <w:rFonts w:ascii="Arial" w:hAnsi="Arial" w:cs="Arial"/>
        </w:rPr>
        <w:t>Oficio CS 09455 de 4 de agosto de 1982</w:t>
      </w:r>
      <w:r w:rsidR="00AD45F4" w:rsidRPr="007A177A">
        <w:rPr>
          <w:rFonts w:ascii="Arial" w:hAnsi="Arial" w:cs="Arial"/>
        </w:rPr>
        <w:t>,</w:t>
      </w:r>
      <w:r w:rsidR="009D3BCA" w:rsidRPr="007A177A">
        <w:rPr>
          <w:rFonts w:ascii="Arial" w:hAnsi="Arial" w:cs="Arial"/>
        </w:rPr>
        <w:t xml:space="preserve"> suscrito por el director de </w:t>
      </w:r>
      <w:r w:rsidR="00BD0AC6" w:rsidRPr="007A177A">
        <w:rPr>
          <w:rFonts w:ascii="Arial" w:hAnsi="Arial" w:cs="Arial"/>
        </w:rPr>
        <w:t>c</w:t>
      </w:r>
      <w:r w:rsidR="009D3BCA" w:rsidRPr="007A177A">
        <w:rPr>
          <w:rFonts w:ascii="Arial" w:hAnsi="Arial" w:cs="Arial"/>
        </w:rPr>
        <w:t>arreteras del Ministerio de Obras Públicas</w:t>
      </w:r>
      <w:r w:rsidR="00AD45F4" w:rsidRPr="007A177A">
        <w:rPr>
          <w:rFonts w:ascii="Arial" w:hAnsi="Arial" w:cs="Arial"/>
        </w:rPr>
        <w:t>,</w:t>
      </w:r>
      <w:r w:rsidR="009D3BCA" w:rsidRPr="007A177A">
        <w:rPr>
          <w:rFonts w:ascii="Arial" w:hAnsi="Arial" w:cs="Arial"/>
        </w:rPr>
        <w:t xml:space="preserve"> </w:t>
      </w:r>
      <w:r w:rsidR="00BD0AC6" w:rsidRPr="007A177A">
        <w:rPr>
          <w:rFonts w:ascii="Arial" w:hAnsi="Arial" w:cs="Arial"/>
        </w:rPr>
        <w:t xml:space="preserve">en el cual se pronunció </w:t>
      </w:r>
      <w:r w:rsidR="00400C05" w:rsidRPr="007A177A">
        <w:rPr>
          <w:rFonts w:ascii="Arial" w:hAnsi="Arial" w:cs="Arial"/>
        </w:rPr>
        <w:t xml:space="preserve">sobre </w:t>
      </w:r>
      <w:r w:rsidR="009D3BCA" w:rsidRPr="007A177A">
        <w:rPr>
          <w:rFonts w:ascii="Arial" w:hAnsi="Arial" w:cs="Arial"/>
        </w:rPr>
        <w:t>los puntos divergentes entre el contratista y la firma interventora</w:t>
      </w:r>
      <w:r w:rsidR="00400C05" w:rsidRPr="007A177A">
        <w:rPr>
          <w:rFonts w:ascii="Arial" w:hAnsi="Arial" w:cs="Arial"/>
        </w:rPr>
        <w:t xml:space="preserve">, indicó las cantidades a reconocer dentro de los </w:t>
      </w:r>
      <w:r w:rsidR="009D3BCA" w:rsidRPr="007A177A">
        <w:rPr>
          <w:rFonts w:ascii="Arial" w:hAnsi="Arial" w:cs="Arial"/>
        </w:rPr>
        <w:t xml:space="preserve">máximos autorizados y </w:t>
      </w:r>
      <w:r w:rsidR="00400C05" w:rsidRPr="007A177A">
        <w:rPr>
          <w:rFonts w:ascii="Arial" w:hAnsi="Arial" w:cs="Arial"/>
        </w:rPr>
        <w:t xml:space="preserve">advirtió </w:t>
      </w:r>
      <w:r w:rsidR="009D3BCA" w:rsidRPr="007A177A">
        <w:rPr>
          <w:rFonts w:ascii="Arial" w:hAnsi="Arial" w:cs="Arial"/>
        </w:rPr>
        <w:t>los errores en los cálculos del cobro de transporte</w:t>
      </w:r>
      <w:r w:rsidR="00AA1A1F" w:rsidRPr="007A177A">
        <w:rPr>
          <w:rFonts w:ascii="Arial" w:hAnsi="Arial" w:cs="Arial"/>
        </w:rPr>
        <w:t xml:space="preserve"> que debían ser corregidos</w:t>
      </w:r>
      <w:r w:rsidR="009D3BCA" w:rsidRPr="007A177A">
        <w:rPr>
          <w:rFonts w:ascii="Arial" w:hAnsi="Arial" w:cs="Arial"/>
        </w:rPr>
        <w:t>, entre los cuales se destacan (se transcribe de forma literal):</w:t>
      </w:r>
    </w:p>
    <w:p w14:paraId="74F22DC4" w14:textId="77777777" w:rsidR="009D3BCA" w:rsidRPr="007A177A" w:rsidRDefault="009D3BCA" w:rsidP="00BF333B">
      <w:pPr>
        <w:spacing w:line="360" w:lineRule="auto"/>
        <w:jc w:val="both"/>
        <w:rPr>
          <w:rFonts w:ascii="Arial" w:hAnsi="Arial" w:cs="Arial"/>
        </w:rPr>
      </w:pPr>
    </w:p>
    <w:p w14:paraId="09D2ACB8" w14:textId="77777777" w:rsidR="009D3BCA" w:rsidRPr="007A177A" w:rsidRDefault="009D3BCA" w:rsidP="00BF333B">
      <w:pPr>
        <w:ind w:left="567" w:right="902"/>
        <w:jc w:val="both"/>
        <w:rPr>
          <w:rFonts w:ascii="Arial" w:hAnsi="Arial" w:cs="Arial"/>
          <w:i/>
        </w:rPr>
      </w:pPr>
      <w:r w:rsidRPr="007A177A">
        <w:rPr>
          <w:rFonts w:ascii="Arial" w:hAnsi="Arial" w:cs="Arial"/>
          <w:i/>
        </w:rPr>
        <w:t xml:space="preserve">“I Obra pendiente de pago en </w:t>
      </w:r>
      <w:proofErr w:type="spellStart"/>
      <w:r w:rsidRPr="007A177A">
        <w:rPr>
          <w:rFonts w:ascii="Arial" w:hAnsi="Arial" w:cs="Arial"/>
          <w:i/>
        </w:rPr>
        <w:t>preactas</w:t>
      </w:r>
      <w:proofErr w:type="spellEnd"/>
      <w:r w:rsidRPr="007A177A">
        <w:rPr>
          <w:rFonts w:ascii="Arial" w:hAnsi="Arial" w:cs="Arial"/>
          <w:i/>
        </w:rPr>
        <w:t xml:space="preserve"> 25 (agosto/80) y 26 (septiembre de 1980), </w:t>
      </w:r>
    </w:p>
    <w:p w14:paraId="7238D3B3" w14:textId="77777777" w:rsidR="009D3BCA" w:rsidRPr="007A177A" w:rsidRDefault="009D3BCA" w:rsidP="00BF333B">
      <w:pPr>
        <w:ind w:left="567" w:right="902"/>
        <w:jc w:val="both"/>
        <w:rPr>
          <w:rFonts w:ascii="Arial" w:hAnsi="Arial" w:cs="Arial"/>
          <w:i/>
        </w:rPr>
      </w:pPr>
    </w:p>
    <w:p w14:paraId="091E7776" w14:textId="77777777" w:rsidR="009D3BCA" w:rsidRPr="007A177A" w:rsidRDefault="009D3BCA" w:rsidP="00BF333B">
      <w:pPr>
        <w:ind w:left="567" w:right="902"/>
        <w:jc w:val="both"/>
        <w:rPr>
          <w:rFonts w:ascii="Arial" w:hAnsi="Arial" w:cs="Arial"/>
          <w:i/>
        </w:rPr>
      </w:pPr>
      <w:r w:rsidRPr="007A177A">
        <w:rPr>
          <w:rFonts w:ascii="Arial" w:hAnsi="Arial" w:cs="Arial"/>
          <w:i/>
        </w:rPr>
        <w:t>“(…)  el volumen de obra ejecutada correspondiente al ítem 31 ‘suministro de material seleccionado para rellenos de las Canteras’ es de 230.147,56 M3, es decir, el máximo autorizado por el Comité de Precios Unitarios.</w:t>
      </w:r>
    </w:p>
    <w:p w14:paraId="70D9A00A" w14:textId="77777777" w:rsidR="009D3BCA" w:rsidRPr="007A177A" w:rsidRDefault="009D3BCA" w:rsidP="00BF333B">
      <w:pPr>
        <w:ind w:left="567" w:right="902"/>
        <w:jc w:val="both"/>
        <w:rPr>
          <w:rFonts w:ascii="Arial" w:hAnsi="Arial" w:cs="Arial"/>
          <w:i/>
        </w:rPr>
      </w:pPr>
      <w:r w:rsidRPr="007A177A">
        <w:rPr>
          <w:rFonts w:ascii="Arial" w:hAnsi="Arial" w:cs="Arial"/>
          <w:i/>
        </w:rPr>
        <w:t xml:space="preserve">  </w:t>
      </w:r>
    </w:p>
    <w:p w14:paraId="67DD85FC" w14:textId="77777777" w:rsidR="009D3BCA" w:rsidRPr="007A177A" w:rsidRDefault="009D3BCA" w:rsidP="00BF333B">
      <w:pPr>
        <w:ind w:left="567" w:right="902"/>
        <w:jc w:val="both"/>
        <w:rPr>
          <w:rFonts w:ascii="Arial" w:hAnsi="Arial" w:cs="Arial"/>
          <w:i/>
        </w:rPr>
      </w:pPr>
      <w:r w:rsidRPr="007A177A">
        <w:rPr>
          <w:rFonts w:ascii="Arial" w:hAnsi="Arial" w:cs="Arial"/>
          <w:i/>
        </w:rPr>
        <w:t xml:space="preserve">“Los volúmenes del material que ha sido necesario colocar y sobrepasen el cupo fijado por el Comité de Precios Unitarios, se pagarán una vez que se haya hecho la evaluación de cantidades ejecutadas en este ítem de acuerdo a los precios fijados como ‘Excavaciones’ (Capitulo </w:t>
      </w:r>
      <w:proofErr w:type="spellStart"/>
      <w:r w:rsidRPr="007A177A">
        <w:rPr>
          <w:rFonts w:ascii="Arial" w:hAnsi="Arial" w:cs="Arial"/>
          <w:i/>
        </w:rPr>
        <w:t>iV</w:t>
      </w:r>
      <w:proofErr w:type="spellEnd"/>
      <w:r w:rsidRPr="007A177A">
        <w:rPr>
          <w:rFonts w:ascii="Arial" w:hAnsi="Arial" w:cs="Arial"/>
          <w:i/>
        </w:rPr>
        <w:t>, numeral IV 1.1.) de las especificaciones particulares de construcción relativas a la licitación materia del contrato</w:t>
      </w:r>
      <w:r w:rsidR="00BD0AC6" w:rsidRPr="007A177A">
        <w:rPr>
          <w:rFonts w:ascii="Arial" w:hAnsi="Arial" w:cs="Arial"/>
          <w:i/>
        </w:rPr>
        <w:t>.</w:t>
      </w:r>
      <w:r w:rsidRPr="007A177A">
        <w:rPr>
          <w:rFonts w:ascii="Arial" w:hAnsi="Arial" w:cs="Arial"/>
          <w:i/>
        </w:rPr>
        <w:t xml:space="preserve">  </w:t>
      </w:r>
    </w:p>
    <w:p w14:paraId="3869F32F" w14:textId="77777777" w:rsidR="009D3BCA" w:rsidRPr="007A177A" w:rsidRDefault="009D3BCA" w:rsidP="00BF333B">
      <w:pPr>
        <w:ind w:left="567" w:right="902"/>
        <w:jc w:val="both"/>
        <w:rPr>
          <w:rFonts w:ascii="Arial" w:hAnsi="Arial" w:cs="Arial"/>
          <w:i/>
        </w:rPr>
      </w:pPr>
    </w:p>
    <w:p w14:paraId="53A3155C" w14:textId="77777777" w:rsidR="009D3BCA" w:rsidRPr="007A177A" w:rsidRDefault="00AD45F4" w:rsidP="00BF333B">
      <w:pPr>
        <w:ind w:left="567" w:right="902"/>
        <w:jc w:val="both"/>
        <w:rPr>
          <w:rFonts w:ascii="Arial" w:hAnsi="Arial" w:cs="Arial"/>
          <w:i/>
        </w:rPr>
      </w:pPr>
      <w:r w:rsidRPr="007A177A">
        <w:rPr>
          <w:rFonts w:ascii="Arial" w:hAnsi="Arial" w:cs="Arial"/>
          <w:i/>
        </w:rPr>
        <w:t>“</w:t>
      </w:r>
      <w:r w:rsidR="009D3BCA" w:rsidRPr="007A177A">
        <w:rPr>
          <w:rFonts w:ascii="Arial" w:hAnsi="Arial" w:cs="Arial"/>
          <w:i/>
        </w:rPr>
        <w:t>V) Revisión de los pagos o excavaciones en roca (…) la Dirección de carreteras fija, en base a los estudios adelantados por la firma SENIOR VIANA, interventora del contrato, (…) la siguiente relación de volúmenes de corte efectuados sobre la vía en desarrollo del contrato No. 358-76 (…) Material Común M3</w:t>
      </w:r>
      <w:proofErr w:type="gramStart"/>
      <w:r w:rsidR="009D3BCA" w:rsidRPr="007A177A">
        <w:rPr>
          <w:rFonts w:ascii="Arial" w:hAnsi="Arial" w:cs="Arial"/>
          <w:i/>
        </w:rPr>
        <w:t xml:space="preserve"> ….</w:t>
      </w:r>
      <w:proofErr w:type="gramEnd"/>
      <w:r w:rsidR="009D3BCA" w:rsidRPr="007A177A">
        <w:rPr>
          <w:rFonts w:ascii="Arial" w:hAnsi="Arial" w:cs="Arial"/>
          <w:i/>
        </w:rPr>
        <w:t>339.145, 07 M3  y Roca M3……22</w:t>
      </w:r>
      <w:r w:rsidR="00BD0AC6" w:rsidRPr="007A177A">
        <w:rPr>
          <w:rFonts w:ascii="Arial" w:hAnsi="Arial" w:cs="Arial"/>
          <w:i/>
        </w:rPr>
        <w:t>.</w:t>
      </w:r>
      <w:r w:rsidR="009D3BCA" w:rsidRPr="007A177A">
        <w:rPr>
          <w:rFonts w:ascii="Arial" w:hAnsi="Arial" w:cs="Arial"/>
          <w:i/>
        </w:rPr>
        <w:t>172,88 M3.</w:t>
      </w:r>
    </w:p>
    <w:p w14:paraId="3277489C" w14:textId="77777777" w:rsidR="009D3BCA" w:rsidRPr="007A177A" w:rsidRDefault="009D3BCA" w:rsidP="00BF333B">
      <w:pPr>
        <w:ind w:left="567" w:right="902"/>
        <w:jc w:val="both"/>
        <w:rPr>
          <w:rFonts w:ascii="Arial" w:hAnsi="Arial" w:cs="Arial"/>
          <w:i/>
        </w:rPr>
      </w:pPr>
    </w:p>
    <w:p w14:paraId="25294883" w14:textId="77777777" w:rsidR="009D3BCA" w:rsidRPr="007A177A" w:rsidRDefault="00AD45F4" w:rsidP="00BF333B">
      <w:pPr>
        <w:ind w:left="567" w:right="902"/>
        <w:jc w:val="both"/>
        <w:rPr>
          <w:rFonts w:ascii="Arial" w:hAnsi="Arial" w:cs="Arial"/>
          <w:i/>
        </w:rPr>
      </w:pPr>
      <w:r w:rsidRPr="007A177A">
        <w:rPr>
          <w:rFonts w:ascii="Arial" w:hAnsi="Arial" w:cs="Arial"/>
          <w:i/>
        </w:rPr>
        <w:t>“</w:t>
      </w:r>
      <w:r w:rsidR="009D3BCA" w:rsidRPr="007A177A">
        <w:rPr>
          <w:rFonts w:ascii="Arial" w:hAnsi="Arial" w:cs="Arial"/>
          <w:i/>
        </w:rPr>
        <w:t xml:space="preserve">VI) Acarreo de material en terraplenes (…) Al revisar las </w:t>
      </w:r>
      <w:proofErr w:type="spellStart"/>
      <w:r w:rsidR="009D3BCA" w:rsidRPr="007A177A">
        <w:rPr>
          <w:rFonts w:ascii="Arial" w:hAnsi="Arial" w:cs="Arial"/>
          <w:i/>
        </w:rPr>
        <w:t>preactas</w:t>
      </w:r>
      <w:proofErr w:type="spellEnd"/>
      <w:r w:rsidR="009D3BCA" w:rsidRPr="007A177A">
        <w:rPr>
          <w:rFonts w:ascii="Arial" w:hAnsi="Arial" w:cs="Arial"/>
          <w:i/>
        </w:rPr>
        <w:t xml:space="preserve"> del contrato No. 358-76, se ha observado que para efectos del cobro del transporte volumen del terraplén, se viene dividiendo éste por ‘coeficientes o factores provisionales de contracción’; como quiera que esta consideración no es congruente con las especificaciones anteriormente citada [capítulo IV, numeral IV 3.3. Medida – metros cúbicos de material </w:t>
      </w:r>
      <w:r w:rsidR="009D3BCA" w:rsidRPr="007A177A">
        <w:rPr>
          <w:rFonts w:ascii="Arial" w:hAnsi="Arial" w:cs="Arial"/>
          <w:i/>
          <w:u w:val="single"/>
        </w:rPr>
        <w:t>compactado</w:t>
      </w:r>
      <w:r w:rsidR="009D3BCA" w:rsidRPr="007A177A">
        <w:rPr>
          <w:rFonts w:ascii="Arial" w:hAnsi="Arial" w:cs="Arial"/>
          <w:i/>
        </w:rPr>
        <w:t xml:space="preserve">] además de la revisión que se efectúa al </w:t>
      </w:r>
      <w:proofErr w:type="spellStart"/>
      <w:r w:rsidR="009D3BCA" w:rsidRPr="007A177A">
        <w:rPr>
          <w:rFonts w:ascii="Arial" w:hAnsi="Arial" w:cs="Arial"/>
          <w:i/>
        </w:rPr>
        <w:t>volúmen</w:t>
      </w:r>
      <w:proofErr w:type="spellEnd"/>
      <w:r w:rsidR="009D3BCA" w:rsidRPr="007A177A">
        <w:rPr>
          <w:rFonts w:ascii="Arial" w:hAnsi="Arial" w:cs="Arial"/>
          <w:i/>
        </w:rPr>
        <w:t xml:space="preserve"> de los terraplenes, se revisarán los </w:t>
      </w:r>
      <w:r w:rsidR="009D3BCA" w:rsidRPr="007A177A">
        <w:rPr>
          <w:rFonts w:ascii="Arial" w:hAnsi="Arial" w:cs="Arial"/>
          <w:i/>
        </w:rPr>
        <w:lastRenderedPageBreak/>
        <w:t>correspondientes acarreos para establecer las cantidades realmente ejecutadas y evaluarlas de acuerdo con las normas contractuales”</w:t>
      </w:r>
      <w:r w:rsidR="009D3BCA" w:rsidRPr="007A177A">
        <w:rPr>
          <w:rStyle w:val="Refdenotaalpie"/>
          <w:rFonts w:ascii="Arial" w:hAnsi="Arial" w:cs="Arial"/>
          <w:i/>
        </w:rPr>
        <w:footnoteReference w:id="103"/>
      </w:r>
      <w:r w:rsidR="009D3BCA" w:rsidRPr="007A177A">
        <w:rPr>
          <w:rFonts w:ascii="Arial" w:hAnsi="Arial" w:cs="Arial"/>
          <w:i/>
        </w:rPr>
        <w:t xml:space="preserve">. </w:t>
      </w:r>
    </w:p>
    <w:p w14:paraId="265914AC" w14:textId="77777777" w:rsidR="009D3BCA" w:rsidRPr="007A177A" w:rsidRDefault="009D3BCA" w:rsidP="00BF333B">
      <w:pPr>
        <w:spacing w:line="360" w:lineRule="auto"/>
        <w:jc w:val="both"/>
        <w:rPr>
          <w:rFonts w:ascii="Arial" w:hAnsi="Arial" w:cs="Arial"/>
        </w:rPr>
      </w:pPr>
    </w:p>
    <w:p w14:paraId="427AC9CD" w14:textId="77777777" w:rsidR="009D3BCA" w:rsidRPr="007A177A" w:rsidRDefault="00937F5A" w:rsidP="00BF333B">
      <w:pPr>
        <w:spacing w:line="360" w:lineRule="auto"/>
        <w:jc w:val="both"/>
        <w:rPr>
          <w:rFonts w:ascii="Arial" w:hAnsi="Arial" w:cs="Arial"/>
        </w:rPr>
      </w:pPr>
      <w:r w:rsidRPr="007A177A">
        <w:rPr>
          <w:rFonts w:ascii="Arial" w:hAnsi="Arial" w:cs="Arial"/>
          <w:b/>
        </w:rPr>
        <w:t>9</w:t>
      </w:r>
      <w:r w:rsidR="00DF76F9" w:rsidRPr="007A177A">
        <w:rPr>
          <w:rFonts w:ascii="Arial" w:hAnsi="Arial" w:cs="Arial"/>
          <w:b/>
        </w:rPr>
        <w:t>.2.3.</w:t>
      </w:r>
      <w:r w:rsidR="00400C05" w:rsidRPr="007A177A">
        <w:rPr>
          <w:rFonts w:ascii="Arial" w:hAnsi="Arial" w:cs="Arial"/>
        </w:rPr>
        <w:t xml:space="preserve"> </w:t>
      </w:r>
      <w:r w:rsidR="009D3BCA" w:rsidRPr="007A177A">
        <w:rPr>
          <w:rFonts w:ascii="Arial" w:hAnsi="Arial" w:cs="Arial"/>
        </w:rPr>
        <w:t>Acta de obra final de septiembre de 1982, suscrita por los interventores y el supervisor del contrato, sin firma por parte del contratista. En esta acta se detallan las distintas partidas de pago discriminadas por cantidades y precios unitarios, con sus valores originales, valores de cantidades modificadas y los correspondientes valores en pesos por concepto de obra</w:t>
      </w:r>
      <w:r w:rsidR="00DA6F34" w:rsidRPr="007A177A">
        <w:rPr>
          <w:rFonts w:ascii="Arial" w:hAnsi="Arial" w:cs="Arial"/>
        </w:rPr>
        <w:t>s</w:t>
      </w:r>
      <w:r w:rsidR="009D3BCA" w:rsidRPr="007A177A">
        <w:rPr>
          <w:rFonts w:ascii="Arial" w:hAnsi="Arial" w:cs="Arial"/>
        </w:rPr>
        <w:t xml:space="preserve"> ejecutadas. En la columna de modificaciones se aprecian unas cantidades con signo positivo y otras con signo negativo</w:t>
      </w:r>
      <w:r w:rsidR="00AD45F4" w:rsidRPr="007A177A">
        <w:rPr>
          <w:rFonts w:ascii="Arial" w:hAnsi="Arial" w:cs="Arial"/>
        </w:rPr>
        <w:t>,</w:t>
      </w:r>
      <w:r w:rsidR="00400C05" w:rsidRPr="007A177A">
        <w:rPr>
          <w:rFonts w:ascii="Arial" w:hAnsi="Arial" w:cs="Arial"/>
        </w:rPr>
        <w:t xml:space="preserve"> lo cual evidencia los ajustes realizados de acuerdo con las cantidades ejecutadas</w:t>
      </w:r>
      <w:r w:rsidR="009D3BCA" w:rsidRPr="007A177A">
        <w:rPr>
          <w:rFonts w:ascii="Arial" w:hAnsi="Arial" w:cs="Arial"/>
        </w:rPr>
        <w:t xml:space="preserve">. De </w:t>
      </w:r>
      <w:r w:rsidR="00AA1A1F" w:rsidRPr="007A177A">
        <w:rPr>
          <w:rFonts w:ascii="Arial" w:hAnsi="Arial" w:cs="Arial"/>
        </w:rPr>
        <w:t xml:space="preserve">conformidad </w:t>
      </w:r>
      <w:r w:rsidR="009D3BCA" w:rsidRPr="007A177A">
        <w:rPr>
          <w:rFonts w:ascii="Arial" w:hAnsi="Arial" w:cs="Arial"/>
        </w:rPr>
        <w:t>con esta acta</w:t>
      </w:r>
      <w:r w:rsidR="00DA6F34" w:rsidRPr="007A177A">
        <w:rPr>
          <w:rFonts w:ascii="Arial" w:hAnsi="Arial" w:cs="Arial"/>
        </w:rPr>
        <w:t>,</w:t>
      </w:r>
      <w:r w:rsidR="009D3BCA" w:rsidRPr="007A177A">
        <w:rPr>
          <w:rFonts w:ascii="Arial" w:hAnsi="Arial" w:cs="Arial"/>
        </w:rPr>
        <w:t xml:space="preserve"> el valor final de ejecución arroja un monto negativo de $16’415.492</w:t>
      </w:r>
      <w:r w:rsidR="009D3BCA" w:rsidRPr="007A177A">
        <w:rPr>
          <w:rStyle w:val="Refdenotaalpie"/>
          <w:rFonts w:ascii="Arial" w:hAnsi="Arial" w:cs="Arial"/>
        </w:rPr>
        <w:footnoteReference w:id="104"/>
      </w:r>
      <w:r w:rsidR="00AA1A1F" w:rsidRPr="007A177A">
        <w:rPr>
          <w:rFonts w:ascii="Arial" w:hAnsi="Arial" w:cs="Arial"/>
        </w:rPr>
        <w:t>, por menores cantidades</w:t>
      </w:r>
      <w:r w:rsidR="009D3BCA" w:rsidRPr="007A177A">
        <w:rPr>
          <w:rFonts w:ascii="Arial" w:hAnsi="Arial" w:cs="Arial"/>
        </w:rPr>
        <w:t xml:space="preserve">. </w:t>
      </w:r>
    </w:p>
    <w:p w14:paraId="3E71ABBF" w14:textId="77777777" w:rsidR="009D3BCA" w:rsidRPr="007A177A" w:rsidRDefault="009D3BCA" w:rsidP="00BF333B">
      <w:pPr>
        <w:spacing w:line="360" w:lineRule="auto"/>
        <w:jc w:val="both"/>
        <w:rPr>
          <w:rFonts w:ascii="Arial" w:hAnsi="Arial" w:cs="Arial"/>
        </w:rPr>
      </w:pPr>
    </w:p>
    <w:p w14:paraId="29D6A185" w14:textId="77777777" w:rsidR="009D3BCA" w:rsidRPr="007A177A" w:rsidRDefault="00937F5A" w:rsidP="00BF333B">
      <w:pPr>
        <w:spacing w:line="360" w:lineRule="auto"/>
        <w:jc w:val="both"/>
        <w:rPr>
          <w:rFonts w:ascii="Arial" w:hAnsi="Arial" w:cs="Arial"/>
        </w:rPr>
      </w:pPr>
      <w:r w:rsidRPr="007A177A">
        <w:rPr>
          <w:rFonts w:ascii="Arial" w:hAnsi="Arial" w:cs="Arial"/>
          <w:b/>
        </w:rPr>
        <w:t>9</w:t>
      </w:r>
      <w:r w:rsidR="00DF76F9" w:rsidRPr="007A177A">
        <w:rPr>
          <w:rFonts w:ascii="Arial" w:hAnsi="Arial" w:cs="Arial"/>
          <w:b/>
        </w:rPr>
        <w:t xml:space="preserve">.2.4. </w:t>
      </w:r>
      <w:r w:rsidR="009D3BCA" w:rsidRPr="007A177A">
        <w:rPr>
          <w:rFonts w:ascii="Arial" w:hAnsi="Arial" w:cs="Arial"/>
        </w:rPr>
        <w:t xml:space="preserve">Acta de recibo definitivo de obra del contrato 358 de 1976, levantada el 9 de marzo de 1983, en la cual se describió de manera general la clase de obra y se dejaron las siguientes constancias </w:t>
      </w:r>
      <w:r w:rsidR="00497F3B" w:rsidRPr="007A177A">
        <w:rPr>
          <w:rFonts w:ascii="Arial" w:hAnsi="Arial" w:cs="Arial"/>
        </w:rPr>
        <w:t>de</w:t>
      </w:r>
      <w:r w:rsidR="00AD45F4" w:rsidRPr="007A177A">
        <w:rPr>
          <w:rFonts w:ascii="Arial" w:hAnsi="Arial" w:cs="Arial"/>
        </w:rPr>
        <w:t xml:space="preserve"> su</w:t>
      </w:r>
      <w:r w:rsidR="00497F3B" w:rsidRPr="007A177A">
        <w:rPr>
          <w:rFonts w:ascii="Arial" w:hAnsi="Arial" w:cs="Arial"/>
        </w:rPr>
        <w:t xml:space="preserve"> abandono, así </w:t>
      </w:r>
      <w:r w:rsidR="009D3BCA" w:rsidRPr="007A177A">
        <w:rPr>
          <w:rFonts w:ascii="Arial" w:hAnsi="Arial" w:cs="Arial"/>
        </w:rPr>
        <w:t xml:space="preserve">(se transcribe </w:t>
      </w:r>
      <w:r w:rsidR="00497F3B" w:rsidRPr="007A177A">
        <w:rPr>
          <w:rFonts w:ascii="Arial" w:hAnsi="Arial" w:cs="Arial"/>
        </w:rPr>
        <w:t xml:space="preserve">de forma </w:t>
      </w:r>
      <w:r w:rsidR="009D3BCA" w:rsidRPr="007A177A">
        <w:rPr>
          <w:rFonts w:ascii="Arial" w:hAnsi="Arial" w:cs="Arial"/>
        </w:rPr>
        <w:t>literal):</w:t>
      </w:r>
    </w:p>
    <w:p w14:paraId="29FF2AB5" w14:textId="77777777" w:rsidR="009D3BCA" w:rsidRPr="007A177A" w:rsidRDefault="009D3BCA" w:rsidP="00BF333B">
      <w:pPr>
        <w:spacing w:line="360" w:lineRule="auto"/>
        <w:jc w:val="both"/>
        <w:rPr>
          <w:rFonts w:ascii="Arial" w:hAnsi="Arial" w:cs="Arial"/>
        </w:rPr>
      </w:pPr>
    </w:p>
    <w:p w14:paraId="3D162EDB" w14:textId="77777777" w:rsidR="009D3BCA" w:rsidRPr="007A177A" w:rsidRDefault="009D3BCA" w:rsidP="00BF333B">
      <w:pPr>
        <w:ind w:left="567" w:right="902"/>
        <w:jc w:val="both"/>
        <w:rPr>
          <w:rFonts w:ascii="Arial" w:hAnsi="Arial" w:cs="Arial"/>
          <w:i/>
        </w:rPr>
      </w:pPr>
      <w:r w:rsidRPr="007A177A">
        <w:rPr>
          <w:rFonts w:ascii="Arial" w:hAnsi="Arial" w:cs="Arial"/>
          <w:i/>
        </w:rPr>
        <w:t>“Es importante anotar que desde el mes de abril de 1981, fecha en la cual se suspendieron los trabajos, la obra se encuentra en total estado de abandono.</w:t>
      </w:r>
    </w:p>
    <w:p w14:paraId="17105DE1" w14:textId="77777777" w:rsidR="009D3BCA" w:rsidRPr="007A177A" w:rsidRDefault="009D3BCA" w:rsidP="00BF333B">
      <w:pPr>
        <w:ind w:left="567" w:right="902"/>
        <w:jc w:val="both"/>
        <w:rPr>
          <w:rFonts w:ascii="Arial" w:hAnsi="Arial" w:cs="Arial"/>
          <w:i/>
        </w:rPr>
      </w:pPr>
    </w:p>
    <w:p w14:paraId="69EE3DCD" w14:textId="77777777" w:rsidR="009D3BCA" w:rsidRPr="007A177A" w:rsidRDefault="009D3BCA" w:rsidP="00BF333B">
      <w:pPr>
        <w:ind w:left="567" w:right="902"/>
        <w:jc w:val="both"/>
        <w:rPr>
          <w:rFonts w:ascii="Arial" w:hAnsi="Arial" w:cs="Arial"/>
          <w:i/>
        </w:rPr>
      </w:pPr>
      <w:r w:rsidRPr="007A177A">
        <w:rPr>
          <w:rFonts w:ascii="Arial" w:hAnsi="Arial" w:cs="Arial"/>
          <w:i/>
        </w:rPr>
        <w:t>“Los cortes efectuados para dar paso a las vías muestran derrumbes que impiden el paso de vehículos</w:t>
      </w:r>
      <w:r w:rsidR="000B2B28" w:rsidRPr="007A177A">
        <w:rPr>
          <w:rFonts w:ascii="Arial" w:hAnsi="Arial" w:cs="Arial"/>
          <w:i/>
        </w:rPr>
        <w:t>.</w:t>
      </w:r>
    </w:p>
    <w:p w14:paraId="73C5E319" w14:textId="77777777" w:rsidR="009D3BCA" w:rsidRPr="007A177A" w:rsidRDefault="009D3BCA" w:rsidP="00BF333B">
      <w:pPr>
        <w:ind w:left="567" w:right="902"/>
        <w:jc w:val="both"/>
        <w:rPr>
          <w:rFonts w:ascii="Arial" w:hAnsi="Arial" w:cs="Arial"/>
          <w:i/>
        </w:rPr>
      </w:pPr>
    </w:p>
    <w:p w14:paraId="09A61911" w14:textId="77777777" w:rsidR="009D3BCA" w:rsidRPr="007A177A" w:rsidRDefault="009D3BCA" w:rsidP="00BF333B">
      <w:pPr>
        <w:ind w:left="567" w:right="902"/>
        <w:jc w:val="both"/>
        <w:rPr>
          <w:rFonts w:ascii="Arial" w:hAnsi="Arial" w:cs="Arial"/>
          <w:i/>
        </w:rPr>
      </w:pPr>
      <w:r w:rsidRPr="007A177A">
        <w:rPr>
          <w:rFonts w:ascii="Arial" w:hAnsi="Arial" w:cs="Arial"/>
          <w:i/>
        </w:rPr>
        <w:t xml:space="preserve">“Los terraplenes muestran a su vez erosión pronunciada, las obras de arte, algunas inconclusas y aún las terminadas, presentan señales de deterioro y sedimentación de materiales dentro de ellas. </w:t>
      </w:r>
    </w:p>
    <w:p w14:paraId="441C52B4" w14:textId="77777777" w:rsidR="009D3BCA" w:rsidRPr="007A177A" w:rsidRDefault="009D3BCA" w:rsidP="00BF333B">
      <w:pPr>
        <w:ind w:left="567" w:right="902"/>
        <w:jc w:val="both"/>
        <w:rPr>
          <w:rFonts w:ascii="Arial" w:hAnsi="Arial" w:cs="Arial"/>
          <w:i/>
        </w:rPr>
      </w:pPr>
    </w:p>
    <w:p w14:paraId="0D9D9FB5" w14:textId="77777777" w:rsidR="009D3BCA" w:rsidRPr="007A177A" w:rsidRDefault="009D3BCA" w:rsidP="00BF333B">
      <w:pPr>
        <w:ind w:left="567" w:right="902"/>
        <w:jc w:val="both"/>
        <w:rPr>
          <w:rFonts w:ascii="Arial" w:hAnsi="Arial" w:cs="Arial"/>
          <w:i/>
        </w:rPr>
      </w:pPr>
      <w:r w:rsidRPr="007A177A">
        <w:rPr>
          <w:rFonts w:ascii="Arial" w:hAnsi="Arial" w:cs="Arial"/>
          <w:i/>
        </w:rPr>
        <w:t>“La calzada se encuentra cubierta parcialmente por una vegetación raquítica y los propietarios de las tierras aledañas a la vía han cerrado con cercas el paso por la vía para definir los límites de las tierras y corrales”</w:t>
      </w:r>
      <w:r w:rsidRPr="007A177A">
        <w:rPr>
          <w:rStyle w:val="Refdenotaalpie"/>
          <w:rFonts w:ascii="Arial" w:hAnsi="Arial" w:cs="Arial"/>
          <w:i/>
        </w:rPr>
        <w:footnoteReference w:id="105"/>
      </w:r>
      <w:r w:rsidRPr="007A177A">
        <w:rPr>
          <w:rFonts w:ascii="Arial" w:hAnsi="Arial" w:cs="Arial"/>
          <w:i/>
        </w:rPr>
        <w:t>.</w:t>
      </w:r>
    </w:p>
    <w:p w14:paraId="10C23598" w14:textId="77777777" w:rsidR="009D3BCA" w:rsidRPr="007A177A" w:rsidRDefault="009D3BCA" w:rsidP="00BF333B">
      <w:pPr>
        <w:spacing w:line="360" w:lineRule="auto"/>
        <w:jc w:val="both"/>
        <w:rPr>
          <w:rFonts w:ascii="Arial" w:hAnsi="Arial" w:cs="Arial"/>
        </w:rPr>
      </w:pPr>
    </w:p>
    <w:p w14:paraId="058EBC99" w14:textId="77777777" w:rsidR="009D3BCA" w:rsidRPr="007A177A" w:rsidRDefault="009D3BCA" w:rsidP="00BF333B">
      <w:pPr>
        <w:spacing w:line="360" w:lineRule="auto"/>
        <w:jc w:val="both"/>
        <w:rPr>
          <w:rFonts w:ascii="Arial" w:hAnsi="Arial" w:cs="Arial"/>
        </w:rPr>
      </w:pPr>
      <w:r w:rsidRPr="007A177A">
        <w:rPr>
          <w:rFonts w:ascii="Arial" w:hAnsi="Arial" w:cs="Arial"/>
        </w:rPr>
        <w:t xml:space="preserve">Es importante aclarar que el </w:t>
      </w:r>
      <w:r w:rsidR="002E2E7A" w:rsidRPr="007A177A">
        <w:rPr>
          <w:rFonts w:ascii="Arial" w:hAnsi="Arial" w:cs="Arial"/>
        </w:rPr>
        <w:t>a</w:t>
      </w:r>
      <w:r w:rsidRPr="007A177A">
        <w:rPr>
          <w:rFonts w:ascii="Arial" w:hAnsi="Arial" w:cs="Arial"/>
        </w:rPr>
        <w:t xml:space="preserve">cta se encuentra suscrita por Eugenio Maza, subdirector del distrito No. 3, Manuel Zapatero, ingeniero supervisor, Humberto Viana representante de la firma interventora Senior &amp; Viana, Régulo </w:t>
      </w:r>
      <w:proofErr w:type="spellStart"/>
      <w:r w:rsidRPr="007A177A">
        <w:rPr>
          <w:rFonts w:ascii="Arial" w:hAnsi="Arial" w:cs="Arial"/>
        </w:rPr>
        <w:t>Massi</w:t>
      </w:r>
      <w:proofErr w:type="spellEnd"/>
      <w:r w:rsidR="00AE5B05" w:rsidRPr="007A177A">
        <w:rPr>
          <w:rFonts w:ascii="Arial" w:hAnsi="Arial" w:cs="Arial"/>
        </w:rPr>
        <w:t>,</w:t>
      </w:r>
      <w:r w:rsidRPr="007A177A">
        <w:rPr>
          <w:rFonts w:ascii="Arial" w:hAnsi="Arial" w:cs="Arial"/>
        </w:rPr>
        <w:t xml:space="preserve"> interventor residente de la mis</w:t>
      </w:r>
      <w:r w:rsidR="007A1DA9" w:rsidRPr="007A177A">
        <w:rPr>
          <w:rFonts w:ascii="Arial" w:hAnsi="Arial" w:cs="Arial"/>
        </w:rPr>
        <w:t>m</w:t>
      </w:r>
      <w:r w:rsidRPr="007A177A">
        <w:rPr>
          <w:rFonts w:ascii="Arial" w:hAnsi="Arial" w:cs="Arial"/>
        </w:rPr>
        <w:t>a firma</w:t>
      </w:r>
      <w:r w:rsidR="00AE5B05" w:rsidRPr="007A177A">
        <w:rPr>
          <w:rFonts w:ascii="Arial" w:hAnsi="Arial" w:cs="Arial"/>
        </w:rPr>
        <w:t>,</w:t>
      </w:r>
      <w:r w:rsidR="00497F3B" w:rsidRPr="007A177A">
        <w:rPr>
          <w:rFonts w:ascii="Arial" w:hAnsi="Arial" w:cs="Arial"/>
        </w:rPr>
        <w:t xml:space="preserve"> y </w:t>
      </w:r>
      <w:r w:rsidRPr="007A177A">
        <w:rPr>
          <w:rFonts w:ascii="Arial" w:hAnsi="Arial" w:cs="Arial"/>
        </w:rPr>
        <w:t xml:space="preserve">Manuel López, </w:t>
      </w:r>
      <w:r w:rsidR="00AE5B05" w:rsidRPr="007A177A">
        <w:rPr>
          <w:rFonts w:ascii="Arial" w:hAnsi="Arial" w:cs="Arial"/>
        </w:rPr>
        <w:t>a</w:t>
      </w:r>
      <w:r w:rsidRPr="007A177A">
        <w:rPr>
          <w:rFonts w:ascii="Arial" w:hAnsi="Arial" w:cs="Arial"/>
        </w:rPr>
        <w:t xml:space="preserve">uditor ante el </w:t>
      </w:r>
      <w:r w:rsidR="00AE5B05" w:rsidRPr="007A177A">
        <w:rPr>
          <w:rFonts w:ascii="Arial" w:hAnsi="Arial" w:cs="Arial"/>
        </w:rPr>
        <w:t>d</w:t>
      </w:r>
      <w:r w:rsidRPr="007A177A">
        <w:rPr>
          <w:rFonts w:ascii="Arial" w:hAnsi="Arial" w:cs="Arial"/>
        </w:rPr>
        <w:t xml:space="preserve">istrito No. 3. El espacio de la firma de </w:t>
      </w:r>
      <w:r w:rsidR="00AE5B05" w:rsidRPr="007A177A">
        <w:rPr>
          <w:rFonts w:ascii="Arial" w:hAnsi="Arial" w:cs="Arial"/>
        </w:rPr>
        <w:t>É</w:t>
      </w:r>
      <w:r w:rsidRPr="007A177A">
        <w:rPr>
          <w:rFonts w:ascii="Arial" w:hAnsi="Arial" w:cs="Arial"/>
        </w:rPr>
        <w:t xml:space="preserve">dgar Botero, en representación de las contratistas, se encuentra en blanco. </w:t>
      </w:r>
    </w:p>
    <w:p w14:paraId="4FE5EBC9" w14:textId="77777777" w:rsidR="009D3BCA" w:rsidRPr="007A177A" w:rsidRDefault="009D3BCA" w:rsidP="00BF333B">
      <w:pPr>
        <w:spacing w:line="360" w:lineRule="auto"/>
        <w:jc w:val="both"/>
        <w:rPr>
          <w:rFonts w:ascii="Arial" w:hAnsi="Arial" w:cs="Arial"/>
        </w:rPr>
      </w:pPr>
    </w:p>
    <w:p w14:paraId="42934C52" w14:textId="77777777" w:rsidR="005B290B" w:rsidRPr="007A177A" w:rsidRDefault="0007037E" w:rsidP="00BF333B">
      <w:pPr>
        <w:spacing w:line="360" w:lineRule="auto"/>
        <w:jc w:val="both"/>
        <w:rPr>
          <w:rFonts w:ascii="Arial" w:hAnsi="Arial" w:cs="Arial"/>
        </w:rPr>
      </w:pPr>
      <w:r w:rsidRPr="007A177A">
        <w:rPr>
          <w:rFonts w:ascii="Arial" w:hAnsi="Arial" w:cs="Arial"/>
        </w:rPr>
        <w:t>La Sala da credibilidad a esta prueba documental</w:t>
      </w:r>
      <w:r w:rsidR="000B2B28" w:rsidRPr="007A177A">
        <w:rPr>
          <w:rFonts w:ascii="Arial" w:hAnsi="Arial" w:cs="Arial"/>
        </w:rPr>
        <w:t>, que no fue objeto de análisis</w:t>
      </w:r>
      <w:r w:rsidR="00770A2D" w:rsidRPr="007A177A">
        <w:rPr>
          <w:rFonts w:ascii="Arial" w:hAnsi="Arial" w:cs="Arial"/>
        </w:rPr>
        <w:t xml:space="preserve"> por el Tribunal </w:t>
      </w:r>
      <w:r w:rsidR="00770A2D" w:rsidRPr="007A177A">
        <w:rPr>
          <w:rFonts w:ascii="Arial" w:hAnsi="Arial" w:cs="Arial"/>
          <w:i/>
          <w:iCs/>
        </w:rPr>
        <w:t>a quo</w:t>
      </w:r>
      <w:r w:rsidR="000B2B28" w:rsidRPr="007A177A">
        <w:rPr>
          <w:rFonts w:ascii="Arial" w:hAnsi="Arial" w:cs="Arial"/>
        </w:rPr>
        <w:t>, la cual permite evidenciar que</w:t>
      </w:r>
      <w:r w:rsidR="00982E32" w:rsidRPr="007A177A">
        <w:rPr>
          <w:rFonts w:ascii="Arial" w:hAnsi="Arial" w:cs="Arial"/>
        </w:rPr>
        <w:t xml:space="preserve"> el</w:t>
      </w:r>
      <w:r w:rsidR="000B2B28" w:rsidRPr="007A177A">
        <w:rPr>
          <w:rFonts w:ascii="Arial" w:hAnsi="Arial" w:cs="Arial"/>
        </w:rPr>
        <w:t xml:space="preserve"> </w:t>
      </w:r>
      <w:r w:rsidRPr="007A177A">
        <w:rPr>
          <w:rFonts w:ascii="Arial" w:hAnsi="Arial" w:cs="Arial"/>
        </w:rPr>
        <w:t>contratista no completó el 100% de ejecución dentro del plazo previsto y, por el contrario</w:t>
      </w:r>
      <w:r w:rsidR="00770A2D" w:rsidRPr="007A177A">
        <w:rPr>
          <w:rFonts w:ascii="Arial" w:hAnsi="Arial" w:cs="Arial"/>
        </w:rPr>
        <w:t>,</w:t>
      </w:r>
      <w:r w:rsidRPr="007A177A">
        <w:rPr>
          <w:rFonts w:ascii="Arial" w:hAnsi="Arial" w:cs="Arial"/>
        </w:rPr>
        <w:t xml:space="preserve"> </w:t>
      </w:r>
      <w:r w:rsidR="000B2B28" w:rsidRPr="007A177A">
        <w:rPr>
          <w:rFonts w:ascii="Arial" w:hAnsi="Arial" w:cs="Arial"/>
        </w:rPr>
        <w:t xml:space="preserve">dejó en </w:t>
      </w:r>
      <w:r w:rsidR="005B290B" w:rsidRPr="007A177A">
        <w:rPr>
          <w:rFonts w:ascii="Arial" w:hAnsi="Arial" w:cs="Arial"/>
        </w:rPr>
        <w:t>estado de abandono la</w:t>
      </w:r>
      <w:r w:rsidR="00C25B3C" w:rsidRPr="007A177A">
        <w:rPr>
          <w:rFonts w:ascii="Arial" w:hAnsi="Arial" w:cs="Arial"/>
        </w:rPr>
        <w:t>s</w:t>
      </w:r>
      <w:r w:rsidR="005B290B" w:rsidRPr="007A177A">
        <w:rPr>
          <w:rFonts w:ascii="Arial" w:hAnsi="Arial" w:cs="Arial"/>
        </w:rPr>
        <w:t xml:space="preserve"> obra</w:t>
      </w:r>
      <w:r w:rsidR="000B2B28" w:rsidRPr="007A177A">
        <w:rPr>
          <w:rFonts w:ascii="Arial" w:hAnsi="Arial" w:cs="Arial"/>
        </w:rPr>
        <w:t>s</w:t>
      </w:r>
      <w:r w:rsidR="00DD5C13" w:rsidRPr="007A177A">
        <w:rPr>
          <w:rFonts w:ascii="Arial" w:hAnsi="Arial" w:cs="Arial"/>
        </w:rPr>
        <w:t>,</w:t>
      </w:r>
      <w:r w:rsidR="005B290B" w:rsidRPr="007A177A">
        <w:rPr>
          <w:rFonts w:ascii="Arial" w:hAnsi="Arial" w:cs="Arial"/>
        </w:rPr>
        <w:t xml:space="preserve"> unos meses antes del vencimiento del plazo</w:t>
      </w:r>
      <w:r w:rsidR="00770A2D" w:rsidRPr="007A177A">
        <w:rPr>
          <w:rFonts w:ascii="Arial" w:hAnsi="Arial" w:cs="Arial"/>
        </w:rPr>
        <w:t xml:space="preserve"> contractual</w:t>
      </w:r>
      <w:r w:rsidR="005B290B" w:rsidRPr="007A177A">
        <w:rPr>
          <w:rFonts w:ascii="Arial" w:hAnsi="Arial" w:cs="Arial"/>
        </w:rPr>
        <w:t>.</w:t>
      </w:r>
    </w:p>
    <w:p w14:paraId="27E3B883" w14:textId="77777777" w:rsidR="0007037E" w:rsidRPr="007A177A" w:rsidRDefault="0007037E" w:rsidP="00BF333B">
      <w:pPr>
        <w:spacing w:line="360" w:lineRule="auto"/>
        <w:jc w:val="both"/>
        <w:rPr>
          <w:rFonts w:ascii="Arial" w:hAnsi="Arial" w:cs="Arial"/>
        </w:rPr>
      </w:pPr>
    </w:p>
    <w:p w14:paraId="662A4172" w14:textId="77777777" w:rsidR="009D3BCA" w:rsidRPr="007A177A" w:rsidRDefault="00937F5A" w:rsidP="00BF333B">
      <w:pPr>
        <w:spacing w:line="360" w:lineRule="auto"/>
        <w:jc w:val="both"/>
        <w:rPr>
          <w:rFonts w:ascii="Arial" w:hAnsi="Arial" w:cs="Arial"/>
        </w:rPr>
      </w:pPr>
      <w:r w:rsidRPr="007A177A">
        <w:rPr>
          <w:rFonts w:ascii="Arial" w:hAnsi="Arial" w:cs="Arial"/>
          <w:b/>
        </w:rPr>
        <w:t>9</w:t>
      </w:r>
      <w:r w:rsidR="00DF76F9" w:rsidRPr="007A177A">
        <w:rPr>
          <w:rFonts w:ascii="Arial" w:hAnsi="Arial" w:cs="Arial"/>
          <w:b/>
        </w:rPr>
        <w:t>.2.5.</w:t>
      </w:r>
      <w:r w:rsidR="00497F3B" w:rsidRPr="007A177A">
        <w:rPr>
          <w:rFonts w:ascii="Arial" w:hAnsi="Arial" w:cs="Arial"/>
        </w:rPr>
        <w:t xml:space="preserve"> </w:t>
      </w:r>
      <w:r w:rsidR="005B290B" w:rsidRPr="007A177A">
        <w:rPr>
          <w:rFonts w:ascii="Arial" w:hAnsi="Arial" w:cs="Arial"/>
        </w:rPr>
        <w:t xml:space="preserve">Consta en el expediente la </w:t>
      </w:r>
      <w:r w:rsidR="00061F4C" w:rsidRPr="007A177A">
        <w:rPr>
          <w:rFonts w:ascii="Arial" w:hAnsi="Arial" w:cs="Arial"/>
        </w:rPr>
        <w:t>c</w:t>
      </w:r>
      <w:r w:rsidR="009D3BCA" w:rsidRPr="007A177A">
        <w:rPr>
          <w:rFonts w:ascii="Arial" w:hAnsi="Arial" w:cs="Arial"/>
        </w:rPr>
        <w:t xml:space="preserve">ertificación de pagos del contrato No. 358/76 y sus adicionales, con referencia </w:t>
      </w:r>
      <w:r w:rsidR="000B2B28" w:rsidRPr="007A177A">
        <w:rPr>
          <w:rFonts w:ascii="Arial" w:hAnsi="Arial" w:cs="Arial"/>
        </w:rPr>
        <w:t>“</w:t>
      </w:r>
      <w:r w:rsidR="009D3BCA" w:rsidRPr="007A177A">
        <w:rPr>
          <w:rFonts w:ascii="Arial" w:hAnsi="Arial" w:cs="Arial"/>
          <w:i/>
          <w:iCs/>
        </w:rPr>
        <w:t>Memorando LR-12454-17-VI-83 (radicación # 201-20-VI-83</w:t>
      </w:r>
      <w:r w:rsidR="000B2B28" w:rsidRPr="007A177A">
        <w:rPr>
          <w:rFonts w:ascii="Arial" w:hAnsi="Arial" w:cs="Arial"/>
          <w:i/>
          <w:iCs/>
        </w:rPr>
        <w:t>”</w:t>
      </w:r>
      <w:r w:rsidR="009D3BCA" w:rsidRPr="007A177A">
        <w:rPr>
          <w:rFonts w:ascii="Arial" w:hAnsi="Arial" w:cs="Arial"/>
        </w:rPr>
        <w:t xml:space="preserve"> [20 de junio de 1983]) en cuya parte final, después de los renglones correspondientes a los valores de anticipo, amortización y de cada una de las obligaciones pagadas, actas No. 1 a No. 32, se indicó (se extracta en forma literal</w:t>
      </w:r>
      <w:r w:rsidR="009D3BCA" w:rsidRPr="007A177A">
        <w:rPr>
          <w:rStyle w:val="Refdenotaalpie"/>
          <w:rFonts w:ascii="Arial" w:hAnsi="Arial" w:cs="Arial"/>
        </w:rPr>
        <w:footnoteReference w:id="106"/>
      </w:r>
      <w:r w:rsidR="009D3BCA" w:rsidRPr="007A177A">
        <w:rPr>
          <w:rFonts w:ascii="Arial" w:hAnsi="Arial" w:cs="Arial"/>
        </w:rPr>
        <w:t xml:space="preserve">) </w:t>
      </w:r>
    </w:p>
    <w:p w14:paraId="4FB6FE7B" w14:textId="77777777" w:rsidR="009D3BCA" w:rsidRPr="007A177A" w:rsidRDefault="009D3BCA" w:rsidP="00BF333B">
      <w:pPr>
        <w:spacing w:line="360" w:lineRule="auto"/>
        <w:jc w:val="both"/>
        <w:rPr>
          <w:rFonts w:ascii="Arial" w:hAnsi="Arial" w:cs="Arial"/>
        </w:rPr>
      </w:pPr>
    </w:p>
    <w:tbl>
      <w:tblPr>
        <w:tblW w:w="747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3260"/>
      </w:tblGrid>
      <w:tr w:rsidR="009D3BCA" w:rsidRPr="007A177A" w14:paraId="38FBAA30" w14:textId="77777777" w:rsidTr="0023219D">
        <w:tc>
          <w:tcPr>
            <w:tcW w:w="4219" w:type="dxa"/>
            <w:shd w:val="clear" w:color="auto" w:fill="auto"/>
          </w:tcPr>
          <w:p w14:paraId="3A4D9C29" w14:textId="77777777" w:rsidR="009D3BCA" w:rsidRPr="007A177A" w:rsidRDefault="009D3BCA" w:rsidP="00BF333B">
            <w:pPr>
              <w:spacing w:line="360" w:lineRule="auto"/>
              <w:ind w:right="902"/>
              <w:jc w:val="both"/>
              <w:rPr>
                <w:rFonts w:ascii="Arial" w:hAnsi="Arial" w:cs="Arial"/>
                <w:i/>
                <w:iCs/>
              </w:rPr>
            </w:pPr>
            <w:r w:rsidRPr="007A177A">
              <w:rPr>
                <w:rFonts w:ascii="Arial" w:hAnsi="Arial" w:cs="Arial"/>
                <w:i/>
                <w:iCs/>
              </w:rPr>
              <w:t>“Valor Obra</w:t>
            </w:r>
          </w:p>
        </w:tc>
        <w:tc>
          <w:tcPr>
            <w:tcW w:w="3260" w:type="dxa"/>
            <w:shd w:val="clear" w:color="auto" w:fill="auto"/>
          </w:tcPr>
          <w:p w14:paraId="4E6CA4D0" w14:textId="77777777" w:rsidR="009D3BCA" w:rsidRPr="007A177A" w:rsidRDefault="009D3BCA" w:rsidP="00BF333B">
            <w:pPr>
              <w:spacing w:line="360" w:lineRule="auto"/>
              <w:ind w:right="902"/>
              <w:jc w:val="both"/>
              <w:rPr>
                <w:rFonts w:ascii="Arial" w:hAnsi="Arial" w:cs="Arial"/>
                <w:i/>
                <w:iCs/>
              </w:rPr>
            </w:pPr>
            <w:r w:rsidRPr="007A177A">
              <w:rPr>
                <w:rFonts w:ascii="Arial" w:hAnsi="Arial" w:cs="Arial"/>
                <w:i/>
                <w:iCs/>
              </w:rPr>
              <w:t>Valor ajustes</w:t>
            </w:r>
          </w:p>
        </w:tc>
      </w:tr>
      <w:tr w:rsidR="009D3BCA" w:rsidRPr="007A177A" w14:paraId="299AE009" w14:textId="77777777" w:rsidTr="0023219D">
        <w:tc>
          <w:tcPr>
            <w:tcW w:w="4219" w:type="dxa"/>
            <w:shd w:val="clear" w:color="auto" w:fill="auto"/>
          </w:tcPr>
          <w:p w14:paraId="29BCB91F" w14:textId="77777777" w:rsidR="009D3BCA" w:rsidRPr="007A177A" w:rsidRDefault="009D3BCA" w:rsidP="00BF333B">
            <w:pPr>
              <w:spacing w:line="360" w:lineRule="auto"/>
              <w:ind w:right="902"/>
              <w:jc w:val="both"/>
              <w:rPr>
                <w:rFonts w:ascii="Arial" w:hAnsi="Arial" w:cs="Arial"/>
                <w:i/>
                <w:iCs/>
              </w:rPr>
            </w:pPr>
            <w:r w:rsidRPr="007A177A">
              <w:rPr>
                <w:rFonts w:ascii="Arial" w:hAnsi="Arial" w:cs="Arial"/>
                <w:i/>
                <w:iCs/>
              </w:rPr>
              <w:t>“$57’900.950,90</w:t>
            </w:r>
          </w:p>
        </w:tc>
        <w:tc>
          <w:tcPr>
            <w:tcW w:w="3260" w:type="dxa"/>
            <w:shd w:val="clear" w:color="auto" w:fill="auto"/>
          </w:tcPr>
          <w:p w14:paraId="4816B141" w14:textId="77777777" w:rsidR="009D3BCA" w:rsidRPr="007A177A" w:rsidRDefault="009D3BCA" w:rsidP="00BF333B">
            <w:pPr>
              <w:spacing w:line="360" w:lineRule="auto"/>
              <w:ind w:right="902"/>
              <w:jc w:val="both"/>
              <w:rPr>
                <w:rFonts w:ascii="Arial" w:hAnsi="Arial" w:cs="Arial"/>
                <w:i/>
                <w:iCs/>
              </w:rPr>
            </w:pPr>
            <w:r w:rsidRPr="007A177A">
              <w:rPr>
                <w:rFonts w:ascii="Arial" w:hAnsi="Arial" w:cs="Arial"/>
                <w:i/>
                <w:iCs/>
              </w:rPr>
              <w:t>$71’026.122,96</w:t>
            </w:r>
          </w:p>
        </w:tc>
      </w:tr>
    </w:tbl>
    <w:p w14:paraId="35916F72" w14:textId="77777777" w:rsidR="009D3BCA" w:rsidRPr="007A177A" w:rsidRDefault="009D3BCA" w:rsidP="00BF333B">
      <w:pPr>
        <w:spacing w:line="360" w:lineRule="auto"/>
        <w:ind w:left="567" w:right="902"/>
        <w:jc w:val="both"/>
        <w:rPr>
          <w:rFonts w:ascii="Arial" w:hAnsi="Arial" w:cs="Arial"/>
        </w:rPr>
      </w:pPr>
    </w:p>
    <w:p w14:paraId="276D2868" w14:textId="77777777" w:rsidR="009D3BCA" w:rsidRPr="007A177A" w:rsidRDefault="009D3BCA" w:rsidP="00BF333B">
      <w:pPr>
        <w:spacing w:line="360" w:lineRule="auto"/>
        <w:ind w:left="567" w:right="902"/>
        <w:jc w:val="both"/>
        <w:rPr>
          <w:rFonts w:ascii="Arial" w:hAnsi="Arial" w:cs="Arial"/>
        </w:rPr>
      </w:pPr>
      <w:r w:rsidRPr="007A177A">
        <w:rPr>
          <w:rFonts w:ascii="Arial" w:hAnsi="Arial" w:cs="Arial"/>
        </w:rPr>
        <w:t xml:space="preserve">“(…) </w:t>
      </w:r>
    </w:p>
    <w:p w14:paraId="21B3D5E8" w14:textId="77777777" w:rsidR="009D3BCA" w:rsidRPr="007A177A" w:rsidRDefault="009D3BCA" w:rsidP="00BF333B">
      <w:pPr>
        <w:spacing w:line="360" w:lineRule="auto"/>
        <w:ind w:left="567" w:right="902"/>
        <w:jc w:val="both"/>
        <w:rPr>
          <w:rFonts w:ascii="Arial" w:hAnsi="Arial" w:cs="Arial"/>
          <w:i/>
        </w:rPr>
      </w:pPr>
    </w:p>
    <w:p w14:paraId="0B21DAA2" w14:textId="77777777" w:rsidR="009D3BCA" w:rsidRPr="007A177A" w:rsidRDefault="009D3BCA" w:rsidP="00BF333B">
      <w:pPr>
        <w:spacing w:line="360" w:lineRule="auto"/>
        <w:ind w:left="567" w:right="902"/>
        <w:jc w:val="both"/>
        <w:rPr>
          <w:rFonts w:ascii="Arial" w:hAnsi="Arial" w:cs="Arial"/>
          <w:i/>
        </w:rPr>
      </w:pPr>
      <w:r w:rsidRPr="007A177A">
        <w:rPr>
          <w:rFonts w:ascii="Arial" w:hAnsi="Arial" w:cs="Arial"/>
          <w:i/>
        </w:rPr>
        <w:t>“Para efectos de la liquidación, se suma a lo pagado el valor de la multa de $175.428, 46 descontado de las Actas de Obra y ajuste definitiva No. 23 comprobante No. 965/80, para un total pagado de.</w:t>
      </w:r>
      <w:r w:rsidRPr="007A177A">
        <w:rPr>
          <w:rFonts w:ascii="Arial" w:hAnsi="Arial" w:cs="Arial"/>
          <w:i/>
        </w:rPr>
        <w:tab/>
      </w:r>
      <w:r w:rsidR="00B13583" w:rsidRPr="007A177A">
        <w:rPr>
          <w:rFonts w:ascii="Arial" w:hAnsi="Arial" w:cs="Arial"/>
          <w:i/>
        </w:rPr>
        <w:tab/>
      </w:r>
      <w:r w:rsidR="00B13583" w:rsidRPr="007A177A">
        <w:rPr>
          <w:rFonts w:ascii="Arial" w:hAnsi="Arial" w:cs="Arial"/>
          <w:i/>
        </w:rPr>
        <w:tab/>
      </w:r>
      <w:r w:rsidR="00B13583" w:rsidRPr="007A177A">
        <w:rPr>
          <w:rFonts w:ascii="Arial" w:hAnsi="Arial" w:cs="Arial"/>
          <w:i/>
        </w:rPr>
        <w:tab/>
      </w:r>
      <w:r w:rsidRPr="007A177A">
        <w:rPr>
          <w:rFonts w:ascii="Arial" w:hAnsi="Arial" w:cs="Arial"/>
          <w:i/>
        </w:rPr>
        <w:tab/>
      </w:r>
      <w:r w:rsidRPr="007A177A">
        <w:rPr>
          <w:rFonts w:ascii="Arial" w:hAnsi="Arial" w:cs="Arial"/>
          <w:i/>
        </w:rPr>
        <w:tab/>
      </w:r>
      <w:r w:rsidRPr="007A177A">
        <w:rPr>
          <w:rFonts w:ascii="Arial" w:hAnsi="Arial" w:cs="Arial"/>
          <w:i/>
        </w:rPr>
        <w:tab/>
      </w:r>
      <w:r w:rsidR="000B2B28" w:rsidRPr="007A177A">
        <w:rPr>
          <w:rFonts w:ascii="Arial" w:hAnsi="Arial" w:cs="Arial"/>
          <w:i/>
        </w:rPr>
        <w:t>……</w:t>
      </w:r>
      <w:proofErr w:type="gramStart"/>
      <w:r w:rsidR="000B2B28" w:rsidRPr="007A177A">
        <w:rPr>
          <w:rFonts w:ascii="Arial" w:hAnsi="Arial" w:cs="Arial"/>
          <w:i/>
        </w:rPr>
        <w:t>…….</w:t>
      </w:r>
      <w:proofErr w:type="gramEnd"/>
      <w:r w:rsidR="000B2B28" w:rsidRPr="007A177A">
        <w:rPr>
          <w:rFonts w:ascii="Arial" w:hAnsi="Arial" w:cs="Arial"/>
          <w:i/>
        </w:rPr>
        <w:t>.</w:t>
      </w:r>
      <w:r w:rsidRPr="007A177A">
        <w:rPr>
          <w:rFonts w:ascii="Arial" w:hAnsi="Arial" w:cs="Arial"/>
          <w:i/>
        </w:rPr>
        <w:t>……$132’232.163,68.</w:t>
      </w:r>
    </w:p>
    <w:p w14:paraId="2CCD38EB" w14:textId="77777777" w:rsidR="009D3BCA" w:rsidRPr="007A177A" w:rsidRDefault="009D3BCA" w:rsidP="00BF333B">
      <w:pPr>
        <w:spacing w:line="360" w:lineRule="auto"/>
        <w:ind w:left="567" w:right="902"/>
        <w:jc w:val="both"/>
        <w:rPr>
          <w:rFonts w:ascii="Arial" w:hAnsi="Arial" w:cs="Arial"/>
          <w:i/>
        </w:rPr>
      </w:pPr>
      <w:r w:rsidRPr="007A177A">
        <w:rPr>
          <w:rFonts w:ascii="Arial" w:hAnsi="Arial" w:cs="Arial"/>
          <w:i/>
        </w:rPr>
        <w:t>“Debe por concepto de Anticipo la suma de……………</w:t>
      </w:r>
      <w:r w:rsidRPr="007A177A">
        <w:rPr>
          <w:rFonts w:ascii="Arial" w:hAnsi="Arial" w:cs="Arial"/>
          <w:i/>
        </w:rPr>
        <w:tab/>
      </w:r>
      <w:r w:rsidRPr="007A177A">
        <w:rPr>
          <w:rFonts w:ascii="Arial" w:hAnsi="Arial" w:cs="Arial"/>
          <w:i/>
        </w:rPr>
        <w:tab/>
      </w:r>
      <w:r w:rsidRPr="007A177A">
        <w:rPr>
          <w:rFonts w:ascii="Arial" w:hAnsi="Arial" w:cs="Arial"/>
          <w:i/>
        </w:rPr>
        <w:tab/>
      </w:r>
      <w:r w:rsidRPr="007A177A">
        <w:rPr>
          <w:rFonts w:ascii="Arial" w:hAnsi="Arial" w:cs="Arial"/>
          <w:i/>
        </w:rPr>
        <w:tab/>
      </w:r>
      <w:r w:rsidRPr="007A177A">
        <w:rPr>
          <w:rFonts w:ascii="Arial" w:hAnsi="Arial" w:cs="Arial"/>
          <w:i/>
        </w:rPr>
        <w:tab/>
      </w:r>
      <w:r w:rsidRPr="007A177A">
        <w:rPr>
          <w:rFonts w:ascii="Arial" w:hAnsi="Arial" w:cs="Arial"/>
          <w:i/>
        </w:rPr>
        <w:tab/>
      </w:r>
      <w:r w:rsidRPr="007A177A">
        <w:rPr>
          <w:rFonts w:ascii="Arial" w:hAnsi="Arial" w:cs="Arial"/>
          <w:i/>
        </w:rPr>
        <w:tab/>
      </w:r>
      <w:r w:rsidRPr="007A177A">
        <w:rPr>
          <w:rFonts w:ascii="Arial" w:hAnsi="Arial" w:cs="Arial"/>
          <w:i/>
        </w:rPr>
        <w:tab/>
      </w:r>
      <w:r w:rsidRPr="007A177A">
        <w:rPr>
          <w:rFonts w:ascii="Arial" w:hAnsi="Arial" w:cs="Arial"/>
          <w:i/>
        </w:rPr>
        <w:tab/>
      </w:r>
      <w:r w:rsidRPr="007A177A">
        <w:rPr>
          <w:rFonts w:ascii="Arial" w:hAnsi="Arial" w:cs="Arial"/>
          <w:i/>
        </w:rPr>
        <w:tab/>
        <w:t xml:space="preserve">          </w:t>
      </w:r>
      <w:r w:rsidR="000B2B28" w:rsidRPr="007A177A">
        <w:rPr>
          <w:rFonts w:ascii="Arial" w:hAnsi="Arial" w:cs="Arial"/>
          <w:i/>
        </w:rPr>
        <w:t>……</w:t>
      </w:r>
      <w:r w:rsidRPr="007A177A">
        <w:rPr>
          <w:rFonts w:ascii="Arial" w:hAnsi="Arial" w:cs="Arial"/>
          <w:i/>
        </w:rPr>
        <w:t xml:space="preserve"> $3’305.089,82”</w:t>
      </w:r>
      <w:r w:rsidR="00C25B3C" w:rsidRPr="007A177A">
        <w:rPr>
          <w:rFonts w:ascii="Arial" w:hAnsi="Arial" w:cs="Arial"/>
          <w:i/>
        </w:rPr>
        <w:t>.</w:t>
      </w:r>
    </w:p>
    <w:p w14:paraId="580D4E76" w14:textId="77777777" w:rsidR="009D3BCA" w:rsidRPr="007A177A" w:rsidRDefault="009D3BCA" w:rsidP="00BF333B">
      <w:pPr>
        <w:spacing w:line="360" w:lineRule="auto"/>
        <w:ind w:left="567" w:right="902"/>
        <w:jc w:val="both"/>
        <w:rPr>
          <w:rFonts w:ascii="Arial" w:hAnsi="Arial" w:cs="Arial"/>
        </w:rPr>
      </w:pPr>
    </w:p>
    <w:p w14:paraId="1187DC76" w14:textId="77777777" w:rsidR="009D3BCA" w:rsidRPr="007A177A" w:rsidRDefault="009D3BCA" w:rsidP="00BF333B">
      <w:pPr>
        <w:spacing w:line="360" w:lineRule="auto"/>
        <w:jc w:val="both"/>
        <w:rPr>
          <w:rFonts w:ascii="Arial" w:hAnsi="Arial" w:cs="Arial"/>
        </w:rPr>
      </w:pPr>
      <w:r w:rsidRPr="007A177A">
        <w:rPr>
          <w:rFonts w:ascii="Arial" w:hAnsi="Arial" w:cs="Arial"/>
        </w:rPr>
        <w:t>La fecha del último pago registrado en esa certificación, en el renglón 19 del segundo folio, corresponde a la obligación</w:t>
      </w:r>
      <w:r w:rsidR="00DD5C13" w:rsidRPr="007A177A">
        <w:rPr>
          <w:rFonts w:ascii="Arial" w:hAnsi="Arial" w:cs="Arial"/>
        </w:rPr>
        <w:t xml:space="preserve"> co</w:t>
      </w:r>
      <w:r w:rsidR="00B13583" w:rsidRPr="007A177A">
        <w:rPr>
          <w:rFonts w:ascii="Arial" w:hAnsi="Arial" w:cs="Arial"/>
        </w:rPr>
        <w:t xml:space="preserve">ntenida en  el </w:t>
      </w:r>
      <w:r w:rsidR="00DD5C13" w:rsidRPr="007A177A">
        <w:rPr>
          <w:rFonts w:ascii="Arial" w:hAnsi="Arial" w:cs="Arial"/>
        </w:rPr>
        <w:t>a</w:t>
      </w:r>
      <w:r w:rsidRPr="007A177A">
        <w:rPr>
          <w:rFonts w:ascii="Arial" w:hAnsi="Arial" w:cs="Arial"/>
        </w:rPr>
        <w:t>cta No. 32 de “IV-81” (abril de 1981).</w:t>
      </w:r>
    </w:p>
    <w:p w14:paraId="24215B4F" w14:textId="77777777" w:rsidR="009D3BCA" w:rsidRPr="007A177A" w:rsidRDefault="009D3BCA" w:rsidP="00BF333B">
      <w:pPr>
        <w:spacing w:line="360" w:lineRule="auto"/>
        <w:jc w:val="both"/>
        <w:rPr>
          <w:rFonts w:ascii="Arial" w:hAnsi="Arial" w:cs="Arial"/>
        </w:rPr>
      </w:pPr>
    </w:p>
    <w:p w14:paraId="2EB8A145" w14:textId="77777777" w:rsidR="009D3BCA" w:rsidRPr="007A177A" w:rsidRDefault="009D3BCA" w:rsidP="00BF333B">
      <w:pPr>
        <w:spacing w:line="360" w:lineRule="auto"/>
        <w:jc w:val="both"/>
        <w:rPr>
          <w:rFonts w:ascii="Arial" w:hAnsi="Arial" w:cs="Arial"/>
        </w:rPr>
      </w:pPr>
      <w:r w:rsidRPr="007A177A">
        <w:rPr>
          <w:rFonts w:ascii="Arial" w:hAnsi="Arial" w:cs="Arial"/>
        </w:rPr>
        <w:t xml:space="preserve">Las firmas de la certificación corresponden a Mario A. Prieto González, </w:t>
      </w:r>
      <w:r w:rsidR="00384A7F" w:rsidRPr="007A177A">
        <w:rPr>
          <w:rFonts w:ascii="Arial" w:hAnsi="Arial" w:cs="Arial"/>
        </w:rPr>
        <w:t>j</w:t>
      </w:r>
      <w:r w:rsidRPr="007A177A">
        <w:rPr>
          <w:rFonts w:ascii="Arial" w:hAnsi="Arial" w:cs="Arial"/>
        </w:rPr>
        <w:t xml:space="preserve">efe de la División de Presupuesto y Contabilidad y María Nubia Avendaño de Vargas, </w:t>
      </w:r>
      <w:proofErr w:type="gramStart"/>
      <w:r w:rsidRPr="007A177A">
        <w:rPr>
          <w:rFonts w:ascii="Arial" w:hAnsi="Arial" w:cs="Arial"/>
        </w:rPr>
        <w:t>Jefe</w:t>
      </w:r>
      <w:proofErr w:type="gramEnd"/>
      <w:r w:rsidRPr="007A177A">
        <w:rPr>
          <w:rFonts w:ascii="Arial" w:hAnsi="Arial" w:cs="Arial"/>
        </w:rPr>
        <w:t xml:space="preserve"> de</w:t>
      </w:r>
      <w:r w:rsidR="00384A7F" w:rsidRPr="007A177A">
        <w:rPr>
          <w:rFonts w:ascii="Arial" w:hAnsi="Arial" w:cs="Arial"/>
        </w:rPr>
        <w:t xml:space="preserve"> la</w:t>
      </w:r>
      <w:r w:rsidRPr="007A177A">
        <w:rPr>
          <w:rFonts w:ascii="Arial" w:hAnsi="Arial" w:cs="Arial"/>
        </w:rPr>
        <w:t xml:space="preserve"> Sección de Crédito y </w:t>
      </w:r>
      <w:r w:rsidR="007B19D8" w:rsidRPr="007A177A">
        <w:rPr>
          <w:rFonts w:ascii="Arial" w:hAnsi="Arial" w:cs="Arial"/>
        </w:rPr>
        <w:t>P</w:t>
      </w:r>
      <w:r w:rsidRPr="007A177A">
        <w:rPr>
          <w:rFonts w:ascii="Arial" w:hAnsi="Arial" w:cs="Arial"/>
        </w:rPr>
        <w:t xml:space="preserve">resupuesto del Ministerio de Obras </w:t>
      </w:r>
      <w:r w:rsidR="00B2360E" w:rsidRPr="007A177A">
        <w:rPr>
          <w:rFonts w:ascii="Arial" w:hAnsi="Arial" w:cs="Arial"/>
        </w:rPr>
        <w:t>P</w:t>
      </w:r>
      <w:r w:rsidRPr="007A177A">
        <w:rPr>
          <w:rFonts w:ascii="Arial" w:hAnsi="Arial" w:cs="Arial"/>
        </w:rPr>
        <w:t xml:space="preserve">úblicas y </w:t>
      </w:r>
      <w:r w:rsidR="00B2360E" w:rsidRPr="007A177A">
        <w:rPr>
          <w:rFonts w:ascii="Arial" w:hAnsi="Arial" w:cs="Arial"/>
        </w:rPr>
        <w:t>T</w:t>
      </w:r>
      <w:r w:rsidRPr="007A177A">
        <w:rPr>
          <w:rFonts w:ascii="Arial" w:hAnsi="Arial" w:cs="Arial"/>
        </w:rPr>
        <w:t>ransporte.</w:t>
      </w:r>
    </w:p>
    <w:p w14:paraId="7C0F970D" w14:textId="77777777" w:rsidR="009D3BCA" w:rsidRPr="007A177A" w:rsidRDefault="009D3BCA" w:rsidP="00BF333B">
      <w:pPr>
        <w:spacing w:line="360" w:lineRule="auto"/>
        <w:jc w:val="both"/>
        <w:rPr>
          <w:rFonts w:ascii="Arial" w:hAnsi="Arial" w:cs="Arial"/>
        </w:rPr>
      </w:pPr>
    </w:p>
    <w:p w14:paraId="7D22B665" w14:textId="77777777" w:rsidR="009F1ED0" w:rsidRPr="007A177A" w:rsidRDefault="005B290B" w:rsidP="00BF333B">
      <w:pPr>
        <w:spacing w:line="360" w:lineRule="auto"/>
        <w:jc w:val="both"/>
        <w:rPr>
          <w:rFonts w:ascii="Arial" w:hAnsi="Arial" w:cs="Arial"/>
        </w:rPr>
      </w:pPr>
      <w:r w:rsidRPr="007A177A">
        <w:rPr>
          <w:rFonts w:ascii="Arial" w:hAnsi="Arial" w:cs="Arial"/>
        </w:rPr>
        <w:t xml:space="preserve">Esta prueba corrobora </w:t>
      </w:r>
      <w:r w:rsidR="0039523C" w:rsidRPr="007A177A">
        <w:rPr>
          <w:rFonts w:ascii="Arial" w:hAnsi="Arial" w:cs="Arial"/>
        </w:rPr>
        <w:t>el estado financiero al término del contrato, acredita que s</w:t>
      </w:r>
      <w:r w:rsidR="000B2B28" w:rsidRPr="007A177A">
        <w:rPr>
          <w:rFonts w:ascii="Arial" w:hAnsi="Arial" w:cs="Arial"/>
        </w:rPr>
        <w:t>í</w:t>
      </w:r>
      <w:r w:rsidR="0039523C" w:rsidRPr="007A177A">
        <w:rPr>
          <w:rFonts w:ascii="Arial" w:hAnsi="Arial" w:cs="Arial"/>
        </w:rPr>
        <w:t xml:space="preserve"> se </w:t>
      </w:r>
      <w:r w:rsidRPr="007A177A">
        <w:rPr>
          <w:rFonts w:ascii="Arial" w:hAnsi="Arial" w:cs="Arial"/>
        </w:rPr>
        <w:t>reconocieron ajustes y se realizaron pagos de todas las actas presentadas</w:t>
      </w:r>
      <w:r w:rsidR="0039523C" w:rsidRPr="007A177A">
        <w:rPr>
          <w:rFonts w:ascii="Arial" w:hAnsi="Arial" w:cs="Arial"/>
        </w:rPr>
        <w:t xml:space="preserve"> y que</w:t>
      </w:r>
      <w:r w:rsidR="0059301C" w:rsidRPr="007A177A">
        <w:rPr>
          <w:rFonts w:ascii="Arial" w:hAnsi="Arial" w:cs="Arial"/>
        </w:rPr>
        <w:t xml:space="preserve"> </w:t>
      </w:r>
      <w:r w:rsidR="0039523C" w:rsidRPr="007A177A">
        <w:rPr>
          <w:rFonts w:ascii="Arial" w:hAnsi="Arial" w:cs="Arial"/>
        </w:rPr>
        <w:lastRenderedPageBreak/>
        <w:t xml:space="preserve">el contratista no amortizó la totalidad del anticipo y tampoco lo reintegró al término del contrato. </w:t>
      </w:r>
      <w:r w:rsidR="00E32C04" w:rsidRPr="007A177A">
        <w:rPr>
          <w:rFonts w:ascii="Arial" w:hAnsi="Arial" w:cs="Arial"/>
        </w:rPr>
        <w:t xml:space="preserve"> </w:t>
      </w:r>
    </w:p>
    <w:p w14:paraId="37BC3774" w14:textId="77777777" w:rsidR="009F1ED0" w:rsidRPr="007A177A" w:rsidRDefault="009F1ED0" w:rsidP="00BF333B">
      <w:pPr>
        <w:spacing w:line="360" w:lineRule="auto"/>
        <w:jc w:val="both"/>
        <w:rPr>
          <w:rFonts w:ascii="Arial" w:hAnsi="Arial" w:cs="Arial"/>
        </w:rPr>
      </w:pPr>
    </w:p>
    <w:p w14:paraId="4AA8333C" w14:textId="77777777" w:rsidR="006718C7" w:rsidRPr="007A177A" w:rsidRDefault="00E32C04" w:rsidP="00BF333B">
      <w:pPr>
        <w:spacing w:line="360" w:lineRule="auto"/>
        <w:jc w:val="both"/>
        <w:rPr>
          <w:rFonts w:ascii="Arial" w:hAnsi="Arial" w:cs="Arial"/>
          <w:bCs/>
          <w:lang w:val="es-MX"/>
        </w:rPr>
      </w:pPr>
      <w:r w:rsidRPr="007A177A">
        <w:rPr>
          <w:rFonts w:ascii="Arial" w:hAnsi="Arial" w:cs="Arial"/>
        </w:rPr>
        <w:t xml:space="preserve">Por </w:t>
      </w:r>
      <w:r w:rsidR="009F1ED0" w:rsidRPr="007A177A">
        <w:rPr>
          <w:rFonts w:ascii="Arial" w:hAnsi="Arial" w:cs="Arial"/>
        </w:rPr>
        <w:t>ello, la Sala encuentra que</w:t>
      </w:r>
      <w:r w:rsidRPr="007A177A">
        <w:rPr>
          <w:rFonts w:ascii="Arial" w:hAnsi="Arial" w:cs="Arial"/>
        </w:rPr>
        <w:t xml:space="preserve"> </w:t>
      </w:r>
      <w:r w:rsidR="006718C7" w:rsidRPr="007A177A">
        <w:rPr>
          <w:rFonts w:ascii="Arial" w:hAnsi="Arial" w:cs="Arial"/>
        </w:rPr>
        <w:t xml:space="preserve">asistió la razón al </w:t>
      </w:r>
      <w:r w:rsidR="006718C7" w:rsidRPr="007A177A">
        <w:rPr>
          <w:rFonts w:ascii="Arial" w:hAnsi="Arial" w:cs="Arial"/>
          <w:bCs/>
          <w:lang w:val="es-MX"/>
        </w:rPr>
        <w:t xml:space="preserve">Invías en su recurso de apelación al argumentar que no hubo enriquecimiento sin causa en relación con el anticipo y que, no podía incluirse su valor en las cuentas del supuesto desequilibrio financiero, de manera que </w:t>
      </w:r>
      <w:r w:rsidR="009F1ED0" w:rsidRPr="007A177A">
        <w:rPr>
          <w:rFonts w:ascii="Arial" w:hAnsi="Arial" w:cs="Arial"/>
          <w:bCs/>
          <w:lang w:val="es-MX"/>
        </w:rPr>
        <w:t xml:space="preserve">no pueden proceder las </w:t>
      </w:r>
      <w:r w:rsidR="006718C7" w:rsidRPr="007A177A">
        <w:rPr>
          <w:rFonts w:ascii="Arial" w:hAnsi="Arial" w:cs="Arial"/>
          <w:bCs/>
          <w:lang w:val="es-MX"/>
        </w:rPr>
        <w:t xml:space="preserve">pretensiones correspondientes de la parte actora. </w:t>
      </w:r>
    </w:p>
    <w:p w14:paraId="31C25353" w14:textId="77777777" w:rsidR="0039523C" w:rsidRPr="007A177A" w:rsidRDefault="0039523C" w:rsidP="00BF333B">
      <w:pPr>
        <w:spacing w:line="360" w:lineRule="auto"/>
        <w:jc w:val="both"/>
        <w:rPr>
          <w:rFonts w:ascii="Arial" w:hAnsi="Arial" w:cs="Arial"/>
        </w:rPr>
      </w:pPr>
    </w:p>
    <w:p w14:paraId="0703586B" w14:textId="77777777" w:rsidR="002E2E7A" w:rsidRPr="007A177A" w:rsidRDefault="009F1ED0" w:rsidP="00BF333B">
      <w:pPr>
        <w:spacing w:line="360" w:lineRule="auto"/>
        <w:jc w:val="both"/>
        <w:rPr>
          <w:rFonts w:ascii="Arial" w:hAnsi="Arial" w:cs="Arial"/>
        </w:rPr>
      </w:pPr>
      <w:r w:rsidRPr="007A177A">
        <w:rPr>
          <w:rFonts w:ascii="Arial" w:hAnsi="Arial" w:cs="Arial"/>
        </w:rPr>
        <w:t>Por otra parte, t</w:t>
      </w:r>
      <w:r w:rsidR="002E2E7A" w:rsidRPr="007A177A">
        <w:rPr>
          <w:rFonts w:ascii="Arial" w:hAnsi="Arial" w:cs="Arial"/>
        </w:rPr>
        <w:t xml:space="preserve">al como se observó en el dictamen, </w:t>
      </w:r>
      <w:r w:rsidR="00F156FB" w:rsidRPr="007A177A">
        <w:rPr>
          <w:rFonts w:ascii="Arial" w:hAnsi="Arial" w:cs="Arial"/>
        </w:rPr>
        <w:t xml:space="preserve">al término del contrato se evidenció que </w:t>
      </w:r>
      <w:r w:rsidR="00C25B3C" w:rsidRPr="007A177A">
        <w:rPr>
          <w:rFonts w:ascii="Arial" w:hAnsi="Arial" w:cs="Arial"/>
        </w:rPr>
        <w:t>el</w:t>
      </w:r>
      <w:r w:rsidR="002E2E7A" w:rsidRPr="007A177A">
        <w:rPr>
          <w:rFonts w:ascii="Arial" w:hAnsi="Arial" w:cs="Arial"/>
        </w:rPr>
        <w:t xml:space="preserve"> contratista solo ejecut</w:t>
      </w:r>
      <w:r w:rsidR="0059301C" w:rsidRPr="007A177A">
        <w:rPr>
          <w:rFonts w:ascii="Arial" w:hAnsi="Arial" w:cs="Arial"/>
        </w:rPr>
        <w:t>ó</w:t>
      </w:r>
      <w:r w:rsidR="002E2E7A" w:rsidRPr="007A177A">
        <w:rPr>
          <w:rFonts w:ascii="Arial" w:hAnsi="Arial" w:cs="Arial"/>
        </w:rPr>
        <w:t xml:space="preserve"> el 77</w:t>
      </w:r>
      <w:r w:rsidR="00061F4C" w:rsidRPr="007A177A">
        <w:rPr>
          <w:rFonts w:ascii="Arial" w:hAnsi="Arial" w:cs="Arial"/>
        </w:rPr>
        <w:t xml:space="preserve">.8 </w:t>
      </w:r>
      <w:r w:rsidR="002E2E7A" w:rsidRPr="007A177A">
        <w:rPr>
          <w:rFonts w:ascii="Arial" w:hAnsi="Arial" w:cs="Arial"/>
        </w:rPr>
        <w:t xml:space="preserve">% del valor </w:t>
      </w:r>
      <w:r w:rsidR="00F156FB" w:rsidRPr="007A177A">
        <w:rPr>
          <w:rFonts w:ascii="Arial" w:hAnsi="Arial" w:cs="Arial"/>
        </w:rPr>
        <w:t xml:space="preserve">básico total del </w:t>
      </w:r>
      <w:r w:rsidR="002E2E7A" w:rsidRPr="007A177A">
        <w:rPr>
          <w:rFonts w:ascii="Arial" w:hAnsi="Arial" w:cs="Arial"/>
        </w:rPr>
        <w:t>contrato</w:t>
      </w:r>
      <w:r w:rsidR="00F156FB" w:rsidRPr="007A177A">
        <w:rPr>
          <w:rFonts w:ascii="Arial" w:hAnsi="Arial" w:cs="Arial"/>
        </w:rPr>
        <w:t xml:space="preserve"> inicial</w:t>
      </w:r>
      <w:r w:rsidR="00F156FB" w:rsidRPr="007A177A">
        <w:rPr>
          <w:rStyle w:val="Refdenotaalpie"/>
          <w:rFonts w:ascii="Arial" w:hAnsi="Arial" w:cs="Arial"/>
        </w:rPr>
        <w:footnoteReference w:id="107"/>
      </w:r>
      <w:r w:rsidR="002E2E7A" w:rsidRPr="007A177A">
        <w:rPr>
          <w:rFonts w:ascii="Arial" w:hAnsi="Arial" w:cs="Arial"/>
        </w:rPr>
        <w:t xml:space="preserve">. </w:t>
      </w:r>
    </w:p>
    <w:p w14:paraId="5B3E1E2A" w14:textId="77777777" w:rsidR="002E2E7A" w:rsidRPr="007A177A" w:rsidRDefault="002E2E7A" w:rsidP="00BF333B">
      <w:pPr>
        <w:spacing w:line="360" w:lineRule="auto"/>
        <w:jc w:val="both"/>
        <w:rPr>
          <w:rFonts w:ascii="Arial" w:hAnsi="Arial" w:cs="Arial"/>
        </w:rPr>
      </w:pPr>
    </w:p>
    <w:p w14:paraId="79181E0D" w14:textId="77777777" w:rsidR="002E2E7A" w:rsidRPr="007A177A" w:rsidRDefault="002E2E7A" w:rsidP="00BF333B">
      <w:pPr>
        <w:spacing w:line="360" w:lineRule="auto"/>
        <w:jc w:val="both"/>
        <w:rPr>
          <w:rFonts w:ascii="Arial" w:hAnsi="Arial" w:cs="Arial"/>
        </w:rPr>
      </w:pPr>
      <w:r w:rsidRPr="007A177A">
        <w:rPr>
          <w:rFonts w:ascii="Arial" w:hAnsi="Arial" w:cs="Arial"/>
        </w:rPr>
        <w:t>Las pruebas anteriores evidencia</w:t>
      </w:r>
      <w:r w:rsidR="00770A2D" w:rsidRPr="007A177A">
        <w:rPr>
          <w:rFonts w:ascii="Arial" w:hAnsi="Arial" w:cs="Arial"/>
        </w:rPr>
        <w:t>n</w:t>
      </w:r>
      <w:r w:rsidRPr="007A177A">
        <w:rPr>
          <w:rFonts w:ascii="Arial" w:hAnsi="Arial" w:cs="Arial"/>
        </w:rPr>
        <w:t xml:space="preserve"> que el contratista incumplió con la entrega de la obra a satisfacción. </w:t>
      </w:r>
    </w:p>
    <w:p w14:paraId="2D45CF09" w14:textId="77777777" w:rsidR="002E2E7A" w:rsidRPr="007A177A" w:rsidRDefault="002E2E7A" w:rsidP="00BF333B">
      <w:pPr>
        <w:spacing w:line="360" w:lineRule="auto"/>
        <w:jc w:val="both"/>
        <w:rPr>
          <w:rFonts w:ascii="Arial" w:hAnsi="Arial" w:cs="Arial"/>
        </w:rPr>
      </w:pPr>
    </w:p>
    <w:p w14:paraId="6A245EEA" w14:textId="77777777" w:rsidR="009D3BCA" w:rsidRPr="007A177A" w:rsidRDefault="00937F5A" w:rsidP="00BF333B">
      <w:pPr>
        <w:spacing w:line="360" w:lineRule="auto"/>
        <w:jc w:val="both"/>
        <w:rPr>
          <w:rFonts w:ascii="Arial" w:hAnsi="Arial" w:cs="Arial"/>
        </w:rPr>
      </w:pPr>
      <w:r w:rsidRPr="007A177A">
        <w:rPr>
          <w:rFonts w:ascii="Arial" w:hAnsi="Arial" w:cs="Arial"/>
          <w:b/>
        </w:rPr>
        <w:t>9</w:t>
      </w:r>
      <w:r w:rsidR="00DF76F9" w:rsidRPr="007A177A">
        <w:rPr>
          <w:rFonts w:ascii="Arial" w:hAnsi="Arial" w:cs="Arial"/>
          <w:b/>
        </w:rPr>
        <w:t>.2.6.</w:t>
      </w:r>
      <w:r w:rsidR="00504F8F" w:rsidRPr="007A177A">
        <w:rPr>
          <w:rFonts w:ascii="Arial" w:hAnsi="Arial" w:cs="Arial"/>
        </w:rPr>
        <w:t xml:space="preserve"> </w:t>
      </w:r>
      <w:r w:rsidR="002E2E7A" w:rsidRPr="007A177A">
        <w:rPr>
          <w:rFonts w:ascii="Arial" w:hAnsi="Arial" w:cs="Arial"/>
        </w:rPr>
        <w:t>Siguiendo con el recuento de los asuntos referidos a las cantidades, s</w:t>
      </w:r>
      <w:r w:rsidR="00770A2D" w:rsidRPr="007A177A">
        <w:rPr>
          <w:rFonts w:ascii="Arial" w:hAnsi="Arial" w:cs="Arial"/>
        </w:rPr>
        <w:t>e</w:t>
      </w:r>
      <w:r w:rsidR="002E2E7A" w:rsidRPr="007A177A">
        <w:rPr>
          <w:rFonts w:ascii="Arial" w:hAnsi="Arial" w:cs="Arial"/>
        </w:rPr>
        <w:t xml:space="preserve"> observa que</w:t>
      </w:r>
      <w:r w:rsidR="0059301C" w:rsidRPr="007A177A">
        <w:rPr>
          <w:rFonts w:ascii="Arial" w:hAnsi="Arial" w:cs="Arial"/>
        </w:rPr>
        <w:t>,</w:t>
      </w:r>
      <w:r w:rsidR="002E2E7A" w:rsidRPr="007A177A">
        <w:rPr>
          <w:rFonts w:ascii="Arial" w:hAnsi="Arial" w:cs="Arial"/>
        </w:rPr>
        <w:t xml:space="preserve"> con posterioridad a la terminación del contrato, </w:t>
      </w:r>
      <w:r w:rsidR="00B2360E" w:rsidRPr="007A177A">
        <w:rPr>
          <w:rFonts w:ascii="Arial" w:hAnsi="Arial" w:cs="Arial"/>
        </w:rPr>
        <w:t xml:space="preserve">el contratista </w:t>
      </w:r>
      <w:r w:rsidR="00A7359C" w:rsidRPr="007A177A">
        <w:rPr>
          <w:rFonts w:ascii="Arial" w:hAnsi="Arial" w:cs="Arial"/>
        </w:rPr>
        <w:t>se</w:t>
      </w:r>
      <w:r w:rsidR="00B2360E" w:rsidRPr="007A177A">
        <w:rPr>
          <w:rFonts w:ascii="Arial" w:hAnsi="Arial" w:cs="Arial"/>
        </w:rPr>
        <w:t xml:space="preserve"> reunió con la interventoría, según consta en el </w:t>
      </w:r>
      <w:r w:rsidR="002E2E7A" w:rsidRPr="007A177A">
        <w:rPr>
          <w:rFonts w:ascii="Arial" w:hAnsi="Arial" w:cs="Arial"/>
        </w:rPr>
        <w:t>a</w:t>
      </w:r>
      <w:r w:rsidR="009D3BCA" w:rsidRPr="007A177A">
        <w:rPr>
          <w:rFonts w:ascii="Arial" w:hAnsi="Arial" w:cs="Arial"/>
        </w:rPr>
        <w:t>cta de la reunión de 7 de julio de 1983, en la cual expuso que “</w:t>
      </w:r>
      <w:r w:rsidR="009D3BCA" w:rsidRPr="007A177A">
        <w:rPr>
          <w:rFonts w:ascii="Arial" w:hAnsi="Arial" w:cs="Arial"/>
          <w:i/>
        </w:rPr>
        <w:t>hasta la fecha y por motivos ajenos al control de nuestro consorcio, no ha sido posible la confrontación de las cantidades de obra para efectos del acta final de liquidación”</w:t>
      </w:r>
      <w:r w:rsidR="009D3BCA" w:rsidRPr="007A177A">
        <w:rPr>
          <w:rFonts w:ascii="Arial" w:hAnsi="Arial" w:cs="Arial"/>
        </w:rPr>
        <w:t xml:space="preserve"> y</w:t>
      </w:r>
      <w:r w:rsidR="00C420DC" w:rsidRPr="007A177A">
        <w:rPr>
          <w:rFonts w:ascii="Arial" w:hAnsi="Arial" w:cs="Arial"/>
        </w:rPr>
        <w:t>,</w:t>
      </w:r>
      <w:r w:rsidR="009D3BCA" w:rsidRPr="007A177A">
        <w:rPr>
          <w:rFonts w:ascii="Arial" w:hAnsi="Arial" w:cs="Arial"/>
        </w:rPr>
        <w:t xml:space="preserve"> </w:t>
      </w:r>
      <w:r w:rsidR="00C420DC" w:rsidRPr="007A177A">
        <w:rPr>
          <w:rFonts w:ascii="Arial" w:hAnsi="Arial" w:cs="Arial"/>
        </w:rPr>
        <w:t xml:space="preserve">en esa oportunidad, </w:t>
      </w:r>
      <w:r w:rsidR="009D3BCA" w:rsidRPr="007A177A">
        <w:rPr>
          <w:rFonts w:ascii="Arial" w:hAnsi="Arial" w:cs="Arial"/>
        </w:rPr>
        <w:t>solicitó una determinación al respecto.</w:t>
      </w:r>
    </w:p>
    <w:p w14:paraId="105A1E43" w14:textId="77777777" w:rsidR="009D3BCA" w:rsidRPr="007A177A" w:rsidRDefault="009D3BCA" w:rsidP="00BF333B">
      <w:pPr>
        <w:spacing w:line="360" w:lineRule="auto"/>
        <w:jc w:val="both"/>
        <w:rPr>
          <w:rFonts w:ascii="Arial" w:hAnsi="Arial" w:cs="Arial"/>
        </w:rPr>
      </w:pPr>
    </w:p>
    <w:p w14:paraId="6C47AF5A" w14:textId="77777777" w:rsidR="009D3BCA" w:rsidRPr="007A177A" w:rsidRDefault="009D3BCA" w:rsidP="00BF333B">
      <w:pPr>
        <w:spacing w:line="360" w:lineRule="auto"/>
        <w:jc w:val="both"/>
        <w:rPr>
          <w:rFonts w:ascii="Arial" w:hAnsi="Arial" w:cs="Arial"/>
        </w:rPr>
      </w:pPr>
      <w:r w:rsidRPr="007A177A">
        <w:rPr>
          <w:rFonts w:ascii="Arial" w:hAnsi="Arial" w:cs="Arial"/>
        </w:rPr>
        <w:t xml:space="preserve">En </w:t>
      </w:r>
      <w:r w:rsidR="00C420DC" w:rsidRPr="007A177A">
        <w:rPr>
          <w:rFonts w:ascii="Arial" w:hAnsi="Arial" w:cs="Arial"/>
        </w:rPr>
        <w:t xml:space="preserve">dicha </w:t>
      </w:r>
      <w:r w:rsidRPr="007A177A">
        <w:rPr>
          <w:rFonts w:ascii="Arial" w:hAnsi="Arial" w:cs="Arial"/>
        </w:rPr>
        <w:t>acta consta que</w:t>
      </w:r>
      <w:r w:rsidR="00504F8F" w:rsidRPr="007A177A">
        <w:rPr>
          <w:rFonts w:ascii="Arial" w:hAnsi="Arial" w:cs="Arial"/>
        </w:rPr>
        <w:t xml:space="preserve">, en atención a los comentarios del contratista, </w:t>
      </w:r>
      <w:r w:rsidRPr="007A177A">
        <w:rPr>
          <w:rFonts w:ascii="Arial" w:hAnsi="Arial" w:cs="Arial"/>
        </w:rPr>
        <w:t xml:space="preserve">el interventor manifestó que no podía </w:t>
      </w:r>
      <w:r w:rsidR="00504F8F" w:rsidRPr="007A177A">
        <w:rPr>
          <w:rFonts w:ascii="Arial" w:hAnsi="Arial" w:cs="Arial"/>
        </w:rPr>
        <w:t xml:space="preserve">entrar a </w:t>
      </w:r>
      <w:proofErr w:type="spellStart"/>
      <w:r w:rsidR="00504F8F" w:rsidRPr="007A177A">
        <w:rPr>
          <w:rFonts w:ascii="Arial" w:hAnsi="Arial" w:cs="Arial"/>
        </w:rPr>
        <w:t>re</w:t>
      </w:r>
      <w:r w:rsidR="00B13583" w:rsidRPr="007A177A">
        <w:rPr>
          <w:rFonts w:ascii="Arial" w:hAnsi="Arial" w:cs="Arial"/>
        </w:rPr>
        <w:t>alizar</w:t>
      </w:r>
      <w:r w:rsidRPr="007A177A">
        <w:rPr>
          <w:rFonts w:ascii="Arial" w:hAnsi="Arial" w:cs="Arial"/>
        </w:rPr>
        <w:t>r</w:t>
      </w:r>
      <w:proofErr w:type="spellEnd"/>
      <w:r w:rsidRPr="007A177A">
        <w:rPr>
          <w:rFonts w:ascii="Arial" w:hAnsi="Arial" w:cs="Arial"/>
        </w:rPr>
        <w:t xml:space="preserve"> </w:t>
      </w:r>
      <w:r w:rsidR="00504F8F" w:rsidRPr="007A177A">
        <w:rPr>
          <w:rFonts w:ascii="Arial" w:hAnsi="Arial" w:cs="Arial"/>
        </w:rPr>
        <w:t xml:space="preserve">nuevas reclasificaciones o </w:t>
      </w:r>
      <w:r w:rsidR="0059301C" w:rsidRPr="007A177A">
        <w:rPr>
          <w:rFonts w:ascii="Arial" w:hAnsi="Arial" w:cs="Arial"/>
        </w:rPr>
        <w:t xml:space="preserve">a </w:t>
      </w:r>
      <w:r w:rsidR="00504F8F" w:rsidRPr="007A177A">
        <w:rPr>
          <w:rFonts w:ascii="Arial" w:hAnsi="Arial" w:cs="Arial"/>
        </w:rPr>
        <w:t xml:space="preserve">modificar cantidades </w:t>
      </w:r>
      <w:r w:rsidRPr="007A177A">
        <w:rPr>
          <w:rFonts w:ascii="Arial" w:hAnsi="Arial" w:cs="Arial"/>
        </w:rPr>
        <w:t>ejecutadas</w:t>
      </w:r>
      <w:r w:rsidR="00504F8F" w:rsidRPr="007A177A">
        <w:rPr>
          <w:rFonts w:ascii="Arial" w:hAnsi="Arial" w:cs="Arial"/>
        </w:rPr>
        <w:t>, al afirmar (se transcribe de forma literal)</w:t>
      </w:r>
      <w:r w:rsidR="000B2B28" w:rsidRPr="007A177A">
        <w:rPr>
          <w:rFonts w:ascii="Arial" w:hAnsi="Arial" w:cs="Arial"/>
        </w:rPr>
        <w:t>:</w:t>
      </w:r>
    </w:p>
    <w:p w14:paraId="151F06AF" w14:textId="77777777" w:rsidR="009D3BCA" w:rsidRPr="007A177A" w:rsidRDefault="009D3BCA" w:rsidP="00BF333B">
      <w:pPr>
        <w:spacing w:line="360" w:lineRule="auto"/>
        <w:ind w:left="567" w:right="902"/>
        <w:jc w:val="both"/>
        <w:rPr>
          <w:rFonts w:ascii="Arial" w:hAnsi="Arial" w:cs="Arial"/>
          <w:i/>
        </w:rPr>
      </w:pPr>
    </w:p>
    <w:p w14:paraId="62502C22" w14:textId="77777777" w:rsidR="009D3BCA" w:rsidRPr="007A177A" w:rsidRDefault="009D3BCA" w:rsidP="00BF333B">
      <w:pPr>
        <w:spacing w:line="276" w:lineRule="auto"/>
        <w:ind w:left="567" w:right="902"/>
        <w:jc w:val="both"/>
        <w:rPr>
          <w:rFonts w:ascii="Arial" w:hAnsi="Arial" w:cs="Arial"/>
          <w:i/>
        </w:rPr>
      </w:pPr>
      <w:r w:rsidRPr="007A177A">
        <w:rPr>
          <w:rFonts w:ascii="Arial" w:hAnsi="Arial" w:cs="Arial"/>
          <w:i/>
        </w:rPr>
        <w:t>“Por otra parte de acuerdo a la reclasificación de las excavaciones y los volúmenes fijados por la dirección de carreteras, SENIOR VIANA LTDA encuentra inmodificables estas cantidades”</w:t>
      </w:r>
      <w:r w:rsidRPr="007A177A">
        <w:rPr>
          <w:rStyle w:val="Refdenotaalpie"/>
          <w:rFonts w:ascii="Arial" w:hAnsi="Arial" w:cs="Arial"/>
          <w:i/>
        </w:rPr>
        <w:footnoteReference w:id="108"/>
      </w:r>
      <w:r w:rsidRPr="007A177A">
        <w:rPr>
          <w:rFonts w:ascii="Arial" w:hAnsi="Arial" w:cs="Arial"/>
          <w:i/>
        </w:rPr>
        <w:t>.</w:t>
      </w:r>
    </w:p>
    <w:p w14:paraId="511BB227" w14:textId="77777777" w:rsidR="009D3BCA" w:rsidRPr="007A177A" w:rsidRDefault="009D3BCA" w:rsidP="00BF333B">
      <w:pPr>
        <w:spacing w:line="360" w:lineRule="auto"/>
        <w:jc w:val="both"/>
        <w:rPr>
          <w:rFonts w:ascii="Arial" w:hAnsi="Arial" w:cs="Arial"/>
        </w:rPr>
      </w:pPr>
    </w:p>
    <w:p w14:paraId="2E8E5916" w14:textId="77777777" w:rsidR="009D3BCA" w:rsidRPr="007A177A" w:rsidRDefault="009D3BCA" w:rsidP="00BF333B">
      <w:pPr>
        <w:spacing w:line="360" w:lineRule="auto"/>
        <w:jc w:val="both"/>
        <w:rPr>
          <w:rFonts w:ascii="Arial" w:hAnsi="Arial" w:cs="Arial"/>
          <w:i/>
        </w:rPr>
      </w:pPr>
      <w:r w:rsidRPr="007A177A">
        <w:rPr>
          <w:rFonts w:ascii="Arial" w:hAnsi="Arial" w:cs="Arial"/>
        </w:rPr>
        <w:t>E</w:t>
      </w:r>
      <w:r w:rsidR="002E2E7A" w:rsidRPr="007A177A">
        <w:rPr>
          <w:rFonts w:ascii="Arial" w:hAnsi="Arial" w:cs="Arial"/>
        </w:rPr>
        <w:t>n esa reunión, e</w:t>
      </w:r>
      <w:r w:rsidRPr="007A177A">
        <w:rPr>
          <w:rFonts w:ascii="Arial" w:hAnsi="Arial" w:cs="Arial"/>
        </w:rPr>
        <w:t xml:space="preserve">l ingeniero </w:t>
      </w:r>
      <w:r w:rsidR="0059301C" w:rsidRPr="007A177A">
        <w:rPr>
          <w:rFonts w:ascii="Arial" w:hAnsi="Arial" w:cs="Arial"/>
        </w:rPr>
        <w:t>s</w:t>
      </w:r>
      <w:r w:rsidRPr="007A177A">
        <w:rPr>
          <w:rFonts w:ascii="Arial" w:hAnsi="Arial" w:cs="Arial"/>
        </w:rPr>
        <w:t>upervisor indicó que</w:t>
      </w:r>
      <w:r w:rsidR="0059301C" w:rsidRPr="007A177A">
        <w:rPr>
          <w:rFonts w:ascii="Arial" w:hAnsi="Arial" w:cs="Arial"/>
        </w:rPr>
        <w:t>,</w:t>
      </w:r>
      <w:r w:rsidRPr="007A177A">
        <w:rPr>
          <w:rFonts w:ascii="Arial" w:hAnsi="Arial" w:cs="Arial"/>
        </w:rPr>
        <w:t xml:space="preserve"> en razón de lo expuesto por el ingeniero Régulo </w:t>
      </w:r>
      <w:proofErr w:type="spellStart"/>
      <w:r w:rsidRPr="007A177A">
        <w:rPr>
          <w:rFonts w:ascii="Arial" w:hAnsi="Arial" w:cs="Arial"/>
        </w:rPr>
        <w:t>Massi</w:t>
      </w:r>
      <w:proofErr w:type="spellEnd"/>
      <w:r w:rsidRPr="007A177A">
        <w:rPr>
          <w:rFonts w:ascii="Arial" w:hAnsi="Arial" w:cs="Arial"/>
        </w:rPr>
        <w:t xml:space="preserve">, representante de la interventoría, la firma contratista </w:t>
      </w:r>
      <w:r w:rsidRPr="007A177A">
        <w:rPr>
          <w:rFonts w:ascii="Arial" w:hAnsi="Arial" w:cs="Arial"/>
          <w:i/>
        </w:rPr>
        <w:t xml:space="preserve">“se verá sometida a la decisión que pueda tomar el M.O.P.T. en Bogotá en cuanto a la </w:t>
      </w:r>
      <w:r w:rsidRPr="007A177A">
        <w:rPr>
          <w:rFonts w:ascii="Arial" w:hAnsi="Arial" w:cs="Arial"/>
          <w:i/>
        </w:rPr>
        <w:lastRenderedPageBreak/>
        <w:t>liquidación de los mencionados contratos una vez se conozcan las conclusiones a que se llegó en esta acta”</w:t>
      </w:r>
      <w:r w:rsidRPr="007A177A">
        <w:rPr>
          <w:rStyle w:val="Refdenotaalpie"/>
          <w:rFonts w:ascii="Arial" w:hAnsi="Arial" w:cs="Arial"/>
          <w:i/>
        </w:rPr>
        <w:footnoteReference w:id="109"/>
      </w:r>
      <w:r w:rsidRPr="007A177A">
        <w:rPr>
          <w:rFonts w:ascii="Arial" w:hAnsi="Arial" w:cs="Arial"/>
          <w:i/>
        </w:rPr>
        <w:t>.</w:t>
      </w:r>
    </w:p>
    <w:p w14:paraId="604C22B5" w14:textId="77777777" w:rsidR="009D3BCA" w:rsidRPr="007A177A" w:rsidRDefault="009D3BCA" w:rsidP="00BF333B">
      <w:pPr>
        <w:spacing w:line="360" w:lineRule="auto"/>
        <w:jc w:val="both"/>
        <w:rPr>
          <w:rFonts w:ascii="Arial" w:hAnsi="Arial" w:cs="Arial"/>
        </w:rPr>
      </w:pPr>
    </w:p>
    <w:p w14:paraId="63DC5FBB" w14:textId="77777777" w:rsidR="00066FFE" w:rsidRPr="007A177A" w:rsidRDefault="00937F5A" w:rsidP="00BF333B">
      <w:pPr>
        <w:spacing w:line="360" w:lineRule="auto"/>
        <w:jc w:val="both"/>
        <w:rPr>
          <w:rFonts w:ascii="Arial" w:hAnsi="Arial" w:cs="Arial"/>
          <w:color w:val="000000"/>
        </w:rPr>
      </w:pPr>
      <w:r w:rsidRPr="007A177A">
        <w:rPr>
          <w:rFonts w:ascii="Arial" w:hAnsi="Arial" w:cs="Arial"/>
          <w:b/>
          <w:lang w:val="es-MX"/>
        </w:rPr>
        <w:t>9</w:t>
      </w:r>
      <w:r w:rsidR="00DF76F9" w:rsidRPr="007A177A">
        <w:rPr>
          <w:rFonts w:ascii="Arial" w:hAnsi="Arial" w:cs="Arial"/>
          <w:b/>
          <w:lang w:val="es-MX"/>
        </w:rPr>
        <w:t>.2.</w:t>
      </w:r>
      <w:r w:rsidR="002E2E7A" w:rsidRPr="007A177A">
        <w:rPr>
          <w:rFonts w:ascii="Arial" w:hAnsi="Arial" w:cs="Arial"/>
          <w:b/>
          <w:lang w:val="es-MX"/>
        </w:rPr>
        <w:t>7.</w:t>
      </w:r>
      <w:r w:rsidR="002E2E7A" w:rsidRPr="007A177A">
        <w:rPr>
          <w:rFonts w:ascii="Arial" w:hAnsi="Arial" w:cs="Arial"/>
          <w:bCs/>
          <w:lang w:val="es-MX"/>
        </w:rPr>
        <w:t xml:space="preserve"> </w:t>
      </w:r>
      <w:r w:rsidR="00066FFE" w:rsidRPr="007A177A">
        <w:rPr>
          <w:rFonts w:ascii="Arial" w:hAnsi="Arial" w:cs="Arial"/>
          <w:bCs/>
          <w:lang w:val="es-MX"/>
        </w:rPr>
        <w:t xml:space="preserve">Debe precisarse que las anteriores pruebas se aprecian en el contexto legal de la liquidación </w:t>
      </w:r>
      <w:r w:rsidR="001E7120" w:rsidRPr="007A177A">
        <w:rPr>
          <w:rFonts w:ascii="Arial" w:hAnsi="Arial" w:cs="Arial"/>
          <w:bCs/>
          <w:lang w:val="es-MX"/>
        </w:rPr>
        <w:t xml:space="preserve">unilateral </w:t>
      </w:r>
      <w:r w:rsidR="00066FFE" w:rsidRPr="007A177A">
        <w:rPr>
          <w:rFonts w:ascii="Arial" w:hAnsi="Arial" w:cs="Arial"/>
          <w:bCs/>
          <w:lang w:val="es-MX"/>
        </w:rPr>
        <w:t>de cuentas que podía establecer el Fondo Vial Nacional ante la renuencia del contratista a firmar, toda vez que</w:t>
      </w:r>
      <w:r w:rsidR="00717E44" w:rsidRPr="007A177A">
        <w:rPr>
          <w:rFonts w:ascii="Arial" w:hAnsi="Arial" w:cs="Arial"/>
          <w:bCs/>
          <w:lang w:val="es-MX"/>
        </w:rPr>
        <w:t>, e</w:t>
      </w:r>
      <w:r w:rsidR="00066FFE" w:rsidRPr="007A177A">
        <w:rPr>
          <w:rFonts w:ascii="Arial" w:hAnsi="Arial" w:cs="Arial"/>
          <w:color w:val="000000"/>
        </w:rPr>
        <w:t>n cuanto a la liquidación del contrato administrativo, el Decreto</w:t>
      </w:r>
      <w:r w:rsidR="003C697E" w:rsidRPr="007A177A">
        <w:rPr>
          <w:rFonts w:ascii="Arial" w:hAnsi="Arial" w:cs="Arial"/>
          <w:color w:val="000000"/>
        </w:rPr>
        <w:t>-ley</w:t>
      </w:r>
      <w:r w:rsidR="00066FFE" w:rsidRPr="007A177A">
        <w:rPr>
          <w:rFonts w:ascii="Arial" w:hAnsi="Arial" w:cs="Arial"/>
          <w:color w:val="000000"/>
        </w:rPr>
        <w:t xml:space="preserve"> 150 de 1976 indicó la procedencia de una cuenta de liquidación unilateral, al disponer que la entidad definiría el saldo final del contrato, a cargo del contratista, mediante actas firmadas por “</w:t>
      </w:r>
      <w:r w:rsidR="00066FFE" w:rsidRPr="007A177A">
        <w:rPr>
          <w:rFonts w:ascii="Arial" w:hAnsi="Arial" w:cs="Arial"/>
          <w:i/>
          <w:iCs/>
          <w:color w:val="000000"/>
        </w:rPr>
        <w:t xml:space="preserve">el Jefe de la entidad contratante, o quien él encargue por resolución; el contratista, </w:t>
      </w:r>
      <w:r w:rsidR="00066FFE" w:rsidRPr="007A177A">
        <w:rPr>
          <w:rFonts w:ascii="Arial" w:hAnsi="Arial" w:cs="Arial"/>
          <w:b/>
          <w:bCs/>
          <w:i/>
          <w:iCs/>
          <w:color w:val="000000"/>
        </w:rPr>
        <w:t xml:space="preserve">y en el evento en que éste se negare, el interventor o quien haga sus veces, </w:t>
      </w:r>
      <w:r w:rsidR="00066FFE" w:rsidRPr="007A177A">
        <w:rPr>
          <w:rFonts w:ascii="Arial" w:hAnsi="Arial" w:cs="Arial"/>
          <w:i/>
          <w:iCs/>
          <w:color w:val="000000"/>
        </w:rPr>
        <w:t>y el respectivo Auditor Fiscal</w:t>
      </w:r>
      <w:r w:rsidR="00066FFE" w:rsidRPr="007A177A">
        <w:rPr>
          <w:rFonts w:ascii="Arial" w:hAnsi="Arial" w:cs="Arial"/>
          <w:color w:val="000000"/>
        </w:rPr>
        <w:t xml:space="preserve">”  (la negrilla no es del texto). </w:t>
      </w:r>
    </w:p>
    <w:p w14:paraId="18516AF1" w14:textId="77777777" w:rsidR="00066FFE" w:rsidRPr="007A177A" w:rsidRDefault="00066FFE" w:rsidP="00BF333B">
      <w:pPr>
        <w:spacing w:line="360" w:lineRule="auto"/>
        <w:jc w:val="both"/>
        <w:rPr>
          <w:rFonts w:ascii="Arial" w:hAnsi="Arial" w:cs="Arial"/>
          <w:color w:val="000000"/>
          <w:lang w:eastAsia="es-CO"/>
        </w:rPr>
      </w:pPr>
    </w:p>
    <w:p w14:paraId="06806982" w14:textId="77777777" w:rsidR="00066FFE" w:rsidRPr="007A177A" w:rsidRDefault="00066FFE" w:rsidP="00BF333B">
      <w:pPr>
        <w:spacing w:line="360" w:lineRule="auto"/>
        <w:jc w:val="both"/>
        <w:rPr>
          <w:rFonts w:ascii="Arial" w:hAnsi="Arial" w:cs="Arial"/>
          <w:lang w:eastAsia="es-CO"/>
        </w:rPr>
      </w:pPr>
      <w:r w:rsidRPr="007A177A">
        <w:rPr>
          <w:rFonts w:ascii="Arial" w:hAnsi="Arial" w:cs="Arial"/>
          <w:lang w:eastAsia="es-CO"/>
        </w:rPr>
        <w:t>El citado Decreto</w:t>
      </w:r>
      <w:r w:rsidR="003C697E" w:rsidRPr="007A177A">
        <w:rPr>
          <w:rFonts w:ascii="Arial" w:hAnsi="Arial" w:cs="Arial"/>
          <w:lang w:eastAsia="es-CO"/>
        </w:rPr>
        <w:t>-ley</w:t>
      </w:r>
      <w:r w:rsidRPr="007A177A">
        <w:rPr>
          <w:rFonts w:ascii="Arial" w:hAnsi="Arial" w:cs="Arial"/>
          <w:lang w:eastAsia="es-CO"/>
        </w:rPr>
        <w:t xml:space="preserve"> 150 otorgó mérito ejecutivo a las actas de liquidación en la siguiente disposición:</w:t>
      </w:r>
    </w:p>
    <w:p w14:paraId="075C5E6C" w14:textId="77777777" w:rsidR="00066FFE" w:rsidRPr="007A177A" w:rsidRDefault="00066FFE" w:rsidP="00BF333B">
      <w:pPr>
        <w:spacing w:line="254" w:lineRule="atLeast"/>
        <w:jc w:val="both"/>
        <w:rPr>
          <w:rFonts w:ascii="Arial" w:hAnsi="Arial" w:cs="Arial"/>
          <w:lang w:eastAsia="es-CO"/>
        </w:rPr>
      </w:pPr>
    </w:p>
    <w:p w14:paraId="7D9EFF91" w14:textId="77777777" w:rsidR="00066FFE" w:rsidRPr="007A177A" w:rsidRDefault="00066FFE" w:rsidP="00BF333B">
      <w:pPr>
        <w:ind w:left="567" w:right="900"/>
        <w:jc w:val="both"/>
        <w:rPr>
          <w:rFonts w:ascii="Arial" w:hAnsi="Arial" w:cs="Arial"/>
          <w:i/>
          <w:iCs/>
          <w:lang w:eastAsia="es-CO"/>
        </w:rPr>
      </w:pPr>
      <w:r w:rsidRPr="007A177A">
        <w:rPr>
          <w:rFonts w:ascii="Arial" w:hAnsi="Arial" w:cs="Arial"/>
          <w:i/>
          <w:iCs/>
          <w:lang w:eastAsia="es-CO"/>
        </w:rPr>
        <w:t>“Artículo 193. Del contenido de la liquidación. Las diligencias de liquidación, que siempre constarán en actas, determinarán las sumas de dinero que haya recibido el contratista y la ejecución de la prestación a su cargo. </w:t>
      </w:r>
    </w:p>
    <w:p w14:paraId="57BF4F91" w14:textId="77777777" w:rsidR="00066FFE" w:rsidRPr="007A177A" w:rsidRDefault="00066FFE" w:rsidP="00BF333B">
      <w:pPr>
        <w:ind w:left="567" w:right="900"/>
        <w:rPr>
          <w:rFonts w:ascii="Arial" w:hAnsi="Arial" w:cs="Arial"/>
          <w:i/>
          <w:iCs/>
          <w:lang w:eastAsia="es-CO"/>
        </w:rPr>
      </w:pPr>
      <w:r w:rsidRPr="007A177A">
        <w:rPr>
          <w:rFonts w:ascii="Arial" w:hAnsi="Arial" w:cs="Arial"/>
          <w:i/>
          <w:iCs/>
          <w:lang w:eastAsia="es-CO"/>
        </w:rPr>
        <w:t>  </w:t>
      </w:r>
    </w:p>
    <w:p w14:paraId="615C4B1C" w14:textId="77777777" w:rsidR="00066FFE" w:rsidRPr="007A177A" w:rsidRDefault="00066FFE" w:rsidP="00BF333B">
      <w:pPr>
        <w:ind w:left="567" w:right="900"/>
        <w:jc w:val="both"/>
        <w:rPr>
          <w:rFonts w:ascii="Arial" w:hAnsi="Arial" w:cs="Arial"/>
          <w:b/>
          <w:bCs/>
          <w:i/>
          <w:iCs/>
          <w:lang w:eastAsia="es-CO"/>
        </w:rPr>
      </w:pPr>
      <w:r w:rsidRPr="007A177A">
        <w:rPr>
          <w:rFonts w:ascii="Arial" w:hAnsi="Arial" w:cs="Arial"/>
          <w:i/>
          <w:iCs/>
          <w:lang w:eastAsia="es-CO"/>
        </w:rPr>
        <w:t xml:space="preserve">“Con base en dichas actas </w:t>
      </w:r>
      <w:r w:rsidRPr="007A177A">
        <w:rPr>
          <w:rFonts w:ascii="Arial" w:hAnsi="Arial" w:cs="Arial"/>
          <w:b/>
          <w:bCs/>
          <w:i/>
          <w:iCs/>
          <w:lang w:eastAsia="es-CO"/>
        </w:rPr>
        <w:t xml:space="preserve">se determinarán las obligaciones a cargo de las partes, teniendo en cuenta el valor de las sanciones por aplicar, si a ello hubiere lugar, todo de conformidad con lo acordado en el respectivo contrato.  </w:t>
      </w:r>
    </w:p>
    <w:p w14:paraId="2CBA5E6B" w14:textId="77777777" w:rsidR="00066FFE" w:rsidRPr="007A177A" w:rsidRDefault="00066FFE" w:rsidP="00BF333B">
      <w:pPr>
        <w:ind w:left="567" w:right="900"/>
        <w:jc w:val="both"/>
        <w:rPr>
          <w:rFonts w:ascii="Arial" w:hAnsi="Arial" w:cs="Arial"/>
          <w:b/>
          <w:bCs/>
          <w:i/>
          <w:iCs/>
          <w:lang w:eastAsia="es-CO"/>
        </w:rPr>
      </w:pPr>
    </w:p>
    <w:p w14:paraId="04C50245" w14:textId="77777777" w:rsidR="00066FFE" w:rsidRPr="007A177A" w:rsidRDefault="00066FFE" w:rsidP="00BF333B">
      <w:pPr>
        <w:ind w:left="567" w:right="900"/>
        <w:jc w:val="both"/>
        <w:rPr>
          <w:rFonts w:ascii="Arial" w:hAnsi="Arial" w:cs="Arial"/>
          <w:lang w:eastAsia="es-CO"/>
        </w:rPr>
      </w:pPr>
      <w:r w:rsidRPr="007A177A">
        <w:rPr>
          <w:rFonts w:ascii="Arial" w:hAnsi="Arial" w:cs="Arial"/>
          <w:i/>
          <w:iCs/>
          <w:lang w:eastAsia="es-CO"/>
        </w:rPr>
        <w:t>“</w:t>
      </w:r>
      <w:r w:rsidRPr="007A177A">
        <w:rPr>
          <w:rFonts w:ascii="Arial" w:hAnsi="Arial" w:cs="Arial"/>
          <w:b/>
          <w:bCs/>
          <w:i/>
          <w:iCs/>
          <w:lang w:eastAsia="es-CO"/>
        </w:rPr>
        <w:t xml:space="preserve">El acta final de liquidación, que deberá ser aprobada por el </w:t>
      </w:r>
      <w:proofErr w:type="gramStart"/>
      <w:r w:rsidRPr="007A177A">
        <w:rPr>
          <w:rFonts w:ascii="Arial" w:hAnsi="Arial" w:cs="Arial"/>
          <w:b/>
          <w:bCs/>
          <w:i/>
          <w:iCs/>
          <w:lang w:eastAsia="es-CO"/>
        </w:rPr>
        <w:t>Jefe</w:t>
      </w:r>
      <w:proofErr w:type="gramEnd"/>
      <w:r w:rsidRPr="007A177A">
        <w:rPr>
          <w:rFonts w:ascii="Arial" w:hAnsi="Arial" w:cs="Arial"/>
          <w:b/>
          <w:bCs/>
          <w:i/>
          <w:iCs/>
          <w:lang w:eastAsia="es-CO"/>
        </w:rPr>
        <w:t xml:space="preserve"> de la entidad contratante, si él no hubiere intervenido, presta mérito ejecutivo ante la jurisdicción coactiva contra el contratista y su garante en cuanto de ella resultaren obligaciones económicas a su </w:t>
      </w:r>
      <w:r w:rsidRPr="007A177A">
        <w:rPr>
          <w:rFonts w:ascii="Arial" w:hAnsi="Arial" w:cs="Arial"/>
          <w:b/>
          <w:bCs/>
          <w:lang w:eastAsia="es-CO"/>
        </w:rPr>
        <w:t>cargo</w:t>
      </w:r>
      <w:r w:rsidR="006F3B2D" w:rsidRPr="007A177A">
        <w:rPr>
          <w:rFonts w:ascii="Arial" w:hAnsi="Arial" w:cs="Arial"/>
          <w:bCs/>
          <w:lang w:eastAsia="es-CO"/>
        </w:rPr>
        <w:t>”</w:t>
      </w:r>
      <w:r w:rsidRPr="007A177A">
        <w:rPr>
          <w:rFonts w:ascii="Arial" w:hAnsi="Arial" w:cs="Arial"/>
          <w:lang w:eastAsia="es-CO"/>
        </w:rPr>
        <w:t> (la negrilla no es del texto).</w:t>
      </w:r>
    </w:p>
    <w:p w14:paraId="14F4CAEA" w14:textId="77777777" w:rsidR="00066FFE" w:rsidRPr="007A177A" w:rsidRDefault="00066FFE" w:rsidP="00BF333B">
      <w:pPr>
        <w:spacing w:line="254" w:lineRule="atLeast"/>
        <w:ind w:left="567" w:right="900"/>
        <w:rPr>
          <w:rFonts w:ascii="Arial" w:hAnsi="Arial" w:cs="Arial"/>
          <w:b/>
          <w:bCs/>
          <w:i/>
          <w:iCs/>
          <w:lang w:eastAsia="es-CO"/>
        </w:rPr>
      </w:pPr>
    </w:p>
    <w:p w14:paraId="0E192F2E" w14:textId="77777777" w:rsidR="00614D78" w:rsidRPr="007A177A" w:rsidRDefault="00717E44" w:rsidP="00BF333B">
      <w:pPr>
        <w:spacing w:line="360" w:lineRule="auto"/>
        <w:jc w:val="both"/>
        <w:rPr>
          <w:rFonts w:ascii="Arial" w:hAnsi="Arial" w:cs="Arial"/>
          <w:bCs/>
          <w:lang w:val="es-MX"/>
        </w:rPr>
      </w:pPr>
      <w:r w:rsidRPr="007A177A">
        <w:rPr>
          <w:rFonts w:ascii="Arial" w:hAnsi="Arial" w:cs="Arial"/>
          <w:bCs/>
          <w:lang w:val="es-MX"/>
        </w:rPr>
        <w:t>Por tanto, aunque</w:t>
      </w:r>
      <w:r w:rsidR="003C697E" w:rsidRPr="007A177A">
        <w:rPr>
          <w:rFonts w:ascii="Arial" w:hAnsi="Arial" w:cs="Arial"/>
          <w:bCs/>
          <w:lang w:val="es-MX"/>
        </w:rPr>
        <w:t xml:space="preserve"> </w:t>
      </w:r>
      <w:r w:rsidRPr="007A177A">
        <w:rPr>
          <w:rFonts w:ascii="Arial" w:hAnsi="Arial" w:cs="Arial"/>
          <w:bCs/>
          <w:lang w:val="es-MX"/>
        </w:rPr>
        <w:t>solo al expedirse el Decreto</w:t>
      </w:r>
      <w:r w:rsidR="003C697E" w:rsidRPr="007A177A">
        <w:rPr>
          <w:rFonts w:ascii="Arial" w:hAnsi="Arial" w:cs="Arial"/>
          <w:bCs/>
          <w:lang w:val="es-MX"/>
        </w:rPr>
        <w:t>-ley</w:t>
      </w:r>
      <w:r w:rsidRPr="007A177A">
        <w:rPr>
          <w:rFonts w:ascii="Arial" w:hAnsi="Arial" w:cs="Arial"/>
          <w:bCs/>
          <w:lang w:val="es-MX"/>
        </w:rPr>
        <w:t xml:space="preserve"> 222 de 1983 se estableció la exigencia de una “</w:t>
      </w:r>
      <w:r w:rsidRPr="007A177A">
        <w:rPr>
          <w:rFonts w:ascii="Arial" w:hAnsi="Arial" w:cs="Arial"/>
          <w:bCs/>
          <w:i/>
          <w:lang w:val="es-MX"/>
        </w:rPr>
        <w:t>resolución motivada”</w:t>
      </w:r>
      <w:r w:rsidRPr="007A177A">
        <w:rPr>
          <w:rFonts w:ascii="Arial" w:hAnsi="Arial" w:cs="Arial"/>
          <w:bCs/>
          <w:lang w:val="es-MX"/>
        </w:rPr>
        <w:t xml:space="preserve"> para el propósito de la liquidación unilateral, </w:t>
      </w:r>
      <w:r w:rsidR="000B2B28" w:rsidRPr="007A177A">
        <w:rPr>
          <w:rFonts w:ascii="Arial" w:hAnsi="Arial" w:cs="Arial"/>
          <w:bCs/>
          <w:lang w:val="es-MX"/>
        </w:rPr>
        <w:t xml:space="preserve">puede considerarse </w:t>
      </w:r>
      <w:r w:rsidRPr="007A177A">
        <w:rPr>
          <w:rFonts w:ascii="Arial" w:hAnsi="Arial" w:cs="Arial"/>
          <w:bCs/>
          <w:lang w:val="es-MX"/>
        </w:rPr>
        <w:t xml:space="preserve">que los documentos aportados </w:t>
      </w:r>
      <w:r w:rsidR="002E2E7A" w:rsidRPr="007A177A">
        <w:rPr>
          <w:rFonts w:ascii="Arial" w:hAnsi="Arial" w:cs="Arial"/>
          <w:bCs/>
          <w:lang w:val="es-MX"/>
        </w:rPr>
        <w:t xml:space="preserve">constituyen prueba </w:t>
      </w:r>
      <w:r w:rsidRPr="007A177A">
        <w:rPr>
          <w:rFonts w:ascii="Arial" w:hAnsi="Arial" w:cs="Arial"/>
          <w:bCs/>
          <w:lang w:val="es-MX"/>
        </w:rPr>
        <w:t xml:space="preserve">de las cantidades finalmente liquidadas y de la fuerza ejecutiva que tenía esa </w:t>
      </w:r>
      <w:r w:rsidR="000B2B28" w:rsidRPr="007A177A">
        <w:rPr>
          <w:rFonts w:ascii="Arial" w:hAnsi="Arial" w:cs="Arial"/>
          <w:bCs/>
          <w:lang w:val="es-MX"/>
        </w:rPr>
        <w:t>liquidación</w:t>
      </w:r>
      <w:r w:rsidR="002E2E7A" w:rsidRPr="007A177A">
        <w:rPr>
          <w:rFonts w:ascii="Arial" w:hAnsi="Arial" w:cs="Arial"/>
          <w:bCs/>
          <w:lang w:val="es-MX"/>
        </w:rPr>
        <w:t>, tanto así que con base en ella se podía cobrar el saldo a cargo del contratista</w:t>
      </w:r>
      <w:r w:rsidR="00614D78" w:rsidRPr="007A177A">
        <w:rPr>
          <w:rFonts w:ascii="Arial" w:hAnsi="Arial" w:cs="Arial"/>
          <w:bCs/>
          <w:lang w:val="es-MX"/>
        </w:rPr>
        <w:t>.</w:t>
      </w:r>
    </w:p>
    <w:p w14:paraId="7733A5B7" w14:textId="77777777" w:rsidR="00817950" w:rsidRPr="007A177A" w:rsidRDefault="00817950" w:rsidP="00BF333B">
      <w:pPr>
        <w:spacing w:line="360" w:lineRule="auto"/>
        <w:jc w:val="both"/>
        <w:rPr>
          <w:rFonts w:ascii="Arial" w:hAnsi="Arial" w:cs="Arial"/>
          <w:bCs/>
          <w:lang w:val="es-MX"/>
        </w:rPr>
      </w:pPr>
    </w:p>
    <w:p w14:paraId="13694B8E" w14:textId="77777777" w:rsidR="00817950" w:rsidRPr="007A177A" w:rsidRDefault="00C25B3C" w:rsidP="00BF333B">
      <w:pPr>
        <w:spacing w:line="360" w:lineRule="auto"/>
        <w:jc w:val="both"/>
        <w:rPr>
          <w:rFonts w:ascii="Arial" w:hAnsi="Arial" w:cs="Arial"/>
          <w:bCs/>
          <w:lang w:val="es-MX"/>
        </w:rPr>
      </w:pPr>
      <w:r w:rsidRPr="007A177A">
        <w:rPr>
          <w:rFonts w:ascii="Arial" w:hAnsi="Arial" w:cs="Arial"/>
          <w:bCs/>
          <w:lang w:val="es-MX"/>
        </w:rPr>
        <w:t xml:space="preserve">Como consecuencia, </w:t>
      </w:r>
      <w:r w:rsidR="007E6388" w:rsidRPr="007A177A">
        <w:rPr>
          <w:rFonts w:ascii="Arial" w:hAnsi="Arial" w:cs="Arial"/>
          <w:bCs/>
          <w:lang w:val="es-MX"/>
        </w:rPr>
        <w:t xml:space="preserve">proceden los argumentos del Invías y </w:t>
      </w:r>
      <w:r w:rsidR="00817950" w:rsidRPr="007A177A">
        <w:rPr>
          <w:rFonts w:ascii="Arial" w:hAnsi="Arial" w:cs="Arial"/>
          <w:bCs/>
          <w:lang w:val="es-MX"/>
        </w:rPr>
        <w:t xml:space="preserve">se derrumba la consideración de que quedaron cantidades </w:t>
      </w:r>
      <w:r w:rsidR="007E6388" w:rsidRPr="007A177A">
        <w:rPr>
          <w:rFonts w:ascii="Arial" w:hAnsi="Arial" w:cs="Arial"/>
          <w:bCs/>
          <w:lang w:val="es-MX"/>
        </w:rPr>
        <w:t xml:space="preserve">de obra </w:t>
      </w:r>
      <w:r w:rsidR="00817950" w:rsidRPr="007A177A">
        <w:rPr>
          <w:rFonts w:ascii="Arial" w:hAnsi="Arial" w:cs="Arial"/>
          <w:bCs/>
          <w:lang w:val="es-MX"/>
        </w:rPr>
        <w:t>por pagar al término del contrato.</w:t>
      </w:r>
    </w:p>
    <w:p w14:paraId="4984339E" w14:textId="77777777" w:rsidR="00614D78" w:rsidRPr="007A177A" w:rsidRDefault="00614D78" w:rsidP="00BF333B">
      <w:pPr>
        <w:spacing w:line="360" w:lineRule="auto"/>
        <w:jc w:val="both"/>
        <w:rPr>
          <w:rFonts w:ascii="Arial" w:hAnsi="Arial" w:cs="Arial"/>
          <w:bCs/>
          <w:lang w:val="es-MX"/>
        </w:rPr>
      </w:pPr>
    </w:p>
    <w:p w14:paraId="6FBD149B" w14:textId="77777777" w:rsidR="00265601" w:rsidRPr="007A177A" w:rsidRDefault="00937F5A" w:rsidP="00BF333B">
      <w:pPr>
        <w:spacing w:line="360" w:lineRule="auto"/>
        <w:jc w:val="both"/>
        <w:rPr>
          <w:rFonts w:ascii="Arial" w:hAnsi="Arial" w:cs="Arial"/>
        </w:rPr>
      </w:pPr>
      <w:r w:rsidRPr="007A177A">
        <w:rPr>
          <w:rFonts w:ascii="Arial" w:hAnsi="Arial" w:cs="Arial"/>
          <w:b/>
          <w:lang w:val="es-MX"/>
        </w:rPr>
        <w:t>9</w:t>
      </w:r>
      <w:r w:rsidR="00DF76F9" w:rsidRPr="007A177A">
        <w:rPr>
          <w:rFonts w:ascii="Arial" w:hAnsi="Arial" w:cs="Arial"/>
          <w:b/>
          <w:lang w:val="es-MX"/>
        </w:rPr>
        <w:t>.2.8</w:t>
      </w:r>
      <w:r w:rsidR="00265601" w:rsidRPr="007A177A">
        <w:rPr>
          <w:rFonts w:ascii="Arial" w:hAnsi="Arial" w:cs="Arial"/>
          <w:b/>
          <w:lang w:val="es-MX"/>
        </w:rPr>
        <w:t>.</w:t>
      </w:r>
      <w:r w:rsidR="00265601" w:rsidRPr="007A177A">
        <w:rPr>
          <w:rFonts w:ascii="Arial" w:hAnsi="Arial" w:cs="Arial"/>
        </w:rPr>
        <w:t xml:space="preserve"> </w:t>
      </w:r>
      <w:r w:rsidR="00817950" w:rsidRPr="007A177A">
        <w:rPr>
          <w:rFonts w:ascii="Arial" w:hAnsi="Arial" w:cs="Arial"/>
        </w:rPr>
        <w:t xml:space="preserve">Siguiendo con las pruebas, se observa que </w:t>
      </w:r>
      <w:r w:rsidR="0068541A" w:rsidRPr="007A177A">
        <w:rPr>
          <w:rFonts w:ascii="Arial" w:hAnsi="Arial" w:cs="Arial"/>
        </w:rPr>
        <w:t xml:space="preserve">tres </w:t>
      </w:r>
      <w:r w:rsidR="00817950" w:rsidRPr="007A177A">
        <w:rPr>
          <w:rFonts w:ascii="Arial" w:hAnsi="Arial" w:cs="Arial"/>
        </w:rPr>
        <w:t>añ</w:t>
      </w:r>
      <w:r w:rsidR="00265601" w:rsidRPr="007A177A">
        <w:rPr>
          <w:rFonts w:ascii="Arial" w:hAnsi="Arial" w:cs="Arial"/>
        </w:rPr>
        <w:t>os desp</w:t>
      </w:r>
      <w:r w:rsidR="008D57B4" w:rsidRPr="007A177A">
        <w:rPr>
          <w:rFonts w:ascii="Arial" w:hAnsi="Arial" w:cs="Arial"/>
        </w:rPr>
        <w:t>ués</w:t>
      </w:r>
      <w:r w:rsidR="00265601" w:rsidRPr="007A177A">
        <w:rPr>
          <w:rFonts w:ascii="Arial" w:hAnsi="Arial" w:cs="Arial"/>
        </w:rPr>
        <w:t xml:space="preserve"> del levantamiento de las actas unilaterales, </w:t>
      </w:r>
      <w:r w:rsidR="00B73D25" w:rsidRPr="007A177A">
        <w:rPr>
          <w:rFonts w:ascii="Arial" w:hAnsi="Arial" w:cs="Arial"/>
        </w:rPr>
        <w:t xml:space="preserve">el </w:t>
      </w:r>
      <w:r w:rsidR="00265601" w:rsidRPr="007A177A">
        <w:rPr>
          <w:rFonts w:ascii="Arial" w:hAnsi="Arial" w:cs="Arial"/>
        </w:rPr>
        <w:t xml:space="preserve">contratista </w:t>
      </w:r>
      <w:r w:rsidR="001B4695" w:rsidRPr="007A177A">
        <w:rPr>
          <w:rFonts w:ascii="Arial" w:hAnsi="Arial" w:cs="Arial"/>
        </w:rPr>
        <w:t>retomó el tema y solicitó, en c</w:t>
      </w:r>
      <w:r w:rsidR="00265601" w:rsidRPr="007A177A">
        <w:rPr>
          <w:rFonts w:ascii="Arial" w:hAnsi="Arial" w:cs="Arial"/>
        </w:rPr>
        <w:t xml:space="preserve">omunicación de </w:t>
      </w:r>
      <w:r w:rsidR="007E6388" w:rsidRPr="007A177A">
        <w:rPr>
          <w:rFonts w:ascii="Arial" w:hAnsi="Arial" w:cs="Arial"/>
        </w:rPr>
        <w:t>m</w:t>
      </w:r>
      <w:r w:rsidR="00265601" w:rsidRPr="007A177A">
        <w:rPr>
          <w:rFonts w:ascii="Arial" w:hAnsi="Arial" w:cs="Arial"/>
        </w:rPr>
        <w:t>arzo 1 de 1985</w:t>
      </w:r>
      <w:r w:rsidR="003C697E" w:rsidRPr="007A177A">
        <w:rPr>
          <w:rFonts w:ascii="Arial" w:hAnsi="Arial" w:cs="Arial"/>
        </w:rPr>
        <w:t>,</w:t>
      </w:r>
      <w:r w:rsidR="00265601" w:rsidRPr="007A177A">
        <w:rPr>
          <w:rFonts w:ascii="Arial" w:hAnsi="Arial" w:cs="Arial"/>
        </w:rPr>
        <w:t xml:space="preserve"> </w:t>
      </w:r>
      <w:r w:rsidR="001B4695" w:rsidRPr="007A177A">
        <w:rPr>
          <w:rFonts w:ascii="Arial" w:hAnsi="Arial" w:cs="Arial"/>
        </w:rPr>
        <w:t xml:space="preserve">dirigida al </w:t>
      </w:r>
      <w:r w:rsidR="00265601" w:rsidRPr="007A177A">
        <w:rPr>
          <w:rFonts w:ascii="Arial" w:hAnsi="Arial" w:cs="Arial"/>
        </w:rPr>
        <w:t>secretario general y técnico del Ministerio de Obras Públicas</w:t>
      </w:r>
      <w:r w:rsidR="001B4695" w:rsidRPr="007A177A">
        <w:rPr>
          <w:rFonts w:ascii="Arial" w:hAnsi="Arial" w:cs="Arial"/>
        </w:rPr>
        <w:t xml:space="preserve">, </w:t>
      </w:r>
      <w:r w:rsidR="00265601" w:rsidRPr="007A177A">
        <w:rPr>
          <w:rFonts w:ascii="Arial" w:hAnsi="Arial" w:cs="Arial"/>
        </w:rPr>
        <w:t>la designación de un representante para realizar la liquidación de las obras.</w:t>
      </w:r>
    </w:p>
    <w:p w14:paraId="43CC60D7" w14:textId="77777777" w:rsidR="00265601" w:rsidRPr="007A177A" w:rsidRDefault="00265601" w:rsidP="00BF333B">
      <w:pPr>
        <w:spacing w:line="360" w:lineRule="auto"/>
        <w:jc w:val="both"/>
        <w:rPr>
          <w:rFonts w:ascii="Arial" w:hAnsi="Arial" w:cs="Arial"/>
        </w:rPr>
      </w:pPr>
    </w:p>
    <w:p w14:paraId="12ABEC8E" w14:textId="77777777" w:rsidR="00265601" w:rsidRPr="007A177A" w:rsidRDefault="00937F5A" w:rsidP="00BF333B">
      <w:pPr>
        <w:spacing w:line="360" w:lineRule="auto"/>
        <w:jc w:val="both"/>
        <w:rPr>
          <w:rFonts w:ascii="Arial" w:hAnsi="Arial" w:cs="Arial"/>
          <w:i/>
        </w:rPr>
      </w:pPr>
      <w:r w:rsidRPr="007A177A">
        <w:rPr>
          <w:rFonts w:ascii="Arial" w:hAnsi="Arial" w:cs="Arial"/>
          <w:b/>
          <w:bCs/>
        </w:rPr>
        <w:t>9</w:t>
      </w:r>
      <w:r w:rsidR="00DF76F9" w:rsidRPr="007A177A">
        <w:rPr>
          <w:rFonts w:ascii="Arial" w:hAnsi="Arial" w:cs="Arial"/>
          <w:b/>
          <w:bCs/>
        </w:rPr>
        <w:t>.2.9.</w:t>
      </w:r>
      <w:r w:rsidR="001B4695" w:rsidRPr="007A177A">
        <w:rPr>
          <w:rFonts w:ascii="Arial" w:hAnsi="Arial" w:cs="Arial"/>
        </w:rPr>
        <w:t xml:space="preserve"> En atención a lo anterior, </w:t>
      </w:r>
      <w:r w:rsidR="00A01E6C" w:rsidRPr="007A177A">
        <w:rPr>
          <w:rFonts w:ascii="Arial" w:hAnsi="Arial" w:cs="Arial"/>
        </w:rPr>
        <w:t xml:space="preserve">dos </w:t>
      </w:r>
      <w:r w:rsidR="00FB0138" w:rsidRPr="007A177A">
        <w:rPr>
          <w:rFonts w:ascii="Arial" w:hAnsi="Arial" w:cs="Arial"/>
        </w:rPr>
        <w:t xml:space="preserve">años después de acta de 9 de marzo de 1983 el </w:t>
      </w:r>
      <w:r w:rsidR="00D1634E" w:rsidRPr="007A177A">
        <w:rPr>
          <w:rFonts w:ascii="Arial" w:hAnsi="Arial" w:cs="Arial"/>
        </w:rPr>
        <w:t>M</w:t>
      </w:r>
      <w:r w:rsidR="00FB0138" w:rsidRPr="007A177A">
        <w:rPr>
          <w:rFonts w:ascii="Arial" w:hAnsi="Arial" w:cs="Arial"/>
        </w:rPr>
        <w:t>inisterio</w:t>
      </w:r>
      <w:r w:rsidR="00D1634E" w:rsidRPr="007A177A">
        <w:rPr>
          <w:rFonts w:ascii="Arial" w:hAnsi="Arial" w:cs="Arial"/>
        </w:rPr>
        <w:t xml:space="preserve"> de Obras Públicas y Transporte </w:t>
      </w:r>
      <w:r w:rsidR="00FB0138" w:rsidRPr="007A177A">
        <w:rPr>
          <w:rFonts w:ascii="Arial" w:hAnsi="Arial" w:cs="Arial"/>
        </w:rPr>
        <w:t xml:space="preserve">pareció aceptar que revisaría el tema, dado que </w:t>
      </w:r>
      <w:r w:rsidR="001B4695" w:rsidRPr="007A177A">
        <w:rPr>
          <w:rFonts w:ascii="Arial" w:hAnsi="Arial" w:cs="Arial"/>
        </w:rPr>
        <w:t>mediante R</w:t>
      </w:r>
      <w:r w:rsidR="00265601" w:rsidRPr="007A177A">
        <w:rPr>
          <w:rFonts w:ascii="Arial" w:hAnsi="Arial" w:cs="Arial"/>
        </w:rPr>
        <w:t>esolución 001900095 de 19 de noviembre de 1985</w:t>
      </w:r>
      <w:r w:rsidR="003C697E" w:rsidRPr="007A177A">
        <w:rPr>
          <w:rFonts w:ascii="Arial" w:hAnsi="Arial" w:cs="Arial"/>
        </w:rPr>
        <w:t>,</w:t>
      </w:r>
      <w:r w:rsidR="00265601" w:rsidRPr="007A177A">
        <w:rPr>
          <w:rFonts w:ascii="Arial" w:hAnsi="Arial" w:cs="Arial"/>
        </w:rPr>
        <w:t xml:space="preserve"> el </w:t>
      </w:r>
      <w:r w:rsidR="00817950" w:rsidRPr="007A177A">
        <w:rPr>
          <w:rFonts w:ascii="Arial" w:hAnsi="Arial" w:cs="Arial"/>
        </w:rPr>
        <w:t>d</w:t>
      </w:r>
      <w:r w:rsidR="00265601" w:rsidRPr="007A177A">
        <w:rPr>
          <w:rFonts w:ascii="Arial" w:hAnsi="Arial" w:cs="Arial"/>
        </w:rPr>
        <w:t xml:space="preserve">irector de </w:t>
      </w:r>
      <w:r w:rsidR="00817950" w:rsidRPr="007A177A">
        <w:rPr>
          <w:rFonts w:ascii="Arial" w:hAnsi="Arial" w:cs="Arial"/>
        </w:rPr>
        <w:t>c</w:t>
      </w:r>
      <w:r w:rsidR="00265601" w:rsidRPr="007A177A">
        <w:rPr>
          <w:rFonts w:ascii="Arial" w:hAnsi="Arial" w:cs="Arial"/>
        </w:rPr>
        <w:t>arreteras nombr</w:t>
      </w:r>
      <w:r w:rsidR="001B4695" w:rsidRPr="007A177A">
        <w:rPr>
          <w:rFonts w:ascii="Arial" w:hAnsi="Arial" w:cs="Arial"/>
        </w:rPr>
        <w:t xml:space="preserve">ó </w:t>
      </w:r>
      <w:r w:rsidR="00265601" w:rsidRPr="007A177A">
        <w:rPr>
          <w:rFonts w:ascii="Arial" w:hAnsi="Arial" w:cs="Arial"/>
        </w:rPr>
        <w:t>dos delegados para realizar y valorar la liquidación del contrato</w:t>
      </w:r>
      <w:r w:rsidR="00265601" w:rsidRPr="007A177A">
        <w:rPr>
          <w:rFonts w:ascii="Arial" w:hAnsi="Arial" w:cs="Arial"/>
          <w:i/>
        </w:rPr>
        <w:t>, “previa evaluación de las cantidades de obra”</w:t>
      </w:r>
      <w:r w:rsidR="00265601" w:rsidRPr="007A177A">
        <w:rPr>
          <w:rStyle w:val="Refdenotaalpie"/>
          <w:rFonts w:ascii="Arial" w:hAnsi="Arial" w:cs="Arial"/>
          <w:i/>
        </w:rPr>
        <w:footnoteReference w:id="110"/>
      </w:r>
      <w:r w:rsidR="00265601" w:rsidRPr="007A177A">
        <w:rPr>
          <w:rFonts w:ascii="Arial" w:hAnsi="Arial" w:cs="Arial"/>
          <w:i/>
        </w:rPr>
        <w:t xml:space="preserve">.  </w:t>
      </w:r>
    </w:p>
    <w:p w14:paraId="2A3565C1" w14:textId="77777777" w:rsidR="00265601" w:rsidRPr="007A177A" w:rsidRDefault="00265601" w:rsidP="00BF333B">
      <w:pPr>
        <w:spacing w:line="360" w:lineRule="auto"/>
        <w:jc w:val="both"/>
        <w:rPr>
          <w:rFonts w:ascii="Arial" w:hAnsi="Arial" w:cs="Arial"/>
        </w:rPr>
      </w:pPr>
    </w:p>
    <w:p w14:paraId="5D8D76BA" w14:textId="77777777" w:rsidR="00265601" w:rsidRPr="007A177A" w:rsidRDefault="00937F5A" w:rsidP="00BF333B">
      <w:pPr>
        <w:spacing w:line="360" w:lineRule="auto"/>
        <w:jc w:val="both"/>
        <w:rPr>
          <w:rFonts w:ascii="Arial" w:hAnsi="Arial" w:cs="Arial"/>
        </w:rPr>
      </w:pPr>
      <w:r w:rsidRPr="007A177A">
        <w:rPr>
          <w:rFonts w:ascii="Arial" w:hAnsi="Arial" w:cs="Arial"/>
          <w:b/>
        </w:rPr>
        <w:t>9</w:t>
      </w:r>
      <w:r w:rsidR="00DF76F9" w:rsidRPr="007A177A">
        <w:rPr>
          <w:rFonts w:ascii="Arial" w:hAnsi="Arial" w:cs="Arial"/>
          <w:b/>
        </w:rPr>
        <w:t>.2.10.</w:t>
      </w:r>
      <w:r w:rsidR="001B4695" w:rsidRPr="007A177A">
        <w:rPr>
          <w:rFonts w:ascii="Arial" w:hAnsi="Arial" w:cs="Arial"/>
        </w:rPr>
        <w:t xml:space="preserve"> </w:t>
      </w:r>
      <w:r w:rsidR="00A7322C" w:rsidRPr="007A177A">
        <w:rPr>
          <w:rFonts w:ascii="Arial" w:hAnsi="Arial" w:cs="Arial"/>
        </w:rPr>
        <w:t>La Sala entiende que en esa oportunidad se estaba revisando el estado de cumplimiento d</w:t>
      </w:r>
      <w:r w:rsidR="00B73D25" w:rsidRPr="007A177A">
        <w:rPr>
          <w:rFonts w:ascii="Arial" w:hAnsi="Arial" w:cs="Arial"/>
        </w:rPr>
        <w:t>el</w:t>
      </w:r>
      <w:r w:rsidR="00A7322C" w:rsidRPr="007A177A">
        <w:rPr>
          <w:rFonts w:ascii="Arial" w:hAnsi="Arial" w:cs="Arial"/>
        </w:rPr>
        <w:t xml:space="preserve"> contratista, de cara a nuevas licitaciones</w:t>
      </w:r>
      <w:r w:rsidR="003C697E" w:rsidRPr="007A177A">
        <w:rPr>
          <w:rFonts w:ascii="Arial" w:hAnsi="Arial" w:cs="Arial"/>
        </w:rPr>
        <w:t>,</w:t>
      </w:r>
      <w:r w:rsidR="00A7322C" w:rsidRPr="007A177A">
        <w:rPr>
          <w:rFonts w:ascii="Arial" w:hAnsi="Arial" w:cs="Arial"/>
        </w:rPr>
        <w:t xml:space="preserve"> por cuanto mediante c</w:t>
      </w:r>
      <w:r w:rsidR="00265601" w:rsidRPr="007A177A">
        <w:rPr>
          <w:rFonts w:ascii="Arial" w:hAnsi="Arial" w:cs="Arial"/>
        </w:rPr>
        <w:t xml:space="preserve">omunicación No. 160-85 de diciembre 11 de 1985 dirigida al Ministerio de Obras Públicas, Botero Aguilar y </w:t>
      </w:r>
      <w:proofErr w:type="spellStart"/>
      <w:r w:rsidR="00265601" w:rsidRPr="007A177A">
        <w:rPr>
          <w:rFonts w:ascii="Arial" w:hAnsi="Arial" w:cs="Arial"/>
        </w:rPr>
        <w:t>Cia</w:t>
      </w:r>
      <w:proofErr w:type="spellEnd"/>
      <w:r w:rsidR="00265601" w:rsidRPr="007A177A">
        <w:rPr>
          <w:rFonts w:ascii="Arial" w:hAnsi="Arial" w:cs="Arial"/>
        </w:rPr>
        <w:t xml:space="preserve"> </w:t>
      </w:r>
      <w:r w:rsidR="00A7322C" w:rsidRPr="007A177A">
        <w:rPr>
          <w:rFonts w:ascii="Arial" w:hAnsi="Arial" w:cs="Arial"/>
        </w:rPr>
        <w:t xml:space="preserve">remitió el </w:t>
      </w:r>
      <w:r w:rsidR="00265601" w:rsidRPr="007A177A">
        <w:rPr>
          <w:rFonts w:ascii="Arial" w:hAnsi="Arial" w:cs="Arial"/>
        </w:rPr>
        <w:t>acta de autorización de la junta de socios para</w:t>
      </w:r>
      <w:r w:rsidR="003C697E" w:rsidRPr="007A177A">
        <w:rPr>
          <w:rFonts w:ascii="Arial" w:hAnsi="Arial" w:cs="Arial"/>
        </w:rPr>
        <w:t xml:space="preserve"> participar en</w:t>
      </w:r>
      <w:r w:rsidR="00265601" w:rsidRPr="007A177A">
        <w:rPr>
          <w:rFonts w:ascii="Arial" w:hAnsi="Arial" w:cs="Arial"/>
        </w:rPr>
        <w:t xml:space="preserve"> la </w:t>
      </w:r>
      <w:r w:rsidR="00265601" w:rsidRPr="007A177A">
        <w:rPr>
          <w:rFonts w:ascii="Arial" w:hAnsi="Arial" w:cs="Arial"/>
          <w:i/>
        </w:rPr>
        <w:t>“Licitación 033-85 adjudicada por el Fondo Vial Nacional”.</w:t>
      </w:r>
    </w:p>
    <w:p w14:paraId="1710A0B4" w14:textId="77777777" w:rsidR="00265601" w:rsidRPr="007A177A" w:rsidRDefault="00265601" w:rsidP="00BF333B">
      <w:pPr>
        <w:spacing w:line="360" w:lineRule="auto"/>
        <w:jc w:val="both"/>
        <w:rPr>
          <w:rFonts w:ascii="Arial" w:hAnsi="Arial" w:cs="Arial"/>
        </w:rPr>
      </w:pPr>
      <w:r w:rsidRPr="007A177A">
        <w:rPr>
          <w:rFonts w:ascii="Arial" w:hAnsi="Arial" w:cs="Arial"/>
        </w:rPr>
        <w:t>.</w:t>
      </w:r>
    </w:p>
    <w:p w14:paraId="73F1D8C7" w14:textId="77777777" w:rsidR="008D57B4" w:rsidRPr="007A177A" w:rsidRDefault="00937F5A" w:rsidP="00BF333B">
      <w:pPr>
        <w:spacing w:line="360" w:lineRule="auto"/>
        <w:jc w:val="both"/>
        <w:rPr>
          <w:rFonts w:ascii="Arial" w:hAnsi="Arial" w:cs="Arial"/>
        </w:rPr>
      </w:pPr>
      <w:r w:rsidRPr="007A177A">
        <w:rPr>
          <w:rFonts w:ascii="Arial" w:hAnsi="Arial" w:cs="Arial"/>
          <w:b/>
        </w:rPr>
        <w:t>9</w:t>
      </w:r>
      <w:r w:rsidR="00DF76F9" w:rsidRPr="007A177A">
        <w:rPr>
          <w:rFonts w:ascii="Arial" w:hAnsi="Arial" w:cs="Arial"/>
          <w:b/>
        </w:rPr>
        <w:t>.2.11.</w:t>
      </w:r>
      <w:r w:rsidR="00A7322C" w:rsidRPr="007A177A">
        <w:rPr>
          <w:rFonts w:ascii="Arial" w:hAnsi="Arial" w:cs="Arial"/>
        </w:rPr>
        <w:t xml:space="preserve"> También se </w:t>
      </w:r>
      <w:r w:rsidR="002E2E7A" w:rsidRPr="007A177A">
        <w:rPr>
          <w:rFonts w:ascii="Arial" w:hAnsi="Arial" w:cs="Arial"/>
        </w:rPr>
        <w:t xml:space="preserve">advierte </w:t>
      </w:r>
      <w:r w:rsidR="00A7322C" w:rsidRPr="007A177A">
        <w:rPr>
          <w:rFonts w:ascii="Arial" w:hAnsi="Arial" w:cs="Arial"/>
        </w:rPr>
        <w:t>que</w:t>
      </w:r>
      <w:r w:rsidR="00887652" w:rsidRPr="007A177A">
        <w:rPr>
          <w:rFonts w:ascii="Arial" w:hAnsi="Arial" w:cs="Arial"/>
        </w:rPr>
        <w:t>,</w:t>
      </w:r>
      <w:r w:rsidR="00A7322C" w:rsidRPr="007A177A">
        <w:rPr>
          <w:rFonts w:ascii="Arial" w:hAnsi="Arial" w:cs="Arial"/>
        </w:rPr>
        <w:t xml:space="preserve"> mediante c</w:t>
      </w:r>
      <w:r w:rsidR="00265601" w:rsidRPr="007A177A">
        <w:rPr>
          <w:rFonts w:ascii="Arial" w:hAnsi="Arial" w:cs="Arial"/>
        </w:rPr>
        <w:t>omunicación No. 031-86 de junio 18 de 1986</w:t>
      </w:r>
      <w:r w:rsidR="00887652" w:rsidRPr="007A177A">
        <w:rPr>
          <w:rFonts w:ascii="Arial" w:hAnsi="Arial" w:cs="Arial"/>
        </w:rPr>
        <w:t>,</w:t>
      </w:r>
      <w:r w:rsidR="00265601" w:rsidRPr="007A177A">
        <w:rPr>
          <w:rFonts w:ascii="Arial" w:hAnsi="Arial" w:cs="Arial"/>
        </w:rPr>
        <w:t xml:space="preserve"> </w:t>
      </w:r>
      <w:proofErr w:type="spellStart"/>
      <w:r w:rsidR="00265601" w:rsidRPr="007A177A">
        <w:rPr>
          <w:rFonts w:ascii="Arial" w:hAnsi="Arial" w:cs="Arial"/>
        </w:rPr>
        <w:t>Conic</w:t>
      </w:r>
      <w:proofErr w:type="spellEnd"/>
      <w:r w:rsidR="00265601" w:rsidRPr="007A177A">
        <w:rPr>
          <w:rFonts w:ascii="Arial" w:hAnsi="Arial" w:cs="Arial"/>
        </w:rPr>
        <w:t xml:space="preserve"> </w:t>
      </w:r>
      <w:proofErr w:type="spellStart"/>
      <w:r w:rsidR="00265601" w:rsidRPr="007A177A">
        <w:rPr>
          <w:rFonts w:ascii="Arial" w:hAnsi="Arial" w:cs="Arial"/>
        </w:rPr>
        <w:t>Ltda</w:t>
      </w:r>
      <w:proofErr w:type="spellEnd"/>
      <w:r w:rsidR="00265601" w:rsidRPr="007A177A">
        <w:rPr>
          <w:rFonts w:ascii="Arial" w:hAnsi="Arial" w:cs="Arial"/>
        </w:rPr>
        <w:t xml:space="preserve"> present</w:t>
      </w:r>
      <w:r w:rsidR="008D57B4" w:rsidRPr="007A177A">
        <w:rPr>
          <w:rFonts w:ascii="Arial" w:hAnsi="Arial" w:cs="Arial"/>
        </w:rPr>
        <w:t>ó</w:t>
      </w:r>
      <w:r w:rsidR="00265601" w:rsidRPr="007A177A">
        <w:rPr>
          <w:rFonts w:ascii="Arial" w:hAnsi="Arial" w:cs="Arial"/>
        </w:rPr>
        <w:t xml:space="preserve"> una solicitud para revisión de precios unitarios del Contrato 358 de 1976</w:t>
      </w:r>
      <w:r w:rsidR="008D57B4" w:rsidRPr="007A177A">
        <w:rPr>
          <w:rFonts w:ascii="Arial" w:hAnsi="Arial" w:cs="Arial"/>
        </w:rPr>
        <w:t xml:space="preserve">, retomando </w:t>
      </w:r>
      <w:r w:rsidR="004318AC" w:rsidRPr="007A177A">
        <w:rPr>
          <w:rFonts w:ascii="Arial" w:hAnsi="Arial" w:cs="Arial"/>
        </w:rPr>
        <w:t>el</w:t>
      </w:r>
      <w:r w:rsidR="008D57B4" w:rsidRPr="007A177A">
        <w:rPr>
          <w:rFonts w:ascii="Arial" w:hAnsi="Arial" w:cs="Arial"/>
        </w:rPr>
        <w:t xml:space="preserve"> asunto </w:t>
      </w:r>
      <w:r w:rsidR="00887652" w:rsidRPr="007A177A">
        <w:rPr>
          <w:rFonts w:ascii="Arial" w:hAnsi="Arial" w:cs="Arial"/>
        </w:rPr>
        <w:t>para</w:t>
      </w:r>
      <w:r w:rsidR="004318AC" w:rsidRPr="007A177A">
        <w:rPr>
          <w:rFonts w:ascii="Arial" w:hAnsi="Arial" w:cs="Arial"/>
        </w:rPr>
        <w:t xml:space="preserve"> </w:t>
      </w:r>
      <w:r w:rsidR="008D57B4" w:rsidRPr="007A177A">
        <w:rPr>
          <w:rFonts w:ascii="Arial" w:hAnsi="Arial" w:cs="Arial"/>
        </w:rPr>
        <w:t xml:space="preserve">reabrir </w:t>
      </w:r>
      <w:r w:rsidR="00817950" w:rsidRPr="007A177A">
        <w:rPr>
          <w:rFonts w:ascii="Arial" w:hAnsi="Arial" w:cs="Arial"/>
        </w:rPr>
        <w:t xml:space="preserve">una </w:t>
      </w:r>
      <w:r w:rsidR="008D57B4" w:rsidRPr="007A177A">
        <w:rPr>
          <w:rFonts w:ascii="Arial" w:hAnsi="Arial" w:cs="Arial"/>
        </w:rPr>
        <w:t xml:space="preserve">solicitud </w:t>
      </w:r>
      <w:r w:rsidR="00817950" w:rsidRPr="007A177A">
        <w:rPr>
          <w:rFonts w:ascii="Arial" w:hAnsi="Arial" w:cs="Arial"/>
        </w:rPr>
        <w:t>-</w:t>
      </w:r>
      <w:r w:rsidR="00817950" w:rsidRPr="007A177A">
        <w:rPr>
          <w:rFonts w:ascii="Arial" w:hAnsi="Arial" w:cs="Arial"/>
          <w:i/>
        </w:rPr>
        <w:t>sobre el material de roca</w:t>
      </w:r>
      <w:r w:rsidR="00817950" w:rsidRPr="007A177A">
        <w:rPr>
          <w:rFonts w:ascii="Arial" w:hAnsi="Arial" w:cs="Arial"/>
        </w:rPr>
        <w:t xml:space="preserve">- </w:t>
      </w:r>
      <w:r w:rsidR="008D57B4" w:rsidRPr="007A177A">
        <w:rPr>
          <w:rFonts w:ascii="Arial" w:hAnsi="Arial" w:cs="Arial"/>
        </w:rPr>
        <w:t>que no le fue aprobada a</w:t>
      </w:r>
      <w:r w:rsidR="00B73D25" w:rsidRPr="007A177A">
        <w:rPr>
          <w:rFonts w:ascii="Arial" w:hAnsi="Arial" w:cs="Arial"/>
        </w:rPr>
        <w:t xml:space="preserve">l </w:t>
      </w:r>
      <w:r w:rsidR="008D57B4" w:rsidRPr="007A177A">
        <w:rPr>
          <w:rFonts w:ascii="Arial" w:hAnsi="Arial" w:cs="Arial"/>
        </w:rPr>
        <w:t xml:space="preserve">contratista. </w:t>
      </w:r>
    </w:p>
    <w:p w14:paraId="20163DC2" w14:textId="77777777" w:rsidR="00265601" w:rsidRPr="007A177A" w:rsidRDefault="00265601" w:rsidP="00BF333B">
      <w:pPr>
        <w:spacing w:line="360" w:lineRule="auto"/>
        <w:jc w:val="both"/>
        <w:rPr>
          <w:rFonts w:ascii="Arial" w:hAnsi="Arial" w:cs="Arial"/>
        </w:rPr>
      </w:pPr>
    </w:p>
    <w:p w14:paraId="104C11DF" w14:textId="77777777" w:rsidR="00265601" w:rsidRPr="007A177A" w:rsidRDefault="00937F5A" w:rsidP="00BF333B">
      <w:pPr>
        <w:spacing w:line="360" w:lineRule="auto"/>
        <w:jc w:val="both"/>
        <w:rPr>
          <w:rFonts w:ascii="Arial" w:hAnsi="Arial" w:cs="Arial"/>
        </w:rPr>
      </w:pPr>
      <w:r w:rsidRPr="007A177A">
        <w:rPr>
          <w:rFonts w:ascii="Arial" w:hAnsi="Arial" w:cs="Arial"/>
          <w:b/>
        </w:rPr>
        <w:t>9</w:t>
      </w:r>
      <w:r w:rsidR="00DF76F9" w:rsidRPr="007A177A">
        <w:rPr>
          <w:rFonts w:ascii="Arial" w:hAnsi="Arial" w:cs="Arial"/>
          <w:b/>
        </w:rPr>
        <w:t>.2.12.</w:t>
      </w:r>
      <w:r w:rsidR="008D57B4" w:rsidRPr="007A177A">
        <w:rPr>
          <w:rFonts w:ascii="Arial" w:hAnsi="Arial" w:cs="Arial"/>
        </w:rPr>
        <w:t xml:space="preserve"> </w:t>
      </w:r>
      <w:r w:rsidR="00817950" w:rsidRPr="007A177A">
        <w:rPr>
          <w:rFonts w:ascii="Arial" w:hAnsi="Arial" w:cs="Arial"/>
        </w:rPr>
        <w:t>Se refirma lo anterior, por cuanto en c</w:t>
      </w:r>
      <w:r w:rsidR="00265601" w:rsidRPr="007A177A">
        <w:rPr>
          <w:rFonts w:ascii="Arial" w:hAnsi="Arial" w:cs="Arial"/>
        </w:rPr>
        <w:t>omunicación No. 163-86 de julio 29 de 1986, las contratistas presenta</w:t>
      </w:r>
      <w:r w:rsidR="0089514E" w:rsidRPr="007A177A">
        <w:rPr>
          <w:rFonts w:ascii="Arial" w:hAnsi="Arial" w:cs="Arial"/>
        </w:rPr>
        <w:t>ron</w:t>
      </w:r>
      <w:r w:rsidR="00265601" w:rsidRPr="007A177A">
        <w:rPr>
          <w:rFonts w:ascii="Arial" w:hAnsi="Arial" w:cs="Arial"/>
        </w:rPr>
        <w:t xml:space="preserve"> al Ministerio un estudio de precios no previstos para </w:t>
      </w:r>
      <w:r w:rsidR="00265601" w:rsidRPr="007A177A">
        <w:rPr>
          <w:rFonts w:ascii="Arial" w:hAnsi="Arial" w:cs="Arial"/>
          <w:i/>
        </w:rPr>
        <w:t>“excavación de material inadecuado”</w:t>
      </w:r>
      <w:r w:rsidR="00B73D25" w:rsidRPr="007A177A">
        <w:rPr>
          <w:rFonts w:ascii="Arial" w:hAnsi="Arial" w:cs="Arial"/>
          <w:i/>
        </w:rPr>
        <w:t>.</w:t>
      </w:r>
      <w:r w:rsidR="00265601" w:rsidRPr="007A177A">
        <w:rPr>
          <w:rFonts w:ascii="Arial" w:hAnsi="Arial" w:cs="Arial"/>
        </w:rPr>
        <w:t xml:space="preserve"> </w:t>
      </w:r>
    </w:p>
    <w:p w14:paraId="51565C0C" w14:textId="77777777" w:rsidR="00265601" w:rsidRPr="007A177A" w:rsidRDefault="00265601" w:rsidP="00BF333B">
      <w:pPr>
        <w:spacing w:line="360" w:lineRule="auto"/>
        <w:jc w:val="both"/>
        <w:rPr>
          <w:rFonts w:ascii="Arial" w:hAnsi="Arial" w:cs="Arial"/>
        </w:rPr>
      </w:pPr>
    </w:p>
    <w:p w14:paraId="79160F7F" w14:textId="77777777" w:rsidR="00265601" w:rsidRPr="007A177A" w:rsidRDefault="007C3FD9" w:rsidP="00BF333B">
      <w:pPr>
        <w:spacing w:line="360" w:lineRule="auto"/>
        <w:jc w:val="both"/>
        <w:rPr>
          <w:rFonts w:ascii="Arial" w:hAnsi="Arial" w:cs="Arial"/>
        </w:rPr>
      </w:pPr>
      <w:r w:rsidRPr="007A177A">
        <w:rPr>
          <w:rFonts w:ascii="Arial" w:hAnsi="Arial" w:cs="Arial"/>
          <w:b/>
          <w:bCs/>
        </w:rPr>
        <w:t>9</w:t>
      </w:r>
      <w:r w:rsidR="00DF76F9" w:rsidRPr="007A177A">
        <w:rPr>
          <w:rFonts w:ascii="Arial" w:hAnsi="Arial" w:cs="Arial"/>
          <w:b/>
          <w:bCs/>
        </w:rPr>
        <w:t>.2.13.</w:t>
      </w:r>
      <w:r w:rsidR="004318AC" w:rsidRPr="007A177A">
        <w:rPr>
          <w:rFonts w:ascii="Arial" w:hAnsi="Arial" w:cs="Arial"/>
        </w:rPr>
        <w:t xml:space="preserve"> </w:t>
      </w:r>
      <w:r w:rsidR="003100C6" w:rsidRPr="007A177A">
        <w:rPr>
          <w:rFonts w:ascii="Arial" w:hAnsi="Arial" w:cs="Arial"/>
        </w:rPr>
        <w:t>Sin embargo, e</w:t>
      </w:r>
      <w:r w:rsidR="00A14B12" w:rsidRPr="007A177A">
        <w:rPr>
          <w:rFonts w:ascii="Arial" w:hAnsi="Arial" w:cs="Arial"/>
        </w:rPr>
        <w:t xml:space="preserve">n ese momento, </w:t>
      </w:r>
      <w:r w:rsidR="000E4326" w:rsidRPr="007A177A">
        <w:rPr>
          <w:rFonts w:ascii="Arial" w:hAnsi="Arial" w:cs="Arial"/>
        </w:rPr>
        <w:t xml:space="preserve">la solicitud de </w:t>
      </w:r>
      <w:proofErr w:type="spellStart"/>
      <w:r w:rsidR="000E4326" w:rsidRPr="007A177A">
        <w:rPr>
          <w:rFonts w:ascii="Arial" w:hAnsi="Arial" w:cs="Arial"/>
        </w:rPr>
        <w:t>Conic</w:t>
      </w:r>
      <w:proofErr w:type="spellEnd"/>
      <w:r w:rsidR="000E4326" w:rsidRPr="007A177A">
        <w:rPr>
          <w:rFonts w:ascii="Arial" w:hAnsi="Arial" w:cs="Arial"/>
        </w:rPr>
        <w:t xml:space="preserve"> </w:t>
      </w:r>
      <w:proofErr w:type="spellStart"/>
      <w:r w:rsidR="000E4326" w:rsidRPr="007A177A">
        <w:rPr>
          <w:rFonts w:ascii="Arial" w:hAnsi="Arial" w:cs="Arial"/>
        </w:rPr>
        <w:t>Ltda</w:t>
      </w:r>
      <w:proofErr w:type="spellEnd"/>
      <w:r w:rsidR="000E4326" w:rsidRPr="007A177A">
        <w:rPr>
          <w:rFonts w:ascii="Arial" w:hAnsi="Arial" w:cs="Arial"/>
        </w:rPr>
        <w:t xml:space="preserve"> para tratar de retomar el asunto no prosperó, dado que </w:t>
      </w:r>
      <w:r w:rsidR="00A14B12" w:rsidRPr="007A177A">
        <w:rPr>
          <w:rFonts w:ascii="Arial" w:hAnsi="Arial" w:cs="Arial"/>
        </w:rPr>
        <w:t>mediante m</w:t>
      </w:r>
      <w:r w:rsidR="00265601" w:rsidRPr="007A177A">
        <w:rPr>
          <w:rFonts w:ascii="Arial" w:hAnsi="Arial" w:cs="Arial"/>
        </w:rPr>
        <w:t>emorando No. CP 19536 de 3 de julio de 1986, el subdirector del distrito de obras remit</w:t>
      </w:r>
      <w:r w:rsidR="00DF163B" w:rsidRPr="007A177A">
        <w:rPr>
          <w:rFonts w:ascii="Arial" w:hAnsi="Arial" w:cs="Arial"/>
        </w:rPr>
        <w:t>ió</w:t>
      </w:r>
      <w:r w:rsidR="00265601" w:rsidRPr="007A177A">
        <w:rPr>
          <w:rFonts w:ascii="Arial" w:hAnsi="Arial" w:cs="Arial"/>
        </w:rPr>
        <w:t xml:space="preserve"> al subdirector de proyectos el informe geológico del sector </w:t>
      </w:r>
      <w:proofErr w:type="spellStart"/>
      <w:r w:rsidR="00265601" w:rsidRPr="007A177A">
        <w:rPr>
          <w:rFonts w:ascii="Arial" w:hAnsi="Arial" w:cs="Arial"/>
        </w:rPr>
        <w:t>Tierrabaja</w:t>
      </w:r>
      <w:proofErr w:type="spellEnd"/>
      <w:r w:rsidR="00265601" w:rsidRPr="007A177A">
        <w:rPr>
          <w:rFonts w:ascii="Arial" w:hAnsi="Arial" w:cs="Arial"/>
        </w:rPr>
        <w:t xml:space="preserve"> – Arroyo de Piedra No. DG- </w:t>
      </w:r>
      <w:r w:rsidR="00A14B12" w:rsidRPr="007A177A">
        <w:rPr>
          <w:rFonts w:ascii="Arial" w:hAnsi="Arial" w:cs="Arial"/>
        </w:rPr>
        <w:t>0</w:t>
      </w:r>
      <w:r w:rsidR="00265601" w:rsidRPr="007A177A">
        <w:rPr>
          <w:rFonts w:ascii="Arial" w:hAnsi="Arial" w:cs="Arial"/>
        </w:rPr>
        <w:t>14-81</w:t>
      </w:r>
      <w:r w:rsidR="00887652" w:rsidRPr="007A177A">
        <w:rPr>
          <w:rFonts w:ascii="Arial" w:hAnsi="Arial" w:cs="Arial"/>
        </w:rPr>
        <w:t>,</w:t>
      </w:r>
      <w:r w:rsidR="00265601" w:rsidRPr="007A177A">
        <w:rPr>
          <w:rFonts w:ascii="Arial" w:hAnsi="Arial" w:cs="Arial"/>
        </w:rPr>
        <w:t xml:space="preserve"> preparado por Armando Celis </w:t>
      </w:r>
      <w:r w:rsidR="00265601" w:rsidRPr="007A177A">
        <w:rPr>
          <w:rFonts w:ascii="Arial" w:hAnsi="Arial" w:cs="Arial"/>
          <w:b/>
          <w:bCs/>
        </w:rPr>
        <w:t>con fecha junio 25 de 1981</w:t>
      </w:r>
      <w:r w:rsidR="00265601" w:rsidRPr="007A177A">
        <w:rPr>
          <w:rFonts w:ascii="Arial" w:hAnsi="Arial" w:cs="Arial"/>
        </w:rPr>
        <w:t xml:space="preserve">, sobre </w:t>
      </w:r>
      <w:r w:rsidR="00265601" w:rsidRPr="007A177A">
        <w:rPr>
          <w:rFonts w:ascii="Arial" w:hAnsi="Arial" w:cs="Arial"/>
          <w:i/>
        </w:rPr>
        <w:t>“la inspección efectuada en el tramo de construcción para el contrato No. 358 – 76”</w:t>
      </w:r>
      <w:r w:rsidR="00265601" w:rsidRPr="007A177A">
        <w:rPr>
          <w:rFonts w:ascii="Arial" w:hAnsi="Arial" w:cs="Arial"/>
        </w:rPr>
        <w:t xml:space="preserve">, con la presencia de </w:t>
      </w:r>
      <w:r w:rsidR="00265601" w:rsidRPr="007A177A">
        <w:rPr>
          <w:rFonts w:ascii="Arial" w:hAnsi="Arial" w:cs="Arial"/>
          <w:i/>
        </w:rPr>
        <w:t xml:space="preserve">“Senior y Viana y Uriel Chacón del Consorcio Botero y Aguilar </w:t>
      </w:r>
      <w:proofErr w:type="spellStart"/>
      <w:r w:rsidR="00265601" w:rsidRPr="007A177A">
        <w:rPr>
          <w:rFonts w:ascii="Arial" w:hAnsi="Arial" w:cs="Arial"/>
          <w:i/>
        </w:rPr>
        <w:lastRenderedPageBreak/>
        <w:t>Ltda</w:t>
      </w:r>
      <w:proofErr w:type="spellEnd"/>
      <w:r w:rsidR="00265601" w:rsidRPr="007A177A">
        <w:rPr>
          <w:rFonts w:ascii="Arial" w:hAnsi="Arial" w:cs="Arial"/>
          <w:i/>
        </w:rPr>
        <w:t xml:space="preserve"> y </w:t>
      </w:r>
      <w:proofErr w:type="spellStart"/>
      <w:r w:rsidR="00265601" w:rsidRPr="007A177A">
        <w:rPr>
          <w:rFonts w:ascii="Arial" w:hAnsi="Arial" w:cs="Arial"/>
          <w:i/>
        </w:rPr>
        <w:t>Conic</w:t>
      </w:r>
      <w:proofErr w:type="spellEnd"/>
      <w:r w:rsidR="00265601" w:rsidRPr="007A177A">
        <w:rPr>
          <w:rFonts w:ascii="Arial" w:hAnsi="Arial" w:cs="Arial"/>
          <w:i/>
        </w:rPr>
        <w:t xml:space="preserve"> </w:t>
      </w:r>
      <w:proofErr w:type="spellStart"/>
      <w:r w:rsidR="00265601" w:rsidRPr="007A177A">
        <w:rPr>
          <w:rFonts w:ascii="Arial" w:hAnsi="Arial" w:cs="Arial"/>
          <w:i/>
        </w:rPr>
        <w:t>Ltda</w:t>
      </w:r>
      <w:proofErr w:type="spellEnd"/>
      <w:r w:rsidR="00265601" w:rsidRPr="007A177A">
        <w:rPr>
          <w:rFonts w:ascii="Arial" w:hAnsi="Arial" w:cs="Arial"/>
          <w:i/>
        </w:rPr>
        <w:t xml:space="preserve"> que tiene a su cargo la construcción”</w:t>
      </w:r>
      <w:r w:rsidR="00265601" w:rsidRPr="007A177A">
        <w:rPr>
          <w:rStyle w:val="Refdenotaalpie"/>
          <w:rFonts w:ascii="Arial" w:hAnsi="Arial" w:cs="Arial"/>
          <w:i/>
        </w:rPr>
        <w:footnoteReference w:id="111"/>
      </w:r>
      <w:r w:rsidR="00265601" w:rsidRPr="007A177A">
        <w:rPr>
          <w:rFonts w:ascii="Arial" w:hAnsi="Arial" w:cs="Arial"/>
          <w:i/>
        </w:rPr>
        <w:t>.</w:t>
      </w:r>
      <w:r w:rsidR="00817950" w:rsidRPr="007A177A">
        <w:rPr>
          <w:rFonts w:ascii="Arial" w:hAnsi="Arial" w:cs="Arial"/>
          <w:i/>
        </w:rPr>
        <w:t xml:space="preserve"> </w:t>
      </w:r>
      <w:r w:rsidR="00817950" w:rsidRPr="007A177A">
        <w:rPr>
          <w:rFonts w:ascii="Arial" w:hAnsi="Arial" w:cs="Arial"/>
          <w:iCs/>
        </w:rPr>
        <w:t>Esta prueba acredita que la interventoría</w:t>
      </w:r>
      <w:r w:rsidR="003100C6" w:rsidRPr="007A177A">
        <w:rPr>
          <w:rFonts w:ascii="Arial" w:hAnsi="Arial" w:cs="Arial"/>
          <w:iCs/>
        </w:rPr>
        <w:t>,</w:t>
      </w:r>
      <w:r w:rsidR="00817950" w:rsidRPr="007A177A">
        <w:rPr>
          <w:rFonts w:ascii="Arial" w:hAnsi="Arial" w:cs="Arial"/>
          <w:iCs/>
        </w:rPr>
        <w:t xml:space="preserve"> </w:t>
      </w:r>
      <w:r w:rsidR="003100C6" w:rsidRPr="007A177A">
        <w:rPr>
          <w:rFonts w:ascii="Arial" w:hAnsi="Arial" w:cs="Arial"/>
          <w:iCs/>
        </w:rPr>
        <w:t xml:space="preserve">antes de la terminación y liquidación del contrato, </w:t>
      </w:r>
      <w:r w:rsidR="00817950" w:rsidRPr="007A177A">
        <w:rPr>
          <w:rFonts w:ascii="Arial" w:hAnsi="Arial" w:cs="Arial"/>
          <w:iCs/>
        </w:rPr>
        <w:t>realizó un estudio sobre las condiciones geológicas de los cortes</w:t>
      </w:r>
      <w:r w:rsidR="00887652" w:rsidRPr="007A177A">
        <w:rPr>
          <w:rFonts w:ascii="Arial" w:hAnsi="Arial" w:cs="Arial"/>
          <w:iCs/>
        </w:rPr>
        <w:t xml:space="preserve"> de terreno,</w:t>
      </w:r>
      <w:r w:rsidR="00817950" w:rsidRPr="007A177A">
        <w:rPr>
          <w:rFonts w:ascii="Arial" w:hAnsi="Arial" w:cs="Arial"/>
          <w:iCs/>
        </w:rPr>
        <w:t xml:space="preserve"> en la cual se soportó para no acceder a la reclasificación de excavación de roca, toda vez que </w:t>
      </w:r>
      <w:r w:rsidR="003100C6" w:rsidRPr="007A177A">
        <w:rPr>
          <w:rFonts w:ascii="Arial" w:hAnsi="Arial" w:cs="Arial"/>
          <w:iCs/>
        </w:rPr>
        <w:t>esos e</w:t>
      </w:r>
      <w:r w:rsidR="007E6388" w:rsidRPr="007A177A">
        <w:rPr>
          <w:rFonts w:ascii="Arial" w:hAnsi="Arial" w:cs="Arial"/>
          <w:iCs/>
        </w:rPr>
        <w:t>s</w:t>
      </w:r>
      <w:r w:rsidR="003100C6" w:rsidRPr="007A177A">
        <w:rPr>
          <w:rFonts w:ascii="Arial" w:hAnsi="Arial" w:cs="Arial"/>
          <w:iCs/>
        </w:rPr>
        <w:t xml:space="preserve">tudios no eran </w:t>
      </w:r>
      <w:r w:rsidR="00817950" w:rsidRPr="007A177A">
        <w:rPr>
          <w:rFonts w:ascii="Arial" w:hAnsi="Arial" w:cs="Arial"/>
          <w:iCs/>
        </w:rPr>
        <w:t>concluyente</w:t>
      </w:r>
      <w:r w:rsidR="003100C6" w:rsidRPr="007A177A">
        <w:rPr>
          <w:rFonts w:ascii="Arial" w:hAnsi="Arial" w:cs="Arial"/>
          <w:iCs/>
        </w:rPr>
        <w:t>s</w:t>
      </w:r>
      <w:r w:rsidR="00817950" w:rsidRPr="007A177A">
        <w:rPr>
          <w:rFonts w:ascii="Arial" w:hAnsi="Arial" w:cs="Arial"/>
          <w:iCs/>
        </w:rPr>
        <w:t xml:space="preserve"> sobre el carácter de las extracciones realizadas.</w:t>
      </w:r>
    </w:p>
    <w:p w14:paraId="44BE9A01" w14:textId="77777777" w:rsidR="00265601" w:rsidRPr="007A177A" w:rsidRDefault="00265601" w:rsidP="00BF333B">
      <w:pPr>
        <w:spacing w:line="360" w:lineRule="auto"/>
        <w:jc w:val="both"/>
        <w:rPr>
          <w:rFonts w:ascii="Arial" w:hAnsi="Arial" w:cs="Arial"/>
        </w:rPr>
      </w:pPr>
    </w:p>
    <w:p w14:paraId="5F26E709" w14:textId="77777777" w:rsidR="00265601" w:rsidRPr="007A177A" w:rsidRDefault="007C3FD9" w:rsidP="00BF333B">
      <w:pPr>
        <w:spacing w:line="360" w:lineRule="auto"/>
        <w:jc w:val="both"/>
        <w:rPr>
          <w:rFonts w:ascii="Arial" w:hAnsi="Arial" w:cs="Arial"/>
        </w:rPr>
      </w:pPr>
      <w:r w:rsidRPr="007A177A">
        <w:rPr>
          <w:rFonts w:ascii="Arial" w:hAnsi="Arial" w:cs="Arial"/>
          <w:b/>
          <w:bCs/>
        </w:rPr>
        <w:t>9</w:t>
      </w:r>
      <w:r w:rsidR="00DF76F9" w:rsidRPr="007A177A">
        <w:rPr>
          <w:rFonts w:ascii="Arial" w:hAnsi="Arial" w:cs="Arial"/>
          <w:b/>
          <w:bCs/>
        </w:rPr>
        <w:t>.2.14.</w:t>
      </w:r>
      <w:r w:rsidR="000F4893" w:rsidRPr="007A177A">
        <w:rPr>
          <w:rFonts w:ascii="Arial" w:hAnsi="Arial" w:cs="Arial"/>
        </w:rPr>
        <w:t xml:space="preserve"> </w:t>
      </w:r>
      <w:r w:rsidR="00817950" w:rsidRPr="007A177A">
        <w:rPr>
          <w:rFonts w:ascii="Arial" w:hAnsi="Arial" w:cs="Arial"/>
        </w:rPr>
        <w:t>E</w:t>
      </w:r>
      <w:r w:rsidR="003100C6" w:rsidRPr="007A177A">
        <w:rPr>
          <w:rFonts w:ascii="Arial" w:hAnsi="Arial" w:cs="Arial"/>
        </w:rPr>
        <w:t>n atención a la solicitud del contratista</w:t>
      </w:r>
      <w:r w:rsidR="00954D74" w:rsidRPr="007A177A">
        <w:rPr>
          <w:rFonts w:ascii="Arial" w:hAnsi="Arial" w:cs="Arial"/>
        </w:rPr>
        <w:t>,</w:t>
      </w:r>
      <w:r w:rsidR="003100C6" w:rsidRPr="007A177A">
        <w:rPr>
          <w:rFonts w:ascii="Arial" w:hAnsi="Arial" w:cs="Arial"/>
        </w:rPr>
        <w:t xml:space="preserve"> el </w:t>
      </w:r>
      <w:r w:rsidR="00817950" w:rsidRPr="007A177A">
        <w:rPr>
          <w:rFonts w:ascii="Arial" w:hAnsi="Arial" w:cs="Arial"/>
        </w:rPr>
        <w:t xml:space="preserve">Ministerio </w:t>
      </w:r>
      <w:r w:rsidR="003100C6" w:rsidRPr="007A177A">
        <w:rPr>
          <w:rFonts w:ascii="Arial" w:hAnsi="Arial" w:cs="Arial"/>
        </w:rPr>
        <w:t xml:space="preserve">de Obras Públicas y Transporte </w:t>
      </w:r>
      <w:r w:rsidR="00817950" w:rsidRPr="007A177A">
        <w:rPr>
          <w:rFonts w:ascii="Arial" w:hAnsi="Arial" w:cs="Arial"/>
        </w:rPr>
        <w:t>volvió</w:t>
      </w:r>
      <w:r w:rsidR="003100C6" w:rsidRPr="007A177A">
        <w:rPr>
          <w:rFonts w:ascii="Arial" w:hAnsi="Arial" w:cs="Arial"/>
        </w:rPr>
        <w:t xml:space="preserve"> </w:t>
      </w:r>
      <w:r w:rsidR="00817950" w:rsidRPr="007A177A">
        <w:rPr>
          <w:rFonts w:ascii="Arial" w:hAnsi="Arial" w:cs="Arial"/>
        </w:rPr>
        <w:t>a retomar el tema de la reclasificación solicitada</w:t>
      </w:r>
      <w:r w:rsidR="00954D74" w:rsidRPr="007A177A">
        <w:rPr>
          <w:rFonts w:ascii="Arial" w:hAnsi="Arial" w:cs="Arial"/>
        </w:rPr>
        <w:t>;</w:t>
      </w:r>
      <w:r w:rsidR="00817950" w:rsidRPr="007A177A">
        <w:rPr>
          <w:rFonts w:ascii="Arial" w:hAnsi="Arial" w:cs="Arial"/>
        </w:rPr>
        <w:t xml:space="preserve"> sin embargo, en el m</w:t>
      </w:r>
      <w:r w:rsidR="00265601" w:rsidRPr="007A177A">
        <w:rPr>
          <w:rFonts w:ascii="Arial" w:hAnsi="Arial" w:cs="Arial"/>
        </w:rPr>
        <w:t>emorando 33674 de 18 de noviembre de 1990</w:t>
      </w:r>
      <w:r w:rsidR="00954D74" w:rsidRPr="007A177A">
        <w:rPr>
          <w:rFonts w:ascii="Arial" w:hAnsi="Arial" w:cs="Arial"/>
        </w:rPr>
        <w:t>,</w:t>
      </w:r>
      <w:r w:rsidR="00265601" w:rsidRPr="007A177A">
        <w:rPr>
          <w:rFonts w:ascii="Arial" w:hAnsi="Arial" w:cs="Arial"/>
        </w:rPr>
        <w:t xml:space="preserve"> suscrito por el jefe de la oficina de supervisión, </w:t>
      </w:r>
      <w:r w:rsidR="00817950" w:rsidRPr="007A177A">
        <w:rPr>
          <w:rFonts w:ascii="Arial" w:hAnsi="Arial" w:cs="Arial"/>
        </w:rPr>
        <w:t>se</w:t>
      </w:r>
      <w:r w:rsidR="00265601" w:rsidRPr="007A177A">
        <w:rPr>
          <w:rFonts w:ascii="Arial" w:hAnsi="Arial" w:cs="Arial"/>
        </w:rPr>
        <w:t xml:space="preserve"> </w:t>
      </w:r>
      <w:r w:rsidR="00A14B12" w:rsidRPr="007A177A">
        <w:rPr>
          <w:rFonts w:ascii="Arial" w:hAnsi="Arial" w:cs="Arial"/>
        </w:rPr>
        <w:t xml:space="preserve">advirtió </w:t>
      </w:r>
      <w:r w:rsidR="00817950" w:rsidRPr="007A177A">
        <w:rPr>
          <w:rFonts w:ascii="Arial" w:hAnsi="Arial" w:cs="Arial"/>
        </w:rPr>
        <w:t xml:space="preserve">sobre </w:t>
      </w:r>
      <w:r w:rsidR="00A14B12" w:rsidRPr="007A177A">
        <w:rPr>
          <w:rFonts w:ascii="Arial" w:hAnsi="Arial" w:cs="Arial"/>
        </w:rPr>
        <w:t xml:space="preserve">el contenido del acta </w:t>
      </w:r>
      <w:r w:rsidR="001C564E" w:rsidRPr="007A177A">
        <w:rPr>
          <w:rFonts w:ascii="Arial" w:hAnsi="Arial" w:cs="Arial"/>
        </w:rPr>
        <w:t xml:space="preserve">contentiva de la cuenta final de </w:t>
      </w:r>
      <w:r w:rsidR="00A14B12" w:rsidRPr="007A177A">
        <w:rPr>
          <w:rFonts w:ascii="Arial" w:hAnsi="Arial" w:cs="Arial"/>
        </w:rPr>
        <w:t>liquidación</w:t>
      </w:r>
      <w:r w:rsidR="00954D74" w:rsidRPr="007A177A">
        <w:rPr>
          <w:rFonts w:ascii="Arial" w:hAnsi="Arial" w:cs="Arial"/>
        </w:rPr>
        <w:t>,</w:t>
      </w:r>
      <w:r w:rsidR="00A14B12" w:rsidRPr="007A177A">
        <w:rPr>
          <w:rFonts w:ascii="Arial" w:hAnsi="Arial" w:cs="Arial"/>
        </w:rPr>
        <w:t xml:space="preserve"> </w:t>
      </w:r>
      <w:r w:rsidR="00D01B54" w:rsidRPr="007A177A">
        <w:rPr>
          <w:rFonts w:ascii="Arial" w:hAnsi="Arial" w:cs="Arial"/>
        </w:rPr>
        <w:t>en los siguientes términos</w:t>
      </w:r>
      <w:r w:rsidR="00A14B12" w:rsidRPr="007A177A">
        <w:rPr>
          <w:rFonts w:ascii="Arial" w:hAnsi="Arial" w:cs="Arial"/>
        </w:rPr>
        <w:t xml:space="preserve"> (se transcribe de forma literal)</w:t>
      </w:r>
      <w:r w:rsidR="00DF163B" w:rsidRPr="007A177A">
        <w:rPr>
          <w:rFonts w:ascii="Arial" w:hAnsi="Arial" w:cs="Arial"/>
        </w:rPr>
        <w:t>:</w:t>
      </w:r>
      <w:r w:rsidR="00265601" w:rsidRPr="007A177A">
        <w:rPr>
          <w:rFonts w:ascii="Arial" w:hAnsi="Arial" w:cs="Arial"/>
        </w:rPr>
        <w:t xml:space="preserve"> </w:t>
      </w:r>
    </w:p>
    <w:p w14:paraId="727A39D4" w14:textId="77777777" w:rsidR="00265601" w:rsidRPr="007A177A" w:rsidRDefault="00265601" w:rsidP="00BF333B">
      <w:pPr>
        <w:spacing w:line="360" w:lineRule="auto"/>
        <w:jc w:val="both"/>
        <w:rPr>
          <w:rFonts w:ascii="Arial" w:hAnsi="Arial" w:cs="Arial"/>
        </w:rPr>
      </w:pPr>
    </w:p>
    <w:p w14:paraId="560979FE" w14:textId="77777777" w:rsidR="00265601" w:rsidRPr="007A177A" w:rsidRDefault="00265601" w:rsidP="00BF333B">
      <w:pPr>
        <w:ind w:left="567" w:right="902"/>
        <w:jc w:val="both"/>
        <w:rPr>
          <w:rFonts w:ascii="Arial" w:hAnsi="Arial" w:cs="Arial"/>
          <w:i/>
        </w:rPr>
      </w:pPr>
      <w:r w:rsidRPr="007A177A">
        <w:rPr>
          <w:rFonts w:ascii="Arial" w:hAnsi="Arial" w:cs="Arial"/>
        </w:rPr>
        <w:t>“</w:t>
      </w:r>
      <w:r w:rsidRPr="007A177A">
        <w:rPr>
          <w:rFonts w:ascii="Arial" w:hAnsi="Arial" w:cs="Arial"/>
          <w:i/>
        </w:rPr>
        <w:t>De conformidad con el Acta Final de Obra de fecha septiembre de 1982, el Consorcio Contratista adeuda al Fondo Vial Nacional la suma de $16’415.492,11 representados en una disminución de cantidades de obra en los ítems que a continuación se describen: excavación en roca, excavación de material común, terraplenes, acarreo de materiales (…); respecto de los dos primeros ítems citados aparece una reclasificación teniendo en cuenta que el ítem de material común se autorizó en 192.300M3. Por lo anterior debe informarse a esta oficina la razón por la cual en el acta de obra mencionada se disminuyeron las cantidades de obra ejecutada, según acta No. 32 de abril de 1981”</w:t>
      </w:r>
      <w:r w:rsidRPr="007A177A">
        <w:rPr>
          <w:rStyle w:val="Refdenotaalpie"/>
          <w:rFonts w:ascii="Arial" w:hAnsi="Arial" w:cs="Arial"/>
          <w:i/>
        </w:rPr>
        <w:footnoteReference w:id="112"/>
      </w:r>
      <w:r w:rsidR="00DF163B" w:rsidRPr="007A177A">
        <w:rPr>
          <w:rFonts w:ascii="Arial" w:hAnsi="Arial" w:cs="Arial"/>
          <w:i/>
        </w:rPr>
        <w:t>.</w:t>
      </w:r>
      <w:r w:rsidRPr="007A177A">
        <w:rPr>
          <w:rFonts w:ascii="Arial" w:hAnsi="Arial" w:cs="Arial"/>
          <w:i/>
        </w:rPr>
        <w:t xml:space="preserve"> </w:t>
      </w:r>
    </w:p>
    <w:p w14:paraId="5F759D2B" w14:textId="77777777" w:rsidR="00265601" w:rsidRPr="007A177A" w:rsidRDefault="00265601" w:rsidP="00BF333B">
      <w:pPr>
        <w:spacing w:line="360" w:lineRule="auto"/>
        <w:jc w:val="both"/>
        <w:rPr>
          <w:rFonts w:ascii="Arial" w:hAnsi="Arial" w:cs="Arial"/>
        </w:rPr>
      </w:pPr>
    </w:p>
    <w:p w14:paraId="3E1B6E16" w14:textId="77777777" w:rsidR="00265601" w:rsidRPr="007A177A" w:rsidRDefault="007C3FD9" w:rsidP="00BF333B">
      <w:pPr>
        <w:spacing w:line="360" w:lineRule="auto"/>
        <w:jc w:val="both"/>
        <w:rPr>
          <w:rFonts w:ascii="Arial" w:hAnsi="Arial" w:cs="Arial"/>
        </w:rPr>
      </w:pPr>
      <w:r w:rsidRPr="007A177A">
        <w:rPr>
          <w:rFonts w:ascii="Arial" w:hAnsi="Arial" w:cs="Arial"/>
          <w:b/>
        </w:rPr>
        <w:t>9</w:t>
      </w:r>
      <w:r w:rsidR="00D0439B" w:rsidRPr="007A177A">
        <w:rPr>
          <w:rFonts w:ascii="Arial" w:hAnsi="Arial" w:cs="Arial"/>
          <w:b/>
        </w:rPr>
        <w:t>.2.1</w:t>
      </w:r>
      <w:r w:rsidR="000F4893" w:rsidRPr="007A177A">
        <w:rPr>
          <w:rFonts w:ascii="Arial" w:hAnsi="Arial" w:cs="Arial"/>
          <w:b/>
        </w:rPr>
        <w:t>5.</w:t>
      </w:r>
      <w:r w:rsidR="000F4893" w:rsidRPr="007A177A">
        <w:rPr>
          <w:rFonts w:ascii="Arial" w:hAnsi="Arial" w:cs="Arial"/>
        </w:rPr>
        <w:t xml:space="preserve"> </w:t>
      </w:r>
      <w:r w:rsidR="003100C6" w:rsidRPr="007A177A">
        <w:rPr>
          <w:rFonts w:ascii="Arial" w:hAnsi="Arial" w:cs="Arial"/>
        </w:rPr>
        <w:t xml:space="preserve">También obra en el </w:t>
      </w:r>
      <w:r w:rsidR="000F4893" w:rsidRPr="007A177A">
        <w:rPr>
          <w:rFonts w:ascii="Arial" w:hAnsi="Arial" w:cs="Arial"/>
        </w:rPr>
        <w:t>expediente la c</w:t>
      </w:r>
      <w:r w:rsidR="00265601" w:rsidRPr="007A177A">
        <w:rPr>
          <w:rFonts w:ascii="Arial" w:hAnsi="Arial" w:cs="Arial"/>
        </w:rPr>
        <w:t>omunicación SYV-00487-91 de 12 de enero de 1991</w:t>
      </w:r>
      <w:r w:rsidR="00954D74" w:rsidRPr="007A177A">
        <w:rPr>
          <w:rFonts w:ascii="Arial" w:hAnsi="Arial" w:cs="Arial"/>
        </w:rPr>
        <w:t>,</w:t>
      </w:r>
      <w:r w:rsidR="00265601" w:rsidRPr="007A177A">
        <w:rPr>
          <w:rFonts w:ascii="Arial" w:hAnsi="Arial" w:cs="Arial"/>
        </w:rPr>
        <w:t xml:space="preserve"> suscrita por el </w:t>
      </w:r>
      <w:r w:rsidR="00954D74" w:rsidRPr="007A177A">
        <w:rPr>
          <w:rFonts w:ascii="Arial" w:hAnsi="Arial" w:cs="Arial"/>
        </w:rPr>
        <w:t>i</w:t>
      </w:r>
      <w:r w:rsidR="00265601" w:rsidRPr="007A177A">
        <w:rPr>
          <w:rFonts w:ascii="Arial" w:hAnsi="Arial" w:cs="Arial"/>
        </w:rPr>
        <w:t xml:space="preserve">ngeniero Humberto Viana Montes, en representación de Senior y Viana </w:t>
      </w:r>
      <w:proofErr w:type="spellStart"/>
      <w:r w:rsidR="00265601" w:rsidRPr="007A177A">
        <w:rPr>
          <w:rFonts w:ascii="Arial" w:hAnsi="Arial" w:cs="Arial"/>
        </w:rPr>
        <w:t>Ltda</w:t>
      </w:r>
      <w:proofErr w:type="spellEnd"/>
      <w:r w:rsidR="00954D74" w:rsidRPr="007A177A">
        <w:rPr>
          <w:rFonts w:ascii="Arial" w:hAnsi="Arial" w:cs="Arial"/>
        </w:rPr>
        <w:t>,</w:t>
      </w:r>
      <w:r w:rsidR="00265601" w:rsidRPr="007A177A">
        <w:rPr>
          <w:rFonts w:ascii="Arial" w:hAnsi="Arial" w:cs="Arial"/>
        </w:rPr>
        <w:t xml:space="preserve"> en la cual, </w:t>
      </w:r>
      <w:r w:rsidR="003100C6" w:rsidRPr="007A177A">
        <w:rPr>
          <w:rFonts w:ascii="Arial" w:hAnsi="Arial" w:cs="Arial"/>
        </w:rPr>
        <w:t xml:space="preserve">al ser consultado </w:t>
      </w:r>
      <w:r w:rsidR="00265601" w:rsidRPr="007A177A">
        <w:rPr>
          <w:rFonts w:ascii="Arial" w:hAnsi="Arial" w:cs="Arial"/>
        </w:rPr>
        <w:t>con referencia a la liquidación del Contrato No. 358 de 1976</w:t>
      </w:r>
      <w:r w:rsidR="00954D74" w:rsidRPr="007A177A">
        <w:rPr>
          <w:rFonts w:ascii="Arial" w:hAnsi="Arial" w:cs="Arial"/>
        </w:rPr>
        <w:t>,</w:t>
      </w:r>
      <w:r w:rsidR="00265601" w:rsidRPr="007A177A">
        <w:rPr>
          <w:rFonts w:ascii="Arial" w:hAnsi="Arial" w:cs="Arial"/>
        </w:rPr>
        <w:t xml:space="preserve"> informó sobre las actividades de revisión de cantidades de obra que le solicitó el Ministerio de Obras Públicas y Transporte en los oficios TC 01867 de febrero 18 de 1981 y CS 07368 de junio de 1981</w:t>
      </w:r>
      <w:r w:rsidR="000F4893" w:rsidRPr="007A177A">
        <w:rPr>
          <w:rFonts w:ascii="Arial" w:hAnsi="Arial" w:cs="Arial"/>
        </w:rPr>
        <w:t xml:space="preserve"> y </w:t>
      </w:r>
      <w:r w:rsidR="00817950" w:rsidRPr="007A177A">
        <w:rPr>
          <w:rFonts w:ascii="Arial" w:hAnsi="Arial" w:cs="Arial"/>
        </w:rPr>
        <w:t>dio cuenta de la</w:t>
      </w:r>
      <w:r w:rsidR="00B0415C" w:rsidRPr="007A177A">
        <w:rPr>
          <w:rFonts w:ascii="Arial" w:hAnsi="Arial" w:cs="Arial"/>
        </w:rPr>
        <w:t xml:space="preserve"> forma como había procedido la interventoría, de la siguiente manera (se transcribe de forma literal)</w:t>
      </w:r>
      <w:r w:rsidR="00265601" w:rsidRPr="007A177A">
        <w:rPr>
          <w:rFonts w:ascii="Arial" w:hAnsi="Arial" w:cs="Arial"/>
        </w:rPr>
        <w:t>:</w:t>
      </w:r>
    </w:p>
    <w:p w14:paraId="3D5B184F" w14:textId="77777777" w:rsidR="00265601" w:rsidRPr="007A177A" w:rsidRDefault="00265601" w:rsidP="00BF333B">
      <w:pPr>
        <w:spacing w:line="360" w:lineRule="auto"/>
        <w:jc w:val="both"/>
        <w:rPr>
          <w:rFonts w:ascii="Arial" w:hAnsi="Arial" w:cs="Arial"/>
        </w:rPr>
      </w:pPr>
    </w:p>
    <w:p w14:paraId="6AC07220" w14:textId="77777777" w:rsidR="00265601" w:rsidRPr="007A177A" w:rsidRDefault="00265601" w:rsidP="00BF333B">
      <w:pPr>
        <w:ind w:left="567" w:right="902"/>
        <w:jc w:val="both"/>
        <w:rPr>
          <w:rFonts w:ascii="Arial" w:hAnsi="Arial" w:cs="Arial"/>
          <w:i/>
        </w:rPr>
      </w:pPr>
      <w:r w:rsidRPr="007A177A">
        <w:rPr>
          <w:rFonts w:ascii="Arial" w:hAnsi="Arial" w:cs="Arial"/>
          <w:i/>
        </w:rPr>
        <w:t xml:space="preserve">“Atendiendo las instrucciones del Ministerio de Obras Públicas y Transporte nuestra firma procedió a la revisión solicitada y los resultados se consignan en el acta final de obra de septiembre/82, Acta en la cual se modificaron los valores pagados de acuerdo con la revisión efectuada en campo. Como el resultado de nuestras investigaciones arrojó cantidades de obra inferiores a las pagadas al Contratista, fue necesario introducir ítems de valores negativos, que se incorporaron al acta final de obra para compensar las mayores </w:t>
      </w:r>
      <w:r w:rsidRPr="007A177A">
        <w:rPr>
          <w:rFonts w:ascii="Arial" w:hAnsi="Arial" w:cs="Arial"/>
          <w:i/>
        </w:rPr>
        <w:lastRenderedPageBreak/>
        <w:t>cantidades de obra pagadas al Contratista, en el período durante el cual el Ministerio de Obras Públicas y Transporte ejerció la Interventoría.</w:t>
      </w:r>
    </w:p>
    <w:p w14:paraId="73E73740" w14:textId="77777777" w:rsidR="00265601" w:rsidRPr="007A177A" w:rsidRDefault="00265601" w:rsidP="00BF333B">
      <w:pPr>
        <w:ind w:left="567" w:right="902"/>
        <w:jc w:val="both"/>
        <w:rPr>
          <w:rFonts w:ascii="Arial" w:hAnsi="Arial" w:cs="Arial"/>
          <w:i/>
        </w:rPr>
      </w:pPr>
    </w:p>
    <w:p w14:paraId="083F753C" w14:textId="77777777" w:rsidR="00265601" w:rsidRPr="007A177A" w:rsidRDefault="00B0415C" w:rsidP="00BF333B">
      <w:pPr>
        <w:ind w:left="567" w:right="902"/>
        <w:jc w:val="both"/>
        <w:rPr>
          <w:rFonts w:ascii="Arial" w:hAnsi="Arial" w:cs="Arial"/>
          <w:i/>
        </w:rPr>
      </w:pPr>
      <w:r w:rsidRPr="007A177A">
        <w:rPr>
          <w:rFonts w:ascii="Arial" w:hAnsi="Arial" w:cs="Arial"/>
          <w:i/>
        </w:rPr>
        <w:t>“</w:t>
      </w:r>
      <w:r w:rsidR="00265601" w:rsidRPr="007A177A">
        <w:rPr>
          <w:rFonts w:ascii="Arial" w:hAnsi="Arial" w:cs="Arial"/>
          <w:i/>
        </w:rPr>
        <w:t>(…)</w:t>
      </w:r>
      <w:r w:rsidR="00D36FE1" w:rsidRPr="007A177A">
        <w:rPr>
          <w:rFonts w:ascii="Arial" w:hAnsi="Arial" w:cs="Arial"/>
          <w:i/>
        </w:rPr>
        <w:t>.</w:t>
      </w:r>
    </w:p>
    <w:p w14:paraId="05813054" w14:textId="77777777" w:rsidR="00265601" w:rsidRPr="007A177A" w:rsidRDefault="00265601" w:rsidP="00BF333B">
      <w:pPr>
        <w:ind w:left="567" w:right="902"/>
        <w:jc w:val="both"/>
        <w:rPr>
          <w:rFonts w:ascii="Arial" w:hAnsi="Arial" w:cs="Arial"/>
          <w:i/>
        </w:rPr>
      </w:pPr>
    </w:p>
    <w:p w14:paraId="4827BC77" w14:textId="77777777" w:rsidR="00265601" w:rsidRPr="007A177A" w:rsidRDefault="00B0415C" w:rsidP="00BF333B">
      <w:pPr>
        <w:ind w:left="567" w:right="902"/>
        <w:jc w:val="both"/>
        <w:rPr>
          <w:rFonts w:ascii="Arial" w:hAnsi="Arial" w:cs="Arial"/>
          <w:i/>
        </w:rPr>
      </w:pPr>
      <w:r w:rsidRPr="007A177A">
        <w:rPr>
          <w:rFonts w:ascii="Arial" w:hAnsi="Arial" w:cs="Arial"/>
          <w:i/>
        </w:rPr>
        <w:t>“</w:t>
      </w:r>
      <w:r w:rsidR="00265601" w:rsidRPr="007A177A">
        <w:rPr>
          <w:rFonts w:ascii="Arial" w:hAnsi="Arial" w:cs="Arial"/>
          <w:i/>
        </w:rPr>
        <w:t xml:space="preserve">Existe igualmente en los archivos del Ministerio los resultados de las investigaciones geológicas realizadas por Senior y Viana </w:t>
      </w:r>
      <w:proofErr w:type="spellStart"/>
      <w:r w:rsidR="00265601" w:rsidRPr="007A177A">
        <w:rPr>
          <w:rFonts w:ascii="Arial" w:hAnsi="Arial" w:cs="Arial"/>
          <w:i/>
        </w:rPr>
        <w:t>Ltda</w:t>
      </w:r>
      <w:proofErr w:type="spellEnd"/>
      <w:r w:rsidR="00265601" w:rsidRPr="007A177A">
        <w:rPr>
          <w:rFonts w:ascii="Arial" w:hAnsi="Arial" w:cs="Arial"/>
          <w:i/>
        </w:rPr>
        <w:t xml:space="preserve"> para determinar las clasificaciones de materiales, Vale la pena anotar que los resultados de las revisiones arrojaron unas discrepancias importantes en tal clasificación, puesto que el material que se pagó inicialmente al contratista con anterioridad al ejercicio de nuestra interventoría, como material en roca, se reclasificó posteriormente, resultando una combinación en su mayor parte de material común y en menor cuantía de material en roca. Por las razones anteriores y una vez conocidos los resultados de la revisión final efectuada por Senior y Viana </w:t>
      </w:r>
      <w:proofErr w:type="spellStart"/>
      <w:r w:rsidR="00265601" w:rsidRPr="007A177A">
        <w:rPr>
          <w:rFonts w:ascii="Arial" w:hAnsi="Arial" w:cs="Arial"/>
          <w:i/>
        </w:rPr>
        <w:t>Ltda</w:t>
      </w:r>
      <w:proofErr w:type="spellEnd"/>
      <w:r w:rsidR="00265601" w:rsidRPr="007A177A">
        <w:rPr>
          <w:rFonts w:ascii="Arial" w:hAnsi="Arial" w:cs="Arial"/>
          <w:i/>
        </w:rPr>
        <w:t xml:space="preserve">, el Contratista se abstuvo de firmar dicha Acta Final, pues no estuvo de acuerdo con los resultados de las investigaciones geológicas realizadas por Senior y Viana </w:t>
      </w:r>
      <w:proofErr w:type="spellStart"/>
      <w:r w:rsidR="00265601" w:rsidRPr="007A177A">
        <w:rPr>
          <w:rFonts w:ascii="Arial" w:hAnsi="Arial" w:cs="Arial"/>
          <w:i/>
        </w:rPr>
        <w:t>Ltda</w:t>
      </w:r>
      <w:proofErr w:type="spellEnd"/>
      <w:r w:rsidR="00265601" w:rsidRPr="007A177A">
        <w:rPr>
          <w:rFonts w:ascii="Arial" w:hAnsi="Arial" w:cs="Arial"/>
          <w:i/>
        </w:rPr>
        <w:t xml:space="preserve"> y los aforos de cantidades de obra efectuada en terraplenes”</w:t>
      </w:r>
      <w:r w:rsidR="00265601" w:rsidRPr="007A177A">
        <w:rPr>
          <w:rStyle w:val="Refdenotaalpie"/>
          <w:rFonts w:ascii="Arial" w:hAnsi="Arial" w:cs="Arial"/>
          <w:i/>
        </w:rPr>
        <w:footnoteReference w:id="113"/>
      </w:r>
      <w:r w:rsidR="00265601" w:rsidRPr="007A177A">
        <w:rPr>
          <w:rFonts w:ascii="Arial" w:hAnsi="Arial" w:cs="Arial"/>
          <w:i/>
        </w:rPr>
        <w:t>.</w:t>
      </w:r>
    </w:p>
    <w:p w14:paraId="42EBC1B2" w14:textId="77777777" w:rsidR="00265601" w:rsidRPr="007A177A" w:rsidRDefault="00265601" w:rsidP="00BF333B">
      <w:pPr>
        <w:pStyle w:val="Sinespaciado"/>
        <w:rPr>
          <w:rFonts w:ascii="Arial" w:hAnsi="Arial" w:cs="Arial"/>
          <w:sz w:val="24"/>
          <w:szCs w:val="24"/>
        </w:rPr>
      </w:pPr>
    </w:p>
    <w:p w14:paraId="6972A440" w14:textId="77777777" w:rsidR="00614D78" w:rsidRPr="007A177A" w:rsidRDefault="003E6C84" w:rsidP="00BF333B">
      <w:pPr>
        <w:spacing w:line="360" w:lineRule="auto"/>
        <w:jc w:val="both"/>
        <w:rPr>
          <w:rFonts w:ascii="Arial" w:hAnsi="Arial" w:cs="Arial"/>
          <w:bCs/>
          <w:lang w:val="es-MX"/>
        </w:rPr>
      </w:pPr>
      <w:r w:rsidRPr="007A177A">
        <w:rPr>
          <w:rFonts w:ascii="Arial" w:hAnsi="Arial" w:cs="Arial"/>
          <w:bCs/>
          <w:lang w:val="es-MX"/>
        </w:rPr>
        <w:t>Teniendo en cuenta las actas y la correspondencia referida a la cuenta final de liquidación, la Sala d</w:t>
      </w:r>
      <w:r w:rsidR="00954D74" w:rsidRPr="007A177A">
        <w:rPr>
          <w:rFonts w:ascii="Arial" w:hAnsi="Arial" w:cs="Arial"/>
          <w:bCs/>
          <w:lang w:val="es-MX"/>
        </w:rPr>
        <w:t>a</w:t>
      </w:r>
      <w:r w:rsidRPr="007A177A">
        <w:rPr>
          <w:rFonts w:ascii="Arial" w:hAnsi="Arial" w:cs="Arial"/>
          <w:bCs/>
          <w:lang w:val="es-MX"/>
        </w:rPr>
        <w:t xml:space="preserve"> </w:t>
      </w:r>
      <w:r w:rsidR="00614D78" w:rsidRPr="007A177A">
        <w:rPr>
          <w:rFonts w:ascii="Arial" w:hAnsi="Arial" w:cs="Arial"/>
          <w:bCs/>
          <w:lang w:val="es-MX"/>
        </w:rPr>
        <w:t xml:space="preserve">credibilidad a los informes que rindió el interventor en 1991, </w:t>
      </w:r>
      <w:r w:rsidR="00B0415C" w:rsidRPr="007A177A">
        <w:rPr>
          <w:rFonts w:ascii="Arial" w:hAnsi="Arial" w:cs="Arial"/>
          <w:bCs/>
          <w:lang w:val="es-MX"/>
        </w:rPr>
        <w:t xml:space="preserve">en los cuales </w:t>
      </w:r>
      <w:r w:rsidR="00614D78" w:rsidRPr="007A177A">
        <w:rPr>
          <w:rFonts w:ascii="Arial" w:hAnsi="Arial" w:cs="Arial"/>
          <w:bCs/>
          <w:lang w:val="es-MX"/>
        </w:rPr>
        <w:t>explicó el origen de las modificaciones a las cantidades y las razones por las cuales no pudieron llegar a un acuerdo con las contratistas</w:t>
      </w:r>
      <w:r w:rsidR="00B0415C" w:rsidRPr="007A177A">
        <w:rPr>
          <w:rFonts w:ascii="Arial" w:hAnsi="Arial" w:cs="Arial"/>
          <w:bCs/>
          <w:lang w:val="es-MX"/>
        </w:rPr>
        <w:t xml:space="preserve"> para que suscribiera</w:t>
      </w:r>
      <w:r w:rsidR="00954D74" w:rsidRPr="007A177A">
        <w:rPr>
          <w:rFonts w:ascii="Arial" w:hAnsi="Arial" w:cs="Arial"/>
          <w:bCs/>
          <w:lang w:val="es-MX"/>
        </w:rPr>
        <w:t>n</w:t>
      </w:r>
      <w:r w:rsidR="00B0415C" w:rsidRPr="007A177A">
        <w:rPr>
          <w:rFonts w:ascii="Arial" w:hAnsi="Arial" w:cs="Arial"/>
          <w:bCs/>
          <w:lang w:val="es-MX"/>
        </w:rPr>
        <w:t xml:space="preserve"> el acta </w:t>
      </w:r>
      <w:r w:rsidR="002C67DC" w:rsidRPr="007A177A">
        <w:rPr>
          <w:rFonts w:ascii="Arial" w:hAnsi="Arial" w:cs="Arial"/>
          <w:bCs/>
          <w:lang w:val="es-MX"/>
        </w:rPr>
        <w:t xml:space="preserve">contentiva de la cuenta </w:t>
      </w:r>
      <w:r w:rsidR="00B0415C" w:rsidRPr="007A177A">
        <w:rPr>
          <w:rFonts w:ascii="Arial" w:hAnsi="Arial" w:cs="Arial"/>
          <w:bCs/>
          <w:lang w:val="es-MX"/>
        </w:rPr>
        <w:t>final de liquidación</w:t>
      </w:r>
      <w:r w:rsidR="00614D78" w:rsidRPr="007A177A">
        <w:rPr>
          <w:rFonts w:ascii="Arial" w:hAnsi="Arial" w:cs="Arial"/>
          <w:bCs/>
          <w:lang w:val="es-MX"/>
        </w:rPr>
        <w:t xml:space="preserve">. </w:t>
      </w:r>
    </w:p>
    <w:p w14:paraId="6E141C3D" w14:textId="77777777" w:rsidR="003E6C84" w:rsidRPr="007A177A" w:rsidRDefault="003E6C84" w:rsidP="00BF333B">
      <w:pPr>
        <w:spacing w:line="360" w:lineRule="auto"/>
        <w:jc w:val="both"/>
        <w:rPr>
          <w:rFonts w:ascii="Arial" w:hAnsi="Arial" w:cs="Arial"/>
          <w:bCs/>
          <w:lang w:val="es-MX"/>
        </w:rPr>
      </w:pPr>
    </w:p>
    <w:p w14:paraId="148C4D12" w14:textId="77777777" w:rsidR="0064689E" w:rsidRPr="007A177A" w:rsidRDefault="003E6C84" w:rsidP="00BF333B">
      <w:pPr>
        <w:spacing w:line="360" w:lineRule="auto"/>
        <w:jc w:val="both"/>
        <w:rPr>
          <w:rFonts w:ascii="Arial" w:hAnsi="Arial" w:cs="Arial"/>
          <w:bCs/>
          <w:lang w:val="es-MX"/>
        </w:rPr>
      </w:pPr>
      <w:r w:rsidRPr="007A177A">
        <w:rPr>
          <w:rFonts w:ascii="Arial" w:hAnsi="Arial" w:cs="Arial"/>
          <w:bCs/>
          <w:lang w:val="es-MX"/>
        </w:rPr>
        <w:t xml:space="preserve">Por ello, </w:t>
      </w:r>
      <w:r w:rsidR="003100C6" w:rsidRPr="007A177A">
        <w:rPr>
          <w:rFonts w:ascii="Arial" w:hAnsi="Arial" w:cs="Arial"/>
          <w:bCs/>
          <w:lang w:val="es-MX"/>
        </w:rPr>
        <w:t xml:space="preserve">advirtiendo que </w:t>
      </w:r>
      <w:r w:rsidRPr="007A177A">
        <w:rPr>
          <w:rFonts w:ascii="Arial" w:hAnsi="Arial" w:cs="Arial"/>
          <w:bCs/>
          <w:lang w:val="es-MX"/>
        </w:rPr>
        <w:t xml:space="preserve">en este proceso no se </w:t>
      </w:r>
      <w:r w:rsidR="00954D74" w:rsidRPr="007A177A">
        <w:rPr>
          <w:rFonts w:ascii="Arial" w:hAnsi="Arial" w:cs="Arial"/>
          <w:bCs/>
          <w:lang w:val="es-MX"/>
        </w:rPr>
        <w:t>desvirtuó</w:t>
      </w:r>
      <w:r w:rsidRPr="007A177A">
        <w:rPr>
          <w:rFonts w:ascii="Arial" w:hAnsi="Arial" w:cs="Arial"/>
          <w:bCs/>
          <w:lang w:val="es-MX"/>
        </w:rPr>
        <w:t xml:space="preserve"> lo que indican esos informes y documentos</w:t>
      </w:r>
      <w:r w:rsidR="00B0415C" w:rsidRPr="007A177A">
        <w:rPr>
          <w:rFonts w:ascii="Arial" w:hAnsi="Arial" w:cs="Arial"/>
          <w:bCs/>
          <w:lang w:val="es-MX"/>
        </w:rPr>
        <w:t>,</w:t>
      </w:r>
      <w:r w:rsidRPr="007A177A">
        <w:rPr>
          <w:rFonts w:ascii="Arial" w:hAnsi="Arial" w:cs="Arial"/>
          <w:bCs/>
          <w:lang w:val="es-MX"/>
        </w:rPr>
        <w:t xml:space="preserve"> </w:t>
      </w:r>
      <w:r w:rsidR="003100C6" w:rsidRPr="007A177A">
        <w:rPr>
          <w:rFonts w:ascii="Arial" w:hAnsi="Arial" w:cs="Arial"/>
          <w:bCs/>
          <w:lang w:val="es-MX"/>
        </w:rPr>
        <w:t xml:space="preserve">se concluye </w:t>
      </w:r>
      <w:r w:rsidRPr="007A177A">
        <w:rPr>
          <w:rFonts w:ascii="Arial" w:hAnsi="Arial" w:cs="Arial"/>
          <w:bCs/>
          <w:lang w:val="es-MX"/>
        </w:rPr>
        <w:t>que no se presentó el incumplim</w:t>
      </w:r>
      <w:r w:rsidR="0064689E" w:rsidRPr="007A177A">
        <w:rPr>
          <w:rFonts w:ascii="Arial" w:hAnsi="Arial" w:cs="Arial"/>
          <w:bCs/>
          <w:lang w:val="es-MX"/>
        </w:rPr>
        <w:t xml:space="preserve">iento </w:t>
      </w:r>
      <w:r w:rsidR="00B0415C" w:rsidRPr="007A177A">
        <w:rPr>
          <w:rFonts w:ascii="Arial" w:hAnsi="Arial" w:cs="Arial"/>
          <w:bCs/>
          <w:lang w:val="es-MX"/>
        </w:rPr>
        <w:t>en la fijación de nuevos precios</w:t>
      </w:r>
      <w:r w:rsidR="003100C6" w:rsidRPr="007A177A">
        <w:rPr>
          <w:rFonts w:ascii="Arial" w:hAnsi="Arial" w:cs="Arial"/>
          <w:bCs/>
          <w:lang w:val="es-MX"/>
        </w:rPr>
        <w:t xml:space="preserve"> y </w:t>
      </w:r>
      <w:r w:rsidR="00954D74" w:rsidRPr="007A177A">
        <w:rPr>
          <w:rFonts w:ascii="Arial" w:hAnsi="Arial" w:cs="Arial"/>
          <w:bCs/>
          <w:lang w:val="es-MX"/>
        </w:rPr>
        <w:t xml:space="preserve">el </w:t>
      </w:r>
      <w:r w:rsidR="003100C6" w:rsidRPr="007A177A">
        <w:rPr>
          <w:rFonts w:ascii="Arial" w:hAnsi="Arial" w:cs="Arial"/>
          <w:bCs/>
          <w:lang w:val="es-MX"/>
        </w:rPr>
        <w:t xml:space="preserve">pago de las cantidades correspondientes, contrario a lo que </w:t>
      </w:r>
      <w:r w:rsidR="00B0415C" w:rsidRPr="007A177A">
        <w:rPr>
          <w:rFonts w:ascii="Arial" w:hAnsi="Arial" w:cs="Arial"/>
          <w:bCs/>
          <w:lang w:val="es-MX"/>
        </w:rPr>
        <w:t xml:space="preserve">asumió el Tribunal </w:t>
      </w:r>
      <w:r w:rsidR="00B0415C" w:rsidRPr="007A177A">
        <w:rPr>
          <w:rFonts w:ascii="Arial" w:hAnsi="Arial" w:cs="Arial"/>
          <w:bCs/>
          <w:i/>
          <w:lang w:val="es-MX"/>
        </w:rPr>
        <w:t>a quo</w:t>
      </w:r>
      <w:r w:rsidR="0064689E" w:rsidRPr="007A177A">
        <w:rPr>
          <w:rFonts w:ascii="Arial" w:hAnsi="Arial" w:cs="Arial"/>
          <w:bCs/>
          <w:lang w:val="es-MX"/>
        </w:rPr>
        <w:t xml:space="preserve">, puesto que no se acreditaron </w:t>
      </w:r>
      <w:r w:rsidR="00B0415C" w:rsidRPr="007A177A">
        <w:rPr>
          <w:rFonts w:ascii="Arial" w:hAnsi="Arial" w:cs="Arial"/>
          <w:bCs/>
          <w:lang w:val="es-MX"/>
        </w:rPr>
        <w:t xml:space="preserve">nuevas </w:t>
      </w:r>
      <w:r w:rsidR="0064689E" w:rsidRPr="007A177A">
        <w:rPr>
          <w:rFonts w:ascii="Arial" w:hAnsi="Arial" w:cs="Arial"/>
          <w:bCs/>
          <w:lang w:val="es-MX"/>
        </w:rPr>
        <w:t>cantidades de obra</w:t>
      </w:r>
      <w:r w:rsidR="00B0415C" w:rsidRPr="007A177A">
        <w:rPr>
          <w:rFonts w:ascii="Arial" w:hAnsi="Arial" w:cs="Arial"/>
          <w:bCs/>
          <w:lang w:val="es-MX"/>
        </w:rPr>
        <w:t xml:space="preserve"> ni se reclasificaron las referidas </w:t>
      </w:r>
      <w:r w:rsidR="00954D74" w:rsidRPr="007A177A">
        <w:rPr>
          <w:rFonts w:ascii="Arial" w:hAnsi="Arial" w:cs="Arial"/>
          <w:bCs/>
          <w:lang w:val="es-MX"/>
        </w:rPr>
        <w:t xml:space="preserve">como </w:t>
      </w:r>
      <w:r w:rsidR="00B0415C" w:rsidRPr="007A177A">
        <w:rPr>
          <w:rFonts w:ascii="Arial" w:hAnsi="Arial" w:cs="Arial"/>
          <w:bCs/>
          <w:lang w:val="es-MX"/>
        </w:rPr>
        <w:t>material de roca.</w:t>
      </w:r>
      <w:r w:rsidR="0064689E" w:rsidRPr="007A177A">
        <w:rPr>
          <w:rFonts w:ascii="Arial" w:hAnsi="Arial" w:cs="Arial"/>
          <w:bCs/>
          <w:lang w:val="es-MX"/>
        </w:rPr>
        <w:t xml:space="preserve"> </w:t>
      </w:r>
    </w:p>
    <w:p w14:paraId="65755738" w14:textId="77777777" w:rsidR="0064689E" w:rsidRPr="007A177A" w:rsidRDefault="0064689E" w:rsidP="00BF333B">
      <w:pPr>
        <w:spacing w:line="360" w:lineRule="auto"/>
        <w:jc w:val="both"/>
        <w:rPr>
          <w:rFonts w:ascii="Arial" w:hAnsi="Arial" w:cs="Arial"/>
          <w:bCs/>
          <w:lang w:val="es-MX"/>
        </w:rPr>
      </w:pPr>
    </w:p>
    <w:p w14:paraId="619FFB93" w14:textId="77777777" w:rsidR="00B03E2C" w:rsidRPr="007A177A" w:rsidRDefault="0064689E" w:rsidP="00BF333B">
      <w:pPr>
        <w:spacing w:line="360" w:lineRule="auto"/>
        <w:jc w:val="both"/>
        <w:rPr>
          <w:rFonts w:ascii="Arial" w:hAnsi="Arial" w:cs="Arial"/>
          <w:bCs/>
          <w:lang w:val="es-MX"/>
        </w:rPr>
      </w:pPr>
      <w:r w:rsidRPr="007A177A">
        <w:rPr>
          <w:rFonts w:ascii="Arial" w:hAnsi="Arial" w:cs="Arial"/>
          <w:bCs/>
          <w:lang w:val="es-MX"/>
        </w:rPr>
        <w:t xml:space="preserve">Lo que </w:t>
      </w:r>
      <w:r w:rsidR="003100C6" w:rsidRPr="007A177A">
        <w:rPr>
          <w:rFonts w:ascii="Arial" w:hAnsi="Arial" w:cs="Arial"/>
          <w:bCs/>
          <w:lang w:val="es-MX"/>
        </w:rPr>
        <w:t xml:space="preserve">las </w:t>
      </w:r>
      <w:r w:rsidRPr="007A177A">
        <w:rPr>
          <w:rFonts w:ascii="Arial" w:hAnsi="Arial" w:cs="Arial"/>
          <w:bCs/>
          <w:lang w:val="es-MX"/>
        </w:rPr>
        <w:t xml:space="preserve">pruebas </w:t>
      </w:r>
      <w:r w:rsidR="003100C6" w:rsidRPr="007A177A">
        <w:rPr>
          <w:rFonts w:ascii="Arial" w:hAnsi="Arial" w:cs="Arial"/>
          <w:bCs/>
          <w:lang w:val="es-MX"/>
        </w:rPr>
        <w:t xml:space="preserve">citadas </w:t>
      </w:r>
      <w:r w:rsidR="007E6388" w:rsidRPr="007A177A">
        <w:rPr>
          <w:rFonts w:ascii="Arial" w:hAnsi="Arial" w:cs="Arial"/>
          <w:bCs/>
          <w:lang w:val="es-MX"/>
        </w:rPr>
        <w:t xml:space="preserve">indican </w:t>
      </w:r>
      <w:r w:rsidRPr="007A177A">
        <w:rPr>
          <w:rFonts w:ascii="Arial" w:hAnsi="Arial" w:cs="Arial"/>
          <w:bCs/>
          <w:lang w:val="es-MX"/>
        </w:rPr>
        <w:t xml:space="preserve">es que </w:t>
      </w:r>
      <w:r w:rsidR="003100C6" w:rsidRPr="007A177A">
        <w:rPr>
          <w:rFonts w:ascii="Arial" w:hAnsi="Arial" w:cs="Arial"/>
          <w:bCs/>
          <w:lang w:val="es-MX"/>
        </w:rPr>
        <w:t xml:space="preserve">el </w:t>
      </w:r>
      <w:r w:rsidRPr="007A177A">
        <w:rPr>
          <w:rFonts w:ascii="Arial" w:hAnsi="Arial" w:cs="Arial"/>
          <w:bCs/>
          <w:lang w:val="es-MX"/>
        </w:rPr>
        <w:t xml:space="preserve">contratista </w:t>
      </w:r>
      <w:r w:rsidR="003100C6" w:rsidRPr="007A177A">
        <w:rPr>
          <w:rFonts w:ascii="Arial" w:hAnsi="Arial" w:cs="Arial"/>
          <w:bCs/>
          <w:lang w:val="es-MX"/>
        </w:rPr>
        <w:t xml:space="preserve">propuso </w:t>
      </w:r>
      <w:r w:rsidRPr="007A177A">
        <w:rPr>
          <w:rFonts w:ascii="Arial" w:hAnsi="Arial" w:cs="Arial"/>
          <w:bCs/>
          <w:lang w:val="es-MX"/>
        </w:rPr>
        <w:t>que se modificar</w:t>
      </w:r>
      <w:r w:rsidR="003100C6" w:rsidRPr="007A177A">
        <w:rPr>
          <w:rFonts w:ascii="Arial" w:hAnsi="Arial" w:cs="Arial"/>
          <w:bCs/>
          <w:lang w:val="es-MX"/>
        </w:rPr>
        <w:t>a</w:t>
      </w:r>
      <w:r w:rsidRPr="007A177A">
        <w:rPr>
          <w:rFonts w:ascii="Arial" w:hAnsi="Arial" w:cs="Arial"/>
          <w:bCs/>
          <w:lang w:val="es-MX"/>
        </w:rPr>
        <w:t xml:space="preserve"> el precio de las excavaciones en roca, pero no obtuvo </w:t>
      </w:r>
      <w:r w:rsidR="003E1DAB" w:rsidRPr="007A177A">
        <w:rPr>
          <w:rFonts w:ascii="Arial" w:hAnsi="Arial" w:cs="Arial"/>
          <w:bCs/>
          <w:lang w:val="es-MX"/>
        </w:rPr>
        <w:t xml:space="preserve">la aprobación del </w:t>
      </w:r>
      <w:r w:rsidR="00775006" w:rsidRPr="007A177A">
        <w:rPr>
          <w:rFonts w:ascii="Arial" w:hAnsi="Arial" w:cs="Arial"/>
          <w:bCs/>
          <w:lang w:val="es-MX"/>
        </w:rPr>
        <w:t>i</w:t>
      </w:r>
      <w:r w:rsidR="003100C6" w:rsidRPr="007A177A">
        <w:rPr>
          <w:rFonts w:ascii="Arial" w:hAnsi="Arial" w:cs="Arial"/>
          <w:bCs/>
          <w:lang w:val="es-MX"/>
        </w:rPr>
        <w:t xml:space="preserve">nterventor ni del Ministerio de Obras Públicas y Transporte, ni de la entidad contratante, </w:t>
      </w:r>
      <w:r w:rsidR="003E1DAB" w:rsidRPr="007A177A">
        <w:rPr>
          <w:rFonts w:ascii="Arial" w:hAnsi="Arial" w:cs="Arial"/>
          <w:bCs/>
          <w:lang w:val="es-MX"/>
        </w:rPr>
        <w:t>en</w:t>
      </w:r>
      <w:r w:rsidR="003100C6" w:rsidRPr="007A177A">
        <w:rPr>
          <w:rFonts w:ascii="Arial" w:hAnsi="Arial" w:cs="Arial"/>
          <w:bCs/>
          <w:lang w:val="es-MX"/>
        </w:rPr>
        <w:t xml:space="preserve"> </w:t>
      </w:r>
      <w:r w:rsidR="003E1DAB" w:rsidRPr="007A177A">
        <w:rPr>
          <w:rFonts w:ascii="Arial" w:hAnsi="Arial" w:cs="Arial"/>
          <w:bCs/>
          <w:lang w:val="es-MX"/>
        </w:rPr>
        <w:t>tanto los estudios geológicos no dieron certeza al interventor para apoyar una modificación y, por otra parte, los cambios en las fuentes de materiales que fue necesario realizar</w:t>
      </w:r>
      <w:r w:rsidR="00B0415C" w:rsidRPr="007A177A">
        <w:rPr>
          <w:rFonts w:ascii="Arial" w:hAnsi="Arial" w:cs="Arial"/>
          <w:bCs/>
          <w:lang w:val="es-MX"/>
        </w:rPr>
        <w:t xml:space="preserve"> para atender </w:t>
      </w:r>
      <w:r w:rsidR="007E6388" w:rsidRPr="007A177A">
        <w:rPr>
          <w:rFonts w:ascii="Arial" w:hAnsi="Arial" w:cs="Arial"/>
          <w:bCs/>
          <w:lang w:val="es-MX"/>
        </w:rPr>
        <w:t xml:space="preserve">la obra de </w:t>
      </w:r>
      <w:r w:rsidR="00B0415C" w:rsidRPr="007A177A">
        <w:rPr>
          <w:rFonts w:ascii="Arial" w:hAnsi="Arial" w:cs="Arial"/>
          <w:bCs/>
          <w:lang w:val="es-MX"/>
        </w:rPr>
        <w:t>terraplenes</w:t>
      </w:r>
      <w:r w:rsidR="003E1DAB" w:rsidRPr="007A177A">
        <w:rPr>
          <w:rFonts w:ascii="Arial" w:hAnsi="Arial" w:cs="Arial"/>
          <w:bCs/>
          <w:lang w:val="es-MX"/>
        </w:rPr>
        <w:t xml:space="preserve"> se reconocieron en las </w:t>
      </w:r>
      <w:r w:rsidR="00B03E2C" w:rsidRPr="007A177A">
        <w:rPr>
          <w:rFonts w:ascii="Arial" w:hAnsi="Arial" w:cs="Arial"/>
          <w:bCs/>
          <w:lang w:val="es-MX"/>
        </w:rPr>
        <w:t>cantidades en préstamo</w:t>
      </w:r>
      <w:r w:rsidR="00B0415C" w:rsidRPr="007A177A">
        <w:rPr>
          <w:rFonts w:ascii="Arial" w:hAnsi="Arial" w:cs="Arial"/>
          <w:bCs/>
          <w:lang w:val="es-MX"/>
        </w:rPr>
        <w:t xml:space="preserve">, dentro de la </w:t>
      </w:r>
      <w:r w:rsidR="002C67DC" w:rsidRPr="007A177A">
        <w:rPr>
          <w:rFonts w:ascii="Arial" w:hAnsi="Arial" w:cs="Arial"/>
          <w:bCs/>
          <w:lang w:val="es-MX"/>
        </w:rPr>
        <w:t>cuenta fina de l</w:t>
      </w:r>
      <w:r w:rsidR="00B0415C" w:rsidRPr="007A177A">
        <w:rPr>
          <w:rFonts w:ascii="Arial" w:hAnsi="Arial" w:cs="Arial"/>
          <w:bCs/>
          <w:lang w:val="es-MX"/>
        </w:rPr>
        <w:t>iquidación del contrato</w:t>
      </w:r>
      <w:r w:rsidR="00B03E2C" w:rsidRPr="007A177A">
        <w:rPr>
          <w:rFonts w:ascii="Arial" w:hAnsi="Arial" w:cs="Arial"/>
          <w:bCs/>
          <w:lang w:val="es-MX"/>
        </w:rPr>
        <w:t xml:space="preserve">. </w:t>
      </w:r>
    </w:p>
    <w:p w14:paraId="51831662" w14:textId="77777777" w:rsidR="00B03E2C" w:rsidRPr="007A177A" w:rsidRDefault="00B03E2C" w:rsidP="00BF333B">
      <w:pPr>
        <w:spacing w:line="360" w:lineRule="auto"/>
        <w:jc w:val="both"/>
        <w:rPr>
          <w:rFonts w:ascii="Arial" w:hAnsi="Arial" w:cs="Arial"/>
          <w:bCs/>
          <w:lang w:val="es-MX"/>
        </w:rPr>
      </w:pPr>
    </w:p>
    <w:p w14:paraId="2CFEA198" w14:textId="77777777" w:rsidR="003100C6" w:rsidRPr="007A177A" w:rsidRDefault="00614D78" w:rsidP="00BF333B">
      <w:pPr>
        <w:spacing w:line="360" w:lineRule="auto"/>
        <w:jc w:val="both"/>
        <w:rPr>
          <w:rFonts w:ascii="Arial" w:hAnsi="Arial" w:cs="Arial"/>
          <w:bCs/>
          <w:lang w:val="es-MX"/>
        </w:rPr>
      </w:pPr>
      <w:r w:rsidRPr="007A177A">
        <w:rPr>
          <w:rFonts w:ascii="Arial" w:hAnsi="Arial" w:cs="Arial"/>
          <w:bCs/>
          <w:lang w:val="es-MX"/>
        </w:rPr>
        <w:lastRenderedPageBreak/>
        <w:t>Se a</w:t>
      </w:r>
      <w:r w:rsidR="005A1045" w:rsidRPr="007A177A">
        <w:rPr>
          <w:rFonts w:ascii="Arial" w:hAnsi="Arial" w:cs="Arial"/>
          <w:bCs/>
          <w:lang w:val="es-MX"/>
        </w:rPr>
        <w:t>greg</w:t>
      </w:r>
      <w:r w:rsidRPr="007A177A">
        <w:rPr>
          <w:rFonts w:ascii="Arial" w:hAnsi="Arial" w:cs="Arial"/>
          <w:bCs/>
          <w:lang w:val="es-MX"/>
        </w:rPr>
        <w:t>a</w:t>
      </w:r>
      <w:r w:rsidR="005A1045" w:rsidRPr="007A177A">
        <w:rPr>
          <w:rFonts w:ascii="Arial" w:hAnsi="Arial" w:cs="Arial"/>
          <w:bCs/>
          <w:lang w:val="es-MX"/>
        </w:rPr>
        <w:t xml:space="preserve"> que el valor </w:t>
      </w:r>
      <w:r w:rsidR="00230BDA" w:rsidRPr="007A177A">
        <w:rPr>
          <w:rFonts w:ascii="Arial" w:hAnsi="Arial" w:cs="Arial"/>
          <w:bCs/>
          <w:lang w:val="es-MX"/>
        </w:rPr>
        <w:t xml:space="preserve">de la condena </w:t>
      </w:r>
      <w:r w:rsidR="00B0415C" w:rsidRPr="007A177A">
        <w:rPr>
          <w:rFonts w:ascii="Arial" w:hAnsi="Arial" w:cs="Arial"/>
          <w:bCs/>
          <w:lang w:val="es-MX"/>
        </w:rPr>
        <w:t xml:space="preserve">impuesta en primera instancia, </w:t>
      </w:r>
      <w:r w:rsidR="00621B80" w:rsidRPr="007A177A">
        <w:rPr>
          <w:rFonts w:ascii="Arial" w:hAnsi="Arial" w:cs="Arial"/>
          <w:bCs/>
          <w:lang w:val="es-MX"/>
        </w:rPr>
        <w:t xml:space="preserve">calculado sobre el supuesto </w:t>
      </w:r>
      <w:r w:rsidR="00B0415C" w:rsidRPr="007A177A">
        <w:rPr>
          <w:rFonts w:ascii="Arial" w:hAnsi="Arial" w:cs="Arial"/>
          <w:bCs/>
          <w:i/>
          <w:lang w:val="es-MX"/>
        </w:rPr>
        <w:t>-no probado-</w:t>
      </w:r>
      <w:r w:rsidR="00B0415C" w:rsidRPr="007A177A">
        <w:rPr>
          <w:rFonts w:ascii="Arial" w:hAnsi="Arial" w:cs="Arial"/>
          <w:bCs/>
          <w:lang w:val="es-MX"/>
        </w:rPr>
        <w:t xml:space="preserve"> </w:t>
      </w:r>
      <w:r w:rsidR="00621B80" w:rsidRPr="007A177A">
        <w:rPr>
          <w:rFonts w:ascii="Arial" w:hAnsi="Arial" w:cs="Arial"/>
          <w:bCs/>
          <w:lang w:val="es-MX"/>
        </w:rPr>
        <w:t>de</w:t>
      </w:r>
      <w:r w:rsidR="00B0415C" w:rsidRPr="007A177A">
        <w:rPr>
          <w:rFonts w:ascii="Arial" w:hAnsi="Arial" w:cs="Arial"/>
          <w:bCs/>
          <w:lang w:val="es-MX"/>
        </w:rPr>
        <w:t xml:space="preserve"> ejecución de cantidades en un </w:t>
      </w:r>
      <w:r w:rsidR="00621B80" w:rsidRPr="007A177A">
        <w:rPr>
          <w:rFonts w:ascii="Arial" w:hAnsi="Arial" w:cs="Arial"/>
          <w:bCs/>
          <w:lang w:val="es-MX"/>
        </w:rPr>
        <w:t xml:space="preserve">125% </w:t>
      </w:r>
      <w:r w:rsidR="00ED356F" w:rsidRPr="007A177A">
        <w:rPr>
          <w:rFonts w:ascii="Arial" w:hAnsi="Arial" w:cs="Arial"/>
          <w:bCs/>
          <w:lang w:val="es-MX"/>
        </w:rPr>
        <w:t xml:space="preserve">fue </w:t>
      </w:r>
      <w:r w:rsidR="00B0415C" w:rsidRPr="007A177A">
        <w:rPr>
          <w:rFonts w:ascii="Arial" w:hAnsi="Arial" w:cs="Arial"/>
          <w:bCs/>
          <w:lang w:val="es-MX"/>
        </w:rPr>
        <w:t xml:space="preserve">objeto de </w:t>
      </w:r>
      <w:r w:rsidR="00AC49D8" w:rsidRPr="007A177A">
        <w:rPr>
          <w:rFonts w:ascii="Arial" w:hAnsi="Arial" w:cs="Arial"/>
          <w:bCs/>
          <w:lang w:val="es-MX"/>
        </w:rPr>
        <w:t>indexa</w:t>
      </w:r>
      <w:r w:rsidR="00B0415C" w:rsidRPr="007A177A">
        <w:rPr>
          <w:rFonts w:ascii="Arial" w:hAnsi="Arial" w:cs="Arial"/>
          <w:bCs/>
          <w:lang w:val="es-MX"/>
        </w:rPr>
        <w:t xml:space="preserve">ción o actualización </w:t>
      </w:r>
      <w:r w:rsidR="00FB59B5" w:rsidRPr="007A177A">
        <w:rPr>
          <w:rFonts w:ascii="Arial" w:hAnsi="Arial" w:cs="Arial"/>
          <w:bCs/>
          <w:lang w:val="es-MX"/>
        </w:rPr>
        <w:t xml:space="preserve">por cuatro conceptos, </w:t>
      </w:r>
      <w:r w:rsidR="00ED356F" w:rsidRPr="007A177A">
        <w:rPr>
          <w:rFonts w:ascii="Arial" w:hAnsi="Arial" w:cs="Arial"/>
          <w:bCs/>
          <w:lang w:val="es-MX"/>
        </w:rPr>
        <w:t xml:space="preserve">de manera </w:t>
      </w:r>
      <w:r w:rsidR="00FB59B5" w:rsidRPr="007A177A">
        <w:rPr>
          <w:rFonts w:ascii="Arial" w:hAnsi="Arial" w:cs="Arial"/>
          <w:bCs/>
          <w:lang w:val="es-MX"/>
        </w:rPr>
        <w:t>re</w:t>
      </w:r>
      <w:r w:rsidR="003100C6" w:rsidRPr="007A177A">
        <w:rPr>
          <w:rFonts w:ascii="Arial" w:hAnsi="Arial" w:cs="Arial"/>
          <w:bCs/>
          <w:lang w:val="es-MX"/>
        </w:rPr>
        <w:t xml:space="preserve">dundante y </w:t>
      </w:r>
      <w:r w:rsidR="00FB59B5" w:rsidRPr="007A177A">
        <w:rPr>
          <w:rFonts w:ascii="Arial" w:hAnsi="Arial" w:cs="Arial"/>
          <w:bCs/>
          <w:lang w:val="es-MX"/>
        </w:rPr>
        <w:t xml:space="preserve"> </w:t>
      </w:r>
      <w:r w:rsidR="00AC49D8" w:rsidRPr="007A177A">
        <w:rPr>
          <w:rFonts w:ascii="Arial" w:hAnsi="Arial" w:cs="Arial"/>
          <w:bCs/>
          <w:lang w:val="es-MX"/>
        </w:rPr>
        <w:t>desproporcionad</w:t>
      </w:r>
      <w:r w:rsidR="00ED356F" w:rsidRPr="007A177A">
        <w:rPr>
          <w:rFonts w:ascii="Arial" w:hAnsi="Arial" w:cs="Arial"/>
          <w:bCs/>
          <w:lang w:val="es-MX"/>
        </w:rPr>
        <w:t>a</w:t>
      </w:r>
      <w:r w:rsidR="00AE0B88" w:rsidRPr="007A177A">
        <w:rPr>
          <w:rFonts w:ascii="Arial" w:hAnsi="Arial" w:cs="Arial"/>
          <w:bCs/>
          <w:lang w:val="es-MX"/>
        </w:rPr>
        <w:t>,</w:t>
      </w:r>
      <w:r w:rsidR="00AC49D8" w:rsidRPr="007A177A">
        <w:rPr>
          <w:rFonts w:ascii="Arial" w:hAnsi="Arial" w:cs="Arial"/>
          <w:bCs/>
          <w:lang w:val="es-MX"/>
        </w:rPr>
        <w:t xml:space="preserve"> toda vez que </w:t>
      </w:r>
      <w:r w:rsidR="00ED356F" w:rsidRPr="007A177A">
        <w:rPr>
          <w:rFonts w:ascii="Arial" w:hAnsi="Arial" w:cs="Arial"/>
          <w:bCs/>
          <w:lang w:val="es-MX"/>
        </w:rPr>
        <w:t xml:space="preserve">se consideraron las </w:t>
      </w:r>
      <w:r w:rsidR="00AC49D8" w:rsidRPr="007A177A">
        <w:rPr>
          <w:rFonts w:ascii="Arial" w:hAnsi="Arial" w:cs="Arial"/>
          <w:bCs/>
          <w:lang w:val="es-MX"/>
        </w:rPr>
        <w:t xml:space="preserve">mismas cantidades en </w:t>
      </w:r>
      <w:r w:rsidR="00FB59B5" w:rsidRPr="007A177A">
        <w:rPr>
          <w:rFonts w:ascii="Arial" w:hAnsi="Arial" w:cs="Arial"/>
          <w:bCs/>
          <w:lang w:val="es-MX"/>
        </w:rPr>
        <w:t xml:space="preserve">las distintas condenas, </w:t>
      </w:r>
      <w:r w:rsidR="001628F8" w:rsidRPr="007A177A">
        <w:rPr>
          <w:rFonts w:ascii="Arial" w:hAnsi="Arial" w:cs="Arial"/>
          <w:bCs/>
          <w:lang w:val="es-MX"/>
        </w:rPr>
        <w:t>a saber</w:t>
      </w:r>
      <w:r w:rsidR="0012359E" w:rsidRPr="007A177A">
        <w:rPr>
          <w:rFonts w:ascii="Arial" w:hAnsi="Arial" w:cs="Arial"/>
          <w:bCs/>
          <w:lang w:val="es-MX"/>
        </w:rPr>
        <w:t>:</w:t>
      </w:r>
      <w:r w:rsidR="00AC49D8" w:rsidRPr="007A177A">
        <w:rPr>
          <w:rFonts w:ascii="Arial" w:hAnsi="Arial" w:cs="Arial"/>
          <w:bCs/>
          <w:lang w:val="es-MX"/>
        </w:rPr>
        <w:t xml:space="preserve"> las </w:t>
      </w:r>
      <w:r w:rsidR="00FB59B5" w:rsidRPr="007A177A">
        <w:rPr>
          <w:rFonts w:ascii="Arial" w:hAnsi="Arial" w:cs="Arial"/>
          <w:bCs/>
          <w:lang w:val="es-MX"/>
        </w:rPr>
        <w:t xml:space="preserve">cantidades de la supuesta sobre ejecución; </w:t>
      </w:r>
      <w:r w:rsidR="00B0415C" w:rsidRPr="007A177A">
        <w:rPr>
          <w:rFonts w:ascii="Arial" w:hAnsi="Arial" w:cs="Arial"/>
          <w:bCs/>
          <w:lang w:val="es-MX"/>
        </w:rPr>
        <w:t xml:space="preserve">una parte de esas mismas </w:t>
      </w:r>
      <w:r w:rsidR="00AE0B88" w:rsidRPr="007A177A">
        <w:rPr>
          <w:rFonts w:ascii="Arial" w:hAnsi="Arial" w:cs="Arial"/>
          <w:bCs/>
          <w:lang w:val="es-MX"/>
        </w:rPr>
        <w:t xml:space="preserve">cantidades </w:t>
      </w:r>
      <w:r w:rsidR="00B0415C" w:rsidRPr="007A177A">
        <w:rPr>
          <w:rFonts w:ascii="Arial" w:hAnsi="Arial" w:cs="Arial"/>
          <w:bCs/>
          <w:lang w:val="es-MX"/>
        </w:rPr>
        <w:t xml:space="preserve">se indexó bajo el </w:t>
      </w:r>
      <w:r w:rsidR="00ED356F" w:rsidRPr="007A177A">
        <w:rPr>
          <w:rFonts w:ascii="Arial" w:hAnsi="Arial" w:cs="Arial"/>
          <w:bCs/>
          <w:lang w:val="es-MX"/>
        </w:rPr>
        <w:t>supuest</w:t>
      </w:r>
      <w:r w:rsidR="00B0415C" w:rsidRPr="007A177A">
        <w:rPr>
          <w:rFonts w:ascii="Arial" w:hAnsi="Arial" w:cs="Arial"/>
          <w:bCs/>
          <w:lang w:val="es-MX"/>
        </w:rPr>
        <w:t xml:space="preserve">o de </w:t>
      </w:r>
      <w:r w:rsidR="0014085B" w:rsidRPr="007A177A">
        <w:rPr>
          <w:rFonts w:ascii="Arial" w:hAnsi="Arial" w:cs="Arial"/>
          <w:bCs/>
          <w:lang w:val="es-MX"/>
        </w:rPr>
        <w:t>reclasificación del material de roca que no fue autorizad</w:t>
      </w:r>
      <w:r w:rsidR="00B0415C" w:rsidRPr="007A177A">
        <w:rPr>
          <w:rFonts w:ascii="Arial" w:hAnsi="Arial" w:cs="Arial"/>
          <w:bCs/>
          <w:lang w:val="es-MX"/>
        </w:rPr>
        <w:t>o</w:t>
      </w:r>
      <w:r w:rsidR="001628F8" w:rsidRPr="007A177A">
        <w:rPr>
          <w:rFonts w:ascii="Arial" w:hAnsi="Arial" w:cs="Arial"/>
          <w:bCs/>
          <w:lang w:val="es-MX"/>
        </w:rPr>
        <w:t xml:space="preserve"> –</w:t>
      </w:r>
      <w:r w:rsidR="001628F8" w:rsidRPr="007A177A">
        <w:rPr>
          <w:rFonts w:ascii="Arial" w:hAnsi="Arial" w:cs="Arial"/>
          <w:bCs/>
          <w:i/>
          <w:lang w:val="es-MX"/>
        </w:rPr>
        <w:t>según lo observ</w:t>
      </w:r>
      <w:r w:rsidR="00ED356F" w:rsidRPr="007A177A">
        <w:rPr>
          <w:rFonts w:ascii="Arial" w:hAnsi="Arial" w:cs="Arial"/>
          <w:bCs/>
          <w:i/>
          <w:lang w:val="es-MX"/>
        </w:rPr>
        <w:t>ó la misma sentencia de primera instancia-</w:t>
      </w:r>
      <w:r w:rsidR="00606C0A" w:rsidRPr="007A177A">
        <w:rPr>
          <w:rFonts w:ascii="Arial" w:hAnsi="Arial" w:cs="Arial"/>
          <w:bCs/>
          <w:lang w:val="es-MX"/>
        </w:rPr>
        <w:t xml:space="preserve"> </w:t>
      </w:r>
      <w:r w:rsidR="00ED356F" w:rsidRPr="007A177A">
        <w:rPr>
          <w:rFonts w:ascii="Arial" w:hAnsi="Arial" w:cs="Arial"/>
          <w:bCs/>
          <w:lang w:val="es-MX"/>
        </w:rPr>
        <w:t xml:space="preserve">y </w:t>
      </w:r>
      <w:r w:rsidR="003100C6" w:rsidRPr="007A177A">
        <w:rPr>
          <w:rFonts w:ascii="Arial" w:hAnsi="Arial" w:cs="Arial"/>
          <w:bCs/>
          <w:lang w:val="es-MX"/>
        </w:rPr>
        <w:t xml:space="preserve">se calculó sobre </w:t>
      </w:r>
      <w:r w:rsidR="003F3745" w:rsidRPr="007A177A">
        <w:rPr>
          <w:rFonts w:ascii="Arial" w:hAnsi="Arial" w:cs="Arial"/>
          <w:bCs/>
          <w:lang w:val="es-MX"/>
        </w:rPr>
        <w:t>estas</w:t>
      </w:r>
      <w:r w:rsidR="003100C6" w:rsidRPr="007A177A">
        <w:rPr>
          <w:rFonts w:ascii="Arial" w:hAnsi="Arial" w:cs="Arial"/>
          <w:bCs/>
          <w:lang w:val="es-MX"/>
        </w:rPr>
        <w:t xml:space="preserve"> </w:t>
      </w:r>
      <w:r w:rsidR="00ED356F" w:rsidRPr="007A177A">
        <w:rPr>
          <w:rFonts w:ascii="Arial" w:hAnsi="Arial" w:cs="Arial"/>
          <w:bCs/>
          <w:lang w:val="es-MX"/>
        </w:rPr>
        <w:t xml:space="preserve">el mayor valor de </w:t>
      </w:r>
      <w:r w:rsidR="0012359E" w:rsidRPr="007A177A">
        <w:rPr>
          <w:rFonts w:ascii="Arial" w:hAnsi="Arial" w:cs="Arial"/>
          <w:bCs/>
          <w:lang w:val="es-MX"/>
        </w:rPr>
        <w:t>material de terraplenes y transporte</w:t>
      </w:r>
      <w:r w:rsidR="003F3745" w:rsidRPr="007A177A">
        <w:rPr>
          <w:rFonts w:ascii="Arial" w:hAnsi="Arial" w:cs="Arial"/>
          <w:bCs/>
          <w:lang w:val="es-MX"/>
        </w:rPr>
        <w:t>,</w:t>
      </w:r>
      <w:r w:rsidR="003100C6" w:rsidRPr="007A177A">
        <w:rPr>
          <w:rFonts w:ascii="Arial" w:hAnsi="Arial" w:cs="Arial"/>
          <w:bCs/>
          <w:lang w:val="es-MX"/>
        </w:rPr>
        <w:t xml:space="preserve"> pese a que </w:t>
      </w:r>
      <w:r w:rsidR="00AE0B88" w:rsidRPr="007A177A">
        <w:rPr>
          <w:rFonts w:ascii="Arial" w:hAnsi="Arial" w:cs="Arial"/>
          <w:bCs/>
          <w:lang w:val="es-MX"/>
        </w:rPr>
        <w:t>había</w:t>
      </w:r>
      <w:r w:rsidR="00FB59B5" w:rsidRPr="007A177A">
        <w:rPr>
          <w:rFonts w:ascii="Arial" w:hAnsi="Arial" w:cs="Arial"/>
          <w:bCs/>
          <w:lang w:val="es-MX"/>
        </w:rPr>
        <w:t>n</w:t>
      </w:r>
      <w:r w:rsidR="00AE0B88" w:rsidRPr="007A177A">
        <w:rPr>
          <w:rFonts w:ascii="Arial" w:hAnsi="Arial" w:cs="Arial"/>
          <w:bCs/>
          <w:lang w:val="es-MX"/>
        </w:rPr>
        <w:t xml:space="preserve"> sido reconocid</w:t>
      </w:r>
      <w:r w:rsidR="00FB59B5" w:rsidRPr="007A177A">
        <w:rPr>
          <w:rFonts w:ascii="Arial" w:hAnsi="Arial" w:cs="Arial"/>
          <w:bCs/>
          <w:lang w:val="es-MX"/>
        </w:rPr>
        <w:t>as</w:t>
      </w:r>
      <w:r w:rsidR="00AE0B88" w:rsidRPr="007A177A">
        <w:rPr>
          <w:rFonts w:ascii="Arial" w:hAnsi="Arial" w:cs="Arial"/>
          <w:bCs/>
          <w:lang w:val="es-MX"/>
        </w:rPr>
        <w:t xml:space="preserve"> de acuerdo con los precios pactados</w:t>
      </w:r>
      <w:r w:rsidR="00711313" w:rsidRPr="007A177A">
        <w:rPr>
          <w:rFonts w:ascii="Arial" w:hAnsi="Arial" w:cs="Arial"/>
          <w:bCs/>
          <w:lang w:val="es-MX"/>
        </w:rPr>
        <w:t>.</w:t>
      </w:r>
      <w:r w:rsidR="00FB59B5" w:rsidRPr="007A177A">
        <w:rPr>
          <w:rFonts w:ascii="Arial" w:hAnsi="Arial" w:cs="Arial"/>
          <w:bCs/>
          <w:lang w:val="es-MX"/>
        </w:rPr>
        <w:t xml:space="preserve"> </w:t>
      </w:r>
    </w:p>
    <w:p w14:paraId="3F89FE97" w14:textId="77777777" w:rsidR="003100C6" w:rsidRPr="007A177A" w:rsidRDefault="003100C6" w:rsidP="00BF333B">
      <w:pPr>
        <w:spacing w:line="360" w:lineRule="auto"/>
        <w:jc w:val="both"/>
        <w:rPr>
          <w:rFonts w:ascii="Arial" w:hAnsi="Arial" w:cs="Arial"/>
          <w:bCs/>
          <w:lang w:val="es-MX"/>
        </w:rPr>
      </w:pPr>
    </w:p>
    <w:p w14:paraId="2BF8AD71" w14:textId="77777777" w:rsidR="00FB59B5" w:rsidRPr="007A177A" w:rsidRDefault="00FB59B5" w:rsidP="00BF333B">
      <w:pPr>
        <w:spacing w:line="360" w:lineRule="auto"/>
        <w:jc w:val="both"/>
        <w:rPr>
          <w:rFonts w:ascii="Arial" w:hAnsi="Arial" w:cs="Arial"/>
          <w:bCs/>
          <w:lang w:val="es-MX"/>
        </w:rPr>
      </w:pPr>
      <w:r w:rsidRPr="007A177A">
        <w:rPr>
          <w:rFonts w:ascii="Arial" w:hAnsi="Arial" w:cs="Arial"/>
          <w:bCs/>
          <w:lang w:val="es-MX"/>
        </w:rPr>
        <w:t>Además</w:t>
      </w:r>
      <w:r w:rsidR="00B73D25" w:rsidRPr="007A177A">
        <w:rPr>
          <w:rFonts w:ascii="Arial" w:hAnsi="Arial" w:cs="Arial"/>
          <w:bCs/>
          <w:lang w:val="es-MX"/>
        </w:rPr>
        <w:t>,</w:t>
      </w:r>
      <w:r w:rsidR="00016F73" w:rsidRPr="007A177A">
        <w:rPr>
          <w:rFonts w:ascii="Arial" w:hAnsi="Arial" w:cs="Arial"/>
          <w:bCs/>
          <w:lang w:val="es-MX"/>
        </w:rPr>
        <w:t xml:space="preserve"> el Tribunal </w:t>
      </w:r>
      <w:r w:rsidR="00016F73" w:rsidRPr="007A177A">
        <w:rPr>
          <w:rFonts w:ascii="Arial" w:hAnsi="Arial" w:cs="Arial"/>
          <w:bCs/>
          <w:i/>
          <w:lang w:val="es-MX"/>
        </w:rPr>
        <w:t>a quo</w:t>
      </w:r>
      <w:r w:rsidR="00016F73" w:rsidRPr="007A177A">
        <w:rPr>
          <w:rFonts w:ascii="Arial" w:hAnsi="Arial" w:cs="Arial"/>
          <w:bCs/>
          <w:lang w:val="es-MX"/>
        </w:rPr>
        <w:t xml:space="preserve"> liquidó </w:t>
      </w:r>
      <w:r w:rsidR="003100C6" w:rsidRPr="007A177A">
        <w:rPr>
          <w:rFonts w:ascii="Arial" w:hAnsi="Arial" w:cs="Arial"/>
          <w:bCs/>
          <w:lang w:val="es-MX"/>
        </w:rPr>
        <w:t xml:space="preserve">la condena </w:t>
      </w:r>
      <w:r w:rsidR="00016F73" w:rsidRPr="007A177A">
        <w:rPr>
          <w:rFonts w:ascii="Arial" w:hAnsi="Arial" w:cs="Arial"/>
          <w:bCs/>
          <w:lang w:val="es-MX"/>
        </w:rPr>
        <w:t xml:space="preserve">con </w:t>
      </w:r>
      <w:r w:rsidRPr="007A177A">
        <w:rPr>
          <w:rFonts w:ascii="Arial" w:hAnsi="Arial" w:cs="Arial"/>
          <w:bCs/>
          <w:lang w:val="es-MX"/>
        </w:rPr>
        <w:t xml:space="preserve">base en </w:t>
      </w:r>
      <w:r w:rsidR="00016F73" w:rsidRPr="007A177A">
        <w:rPr>
          <w:rFonts w:ascii="Arial" w:hAnsi="Arial" w:cs="Arial"/>
          <w:bCs/>
          <w:lang w:val="es-MX"/>
        </w:rPr>
        <w:t xml:space="preserve">unos nuevos precios, supuestamente justificados por </w:t>
      </w:r>
      <w:r w:rsidRPr="007A177A">
        <w:rPr>
          <w:rFonts w:ascii="Arial" w:hAnsi="Arial" w:cs="Arial"/>
          <w:bCs/>
          <w:lang w:val="es-MX"/>
        </w:rPr>
        <w:t>la demandante</w:t>
      </w:r>
      <w:r w:rsidR="00016F73" w:rsidRPr="007A177A">
        <w:rPr>
          <w:rFonts w:ascii="Arial" w:hAnsi="Arial" w:cs="Arial"/>
          <w:bCs/>
          <w:lang w:val="es-MX"/>
        </w:rPr>
        <w:t xml:space="preserve">, </w:t>
      </w:r>
      <w:r w:rsidRPr="007A177A">
        <w:rPr>
          <w:rFonts w:ascii="Arial" w:hAnsi="Arial" w:cs="Arial"/>
          <w:bCs/>
          <w:lang w:val="es-MX"/>
        </w:rPr>
        <w:t xml:space="preserve">pero no se detuvo en explicar de dónde los tomó ni por qué los podía aplicar a las cantidades de obra </w:t>
      </w:r>
      <w:r w:rsidR="0039049F" w:rsidRPr="007A177A">
        <w:rPr>
          <w:rFonts w:ascii="Arial" w:hAnsi="Arial" w:cs="Arial"/>
          <w:bCs/>
          <w:lang w:val="es-MX"/>
        </w:rPr>
        <w:t xml:space="preserve">ejecutada entre 1978 y 1981. </w:t>
      </w:r>
    </w:p>
    <w:p w14:paraId="7E227F92" w14:textId="77777777" w:rsidR="0012359E" w:rsidRPr="007A177A" w:rsidRDefault="0012359E" w:rsidP="00BF333B">
      <w:pPr>
        <w:spacing w:line="360" w:lineRule="auto"/>
        <w:jc w:val="both"/>
        <w:rPr>
          <w:rFonts w:ascii="Arial" w:hAnsi="Arial" w:cs="Arial"/>
          <w:bCs/>
          <w:lang w:val="es-MX"/>
        </w:rPr>
      </w:pPr>
    </w:p>
    <w:p w14:paraId="0C84F4BC" w14:textId="77777777" w:rsidR="00C52D87" w:rsidRPr="007A177A" w:rsidRDefault="001628F8" w:rsidP="00BF333B">
      <w:pPr>
        <w:spacing w:line="360" w:lineRule="auto"/>
        <w:jc w:val="both"/>
        <w:rPr>
          <w:rFonts w:ascii="Arial" w:hAnsi="Arial" w:cs="Arial"/>
          <w:bCs/>
          <w:lang w:val="es-MX"/>
        </w:rPr>
      </w:pPr>
      <w:r w:rsidRPr="007A177A">
        <w:rPr>
          <w:rFonts w:ascii="Arial" w:hAnsi="Arial" w:cs="Arial"/>
          <w:bCs/>
          <w:lang w:val="es-MX"/>
        </w:rPr>
        <w:t>La escogencia</w:t>
      </w:r>
      <w:r w:rsidR="00FB59B5" w:rsidRPr="007A177A">
        <w:rPr>
          <w:rFonts w:ascii="Arial" w:hAnsi="Arial" w:cs="Arial"/>
          <w:bCs/>
          <w:lang w:val="es-MX"/>
        </w:rPr>
        <w:t xml:space="preserve"> </w:t>
      </w:r>
      <w:r w:rsidRPr="007A177A">
        <w:rPr>
          <w:rFonts w:ascii="Arial" w:hAnsi="Arial" w:cs="Arial"/>
          <w:bCs/>
          <w:lang w:val="es-MX"/>
        </w:rPr>
        <w:t xml:space="preserve">de las fechas </w:t>
      </w:r>
      <w:r w:rsidR="00FB59B5" w:rsidRPr="007A177A">
        <w:rPr>
          <w:rFonts w:ascii="Arial" w:hAnsi="Arial" w:cs="Arial"/>
          <w:bCs/>
          <w:lang w:val="es-MX"/>
        </w:rPr>
        <w:t xml:space="preserve">para calcular </w:t>
      </w:r>
      <w:r w:rsidRPr="007A177A">
        <w:rPr>
          <w:rFonts w:ascii="Arial" w:hAnsi="Arial" w:cs="Arial"/>
          <w:bCs/>
          <w:lang w:val="es-MX"/>
        </w:rPr>
        <w:t xml:space="preserve">los índices iniciales </w:t>
      </w:r>
      <w:r w:rsidR="00FB59B5" w:rsidRPr="007A177A">
        <w:rPr>
          <w:rFonts w:ascii="Arial" w:hAnsi="Arial" w:cs="Arial"/>
          <w:bCs/>
          <w:lang w:val="es-MX"/>
        </w:rPr>
        <w:t xml:space="preserve">en la actualización </w:t>
      </w:r>
      <w:r w:rsidR="00016F73" w:rsidRPr="007A177A">
        <w:rPr>
          <w:rFonts w:ascii="Arial" w:hAnsi="Arial" w:cs="Arial"/>
          <w:bCs/>
          <w:lang w:val="es-MX"/>
        </w:rPr>
        <w:t xml:space="preserve">también fue </w:t>
      </w:r>
      <w:r w:rsidRPr="007A177A">
        <w:rPr>
          <w:rFonts w:ascii="Arial" w:hAnsi="Arial" w:cs="Arial"/>
          <w:bCs/>
          <w:lang w:val="es-MX"/>
        </w:rPr>
        <w:t xml:space="preserve">equivocada, por cuanto </w:t>
      </w:r>
      <w:r w:rsidR="00FB59B5" w:rsidRPr="007A177A">
        <w:rPr>
          <w:rFonts w:ascii="Arial" w:hAnsi="Arial" w:cs="Arial"/>
          <w:bCs/>
          <w:lang w:val="es-MX"/>
        </w:rPr>
        <w:t>los perjuicios -</w:t>
      </w:r>
      <w:r w:rsidR="00FB59B5" w:rsidRPr="007A177A">
        <w:rPr>
          <w:rFonts w:ascii="Arial" w:hAnsi="Arial" w:cs="Arial"/>
          <w:bCs/>
          <w:i/>
          <w:lang w:val="es-MX"/>
        </w:rPr>
        <w:t>que además no estaban probados</w:t>
      </w:r>
      <w:r w:rsidR="00FB59B5" w:rsidRPr="007A177A">
        <w:rPr>
          <w:rFonts w:ascii="Arial" w:hAnsi="Arial" w:cs="Arial"/>
          <w:bCs/>
          <w:lang w:val="es-MX"/>
        </w:rPr>
        <w:t xml:space="preserve">- </w:t>
      </w:r>
      <w:r w:rsidR="0039049F" w:rsidRPr="007A177A">
        <w:rPr>
          <w:rFonts w:ascii="Arial" w:hAnsi="Arial" w:cs="Arial"/>
          <w:bCs/>
          <w:lang w:val="es-MX"/>
        </w:rPr>
        <w:t xml:space="preserve">solo se podían reconocer como causados a partir de la fecha en que </w:t>
      </w:r>
      <w:r w:rsidRPr="007A177A">
        <w:rPr>
          <w:rFonts w:ascii="Arial" w:hAnsi="Arial" w:cs="Arial"/>
          <w:bCs/>
          <w:lang w:val="es-MX"/>
        </w:rPr>
        <w:t xml:space="preserve">el pago </w:t>
      </w:r>
      <w:r w:rsidR="0039049F" w:rsidRPr="007A177A">
        <w:rPr>
          <w:rFonts w:ascii="Arial" w:hAnsi="Arial" w:cs="Arial"/>
          <w:bCs/>
          <w:lang w:val="es-MX"/>
        </w:rPr>
        <w:t xml:space="preserve">hubiera sido </w:t>
      </w:r>
      <w:r w:rsidRPr="007A177A">
        <w:rPr>
          <w:rFonts w:ascii="Arial" w:hAnsi="Arial" w:cs="Arial"/>
          <w:bCs/>
          <w:lang w:val="es-MX"/>
        </w:rPr>
        <w:t>exigible</w:t>
      </w:r>
      <w:r w:rsidR="00FB59B5" w:rsidRPr="007A177A">
        <w:rPr>
          <w:rFonts w:ascii="Arial" w:hAnsi="Arial" w:cs="Arial"/>
          <w:bCs/>
          <w:lang w:val="es-MX"/>
        </w:rPr>
        <w:t>,</w:t>
      </w:r>
      <w:r w:rsidR="007D42FF" w:rsidRPr="007A177A">
        <w:rPr>
          <w:rFonts w:ascii="Arial" w:hAnsi="Arial" w:cs="Arial"/>
          <w:bCs/>
          <w:lang w:val="es-MX"/>
        </w:rPr>
        <w:t xml:space="preserve"> </w:t>
      </w:r>
      <w:r w:rsidR="00FB59B5" w:rsidRPr="007A177A">
        <w:rPr>
          <w:rFonts w:ascii="Arial" w:hAnsi="Arial" w:cs="Arial"/>
          <w:bCs/>
          <w:lang w:val="es-MX"/>
        </w:rPr>
        <w:t>con base en el acta de obra correspondiente</w:t>
      </w:r>
      <w:r w:rsidR="007D42FF" w:rsidRPr="007A177A">
        <w:rPr>
          <w:rFonts w:ascii="Arial" w:hAnsi="Arial" w:cs="Arial"/>
          <w:bCs/>
          <w:lang w:val="es-MX"/>
        </w:rPr>
        <w:t>,</w:t>
      </w:r>
      <w:r w:rsidR="00FB59B5" w:rsidRPr="007A177A">
        <w:rPr>
          <w:rFonts w:ascii="Arial" w:hAnsi="Arial" w:cs="Arial"/>
          <w:bCs/>
          <w:lang w:val="es-MX"/>
        </w:rPr>
        <w:t xml:space="preserve"> </w:t>
      </w:r>
      <w:r w:rsidRPr="007A177A">
        <w:rPr>
          <w:rFonts w:ascii="Arial" w:hAnsi="Arial" w:cs="Arial"/>
          <w:bCs/>
          <w:lang w:val="es-MX"/>
        </w:rPr>
        <w:t xml:space="preserve">y </w:t>
      </w:r>
      <w:r w:rsidR="00FB59B5" w:rsidRPr="007A177A">
        <w:rPr>
          <w:rFonts w:ascii="Arial" w:hAnsi="Arial" w:cs="Arial"/>
          <w:bCs/>
          <w:lang w:val="es-MX"/>
        </w:rPr>
        <w:t>no desde</w:t>
      </w:r>
      <w:r w:rsidR="007D42FF" w:rsidRPr="007A177A">
        <w:rPr>
          <w:rFonts w:ascii="Arial" w:hAnsi="Arial" w:cs="Arial"/>
          <w:bCs/>
          <w:lang w:val="es-MX"/>
        </w:rPr>
        <w:t xml:space="preserve"> </w:t>
      </w:r>
      <w:r w:rsidR="00FB59B5" w:rsidRPr="007A177A">
        <w:rPr>
          <w:rFonts w:ascii="Arial" w:hAnsi="Arial" w:cs="Arial"/>
          <w:bCs/>
          <w:lang w:val="es-MX"/>
        </w:rPr>
        <w:t xml:space="preserve">que se presentaron las preactas, dado que estas últimas </w:t>
      </w:r>
      <w:r w:rsidR="0039049F" w:rsidRPr="007A177A">
        <w:rPr>
          <w:rFonts w:ascii="Arial" w:hAnsi="Arial" w:cs="Arial"/>
          <w:bCs/>
          <w:lang w:val="es-MX"/>
        </w:rPr>
        <w:t xml:space="preserve">indicaban </w:t>
      </w:r>
      <w:r w:rsidR="00C52D87" w:rsidRPr="007A177A">
        <w:rPr>
          <w:rFonts w:ascii="Arial" w:hAnsi="Arial" w:cs="Arial"/>
          <w:bCs/>
          <w:lang w:val="es-MX"/>
        </w:rPr>
        <w:t xml:space="preserve">clasificaciones </w:t>
      </w:r>
      <w:r w:rsidR="00FB59B5" w:rsidRPr="007A177A">
        <w:rPr>
          <w:rFonts w:ascii="Arial" w:hAnsi="Arial" w:cs="Arial"/>
          <w:bCs/>
          <w:lang w:val="es-MX"/>
        </w:rPr>
        <w:t xml:space="preserve">preliminares que no fueron </w:t>
      </w:r>
      <w:r w:rsidR="00C52D87" w:rsidRPr="007A177A">
        <w:rPr>
          <w:rFonts w:ascii="Arial" w:hAnsi="Arial" w:cs="Arial"/>
          <w:bCs/>
          <w:lang w:val="es-MX"/>
        </w:rPr>
        <w:t xml:space="preserve">aprobadas, todo lo cual se ignoró en la liquidación realizada por el Tribunal </w:t>
      </w:r>
      <w:r w:rsidR="00C52D87" w:rsidRPr="007A177A">
        <w:rPr>
          <w:rFonts w:ascii="Arial" w:hAnsi="Arial" w:cs="Arial"/>
          <w:bCs/>
          <w:i/>
          <w:lang w:val="es-MX"/>
        </w:rPr>
        <w:t>a quo</w:t>
      </w:r>
      <w:r w:rsidR="00C52D87" w:rsidRPr="007A177A">
        <w:rPr>
          <w:rFonts w:ascii="Arial" w:hAnsi="Arial" w:cs="Arial"/>
          <w:bCs/>
          <w:lang w:val="es-MX"/>
        </w:rPr>
        <w:t xml:space="preserve">, </w:t>
      </w:r>
      <w:r w:rsidR="0039049F" w:rsidRPr="007A177A">
        <w:rPr>
          <w:rFonts w:ascii="Arial" w:hAnsi="Arial" w:cs="Arial"/>
          <w:bCs/>
          <w:lang w:val="es-MX"/>
        </w:rPr>
        <w:t xml:space="preserve">arribando a un condena </w:t>
      </w:r>
      <w:r w:rsidR="00C52D87" w:rsidRPr="007A177A">
        <w:rPr>
          <w:rFonts w:ascii="Arial" w:hAnsi="Arial" w:cs="Arial"/>
          <w:bCs/>
          <w:lang w:val="es-MX"/>
        </w:rPr>
        <w:t>notoriamente desproporcionada, tal como lo a</w:t>
      </w:r>
      <w:r w:rsidR="0039049F" w:rsidRPr="007A177A">
        <w:rPr>
          <w:rFonts w:ascii="Arial" w:hAnsi="Arial" w:cs="Arial"/>
          <w:bCs/>
          <w:lang w:val="es-MX"/>
        </w:rPr>
        <w:t xml:space="preserve">dvirtió </w:t>
      </w:r>
      <w:r w:rsidR="00C52D87" w:rsidRPr="007A177A">
        <w:rPr>
          <w:rFonts w:ascii="Arial" w:hAnsi="Arial" w:cs="Arial"/>
          <w:bCs/>
          <w:lang w:val="es-MX"/>
        </w:rPr>
        <w:t>el Invías</w:t>
      </w:r>
      <w:r w:rsidR="0039049F" w:rsidRPr="007A177A">
        <w:rPr>
          <w:rFonts w:ascii="Arial" w:hAnsi="Arial" w:cs="Arial"/>
          <w:bCs/>
          <w:lang w:val="es-MX"/>
        </w:rPr>
        <w:t xml:space="preserve"> en su recurso de apelación</w:t>
      </w:r>
      <w:r w:rsidR="00C52D87" w:rsidRPr="007A177A">
        <w:rPr>
          <w:rFonts w:ascii="Arial" w:hAnsi="Arial" w:cs="Arial"/>
          <w:bCs/>
          <w:lang w:val="es-MX"/>
        </w:rPr>
        <w:t>.</w:t>
      </w:r>
    </w:p>
    <w:p w14:paraId="63AD8AF7" w14:textId="77777777" w:rsidR="00016F73" w:rsidRPr="007A177A" w:rsidRDefault="00016F73" w:rsidP="00BF333B">
      <w:pPr>
        <w:spacing w:line="360" w:lineRule="auto"/>
        <w:jc w:val="both"/>
        <w:rPr>
          <w:rFonts w:ascii="Arial" w:hAnsi="Arial" w:cs="Arial"/>
          <w:bCs/>
          <w:lang w:val="es-MX"/>
        </w:rPr>
      </w:pPr>
    </w:p>
    <w:p w14:paraId="13B90830" w14:textId="77777777" w:rsidR="0039049F" w:rsidRPr="007A177A" w:rsidRDefault="00C52D87" w:rsidP="00BF333B">
      <w:pPr>
        <w:spacing w:line="360" w:lineRule="auto"/>
        <w:jc w:val="both"/>
        <w:rPr>
          <w:rFonts w:ascii="Arial" w:hAnsi="Arial" w:cs="Arial"/>
          <w:bCs/>
          <w:lang w:val="es-MX"/>
        </w:rPr>
      </w:pPr>
      <w:r w:rsidRPr="007A177A">
        <w:rPr>
          <w:rFonts w:ascii="Arial" w:hAnsi="Arial" w:cs="Arial"/>
          <w:bCs/>
          <w:lang w:val="es-MX"/>
        </w:rPr>
        <w:t>De acuerdo con este análisis</w:t>
      </w:r>
      <w:r w:rsidR="007D42FF" w:rsidRPr="007A177A">
        <w:rPr>
          <w:rFonts w:ascii="Arial" w:hAnsi="Arial" w:cs="Arial"/>
          <w:bCs/>
          <w:lang w:val="es-MX"/>
        </w:rPr>
        <w:t>,</w:t>
      </w:r>
      <w:r w:rsidRPr="007A177A">
        <w:rPr>
          <w:rFonts w:ascii="Arial" w:hAnsi="Arial" w:cs="Arial"/>
          <w:bCs/>
          <w:lang w:val="es-MX"/>
        </w:rPr>
        <w:t xml:space="preserve"> </w:t>
      </w:r>
      <w:r w:rsidR="00621B80" w:rsidRPr="007A177A">
        <w:rPr>
          <w:rFonts w:ascii="Arial" w:hAnsi="Arial" w:cs="Arial"/>
          <w:bCs/>
          <w:lang w:val="es-MX"/>
        </w:rPr>
        <w:t xml:space="preserve">la sentencia </w:t>
      </w:r>
      <w:r w:rsidRPr="007A177A">
        <w:rPr>
          <w:rFonts w:ascii="Arial" w:hAnsi="Arial" w:cs="Arial"/>
          <w:bCs/>
          <w:lang w:val="es-MX"/>
        </w:rPr>
        <w:t xml:space="preserve">debe ser revocada en </w:t>
      </w:r>
      <w:r w:rsidR="00621B80" w:rsidRPr="007A177A">
        <w:rPr>
          <w:rFonts w:ascii="Arial" w:hAnsi="Arial" w:cs="Arial"/>
          <w:bCs/>
          <w:lang w:val="es-MX"/>
        </w:rPr>
        <w:t xml:space="preserve">las condenas que se refieren a mayores cantidades y obras adicionales supuestamente no pagadas, por extracción de roca, terraplenes y acarreos. </w:t>
      </w:r>
    </w:p>
    <w:p w14:paraId="3C7BE6D7" w14:textId="77777777" w:rsidR="0039049F" w:rsidRPr="007A177A" w:rsidRDefault="0039049F" w:rsidP="00BF333B">
      <w:pPr>
        <w:spacing w:line="360" w:lineRule="auto"/>
        <w:jc w:val="both"/>
        <w:rPr>
          <w:rFonts w:ascii="Arial" w:hAnsi="Arial" w:cs="Arial"/>
          <w:bCs/>
          <w:lang w:val="es-MX"/>
        </w:rPr>
      </w:pPr>
    </w:p>
    <w:p w14:paraId="785391EE" w14:textId="77777777" w:rsidR="00C52D87" w:rsidRPr="007A177A" w:rsidRDefault="00C52D87" w:rsidP="00BF333B">
      <w:pPr>
        <w:spacing w:line="360" w:lineRule="auto"/>
        <w:jc w:val="both"/>
        <w:rPr>
          <w:rFonts w:ascii="Arial" w:hAnsi="Arial" w:cs="Arial"/>
          <w:bCs/>
          <w:lang w:val="es-MX"/>
        </w:rPr>
      </w:pPr>
      <w:r w:rsidRPr="007A177A">
        <w:rPr>
          <w:rFonts w:ascii="Arial" w:hAnsi="Arial" w:cs="Arial"/>
          <w:bCs/>
          <w:lang w:val="es-MX"/>
        </w:rPr>
        <w:t>A continuación</w:t>
      </w:r>
      <w:r w:rsidR="007D42FF" w:rsidRPr="007A177A">
        <w:rPr>
          <w:rFonts w:ascii="Arial" w:hAnsi="Arial" w:cs="Arial"/>
          <w:bCs/>
          <w:lang w:val="es-MX"/>
        </w:rPr>
        <w:t>,</w:t>
      </w:r>
      <w:r w:rsidRPr="007A177A">
        <w:rPr>
          <w:rFonts w:ascii="Arial" w:hAnsi="Arial" w:cs="Arial"/>
          <w:bCs/>
          <w:lang w:val="es-MX"/>
        </w:rPr>
        <w:t xml:space="preserve"> se analiza la condena por intereses.</w:t>
      </w:r>
    </w:p>
    <w:p w14:paraId="391250C5" w14:textId="77777777" w:rsidR="00C52D87" w:rsidRPr="007A177A" w:rsidRDefault="00C52D87" w:rsidP="00BF333B">
      <w:pPr>
        <w:spacing w:line="360" w:lineRule="auto"/>
        <w:jc w:val="both"/>
        <w:rPr>
          <w:rFonts w:ascii="Arial" w:hAnsi="Arial" w:cs="Arial"/>
          <w:bCs/>
          <w:lang w:val="es-MX"/>
        </w:rPr>
      </w:pPr>
    </w:p>
    <w:p w14:paraId="0EB17268" w14:textId="77777777" w:rsidR="00C52D87" w:rsidRPr="007A177A" w:rsidRDefault="007C3FD9" w:rsidP="00BF333B">
      <w:pPr>
        <w:spacing w:line="360" w:lineRule="auto"/>
        <w:jc w:val="both"/>
        <w:rPr>
          <w:rFonts w:ascii="Arial" w:hAnsi="Arial" w:cs="Arial"/>
          <w:b/>
          <w:bCs/>
          <w:lang w:val="es-MX"/>
        </w:rPr>
      </w:pPr>
      <w:r w:rsidRPr="007A177A">
        <w:rPr>
          <w:rFonts w:ascii="Arial" w:hAnsi="Arial" w:cs="Arial"/>
          <w:b/>
          <w:bCs/>
          <w:lang w:val="es-MX"/>
        </w:rPr>
        <w:t>9</w:t>
      </w:r>
      <w:r w:rsidR="00D0439B" w:rsidRPr="007A177A">
        <w:rPr>
          <w:rFonts w:ascii="Arial" w:hAnsi="Arial" w:cs="Arial"/>
          <w:b/>
          <w:bCs/>
          <w:lang w:val="es-MX"/>
        </w:rPr>
        <w:t>.3.</w:t>
      </w:r>
      <w:r w:rsidR="005A1045" w:rsidRPr="007A177A">
        <w:rPr>
          <w:rFonts w:ascii="Arial" w:hAnsi="Arial" w:cs="Arial"/>
          <w:b/>
          <w:bCs/>
          <w:lang w:val="es-MX"/>
        </w:rPr>
        <w:t xml:space="preserve"> Retraso en el pago de las actas de obra </w:t>
      </w:r>
    </w:p>
    <w:p w14:paraId="487EB548" w14:textId="77777777" w:rsidR="00C52D87" w:rsidRPr="007A177A" w:rsidRDefault="00C52D87" w:rsidP="00BF333B">
      <w:pPr>
        <w:spacing w:line="360" w:lineRule="auto"/>
        <w:jc w:val="both"/>
        <w:rPr>
          <w:rFonts w:ascii="Arial" w:hAnsi="Arial" w:cs="Arial"/>
          <w:bCs/>
          <w:lang w:val="es-MX"/>
        </w:rPr>
      </w:pPr>
    </w:p>
    <w:p w14:paraId="3FFD5928" w14:textId="77777777" w:rsidR="00301714" w:rsidRPr="007A177A" w:rsidRDefault="00301714" w:rsidP="00BF333B">
      <w:pPr>
        <w:spacing w:line="360" w:lineRule="auto"/>
        <w:jc w:val="both"/>
        <w:rPr>
          <w:rFonts w:ascii="Arial" w:hAnsi="Arial" w:cs="Arial"/>
          <w:bCs/>
          <w:lang w:val="es-MX"/>
        </w:rPr>
      </w:pPr>
      <w:r w:rsidRPr="007A177A">
        <w:rPr>
          <w:rFonts w:ascii="Arial" w:hAnsi="Arial" w:cs="Arial"/>
          <w:bCs/>
          <w:lang w:val="es-MX"/>
        </w:rPr>
        <w:t>E</w:t>
      </w:r>
      <w:r w:rsidR="00EA6A22" w:rsidRPr="007A177A">
        <w:rPr>
          <w:rFonts w:ascii="Arial" w:hAnsi="Arial" w:cs="Arial"/>
          <w:bCs/>
          <w:lang w:val="es-MX"/>
        </w:rPr>
        <w:t xml:space="preserve">l argumento del </w:t>
      </w:r>
      <w:r w:rsidRPr="007A177A">
        <w:rPr>
          <w:rFonts w:ascii="Arial" w:hAnsi="Arial" w:cs="Arial"/>
          <w:bCs/>
          <w:lang w:val="es-MX"/>
        </w:rPr>
        <w:t>I</w:t>
      </w:r>
      <w:r w:rsidR="00EA6A22" w:rsidRPr="007A177A">
        <w:rPr>
          <w:rFonts w:ascii="Arial" w:hAnsi="Arial" w:cs="Arial"/>
          <w:bCs/>
          <w:lang w:val="es-MX"/>
        </w:rPr>
        <w:t>nv</w:t>
      </w:r>
      <w:r w:rsidRPr="007A177A">
        <w:rPr>
          <w:rFonts w:ascii="Arial" w:hAnsi="Arial" w:cs="Arial"/>
          <w:bCs/>
          <w:lang w:val="es-MX"/>
        </w:rPr>
        <w:t>ías</w:t>
      </w:r>
      <w:r w:rsidR="00C753B9" w:rsidRPr="007A177A">
        <w:rPr>
          <w:rFonts w:ascii="Arial" w:hAnsi="Arial" w:cs="Arial"/>
          <w:bCs/>
          <w:lang w:val="es-MX"/>
        </w:rPr>
        <w:t>,</w:t>
      </w:r>
      <w:r w:rsidRPr="007A177A">
        <w:rPr>
          <w:rFonts w:ascii="Arial" w:hAnsi="Arial" w:cs="Arial"/>
          <w:bCs/>
          <w:lang w:val="es-MX"/>
        </w:rPr>
        <w:t xml:space="preserve"> </w:t>
      </w:r>
      <w:r w:rsidR="00EA6A22" w:rsidRPr="007A177A">
        <w:rPr>
          <w:rFonts w:ascii="Arial" w:hAnsi="Arial" w:cs="Arial"/>
          <w:bCs/>
          <w:lang w:val="es-MX"/>
        </w:rPr>
        <w:t>en cuanto a que el valor del anticipo indicado en cada acta debe ser ex</w:t>
      </w:r>
      <w:r w:rsidR="00547BD9" w:rsidRPr="007A177A">
        <w:rPr>
          <w:rFonts w:ascii="Arial" w:hAnsi="Arial" w:cs="Arial"/>
          <w:bCs/>
          <w:lang w:val="es-MX"/>
        </w:rPr>
        <w:t>c</w:t>
      </w:r>
      <w:r w:rsidR="00EA6A22" w:rsidRPr="007A177A">
        <w:rPr>
          <w:rFonts w:ascii="Arial" w:hAnsi="Arial" w:cs="Arial"/>
          <w:bCs/>
          <w:lang w:val="es-MX"/>
        </w:rPr>
        <w:t>lu</w:t>
      </w:r>
      <w:r w:rsidRPr="007A177A">
        <w:rPr>
          <w:rFonts w:ascii="Arial" w:hAnsi="Arial" w:cs="Arial"/>
          <w:bCs/>
          <w:lang w:val="es-MX"/>
        </w:rPr>
        <w:t>i</w:t>
      </w:r>
      <w:r w:rsidR="00EA6A22" w:rsidRPr="007A177A">
        <w:rPr>
          <w:rFonts w:ascii="Arial" w:hAnsi="Arial" w:cs="Arial"/>
          <w:bCs/>
          <w:lang w:val="es-MX"/>
        </w:rPr>
        <w:t xml:space="preserve">do del cálculo de la mora, </w:t>
      </w:r>
      <w:r w:rsidRPr="007A177A">
        <w:rPr>
          <w:rFonts w:ascii="Arial" w:hAnsi="Arial" w:cs="Arial"/>
          <w:bCs/>
          <w:lang w:val="es-MX"/>
        </w:rPr>
        <w:t xml:space="preserve">resulta acertado, </w:t>
      </w:r>
      <w:r w:rsidR="00EA6A22" w:rsidRPr="007A177A">
        <w:rPr>
          <w:rFonts w:ascii="Arial" w:hAnsi="Arial" w:cs="Arial"/>
          <w:bCs/>
          <w:lang w:val="es-MX"/>
        </w:rPr>
        <w:t xml:space="preserve">por cuanto </w:t>
      </w:r>
      <w:r w:rsidRPr="007A177A">
        <w:rPr>
          <w:rFonts w:ascii="Arial" w:hAnsi="Arial" w:cs="Arial"/>
          <w:bCs/>
          <w:lang w:val="es-MX"/>
        </w:rPr>
        <w:t xml:space="preserve">el </w:t>
      </w:r>
      <w:r w:rsidR="00C52D87" w:rsidRPr="007A177A">
        <w:rPr>
          <w:rFonts w:ascii="Arial" w:hAnsi="Arial" w:cs="Arial"/>
          <w:bCs/>
          <w:lang w:val="es-MX"/>
        </w:rPr>
        <w:t xml:space="preserve">anticipo se </w:t>
      </w:r>
      <w:r w:rsidR="00EA6A22" w:rsidRPr="007A177A">
        <w:rPr>
          <w:rFonts w:ascii="Arial" w:hAnsi="Arial" w:cs="Arial"/>
          <w:bCs/>
          <w:lang w:val="es-MX"/>
        </w:rPr>
        <w:t>recib</w:t>
      </w:r>
      <w:r w:rsidR="00C52D87" w:rsidRPr="007A177A">
        <w:rPr>
          <w:rFonts w:ascii="Arial" w:hAnsi="Arial" w:cs="Arial"/>
          <w:bCs/>
          <w:lang w:val="es-MX"/>
        </w:rPr>
        <w:t>e</w:t>
      </w:r>
      <w:r w:rsidR="00EA6A22" w:rsidRPr="007A177A">
        <w:rPr>
          <w:rFonts w:ascii="Arial" w:hAnsi="Arial" w:cs="Arial"/>
          <w:bCs/>
          <w:lang w:val="es-MX"/>
        </w:rPr>
        <w:t xml:space="preserve"> antes de la ejecución de la obra y se paga </w:t>
      </w:r>
      <w:r w:rsidR="00487C5F" w:rsidRPr="007A177A">
        <w:rPr>
          <w:rFonts w:ascii="Arial" w:hAnsi="Arial" w:cs="Arial"/>
          <w:bCs/>
          <w:lang w:val="es-MX"/>
        </w:rPr>
        <w:t xml:space="preserve">proporcionalmente, </w:t>
      </w:r>
      <w:r w:rsidR="00EA6A22" w:rsidRPr="007A177A">
        <w:rPr>
          <w:rFonts w:ascii="Arial" w:hAnsi="Arial" w:cs="Arial"/>
          <w:bCs/>
          <w:lang w:val="es-MX"/>
        </w:rPr>
        <w:t>por compensación</w:t>
      </w:r>
      <w:r w:rsidRPr="007A177A">
        <w:rPr>
          <w:rFonts w:ascii="Arial" w:hAnsi="Arial" w:cs="Arial"/>
          <w:bCs/>
          <w:lang w:val="es-MX"/>
        </w:rPr>
        <w:t xml:space="preserve"> en cada acta</w:t>
      </w:r>
      <w:r w:rsidR="00C52D87" w:rsidRPr="007A177A">
        <w:rPr>
          <w:rFonts w:ascii="Arial" w:hAnsi="Arial" w:cs="Arial"/>
          <w:bCs/>
          <w:lang w:val="es-MX"/>
        </w:rPr>
        <w:t xml:space="preserve">, de manera que no se puede predicar </w:t>
      </w:r>
      <w:r w:rsidR="00487C5F" w:rsidRPr="007A177A">
        <w:rPr>
          <w:rFonts w:ascii="Arial" w:hAnsi="Arial" w:cs="Arial"/>
          <w:bCs/>
          <w:lang w:val="es-MX"/>
        </w:rPr>
        <w:t>la</w:t>
      </w:r>
      <w:r w:rsidR="00C52D87" w:rsidRPr="007A177A">
        <w:rPr>
          <w:rFonts w:ascii="Arial" w:hAnsi="Arial" w:cs="Arial"/>
          <w:bCs/>
          <w:lang w:val="es-MX"/>
        </w:rPr>
        <w:t xml:space="preserve"> mora en </w:t>
      </w:r>
      <w:r w:rsidR="00C753B9" w:rsidRPr="007A177A">
        <w:rPr>
          <w:rFonts w:ascii="Arial" w:hAnsi="Arial" w:cs="Arial"/>
          <w:bCs/>
          <w:lang w:val="es-MX"/>
        </w:rPr>
        <w:t>su</w:t>
      </w:r>
      <w:r w:rsidR="00C52D87" w:rsidRPr="007A177A">
        <w:rPr>
          <w:rFonts w:ascii="Arial" w:hAnsi="Arial" w:cs="Arial"/>
          <w:bCs/>
          <w:lang w:val="es-MX"/>
        </w:rPr>
        <w:t xml:space="preserve"> </w:t>
      </w:r>
      <w:r w:rsidR="00C52D87" w:rsidRPr="007A177A">
        <w:rPr>
          <w:rFonts w:ascii="Arial" w:hAnsi="Arial" w:cs="Arial"/>
          <w:bCs/>
          <w:lang w:val="es-MX"/>
        </w:rPr>
        <w:lastRenderedPageBreak/>
        <w:t>pago</w:t>
      </w:r>
      <w:r w:rsidR="00425590" w:rsidRPr="007A177A">
        <w:rPr>
          <w:rFonts w:ascii="Arial" w:hAnsi="Arial" w:cs="Arial"/>
          <w:bCs/>
          <w:lang w:val="es-MX"/>
        </w:rPr>
        <w:t>; s</w:t>
      </w:r>
      <w:r w:rsidRPr="007A177A">
        <w:rPr>
          <w:rFonts w:ascii="Arial" w:hAnsi="Arial" w:cs="Arial"/>
          <w:bCs/>
          <w:lang w:val="es-MX"/>
        </w:rPr>
        <w:t xml:space="preserve">in embargo, los valores de las actas </w:t>
      </w:r>
      <w:r w:rsidR="00C52D87" w:rsidRPr="007A177A">
        <w:rPr>
          <w:rFonts w:ascii="Arial" w:hAnsi="Arial" w:cs="Arial"/>
          <w:bCs/>
          <w:lang w:val="es-MX"/>
        </w:rPr>
        <w:t xml:space="preserve">que </w:t>
      </w:r>
      <w:r w:rsidRPr="007A177A">
        <w:rPr>
          <w:rFonts w:ascii="Arial" w:hAnsi="Arial" w:cs="Arial"/>
          <w:bCs/>
          <w:lang w:val="es-MX"/>
        </w:rPr>
        <w:t xml:space="preserve">se tomaron en el dictamen y en la sentencia, </w:t>
      </w:r>
      <w:r w:rsidR="00C52D87" w:rsidRPr="007A177A">
        <w:rPr>
          <w:rFonts w:ascii="Arial" w:hAnsi="Arial" w:cs="Arial"/>
          <w:bCs/>
          <w:lang w:val="es-MX"/>
        </w:rPr>
        <w:t>no incluyeron</w:t>
      </w:r>
      <w:r w:rsidRPr="007A177A">
        <w:rPr>
          <w:rFonts w:ascii="Arial" w:hAnsi="Arial" w:cs="Arial"/>
          <w:bCs/>
          <w:lang w:val="es-MX"/>
        </w:rPr>
        <w:t xml:space="preserve"> el monto del anticip</w:t>
      </w:r>
      <w:r w:rsidR="00C52D87" w:rsidRPr="007A177A">
        <w:rPr>
          <w:rFonts w:ascii="Arial" w:hAnsi="Arial" w:cs="Arial"/>
          <w:bCs/>
          <w:lang w:val="es-MX"/>
        </w:rPr>
        <w:t>o</w:t>
      </w:r>
      <w:r w:rsidRPr="007A177A">
        <w:rPr>
          <w:rFonts w:ascii="Arial" w:hAnsi="Arial" w:cs="Arial"/>
          <w:bCs/>
          <w:lang w:val="es-MX"/>
        </w:rPr>
        <w:t>.</w:t>
      </w:r>
    </w:p>
    <w:p w14:paraId="755230BD" w14:textId="77777777" w:rsidR="00487C5F" w:rsidRPr="007A177A" w:rsidRDefault="00487C5F" w:rsidP="00BF333B">
      <w:pPr>
        <w:spacing w:line="360" w:lineRule="auto"/>
        <w:jc w:val="both"/>
        <w:rPr>
          <w:rFonts w:ascii="Arial" w:hAnsi="Arial" w:cs="Arial"/>
          <w:bCs/>
          <w:lang w:val="es-MX"/>
        </w:rPr>
      </w:pPr>
    </w:p>
    <w:p w14:paraId="6D24C15D" w14:textId="77777777" w:rsidR="00487C5F" w:rsidRPr="007A177A" w:rsidRDefault="00487C5F" w:rsidP="00BF333B">
      <w:pPr>
        <w:spacing w:line="360" w:lineRule="auto"/>
        <w:jc w:val="both"/>
        <w:rPr>
          <w:rFonts w:ascii="Arial" w:hAnsi="Arial" w:cs="Arial"/>
          <w:bCs/>
          <w:lang w:val="es-MX"/>
        </w:rPr>
      </w:pPr>
      <w:r w:rsidRPr="007A177A">
        <w:rPr>
          <w:rFonts w:ascii="Arial" w:hAnsi="Arial" w:cs="Arial"/>
          <w:bCs/>
          <w:lang w:val="es-MX"/>
        </w:rPr>
        <w:t xml:space="preserve">Empero, el argumento del Invías sobre la compensación con el anticipo cobra importancia si se </w:t>
      </w:r>
      <w:r w:rsidR="00A02D16" w:rsidRPr="007A177A">
        <w:rPr>
          <w:rFonts w:ascii="Arial" w:hAnsi="Arial" w:cs="Arial"/>
          <w:bCs/>
          <w:lang w:val="es-MX"/>
        </w:rPr>
        <w:t>observa</w:t>
      </w:r>
      <w:r w:rsidRPr="007A177A">
        <w:rPr>
          <w:rFonts w:ascii="Arial" w:hAnsi="Arial" w:cs="Arial"/>
          <w:bCs/>
          <w:lang w:val="es-MX"/>
        </w:rPr>
        <w:t xml:space="preserve"> que los perjuicios se deben considerar teniendo en cuenta los hechos probados acerca de la liquidación del contrato –</w:t>
      </w:r>
      <w:r w:rsidRPr="007A177A">
        <w:rPr>
          <w:rFonts w:ascii="Arial" w:hAnsi="Arial" w:cs="Arial"/>
          <w:bCs/>
          <w:i/>
          <w:lang w:val="es-MX"/>
        </w:rPr>
        <w:t>y el anticipo que quedó debiendo el contratista</w:t>
      </w:r>
      <w:r w:rsidRPr="007A177A">
        <w:rPr>
          <w:rFonts w:ascii="Arial" w:hAnsi="Arial" w:cs="Arial"/>
          <w:bCs/>
          <w:lang w:val="es-MX"/>
        </w:rPr>
        <w:t>- más aún cuando una de las pretensiones de la demanda era la liquidación por vía judicial</w:t>
      </w:r>
      <w:r w:rsidRPr="007A177A">
        <w:rPr>
          <w:rStyle w:val="Refdenotaalpie"/>
          <w:rFonts w:ascii="Arial" w:hAnsi="Arial" w:cs="Arial"/>
          <w:bCs/>
          <w:lang w:val="es-MX"/>
        </w:rPr>
        <w:footnoteReference w:id="114"/>
      </w:r>
      <w:r w:rsidRPr="007A177A">
        <w:rPr>
          <w:rFonts w:ascii="Arial" w:hAnsi="Arial" w:cs="Arial"/>
          <w:bCs/>
          <w:lang w:val="es-MX"/>
        </w:rPr>
        <w:t xml:space="preserve">. </w:t>
      </w:r>
    </w:p>
    <w:p w14:paraId="41F44F87" w14:textId="77777777" w:rsidR="00D35CFD" w:rsidRPr="007A177A" w:rsidRDefault="00D35CFD" w:rsidP="00BF333B">
      <w:pPr>
        <w:spacing w:line="360" w:lineRule="auto"/>
        <w:jc w:val="both"/>
        <w:rPr>
          <w:rFonts w:ascii="Arial" w:hAnsi="Arial" w:cs="Arial"/>
          <w:bCs/>
          <w:lang w:val="es-MX"/>
        </w:rPr>
      </w:pPr>
    </w:p>
    <w:p w14:paraId="549BB79F" w14:textId="77777777" w:rsidR="00487C5F" w:rsidRPr="007A177A" w:rsidRDefault="007C3FD9" w:rsidP="00BF333B">
      <w:pPr>
        <w:spacing w:line="360" w:lineRule="auto"/>
        <w:jc w:val="both"/>
        <w:rPr>
          <w:rFonts w:ascii="Arial" w:hAnsi="Arial" w:cs="Arial"/>
          <w:bCs/>
          <w:lang w:val="es-MX"/>
        </w:rPr>
      </w:pPr>
      <w:r w:rsidRPr="007A177A">
        <w:rPr>
          <w:rFonts w:ascii="Arial" w:hAnsi="Arial" w:cs="Arial"/>
          <w:b/>
          <w:bCs/>
          <w:lang w:val="es-MX"/>
        </w:rPr>
        <w:t>9</w:t>
      </w:r>
      <w:r w:rsidR="00D0439B" w:rsidRPr="007A177A">
        <w:rPr>
          <w:rFonts w:ascii="Arial" w:hAnsi="Arial" w:cs="Arial"/>
          <w:b/>
          <w:bCs/>
          <w:lang w:val="es-MX"/>
        </w:rPr>
        <w:t xml:space="preserve">.4. </w:t>
      </w:r>
      <w:r w:rsidR="00D35CFD" w:rsidRPr="007A177A">
        <w:rPr>
          <w:rFonts w:ascii="Arial" w:hAnsi="Arial" w:cs="Arial"/>
          <w:bCs/>
          <w:lang w:val="es-MX"/>
        </w:rPr>
        <w:t>En cuanto al término para empezar a causar los intereses, no se acepta el argumento del Invías sobre la inexistencia de plazo, t</w:t>
      </w:r>
      <w:r w:rsidR="00487C5F" w:rsidRPr="007A177A">
        <w:rPr>
          <w:rFonts w:ascii="Arial" w:hAnsi="Arial" w:cs="Arial"/>
          <w:bCs/>
          <w:lang w:val="es-MX"/>
        </w:rPr>
        <w:t>eniendo en cuenta que</w:t>
      </w:r>
      <w:r w:rsidR="00562089" w:rsidRPr="007A177A">
        <w:rPr>
          <w:rFonts w:ascii="Arial" w:hAnsi="Arial" w:cs="Arial"/>
          <w:bCs/>
          <w:lang w:val="es-MX"/>
        </w:rPr>
        <w:t>,</w:t>
      </w:r>
      <w:r w:rsidR="00487C5F" w:rsidRPr="007A177A">
        <w:rPr>
          <w:rFonts w:ascii="Arial" w:hAnsi="Arial" w:cs="Arial"/>
          <w:bCs/>
          <w:lang w:val="es-MX"/>
        </w:rPr>
        <w:t xml:space="preserve"> </w:t>
      </w:r>
      <w:r w:rsidR="00D35CFD" w:rsidRPr="007A177A">
        <w:rPr>
          <w:rFonts w:ascii="Arial" w:hAnsi="Arial" w:cs="Arial"/>
          <w:bCs/>
          <w:lang w:val="es-MX"/>
        </w:rPr>
        <w:t xml:space="preserve">aunque el plazo de pago de 30 días no estaba pactado en el contrato, se </w:t>
      </w:r>
      <w:r w:rsidR="00487C5F" w:rsidRPr="007A177A">
        <w:rPr>
          <w:rFonts w:ascii="Arial" w:hAnsi="Arial" w:cs="Arial"/>
          <w:bCs/>
          <w:lang w:val="es-MX"/>
        </w:rPr>
        <w:t xml:space="preserve">podía </w:t>
      </w:r>
      <w:r w:rsidR="00D35CFD" w:rsidRPr="007A177A">
        <w:rPr>
          <w:rFonts w:ascii="Arial" w:hAnsi="Arial" w:cs="Arial"/>
          <w:bCs/>
          <w:lang w:val="es-MX"/>
        </w:rPr>
        <w:t>infer</w:t>
      </w:r>
      <w:r w:rsidR="00487C5F" w:rsidRPr="007A177A">
        <w:rPr>
          <w:rFonts w:ascii="Arial" w:hAnsi="Arial" w:cs="Arial"/>
          <w:bCs/>
          <w:lang w:val="es-MX"/>
        </w:rPr>
        <w:t>ir</w:t>
      </w:r>
      <w:r w:rsidR="00D35CFD" w:rsidRPr="007A177A">
        <w:rPr>
          <w:rFonts w:ascii="Arial" w:hAnsi="Arial" w:cs="Arial"/>
          <w:bCs/>
          <w:lang w:val="es-MX"/>
        </w:rPr>
        <w:t xml:space="preserve"> de la obligación de presentar cuentas mensuales para legalizar las obras del mes anterior, de manera que el flujo financiero esperado s</w:t>
      </w:r>
      <w:r w:rsidR="00562089" w:rsidRPr="007A177A">
        <w:rPr>
          <w:rFonts w:ascii="Arial" w:hAnsi="Arial" w:cs="Arial"/>
          <w:bCs/>
          <w:lang w:val="es-MX"/>
        </w:rPr>
        <w:t>í</w:t>
      </w:r>
      <w:r w:rsidR="00D35CFD" w:rsidRPr="007A177A">
        <w:rPr>
          <w:rFonts w:ascii="Arial" w:hAnsi="Arial" w:cs="Arial"/>
          <w:bCs/>
          <w:lang w:val="es-MX"/>
        </w:rPr>
        <w:t xml:space="preserve"> podía ser entendido como de plazo mensual</w:t>
      </w:r>
      <w:r w:rsidR="00487C5F" w:rsidRPr="007A177A">
        <w:rPr>
          <w:rFonts w:ascii="Arial" w:hAnsi="Arial" w:cs="Arial"/>
          <w:bCs/>
          <w:lang w:val="es-MX"/>
        </w:rPr>
        <w:t xml:space="preserve"> y la demora en el pago de las actas aprobadas y presentadas</w:t>
      </w:r>
      <w:r w:rsidR="005D0085" w:rsidRPr="007A177A">
        <w:rPr>
          <w:rFonts w:ascii="Arial" w:hAnsi="Arial" w:cs="Arial"/>
          <w:bCs/>
          <w:lang w:val="es-MX"/>
        </w:rPr>
        <w:t xml:space="preserve"> </w:t>
      </w:r>
      <w:r w:rsidR="00487C5F" w:rsidRPr="007A177A">
        <w:rPr>
          <w:rFonts w:ascii="Arial" w:hAnsi="Arial" w:cs="Arial"/>
          <w:bCs/>
          <w:lang w:val="es-MX"/>
        </w:rPr>
        <w:t>se constituía en una afectación para el contratista</w:t>
      </w:r>
      <w:r w:rsidR="00502E17" w:rsidRPr="007A177A">
        <w:rPr>
          <w:rStyle w:val="Refdenotaalpie"/>
          <w:rFonts w:ascii="Arial" w:hAnsi="Arial" w:cs="Arial"/>
          <w:bCs/>
          <w:lang w:val="es-MX"/>
        </w:rPr>
        <w:footnoteReference w:id="115"/>
      </w:r>
      <w:r w:rsidR="00487C5F" w:rsidRPr="007A177A">
        <w:rPr>
          <w:rFonts w:ascii="Arial" w:hAnsi="Arial" w:cs="Arial"/>
          <w:bCs/>
          <w:lang w:val="es-MX"/>
        </w:rPr>
        <w:t xml:space="preserve">. </w:t>
      </w:r>
    </w:p>
    <w:p w14:paraId="58A4950B" w14:textId="77777777" w:rsidR="00D35CFD" w:rsidRPr="007A177A" w:rsidRDefault="00D35CFD" w:rsidP="00BF333B">
      <w:pPr>
        <w:pStyle w:val="Textoindependiente31"/>
        <w:rPr>
          <w:rFonts w:cs="Arial"/>
          <w:szCs w:val="24"/>
          <w:shd w:val="clear" w:color="auto" w:fill="FFFFFF"/>
        </w:rPr>
      </w:pPr>
    </w:p>
    <w:p w14:paraId="3CF6B704" w14:textId="77777777" w:rsidR="00C52D87" w:rsidRPr="007A177A" w:rsidRDefault="007C3FD9" w:rsidP="00BF333B">
      <w:pPr>
        <w:spacing w:line="360" w:lineRule="auto"/>
        <w:jc w:val="both"/>
        <w:rPr>
          <w:rFonts w:ascii="Arial" w:hAnsi="Arial" w:cs="Arial"/>
          <w:bCs/>
          <w:lang w:val="es-MX"/>
        </w:rPr>
      </w:pPr>
      <w:r w:rsidRPr="007A177A">
        <w:rPr>
          <w:rFonts w:ascii="Arial" w:hAnsi="Arial" w:cs="Arial"/>
          <w:b/>
          <w:lang w:val="es-MX"/>
        </w:rPr>
        <w:t>9</w:t>
      </w:r>
      <w:r w:rsidR="00D0439B" w:rsidRPr="007A177A">
        <w:rPr>
          <w:rFonts w:ascii="Arial" w:hAnsi="Arial" w:cs="Arial"/>
          <w:b/>
          <w:lang w:val="es-MX"/>
        </w:rPr>
        <w:t>.5.</w:t>
      </w:r>
      <w:r w:rsidR="00D35CFD" w:rsidRPr="007A177A">
        <w:rPr>
          <w:rFonts w:ascii="Arial" w:hAnsi="Arial" w:cs="Arial"/>
          <w:bCs/>
          <w:lang w:val="es-MX"/>
        </w:rPr>
        <w:t xml:space="preserve"> </w:t>
      </w:r>
      <w:r w:rsidR="00547BD9" w:rsidRPr="007A177A">
        <w:rPr>
          <w:rFonts w:ascii="Arial" w:hAnsi="Arial" w:cs="Arial"/>
          <w:bCs/>
          <w:lang w:val="es-MX"/>
        </w:rPr>
        <w:t xml:space="preserve">Por otra parte, </w:t>
      </w:r>
      <w:r w:rsidR="007E6388" w:rsidRPr="007A177A">
        <w:rPr>
          <w:rFonts w:ascii="Arial" w:hAnsi="Arial" w:cs="Arial"/>
          <w:bCs/>
          <w:lang w:val="es-MX"/>
        </w:rPr>
        <w:t xml:space="preserve">en relación con </w:t>
      </w:r>
      <w:r w:rsidR="00D35CFD" w:rsidRPr="007A177A">
        <w:rPr>
          <w:rFonts w:ascii="Arial" w:hAnsi="Arial" w:cs="Arial"/>
          <w:bCs/>
          <w:lang w:val="es-MX"/>
        </w:rPr>
        <w:t>la liquidación de interese</w:t>
      </w:r>
      <w:r w:rsidR="00487C5F" w:rsidRPr="007A177A">
        <w:rPr>
          <w:rFonts w:ascii="Arial" w:hAnsi="Arial" w:cs="Arial"/>
          <w:bCs/>
          <w:lang w:val="es-MX"/>
        </w:rPr>
        <w:t xml:space="preserve">s </w:t>
      </w:r>
      <w:r w:rsidR="00576151" w:rsidRPr="007A177A">
        <w:rPr>
          <w:rFonts w:ascii="Arial" w:hAnsi="Arial" w:cs="Arial"/>
          <w:bCs/>
          <w:lang w:val="es-MX"/>
        </w:rPr>
        <w:t>debatid</w:t>
      </w:r>
      <w:r w:rsidR="00F05013" w:rsidRPr="007A177A">
        <w:rPr>
          <w:rFonts w:ascii="Arial" w:hAnsi="Arial" w:cs="Arial"/>
          <w:bCs/>
          <w:lang w:val="es-MX"/>
        </w:rPr>
        <w:t>a</w:t>
      </w:r>
      <w:r w:rsidR="00576151" w:rsidRPr="007A177A">
        <w:rPr>
          <w:rFonts w:ascii="Arial" w:hAnsi="Arial" w:cs="Arial"/>
          <w:bCs/>
          <w:lang w:val="es-MX"/>
        </w:rPr>
        <w:t xml:space="preserve"> en </w:t>
      </w:r>
      <w:r w:rsidR="00487C5F" w:rsidRPr="007A177A">
        <w:rPr>
          <w:rFonts w:ascii="Arial" w:hAnsi="Arial" w:cs="Arial"/>
          <w:bCs/>
          <w:lang w:val="es-MX"/>
        </w:rPr>
        <w:t>este litigio</w:t>
      </w:r>
      <w:r w:rsidR="00576151" w:rsidRPr="007A177A">
        <w:rPr>
          <w:rFonts w:ascii="Arial" w:hAnsi="Arial" w:cs="Arial"/>
          <w:bCs/>
          <w:lang w:val="es-MX"/>
        </w:rPr>
        <w:t>,</w:t>
      </w:r>
      <w:r w:rsidR="00487C5F" w:rsidRPr="007A177A">
        <w:rPr>
          <w:rFonts w:ascii="Arial" w:hAnsi="Arial" w:cs="Arial"/>
          <w:bCs/>
          <w:lang w:val="es-MX"/>
        </w:rPr>
        <w:t xml:space="preserve"> </w:t>
      </w:r>
      <w:r w:rsidR="00D35CFD" w:rsidRPr="007A177A">
        <w:rPr>
          <w:rFonts w:ascii="Arial" w:hAnsi="Arial" w:cs="Arial"/>
          <w:bCs/>
          <w:lang w:val="es-MX"/>
        </w:rPr>
        <w:t xml:space="preserve">es pertinente </w:t>
      </w:r>
      <w:r w:rsidR="007E6388" w:rsidRPr="007A177A">
        <w:rPr>
          <w:rFonts w:ascii="Arial" w:hAnsi="Arial" w:cs="Arial"/>
          <w:bCs/>
          <w:lang w:val="es-MX"/>
        </w:rPr>
        <w:t>observar</w:t>
      </w:r>
      <w:r w:rsidR="00D35CFD" w:rsidRPr="007A177A">
        <w:rPr>
          <w:rFonts w:ascii="Arial" w:hAnsi="Arial" w:cs="Arial"/>
          <w:bCs/>
          <w:lang w:val="es-MX"/>
        </w:rPr>
        <w:t xml:space="preserve">, </w:t>
      </w:r>
      <w:r w:rsidR="003870F7" w:rsidRPr="007A177A">
        <w:rPr>
          <w:rFonts w:ascii="Arial" w:hAnsi="Arial" w:cs="Arial"/>
          <w:bCs/>
          <w:lang w:val="es-MX"/>
        </w:rPr>
        <w:t>como afirma el Invías</w:t>
      </w:r>
      <w:r w:rsidR="00C52D87" w:rsidRPr="007A177A">
        <w:rPr>
          <w:rFonts w:ascii="Arial" w:hAnsi="Arial" w:cs="Arial"/>
          <w:bCs/>
          <w:lang w:val="es-MX"/>
        </w:rPr>
        <w:t>,</w:t>
      </w:r>
      <w:r w:rsidR="00547BD9" w:rsidRPr="007A177A">
        <w:rPr>
          <w:rFonts w:ascii="Arial" w:hAnsi="Arial" w:cs="Arial"/>
          <w:bCs/>
          <w:lang w:val="es-MX"/>
        </w:rPr>
        <w:t xml:space="preserve"> que con base en la pretensión de desequilibrio económico</w:t>
      </w:r>
      <w:r w:rsidR="00D35CFD" w:rsidRPr="007A177A">
        <w:rPr>
          <w:rFonts w:ascii="Arial" w:hAnsi="Arial" w:cs="Arial"/>
          <w:bCs/>
          <w:lang w:val="es-MX"/>
        </w:rPr>
        <w:t xml:space="preserve"> y enriquecimiento sin causa, </w:t>
      </w:r>
      <w:r w:rsidR="00547BD9" w:rsidRPr="007A177A">
        <w:rPr>
          <w:rFonts w:ascii="Arial" w:hAnsi="Arial" w:cs="Arial"/>
          <w:bCs/>
          <w:lang w:val="es-MX"/>
        </w:rPr>
        <w:t xml:space="preserve">la tasa de interés </w:t>
      </w:r>
      <w:r w:rsidR="00C52D87" w:rsidRPr="007A177A">
        <w:rPr>
          <w:rFonts w:ascii="Arial" w:hAnsi="Arial" w:cs="Arial"/>
          <w:bCs/>
          <w:lang w:val="es-MX"/>
        </w:rPr>
        <w:t xml:space="preserve">por el retardo </w:t>
      </w:r>
      <w:r w:rsidR="00D35CFD" w:rsidRPr="007A177A">
        <w:rPr>
          <w:rFonts w:ascii="Arial" w:hAnsi="Arial" w:cs="Arial"/>
          <w:bCs/>
          <w:lang w:val="es-MX"/>
        </w:rPr>
        <w:t xml:space="preserve">en los pagos </w:t>
      </w:r>
      <w:r w:rsidR="00734EC1" w:rsidRPr="007A177A">
        <w:rPr>
          <w:rFonts w:ascii="Arial" w:hAnsi="Arial" w:cs="Arial"/>
          <w:bCs/>
          <w:lang w:val="es-MX"/>
        </w:rPr>
        <w:t>-</w:t>
      </w:r>
      <w:r w:rsidR="00C52D87" w:rsidRPr="007A177A">
        <w:rPr>
          <w:rFonts w:ascii="Arial" w:hAnsi="Arial" w:cs="Arial"/>
          <w:bCs/>
          <w:i/>
          <w:lang w:val="es-MX"/>
        </w:rPr>
        <w:t>originado</w:t>
      </w:r>
      <w:r w:rsidR="00734EC1" w:rsidRPr="007A177A">
        <w:rPr>
          <w:rFonts w:ascii="Arial" w:hAnsi="Arial" w:cs="Arial"/>
          <w:bCs/>
          <w:i/>
          <w:lang w:val="es-MX"/>
        </w:rPr>
        <w:t xml:space="preserve"> en</w:t>
      </w:r>
      <w:r w:rsidR="002C67DC" w:rsidRPr="007A177A">
        <w:rPr>
          <w:rFonts w:ascii="Arial" w:hAnsi="Arial" w:cs="Arial"/>
          <w:bCs/>
          <w:i/>
          <w:lang w:val="es-MX"/>
        </w:rPr>
        <w:t xml:space="preserve">tre otras en </w:t>
      </w:r>
      <w:r w:rsidR="00C52D87" w:rsidRPr="007A177A">
        <w:rPr>
          <w:rFonts w:ascii="Arial" w:hAnsi="Arial" w:cs="Arial"/>
          <w:bCs/>
          <w:i/>
          <w:lang w:val="es-MX"/>
        </w:rPr>
        <w:t>los tr</w:t>
      </w:r>
      <w:r w:rsidR="000F2E66" w:rsidRPr="007A177A">
        <w:rPr>
          <w:rFonts w:ascii="Arial" w:hAnsi="Arial" w:cs="Arial"/>
          <w:bCs/>
          <w:i/>
          <w:lang w:val="es-MX"/>
        </w:rPr>
        <w:t>á</w:t>
      </w:r>
      <w:r w:rsidR="00C52D87" w:rsidRPr="007A177A">
        <w:rPr>
          <w:rFonts w:ascii="Arial" w:hAnsi="Arial" w:cs="Arial"/>
          <w:bCs/>
          <w:i/>
          <w:lang w:val="es-MX"/>
        </w:rPr>
        <w:t>mites presupuestales</w:t>
      </w:r>
      <w:r w:rsidR="00734EC1" w:rsidRPr="007A177A">
        <w:rPr>
          <w:rFonts w:ascii="Arial" w:hAnsi="Arial" w:cs="Arial"/>
          <w:bCs/>
          <w:lang w:val="es-MX"/>
        </w:rPr>
        <w:t>-</w:t>
      </w:r>
      <w:r w:rsidR="00C52D87" w:rsidRPr="007A177A">
        <w:rPr>
          <w:rFonts w:ascii="Arial" w:hAnsi="Arial" w:cs="Arial"/>
          <w:bCs/>
          <w:lang w:val="es-MX"/>
        </w:rPr>
        <w:t xml:space="preserve">, </w:t>
      </w:r>
      <w:r w:rsidR="00882C73" w:rsidRPr="007A177A">
        <w:rPr>
          <w:rFonts w:ascii="Arial" w:hAnsi="Arial" w:cs="Arial"/>
          <w:bCs/>
          <w:lang w:val="es-MX"/>
        </w:rPr>
        <w:t>deb</w:t>
      </w:r>
      <w:r w:rsidR="0060654F" w:rsidRPr="007A177A">
        <w:rPr>
          <w:rFonts w:ascii="Arial" w:hAnsi="Arial" w:cs="Arial"/>
          <w:bCs/>
          <w:lang w:val="es-MX"/>
        </w:rPr>
        <w:t>ía</w:t>
      </w:r>
      <w:r w:rsidR="003870F7" w:rsidRPr="007A177A">
        <w:rPr>
          <w:rFonts w:ascii="Arial" w:hAnsi="Arial" w:cs="Arial"/>
          <w:bCs/>
          <w:lang w:val="es-MX"/>
        </w:rPr>
        <w:t xml:space="preserve"> </w:t>
      </w:r>
      <w:r w:rsidR="00C52D87" w:rsidRPr="007A177A">
        <w:rPr>
          <w:rFonts w:ascii="Arial" w:hAnsi="Arial" w:cs="Arial"/>
          <w:bCs/>
          <w:lang w:val="es-MX"/>
        </w:rPr>
        <w:t xml:space="preserve">ser </w:t>
      </w:r>
      <w:r w:rsidR="00882C73" w:rsidRPr="007A177A">
        <w:rPr>
          <w:rFonts w:ascii="Arial" w:hAnsi="Arial" w:cs="Arial"/>
          <w:bCs/>
          <w:lang w:val="es-MX"/>
        </w:rPr>
        <w:t>considera</w:t>
      </w:r>
      <w:r w:rsidR="00C52D87" w:rsidRPr="007A177A">
        <w:rPr>
          <w:rFonts w:ascii="Arial" w:hAnsi="Arial" w:cs="Arial"/>
          <w:bCs/>
          <w:lang w:val="es-MX"/>
        </w:rPr>
        <w:t xml:space="preserve">da bajo el concepto de </w:t>
      </w:r>
      <w:r w:rsidR="005A1045" w:rsidRPr="007A177A">
        <w:rPr>
          <w:rFonts w:ascii="Arial" w:hAnsi="Arial" w:cs="Arial"/>
          <w:bCs/>
          <w:lang w:val="es-MX"/>
        </w:rPr>
        <w:t xml:space="preserve">equivalencia de prestaciones del Código Civil y </w:t>
      </w:r>
      <w:r w:rsidR="0039049F" w:rsidRPr="007A177A">
        <w:rPr>
          <w:rFonts w:ascii="Arial" w:hAnsi="Arial" w:cs="Arial"/>
          <w:bCs/>
          <w:lang w:val="es-MX"/>
        </w:rPr>
        <w:t>d</w:t>
      </w:r>
      <w:r w:rsidR="005A1045" w:rsidRPr="007A177A">
        <w:rPr>
          <w:rFonts w:ascii="Arial" w:hAnsi="Arial" w:cs="Arial"/>
          <w:bCs/>
          <w:lang w:val="es-MX"/>
        </w:rPr>
        <w:t>el equilibrio de esfuerzos entre las partes del contrato</w:t>
      </w:r>
      <w:r w:rsidR="00D35CFD" w:rsidRPr="007A177A">
        <w:rPr>
          <w:rFonts w:ascii="Arial" w:hAnsi="Arial" w:cs="Arial"/>
          <w:bCs/>
          <w:lang w:val="es-MX"/>
        </w:rPr>
        <w:t xml:space="preserve">, lo cual lleva a </w:t>
      </w:r>
      <w:r w:rsidR="00734EC1" w:rsidRPr="007A177A">
        <w:rPr>
          <w:rFonts w:ascii="Arial" w:hAnsi="Arial" w:cs="Arial"/>
          <w:bCs/>
          <w:lang w:val="es-MX"/>
        </w:rPr>
        <w:t xml:space="preserve">conceder </w:t>
      </w:r>
      <w:r w:rsidR="00D35CFD" w:rsidRPr="007A177A">
        <w:rPr>
          <w:rFonts w:ascii="Arial" w:hAnsi="Arial" w:cs="Arial"/>
          <w:bCs/>
          <w:lang w:val="es-MX"/>
        </w:rPr>
        <w:t xml:space="preserve">que </w:t>
      </w:r>
      <w:r w:rsidR="0060654F" w:rsidRPr="007A177A">
        <w:rPr>
          <w:rFonts w:ascii="Arial" w:hAnsi="Arial" w:cs="Arial"/>
          <w:bCs/>
          <w:lang w:val="es-MX"/>
        </w:rPr>
        <w:t xml:space="preserve">en ese </w:t>
      </w:r>
      <w:r w:rsidR="00E1020D" w:rsidRPr="007A177A">
        <w:rPr>
          <w:rFonts w:ascii="Arial" w:hAnsi="Arial" w:cs="Arial"/>
          <w:bCs/>
          <w:lang w:val="es-MX"/>
        </w:rPr>
        <w:t xml:space="preserve">supuesto </w:t>
      </w:r>
      <w:r w:rsidR="003870F7" w:rsidRPr="007A177A">
        <w:rPr>
          <w:rFonts w:ascii="Arial" w:hAnsi="Arial" w:cs="Arial"/>
          <w:bCs/>
          <w:lang w:val="es-MX"/>
        </w:rPr>
        <w:t>no resulta</w:t>
      </w:r>
      <w:r w:rsidR="00E1020D" w:rsidRPr="007A177A">
        <w:rPr>
          <w:rFonts w:ascii="Arial" w:hAnsi="Arial" w:cs="Arial"/>
          <w:bCs/>
          <w:lang w:val="es-MX"/>
        </w:rPr>
        <w:t>ría</w:t>
      </w:r>
      <w:r w:rsidR="00C52D87" w:rsidRPr="007A177A">
        <w:rPr>
          <w:rFonts w:ascii="Arial" w:hAnsi="Arial" w:cs="Arial"/>
          <w:bCs/>
          <w:lang w:val="es-MX"/>
        </w:rPr>
        <w:t xml:space="preserve"> procedente </w:t>
      </w:r>
      <w:r w:rsidR="003870F7" w:rsidRPr="007A177A">
        <w:rPr>
          <w:rFonts w:ascii="Arial" w:hAnsi="Arial" w:cs="Arial"/>
          <w:bCs/>
          <w:lang w:val="es-MX"/>
        </w:rPr>
        <w:t xml:space="preserve">liquidar </w:t>
      </w:r>
      <w:r w:rsidR="00882C73" w:rsidRPr="007A177A">
        <w:rPr>
          <w:rFonts w:ascii="Arial" w:hAnsi="Arial" w:cs="Arial"/>
          <w:bCs/>
          <w:lang w:val="es-MX"/>
        </w:rPr>
        <w:t xml:space="preserve">la tasa máxima legal permitida </w:t>
      </w:r>
      <w:r w:rsidR="003870F7" w:rsidRPr="007A177A">
        <w:rPr>
          <w:rFonts w:ascii="Arial" w:hAnsi="Arial" w:cs="Arial"/>
          <w:bCs/>
          <w:i/>
          <w:iCs/>
          <w:lang w:val="es-MX"/>
        </w:rPr>
        <w:t xml:space="preserve">con </w:t>
      </w:r>
      <w:r w:rsidR="00F05013" w:rsidRPr="007A177A">
        <w:rPr>
          <w:rFonts w:ascii="Arial" w:hAnsi="Arial" w:cs="Arial"/>
          <w:bCs/>
          <w:i/>
          <w:iCs/>
          <w:lang w:val="es-MX"/>
        </w:rPr>
        <w:t>“</w:t>
      </w:r>
      <w:r w:rsidR="003870F7" w:rsidRPr="007A177A">
        <w:rPr>
          <w:rFonts w:ascii="Arial" w:hAnsi="Arial" w:cs="Arial"/>
          <w:bCs/>
          <w:i/>
          <w:iCs/>
          <w:lang w:val="es-MX"/>
        </w:rPr>
        <w:t>capitalización diaria de intereses</w:t>
      </w:r>
      <w:r w:rsidR="00F05013" w:rsidRPr="007A177A">
        <w:rPr>
          <w:rFonts w:ascii="Arial" w:hAnsi="Arial" w:cs="Arial"/>
          <w:bCs/>
          <w:i/>
          <w:iCs/>
          <w:lang w:val="es-MX"/>
        </w:rPr>
        <w:t>”</w:t>
      </w:r>
      <w:r w:rsidR="003870F7" w:rsidRPr="007A177A">
        <w:rPr>
          <w:rFonts w:ascii="Arial" w:hAnsi="Arial" w:cs="Arial"/>
          <w:bCs/>
          <w:lang w:val="es-MX"/>
        </w:rPr>
        <w:t xml:space="preserve"> </w:t>
      </w:r>
      <w:r w:rsidR="007E6388" w:rsidRPr="007A177A">
        <w:rPr>
          <w:rFonts w:ascii="Arial" w:hAnsi="Arial" w:cs="Arial"/>
          <w:bCs/>
          <w:lang w:val="es-MX"/>
        </w:rPr>
        <w:t>-</w:t>
      </w:r>
      <w:r w:rsidR="003870F7" w:rsidRPr="007A177A">
        <w:rPr>
          <w:rFonts w:ascii="Arial" w:hAnsi="Arial" w:cs="Arial"/>
          <w:bCs/>
          <w:i/>
          <w:lang w:val="es-MX"/>
        </w:rPr>
        <w:t>como se formuló en algunas de las etapas de la mora</w:t>
      </w:r>
      <w:r w:rsidR="00C52D87" w:rsidRPr="007A177A">
        <w:rPr>
          <w:rFonts w:ascii="Arial" w:hAnsi="Arial" w:cs="Arial"/>
          <w:bCs/>
          <w:i/>
          <w:lang w:val="es-MX"/>
        </w:rPr>
        <w:t xml:space="preserve"> liquidada en la sentencia</w:t>
      </w:r>
      <w:r w:rsidR="007E6388" w:rsidRPr="007A177A">
        <w:rPr>
          <w:rFonts w:ascii="Arial" w:hAnsi="Arial" w:cs="Arial"/>
          <w:bCs/>
          <w:lang w:val="es-MX"/>
        </w:rPr>
        <w:t>-</w:t>
      </w:r>
      <w:r w:rsidR="0039049F" w:rsidRPr="007A177A">
        <w:rPr>
          <w:rFonts w:ascii="Arial" w:hAnsi="Arial" w:cs="Arial"/>
          <w:bCs/>
          <w:lang w:val="es-MX"/>
        </w:rPr>
        <w:t xml:space="preserve"> al paso que</w:t>
      </w:r>
      <w:r w:rsidR="00F05013" w:rsidRPr="007A177A">
        <w:rPr>
          <w:rFonts w:ascii="Arial" w:hAnsi="Arial" w:cs="Arial"/>
          <w:bCs/>
          <w:lang w:val="es-MX"/>
        </w:rPr>
        <w:t>, por otra parte, debe repetirse que</w:t>
      </w:r>
      <w:r w:rsidR="0039049F" w:rsidRPr="007A177A">
        <w:rPr>
          <w:rFonts w:ascii="Arial" w:hAnsi="Arial" w:cs="Arial"/>
          <w:bCs/>
          <w:lang w:val="es-MX"/>
        </w:rPr>
        <w:t xml:space="preserve"> los recursos del anticipo no causaban intereses.</w:t>
      </w:r>
    </w:p>
    <w:p w14:paraId="5FD7DD22" w14:textId="77777777" w:rsidR="000F2E66" w:rsidRPr="007A177A" w:rsidRDefault="000F2E66" w:rsidP="00BF333B">
      <w:pPr>
        <w:spacing w:line="360" w:lineRule="auto"/>
        <w:jc w:val="both"/>
        <w:rPr>
          <w:rFonts w:ascii="Arial" w:hAnsi="Arial" w:cs="Arial"/>
          <w:bCs/>
          <w:lang w:val="es-MX"/>
        </w:rPr>
      </w:pPr>
    </w:p>
    <w:p w14:paraId="774B4288" w14:textId="77777777" w:rsidR="00734EC1" w:rsidRPr="007A177A" w:rsidRDefault="0039049F" w:rsidP="00BF333B">
      <w:pPr>
        <w:spacing w:line="360" w:lineRule="auto"/>
        <w:jc w:val="both"/>
        <w:rPr>
          <w:rFonts w:ascii="Arial" w:hAnsi="Arial" w:cs="Arial"/>
          <w:bCs/>
          <w:lang w:val="es-MX"/>
        </w:rPr>
      </w:pPr>
      <w:r w:rsidRPr="007A177A">
        <w:rPr>
          <w:rFonts w:ascii="Arial" w:hAnsi="Arial" w:cs="Arial"/>
          <w:bCs/>
          <w:lang w:val="es-MX"/>
        </w:rPr>
        <w:t>Además, s</w:t>
      </w:r>
      <w:r w:rsidR="000F2E66" w:rsidRPr="007A177A">
        <w:rPr>
          <w:rFonts w:ascii="Arial" w:hAnsi="Arial" w:cs="Arial"/>
          <w:bCs/>
          <w:lang w:val="es-MX"/>
        </w:rPr>
        <w:t xml:space="preserve">e </w:t>
      </w:r>
      <w:r w:rsidR="0060654F" w:rsidRPr="007A177A">
        <w:rPr>
          <w:rFonts w:ascii="Arial" w:hAnsi="Arial" w:cs="Arial"/>
          <w:bCs/>
          <w:lang w:val="es-MX"/>
        </w:rPr>
        <w:t xml:space="preserve">puntualiza que </w:t>
      </w:r>
      <w:r w:rsidR="000F2E66" w:rsidRPr="007A177A">
        <w:rPr>
          <w:rFonts w:ascii="Arial" w:hAnsi="Arial" w:cs="Arial"/>
          <w:bCs/>
          <w:lang w:val="es-MX"/>
        </w:rPr>
        <w:t>la mora alegada en el proceso</w:t>
      </w:r>
      <w:r w:rsidRPr="007A177A">
        <w:rPr>
          <w:rFonts w:ascii="Arial" w:hAnsi="Arial" w:cs="Arial"/>
          <w:bCs/>
          <w:lang w:val="es-MX"/>
        </w:rPr>
        <w:t>, sobre las actas de obra que se mencionaron en la condena</w:t>
      </w:r>
      <w:r w:rsidR="00164876" w:rsidRPr="007A177A">
        <w:rPr>
          <w:rFonts w:ascii="Arial" w:hAnsi="Arial" w:cs="Arial"/>
          <w:bCs/>
          <w:lang w:val="es-MX"/>
        </w:rPr>
        <w:t>,</w:t>
      </w:r>
      <w:r w:rsidR="000F2E66" w:rsidRPr="007A177A">
        <w:rPr>
          <w:rFonts w:ascii="Arial" w:hAnsi="Arial" w:cs="Arial"/>
          <w:bCs/>
          <w:lang w:val="es-MX"/>
        </w:rPr>
        <w:t xml:space="preserve"> ocurrió en</w:t>
      </w:r>
      <w:r w:rsidR="00734EC1" w:rsidRPr="007A177A">
        <w:rPr>
          <w:rFonts w:ascii="Arial" w:hAnsi="Arial" w:cs="Arial"/>
          <w:bCs/>
          <w:lang w:val="es-MX"/>
        </w:rPr>
        <w:t>tre</w:t>
      </w:r>
      <w:r w:rsidR="000F2E66" w:rsidRPr="007A177A">
        <w:rPr>
          <w:rFonts w:ascii="Arial" w:hAnsi="Arial" w:cs="Arial"/>
          <w:bCs/>
          <w:lang w:val="es-MX"/>
        </w:rPr>
        <w:t xml:space="preserve"> </w:t>
      </w:r>
      <w:r w:rsidRPr="007A177A">
        <w:rPr>
          <w:rFonts w:ascii="Arial" w:hAnsi="Arial" w:cs="Arial"/>
          <w:bCs/>
          <w:lang w:val="es-MX"/>
        </w:rPr>
        <w:t xml:space="preserve">febrero de </w:t>
      </w:r>
      <w:r w:rsidR="000F2E66" w:rsidRPr="007A177A">
        <w:rPr>
          <w:rFonts w:ascii="Arial" w:hAnsi="Arial" w:cs="Arial"/>
          <w:bCs/>
          <w:lang w:val="es-MX"/>
        </w:rPr>
        <w:t>1979</w:t>
      </w:r>
      <w:r w:rsidRPr="007A177A">
        <w:rPr>
          <w:rFonts w:ascii="Arial" w:hAnsi="Arial" w:cs="Arial"/>
          <w:bCs/>
          <w:lang w:val="es-MX"/>
        </w:rPr>
        <w:t xml:space="preserve"> y enero de 1980</w:t>
      </w:r>
      <w:r w:rsidR="000F2E66" w:rsidRPr="007A177A">
        <w:rPr>
          <w:rFonts w:ascii="Arial" w:hAnsi="Arial" w:cs="Arial"/>
          <w:bCs/>
          <w:lang w:val="es-MX"/>
        </w:rPr>
        <w:t xml:space="preserve">, época para la cual no existía la formulación de tasas </w:t>
      </w:r>
      <w:r w:rsidRPr="007A177A">
        <w:rPr>
          <w:rFonts w:ascii="Arial" w:hAnsi="Arial" w:cs="Arial"/>
          <w:bCs/>
          <w:lang w:val="es-MX"/>
        </w:rPr>
        <w:t xml:space="preserve">de interés </w:t>
      </w:r>
      <w:r w:rsidR="000F2E66" w:rsidRPr="007A177A">
        <w:rPr>
          <w:rFonts w:ascii="Arial" w:hAnsi="Arial" w:cs="Arial"/>
          <w:bCs/>
          <w:lang w:val="es-MX"/>
        </w:rPr>
        <w:t>efectiv</w:t>
      </w:r>
      <w:r w:rsidRPr="007A177A">
        <w:rPr>
          <w:rFonts w:ascii="Arial" w:hAnsi="Arial" w:cs="Arial"/>
          <w:bCs/>
          <w:lang w:val="es-MX"/>
        </w:rPr>
        <w:t>o</w:t>
      </w:r>
      <w:r w:rsidR="00597980" w:rsidRPr="007A177A">
        <w:rPr>
          <w:rStyle w:val="Refdenotaalpie"/>
          <w:rFonts w:ascii="Arial" w:hAnsi="Arial" w:cs="Arial"/>
          <w:bCs/>
          <w:lang w:val="es-MX"/>
        </w:rPr>
        <w:footnoteReference w:id="116"/>
      </w:r>
      <w:r w:rsidR="00734EC1" w:rsidRPr="007A177A">
        <w:rPr>
          <w:rFonts w:ascii="Arial" w:hAnsi="Arial" w:cs="Arial"/>
          <w:bCs/>
          <w:lang w:val="es-MX"/>
        </w:rPr>
        <w:t xml:space="preserve">, de </w:t>
      </w:r>
      <w:r w:rsidR="00734EC1" w:rsidRPr="007A177A">
        <w:rPr>
          <w:rFonts w:ascii="Arial" w:hAnsi="Arial" w:cs="Arial"/>
          <w:bCs/>
          <w:lang w:val="es-MX"/>
        </w:rPr>
        <w:lastRenderedPageBreak/>
        <w:t xml:space="preserve">manera que las fórmulas de cálculo </w:t>
      </w:r>
      <w:r w:rsidR="007E6388" w:rsidRPr="007A177A">
        <w:rPr>
          <w:rFonts w:ascii="Arial" w:hAnsi="Arial" w:cs="Arial"/>
          <w:bCs/>
          <w:lang w:val="es-MX"/>
        </w:rPr>
        <w:t xml:space="preserve">que </w:t>
      </w:r>
      <w:r w:rsidR="00734EC1" w:rsidRPr="007A177A">
        <w:rPr>
          <w:rFonts w:ascii="Arial" w:hAnsi="Arial" w:cs="Arial"/>
          <w:bCs/>
          <w:lang w:val="es-MX"/>
        </w:rPr>
        <w:t>eventualmente deb</w:t>
      </w:r>
      <w:r w:rsidR="007E6388" w:rsidRPr="007A177A">
        <w:rPr>
          <w:rFonts w:ascii="Arial" w:hAnsi="Arial" w:cs="Arial"/>
          <w:bCs/>
          <w:lang w:val="es-MX"/>
        </w:rPr>
        <w:t>í</w:t>
      </w:r>
      <w:r w:rsidR="00734EC1" w:rsidRPr="007A177A">
        <w:rPr>
          <w:rFonts w:ascii="Arial" w:hAnsi="Arial" w:cs="Arial"/>
          <w:bCs/>
          <w:lang w:val="es-MX"/>
        </w:rPr>
        <w:t xml:space="preserve">an aplicarse </w:t>
      </w:r>
      <w:r w:rsidR="007E6388" w:rsidRPr="007A177A">
        <w:rPr>
          <w:rFonts w:ascii="Arial" w:hAnsi="Arial" w:cs="Arial"/>
          <w:bCs/>
          <w:lang w:val="es-MX"/>
        </w:rPr>
        <w:t xml:space="preserve">correspondían a </w:t>
      </w:r>
      <w:r w:rsidR="00734EC1" w:rsidRPr="007A177A">
        <w:rPr>
          <w:rFonts w:ascii="Arial" w:hAnsi="Arial" w:cs="Arial"/>
          <w:bCs/>
          <w:lang w:val="es-MX"/>
        </w:rPr>
        <w:t>tasas nominales.</w:t>
      </w:r>
    </w:p>
    <w:p w14:paraId="601CBCA1" w14:textId="77777777" w:rsidR="003C376D" w:rsidRPr="007A177A" w:rsidRDefault="003C376D" w:rsidP="00BF333B">
      <w:pPr>
        <w:spacing w:line="360" w:lineRule="auto"/>
        <w:jc w:val="both"/>
        <w:rPr>
          <w:rFonts w:ascii="Arial" w:hAnsi="Arial" w:cs="Arial"/>
          <w:bCs/>
          <w:lang w:val="es-MX"/>
        </w:rPr>
      </w:pPr>
    </w:p>
    <w:p w14:paraId="497D5F6E" w14:textId="77777777" w:rsidR="000F2E66" w:rsidRPr="007A177A" w:rsidRDefault="000F2E66" w:rsidP="00BF333B">
      <w:pPr>
        <w:spacing w:line="360" w:lineRule="auto"/>
        <w:jc w:val="both"/>
        <w:rPr>
          <w:rFonts w:ascii="Arial" w:hAnsi="Arial" w:cs="Arial"/>
          <w:bCs/>
          <w:lang w:val="es-MX"/>
        </w:rPr>
      </w:pPr>
      <w:r w:rsidRPr="007A177A">
        <w:rPr>
          <w:rFonts w:ascii="Arial" w:hAnsi="Arial" w:cs="Arial"/>
          <w:bCs/>
          <w:lang w:val="es-MX"/>
        </w:rPr>
        <w:t>Por ello, la tasa de liquidación de intereses para resarcir el perjuicio</w:t>
      </w:r>
      <w:r w:rsidR="0039049F" w:rsidRPr="007A177A">
        <w:rPr>
          <w:rFonts w:ascii="Arial" w:hAnsi="Arial" w:cs="Arial"/>
          <w:bCs/>
          <w:lang w:val="es-MX"/>
        </w:rPr>
        <w:t xml:space="preserve">, en la época y </w:t>
      </w:r>
      <w:r w:rsidR="00BB0221" w:rsidRPr="007A177A">
        <w:rPr>
          <w:rFonts w:ascii="Arial" w:hAnsi="Arial" w:cs="Arial"/>
          <w:bCs/>
          <w:lang w:val="es-MX"/>
        </w:rPr>
        <w:t xml:space="preserve">según </w:t>
      </w:r>
      <w:r w:rsidR="0039049F" w:rsidRPr="007A177A">
        <w:rPr>
          <w:rFonts w:ascii="Arial" w:hAnsi="Arial" w:cs="Arial"/>
          <w:bCs/>
          <w:lang w:val="es-MX"/>
        </w:rPr>
        <w:t xml:space="preserve">las pretensiones de la demanda, </w:t>
      </w:r>
      <w:r w:rsidRPr="007A177A">
        <w:rPr>
          <w:rFonts w:ascii="Arial" w:hAnsi="Arial" w:cs="Arial"/>
          <w:bCs/>
          <w:lang w:val="es-MX"/>
        </w:rPr>
        <w:t>se debe reconocer al 6% derivado del código civil, d</w:t>
      </w:r>
      <w:r w:rsidR="0039049F" w:rsidRPr="007A177A">
        <w:rPr>
          <w:rFonts w:ascii="Arial" w:hAnsi="Arial" w:cs="Arial"/>
          <w:bCs/>
          <w:lang w:val="es-MX"/>
        </w:rPr>
        <w:t>urante el per</w:t>
      </w:r>
      <w:r w:rsidR="007B66B2" w:rsidRPr="007A177A">
        <w:rPr>
          <w:rFonts w:ascii="Arial" w:hAnsi="Arial" w:cs="Arial"/>
          <w:bCs/>
          <w:lang w:val="es-MX"/>
        </w:rPr>
        <w:t>í</w:t>
      </w:r>
      <w:r w:rsidR="0039049F" w:rsidRPr="007A177A">
        <w:rPr>
          <w:rFonts w:ascii="Arial" w:hAnsi="Arial" w:cs="Arial"/>
          <w:bCs/>
          <w:lang w:val="es-MX"/>
        </w:rPr>
        <w:t xml:space="preserve">odo de tiempo en que </w:t>
      </w:r>
      <w:r w:rsidRPr="007A177A">
        <w:rPr>
          <w:rFonts w:ascii="Arial" w:hAnsi="Arial" w:cs="Arial"/>
          <w:bCs/>
          <w:lang w:val="es-MX"/>
        </w:rPr>
        <w:t>se</w:t>
      </w:r>
      <w:r w:rsidR="00D35CFD" w:rsidRPr="007A177A">
        <w:rPr>
          <w:rFonts w:ascii="Arial" w:hAnsi="Arial" w:cs="Arial"/>
          <w:bCs/>
          <w:lang w:val="es-MX"/>
        </w:rPr>
        <w:t xml:space="preserve"> </w:t>
      </w:r>
      <w:r w:rsidRPr="007A177A">
        <w:rPr>
          <w:rFonts w:ascii="Arial" w:hAnsi="Arial" w:cs="Arial"/>
          <w:bCs/>
          <w:lang w:val="es-MX"/>
        </w:rPr>
        <w:t>presentaron los retardos en el pago de las actas.</w:t>
      </w:r>
    </w:p>
    <w:p w14:paraId="69C2CADC" w14:textId="77777777" w:rsidR="000F2E66" w:rsidRPr="007A177A" w:rsidRDefault="000F2E66" w:rsidP="00BF333B">
      <w:pPr>
        <w:spacing w:line="360" w:lineRule="auto"/>
        <w:jc w:val="both"/>
        <w:rPr>
          <w:rFonts w:ascii="Arial" w:hAnsi="Arial" w:cs="Arial"/>
          <w:b/>
          <w:bCs/>
          <w:lang w:val="es-MX"/>
        </w:rPr>
      </w:pPr>
    </w:p>
    <w:p w14:paraId="70ED5A32" w14:textId="77777777" w:rsidR="006A5AE3" w:rsidRPr="007A177A" w:rsidRDefault="006A5AE3" w:rsidP="00BF333B">
      <w:pPr>
        <w:pStyle w:val="Continuarlista2"/>
        <w:spacing w:after="0"/>
        <w:ind w:left="0"/>
        <w:rPr>
          <w:rFonts w:cs="Arial"/>
        </w:rPr>
      </w:pPr>
      <w:r w:rsidRPr="007A177A">
        <w:rPr>
          <w:rFonts w:cs="Arial"/>
        </w:rPr>
        <w:t>De conformidad con lo expuesto, solo procede</w:t>
      </w:r>
      <w:r w:rsidR="0037208E" w:rsidRPr="007A177A">
        <w:rPr>
          <w:rFonts w:cs="Arial"/>
        </w:rPr>
        <w:t xml:space="preserve">ría </w:t>
      </w:r>
      <w:r w:rsidRPr="007A177A">
        <w:rPr>
          <w:rFonts w:cs="Arial"/>
        </w:rPr>
        <w:t xml:space="preserve">la </w:t>
      </w:r>
      <w:r w:rsidR="0037208E" w:rsidRPr="007A177A">
        <w:rPr>
          <w:rFonts w:cs="Arial"/>
        </w:rPr>
        <w:t xml:space="preserve">liquidación de intereses </w:t>
      </w:r>
      <w:r w:rsidR="00734EC1" w:rsidRPr="007A177A">
        <w:rPr>
          <w:rFonts w:cs="Arial"/>
        </w:rPr>
        <w:t xml:space="preserve">por el </w:t>
      </w:r>
      <w:r w:rsidRPr="007A177A">
        <w:rPr>
          <w:rFonts w:cs="Arial"/>
        </w:rPr>
        <w:t xml:space="preserve"> pago tardío de las actas de obra No. 6 a 11 y 17, </w:t>
      </w:r>
      <w:r w:rsidR="00D55E06" w:rsidRPr="007A177A">
        <w:rPr>
          <w:rFonts w:cs="Arial"/>
        </w:rPr>
        <w:t xml:space="preserve">con base en el 6% anual, proporcional al número de días </w:t>
      </w:r>
      <w:r w:rsidR="00122692" w:rsidRPr="007A177A">
        <w:rPr>
          <w:rFonts w:cs="Arial"/>
        </w:rPr>
        <w:t>de demora e</w:t>
      </w:r>
      <w:r w:rsidR="00D55E06" w:rsidRPr="007A177A">
        <w:rPr>
          <w:rFonts w:cs="Arial"/>
        </w:rPr>
        <w:t xml:space="preserve">n </w:t>
      </w:r>
      <w:r w:rsidR="00122692" w:rsidRPr="007A177A">
        <w:rPr>
          <w:rFonts w:cs="Arial"/>
        </w:rPr>
        <w:t xml:space="preserve">el pago, en la siguiente forma: </w:t>
      </w:r>
    </w:p>
    <w:p w14:paraId="5CAA2F2B" w14:textId="77777777" w:rsidR="006A5AE3" w:rsidRPr="007A177A" w:rsidRDefault="006A5AE3" w:rsidP="00BF333B">
      <w:pPr>
        <w:pStyle w:val="Continuarlista2"/>
        <w:spacing w:after="0"/>
        <w:ind w:left="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1759"/>
        <w:gridCol w:w="1560"/>
        <w:gridCol w:w="1984"/>
        <w:gridCol w:w="1276"/>
        <w:gridCol w:w="1701"/>
      </w:tblGrid>
      <w:tr w:rsidR="006A5AE3" w:rsidRPr="007A177A" w14:paraId="45D1CFB3" w14:textId="77777777" w:rsidTr="000E279A">
        <w:tc>
          <w:tcPr>
            <w:tcW w:w="617" w:type="dxa"/>
            <w:shd w:val="clear" w:color="auto" w:fill="auto"/>
          </w:tcPr>
          <w:p w14:paraId="07E059F8" w14:textId="77777777" w:rsidR="006A5AE3" w:rsidRPr="007A177A" w:rsidRDefault="006A5AE3" w:rsidP="00BF333B">
            <w:pPr>
              <w:pStyle w:val="Continuarlista2"/>
              <w:spacing w:after="0" w:line="240" w:lineRule="auto"/>
              <w:ind w:left="0"/>
              <w:jc w:val="center"/>
              <w:rPr>
                <w:rFonts w:cs="Arial"/>
                <w:b/>
                <w:bCs/>
              </w:rPr>
            </w:pPr>
            <w:r w:rsidRPr="007A177A">
              <w:rPr>
                <w:rFonts w:cs="Arial"/>
                <w:b/>
                <w:bCs/>
              </w:rPr>
              <w:t>No</w:t>
            </w:r>
          </w:p>
        </w:tc>
        <w:tc>
          <w:tcPr>
            <w:tcW w:w="1759" w:type="dxa"/>
            <w:shd w:val="clear" w:color="auto" w:fill="auto"/>
          </w:tcPr>
          <w:p w14:paraId="44E82E4C" w14:textId="77777777" w:rsidR="006A5AE3" w:rsidRPr="007A177A" w:rsidRDefault="006A5AE3" w:rsidP="00BF333B">
            <w:pPr>
              <w:pStyle w:val="Continuarlista2"/>
              <w:spacing w:after="0" w:line="240" w:lineRule="auto"/>
              <w:ind w:left="0"/>
              <w:jc w:val="center"/>
              <w:rPr>
                <w:rFonts w:cs="Arial"/>
                <w:b/>
                <w:bCs/>
              </w:rPr>
            </w:pPr>
            <w:r w:rsidRPr="007A177A">
              <w:rPr>
                <w:rFonts w:cs="Arial"/>
                <w:b/>
                <w:bCs/>
              </w:rPr>
              <w:t>Valor del acta (sin anticipo)</w:t>
            </w:r>
          </w:p>
        </w:tc>
        <w:tc>
          <w:tcPr>
            <w:tcW w:w="1560" w:type="dxa"/>
            <w:shd w:val="clear" w:color="auto" w:fill="auto"/>
          </w:tcPr>
          <w:p w14:paraId="1A450416" w14:textId="77777777" w:rsidR="006A5AE3" w:rsidRPr="007A177A" w:rsidRDefault="006A5AE3" w:rsidP="00BF333B">
            <w:pPr>
              <w:pStyle w:val="Continuarlista2"/>
              <w:spacing w:after="0" w:line="240" w:lineRule="auto"/>
              <w:ind w:left="0"/>
              <w:jc w:val="center"/>
              <w:rPr>
                <w:rFonts w:cs="Arial"/>
                <w:b/>
                <w:bCs/>
              </w:rPr>
            </w:pPr>
            <w:r w:rsidRPr="007A177A">
              <w:rPr>
                <w:rFonts w:cs="Arial"/>
                <w:b/>
                <w:bCs/>
              </w:rPr>
              <w:t>Días tarde (más de 30)</w:t>
            </w:r>
          </w:p>
        </w:tc>
        <w:tc>
          <w:tcPr>
            <w:tcW w:w="1984" w:type="dxa"/>
            <w:shd w:val="clear" w:color="auto" w:fill="auto"/>
          </w:tcPr>
          <w:p w14:paraId="64BA77BD" w14:textId="77777777" w:rsidR="006A5AE3" w:rsidRPr="007A177A" w:rsidRDefault="006A5AE3" w:rsidP="00BF333B">
            <w:pPr>
              <w:pStyle w:val="Continuarlista2"/>
              <w:spacing w:after="0" w:line="240" w:lineRule="auto"/>
              <w:ind w:left="0"/>
              <w:jc w:val="center"/>
              <w:rPr>
                <w:rFonts w:cs="Arial"/>
                <w:b/>
                <w:bCs/>
              </w:rPr>
            </w:pPr>
            <w:r w:rsidRPr="007A177A">
              <w:rPr>
                <w:rFonts w:cs="Arial"/>
                <w:b/>
                <w:bCs/>
              </w:rPr>
              <w:t>Fecha de presentación</w:t>
            </w:r>
          </w:p>
        </w:tc>
        <w:tc>
          <w:tcPr>
            <w:tcW w:w="1276" w:type="dxa"/>
            <w:shd w:val="clear" w:color="auto" w:fill="auto"/>
          </w:tcPr>
          <w:p w14:paraId="60906CE4" w14:textId="77777777" w:rsidR="006A5AE3" w:rsidRPr="007A177A" w:rsidRDefault="006A5AE3" w:rsidP="00BF333B">
            <w:pPr>
              <w:pStyle w:val="Continuarlista2"/>
              <w:spacing w:after="0" w:line="240" w:lineRule="auto"/>
              <w:ind w:left="0"/>
              <w:jc w:val="center"/>
              <w:rPr>
                <w:rFonts w:cs="Arial"/>
                <w:b/>
                <w:bCs/>
              </w:rPr>
            </w:pPr>
            <w:r w:rsidRPr="007A177A">
              <w:rPr>
                <w:rFonts w:cs="Arial"/>
                <w:b/>
                <w:bCs/>
              </w:rPr>
              <w:t>Fecha pago</w:t>
            </w:r>
          </w:p>
        </w:tc>
        <w:tc>
          <w:tcPr>
            <w:tcW w:w="1701" w:type="dxa"/>
            <w:shd w:val="clear" w:color="auto" w:fill="auto"/>
          </w:tcPr>
          <w:p w14:paraId="1FAE61DD" w14:textId="77777777" w:rsidR="0076750F" w:rsidRPr="007A177A" w:rsidRDefault="006A5AE3" w:rsidP="00BF333B">
            <w:pPr>
              <w:pStyle w:val="Continuarlista2"/>
              <w:spacing w:after="0" w:line="240" w:lineRule="auto"/>
              <w:ind w:left="0"/>
              <w:jc w:val="center"/>
              <w:rPr>
                <w:rFonts w:cs="Arial"/>
                <w:b/>
                <w:bCs/>
              </w:rPr>
            </w:pPr>
            <w:r w:rsidRPr="007A177A">
              <w:rPr>
                <w:rFonts w:cs="Arial"/>
                <w:b/>
                <w:bCs/>
              </w:rPr>
              <w:t>Valor de intereses</w:t>
            </w:r>
          </w:p>
          <w:p w14:paraId="7FED187F" w14:textId="77777777" w:rsidR="006A5AE3" w:rsidRPr="007A177A" w:rsidRDefault="00464D64" w:rsidP="00BF333B">
            <w:pPr>
              <w:pStyle w:val="Continuarlista2"/>
              <w:spacing w:after="0" w:line="240" w:lineRule="auto"/>
              <w:ind w:left="0"/>
              <w:jc w:val="center"/>
              <w:rPr>
                <w:rFonts w:cs="Arial"/>
                <w:b/>
                <w:bCs/>
              </w:rPr>
            </w:pPr>
            <w:r w:rsidRPr="007A177A">
              <w:rPr>
                <w:rFonts w:cs="Arial"/>
                <w:b/>
                <w:bCs/>
              </w:rPr>
              <w:t>(en $)</w:t>
            </w:r>
          </w:p>
        </w:tc>
      </w:tr>
      <w:tr w:rsidR="006A5AE3" w:rsidRPr="007A177A" w14:paraId="048D46C8" w14:textId="77777777" w:rsidTr="000E279A">
        <w:tc>
          <w:tcPr>
            <w:tcW w:w="617" w:type="dxa"/>
            <w:shd w:val="clear" w:color="auto" w:fill="auto"/>
          </w:tcPr>
          <w:p w14:paraId="1D19E0C5" w14:textId="77777777" w:rsidR="006A5AE3" w:rsidRPr="007A177A" w:rsidRDefault="006A5AE3" w:rsidP="00BF333B">
            <w:pPr>
              <w:pStyle w:val="Continuarlista2"/>
              <w:spacing w:after="0"/>
              <w:ind w:left="0"/>
              <w:jc w:val="center"/>
              <w:rPr>
                <w:rFonts w:cs="Arial"/>
              </w:rPr>
            </w:pPr>
            <w:r w:rsidRPr="007A177A">
              <w:rPr>
                <w:rFonts w:cs="Arial"/>
              </w:rPr>
              <w:t>6</w:t>
            </w:r>
          </w:p>
        </w:tc>
        <w:tc>
          <w:tcPr>
            <w:tcW w:w="1759" w:type="dxa"/>
            <w:shd w:val="clear" w:color="auto" w:fill="auto"/>
          </w:tcPr>
          <w:p w14:paraId="04D097C6" w14:textId="77777777" w:rsidR="006A5AE3" w:rsidRPr="007A177A" w:rsidRDefault="006A5AE3" w:rsidP="00BF333B">
            <w:pPr>
              <w:pStyle w:val="Continuarlista2"/>
              <w:spacing w:after="0"/>
              <w:ind w:left="0"/>
              <w:jc w:val="center"/>
              <w:rPr>
                <w:rFonts w:cs="Arial"/>
              </w:rPr>
            </w:pPr>
            <w:r w:rsidRPr="007A177A">
              <w:rPr>
                <w:rFonts w:cs="Arial"/>
              </w:rPr>
              <w:t>1’840’779,77</w:t>
            </w:r>
          </w:p>
        </w:tc>
        <w:tc>
          <w:tcPr>
            <w:tcW w:w="1560" w:type="dxa"/>
            <w:shd w:val="clear" w:color="auto" w:fill="auto"/>
          </w:tcPr>
          <w:p w14:paraId="515B2EDE" w14:textId="77777777" w:rsidR="006A5AE3" w:rsidRPr="007A177A" w:rsidRDefault="006A5AE3" w:rsidP="00BF333B">
            <w:pPr>
              <w:pStyle w:val="Continuarlista2"/>
              <w:spacing w:after="0"/>
              <w:ind w:left="0"/>
              <w:jc w:val="center"/>
              <w:rPr>
                <w:rFonts w:cs="Arial"/>
              </w:rPr>
            </w:pPr>
            <w:r w:rsidRPr="007A177A">
              <w:rPr>
                <w:rFonts w:cs="Arial"/>
              </w:rPr>
              <w:t>204</w:t>
            </w:r>
          </w:p>
        </w:tc>
        <w:tc>
          <w:tcPr>
            <w:tcW w:w="1984" w:type="dxa"/>
            <w:shd w:val="clear" w:color="auto" w:fill="auto"/>
          </w:tcPr>
          <w:p w14:paraId="3221CD5F" w14:textId="77777777" w:rsidR="006A5AE3" w:rsidRPr="007A177A" w:rsidRDefault="006A5AE3" w:rsidP="00BF333B">
            <w:pPr>
              <w:pStyle w:val="Continuarlista2"/>
              <w:spacing w:after="0"/>
              <w:ind w:left="0"/>
              <w:jc w:val="center"/>
              <w:rPr>
                <w:rFonts w:cs="Arial"/>
              </w:rPr>
            </w:pPr>
            <w:r w:rsidRPr="007A177A">
              <w:rPr>
                <w:rFonts w:cs="Arial"/>
              </w:rPr>
              <w:t>10/02/79</w:t>
            </w:r>
          </w:p>
        </w:tc>
        <w:tc>
          <w:tcPr>
            <w:tcW w:w="1276" w:type="dxa"/>
            <w:shd w:val="clear" w:color="auto" w:fill="auto"/>
          </w:tcPr>
          <w:p w14:paraId="55D07D5E" w14:textId="77777777" w:rsidR="006A5AE3" w:rsidRPr="007A177A" w:rsidRDefault="006A5AE3" w:rsidP="00BF333B">
            <w:pPr>
              <w:pStyle w:val="Continuarlista2"/>
              <w:spacing w:after="0"/>
              <w:ind w:left="0"/>
              <w:jc w:val="center"/>
              <w:rPr>
                <w:rFonts w:cs="Arial"/>
              </w:rPr>
            </w:pPr>
            <w:r w:rsidRPr="007A177A">
              <w:rPr>
                <w:rFonts w:cs="Arial"/>
              </w:rPr>
              <w:t>4/10/79</w:t>
            </w:r>
          </w:p>
        </w:tc>
        <w:tc>
          <w:tcPr>
            <w:tcW w:w="1701" w:type="dxa"/>
            <w:shd w:val="clear" w:color="auto" w:fill="auto"/>
          </w:tcPr>
          <w:p w14:paraId="3A666068" w14:textId="77777777" w:rsidR="006A5AE3" w:rsidRPr="007A177A" w:rsidRDefault="006A5AE3" w:rsidP="00BF333B">
            <w:pPr>
              <w:pStyle w:val="Continuarlista2"/>
              <w:spacing w:after="0"/>
              <w:ind w:left="0"/>
              <w:jc w:val="right"/>
              <w:rPr>
                <w:rFonts w:cs="Arial"/>
              </w:rPr>
            </w:pPr>
            <w:r w:rsidRPr="007A177A">
              <w:rPr>
                <w:rFonts w:cs="Arial"/>
              </w:rPr>
              <w:t>61.729</w:t>
            </w:r>
          </w:p>
        </w:tc>
      </w:tr>
      <w:tr w:rsidR="006A5AE3" w:rsidRPr="007A177A" w14:paraId="0260119A" w14:textId="77777777" w:rsidTr="000E279A">
        <w:tc>
          <w:tcPr>
            <w:tcW w:w="617" w:type="dxa"/>
            <w:shd w:val="clear" w:color="auto" w:fill="auto"/>
          </w:tcPr>
          <w:p w14:paraId="3AE127B2" w14:textId="77777777" w:rsidR="006A5AE3" w:rsidRPr="007A177A" w:rsidRDefault="006A5AE3" w:rsidP="00BF333B">
            <w:pPr>
              <w:pStyle w:val="Continuarlista2"/>
              <w:spacing w:after="0"/>
              <w:ind w:left="0"/>
              <w:jc w:val="center"/>
              <w:rPr>
                <w:rFonts w:cs="Arial"/>
              </w:rPr>
            </w:pPr>
            <w:r w:rsidRPr="007A177A">
              <w:rPr>
                <w:rFonts w:cs="Arial"/>
              </w:rPr>
              <w:t>6</w:t>
            </w:r>
            <w:r w:rsidR="00D0439B" w:rsidRPr="007A177A">
              <w:rPr>
                <w:rFonts w:cs="Arial"/>
              </w:rPr>
              <w:t>ª</w:t>
            </w:r>
          </w:p>
        </w:tc>
        <w:tc>
          <w:tcPr>
            <w:tcW w:w="1759" w:type="dxa"/>
            <w:shd w:val="clear" w:color="auto" w:fill="auto"/>
          </w:tcPr>
          <w:p w14:paraId="6ABCA49D" w14:textId="77777777" w:rsidR="006A5AE3" w:rsidRPr="007A177A" w:rsidRDefault="006A5AE3" w:rsidP="00BF333B">
            <w:pPr>
              <w:pStyle w:val="Continuarlista2"/>
              <w:spacing w:after="0"/>
              <w:ind w:left="0"/>
              <w:jc w:val="center"/>
              <w:rPr>
                <w:rFonts w:cs="Arial"/>
              </w:rPr>
            </w:pPr>
            <w:r w:rsidRPr="007A177A">
              <w:rPr>
                <w:rFonts w:cs="Arial"/>
              </w:rPr>
              <w:t>1’689.687,22</w:t>
            </w:r>
          </w:p>
        </w:tc>
        <w:tc>
          <w:tcPr>
            <w:tcW w:w="1560" w:type="dxa"/>
            <w:shd w:val="clear" w:color="auto" w:fill="auto"/>
          </w:tcPr>
          <w:p w14:paraId="620409C7" w14:textId="77777777" w:rsidR="006A5AE3" w:rsidRPr="007A177A" w:rsidRDefault="006A5AE3" w:rsidP="00BF333B">
            <w:pPr>
              <w:pStyle w:val="Continuarlista2"/>
              <w:spacing w:after="0"/>
              <w:ind w:left="0"/>
              <w:jc w:val="center"/>
              <w:rPr>
                <w:rFonts w:cs="Arial"/>
              </w:rPr>
            </w:pPr>
            <w:r w:rsidRPr="007A177A">
              <w:rPr>
                <w:rFonts w:cs="Arial"/>
              </w:rPr>
              <w:t>204</w:t>
            </w:r>
          </w:p>
        </w:tc>
        <w:tc>
          <w:tcPr>
            <w:tcW w:w="1984" w:type="dxa"/>
            <w:shd w:val="clear" w:color="auto" w:fill="auto"/>
          </w:tcPr>
          <w:p w14:paraId="4FF802F7" w14:textId="77777777" w:rsidR="006A5AE3" w:rsidRPr="007A177A" w:rsidRDefault="006A5AE3" w:rsidP="00BF333B">
            <w:pPr>
              <w:pStyle w:val="Continuarlista2"/>
              <w:spacing w:after="0"/>
              <w:ind w:left="0"/>
              <w:jc w:val="center"/>
              <w:rPr>
                <w:rFonts w:cs="Arial"/>
              </w:rPr>
            </w:pPr>
            <w:r w:rsidRPr="007A177A">
              <w:rPr>
                <w:rFonts w:cs="Arial"/>
              </w:rPr>
              <w:t>10/02/79</w:t>
            </w:r>
          </w:p>
        </w:tc>
        <w:tc>
          <w:tcPr>
            <w:tcW w:w="1276" w:type="dxa"/>
            <w:shd w:val="clear" w:color="auto" w:fill="auto"/>
          </w:tcPr>
          <w:p w14:paraId="7896983E" w14:textId="77777777" w:rsidR="006A5AE3" w:rsidRPr="007A177A" w:rsidRDefault="006A5AE3" w:rsidP="00BF333B">
            <w:pPr>
              <w:pStyle w:val="Continuarlista2"/>
              <w:spacing w:after="0"/>
              <w:ind w:left="0"/>
              <w:jc w:val="center"/>
              <w:rPr>
                <w:rFonts w:cs="Arial"/>
              </w:rPr>
            </w:pPr>
            <w:r w:rsidRPr="007A177A">
              <w:rPr>
                <w:rFonts w:cs="Arial"/>
              </w:rPr>
              <w:t>4/10/79</w:t>
            </w:r>
          </w:p>
        </w:tc>
        <w:tc>
          <w:tcPr>
            <w:tcW w:w="1701" w:type="dxa"/>
            <w:shd w:val="clear" w:color="auto" w:fill="auto"/>
          </w:tcPr>
          <w:p w14:paraId="445B6C8C" w14:textId="77777777" w:rsidR="006A5AE3" w:rsidRPr="007A177A" w:rsidRDefault="006A5AE3" w:rsidP="00BF333B">
            <w:pPr>
              <w:pStyle w:val="Continuarlista2"/>
              <w:spacing w:after="0"/>
              <w:ind w:left="0"/>
              <w:jc w:val="right"/>
              <w:rPr>
                <w:rFonts w:cs="Arial"/>
              </w:rPr>
            </w:pPr>
            <w:r w:rsidRPr="007A177A">
              <w:rPr>
                <w:rFonts w:cs="Arial"/>
              </w:rPr>
              <w:t>56.662</w:t>
            </w:r>
          </w:p>
        </w:tc>
      </w:tr>
      <w:tr w:rsidR="006A5AE3" w:rsidRPr="007A177A" w14:paraId="2D172A73" w14:textId="77777777" w:rsidTr="000E279A">
        <w:tc>
          <w:tcPr>
            <w:tcW w:w="617" w:type="dxa"/>
            <w:shd w:val="clear" w:color="auto" w:fill="auto"/>
          </w:tcPr>
          <w:p w14:paraId="3A8FF326" w14:textId="77777777" w:rsidR="006A5AE3" w:rsidRPr="007A177A" w:rsidRDefault="006A5AE3" w:rsidP="00BF333B">
            <w:pPr>
              <w:pStyle w:val="Continuarlista2"/>
              <w:spacing w:after="0"/>
              <w:ind w:left="0"/>
              <w:jc w:val="center"/>
              <w:rPr>
                <w:rFonts w:cs="Arial"/>
              </w:rPr>
            </w:pPr>
            <w:r w:rsidRPr="007A177A">
              <w:rPr>
                <w:rFonts w:cs="Arial"/>
              </w:rPr>
              <w:t>6d</w:t>
            </w:r>
          </w:p>
        </w:tc>
        <w:tc>
          <w:tcPr>
            <w:tcW w:w="1759" w:type="dxa"/>
            <w:shd w:val="clear" w:color="auto" w:fill="auto"/>
          </w:tcPr>
          <w:p w14:paraId="3F6FC71C" w14:textId="77777777" w:rsidR="006A5AE3" w:rsidRPr="007A177A" w:rsidRDefault="006A5AE3" w:rsidP="00BF333B">
            <w:pPr>
              <w:pStyle w:val="Continuarlista2"/>
              <w:spacing w:after="0"/>
              <w:ind w:left="0"/>
              <w:jc w:val="center"/>
              <w:rPr>
                <w:rFonts w:cs="Arial"/>
              </w:rPr>
            </w:pPr>
            <w:r w:rsidRPr="007A177A">
              <w:rPr>
                <w:rFonts w:cs="Arial"/>
              </w:rPr>
              <w:t>51.015,97</w:t>
            </w:r>
          </w:p>
        </w:tc>
        <w:tc>
          <w:tcPr>
            <w:tcW w:w="1560" w:type="dxa"/>
            <w:shd w:val="clear" w:color="auto" w:fill="auto"/>
          </w:tcPr>
          <w:p w14:paraId="3E364088" w14:textId="77777777" w:rsidR="006A5AE3" w:rsidRPr="007A177A" w:rsidRDefault="006A5AE3" w:rsidP="00BF333B">
            <w:pPr>
              <w:pStyle w:val="Continuarlista2"/>
              <w:spacing w:after="0"/>
              <w:ind w:left="0"/>
              <w:jc w:val="center"/>
              <w:rPr>
                <w:rFonts w:cs="Arial"/>
              </w:rPr>
            </w:pPr>
            <w:r w:rsidRPr="007A177A">
              <w:rPr>
                <w:rFonts w:cs="Arial"/>
              </w:rPr>
              <w:t>204</w:t>
            </w:r>
          </w:p>
        </w:tc>
        <w:tc>
          <w:tcPr>
            <w:tcW w:w="1984" w:type="dxa"/>
            <w:shd w:val="clear" w:color="auto" w:fill="auto"/>
          </w:tcPr>
          <w:p w14:paraId="4256868F" w14:textId="77777777" w:rsidR="006A5AE3" w:rsidRPr="007A177A" w:rsidRDefault="006A5AE3" w:rsidP="00BF333B">
            <w:pPr>
              <w:pStyle w:val="Continuarlista2"/>
              <w:spacing w:after="0"/>
              <w:ind w:left="0"/>
              <w:jc w:val="center"/>
              <w:rPr>
                <w:rFonts w:cs="Arial"/>
              </w:rPr>
            </w:pPr>
            <w:r w:rsidRPr="007A177A">
              <w:rPr>
                <w:rFonts w:cs="Arial"/>
              </w:rPr>
              <w:t>10/02/79</w:t>
            </w:r>
          </w:p>
        </w:tc>
        <w:tc>
          <w:tcPr>
            <w:tcW w:w="1276" w:type="dxa"/>
            <w:shd w:val="clear" w:color="auto" w:fill="auto"/>
          </w:tcPr>
          <w:p w14:paraId="0C74FE09" w14:textId="77777777" w:rsidR="006A5AE3" w:rsidRPr="007A177A" w:rsidRDefault="006A5AE3" w:rsidP="00BF333B">
            <w:pPr>
              <w:pStyle w:val="Continuarlista2"/>
              <w:spacing w:after="0"/>
              <w:ind w:left="0"/>
              <w:jc w:val="center"/>
              <w:rPr>
                <w:rFonts w:cs="Arial"/>
              </w:rPr>
            </w:pPr>
            <w:r w:rsidRPr="007A177A">
              <w:rPr>
                <w:rFonts w:cs="Arial"/>
              </w:rPr>
              <w:t>4/10/79</w:t>
            </w:r>
          </w:p>
        </w:tc>
        <w:tc>
          <w:tcPr>
            <w:tcW w:w="1701" w:type="dxa"/>
            <w:shd w:val="clear" w:color="auto" w:fill="auto"/>
          </w:tcPr>
          <w:p w14:paraId="7F4249D3" w14:textId="77777777" w:rsidR="006A5AE3" w:rsidRPr="007A177A" w:rsidRDefault="006A5AE3" w:rsidP="00BF333B">
            <w:pPr>
              <w:pStyle w:val="Continuarlista2"/>
              <w:spacing w:after="0"/>
              <w:ind w:left="0"/>
              <w:jc w:val="right"/>
              <w:rPr>
                <w:rFonts w:cs="Arial"/>
              </w:rPr>
            </w:pPr>
            <w:r w:rsidRPr="007A177A">
              <w:rPr>
                <w:rFonts w:cs="Arial"/>
              </w:rPr>
              <w:t>1.711</w:t>
            </w:r>
          </w:p>
        </w:tc>
      </w:tr>
      <w:tr w:rsidR="006A5AE3" w:rsidRPr="007A177A" w14:paraId="0723735F" w14:textId="77777777" w:rsidTr="000E279A">
        <w:tc>
          <w:tcPr>
            <w:tcW w:w="617" w:type="dxa"/>
            <w:shd w:val="clear" w:color="auto" w:fill="auto"/>
          </w:tcPr>
          <w:p w14:paraId="6CC44EEC" w14:textId="77777777" w:rsidR="006A5AE3" w:rsidRPr="007A177A" w:rsidRDefault="006A5AE3" w:rsidP="00BF333B">
            <w:pPr>
              <w:pStyle w:val="Continuarlista2"/>
              <w:spacing w:after="0"/>
              <w:ind w:left="0"/>
              <w:jc w:val="center"/>
              <w:rPr>
                <w:rFonts w:cs="Arial"/>
              </w:rPr>
            </w:pPr>
            <w:r w:rsidRPr="007A177A">
              <w:rPr>
                <w:rFonts w:cs="Arial"/>
              </w:rPr>
              <w:t>7</w:t>
            </w:r>
          </w:p>
        </w:tc>
        <w:tc>
          <w:tcPr>
            <w:tcW w:w="1759" w:type="dxa"/>
            <w:shd w:val="clear" w:color="auto" w:fill="auto"/>
          </w:tcPr>
          <w:p w14:paraId="4214A913" w14:textId="77777777" w:rsidR="006A5AE3" w:rsidRPr="007A177A" w:rsidRDefault="006A5AE3" w:rsidP="00BF333B">
            <w:pPr>
              <w:pStyle w:val="Continuarlista2"/>
              <w:spacing w:after="0"/>
              <w:ind w:left="0"/>
              <w:jc w:val="center"/>
              <w:rPr>
                <w:rFonts w:cs="Arial"/>
              </w:rPr>
            </w:pPr>
            <w:r w:rsidRPr="007A177A">
              <w:rPr>
                <w:rFonts w:cs="Arial"/>
              </w:rPr>
              <w:t>693.839,05</w:t>
            </w:r>
          </w:p>
        </w:tc>
        <w:tc>
          <w:tcPr>
            <w:tcW w:w="1560" w:type="dxa"/>
            <w:shd w:val="clear" w:color="auto" w:fill="auto"/>
          </w:tcPr>
          <w:p w14:paraId="2DA702C3" w14:textId="77777777" w:rsidR="006A5AE3" w:rsidRPr="007A177A" w:rsidRDefault="006A5AE3" w:rsidP="00BF333B">
            <w:pPr>
              <w:pStyle w:val="Continuarlista2"/>
              <w:spacing w:after="0"/>
              <w:ind w:left="0"/>
              <w:jc w:val="center"/>
              <w:rPr>
                <w:rFonts w:cs="Arial"/>
              </w:rPr>
            </w:pPr>
            <w:r w:rsidRPr="007A177A">
              <w:rPr>
                <w:rFonts w:cs="Arial"/>
              </w:rPr>
              <w:t>174</w:t>
            </w:r>
          </w:p>
        </w:tc>
        <w:tc>
          <w:tcPr>
            <w:tcW w:w="1984" w:type="dxa"/>
            <w:shd w:val="clear" w:color="auto" w:fill="auto"/>
          </w:tcPr>
          <w:p w14:paraId="7B21C9E7" w14:textId="77777777" w:rsidR="006A5AE3" w:rsidRPr="007A177A" w:rsidRDefault="006A5AE3" w:rsidP="00BF333B">
            <w:pPr>
              <w:pStyle w:val="Continuarlista2"/>
              <w:spacing w:after="0"/>
              <w:ind w:left="0"/>
              <w:jc w:val="center"/>
              <w:rPr>
                <w:rFonts w:cs="Arial"/>
              </w:rPr>
            </w:pPr>
            <w:r w:rsidRPr="007A177A">
              <w:rPr>
                <w:rFonts w:cs="Arial"/>
              </w:rPr>
              <w:t>10/03/79</w:t>
            </w:r>
          </w:p>
        </w:tc>
        <w:tc>
          <w:tcPr>
            <w:tcW w:w="1276" w:type="dxa"/>
            <w:shd w:val="clear" w:color="auto" w:fill="auto"/>
          </w:tcPr>
          <w:p w14:paraId="5A4BA5AB" w14:textId="77777777" w:rsidR="006A5AE3" w:rsidRPr="007A177A" w:rsidRDefault="006A5AE3" w:rsidP="00BF333B">
            <w:pPr>
              <w:pStyle w:val="Continuarlista2"/>
              <w:spacing w:after="0"/>
              <w:ind w:left="0"/>
              <w:jc w:val="center"/>
              <w:rPr>
                <w:rFonts w:cs="Arial"/>
              </w:rPr>
            </w:pPr>
            <w:r w:rsidRPr="007A177A">
              <w:rPr>
                <w:rFonts w:cs="Arial"/>
              </w:rPr>
              <w:t>4/10/79</w:t>
            </w:r>
          </w:p>
        </w:tc>
        <w:tc>
          <w:tcPr>
            <w:tcW w:w="1701" w:type="dxa"/>
            <w:shd w:val="clear" w:color="auto" w:fill="auto"/>
          </w:tcPr>
          <w:p w14:paraId="231F699D" w14:textId="77777777" w:rsidR="006A5AE3" w:rsidRPr="007A177A" w:rsidRDefault="006A5AE3" w:rsidP="00BF333B">
            <w:pPr>
              <w:pStyle w:val="Continuarlista2"/>
              <w:spacing w:after="0"/>
              <w:ind w:left="0"/>
              <w:jc w:val="right"/>
              <w:rPr>
                <w:rFonts w:cs="Arial"/>
              </w:rPr>
            </w:pPr>
            <w:r w:rsidRPr="007A177A">
              <w:rPr>
                <w:rFonts w:cs="Arial"/>
              </w:rPr>
              <w:t>37.031</w:t>
            </w:r>
          </w:p>
        </w:tc>
      </w:tr>
      <w:tr w:rsidR="006A5AE3" w:rsidRPr="007A177A" w14:paraId="574C1F83" w14:textId="77777777" w:rsidTr="000E279A">
        <w:tc>
          <w:tcPr>
            <w:tcW w:w="617" w:type="dxa"/>
            <w:shd w:val="clear" w:color="auto" w:fill="auto"/>
          </w:tcPr>
          <w:p w14:paraId="760DB3FD" w14:textId="77777777" w:rsidR="006A5AE3" w:rsidRPr="007A177A" w:rsidRDefault="006A5AE3" w:rsidP="00BF333B">
            <w:pPr>
              <w:pStyle w:val="Continuarlista2"/>
              <w:spacing w:after="0"/>
              <w:ind w:left="0"/>
              <w:jc w:val="center"/>
              <w:rPr>
                <w:rFonts w:cs="Arial"/>
              </w:rPr>
            </w:pPr>
            <w:r w:rsidRPr="007A177A">
              <w:rPr>
                <w:rFonts w:cs="Arial"/>
              </w:rPr>
              <w:t>8</w:t>
            </w:r>
          </w:p>
        </w:tc>
        <w:tc>
          <w:tcPr>
            <w:tcW w:w="1759" w:type="dxa"/>
            <w:shd w:val="clear" w:color="auto" w:fill="auto"/>
          </w:tcPr>
          <w:p w14:paraId="06BEDEC2" w14:textId="77777777" w:rsidR="006A5AE3" w:rsidRPr="007A177A" w:rsidRDefault="006A5AE3" w:rsidP="00BF333B">
            <w:pPr>
              <w:pStyle w:val="Continuarlista2"/>
              <w:spacing w:after="0"/>
              <w:ind w:left="0"/>
              <w:jc w:val="center"/>
              <w:rPr>
                <w:rFonts w:cs="Arial"/>
              </w:rPr>
            </w:pPr>
            <w:r w:rsidRPr="007A177A">
              <w:rPr>
                <w:rFonts w:cs="Arial"/>
              </w:rPr>
              <w:t>1’294.672,03</w:t>
            </w:r>
          </w:p>
        </w:tc>
        <w:tc>
          <w:tcPr>
            <w:tcW w:w="1560" w:type="dxa"/>
            <w:shd w:val="clear" w:color="auto" w:fill="auto"/>
          </w:tcPr>
          <w:p w14:paraId="6374770A" w14:textId="77777777" w:rsidR="006A5AE3" w:rsidRPr="007A177A" w:rsidRDefault="006A5AE3" w:rsidP="00BF333B">
            <w:pPr>
              <w:pStyle w:val="Continuarlista2"/>
              <w:spacing w:after="0"/>
              <w:ind w:left="0"/>
              <w:jc w:val="center"/>
              <w:rPr>
                <w:rFonts w:cs="Arial"/>
              </w:rPr>
            </w:pPr>
            <w:r w:rsidRPr="007A177A">
              <w:rPr>
                <w:rFonts w:cs="Arial"/>
              </w:rPr>
              <w:t>144</w:t>
            </w:r>
          </w:p>
        </w:tc>
        <w:tc>
          <w:tcPr>
            <w:tcW w:w="1984" w:type="dxa"/>
            <w:shd w:val="clear" w:color="auto" w:fill="auto"/>
          </w:tcPr>
          <w:p w14:paraId="0607AE2D" w14:textId="77777777" w:rsidR="006A5AE3" w:rsidRPr="007A177A" w:rsidRDefault="006A5AE3" w:rsidP="00BF333B">
            <w:pPr>
              <w:pStyle w:val="Continuarlista2"/>
              <w:spacing w:after="0"/>
              <w:ind w:left="0"/>
              <w:jc w:val="center"/>
              <w:rPr>
                <w:rFonts w:cs="Arial"/>
              </w:rPr>
            </w:pPr>
            <w:r w:rsidRPr="007A177A">
              <w:rPr>
                <w:rFonts w:cs="Arial"/>
              </w:rPr>
              <w:t>10/04/79</w:t>
            </w:r>
          </w:p>
        </w:tc>
        <w:tc>
          <w:tcPr>
            <w:tcW w:w="1276" w:type="dxa"/>
            <w:shd w:val="clear" w:color="auto" w:fill="auto"/>
          </w:tcPr>
          <w:p w14:paraId="6FB1AB44" w14:textId="77777777" w:rsidR="006A5AE3" w:rsidRPr="007A177A" w:rsidRDefault="006A5AE3" w:rsidP="00BF333B">
            <w:pPr>
              <w:pStyle w:val="Continuarlista2"/>
              <w:spacing w:after="0"/>
              <w:ind w:left="0"/>
              <w:jc w:val="center"/>
              <w:rPr>
                <w:rFonts w:cs="Arial"/>
              </w:rPr>
            </w:pPr>
            <w:r w:rsidRPr="007A177A">
              <w:rPr>
                <w:rFonts w:cs="Arial"/>
              </w:rPr>
              <w:t>4/10/79</w:t>
            </w:r>
          </w:p>
        </w:tc>
        <w:tc>
          <w:tcPr>
            <w:tcW w:w="1701" w:type="dxa"/>
            <w:shd w:val="clear" w:color="auto" w:fill="auto"/>
          </w:tcPr>
          <w:p w14:paraId="0E045561" w14:textId="77777777" w:rsidR="006A5AE3" w:rsidRPr="007A177A" w:rsidRDefault="006A5AE3" w:rsidP="00BF333B">
            <w:pPr>
              <w:pStyle w:val="Continuarlista2"/>
              <w:spacing w:after="0"/>
              <w:ind w:left="0"/>
              <w:jc w:val="right"/>
              <w:rPr>
                <w:rFonts w:cs="Arial"/>
              </w:rPr>
            </w:pPr>
            <w:r w:rsidRPr="007A177A">
              <w:rPr>
                <w:rFonts w:cs="Arial"/>
              </w:rPr>
              <w:t>30.646</w:t>
            </w:r>
          </w:p>
        </w:tc>
      </w:tr>
      <w:tr w:rsidR="006A5AE3" w:rsidRPr="007A177A" w14:paraId="34524C93" w14:textId="77777777" w:rsidTr="000E279A">
        <w:tc>
          <w:tcPr>
            <w:tcW w:w="617" w:type="dxa"/>
            <w:shd w:val="clear" w:color="auto" w:fill="auto"/>
          </w:tcPr>
          <w:p w14:paraId="1E61C40D" w14:textId="77777777" w:rsidR="006A5AE3" w:rsidRPr="007A177A" w:rsidRDefault="006A5AE3" w:rsidP="00BF333B">
            <w:pPr>
              <w:pStyle w:val="Continuarlista2"/>
              <w:spacing w:after="0"/>
              <w:ind w:left="0"/>
              <w:jc w:val="center"/>
              <w:rPr>
                <w:rFonts w:cs="Arial"/>
              </w:rPr>
            </w:pPr>
            <w:r w:rsidRPr="007A177A">
              <w:rPr>
                <w:rFonts w:cs="Arial"/>
              </w:rPr>
              <w:t>9</w:t>
            </w:r>
          </w:p>
        </w:tc>
        <w:tc>
          <w:tcPr>
            <w:tcW w:w="1759" w:type="dxa"/>
            <w:shd w:val="clear" w:color="auto" w:fill="auto"/>
          </w:tcPr>
          <w:p w14:paraId="27AAE9EF" w14:textId="77777777" w:rsidR="006A5AE3" w:rsidRPr="007A177A" w:rsidRDefault="006A5AE3" w:rsidP="00BF333B">
            <w:pPr>
              <w:pStyle w:val="Continuarlista2"/>
              <w:spacing w:after="0"/>
              <w:ind w:left="0"/>
              <w:jc w:val="center"/>
              <w:rPr>
                <w:rFonts w:cs="Arial"/>
              </w:rPr>
            </w:pPr>
            <w:r w:rsidRPr="007A177A">
              <w:rPr>
                <w:rFonts w:cs="Arial"/>
              </w:rPr>
              <w:t>4’108.689,86</w:t>
            </w:r>
          </w:p>
        </w:tc>
        <w:tc>
          <w:tcPr>
            <w:tcW w:w="1560" w:type="dxa"/>
            <w:shd w:val="clear" w:color="auto" w:fill="auto"/>
          </w:tcPr>
          <w:p w14:paraId="62DD4D0A" w14:textId="77777777" w:rsidR="006A5AE3" w:rsidRPr="007A177A" w:rsidRDefault="006A5AE3" w:rsidP="00BF333B">
            <w:pPr>
              <w:pStyle w:val="Continuarlista2"/>
              <w:spacing w:after="0"/>
              <w:ind w:left="0"/>
              <w:jc w:val="center"/>
              <w:rPr>
                <w:rFonts w:cs="Arial"/>
              </w:rPr>
            </w:pPr>
            <w:r w:rsidRPr="007A177A">
              <w:rPr>
                <w:rFonts w:cs="Arial"/>
              </w:rPr>
              <w:t>114</w:t>
            </w:r>
          </w:p>
        </w:tc>
        <w:tc>
          <w:tcPr>
            <w:tcW w:w="1984" w:type="dxa"/>
            <w:shd w:val="clear" w:color="auto" w:fill="auto"/>
          </w:tcPr>
          <w:p w14:paraId="5EE162F4" w14:textId="77777777" w:rsidR="006A5AE3" w:rsidRPr="007A177A" w:rsidRDefault="006A5AE3" w:rsidP="00BF333B">
            <w:pPr>
              <w:pStyle w:val="Continuarlista2"/>
              <w:spacing w:after="0"/>
              <w:ind w:left="0"/>
              <w:jc w:val="center"/>
              <w:rPr>
                <w:rFonts w:cs="Arial"/>
              </w:rPr>
            </w:pPr>
            <w:r w:rsidRPr="007A177A">
              <w:rPr>
                <w:rFonts w:cs="Arial"/>
              </w:rPr>
              <w:t>10/05/79</w:t>
            </w:r>
          </w:p>
        </w:tc>
        <w:tc>
          <w:tcPr>
            <w:tcW w:w="1276" w:type="dxa"/>
            <w:shd w:val="clear" w:color="auto" w:fill="auto"/>
          </w:tcPr>
          <w:p w14:paraId="079E212E" w14:textId="77777777" w:rsidR="006A5AE3" w:rsidRPr="007A177A" w:rsidRDefault="006A5AE3" w:rsidP="00BF333B">
            <w:pPr>
              <w:pStyle w:val="Continuarlista2"/>
              <w:spacing w:after="0"/>
              <w:ind w:left="0"/>
              <w:jc w:val="center"/>
              <w:rPr>
                <w:rFonts w:cs="Arial"/>
              </w:rPr>
            </w:pPr>
            <w:r w:rsidRPr="007A177A">
              <w:rPr>
                <w:rFonts w:cs="Arial"/>
              </w:rPr>
              <w:t>4/10/79</w:t>
            </w:r>
          </w:p>
        </w:tc>
        <w:tc>
          <w:tcPr>
            <w:tcW w:w="1701" w:type="dxa"/>
            <w:shd w:val="clear" w:color="auto" w:fill="auto"/>
          </w:tcPr>
          <w:p w14:paraId="586BA2D3" w14:textId="77777777" w:rsidR="006A5AE3" w:rsidRPr="007A177A" w:rsidRDefault="006A5AE3" w:rsidP="00BF333B">
            <w:pPr>
              <w:pStyle w:val="Continuarlista2"/>
              <w:spacing w:after="0"/>
              <w:ind w:left="0"/>
              <w:jc w:val="right"/>
              <w:rPr>
                <w:rFonts w:cs="Arial"/>
              </w:rPr>
            </w:pPr>
            <w:r w:rsidRPr="007A177A">
              <w:rPr>
                <w:rFonts w:cs="Arial"/>
              </w:rPr>
              <w:t>76.996</w:t>
            </w:r>
          </w:p>
        </w:tc>
      </w:tr>
      <w:tr w:rsidR="006A5AE3" w:rsidRPr="007A177A" w14:paraId="4F4F76F7" w14:textId="77777777" w:rsidTr="000E279A">
        <w:tc>
          <w:tcPr>
            <w:tcW w:w="617" w:type="dxa"/>
            <w:shd w:val="clear" w:color="auto" w:fill="auto"/>
          </w:tcPr>
          <w:p w14:paraId="545067A9" w14:textId="77777777" w:rsidR="006A5AE3" w:rsidRPr="007A177A" w:rsidRDefault="006A5AE3" w:rsidP="00BF333B">
            <w:pPr>
              <w:pStyle w:val="Continuarlista2"/>
              <w:spacing w:after="0"/>
              <w:ind w:left="0"/>
              <w:jc w:val="center"/>
              <w:rPr>
                <w:rFonts w:cs="Arial"/>
              </w:rPr>
            </w:pPr>
            <w:r w:rsidRPr="007A177A">
              <w:rPr>
                <w:rFonts w:cs="Arial"/>
              </w:rPr>
              <w:t>9</w:t>
            </w:r>
            <w:r w:rsidR="00D0439B" w:rsidRPr="007A177A">
              <w:rPr>
                <w:rFonts w:cs="Arial"/>
              </w:rPr>
              <w:t>ª</w:t>
            </w:r>
          </w:p>
        </w:tc>
        <w:tc>
          <w:tcPr>
            <w:tcW w:w="1759" w:type="dxa"/>
            <w:shd w:val="clear" w:color="auto" w:fill="auto"/>
          </w:tcPr>
          <w:p w14:paraId="2BA5AA71" w14:textId="77777777" w:rsidR="006A5AE3" w:rsidRPr="007A177A" w:rsidRDefault="006A5AE3" w:rsidP="00BF333B">
            <w:pPr>
              <w:pStyle w:val="Continuarlista2"/>
              <w:spacing w:after="0"/>
              <w:ind w:left="0"/>
              <w:jc w:val="center"/>
              <w:rPr>
                <w:rFonts w:cs="Arial"/>
              </w:rPr>
            </w:pPr>
            <w:r w:rsidRPr="007A177A">
              <w:rPr>
                <w:rFonts w:cs="Arial"/>
              </w:rPr>
              <w:t>4’513.663,91</w:t>
            </w:r>
          </w:p>
        </w:tc>
        <w:tc>
          <w:tcPr>
            <w:tcW w:w="1560" w:type="dxa"/>
            <w:shd w:val="clear" w:color="auto" w:fill="auto"/>
          </w:tcPr>
          <w:p w14:paraId="0D88880C" w14:textId="77777777" w:rsidR="006A5AE3" w:rsidRPr="007A177A" w:rsidRDefault="006A5AE3" w:rsidP="00BF333B">
            <w:pPr>
              <w:pStyle w:val="Continuarlista2"/>
              <w:spacing w:after="0"/>
              <w:ind w:left="0"/>
              <w:jc w:val="center"/>
              <w:rPr>
                <w:rFonts w:cs="Arial"/>
              </w:rPr>
            </w:pPr>
            <w:r w:rsidRPr="007A177A">
              <w:rPr>
                <w:rFonts w:cs="Arial"/>
              </w:rPr>
              <w:t>114</w:t>
            </w:r>
          </w:p>
        </w:tc>
        <w:tc>
          <w:tcPr>
            <w:tcW w:w="1984" w:type="dxa"/>
            <w:shd w:val="clear" w:color="auto" w:fill="auto"/>
          </w:tcPr>
          <w:p w14:paraId="49D7E36A" w14:textId="77777777" w:rsidR="006A5AE3" w:rsidRPr="007A177A" w:rsidRDefault="006A5AE3" w:rsidP="00BF333B">
            <w:pPr>
              <w:pStyle w:val="Continuarlista2"/>
              <w:spacing w:after="0"/>
              <w:ind w:left="0"/>
              <w:jc w:val="center"/>
              <w:rPr>
                <w:rFonts w:cs="Arial"/>
              </w:rPr>
            </w:pPr>
            <w:r w:rsidRPr="007A177A">
              <w:rPr>
                <w:rFonts w:cs="Arial"/>
              </w:rPr>
              <w:t>10/05/19</w:t>
            </w:r>
          </w:p>
        </w:tc>
        <w:tc>
          <w:tcPr>
            <w:tcW w:w="1276" w:type="dxa"/>
            <w:shd w:val="clear" w:color="auto" w:fill="auto"/>
          </w:tcPr>
          <w:p w14:paraId="7A3C360B" w14:textId="77777777" w:rsidR="006A5AE3" w:rsidRPr="007A177A" w:rsidRDefault="006A5AE3" w:rsidP="00BF333B">
            <w:pPr>
              <w:pStyle w:val="Continuarlista2"/>
              <w:spacing w:after="0"/>
              <w:ind w:left="0"/>
              <w:jc w:val="center"/>
              <w:rPr>
                <w:rFonts w:cs="Arial"/>
              </w:rPr>
            </w:pPr>
            <w:r w:rsidRPr="007A177A">
              <w:rPr>
                <w:rFonts w:cs="Arial"/>
              </w:rPr>
              <w:t>4/10/79</w:t>
            </w:r>
          </w:p>
        </w:tc>
        <w:tc>
          <w:tcPr>
            <w:tcW w:w="1701" w:type="dxa"/>
            <w:shd w:val="clear" w:color="auto" w:fill="auto"/>
          </w:tcPr>
          <w:p w14:paraId="72F22A58" w14:textId="77777777" w:rsidR="006A5AE3" w:rsidRPr="007A177A" w:rsidRDefault="006A5AE3" w:rsidP="00BF333B">
            <w:pPr>
              <w:pStyle w:val="Continuarlista2"/>
              <w:spacing w:after="0"/>
              <w:ind w:left="0"/>
              <w:jc w:val="right"/>
              <w:rPr>
                <w:rFonts w:cs="Arial"/>
              </w:rPr>
            </w:pPr>
            <w:r w:rsidRPr="007A177A">
              <w:rPr>
                <w:rFonts w:cs="Arial"/>
              </w:rPr>
              <w:t>84.585</w:t>
            </w:r>
          </w:p>
        </w:tc>
      </w:tr>
      <w:tr w:rsidR="006A5AE3" w:rsidRPr="007A177A" w14:paraId="40B2FA1F" w14:textId="77777777" w:rsidTr="000E279A">
        <w:tc>
          <w:tcPr>
            <w:tcW w:w="617" w:type="dxa"/>
            <w:shd w:val="clear" w:color="auto" w:fill="auto"/>
          </w:tcPr>
          <w:p w14:paraId="3693CB75" w14:textId="77777777" w:rsidR="006A5AE3" w:rsidRPr="007A177A" w:rsidRDefault="006A5AE3" w:rsidP="00BF333B">
            <w:pPr>
              <w:pStyle w:val="Continuarlista2"/>
              <w:spacing w:after="0"/>
              <w:ind w:left="0"/>
              <w:jc w:val="center"/>
              <w:rPr>
                <w:rFonts w:cs="Arial"/>
              </w:rPr>
            </w:pPr>
            <w:r w:rsidRPr="007A177A">
              <w:rPr>
                <w:rFonts w:cs="Arial"/>
              </w:rPr>
              <w:t>9d</w:t>
            </w:r>
          </w:p>
        </w:tc>
        <w:tc>
          <w:tcPr>
            <w:tcW w:w="1759" w:type="dxa"/>
            <w:shd w:val="clear" w:color="auto" w:fill="auto"/>
          </w:tcPr>
          <w:p w14:paraId="5EF1064B" w14:textId="77777777" w:rsidR="006A5AE3" w:rsidRPr="007A177A" w:rsidRDefault="006A5AE3" w:rsidP="00BF333B">
            <w:pPr>
              <w:pStyle w:val="Continuarlista2"/>
              <w:spacing w:after="0"/>
              <w:ind w:left="0"/>
              <w:jc w:val="center"/>
              <w:rPr>
                <w:rFonts w:cs="Arial"/>
              </w:rPr>
            </w:pPr>
            <w:r w:rsidRPr="007A177A">
              <w:rPr>
                <w:rFonts w:cs="Arial"/>
              </w:rPr>
              <w:t>254’035</w:t>
            </w:r>
          </w:p>
        </w:tc>
        <w:tc>
          <w:tcPr>
            <w:tcW w:w="1560" w:type="dxa"/>
            <w:shd w:val="clear" w:color="auto" w:fill="auto"/>
          </w:tcPr>
          <w:p w14:paraId="5F8B4D53" w14:textId="77777777" w:rsidR="006A5AE3" w:rsidRPr="007A177A" w:rsidRDefault="006A5AE3" w:rsidP="00BF333B">
            <w:pPr>
              <w:pStyle w:val="Continuarlista2"/>
              <w:spacing w:after="0"/>
              <w:ind w:left="0"/>
              <w:jc w:val="center"/>
              <w:rPr>
                <w:rFonts w:cs="Arial"/>
              </w:rPr>
            </w:pPr>
            <w:r w:rsidRPr="007A177A">
              <w:rPr>
                <w:rFonts w:cs="Arial"/>
              </w:rPr>
              <w:t>118</w:t>
            </w:r>
          </w:p>
        </w:tc>
        <w:tc>
          <w:tcPr>
            <w:tcW w:w="1984" w:type="dxa"/>
            <w:shd w:val="clear" w:color="auto" w:fill="auto"/>
          </w:tcPr>
          <w:p w14:paraId="7E22606F" w14:textId="77777777" w:rsidR="006A5AE3" w:rsidRPr="007A177A" w:rsidRDefault="006A5AE3" w:rsidP="00BF333B">
            <w:pPr>
              <w:pStyle w:val="Continuarlista2"/>
              <w:spacing w:after="0"/>
              <w:ind w:left="0"/>
              <w:jc w:val="center"/>
              <w:rPr>
                <w:rFonts w:cs="Arial"/>
              </w:rPr>
            </w:pPr>
            <w:r w:rsidRPr="007A177A">
              <w:rPr>
                <w:rFonts w:cs="Arial"/>
              </w:rPr>
              <w:t>10/05/79</w:t>
            </w:r>
          </w:p>
        </w:tc>
        <w:tc>
          <w:tcPr>
            <w:tcW w:w="1276" w:type="dxa"/>
            <w:shd w:val="clear" w:color="auto" w:fill="auto"/>
          </w:tcPr>
          <w:p w14:paraId="07DA8920" w14:textId="77777777" w:rsidR="006A5AE3" w:rsidRPr="007A177A" w:rsidRDefault="006A5AE3" w:rsidP="00BF333B">
            <w:pPr>
              <w:pStyle w:val="Continuarlista2"/>
              <w:spacing w:after="0"/>
              <w:ind w:left="0"/>
              <w:jc w:val="center"/>
              <w:rPr>
                <w:rFonts w:cs="Arial"/>
              </w:rPr>
            </w:pPr>
            <w:r w:rsidRPr="007A177A">
              <w:rPr>
                <w:rFonts w:cs="Arial"/>
              </w:rPr>
              <w:t>8/10/79</w:t>
            </w:r>
          </w:p>
        </w:tc>
        <w:tc>
          <w:tcPr>
            <w:tcW w:w="1701" w:type="dxa"/>
            <w:shd w:val="clear" w:color="auto" w:fill="auto"/>
          </w:tcPr>
          <w:p w14:paraId="65CB3B68" w14:textId="77777777" w:rsidR="006A5AE3" w:rsidRPr="007A177A" w:rsidRDefault="006A5AE3" w:rsidP="00BF333B">
            <w:pPr>
              <w:pStyle w:val="Continuarlista2"/>
              <w:spacing w:after="0"/>
              <w:ind w:left="0"/>
              <w:jc w:val="right"/>
              <w:rPr>
                <w:rFonts w:cs="Arial"/>
              </w:rPr>
            </w:pPr>
            <w:r w:rsidRPr="007A177A">
              <w:rPr>
                <w:rFonts w:cs="Arial"/>
              </w:rPr>
              <w:t>4.928</w:t>
            </w:r>
          </w:p>
        </w:tc>
      </w:tr>
      <w:tr w:rsidR="006A5AE3" w:rsidRPr="007A177A" w14:paraId="440A1099" w14:textId="77777777" w:rsidTr="000E279A">
        <w:tc>
          <w:tcPr>
            <w:tcW w:w="617" w:type="dxa"/>
            <w:shd w:val="clear" w:color="auto" w:fill="auto"/>
          </w:tcPr>
          <w:p w14:paraId="2D323BF9" w14:textId="77777777" w:rsidR="006A5AE3" w:rsidRPr="007A177A" w:rsidRDefault="006A5AE3" w:rsidP="00BF333B">
            <w:pPr>
              <w:pStyle w:val="Continuarlista2"/>
              <w:spacing w:after="0"/>
              <w:ind w:left="0"/>
              <w:jc w:val="center"/>
              <w:rPr>
                <w:rFonts w:cs="Arial"/>
              </w:rPr>
            </w:pPr>
            <w:r w:rsidRPr="007A177A">
              <w:rPr>
                <w:rFonts w:cs="Arial"/>
              </w:rPr>
              <w:t>10d</w:t>
            </w:r>
          </w:p>
        </w:tc>
        <w:tc>
          <w:tcPr>
            <w:tcW w:w="1759" w:type="dxa"/>
            <w:shd w:val="clear" w:color="auto" w:fill="auto"/>
          </w:tcPr>
          <w:p w14:paraId="7B338895" w14:textId="77777777" w:rsidR="006A5AE3" w:rsidRPr="007A177A" w:rsidRDefault="006A5AE3" w:rsidP="00BF333B">
            <w:pPr>
              <w:pStyle w:val="Continuarlista2"/>
              <w:spacing w:after="0"/>
              <w:ind w:left="0"/>
              <w:jc w:val="center"/>
              <w:rPr>
                <w:rFonts w:cs="Arial"/>
              </w:rPr>
            </w:pPr>
            <w:r w:rsidRPr="007A177A">
              <w:rPr>
                <w:rFonts w:cs="Arial"/>
              </w:rPr>
              <w:t>1’667.262,86</w:t>
            </w:r>
          </w:p>
        </w:tc>
        <w:tc>
          <w:tcPr>
            <w:tcW w:w="1560" w:type="dxa"/>
            <w:shd w:val="clear" w:color="auto" w:fill="auto"/>
          </w:tcPr>
          <w:p w14:paraId="030BC720" w14:textId="77777777" w:rsidR="006A5AE3" w:rsidRPr="007A177A" w:rsidRDefault="006A5AE3" w:rsidP="00BF333B">
            <w:pPr>
              <w:pStyle w:val="Continuarlista2"/>
              <w:spacing w:after="0"/>
              <w:ind w:left="0"/>
              <w:jc w:val="center"/>
              <w:rPr>
                <w:rFonts w:cs="Arial"/>
              </w:rPr>
            </w:pPr>
            <w:r w:rsidRPr="007A177A">
              <w:rPr>
                <w:rFonts w:cs="Arial"/>
              </w:rPr>
              <w:t>21</w:t>
            </w:r>
          </w:p>
        </w:tc>
        <w:tc>
          <w:tcPr>
            <w:tcW w:w="1984" w:type="dxa"/>
            <w:shd w:val="clear" w:color="auto" w:fill="auto"/>
          </w:tcPr>
          <w:p w14:paraId="75E2C800" w14:textId="77777777" w:rsidR="006A5AE3" w:rsidRPr="007A177A" w:rsidRDefault="006A5AE3" w:rsidP="00BF333B">
            <w:pPr>
              <w:pStyle w:val="Continuarlista2"/>
              <w:spacing w:after="0"/>
              <w:ind w:left="0"/>
              <w:jc w:val="center"/>
              <w:rPr>
                <w:rFonts w:cs="Arial"/>
              </w:rPr>
            </w:pPr>
            <w:r w:rsidRPr="007A177A">
              <w:rPr>
                <w:rFonts w:cs="Arial"/>
              </w:rPr>
              <w:t>10/06/79</w:t>
            </w:r>
          </w:p>
        </w:tc>
        <w:tc>
          <w:tcPr>
            <w:tcW w:w="1276" w:type="dxa"/>
            <w:shd w:val="clear" w:color="auto" w:fill="auto"/>
          </w:tcPr>
          <w:p w14:paraId="181F9CBE" w14:textId="77777777" w:rsidR="006A5AE3" w:rsidRPr="007A177A" w:rsidRDefault="006A5AE3" w:rsidP="00BF333B">
            <w:pPr>
              <w:pStyle w:val="Continuarlista2"/>
              <w:spacing w:after="0"/>
              <w:ind w:left="0"/>
              <w:jc w:val="center"/>
              <w:rPr>
                <w:rFonts w:cs="Arial"/>
              </w:rPr>
            </w:pPr>
            <w:r w:rsidRPr="007A177A">
              <w:rPr>
                <w:rFonts w:cs="Arial"/>
              </w:rPr>
              <w:t>01/10/79</w:t>
            </w:r>
          </w:p>
        </w:tc>
        <w:tc>
          <w:tcPr>
            <w:tcW w:w="1701" w:type="dxa"/>
            <w:shd w:val="clear" w:color="auto" w:fill="auto"/>
          </w:tcPr>
          <w:p w14:paraId="0FCCEF6E" w14:textId="77777777" w:rsidR="006A5AE3" w:rsidRPr="007A177A" w:rsidRDefault="006A5AE3" w:rsidP="00BF333B">
            <w:pPr>
              <w:pStyle w:val="Continuarlista2"/>
              <w:spacing w:after="0"/>
              <w:ind w:left="0"/>
              <w:jc w:val="right"/>
              <w:rPr>
                <w:rFonts w:cs="Arial"/>
              </w:rPr>
            </w:pPr>
            <w:r w:rsidRPr="007A177A">
              <w:rPr>
                <w:rFonts w:cs="Arial"/>
              </w:rPr>
              <w:t>5</w:t>
            </w:r>
            <w:r w:rsidR="00122692" w:rsidRPr="007A177A">
              <w:rPr>
                <w:rFonts w:cs="Arial"/>
              </w:rPr>
              <w:t>.</w:t>
            </w:r>
            <w:r w:rsidRPr="007A177A">
              <w:rPr>
                <w:rFonts w:cs="Arial"/>
              </w:rPr>
              <w:t>755</w:t>
            </w:r>
          </w:p>
        </w:tc>
      </w:tr>
      <w:tr w:rsidR="006A5AE3" w:rsidRPr="007A177A" w14:paraId="18159B10" w14:textId="77777777" w:rsidTr="000E279A">
        <w:tc>
          <w:tcPr>
            <w:tcW w:w="617" w:type="dxa"/>
            <w:tcBorders>
              <w:bottom w:val="single" w:sz="4" w:space="0" w:color="auto"/>
            </w:tcBorders>
            <w:shd w:val="clear" w:color="auto" w:fill="auto"/>
          </w:tcPr>
          <w:p w14:paraId="512B9BEB" w14:textId="77777777" w:rsidR="006A5AE3" w:rsidRPr="007A177A" w:rsidRDefault="006A5AE3" w:rsidP="00BF333B">
            <w:pPr>
              <w:pStyle w:val="Continuarlista2"/>
              <w:spacing w:after="0"/>
              <w:ind w:left="0"/>
              <w:jc w:val="center"/>
              <w:rPr>
                <w:rFonts w:cs="Arial"/>
              </w:rPr>
            </w:pPr>
            <w:r w:rsidRPr="007A177A">
              <w:rPr>
                <w:rFonts w:cs="Arial"/>
              </w:rPr>
              <w:t>11d</w:t>
            </w:r>
          </w:p>
        </w:tc>
        <w:tc>
          <w:tcPr>
            <w:tcW w:w="1759" w:type="dxa"/>
            <w:tcBorders>
              <w:bottom w:val="single" w:sz="4" w:space="0" w:color="auto"/>
            </w:tcBorders>
            <w:shd w:val="clear" w:color="auto" w:fill="auto"/>
          </w:tcPr>
          <w:p w14:paraId="11095426" w14:textId="77777777" w:rsidR="006A5AE3" w:rsidRPr="007A177A" w:rsidRDefault="006A5AE3" w:rsidP="00BF333B">
            <w:pPr>
              <w:pStyle w:val="Continuarlista2"/>
              <w:spacing w:after="0"/>
              <w:ind w:left="0"/>
              <w:jc w:val="center"/>
              <w:rPr>
                <w:rFonts w:cs="Arial"/>
              </w:rPr>
            </w:pPr>
            <w:r w:rsidRPr="007A177A">
              <w:rPr>
                <w:rFonts w:cs="Arial"/>
              </w:rPr>
              <w:t>1’436.711,64</w:t>
            </w:r>
          </w:p>
        </w:tc>
        <w:tc>
          <w:tcPr>
            <w:tcW w:w="1560" w:type="dxa"/>
            <w:tcBorders>
              <w:bottom w:val="single" w:sz="4" w:space="0" w:color="auto"/>
            </w:tcBorders>
            <w:shd w:val="clear" w:color="auto" w:fill="auto"/>
          </w:tcPr>
          <w:p w14:paraId="2DEDFE1D" w14:textId="77777777" w:rsidR="006A5AE3" w:rsidRPr="007A177A" w:rsidRDefault="006A5AE3" w:rsidP="00BF333B">
            <w:pPr>
              <w:pStyle w:val="Continuarlista2"/>
              <w:spacing w:after="0"/>
              <w:ind w:left="0"/>
              <w:jc w:val="center"/>
              <w:rPr>
                <w:rFonts w:cs="Arial"/>
              </w:rPr>
            </w:pPr>
            <w:r w:rsidRPr="007A177A">
              <w:rPr>
                <w:rFonts w:cs="Arial"/>
              </w:rPr>
              <w:t>82</w:t>
            </w:r>
          </w:p>
        </w:tc>
        <w:tc>
          <w:tcPr>
            <w:tcW w:w="1984" w:type="dxa"/>
            <w:tcBorders>
              <w:bottom w:val="single" w:sz="4" w:space="0" w:color="auto"/>
            </w:tcBorders>
            <w:shd w:val="clear" w:color="auto" w:fill="auto"/>
          </w:tcPr>
          <w:p w14:paraId="1E3A5CE1" w14:textId="77777777" w:rsidR="006A5AE3" w:rsidRPr="007A177A" w:rsidRDefault="006A5AE3" w:rsidP="00BF333B">
            <w:pPr>
              <w:pStyle w:val="Continuarlista2"/>
              <w:spacing w:after="0"/>
              <w:ind w:left="0"/>
              <w:jc w:val="center"/>
              <w:rPr>
                <w:rFonts w:cs="Arial"/>
              </w:rPr>
            </w:pPr>
            <w:r w:rsidRPr="007A177A">
              <w:rPr>
                <w:rFonts w:cs="Arial"/>
              </w:rPr>
              <w:t>1/07/79</w:t>
            </w:r>
          </w:p>
        </w:tc>
        <w:tc>
          <w:tcPr>
            <w:tcW w:w="1276" w:type="dxa"/>
            <w:tcBorders>
              <w:bottom w:val="single" w:sz="4" w:space="0" w:color="auto"/>
            </w:tcBorders>
            <w:shd w:val="clear" w:color="auto" w:fill="auto"/>
          </w:tcPr>
          <w:p w14:paraId="4009DC02" w14:textId="77777777" w:rsidR="006A5AE3" w:rsidRPr="007A177A" w:rsidRDefault="006A5AE3" w:rsidP="00BF333B">
            <w:pPr>
              <w:pStyle w:val="Continuarlista2"/>
              <w:spacing w:after="0"/>
              <w:ind w:left="0"/>
              <w:jc w:val="center"/>
              <w:rPr>
                <w:rFonts w:cs="Arial"/>
              </w:rPr>
            </w:pPr>
            <w:r w:rsidRPr="007A177A">
              <w:rPr>
                <w:rFonts w:cs="Arial"/>
              </w:rPr>
              <w:t>01/10/79</w:t>
            </w:r>
          </w:p>
        </w:tc>
        <w:tc>
          <w:tcPr>
            <w:tcW w:w="1701" w:type="dxa"/>
            <w:tcBorders>
              <w:bottom w:val="single" w:sz="4" w:space="0" w:color="auto"/>
            </w:tcBorders>
            <w:shd w:val="clear" w:color="auto" w:fill="auto"/>
          </w:tcPr>
          <w:p w14:paraId="554A2260" w14:textId="77777777" w:rsidR="006A5AE3" w:rsidRPr="007A177A" w:rsidRDefault="006A5AE3" w:rsidP="00BF333B">
            <w:pPr>
              <w:pStyle w:val="Continuarlista2"/>
              <w:spacing w:after="0"/>
              <w:ind w:left="0"/>
              <w:jc w:val="right"/>
              <w:rPr>
                <w:rFonts w:cs="Arial"/>
              </w:rPr>
            </w:pPr>
            <w:r w:rsidRPr="007A177A">
              <w:rPr>
                <w:rFonts w:cs="Arial"/>
              </w:rPr>
              <w:t>19.366</w:t>
            </w:r>
          </w:p>
        </w:tc>
      </w:tr>
      <w:tr w:rsidR="006A5AE3" w:rsidRPr="007A177A" w14:paraId="294530F6" w14:textId="77777777" w:rsidTr="000E279A">
        <w:tc>
          <w:tcPr>
            <w:tcW w:w="617" w:type="dxa"/>
            <w:tcBorders>
              <w:bottom w:val="single" w:sz="4" w:space="0" w:color="auto"/>
            </w:tcBorders>
            <w:shd w:val="clear" w:color="auto" w:fill="auto"/>
          </w:tcPr>
          <w:p w14:paraId="0FEA74A8" w14:textId="77777777" w:rsidR="006A5AE3" w:rsidRPr="007A177A" w:rsidRDefault="006A5AE3" w:rsidP="00BF333B">
            <w:pPr>
              <w:pStyle w:val="Continuarlista2"/>
              <w:spacing w:after="0"/>
              <w:ind w:left="0"/>
              <w:jc w:val="center"/>
              <w:rPr>
                <w:rFonts w:cs="Arial"/>
              </w:rPr>
            </w:pPr>
            <w:r w:rsidRPr="007A177A">
              <w:rPr>
                <w:rFonts w:cs="Arial"/>
              </w:rPr>
              <w:t>17</w:t>
            </w:r>
          </w:p>
        </w:tc>
        <w:tc>
          <w:tcPr>
            <w:tcW w:w="1759" w:type="dxa"/>
            <w:tcBorders>
              <w:bottom w:val="single" w:sz="4" w:space="0" w:color="auto"/>
            </w:tcBorders>
            <w:shd w:val="clear" w:color="auto" w:fill="auto"/>
          </w:tcPr>
          <w:p w14:paraId="3089FB38" w14:textId="77777777" w:rsidR="006A5AE3" w:rsidRPr="007A177A" w:rsidRDefault="006A5AE3" w:rsidP="00BF333B">
            <w:pPr>
              <w:pStyle w:val="Continuarlista2"/>
              <w:spacing w:after="0"/>
              <w:ind w:left="0"/>
              <w:jc w:val="center"/>
              <w:rPr>
                <w:rFonts w:cs="Arial"/>
              </w:rPr>
            </w:pPr>
            <w:r w:rsidRPr="007A177A">
              <w:rPr>
                <w:rFonts w:cs="Arial"/>
              </w:rPr>
              <w:t>1’230.460.66</w:t>
            </w:r>
          </w:p>
        </w:tc>
        <w:tc>
          <w:tcPr>
            <w:tcW w:w="1560" w:type="dxa"/>
            <w:tcBorders>
              <w:bottom w:val="single" w:sz="4" w:space="0" w:color="auto"/>
            </w:tcBorders>
            <w:shd w:val="clear" w:color="auto" w:fill="auto"/>
          </w:tcPr>
          <w:p w14:paraId="387750F0" w14:textId="77777777" w:rsidR="006A5AE3" w:rsidRPr="007A177A" w:rsidRDefault="006A5AE3" w:rsidP="00BF333B">
            <w:pPr>
              <w:pStyle w:val="Continuarlista2"/>
              <w:spacing w:after="0"/>
              <w:ind w:left="0"/>
              <w:jc w:val="center"/>
              <w:rPr>
                <w:rFonts w:cs="Arial"/>
              </w:rPr>
            </w:pPr>
            <w:r w:rsidRPr="007A177A">
              <w:rPr>
                <w:rFonts w:cs="Arial"/>
              </w:rPr>
              <w:t>5</w:t>
            </w:r>
          </w:p>
        </w:tc>
        <w:tc>
          <w:tcPr>
            <w:tcW w:w="1984" w:type="dxa"/>
            <w:tcBorders>
              <w:bottom w:val="single" w:sz="4" w:space="0" w:color="auto"/>
            </w:tcBorders>
            <w:shd w:val="clear" w:color="auto" w:fill="auto"/>
          </w:tcPr>
          <w:p w14:paraId="5468C680" w14:textId="77777777" w:rsidR="006A5AE3" w:rsidRPr="007A177A" w:rsidRDefault="006A5AE3" w:rsidP="00BF333B">
            <w:pPr>
              <w:pStyle w:val="Continuarlista2"/>
              <w:spacing w:after="0"/>
              <w:ind w:left="0"/>
              <w:jc w:val="center"/>
              <w:rPr>
                <w:rFonts w:cs="Arial"/>
              </w:rPr>
            </w:pPr>
            <w:r w:rsidRPr="007A177A">
              <w:rPr>
                <w:rFonts w:cs="Arial"/>
              </w:rPr>
              <w:t>10/01/80</w:t>
            </w:r>
          </w:p>
        </w:tc>
        <w:tc>
          <w:tcPr>
            <w:tcW w:w="1276" w:type="dxa"/>
            <w:tcBorders>
              <w:bottom w:val="single" w:sz="4" w:space="0" w:color="auto"/>
            </w:tcBorders>
            <w:shd w:val="clear" w:color="auto" w:fill="auto"/>
          </w:tcPr>
          <w:p w14:paraId="529408FF" w14:textId="77777777" w:rsidR="006A5AE3" w:rsidRPr="007A177A" w:rsidRDefault="006A5AE3" w:rsidP="00BF333B">
            <w:pPr>
              <w:pStyle w:val="Continuarlista2"/>
              <w:spacing w:after="0"/>
              <w:ind w:left="0"/>
              <w:jc w:val="center"/>
              <w:rPr>
                <w:rFonts w:cs="Arial"/>
              </w:rPr>
            </w:pPr>
            <w:r w:rsidRPr="007A177A">
              <w:rPr>
                <w:rFonts w:cs="Arial"/>
              </w:rPr>
              <w:t>15/02/79</w:t>
            </w:r>
          </w:p>
        </w:tc>
        <w:tc>
          <w:tcPr>
            <w:tcW w:w="1701" w:type="dxa"/>
            <w:tcBorders>
              <w:bottom w:val="single" w:sz="4" w:space="0" w:color="auto"/>
            </w:tcBorders>
            <w:shd w:val="clear" w:color="auto" w:fill="auto"/>
          </w:tcPr>
          <w:p w14:paraId="1429F914" w14:textId="77777777" w:rsidR="006A5AE3" w:rsidRPr="007A177A" w:rsidRDefault="006A5AE3" w:rsidP="00BF333B">
            <w:pPr>
              <w:pStyle w:val="Continuarlista2"/>
              <w:spacing w:after="0"/>
              <w:ind w:left="0"/>
              <w:jc w:val="right"/>
              <w:rPr>
                <w:rFonts w:cs="Arial"/>
              </w:rPr>
            </w:pPr>
            <w:r w:rsidRPr="007A177A">
              <w:rPr>
                <w:rFonts w:cs="Arial"/>
              </w:rPr>
              <w:t>1.011</w:t>
            </w:r>
          </w:p>
        </w:tc>
      </w:tr>
      <w:tr w:rsidR="004A485F" w:rsidRPr="007A177A" w14:paraId="4DF7DB2F" w14:textId="77777777" w:rsidTr="000E279A">
        <w:tc>
          <w:tcPr>
            <w:tcW w:w="617" w:type="dxa"/>
            <w:tcBorders>
              <w:top w:val="single" w:sz="4" w:space="0" w:color="auto"/>
              <w:left w:val="single" w:sz="4" w:space="0" w:color="auto"/>
              <w:bottom w:val="single" w:sz="4" w:space="0" w:color="auto"/>
            </w:tcBorders>
            <w:shd w:val="clear" w:color="auto" w:fill="auto"/>
          </w:tcPr>
          <w:p w14:paraId="5E7405C9" w14:textId="77777777" w:rsidR="004A485F" w:rsidRPr="007A177A" w:rsidRDefault="004A485F" w:rsidP="00BF333B">
            <w:pPr>
              <w:pStyle w:val="Continuarlista2"/>
              <w:spacing w:after="0"/>
              <w:ind w:left="0"/>
              <w:rPr>
                <w:rFonts w:cs="Arial"/>
              </w:rPr>
            </w:pPr>
          </w:p>
        </w:tc>
        <w:tc>
          <w:tcPr>
            <w:tcW w:w="1759" w:type="dxa"/>
            <w:tcBorders>
              <w:top w:val="single" w:sz="4" w:space="0" w:color="auto"/>
              <w:bottom w:val="single" w:sz="4" w:space="0" w:color="auto"/>
            </w:tcBorders>
            <w:shd w:val="clear" w:color="auto" w:fill="auto"/>
          </w:tcPr>
          <w:p w14:paraId="240EE79B" w14:textId="77777777" w:rsidR="004A485F" w:rsidRPr="007A177A" w:rsidRDefault="004A485F" w:rsidP="00BF333B">
            <w:pPr>
              <w:pStyle w:val="Continuarlista2"/>
              <w:spacing w:after="0"/>
              <w:ind w:left="0"/>
              <w:jc w:val="center"/>
              <w:rPr>
                <w:rFonts w:cs="Arial"/>
                <w:b/>
                <w:bCs/>
              </w:rPr>
            </w:pPr>
            <w:r w:rsidRPr="007A177A">
              <w:rPr>
                <w:rFonts w:cs="Arial"/>
                <w:b/>
                <w:bCs/>
              </w:rPr>
              <w:t>Total</w:t>
            </w:r>
          </w:p>
        </w:tc>
        <w:tc>
          <w:tcPr>
            <w:tcW w:w="1560" w:type="dxa"/>
            <w:tcBorders>
              <w:top w:val="single" w:sz="4" w:space="0" w:color="auto"/>
              <w:bottom w:val="single" w:sz="4" w:space="0" w:color="auto"/>
            </w:tcBorders>
            <w:shd w:val="clear" w:color="auto" w:fill="auto"/>
          </w:tcPr>
          <w:p w14:paraId="6AD7FB40" w14:textId="77777777" w:rsidR="004A485F" w:rsidRPr="007A177A" w:rsidRDefault="004A485F" w:rsidP="00BF333B">
            <w:pPr>
              <w:pStyle w:val="Continuarlista2"/>
              <w:spacing w:after="0"/>
              <w:ind w:left="0"/>
              <w:rPr>
                <w:rFonts w:cs="Arial"/>
              </w:rPr>
            </w:pPr>
          </w:p>
        </w:tc>
        <w:tc>
          <w:tcPr>
            <w:tcW w:w="1984" w:type="dxa"/>
            <w:tcBorders>
              <w:top w:val="single" w:sz="4" w:space="0" w:color="auto"/>
              <w:bottom w:val="single" w:sz="4" w:space="0" w:color="auto"/>
            </w:tcBorders>
            <w:shd w:val="clear" w:color="auto" w:fill="auto"/>
          </w:tcPr>
          <w:p w14:paraId="7ACEAD33" w14:textId="77777777" w:rsidR="004A485F" w:rsidRPr="007A177A" w:rsidRDefault="004A485F" w:rsidP="00BF333B">
            <w:pPr>
              <w:pStyle w:val="Continuarlista2"/>
              <w:spacing w:after="0"/>
              <w:ind w:left="0"/>
              <w:rPr>
                <w:rFonts w:cs="Arial"/>
              </w:rPr>
            </w:pPr>
          </w:p>
        </w:tc>
        <w:tc>
          <w:tcPr>
            <w:tcW w:w="1276" w:type="dxa"/>
            <w:tcBorders>
              <w:top w:val="single" w:sz="4" w:space="0" w:color="auto"/>
              <w:bottom w:val="single" w:sz="4" w:space="0" w:color="auto"/>
            </w:tcBorders>
            <w:shd w:val="clear" w:color="auto" w:fill="auto"/>
          </w:tcPr>
          <w:p w14:paraId="65D76D8B" w14:textId="77777777" w:rsidR="004A485F" w:rsidRPr="007A177A" w:rsidRDefault="004A485F" w:rsidP="00BF333B">
            <w:pPr>
              <w:pStyle w:val="Continuarlista2"/>
              <w:spacing w:after="0"/>
              <w:ind w:left="0"/>
              <w:jc w:val="center"/>
              <w:rPr>
                <w:rFonts w:cs="Arial"/>
              </w:rPr>
            </w:pPr>
          </w:p>
        </w:tc>
        <w:tc>
          <w:tcPr>
            <w:tcW w:w="1701" w:type="dxa"/>
            <w:tcBorders>
              <w:top w:val="single" w:sz="4" w:space="0" w:color="auto"/>
              <w:bottom w:val="single" w:sz="4" w:space="0" w:color="auto"/>
              <w:right w:val="single" w:sz="4" w:space="0" w:color="auto"/>
            </w:tcBorders>
            <w:shd w:val="clear" w:color="auto" w:fill="auto"/>
          </w:tcPr>
          <w:p w14:paraId="14925C9E" w14:textId="77777777" w:rsidR="004A485F" w:rsidRPr="007A177A" w:rsidRDefault="004A485F" w:rsidP="00BF333B">
            <w:pPr>
              <w:pStyle w:val="Continuarlista2"/>
              <w:spacing w:after="0"/>
              <w:ind w:left="0"/>
              <w:jc w:val="right"/>
              <w:rPr>
                <w:rFonts w:cs="Arial"/>
              </w:rPr>
            </w:pPr>
            <w:r w:rsidRPr="007A177A">
              <w:rPr>
                <w:rFonts w:cs="Arial"/>
              </w:rPr>
              <w:t>$3</w:t>
            </w:r>
            <w:r w:rsidR="00122692" w:rsidRPr="007A177A">
              <w:rPr>
                <w:rFonts w:cs="Arial"/>
              </w:rPr>
              <w:t>80.420</w:t>
            </w:r>
          </w:p>
        </w:tc>
      </w:tr>
    </w:tbl>
    <w:p w14:paraId="38A08659" w14:textId="77777777" w:rsidR="006A5AE3" w:rsidRPr="007A177A" w:rsidRDefault="006A5AE3" w:rsidP="00BF333B">
      <w:pPr>
        <w:pStyle w:val="Continuarlista2"/>
        <w:spacing w:after="0"/>
        <w:ind w:left="0"/>
        <w:rPr>
          <w:rFonts w:cs="Arial"/>
        </w:rPr>
      </w:pPr>
    </w:p>
    <w:p w14:paraId="014EC9DF" w14:textId="77777777" w:rsidR="00734EC1" w:rsidRPr="007A177A" w:rsidRDefault="0037208E" w:rsidP="00BF333B">
      <w:pPr>
        <w:spacing w:line="360" w:lineRule="auto"/>
        <w:ind w:right="51"/>
        <w:jc w:val="both"/>
        <w:rPr>
          <w:rFonts w:ascii="Arial" w:hAnsi="Arial" w:cs="Arial"/>
          <w:iCs/>
        </w:rPr>
      </w:pPr>
      <w:r w:rsidRPr="007A177A">
        <w:rPr>
          <w:rFonts w:ascii="Arial" w:hAnsi="Arial" w:cs="Arial"/>
        </w:rPr>
        <w:t>Sin embargo, este valor adeudado</w:t>
      </w:r>
      <w:r w:rsidR="00D35CFD" w:rsidRPr="007A177A">
        <w:rPr>
          <w:rFonts w:ascii="Arial" w:hAnsi="Arial" w:cs="Arial"/>
        </w:rPr>
        <w:t xml:space="preserve"> </w:t>
      </w:r>
      <w:r w:rsidRPr="007A177A">
        <w:rPr>
          <w:rFonts w:ascii="Arial" w:hAnsi="Arial" w:cs="Arial"/>
        </w:rPr>
        <w:t>resulta inferior al del anticipo</w:t>
      </w:r>
      <w:r w:rsidR="00D35CFD" w:rsidRPr="007A177A">
        <w:rPr>
          <w:rFonts w:ascii="Arial" w:hAnsi="Arial" w:cs="Arial"/>
        </w:rPr>
        <w:t xml:space="preserve"> q</w:t>
      </w:r>
      <w:r w:rsidRPr="007A177A">
        <w:rPr>
          <w:rFonts w:ascii="Arial" w:hAnsi="Arial" w:cs="Arial"/>
        </w:rPr>
        <w:t xml:space="preserve">ue el contratista quedó </w:t>
      </w:r>
      <w:r w:rsidR="006B6584" w:rsidRPr="007A177A">
        <w:rPr>
          <w:rFonts w:ascii="Arial" w:hAnsi="Arial" w:cs="Arial"/>
        </w:rPr>
        <w:t xml:space="preserve">pendiente de amortizar a la fecha de </w:t>
      </w:r>
      <w:r w:rsidRPr="007A177A">
        <w:rPr>
          <w:rFonts w:ascii="Arial" w:hAnsi="Arial" w:cs="Arial"/>
        </w:rPr>
        <w:t>la liquidación</w:t>
      </w:r>
      <w:r w:rsidR="006B6584" w:rsidRPr="007A177A">
        <w:rPr>
          <w:rFonts w:ascii="Arial" w:hAnsi="Arial" w:cs="Arial"/>
        </w:rPr>
        <w:t xml:space="preserve">, equivalente a </w:t>
      </w:r>
      <w:r w:rsidRPr="007A177A">
        <w:rPr>
          <w:rFonts w:ascii="Arial" w:hAnsi="Arial" w:cs="Arial"/>
        </w:rPr>
        <w:t xml:space="preserve">la suma de </w:t>
      </w:r>
      <w:r w:rsidRPr="007A177A">
        <w:rPr>
          <w:rFonts w:ascii="Arial" w:hAnsi="Arial" w:cs="Arial"/>
          <w:iCs/>
        </w:rPr>
        <w:t>$3’305.089,82</w:t>
      </w:r>
      <w:r w:rsidR="007E6388" w:rsidRPr="007A177A">
        <w:rPr>
          <w:rFonts w:ascii="Arial" w:hAnsi="Arial" w:cs="Arial"/>
          <w:iCs/>
        </w:rPr>
        <w:t xml:space="preserve"> (ambos valores sin actualizar)</w:t>
      </w:r>
      <w:r w:rsidR="00D35CFD" w:rsidRPr="007A177A">
        <w:rPr>
          <w:rFonts w:ascii="Arial" w:hAnsi="Arial" w:cs="Arial"/>
          <w:iCs/>
        </w:rPr>
        <w:t>.</w:t>
      </w:r>
    </w:p>
    <w:p w14:paraId="46A312B4" w14:textId="77777777" w:rsidR="00D35CFD" w:rsidRPr="007A177A" w:rsidRDefault="00D35CFD" w:rsidP="00BF333B">
      <w:pPr>
        <w:spacing w:line="360" w:lineRule="auto"/>
        <w:ind w:right="51"/>
        <w:jc w:val="both"/>
        <w:rPr>
          <w:rFonts w:ascii="Arial" w:hAnsi="Arial" w:cs="Arial"/>
          <w:iCs/>
        </w:rPr>
      </w:pPr>
    </w:p>
    <w:p w14:paraId="7911610D" w14:textId="77777777" w:rsidR="003E336A" w:rsidRPr="007A177A" w:rsidRDefault="00D35CFD" w:rsidP="00BF333B">
      <w:pPr>
        <w:spacing w:line="360" w:lineRule="auto"/>
        <w:ind w:right="51"/>
        <w:jc w:val="both"/>
        <w:rPr>
          <w:rFonts w:ascii="Arial" w:hAnsi="Arial" w:cs="Arial"/>
          <w:b/>
          <w:bCs/>
          <w:shd w:val="clear" w:color="auto" w:fill="FFFFFF"/>
        </w:rPr>
      </w:pPr>
      <w:r w:rsidRPr="007A177A">
        <w:rPr>
          <w:rFonts w:ascii="Arial" w:hAnsi="Arial" w:cs="Arial"/>
          <w:iCs/>
        </w:rPr>
        <w:t xml:space="preserve">No debe olvidarse que a la liquidación del contrato las sumas recíprocas adeudadas deben ser compensadas para establecer el saldo final a cargo de una de las partes, por virtud de la ley, </w:t>
      </w:r>
      <w:r w:rsidR="00734EC1" w:rsidRPr="007A177A">
        <w:rPr>
          <w:rFonts w:ascii="Arial" w:hAnsi="Arial" w:cs="Arial"/>
          <w:iCs/>
        </w:rPr>
        <w:t>por tratarse de obligaciones exigibles</w:t>
      </w:r>
      <w:r w:rsidR="005F6B06" w:rsidRPr="007A177A">
        <w:rPr>
          <w:rFonts w:ascii="Arial" w:hAnsi="Arial" w:cs="Arial"/>
          <w:iCs/>
        </w:rPr>
        <w:t>,</w:t>
      </w:r>
      <w:r w:rsidRPr="007A177A">
        <w:rPr>
          <w:rFonts w:ascii="Arial" w:hAnsi="Arial" w:cs="Arial"/>
          <w:iCs/>
        </w:rPr>
        <w:t xml:space="preserve"> </w:t>
      </w:r>
      <w:r w:rsidR="007E6388" w:rsidRPr="007A177A">
        <w:rPr>
          <w:rFonts w:ascii="Arial" w:hAnsi="Arial" w:cs="Arial"/>
          <w:iCs/>
        </w:rPr>
        <w:t xml:space="preserve">con </w:t>
      </w:r>
      <w:r w:rsidRPr="007A177A">
        <w:rPr>
          <w:rFonts w:ascii="Arial" w:hAnsi="Arial" w:cs="Arial"/>
          <w:iCs/>
        </w:rPr>
        <w:t>independencia de que la excepción de compensación s</w:t>
      </w:r>
      <w:r w:rsidR="00734EC1" w:rsidRPr="007A177A">
        <w:rPr>
          <w:rFonts w:ascii="Arial" w:hAnsi="Arial" w:cs="Arial"/>
          <w:iCs/>
        </w:rPr>
        <w:t>e haya propuesto o no en el proceso</w:t>
      </w:r>
      <w:r w:rsidR="00B457F0" w:rsidRPr="007A177A">
        <w:rPr>
          <w:rFonts w:ascii="Arial" w:hAnsi="Arial" w:cs="Arial"/>
          <w:iCs/>
        </w:rPr>
        <w:t xml:space="preserve"> jud</w:t>
      </w:r>
      <w:r w:rsidR="007B66B2" w:rsidRPr="007A177A">
        <w:rPr>
          <w:rFonts w:ascii="Arial" w:hAnsi="Arial" w:cs="Arial"/>
          <w:iCs/>
        </w:rPr>
        <w:t>i</w:t>
      </w:r>
      <w:r w:rsidR="00B457F0" w:rsidRPr="007A177A">
        <w:rPr>
          <w:rFonts w:ascii="Arial" w:hAnsi="Arial" w:cs="Arial"/>
          <w:iCs/>
        </w:rPr>
        <w:t>cial</w:t>
      </w:r>
      <w:r w:rsidR="00734EC1" w:rsidRPr="007A177A">
        <w:rPr>
          <w:rFonts w:ascii="Arial" w:hAnsi="Arial" w:cs="Arial"/>
          <w:iCs/>
        </w:rPr>
        <w:t>.</w:t>
      </w:r>
    </w:p>
    <w:p w14:paraId="2AC516FA" w14:textId="77777777" w:rsidR="003E336A" w:rsidRPr="007A177A" w:rsidRDefault="003E336A" w:rsidP="00BF333B">
      <w:pPr>
        <w:pStyle w:val="Textoindependiente31"/>
        <w:rPr>
          <w:rFonts w:cs="Arial"/>
          <w:b/>
          <w:bCs/>
          <w:szCs w:val="24"/>
          <w:shd w:val="clear" w:color="auto" w:fill="FFFFFF"/>
        </w:rPr>
      </w:pPr>
    </w:p>
    <w:p w14:paraId="660F33FC" w14:textId="77777777" w:rsidR="0060654F" w:rsidRPr="007A177A" w:rsidRDefault="007C3FD9" w:rsidP="00BF333B">
      <w:pPr>
        <w:pStyle w:val="Textoindependiente31"/>
        <w:rPr>
          <w:rFonts w:cs="Arial"/>
          <w:b/>
          <w:bCs/>
          <w:szCs w:val="24"/>
          <w:shd w:val="clear" w:color="auto" w:fill="FFFFFF"/>
        </w:rPr>
      </w:pPr>
      <w:r w:rsidRPr="007A177A">
        <w:rPr>
          <w:rFonts w:cs="Arial"/>
          <w:b/>
          <w:bCs/>
          <w:szCs w:val="24"/>
          <w:shd w:val="clear" w:color="auto" w:fill="FFFFFF"/>
        </w:rPr>
        <w:t>9</w:t>
      </w:r>
      <w:r w:rsidR="00D0439B" w:rsidRPr="007A177A">
        <w:rPr>
          <w:rFonts w:cs="Arial"/>
          <w:b/>
          <w:bCs/>
          <w:szCs w:val="24"/>
          <w:shd w:val="clear" w:color="auto" w:fill="FFFFFF"/>
        </w:rPr>
        <w:t xml:space="preserve">.6. </w:t>
      </w:r>
      <w:r w:rsidR="00B457F0" w:rsidRPr="007A177A">
        <w:rPr>
          <w:rFonts w:cs="Arial"/>
          <w:b/>
          <w:bCs/>
          <w:szCs w:val="24"/>
          <w:shd w:val="clear" w:color="auto" w:fill="FFFFFF"/>
        </w:rPr>
        <w:t>I</w:t>
      </w:r>
      <w:r w:rsidR="0060654F" w:rsidRPr="007A177A">
        <w:rPr>
          <w:rFonts w:cs="Arial"/>
          <w:b/>
          <w:bCs/>
          <w:szCs w:val="24"/>
          <w:shd w:val="clear" w:color="auto" w:fill="FFFFFF"/>
        </w:rPr>
        <w:t xml:space="preserve">mputación de los pagos </w:t>
      </w:r>
    </w:p>
    <w:p w14:paraId="704A291B" w14:textId="77777777" w:rsidR="0060654F" w:rsidRPr="007A177A" w:rsidRDefault="0060654F" w:rsidP="00BF333B">
      <w:pPr>
        <w:pStyle w:val="Textoindependiente31"/>
        <w:rPr>
          <w:rFonts w:cs="Arial"/>
          <w:szCs w:val="24"/>
          <w:shd w:val="clear" w:color="auto" w:fill="FFFFFF"/>
        </w:rPr>
      </w:pPr>
    </w:p>
    <w:p w14:paraId="6817D37D" w14:textId="77777777" w:rsidR="0060654F" w:rsidRPr="007A177A" w:rsidRDefault="0060654F" w:rsidP="00BF333B">
      <w:pPr>
        <w:pStyle w:val="Textoindependiente31"/>
        <w:rPr>
          <w:rFonts w:cs="Arial"/>
          <w:szCs w:val="24"/>
        </w:rPr>
      </w:pPr>
      <w:r w:rsidRPr="007A177A">
        <w:rPr>
          <w:rFonts w:cs="Arial"/>
          <w:szCs w:val="24"/>
        </w:rPr>
        <w:t>En relación con la imputación de los pagos</w:t>
      </w:r>
      <w:r w:rsidR="007E6388" w:rsidRPr="007A177A">
        <w:rPr>
          <w:rFonts w:cs="Arial"/>
          <w:szCs w:val="24"/>
        </w:rPr>
        <w:t xml:space="preserve"> -</w:t>
      </w:r>
      <w:r w:rsidR="007E6388" w:rsidRPr="007A177A">
        <w:rPr>
          <w:rFonts w:cs="Arial"/>
          <w:i/>
          <w:szCs w:val="24"/>
        </w:rPr>
        <w:t>primero a intereses y luego a capital</w:t>
      </w:r>
      <w:r w:rsidR="007E6388" w:rsidRPr="007A177A">
        <w:rPr>
          <w:rFonts w:cs="Arial"/>
          <w:szCs w:val="24"/>
        </w:rPr>
        <w:t>-</w:t>
      </w:r>
      <w:r w:rsidRPr="007A177A">
        <w:rPr>
          <w:rFonts w:cs="Arial"/>
          <w:szCs w:val="24"/>
        </w:rPr>
        <w:t>, vale la pena precisar que no era aplicable el artículo 1653 del Código Civil</w:t>
      </w:r>
      <w:r w:rsidRPr="007A177A">
        <w:rPr>
          <w:rStyle w:val="Refdenotaalpie"/>
          <w:rFonts w:cs="Arial"/>
          <w:szCs w:val="24"/>
        </w:rPr>
        <w:footnoteReference w:id="117"/>
      </w:r>
      <w:r w:rsidRPr="007A177A">
        <w:rPr>
          <w:rFonts w:cs="Arial"/>
          <w:szCs w:val="24"/>
        </w:rPr>
        <w:t>, teniendo en cuenta que</w:t>
      </w:r>
      <w:r w:rsidR="00FF7EA0" w:rsidRPr="007A177A">
        <w:rPr>
          <w:rFonts w:cs="Arial"/>
          <w:szCs w:val="24"/>
        </w:rPr>
        <w:t>,</w:t>
      </w:r>
      <w:r w:rsidRPr="007A177A">
        <w:rPr>
          <w:rFonts w:cs="Arial"/>
          <w:szCs w:val="24"/>
        </w:rPr>
        <w:t xml:space="preserve"> una vez recibidos los </w:t>
      </w:r>
      <w:r w:rsidR="007C3FD9" w:rsidRPr="007A177A">
        <w:rPr>
          <w:rFonts w:cs="Arial"/>
          <w:szCs w:val="24"/>
        </w:rPr>
        <w:t>valores indicados en las actas</w:t>
      </w:r>
      <w:r w:rsidR="0046431E" w:rsidRPr="007A177A">
        <w:rPr>
          <w:rFonts w:cs="Arial"/>
          <w:szCs w:val="24"/>
        </w:rPr>
        <w:t xml:space="preserve"> de obra</w:t>
      </w:r>
      <w:r w:rsidR="007C3FD9" w:rsidRPr="007A177A">
        <w:rPr>
          <w:rFonts w:cs="Arial"/>
          <w:szCs w:val="24"/>
        </w:rPr>
        <w:t xml:space="preserve">, </w:t>
      </w:r>
      <w:r w:rsidR="00FE4AC5" w:rsidRPr="007A177A">
        <w:rPr>
          <w:rFonts w:cs="Arial"/>
          <w:szCs w:val="24"/>
        </w:rPr>
        <w:t>en 1979</w:t>
      </w:r>
      <w:r w:rsidRPr="007A177A">
        <w:rPr>
          <w:rFonts w:cs="Arial"/>
          <w:szCs w:val="24"/>
        </w:rPr>
        <w:t xml:space="preserve">, </w:t>
      </w:r>
      <w:r w:rsidR="007C3FD9" w:rsidRPr="007A177A">
        <w:rPr>
          <w:rFonts w:cs="Arial"/>
          <w:szCs w:val="24"/>
        </w:rPr>
        <w:t>el</w:t>
      </w:r>
      <w:r w:rsidRPr="007A177A">
        <w:rPr>
          <w:rFonts w:cs="Arial"/>
          <w:szCs w:val="24"/>
        </w:rPr>
        <w:t xml:space="preserve"> contratista continuó presentando </w:t>
      </w:r>
      <w:r w:rsidR="007C3FD9" w:rsidRPr="007A177A">
        <w:rPr>
          <w:rFonts w:cs="Arial"/>
          <w:szCs w:val="24"/>
        </w:rPr>
        <w:t xml:space="preserve">otras </w:t>
      </w:r>
      <w:r w:rsidRPr="007A177A">
        <w:rPr>
          <w:rFonts w:cs="Arial"/>
          <w:szCs w:val="24"/>
        </w:rPr>
        <w:t xml:space="preserve">actas de obra y recibiendo pagos sin reclamar la </w:t>
      </w:r>
      <w:r w:rsidR="00734EC1" w:rsidRPr="007A177A">
        <w:rPr>
          <w:rFonts w:cs="Arial"/>
          <w:szCs w:val="24"/>
        </w:rPr>
        <w:t xml:space="preserve">supuesta </w:t>
      </w:r>
      <w:r w:rsidR="005068DB" w:rsidRPr="007A177A">
        <w:rPr>
          <w:rFonts w:cs="Arial"/>
          <w:szCs w:val="24"/>
        </w:rPr>
        <w:t>acreencia por el capital insoluto</w:t>
      </w:r>
      <w:r w:rsidR="007C3FD9" w:rsidRPr="007A177A">
        <w:rPr>
          <w:rFonts w:cs="Arial"/>
          <w:szCs w:val="24"/>
        </w:rPr>
        <w:t xml:space="preserve">. </w:t>
      </w:r>
    </w:p>
    <w:p w14:paraId="6570E62D" w14:textId="77777777" w:rsidR="0060654F" w:rsidRPr="007A177A" w:rsidRDefault="0060654F" w:rsidP="00BF333B">
      <w:pPr>
        <w:spacing w:line="360" w:lineRule="auto"/>
        <w:jc w:val="both"/>
        <w:rPr>
          <w:rFonts w:ascii="Arial" w:hAnsi="Arial" w:cs="Arial"/>
          <w:bCs/>
          <w:lang w:val="es-MX"/>
        </w:rPr>
      </w:pPr>
    </w:p>
    <w:p w14:paraId="373B42A9" w14:textId="77777777" w:rsidR="007C3FD9" w:rsidRPr="007A177A" w:rsidRDefault="00FE4AC5" w:rsidP="00BF333B">
      <w:pPr>
        <w:spacing w:line="360" w:lineRule="auto"/>
        <w:jc w:val="both"/>
        <w:rPr>
          <w:rFonts w:ascii="Arial" w:hAnsi="Arial" w:cs="Arial"/>
          <w:bCs/>
          <w:lang w:val="es-MX"/>
        </w:rPr>
      </w:pPr>
      <w:r w:rsidRPr="007A177A">
        <w:rPr>
          <w:rFonts w:ascii="Arial" w:hAnsi="Arial" w:cs="Arial"/>
          <w:bCs/>
          <w:lang w:val="es-MX"/>
        </w:rPr>
        <w:t>Además, n</w:t>
      </w:r>
      <w:r w:rsidR="0037208E" w:rsidRPr="007A177A">
        <w:rPr>
          <w:rFonts w:ascii="Arial" w:hAnsi="Arial" w:cs="Arial"/>
          <w:bCs/>
          <w:lang w:val="es-MX"/>
        </w:rPr>
        <w:t xml:space="preserve">o debe </w:t>
      </w:r>
      <w:r w:rsidR="00D359A0" w:rsidRPr="007A177A">
        <w:rPr>
          <w:rFonts w:ascii="Arial" w:hAnsi="Arial" w:cs="Arial"/>
          <w:bCs/>
          <w:lang w:val="es-MX"/>
        </w:rPr>
        <w:t xml:space="preserve">ignorarse </w:t>
      </w:r>
      <w:r w:rsidR="0037208E" w:rsidRPr="007A177A">
        <w:rPr>
          <w:rFonts w:ascii="Arial" w:hAnsi="Arial" w:cs="Arial"/>
          <w:bCs/>
          <w:lang w:val="es-MX"/>
        </w:rPr>
        <w:t>que</w:t>
      </w:r>
      <w:r w:rsidR="00FF7EA0" w:rsidRPr="007A177A">
        <w:rPr>
          <w:rFonts w:ascii="Arial" w:hAnsi="Arial" w:cs="Arial"/>
          <w:bCs/>
          <w:lang w:val="es-MX"/>
        </w:rPr>
        <w:t>,</w:t>
      </w:r>
      <w:r w:rsidR="0037208E" w:rsidRPr="007A177A">
        <w:rPr>
          <w:rFonts w:ascii="Arial" w:hAnsi="Arial" w:cs="Arial"/>
          <w:bCs/>
          <w:lang w:val="es-MX"/>
        </w:rPr>
        <w:t xml:space="preserve"> </w:t>
      </w:r>
      <w:r w:rsidR="007C3FD9" w:rsidRPr="007A177A">
        <w:rPr>
          <w:rFonts w:ascii="Arial" w:hAnsi="Arial" w:cs="Arial"/>
          <w:bCs/>
          <w:lang w:val="es-MX"/>
        </w:rPr>
        <w:t xml:space="preserve">en 1981, al término del contrato, </w:t>
      </w:r>
      <w:r w:rsidR="0037208E" w:rsidRPr="007A177A">
        <w:rPr>
          <w:rFonts w:ascii="Arial" w:hAnsi="Arial" w:cs="Arial"/>
          <w:bCs/>
          <w:lang w:val="es-MX"/>
        </w:rPr>
        <w:t xml:space="preserve">el contratista </w:t>
      </w:r>
      <w:r w:rsidR="00734EC1" w:rsidRPr="007A177A">
        <w:rPr>
          <w:rFonts w:ascii="Arial" w:hAnsi="Arial" w:cs="Arial"/>
          <w:bCs/>
          <w:lang w:val="es-MX"/>
        </w:rPr>
        <w:t xml:space="preserve">incumplió </w:t>
      </w:r>
      <w:r w:rsidR="0037208E" w:rsidRPr="007A177A">
        <w:rPr>
          <w:rFonts w:ascii="Arial" w:hAnsi="Arial" w:cs="Arial"/>
          <w:bCs/>
          <w:lang w:val="es-MX"/>
        </w:rPr>
        <w:t>la entrega a satisfacción de la obra y que, como indicó el dictamen, solo realizó el 77</w:t>
      </w:r>
      <w:r w:rsidR="00B457F0" w:rsidRPr="007A177A">
        <w:rPr>
          <w:rFonts w:ascii="Arial" w:hAnsi="Arial" w:cs="Arial"/>
          <w:bCs/>
          <w:lang w:val="es-MX"/>
        </w:rPr>
        <w:t>,8</w:t>
      </w:r>
      <w:r w:rsidR="0037208E" w:rsidRPr="007A177A">
        <w:rPr>
          <w:rFonts w:ascii="Arial" w:hAnsi="Arial" w:cs="Arial"/>
          <w:bCs/>
          <w:lang w:val="es-MX"/>
        </w:rPr>
        <w:t>% del monto que se obligó a ejecutar</w:t>
      </w:r>
      <w:r w:rsidRPr="007A177A">
        <w:rPr>
          <w:rFonts w:ascii="Arial" w:hAnsi="Arial" w:cs="Arial"/>
          <w:bCs/>
          <w:lang w:val="es-MX"/>
        </w:rPr>
        <w:t xml:space="preserve">, de manera que </w:t>
      </w:r>
      <w:r w:rsidR="007C3FD9" w:rsidRPr="007A177A">
        <w:rPr>
          <w:rFonts w:ascii="Arial" w:hAnsi="Arial" w:cs="Arial"/>
          <w:bCs/>
          <w:lang w:val="es-MX"/>
        </w:rPr>
        <w:t xml:space="preserve">para la liquidación de perjuicios que se realizó por el Tribunal </w:t>
      </w:r>
      <w:r w:rsidR="007C3FD9" w:rsidRPr="007A177A">
        <w:rPr>
          <w:rFonts w:ascii="Arial" w:hAnsi="Arial" w:cs="Arial"/>
          <w:bCs/>
          <w:i/>
          <w:lang w:val="es-MX"/>
        </w:rPr>
        <w:t>a quo</w:t>
      </w:r>
      <w:r w:rsidR="007C3FD9" w:rsidRPr="007A177A">
        <w:rPr>
          <w:rFonts w:ascii="Arial" w:hAnsi="Arial" w:cs="Arial"/>
          <w:bCs/>
          <w:lang w:val="es-MX"/>
        </w:rPr>
        <w:t xml:space="preserve"> era </w:t>
      </w:r>
      <w:r w:rsidRPr="007A177A">
        <w:rPr>
          <w:rFonts w:ascii="Arial" w:hAnsi="Arial" w:cs="Arial"/>
          <w:bCs/>
          <w:lang w:val="es-MX"/>
        </w:rPr>
        <w:t>improcedente considerarlo como un contratista cumplido</w:t>
      </w:r>
      <w:r w:rsidR="007C3FD9" w:rsidRPr="007A177A">
        <w:rPr>
          <w:rFonts w:ascii="Arial" w:hAnsi="Arial" w:cs="Arial"/>
          <w:bCs/>
          <w:lang w:val="es-MX"/>
        </w:rPr>
        <w:t>.</w:t>
      </w:r>
    </w:p>
    <w:p w14:paraId="77791FF6" w14:textId="77777777" w:rsidR="007C3FD9" w:rsidRPr="007A177A" w:rsidRDefault="007C3FD9" w:rsidP="00BF333B">
      <w:pPr>
        <w:spacing w:line="360" w:lineRule="auto"/>
        <w:jc w:val="both"/>
        <w:rPr>
          <w:rFonts w:ascii="Arial" w:hAnsi="Arial" w:cs="Arial"/>
          <w:bCs/>
          <w:lang w:val="es-MX"/>
        </w:rPr>
      </w:pPr>
    </w:p>
    <w:p w14:paraId="7CCC2703" w14:textId="77777777" w:rsidR="00FE4AC5" w:rsidRPr="007A177A" w:rsidRDefault="0046431E" w:rsidP="00BF333B">
      <w:pPr>
        <w:spacing w:line="360" w:lineRule="auto"/>
        <w:jc w:val="both"/>
        <w:rPr>
          <w:rFonts w:ascii="Arial" w:hAnsi="Arial" w:cs="Arial"/>
          <w:bCs/>
          <w:lang w:val="es-MX"/>
        </w:rPr>
      </w:pPr>
      <w:r w:rsidRPr="007A177A">
        <w:rPr>
          <w:rFonts w:ascii="Arial" w:hAnsi="Arial" w:cs="Arial"/>
          <w:bCs/>
          <w:lang w:val="es-MX"/>
        </w:rPr>
        <w:t xml:space="preserve">La </w:t>
      </w:r>
      <w:r w:rsidR="007C3FD9" w:rsidRPr="007A177A">
        <w:rPr>
          <w:rFonts w:ascii="Arial" w:hAnsi="Arial" w:cs="Arial"/>
          <w:bCs/>
          <w:lang w:val="es-MX"/>
        </w:rPr>
        <w:t xml:space="preserve">falta de análisis de las pruebas llevó a liquidar los </w:t>
      </w:r>
      <w:r w:rsidR="00DF76F9" w:rsidRPr="007A177A">
        <w:rPr>
          <w:rFonts w:ascii="Arial" w:hAnsi="Arial" w:cs="Arial"/>
          <w:bCs/>
          <w:lang w:val="es-MX"/>
        </w:rPr>
        <w:t xml:space="preserve">perjuicios </w:t>
      </w:r>
      <w:r w:rsidR="007C3FD9" w:rsidRPr="007A177A">
        <w:rPr>
          <w:rFonts w:ascii="Arial" w:hAnsi="Arial" w:cs="Arial"/>
          <w:bCs/>
          <w:lang w:val="es-MX"/>
        </w:rPr>
        <w:t xml:space="preserve">bajo las </w:t>
      </w:r>
      <w:r w:rsidR="00DF76F9" w:rsidRPr="007A177A">
        <w:rPr>
          <w:rFonts w:ascii="Arial" w:hAnsi="Arial" w:cs="Arial"/>
          <w:bCs/>
          <w:lang w:val="es-MX"/>
        </w:rPr>
        <w:t xml:space="preserve">fórmulas de liquidación de intereses a tasas moratorias, </w:t>
      </w:r>
      <w:r w:rsidR="00FE4AC5" w:rsidRPr="007A177A">
        <w:rPr>
          <w:rFonts w:ascii="Arial" w:hAnsi="Arial" w:cs="Arial"/>
          <w:bCs/>
          <w:lang w:val="es-MX"/>
        </w:rPr>
        <w:t>-</w:t>
      </w:r>
      <w:r w:rsidR="00FE4AC5" w:rsidRPr="007A177A">
        <w:rPr>
          <w:rFonts w:ascii="Arial" w:hAnsi="Arial" w:cs="Arial"/>
          <w:bCs/>
          <w:i/>
          <w:lang w:val="es-MX"/>
        </w:rPr>
        <w:t>durante 20 años, más lo</w:t>
      </w:r>
      <w:r w:rsidR="007C3FD9" w:rsidRPr="007A177A">
        <w:rPr>
          <w:rFonts w:ascii="Arial" w:hAnsi="Arial" w:cs="Arial"/>
          <w:bCs/>
          <w:i/>
          <w:lang w:val="es-MX"/>
        </w:rPr>
        <w:t>s</w:t>
      </w:r>
      <w:r w:rsidR="00FE4AC5" w:rsidRPr="007A177A">
        <w:rPr>
          <w:rFonts w:ascii="Arial" w:hAnsi="Arial" w:cs="Arial"/>
          <w:bCs/>
          <w:i/>
          <w:lang w:val="es-MX"/>
        </w:rPr>
        <w:t xml:space="preserve"> que </w:t>
      </w:r>
      <w:r w:rsidR="007C3FD9" w:rsidRPr="007A177A">
        <w:rPr>
          <w:rFonts w:ascii="Arial" w:hAnsi="Arial" w:cs="Arial"/>
          <w:bCs/>
          <w:i/>
          <w:lang w:val="es-MX"/>
        </w:rPr>
        <w:t xml:space="preserve">llevaba </w:t>
      </w:r>
      <w:r w:rsidR="00FE4AC5" w:rsidRPr="007A177A">
        <w:rPr>
          <w:rFonts w:ascii="Arial" w:hAnsi="Arial" w:cs="Arial"/>
          <w:bCs/>
          <w:i/>
          <w:lang w:val="es-MX"/>
        </w:rPr>
        <w:t xml:space="preserve">el </w:t>
      </w:r>
      <w:r w:rsidR="007C3FD9" w:rsidRPr="007A177A">
        <w:rPr>
          <w:rFonts w:ascii="Arial" w:hAnsi="Arial" w:cs="Arial"/>
          <w:bCs/>
          <w:i/>
          <w:lang w:val="es-MX"/>
        </w:rPr>
        <w:t>proceso en curso</w:t>
      </w:r>
      <w:r w:rsidR="00FE4AC5" w:rsidRPr="007A177A">
        <w:rPr>
          <w:rFonts w:ascii="Arial" w:hAnsi="Arial" w:cs="Arial"/>
          <w:bCs/>
          <w:lang w:val="es-MX"/>
        </w:rPr>
        <w:t xml:space="preserve">- </w:t>
      </w:r>
      <w:r w:rsidRPr="007A177A">
        <w:rPr>
          <w:rFonts w:ascii="Arial" w:hAnsi="Arial" w:cs="Arial"/>
          <w:bCs/>
          <w:lang w:val="es-MX"/>
        </w:rPr>
        <w:t xml:space="preserve">de manera equivocada, </w:t>
      </w:r>
      <w:r w:rsidR="00FE4AC5" w:rsidRPr="007A177A">
        <w:rPr>
          <w:rFonts w:ascii="Arial" w:hAnsi="Arial" w:cs="Arial"/>
          <w:bCs/>
          <w:lang w:val="es-MX"/>
        </w:rPr>
        <w:t xml:space="preserve">toda vez que la situación de mora no era predicable, además de que </w:t>
      </w:r>
      <w:r w:rsidRPr="007A177A">
        <w:rPr>
          <w:rFonts w:ascii="Arial" w:hAnsi="Arial" w:cs="Arial"/>
          <w:bCs/>
          <w:lang w:val="es-MX"/>
        </w:rPr>
        <w:t xml:space="preserve">se pasó por alto que </w:t>
      </w:r>
      <w:r w:rsidR="00DF76F9" w:rsidRPr="007A177A">
        <w:rPr>
          <w:rFonts w:ascii="Arial" w:hAnsi="Arial" w:cs="Arial"/>
          <w:bCs/>
          <w:lang w:val="es-MX"/>
        </w:rPr>
        <w:t xml:space="preserve">la demandante </w:t>
      </w:r>
      <w:r w:rsidR="00FE4AC5" w:rsidRPr="007A177A">
        <w:rPr>
          <w:rFonts w:ascii="Arial" w:hAnsi="Arial" w:cs="Arial"/>
          <w:bCs/>
          <w:lang w:val="es-MX"/>
        </w:rPr>
        <w:t xml:space="preserve">no requirió al contratante para el pago de intereses de mora en ningún momento anterior a la demanda. </w:t>
      </w:r>
    </w:p>
    <w:p w14:paraId="3F0187AA" w14:textId="77777777" w:rsidR="00734EC1" w:rsidRPr="007A177A" w:rsidRDefault="00734EC1" w:rsidP="00BF333B">
      <w:pPr>
        <w:spacing w:line="360" w:lineRule="auto"/>
        <w:jc w:val="both"/>
        <w:rPr>
          <w:rFonts w:ascii="Arial" w:hAnsi="Arial" w:cs="Arial"/>
          <w:bCs/>
          <w:lang w:val="es-MX"/>
        </w:rPr>
      </w:pPr>
    </w:p>
    <w:p w14:paraId="38BE5C0D" w14:textId="77777777" w:rsidR="007E315E" w:rsidRPr="007A177A" w:rsidRDefault="007C3FD9" w:rsidP="00BF333B">
      <w:pPr>
        <w:jc w:val="both"/>
        <w:rPr>
          <w:rFonts w:ascii="Arial" w:hAnsi="Arial" w:cs="Arial"/>
          <w:b/>
          <w:lang w:val="es-MX"/>
        </w:rPr>
      </w:pPr>
      <w:r w:rsidRPr="007A177A">
        <w:rPr>
          <w:rFonts w:ascii="Arial" w:hAnsi="Arial" w:cs="Arial"/>
          <w:b/>
          <w:lang w:val="es-MX"/>
        </w:rPr>
        <w:t>9</w:t>
      </w:r>
      <w:r w:rsidR="00D0439B" w:rsidRPr="007A177A">
        <w:rPr>
          <w:rFonts w:ascii="Arial" w:hAnsi="Arial" w:cs="Arial"/>
          <w:b/>
          <w:lang w:val="es-MX"/>
        </w:rPr>
        <w:t>.7.</w:t>
      </w:r>
      <w:r w:rsidR="007E315E" w:rsidRPr="007A177A">
        <w:rPr>
          <w:rFonts w:ascii="Arial" w:hAnsi="Arial" w:cs="Arial"/>
          <w:b/>
          <w:lang w:val="es-MX"/>
        </w:rPr>
        <w:t xml:space="preserve"> No existió prueba de que se hubiera presentado el supuesto </w:t>
      </w:r>
      <w:r w:rsidR="007221DE" w:rsidRPr="007A177A">
        <w:rPr>
          <w:rFonts w:ascii="Arial" w:hAnsi="Arial" w:cs="Arial"/>
          <w:b/>
          <w:lang w:val="es-MX"/>
        </w:rPr>
        <w:t xml:space="preserve">incumplimiento </w:t>
      </w:r>
      <w:r w:rsidR="007E315E" w:rsidRPr="007A177A">
        <w:rPr>
          <w:rFonts w:ascii="Arial" w:hAnsi="Arial" w:cs="Arial"/>
          <w:b/>
          <w:lang w:val="es-MX"/>
        </w:rPr>
        <w:t>de la obligación de fijar nuevos precios para obra no prevista</w:t>
      </w:r>
    </w:p>
    <w:p w14:paraId="79DE29A6" w14:textId="77777777" w:rsidR="00230BDA" w:rsidRPr="007A177A" w:rsidRDefault="00230BDA" w:rsidP="00BF333B">
      <w:pPr>
        <w:pStyle w:val="Lista2"/>
        <w:ind w:left="0" w:firstLine="0"/>
        <w:rPr>
          <w:rFonts w:cs="Arial"/>
        </w:rPr>
      </w:pPr>
    </w:p>
    <w:p w14:paraId="5AF0B7B8" w14:textId="77777777" w:rsidR="00230BDA" w:rsidRPr="007A177A" w:rsidRDefault="00230BDA" w:rsidP="00BF333B">
      <w:pPr>
        <w:pStyle w:val="Lista2"/>
        <w:ind w:left="0" w:firstLine="0"/>
        <w:rPr>
          <w:rFonts w:cs="Arial"/>
        </w:rPr>
      </w:pPr>
      <w:r w:rsidRPr="007A177A">
        <w:rPr>
          <w:rFonts w:cs="Arial"/>
        </w:rPr>
        <w:t>Vale la pena</w:t>
      </w:r>
      <w:r w:rsidR="00D244D6" w:rsidRPr="007A177A">
        <w:rPr>
          <w:rFonts w:cs="Arial"/>
        </w:rPr>
        <w:t>r</w:t>
      </w:r>
      <w:r w:rsidRPr="007A177A">
        <w:rPr>
          <w:rFonts w:cs="Arial"/>
        </w:rPr>
        <w:t xml:space="preserve"> </w:t>
      </w:r>
      <w:r w:rsidR="007221DE" w:rsidRPr="007A177A">
        <w:rPr>
          <w:rFonts w:cs="Arial"/>
        </w:rPr>
        <w:t xml:space="preserve">agregar a lo ya expuesto </w:t>
      </w:r>
      <w:r w:rsidRPr="007A177A">
        <w:rPr>
          <w:rFonts w:cs="Arial"/>
        </w:rPr>
        <w:t>que la sentencia de primera instancia no tuvo en cuenta la</w:t>
      </w:r>
      <w:r w:rsidR="00734EC1" w:rsidRPr="007A177A">
        <w:rPr>
          <w:rFonts w:cs="Arial"/>
        </w:rPr>
        <w:t xml:space="preserve"> inexistencia de</w:t>
      </w:r>
      <w:r w:rsidR="00DF76F9" w:rsidRPr="007A177A">
        <w:rPr>
          <w:rFonts w:cs="Arial"/>
        </w:rPr>
        <w:t>l</w:t>
      </w:r>
      <w:r w:rsidR="00734EC1" w:rsidRPr="007A177A">
        <w:rPr>
          <w:rFonts w:cs="Arial"/>
        </w:rPr>
        <w:t xml:space="preserve"> acuerdo sobre los </w:t>
      </w:r>
      <w:r w:rsidR="00A15CF3" w:rsidRPr="007A177A">
        <w:rPr>
          <w:rFonts w:cs="Arial"/>
        </w:rPr>
        <w:t xml:space="preserve">precios de la excavación en roca que pretendió </w:t>
      </w:r>
      <w:r w:rsidR="00DF76F9" w:rsidRPr="007A177A">
        <w:rPr>
          <w:rFonts w:cs="Arial"/>
        </w:rPr>
        <w:t>el</w:t>
      </w:r>
      <w:r w:rsidR="00A15CF3" w:rsidRPr="007A177A">
        <w:rPr>
          <w:rFonts w:cs="Arial"/>
        </w:rPr>
        <w:t xml:space="preserve"> contratista</w:t>
      </w:r>
      <w:r w:rsidR="00021636" w:rsidRPr="007A177A">
        <w:rPr>
          <w:rFonts w:cs="Arial"/>
        </w:rPr>
        <w:t>,</w:t>
      </w:r>
      <w:r w:rsidR="00A15CF3" w:rsidRPr="007A177A">
        <w:rPr>
          <w:rFonts w:cs="Arial"/>
        </w:rPr>
        <w:t xml:space="preserve"> </w:t>
      </w:r>
      <w:r w:rsidR="00DF76F9" w:rsidRPr="007A177A">
        <w:rPr>
          <w:rFonts w:cs="Arial"/>
        </w:rPr>
        <w:t>ni</w:t>
      </w:r>
      <w:r w:rsidR="00A15CF3" w:rsidRPr="007A177A">
        <w:rPr>
          <w:rFonts w:cs="Arial"/>
        </w:rPr>
        <w:t xml:space="preserve"> las razones por la cuales le fue denegada</w:t>
      </w:r>
      <w:r w:rsidR="00E34F36" w:rsidRPr="007A177A">
        <w:rPr>
          <w:rFonts w:cs="Arial"/>
        </w:rPr>
        <w:t xml:space="preserve"> su petición en ese sentido</w:t>
      </w:r>
      <w:r w:rsidR="007221DE" w:rsidRPr="007A177A">
        <w:rPr>
          <w:rFonts w:cs="Arial"/>
        </w:rPr>
        <w:t>.</w:t>
      </w:r>
      <w:r w:rsidR="00A15CF3" w:rsidRPr="007A177A">
        <w:rPr>
          <w:rFonts w:cs="Arial"/>
        </w:rPr>
        <w:t xml:space="preserve"> </w:t>
      </w:r>
    </w:p>
    <w:p w14:paraId="5FC4F5C5" w14:textId="77777777" w:rsidR="003C376D" w:rsidRPr="007A177A" w:rsidRDefault="003C376D" w:rsidP="00BF333B">
      <w:pPr>
        <w:pStyle w:val="Lista2"/>
        <w:ind w:left="0" w:firstLine="0"/>
        <w:rPr>
          <w:rFonts w:cs="Arial"/>
        </w:rPr>
      </w:pPr>
    </w:p>
    <w:p w14:paraId="22155DEF" w14:textId="77777777" w:rsidR="00097F36" w:rsidRPr="007A177A" w:rsidRDefault="007C3FD9" w:rsidP="00BF333B">
      <w:pPr>
        <w:pStyle w:val="Lista2"/>
        <w:ind w:left="0" w:firstLine="0"/>
        <w:rPr>
          <w:rFonts w:cs="Arial"/>
          <w:lang w:val="es-CO" w:eastAsia="ar-SA"/>
        </w:rPr>
      </w:pPr>
      <w:r w:rsidRPr="007A177A">
        <w:rPr>
          <w:rFonts w:cs="Arial"/>
          <w:b/>
          <w:bCs/>
        </w:rPr>
        <w:t>9</w:t>
      </w:r>
      <w:r w:rsidR="00D0439B" w:rsidRPr="007A177A">
        <w:rPr>
          <w:rFonts w:cs="Arial"/>
          <w:b/>
          <w:bCs/>
        </w:rPr>
        <w:t>.7.1.</w:t>
      </w:r>
      <w:r w:rsidR="007221DE" w:rsidRPr="007A177A">
        <w:rPr>
          <w:rFonts w:cs="Arial"/>
        </w:rPr>
        <w:t xml:space="preserve"> </w:t>
      </w:r>
      <w:r w:rsidR="00097F36" w:rsidRPr="007A177A">
        <w:rPr>
          <w:rFonts w:cs="Arial"/>
        </w:rPr>
        <w:t>En primer lugar</w:t>
      </w:r>
      <w:r w:rsidR="007221DE" w:rsidRPr="007A177A">
        <w:rPr>
          <w:rFonts w:cs="Arial"/>
        </w:rPr>
        <w:t>,</w:t>
      </w:r>
      <w:r w:rsidR="00097F36" w:rsidRPr="007A177A">
        <w:rPr>
          <w:rFonts w:cs="Arial"/>
        </w:rPr>
        <w:t xml:space="preserve"> se </w:t>
      </w:r>
      <w:r w:rsidR="007221DE" w:rsidRPr="007A177A">
        <w:rPr>
          <w:rFonts w:cs="Arial"/>
        </w:rPr>
        <w:t xml:space="preserve">reseña </w:t>
      </w:r>
      <w:r w:rsidR="00097F36" w:rsidRPr="007A177A">
        <w:rPr>
          <w:rFonts w:cs="Arial"/>
        </w:rPr>
        <w:t>que la parte contratista, al presentar su propuesta</w:t>
      </w:r>
      <w:r w:rsidR="00676FD0" w:rsidRPr="007A177A">
        <w:rPr>
          <w:rFonts w:cs="Arial"/>
        </w:rPr>
        <w:t>,</w:t>
      </w:r>
      <w:r w:rsidR="00097F36" w:rsidRPr="007A177A">
        <w:rPr>
          <w:rFonts w:cs="Arial"/>
        </w:rPr>
        <w:t xml:space="preserve"> destacó su conocimiento de la</w:t>
      </w:r>
      <w:r w:rsidR="00770CBE" w:rsidRPr="007A177A">
        <w:rPr>
          <w:rFonts w:cs="Arial"/>
        </w:rPr>
        <w:t>s fuentes de materiales</w:t>
      </w:r>
      <w:r w:rsidR="00676FD0" w:rsidRPr="007A177A">
        <w:rPr>
          <w:rFonts w:cs="Arial"/>
        </w:rPr>
        <w:t>,</w:t>
      </w:r>
      <w:r w:rsidR="00770CBE" w:rsidRPr="007A177A">
        <w:rPr>
          <w:rFonts w:cs="Arial"/>
        </w:rPr>
        <w:t xml:space="preserve"> </w:t>
      </w:r>
      <w:r w:rsidR="00676FD0" w:rsidRPr="007A177A">
        <w:rPr>
          <w:rFonts w:cs="Arial"/>
        </w:rPr>
        <w:t>en los</w:t>
      </w:r>
      <w:r w:rsidR="00770CBE" w:rsidRPr="007A177A">
        <w:rPr>
          <w:rFonts w:cs="Arial"/>
        </w:rPr>
        <w:t xml:space="preserve"> siguiente</w:t>
      </w:r>
      <w:r w:rsidR="00676FD0" w:rsidRPr="007A177A">
        <w:rPr>
          <w:rFonts w:cs="Arial"/>
        </w:rPr>
        <w:t>s términos</w:t>
      </w:r>
      <w:r w:rsidR="00097F36" w:rsidRPr="007A177A">
        <w:rPr>
          <w:rFonts w:cs="Arial"/>
          <w:lang w:val="es-CO" w:eastAsia="ar-SA"/>
        </w:rPr>
        <w:t xml:space="preserve"> (se transcribe de forma literal):</w:t>
      </w:r>
    </w:p>
    <w:p w14:paraId="28C16BB9" w14:textId="77777777" w:rsidR="00097F36" w:rsidRPr="007A177A" w:rsidRDefault="00097F36" w:rsidP="00BF333B">
      <w:pPr>
        <w:pStyle w:val="Sangradetextonormal"/>
        <w:spacing w:line="360" w:lineRule="auto"/>
        <w:jc w:val="both"/>
        <w:rPr>
          <w:rFonts w:cs="Arial"/>
          <w:szCs w:val="24"/>
          <w:lang w:val="es-CO" w:eastAsia="ar-SA"/>
        </w:rPr>
      </w:pPr>
    </w:p>
    <w:p w14:paraId="1F4E6024" w14:textId="77777777" w:rsidR="00097F36" w:rsidRPr="007A177A" w:rsidRDefault="00097F36" w:rsidP="00BF333B">
      <w:pPr>
        <w:pStyle w:val="Sangradetextonormal"/>
        <w:ind w:left="567" w:right="902" w:firstLine="0"/>
        <w:jc w:val="both"/>
        <w:rPr>
          <w:rFonts w:cs="Arial"/>
          <w:i/>
          <w:szCs w:val="24"/>
          <w:lang w:val="es-CO" w:eastAsia="ar-SA"/>
        </w:rPr>
      </w:pPr>
      <w:r w:rsidRPr="007A177A">
        <w:rPr>
          <w:rFonts w:cs="Arial"/>
          <w:i/>
          <w:szCs w:val="24"/>
          <w:lang w:val="es-CO" w:eastAsia="ar-SA"/>
        </w:rPr>
        <w:t xml:space="preserve">“Se visitaron las fuentes de materiales descritas en el pliego de condiciones, Es de anotar que, nuestra empresa, Conic Ltda, en la construcción de la Avenida Santander en Cartagena explotó directamente la cantera de Bayunca, de propiedad de Don Adolfo Luna y también una cantera de Turbaco, por consiguiente conocemos </w:t>
      </w:r>
      <w:r w:rsidRPr="007A177A">
        <w:rPr>
          <w:rFonts w:cs="Arial"/>
          <w:i/>
          <w:szCs w:val="24"/>
          <w:lang w:val="es-CO" w:eastAsia="ar-SA"/>
        </w:rPr>
        <w:lastRenderedPageBreak/>
        <w:t>suficiente las características de los principales materiales de la región”</w:t>
      </w:r>
      <w:r w:rsidRPr="007A177A">
        <w:rPr>
          <w:rStyle w:val="Refdenotaalpie"/>
          <w:rFonts w:cs="Arial"/>
          <w:i/>
          <w:szCs w:val="24"/>
          <w:lang w:val="es-CO" w:eastAsia="ar-SA"/>
        </w:rPr>
        <w:footnoteReference w:id="118"/>
      </w:r>
      <w:r w:rsidR="009A6A03" w:rsidRPr="007A177A">
        <w:rPr>
          <w:rFonts w:cs="Arial"/>
          <w:i/>
          <w:szCs w:val="24"/>
          <w:lang w:val="es-CO" w:eastAsia="ar-SA"/>
        </w:rPr>
        <w:t>.</w:t>
      </w:r>
    </w:p>
    <w:p w14:paraId="33D6186E" w14:textId="77777777" w:rsidR="00097F36" w:rsidRPr="007A177A" w:rsidRDefault="00097F36" w:rsidP="00BF333B">
      <w:pPr>
        <w:pStyle w:val="Sangradetextonormal"/>
        <w:spacing w:line="360" w:lineRule="auto"/>
        <w:jc w:val="both"/>
        <w:rPr>
          <w:rFonts w:cs="Arial"/>
          <w:szCs w:val="24"/>
          <w:lang w:val="es-CO" w:eastAsia="ar-SA"/>
        </w:rPr>
      </w:pPr>
    </w:p>
    <w:p w14:paraId="3773F560" w14:textId="77777777" w:rsidR="00097F36" w:rsidRPr="007A177A" w:rsidRDefault="00097F36" w:rsidP="00BF333B">
      <w:pPr>
        <w:pStyle w:val="Sangradetextonormal"/>
        <w:spacing w:line="360" w:lineRule="auto"/>
        <w:jc w:val="both"/>
        <w:rPr>
          <w:rFonts w:cs="Arial"/>
          <w:szCs w:val="24"/>
          <w:lang w:val="es-CO" w:eastAsia="ar-SA"/>
        </w:rPr>
      </w:pPr>
      <w:r w:rsidRPr="007A177A">
        <w:rPr>
          <w:rFonts w:cs="Arial"/>
          <w:szCs w:val="24"/>
          <w:lang w:val="es-CO" w:eastAsia="ar-SA"/>
        </w:rPr>
        <w:t>En el cronograma de actividades anexo a la propuesta se indicó:</w:t>
      </w:r>
    </w:p>
    <w:p w14:paraId="76992D4D" w14:textId="77777777" w:rsidR="00097F36" w:rsidRPr="007A177A" w:rsidRDefault="00097F36" w:rsidP="00BF333B">
      <w:pPr>
        <w:pStyle w:val="Sangradetextonormal"/>
        <w:spacing w:line="360" w:lineRule="auto"/>
        <w:jc w:val="both"/>
        <w:rPr>
          <w:rFonts w:cs="Arial"/>
          <w:szCs w:val="24"/>
          <w:lang w:val="es-CO" w:eastAsia="ar-SA"/>
        </w:rPr>
      </w:pPr>
    </w:p>
    <w:p w14:paraId="6D6BE379" w14:textId="77777777" w:rsidR="00097F36" w:rsidRPr="007A177A" w:rsidRDefault="00097F36" w:rsidP="00BF333B">
      <w:pPr>
        <w:pStyle w:val="Sangradetextonormal"/>
        <w:spacing w:line="276" w:lineRule="auto"/>
        <w:ind w:left="567" w:right="902" w:firstLine="0"/>
        <w:jc w:val="both"/>
        <w:rPr>
          <w:rFonts w:cs="Arial"/>
          <w:i/>
          <w:szCs w:val="24"/>
          <w:lang w:val="es-CO" w:eastAsia="ar-SA"/>
        </w:rPr>
      </w:pPr>
      <w:r w:rsidRPr="007A177A">
        <w:rPr>
          <w:rFonts w:cs="Arial"/>
          <w:i/>
          <w:szCs w:val="24"/>
          <w:lang w:val="es-CO" w:eastAsia="ar-SA"/>
        </w:rPr>
        <w:t>“Al iniciar trabajos en el K 13 + 600, nos facilita el empleo de la principal fuente de materiales, para sub-base, base y pavimento, que es la de Bayunca, Ahorramos también distancia de acarreos”</w:t>
      </w:r>
      <w:r w:rsidRPr="007A177A">
        <w:rPr>
          <w:rStyle w:val="Refdenotaalpie"/>
          <w:rFonts w:cs="Arial"/>
          <w:i/>
          <w:szCs w:val="24"/>
          <w:lang w:val="es-CO" w:eastAsia="ar-SA"/>
        </w:rPr>
        <w:footnoteReference w:id="119"/>
      </w:r>
      <w:r w:rsidRPr="007A177A">
        <w:rPr>
          <w:rFonts w:cs="Arial"/>
          <w:i/>
          <w:szCs w:val="24"/>
          <w:lang w:val="es-CO" w:eastAsia="ar-SA"/>
        </w:rPr>
        <w:t>-</w:t>
      </w:r>
    </w:p>
    <w:p w14:paraId="7EF1ABB6" w14:textId="77777777" w:rsidR="00097F36" w:rsidRPr="007A177A" w:rsidRDefault="00097F36" w:rsidP="00BF333B">
      <w:pPr>
        <w:pStyle w:val="Sangradetextonormal"/>
        <w:spacing w:line="360" w:lineRule="auto"/>
        <w:ind w:left="567" w:right="902" w:firstLine="0"/>
        <w:jc w:val="both"/>
        <w:rPr>
          <w:rFonts w:cs="Arial"/>
          <w:szCs w:val="24"/>
          <w:lang w:val="es-CO" w:eastAsia="ar-SA"/>
        </w:rPr>
      </w:pPr>
    </w:p>
    <w:p w14:paraId="18555E0E" w14:textId="77777777" w:rsidR="00695F39" w:rsidRPr="007A177A" w:rsidRDefault="008D2D78" w:rsidP="00BF333B">
      <w:pPr>
        <w:pStyle w:val="Lista2"/>
        <w:ind w:left="0" w:firstLine="0"/>
        <w:rPr>
          <w:rFonts w:cs="Arial"/>
        </w:rPr>
      </w:pPr>
      <w:r w:rsidRPr="007A177A">
        <w:rPr>
          <w:rFonts w:cs="Arial"/>
        </w:rPr>
        <w:t xml:space="preserve">Esta afirmación excluye la </w:t>
      </w:r>
      <w:r w:rsidR="00DC4EAA" w:rsidRPr="007A177A">
        <w:rPr>
          <w:rFonts w:cs="Arial"/>
        </w:rPr>
        <w:t xml:space="preserve">existencia de hechos imprevisibles para </w:t>
      </w:r>
      <w:r w:rsidR="0046431E" w:rsidRPr="007A177A">
        <w:rPr>
          <w:rFonts w:cs="Arial"/>
        </w:rPr>
        <w:t xml:space="preserve">el </w:t>
      </w:r>
      <w:r w:rsidR="00DC4EAA" w:rsidRPr="007A177A">
        <w:rPr>
          <w:rFonts w:cs="Arial"/>
        </w:rPr>
        <w:t>contratista, por razón de</w:t>
      </w:r>
      <w:r w:rsidR="0046431E" w:rsidRPr="007A177A">
        <w:rPr>
          <w:rFonts w:cs="Arial"/>
        </w:rPr>
        <w:t xml:space="preserve"> su</w:t>
      </w:r>
      <w:r w:rsidR="00DC4EAA" w:rsidRPr="007A177A">
        <w:rPr>
          <w:rFonts w:cs="Arial"/>
        </w:rPr>
        <w:t xml:space="preserve"> conocimiento de la zona</w:t>
      </w:r>
      <w:r w:rsidR="00695F39" w:rsidRPr="007A177A">
        <w:rPr>
          <w:rFonts w:cs="Arial"/>
        </w:rPr>
        <w:t xml:space="preserve">, </w:t>
      </w:r>
      <w:r w:rsidR="00DC4EAA" w:rsidRPr="007A177A">
        <w:rPr>
          <w:rFonts w:cs="Arial"/>
        </w:rPr>
        <w:t xml:space="preserve">si se agrega que las fuentes de materiales alternas </w:t>
      </w:r>
      <w:r w:rsidR="007221DE" w:rsidRPr="007A177A">
        <w:rPr>
          <w:rFonts w:cs="Arial"/>
        </w:rPr>
        <w:t>que tuvieron que ser utilizadas</w:t>
      </w:r>
      <w:r w:rsidR="00E34F36" w:rsidRPr="007A177A">
        <w:rPr>
          <w:rFonts w:cs="Arial"/>
        </w:rPr>
        <w:t xml:space="preserve"> para los terraplenes</w:t>
      </w:r>
      <w:r w:rsidR="007221DE" w:rsidRPr="007A177A">
        <w:rPr>
          <w:rFonts w:cs="Arial"/>
        </w:rPr>
        <w:t xml:space="preserve"> </w:t>
      </w:r>
      <w:r w:rsidR="00DC4EAA" w:rsidRPr="007A177A">
        <w:rPr>
          <w:rFonts w:cs="Arial"/>
        </w:rPr>
        <w:t xml:space="preserve">estaban previstas en los pliegos </w:t>
      </w:r>
      <w:r w:rsidR="00695F39" w:rsidRPr="007A177A">
        <w:rPr>
          <w:rFonts w:cs="Arial"/>
        </w:rPr>
        <w:t xml:space="preserve">de condiciones. </w:t>
      </w:r>
    </w:p>
    <w:p w14:paraId="1E05F928" w14:textId="77777777" w:rsidR="00B32065" w:rsidRPr="007A177A" w:rsidRDefault="00B32065" w:rsidP="00BF333B">
      <w:pPr>
        <w:pStyle w:val="Lista2"/>
        <w:ind w:left="0" w:firstLine="0"/>
        <w:rPr>
          <w:rFonts w:cs="Arial"/>
        </w:rPr>
      </w:pPr>
    </w:p>
    <w:p w14:paraId="6634449A" w14:textId="77777777" w:rsidR="00230BDA" w:rsidRPr="007A177A" w:rsidRDefault="007C3FD9" w:rsidP="00BF333B">
      <w:pPr>
        <w:pStyle w:val="Lista2"/>
        <w:ind w:left="0" w:firstLine="0"/>
        <w:rPr>
          <w:rFonts w:cs="Arial"/>
        </w:rPr>
      </w:pPr>
      <w:r w:rsidRPr="007A177A">
        <w:rPr>
          <w:rFonts w:cs="Arial"/>
          <w:b/>
          <w:bCs/>
        </w:rPr>
        <w:t>9</w:t>
      </w:r>
      <w:r w:rsidR="00D0439B" w:rsidRPr="007A177A">
        <w:rPr>
          <w:rFonts w:cs="Arial"/>
          <w:b/>
          <w:bCs/>
        </w:rPr>
        <w:t xml:space="preserve">.7.2. </w:t>
      </w:r>
      <w:r w:rsidR="00695F39" w:rsidRPr="007A177A">
        <w:rPr>
          <w:rFonts w:cs="Arial"/>
        </w:rPr>
        <w:t>Se observa que</w:t>
      </w:r>
      <w:r w:rsidR="009A6A03" w:rsidRPr="007A177A">
        <w:rPr>
          <w:rFonts w:cs="Arial"/>
        </w:rPr>
        <w:t>,</w:t>
      </w:r>
      <w:r w:rsidR="00695F39" w:rsidRPr="007A177A">
        <w:rPr>
          <w:rFonts w:cs="Arial"/>
        </w:rPr>
        <w:t xml:space="preserve"> u</w:t>
      </w:r>
      <w:r w:rsidR="00A15CF3" w:rsidRPr="007A177A">
        <w:rPr>
          <w:rFonts w:cs="Arial"/>
        </w:rPr>
        <w:t>na vez iniciado el contrato, mediante c</w:t>
      </w:r>
      <w:r w:rsidR="00230BDA" w:rsidRPr="007A177A">
        <w:rPr>
          <w:rFonts w:cs="Arial"/>
        </w:rPr>
        <w:t>omunicación No. 057 de 17 de octubre de 1978</w:t>
      </w:r>
      <w:r w:rsidR="009A6A03" w:rsidRPr="007A177A">
        <w:rPr>
          <w:rFonts w:cs="Arial"/>
        </w:rPr>
        <w:t>,</w:t>
      </w:r>
      <w:r w:rsidR="00230BDA" w:rsidRPr="007A177A">
        <w:rPr>
          <w:rFonts w:cs="Arial"/>
        </w:rPr>
        <w:t xml:space="preserve"> el contratista solicitó la </w:t>
      </w:r>
      <w:r w:rsidR="00770CBE" w:rsidRPr="007A177A">
        <w:rPr>
          <w:rFonts w:cs="Arial"/>
        </w:rPr>
        <w:t>reclasifi</w:t>
      </w:r>
      <w:r w:rsidR="00230BDA" w:rsidRPr="007A177A">
        <w:rPr>
          <w:rFonts w:cs="Arial"/>
        </w:rPr>
        <w:t xml:space="preserve">cación de las excavaciones, de acuerdo con las </w:t>
      </w:r>
      <w:proofErr w:type="spellStart"/>
      <w:r w:rsidR="00230BDA" w:rsidRPr="007A177A">
        <w:rPr>
          <w:rFonts w:cs="Arial"/>
        </w:rPr>
        <w:t>preactas</w:t>
      </w:r>
      <w:proofErr w:type="spellEnd"/>
      <w:r w:rsidR="00230BDA" w:rsidRPr="007A177A">
        <w:rPr>
          <w:rFonts w:cs="Arial"/>
        </w:rPr>
        <w:t xml:space="preserve"> 1, 2 y 3. </w:t>
      </w:r>
    </w:p>
    <w:p w14:paraId="7E38B650" w14:textId="77777777" w:rsidR="00230BDA" w:rsidRPr="007A177A" w:rsidRDefault="00230BDA" w:rsidP="00BF333B">
      <w:pPr>
        <w:rPr>
          <w:rFonts w:ascii="Arial" w:hAnsi="Arial" w:cs="Arial"/>
        </w:rPr>
      </w:pPr>
    </w:p>
    <w:p w14:paraId="60B70A41" w14:textId="77777777" w:rsidR="00E8533A" w:rsidRPr="007A177A" w:rsidRDefault="007C3FD9" w:rsidP="00BF333B">
      <w:pPr>
        <w:pStyle w:val="Lista2"/>
        <w:ind w:left="0" w:firstLine="0"/>
        <w:rPr>
          <w:rFonts w:cs="Arial"/>
        </w:rPr>
      </w:pPr>
      <w:r w:rsidRPr="007A177A">
        <w:rPr>
          <w:rFonts w:cs="Arial"/>
          <w:b/>
          <w:bCs/>
        </w:rPr>
        <w:t>9</w:t>
      </w:r>
      <w:r w:rsidR="00D0439B" w:rsidRPr="007A177A">
        <w:rPr>
          <w:rFonts w:cs="Arial"/>
          <w:b/>
          <w:bCs/>
        </w:rPr>
        <w:t xml:space="preserve">.7.3. </w:t>
      </w:r>
      <w:r w:rsidR="00E8533A" w:rsidRPr="007A177A">
        <w:rPr>
          <w:rFonts w:cs="Arial"/>
        </w:rPr>
        <w:t>Obra en el expediente el Oficio No. 067 de 15 de noviembre de 1978</w:t>
      </w:r>
      <w:r w:rsidR="006F391F" w:rsidRPr="007A177A">
        <w:rPr>
          <w:rFonts w:cs="Arial"/>
        </w:rPr>
        <w:t>,</w:t>
      </w:r>
      <w:r w:rsidR="00E8533A" w:rsidRPr="007A177A">
        <w:rPr>
          <w:rFonts w:cs="Arial"/>
        </w:rPr>
        <w:t xml:space="preserve"> en el que el ingeniero de la interventoría </w:t>
      </w:r>
      <w:r w:rsidR="00695F39" w:rsidRPr="007A177A">
        <w:rPr>
          <w:rFonts w:cs="Arial"/>
        </w:rPr>
        <w:t>rechazó e</w:t>
      </w:r>
      <w:r w:rsidR="007221DE" w:rsidRPr="007A177A">
        <w:rPr>
          <w:rFonts w:cs="Arial"/>
        </w:rPr>
        <w:t xml:space="preserve">l </w:t>
      </w:r>
      <w:r w:rsidR="00695F39" w:rsidRPr="007A177A">
        <w:rPr>
          <w:rFonts w:cs="Arial"/>
        </w:rPr>
        <w:t xml:space="preserve">contenido de las </w:t>
      </w:r>
      <w:proofErr w:type="spellStart"/>
      <w:r w:rsidR="00E8533A" w:rsidRPr="007A177A">
        <w:rPr>
          <w:rFonts w:cs="Arial"/>
        </w:rPr>
        <w:t>preactas</w:t>
      </w:r>
      <w:proofErr w:type="spellEnd"/>
      <w:r w:rsidR="00E8533A" w:rsidRPr="007A177A">
        <w:rPr>
          <w:rFonts w:cs="Arial"/>
        </w:rPr>
        <w:t xml:space="preserve"> 1, 2 y 3 </w:t>
      </w:r>
      <w:r w:rsidR="00695F39" w:rsidRPr="007A177A">
        <w:rPr>
          <w:rFonts w:cs="Arial"/>
        </w:rPr>
        <w:t xml:space="preserve">y le indicó </w:t>
      </w:r>
      <w:r w:rsidR="00E8533A" w:rsidRPr="007A177A">
        <w:rPr>
          <w:rFonts w:cs="Arial"/>
        </w:rPr>
        <w:t>que no deb</w:t>
      </w:r>
      <w:r w:rsidR="00695F39" w:rsidRPr="007A177A">
        <w:rPr>
          <w:rFonts w:cs="Arial"/>
        </w:rPr>
        <w:t xml:space="preserve">ían </w:t>
      </w:r>
      <w:r w:rsidR="00E8533A" w:rsidRPr="007A177A">
        <w:rPr>
          <w:rFonts w:cs="Arial"/>
        </w:rPr>
        <w:t xml:space="preserve">incluir </w:t>
      </w:r>
      <w:r w:rsidR="00E8533A" w:rsidRPr="007A177A">
        <w:rPr>
          <w:rFonts w:cs="Arial"/>
          <w:i/>
          <w:iCs/>
        </w:rPr>
        <w:t xml:space="preserve">“EXCAVACIONES EN ROCA” </w:t>
      </w:r>
      <w:r w:rsidR="00E8533A" w:rsidRPr="007A177A">
        <w:rPr>
          <w:rFonts w:cs="Arial"/>
        </w:rPr>
        <w:t>hasta que se t</w:t>
      </w:r>
      <w:r w:rsidR="0035362C" w:rsidRPr="007A177A">
        <w:rPr>
          <w:rFonts w:cs="Arial"/>
        </w:rPr>
        <w:t xml:space="preserve">uviera </w:t>
      </w:r>
      <w:r w:rsidR="00E8533A" w:rsidRPr="007A177A">
        <w:rPr>
          <w:rFonts w:cs="Arial"/>
        </w:rPr>
        <w:t>pronunciamiento del Ministerio</w:t>
      </w:r>
      <w:r w:rsidR="00E8533A" w:rsidRPr="007A177A">
        <w:rPr>
          <w:rStyle w:val="Refdenotaalpie"/>
          <w:rFonts w:cs="Arial"/>
        </w:rPr>
        <w:footnoteReference w:id="120"/>
      </w:r>
      <w:r w:rsidR="00E8533A" w:rsidRPr="007A177A">
        <w:rPr>
          <w:rFonts w:cs="Arial"/>
        </w:rPr>
        <w:t>.</w:t>
      </w:r>
    </w:p>
    <w:p w14:paraId="58064415" w14:textId="77777777" w:rsidR="00335098" w:rsidRPr="007A177A" w:rsidRDefault="00335098" w:rsidP="00BF333B">
      <w:pPr>
        <w:pStyle w:val="Lista2"/>
        <w:ind w:left="0" w:firstLine="0"/>
        <w:rPr>
          <w:rFonts w:cs="Arial"/>
        </w:rPr>
      </w:pPr>
    </w:p>
    <w:p w14:paraId="036EC5E8" w14:textId="77777777" w:rsidR="00E8533A" w:rsidRPr="007A177A" w:rsidRDefault="007C3FD9" w:rsidP="00BF333B">
      <w:pPr>
        <w:pStyle w:val="Lista2"/>
        <w:ind w:left="0" w:firstLine="0"/>
        <w:rPr>
          <w:rFonts w:cs="Arial"/>
        </w:rPr>
      </w:pPr>
      <w:r w:rsidRPr="007A177A">
        <w:rPr>
          <w:rFonts w:cs="Arial"/>
          <w:b/>
          <w:bCs/>
        </w:rPr>
        <w:t>9</w:t>
      </w:r>
      <w:r w:rsidR="00D0439B" w:rsidRPr="007A177A">
        <w:rPr>
          <w:rFonts w:cs="Arial"/>
          <w:b/>
          <w:bCs/>
        </w:rPr>
        <w:t>.7.4.</w:t>
      </w:r>
      <w:r w:rsidR="007221DE" w:rsidRPr="007A177A">
        <w:rPr>
          <w:rFonts w:cs="Arial"/>
        </w:rPr>
        <w:t xml:space="preserve"> </w:t>
      </w:r>
      <w:r w:rsidR="00E8533A" w:rsidRPr="007A177A">
        <w:rPr>
          <w:rFonts w:cs="Arial"/>
        </w:rPr>
        <w:t>Dentro del informe de la visita realizada con la presencia del asesor del Banco Mundial, entre el 12 y el 19 de mayo de 1979</w:t>
      </w:r>
      <w:r w:rsidR="00500756" w:rsidRPr="007A177A">
        <w:rPr>
          <w:rFonts w:cs="Arial"/>
        </w:rPr>
        <w:t>,</w:t>
      </w:r>
      <w:r w:rsidR="00E8533A" w:rsidRPr="007A177A">
        <w:rPr>
          <w:rFonts w:cs="Arial"/>
        </w:rPr>
        <w:t xml:space="preserve"> en </w:t>
      </w:r>
      <w:r w:rsidR="0035362C" w:rsidRPr="007A177A">
        <w:rPr>
          <w:rFonts w:cs="Arial"/>
        </w:rPr>
        <w:t>el</w:t>
      </w:r>
      <w:r w:rsidR="00E8533A" w:rsidRPr="007A177A">
        <w:rPr>
          <w:rFonts w:cs="Arial"/>
        </w:rPr>
        <w:t xml:space="preserve"> cual constan las recomendaciones del material de corte de las abscisas K 13 + 800 a K 16 + 000, se consideró la necesidad de realizar el cubrimiento de taludes y la construcción de cunetas </w:t>
      </w:r>
      <w:r w:rsidR="00E8533A" w:rsidRPr="007A177A">
        <w:rPr>
          <w:rFonts w:cs="Arial"/>
          <w:i/>
          <w:iCs/>
        </w:rPr>
        <w:t>“para aislar la roca y evitar así su rápida meteorización”</w:t>
      </w:r>
      <w:r w:rsidR="00E8533A" w:rsidRPr="007A177A">
        <w:rPr>
          <w:rStyle w:val="Refdenotaalpie"/>
          <w:rFonts w:cs="Arial"/>
        </w:rPr>
        <w:footnoteReference w:id="121"/>
      </w:r>
      <w:r w:rsidR="00E8533A" w:rsidRPr="007A177A">
        <w:rPr>
          <w:rFonts w:cs="Arial"/>
        </w:rPr>
        <w:t>.</w:t>
      </w:r>
    </w:p>
    <w:p w14:paraId="7870CF31" w14:textId="77777777" w:rsidR="00E8533A" w:rsidRPr="007A177A" w:rsidRDefault="00E8533A" w:rsidP="00BF333B">
      <w:pPr>
        <w:pStyle w:val="Lista2"/>
        <w:ind w:left="0" w:firstLine="0"/>
        <w:rPr>
          <w:rFonts w:cs="Arial"/>
        </w:rPr>
      </w:pPr>
    </w:p>
    <w:p w14:paraId="1AC98ED4" w14:textId="77777777" w:rsidR="007221DE" w:rsidRPr="007A177A" w:rsidRDefault="0034449F" w:rsidP="00BF333B">
      <w:pPr>
        <w:pStyle w:val="Lista2"/>
        <w:ind w:left="0" w:firstLine="0"/>
        <w:rPr>
          <w:rFonts w:cs="Arial"/>
        </w:rPr>
      </w:pPr>
      <w:r w:rsidRPr="007A177A">
        <w:rPr>
          <w:rFonts w:cs="Arial"/>
        </w:rPr>
        <w:t>E</w:t>
      </w:r>
      <w:r w:rsidR="0035362C" w:rsidRPr="007A177A">
        <w:rPr>
          <w:rFonts w:cs="Arial"/>
        </w:rPr>
        <w:t>llo explica que en</w:t>
      </w:r>
      <w:r w:rsidRPr="007A177A">
        <w:rPr>
          <w:rFonts w:cs="Arial"/>
        </w:rPr>
        <w:t xml:space="preserve"> el m</w:t>
      </w:r>
      <w:r w:rsidR="006878BA" w:rsidRPr="007A177A">
        <w:rPr>
          <w:rFonts w:cs="Arial"/>
        </w:rPr>
        <w:t xml:space="preserve">emorando 46708 del 18 de septiembre de 1979, el director de construcciones informó que la firma Botero Aguilar solicitó precios no previstos para el suministro de </w:t>
      </w:r>
      <w:r w:rsidR="006878BA" w:rsidRPr="007A177A">
        <w:rPr>
          <w:rFonts w:cs="Arial"/>
          <w:i/>
          <w:iCs/>
        </w:rPr>
        <w:t>“materiales seleccionados para relleno”</w:t>
      </w:r>
      <w:r w:rsidR="006878BA" w:rsidRPr="007A177A">
        <w:rPr>
          <w:rFonts w:cs="Arial"/>
        </w:rPr>
        <w:t>, teniendo en cuenta que dichos materiales tenía</w:t>
      </w:r>
      <w:r w:rsidR="007221DE" w:rsidRPr="007A177A">
        <w:rPr>
          <w:rFonts w:cs="Arial"/>
        </w:rPr>
        <w:t>n</w:t>
      </w:r>
      <w:r w:rsidR="006878BA" w:rsidRPr="007A177A">
        <w:rPr>
          <w:rFonts w:cs="Arial"/>
        </w:rPr>
        <w:t xml:space="preserve"> que transporta</w:t>
      </w:r>
      <w:r w:rsidR="007931CD" w:rsidRPr="007A177A">
        <w:rPr>
          <w:rFonts w:cs="Arial"/>
        </w:rPr>
        <w:t>r</w:t>
      </w:r>
      <w:r w:rsidR="007221DE" w:rsidRPr="007A177A">
        <w:rPr>
          <w:rFonts w:cs="Arial"/>
        </w:rPr>
        <w:t>se</w:t>
      </w:r>
      <w:r w:rsidR="006878BA" w:rsidRPr="007A177A">
        <w:rPr>
          <w:rFonts w:cs="Arial"/>
        </w:rPr>
        <w:t xml:space="preserve"> de</w:t>
      </w:r>
      <w:r w:rsidR="007931CD" w:rsidRPr="007A177A">
        <w:rPr>
          <w:rFonts w:cs="Arial"/>
        </w:rPr>
        <w:t>sde</w:t>
      </w:r>
      <w:r w:rsidR="006878BA" w:rsidRPr="007A177A">
        <w:rPr>
          <w:rFonts w:cs="Arial"/>
        </w:rPr>
        <w:t xml:space="preserve"> la cantera Grano de Oro, dado que </w:t>
      </w:r>
      <w:r w:rsidR="007221DE" w:rsidRPr="007A177A">
        <w:rPr>
          <w:rFonts w:cs="Arial"/>
        </w:rPr>
        <w:t xml:space="preserve">se advirtió que </w:t>
      </w:r>
      <w:r w:rsidR="006878BA" w:rsidRPr="007A177A">
        <w:rPr>
          <w:rFonts w:cs="Arial"/>
        </w:rPr>
        <w:t xml:space="preserve">los ubicados en los sitios recomendados en el proyecto </w:t>
      </w:r>
      <w:r w:rsidR="006878BA" w:rsidRPr="007A177A">
        <w:rPr>
          <w:rFonts w:cs="Arial"/>
          <w:i/>
          <w:iCs/>
        </w:rPr>
        <w:t>“son expansivos”</w:t>
      </w:r>
      <w:r w:rsidR="006878BA" w:rsidRPr="007A177A">
        <w:rPr>
          <w:rStyle w:val="Refdenotaalpie"/>
          <w:rFonts w:cs="Arial"/>
        </w:rPr>
        <w:footnoteReference w:id="122"/>
      </w:r>
      <w:r w:rsidR="006878BA" w:rsidRPr="007A177A">
        <w:rPr>
          <w:rFonts w:cs="Arial"/>
        </w:rPr>
        <w:t xml:space="preserve">. </w:t>
      </w:r>
      <w:r w:rsidR="0035362C" w:rsidRPr="007A177A">
        <w:rPr>
          <w:rFonts w:cs="Arial"/>
        </w:rPr>
        <w:t xml:space="preserve"> </w:t>
      </w:r>
    </w:p>
    <w:p w14:paraId="5C7E45D3" w14:textId="77777777" w:rsidR="007221DE" w:rsidRPr="007A177A" w:rsidRDefault="007221DE" w:rsidP="00BF333B">
      <w:pPr>
        <w:pStyle w:val="Lista2"/>
        <w:ind w:left="0" w:firstLine="0"/>
        <w:rPr>
          <w:rFonts w:cs="Arial"/>
        </w:rPr>
      </w:pPr>
    </w:p>
    <w:p w14:paraId="734988BD" w14:textId="77777777" w:rsidR="006878BA" w:rsidRPr="007A177A" w:rsidRDefault="0035362C" w:rsidP="00BF333B">
      <w:pPr>
        <w:pStyle w:val="Lista2"/>
        <w:ind w:left="0" w:firstLine="0"/>
        <w:rPr>
          <w:rFonts w:cs="Arial"/>
        </w:rPr>
      </w:pPr>
      <w:r w:rsidRPr="007A177A">
        <w:rPr>
          <w:rFonts w:cs="Arial"/>
        </w:rPr>
        <w:t xml:space="preserve">Se reitera que la cantera </w:t>
      </w:r>
      <w:r w:rsidR="00E34F36" w:rsidRPr="007A177A">
        <w:rPr>
          <w:rFonts w:cs="Arial"/>
          <w:i/>
          <w:iCs/>
        </w:rPr>
        <w:t>“</w:t>
      </w:r>
      <w:r w:rsidR="007221DE" w:rsidRPr="007A177A">
        <w:rPr>
          <w:rFonts w:cs="Arial"/>
          <w:i/>
          <w:iCs/>
        </w:rPr>
        <w:t>Grano de Oro</w:t>
      </w:r>
      <w:r w:rsidR="00E34F36" w:rsidRPr="007A177A">
        <w:rPr>
          <w:rFonts w:cs="Arial"/>
          <w:i/>
          <w:iCs/>
        </w:rPr>
        <w:t>”</w:t>
      </w:r>
      <w:r w:rsidR="007221DE" w:rsidRPr="007A177A">
        <w:rPr>
          <w:rFonts w:cs="Arial"/>
        </w:rPr>
        <w:t xml:space="preserve"> </w:t>
      </w:r>
      <w:r w:rsidRPr="007A177A">
        <w:rPr>
          <w:rFonts w:cs="Arial"/>
        </w:rPr>
        <w:t>estaba incluida en las fuentes de materiales identificadas en el pliego de condiciones</w:t>
      </w:r>
      <w:r w:rsidR="007221DE" w:rsidRPr="007A177A">
        <w:rPr>
          <w:rFonts w:cs="Arial"/>
        </w:rPr>
        <w:t xml:space="preserve">, de manera que </w:t>
      </w:r>
      <w:r w:rsidR="009C6E5D" w:rsidRPr="007A177A">
        <w:rPr>
          <w:rFonts w:cs="Arial"/>
        </w:rPr>
        <w:t xml:space="preserve">al momento de presentar la oferta, </w:t>
      </w:r>
      <w:r w:rsidR="007221DE" w:rsidRPr="007A177A">
        <w:rPr>
          <w:rFonts w:cs="Arial"/>
        </w:rPr>
        <w:t xml:space="preserve">los precios de transporte debían ser calculados considerando las alternativas posibles, toda vez que </w:t>
      </w:r>
      <w:r w:rsidR="00E34F36" w:rsidRPr="007A177A">
        <w:rPr>
          <w:rFonts w:cs="Arial"/>
        </w:rPr>
        <w:t xml:space="preserve">tanto el </w:t>
      </w:r>
      <w:r w:rsidR="007221DE" w:rsidRPr="007A177A">
        <w:rPr>
          <w:rFonts w:cs="Arial"/>
        </w:rPr>
        <w:t xml:space="preserve">pliego </w:t>
      </w:r>
      <w:r w:rsidR="00E34F36" w:rsidRPr="007A177A">
        <w:rPr>
          <w:rFonts w:cs="Arial"/>
        </w:rPr>
        <w:t xml:space="preserve">como </w:t>
      </w:r>
      <w:r w:rsidR="007221DE" w:rsidRPr="007A177A">
        <w:rPr>
          <w:rFonts w:cs="Arial"/>
        </w:rPr>
        <w:t xml:space="preserve">el contrato disponían que los costos estaban a cargo del contratista. </w:t>
      </w:r>
    </w:p>
    <w:p w14:paraId="670FB9BD" w14:textId="77777777" w:rsidR="006878BA" w:rsidRPr="007A177A" w:rsidRDefault="006878BA" w:rsidP="00BF333B">
      <w:pPr>
        <w:pStyle w:val="Lista2"/>
        <w:ind w:left="0" w:firstLine="0"/>
        <w:rPr>
          <w:rFonts w:cs="Arial"/>
        </w:rPr>
      </w:pPr>
    </w:p>
    <w:p w14:paraId="615563E5" w14:textId="77777777" w:rsidR="00260346" w:rsidRPr="007A177A" w:rsidRDefault="007C3FD9" w:rsidP="00BF333B">
      <w:pPr>
        <w:spacing w:line="360" w:lineRule="auto"/>
        <w:jc w:val="both"/>
        <w:rPr>
          <w:rFonts w:ascii="Arial" w:hAnsi="Arial" w:cs="Arial"/>
        </w:rPr>
      </w:pPr>
      <w:r w:rsidRPr="007A177A">
        <w:rPr>
          <w:rFonts w:ascii="Arial" w:hAnsi="Arial" w:cs="Arial"/>
          <w:b/>
          <w:bCs/>
        </w:rPr>
        <w:t>9</w:t>
      </w:r>
      <w:r w:rsidR="00D0439B" w:rsidRPr="007A177A">
        <w:rPr>
          <w:rFonts w:ascii="Arial" w:hAnsi="Arial" w:cs="Arial"/>
          <w:b/>
          <w:bCs/>
        </w:rPr>
        <w:t xml:space="preserve">.7.5. </w:t>
      </w:r>
      <w:r w:rsidR="00260346" w:rsidRPr="007A177A">
        <w:rPr>
          <w:rFonts w:ascii="Arial" w:hAnsi="Arial" w:cs="Arial"/>
        </w:rPr>
        <w:t xml:space="preserve">Por último, se tiene en cuenta la exposición </w:t>
      </w:r>
      <w:r w:rsidR="00E34F36" w:rsidRPr="007A177A">
        <w:rPr>
          <w:rFonts w:ascii="Arial" w:hAnsi="Arial" w:cs="Arial"/>
        </w:rPr>
        <w:t xml:space="preserve">que realizó la propia contratista en </w:t>
      </w:r>
      <w:r w:rsidR="00260346" w:rsidRPr="007A177A">
        <w:rPr>
          <w:rFonts w:ascii="Arial" w:hAnsi="Arial" w:cs="Arial"/>
        </w:rPr>
        <w:t xml:space="preserve">la </w:t>
      </w:r>
      <w:r w:rsidR="00E34F36" w:rsidRPr="007A177A">
        <w:rPr>
          <w:rFonts w:ascii="Arial" w:hAnsi="Arial" w:cs="Arial"/>
        </w:rPr>
        <w:t>c</w:t>
      </w:r>
      <w:r w:rsidR="004901F8" w:rsidRPr="007A177A">
        <w:rPr>
          <w:rFonts w:ascii="Arial" w:hAnsi="Arial" w:cs="Arial"/>
        </w:rPr>
        <w:t>omunicación No.113 – 81 de junio 2 de 1981</w:t>
      </w:r>
      <w:r w:rsidR="002A3A71" w:rsidRPr="007A177A">
        <w:rPr>
          <w:rFonts w:ascii="Arial" w:hAnsi="Arial" w:cs="Arial"/>
        </w:rPr>
        <w:t>,</w:t>
      </w:r>
      <w:r w:rsidR="004901F8" w:rsidRPr="007A177A">
        <w:rPr>
          <w:rFonts w:ascii="Arial" w:hAnsi="Arial" w:cs="Arial"/>
        </w:rPr>
        <w:t xml:space="preserve"> en la cual </w:t>
      </w:r>
      <w:r w:rsidR="00DF76F9" w:rsidRPr="007A177A">
        <w:rPr>
          <w:rFonts w:ascii="Arial" w:hAnsi="Arial" w:cs="Arial"/>
        </w:rPr>
        <w:t xml:space="preserve">presentó </w:t>
      </w:r>
      <w:r w:rsidR="004901F8" w:rsidRPr="007A177A">
        <w:rPr>
          <w:rFonts w:ascii="Arial" w:hAnsi="Arial" w:cs="Arial"/>
        </w:rPr>
        <w:t>un recuento de las razones en que se fundaban las solicitudes de reclasificación de las excavaciones en los contratos 358 de 1976 y 559 de 1976</w:t>
      </w:r>
      <w:r w:rsidR="00260346" w:rsidRPr="007A177A">
        <w:rPr>
          <w:rFonts w:ascii="Arial" w:hAnsi="Arial" w:cs="Arial"/>
        </w:rPr>
        <w:t xml:space="preserve">. </w:t>
      </w:r>
    </w:p>
    <w:p w14:paraId="23E63909" w14:textId="77777777" w:rsidR="00260346" w:rsidRPr="007A177A" w:rsidRDefault="00260346" w:rsidP="00BF333B">
      <w:pPr>
        <w:spacing w:line="360" w:lineRule="auto"/>
        <w:jc w:val="both"/>
        <w:rPr>
          <w:rFonts w:ascii="Arial" w:hAnsi="Arial" w:cs="Arial"/>
        </w:rPr>
      </w:pPr>
    </w:p>
    <w:p w14:paraId="5226D6E0" w14:textId="77777777" w:rsidR="00260346" w:rsidRPr="007A177A" w:rsidRDefault="00E34F36" w:rsidP="00BF333B">
      <w:pPr>
        <w:spacing w:line="360" w:lineRule="auto"/>
        <w:jc w:val="both"/>
        <w:rPr>
          <w:rFonts w:ascii="Arial" w:hAnsi="Arial" w:cs="Arial"/>
        </w:rPr>
      </w:pPr>
      <w:r w:rsidRPr="007A177A">
        <w:rPr>
          <w:rFonts w:ascii="Arial" w:hAnsi="Arial" w:cs="Arial"/>
        </w:rPr>
        <w:t xml:space="preserve">Allí indicó </w:t>
      </w:r>
      <w:r w:rsidR="004901F8" w:rsidRPr="007A177A">
        <w:rPr>
          <w:rFonts w:ascii="Arial" w:hAnsi="Arial" w:cs="Arial"/>
        </w:rPr>
        <w:t>que</w:t>
      </w:r>
      <w:r w:rsidRPr="007A177A">
        <w:rPr>
          <w:rFonts w:ascii="Arial" w:hAnsi="Arial" w:cs="Arial"/>
        </w:rPr>
        <w:t>, en su criterio,</w:t>
      </w:r>
      <w:r w:rsidR="004901F8" w:rsidRPr="007A177A">
        <w:rPr>
          <w:rFonts w:ascii="Arial" w:hAnsi="Arial" w:cs="Arial"/>
        </w:rPr>
        <w:t xml:space="preserve"> se debía </w:t>
      </w:r>
      <w:r w:rsidRPr="007A177A">
        <w:rPr>
          <w:rFonts w:ascii="Arial" w:hAnsi="Arial" w:cs="Arial"/>
        </w:rPr>
        <w:t xml:space="preserve">aplicar </w:t>
      </w:r>
      <w:r w:rsidR="004901F8" w:rsidRPr="007A177A">
        <w:rPr>
          <w:rFonts w:ascii="Arial" w:hAnsi="Arial" w:cs="Arial"/>
        </w:rPr>
        <w:t xml:space="preserve">la clasificación por características, de acuerdo con las </w:t>
      </w:r>
      <w:r w:rsidR="002A3A71" w:rsidRPr="007A177A">
        <w:rPr>
          <w:rFonts w:ascii="Arial" w:hAnsi="Arial" w:cs="Arial"/>
        </w:rPr>
        <w:t>e</w:t>
      </w:r>
      <w:r w:rsidR="004901F8" w:rsidRPr="007A177A">
        <w:rPr>
          <w:rFonts w:ascii="Arial" w:hAnsi="Arial" w:cs="Arial"/>
        </w:rPr>
        <w:t xml:space="preserve">specificaciones </w:t>
      </w:r>
      <w:r w:rsidR="002A3A71" w:rsidRPr="007A177A">
        <w:rPr>
          <w:rFonts w:ascii="Arial" w:hAnsi="Arial" w:cs="Arial"/>
        </w:rPr>
        <w:t>g</w:t>
      </w:r>
      <w:r w:rsidR="004901F8" w:rsidRPr="007A177A">
        <w:rPr>
          <w:rFonts w:ascii="Arial" w:hAnsi="Arial" w:cs="Arial"/>
        </w:rPr>
        <w:t xml:space="preserve">enerales de </w:t>
      </w:r>
      <w:r w:rsidR="002A3A71" w:rsidRPr="007A177A">
        <w:rPr>
          <w:rFonts w:ascii="Arial" w:hAnsi="Arial" w:cs="Arial"/>
        </w:rPr>
        <w:t>c</w:t>
      </w:r>
      <w:r w:rsidR="004901F8" w:rsidRPr="007A177A">
        <w:rPr>
          <w:rFonts w:ascii="Arial" w:hAnsi="Arial" w:cs="Arial"/>
        </w:rPr>
        <w:t>onstrucción establecidas desde 1970 -</w:t>
      </w:r>
      <w:r w:rsidR="004901F8" w:rsidRPr="007A177A">
        <w:rPr>
          <w:rFonts w:ascii="Arial" w:hAnsi="Arial" w:cs="Arial"/>
          <w:i/>
        </w:rPr>
        <w:t>por parte del Ministerio de Obras Públicas y Transporte</w:t>
      </w:r>
      <w:r w:rsidR="004901F8" w:rsidRPr="007A177A">
        <w:rPr>
          <w:rFonts w:ascii="Arial" w:hAnsi="Arial" w:cs="Arial"/>
        </w:rPr>
        <w:t>-</w:t>
      </w:r>
      <w:r w:rsidR="002A3A71" w:rsidRPr="007A177A">
        <w:rPr>
          <w:rFonts w:ascii="Arial" w:hAnsi="Arial" w:cs="Arial"/>
        </w:rPr>
        <w:t>;</w:t>
      </w:r>
      <w:r w:rsidR="004901F8" w:rsidRPr="007A177A">
        <w:rPr>
          <w:rFonts w:ascii="Arial" w:hAnsi="Arial" w:cs="Arial"/>
        </w:rPr>
        <w:t xml:space="preserve"> sin embargo</w:t>
      </w:r>
      <w:r w:rsidR="00260346" w:rsidRPr="007A177A">
        <w:rPr>
          <w:rFonts w:ascii="Arial" w:hAnsi="Arial" w:cs="Arial"/>
        </w:rPr>
        <w:t xml:space="preserve">, argumentó </w:t>
      </w:r>
      <w:r w:rsidR="004901F8" w:rsidRPr="007A177A">
        <w:rPr>
          <w:rFonts w:ascii="Arial" w:hAnsi="Arial" w:cs="Arial"/>
        </w:rPr>
        <w:t xml:space="preserve">que </w:t>
      </w:r>
      <w:r w:rsidRPr="007A177A">
        <w:rPr>
          <w:rFonts w:ascii="Arial" w:hAnsi="Arial" w:cs="Arial"/>
        </w:rPr>
        <w:t xml:space="preserve">desde esa época </w:t>
      </w:r>
      <w:r w:rsidR="004901F8" w:rsidRPr="007A177A">
        <w:rPr>
          <w:rFonts w:ascii="Arial" w:hAnsi="Arial" w:cs="Arial"/>
        </w:rPr>
        <w:t>l</w:t>
      </w:r>
      <w:r w:rsidRPr="007A177A">
        <w:rPr>
          <w:rFonts w:ascii="Arial" w:hAnsi="Arial" w:cs="Arial"/>
        </w:rPr>
        <w:t xml:space="preserve">as especificaciones de los </w:t>
      </w:r>
      <w:r w:rsidR="004901F8" w:rsidRPr="007A177A">
        <w:rPr>
          <w:rFonts w:ascii="Arial" w:hAnsi="Arial" w:cs="Arial"/>
        </w:rPr>
        <w:t xml:space="preserve">equipos habían avanzado y que los más actualizados contaban con desgarradores hidráulicos, lo cual permitía sustituir en gran proporción el uso de explosivos en las excavaciones en roca. </w:t>
      </w:r>
    </w:p>
    <w:p w14:paraId="370E2997" w14:textId="77777777" w:rsidR="0072184D" w:rsidRPr="007A177A" w:rsidRDefault="0072184D" w:rsidP="00BF333B">
      <w:pPr>
        <w:spacing w:line="360" w:lineRule="auto"/>
        <w:jc w:val="both"/>
        <w:rPr>
          <w:rFonts w:ascii="Arial" w:hAnsi="Arial" w:cs="Arial"/>
        </w:rPr>
      </w:pPr>
    </w:p>
    <w:p w14:paraId="355E5402" w14:textId="77777777" w:rsidR="00260346" w:rsidRPr="007A177A" w:rsidRDefault="00260346" w:rsidP="00BF333B">
      <w:pPr>
        <w:spacing w:line="360" w:lineRule="auto"/>
        <w:jc w:val="both"/>
        <w:rPr>
          <w:rFonts w:ascii="Arial" w:hAnsi="Arial" w:cs="Arial"/>
        </w:rPr>
      </w:pPr>
      <w:r w:rsidRPr="007A177A">
        <w:rPr>
          <w:rFonts w:ascii="Arial" w:hAnsi="Arial" w:cs="Arial"/>
        </w:rPr>
        <w:t>Es de importancia observar que el contratista expuso que</w:t>
      </w:r>
      <w:r w:rsidR="002A3A71" w:rsidRPr="007A177A">
        <w:rPr>
          <w:rFonts w:ascii="Arial" w:hAnsi="Arial" w:cs="Arial"/>
        </w:rPr>
        <w:t>,</w:t>
      </w:r>
      <w:r w:rsidRPr="007A177A">
        <w:rPr>
          <w:rFonts w:ascii="Arial" w:hAnsi="Arial" w:cs="Arial"/>
        </w:rPr>
        <w:t xml:space="preserve"> </w:t>
      </w:r>
      <w:r w:rsidR="004901F8" w:rsidRPr="007A177A">
        <w:rPr>
          <w:rFonts w:ascii="Arial" w:hAnsi="Arial" w:cs="Arial"/>
        </w:rPr>
        <w:t xml:space="preserve">apoyándose en la </w:t>
      </w:r>
      <w:r w:rsidRPr="007A177A">
        <w:rPr>
          <w:rFonts w:ascii="Arial" w:hAnsi="Arial" w:cs="Arial"/>
          <w:i/>
          <w:iCs/>
        </w:rPr>
        <w:t>“</w:t>
      </w:r>
      <w:r w:rsidR="004901F8" w:rsidRPr="007A177A">
        <w:rPr>
          <w:rFonts w:ascii="Arial" w:hAnsi="Arial" w:cs="Arial"/>
          <w:i/>
          <w:iCs/>
        </w:rPr>
        <w:t>libertad del proceso constructivo</w:t>
      </w:r>
      <w:r w:rsidRPr="007A177A">
        <w:rPr>
          <w:rFonts w:ascii="Arial" w:hAnsi="Arial" w:cs="Arial"/>
          <w:i/>
          <w:iCs/>
        </w:rPr>
        <w:t>”</w:t>
      </w:r>
      <w:r w:rsidR="002A3A71" w:rsidRPr="007A177A">
        <w:rPr>
          <w:rFonts w:ascii="Arial" w:hAnsi="Arial" w:cs="Arial"/>
          <w:i/>
          <w:iCs/>
        </w:rPr>
        <w:t>,</w:t>
      </w:r>
      <w:r w:rsidR="004901F8" w:rsidRPr="007A177A">
        <w:rPr>
          <w:rFonts w:ascii="Arial" w:hAnsi="Arial" w:cs="Arial"/>
        </w:rPr>
        <w:t xml:space="preserve"> el consorcio adquirió unos tractores Caterpillar “</w:t>
      </w:r>
      <w:r w:rsidR="004901F8" w:rsidRPr="007A177A">
        <w:rPr>
          <w:rFonts w:ascii="Arial" w:hAnsi="Arial" w:cs="Arial"/>
          <w:i/>
        </w:rPr>
        <w:t>D</w:t>
      </w:r>
      <w:r w:rsidR="006F5D55" w:rsidRPr="007A177A">
        <w:rPr>
          <w:rFonts w:ascii="Arial" w:hAnsi="Arial" w:cs="Arial"/>
          <w:i/>
        </w:rPr>
        <w:t>&amp;</w:t>
      </w:r>
      <w:r w:rsidR="004901F8" w:rsidRPr="007A177A">
        <w:rPr>
          <w:rFonts w:ascii="Arial" w:hAnsi="Arial" w:cs="Arial"/>
          <w:i/>
        </w:rPr>
        <w:t>H</w:t>
      </w:r>
      <w:r w:rsidR="004901F8" w:rsidRPr="007A177A">
        <w:rPr>
          <w:rFonts w:ascii="Arial" w:hAnsi="Arial" w:cs="Arial"/>
        </w:rPr>
        <w:t>” y con base en ello solicitó que se hiciera la reclasificación</w:t>
      </w:r>
      <w:r w:rsidR="002A3A71" w:rsidRPr="007A177A">
        <w:rPr>
          <w:rFonts w:ascii="Arial" w:hAnsi="Arial" w:cs="Arial"/>
        </w:rPr>
        <w:t>,</w:t>
      </w:r>
      <w:r w:rsidR="004901F8" w:rsidRPr="007A177A">
        <w:rPr>
          <w:rFonts w:ascii="Arial" w:hAnsi="Arial" w:cs="Arial"/>
        </w:rPr>
        <w:t xml:space="preserve"> teniendo en cuenta las excavaciones </w:t>
      </w:r>
      <w:r w:rsidR="004901F8" w:rsidRPr="007A177A">
        <w:rPr>
          <w:rFonts w:ascii="Arial" w:hAnsi="Arial" w:cs="Arial"/>
          <w:i/>
          <w:iCs/>
        </w:rPr>
        <w:t>“en roca”</w:t>
      </w:r>
      <w:r w:rsidRPr="007A177A">
        <w:rPr>
          <w:rFonts w:ascii="Arial" w:hAnsi="Arial" w:cs="Arial"/>
          <w:i/>
          <w:iCs/>
        </w:rPr>
        <w:t>,</w:t>
      </w:r>
      <w:r w:rsidRPr="007A177A">
        <w:rPr>
          <w:rFonts w:ascii="Arial" w:hAnsi="Arial" w:cs="Arial"/>
        </w:rPr>
        <w:t xml:space="preserve"> lo cual propuso después de la firma del contrato y ya habiendo ejecutado las obras de los primeros meses. </w:t>
      </w:r>
    </w:p>
    <w:p w14:paraId="7EC99582" w14:textId="77777777" w:rsidR="00260346" w:rsidRPr="007A177A" w:rsidRDefault="00260346" w:rsidP="00BF333B">
      <w:pPr>
        <w:spacing w:line="360" w:lineRule="auto"/>
        <w:jc w:val="both"/>
        <w:rPr>
          <w:rFonts w:ascii="Arial" w:hAnsi="Arial" w:cs="Arial"/>
        </w:rPr>
      </w:pPr>
    </w:p>
    <w:p w14:paraId="167992B1" w14:textId="77777777" w:rsidR="00CC3A2B" w:rsidRPr="007A177A" w:rsidRDefault="006A5AE3" w:rsidP="00BF333B">
      <w:pPr>
        <w:spacing w:line="360" w:lineRule="auto"/>
        <w:jc w:val="both"/>
        <w:rPr>
          <w:rFonts w:ascii="Arial" w:hAnsi="Arial" w:cs="Arial"/>
        </w:rPr>
      </w:pPr>
      <w:r w:rsidRPr="007A177A">
        <w:rPr>
          <w:rFonts w:ascii="Arial" w:hAnsi="Arial" w:cs="Arial"/>
        </w:rPr>
        <w:t xml:space="preserve">En esa comunicación el contratista relacionó </w:t>
      </w:r>
      <w:r w:rsidR="004901F8" w:rsidRPr="007A177A">
        <w:rPr>
          <w:rFonts w:ascii="Arial" w:hAnsi="Arial" w:cs="Arial"/>
        </w:rPr>
        <w:t>las circulares del Ministerio en la</w:t>
      </w:r>
      <w:r w:rsidR="00AF0DD7" w:rsidRPr="007A177A">
        <w:rPr>
          <w:rFonts w:ascii="Arial" w:hAnsi="Arial" w:cs="Arial"/>
        </w:rPr>
        <w:t>s</w:t>
      </w:r>
      <w:r w:rsidR="004901F8" w:rsidRPr="007A177A">
        <w:rPr>
          <w:rFonts w:ascii="Arial" w:hAnsi="Arial" w:cs="Arial"/>
        </w:rPr>
        <w:t xml:space="preserve"> que se indicaba que los precios se construían teniendo en cuenta los </w:t>
      </w:r>
      <w:r w:rsidR="004901F8" w:rsidRPr="007A177A">
        <w:rPr>
          <w:rFonts w:ascii="Arial" w:hAnsi="Arial" w:cs="Arial"/>
          <w:i/>
        </w:rPr>
        <w:t>“rendimientos”</w:t>
      </w:r>
      <w:r w:rsidR="004901F8" w:rsidRPr="007A177A">
        <w:rPr>
          <w:rFonts w:ascii="Arial" w:hAnsi="Arial" w:cs="Arial"/>
        </w:rPr>
        <w:t xml:space="preserve"> de los equipos</w:t>
      </w:r>
      <w:r w:rsidRPr="007A177A">
        <w:rPr>
          <w:rFonts w:ascii="Arial" w:hAnsi="Arial" w:cs="Arial"/>
        </w:rPr>
        <w:t xml:space="preserve"> con base en los </w:t>
      </w:r>
      <w:r w:rsidR="004901F8" w:rsidRPr="007A177A">
        <w:rPr>
          <w:rFonts w:ascii="Arial" w:hAnsi="Arial" w:cs="Arial"/>
        </w:rPr>
        <w:t xml:space="preserve">porcentajes fijados por </w:t>
      </w:r>
      <w:r w:rsidR="00DF76F9" w:rsidRPr="007A177A">
        <w:rPr>
          <w:rFonts w:ascii="Arial" w:hAnsi="Arial" w:cs="Arial"/>
        </w:rPr>
        <w:t xml:space="preserve">esa entidad </w:t>
      </w:r>
      <w:r w:rsidR="00E34F36" w:rsidRPr="007A177A">
        <w:rPr>
          <w:rFonts w:ascii="Arial" w:hAnsi="Arial" w:cs="Arial"/>
        </w:rPr>
        <w:t>y propuso que</w:t>
      </w:r>
      <w:r w:rsidR="00093BC9" w:rsidRPr="007A177A">
        <w:rPr>
          <w:rFonts w:ascii="Arial" w:hAnsi="Arial" w:cs="Arial"/>
        </w:rPr>
        <w:t>,</w:t>
      </w:r>
      <w:r w:rsidR="00E34F36" w:rsidRPr="007A177A">
        <w:rPr>
          <w:rFonts w:ascii="Arial" w:hAnsi="Arial" w:cs="Arial"/>
        </w:rPr>
        <w:t xml:space="preserve"> de acuerdo con </w:t>
      </w:r>
      <w:r w:rsidR="004901F8" w:rsidRPr="007A177A">
        <w:rPr>
          <w:rFonts w:ascii="Arial" w:hAnsi="Arial" w:cs="Arial"/>
        </w:rPr>
        <w:t>los nuevos equipos y sus rendimientos</w:t>
      </w:r>
      <w:r w:rsidR="00093BC9" w:rsidRPr="007A177A">
        <w:rPr>
          <w:rFonts w:ascii="Arial" w:hAnsi="Arial" w:cs="Arial"/>
        </w:rPr>
        <w:t>,</w:t>
      </w:r>
      <w:r w:rsidR="004901F8" w:rsidRPr="007A177A">
        <w:rPr>
          <w:rFonts w:ascii="Arial" w:hAnsi="Arial" w:cs="Arial"/>
        </w:rPr>
        <w:t xml:space="preserve"> </w:t>
      </w:r>
      <w:r w:rsidR="00E34F36" w:rsidRPr="007A177A">
        <w:rPr>
          <w:rFonts w:ascii="Arial" w:hAnsi="Arial" w:cs="Arial"/>
        </w:rPr>
        <w:t xml:space="preserve">se establecieran </w:t>
      </w:r>
      <w:r w:rsidR="004901F8" w:rsidRPr="007A177A">
        <w:rPr>
          <w:rFonts w:ascii="Arial" w:hAnsi="Arial" w:cs="Arial"/>
        </w:rPr>
        <w:t xml:space="preserve">nuevos precios. </w:t>
      </w:r>
    </w:p>
    <w:p w14:paraId="50FD4A85" w14:textId="77777777" w:rsidR="00CC3A2B" w:rsidRPr="007A177A" w:rsidRDefault="00CC3A2B" w:rsidP="00BF333B">
      <w:pPr>
        <w:spacing w:line="360" w:lineRule="auto"/>
        <w:jc w:val="both"/>
        <w:rPr>
          <w:rFonts w:ascii="Arial" w:hAnsi="Arial" w:cs="Arial"/>
        </w:rPr>
      </w:pPr>
    </w:p>
    <w:p w14:paraId="2020AF54" w14:textId="77777777" w:rsidR="00CC3A2B" w:rsidRPr="007A177A" w:rsidRDefault="006A5AE3" w:rsidP="00BF333B">
      <w:pPr>
        <w:spacing w:line="360" w:lineRule="auto"/>
        <w:jc w:val="both"/>
        <w:rPr>
          <w:rFonts w:ascii="Arial" w:hAnsi="Arial" w:cs="Arial"/>
        </w:rPr>
      </w:pPr>
      <w:r w:rsidRPr="007A177A">
        <w:rPr>
          <w:rFonts w:ascii="Arial" w:hAnsi="Arial" w:cs="Arial"/>
        </w:rPr>
        <w:t xml:space="preserve">El </w:t>
      </w:r>
      <w:r w:rsidR="004901F8" w:rsidRPr="007A177A">
        <w:rPr>
          <w:rFonts w:ascii="Arial" w:hAnsi="Arial" w:cs="Arial"/>
        </w:rPr>
        <w:t xml:space="preserve">contratista argumentó que se le habían autorizado algunas actas con el ítem de excavación en roca, lo cual consideró como </w:t>
      </w:r>
      <w:r w:rsidR="004901F8" w:rsidRPr="007A177A">
        <w:rPr>
          <w:rFonts w:ascii="Arial" w:hAnsi="Arial" w:cs="Arial"/>
          <w:i/>
          <w:iCs/>
        </w:rPr>
        <w:t xml:space="preserve">“prueba inequívoca de la aprobación </w:t>
      </w:r>
      <w:r w:rsidR="004901F8" w:rsidRPr="007A177A">
        <w:rPr>
          <w:rFonts w:ascii="Arial" w:hAnsi="Arial" w:cs="Arial"/>
          <w:i/>
          <w:iCs/>
        </w:rPr>
        <w:lastRenderedPageBreak/>
        <w:t>del F.V.N.”</w:t>
      </w:r>
      <w:r w:rsidR="004901F8" w:rsidRPr="007A177A">
        <w:rPr>
          <w:rFonts w:ascii="Arial" w:hAnsi="Arial" w:cs="Arial"/>
        </w:rPr>
        <w:t xml:space="preserve"> y agregó que en la visita de inspección del 21 de abril de 1980 el </w:t>
      </w:r>
      <w:r w:rsidR="00AF0DD7" w:rsidRPr="007A177A">
        <w:rPr>
          <w:rFonts w:ascii="Arial" w:hAnsi="Arial" w:cs="Arial"/>
        </w:rPr>
        <w:t>v</w:t>
      </w:r>
      <w:r w:rsidR="004901F8" w:rsidRPr="007A177A">
        <w:rPr>
          <w:rFonts w:ascii="Arial" w:hAnsi="Arial" w:cs="Arial"/>
        </w:rPr>
        <w:t xml:space="preserve">iceministro revisó las clasificaciones y expresó </w:t>
      </w:r>
      <w:r w:rsidR="004901F8" w:rsidRPr="007A177A">
        <w:rPr>
          <w:rFonts w:ascii="Arial" w:hAnsi="Arial" w:cs="Arial"/>
          <w:i/>
          <w:iCs/>
        </w:rPr>
        <w:t>“conformidad con las mismas”</w:t>
      </w:r>
      <w:r w:rsidR="004901F8" w:rsidRPr="007A177A">
        <w:rPr>
          <w:rStyle w:val="Refdenotaalpie"/>
          <w:rFonts w:ascii="Arial" w:hAnsi="Arial" w:cs="Arial"/>
        </w:rPr>
        <w:footnoteReference w:id="123"/>
      </w:r>
      <w:r w:rsidR="004901F8" w:rsidRPr="007A177A">
        <w:rPr>
          <w:rFonts w:ascii="Arial" w:hAnsi="Arial" w:cs="Arial"/>
        </w:rPr>
        <w:t xml:space="preserve">. </w:t>
      </w:r>
      <w:r w:rsidR="0091623B" w:rsidRPr="007A177A">
        <w:rPr>
          <w:rFonts w:ascii="Arial" w:hAnsi="Arial" w:cs="Arial"/>
        </w:rPr>
        <w:t xml:space="preserve"> </w:t>
      </w:r>
    </w:p>
    <w:p w14:paraId="21EC38BD" w14:textId="77777777" w:rsidR="00CC3A2B" w:rsidRPr="007A177A" w:rsidRDefault="00CC3A2B" w:rsidP="00BF333B">
      <w:pPr>
        <w:spacing w:line="360" w:lineRule="auto"/>
        <w:jc w:val="both"/>
        <w:rPr>
          <w:rFonts w:ascii="Arial" w:hAnsi="Arial" w:cs="Arial"/>
        </w:rPr>
      </w:pPr>
    </w:p>
    <w:p w14:paraId="7E496C5E" w14:textId="77777777" w:rsidR="00E34F36" w:rsidRPr="007A177A" w:rsidRDefault="0091623B" w:rsidP="00BF333B">
      <w:pPr>
        <w:spacing w:line="360" w:lineRule="auto"/>
        <w:jc w:val="both"/>
        <w:rPr>
          <w:rFonts w:ascii="Arial" w:hAnsi="Arial" w:cs="Arial"/>
        </w:rPr>
      </w:pPr>
      <w:r w:rsidRPr="007A177A">
        <w:rPr>
          <w:rFonts w:ascii="Arial" w:hAnsi="Arial" w:cs="Arial"/>
        </w:rPr>
        <w:t xml:space="preserve">Como se </w:t>
      </w:r>
      <w:r w:rsidR="00BC7C93" w:rsidRPr="007A177A">
        <w:rPr>
          <w:rFonts w:ascii="Arial" w:hAnsi="Arial" w:cs="Arial"/>
        </w:rPr>
        <w:t>ha relacionado en esta providencia</w:t>
      </w:r>
      <w:r w:rsidR="006F391F" w:rsidRPr="007A177A">
        <w:rPr>
          <w:rFonts w:ascii="Arial" w:hAnsi="Arial" w:cs="Arial"/>
        </w:rPr>
        <w:t>,</w:t>
      </w:r>
      <w:r w:rsidR="00BC7C93" w:rsidRPr="007A177A">
        <w:rPr>
          <w:rFonts w:ascii="Arial" w:hAnsi="Arial" w:cs="Arial"/>
        </w:rPr>
        <w:t xml:space="preserve"> </w:t>
      </w:r>
      <w:r w:rsidR="002C64AD" w:rsidRPr="007A177A">
        <w:rPr>
          <w:rFonts w:ascii="Arial" w:hAnsi="Arial" w:cs="Arial"/>
        </w:rPr>
        <w:t xml:space="preserve">las </w:t>
      </w:r>
      <w:proofErr w:type="spellStart"/>
      <w:r w:rsidR="002C64AD" w:rsidRPr="007A177A">
        <w:rPr>
          <w:rFonts w:ascii="Arial" w:hAnsi="Arial" w:cs="Arial"/>
        </w:rPr>
        <w:t>pre</w:t>
      </w:r>
      <w:r w:rsidR="00CC3A2B" w:rsidRPr="007A177A">
        <w:rPr>
          <w:rFonts w:ascii="Arial" w:hAnsi="Arial" w:cs="Arial"/>
        </w:rPr>
        <w:t>a</w:t>
      </w:r>
      <w:r w:rsidR="002C64AD" w:rsidRPr="007A177A">
        <w:rPr>
          <w:rFonts w:ascii="Arial" w:hAnsi="Arial" w:cs="Arial"/>
        </w:rPr>
        <w:t>ctas</w:t>
      </w:r>
      <w:proofErr w:type="spellEnd"/>
      <w:r w:rsidR="002C64AD" w:rsidRPr="007A177A">
        <w:rPr>
          <w:rFonts w:ascii="Arial" w:hAnsi="Arial" w:cs="Arial"/>
        </w:rPr>
        <w:t xml:space="preserve"> 1, 2 y 3 no fueron aprobadas y, por otra parte, </w:t>
      </w:r>
      <w:r w:rsidR="00E34F36" w:rsidRPr="007A177A">
        <w:rPr>
          <w:rFonts w:ascii="Arial" w:hAnsi="Arial" w:cs="Arial"/>
        </w:rPr>
        <w:t xml:space="preserve">se hace notar que </w:t>
      </w:r>
      <w:r w:rsidR="002C64AD" w:rsidRPr="007A177A">
        <w:rPr>
          <w:rFonts w:ascii="Arial" w:hAnsi="Arial" w:cs="Arial"/>
        </w:rPr>
        <w:t xml:space="preserve">la observación del </w:t>
      </w:r>
      <w:r w:rsidR="00AF0DD7" w:rsidRPr="007A177A">
        <w:rPr>
          <w:rFonts w:ascii="Arial" w:hAnsi="Arial" w:cs="Arial"/>
        </w:rPr>
        <w:t>v</w:t>
      </w:r>
      <w:r w:rsidR="002C64AD" w:rsidRPr="007A177A">
        <w:rPr>
          <w:rFonts w:ascii="Arial" w:hAnsi="Arial" w:cs="Arial"/>
        </w:rPr>
        <w:t>iceministro sobre el estado de las fuentes de materiales no significaba aprobación a tal reclasificación, la cual</w:t>
      </w:r>
      <w:r w:rsidR="006A5AE3" w:rsidRPr="007A177A">
        <w:rPr>
          <w:rFonts w:ascii="Arial" w:hAnsi="Arial" w:cs="Arial"/>
        </w:rPr>
        <w:t xml:space="preserve">, se repite, </w:t>
      </w:r>
      <w:r w:rsidR="002C64AD" w:rsidRPr="007A177A">
        <w:rPr>
          <w:rFonts w:ascii="Arial" w:hAnsi="Arial" w:cs="Arial"/>
        </w:rPr>
        <w:t>no llegó a otorgarse.</w:t>
      </w:r>
    </w:p>
    <w:p w14:paraId="61CF5DD0" w14:textId="77777777" w:rsidR="00E34F36" w:rsidRPr="007A177A" w:rsidRDefault="00E34F36" w:rsidP="00BF333B">
      <w:pPr>
        <w:spacing w:line="360" w:lineRule="auto"/>
        <w:jc w:val="both"/>
        <w:rPr>
          <w:rFonts w:ascii="Arial" w:hAnsi="Arial" w:cs="Arial"/>
        </w:rPr>
      </w:pPr>
    </w:p>
    <w:p w14:paraId="6B4EE494" w14:textId="77777777" w:rsidR="008977E7" w:rsidRPr="007A177A" w:rsidRDefault="00E34F36" w:rsidP="00BF333B">
      <w:pPr>
        <w:spacing w:line="360" w:lineRule="auto"/>
        <w:jc w:val="both"/>
        <w:rPr>
          <w:rFonts w:ascii="Arial" w:hAnsi="Arial" w:cs="Arial"/>
        </w:rPr>
      </w:pPr>
      <w:r w:rsidRPr="007A177A">
        <w:rPr>
          <w:rFonts w:ascii="Arial" w:hAnsi="Arial" w:cs="Arial"/>
        </w:rPr>
        <w:t xml:space="preserve">Por tanto, la sentencia de primera instancia se apartó de las pruebas al declarar el incumplimiento de una obligación que no existió y </w:t>
      </w:r>
      <w:r w:rsidR="0046431E" w:rsidRPr="007A177A">
        <w:rPr>
          <w:rFonts w:ascii="Arial" w:hAnsi="Arial" w:cs="Arial"/>
        </w:rPr>
        <w:t xml:space="preserve">al imponer una reclasificación de las cantidades para efectos de liquidar el perjuicio, la cual no resultaba imperativa </w:t>
      </w:r>
      <w:r w:rsidRPr="007A177A">
        <w:rPr>
          <w:rFonts w:ascii="Arial" w:hAnsi="Arial" w:cs="Arial"/>
        </w:rPr>
        <w:t>por</w:t>
      </w:r>
      <w:r w:rsidR="0046431E" w:rsidRPr="007A177A">
        <w:rPr>
          <w:rFonts w:ascii="Arial" w:hAnsi="Arial" w:cs="Arial"/>
        </w:rPr>
        <w:t xml:space="preserve"> el solo hecho de que </w:t>
      </w:r>
      <w:r w:rsidR="008977E7" w:rsidRPr="007A177A">
        <w:rPr>
          <w:rFonts w:ascii="Arial" w:hAnsi="Arial" w:cs="Arial"/>
        </w:rPr>
        <w:t xml:space="preserve">el documento de condiciones generales mencionara la categoría de excavaciones en roca. </w:t>
      </w:r>
    </w:p>
    <w:p w14:paraId="4CA3F0CF" w14:textId="77777777" w:rsidR="00CC3A2B" w:rsidRPr="007A177A" w:rsidRDefault="00CC3A2B" w:rsidP="00BF333B">
      <w:pPr>
        <w:spacing w:line="360" w:lineRule="auto"/>
        <w:jc w:val="both"/>
        <w:rPr>
          <w:rFonts w:ascii="Arial" w:hAnsi="Arial" w:cs="Arial"/>
        </w:rPr>
      </w:pPr>
    </w:p>
    <w:p w14:paraId="485A1688" w14:textId="77777777" w:rsidR="008977E7" w:rsidRPr="007A177A" w:rsidRDefault="007C3FD9" w:rsidP="00BF333B">
      <w:pPr>
        <w:spacing w:line="360" w:lineRule="auto"/>
        <w:jc w:val="both"/>
        <w:rPr>
          <w:rFonts w:ascii="Arial" w:hAnsi="Arial" w:cs="Arial"/>
          <w:b/>
          <w:bCs/>
        </w:rPr>
      </w:pPr>
      <w:r w:rsidRPr="007A177A">
        <w:rPr>
          <w:rFonts w:ascii="Arial" w:hAnsi="Arial" w:cs="Arial"/>
          <w:b/>
          <w:bCs/>
        </w:rPr>
        <w:t>10</w:t>
      </w:r>
      <w:r w:rsidR="00D0439B" w:rsidRPr="007A177A">
        <w:rPr>
          <w:rFonts w:ascii="Arial" w:hAnsi="Arial" w:cs="Arial"/>
          <w:b/>
          <w:bCs/>
        </w:rPr>
        <w:t xml:space="preserve">. </w:t>
      </w:r>
      <w:r w:rsidR="008977E7" w:rsidRPr="007A177A">
        <w:rPr>
          <w:rFonts w:ascii="Arial" w:hAnsi="Arial" w:cs="Arial"/>
          <w:b/>
          <w:bCs/>
        </w:rPr>
        <w:t xml:space="preserve">Costas </w:t>
      </w:r>
    </w:p>
    <w:p w14:paraId="431F375F" w14:textId="77777777" w:rsidR="00335098" w:rsidRPr="007A177A" w:rsidRDefault="00335098" w:rsidP="00BF333B">
      <w:pPr>
        <w:pStyle w:val="Continuarlista2"/>
        <w:spacing w:after="0"/>
        <w:ind w:left="0"/>
        <w:rPr>
          <w:rFonts w:cs="Arial"/>
        </w:rPr>
      </w:pPr>
    </w:p>
    <w:p w14:paraId="1F9C1ACB" w14:textId="77777777" w:rsidR="009D0E50" w:rsidRPr="007A177A" w:rsidRDefault="008977E7" w:rsidP="00BF333B">
      <w:pPr>
        <w:pStyle w:val="Continuarlista2"/>
        <w:spacing w:after="0"/>
        <w:ind w:left="0"/>
        <w:rPr>
          <w:rFonts w:cs="Arial"/>
        </w:rPr>
      </w:pPr>
      <w:r w:rsidRPr="007A177A">
        <w:rPr>
          <w:rFonts w:cs="Arial"/>
        </w:rPr>
        <w:t>H</w:t>
      </w:r>
      <w:r w:rsidR="009D0E50" w:rsidRPr="007A177A">
        <w:rPr>
          <w:rFonts w:cs="Arial"/>
        </w:rPr>
        <w:t xml:space="preserve">abida cuenta </w:t>
      </w:r>
      <w:r w:rsidRPr="007A177A">
        <w:rPr>
          <w:rFonts w:cs="Arial"/>
        </w:rPr>
        <w:t xml:space="preserve">de </w:t>
      </w:r>
      <w:r w:rsidR="009D0E50" w:rsidRPr="007A177A">
        <w:rPr>
          <w:rFonts w:cs="Arial"/>
        </w:rPr>
        <w:t>que para e</w:t>
      </w:r>
      <w:r w:rsidRPr="007A177A">
        <w:rPr>
          <w:rFonts w:cs="Arial"/>
        </w:rPr>
        <w:t xml:space="preserve">l presente proceso aplica </w:t>
      </w:r>
      <w:r w:rsidR="009D0E50" w:rsidRPr="007A177A">
        <w:rPr>
          <w:rFonts w:cs="Arial"/>
        </w:rPr>
        <w:t>el artículo 55 de la Ley 446 de 1998</w:t>
      </w:r>
      <w:r w:rsidRPr="007A177A">
        <w:rPr>
          <w:rFonts w:cs="Arial"/>
        </w:rPr>
        <w:t xml:space="preserve">, el cual </w:t>
      </w:r>
      <w:r w:rsidR="009D0E50" w:rsidRPr="007A177A">
        <w:rPr>
          <w:rFonts w:cs="Arial"/>
        </w:rPr>
        <w:t xml:space="preserve">indica que sólo hay lugar a la imposición de costas cuando alguna de las partes hubiere actuado temerariamente y, en el </w:t>
      </w:r>
      <w:r w:rsidR="009D0E50" w:rsidRPr="007A177A">
        <w:rPr>
          <w:rFonts w:cs="Arial"/>
          <w:i/>
          <w:iCs/>
        </w:rPr>
        <w:t>sub lite</w:t>
      </w:r>
      <w:r w:rsidRPr="007A177A">
        <w:rPr>
          <w:rFonts w:cs="Arial"/>
          <w:i/>
          <w:iCs/>
        </w:rPr>
        <w:t xml:space="preserve"> se observa que </w:t>
      </w:r>
      <w:r w:rsidR="009D0E50" w:rsidRPr="007A177A">
        <w:rPr>
          <w:rFonts w:cs="Arial"/>
        </w:rPr>
        <w:t xml:space="preserve">ninguna </w:t>
      </w:r>
      <w:r w:rsidRPr="007A177A">
        <w:rPr>
          <w:rFonts w:cs="Arial"/>
        </w:rPr>
        <w:t xml:space="preserve">de ellas </w:t>
      </w:r>
      <w:r w:rsidR="009D0E50" w:rsidRPr="007A177A">
        <w:rPr>
          <w:rFonts w:cs="Arial"/>
        </w:rPr>
        <w:t xml:space="preserve">actuó de esa forma, </w:t>
      </w:r>
      <w:r w:rsidRPr="007A177A">
        <w:rPr>
          <w:rFonts w:cs="Arial"/>
        </w:rPr>
        <w:t xml:space="preserve">se concluye que </w:t>
      </w:r>
      <w:r w:rsidR="009D0E50" w:rsidRPr="007A177A">
        <w:rPr>
          <w:rFonts w:cs="Arial"/>
        </w:rPr>
        <w:t>en el presente asunto no habrá lugar a imponer</w:t>
      </w:r>
      <w:r w:rsidRPr="007A177A">
        <w:rPr>
          <w:rFonts w:cs="Arial"/>
        </w:rPr>
        <w:t xml:space="preserve"> condena en costas</w:t>
      </w:r>
      <w:r w:rsidR="009D0E50" w:rsidRPr="007A177A">
        <w:rPr>
          <w:rFonts w:cs="Arial"/>
        </w:rPr>
        <w:t>.</w:t>
      </w:r>
    </w:p>
    <w:p w14:paraId="42BCAB12" w14:textId="77777777" w:rsidR="008977E7" w:rsidRPr="007A177A" w:rsidRDefault="008977E7" w:rsidP="00BF333B">
      <w:pPr>
        <w:pStyle w:val="Textoindependiente22"/>
        <w:numPr>
          <w:ilvl w:val="12"/>
          <w:numId w:val="0"/>
        </w:numPr>
        <w:overflowPunct/>
        <w:autoSpaceDE/>
        <w:autoSpaceDN/>
        <w:adjustRightInd/>
        <w:textAlignment w:val="auto"/>
        <w:rPr>
          <w:rFonts w:cs="Arial"/>
          <w:szCs w:val="24"/>
        </w:rPr>
      </w:pPr>
    </w:p>
    <w:p w14:paraId="5AFBBCC3" w14:textId="77777777" w:rsidR="009D0E50" w:rsidRPr="007A177A" w:rsidRDefault="009D0E50" w:rsidP="00BF333B">
      <w:pPr>
        <w:pStyle w:val="Textoindependiente22"/>
        <w:numPr>
          <w:ilvl w:val="12"/>
          <w:numId w:val="0"/>
        </w:numPr>
        <w:overflowPunct/>
        <w:autoSpaceDE/>
        <w:autoSpaceDN/>
        <w:adjustRightInd/>
        <w:textAlignment w:val="auto"/>
        <w:rPr>
          <w:rFonts w:cs="Arial"/>
          <w:szCs w:val="24"/>
        </w:rPr>
      </w:pPr>
      <w:r w:rsidRPr="007A177A">
        <w:rPr>
          <w:rFonts w:cs="Arial"/>
          <w:szCs w:val="24"/>
        </w:rPr>
        <w:t>En mérito de lo expuesto, el Consejo de Estado, en Sala de lo Contencioso Administrativo, Sección Tercera, Subsección A, administrando justicia en nombre de la República de Colombia y por autoridad de la ley,</w:t>
      </w:r>
    </w:p>
    <w:p w14:paraId="06855BE9" w14:textId="77777777" w:rsidR="009D0E50" w:rsidRPr="007A177A" w:rsidRDefault="009D0E50" w:rsidP="00BF333B">
      <w:pPr>
        <w:spacing w:line="360" w:lineRule="auto"/>
        <w:jc w:val="both"/>
        <w:rPr>
          <w:rFonts w:ascii="Arial" w:hAnsi="Arial" w:cs="Arial"/>
        </w:rPr>
      </w:pPr>
    </w:p>
    <w:p w14:paraId="4523AFAB" w14:textId="77777777" w:rsidR="009D0E50" w:rsidRPr="007A177A" w:rsidRDefault="009D0E50" w:rsidP="00BF333B">
      <w:pPr>
        <w:pStyle w:val="Ttulo5"/>
        <w:spacing w:before="0" w:after="0" w:line="360" w:lineRule="auto"/>
        <w:jc w:val="center"/>
        <w:rPr>
          <w:rFonts w:ascii="Arial" w:hAnsi="Arial" w:cs="Arial"/>
          <w:bCs w:val="0"/>
          <w:i w:val="0"/>
          <w:sz w:val="24"/>
          <w:szCs w:val="24"/>
        </w:rPr>
      </w:pPr>
      <w:r w:rsidRPr="007A177A">
        <w:rPr>
          <w:rFonts w:ascii="Arial" w:hAnsi="Arial" w:cs="Arial"/>
          <w:i w:val="0"/>
          <w:sz w:val="24"/>
          <w:szCs w:val="24"/>
        </w:rPr>
        <w:t xml:space="preserve">F A L </w:t>
      </w:r>
      <w:proofErr w:type="spellStart"/>
      <w:r w:rsidRPr="007A177A">
        <w:rPr>
          <w:rFonts w:ascii="Arial" w:hAnsi="Arial" w:cs="Arial"/>
          <w:i w:val="0"/>
          <w:sz w:val="24"/>
          <w:szCs w:val="24"/>
        </w:rPr>
        <w:t>L</w:t>
      </w:r>
      <w:proofErr w:type="spellEnd"/>
      <w:r w:rsidRPr="007A177A">
        <w:rPr>
          <w:rFonts w:ascii="Arial" w:hAnsi="Arial" w:cs="Arial"/>
          <w:i w:val="0"/>
          <w:sz w:val="24"/>
          <w:szCs w:val="24"/>
        </w:rPr>
        <w:t xml:space="preserve"> A</w:t>
      </w:r>
    </w:p>
    <w:p w14:paraId="05170B8A" w14:textId="77777777" w:rsidR="009D0E50" w:rsidRPr="007A177A" w:rsidRDefault="009D0E50" w:rsidP="00BF333B">
      <w:pPr>
        <w:widowControl w:val="0"/>
        <w:autoSpaceDE w:val="0"/>
        <w:autoSpaceDN w:val="0"/>
        <w:adjustRightInd w:val="0"/>
        <w:spacing w:line="360" w:lineRule="auto"/>
        <w:jc w:val="both"/>
        <w:rPr>
          <w:rFonts w:ascii="Arial" w:hAnsi="Arial" w:cs="Arial"/>
          <w:b/>
        </w:rPr>
      </w:pPr>
    </w:p>
    <w:p w14:paraId="60226D7F" w14:textId="77777777" w:rsidR="008977E7" w:rsidRPr="007A177A" w:rsidRDefault="009D0E50" w:rsidP="00BF333B">
      <w:pPr>
        <w:widowControl w:val="0"/>
        <w:autoSpaceDE w:val="0"/>
        <w:autoSpaceDN w:val="0"/>
        <w:adjustRightInd w:val="0"/>
        <w:spacing w:line="360" w:lineRule="auto"/>
        <w:jc w:val="both"/>
        <w:rPr>
          <w:rFonts w:ascii="Arial" w:hAnsi="Arial" w:cs="Arial"/>
        </w:rPr>
      </w:pPr>
      <w:r w:rsidRPr="007A177A">
        <w:rPr>
          <w:rFonts w:ascii="Arial" w:hAnsi="Arial" w:cs="Arial"/>
          <w:b/>
        </w:rPr>
        <w:t xml:space="preserve">PRIMERO: </w:t>
      </w:r>
      <w:r w:rsidR="008977E7" w:rsidRPr="007A177A">
        <w:rPr>
          <w:rFonts w:ascii="Arial" w:hAnsi="Arial" w:cs="Arial"/>
          <w:b/>
        </w:rPr>
        <w:t xml:space="preserve">REVOCAR </w:t>
      </w:r>
      <w:r w:rsidRPr="007A177A">
        <w:rPr>
          <w:rFonts w:ascii="Arial" w:hAnsi="Arial" w:cs="Arial"/>
          <w:lang w:val="es-CO"/>
        </w:rPr>
        <w:t xml:space="preserve">la sentencia </w:t>
      </w:r>
      <w:r w:rsidR="008977E7" w:rsidRPr="007A177A">
        <w:rPr>
          <w:rFonts w:ascii="Arial" w:hAnsi="Arial" w:cs="Arial"/>
        </w:rPr>
        <w:t>proferida por el Tribunal Administrativo de Bolívar</w:t>
      </w:r>
      <w:r w:rsidR="00D263DF" w:rsidRPr="007A177A">
        <w:rPr>
          <w:rFonts w:ascii="Arial" w:hAnsi="Arial" w:cs="Arial"/>
        </w:rPr>
        <w:t xml:space="preserve">, Sala de Decisión No. 5 del sistema escritural </w:t>
      </w:r>
      <w:r w:rsidR="00B61C99" w:rsidRPr="007A177A">
        <w:rPr>
          <w:rFonts w:ascii="Arial" w:hAnsi="Arial" w:cs="Arial"/>
        </w:rPr>
        <w:t xml:space="preserve">en </w:t>
      </w:r>
      <w:r w:rsidR="008977E7" w:rsidRPr="007A177A">
        <w:rPr>
          <w:rFonts w:ascii="Arial" w:hAnsi="Arial" w:cs="Arial"/>
        </w:rPr>
        <w:t>descongestión</w:t>
      </w:r>
      <w:r w:rsidR="00D263DF" w:rsidRPr="007A177A">
        <w:rPr>
          <w:rFonts w:ascii="Arial" w:hAnsi="Arial" w:cs="Arial"/>
        </w:rPr>
        <w:t>,</w:t>
      </w:r>
      <w:r w:rsidR="008977E7" w:rsidRPr="007A177A">
        <w:rPr>
          <w:rFonts w:ascii="Arial" w:hAnsi="Arial" w:cs="Arial"/>
        </w:rPr>
        <w:t xml:space="preserve"> el 24 de noviembre de 2016</w:t>
      </w:r>
      <w:r w:rsidR="00861BE8" w:rsidRPr="007A177A">
        <w:rPr>
          <w:rFonts w:ascii="Arial" w:hAnsi="Arial" w:cs="Arial"/>
        </w:rPr>
        <w:t xml:space="preserve"> y, en su lugar, </w:t>
      </w:r>
      <w:r w:rsidR="00861BE8" w:rsidRPr="007A177A">
        <w:rPr>
          <w:rFonts w:ascii="Arial" w:hAnsi="Arial" w:cs="Arial"/>
          <w:b/>
        </w:rPr>
        <w:t>SE NIEGAN</w:t>
      </w:r>
      <w:r w:rsidR="00861BE8" w:rsidRPr="007A177A">
        <w:rPr>
          <w:rFonts w:ascii="Arial" w:hAnsi="Arial" w:cs="Arial"/>
        </w:rPr>
        <w:t xml:space="preserve"> las pretensiones de la demanda.</w:t>
      </w:r>
    </w:p>
    <w:p w14:paraId="23CF7C1A" w14:textId="77777777" w:rsidR="009D0E50" w:rsidRPr="007A177A" w:rsidRDefault="009D0E50" w:rsidP="00BF333B">
      <w:pPr>
        <w:widowControl w:val="0"/>
        <w:spacing w:line="360" w:lineRule="auto"/>
        <w:ind w:left="851"/>
        <w:jc w:val="both"/>
        <w:rPr>
          <w:rFonts w:ascii="Arial" w:hAnsi="Arial" w:cs="Arial"/>
        </w:rPr>
      </w:pPr>
    </w:p>
    <w:p w14:paraId="69D8B88D" w14:textId="77777777" w:rsidR="009D0E50" w:rsidRPr="007A177A" w:rsidRDefault="009D0E50" w:rsidP="00BF333B">
      <w:pPr>
        <w:widowControl w:val="0"/>
        <w:autoSpaceDE w:val="0"/>
        <w:autoSpaceDN w:val="0"/>
        <w:adjustRightInd w:val="0"/>
        <w:spacing w:line="360" w:lineRule="auto"/>
        <w:jc w:val="both"/>
        <w:rPr>
          <w:rFonts w:ascii="Arial" w:hAnsi="Arial" w:cs="Arial"/>
        </w:rPr>
      </w:pPr>
      <w:r w:rsidRPr="007A177A">
        <w:rPr>
          <w:rFonts w:ascii="Arial" w:hAnsi="Arial" w:cs="Arial"/>
          <w:b/>
        </w:rPr>
        <w:t xml:space="preserve">SEGUNDO: </w:t>
      </w:r>
      <w:r w:rsidRPr="007A177A">
        <w:rPr>
          <w:rFonts w:ascii="Arial" w:hAnsi="Arial" w:cs="Arial"/>
        </w:rPr>
        <w:t>Sin condena en costas.</w:t>
      </w:r>
    </w:p>
    <w:p w14:paraId="3A2CE186" w14:textId="77777777" w:rsidR="009D0E50" w:rsidRPr="007A177A" w:rsidRDefault="009D0E50" w:rsidP="00BF333B">
      <w:pPr>
        <w:widowControl w:val="0"/>
        <w:autoSpaceDE w:val="0"/>
        <w:autoSpaceDN w:val="0"/>
        <w:adjustRightInd w:val="0"/>
        <w:spacing w:line="360" w:lineRule="auto"/>
        <w:jc w:val="both"/>
        <w:rPr>
          <w:rFonts w:ascii="Arial" w:hAnsi="Arial" w:cs="Arial"/>
        </w:rPr>
      </w:pPr>
    </w:p>
    <w:p w14:paraId="66D4A586" w14:textId="77777777" w:rsidR="009D0E50" w:rsidRPr="007A177A" w:rsidRDefault="009D0E50" w:rsidP="00BF333B">
      <w:pPr>
        <w:widowControl w:val="0"/>
        <w:autoSpaceDE w:val="0"/>
        <w:autoSpaceDN w:val="0"/>
        <w:adjustRightInd w:val="0"/>
        <w:spacing w:line="360" w:lineRule="auto"/>
        <w:jc w:val="both"/>
        <w:rPr>
          <w:rFonts w:ascii="Arial" w:hAnsi="Arial" w:cs="Arial"/>
        </w:rPr>
      </w:pPr>
      <w:r w:rsidRPr="007A177A">
        <w:rPr>
          <w:rFonts w:ascii="Arial" w:hAnsi="Arial" w:cs="Arial"/>
          <w:b/>
        </w:rPr>
        <w:t xml:space="preserve">TERCERO: </w:t>
      </w:r>
      <w:r w:rsidRPr="007A177A">
        <w:rPr>
          <w:rFonts w:ascii="Arial" w:hAnsi="Arial" w:cs="Arial"/>
        </w:rPr>
        <w:t xml:space="preserve">En firme esta providencia, devuélvase el expediente al Tribunal de </w:t>
      </w:r>
      <w:r w:rsidRPr="007A177A">
        <w:rPr>
          <w:rFonts w:ascii="Arial" w:hAnsi="Arial" w:cs="Arial"/>
        </w:rPr>
        <w:lastRenderedPageBreak/>
        <w:t>origen.</w:t>
      </w:r>
    </w:p>
    <w:p w14:paraId="06DEE957" w14:textId="77777777" w:rsidR="00B73D25" w:rsidRPr="007A177A" w:rsidRDefault="00B73D25" w:rsidP="00BF333B">
      <w:pPr>
        <w:widowControl w:val="0"/>
        <w:autoSpaceDE w:val="0"/>
        <w:autoSpaceDN w:val="0"/>
        <w:adjustRightInd w:val="0"/>
        <w:jc w:val="both"/>
        <w:rPr>
          <w:rFonts w:ascii="Arial" w:hAnsi="Arial" w:cs="Arial"/>
          <w:b/>
          <w:bCs/>
        </w:rPr>
      </w:pPr>
    </w:p>
    <w:p w14:paraId="30AA520C" w14:textId="77777777" w:rsidR="00B73D25" w:rsidRPr="007A177A" w:rsidRDefault="00B73D25" w:rsidP="00BF333B">
      <w:pPr>
        <w:widowControl w:val="0"/>
        <w:autoSpaceDE w:val="0"/>
        <w:autoSpaceDN w:val="0"/>
        <w:adjustRightInd w:val="0"/>
        <w:jc w:val="both"/>
        <w:rPr>
          <w:rFonts w:ascii="Arial" w:hAnsi="Arial" w:cs="Arial"/>
          <w:b/>
          <w:bCs/>
        </w:rPr>
      </w:pPr>
    </w:p>
    <w:p w14:paraId="111A6CFB" w14:textId="77777777" w:rsidR="00BF333B" w:rsidRPr="007A177A" w:rsidRDefault="00BF333B" w:rsidP="00BF333B">
      <w:pPr>
        <w:widowControl w:val="0"/>
        <w:autoSpaceDE w:val="0"/>
        <w:autoSpaceDN w:val="0"/>
        <w:adjustRightInd w:val="0"/>
        <w:jc w:val="both"/>
        <w:rPr>
          <w:rFonts w:ascii="Arial" w:hAnsi="Arial" w:cs="Arial"/>
          <w:b/>
          <w:bCs/>
        </w:rPr>
      </w:pPr>
    </w:p>
    <w:p w14:paraId="3DD38BC3" w14:textId="77777777" w:rsidR="00BF333B" w:rsidRPr="007A177A" w:rsidRDefault="00BF333B" w:rsidP="00BF333B">
      <w:pPr>
        <w:widowControl w:val="0"/>
        <w:autoSpaceDE w:val="0"/>
        <w:autoSpaceDN w:val="0"/>
        <w:adjustRightInd w:val="0"/>
        <w:jc w:val="both"/>
        <w:rPr>
          <w:rFonts w:ascii="Arial" w:hAnsi="Arial" w:cs="Arial"/>
          <w:b/>
          <w:bCs/>
        </w:rPr>
      </w:pPr>
    </w:p>
    <w:p w14:paraId="77A5829D" w14:textId="77777777" w:rsidR="008977E7" w:rsidRPr="007A177A" w:rsidRDefault="008977E7" w:rsidP="00BF333B">
      <w:pPr>
        <w:widowControl w:val="0"/>
        <w:autoSpaceDE w:val="0"/>
        <w:autoSpaceDN w:val="0"/>
        <w:adjustRightInd w:val="0"/>
        <w:jc w:val="both"/>
        <w:rPr>
          <w:rFonts w:ascii="Arial" w:hAnsi="Arial" w:cs="Arial"/>
          <w:b/>
          <w:bCs/>
        </w:rPr>
      </w:pPr>
      <w:r w:rsidRPr="007A177A">
        <w:rPr>
          <w:rFonts w:ascii="Arial" w:hAnsi="Arial" w:cs="Arial"/>
          <w:b/>
          <w:bCs/>
        </w:rPr>
        <w:t xml:space="preserve">MARÍA ADRIANA </w:t>
      </w:r>
      <w:r w:rsidR="001B59D5" w:rsidRPr="007A177A">
        <w:rPr>
          <w:rFonts w:ascii="Arial" w:hAnsi="Arial" w:cs="Arial"/>
          <w:b/>
          <w:bCs/>
        </w:rPr>
        <w:t xml:space="preserve">MARÍN </w:t>
      </w:r>
      <w:r w:rsidRPr="007A177A">
        <w:rPr>
          <w:rFonts w:ascii="Arial" w:hAnsi="Arial" w:cs="Arial"/>
          <w:b/>
          <w:bCs/>
        </w:rPr>
        <w:tab/>
      </w:r>
      <w:r w:rsidRPr="007A177A">
        <w:rPr>
          <w:rFonts w:ascii="Arial" w:hAnsi="Arial" w:cs="Arial"/>
          <w:b/>
          <w:bCs/>
        </w:rPr>
        <w:tab/>
      </w:r>
      <w:r w:rsidR="00D263DF" w:rsidRPr="007A177A">
        <w:rPr>
          <w:rFonts w:ascii="Arial" w:hAnsi="Arial" w:cs="Arial"/>
          <w:b/>
          <w:bCs/>
        </w:rPr>
        <w:t xml:space="preserve">       </w:t>
      </w:r>
      <w:r w:rsidRPr="007A177A">
        <w:rPr>
          <w:rFonts w:ascii="Arial" w:hAnsi="Arial" w:cs="Arial"/>
          <w:b/>
          <w:bCs/>
        </w:rPr>
        <w:t xml:space="preserve">MARTA NUBIA </w:t>
      </w:r>
      <w:r w:rsidR="001B59D5" w:rsidRPr="007A177A">
        <w:rPr>
          <w:rFonts w:ascii="Arial" w:hAnsi="Arial" w:cs="Arial"/>
          <w:b/>
          <w:bCs/>
        </w:rPr>
        <w:t xml:space="preserve">VELÁSQUEZ </w:t>
      </w:r>
      <w:r w:rsidRPr="007A177A">
        <w:rPr>
          <w:rFonts w:ascii="Arial" w:hAnsi="Arial" w:cs="Arial"/>
          <w:b/>
          <w:bCs/>
        </w:rPr>
        <w:t>RICO</w:t>
      </w:r>
    </w:p>
    <w:p w14:paraId="2390CBE1" w14:textId="77777777" w:rsidR="008977E7" w:rsidRPr="007A177A" w:rsidRDefault="008977E7" w:rsidP="00BF333B">
      <w:pPr>
        <w:widowControl w:val="0"/>
        <w:autoSpaceDE w:val="0"/>
        <w:autoSpaceDN w:val="0"/>
        <w:adjustRightInd w:val="0"/>
        <w:jc w:val="both"/>
        <w:rPr>
          <w:rFonts w:ascii="Arial" w:hAnsi="Arial" w:cs="Arial"/>
          <w:b/>
          <w:bCs/>
        </w:rPr>
      </w:pPr>
    </w:p>
    <w:p w14:paraId="04EA408C" w14:textId="77777777" w:rsidR="00BF333B" w:rsidRPr="007A177A" w:rsidRDefault="00BF333B" w:rsidP="00BF333B">
      <w:pPr>
        <w:widowControl w:val="0"/>
        <w:autoSpaceDE w:val="0"/>
        <w:autoSpaceDN w:val="0"/>
        <w:adjustRightInd w:val="0"/>
        <w:jc w:val="both"/>
        <w:rPr>
          <w:rFonts w:ascii="Arial" w:hAnsi="Arial" w:cs="Arial"/>
          <w:b/>
          <w:bCs/>
        </w:rPr>
      </w:pPr>
    </w:p>
    <w:p w14:paraId="29BAEB1D" w14:textId="77777777" w:rsidR="00B73D25" w:rsidRPr="007A177A" w:rsidRDefault="00B73D25" w:rsidP="00BF333B">
      <w:pPr>
        <w:widowControl w:val="0"/>
        <w:autoSpaceDE w:val="0"/>
        <w:autoSpaceDN w:val="0"/>
        <w:adjustRightInd w:val="0"/>
        <w:jc w:val="both"/>
        <w:rPr>
          <w:rFonts w:ascii="Arial" w:hAnsi="Arial" w:cs="Arial"/>
          <w:b/>
          <w:bCs/>
        </w:rPr>
      </w:pPr>
    </w:p>
    <w:p w14:paraId="02DA907B" w14:textId="77777777" w:rsidR="00B73D25" w:rsidRPr="007A177A" w:rsidRDefault="00B73D25" w:rsidP="00BF333B">
      <w:pPr>
        <w:widowControl w:val="0"/>
        <w:autoSpaceDE w:val="0"/>
        <w:autoSpaceDN w:val="0"/>
        <w:adjustRightInd w:val="0"/>
        <w:jc w:val="both"/>
        <w:rPr>
          <w:rFonts w:ascii="Arial" w:hAnsi="Arial" w:cs="Arial"/>
          <w:b/>
          <w:bCs/>
        </w:rPr>
      </w:pPr>
    </w:p>
    <w:p w14:paraId="15E5631A" w14:textId="77777777" w:rsidR="008977E7" w:rsidRPr="007A177A" w:rsidRDefault="008977E7" w:rsidP="00BF333B">
      <w:pPr>
        <w:widowControl w:val="0"/>
        <w:autoSpaceDE w:val="0"/>
        <w:autoSpaceDN w:val="0"/>
        <w:adjustRightInd w:val="0"/>
        <w:jc w:val="center"/>
        <w:rPr>
          <w:rFonts w:ascii="Arial" w:hAnsi="Arial" w:cs="Arial"/>
          <w:b/>
          <w:bCs/>
        </w:rPr>
      </w:pPr>
      <w:r w:rsidRPr="007A177A">
        <w:rPr>
          <w:rFonts w:ascii="Arial" w:hAnsi="Arial" w:cs="Arial"/>
          <w:b/>
          <w:bCs/>
        </w:rPr>
        <w:t>CARLOS ALBERTO ZAMBRANO</w:t>
      </w:r>
      <w:r w:rsidR="001B59D5" w:rsidRPr="007A177A">
        <w:rPr>
          <w:rFonts w:ascii="Arial" w:hAnsi="Arial" w:cs="Arial"/>
          <w:b/>
          <w:bCs/>
        </w:rPr>
        <w:t xml:space="preserve"> BARRERA</w:t>
      </w:r>
    </w:p>
    <w:sectPr w:rsidR="008977E7" w:rsidRPr="007A177A" w:rsidSect="007A177A">
      <w:pgSz w:w="12242" w:h="18722" w:code="14"/>
      <w:pgMar w:top="1701" w:right="1701" w:bottom="1701" w:left="1701"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CC27E" w14:textId="77777777" w:rsidR="008A0791" w:rsidRDefault="008A0791">
      <w:r>
        <w:separator/>
      </w:r>
    </w:p>
  </w:endnote>
  <w:endnote w:type="continuationSeparator" w:id="0">
    <w:p w14:paraId="7910AD4E" w14:textId="77777777" w:rsidR="008A0791" w:rsidRDefault="008A0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9C10FC" w14:textId="77777777" w:rsidR="008A0791" w:rsidRDefault="008A0791">
      <w:r>
        <w:separator/>
      </w:r>
    </w:p>
  </w:footnote>
  <w:footnote w:type="continuationSeparator" w:id="0">
    <w:p w14:paraId="14082AFD" w14:textId="77777777" w:rsidR="008A0791" w:rsidRDefault="008A0791">
      <w:r>
        <w:continuationSeparator/>
      </w:r>
    </w:p>
  </w:footnote>
  <w:footnote w:id="1">
    <w:p w14:paraId="6B171264"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La sentencia incurrió en un error en el número del contrato, que era 358 y no 368.</w:t>
      </w:r>
    </w:p>
  </w:footnote>
  <w:footnote w:id="2">
    <w:p w14:paraId="6F297A77" w14:textId="77777777" w:rsidR="0057689A" w:rsidRPr="007A68EA" w:rsidRDefault="0057689A" w:rsidP="007A68EA">
      <w:pPr>
        <w:pStyle w:val="Textonotapie"/>
        <w:jc w:val="both"/>
        <w:rPr>
          <w:lang w:val="es-CO"/>
        </w:rPr>
      </w:pPr>
      <w:r w:rsidRPr="007A68EA">
        <w:rPr>
          <w:rStyle w:val="Refdenotaalpie"/>
        </w:rPr>
        <w:footnoteRef/>
      </w:r>
      <w:r w:rsidRPr="007A68EA">
        <w:t xml:space="preserve"> El detalle de los conceptos que fueron materia de la condena </w:t>
      </w:r>
      <w:r w:rsidRPr="007A68EA">
        <w:rPr>
          <w:lang w:val="es-CO"/>
        </w:rPr>
        <w:t xml:space="preserve">se transcribirá en el acápite correspondiente al resumen de la sentencia apelada. </w:t>
      </w:r>
    </w:p>
  </w:footnote>
  <w:footnote w:id="3">
    <w:p w14:paraId="254C160D" w14:textId="77777777" w:rsidR="0057689A" w:rsidRPr="007A68EA" w:rsidRDefault="0057689A" w:rsidP="007A68EA">
      <w:pPr>
        <w:pStyle w:val="Textonotapie"/>
        <w:jc w:val="both"/>
        <w:rPr>
          <w:lang w:val="es-CO"/>
        </w:rPr>
      </w:pPr>
      <w:r w:rsidRPr="007A68EA">
        <w:rPr>
          <w:rStyle w:val="Refdenotaalpie"/>
        </w:rPr>
        <w:footnoteRef/>
      </w:r>
      <w:r w:rsidRPr="007A68EA">
        <w:t xml:space="preserve"> La repetición de la numeración es del texto de la sentencia.</w:t>
      </w:r>
    </w:p>
  </w:footnote>
  <w:footnote w:id="4">
    <w:p w14:paraId="72F6BD12"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En adelante se podrán denominar: el contratista (de acuerdo con el contrato) o las contratistas.</w:t>
      </w:r>
    </w:p>
  </w:footnote>
  <w:footnote w:id="5">
    <w:p w14:paraId="7EC05F42"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 xml:space="preserve">Folios 299 a 329 de la AZ 3. </w:t>
      </w:r>
    </w:p>
  </w:footnote>
  <w:footnote w:id="6">
    <w:p w14:paraId="351373C5"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En adelante se podrá denominar Invías.</w:t>
      </w:r>
    </w:p>
  </w:footnote>
  <w:footnote w:id="7">
    <w:p w14:paraId="464D0BBB"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Folios 560 y 561 del cuaderno principal segunda instancia y folios 420 y 421 del cuaderno 1.</w:t>
      </w:r>
    </w:p>
  </w:footnote>
  <w:footnote w:id="8">
    <w:p w14:paraId="14C7E37F"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 xml:space="preserve">Teniendo en cuenta que el contrato terminó el 31 de julio de 1981 y que la demanda se presentó el 30 de abril de 2001, folio 435 del cuaderno 1.   </w:t>
      </w:r>
    </w:p>
  </w:footnote>
  <w:footnote w:id="9">
    <w:p w14:paraId="536F3B74" w14:textId="77777777" w:rsidR="0057689A" w:rsidRPr="007A68EA" w:rsidRDefault="0057689A" w:rsidP="007A68EA">
      <w:pPr>
        <w:pStyle w:val="Textonotapie"/>
        <w:jc w:val="both"/>
        <w:rPr>
          <w:lang w:val="es-CO"/>
        </w:rPr>
      </w:pPr>
      <w:r w:rsidRPr="007A68EA">
        <w:rPr>
          <w:rStyle w:val="Refdenotaalpie"/>
        </w:rPr>
        <w:footnoteRef/>
      </w:r>
      <w:r w:rsidRPr="007A68EA">
        <w:t xml:space="preserve"> P</w:t>
      </w:r>
      <w:r w:rsidRPr="007A68EA">
        <w:rPr>
          <w:bCs/>
        </w:rPr>
        <w:t xml:space="preserve">or el cual se asignó a la jurisdicción de lo contencioso administrativo el conocimiento de las controversias contractuales (artículo 30). </w:t>
      </w:r>
    </w:p>
  </w:footnote>
  <w:footnote w:id="10">
    <w:p w14:paraId="6D48B372"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 xml:space="preserve">Consejo de Estado, Sala de lo Contencioso Administrativo, Sección Tercera, Consejera ponente: María Elena Giraldo Gómez, auto de 23 de enero de 2001, folios 430 a 438 del cuaderno 1.  </w:t>
      </w:r>
    </w:p>
  </w:footnote>
  <w:footnote w:id="11">
    <w:p w14:paraId="1919023F"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Sin día exacto de firma.</w:t>
      </w:r>
    </w:p>
  </w:footnote>
  <w:footnote w:id="12">
    <w:p w14:paraId="6F77D8AA"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 xml:space="preserve">En esta acta los funcionarios de la entidad “aprehenden” la obra, más que recibirla,  pues el contratista no hace presencia. </w:t>
      </w:r>
    </w:p>
  </w:footnote>
  <w:footnote w:id="13">
    <w:p w14:paraId="63BFF149" w14:textId="77777777" w:rsidR="0057689A" w:rsidRPr="007A68EA" w:rsidRDefault="0057689A" w:rsidP="007A68EA">
      <w:pPr>
        <w:pStyle w:val="Textonotapie"/>
        <w:jc w:val="both"/>
        <w:rPr>
          <w:lang w:val="es-CO"/>
        </w:rPr>
      </w:pPr>
      <w:r w:rsidRPr="007A68EA">
        <w:rPr>
          <w:rStyle w:val="Refdenotaalpie"/>
        </w:rPr>
        <w:footnoteRef/>
      </w:r>
      <w:r w:rsidRPr="007A68EA">
        <w:t xml:space="preserve"> Radicación 201-20-VI-83, </w:t>
      </w:r>
      <w:r w:rsidRPr="007A68EA">
        <w:rPr>
          <w:lang w:val="es-CO"/>
        </w:rPr>
        <w:t xml:space="preserve">Folios 478 y 479 del cuaderno 1. </w:t>
      </w:r>
    </w:p>
  </w:footnote>
  <w:footnote w:id="14">
    <w:p w14:paraId="55985D5A"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Acta de 9 de marzo de 1983, folios 473 y 474 del cuaderno 1.</w:t>
      </w:r>
    </w:p>
  </w:footnote>
  <w:footnote w:id="15">
    <w:p w14:paraId="51422BBF" w14:textId="77777777" w:rsidR="0057689A" w:rsidRPr="007A68EA" w:rsidRDefault="0057689A" w:rsidP="007A68EA">
      <w:pPr>
        <w:pStyle w:val="Textonotapie"/>
        <w:jc w:val="both"/>
        <w:rPr>
          <w:lang w:val="es-CO"/>
        </w:rPr>
      </w:pPr>
      <w:r w:rsidRPr="007A68EA">
        <w:rPr>
          <w:rStyle w:val="Refdenotaalpie"/>
        </w:rPr>
        <w:footnoteRef/>
      </w:r>
      <w:r w:rsidRPr="007A68EA">
        <w:t xml:space="preserve"> Folio 472 del cuaderno 1. </w:t>
      </w:r>
    </w:p>
  </w:footnote>
  <w:footnote w:id="16">
    <w:p w14:paraId="7295275C"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 xml:space="preserve">Folio 519 del cuaderno 1. </w:t>
      </w:r>
    </w:p>
  </w:footnote>
  <w:footnote w:id="17">
    <w:p w14:paraId="5F13E09E"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 xml:space="preserve">Folios 229 y 230 del cuaderno 1. </w:t>
      </w:r>
    </w:p>
  </w:footnote>
  <w:footnote w:id="18">
    <w:p w14:paraId="189CF254"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Creada con fundamento en el Acuerdo No. PSAA 15-10414 del 1º de diciembre de 2015 del Consejo Superior de la Judicatura “</w:t>
      </w:r>
      <w:r w:rsidRPr="007A68EA">
        <w:rPr>
          <w:i/>
          <w:lang w:val="es-CO"/>
        </w:rPr>
        <w:t>Por el cual se establece la transición entre los despachos de descongestión y los permanentes”.</w:t>
      </w:r>
    </w:p>
  </w:footnote>
  <w:footnote w:id="19">
    <w:p w14:paraId="58094DB1"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Cálculo de intereses de mora, con imputación de los pagos, primero a intereses y luego a capital.</w:t>
      </w:r>
    </w:p>
  </w:footnote>
  <w:footnote w:id="20">
    <w:p w14:paraId="77F65C95"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Esta partida se calculó por mayor valor en la excavación en roca, sobre la suma de $23’495.850 x162,96 /0,82162- índice inicial de IPC enero de 1979 – acta de modificación 2, página 137 de la sentencia.</w:t>
      </w:r>
    </w:p>
  </w:footnote>
  <w:footnote w:id="21">
    <w:p w14:paraId="414AC5CD"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 xml:space="preserve">Esta partida se calculó con el valor de acarreo por terraplenes </w:t>
      </w:r>
      <w:r w:rsidRPr="007A68EA">
        <w:rPr>
          <w:i/>
          <w:lang w:val="es-CO"/>
        </w:rPr>
        <w:t>“capa superior de 1.20”</w:t>
      </w:r>
      <w:r w:rsidRPr="007A68EA">
        <w:rPr>
          <w:lang w:val="es-CO"/>
        </w:rPr>
        <w:t xml:space="preserve"> $8’667.332,78 x 162,96/0.9467, índice inicial de IPC de agosto de 1979 – acta de modificación 4, página 138 de la sentencia.</w:t>
      </w:r>
    </w:p>
  </w:footnote>
  <w:footnote w:id="22">
    <w:p w14:paraId="6C93251C" w14:textId="77777777" w:rsidR="0057689A" w:rsidRPr="007A68EA" w:rsidRDefault="0057689A" w:rsidP="007A68EA">
      <w:pPr>
        <w:pStyle w:val="Textonotapie"/>
        <w:ind w:right="51"/>
        <w:jc w:val="both"/>
        <w:rPr>
          <w:lang w:val="es-CO"/>
        </w:rPr>
      </w:pPr>
      <w:r w:rsidRPr="007A68EA">
        <w:rPr>
          <w:rStyle w:val="Refdenotaalpie"/>
        </w:rPr>
        <w:footnoteRef/>
      </w:r>
      <w:r w:rsidRPr="007A68EA">
        <w:t xml:space="preserve">  Esta partida se calculó con base en 82.090,30 M3-Km de acarreo por terraplenes, sobre la suma de $2.216’438 x 162,96/1,17635, índice inicial de IPC correspondiente a junio de 1980 – pre actas 23 a 30. página 138 de la sentencia. </w:t>
      </w:r>
    </w:p>
  </w:footnote>
  <w:footnote w:id="23">
    <w:p w14:paraId="640382A1" w14:textId="77777777" w:rsidR="0057689A" w:rsidRPr="007A68EA" w:rsidRDefault="0057689A" w:rsidP="007A68EA">
      <w:pPr>
        <w:pStyle w:val="Textonotapie"/>
        <w:ind w:right="51"/>
        <w:jc w:val="both"/>
        <w:rPr>
          <w:lang w:val="es-CO"/>
        </w:rPr>
      </w:pPr>
      <w:r w:rsidRPr="007A68EA">
        <w:rPr>
          <w:rStyle w:val="Refdenotaalpie"/>
        </w:rPr>
        <w:footnoteRef/>
      </w:r>
      <w:r w:rsidRPr="007A68EA">
        <w:t xml:space="preserve"> </w:t>
      </w:r>
      <w:r w:rsidRPr="007A68EA">
        <w:rPr>
          <w:lang w:val="es-CO"/>
        </w:rPr>
        <w:t>Folio 628 vuelto del cuaderno principal de segunda instancia.</w:t>
      </w:r>
    </w:p>
  </w:footnote>
  <w:footnote w:id="24">
    <w:p w14:paraId="75B74436"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Páginas 74 a 90 de la sentencia, folios 596 a 603 del cuaderno principal de segunda instancia.</w:t>
      </w:r>
    </w:p>
  </w:footnote>
  <w:footnote w:id="25">
    <w:p w14:paraId="12C0B0C6" w14:textId="77777777" w:rsidR="0057689A" w:rsidRPr="007A68EA" w:rsidRDefault="0057689A" w:rsidP="007A68EA">
      <w:pPr>
        <w:pStyle w:val="Textonotapie"/>
        <w:jc w:val="both"/>
        <w:rPr>
          <w:lang w:val="es-CO"/>
        </w:rPr>
      </w:pPr>
      <w:r w:rsidRPr="007A68EA">
        <w:rPr>
          <w:rStyle w:val="Refdenotaalpie"/>
        </w:rPr>
        <w:footnoteRef/>
      </w:r>
      <w:r w:rsidRPr="007A68EA">
        <w:t xml:space="preserve"> En la sentencia s</w:t>
      </w:r>
      <w:r w:rsidRPr="007A68EA">
        <w:rPr>
          <w:lang w:val="es-CO"/>
        </w:rPr>
        <w:t xml:space="preserve">e incurre en un error, por cuanto el acta obrante en el expediente es de septiembre de 1982; se agrega que en dicha acta no se indicó el día en que se suscribió. </w:t>
      </w:r>
    </w:p>
  </w:footnote>
  <w:footnote w:id="26">
    <w:p w14:paraId="054A57CD"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Página 98 de la sentencia, folio 607 vuelto del cuaderno principal de segunda instancia.</w:t>
      </w:r>
    </w:p>
  </w:footnote>
  <w:footnote w:id="27">
    <w:p w14:paraId="10170BF9"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Página 116 de la sentencia, folio 616 vuelto del cuaderno principal de segunda instancia.</w:t>
      </w:r>
    </w:p>
  </w:footnote>
  <w:footnote w:id="28">
    <w:p w14:paraId="5F330148"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Folio 618 del cuaderno principal de segunda instancia. página 115 de la sentencia de primera instancia.</w:t>
      </w:r>
    </w:p>
  </w:footnote>
  <w:footnote w:id="29">
    <w:p w14:paraId="42C51F57"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 xml:space="preserve">Folios 631 a 638 del cuaderno principal de segunda instancia.  </w:t>
      </w:r>
    </w:p>
  </w:footnote>
  <w:footnote w:id="30">
    <w:p w14:paraId="1F5033EF"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Folios 725 y 726 del cuaderno principal de segunda instancia.</w:t>
      </w:r>
    </w:p>
  </w:footnote>
  <w:footnote w:id="31">
    <w:p w14:paraId="62E51DCE"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Folios 781 y 782 del cuaderno principal de segunda instancia.</w:t>
      </w:r>
    </w:p>
  </w:footnote>
  <w:footnote w:id="32">
    <w:p w14:paraId="0AB55AB4" w14:textId="77777777" w:rsidR="0057689A" w:rsidRPr="007A68EA" w:rsidRDefault="0057689A" w:rsidP="007A68EA">
      <w:pPr>
        <w:pStyle w:val="Textonotapie"/>
        <w:jc w:val="both"/>
        <w:rPr>
          <w:lang w:val="es-CO"/>
        </w:rPr>
      </w:pPr>
      <w:r w:rsidRPr="007A68EA">
        <w:rPr>
          <w:rStyle w:val="Refdenotaalpie"/>
        </w:rPr>
        <w:footnoteRef/>
      </w:r>
      <w:r w:rsidRPr="007A68EA">
        <w:t xml:space="preserve"> Audiencia citada en aplicación del </w:t>
      </w:r>
      <w:r w:rsidRPr="007A68EA">
        <w:rPr>
          <w:lang w:val="es-CO"/>
        </w:rPr>
        <w:t>artículo 70 de la Ley 1395 de 2010.</w:t>
      </w:r>
    </w:p>
  </w:footnote>
  <w:footnote w:id="33">
    <w:p w14:paraId="6A657053"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Milllenium Development SAS.</w:t>
      </w:r>
    </w:p>
  </w:footnote>
  <w:footnote w:id="34">
    <w:p w14:paraId="5092FE30"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Folio 811 y 812 del cuaderno principal de segunda instancia.</w:t>
      </w:r>
    </w:p>
  </w:footnote>
  <w:footnote w:id="35">
    <w:p w14:paraId="322E4FB4"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Folio 673 del cuaderno principal de la segunda instancia.</w:t>
      </w:r>
    </w:p>
  </w:footnote>
  <w:footnote w:id="36">
    <w:p w14:paraId="35B4852E"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Artículos 2 y 75.</w:t>
      </w:r>
    </w:p>
  </w:footnote>
  <w:footnote w:id="37">
    <w:p w14:paraId="696618EA" w14:textId="77777777" w:rsidR="0057689A" w:rsidRPr="007A68EA" w:rsidRDefault="0057689A" w:rsidP="007A68EA">
      <w:pPr>
        <w:pStyle w:val="Textonotapie"/>
        <w:jc w:val="both"/>
        <w:rPr>
          <w:lang w:val="es-CO"/>
        </w:rPr>
      </w:pPr>
      <w:r w:rsidRPr="007A68EA">
        <w:rPr>
          <w:rStyle w:val="Refdenotaalpie"/>
        </w:rPr>
        <w:footnoteRef/>
      </w:r>
      <w:r w:rsidRPr="007A68EA">
        <w:t xml:space="preserve"> El criterio orgánico se refiere a la asignación de la  jurisdicción competente para conocer de las controversias contractuales con base en la naturaleza de entidad pública de una de las partes del contrato, de acuerdo con la enumeración del artículo 2º de la Ley 80 de 1993. Este criterio fue corroborado como regla general de la determinación de la jurisdicción competente, de acuerdo con las modificaciones introducidas por el artículo 30 de </w:t>
      </w:r>
      <w:r w:rsidRPr="007A68EA">
        <w:rPr>
          <w:lang w:val="es-CO"/>
        </w:rPr>
        <w:t>la Ley 446 de 1998, la cual entró a regir el 8 de julio de 1998 y por el artículo 1º de la Ley 1106 de 27 de diciembre 2006.  Igualmente constituye la regla general de jurisdicción y competencia en el medio de control de controversias contractuales previsto en el artículo 103 del Código de Procedimiento Administrativo y Contencioso Administrativo (C.P.A.C.A.) el cual entró a regir el 2 de julio de 2012.</w:t>
      </w:r>
    </w:p>
  </w:footnote>
  <w:footnote w:id="38">
    <w:p w14:paraId="0CD6B5BB" w14:textId="77777777" w:rsidR="0057689A" w:rsidRPr="007A68EA" w:rsidRDefault="0057689A" w:rsidP="007A68EA">
      <w:pPr>
        <w:pStyle w:val="Textonotapie"/>
        <w:jc w:val="both"/>
        <w:rPr>
          <w:lang w:val="es-CO"/>
        </w:rPr>
      </w:pPr>
      <w:r w:rsidRPr="007A68EA">
        <w:rPr>
          <w:rStyle w:val="Refdenotaalpie"/>
        </w:rPr>
        <w:footnoteRef/>
      </w:r>
      <w:r w:rsidRPr="007A68EA">
        <w:t xml:space="preserve"> Valor tomado del punto 1.1.2.1.1. de la demanda, correspondiente a la condena solicitada por mayor permanencia en obra, folio 2, cuaderno 4.</w:t>
      </w:r>
      <w:r w:rsidRPr="007A68EA">
        <w:rPr>
          <w:lang w:val="es-CO"/>
        </w:rPr>
        <w:t xml:space="preserve"> </w:t>
      </w:r>
    </w:p>
  </w:footnote>
  <w:footnote w:id="39">
    <w:p w14:paraId="24068FEA" w14:textId="77777777" w:rsidR="0057689A" w:rsidRPr="007A68EA" w:rsidRDefault="0057689A" w:rsidP="007A68EA">
      <w:pPr>
        <w:pStyle w:val="NormalWeb"/>
        <w:shd w:val="clear" w:color="auto" w:fill="FFFFFF"/>
        <w:spacing w:before="0" w:beforeAutospacing="0" w:after="0" w:afterAutospacing="0"/>
        <w:jc w:val="both"/>
        <w:rPr>
          <w:sz w:val="20"/>
          <w:szCs w:val="20"/>
        </w:rPr>
      </w:pPr>
      <w:r w:rsidRPr="007A68EA">
        <w:rPr>
          <w:rStyle w:val="Refdenotaalpie"/>
          <w:sz w:val="20"/>
          <w:szCs w:val="20"/>
        </w:rPr>
        <w:footnoteRef/>
      </w:r>
      <w:r w:rsidRPr="007A68EA">
        <w:rPr>
          <w:sz w:val="20"/>
          <w:szCs w:val="20"/>
        </w:rPr>
        <w:t xml:space="preserve"> Decreto 597 de 1988.</w:t>
      </w:r>
      <w:r w:rsidRPr="007A68EA">
        <w:rPr>
          <w:b/>
          <w:bCs/>
          <w:sz w:val="20"/>
          <w:szCs w:val="20"/>
        </w:rPr>
        <w:t xml:space="preserve"> </w:t>
      </w:r>
      <w:r w:rsidRPr="007A68EA">
        <w:rPr>
          <w:b/>
          <w:bCs/>
          <w:i/>
          <w:sz w:val="20"/>
          <w:szCs w:val="20"/>
        </w:rPr>
        <w:t>“</w:t>
      </w:r>
      <w:r w:rsidRPr="007A68EA">
        <w:rPr>
          <w:bCs/>
          <w:i/>
          <w:sz w:val="20"/>
          <w:szCs w:val="20"/>
        </w:rPr>
        <w:t>Artículo </w:t>
      </w:r>
      <w:bookmarkStart w:id="0" w:name="4"/>
      <w:r w:rsidRPr="007A68EA">
        <w:rPr>
          <w:bCs/>
          <w:i/>
          <w:sz w:val="20"/>
          <w:szCs w:val="20"/>
        </w:rPr>
        <w:t> </w:t>
      </w:r>
      <w:bookmarkEnd w:id="0"/>
      <w:r w:rsidRPr="007A68EA">
        <w:rPr>
          <w:bCs/>
          <w:i/>
          <w:sz w:val="20"/>
          <w:szCs w:val="20"/>
        </w:rPr>
        <w:t>4°</w:t>
      </w:r>
      <w:r w:rsidRPr="007A68EA">
        <w:rPr>
          <w:b/>
          <w:bCs/>
          <w:i/>
          <w:sz w:val="20"/>
          <w:szCs w:val="20"/>
        </w:rPr>
        <w:t> </w:t>
      </w:r>
      <w:r w:rsidRPr="007A68EA">
        <w:rPr>
          <w:i/>
          <w:sz w:val="20"/>
          <w:szCs w:val="20"/>
        </w:rPr>
        <w:t>Para los efectos del artículo 1° , letra c) de la Ley 30 de 1987, modifícase el artículo 265 del Código Contencioso Administrativo así: Artículo 265. LAS CUANTIAS Y SU REAJUSTE. Los valores expresados en moneda nacional por este Código, se reajustarán en un cuarenta por ciento (40%), cada dos años, desde el primero (1° ) de enero de mil novecientos noventa (1990), y se seguirán ajustando automáticamente cada dos años, en el mismo porcentaje y en la misma fecha. Los resultados de estos ajustes se aproximarán a la decena de miles inmediatamente superior”</w:t>
      </w:r>
      <w:r w:rsidRPr="007A68EA">
        <w:rPr>
          <w:sz w:val="20"/>
          <w:szCs w:val="20"/>
        </w:rPr>
        <w:t>.</w:t>
      </w:r>
    </w:p>
  </w:footnote>
  <w:footnote w:id="40">
    <w:p w14:paraId="2ACBDAB4" w14:textId="77777777" w:rsidR="0057689A" w:rsidRPr="007A68EA" w:rsidRDefault="0057689A" w:rsidP="007A68EA">
      <w:pPr>
        <w:pStyle w:val="Textonotapie"/>
        <w:jc w:val="both"/>
        <w:rPr>
          <w:lang w:val="es-CO"/>
        </w:rPr>
      </w:pPr>
      <w:r w:rsidRPr="007A68EA">
        <w:rPr>
          <w:rStyle w:val="Refdenotaalpie"/>
        </w:rPr>
        <w:footnoteRef/>
      </w:r>
      <w:r w:rsidRPr="007A68EA">
        <w:t xml:space="preserve"> Por el cual </w:t>
      </w:r>
      <w:r w:rsidRPr="007A68EA">
        <w:rPr>
          <w:bCs/>
        </w:rPr>
        <w:t xml:space="preserve">se asignó a la jurisdicción de lo contencioso administrativo el conocimiento de las controversias contractuales (artículo 20). </w:t>
      </w:r>
    </w:p>
  </w:footnote>
  <w:footnote w:id="41">
    <w:p w14:paraId="6991E4EF"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 xml:space="preserve">Consejo de Estado, Sala de lo Contencioso Administrativo, Sección Tercera, Consejera ponente: María Elena Giraldo Gómez, auto de 23 de enero de 2001, folios 430 a 438 del cuaderno 1.  </w:t>
      </w:r>
    </w:p>
  </w:footnote>
  <w:footnote w:id="42">
    <w:p w14:paraId="1D0891D9" w14:textId="77777777" w:rsidR="0057689A" w:rsidRPr="007A68EA" w:rsidRDefault="0057689A" w:rsidP="007A68EA">
      <w:pPr>
        <w:pStyle w:val="Textonotapie"/>
        <w:jc w:val="both"/>
        <w:rPr>
          <w:i/>
          <w:lang w:val="es-CO"/>
        </w:rPr>
      </w:pPr>
      <w:r w:rsidRPr="007A68EA">
        <w:rPr>
          <w:rStyle w:val="Refdenotaalpie"/>
        </w:rPr>
        <w:footnoteRef/>
      </w:r>
      <w:r w:rsidRPr="007A68EA">
        <w:t xml:space="preserve"> </w:t>
      </w:r>
      <w:r w:rsidRPr="007A68EA">
        <w:rPr>
          <w:i/>
        </w:rPr>
        <w:t>Ley 50 de 1936. “</w:t>
      </w:r>
      <w:r w:rsidRPr="007A68EA">
        <w:rPr>
          <w:bCs/>
          <w:i/>
        </w:rPr>
        <w:t>Artículo 1o.</w:t>
      </w:r>
      <w:bookmarkStart w:id="1" w:name="1"/>
      <w:bookmarkEnd w:id="1"/>
      <w:r w:rsidRPr="007A68EA">
        <w:rPr>
          <w:rStyle w:val="apple-converted-space"/>
          <w:i/>
        </w:rPr>
        <w:t> </w:t>
      </w:r>
      <w:r w:rsidRPr="007A68EA">
        <w:rPr>
          <w:i/>
        </w:rPr>
        <w:t>Redúcese a veinte años el término de todas las prescripciones treintenarias, establecidas en el Código Civil, tales como la extraordinaria adquisitiva de dominio, la extintiva, la de petición de herencia, la de saneamiento de nulidades absolutas, la extintiva de censos, etc”.</w:t>
      </w:r>
    </w:p>
  </w:footnote>
  <w:footnote w:id="43">
    <w:p w14:paraId="6CCFF052"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 xml:space="preserve">Consejo de Estado, Sala de lo Contencioso Administrativo, Sección Tercera, Consejera ponente: María Elena Giraldo Gómez, auto de 23 de enero de 2001, folios 430 a 438 del cuaderno 1. </w:t>
      </w:r>
    </w:p>
  </w:footnote>
  <w:footnote w:id="44">
    <w:p w14:paraId="0043665D" w14:textId="77777777" w:rsidR="0057689A" w:rsidRPr="007A68EA" w:rsidRDefault="0057689A" w:rsidP="007A68EA">
      <w:pPr>
        <w:jc w:val="both"/>
        <w:rPr>
          <w:sz w:val="20"/>
          <w:szCs w:val="20"/>
          <w:lang w:val="es-CO"/>
        </w:rPr>
      </w:pPr>
      <w:r w:rsidRPr="007A68EA">
        <w:rPr>
          <w:rStyle w:val="Refdenotaalpie"/>
          <w:sz w:val="20"/>
          <w:szCs w:val="20"/>
        </w:rPr>
        <w:footnoteRef/>
      </w:r>
      <w:r w:rsidRPr="007A68EA">
        <w:rPr>
          <w:sz w:val="20"/>
          <w:szCs w:val="20"/>
        </w:rPr>
        <w:t xml:space="preserve">  Consejo de Estado, Sala Plena de lo Contencioso Administrativo, magistrado ponente: Joaquín Jarava del Castillo, </w:t>
      </w:r>
      <w:r w:rsidRPr="007A68EA">
        <w:rPr>
          <w:sz w:val="20"/>
          <w:szCs w:val="20"/>
          <w:lang w:val="es-CO"/>
        </w:rPr>
        <w:t>S-262, sentencia de 9 de marzo de 1998, r</w:t>
      </w:r>
      <w:r w:rsidRPr="007A68EA">
        <w:rPr>
          <w:sz w:val="20"/>
          <w:szCs w:val="20"/>
        </w:rPr>
        <w:t>adicación: S-262. actor: Sociedad Colombiana de Construcciones - Sococo S.A., demandado: Nación, Ministerio de Obras Públicas y Transporte - Instituto Nacional de Vías, referencia: recurso extraordinario de súplica. En esa oportunidad se conoció el recurso de súplica contra la providencia de la Sección Tercera que había declarado la caducidad de la acción, frente al contrato # 403 de 1.973 y sus adicionales Nos. 422 de 1974 71 de 1977 y 86 de 1978, suscritos con el Fondo Vial Nacional para la construcción y pavimentación del sector Samaná - Río Claro, de la carretera Medellín - Bogotá.-“</w:t>
      </w:r>
      <w:r w:rsidRPr="007A68EA">
        <w:rPr>
          <w:i/>
          <w:sz w:val="20"/>
          <w:szCs w:val="20"/>
        </w:rPr>
        <w:t>El incumplimiento obedeció a la no cancelación del saldo por obra ejecutada que consta en el acta contractual No. 53 de diciembre de 1978”</w:t>
      </w:r>
      <w:r w:rsidRPr="007A68EA">
        <w:rPr>
          <w:sz w:val="20"/>
          <w:szCs w:val="20"/>
        </w:rPr>
        <w:t xml:space="preserve"> De acuerdo con esa decisión,</w:t>
      </w:r>
      <w:r w:rsidRPr="007A68EA">
        <w:rPr>
          <w:sz w:val="20"/>
          <w:szCs w:val="20"/>
          <w:lang w:val="es-CO"/>
        </w:rPr>
        <w:t xml:space="preserve"> prosperó el recurso de súplica, se infirmó la sentencia del Tribunal de Antioquia, se condenó a los demandados al pago por concepto de mayores cantidades de obra e intereses a la tasa del 6% sobre las mismas.  </w:t>
      </w:r>
    </w:p>
  </w:footnote>
  <w:footnote w:id="45">
    <w:p w14:paraId="34BAB8E8" w14:textId="77777777" w:rsidR="0057689A" w:rsidRPr="007A68EA" w:rsidRDefault="0057689A" w:rsidP="007A68EA">
      <w:pPr>
        <w:pStyle w:val="Textonotapie"/>
        <w:jc w:val="both"/>
        <w:rPr>
          <w:lang w:val="es-CO"/>
        </w:rPr>
      </w:pPr>
      <w:r w:rsidRPr="007A68EA">
        <w:rPr>
          <w:rStyle w:val="Refdenotaalpie"/>
        </w:rPr>
        <w:footnoteRef/>
      </w:r>
      <w:r w:rsidRPr="007A68EA">
        <w:t xml:space="preserve"> Consejo de Estado, Sección Tercera, expediente 17333, demandante: Sociedad Constructora Regional de Vías Corvías, demandado: municipio de Ocamonte.</w:t>
      </w:r>
    </w:p>
  </w:footnote>
  <w:footnote w:id="46">
    <w:p w14:paraId="7A545BD2" w14:textId="77777777" w:rsidR="0057689A" w:rsidRPr="007A68EA" w:rsidRDefault="0057689A" w:rsidP="007A68EA">
      <w:pPr>
        <w:ind w:right="-1"/>
        <w:jc w:val="both"/>
        <w:rPr>
          <w:sz w:val="20"/>
          <w:szCs w:val="20"/>
        </w:rPr>
      </w:pPr>
      <w:r w:rsidRPr="007A68EA">
        <w:rPr>
          <w:rStyle w:val="Refdenotaalpie"/>
          <w:sz w:val="20"/>
          <w:szCs w:val="20"/>
        </w:rPr>
        <w:footnoteRef/>
      </w:r>
      <w:r w:rsidRPr="007A68EA">
        <w:rPr>
          <w:sz w:val="20"/>
          <w:szCs w:val="20"/>
        </w:rPr>
        <w:t xml:space="preserve"> Consejo de Estado, Sala Plena de lo Contencioso Administrativo, magistrado ponente: Joaquín Jarava del Castillo, </w:t>
      </w:r>
      <w:r w:rsidRPr="007A68EA">
        <w:rPr>
          <w:sz w:val="20"/>
          <w:szCs w:val="20"/>
          <w:lang w:val="es-CO"/>
        </w:rPr>
        <w:t>S-262, sentencia de 9 de marzo de 1998, r</w:t>
      </w:r>
      <w:r w:rsidRPr="007A68EA">
        <w:rPr>
          <w:sz w:val="20"/>
          <w:szCs w:val="20"/>
        </w:rPr>
        <w:t xml:space="preserve">adicación: S-262. actor: Sociedad Colombiana de Construcciones - Sococo S.A., demandado: Nación, Ministerio de Obras Públicas y Transporte - Instituto Nacional de Vías, referencia: recurso extraordinario de súplica </w:t>
      </w:r>
    </w:p>
    <w:p w14:paraId="115370B7" w14:textId="77777777" w:rsidR="0057689A" w:rsidRPr="007A68EA" w:rsidRDefault="0057689A" w:rsidP="007A68EA">
      <w:pPr>
        <w:ind w:right="-1"/>
        <w:jc w:val="both"/>
        <w:rPr>
          <w:i/>
          <w:sz w:val="20"/>
          <w:szCs w:val="20"/>
        </w:rPr>
      </w:pPr>
      <w:r w:rsidRPr="007A68EA">
        <w:rPr>
          <w:sz w:val="20"/>
          <w:szCs w:val="20"/>
        </w:rPr>
        <w:t>“</w:t>
      </w:r>
      <w:r w:rsidRPr="007A68EA">
        <w:rPr>
          <w:i/>
          <w:sz w:val="20"/>
          <w:szCs w:val="20"/>
        </w:rPr>
        <w:t>Y si bien las sentencias de la Sala Plena traídas como sustento del presente recurso hacen relación a las acciones indemnizatorias de reparación directa por hechos de la administración ocurridos con anterioridad a la vigencia del decreto 528 de 1964, que modificó el régimen de prescripción extintiva por el de caducidad de tres años, las mismas premisas le son aplicables a la acción contractual, que hasta la fecha de vigencia del Decreto 01 de 1984 se regía igualmente por dicho sistema de prescripción.</w:t>
      </w:r>
    </w:p>
    <w:p w14:paraId="4917E5D6" w14:textId="77777777" w:rsidR="0057689A" w:rsidRPr="007A68EA" w:rsidRDefault="0057689A" w:rsidP="007A68EA">
      <w:pPr>
        <w:ind w:right="-1"/>
        <w:jc w:val="both"/>
        <w:rPr>
          <w:sz w:val="20"/>
          <w:szCs w:val="20"/>
          <w:lang w:val="es-CO"/>
        </w:rPr>
      </w:pPr>
      <w:r w:rsidRPr="007A68EA">
        <w:rPr>
          <w:i/>
          <w:sz w:val="20"/>
          <w:szCs w:val="20"/>
        </w:rPr>
        <w:t>“De allí que al aplicar la anterior tesis de Sala Plena al caso controvertido, como los hechos constitutivos del incumplimiento contractual que motivaron la presente demanda se refieren a la no cancelación de las obras ejecutadas por encima del valor del contrato según se consignó en el Acta de Liquidación No. 53 de 1978, es evidente que a la fecha de presentación de la demanda   - 5 de agosto de 1986 - no habían transcurrido los 20 años de la prescripción extintiva, sin que el término de caducidad de dos años que para ese tipo de acciones introdujo el Código Contencioso de 1984 pueda afectar el término de prescripción que se inició en 1978”.</w:t>
      </w:r>
    </w:p>
  </w:footnote>
  <w:footnote w:id="47">
    <w:p w14:paraId="34D915EA" w14:textId="77777777" w:rsidR="0057689A" w:rsidRPr="007A68EA" w:rsidRDefault="0057689A" w:rsidP="007A68EA">
      <w:pPr>
        <w:pStyle w:val="Textonotapie"/>
        <w:jc w:val="both"/>
        <w:rPr>
          <w:lang w:val="es-CO"/>
        </w:rPr>
      </w:pPr>
      <w:r w:rsidRPr="007A68EA">
        <w:rPr>
          <w:rStyle w:val="Refdenotaalpie"/>
        </w:rPr>
        <w:footnoteRef/>
      </w:r>
      <w:r w:rsidRPr="007A68EA">
        <w:t xml:space="preserve"> Consejo de Estado, Sección Tercera, Consejera ponente </w:t>
      </w:r>
      <w:r w:rsidRPr="007A68EA">
        <w:rPr>
          <w:lang w:val="es-CO"/>
        </w:rPr>
        <w:t>María Helena Giraldo, s</w:t>
      </w:r>
      <w:r w:rsidRPr="007A68EA">
        <w:t xml:space="preserve">entencia 0132, 14 de febrero de 2002, </w:t>
      </w:r>
      <w:r w:rsidRPr="007A68EA">
        <w:rPr>
          <w:lang w:val="es-CO"/>
        </w:rPr>
        <w:t>demandante: Consultores Civiles e Hidráulicos Ltda.</w:t>
      </w:r>
    </w:p>
  </w:footnote>
  <w:footnote w:id="48">
    <w:p w14:paraId="072A7D51"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Consejo de Estado, Sección Tercera, Consejera Ponente María Helena Giraldo, sentencia de enero 23 de 2003, demandante: Roger Fadul Pantoja.</w:t>
      </w:r>
    </w:p>
  </w:footnote>
  <w:footnote w:id="49">
    <w:p w14:paraId="04162E99" w14:textId="77777777" w:rsidR="0057689A" w:rsidRPr="007A68EA" w:rsidRDefault="0057689A" w:rsidP="007A68EA">
      <w:pPr>
        <w:jc w:val="both"/>
        <w:rPr>
          <w:sz w:val="20"/>
          <w:szCs w:val="20"/>
          <w:lang w:val="es-CO"/>
        </w:rPr>
      </w:pPr>
      <w:r w:rsidRPr="007A68EA">
        <w:rPr>
          <w:rStyle w:val="Refdenotaalpie"/>
          <w:sz w:val="20"/>
          <w:szCs w:val="20"/>
        </w:rPr>
        <w:footnoteRef/>
      </w:r>
      <w:r w:rsidRPr="007A68EA">
        <w:rPr>
          <w:sz w:val="20"/>
          <w:szCs w:val="20"/>
        </w:rPr>
        <w:t xml:space="preserve">  Consejo de Estado, Sala de lo Contencioso Administrativo, Sección Tercera, Consejero Ponente: Mauricio Fajardo Gómez, sentencia de 5 de junio de 2008,  Proceso Nº: 15001233100019880843101- 8031, Radicación Nº:8431,  a</w:t>
      </w:r>
      <w:r w:rsidRPr="007A68EA">
        <w:rPr>
          <w:spacing w:val="-3"/>
          <w:sz w:val="20"/>
          <w:szCs w:val="20"/>
        </w:rPr>
        <w:t>ctor: Constructores Limitada, d</w:t>
      </w:r>
      <w:r w:rsidRPr="007A68EA">
        <w:rPr>
          <w:sz w:val="20"/>
          <w:szCs w:val="20"/>
        </w:rPr>
        <w:t>emandado: Fondo Vial Nacional, r</w:t>
      </w:r>
      <w:r w:rsidRPr="007A68EA">
        <w:rPr>
          <w:spacing w:val="-3"/>
          <w:sz w:val="20"/>
          <w:szCs w:val="20"/>
        </w:rPr>
        <w:t xml:space="preserve">eferencia: contractual- apelación sentencia - </w:t>
      </w:r>
      <w:r w:rsidRPr="007A68EA">
        <w:rPr>
          <w:sz w:val="20"/>
          <w:szCs w:val="20"/>
        </w:rPr>
        <w:t>Decisión- Revocó la declaratoria de caducidad de la acción. “</w:t>
      </w:r>
      <w:r w:rsidRPr="007A68EA">
        <w:rPr>
          <w:bCs/>
          <w:i/>
          <w:sz w:val="20"/>
          <w:szCs w:val="20"/>
        </w:rPr>
        <w:t xml:space="preserve">Como quiera que el momento de la liquidación del contrato determina </w:t>
      </w:r>
      <w:r w:rsidRPr="007A68EA">
        <w:rPr>
          <w:b/>
          <w:bCs/>
          <w:i/>
          <w:sz w:val="20"/>
          <w:szCs w:val="20"/>
        </w:rPr>
        <w:t xml:space="preserve">el inicio de la contabilización del término de caducidad </w:t>
      </w:r>
      <w:r w:rsidRPr="007A68EA">
        <w:rPr>
          <w:bCs/>
          <w:i/>
          <w:sz w:val="20"/>
          <w:szCs w:val="20"/>
        </w:rPr>
        <w:t xml:space="preserve">de la acción contractual, resulta necesario establecer la oportunidad o el plazo del cual se dispone para efectuar la liquidación de un contrato de la Administración, dado que el Decreto-Ley 222 de 1983, aplicable al sub examine, no precisó período alguno dentro del cual debía agotarse la etapa de liquidación del contrato, circunstancia que condujo a que dicho vacío legal fuese resuelto por la jurisprudencia de esta Corporación, cuyas orientaciones tuvieron acogida, posteriormente, en los artículos 60 y 61 de la Ley 80 de 1993, norma que luego habría de ser complementada por el artículo 44, numeral 10, letras b), c) y d), de la Ley 446 de 1998” </w:t>
      </w:r>
      <w:r w:rsidRPr="007A68EA">
        <w:rPr>
          <w:bCs/>
          <w:sz w:val="20"/>
          <w:szCs w:val="20"/>
        </w:rPr>
        <w:t>(la negrilla no es del texto).</w:t>
      </w:r>
    </w:p>
  </w:footnote>
  <w:footnote w:id="50">
    <w:p w14:paraId="62065076" w14:textId="77777777" w:rsidR="0057689A" w:rsidRPr="007A68EA" w:rsidRDefault="0057689A" w:rsidP="007A68EA">
      <w:pPr>
        <w:pStyle w:val="Textonotapie"/>
        <w:jc w:val="both"/>
        <w:rPr>
          <w:lang w:val="es-CO"/>
        </w:rPr>
      </w:pPr>
      <w:r w:rsidRPr="007A68EA">
        <w:rPr>
          <w:rStyle w:val="Refdenotaalpie"/>
        </w:rPr>
        <w:footnoteRef/>
      </w:r>
      <w:r w:rsidRPr="007A68EA">
        <w:t>Consejo de Estado, Sala de lo Contencioso Administrativo, Sección Tercera, Subsección A, Consejero Ponente (e): Hernán Andrade, sentencia de 16 de julio de 2015, radicación 25000232600020050017601 (40325), Actor Ministerio de Cultura y Desarrollo Rural, demandado: Agropecuaria El Palmarito Limitada y Seguros del Estado S.A.</w:t>
      </w:r>
    </w:p>
  </w:footnote>
  <w:footnote w:id="51">
    <w:p w14:paraId="2749B781" w14:textId="77777777" w:rsidR="0057689A" w:rsidRPr="007A68EA" w:rsidRDefault="0057689A" w:rsidP="007A68EA">
      <w:pPr>
        <w:jc w:val="both"/>
        <w:rPr>
          <w:b/>
          <w:bCs/>
          <w:sz w:val="20"/>
          <w:szCs w:val="20"/>
        </w:rPr>
      </w:pPr>
      <w:r w:rsidRPr="007A68EA">
        <w:rPr>
          <w:rStyle w:val="Refdenotaalpie"/>
          <w:sz w:val="20"/>
          <w:szCs w:val="20"/>
        </w:rPr>
        <w:footnoteRef/>
      </w:r>
      <w:r w:rsidRPr="007A68EA">
        <w:rPr>
          <w:sz w:val="20"/>
          <w:szCs w:val="20"/>
        </w:rPr>
        <w:t xml:space="preserve"> Consejo de Estado, Sala de lo Contencioso Administrativo, Sección Tercera, </w:t>
      </w:r>
      <w:r w:rsidRPr="007A68EA">
        <w:rPr>
          <w:sz w:val="20"/>
          <w:szCs w:val="20"/>
          <w:lang w:val="es-CO"/>
        </w:rPr>
        <w:t xml:space="preserve">Consejero ponente: Mauricio Fajardo Gómez, sentencia de </w:t>
      </w:r>
      <w:r w:rsidRPr="007A68EA">
        <w:rPr>
          <w:sz w:val="20"/>
          <w:szCs w:val="20"/>
        </w:rPr>
        <w:t xml:space="preserve">22 de julio de 2009,  </w:t>
      </w:r>
      <w:r w:rsidRPr="007A68EA">
        <w:rPr>
          <w:bCs/>
          <w:sz w:val="20"/>
          <w:szCs w:val="20"/>
        </w:rPr>
        <w:t xml:space="preserve">radicación: 250002331000199511341 01, expediente: 17.215, actor: inversiones industriales y Pecuarias ltda. y otro, demandado: Instituto Colombiano Agropecuario –ICA-, referencia:   contractual – apelación sentencia,- contrato celebrado en 1974, cuyo incumplimiento habría ocurrido en 1983 –Decisión: Se declaró la caducidad de la acción. </w:t>
      </w:r>
    </w:p>
    <w:p w14:paraId="52119446" w14:textId="77777777" w:rsidR="0057689A" w:rsidRPr="007A68EA" w:rsidRDefault="0057689A" w:rsidP="007A68EA">
      <w:pPr>
        <w:jc w:val="both"/>
        <w:rPr>
          <w:sz w:val="20"/>
          <w:szCs w:val="20"/>
          <w:lang w:val="es-CO"/>
        </w:rPr>
      </w:pPr>
      <w:r w:rsidRPr="007A68EA">
        <w:rPr>
          <w:i/>
          <w:sz w:val="20"/>
          <w:szCs w:val="20"/>
        </w:rPr>
        <w:t>“</w:t>
      </w:r>
      <w:r w:rsidRPr="007A68EA">
        <w:rPr>
          <w:i/>
          <w:color w:val="000000"/>
          <w:sz w:val="20"/>
          <w:szCs w:val="20"/>
        </w:rPr>
        <w:t>Bajo esta perspectiva, se tiene que los dos años consagrados en el inciso 7º del texto original del artículo 136 del Decreto 01 de 1984, como término de caducidad de la acción contractual, comenzaron a computarse a partir del 1º de marzo de 1984, luego, los actos o hechos que generaron controversias de orden contractual con anterioridad al 1º de marzo de 1984 y que a esa fecha no se hubieren demandado, tuvieron un plazo de caducidad de dos años para incoar la respectiva acción judicial, esto es, hasta el 1º de marzo de 1986, de lo contrario, es preciso concluir que la respectiva acción caducó”.</w:t>
      </w:r>
    </w:p>
  </w:footnote>
  <w:footnote w:id="52">
    <w:p w14:paraId="0772150E"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Artículo 163 de la Ley 446 de 1998.</w:t>
      </w:r>
    </w:p>
  </w:footnote>
  <w:footnote w:id="53">
    <w:p w14:paraId="3E9E6279" w14:textId="77777777" w:rsidR="0057689A" w:rsidRPr="007A68EA" w:rsidRDefault="0057689A" w:rsidP="007A68EA">
      <w:pPr>
        <w:pStyle w:val="Saludo"/>
        <w:spacing w:line="240" w:lineRule="auto"/>
        <w:rPr>
          <w:rFonts w:ascii="Times New Roman" w:hAnsi="Times New Roman"/>
          <w:sz w:val="20"/>
          <w:szCs w:val="20"/>
          <w:lang w:val="es-CO"/>
        </w:rPr>
      </w:pPr>
      <w:r w:rsidRPr="007A68EA">
        <w:rPr>
          <w:rStyle w:val="Refdenotaalpie"/>
          <w:rFonts w:ascii="Times New Roman" w:hAnsi="Times New Roman"/>
          <w:sz w:val="20"/>
          <w:szCs w:val="20"/>
        </w:rPr>
        <w:footnoteRef/>
      </w:r>
      <w:r w:rsidRPr="007A68EA">
        <w:rPr>
          <w:rFonts w:ascii="Times New Roman" w:hAnsi="Times New Roman"/>
          <w:sz w:val="20"/>
          <w:szCs w:val="20"/>
        </w:rPr>
        <w:t xml:space="preserve"> Consejo de Estado, Sala de lo Contencioso Administrativo, Sección Tercera, Subsección A, Consejero Ponente: Carlos Alberto Zambrano Barrera, sentencia de 9 de octubre de 2013, r</w:t>
      </w:r>
      <w:r w:rsidRPr="007A68EA">
        <w:rPr>
          <w:rFonts w:ascii="Times New Roman" w:hAnsi="Times New Roman"/>
          <w:bCs/>
          <w:sz w:val="20"/>
          <w:szCs w:val="20"/>
        </w:rPr>
        <w:t>adicación número: 85001-23-31-000-2002-00289</w:t>
      </w:r>
      <w:r w:rsidRPr="007A68EA">
        <w:rPr>
          <w:rFonts w:ascii="Times New Roman" w:hAnsi="Times New Roman"/>
          <w:sz w:val="20"/>
          <w:szCs w:val="20"/>
        </w:rPr>
        <w:t>-01(25440), actor: Cooperativa de Desarrollo Territorial – Codeter, demandado: Corporación Autónoma Regional de la Orinoquia -Corporinoquia- referencia: contratos – Caducidad de la acción sobre un contrato celebrado y liquidado en 1999, en vigencia de la Ley 446 de 1998. En el mismo sentido: Consejo de Estado, Sala de lo Contencioso Administrativo, Sección Tercera, Subsección A sentencia de 12 de octubre de 2017, radicación: 25000232600020050017701 (53239), actor: Ministerio de Agricultura y Desarrollo Rural, demandado: Compañía Colombiana de Cereales Colcereales S.A. y Liberty Seguros S.A. (antes Latinoamericana de Seguros S.A.) – prescripción de 20 años.</w:t>
      </w:r>
    </w:p>
  </w:footnote>
  <w:footnote w:id="54">
    <w:p w14:paraId="5D349220"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 xml:space="preserve">En pronunciamientos posteriores a la demanda de este proceso, la jurisprudencia del Consejo de Estado se refirió a la </w:t>
      </w:r>
      <w:r w:rsidRPr="007A68EA">
        <w:rPr>
          <w:i/>
          <w:lang w:val="es-CO"/>
        </w:rPr>
        <w:t>“actio de in rem verso”</w:t>
      </w:r>
      <w:r w:rsidRPr="007A68EA">
        <w:rPr>
          <w:lang w:val="es-CO"/>
        </w:rPr>
        <w:t xml:space="preserve"> para el caso de las prestaciones que se ejecutan sin respaldo contractual o por fuera de su plazo; sin embargo, el concepto desarrollado por la jurisprudencia de esta Corporación no agota las posibilidades de formular las pretensiones bajo esa institución, como sucedió en este caso, dado que se invocó el enriquecimiento sin causa como uno de los supuestos para discutir el mayor valor de cantidades ejecutadas en el plazo del contrato.</w:t>
      </w:r>
    </w:p>
  </w:footnote>
  <w:footnote w:id="55">
    <w:p w14:paraId="44D6AB1E"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 xml:space="preserve">No ha sido usual que los demandantes distingan los conceptos de incumplimiento y desequilibrio económico, aunque esta Subsección tiene claro que los supuestos y las reglas de análisis son diferentes. </w:t>
      </w:r>
    </w:p>
  </w:footnote>
  <w:footnote w:id="56">
    <w:p w14:paraId="7A6F8166" w14:textId="77777777" w:rsidR="0057689A" w:rsidRPr="007A68EA" w:rsidRDefault="0057689A" w:rsidP="007A68EA">
      <w:pPr>
        <w:pStyle w:val="NormalWeb"/>
        <w:shd w:val="clear" w:color="auto" w:fill="FFFFFF"/>
        <w:spacing w:before="0" w:beforeAutospacing="0" w:after="0" w:afterAutospacing="0"/>
        <w:jc w:val="both"/>
        <w:rPr>
          <w:i/>
          <w:iCs/>
          <w:sz w:val="20"/>
          <w:szCs w:val="20"/>
        </w:rPr>
      </w:pPr>
      <w:r w:rsidRPr="007A68EA">
        <w:rPr>
          <w:rStyle w:val="Refdenotaalpie"/>
          <w:i/>
          <w:iCs/>
          <w:sz w:val="20"/>
          <w:szCs w:val="20"/>
        </w:rPr>
        <w:footnoteRef/>
      </w:r>
      <w:r w:rsidRPr="007A68EA">
        <w:rPr>
          <w:i/>
          <w:iCs/>
          <w:sz w:val="20"/>
          <w:szCs w:val="20"/>
        </w:rPr>
        <w:t xml:space="preserve"> </w:t>
      </w:r>
      <w:r w:rsidRPr="007A68EA">
        <w:rPr>
          <w:sz w:val="20"/>
          <w:szCs w:val="20"/>
        </w:rPr>
        <w:t>Ley 153 de 1887.</w:t>
      </w:r>
      <w:r w:rsidRPr="007A68EA">
        <w:rPr>
          <w:i/>
          <w:iCs/>
          <w:sz w:val="20"/>
          <w:szCs w:val="20"/>
        </w:rPr>
        <w:t xml:space="preserve"> </w:t>
      </w:r>
      <w:r w:rsidRPr="007A68EA">
        <w:rPr>
          <w:sz w:val="20"/>
          <w:szCs w:val="20"/>
        </w:rPr>
        <w:t>“</w:t>
      </w:r>
      <w:r w:rsidRPr="007A68EA">
        <w:rPr>
          <w:i/>
          <w:iCs/>
          <w:sz w:val="20"/>
          <w:szCs w:val="20"/>
        </w:rPr>
        <w:t>Artículo</w:t>
      </w:r>
      <w:bookmarkStart w:id="2" w:name="38"/>
      <w:r w:rsidRPr="007A68EA">
        <w:rPr>
          <w:i/>
          <w:iCs/>
          <w:sz w:val="20"/>
          <w:szCs w:val="20"/>
        </w:rPr>
        <w:t> </w:t>
      </w:r>
      <w:bookmarkEnd w:id="2"/>
      <w:r w:rsidRPr="007A68EA">
        <w:rPr>
          <w:i/>
          <w:iCs/>
          <w:sz w:val="20"/>
          <w:szCs w:val="20"/>
        </w:rPr>
        <w:t>38. En todo contrato se entenderán incorporadas las leyes vigentes al tiempo de su celebración.</w:t>
      </w:r>
    </w:p>
    <w:p w14:paraId="22C42EA7" w14:textId="77777777" w:rsidR="0057689A" w:rsidRPr="007A68EA" w:rsidRDefault="0057689A" w:rsidP="007A68EA">
      <w:pPr>
        <w:shd w:val="clear" w:color="auto" w:fill="FFFFFF"/>
        <w:jc w:val="both"/>
        <w:rPr>
          <w:i/>
          <w:iCs/>
          <w:sz w:val="20"/>
          <w:szCs w:val="20"/>
          <w:lang w:eastAsia="es-CO"/>
        </w:rPr>
      </w:pPr>
      <w:r w:rsidRPr="007A68EA">
        <w:rPr>
          <w:i/>
          <w:iCs/>
          <w:sz w:val="20"/>
          <w:szCs w:val="20"/>
          <w:lang w:eastAsia="es-CO"/>
        </w:rPr>
        <w:t>“Exceptúanse de esta disposición:</w:t>
      </w:r>
    </w:p>
    <w:p w14:paraId="5B3E753D" w14:textId="77777777" w:rsidR="0057689A" w:rsidRPr="007A68EA" w:rsidRDefault="0057689A" w:rsidP="007A68EA">
      <w:pPr>
        <w:shd w:val="clear" w:color="auto" w:fill="FFFFFF"/>
        <w:jc w:val="both"/>
        <w:rPr>
          <w:i/>
          <w:iCs/>
          <w:sz w:val="20"/>
          <w:szCs w:val="20"/>
          <w:lang w:eastAsia="es-CO"/>
        </w:rPr>
      </w:pPr>
      <w:r w:rsidRPr="007A68EA">
        <w:rPr>
          <w:i/>
          <w:iCs/>
          <w:sz w:val="20"/>
          <w:szCs w:val="20"/>
          <w:lang w:eastAsia="es-CO"/>
        </w:rPr>
        <w:t>“1. Las leyes concernientes al modo de reclamar en juicio los derechos que resultaren del contrato, y</w:t>
      </w:r>
    </w:p>
    <w:p w14:paraId="06248453" w14:textId="77777777" w:rsidR="0057689A" w:rsidRPr="007A68EA" w:rsidRDefault="0057689A" w:rsidP="007A68EA">
      <w:pPr>
        <w:shd w:val="clear" w:color="auto" w:fill="FFFFFF"/>
        <w:jc w:val="both"/>
        <w:rPr>
          <w:sz w:val="20"/>
          <w:szCs w:val="20"/>
        </w:rPr>
      </w:pPr>
      <w:r w:rsidRPr="007A68EA">
        <w:rPr>
          <w:i/>
          <w:iCs/>
          <w:sz w:val="20"/>
          <w:szCs w:val="20"/>
          <w:lang w:eastAsia="es-CO"/>
        </w:rPr>
        <w:t>“2. Las que señalan penas para el caso de infracción de lo estipulado; la cual infracción será castigada con arreglo a la ley bajo la cual se hubiere cometido.</w:t>
      </w:r>
    </w:p>
  </w:footnote>
  <w:footnote w:id="57">
    <w:p w14:paraId="41F50B7D" w14:textId="77777777" w:rsidR="0057689A" w:rsidRPr="007A68EA" w:rsidRDefault="0057689A" w:rsidP="007A68EA">
      <w:pPr>
        <w:jc w:val="both"/>
        <w:rPr>
          <w:sz w:val="20"/>
          <w:szCs w:val="20"/>
        </w:rPr>
      </w:pPr>
      <w:r w:rsidRPr="007A68EA">
        <w:rPr>
          <w:rStyle w:val="Refdenotaalpie"/>
          <w:sz w:val="20"/>
          <w:szCs w:val="20"/>
        </w:rPr>
        <w:footnoteRef/>
      </w:r>
      <w:r w:rsidRPr="007A68EA">
        <w:rPr>
          <w:sz w:val="20"/>
          <w:szCs w:val="20"/>
        </w:rPr>
        <w:t xml:space="preserve"> Consejo de Estado, Sala de lo Contencioso Administrativo, Sección Tercera, Consejera Ponente: Ruth Stella Correa Palacio, sentencia de 14 de abril de 2010, radicación 25000232600019970366301 (17214), actor: Federico Saúl Sánchez Malagón, demandado: Distrito Capital de Bogotá -Secretaría de Obras Públicas.</w:t>
      </w:r>
    </w:p>
    <w:p w14:paraId="70C6A21C" w14:textId="77777777" w:rsidR="0057689A" w:rsidRPr="007A68EA" w:rsidRDefault="0057689A" w:rsidP="007A68EA">
      <w:pPr>
        <w:jc w:val="both"/>
        <w:rPr>
          <w:sz w:val="20"/>
          <w:szCs w:val="20"/>
        </w:rPr>
      </w:pPr>
      <w:r w:rsidRPr="007A68EA">
        <w:rPr>
          <w:i/>
          <w:sz w:val="20"/>
          <w:szCs w:val="20"/>
        </w:rPr>
        <w:t xml:space="preserve">“En síntesis, de acuerdo con el criterio jurisprudencial vigente, se tiene que: (i) Ante el silencio de las partes al respecto, de conformidad con el artículo 38, numeral 2, de la Ley 153 de 1887, y en armonía con la figura de la mora, </w:t>
      </w:r>
      <w:r w:rsidRPr="007A68EA">
        <w:rPr>
          <w:b/>
          <w:i/>
          <w:sz w:val="20"/>
          <w:szCs w:val="20"/>
        </w:rPr>
        <w:t>los intereses de mora deben liquidarse de conformidad con la norma vigente al momento de la infracción</w:t>
      </w:r>
      <w:r w:rsidRPr="007A68EA">
        <w:rPr>
          <w:i/>
          <w:sz w:val="20"/>
          <w:szCs w:val="20"/>
        </w:rPr>
        <w:t xml:space="preserve">, de suerte que si la conducta incumplida y tardía del deudor se proyecta en el tiempo y existe durante ese lapso cambio de legislación, es menester aplicar la norma vigente que abarque el período o días de mora de que se trate. (ii) Con la entrada en vigencia de la Ley 80 de 1993, la tasa del interés de mora aplicable en cada contrato que celebren las entidades públicas, ante el silencio de las partes, es la establecida en el citado numeral 8 del artículo 4 de la Ley 80 de 1993, con independencia de que la actividad ejercida sea o no de carácter civil o comercial, </w:t>
      </w:r>
      <w:r w:rsidRPr="007A68EA">
        <w:rPr>
          <w:b/>
          <w:i/>
          <w:sz w:val="20"/>
          <w:szCs w:val="20"/>
        </w:rPr>
        <w:t>sin perjuicio de que ellas puedan estipular otro tipo de tasa incluso la civil o comercial sin incurrir en interés de usura.</w:t>
      </w:r>
      <w:r w:rsidRPr="007A68EA">
        <w:rPr>
          <w:i/>
          <w:sz w:val="20"/>
          <w:szCs w:val="20"/>
        </w:rPr>
        <w:t xml:space="preserve"> (iii) En los contratos celebrados por las entidades públicas con antelación a la Ley 80 de 1993, en los cuales no se pactaron intereses de mora ante el incumplimiento, la norma aplicable para sancionar a la parte incumplida y liquidar intereses de mora por el período anterior a su entrada en vigencia, será el artículo 884 del Código de Comercio, si la parte afectada tiene la condición de comerciante o el acto es para éste de carácter mercantil (arts. 1, 10, y 20 y ss C. Co.); o el artículo 1617 del Código Civil si ninguna de las partes (contratista o entidad) tiene esa condición; y por el período posterior a la fecha de vigor de la citada Ley 80 de 1993, le será aplicable la establecida en el numeral 8º del artículo 4 ibídem para liquidar el interés de mora” </w:t>
      </w:r>
      <w:r w:rsidRPr="007A68EA">
        <w:rPr>
          <w:sz w:val="20"/>
          <w:szCs w:val="20"/>
        </w:rPr>
        <w:t>la negrilla no es del texto).</w:t>
      </w:r>
    </w:p>
  </w:footnote>
  <w:footnote w:id="58">
    <w:p w14:paraId="0F45F500" w14:textId="77777777" w:rsidR="0057689A" w:rsidRPr="007A68EA" w:rsidRDefault="0057689A" w:rsidP="007A68EA">
      <w:pPr>
        <w:jc w:val="both"/>
        <w:rPr>
          <w:bCs/>
          <w:sz w:val="20"/>
          <w:szCs w:val="20"/>
        </w:rPr>
      </w:pPr>
      <w:r w:rsidRPr="007A68EA">
        <w:rPr>
          <w:rStyle w:val="Refdenotaalpie"/>
          <w:sz w:val="20"/>
          <w:szCs w:val="20"/>
        </w:rPr>
        <w:footnoteRef/>
      </w:r>
      <w:r w:rsidRPr="007A68EA">
        <w:rPr>
          <w:sz w:val="20"/>
          <w:szCs w:val="20"/>
        </w:rPr>
        <w:t xml:space="preserve"> Consejo de Estado, Sección Tercera, Subsección A, sentencia de 24 de Julio de 2013, r</w:t>
      </w:r>
      <w:r w:rsidRPr="007A68EA">
        <w:rPr>
          <w:bCs/>
          <w:sz w:val="20"/>
          <w:szCs w:val="20"/>
        </w:rPr>
        <w:t xml:space="preserve">adicación: 25000232600020020114701, expediente: 26.937, actor: Federación Colombiana de Tiro y Caza, Demandado: IDRD, referencia: acción contractual – apelación sentencia. </w:t>
      </w:r>
    </w:p>
    <w:p w14:paraId="09D4B8FA" w14:textId="77777777" w:rsidR="0057689A" w:rsidRPr="007A68EA" w:rsidRDefault="0057689A" w:rsidP="007A68EA">
      <w:pPr>
        <w:pStyle w:val="Sangra2detindependiente2"/>
        <w:ind w:left="0" w:right="49"/>
        <w:rPr>
          <w:rFonts w:ascii="Times New Roman" w:hAnsi="Times New Roman"/>
          <w:i/>
          <w:sz w:val="20"/>
        </w:rPr>
      </w:pPr>
      <w:r w:rsidRPr="007A68EA">
        <w:rPr>
          <w:rFonts w:ascii="Times New Roman" w:hAnsi="Times New Roman"/>
          <w:i/>
          <w:sz w:val="20"/>
        </w:rPr>
        <w:t>“Preliminarmente resulta útil reiterar que en el presente caso las partes pactaron un plazo para el pago de la suma adeudada y una tasa de interés moratorio que se tendría en cuenta en el evento de no pago, cláusula que se encuentra ajustada a la libertad negocial permitida a las partes contratantes bajo los dictados de la Ley 80 de 1993, la cual resultaba aplicable para la fecha en que se suscribió el Acuerdo de Reconocimiento de Mejoras con el respectivo convenio de intereses moratorios.</w:t>
      </w:r>
    </w:p>
    <w:p w14:paraId="40C8F63C" w14:textId="77777777" w:rsidR="0057689A" w:rsidRPr="007A68EA" w:rsidRDefault="0057689A" w:rsidP="007A68EA">
      <w:pPr>
        <w:ind w:right="49"/>
        <w:jc w:val="both"/>
        <w:rPr>
          <w:sz w:val="20"/>
          <w:szCs w:val="20"/>
        </w:rPr>
      </w:pPr>
      <w:r w:rsidRPr="007A68EA">
        <w:rPr>
          <w:i/>
          <w:sz w:val="20"/>
          <w:szCs w:val="20"/>
        </w:rPr>
        <w:t>“Por lo anterior se aplicará para la presente liquidación de intereses moratorios la tasa de interés que corresponda de acuerdo con la certificación de la Superintendencia Bancaria -hoy Superintendencia Financiera de Colombia- para el respectivo período de mora y, por lo tanto, se ajustará la fórmula de cálculo utilizada por el Tribunal a quo, toda vez que en ella se tomó únicamente la tasa de interés certificada para el mes de junio de cada año, cuando lo cierto es que para esta clase de eventos deben tomarse todas y cada una de las tasas de interés que fueron certificadas en cada período.”</w:t>
      </w:r>
    </w:p>
  </w:footnote>
  <w:footnote w:id="59">
    <w:p w14:paraId="789B2419" w14:textId="77777777" w:rsidR="0057689A" w:rsidRPr="007A68EA" w:rsidRDefault="0057689A" w:rsidP="007A68EA">
      <w:pPr>
        <w:shd w:val="clear" w:color="auto" w:fill="FFFFFF"/>
        <w:jc w:val="both"/>
        <w:rPr>
          <w:bCs/>
          <w:color w:val="000000"/>
          <w:sz w:val="20"/>
          <w:szCs w:val="20"/>
          <w:shd w:val="clear" w:color="auto" w:fill="FFFFFF"/>
        </w:rPr>
      </w:pPr>
      <w:r w:rsidRPr="007A68EA">
        <w:rPr>
          <w:rStyle w:val="Refdenotaalpie"/>
          <w:sz w:val="20"/>
          <w:szCs w:val="20"/>
        </w:rPr>
        <w:footnoteRef/>
      </w:r>
      <w:r w:rsidRPr="007A68EA">
        <w:rPr>
          <w:sz w:val="20"/>
          <w:szCs w:val="20"/>
        </w:rPr>
        <w:t xml:space="preserve"> </w:t>
      </w:r>
      <w:r w:rsidRPr="007A68EA">
        <w:rPr>
          <w:bCs/>
          <w:color w:val="000000"/>
          <w:sz w:val="20"/>
          <w:szCs w:val="20"/>
          <w:shd w:val="clear" w:color="auto" w:fill="FFFFFF"/>
        </w:rPr>
        <w:t xml:space="preserve">Consejo de Estado, Sección Tercera,  Sala Plena, Consejero ponente: Danilo Rojas Betancourth, sentencia de 12 de julio de 2012, radicación número: 85001-23-31-000-1995-00174-01(15024), actor: Nimrod Mir Ltda, demandado: municipio de Chámeza - Casanare, referencia: controversias contractuales, apelación sentencia. </w:t>
      </w:r>
    </w:p>
    <w:p w14:paraId="72C4DE25" w14:textId="77777777" w:rsidR="0057689A" w:rsidRPr="007A68EA" w:rsidRDefault="0057689A" w:rsidP="007A68EA">
      <w:pPr>
        <w:jc w:val="both"/>
        <w:rPr>
          <w:sz w:val="20"/>
          <w:szCs w:val="20"/>
          <w:lang w:val="es-CO"/>
        </w:rPr>
      </w:pPr>
      <w:r w:rsidRPr="007A68EA">
        <w:rPr>
          <w:i/>
          <w:color w:val="000000"/>
          <w:sz w:val="20"/>
          <w:szCs w:val="20"/>
          <w:shd w:val="clear" w:color="auto" w:fill="FFFFFF"/>
          <w:lang w:val="es-CO"/>
        </w:rPr>
        <w:t xml:space="preserve">“En relación con los intereses moratorios sobre esta cifra, la Sala considera que </w:t>
      </w:r>
      <w:r w:rsidRPr="007A68EA">
        <w:rPr>
          <w:b/>
          <w:i/>
          <w:color w:val="000000"/>
          <w:sz w:val="20"/>
          <w:szCs w:val="20"/>
          <w:shd w:val="clear" w:color="auto" w:fill="FFFFFF"/>
          <w:lang w:val="es-CO"/>
        </w:rPr>
        <w:t>no hay lugar a condenar a la entidad territorial por tal concepto.</w:t>
      </w:r>
      <w:r w:rsidRPr="007A68EA">
        <w:rPr>
          <w:i/>
          <w:color w:val="000000"/>
          <w:sz w:val="20"/>
          <w:szCs w:val="20"/>
          <w:shd w:val="clear" w:color="auto" w:fill="FFFFFF"/>
          <w:lang w:val="es-CO"/>
        </w:rPr>
        <w:t xml:space="preserve"> Al respecto es conveniente recordar la tesis expuesta con anterioridad –párrafo 21.4– acerca de que el acto administrativo a través del cual se impone una multa o se hace efectiva una cláusula penal pecuniaria está amparado con la presunción de legalidad, y que por tal motivo </w:t>
      </w:r>
      <w:r w:rsidRPr="007A68EA">
        <w:rPr>
          <w:b/>
          <w:i/>
          <w:color w:val="000000"/>
          <w:sz w:val="20"/>
          <w:szCs w:val="20"/>
          <w:shd w:val="clear" w:color="auto" w:fill="FFFFFF"/>
          <w:lang w:val="es-CO"/>
        </w:rPr>
        <w:t>solo a partir de la sentencia que lo anula se causan los intereses moratorios, pues es entonces cuando nace la obligación de pago correspondiente a cargo de la entidad</w:t>
      </w:r>
      <w:r w:rsidRPr="007A68EA">
        <w:rPr>
          <w:i/>
          <w:color w:val="000000"/>
          <w:sz w:val="20"/>
          <w:szCs w:val="20"/>
          <w:shd w:val="clear" w:color="auto" w:fill="FFFFFF"/>
          <w:lang w:val="es-CO"/>
        </w:rPr>
        <w:t>”</w:t>
      </w:r>
      <w:r w:rsidRPr="007A68EA">
        <w:rPr>
          <w:b/>
          <w:i/>
          <w:color w:val="000000"/>
          <w:sz w:val="20"/>
          <w:szCs w:val="20"/>
          <w:shd w:val="clear" w:color="auto" w:fill="FFFFFF"/>
          <w:lang w:val="es-CO"/>
        </w:rPr>
        <w:t xml:space="preserve"> </w:t>
      </w:r>
      <w:r w:rsidRPr="007A68EA">
        <w:rPr>
          <w:color w:val="000000"/>
          <w:sz w:val="20"/>
          <w:szCs w:val="20"/>
          <w:shd w:val="clear" w:color="auto" w:fill="FFFFFF"/>
          <w:lang w:val="es-CO"/>
        </w:rPr>
        <w:t>(la negrilla no es del texto.</w:t>
      </w:r>
    </w:p>
  </w:footnote>
  <w:footnote w:id="60">
    <w:p w14:paraId="058B3671" w14:textId="77777777" w:rsidR="0057689A" w:rsidRPr="007A68EA" w:rsidRDefault="0057689A" w:rsidP="007A68EA">
      <w:pPr>
        <w:pStyle w:val="Textonotapie"/>
        <w:jc w:val="both"/>
      </w:pPr>
      <w:r w:rsidRPr="007A68EA">
        <w:rPr>
          <w:rStyle w:val="Refdenotaalpie"/>
        </w:rPr>
        <w:footnoteRef/>
      </w:r>
      <w:r w:rsidRPr="007A68EA">
        <w:t xml:space="preserve"> Entró a regir el 18 de febrero de 1976 y estuvo vigente hasta el 2 de febrero de 1983, siendo derogado por del Decreto -ley 222 de 1983.</w:t>
      </w:r>
    </w:p>
  </w:footnote>
  <w:footnote w:id="61">
    <w:p w14:paraId="48B45069" w14:textId="77777777" w:rsidR="0057689A" w:rsidRPr="007A68EA" w:rsidRDefault="0057689A" w:rsidP="007A68EA">
      <w:pPr>
        <w:pStyle w:val="NormalWeb"/>
        <w:spacing w:before="0" w:beforeAutospacing="0" w:after="0" w:afterAutospacing="0"/>
        <w:jc w:val="both"/>
        <w:rPr>
          <w:i/>
          <w:iCs/>
          <w:sz w:val="20"/>
          <w:szCs w:val="20"/>
        </w:rPr>
      </w:pPr>
      <w:r w:rsidRPr="007A68EA">
        <w:rPr>
          <w:rStyle w:val="Refdenotaalpie"/>
          <w:i/>
          <w:iCs/>
          <w:sz w:val="20"/>
          <w:szCs w:val="20"/>
        </w:rPr>
        <w:footnoteRef/>
      </w:r>
      <w:r w:rsidRPr="007A68EA">
        <w:rPr>
          <w:i/>
          <w:iCs/>
          <w:sz w:val="20"/>
          <w:szCs w:val="20"/>
        </w:rPr>
        <w:t xml:space="preserve"> </w:t>
      </w:r>
      <w:bookmarkStart w:id="3" w:name="13"/>
      <w:r w:rsidRPr="007A68EA">
        <w:rPr>
          <w:i/>
          <w:iCs/>
          <w:sz w:val="20"/>
          <w:szCs w:val="20"/>
        </w:rPr>
        <w:t>Ley 80 de 1993. Artículo 13. De la normatividad aplicable a los contratos estatales.</w:t>
      </w:r>
      <w:bookmarkEnd w:id="3"/>
      <w:r w:rsidRPr="007A68EA">
        <w:rPr>
          <w:i/>
          <w:iCs/>
          <w:sz w:val="20"/>
          <w:szCs w:val="20"/>
        </w:rPr>
        <w:t xml:space="preserve"> “Los contratos que celebren las entidades a que se refiere el artículo </w:t>
      </w:r>
      <w:hyperlink r:id="rId1" w:anchor="2" w:history="1">
        <w:r w:rsidRPr="007A68EA">
          <w:rPr>
            <w:rStyle w:val="Hipervnculo"/>
            <w:i/>
            <w:iCs/>
            <w:sz w:val="20"/>
            <w:szCs w:val="20"/>
          </w:rPr>
          <w:t>2</w:t>
        </w:r>
      </w:hyperlink>
      <w:r w:rsidRPr="007A68EA">
        <w:rPr>
          <w:i/>
          <w:iCs/>
          <w:sz w:val="20"/>
          <w:szCs w:val="20"/>
        </w:rPr>
        <w:t>o. del presente estatuto se regirán por las disposiciones comerciales y civiles pertinentes, salvo en las materias particularmente reguladas en esta ley”.</w:t>
      </w:r>
    </w:p>
  </w:footnote>
  <w:footnote w:id="62">
    <w:p w14:paraId="487DB14C" w14:textId="77777777" w:rsidR="0057689A" w:rsidRPr="007A68EA" w:rsidRDefault="0057689A" w:rsidP="007A68EA">
      <w:pPr>
        <w:pStyle w:val="Textonotapie"/>
        <w:jc w:val="both"/>
        <w:rPr>
          <w:i/>
          <w:iCs/>
          <w:color w:val="000000"/>
          <w:lang w:eastAsia="es-CO"/>
        </w:rPr>
      </w:pPr>
      <w:r w:rsidRPr="007A68EA">
        <w:rPr>
          <w:rStyle w:val="Refdenotaalpie"/>
        </w:rPr>
        <w:footnoteRef/>
      </w:r>
      <w:r w:rsidRPr="007A68EA">
        <w:rPr>
          <w:color w:val="000000"/>
          <w:lang w:eastAsia="es-CO"/>
        </w:rPr>
        <w:t xml:space="preserve"> En vigencia de la Constitución Política de 1886, la Corte Suprema de Justicia, en su momento máximo tribunal constitucional, declaró la inexequibilidad de la Ley 18 de 1982, mediante la cual el Fondo Vial Nacional fue autorizado para reconocer partidas en favor de los contratistas identificados en la ley, que habían sufrido retrasos en los desembolsos presupuestales, consideró:</w:t>
      </w:r>
    </w:p>
    <w:p w14:paraId="190792B1" w14:textId="77777777" w:rsidR="0057689A" w:rsidRPr="007A68EA" w:rsidRDefault="0057689A" w:rsidP="007A68EA">
      <w:pPr>
        <w:pStyle w:val="Textonotapie"/>
        <w:jc w:val="both"/>
      </w:pPr>
      <w:r w:rsidRPr="007A68EA">
        <w:rPr>
          <w:i/>
          <w:iCs/>
          <w:color w:val="000000"/>
          <w:lang w:eastAsia="es-CO"/>
        </w:rPr>
        <w:t>“Respecto del primer caso, la Corte hace notar que se trata de incumplimiento de los contratos, y que el Congreso carece de facultad para subsanar tal irregularidad, pues sus competencias constitucionales se reducen a dar autorizaciones para la celebración de contratos, a impartir aprobación a los contratos que no tenían autorización legal previa, y a legalizar estipulaciones que excedan las autorizaciones que hubiera conferido.//  (…) Además, debe insistirse en que las prohibiciones del inciso final del artículo 210 son absolutas, sin que quepan reconocimientos distintos a los hechos por la vía judicial, así como también lo es la limitación del ordinal 5° del artículo 78, en cuanto el legislador sólo puede decretar partidas destinadas a satisfacer créditos o "derechos reconocidos con arreglo a ley preexistente". Lo cual no quiere decir "reconocidos por la ley", o "mediante una ley", directamente por el legislador, sino por el modo establecido en la ley para obtener esos reconocimientos, que no es otro que el de las acciones establecidas ante la jurisdicción contencioso-administrativa, para que se deduzcan a cargo de la Nación las obligaciones pretendidas por los particulares, dentro de un proceso formal completo. // De otro lado, aunque la ley que se juzga tiende a subsanar un enriquecimiento sin causa por parte del Estado, como lo formuló la exposición de motivos del respectivo proyecto ("Anales del Congreso", año XXIII, número 62, edición del 1º de octubre de 1980, Pág. 859) y lo sostiene el impugnante, tal situación debe ser deducida de un proceso judicial y no directamente por la ley, ni menos por los mecanismos administrativos que se previeron en ella, como la Comisión antes mencionada”</w:t>
      </w:r>
      <w:r w:rsidRPr="007A68EA">
        <w:rPr>
          <w:color w:val="000000"/>
          <w:lang w:eastAsia="es-CO"/>
        </w:rPr>
        <w:t>. Corte Suprema de Justicia, Sala Plena,</w:t>
      </w:r>
      <w:bookmarkStart w:id="4" w:name="ver_30018147"/>
      <w:bookmarkEnd w:id="4"/>
      <w:r w:rsidRPr="007A68EA">
        <w:rPr>
          <w:color w:val="000000"/>
          <w:lang w:eastAsia="es-CO"/>
        </w:rPr>
        <w:t xml:space="preserve"> Ref.: Expediente número 980 - Ley 18 de 1982,</w:t>
      </w:r>
      <w:bookmarkStart w:id="5" w:name="ver_30018148"/>
      <w:bookmarkEnd w:id="5"/>
      <w:r w:rsidRPr="007A68EA">
        <w:rPr>
          <w:color w:val="000000"/>
          <w:lang w:eastAsia="es-CO"/>
        </w:rPr>
        <w:t xml:space="preserve"> Magistrado ponente: Luis Carlos Sáchica, sentencia número 79, aprobada por acta número 68, sentencia de 21 de octubre de 1982.</w:t>
      </w:r>
    </w:p>
  </w:footnote>
  <w:footnote w:id="63">
    <w:p w14:paraId="52936139" w14:textId="77777777" w:rsidR="0057689A" w:rsidRPr="007A68EA" w:rsidRDefault="0057689A" w:rsidP="007A68EA">
      <w:pPr>
        <w:jc w:val="both"/>
        <w:rPr>
          <w:sz w:val="20"/>
          <w:szCs w:val="20"/>
        </w:rPr>
      </w:pPr>
      <w:r w:rsidRPr="007A68EA">
        <w:rPr>
          <w:rStyle w:val="Refdenotaalpie"/>
          <w:sz w:val="20"/>
          <w:szCs w:val="20"/>
        </w:rPr>
        <w:footnoteRef/>
      </w:r>
      <w:r w:rsidRPr="007A68EA">
        <w:rPr>
          <w:sz w:val="20"/>
          <w:szCs w:val="20"/>
        </w:rPr>
        <w:t xml:space="preserve"> </w:t>
      </w:r>
      <w:r w:rsidRPr="007A68EA">
        <w:rPr>
          <w:bCs/>
          <w:sz w:val="20"/>
          <w:szCs w:val="20"/>
        </w:rPr>
        <w:t>Consejo de Estado, Sala Plena de lo Contencioso Administrativo, Consejero ponente: Joaquín Jarava del Castillo, sentencia de 9 de marzo de 1.998.-radicación número: S-262, actor: Sociedad Colombiana de Construcciones - Sococo S.A., demandado: Nación, Ministerio de Obras Públicas y Transporte  - Instituto Nacional de Vías, referencia: recurso extraordinario de súplica.</w:t>
      </w:r>
    </w:p>
  </w:footnote>
  <w:footnote w:id="64">
    <w:p w14:paraId="7B05A823" w14:textId="77777777" w:rsidR="0057689A" w:rsidRPr="007A68EA" w:rsidRDefault="0057689A" w:rsidP="007A68EA">
      <w:pPr>
        <w:pStyle w:val="Textonotapie"/>
        <w:jc w:val="both"/>
      </w:pPr>
      <w:r w:rsidRPr="007A68EA">
        <w:rPr>
          <w:rStyle w:val="Refdenotaalpie"/>
        </w:rPr>
        <w:footnoteRef/>
      </w:r>
      <w:r w:rsidRPr="007A68EA">
        <w:t xml:space="preserve"> El avalúo por peritos, en la compraventa.</w:t>
      </w:r>
    </w:p>
  </w:footnote>
  <w:footnote w:id="65">
    <w:p w14:paraId="23103E27" w14:textId="77777777" w:rsidR="0057689A" w:rsidRPr="007A68EA" w:rsidRDefault="0057689A" w:rsidP="007A6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iCs/>
          <w:sz w:val="20"/>
          <w:szCs w:val="20"/>
        </w:rPr>
      </w:pPr>
      <w:r w:rsidRPr="007A68EA">
        <w:rPr>
          <w:rStyle w:val="Refdenotaalpie"/>
          <w:sz w:val="20"/>
          <w:szCs w:val="20"/>
        </w:rPr>
        <w:footnoteRef/>
      </w:r>
      <w:r w:rsidRPr="007A68EA">
        <w:rPr>
          <w:sz w:val="20"/>
          <w:szCs w:val="20"/>
        </w:rPr>
        <w:t xml:space="preserve"> Consejo de Estado, Sala de Consulta y Servicio Civil, Consejero Ponente: Javier Henao Hidrón, concepto de 10 de agosto de 1987, radicación número: 115, Actor: Ministro de Minas y Energía, Guillermo Perry Rubio,</w:t>
      </w:r>
      <w:r w:rsidRPr="007A68EA">
        <w:rPr>
          <w:b/>
          <w:sz w:val="20"/>
          <w:szCs w:val="20"/>
        </w:rPr>
        <w:t xml:space="preserve"> </w:t>
      </w:r>
      <w:r w:rsidRPr="007A68EA">
        <w:rPr>
          <w:sz w:val="20"/>
          <w:szCs w:val="20"/>
        </w:rPr>
        <w:t>referencia:</w:t>
      </w:r>
      <w:r w:rsidRPr="007A68EA">
        <w:rPr>
          <w:b/>
          <w:sz w:val="20"/>
          <w:szCs w:val="20"/>
        </w:rPr>
        <w:t xml:space="preserve"> </w:t>
      </w:r>
      <w:r w:rsidRPr="007A68EA">
        <w:rPr>
          <w:sz w:val="20"/>
          <w:szCs w:val="20"/>
        </w:rPr>
        <w:t xml:space="preserve">consulta sobre la viabilidad de pactar en los contratos administrativos o de derecho privado de la administración una cláusula que permita el pago de intereses de mora a los contratistas. // </w:t>
      </w:r>
      <w:r w:rsidRPr="007A68EA">
        <w:rPr>
          <w:i/>
          <w:iCs/>
          <w:sz w:val="20"/>
          <w:szCs w:val="20"/>
        </w:rPr>
        <w:t xml:space="preserve">“El estricto cumplimiento de las disposiciones indicadas </w:t>
      </w:r>
      <w:r w:rsidRPr="007A68EA">
        <w:rPr>
          <w:iCs/>
          <w:sz w:val="20"/>
          <w:szCs w:val="20"/>
        </w:rPr>
        <w:t>[reservas presupuestales],</w:t>
      </w:r>
      <w:r w:rsidRPr="007A68EA">
        <w:rPr>
          <w:i/>
          <w:iCs/>
          <w:sz w:val="20"/>
          <w:szCs w:val="20"/>
        </w:rPr>
        <w:t xml:space="preserve"> se vería alterado si la administración pactara el reconocimiento en favor del contratista particular de eventuales intereses moratorios, pues la ley no autoriza la constitución de reservas presupuéstales para este caso especial. // (…) No existe autorización expresa de la ley conferida a las entidades públicas para pactar en favor de los contratistas particulares el reconocimiento y pago de intereses de mora”.</w:t>
      </w:r>
    </w:p>
  </w:footnote>
  <w:footnote w:id="66">
    <w:p w14:paraId="412D2653" w14:textId="77777777" w:rsidR="0057689A" w:rsidRPr="007A68EA" w:rsidRDefault="0057689A" w:rsidP="007A68EA">
      <w:pPr>
        <w:pStyle w:val="Piedepgina"/>
        <w:jc w:val="both"/>
        <w:rPr>
          <w:sz w:val="20"/>
          <w:szCs w:val="20"/>
        </w:rPr>
      </w:pPr>
      <w:r w:rsidRPr="007A68EA">
        <w:rPr>
          <w:rStyle w:val="Refdenotaalpie"/>
          <w:sz w:val="20"/>
          <w:szCs w:val="20"/>
        </w:rPr>
        <w:footnoteRef/>
      </w:r>
      <w:r w:rsidRPr="007A68EA">
        <w:rPr>
          <w:sz w:val="20"/>
          <w:szCs w:val="20"/>
        </w:rPr>
        <w:t xml:space="preserve"> Consejo de Estado, Sala de lo Contencioso Administrativo, Sección Tercera, sentencia del nueve (9) de octubre de dos mil tres (2003); Consejero ponente: Alier Eduardo Hernández Enríquez; Radicación número: 25000-23-26-000-1993-03412-01(13412)</w:t>
      </w:r>
      <w:r w:rsidRPr="007A68EA">
        <w:rPr>
          <w:sz w:val="20"/>
          <w:szCs w:val="20"/>
          <w:lang w:val="es-CO"/>
        </w:rPr>
        <w:t xml:space="preserve">, demandante: Construcciones Sigma Ltda, demandada: Empresa de Acueducto y Alcantarillado de Bogotá d – Contrato de Obra Pública, celebrado en 1988.// </w:t>
      </w:r>
      <w:r w:rsidRPr="007A68EA">
        <w:rPr>
          <w:bCs/>
          <w:i/>
          <w:iCs/>
          <w:color w:val="000000"/>
          <w:sz w:val="20"/>
          <w:szCs w:val="20"/>
          <w:lang w:val="es-MX"/>
        </w:rPr>
        <w:t xml:space="preserve"> “</w:t>
      </w:r>
      <w:r w:rsidRPr="007A68EA">
        <w:rPr>
          <w:bCs/>
          <w:i/>
          <w:iCs/>
          <w:color w:val="000000"/>
          <w:sz w:val="20"/>
          <w:szCs w:val="20"/>
        </w:rPr>
        <w:t xml:space="preserve">Teniendo en cuenta todo lo expresado, concluye la Sala que, </w:t>
      </w:r>
      <w:r w:rsidRPr="007A68EA">
        <w:rPr>
          <w:bCs/>
          <w:i/>
          <w:iCs/>
          <w:sz w:val="20"/>
          <w:szCs w:val="20"/>
        </w:rPr>
        <w:t>tratándose de contratos estatales celebrados antes de la entrada en vigencia de la Ley 80 de 1993, en los que no se ha incluido estipulación alguna en relación con los intereses que deben pagarse en caso de incumplimiento, cuando la persona afectada tiene la condición de comerciante o el acto es para ella de carácter mercantil, no existe justificación alguna para aplicar una tasa distinta a la regulada en el artículo 884 del C. de Co., a fin de sancionar la mora en que ha incurrido uno de los contratantes, aun cuando éste es una entidad estatal.</w:t>
      </w:r>
      <w:r w:rsidRPr="007A68EA">
        <w:rPr>
          <w:bCs/>
          <w:i/>
          <w:iCs/>
          <w:sz w:val="20"/>
          <w:szCs w:val="20"/>
          <w:lang w:val="es-CO"/>
        </w:rPr>
        <w:t>// “</w:t>
      </w:r>
      <w:r w:rsidRPr="007A68EA">
        <w:rPr>
          <w:bCs/>
          <w:i/>
          <w:iCs/>
          <w:sz w:val="20"/>
          <w:szCs w:val="20"/>
        </w:rPr>
        <w:t>Distinta, sin duda, es la situación en la que el contratista no tiene la condición de comerciante, o el contrato celebrado no tiene para él carácter mercantil, evento en el cual sería aplicable el artículo 1617 del Código Civil, o aquélla en la que el contrato en el que se guardó silencio se celebró después de que la Ley 80 de 1993 comenzó a regir, o aun antes, siempre que la mora se hubiere presentado durante su vigencia, caso en el cual, según lo explicado, su aplicación estaría autorizada por el artículo 38 de la Ley 153 de 1887</w:t>
      </w:r>
      <w:r w:rsidRPr="007A68EA">
        <w:rPr>
          <w:i/>
          <w:iCs/>
          <w:sz w:val="20"/>
          <w:szCs w:val="20"/>
        </w:rPr>
        <w:t>”.</w:t>
      </w:r>
      <w:r w:rsidRPr="007A68EA">
        <w:rPr>
          <w:sz w:val="20"/>
          <w:szCs w:val="20"/>
        </w:rPr>
        <w:t xml:space="preserve"> </w:t>
      </w:r>
    </w:p>
  </w:footnote>
  <w:footnote w:id="67">
    <w:p w14:paraId="7C2414EA" w14:textId="77777777" w:rsidR="0057689A" w:rsidRPr="007A68EA" w:rsidRDefault="0057689A" w:rsidP="007A68EA">
      <w:pPr>
        <w:pStyle w:val="Textonotapie"/>
        <w:jc w:val="both"/>
        <w:rPr>
          <w:rStyle w:val="Refdenotaalpie"/>
        </w:rPr>
      </w:pPr>
      <w:r w:rsidRPr="007A68EA">
        <w:rPr>
          <w:rStyle w:val="Refdenotaalpie"/>
        </w:rPr>
        <w:footnoteRef/>
      </w:r>
      <w:r w:rsidRPr="007A68EA">
        <w:t xml:space="preserve"> Decreto 1082 de 2015, a</w:t>
      </w:r>
      <w:r w:rsidRPr="007A68EA">
        <w:rPr>
          <w:bCs/>
          <w:shd w:val="clear" w:color="auto" w:fill="FFFFFF"/>
        </w:rPr>
        <w:t>rtículo 2.2.1.1.2.4.2.</w:t>
      </w:r>
    </w:p>
  </w:footnote>
  <w:footnote w:id="68">
    <w:p w14:paraId="0F436240" w14:textId="77777777" w:rsidR="0057689A" w:rsidRPr="007A68EA" w:rsidRDefault="0057689A" w:rsidP="007A68EA">
      <w:pPr>
        <w:pStyle w:val="Textonotapie"/>
        <w:jc w:val="both"/>
      </w:pPr>
      <w:r w:rsidRPr="007A68EA">
        <w:rPr>
          <w:rStyle w:val="Refdenotaalpie"/>
        </w:rPr>
        <w:footnoteRef/>
      </w:r>
      <w:r w:rsidRPr="007A68EA">
        <w:t xml:space="preserve"> Artículo 4 de la Ley 80 de 1993. </w:t>
      </w:r>
    </w:p>
  </w:footnote>
  <w:footnote w:id="69">
    <w:p w14:paraId="271CF3DD"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 xml:space="preserve">En el contrato </w:t>
      </w:r>
      <w:r w:rsidRPr="007A68EA">
        <w:rPr>
          <w:i/>
          <w:lang w:val="es-CO"/>
        </w:rPr>
        <w:t>sub lite</w:t>
      </w:r>
      <w:r w:rsidRPr="007A68EA">
        <w:rPr>
          <w:lang w:val="es-CO"/>
        </w:rPr>
        <w:t xml:space="preserve"> se ajustaron los precios, en cada acta, con el índice de precios de la construcción que en su momento fijaba el Ministerio de Obras Públicas y Transporte.</w:t>
      </w:r>
    </w:p>
  </w:footnote>
  <w:footnote w:id="70">
    <w:p w14:paraId="1CC42B1F" w14:textId="77777777" w:rsidR="0057689A" w:rsidRPr="007A68EA" w:rsidRDefault="0057689A" w:rsidP="007A68EA">
      <w:pPr>
        <w:pStyle w:val="Textonotapie"/>
        <w:jc w:val="both"/>
        <w:rPr>
          <w:lang w:val="es-CO"/>
        </w:rPr>
      </w:pPr>
      <w:r w:rsidRPr="007A68EA">
        <w:rPr>
          <w:rStyle w:val="Refdenotaalpie"/>
        </w:rPr>
        <w:footnoteRef/>
      </w:r>
      <w:r w:rsidRPr="007A68EA">
        <w:t xml:space="preserve"> La jurisprudencia en materia de tasas de interés se ha presentado en relación con actas de obra presentadas y no pagadas en tiempo, bajo la pretensión de incumplimiento. </w:t>
      </w:r>
      <w:r w:rsidRPr="007A68EA">
        <w:rPr>
          <w:lang w:val="es-CO"/>
        </w:rPr>
        <w:t xml:space="preserve">En general, se debe considerar que los valores reclamados por concepto del desequilibrio económico no causan intereses de mora, </w:t>
      </w:r>
      <w:r w:rsidRPr="007A68EA">
        <w:rPr>
          <w:highlight w:val="lightGray"/>
          <w:lang w:val="es-CO"/>
        </w:rPr>
        <w:t>en tanto la obligación de pago no se encuentre de plazo vencido y solo surja a partir de la sentencia.</w:t>
      </w:r>
      <w:r w:rsidRPr="007A68EA">
        <w:rPr>
          <w:lang w:val="es-CO"/>
        </w:rPr>
        <w:t xml:space="preserve"> </w:t>
      </w:r>
    </w:p>
  </w:footnote>
  <w:footnote w:id="71">
    <w:p w14:paraId="2CB702D4" w14:textId="77777777" w:rsidR="0057689A" w:rsidRPr="007A68EA" w:rsidRDefault="0057689A" w:rsidP="007A68EA">
      <w:pPr>
        <w:pStyle w:val="NormalWeb"/>
        <w:shd w:val="clear" w:color="auto" w:fill="FFFFFF"/>
        <w:spacing w:before="0" w:beforeAutospacing="0" w:after="0" w:afterAutospacing="0"/>
        <w:jc w:val="both"/>
        <w:rPr>
          <w:i/>
          <w:sz w:val="20"/>
          <w:szCs w:val="20"/>
        </w:rPr>
      </w:pPr>
      <w:r w:rsidRPr="007A68EA">
        <w:rPr>
          <w:rStyle w:val="Refdenotaalpie"/>
          <w:sz w:val="20"/>
          <w:szCs w:val="20"/>
        </w:rPr>
        <w:footnoteRef/>
      </w:r>
      <w:r w:rsidRPr="007A68EA">
        <w:rPr>
          <w:i/>
          <w:sz w:val="20"/>
          <w:szCs w:val="20"/>
        </w:rPr>
        <w:t xml:space="preserve"> “</w:t>
      </w:r>
      <w:r w:rsidRPr="007A68EA">
        <w:rPr>
          <w:bCs/>
          <w:i/>
          <w:sz w:val="20"/>
          <w:szCs w:val="20"/>
        </w:rPr>
        <w:t>Artículo 1551 CC.</w:t>
      </w:r>
      <w:r w:rsidRPr="007A68EA">
        <w:rPr>
          <w:i/>
          <w:sz w:val="20"/>
          <w:szCs w:val="20"/>
        </w:rPr>
        <w:t> El plazo es la época que se fija para el cumplimiento de la obligación; puede ser expreso o tácito. Es tácito, el indispensable para cumplirlo.</w:t>
      </w:r>
    </w:p>
    <w:p w14:paraId="03F44C32" w14:textId="77777777" w:rsidR="0057689A" w:rsidRPr="007A68EA" w:rsidRDefault="0057689A" w:rsidP="007A68EA">
      <w:pPr>
        <w:shd w:val="clear" w:color="auto" w:fill="FFFFFF"/>
        <w:jc w:val="both"/>
        <w:rPr>
          <w:sz w:val="20"/>
          <w:szCs w:val="20"/>
        </w:rPr>
      </w:pPr>
      <w:r w:rsidRPr="007A68EA">
        <w:rPr>
          <w:i/>
          <w:sz w:val="20"/>
          <w:szCs w:val="20"/>
        </w:rPr>
        <w:t>“No podrá el juez, sino en casos especiales que las leyes designen, señalar plazo para el cumplimiento de una obligación; solo podrá interpretar el concebido en términos vagos u oscuros, sobre cuya inteligencia y aplicación discuerden las partes.</w:t>
      </w:r>
    </w:p>
  </w:footnote>
  <w:footnote w:id="72">
    <w:p w14:paraId="4E1BD116" w14:textId="77777777" w:rsidR="0057689A" w:rsidRPr="007A68EA" w:rsidRDefault="0057689A" w:rsidP="007A68EA">
      <w:pPr>
        <w:overflowPunct w:val="0"/>
        <w:autoSpaceDE w:val="0"/>
        <w:autoSpaceDN w:val="0"/>
        <w:adjustRightInd w:val="0"/>
        <w:jc w:val="both"/>
        <w:textAlignment w:val="baseline"/>
        <w:rPr>
          <w:spacing w:val="4"/>
          <w:sz w:val="20"/>
          <w:szCs w:val="20"/>
        </w:rPr>
      </w:pPr>
      <w:r w:rsidRPr="007A68EA">
        <w:rPr>
          <w:rStyle w:val="Refdenotaalpie"/>
          <w:sz w:val="20"/>
          <w:szCs w:val="20"/>
        </w:rPr>
        <w:footnoteRef/>
      </w:r>
      <w:r w:rsidRPr="007A68EA">
        <w:rPr>
          <w:sz w:val="20"/>
          <w:szCs w:val="20"/>
        </w:rPr>
        <w:t xml:space="preserve"> </w:t>
      </w:r>
      <w:r w:rsidRPr="007A68EA">
        <w:rPr>
          <w:spacing w:val="4"/>
          <w:sz w:val="20"/>
          <w:szCs w:val="20"/>
        </w:rPr>
        <w:t xml:space="preserve">Consejo de Estado, Sala de lo Contencioso Administrativo, Sección Tercera, Subsección A, Consejero ponente: Hernán Andrade Rincón, sentencia de </w:t>
      </w:r>
      <w:r w:rsidRPr="007A68EA">
        <w:rPr>
          <w:spacing w:val="2"/>
          <w:sz w:val="20"/>
          <w:szCs w:val="20"/>
        </w:rPr>
        <w:t>27 de enero de 2016, r</w:t>
      </w:r>
      <w:r w:rsidRPr="007A68EA">
        <w:rPr>
          <w:spacing w:val="4"/>
          <w:sz w:val="20"/>
          <w:szCs w:val="20"/>
        </w:rPr>
        <w:t>adicación número: 27001-23-31-000-2002-00806-01(34025). actor: Fondo de Proyectos de Desarrollo – FONADE, d</w:t>
      </w:r>
      <w:r w:rsidRPr="007A68EA">
        <w:rPr>
          <w:bCs/>
          <w:spacing w:val="4"/>
          <w:sz w:val="20"/>
          <w:szCs w:val="20"/>
        </w:rPr>
        <w:t>emandado: CON-OBRAS LTDA y otro, r</w:t>
      </w:r>
      <w:r w:rsidRPr="007A68EA">
        <w:rPr>
          <w:spacing w:val="4"/>
          <w:sz w:val="20"/>
          <w:szCs w:val="20"/>
        </w:rPr>
        <w:t>eferencia: acción de controversias contractuales (apelación sentencia) – restituciones mutuas.</w:t>
      </w:r>
    </w:p>
    <w:p w14:paraId="1C31184E" w14:textId="77777777" w:rsidR="0057689A" w:rsidRPr="007A68EA" w:rsidRDefault="0057689A" w:rsidP="007A68EA">
      <w:pPr>
        <w:overflowPunct w:val="0"/>
        <w:autoSpaceDE w:val="0"/>
        <w:autoSpaceDN w:val="0"/>
        <w:adjustRightInd w:val="0"/>
        <w:jc w:val="both"/>
        <w:textAlignment w:val="baseline"/>
        <w:rPr>
          <w:sz w:val="20"/>
          <w:szCs w:val="20"/>
        </w:rPr>
      </w:pPr>
      <w:r w:rsidRPr="007A68EA">
        <w:rPr>
          <w:i/>
          <w:sz w:val="20"/>
          <w:szCs w:val="20"/>
        </w:rPr>
        <w:t>“No obstante lo anterior, la determinación de la existencia misma del valor a restituir y, por supuesto, su monto, quedó sujeta a la liquidación del contrato, acto en el cual, como ya se dijo, se debe proceder a realizar el cruce de cuentas para establecer el balance financiero final del negocio jurídico y comoquiera que dicha liquidación se adopta en esta instancia judicial, no es posible considerar que a la fecha ya se hubieren generado intereses moratorios”.</w:t>
      </w:r>
    </w:p>
    <w:p w14:paraId="227E1D9D" w14:textId="77777777" w:rsidR="0057689A" w:rsidRPr="007A68EA" w:rsidRDefault="0057689A" w:rsidP="007A68EA">
      <w:pPr>
        <w:tabs>
          <w:tab w:val="left" w:pos="810"/>
          <w:tab w:val="left" w:pos="2085"/>
          <w:tab w:val="center" w:pos="4420"/>
          <w:tab w:val="left" w:pos="6570"/>
        </w:tabs>
        <w:jc w:val="both"/>
        <w:rPr>
          <w:sz w:val="20"/>
          <w:szCs w:val="20"/>
        </w:rPr>
      </w:pPr>
      <w:r w:rsidRPr="007A68EA">
        <w:rPr>
          <w:sz w:val="20"/>
          <w:szCs w:val="20"/>
        </w:rPr>
        <w:t>Pueden citarse, también, la siguiente sentencia: Consejo de Estado, Sala de lo Contencioso Administrativo, Sección Tercera, Subsección A, sentencia de 13 de abril de 2016, radicación número: 25000-23-26-000-2010-00128-01(46297), actor: Consorcio Reforzamiento, demandado: D</w:t>
      </w:r>
      <w:r w:rsidRPr="007A68EA">
        <w:rPr>
          <w:bCs/>
          <w:sz w:val="20"/>
          <w:szCs w:val="20"/>
        </w:rPr>
        <w:t>istrito Capital – Secretaría de Educación, r</w:t>
      </w:r>
      <w:r w:rsidRPr="007A68EA">
        <w:rPr>
          <w:sz w:val="20"/>
          <w:szCs w:val="20"/>
        </w:rPr>
        <w:t xml:space="preserve">eferencia: </w:t>
      </w:r>
      <w:r w:rsidRPr="007A68EA">
        <w:rPr>
          <w:bCs/>
          <w:sz w:val="20"/>
          <w:szCs w:val="20"/>
        </w:rPr>
        <w:t>acción contractual -acta de liquidación bilateral.</w:t>
      </w:r>
    </w:p>
  </w:footnote>
  <w:footnote w:id="73">
    <w:p w14:paraId="5B42C921" w14:textId="77777777" w:rsidR="0057689A" w:rsidRPr="007A68EA" w:rsidRDefault="0057689A" w:rsidP="007A68EA">
      <w:pPr>
        <w:pStyle w:val="Puesto1"/>
        <w:jc w:val="both"/>
        <w:rPr>
          <w:rFonts w:ascii="Times New Roman" w:hAnsi="Times New Roman"/>
          <w:sz w:val="20"/>
        </w:rPr>
      </w:pPr>
      <w:r w:rsidRPr="007A68EA">
        <w:rPr>
          <w:rStyle w:val="Refdenotaalpie"/>
          <w:rFonts w:ascii="Times New Roman" w:hAnsi="Times New Roman"/>
          <w:b w:val="0"/>
          <w:sz w:val="20"/>
        </w:rPr>
        <w:footnoteRef/>
      </w:r>
      <w:r w:rsidRPr="007A68EA">
        <w:rPr>
          <w:rFonts w:ascii="Times New Roman" w:hAnsi="Times New Roman"/>
          <w:b w:val="0"/>
          <w:sz w:val="20"/>
        </w:rPr>
        <w:t xml:space="preserve"> Consejo de Estado, Sala de lo Contencioso Administrativo, Sección Tercera – Subsección A, </w:t>
      </w:r>
      <w:r w:rsidRPr="007A68EA">
        <w:rPr>
          <w:rFonts w:ascii="Times New Roman" w:hAnsi="Times New Roman"/>
          <w:b w:val="0"/>
          <w:sz w:val="20"/>
          <w:lang w:val="es-CO"/>
        </w:rPr>
        <w:t xml:space="preserve">sentencia de </w:t>
      </w:r>
      <w:r w:rsidRPr="007A68EA">
        <w:rPr>
          <w:rFonts w:ascii="Times New Roman" w:hAnsi="Times New Roman"/>
          <w:b w:val="0"/>
          <w:sz w:val="20"/>
        </w:rPr>
        <w:t>17 de agosto de 2017, radicación: 7000123300020140000601(52988), actor: Dicon Ingeniería e Inversiones Limitada – Dicon Ltda, demandado: municipio de Sincelejo, Acción: contractual – liquidación.</w:t>
      </w:r>
    </w:p>
  </w:footnote>
  <w:footnote w:id="74">
    <w:p w14:paraId="2C2AE090" w14:textId="77777777" w:rsidR="0057689A" w:rsidRPr="007A68EA" w:rsidRDefault="0057689A" w:rsidP="007A68EA">
      <w:pPr>
        <w:pStyle w:val="Textonotapie"/>
        <w:jc w:val="both"/>
      </w:pPr>
      <w:r w:rsidRPr="007A68EA">
        <w:rPr>
          <w:rStyle w:val="Refdenotaalpie"/>
        </w:rPr>
        <w:footnoteRef/>
      </w:r>
      <w:r w:rsidRPr="007A68EA">
        <w:t xml:space="preserve"> Cita fuera de texto. sentencia mediante la cual la Corte Constitucional decidió: </w:t>
      </w:r>
      <w:r w:rsidRPr="007A68EA">
        <w:rPr>
          <w:i/>
        </w:rPr>
        <w:t>“</w:t>
      </w:r>
      <w:r w:rsidRPr="007A68EA">
        <w:rPr>
          <w:i/>
          <w:color w:val="000000"/>
          <w:shd w:val="clear" w:color="auto" w:fill="FFFFFF"/>
        </w:rPr>
        <w:t>Declarar </w:t>
      </w:r>
      <w:r w:rsidRPr="007A68EA">
        <w:rPr>
          <w:b/>
          <w:bCs/>
          <w:i/>
          <w:color w:val="000000"/>
          <w:bdr w:val="none" w:sz="0" w:space="0" w:color="auto" w:frame="1"/>
          <w:shd w:val="clear" w:color="auto" w:fill="FFFFFF"/>
        </w:rPr>
        <w:t>INEXEQUIBLE</w:t>
      </w:r>
      <w:r w:rsidRPr="007A68EA">
        <w:rPr>
          <w:i/>
          <w:color w:val="000000"/>
          <w:shd w:val="clear" w:color="auto" w:fill="FFFFFF"/>
        </w:rPr>
        <w:t> la expresión transcurrido 90 días de la fecha ‘establecida para los pagos’, contenida en el parágrafo único del artículo 6° de la Ley 598 de 2000”</w:t>
      </w:r>
      <w:r w:rsidRPr="007A68EA">
        <w:rPr>
          <w:color w:val="000000"/>
          <w:shd w:val="clear" w:color="auto" w:fill="FFFFFF"/>
        </w:rPr>
        <w:t>, referida a la tasa de interés que el legislador pretendió definir para actualizar los precios informados a través del Sistema de Contratación Estatal SICE, la cual se declaró inexequible.</w:t>
      </w:r>
    </w:p>
  </w:footnote>
  <w:footnote w:id="75">
    <w:p w14:paraId="03F5CB88" w14:textId="77777777" w:rsidR="0057689A" w:rsidRPr="007A68EA" w:rsidRDefault="0057689A" w:rsidP="007A68EA">
      <w:pPr>
        <w:pStyle w:val="Textonotapie"/>
        <w:jc w:val="both"/>
      </w:pPr>
      <w:r w:rsidRPr="007A68EA">
        <w:rPr>
          <w:rStyle w:val="Refdenotaalpie"/>
        </w:rPr>
        <w:footnoteRef/>
      </w:r>
      <w:r w:rsidRPr="007A68EA">
        <w:t xml:space="preserve"> Y, por supuesto, vencido el plazo para el pago.</w:t>
      </w:r>
    </w:p>
  </w:footnote>
  <w:footnote w:id="76">
    <w:p w14:paraId="078DE45F" w14:textId="77777777" w:rsidR="0057689A" w:rsidRPr="007A68EA" w:rsidRDefault="0057689A" w:rsidP="007A68EA">
      <w:pPr>
        <w:pStyle w:val="Textonotapie"/>
        <w:jc w:val="both"/>
      </w:pPr>
      <w:r w:rsidRPr="007A68EA">
        <w:rPr>
          <w:rStyle w:val="Refdenotaalpie"/>
        </w:rPr>
        <w:footnoteRef/>
      </w:r>
      <w:r w:rsidRPr="007A68EA">
        <w:t xml:space="preserve"> Cita fuera del texto: </w:t>
      </w:r>
      <w:r w:rsidRPr="007A68EA">
        <w:rPr>
          <w:i/>
        </w:rPr>
        <w:t>Dies a quo</w:t>
      </w:r>
      <w:r w:rsidRPr="007A68EA">
        <w:t xml:space="preserve"> se refiere el día inicial para causar los intereses de mora.</w:t>
      </w:r>
    </w:p>
  </w:footnote>
  <w:footnote w:id="77">
    <w:p w14:paraId="697EBA52"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En el mismo sentido que lo dispone el artículo 146 del Código General del Proceso (C.G.P.)</w:t>
      </w:r>
    </w:p>
  </w:footnote>
  <w:footnote w:id="78">
    <w:p w14:paraId="3DBEC344" w14:textId="77777777" w:rsidR="0057689A" w:rsidRPr="007A68EA" w:rsidRDefault="0057689A" w:rsidP="007A68EA">
      <w:pPr>
        <w:pStyle w:val="Textonotapie"/>
        <w:jc w:val="both"/>
      </w:pPr>
      <w:r w:rsidRPr="007A68EA">
        <w:rPr>
          <w:rStyle w:val="Refdenotaalpie"/>
        </w:rPr>
        <w:footnoteRef/>
      </w:r>
      <w:r w:rsidRPr="007A68EA">
        <w:t xml:space="preserve"> </w:t>
      </w:r>
      <w:r w:rsidRPr="007A68EA">
        <w:rPr>
          <w:lang w:val="es-MX"/>
        </w:rPr>
        <w:t>Consejo de Estado. Sección Tercera. Sentencia del 28 de agosto de 2013. M.P.: Dr. Enrique Gil Botero. Expediente: 25.022.</w:t>
      </w:r>
    </w:p>
  </w:footnote>
  <w:footnote w:id="79">
    <w:p w14:paraId="5A55DB9F"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AZ 2.</w:t>
      </w:r>
    </w:p>
  </w:footnote>
  <w:footnote w:id="80">
    <w:p w14:paraId="2AD74D63"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AZ 3.</w:t>
      </w:r>
    </w:p>
  </w:footnote>
  <w:footnote w:id="81">
    <w:p w14:paraId="20C094A6" w14:textId="77777777" w:rsidR="0057689A" w:rsidRPr="007A68EA" w:rsidRDefault="0057689A" w:rsidP="007A68EA">
      <w:pPr>
        <w:pStyle w:val="Textonotapie"/>
        <w:jc w:val="both"/>
        <w:rPr>
          <w:lang w:val="es-CO"/>
        </w:rPr>
      </w:pPr>
      <w:r w:rsidRPr="007A68EA">
        <w:rPr>
          <w:rStyle w:val="Refdenotaalpie"/>
        </w:rPr>
        <w:footnoteRef/>
      </w:r>
      <w:r w:rsidRPr="007A68EA">
        <w:t xml:space="preserve"> Las dos sociedades se denominaron conjuntamente </w:t>
      </w:r>
      <w:r w:rsidRPr="007A68EA">
        <w:rPr>
          <w:i/>
        </w:rPr>
        <w:t>“El Contratista”</w:t>
      </w:r>
      <w:r w:rsidRPr="007A68EA">
        <w:t xml:space="preserve"> y se obligaron en forma solidaria, según se dispuso en el contrato. </w:t>
      </w:r>
      <w:r w:rsidRPr="007A68EA">
        <w:rPr>
          <w:lang w:val="es-CO"/>
        </w:rPr>
        <w:t>No se utilizó de manera expresa la figura legal del consorcio, tal como fue introducida por el Decreto-ley 222 de 1983 y luego por la Ley 80 de 1993; sin embargo, se observa que en la correspondencia referida a la ejecución del contrato “</w:t>
      </w:r>
      <w:r w:rsidRPr="007A68EA">
        <w:rPr>
          <w:i/>
          <w:lang w:val="es-CO"/>
        </w:rPr>
        <w:t>El Contratista</w:t>
      </w:r>
      <w:r w:rsidRPr="007A68EA">
        <w:rPr>
          <w:lang w:val="es-CO"/>
        </w:rPr>
        <w:t xml:space="preserve">” obraba a través de un representante. </w:t>
      </w:r>
    </w:p>
  </w:footnote>
  <w:footnote w:id="82">
    <w:p w14:paraId="17137B4D"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Folio 240 de la AZ 3.  Se destacan estos precios del contrato inicial, en tanto se relacionan con el asunto materia del debate en este proceso.</w:t>
      </w:r>
    </w:p>
  </w:footnote>
  <w:footnote w:id="83">
    <w:p w14:paraId="616DE807"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 xml:space="preserve">Folio 212 de la AZ 3. </w:t>
      </w:r>
    </w:p>
  </w:footnote>
  <w:footnote w:id="84">
    <w:p w14:paraId="506B3114"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 xml:space="preserve">Folio 259 de la AZ 3. </w:t>
      </w:r>
    </w:p>
  </w:footnote>
  <w:footnote w:id="85">
    <w:p w14:paraId="3B46B29E"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 xml:space="preserve">Folios 247 y 248 de la AZ 3. </w:t>
      </w:r>
    </w:p>
  </w:footnote>
  <w:footnote w:id="86">
    <w:p w14:paraId="223F35E3"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 xml:space="preserve">Folios 249 y 250 de la AZ 3 </w:t>
      </w:r>
    </w:p>
  </w:footnote>
  <w:footnote w:id="87">
    <w:p w14:paraId="6E02FAD0"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 xml:space="preserve">Folio 313 de la AZ 3. </w:t>
      </w:r>
    </w:p>
  </w:footnote>
  <w:footnote w:id="88">
    <w:p w14:paraId="035CE3FE"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 xml:space="preserve">Folios 251 y 252 de la AZ 3. </w:t>
      </w:r>
    </w:p>
  </w:footnote>
  <w:footnote w:id="89">
    <w:p w14:paraId="1DA34671"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 xml:space="preserve">Folio 373 de la AZ 3 </w:t>
      </w:r>
    </w:p>
  </w:footnote>
  <w:footnote w:id="90">
    <w:p w14:paraId="1BD21540"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Si bien se encontró dentro de las actas que sufrieron demoras en su pago, por más de 144 días,</w:t>
      </w:r>
      <w:r w:rsidRPr="007A68EA" w:rsidDel="00E52DFF">
        <w:rPr>
          <w:lang w:val="es-CO"/>
        </w:rPr>
        <w:t xml:space="preserve"> </w:t>
      </w:r>
      <w:r w:rsidRPr="007A68EA">
        <w:rPr>
          <w:lang w:val="es-CO"/>
        </w:rPr>
        <w:t xml:space="preserve">según los documentos obrantes en el plenario, el acta de obra No. 8 se pagó el 4 de octubre de 1979. </w:t>
      </w:r>
    </w:p>
  </w:footnote>
  <w:footnote w:id="91">
    <w:p w14:paraId="6585F491"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 xml:space="preserve">Folio 379 de la AZ 3. </w:t>
      </w:r>
    </w:p>
  </w:footnote>
  <w:footnote w:id="92">
    <w:p w14:paraId="5F0440FB"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Folio 315 de la AZ 3.</w:t>
      </w:r>
    </w:p>
  </w:footnote>
  <w:footnote w:id="93">
    <w:p w14:paraId="413DC303"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 xml:space="preserve">Folio 395 de la AZ 3.  Con base en esta prueba se observa que las cantidades eran variables, pero controladas por el interventor, en ese momento funcionario del Ministerio de Obras Públicas y Transporte, en cuanto al tope de ejecución, medido contra el presupuesto aprobado. </w:t>
      </w:r>
    </w:p>
  </w:footnote>
  <w:footnote w:id="94">
    <w:p w14:paraId="796F1E28"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 xml:space="preserve">Folio 314 de la AZ 3. </w:t>
      </w:r>
    </w:p>
  </w:footnote>
  <w:footnote w:id="95">
    <w:p w14:paraId="36E4DD17" w14:textId="77777777" w:rsidR="0057689A" w:rsidRPr="007A68EA" w:rsidRDefault="0057689A" w:rsidP="007A68EA">
      <w:pPr>
        <w:pStyle w:val="Textonotapie"/>
        <w:tabs>
          <w:tab w:val="left" w:pos="2408"/>
        </w:tabs>
        <w:jc w:val="both"/>
      </w:pPr>
      <w:r w:rsidRPr="007A68EA">
        <w:rPr>
          <w:rStyle w:val="Refdenotaalpie"/>
        </w:rPr>
        <w:footnoteRef/>
      </w:r>
      <w:r w:rsidRPr="007A68EA">
        <w:t xml:space="preserve"> Folio 401 de la AZ 1.</w:t>
      </w:r>
    </w:p>
  </w:footnote>
  <w:footnote w:id="96">
    <w:p w14:paraId="05029F3D"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Folio 399 de la AZ 1.</w:t>
      </w:r>
    </w:p>
  </w:footnote>
  <w:footnote w:id="97">
    <w:p w14:paraId="50A39F81"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Folio 396 de la AZ 1.</w:t>
      </w:r>
    </w:p>
  </w:footnote>
  <w:footnote w:id="98">
    <w:p w14:paraId="302B087B"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Folio 438 de la AZ 1.</w:t>
      </w:r>
    </w:p>
  </w:footnote>
  <w:footnote w:id="99">
    <w:p w14:paraId="7DF130BE"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Folio 464 de la AZ 1.</w:t>
      </w:r>
    </w:p>
  </w:footnote>
  <w:footnote w:id="100">
    <w:p w14:paraId="28E7F5F7" w14:textId="77777777" w:rsidR="0057689A" w:rsidRPr="007A68EA" w:rsidRDefault="0057689A" w:rsidP="007A68EA">
      <w:pPr>
        <w:jc w:val="both"/>
        <w:rPr>
          <w:rStyle w:val="Textoennegrita"/>
          <w:b w:val="0"/>
          <w:bCs w:val="0"/>
          <w:sz w:val="20"/>
          <w:szCs w:val="20"/>
        </w:rPr>
      </w:pPr>
      <w:r w:rsidRPr="007A68EA">
        <w:rPr>
          <w:rStyle w:val="Refdenotaalpie"/>
          <w:i/>
          <w:iCs/>
          <w:sz w:val="20"/>
          <w:szCs w:val="20"/>
        </w:rPr>
        <w:footnoteRef/>
      </w:r>
      <w:r w:rsidRPr="007A68EA">
        <w:rPr>
          <w:i/>
          <w:iCs/>
          <w:sz w:val="20"/>
          <w:szCs w:val="20"/>
        </w:rPr>
        <w:t xml:space="preserve"> “</w:t>
      </w:r>
      <w:r w:rsidRPr="007A68EA">
        <w:rPr>
          <w:i/>
          <w:iCs/>
          <w:color w:val="000000"/>
          <w:sz w:val="20"/>
          <w:szCs w:val="20"/>
          <w:lang w:eastAsia="es-CO"/>
        </w:rPr>
        <w:t>Artículo 17. De los requisitos. SaIvo disposición legal en contrario, la celebración de contratos suscritos por parte de la Nación, se someterá a los siguientes requisitos: (…) b. Aprobación y registro presupuestales”.</w:t>
      </w:r>
    </w:p>
    <w:p w14:paraId="65D3D1D4" w14:textId="77777777" w:rsidR="0057689A" w:rsidRPr="007A68EA" w:rsidRDefault="0057689A" w:rsidP="007A68EA">
      <w:pPr>
        <w:jc w:val="both"/>
        <w:rPr>
          <w:rStyle w:val="Textoennegrita"/>
          <w:b w:val="0"/>
          <w:bCs w:val="0"/>
          <w:sz w:val="20"/>
          <w:szCs w:val="20"/>
        </w:rPr>
      </w:pPr>
    </w:p>
    <w:p w14:paraId="0A25AEB3" w14:textId="77777777" w:rsidR="0057689A" w:rsidRPr="007A68EA" w:rsidRDefault="0057689A" w:rsidP="007A68EA">
      <w:pPr>
        <w:jc w:val="both"/>
        <w:rPr>
          <w:rStyle w:val="Textoennegrita"/>
          <w:b w:val="0"/>
          <w:bCs w:val="0"/>
          <w:sz w:val="20"/>
          <w:szCs w:val="20"/>
        </w:rPr>
      </w:pPr>
      <w:r w:rsidRPr="007A68EA">
        <w:rPr>
          <w:rStyle w:val="Textoennegrita"/>
          <w:b w:val="0"/>
          <w:bCs w:val="0"/>
          <w:sz w:val="20"/>
          <w:szCs w:val="20"/>
        </w:rPr>
        <w:t>“(…).</w:t>
      </w:r>
    </w:p>
    <w:p w14:paraId="62ABC618" w14:textId="77777777" w:rsidR="0057689A" w:rsidRPr="007A68EA" w:rsidRDefault="0057689A" w:rsidP="007A68EA">
      <w:pPr>
        <w:jc w:val="both"/>
        <w:rPr>
          <w:rStyle w:val="Textoennegrita"/>
          <w:b w:val="0"/>
          <w:bCs w:val="0"/>
          <w:sz w:val="20"/>
          <w:szCs w:val="20"/>
        </w:rPr>
      </w:pPr>
    </w:p>
    <w:p w14:paraId="72DB61FB" w14:textId="77777777" w:rsidR="0057689A" w:rsidRPr="007A68EA" w:rsidRDefault="0057689A" w:rsidP="007A68EA">
      <w:pPr>
        <w:pStyle w:val="NormalWeb"/>
        <w:spacing w:before="0" w:beforeAutospacing="0" w:after="0" w:afterAutospacing="0"/>
        <w:jc w:val="both"/>
        <w:rPr>
          <w:i/>
          <w:color w:val="000000"/>
          <w:sz w:val="20"/>
          <w:szCs w:val="20"/>
        </w:rPr>
      </w:pPr>
      <w:r w:rsidRPr="007A68EA">
        <w:rPr>
          <w:rStyle w:val="Textoennegrita"/>
          <w:b w:val="0"/>
          <w:i/>
          <w:color w:val="000000"/>
          <w:sz w:val="20"/>
          <w:szCs w:val="20"/>
        </w:rPr>
        <w:t>“Artículo 34</w:t>
      </w:r>
      <w:r w:rsidRPr="007A68EA">
        <w:rPr>
          <w:bCs/>
          <w:i/>
          <w:color w:val="000000"/>
          <w:sz w:val="20"/>
          <w:szCs w:val="20"/>
        </w:rPr>
        <w:t>.</w:t>
      </w:r>
      <w:r w:rsidRPr="007A68EA">
        <w:rPr>
          <w:i/>
          <w:color w:val="000000"/>
          <w:sz w:val="20"/>
          <w:szCs w:val="20"/>
        </w:rPr>
        <w:t> De la aprobación y el registro presupuestales. Los contratos que celebre la Nación estarán sujetos a la aprobación y registro presupuestal de la Dirección General de Presupuesto, operaciones que se cumplirán por las Divisiones y Secciones Delegadas ante la respectiva entidad, para la cual éstas deberán verificar: (…).</w:t>
      </w:r>
    </w:p>
    <w:p w14:paraId="654ABD29" w14:textId="77777777" w:rsidR="0057689A" w:rsidRPr="007A68EA" w:rsidRDefault="0057689A" w:rsidP="007A68EA">
      <w:pPr>
        <w:pStyle w:val="NormalWeb"/>
        <w:spacing w:before="0" w:beforeAutospacing="0" w:after="0" w:afterAutospacing="0"/>
        <w:jc w:val="both"/>
        <w:rPr>
          <w:rStyle w:val="Textoennegrita"/>
          <w:i/>
          <w:color w:val="000000"/>
          <w:sz w:val="20"/>
          <w:szCs w:val="20"/>
        </w:rPr>
      </w:pPr>
    </w:p>
    <w:p w14:paraId="7F47CC25" w14:textId="77777777" w:rsidR="0057689A" w:rsidRPr="007A68EA" w:rsidRDefault="0057689A" w:rsidP="007A68EA">
      <w:pPr>
        <w:pStyle w:val="NormalWeb"/>
        <w:spacing w:before="0" w:beforeAutospacing="0" w:after="0" w:afterAutospacing="0"/>
        <w:jc w:val="both"/>
        <w:rPr>
          <w:i/>
          <w:color w:val="000000"/>
          <w:sz w:val="20"/>
          <w:szCs w:val="20"/>
        </w:rPr>
      </w:pPr>
      <w:r w:rsidRPr="007A68EA">
        <w:rPr>
          <w:rStyle w:val="Textoennegrita"/>
          <w:b w:val="0"/>
          <w:i/>
          <w:color w:val="000000"/>
          <w:sz w:val="20"/>
          <w:szCs w:val="20"/>
        </w:rPr>
        <w:t>“Artículo 54</w:t>
      </w:r>
      <w:r w:rsidRPr="007A68EA">
        <w:rPr>
          <w:b/>
          <w:bCs/>
          <w:i/>
          <w:color w:val="000000"/>
          <w:sz w:val="20"/>
          <w:szCs w:val="20"/>
        </w:rPr>
        <w:t>.</w:t>
      </w:r>
      <w:r w:rsidRPr="007A68EA">
        <w:rPr>
          <w:i/>
          <w:color w:val="000000"/>
          <w:sz w:val="20"/>
          <w:szCs w:val="20"/>
        </w:rPr>
        <w:t> De la subordinación a las apropiaciones presupuestales. En todo contrato que afecte el Presupuesto Nacional deberá estipularse precisamente que la entrega de las sumas de dinero a que la entidad contratante queda obligada, se subordina a las apropiaciones que de las mismas se haga en los respectivos presupuestos. // La entidad contratante se comprometerá a incluir las partidas necesarias en su proyecto o proyectos anuales de gastos. </w:t>
      </w:r>
    </w:p>
    <w:p w14:paraId="006FAA1F" w14:textId="77777777" w:rsidR="0057689A" w:rsidRPr="007A68EA" w:rsidRDefault="0057689A" w:rsidP="007A68EA">
      <w:pPr>
        <w:pStyle w:val="NormalWeb"/>
        <w:spacing w:before="0" w:beforeAutospacing="0" w:after="0" w:afterAutospacing="0"/>
        <w:jc w:val="both"/>
        <w:rPr>
          <w:color w:val="000000"/>
          <w:sz w:val="20"/>
          <w:szCs w:val="20"/>
        </w:rPr>
      </w:pPr>
    </w:p>
    <w:p w14:paraId="56DE1258" w14:textId="77777777" w:rsidR="0057689A" w:rsidRPr="007A68EA" w:rsidRDefault="0057689A" w:rsidP="007A68EA">
      <w:pPr>
        <w:jc w:val="both"/>
        <w:rPr>
          <w:i/>
          <w:iCs/>
          <w:color w:val="000000"/>
          <w:sz w:val="20"/>
          <w:szCs w:val="20"/>
        </w:rPr>
      </w:pPr>
      <w:r w:rsidRPr="007A68EA">
        <w:rPr>
          <w:rStyle w:val="Textoennegrita"/>
          <w:b w:val="0"/>
          <w:bCs w:val="0"/>
          <w:i/>
          <w:iCs/>
          <w:color w:val="000000"/>
          <w:sz w:val="20"/>
          <w:szCs w:val="20"/>
        </w:rPr>
        <w:t>“Artículo 202</w:t>
      </w:r>
      <w:r w:rsidRPr="007A68EA">
        <w:rPr>
          <w:b/>
          <w:bCs/>
          <w:i/>
          <w:iCs/>
          <w:color w:val="000000"/>
          <w:sz w:val="20"/>
          <w:szCs w:val="20"/>
        </w:rPr>
        <w:t>.</w:t>
      </w:r>
      <w:r w:rsidRPr="007A68EA">
        <w:rPr>
          <w:i/>
          <w:iCs/>
          <w:color w:val="000000"/>
          <w:sz w:val="20"/>
          <w:szCs w:val="20"/>
        </w:rPr>
        <w:t> De la prohibición de ejecutar contratos no perfeccionados. Solo podrá iniciarse la ejecución de los contratos que estuvieren debidamente perfeccionados. En consecuencia, con cargo a los convenios a que se refiere el presente Decreto no podrá pagarse suma alguna de dinero ni el contratista iniciar labores, mientras no se haya dado cumplimiento a los requisitos y formalidades que en este Estatuto se establecen”</w:t>
      </w:r>
    </w:p>
    <w:p w14:paraId="2072A4D2" w14:textId="77777777" w:rsidR="0057689A" w:rsidRPr="007A68EA" w:rsidRDefault="0057689A" w:rsidP="007A68EA">
      <w:pPr>
        <w:jc w:val="both"/>
        <w:rPr>
          <w:sz w:val="20"/>
          <w:szCs w:val="20"/>
        </w:rPr>
      </w:pPr>
    </w:p>
  </w:footnote>
  <w:footnote w:id="101">
    <w:p w14:paraId="6929CBFA" w14:textId="77777777" w:rsidR="0057689A" w:rsidRPr="007A68EA" w:rsidRDefault="0057689A" w:rsidP="007A68EA">
      <w:pPr>
        <w:pStyle w:val="Textonotapie"/>
        <w:jc w:val="both"/>
      </w:pPr>
      <w:r w:rsidRPr="007A68EA">
        <w:rPr>
          <w:rStyle w:val="Refdenotaalpie"/>
        </w:rPr>
        <w:footnoteRef/>
      </w:r>
      <w:r w:rsidRPr="007A68EA">
        <w:t xml:space="preserve"> </w:t>
      </w:r>
      <w:r w:rsidRPr="007A68EA">
        <w:rPr>
          <w:i/>
          <w:iCs/>
        </w:rPr>
        <w:t>“</w:t>
      </w:r>
      <w:r w:rsidRPr="007A68EA">
        <w:rPr>
          <w:i/>
          <w:iCs/>
          <w:color w:val="000000"/>
        </w:rPr>
        <w:t>Sobre reorganización de la contabilidad oficial y creación del Departamento de Contraloría”</w:t>
      </w:r>
      <w:r w:rsidRPr="007A68EA">
        <w:rPr>
          <w:color w:val="000000"/>
        </w:rPr>
        <w:t>, v</w:t>
      </w:r>
      <w:r w:rsidRPr="007A68EA">
        <w:t xml:space="preserve">igente hasta el 26 de enero de 1993, cuando fue derogada por la Ley 42 de 1993. </w:t>
      </w:r>
    </w:p>
  </w:footnote>
  <w:footnote w:id="102">
    <w:p w14:paraId="03831ECD" w14:textId="77777777" w:rsidR="0057689A" w:rsidRPr="007A68EA" w:rsidRDefault="0057689A" w:rsidP="007A68EA">
      <w:pPr>
        <w:pStyle w:val="Textonotapie"/>
        <w:jc w:val="both"/>
        <w:rPr>
          <w:lang w:val="es-CO"/>
        </w:rPr>
      </w:pPr>
      <w:r w:rsidRPr="007A68EA">
        <w:rPr>
          <w:rStyle w:val="Refdenotaalpie"/>
        </w:rPr>
        <w:footnoteRef/>
      </w:r>
      <w:r w:rsidRPr="007A68EA">
        <w:t xml:space="preserve"> Folios 465 a 475 de la AZ 1</w:t>
      </w:r>
    </w:p>
  </w:footnote>
  <w:footnote w:id="103">
    <w:p w14:paraId="58413DF1"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 xml:space="preserve">Folio 480  de la AZ 1. </w:t>
      </w:r>
    </w:p>
  </w:footnote>
  <w:footnote w:id="104">
    <w:p w14:paraId="59F22B7A"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Folios 476 y 477 del cuaderno 1.</w:t>
      </w:r>
    </w:p>
  </w:footnote>
  <w:footnote w:id="105">
    <w:p w14:paraId="3A7ADADC"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 xml:space="preserve">Folio 474 del cuaderno 1. </w:t>
      </w:r>
    </w:p>
  </w:footnote>
  <w:footnote w:id="106">
    <w:p w14:paraId="162B0736"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Esta prueba consiste en una planilla en formato del Ministerio en la que se relacionan los valores de ejecución del contrato, con los datos de: número de compromiso presupuestal, actas y valores pagados.</w:t>
      </w:r>
    </w:p>
  </w:footnote>
  <w:footnote w:id="107">
    <w:p w14:paraId="0BC05B91"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Página 5 del dictamen, cuaderno 2 de pruebas.</w:t>
      </w:r>
    </w:p>
  </w:footnote>
  <w:footnote w:id="108">
    <w:p w14:paraId="6D857EF3"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 xml:space="preserve">Folio 375 de la AZ 1. </w:t>
      </w:r>
    </w:p>
  </w:footnote>
  <w:footnote w:id="109">
    <w:p w14:paraId="35640FBD"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 xml:space="preserve">Folio 376 de la AZ 1. </w:t>
      </w:r>
    </w:p>
  </w:footnote>
  <w:footnote w:id="110">
    <w:p w14:paraId="5ABC8905"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 xml:space="preserve">Folio 482 de la AZ 3. </w:t>
      </w:r>
    </w:p>
  </w:footnote>
  <w:footnote w:id="111">
    <w:p w14:paraId="0DE169F9"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 xml:space="preserve">Folio s 17 a 26 del cuaderno 1.  </w:t>
      </w:r>
    </w:p>
  </w:footnote>
  <w:footnote w:id="112">
    <w:p w14:paraId="1BAB312D"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 xml:space="preserve">Folio 475 del cuaderno 1. </w:t>
      </w:r>
    </w:p>
  </w:footnote>
  <w:footnote w:id="113">
    <w:p w14:paraId="118A5C46"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 xml:space="preserve">Folio 472 del cuaderno 1. </w:t>
      </w:r>
    </w:p>
  </w:footnote>
  <w:footnote w:id="114">
    <w:p w14:paraId="0402A381"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 xml:space="preserve">La denegación de la pretensión de liquidación no fue objeto del recurso de apelación, razón por la cual no se cuestionará el silencio que se guardó sobre ella en la sentencia. </w:t>
      </w:r>
    </w:p>
  </w:footnote>
  <w:footnote w:id="115">
    <w:p w14:paraId="74473692" w14:textId="77777777" w:rsidR="0057689A" w:rsidRPr="007A68EA" w:rsidRDefault="0057689A" w:rsidP="007A68EA">
      <w:pPr>
        <w:pStyle w:val="Textonotapie"/>
        <w:jc w:val="both"/>
        <w:rPr>
          <w:lang w:val="es-CO"/>
        </w:rPr>
      </w:pPr>
      <w:r w:rsidRPr="007A68EA">
        <w:rPr>
          <w:rStyle w:val="Refdenotaalpie"/>
        </w:rPr>
        <w:footnoteRef/>
      </w:r>
      <w:r w:rsidRPr="007A68EA">
        <w:t xml:space="preserve">  Se reitera lo dicho en esta providencia en el sentido de que si el contratista estaba obligado a presentar actas de avances de obra mensual, correlativamente se puede entender que el flujo financiero al que se obligaba el Fondo Vial Nacional era de carácter mensual, por lo cual, en tanto estuviera cumpliendo, el contratista podía esperar el pago en forma mensual, aunque en este caso no tuviera lugar la inserción del artículo 855 del C.Co., por tratarse de un contrato que se rigió por el Decreto-ley 150 de 1976</w:t>
      </w:r>
    </w:p>
  </w:footnote>
  <w:footnote w:id="116">
    <w:p w14:paraId="6B056D68"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Que vinieron a introducirse con fuerza de ley  a partir de la reforma financiera contenida en la Ley 45 de 1990.</w:t>
      </w:r>
    </w:p>
  </w:footnote>
  <w:footnote w:id="117">
    <w:p w14:paraId="4A431E0D" w14:textId="77777777" w:rsidR="0057689A" w:rsidRPr="007A68EA" w:rsidRDefault="0057689A" w:rsidP="007A68EA">
      <w:pPr>
        <w:ind w:right="49"/>
        <w:jc w:val="both"/>
        <w:rPr>
          <w:sz w:val="20"/>
          <w:szCs w:val="20"/>
        </w:rPr>
      </w:pPr>
      <w:r w:rsidRPr="007A68EA">
        <w:rPr>
          <w:rStyle w:val="Refdenotaalpie"/>
          <w:sz w:val="20"/>
          <w:szCs w:val="20"/>
        </w:rPr>
        <w:footnoteRef/>
      </w:r>
      <w:r w:rsidRPr="007A68EA">
        <w:rPr>
          <w:sz w:val="20"/>
          <w:szCs w:val="20"/>
        </w:rPr>
        <w:t xml:space="preserve"> </w:t>
      </w:r>
      <w:r w:rsidRPr="007A68EA">
        <w:rPr>
          <w:i/>
          <w:iCs/>
          <w:sz w:val="20"/>
          <w:szCs w:val="20"/>
          <w:lang w:eastAsia="es-CO"/>
        </w:rPr>
        <w:t xml:space="preserve"> “…Si se deben capital e intereses, el pago se imputará primeramente a los intereses, salvo que el acreedor consienta expresamente que se impute al capital. </w:t>
      </w:r>
      <w:r w:rsidRPr="007A68EA">
        <w:rPr>
          <w:b/>
          <w:bCs/>
          <w:i/>
          <w:iCs/>
          <w:sz w:val="20"/>
          <w:szCs w:val="20"/>
          <w:lang w:eastAsia="es-CO"/>
        </w:rPr>
        <w:t>Si el acreedor otorga carta de pago del capital sin mencionar los intereses, se presumen éstos pagados</w:t>
      </w:r>
      <w:r w:rsidRPr="007A68EA">
        <w:rPr>
          <w:i/>
          <w:iCs/>
          <w:sz w:val="20"/>
          <w:szCs w:val="20"/>
          <w:lang w:eastAsia="es-CO"/>
        </w:rPr>
        <w:t>”.</w:t>
      </w:r>
    </w:p>
  </w:footnote>
  <w:footnote w:id="118">
    <w:p w14:paraId="0BE4A886" w14:textId="77777777" w:rsidR="0057689A" w:rsidRPr="007A68EA" w:rsidRDefault="0057689A" w:rsidP="007A68EA">
      <w:pPr>
        <w:pStyle w:val="Textonotapie"/>
        <w:jc w:val="both"/>
        <w:rPr>
          <w:lang w:val="es-CO"/>
        </w:rPr>
      </w:pPr>
      <w:r w:rsidRPr="007A68EA">
        <w:rPr>
          <w:rStyle w:val="Refdenotaalpie"/>
        </w:rPr>
        <w:footnoteRef/>
      </w:r>
      <w:r w:rsidRPr="007A68EA">
        <w:t xml:space="preserve"> Folio 215 de la AZ 3.</w:t>
      </w:r>
    </w:p>
  </w:footnote>
  <w:footnote w:id="119">
    <w:p w14:paraId="5E21E150"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 xml:space="preserve">Folio 215 de la AZ 3. </w:t>
      </w:r>
    </w:p>
  </w:footnote>
  <w:footnote w:id="120">
    <w:p w14:paraId="54CDA296"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Folio 264 de la AZ 3.</w:t>
      </w:r>
    </w:p>
  </w:footnote>
  <w:footnote w:id="121">
    <w:p w14:paraId="6FE33D3D"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 xml:space="preserve">Folio 323 de la AZ 3. </w:t>
      </w:r>
    </w:p>
  </w:footnote>
  <w:footnote w:id="122">
    <w:p w14:paraId="7BB14AD0"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Folio 332 de la AZ 3.</w:t>
      </w:r>
    </w:p>
  </w:footnote>
  <w:footnote w:id="123">
    <w:p w14:paraId="5B8FFEED" w14:textId="77777777" w:rsidR="0057689A" w:rsidRPr="007A68EA" w:rsidRDefault="0057689A" w:rsidP="007A68EA">
      <w:pPr>
        <w:pStyle w:val="Textonotapie"/>
        <w:jc w:val="both"/>
        <w:rPr>
          <w:lang w:val="es-CO"/>
        </w:rPr>
      </w:pPr>
      <w:r w:rsidRPr="007A68EA">
        <w:rPr>
          <w:rStyle w:val="Refdenotaalpie"/>
        </w:rPr>
        <w:footnoteRef/>
      </w:r>
      <w:r w:rsidRPr="007A68EA">
        <w:t xml:space="preserve"> </w:t>
      </w:r>
      <w:r w:rsidRPr="007A68EA">
        <w:rPr>
          <w:lang w:val="es-CO"/>
        </w:rPr>
        <w:t xml:space="preserve">Folios 439 a 448 de la AZ 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0446A"/>
    <w:multiLevelType w:val="hybridMultilevel"/>
    <w:tmpl w:val="B1BE7026"/>
    <w:lvl w:ilvl="0" w:tplc="1FD463F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DC454D9"/>
    <w:multiLevelType w:val="hybridMultilevel"/>
    <w:tmpl w:val="81E488F4"/>
    <w:lvl w:ilvl="0" w:tplc="599E59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34B5900"/>
    <w:multiLevelType w:val="hybridMultilevel"/>
    <w:tmpl w:val="0486EEA8"/>
    <w:lvl w:ilvl="0" w:tplc="09E84A8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40"/>
    <w:rsid w:val="00001384"/>
    <w:rsid w:val="00003640"/>
    <w:rsid w:val="00006173"/>
    <w:rsid w:val="00006CE6"/>
    <w:rsid w:val="000109BB"/>
    <w:rsid w:val="00012637"/>
    <w:rsid w:val="00012D02"/>
    <w:rsid w:val="00013A9C"/>
    <w:rsid w:val="00015653"/>
    <w:rsid w:val="0001630C"/>
    <w:rsid w:val="00016F73"/>
    <w:rsid w:val="00017251"/>
    <w:rsid w:val="00017515"/>
    <w:rsid w:val="000203FF"/>
    <w:rsid w:val="00021636"/>
    <w:rsid w:val="00022762"/>
    <w:rsid w:val="000244A3"/>
    <w:rsid w:val="00024E2E"/>
    <w:rsid w:val="00027DBA"/>
    <w:rsid w:val="00030FFA"/>
    <w:rsid w:val="0003205C"/>
    <w:rsid w:val="00033A99"/>
    <w:rsid w:val="00033BAB"/>
    <w:rsid w:val="000340E8"/>
    <w:rsid w:val="00035BD4"/>
    <w:rsid w:val="00041136"/>
    <w:rsid w:val="00041DC0"/>
    <w:rsid w:val="000423DB"/>
    <w:rsid w:val="00043634"/>
    <w:rsid w:val="00044CE1"/>
    <w:rsid w:val="00044EF9"/>
    <w:rsid w:val="0004537F"/>
    <w:rsid w:val="000466B7"/>
    <w:rsid w:val="00051800"/>
    <w:rsid w:val="000537CB"/>
    <w:rsid w:val="00053840"/>
    <w:rsid w:val="000541A8"/>
    <w:rsid w:val="00055A0D"/>
    <w:rsid w:val="00055E73"/>
    <w:rsid w:val="000610B6"/>
    <w:rsid w:val="0006139A"/>
    <w:rsid w:val="00061F4C"/>
    <w:rsid w:val="00063100"/>
    <w:rsid w:val="000655F0"/>
    <w:rsid w:val="00066FFE"/>
    <w:rsid w:val="0007037E"/>
    <w:rsid w:val="0007076F"/>
    <w:rsid w:val="00071564"/>
    <w:rsid w:val="000722AA"/>
    <w:rsid w:val="00072B70"/>
    <w:rsid w:val="00072D7C"/>
    <w:rsid w:val="00075BE3"/>
    <w:rsid w:val="0007607F"/>
    <w:rsid w:val="0007733C"/>
    <w:rsid w:val="0008016F"/>
    <w:rsid w:val="000808D0"/>
    <w:rsid w:val="000838E5"/>
    <w:rsid w:val="000839B9"/>
    <w:rsid w:val="000864B3"/>
    <w:rsid w:val="0008703B"/>
    <w:rsid w:val="00090F90"/>
    <w:rsid w:val="00091838"/>
    <w:rsid w:val="00093BC9"/>
    <w:rsid w:val="00093C27"/>
    <w:rsid w:val="00093C74"/>
    <w:rsid w:val="00093D4A"/>
    <w:rsid w:val="00094901"/>
    <w:rsid w:val="000953A8"/>
    <w:rsid w:val="00095ED0"/>
    <w:rsid w:val="00097BE6"/>
    <w:rsid w:val="00097F36"/>
    <w:rsid w:val="000A28E5"/>
    <w:rsid w:val="000A31F1"/>
    <w:rsid w:val="000A39C9"/>
    <w:rsid w:val="000A3E88"/>
    <w:rsid w:val="000A7036"/>
    <w:rsid w:val="000A727F"/>
    <w:rsid w:val="000B23A2"/>
    <w:rsid w:val="000B2775"/>
    <w:rsid w:val="000B2B28"/>
    <w:rsid w:val="000B42AA"/>
    <w:rsid w:val="000B4799"/>
    <w:rsid w:val="000B557E"/>
    <w:rsid w:val="000B61BF"/>
    <w:rsid w:val="000B6946"/>
    <w:rsid w:val="000C00EC"/>
    <w:rsid w:val="000C0CAF"/>
    <w:rsid w:val="000C1191"/>
    <w:rsid w:val="000C239B"/>
    <w:rsid w:val="000C41EA"/>
    <w:rsid w:val="000C4338"/>
    <w:rsid w:val="000C46A5"/>
    <w:rsid w:val="000C4B12"/>
    <w:rsid w:val="000C65A0"/>
    <w:rsid w:val="000C73C8"/>
    <w:rsid w:val="000C781C"/>
    <w:rsid w:val="000D12CA"/>
    <w:rsid w:val="000D1B28"/>
    <w:rsid w:val="000D3B12"/>
    <w:rsid w:val="000D6CA8"/>
    <w:rsid w:val="000E0C94"/>
    <w:rsid w:val="000E2656"/>
    <w:rsid w:val="000E279A"/>
    <w:rsid w:val="000E3002"/>
    <w:rsid w:val="000E4326"/>
    <w:rsid w:val="000E55D8"/>
    <w:rsid w:val="000E636D"/>
    <w:rsid w:val="000E7426"/>
    <w:rsid w:val="000E78D6"/>
    <w:rsid w:val="000E7EFC"/>
    <w:rsid w:val="000F05AE"/>
    <w:rsid w:val="000F0BD3"/>
    <w:rsid w:val="000F10DB"/>
    <w:rsid w:val="000F1449"/>
    <w:rsid w:val="000F2E66"/>
    <w:rsid w:val="000F4893"/>
    <w:rsid w:val="000F538A"/>
    <w:rsid w:val="000F556B"/>
    <w:rsid w:val="000F6A0F"/>
    <w:rsid w:val="00100E67"/>
    <w:rsid w:val="00102B6E"/>
    <w:rsid w:val="001038BF"/>
    <w:rsid w:val="00104CC0"/>
    <w:rsid w:val="00106248"/>
    <w:rsid w:val="00106326"/>
    <w:rsid w:val="001069F5"/>
    <w:rsid w:val="001103D8"/>
    <w:rsid w:val="00111957"/>
    <w:rsid w:val="00112311"/>
    <w:rsid w:val="00114250"/>
    <w:rsid w:val="00116300"/>
    <w:rsid w:val="00116341"/>
    <w:rsid w:val="00120152"/>
    <w:rsid w:val="00122692"/>
    <w:rsid w:val="00122C2D"/>
    <w:rsid w:val="0012359E"/>
    <w:rsid w:val="001235F3"/>
    <w:rsid w:val="00124515"/>
    <w:rsid w:val="00131ECB"/>
    <w:rsid w:val="00135968"/>
    <w:rsid w:val="00137B87"/>
    <w:rsid w:val="0014085B"/>
    <w:rsid w:val="0014278C"/>
    <w:rsid w:val="00142907"/>
    <w:rsid w:val="00146C14"/>
    <w:rsid w:val="00151208"/>
    <w:rsid w:val="00152C8A"/>
    <w:rsid w:val="001534EF"/>
    <w:rsid w:val="001539A1"/>
    <w:rsid w:val="001569B0"/>
    <w:rsid w:val="00156AB9"/>
    <w:rsid w:val="00157556"/>
    <w:rsid w:val="00157A71"/>
    <w:rsid w:val="001600F7"/>
    <w:rsid w:val="0016082D"/>
    <w:rsid w:val="001611A2"/>
    <w:rsid w:val="00161AE9"/>
    <w:rsid w:val="001628F8"/>
    <w:rsid w:val="00162E92"/>
    <w:rsid w:val="0016354C"/>
    <w:rsid w:val="00163CB9"/>
    <w:rsid w:val="00164876"/>
    <w:rsid w:val="00164D8B"/>
    <w:rsid w:val="00165FCF"/>
    <w:rsid w:val="00167143"/>
    <w:rsid w:val="00171921"/>
    <w:rsid w:val="00171F2F"/>
    <w:rsid w:val="001743C2"/>
    <w:rsid w:val="00174FA2"/>
    <w:rsid w:val="00175617"/>
    <w:rsid w:val="00175D5C"/>
    <w:rsid w:val="00177E05"/>
    <w:rsid w:val="00180837"/>
    <w:rsid w:val="00180C41"/>
    <w:rsid w:val="001811C7"/>
    <w:rsid w:val="001841C6"/>
    <w:rsid w:val="001841FE"/>
    <w:rsid w:val="001860FE"/>
    <w:rsid w:val="00190465"/>
    <w:rsid w:val="00190BCB"/>
    <w:rsid w:val="00191388"/>
    <w:rsid w:val="00195F87"/>
    <w:rsid w:val="00196BB4"/>
    <w:rsid w:val="001A0C62"/>
    <w:rsid w:val="001A23E9"/>
    <w:rsid w:val="001A279B"/>
    <w:rsid w:val="001A28F1"/>
    <w:rsid w:val="001A2A94"/>
    <w:rsid w:val="001A3B31"/>
    <w:rsid w:val="001A52E5"/>
    <w:rsid w:val="001A5517"/>
    <w:rsid w:val="001A7151"/>
    <w:rsid w:val="001B050B"/>
    <w:rsid w:val="001B2E18"/>
    <w:rsid w:val="001B33FE"/>
    <w:rsid w:val="001B4695"/>
    <w:rsid w:val="001B59D5"/>
    <w:rsid w:val="001B5B5A"/>
    <w:rsid w:val="001B5C0C"/>
    <w:rsid w:val="001B5CB3"/>
    <w:rsid w:val="001C02F7"/>
    <w:rsid w:val="001C06BB"/>
    <w:rsid w:val="001C3848"/>
    <w:rsid w:val="001C564E"/>
    <w:rsid w:val="001C5AE6"/>
    <w:rsid w:val="001C79A5"/>
    <w:rsid w:val="001C7CBB"/>
    <w:rsid w:val="001D078B"/>
    <w:rsid w:val="001D15C8"/>
    <w:rsid w:val="001D2638"/>
    <w:rsid w:val="001D2A00"/>
    <w:rsid w:val="001D3014"/>
    <w:rsid w:val="001D3032"/>
    <w:rsid w:val="001D3902"/>
    <w:rsid w:val="001D3DB0"/>
    <w:rsid w:val="001D7FF1"/>
    <w:rsid w:val="001E036E"/>
    <w:rsid w:val="001E1269"/>
    <w:rsid w:val="001E1717"/>
    <w:rsid w:val="001E3311"/>
    <w:rsid w:val="001E3F32"/>
    <w:rsid w:val="001E4851"/>
    <w:rsid w:val="001E50FB"/>
    <w:rsid w:val="001E665B"/>
    <w:rsid w:val="001E7120"/>
    <w:rsid w:val="001F0AC6"/>
    <w:rsid w:val="001F258C"/>
    <w:rsid w:val="001F27E6"/>
    <w:rsid w:val="001F3263"/>
    <w:rsid w:val="001F33A6"/>
    <w:rsid w:val="001F3D54"/>
    <w:rsid w:val="001F5E67"/>
    <w:rsid w:val="001F6600"/>
    <w:rsid w:val="001F66B3"/>
    <w:rsid w:val="002010C1"/>
    <w:rsid w:val="00201821"/>
    <w:rsid w:val="002042BE"/>
    <w:rsid w:val="00205C11"/>
    <w:rsid w:val="00205E9E"/>
    <w:rsid w:val="00206095"/>
    <w:rsid w:val="00210366"/>
    <w:rsid w:val="00211F62"/>
    <w:rsid w:val="00212493"/>
    <w:rsid w:val="0021328D"/>
    <w:rsid w:val="00217E0E"/>
    <w:rsid w:val="00222282"/>
    <w:rsid w:val="00223888"/>
    <w:rsid w:val="0022537C"/>
    <w:rsid w:val="00225DD4"/>
    <w:rsid w:val="00225FED"/>
    <w:rsid w:val="00226104"/>
    <w:rsid w:val="002265DE"/>
    <w:rsid w:val="00230BDA"/>
    <w:rsid w:val="00231395"/>
    <w:rsid w:val="00231F4C"/>
    <w:rsid w:val="0023219D"/>
    <w:rsid w:val="00232562"/>
    <w:rsid w:val="00232E78"/>
    <w:rsid w:val="00233C57"/>
    <w:rsid w:val="00234536"/>
    <w:rsid w:val="00234924"/>
    <w:rsid w:val="00235518"/>
    <w:rsid w:val="00236EF0"/>
    <w:rsid w:val="00237309"/>
    <w:rsid w:val="002379AB"/>
    <w:rsid w:val="002379FF"/>
    <w:rsid w:val="002401AA"/>
    <w:rsid w:val="00242504"/>
    <w:rsid w:val="0024258D"/>
    <w:rsid w:val="00243F0E"/>
    <w:rsid w:val="00245AF0"/>
    <w:rsid w:val="002515E5"/>
    <w:rsid w:val="002522CA"/>
    <w:rsid w:val="002523D3"/>
    <w:rsid w:val="00252836"/>
    <w:rsid w:val="00252F13"/>
    <w:rsid w:val="00254A83"/>
    <w:rsid w:val="0025559A"/>
    <w:rsid w:val="00257314"/>
    <w:rsid w:val="0025766F"/>
    <w:rsid w:val="002600F0"/>
    <w:rsid w:val="00260346"/>
    <w:rsid w:val="00260A67"/>
    <w:rsid w:val="00260FD1"/>
    <w:rsid w:val="0026137D"/>
    <w:rsid w:val="00261C7E"/>
    <w:rsid w:val="00262145"/>
    <w:rsid w:val="00265601"/>
    <w:rsid w:val="00267C12"/>
    <w:rsid w:val="00270B91"/>
    <w:rsid w:val="002733D6"/>
    <w:rsid w:val="00275235"/>
    <w:rsid w:val="002767F8"/>
    <w:rsid w:val="0028096D"/>
    <w:rsid w:val="002821C8"/>
    <w:rsid w:val="0028254A"/>
    <w:rsid w:val="00282B33"/>
    <w:rsid w:val="0028357A"/>
    <w:rsid w:val="00285B68"/>
    <w:rsid w:val="00287928"/>
    <w:rsid w:val="00290977"/>
    <w:rsid w:val="002921FE"/>
    <w:rsid w:val="00296374"/>
    <w:rsid w:val="002A064A"/>
    <w:rsid w:val="002A1755"/>
    <w:rsid w:val="002A2FBF"/>
    <w:rsid w:val="002A3A71"/>
    <w:rsid w:val="002A533F"/>
    <w:rsid w:val="002A5A41"/>
    <w:rsid w:val="002A6179"/>
    <w:rsid w:val="002A7B1C"/>
    <w:rsid w:val="002B0B4A"/>
    <w:rsid w:val="002B13F9"/>
    <w:rsid w:val="002B28CA"/>
    <w:rsid w:val="002B3EFB"/>
    <w:rsid w:val="002B529B"/>
    <w:rsid w:val="002B76F4"/>
    <w:rsid w:val="002B7D51"/>
    <w:rsid w:val="002C15B4"/>
    <w:rsid w:val="002C2078"/>
    <w:rsid w:val="002C4F80"/>
    <w:rsid w:val="002C64AD"/>
    <w:rsid w:val="002C6742"/>
    <w:rsid w:val="002C67DC"/>
    <w:rsid w:val="002C6FEB"/>
    <w:rsid w:val="002D01F2"/>
    <w:rsid w:val="002D0C2B"/>
    <w:rsid w:val="002D165D"/>
    <w:rsid w:val="002D31A5"/>
    <w:rsid w:val="002D4CB0"/>
    <w:rsid w:val="002D4E05"/>
    <w:rsid w:val="002D6D4F"/>
    <w:rsid w:val="002D7CDD"/>
    <w:rsid w:val="002E0BA0"/>
    <w:rsid w:val="002E1363"/>
    <w:rsid w:val="002E1AA2"/>
    <w:rsid w:val="002E2096"/>
    <w:rsid w:val="002E29E9"/>
    <w:rsid w:val="002E2E7A"/>
    <w:rsid w:val="002E4066"/>
    <w:rsid w:val="002E41BF"/>
    <w:rsid w:val="002E45C6"/>
    <w:rsid w:val="002E5204"/>
    <w:rsid w:val="002E65BB"/>
    <w:rsid w:val="002F1F74"/>
    <w:rsid w:val="002F2DB1"/>
    <w:rsid w:val="002F3643"/>
    <w:rsid w:val="002F54F1"/>
    <w:rsid w:val="002F71BD"/>
    <w:rsid w:val="002F7969"/>
    <w:rsid w:val="00301714"/>
    <w:rsid w:val="00301B57"/>
    <w:rsid w:val="00301C90"/>
    <w:rsid w:val="00302AE4"/>
    <w:rsid w:val="0030615F"/>
    <w:rsid w:val="003065E9"/>
    <w:rsid w:val="00306759"/>
    <w:rsid w:val="00307823"/>
    <w:rsid w:val="003100C6"/>
    <w:rsid w:val="00310345"/>
    <w:rsid w:val="00312EBF"/>
    <w:rsid w:val="0031426C"/>
    <w:rsid w:val="003154C0"/>
    <w:rsid w:val="003163E7"/>
    <w:rsid w:val="00317742"/>
    <w:rsid w:val="00317DA3"/>
    <w:rsid w:val="00320AA6"/>
    <w:rsid w:val="003229CA"/>
    <w:rsid w:val="00323037"/>
    <w:rsid w:val="00324F65"/>
    <w:rsid w:val="003275D0"/>
    <w:rsid w:val="0032788E"/>
    <w:rsid w:val="00330C84"/>
    <w:rsid w:val="00332132"/>
    <w:rsid w:val="00333C3D"/>
    <w:rsid w:val="00335098"/>
    <w:rsid w:val="003360CD"/>
    <w:rsid w:val="003360E9"/>
    <w:rsid w:val="003369E8"/>
    <w:rsid w:val="00340CFB"/>
    <w:rsid w:val="003412A7"/>
    <w:rsid w:val="0034233A"/>
    <w:rsid w:val="00343252"/>
    <w:rsid w:val="0034449F"/>
    <w:rsid w:val="0034575D"/>
    <w:rsid w:val="00345CEC"/>
    <w:rsid w:val="003463E1"/>
    <w:rsid w:val="00346819"/>
    <w:rsid w:val="00346FC5"/>
    <w:rsid w:val="00347EB3"/>
    <w:rsid w:val="00353439"/>
    <w:rsid w:val="0035362C"/>
    <w:rsid w:val="00353E5F"/>
    <w:rsid w:val="0035642A"/>
    <w:rsid w:val="00357910"/>
    <w:rsid w:val="00357B07"/>
    <w:rsid w:val="00357F81"/>
    <w:rsid w:val="00360D1D"/>
    <w:rsid w:val="00361197"/>
    <w:rsid w:val="0036187C"/>
    <w:rsid w:val="00363E56"/>
    <w:rsid w:val="0036596A"/>
    <w:rsid w:val="00370E2A"/>
    <w:rsid w:val="00371908"/>
    <w:rsid w:val="00371CF5"/>
    <w:rsid w:val="0037208E"/>
    <w:rsid w:val="00373097"/>
    <w:rsid w:val="00374C16"/>
    <w:rsid w:val="00375B7C"/>
    <w:rsid w:val="0037604C"/>
    <w:rsid w:val="003827A8"/>
    <w:rsid w:val="003832E7"/>
    <w:rsid w:val="003841D9"/>
    <w:rsid w:val="00384A7F"/>
    <w:rsid w:val="003850D9"/>
    <w:rsid w:val="00385B3E"/>
    <w:rsid w:val="00386424"/>
    <w:rsid w:val="00386BC8"/>
    <w:rsid w:val="003870F7"/>
    <w:rsid w:val="00387160"/>
    <w:rsid w:val="0039049F"/>
    <w:rsid w:val="00392774"/>
    <w:rsid w:val="003939EE"/>
    <w:rsid w:val="00394686"/>
    <w:rsid w:val="0039523C"/>
    <w:rsid w:val="003965B8"/>
    <w:rsid w:val="00397B94"/>
    <w:rsid w:val="003A32C9"/>
    <w:rsid w:val="003A34B2"/>
    <w:rsid w:val="003A3554"/>
    <w:rsid w:val="003A35CB"/>
    <w:rsid w:val="003A3C0F"/>
    <w:rsid w:val="003A488B"/>
    <w:rsid w:val="003A4FB0"/>
    <w:rsid w:val="003A5640"/>
    <w:rsid w:val="003A5F31"/>
    <w:rsid w:val="003B1B2E"/>
    <w:rsid w:val="003B2555"/>
    <w:rsid w:val="003B5022"/>
    <w:rsid w:val="003C0388"/>
    <w:rsid w:val="003C03E8"/>
    <w:rsid w:val="003C0448"/>
    <w:rsid w:val="003C1A94"/>
    <w:rsid w:val="003C1D30"/>
    <w:rsid w:val="003C1DC3"/>
    <w:rsid w:val="003C376D"/>
    <w:rsid w:val="003C49DB"/>
    <w:rsid w:val="003C62AF"/>
    <w:rsid w:val="003C697E"/>
    <w:rsid w:val="003C76F3"/>
    <w:rsid w:val="003D1EED"/>
    <w:rsid w:val="003D598C"/>
    <w:rsid w:val="003E10AE"/>
    <w:rsid w:val="003E1DAB"/>
    <w:rsid w:val="003E336A"/>
    <w:rsid w:val="003E404D"/>
    <w:rsid w:val="003E4E1C"/>
    <w:rsid w:val="003E6C84"/>
    <w:rsid w:val="003F0235"/>
    <w:rsid w:val="003F17A7"/>
    <w:rsid w:val="003F2DE8"/>
    <w:rsid w:val="003F3745"/>
    <w:rsid w:val="003F45C0"/>
    <w:rsid w:val="003F6649"/>
    <w:rsid w:val="003F73D9"/>
    <w:rsid w:val="004004CB"/>
    <w:rsid w:val="0040086B"/>
    <w:rsid w:val="00400C05"/>
    <w:rsid w:val="00400F39"/>
    <w:rsid w:val="00403495"/>
    <w:rsid w:val="004049DC"/>
    <w:rsid w:val="004051A6"/>
    <w:rsid w:val="0040621E"/>
    <w:rsid w:val="00406512"/>
    <w:rsid w:val="004065A9"/>
    <w:rsid w:val="00406E78"/>
    <w:rsid w:val="004102E2"/>
    <w:rsid w:val="004116C6"/>
    <w:rsid w:val="0041518C"/>
    <w:rsid w:val="00415C6F"/>
    <w:rsid w:val="004165AE"/>
    <w:rsid w:val="004203F8"/>
    <w:rsid w:val="00423081"/>
    <w:rsid w:val="0042386E"/>
    <w:rsid w:val="00424511"/>
    <w:rsid w:val="004249E8"/>
    <w:rsid w:val="00424ACD"/>
    <w:rsid w:val="00424B4B"/>
    <w:rsid w:val="00425590"/>
    <w:rsid w:val="00427158"/>
    <w:rsid w:val="004318AC"/>
    <w:rsid w:val="00431C15"/>
    <w:rsid w:val="00433CB4"/>
    <w:rsid w:val="004375F3"/>
    <w:rsid w:val="00437AC0"/>
    <w:rsid w:val="00437E97"/>
    <w:rsid w:val="00441011"/>
    <w:rsid w:val="00441739"/>
    <w:rsid w:val="004532C9"/>
    <w:rsid w:val="004551AC"/>
    <w:rsid w:val="00455DF0"/>
    <w:rsid w:val="00456144"/>
    <w:rsid w:val="0045742C"/>
    <w:rsid w:val="00460A01"/>
    <w:rsid w:val="004614D5"/>
    <w:rsid w:val="0046431E"/>
    <w:rsid w:val="00464D64"/>
    <w:rsid w:val="00466243"/>
    <w:rsid w:val="004666EF"/>
    <w:rsid w:val="004678CC"/>
    <w:rsid w:val="00470B5C"/>
    <w:rsid w:val="00472ED5"/>
    <w:rsid w:val="00473BC6"/>
    <w:rsid w:val="00473EA9"/>
    <w:rsid w:val="00474836"/>
    <w:rsid w:val="00474E0F"/>
    <w:rsid w:val="00476403"/>
    <w:rsid w:val="00477E38"/>
    <w:rsid w:val="00481B26"/>
    <w:rsid w:val="00482473"/>
    <w:rsid w:val="00487C5F"/>
    <w:rsid w:val="00487F69"/>
    <w:rsid w:val="004901F8"/>
    <w:rsid w:val="00491039"/>
    <w:rsid w:val="004915CA"/>
    <w:rsid w:val="00491BE1"/>
    <w:rsid w:val="004926C9"/>
    <w:rsid w:val="004970F7"/>
    <w:rsid w:val="004977B9"/>
    <w:rsid w:val="00497ED4"/>
    <w:rsid w:val="00497F3B"/>
    <w:rsid w:val="004A2046"/>
    <w:rsid w:val="004A4042"/>
    <w:rsid w:val="004A485F"/>
    <w:rsid w:val="004A48CC"/>
    <w:rsid w:val="004A4A0B"/>
    <w:rsid w:val="004A69D5"/>
    <w:rsid w:val="004B2494"/>
    <w:rsid w:val="004B2766"/>
    <w:rsid w:val="004B3813"/>
    <w:rsid w:val="004B39EF"/>
    <w:rsid w:val="004B4AB3"/>
    <w:rsid w:val="004B5174"/>
    <w:rsid w:val="004B5248"/>
    <w:rsid w:val="004B64C1"/>
    <w:rsid w:val="004C42CF"/>
    <w:rsid w:val="004C4BC5"/>
    <w:rsid w:val="004C594B"/>
    <w:rsid w:val="004C6C8D"/>
    <w:rsid w:val="004D0179"/>
    <w:rsid w:val="004D1010"/>
    <w:rsid w:val="004D30A2"/>
    <w:rsid w:val="004D3CF3"/>
    <w:rsid w:val="004D426A"/>
    <w:rsid w:val="004D46C4"/>
    <w:rsid w:val="004D6341"/>
    <w:rsid w:val="004E1462"/>
    <w:rsid w:val="004E1AB5"/>
    <w:rsid w:val="004E3F9D"/>
    <w:rsid w:val="004E5B3A"/>
    <w:rsid w:val="004E702B"/>
    <w:rsid w:val="004E7A0F"/>
    <w:rsid w:val="004F224C"/>
    <w:rsid w:val="004F28EF"/>
    <w:rsid w:val="004F60BA"/>
    <w:rsid w:val="00500756"/>
    <w:rsid w:val="00500B04"/>
    <w:rsid w:val="00501C55"/>
    <w:rsid w:val="00502E17"/>
    <w:rsid w:val="00503F01"/>
    <w:rsid w:val="00504F8F"/>
    <w:rsid w:val="0050504A"/>
    <w:rsid w:val="00505760"/>
    <w:rsid w:val="00505C95"/>
    <w:rsid w:val="005068DB"/>
    <w:rsid w:val="005110DD"/>
    <w:rsid w:val="005118AE"/>
    <w:rsid w:val="00512C83"/>
    <w:rsid w:val="00514013"/>
    <w:rsid w:val="00520CB1"/>
    <w:rsid w:val="00522ADE"/>
    <w:rsid w:val="00522F90"/>
    <w:rsid w:val="00524294"/>
    <w:rsid w:val="005267D2"/>
    <w:rsid w:val="00526896"/>
    <w:rsid w:val="005270FB"/>
    <w:rsid w:val="00532EDE"/>
    <w:rsid w:val="00533409"/>
    <w:rsid w:val="005334C1"/>
    <w:rsid w:val="00533650"/>
    <w:rsid w:val="00536A36"/>
    <w:rsid w:val="00542C66"/>
    <w:rsid w:val="00543691"/>
    <w:rsid w:val="00544B0B"/>
    <w:rsid w:val="005463DC"/>
    <w:rsid w:val="00547BD9"/>
    <w:rsid w:val="00547C7E"/>
    <w:rsid w:val="0055122E"/>
    <w:rsid w:val="005523CF"/>
    <w:rsid w:val="005540C0"/>
    <w:rsid w:val="005548F8"/>
    <w:rsid w:val="005553F9"/>
    <w:rsid w:val="00555618"/>
    <w:rsid w:val="0055698D"/>
    <w:rsid w:val="00557B14"/>
    <w:rsid w:val="00557FF5"/>
    <w:rsid w:val="00560E92"/>
    <w:rsid w:val="00561E40"/>
    <w:rsid w:val="00562089"/>
    <w:rsid w:val="005642F7"/>
    <w:rsid w:val="00564E0C"/>
    <w:rsid w:val="0056613A"/>
    <w:rsid w:val="0057116F"/>
    <w:rsid w:val="00571C39"/>
    <w:rsid w:val="005728A4"/>
    <w:rsid w:val="00575DF7"/>
    <w:rsid w:val="00576151"/>
    <w:rsid w:val="005764B8"/>
    <w:rsid w:val="0057689A"/>
    <w:rsid w:val="00580E4A"/>
    <w:rsid w:val="00587119"/>
    <w:rsid w:val="00587B83"/>
    <w:rsid w:val="00590E45"/>
    <w:rsid w:val="00590ECC"/>
    <w:rsid w:val="00591421"/>
    <w:rsid w:val="005917A8"/>
    <w:rsid w:val="00591F41"/>
    <w:rsid w:val="00592AB9"/>
    <w:rsid w:val="00592C29"/>
    <w:rsid w:val="0059301C"/>
    <w:rsid w:val="00593CAA"/>
    <w:rsid w:val="005965D1"/>
    <w:rsid w:val="00597980"/>
    <w:rsid w:val="005A0B87"/>
    <w:rsid w:val="005A0F40"/>
    <w:rsid w:val="005A1045"/>
    <w:rsid w:val="005A1A0E"/>
    <w:rsid w:val="005A1B1F"/>
    <w:rsid w:val="005A41F1"/>
    <w:rsid w:val="005A470F"/>
    <w:rsid w:val="005A5761"/>
    <w:rsid w:val="005B01D7"/>
    <w:rsid w:val="005B03B0"/>
    <w:rsid w:val="005B0D4A"/>
    <w:rsid w:val="005B202D"/>
    <w:rsid w:val="005B25EB"/>
    <w:rsid w:val="005B290B"/>
    <w:rsid w:val="005B307B"/>
    <w:rsid w:val="005B57A1"/>
    <w:rsid w:val="005B66AC"/>
    <w:rsid w:val="005B74D3"/>
    <w:rsid w:val="005C2016"/>
    <w:rsid w:val="005C2C51"/>
    <w:rsid w:val="005C44E1"/>
    <w:rsid w:val="005C46CE"/>
    <w:rsid w:val="005C5111"/>
    <w:rsid w:val="005C6A96"/>
    <w:rsid w:val="005D0085"/>
    <w:rsid w:val="005D078C"/>
    <w:rsid w:val="005D6318"/>
    <w:rsid w:val="005D7F9E"/>
    <w:rsid w:val="005F0C84"/>
    <w:rsid w:val="005F3868"/>
    <w:rsid w:val="005F38A3"/>
    <w:rsid w:val="005F49FC"/>
    <w:rsid w:val="005F4F92"/>
    <w:rsid w:val="005F5235"/>
    <w:rsid w:val="005F6B06"/>
    <w:rsid w:val="005F7064"/>
    <w:rsid w:val="006003D9"/>
    <w:rsid w:val="0060043B"/>
    <w:rsid w:val="006014BE"/>
    <w:rsid w:val="00602120"/>
    <w:rsid w:val="0060477B"/>
    <w:rsid w:val="00605637"/>
    <w:rsid w:val="006057F5"/>
    <w:rsid w:val="0060603F"/>
    <w:rsid w:val="006064CD"/>
    <w:rsid w:val="0060654F"/>
    <w:rsid w:val="00606C0A"/>
    <w:rsid w:val="00606F5A"/>
    <w:rsid w:val="00612AD2"/>
    <w:rsid w:val="006130CA"/>
    <w:rsid w:val="00614D78"/>
    <w:rsid w:val="00615E50"/>
    <w:rsid w:val="00617FEE"/>
    <w:rsid w:val="0062090C"/>
    <w:rsid w:val="00620A25"/>
    <w:rsid w:val="00621B80"/>
    <w:rsid w:val="006220A5"/>
    <w:rsid w:val="006232FE"/>
    <w:rsid w:val="00624D4D"/>
    <w:rsid w:val="00625D01"/>
    <w:rsid w:val="00626695"/>
    <w:rsid w:val="00626C0F"/>
    <w:rsid w:val="00626CD2"/>
    <w:rsid w:val="006277FE"/>
    <w:rsid w:val="00630009"/>
    <w:rsid w:val="00630CBB"/>
    <w:rsid w:val="00631AB8"/>
    <w:rsid w:val="006343B0"/>
    <w:rsid w:val="006352D6"/>
    <w:rsid w:val="00635B70"/>
    <w:rsid w:val="00635C0C"/>
    <w:rsid w:val="00635CB6"/>
    <w:rsid w:val="00636051"/>
    <w:rsid w:val="00640DE8"/>
    <w:rsid w:val="00641FE0"/>
    <w:rsid w:val="00642021"/>
    <w:rsid w:val="00642280"/>
    <w:rsid w:val="00642C54"/>
    <w:rsid w:val="006439C4"/>
    <w:rsid w:val="006445AC"/>
    <w:rsid w:val="00644842"/>
    <w:rsid w:val="00645555"/>
    <w:rsid w:val="00646191"/>
    <w:rsid w:val="0064689E"/>
    <w:rsid w:val="00647A33"/>
    <w:rsid w:val="00661BE1"/>
    <w:rsid w:val="006634F9"/>
    <w:rsid w:val="00663BD2"/>
    <w:rsid w:val="0066465E"/>
    <w:rsid w:val="00665274"/>
    <w:rsid w:val="0066721D"/>
    <w:rsid w:val="006710D8"/>
    <w:rsid w:val="006718C7"/>
    <w:rsid w:val="00672D04"/>
    <w:rsid w:val="006736CE"/>
    <w:rsid w:val="006744D7"/>
    <w:rsid w:val="006769AE"/>
    <w:rsid w:val="00676DB8"/>
    <w:rsid w:val="00676FD0"/>
    <w:rsid w:val="00681CC2"/>
    <w:rsid w:val="00682024"/>
    <w:rsid w:val="00683641"/>
    <w:rsid w:val="006842FB"/>
    <w:rsid w:val="00684BCE"/>
    <w:rsid w:val="006852C3"/>
    <w:rsid w:val="0068541A"/>
    <w:rsid w:val="00686DDB"/>
    <w:rsid w:val="006878BA"/>
    <w:rsid w:val="00692B72"/>
    <w:rsid w:val="00695010"/>
    <w:rsid w:val="00695F39"/>
    <w:rsid w:val="00696257"/>
    <w:rsid w:val="006975E7"/>
    <w:rsid w:val="006A1DB0"/>
    <w:rsid w:val="006A368A"/>
    <w:rsid w:val="006A4354"/>
    <w:rsid w:val="006A5AE3"/>
    <w:rsid w:val="006A6041"/>
    <w:rsid w:val="006B02FC"/>
    <w:rsid w:val="006B0927"/>
    <w:rsid w:val="006B2072"/>
    <w:rsid w:val="006B3F64"/>
    <w:rsid w:val="006B52CB"/>
    <w:rsid w:val="006B63AE"/>
    <w:rsid w:val="006B6584"/>
    <w:rsid w:val="006B7938"/>
    <w:rsid w:val="006C35ED"/>
    <w:rsid w:val="006C4CA2"/>
    <w:rsid w:val="006C5757"/>
    <w:rsid w:val="006C61ED"/>
    <w:rsid w:val="006C70BF"/>
    <w:rsid w:val="006C7B36"/>
    <w:rsid w:val="006D0F27"/>
    <w:rsid w:val="006D138C"/>
    <w:rsid w:val="006D42DA"/>
    <w:rsid w:val="006D5ADE"/>
    <w:rsid w:val="006D5CA1"/>
    <w:rsid w:val="006D5E53"/>
    <w:rsid w:val="006D7634"/>
    <w:rsid w:val="006E048A"/>
    <w:rsid w:val="006E1378"/>
    <w:rsid w:val="006E1FC2"/>
    <w:rsid w:val="006E299F"/>
    <w:rsid w:val="006E40F5"/>
    <w:rsid w:val="006E536C"/>
    <w:rsid w:val="006E637C"/>
    <w:rsid w:val="006E714D"/>
    <w:rsid w:val="006F1BC9"/>
    <w:rsid w:val="006F2D7D"/>
    <w:rsid w:val="006F350D"/>
    <w:rsid w:val="006F391F"/>
    <w:rsid w:val="006F3B2D"/>
    <w:rsid w:val="006F5D55"/>
    <w:rsid w:val="006F5F4C"/>
    <w:rsid w:val="007008A8"/>
    <w:rsid w:val="007012B9"/>
    <w:rsid w:val="007013EF"/>
    <w:rsid w:val="0070385E"/>
    <w:rsid w:val="00704EB5"/>
    <w:rsid w:val="007064B9"/>
    <w:rsid w:val="00707CE3"/>
    <w:rsid w:val="00710BE1"/>
    <w:rsid w:val="00711313"/>
    <w:rsid w:val="00714188"/>
    <w:rsid w:val="007158D5"/>
    <w:rsid w:val="00716580"/>
    <w:rsid w:val="00716F34"/>
    <w:rsid w:val="00717E44"/>
    <w:rsid w:val="0072184D"/>
    <w:rsid w:val="007221DE"/>
    <w:rsid w:val="007237BB"/>
    <w:rsid w:val="007238D2"/>
    <w:rsid w:val="00725B45"/>
    <w:rsid w:val="00730C50"/>
    <w:rsid w:val="00731F1E"/>
    <w:rsid w:val="00734EC1"/>
    <w:rsid w:val="00735EE9"/>
    <w:rsid w:val="00737C47"/>
    <w:rsid w:val="007402E1"/>
    <w:rsid w:val="00740CBE"/>
    <w:rsid w:val="00741F0A"/>
    <w:rsid w:val="00744563"/>
    <w:rsid w:val="00746114"/>
    <w:rsid w:val="0074668A"/>
    <w:rsid w:val="00746694"/>
    <w:rsid w:val="007472F8"/>
    <w:rsid w:val="00753757"/>
    <w:rsid w:val="00753EFE"/>
    <w:rsid w:val="00756E19"/>
    <w:rsid w:val="00760353"/>
    <w:rsid w:val="00760BFC"/>
    <w:rsid w:val="0076334A"/>
    <w:rsid w:val="00763A51"/>
    <w:rsid w:val="00763B64"/>
    <w:rsid w:val="00764482"/>
    <w:rsid w:val="00764574"/>
    <w:rsid w:val="007648FF"/>
    <w:rsid w:val="00765FEE"/>
    <w:rsid w:val="00766EE5"/>
    <w:rsid w:val="0076750F"/>
    <w:rsid w:val="00770404"/>
    <w:rsid w:val="00770A2D"/>
    <w:rsid w:val="00770CBE"/>
    <w:rsid w:val="0077397E"/>
    <w:rsid w:val="00774AD0"/>
    <w:rsid w:val="00774DA2"/>
    <w:rsid w:val="00775006"/>
    <w:rsid w:val="00775294"/>
    <w:rsid w:val="007752BE"/>
    <w:rsid w:val="00780F4E"/>
    <w:rsid w:val="007822AB"/>
    <w:rsid w:val="007839C9"/>
    <w:rsid w:val="007855C6"/>
    <w:rsid w:val="00791225"/>
    <w:rsid w:val="007928C6"/>
    <w:rsid w:val="007931CD"/>
    <w:rsid w:val="007948AC"/>
    <w:rsid w:val="00795722"/>
    <w:rsid w:val="00795BA5"/>
    <w:rsid w:val="00797DF9"/>
    <w:rsid w:val="007A07F4"/>
    <w:rsid w:val="007A0937"/>
    <w:rsid w:val="007A1508"/>
    <w:rsid w:val="007A177A"/>
    <w:rsid w:val="007A1DA9"/>
    <w:rsid w:val="007A26F1"/>
    <w:rsid w:val="007A3495"/>
    <w:rsid w:val="007A3D17"/>
    <w:rsid w:val="007A485E"/>
    <w:rsid w:val="007A4976"/>
    <w:rsid w:val="007A57A2"/>
    <w:rsid w:val="007A5852"/>
    <w:rsid w:val="007A68EA"/>
    <w:rsid w:val="007B07D8"/>
    <w:rsid w:val="007B19D8"/>
    <w:rsid w:val="007B3A11"/>
    <w:rsid w:val="007B471F"/>
    <w:rsid w:val="007B6236"/>
    <w:rsid w:val="007B6481"/>
    <w:rsid w:val="007B66B2"/>
    <w:rsid w:val="007C13B8"/>
    <w:rsid w:val="007C21C3"/>
    <w:rsid w:val="007C38C6"/>
    <w:rsid w:val="007C3FD9"/>
    <w:rsid w:val="007C4741"/>
    <w:rsid w:val="007C64DB"/>
    <w:rsid w:val="007D0AD4"/>
    <w:rsid w:val="007D2533"/>
    <w:rsid w:val="007D42FF"/>
    <w:rsid w:val="007D4B99"/>
    <w:rsid w:val="007D6FC7"/>
    <w:rsid w:val="007E0073"/>
    <w:rsid w:val="007E0E5F"/>
    <w:rsid w:val="007E155D"/>
    <w:rsid w:val="007E23A7"/>
    <w:rsid w:val="007E315E"/>
    <w:rsid w:val="007E436C"/>
    <w:rsid w:val="007E4B16"/>
    <w:rsid w:val="007E4BB0"/>
    <w:rsid w:val="007E618F"/>
    <w:rsid w:val="007E6388"/>
    <w:rsid w:val="007E760C"/>
    <w:rsid w:val="007F0903"/>
    <w:rsid w:val="007F1B21"/>
    <w:rsid w:val="007F337F"/>
    <w:rsid w:val="007F4BFA"/>
    <w:rsid w:val="007F5D10"/>
    <w:rsid w:val="007F5DD0"/>
    <w:rsid w:val="007F73AF"/>
    <w:rsid w:val="00802980"/>
    <w:rsid w:val="00802A47"/>
    <w:rsid w:val="00802A5E"/>
    <w:rsid w:val="00805C58"/>
    <w:rsid w:val="00806C1F"/>
    <w:rsid w:val="0081024E"/>
    <w:rsid w:val="00810A44"/>
    <w:rsid w:val="0081264A"/>
    <w:rsid w:val="00813138"/>
    <w:rsid w:val="00814369"/>
    <w:rsid w:val="008164E3"/>
    <w:rsid w:val="00817403"/>
    <w:rsid w:val="00817950"/>
    <w:rsid w:val="00822364"/>
    <w:rsid w:val="00823B4C"/>
    <w:rsid w:val="008241AF"/>
    <w:rsid w:val="00826F33"/>
    <w:rsid w:val="00827EA4"/>
    <w:rsid w:val="00830FA2"/>
    <w:rsid w:val="00831035"/>
    <w:rsid w:val="00831DB3"/>
    <w:rsid w:val="00831E92"/>
    <w:rsid w:val="00832F33"/>
    <w:rsid w:val="00834F66"/>
    <w:rsid w:val="00842AC5"/>
    <w:rsid w:val="0084782D"/>
    <w:rsid w:val="00853152"/>
    <w:rsid w:val="0085322F"/>
    <w:rsid w:val="008557B2"/>
    <w:rsid w:val="00855C9E"/>
    <w:rsid w:val="00856253"/>
    <w:rsid w:val="0085672D"/>
    <w:rsid w:val="00856E6F"/>
    <w:rsid w:val="00857DBD"/>
    <w:rsid w:val="00857E17"/>
    <w:rsid w:val="0086192B"/>
    <w:rsid w:val="00861B80"/>
    <w:rsid w:val="00861BE8"/>
    <w:rsid w:val="00861E44"/>
    <w:rsid w:val="00862992"/>
    <w:rsid w:val="00863177"/>
    <w:rsid w:val="008637CA"/>
    <w:rsid w:val="00863E08"/>
    <w:rsid w:val="00865F23"/>
    <w:rsid w:val="00870CF3"/>
    <w:rsid w:val="00874FEC"/>
    <w:rsid w:val="0087755C"/>
    <w:rsid w:val="00881AE1"/>
    <w:rsid w:val="00881F16"/>
    <w:rsid w:val="00882151"/>
    <w:rsid w:val="0088288D"/>
    <w:rsid w:val="00882C73"/>
    <w:rsid w:val="0088528B"/>
    <w:rsid w:val="0088603F"/>
    <w:rsid w:val="00886058"/>
    <w:rsid w:val="00887459"/>
    <w:rsid w:val="00887652"/>
    <w:rsid w:val="00891F4E"/>
    <w:rsid w:val="00892F27"/>
    <w:rsid w:val="008931CE"/>
    <w:rsid w:val="0089514E"/>
    <w:rsid w:val="008977E7"/>
    <w:rsid w:val="008A0791"/>
    <w:rsid w:val="008A17DB"/>
    <w:rsid w:val="008A2051"/>
    <w:rsid w:val="008A2711"/>
    <w:rsid w:val="008A33DE"/>
    <w:rsid w:val="008A419A"/>
    <w:rsid w:val="008A48A7"/>
    <w:rsid w:val="008A5ACD"/>
    <w:rsid w:val="008A7159"/>
    <w:rsid w:val="008A7D79"/>
    <w:rsid w:val="008B1B87"/>
    <w:rsid w:val="008B35A9"/>
    <w:rsid w:val="008B6473"/>
    <w:rsid w:val="008C0420"/>
    <w:rsid w:val="008C0CE4"/>
    <w:rsid w:val="008C1D29"/>
    <w:rsid w:val="008C22D7"/>
    <w:rsid w:val="008C31B5"/>
    <w:rsid w:val="008C4643"/>
    <w:rsid w:val="008C5AE5"/>
    <w:rsid w:val="008C7335"/>
    <w:rsid w:val="008D0B8D"/>
    <w:rsid w:val="008D0E74"/>
    <w:rsid w:val="008D2010"/>
    <w:rsid w:val="008D203C"/>
    <w:rsid w:val="008D239C"/>
    <w:rsid w:val="008D2435"/>
    <w:rsid w:val="008D2D78"/>
    <w:rsid w:val="008D4939"/>
    <w:rsid w:val="008D543A"/>
    <w:rsid w:val="008D57B4"/>
    <w:rsid w:val="008D5B7D"/>
    <w:rsid w:val="008D710B"/>
    <w:rsid w:val="008D782A"/>
    <w:rsid w:val="008E2E5E"/>
    <w:rsid w:val="008E3137"/>
    <w:rsid w:val="008E44EF"/>
    <w:rsid w:val="008E6960"/>
    <w:rsid w:val="008E77E7"/>
    <w:rsid w:val="008F18F2"/>
    <w:rsid w:val="008F216B"/>
    <w:rsid w:val="008F2BCB"/>
    <w:rsid w:val="008F3C7F"/>
    <w:rsid w:val="008F5103"/>
    <w:rsid w:val="008F7A4A"/>
    <w:rsid w:val="00903E8A"/>
    <w:rsid w:val="00904089"/>
    <w:rsid w:val="0090488D"/>
    <w:rsid w:val="00905782"/>
    <w:rsid w:val="00906297"/>
    <w:rsid w:val="00906CFA"/>
    <w:rsid w:val="0091407F"/>
    <w:rsid w:val="009159C5"/>
    <w:rsid w:val="00915FB6"/>
    <w:rsid w:val="0091623B"/>
    <w:rsid w:val="00921310"/>
    <w:rsid w:val="009218EC"/>
    <w:rsid w:val="009226D7"/>
    <w:rsid w:val="0092458F"/>
    <w:rsid w:val="00924597"/>
    <w:rsid w:val="00925AE6"/>
    <w:rsid w:val="00925B18"/>
    <w:rsid w:val="00925E24"/>
    <w:rsid w:val="0092657A"/>
    <w:rsid w:val="00927360"/>
    <w:rsid w:val="00932830"/>
    <w:rsid w:val="009336BE"/>
    <w:rsid w:val="0093451B"/>
    <w:rsid w:val="009366C6"/>
    <w:rsid w:val="00936E2B"/>
    <w:rsid w:val="009371F7"/>
    <w:rsid w:val="00937903"/>
    <w:rsid w:val="00937F5A"/>
    <w:rsid w:val="00941D85"/>
    <w:rsid w:val="00941E68"/>
    <w:rsid w:val="00942B47"/>
    <w:rsid w:val="00945DEC"/>
    <w:rsid w:val="00946AC6"/>
    <w:rsid w:val="00946C5F"/>
    <w:rsid w:val="0095231B"/>
    <w:rsid w:val="0095298D"/>
    <w:rsid w:val="00954D74"/>
    <w:rsid w:val="009552D8"/>
    <w:rsid w:val="00955510"/>
    <w:rsid w:val="009563C4"/>
    <w:rsid w:val="0095677C"/>
    <w:rsid w:val="0095681E"/>
    <w:rsid w:val="00961146"/>
    <w:rsid w:val="00961B09"/>
    <w:rsid w:val="00962CAA"/>
    <w:rsid w:val="00963501"/>
    <w:rsid w:val="00970332"/>
    <w:rsid w:val="00972E03"/>
    <w:rsid w:val="009737EF"/>
    <w:rsid w:val="009738DD"/>
    <w:rsid w:val="00975663"/>
    <w:rsid w:val="00975A40"/>
    <w:rsid w:val="00976155"/>
    <w:rsid w:val="00976A1F"/>
    <w:rsid w:val="00977E24"/>
    <w:rsid w:val="00977FAE"/>
    <w:rsid w:val="0098137D"/>
    <w:rsid w:val="00982E32"/>
    <w:rsid w:val="00983856"/>
    <w:rsid w:val="00984A5A"/>
    <w:rsid w:val="00986A1A"/>
    <w:rsid w:val="00986B10"/>
    <w:rsid w:val="00986D3C"/>
    <w:rsid w:val="0099046F"/>
    <w:rsid w:val="00990D90"/>
    <w:rsid w:val="00991EAD"/>
    <w:rsid w:val="00993BC1"/>
    <w:rsid w:val="00995362"/>
    <w:rsid w:val="00997513"/>
    <w:rsid w:val="009A17A3"/>
    <w:rsid w:val="009A3231"/>
    <w:rsid w:val="009A333F"/>
    <w:rsid w:val="009A4BE6"/>
    <w:rsid w:val="009A5C06"/>
    <w:rsid w:val="009A6A03"/>
    <w:rsid w:val="009A7E6E"/>
    <w:rsid w:val="009B014C"/>
    <w:rsid w:val="009B09AF"/>
    <w:rsid w:val="009B0C6E"/>
    <w:rsid w:val="009B1113"/>
    <w:rsid w:val="009B1627"/>
    <w:rsid w:val="009B235E"/>
    <w:rsid w:val="009B3217"/>
    <w:rsid w:val="009B3468"/>
    <w:rsid w:val="009B444B"/>
    <w:rsid w:val="009B67D3"/>
    <w:rsid w:val="009C03D2"/>
    <w:rsid w:val="009C075C"/>
    <w:rsid w:val="009C122F"/>
    <w:rsid w:val="009C2852"/>
    <w:rsid w:val="009C31DC"/>
    <w:rsid w:val="009C6E5D"/>
    <w:rsid w:val="009D0E50"/>
    <w:rsid w:val="009D156D"/>
    <w:rsid w:val="009D2456"/>
    <w:rsid w:val="009D2483"/>
    <w:rsid w:val="009D262C"/>
    <w:rsid w:val="009D35C8"/>
    <w:rsid w:val="009D3BCA"/>
    <w:rsid w:val="009D3D8F"/>
    <w:rsid w:val="009D516F"/>
    <w:rsid w:val="009D6092"/>
    <w:rsid w:val="009D62E7"/>
    <w:rsid w:val="009D6497"/>
    <w:rsid w:val="009D6D58"/>
    <w:rsid w:val="009D7C1E"/>
    <w:rsid w:val="009E0462"/>
    <w:rsid w:val="009E0AF1"/>
    <w:rsid w:val="009E394D"/>
    <w:rsid w:val="009E5FAD"/>
    <w:rsid w:val="009E6F45"/>
    <w:rsid w:val="009E7692"/>
    <w:rsid w:val="009E7887"/>
    <w:rsid w:val="009E7F97"/>
    <w:rsid w:val="009F0E2F"/>
    <w:rsid w:val="009F0F73"/>
    <w:rsid w:val="009F1ED0"/>
    <w:rsid w:val="009F20D5"/>
    <w:rsid w:val="009F2A6A"/>
    <w:rsid w:val="009F3810"/>
    <w:rsid w:val="009F423D"/>
    <w:rsid w:val="009F4C8C"/>
    <w:rsid w:val="009F65E2"/>
    <w:rsid w:val="009F674E"/>
    <w:rsid w:val="00A00736"/>
    <w:rsid w:val="00A0089A"/>
    <w:rsid w:val="00A0125B"/>
    <w:rsid w:val="00A012A9"/>
    <w:rsid w:val="00A01E6C"/>
    <w:rsid w:val="00A02D16"/>
    <w:rsid w:val="00A02D2F"/>
    <w:rsid w:val="00A02F46"/>
    <w:rsid w:val="00A048C7"/>
    <w:rsid w:val="00A0565A"/>
    <w:rsid w:val="00A06ED3"/>
    <w:rsid w:val="00A106E1"/>
    <w:rsid w:val="00A12C91"/>
    <w:rsid w:val="00A14307"/>
    <w:rsid w:val="00A143D1"/>
    <w:rsid w:val="00A14B12"/>
    <w:rsid w:val="00A15646"/>
    <w:rsid w:val="00A15CF3"/>
    <w:rsid w:val="00A16A71"/>
    <w:rsid w:val="00A177D6"/>
    <w:rsid w:val="00A207F0"/>
    <w:rsid w:val="00A20B36"/>
    <w:rsid w:val="00A20C48"/>
    <w:rsid w:val="00A20FAC"/>
    <w:rsid w:val="00A22306"/>
    <w:rsid w:val="00A23921"/>
    <w:rsid w:val="00A24A6F"/>
    <w:rsid w:val="00A2505B"/>
    <w:rsid w:val="00A31F24"/>
    <w:rsid w:val="00A338FC"/>
    <w:rsid w:val="00A34D70"/>
    <w:rsid w:val="00A35319"/>
    <w:rsid w:val="00A36542"/>
    <w:rsid w:val="00A368A1"/>
    <w:rsid w:val="00A36E68"/>
    <w:rsid w:val="00A40348"/>
    <w:rsid w:val="00A40C72"/>
    <w:rsid w:val="00A41573"/>
    <w:rsid w:val="00A42B1F"/>
    <w:rsid w:val="00A42CDB"/>
    <w:rsid w:val="00A45867"/>
    <w:rsid w:val="00A472AC"/>
    <w:rsid w:val="00A504B5"/>
    <w:rsid w:val="00A56387"/>
    <w:rsid w:val="00A57C2C"/>
    <w:rsid w:val="00A60299"/>
    <w:rsid w:val="00A60D66"/>
    <w:rsid w:val="00A61D6E"/>
    <w:rsid w:val="00A61EA6"/>
    <w:rsid w:val="00A621A8"/>
    <w:rsid w:val="00A63D1A"/>
    <w:rsid w:val="00A6419A"/>
    <w:rsid w:val="00A65A87"/>
    <w:rsid w:val="00A66739"/>
    <w:rsid w:val="00A70888"/>
    <w:rsid w:val="00A70F8A"/>
    <w:rsid w:val="00A71C63"/>
    <w:rsid w:val="00A72957"/>
    <w:rsid w:val="00A730DB"/>
    <w:rsid w:val="00A7322C"/>
    <w:rsid w:val="00A7359C"/>
    <w:rsid w:val="00A740AE"/>
    <w:rsid w:val="00A763F1"/>
    <w:rsid w:val="00A76520"/>
    <w:rsid w:val="00A7666B"/>
    <w:rsid w:val="00A77C82"/>
    <w:rsid w:val="00A8013D"/>
    <w:rsid w:val="00A8041A"/>
    <w:rsid w:val="00A8373B"/>
    <w:rsid w:val="00A84F2F"/>
    <w:rsid w:val="00A87963"/>
    <w:rsid w:val="00A90D03"/>
    <w:rsid w:val="00A91FF6"/>
    <w:rsid w:val="00A941F2"/>
    <w:rsid w:val="00A94DC8"/>
    <w:rsid w:val="00A94FB5"/>
    <w:rsid w:val="00A951F3"/>
    <w:rsid w:val="00A974C0"/>
    <w:rsid w:val="00AA1A1F"/>
    <w:rsid w:val="00AA280F"/>
    <w:rsid w:val="00AA33C4"/>
    <w:rsid w:val="00AA614D"/>
    <w:rsid w:val="00AA6E52"/>
    <w:rsid w:val="00AA7395"/>
    <w:rsid w:val="00AB18E0"/>
    <w:rsid w:val="00AC0849"/>
    <w:rsid w:val="00AC10FB"/>
    <w:rsid w:val="00AC3FAE"/>
    <w:rsid w:val="00AC49D8"/>
    <w:rsid w:val="00AC4CA5"/>
    <w:rsid w:val="00AC6923"/>
    <w:rsid w:val="00AC766A"/>
    <w:rsid w:val="00AD069F"/>
    <w:rsid w:val="00AD3AEE"/>
    <w:rsid w:val="00AD3C8E"/>
    <w:rsid w:val="00AD45F4"/>
    <w:rsid w:val="00AD49D2"/>
    <w:rsid w:val="00AD4DCF"/>
    <w:rsid w:val="00AD4F72"/>
    <w:rsid w:val="00AD59EC"/>
    <w:rsid w:val="00AE0B88"/>
    <w:rsid w:val="00AE52D2"/>
    <w:rsid w:val="00AE5B05"/>
    <w:rsid w:val="00AF06A0"/>
    <w:rsid w:val="00AF0777"/>
    <w:rsid w:val="00AF0DD7"/>
    <w:rsid w:val="00AF148B"/>
    <w:rsid w:val="00AF5944"/>
    <w:rsid w:val="00AF5E6E"/>
    <w:rsid w:val="00B0288F"/>
    <w:rsid w:val="00B031F4"/>
    <w:rsid w:val="00B03D95"/>
    <w:rsid w:val="00B03E2C"/>
    <w:rsid w:val="00B0415C"/>
    <w:rsid w:val="00B0418F"/>
    <w:rsid w:val="00B04467"/>
    <w:rsid w:val="00B066CF"/>
    <w:rsid w:val="00B07B54"/>
    <w:rsid w:val="00B1065E"/>
    <w:rsid w:val="00B10687"/>
    <w:rsid w:val="00B1117C"/>
    <w:rsid w:val="00B11217"/>
    <w:rsid w:val="00B116A9"/>
    <w:rsid w:val="00B13583"/>
    <w:rsid w:val="00B142FB"/>
    <w:rsid w:val="00B17041"/>
    <w:rsid w:val="00B1797A"/>
    <w:rsid w:val="00B21042"/>
    <w:rsid w:val="00B2223D"/>
    <w:rsid w:val="00B227E6"/>
    <w:rsid w:val="00B2360E"/>
    <w:rsid w:val="00B24D37"/>
    <w:rsid w:val="00B268A0"/>
    <w:rsid w:val="00B26B0B"/>
    <w:rsid w:val="00B27F88"/>
    <w:rsid w:val="00B3177F"/>
    <w:rsid w:val="00B31D9B"/>
    <w:rsid w:val="00B31FA5"/>
    <w:rsid w:val="00B32065"/>
    <w:rsid w:val="00B32292"/>
    <w:rsid w:val="00B3361E"/>
    <w:rsid w:val="00B3523A"/>
    <w:rsid w:val="00B367E2"/>
    <w:rsid w:val="00B374C9"/>
    <w:rsid w:val="00B4078A"/>
    <w:rsid w:val="00B41277"/>
    <w:rsid w:val="00B41BC0"/>
    <w:rsid w:val="00B427D2"/>
    <w:rsid w:val="00B42E82"/>
    <w:rsid w:val="00B44E01"/>
    <w:rsid w:val="00B4552A"/>
    <w:rsid w:val="00B457F0"/>
    <w:rsid w:val="00B45935"/>
    <w:rsid w:val="00B45AAE"/>
    <w:rsid w:val="00B47D59"/>
    <w:rsid w:val="00B51F56"/>
    <w:rsid w:val="00B51FBA"/>
    <w:rsid w:val="00B52755"/>
    <w:rsid w:val="00B5372B"/>
    <w:rsid w:val="00B53C8E"/>
    <w:rsid w:val="00B53D4B"/>
    <w:rsid w:val="00B547FA"/>
    <w:rsid w:val="00B55BCA"/>
    <w:rsid w:val="00B60B29"/>
    <w:rsid w:val="00B60CAB"/>
    <w:rsid w:val="00B61C99"/>
    <w:rsid w:val="00B61FA0"/>
    <w:rsid w:val="00B622CA"/>
    <w:rsid w:val="00B62FA1"/>
    <w:rsid w:val="00B63474"/>
    <w:rsid w:val="00B63510"/>
    <w:rsid w:val="00B677C9"/>
    <w:rsid w:val="00B72DF8"/>
    <w:rsid w:val="00B7361B"/>
    <w:rsid w:val="00B73D25"/>
    <w:rsid w:val="00B75FD6"/>
    <w:rsid w:val="00B80A17"/>
    <w:rsid w:val="00B80AC1"/>
    <w:rsid w:val="00B826A8"/>
    <w:rsid w:val="00B83A55"/>
    <w:rsid w:val="00B844FC"/>
    <w:rsid w:val="00B87DFB"/>
    <w:rsid w:val="00B92135"/>
    <w:rsid w:val="00B9298A"/>
    <w:rsid w:val="00B92A4C"/>
    <w:rsid w:val="00B92E08"/>
    <w:rsid w:val="00B9308A"/>
    <w:rsid w:val="00B956D1"/>
    <w:rsid w:val="00B963D7"/>
    <w:rsid w:val="00B964C3"/>
    <w:rsid w:val="00B96BF6"/>
    <w:rsid w:val="00BA0848"/>
    <w:rsid w:val="00BA1144"/>
    <w:rsid w:val="00BA39D0"/>
    <w:rsid w:val="00BA5873"/>
    <w:rsid w:val="00BA5F64"/>
    <w:rsid w:val="00BA78F8"/>
    <w:rsid w:val="00BB0221"/>
    <w:rsid w:val="00BB1825"/>
    <w:rsid w:val="00BB235B"/>
    <w:rsid w:val="00BB4CBF"/>
    <w:rsid w:val="00BB4D6C"/>
    <w:rsid w:val="00BB7011"/>
    <w:rsid w:val="00BB72E6"/>
    <w:rsid w:val="00BB7B7B"/>
    <w:rsid w:val="00BC04B4"/>
    <w:rsid w:val="00BC0F67"/>
    <w:rsid w:val="00BC1009"/>
    <w:rsid w:val="00BC1470"/>
    <w:rsid w:val="00BC28F7"/>
    <w:rsid w:val="00BC377A"/>
    <w:rsid w:val="00BC7C93"/>
    <w:rsid w:val="00BD0AC6"/>
    <w:rsid w:val="00BD0BFB"/>
    <w:rsid w:val="00BD0C67"/>
    <w:rsid w:val="00BD318D"/>
    <w:rsid w:val="00BD7926"/>
    <w:rsid w:val="00BE2498"/>
    <w:rsid w:val="00BE37FF"/>
    <w:rsid w:val="00BE52A3"/>
    <w:rsid w:val="00BE5F88"/>
    <w:rsid w:val="00BF2062"/>
    <w:rsid w:val="00BF2733"/>
    <w:rsid w:val="00BF2BEF"/>
    <w:rsid w:val="00BF333B"/>
    <w:rsid w:val="00BF4756"/>
    <w:rsid w:val="00BF7CD4"/>
    <w:rsid w:val="00C0143F"/>
    <w:rsid w:val="00C0215C"/>
    <w:rsid w:val="00C0333B"/>
    <w:rsid w:val="00C04E67"/>
    <w:rsid w:val="00C054D0"/>
    <w:rsid w:val="00C05794"/>
    <w:rsid w:val="00C0604D"/>
    <w:rsid w:val="00C07961"/>
    <w:rsid w:val="00C1034F"/>
    <w:rsid w:val="00C107B3"/>
    <w:rsid w:val="00C11912"/>
    <w:rsid w:val="00C16494"/>
    <w:rsid w:val="00C2496D"/>
    <w:rsid w:val="00C24D86"/>
    <w:rsid w:val="00C25968"/>
    <w:rsid w:val="00C25B3C"/>
    <w:rsid w:val="00C26735"/>
    <w:rsid w:val="00C26786"/>
    <w:rsid w:val="00C27FA3"/>
    <w:rsid w:val="00C30ABB"/>
    <w:rsid w:val="00C331E9"/>
    <w:rsid w:val="00C350C3"/>
    <w:rsid w:val="00C35C5C"/>
    <w:rsid w:val="00C36EED"/>
    <w:rsid w:val="00C37303"/>
    <w:rsid w:val="00C420DC"/>
    <w:rsid w:val="00C4363A"/>
    <w:rsid w:val="00C45C1A"/>
    <w:rsid w:val="00C47987"/>
    <w:rsid w:val="00C50CC8"/>
    <w:rsid w:val="00C51369"/>
    <w:rsid w:val="00C5237D"/>
    <w:rsid w:val="00C52780"/>
    <w:rsid w:val="00C52D87"/>
    <w:rsid w:val="00C550DA"/>
    <w:rsid w:val="00C5535A"/>
    <w:rsid w:val="00C56032"/>
    <w:rsid w:val="00C565F9"/>
    <w:rsid w:val="00C607EC"/>
    <w:rsid w:val="00C64087"/>
    <w:rsid w:val="00C65ABB"/>
    <w:rsid w:val="00C66D3B"/>
    <w:rsid w:val="00C67F04"/>
    <w:rsid w:val="00C72B87"/>
    <w:rsid w:val="00C731E5"/>
    <w:rsid w:val="00C737BA"/>
    <w:rsid w:val="00C73D38"/>
    <w:rsid w:val="00C753B9"/>
    <w:rsid w:val="00C75850"/>
    <w:rsid w:val="00C77157"/>
    <w:rsid w:val="00C801EA"/>
    <w:rsid w:val="00C80396"/>
    <w:rsid w:val="00C8050B"/>
    <w:rsid w:val="00C81C8A"/>
    <w:rsid w:val="00C822C4"/>
    <w:rsid w:val="00C831E2"/>
    <w:rsid w:val="00C83BE4"/>
    <w:rsid w:val="00C83C88"/>
    <w:rsid w:val="00C83EFA"/>
    <w:rsid w:val="00C858E3"/>
    <w:rsid w:val="00C8626D"/>
    <w:rsid w:val="00C87C6E"/>
    <w:rsid w:val="00C9662F"/>
    <w:rsid w:val="00C96BF0"/>
    <w:rsid w:val="00C977EE"/>
    <w:rsid w:val="00CA3499"/>
    <w:rsid w:val="00CA3AE2"/>
    <w:rsid w:val="00CA7354"/>
    <w:rsid w:val="00CB1860"/>
    <w:rsid w:val="00CB1E1D"/>
    <w:rsid w:val="00CB2029"/>
    <w:rsid w:val="00CB24F2"/>
    <w:rsid w:val="00CB24F6"/>
    <w:rsid w:val="00CB2B74"/>
    <w:rsid w:val="00CB305C"/>
    <w:rsid w:val="00CB54EA"/>
    <w:rsid w:val="00CB6274"/>
    <w:rsid w:val="00CB6CC0"/>
    <w:rsid w:val="00CB7F3C"/>
    <w:rsid w:val="00CC0E42"/>
    <w:rsid w:val="00CC2657"/>
    <w:rsid w:val="00CC2A38"/>
    <w:rsid w:val="00CC337F"/>
    <w:rsid w:val="00CC3A2B"/>
    <w:rsid w:val="00CC3A2C"/>
    <w:rsid w:val="00CC5775"/>
    <w:rsid w:val="00CC7E5A"/>
    <w:rsid w:val="00CD1452"/>
    <w:rsid w:val="00CD145F"/>
    <w:rsid w:val="00CD1663"/>
    <w:rsid w:val="00CD1F2C"/>
    <w:rsid w:val="00CD32CC"/>
    <w:rsid w:val="00CD76A0"/>
    <w:rsid w:val="00CE0D38"/>
    <w:rsid w:val="00CE27AA"/>
    <w:rsid w:val="00CE2887"/>
    <w:rsid w:val="00CE3B84"/>
    <w:rsid w:val="00CE4195"/>
    <w:rsid w:val="00CE44CD"/>
    <w:rsid w:val="00CE4897"/>
    <w:rsid w:val="00CE4F7E"/>
    <w:rsid w:val="00CF243E"/>
    <w:rsid w:val="00CF29A5"/>
    <w:rsid w:val="00CF542E"/>
    <w:rsid w:val="00CF66E4"/>
    <w:rsid w:val="00CF6C5B"/>
    <w:rsid w:val="00D01B54"/>
    <w:rsid w:val="00D02658"/>
    <w:rsid w:val="00D030EF"/>
    <w:rsid w:val="00D0335A"/>
    <w:rsid w:val="00D039F7"/>
    <w:rsid w:val="00D0439B"/>
    <w:rsid w:val="00D06FA5"/>
    <w:rsid w:val="00D078B2"/>
    <w:rsid w:val="00D1306A"/>
    <w:rsid w:val="00D13537"/>
    <w:rsid w:val="00D13FBE"/>
    <w:rsid w:val="00D14347"/>
    <w:rsid w:val="00D144A4"/>
    <w:rsid w:val="00D15088"/>
    <w:rsid w:val="00D1634E"/>
    <w:rsid w:val="00D16E69"/>
    <w:rsid w:val="00D17AD7"/>
    <w:rsid w:val="00D213C5"/>
    <w:rsid w:val="00D22316"/>
    <w:rsid w:val="00D22C47"/>
    <w:rsid w:val="00D23FCE"/>
    <w:rsid w:val="00D244D6"/>
    <w:rsid w:val="00D24B15"/>
    <w:rsid w:val="00D263DF"/>
    <w:rsid w:val="00D31372"/>
    <w:rsid w:val="00D31A54"/>
    <w:rsid w:val="00D31D2D"/>
    <w:rsid w:val="00D32122"/>
    <w:rsid w:val="00D32CF0"/>
    <w:rsid w:val="00D3331F"/>
    <w:rsid w:val="00D359A0"/>
    <w:rsid w:val="00D35CFD"/>
    <w:rsid w:val="00D36FE1"/>
    <w:rsid w:val="00D3722A"/>
    <w:rsid w:val="00D37A99"/>
    <w:rsid w:val="00D40AD6"/>
    <w:rsid w:val="00D416C8"/>
    <w:rsid w:val="00D425BC"/>
    <w:rsid w:val="00D42CDC"/>
    <w:rsid w:val="00D436D1"/>
    <w:rsid w:val="00D43C32"/>
    <w:rsid w:val="00D44AD6"/>
    <w:rsid w:val="00D44BA0"/>
    <w:rsid w:val="00D45CBC"/>
    <w:rsid w:val="00D47A41"/>
    <w:rsid w:val="00D50808"/>
    <w:rsid w:val="00D50DF1"/>
    <w:rsid w:val="00D51435"/>
    <w:rsid w:val="00D51475"/>
    <w:rsid w:val="00D51944"/>
    <w:rsid w:val="00D51A68"/>
    <w:rsid w:val="00D51A6F"/>
    <w:rsid w:val="00D525BD"/>
    <w:rsid w:val="00D53701"/>
    <w:rsid w:val="00D53F77"/>
    <w:rsid w:val="00D542DD"/>
    <w:rsid w:val="00D54491"/>
    <w:rsid w:val="00D55E06"/>
    <w:rsid w:val="00D56840"/>
    <w:rsid w:val="00D57ACA"/>
    <w:rsid w:val="00D57C3A"/>
    <w:rsid w:val="00D6165F"/>
    <w:rsid w:val="00D621C2"/>
    <w:rsid w:val="00D639B1"/>
    <w:rsid w:val="00D653F4"/>
    <w:rsid w:val="00D70350"/>
    <w:rsid w:val="00D70F3E"/>
    <w:rsid w:val="00D71703"/>
    <w:rsid w:val="00D73712"/>
    <w:rsid w:val="00D73759"/>
    <w:rsid w:val="00D73B0F"/>
    <w:rsid w:val="00D741AA"/>
    <w:rsid w:val="00D75FB3"/>
    <w:rsid w:val="00D766EA"/>
    <w:rsid w:val="00D7704D"/>
    <w:rsid w:val="00D778A9"/>
    <w:rsid w:val="00D77F46"/>
    <w:rsid w:val="00D810CE"/>
    <w:rsid w:val="00D81658"/>
    <w:rsid w:val="00D84785"/>
    <w:rsid w:val="00D9213F"/>
    <w:rsid w:val="00D93B25"/>
    <w:rsid w:val="00D94CBB"/>
    <w:rsid w:val="00D952A8"/>
    <w:rsid w:val="00D95546"/>
    <w:rsid w:val="00D95935"/>
    <w:rsid w:val="00D96288"/>
    <w:rsid w:val="00D96EA0"/>
    <w:rsid w:val="00D97036"/>
    <w:rsid w:val="00DA1BDC"/>
    <w:rsid w:val="00DA2AF3"/>
    <w:rsid w:val="00DA32EE"/>
    <w:rsid w:val="00DA3CEE"/>
    <w:rsid w:val="00DA3DA5"/>
    <w:rsid w:val="00DA6F34"/>
    <w:rsid w:val="00DB071C"/>
    <w:rsid w:val="00DB2AC3"/>
    <w:rsid w:val="00DB4B20"/>
    <w:rsid w:val="00DB5E83"/>
    <w:rsid w:val="00DB601C"/>
    <w:rsid w:val="00DB7A0C"/>
    <w:rsid w:val="00DC2760"/>
    <w:rsid w:val="00DC2C6C"/>
    <w:rsid w:val="00DC3531"/>
    <w:rsid w:val="00DC4E89"/>
    <w:rsid w:val="00DC4EAA"/>
    <w:rsid w:val="00DC7502"/>
    <w:rsid w:val="00DD02F3"/>
    <w:rsid w:val="00DD0B67"/>
    <w:rsid w:val="00DD19D1"/>
    <w:rsid w:val="00DD28CC"/>
    <w:rsid w:val="00DD2AB1"/>
    <w:rsid w:val="00DD4E7C"/>
    <w:rsid w:val="00DD5C13"/>
    <w:rsid w:val="00DD6D5F"/>
    <w:rsid w:val="00DE03F6"/>
    <w:rsid w:val="00DE0F50"/>
    <w:rsid w:val="00DE1AF8"/>
    <w:rsid w:val="00DE6E31"/>
    <w:rsid w:val="00DF163B"/>
    <w:rsid w:val="00DF1744"/>
    <w:rsid w:val="00DF29AE"/>
    <w:rsid w:val="00DF34D9"/>
    <w:rsid w:val="00DF470B"/>
    <w:rsid w:val="00DF7625"/>
    <w:rsid w:val="00DF76F9"/>
    <w:rsid w:val="00E00B00"/>
    <w:rsid w:val="00E017B9"/>
    <w:rsid w:val="00E03451"/>
    <w:rsid w:val="00E03EE4"/>
    <w:rsid w:val="00E05A80"/>
    <w:rsid w:val="00E061EA"/>
    <w:rsid w:val="00E06515"/>
    <w:rsid w:val="00E06949"/>
    <w:rsid w:val="00E06F1A"/>
    <w:rsid w:val="00E07E2C"/>
    <w:rsid w:val="00E07E37"/>
    <w:rsid w:val="00E1020D"/>
    <w:rsid w:val="00E106CF"/>
    <w:rsid w:val="00E10937"/>
    <w:rsid w:val="00E11D5F"/>
    <w:rsid w:val="00E1549E"/>
    <w:rsid w:val="00E163A8"/>
    <w:rsid w:val="00E16B1C"/>
    <w:rsid w:val="00E16F28"/>
    <w:rsid w:val="00E1759D"/>
    <w:rsid w:val="00E17713"/>
    <w:rsid w:val="00E2181A"/>
    <w:rsid w:val="00E21E7F"/>
    <w:rsid w:val="00E23E84"/>
    <w:rsid w:val="00E25D6A"/>
    <w:rsid w:val="00E27F0A"/>
    <w:rsid w:val="00E32C04"/>
    <w:rsid w:val="00E3420E"/>
    <w:rsid w:val="00E34605"/>
    <w:rsid w:val="00E34F36"/>
    <w:rsid w:val="00E35C02"/>
    <w:rsid w:val="00E36199"/>
    <w:rsid w:val="00E363F6"/>
    <w:rsid w:val="00E3773E"/>
    <w:rsid w:val="00E37C93"/>
    <w:rsid w:val="00E42419"/>
    <w:rsid w:val="00E43AD7"/>
    <w:rsid w:val="00E4410F"/>
    <w:rsid w:val="00E467FD"/>
    <w:rsid w:val="00E479C4"/>
    <w:rsid w:val="00E50242"/>
    <w:rsid w:val="00E50245"/>
    <w:rsid w:val="00E50363"/>
    <w:rsid w:val="00E50AB3"/>
    <w:rsid w:val="00E50D32"/>
    <w:rsid w:val="00E51251"/>
    <w:rsid w:val="00E51ED6"/>
    <w:rsid w:val="00E52DFF"/>
    <w:rsid w:val="00E52F36"/>
    <w:rsid w:val="00E53E05"/>
    <w:rsid w:val="00E54345"/>
    <w:rsid w:val="00E57869"/>
    <w:rsid w:val="00E57B33"/>
    <w:rsid w:val="00E57E78"/>
    <w:rsid w:val="00E600CC"/>
    <w:rsid w:val="00E625F6"/>
    <w:rsid w:val="00E64FF7"/>
    <w:rsid w:val="00E67438"/>
    <w:rsid w:val="00E717BE"/>
    <w:rsid w:val="00E72994"/>
    <w:rsid w:val="00E731B9"/>
    <w:rsid w:val="00E7355A"/>
    <w:rsid w:val="00E753CE"/>
    <w:rsid w:val="00E76FC4"/>
    <w:rsid w:val="00E800B2"/>
    <w:rsid w:val="00E80E05"/>
    <w:rsid w:val="00E8246B"/>
    <w:rsid w:val="00E82BE2"/>
    <w:rsid w:val="00E848DF"/>
    <w:rsid w:val="00E84E4F"/>
    <w:rsid w:val="00E8533A"/>
    <w:rsid w:val="00E854DA"/>
    <w:rsid w:val="00E87637"/>
    <w:rsid w:val="00E90271"/>
    <w:rsid w:val="00E9099D"/>
    <w:rsid w:val="00E91126"/>
    <w:rsid w:val="00E93018"/>
    <w:rsid w:val="00E93512"/>
    <w:rsid w:val="00E94A7D"/>
    <w:rsid w:val="00E97676"/>
    <w:rsid w:val="00E97996"/>
    <w:rsid w:val="00E97DC1"/>
    <w:rsid w:val="00EA2092"/>
    <w:rsid w:val="00EA2B11"/>
    <w:rsid w:val="00EA2C7B"/>
    <w:rsid w:val="00EA2E2B"/>
    <w:rsid w:val="00EA6A22"/>
    <w:rsid w:val="00EA7A63"/>
    <w:rsid w:val="00EA7B0A"/>
    <w:rsid w:val="00EB161A"/>
    <w:rsid w:val="00EB1C9D"/>
    <w:rsid w:val="00EB244C"/>
    <w:rsid w:val="00EB4392"/>
    <w:rsid w:val="00EB47B0"/>
    <w:rsid w:val="00EB5418"/>
    <w:rsid w:val="00EB5987"/>
    <w:rsid w:val="00EB6BF6"/>
    <w:rsid w:val="00EB7037"/>
    <w:rsid w:val="00EC073F"/>
    <w:rsid w:val="00EC269C"/>
    <w:rsid w:val="00EC2F1B"/>
    <w:rsid w:val="00EC3171"/>
    <w:rsid w:val="00EC4AE8"/>
    <w:rsid w:val="00EC4B64"/>
    <w:rsid w:val="00EC5FF8"/>
    <w:rsid w:val="00EC7743"/>
    <w:rsid w:val="00ED0468"/>
    <w:rsid w:val="00ED17DB"/>
    <w:rsid w:val="00ED2842"/>
    <w:rsid w:val="00ED356F"/>
    <w:rsid w:val="00ED4A04"/>
    <w:rsid w:val="00ED51EE"/>
    <w:rsid w:val="00ED5913"/>
    <w:rsid w:val="00EE08A8"/>
    <w:rsid w:val="00EE1AAA"/>
    <w:rsid w:val="00EE22E6"/>
    <w:rsid w:val="00EE23D4"/>
    <w:rsid w:val="00EE3ACA"/>
    <w:rsid w:val="00EE3D0E"/>
    <w:rsid w:val="00EF0A11"/>
    <w:rsid w:val="00EF0D39"/>
    <w:rsid w:val="00EF2E98"/>
    <w:rsid w:val="00EF3438"/>
    <w:rsid w:val="00EF3BCC"/>
    <w:rsid w:val="00EF7869"/>
    <w:rsid w:val="00F0111F"/>
    <w:rsid w:val="00F02264"/>
    <w:rsid w:val="00F05013"/>
    <w:rsid w:val="00F05077"/>
    <w:rsid w:val="00F05D8C"/>
    <w:rsid w:val="00F114E6"/>
    <w:rsid w:val="00F115B3"/>
    <w:rsid w:val="00F1241F"/>
    <w:rsid w:val="00F133E8"/>
    <w:rsid w:val="00F13FA7"/>
    <w:rsid w:val="00F152EA"/>
    <w:rsid w:val="00F156FB"/>
    <w:rsid w:val="00F15B9F"/>
    <w:rsid w:val="00F15E7F"/>
    <w:rsid w:val="00F1663F"/>
    <w:rsid w:val="00F17275"/>
    <w:rsid w:val="00F17A45"/>
    <w:rsid w:val="00F17DEA"/>
    <w:rsid w:val="00F17E36"/>
    <w:rsid w:val="00F227C6"/>
    <w:rsid w:val="00F23095"/>
    <w:rsid w:val="00F24490"/>
    <w:rsid w:val="00F26A21"/>
    <w:rsid w:val="00F26B66"/>
    <w:rsid w:val="00F3040C"/>
    <w:rsid w:val="00F3243D"/>
    <w:rsid w:val="00F32AF7"/>
    <w:rsid w:val="00F350D1"/>
    <w:rsid w:val="00F35AD3"/>
    <w:rsid w:val="00F41977"/>
    <w:rsid w:val="00F44103"/>
    <w:rsid w:val="00F4489E"/>
    <w:rsid w:val="00F46204"/>
    <w:rsid w:val="00F4651D"/>
    <w:rsid w:val="00F4667E"/>
    <w:rsid w:val="00F47A6C"/>
    <w:rsid w:val="00F47EDF"/>
    <w:rsid w:val="00F50CAD"/>
    <w:rsid w:val="00F5179F"/>
    <w:rsid w:val="00F51B76"/>
    <w:rsid w:val="00F51EC7"/>
    <w:rsid w:val="00F52637"/>
    <w:rsid w:val="00F526A5"/>
    <w:rsid w:val="00F53286"/>
    <w:rsid w:val="00F54DE2"/>
    <w:rsid w:val="00F6039B"/>
    <w:rsid w:val="00F60EA1"/>
    <w:rsid w:val="00F61254"/>
    <w:rsid w:val="00F66B27"/>
    <w:rsid w:val="00F726E7"/>
    <w:rsid w:val="00F746E4"/>
    <w:rsid w:val="00F7493E"/>
    <w:rsid w:val="00F76569"/>
    <w:rsid w:val="00F76BD2"/>
    <w:rsid w:val="00F76CCD"/>
    <w:rsid w:val="00F8028D"/>
    <w:rsid w:val="00F83C47"/>
    <w:rsid w:val="00F83E2C"/>
    <w:rsid w:val="00F83F76"/>
    <w:rsid w:val="00F84A49"/>
    <w:rsid w:val="00F86CCF"/>
    <w:rsid w:val="00F874F7"/>
    <w:rsid w:val="00F8773F"/>
    <w:rsid w:val="00F87FC3"/>
    <w:rsid w:val="00F901AF"/>
    <w:rsid w:val="00F90721"/>
    <w:rsid w:val="00F908EF"/>
    <w:rsid w:val="00F91BF4"/>
    <w:rsid w:val="00F93224"/>
    <w:rsid w:val="00F94073"/>
    <w:rsid w:val="00F9431C"/>
    <w:rsid w:val="00F979AC"/>
    <w:rsid w:val="00F97F8F"/>
    <w:rsid w:val="00FA1985"/>
    <w:rsid w:val="00FA2236"/>
    <w:rsid w:val="00FA276D"/>
    <w:rsid w:val="00FA67D3"/>
    <w:rsid w:val="00FB0138"/>
    <w:rsid w:val="00FB116F"/>
    <w:rsid w:val="00FB2D23"/>
    <w:rsid w:val="00FB403B"/>
    <w:rsid w:val="00FB421D"/>
    <w:rsid w:val="00FB59B5"/>
    <w:rsid w:val="00FC1BC7"/>
    <w:rsid w:val="00FC2263"/>
    <w:rsid w:val="00FC2BAD"/>
    <w:rsid w:val="00FC3921"/>
    <w:rsid w:val="00FC3B2B"/>
    <w:rsid w:val="00FC60EA"/>
    <w:rsid w:val="00FC611E"/>
    <w:rsid w:val="00FD2164"/>
    <w:rsid w:val="00FD4841"/>
    <w:rsid w:val="00FD5D98"/>
    <w:rsid w:val="00FE2968"/>
    <w:rsid w:val="00FE4898"/>
    <w:rsid w:val="00FE4AC5"/>
    <w:rsid w:val="00FE4ECC"/>
    <w:rsid w:val="00FE64AB"/>
    <w:rsid w:val="00FE72E6"/>
    <w:rsid w:val="00FF2292"/>
    <w:rsid w:val="00FF463B"/>
    <w:rsid w:val="00FF4DAE"/>
    <w:rsid w:val="00FF68C0"/>
    <w:rsid w:val="00FF6A04"/>
    <w:rsid w:val="00FF7E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25CB5D"/>
  <w15:chartTrackingRefBased/>
  <w15:docId w15:val="{8296CE59-F8DE-4CD9-A7D0-A9E567A8F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qFormat="1"/>
    <w:lsdException w:name="List 2" w:uiPriority="99"/>
    <w:lsdException w:name="List 3" w:uiPriority="99"/>
    <w:lsdException w:name="List 4" w:uiPriority="99"/>
    <w:lsdException w:name="Title" w:qFormat="1"/>
    <w:lsdException w:name="List Continue 2" w:uiPriority="99"/>
    <w:lsdException w:name="Subtitle" w:qFormat="1"/>
    <w:lsdException w:name="Salutation" w:uiPriority="99"/>
    <w:lsdException w:name="Body Text First Indent 2" w:uiPriority="99"/>
    <w:lsdException w:name="Hyperlink" w:uiPriority="99"/>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59C5"/>
    <w:rPr>
      <w:sz w:val="24"/>
      <w:szCs w:val="24"/>
      <w:lang w:val="es-ES" w:eastAsia="es-ES"/>
    </w:rPr>
  </w:style>
  <w:style w:type="paragraph" w:styleId="Ttulo1">
    <w:name w:val="heading 1"/>
    <w:basedOn w:val="Normal"/>
    <w:next w:val="Normal"/>
    <w:qFormat/>
    <w:pPr>
      <w:keepNext/>
      <w:outlineLvl w:val="0"/>
    </w:pPr>
    <w:rPr>
      <w:rFonts w:ascii="Arial" w:hAnsi="Arial" w:cs="Arial"/>
      <w:b/>
      <w:bCs/>
      <w:lang w:val="es-CO"/>
    </w:rPr>
  </w:style>
  <w:style w:type="paragraph" w:styleId="Ttulo2">
    <w:name w:val="heading 2"/>
    <w:basedOn w:val="Normal"/>
    <w:next w:val="Normal"/>
    <w:qFormat/>
    <w:pPr>
      <w:keepNext/>
      <w:spacing w:line="360" w:lineRule="auto"/>
      <w:jc w:val="both"/>
      <w:outlineLvl w:val="1"/>
    </w:pPr>
    <w:rPr>
      <w:rFonts w:ascii="Arial" w:hAnsi="Arial"/>
      <w:b/>
      <w:bCs/>
      <w:sz w:val="22"/>
      <w:szCs w:val="20"/>
    </w:rPr>
  </w:style>
  <w:style w:type="paragraph" w:styleId="Ttulo4">
    <w:name w:val="heading 4"/>
    <w:basedOn w:val="Normal"/>
    <w:next w:val="Normal"/>
    <w:qFormat/>
    <w:pPr>
      <w:keepNext/>
      <w:jc w:val="center"/>
      <w:outlineLvl w:val="3"/>
    </w:pPr>
    <w:rPr>
      <w:rFonts w:ascii="Arial" w:hAnsi="Arial"/>
      <w:b/>
      <w:snapToGrid w:val="0"/>
      <w:szCs w:val="20"/>
      <w:lang w:val="es-ES_tradnl"/>
    </w:rPr>
  </w:style>
  <w:style w:type="paragraph" w:styleId="Ttulo5">
    <w:name w:val="heading 5"/>
    <w:basedOn w:val="Normal"/>
    <w:next w:val="Normal"/>
    <w:link w:val="Ttulo5Car"/>
    <w:semiHidden/>
    <w:unhideWhenUsed/>
    <w:qFormat/>
    <w:rsid w:val="009D0E50"/>
    <w:pPr>
      <w:spacing w:before="240" w:after="60"/>
      <w:outlineLvl w:val="4"/>
    </w:pPr>
    <w:rPr>
      <w:rFonts w:ascii="Calibri" w:hAnsi="Calibri"/>
      <w:b/>
      <w:bCs/>
      <w:i/>
      <w:iCs/>
      <w:sz w:val="26"/>
      <w:szCs w:val="26"/>
    </w:rPr>
  </w:style>
  <w:style w:type="paragraph" w:styleId="Ttulo7">
    <w:name w:val="heading 7"/>
    <w:basedOn w:val="Normal"/>
    <w:next w:val="Normal"/>
    <w:link w:val="Ttulo7Car"/>
    <w:semiHidden/>
    <w:unhideWhenUsed/>
    <w:qFormat/>
    <w:rsid w:val="00374C16"/>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pPr>
      <w:ind w:firstLine="3"/>
    </w:pPr>
    <w:rPr>
      <w:rFonts w:ascii="Arial" w:hAnsi="Arial"/>
      <w:snapToGrid w:val="0"/>
      <w:szCs w:val="20"/>
    </w:rPr>
  </w:style>
  <w:style w:type="paragraph" w:customStyle="1" w:styleId="Puesto1">
    <w:name w:val="Puesto1"/>
    <w:basedOn w:val="Normal"/>
    <w:link w:val="TtuloCar"/>
    <w:qFormat/>
    <w:pPr>
      <w:jc w:val="center"/>
    </w:pPr>
    <w:rPr>
      <w:rFonts w:ascii="Arial" w:hAnsi="Arial"/>
      <w:b/>
      <w:snapToGrid w:val="0"/>
      <w:szCs w:val="20"/>
    </w:rPr>
  </w:style>
  <w:style w:type="paragraph" w:styleId="Encabezado">
    <w:name w:val="header"/>
    <w:basedOn w:val="Normal"/>
    <w:link w:val="EncabezadoCar"/>
    <w:pPr>
      <w:tabs>
        <w:tab w:val="center" w:pos="4252"/>
        <w:tab w:val="right" w:pos="8504"/>
      </w:tabs>
    </w:pPr>
    <w:rPr>
      <w:rFonts w:ascii="Arial" w:hAnsi="Arial"/>
      <w:b/>
      <w:i/>
      <w:snapToGrid w:val="0"/>
      <w:sz w:val="28"/>
      <w:szCs w:val="20"/>
      <w:lang w:val="es-ES_tradnl"/>
    </w:rPr>
  </w:style>
  <w:style w:type="character" w:styleId="Nmerodepgina">
    <w:name w:val="page number"/>
    <w:basedOn w:val="Fuentedeprrafopredeter"/>
  </w:style>
  <w:style w:type="paragraph" w:styleId="Textoindependiente">
    <w:name w:val="Body Text"/>
    <w:basedOn w:val="Normal"/>
    <w:link w:val="TextoindependienteCar"/>
    <w:rPr>
      <w:rFonts w:ascii="Arial" w:hAnsi="Arial"/>
      <w:sz w:val="22"/>
      <w:szCs w:val="20"/>
    </w:rPr>
  </w:style>
  <w:style w:type="paragraph" w:styleId="Subttulo">
    <w:name w:val="Subtitle"/>
    <w:basedOn w:val="Normal"/>
    <w:qFormat/>
    <w:pPr>
      <w:jc w:val="center"/>
    </w:pPr>
    <w:rPr>
      <w:rFonts w:ascii="Arial" w:hAnsi="Arial"/>
      <w:b/>
      <w:bCs/>
      <w:sz w:val="22"/>
      <w:szCs w:val="20"/>
    </w:rPr>
  </w:style>
  <w:style w:type="paragraph" w:styleId="Sangra2detindependiente">
    <w:name w:val="Body Text Indent 2"/>
    <w:basedOn w:val="Normal"/>
    <w:pPr>
      <w:ind w:left="2832" w:hanging="2832"/>
    </w:pPr>
    <w:rPr>
      <w:rFonts w:ascii="Arial" w:hAnsi="Arial" w:cs="Arial"/>
      <w:b/>
      <w:bCs/>
      <w:lang w:val="es-CO"/>
    </w:rPr>
  </w:style>
  <w:style w:type="paragraph" w:customStyle="1" w:styleId="Textoindependiente21">
    <w:name w:val="Texto independiente 21"/>
    <w:basedOn w:val="Normal"/>
    <w:rsid w:val="006C5757"/>
    <w:pPr>
      <w:overflowPunct w:val="0"/>
      <w:autoSpaceDE w:val="0"/>
      <w:autoSpaceDN w:val="0"/>
      <w:adjustRightInd w:val="0"/>
      <w:spacing w:line="360" w:lineRule="auto"/>
      <w:jc w:val="both"/>
    </w:pPr>
    <w:rPr>
      <w:rFonts w:ascii="Arial" w:hAnsi="Arial"/>
      <w:sz w:val="22"/>
      <w:szCs w:val="20"/>
      <w:lang w:val="es-ES_tradnl"/>
    </w:rPr>
  </w:style>
  <w:style w:type="paragraph" w:styleId="Piedepgina">
    <w:name w:val="footer"/>
    <w:basedOn w:val="Normal"/>
    <w:link w:val="PiedepginaCar"/>
    <w:uiPriority w:val="99"/>
    <w:rsid w:val="00055A0D"/>
    <w:pPr>
      <w:tabs>
        <w:tab w:val="center" w:pos="4252"/>
        <w:tab w:val="right" w:pos="8504"/>
      </w:tabs>
    </w:pPr>
  </w:style>
  <w:style w:type="paragraph" w:styleId="Textodeglobo">
    <w:name w:val="Balloon Text"/>
    <w:basedOn w:val="Normal"/>
    <w:link w:val="TextodegloboCar"/>
    <w:rsid w:val="008F5103"/>
    <w:rPr>
      <w:rFonts w:ascii="Tahoma" w:hAnsi="Tahoma" w:cs="Tahoma"/>
      <w:sz w:val="16"/>
      <w:szCs w:val="16"/>
    </w:rPr>
  </w:style>
  <w:style w:type="character" w:customStyle="1" w:styleId="TextodegloboCar">
    <w:name w:val="Texto de globo Car"/>
    <w:link w:val="Textodeglobo"/>
    <w:rsid w:val="008F5103"/>
    <w:rPr>
      <w:rFonts w:ascii="Tahoma" w:hAnsi="Tahoma" w:cs="Tahoma"/>
      <w:sz w:val="16"/>
      <w:szCs w:val="16"/>
      <w:lang w:val="es-ES" w:eastAsia="es-ES"/>
    </w:rPr>
  </w:style>
  <w:style w:type="paragraph" w:styleId="Lista">
    <w:name w:val="List"/>
    <w:basedOn w:val="Normal"/>
    <w:rsid w:val="00F4667E"/>
    <w:pPr>
      <w:autoSpaceDE w:val="0"/>
      <w:autoSpaceDN w:val="0"/>
      <w:ind w:left="283" w:hanging="283"/>
    </w:pPr>
    <w:rPr>
      <w:rFonts w:ascii="Arial" w:hAnsi="Arial" w:cs="Arial"/>
      <w:sz w:val="28"/>
      <w:szCs w:val="28"/>
      <w:lang w:val="es-ES_tradnl"/>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qFormat/>
    <w:rsid w:val="007238D2"/>
    <w:rPr>
      <w:sz w:val="20"/>
      <w:szCs w:val="20"/>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qFormat/>
    <w:rsid w:val="007238D2"/>
    <w:rPr>
      <w:lang w:val="es-ES"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link w:val="4GChar"/>
    <w:qFormat/>
    <w:rsid w:val="007238D2"/>
    <w:rPr>
      <w:vertAlign w:val="superscript"/>
    </w:rPr>
  </w:style>
  <w:style w:type="character" w:customStyle="1" w:styleId="Ttulo7Car">
    <w:name w:val="Título 7 Car"/>
    <w:link w:val="Ttulo7"/>
    <w:semiHidden/>
    <w:rsid w:val="00374C16"/>
    <w:rPr>
      <w:rFonts w:ascii="Calibri" w:eastAsia="Times New Roman" w:hAnsi="Calibri" w:cs="Times New Roman"/>
      <w:sz w:val="24"/>
      <w:szCs w:val="24"/>
      <w:lang w:val="es-ES" w:eastAsia="es-ES"/>
    </w:rPr>
  </w:style>
  <w:style w:type="character" w:customStyle="1" w:styleId="PiedepginaCar">
    <w:name w:val="Pie de página Car"/>
    <w:link w:val="Piedepgina"/>
    <w:uiPriority w:val="99"/>
    <w:rsid w:val="00374C16"/>
    <w:rPr>
      <w:sz w:val="24"/>
      <w:szCs w:val="24"/>
      <w:lang w:val="es-ES" w:eastAsia="es-ES"/>
    </w:rPr>
  </w:style>
  <w:style w:type="paragraph" w:styleId="NormalWeb">
    <w:name w:val="Normal (Web)"/>
    <w:basedOn w:val="Normal"/>
    <w:uiPriority w:val="99"/>
    <w:unhideWhenUsed/>
    <w:rsid w:val="00374C16"/>
    <w:pPr>
      <w:spacing w:before="100" w:beforeAutospacing="1" w:after="100" w:afterAutospacing="1"/>
    </w:pPr>
    <w:rPr>
      <w:lang w:val="es-CO" w:eastAsia="es-CO"/>
    </w:rPr>
  </w:style>
  <w:style w:type="paragraph" w:customStyle="1" w:styleId="Textoindependiente210">
    <w:name w:val="Texto independiente 21"/>
    <w:basedOn w:val="Normal"/>
    <w:rsid w:val="00374C16"/>
    <w:pPr>
      <w:overflowPunct w:val="0"/>
      <w:autoSpaceDE w:val="0"/>
      <w:autoSpaceDN w:val="0"/>
      <w:adjustRightInd w:val="0"/>
      <w:spacing w:after="220" w:line="360" w:lineRule="auto"/>
      <w:ind w:firstLine="708"/>
      <w:jc w:val="both"/>
    </w:pPr>
    <w:rPr>
      <w:rFonts w:ascii="Century Gothic" w:hAnsi="Century Gothic" w:cs="Century Gothic"/>
      <w:sz w:val="22"/>
      <w:szCs w:val="22"/>
      <w:lang w:val="es-ES_tradnl"/>
    </w:rPr>
  </w:style>
  <w:style w:type="character" w:customStyle="1" w:styleId="EncabezadoCar">
    <w:name w:val="Encabezado Car"/>
    <w:link w:val="Encabezado"/>
    <w:rsid w:val="00A45867"/>
    <w:rPr>
      <w:rFonts w:ascii="Arial" w:hAnsi="Arial"/>
      <w:b/>
      <w:i/>
      <w:snapToGrid w:val="0"/>
      <w:sz w:val="28"/>
      <w:lang w:val="es-ES_tradnl"/>
    </w:rPr>
  </w:style>
  <w:style w:type="paragraph" w:styleId="Textoindependiente2">
    <w:name w:val="Body Text 2"/>
    <w:basedOn w:val="Normal"/>
    <w:link w:val="Textoindependiente2Car"/>
    <w:rsid w:val="00A45867"/>
    <w:pPr>
      <w:spacing w:after="120" w:line="480" w:lineRule="auto"/>
    </w:pPr>
  </w:style>
  <w:style w:type="character" w:customStyle="1" w:styleId="Textoindependiente2Car">
    <w:name w:val="Texto independiente 2 Car"/>
    <w:link w:val="Textoindependiente2"/>
    <w:rsid w:val="00A45867"/>
    <w:rPr>
      <w:sz w:val="24"/>
      <w:szCs w:val="24"/>
    </w:rPr>
  </w:style>
  <w:style w:type="paragraph" w:styleId="Sinespaciado">
    <w:name w:val="No Spacing"/>
    <w:uiPriority w:val="1"/>
    <w:qFormat/>
    <w:rsid w:val="00A45867"/>
    <w:rPr>
      <w:rFonts w:ascii="Calibri" w:eastAsia="Calibri" w:hAnsi="Calibri"/>
      <w:sz w:val="22"/>
      <w:szCs w:val="22"/>
      <w:lang w:eastAsia="en-US"/>
    </w:rPr>
  </w:style>
  <w:style w:type="character" w:customStyle="1" w:styleId="apple-converted-space">
    <w:name w:val="apple-converted-space"/>
    <w:rsid w:val="006220A5"/>
  </w:style>
  <w:style w:type="character" w:customStyle="1" w:styleId="Ttulo5Car">
    <w:name w:val="Título 5 Car"/>
    <w:link w:val="Ttulo5"/>
    <w:semiHidden/>
    <w:rsid w:val="009D0E50"/>
    <w:rPr>
      <w:rFonts w:ascii="Calibri" w:eastAsia="Times New Roman" w:hAnsi="Calibri" w:cs="Times New Roman"/>
      <w:b/>
      <w:bCs/>
      <w:i/>
      <w:iCs/>
      <w:sz w:val="26"/>
      <w:szCs w:val="26"/>
    </w:rPr>
  </w:style>
  <w:style w:type="paragraph" w:customStyle="1" w:styleId="Textoindependiente22">
    <w:name w:val="Texto independiente 22"/>
    <w:basedOn w:val="Normal"/>
    <w:rsid w:val="009D0E50"/>
    <w:pPr>
      <w:overflowPunct w:val="0"/>
      <w:autoSpaceDE w:val="0"/>
      <w:autoSpaceDN w:val="0"/>
      <w:adjustRightInd w:val="0"/>
      <w:spacing w:line="360" w:lineRule="auto"/>
      <w:ind w:firstLine="1418"/>
      <w:jc w:val="both"/>
      <w:textAlignment w:val="baseline"/>
    </w:pPr>
    <w:rPr>
      <w:rFonts w:ascii="Arial" w:hAnsi="Arial"/>
      <w:szCs w:val="20"/>
    </w:rPr>
  </w:style>
  <w:style w:type="character" w:customStyle="1" w:styleId="textonavy">
    <w:name w:val="texto_navy"/>
    <w:rsid w:val="009D0E50"/>
  </w:style>
  <w:style w:type="paragraph" w:styleId="Lista2">
    <w:name w:val="List 2"/>
    <w:basedOn w:val="Normal"/>
    <w:uiPriority w:val="99"/>
    <w:unhideWhenUsed/>
    <w:rsid w:val="009D0E50"/>
    <w:pPr>
      <w:spacing w:line="360" w:lineRule="auto"/>
      <w:ind w:left="566" w:hanging="283"/>
      <w:contextualSpacing/>
      <w:jc w:val="both"/>
    </w:pPr>
    <w:rPr>
      <w:rFonts w:ascii="Arial" w:hAnsi="Arial"/>
    </w:rPr>
  </w:style>
  <w:style w:type="paragraph" w:styleId="Lista3">
    <w:name w:val="List 3"/>
    <w:basedOn w:val="Normal"/>
    <w:uiPriority w:val="99"/>
    <w:unhideWhenUsed/>
    <w:rsid w:val="009D0E50"/>
    <w:pPr>
      <w:spacing w:line="360" w:lineRule="auto"/>
      <w:ind w:left="849" w:hanging="283"/>
      <w:contextualSpacing/>
      <w:jc w:val="both"/>
    </w:pPr>
    <w:rPr>
      <w:rFonts w:ascii="Arial" w:hAnsi="Arial"/>
    </w:rPr>
  </w:style>
  <w:style w:type="paragraph" w:styleId="Lista4">
    <w:name w:val="List 4"/>
    <w:basedOn w:val="Normal"/>
    <w:uiPriority w:val="99"/>
    <w:unhideWhenUsed/>
    <w:rsid w:val="009D0E50"/>
    <w:pPr>
      <w:spacing w:line="360" w:lineRule="auto"/>
      <w:ind w:left="1132" w:hanging="283"/>
      <w:contextualSpacing/>
      <w:jc w:val="both"/>
    </w:pPr>
    <w:rPr>
      <w:rFonts w:ascii="Arial" w:hAnsi="Arial"/>
    </w:rPr>
  </w:style>
  <w:style w:type="paragraph" w:styleId="Continuarlista2">
    <w:name w:val="List Continue 2"/>
    <w:basedOn w:val="Normal"/>
    <w:uiPriority w:val="99"/>
    <w:unhideWhenUsed/>
    <w:rsid w:val="009D0E50"/>
    <w:pPr>
      <w:spacing w:after="120" w:line="360" w:lineRule="auto"/>
      <w:ind w:left="566"/>
      <w:contextualSpacing/>
      <w:jc w:val="both"/>
    </w:pPr>
    <w:rPr>
      <w:rFonts w:ascii="Arial" w:hAnsi="Arial"/>
    </w:rPr>
  </w:style>
  <w:style w:type="paragraph" w:styleId="Textoindependienteprimerasangra2">
    <w:name w:val="Body Text First Indent 2"/>
    <w:basedOn w:val="Sangradetextonormal"/>
    <w:link w:val="Textoindependienteprimerasangra2Car"/>
    <w:uiPriority w:val="99"/>
    <w:unhideWhenUsed/>
    <w:rsid w:val="009D0E50"/>
    <w:pPr>
      <w:spacing w:line="360" w:lineRule="auto"/>
      <w:ind w:left="360" w:firstLine="360"/>
      <w:jc w:val="both"/>
    </w:pPr>
    <w:rPr>
      <w:snapToGrid/>
      <w:szCs w:val="24"/>
    </w:rPr>
  </w:style>
  <w:style w:type="character" w:customStyle="1" w:styleId="SangradetextonormalCar">
    <w:name w:val="Sangría de texto normal Car"/>
    <w:link w:val="Sangradetextonormal"/>
    <w:rsid w:val="009D0E50"/>
    <w:rPr>
      <w:rFonts w:ascii="Arial" w:hAnsi="Arial"/>
      <w:snapToGrid w:val="0"/>
      <w:sz w:val="24"/>
    </w:rPr>
  </w:style>
  <w:style w:type="character" w:customStyle="1" w:styleId="Textoindependienteprimerasangra2Car">
    <w:name w:val="Texto independiente primera sangría 2 Car"/>
    <w:link w:val="Textoindependienteprimerasangra2"/>
    <w:uiPriority w:val="99"/>
    <w:rsid w:val="009D0E50"/>
    <w:rPr>
      <w:rFonts w:ascii="Arial" w:hAnsi="Arial"/>
      <w:snapToGrid/>
      <w:sz w:val="24"/>
      <w:szCs w:val="24"/>
    </w:rPr>
  </w:style>
  <w:style w:type="table" w:styleId="Tablaconcuadrcula">
    <w:name w:val="Table Grid"/>
    <w:basedOn w:val="Tablanormal"/>
    <w:rsid w:val="00906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do">
    <w:name w:val="Salutation"/>
    <w:basedOn w:val="Normal"/>
    <w:next w:val="Normal"/>
    <w:link w:val="SaludoCar"/>
    <w:uiPriority w:val="99"/>
    <w:unhideWhenUsed/>
    <w:rsid w:val="00427158"/>
    <w:pPr>
      <w:spacing w:line="360" w:lineRule="auto"/>
      <w:jc w:val="both"/>
    </w:pPr>
    <w:rPr>
      <w:rFonts w:ascii="Arial" w:hAnsi="Arial"/>
    </w:rPr>
  </w:style>
  <w:style w:type="character" w:customStyle="1" w:styleId="SaludoCar">
    <w:name w:val="Saludo Car"/>
    <w:link w:val="Saludo"/>
    <w:uiPriority w:val="99"/>
    <w:rsid w:val="00427158"/>
    <w:rPr>
      <w:rFonts w:ascii="Arial" w:hAnsi="Arial"/>
      <w:sz w:val="24"/>
      <w:szCs w:val="24"/>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FD2164"/>
    <w:pPr>
      <w:jc w:val="both"/>
    </w:pPr>
    <w:rPr>
      <w:sz w:val="20"/>
      <w:szCs w:val="20"/>
      <w:vertAlign w:val="superscript"/>
    </w:rPr>
  </w:style>
  <w:style w:type="character" w:styleId="Textoennegrita">
    <w:name w:val="Strong"/>
    <w:uiPriority w:val="22"/>
    <w:qFormat/>
    <w:rsid w:val="00243F0E"/>
    <w:rPr>
      <w:b/>
      <w:bCs/>
    </w:rPr>
  </w:style>
  <w:style w:type="character" w:styleId="nfasis">
    <w:name w:val="Emphasis"/>
    <w:uiPriority w:val="20"/>
    <w:qFormat/>
    <w:rsid w:val="00243F0E"/>
    <w:rPr>
      <w:i/>
      <w:iCs/>
    </w:rPr>
  </w:style>
  <w:style w:type="character" w:styleId="Hipervnculo">
    <w:name w:val="Hyperlink"/>
    <w:uiPriority w:val="99"/>
    <w:unhideWhenUsed/>
    <w:rsid w:val="00243F0E"/>
    <w:rPr>
      <w:color w:val="0000FF"/>
      <w:u w:val="single"/>
    </w:rPr>
  </w:style>
  <w:style w:type="character" w:customStyle="1" w:styleId="TtuloCar">
    <w:name w:val="Título Car"/>
    <w:link w:val="Puesto1"/>
    <w:rsid w:val="00243F0E"/>
    <w:rPr>
      <w:rFonts w:ascii="Arial" w:hAnsi="Arial"/>
      <w:b/>
      <w:snapToGrid w:val="0"/>
      <w:sz w:val="24"/>
      <w:lang w:val="es-ES" w:eastAsia="es-ES"/>
    </w:rPr>
  </w:style>
  <w:style w:type="paragraph" w:customStyle="1" w:styleId="Sangra2detindependiente2">
    <w:name w:val="Sangría 2 de t. independiente2"/>
    <w:basedOn w:val="Normal"/>
    <w:uiPriority w:val="99"/>
    <w:rsid w:val="00243F0E"/>
    <w:pPr>
      <w:overflowPunct w:val="0"/>
      <w:autoSpaceDE w:val="0"/>
      <w:autoSpaceDN w:val="0"/>
      <w:adjustRightInd w:val="0"/>
      <w:ind w:left="1418"/>
      <w:jc w:val="both"/>
    </w:pPr>
    <w:rPr>
      <w:rFonts w:ascii="Arial" w:hAnsi="Arial"/>
      <w:szCs w:val="20"/>
    </w:rPr>
  </w:style>
  <w:style w:type="character" w:customStyle="1" w:styleId="TextoindependienteCar">
    <w:name w:val="Texto independiente Car"/>
    <w:link w:val="Textoindependiente"/>
    <w:rsid w:val="003A4FB0"/>
    <w:rPr>
      <w:rFonts w:ascii="Arial" w:hAnsi="Arial"/>
      <w:sz w:val="22"/>
    </w:rPr>
  </w:style>
  <w:style w:type="paragraph" w:customStyle="1" w:styleId="Textoindependiente31">
    <w:name w:val="Texto independiente 31"/>
    <w:basedOn w:val="Normal"/>
    <w:rsid w:val="008D2D78"/>
    <w:pPr>
      <w:overflowPunct w:val="0"/>
      <w:autoSpaceDE w:val="0"/>
      <w:autoSpaceDN w:val="0"/>
      <w:adjustRightInd w:val="0"/>
      <w:spacing w:line="360" w:lineRule="auto"/>
      <w:jc w:val="both"/>
      <w:textAlignment w:val="baseline"/>
    </w:pPr>
    <w:rPr>
      <w:rFonts w:ascii="Arial" w:hAnsi="Arial"/>
      <w:szCs w:val="20"/>
      <w:lang w:val="es-ES_tradnl"/>
    </w:rPr>
  </w:style>
  <w:style w:type="character" w:customStyle="1" w:styleId="CharacterStyle1">
    <w:name w:val="Character Style 1"/>
    <w:rsid w:val="008D2D78"/>
    <w:rPr>
      <w:sz w:val="20"/>
      <w:szCs w:val="20"/>
    </w:rPr>
  </w:style>
  <w:style w:type="character" w:styleId="Refdecomentario">
    <w:name w:val="annotation reference"/>
    <w:rsid w:val="005C46CE"/>
    <w:rPr>
      <w:sz w:val="16"/>
      <w:szCs w:val="16"/>
    </w:rPr>
  </w:style>
  <w:style w:type="paragraph" w:styleId="Textocomentario">
    <w:name w:val="annotation text"/>
    <w:basedOn w:val="Normal"/>
    <w:link w:val="TextocomentarioCar"/>
    <w:rsid w:val="005C46CE"/>
    <w:rPr>
      <w:sz w:val="20"/>
      <w:szCs w:val="20"/>
    </w:rPr>
  </w:style>
  <w:style w:type="character" w:customStyle="1" w:styleId="TextocomentarioCar">
    <w:name w:val="Texto comentario Car"/>
    <w:link w:val="Textocomentario"/>
    <w:rsid w:val="005C46CE"/>
    <w:rPr>
      <w:lang w:val="es-ES" w:eastAsia="es-ES"/>
    </w:rPr>
  </w:style>
  <w:style w:type="paragraph" w:styleId="Asuntodelcomentario">
    <w:name w:val="annotation subject"/>
    <w:basedOn w:val="Textocomentario"/>
    <w:next w:val="Textocomentario"/>
    <w:link w:val="AsuntodelcomentarioCar"/>
    <w:rsid w:val="005C46CE"/>
    <w:rPr>
      <w:b/>
      <w:bCs/>
    </w:rPr>
  </w:style>
  <w:style w:type="character" w:customStyle="1" w:styleId="AsuntodelcomentarioCar">
    <w:name w:val="Asunto del comentario Car"/>
    <w:link w:val="Asuntodelcomentario"/>
    <w:rsid w:val="005C46CE"/>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967222">
      <w:bodyDiv w:val="1"/>
      <w:marLeft w:val="0"/>
      <w:marRight w:val="0"/>
      <w:marTop w:val="0"/>
      <w:marBottom w:val="0"/>
      <w:divBdr>
        <w:top w:val="none" w:sz="0" w:space="0" w:color="auto"/>
        <w:left w:val="none" w:sz="0" w:space="0" w:color="auto"/>
        <w:bottom w:val="none" w:sz="0" w:space="0" w:color="auto"/>
        <w:right w:val="none" w:sz="0" w:space="0" w:color="auto"/>
      </w:divBdr>
    </w:div>
    <w:div w:id="354699684">
      <w:bodyDiv w:val="1"/>
      <w:marLeft w:val="0"/>
      <w:marRight w:val="0"/>
      <w:marTop w:val="0"/>
      <w:marBottom w:val="0"/>
      <w:divBdr>
        <w:top w:val="none" w:sz="0" w:space="0" w:color="auto"/>
        <w:left w:val="none" w:sz="0" w:space="0" w:color="auto"/>
        <w:bottom w:val="none" w:sz="0" w:space="0" w:color="auto"/>
        <w:right w:val="none" w:sz="0" w:space="0" w:color="auto"/>
      </w:divBdr>
    </w:div>
    <w:div w:id="505826798">
      <w:bodyDiv w:val="1"/>
      <w:marLeft w:val="0"/>
      <w:marRight w:val="0"/>
      <w:marTop w:val="0"/>
      <w:marBottom w:val="0"/>
      <w:divBdr>
        <w:top w:val="none" w:sz="0" w:space="0" w:color="auto"/>
        <w:left w:val="none" w:sz="0" w:space="0" w:color="auto"/>
        <w:bottom w:val="none" w:sz="0" w:space="0" w:color="auto"/>
        <w:right w:val="none" w:sz="0" w:space="0" w:color="auto"/>
      </w:divBdr>
    </w:div>
    <w:div w:id="545146300">
      <w:bodyDiv w:val="1"/>
      <w:marLeft w:val="0"/>
      <w:marRight w:val="0"/>
      <w:marTop w:val="0"/>
      <w:marBottom w:val="0"/>
      <w:divBdr>
        <w:top w:val="none" w:sz="0" w:space="0" w:color="auto"/>
        <w:left w:val="none" w:sz="0" w:space="0" w:color="auto"/>
        <w:bottom w:val="none" w:sz="0" w:space="0" w:color="auto"/>
        <w:right w:val="none" w:sz="0" w:space="0" w:color="auto"/>
      </w:divBdr>
    </w:div>
    <w:div w:id="573590820">
      <w:bodyDiv w:val="1"/>
      <w:marLeft w:val="0"/>
      <w:marRight w:val="0"/>
      <w:marTop w:val="0"/>
      <w:marBottom w:val="0"/>
      <w:divBdr>
        <w:top w:val="none" w:sz="0" w:space="0" w:color="auto"/>
        <w:left w:val="none" w:sz="0" w:space="0" w:color="auto"/>
        <w:bottom w:val="none" w:sz="0" w:space="0" w:color="auto"/>
        <w:right w:val="none" w:sz="0" w:space="0" w:color="auto"/>
      </w:divBdr>
    </w:div>
    <w:div w:id="759836804">
      <w:bodyDiv w:val="1"/>
      <w:marLeft w:val="0"/>
      <w:marRight w:val="0"/>
      <w:marTop w:val="0"/>
      <w:marBottom w:val="0"/>
      <w:divBdr>
        <w:top w:val="none" w:sz="0" w:space="0" w:color="auto"/>
        <w:left w:val="none" w:sz="0" w:space="0" w:color="auto"/>
        <w:bottom w:val="none" w:sz="0" w:space="0" w:color="auto"/>
        <w:right w:val="none" w:sz="0" w:space="0" w:color="auto"/>
      </w:divBdr>
    </w:div>
    <w:div w:id="963922079">
      <w:bodyDiv w:val="1"/>
      <w:marLeft w:val="0"/>
      <w:marRight w:val="0"/>
      <w:marTop w:val="0"/>
      <w:marBottom w:val="0"/>
      <w:divBdr>
        <w:top w:val="none" w:sz="0" w:space="0" w:color="auto"/>
        <w:left w:val="none" w:sz="0" w:space="0" w:color="auto"/>
        <w:bottom w:val="none" w:sz="0" w:space="0" w:color="auto"/>
        <w:right w:val="none" w:sz="0" w:space="0" w:color="auto"/>
      </w:divBdr>
    </w:div>
    <w:div w:id="1173029808">
      <w:bodyDiv w:val="1"/>
      <w:marLeft w:val="0"/>
      <w:marRight w:val="0"/>
      <w:marTop w:val="0"/>
      <w:marBottom w:val="0"/>
      <w:divBdr>
        <w:top w:val="none" w:sz="0" w:space="0" w:color="auto"/>
        <w:left w:val="none" w:sz="0" w:space="0" w:color="auto"/>
        <w:bottom w:val="none" w:sz="0" w:space="0" w:color="auto"/>
        <w:right w:val="none" w:sz="0" w:space="0" w:color="auto"/>
      </w:divBdr>
    </w:div>
    <w:div w:id="1402363205">
      <w:bodyDiv w:val="1"/>
      <w:marLeft w:val="0"/>
      <w:marRight w:val="0"/>
      <w:marTop w:val="0"/>
      <w:marBottom w:val="0"/>
      <w:divBdr>
        <w:top w:val="none" w:sz="0" w:space="0" w:color="auto"/>
        <w:left w:val="none" w:sz="0" w:space="0" w:color="auto"/>
        <w:bottom w:val="none" w:sz="0" w:space="0" w:color="auto"/>
        <w:right w:val="none" w:sz="0" w:space="0" w:color="auto"/>
      </w:divBdr>
    </w:div>
    <w:div w:id="1411926075">
      <w:bodyDiv w:val="1"/>
      <w:marLeft w:val="0"/>
      <w:marRight w:val="0"/>
      <w:marTop w:val="0"/>
      <w:marBottom w:val="0"/>
      <w:divBdr>
        <w:top w:val="none" w:sz="0" w:space="0" w:color="auto"/>
        <w:left w:val="none" w:sz="0" w:space="0" w:color="auto"/>
        <w:bottom w:val="none" w:sz="0" w:space="0" w:color="auto"/>
        <w:right w:val="none" w:sz="0" w:space="0" w:color="auto"/>
      </w:divBdr>
    </w:div>
    <w:div w:id="1504584395">
      <w:bodyDiv w:val="1"/>
      <w:marLeft w:val="0"/>
      <w:marRight w:val="0"/>
      <w:marTop w:val="0"/>
      <w:marBottom w:val="0"/>
      <w:divBdr>
        <w:top w:val="none" w:sz="0" w:space="0" w:color="auto"/>
        <w:left w:val="none" w:sz="0" w:space="0" w:color="auto"/>
        <w:bottom w:val="none" w:sz="0" w:space="0" w:color="auto"/>
        <w:right w:val="none" w:sz="0" w:space="0" w:color="auto"/>
      </w:divBdr>
    </w:div>
    <w:div w:id="1520466466">
      <w:bodyDiv w:val="1"/>
      <w:marLeft w:val="0"/>
      <w:marRight w:val="0"/>
      <w:marTop w:val="0"/>
      <w:marBottom w:val="0"/>
      <w:divBdr>
        <w:top w:val="none" w:sz="0" w:space="0" w:color="auto"/>
        <w:left w:val="none" w:sz="0" w:space="0" w:color="auto"/>
        <w:bottom w:val="none" w:sz="0" w:space="0" w:color="auto"/>
        <w:right w:val="none" w:sz="0" w:space="0" w:color="auto"/>
      </w:divBdr>
    </w:div>
    <w:div w:id="1830097225">
      <w:bodyDiv w:val="1"/>
      <w:marLeft w:val="0"/>
      <w:marRight w:val="0"/>
      <w:marTop w:val="0"/>
      <w:marBottom w:val="0"/>
      <w:divBdr>
        <w:top w:val="none" w:sz="0" w:space="0" w:color="auto"/>
        <w:left w:val="none" w:sz="0" w:space="0" w:color="auto"/>
        <w:bottom w:val="none" w:sz="0" w:space="0" w:color="auto"/>
        <w:right w:val="none" w:sz="0" w:space="0" w:color="auto"/>
      </w:divBdr>
    </w:div>
    <w:div w:id="211007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0080_199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82FEB4-BF91-44FD-A9F6-5782E99858CE}">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A8D79772-001D-8645-AF98-6A9FE2F7F594}">
  <ds:schemaRefs>
    <ds:schemaRef ds:uri="http://schemas.openxmlformats.org/officeDocument/2006/bibliography"/>
  </ds:schemaRefs>
</ds:datastoreItem>
</file>

<file path=customXml/itemProps3.xml><?xml version="1.0" encoding="utf-8"?>
<ds:datastoreItem xmlns:ds="http://schemas.openxmlformats.org/officeDocument/2006/customXml" ds:itemID="{630C9ACB-3872-44F6-88B8-16CB7AA0A19E}">
  <ds:schemaRefs>
    <ds:schemaRef ds:uri="http://schemas.microsoft.com/sharepoint/v3/contenttype/forms"/>
  </ds:schemaRefs>
</ds:datastoreItem>
</file>

<file path=customXml/itemProps4.xml><?xml version="1.0" encoding="utf-8"?>
<ds:datastoreItem xmlns:ds="http://schemas.openxmlformats.org/officeDocument/2006/customXml" ds:itemID="{DC8B6795-4C64-4975-8E24-C5B5AA253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18258</Words>
  <Characters>100425</Characters>
  <Application>Microsoft Office Word</Application>
  <DocSecurity>0</DocSecurity>
  <Lines>836</Lines>
  <Paragraphs>236</Paragraphs>
  <ScaleCrop>false</ScaleCrop>
  <HeadingPairs>
    <vt:vector size="2" baseType="variant">
      <vt:variant>
        <vt:lpstr>Título</vt:lpstr>
      </vt:variant>
      <vt:variant>
        <vt:i4>1</vt:i4>
      </vt:variant>
    </vt:vector>
  </HeadingPairs>
  <TitlesOfParts>
    <vt:vector size="1" baseType="lpstr">
      <vt:lpstr>CONSEJO DE ESTADO</vt:lpstr>
    </vt:vector>
  </TitlesOfParts>
  <Company>CSJ</Company>
  <LinksUpToDate>false</LinksUpToDate>
  <CharactersWithSpaces>118447</CharactersWithSpaces>
  <SharedDoc>false</SharedDoc>
  <HLinks>
    <vt:vector size="6" baseType="variant">
      <vt:variant>
        <vt:i4>3735572</vt:i4>
      </vt:variant>
      <vt:variant>
        <vt:i4>0</vt:i4>
      </vt:variant>
      <vt:variant>
        <vt:i4>0</vt:i4>
      </vt:variant>
      <vt:variant>
        <vt:i4>5</vt:i4>
      </vt:variant>
      <vt:variant>
        <vt:lpwstr>http://www.secretariasenado.gov.co/senado/basedoc/ley_0080_1993.html</vt:lpwstr>
      </vt:variant>
      <vt:variant>
        <vt:lpwstr>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Consejo de Estado</dc:creator>
  <cp:keywords/>
  <cp:lastModifiedBy>Carlos Mario Castrillón Endo</cp:lastModifiedBy>
  <cp:revision>2</cp:revision>
  <cp:lastPrinted>2019-08-15T20:42:00Z</cp:lastPrinted>
  <dcterms:created xsi:type="dcterms:W3CDTF">2020-07-02T20:12:00Z</dcterms:created>
  <dcterms:modified xsi:type="dcterms:W3CDTF">2020-07-02T20:12:00Z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