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EBAF8" w14:textId="6AA47271" w:rsidR="00151C32" w:rsidRPr="00092CE9" w:rsidRDefault="00151C32" w:rsidP="00151C32">
      <w:pPr>
        <w:jc w:val="both"/>
        <w:rPr>
          <w:rFonts w:ascii="Arial" w:hAnsi="Arial" w:cs="Arial"/>
          <w:b/>
          <w:bCs/>
          <w:sz w:val="22"/>
          <w:szCs w:val="22"/>
        </w:rPr>
      </w:pPr>
      <w:r w:rsidRPr="00092CE9">
        <w:rPr>
          <w:rFonts w:ascii="Arial" w:hAnsi="Arial" w:cs="Arial"/>
          <w:b/>
          <w:bCs/>
          <w:sz w:val="22"/>
          <w:szCs w:val="22"/>
        </w:rPr>
        <w:t xml:space="preserve">CONTROVERSIAS CONTRACTUALES </w:t>
      </w:r>
      <w:r w:rsidR="009E217A" w:rsidRPr="00092CE9">
        <w:rPr>
          <w:rFonts w:ascii="Arial" w:hAnsi="Arial" w:cs="Arial"/>
          <w:b/>
          <w:bCs/>
          <w:sz w:val="22"/>
          <w:szCs w:val="22"/>
        </w:rPr>
        <w:t>-</w:t>
      </w:r>
      <w:r w:rsidRPr="00092CE9">
        <w:rPr>
          <w:rFonts w:ascii="Arial" w:hAnsi="Arial" w:cs="Arial"/>
          <w:b/>
          <w:bCs/>
          <w:sz w:val="22"/>
          <w:szCs w:val="22"/>
        </w:rPr>
        <w:t xml:space="preserve"> Llamamiento en garantía </w:t>
      </w:r>
      <w:r w:rsidR="009E217A" w:rsidRPr="00092CE9">
        <w:rPr>
          <w:rFonts w:ascii="Arial" w:hAnsi="Arial" w:cs="Arial"/>
          <w:b/>
          <w:bCs/>
          <w:sz w:val="22"/>
          <w:szCs w:val="22"/>
        </w:rPr>
        <w:t>-</w:t>
      </w:r>
      <w:r w:rsidRPr="00092CE9">
        <w:rPr>
          <w:rFonts w:ascii="Arial" w:hAnsi="Arial" w:cs="Arial"/>
          <w:b/>
          <w:bCs/>
          <w:sz w:val="22"/>
          <w:szCs w:val="22"/>
        </w:rPr>
        <w:t xml:space="preserve"> Colombia Compra Eficiente </w:t>
      </w:r>
      <w:r w:rsidR="009E217A" w:rsidRPr="00092CE9">
        <w:rPr>
          <w:rFonts w:ascii="Arial" w:hAnsi="Arial" w:cs="Arial"/>
          <w:b/>
          <w:bCs/>
          <w:sz w:val="22"/>
          <w:szCs w:val="22"/>
        </w:rPr>
        <w:t>- Acuerdo marco de precios</w:t>
      </w:r>
      <w:r w:rsidRPr="00092CE9">
        <w:rPr>
          <w:rFonts w:ascii="Arial" w:hAnsi="Arial" w:cs="Arial"/>
          <w:b/>
          <w:bCs/>
          <w:sz w:val="22"/>
          <w:szCs w:val="22"/>
        </w:rPr>
        <w:t xml:space="preserve"> </w:t>
      </w:r>
      <w:r w:rsidR="009E217A" w:rsidRPr="00092CE9">
        <w:rPr>
          <w:rFonts w:ascii="Arial" w:hAnsi="Arial" w:cs="Arial"/>
          <w:b/>
          <w:bCs/>
          <w:sz w:val="22"/>
          <w:szCs w:val="22"/>
        </w:rPr>
        <w:t xml:space="preserve">- </w:t>
      </w:r>
      <w:r w:rsidRPr="00092CE9">
        <w:rPr>
          <w:rFonts w:ascii="Arial" w:hAnsi="Arial" w:cs="Arial"/>
          <w:b/>
          <w:bCs/>
          <w:sz w:val="22"/>
          <w:szCs w:val="22"/>
        </w:rPr>
        <w:t>Nulidad</w:t>
      </w:r>
    </w:p>
    <w:p w14:paraId="6587A3CB" w14:textId="77777777" w:rsidR="00151C32" w:rsidRPr="00092CE9" w:rsidRDefault="00151C32" w:rsidP="00151C32">
      <w:pPr>
        <w:jc w:val="both"/>
        <w:rPr>
          <w:rFonts w:ascii="Arial" w:hAnsi="Arial" w:cs="Arial"/>
          <w:b/>
          <w:bCs/>
          <w:sz w:val="22"/>
          <w:szCs w:val="22"/>
        </w:rPr>
      </w:pPr>
    </w:p>
    <w:p w14:paraId="1FA38B93" w14:textId="77777777" w:rsidR="00151C32" w:rsidRPr="00092CE9" w:rsidRDefault="00151C32" w:rsidP="00151C32">
      <w:pPr>
        <w:jc w:val="both"/>
        <w:rPr>
          <w:rFonts w:ascii="Arial" w:hAnsi="Arial" w:cs="Arial"/>
          <w:sz w:val="22"/>
          <w:szCs w:val="22"/>
        </w:rPr>
      </w:pPr>
      <w:r w:rsidRPr="00092CE9">
        <w:rPr>
          <w:rFonts w:ascii="Arial" w:hAnsi="Arial" w:cs="Arial"/>
          <w:sz w:val="22"/>
          <w:szCs w:val="22"/>
        </w:rPr>
        <w:t>El 13 de marzo de 2017, la unión temporal CHC - Editorial Santillana S.A.S. y Santillana del Pacífico S.A., (…) interpusieron demanda en ejercicio del medio de control de nulidad y restablecimiento del derecho contra Colombia Compra Eficiente y la Nación – Ministerio de Educación Nacional, con el fin de que (…) se declare la NULIDAD de la Resolución 1110 de 2016, por medio de la cual la Agencia Nacional de Contratación Pública – Colombia Compra Eficiente, adjudicó de instrumento de agregación de demanda No. (…) Que como consecuencia de la anterior declaración se declare NULIDAD del contrato estatal No. CCE-439-AG-2016 suscrito el 10 de octubre de 2016.</w:t>
      </w:r>
    </w:p>
    <w:p w14:paraId="602E3E4C" w14:textId="77777777" w:rsidR="00151C32" w:rsidRPr="00092CE9" w:rsidRDefault="00151C32" w:rsidP="00151C32">
      <w:pPr>
        <w:jc w:val="both"/>
        <w:rPr>
          <w:rFonts w:ascii="Arial" w:hAnsi="Arial" w:cs="Arial"/>
          <w:sz w:val="22"/>
          <w:szCs w:val="22"/>
        </w:rPr>
      </w:pPr>
    </w:p>
    <w:p w14:paraId="6918D6C7" w14:textId="3F8F1651" w:rsidR="00151C32" w:rsidRPr="00092CE9" w:rsidRDefault="00151C32" w:rsidP="00151C32">
      <w:pPr>
        <w:jc w:val="both"/>
        <w:rPr>
          <w:rFonts w:ascii="Arial" w:hAnsi="Arial" w:cs="Arial"/>
          <w:b/>
          <w:bCs/>
          <w:sz w:val="22"/>
          <w:szCs w:val="22"/>
        </w:rPr>
      </w:pPr>
      <w:r w:rsidRPr="00092CE9">
        <w:rPr>
          <w:rFonts w:ascii="Arial" w:hAnsi="Arial" w:cs="Arial"/>
          <w:b/>
          <w:bCs/>
          <w:sz w:val="22"/>
          <w:szCs w:val="22"/>
        </w:rPr>
        <w:t>LLAMAMIENTO EN GARANT</w:t>
      </w:r>
      <w:r w:rsidR="009E217A" w:rsidRPr="00092CE9">
        <w:rPr>
          <w:rFonts w:ascii="Arial" w:hAnsi="Arial" w:cs="Arial"/>
          <w:b/>
          <w:bCs/>
          <w:sz w:val="22"/>
          <w:szCs w:val="22"/>
        </w:rPr>
        <w:t>Í</w:t>
      </w:r>
      <w:r w:rsidRPr="00092CE9">
        <w:rPr>
          <w:rFonts w:ascii="Arial" w:hAnsi="Arial" w:cs="Arial"/>
          <w:b/>
          <w:bCs/>
          <w:sz w:val="22"/>
          <w:szCs w:val="22"/>
        </w:rPr>
        <w:t xml:space="preserve">A </w:t>
      </w:r>
      <w:r w:rsidR="009E217A" w:rsidRPr="00092CE9">
        <w:rPr>
          <w:rFonts w:ascii="Arial" w:hAnsi="Arial" w:cs="Arial"/>
          <w:b/>
          <w:bCs/>
          <w:sz w:val="22"/>
          <w:szCs w:val="22"/>
        </w:rPr>
        <w:t>-</w:t>
      </w:r>
      <w:r w:rsidRPr="00092CE9">
        <w:rPr>
          <w:rFonts w:ascii="Arial" w:hAnsi="Arial" w:cs="Arial"/>
          <w:b/>
          <w:bCs/>
          <w:sz w:val="22"/>
          <w:szCs w:val="22"/>
        </w:rPr>
        <w:t xml:space="preserve"> Nueva regulación </w:t>
      </w:r>
      <w:r w:rsidR="009E217A" w:rsidRPr="00092CE9">
        <w:rPr>
          <w:rFonts w:ascii="Arial" w:hAnsi="Arial" w:cs="Arial"/>
          <w:b/>
          <w:bCs/>
          <w:sz w:val="22"/>
          <w:szCs w:val="22"/>
        </w:rPr>
        <w:t>-</w:t>
      </w:r>
      <w:r w:rsidRPr="00092CE9">
        <w:rPr>
          <w:rFonts w:ascii="Arial" w:hAnsi="Arial" w:cs="Arial"/>
          <w:b/>
          <w:bCs/>
          <w:sz w:val="22"/>
          <w:szCs w:val="22"/>
        </w:rPr>
        <w:t xml:space="preserve"> CPACA</w:t>
      </w:r>
    </w:p>
    <w:p w14:paraId="78F48314" w14:textId="77777777" w:rsidR="00151C32" w:rsidRPr="00092CE9" w:rsidRDefault="00151C32" w:rsidP="00151C32">
      <w:pPr>
        <w:jc w:val="both"/>
        <w:rPr>
          <w:rFonts w:ascii="Arial" w:hAnsi="Arial" w:cs="Arial"/>
          <w:b/>
          <w:bCs/>
          <w:sz w:val="22"/>
          <w:szCs w:val="22"/>
        </w:rPr>
      </w:pPr>
    </w:p>
    <w:p w14:paraId="5755A0F5" w14:textId="6DF753B1" w:rsidR="00151C32" w:rsidRDefault="00151C32" w:rsidP="00151C32">
      <w:pPr>
        <w:jc w:val="both"/>
        <w:rPr>
          <w:rFonts w:ascii="Arial" w:hAnsi="Arial" w:cs="Arial"/>
          <w:sz w:val="22"/>
          <w:szCs w:val="22"/>
        </w:rPr>
      </w:pPr>
      <w:r w:rsidRPr="00092CE9">
        <w:rPr>
          <w:rFonts w:ascii="Arial" w:hAnsi="Arial" w:cs="Arial"/>
          <w:sz w:val="22"/>
          <w:szCs w:val="22"/>
        </w:rPr>
        <w:t>El artículo 225 de la Ley 1437 de 2011 regula el llamamiento en garantía de los procesos ordinarios de conocimiento de esta Jurisdicción, para lo cual precisa que el demandado está facultado para solicitar la citación de un tercero que deba responder por la eventual condena que se decrete en su contra, con fundamento en una relación legal o contractual, que imponga para el llamante la liberación de los eventuales efectos adversos que pueda acarrearle el litigio. (…) el Despacho concluye que la solicitud de llamamiento en garantía no requiere la prueba del vínculo legal o contractual, sino que basta con la manifestación de que dicha relación existe, por manera que el anexo pertinente no será presupuesto para tramitarlo, pero sí para decidirlo de fondo, tal como lo ha sostenido esta Corporación en múltiples providencias. (…) para realizar el correspondiente llamamiento en garantía ya no se requiere la prueba del derecho legal o contractual con el fin de acreditar de que tal relación existe, pues aquello constituye un presupuesto para resolverlo de fondo, mas no para darle trámite, en razón a que, para tramitar dicha solicitud, únicamente basta con la afirmación de la existencia del referido vínculo. (…) Para dar trámite a la solicitud de llamamiento en garantía con el CPACA, simplemente basta que el llamante afirme tener un vínculo legal o contractual de exigir a un tercero la reparación integral del perjuicio que llegare sufrir, o el reembolso total o parcial del pago que tuviere que hacer como resultado de una sentencia condenatoria. En este caso, se observa que Colombia Compra Eficiente (demandada) llamó en garantía a quienes resultaron adjudicatarias del contrato del cual se pide su nulidad con la presente demanda. En sus escritos de llamamiento en garantía, tal como se desprende de los antecedentes de este proveído, la referida entidad afirmó la existencia de un vínculo legal y contractual en relación con las uniones temporales Ediciones SM IV y Ediciones SM V y la sociedad Difusora Larousse de Colombia Ltda. (llamadas), pues, a su juicio, en la fase de licitación y en el contrato que posteriormente suscribieron, estas últimas asumieron unas obligaciones en favor de Colombia Compra Eficiente (llamante); argumentos que fueron replicados en los respectivos recursos de apelación. (…) como no era necesaria la prueba del vínculo legal o contractual entre el llamante y las llamadas para dar trámite a las solicitudes de llamamiento en garantía presentadas por Colombia Compra Eficiente, no resultaba posible negarlas con base en que no se evidenciaba la referida relación, en razón a que con el CPACA únicamente se exige la afirmación del llamante en el sentido de que tiene una relación legal o contractual.</w:t>
      </w:r>
    </w:p>
    <w:p w14:paraId="44529C7F" w14:textId="77777777" w:rsidR="00092CE9" w:rsidRPr="00092CE9" w:rsidRDefault="00092CE9" w:rsidP="00151C32">
      <w:pPr>
        <w:jc w:val="both"/>
        <w:rPr>
          <w:rFonts w:ascii="Arial" w:hAnsi="Arial" w:cs="Arial"/>
          <w:sz w:val="22"/>
          <w:szCs w:val="22"/>
        </w:rPr>
      </w:pPr>
    </w:p>
    <w:p w14:paraId="0B0CB93D" w14:textId="77777777" w:rsidR="00C74648" w:rsidRPr="00C74648" w:rsidRDefault="00C74648" w:rsidP="00C74648">
      <w:pPr>
        <w:tabs>
          <w:tab w:val="left" w:pos="495"/>
          <w:tab w:val="left" w:pos="810"/>
          <w:tab w:val="left" w:pos="930"/>
          <w:tab w:val="left" w:pos="2085"/>
        </w:tabs>
        <w:jc w:val="both"/>
        <w:rPr>
          <w:rFonts w:ascii="Arial" w:hAnsi="Arial" w:cs="Arial"/>
          <w:b/>
        </w:rPr>
      </w:pPr>
    </w:p>
    <w:p w14:paraId="022B11A9" w14:textId="77777777" w:rsidR="003C1A94" w:rsidRPr="00123423" w:rsidRDefault="0062090C" w:rsidP="004375F3">
      <w:pPr>
        <w:tabs>
          <w:tab w:val="left" w:pos="810"/>
          <w:tab w:val="left" w:pos="2085"/>
          <w:tab w:val="center" w:pos="4420"/>
          <w:tab w:val="left" w:pos="6570"/>
        </w:tabs>
        <w:jc w:val="center"/>
        <w:rPr>
          <w:rFonts w:ascii="Arial" w:hAnsi="Arial" w:cs="Arial"/>
          <w:b/>
        </w:rPr>
      </w:pPr>
      <w:r w:rsidRPr="00123423">
        <w:rPr>
          <w:rFonts w:ascii="Arial" w:hAnsi="Arial" w:cs="Arial"/>
          <w:b/>
        </w:rPr>
        <w:t>C</w:t>
      </w:r>
      <w:r w:rsidR="003C1A94" w:rsidRPr="00123423">
        <w:rPr>
          <w:rFonts w:ascii="Arial" w:hAnsi="Arial" w:cs="Arial"/>
          <w:b/>
        </w:rPr>
        <w:t>ONSEJO DE ESTADO</w:t>
      </w:r>
    </w:p>
    <w:p w14:paraId="49513239" w14:textId="77777777" w:rsidR="00CB7F3C" w:rsidRPr="00123423" w:rsidRDefault="00CB7F3C" w:rsidP="004375F3">
      <w:pPr>
        <w:jc w:val="center"/>
        <w:rPr>
          <w:rFonts w:ascii="Arial" w:hAnsi="Arial" w:cs="Arial"/>
          <w:b/>
        </w:rPr>
      </w:pPr>
    </w:p>
    <w:p w14:paraId="4B008688" w14:textId="77777777" w:rsidR="003C1A94" w:rsidRPr="00123423" w:rsidRDefault="003C1A94" w:rsidP="004375F3">
      <w:pPr>
        <w:jc w:val="center"/>
        <w:rPr>
          <w:rFonts w:ascii="Arial" w:hAnsi="Arial" w:cs="Arial"/>
          <w:b/>
        </w:rPr>
      </w:pPr>
      <w:r w:rsidRPr="00123423">
        <w:rPr>
          <w:rFonts w:ascii="Arial" w:hAnsi="Arial" w:cs="Arial"/>
          <w:b/>
        </w:rPr>
        <w:t>SALA DE LO CONTENCIOSO ADMINISTRATIVO</w:t>
      </w:r>
    </w:p>
    <w:p w14:paraId="6E35E75F" w14:textId="77777777" w:rsidR="00CB7F3C" w:rsidRPr="00123423" w:rsidRDefault="00CB7F3C" w:rsidP="004375F3">
      <w:pPr>
        <w:jc w:val="center"/>
        <w:rPr>
          <w:rFonts w:ascii="Arial" w:hAnsi="Arial" w:cs="Arial"/>
          <w:b/>
        </w:rPr>
      </w:pPr>
    </w:p>
    <w:p w14:paraId="24FA0ACB" w14:textId="77777777" w:rsidR="00CB7F3C" w:rsidRPr="00123423" w:rsidRDefault="000655F0" w:rsidP="004375F3">
      <w:pPr>
        <w:jc w:val="center"/>
        <w:rPr>
          <w:rFonts w:ascii="Arial" w:hAnsi="Arial" w:cs="Arial"/>
          <w:b/>
        </w:rPr>
      </w:pPr>
      <w:r w:rsidRPr="00123423">
        <w:rPr>
          <w:rFonts w:ascii="Arial" w:hAnsi="Arial" w:cs="Arial"/>
          <w:b/>
        </w:rPr>
        <w:t>SECCIÓ</w:t>
      </w:r>
      <w:r w:rsidR="003C1A94" w:rsidRPr="00123423">
        <w:rPr>
          <w:rFonts w:ascii="Arial" w:hAnsi="Arial" w:cs="Arial"/>
          <w:b/>
        </w:rPr>
        <w:t>N TERCERA</w:t>
      </w:r>
    </w:p>
    <w:p w14:paraId="277CDB26" w14:textId="77777777" w:rsidR="00CB7F3C" w:rsidRPr="00123423" w:rsidRDefault="00CB7F3C" w:rsidP="004375F3">
      <w:pPr>
        <w:jc w:val="center"/>
        <w:rPr>
          <w:rFonts w:ascii="Arial" w:hAnsi="Arial" w:cs="Arial"/>
          <w:b/>
        </w:rPr>
      </w:pPr>
    </w:p>
    <w:p w14:paraId="7BF00CA1" w14:textId="77777777" w:rsidR="00F526A5" w:rsidRPr="00123423" w:rsidRDefault="000655F0" w:rsidP="00FE64AB">
      <w:pPr>
        <w:tabs>
          <w:tab w:val="center" w:pos="4420"/>
          <w:tab w:val="left" w:pos="6060"/>
        </w:tabs>
        <w:jc w:val="center"/>
        <w:rPr>
          <w:rFonts w:ascii="Arial" w:hAnsi="Arial" w:cs="Arial"/>
          <w:b/>
        </w:rPr>
      </w:pPr>
      <w:r w:rsidRPr="00123423">
        <w:rPr>
          <w:rFonts w:ascii="Arial" w:hAnsi="Arial" w:cs="Arial"/>
          <w:b/>
        </w:rPr>
        <w:t>SUBSECCIÓ</w:t>
      </w:r>
      <w:r w:rsidR="003C1A94" w:rsidRPr="00123423">
        <w:rPr>
          <w:rFonts w:ascii="Arial" w:hAnsi="Arial" w:cs="Arial"/>
          <w:b/>
        </w:rPr>
        <w:t>N A</w:t>
      </w:r>
    </w:p>
    <w:p w14:paraId="432175CC" w14:textId="77777777" w:rsidR="004B2766" w:rsidRPr="00123423" w:rsidRDefault="004B2766" w:rsidP="004375F3">
      <w:pPr>
        <w:jc w:val="center"/>
        <w:rPr>
          <w:rFonts w:ascii="Arial" w:hAnsi="Arial" w:cs="Arial"/>
          <w:b/>
        </w:rPr>
      </w:pPr>
    </w:p>
    <w:p w14:paraId="75B0EFF1" w14:textId="77777777" w:rsidR="00F526A5" w:rsidRPr="00123423" w:rsidRDefault="00842AC5" w:rsidP="004375F3">
      <w:pPr>
        <w:ind w:right="51"/>
        <w:jc w:val="center"/>
        <w:rPr>
          <w:rFonts w:ascii="Arial" w:hAnsi="Arial" w:cs="Arial"/>
          <w:b/>
        </w:rPr>
      </w:pPr>
      <w:r w:rsidRPr="00123423">
        <w:rPr>
          <w:rFonts w:ascii="Arial" w:hAnsi="Arial" w:cs="Arial"/>
          <w:b/>
        </w:rPr>
        <w:t>Consejera</w:t>
      </w:r>
      <w:r w:rsidR="000655F0" w:rsidRPr="00123423">
        <w:rPr>
          <w:rFonts w:ascii="Arial" w:hAnsi="Arial" w:cs="Arial"/>
          <w:b/>
        </w:rPr>
        <w:t xml:space="preserve"> ponente: MARTA NUBIA VELÁ</w:t>
      </w:r>
      <w:r w:rsidR="00CB7F3C" w:rsidRPr="00123423">
        <w:rPr>
          <w:rFonts w:ascii="Arial" w:hAnsi="Arial" w:cs="Arial"/>
          <w:b/>
        </w:rPr>
        <w:t>SQUEZ RICO</w:t>
      </w:r>
    </w:p>
    <w:p w14:paraId="1FF1F2C7" w14:textId="77777777" w:rsidR="00CB7F3C" w:rsidRPr="00123423" w:rsidRDefault="00CB7F3C" w:rsidP="004375F3">
      <w:pPr>
        <w:ind w:right="51"/>
        <w:jc w:val="center"/>
        <w:rPr>
          <w:rFonts w:ascii="Arial" w:hAnsi="Arial" w:cs="Arial"/>
          <w:b/>
        </w:rPr>
      </w:pPr>
    </w:p>
    <w:p w14:paraId="1FFB8A72" w14:textId="77777777" w:rsidR="00EE1AAA" w:rsidRPr="00123423" w:rsidRDefault="006220A5" w:rsidP="004375F3">
      <w:pPr>
        <w:jc w:val="both"/>
        <w:rPr>
          <w:rFonts w:ascii="Arial" w:hAnsi="Arial" w:cs="Arial"/>
          <w:lang w:val="es-CO"/>
        </w:rPr>
      </w:pPr>
      <w:r w:rsidRPr="00123423">
        <w:rPr>
          <w:rFonts w:ascii="Arial" w:hAnsi="Arial" w:cs="Arial"/>
          <w:lang w:val="es-CO"/>
        </w:rPr>
        <w:t>Bogotá</w:t>
      </w:r>
      <w:r w:rsidR="00E64036" w:rsidRPr="00123423">
        <w:rPr>
          <w:rFonts w:ascii="Arial" w:hAnsi="Arial" w:cs="Arial"/>
          <w:lang w:val="es-CO"/>
        </w:rPr>
        <w:t>,</w:t>
      </w:r>
      <w:r w:rsidRPr="00123423">
        <w:rPr>
          <w:rFonts w:ascii="Arial" w:hAnsi="Arial" w:cs="Arial"/>
          <w:lang w:val="es-CO"/>
        </w:rPr>
        <w:t xml:space="preserve"> D.C., </w:t>
      </w:r>
      <w:r w:rsidR="00EB6F36" w:rsidRPr="00123423">
        <w:rPr>
          <w:rFonts w:ascii="Arial" w:hAnsi="Arial" w:cs="Arial"/>
          <w:lang w:val="es-CO"/>
        </w:rPr>
        <w:t>cuatro (4</w:t>
      </w:r>
      <w:r w:rsidR="00215287" w:rsidRPr="00123423">
        <w:rPr>
          <w:rFonts w:ascii="Arial" w:hAnsi="Arial" w:cs="Arial"/>
          <w:lang w:val="es-CO"/>
        </w:rPr>
        <w:t xml:space="preserve">) de </w:t>
      </w:r>
      <w:r w:rsidR="00EB6F36" w:rsidRPr="00123423">
        <w:rPr>
          <w:rFonts w:ascii="Arial" w:hAnsi="Arial" w:cs="Arial"/>
          <w:lang w:val="es-CO"/>
        </w:rPr>
        <w:t>febrero</w:t>
      </w:r>
      <w:r w:rsidR="00A03032" w:rsidRPr="00123423">
        <w:rPr>
          <w:rFonts w:ascii="Arial" w:hAnsi="Arial" w:cs="Arial"/>
          <w:lang w:val="es-CO"/>
        </w:rPr>
        <w:t xml:space="preserve"> de dos mi</w:t>
      </w:r>
      <w:r w:rsidR="002A0547" w:rsidRPr="00123423">
        <w:rPr>
          <w:rFonts w:ascii="Arial" w:hAnsi="Arial" w:cs="Arial"/>
          <w:lang w:val="es-CO"/>
        </w:rPr>
        <w:t>l</w:t>
      </w:r>
      <w:r w:rsidR="00A03032" w:rsidRPr="00123423">
        <w:rPr>
          <w:rFonts w:ascii="Arial" w:hAnsi="Arial" w:cs="Arial"/>
          <w:lang w:val="es-CO"/>
        </w:rPr>
        <w:t xml:space="preserve"> diecinueve (2019</w:t>
      </w:r>
      <w:r w:rsidR="00215287" w:rsidRPr="00123423">
        <w:rPr>
          <w:rFonts w:ascii="Arial" w:hAnsi="Arial" w:cs="Arial"/>
          <w:lang w:val="es-CO"/>
        </w:rPr>
        <w:t>)</w:t>
      </w:r>
    </w:p>
    <w:p w14:paraId="0FFAFC34" w14:textId="77777777" w:rsidR="00CB7F3C" w:rsidRPr="00123423" w:rsidRDefault="00CB7F3C" w:rsidP="004375F3">
      <w:pPr>
        <w:jc w:val="both"/>
        <w:rPr>
          <w:rFonts w:ascii="Arial" w:hAnsi="Arial" w:cs="Arial"/>
          <w:lang w:val="es-CO"/>
        </w:rPr>
      </w:pPr>
    </w:p>
    <w:p w14:paraId="2AAA00A1" w14:textId="77777777" w:rsidR="00B60B29" w:rsidRPr="00123423" w:rsidRDefault="00B60B29" w:rsidP="004375F3">
      <w:pPr>
        <w:jc w:val="both"/>
        <w:rPr>
          <w:rFonts w:ascii="Arial" w:hAnsi="Arial" w:cs="Arial"/>
          <w:b/>
        </w:rPr>
      </w:pPr>
      <w:r w:rsidRPr="00123423">
        <w:rPr>
          <w:rFonts w:ascii="Arial" w:hAnsi="Arial" w:cs="Arial"/>
          <w:b/>
        </w:rPr>
        <w:lastRenderedPageBreak/>
        <w:t>Radicación</w:t>
      </w:r>
      <w:r w:rsidR="00CB7F3C" w:rsidRPr="00123423">
        <w:rPr>
          <w:rFonts w:ascii="Arial" w:hAnsi="Arial" w:cs="Arial"/>
          <w:b/>
        </w:rPr>
        <w:t xml:space="preserve"> número</w:t>
      </w:r>
      <w:r w:rsidR="00CE3B84" w:rsidRPr="00123423">
        <w:rPr>
          <w:rFonts w:ascii="Arial" w:hAnsi="Arial" w:cs="Arial"/>
          <w:b/>
        </w:rPr>
        <w:t xml:space="preserve">: </w:t>
      </w:r>
      <w:r w:rsidR="002A0547" w:rsidRPr="00123423">
        <w:rPr>
          <w:rFonts w:ascii="Arial" w:hAnsi="Arial" w:cs="Arial"/>
          <w:b/>
        </w:rPr>
        <w:t>25000</w:t>
      </w:r>
      <w:r w:rsidR="00CB7F3C" w:rsidRPr="00123423">
        <w:rPr>
          <w:rFonts w:ascii="Arial" w:hAnsi="Arial" w:cs="Arial"/>
          <w:b/>
        </w:rPr>
        <w:t>-</w:t>
      </w:r>
      <w:r w:rsidR="00B0418F" w:rsidRPr="00123423">
        <w:rPr>
          <w:rFonts w:ascii="Arial" w:hAnsi="Arial" w:cs="Arial"/>
          <w:b/>
        </w:rPr>
        <w:t>23</w:t>
      </w:r>
      <w:r w:rsidR="00CB7F3C" w:rsidRPr="00123423">
        <w:rPr>
          <w:rFonts w:ascii="Arial" w:hAnsi="Arial" w:cs="Arial"/>
          <w:b/>
        </w:rPr>
        <w:t>-</w:t>
      </w:r>
      <w:r w:rsidR="002A0547" w:rsidRPr="00123423">
        <w:rPr>
          <w:rFonts w:ascii="Arial" w:hAnsi="Arial" w:cs="Arial"/>
          <w:b/>
        </w:rPr>
        <w:t>36</w:t>
      </w:r>
      <w:r w:rsidR="00CB7F3C" w:rsidRPr="00123423">
        <w:rPr>
          <w:rFonts w:ascii="Arial" w:hAnsi="Arial" w:cs="Arial"/>
          <w:b/>
        </w:rPr>
        <w:t>-</w:t>
      </w:r>
      <w:r w:rsidR="00B0418F" w:rsidRPr="00123423">
        <w:rPr>
          <w:rFonts w:ascii="Arial" w:hAnsi="Arial" w:cs="Arial"/>
          <w:b/>
        </w:rPr>
        <w:t>000</w:t>
      </w:r>
      <w:r w:rsidR="00CB7F3C" w:rsidRPr="00123423">
        <w:rPr>
          <w:rFonts w:ascii="Arial" w:hAnsi="Arial" w:cs="Arial"/>
          <w:b/>
        </w:rPr>
        <w:t>-</w:t>
      </w:r>
      <w:r w:rsidR="002A0547" w:rsidRPr="00123423">
        <w:rPr>
          <w:rFonts w:ascii="Arial" w:hAnsi="Arial" w:cs="Arial"/>
          <w:b/>
        </w:rPr>
        <w:t>2017</w:t>
      </w:r>
      <w:r w:rsidR="00CB7F3C" w:rsidRPr="00123423">
        <w:rPr>
          <w:rFonts w:ascii="Arial" w:hAnsi="Arial" w:cs="Arial"/>
          <w:b/>
        </w:rPr>
        <w:t>-</w:t>
      </w:r>
      <w:r w:rsidR="00AE685D" w:rsidRPr="00123423">
        <w:rPr>
          <w:rFonts w:ascii="Arial" w:hAnsi="Arial" w:cs="Arial"/>
          <w:b/>
        </w:rPr>
        <w:t>0</w:t>
      </w:r>
      <w:r w:rsidR="002A0547" w:rsidRPr="00123423">
        <w:rPr>
          <w:rFonts w:ascii="Arial" w:hAnsi="Arial" w:cs="Arial"/>
          <w:b/>
        </w:rPr>
        <w:t>0417</w:t>
      </w:r>
      <w:r w:rsidR="00CB7F3C" w:rsidRPr="00123423">
        <w:rPr>
          <w:rFonts w:ascii="Arial" w:hAnsi="Arial" w:cs="Arial"/>
          <w:b/>
        </w:rPr>
        <w:t>-0</w:t>
      </w:r>
      <w:r w:rsidR="002A0547" w:rsidRPr="00123423">
        <w:rPr>
          <w:rFonts w:ascii="Arial" w:hAnsi="Arial" w:cs="Arial"/>
          <w:b/>
        </w:rPr>
        <w:t>1(60754</w:t>
      </w:r>
      <w:r w:rsidR="00CB7F3C" w:rsidRPr="00123423">
        <w:rPr>
          <w:rFonts w:ascii="Arial" w:hAnsi="Arial" w:cs="Arial"/>
          <w:b/>
        </w:rPr>
        <w:t>)</w:t>
      </w:r>
    </w:p>
    <w:p w14:paraId="56E6DAA2" w14:textId="77777777" w:rsidR="00CB7F3C" w:rsidRPr="00123423" w:rsidRDefault="00CB7F3C" w:rsidP="004375F3">
      <w:pPr>
        <w:jc w:val="both"/>
        <w:rPr>
          <w:rFonts w:ascii="Arial" w:hAnsi="Arial" w:cs="Arial"/>
          <w:b/>
        </w:rPr>
      </w:pPr>
    </w:p>
    <w:p w14:paraId="715E50E4" w14:textId="77777777" w:rsidR="00B60B29" w:rsidRPr="00123423" w:rsidRDefault="00B60B29" w:rsidP="004375F3">
      <w:pPr>
        <w:ind w:left="1416" w:hanging="1416"/>
        <w:jc w:val="both"/>
        <w:rPr>
          <w:rFonts w:ascii="Arial" w:hAnsi="Arial" w:cs="Arial"/>
          <w:b/>
        </w:rPr>
      </w:pPr>
      <w:r w:rsidRPr="00123423">
        <w:rPr>
          <w:rFonts w:ascii="Arial" w:hAnsi="Arial" w:cs="Arial"/>
          <w:b/>
        </w:rPr>
        <w:t>Actor</w:t>
      </w:r>
      <w:r w:rsidR="00CE3B84" w:rsidRPr="00123423">
        <w:rPr>
          <w:rFonts w:ascii="Arial" w:hAnsi="Arial" w:cs="Arial"/>
          <w:b/>
        </w:rPr>
        <w:t xml:space="preserve">: </w:t>
      </w:r>
      <w:r w:rsidR="002A0547" w:rsidRPr="00123423">
        <w:rPr>
          <w:rFonts w:ascii="Arial" w:hAnsi="Arial" w:cs="Arial"/>
          <w:b/>
        </w:rPr>
        <w:t>UNIÓN TEMPORAL CHC – EDITORIAL SANTILLANA S.A.S. Y OTRO</w:t>
      </w:r>
    </w:p>
    <w:p w14:paraId="4A522513" w14:textId="77777777" w:rsidR="00CB7F3C" w:rsidRPr="00123423" w:rsidRDefault="00CB7F3C" w:rsidP="004375F3">
      <w:pPr>
        <w:ind w:left="1416" w:hanging="1416"/>
        <w:jc w:val="both"/>
        <w:rPr>
          <w:rFonts w:ascii="Arial" w:hAnsi="Arial" w:cs="Arial"/>
          <w:b/>
        </w:rPr>
      </w:pPr>
    </w:p>
    <w:p w14:paraId="4C65399F" w14:textId="77777777" w:rsidR="00CB7F3C" w:rsidRPr="00123423" w:rsidRDefault="00B60B29" w:rsidP="004375F3">
      <w:pPr>
        <w:ind w:left="2124" w:hanging="2124"/>
        <w:jc w:val="both"/>
        <w:rPr>
          <w:rFonts w:ascii="Arial" w:hAnsi="Arial" w:cs="Arial"/>
          <w:b/>
        </w:rPr>
      </w:pPr>
      <w:r w:rsidRPr="00123423">
        <w:rPr>
          <w:rFonts w:ascii="Arial" w:hAnsi="Arial" w:cs="Arial"/>
          <w:b/>
        </w:rPr>
        <w:t>Demandado</w:t>
      </w:r>
      <w:r w:rsidR="00CE3B84" w:rsidRPr="00123423">
        <w:rPr>
          <w:rFonts w:ascii="Arial" w:hAnsi="Arial" w:cs="Arial"/>
          <w:b/>
        </w:rPr>
        <w:t xml:space="preserve">: </w:t>
      </w:r>
      <w:r w:rsidR="004319CB" w:rsidRPr="00123423">
        <w:rPr>
          <w:rFonts w:ascii="Arial" w:hAnsi="Arial" w:cs="Arial"/>
          <w:b/>
        </w:rPr>
        <w:t>COLOMBIA COMPRA EFICIENTE Y OTRO</w:t>
      </w:r>
    </w:p>
    <w:p w14:paraId="62605BEE" w14:textId="77777777" w:rsidR="00CE3B84" w:rsidRDefault="00CE3B84" w:rsidP="004375F3">
      <w:pPr>
        <w:ind w:left="2124" w:hanging="2124"/>
        <w:jc w:val="both"/>
        <w:rPr>
          <w:rFonts w:ascii="Arial" w:hAnsi="Arial" w:cs="Arial"/>
          <w:b/>
        </w:rPr>
      </w:pPr>
    </w:p>
    <w:p w14:paraId="25B3AB21" w14:textId="77777777" w:rsidR="00BB5E52" w:rsidRDefault="00BB5E52" w:rsidP="004375F3">
      <w:pPr>
        <w:ind w:left="2124" w:hanging="2124"/>
        <w:jc w:val="both"/>
        <w:rPr>
          <w:rFonts w:ascii="Arial" w:hAnsi="Arial" w:cs="Arial"/>
          <w:b/>
        </w:rPr>
      </w:pPr>
    </w:p>
    <w:p w14:paraId="78B8D984" w14:textId="77777777" w:rsidR="000C4B12" w:rsidRPr="00123423" w:rsidRDefault="00CE3B84" w:rsidP="004375F3">
      <w:pPr>
        <w:jc w:val="both"/>
        <w:rPr>
          <w:rFonts w:ascii="Arial" w:hAnsi="Arial" w:cs="Arial"/>
          <w:b/>
          <w:bCs/>
        </w:rPr>
      </w:pPr>
      <w:r w:rsidRPr="00123423">
        <w:rPr>
          <w:rFonts w:ascii="Arial" w:hAnsi="Arial" w:cs="Arial"/>
          <w:b/>
        </w:rPr>
        <w:t xml:space="preserve">Referencia: </w:t>
      </w:r>
      <w:r w:rsidR="00BB5E52">
        <w:rPr>
          <w:rFonts w:ascii="Arial" w:hAnsi="Arial" w:cs="Arial"/>
          <w:b/>
        </w:rPr>
        <w:t xml:space="preserve">LLAMAMIENTO EN GARANTÍA - </w:t>
      </w:r>
      <w:r w:rsidR="00DF5C3B" w:rsidRPr="00123423">
        <w:rPr>
          <w:rFonts w:ascii="Arial" w:hAnsi="Arial" w:cs="Arial"/>
          <w:b/>
          <w:bCs/>
        </w:rPr>
        <w:t xml:space="preserve">MEDIO DE CONTROL </w:t>
      </w:r>
      <w:r w:rsidR="00827AE6" w:rsidRPr="00123423">
        <w:rPr>
          <w:rFonts w:ascii="Arial" w:hAnsi="Arial" w:cs="Arial"/>
          <w:b/>
          <w:bCs/>
        </w:rPr>
        <w:t>DE CONTROVERSIAS CONTRACTUALES</w:t>
      </w:r>
      <w:r w:rsidR="00DF5C3B" w:rsidRPr="00123423">
        <w:rPr>
          <w:rFonts w:ascii="Arial" w:hAnsi="Arial" w:cs="Arial"/>
          <w:b/>
          <w:bCs/>
        </w:rPr>
        <w:t xml:space="preserve"> (Ley 1437 de 2011)</w:t>
      </w:r>
    </w:p>
    <w:p w14:paraId="667D968F" w14:textId="77777777" w:rsidR="003D7AE2" w:rsidRDefault="003D7AE2" w:rsidP="00B60B29">
      <w:pPr>
        <w:jc w:val="both"/>
        <w:rPr>
          <w:rFonts w:ascii="Arial" w:hAnsi="Arial" w:cs="Arial"/>
          <w:b/>
          <w:bCs/>
        </w:rPr>
      </w:pPr>
    </w:p>
    <w:p w14:paraId="7B05E4A8" w14:textId="77777777" w:rsidR="00DF5C3B" w:rsidRPr="00123423" w:rsidRDefault="00124515" w:rsidP="003D7AE2">
      <w:pPr>
        <w:jc w:val="both"/>
        <w:rPr>
          <w:rFonts w:ascii="Arial" w:hAnsi="Arial" w:cs="Arial"/>
        </w:rPr>
      </w:pPr>
      <w:r w:rsidRPr="00123423">
        <w:rPr>
          <w:rFonts w:ascii="Arial" w:hAnsi="Arial" w:cs="Arial"/>
        </w:rPr>
        <w:t>Tema</w:t>
      </w:r>
      <w:r w:rsidR="00CB24F6" w:rsidRPr="00123423">
        <w:rPr>
          <w:rFonts w:ascii="Arial" w:hAnsi="Arial" w:cs="Arial"/>
        </w:rPr>
        <w:t xml:space="preserve">s: </w:t>
      </w:r>
      <w:r w:rsidR="003D7AE2" w:rsidRPr="00123423">
        <w:rPr>
          <w:rFonts w:ascii="Arial" w:hAnsi="Arial" w:cs="Arial"/>
        </w:rPr>
        <w:t>LLAMAMIENTO EN GARANTÍA</w:t>
      </w:r>
      <w:r w:rsidR="006A2799" w:rsidRPr="00123423">
        <w:rPr>
          <w:rFonts w:ascii="Arial" w:hAnsi="Arial" w:cs="Arial"/>
        </w:rPr>
        <w:t xml:space="preserve"> </w:t>
      </w:r>
      <w:r w:rsidR="003D7AE2" w:rsidRPr="00123423">
        <w:rPr>
          <w:rFonts w:ascii="Arial" w:hAnsi="Arial" w:cs="Arial"/>
        </w:rPr>
        <w:t>/ con el CPACA la solicitud de llamamiento en garantía no requiere la prueba del vínculo legal o contractual, pues simplemente basta la afirmación de que tal relación existe</w:t>
      </w:r>
      <w:r w:rsidR="00906F6D" w:rsidRPr="00123423">
        <w:rPr>
          <w:rFonts w:ascii="Arial" w:hAnsi="Arial" w:cs="Arial"/>
        </w:rPr>
        <w:t xml:space="preserve"> – diferencias entre la regulación del CPACA con la contemplada en el CCA en cuanto a la figura procesal del llamamiento en garantía.</w:t>
      </w:r>
    </w:p>
    <w:p w14:paraId="2C21F2C6" w14:textId="77777777" w:rsidR="003D7AE2" w:rsidRPr="00123423" w:rsidRDefault="003D7AE2" w:rsidP="003D7AE2">
      <w:pPr>
        <w:jc w:val="both"/>
        <w:rPr>
          <w:rFonts w:ascii="Arial" w:hAnsi="Arial" w:cs="Arial"/>
        </w:rPr>
      </w:pPr>
    </w:p>
    <w:p w14:paraId="2D6B6594" w14:textId="77777777" w:rsidR="002E6101" w:rsidRPr="00123423" w:rsidRDefault="00084778" w:rsidP="00144E85">
      <w:pPr>
        <w:spacing w:line="360" w:lineRule="auto"/>
        <w:jc w:val="both"/>
        <w:rPr>
          <w:rFonts w:ascii="Arial" w:hAnsi="Arial" w:cs="Arial"/>
        </w:rPr>
      </w:pPr>
      <w:r w:rsidRPr="00123423">
        <w:rPr>
          <w:rFonts w:ascii="Arial" w:hAnsi="Arial" w:cs="Arial"/>
          <w:lang w:val="es-CO"/>
        </w:rPr>
        <w:t xml:space="preserve">El Despacho procede a resolver </w:t>
      </w:r>
      <w:r w:rsidRPr="00123423">
        <w:rPr>
          <w:rFonts w:ascii="Arial" w:hAnsi="Arial" w:cs="Arial"/>
        </w:rPr>
        <w:t>los</w:t>
      </w:r>
      <w:r w:rsidR="006D2837" w:rsidRPr="00123423">
        <w:rPr>
          <w:rFonts w:ascii="Arial" w:hAnsi="Arial" w:cs="Arial"/>
        </w:rPr>
        <w:t xml:space="preserve"> recurso</w:t>
      </w:r>
      <w:r w:rsidRPr="00123423">
        <w:rPr>
          <w:rFonts w:ascii="Arial" w:hAnsi="Arial" w:cs="Arial"/>
        </w:rPr>
        <w:t>s</w:t>
      </w:r>
      <w:r w:rsidR="006D2837" w:rsidRPr="00123423">
        <w:rPr>
          <w:rFonts w:ascii="Arial" w:hAnsi="Arial" w:cs="Arial"/>
        </w:rPr>
        <w:t xml:space="preserve"> de apelación interpuesto</w:t>
      </w:r>
      <w:r w:rsidRPr="00123423">
        <w:rPr>
          <w:rFonts w:ascii="Arial" w:hAnsi="Arial" w:cs="Arial"/>
        </w:rPr>
        <w:t>s</w:t>
      </w:r>
      <w:r w:rsidR="002E6101" w:rsidRPr="00123423">
        <w:rPr>
          <w:rFonts w:ascii="Arial" w:hAnsi="Arial" w:cs="Arial"/>
        </w:rPr>
        <w:t xml:space="preserve"> por Colombia Compra Eficiente</w:t>
      </w:r>
      <w:r w:rsidR="006D2837" w:rsidRPr="00123423">
        <w:rPr>
          <w:rFonts w:ascii="Arial" w:hAnsi="Arial" w:cs="Arial"/>
        </w:rPr>
        <w:t xml:space="preserve"> </w:t>
      </w:r>
      <w:r w:rsidR="002E6101" w:rsidRPr="00123423">
        <w:rPr>
          <w:rFonts w:ascii="Arial" w:hAnsi="Arial" w:cs="Arial"/>
        </w:rPr>
        <w:t xml:space="preserve">en contra de tres autos proferidos el 13 de octubre de 2017 por el Tribunal Administrativo de Cundinamarca, a través de los cuales negó los llamamientos en garantía solicitados por dicha entidad. </w:t>
      </w:r>
    </w:p>
    <w:p w14:paraId="0C24BBD4" w14:textId="77777777" w:rsidR="00604187" w:rsidRPr="00123423" w:rsidRDefault="00604187" w:rsidP="00144E85">
      <w:pPr>
        <w:spacing w:line="360" w:lineRule="auto"/>
        <w:jc w:val="both"/>
        <w:rPr>
          <w:rFonts w:ascii="Arial" w:hAnsi="Arial" w:cs="Arial"/>
        </w:rPr>
      </w:pPr>
    </w:p>
    <w:p w14:paraId="78467E6B" w14:textId="77777777" w:rsidR="003E22EA" w:rsidRPr="00123423" w:rsidRDefault="00144E85" w:rsidP="0024360D">
      <w:pPr>
        <w:spacing w:line="360" w:lineRule="auto"/>
        <w:jc w:val="center"/>
        <w:rPr>
          <w:rFonts w:ascii="Arial" w:hAnsi="Arial" w:cs="Arial"/>
          <w:b/>
        </w:rPr>
      </w:pPr>
      <w:r w:rsidRPr="00123423">
        <w:rPr>
          <w:rFonts w:ascii="Arial" w:hAnsi="Arial" w:cs="Arial"/>
          <w:b/>
        </w:rPr>
        <w:t>I. ANTECEDENTES</w:t>
      </w:r>
    </w:p>
    <w:p w14:paraId="436CB6DF" w14:textId="77777777" w:rsidR="0024360D" w:rsidRPr="00123423" w:rsidRDefault="0024360D" w:rsidP="0024360D">
      <w:pPr>
        <w:spacing w:line="360" w:lineRule="auto"/>
        <w:jc w:val="center"/>
        <w:rPr>
          <w:rFonts w:ascii="Arial" w:hAnsi="Arial" w:cs="Arial"/>
          <w:b/>
        </w:rPr>
      </w:pPr>
    </w:p>
    <w:p w14:paraId="3CB06759" w14:textId="77777777" w:rsidR="00144E85" w:rsidRPr="00123423" w:rsidRDefault="00144E85" w:rsidP="00144E85">
      <w:pPr>
        <w:spacing w:line="360" w:lineRule="auto"/>
        <w:jc w:val="both"/>
        <w:rPr>
          <w:rFonts w:ascii="Arial" w:hAnsi="Arial" w:cs="Arial"/>
          <w:b/>
        </w:rPr>
      </w:pPr>
      <w:r w:rsidRPr="00123423">
        <w:rPr>
          <w:rFonts w:ascii="Arial" w:hAnsi="Arial" w:cs="Arial"/>
          <w:b/>
        </w:rPr>
        <w:t>1. La demanda</w:t>
      </w:r>
      <w:r w:rsidR="003A3CBB" w:rsidRPr="00123423">
        <w:rPr>
          <w:rFonts w:ascii="Arial" w:hAnsi="Arial" w:cs="Arial"/>
          <w:b/>
        </w:rPr>
        <w:t xml:space="preserve"> </w:t>
      </w:r>
      <w:r w:rsidR="002E6101" w:rsidRPr="00123423">
        <w:rPr>
          <w:rFonts w:ascii="Arial" w:hAnsi="Arial" w:cs="Arial"/>
          <w:b/>
        </w:rPr>
        <w:t xml:space="preserve">y su trámite </w:t>
      </w:r>
    </w:p>
    <w:p w14:paraId="56798F1B" w14:textId="77777777" w:rsidR="002E6101" w:rsidRPr="00123423" w:rsidRDefault="002E6101" w:rsidP="00144E85">
      <w:pPr>
        <w:spacing w:line="360" w:lineRule="auto"/>
        <w:jc w:val="both"/>
        <w:rPr>
          <w:rFonts w:ascii="Arial" w:hAnsi="Arial" w:cs="Arial"/>
          <w:b/>
        </w:rPr>
      </w:pPr>
    </w:p>
    <w:p w14:paraId="1073ED7B" w14:textId="77777777" w:rsidR="00721330" w:rsidRPr="00123423" w:rsidRDefault="009F75DB" w:rsidP="003D7AE2">
      <w:pPr>
        <w:spacing w:line="360" w:lineRule="auto"/>
        <w:jc w:val="both"/>
        <w:rPr>
          <w:rFonts w:ascii="Arial" w:hAnsi="Arial" w:cs="Arial"/>
        </w:rPr>
      </w:pPr>
      <w:r w:rsidRPr="00123423">
        <w:rPr>
          <w:rFonts w:ascii="Arial" w:hAnsi="Arial" w:cs="Arial"/>
        </w:rPr>
        <w:t>El 13 de marzo de 2017, la unión temporal CHC - Editorial Santillana S.A.S. y Santillana del Pacífico S.A., por conducto de apoderado judicial, interpusieron demanda en ejercicio del medio de control de nulidad y restablecimiento del derecho contra Colombia Compra Eficiente y la Nación – Ministerio de Educación Nacional, con el fin de que se hagan las siguientes declaraciones y condenas (se transcribe de forma literal, incluso con posibles errores):</w:t>
      </w:r>
    </w:p>
    <w:p w14:paraId="4A6A4606" w14:textId="77777777" w:rsidR="003D7AE2" w:rsidRPr="00123423" w:rsidRDefault="003D7AE2" w:rsidP="003D7AE2">
      <w:pPr>
        <w:spacing w:line="360" w:lineRule="auto"/>
        <w:jc w:val="both"/>
        <w:rPr>
          <w:rFonts w:ascii="Arial" w:hAnsi="Arial" w:cs="Arial"/>
        </w:rPr>
      </w:pPr>
    </w:p>
    <w:p w14:paraId="6A0D32D0" w14:textId="77777777" w:rsidR="005010D6" w:rsidRPr="00123423" w:rsidRDefault="00721330" w:rsidP="00721330">
      <w:pPr>
        <w:spacing w:line="276" w:lineRule="auto"/>
        <w:ind w:left="567" w:right="567"/>
        <w:jc w:val="both"/>
        <w:rPr>
          <w:rFonts w:ascii="Arial" w:hAnsi="Arial" w:cs="Arial"/>
        </w:rPr>
      </w:pPr>
      <w:r w:rsidRPr="00123423">
        <w:rPr>
          <w:rFonts w:ascii="Arial" w:hAnsi="Arial" w:cs="Arial"/>
          <w:i/>
        </w:rPr>
        <w:t>“</w:t>
      </w:r>
      <w:r w:rsidR="00D56733" w:rsidRPr="00123423">
        <w:rPr>
          <w:rFonts w:ascii="Arial" w:hAnsi="Arial" w:cs="Arial"/>
          <w:b/>
          <w:i/>
        </w:rPr>
        <w:t>Primera pretensión:</w:t>
      </w:r>
      <w:r w:rsidR="00D56733" w:rsidRPr="00123423">
        <w:rPr>
          <w:rFonts w:ascii="Arial" w:hAnsi="Arial" w:cs="Arial"/>
          <w:i/>
        </w:rPr>
        <w:t xml:space="preserve"> Que se declare la </w:t>
      </w:r>
      <w:r w:rsidR="00D56733" w:rsidRPr="00123423">
        <w:rPr>
          <w:rFonts w:ascii="Arial" w:hAnsi="Arial" w:cs="Arial"/>
          <w:b/>
          <w:i/>
        </w:rPr>
        <w:t>NULIDAD</w:t>
      </w:r>
      <w:r w:rsidR="00D56733" w:rsidRPr="00123423">
        <w:rPr>
          <w:rFonts w:ascii="Arial" w:hAnsi="Arial" w:cs="Arial"/>
          <w:i/>
        </w:rPr>
        <w:t xml:space="preserve"> de la Resolución 1110 de 2016, por medio de la cual la Agencia Nacional de Contratación Pública – </w:t>
      </w:r>
      <w:r w:rsidR="005C4517" w:rsidRPr="00123423">
        <w:rPr>
          <w:rFonts w:ascii="Arial" w:hAnsi="Arial" w:cs="Arial"/>
          <w:i/>
        </w:rPr>
        <w:t>Colombia Compra</w:t>
      </w:r>
      <w:r w:rsidR="00D56733" w:rsidRPr="00123423">
        <w:rPr>
          <w:rFonts w:ascii="Arial" w:hAnsi="Arial" w:cs="Arial"/>
          <w:i/>
        </w:rPr>
        <w:t xml:space="preserve"> Eficiente, adjudicó de instrumento de agregación de dem</w:t>
      </w:r>
      <w:r w:rsidR="00BC2C73" w:rsidRPr="00123423">
        <w:rPr>
          <w:rFonts w:ascii="Arial" w:hAnsi="Arial" w:cs="Arial"/>
          <w:i/>
        </w:rPr>
        <w:t xml:space="preserve">anda No. LP-105-AG-2016 de 2016 </w:t>
      </w:r>
      <w:r w:rsidR="00BC2C73" w:rsidRPr="00123423">
        <w:rPr>
          <w:rFonts w:ascii="Arial" w:hAnsi="Arial" w:cs="Arial"/>
        </w:rPr>
        <w:t>[a las uniones temporales Ediciones SM IV y Ediciones SM V y a la sociedad Difusora Larousse Ltda.]</w:t>
      </w:r>
      <w:r w:rsidR="005C4517" w:rsidRPr="00123423">
        <w:rPr>
          <w:rFonts w:ascii="Arial" w:hAnsi="Arial" w:cs="Arial"/>
        </w:rPr>
        <w:t>.</w:t>
      </w:r>
    </w:p>
    <w:p w14:paraId="17633F37" w14:textId="77777777" w:rsidR="00D56733" w:rsidRPr="00123423" w:rsidRDefault="00D56733" w:rsidP="00721330">
      <w:pPr>
        <w:spacing w:line="276" w:lineRule="auto"/>
        <w:ind w:left="567" w:right="567"/>
        <w:jc w:val="both"/>
        <w:rPr>
          <w:rFonts w:ascii="Arial" w:hAnsi="Arial" w:cs="Arial"/>
          <w:i/>
        </w:rPr>
      </w:pPr>
    </w:p>
    <w:p w14:paraId="557CD8CD" w14:textId="77777777" w:rsidR="00D56733" w:rsidRPr="00123423" w:rsidRDefault="00721330" w:rsidP="00721330">
      <w:pPr>
        <w:spacing w:line="276" w:lineRule="auto"/>
        <w:ind w:left="567" w:right="567"/>
        <w:jc w:val="both"/>
        <w:rPr>
          <w:rFonts w:ascii="Arial" w:hAnsi="Arial" w:cs="Arial"/>
          <w:i/>
        </w:rPr>
      </w:pPr>
      <w:r w:rsidRPr="00123423">
        <w:rPr>
          <w:rFonts w:ascii="Arial" w:hAnsi="Arial" w:cs="Arial"/>
          <w:i/>
        </w:rPr>
        <w:t>“</w:t>
      </w:r>
      <w:r w:rsidR="00D56733" w:rsidRPr="00123423">
        <w:rPr>
          <w:rFonts w:ascii="Arial" w:hAnsi="Arial" w:cs="Arial"/>
          <w:b/>
          <w:i/>
        </w:rPr>
        <w:t>Segunda pretensión</w:t>
      </w:r>
      <w:r w:rsidR="00D56733" w:rsidRPr="00123423">
        <w:rPr>
          <w:rFonts w:ascii="Arial" w:hAnsi="Arial" w:cs="Arial"/>
          <w:i/>
        </w:rPr>
        <w:t xml:space="preserve">: Que como consecuencia </w:t>
      </w:r>
      <w:r w:rsidR="00F37837" w:rsidRPr="00123423">
        <w:rPr>
          <w:rFonts w:ascii="Arial" w:hAnsi="Arial" w:cs="Arial"/>
          <w:i/>
        </w:rPr>
        <w:t xml:space="preserve">de la anterior declaración se declare NULIDAD del contrato estatal No. CCE-439-AG-2016 suscrito el </w:t>
      </w:r>
      <w:r w:rsidR="00565C27" w:rsidRPr="00123423">
        <w:rPr>
          <w:rFonts w:ascii="Arial" w:hAnsi="Arial" w:cs="Arial"/>
          <w:i/>
        </w:rPr>
        <w:t>10 de octubre de 2016 entre la Agencia Nacional de Contratación Pública – Colombia Compra Eficiente</w:t>
      </w:r>
      <w:r w:rsidRPr="00123423">
        <w:rPr>
          <w:rFonts w:ascii="Arial" w:hAnsi="Arial" w:cs="Arial"/>
          <w:i/>
        </w:rPr>
        <w:t>,</w:t>
      </w:r>
      <w:r w:rsidR="00565C27" w:rsidRPr="00123423">
        <w:rPr>
          <w:rFonts w:ascii="Arial" w:hAnsi="Arial" w:cs="Arial"/>
          <w:i/>
        </w:rPr>
        <w:t xml:space="preserve"> </w:t>
      </w:r>
      <w:r w:rsidRPr="00123423">
        <w:rPr>
          <w:rFonts w:ascii="Arial" w:hAnsi="Arial" w:cs="Arial"/>
          <w:i/>
        </w:rPr>
        <w:t>l</w:t>
      </w:r>
      <w:r w:rsidR="00565C27" w:rsidRPr="00123423">
        <w:rPr>
          <w:rFonts w:ascii="Arial" w:hAnsi="Arial" w:cs="Arial"/>
          <w:i/>
        </w:rPr>
        <w:t xml:space="preserve">as Uniones Temporales SM IM y SM V y Difusora Larousse de Colombia Ltda. </w:t>
      </w:r>
    </w:p>
    <w:p w14:paraId="319616AD" w14:textId="77777777" w:rsidR="00565C27" w:rsidRPr="00123423" w:rsidRDefault="00565C27" w:rsidP="00721330">
      <w:pPr>
        <w:spacing w:line="276" w:lineRule="auto"/>
        <w:ind w:left="567" w:right="567"/>
        <w:jc w:val="both"/>
        <w:rPr>
          <w:rFonts w:ascii="Arial" w:hAnsi="Arial" w:cs="Arial"/>
          <w:i/>
        </w:rPr>
      </w:pPr>
    </w:p>
    <w:p w14:paraId="65F0BB65" w14:textId="77777777" w:rsidR="00565C27" w:rsidRPr="00123423" w:rsidRDefault="00721330" w:rsidP="00721330">
      <w:pPr>
        <w:spacing w:line="276" w:lineRule="auto"/>
        <w:ind w:left="567" w:right="567"/>
        <w:jc w:val="both"/>
        <w:rPr>
          <w:rFonts w:ascii="Arial" w:hAnsi="Arial" w:cs="Arial"/>
          <w:i/>
        </w:rPr>
      </w:pPr>
      <w:r w:rsidRPr="00123423">
        <w:rPr>
          <w:rFonts w:ascii="Arial" w:hAnsi="Arial" w:cs="Arial"/>
          <w:i/>
        </w:rPr>
        <w:lastRenderedPageBreak/>
        <w:t>“</w:t>
      </w:r>
      <w:r w:rsidR="00565C27" w:rsidRPr="00123423">
        <w:rPr>
          <w:rFonts w:ascii="Arial" w:hAnsi="Arial" w:cs="Arial"/>
          <w:b/>
          <w:i/>
        </w:rPr>
        <w:t>Tercera pretensión</w:t>
      </w:r>
      <w:r w:rsidR="00565C27" w:rsidRPr="00123423">
        <w:rPr>
          <w:rFonts w:ascii="Arial" w:hAnsi="Arial" w:cs="Arial"/>
          <w:i/>
        </w:rPr>
        <w:t xml:space="preserve">: Que como consecuencia de las anteriores declaraciones se DECLARE que la Unión Temporal Santillana CHC, presentó la mejor oferta de los segmentos 1 y 4 del instrumento de agregación de demanda No. LP-105-AG-2016 de 2016 y, en consecuencia, se le adjudique el contrato. </w:t>
      </w:r>
    </w:p>
    <w:p w14:paraId="5F51F5A5" w14:textId="77777777" w:rsidR="00565C27" w:rsidRPr="00123423" w:rsidRDefault="00565C27" w:rsidP="00721330">
      <w:pPr>
        <w:spacing w:line="276" w:lineRule="auto"/>
        <w:ind w:left="567" w:right="567"/>
        <w:jc w:val="both"/>
        <w:rPr>
          <w:rFonts w:ascii="Arial" w:hAnsi="Arial" w:cs="Arial"/>
          <w:i/>
        </w:rPr>
      </w:pPr>
    </w:p>
    <w:p w14:paraId="6649A09E" w14:textId="77777777" w:rsidR="00565C27" w:rsidRPr="00123423" w:rsidRDefault="00721330" w:rsidP="00721330">
      <w:pPr>
        <w:spacing w:line="276" w:lineRule="auto"/>
        <w:ind w:left="567" w:right="567"/>
        <w:jc w:val="both"/>
        <w:rPr>
          <w:rFonts w:ascii="Arial" w:hAnsi="Arial" w:cs="Arial"/>
          <w:i/>
        </w:rPr>
      </w:pPr>
      <w:r w:rsidRPr="00123423">
        <w:rPr>
          <w:rFonts w:ascii="Arial" w:hAnsi="Arial" w:cs="Arial"/>
          <w:i/>
        </w:rPr>
        <w:t>“</w:t>
      </w:r>
      <w:r w:rsidR="00565C27" w:rsidRPr="00123423">
        <w:rPr>
          <w:rFonts w:ascii="Arial" w:hAnsi="Arial" w:cs="Arial"/>
          <w:i/>
        </w:rPr>
        <w:t>(…).</w:t>
      </w:r>
    </w:p>
    <w:p w14:paraId="31A3B9E5" w14:textId="77777777" w:rsidR="00565C27" w:rsidRPr="00123423" w:rsidRDefault="00565C27" w:rsidP="00721330">
      <w:pPr>
        <w:spacing w:line="276" w:lineRule="auto"/>
        <w:ind w:left="567" w:right="567"/>
        <w:jc w:val="both"/>
        <w:rPr>
          <w:rFonts w:ascii="Arial" w:hAnsi="Arial" w:cs="Arial"/>
          <w:i/>
        </w:rPr>
      </w:pPr>
    </w:p>
    <w:p w14:paraId="711F60A1" w14:textId="77777777" w:rsidR="00565C27" w:rsidRPr="00123423" w:rsidRDefault="00721330" w:rsidP="00721330">
      <w:pPr>
        <w:spacing w:line="276" w:lineRule="auto"/>
        <w:ind w:left="567" w:right="567"/>
        <w:jc w:val="both"/>
        <w:rPr>
          <w:rFonts w:ascii="Arial" w:hAnsi="Arial" w:cs="Arial"/>
          <w:i/>
        </w:rPr>
      </w:pPr>
      <w:r w:rsidRPr="00123423">
        <w:rPr>
          <w:rFonts w:ascii="Arial" w:hAnsi="Arial" w:cs="Arial"/>
          <w:i/>
        </w:rPr>
        <w:t>“</w:t>
      </w:r>
      <w:r w:rsidR="00565C27" w:rsidRPr="00123423">
        <w:rPr>
          <w:rFonts w:ascii="Arial" w:hAnsi="Arial" w:cs="Arial"/>
          <w:b/>
          <w:i/>
        </w:rPr>
        <w:t>Quinta pretensión</w:t>
      </w:r>
      <w:r w:rsidR="00565C27" w:rsidRPr="00123423">
        <w:rPr>
          <w:rFonts w:ascii="Arial" w:hAnsi="Arial" w:cs="Arial"/>
          <w:i/>
        </w:rPr>
        <w:t xml:space="preserve">: Que se </w:t>
      </w:r>
      <w:r w:rsidR="00565C27" w:rsidRPr="00123423">
        <w:rPr>
          <w:rFonts w:ascii="Arial" w:hAnsi="Arial" w:cs="Arial"/>
          <w:b/>
          <w:i/>
        </w:rPr>
        <w:t>CONDENE</w:t>
      </w:r>
      <w:r w:rsidR="00565C27" w:rsidRPr="00123423">
        <w:rPr>
          <w:rFonts w:ascii="Arial" w:hAnsi="Arial" w:cs="Arial"/>
          <w:i/>
        </w:rPr>
        <w:t xml:space="preserve"> a la Agencia Nacional de Contratación Pública – Colombia Compra Eficiente y a la Nación – Ministerio de Educación Nacional, a pagar solidariamente la suma </w:t>
      </w:r>
      <w:r w:rsidR="00EB6F36" w:rsidRPr="00123423">
        <w:rPr>
          <w:rFonts w:ascii="Arial" w:hAnsi="Arial" w:cs="Arial"/>
          <w:i/>
        </w:rPr>
        <w:t xml:space="preserve">de </w:t>
      </w:r>
      <w:r w:rsidR="00565C27" w:rsidRPr="00123423">
        <w:rPr>
          <w:rFonts w:ascii="Arial" w:hAnsi="Arial" w:cs="Arial"/>
          <w:b/>
          <w:i/>
        </w:rPr>
        <w:t>trescientos ochenta y seis millones ($386’</w:t>
      </w:r>
      <w:r w:rsidR="009817C0" w:rsidRPr="00123423">
        <w:rPr>
          <w:rFonts w:ascii="Arial" w:hAnsi="Arial" w:cs="Arial"/>
          <w:b/>
          <w:i/>
        </w:rPr>
        <w:t>811.000)</w:t>
      </w:r>
      <w:r w:rsidR="009817C0" w:rsidRPr="00123423">
        <w:rPr>
          <w:rFonts w:ascii="Arial" w:hAnsi="Arial" w:cs="Arial"/>
          <w:i/>
        </w:rPr>
        <w:t xml:space="preserve"> correspondientes al costo de oportunidad sobre la utilidad que mi mandante hubiera percibido si hubiese resultado adjudicatario del contrato, oportunidad que vio frustrada por las irregularidade</w:t>
      </w:r>
      <w:r w:rsidRPr="00123423">
        <w:rPr>
          <w:rFonts w:ascii="Arial" w:hAnsi="Arial" w:cs="Arial"/>
          <w:i/>
        </w:rPr>
        <w:t>s actuaciones de las demandadas (…)”</w:t>
      </w:r>
      <w:r w:rsidR="00363DA1" w:rsidRPr="00123423">
        <w:rPr>
          <w:rStyle w:val="Refdenotaalpie"/>
          <w:rFonts w:ascii="Arial" w:hAnsi="Arial" w:cs="Arial"/>
        </w:rPr>
        <w:footnoteReference w:id="1"/>
      </w:r>
      <w:r w:rsidR="00514E27" w:rsidRPr="00123423">
        <w:rPr>
          <w:rFonts w:ascii="Arial" w:hAnsi="Arial" w:cs="Arial"/>
        </w:rPr>
        <w:t xml:space="preserve"> (destacado del texto original)</w:t>
      </w:r>
      <w:r w:rsidRPr="00123423">
        <w:rPr>
          <w:rFonts w:ascii="Arial" w:hAnsi="Arial" w:cs="Arial"/>
          <w:i/>
        </w:rPr>
        <w:t>.</w:t>
      </w:r>
    </w:p>
    <w:p w14:paraId="5BCAE38B" w14:textId="77777777" w:rsidR="001F3EF5" w:rsidRPr="00123423" w:rsidRDefault="001F3EF5" w:rsidP="00144E85">
      <w:pPr>
        <w:spacing w:line="360" w:lineRule="auto"/>
        <w:jc w:val="both"/>
        <w:rPr>
          <w:rFonts w:ascii="Arial" w:hAnsi="Arial" w:cs="Arial"/>
          <w:b/>
        </w:rPr>
      </w:pPr>
    </w:p>
    <w:p w14:paraId="11882A6F" w14:textId="77777777" w:rsidR="00363DA1" w:rsidRPr="00123423" w:rsidRDefault="00363DA1" w:rsidP="00447044">
      <w:pPr>
        <w:spacing w:line="360" w:lineRule="auto"/>
        <w:jc w:val="both"/>
        <w:rPr>
          <w:rFonts w:ascii="Arial" w:hAnsi="Arial" w:cs="Arial"/>
        </w:rPr>
      </w:pPr>
      <w:r w:rsidRPr="00123423">
        <w:rPr>
          <w:rFonts w:ascii="Arial" w:hAnsi="Arial" w:cs="Arial"/>
        </w:rPr>
        <w:t>1.1. El Tribunal Administrativo de Cundinamarca, mediante auto del 29 de marzo de 2017, admitió la demanda como si fuese de controversias co</w:t>
      </w:r>
      <w:r w:rsidR="00496174" w:rsidRPr="00123423">
        <w:rPr>
          <w:rFonts w:ascii="Arial" w:hAnsi="Arial" w:cs="Arial"/>
        </w:rPr>
        <w:t>ntractuales</w:t>
      </w:r>
      <w:r w:rsidR="009C4E80" w:rsidRPr="00123423">
        <w:rPr>
          <w:rStyle w:val="Refdenotaalpie"/>
          <w:rFonts w:ascii="Arial" w:hAnsi="Arial" w:cs="Arial"/>
        </w:rPr>
        <w:footnoteReference w:id="2"/>
      </w:r>
      <w:r w:rsidR="00496174" w:rsidRPr="00123423">
        <w:rPr>
          <w:rFonts w:ascii="Arial" w:hAnsi="Arial" w:cs="Arial"/>
        </w:rPr>
        <w:t xml:space="preserve"> y, a su vez, vinculó</w:t>
      </w:r>
      <w:r w:rsidRPr="00123423">
        <w:rPr>
          <w:rFonts w:ascii="Arial" w:hAnsi="Arial" w:cs="Arial"/>
        </w:rPr>
        <w:t xml:space="preserve"> como litis</w:t>
      </w:r>
      <w:r w:rsidR="00496174" w:rsidRPr="00123423">
        <w:rPr>
          <w:rFonts w:ascii="Arial" w:hAnsi="Arial" w:cs="Arial"/>
        </w:rPr>
        <w:t xml:space="preserve">consortes necesarios por pasiva a las uniones temporales Ediciones SM IV y Ediciones SM V y a la sociedad Difusora Larousse de Colombia Ltda., en razón </w:t>
      </w:r>
      <w:r w:rsidR="00514E27" w:rsidRPr="00123423">
        <w:rPr>
          <w:rFonts w:ascii="Arial" w:hAnsi="Arial" w:cs="Arial"/>
        </w:rPr>
        <w:t>a que</w:t>
      </w:r>
      <w:r w:rsidR="00792A66" w:rsidRPr="00123423">
        <w:rPr>
          <w:rFonts w:ascii="Arial" w:hAnsi="Arial" w:cs="Arial"/>
        </w:rPr>
        <w:t xml:space="preserve"> fueron las</w:t>
      </w:r>
      <w:r w:rsidR="00EB6F36" w:rsidRPr="00123423">
        <w:rPr>
          <w:rFonts w:ascii="Arial" w:hAnsi="Arial" w:cs="Arial"/>
        </w:rPr>
        <w:t xml:space="preserve"> adjudicataria</w:t>
      </w:r>
      <w:r w:rsidR="00496174" w:rsidRPr="00123423">
        <w:rPr>
          <w:rFonts w:ascii="Arial" w:hAnsi="Arial" w:cs="Arial"/>
        </w:rPr>
        <w:t xml:space="preserve">s </w:t>
      </w:r>
      <w:r w:rsidR="00514E27" w:rsidRPr="00123423">
        <w:rPr>
          <w:rFonts w:ascii="Arial" w:hAnsi="Arial" w:cs="Arial"/>
        </w:rPr>
        <w:t xml:space="preserve">por medio del acto administrativo cuya nulidad se </w:t>
      </w:r>
      <w:r w:rsidR="006E2A23" w:rsidRPr="00123423">
        <w:rPr>
          <w:rFonts w:ascii="Arial" w:hAnsi="Arial" w:cs="Arial"/>
        </w:rPr>
        <w:t>pretende con</w:t>
      </w:r>
      <w:r w:rsidR="00514E27" w:rsidRPr="00123423">
        <w:rPr>
          <w:rFonts w:ascii="Arial" w:hAnsi="Arial" w:cs="Arial"/>
        </w:rPr>
        <w:t xml:space="preserve"> la presente demanda</w:t>
      </w:r>
      <w:r w:rsidR="006E4AF6" w:rsidRPr="00123423">
        <w:rPr>
          <w:rStyle w:val="Refdenotaalpie"/>
          <w:rFonts w:ascii="Arial" w:hAnsi="Arial" w:cs="Arial"/>
        </w:rPr>
        <w:footnoteReference w:id="3"/>
      </w:r>
      <w:r w:rsidR="00514E27" w:rsidRPr="00123423">
        <w:rPr>
          <w:rFonts w:ascii="Arial" w:hAnsi="Arial" w:cs="Arial"/>
        </w:rPr>
        <w:t xml:space="preserve">. </w:t>
      </w:r>
    </w:p>
    <w:p w14:paraId="2FD09D1F" w14:textId="77777777" w:rsidR="003D7AE2" w:rsidRPr="00123423" w:rsidRDefault="003D7AE2" w:rsidP="00447044">
      <w:pPr>
        <w:spacing w:line="360" w:lineRule="auto"/>
        <w:jc w:val="both"/>
        <w:rPr>
          <w:rFonts w:ascii="Arial" w:hAnsi="Arial" w:cs="Arial"/>
        </w:rPr>
      </w:pPr>
    </w:p>
    <w:p w14:paraId="71287BF6" w14:textId="77777777" w:rsidR="00EB6F36" w:rsidRPr="00123423" w:rsidRDefault="00EB6F36" w:rsidP="00447044">
      <w:pPr>
        <w:spacing w:line="360" w:lineRule="auto"/>
        <w:jc w:val="both"/>
        <w:rPr>
          <w:rFonts w:ascii="Arial" w:hAnsi="Arial" w:cs="Arial"/>
        </w:rPr>
      </w:pPr>
    </w:p>
    <w:p w14:paraId="39287412" w14:textId="77777777" w:rsidR="00363DA1" w:rsidRPr="00123423" w:rsidRDefault="006E4AF6" w:rsidP="00447044">
      <w:pPr>
        <w:spacing w:line="360" w:lineRule="auto"/>
        <w:jc w:val="both"/>
        <w:rPr>
          <w:rFonts w:ascii="Arial" w:hAnsi="Arial" w:cs="Arial"/>
          <w:b/>
        </w:rPr>
      </w:pPr>
      <w:r w:rsidRPr="00123423">
        <w:rPr>
          <w:rFonts w:ascii="Arial" w:hAnsi="Arial" w:cs="Arial"/>
          <w:b/>
        </w:rPr>
        <w:t xml:space="preserve">2. </w:t>
      </w:r>
      <w:r w:rsidR="003E48C3" w:rsidRPr="00123423">
        <w:rPr>
          <w:rFonts w:ascii="Arial" w:hAnsi="Arial" w:cs="Arial"/>
          <w:b/>
        </w:rPr>
        <w:t xml:space="preserve">Solicitudes de llamamiento en garantía </w:t>
      </w:r>
    </w:p>
    <w:p w14:paraId="5FF99900" w14:textId="77777777" w:rsidR="0008193C" w:rsidRPr="00123423" w:rsidRDefault="0008193C" w:rsidP="00447044">
      <w:pPr>
        <w:spacing w:line="360" w:lineRule="auto"/>
        <w:jc w:val="both"/>
        <w:rPr>
          <w:rFonts w:ascii="Arial" w:hAnsi="Arial" w:cs="Arial"/>
          <w:b/>
        </w:rPr>
      </w:pPr>
    </w:p>
    <w:p w14:paraId="056F7344" w14:textId="77777777" w:rsidR="0008193C" w:rsidRPr="00123423" w:rsidRDefault="0008193C" w:rsidP="00447044">
      <w:pPr>
        <w:spacing w:line="360" w:lineRule="auto"/>
        <w:jc w:val="both"/>
        <w:rPr>
          <w:rFonts w:ascii="Arial" w:hAnsi="Arial" w:cs="Arial"/>
        </w:rPr>
      </w:pPr>
      <w:r w:rsidRPr="00123423">
        <w:rPr>
          <w:rFonts w:ascii="Arial" w:hAnsi="Arial" w:cs="Arial"/>
        </w:rPr>
        <w:t>Dentro de la oportunidad legal prevista, Colombia Compra Eficiente (entidad demandada en este asunto), a través de tres escritos</w:t>
      </w:r>
      <w:r w:rsidR="00F8221A" w:rsidRPr="00123423">
        <w:rPr>
          <w:rStyle w:val="Refdenotaalpie"/>
          <w:rFonts w:ascii="Arial" w:hAnsi="Arial" w:cs="Arial"/>
        </w:rPr>
        <w:footnoteReference w:id="4"/>
      </w:r>
      <w:r w:rsidRPr="00123423">
        <w:rPr>
          <w:rFonts w:ascii="Arial" w:hAnsi="Arial" w:cs="Arial"/>
        </w:rPr>
        <w:t xml:space="preserve"> que presentó por separado</w:t>
      </w:r>
      <w:r w:rsidR="009452ED" w:rsidRPr="00123423">
        <w:rPr>
          <w:rFonts w:ascii="Arial" w:hAnsi="Arial" w:cs="Arial"/>
        </w:rPr>
        <w:t>,</w:t>
      </w:r>
      <w:r w:rsidR="006A7702" w:rsidRPr="00123423">
        <w:rPr>
          <w:rFonts w:ascii="Arial" w:hAnsi="Arial" w:cs="Arial"/>
        </w:rPr>
        <w:t xml:space="preserve"> pero en la misma fecha (25 de julio de 2017) ante el Tribunal </w:t>
      </w:r>
      <w:r w:rsidR="006A7702" w:rsidRPr="00123423">
        <w:rPr>
          <w:rFonts w:ascii="Arial" w:hAnsi="Arial" w:cs="Arial"/>
          <w:i/>
        </w:rPr>
        <w:t>a quo</w:t>
      </w:r>
      <w:r w:rsidRPr="00123423">
        <w:rPr>
          <w:rFonts w:ascii="Arial" w:hAnsi="Arial" w:cs="Arial"/>
        </w:rPr>
        <w:t xml:space="preserve">, llamó en garantía a las uniones temporales Ediciones SM IV y Ediciones SM </w:t>
      </w:r>
      <w:r w:rsidR="00AA75E7" w:rsidRPr="00123423">
        <w:rPr>
          <w:rFonts w:ascii="Arial" w:hAnsi="Arial" w:cs="Arial"/>
        </w:rPr>
        <w:t xml:space="preserve">V </w:t>
      </w:r>
      <w:r w:rsidRPr="00123423">
        <w:rPr>
          <w:rFonts w:ascii="Arial" w:hAnsi="Arial" w:cs="Arial"/>
        </w:rPr>
        <w:t>y a la sociedad Difusora Larousse de Colombia Ltda.</w:t>
      </w:r>
      <w:r w:rsidR="006A7702" w:rsidRPr="00123423">
        <w:rPr>
          <w:rFonts w:ascii="Arial" w:hAnsi="Arial" w:cs="Arial"/>
        </w:rPr>
        <w:t xml:space="preserve">, respectivamente. </w:t>
      </w:r>
    </w:p>
    <w:p w14:paraId="1FA59826" w14:textId="77777777" w:rsidR="006E2A23" w:rsidRPr="00123423" w:rsidRDefault="006E2A23" w:rsidP="00447044">
      <w:pPr>
        <w:spacing w:line="360" w:lineRule="auto"/>
        <w:jc w:val="both"/>
        <w:rPr>
          <w:rFonts w:ascii="Arial" w:hAnsi="Arial" w:cs="Arial"/>
        </w:rPr>
      </w:pPr>
    </w:p>
    <w:p w14:paraId="2ECAB63C" w14:textId="77777777" w:rsidR="000E1F82" w:rsidRPr="00123423" w:rsidRDefault="006E2A23" w:rsidP="00447044">
      <w:pPr>
        <w:spacing w:line="360" w:lineRule="auto"/>
        <w:jc w:val="both"/>
        <w:rPr>
          <w:rFonts w:ascii="Arial" w:hAnsi="Arial" w:cs="Arial"/>
        </w:rPr>
      </w:pPr>
      <w:r w:rsidRPr="00123423">
        <w:rPr>
          <w:rFonts w:ascii="Arial" w:hAnsi="Arial" w:cs="Arial"/>
        </w:rPr>
        <w:t xml:space="preserve">En los tres escritos de llamamiento en garantía se expusieron los mismos argumentos, que, en síntesis, </w:t>
      </w:r>
      <w:r w:rsidR="00D32C2D" w:rsidRPr="00123423">
        <w:rPr>
          <w:rFonts w:ascii="Arial" w:hAnsi="Arial" w:cs="Arial"/>
        </w:rPr>
        <w:t xml:space="preserve">giraron en torno a que en la fase de licitación las uniones temporales y la sociedad en mención </w:t>
      </w:r>
      <w:r w:rsidR="005322BB" w:rsidRPr="00123423">
        <w:rPr>
          <w:rFonts w:ascii="Arial" w:hAnsi="Arial" w:cs="Arial"/>
        </w:rPr>
        <w:t xml:space="preserve">(adjudicatarias) </w:t>
      </w:r>
      <w:r w:rsidR="00D32C2D" w:rsidRPr="00123423">
        <w:rPr>
          <w:rFonts w:ascii="Arial" w:hAnsi="Arial" w:cs="Arial"/>
        </w:rPr>
        <w:t xml:space="preserve">asumieron </w:t>
      </w:r>
      <w:r w:rsidR="002F4E69" w:rsidRPr="00123423">
        <w:rPr>
          <w:rFonts w:ascii="Arial" w:hAnsi="Arial" w:cs="Arial"/>
        </w:rPr>
        <w:lastRenderedPageBreak/>
        <w:t>voluntariamente, en favor de Colombia Compra Eficiente, la</w:t>
      </w:r>
      <w:r w:rsidR="00C0106D" w:rsidRPr="00123423">
        <w:rPr>
          <w:rFonts w:ascii="Arial" w:hAnsi="Arial" w:cs="Arial"/>
        </w:rPr>
        <w:t>s</w:t>
      </w:r>
      <w:r w:rsidR="002F4E69" w:rsidRPr="00123423">
        <w:rPr>
          <w:rFonts w:ascii="Arial" w:hAnsi="Arial" w:cs="Arial"/>
        </w:rPr>
        <w:t xml:space="preserve"> siguientes obligaciones: i) a comportarse acorde con la buena fe; ii) a no efectuar acuerdos &lt;&lt;</w:t>
      </w:r>
      <w:r w:rsidR="002F4E69" w:rsidRPr="00123423">
        <w:rPr>
          <w:rFonts w:ascii="Arial" w:hAnsi="Arial" w:cs="Arial"/>
          <w:i/>
        </w:rPr>
        <w:t xml:space="preserve">o </w:t>
      </w:r>
      <w:r w:rsidR="002F4E69" w:rsidRPr="00123423">
        <w:rPr>
          <w:rFonts w:ascii="Arial" w:hAnsi="Arial" w:cs="Arial"/>
        </w:rPr>
        <w:t xml:space="preserve">[a no] </w:t>
      </w:r>
      <w:r w:rsidR="002F4E69" w:rsidRPr="00123423">
        <w:rPr>
          <w:rFonts w:ascii="Arial" w:hAnsi="Arial" w:cs="Arial"/>
          <w:i/>
        </w:rPr>
        <w:t>realizar actos o conductas que tengan por objeto o efecto la colusión en el proceso de contratación LP-105-AG-2016</w:t>
      </w:r>
      <w:r w:rsidR="002F4E69" w:rsidRPr="00123423">
        <w:rPr>
          <w:rFonts w:ascii="Arial" w:hAnsi="Arial" w:cs="Arial"/>
        </w:rPr>
        <w:t>&gt;&gt;</w:t>
      </w:r>
      <w:r w:rsidR="000E1F82" w:rsidRPr="00123423">
        <w:rPr>
          <w:rFonts w:ascii="Arial" w:hAnsi="Arial" w:cs="Arial"/>
        </w:rPr>
        <w:t xml:space="preserve"> y</w:t>
      </w:r>
      <w:r w:rsidR="002F4E69" w:rsidRPr="00123423">
        <w:rPr>
          <w:rFonts w:ascii="Arial" w:hAnsi="Arial" w:cs="Arial"/>
        </w:rPr>
        <w:t xml:space="preserve"> i</w:t>
      </w:r>
      <w:r w:rsidR="005322BB" w:rsidRPr="00123423">
        <w:rPr>
          <w:rFonts w:ascii="Arial" w:hAnsi="Arial" w:cs="Arial"/>
        </w:rPr>
        <w:t>ii</w:t>
      </w:r>
      <w:r w:rsidR="000E1F82" w:rsidRPr="00123423">
        <w:rPr>
          <w:rFonts w:ascii="Arial" w:hAnsi="Arial" w:cs="Arial"/>
        </w:rPr>
        <w:t>) a presentar una oferta seria</w:t>
      </w:r>
      <w:r w:rsidR="005322BB" w:rsidRPr="00123423">
        <w:rPr>
          <w:rFonts w:ascii="Arial" w:hAnsi="Arial" w:cs="Arial"/>
        </w:rPr>
        <w:t xml:space="preserve">. </w:t>
      </w:r>
    </w:p>
    <w:p w14:paraId="31BDD9C4" w14:textId="77777777" w:rsidR="000E1F82" w:rsidRPr="00123423" w:rsidRDefault="000E1F82" w:rsidP="00447044">
      <w:pPr>
        <w:spacing w:line="360" w:lineRule="auto"/>
        <w:jc w:val="both"/>
        <w:rPr>
          <w:rFonts w:ascii="Arial" w:hAnsi="Arial" w:cs="Arial"/>
        </w:rPr>
      </w:pPr>
    </w:p>
    <w:p w14:paraId="5B57EFFF" w14:textId="77777777" w:rsidR="005322BB" w:rsidRPr="00123423" w:rsidRDefault="00AF30E1" w:rsidP="00447044">
      <w:pPr>
        <w:spacing w:line="360" w:lineRule="auto"/>
        <w:jc w:val="both"/>
        <w:rPr>
          <w:rFonts w:ascii="Arial" w:hAnsi="Arial" w:cs="Arial"/>
        </w:rPr>
      </w:pPr>
      <w:r w:rsidRPr="00123423">
        <w:rPr>
          <w:rFonts w:ascii="Arial" w:hAnsi="Arial" w:cs="Arial"/>
        </w:rPr>
        <w:t>Además</w:t>
      </w:r>
      <w:r w:rsidR="005322BB" w:rsidRPr="00123423">
        <w:rPr>
          <w:rFonts w:ascii="Arial" w:hAnsi="Arial" w:cs="Arial"/>
        </w:rPr>
        <w:t xml:space="preserve">, se señaló que en la cláusula 21 del contrato </w:t>
      </w:r>
      <w:r w:rsidR="000E1F82" w:rsidRPr="00123423">
        <w:rPr>
          <w:rFonts w:ascii="Arial" w:hAnsi="Arial" w:cs="Arial"/>
        </w:rPr>
        <w:t>-</w:t>
      </w:r>
      <w:r w:rsidR="005322BB" w:rsidRPr="00123423">
        <w:rPr>
          <w:rFonts w:ascii="Arial" w:hAnsi="Arial" w:cs="Arial"/>
        </w:rPr>
        <w:t>cuya nu</w:t>
      </w:r>
      <w:r w:rsidR="000E1F82" w:rsidRPr="00123423">
        <w:rPr>
          <w:rFonts w:ascii="Arial" w:hAnsi="Arial" w:cs="Arial"/>
        </w:rPr>
        <w:t>lidad también se pretende en la demanda-</w:t>
      </w:r>
      <w:r w:rsidR="005322BB" w:rsidRPr="00123423">
        <w:rPr>
          <w:rFonts w:ascii="Arial" w:hAnsi="Arial" w:cs="Arial"/>
        </w:rPr>
        <w:t xml:space="preserve"> las uniones temporales Ediciones SM IV y Ediciones SM V y la sociedad Difusora Larousse de Colombia Ltda.</w:t>
      </w:r>
      <w:r w:rsidRPr="00123423">
        <w:rPr>
          <w:rFonts w:ascii="Arial" w:hAnsi="Arial" w:cs="Arial"/>
        </w:rPr>
        <w:t xml:space="preserve"> (adjudicatarias)</w:t>
      </w:r>
      <w:r w:rsidR="005322BB" w:rsidRPr="00123423">
        <w:rPr>
          <w:rFonts w:ascii="Arial" w:hAnsi="Arial" w:cs="Arial"/>
        </w:rPr>
        <w:t xml:space="preserve"> se obligaron a &lt;&lt;</w:t>
      </w:r>
      <w:r w:rsidR="005322BB" w:rsidRPr="00123423">
        <w:rPr>
          <w:rFonts w:ascii="Arial" w:hAnsi="Arial" w:cs="Arial"/>
          <w:i/>
        </w:rPr>
        <w:t>(…</w:t>
      </w:r>
      <w:r w:rsidR="000E1F82" w:rsidRPr="00123423">
        <w:rPr>
          <w:rFonts w:ascii="Arial" w:hAnsi="Arial" w:cs="Arial"/>
          <w:i/>
        </w:rPr>
        <w:t>)mantener libre e indemne a Colombia Compra Eficiente y a la Entidades Compradoras por cualquier daño o perjuicio originado en reclamaciones provenientes de terceros, que tengan como causa directa las actuaciones del Proveedor</w:t>
      </w:r>
      <w:r w:rsidR="000E1F82" w:rsidRPr="00123423">
        <w:rPr>
          <w:rFonts w:ascii="Arial" w:hAnsi="Arial" w:cs="Arial"/>
        </w:rPr>
        <w:t>&gt;&gt;.</w:t>
      </w:r>
    </w:p>
    <w:p w14:paraId="579EE187" w14:textId="77777777" w:rsidR="00AF30E1" w:rsidRPr="00123423" w:rsidRDefault="00AF30E1" w:rsidP="00447044">
      <w:pPr>
        <w:spacing w:line="360" w:lineRule="auto"/>
        <w:jc w:val="both"/>
        <w:rPr>
          <w:rFonts w:ascii="Arial" w:hAnsi="Arial" w:cs="Arial"/>
        </w:rPr>
      </w:pPr>
    </w:p>
    <w:p w14:paraId="053ED45C" w14:textId="77777777" w:rsidR="00AF30E1" w:rsidRPr="00123423" w:rsidRDefault="00AF30E1" w:rsidP="00447044">
      <w:pPr>
        <w:spacing w:line="360" w:lineRule="auto"/>
        <w:jc w:val="both"/>
        <w:rPr>
          <w:rFonts w:ascii="Arial" w:hAnsi="Arial" w:cs="Arial"/>
        </w:rPr>
      </w:pPr>
      <w:r w:rsidRPr="00123423">
        <w:rPr>
          <w:rFonts w:ascii="Arial" w:hAnsi="Arial" w:cs="Arial"/>
        </w:rPr>
        <w:t xml:space="preserve">En ese orden ideas, se sostuvo que </w:t>
      </w:r>
      <w:r w:rsidR="000A0E09" w:rsidRPr="00123423">
        <w:rPr>
          <w:rFonts w:ascii="Arial" w:hAnsi="Arial" w:cs="Arial"/>
        </w:rPr>
        <w:t>existe una</w:t>
      </w:r>
      <w:r w:rsidRPr="00123423">
        <w:rPr>
          <w:rFonts w:ascii="Arial" w:hAnsi="Arial" w:cs="Arial"/>
        </w:rPr>
        <w:t xml:space="preserve"> relación sustancial entre Colombia Compra Eficiente y las llamadas en garantía. También se indicó que las acusaciones planteadas en la demanda tienen relación con las actividades ejecutadas por las llamadas en garantía. Sobre esto último,</w:t>
      </w:r>
      <w:r w:rsidR="00C0106D" w:rsidRPr="00123423">
        <w:rPr>
          <w:rFonts w:ascii="Arial" w:hAnsi="Arial" w:cs="Arial"/>
        </w:rPr>
        <w:t xml:space="preserve"> se</w:t>
      </w:r>
      <w:r w:rsidRPr="00123423">
        <w:rPr>
          <w:rFonts w:ascii="Arial" w:hAnsi="Arial" w:cs="Arial"/>
        </w:rPr>
        <w:t xml:space="preserve"> expuso lo siguiente (se transcribe de forma literal, incluso con posibles errores):</w:t>
      </w:r>
    </w:p>
    <w:p w14:paraId="56657881" w14:textId="77777777" w:rsidR="000A0E09" w:rsidRPr="00123423" w:rsidRDefault="000A0E09" w:rsidP="00447044">
      <w:pPr>
        <w:spacing w:line="360" w:lineRule="auto"/>
        <w:jc w:val="both"/>
        <w:rPr>
          <w:rFonts w:ascii="Arial" w:hAnsi="Arial" w:cs="Arial"/>
        </w:rPr>
      </w:pPr>
    </w:p>
    <w:p w14:paraId="0DCCD7B7" w14:textId="77777777" w:rsidR="000A0E09" w:rsidRPr="00123423" w:rsidRDefault="00C0106D" w:rsidP="00C0106D">
      <w:pPr>
        <w:spacing w:line="276" w:lineRule="auto"/>
        <w:ind w:left="567" w:right="567"/>
        <w:jc w:val="both"/>
        <w:rPr>
          <w:rFonts w:ascii="Arial" w:hAnsi="Arial" w:cs="Arial"/>
          <w:i/>
        </w:rPr>
      </w:pPr>
      <w:r w:rsidRPr="00123423">
        <w:rPr>
          <w:rFonts w:ascii="Arial" w:hAnsi="Arial" w:cs="Arial"/>
          <w:i/>
        </w:rPr>
        <w:t>“</w:t>
      </w:r>
      <w:r w:rsidR="000A0E09" w:rsidRPr="00123423">
        <w:rPr>
          <w:rFonts w:ascii="Arial" w:hAnsi="Arial" w:cs="Arial"/>
          <w:i/>
        </w:rPr>
        <w:t xml:space="preserve">Esa demanda se funda, particularmente, en la supuesta colusión de la que habría sido parte </w:t>
      </w:r>
      <w:r w:rsidR="000A0E09" w:rsidRPr="00123423">
        <w:rPr>
          <w:rFonts w:ascii="Arial" w:hAnsi="Arial" w:cs="Arial"/>
        </w:rPr>
        <w:t>[las llamadas en garantía]</w:t>
      </w:r>
      <w:r w:rsidR="000A0E09" w:rsidRPr="00123423">
        <w:rPr>
          <w:rFonts w:ascii="Arial" w:hAnsi="Arial" w:cs="Arial"/>
          <w:i/>
        </w:rPr>
        <w:t xml:space="preserve">. Las acciones u omisiones que la demandante reprocha correspondan a conductas imputables a </w:t>
      </w:r>
      <w:r w:rsidR="000A0E09" w:rsidRPr="00123423">
        <w:rPr>
          <w:rFonts w:ascii="Arial" w:hAnsi="Arial" w:cs="Arial"/>
        </w:rPr>
        <w:t>[las llamadas garantías]</w:t>
      </w:r>
      <w:r w:rsidR="000A0E09" w:rsidRPr="00123423">
        <w:rPr>
          <w:rFonts w:ascii="Arial" w:hAnsi="Arial" w:cs="Arial"/>
          <w:i/>
        </w:rPr>
        <w:t xml:space="preserve"> como miembros</w:t>
      </w:r>
      <w:r w:rsidR="000A0E09" w:rsidRPr="00123423">
        <w:rPr>
          <w:rFonts w:ascii="Arial" w:hAnsi="Arial" w:cs="Arial"/>
        </w:rPr>
        <w:t>[s]</w:t>
      </w:r>
      <w:r w:rsidR="000A0E09" w:rsidRPr="00123423">
        <w:rPr>
          <w:rFonts w:ascii="Arial" w:hAnsi="Arial" w:cs="Arial"/>
          <w:i/>
        </w:rPr>
        <w:t xml:space="preserve"> de la supuesta colusión. CCE </w:t>
      </w:r>
      <w:r w:rsidR="000A0E09" w:rsidRPr="00123423">
        <w:rPr>
          <w:rFonts w:ascii="Arial" w:hAnsi="Arial" w:cs="Arial"/>
        </w:rPr>
        <w:t>[Colombia Compra Eficiente]</w:t>
      </w:r>
      <w:r w:rsidR="000A0E09" w:rsidRPr="00123423">
        <w:rPr>
          <w:rFonts w:ascii="Arial" w:hAnsi="Arial" w:cs="Arial"/>
          <w:i/>
        </w:rPr>
        <w:t xml:space="preserve"> sería víctima de la supuesta colusión. </w:t>
      </w:r>
    </w:p>
    <w:p w14:paraId="067C3BB6" w14:textId="77777777" w:rsidR="000A0E09" w:rsidRPr="00123423" w:rsidRDefault="000A0E09" w:rsidP="00C0106D">
      <w:pPr>
        <w:spacing w:line="276" w:lineRule="auto"/>
        <w:ind w:left="567" w:right="567"/>
        <w:jc w:val="both"/>
        <w:rPr>
          <w:rFonts w:ascii="Arial" w:hAnsi="Arial" w:cs="Arial"/>
          <w:i/>
        </w:rPr>
      </w:pPr>
    </w:p>
    <w:p w14:paraId="670B5961" w14:textId="77777777" w:rsidR="0008193C" w:rsidRPr="00123423" w:rsidRDefault="00C0106D" w:rsidP="00F8221A">
      <w:pPr>
        <w:spacing w:line="276" w:lineRule="auto"/>
        <w:ind w:left="567" w:right="567"/>
        <w:jc w:val="both"/>
        <w:rPr>
          <w:rFonts w:ascii="Arial" w:hAnsi="Arial" w:cs="Arial"/>
          <w:i/>
        </w:rPr>
      </w:pPr>
      <w:r w:rsidRPr="00123423">
        <w:rPr>
          <w:rFonts w:ascii="Arial" w:hAnsi="Arial" w:cs="Arial"/>
          <w:i/>
        </w:rPr>
        <w:t>“</w:t>
      </w:r>
      <w:r w:rsidR="000A0E09" w:rsidRPr="00123423">
        <w:rPr>
          <w:rFonts w:ascii="Arial" w:hAnsi="Arial" w:cs="Arial"/>
          <w:i/>
        </w:rPr>
        <w:t xml:space="preserve">Por lo tanto, </w:t>
      </w:r>
      <w:r w:rsidR="002B0FDB" w:rsidRPr="00123423">
        <w:rPr>
          <w:rFonts w:ascii="Arial" w:hAnsi="Arial" w:cs="Arial"/>
          <w:i/>
        </w:rPr>
        <w:t xml:space="preserve">si dentro del proceso de la referencia se establece que existe fundamento para acceder a las pretensiones de la demanda, sería con motivo de acciones ilícitas </w:t>
      </w:r>
      <w:r w:rsidRPr="00123423">
        <w:rPr>
          <w:rFonts w:ascii="Arial" w:hAnsi="Arial" w:cs="Arial"/>
          <w:i/>
        </w:rPr>
        <w:t xml:space="preserve">realizadas por </w:t>
      </w:r>
      <w:r w:rsidRPr="00123423">
        <w:rPr>
          <w:rFonts w:ascii="Arial" w:hAnsi="Arial" w:cs="Arial"/>
        </w:rPr>
        <w:t>[las llamadas en garantía]</w:t>
      </w:r>
      <w:r w:rsidRPr="00123423">
        <w:rPr>
          <w:rFonts w:ascii="Arial" w:hAnsi="Arial" w:cs="Arial"/>
          <w:i/>
        </w:rPr>
        <w:t xml:space="preserve"> y, por lo tanto, es claro el derecho que le asiste a mi mandante, de exigir el que la condena se haga a </w:t>
      </w:r>
      <w:r w:rsidRPr="00123423">
        <w:rPr>
          <w:rFonts w:ascii="Arial" w:hAnsi="Arial" w:cs="Arial"/>
        </w:rPr>
        <w:t>[las llamadas en garantía]</w:t>
      </w:r>
      <w:r w:rsidRPr="00123423">
        <w:rPr>
          <w:rFonts w:ascii="Arial" w:hAnsi="Arial" w:cs="Arial"/>
          <w:i/>
        </w:rPr>
        <w:t>, o a obtener el reembolso total del pago que eventualmente tenga que hacer como resultado de la sentencia que se dicte en el proceso que promovido por la demandante”</w:t>
      </w:r>
      <w:r w:rsidR="00F8221A" w:rsidRPr="00123423">
        <w:rPr>
          <w:rStyle w:val="Refdenotaalpie"/>
          <w:rFonts w:ascii="Arial" w:hAnsi="Arial" w:cs="Arial"/>
        </w:rPr>
        <w:footnoteReference w:id="5"/>
      </w:r>
      <w:r w:rsidRPr="00123423">
        <w:rPr>
          <w:rFonts w:ascii="Arial" w:hAnsi="Arial" w:cs="Arial"/>
          <w:i/>
        </w:rPr>
        <w:t>.</w:t>
      </w:r>
    </w:p>
    <w:p w14:paraId="3970DB25" w14:textId="77777777" w:rsidR="00F8221A" w:rsidRPr="00123423" w:rsidRDefault="00F8221A" w:rsidP="00447044">
      <w:pPr>
        <w:spacing w:line="360" w:lineRule="auto"/>
        <w:jc w:val="both"/>
        <w:rPr>
          <w:rFonts w:ascii="Arial" w:hAnsi="Arial" w:cs="Arial"/>
          <w:b/>
        </w:rPr>
      </w:pPr>
    </w:p>
    <w:p w14:paraId="3993EC6A" w14:textId="77777777" w:rsidR="0008193C" w:rsidRPr="00123423" w:rsidRDefault="00F43F18" w:rsidP="00447044">
      <w:pPr>
        <w:spacing w:line="360" w:lineRule="auto"/>
        <w:jc w:val="both"/>
        <w:rPr>
          <w:rFonts w:ascii="Arial" w:hAnsi="Arial" w:cs="Arial"/>
          <w:b/>
        </w:rPr>
      </w:pPr>
      <w:r w:rsidRPr="00123423">
        <w:rPr>
          <w:rFonts w:ascii="Arial" w:hAnsi="Arial" w:cs="Arial"/>
          <w:b/>
        </w:rPr>
        <w:t xml:space="preserve">3. Autos apelados </w:t>
      </w:r>
    </w:p>
    <w:p w14:paraId="7AE16D67" w14:textId="77777777" w:rsidR="0008193C" w:rsidRPr="00123423" w:rsidRDefault="0008193C" w:rsidP="00447044">
      <w:pPr>
        <w:spacing w:line="360" w:lineRule="auto"/>
        <w:jc w:val="both"/>
        <w:rPr>
          <w:rFonts w:ascii="Arial" w:hAnsi="Arial" w:cs="Arial"/>
        </w:rPr>
      </w:pPr>
    </w:p>
    <w:p w14:paraId="352F12E3" w14:textId="77777777" w:rsidR="00F8221A" w:rsidRPr="00123423" w:rsidRDefault="004223F4" w:rsidP="00447044">
      <w:pPr>
        <w:spacing w:line="360" w:lineRule="auto"/>
        <w:jc w:val="both"/>
        <w:rPr>
          <w:rFonts w:ascii="Arial" w:hAnsi="Arial" w:cs="Arial"/>
        </w:rPr>
      </w:pPr>
      <w:r w:rsidRPr="00123423">
        <w:rPr>
          <w:rFonts w:ascii="Arial" w:hAnsi="Arial" w:cs="Arial"/>
        </w:rPr>
        <w:t xml:space="preserve">El Tribunal Administrativo de Cundinamarca profirió tres autos con fecha de 13 de octubre de 2017, a través de los cuales </w:t>
      </w:r>
      <w:r w:rsidR="00C36D1E" w:rsidRPr="00123423">
        <w:rPr>
          <w:rFonts w:ascii="Arial" w:hAnsi="Arial" w:cs="Arial"/>
        </w:rPr>
        <w:t>negó</w:t>
      </w:r>
      <w:r w:rsidRPr="00123423">
        <w:rPr>
          <w:rFonts w:ascii="Arial" w:hAnsi="Arial" w:cs="Arial"/>
        </w:rPr>
        <w:t xml:space="preserve"> los llamamientos en garantía </w:t>
      </w:r>
      <w:r w:rsidRPr="00123423">
        <w:rPr>
          <w:rFonts w:ascii="Arial" w:hAnsi="Arial" w:cs="Arial"/>
        </w:rPr>
        <w:lastRenderedPageBreak/>
        <w:t xml:space="preserve">solicitados por </w:t>
      </w:r>
      <w:r w:rsidR="00F229AF" w:rsidRPr="00123423">
        <w:rPr>
          <w:rFonts w:ascii="Arial" w:hAnsi="Arial" w:cs="Arial"/>
        </w:rPr>
        <w:t xml:space="preserve">la entidad demandada, </w:t>
      </w:r>
      <w:r w:rsidRPr="00123423">
        <w:rPr>
          <w:rFonts w:ascii="Arial" w:hAnsi="Arial" w:cs="Arial"/>
        </w:rPr>
        <w:t>Colombia Compra Eficiente</w:t>
      </w:r>
      <w:r w:rsidR="00F229AF" w:rsidRPr="00123423">
        <w:rPr>
          <w:rFonts w:ascii="Arial" w:hAnsi="Arial" w:cs="Arial"/>
        </w:rPr>
        <w:t>,</w:t>
      </w:r>
      <w:r w:rsidRPr="00123423">
        <w:rPr>
          <w:rFonts w:ascii="Arial" w:hAnsi="Arial" w:cs="Arial"/>
        </w:rPr>
        <w:t xml:space="preserve"> en relación con las uniones temporales Ediciones SM V</w:t>
      </w:r>
      <w:r w:rsidRPr="00123423">
        <w:rPr>
          <w:rStyle w:val="Refdenotaalpie"/>
          <w:rFonts w:ascii="Arial" w:hAnsi="Arial" w:cs="Arial"/>
        </w:rPr>
        <w:footnoteReference w:id="6"/>
      </w:r>
      <w:r w:rsidRPr="00123423">
        <w:rPr>
          <w:rFonts w:ascii="Arial" w:hAnsi="Arial" w:cs="Arial"/>
        </w:rPr>
        <w:t xml:space="preserve"> y Ediciones SM IV</w:t>
      </w:r>
      <w:r w:rsidRPr="00123423">
        <w:rPr>
          <w:rStyle w:val="Refdenotaalpie"/>
          <w:rFonts w:ascii="Arial" w:hAnsi="Arial" w:cs="Arial"/>
        </w:rPr>
        <w:footnoteReference w:id="7"/>
      </w:r>
      <w:r w:rsidRPr="00123423">
        <w:rPr>
          <w:rFonts w:ascii="Arial" w:hAnsi="Arial" w:cs="Arial"/>
        </w:rPr>
        <w:t xml:space="preserve"> y la sociedad Difusora Larousse de Colombia Ltda.</w:t>
      </w:r>
      <w:r w:rsidRPr="00123423">
        <w:rPr>
          <w:rStyle w:val="Refdenotaalpie"/>
          <w:rFonts w:ascii="Arial" w:hAnsi="Arial" w:cs="Arial"/>
        </w:rPr>
        <w:footnoteReference w:id="8"/>
      </w:r>
      <w:r w:rsidR="00CF1781" w:rsidRPr="00123423">
        <w:rPr>
          <w:rFonts w:ascii="Arial" w:hAnsi="Arial" w:cs="Arial"/>
        </w:rPr>
        <w:t>, respectivamente, pues, en su criterio,</w:t>
      </w:r>
      <w:r w:rsidR="00C36D1E" w:rsidRPr="00123423">
        <w:rPr>
          <w:rFonts w:ascii="Arial" w:hAnsi="Arial" w:cs="Arial"/>
        </w:rPr>
        <w:t xml:space="preserve"> no se evidencia un vínculo ni legal ni contractual entre el llamante y los llamados. </w:t>
      </w:r>
    </w:p>
    <w:p w14:paraId="69F45BB7" w14:textId="77777777" w:rsidR="00792A66" w:rsidRPr="00123423" w:rsidRDefault="00792A66" w:rsidP="00447044">
      <w:pPr>
        <w:spacing w:line="360" w:lineRule="auto"/>
        <w:jc w:val="both"/>
        <w:rPr>
          <w:rFonts w:ascii="Arial" w:hAnsi="Arial" w:cs="Arial"/>
        </w:rPr>
      </w:pPr>
    </w:p>
    <w:p w14:paraId="5E6F5FBC" w14:textId="77777777" w:rsidR="00CF3764" w:rsidRPr="00123423" w:rsidRDefault="00E26058" w:rsidP="00447044">
      <w:pPr>
        <w:spacing w:line="360" w:lineRule="auto"/>
        <w:jc w:val="both"/>
        <w:rPr>
          <w:rFonts w:ascii="Arial" w:hAnsi="Arial" w:cs="Arial"/>
        </w:rPr>
      </w:pPr>
      <w:r w:rsidRPr="00123423">
        <w:rPr>
          <w:rFonts w:ascii="Arial" w:hAnsi="Arial" w:cs="Arial"/>
        </w:rPr>
        <w:t xml:space="preserve">Al respecto, el Tribunal </w:t>
      </w:r>
      <w:r w:rsidRPr="00123423">
        <w:rPr>
          <w:rFonts w:ascii="Arial" w:hAnsi="Arial" w:cs="Arial"/>
          <w:i/>
        </w:rPr>
        <w:t>a quo</w:t>
      </w:r>
      <w:r w:rsidRPr="00123423">
        <w:rPr>
          <w:rFonts w:ascii="Arial" w:hAnsi="Arial" w:cs="Arial"/>
        </w:rPr>
        <w:t xml:space="preserve"> </w:t>
      </w:r>
      <w:r w:rsidR="007B5E81" w:rsidRPr="00123423">
        <w:rPr>
          <w:rFonts w:ascii="Arial" w:hAnsi="Arial" w:cs="Arial"/>
        </w:rPr>
        <w:t>advirtió que resultaba improcedente “</w:t>
      </w:r>
      <w:r w:rsidR="007B5E81" w:rsidRPr="00123423">
        <w:rPr>
          <w:rFonts w:ascii="Arial" w:hAnsi="Arial" w:cs="Arial"/>
          <w:i/>
        </w:rPr>
        <w:t xml:space="preserve">pretender constituir una relación legal </w:t>
      </w:r>
      <w:r w:rsidR="00366EFC" w:rsidRPr="00123423">
        <w:rPr>
          <w:rFonts w:ascii="Arial" w:hAnsi="Arial" w:cs="Arial"/>
        </w:rPr>
        <w:t xml:space="preserve">[o contractual] </w:t>
      </w:r>
      <w:r w:rsidR="007B5E81" w:rsidRPr="00123423">
        <w:rPr>
          <w:rFonts w:ascii="Arial" w:hAnsi="Arial" w:cs="Arial"/>
          <w:i/>
        </w:rPr>
        <w:t>responsabilidad a partir de presuntas acciones ilícitas cometidas por los adjudicatarios por una supuesta colusión”</w:t>
      </w:r>
      <w:r w:rsidR="007B5E81" w:rsidRPr="00123423">
        <w:rPr>
          <w:rFonts w:ascii="Arial" w:hAnsi="Arial" w:cs="Arial"/>
        </w:rPr>
        <w:t xml:space="preserve">, pues, a su juicio, a partir de allí no se </w:t>
      </w:r>
      <w:r w:rsidR="00DE6E04" w:rsidRPr="00123423">
        <w:rPr>
          <w:rFonts w:ascii="Arial" w:hAnsi="Arial" w:cs="Arial"/>
        </w:rPr>
        <w:t>desprendía</w:t>
      </w:r>
      <w:r w:rsidR="00366EFC" w:rsidRPr="00123423">
        <w:rPr>
          <w:rFonts w:ascii="Arial" w:hAnsi="Arial" w:cs="Arial"/>
        </w:rPr>
        <w:t xml:space="preserve"> derecho </w:t>
      </w:r>
      <w:r w:rsidR="007B5E81" w:rsidRPr="00123423">
        <w:rPr>
          <w:rFonts w:ascii="Arial" w:hAnsi="Arial" w:cs="Arial"/>
        </w:rPr>
        <w:t>alguno para que las llamadas en garant</w:t>
      </w:r>
      <w:r w:rsidR="00DE6E04" w:rsidRPr="00123423">
        <w:rPr>
          <w:rFonts w:ascii="Arial" w:hAnsi="Arial" w:cs="Arial"/>
        </w:rPr>
        <w:t>ía respondieran</w:t>
      </w:r>
      <w:r w:rsidR="007B5E81" w:rsidRPr="00123423">
        <w:rPr>
          <w:rFonts w:ascii="Arial" w:hAnsi="Arial" w:cs="Arial"/>
        </w:rPr>
        <w:t xml:space="preserve"> por una eventual sentencia condenatoria.</w:t>
      </w:r>
      <w:r w:rsidR="00DE6E04" w:rsidRPr="00123423">
        <w:rPr>
          <w:rFonts w:ascii="Arial" w:hAnsi="Arial" w:cs="Arial"/>
        </w:rPr>
        <w:t xml:space="preserve"> Agregó que </w:t>
      </w:r>
      <w:r w:rsidR="00CF3764" w:rsidRPr="00123423">
        <w:rPr>
          <w:rFonts w:ascii="Arial" w:hAnsi="Arial" w:cs="Arial"/>
        </w:rPr>
        <w:t>esa</w:t>
      </w:r>
      <w:r w:rsidR="009452ED" w:rsidRPr="00123423">
        <w:rPr>
          <w:rFonts w:ascii="Arial" w:hAnsi="Arial" w:cs="Arial"/>
        </w:rPr>
        <w:t>s</w:t>
      </w:r>
      <w:r w:rsidR="00DE6E04" w:rsidRPr="00123423">
        <w:rPr>
          <w:rFonts w:ascii="Arial" w:hAnsi="Arial" w:cs="Arial"/>
        </w:rPr>
        <w:t xml:space="preserve"> “</w:t>
      </w:r>
      <w:r w:rsidR="00DE6E04" w:rsidRPr="00123423">
        <w:rPr>
          <w:rFonts w:ascii="Arial" w:hAnsi="Arial" w:cs="Arial"/>
          <w:i/>
        </w:rPr>
        <w:t>presuntas acciones ilícitas</w:t>
      </w:r>
      <w:r w:rsidR="00DE6E04" w:rsidRPr="00123423">
        <w:rPr>
          <w:rFonts w:ascii="Arial" w:hAnsi="Arial" w:cs="Arial"/>
        </w:rPr>
        <w:t xml:space="preserve">” constituyen calificativos </w:t>
      </w:r>
      <w:r w:rsidR="00CF3764" w:rsidRPr="00123423">
        <w:rPr>
          <w:rFonts w:ascii="Arial" w:hAnsi="Arial" w:cs="Arial"/>
        </w:rPr>
        <w:t xml:space="preserve">que deben ser conocidos por la justicia penal y disciplinaria y no por la jurisdicción de lo contencioso administrativo. </w:t>
      </w:r>
    </w:p>
    <w:p w14:paraId="71B88A7B" w14:textId="77777777" w:rsidR="00DE6E04" w:rsidRPr="00123423" w:rsidRDefault="00DE6E04" w:rsidP="00447044">
      <w:pPr>
        <w:spacing w:line="360" w:lineRule="auto"/>
        <w:jc w:val="both"/>
        <w:rPr>
          <w:rFonts w:ascii="Arial" w:hAnsi="Arial" w:cs="Arial"/>
        </w:rPr>
      </w:pPr>
    </w:p>
    <w:p w14:paraId="4FA5930F" w14:textId="77777777" w:rsidR="00F43F18" w:rsidRPr="00123423" w:rsidRDefault="00F43F18" w:rsidP="00447044">
      <w:pPr>
        <w:spacing w:line="360" w:lineRule="auto"/>
        <w:jc w:val="both"/>
        <w:rPr>
          <w:rFonts w:ascii="Arial" w:hAnsi="Arial" w:cs="Arial"/>
          <w:b/>
        </w:rPr>
      </w:pPr>
      <w:r w:rsidRPr="00123423">
        <w:rPr>
          <w:rFonts w:ascii="Arial" w:hAnsi="Arial" w:cs="Arial"/>
          <w:b/>
        </w:rPr>
        <w:t>4. Recursos de apelación</w:t>
      </w:r>
    </w:p>
    <w:p w14:paraId="1E078263" w14:textId="77777777" w:rsidR="00295635" w:rsidRPr="00123423" w:rsidRDefault="00295635" w:rsidP="00447044">
      <w:pPr>
        <w:spacing w:line="360" w:lineRule="auto"/>
        <w:jc w:val="both"/>
        <w:rPr>
          <w:rFonts w:ascii="Arial" w:hAnsi="Arial" w:cs="Arial"/>
        </w:rPr>
      </w:pPr>
    </w:p>
    <w:p w14:paraId="2121E4F0" w14:textId="77777777" w:rsidR="0008193C" w:rsidRPr="00123423" w:rsidRDefault="00295635" w:rsidP="00447044">
      <w:pPr>
        <w:spacing w:line="360" w:lineRule="auto"/>
        <w:jc w:val="both"/>
        <w:rPr>
          <w:rFonts w:ascii="Arial" w:hAnsi="Arial" w:cs="Arial"/>
        </w:rPr>
      </w:pPr>
      <w:r w:rsidRPr="00123423">
        <w:rPr>
          <w:rFonts w:ascii="Arial" w:hAnsi="Arial" w:cs="Arial"/>
        </w:rPr>
        <w:t>Colombia Compra Eficiente, mediante tres escritos que presentó por separado</w:t>
      </w:r>
      <w:r w:rsidR="009452ED" w:rsidRPr="00123423">
        <w:rPr>
          <w:rFonts w:ascii="Arial" w:hAnsi="Arial" w:cs="Arial"/>
        </w:rPr>
        <w:t>,</w:t>
      </w:r>
      <w:r w:rsidRPr="00123423">
        <w:rPr>
          <w:rFonts w:ascii="Arial" w:hAnsi="Arial" w:cs="Arial"/>
        </w:rPr>
        <w:t xml:space="preserve"> pero que radicó en la misma fecha (26 de octubre de 2017)</w:t>
      </w:r>
      <w:r w:rsidRPr="00123423">
        <w:rPr>
          <w:rStyle w:val="Refdenotaalpie"/>
          <w:rFonts w:ascii="Arial" w:hAnsi="Arial" w:cs="Arial"/>
        </w:rPr>
        <w:footnoteReference w:id="9"/>
      </w:r>
      <w:r w:rsidR="00907999" w:rsidRPr="00123423">
        <w:rPr>
          <w:rFonts w:ascii="Arial" w:hAnsi="Arial" w:cs="Arial"/>
        </w:rPr>
        <w:t xml:space="preserve"> ante el Tribunal Administrativo de Cundinamarca</w:t>
      </w:r>
      <w:r w:rsidRPr="00123423">
        <w:rPr>
          <w:rFonts w:ascii="Arial" w:hAnsi="Arial" w:cs="Arial"/>
        </w:rPr>
        <w:t>, interpuso los respectivos recursos de apelación contr</w:t>
      </w:r>
      <w:r w:rsidR="009452ED" w:rsidRPr="00123423">
        <w:rPr>
          <w:rFonts w:ascii="Arial" w:hAnsi="Arial" w:cs="Arial"/>
        </w:rPr>
        <w:t xml:space="preserve">a los tres autos que profirió </w:t>
      </w:r>
      <w:r w:rsidR="00907999" w:rsidRPr="00123423">
        <w:rPr>
          <w:rFonts w:ascii="Arial" w:hAnsi="Arial" w:cs="Arial"/>
        </w:rPr>
        <w:t>esa Corporación,</w:t>
      </w:r>
      <w:r w:rsidRPr="00123423">
        <w:rPr>
          <w:rFonts w:ascii="Arial" w:hAnsi="Arial" w:cs="Arial"/>
        </w:rPr>
        <w:t xml:space="preserve"> a través de los cuales negó los llamamientos en garantía </w:t>
      </w:r>
      <w:r w:rsidR="00644E1D" w:rsidRPr="00123423">
        <w:rPr>
          <w:rFonts w:ascii="Arial" w:hAnsi="Arial" w:cs="Arial"/>
        </w:rPr>
        <w:t>indicados en precedencia.</w:t>
      </w:r>
    </w:p>
    <w:p w14:paraId="2C587DEA" w14:textId="77777777" w:rsidR="00644E1D" w:rsidRPr="00123423" w:rsidRDefault="00644E1D" w:rsidP="00447044">
      <w:pPr>
        <w:spacing w:line="360" w:lineRule="auto"/>
        <w:jc w:val="both"/>
        <w:rPr>
          <w:rFonts w:ascii="Arial" w:hAnsi="Arial" w:cs="Arial"/>
        </w:rPr>
      </w:pPr>
    </w:p>
    <w:p w14:paraId="59E352B9" w14:textId="77777777" w:rsidR="00644E1D" w:rsidRPr="00123423" w:rsidRDefault="00644E1D" w:rsidP="00447044">
      <w:pPr>
        <w:spacing w:line="360" w:lineRule="auto"/>
        <w:jc w:val="both"/>
        <w:rPr>
          <w:rFonts w:ascii="Arial" w:hAnsi="Arial" w:cs="Arial"/>
        </w:rPr>
      </w:pPr>
      <w:r w:rsidRPr="00123423">
        <w:rPr>
          <w:rFonts w:ascii="Arial" w:hAnsi="Arial" w:cs="Arial"/>
        </w:rPr>
        <w:t xml:space="preserve">Las tres impugnaciones cuentan con los mismos argumentos de inconformidad. En síntesis, se señaló </w:t>
      </w:r>
      <w:r w:rsidR="003A1557" w:rsidRPr="00123423">
        <w:rPr>
          <w:rFonts w:ascii="Arial" w:hAnsi="Arial" w:cs="Arial"/>
        </w:rPr>
        <w:t xml:space="preserve">que sí existe un vínculo legal y contractual entre Colombia Compra Eficiente y las llamadas en garantía, por las obligaciones que surgieron, de un lado, en la fase de licitación y, por otra parte, del contrato que se suscribió. </w:t>
      </w:r>
    </w:p>
    <w:p w14:paraId="00E95F73" w14:textId="77777777" w:rsidR="003A1557" w:rsidRPr="00123423" w:rsidRDefault="003A1557" w:rsidP="00447044">
      <w:pPr>
        <w:spacing w:line="360" w:lineRule="auto"/>
        <w:jc w:val="both"/>
        <w:rPr>
          <w:rFonts w:ascii="Arial" w:hAnsi="Arial" w:cs="Arial"/>
        </w:rPr>
      </w:pPr>
    </w:p>
    <w:p w14:paraId="13FF62E5" w14:textId="77777777" w:rsidR="00DE5397" w:rsidRPr="00123423" w:rsidRDefault="009452ED" w:rsidP="00DE5397">
      <w:pPr>
        <w:spacing w:line="360" w:lineRule="auto"/>
        <w:jc w:val="both"/>
        <w:rPr>
          <w:rFonts w:ascii="Arial" w:hAnsi="Arial" w:cs="Arial"/>
        </w:rPr>
      </w:pPr>
      <w:r w:rsidRPr="00123423">
        <w:rPr>
          <w:rFonts w:ascii="Arial" w:hAnsi="Arial" w:cs="Arial"/>
        </w:rPr>
        <w:t>Sobre este punto</w:t>
      </w:r>
      <w:r w:rsidR="00DE5397" w:rsidRPr="00123423">
        <w:rPr>
          <w:rFonts w:ascii="Arial" w:hAnsi="Arial" w:cs="Arial"/>
        </w:rPr>
        <w:t xml:space="preserve"> se insistió en que, en la fase de licitación, las llamadas en garantía, que resultaron adjudicatarias respecto del contrato cuya nulidad se pide en la demanda, se obligaron a comportarse acorde con la buena fe, a no efectuar acuerdos colusorios en el proceso de contratación y a presentar una oferta seria, todo ello en favor de Colombia Compra Eficiente. Asimismo, se destacó que en el contrato suscrito con las llamadas en garantía se pactó que estas debían &lt;&lt;</w:t>
      </w:r>
      <w:r w:rsidR="00DE5397" w:rsidRPr="00123423">
        <w:rPr>
          <w:rFonts w:ascii="Arial" w:hAnsi="Arial" w:cs="Arial"/>
          <w:i/>
        </w:rPr>
        <w:t xml:space="preserve">(…)mantener libre e indemne a Colombia Compra Eficiente y a la Entidades </w:t>
      </w:r>
      <w:r w:rsidR="00DE5397" w:rsidRPr="00123423">
        <w:rPr>
          <w:rFonts w:ascii="Arial" w:hAnsi="Arial" w:cs="Arial"/>
          <w:i/>
        </w:rPr>
        <w:lastRenderedPageBreak/>
        <w:t>Compradoras por cualquier daño o perjuicio originado en reclamaciones provenientes de terceros, que tengan como causa directa las actuaciones del Proveedor</w:t>
      </w:r>
      <w:r w:rsidR="00DE5397" w:rsidRPr="00123423">
        <w:rPr>
          <w:rFonts w:ascii="Arial" w:hAnsi="Arial" w:cs="Arial"/>
        </w:rPr>
        <w:t>&gt;&gt;.</w:t>
      </w:r>
    </w:p>
    <w:p w14:paraId="4781B3CC" w14:textId="77777777" w:rsidR="00FB324D" w:rsidRPr="00123423" w:rsidRDefault="00FB324D" w:rsidP="006C3DC1">
      <w:pPr>
        <w:spacing w:line="276" w:lineRule="auto"/>
        <w:ind w:right="567"/>
        <w:jc w:val="both"/>
        <w:rPr>
          <w:rFonts w:ascii="Arial" w:hAnsi="Arial" w:cs="Arial"/>
        </w:rPr>
      </w:pPr>
    </w:p>
    <w:p w14:paraId="55DB7ED3" w14:textId="77777777" w:rsidR="00677829" w:rsidRPr="00123423" w:rsidRDefault="00144E85" w:rsidP="000D53A6">
      <w:pPr>
        <w:spacing w:line="360" w:lineRule="auto"/>
        <w:jc w:val="center"/>
        <w:rPr>
          <w:rFonts w:ascii="Arial" w:hAnsi="Arial" w:cs="Arial"/>
          <w:b/>
        </w:rPr>
      </w:pPr>
      <w:r w:rsidRPr="00123423">
        <w:rPr>
          <w:rFonts w:ascii="Arial" w:hAnsi="Arial" w:cs="Arial"/>
          <w:b/>
        </w:rPr>
        <w:t xml:space="preserve">II. CONSIDERACIONES </w:t>
      </w:r>
    </w:p>
    <w:p w14:paraId="609D4169" w14:textId="77777777" w:rsidR="000D53A6" w:rsidRPr="00123423" w:rsidRDefault="000D53A6" w:rsidP="00FB324D">
      <w:pPr>
        <w:spacing w:line="360" w:lineRule="auto"/>
        <w:jc w:val="center"/>
        <w:rPr>
          <w:rFonts w:ascii="Arial" w:hAnsi="Arial" w:cs="Arial"/>
          <w:b/>
        </w:rPr>
      </w:pPr>
    </w:p>
    <w:p w14:paraId="0BE35468" w14:textId="77777777" w:rsidR="008B5ED7" w:rsidRPr="00123423" w:rsidRDefault="00EB07C2" w:rsidP="00EE3DF5">
      <w:pPr>
        <w:jc w:val="both"/>
        <w:rPr>
          <w:rFonts w:ascii="Arial" w:hAnsi="Arial" w:cs="Arial"/>
          <w:b/>
        </w:rPr>
      </w:pPr>
      <w:r w:rsidRPr="00123423">
        <w:rPr>
          <w:rFonts w:ascii="Arial" w:hAnsi="Arial" w:cs="Arial"/>
          <w:b/>
        </w:rPr>
        <w:t xml:space="preserve">1. </w:t>
      </w:r>
      <w:r w:rsidR="00804454" w:rsidRPr="00123423">
        <w:rPr>
          <w:rFonts w:ascii="Arial" w:hAnsi="Arial" w:cs="Arial"/>
          <w:b/>
          <w:bCs/>
        </w:rPr>
        <w:t xml:space="preserve">Procedencia </w:t>
      </w:r>
      <w:r w:rsidR="00117A06" w:rsidRPr="00123423">
        <w:rPr>
          <w:rFonts w:ascii="Arial" w:hAnsi="Arial" w:cs="Arial"/>
          <w:b/>
          <w:bCs/>
        </w:rPr>
        <w:t xml:space="preserve">y oportunidad </w:t>
      </w:r>
      <w:r w:rsidR="00804454" w:rsidRPr="00123423">
        <w:rPr>
          <w:rFonts w:ascii="Arial" w:hAnsi="Arial" w:cs="Arial"/>
          <w:b/>
          <w:bCs/>
        </w:rPr>
        <w:t>de los</w:t>
      </w:r>
      <w:r w:rsidR="008B5ED7" w:rsidRPr="00123423">
        <w:rPr>
          <w:rFonts w:ascii="Arial" w:hAnsi="Arial" w:cs="Arial"/>
          <w:b/>
          <w:bCs/>
        </w:rPr>
        <w:t xml:space="preserve"> recurso</w:t>
      </w:r>
      <w:r w:rsidR="00804454" w:rsidRPr="00123423">
        <w:rPr>
          <w:rFonts w:ascii="Arial" w:hAnsi="Arial" w:cs="Arial"/>
          <w:b/>
          <w:bCs/>
        </w:rPr>
        <w:t>s</w:t>
      </w:r>
      <w:r w:rsidR="008B5ED7" w:rsidRPr="00123423">
        <w:rPr>
          <w:rFonts w:ascii="Arial" w:hAnsi="Arial" w:cs="Arial"/>
          <w:b/>
          <w:bCs/>
        </w:rPr>
        <w:t xml:space="preserve"> d</w:t>
      </w:r>
      <w:r w:rsidRPr="00123423">
        <w:rPr>
          <w:rFonts w:ascii="Arial" w:hAnsi="Arial" w:cs="Arial"/>
          <w:b/>
          <w:bCs/>
        </w:rPr>
        <w:t xml:space="preserve">e apelación </w:t>
      </w:r>
      <w:r w:rsidR="006C4311" w:rsidRPr="00123423">
        <w:rPr>
          <w:rFonts w:ascii="Arial" w:hAnsi="Arial" w:cs="Arial"/>
          <w:b/>
          <w:bCs/>
        </w:rPr>
        <w:t xml:space="preserve">interpuestos </w:t>
      </w:r>
      <w:r w:rsidRPr="00123423">
        <w:rPr>
          <w:rFonts w:ascii="Arial" w:hAnsi="Arial" w:cs="Arial"/>
          <w:b/>
          <w:bCs/>
        </w:rPr>
        <w:t xml:space="preserve">y </w:t>
      </w:r>
      <w:r w:rsidR="008B5ED7" w:rsidRPr="00123423">
        <w:rPr>
          <w:rFonts w:ascii="Arial" w:hAnsi="Arial" w:cs="Arial"/>
          <w:b/>
          <w:bCs/>
        </w:rPr>
        <w:t xml:space="preserve">competencia </w:t>
      </w:r>
      <w:r w:rsidR="00A341DF" w:rsidRPr="00123423">
        <w:rPr>
          <w:rFonts w:ascii="Arial" w:hAnsi="Arial" w:cs="Arial"/>
          <w:b/>
          <w:bCs/>
        </w:rPr>
        <w:t xml:space="preserve">de </w:t>
      </w:r>
      <w:r w:rsidR="00804454" w:rsidRPr="00123423">
        <w:rPr>
          <w:rFonts w:ascii="Arial" w:hAnsi="Arial" w:cs="Arial"/>
          <w:b/>
          <w:bCs/>
        </w:rPr>
        <w:t>la magistrada ponente</w:t>
      </w:r>
      <w:r w:rsidR="00625D7A" w:rsidRPr="00123423">
        <w:rPr>
          <w:rFonts w:ascii="Arial" w:hAnsi="Arial" w:cs="Arial"/>
          <w:b/>
          <w:bCs/>
        </w:rPr>
        <w:t xml:space="preserve"> para resolverlos</w:t>
      </w:r>
    </w:p>
    <w:p w14:paraId="2B29C58A" w14:textId="77777777" w:rsidR="00740CF0" w:rsidRPr="00123423" w:rsidRDefault="00740CF0" w:rsidP="00B47A0D">
      <w:pPr>
        <w:spacing w:line="360" w:lineRule="auto"/>
        <w:jc w:val="both"/>
        <w:rPr>
          <w:rFonts w:ascii="Arial" w:eastAsia="Calibri" w:hAnsi="Arial" w:cs="Arial"/>
          <w:spacing w:val="2"/>
          <w:lang w:eastAsia="en-US"/>
        </w:rPr>
      </w:pPr>
    </w:p>
    <w:p w14:paraId="7C8C1BF7" w14:textId="77777777" w:rsidR="00117A06" w:rsidRPr="00123423" w:rsidRDefault="00740CF0" w:rsidP="00740CF0">
      <w:pPr>
        <w:spacing w:line="360" w:lineRule="auto"/>
        <w:jc w:val="both"/>
        <w:rPr>
          <w:rFonts w:ascii="Arial" w:eastAsia="Calibri" w:hAnsi="Arial" w:cs="Arial"/>
          <w:lang w:eastAsia="en-US"/>
        </w:rPr>
      </w:pPr>
      <w:r w:rsidRPr="00123423">
        <w:rPr>
          <w:rFonts w:ascii="Arial" w:eastAsia="Calibri" w:hAnsi="Arial" w:cs="Arial"/>
          <w:lang w:eastAsia="en-US"/>
        </w:rPr>
        <w:t xml:space="preserve">De conformidad con </w:t>
      </w:r>
      <w:r w:rsidR="00804454" w:rsidRPr="00123423">
        <w:rPr>
          <w:rFonts w:ascii="Arial" w:eastAsia="Calibri" w:hAnsi="Arial" w:cs="Arial"/>
          <w:lang w:eastAsia="en-US"/>
        </w:rPr>
        <w:t>lo dispuesto en el artículo 226</w:t>
      </w:r>
      <w:r w:rsidRPr="00123423">
        <w:rPr>
          <w:rFonts w:ascii="Arial" w:eastAsia="Calibri" w:hAnsi="Arial" w:cs="Arial"/>
          <w:vertAlign w:val="superscript"/>
          <w:lang w:eastAsia="en-US"/>
        </w:rPr>
        <w:footnoteReference w:id="10"/>
      </w:r>
      <w:r w:rsidRPr="00123423">
        <w:rPr>
          <w:rFonts w:ascii="Arial" w:eastAsia="Calibri" w:hAnsi="Arial" w:cs="Arial"/>
          <w:lang w:eastAsia="en-US"/>
        </w:rPr>
        <w:t xml:space="preserve"> de</w:t>
      </w:r>
      <w:r w:rsidR="003D7751" w:rsidRPr="00123423">
        <w:rPr>
          <w:rFonts w:ascii="Arial" w:eastAsia="Calibri" w:hAnsi="Arial" w:cs="Arial"/>
          <w:lang w:eastAsia="en-US"/>
        </w:rPr>
        <w:t>l</w:t>
      </w:r>
      <w:r w:rsidRPr="00123423">
        <w:rPr>
          <w:rFonts w:ascii="Arial" w:eastAsia="Calibri" w:hAnsi="Arial" w:cs="Arial"/>
          <w:lang w:eastAsia="en-US"/>
        </w:rPr>
        <w:t xml:space="preserve"> CPACA, el recurso de apelación</w:t>
      </w:r>
      <w:r w:rsidR="00117A06" w:rsidRPr="00123423">
        <w:rPr>
          <w:rStyle w:val="Refdenotaalpie"/>
          <w:rFonts w:ascii="Arial" w:eastAsia="Calibri" w:hAnsi="Arial" w:cs="Arial"/>
          <w:lang w:eastAsia="en-US"/>
        </w:rPr>
        <w:footnoteReference w:id="11"/>
      </w:r>
      <w:r w:rsidRPr="00123423">
        <w:rPr>
          <w:rFonts w:ascii="Arial" w:eastAsia="Calibri" w:hAnsi="Arial" w:cs="Arial"/>
          <w:lang w:eastAsia="en-US"/>
        </w:rPr>
        <w:t xml:space="preserve"> es procedente contra el auto que </w:t>
      </w:r>
      <w:r w:rsidR="00117A06" w:rsidRPr="00123423">
        <w:rPr>
          <w:rFonts w:ascii="Arial" w:eastAsia="Calibri" w:hAnsi="Arial" w:cs="Arial"/>
          <w:lang w:eastAsia="en-US"/>
        </w:rPr>
        <w:t xml:space="preserve">niega la intervención de terceros en primera instancia, de manera que resultan apelables las tres providencias  mediante las cuales el Tribunal </w:t>
      </w:r>
      <w:r w:rsidR="00117A06" w:rsidRPr="00123423">
        <w:rPr>
          <w:rFonts w:ascii="Arial" w:eastAsia="Calibri" w:hAnsi="Arial" w:cs="Arial"/>
          <w:i/>
          <w:lang w:eastAsia="en-US"/>
        </w:rPr>
        <w:t>a quo</w:t>
      </w:r>
      <w:r w:rsidR="00117A06" w:rsidRPr="00123423">
        <w:rPr>
          <w:rFonts w:ascii="Arial" w:eastAsia="Calibri" w:hAnsi="Arial" w:cs="Arial"/>
          <w:lang w:eastAsia="en-US"/>
        </w:rPr>
        <w:t xml:space="preserve"> negó los llamamientos en garantía formulados por Colombia Compra Eficiente. Asimismo, cabe señalar que los proveídos impugnados </w:t>
      </w:r>
      <w:r w:rsidR="0077404C" w:rsidRPr="00123423">
        <w:rPr>
          <w:rFonts w:ascii="Arial" w:eastAsia="Calibri" w:hAnsi="Arial" w:cs="Arial"/>
          <w:lang w:eastAsia="en-US"/>
        </w:rPr>
        <w:t xml:space="preserve">se notificaron por estado el 23 de octubre de 2017, por lo que el término de ejecutoria corrió entre el 24 y el 26 de los mismos mes y año, y como los recursos de apelación se interpusieron en la última de estas fechas, se concluye que se presentaron dentro de la oportunidad legal prevista. </w:t>
      </w:r>
    </w:p>
    <w:p w14:paraId="2619D4F5" w14:textId="77777777" w:rsidR="00804454" w:rsidRPr="00123423" w:rsidRDefault="00804454" w:rsidP="00740CF0">
      <w:pPr>
        <w:spacing w:line="360" w:lineRule="auto"/>
        <w:jc w:val="both"/>
        <w:rPr>
          <w:rFonts w:ascii="Arial" w:eastAsia="Calibri" w:hAnsi="Arial" w:cs="Arial"/>
          <w:lang w:eastAsia="en-US"/>
        </w:rPr>
      </w:pPr>
    </w:p>
    <w:p w14:paraId="480B8927" w14:textId="77777777" w:rsidR="00625D7A" w:rsidRPr="00123423" w:rsidRDefault="00625D7A" w:rsidP="00625D7A">
      <w:pPr>
        <w:spacing w:line="360" w:lineRule="auto"/>
        <w:jc w:val="both"/>
        <w:rPr>
          <w:rFonts w:ascii="Arial" w:eastAsia="Arial Unicode MS" w:hAnsi="Arial" w:cs="Arial"/>
          <w:bdr w:val="nil"/>
          <w:lang w:val="es-CO" w:eastAsia="en-US"/>
        </w:rPr>
      </w:pPr>
      <w:r w:rsidRPr="00123423">
        <w:rPr>
          <w:rFonts w:ascii="Arial" w:eastAsia="Calibri" w:hAnsi="Arial" w:cs="Arial"/>
          <w:lang w:eastAsia="en-US"/>
        </w:rPr>
        <w:t>De otra parte, en los términos del artículo 150</w:t>
      </w:r>
      <w:r w:rsidRPr="00123423">
        <w:rPr>
          <w:rStyle w:val="Refdenotaalpie"/>
          <w:rFonts w:ascii="Arial" w:eastAsia="Calibri" w:hAnsi="Arial" w:cs="Arial"/>
          <w:spacing w:val="2"/>
          <w:lang w:eastAsia="en-US"/>
        </w:rPr>
        <w:footnoteReference w:id="12"/>
      </w:r>
      <w:r w:rsidRPr="00123423">
        <w:rPr>
          <w:rFonts w:ascii="Arial" w:eastAsia="Calibri" w:hAnsi="Arial" w:cs="Arial"/>
          <w:lang w:eastAsia="en-US"/>
        </w:rPr>
        <w:t xml:space="preserve"> del CPACA, </w:t>
      </w:r>
      <w:r w:rsidRPr="00123423">
        <w:rPr>
          <w:rFonts w:ascii="Arial" w:eastAsia="Arial Unicode MS" w:hAnsi="Arial" w:cs="Arial"/>
          <w:bdr w:val="nil"/>
          <w:lang w:val="es-CO" w:eastAsia="en-US"/>
        </w:rPr>
        <w:t>esta Corporación conoce en segunda instancia de los recursos de apelación interpuestos contra los autos proferidos por los tribunales administrativos, respecto de los cuales resulte procedente este medio de impugnación. A su vez, según lo dispuesto en el artículo 125</w:t>
      </w:r>
      <w:r w:rsidRPr="00123423">
        <w:rPr>
          <w:rFonts w:ascii="Arial" w:hAnsi="Arial" w:cs="Arial"/>
          <w:vertAlign w:val="superscript"/>
          <w:lang w:val="es-CO"/>
        </w:rPr>
        <w:footnoteReference w:id="13"/>
      </w:r>
      <w:r w:rsidR="004E2F2F" w:rsidRPr="00123423">
        <w:rPr>
          <w:rFonts w:ascii="Arial" w:eastAsia="Arial Unicode MS" w:hAnsi="Arial" w:cs="Arial"/>
          <w:bdr w:val="nil"/>
          <w:lang w:val="es-CO" w:eastAsia="en-US"/>
        </w:rPr>
        <w:t xml:space="preserve"> </w:t>
      </w:r>
      <w:r w:rsidRPr="00123423">
        <w:rPr>
          <w:rFonts w:ascii="Arial" w:eastAsia="Arial Unicode MS" w:hAnsi="Arial" w:cs="Arial"/>
          <w:i/>
          <w:bdr w:val="nil"/>
          <w:lang w:val="es-CO" w:eastAsia="en-US"/>
        </w:rPr>
        <w:t>ibide</w:t>
      </w:r>
      <w:r w:rsidRPr="00123423">
        <w:rPr>
          <w:rFonts w:ascii="Arial" w:eastAsia="Arial Unicode MS" w:hAnsi="Arial" w:cs="Arial"/>
          <w:bdr w:val="nil"/>
          <w:lang w:val="es-CO" w:eastAsia="en-US"/>
        </w:rPr>
        <w:t xml:space="preserve">m, la magistrada ponente es competente para dictar los autos </w:t>
      </w:r>
      <w:r w:rsidRPr="00123423">
        <w:rPr>
          <w:rFonts w:ascii="Arial" w:eastAsia="Arial Unicode MS" w:hAnsi="Arial" w:cs="Arial"/>
          <w:bdr w:val="nil"/>
          <w:lang w:val="es-CO" w:eastAsia="en-US"/>
        </w:rPr>
        <w:lastRenderedPageBreak/>
        <w:t>interlocutorios o de trámite en los asuntos de</w:t>
      </w:r>
      <w:r w:rsidR="004E2F2F" w:rsidRPr="00123423">
        <w:rPr>
          <w:rFonts w:ascii="Arial" w:eastAsia="Arial Unicode MS" w:hAnsi="Arial" w:cs="Arial"/>
          <w:bdr w:val="nil"/>
          <w:lang w:val="es-CO" w:eastAsia="en-US"/>
        </w:rPr>
        <w:t xml:space="preserve"> su conocimiento en</w:t>
      </w:r>
      <w:r w:rsidRPr="00123423">
        <w:rPr>
          <w:rFonts w:ascii="Arial" w:eastAsia="Arial Unicode MS" w:hAnsi="Arial" w:cs="Arial"/>
          <w:bdr w:val="nil"/>
          <w:lang w:val="es-CO" w:eastAsia="en-US"/>
        </w:rPr>
        <w:t xml:space="preserve"> segunda instancia, salvo los casos contemplados en los numerales 1, 2, 3 y 4 del artículo 243</w:t>
      </w:r>
      <w:r w:rsidRPr="00123423">
        <w:rPr>
          <w:rFonts w:ascii="Arial" w:eastAsia="Arial Unicode MS" w:hAnsi="Arial" w:cs="Arial"/>
          <w:bCs/>
          <w:bdr w:val="nil"/>
          <w:vertAlign w:val="superscript"/>
          <w:lang w:val="es-CO" w:eastAsia="en-US"/>
        </w:rPr>
        <w:footnoteReference w:id="14"/>
      </w:r>
      <w:r w:rsidRPr="00123423">
        <w:rPr>
          <w:rFonts w:ascii="Arial" w:eastAsia="Arial Unicode MS" w:hAnsi="Arial" w:cs="Arial"/>
          <w:bdr w:val="nil"/>
          <w:lang w:val="es-CO" w:eastAsia="en-US"/>
        </w:rPr>
        <w:t xml:space="preserve"> </w:t>
      </w:r>
      <w:r w:rsidRPr="00123423">
        <w:rPr>
          <w:rFonts w:ascii="Arial" w:eastAsia="Arial Unicode MS" w:hAnsi="Arial" w:cs="Arial"/>
          <w:i/>
          <w:bdr w:val="nil"/>
          <w:lang w:val="es-CO" w:eastAsia="en-US"/>
        </w:rPr>
        <w:t>ejusdem</w:t>
      </w:r>
      <w:r w:rsidRPr="00123423">
        <w:rPr>
          <w:rFonts w:ascii="Arial" w:eastAsia="Arial Unicode MS" w:hAnsi="Arial" w:cs="Arial"/>
          <w:bdr w:val="nil"/>
          <w:lang w:val="es-CO" w:eastAsia="en-US"/>
        </w:rPr>
        <w:t xml:space="preserve">, dentro de los cuales no se encuentra </w:t>
      </w:r>
      <w:r w:rsidR="004E2F2F" w:rsidRPr="00123423">
        <w:rPr>
          <w:rFonts w:ascii="Arial" w:eastAsia="Arial Unicode MS" w:hAnsi="Arial" w:cs="Arial"/>
          <w:bCs/>
          <w:bdr w:val="nil"/>
          <w:lang w:val="es-CO" w:eastAsia="en-US"/>
        </w:rPr>
        <w:t>la providencia que decide</w:t>
      </w:r>
      <w:r w:rsidRPr="00123423">
        <w:rPr>
          <w:rFonts w:ascii="Arial" w:eastAsia="Arial Unicode MS" w:hAnsi="Arial" w:cs="Arial"/>
          <w:bCs/>
          <w:bdr w:val="nil"/>
          <w:lang w:val="es-CO" w:eastAsia="en-US"/>
        </w:rPr>
        <w:t xml:space="preserve"> sobre la intervención de terceros, </w:t>
      </w:r>
      <w:r w:rsidR="004E2F2F" w:rsidRPr="00123423">
        <w:rPr>
          <w:rFonts w:ascii="Arial" w:eastAsia="Arial Unicode MS" w:hAnsi="Arial" w:cs="Arial"/>
          <w:bdr w:val="nil"/>
          <w:lang w:val="es-CO" w:eastAsia="en-US"/>
        </w:rPr>
        <w:t xml:space="preserve">de ahí que el Despacho resuelva este </w:t>
      </w:r>
      <w:r w:rsidRPr="00123423">
        <w:rPr>
          <w:rFonts w:ascii="Arial" w:eastAsia="Arial Unicode MS" w:hAnsi="Arial" w:cs="Arial"/>
          <w:bdr w:val="nil"/>
          <w:lang w:val="es-CO" w:eastAsia="en-US"/>
        </w:rPr>
        <w:t>asunto.</w:t>
      </w:r>
    </w:p>
    <w:p w14:paraId="7D998850" w14:textId="77777777" w:rsidR="003D7AE2" w:rsidRPr="00123423" w:rsidRDefault="003D7AE2" w:rsidP="00CD31D9">
      <w:pPr>
        <w:spacing w:line="360" w:lineRule="auto"/>
        <w:jc w:val="both"/>
        <w:rPr>
          <w:rFonts w:ascii="Arial" w:hAnsi="Arial" w:cs="Arial"/>
          <w:lang w:val="es-MX"/>
        </w:rPr>
      </w:pPr>
    </w:p>
    <w:p w14:paraId="060F5B87" w14:textId="77777777" w:rsidR="00EB6F36" w:rsidRPr="00123423" w:rsidRDefault="00EB6F36" w:rsidP="00CD31D9">
      <w:pPr>
        <w:spacing w:line="360" w:lineRule="auto"/>
        <w:jc w:val="both"/>
        <w:rPr>
          <w:rFonts w:ascii="Arial" w:hAnsi="Arial" w:cs="Arial"/>
          <w:lang w:val="es-MX"/>
        </w:rPr>
      </w:pPr>
    </w:p>
    <w:p w14:paraId="16370444" w14:textId="77777777" w:rsidR="00EE3DF5" w:rsidRPr="00123423" w:rsidRDefault="00EE3DF5" w:rsidP="00745003">
      <w:pPr>
        <w:jc w:val="both"/>
        <w:rPr>
          <w:rFonts w:ascii="Arial" w:hAnsi="Arial" w:cs="Arial"/>
          <w:b/>
          <w:lang w:val="es-MX"/>
        </w:rPr>
      </w:pPr>
      <w:r w:rsidRPr="00123423">
        <w:rPr>
          <w:rFonts w:ascii="Arial" w:hAnsi="Arial" w:cs="Arial"/>
          <w:b/>
          <w:lang w:val="es-MX"/>
        </w:rPr>
        <w:t>2</w:t>
      </w:r>
      <w:r w:rsidR="00C50227" w:rsidRPr="00123423">
        <w:rPr>
          <w:rFonts w:ascii="Arial" w:hAnsi="Arial" w:cs="Arial"/>
          <w:b/>
          <w:lang w:val="es-MX"/>
        </w:rPr>
        <w:t>.</w:t>
      </w:r>
      <w:r w:rsidRPr="00123423">
        <w:rPr>
          <w:rFonts w:ascii="Arial" w:hAnsi="Arial" w:cs="Arial"/>
          <w:b/>
          <w:lang w:val="es-MX"/>
        </w:rPr>
        <w:t xml:space="preserve"> </w:t>
      </w:r>
      <w:r w:rsidR="00625D7A" w:rsidRPr="00123423">
        <w:rPr>
          <w:rFonts w:ascii="Arial" w:hAnsi="Arial" w:cs="Arial"/>
          <w:b/>
          <w:lang w:val="es-MX"/>
        </w:rPr>
        <w:t xml:space="preserve">El llamamiento en garantía y los requisitos </w:t>
      </w:r>
      <w:r w:rsidR="00E11E42" w:rsidRPr="00123423">
        <w:rPr>
          <w:rFonts w:ascii="Arial" w:hAnsi="Arial" w:cs="Arial"/>
          <w:b/>
          <w:lang w:val="es-MX"/>
        </w:rPr>
        <w:t xml:space="preserve">de </w:t>
      </w:r>
      <w:r w:rsidR="00625D7A" w:rsidRPr="00123423">
        <w:rPr>
          <w:rFonts w:ascii="Arial" w:hAnsi="Arial" w:cs="Arial"/>
          <w:b/>
          <w:lang w:val="es-MX"/>
        </w:rPr>
        <w:t>procedencia</w:t>
      </w:r>
      <w:r w:rsidR="00E11E42" w:rsidRPr="00123423">
        <w:rPr>
          <w:rFonts w:ascii="Arial" w:hAnsi="Arial" w:cs="Arial"/>
          <w:b/>
          <w:lang w:val="es-MX"/>
        </w:rPr>
        <w:t xml:space="preserve"> para su trámite</w:t>
      </w:r>
    </w:p>
    <w:p w14:paraId="57AB5D59" w14:textId="77777777" w:rsidR="00625D7A" w:rsidRPr="00123423" w:rsidRDefault="00625D7A" w:rsidP="00745003">
      <w:pPr>
        <w:jc w:val="both"/>
        <w:rPr>
          <w:rFonts w:ascii="Arial" w:hAnsi="Arial" w:cs="Arial"/>
          <w:b/>
          <w:lang w:val="es-MX"/>
        </w:rPr>
      </w:pPr>
    </w:p>
    <w:p w14:paraId="64290575" w14:textId="77777777" w:rsidR="00625D7A" w:rsidRPr="00123423" w:rsidRDefault="00625D7A" w:rsidP="00745003">
      <w:pPr>
        <w:jc w:val="both"/>
        <w:rPr>
          <w:rFonts w:ascii="Arial" w:hAnsi="Arial" w:cs="Arial"/>
          <w:b/>
          <w:lang w:val="es-MX"/>
        </w:rPr>
      </w:pPr>
    </w:p>
    <w:p w14:paraId="14C34973" w14:textId="77777777" w:rsidR="003D7AE2" w:rsidRPr="00123423" w:rsidRDefault="00782206" w:rsidP="00782206">
      <w:pPr>
        <w:pStyle w:val="Prrafodelista"/>
        <w:spacing w:after="0" w:line="360" w:lineRule="auto"/>
        <w:ind w:left="0"/>
        <w:jc w:val="both"/>
        <w:rPr>
          <w:rFonts w:ascii="Arial" w:hAnsi="Arial" w:cs="Arial"/>
          <w:iCs/>
          <w:sz w:val="24"/>
          <w:szCs w:val="24"/>
        </w:rPr>
      </w:pPr>
      <w:r w:rsidRPr="00123423">
        <w:rPr>
          <w:rFonts w:ascii="Arial" w:hAnsi="Arial" w:cs="Arial"/>
          <w:sz w:val="24"/>
          <w:szCs w:val="24"/>
        </w:rPr>
        <w:t xml:space="preserve">El artículo 225 de la Ley 1437 de 2011 regula el llamamiento en garantía de los procesos ordinarios de conocimiento de esta Jurisdicción, para lo cual precisa que el demandado está facultado para solicitar la citación de un tercero que deba responder por la eventual condena que se </w:t>
      </w:r>
      <w:r w:rsidR="0010547D" w:rsidRPr="00123423">
        <w:rPr>
          <w:rFonts w:ascii="Arial" w:hAnsi="Arial" w:cs="Arial"/>
          <w:sz w:val="24"/>
          <w:szCs w:val="24"/>
        </w:rPr>
        <w:t>decrete</w:t>
      </w:r>
      <w:r w:rsidRPr="00123423">
        <w:rPr>
          <w:rFonts w:ascii="Arial" w:hAnsi="Arial" w:cs="Arial"/>
          <w:sz w:val="24"/>
          <w:szCs w:val="24"/>
        </w:rPr>
        <w:t xml:space="preserve"> en su contra, </w:t>
      </w:r>
      <w:r w:rsidRPr="00123423">
        <w:rPr>
          <w:rFonts w:ascii="Arial" w:hAnsi="Arial" w:cs="Arial"/>
          <w:iCs/>
          <w:sz w:val="24"/>
          <w:szCs w:val="24"/>
        </w:rPr>
        <w:t>con fundamento en una relación legal o contractual, que imponga para el llamante la liberación de los eventuales efectos adversos que pueda acarrearle el litigio.</w:t>
      </w:r>
    </w:p>
    <w:p w14:paraId="22E5827E" w14:textId="77777777" w:rsidR="00EB6F36" w:rsidRPr="00123423" w:rsidRDefault="00EB6F36" w:rsidP="00782206">
      <w:pPr>
        <w:pStyle w:val="Prrafodelista"/>
        <w:spacing w:after="0" w:line="360" w:lineRule="auto"/>
        <w:ind w:left="0"/>
        <w:jc w:val="both"/>
        <w:rPr>
          <w:rFonts w:ascii="Arial" w:hAnsi="Arial" w:cs="Arial"/>
          <w:iCs/>
          <w:sz w:val="24"/>
          <w:szCs w:val="24"/>
        </w:rPr>
      </w:pPr>
    </w:p>
    <w:p w14:paraId="59CBDAB6" w14:textId="77777777" w:rsidR="00782206" w:rsidRPr="00123423" w:rsidRDefault="00E84FBF" w:rsidP="00E84FBF">
      <w:pPr>
        <w:spacing w:line="360" w:lineRule="auto"/>
        <w:jc w:val="both"/>
        <w:rPr>
          <w:rFonts w:ascii="Arial" w:hAnsi="Arial" w:cs="Arial"/>
          <w:lang w:val="es-CO"/>
        </w:rPr>
      </w:pPr>
      <w:r w:rsidRPr="00123423">
        <w:rPr>
          <w:rFonts w:ascii="Arial" w:hAnsi="Arial" w:cs="Arial"/>
          <w:lang w:val="es-CO"/>
        </w:rPr>
        <w:t xml:space="preserve">La norma en mención establece los requisitos que debe contener el escrito de llamamiento: </w:t>
      </w:r>
    </w:p>
    <w:p w14:paraId="7C926822" w14:textId="77777777" w:rsidR="00E84FBF" w:rsidRPr="00123423" w:rsidRDefault="00E84FBF" w:rsidP="00E84FBF">
      <w:pPr>
        <w:spacing w:line="276" w:lineRule="auto"/>
        <w:ind w:left="567" w:right="567"/>
        <w:jc w:val="both"/>
        <w:rPr>
          <w:rFonts w:ascii="Arial" w:hAnsi="Arial" w:cs="Arial"/>
          <w:lang w:val="es-CO"/>
        </w:rPr>
      </w:pPr>
    </w:p>
    <w:p w14:paraId="17B1CF66" w14:textId="77777777" w:rsidR="00E84FBF" w:rsidRPr="00123423" w:rsidRDefault="00E84FBF" w:rsidP="00E84FBF">
      <w:pPr>
        <w:pStyle w:val="Sinespaciado1"/>
        <w:tabs>
          <w:tab w:val="left" w:pos="2410"/>
        </w:tabs>
        <w:spacing w:line="276" w:lineRule="auto"/>
        <w:ind w:left="567" w:right="567"/>
        <w:jc w:val="both"/>
        <w:rPr>
          <w:rFonts w:ascii="Arial" w:hAnsi="Arial" w:cs="Arial"/>
          <w:bCs/>
          <w:i/>
          <w:iCs/>
          <w:sz w:val="24"/>
          <w:szCs w:val="24"/>
        </w:rPr>
      </w:pPr>
      <w:r w:rsidRPr="00123423">
        <w:rPr>
          <w:rFonts w:ascii="Arial" w:hAnsi="Arial" w:cs="Arial"/>
          <w:bCs/>
          <w:i/>
          <w:iCs/>
          <w:sz w:val="24"/>
          <w:szCs w:val="24"/>
        </w:rPr>
        <w:t xml:space="preserve">“Artículo 225. Llamamiento en garantía. </w:t>
      </w:r>
      <w:r w:rsidRPr="00123423">
        <w:rPr>
          <w:rFonts w:ascii="Arial" w:hAnsi="Arial" w:cs="Arial"/>
          <w:b/>
          <w:bCs/>
          <w:i/>
          <w:iCs/>
          <w:sz w:val="24"/>
          <w:szCs w:val="24"/>
          <w:u w:val="single"/>
        </w:rPr>
        <w:t xml:space="preserve">Quien afirme tener derecho legal o contractual </w:t>
      </w:r>
      <w:r w:rsidRPr="00123423">
        <w:rPr>
          <w:rFonts w:ascii="Arial" w:hAnsi="Arial" w:cs="Arial"/>
          <w:b/>
          <w:bCs/>
          <w:i/>
          <w:iCs/>
          <w:sz w:val="24"/>
          <w:szCs w:val="24"/>
        </w:rPr>
        <w:t xml:space="preserve">de exigir a un tercero la reparación integral del perjuicio que llegare a sufrir, o el reembolso total o parcial del pago que tuviere que hacer como resultado de la sentencia, </w:t>
      </w:r>
      <w:r w:rsidRPr="00123423">
        <w:rPr>
          <w:rFonts w:ascii="Arial" w:hAnsi="Arial" w:cs="Arial"/>
          <w:b/>
          <w:bCs/>
          <w:i/>
          <w:iCs/>
          <w:sz w:val="24"/>
          <w:szCs w:val="24"/>
          <w:u w:val="single"/>
        </w:rPr>
        <w:t>podrá pedir la citación de aquel, para que en el mismo proceso se resuelva sobre tal relación</w:t>
      </w:r>
      <w:r w:rsidRPr="00123423">
        <w:rPr>
          <w:rFonts w:ascii="Arial" w:hAnsi="Arial" w:cs="Arial"/>
          <w:bCs/>
          <w:i/>
          <w:iCs/>
          <w:sz w:val="24"/>
          <w:szCs w:val="24"/>
        </w:rPr>
        <w:t>.</w:t>
      </w:r>
    </w:p>
    <w:p w14:paraId="1B6E3707" w14:textId="77777777" w:rsidR="00E84FBF" w:rsidRPr="00123423" w:rsidRDefault="00E84FBF" w:rsidP="00E84FBF">
      <w:pPr>
        <w:pStyle w:val="Sinespaciado1"/>
        <w:tabs>
          <w:tab w:val="left" w:pos="2410"/>
        </w:tabs>
        <w:spacing w:line="276" w:lineRule="auto"/>
        <w:ind w:left="567" w:right="567"/>
        <w:jc w:val="both"/>
        <w:rPr>
          <w:rFonts w:ascii="Arial" w:hAnsi="Arial" w:cs="Arial"/>
          <w:bCs/>
          <w:i/>
          <w:iCs/>
          <w:sz w:val="24"/>
          <w:szCs w:val="24"/>
        </w:rPr>
      </w:pPr>
    </w:p>
    <w:p w14:paraId="6E41B925" w14:textId="77777777" w:rsidR="00E84FBF" w:rsidRPr="00123423" w:rsidRDefault="00E84FBF" w:rsidP="00E84FBF">
      <w:pPr>
        <w:pStyle w:val="Sinespaciado1"/>
        <w:tabs>
          <w:tab w:val="left" w:pos="2410"/>
        </w:tabs>
        <w:spacing w:line="276" w:lineRule="auto"/>
        <w:ind w:left="567" w:right="567"/>
        <w:jc w:val="both"/>
        <w:rPr>
          <w:rFonts w:ascii="Arial" w:hAnsi="Arial" w:cs="Arial"/>
          <w:bCs/>
          <w:i/>
          <w:iCs/>
          <w:sz w:val="24"/>
          <w:szCs w:val="24"/>
        </w:rPr>
      </w:pPr>
      <w:r w:rsidRPr="00123423">
        <w:rPr>
          <w:rFonts w:ascii="Arial" w:hAnsi="Arial" w:cs="Arial"/>
          <w:bCs/>
          <w:i/>
          <w:iCs/>
          <w:sz w:val="24"/>
          <w:szCs w:val="24"/>
        </w:rPr>
        <w:t>“(…).</w:t>
      </w:r>
    </w:p>
    <w:p w14:paraId="6A68A3B8" w14:textId="77777777" w:rsidR="00E84FBF" w:rsidRPr="00123423" w:rsidRDefault="00E84FBF" w:rsidP="00E84FBF">
      <w:pPr>
        <w:pStyle w:val="Sinespaciado1"/>
        <w:tabs>
          <w:tab w:val="left" w:pos="2410"/>
        </w:tabs>
        <w:spacing w:line="276" w:lineRule="auto"/>
        <w:ind w:left="567" w:right="567"/>
        <w:jc w:val="both"/>
        <w:rPr>
          <w:rFonts w:ascii="Arial" w:hAnsi="Arial" w:cs="Arial"/>
          <w:bCs/>
          <w:i/>
          <w:iCs/>
          <w:sz w:val="24"/>
          <w:szCs w:val="24"/>
          <w:u w:val="single"/>
        </w:rPr>
      </w:pPr>
    </w:p>
    <w:p w14:paraId="4B5DBD9C" w14:textId="77777777" w:rsidR="00E84FBF" w:rsidRPr="00123423" w:rsidRDefault="00E84FBF" w:rsidP="00E84FBF">
      <w:pPr>
        <w:pStyle w:val="Sinespaciado1"/>
        <w:tabs>
          <w:tab w:val="left" w:pos="2410"/>
        </w:tabs>
        <w:spacing w:line="276" w:lineRule="auto"/>
        <w:ind w:left="567" w:right="567"/>
        <w:jc w:val="both"/>
        <w:rPr>
          <w:rFonts w:ascii="Arial" w:hAnsi="Arial" w:cs="Arial"/>
          <w:bCs/>
          <w:i/>
          <w:iCs/>
          <w:sz w:val="24"/>
          <w:szCs w:val="24"/>
        </w:rPr>
      </w:pPr>
      <w:r w:rsidRPr="00123423">
        <w:rPr>
          <w:rFonts w:ascii="Arial" w:hAnsi="Arial" w:cs="Arial"/>
          <w:bCs/>
          <w:i/>
          <w:iCs/>
          <w:sz w:val="24"/>
          <w:szCs w:val="24"/>
        </w:rPr>
        <w:t>“El escrito de llamamiento deberá contener los siguientes requisitos:</w:t>
      </w:r>
    </w:p>
    <w:p w14:paraId="663FD57F" w14:textId="77777777" w:rsidR="00E84FBF" w:rsidRPr="00123423" w:rsidRDefault="00E84FBF" w:rsidP="00E84FBF">
      <w:pPr>
        <w:pStyle w:val="Sinespaciado1"/>
        <w:tabs>
          <w:tab w:val="left" w:pos="2410"/>
        </w:tabs>
        <w:spacing w:line="276" w:lineRule="auto"/>
        <w:ind w:left="567" w:right="567"/>
        <w:jc w:val="both"/>
        <w:rPr>
          <w:rFonts w:ascii="Arial" w:hAnsi="Arial" w:cs="Arial"/>
          <w:bCs/>
          <w:i/>
          <w:iCs/>
          <w:sz w:val="24"/>
          <w:szCs w:val="24"/>
        </w:rPr>
      </w:pPr>
    </w:p>
    <w:p w14:paraId="39EE6272" w14:textId="77777777" w:rsidR="00E84FBF" w:rsidRPr="00123423" w:rsidRDefault="00E84FBF" w:rsidP="00E84FBF">
      <w:pPr>
        <w:pStyle w:val="NormalWeb"/>
        <w:spacing w:before="0" w:beforeAutospacing="0" w:after="0" w:afterAutospacing="0" w:line="276" w:lineRule="auto"/>
        <w:ind w:left="567" w:right="567"/>
        <w:jc w:val="both"/>
        <w:rPr>
          <w:rFonts w:ascii="Arial" w:hAnsi="Arial" w:cs="Arial"/>
          <w:i/>
        </w:rPr>
      </w:pPr>
      <w:r w:rsidRPr="00123423">
        <w:rPr>
          <w:rFonts w:ascii="Arial" w:hAnsi="Arial" w:cs="Arial"/>
          <w:i/>
        </w:rPr>
        <w:t>“1. El nombre del llamado y el de su representante si aquel no puede comparecer por sí al proceso.</w:t>
      </w:r>
    </w:p>
    <w:p w14:paraId="09438C2E" w14:textId="77777777" w:rsidR="00E84FBF" w:rsidRPr="00123423" w:rsidRDefault="00E84FBF" w:rsidP="00E84FBF">
      <w:pPr>
        <w:pStyle w:val="NormalWeb"/>
        <w:spacing w:before="0" w:beforeAutospacing="0" w:after="0" w:afterAutospacing="0" w:line="276" w:lineRule="auto"/>
        <w:ind w:left="567" w:right="567"/>
        <w:jc w:val="both"/>
        <w:rPr>
          <w:rFonts w:ascii="Arial" w:hAnsi="Arial" w:cs="Arial"/>
          <w:i/>
        </w:rPr>
      </w:pPr>
    </w:p>
    <w:p w14:paraId="7F656F3D" w14:textId="77777777" w:rsidR="00E84FBF" w:rsidRPr="00123423" w:rsidRDefault="00E84FBF" w:rsidP="00E84FBF">
      <w:pPr>
        <w:pStyle w:val="NormalWeb"/>
        <w:spacing w:before="0" w:beforeAutospacing="0" w:after="0" w:afterAutospacing="0" w:line="276" w:lineRule="auto"/>
        <w:ind w:left="567" w:right="567"/>
        <w:jc w:val="both"/>
        <w:rPr>
          <w:rFonts w:ascii="Arial" w:hAnsi="Arial" w:cs="Arial"/>
          <w:i/>
        </w:rPr>
      </w:pPr>
      <w:r w:rsidRPr="00123423">
        <w:rPr>
          <w:rFonts w:ascii="Arial" w:hAnsi="Arial" w:cs="Arial"/>
          <w:i/>
        </w:rPr>
        <w:lastRenderedPageBreak/>
        <w:t>“2. La indicación del domicilio del llamado, o en su defecto, de su residencia, y la de su habitación u oficina y los de su representante, según fuere el caso, o la manifestación de que se ignoran, lo último bajo juramento, que se entiende prestado por la sola presentación del escrito.</w:t>
      </w:r>
    </w:p>
    <w:p w14:paraId="71696FA4" w14:textId="77777777" w:rsidR="00E84FBF" w:rsidRPr="00123423" w:rsidRDefault="00E84FBF" w:rsidP="00E84FBF">
      <w:pPr>
        <w:pStyle w:val="NormalWeb"/>
        <w:spacing w:line="276" w:lineRule="auto"/>
        <w:ind w:left="567" w:right="567"/>
        <w:jc w:val="both"/>
        <w:rPr>
          <w:rFonts w:ascii="Arial" w:hAnsi="Arial" w:cs="Arial"/>
          <w:i/>
        </w:rPr>
      </w:pPr>
      <w:r w:rsidRPr="00123423">
        <w:rPr>
          <w:rFonts w:ascii="Arial" w:hAnsi="Arial" w:cs="Arial"/>
          <w:i/>
        </w:rPr>
        <w:t>“3. Los hechos en que se basa el llamamiento y los fundamentos de derecho que se invoquen</w:t>
      </w:r>
    </w:p>
    <w:p w14:paraId="74ECE9C6" w14:textId="77777777" w:rsidR="00E84FBF" w:rsidRPr="00123423" w:rsidRDefault="00E84FBF" w:rsidP="00E84FBF">
      <w:pPr>
        <w:pStyle w:val="Sinespaciado"/>
        <w:spacing w:line="276" w:lineRule="auto"/>
        <w:ind w:left="567" w:right="567"/>
        <w:rPr>
          <w:rFonts w:ascii="Arial" w:hAnsi="Arial" w:cs="Arial"/>
          <w:i/>
          <w:sz w:val="24"/>
          <w:szCs w:val="24"/>
        </w:rPr>
      </w:pPr>
      <w:r w:rsidRPr="00123423">
        <w:rPr>
          <w:rFonts w:ascii="Arial" w:hAnsi="Arial" w:cs="Arial"/>
          <w:i/>
          <w:sz w:val="24"/>
          <w:szCs w:val="24"/>
        </w:rPr>
        <w:t xml:space="preserve">“4. La dirección de la oficina o habitación donde quien hace el llamamiento y su apoderado recibirán notificaciones personales (…)” </w:t>
      </w:r>
      <w:r w:rsidRPr="00123423">
        <w:rPr>
          <w:rFonts w:ascii="Arial" w:hAnsi="Arial" w:cs="Arial"/>
          <w:sz w:val="24"/>
          <w:szCs w:val="24"/>
        </w:rPr>
        <w:t xml:space="preserve"> (se destaca)</w:t>
      </w:r>
      <w:r w:rsidRPr="00123423">
        <w:rPr>
          <w:rFonts w:ascii="Arial" w:hAnsi="Arial" w:cs="Arial"/>
          <w:i/>
          <w:sz w:val="24"/>
          <w:szCs w:val="24"/>
        </w:rPr>
        <w:t>.</w:t>
      </w:r>
    </w:p>
    <w:p w14:paraId="3FD1533B" w14:textId="77777777" w:rsidR="00E84FBF" w:rsidRPr="00123423" w:rsidRDefault="00E84FBF" w:rsidP="00E84FBF">
      <w:pPr>
        <w:spacing w:line="360" w:lineRule="auto"/>
        <w:jc w:val="both"/>
        <w:rPr>
          <w:rFonts w:ascii="Arial" w:hAnsi="Arial" w:cs="Arial"/>
          <w:lang w:val="es-CO"/>
        </w:rPr>
      </w:pPr>
    </w:p>
    <w:p w14:paraId="5C72D37A" w14:textId="77777777" w:rsidR="00E84FBF" w:rsidRPr="00123423" w:rsidRDefault="00E84FBF" w:rsidP="00E84FBF">
      <w:pPr>
        <w:pStyle w:val="NormalWeb"/>
        <w:spacing w:before="0" w:beforeAutospacing="0" w:after="0" w:afterAutospacing="0" w:line="360" w:lineRule="auto"/>
        <w:jc w:val="both"/>
        <w:rPr>
          <w:rFonts w:ascii="Arial" w:hAnsi="Arial" w:cs="Arial"/>
        </w:rPr>
      </w:pPr>
      <w:r w:rsidRPr="00123423">
        <w:rPr>
          <w:rFonts w:ascii="Arial" w:hAnsi="Arial" w:cs="Arial"/>
        </w:rPr>
        <w:t xml:space="preserve">De acuerdo con lo anterior, el Despacho concluye que la solicitud de llamamiento </w:t>
      </w:r>
      <w:r w:rsidR="00EB6F36" w:rsidRPr="00123423">
        <w:rPr>
          <w:rFonts w:ascii="Arial" w:hAnsi="Arial" w:cs="Arial"/>
        </w:rPr>
        <w:t>en</w:t>
      </w:r>
      <w:r w:rsidRPr="00123423">
        <w:rPr>
          <w:rFonts w:ascii="Arial" w:hAnsi="Arial" w:cs="Arial"/>
        </w:rPr>
        <w:t xml:space="preserve"> garantía no requiere la prueba del vínculo legal o contractual, sino que basta con la manifestación de que dicha relación existe, por manera que el anexo pertinente no será presupuesto para tramitarlo, pero sí para decidirlo de fondo, tal como lo ha sostenido esta Corporación en múltiples providencias</w:t>
      </w:r>
      <w:r w:rsidRPr="00123423">
        <w:rPr>
          <w:rStyle w:val="Refdenotaalpie"/>
          <w:rFonts w:ascii="Arial" w:hAnsi="Arial" w:cs="Arial"/>
        </w:rPr>
        <w:footnoteReference w:id="15"/>
      </w:r>
      <w:r w:rsidRPr="00123423">
        <w:rPr>
          <w:rFonts w:ascii="Arial" w:hAnsi="Arial" w:cs="Arial"/>
        </w:rPr>
        <w:t xml:space="preserve">.  </w:t>
      </w:r>
    </w:p>
    <w:p w14:paraId="3C27CF61" w14:textId="77777777" w:rsidR="00E84FBF" w:rsidRPr="00123423" w:rsidRDefault="00E84FBF" w:rsidP="00E84FBF">
      <w:pPr>
        <w:pStyle w:val="NormalWeb"/>
        <w:spacing w:before="0" w:beforeAutospacing="0" w:after="0" w:afterAutospacing="0" w:line="360" w:lineRule="auto"/>
        <w:jc w:val="both"/>
        <w:rPr>
          <w:rFonts w:ascii="Arial" w:hAnsi="Arial" w:cs="Arial"/>
        </w:rPr>
      </w:pPr>
    </w:p>
    <w:p w14:paraId="5E4B90D5" w14:textId="77777777" w:rsidR="00F23CB3" w:rsidRPr="00123423" w:rsidRDefault="00E84FBF" w:rsidP="00E84FBF">
      <w:pPr>
        <w:pStyle w:val="NormalWeb"/>
        <w:spacing w:before="0" w:beforeAutospacing="0" w:after="0" w:afterAutospacing="0" w:line="360" w:lineRule="auto"/>
        <w:jc w:val="both"/>
        <w:rPr>
          <w:rFonts w:ascii="Arial" w:hAnsi="Arial" w:cs="Arial"/>
        </w:rPr>
      </w:pPr>
      <w:r w:rsidRPr="00123423">
        <w:rPr>
          <w:rFonts w:ascii="Arial" w:hAnsi="Arial" w:cs="Arial"/>
        </w:rPr>
        <w:t>En efecto, allí ra</w:t>
      </w:r>
      <w:r w:rsidR="00187B13" w:rsidRPr="00123423">
        <w:rPr>
          <w:rFonts w:ascii="Arial" w:hAnsi="Arial" w:cs="Arial"/>
        </w:rPr>
        <w:t xml:space="preserve">dica la gran diferencia entre la regulación de la figura procesal del llamamiento en garantía establecida en el CPACA con la </w:t>
      </w:r>
      <w:r w:rsidR="00EB6F36" w:rsidRPr="00123423">
        <w:rPr>
          <w:rFonts w:ascii="Arial" w:hAnsi="Arial" w:cs="Arial"/>
        </w:rPr>
        <w:t>contemplada en</w:t>
      </w:r>
      <w:r w:rsidR="00187B13" w:rsidRPr="00123423">
        <w:rPr>
          <w:rFonts w:ascii="Arial" w:hAnsi="Arial" w:cs="Arial"/>
        </w:rPr>
        <w:t xml:space="preserve"> el CCA, la cual no puede pasar desapercibida. Pues bien, </w:t>
      </w:r>
      <w:r w:rsidR="001B298D" w:rsidRPr="00123423">
        <w:rPr>
          <w:rFonts w:ascii="Arial" w:hAnsi="Arial" w:cs="Arial"/>
        </w:rPr>
        <w:t xml:space="preserve">con la legislación anterior (CCA), para </w:t>
      </w:r>
      <w:r w:rsidR="00071B54" w:rsidRPr="00123423">
        <w:rPr>
          <w:rFonts w:ascii="Arial" w:hAnsi="Arial" w:cs="Arial"/>
        </w:rPr>
        <w:t>realizar la solicitud de llamamiento en</w:t>
      </w:r>
      <w:r w:rsidR="005F0C5B" w:rsidRPr="00123423">
        <w:rPr>
          <w:rFonts w:ascii="Arial" w:hAnsi="Arial" w:cs="Arial"/>
        </w:rPr>
        <w:t xml:space="preserve"> garantía</w:t>
      </w:r>
      <w:r w:rsidR="000F794F" w:rsidRPr="00123423">
        <w:rPr>
          <w:rFonts w:ascii="Arial" w:hAnsi="Arial" w:cs="Arial"/>
        </w:rPr>
        <w:t xml:space="preserve"> no bastaba con la mera afirmación de que existía un vínculo legal o contractual para exigir a un tercero el respectivo reembolso, sino que dicha relación debía acreditarse al menos con prueba sumaria</w:t>
      </w:r>
      <w:r w:rsidR="00071B54" w:rsidRPr="00123423">
        <w:rPr>
          <w:rStyle w:val="Refdenotaalpie"/>
          <w:rFonts w:ascii="Arial" w:hAnsi="Arial" w:cs="Arial"/>
        </w:rPr>
        <w:footnoteReference w:id="16"/>
      </w:r>
      <w:r w:rsidR="000F794F" w:rsidRPr="00123423">
        <w:rPr>
          <w:rFonts w:ascii="Arial" w:hAnsi="Arial" w:cs="Arial"/>
        </w:rPr>
        <w:t>; mientras que con el CPAC</w:t>
      </w:r>
      <w:r w:rsidR="0040767C" w:rsidRPr="00123423">
        <w:rPr>
          <w:rFonts w:ascii="Arial" w:hAnsi="Arial" w:cs="Arial"/>
        </w:rPr>
        <w:t xml:space="preserve">A, tal como se indicó en precedencia, </w:t>
      </w:r>
      <w:r w:rsidR="00F23CB3" w:rsidRPr="00123423">
        <w:rPr>
          <w:rFonts w:ascii="Arial" w:hAnsi="Arial" w:cs="Arial"/>
        </w:rPr>
        <w:t xml:space="preserve">para realizar el correspondiente llamamiento en garantía </w:t>
      </w:r>
      <w:r w:rsidR="0040767C" w:rsidRPr="00123423">
        <w:rPr>
          <w:rFonts w:ascii="Arial" w:hAnsi="Arial" w:cs="Arial"/>
        </w:rPr>
        <w:t>ya no se requiere</w:t>
      </w:r>
      <w:r w:rsidR="003C1BF1" w:rsidRPr="00123423">
        <w:rPr>
          <w:rFonts w:ascii="Arial" w:hAnsi="Arial" w:cs="Arial"/>
        </w:rPr>
        <w:t xml:space="preserve"> la prueba </w:t>
      </w:r>
      <w:r w:rsidR="003C1BF1" w:rsidRPr="00123423">
        <w:rPr>
          <w:rFonts w:ascii="Arial" w:hAnsi="Arial" w:cs="Arial"/>
        </w:rPr>
        <w:lastRenderedPageBreak/>
        <w:t xml:space="preserve">del </w:t>
      </w:r>
      <w:r w:rsidR="00F23CB3" w:rsidRPr="00123423">
        <w:rPr>
          <w:rFonts w:ascii="Arial" w:hAnsi="Arial" w:cs="Arial"/>
        </w:rPr>
        <w:t xml:space="preserve">derecho legal o contractual con el fin de </w:t>
      </w:r>
      <w:r w:rsidR="003C1BF1" w:rsidRPr="00123423">
        <w:rPr>
          <w:rFonts w:ascii="Arial" w:hAnsi="Arial" w:cs="Arial"/>
        </w:rPr>
        <w:t xml:space="preserve">acreditar </w:t>
      </w:r>
      <w:r w:rsidR="00F23CB3" w:rsidRPr="00123423">
        <w:rPr>
          <w:rFonts w:ascii="Arial" w:hAnsi="Arial" w:cs="Arial"/>
        </w:rPr>
        <w:t>de que tal relación existe, pues aquello constituye un presupuesto para resolverlo de fondo, mas no para darle trámite, en razón a que</w:t>
      </w:r>
      <w:r w:rsidR="005F0C5B" w:rsidRPr="00123423">
        <w:rPr>
          <w:rFonts w:ascii="Arial" w:hAnsi="Arial" w:cs="Arial"/>
        </w:rPr>
        <w:t>,</w:t>
      </w:r>
      <w:r w:rsidR="00F23CB3" w:rsidRPr="00123423">
        <w:rPr>
          <w:rFonts w:ascii="Arial" w:hAnsi="Arial" w:cs="Arial"/>
        </w:rPr>
        <w:t xml:space="preserve"> para tramitar dicha solicitud</w:t>
      </w:r>
      <w:r w:rsidR="005F0C5B" w:rsidRPr="00123423">
        <w:rPr>
          <w:rFonts w:ascii="Arial" w:hAnsi="Arial" w:cs="Arial"/>
        </w:rPr>
        <w:t>,</w:t>
      </w:r>
      <w:r w:rsidR="00F23CB3" w:rsidRPr="00123423">
        <w:rPr>
          <w:rFonts w:ascii="Arial" w:hAnsi="Arial" w:cs="Arial"/>
        </w:rPr>
        <w:t xml:space="preserve"> únicamente basta con </w:t>
      </w:r>
      <w:r w:rsidR="00512A2F" w:rsidRPr="00123423">
        <w:rPr>
          <w:rFonts w:ascii="Arial" w:hAnsi="Arial" w:cs="Arial"/>
        </w:rPr>
        <w:t xml:space="preserve">la </w:t>
      </w:r>
      <w:r w:rsidR="00F23CB3" w:rsidRPr="00123423">
        <w:rPr>
          <w:rFonts w:ascii="Arial" w:hAnsi="Arial" w:cs="Arial"/>
        </w:rPr>
        <w:t xml:space="preserve">afirmación de la existencia del referido vínculo. </w:t>
      </w:r>
    </w:p>
    <w:p w14:paraId="140017FE" w14:textId="77777777" w:rsidR="00E84FBF" w:rsidRPr="00123423" w:rsidRDefault="00E84FBF" w:rsidP="00E84FBF">
      <w:pPr>
        <w:spacing w:line="360" w:lineRule="auto"/>
        <w:jc w:val="both"/>
        <w:rPr>
          <w:rFonts w:ascii="Arial" w:hAnsi="Arial" w:cs="Arial"/>
          <w:lang w:val="es-CO"/>
        </w:rPr>
      </w:pPr>
    </w:p>
    <w:p w14:paraId="62A5323B" w14:textId="77777777" w:rsidR="00E84FBF" w:rsidRPr="00123423" w:rsidRDefault="0040767C" w:rsidP="0040767C">
      <w:pPr>
        <w:spacing w:line="276" w:lineRule="auto"/>
        <w:ind w:right="567"/>
        <w:jc w:val="both"/>
        <w:rPr>
          <w:rFonts w:ascii="Arial" w:hAnsi="Arial" w:cs="Arial"/>
          <w:lang w:val="es-CO"/>
        </w:rPr>
      </w:pPr>
      <w:r w:rsidRPr="00123423">
        <w:rPr>
          <w:rFonts w:ascii="Arial" w:hAnsi="Arial" w:cs="Arial"/>
          <w:lang w:val="es-CO"/>
        </w:rPr>
        <w:t>Sobre este particular, la doctrina autorizada expuso:</w:t>
      </w:r>
    </w:p>
    <w:p w14:paraId="7684DBCB" w14:textId="77777777" w:rsidR="0040767C" w:rsidRPr="00123423" w:rsidRDefault="0040767C" w:rsidP="0040767C">
      <w:pPr>
        <w:spacing w:line="276" w:lineRule="auto"/>
        <w:ind w:right="567"/>
        <w:jc w:val="both"/>
        <w:rPr>
          <w:rFonts w:ascii="Arial" w:hAnsi="Arial" w:cs="Arial"/>
          <w:lang w:val="es-CO"/>
        </w:rPr>
      </w:pPr>
    </w:p>
    <w:p w14:paraId="61F0FD32" w14:textId="77777777" w:rsidR="00EE3DF5" w:rsidRPr="00123423" w:rsidRDefault="0040767C" w:rsidP="0040767C">
      <w:pPr>
        <w:spacing w:line="276" w:lineRule="auto"/>
        <w:ind w:left="567" w:right="567"/>
        <w:jc w:val="both"/>
        <w:rPr>
          <w:rFonts w:ascii="Arial" w:hAnsi="Arial" w:cs="Arial"/>
          <w:i/>
          <w:lang w:val="es-MX"/>
        </w:rPr>
      </w:pPr>
      <w:r w:rsidRPr="00123423">
        <w:rPr>
          <w:rFonts w:ascii="Arial" w:hAnsi="Arial" w:cs="Arial"/>
          <w:i/>
          <w:lang w:val="es-MX"/>
        </w:rPr>
        <w:t>“</w:t>
      </w:r>
      <w:r w:rsidR="00071B54" w:rsidRPr="00123423">
        <w:rPr>
          <w:rFonts w:ascii="Arial" w:hAnsi="Arial" w:cs="Arial"/>
          <w:i/>
          <w:lang w:val="es-MX"/>
        </w:rPr>
        <w:t>Modificación importante que trae la nueva disposición es la que consiste en autorizar el llamamiento en garantía con base en la afirmación que haga una de las partes de que existe un derecho de naturaleza legal o de índole contractual que permita rec</w:t>
      </w:r>
      <w:r w:rsidR="00EB6F36" w:rsidRPr="00123423">
        <w:rPr>
          <w:rFonts w:ascii="Arial" w:hAnsi="Arial" w:cs="Arial"/>
          <w:i/>
          <w:lang w:val="es-MX"/>
        </w:rPr>
        <w:t>lamar</w:t>
      </w:r>
      <w:r w:rsidR="00071B54" w:rsidRPr="00123423">
        <w:rPr>
          <w:rFonts w:ascii="Arial" w:hAnsi="Arial" w:cs="Arial"/>
          <w:i/>
          <w:lang w:val="es-MX"/>
        </w:rPr>
        <w:t xml:space="preserve"> de un tercero la reparación integral de</w:t>
      </w:r>
      <w:r w:rsidR="0000537F" w:rsidRPr="00123423">
        <w:rPr>
          <w:rFonts w:ascii="Arial" w:hAnsi="Arial" w:cs="Arial"/>
          <w:i/>
          <w:lang w:val="es-MX"/>
        </w:rPr>
        <w:t>l</w:t>
      </w:r>
      <w:r w:rsidR="00071B54" w:rsidRPr="00123423">
        <w:rPr>
          <w:rFonts w:ascii="Arial" w:hAnsi="Arial" w:cs="Arial"/>
          <w:i/>
          <w:lang w:val="es-MX"/>
        </w:rPr>
        <w:t xml:space="preserve"> perjuicio que llegare sufrir o el reembolso total o parcial de la condena que se llegare a imponer; es decir, </w:t>
      </w:r>
      <w:r w:rsidR="00071B54" w:rsidRPr="00123423">
        <w:rPr>
          <w:rFonts w:ascii="Arial" w:hAnsi="Arial" w:cs="Arial"/>
          <w:b/>
          <w:i/>
          <w:u w:val="single"/>
          <w:lang w:val="es-MX"/>
        </w:rPr>
        <w:t>para efectuar el llamamiento no será necesario</w:t>
      </w:r>
      <w:r w:rsidRPr="00123423">
        <w:rPr>
          <w:rFonts w:ascii="Arial" w:hAnsi="Arial" w:cs="Arial"/>
          <w:b/>
          <w:i/>
          <w:u w:val="single"/>
          <w:lang w:val="es-MX"/>
        </w:rPr>
        <w:t xml:space="preserve"> acompañar al menos prueba sumaria de la existencia del derecho, como ocurría en vigencia del régimen anterior </w:t>
      </w:r>
      <w:r w:rsidRPr="00123423">
        <w:rPr>
          <w:rFonts w:ascii="Arial" w:hAnsi="Arial" w:cs="Arial"/>
          <w:b/>
          <w:u w:val="single"/>
          <w:lang w:val="es-MX"/>
        </w:rPr>
        <w:t>[CCA]</w:t>
      </w:r>
      <w:r w:rsidRPr="00123423">
        <w:rPr>
          <w:rFonts w:ascii="Arial" w:hAnsi="Arial" w:cs="Arial"/>
          <w:b/>
          <w:i/>
          <w:u w:val="single"/>
          <w:lang w:val="es-MX"/>
        </w:rPr>
        <w:t xml:space="preserve"> por remisión al Código de Procedimiento Civil, sino que ahora simplemente bastará afirmar su existencia</w:t>
      </w:r>
      <w:r w:rsidRPr="00123423">
        <w:rPr>
          <w:rFonts w:ascii="Arial" w:hAnsi="Arial" w:cs="Arial"/>
          <w:i/>
          <w:lang w:val="es-MX"/>
        </w:rPr>
        <w:t xml:space="preserve"> y será en el proceso donde se deberá  probarse si en efecto, por virtud de la ley o de un contrato, hay lugar a reclamar al llamado en garantía la indemnización del perjuicio o el reembolso de la condena. </w:t>
      </w:r>
    </w:p>
    <w:p w14:paraId="752E4A24" w14:textId="77777777" w:rsidR="0040767C" w:rsidRPr="00123423" w:rsidRDefault="0040767C" w:rsidP="0040767C">
      <w:pPr>
        <w:spacing w:line="276" w:lineRule="auto"/>
        <w:ind w:left="567" w:right="567"/>
        <w:jc w:val="both"/>
        <w:rPr>
          <w:rFonts w:ascii="Arial" w:hAnsi="Arial" w:cs="Arial"/>
          <w:i/>
          <w:lang w:val="es-MX"/>
        </w:rPr>
      </w:pPr>
    </w:p>
    <w:p w14:paraId="0BDF4543" w14:textId="77777777" w:rsidR="0040767C" w:rsidRPr="00123423" w:rsidRDefault="0040767C" w:rsidP="0040767C">
      <w:pPr>
        <w:spacing w:line="276" w:lineRule="auto"/>
        <w:ind w:left="567" w:right="567"/>
        <w:jc w:val="both"/>
        <w:rPr>
          <w:rFonts w:ascii="Arial" w:hAnsi="Arial" w:cs="Arial"/>
          <w:lang w:val="es-MX"/>
        </w:rPr>
      </w:pPr>
      <w:r w:rsidRPr="00123423">
        <w:rPr>
          <w:rFonts w:ascii="Arial" w:hAnsi="Arial" w:cs="Arial"/>
          <w:i/>
          <w:lang w:val="es-MX"/>
        </w:rPr>
        <w:t>“La diferencia radica entonces, en que en el sist</w:t>
      </w:r>
      <w:r w:rsidR="00EB6F36" w:rsidRPr="00123423">
        <w:rPr>
          <w:rFonts w:ascii="Arial" w:hAnsi="Arial" w:cs="Arial"/>
          <w:i/>
          <w:lang w:val="es-MX"/>
        </w:rPr>
        <w:t>ema anterior</w:t>
      </w:r>
      <w:r w:rsidRPr="00123423">
        <w:rPr>
          <w:rFonts w:ascii="Arial" w:hAnsi="Arial" w:cs="Arial"/>
          <w:i/>
          <w:lang w:val="es-MX"/>
        </w:rPr>
        <w:t xml:space="preserve"> </w:t>
      </w:r>
      <w:r w:rsidRPr="00123423">
        <w:rPr>
          <w:rFonts w:ascii="Arial" w:hAnsi="Arial" w:cs="Arial"/>
          <w:lang w:val="es-MX"/>
        </w:rPr>
        <w:t>[CCA]</w:t>
      </w:r>
      <w:r w:rsidRPr="00123423">
        <w:rPr>
          <w:rFonts w:ascii="Arial" w:hAnsi="Arial" w:cs="Arial"/>
          <w:i/>
          <w:lang w:val="es-MX"/>
        </w:rPr>
        <w:t xml:space="preserve"> si no se contaba con la prueba al menos sumaria del derecho que asistía al llamante de realizar el llamamiento este se veía frustrado, mientras que ahora bastará con afirmar que el derecho existe y su existencia misma será materia de debate probatorio”</w:t>
      </w:r>
      <w:r w:rsidR="00512A2F" w:rsidRPr="00123423">
        <w:rPr>
          <w:rStyle w:val="Refdenotaalpie"/>
          <w:rFonts w:ascii="Arial" w:hAnsi="Arial" w:cs="Arial"/>
          <w:lang w:val="es-MX"/>
        </w:rPr>
        <w:footnoteReference w:id="17"/>
      </w:r>
      <w:r w:rsidR="00EB6F36" w:rsidRPr="00123423">
        <w:rPr>
          <w:rFonts w:ascii="Arial" w:hAnsi="Arial" w:cs="Arial"/>
          <w:lang w:val="es-MX"/>
        </w:rPr>
        <w:t>(se destaca)</w:t>
      </w:r>
      <w:r w:rsidR="00512A2F" w:rsidRPr="00123423">
        <w:rPr>
          <w:rFonts w:ascii="Arial" w:hAnsi="Arial" w:cs="Arial"/>
          <w:lang w:val="es-MX"/>
        </w:rPr>
        <w:t>.</w:t>
      </w:r>
    </w:p>
    <w:p w14:paraId="0F70CA53" w14:textId="77777777" w:rsidR="00C8096A" w:rsidRPr="00123423" w:rsidRDefault="00C8096A" w:rsidP="00B22539">
      <w:pPr>
        <w:spacing w:line="360" w:lineRule="auto"/>
        <w:jc w:val="both"/>
        <w:rPr>
          <w:rFonts w:ascii="Arial" w:hAnsi="Arial" w:cs="Arial"/>
          <w:b/>
          <w:lang w:val="es-MX"/>
        </w:rPr>
      </w:pPr>
    </w:p>
    <w:p w14:paraId="750E815B" w14:textId="77777777" w:rsidR="00051C14" w:rsidRPr="00123423" w:rsidRDefault="00850B0A" w:rsidP="00B22539">
      <w:pPr>
        <w:spacing w:line="360" w:lineRule="auto"/>
        <w:jc w:val="both"/>
        <w:rPr>
          <w:rFonts w:ascii="Arial" w:hAnsi="Arial" w:cs="Arial"/>
          <w:lang w:val="es-MX"/>
        </w:rPr>
      </w:pPr>
      <w:r w:rsidRPr="00123423">
        <w:rPr>
          <w:rFonts w:ascii="Arial" w:hAnsi="Arial" w:cs="Arial"/>
          <w:lang w:val="es-MX"/>
        </w:rPr>
        <w:t xml:space="preserve">En ese contexto, </w:t>
      </w:r>
      <w:r w:rsidR="00512A2F" w:rsidRPr="00123423">
        <w:rPr>
          <w:rFonts w:ascii="Arial" w:hAnsi="Arial" w:cs="Arial"/>
          <w:lang w:val="es-MX"/>
        </w:rPr>
        <w:t>queda claro que, en vigencia del CPACA, para dar trámite a la solicitud de llamamiento en garantía que se realice</w:t>
      </w:r>
      <w:r w:rsidR="00E11E42" w:rsidRPr="00123423">
        <w:rPr>
          <w:rFonts w:ascii="Arial" w:hAnsi="Arial" w:cs="Arial"/>
          <w:lang w:val="es-MX"/>
        </w:rPr>
        <w:t>,</w:t>
      </w:r>
      <w:r w:rsidR="00512A2F" w:rsidRPr="00123423">
        <w:rPr>
          <w:rFonts w:ascii="Arial" w:hAnsi="Arial" w:cs="Arial"/>
          <w:lang w:val="es-MX"/>
        </w:rPr>
        <w:t xml:space="preserve"> simplemente basta </w:t>
      </w:r>
      <w:r w:rsidR="00051C14" w:rsidRPr="00123423">
        <w:rPr>
          <w:rFonts w:ascii="Arial" w:hAnsi="Arial" w:cs="Arial"/>
          <w:lang w:val="es-MX"/>
        </w:rPr>
        <w:t xml:space="preserve">con la afirmación de </w:t>
      </w:r>
      <w:r w:rsidR="00690B85" w:rsidRPr="00123423">
        <w:rPr>
          <w:rFonts w:ascii="Arial" w:hAnsi="Arial" w:cs="Arial"/>
          <w:lang w:val="es-MX"/>
        </w:rPr>
        <w:t xml:space="preserve">que </w:t>
      </w:r>
      <w:r w:rsidR="00051C14" w:rsidRPr="00123423">
        <w:rPr>
          <w:rFonts w:ascii="Arial" w:hAnsi="Arial" w:cs="Arial"/>
          <w:lang w:val="es-MX"/>
        </w:rPr>
        <w:t>existe un derecho legal o contractual de exigir a un tercero la repar</w:t>
      </w:r>
      <w:r w:rsidR="005F0C5B" w:rsidRPr="00123423">
        <w:rPr>
          <w:rFonts w:ascii="Arial" w:hAnsi="Arial" w:cs="Arial"/>
          <w:lang w:val="es-MX"/>
        </w:rPr>
        <w:t>ación integral del perjuicio</w:t>
      </w:r>
      <w:r w:rsidR="00051C14" w:rsidRPr="00123423">
        <w:rPr>
          <w:rFonts w:ascii="Arial" w:hAnsi="Arial" w:cs="Arial"/>
          <w:lang w:val="es-MX"/>
        </w:rPr>
        <w:t xml:space="preserve"> que llegare a sufrir el llamante, es decir, que de entrada </w:t>
      </w:r>
      <w:r w:rsidR="00E11E42" w:rsidRPr="00123423">
        <w:rPr>
          <w:rFonts w:ascii="Arial" w:hAnsi="Arial" w:cs="Arial"/>
          <w:lang w:val="es-MX"/>
        </w:rPr>
        <w:t>no</w:t>
      </w:r>
      <w:r w:rsidR="00051C14" w:rsidRPr="00123423">
        <w:rPr>
          <w:rFonts w:ascii="Arial" w:hAnsi="Arial" w:cs="Arial"/>
          <w:lang w:val="es-MX"/>
        </w:rPr>
        <w:t xml:space="preserve"> se requiere la prueba del vínculo alegado, por cuanto esto último deberá ser debatido cuando se decida de fondo la correspondiente petición. </w:t>
      </w:r>
    </w:p>
    <w:p w14:paraId="48856A88" w14:textId="77777777" w:rsidR="0040767C" w:rsidRPr="00123423" w:rsidRDefault="0040767C" w:rsidP="00B22539">
      <w:pPr>
        <w:spacing w:line="360" w:lineRule="auto"/>
        <w:jc w:val="both"/>
        <w:rPr>
          <w:rFonts w:ascii="Arial" w:hAnsi="Arial" w:cs="Arial"/>
          <w:b/>
          <w:lang w:val="es-MX"/>
        </w:rPr>
      </w:pPr>
    </w:p>
    <w:p w14:paraId="4154C197" w14:textId="77777777" w:rsidR="00A4524B" w:rsidRPr="00123423" w:rsidRDefault="00014A1D" w:rsidP="00014A1D">
      <w:pPr>
        <w:jc w:val="both"/>
        <w:rPr>
          <w:rFonts w:ascii="Arial" w:hAnsi="Arial" w:cs="Arial"/>
        </w:rPr>
      </w:pPr>
      <w:r w:rsidRPr="00123423">
        <w:rPr>
          <w:rFonts w:ascii="Arial" w:hAnsi="Arial" w:cs="Arial"/>
          <w:b/>
          <w:lang w:val="es-MX"/>
        </w:rPr>
        <w:t>3. Caso concreto</w:t>
      </w:r>
    </w:p>
    <w:p w14:paraId="6B93A40E" w14:textId="77777777" w:rsidR="004C018E" w:rsidRPr="00123423" w:rsidRDefault="004C018E" w:rsidP="002E2F01">
      <w:pPr>
        <w:spacing w:line="360" w:lineRule="auto"/>
        <w:jc w:val="both"/>
        <w:rPr>
          <w:rFonts w:ascii="Arial" w:hAnsi="Arial" w:cs="Arial"/>
        </w:rPr>
      </w:pPr>
    </w:p>
    <w:p w14:paraId="1A09A400" w14:textId="77777777" w:rsidR="004C018E" w:rsidRPr="00123423" w:rsidRDefault="00541397" w:rsidP="004C018E">
      <w:pPr>
        <w:spacing w:line="360" w:lineRule="auto"/>
        <w:jc w:val="both"/>
        <w:rPr>
          <w:rFonts w:ascii="Arial" w:hAnsi="Arial" w:cs="Arial"/>
        </w:rPr>
      </w:pPr>
      <w:r w:rsidRPr="00123423">
        <w:rPr>
          <w:rFonts w:ascii="Arial" w:hAnsi="Arial" w:cs="Arial"/>
        </w:rPr>
        <w:t>Antes de abordar lo pertinente</w:t>
      </w:r>
      <w:r w:rsidR="004C018E" w:rsidRPr="00123423">
        <w:rPr>
          <w:rFonts w:ascii="Arial" w:hAnsi="Arial" w:cs="Arial"/>
        </w:rPr>
        <w:t xml:space="preserve">, </w:t>
      </w:r>
      <w:r w:rsidRPr="00123423">
        <w:rPr>
          <w:rFonts w:ascii="Arial" w:hAnsi="Arial" w:cs="Arial"/>
        </w:rPr>
        <w:t xml:space="preserve">conviene precisar que, </w:t>
      </w:r>
      <w:r w:rsidR="004C018E" w:rsidRPr="00123423">
        <w:rPr>
          <w:rFonts w:ascii="Arial" w:hAnsi="Arial" w:cs="Arial"/>
        </w:rPr>
        <w:t xml:space="preserve">si bien el Tribunal </w:t>
      </w:r>
      <w:r w:rsidR="004C018E" w:rsidRPr="00123423">
        <w:rPr>
          <w:rFonts w:ascii="Arial" w:hAnsi="Arial" w:cs="Arial"/>
          <w:i/>
        </w:rPr>
        <w:t>a quo</w:t>
      </w:r>
      <w:r w:rsidR="004C018E" w:rsidRPr="00123423">
        <w:rPr>
          <w:rFonts w:ascii="Arial" w:hAnsi="Arial" w:cs="Arial"/>
        </w:rPr>
        <w:t xml:space="preserve"> profirió tres autos por separado para negar cada uno de los llamamientos en garantía en cuesti</w:t>
      </w:r>
      <w:r w:rsidRPr="00123423">
        <w:rPr>
          <w:rFonts w:ascii="Arial" w:hAnsi="Arial" w:cs="Arial"/>
        </w:rPr>
        <w:t xml:space="preserve">ón y a pesar de que Colombia Compra Eficiente presentó tres </w:t>
      </w:r>
      <w:r w:rsidRPr="00123423">
        <w:rPr>
          <w:rFonts w:ascii="Arial" w:hAnsi="Arial" w:cs="Arial"/>
        </w:rPr>
        <w:lastRenderedPageBreak/>
        <w:t xml:space="preserve">recursos de apelación -también por separado- frente a ellos, este Despacho resolverá en esta misma providencia las tres impugnaciones interpuestas contra los tres proveídos señalados, en razón a que, tanto los mencionados autos como los respectivos recursos de apelación, se sustentaron en similares términos. </w:t>
      </w:r>
    </w:p>
    <w:p w14:paraId="7EE551AA" w14:textId="77777777" w:rsidR="00541397" w:rsidRPr="00123423" w:rsidRDefault="00541397" w:rsidP="004C018E">
      <w:pPr>
        <w:spacing w:line="360" w:lineRule="auto"/>
        <w:jc w:val="both"/>
        <w:rPr>
          <w:rFonts w:ascii="Arial" w:hAnsi="Arial" w:cs="Arial"/>
        </w:rPr>
      </w:pPr>
    </w:p>
    <w:p w14:paraId="3E7AD367" w14:textId="77777777" w:rsidR="00541397" w:rsidRPr="00123423" w:rsidRDefault="00541397" w:rsidP="00541397">
      <w:pPr>
        <w:spacing w:line="360" w:lineRule="auto"/>
        <w:jc w:val="both"/>
        <w:rPr>
          <w:rFonts w:ascii="Arial" w:hAnsi="Arial" w:cs="Arial"/>
        </w:rPr>
      </w:pPr>
      <w:r w:rsidRPr="00123423">
        <w:rPr>
          <w:rFonts w:ascii="Arial" w:hAnsi="Arial" w:cs="Arial"/>
        </w:rPr>
        <w:t xml:space="preserve">Pues bien, la presente controversia gira en torno a si las tres providencias dictadas el 13 de octubre de 2017 por el Tribunal Administrativo de Cundinamarca, mediante las cuales negó los llamamientos en garantía solicitados por Colombia Compra Eficiente, se encuentran ajustadas o no a derecho, razón por la cual, de acuerdo con las pautas expuestas en el acápite anterior, el Despacho examinará si tales solicitudes cumplen o no con los requisitos exigidos en el CPACA. </w:t>
      </w:r>
    </w:p>
    <w:p w14:paraId="090CFEF2" w14:textId="77777777" w:rsidR="00541397" w:rsidRPr="00123423" w:rsidRDefault="00541397" w:rsidP="004C018E">
      <w:pPr>
        <w:spacing w:line="360" w:lineRule="auto"/>
        <w:jc w:val="both"/>
        <w:rPr>
          <w:rFonts w:ascii="Arial" w:hAnsi="Arial" w:cs="Arial"/>
        </w:rPr>
      </w:pPr>
    </w:p>
    <w:p w14:paraId="529D4C4D" w14:textId="77777777" w:rsidR="004C018E" w:rsidRPr="00123423" w:rsidRDefault="00EA175B" w:rsidP="004C018E">
      <w:pPr>
        <w:spacing w:line="360" w:lineRule="auto"/>
        <w:jc w:val="both"/>
        <w:rPr>
          <w:rFonts w:ascii="Arial" w:hAnsi="Arial" w:cs="Arial"/>
        </w:rPr>
      </w:pPr>
      <w:r w:rsidRPr="00123423">
        <w:rPr>
          <w:rFonts w:ascii="Arial" w:hAnsi="Arial" w:cs="Arial"/>
        </w:rPr>
        <w:t xml:space="preserve">En los tres autos apelados, a través de los cuales el Tribunal </w:t>
      </w:r>
      <w:r w:rsidRPr="00123423">
        <w:rPr>
          <w:rFonts w:ascii="Arial" w:hAnsi="Arial" w:cs="Arial"/>
          <w:i/>
        </w:rPr>
        <w:t>a quo</w:t>
      </w:r>
      <w:r w:rsidRPr="00123423">
        <w:rPr>
          <w:rFonts w:ascii="Arial" w:hAnsi="Arial" w:cs="Arial"/>
        </w:rPr>
        <w:t xml:space="preserve"> negó las solicitudes de llamamiento en garantía de Colombia Compra Eficiente en relación </w:t>
      </w:r>
      <w:r w:rsidR="004C018E" w:rsidRPr="00123423">
        <w:rPr>
          <w:rFonts w:ascii="Arial" w:hAnsi="Arial" w:cs="Arial"/>
        </w:rPr>
        <w:t>con las uniones temporales Ediciones SM IV y Ediciones SM V y la sociedad Difusora Larousse de Colombia Ltda.</w:t>
      </w:r>
      <w:r w:rsidR="00B86236" w:rsidRPr="00123423">
        <w:rPr>
          <w:rFonts w:ascii="Arial" w:hAnsi="Arial" w:cs="Arial"/>
        </w:rPr>
        <w:t xml:space="preserve"> (adjudicatarias del contrato cuya nulidad se pretende)</w:t>
      </w:r>
      <w:r w:rsidR="004C018E" w:rsidRPr="00123423">
        <w:rPr>
          <w:rFonts w:ascii="Arial" w:hAnsi="Arial" w:cs="Arial"/>
        </w:rPr>
        <w:t xml:space="preserve">, respectivamente, </w:t>
      </w:r>
      <w:r w:rsidR="00B86236" w:rsidRPr="00123423">
        <w:rPr>
          <w:rFonts w:ascii="Arial" w:hAnsi="Arial" w:cs="Arial"/>
        </w:rPr>
        <w:t>se consideró que no era posible desprender ni un vínculo legal ni contractual de las supuestas acciones ilícitas cometidas por las adjudicatarias</w:t>
      </w:r>
      <w:r w:rsidR="00683564" w:rsidRPr="00123423">
        <w:rPr>
          <w:rFonts w:ascii="Arial" w:hAnsi="Arial" w:cs="Arial"/>
        </w:rPr>
        <w:t xml:space="preserve"> que se plantearon en el escrito de llamamiento</w:t>
      </w:r>
      <w:r w:rsidR="00CA459E" w:rsidRPr="00123423">
        <w:rPr>
          <w:rFonts w:ascii="Arial" w:hAnsi="Arial" w:cs="Arial"/>
        </w:rPr>
        <w:t xml:space="preserve">; </w:t>
      </w:r>
      <w:r w:rsidR="00683564" w:rsidRPr="00123423">
        <w:rPr>
          <w:rFonts w:ascii="Arial" w:hAnsi="Arial" w:cs="Arial"/>
        </w:rPr>
        <w:t xml:space="preserve">sin embargo, a través de los tres recursos de apelación, Colombia Compra Eficiente señaló que sí </w:t>
      </w:r>
    </w:p>
    <w:p w14:paraId="7784FD43" w14:textId="77777777" w:rsidR="00683564" w:rsidRPr="00123423" w:rsidRDefault="00683564" w:rsidP="00683564">
      <w:pPr>
        <w:spacing w:line="360" w:lineRule="auto"/>
        <w:jc w:val="both"/>
        <w:rPr>
          <w:rFonts w:ascii="Arial" w:hAnsi="Arial" w:cs="Arial"/>
        </w:rPr>
      </w:pPr>
      <w:r w:rsidRPr="00123423">
        <w:rPr>
          <w:rFonts w:ascii="Arial" w:hAnsi="Arial" w:cs="Arial"/>
        </w:rPr>
        <w:t xml:space="preserve">existe una relación legal y contractual con las llamadas en garantía, por las obligaciones que surgieron en la fase de licitación y del contrato que se suscribió. </w:t>
      </w:r>
    </w:p>
    <w:p w14:paraId="43F4E4A2" w14:textId="77777777" w:rsidR="00683564" w:rsidRPr="00123423" w:rsidRDefault="00683564" w:rsidP="00683564">
      <w:pPr>
        <w:spacing w:line="360" w:lineRule="auto"/>
        <w:jc w:val="both"/>
        <w:rPr>
          <w:rFonts w:ascii="Arial" w:hAnsi="Arial" w:cs="Arial"/>
        </w:rPr>
      </w:pPr>
    </w:p>
    <w:p w14:paraId="24F3E6E8" w14:textId="77777777" w:rsidR="00683564" w:rsidRPr="00123423" w:rsidRDefault="00683564" w:rsidP="00683564">
      <w:pPr>
        <w:spacing w:line="360" w:lineRule="auto"/>
        <w:jc w:val="both"/>
        <w:rPr>
          <w:rFonts w:ascii="Arial" w:hAnsi="Arial" w:cs="Arial"/>
        </w:rPr>
      </w:pPr>
      <w:r w:rsidRPr="00123423">
        <w:rPr>
          <w:rFonts w:ascii="Arial" w:hAnsi="Arial" w:cs="Arial"/>
        </w:rPr>
        <w:t xml:space="preserve">Como se vio en el acápite que antecede, </w:t>
      </w:r>
      <w:r w:rsidR="00653790" w:rsidRPr="00123423">
        <w:rPr>
          <w:rFonts w:ascii="Arial" w:hAnsi="Arial" w:cs="Arial"/>
        </w:rPr>
        <w:t xml:space="preserve">para dar trámite a la solicitud de llamamiento en garantía con el CPACA, </w:t>
      </w:r>
      <w:r w:rsidR="00653790" w:rsidRPr="00123423">
        <w:rPr>
          <w:rFonts w:ascii="Arial" w:hAnsi="Arial" w:cs="Arial"/>
          <w:b/>
        </w:rPr>
        <w:t xml:space="preserve">simplemente basta que el llamante </w:t>
      </w:r>
      <w:r w:rsidR="00D93CE6" w:rsidRPr="00123423">
        <w:rPr>
          <w:rFonts w:ascii="Arial" w:hAnsi="Arial" w:cs="Arial"/>
          <w:b/>
        </w:rPr>
        <w:t>afirme</w:t>
      </w:r>
      <w:r w:rsidR="00653790" w:rsidRPr="00123423">
        <w:rPr>
          <w:rFonts w:ascii="Arial" w:hAnsi="Arial" w:cs="Arial"/>
          <w:b/>
        </w:rPr>
        <w:t xml:space="preserve"> tener un vínculo legal o contractual</w:t>
      </w:r>
      <w:r w:rsidR="00653790" w:rsidRPr="00123423">
        <w:rPr>
          <w:rFonts w:ascii="Arial" w:hAnsi="Arial" w:cs="Arial"/>
        </w:rPr>
        <w:t xml:space="preserve"> de exigir a un tercero la reparación integral del perjuicio que llegare sufrir, o el reembolso total o parcial del pago que tuviere que hacer como resulta</w:t>
      </w:r>
      <w:r w:rsidR="00690B85" w:rsidRPr="00123423">
        <w:rPr>
          <w:rFonts w:ascii="Arial" w:hAnsi="Arial" w:cs="Arial"/>
        </w:rPr>
        <w:t>do de una sentencia condenatoria</w:t>
      </w:r>
      <w:r w:rsidR="00653790" w:rsidRPr="00123423">
        <w:rPr>
          <w:rFonts w:ascii="Arial" w:hAnsi="Arial" w:cs="Arial"/>
        </w:rPr>
        <w:t>.</w:t>
      </w:r>
    </w:p>
    <w:p w14:paraId="3BEE13C5" w14:textId="77777777" w:rsidR="00653790" w:rsidRPr="00123423" w:rsidRDefault="00653790" w:rsidP="00683564">
      <w:pPr>
        <w:spacing w:line="360" w:lineRule="auto"/>
        <w:jc w:val="both"/>
        <w:rPr>
          <w:rFonts w:ascii="Arial" w:hAnsi="Arial" w:cs="Arial"/>
        </w:rPr>
      </w:pPr>
    </w:p>
    <w:p w14:paraId="37793CF7" w14:textId="77777777" w:rsidR="005832ED" w:rsidRPr="00123423" w:rsidRDefault="00653790" w:rsidP="00683564">
      <w:pPr>
        <w:spacing w:line="360" w:lineRule="auto"/>
        <w:jc w:val="both"/>
        <w:rPr>
          <w:rFonts w:ascii="Arial" w:hAnsi="Arial" w:cs="Arial"/>
        </w:rPr>
      </w:pPr>
      <w:r w:rsidRPr="00123423">
        <w:rPr>
          <w:rFonts w:ascii="Arial" w:hAnsi="Arial" w:cs="Arial"/>
        </w:rPr>
        <w:t xml:space="preserve">En este caso, se observa que Colombia Compra Eficiente </w:t>
      </w:r>
      <w:r w:rsidR="00D93CE6" w:rsidRPr="00123423">
        <w:rPr>
          <w:rFonts w:ascii="Arial" w:hAnsi="Arial" w:cs="Arial"/>
        </w:rPr>
        <w:t xml:space="preserve">(demandada) </w:t>
      </w:r>
      <w:r w:rsidRPr="00123423">
        <w:rPr>
          <w:rFonts w:ascii="Arial" w:hAnsi="Arial" w:cs="Arial"/>
        </w:rPr>
        <w:t>llamó en garantía a quienes resultaron adjudicatarias del contrato del cual se pide su nulidad con la presente demanda. En sus escritos de llamamiento en garant</w:t>
      </w:r>
      <w:r w:rsidR="00D93CE6" w:rsidRPr="00123423">
        <w:rPr>
          <w:rFonts w:ascii="Arial" w:hAnsi="Arial" w:cs="Arial"/>
        </w:rPr>
        <w:t>ía, tal como se desprende de los antecedentes de este proveído, la referida entidad</w:t>
      </w:r>
      <w:r w:rsidRPr="00123423">
        <w:rPr>
          <w:rFonts w:ascii="Arial" w:hAnsi="Arial" w:cs="Arial"/>
        </w:rPr>
        <w:t xml:space="preserve"> </w:t>
      </w:r>
      <w:r w:rsidRPr="00123423">
        <w:rPr>
          <w:rFonts w:ascii="Arial" w:hAnsi="Arial" w:cs="Arial"/>
          <w:b/>
        </w:rPr>
        <w:t xml:space="preserve">afirmó </w:t>
      </w:r>
      <w:r w:rsidR="00593689" w:rsidRPr="00123423">
        <w:rPr>
          <w:rFonts w:ascii="Arial" w:hAnsi="Arial" w:cs="Arial"/>
        </w:rPr>
        <w:t xml:space="preserve">la existencia de un vínculo legal y contractual en relación con las uniones temporales Ediciones SM IV y Ediciones SM V y la sociedad Difusora Larousse de Colombia Ltda. (llamadas), pues, a su juicio, en la fase de licitación y en el contrato que posteriormente suscribieron, estas últimas asumieron unas obligaciones en favor de </w:t>
      </w:r>
      <w:r w:rsidR="00593689" w:rsidRPr="00123423">
        <w:rPr>
          <w:rFonts w:ascii="Arial" w:hAnsi="Arial" w:cs="Arial"/>
        </w:rPr>
        <w:lastRenderedPageBreak/>
        <w:t xml:space="preserve">Colombia Compra Eficiente </w:t>
      </w:r>
      <w:r w:rsidR="00B8168A" w:rsidRPr="00123423">
        <w:rPr>
          <w:rFonts w:ascii="Arial" w:hAnsi="Arial" w:cs="Arial"/>
        </w:rPr>
        <w:t xml:space="preserve">(llamante); argumentos que fueron replicados en los respectivos recursos de apelación. </w:t>
      </w:r>
    </w:p>
    <w:p w14:paraId="4124A5C0" w14:textId="77777777" w:rsidR="005832ED" w:rsidRPr="00123423" w:rsidRDefault="005832ED" w:rsidP="00683564">
      <w:pPr>
        <w:spacing w:line="360" w:lineRule="auto"/>
        <w:jc w:val="both"/>
        <w:rPr>
          <w:rFonts w:ascii="Arial" w:hAnsi="Arial" w:cs="Arial"/>
        </w:rPr>
      </w:pPr>
    </w:p>
    <w:p w14:paraId="35F77E4F" w14:textId="77777777" w:rsidR="00566686" w:rsidRPr="00123423" w:rsidRDefault="005832ED" w:rsidP="00683564">
      <w:pPr>
        <w:spacing w:line="360" w:lineRule="auto"/>
        <w:jc w:val="both"/>
        <w:rPr>
          <w:rFonts w:ascii="Arial" w:hAnsi="Arial" w:cs="Arial"/>
        </w:rPr>
      </w:pPr>
      <w:r w:rsidRPr="00123423">
        <w:rPr>
          <w:rFonts w:ascii="Arial" w:hAnsi="Arial" w:cs="Arial"/>
        </w:rPr>
        <w:t xml:space="preserve">Lo anterior resulta suficiente para concluir que los escritos de llamamiento en garantía objeto de estudio cumplían con las exigencias previstas en el artículo 225 del CPACA para darle el correspondiente trámite. </w:t>
      </w:r>
      <w:r w:rsidR="00566686" w:rsidRPr="00123423">
        <w:rPr>
          <w:rFonts w:ascii="Arial" w:hAnsi="Arial" w:cs="Arial"/>
        </w:rPr>
        <w:t xml:space="preserve">Es por ello que el Tribunal </w:t>
      </w:r>
      <w:r w:rsidR="00566686" w:rsidRPr="00123423">
        <w:rPr>
          <w:rFonts w:ascii="Arial" w:hAnsi="Arial" w:cs="Arial"/>
          <w:i/>
        </w:rPr>
        <w:t>a quo</w:t>
      </w:r>
      <w:r w:rsidR="00566686" w:rsidRPr="00123423">
        <w:rPr>
          <w:rFonts w:ascii="Arial" w:hAnsi="Arial" w:cs="Arial"/>
        </w:rPr>
        <w:t xml:space="preserve"> no podía negar los llamamientos en garantía con fundamento en que no se evidenciaba el vínculo legal o contractual </w:t>
      </w:r>
      <w:r w:rsidR="00C62AE6" w:rsidRPr="00123423">
        <w:rPr>
          <w:rFonts w:ascii="Arial" w:hAnsi="Arial" w:cs="Arial"/>
        </w:rPr>
        <w:t>entre el llamante y las llamada</w:t>
      </w:r>
      <w:r w:rsidR="00566686" w:rsidRPr="00123423">
        <w:rPr>
          <w:rFonts w:ascii="Arial" w:hAnsi="Arial" w:cs="Arial"/>
        </w:rPr>
        <w:t>s, dado que, como ya se advirtió, con el CPACA la prueba de la existencia de tal relación es un asunto que debe d</w:t>
      </w:r>
      <w:r w:rsidR="0000537F" w:rsidRPr="00123423">
        <w:rPr>
          <w:rFonts w:ascii="Arial" w:hAnsi="Arial" w:cs="Arial"/>
        </w:rPr>
        <w:t>ebatirse al momento de decidir</w:t>
      </w:r>
      <w:r w:rsidR="00566686" w:rsidRPr="00123423">
        <w:rPr>
          <w:rFonts w:ascii="Arial" w:hAnsi="Arial" w:cs="Arial"/>
        </w:rPr>
        <w:t xml:space="preserve"> de fondo, pues para dar trámite a la referida petición únicamente basta con la </w:t>
      </w:r>
      <w:r w:rsidR="00566686" w:rsidRPr="00123423">
        <w:rPr>
          <w:rFonts w:ascii="Arial" w:hAnsi="Arial" w:cs="Arial"/>
          <w:b/>
        </w:rPr>
        <w:t>simple afirmación</w:t>
      </w:r>
      <w:r w:rsidR="00566686" w:rsidRPr="00123423">
        <w:rPr>
          <w:rFonts w:ascii="Arial" w:hAnsi="Arial" w:cs="Arial"/>
        </w:rPr>
        <w:t xml:space="preserve"> </w:t>
      </w:r>
      <w:r w:rsidR="00C62AE6" w:rsidRPr="00123423">
        <w:rPr>
          <w:rFonts w:ascii="Arial" w:hAnsi="Arial" w:cs="Arial"/>
        </w:rPr>
        <w:t xml:space="preserve">del llamante </w:t>
      </w:r>
      <w:r w:rsidR="00566686" w:rsidRPr="00123423">
        <w:rPr>
          <w:rFonts w:ascii="Arial" w:hAnsi="Arial" w:cs="Arial"/>
        </w:rPr>
        <w:t>de tener un derecho legal o contractual para</w:t>
      </w:r>
      <w:r w:rsidR="00C62AE6" w:rsidRPr="00123423">
        <w:rPr>
          <w:rFonts w:ascii="Arial" w:hAnsi="Arial" w:cs="Arial"/>
        </w:rPr>
        <w:t xml:space="preserve"> exigir al tercero</w:t>
      </w:r>
      <w:r w:rsidR="00690B85" w:rsidRPr="00123423">
        <w:rPr>
          <w:rFonts w:ascii="Arial" w:hAnsi="Arial" w:cs="Arial"/>
        </w:rPr>
        <w:t xml:space="preserve"> (</w:t>
      </w:r>
      <w:r w:rsidR="00C62AE6" w:rsidRPr="00123423">
        <w:rPr>
          <w:rFonts w:ascii="Arial" w:hAnsi="Arial" w:cs="Arial"/>
        </w:rPr>
        <w:t>llamado) la reparación del perjuicio que llegare a sufrir o el reembolso total o parcial del pago que tuviere que hacer como resultado de la sentencia.</w:t>
      </w:r>
    </w:p>
    <w:p w14:paraId="72B56214" w14:textId="77777777" w:rsidR="00C62AE6" w:rsidRPr="00123423" w:rsidRDefault="00C62AE6" w:rsidP="00683564">
      <w:pPr>
        <w:spacing w:line="360" w:lineRule="auto"/>
        <w:jc w:val="both"/>
        <w:rPr>
          <w:rFonts w:ascii="Arial" w:hAnsi="Arial" w:cs="Arial"/>
        </w:rPr>
      </w:pPr>
    </w:p>
    <w:p w14:paraId="3380A11D" w14:textId="77777777" w:rsidR="00B8168A" w:rsidRPr="00123423" w:rsidRDefault="00C62AE6" w:rsidP="00683564">
      <w:pPr>
        <w:spacing w:line="360" w:lineRule="auto"/>
        <w:jc w:val="both"/>
        <w:rPr>
          <w:rFonts w:ascii="Arial" w:hAnsi="Arial" w:cs="Arial"/>
        </w:rPr>
      </w:pPr>
      <w:r w:rsidRPr="00123423">
        <w:rPr>
          <w:rFonts w:ascii="Arial" w:hAnsi="Arial" w:cs="Arial"/>
        </w:rPr>
        <w:t xml:space="preserve">En otras </w:t>
      </w:r>
      <w:r w:rsidR="0000537F" w:rsidRPr="00123423">
        <w:rPr>
          <w:rFonts w:ascii="Arial" w:hAnsi="Arial" w:cs="Arial"/>
        </w:rPr>
        <w:t>palabras, como no era necesaria</w:t>
      </w:r>
      <w:r w:rsidRPr="00123423">
        <w:rPr>
          <w:rFonts w:ascii="Arial" w:hAnsi="Arial" w:cs="Arial"/>
        </w:rPr>
        <w:t xml:space="preserve"> la prueba del vínculo legal o contractual entre el llamante y las llamadas</w:t>
      </w:r>
      <w:r w:rsidR="00B8168A" w:rsidRPr="00123423">
        <w:rPr>
          <w:rFonts w:ascii="Arial" w:hAnsi="Arial" w:cs="Arial"/>
        </w:rPr>
        <w:t xml:space="preserve"> para dar trámite a las solicitudes de llamamiento en garantía presentadas por Colombia Compra Eficiente, no resultaba posible</w:t>
      </w:r>
      <w:r w:rsidR="00C90DA1" w:rsidRPr="00123423">
        <w:rPr>
          <w:rFonts w:ascii="Arial" w:hAnsi="Arial" w:cs="Arial"/>
        </w:rPr>
        <w:t xml:space="preserve"> negarlas con base </w:t>
      </w:r>
      <w:r w:rsidRPr="00123423">
        <w:rPr>
          <w:rFonts w:ascii="Arial" w:hAnsi="Arial" w:cs="Arial"/>
        </w:rPr>
        <w:t xml:space="preserve">en que no se evidenciaba la referida relación, </w:t>
      </w:r>
      <w:r w:rsidR="00C90DA1" w:rsidRPr="00123423">
        <w:rPr>
          <w:rFonts w:ascii="Arial" w:hAnsi="Arial" w:cs="Arial"/>
        </w:rPr>
        <w:t xml:space="preserve">en razón a que con el CPACA únicamente se exige la </w:t>
      </w:r>
      <w:r w:rsidR="00C90DA1" w:rsidRPr="00123423">
        <w:rPr>
          <w:rFonts w:ascii="Arial" w:hAnsi="Arial" w:cs="Arial"/>
          <w:b/>
        </w:rPr>
        <w:t>afirmación</w:t>
      </w:r>
      <w:r w:rsidR="00C90DA1" w:rsidRPr="00123423">
        <w:rPr>
          <w:rFonts w:ascii="Arial" w:hAnsi="Arial" w:cs="Arial"/>
        </w:rPr>
        <w:t xml:space="preserve"> del llamante en el sentido de que tiene una relación legal o contractual.</w:t>
      </w:r>
    </w:p>
    <w:p w14:paraId="68B19526" w14:textId="77777777" w:rsidR="00C90DA1" w:rsidRPr="00123423" w:rsidRDefault="00C90DA1" w:rsidP="00683564">
      <w:pPr>
        <w:spacing w:line="360" w:lineRule="auto"/>
        <w:jc w:val="both"/>
        <w:rPr>
          <w:rFonts w:ascii="Arial" w:hAnsi="Arial" w:cs="Arial"/>
        </w:rPr>
      </w:pPr>
    </w:p>
    <w:p w14:paraId="7FB3B4CF" w14:textId="77777777" w:rsidR="00E11E42" w:rsidRDefault="00C90DA1" w:rsidP="002E2F01">
      <w:pPr>
        <w:spacing w:line="360" w:lineRule="auto"/>
        <w:jc w:val="both"/>
        <w:rPr>
          <w:rFonts w:ascii="Arial" w:hAnsi="Arial" w:cs="Arial"/>
        </w:rPr>
      </w:pPr>
      <w:r w:rsidRPr="00123423">
        <w:rPr>
          <w:rFonts w:ascii="Arial" w:hAnsi="Arial" w:cs="Arial"/>
        </w:rPr>
        <w:t xml:space="preserve">En ese orden de ideas, el Despacho revocará </w:t>
      </w:r>
      <w:r w:rsidR="000D7BA1" w:rsidRPr="00123423">
        <w:rPr>
          <w:rFonts w:ascii="Arial" w:hAnsi="Arial" w:cs="Arial"/>
        </w:rPr>
        <w:t>los tres autos proferidos el 13 de octubre de 2017 por el Tribunal Administrativo de Cundinamarca -</w:t>
      </w:r>
      <w:r w:rsidR="000D7BA1" w:rsidRPr="00123423">
        <w:rPr>
          <w:rFonts w:ascii="Arial" w:hAnsi="Arial" w:cs="Arial"/>
          <w:i/>
        </w:rPr>
        <w:t>que negaron los tres llamamientos en garantía presentados por Colombia Compra Eficiente</w:t>
      </w:r>
      <w:r w:rsidR="000D7BA1" w:rsidRPr="00123423">
        <w:rPr>
          <w:rFonts w:ascii="Arial" w:hAnsi="Arial" w:cs="Arial"/>
        </w:rPr>
        <w:t xml:space="preserve">- para que, en su lugar, </w:t>
      </w:r>
      <w:r w:rsidR="00690B85" w:rsidRPr="00123423">
        <w:rPr>
          <w:rFonts w:ascii="Arial" w:hAnsi="Arial" w:cs="Arial"/>
        </w:rPr>
        <w:t>provea sobre su admisión</w:t>
      </w:r>
      <w:r w:rsidR="000D7BA1" w:rsidRPr="00123423">
        <w:rPr>
          <w:rFonts w:ascii="Arial" w:hAnsi="Arial" w:cs="Arial"/>
        </w:rPr>
        <w:t>, toda vez que las solicitudes de llamamiento en garantía cumplieron las exigencias previstas en el artículo 225 del CPACA, por cuanto en ellas Colombia Compra Eficiente afirmó que tenía una relación legal y contractual con las llamadas (uniones temporales Ediciones SM IV y Ediciones SM V y la sociedad Difusora Larousse de Colombia Ltda.)</w:t>
      </w:r>
      <w:r w:rsidR="000D7BA1" w:rsidRPr="00123423">
        <w:rPr>
          <w:rStyle w:val="Refdenotaalpie"/>
          <w:rFonts w:ascii="Arial" w:hAnsi="Arial" w:cs="Arial"/>
        </w:rPr>
        <w:footnoteReference w:id="18"/>
      </w:r>
      <w:r w:rsidR="000D7BA1" w:rsidRPr="00123423">
        <w:rPr>
          <w:rFonts w:ascii="Arial" w:hAnsi="Arial" w:cs="Arial"/>
        </w:rPr>
        <w:t>.</w:t>
      </w:r>
    </w:p>
    <w:p w14:paraId="2C2C5985" w14:textId="77777777" w:rsidR="00123423" w:rsidRPr="00123423" w:rsidRDefault="00123423" w:rsidP="002E2F01">
      <w:pPr>
        <w:spacing w:line="360" w:lineRule="auto"/>
        <w:jc w:val="both"/>
        <w:rPr>
          <w:rFonts w:ascii="Arial" w:hAnsi="Arial" w:cs="Arial"/>
        </w:rPr>
      </w:pPr>
    </w:p>
    <w:p w14:paraId="3C730195" w14:textId="77777777" w:rsidR="002F1A1C" w:rsidRPr="00123423" w:rsidRDefault="002E2F01" w:rsidP="002E2F01">
      <w:pPr>
        <w:spacing w:line="360" w:lineRule="auto"/>
        <w:jc w:val="both"/>
        <w:rPr>
          <w:rFonts w:ascii="Arial" w:hAnsi="Arial" w:cs="Arial"/>
          <w:iCs/>
        </w:rPr>
      </w:pPr>
      <w:r w:rsidRPr="00123423">
        <w:rPr>
          <w:rFonts w:ascii="Arial" w:hAnsi="Arial" w:cs="Arial"/>
          <w:iCs/>
        </w:rPr>
        <w:t xml:space="preserve">En mérito de lo expuesto, </w:t>
      </w:r>
      <w:r w:rsidR="000D7BA1" w:rsidRPr="00123423">
        <w:rPr>
          <w:rFonts w:ascii="Arial" w:hAnsi="Arial" w:cs="Arial"/>
          <w:iCs/>
        </w:rPr>
        <w:t>este Despacho d</w:t>
      </w:r>
      <w:r w:rsidR="00530550" w:rsidRPr="00123423">
        <w:rPr>
          <w:rFonts w:ascii="Arial" w:hAnsi="Arial" w:cs="Arial"/>
          <w:iCs/>
        </w:rPr>
        <w:t>el</w:t>
      </w:r>
      <w:r w:rsidR="000D7BA1" w:rsidRPr="00123423">
        <w:rPr>
          <w:rFonts w:ascii="Arial" w:hAnsi="Arial" w:cs="Arial"/>
          <w:iCs/>
        </w:rPr>
        <w:t xml:space="preserve"> Consejo de Estado,</w:t>
      </w:r>
      <w:r w:rsidR="00530550" w:rsidRPr="00123423">
        <w:rPr>
          <w:rFonts w:ascii="Arial" w:hAnsi="Arial" w:cs="Arial"/>
          <w:iCs/>
        </w:rPr>
        <w:t xml:space="preserve"> </w:t>
      </w:r>
      <w:r w:rsidRPr="00123423">
        <w:rPr>
          <w:rFonts w:ascii="Arial" w:hAnsi="Arial" w:cs="Arial"/>
          <w:iCs/>
        </w:rPr>
        <w:t xml:space="preserve">Sala de lo Contencioso Administrativo, Sección Tercera, Subsección A, </w:t>
      </w:r>
    </w:p>
    <w:p w14:paraId="231088CC" w14:textId="77777777" w:rsidR="003D7AE2" w:rsidRPr="00123423" w:rsidRDefault="003D7AE2" w:rsidP="002E2F01">
      <w:pPr>
        <w:spacing w:line="360" w:lineRule="auto"/>
        <w:jc w:val="both"/>
        <w:rPr>
          <w:rFonts w:ascii="Arial" w:hAnsi="Arial" w:cs="Arial"/>
          <w:iCs/>
        </w:rPr>
      </w:pPr>
    </w:p>
    <w:p w14:paraId="4C5CC184" w14:textId="77777777" w:rsidR="00D13205" w:rsidRPr="00123423" w:rsidRDefault="00D13205" w:rsidP="00D13205">
      <w:pPr>
        <w:spacing w:line="360" w:lineRule="auto"/>
        <w:jc w:val="center"/>
        <w:rPr>
          <w:rFonts w:ascii="Arial" w:hAnsi="Arial" w:cs="Arial"/>
          <w:b/>
        </w:rPr>
      </w:pPr>
      <w:r w:rsidRPr="00123423">
        <w:rPr>
          <w:rFonts w:ascii="Arial" w:hAnsi="Arial" w:cs="Arial"/>
          <w:b/>
        </w:rPr>
        <w:t>RESUELVE:</w:t>
      </w:r>
    </w:p>
    <w:p w14:paraId="1D78C2C4" w14:textId="77777777" w:rsidR="00D13205" w:rsidRPr="00123423" w:rsidRDefault="00D13205" w:rsidP="00D13205">
      <w:pPr>
        <w:spacing w:line="360" w:lineRule="auto"/>
        <w:jc w:val="both"/>
        <w:rPr>
          <w:rFonts w:ascii="Arial" w:hAnsi="Arial" w:cs="Arial"/>
        </w:rPr>
      </w:pPr>
    </w:p>
    <w:p w14:paraId="3CD49C90" w14:textId="77777777" w:rsidR="00512A2F" w:rsidRPr="00123423" w:rsidRDefault="00D13205" w:rsidP="00D13205">
      <w:pPr>
        <w:overflowPunct w:val="0"/>
        <w:autoSpaceDE w:val="0"/>
        <w:autoSpaceDN w:val="0"/>
        <w:adjustRightInd w:val="0"/>
        <w:spacing w:line="360" w:lineRule="auto"/>
        <w:jc w:val="both"/>
        <w:textAlignment w:val="baseline"/>
        <w:rPr>
          <w:rFonts w:ascii="Arial" w:hAnsi="Arial" w:cs="Arial"/>
        </w:rPr>
      </w:pPr>
      <w:r w:rsidRPr="00123423">
        <w:rPr>
          <w:rFonts w:ascii="Arial" w:hAnsi="Arial" w:cs="Arial"/>
          <w:b/>
        </w:rPr>
        <w:t xml:space="preserve">PRIMERO: </w:t>
      </w:r>
      <w:r w:rsidR="00512A2F" w:rsidRPr="00123423">
        <w:rPr>
          <w:rFonts w:ascii="Arial" w:hAnsi="Arial" w:cs="Arial"/>
          <w:b/>
        </w:rPr>
        <w:t>REVOCAR</w:t>
      </w:r>
      <w:r w:rsidR="002F1A1C" w:rsidRPr="00123423">
        <w:rPr>
          <w:rFonts w:ascii="Arial" w:hAnsi="Arial" w:cs="Arial"/>
        </w:rPr>
        <w:t xml:space="preserve"> los tres autos proferidos el 13 de octubre de 2017 por el Tribunal Administrativo de Cundinamarca, mediante los cuales negó los llamamientos en garantía solicitados por Colombia Compra Eficiente.</w:t>
      </w:r>
    </w:p>
    <w:p w14:paraId="43872577" w14:textId="77777777" w:rsidR="00D13205" w:rsidRPr="00123423" w:rsidRDefault="00D13205" w:rsidP="00D13205">
      <w:pPr>
        <w:overflowPunct w:val="0"/>
        <w:autoSpaceDE w:val="0"/>
        <w:autoSpaceDN w:val="0"/>
        <w:adjustRightInd w:val="0"/>
        <w:spacing w:line="360" w:lineRule="auto"/>
        <w:jc w:val="both"/>
        <w:textAlignment w:val="baseline"/>
        <w:rPr>
          <w:rFonts w:ascii="Arial" w:hAnsi="Arial" w:cs="Arial"/>
        </w:rPr>
      </w:pPr>
    </w:p>
    <w:p w14:paraId="32B52850" w14:textId="77777777" w:rsidR="00D13205" w:rsidRPr="00123423" w:rsidRDefault="00D13205" w:rsidP="00D13205">
      <w:pPr>
        <w:overflowPunct w:val="0"/>
        <w:autoSpaceDE w:val="0"/>
        <w:autoSpaceDN w:val="0"/>
        <w:adjustRightInd w:val="0"/>
        <w:spacing w:line="360" w:lineRule="auto"/>
        <w:jc w:val="both"/>
        <w:textAlignment w:val="baseline"/>
        <w:rPr>
          <w:rFonts w:ascii="Arial" w:eastAsia="Calibri" w:hAnsi="Arial" w:cs="Arial"/>
          <w:bCs/>
          <w:lang w:val="es-CO" w:eastAsia="en-US"/>
        </w:rPr>
      </w:pPr>
      <w:r w:rsidRPr="00123423">
        <w:rPr>
          <w:rFonts w:ascii="Arial" w:hAnsi="Arial" w:cs="Arial"/>
          <w:b/>
        </w:rPr>
        <w:t>SEGUNDO:</w:t>
      </w:r>
      <w:r w:rsidR="00D0513A" w:rsidRPr="00123423">
        <w:rPr>
          <w:rFonts w:ascii="Arial" w:hAnsi="Arial" w:cs="Arial"/>
        </w:rPr>
        <w:t xml:space="preserve"> </w:t>
      </w:r>
      <w:r w:rsidR="00947D31" w:rsidRPr="00123423">
        <w:rPr>
          <w:rFonts w:ascii="Arial" w:eastAsia="Calibri" w:hAnsi="Arial" w:cs="Arial"/>
          <w:bCs/>
          <w:lang w:val="es-CO" w:eastAsia="en-US"/>
        </w:rPr>
        <w:t xml:space="preserve">Por Secretaría, una vez de ejecutoriado este proveído, </w:t>
      </w:r>
      <w:r w:rsidR="00D0513A" w:rsidRPr="00123423">
        <w:rPr>
          <w:rFonts w:ascii="Arial" w:eastAsia="Calibri" w:hAnsi="Arial" w:cs="Arial"/>
          <w:b/>
          <w:bCs/>
          <w:lang w:val="es-CO" w:eastAsia="en-US"/>
        </w:rPr>
        <w:t>DEVOLVER</w:t>
      </w:r>
      <w:r w:rsidR="00947D31" w:rsidRPr="00123423">
        <w:rPr>
          <w:rFonts w:ascii="Arial" w:eastAsia="Calibri" w:hAnsi="Arial" w:cs="Arial"/>
          <w:b/>
          <w:bCs/>
          <w:lang w:val="es-CO" w:eastAsia="en-US"/>
        </w:rPr>
        <w:t xml:space="preserve"> </w:t>
      </w:r>
      <w:r w:rsidR="00947D31" w:rsidRPr="00123423">
        <w:rPr>
          <w:rFonts w:ascii="Arial" w:eastAsia="Calibri" w:hAnsi="Arial" w:cs="Arial"/>
          <w:bCs/>
          <w:lang w:val="es-CO" w:eastAsia="en-US"/>
        </w:rPr>
        <w:t>el expediente al Tribunal d</w:t>
      </w:r>
      <w:r w:rsidR="002F1A1C" w:rsidRPr="00123423">
        <w:rPr>
          <w:rFonts w:ascii="Arial" w:eastAsia="Calibri" w:hAnsi="Arial" w:cs="Arial"/>
          <w:bCs/>
          <w:lang w:val="es-CO" w:eastAsia="en-US"/>
        </w:rPr>
        <w:t xml:space="preserve">e origen para que provea </w:t>
      </w:r>
      <w:r w:rsidR="003D7AE2" w:rsidRPr="00123423">
        <w:rPr>
          <w:rFonts w:ascii="Arial" w:eastAsia="Calibri" w:hAnsi="Arial" w:cs="Arial"/>
          <w:bCs/>
          <w:lang w:val="es-CO" w:eastAsia="en-US"/>
        </w:rPr>
        <w:t xml:space="preserve">sobre la admisión </w:t>
      </w:r>
      <w:r w:rsidR="002F1A1C" w:rsidRPr="00123423">
        <w:rPr>
          <w:rFonts w:ascii="Arial" w:eastAsia="Calibri" w:hAnsi="Arial" w:cs="Arial"/>
          <w:bCs/>
          <w:lang w:val="es-CO" w:eastAsia="en-US"/>
        </w:rPr>
        <w:t>de</w:t>
      </w:r>
      <w:r w:rsidR="003D7AE2" w:rsidRPr="00123423">
        <w:rPr>
          <w:rFonts w:ascii="Arial" w:eastAsia="Calibri" w:hAnsi="Arial" w:cs="Arial"/>
          <w:bCs/>
          <w:lang w:val="es-CO" w:eastAsia="en-US"/>
        </w:rPr>
        <w:t xml:space="preserve"> las solicitudes de llamamiento</w:t>
      </w:r>
      <w:r w:rsidR="002F1A1C" w:rsidRPr="00123423">
        <w:rPr>
          <w:rFonts w:ascii="Arial" w:eastAsia="Calibri" w:hAnsi="Arial" w:cs="Arial"/>
          <w:bCs/>
          <w:lang w:val="es-CO" w:eastAsia="en-US"/>
        </w:rPr>
        <w:t xml:space="preserve"> en garantía presentadas por Colombia Compra Eficiente en relación con las </w:t>
      </w:r>
      <w:r w:rsidR="002F1A1C" w:rsidRPr="00123423">
        <w:rPr>
          <w:rFonts w:ascii="Arial" w:hAnsi="Arial" w:cs="Arial"/>
        </w:rPr>
        <w:t>uniones temporales Ediciones SM IV y Ediciones SM V y la sociedad Difusora Larousse de Colombia Ltda.</w:t>
      </w:r>
    </w:p>
    <w:p w14:paraId="6AD855FC" w14:textId="77777777" w:rsidR="00014A1D" w:rsidRPr="00123423" w:rsidRDefault="00014A1D" w:rsidP="00D13205">
      <w:pPr>
        <w:overflowPunct w:val="0"/>
        <w:autoSpaceDE w:val="0"/>
        <w:autoSpaceDN w:val="0"/>
        <w:adjustRightInd w:val="0"/>
        <w:spacing w:line="360" w:lineRule="auto"/>
        <w:jc w:val="both"/>
        <w:textAlignment w:val="baseline"/>
        <w:rPr>
          <w:rFonts w:ascii="Arial" w:hAnsi="Arial" w:cs="Arial"/>
        </w:rPr>
      </w:pPr>
    </w:p>
    <w:p w14:paraId="086784FC" w14:textId="77777777" w:rsidR="00FB324D" w:rsidRPr="00123423" w:rsidRDefault="00FB324D" w:rsidP="00D13205">
      <w:pPr>
        <w:overflowPunct w:val="0"/>
        <w:autoSpaceDE w:val="0"/>
        <w:autoSpaceDN w:val="0"/>
        <w:adjustRightInd w:val="0"/>
        <w:spacing w:line="360" w:lineRule="auto"/>
        <w:jc w:val="both"/>
        <w:textAlignment w:val="baseline"/>
        <w:rPr>
          <w:rFonts w:ascii="Arial" w:hAnsi="Arial" w:cs="Arial"/>
        </w:rPr>
      </w:pPr>
    </w:p>
    <w:p w14:paraId="06656256" w14:textId="77777777" w:rsidR="00D13205" w:rsidRPr="00123423" w:rsidRDefault="00D13205" w:rsidP="00D13205">
      <w:pPr>
        <w:spacing w:line="360" w:lineRule="auto"/>
        <w:jc w:val="center"/>
        <w:rPr>
          <w:rFonts w:ascii="Arial" w:hAnsi="Arial" w:cs="Arial"/>
          <w:b/>
          <w:snapToGrid w:val="0"/>
          <w:lang w:val="es-ES_tradnl"/>
        </w:rPr>
      </w:pPr>
      <w:r w:rsidRPr="00123423">
        <w:rPr>
          <w:rFonts w:ascii="Arial" w:hAnsi="Arial" w:cs="Arial"/>
          <w:b/>
          <w:snapToGrid w:val="0"/>
          <w:lang w:val="es-ES_tradnl"/>
        </w:rPr>
        <w:t>NOTIFÍQUESE Y CÚMPLASE</w:t>
      </w:r>
    </w:p>
    <w:p w14:paraId="7A7A25DA" w14:textId="77777777" w:rsidR="00D13205" w:rsidRPr="00123423" w:rsidRDefault="00D13205" w:rsidP="00D13205">
      <w:pPr>
        <w:rPr>
          <w:rFonts w:ascii="Arial" w:hAnsi="Arial" w:cs="Arial"/>
          <w:b/>
          <w:snapToGrid w:val="0"/>
          <w:lang w:val="es-ES_tradnl"/>
        </w:rPr>
      </w:pPr>
    </w:p>
    <w:p w14:paraId="3B0B0745" w14:textId="77777777" w:rsidR="00014A1D" w:rsidRPr="00123423" w:rsidRDefault="00014A1D" w:rsidP="00D13205">
      <w:pPr>
        <w:rPr>
          <w:rFonts w:ascii="Arial" w:hAnsi="Arial" w:cs="Arial"/>
          <w:b/>
          <w:snapToGrid w:val="0"/>
          <w:lang w:val="es-ES_tradnl"/>
        </w:rPr>
      </w:pPr>
    </w:p>
    <w:p w14:paraId="3122AB46" w14:textId="77777777" w:rsidR="00D13205" w:rsidRPr="00123423" w:rsidRDefault="00D13205" w:rsidP="00D13205">
      <w:pPr>
        <w:rPr>
          <w:rFonts w:ascii="Arial" w:hAnsi="Arial" w:cs="Arial"/>
          <w:b/>
          <w:snapToGrid w:val="0"/>
          <w:lang w:val="es-ES_tradnl"/>
        </w:rPr>
      </w:pPr>
    </w:p>
    <w:p w14:paraId="1A1161AB" w14:textId="77777777" w:rsidR="002F1A1C" w:rsidRPr="00123423" w:rsidRDefault="002F1A1C" w:rsidP="00D13205">
      <w:pPr>
        <w:rPr>
          <w:rFonts w:ascii="Arial" w:hAnsi="Arial" w:cs="Arial"/>
          <w:b/>
          <w:snapToGrid w:val="0"/>
          <w:lang w:val="es-ES_tradnl"/>
        </w:rPr>
      </w:pPr>
    </w:p>
    <w:p w14:paraId="27DC8A4E" w14:textId="77777777" w:rsidR="000D7BA1" w:rsidRPr="00123423" w:rsidRDefault="00D13205" w:rsidP="00123423">
      <w:pPr>
        <w:widowControl w:val="0"/>
        <w:jc w:val="center"/>
        <w:rPr>
          <w:rFonts w:ascii="Arial" w:hAnsi="Arial" w:cs="Arial"/>
        </w:rPr>
      </w:pPr>
      <w:r w:rsidRPr="00123423">
        <w:rPr>
          <w:rFonts w:ascii="Arial" w:hAnsi="Arial" w:cs="Arial"/>
          <w:b/>
          <w:snapToGrid w:val="0"/>
          <w:lang w:val="es-ES_tradnl"/>
        </w:rPr>
        <w:t>MARTA NUBIA VELÁSQUEZ RICO</w:t>
      </w:r>
    </w:p>
    <w:p w14:paraId="52B29A1E" w14:textId="77777777" w:rsidR="003D7AE2" w:rsidRPr="00123423" w:rsidRDefault="003D7AE2" w:rsidP="003D7AE2">
      <w:pPr>
        <w:widowControl w:val="0"/>
        <w:rPr>
          <w:rFonts w:ascii="Arial" w:hAnsi="Arial" w:cs="Arial"/>
        </w:rPr>
      </w:pPr>
    </w:p>
    <w:p w14:paraId="28CF4B30" w14:textId="77777777" w:rsidR="003D7AE2" w:rsidRPr="00123423" w:rsidRDefault="003D7AE2" w:rsidP="003D7AE2">
      <w:pPr>
        <w:widowControl w:val="0"/>
        <w:rPr>
          <w:rFonts w:ascii="Arial" w:hAnsi="Arial" w:cs="Arial"/>
        </w:rPr>
      </w:pPr>
    </w:p>
    <w:p w14:paraId="3384458F" w14:textId="77777777" w:rsidR="003D7AE2" w:rsidRPr="00123423" w:rsidRDefault="003D7AE2" w:rsidP="003D7AE2">
      <w:pPr>
        <w:widowControl w:val="0"/>
        <w:rPr>
          <w:rFonts w:ascii="Arial" w:hAnsi="Arial" w:cs="Arial"/>
        </w:rPr>
      </w:pPr>
    </w:p>
    <w:p w14:paraId="746D3F9C" w14:textId="77777777" w:rsidR="003D7AE2" w:rsidRPr="00123423" w:rsidRDefault="003D7AE2" w:rsidP="003D7AE2">
      <w:pPr>
        <w:widowControl w:val="0"/>
        <w:rPr>
          <w:rFonts w:ascii="Arial" w:hAnsi="Arial" w:cs="Arial"/>
        </w:rPr>
      </w:pPr>
    </w:p>
    <w:p w14:paraId="1E2E3A83" w14:textId="77777777" w:rsidR="003D7AE2" w:rsidRPr="00123423" w:rsidRDefault="003D7AE2" w:rsidP="003D7AE2">
      <w:pPr>
        <w:widowControl w:val="0"/>
        <w:rPr>
          <w:rFonts w:ascii="Arial" w:hAnsi="Arial" w:cs="Arial"/>
          <w:sz w:val="14"/>
          <w:szCs w:val="14"/>
        </w:rPr>
      </w:pPr>
      <w:r w:rsidRPr="00123423">
        <w:rPr>
          <w:rFonts w:ascii="Arial" w:hAnsi="Arial" w:cs="Arial"/>
          <w:sz w:val="14"/>
          <w:szCs w:val="14"/>
        </w:rPr>
        <w:t>MAMG</w:t>
      </w:r>
    </w:p>
    <w:sectPr w:rsidR="003D7AE2" w:rsidRPr="00123423" w:rsidSect="00BB5E52">
      <w:footerReference w:type="first" r:id="rId11"/>
      <w:pgSz w:w="12242" w:h="18722" w:code="14"/>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786DE" w14:textId="77777777" w:rsidR="00B11621" w:rsidRDefault="00B11621">
      <w:r>
        <w:separator/>
      </w:r>
    </w:p>
  </w:endnote>
  <w:endnote w:type="continuationSeparator" w:id="0">
    <w:p w14:paraId="655D5D71" w14:textId="77777777" w:rsidR="00B11621" w:rsidRDefault="00B1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5CD67" w14:textId="77777777" w:rsidR="00373097" w:rsidRDefault="00373097">
    <w:pPr>
      <w:pStyle w:val="Piedepgina"/>
      <w:jc w:val="right"/>
      <w:rPr>
        <w:rFonts w:ascii="Arial" w:hAnsi="Arial" w:cs="Arial"/>
        <w:sz w:val="22"/>
        <w:szCs w:val="22"/>
      </w:rPr>
    </w:pPr>
  </w:p>
  <w:p w14:paraId="3D15A8C8" w14:textId="77777777" w:rsidR="003B5022" w:rsidRPr="005010D6" w:rsidRDefault="003B5022" w:rsidP="005010D6">
    <w:pPr>
      <w:pStyle w:val="Piedepgina"/>
      <w:jc w:val="center"/>
      <w:rPr>
        <w:rFonts w:ascii="Arial" w:hAnsi="Arial" w:cs="Arial"/>
        <w:sz w:val="20"/>
        <w:szCs w:val="20"/>
      </w:rPr>
    </w:pPr>
    <w:r w:rsidRPr="005010D6">
      <w:rPr>
        <w:rFonts w:ascii="Arial" w:hAnsi="Arial" w:cs="Arial"/>
        <w:sz w:val="20"/>
        <w:szCs w:val="20"/>
      </w:rPr>
      <w:fldChar w:fldCharType="begin"/>
    </w:r>
    <w:r w:rsidRPr="005010D6">
      <w:rPr>
        <w:rFonts w:ascii="Arial" w:hAnsi="Arial" w:cs="Arial"/>
        <w:sz w:val="20"/>
        <w:szCs w:val="20"/>
      </w:rPr>
      <w:instrText>PAGE   \* MERGEFORMAT</w:instrText>
    </w:r>
    <w:r w:rsidRPr="005010D6">
      <w:rPr>
        <w:rFonts w:ascii="Arial" w:hAnsi="Arial" w:cs="Arial"/>
        <w:sz w:val="20"/>
        <w:szCs w:val="20"/>
      </w:rPr>
      <w:fldChar w:fldCharType="separate"/>
    </w:r>
    <w:r w:rsidR="00123423">
      <w:rPr>
        <w:rFonts w:ascii="Arial" w:hAnsi="Arial" w:cs="Arial"/>
        <w:noProof/>
        <w:sz w:val="20"/>
        <w:szCs w:val="20"/>
      </w:rPr>
      <w:t>1</w:t>
    </w:r>
    <w:r w:rsidRPr="005010D6">
      <w:rPr>
        <w:rFonts w:ascii="Arial" w:hAnsi="Arial" w:cs="Arial"/>
        <w:sz w:val="20"/>
        <w:szCs w:val="20"/>
      </w:rPr>
      <w:fldChar w:fldCharType="end"/>
    </w:r>
  </w:p>
  <w:p w14:paraId="02F8DBA0" w14:textId="77777777" w:rsidR="003B5022" w:rsidRDefault="003B50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FA357" w14:textId="77777777" w:rsidR="00B11621" w:rsidRDefault="00B11621">
      <w:r>
        <w:separator/>
      </w:r>
    </w:p>
  </w:footnote>
  <w:footnote w:type="continuationSeparator" w:id="0">
    <w:p w14:paraId="69D0B335" w14:textId="77777777" w:rsidR="00B11621" w:rsidRDefault="00B11621">
      <w:r>
        <w:continuationSeparator/>
      </w:r>
    </w:p>
  </w:footnote>
  <w:footnote w:id="1">
    <w:p w14:paraId="0BE28221" w14:textId="77777777" w:rsidR="00363DA1" w:rsidRPr="00363DA1" w:rsidRDefault="00363DA1" w:rsidP="00363DA1">
      <w:pPr>
        <w:pStyle w:val="Textonotapie"/>
        <w:jc w:val="both"/>
        <w:rPr>
          <w:rFonts w:ascii="Arial" w:hAnsi="Arial" w:cs="Arial"/>
          <w:lang w:val="es-CO"/>
        </w:rPr>
      </w:pPr>
      <w:r w:rsidRPr="00363DA1">
        <w:rPr>
          <w:rStyle w:val="Refdenotaalpie"/>
          <w:rFonts w:ascii="Arial" w:hAnsi="Arial" w:cs="Arial"/>
        </w:rPr>
        <w:footnoteRef/>
      </w:r>
      <w:r w:rsidRPr="00363DA1">
        <w:rPr>
          <w:rFonts w:ascii="Arial" w:hAnsi="Arial" w:cs="Arial"/>
        </w:rPr>
        <w:t xml:space="preserve"> </w:t>
      </w:r>
      <w:r w:rsidRPr="00363DA1">
        <w:rPr>
          <w:rFonts w:ascii="Arial" w:hAnsi="Arial" w:cs="Arial"/>
          <w:lang w:val="es-CO"/>
        </w:rPr>
        <w:t xml:space="preserve">Folios 2-19 del cuaderno de primera instancia. </w:t>
      </w:r>
    </w:p>
  </w:footnote>
  <w:footnote w:id="2">
    <w:p w14:paraId="0BA6E038" w14:textId="77777777" w:rsidR="009C4E80" w:rsidRPr="003353F1" w:rsidRDefault="009C4E80" w:rsidP="003353F1">
      <w:pPr>
        <w:pStyle w:val="Textonotapie"/>
        <w:jc w:val="both"/>
        <w:rPr>
          <w:rFonts w:ascii="Arial" w:hAnsi="Arial" w:cs="Arial"/>
        </w:rPr>
      </w:pPr>
      <w:r w:rsidRPr="00DA4CA2">
        <w:rPr>
          <w:rStyle w:val="Refdenotaalpie"/>
          <w:rFonts w:ascii="Arial" w:hAnsi="Arial" w:cs="Arial"/>
        </w:rPr>
        <w:footnoteRef/>
      </w:r>
      <w:r w:rsidRPr="00DA4CA2">
        <w:rPr>
          <w:rFonts w:ascii="Arial" w:hAnsi="Arial" w:cs="Arial"/>
        </w:rPr>
        <w:t xml:space="preserve"> En auto posterior, de fech</w:t>
      </w:r>
      <w:r w:rsidR="00DA4CA2" w:rsidRPr="00DA4CA2">
        <w:rPr>
          <w:rFonts w:ascii="Arial" w:hAnsi="Arial" w:cs="Arial"/>
        </w:rPr>
        <w:t xml:space="preserve">a 1º de junio de 2017, el </w:t>
      </w:r>
      <w:r w:rsidR="00DA4CA2" w:rsidRPr="00DA4CA2">
        <w:rPr>
          <w:rFonts w:ascii="Arial" w:hAnsi="Arial" w:cs="Arial"/>
          <w:i/>
        </w:rPr>
        <w:t>a quo</w:t>
      </w:r>
      <w:r w:rsidR="00DA4CA2" w:rsidRPr="00DA4CA2">
        <w:rPr>
          <w:rFonts w:ascii="Arial" w:hAnsi="Arial" w:cs="Arial"/>
        </w:rPr>
        <w:t xml:space="preserve"> precisó que deben entenderse acumuladas </w:t>
      </w:r>
      <w:r w:rsidR="00DA4CA2">
        <w:rPr>
          <w:rFonts w:ascii="Arial" w:hAnsi="Arial" w:cs="Arial"/>
        </w:rPr>
        <w:t xml:space="preserve">las pretensiones de nulidad del acto de adjudicación y de nulidad del contrato. Al respecto, esto dijo </w:t>
      </w:r>
      <w:r w:rsidR="00DA4CA2" w:rsidRPr="00DA4CA2">
        <w:rPr>
          <w:rFonts w:ascii="Arial" w:hAnsi="Arial" w:cs="Arial"/>
          <w:i/>
        </w:rPr>
        <w:t>“(…) este Despacho las acumula dentro del medio de control de controversias contractuales</w:t>
      </w:r>
      <w:r w:rsidR="00DA4CA2">
        <w:rPr>
          <w:rFonts w:ascii="Arial" w:hAnsi="Arial" w:cs="Arial"/>
        </w:rPr>
        <w:t xml:space="preserve">” (folios 81-86 del cuaderno de primera instancia). </w:t>
      </w:r>
    </w:p>
  </w:footnote>
  <w:footnote w:id="3">
    <w:p w14:paraId="1BF4689D" w14:textId="77777777" w:rsidR="006E4AF6" w:rsidRPr="006E4AF6" w:rsidRDefault="006E4AF6" w:rsidP="006E4AF6">
      <w:pPr>
        <w:pStyle w:val="Textonotapie"/>
        <w:jc w:val="both"/>
        <w:rPr>
          <w:rFonts w:ascii="Arial" w:hAnsi="Arial" w:cs="Arial"/>
          <w:lang w:val="es-CO"/>
        </w:rPr>
      </w:pPr>
      <w:r w:rsidRPr="006E4AF6">
        <w:rPr>
          <w:rStyle w:val="Refdenotaalpie"/>
          <w:rFonts w:ascii="Arial" w:hAnsi="Arial" w:cs="Arial"/>
        </w:rPr>
        <w:footnoteRef/>
      </w:r>
      <w:r w:rsidRPr="006E4AF6">
        <w:rPr>
          <w:rFonts w:ascii="Arial" w:hAnsi="Arial" w:cs="Arial"/>
        </w:rPr>
        <w:t xml:space="preserve"> </w:t>
      </w:r>
      <w:r w:rsidRPr="006E4AF6">
        <w:rPr>
          <w:rFonts w:ascii="Arial" w:hAnsi="Arial" w:cs="Arial"/>
          <w:lang w:val="es-CO"/>
        </w:rPr>
        <w:t>Folios 22-27 del cuaderno de primera instancia.</w:t>
      </w:r>
    </w:p>
  </w:footnote>
  <w:footnote w:id="4">
    <w:p w14:paraId="0A5DFF38" w14:textId="77777777" w:rsidR="00F8221A" w:rsidRPr="00C0106D" w:rsidRDefault="00F8221A" w:rsidP="00F8221A">
      <w:pPr>
        <w:pStyle w:val="Textonotapie"/>
        <w:jc w:val="both"/>
        <w:rPr>
          <w:rFonts w:ascii="Arial" w:hAnsi="Arial" w:cs="Arial"/>
          <w:lang w:val="es-CO"/>
        </w:rPr>
      </w:pPr>
      <w:r w:rsidRPr="00C0106D">
        <w:rPr>
          <w:rStyle w:val="Refdenotaalpie"/>
          <w:rFonts w:ascii="Arial" w:hAnsi="Arial" w:cs="Arial"/>
        </w:rPr>
        <w:footnoteRef/>
      </w:r>
      <w:r w:rsidRPr="00C0106D">
        <w:rPr>
          <w:rFonts w:ascii="Arial" w:hAnsi="Arial" w:cs="Arial"/>
        </w:rPr>
        <w:t xml:space="preserve"> </w:t>
      </w:r>
      <w:r>
        <w:rPr>
          <w:rFonts w:ascii="Arial" w:hAnsi="Arial" w:cs="Arial"/>
        </w:rPr>
        <w:t>Folios 1-15 de los cuadernos contentivos de los llamamientos en garantía Nos. 3, 4 y 5.</w:t>
      </w:r>
    </w:p>
  </w:footnote>
  <w:footnote w:id="5">
    <w:p w14:paraId="5314B2F4" w14:textId="77777777" w:rsidR="00F8221A" w:rsidRPr="00295635" w:rsidRDefault="00F8221A" w:rsidP="00295635">
      <w:pPr>
        <w:pStyle w:val="Textonotapie"/>
        <w:jc w:val="both"/>
        <w:rPr>
          <w:rFonts w:ascii="Arial" w:hAnsi="Arial" w:cs="Arial"/>
          <w:lang w:val="es-CO"/>
        </w:rPr>
      </w:pPr>
      <w:r w:rsidRPr="00295635">
        <w:rPr>
          <w:rStyle w:val="Refdenotaalpie"/>
          <w:rFonts w:ascii="Arial" w:hAnsi="Arial" w:cs="Arial"/>
        </w:rPr>
        <w:footnoteRef/>
      </w:r>
      <w:r w:rsidRPr="00295635">
        <w:rPr>
          <w:rFonts w:ascii="Arial" w:hAnsi="Arial" w:cs="Arial"/>
        </w:rPr>
        <w:t xml:space="preserve"> Folios 9-10 de los cuadernos contentivos de los llamamientos en garantía Nos. 3, 4 y 5.</w:t>
      </w:r>
    </w:p>
  </w:footnote>
  <w:footnote w:id="6">
    <w:p w14:paraId="5C22098A" w14:textId="77777777" w:rsidR="004223F4" w:rsidRPr="00295635" w:rsidRDefault="004223F4" w:rsidP="00295635">
      <w:pPr>
        <w:pStyle w:val="Textonotapie"/>
        <w:jc w:val="both"/>
        <w:rPr>
          <w:rFonts w:ascii="Arial" w:hAnsi="Arial" w:cs="Arial"/>
          <w:lang w:val="es-CO"/>
        </w:rPr>
      </w:pPr>
      <w:r w:rsidRPr="00295635">
        <w:rPr>
          <w:rStyle w:val="Refdenotaalpie"/>
          <w:rFonts w:ascii="Arial" w:hAnsi="Arial" w:cs="Arial"/>
        </w:rPr>
        <w:footnoteRef/>
      </w:r>
      <w:r w:rsidRPr="00295635">
        <w:rPr>
          <w:rFonts w:ascii="Arial" w:hAnsi="Arial" w:cs="Arial"/>
        </w:rPr>
        <w:t xml:space="preserve"> Folios 543-548 del cuaderno del Consejo de Estado.</w:t>
      </w:r>
    </w:p>
  </w:footnote>
  <w:footnote w:id="7">
    <w:p w14:paraId="20D4D73D" w14:textId="77777777" w:rsidR="004223F4" w:rsidRPr="00295635" w:rsidRDefault="004223F4" w:rsidP="00295635">
      <w:pPr>
        <w:pStyle w:val="Textonotapie"/>
        <w:jc w:val="both"/>
        <w:rPr>
          <w:rFonts w:ascii="Arial" w:hAnsi="Arial" w:cs="Arial"/>
          <w:lang w:val="es-CO"/>
        </w:rPr>
      </w:pPr>
      <w:r w:rsidRPr="00295635">
        <w:rPr>
          <w:rStyle w:val="Refdenotaalpie"/>
          <w:rFonts w:ascii="Arial" w:hAnsi="Arial" w:cs="Arial"/>
        </w:rPr>
        <w:footnoteRef/>
      </w:r>
      <w:r w:rsidRPr="00295635">
        <w:rPr>
          <w:rFonts w:ascii="Arial" w:hAnsi="Arial" w:cs="Arial"/>
        </w:rPr>
        <w:t xml:space="preserve"> Folios 549-554 del cuaderno del Consejo de Estado.</w:t>
      </w:r>
    </w:p>
  </w:footnote>
  <w:footnote w:id="8">
    <w:p w14:paraId="20520C6A" w14:textId="77777777" w:rsidR="004223F4" w:rsidRPr="00295635" w:rsidRDefault="004223F4" w:rsidP="00295635">
      <w:pPr>
        <w:pStyle w:val="Textonotapie"/>
        <w:jc w:val="both"/>
        <w:rPr>
          <w:rFonts w:ascii="Arial" w:hAnsi="Arial" w:cs="Arial"/>
          <w:lang w:val="es-CO"/>
        </w:rPr>
      </w:pPr>
      <w:r w:rsidRPr="00295635">
        <w:rPr>
          <w:rStyle w:val="Refdenotaalpie"/>
          <w:rFonts w:ascii="Arial" w:hAnsi="Arial" w:cs="Arial"/>
        </w:rPr>
        <w:footnoteRef/>
      </w:r>
      <w:r w:rsidRPr="00295635">
        <w:rPr>
          <w:rFonts w:ascii="Arial" w:hAnsi="Arial" w:cs="Arial"/>
        </w:rPr>
        <w:t xml:space="preserve"> Folios 555-560 del cuaderno del Consejo de Estado.</w:t>
      </w:r>
    </w:p>
  </w:footnote>
  <w:footnote w:id="9">
    <w:p w14:paraId="06B2FC67" w14:textId="77777777" w:rsidR="00295635" w:rsidRPr="00295635" w:rsidRDefault="00295635" w:rsidP="00295635">
      <w:pPr>
        <w:pStyle w:val="Textonotapie"/>
        <w:jc w:val="both"/>
      </w:pPr>
      <w:r w:rsidRPr="00295635">
        <w:rPr>
          <w:rStyle w:val="Refdenotaalpie"/>
          <w:rFonts w:ascii="Arial" w:hAnsi="Arial" w:cs="Arial"/>
        </w:rPr>
        <w:footnoteRef/>
      </w:r>
      <w:r w:rsidRPr="00295635">
        <w:rPr>
          <w:rFonts w:ascii="Arial" w:hAnsi="Arial" w:cs="Arial"/>
        </w:rPr>
        <w:t xml:space="preserve"> Folios 576-585, 593-602 y 610 -619 del cuaderno del Consejo de Estado.</w:t>
      </w:r>
      <w:r>
        <w:t xml:space="preserve"> </w:t>
      </w:r>
    </w:p>
  </w:footnote>
  <w:footnote w:id="10">
    <w:p w14:paraId="1B89B03F" w14:textId="77777777" w:rsidR="00804454" w:rsidRPr="00804454" w:rsidRDefault="00740CF0" w:rsidP="00804454">
      <w:pPr>
        <w:jc w:val="both"/>
        <w:rPr>
          <w:rFonts w:ascii="Arial" w:hAnsi="Arial" w:cs="Arial"/>
          <w:i/>
          <w:sz w:val="20"/>
          <w:szCs w:val="20"/>
          <w:shd w:val="clear" w:color="auto" w:fill="FFFFFF"/>
        </w:rPr>
      </w:pPr>
      <w:r w:rsidRPr="0097338D">
        <w:rPr>
          <w:rStyle w:val="Refdenotaalpie"/>
          <w:rFonts w:ascii="Arial" w:hAnsi="Arial" w:cs="Arial"/>
        </w:rPr>
        <w:footnoteRef/>
      </w:r>
      <w:r w:rsidRPr="0097338D">
        <w:rPr>
          <w:rFonts w:ascii="Arial" w:hAnsi="Arial" w:cs="Arial"/>
        </w:rPr>
        <w:t xml:space="preserve"> </w:t>
      </w:r>
      <w:r w:rsidR="00804454" w:rsidRPr="00804454">
        <w:rPr>
          <w:rFonts w:ascii="Arial" w:hAnsi="Arial" w:cs="Arial"/>
          <w:bCs/>
          <w:i/>
          <w:sz w:val="20"/>
          <w:szCs w:val="20"/>
          <w:shd w:val="clear" w:color="auto" w:fill="FFFFFF"/>
        </w:rPr>
        <w:t>“</w:t>
      </w:r>
      <w:r w:rsidR="00804454" w:rsidRPr="00804454">
        <w:rPr>
          <w:rFonts w:ascii="Arial" w:hAnsi="Arial" w:cs="Arial"/>
          <w:b/>
          <w:bCs/>
          <w:i/>
          <w:sz w:val="20"/>
          <w:szCs w:val="20"/>
          <w:u w:val="single"/>
          <w:shd w:val="clear" w:color="auto" w:fill="FFFFFF"/>
        </w:rPr>
        <w:t>Artículo 226. </w:t>
      </w:r>
      <w:r w:rsidR="00804454" w:rsidRPr="00804454">
        <w:rPr>
          <w:rFonts w:ascii="Arial" w:hAnsi="Arial" w:cs="Arial"/>
          <w:b/>
          <w:bCs/>
          <w:i/>
          <w:iCs/>
          <w:sz w:val="20"/>
          <w:szCs w:val="20"/>
          <w:u w:val="single"/>
          <w:shd w:val="clear" w:color="auto" w:fill="FFFFFF"/>
        </w:rPr>
        <w:t>Impugnación de las decisiones sobre intervención de terceros</w:t>
      </w:r>
      <w:r w:rsidR="00804454" w:rsidRPr="00804454">
        <w:rPr>
          <w:rFonts w:ascii="Arial" w:hAnsi="Arial" w:cs="Arial"/>
          <w:bCs/>
          <w:i/>
          <w:iCs/>
          <w:sz w:val="20"/>
          <w:szCs w:val="20"/>
          <w:shd w:val="clear" w:color="auto" w:fill="FFFFFF"/>
        </w:rPr>
        <w:t>.</w:t>
      </w:r>
      <w:r w:rsidR="00804454" w:rsidRPr="00804454">
        <w:rPr>
          <w:rFonts w:ascii="Arial" w:hAnsi="Arial" w:cs="Arial"/>
          <w:i/>
          <w:iCs/>
          <w:sz w:val="20"/>
          <w:szCs w:val="20"/>
          <w:shd w:val="clear" w:color="auto" w:fill="FFFFFF"/>
        </w:rPr>
        <w:t> </w:t>
      </w:r>
      <w:r w:rsidR="00804454" w:rsidRPr="00804454">
        <w:rPr>
          <w:rFonts w:ascii="Arial" w:hAnsi="Arial" w:cs="Arial"/>
          <w:b/>
          <w:i/>
          <w:sz w:val="20"/>
          <w:szCs w:val="20"/>
          <w:u w:val="single"/>
          <w:shd w:val="clear" w:color="auto" w:fill="FFFFFF"/>
        </w:rPr>
        <w:t>El auto</w:t>
      </w:r>
      <w:r w:rsidR="00804454" w:rsidRPr="00804454">
        <w:rPr>
          <w:rFonts w:ascii="Arial" w:hAnsi="Arial" w:cs="Arial"/>
          <w:i/>
          <w:sz w:val="20"/>
          <w:szCs w:val="20"/>
          <w:shd w:val="clear" w:color="auto" w:fill="FFFFFF"/>
        </w:rPr>
        <w:t xml:space="preserve"> que</w:t>
      </w:r>
      <w:r w:rsidR="00804454" w:rsidRPr="00804454">
        <w:rPr>
          <w:rFonts w:ascii="Arial" w:hAnsi="Arial" w:cs="Arial"/>
          <w:b/>
          <w:i/>
          <w:sz w:val="20"/>
          <w:szCs w:val="20"/>
          <w:shd w:val="clear" w:color="auto" w:fill="FFFFFF"/>
        </w:rPr>
        <w:t xml:space="preserve"> acepta la solicitud de intervención en primera instancia </w:t>
      </w:r>
      <w:r w:rsidR="00804454" w:rsidRPr="00804454">
        <w:rPr>
          <w:rFonts w:ascii="Arial" w:hAnsi="Arial" w:cs="Arial"/>
          <w:b/>
          <w:i/>
          <w:sz w:val="20"/>
          <w:szCs w:val="20"/>
          <w:u w:val="single"/>
          <w:shd w:val="clear" w:color="auto" w:fill="FFFFFF"/>
        </w:rPr>
        <w:t>será apelable</w:t>
      </w:r>
      <w:r w:rsidR="00804454" w:rsidRPr="00804454">
        <w:rPr>
          <w:rFonts w:ascii="Arial" w:hAnsi="Arial" w:cs="Arial"/>
          <w:b/>
          <w:i/>
          <w:sz w:val="20"/>
          <w:szCs w:val="20"/>
          <w:shd w:val="clear" w:color="auto" w:fill="FFFFFF"/>
        </w:rPr>
        <w:t xml:space="preserve"> en el efecto devolutivo y </w:t>
      </w:r>
      <w:r w:rsidR="00804454" w:rsidRPr="00804454">
        <w:rPr>
          <w:rFonts w:ascii="Arial" w:hAnsi="Arial" w:cs="Arial"/>
          <w:b/>
          <w:i/>
          <w:sz w:val="20"/>
          <w:szCs w:val="20"/>
          <w:u w:val="single"/>
          <w:shd w:val="clear" w:color="auto" w:fill="FFFFFF"/>
        </w:rPr>
        <w:t>el que la niega en el suspensivo</w:t>
      </w:r>
      <w:r w:rsidR="00804454" w:rsidRPr="00804454">
        <w:rPr>
          <w:rFonts w:ascii="Arial" w:hAnsi="Arial" w:cs="Arial"/>
          <w:i/>
          <w:sz w:val="20"/>
          <w:szCs w:val="20"/>
          <w:shd w:val="clear" w:color="auto" w:fill="FFFFFF"/>
        </w:rPr>
        <w:t>. El auto que la resuelva en única instancia será susceptible del recurso de súplica o del de reposición, según el juez sea individual o colegiado, y en los mismos efectos previstos para la apelación”</w:t>
      </w:r>
      <w:r w:rsidR="00804454">
        <w:rPr>
          <w:rFonts w:ascii="Arial" w:hAnsi="Arial" w:cs="Arial"/>
          <w:i/>
          <w:sz w:val="20"/>
          <w:szCs w:val="20"/>
          <w:shd w:val="clear" w:color="auto" w:fill="FFFFFF"/>
        </w:rPr>
        <w:t xml:space="preserve"> </w:t>
      </w:r>
      <w:r w:rsidR="00804454">
        <w:rPr>
          <w:rFonts w:ascii="Arial" w:hAnsi="Arial" w:cs="Arial"/>
          <w:sz w:val="20"/>
          <w:szCs w:val="20"/>
          <w:shd w:val="clear" w:color="auto" w:fill="FFFFFF"/>
        </w:rPr>
        <w:t>(se destaca)</w:t>
      </w:r>
      <w:r w:rsidR="00804454" w:rsidRPr="00804454">
        <w:rPr>
          <w:rFonts w:ascii="Arial" w:hAnsi="Arial" w:cs="Arial"/>
          <w:i/>
          <w:sz w:val="20"/>
          <w:szCs w:val="20"/>
          <w:shd w:val="clear" w:color="auto" w:fill="FFFFFF"/>
        </w:rPr>
        <w:t>.</w:t>
      </w:r>
    </w:p>
    <w:p w14:paraId="0C3B168A" w14:textId="77777777" w:rsidR="00740CF0" w:rsidRPr="00740CF0" w:rsidRDefault="00804454" w:rsidP="00804454">
      <w:pPr>
        <w:pStyle w:val="Textonotapie"/>
        <w:jc w:val="both"/>
        <w:rPr>
          <w:rFonts w:ascii="Arial" w:hAnsi="Arial" w:cs="Arial"/>
          <w:i/>
          <w:color w:val="000000"/>
          <w:shd w:val="clear" w:color="auto" w:fill="FFFFFF"/>
        </w:rPr>
      </w:pPr>
      <w:r w:rsidRPr="0097338D">
        <w:rPr>
          <w:rFonts w:ascii="Arial" w:hAnsi="Arial" w:cs="Arial"/>
        </w:rPr>
        <w:t xml:space="preserve"> </w:t>
      </w:r>
      <w:r w:rsidR="00740CF0" w:rsidRPr="0097338D">
        <w:rPr>
          <w:rFonts w:ascii="Arial" w:hAnsi="Arial" w:cs="Arial"/>
        </w:rPr>
        <w:t>“</w:t>
      </w:r>
      <w:r w:rsidR="00740CF0" w:rsidRPr="0097338D">
        <w:rPr>
          <w:rFonts w:ascii="Arial" w:hAnsi="Arial" w:cs="Arial"/>
          <w:i/>
          <w:lang w:val="es-CO"/>
        </w:rPr>
        <w:t xml:space="preserve">Artículo 243. Apelación. </w:t>
      </w:r>
      <w:r w:rsidR="00740CF0" w:rsidRPr="0097338D">
        <w:rPr>
          <w:rFonts w:ascii="Arial" w:hAnsi="Arial" w:cs="Arial"/>
          <w:i/>
          <w:color w:val="000000"/>
          <w:shd w:val="clear" w:color="auto" w:fill="FFFFFF"/>
        </w:rPr>
        <w:t>Son apelables las sentencias de primera instancia de los Tribunales y de los Jueces. También serán apelables los siguientes autos proferidos en la misma instancia</w:t>
      </w:r>
      <w:r w:rsidR="00740CF0" w:rsidRPr="0097338D">
        <w:rPr>
          <w:rStyle w:val="apple-converted-space"/>
          <w:rFonts w:ascii="Arial" w:hAnsi="Arial" w:cs="Arial"/>
          <w:i/>
          <w:color w:val="000000"/>
          <w:shd w:val="clear" w:color="auto" w:fill="FFFFFF"/>
        </w:rPr>
        <w:t> </w:t>
      </w:r>
      <w:r w:rsidR="00740CF0" w:rsidRPr="0097338D">
        <w:rPr>
          <w:rFonts w:ascii="Arial" w:hAnsi="Arial" w:cs="Arial"/>
          <w:i/>
          <w:color w:val="000000"/>
          <w:shd w:val="clear" w:color="auto" w:fill="FFFFFF"/>
        </w:rPr>
        <w:t>por los jueces administrativos:</w:t>
      </w:r>
      <w:r w:rsidR="00740CF0">
        <w:rPr>
          <w:rFonts w:ascii="Arial" w:hAnsi="Arial" w:cs="Arial"/>
          <w:i/>
          <w:color w:val="000000"/>
          <w:shd w:val="clear" w:color="auto" w:fill="FFFFFF"/>
        </w:rPr>
        <w:t xml:space="preserve"> </w:t>
      </w:r>
      <w:r w:rsidR="00740CF0" w:rsidRPr="0097338D">
        <w:rPr>
          <w:rFonts w:ascii="Arial" w:hAnsi="Arial" w:cs="Arial"/>
          <w:i/>
          <w:color w:val="000000"/>
          <w:shd w:val="clear" w:color="auto" w:fill="FFFFFF"/>
        </w:rPr>
        <w:t>1. El que re</w:t>
      </w:r>
      <w:r w:rsidR="00740CF0">
        <w:rPr>
          <w:rFonts w:ascii="Arial" w:hAnsi="Arial" w:cs="Arial"/>
          <w:i/>
          <w:color w:val="000000"/>
          <w:shd w:val="clear" w:color="auto" w:fill="FFFFFF"/>
        </w:rPr>
        <w:t xml:space="preserve">chace la demanda </w:t>
      </w:r>
      <w:r w:rsidR="00740CF0" w:rsidRPr="0097338D">
        <w:rPr>
          <w:rFonts w:ascii="Arial" w:hAnsi="Arial" w:cs="Arial"/>
          <w:i/>
          <w:color w:val="000000"/>
          <w:shd w:val="clear" w:color="auto" w:fill="FFFFFF"/>
        </w:rPr>
        <w:t xml:space="preserve">(…)”. </w:t>
      </w:r>
    </w:p>
  </w:footnote>
  <w:footnote w:id="11">
    <w:p w14:paraId="51DC61B5" w14:textId="77777777" w:rsidR="00117A06" w:rsidRPr="00117A06" w:rsidRDefault="00117A06" w:rsidP="00117A06">
      <w:pPr>
        <w:pStyle w:val="Sinespaciado"/>
        <w:jc w:val="both"/>
        <w:rPr>
          <w:rFonts w:ascii="Arial" w:eastAsia="Arial Unicode MS" w:hAnsi="Arial" w:cs="Arial"/>
          <w:sz w:val="20"/>
          <w:szCs w:val="20"/>
          <w:bdr w:val="nil"/>
        </w:rPr>
      </w:pPr>
      <w:r w:rsidRPr="00117A06">
        <w:rPr>
          <w:rStyle w:val="Refdenotaalpie"/>
          <w:rFonts w:ascii="Arial" w:hAnsi="Arial" w:cs="Arial"/>
          <w:sz w:val="20"/>
          <w:szCs w:val="20"/>
        </w:rPr>
        <w:footnoteRef/>
      </w:r>
      <w:r w:rsidRPr="00117A06">
        <w:rPr>
          <w:rFonts w:ascii="Arial" w:hAnsi="Arial" w:cs="Arial"/>
          <w:sz w:val="20"/>
          <w:szCs w:val="20"/>
        </w:rPr>
        <w:t xml:space="preserve"> </w:t>
      </w:r>
      <w:r w:rsidRPr="00117A06">
        <w:rPr>
          <w:rFonts w:ascii="Arial" w:eastAsia="Arial Unicode MS" w:hAnsi="Arial" w:cs="Arial"/>
          <w:sz w:val="20"/>
          <w:szCs w:val="20"/>
          <w:bdr w:val="nil"/>
        </w:rPr>
        <w:t xml:space="preserve">En relación con el alcance del artículo 226 de la Ley 1437 de 2011, la Corte Constitucional sostuvo: </w:t>
      </w:r>
      <w:r w:rsidRPr="00117A06">
        <w:rPr>
          <w:rFonts w:ascii="Arial" w:hAnsi="Arial" w:cs="Arial"/>
          <w:sz w:val="20"/>
          <w:szCs w:val="20"/>
          <w:shd w:val="clear" w:color="auto" w:fill="FFFFFF"/>
        </w:rPr>
        <w:t>“</w:t>
      </w:r>
      <w:r w:rsidRPr="00117A06">
        <w:rPr>
          <w:rFonts w:ascii="Arial" w:hAnsi="Arial" w:cs="Arial"/>
          <w:i/>
          <w:sz w:val="20"/>
          <w:szCs w:val="20"/>
          <w:shd w:val="clear" w:color="auto" w:fill="FFFFFF"/>
        </w:rPr>
        <w:t>(…) Respecto de lo previsto en el artículo 226 del CPACA, existe una abierta contradicción entre este artículo y el artículo 243.7 ibídem, ya que el primero señala que tanto el auto que acepta la intervención del tercero como el que la niega son apelables, mientras que el segundo señala que el auto que niega la intervención del tercero no es apelable. Por tanto, habría que aplicar los criterios hermenéuticos empleados por el Consejo de Estado y concluir que prevalece la regulación especial y, en consecuencia, sostener que el auto que decide sobre la intervención de terceros, sea que la admita o sea que la niegue, es apelable</w:t>
      </w:r>
      <w:r w:rsidR="0077404C">
        <w:rPr>
          <w:rFonts w:ascii="Arial" w:hAnsi="Arial" w:cs="Arial"/>
          <w:sz w:val="20"/>
          <w:szCs w:val="20"/>
          <w:shd w:val="clear" w:color="auto" w:fill="FFFFFF"/>
        </w:rPr>
        <w:t>” (s</w:t>
      </w:r>
      <w:r w:rsidRPr="00117A06">
        <w:rPr>
          <w:rFonts w:ascii="Arial" w:hAnsi="Arial" w:cs="Arial"/>
          <w:sz w:val="20"/>
          <w:szCs w:val="20"/>
          <w:shd w:val="clear" w:color="auto" w:fill="FFFFFF"/>
        </w:rPr>
        <w:t>entencia</w:t>
      </w:r>
      <w:r w:rsidRPr="00117A06">
        <w:rPr>
          <w:rFonts w:ascii="Arial" w:hAnsi="Arial" w:cs="Arial"/>
          <w:bCs/>
          <w:sz w:val="20"/>
          <w:szCs w:val="20"/>
          <w:shd w:val="clear" w:color="auto" w:fill="FFFFFF"/>
        </w:rPr>
        <w:t> C-329 del 27 de mayo de 2015, expediente D-10483, M.P. Mauricio González Cuervo).</w:t>
      </w:r>
    </w:p>
  </w:footnote>
  <w:footnote w:id="12">
    <w:p w14:paraId="0E9D31BA" w14:textId="77777777" w:rsidR="00625D7A" w:rsidRPr="008A29DB" w:rsidRDefault="00625D7A" w:rsidP="00625D7A">
      <w:pPr>
        <w:pStyle w:val="Textonotapie"/>
        <w:jc w:val="both"/>
        <w:rPr>
          <w:rFonts w:ascii="Arial" w:hAnsi="Arial" w:cs="Arial"/>
          <w:lang w:val="es-CO"/>
        </w:rPr>
      </w:pPr>
      <w:r w:rsidRPr="008A29DB">
        <w:rPr>
          <w:rStyle w:val="Refdenotaalpie"/>
          <w:rFonts w:ascii="Arial" w:hAnsi="Arial" w:cs="Arial"/>
        </w:rPr>
        <w:footnoteRef/>
      </w:r>
      <w:r w:rsidRPr="008A29DB">
        <w:rPr>
          <w:rFonts w:ascii="Arial" w:hAnsi="Arial" w:cs="Arial"/>
          <w:i/>
        </w:rPr>
        <w:t xml:space="preserve"> “Artículo 150. El Consejo de Estado, en Sala de lo Contencioso Administrativo conocerá en segunda instancia de las apelaciones de las sentencia dictadas en primera instancia por los tribunales administrativos </w:t>
      </w:r>
      <w:r w:rsidRPr="00740CF0">
        <w:rPr>
          <w:rFonts w:ascii="Arial" w:hAnsi="Arial" w:cs="Arial"/>
          <w:b/>
          <w:i/>
          <w:u w:val="single"/>
        </w:rPr>
        <w:t>y de las apelaciones de autos susceptibles de este medio impugnación</w:t>
      </w:r>
      <w:r w:rsidRPr="008A29DB">
        <w:rPr>
          <w:rFonts w:ascii="Arial" w:hAnsi="Arial" w:cs="Arial"/>
          <w:i/>
        </w:rPr>
        <w:t xml:space="preserve"> (…)”</w:t>
      </w:r>
      <w:r>
        <w:rPr>
          <w:rFonts w:ascii="Arial" w:hAnsi="Arial" w:cs="Arial"/>
          <w:i/>
        </w:rPr>
        <w:t xml:space="preserve"> </w:t>
      </w:r>
      <w:r>
        <w:rPr>
          <w:rFonts w:ascii="Arial" w:hAnsi="Arial" w:cs="Arial"/>
        </w:rPr>
        <w:t>(se destaca)</w:t>
      </w:r>
      <w:r w:rsidRPr="008A29DB">
        <w:rPr>
          <w:rFonts w:ascii="Arial" w:hAnsi="Arial" w:cs="Arial"/>
          <w:i/>
        </w:rPr>
        <w:t>.</w:t>
      </w:r>
    </w:p>
  </w:footnote>
  <w:footnote w:id="13">
    <w:p w14:paraId="3F895F4C" w14:textId="77777777" w:rsidR="00625D7A" w:rsidRPr="0097338D" w:rsidRDefault="00625D7A" w:rsidP="00625D7A">
      <w:pPr>
        <w:pStyle w:val="Textonotapie"/>
        <w:jc w:val="both"/>
        <w:rPr>
          <w:rFonts w:ascii="Arial" w:hAnsi="Arial" w:cs="Arial"/>
          <w:lang w:val="es-CO"/>
        </w:rPr>
      </w:pPr>
      <w:r w:rsidRPr="0097338D">
        <w:rPr>
          <w:rStyle w:val="Refdenotaalpie"/>
          <w:rFonts w:ascii="Arial" w:hAnsi="Arial" w:cs="Arial"/>
        </w:rPr>
        <w:footnoteRef/>
      </w:r>
      <w:r w:rsidRPr="0097338D">
        <w:rPr>
          <w:rFonts w:ascii="Arial" w:hAnsi="Arial" w:cs="Arial"/>
        </w:rPr>
        <w:t xml:space="preserve"> </w:t>
      </w:r>
      <w:r w:rsidRPr="0097338D">
        <w:rPr>
          <w:rFonts w:ascii="Arial" w:hAnsi="Arial" w:cs="Arial"/>
          <w:lang w:val="es-CO"/>
        </w:rPr>
        <w:t>“</w:t>
      </w:r>
      <w:r w:rsidRPr="0097338D">
        <w:rPr>
          <w:rFonts w:ascii="Arial" w:hAnsi="Arial" w:cs="Arial"/>
          <w:i/>
          <w:lang w:val="es-CO"/>
        </w:rPr>
        <w:t xml:space="preserve">Artículo 125. De la expedición de providencias. </w:t>
      </w:r>
      <w:r w:rsidRPr="0097338D">
        <w:rPr>
          <w:rFonts w:ascii="Arial" w:hAnsi="Arial" w:cs="Arial"/>
          <w:i/>
          <w:color w:val="000000"/>
          <w:shd w:val="clear" w:color="auto" w:fill="FFFFFF"/>
        </w:rPr>
        <w:t>Será competencia del juez o Magistrado Ponente dictar los autos interlocutorios y de trámite; sin embargo, en el caso de los jueces colegiados, las decisiones a que se refieren los numerales 1, 2, 3 y 4 del artículo 243 de este Código serán de la sala, excepto en los procesos de única instancia. Corresponderá a los jueces, las salas, secciones y subsecciones de decisión dictar las sentencias. Los autos que resuelvan los recursos de súplica serán dictados por las salas, secciones y subsecciones de decisión con exclusión del Magistrado que hubiere proferido el auto objeto de la súplica</w:t>
      </w:r>
      <w:r w:rsidRPr="0097338D">
        <w:rPr>
          <w:rFonts w:ascii="Arial" w:hAnsi="Arial" w:cs="Arial"/>
          <w:color w:val="000000"/>
          <w:shd w:val="clear" w:color="auto" w:fill="FFFFFF"/>
        </w:rPr>
        <w:t>”.</w:t>
      </w:r>
    </w:p>
  </w:footnote>
  <w:footnote w:id="14">
    <w:p w14:paraId="1419BF54" w14:textId="77777777" w:rsidR="00625D7A" w:rsidRPr="001654EB" w:rsidRDefault="00625D7A" w:rsidP="00625D7A">
      <w:pPr>
        <w:pStyle w:val="Sinespaciado"/>
        <w:jc w:val="both"/>
        <w:rPr>
          <w:rFonts w:ascii="Arial" w:hAnsi="Arial" w:cs="Arial"/>
          <w:i/>
          <w:sz w:val="20"/>
          <w:szCs w:val="20"/>
        </w:rPr>
      </w:pPr>
      <w:r w:rsidRPr="001654EB">
        <w:rPr>
          <w:rStyle w:val="Refdenotaalpie"/>
          <w:rFonts w:ascii="Arial" w:hAnsi="Arial" w:cs="Arial"/>
          <w:sz w:val="20"/>
          <w:szCs w:val="20"/>
        </w:rPr>
        <w:footnoteRef/>
      </w:r>
      <w:r w:rsidRPr="001654EB">
        <w:rPr>
          <w:rFonts w:ascii="Arial" w:hAnsi="Arial" w:cs="Arial"/>
          <w:sz w:val="20"/>
          <w:szCs w:val="20"/>
        </w:rPr>
        <w:t xml:space="preserve"> “</w:t>
      </w:r>
      <w:r w:rsidRPr="001654EB">
        <w:rPr>
          <w:rFonts w:ascii="Arial" w:hAnsi="Arial" w:cs="Arial"/>
          <w:i/>
          <w:sz w:val="20"/>
          <w:szCs w:val="20"/>
        </w:rPr>
        <w:t>Artículo 243. Apelación. Son apelables las sentencias de primera instancia de los Tribunales y de los Jueces. También serán apelables los siguientes autos proferidos en la misma instancia por los jueces administrativos:</w:t>
      </w:r>
    </w:p>
    <w:p w14:paraId="3ACDAF64" w14:textId="77777777" w:rsidR="00625D7A" w:rsidRPr="001654EB" w:rsidRDefault="00625D7A" w:rsidP="00625D7A">
      <w:pPr>
        <w:pStyle w:val="Sinespaciado"/>
        <w:jc w:val="both"/>
        <w:rPr>
          <w:rFonts w:ascii="Arial" w:hAnsi="Arial" w:cs="Arial"/>
          <w:bCs/>
          <w:i/>
          <w:sz w:val="20"/>
          <w:szCs w:val="20"/>
        </w:rPr>
      </w:pPr>
      <w:r w:rsidRPr="001654EB">
        <w:rPr>
          <w:rFonts w:ascii="Arial" w:hAnsi="Arial" w:cs="Arial"/>
          <w:sz w:val="20"/>
          <w:szCs w:val="20"/>
        </w:rPr>
        <w:t>“</w:t>
      </w:r>
      <w:r w:rsidRPr="001654EB">
        <w:rPr>
          <w:rFonts w:ascii="Arial" w:hAnsi="Arial" w:cs="Arial"/>
          <w:i/>
          <w:sz w:val="20"/>
          <w:szCs w:val="20"/>
        </w:rPr>
        <w:t xml:space="preserve">1. El que </w:t>
      </w:r>
      <w:r w:rsidRPr="001654EB">
        <w:rPr>
          <w:rFonts w:ascii="Arial" w:hAnsi="Arial" w:cs="Arial"/>
          <w:b/>
          <w:i/>
          <w:sz w:val="20"/>
          <w:szCs w:val="20"/>
          <w:u w:val="single"/>
        </w:rPr>
        <w:t>rechace la demanda</w:t>
      </w:r>
      <w:r w:rsidRPr="001654EB">
        <w:rPr>
          <w:rFonts w:ascii="Arial" w:hAnsi="Arial" w:cs="Arial"/>
          <w:i/>
          <w:sz w:val="20"/>
          <w:szCs w:val="20"/>
        </w:rPr>
        <w:t>.</w:t>
      </w:r>
    </w:p>
    <w:p w14:paraId="7FCE59CE" w14:textId="77777777" w:rsidR="00625D7A" w:rsidRPr="001654EB" w:rsidRDefault="00625D7A" w:rsidP="00625D7A">
      <w:pPr>
        <w:pStyle w:val="Sinespaciado"/>
        <w:jc w:val="both"/>
        <w:rPr>
          <w:rFonts w:ascii="Arial" w:hAnsi="Arial" w:cs="Arial"/>
          <w:bCs/>
          <w:i/>
          <w:sz w:val="20"/>
          <w:szCs w:val="20"/>
        </w:rPr>
      </w:pPr>
      <w:r w:rsidRPr="001654EB">
        <w:rPr>
          <w:rFonts w:ascii="Arial" w:hAnsi="Arial" w:cs="Arial"/>
          <w:sz w:val="20"/>
          <w:szCs w:val="20"/>
        </w:rPr>
        <w:t>“</w:t>
      </w:r>
      <w:r w:rsidRPr="001654EB">
        <w:rPr>
          <w:rFonts w:ascii="Arial" w:hAnsi="Arial" w:cs="Arial"/>
          <w:i/>
          <w:sz w:val="20"/>
          <w:szCs w:val="20"/>
        </w:rPr>
        <w:t xml:space="preserve">2. El que </w:t>
      </w:r>
      <w:r w:rsidRPr="001654EB">
        <w:rPr>
          <w:rFonts w:ascii="Arial" w:hAnsi="Arial" w:cs="Arial"/>
          <w:b/>
          <w:i/>
          <w:sz w:val="20"/>
          <w:szCs w:val="20"/>
          <w:u w:val="single"/>
        </w:rPr>
        <w:t>decrete una medida cautelar</w:t>
      </w:r>
      <w:r w:rsidRPr="001654EB">
        <w:rPr>
          <w:rFonts w:ascii="Arial" w:hAnsi="Arial" w:cs="Arial"/>
          <w:i/>
          <w:sz w:val="20"/>
          <w:szCs w:val="20"/>
        </w:rPr>
        <w:t xml:space="preserve"> y el que </w:t>
      </w:r>
      <w:r w:rsidRPr="001654EB">
        <w:rPr>
          <w:rFonts w:ascii="Arial" w:hAnsi="Arial" w:cs="Arial"/>
          <w:b/>
          <w:i/>
          <w:sz w:val="20"/>
          <w:szCs w:val="20"/>
          <w:u w:val="single"/>
        </w:rPr>
        <w:t>resuelva los incidentes de responsabilidad y desacato</w:t>
      </w:r>
      <w:r w:rsidRPr="001654EB">
        <w:rPr>
          <w:rFonts w:ascii="Arial" w:hAnsi="Arial" w:cs="Arial"/>
          <w:i/>
          <w:sz w:val="20"/>
          <w:szCs w:val="20"/>
        </w:rPr>
        <w:t xml:space="preserve"> en ese mismo trámite.</w:t>
      </w:r>
    </w:p>
    <w:p w14:paraId="2A5822CE" w14:textId="77777777" w:rsidR="00625D7A" w:rsidRPr="001654EB" w:rsidRDefault="00625D7A" w:rsidP="00625D7A">
      <w:pPr>
        <w:pStyle w:val="Sinespaciado"/>
        <w:jc w:val="both"/>
        <w:rPr>
          <w:rFonts w:ascii="Arial" w:hAnsi="Arial" w:cs="Arial"/>
          <w:bCs/>
          <w:i/>
          <w:sz w:val="20"/>
          <w:szCs w:val="20"/>
        </w:rPr>
      </w:pPr>
      <w:r w:rsidRPr="001654EB">
        <w:rPr>
          <w:rFonts w:ascii="Arial" w:hAnsi="Arial" w:cs="Arial"/>
          <w:sz w:val="20"/>
          <w:szCs w:val="20"/>
        </w:rPr>
        <w:t>“</w:t>
      </w:r>
      <w:r w:rsidRPr="001654EB">
        <w:rPr>
          <w:rFonts w:ascii="Arial" w:hAnsi="Arial" w:cs="Arial"/>
          <w:i/>
          <w:sz w:val="20"/>
          <w:szCs w:val="20"/>
        </w:rPr>
        <w:t xml:space="preserve">3. El que </w:t>
      </w:r>
      <w:r w:rsidRPr="001654EB">
        <w:rPr>
          <w:rFonts w:ascii="Arial" w:hAnsi="Arial" w:cs="Arial"/>
          <w:b/>
          <w:i/>
          <w:sz w:val="20"/>
          <w:szCs w:val="20"/>
          <w:u w:val="single"/>
        </w:rPr>
        <w:t>ponga fin al proceso</w:t>
      </w:r>
      <w:r w:rsidRPr="001654EB">
        <w:rPr>
          <w:rFonts w:ascii="Arial" w:hAnsi="Arial" w:cs="Arial"/>
          <w:i/>
          <w:sz w:val="20"/>
          <w:szCs w:val="20"/>
        </w:rPr>
        <w:t>.</w:t>
      </w:r>
    </w:p>
    <w:p w14:paraId="123C1321" w14:textId="77777777" w:rsidR="00625D7A" w:rsidRPr="001654EB" w:rsidRDefault="00625D7A" w:rsidP="00625D7A">
      <w:pPr>
        <w:pStyle w:val="Sinespaciado"/>
        <w:jc w:val="both"/>
        <w:rPr>
          <w:sz w:val="20"/>
          <w:szCs w:val="20"/>
        </w:rPr>
      </w:pPr>
      <w:r w:rsidRPr="001654EB">
        <w:rPr>
          <w:rFonts w:ascii="Arial" w:hAnsi="Arial" w:cs="Arial"/>
          <w:sz w:val="20"/>
          <w:szCs w:val="20"/>
        </w:rPr>
        <w:t>“</w:t>
      </w:r>
      <w:r w:rsidRPr="001654EB">
        <w:rPr>
          <w:rFonts w:ascii="Arial" w:hAnsi="Arial" w:cs="Arial"/>
          <w:i/>
          <w:sz w:val="20"/>
          <w:szCs w:val="20"/>
        </w:rPr>
        <w:t xml:space="preserve">4. El que </w:t>
      </w:r>
      <w:r w:rsidRPr="001654EB">
        <w:rPr>
          <w:rFonts w:ascii="Arial" w:hAnsi="Arial" w:cs="Arial"/>
          <w:b/>
          <w:i/>
          <w:sz w:val="20"/>
          <w:szCs w:val="20"/>
          <w:u w:val="single"/>
        </w:rPr>
        <w:t>apruebe conciliaciones extrajudiciales o judiciales</w:t>
      </w:r>
      <w:r w:rsidRPr="001654EB">
        <w:rPr>
          <w:rFonts w:ascii="Arial" w:hAnsi="Arial" w:cs="Arial"/>
          <w:i/>
          <w:sz w:val="20"/>
          <w:szCs w:val="20"/>
        </w:rPr>
        <w:t xml:space="preserve"> (…)</w:t>
      </w:r>
      <w:r w:rsidRPr="001654EB">
        <w:rPr>
          <w:rFonts w:ascii="Arial" w:hAnsi="Arial" w:cs="Arial"/>
          <w:sz w:val="20"/>
          <w:szCs w:val="20"/>
        </w:rPr>
        <w:t>” (se destaca).</w:t>
      </w:r>
    </w:p>
  </w:footnote>
  <w:footnote w:id="15">
    <w:p w14:paraId="25B687BF" w14:textId="77777777" w:rsidR="00E84FBF" w:rsidRPr="00E84FBF" w:rsidRDefault="00E84FBF" w:rsidP="00E84FBF">
      <w:pPr>
        <w:pStyle w:val="Textonotapie"/>
        <w:jc w:val="both"/>
        <w:rPr>
          <w:rFonts w:ascii="Arial" w:hAnsi="Arial" w:cs="Arial"/>
          <w:lang w:val="es-CO"/>
        </w:rPr>
      </w:pPr>
      <w:r w:rsidRPr="00E84FBF">
        <w:rPr>
          <w:rStyle w:val="Refdenotaalpie"/>
          <w:rFonts w:ascii="Arial" w:hAnsi="Arial" w:cs="Arial"/>
        </w:rPr>
        <w:footnoteRef/>
      </w:r>
      <w:r w:rsidRPr="00E84FBF">
        <w:rPr>
          <w:rFonts w:ascii="Arial" w:hAnsi="Arial" w:cs="Arial"/>
        </w:rPr>
        <w:t xml:space="preserve"> Ver, entre otras, las siguientes pro</w:t>
      </w:r>
      <w:r w:rsidR="00C8096A">
        <w:rPr>
          <w:rFonts w:ascii="Arial" w:hAnsi="Arial" w:cs="Arial"/>
        </w:rPr>
        <w:t xml:space="preserve">videncias proferidas por la Subsección A de la Sección Tercera de la Sala de lo Contencioso Administrativo del Consejo de Estado: i) </w:t>
      </w:r>
      <w:r w:rsidR="00187B13">
        <w:rPr>
          <w:rFonts w:ascii="Arial" w:hAnsi="Arial" w:cs="Arial"/>
        </w:rPr>
        <w:t xml:space="preserve">auto de ponente del 1º de diciembre de 2017, expediente No. 57.682 y ii) </w:t>
      </w:r>
      <w:r w:rsidR="00C8096A">
        <w:rPr>
          <w:rFonts w:ascii="Arial" w:hAnsi="Arial" w:cs="Arial"/>
        </w:rPr>
        <w:t>auto de ponente del 17 de enero de 2018, expediente No. 59.612, M.P. María Adriana Marín</w:t>
      </w:r>
      <w:r w:rsidR="00187B13">
        <w:rPr>
          <w:rFonts w:ascii="Arial" w:hAnsi="Arial" w:cs="Arial"/>
        </w:rPr>
        <w:t>.</w:t>
      </w:r>
    </w:p>
  </w:footnote>
  <w:footnote w:id="16">
    <w:p w14:paraId="66826B0C" w14:textId="77777777" w:rsidR="00071B54" w:rsidRPr="003C1BF1" w:rsidRDefault="00071B54" w:rsidP="003C1BF1">
      <w:pPr>
        <w:jc w:val="both"/>
        <w:rPr>
          <w:rFonts w:ascii="Arial" w:hAnsi="Arial" w:cs="Arial"/>
          <w:sz w:val="20"/>
          <w:szCs w:val="20"/>
        </w:rPr>
      </w:pPr>
      <w:r w:rsidRPr="003C1BF1">
        <w:rPr>
          <w:rStyle w:val="Refdenotaalpie"/>
          <w:rFonts w:ascii="Arial" w:hAnsi="Arial" w:cs="Arial"/>
          <w:sz w:val="20"/>
          <w:szCs w:val="20"/>
        </w:rPr>
        <w:footnoteRef/>
      </w:r>
      <w:r w:rsidRPr="003C1BF1">
        <w:rPr>
          <w:rFonts w:ascii="Arial" w:hAnsi="Arial" w:cs="Arial"/>
          <w:sz w:val="20"/>
          <w:szCs w:val="20"/>
        </w:rPr>
        <w:t xml:space="preserve"> </w:t>
      </w:r>
      <w:r w:rsidR="003C1BF1" w:rsidRPr="003C1BF1">
        <w:rPr>
          <w:rFonts w:ascii="Arial" w:hAnsi="Arial" w:cs="Arial"/>
          <w:sz w:val="20"/>
          <w:szCs w:val="20"/>
        </w:rPr>
        <w:t>En cuanto a los requisitos que debe contener la solicitud del llamamiento en garantía en vigencia del CCA, la jurisprudencia de esta Corporación sostenía:</w:t>
      </w:r>
      <w:r w:rsidR="003C1BF1">
        <w:t xml:space="preserve"> </w:t>
      </w:r>
      <w:r w:rsidR="003C1BF1" w:rsidRPr="005D5B4F">
        <w:rPr>
          <w:rFonts w:ascii="Arial" w:hAnsi="Arial" w:cs="Arial"/>
          <w:sz w:val="20"/>
          <w:szCs w:val="20"/>
        </w:rPr>
        <w:t>“</w:t>
      </w:r>
      <w:r w:rsidR="003C1BF1" w:rsidRPr="005D5B4F">
        <w:rPr>
          <w:rFonts w:ascii="Arial" w:hAnsi="Arial" w:cs="Arial"/>
          <w:i/>
          <w:sz w:val="20"/>
          <w:szCs w:val="20"/>
        </w:rPr>
        <w:t>De conformidad con lo dispuesto en el artículo 217 del Código Contencioso Administrativo, la parte demandada puede, durante el término de fijación en lista, denunciar el pleito, llamar en garantía</w:t>
      </w:r>
      <w:r w:rsidR="003C1BF1" w:rsidRPr="005D5B4F">
        <w:rPr>
          <w:rFonts w:ascii="Arial" w:hAnsi="Arial" w:cs="Arial"/>
          <w:b/>
          <w:i/>
          <w:sz w:val="20"/>
          <w:szCs w:val="20"/>
        </w:rPr>
        <w:t xml:space="preserve"> </w:t>
      </w:r>
      <w:r w:rsidR="003C1BF1" w:rsidRPr="005D5B4F">
        <w:rPr>
          <w:rFonts w:ascii="Arial" w:hAnsi="Arial" w:cs="Arial"/>
          <w:i/>
          <w:sz w:val="20"/>
          <w:szCs w:val="20"/>
        </w:rPr>
        <w:t>o presentar demanda de reconvención, siempre que ello sea compatible con la índole o la naturaleza de los procesos que cursan ante la Jurisdicción de lo Contencioso Administrativo. Ahora bien, la intervención de terceros en los procesos que se adelantan ante esta Jurisdicción, en virtud de las figuras de la denuncia del pleito y el llamamiento en garantía, no cuentan con una regulación especial en el Código Contencioso Administrativo, por lo cual deben aplicarse las disposiciones que sobre la materia contiene el Código de Procedimiento Civil en los artículos 54, 55, 56 y 57, por disposición expresa del artículo 267 del primero de los Estatutos referidos (…)</w:t>
      </w:r>
      <w:r w:rsidR="003C1BF1">
        <w:rPr>
          <w:rFonts w:ascii="Arial" w:hAnsi="Arial" w:cs="Arial"/>
          <w:i/>
          <w:sz w:val="20"/>
          <w:szCs w:val="20"/>
        </w:rPr>
        <w:t xml:space="preserve"> </w:t>
      </w:r>
      <w:r w:rsidR="003C1BF1" w:rsidRPr="005D5B4F">
        <w:rPr>
          <w:rFonts w:ascii="Arial" w:hAnsi="Arial" w:cs="Arial"/>
          <w:i/>
          <w:sz w:val="20"/>
          <w:szCs w:val="20"/>
        </w:rPr>
        <w:t xml:space="preserve">Con fundamento en lo anterior, se precisa entonces que </w:t>
      </w:r>
      <w:r w:rsidR="003C1BF1" w:rsidRPr="003C1BF1">
        <w:rPr>
          <w:rFonts w:ascii="Arial" w:hAnsi="Arial" w:cs="Arial"/>
          <w:b/>
          <w:i/>
          <w:sz w:val="20"/>
          <w:szCs w:val="20"/>
        </w:rPr>
        <w:t xml:space="preserve">la procedencia del llamamiento en garantía está condicionada a que se encuentren acreditados los requisitos de forma previstos por el artículo 55 del Código de Procedimiento Civil, </w:t>
      </w:r>
      <w:r w:rsidR="003C1BF1" w:rsidRPr="003C1BF1">
        <w:rPr>
          <w:rFonts w:ascii="Arial" w:hAnsi="Arial" w:cs="Arial"/>
          <w:b/>
          <w:i/>
          <w:sz w:val="20"/>
          <w:szCs w:val="20"/>
          <w:u w:val="single"/>
        </w:rPr>
        <w:t>al igual que debe estar acreditado, al menos sumariamente, el vínculo jurídico, legal o contractual, que faculta al demandado para llamar en garantía a un tercero</w:t>
      </w:r>
      <w:r w:rsidR="003C1BF1" w:rsidRPr="005D5B4F">
        <w:rPr>
          <w:rFonts w:ascii="Arial" w:hAnsi="Arial" w:cs="Arial"/>
          <w:i/>
          <w:sz w:val="20"/>
          <w:szCs w:val="20"/>
        </w:rPr>
        <w:t xml:space="preserve"> (…), requisitos éstos que, en todo caso, no se satisfacen con el escrito serio, razonado y justificado de la contestación de la demanda</w:t>
      </w:r>
      <w:r w:rsidR="003C1BF1">
        <w:rPr>
          <w:rFonts w:ascii="Arial" w:hAnsi="Arial" w:cs="Arial"/>
          <w:sz w:val="20"/>
          <w:szCs w:val="20"/>
        </w:rPr>
        <w:t>” (se destaca) (Consejo de Estado, Sala de lo Contencioso Administrativo, Sección Tercera, Subsección A, auto de ponente del 24 de septiembre de 2015, expediente No. 49.346, M.P. Hernán Andrade Rincón).</w:t>
      </w:r>
    </w:p>
  </w:footnote>
  <w:footnote w:id="17">
    <w:p w14:paraId="3451A232" w14:textId="77777777" w:rsidR="00512A2F" w:rsidRPr="00512A2F" w:rsidRDefault="00512A2F" w:rsidP="00512A2F">
      <w:pPr>
        <w:pStyle w:val="Textonotapie"/>
        <w:jc w:val="both"/>
        <w:rPr>
          <w:rFonts w:ascii="Arial" w:hAnsi="Arial" w:cs="Arial"/>
        </w:rPr>
      </w:pPr>
      <w:r w:rsidRPr="00512A2F">
        <w:rPr>
          <w:rStyle w:val="Refdenotaalpie"/>
          <w:rFonts w:ascii="Arial" w:hAnsi="Arial" w:cs="Arial"/>
        </w:rPr>
        <w:footnoteRef/>
      </w:r>
      <w:r w:rsidRPr="00512A2F">
        <w:rPr>
          <w:rFonts w:ascii="Arial" w:hAnsi="Arial" w:cs="Arial"/>
        </w:rPr>
        <w:t xml:space="preserve"> Sanabria Santos, Henry. Comentarios al Código de Procedimiento Administrativo y de</w:t>
      </w:r>
      <w:r>
        <w:rPr>
          <w:rFonts w:ascii="Arial" w:hAnsi="Arial" w:cs="Arial"/>
        </w:rPr>
        <w:t xml:space="preserve"> lo Contencioso Administrativo. Editor: José Luis Benavides.</w:t>
      </w:r>
      <w:r w:rsidRPr="00512A2F">
        <w:rPr>
          <w:rFonts w:ascii="Arial" w:hAnsi="Arial" w:cs="Arial"/>
        </w:rPr>
        <w:t xml:space="preserve"> Universidad Externado de Colombia, Bogotá, 2013, p. 487.</w:t>
      </w:r>
    </w:p>
    <w:p w14:paraId="3AC83527" w14:textId="77777777" w:rsidR="00512A2F" w:rsidRPr="00512A2F" w:rsidRDefault="00512A2F">
      <w:pPr>
        <w:pStyle w:val="Textonotapie"/>
      </w:pPr>
    </w:p>
  </w:footnote>
  <w:footnote w:id="18">
    <w:p w14:paraId="2DABDC9B" w14:textId="77777777" w:rsidR="002F1A1C" w:rsidRPr="002F1A1C" w:rsidRDefault="000D7BA1" w:rsidP="002F1A1C">
      <w:pPr>
        <w:pStyle w:val="Sangra3detindependiente"/>
        <w:ind w:left="0"/>
        <w:jc w:val="both"/>
        <w:rPr>
          <w:rFonts w:ascii="Arial" w:hAnsi="Arial" w:cs="Arial"/>
          <w:i/>
          <w:sz w:val="20"/>
          <w:szCs w:val="20"/>
        </w:rPr>
      </w:pPr>
      <w:r w:rsidRPr="002F1A1C">
        <w:rPr>
          <w:rStyle w:val="Refdenotaalpie"/>
          <w:rFonts w:ascii="Arial" w:hAnsi="Arial" w:cs="Arial"/>
          <w:sz w:val="20"/>
          <w:szCs w:val="20"/>
        </w:rPr>
        <w:footnoteRef/>
      </w:r>
      <w:r w:rsidRPr="002F1A1C">
        <w:rPr>
          <w:rFonts w:ascii="Arial" w:hAnsi="Arial" w:cs="Arial"/>
          <w:sz w:val="20"/>
          <w:szCs w:val="20"/>
        </w:rPr>
        <w:t xml:space="preserve"> </w:t>
      </w:r>
      <w:r w:rsidR="0073678F" w:rsidRPr="002F1A1C">
        <w:rPr>
          <w:rFonts w:ascii="Arial" w:hAnsi="Arial" w:cs="Arial"/>
          <w:sz w:val="20"/>
          <w:szCs w:val="20"/>
        </w:rPr>
        <w:t>Aunque este punto no fue objeto de apelación, s</w:t>
      </w:r>
      <w:r w:rsidR="00E6219B" w:rsidRPr="002F1A1C">
        <w:rPr>
          <w:rFonts w:ascii="Arial" w:hAnsi="Arial" w:cs="Arial"/>
          <w:sz w:val="20"/>
          <w:szCs w:val="20"/>
        </w:rPr>
        <w:t>e precisa que las llamadas en garantía</w:t>
      </w:r>
      <w:r w:rsidR="0073678F" w:rsidRPr="002F1A1C">
        <w:rPr>
          <w:rFonts w:ascii="Arial" w:hAnsi="Arial" w:cs="Arial"/>
          <w:sz w:val="20"/>
          <w:szCs w:val="20"/>
        </w:rPr>
        <w:t xml:space="preserve"> (uniones temporales Ediciones SM IV y Ediciones SM V y la sociedad Difusora Larousse de Colombia Ltda.),</w:t>
      </w:r>
      <w:r w:rsidR="00E6219B" w:rsidRPr="002F1A1C">
        <w:rPr>
          <w:rFonts w:ascii="Arial" w:hAnsi="Arial" w:cs="Arial"/>
          <w:sz w:val="20"/>
          <w:szCs w:val="20"/>
        </w:rPr>
        <w:t xml:space="preserve"> a quienes se les adjudicó el contrato cuya nulidad se pr</w:t>
      </w:r>
      <w:r w:rsidR="00A8464E">
        <w:rPr>
          <w:rFonts w:ascii="Arial" w:hAnsi="Arial" w:cs="Arial"/>
          <w:sz w:val="20"/>
          <w:szCs w:val="20"/>
        </w:rPr>
        <w:t>etende con la presente demanda</w:t>
      </w:r>
      <w:r w:rsidR="00E6219B" w:rsidRPr="002F1A1C">
        <w:rPr>
          <w:rFonts w:ascii="Arial" w:hAnsi="Arial" w:cs="Arial"/>
          <w:sz w:val="20"/>
          <w:szCs w:val="20"/>
        </w:rPr>
        <w:t xml:space="preserve">, habían sido vinculadas en el auto admisorio como litisconsortes necesarios por pasiva. </w:t>
      </w:r>
      <w:r w:rsidR="0073678F" w:rsidRPr="002F1A1C">
        <w:rPr>
          <w:rFonts w:ascii="Arial" w:hAnsi="Arial" w:cs="Arial"/>
          <w:sz w:val="20"/>
          <w:szCs w:val="20"/>
        </w:rPr>
        <w:t>Pues bien, pese a que las mencionadas ya se encontraban vinculadas a este proceso, tal circunstancia no impide que puedan ser llamadas en garantía. Al respecto, la jurisprudencia de esta Corporación de antaño ha señalado: “</w:t>
      </w:r>
      <w:r w:rsidR="002F1A1C" w:rsidRPr="002F1A1C">
        <w:rPr>
          <w:rFonts w:ascii="Arial" w:hAnsi="Arial" w:cs="Arial"/>
          <w:i/>
          <w:sz w:val="20"/>
          <w:szCs w:val="20"/>
        </w:rPr>
        <w:t>(…) sí es posible que en un mismo proceso una parte tenga en forma simultánea la condición de demandado y llamado en garantía. En efecto (…) independiente de que una entidad ya tenga dentro del proceso la calidad de demandada, nada impide que en el mismo asuma también la condición de llamada en garantía, habida cuenta que las situaciones de demandado y llamado, por derivar de distintas fuentes, deben someterse también a diferentes enfoques de juzgamiento”</w:t>
      </w:r>
      <w:r w:rsidR="002F1A1C">
        <w:rPr>
          <w:rFonts w:ascii="Arial" w:hAnsi="Arial" w:cs="Arial"/>
          <w:sz w:val="20"/>
          <w:szCs w:val="20"/>
        </w:rPr>
        <w:t xml:space="preserve"> (Consejo de Estado, Sala de lo Contencioso Administrativo, Sección Tercera, auto del 24 de enero de 2007, expediente No. 31.015, M.P. Mauricio Fajardo Gómez)</w:t>
      </w:r>
      <w:r w:rsidR="002F1A1C" w:rsidRPr="002F1A1C">
        <w:rPr>
          <w:rFonts w:ascii="Arial" w:hAnsi="Arial" w:cs="Arial"/>
          <w:i/>
          <w:sz w:val="20"/>
          <w:szCs w:val="20"/>
        </w:rPr>
        <w:t>.</w:t>
      </w:r>
    </w:p>
    <w:p w14:paraId="353AEC11" w14:textId="77777777" w:rsidR="000D7BA1" w:rsidRPr="00E6219B" w:rsidRDefault="000D7BA1" w:rsidP="00E6219B">
      <w:pPr>
        <w:pStyle w:val="Textonotapie"/>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F1E3B"/>
    <w:multiLevelType w:val="hybridMultilevel"/>
    <w:tmpl w:val="D7266DA8"/>
    <w:lvl w:ilvl="0" w:tplc="757ED21A">
      <w:start w:val="1"/>
      <w:numFmt w:val="decimal"/>
      <w:lvlText w:val="%1."/>
      <w:lvlJc w:val="left"/>
      <w:pPr>
        <w:ind w:left="927" w:hanging="360"/>
      </w:pPr>
      <w:rPr>
        <w:rFonts w:eastAsia="Times New Roman"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15:restartNumberingAfterBreak="0">
    <w:nsid w:val="1070446A"/>
    <w:multiLevelType w:val="hybridMultilevel"/>
    <w:tmpl w:val="B1BE7026"/>
    <w:lvl w:ilvl="0" w:tplc="1FD463F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5AC70DD"/>
    <w:multiLevelType w:val="hybridMultilevel"/>
    <w:tmpl w:val="35149D28"/>
    <w:lvl w:ilvl="0" w:tplc="851E650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DC454D9"/>
    <w:multiLevelType w:val="hybridMultilevel"/>
    <w:tmpl w:val="81E488F4"/>
    <w:lvl w:ilvl="0" w:tplc="599E59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34B5900"/>
    <w:multiLevelType w:val="hybridMultilevel"/>
    <w:tmpl w:val="0486EEA8"/>
    <w:lvl w:ilvl="0" w:tplc="09E84A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40"/>
    <w:rsid w:val="00000A9C"/>
    <w:rsid w:val="00003640"/>
    <w:rsid w:val="00003C5C"/>
    <w:rsid w:val="00003CA5"/>
    <w:rsid w:val="00004946"/>
    <w:rsid w:val="0000537F"/>
    <w:rsid w:val="00005672"/>
    <w:rsid w:val="0000587A"/>
    <w:rsid w:val="00005D59"/>
    <w:rsid w:val="00006CE6"/>
    <w:rsid w:val="0000789C"/>
    <w:rsid w:val="00010EF0"/>
    <w:rsid w:val="00012637"/>
    <w:rsid w:val="00012A41"/>
    <w:rsid w:val="00014A1D"/>
    <w:rsid w:val="00015001"/>
    <w:rsid w:val="00016BA4"/>
    <w:rsid w:val="00017251"/>
    <w:rsid w:val="00017515"/>
    <w:rsid w:val="00020E1D"/>
    <w:rsid w:val="000215E6"/>
    <w:rsid w:val="0002352E"/>
    <w:rsid w:val="00024451"/>
    <w:rsid w:val="00025469"/>
    <w:rsid w:val="0002562E"/>
    <w:rsid w:val="00025F2D"/>
    <w:rsid w:val="00027FAC"/>
    <w:rsid w:val="0003184B"/>
    <w:rsid w:val="00033A17"/>
    <w:rsid w:val="000340E8"/>
    <w:rsid w:val="00034C52"/>
    <w:rsid w:val="00034F95"/>
    <w:rsid w:val="0003700C"/>
    <w:rsid w:val="0004074E"/>
    <w:rsid w:val="00042945"/>
    <w:rsid w:val="00042ED5"/>
    <w:rsid w:val="00043508"/>
    <w:rsid w:val="00044EF9"/>
    <w:rsid w:val="00046508"/>
    <w:rsid w:val="00046830"/>
    <w:rsid w:val="00050D79"/>
    <w:rsid w:val="00051800"/>
    <w:rsid w:val="00051C14"/>
    <w:rsid w:val="00052209"/>
    <w:rsid w:val="000522C0"/>
    <w:rsid w:val="00054C3B"/>
    <w:rsid w:val="00055128"/>
    <w:rsid w:val="000557AC"/>
    <w:rsid w:val="00055A0D"/>
    <w:rsid w:val="00057CDC"/>
    <w:rsid w:val="0006005F"/>
    <w:rsid w:val="00062367"/>
    <w:rsid w:val="00062880"/>
    <w:rsid w:val="000642B2"/>
    <w:rsid w:val="000655F0"/>
    <w:rsid w:val="0006570B"/>
    <w:rsid w:val="00065DF5"/>
    <w:rsid w:val="0006636F"/>
    <w:rsid w:val="00066AB1"/>
    <w:rsid w:val="0007076F"/>
    <w:rsid w:val="00070AF1"/>
    <w:rsid w:val="00071B54"/>
    <w:rsid w:val="00072BA8"/>
    <w:rsid w:val="00074C05"/>
    <w:rsid w:val="00075FD7"/>
    <w:rsid w:val="0007607F"/>
    <w:rsid w:val="000772B6"/>
    <w:rsid w:val="0007733C"/>
    <w:rsid w:val="00080D18"/>
    <w:rsid w:val="0008193C"/>
    <w:rsid w:val="00082997"/>
    <w:rsid w:val="00084778"/>
    <w:rsid w:val="00085030"/>
    <w:rsid w:val="000859DB"/>
    <w:rsid w:val="00085B86"/>
    <w:rsid w:val="000864B3"/>
    <w:rsid w:val="000911E9"/>
    <w:rsid w:val="00092CE9"/>
    <w:rsid w:val="000932B3"/>
    <w:rsid w:val="000936D6"/>
    <w:rsid w:val="00094B57"/>
    <w:rsid w:val="00094B62"/>
    <w:rsid w:val="00096889"/>
    <w:rsid w:val="00097BE6"/>
    <w:rsid w:val="00097C8E"/>
    <w:rsid w:val="000A0E09"/>
    <w:rsid w:val="000A28E5"/>
    <w:rsid w:val="000A29F6"/>
    <w:rsid w:val="000A31F1"/>
    <w:rsid w:val="000A39C9"/>
    <w:rsid w:val="000A3DD3"/>
    <w:rsid w:val="000A3E88"/>
    <w:rsid w:val="000A662A"/>
    <w:rsid w:val="000A6861"/>
    <w:rsid w:val="000B14E7"/>
    <w:rsid w:val="000B312F"/>
    <w:rsid w:val="000B4D38"/>
    <w:rsid w:val="000B4E21"/>
    <w:rsid w:val="000B5190"/>
    <w:rsid w:val="000C025F"/>
    <w:rsid w:val="000C0686"/>
    <w:rsid w:val="000C1A7F"/>
    <w:rsid w:val="000C4B12"/>
    <w:rsid w:val="000C572E"/>
    <w:rsid w:val="000C5BE2"/>
    <w:rsid w:val="000C668C"/>
    <w:rsid w:val="000C7437"/>
    <w:rsid w:val="000D1B28"/>
    <w:rsid w:val="000D1E6B"/>
    <w:rsid w:val="000D3023"/>
    <w:rsid w:val="000D3207"/>
    <w:rsid w:val="000D382A"/>
    <w:rsid w:val="000D3C47"/>
    <w:rsid w:val="000D53A6"/>
    <w:rsid w:val="000D5846"/>
    <w:rsid w:val="000D69F4"/>
    <w:rsid w:val="000D6F34"/>
    <w:rsid w:val="000D7BA1"/>
    <w:rsid w:val="000E1F82"/>
    <w:rsid w:val="000E25C3"/>
    <w:rsid w:val="000E2818"/>
    <w:rsid w:val="000E3002"/>
    <w:rsid w:val="000E3770"/>
    <w:rsid w:val="000E636D"/>
    <w:rsid w:val="000E64F9"/>
    <w:rsid w:val="000E726E"/>
    <w:rsid w:val="000E7426"/>
    <w:rsid w:val="000E7DC6"/>
    <w:rsid w:val="000F10DB"/>
    <w:rsid w:val="000F136A"/>
    <w:rsid w:val="000F1903"/>
    <w:rsid w:val="000F1DE3"/>
    <w:rsid w:val="000F2768"/>
    <w:rsid w:val="000F2F29"/>
    <w:rsid w:val="000F5C97"/>
    <w:rsid w:val="000F5F6E"/>
    <w:rsid w:val="000F794F"/>
    <w:rsid w:val="001004A0"/>
    <w:rsid w:val="001006D1"/>
    <w:rsid w:val="0010074A"/>
    <w:rsid w:val="00101E54"/>
    <w:rsid w:val="001023B5"/>
    <w:rsid w:val="001038BF"/>
    <w:rsid w:val="00103949"/>
    <w:rsid w:val="001040EC"/>
    <w:rsid w:val="00104B68"/>
    <w:rsid w:val="0010547D"/>
    <w:rsid w:val="00106326"/>
    <w:rsid w:val="001137CD"/>
    <w:rsid w:val="001144D4"/>
    <w:rsid w:val="00114905"/>
    <w:rsid w:val="00114D0F"/>
    <w:rsid w:val="00117A06"/>
    <w:rsid w:val="00120152"/>
    <w:rsid w:val="00121032"/>
    <w:rsid w:val="001214E9"/>
    <w:rsid w:val="00122FA0"/>
    <w:rsid w:val="0012317E"/>
    <w:rsid w:val="00123423"/>
    <w:rsid w:val="001235F3"/>
    <w:rsid w:val="00124515"/>
    <w:rsid w:val="00124E70"/>
    <w:rsid w:val="00126BCF"/>
    <w:rsid w:val="00127342"/>
    <w:rsid w:val="001326E7"/>
    <w:rsid w:val="00134715"/>
    <w:rsid w:val="001352FB"/>
    <w:rsid w:val="00137D31"/>
    <w:rsid w:val="00137E8D"/>
    <w:rsid w:val="00140AFA"/>
    <w:rsid w:val="001411BE"/>
    <w:rsid w:val="0014278C"/>
    <w:rsid w:val="00142915"/>
    <w:rsid w:val="00143784"/>
    <w:rsid w:val="00144E85"/>
    <w:rsid w:val="00151C32"/>
    <w:rsid w:val="001525FA"/>
    <w:rsid w:val="00153843"/>
    <w:rsid w:val="001539A1"/>
    <w:rsid w:val="00156631"/>
    <w:rsid w:val="001569B0"/>
    <w:rsid w:val="00160268"/>
    <w:rsid w:val="00160D75"/>
    <w:rsid w:val="00161A49"/>
    <w:rsid w:val="00161AE9"/>
    <w:rsid w:val="00165A26"/>
    <w:rsid w:val="00165FCF"/>
    <w:rsid w:val="00166C71"/>
    <w:rsid w:val="001673B9"/>
    <w:rsid w:val="0016794F"/>
    <w:rsid w:val="0017122A"/>
    <w:rsid w:val="0017154A"/>
    <w:rsid w:val="0017166A"/>
    <w:rsid w:val="0017166D"/>
    <w:rsid w:val="00171921"/>
    <w:rsid w:val="00172864"/>
    <w:rsid w:val="0017516C"/>
    <w:rsid w:val="00175B0C"/>
    <w:rsid w:val="00175D5C"/>
    <w:rsid w:val="0017792A"/>
    <w:rsid w:val="00180F9F"/>
    <w:rsid w:val="00181567"/>
    <w:rsid w:val="0018250C"/>
    <w:rsid w:val="001850DD"/>
    <w:rsid w:val="0018567F"/>
    <w:rsid w:val="001872DD"/>
    <w:rsid w:val="0018762A"/>
    <w:rsid w:val="00187B13"/>
    <w:rsid w:val="0019049B"/>
    <w:rsid w:val="001933C2"/>
    <w:rsid w:val="00194537"/>
    <w:rsid w:val="00195E0A"/>
    <w:rsid w:val="0019670E"/>
    <w:rsid w:val="001A2A94"/>
    <w:rsid w:val="001A459F"/>
    <w:rsid w:val="001A47BB"/>
    <w:rsid w:val="001A52E5"/>
    <w:rsid w:val="001A547F"/>
    <w:rsid w:val="001A5517"/>
    <w:rsid w:val="001A571C"/>
    <w:rsid w:val="001A5C16"/>
    <w:rsid w:val="001A60B5"/>
    <w:rsid w:val="001A747A"/>
    <w:rsid w:val="001B298D"/>
    <w:rsid w:val="001B2E18"/>
    <w:rsid w:val="001B33FE"/>
    <w:rsid w:val="001B3F37"/>
    <w:rsid w:val="001B52BD"/>
    <w:rsid w:val="001B5449"/>
    <w:rsid w:val="001B5B5A"/>
    <w:rsid w:val="001B5D0B"/>
    <w:rsid w:val="001B6620"/>
    <w:rsid w:val="001C2A09"/>
    <w:rsid w:val="001C2AF2"/>
    <w:rsid w:val="001C2C0E"/>
    <w:rsid w:val="001C4EC3"/>
    <w:rsid w:val="001C5171"/>
    <w:rsid w:val="001C6680"/>
    <w:rsid w:val="001C729D"/>
    <w:rsid w:val="001C72CD"/>
    <w:rsid w:val="001C79A5"/>
    <w:rsid w:val="001D055B"/>
    <w:rsid w:val="001D0E3D"/>
    <w:rsid w:val="001D0F69"/>
    <w:rsid w:val="001D1873"/>
    <w:rsid w:val="001D2DBB"/>
    <w:rsid w:val="001D2FB2"/>
    <w:rsid w:val="001D3DB0"/>
    <w:rsid w:val="001D47EC"/>
    <w:rsid w:val="001D49AE"/>
    <w:rsid w:val="001D635C"/>
    <w:rsid w:val="001E1717"/>
    <w:rsid w:val="001E18AF"/>
    <w:rsid w:val="001E3311"/>
    <w:rsid w:val="001E3F32"/>
    <w:rsid w:val="001E55C0"/>
    <w:rsid w:val="001E593C"/>
    <w:rsid w:val="001F15BA"/>
    <w:rsid w:val="001F17DD"/>
    <w:rsid w:val="001F2627"/>
    <w:rsid w:val="001F309C"/>
    <w:rsid w:val="001F3263"/>
    <w:rsid w:val="001F3A30"/>
    <w:rsid w:val="001F3EF5"/>
    <w:rsid w:val="001F5248"/>
    <w:rsid w:val="001F628F"/>
    <w:rsid w:val="001F69A1"/>
    <w:rsid w:val="002010C1"/>
    <w:rsid w:val="002042BE"/>
    <w:rsid w:val="0020440C"/>
    <w:rsid w:val="00204E6E"/>
    <w:rsid w:val="00206C51"/>
    <w:rsid w:val="00210B8E"/>
    <w:rsid w:val="00211F62"/>
    <w:rsid w:val="00212019"/>
    <w:rsid w:val="00212954"/>
    <w:rsid w:val="00213CCA"/>
    <w:rsid w:val="00214973"/>
    <w:rsid w:val="00215287"/>
    <w:rsid w:val="0021547B"/>
    <w:rsid w:val="00215BA4"/>
    <w:rsid w:val="00223888"/>
    <w:rsid w:val="0022537C"/>
    <w:rsid w:val="002274AA"/>
    <w:rsid w:val="002304F1"/>
    <w:rsid w:val="002314CE"/>
    <w:rsid w:val="00231E3C"/>
    <w:rsid w:val="00232562"/>
    <w:rsid w:val="0023322B"/>
    <w:rsid w:val="00233C57"/>
    <w:rsid w:val="00234536"/>
    <w:rsid w:val="002362C4"/>
    <w:rsid w:val="00236AFF"/>
    <w:rsid w:val="00237309"/>
    <w:rsid w:val="00241FB4"/>
    <w:rsid w:val="00242DC1"/>
    <w:rsid w:val="0024360D"/>
    <w:rsid w:val="0024380F"/>
    <w:rsid w:val="00245AF0"/>
    <w:rsid w:val="002462CB"/>
    <w:rsid w:val="0024794C"/>
    <w:rsid w:val="00247F06"/>
    <w:rsid w:val="00250276"/>
    <w:rsid w:val="00250442"/>
    <w:rsid w:val="002515E5"/>
    <w:rsid w:val="00251E78"/>
    <w:rsid w:val="00252167"/>
    <w:rsid w:val="002522CA"/>
    <w:rsid w:val="002523D3"/>
    <w:rsid w:val="002526B8"/>
    <w:rsid w:val="00254355"/>
    <w:rsid w:val="00254A83"/>
    <w:rsid w:val="00254F37"/>
    <w:rsid w:val="0025559A"/>
    <w:rsid w:val="0025589D"/>
    <w:rsid w:val="00256D1D"/>
    <w:rsid w:val="00257054"/>
    <w:rsid w:val="00260831"/>
    <w:rsid w:val="002633A2"/>
    <w:rsid w:val="00265B85"/>
    <w:rsid w:val="0026623D"/>
    <w:rsid w:val="002666A7"/>
    <w:rsid w:val="002672FF"/>
    <w:rsid w:val="00267420"/>
    <w:rsid w:val="002708B8"/>
    <w:rsid w:val="00271D10"/>
    <w:rsid w:val="00272883"/>
    <w:rsid w:val="00272F96"/>
    <w:rsid w:val="0027376F"/>
    <w:rsid w:val="0027430A"/>
    <w:rsid w:val="00276DDA"/>
    <w:rsid w:val="00277A98"/>
    <w:rsid w:val="00277D39"/>
    <w:rsid w:val="00277E0A"/>
    <w:rsid w:val="0028096D"/>
    <w:rsid w:val="0028148E"/>
    <w:rsid w:val="002814A6"/>
    <w:rsid w:val="002814AE"/>
    <w:rsid w:val="00281C73"/>
    <w:rsid w:val="002821C8"/>
    <w:rsid w:val="002824CA"/>
    <w:rsid w:val="00282B33"/>
    <w:rsid w:val="00283B18"/>
    <w:rsid w:val="00285BB6"/>
    <w:rsid w:val="00286DE5"/>
    <w:rsid w:val="002870AE"/>
    <w:rsid w:val="00290733"/>
    <w:rsid w:val="00291AAF"/>
    <w:rsid w:val="0029483C"/>
    <w:rsid w:val="00295635"/>
    <w:rsid w:val="00295C8D"/>
    <w:rsid w:val="00295F60"/>
    <w:rsid w:val="0029600C"/>
    <w:rsid w:val="00296374"/>
    <w:rsid w:val="00297188"/>
    <w:rsid w:val="002A0547"/>
    <w:rsid w:val="002A0C9D"/>
    <w:rsid w:val="002A1755"/>
    <w:rsid w:val="002A219C"/>
    <w:rsid w:val="002A2670"/>
    <w:rsid w:val="002A38BA"/>
    <w:rsid w:val="002A4193"/>
    <w:rsid w:val="002A58BF"/>
    <w:rsid w:val="002A78CF"/>
    <w:rsid w:val="002A7DA5"/>
    <w:rsid w:val="002B02E9"/>
    <w:rsid w:val="002B0FDB"/>
    <w:rsid w:val="002B10B6"/>
    <w:rsid w:val="002B15B8"/>
    <w:rsid w:val="002B28CA"/>
    <w:rsid w:val="002B3EFB"/>
    <w:rsid w:val="002B40AB"/>
    <w:rsid w:val="002B5BBC"/>
    <w:rsid w:val="002B60D5"/>
    <w:rsid w:val="002B63EA"/>
    <w:rsid w:val="002B74D6"/>
    <w:rsid w:val="002C0869"/>
    <w:rsid w:val="002C1B7A"/>
    <w:rsid w:val="002C2E98"/>
    <w:rsid w:val="002C36A2"/>
    <w:rsid w:val="002C51A6"/>
    <w:rsid w:val="002C55EA"/>
    <w:rsid w:val="002C6FEB"/>
    <w:rsid w:val="002C7821"/>
    <w:rsid w:val="002D0C2B"/>
    <w:rsid w:val="002D165D"/>
    <w:rsid w:val="002D2F00"/>
    <w:rsid w:val="002D4064"/>
    <w:rsid w:val="002D68E7"/>
    <w:rsid w:val="002D6D4F"/>
    <w:rsid w:val="002E0AE8"/>
    <w:rsid w:val="002E1BA9"/>
    <w:rsid w:val="002E2F01"/>
    <w:rsid w:val="002E6101"/>
    <w:rsid w:val="002E65BB"/>
    <w:rsid w:val="002F1213"/>
    <w:rsid w:val="002F1A1C"/>
    <w:rsid w:val="002F1F74"/>
    <w:rsid w:val="002F2DB1"/>
    <w:rsid w:val="002F3643"/>
    <w:rsid w:val="002F3A68"/>
    <w:rsid w:val="002F4E69"/>
    <w:rsid w:val="002F556D"/>
    <w:rsid w:val="002F7BB1"/>
    <w:rsid w:val="003011CB"/>
    <w:rsid w:val="00301B57"/>
    <w:rsid w:val="00301C90"/>
    <w:rsid w:val="003065E9"/>
    <w:rsid w:val="00306759"/>
    <w:rsid w:val="00306E7A"/>
    <w:rsid w:val="00307823"/>
    <w:rsid w:val="00307B14"/>
    <w:rsid w:val="00307EEF"/>
    <w:rsid w:val="00310ED6"/>
    <w:rsid w:val="00312EBF"/>
    <w:rsid w:val="00316169"/>
    <w:rsid w:val="00316A48"/>
    <w:rsid w:val="00317742"/>
    <w:rsid w:val="0032098A"/>
    <w:rsid w:val="003232C1"/>
    <w:rsid w:val="00324538"/>
    <w:rsid w:val="003249E9"/>
    <w:rsid w:val="00324F65"/>
    <w:rsid w:val="0032602D"/>
    <w:rsid w:val="00326C74"/>
    <w:rsid w:val="00327128"/>
    <w:rsid w:val="00327D83"/>
    <w:rsid w:val="0033229B"/>
    <w:rsid w:val="00333D0B"/>
    <w:rsid w:val="003353F1"/>
    <w:rsid w:val="003360E9"/>
    <w:rsid w:val="00336AE7"/>
    <w:rsid w:val="00336FC1"/>
    <w:rsid w:val="00337EB1"/>
    <w:rsid w:val="003400F9"/>
    <w:rsid w:val="00340883"/>
    <w:rsid w:val="00340A02"/>
    <w:rsid w:val="00340CFB"/>
    <w:rsid w:val="003412B3"/>
    <w:rsid w:val="00344BAF"/>
    <w:rsid w:val="0034575D"/>
    <w:rsid w:val="00346819"/>
    <w:rsid w:val="0034769F"/>
    <w:rsid w:val="00347C7E"/>
    <w:rsid w:val="00347EB3"/>
    <w:rsid w:val="00350E7F"/>
    <w:rsid w:val="00351B0A"/>
    <w:rsid w:val="00353439"/>
    <w:rsid w:val="00355591"/>
    <w:rsid w:val="00355901"/>
    <w:rsid w:val="0035642A"/>
    <w:rsid w:val="0035714C"/>
    <w:rsid w:val="00357910"/>
    <w:rsid w:val="00357F81"/>
    <w:rsid w:val="00361ADB"/>
    <w:rsid w:val="00363DA1"/>
    <w:rsid w:val="00364C40"/>
    <w:rsid w:val="003650FA"/>
    <w:rsid w:val="00366EFC"/>
    <w:rsid w:val="00370D71"/>
    <w:rsid w:val="00371C85"/>
    <w:rsid w:val="00373097"/>
    <w:rsid w:val="0037387E"/>
    <w:rsid w:val="003747CF"/>
    <w:rsid w:val="00374C16"/>
    <w:rsid w:val="003770E8"/>
    <w:rsid w:val="00377D92"/>
    <w:rsid w:val="003832E7"/>
    <w:rsid w:val="00383BA4"/>
    <w:rsid w:val="00385EC6"/>
    <w:rsid w:val="00387375"/>
    <w:rsid w:val="003900B0"/>
    <w:rsid w:val="0039274F"/>
    <w:rsid w:val="00394686"/>
    <w:rsid w:val="00396334"/>
    <w:rsid w:val="00396EAA"/>
    <w:rsid w:val="003A02B8"/>
    <w:rsid w:val="003A04C2"/>
    <w:rsid w:val="003A1557"/>
    <w:rsid w:val="003A1A18"/>
    <w:rsid w:val="003A35CB"/>
    <w:rsid w:val="003A3CBB"/>
    <w:rsid w:val="003A5F31"/>
    <w:rsid w:val="003A79C1"/>
    <w:rsid w:val="003B0EED"/>
    <w:rsid w:val="003B2555"/>
    <w:rsid w:val="003B5022"/>
    <w:rsid w:val="003B6772"/>
    <w:rsid w:val="003B6C24"/>
    <w:rsid w:val="003B6C42"/>
    <w:rsid w:val="003B7208"/>
    <w:rsid w:val="003C0FBB"/>
    <w:rsid w:val="003C16B8"/>
    <w:rsid w:val="003C1739"/>
    <w:rsid w:val="003C1A94"/>
    <w:rsid w:val="003C1BF1"/>
    <w:rsid w:val="003C4B7D"/>
    <w:rsid w:val="003C56F2"/>
    <w:rsid w:val="003C59F6"/>
    <w:rsid w:val="003C62AF"/>
    <w:rsid w:val="003D112C"/>
    <w:rsid w:val="003D1604"/>
    <w:rsid w:val="003D35E0"/>
    <w:rsid w:val="003D607A"/>
    <w:rsid w:val="003D6E08"/>
    <w:rsid w:val="003D7751"/>
    <w:rsid w:val="003D7AE2"/>
    <w:rsid w:val="003E0DE2"/>
    <w:rsid w:val="003E10AE"/>
    <w:rsid w:val="003E1C07"/>
    <w:rsid w:val="003E2095"/>
    <w:rsid w:val="003E22EA"/>
    <w:rsid w:val="003E410E"/>
    <w:rsid w:val="003E48C3"/>
    <w:rsid w:val="003E7186"/>
    <w:rsid w:val="003E7942"/>
    <w:rsid w:val="003F2DE8"/>
    <w:rsid w:val="003F48D0"/>
    <w:rsid w:val="003F639C"/>
    <w:rsid w:val="003F7F02"/>
    <w:rsid w:val="0040086B"/>
    <w:rsid w:val="004018C4"/>
    <w:rsid w:val="00403027"/>
    <w:rsid w:val="004030C7"/>
    <w:rsid w:val="00403495"/>
    <w:rsid w:val="00404149"/>
    <w:rsid w:val="004046C7"/>
    <w:rsid w:val="00404902"/>
    <w:rsid w:val="004049DC"/>
    <w:rsid w:val="00404BA8"/>
    <w:rsid w:val="0040767C"/>
    <w:rsid w:val="00410A5E"/>
    <w:rsid w:val="0041146B"/>
    <w:rsid w:val="0041331B"/>
    <w:rsid w:val="0041518C"/>
    <w:rsid w:val="00415C6F"/>
    <w:rsid w:val="00417BE8"/>
    <w:rsid w:val="004201A4"/>
    <w:rsid w:val="004203F8"/>
    <w:rsid w:val="00420BC0"/>
    <w:rsid w:val="00420BC2"/>
    <w:rsid w:val="00421440"/>
    <w:rsid w:val="004223F4"/>
    <w:rsid w:val="00424498"/>
    <w:rsid w:val="00424993"/>
    <w:rsid w:val="00425B96"/>
    <w:rsid w:val="004319CB"/>
    <w:rsid w:val="00431C15"/>
    <w:rsid w:val="00431F7A"/>
    <w:rsid w:val="004329E3"/>
    <w:rsid w:val="004335E2"/>
    <w:rsid w:val="0043366C"/>
    <w:rsid w:val="00433CB4"/>
    <w:rsid w:val="00434957"/>
    <w:rsid w:val="00434AFD"/>
    <w:rsid w:val="00435FA1"/>
    <w:rsid w:val="004375F3"/>
    <w:rsid w:val="00440067"/>
    <w:rsid w:val="0044271B"/>
    <w:rsid w:val="00444EE5"/>
    <w:rsid w:val="00445BF7"/>
    <w:rsid w:val="00445C62"/>
    <w:rsid w:val="00445F9B"/>
    <w:rsid w:val="004466DF"/>
    <w:rsid w:val="00447044"/>
    <w:rsid w:val="00452B09"/>
    <w:rsid w:val="00454B0F"/>
    <w:rsid w:val="00454BAE"/>
    <w:rsid w:val="004573A1"/>
    <w:rsid w:val="00460951"/>
    <w:rsid w:val="004609E2"/>
    <w:rsid w:val="0046119E"/>
    <w:rsid w:val="004614D5"/>
    <w:rsid w:val="00461988"/>
    <w:rsid w:val="00463496"/>
    <w:rsid w:val="00465DB4"/>
    <w:rsid w:val="004666EF"/>
    <w:rsid w:val="00467528"/>
    <w:rsid w:val="00470B5C"/>
    <w:rsid w:val="00470BFE"/>
    <w:rsid w:val="004717E5"/>
    <w:rsid w:val="004723A9"/>
    <w:rsid w:val="004733B0"/>
    <w:rsid w:val="00473718"/>
    <w:rsid w:val="00474CBE"/>
    <w:rsid w:val="0047563A"/>
    <w:rsid w:val="0047603D"/>
    <w:rsid w:val="00476403"/>
    <w:rsid w:val="00477517"/>
    <w:rsid w:val="00477E38"/>
    <w:rsid w:val="0048175A"/>
    <w:rsid w:val="004837A2"/>
    <w:rsid w:val="0048386A"/>
    <w:rsid w:val="0048651C"/>
    <w:rsid w:val="004866B4"/>
    <w:rsid w:val="004876A5"/>
    <w:rsid w:val="00490365"/>
    <w:rsid w:val="0049082D"/>
    <w:rsid w:val="0049222D"/>
    <w:rsid w:val="004926C9"/>
    <w:rsid w:val="00493CFE"/>
    <w:rsid w:val="00496174"/>
    <w:rsid w:val="004A176B"/>
    <w:rsid w:val="004A187C"/>
    <w:rsid w:val="004A22B8"/>
    <w:rsid w:val="004A3151"/>
    <w:rsid w:val="004A4A0B"/>
    <w:rsid w:val="004A69D5"/>
    <w:rsid w:val="004A7953"/>
    <w:rsid w:val="004A7986"/>
    <w:rsid w:val="004B0F9F"/>
    <w:rsid w:val="004B2766"/>
    <w:rsid w:val="004B2896"/>
    <w:rsid w:val="004B4250"/>
    <w:rsid w:val="004B4B2F"/>
    <w:rsid w:val="004B63BB"/>
    <w:rsid w:val="004C018E"/>
    <w:rsid w:val="004C0208"/>
    <w:rsid w:val="004C0CD7"/>
    <w:rsid w:val="004C4BC5"/>
    <w:rsid w:val="004C4E27"/>
    <w:rsid w:val="004C5916"/>
    <w:rsid w:val="004C6A12"/>
    <w:rsid w:val="004C6C8D"/>
    <w:rsid w:val="004D01E4"/>
    <w:rsid w:val="004D03F1"/>
    <w:rsid w:val="004D1010"/>
    <w:rsid w:val="004D1378"/>
    <w:rsid w:val="004D18C6"/>
    <w:rsid w:val="004D1BE5"/>
    <w:rsid w:val="004D30A2"/>
    <w:rsid w:val="004D34FB"/>
    <w:rsid w:val="004D4E37"/>
    <w:rsid w:val="004D532F"/>
    <w:rsid w:val="004D69BA"/>
    <w:rsid w:val="004D6C25"/>
    <w:rsid w:val="004D6E0C"/>
    <w:rsid w:val="004D7A4B"/>
    <w:rsid w:val="004D7BE4"/>
    <w:rsid w:val="004D7DD5"/>
    <w:rsid w:val="004E1462"/>
    <w:rsid w:val="004E2F2F"/>
    <w:rsid w:val="004E3B3E"/>
    <w:rsid w:val="004E3F9D"/>
    <w:rsid w:val="004E41F7"/>
    <w:rsid w:val="004E6D26"/>
    <w:rsid w:val="004F01FE"/>
    <w:rsid w:val="004F224C"/>
    <w:rsid w:val="004F4763"/>
    <w:rsid w:val="004F484B"/>
    <w:rsid w:val="004F4951"/>
    <w:rsid w:val="004F4F2D"/>
    <w:rsid w:val="004F60BA"/>
    <w:rsid w:val="004F706A"/>
    <w:rsid w:val="004F7260"/>
    <w:rsid w:val="005001A0"/>
    <w:rsid w:val="00500D9B"/>
    <w:rsid w:val="005010D6"/>
    <w:rsid w:val="00502282"/>
    <w:rsid w:val="00504429"/>
    <w:rsid w:val="00504F12"/>
    <w:rsid w:val="0050561F"/>
    <w:rsid w:val="00505760"/>
    <w:rsid w:val="00506B3D"/>
    <w:rsid w:val="005074CB"/>
    <w:rsid w:val="0051027E"/>
    <w:rsid w:val="005109CC"/>
    <w:rsid w:val="00511262"/>
    <w:rsid w:val="005118AE"/>
    <w:rsid w:val="00511A2F"/>
    <w:rsid w:val="00512A2F"/>
    <w:rsid w:val="005141C3"/>
    <w:rsid w:val="00514523"/>
    <w:rsid w:val="00514AFA"/>
    <w:rsid w:val="00514E27"/>
    <w:rsid w:val="00516269"/>
    <w:rsid w:val="00516E82"/>
    <w:rsid w:val="005175C2"/>
    <w:rsid w:val="00520CA4"/>
    <w:rsid w:val="00524294"/>
    <w:rsid w:val="00525800"/>
    <w:rsid w:val="005270FB"/>
    <w:rsid w:val="005275BF"/>
    <w:rsid w:val="00530550"/>
    <w:rsid w:val="0053102A"/>
    <w:rsid w:val="00532094"/>
    <w:rsid w:val="005322BB"/>
    <w:rsid w:val="00532589"/>
    <w:rsid w:val="0053283D"/>
    <w:rsid w:val="00532B73"/>
    <w:rsid w:val="00533615"/>
    <w:rsid w:val="00534C3E"/>
    <w:rsid w:val="00535BCF"/>
    <w:rsid w:val="00537234"/>
    <w:rsid w:val="00540F9B"/>
    <w:rsid w:val="00541397"/>
    <w:rsid w:val="00542C66"/>
    <w:rsid w:val="00542E99"/>
    <w:rsid w:val="005453CB"/>
    <w:rsid w:val="005457D1"/>
    <w:rsid w:val="00546698"/>
    <w:rsid w:val="005471AF"/>
    <w:rsid w:val="005505A6"/>
    <w:rsid w:val="005523CF"/>
    <w:rsid w:val="00552CB8"/>
    <w:rsid w:val="00552D96"/>
    <w:rsid w:val="00553630"/>
    <w:rsid w:val="005553F9"/>
    <w:rsid w:val="0055698D"/>
    <w:rsid w:val="00556AAA"/>
    <w:rsid w:val="00556C77"/>
    <w:rsid w:val="00557094"/>
    <w:rsid w:val="00557179"/>
    <w:rsid w:val="005604C2"/>
    <w:rsid w:val="0056117F"/>
    <w:rsid w:val="00561C14"/>
    <w:rsid w:val="00561E40"/>
    <w:rsid w:val="00563039"/>
    <w:rsid w:val="00564324"/>
    <w:rsid w:val="0056494E"/>
    <w:rsid w:val="00565C27"/>
    <w:rsid w:val="00566055"/>
    <w:rsid w:val="00566686"/>
    <w:rsid w:val="00566969"/>
    <w:rsid w:val="0056793F"/>
    <w:rsid w:val="00570F68"/>
    <w:rsid w:val="0057116F"/>
    <w:rsid w:val="00571C39"/>
    <w:rsid w:val="005741E1"/>
    <w:rsid w:val="00575B05"/>
    <w:rsid w:val="00576373"/>
    <w:rsid w:val="00576ADC"/>
    <w:rsid w:val="00577DE6"/>
    <w:rsid w:val="005832ED"/>
    <w:rsid w:val="005864C9"/>
    <w:rsid w:val="00587737"/>
    <w:rsid w:val="0059044D"/>
    <w:rsid w:val="00590ECC"/>
    <w:rsid w:val="00591421"/>
    <w:rsid w:val="00592791"/>
    <w:rsid w:val="00593419"/>
    <w:rsid w:val="00593689"/>
    <w:rsid w:val="00593A6A"/>
    <w:rsid w:val="00593CAA"/>
    <w:rsid w:val="0059738E"/>
    <w:rsid w:val="00597F86"/>
    <w:rsid w:val="005A0B87"/>
    <w:rsid w:val="005A0F40"/>
    <w:rsid w:val="005A19F0"/>
    <w:rsid w:val="005A1B1F"/>
    <w:rsid w:val="005A1DEA"/>
    <w:rsid w:val="005A41F1"/>
    <w:rsid w:val="005A43F9"/>
    <w:rsid w:val="005A470F"/>
    <w:rsid w:val="005A76C4"/>
    <w:rsid w:val="005B01D7"/>
    <w:rsid w:val="005B202D"/>
    <w:rsid w:val="005B50DA"/>
    <w:rsid w:val="005B5ACC"/>
    <w:rsid w:val="005C0109"/>
    <w:rsid w:val="005C0E34"/>
    <w:rsid w:val="005C1FEF"/>
    <w:rsid w:val="005C2016"/>
    <w:rsid w:val="005C26E8"/>
    <w:rsid w:val="005C3D0D"/>
    <w:rsid w:val="005C42EA"/>
    <w:rsid w:val="005C44E1"/>
    <w:rsid w:val="005C4517"/>
    <w:rsid w:val="005C525C"/>
    <w:rsid w:val="005D1D4C"/>
    <w:rsid w:val="005D2DDC"/>
    <w:rsid w:val="005D3B82"/>
    <w:rsid w:val="005D3EDC"/>
    <w:rsid w:val="005D4548"/>
    <w:rsid w:val="005D4DC0"/>
    <w:rsid w:val="005D6533"/>
    <w:rsid w:val="005E3CD8"/>
    <w:rsid w:val="005E41ED"/>
    <w:rsid w:val="005E4E54"/>
    <w:rsid w:val="005E5B60"/>
    <w:rsid w:val="005E71D0"/>
    <w:rsid w:val="005E7406"/>
    <w:rsid w:val="005E7E62"/>
    <w:rsid w:val="005F0C5B"/>
    <w:rsid w:val="005F1D1A"/>
    <w:rsid w:val="005F2746"/>
    <w:rsid w:val="005F2E75"/>
    <w:rsid w:val="005F3868"/>
    <w:rsid w:val="005F4606"/>
    <w:rsid w:val="005F49FC"/>
    <w:rsid w:val="005F5ACB"/>
    <w:rsid w:val="005F6B6A"/>
    <w:rsid w:val="005F7064"/>
    <w:rsid w:val="005F7D33"/>
    <w:rsid w:val="00600891"/>
    <w:rsid w:val="006013D2"/>
    <w:rsid w:val="00601AD4"/>
    <w:rsid w:val="00603ABE"/>
    <w:rsid w:val="00604187"/>
    <w:rsid w:val="0060477B"/>
    <w:rsid w:val="0060603F"/>
    <w:rsid w:val="00606F5A"/>
    <w:rsid w:val="006100ED"/>
    <w:rsid w:val="00611CC3"/>
    <w:rsid w:val="00612BBD"/>
    <w:rsid w:val="006130CA"/>
    <w:rsid w:val="00613578"/>
    <w:rsid w:val="00613E7E"/>
    <w:rsid w:val="006150C0"/>
    <w:rsid w:val="00615E50"/>
    <w:rsid w:val="00616E43"/>
    <w:rsid w:val="00617FEE"/>
    <w:rsid w:val="006206B5"/>
    <w:rsid w:val="0062090C"/>
    <w:rsid w:val="00620A25"/>
    <w:rsid w:val="00620BCF"/>
    <w:rsid w:val="00620C66"/>
    <w:rsid w:val="006220A5"/>
    <w:rsid w:val="00624D4D"/>
    <w:rsid w:val="00625D7A"/>
    <w:rsid w:val="00626C0F"/>
    <w:rsid w:val="00626CD2"/>
    <w:rsid w:val="006277FE"/>
    <w:rsid w:val="00627D81"/>
    <w:rsid w:val="006302DB"/>
    <w:rsid w:val="00630CBB"/>
    <w:rsid w:val="00631E9E"/>
    <w:rsid w:val="006367E1"/>
    <w:rsid w:val="00641480"/>
    <w:rsid w:val="00642021"/>
    <w:rsid w:val="00642C54"/>
    <w:rsid w:val="00644842"/>
    <w:rsid w:val="00644912"/>
    <w:rsid w:val="00644A48"/>
    <w:rsid w:val="00644E1D"/>
    <w:rsid w:val="006455E1"/>
    <w:rsid w:val="00645A97"/>
    <w:rsid w:val="00646191"/>
    <w:rsid w:val="006500BC"/>
    <w:rsid w:val="006532A1"/>
    <w:rsid w:val="00653790"/>
    <w:rsid w:val="00654AF2"/>
    <w:rsid w:val="006556D9"/>
    <w:rsid w:val="006568FE"/>
    <w:rsid w:val="00657B70"/>
    <w:rsid w:val="006628C4"/>
    <w:rsid w:val="00664533"/>
    <w:rsid w:val="006653C6"/>
    <w:rsid w:val="00666525"/>
    <w:rsid w:val="006669B4"/>
    <w:rsid w:val="00666E89"/>
    <w:rsid w:val="00667014"/>
    <w:rsid w:val="006710D8"/>
    <w:rsid w:val="00671248"/>
    <w:rsid w:val="006718A6"/>
    <w:rsid w:val="0067279D"/>
    <w:rsid w:val="00673717"/>
    <w:rsid w:val="00673D46"/>
    <w:rsid w:val="00675CC4"/>
    <w:rsid w:val="0067612D"/>
    <w:rsid w:val="00677829"/>
    <w:rsid w:val="00677865"/>
    <w:rsid w:val="0068257B"/>
    <w:rsid w:val="006831AF"/>
    <w:rsid w:val="00683564"/>
    <w:rsid w:val="006842FB"/>
    <w:rsid w:val="0069067D"/>
    <w:rsid w:val="00690B85"/>
    <w:rsid w:val="006915AC"/>
    <w:rsid w:val="00692609"/>
    <w:rsid w:val="00695E6C"/>
    <w:rsid w:val="00696D30"/>
    <w:rsid w:val="006971DA"/>
    <w:rsid w:val="006975E7"/>
    <w:rsid w:val="00697D45"/>
    <w:rsid w:val="00697D84"/>
    <w:rsid w:val="00697E4C"/>
    <w:rsid w:val="006A145E"/>
    <w:rsid w:val="006A2287"/>
    <w:rsid w:val="006A2799"/>
    <w:rsid w:val="006A369E"/>
    <w:rsid w:val="006A3F78"/>
    <w:rsid w:val="006A5362"/>
    <w:rsid w:val="006A6B8E"/>
    <w:rsid w:val="006A7618"/>
    <w:rsid w:val="006A7702"/>
    <w:rsid w:val="006B13FB"/>
    <w:rsid w:val="006B1E58"/>
    <w:rsid w:val="006B3F64"/>
    <w:rsid w:val="006B45EB"/>
    <w:rsid w:val="006B59A2"/>
    <w:rsid w:val="006C0801"/>
    <w:rsid w:val="006C1857"/>
    <w:rsid w:val="006C34D9"/>
    <w:rsid w:val="006C3817"/>
    <w:rsid w:val="006C3DC1"/>
    <w:rsid w:val="006C4311"/>
    <w:rsid w:val="006C4BFF"/>
    <w:rsid w:val="006C4CA2"/>
    <w:rsid w:val="006C4EAA"/>
    <w:rsid w:val="006C5275"/>
    <w:rsid w:val="006C5757"/>
    <w:rsid w:val="006C70BF"/>
    <w:rsid w:val="006C7B36"/>
    <w:rsid w:val="006D02D8"/>
    <w:rsid w:val="006D0F27"/>
    <w:rsid w:val="006D138C"/>
    <w:rsid w:val="006D21FB"/>
    <w:rsid w:val="006D2837"/>
    <w:rsid w:val="006D42DA"/>
    <w:rsid w:val="006D68DF"/>
    <w:rsid w:val="006D7016"/>
    <w:rsid w:val="006E01EE"/>
    <w:rsid w:val="006E048A"/>
    <w:rsid w:val="006E0C25"/>
    <w:rsid w:val="006E1378"/>
    <w:rsid w:val="006E1BBB"/>
    <w:rsid w:val="006E2A23"/>
    <w:rsid w:val="006E4AF6"/>
    <w:rsid w:val="006E54DE"/>
    <w:rsid w:val="006E637C"/>
    <w:rsid w:val="006F09FB"/>
    <w:rsid w:val="006F1BC9"/>
    <w:rsid w:val="006F3D2B"/>
    <w:rsid w:val="006F518A"/>
    <w:rsid w:val="006F531A"/>
    <w:rsid w:val="006F5A0A"/>
    <w:rsid w:val="006F5F79"/>
    <w:rsid w:val="006F6E59"/>
    <w:rsid w:val="006F7ADA"/>
    <w:rsid w:val="006F7F87"/>
    <w:rsid w:val="00700A64"/>
    <w:rsid w:val="00704EB5"/>
    <w:rsid w:val="007061EA"/>
    <w:rsid w:val="0070640D"/>
    <w:rsid w:val="007068EC"/>
    <w:rsid w:val="00706DB7"/>
    <w:rsid w:val="00707140"/>
    <w:rsid w:val="00707CE3"/>
    <w:rsid w:val="00712442"/>
    <w:rsid w:val="0071260D"/>
    <w:rsid w:val="0071343A"/>
    <w:rsid w:val="00714188"/>
    <w:rsid w:val="007143CE"/>
    <w:rsid w:val="00721330"/>
    <w:rsid w:val="00721A57"/>
    <w:rsid w:val="00722F23"/>
    <w:rsid w:val="00723412"/>
    <w:rsid w:val="007237BB"/>
    <w:rsid w:val="007238D2"/>
    <w:rsid w:val="00724B73"/>
    <w:rsid w:val="0072724E"/>
    <w:rsid w:val="007279EA"/>
    <w:rsid w:val="00727E92"/>
    <w:rsid w:val="007307E7"/>
    <w:rsid w:val="0073109D"/>
    <w:rsid w:val="007316E4"/>
    <w:rsid w:val="007324E4"/>
    <w:rsid w:val="0073293F"/>
    <w:rsid w:val="00735444"/>
    <w:rsid w:val="0073678F"/>
    <w:rsid w:val="00737B4C"/>
    <w:rsid w:val="00740AD7"/>
    <w:rsid w:val="00740CF0"/>
    <w:rsid w:val="00743DCF"/>
    <w:rsid w:val="007442F5"/>
    <w:rsid w:val="0074483D"/>
    <w:rsid w:val="00745003"/>
    <w:rsid w:val="00747626"/>
    <w:rsid w:val="00747ACC"/>
    <w:rsid w:val="00751895"/>
    <w:rsid w:val="00752A11"/>
    <w:rsid w:val="00753757"/>
    <w:rsid w:val="00753C81"/>
    <w:rsid w:val="00753EFE"/>
    <w:rsid w:val="007552B7"/>
    <w:rsid w:val="00757B9B"/>
    <w:rsid w:val="00760103"/>
    <w:rsid w:val="007605AC"/>
    <w:rsid w:val="00763A0A"/>
    <w:rsid w:val="00764482"/>
    <w:rsid w:val="00764574"/>
    <w:rsid w:val="007653D3"/>
    <w:rsid w:val="00765A8D"/>
    <w:rsid w:val="00765FEE"/>
    <w:rsid w:val="00767EE1"/>
    <w:rsid w:val="007704F3"/>
    <w:rsid w:val="007711B0"/>
    <w:rsid w:val="00771253"/>
    <w:rsid w:val="00771FD4"/>
    <w:rsid w:val="00772BEE"/>
    <w:rsid w:val="00772D05"/>
    <w:rsid w:val="00773B62"/>
    <w:rsid w:val="00773BC9"/>
    <w:rsid w:val="0077404C"/>
    <w:rsid w:val="00774B21"/>
    <w:rsid w:val="00774C50"/>
    <w:rsid w:val="00780310"/>
    <w:rsid w:val="00782206"/>
    <w:rsid w:val="00782DE6"/>
    <w:rsid w:val="0078581D"/>
    <w:rsid w:val="00786351"/>
    <w:rsid w:val="007911E1"/>
    <w:rsid w:val="007912D3"/>
    <w:rsid w:val="00791F3A"/>
    <w:rsid w:val="00792A66"/>
    <w:rsid w:val="00794098"/>
    <w:rsid w:val="007948AC"/>
    <w:rsid w:val="00796E37"/>
    <w:rsid w:val="007A0691"/>
    <w:rsid w:val="007A1508"/>
    <w:rsid w:val="007A2678"/>
    <w:rsid w:val="007A2794"/>
    <w:rsid w:val="007A3495"/>
    <w:rsid w:val="007A485E"/>
    <w:rsid w:val="007A5852"/>
    <w:rsid w:val="007A5883"/>
    <w:rsid w:val="007A78C4"/>
    <w:rsid w:val="007A7B9D"/>
    <w:rsid w:val="007B1EC4"/>
    <w:rsid w:val="007B1F9C"/>
    <w:rsid w:val="007B3A11"/>
    <w:rsid w:val="007B4B10"/>
    <w:rsid w:val="007B569A"/>
    <w:rsid w:val="007B592B"/>
    <w:rsid w:val="007B5E81"/>
    <w:rsid w:val="007B6110"/>
    <w:rsid w:val="007B6236"/>
    <w:rsid w:val="007B6481"/>
    <w:rsid w:val="007B79D6"/>
    <w:rsid w:val="007C12EF"/>
    <w:rsid w:val="007C1ABA"/>
    <w:rsid w:val="007C1D22"/>
    <w:rsid w:val="007C5561"/>
    <w:rsid w:val="007C6C13"/>
    <w:rsid w:val="007C6E46"/>
    <w:rsid w:val="007D20A3"/>
    <w:rsid w:val="007D369F"/>
    <w:rsid w:val="007D7C88"/>
    <w:rsid w:val="007E0BC4"/>
    <w:rsid w:val="007E2908"/>
    <w:rsid w:val="007E4D0B"/>
    <w:rsid w:val="007F08B1"/>
    <w:rsid w:val="007F2EAA"/>
    <w:rsid w:val="007F3C19"/>
    <w:rsid w:val="007F4838"/>
    <w:rsid w:val="007F589F"/>
    <w:rsid w:val="007F5D10"/>
    <w:rsid w:val="00802A47"/>
    <w:rsid w:val="00804454"/>
    <w:rsid w:val="00804AD7"/>
    <w:rsid w:val="00804C29"/>
    <w:rsid w:val="00805C58"/>
    <w:rsid w:val="00806B9B"/>
    <w:rsid w:val="00810A44"/>
    <w:rsid w:val="00810EEC"/>
    <w:rsid w:val="0081182E"/>
    <w:rsid w:val="008140CC"/>
    <w:rsid w:val="00814AA2"/>
    <w:rsid w:val="00814EFC"/>
    <w:rsid w:val="00815FD2"/>
    <w:rsid w:val="008164E3"/>
    <w:rsid w:val="00817403"/>
    <w:rsid w:val="00820826"/>
    <w:rsid w:val="00822364"/>
    <w:rsid w:val="00823B4C"/>
    <w:rsid w:val="008241AF"/>
    <w:rsid w:val="00826F78"/>
    <w:rsid w:val="00827AE6"/>
    <w:rsid w:val="00831DB3"/>
    <w:rsid w:val="00831E92"/>
    <w:rsid w:val="0083203A"/>
    <w:rsid w:val="0083365A"/>
    <w:rsid w:val="00835422"/>
    <w:rsid w:val="00835F30"/>
    <w:rsid w:val="00836C19"/>
    <w:rsid w:val="00837698"/>
    <w:rsid w:val="008378E7"/>
    <w:rsid w:val="008378F2"/>
    <w:rsid w:val="00841717"/>
    <w:rsid w:val="00842AC5"/>
    <w:rsid w:val="0084313D"/>
    <w:rsid w:val="008476E7"/>
    <w:rsid w:val="00850B0A"/>
    <w:rsid w:val="00854728"/>
    <w:rsid w:val="008572CC"/>
    <w:rsid w:val="00857E87"/>
    <w:rsid w:val="00862992"/>
    <w:rsid w:val="00862CF7"/>
    <w:rsid w:val="0086571D"/>
    <w:rsid w:val="00865A8A"/>
    <w:rsid w:val="008705A4"/>
    <w:rsid w:val="00872F47"/>
    <w:rsid w:val="00874DF8"/>
    <w:rsid w:val="00875F58"/>
    <w:rsid w:val="00876CE9"/>
    <w:rsid w:val="00877606"/>
    <w:rsid w:val="0088131C"/>
    <w:rsid w:val="00881AE1"/>
    <w:rsid w:val="00881C74"/>
    <w:rsid w:val="008821CB"/>
    <w:rsid w:val="00882B51"/>
    <w:rsid w:val="00882C4C"/>
    <w:rsid w:val="0088528B"/>
    <w:rsid w:val="00891C59"/>
    <w:rsid w:val="008922D6"/>
    <w:rsid w:val="00892F27"/>
    <w:rsid w:val="00893035"/>
    <w:rsid w:val="008966E7"/>
    <w:rsid w:val="008A053F"/>
    <w:rsid w:val="008A18AF"/>
    <w:rsid w:val="008A1EDD"/>
    <w:rsid w:val="008A2051"/>
    <w:rsid w:val="008A22A4"/>
    <w:rsid w:val="008A241E"/>
    <w:rsid w:val="008A2711"/>
    <w:rsid w:val="008A29DB"/>
    <w:rsid w:val="008A2AF5"/>
    <w:rsid w:val="008A33AB"/>
    <w:rsid w:val="008A45DE"/>
    <w:rsid w:val="008A48A7"/>
    <w:rsid w:val="008A4EBA"/>
    <w:rsid w:val="008A55A0"/>
    <w:rsid w:val="008A5ACD"/>
    <w:rsid w:val="008A5B5E"/>
    <w:rsid w:val="008A7668"/>
    <w:rsid w:val="008B003E"/>
    <w:rsid w:val="008B1F1F"/>
    <w:rsid w:val="008B5982"/>
    <w:rsid w:val="008B5ED7"/>
    <w:rsid w:val="008C1520"/>
    <w:rsid w:val="008C332F"/>
    <w:rsid w:val="008C4D30"/>
    <w:rsid w:val="008D1C77"/>
    <w:rsid w:val="008D20EC"/>
    <w:rsid w:val="008D2696"/>
    <w:rsid w:val="008D2AEB"/>
    <w:rsid w:val="008D5B00"/>
    <w:rsid w:val="008E05BE"/>
    <w:rsid w:val="008E0674"/>
    <w:rsid w:val="008E1955"/>
    <w:rsid w:val="008E2881"/>
    <w:rsid w:val="008E2BAA"/>
    <w:rsid w:val="008E4FBB"/>
    <w:rsid w:val="008E6960"/>
    <w:rsid w:val="008E6ADA"/>
    <w:rsid w:val="008E75AC"/>
    <w:rsid w:val="008F06DA"/>
    <w:rsid w:val="008F5103"/>
    <w:rsid w:val="009010B7"/>
    <w:rsid w:val="00901E1B"/>
    <w:rsid w:val="00902188"/>
    <w:rsid w:val="009023A6"/>
    <w:rsid w:val="0090321B"/>
    <w:rsid w:val="00904484"/>
    <w:rsid w:val="0090488D"/>
    <w:rsid w:val="00905259"/>
    <w:rsid w:val="00906967"/>
    <w:rsid w:val="00906CFA"/>
    <w:rsid w:val="00906F6D"/>
    <w:rsid w:val="00907999"/>
    <w:rsid w:val="00910D77"/>
    <w:rsid w:val="00912313"/>
    <w:rsid w:val="00913CA3"/>
    <w:rsid w:val="00914D35"/>
    <w:rsid w:val="009158D7"/>
    <w:rsid w:val="00915FB6"/>
    <w:rsid w:val="00916328"/>
    <w:rsid w:val="0092176E"/>
    <w:rsid w:val="009218EC"/>
    <w:rsid w:val="009221B2"/>
    <w:rsid w:val="00922C03"/>
    <w:rsid w:val="0092443F"/>
    <w:rsid w:val="00925285"/>
    <w:rsid w:val="00925B18"/>
    <w:rsid w:val="00927C13"/>
    <w:rsid w:val="00927E2C"/>
    <w:rsid w:val="00930366"/>
    <w:rsid w:val="00932DCA"/>
    <w:rsid w:val="00932F62"/>
    <w:rsid w:val="00933AAA"/>
    <w:rsid w:val="0093451B"/>
    <w:rsid w:val="00935097"/>
    <w:rsid w:val="0093530F"/>
    <w:rsid w:val="009366C6"/>
    <w:rsid w:val="00937903"/>
    <w:rsid w:val="00937C18"/>
    <w:rsid w:val="00942B47"/>
    <w:rsid w:val="0094375B"/>
    <w:rsid w:val="009452ED"/>
    <w:rsid w:val="00947D31"/>
    <w:rsid w:val="009505E9"/>
    <w:rsid w:val="00950C4F"/>
    <w:rsid w:val="009540FB"/>
    <w:rsid w:val="00954A8A"/>
    <w:rsid w:val="00954BE2"/>
    <w:rsid w:val="00955521"/>
    <w:rsid w:val="0095677C"/>
    <w:rsid w:val="0095681E"/>
    <w:rsid w:val="00957501"/>
    <w:rsid w:val="00960B8B"/>
    <w:rsid w:val="00960CDC"/>
    <w:rsid w:val="009614A3"/>
    <w:rsid w:val="00962599"/>
    <w:rsid w:val="00962A34"/>
    <w:rsid w:val="00964F80"/>
    <w:rsid w:val="00967788"/>
    <w:rsid w:val="00971832"/>
    <w:rsid w:val="009728BF"/>
    <w:rsid w:val="00974D30"/>
    <w:rsid w:val="00975663"/>
    <w:rsid w:val="00975A40"/>
    <w:rsid w:val="00977E24"/>
    <w:rsid w:val="00980F24"/>
    <w:rsid w:val="00980F3D"/>
    <w:rsid w:val="009817C0"/>
    <w:rsid w:val="009835C4"/>
    <w:rsid w:val="00984553"/>
    <w:rsid w:val="00984D2C"/>
    <w:rsid w:val="00986B10"/>
    <w:rsid w:val="00987195"/>
    <w:rsid w:val="00987799"/>
    <w:rsid w:val="00990D90"/>
    <w:rsid w:val="00991EAD"/>
    <w:rsid w:val="00992008"/>
    <w:rsid w:val="00992591"/>
    <w:rsid w:val="00993BC1"/>
    <w:rsid w:val="009946AA"/>
    <w:rsid w:val="00994F7E"/>
    <w:rsid w:val="00996CD9"/>
    <w:rsid w:val="009A146D"/>
    <w:rsid w:val="009A1F21"/>
    <w:rsid w:val="009A3E48"/>
    <w:rsid w:val="009A47D3"/>
    <w:rsid w:val="009A5C06"/>
    <w:rsid w:val="009A5DD1"/>
    <w:rsid w:val="009A7054"/>
    <w:rsid w:val="009A7E6E"/>
    <w:rsid w:val="009B0595"/>
    <w:rsid w:val="009B0A25"/>
    <w:rsid w:val="009B1627"/>
    <w:rsid w:val="009B1BB5"/>
    <w:rsid w:val="009B3217"/>
    <w:rsid w:val="009B5505"/>
    <w:rsid w:val="009C03D2"/>
    <w:rsid w:val="009C122F"/>
    <w:rsid w:val="009C20AC"/>
    <w:rsid w:val="009C2852"/>
    <w:rsid w:val="009C2B69"/>
    <w:rsid w:val="009C49D7"/>
    <w:rsid w:val="009C4E80"/>
    <w:rsid w:val="009C543C"/>
    <w:rsid w:val="009C6016"/>
    <w:rsid w:val="009C6540"/>
    <w:rsid w:val="009C6658"/>
    <w:rsid w:val="009C7599"/>
    <w:rsid w:val="009D1AD9"/>
    <w:rsid w:val="009D2483"/>
    <w:rsid w:val="009D30D5"/>
    <w:rsid w:val="009D35C8"/>
    <w:rsid w:val="009D3D8F"/>
    <w:rsid w:val="009D3F96"/>
    <w:rsid w:val="009D4F78"/>
    <w:rsid w:val="009D6D58"/>
    <w:rsid w:val="009D709F"/>
    <w:rsid w:val="009E01E4"/>
    <w:rsid w:val="009E0228"/>
    <w:rsid w:val="009E168E"/>
    <w:rsid w:val="009E1C03"/>
    <w:rsid w:val="009E1C4C"/>
    <w:rsid w:val="009E217A"/>
    <w:rsid w:val="009E3553"/>
    <w:rsid w:val="009E78F1"/>
    <w:rsid w:val="009F0E2F"/>
    <w:rsid w:val="009F140B"/>
    <w:rsid w:val="009F3D30"/>
    <w:rsid w:val="009F54CD"/>
    <w:rsid w:val="009F628D"/>
    <w:rsid w:val="009F75DB"/>
    <w:rsid w:val="009F785F"/>
    <w:rsid w:val="009F7F7D"/>
    <w:rsid w:val="00A013AF"/>
    <w:rsid w:val="00A02F46"/>
    <w:rsid w:val="00A03032"/>
    <w:rsid w:val="00A030FD"/>
    <w:rsid w:val="00A043AC"/>
    <w:rsid w:val="00A04592"/>
    <w:rsid w:val="00A0565A"/>
    <w:rsid w:val="00A0609B"/>
    <w:rsid w:val="00A12977"/>
    <w:rsid w:val="00A12C91"/>
    <w:rsid w:val="00A1340E"/>
    <w:rsid w:val="00A14C40"/>
    <w:rsid w:val="00A165B1"/>
    <w:rsid w:val="00A1716A"/>
    <w:rsid w:val="00A17C64"/>
    <w:rsid w:val="00A20B36"/>
    <w:rsid w:val="00A20D5B"/>
    <w:rsid w:val="00A22DEF"/>
    <w:rsid w:val="00A22F61"/>
    <w:rsid w:val="00A24A6F"/>
    <w:rsid w:val="00A30991"/>
    <w:rsid w:val="00A323C8"/>
    <w:rsid w:val="00A338FC"/>
    <w:rsid w:val="00A341DF"/>
    <w:rsid w:val="00A36542"/>
    <w:rsid w:val="00A36CBF"/>
    <w:rsid w:val="00A40348"/>
    <w:rsid w:val="00A4047A"/>
    <w:rsid w:val="00A40BAC"/>
    <w:rsid w:val="00A41047"/>
    <w:rsid w:val="00A41573"/>
    <w:rsid w:val="00A42781"/>
    <w:rsid w:val="00A42B1F"/>
    <w:rsid w:val="00A4305E"/>
    <w:rsid w:val="00A441A6"/>
    <w:rsid w:val="00A44B30"/>
    <w:rsid w:val="00A4524B"/>
    <w:rsid w:val="00A45488"/>
    <w:rsid w:val="00A45867"/>
    <w:rsid w:val="00A460DB"/>
    <w:rsid w:val="00A462AA"/>
    <w:rsid w:val="00A46947"/>
    <w:rsid w:val="00A52371"/>
    <w:rsid w:val="00A53913"/>
    <w:rsid w:val="00A55536"/>
    <w:rsid w:val="00A60299"/>
    <w:rsid w:val="00A6069C"/>
    <w:rsid w:val="00A60D66"/>
    <w:rsid w:val="00A61EA6"/>
    <w:rsid w:val="00A62062"/>
    <w:rsid w:val="00A621A8"/>
    <w:rsid w:val="00A6360F"/>
    <w:rsid w:val="00A66739"/>
    <w:rsid w:val="00A67D5A"/>
    <w:rsid w:val="00A70888"/>
    <w:rsid w:val="00A718D1"/>
    <w:rsid w:val="00A71E61"/>
    <w:rsid w:val="00A747E7"/>
    <w:rsid w:val="00A77DC2"/>
    <w:rsid w:val="00A801C2"/>
    <w:rsid w:val="00A80C4F"/>
    <w:rsid w:val="00A81A02"/>
    <w:rsid w:val="00A82564"/>
    <w:rsid w:val="00A8373B"/>
    <w:rsid w:val="00A83D69"/>
    <w:rsid w:val="00A842CE"/>
    <w:rsid w:val="00A8464E"/>
    <w:rsid w:val="00A84F2F"/>
    <w:rsid w:val="00A85494"/>
    <w:rsid w:val="00A86915"/>
    <w:rsid w:val="00A86B72"/>
    <w:rsid w:val="00A92C36"/>
    <w:rsid w:val="00A95919"/>
    <w:rsid w:val="00A97300"/>
    <w:rsid w:val="00A97BBE"/>
    <w:rsid w:val="00AA13ED"/>
    <w:rsid w:val="00AA25D1"/>
    <w:rsid w:val="00AA2733"/>
    <w:rsid w:val="00AA64D8"/>
    <w:rsid w:val="00AA75E7"/>
    <w:rsid w:val="00AA76FD"/>
    <w:rsid w:val="00AB034A"/>
    <w:rsid w:val="00AB0973"/>
    <w:rsid w:val="00AB3DB0"/>
    <w:rsid w:val="00AB40E3"/>
    <w:rsid w:val="00AB46C2"/>
    <w:rsid w:val="00AB5F43"/>
    <w:rsid w:val="00AC10FB"/>
    <w:rsid w:val="00AC4049"/>
    <w:rsid w:val="00AC421B"/>
    <w:rsid w:val="00AC42DA"/>
    <w:rsid w:val="00AC5700"/>
    <w:rsid w:val="00AC5A5A"/>
    <w:rsid w:val="00AC6923"/>
    <w:rsid w:val="00AC7112"/>
    <w:rsid w:val="00AC7AA1"/>
    <w:rsid w:val="00AD03AF"/>
    <w:rsid w:val="00AD0FA7"/>
    <w:rsid w:val="00AD1318"/>
    <w:rsid w:val="00AD1D04"/>
    <w:rsid w:val="00AD2A1A"/>
    <w:rsid w:val="00AD2ACE"/>
    <w:rsid w:val="00AD3C8E"/>
    <w:rsid w:val="00AD3C92"/>
    <w:rsid w:val="00AD49D2"/>
    <w:rsid w:val="00AD5994"/>
    <w:rsid w:val="00AD5C4D"/>
    <w:rsid w:val="00AD6553"/>
    <w:rsid w:val="00AD7B97"/>
    <w:rsid w:val="00AE160C"/>
    <w:rsid w:val="00AE169B"/>
    <w:rsid w:val="00AE18D5"/>
    <w:rsid w:val="00AE3E5A"/>
    <w:rsid w:val="00AE439B"/>
    <w:rsid w:val="00AE685D"/>
    <w:rsid w:val="00AF0914"/>
    <w:rsid w:val="00AF0A74"/>
    <w:rsid w:val="00AF2E8D"/>
    <w:rsid w:val="00AF2EDA"/>
    <w:rsid w:val="00AF2EFC"/>
    <w:rsid w:val="00AF30E1"/>
    <w:rsid w:val="00AF39C2"/>
    <w:rsid w:val="00B0010A"/>
    <w:rsid w:val="00B0126B"/>
    <w:rsid w:val="00B0418F"/>
    <w:rsid w:val="00B05B1A"/>
    <w:rsid w:val="00B05C2D"/>
    <w:rsid w:val="00B06F89"/>
    <w:rsid w:val="00B07102"/>
    <w:rsid w:val="00B1065E"/>
    <w:rsid w:val="00B11621"/>
    <w:rsid w:val="00B117CD"/>
    <w:rsid w:val="00B1314A"/>
    <w:rsid w:val="00B15697"/>
    <w:rsid w:val="00B161C0"/>
    <w:rsid w:val="00B16EFE"/>
    <w:rsid w:val="00B17041"/>
    <w:rsid w:val="00B17077"/>
    <w:rsid w:val="00B17EE4"/>
    <w:rsid w:val="00B17F81"/>
    <w:rsid w:val="00B20C05"/>
    <w:rsid w:val="00B211AD"/>
    <w:rsid w:val="00B22236"/>
    <w:rsid w:val="00B22539"/>
    <w:rsid w:val="00B228DD"/>
    <w:rsid w:val="00B22D6B"/>
    <w:rsid w:val="00B24D37"/>
    <w:rsid w:val="00B25AC0"/>
    <w:rsid w:val="00B268A0"/>
    <w:rsid w:val="00B309C6"/>
    <w:rsid w:val="00B3361E"/>
    <w:rsid w:val="00B33866"/>
    <w:rsid w:val="00B3479B"/>
    <w:rsid w:val="00B356BD"/>
    <w:rsid w:val="00B3755D"/>
    <w:rsid w:val="00B400CB"/>
    <w:rsid w:val="00B40244"/>
    <w:rsid w:val="00B404A9"/>
    <w:rsid w:val="00B4075D"/>
    <w:rsid w:val="00B41277"/>
    <w:rsid w:val="00B42606"/>
    <w:rsid w:val="00B427D2"/>
    <w:rsid w:val="00B42E82"/>
    <w:rsid w:val="00B434DD"/>
    <w:rsid w:val="00B44E01"/>
    <w:rsid w:val="00B45AAE"/>
    <w:rsid w:val="00B45C1D"/>
    <w:rsid w:val="00B47887"/>
    <w:rsid w:val="00B47A0D"/>
    <w:rsid w:val="00B50CD8"/>
    <w:rsid w:val="00B519D0"/>
    <w:rsid w:val="00B522A3"/>
    <w:rsid w:val="00B526CB"/>
    <w:rsid w:val="00B52978"/>
    <w:rsid w:val="00B533BB"/>
    <w:rsid w:val="00B547FA"/>
    <w:rsid w:val="00B5486E"/>
    <w:rsid w:val="00B54D6C"/>
    <w:rsid w:val="00B56F98"/>
    <w:rsid w:val="00B60B29"/>
    <w:rsid w:val="00B60D70"/>
    <w:rsid w:val="00B61FA0"/>
    <w:rsid w:val="00B63474"/>
    <w:rsid w:val="00B63635"/>
    <w:rsid w:val="00B63B95"/>
    <w:rsid w:val="00B65643"/>
    <w:rsid w:val="00B658F6"/>
    <w:rsid w:val="00B65A36"/>
    <w:rsid w:val="00B67009"/>
    <w:rsid w:val="00B6706B"/>
    <w:rsid w:val="00B67334"/>
    <w:rsid w:val="00B71C16"/>
    <w:rsid w:val="00B722D0"/>
    <w:rsid w:val="00B72C26"/>
    <w:rsid w:val="00B72DF8"/>
    <w:rsid w:val="00B7406E"/>
    <w:rsid w:val="00B75B8C"/>
    <w:rsid w:val="00B77620"/>
    <w:rsid w:val="00B8168A"/>
    <w:rsid w:val="00B81C3C"/>
    <w:rsid w:val="00B836E9"/>
    <w:rsid w:val="00B844FC"/>
    <w:rsid w:val="00B8453F"/>
    <w:rsid w:val="00B86236"/>
    <w:rsid w:val="00B8674C"/>
    <w:rsid w:val="00B86825"/>
    <w:rsid w:val="00B9298A"/>
    <w:rsid w:val="00B93991"/>
    <w:rsid w:val="00B9490A"/>
    <w:rsid w:val="00B964F7"/>
    <w:rsid w:val="00B96BF6"/>
    <w:rsid w:val="00B97262"/>
    <w:rsid w:val="00BA0848"/>
    <w:rsid w:val="00BA0DF8"/>
    <w:rsid w:val="00BA1144"/>
    <w:rsid w:val="00BA33E9"/>
    <w:rsid w:val="00BA3EDF"/>
    <w:rsid w:val="00BA4396"/>
    <w:rsid w:val="00BA72B2"/>
    <w:rsid w:val="00BA76D0"/>
    <w:rsid w:val="00BA7B34"/>
    <w:rsid w:val="00BB323D"/>
    <w:rsid w:val="00BB5033"/>
    <w:rsid w:val="00BB5A01"/>
    <w:rsid w:val="00BB5E52"/>
    <w:rsid w:val="00BB7873"/>
    <w:rsid w:val="00BC04B4"/>
    <w:rsid w:val="00BC0C7F"/>
    <w:rsid w:val="00BC1118"/>
    <w:rsid w:val="00BC221F"/>
    <w:rsid w:val="00BC2B61"/>
    <w:rsid w:val="00BC2C43"/>
    <w:rsid w:val="00BC2C73"/>
    <w:rsid w:val="00BC2C7B"/>
    <w:rsid w:val="00BC328E"/>
    <w:rsid w:val="00BC3D4F"/>
    <w:rsid w:val="00BC3E28"/>
    <w:rsid w:val="00BC5F9B"/>
    <w:rsid w:val="00BD030F"/>
    <w:rsid w:val="00BD279D"/>
    <w:rsid w:val="00BD3499"/>
    <w:rsid w:val="00BD478C"/>
    <w:rsid w:val="00BD5C6C"/>
    <w:rsid w:val="00BE173E"/>
    <w:rsid w:val="00BE3340"/>
    <w:rsid w:val="00BE5C37"/>
    <w:rsid w:val="00BE7890"/>
    <w:rsid w:val="00BF2285"/>
    <w:rsid w:val="00BF3DAD"/>
    <w:rsid w:val="00BF5526"/>
    <w:rsid w:val="00BF5D05"/>
    <w:rsid w:val="00BF68CF"/>
    <w:rsid w:val="00BF7E7F"/>
    <w:rsid w:val="00C00385"/>
    <w:rsid w:val="00C0106D"/>
    <w:rsid w:val="00C033DD"/>
    <w:rsid w:val="00C03DC3"/>
    <w:rsid w:val="00C03FC4"/>
    <w:rsid w:val="00C0604D"/>
    <w:rsid w:val="00C060E4"/>
    <w:rsid w:val="00C10BC2"/>
    <w:rsid w:val="00C1101B"/>
    <w:rsid w:val="00C11138"/>
    <w:rsid w:val="00C12201"/>
    <w:rsid w:val="00C1238D"/>
    <w:rsid w:val="00C17DE0"/>
    <w:rsid w:val="00C22AD4"/>
    <w:rsid w:val="00C22D1B"/>
    <w:rsid w:val="00C25212"/>
    <w:rsid w:val="00C26D2C"/>
    <w:rsid w:val="00C271E5"/>
    <w:rsid w:val="00C32051"/>
    <w:rsid w:val="00C351DE"/>
    <w:rsid w:val="00C35C5C"/>
    <w:rsid w:val="00C36D1E"/>
    <w:rsid w:val="00C37303"/>
    <w:rsid w:val="00C41133"/>
    <w:rsid w:val="00C4363A"/>
    <w:rsid w:val="00C44FF2"/>
    <w:rsid w:val="00C45214"/>
    <w:rsid w:val="00C47987"/>
    <w:rsid w:val="00C50227"/>
    <w:rsid w:val="00C52313"/>
    <w:rsid w:val="00C55384"/>
    <w:rsid w:val="00C577F5"/>
    <w:rsid w:val="00C607FC"/>
    <w:rsid w:val="00C61FDC"/>
    <w:rsid w:val="00C62AE6"/>
    <w:rsid w:val="00C653E7"/>
    <w:rsid w:val="00C65DB0"/>
    <w:rsid w:val="00C6628F"/>
    <w:rsid w:val="00C71E87"/>
    <w:rsid w:val="00C72A16"/>
    <w:rsid w:val="00C72C6A"/>
    <w:rsid w:val="00C74648"/>
    <w:rsid w:val="00C75850"/>
    <w:rsid w:val="00C80396"/>
    <w:rsid w:val="00C8096A"/>
    <w:rsid w:val="00C8125A"/>
    <w:rsid w:val="00C814A3"/>
    <w:rsid w:val="00C82A17"/>
    <w:rsid w:val="00C84393"/>
    <w:rsid w:val="00C87440"/>
    <w:rsid w:val="00C87C6E"/>
    <w:rsid w:val="00C90DA1"/>
    <w:rsid w:val="00C9127C"/>
    <w:rsid w:val="00C934B0"/>
    <w:rsid w:val="00C96209"/>
    <w:rsid w:val="00C9723E"/>
    <w:rsid w:val="00C97AB9"/>
    <w:rsid w:val="00C97B43"/>
    <w:rsid w:val="00CA0842"/>
    <w:rsid w:val="00CA0969"/>
    <w:rsid w:val="00CA289E"/>
    <w:rsid w:val="00CA3261"/>
    <w:rsid w:val="00CA459E"/>
    <w:rsid w:val="00CA4743"/>
    <w:rsid w:val="00CA4E10"/>
    <w:rsid w:val="00CA4FD2"/>
    <w:rsid w:val="00CA7266"/>
    <w:rsid w:val="00CB0C12"/>
    <w:rsid w:val="00CB2029"/>
    <w:rsid w:val="00CB245C"/>
    <w:rsid w:val="00CB24F6"/>
    <w:rsid w:val="00CB2FC4"/>
    <w:rsid w:val="00CB305C"/>
    <w:rsid w:val="00CB3BF5"/>
    <w:rsid w:val="00CB3CCC"/>
    <w:rsid w:val="00CB4679"/>
    <w:rsid w:val="00CB5282"/>
    <w:rsid w:val="00CB6532"/>
    <w:rsid w:val="00CB705A"/>
    <w:rsid w:val="00CB7D21"/>
    <w:rsid w:val="00CB7F3C"/>
    <w:rsid w:val="00CC0953"/>
    <w:rsid w:val="00CC2A38"/>
    <w:rsid w:val="00CC44CC"/>
    <w:rsid w:val="00CC4958"/>
    <w:rsid w:val="00CC6112"/>
    <w:rsid w:val="00CC637B"/>
    <w:rsid w:val="00CC66C3"/>
    <w:rsid w:val="00CD146B"/>
    <w:rsid w:val="00CD162E"/>
    <w:rsid w:val="00CD31D9"/>
    <w:rsid w:val="00CD69CE"/>
    <w:rsid w:val="00CE08E2"/>
    <w:rsid w:val="00CE2157"/>
    <w:rsid w:val="00CE2887"/>
    <w:rsid w:val="00CE2CB3"/>
    <w:rsid w:val="00CE3B84"/>
    <w:rsid w:val="00CE4204"/>
    <w:rsid w:val="00CE44CD"/>
    <w:rsid w:val="00CE5184"/>
    <w:rsid w:val="00CE5C72"/>
    <w:rsid w:val="00CE6606"/>
    <w:rsid w:val="00CF0148"/>
    <w:rsid w:val="00CF1781"/>
    <w:rsid w:val="00CF1C0D"/>
    <w:rsid w:val="00CF1C9F"/>
    <w:rsid w:val="00CF1E0D"/>
    <w:rsid w:val="00CF252F"/>
    <w:rsid w:val="00CF29A5"/>
    <w:rsid w:val="00CF2EFF"/>
    <w:rsid w:val="00CF3764"/>
    <w:rsid w:val="00CF3DC1"/>
    <w:rsid w:val="00CF4630"/>
    <w:rsid w:val="00CF5D74"/>
    <w:rsid w:val="00D005A1"/>
    <w:rsid w:val="00D0513A"/>
    <w:rsid w:val="00D0654A"/>
    <w:rsid w:val="00D06606"/>
    <w:rsid w:val="00D06625"/>
    <w:rsid w:val="00D06A13"/>
    <w:rsid w:val="00D07A4F"/>
    <w:rsid w:val="00D07F45"/>
    <w:rsid w:val="00D10D77"/>
    <w:rsid w:val="00D11E96"/>
    <w:rsid w:val="00D12FFC"/>
    <w:rsid w:val="00D1306A"/>
    <w:rsid w:val="00D13205"/>
    <w:rsid w:val="00D13A3D"/>
    <w:rsid w:val="00D14347"/>
    <w:rsid w:val="00D15464"/>
    <w:rsid w:val="00D15645"/>
    <w:rsid w:val="00D176A7"/>
    <w:rsid w:val="00D1771E"/>
    <w:rsid w:val="00D201BD"/>
    <w:rsid w:val="00D213C5"/>
    <w:rsid w:val="00D22C4B"/>
    <w:rsid w:val="00D23FCE"/>
    <w:rsid w:val="00D24B15"/>
    <w:rsid w:val="00D253A5"/>
    <w:rsid w:val="00D26214"/>
    <w:rsid w:val="00D267D9"/>
    <w:rsid w:val="00D27460"/>
    <w:rsid w:val="00D30408"/>
    <w:rsid w:val="00D32C2D"/>
    <w:rsid w:val="00D33239"/>
    <w:rsid w:val="00D3331F"/>
    <w:rsid w:val="00D3430A"/>
    <w:rsid w:val="00D35FCF"/>
    <w:rsid w:val="00D36CA4"/>
    <w:rsid w:val="00D37AAF"/>
    <w:rsid w:val="00D433C0"/>
    <w:rsid w:val="00D44BA0"/>
    <w:rsid w:val="00D45CBC"/>
    <w:rsid w:val="00D47618"/>
    <w:rsid w:val="00D50808"/>
    <w:rsid w:val="00D50DF1"/>
    <w:rsid w:val="00D50F40"/>
    <w:rsid w:val="00D51475"/>
    <w:rsid w:val="00D51944"/>
    <w:rsid w:val="00D51A68"/>
    <w:rsid w:val="00D53F77"/>
    <w:rsid w:val="00D542DD"/>
    <w:rsid w:val="00D54491"/>
    <w:rsid w:val="00D55FCF"/>
    <w:rsid w:val="00D56733"/>
    <w:rsid w:val="00D5696B"/>
    <w:rsid w:val="00D57ACA"/>
    <w:rsid w:val="00D57C3A"/>
    <w:rsid w:val="00D61F32"/>
    <w:rsid w:val="00D62F67"/>
    <w:rsid w:val="00D677C8"/>
    <w:rsid w:val="00D6799F"/>
    <w:rsid w:val="00D70809"/>
    <w:rsid w:val="00D710A1"/>
    <w:rsid w:val="00D72303"/>
    <w:rsid w:val="00D72541"/>
    <w:rsid w:val="00D7293A"/>
    <w:rsid w:val="00D741AA"/>
    <w:rsid w:val="00D7489B"/>
    <w:rsid w:val="00D75296"/>
    <w:rsid w:val="00D75666"/>
    <w:rsid w:val="00D76710"/>
    <w:rsid w:val="00D803E9"/>
    <w:rsid w:val="00D804F3"/>
    <w:rsid w:val="00D83E15"/>
    <w:rsid w:val="00D84785"/>
    <w:rsid w:val="00D84E58"/>
    <w:rsid w:val="00D865AA"/>
    <w:rsid w:val="00D86E79"/>
    <w:rsid w:val="00D9038E"/>
    <w:rsid w:val="00D91F7F"/>
    <w:rsid w:val="00D92591"/>
    <w:rsid w:val="00D93663"/>
    <w:rsid w:val="00D9370D"/>
    <w:rsid w:val="00D93CE6"/>
    <w:rsid w:val="00D94A1C"/>
    <w:rsid w:val="00D94CBB"/>
    <w:rsid w:val="00D95546"/>
    <w:rsid w:val="00D95935"/>
    <w:rsid w:val="00D97036"/>
    <w:rsid w:val="00D970FD"/>
    <w:rsid w:val="00D97F34"/>
    <w:rsid w:val="00DA1625"/>
    <w:rsid w:val="00DA32EE"/>
    <w:rsid w:val="00DA3DA5"/>
    <w:rsid w:val="00DA3F1B"/>
    <w:rsid w:val="00DA4CA2"/>
    <w:rsid w:val="00DA6F64"/>
    <w:rsid w:val="00DB2AC3"/>
    <w:rsid w:val="00DB5850"/>
    <w:rsid w:val="00DB7E81"/>
    <w:rsid w:val="00DC15FB"/>
    <w:rsid w:val="00DC17CB"/>
    <w:rsid w:val="00DC1A1D"/>
    <w:rsid w:val="00DC2760"/>
    <w:rsid w:val="00DC3531"/>
    <w:rsid w:val="00DC5586"/>
    <w:rsid w:val="00DC7D6C"/>
    <w:rsid w:val="00DC7E1F"/>
    <w:rsid w:val="00DD0FCD"/>
    <w:rsid w:val="00DD1C4C"/>
    <w:rsid w:val="00DD375A"/>
    <w:rsid w:val="00DD4428"/>
    <w:rsid w:val="00DD46F3"/>
    <w:rsid w:val="00DD6898"/>
    <w:rsid w:val="00DD6ABB"/>
    <w:rsid w:val="00DD6D5F"/>
    <w:rsid w:val="00DD7177"/>
    <w:rsid w:val="00DD74BA"/>
    <w:rsid w:val="00DE018E"/>
    <w:rsid w:val="00DE03F6"/>
    <w:rsid w:val="00DE1C0B"/>
    <w:rsid w:val="00DE3D17"/>
    <w:rsid w:val="00DE43AD"/>
    <w:rsid w:val="00DE5397"/>
    <w:rsid w:val="00DE6C4E"/>
    <w:rsid w:val="00DE6E04"/>
    <w:rsid w:val="00DE6E31"/>
    <w:rsid w:val="00DF5C3B"/>
    <w:rsid w:val="00E02050"/>
    <w:rsid w:val="00E04A6D"/>
    <w:rsid w:val="00E0570D"/>
    <w:rsid w:val="00E07186"/>
    <w:rsid w:val="00E07CAA"/>
    <w:rsid w:val="00E07E2C"/>
    <w:rsid w:val="00E106CF"/>
    <w:rsid w:val="00E10937"/>
    <w:rsid w:val="00E11720"/>
    <w:rsid w:val="00E11E42"/>
    <w:rsid w:val="00E121E9"/>
    <w:rsid w:val="00E1316C"/>
    <w:rsid w:val="00E133A2"/>
    <w:rsid w:val="00E16FED"/>
    <w:rsid w:val="00E1759D"/>
    <w:rsid w:val="00E17713"/>
    <w:rsid w:val="00E215C2"/>
    <w:rsid w:val="00E22837"/>
    <w:rsid w:val="00E26058"/>
    <w:rsid w:val="00E263C6"/>
    <w:rsid w:val="00E27584"/>
    <w:rsid w:val="00E3337D"/>
    <w:rsid w:val="00E337D9"/>
    <w:rsid w:val="00E3401F"/>
    <w:rsid w:val="00E37C93"/>
    <w:rsid w:val="00E42302"/>
    <w:rsid w:val="00E42FF0"/>
    <w:rsid w:val="00E44CCB"/>
    <w:rsid w:val="00E467F5"/>
    <w:rsid w:val="00E47A82"/>
    <w:rsid w:val="00E5226B"/>
    <w:rsid w:val="00E526F6"/>
    <w:rsid w:val="00E52F36"/>
    <w:rsid w:val="00E5423A"/>
    <w:rsid w:val="00E55512"/>
    <w:rsid w:val="00E56B28"/>
    <w:rsid w:val="00E57869"/>
    <w:rsid w:val="00E60029"/>
    <w:rsid w:val="00E6219B"/>
    <w:rsid w:val="00E62454"/>
    <w:rsid w:val="00E64036"/>
    <w:rsid w:val="00E64C34"/>
    <w:rsid w:val="00E655F0"/>
    <w:rsid w:val="00E7069B"/>
    <w:rsid w:val="00E72994"/>
    <w:rsid w:val="00E731B9"/>
    <w:rsid w:val="00E733F0"/>
    <w:rsid w:val="00E73D46"/>
    <w:rsid w:val="00E779F5"/>
    <w:rsid w:val="00E8148B"/>
    <w:rsid w:val="00E8331E"/>
    <w:rsid w:val="00E84093"/>
    <w:rsid w:val="00E840EC"/>
    <w:rsid w:val="00E848DF"/>
    <w:rsid w:val="00E84FBF"/>
    <w:rsid w:val="00E87984"/>
    <w:rsid w:val="00E9093D"/>
    <w:rsid w:val="00E917BB"/>
    <w:rsid w:val="00E9389C"/>
    <w:rsid w:val="00E97676"/>
    <w:rsid w:val="00EA175B"/>
    <w:rsid w:val="00EA2B11"/>
    <w:rsid w:val="00EA2C7B"/>
    <w:rsid w:val="00EA2E2B"/>
    <w:rsid w:val="00EA3807"/>
    <w:rsid w:val="00EA54C9"/>
    <w:rsid w:val="00EA64B8"/>
    <w:rsid w:val="00EB07C2"/>
    <w:rsid w:val="00EB0BA7"/>
    <w:rsid w:val="00EB0FD7"/>
    <w:rsid w:val="00EB22B3"/>
    <w:rsid w:val="00EB2A66"/>
    <w:rsid w:val="00EB580E"/>
    <w:rsid w:val="00EB6D80"/>
    <w:rsid w:val="00EB6F36"/>
    <w:rsid w:val="00EB7037"/>
    <w:rsid w:val="00EB77F9"/>
    <w:rsid w:val="00EC073F"/>
    <w:rsid w:val="00EC232A"/>
    <w:rsid w:val="00EC2446"/>
    <w:rsid w:val="00EC2E0E"/>
    <w:rsid w:val="00EC4D46"/>
    <w:rsid w:val="00ED02CB"/>
    <w:rsid w:val="00ED2777"/>
    <w:rsid w:val="00ED3D52"/>
    <w:rsid w:val="00ED5913"/>
    <w:rsid w:val="00ED6582"/>
    <w:rsid w:val="00EE06BE"/>
    <w:rsid w:val="00EE08A8"/>
    <w:rsid w:val="00EE162F"/>
    <w:rsid w:val="00EE1AAA"/>
    <w:rsid w:val="00EE3DF5"/>
    <w:rsid w:val="00EE586D"/>
    <w:rsid w:val="00EE6212"/>
    <w:rsid w:val="00EE74BD"/>
    <w:rsid w:val="00EE75D0"/>
    <w:rsid w:val="00EF0155"/>
    <w:rsid w:val="00EF0D0C"/>
    <w:rsid w:val="00EF0D39"/>
    <w:rsid w:val="00EF7C2F"/>
    <w:rsid w:val="00F00225"/>
    <w:rsid w:val="00F0252C"/>
    <w:rsid w:val="00F042BE"/>
    <w:rsid w:val="00F05344"/>
    <w:rsid w:val="00F05D8C"/>
    <w:rsid w:val="00F06A12"/>
    <w:rsid w:val="00F11F55"/>
    <w:rsid w:val="00F11F66"/>
    <w:rsid w:val="00F11FE0"/>
    <w:rsid w:val="00F1241F"/>
    <w:rsid w:val="00F12670"/>
    <w:rsid w:val="00F14749"/>
    <w:rsid w:val="00F15A98"/>
    <w:rsid w:val="00F15B9F"/>
    <w:rsid w:val="00F15C9B"/>
    <w:rsid w:val="00F20599"/>
    <w:rsid w:val="00F20601"/>
    <w:rsid w:val="00F20784"/>
    <w:rsid w:val="00F229AF"/>
    <w:rsid w:val="00F23CB3"/>
    <w:rsid w:val="00F24B7B"/>
    <w:rsid w:val="00F25D7E"/>
    <w:rsid w:val="00F26224"/>
    <w:rsid w:val="00F26B66"/>
    <w:rsid w:val="00F27458"/>
    <w:rsid w:val="00F27AE6"/>
    <w:rsid w:val="00F27B94"/>
    <w:rsid w:val="00F3040C"/>
    <w:rsid w:val="00F308AC"/>
    <w:rsid w:val="00F30A49"/>
    <w:rsid w:val="00F31D05"/>
    <w:rsid w:val="00F348B3"/>
    <w:rsid w:val="00F35EAD"/>
    <w:rsid w:val="00F36805"/>
    <w:rsid w:val="00F3703D"/>
    <w:rsid w:val="00F37332"/>
    <w:rsid w:val="00F37714"/>
    <w:rsid w:val="00F37837"/>
    <w:rsid w:val="00F4167A"/>
    <w:rsid w:val="00F43CD5"/>
    <w:rsid w:val="00F43F18"/>
    <w:rsid w:val="00F44138"/>
    <w:rsid w:val="00F44A9B"/>
    <w:rsid w:val="00F44CD5"/>
    <w:rsid w:val="00F4507B"/>
    <w:rsid w:val="00F4667E"/>
    <w:rsid w:val="00F4722E"/>
    <w:rsid w:val="00F47EDF"/>
    <w:rsid w:val="00F47FD7"/>
    <w:rsid w:val="00F502A4"/>
    <w:rsid w:val="00F50CAD"/>
    <w:rsid w:val="00F5179F"/>
    <w:rsid w:val="00F517CE"/>
    <w:rsid w:val="00F51EC7"/>
    <w:rsid w:val="00F526A5"/>
    <w:rsid w:val="00F52F0E"/>
    <w:rsid w:val="00F536C5"/>
    <w:rsid w:val="00F54B6D"/>
    <w:rsid w:val="00F57E53"/>
    <w:rsid w:val="00F6075E"/>
    <w:rsid w:val="00F61051"/>
    <w:rsid w:val="00F625A6"/>
    <w:rsid w:val="00F65C3A"/>
    <w:rsid w:val="00F66374"/>
    <w:rsid w:val="00F66675"/>
    <w:rsid w:val="00F66B27"/>
    <w:rsid w:val="00F67FE5"/>
    <w:rsid w:val="00F726E7"/>
    <w:rsid w:val="00F757E8"/>
    <w:rsid w:val="00F76CCD"/>
    <w:rsid w:val="00F76D6A"/>
    <w:rsid w:val="00F77236"/>
    <w:rsid w:val="00F77C0C"/>
    <w:rsid w:val="00F803C7"/>
    <w:rsid w:val="00F8055B"/>
    <w:rsid w:val="00F80A33"/>
    <w:rsid w:val="00F820FA"/>
    <w:rsid w:val="00F8221A"/>
    <w:rsid w:val="00F84635"/>
    <w:rsid w:val="00F84A49"/>
    <w:rsid w:val="00F8636C"/>
    <w:rsid w:val="00F86CCF"/>
    <w:rsid w:val="00F8773F"/>
    <w:rsid w:val="00F901AF"/>
    <w:rsid w:val="00F9104F"/>
    <w:rsid w:val="00F9412A"/>
    <w:rsid w:val="00F9431C"/>
    <w:rsid w:val="00F979AC"/>
    <w:rsid w:val="00FA1F8D"/>
    <w:rsid w:val="00FA28F0"/>
    <w:rsid w:val="00FA6865"/>
    <w:rsid w:val="00FA6A59"/>
    <w:rsid w:val="00FA7427"/>
    <w:rsid w:val="00FB324D"/>
    <w:rsid w:val="00FB3AD9"/>
    <w:rsid w:val="00FB403B"/>
    <w:rsid w:val="00FB68C5"/>
    <w:rsid w:val="00FB7522"/>
    <w:rsid w:val="00FB7BA9"/>
    <w:rsid w:val="00FB7D5C"/>
    <w:rsid w:val="00FC1307"/>
    <w:rsid w:val="00FC1BC7"/>
    <w:rsid w:val="00FC4CAF"/>
    <w:rsid w:val="00FC611E"/>
    <w:rsid w:val="00FD02BE"/>
    <w:rsid w:val="00FD0C45"/>
    <w:rsid w:val="00FD3AED"/>
    <w:rsid w:val="00FD4948"/>
    <w:rsid w:val="00FD50A3"/>
    <w:rsid w:val="00FD6770"/>
    <w:rsid w:val="00FD6EAD"/>
    <w:rsid w:val="00FE1978"/>
    <w:rsid w:val="00FE1CFB"/>
    <w:rsid w:val="00FE64AB"/>
    <w:rsid w:val="00FF2684"/>
    <w:rsid w:val="00FF34F0"/>
    <w:rsid w:val="00FF4777"/>
    <w:rsid w:val="00FF4DAE"/>
    <w:rsid w:val="00FF56B4"/>
    <w:rsid w:val="00FF5DA7"/>
    <w:rsid w:val="00FF773D"/>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DFF600"/>
  <w15:chartTrackingRefBased/>
  <w15:docId w15:val="{906A7276-3541-4C2C-97D3-DD060EAF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cs="Arial"/>
      <w:b/>
      <w:bCs/>
      <w:lang w:val="es-CO"/>
    </w:rPr>
  </w:style>
  <w:style w:type="paragraph" w:styleId="Ttulo2">
    <w:name w:val="heading 2"/>
    <w:basedOn w:val="Normal"/>
    <w:next w:val="Normal"/>
    <w:qFormat/>
    <w:pPr>
      <w:keepNext/>
      <w:spacing w:line="360" w:lineRule="auto"/>
      <w:jc w:val="both"/>
      <w:outlineLvl w:val="1"/>
    </w:pPr>
    <w:rPr>
      <w:rFonts w:ascii="Arial" w:hAnsi="Arial"/>
      <w:b/>
      <w:bCs/>
      <w:sz w:val="22"/>
      <w:szCs w:val="20"/>
    </w:rPr>
  </w:style>
  <w:style w:type="paragraph" w:styleId="Ttulo4">
    <w:name w:val="heading 4"/>
    <w:basedOn w:val="Normal"/>
    <w:next w:val="Normal"/>
    <w:qFormat/>
    <w:pPr>
      <w:keepNext/>
      <w:jc w:val="center"/>
      <w:outlineLvl w:val="3"/>
    </w:pPr>
    <w:rPr>
      <w:rFonts w:ascii="Arial" w:hAnsi="Arial"/>
      <w:b/>
      <w:snapToGrid w:val="0"/>
      <w:szCs w:val="20"/>
      <w:lang w:val="es-ES_tradnl"/>
    </w:rPr>
  </w:style>
  <w:style w:type="paragraph" w:styleId="Ttulo7">
    <w:name w:val="heading 7"/>
    <w:basedOn w:val="Normal"/>
    <w:next w:val="Normal"/>
    <w:link w:val="Ttulo7Car"/>
    <w:semiHidden/>
    <w:unhideWhenUsed/>
    <w:qFormat/>
    <w:rsid w:val="00374C16"/>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firstLine="3"/>
    </w:pPr>
    <w:rPr>
      <w:rFonts w:ascii="Arial" w:hAnsi="Arial"/>
      <w:snapToGrid w:val="0"/>
      <w:szCs w:val="20"/>
    </w:rPr>
  </w:style>
  <w:style w:type="paragraph" w:customStyle="1" w:styleId="Puesto">
    <w:name w:val="Puesto"/>
    <w:basedOn w:val="Normal"/>
    <w:qFormat/>
    <w:pPr>
      <w:jc w:val="center"/>
    </w:pPr>
    <w:rPr>
      <w:rFonts w:ascii="Arial" w:hAnsi="Arial"/>
      <w:b/>
      <w:snapToGrid w:val="0"/>
      <w:szCs w:val="20"/>
    </w:rPr>
  </w:style>
  <w:style w:type="paragraph" w:styleId="Encabezado">
    <w:name w:val="header"/>
    <w:basedOn w:val="Normal"/>
    <w:link w:val="EncabezadoCar"/>
    <w:pPr>
      <w:tabs>
        <w:tab w:val="center" w:pos="4252"/>
        <w:tab w:val="right" w:pos="8504"/>
      </w:tabs>
    </w:pPr>
    <w:rPr>
      <w:rFonts w:ascii="Arial" w:hAnsi="Arial"/>
      <w:b/>
      <w:i/>
      <w:snapToGrid w:val="0"/>
      <w:sz w:val="28"/>
      <w:szCs w:val="20"/>
      <w:lang w:val="es-ES_tradnl"/>
    </w:rPr>
  </w:style>
  <w:style w:type="character" w:styleId="Nmerodepgina">
    <w:name w:val="page number"/>
    <w:basedOn w:val="Fuentedeprrafopredeter"/>
  </w:style>
  <w:style w:type="paragraph" w:styleId="Textoindependiente">
    <w:name w:val="Body Text"/>
    <w:basedOn w:val="Normal"/>
    <w:link w:val="TextoindependienteCar"/>
    <w:rPr>
      <w:rFonts w:ascii="Arial" w:hAnsi="Arial"/>
      <w:sz w:val="22"/>
      <w:szCs w:val="20"/>
    </w:rPr>
  </w:style>
  <w:style w:type="paragraph" w:styleId="Subttulo">
    <w:name w:val="Subtitle"/>
    <w:basedOn w:val="Normal"/>
    <w:qFormat/>
    <w:pPr>
      <w:jc w:val="center"/>
    </w:pPr>
    <w:rPr>
      <w:rFonts w:ascii="Arial" w:hAnsi="Arial"/>
      <w:b/>
      <w:bCs/>
      <w:sz w:val="22"/>
      <w:szCs w:val="20"/>
    </w:rPr>
  </w:style>
  <w:style w:type="paragraph" w:styleId="Sangra2detindependiente">
    <w:name w:val="Body Text Indent 2"/>
    <w:basedOn w:val="Normal"/>
    <w:pPr>
      <w:ind w:left="2832" w:hanging="2832"/>
    </w:pPr>
    <w:rPr>
      <w:rFonts w:ascii="Arial" w:hAnsi="Arial" w:cs="Arial"/>
      <w:b/>
      <w:bCs/>
      <w:lang w:val="es-CO"/>
    </w:rPr>
  </w:style>
  <w:style w:type="paragraph" w:customStyle="1" w:styleId="Textoindependiente21">
    <w:name w:val="Texto independiente 21"/>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uiPriority w:val="99"/>
    <w:rsid w:val="00055A0D"/>
    <w:pPr>
      <w:tabs>
        <w:tab w:val="center" w:pos="4252"/>
        <w:tab w:val="right" w:pos="8504"/>
      </w:tabs>
    </w:pPr>
  </w:style>
  <w:style w:type="paragraph" w:styleId="Textodeglobo">
    <w:name w:val="Balloon Text"/>
    <w:basedOn w:val="Normal"/>
    <w:link w:val="TextodegloboCar"/>
    <w:rsid w:val="008F5103"/>
    <w:rPr>
      <w:rFonts w:ascii="Tahoma" w:hAnsi="Tahoma" w:cs="Tahoma"/>
      <w:sz w:val="16"/>
      <w:szCs w:val="16"/>
    </w:rPr>
  </w:style>
  <w:style w:type="character" w:customStyle="1" w:styleId="TextodegloboCar">
    <w:name w:val="Texto de globo Car"/>
    <w:link w:val="Textodeglobo"/>
    <w:rsid w:val="008F5103"/>
    <w:rPr>
      <w:rFonts w:ascii="Tahoma" w:hAnsi="Tahoma" w:cs="Tahoma"/>
      <w:sz w:val="16"/>
      <w:szCs w:val="16"/>
      <w:lang w:val="es-ES" w:eastAsia="es-ES"/>
    </w:rPr>
  </w:style>
  <w:style w:type="paragraph" w:styleId="Lista">
    <w:name w:val="List"/>
    <w:basedOn w:val="Normal"/>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Footnote reference,FA Fu Car Car,FA Fu Car,FA Fu,Footnote Text Char Char Char,Footnote Text Cha,FA Fußnotentext,FA Fuﬂnotentext,texto de nota al p,FA Fu?notentext,ft"/>
    <w:basedOn w:val="Normal"/>
    <w:link w:val="TextonotapieCar"/>
    <w:uiPriority w:val="99"/>
    <w:qFormat/>
    <w:rsid w:val="007238D2"/>
    <w:rPr>
      <w:sz w:val="20"/>
      <w:szCs w:val="20"/>
    </w:rPr>
  </w:style>
  <w:style w:type="character" w:customStyle="1" w:styleId="TextonotapieCar">
    <w:name w:val="Texto nota pie Car"/>
    <w:aliases w:val="Footnote Text Char Char Char Char Char Car1,Footnote Text Char Char Char Char Car1,Footnote reference Car1,FA Fu Car Car Car1,FA Fu Car Car2,FA Fu Car2,Footnote Text Char Char Char Car1,Footnote Text Cha Car1,FA Fußnotentext Car"/>
    <w:link w:val="Textonotapie"/>
    <w:uiPriority w:val="99"/>
    <w:rsid w:val="007238D2"/>
    <w:rPr>
      <w:lang w:val="es-ES" w:eastAsia="es-E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Pie de Pàgi"/>
    <w:qFormat/>
    <w:rsid w:val="007238D2"/>
    <w:rPr>
      <w:vertAlign w:val="superscript"/>
    </w:rPr>
  </w:style>
  <w:style w:type="character" w:customStyle="1" w:styleId="Ttulo7Car">
    <w:name w:val="Título 7 Car"/>
    <w:link w:val="Ttulo7"/>
    <w:semiHidden/>
    <w:rsid w:val="00374C16"/>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374C16"/>
    <w:rPr>
      <w:sz w:val="24"/>
      <w:szCs w:val="24"/>
      <w:lang w:val="es-ES" w:eastAsia="es-ES"/>
    </w:rPr>
  </w:style>
  <w:style w:type="paragraph" w:styleId="NormalWeb">
    <w:name w:val="Normal (Web)"/>
    <w:basedOn w:val="Normal"/>
    <w:uiPriority w:val="99"/>
    <w:unhideWhenUsed/>
    <w:rsid w:val="00374C16"/>
    <w:pPr>
      <w:spacing w:before="100" w:beforeAutospacing="1" w:after="100" w:afterAutospacing="1"/>
    </w:pPr>
    <w:rPr>
      <w:lang w:val="es-CO" w:eastAsia="es-CO"/>
    </w:rPr>
  </w:style>
  <w:style w:type="paragraph" w:customStyle="1" w:styleId="Textoindependiente210">
    <w:name w:val="Texto independiente 21"/>
    <w:basedOn w:val="Normal"/>
    <w:rsid w:val="00374C16"/>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EncabezadoCar">
    <w:name w:val="Encabezado Car"/>
    <w:link w:val="Encabezado"/>
    <w:rsid w:val="00A45867"/>
    <w:rPr>
      <w:rFonts w:ascii="Arial" w:hAnsi="Arial"/>
      <w:b/>
      <w:i/>
      <w:snapToGrid w:val="0"/>
      <w:sz w:val="28"/>
      <w:lang w:val="es-ES_tradnl"/>
    </w:rPr>
  </w:style>
  <w:style w:type="paragraph" w:styleId="Textoindependiente2">
    <w:name w:val="Body Text 2"/>
    <w:basedOn w:val="Normal"/>
    <w:link w:val="Textoindependiente2Car"/>
    <w:rsid w:val="00A45867"/>
    <w:pPr>
      <w:spacing w:after="120" w:line="480" w:lineRule="auto"/>
    </w:pPr>
  </w:style>
  <w:style w:type="character" w:customStyle="1" w:styleId="Textoindependiente2Car">
    <w:name w:val="Texto independiente 2 Car"/>
    <w:link w:val="Textoindependiente2"/>
    <w:rsid w:val="00A45867"/>
    <w:rPr>
      <w:sz w:val="24"/>
      <w:szCs w:val="24"/>
    </w:rPr>
  </w:style>
  <w:style w:type="paragraph" w:styleId="Sinespaciado">
    <w:name w:val="No Spacing"/>
    <w:link w:val="SinespaciadoCar"/>
    <w:uiPriority w:val="1"/>
    <w:qFormat/>
    <w:rsid w:val="00A45867"/>
    <w:rPr>
      <w:rFonts w:ascii="Calibri" w:eastAsia="Calibri" w:hAnsi="Calibri"/>
      <w:sz w:val="22"/>
      <w:szCs w:val="22"/>
      <w:lang w:val="es-CO"/>
    </w:rPr>
  </w:style>
  <w:style w:type="character" w:customStyle="1" w:styleId="apple-converted-space">
    <w:name w:val="apple-converted-space"/>
    <w:rsid w:val="006220A5"/>
  </w:style>
  <w:style w:type="character" w:customStyle="1" w:styleId="TextonotapieCar1">
    <w:name w:val="Texto nota pie Car1"/>
    <w:aliases w:val="Texto nota pie Car Car,Footnote Text Char Char Char Char Char Car,Footnote Text Char Char Char Char Car,Footnote reference Car,FA Fu Car Car Car,FA Fu Car Car1,FA Fu Car1,Footnote Text Char Char Char Car,Footnote Text Cha Car"/>
    <w:rsid w:val="00144E85"/>
    <w:rPr>
      <w:lang w:val="es-ES" w:eastAsia="es-ES"/>
    </w:rPr>
  </w:style>
  <w:style w:type="character" w:customStyle="1" w:styleId="iaj">
    <w:name w:val="i_aj"/>
    <w:rsid w:val="00FB7522"/>
  </w:style>
  <w:style w:type="character" w:styleId="Hipervnculo">
    <w:name w:val="Hyperlink"/>
    <w:uiPriority w:val="99"/>
    <w:unhideWhenUsed/>
    <w:rsid w:val="00C934B0"/>
    <w:rPr>
      <w:color w:val="0000FF"/>
      <w:u w:val="single"/>
    </w:rPr>
  </w:style>
  <w:style w:type="paragraph" w:customStyle="1" w:styleId="Sangra2detindependiente1">
    <w:name w:val="Sangría 2 de t. independiente1"/>
    <w:basedOn w:val="Normal"/>
    <w:rsid w:val="00782DE6"/>
    <w:pPr>
      <w:overflowPunct w:val="0"/>
      <w:autoSpaceDE w:val="0"/>
      <w:autoSpaceDN w:val="0"/>
      <w:adjustRightInd w:val="0"/>
      <w:spacing w:line="360" w:lineRule="auto"/>
      <w:ind w:firstLine="1418"/>
      <w:jc w:val="both"/>
      <w:textAlignment w:val="baseline"/>
    </w:pPr>
    <w:rPr>
      <w:rFonts w:ascii="Arial" w:hAnsi="Arial"/>
      <w:szCs w:val="20"/>
    </w:rPr>
  </w:style>
  <w:style w:type="character" w:customStyle="1" w:styleId="baj">
    <w:name w:val="b_aj"/>
    <w:rsid w:val="003C1739"/>
  </w:style>
  <w:style w:type="character" w:customStyle="1" w:styleId="TextoindependienteCar">
    <w:name w:val="Texto independiente Car"/>
    <w:link w:val="Textoindependiente"/>
    <w:rsid w:val="002E1BA9"/>
    <w:rPr>
      <w:rFonts w:ascii="Arial" w:hAnsi="Arial"/>
      <w:sz w:val="22"/>
      <w:lang w:val="es-ES" w:eastAsia="es-ES"/>
    </w:rPr>
  </w:style>
  <w:style w:type="paragraph" w:styleId="Prrafodelista">
    <w:name w:val="List Paragraph"/>
    <w:basedOn w:val="Normal"/>
    <w:qFormat/>
    <w:rsid w:val="00782206"/>
    <w:pPr>
      <w:spacing w:after="200" w:line="276" w:lineRule="auto"/>
      <w:ind w:left="720"/>
      <w:contextualSpacing/>
    </w:pPr>
    <w:rPr>
      <w:rFonts w:ascii="Calibri" w:eastAsia="Calibri" w:hAnsi="Calibri"/>
      <w:sz w:val="22"/>
      <w:szCs w:val="22"/>
      <w:lang w:val="es-CO" w:eastAsia="en-US"/>
    </w:rPr>
  </w:style>
  <w:style w:type="character" w:customStyle="1" w:styleId="SinespaciadoCar">
    <w:name w:val="Sin espaciado Car"/>
    <w:link w:val="Sinespaciado"/>
    <w:uiPriority w:val="1"/>
    <w:rsid w:val="00E84FBF"/>
    <w:rPr>
      <w:rFonts w:ascii="Calibri" w:eastAsia="Calibri" w:hAnsi="Calibri"/>
      <w:sz w:val="22"/>
      <w:szCs w:val="22"/>
      <w:lang w:eastAsia="en-US"/>
    </w:rPr>
  </w:style>
  <w:style w:type="paragraph" w:customStyle="1" w:styleId="Sinespaciado1">
    <w:name w:val="Sin espaciado1"/>
    <w:rsid w:val="00E84FBF"/>
    <w:rPr>
      <w:rFonts w:ascii="Calibri" w:eastAsia="Calibri" w:hAnsi="Calibri"/>
      <w:sz w:val="22"/>
      <w:szCs w:val="22"/>
      <w:lang w:val="es-CO"/>
    </w:rPr>
  </w:style>
  <w:style w:type="paragraph" w:styleId="Sangra3detindependiente">
    <w:name w:val="Body Text Indent 3"/>
    <w:basedOn w:val="Normal"/>
    <w:link w:val="Sangra3detindependienteCar"/>
    <w:rsid w:val="002F1A1C"/>
    <w:pPr>
      <w:spacing w:after="120"/>
      <w:ind w:left="283"/>
    </w:pPr>
    <w:rPr>
      <w:sz w:val="16"/>
      <w:szCs w:val="16"/>
    </w:rPr>
  </w:style>
  <w:style w:type="character" w:customStyle="1" w:styleId="Sangra3detindependienteCar">
    <w:name w:val="Sangría 3 de t. independiente Car"/>
    <w:link w:val="Sangra3detindependiente"/>
    <w:rsid w:val="002F1A1C"/>
    <w:rPr>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40670">
      <w:bodyDiv w:val="1"/>
      <w:marLeft w:val="0"/>
      <w:marRight w:val="0"/>
      <w:marTop w:val="0"/>
      <w:marBottom w:val="0"/>
      <w:divBdr>
        <w:top w:val="none" w:sz="0" w:space="0" w:color="auto"/>
        <w:left w:val="none" w:sz="0" w:space="0" w:color="auto"/>
        <w:bottom w:val="none" w:sz="0" w:space="0" w:color="auto"/>
        <w:right w:val="none" w:sz="0" w:space="0" w:color="auto"/>
      </w:divBdr>
    </w:div>
    <w:div w:id="194392654">
      <w:bodyDiv w:val="1"/>
      <w:marLeft w:val="0"/>
      <w:marRight w:val="0"/>
      <w:marTop w:val="0"/>
      <w:marBottom w:val="0"/>
      <w:divBdr>
        <w:top w:val="none" w:sz="0" w:space="0" w:color="auto"/>
        <w:left w:val="none" w:sz="0" w:space="0" w:color="auto"/>
        <w:bottom w:val="none" w:sz="0" w:space="0" w:color="auto"/>
        <w:right w:val="none" w:sz="0" w:space="0" w:color="auto"/>
      </w:divBdr>
    </w:div>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236598741">
      <w:bodyDiv w:val="1"/>
      <w:marLeft w:val="0"/>
      <w:marRight w:val="0"/>
      <w:marTop w:val="0"/>
      <w:marBottom w:val="0"/>
      <w:divBdr>
        <w:top w:val="none" w:sz="0" w:space="0" w:color="auto"/>
        <w:left w:val="none" w:sz="0" w:space="0" w:color="auto"/>
        <w:bottom w:val="none" w:sz="0" w:space="0" w:color="auto"/>
        <w:right w:val="none" w:sz="0" w:space="0" w:color="auto"/>
      </w:divBdr>
    </w:div>
    <w:div w:id="328681097">
      <w:bodyDiv w:val="1"/>
      <w:marLeft w:val="0"/>
      <w:marRight w:val="0"/>
      <w:marTop w:val="0"/>
      <w:marBottom w:val="0"/>
      <w:divBdr>
        <w:top w:val="none" w:sz="0" w:space="0" w:color="auto"/>
        <w:left w:val="none" w:sz="0" w:space="0" w:color="auto"/>
        <w:bottom w:val="none" w:sz="0" w:space="0" w:color="auto"/>
        <w:right w:val="none" w:sz="0" w:space="0" w:color="auto"/>
      </w:divBdr>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627518689">
      <w:bodyDiv w:val="1"/>
      <w:marLeft w:val="0"/>
      <w:marRight w:val="0"/>
      <w:marTop w:val="0"/>
      <w:marBottom w:val="0"/>
      <w:divBdr>
        <w:top w:val="none" w:sz="0" w:space="0" w:color="auto"/>
        <w:left w:val="none" w:sz="0" w:space="0" w:color="auto"/>
        <w:bottom w:val="none" w:sz="0" w:space="0" w:color="auto"/>
        <w:right w:val="none" w:sz="0" w:space="0" w:color="auto"/>
      </w:divBdr>
    </w:div>
    <w:div w:id="637220527">
      <w:bodyDiv w:val="1"/>
      <w:marLeft w:val="0"/>
      <w:marRight w:val="0"/>
      <w:marTop w:val="0"/>
      <w:marBottom w:val="0"/>
      <w:divBdr>
        <w:top w:val="none" w:sz="0" w:space="0" w:color="auto"/>
        <w:left w:val="none" w:sz="0" w:space="0" w:color="auto"/>
        <w:bottom w:val="none" w:sz="0" w:space="0" w:color="auto"/>
        <w:right w:val="none" w:sz="0" w:space="0" w:color="auto"/>
      </w:divBdr>
    </w:div>
    <w:div w:id="638531242">
      <w:bodyDiv w:val="1"/>
      <w:marLeft w:val="0"/>
      <w:marRight w:val="0"/>
      <w:marTop w:val="0"/>
      <w:marBottom w:val="0"/>
      <w:divBdr>
        <w:top w:val="none" w:sz="0" w:space="0" w:color="auto"/>
        <w:left w:val="none" w:sz="0" w:space="0" w:color="auto"/>
        <w:bottom w:val="none" w:sz="0" w:space="0" w:color="auto"/>
        <w:right w:val="none" w:sz="0" w:space="0" w:color="auto"/>
      </w:divBdr>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933516133">
      <w:bodyDiv w:val="1"/>
      <w:marLeft w:val="0"/>
      <w:marRight w:val="0"/>
      <w:marTop w:val="0"/>
      <w:marBottom w:val="0"/>
      <w:divBdr>
        <w:top w:val="none" w:sz="0" w:space="0" w:color="auto"/>
        <w:left w:val="none" w:sz="0" w:space="0" w:color="auto"/>
        <w:bottom w:val="none" w:sz="0" w:space="0" w:color="auto"/>
        <w:right w:val="none" w:sz="0" w:space="0" w:color="auto"/>
      </w:divBdr>
    </w:div>
    <w:div w:id="963922079">
      <w:bodyDiv w:val="1"/>
      <w:marLeft w:val="0"/>
      <w:marRight w:val="0"/>
      <w:marTop w:val="0"/>
      <w:marBottom w:val="0"/>
      <w:divBdr>
        <w:top w:val="none" w:sz="0" w:space="0" w:color="auto"/>
        <w:left w:val="none" w:sz="0" w:space="0" w:color="auto"/>
        <w:bottom w:val="none" w:sz="0" w:space="0" w:color="auto"/>
        <w:right w:val="none" w:sz="0" w:space="0" w:color="auto"/>
      </w:divBdr>
    </w:div>
    <w:div w:id="1173029808">
      <w:bodyDiv w:val="1"/>
      <w:marLeft w:val="0"/>
      <w:marRight w:val="0"/>
      <w:marTop w:val="0"/>
      <w:marBottom w:val="0"/>
      <w:divBdr>
        <w:top w:val="none" w:sz="0" w:space="0" w:color="auto"/>
        <w:left w:val="none" w:sz="0" w:space="0" w:color="auto"/>
        <w:bottom w:val="none" w:sz="0" w:space="0" w:color="auto"/>
        <w:right w:val="none" w:sz="0" w:space="0" w:color="auto"/>
      </w:divBdr>
    </w:div>
    <w:div w:id="1272281769">
      <w:bodyDiv w:val="1"/>
      <w:marLeft w:val="0"/>
      <w:marRight w:val="0"/>
      <w:marTop w:val="0"/>
      <w:marBottom w:val="0"/>
      <w:divBdr>
        <w:top w:val="none" w:sz="0" w:space="0" w:color="auto"/>
        <w:left w:val="none" w:sz="0" w:space="0" w:color="auto"/>
        <w:bottom w:val="none" w:sz="0" w:space="0" w:color="auto"/>
        <w:right w:val="none" w:sz="0" w:space="0" w:color="auto"/>
      </w:divBdr>
    </w:div>
    <w:div w:id="1380863194">
      <w:bodyDiv w:val="1"/>
      <w:marLeft w:val="0"/>
      <w:marRight w:val="0"/>
      <w:marTop w:val="0"/>
      <w:marBottom w:val="0"/>
      <w:divBdr>
        <w:top w:val="none" w:sz="0" w:space="0" w:color="auto"/>
        <w:left w:val="none" w:sz="0" w:space="0" w:color="auto"/>
        <w:bottom w:val="none" w:sz="0" w:space="0" w:color="auto"/>
        <w:right w:val="none" w:sz="0" w:space="0" w:color="auto"/>
      </w:divBdr>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489595823">
      <w:bodyDiv w:val="1"/>
      <w:marLeft w:val="0"/>
      <w:marRight w:val="0"/>
      <w:marTop w:val="0"/>
      <w:marBottom w:val="0"/>
      <w:divBdr>
        <w:top w:val="none" w:sz="0" w:space="0" w:color="auto"/>
        <w:left w:val="none" w:sz="0" w:space="0" w:color="auto"/>
        <w:bottom w:val="none" w:sz="0" w:space="0" w:color="auto"/>
        <w:right w:val="none" w:sz="0" w:space="0" w:color="auto"/>
      </w:divBdr>
    </w:div>
    <w:div w:id="1514996419">
      <w:bodyDiv w:val="1"/>
      <w:marLeft w:val="0"/>
      <w:marRight w:val="0"/>
      <w:marTop w:val="0"/>
      <w:marBottom w:val="0"/>
      <w:divBdr>
        <w:top w:val="none" w:sz="0" w:space="0" w:color="auto"/>
        <w:left w:val="none" w:sz="0" w:space="0" w:color="auto"/>
        <w:bottom w:val="none" w:sz="0" w:space="0" w:color="auto"/>
        <w:right w:val="none" w:sz="0" w:space="0" w:color="auto"/>
      </w:divBdr>
    </w:div>
    <w:div w:id="1520466466">
      <w:bodyDiv w:val="1"/>
      <w:marLeft w:val="0"/>
      <w:marRight w:val="0"/>
      <w:marTop w:val="0"/>
      <w:marBottom w:val="0"/>
      <w:divBdr>
        <w:top w:val="none" w:sz="0" w:space="0" w:color="auto"/>
        <w:left w:val="none" w:sz="0" w:space="0" w:color="auto"/>
        <w:bottom w:val="none" w:sz="0" w:space="0" w:color="auto"/>
        <w:right w:val="none" w:sz="0" w:space="0" w:color="auto"/>
      </w:divBdr>
    </w:div>
    <w:div w:id="1628049073">
      <w:bodyDiv w:val="1"/>
      <w:marLeft w:val="0"/>
      <w:marRight w:val="0"/>
      <w:marTop w:val="0"/>
      <w:marBottom w:val="0"/>
      <w:divBdr>
        <w:top w:val="none" w:sz="0" w:space="0" w:color="auto"/>
        <w:left w:val="none" w:sz="0" w:space="0" w:color="auto"/>
        <w:bottom w:val="none" w:sz="0" w:space="0" w:color="auto"/>
        <w:right w:val="none" w:sz="0" w:space="0" w:color="auto"/>
      </w:divBdr>
    </w:div>
    <w:div w:id="1651323668">
      <w:bodyDiv w:val="1"/>
      <w:marLeft w:val="0"/>
      <w:marRight w:val="0"/>
      <w:marTop w:val="0"/>
      <w:marBottom w:val="0"/>
      <w:divBdr>
        <w:top w:val="none" w:sz="0" w:space="0" w:color="auto"/>
        <w:left w:val="none" w:sz="0" w:space="0" w:color="auto"/>
        <w:bottom w:val="none" w:sz="0" w:space="0" w:color="auto"/>
        <w:right w:val="none" w:sz="0" w:space="0" w:color="auto"/>
      </w:divBdr>
    </w:div>
    <w:div w:id="1783383305">
      <w:bodyDiv w:val="1"/>
      <w:marLeft w:val="0"/>
      <w:marRight w:val="0"/>
      <w:marTop w:val="0"/>
      <w:marBottom w:val="0"/>
      <w:divBdr>
        <w:top w:val="none" w:sz="0" w:space="0" w:color="auto"/>
        <w:left w:val="none" w:sz="0" w:space="0" w:color="auto"/>
        <w:bottom w:val="none" w:sz="0" w:space="0" w:color="auto"/>
        <w:right w:val="none" w:sz="0" w:space="0" w:color="auto"/>
      </w:divBdr>
    </w:div>
    <w:div w:id="1859616540">
      <w:bodyDiv w:val="1"/>
      <w:marLeft w:val="0"/>
      <w:marRight w:val="0"/>
      <w:marTop w:val="0"/>
      <w:marBottom w:val="0"/>
      <w:divBdr>
        <w:top w:val="none" w:sz="0" w:space="0" w:color="auto"/>
        <w:left w:val="none" w:sz="0" w:space="0" w:color="auto"/>
        <w:bottom w:val="none" w:sz="0" w:space="0" w:color="auto"/>
        <w:right w:val="none" w:sz="0" w:space="0" w:color="auto"/>
      </w:divBdr>
    </w:div>
    <w:div w:id="1940331133">
      <w:bodyDiv w:val="1"/>
      <w:marLeft w:val="0"/>
      <w:marRight w:val="0"/>
      <w:marTop w:val="0"/>
      <w:marBottom w:val="0"/>
      <w:divBdr>
        <w:top w:val="none" w:sz="0" w:space="0" w:color="auto"/>
        <w:left w:val="none" w:sz="0" w:space="0" w:color="auto"/>
        <w:bottom w:val="none" w:sz="0" w:space="0" w:color="auto"/>
        <w:right w:val="none" w:sz="0" w:space="0" w:color="auto"/>
      </w:divBdr>
    </w:div>
    <w:div w:id="2107649206">
      <w:bodyDiv w:val="1"/>
      <w:marLeft w:val="0"/>
      <w:marRight w:val="0"/>
      <w:marTop w:val="0"/>
      <w:marBottom w:val="0"/>
      <w:divBdr>
        <w:top w:val="none" w:sz="0" w:space="0" w:color="auto"/>
        <w:left w:val="none" w:sz="0" w:space="0" w:color="auto"/>
        <w:bottom w:val="none" w:sz="0" w:space="0" w:color="auto"/>
        <w:right w:val="none" w:sz="0" w:space="0" w:color="auto"/>
      </w:divBdr>
    </w:div>
    <w:div w:id="2110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13505-86CF-43D6-BD41-C9BD06C26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DF2D7-D94A-456F-807D-470452590D59}">
  <ds:schemaRefs>
    <ds:schemaRef ds:uri="http://schemas.microsoft.com/sharepoint/v3/contenttype/forms"/>
  </ds:schemaRefs>
</ds:datastoreItem>
</file>

<file path=customXml/itemProps3.xml><?xml version="1.0" encoding="utf-8"?>
<ds:datastoreItem xmlns:ds="http://schemas.openxmlformats.org/officeDocument/2006/customXml" ds:itemID="{ADCD02DF-6EFB-4E34-BDF8-10D7224BDFF4}">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A4F73434-33FF-49E0-A775-03676A29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3748</Words>
  <Characters>20619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CONSEJO DE ESTADO</vt:lpstr>
    </vt:vector>
  </TitlesOfParts>
  <Company>CSJ</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Carlos Mario Castrillón Endo</cp:lastModifiedBy>
  <cp:revision>2</cp:revision>
  <cp:lastPrinted>2019-02-04T22:49:00Z</cp:lastPrinted>
  <dcterms:created xsi:type="dcterms:W3CDTF">2020-07-02T20:47:00Z</dcterms:created>
  <dcterms:modified xsi:type="dcterms:W3CDTF">2020-07-02T20:47:00Z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