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2548D" w14:textId="7CE71FDD" w:rsidR="00334A36" w:rsidRDefault="00334A36" w:rsidP="00692B88">
      <w:pPr>
        <w:spacing w:after="0" w:line="240" w:lineRule="auto"/>
        <w:jc w:val="both"/>
        <w:rPr>
          <w:rFonts w:ascii="Arial" w:hAnsi="Arial" w:cs="Arial"/>
          <w:b/>
          <w:bCs/>
        </w:rPr>
      </w:pPr>
      <w:r w:rsidRPr="00692B88">
        <w:rPr>
          <w:rFonts w:ascii="Arial" w:hAnsi="Arial" w:cs="Arial"/>
          <w:b/>
        </w:rPr>
        <w:t xml:space="preserve">ACTOS ADMINISTRATIVOS </w:t>
      </w:r>
      <w:r w:rsidR="00DE019C" w:rsidRPr="00692B88">
        <w:rPr>
          <w:rFonts w:ascii="Arial" w:hAnsi="Arial" w:cs="Arial"/>
          <w:b/>
          <w:bCs/>
        </w:rPr>
        <w:t xml:space="preserve">- </w:t>
      </w:r>
      <w:r w:rsidR="00DE019C" w:rsidRPr="00692B88">
        <w:rPr>
          <w:rFonts w:ascii="Arial" w:hAnsi="Arial" w:cs="Arial"/>
          <w:b/>
        </w:rPr>
        <w:t>Falsa motivación -</w:t>
      </w:r>
      <w:r w:rsidR="00495483" w:rsidRPr="00692B88">
        <w:rPr>
          <w:rFonts w:ascii="Arial" w:hAnsi="Arial" w:cs="Arial"/>
          <w:b/>
          <w:bCs/>
        </w:rPr>
        <w:t xml:space="preserve"> Presupuest</w:t>
      </w:r>
      <w:r w:rsidR="00232530" w:rsidRPr="00692B88">
        <w:rPr>
          <w:rFonts w:ascii="Arial" w:hAnsi="Arial" w:cs="Arial"/>
          <w:b/>
          <w:bCs/>
        </w:rPr>
        <w:t>os</w:t>
      </w:r>
      <w:r w:rsidR="00495483" w:rsidRPr="00692B88">
        <w:rPr>
          <w:rFonts w:ascii="Arial" w:hAnsi="Arial" w:cs="Arial"/>
          <w:b/>
          <w:bCs/>
        </w:rPr>
        <w:t xml:space="preserve"> -</w:t>
      </w:r>
      <w:r w:rsidRPr="00692B88">
        <w:rPr>
          <w:rFonts w:ascii="Arial" w:hAnsi="Arial" w:cs="Arial"/>
          <w:b/>
          <w:bCs/>
        </w:rPr>
        <w:t xml:space="preserve"> Elemento causal  </w:t>
      </w:r>
    </w:p>
    <w:p w14:paraId="49BE6229" w14:textId="77777777" w:rsidR="00692B88" w:rsidRPr="00692B88" w:rsidRDefault="00692B88" w:rsidP="00692B88">
      <w:pPr>
        <w:spacing w:after="0" w:line="240" w:lineRule="auto"/>
        <w:jc w:val="both"/>
        <w:rPr>
          <w:rFonts w:ascii="Arial" w:hAnsi="Arial" w:cs="Arial"/>
          <w:b/>
          <w:bCs/>
        </w:rPr>
      </w:pPr>
    </w:p>
    <w:p w14:paraId="395272D9" w14:textId="43436BFD" w:rsidR="00334A36" w:rsidRDefault="00334A36" w:rsidP="00692B88">
      <w:pPr>
        <w:spacing w:after="0" w:line="240" w:lineRule="auto"/>
        <w:jc w:val="both"/>
        <w:rPr>
          <w:rFonts w:ascii="Arial" w:hAnsi="Arial" w:cs="Arial"/>
        </w:rPr>
      </w:pPr>
      <w:r w:rsidRPr="00692B88">
        <w:rPr>
          <w:rFonts w:ascii="Arial" w:hAnsi="Arial" w:cs="Arial"/>
        </w:rPr>
        <w:t xml:space="preserve">Respecto de la falsa motivación, esta Sección ha indicado que es un cargo que ataca el elemento causal del acto administrativo, por atribuir la Administración una calificación errada a los motivos de hecho o de derecho que dan lugar a su expedición. Al respecto, en Sentencia de 12 de febrero de </w:t>
      </w:r>
      <w:proofErr w:type="gramStart"/>
      <w:r w:rsidRPr="00692B88">
        <w:rPr>
          <w:rFonts w:ascii="Arial" w:hAnsi="Arial" w:cs="Arial"/>
        </w:rPr>
        <w:t>2014 ,</w:t>
      </w:r>
      <w:proofErr w:type="gramEnd"/>
      <w:r w:rsidRPr="00692B88">
        <w:rPr>
          <w:rFonts w:ascii="Arial" w:hAnsi="Arial" w:cs="Arial"/>
        </w:rPr>
        <w:t xml:space="preserve"> la Subsección A señaló (se trascribe): “La falsa motivación de un acto administrativo es el vicio que afecta el elemento causal del acto, referente a los antecedentes legales y de hecho previstos en el ordenamiento jurídico para provocarlo. Se genera cuando las razones expuestas por la Administración, para tomar la decisión, son contrarias a la realidad. Así, la jurisprudencia  ha sostenido que la falsa motivación del acto tiene ocurrencia cuando i) se presenta inexistencia de fundamentos de hecho o de derecho en la manifestación de voluntad de la Administración Pública, </w:t>
      </w:r>
      <w:proofErr w:type="spellStart"/>
      <w:r w:rsidRPr="00692B88">
        <w:rPr>
          <w:rFonts w:ascii="Arial" w:hAnsi="Arial" w:cs="Arial"/>
        </w:rPr>
        <w:t>ii</w:t>
      </w:r>
      <w:proofErr w:type="spellEnd"/>
      <w:r w:rsidRPr="00692B88">
        <w:rPr>
          <w:rFonts w:ascii="Arial" w:hAnsi="Arial" w:cs="Arial"/>
        </w:rPr>
        <w:t xml:space="preserve">) los supuestos de hecho esgrimidos en el acto son contrarios a la realidad, bien por error o por razones engañosas o simuladas, </w:t>
      </w:r>
      <w:proofErr w:type="spellStart"/>
      <w:r w:rsidRPr="00692B88">
        <w:rPr>
          <w:rFonts w:ascii="Arial" w:hAnsi="Arial" w:cs="Arial"/>
        </w:rPr>
        <w:t>iii</w:t>
      </w:r>
      <w:proofErr w:type="spellEnd"/>
      <w:r w:rsidRPr="00692B88">
        <w:rPr>
          <w:rFonts w:ascii="Arial" w:hAnsi="Arial" w:cs="Arial"/>
        </w:rPr>
        <w:t xml:space="preserve">) el autor del acto le ha dado a los motivos de hecho o de derecho un alcance que no tienen y </w:t>
      </w:r>
      <w:proofErr w:type="spellStart"/>
      <w:r w:rsidRPr="00692B88">
        <w:rPr>
          <w:rFonts w:ascii="Arial" w:hAnsi="Arial" w:cs="Arial"/>
        </w:rPr>
        <w:t>iv</w:t>
      </w:r>
      <w:proofErr w:type="spellEnd"/>
      <w:r w:rsidRPr="00692B88">
        <w:rPr>
          <w:rFonts w:ascii="Arial" w:hAnsi="Arial" w:cs="Arial"/>
        </w:rPr>
        <w:t xml:space="preserve">) los motivos que sirven de fundamento al acto no justifican la decisión” (subrayado fuera del original). Así, uno de los eventos en los que se configura la falsa motivación de un acto administrativo ocurre cuando la Administración </w:t>
      </w:r>
      <w:proofErr w:type="gramStart"/>
      <w:r w:rsidRPr="00692B88">
        <w:rPr>
          <w:rFonts w:ascii="Arial" w:hAnsi="Arial" w:cs="Arial"/>
        </w:rPr>
        <w:t>le</w:t>
      </w:r>
      <w:proofErr w:type="gramEnd"/>
      <w:r w:rsidRPr="00692B88">
        <w:rPr>
          <w:rFonts w:ascii="Arial" w:hAnsi="Arial" w:cs="Arial"/>
        </w:rPr>
        <w:t xml:space="preserve"> da a los motivos de hecho o de derecho un alcance que no tienen. Pues bien, en el caso concreto, el </w:t>
      </w:r>
      <w:proofErr w:type="spellStart"/>
      <w:r w:rsidRPr="00692B88">
        <w:rPr>
          <w:rFonts w:ascii="Arial" w:hAnsi="Arial" w:cs="Arial"/>
        </w:rPr>
        <w:t>Inurbe</w:t>
      </w:r>
      <w:proofErr w:type="spellEnd"/>
      <w:r w:rsidRPr="00692B88">
        <w:rPr>
          <w:rFonts w:ascii="Arial" w:hAnsi="Arial" w:cs="Arial"/>
        </w:rPr>
        <w:t xml:space="preserve"> desconoció las estipulaciones contractuales, las normas que regulan la fiducia pública, las reglas sobre obligaciones de inversión y la forma en que efectivamente fue ejecutado el contrato. (…) La Sala concluye que el acto de liquidación unilateral y el que lo confirma, adolecen del vicio de falsa motivación</w:t>
      </w:r>
    </w:p>
    <w:p w14:paraId="0C92AB5F" w14:textId="77777777" w:rsidR="00692B88" w:rsidRPr="00692B88" w:rsidRDefault="00692B88" w:rsidP="00692B88">
      <w:pPr>
        <w:spacing w:after="0" w:line="240" w:lineRule="auto"/>
        <w:jc w:val="both"/>
        <w:rPr>
          <w:rFonts w:ascii="Arial" w:hAnsi="Arial" w:cs="Arial"/>
        </w:rPr>
      </w:pPr>
    </w:p>
    <w:p w14:paraId="2B0CCF91" w14:textId="227D7D7A" w:rsidR="00334A36" w:rsidRDefault="00334A36" w:rsidP="00692B88">
      <w:pPr>
        <w:spacing w:after="0" w:line="240" w:lineRule="auto"/>
        <w:jc w:val="both"/>
        <w:rPr>
          <w:rFonts w:ascii="Arial" w:hAnsi="Arial" w:cs="Arial"/>
          <w:b/>
        </w:rPr>
      </w:pPr>
      <w:r w:rsidRPr="00692B88">
        <w:rPr>
          <w:rFonts w:ascii="Arial" w:hAnsi="Arial" w:cs="Arial"/>
          <w:b/>
        </w:rPr>
        <w:t xml:space="preserve">CONTRATO DE FIDUCIA PÚBLICA - </w:t>
      </w:r>
      <w:r w:rsidR="00DE019C" w:rsidRPr="00692B88">
        <w:rPr>
          <w:rFonts w:ascii="Arial" w:hAnsi="Arial" w:cs="Arial"/>
          <w:b/>
        </w:rPr>
        <w:t xml:space="preserve">Normas mercantiles - </w:t>
      </w:r>
      <w:r w:rsidR="00495483" w:rsidRPr="00692B88">
        <w:rPr>
          <w:rFonts w:ascii="Arial" w:hAnsi="Arial" w:cs="Arial"/>
          <w:b/>
        </w:rPr>
        <w:t>Aplicació</w:t>
      </w:r>
      <w:r w:rsidR="00DE019C" w:rsidRPr="00692B88">
        <w:rPr>
          <w:rFonts w:ascii="Arial" w:hAnsi="Arial" w:cs="Arial"/>
          <w:b/>
        </w:rPr>
        <w:t>n</w:t>
      </w:r>
      <w:r w:rsidR="00495483" w:rsidRPr="00692B88">
        <w:rPr>
          <w:rFonts w:ascii="Arial" w:hAnsi="Arial" w:cs="Arial"/>
          <w:b/>
        </w:rPr>
        <w:t xml:space="preserve"> </w:t>
      </w:r>
      <w:r w:rsidR="00692B88">
        <w:rPr>
          <w:rFonts w:ascii="Arial" w:hAnsi="Arial" w:cs="Arial"/>
          <w:b/>
        </w:rPr>
        <w:t>–</w:t>
      </w:r>
      <w:r w:rsidR="00495483" w:rsidRPr="00692B88">
        <w:rPr>
          <w:rFonts w:ascii="Arial" w:hAnsi="Arial" w:cs="Arial"/>
          <w:b/>
        </w:rPr>
        <w:t xml:space="preserve"> Salvedades</w:t>
      </w:r>
    </w:p>
    <w:p w14:paraId="0269D275" w14:textId="77777777" w:rsidR="00692B88" w:rsidRPr="00692B88" w:rsidRDefault="00692B88" w:rsidP="00692B88">
      <w:pPr>
        <w:spacing w:after="0" w:line="240" w:lineRule="auto"/>
        <w:jc w:val="both"/>
        <w:rPr>
          <w:rFonts w:ascii="Arial" w:hAnsi="Arial" w:cs="Arial"/>
          <w:b/>
        </w:rPr>
      </w:pPr>
    </w:p>
    <w:p w14:paraId="2583B443" w14:textId="63424250" w:rsidR="00334A36" w:rsidRDefault="00334A36" w:rsidP="00692B88">
      <w:pPr>
        <w:spacing w:after="0" w:line="240" w:lineRule="auto"/>
        <w:jc w:val="both"/>
        <w:rPr>
          <w:rFonts w:ascii="Arial" w:hAnsi="Arial" w:cs="Arial"/>
        </w:rPr>
      </w:pPr>
      <w:r w:rsidRPr="00692B88">
        <w:rPr>
          <w:rFonts w:ascii="Arial" w:hAnsi="Arial" w:cs="Arial"/>
        </w:rPr>
        <w:t xml:space="preserve">El numeral 5 del artículo 32 de la Ley 80 de 1993 previó la posibilidad de que las entidades celebren contratos que denominó como de fiducia pública, a los que les son aplicables las disposiciones previstas en el Código de Comercio sobre fiducia mercantil solo “en cuanto sean compatibles”. Respecto de lo anterior, la Sala de Consulta y Servicio Civil indicó que existen cuatro salvedades fundamentales a la aplicación de la norma mercantil (se trascribe): “1) La fiducia pública no implica transferencia de la propiedad de los bienes o recursos fideicomitidos. “2) Tampoco constituye un patrimonio autónomo afecto a la finalidad de la fiducia, en manos de la sociedad fiduciaria. “3) La adjudicación de los subcontratos debe ser realizada por la entidad estatal fideicomitente. “4) No se puede pactar que la comisión de la sociedad fiduciaria sea tomada de los rendimientos del fideicomiso, salvo que éstos se encuentren presupuestados” De las anteriores particularidades del contrato de fiducia pública se infiere que los bienes fideicomitidos nunca salieron del patrimonio de la entidad pública, así como tampoco le era dado a </w:t>
      </w:r>
      <w:proofErr w:type="spellStart"/>
      <w:r w:rsidRPr="00692B88">
        <w:rPr>
          <w:rFonts w:ascii="Arial" w:hAnsi="Arial" w:cs="Arial"/>
        </w:rPr>
        <w:t>Fidultra</w:t>
      </w:r>
      <w:proofErr w:type="spellEnd"/>
      <w:r w:rsidRPr="00692B88">
        <w:rPr>
          <w:rFonts w:ascii="Arial" w:hAnsi="Arial" w:cs="Arial"/>
        </w:rPr>
        <w:t xml:space="preserve"> escoger las entidades en las cuales se realizaban las inversiones temporales, so pena de contravenir la prohibición de adjudicación prevista en el numeral 5 de la Ley 80 de 1993.</w:t>
      </w:r>
    </w:p>
    <w:p w14:paraId="7FF6F28A" w14:textId="77777777" w:rsidR="00692B88" w:rsidRPr="00692B88" w:rsidRDefault="00692B88" w:rsidP="00692B88">
      <w:pPr>
        <w:spacing w:after="0" w:line="240" w:lineRule="auto"/>
        <w:jc w:val="both"/>
        <w:rPr>
          <w:rFonts w:ascii="Arial" w:hAnsi="Arial" w:cs="Arial"/>
        </w:rPr>
      </w:pPr>
    </w:p>
    <w:p w14:paraId="4F64599D" w14:textId="3FC3A586" w:rsidR="00334A36" w:rsidRDefault="00334A36" w:rsidP="00692B88">
      <w:pPr>
        <w:spacing w:after="0" w:line="240" w:lineRule="auto"/>
        <w:jc w:val="both"/>
        <w:rPr>
          <w:rFonts w:ascii="Arial" w:hAnsi="Arial" w:cs="Arial"/>
          <w:b/>
        </w:rPr>
      </w:pPr>
      <w:r w:rsidRPr="00692B88">
        <w:rPr>
          <w:rFonts w:ascii="Arial" w:hAnsi="Arial" w:cs="Arial"/>
          <w:b/>
        </w:rPr>
        <w:t>CONTRATO DE FIDUCIA PÚBLICA</w:t>
      </w:r>
      <w:r w:rsidR="00495483" w:rsidRPr="00692B88">
        <w:rPr>
          <w:rFonts w:ascii="Arial" w:hAnsi="Arial" w:cs="Arial"/>
          <w:b/>
        </w:rPr>
        <w:t xml:space="preserve"> </w:t>
      </w:r>
      <w:r w:rsidRPr="00692B88">
        <w:rPr>
          <w:rFonts w:ascii="Arial" w:hAnsi="Arial" w:cs="Arial"/>
          <w:b/>
        </w:rPr>
        <w:t xml:space="preserve">- Obligaciones </w:t>
      </w:r>
      <w:r w:rsidR="00DE019C" w:rsidRPr="00692B88">
        <w:rPr>
          <w:rFonts w:ascii="Arial" w:hAnsi="Arial" w:cs="Arial"/>
          <w:b/>
        </w:rPr>
        <w:t>- D</w:t>
      </w:r>
      <w:r w:rsidRPr="00692B88">
        <w:rPr>
          <w:rFonts w:ascii="Arial" w:hAnsi="Arial" w:cs="Arial"/>
          <w:b/>
        </w:rPr>
        <w:t xml:space="preserve">e medio </w:t>
      </w:r>
      <w:r w:rsidR="00DE019C" w:rsidRPr="00692B88">
        <w:rPr>
          <w:rFonts w:ascii="Arial" w:hAnsi="Arial" w:cs="Arial"/>
          <w:b/>
        </w:rPr>
        <w:t>- D</w:t>
      </w:r>
      <w:r w:rsidRPr="00692B88">
        <w:rPr>
          <w:rFonts w:ascii="Arial" w:hAnsi="Arial" w:cs="Arial"/>
          <w:b/>
        </w:rPr>
        <w:t>e resultado</w:t>
      </w:r>
    </w:p>
    <w:p w14:paraId="4FB1D63A" w14:textId="77777777" w:rsidR="00692B88" w:rsidRPr="00692B88" w:rsidRDefault="00692B88" w:rsidP="00692B88">
      <w:pPr>
        <w:spacing w:after="0" w:line="240" w:lineRule="auto"/>
        <w:jc w:val="both"/>
        <w:rPr>
          <w:rFonts w:ascii="Arial" w:hAnsi="Arial" w:cs="Arial"/>
          <w:bCs/>
        </w:rPr>
      </w:pPr>
    </w:p>
    <w:p w14:paraId="57CEBD11" w14:textId="77777777" w:rsidR="00334A36" w:rsidRPr="00692B88" w:rsidRDefault="00334A36" w:rsidP="00692B88">
      <w:pPr>
        <w:spacing w:after="0" w:line="240" w:lineRule="auto"/>
        <w:ind w:right="49"/>
        <w:jc w:val="both"/>
        <w:rPr>
          <w:rFonts w:ascii="Arial" w:hAnsi="Arial" w:cs="Arial"/>
        </w:rPr>
      </w:pPr>
      <w:r w:rsidRPr="00692B88">
        <w:rPr>
          <w:rFonts w:ascii="Arial" w:hAnsi="Arial" w:cs="Arial"/>
          <w:lang w:val="es-ES_tradnl"/>
        </w:rPr>
        <w:t>Las partes incluyeron en el contrato 103/95 obligaciones de inversión a las que, por ser compatibles con el contrato de fiducia pública, les resulta aplicable la disposición prevista en el artículo 151-3 y -5 del Estatuto Orgánico del Sistema Financiero —normas vigentes para la fecha de suscripción del contrato—, que dispone lo siguiente</w:t>
      </w:r>
      <w:proofErr w:type="gramStart"/>
      <w:r w:rsidRPr="00692B88">
        <w:rPr>
          <w:rFonts w:ascii="Arial" w:hAnsi="Arial" w:cs="Arial"/>
          <w:lang w:val="es-ES_tradnl"/>
        </w:rPr>
        <w:t>:  “</w:t>
      </w:r>
      <w:proofErr w:type="gramEnd"/>
      <w:r w:rsidRPr="00692B88">
        <w:rPr>
          <w:rFonts w:ascii="Arial" w:hAnsi="Arial" w:cs="Arial"/>
          <w:lang w:val="es-ES_tradnl"/>
        </w:rPr>
        <w:t>Artículo 151. NORMAS COMUNES A LOS FIDEICOMISOS DE INVERSIÓN. “(…) “</w:t>
      </w:r>
      <w:r w:rsidRPr="00692B88">
        <w:rPr>
          <w:rFonts w:ascii="Arial" w:hAnsi="Arial" w:cs="Arial"/>
        </w:rPr>
        <w:t xml:space="preserve">3. Estipulación de la destinación específica de los recursos entregados a título de fideicomiso de inversión. El constituyente o adherente deberá expresar en el contrato, de manera inequívoca, los bienes o actividades específicas en los cuales deben invertirse los recursos o la persona o personas a quienes deben entregarse en todo o en parte los dineros en desarrollo del negocio y el título y las condiciones en que tal entrega debe realizarse (…) “En ningún caso la destinación de los recursos podrá ser establecida por la entidad fiduciaria o encontrarse preimpresa en los modelos de contrato que se empleen para el efecto”.“(…) “5. Dentro de los contratos mediante los cuales se vincule a los constituyentes o adherentes con los fondos o proyectos específicos de inversión deberá destacarse la circunstancia de que las obligaciones que asume el fiduciario tienen el carácter de obligaciones de medio y no de resultado (…)”. De la norma trascrita se colige que el </w:t>
      </w:r>
      <w:proofErr w:type="spellStart"/>
      <w:r w:rsidRPr="00692B88">
        <w:rPr>
          <w:rFonts w:ascii="Arial" w:hAnsi="Arial" w:cs="Arial"/>
        </w:rPr>
        <w:t>Inurbe</w:t>
      </w:r>
      <w:proofErr w:type="spellEnd"/>
      <w:r w:rsidRPr="00692B88">
        <w:rPr>
          <w:rFonts w:ascii="Arial" w:hAnsi="Arial" w:cs="Arial"/>
        </w:rPr>
        <w:t xml:space="preserve">, como constituyente del fideicomiso de inversión, debía indicar de manera inequívoca a </w:t>
      </w:r>
      <w:proofErr w:type="spellStart"/>
      <w:r w:rsidRPr="00692B88">
        <w:rPr>
          <w:rFonts w:ascii="Arial" w:hAnsi="Arial" w:cs="Arial"/>
        </w:rPr>
        <w:t>Fidultra</w:t>
      </w:r>
      <w:proofErr w:type="spellEnd"/>
      <w:r w:rsidRPr="00692B88">
        <w:rPr>
          <w:rFonts w:ascii="Arial" w:hAnsi="Arial" w:cs="Arial"/>
        </w:rPr>
        <w:t xml:space="preserve"> la destinación de los recursos entregados, situación que, en el caso concreto se materializó a través de las reuniones periódicas de la Junta Administradora; además, que las obligaciones contraídas por </w:t>
      </w:r>
      <w:proofErr w:type="spellStart"/>
      <w:r w:rsidRPr="00692B88">
        <w:rPr>
          <w:rFonts w:ascii="Arial" w:hAnsi="Arial" w:cs="Arial"/>
        </w:rPr>
        <w:t>Fidultra</w:t>
      </w:r>
      <w:proofErr w:type="spellEnd"/>
      <w:r w:rsidRPr="00692B88">
        <w:rPr>
          <w:rFonts w:ascii="Arial" w:hAnsi="Arial" w:cs="Arial"/>
        </w:rPr>
        <w:t xml:space="preserve"> para </w:t>
      </w:r>
      <w:r w:rsidRPr="00692B88">
        <w:rPr>
          <w:rFonts w:ascii="Arial" w:hAnsi="Arial" w:cs="Arial"/>
        </w:rPr>
        <w:lastRenderedPageBreak/>
        <w:t>la inversión de los recursos eran de medio y no de resultado, por lo que al contratista en el caso concreto se le exigía un actuar diligente en relación con las instrucciones del fideicomitente.</w:t>
      </w:r>
    </w:p>
    <w:p w14:paraId="313817A2" w14:textId="77777777" w:rsidR="00334A36" w:rsidRPr="00692B88" w:rsidRDefault="00334A36" w:rsidP="00692B88">
      <w:pPr>
        <w:spacing w:after="0"/>
        <w:jc w:val="both"/>
        <w:rPr>
          <w:rFonts w:ascii="Arial" w:hAnsi="Arial" w:cs="Arial"/>
        </w:rPr>
      </w:pPr>
    </w:p>
    <w:p w14:paraId="4FEF6F40" w14:textId="74745306" w:rsidR="00334A36" w:rsidRDefault="00334A36" w:rsidP="00692B88">
      <w:pPr>
        <w:spacing w:after="0"/>
        <w:jc w:val="both"/>
        <w:rPr>
          <w:rFonts w:ascii="Arial" w:hAnsi="Arial" w:cs="Arial"/>
          <w:b/>
        </w:rPr>
      </w:pPr>
      <w:r w:rsidRPr="00692B88">
        <w:rPr>
          <w:rFonts w:ascii="Arial" w:hAnsi="Arial" w:cs="Arial"/>
          <w:b/>
        </w:rPr>
        <w:t xml:space="preserve">LIQUIDACIÓN DEL CONTRATO </w:t>
      </w:r>
      <w:r w:rsidR="00DE019C" w:rsidRPr="00692B88">
        <w:rPr>
          <w:rFonts w:ascii="Arial" w:hAnsi="Arial" w:cs="Arial"/>
          <w:b/>
        </w:rPr>
        <w:t>- Unilateral -</w:t>
      </w:r>
      <w:r w:rsidRPr="00692B88">
        <w:rPr>
          <w:rFonts w:ascii="Arial" w:hAnsi="Arial" w:cs="Arial"/>
          <w:b/>
        </w:rPr>
        <w:t xml:space="preserve"> </w:t>
      </w:r>
      <w:r w:rsidR="00495483" w:rsidRPr="00692B88">
        <w:rPr>
          <w:rFonts w:ascii="Arial" w:hAnsi="Arial" w:cs="Arial"/>
          <w:b/>
        </w:rPr>
        <w:t>Pretensión</w:t>
      </w:r>
      <w:r w:rsidR="00DE019C" w:rsidRPr="00692B88">
        <w:rPr>
          <w:rFonts w:ascii="Arial" w:hAnsi="Arial" w:cs="Arial"/>
          <w:b/>
        </w:rPr>
        <w:t xml:space="preserve"> - Declaratoria de incumplimiento</w:t>
      </w:r>
    </w:p>
    <w:p w14:paraId="2DA1F2DC" w14:textId="77777777" w:rsidR="00692B88" w:rsidRPr="00692B88" w:rsidRDefault="00692B88" w:rsidP="00692B88">
      <w:pPr>
        <w:spacing w:after="0"/>
        <w:jc w:val="both"/>
        <w:rPr>
          <w:rFonts w:ascii="Arial" w:hAnsi="Arial" w:cs="Arial"/>
          <w:b/>
        </w:rPr>
      </w:pPr>
    </w:p>
    <w:p w14:paraId="2F8BDC71" w14:textId="77777777" w:rsidR="00334A36" w:rsidRPr="00692B88" w:rsidRDefault="00334A36" w:rsidP="00692B88">
      <w:pPr>
        <w:spacing w:after="0"/>
        <w:jc w:val="both"/>
        <w:rPr>
          <w:rFonts w:ascii="Arial" w:hAnsi="Arial" w:cs="Arial"/>
        </w:rPr>
      </w:pPr>
      <w:r w:rsidRPr="00692B88">
        <w:rPr>
          <w:rFonts w:ascii="Arial" w:hAnsi="Arial" w:cs="Arial"/>
        </w:rPr>
        <w:t xml:space="preserve">Consta en el expediente la Resolución No. 718 de 23 de noviembre de 1999 mediante la cual el </w:t>
      </w:r>
      <w:proofErr w:type="spellStart"/>
      <w:r w:rsidRPr="00692B88">
        <w:rPr>
          <w:rFonts w:ascii="Arial" w:hAnsi="Arial" w:cs="Arial"/>
        </w:rPr>
        <w:t>Inurbe</w:t>
      </w:r>
      <w:proofErr w:type="spellEnd"/>
      <w:r w:rsidRPr="00692B88">
        <w:rPr>
          <w:rFonts w:ascii="Arial" w:hAnsi="Arial" w:cs="Arial"/>
        </w:rPr>
        <w:t xml:space="preserve"> liquidó unilateralmente el contrato de fiducia pública No. 103 de 1995. (…)  De la lectura de los hechos probados la Sala concluye que la ejecución del contrato, especialmente para el cumplimiento de las obligaciones de inversión, se hizo de acuerdo con las determinaciones de la entidad estatal. En este caso, la Sala se abstendrá de pronunciarse sobre el particular ya que la jurisprudencia de la Sección Tercera ha sostenido que, para que se pueda alegar el incumplimiento del contrato una vez este ha sido objeto de liquidación unilateral, debe demandarse la legalidad de dicho acto. Como en este caso la Administración formuló su pretensión de incumplimiento de manera autónoma, resulta improcedente el pronunciamiento sobre la misma.  En concordancia con lo anterior, se despachará desfavorablemente a los intereses del </w:t>
      </w:r>
      <w:proofErr w:type="spellStart"/>
      <w:r w:rsidRPr="00692B88">
        <w:rPr>
          <w:rFonts w:ascii="Arial" w:hAnsi="Arial" w:cs="Arial"/>
        </w:rPr>
        <w:t>Inurbe</w:t>
      </w:r>
      <w:proofErr w:type="spellEnd"/>
      <w:r w:rsidRPr="00692B88">
        <w:rPr>
          <w:rFonts w:ascii="Arial" w:hAnsi="Arial" w:cs="Arial"/>
        </w:rPr>
        <w:t xml:space="preserve"> la pretensión relativa al incumplimiento del contrato 103/95 imputado en su demanda y en su recurso de apelación a </w:t>
      </w:r>
      <w:proofErr w:type="spellStart"/>
      <w:r w:rsidRPr="00692B88">
        <w:rPr>
          <w:rFonts w:ascii="Arial" w:hAnsi="Arial" w:cs="Arial"/>
        </w:rPr>
        <w:t>Fidultra</w:t>
      </w:r>
      <w:proofErr w:type="spellEnd"/>
    </w:p>
    <w:p w14:paraId="2394AE00" w14:textId="77777777" w:rsidR="008F5426" w:rsidRDefault="008F5426" w:rsidP="008F5426">
      <w:pPr>
        <w:rPr>
          <w:lang w:val="es-ES_tradnl"/>
        </w:rPr>
      </w:pPr>
    </w:p>
    <w:p w14:paraId="19E3EC67" w14:textId="77777777" w:rsidR="00334A36" w:rsidRPr="00223587" w:rsidRDefault="00334A36" w:rsidP="008F5426">
      <w:pPr>
        <w:rPr>
          <w:lang w:val="es-ES_tradnl"/>
        </w:rPr>
      </w:pPr>
    </w:p>
    <w:p w14:paraId="57F0D9F3" w14:textId="77777777" w:rsidR="006C0464" w:rsidRDefault="006C0464" w:rsidP="0055591F">
      <w:pPr>
        <w:rPr>
          <w:rFonts w:ascii="Arial" w:hAnsi="Arial" w:cs="Arial"/>
          <w:sz w:val="24"/>
          <w:szCs w:val="24"/>
        </w:rPr>
      </w:pPr>
    </w:p>
    <w:p w14:paraId="4DE61166" w14:textId="77777777" w:rsidR="006C0464" w:rsidRDefault="006C0464" w:rsidP="0055591F">
      <w:pPr>
        <w:rPr>
          <w:rFonts w:ascii="Arial" w:hAnsi="Arial" w:cs="Arial"/>
          <w:sz w:val="24"/>
          <w:szCs w:val="24"/>
        </w:rPr>
      </w:pPr>
    </w:p>
    <w:p w14:paraId="0E3652E5" w14:textId="77777777" w:rsidR="00C32A38" w:rsidRPr="00C32A38" w:rsidRDefault="00C2174B" w:rsidP="00C32A38">
      <w:pPr>
        <w:tabs>
          <w:tab w:val="left" w:pos="495"/>
          <w:tab w:val="left" w:pos="810"/>
          <w:tab w:val="left" w:pos="930"/>
          <w:tab w:val="left" w:pos="2085"/>
        </w:tabs>
        <w:spacing w:after="0" w:line="360" w:lineRule="auto"/>
        <w:rPr>
          <w:rFonts w:ascii="Century Gothic" w:hAnsi="Century Gothic" w:cs="Arial"/>
          <w:b/>
          <w:sz w:val="24"/>
          <w:szCs w:val="24"/>
          <w:lang w:val="es-ES"/>
        </w:rPr>
      </w:pPr>
      <w:r w:rsidRPr="00C32A38">
        <w:rPr>
          <w:rFonts w:ascii="Century Gothic" w:hAnsi="Century Gothic" w:cs="Arial"/>
          <w:b/>
          <w:noProof/>
          <w:sz w:val="24"/>
          <w:szCs w:val="24"/>
          <w:lang w:val="en-US"/>
        </w:rPr>
        <w:drawing>
          <wp:anchor distT="0" distB="0" distL="114300" distR="114300" simplePos="0" relativeHeight="251657728" behindDoc="0" locked="0" layoutInCell="1" allowOverlap="1" wp14:anchorId="65D54F87" wp14:editId="4358E567">
            <wp:simplePos x="0" y="0"/>
            <wp:positionH relativeFrom="column">
              <wp:posOffset>-384810</wp:posOffset>
            </wp:positionH>
            <wp:positionV relativeFrom="paragraph">
              <wp:posOffset>-689610</wp:posOffset>
            </wp:positionV>
            <wp:extent cx="1115695" cy="1038860"/>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5695"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6D0B0" w14:textId="77777777" w:rsidR="00C32A38" w:rsidRPr="00C32A38" w:rsidRDefault="00C32A38" w:rsidP="00C32A38">
      <w:pPr>
        <w:tabs>
          <w:tab w:val="left" w:pos="495"/>
          <w:tab w:val="left" w:pos="810"/>
          <w:tab w:val="left" w:pos="930"/>
          <w:tab w:val="left" w:pos="2085"/>
        </w:tabs>
        <w:spacing w:after="0" w:line="360" w:lineRule="auto"/>
        <w:rPr>
          <w:rFonts w:ascii="Century Gothic" w:hAnsi="Century Gothic" w:cs="Arial"/>
          <w:b/>
          <w:sz w:val="24"/>
          <w:szCs w:val="24"/>
          <w:lang w:val="es-ES"/>
        </w:rPr>
      </w:pPr>
    </w:p>
    <w:p w14:paraId="6750E44D" w14:textId="77777777" w:rsidR="00C32A38" w:rsidRPr="00C32A38" w:rsidRDefault="00C32A38" w:rsidP="00C32A38">
      <w:pPr>
        <w:tabs>
          <w:tab w:val="left" w:pos="368"/>
          <w:tab w:val="left" w:pos="810"/>
          <w:tab w:val="left" w:pos="2085"/>
          <w:tab w:val="center" w:pos="4136"/>
          <w:tab w:val="center" w:pos="4420"/>
          <w:tab w:val="left" w:pos="6570"/>
        </w:tabs>
        <w:spacing w:after="0" w:line="360" w:lineRule="auto"/>
        <w:jc w:val="center"/>
        <w:rPr>
          <w:rFonts w:ascii="Century Gothic" w:hAnsi="Century Gothic"/>
          <w:b/>
          <w:lang w:val="es-ES" w:eastAsia="es-CO"/>
        </w:rPr>
      </w:pPr>
      <w:r w:rsidRPr="00C32A38">
        <w:rPr>
          <w:rFonts w:ascii="Century Gothic" w:hAnsi="Century Gothic"/>
          <w:b/>
          <w:lang w:val="es-ES" w:eastAsia="es-CO"/>
        </w:rPr>
        <w:t>CONSEJO DE ESTADO</w:t>
      </w:r>
    </w:p>
    <w:p w14:paraId="25533B2F" w14:textId="77777777" w:rsidR="00C32A38" w:rsidRPr="00C32A38" w:rsidRDefault="00C32A38" w:rsidP="00C32A38">
      <w:pPr>
        <w:tabs>
          <w:tab w:val="left" w:pos="352"/>
          <w:tab w:val="center" w:pos="4136"/>
        </w:tabs>
        <w:spacing w:after="0" w:line="360" w:lineRule="auto"/>
        <w:rPr>
          <w:rFonts w:ascii="Century Gothic" w:hAnsi="Century Gothic"/>
          <w:b/>
          <w:lang w:val="es-ES" w:eastAsia="es-CO"/>
        </w:rPr>
      </w:pPr>
      <w:r w:rsidRPr="00C32A38">
        <w:rPr>
          <w:rFonts w:ascii="Century Gothic" w:hAnsi="Century Gothic"/>
          <w:b/>
          <w:lang w:val="es-ES" w:eastAsia="es-CO"/>
        </w:rPr>
        <w:tab/>
      </w:r>
      <w:r w:rsidRPr="00C32A38">
        <w:rPr>
          <w:rFonts w:ascii="Century Gothic" w:hAnsi="Century Gothic"/>
          <w:b/>
          <w:lang w:val="es-ES" w:eastAsia="es-CO"/>
        </w:rPr>
        <w:tab/>
        <w:t>SALA DE LO CONTENCIOSO ADMINISTRATIVO</w:t>
      </w:r>
    </w:p>
    <w:p w14:paraId="0512526B" w14:textId="77777777" w:rsidR="00C32A38" w:rsidRPr="00C32A38" w:rsidRDefault="00C32A38" w:rsidP="00C32A38">
      <w:pPr>
        <w:spacing w:after="0" w:line="360" w:lineRule="auto"/>
        <w:jc w:val="center"/>
        <w:rPr>
          <w:rFonts w:ascii="Century Gothic" w:hAnsi="Century Gothic"/>
          <w:b/>
          <w:lang w:val="es-ES" w:eastAsia="es-CO"/>
        </w:rPr>
      </w:pPr>
      <w:r w:rsidRPr="00C32A38">
        <w:rPr>
          <w:rFonts w:ascii="Century Gothic" w:hAnsi="Century Gothic"/>
          <w:b/>
          <w:lang w:val="es-ES" w:eastAsia="es-CO"/>
        </w:rPr>
        <w:t>SECCIÓN TERCERA</w:t>
      </w:r>
    </w:p>
    <w:p w14:paraId="2AF08C45" w14:textId="77777777" w:rsidR="00C32A38" w:rsidRPr="00C32A38" w:rsidRDefault="00C32A38" w:rsidP="00C32A38">
      <w:pPr>
        <w:tabs>
          <w:tab w:val="center" w:pos="4420"/>
          <w:tab w:val="left" w:pos="6060"/>
        </w:tabs>
        <w:spacing w:after="0" w:line="360" w:lineRule="auto"/>
        <w:jc w:val="center"/>
        <w:rPr>
          <w:rFonts w:ascii="Century Gothic" w:hAnsi="Century Gothic"/>
          <w:b/>
          <w:lang w:val="es-ES" w:eastAsia="es-CO"/>
        </w:rPr>
      </w:pPr>
      <w:r w:rsidRPr="00C32A38">
        <w:rPr>
          <w:rFonts w:ascii="Century Gothic" w:hAnsi="Century Gothic"/>
          <w:b/>
          <w:lang w:val="es-ES" w:eastAsia="es-CO"/>
        </w:rPr>
        <w:t>SUBSECCIÓN B</w:t>
      </w:r>
    </w:p>
    <w:p w14:paraId="6941EBC9" w14:textId="77777777" w:rsidR="00C32A38" w:rsidRPr="00C32A38" w:rsidRDefault="00C32A38" w:rsidP="00C32A38">
      <w:pPr>
        <w:spacing w:after="0" w:line="240" w:lineRule="auto"/>
        <w:jc w:val="center"/>
        <w:rPr>
          <w:rFonts w:ascii="Century Gothic" w:hAnsi="Century Gothic"/>
          <w:b/>
          <w:lang w:val="es-ES" w:eastAsia="es-CO"/>
        </w:rPr>
      </w:pPr>
    </w:p>
    <w:p w14:paraId="20FF6B1E" w14:textId="77777777" w:rsidR="00C32A38" w:rsidRPr="00C32A38" w:rsidRDefault="00C32A38" w:rsidP="00C32A38">
      <w:pPr>
        <w:spacing w:after="0" w:line="240" w:lineRule="auto"/>
        <w:ind w:right="51"/>
        <w:jc w:val="center"/>
        <w:rPr>
          <w:rFonts w:ascii="Century Gothic" w:hAnsi="Century Gothic"/>
          <w:b/>
          <w:lang w:val="es-ES" w:eastAsia="es-CO"/>
        </w:rPr>
      </w:pPr>
      <w:r w:rsidRPr="00C32A38">
        <w:rPr>
          <w:rFonts w:ascii="Century Gothic" w:hAnsi="Century Gothic"/>
          <w:lang w:val="es-ES" w:eastAsia="es-CO"/>
        </w:rPr>
        <w:t>Consejero Ponente:</w:t>
      </w:r>
      <w:r w:rsidRPr="00C32A38">
        <w:rPr>
          <w:rFonts w:ascii="Century Gothic" w:hAnsi="Century Gothic"/>
          <w:b/>
          <w:lang w:val="es-ES" w:eastAsia="es-CO"/>
        </w:rPr>
        <w:t xml:space="preserve"> </w:t>
      </w:r>
      <w:r w:rsidRPr="00C32A38">
        <w:rPr>
          <w:rFonts w:ascii="Century Gothic" w:hAnsi="Century Gothic"/>
          <w:lang w:val="es-ES_tradnl"/>
        </w:rPr>
        <w:t>Alberto Montaña Plata</w:t>
      </w:r>
    </w:p>
    <w:p w14:paraId="01BD235C" w14:textId="77777777" w:rsidR="00C32A38" w:rsidRPr="00C32A38" w:rsidRDefault="00C32A38" w:rsidP="00C32A38">
      <w:pPr>
        <w:spacing w:after="0" w:line="240" w:lineRule="auto"/>
        <w:ind w:right="51"/>
        <w:rPr>
          <w:rFonts w:ascii="Century Gothic" w:hAnsi="Century Gothic"/>
          <w:b/>
          <w:lang w:val="es-ES" w:eastAsia="es-CO"/>
        </w:rPr>
      </w:pPr>
    </w:p>
    <w:p w14:paraId="50024282" w14:textId="77777777" w:rsidR="00C32A38" w:rsidRPr="00C32A38" w:rsidRDefault="00C32A38" w:rsidP="00C32A38">
      <w:pPr>
        <w:spacing w:after="0" w:line="240" w:lineRule="auto"/>
        <w:rPr>
          <w:rFonts w:ascii="Century Gothic" w:hAnsi="Century Gothic"/>
          <w:sz w:val="16"/>
          <w:szCs w:val="16"/>
          <w:lang w:val="es-ES" w:eastAsia="es-CO"/>
        </w:rPr>
      </w:pPr>
    </w:p>
    <w:p w14:paraId="01BE5704" w14:textId="77777777" w:rsidR="00C32A38" w:rsidRPr="00C32A38" w:rsidRDefault="00C32A38" w:rsidP="00C32A38">
      <w:pPr>
        <w:spacing w:after="0" w:line="240" w:lineRule="auto"/>
        <w:rPr>
          <w:rFonts w:ascii="Century Gothic" w:eastAsia="Times New Roman" w:hAnsi="Century Gothic"/>
          <w:lang w:eastAsia="es-ES"/>
        </w:rPr>
      </w:pPr>
      <w:r w:rsidRPr="00C32A38">
        <w:rPr>
          <w:rFonts w:ascii="Century Gothic" w:eastAsia="Times New Roman" w:hAnsi="Century Gothic"/>
          <w:lang w:eastAsia="es-ES"/>
        </w:rPr>
        <w:t>Bogotá D.C., 5 de junio de 2019</w:t>
      </w:r>
    </w:p>
    <w:p w14:paraId="7E1CDA23" w14:textId="77777777" w:rsidR="00C32A38" w:rsidRPr="00C32A38" w:rsidRDefault="00C32A38" w:rsidP="00C32A38">
      <w:pPr>
        <w:spacing w:after="0" w:line="240" w:lineRule="auto"/>
        <w:rPr>
          <w:rFonts w:ascii="Century Gothic" w:eastAsia="Times New Roman" w:hAnsi="Century Gothic"/>
          <w:lang w:eastAsia="es-ES"/>
        </w:rPr>
      </w:pPr>
    </w:p>
    <w:p w14:paraId="33E97EEF" w14:textId="77777777" w:rsidR="00C32A38" w:rsidRPr="00C32A38" w:rsidRDefault="00C32A38" w:rsidP="00C32A38">
      <w:pPr>
        <w:spacing w:after="0" w:line="240" w:lineRule="auto"/>
        <w:ind w:left="2410" w:hanging="2410"/>
        <w:rPr>
          <w:rFonts w:ascii="Century Gothic" w:eastAsia="Times New Roman" w:hAnsi="Century Gothic"/>
          <w:lang w:val="es-ES" w:eastAsia="es-ES"/>
        </w:rPr>
      </w:pPr>
      <w:r w:rsidRPr="00C32A38">
        <w:rPr>
          <w:rFonts w:ascii="Century Gothic" w:eastAsia="Times New Roman" w:hAnsi="Century Gothic"/>
          <w:b/>
          <w:lang w:val="es-ES" w:eastAsia="es-ES"/>
        </w:rPr>
        <w:t>Radicación:</w:t>
      </w:r>
      <w:r w:rsidRPr="00C32A38">
        <w:rPr>
          <w:rFonts w:ascii="Century Gothic" w:eastAsia="Times New Roman" w:hAnsi="Century Gothic"/>
          <w:b/>
          <w:lang w:val="es-ES" w:eastAsia="es-ES"/>
        </w:rPr>
        <w:tab/>
        <w:t xml:space="preserve">  </w:t>
      </w:r>
      <w:r w:rsidRPr="00C32A38">
        <w:rPr>
          <w:rFonts w:ascii="Century Gothic" w:eastAsia="Times New Roman" w:hAnsi="Century Gothic"/>
          <w:lang w:val="es-ES" w:eastAsia="es-ES"/>
        </w:rPr>
        <w:t>25000-23-26-000-2000-00108-02 (30634) acumulado,</w:t>
      </w:r>
    </w:p>
    <w:p w14:paraId="1FB757F0" w14:textId="77777777" w:rsidR="00C32A38" w:rsidRPr="00C32A38" w:rsidRDefault="00C32A38" w:rsidP="00C32A38">
      <w:pPr>
        <w:spacing w:after="0" w:line="240" w:lineRule="auto"/>
        <w:ind w:left="2410" w:hanging="2410"/>
        <w:rPr>
          <w:rFonts w:ascii="Century Gothic" w:eastAsia="Times New Roman" w:hAnsi="Century Gothic"/>
          <w:lang w:val="es-ES" w:eastAsia="es-ES"/>
        </w:rPr>
      </w:pPr>
      <w:r w:rsidRPr="00C32A38">
        <w:rPr>
          <w:rFonts w:ascii="Century Gothic" w:eastAsia="Times New Roman" w:hAnsi="Century Gothic"/>
          <w:b/>
          <w:lang w:val="es-ES" w:eastAsia="es-ES"/>
        </w:rPr>
        <w:t xml:space="preserve">                                         </w:t>
      </w:r>
      <w:r w:rsidRPr="00C32A38">
        <w:rPr>
          <w:rFonts w:ascii="Century Gothic" w:eastAsia="Times New Roman" w:hAnsi="Century Gothic"/>
          <w:lang w:val="es-ES" w:eastAsia="es-ES"/>
        </w:rPr>
        <w:t>25000-23-26-000-2000-00111-01 (34230)</w:t>
      </w:r>
    </w:p>
    <w:p w14:paraId="57B5661B" w14:textId="77777777" w:rsidR="00C32A38" w:rsidRPr="00C32A38" w:rsidRDefault="00C32A38" w:rsidP="00C32A38">
      <w:pPr>
        <w:spacing w:after="0" w:line="240" w:lineRule="auto"/>
        <w:ind w:left="2552" w:hanging="2552"/>
        <w:rPr>
          <w:rFonts w:ascii="Century Gothic" w:eastAsia="Times New Roman" w:hAnsi="Century Gothic"/>
          <w:b/>
          <w:lang w:val="es-ES" w:eastAsia="es-ES"/>
        </w:rPr>
      </w:pPr>
      <w:r w:rsidRPr="00C32A38">
        <w:rPr>
          <w:rFonts w:ascii="Century Gothic" w:eastAsia="Times New Roman" w:hAnsi="Century Gothic"/>
          <w:b/>
          <w:lang w:val="es-ES" w:eastAsia="es-ES"/>
        </w:rPr>
        <w:t xml:space="preserve">Actor: </w:t>
      </w:r>
      <w:r w:rsidRPr="00C32A38">
        <w:rPr>
          <w:rFonts w:ascii="Century Gothic" w:eastAsia="Times New Roman" w:hAnsi="Century Gothic"/>
          <w:b/>
          <w:lang w:val="es-ES" w:eastAsia="es-ES"/>
        </w:rPr>
        <w:tab/>
      </w:r>
      <w:proofErr w:type="spellStart"/>
      <w:r w:rsidRPr="00C32A38">
        <w:rPr>
          <w:rFonts w:ascii="Century Gothic" w:eastAsia="Times New Roman" w:hAnsi="Century Gothic"/>
          <w:lang w:val="es-ES" w:eastAsia="es-ES"/>
        </w:rPr>
        <w:t>Ultraservicios</w:t>
      </w:r>
      <w:proofErr w:type="spellEnd"/>
      <w:r w:rsidRPr="00C32A38">
        <w:rPr>
          <w:rFonts w:ascii="Century Gothic" w:eastAsia="Times New Roman" w:hAnsi="Century Gothic"/>
          <w:lang w:val="es-ES" w:eastAsia="es-ES"/>
        </w:rPr>
        <w:t xml:space="preserve"> fiduciarios FIDULTRA S.A. y otro</w:t>
      </w:r>
    </w:p>
    <w:p w14:paraId="651B046E" w14:textId="77777777" w:rsidR="00C32A38" w:rsidRPr="00C32A38" w:rsidRDefault="00C32A38" w:rsidP="00C32A38">
      <w:pPr>
        <w:spacing w:after="0" w:line="240" w:lineRule="auto"/>
        <w:ind w:left="2552" w:hanging="2550"/>
        <w:rPr>
          <w:rFonts w:ascii="Century Gothic" w:eastAsia="Times New Roman" w:hAnsi="Century Gothic"/>
          <w:b/>
          <w:lang w:val="es-ES" w:eastAsia="es-ES"/>
        </w:rPr>
      </w:pPr>
      <w:r w:rsidRPr="00C32A38">
        <w:rPr>
          <w:rFonts w:ascii="Century Gothic" w:eastAsia="Times New Roman" w:hAnsi="Century Gothic"/>
          <w:b/>
          <w:lang w:val="es-ES" w:eastAsia="es-ES"/>
        </w:rPr>
        <w:t xml:space="preserve">Demandado: </w:t>
      </w:r>
      <w:r w:rsidRPr="00C32A38">
        <w:rPr>
          <w:rFonts w:ascii="Century Gothic" w:eastAsia="Times New Roman" w:hAnsi="Century Gothic"/>
          <w:b/>
          <w:lang w:val="es-ES" w:eastAsia="es-ES"/>
        </w:rPr>
        <w:tab/>
      </w:r>
      <w:r w:rsidRPr="00C32A38">
        <w:rPr>
          <w:rFonts w:ascii="Century Gothic" w:eastAsia="Times New Roman" w:hAnsi="Century Gothic"/>
          <w:lang w:val="es-ES" w:eastAsia="es-ES"/>
        </w:rPr>
        <w:t>Instituto Nacional de Vivienda Urbana y otro</w:t>
      </w:r>
    </w:p>
    <w:p w14:paraId="5885DC02" w14:textId="77777777" w:rsidR="00C32A38" w:rsidRPr="00C32A38" w:rsidRDefault="00C32A38" w:rsidP="00C32A38">
      <w:pPr>
        <w:spacing w:after="0" w:line="240" w:lineRule="auto"/>
        <w:ind w:left="2552" w:hanging="2552"/>
        <w:rPr>
          <w:rFonts w:ascii="Century Gothic" w:eastAsia="Times New Roman" w:hAnsi="Century Gothic"/>
          <w:bCs/>
          <w:lang w:val="es-ES" w:eastAsia="es-ES"/>
        </w:rPr>
      </w:pPr>
      <w:r w:rsidRPr="00C32A38">
        <w:rPr>
          <w:rFonts w:ascii="Century Gothic" w:eastAsia="Times New Roman" w:hAnsi="Century Gothic"/>
          <w:b/>
          <w:lang w:val="es-ES" w:eastAsia="es-ES"/>
        </w:rPr>
        <w:t xml:space="preserve">Referencia: </w:t>
      </w:r>
      <w:r w:rsidRPr="00C32A38">
        <w:rPr>
          <w:rFonts w:ascii="Century Gothic" w:eastAsia="Times New Roman" w:hAnsi="Century Gothic"/>
          <w:b/>
          <w:lang w:val="es-ES" w:eastAsia="es-ES"/>
        </w:rPr>
        <w:tab/>
      </w:r>
      <w:r w:rsidRPr="00C32A38">
        <w:rPr>
          <w:rFonts w:ascii="Century Gothic" w:eastAsia="Times New Roman" w:hAnsi="Century Gothic"/>
          <w:lang w:val="es-ES" w:eastAsia="es-ES"/>
        </w:rPr>
        <w:t>Acción de controversias contractuales</w:t>
      </w:r>
    </w:p>
    <w:p w14:paraId="22560FB8" w14:textId="77777777" w:rsidR="00C32A38" w:rsidRPr="00C32A38" w:rsidRDefault="00C32A38" w:rsidP="00C32A38">
      <w:pPr>
        <w:spacing w:after="0" w:line="360" w:lineRule="auto"/>
        <w:jc w:val="both"/>
        <w:rPr>
          <w:rFonts w:ascii="Century Gothic" w:hAnsi="Century Gothic" w:cs="Arial"/>
        </w:rPr>
      </w:pPr>
    </w:p>
    <w:p w14:paraId="5AA5DB43" w14:textId="77777777" w:rsidR="00C32A38" w:rsidRPr="00C32A38" w:rsidRDefault="00C32A38" w:rsidP="00C32A38">
      <w:pPr>
        <w:spacing w:after="0" w:line="240" w:lineRule="auto"/>
        <w:jc w:val="both"/>
        <w:rPr>
          <w:rFonts w:ascii="Century Gothic" w:hAnsi="Century Gothic" w:cs="Arial"/>
          <w:sz w:val="20"/>
          <w:szCs w:val="20"/>
        </w:rPr>
      </w:pPr>
      <w:r w:rsidRPr="00C32A38">
        <w:rPr>
          <w:rFonts w:ascii="Century Gothic" w:hAnsi="Century Gothic" w:cs="Arial"/>
          <w:b/>
          <w:sz w:val="20"/>
          <w:szCs w:val="20"/>
        </w:rPr>
        <w:t>Temas:</w:t>
      </w:r>
      <w:r w:rsidRPr="00C32A38">
        <w:rPr>
          <w:rFonts w:ascii="Century Gothic" w:hAnsi="Century Gothic" w:cs="Arial"/>
          <w:sz w:val="20"/>
          <w:szCs w:val="20"/>
        </w:rPr>
        <w:t xml:space="preserve"> CONTROVERSIAS CONTRACTUALES – Liquidación del contrato – Liquidación unilateral del contrato / Incumplimiento del contrato / Contrato de fiducia pública. </w:t>
      </w:r>
    </w:p>
    <w:p w14:paraId="27D975E1" w14:textId="77777777" w:rsidR="00C32A38" w:rsidRPr="00C32A38" w:rsidRDefault="00C32A38" w:rsidP="00C32A38">
      <w:pPr>
        <w:spacing w:after="0" w:line="240" w:lineRule="auto"/>
        <w:jc w:val="both"/>
        <w:rPr>
          <w:rFonts w:ascii="Century Gothic" w:hAnsi="Century Gothic" w:cs="Arial"/>
          <w:sz w:val="20"/>
          <w:szCs w:val="20"/>
        </w:rPr>
      </w:pPr>
    </w:p>
    <w:p w14:paraId="5C8BF8BA" w14:textId="77777777" w:rsidR="00C32A38" w:rsidRPr="00C32A38" w:rsidRDefault="00C32A38" w:rsidP="00C32A38">
      <w:pPr>
        <w:spacing w:after="0" w:line="240" w:lineRule="auto"/>
        <w:jc w:val="both"/>
        <w:rPr>
          <w:rFonts w:ascii="Century Gothic" w:hAnsi="Century Gothic" w:cs="Arial"/>
          <w:sz w:val="20"/>
          <w:szCs w:val="20"/>
        </w:rPr>
      </w:pPr>
      <w:r w:rsidRPr="00C32A38">
        <w:rPr>
          <w:rFonts w:ascii="Century Gothic" w:hAnsi="Century Gothic" w:cs="Arial"/>
          <w:b/>
          <w:sz w:val="20"/>
          <w:szCs w:val="20"/>
        </w:rPr>
        <w:t>Síntesis del caso</w:t>
      </w:r>
      <w:r w:rsidRPr="00C32A38">
        <w:rPr>
          <w:rFonts w:ascii="Century Gothic" w:hAnsi="Century Gothic" w:cs="Arial"/>
          <w:sz w:val="20"/>
          <w:szCs w:val="20"/>
        </w:rPr>
        <w:t xml:space="preserve">: en el proceso acumulado se debate la legalidad del acto de liquidación unilateral proferido por el </w:t>
      </w:r>
      <w:proofErr w:type="spellStart"/>
      <w:r w:rsidRPr="00C32A38">
        <w:rPr>
          <w:rFonts w:ascii="Century Gothic" w:hAnsi="Century Gothic" w:cs="Arial"/>
          <w:sz w:val="20"/>
          <w:szCs w:val="20"/>
        </w:rPr>
        <w:t>Inurbe</w:t>
      </w:r>
      <w:proofErr w:type="spellEnd"/>
      <w:r w:rsidRPr="00C32A38">
        <w:rPr>
          <w:rFonts w:ascii="Century Gothic" w:hAnsi="Century Gothic" w:cs="Arial"/>
          <w:sz w:val="20"/>
          <w:szCs w:val="20"/>
        </w:rPr>
        <w:t xml:space="preserve"> y el cumplimiento de las obligaciones de las partes en la ejecución del contrato de fiducia pública.</w:t>
      </w:r>
    </w:p>
    <w:p w14:paraId="00D1D60F" w14:textId="77777777" w:rsidR="00C32A38" w:rsidRPr="00C32A38" w:rsidRDefault="00C32A38" w:rsidP="00C32A38">
      <w:pPr>
        <w:spacing w:after="0" w:line="360" w:lineRule="auto"/>
        <w:jc w:val="both"/>
        <w:rPr>
          <w:rFonts w:ascii="Century Gothic" w:hAnsi="Century Gothic" w:cs="Arial"/>
          <w:sz w:val="24"/>
          <w:szCs w:val="24"/>
        </w:rPr>
      </w:pPr>
    </w:p>
    <w:p w14:paraId="0D0DB2CD" w14:textId="77777777" w:rsidR="00C32A38" w:rsidRPr="00C32A38" w:rsidRDefault="00C32A38" w:rsidP="00C32A38">
      <w:p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Decide la Sala los recursos de apelación interpuestos por las partes demandantes contra la </w:t>
      </w:r>
      <w:r w:rsidRPr="00380E21">
        <w:rPr>
          <w:rFonts w:ascii="Century Gothic" w:hAnsi="Century Gothic" w:cs="Arial"/>
          <w:sz w:val="24"/>
          <w:szCs w:val="24"/>
        </w:rPr>
        <w:t>Sentencia de 5 de enero de 2005 del Tribunal Administrativo de Cundinamarca que negó las pretensiones de la demanda (</w:t>
      </w:r>
      <w:proofErr w:type="spellStart"/>
      <w:r w:rsidRPr="00380E21">
        <w:rPr>
          <w:rFonts w:ascii="Century Gothic" w:hAnsi="Century Gothic" w:cs="Arial"/>
          <w:sz w:val="24"/>
          <w:szCs w:val="24"/>
        </w:rPr>
        <w:t>Exp</w:t>
      </w:r>
      <w:proofErr w:type="spellEnd"/>
      <w:r w:rsidRPr="00380E21">
        <w:rPr>
          <w:rFonts w:ascii="Century Gothic" w:hAnsi="Century Gothic" w:cs="Arial"/>
          <w:sz w:val="24"/>
          <w:szCs w:val="24"/>
        </w:rPr>
        <w:t xml:space="preserve">. 30634); y la </w:t>
      </w:r>
      <w:r w:rsidRPr="00380E21">
        <w:rPr>
          <w:rFonts w:ascii="Century Gothic" w:hAnsi="Century Gothic" w:cs="Arial"/>
          <w:sz w:val="24"/>
          <w:szCs w:val="24"/>
        </w:rPr>
        <w:lastRenderedPageBreak/>
        <w:t>Sentencia de 2 de mayo de 2007 del Tribunal Administrativo de Cundinamarca que declaró probada la excepción “</w:t>
      </w:r>
      <w:r w:rsidRPr="00380E21">
        <w:rPr>
          <w:rFonts w:ascii="Century Gothic" w:hAnsi="Century Gothic" w:cs="Arial"/>
          <w:i/>
          <w:sz w:val="24"/>
          <w:szCs w:val="24"/>
        </w:rPr>
        <w:t xml:space="preserve">falta de interés para demandar” </w:t>
      </w:r>
      <w:r w:rsidRPr="00380E21">
        <w:rPr>
          <w:rFonts w:ascii="Century Gothic" w:hAnsi="Century Gothic" w:cs="Arial"/>
          <w:sz w:val="24"/>
          <w:szCs w:val="24"/>
        </w:rPr>
        <w:t>y negó las pretensiones de la demanda (</w:t>
      </w:r>
      <w:proofErr w:type="spellStart"/>
      <w:r w:rsidRPr="00380E21">
        <w:rPr>
          <w:rFonts w:ascii="Century Gothic" w:hAnsi="Century Gothic" w:cs="Arial"/>
          <w:sz w:val="24"/>
          <w:szCs w:val="24"/>
        </w:rPr>
        <w:t>Exp</w:t>
      </w:r>
      <w:proofErr w:type="spellEnd"/>
      <w:r w:rsidRPr="00380E21">
        <w:rPr>
          <w:rFonts w:ascii="Century Gothic" w:hAnsi="Century Gothic" w:cs="Arial"/>
          <w:sz w:val="24"/>
          <w:szCs w:val="24"/>
        </w:rPr>
        <w:t>. 34230).</w:t>
      </w:r>
      <w:r w:rsidRPr="00380E21">
        <w:rPr>
          <w:rFonts w:ascii="Century Gothic" w:hAnsi="Century Gothic" w:cs="Arial"/>
          <w:sz w:val="24"/>
          <w:szCs w:val="24"/>
          <w:vertAlign w:val="superscript"/>
        </w:rPr>
        <w:footnoteReference w:id="1"/>
      </w:r>
    </w:p>
    <w:p w14:paraId="61912289" w14:textId="77777777" w:rsidR="00C32A38" w:rsidRPr="00C32A38" w:rsidRDefault="00C32A38" w:rsidP="00C32A38">
      <w:pPr>
        <w:spacing w:after="0" w:line="276" w:lineRule="auto"/>
        <w:jc w:val="both"/>
        <w:rPr>
          <w:rFonts w:ascii="Century Gothic" w:hAnsi="Century Gothic" w:cs="Arial"/>
          <w:sz w:val="20"/>
          <w:szCs w:val="20"/>
          <w:lang w:val="es-ES"/>
        </w:rPr>
      </w:pPr>
    </w:p>
    <w:p w14:paraId="17E6D2BA" w14:textId="77777777" w:rsidR="00C32A38" w:rsidRPr="00C32A38" w:rsidRDefault="00C32A38" w:rsidP="00C32A38">
      <w:pPr>
        <w:spacing w:after="0" w:line="276" w:lineRule="auto"/>
        <w:jc w:val="both"/>
        <w:rPr>
          <w:rFonts w:ascii="Century Gothic" w:hAnsi="Century Gothic" w:cs="Arial"/>
          <w:sz w:val="20"/>
          <w:szCs w:val="20"/>
          <w:lang w:val="es-ES"/>
        </w:rPr>
      </w:pPr>
      <w:r w:rsidRPr="00C32A38">
        <w:rPr>
          <w:rFonts w:ascii="Century Gothic" w:hAnsi="Century Gothic" w:cs="Arial"/>
          <w:sz w:val="20"/>
          <w:szCs w:val="20"/>
          <w:lang w:val="es-ES"/>
        </w:rPr>
        <w:t xml:space="preserve">Contenido: 1. Antecedentes - 2. Consideraciones – 3. Decisión </w:t>
      </w:r>
    </w:p>
    <w:p w14:paraId="0D2EE96A" w14:textId="77777777" w:rsidR="00C32A38" w:rsidRPr="00C32A38" w:rsidRDefault="00C32A38" w:rsidP="00C32A38">
      <w:pPr>
        <w:spacing w:after="0" w:line="276" w:lineRule="auto"/>
        <w:jc w:val="both"/>
        <w:rPr>
          <w:rFonts w:ascii="Century Gothic" w:hAnsi="Century Gothic" w:cs="Arial"/>
          <w:sz w:val="24"/>
          <w:szCs w:val="24"/>
          <w:lang w:val="es-ES"/>
        </w:rPr>
      </w:pPr>
    </w:p>
    <w:p w14:paraId="5BBD31B1" w14:textId="77777777" w:rsidR="00C32A38" w:rsidRPr="00C32A38" w:rsidRDefault="00C32A38" w:rsidP="00C32A38">
      <w:pPr>
        <w:numPr>
          <w:ilvl w:val="0"/>
          <w:numId w:val="1"/>
        </w:numPr>
        <w:spacing w:after="0" w:line="360" w:lineRule="auto"/>
        <w:jc w:val="center"/>
        <w:rPr>
          <w:rFonts w:ascii="Century Gothic" w:hAnsi="Century Gothic" w:cs="Arial"/>
          <w:b/>
          <w:sz w:val="24"/>
          <w:szCs w:val="24"/>
          <w:lang w:val="es-ES"/>
        </w:rPr>
      </w:pPr>
      <w:r w:rsidRPr="00C32A38">
        <w:rPr>
          <w:rFonts w:ascii="Century Gothic" w:hAnsi="Century Gothic" w:cs="Arial"/>
          <w:b/>
          <w:sz w:val="24"/>
          <w:szCs w:val="24"/>
          <w:lang w:val="es-ES"/>
        </w:rPr>
        <w:t>ANTECEDENTES</w:t>
      </w:r>
    </w:p>
    <w:p w14:paraId="04283742" w14:textId="77777777" w:rsidR="00C32A38" w:rsidRPr="00C32A38" w:rsidRDefault="00C32A38" w:rsidP="00C32A38">
      <w:pPr>
        <w:spacing w:after="0" w:line="240" w:lineRule="auto"/>
        <w:jc w:val="both"/>
        <w:rPr>
          <w:rFonts w:ascii="Century Gothic" w:hAnsi="Century Gothic" w:cs="Arial"/>
          <w:sz w:val="20"/>
          <w:szCs w:val="20"/>
          <w:lang w:val="es-ES"/>
        </w:rPr>
      </w:pPr>
    </w:p>
    <w:p w14:paraId="15DC9E4B" w14:textId="77777777" w:rsidR="00C32A38" w:rsidRPr="00C32A38" w:rsidRDefault="00C32A38" w:rsidP="00C32A38">
      <w:pPr>
        <w:spacing w:after="0" w:line="240" w:lineRule="auto"/>
        <w:jc w:val="both"/>
        <w:rPr>
          <w:rFonts w:ascii="Century Gothic" w:hAnsi="Century Gothic" w:cs="Arial"/>
          <w:sz w:val="20"/>
          <w:szCs w:val="20"/>
          <w:lang w:val="es-ES"/>
        </w:rPr>
      </w:pPr>
      <w:r w:rsidRPr="00C32A38">
        <w:rPr>
          <w:rFonts w:ascii="Century Gothic" w:hAnsi="Century Gothic" w:cs="Arial"/>
          <w:sz w:val="20"/>
          <w:szCs w:val="20"/>
          <w:lang w:val="es-ES"/>
        </w:rPr>
        <w:t>Contenido: 1.1. Las demandas y su trámite de primera instancia – 1.2. Recursos de apelación y trámite de segunda instancia</w:t>
      </w:r>
    </w:p>
    <w:p w14:paraId="4BB16961" w14:textId="77777777" w:rsidR="00C32A38" w:rsidRPr="00C32A38" w:rsidRDefault="00C32A38" w:rsidP="00C32A38">
      <w:pPr>
        <w:spacing w:after="0" w:line="360" w:lineRule="auto"/>
        <w:rPr>
          <w:rFonts w:ascii="Century Gothic" w:hAnsi="Century Gothic" w:cs="Arial"/>
          <w:b/>
          <w:sz w:val="24"/>
          <w:szCs w:val="24"/>
          <w:lang w:val="es-ES"/>
        </w:rPr>
      </w:pPr>
    </w:p>
    <w:p w14:paraId="702488AD" w14:textId="77777777" w:rsidR="00C32A38" w:rsidRPr="00C32A38" w:rsidRDefault="00C32A38" w:rsidP="00C32A38">
      <w:pPr>
        <w:spacing w:after="0" w:line="360" w:lineRule="auto"/>
        <w:jc w:val="both"/>
        <w:rPr>
          <w:rFonts w:ascii="Century Gothic" w:hAnsi="Century Gothic" w:cs="Arial"/>
          <w:b/>
          <w:sz w:val="24"/>
          <w:szCs w:val="24"/>
          <w:lang w:val="es-ES"/>
        </w:rPr>
      </w:pPr>
      <w:r w:rsidRPr="00C32A38">
        <w:rPr>
          <w:rFonts w:ascii="Century Gothic" w:hAnsi="Century Gothic" w:cs="Arial"/>
          <w:b/>
          <w:sz w:val="24"/>
          <w:szCs w:val="24"/>
          <w:lang w:val="es-ES"/>
        </w:rPr>
        <w:t>1.1. Las demandas y su trámite de primera instancia</w:t>
      </w:r>
    </w:p>
    <w:p w14:paraId="449C37E7" w14:textId="77777777" w:rsidR="00C32A38" w:rsidRPr="00C32A38" w:rsidRDefault="00C32A38" w:rsidP="00C32A38">
      <w:pPr>
        <w:spacing w:after="0" w:line="240" w:lineRule="auto"/>
        <w:jc w:val="both"/>
        <w:rPr>
          <w:rFonts w:ascii="Century Gothic" w:hAnsi="Century Gothic" w:cs="Arial"/>
          <w:b/>
          <w:sz w:val="24"/>
          <w:szCs w:val="24"/>
          <w:lang w:val="es-ES"/>
        </w:rPr>
      </w:pPr>
    </w:p>
    <w:p w14:paraId="381977DA" w14:textId="77777777" w:rsidR="00C32A38" w:rsidRPr="00C32A38" w:rsidRDefault="00C32A38" w:rsidP="00C32A38">
      <w:pPr>
        <w:numPr>
          <w:ilvl w:val="0"/>
          <w:numId w:val="6"/>
        </w:numPr>
        <w:spacing w:after="0" w:line="360" w:lineRule="auto"/>
        <w:jc w:val="both"/>
        <w:rPr>
          <w:rFonts w:ascii="Century Gothic" w:hAnsi="Century Gothic" w:cs="Arial"/>
          <w:b/>
          <w:sz w:val="24"/>
          <w:szCs w:val="24"/>
          <w:lang w:val="es-ES"/>
        </w:rPr>
      </w:pPr>
      <w:r w:rsidRPr="00C32A38">
        <w:rPr>
          <w:rFonts w:ascii="Century Gothic" w:hAnsi="Century Gothic" w:cs="Arial"/>
          <w:sz w:val="24"/>
          <w:szCs w:val="24"/>
          <w:lang w:val="es-ES"/>
        </w:rPr>
        <w:t xml:space="preserve">En el </w:t>
      </w:r>
      <w:r w:rsidRPr="00C32A38">
        <w:rPr>
          <w:rFonts w:ascii="Century Gothic" w:hAnsi="Century Gothic" w:cs="Arial"/>
          <w:b/>
          <w:sz w:val="24"/>
          <w:szCs w:val="24"/>
          <w:lang w:val="es-ES"/>
        </w:rPr>
        <w:t>expediente 30634</w:t>
      </w:r>
      <w:r w:rsidRPr="00C32A38">
        <w:rPr>
          <w:rFonts w:ascii="Century Gothic" w:hAnsi="Century Gothic" w:cs="Arial"/>
          <w:sz w:val="24"/>
          <w:szCs w:val="24"/>
          <w:lang w:val="es-ES"/>
        </w:rPr>
        <w:t xml:space="preserve">, el 16 de diciembre de 1999 la </w:t>
      </w:r>
      <w:r w:rsidRPr="00C32A38">
        <w:rPr>
          <w:rFonts w:ascii="Century Gothic" w:hAnsi="Century Gothic" w:cs="Arial"/>
          <w:sz w:val="24"/>
          <w:szCs w:val="24"/>
          <w:u w:val="single"/>
          <w:lang w:val="es-ES"/>
        </w:rPr>
        <w:t xml:space="preserve">sociedad </w:t>
      </w:r>
      <w:proofErr w:type="spellStart"/>
      <w:r w:rsidRPr="00C32A38">
        <w:rPr>
          <w:rFonts w:ascii="Century Gothic" w:hAnsi="Century Gothic" w:cs="Arial"/>
          <w:sz w:val="24"/>
          <w:szCs w:val="24"/>
          <w:u w:val="single"/>
          <w:lang w:val="es-ES"/>
        </w:rPr>
        <w:t>Ultraservicios</w:t>
      </w:r>
      <w:proofErr w:type="spellEnd"/>
      <w:r w:rsidRPr="00C32A38">
        <w:rPr>
          <w:rFonts w:ascii="Century Gothic" w:hAnsi="Century Gothic" w:cs="Arial"/>
          <w:sz w:val="24"/>
          <w:szCs w:val="24"/>
          <w:u w:val="single"/>
          <w:lang w:val="es-ES"/>
        </w:rPr>
        <w:t xml:space="preserve"> Fiduciarios S.A. en liquidación</w:t>
      </w:r>
      <w:r w:rsidRPr="00C32A38">
        <w:rPr>
          <w:rFonts w:ascii="Century Gothic" w:hAnsi="Century Gothic" w:cs="Arial"/>
          <w:sz w:val="24"/>
          <w:szCs w:val="24"/>
          <w:lang w:val="es-ES"/>
        </w:rPr>
        <w:t xml:space="preserve"> (</w:t>
      </w:r>
      <w:proofErr w:type="spellStart"/>
      <w:r w:rsidRPr="00C32A38">
        <w:rPr>
          <w:rFonts w:ascii="Century Gothic" w:hAnsi="Century Gothic" w:cs="Arial"/>
          <w:sz w:val="24"/>
          <w:szCs w:val="24"/>
          <w:u w:val="single"/>
          <w:lang w:val="es-ES"/>
        </w:rPr>
        <w:t>Fidultra</w:t>
      </w:r>
      <w:proofErr w:type="spellEnd"/>
      <w:r w:rsidRPr="00C32A38">
        <w:rPr>
          <w:rFonts w:ascii="Century Gothic" w:hAnsi="Century Gothic" w:cs="Arial"/>
          <w:sz w:val="24"/>
          <w:szCs w:val="24"/>
          <w:lang w:val="es-ES"/>
        </w:rPr>
        <w:t xml:space="preserve">), a través de apoderado judicial, presentó </w:t>
      </w:r>
      <w:r w:rsidRPr="00C32A38">
        <w:rPr>
          <w:rFonts w:ascii="Century Gothic" w:hAnsi="Century Gothic" w:cs="Arial"/>
          <w:b/>
          <w:sz w:val="24"/>
          <w:szCs w:val="24"/>
          <w:lang w:val="es-ES"/>
        </w:rPr>
        <w:t>demanda</w:t>
      </w:r>
      <w:r w:rsidRPr="00C32A38">
        <w:rPr>
          <w:rFonts w:ascii="Century Gothic" w:hAnsi="Century Gothic" w:cs="Arial"/>
          <w:sz w:val="24"/>
          <w:szCs w:val="24"/>
          <w:vertAlign w:val="superscript"/>
          <w:lang w:val="es-ES"/>
        </w:rPr>
        <w:footnoteReference w:id="2"/>
      </w:r>
      <w:r w:rsidRPr="00C32A38">
        <w:rPr>
          <w:rFonts w:ascii="Century Gothic" w:hAnsi="Century Gothic" w:cs="Arial"/>
          <w:sz w:val="24"/>
          <w:szCs w:val="24"/>
          <w:lang w:val="es-ES"/>
        </w:rPr>
        <w:t xml:space="preserve"> ante el Tribunal Administrativo de Cundinamarca en contra del </w:t>
      </w:r>
      <w:r w:rsidRPr="00C32A38">
        <w:rPr>
          <w:rFonts w:ascii="Century Gothic" w:hAnsi="Century Gothic" w:cs="Arial"/>
          <w:sz w:val="24"/>
          <w:szCs w:val="24"/>
          <w:u w:val="single"/>
          <w:lang w:val="es-ES"/>
        </w:rPr>
        <w:t>Instituto Nacional de Vivienda de Interés Social y Urbana</w:t>
      </w:r>
      <w:r w:rsidRPr="00C32A38">
        <w:rPr>
          <w:rFonts w:ascii="Century Gothic" w:hAnsi="Century Gothic" w:cs="Arial"/>
          <w:sz w:val="24"/>
          <w:szCs w:val="24"/>
          <w:lang w:val="es-ES"/>
        </w:rPr>
        <w:t xml:space="preserve"> (</w:t>
      </w:r>
      <w:proofErr w:type="spellStart"/>
      <w:r w:rsidRPr="00C32A38">
        <w:rPr>
          <w:rFonts w:ascii="Century Gothic" w:hAnsi="Century Gothic" w:cs="Arial"/>
          <w:sz w:val="24"/>
          <w:szCs w:val="24"/>
          <w:u w:val="single"/>
          <w:lang w:val="es-ES"/>
        </w:rPr>
        <w:t>Inurbe</w:t>
      </w:r>
      <w:proofErr w:type="spellEnd"/>
      <w:r w:rsidRPr="00C32A38">
        <w:rPr>
          <w:rFonts w:ascii="Century Gothic" w:hAnsi="Century Gothic" w:cs="Arial"/>
          <w:sz w:val="24"/>
          <w:szCs w:val="24"/>
          <w:lang w:val="es-ES"/>
        </w:rPr>
        <w:t xml:space="preserve">), en ejercicio de la acción contractual, con el objeto de que se declarara nula la Resolución No. 718 de 23 de noviembre de 1999 mediante la cual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liquidó unilateralmente el contrato de “</w:t>
      </w:r>
      <w:r w:rsidRPr="00C32A38">
        <w:rPr>
          <w:rFonts w:ascii="Century Gothic" w:hAnsi="Century Gothic" w:cs="Arial"/>
          <w:i/>
          <w:sz w:val="24"/>
          <w:szCs w:val="24"/>
          <w:lang w:val="es-ES"/>
        </w:rPr>
        <w:t xml:space="preserve">Fiducia pública No. 103/95” </w:t>
      </w:r>
      <w:r w:rsidRPr="00C32A38">
        <w:rPr>
          <w:rFonts w:ascii="Century Gothic" w:hAnsi="Century Gothic" w:cs="Arial"/>
          <w:sz w:val="24"/>
          <w:szCs w:val="24"/>
          <w:lang w:val="es-ES"/>
        </w:rPr>
        <w:t xml:space="preserve">suscrito entre las partes el 22 de diciembre de 1995; que se declarara nula la Resolución No. 789 de 17 de diciembre de 1999 que confirmó la Resolución No. 718; que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incumplió el contrato y adeuda a la demandante la suma de $11.109.429 correspondiente a comisiones causadas en el desarrollo del contrato; que se condene al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al pago de los gastos en que incurrió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en la ejecución del contrato para la obtención del pago de las inversiones temporales, montos que se encuentran insolutos al momento de presentación de la demanda; que se condene al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a pagar todos los perjuicios causados como consecuencia de la ilegalidad de la liquidación del contrato de fiducia pública No. 103/95, del incumplimiento del mismo contrato y “</w:t>
      </w:r>
      <w:r w:rsidRPr="00C32A38">
        <w:rPr>
          <w:rFonts w:ascii="Century Gothic" w:hAnsi="Century Gothic" w:cs="Arial"/>
          <w:i/>
          <w:sz w:val="24"/>
          <w:szCs w:val="24"/>
          <w:lang w:val="es-ES"/>
        </w:rPr>
        <w:t xml:space="preserve">del hecho de haberse abstenido de recibir y perseguir el pago de los certificados de depósito de ahorro a término representativos de las inversiones temporales que resultaron impagadas a la finalización del </w:t>
      </w:r>
      <w:r w:rsidRPr="00C32A38">
        <w:rPr>
          <w:rFonts w:ascii="Century Gothic" w:hAnsi="Century Gothic" w:cs="Arial"/>
          <w:i/>
          <w:sz w:val="24"/>
          <w:szCs w:val="24"/>
          <w:lang w:val="es-ES"/>
        </w:rPr>
        <w:lastRenderedPageBreak/>
        <w:t>contrato, descargando el cumplimiento de tal tarea en la demandante”</w:t>
      </w:r>
      <w:r w:rsidRPr="00C32A38">
        <w:rPr>
          <w:rFonts w:ascii="Century Gothic" w:hAnsi="Century Gothic" w:cs="Arial"/>
          <w:i/>
          <w:sz w:val="24"/>
          <w:szCs w:val="24"/>
          <w:vertAlign w:val="superscript"/>
          <w:lang w:val="es-ES"/>
        </w:rPr>
        <w:footnoteReference w:id="3"/>
      </w:r>
      <w:r w:rsidRPr="00C32A38">
        <w:rPr>
          <w:rFonts w:ascii="Century Gothic" w:hAnsi="Century Gothic" w:cs="Arial"/>
          <w:i/>
          <w:sz w:val="24"/>
          <w:szCs w:val="24"/>
          <w:lang w:val="es-ES"/>
        </w:rPr>
        <w:t>;</w:t>
      </w:r>
      <w:r w:rsidRPr="00C32A38">
        <w:rPr>
          <w:rFonts w:ascii="Century Gothic" w:hAnsi="Century Gothic" w:cs="Arial"/>
          <w:sz w:val="24"/>
          <w:szCs w:val="24"/>
          <w:lang w:val="es-ES"/>
        </w:rPr>
        <w:t xml:space="preserve"> por último, solicitó la liquidación del contrato de fiducia pública No. 103/95. </w:t>
      </w:r>
    </w:p>
    <w:p w14:paraId="4417C55B" w14:textId="77777777" w:rsidR="00C32A38" w:rsidRPr="00C32A38" w:rsidRDefault="00C32A38" w:rsidP="00C32A38">
      <w:pPr>
        <w:spacing w:after="0" w:line="360" w:lineRule="auto"/>
        <w:jc w:val="both"/>
        <w:rPr>
          <w:rFonts w:ascii="Century Gothic" w:hAnsi="Century Gothic" w:cs="Arial"/>
          <w:sz w:val="24"/>
          <w:szCs w:val="24"/>
          <w:lang w:val="es-ES"/>
        </w:rPr>
      </w:pPr>
    </w:p>
    <w:p w14:paraId="5EFB01C2" w14:textId="77777777" w:rsidR="00C32A38" w:rsidRPr="00C32A38" w:rsidRDefault="00C32A38" w:rsidP="00C32A38">
      <w:p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En la </w:t>
      </w:r>
      <w:r w:rsidRPr="00C32A38">
        <w:rPr>
          <w:rFonts w:ascii="Century Gothic" w:hAnsi="Century Gothic" w:cs="Arial"/>
          <w:b/>
          <w:sz w:val="24"/>
          <w:szCs w:val="24"/>
          <w:lang w:val="es-ES"/>
        </w:rPr>
        <w:t>demanda</w:t>
      </w:r>
      <w:r w:rsidRPr="00C32A38">
        <w:rPr>
          <w:rFonts w:ascii="Century Gothic" w:hAnsi="Century Gothic" w:cs="Arial"/>
          <w:sz w:val="24"/>
          <w:szCs w:val="24"/>
          <w:lang w:val="es-ES"/>
        </w:rPr>
        <w:t xml:space="preserve"> la parte actora narró los siguientes </w:t>
      </w:r>
      <w:r w:rsidRPr="00C32A38">
        <w:rPr>
          <w:rFonts w:ascii="Century Gothic" w:hAnsi="Century Gothic" w:cs="Arial"/>
          <w:b/>
          <w:sz w:val="24"/>
          <w:szCs w:val="24"/>
          <w:lang w:val="es-ES"/>
        </w:rPr>
        <w:t>hechos</w:t>
      </w:r>
      <w:r w:rsidRPr="00C32A38">
        <w:rPr>
          <w:rFonts w:ascii="Century Gothic" w:hAnsi="Century Gothic" w:cs="Arial"/>
          <w:sz w:val="24"/>
          <w:szCs w:val="24"/>
          <w:lang w:val="es-ES"/>
        </w:rPr>
        <w:t xml:space="preserve">: </w:t>
      </w:r>
    </w:p>
    <w:p w14:paraId="5E7F572D" w14:textId="77777777" w:rsidR="00C32A38" w:rsidRPr="00C32A38" w:rsidRDefault="00C32A38" w:rsidP="00C32A38">
      <w:pPr>
        <w:spacing w:after="0" w:line="360" w:lineRule="auto"/>
        <w:jc w:val="both"/>
        <w:rPr>
          <w:rFonts w:ascii="Century Gothic" w:hAnsi="Century Gothic" w:cs="Arial"/>
          <w:sz w:val="24"/>
          <w:szCs w:val="24"/>
          <w:lang w:val="es-ES"/>
        </w:rPr>
      </w:pPr>
    </w:p>
    <w:p w14:paraId="5640422C"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La Ley 3 de 1991, mediante la cual se creó el Sistema Nacional de Vivienda de Interés Social (</w:t>
      </w:r>
      <w:proofErr w:type="spellStart"/>
      <w:r w:rsidRPr="00C32A38">
        <w:rPr>
          <w:rFonts w:ascii="Century Gothic" w:hAnsi="Century Gothic" w:cs="Arial"/>
          <w:sz w:val="24"/>
          <w:szCs w:val="24"/>
          <w:lang w:val="es-ES"/>
        </w:rPr>
        <w:t>Sinavis</w:t>
      </w:r>
      <w:proofErr w:type="spellEnd"/>
      <w:r w:rsidRPr="00C32A38">
        <w:rPr>
          <w:rFonts w:ascii="Century Gothic" w:hAnsi="Century Gothic" w:cs="Arial"/>
          <w:sz w:val="24"/>
          <w:szCs w:val="24"/>
          <w:lang w:val="es-ES"/>
        </w:rPr>
        <w:t xml:space="preserve">), asignó al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la función de “</w:t>
      </w:r>
      <w:r w:rsidRPr="00C32A38">
        <w:rPr>
          <w:rFonts w:ascii="Century Gothic" w:hAnsi="Century Gothic" w:cs="Arial"/>
          <w:i/>
          <w:sz w:val="24"/>
          <w:szCs w:val="24"/>
          <w:lang w:val="es-ES"/>
        </w:rPr>
        <w:t xml:space="preserve">otorgar crédito a municipios, fondos de vivienda de interés social y reforma urbana, organizaciones populares de vivienda y entidades ejecutoras, a través de intermediarios financieros o con garantías bancarias, para el desarrollo de programas de soluciones de vivienda de interés social”. </w:t>
      </w:r>
    </w:p>
    <w:p w14:paraId="7A37703E" w14:textId="77777777" w:rsidR="00C32A38" w:rsidRPr="00C32A38" w:rsidRDefault="00C32A38" w:rsidP="00C32A38">
      <w:pPr>
        <w:spacing w:after="0" w:line="360" w:lineRule="auto"/>
        <w:jc w:val="both"/>
        <w:rPr>
          <w:rFonts w:ascii="Century Gothic" w:hAnsi="Century Gothic" w:cs="Arial"/>
          <w:sz w:val="24"/>
          <w:szCs w:val="24"/>
          <w:lang w:val="es-ES"/>
        </w:rPr>
      </w:pPr>
    </w:p>
    <w:p w14:paraId="3BD9E7B2"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Mediante el Acuerdo No. 15 de mayo de 1995 la Junta Directiva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reglamentó las </w:t>
      </w:r>
      <w:r w:rsidRPr="00C32A38">
        <w:rPr>
          <w:rFonts w:ascii="Century Gothic" w:hAnsi="Century Gothic" w:cs="Arial"/>
          <w:i/>
          <w:sz w:val="24"/>
          <w:szCs w:val="24"/>
          <w:lang w:val="es-ES"/>
        </w:rPr>
        <w:t>“operaciones de apalancamiento”</w:t>
      </w:r>
      <w:r w:rsidRPr="00C32A38">
        <w:rPr>
          <w:rFonts w:ascii="Century Gothic" w:hAnsi="Century Gothic" w:cs="Arial"/>
          <w:sz w:val="24"/>
          <w:szCs w:val="24"/>
          <w:lang w:val="es-ES"/>
        </w:rPr>
        <w:t xml:space="preserve">, consistentes en </w:t>
      </w:r>
      <w:r w:rsidRPr="00C32A38">
        <w:rPr>
          <w:rFonts w:ascii="Century Gothic" w:hAnsi="Century Gothic" w:cs="Arial"/>
          <w:i/>
          <w:sz w:val="24"/>
          <w:szCs w:val="24"/>
          <w:lang w:val="es-ES"/>
        </w:rPr>
        <w:t>“préstamos otorgados a través de intermediarios financieros, promovidos o soportados por el INURBE, mediante la colocación de recursos”</w:t>
      </w:r>
      <w:r w:rsidRPr="00C32A38">
        <w:rPr>
          <w:rFonts w:ascii="Century Gothic" w:hAnsi="Century Gothic" w:cs="Arial"/>
          <w:sz w:val="24"/>
          <w:szCs w:val="24"/>
          <w:lang w:val="es-ES"/>
        </w:rPr>
        <w:t>. Cuando los anteriores créditos fueran solicitados como subsidio de vivienda familiar para amortizar el crédito recibido, se denominarían “</w:t>
      </w:r>
      <w:r w:rsidRPr="00C32A38">
        <w:rPr>
          <w:rFonts w:ascii="Century Gothic" w:hAnsi="Century Gothic" w:cs="Arial"/>
          <w:i/>
          <w:sz w:val="24"/>
          <w:szCs w:val="24"/>
          <w:lang w:val="es-ES"/>
        </w:rPr>
        <w:t>créditos puente</w:t>
      </w:r>
      <w:r w:rsidRPr="00C32A38">
        <w:rPr>
          <w:rFonts w:ascii="Century Gothic" w:hAnsi="Century Gothic" w:cs="Arial"/>
          <w:sz w:val="24"/>
          <w:szCs w:val="24"/>
          <w:lang w:val="es-ES"/>
        </w:rPr>
        <w:t xml:space="preserve">”. </w:t>
      </w:r>
    </w:p>
    <w:p w14:paraId="319A642B" w14:textId="77777777" w:rsidR="00C32A38" w:rsidRPr="00C32A38" w:rsidRDefault="00C32A38" w:rsidP="00C32A38">
      <w:pPr>
        <w:spacing w:after="0" w:line="240" w:lineRule="auto"/>
        <w:ind w:left="708"/>
        <w:rPr>
          <w:rFonts w:ascii="Century Gothic" w:hAnsi="Century Gothic" w:cs="Arial"/>
          <w:sz w:val="24"/>
          <w:szCs w:val="24"/>
          <w:lang w:val="es-ES"/>
        </w:rPr>
      </w:pPr>
    </w:p>
    <w:p w14:paraId="0B018A8F"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El 22 de diciembre de 1995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en calidad de fideicomitente, y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en calidad de fiduciaria, celebraron el contrato de “</w:t>
      </w:r>
      <w:r w:rsidRPr="00C32A38">
        <w:rPr>
          <w:rFonts w:ascii="Century Gothic" w:hAnsi="Century Gothic" w:cs="Arial"/>
          <w:i/>
          <w:sz w:val="24"/>
          <w:szCs w:val="24"/>
          <w:lang w:val="es-ES"/>
        </w:rPr>
        <w:t xml:space="preserve">Fiducia Pública No. 103/95”, </w:t>
      </w:r>
      <w:r w:rsidRPr="00C32A38">
        <w:rPr>
          <w:rFonts w:ascii="Century Gothic" w:hAnsi="Century Gothic" w:cs="Arial"/>
          <w:sz w:val="24"/>
          <w:szCs w:val="24"/>
          <w:lang w:val="es-ES"/>
        </w:rPr>
        <w:t>el cual tenía por objeto “</w:t>
      </w:r>
      <w:r w:rsidRPr="00C32A38">
        <w:rPr>
          <w:rFonts w:ascii="Century Gothic" w:hAnsi="Century Gothic" w:cs="Arial"/>
          <w:i/>
          <w:sz w:val="24"/>
          <w:szCs w:val="24"/>
          <w:lang w:val="es-ES"/>
        </w:rPr>
        <w:t xml:space="preserve">la administración e inversión de los recursos destinados a realizar operaciones de apalancamiento por parte del </w:t>
      </w:r>
      <w:proofErr w:type="spellStart"/>
      <w:r w:rsidRPr="00C32A38">
        <w:rPr>
          <w:rFonts w:ascii="Century Gothic" w:hAnsi="Century Gothic" w:cs="Arial"/>
          <w:i/>
          <w:sz w:val="24"/>
          <w:szCs w:val="24"/>
          <w:lang w:val="es-ES"/>
        </w:rPr>
        <w:t>Inurbe</w:t>
      </w:r>
      <w:proofErr w:type="spellEnd"/>
      <w:r w:rsidRPr="00C32A38">
        <w:rPr>
          <w:rFonts w:ascii="Century Gothic" w:hAnsi="Century Gothic" w:cs="Arial"/>
          <w:i/>
          <w:sz w:val="24"/>
          <w:szCs w:val="24"/>
          <w:lang w:val="es-ES"/>
        </w:rPr>
        <w:t xml:space="preserve">, para créditos otorgados directamente a entidades del </w:t>
      </w:r>
      <w:proofErr w:type="spellStart"/>
      <w:r w:rsidRPr="00C32A38">
        <w:rPr>
          <w:rFonts w:ascii="Century Gothic" w:hAnsi="Century Gothic" w:cs="Arial"/>
          <w:i/>
          <w:sz w:val="24"/>
          <w:szCs w:val="24"/>
          <w:lang w:val="es-ES"/>
        </w:rPr>
        <w:t>Sinavis</w:t>
      </w:r>
      <w:proofErr w:type="spellEnd"/>
      <w:r w:rsidRPr="00C32A38">
        <w:rPr>
          <w:rFonts w:ascii="Century Gothic" w:hAnsi="Century Gothic" w:cs="Arial"/>
          <w:i/>
          <w:sz w:val="24"/>
          <w:szCs w:val="24"/>
          <w:lang w:val="es-ES"/>
        </w:rPr>
        <w:t xml:space="preserve">, o a través de intermediarios financieros”. </w:t>
      </w:r>
    </w:p>
    <w:p w14:paraId="552D479F" w14:textId="77777777" w:rsidR="00C32A38" w:rsidRPr="00C32A38" w:rsidRDefault="00C32A38" w:rsidP="00C32A38">
      <w:pPr>
        <w:spacing w:after="0" w:line="240" w:lineRule="auto"/>
        <w:ind w:left="708"/>
        <w:rPr>
          <w:rFonts w:ascii="Century Gothic" w:hAnsi="Century Gothic" w:cs="Arial"/>
          <w:sz w:val="24"/>
          <w:szCs w:val="24"/>
          <w:lang w:val="es-ES"/>
        </w:rPr>
      </w:pPr>
    </w:p>
    <w:p w14:paraId="45217707"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El contrato previó la creación de una Junta Administradora, órgano cuyas funciones y atribuciones serían asignadas por el Gerente General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y que estaría conformado por dos representantes de la entidad y uno de la fiduciaria. La Junta Administradora tenía a su cargo la orientación del desarrollo del contrato y la determinación del régimen de inversiones de los recursos que el fideicomitente entregaría a la sociedad fiduciaria para su administración. </w:t>
      </w:r>
    </w:p>
    <w:p w14:paraId="2FE02056" w14:textId="77777777" w:rsidR="00C32A38" w:rsidRPr="00C32A38" w:rsidRDefault="00C32A38" w:rsidP="00C32A38">
      <w:pPr>
        <w:spacing w:after="0" w:line="240" w:lineRule="auto"/>
        <w:ind w:left="708"/>
        <w:rPr>
          <w:rFonts w:ascii="Century Gothic" w:hAnsi="Century Gothic" w:cs="Arial"/>
          <w:sz w:val="24"/>
          <w:szCs w:val="24"/>
          <w:lang w:val="es-ES"/>
        </w:rPr>
      </w:pPr>
    </w:p>
    <w:p w14:paraId="44454016"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lastRenderedPageBreak/>
        <w:t xml:space="preserve">Como contraprestación económica del contrato las partes estipularon una comisión para la fiduciaria del 0.56% anual sobre el monto de los recursos entregados, concepto en el que se encontraban incluidos todos los gastos de la sociedad para el cumplimiento del contrato, con excepción de los gastos financieros en que eventualmente incurriera. </w:t>
      </w:r>
    </w:p>
    <w:p w14:paraId="2FB8525A" w14:textId="77777777" w:rsidR="00C32A38" w:rsidRPr="00C32A38" w:rsidRDefault="00C32A38" w:rsidP="00C32A38">
      <w:pPr>
        <w:spacing w:after="0" w:line="240" w:lineRule="auto"/>
        <w:ind w:left="708"/>
        <w:rPr>
          <w:rFonts w:ascii="Century Gothic" w:hAnsi="Century Gothic" w:cs="Arial"/>
          <w:sz w:val="24"/>
          <w:szCs w:val="24"/>
          <w:lang w:val="es-ES"/>
        </w:rPr>
      </w:pPr>
    </w:p>
    <w:p w14:paraId="4D3C0FAD"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El plazo del contrato vencía el 31 de diciembre de 1996; no obstante, mediante contrato adicional No. 1, las partes prorrogaron dicho término hasta el 31 de diciembre de 1997.</w:t>
      </w:r>
    </w:p>
    <w:p w14:paraId="1432368B" w14:textId="77777777" w:rsidR="00C32A38" w:rsidRPr="00C32A38" w:rsidRDefault="00C32A38" w:rsidP="00C32A38">
      <w:pPr>
        <w:spacing w:after="0" w:line="240" w:lineRule="auto"/>
        <w:ind w:left="708"/>
        <w:rPr>
          <w:rFonts w:ascii="Century Gothic" w:hAnsi="Century Gothic" w:cs="Arial"/>
          <w:sz w:val="24"/>
          <w:szCs w:val="24"/>
          <w:lang w:val="es-ES"/>
        </w:rPr>
      </w:pPr>
    </w:p>
    <w:p w14:paraId="65632C0A"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celebró con otras fiduciarias contratos de las mismas características al que había celebrado con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en los cuales también se previó la creación de una Junta Administradora para determinar el régimen de las inversiones. Debido a lo anterior, el funcionamiento de la Junta Administradora se hizo de manera conjunta con las demás sociedades fiduciarias, mediante la realización de reuniones generalmente mensuales, a las que asistían delegados del Instituto y por lo menos un empleado de cada fiduciaria contratista. De las anteriores reuniones se dejó constancia en actas. </w:t>
      </w:r>
    </w:p>
    <w:p w14:paraId="289D68A8" w14:textId="77777777" w:rsidR="00C32A38" w:rsidRPr="00C32A38" w:rsidRDefault="00C32A38" w:rsidP="00C32A38">
      <w:pPr>
        <w:spacing w:after="0" w:line="240" w:lineRule="auto"/>
        <w:ind w:left="708"/>
        <w:rPr>
          <w:rFonts w:ascii="Century Gothic" w:hAnsi="Century Gothic" w:cs="Arial"/>
          <w:sz w:val="24"/>
          <w:szCs w:val="24"/>
          <w:lang w:val="es-ES"/>
        </w:rPr>
      </w:pPr>
    </w:p>
    <w:p w14:paraId="39C4B386"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Hacia el final de 1994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modificó la política de asignación de subsidios, pues consideró que las instituciones financieras sometidas a vigilancia de la Superintendencia Bancaria, y en particular las Corporaciones de Ahorro y Vivienda, no eran eficientes en lograr que los recursos llegaran a sus “</w:t>
      </w:r>
      <w:r w:rsidRPr="00C32A38">
        <w:rPr>
          <w:rFonts w:ascii="Century Gothic" w:hAnsi="Century Gothic" w:cs="Arial"/>
          <w:i/>
          <w:sz w:val="24"/>
          <w:szCs w:val="24"/>
          <w:lang w:val="es-ES"/>
        </w:rPr>
        <w:t xml:space="preserve">destinatarios naturales”. </w:t>
      </w:r>
      <w:r w:rsidRPr="00C32A38">
        <w:rPr>
          <w:rFonts w:ascii="Century Gothic" w:hAnsi="Century Gothic" w:cs="Arial"/>
          <w:sz w:val="24"/>
          <w:szCs w:val="24"/>
          <w:lang w:val="es-ES"/>
        </w:rPr>
        <w:t>El Gobierno consideró que las instituciones financieras tradicionales debían ser reemplazadas por el sector solidario, por lo que dispuso que “</w:t>
      </w:r>
      <w:r w:rsidRPr="00C32A38">
        <w:rPr>
          <w:rFonts w:ascii="Century Gothic" w:hAnsi="Century Gothic" w:cs="Arial"/>
          <w:i/>
          <w:sz w:val="24"/>
          <w:szCs w:val="24"/>
          <w:lang w:val="es-ES"/>
        </w:rPr>
        <w:t>los recursos del presupuesto destinados a la asignación de vivienda de interés social se hicieran llegar a sus destinatarios naturales a través de las cooperativas”</w:t>
      </w:r>
      <w:r w:rsidRPr="00C32A38">
        <w:rPr>
          <w:rFonts w:ascii="Century Gothic" w:hAnsi="Century Gothic" w:cs="Arial"/>
          <w:sz w:val="24"/>
          <w:szCs w:val="24"/>
          <w:lang w:val="es-ES"/>
        </w:rPr>
        <w:t>, que realizarían operaciones de apalancamiento y créditos puentes y serían dotadas de la liquidez necesaria para ese propósito.</w:t>
      </w:r>
    </w:p>
    <w:p w14:paraId="4A27E1E3" w14:textId="77777777" w:rsidR="00C32A38" w:rsidRPr="00C32A38" w:rsidRDefault="00C32A38" w:rsidP="00C32A38">
      <w:pPr>
        <w:spacing w:after="0" w:line="240" w:lineRule="auto"/>
        <w:ind w:left="708"/>
        <w:rPr>
          <w:rFonts w:ascii="Century Gothic" w:hAnsi="Century Gothic" w:cs="Arial"/>
          <w:sz w:val="24"/>
          <w:szCs w:val="24"/>
          <w:lang w:val="es-ES"/>
        </w:rPr>
      </w:pPr>
    </w:p>
    <w:p w14:paraId="7711A2DE"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Esta decisión de acudir a las cooperativas fue puesta en conocimiento de las sociedades fiduciarias en las reuniones conjuntas de la Junta Administradora, momento a partir del cual, los representantes de las sociedades contratistas manifestaron que la consideraban inconveniente </w:t>
      </w:r>
      <w:r w:rsidRPr="00C32A38">
        <w:rPr>
          <w:rFonts w:ascii="Century Gothic" w:hAnsi="Century Gothic" w:cs="Arial"/>
          <w:sz w:val="24"/>
          <w:szCs w:val="24"/>
          <w:lang w:val="es-ES"/>
        </w:rPr>
        <w:lastRenderedPageBreak/>
        <w:t xml:space="preserve">por motivos de riesgo crediticio (no recuperación de los recursos depositados en las cooperativas o prestados a través de estas a terceros) o porque los recursos no llegaran a sus destinatarios finales (beneficiarios de los subsidios y en general del </w:t>
      </w:r>
      <w:proofErr w:type="spellStart"/>
      <w:r w:rsidRPr="00C32A38">
        <w:rPr>
          <w:rFonts w:ascii="Century Gothic" w:hAnsi="Century Gothic" w:cs="Arial"/>
          <w:sz w:val="24"/>
          <w:szCs w:val="24"/>
          <w:lang w:val="es-ES"/>
        </w:rPr>
        <w:t>Sinavis</w:t>
      </w:r>
      <w:proofErr w:type="spellEnd"/>
      <w:r w:rsidRPr="00C32A38">
        <w:rPr>
          <w:rFonts w:ascii="Century Gothic" w:hAnsi="Century Gothic" w:cs="Arial"/>
          <w:sz w:val="24"/>
          <w:szCs w:val="24"/>
          <w:lang w:val="es-ES"/>
        </w:rPr>
        <w:t>).</w:t>
      </w:r>
    </w:p>
    <w:p w14:paraId="7AA223F1" w14:textId="77777777" w:rsidR="00C32A38" w:rsidRPr="00C32A38" w:rsidRDefault="00C32A38" w:rsidP="00C32A38">
      <w:pPr>
        <w:spacing w:after="0" w:line="240" w:lineRule="auto"/>
        <w:ind w:left="708"/>
        <w:rPr>
          <w:rFonts w:ascii="Century Gothic" w:hAnsi="Century Gothic" w:cs="Arial"/>
          <w:sz w:val="24"/>
          <w:szCs w:val="24"/>
          <w:lang w:val="es-ES"/>
        </w:rPr>
      </w:pPr>
    </w:p>
    <w:p w14:paraId="3949DA26"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No obstante las reservas manifestadas en forma recurrente por las sociedades fiduciarias,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siguió adelante con su decisión de financiar, a través de las cooperativas, las inversiones del </w:t>
      </w:r>
      <w:proofErr w:type="spellStart"/>
      <w:r w:rsidRPr="00C32A38">
        <w:rPr>
          <w:rFonts w:ascii="Century Gothic" w:hAnsi="Century Gothic" w:cs="Arial"/>
          <w:sz w:val="24"/>
          <w:szCs w:val="24"/>
          <w:lang w:val="es-ES"/>
        </w:rPr>
        <w:t>Sinavis</w:t>
      </w:r>
      <w:proofErr w:type="spellEnd"/>
      <w:r w:rsidRPr="00C32A38">
        <w:rPr>
          <w:rFonts w:ascii="Century Gothic" w:hAnsi="Century Gothic" w:cs="Arial"/>
          <w:sz w:val="24"/>
          <w:szCs w:val="24"/>
          <w:lang w:val="es-ES"/>
        </w:rPr>
        <w:t xml:space="preserve">, según consta en las actas de las juntas realizadas el 19 de diciembre de 1994, el 26 de enero de 1995, el 15 de agosto de 1995, el 5 de octubre de 1995, el 6 de julio de 1996 y el 28 de noviembre de 1996. Incluso, para la reunión de marzo de 1997, cuando se conocía del incumplimiento de algunas cooperativas, el Gerente General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manifestó el interés de la entidad de apoyar a las cooperativas para la financiación de viviendas de interés social.</w:t>
      </w:r>
    </w:p>
    <w:p w14:paraId="6142B88C" w14:textId="77777777" w:rsidR="00C32A38" w:rsidRPr="00C32A38" w:rsidRDefault="00C32A38" w:rsidP="00C32A38">
      <w:pPr>
        <w:spacing w:after="0" w:line="240" w:lineRule="auto"/>
        <w:jc w:val="both"/>
        <w:rPr>
          <w:rFonts w:ascii="Century Gothic" w:hAnsi="Century Gothic" w:cs="Arial"/>
          <w:sz w:val="24"/>
          <w:szCs w:val="24"/>
          <w:lang w:val="es-ES"/>
        </w:rPr>
      </w:pPr>
    </w:p>
    <w:p w14:paraId="57AEBD68"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En este contexto,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recibió órdenes de inversión por parte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que incluían las cooperativas destinatarias, el plazo, sus rendimientos y formas de pago, por lo que giró recursos para realizar tres operaciones representadas en tres Certificados de Depósito de Ahorro a Término —en adelante </w:t>
      </w:r>
      <w:proofErr w:type="spellStart"/>
      <w:r w:rsidRPr="00C32A38">
        <w:rPr>
          <w:rFonts w:ascii="Century Gothic" w:hAnsi="Century Gothic" w:cs="Arial"/>
          <w:sz w:val="24"/>
          <w:szCs w:val="24"/>
          <w:lang w:val="es-ES"/>
        </w:rPr>
        <w:t>CDATs</w:t>
      </w:r>
      <w:proofErr w:type="spellEnd"/>
      <w:r w:rsidRPr="00C32A38">
        <w:rPr>
          <w:rFonts w:ascii="Century Gothic" w:hAnsi="Century Gothic" w:cs="Arial"/>
          <w:sz w:val="24"/>
          <w:szCs w:val="24"/>
          <w:vertAlign w:val="superscript"/>
          <w:lang w:val="es-ES"/>
        </w:rPr>
        <w:footnoteReference w:id="4"/>
      </w:r>
      <w:r w:rsidRPr="00C32A38">
        <w:rPr>
          <w:rFonts w:ascii="Century Gothic" w:hAnsi="Century Gothic" w:cs="Arial"/>
          <w:sz w:val="24"/>
          <w:szCs w:val="24"/>
          <w:lang w:val="es-ES"/>
        </w:rPr>
        <w:t>— (se trascribe):</w:t>
      </w:r>
    </w:p>
    <w:p w14:paraId="65A523DC" w14:textId="77777777" w:rsidR="00C32A38" w:rsidRPr="00C32A38" w:rsidRDefault="00C32A38" w:rsidP="00C32A38">
      <w:pPr>
        <w:spacing w:after="0" w:line="360" w:lineRule="auto"/>
        <w:jc w:val="both"/>
        <w:rPr>
          <w:rFonts w:ascii="Century Gothic" w:hAnsi="Century Gothic" w:cs="Arial"/>
          <w:sz w:val="24"/>
          <w:szCs w:val="24"/>
          <w:lang w:val="es-ES"/>
        </w:rPr>
      </w:pPr>
    </w:p>
    <w:p w14:paraId="0B5D8A0A"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“a- CDAT número 187 emitido por </w:t>
      </w:r>
      <w:proofErr w:type="spellStart"/>
      <w:r w:rsidRPr="00C32A38">
        <w:rPr>
          <w:rFonts w:ascii="Century Gothic" w:hAnsi="Century Gothic" w:cs="Arial"/>
          <w:i/>
          <w:lang w:val="es-ES"/>
        </w:rPr>
        <w:t>Cooservir</w:t>
      </w:r>
      <w:proofErr w:type="spellEnd"/>
      <w:r w:rsidRPr="00C32A38">
        <w:rPr>
          <w:rFonts w:ascii="Century Gothic" w:hAnsi="Century Gothic" w:cs="Arial"/>
          <w:i/>
          <w:lang w:val="es-ES"/>
        </w:rPr>
        <w:t xml:space="preserve"> por valor de capital igual a MIL QUINIENTOS MILLONES de pesos ($1.500’000.000,oo).</w:t>
      </w:r>
    </w:p>
    <w:p w14:paraId="1E855051" w14:textId="77777777" w:rsidR="00C32A38" w:rsidRPr="00C32A38" w:rsidRDefault="00C32A38" w:rsidP="00C32A38">
      <w:pPr>
        <w:spacing w:after="0" w:line="276" w:lineRule="auto"/>
        <w:ind w:right="567"/>
        <w:jc w:val="both"/>
        <w:rPr>
          <w:rFonts w:ascii="Century Gothic" w:hAnsi="Century Gothic" w:cs="Arial"/>
          <w:i/>
          <w:lang w:val="es-ES"/>
        </w:rPr>
      </w:pPr>
    </w:p>
    <w:p w14:paraId="7B66ED1E"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“b- CDAT número 48201 emitido por la Cooperativa avancemos por valor de capital igual a CIEN MILLONES de pesos ($100’000.000,oo)</w:t>
      </w:r>
    </w:p>
    <w:p w14:paraId="36A392DB" w14:textId="77777777" w:rsidR="00C32A38" w:rsidRPr="00C32A38" w:rsidRDefault="00C32A38" w:rsidP="00C32A38">
      <w:pPr>
        <w:spacing w:after="0" w:line="276" w:lineRule="auto"/>
        <w:ind w:left="567" w:right="567"/>
        <w:jc w:val="both"/>
        <w:rPr>
          <w:rFonts w:ascii="Century Gothic" w:hAnsi="Century Gothic" w:cs="Arial"/>
          <w:i/>
          <w:lang w:val="es-ES"/>
        </w:rPr>
      </w:pPr>
    </w:p>
    <w:p w14:paraId="3C45B83F"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“c- CDAT número 17310 emitido por la Caja Popular Cooperativa por valor de capital igual a OCHOCIENTOS MILLONES de pesos ($800’000.000,oo)”</w:t>
      </w:r>
      <w:r w:rsidRPr="00C32A38">
        <w:rPr>
          <w:rFonts w:ascii="Century Gothic" w:hAnsi="Century Gothic" w:cs="Arial"/>
          <w:vertAlign w:val="superscript"/>
          <w:lang w:val="es-ES"/>
        </w:rPr>
        <w:footnoteReference w:id="5"/>
      </w:r>
      <w:r w:rsidRPr="00C32A38">
        <w:rPr>
          <w:rFonts w:ascii="Century Gothic" w:hAnsi="Century Gothic" w:cs="Arial"/>
          <w:lang w:val="es-ES"/>
        </w:rPr>
        <w:t>.</w:t>
      </w:r>
    </w:p>
    <w:p w14:paraId="59BA16D0" w14:textId="77777777" w:rsidR="00C32A38" w:rsidRPr="00C32A38" w:rsidRDefault="00C32A38" w:rsidP="00C32A38">
      <w:pPr>
        <w:spacing w:after="0" w:line="360" w:lineRule="auto"/>
        <w:jc w:val="both"/>
        <w:rPr>
          <w:rFonts w:ascii="Century Gothic" w:hAnsi="Century Gothic" w:cs="Arial"/>
          <w:sz w:val="24"/>
          <w:szCs w:val="24"/>
          <w:lang w:val="es-ES"/>
        </w:rPr>
      </w:pPr>
    </w:p>
    <w:p w14:paraId="5309FFCE"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 Cumplido el plazo previsto, las cooperativas deudoras no pagaron los certificados de depósito, situación que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puso en conocimiento al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w:t>
      </w:r>
    </w:p>
    <w:p w14:paraId="41A75E4C" w14:textId="77777777" w:rsidR="00C32A38" w:rsidRPr="00C32A38" w:rsidRDefault="00C32A38" w:rsidP="00C32A38">
      <w:pPr>
        <w:spacing w:after="0" w:line="360" w:lineRule="auto"/>
        <w:jc w:val="both"/>
        <w:rPr>
          <w:rFonts w:ascii="Century Gothic" w:hAnsi="Century Gothic" w:cs="Arial"/>
          <w:sz w:val="24"/>
          <w:szCs w:val="24"/>
          <w:lang w:val="es-ES"/>
        </w:rPr>
      </w:pPr>
    </w:p>
    <w:p w14:paraId="4CD968FE"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Frente a lo anterior,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asumió las gestiones relativas a la obtención del pago de las inversiones o de negociación de nuevas condiciones; sin embargo, su actividad se vio truncada porque las tres cooperativas antes mencionadas fueron objeto de la medida de toma de posesión por el Departamento Nacional de Cooperativas (DANCOOP), las dos primeras para liquidación y, la tercera, para administración. </w:t>
      </w:r>
    </w:p>
    <w:p w14:paraId="4B9DBAE1" w14:textId="77777777" w:rsidR="00C32A38" w:rsidRPr="00C32A38" w:rsidRDefault="00C32A38" w:rsidP="00C32A38">
      <w:pPr>
        <w:spacing w:after="0" w:line="240" w:lineRule="auto"/>
        <w:ind w:left="708"/>
        <w:rPr>
          <w:rFonts w:ascii="Century Gothic" w:hAnsi="Century Gothic" w:cs="Arial"/>
          <w:sz w:val="24"/>
          <w:szCs w:val="24"/>
          <w:lang w:val="es-ES"/>
        </w:rPr>
      </w:pPr>
    </w:p>
    <w:p w14:paraId="7D172513"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Posteriormente la entidad asumió una nueva posición frente al tema “</w:t>
      </w:r>
      <w:r w:rsidRPr="00C32A38">
        <w:rPr>
          <w:rFonts w:ascii="Century Gothic" w:hAnsi="Century Gothic" w:cs="Arial"/>
          <w:i/>
          <w:sz w:val="24"/>
          <w:szCs w:val="24"/>
          <w:lang w:val="es-ES"/>
        </w:rPr>
        <w:t>conforme con la cual, el asunto de las inversiones y de su recuperación debía incumbir exclusivamente a las sociedades fiduciarias que ejecutaron las órdenes emitidas por el mismo instituto”</w:t>
      </w:r>
      <w:r w:rsidRPr="00C32A38">
        <w:rPr>
          <w:rFonts w:ascii="Century Gothic" w:hAnsi="Century Gothic" w:cs="Arial"/>
          <w:i/>
          <w:sz w:val="24"/>
          <w:szCs w:val="24"/>
          <w:vertAlign w:val="superscript"/>
          <w:lang w:val="es-ES"/>
        </w:rPr>
        <w:footnoteReference w:id="6"/>
      </w:r>
      <w:r w:rsidRPr="00C32A38">
        <w:rPr>
          <w:rFonts w:ascii="Century Gothic" w:hAnsi="Century Gothic" w:cs="Arial"/>
          <w:i/>
          <w:sz w:val="24"/>
          <w:szCs w:val="24"/>
          <w:lang w:val="es-ES"/>
        </w:rPr>
        <w:t xml:space="preserve">, </w:t>
      </w:r>
      <w:r w:rsidRPr="00C32A38">
        <w:rPr>
          <w:rFonts w:ascii="Century Gothic" w:hAnsi="Century Gothic" w:cs="Arial"/>
          <w:sz w:val="24"/>
          <w:szCs w:val="24"/>
          <w:lang w:val="es-ES"/>
        </w:rPr>
        <w:t xml:space="preserve">trasladando así todo el riesgo de aquellas y las posibles pérdidas a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w:t>
      </w:r>
    </w:p>
    <w:p w14:paraId="7BF633D9" w14:textId="77777777" w:rsidR="00C32A38" w:rsidRPr="00C32A38" w:rsidRDefault="00C32A38" w:rsidP="00C32A38">
      <w:pPr>
        <w:spacing w:after="0" w:line="240" w:lineRule="auto"/>
        <w:ind w:left="708"/>
        <w:rPr>
          <w:rFonts w:ascii="Century Gothic" w:hAnsi="Century Gothic" w:cs="Arial"/>
          <w:sz w:val="24"/>
          <w:szCs w:val="24"/>
          <w:lang w:val="es-ES"/>
        </w:rPr>
      </w:pPr>
    </w:p>
    <w:p w14:paraId="2F30060B"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En vista de la nueva posición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realizó tareas de cobro y obtuvo reconocimiento de los créditos dentro de las liquidaciones de Avancemos y </w:t>
      </w:r>
      <w:proofErr w:type="spellStart"/>
      <w:r w:rsidRPr="00C32A38">
        <w:rPr>
          <w:rFonts w:ascii="Century Gothic" w:hAnsi="Century Gothic" w:cs="Arial"/>
          <w:sz w:val="24"/>
          <w:szCs w:val="24"/>
          <w:lang w:val="es-ES"/>
        </w:rPr>
        <w:t>Cooservir</w:t>
      </w:r>
      <w:proofErr w:type="spellEnd"/>
      <w:r w:rsidRPr="00C32A38">
        <w:rPr>
          <w:rFonts w:ascii="Century Gothic" w:hAnsi="Century Gothic" w:cs="Arial"/>
          <w:sz w:val="24"/>
          <w:szCs w:val="24"/>
          <w:lang w:val="es-ES"/>
        </w:rPr>
        <w:t xml:space="preserve"> y se hizo parte del proceso de la Caja Popular Cooperativa. De </w:t>
      </w:r>
      <w:proofErr w:type="spellStart"/>
      <w:r w:rsidRPr="00C32A38">
        <w:rPr>
          <w:rFonts w:ascii="Century Gothic" w:hAnsi="Century Gothic" w:cs="Arial"/>
          <w:sz w:val="24"/>
          <w:szCs w:val="24"/>
          <w:lang w:val="es-ES"/>
        </w:rPr>
        <w:t>Cooservir</w:t>
      </w:r>
      <w:proofErr w:type="spellEnd"/>
      <w:r w:rsidRPr="00C32A38">
        <w:rPr>
          <w:rFonts w:ascii="Century Gothic" w:hAnsi="Century Gothic" w:cs="Arial"/>
          <w:sz w:val="24"/>
          <w:szCs w:val="24"/>
          <w:lang w:val="es-ES"/>
        </w:rPr>
        <w:t xml:space="preserve"> y la Caja Popular Cooperativa,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recibió propuestas para la satisfacción de los créditos, las cuales fueron transmitidas al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La entidad se abstuvo de adoptar cualquier determinación al respecto </w:t>
      </w:r>
      <w:r w:rsidRPr="00C32A38">
        <w:rPr>
          <w:rFonts w:ascii="Century Gothic" w:hAnsi="Century Gothic" w:cs="Arial"/>
          <w:i/>
          <w:sz w:val="24"/>
          <w:szCs w:val="24"/>
          <w:lang w:val="es-ES"/>
        </w:rPr>
        <w:t xml:space="preserve">“con la pretensión de descargar en la Fiduciaria la adopción de cualquier determinación sobre las mismas”. </w:t>
      </w:r>
      <w:r w:rsidRPr="00C32A38">
        <w:rPr>
          <w:rFonts w:ascii="Century Gothic" w:hAnsi="Century Gothic" w:cs="Arial"/>
          <w:sz w:val="24"/>
          <w:szCs w:val="24"/>
          <w:lang w:val="es-ES"/>
        </w:rPr>
        <w:t xml:space="preserve">La sociedad demandante no aceptó ninguna de las propuestas anteriores por no estar facultada para hacerlo. </w:t>
      </w:r>
    </w:p>
    <w:p w14:paraId="6064915C" w14:textId="77777777" w:rsidR="00C32A38" w:rsidRPr="00C32A38" w:rsidRDefault="00C32A38" w:rsidP="00C32A38">
      <w:pPr>
        <w:spacing w:after="0" w:line="240" w:lineRule="auto"/>
        <w:ind w:left="708"/>
        <w:rPr>
          <w:rFonts w:ascii="Century Gothic" w:hAnsi="Century Gothic" w:cs="Arial"/>
          <w:sz w:val="24"/>
          <w:szCs w:val="24"/>
          <w:lang w:val="es-ES"/>
        </w:rPr>
      </w:pPr>
    </w:p>
    <w:p w14:paraId="0D296D90"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Una vez vencido el plazo del contrato,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mediante comunicación de 3 de abril de 1998, presentó rendición de cuentas ante al Subgerente Administrativo y Financiero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En la comunicación la sociedad fiduciaria refirió la consignación de los recursos líquidos restantes a la terminación del contrato, anunció la entrega de los títulos contentivos de los tres </w:t>
      </w:r>
      <w:proofErr w:type="spellStart"/>
      <w:r w:rsidRPr="00C32A38">
        <w:rPr>
          <w:rFonts w:ascii="Century Gothic" w:hAnsi="Century Gothic" w:cs="Arial"/>
          <w:sz w:val="24"/>
          <w:szCs w:val="24"/>
          <w:lang w:val="es-ES"/>
        </w:rPr>
        <w:t>CDATs</w:t>
      </w:r>
      <w:proofErr w:type="spellEnd"/>
      <w:r w:rsidRPr="00C32A38">
        <w:rPr>
          <w:rFonts w:ascii="Century Gothic" w:hAnsi="Century Gothic" w:cs="Arial"/>
          <w:sz w:val="24"/>
          <w:szCs w:val="24"/>
          <w:lang w:val="es-ES"/>
        </w:rPr>
        <w:t xml:space="preserve"> otorgados a las cooperativas, e indicó un saldo pendiente por concepto de comisiones causadas. </w:t>
      </w:r>
    </w:p>
    <w:p w14:paraId="095CD973" w14:textId="77777777" w:rsidR="00C32A38" w:rsidRPr="00C32A38" w:rsidRDefault="00C32A38" w:rsidP="00C32A38">
      <w:pPr>
        <w:spacing w:after="0" w:line="240" w:lineRule="auto"/>
        <w:ind w:left="708"/>
        <w:rPr>
          <w:rFonts w:ascii="Century Gothic" w:hAnsi="Century Gothic" w:cs="Arial"/>
          <w:sz w:val="24"/>
          <w:szCs w:val="24"/>
          <w:lang w:val="es-ES"/>
        </w:rPr>
      </w:pPr>
    </w:p>
    <w:p w14:paraId="4A0EC3BA"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lastRenderedPageBreak/>
        <w:t xml:space="preserve">Mediante documento </w:t>
      </w:r>
      <w:r w:rsidRPr="00C32A38">
        <w:rPr>
          <w:rFonts w:ascii="Century Gothic" w:hAnsi="Century Gothic" w:cs="Arial"/>
          <w:i/>
          <w:sz w:val="24"/>
          <w:szCs w:val="24"/>
          <w:lang w:val="es-ES"/>
        </w:rPr>
        <w:t xml:space="preserve">SGAF No. 3899 </w:t>
      </w:r>
      <w:r w:rsidRPr="00C32A38">
        <w:rPr>
          <w:rFonts w:ascii="Century Gothic" w:hAnsi="Century Gothic" w:cs="Arial"/>
          <w:sz w:val="24"/>
          <w:szCs w:val="24"/>
          <w:lang w:val="es-ES"/>
        </w:rPr>
        <w:t xml:space="preserve">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se negó a recibir la anterior comunicación por haberse remitido junto con los </w:t>
      </w:r>
      <w:proofErr w:type="spellStart"/>
      <w:r w:rsidRPr="00C32A38">
        <w:rPr>
          <w:rFonts w:ascii="Century Gothic" w:hAnsi="Century Gothic" w:cs="Arial"/>
          <w:sz w:val="24"/>
          <w:szCs w:val="24"/>
          <w:lang w:val="es-ES"/>
        </w:rPr>
        <w:t>CDATs</w:t>
      </w:r>
      <w:proofErr w:type="spellEnd"/>
      <w:r w:rsidRPr="00C32A38">
        <w:rPr>
          <w:rFonts w:ascii="Century Gothic" w:hAnsi="Century Gothic" w:cs="Arial"/>
          <w:sz w:val="24"/>
          <w:szCs w:val="24"/>
          <w:lang w:val="es-ES"/>
        </w:rPr>
        <w:t xml:space="preserve"> no pagados, por lo que, mediante nueva comunicación,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presentó la rendición de cuentas, esta vez, sin remitir los títulos. La entidad recibió la comunicación el 13 de mayo de 1998, por lo que a la fecha de presentación de la demanda los títulos se encontraban en poder de la fiduciaria.</w:t>
      </w:r>
    </w:p>
    <w:p w14:paraId="3377A431" w14:textId="77777777" w:rsidR="00C32A38" w:rsidRPr="00C32A38" w:rsidRDefault="00C32A38" w:rsidP="00C32A38">
      <w:pPr>
        <w:spacing w:after="0" w:line="240" w:lineRule="auto"/>
        <w:ind w:left="708"/>
        <w:rPr>
          <w:rFonts w:ascii="Century Gothic" w:hAnsi="Century Gothic" w:cs="Arial"/>
          <w:sz w:val="24"/>
          <w:szCs w:val="24"/>
          <w:lang w:val="es-ES"/>
        </w:rPr>
      </w:pPr>
    </w:p>
    <w:p w14:paraId="0FE2BBAD"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Frente a la rendición de cuentas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guardó silencio; no obstante, citó en dos oportunidades (30 de agosto y 7 de septiembre de 1999) a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con el propósito de liquidar conjuntamente el contrato, de conformidad con lo previsto en los artículos 60 y siguientes de la Ley 80 de 1993. Por encontrarse vencida la oportunidad para liquidar bilateralmente el contrato, la sociedad demandante hizo caso omiso de las referidas citaciones; sin embargo, procuró llegar a un acuerdo con la entidad con el propósito de evitar un proceso judicial, para lo cual presentó una propuesta el 4 de octubre de 1999, documento que fue rechazado por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mediante comunicación SGAF 9630 de 9 de noviembre del mismo año.</w:t>
      </w:r>
    </w:p>
    <w:p w14:paraId="0846A774" w14:textId="77777777" w:rsidR="00C32A38" w:rsidRPr="00C32A38" w:rsidRDefault="00C32A38" w:rsidP="00C32A38">
      <w:pPr>
        <w:spacing w:after="0" w:line="240" w:lineRule="auto"/>
        <w:ind w:left="708"/>
        <w:rPr>
          <w:rFonts w:ascii="Century Gothic" w:hAnsi="Century Gothic" w:cs="Arial"/>
          <w:sz w:val="24"/>
          <w:szCs w:val="24"/>
          <w:lang w:val="es-ES"/>
        </w:rPr>
      </w:pPr>
    </w:p>
    <w:p w14:paraId="1992CB2F"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En dicha comunicación la entidad manifestó que la propuesta de arreglo podría ser aceptada, de convenir la fiduciaria el pago de una suma adicional, similar a la que otras fiduciarias habían pagado en otras transacciones, de $ 1.380’000.000. La anterior pretensión eliminó cualquier posibilidad de acuerdo entre las partes.</w:t>
      </w:r>
    </w:p>
    <w:p w14:paraId="2F898CD6" w14:textId="77777777" w:rsidR="00C32A38" w:rsidRPr="00C32A38" w:rsidRDefault="00C32A38" w:rsidP="00C32A38">
      <w:pPr>
        <w:spacing w:after="0" w:line="240" w:lineRule="auto"/>
        <w:ind w:left="708"/>
        <w:rPr>
          <w:rFonts w:ascii="Century Gothic" w:hAnsi="Century Gothic" w:cs="Arial"/>
          <w:sz w:val="24"/>
          <w:szCs w:val="24"/>
          <w:lang w:val="es-ES"/>
        </w:rPr>
      </w:pPr>
    </w:p>
    <w:p w14:paraId="4AECC183"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liquidó unilateralmente el contrato de fiducia a través de la Resolución 718 de 23 de noviembre de 1999, acto en el que ordenó a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pagar </w:t>
      </w:r>
      <w:r w:rsidRPr="00C32A38">
        <w:rPr>
          <w:rFonts w:ascii="Century Gothic" w:hAnsi="Century Gothic" w:cs="Arial"/>
          <w:i/>
          <w:sz w:val="24"/>
          <w:szCs w:val="24"/>
          <w:lang w:val="es-ES"/>
        </w:rPr>
        <w:t xml:space="preserve">“el valor insoluto de las inversiones efectuadas en AVANCEMOS, COOSERVIR y LA CAJA POPULAR COOPERATIVA”. </w:t>
      </w:r>
      <w:r w:rsidRPr="00C32A38">
        <w:rPr>
          <w:rFonts w:ascii="Century Gothic" w:hAnsi="Century Gothic" w:cs="Arial"/>
          <w:sz w:val="24"/>
          <w:szCs w:val="24"/>
          <w:lang w:val="es-ES"/>
        </w:rPr>
        <w:t>En el mismo acto reconoció lo que adeudaba por concepto de comisiones y compensó las sumas adeudadas.</w:t>
      </w:r>
    </w:p>
    <w:p w14:paraId="77C89B46" w14:textId="77777777" w:rsidR="00C32A38" w:rsidRPr="00C32A38" w:rsidRDefault="00C32A38" w:rsidP="00C32A38">
      <w:pPr>
        <w:spacing w:after="0" w:line="240" w:lineRule="auto"/>
        <w:ind w:left="708"/>
        <w:rPr>
          <w:rFonts w:ascii="Century Gothic" w:hAnsi="Century Gothic" w:cs="Arial"/>
          <w:sz w:val="24"/>
          <w:szCs w:val="24"/>
          <w:lang w:val="es-ES"/>
        </w:rPr>
      </w:pPr>
    </w:p>
    <w:p w14:paraId="65F9C0B7"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El 2 de diciembre de 1999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interpuso recurso de reposición contra el acto de liquidación unilateral, con fundamento en que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había perdido la competencia para liquidar el contrato y que las inversiones hechas en las cooperativas no significaron su incumplimiento. El recurso fue </w:t>
      </w:r>
      <w:r w:rsidRPr="00C32A38">
        <w:rPr>
          <w:rFonts w:ascii="Century Gothic" w:hAnsi="Century Gothic" w:cs="Arial"/>
          <w:sz w:val="24"/>
          <w:szCs w:val="24"/>
          <w:lang w:val="es-ES"/>
        </w:rPr>
        <w:lastRenderedPageBreak/>
        <w:t>resuelto mediante Resolución 789 de 17 de diciembre de 1999 a través de la cual la entidad confirmó en su totalidad la Resolución de liquidación unilateral. En vista de lo anterior, el demandante adicionó la demanda con la finalidad de que también se declarara nulo el acto confirmatorio</w:t>
      </w:r>
      <w:r w:rsidRPr="00C32A38">
        <w:rPr>
          <w:rFonts w:ascii="Century Gothic" w:hAnsi="Century Gothic" w:cs="Arial"/>
          <w:sz w:val="24"/>
          <w:szCs w:val="24"/>
          <w:vertAlign w:val="superscript"/>
          <w:lang w:val="es-ES"/>
        </w:rPr>
        <w:footnoteReference w:id="7"/>
      </w:r>
      <w:r w:rsidRPr="00C32A38">
        <w:rPr>
          <w:rFonts w:ascii="Century Gothic" w:hAnsi="Century Gothic" w:cs="Arial"/>
          <w:sz w:val="24"/>
          <w:szCs w:val="24"/>
          <w:lang w:val="es-ES"/>
        </w:rPr>
        <w:t>.</w:t>
      </w:r>
    </w:p>
    <w:p w14:paraId="39632916" w14:textId="77777777" w:rsidR="00C32A38" w:rsidRPr="00C32A38" w:rsidRDefault="00C32A38" w:rsidP="00C32A38">
      <w:pPr>
        <w:spacing w:after="0" w:line="240" w:lineRule="auto"/>
        <w:ind w:left="708"/>
        <w:rPr>
          <w:rFonts w:ascii="Century Gothic" w:hAnsi="Century Gothic" w:cs="Arial"/>
          <w:sz w:val="24"/>
          <w:szCs w:val="24"/>
          <w:lang w:val="es-ES"/>
        </w:rPr>
      </w:pPr>
    </w:p>
    <w:p w14:paraId="2C2C0D75"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Como </w:t>
      </w:r>
      <w:r w:rsidRPr="00C32A38">
        <w:rPr>
          <w:rFonts w:ascii="Century Gothic" w:hAnsi="Century Gothic" w:cs="Arial"/>
          <w:b/>
          <w:sz w:val="24"/>
          <w:szCs w:val="24"/>
          <w:lang w:val="es-ES"/>
        </w:rPr>
        <w:t>fundamentos de derecho</w:t>
      </w:r>
      <w:r w:rsidRPr="00C32A38">
        <w:rPr>
          <w:rFonts w:ascii="Century Gothic" w:hAnsi="Century Gothic" w:cs="Arial"/>
          <w:sz w:val="24"/>
          <w:szCs w:val="24"/>
          <w:lang w:val="es-ES"/>
        </w:rPr>
        <w:t xml:space="preserve"> de sus pretensiones presentó los siguientes argumentos:</w:t>
      </w:r>
    </w:p>
    <w:p w14:paraId="310CFA87" w14:textId="77777777" w:rsidR="00C32A38" w:rsidRPr="00C32A38" w:rsidRDefault="00C32A38" w:rsidP="00C32A38">
      <w:pPr>
        <w:spacing w:after="0" w:line="360" w:lineRule="auto"/>
        <w:jc w:val="both"/>
        <w:rPr>
          <w:rFonts w:ascii="Century Gothic" w:hAnsi="Century Gothic" w:cs="Arial"/>
          <w:sz w:val="24"/>
          <w:szCs w:val="24"/>
          <w:lang w:val="es-ES"/>
        </w:rPr>
      </w:pPr>
    </w:p>
    <w:p w14:paraId="59F3C949" w14:textId="77777777" w:rsidR="00C32A38" w:rsidRPr="00C32A38" w:rsidRDefault="00C32A38" w:rsidP="00C32A38">
      <w:pPr>
        <w:numPr>
          <w:ilvl w:val="0"/>
          <w:numId w:val="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La liquidación unilateral del contrato es ilegal ya que parte de suponer que la fiduciaria incumplió el contrato, declaratoria que se encuentra implícita en la Resolución 718 y que no podía realizar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en tanto el contrato ya había expirado y, junto con él, los poderes exorbitantes de la entidad. Si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pretendía la liquidación del contrato, incluyendo las consecuencias del supuesto incumplimiento del demandante, debía acudir al juez administrativo.</w:t>
      </w:r>
    </w:p>
    <w:p w14:paraId="787DD0DB" w14:textId="77777777" w:rsidR="00C32A38" w:rsidRPr="00C32A38" w:rsidRDefault="00C32A38" w:rsidP="00C32A38">
      <w:pPr>
        <w:numPr>
          <w:ilvl w:val="0"/>
          <w:numId w:val="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También es ilegal el acto de la liquidación unilateral pues se hizo fuera del plazo previsto, para el efecto, en el artículo 60 de la Ley 80 de 1993, es decir, sin competencia temporal. </w:t>
      </w:r>
    </w:p>
    <w:p w14:paraId="0DC24B83" w14:textId="77777777" w:rsidR="00C32A38" w:rsidRPr="00C32A38" w:rsidRDefault="00C32A38" w:rsidP="00C32A38">
      <w:pPr>
        <w:numPr>
          <w:ilvl w:val="0"/>
          <w:numId w:val="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En caso de no tenerse en cuenta lo anterior, la liquidación unilateral es nula por estar falsamente motivada, al desconocer el contrato y las normas que lo gobernaban. La entidad “</w:t>
      </w:r>
      <w:r w:rsidRPr="00C32A38">
        <w:rPr>
          <w:rFonts w:ascii="Century Gothic" w:hAnsi="Century Gothic" w:cs="Arial"/>
          <w:i/>
          <w:sz w:val="24"/>
          <w:szCs w:val="24"/>
          <w:lang w:val="es-ES"/>
        </w:rPr>
        <w:t>supone que la demandante incumplió el contrato al realizar las inversiones temporales impagadas y presume que debe correr el riesgo de la pérdida de dichos activos”</w:t>
      </w:r>
      <w:r w:rsidRPr="00C32A38">
        <w:rPr>
          <w:rFonts w:ascii="Century Gothic" w:hAnsi="Century Gothic" w:cs="Arial"/>
          <w:sz w:val="24"/>
          <w:szCs w:val="24"/>
          <w:lang w:val="es-ES"/>
        </w:rPr>
        <w:t xml:space="preserve">. Por el contrario, al estar sometido el contrato de fiducia a la Ley 80 de 1993, la entidad no trasfirió el dominio de los bienes, por lo que no resultaba posible constituir un patrimonio autónomo administrado por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como tampoco era posible que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delegara en la fiduciaria la adjudicación de los contratos a celebrar. De este modo, las inversiones temporales fueron convenidas por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y las cooperativas.</w:t>
      </w:r>
    </w:p>
    <w:p w14:paraId="71D78E12" w14:textId="77777777" w:rsidR="00C32A38" w:rsidRPr="00C32A38" w:rsidRDefault="00C32A38" w:rsidP="00C32A38">
      <w:pPr>
        <w:spacing w:after="0" w:line="360" w:lineRule="auto"/>
        <w:jc w:val="both"/>
        <w:rPr>
          <w:rFonts w:ascii="Century Gothic" w:hAnsi="Century Gothic" w:cs="Arial"/>
          <w:sz w:val="24"/>
          <w:szCs w:val="24"/>
          <w:lang w:val="es-ES"/>
        </w:rPr>
      </w:pPr>
    </w:p>
    <w:p w14:paraId="75722C31"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w:t>
      </w:r>
      <w:r w:rsidRPr="00C32A38">
        <w:rPr>
          <w:rFonts w:ascii="Century Gothic" w:hAnsi="Century Gothic" w:cs="Arial"/>
          <w:b/>
          <w:sz w:val="24"/>
          <w:szCs w:val="24"/>
        </w:rPr>
        <w:t>contestó la demanda</w:t>
      </w:r>
      <w:r w:rsidRPr="00C32A38">
        <w:rPr>
          <w:rFonts w:ascii="Century Gothic" w:hAnsi="Century Gothic" w:cs="Arial"/>
          <w:sz w:val="24"/>
          <w:szCs w:val="24"/>
          <w:vertAlign w:val="superscript"/>
        </w:rPr>
        <w:footnoteReference w:id="8"/>
      </w:r>
      <w:r w:rsidRPr="00C32A38">
        <w:rPr>
          <w:rFonts w:ascii="Century Gothic" w:hAnsi="Century Gothic" w:cs="Arial"/>
          <w:sz w:val="24"/>
          <w:szCs w:val="24"/>
        </w:rPr>
        <w:t xml:space="preserve"> y se opuso a la totalidad de las pretensiones. Para desvirtuar lo sostenido por la parte actora adujo lo siguiente:</w:t>
      </w:r>
    </w:p>
    <w:p w14:paraId="3816441E" w14:textId="77777777" w:rsidR="00C32A38" w:rsidRPr="00C32A38" w:rsidRDefault="00C32A38" w:rsidP="00C32A38">
      <w:pPr>
        <w:spacing w:after="0" w:line="240" w:lineRule="auto"/>
        <w:jc w:val="both"/>
        <w:rPr>
          <w:rFonts w:ascii="Century Gothic" w:hAnsi="Century Gothic" w:cs="Arial"/>
          <w:sz w:val="24"/>
          <w:szCs w:val="24"/>
        </w:rPr>
      </w:pPr>
    </w:p>
    <w:p w14:paraId="49401787"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Las partes convinieron en la cláusula 7 del contrato de fiducia la obligación de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de devolver todos los dineros restantes a la terminación del contrato y, por tanto, no es cierto que la liquidación unilateral proferida por la entidad partiera de un supuesto incumplimiento contractual pues, a través de ese acto, 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se había </w:t>
      </w:r>
      <w:proofErr w:type="spellStart"/>
      <w:r w:rsidRPr="00C32A38">
        <w:rPr>
          <w:rFonts w:ascii="Century Gothic" w:hAnsi="Century Gothic" w:cs="Arial"/>
          <w:sz w:val="24"/>
          <w:szCs w:val="24"/>
        </w:rPr>
        <w:t>llimitado</w:t>
      </w:r>
      <w:proofErr w:type="spellEnd"/>
      <w:r w:rsidRPr="00C32A38">
        <w:rPr>
          <w:rFonts w:ascii="Century Gothic" w:hAnsi="Century Gothic" w:cs="Arial"/>
          <w:sz w:val="24"/>
          <w:szCs w:val="24"/>
        </w:rPr>
        <w:t xml:space="preserve"> a </w:t>
      </w:r>
      <w:r w:rsidRPr="00C32A38">
        <w:rPr>
          <w:rFonts w:ascii="Century Gothic" w:hAnsi="Century Gothic" w:cs="Arial"/>
          <w:i/>
          <w:sz w:val="24"/>
          <w:szCs w:val="24"/>
        </w:rPr>
        <w:t>“expresar el estado de cuentas a la terminación del contrato”.</w:t>
      </w:r>
    </w:p>
    <w:p w14:paraId="3AD36DB6" w14:textId="77777777" w:rsidR="00C32A38" w:rsidRPr="00C32A38" w:rsidRDefault="00C32A38" w:rsidP="00C32A38">
      <w:pPr>
        <w:spacing w:after="0" w:line="240" w:lineRule="auto"/>
        <w:ind w:left="708"/>
        <w:rPr>
          <w:rFonts w:ascii="Century Gothic" w:hAnsi="Century Gothic" w:cs="Arial"/>
          <w:sz w:val="24"/>
          <w:szCs w:val="24"/>
        </w:rPr>
      </w:pPr>
    </w:p>
    <w:p w14:paraId="5C24A686"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rPr>
        <w:t>En lo que respecta a la supuesta falta de competencia de la entidad para liquidar el contrato, sostuvo que, al finalizar su ejecución el 31 de diciembre de 1997, las partes iniciaron un “</w:t>
      </w:r>
      <w:r w:rsidRPr="00C32A38">
        <w:rPr>
          <w:rFonts w:ascii="Century Gothic" w:hAnsi="Century Gothic" w:cs="Arial"/>
          <w:i/>
          <w:sz w:val="24"/>
          <w:szCs w:val="24"/>
        </w:rPr>
        <w:t>proceso de recuperación de la suma adeudada por las cooperativas a FIDULTRA S.A. y por ésta al INURBE, y una serie de conversaciones tendientes a llegar a una conciliación sobre los desacuerdos contractuales”</w:t>
      </w:r>
      <w:r w:rsidRPr="00C32A38">
        <w:rPr>
          <w:rFonts w:ascii="Century Gothic" w:hAnsi="Century Gothic" w:cs="Arial"/>
          <w:i/>
          <w:sz w:val="24"/>
          <w:szCs w:val="24"/>
          <w:vertAlign w:val="superscript"/>
        </w:rPr>
        <w:footnoteReference w:id="9"/>
      </w:r>
      <w:r w:rsidRPr="00C32A38">
        <w:rPr>
          <w:rFonts w:ascii="Century Gothic" w:hAnsi="Century Gothic" w:cs="Arial"/>
          <w:i/>
          <w:sz w:val="24"/>
          <w:szCs w:val="24"/>
        </w:rPr>
        <w:t xml:space="preserve">. </w:t>
      </w:r>
      <w:r w:rsidRPr="00C32A38">
        <w:rPr>
          <w:rFonts w:ascii="Century Gothic" w:hAnsi="Century Gothic" w:cs="Arial"/>
          <w:sz w:val="24"/>
          <w:szCs w:val="24"/>
        </w:rPr>
        <w:t xml:space="preserve">Las anteriores actuaciones finalizaron el 9 de noviembre de 1999 cuando fue clara la imposibilidad de llegar a una transacción entre las partes, momento para el cual, todavía se encontraba pendiente la liquidación del contrato. Señaló además, que el artículo 61 de la Ley 80 de 1993 establece que cuando las partes no logren liquidar el contrato de común acuerdo dentro del término convencional o legal previsto, este sería efectuado por la entidad, evento para el cual la regulación original del Estatuto de Contratación no había incluido un plazo. </w:t>
      </w:r>
    </w:p>
    <w:p w14:paraId="0515407E" w14:textId="77777777" w:rsidR="00C32A38" w:rsidRPr="00C32A38" w:rsidRDefault="00C32A38" w:rsidP="00C32A38">
      <w:pPr>
        <w:spacing w:after="0" w:line="240" w:lineRule="auto"/>
        <w:ind w:left="708"/>
        <w:rPr>
          <w:rFonts w:ascii="Century Gothic" w:hAnsi="Century Gothic" w:cs="Arial"/>
          <w:sz w:val="24"/>
          <w:szCs w:val="24"/>
        </w:rPr>
      </w:pPr>
    </w:p>
    <w:p w14:paraId="1B57E523"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Por último, en relación con el cargo de falsa motivación propuesto en la demanda, 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adujo que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desconoció las normas de la Ley 80 de 1993, del Código de Comercio y de las cláusulas del contrato, por las siguientes razones:</w:t>
      </w:r>
    </w:p>
    <w:p w14:paraId="15FE2E82" w14:textId="77777777" w:rsidR="00C32A38" w:rsidRPr="00C32A38" w:rsidRDefault="00C32A38" w:rsidP="00C32A38">
      <w:pPr>
        <w:spacing w:after="0" w:line="360" w:lineRule="auto"/>
        <w:jc w:val="both"/>
        <w:rPr>
          <w:rFonts w:ascii="Century Gothic" w:hAnsi="Century Gothic" w:cs="Arial"/>
          <w:sz w:val="24"/>
          <w:szCs w:val="24"/>
        </w:rPr>
      </w:pPr>
    </w:p>
    <w:p w14:paraId="534AECF2" w14:textId="77777777" w:rsidR="00C32A38" w:rsidRPr="00C32A38" w:rsidRDefault="00C32A38" w:rsidP="00C32A38">
      <w:pPr>
        <w:numPr>
          <w:ilvl w:val="0"/>
          <w:numId w:val="3"/>
        </w:numPr>
        <w:spacing w:after="0" w:line="360" w:lineRule="auto"/>
        <w:jc w:val="both"/>
        <w:rPr>
          <w:rFonts w:ascii="Century Gothic" w:hAnsi="Century Gothic" w:cs="Arial"/>
          <w:sz w:val="24"/>
          <w:szCs w:val="24"/>
        </w:rPr>
      </w:pP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contravino el artículo 5 de la Ley 80 de 1993 pues como colaborador de la Administración no logró que el objeto contratado se cumpliera con la mejor calidad, al permitir la pérdida de los recursos entregados por 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para su administración. </w:t>
      </w:r>
    </w:p>
    <w:p w14:paraId="7C70D0D5" w14:textId="77777777" w:rsidR="00C32A38" w:rsidRPr="00C32A38" w:rsidRDefault="00C32A38" w:rsidP="00C32A38">
      <w:pPr>
        <w:numPr>
          <w:ilvl w:val="0"/>
          <w:numId w:val="3"/>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Adicionalmente, la cláusula 7 del contrato obligaba a la fiduciaria a invertir los recursos entregados en administración </w:t>
      </w:r>
      <w:r w:rsidRPr="00C32A38">
        <w:rPr>
          <w:rFonts w:ascii="Century Gothic" w:hAnsi="Century Gothic" w:cs="Arial"/>
          <w:i/>
          <w:sz w:val="24"/>
          <w:szCs w:val="24"/>
        </w:rPr>
        <w:t>“atendiendo a criterios de seguridad y rentabilidad”</w:t>
      </w:r>
      <w:r w:rsidRPr="00C32A38">
        <w:rPr>
          <w:rFonts w:ascii="Century Gothic" w:hAnsi="Century Gothic" w:cs="Arial"/>
          <w:sz w:val="24"/>
          <w:szCs w:val="24"/>
        </w:rPr>
        <w:t xml:space="preserve">, obligación contractual a la que se añaden las </w:t>
      </w:r>
      <w:r w:rsidRPr="00C32A38">
        <w:rPr>
          <w:rFonts w:ascii="Century Gothic" w:hAnsi="Century Gothic" w:cs="Arial"/>
          <w:sz w:val="24"/>
          <w:szCs w:val="24"/>
        </w:rPr>
        <w:lastRenderedPageBreak/>
        <w:t xml:space="preserve">previstas en el artículo 1234 del Código de Comercio y los artículos 25 y 32 de la Ley 80 de 1993. De lo anterior, se infiere que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no ha debido invertir en el sector cooperativo cuando este ya mostraba algunos problemas.</w:t>
      </w:r>
    </w:p>
    <w:p w14:paraId="0F08822E" w14:textId="77777777" w:rsidR="00C32A38" w:rsidRPr="00C32A38" w:rsidRDefault="00C32A38" w:rsidP="00C32A38">
      <w:pPr>
        <w:numPr>
          <w:ilvl w:val="0"/>
          <w:numId w:val="3"/>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Aun cuando se trata de un contrato de fiducia pública, el cual no contempla el traspaso de la propiedad del fiduciante a la fiduciaria, esta última es responsable de los bienes que le son entregados ya que están en su poder y administración. Así las cosas,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era la encargada de llevar a buen término las inversiones realizadas con ocasión del contrato, pues de entenderse lo contrario, de ser 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el encargado de hacerlo, sería innecesaria la celebración del negocio.</w:t>
      </w:r>
    </w:p>
    <w:p w14:paraId="5476C97E" w14:textId="77777777" w:rsidR="00C32A38" w:rsidRPr="00C32A38" w:rsidRDefault="00C32A38" w:rsidP="00C32A38">
      <w:pPr>
        <w:numPr>
          <w:ilvl w:val="0"/>
          <w:numId w:val="3"/>
        </w:numPr>
        <w:spacing w:after="0" w:line="360" w:lineRule="auto"/>
        <w:jc w:val="both"/>
        <w:rPr>
          <w:rFonts w:ascii="Century Gothic" w:hAnsi="Century Gothic" w:cs="Arial"/>
          <w:sz w:val="24"/>
          <w:szCs w:val="24"/>
        </w:rPr>
      </w:pP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incumplió los deberes que, como fiduciaria, le impone el artículo 1234 del Código de Comercio, en especial los relativos a la diligencia, inversión de conformidad con el acto constitutivo, protección y defensa de los recursos y la procura de los mayores rendimientos. Asimismo, la demandante desconoció los derechos del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como fideicomitente (artículos 1232 y 1236 </w:t>
      </w:r>
      <w:proofErr w:type="spellStart"/>
      <w:r w:rsidRPr="00C32A38">
        <w:rPr>
          <w:rFonts w:ascii="Century Gothic" w:hAnsi="Century Gothic" w:cs="Arial"/>
          <w:sz w:val="24"/>
          <w:szCs w:val="24"/>
        </w:rPr>
        <w:t>ibídem</w:t>
      </w:r>
      <w:proofErr w:type="spellEnd"/>
      <w:r w:rsidRPr="00C32A38">
        <w:rPr>
          <w:rFonts w:ascii="Century Gothic" w:hAnsi="Century Gothic" w:cs="Arial"/>
          <w:sz w:val="24"/>
          <w:szCs w:val="24"/>
        </w:rPr>
        <w:t xml:space="preserve">) ya que no devolvió los recursos entregados en administración al extinguirse el negocio fiduciario, más aún cuando se trataba de dineros públicos destinados a financiar programas de vivienda de interés social. </w:t>
      </w:r>
    </w:p>
    <w:p w14:paraId="6C1CDC1C" w14:textId="77777777" w:rsidR="00C32A38" w:rsidRPr="00C32A38" w:rsidRDefault="00C32A38" w:rsidP="00C32A38">
      <w:pPr>
        <w:numPr>
          <w:ilvl w:val="0"/>
          <w:numId w:val="3"/>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Finalmente, el artículo 1243 del Código de Comercio establece que el fiduciario responde </w:t>
      </w:r>
      <w:r w:rsidRPr="00C32A38">
        <w:rPr>
          <w:rFonts w:ascii="Century Gothic" w:hAnsi="Century Gothic" w:cs="Arial"/>
          <w:i/>
          <w:sz w:val="24"/>
          <w:szCs w:val="24"/>
        </w:rPr>
        <w:t>hasta de la culpa leve en el cumplimiento de su gestión</w:t>
      </w:r>
      <w:r w:rsidRPr="00C32A38">
        <w:rPr>
          <w:rFonts w:ascii="Century Gothic" w:hAnsi="Century Gothic" w:cs="Arial"/>
          <w:sz w:val="24"/>
          <w:szCs w:val="24"/>
        </w:rPr>
        <w:t xml:space="preserve">, y en el caso concreto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incurrió en culpa grave al invertir de manera riesgosa el dinero encomendado, al punto tal que no es posible su recuperación. </w:t>
      </w:r>
    </w:p>
    <w:p w14:paraId="2A35093F" w14:textId="77777777" w:rsidR="00C32A38" w:rsidRPr="00C32A38" w:rsidRDefault="00C32A38" w:rsidP="00C32A38">
      <w:pPr>
        <w:spacing w:after="0" w:line="360" w:lineRule="auto"/>
        <w:jc w:val="both"/>
        <w:rPr>
          <w:rFonts w:ascii="Century Gothic" w:hAnsi="Century Gothic" w:cs="Arial"/>
          <w:sz w:val="24"/>
          <w:szCs w:val="24"/>
        </w:rPr>
      </w:pPr>
    </w:p>
    <w:p w14:paraId="4FB07F17"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 En el </w:t>
      </w:r>
      <w:r w:rsidRPr="00C32A38">
        <w:rPr>
          <w:rFonts w:ascii="Century Gothic" w:hAnsi="Century Gothic" w:cs="Arial"/>
          <w:b/>
          <w:sz w:val="24"/>
          <w:szCs w:val="24"/>
        </w:rPr>
        <w:t>expediente 30634</w:t>
      </w:r>
      <w:r w:rsidRPr="00C32A38">
        <w:rPr>
          <w:rFonts w:ascii="Century Gothic" w:hAnsi="Century Gothic" w:cs="Arial"/>
          <w:sz w:val="24"/>
          <w:szCs w:val="24"/>
        </w:rPr>
        <w:t xml:space="preserve">, el 5 de enero de 2005 </w:t>
      </w:r>
      <w:r w:rsidRPr="00C32A38">
        <w:rPr>
          <w:rFonts w:ascii="Century Gothic" w:hAnsi="Century Gothic" w:cs="Arial"/>
          <w:b/>
          <w:sz w:val="24"/>
          <w:szCs w:val="24"/>
        </w:rPr>
        <w:t>el Tribunal Administrativo de Cundinamarca</w:t>
      </w:r>
      <w:r w:rsidRPr="00C32A38">
        <w:rPr>
          <w:rFonts w:ascii="Century Gothic" w:hAnsi="Century Gothic" w:cs="Arial"/>
          <w:sz w:val="24"/>
          <w:szCs w:val="24"/>
        </w:rPr>
        <w:t xml:space="preserve">, Sección Tercera, Sala de descongestión, </w:t>
      </w:r>
      <w:r w:rsidRPr="00C32A38">
        <w:rPr>
          <w:rFonts w:ascii="Century Gothic" w:hAnsi="Century Gothic" w:cs="Arial"/>
          <w:b/>
          <w:sz w:val="24"/>
          <w:szCs w:val="24"/>
        </w:rPr>
        <w:t>negó las pretensiones de la demanda</w:t>
      </w:r>
      <w:r w:rsidRPr="00C32A38">
        <w:rPr>
          <w:rFonts w:ascii="Century Gothic" w:hAnsi="Century Gothic" w:cs="Arial"/>
          <w:sz w:val="24"/>
          <w:szCs w:val="24"/>
          <w:vertAlign w:val="superscript"/>
        </w:rPr>
        <w:footnoteReference w:id="10"/>
      </w:r>
      <w:r w:rsidRPr="00C32A38">
        <w:rPr>
          <w:rFonts w:ascii="Century Gothic" w:hAnsi="Century Gothic" w:cs="Arial"/>
          <w:sz w:val="24"/>
          <w:szCs w:val="24"/>
        </w:rPr>
        <w:t>.</w:t>
      </w:r>
    </w:p>
    <w:p w14:paraId="410880F4" w14:textId="77777777" w:rsidR="00C32A38" w:rsidRPr="00C32A38" w:rsidRDefault="00C32A38" w:rsidP="00C32A38">
      <w:pPr>
        <w:spacing w:after="0" w:line="360" w:lineRule="auto"/>
        <w:jc w:val="both"/>
        <w:rPr>
          <w:rFonts w:ascii="Century Gothic" w:hAnsi="Century Gothic" w:cs="Arial"/>
          <w:sz w:val="24"/>
          <w:szCs w:val="24"/>
        </w:rPr>
      </w:pPr>
    </w:p>
    <w:p w14:paraId="7E47E42F"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lang w:val="es-ES"/>
        </w:rPr>
        <w:t xml:space="preserve">Frente al cargo de falta de competencia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para liquidar unilateralmente el contrato el Tribunal indicó que, de conformidad con la jurisprudencia del Consejo de Estado, el término de 4 meses previstos para </w:t>
      </w:r>
      <w:r w:rsidRPr="00C32A38">
        <w:rPr>
          <w:rFonts w:ascii="Century Gothic" w:hAnsi="Century Gothic" w:cs="Arial"/>
          <w:sz w:val="24"/>
          <w:szCs w:val="24"/>
          <w:lang w:val="es-ES"/>
        </w:rPr>
        <w:lastRenderedPageBreak/>
        <w:t xml:space="preserve">la liquidación bilateral y el de 2 meses para la liquidación unilateral del contrato eran indicativos, por lo que, con posterioridad a su vencimiento las partes de común acuerdo, o la entidad de manera autónoma, podían liquidarlo, siempre que no hubiese caducado la acción de controversias contractuales ni el contratista hubiera solicitado al juez su liquidación. </w:t>
      </w:r>
    </w:p>
    <w:p w14:paraId="2709CD38" w14:textId="77777777" w:rsidR="00C32A38" w:rsidRPr="00C32A38" w:rsidRDefault="00C32A38" w:rsidP="00C32A38">
      <w:pPr>
        <w:spacing w:after="0" w:line="240" w:lineRule="auto"/>
        <w:ind w:left="708"/>
        <w:rPr>
          <w:rFonts w:ascii="Century Gothic" w:hAnsi="Century Gothic" w:cs="Arial"/>
          <w:sz w:val="24"/>
          <w:szCs w:val="24"/>
          <w:lang w:val="es-ES"/>
        </w:rPr>
      </w:pPr>
    </w:p>
    <w:p w14:paraId="3E12B7C8"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lang w:val="es-ES"/>
        </w:rPr>
        <w:t xml:space="preserve">Por otra parte, sostuvo que la falsa motivación de un acto administrativo ocurría cuando los hechos relevantes en que la Administración fundamentaba su decisión no eran ciertos.  En el caso concreto, el acto de liquidación se había fundado en lo convenido por las partes y en las normas que gobiernan el contrato de fiducia, de las que resaltaba el artículo 1226 (administración de los bienes conforme la finalidad prevista por el fiduciante) y el numeral 3 del artículo 1236 del C. de Co. (devolución de los bienes con la extinción del negocio fiduciario). </w:t>
      </w:r>
    </w:p>
    <w:p w14:paraId="6F2156B5" w14:textId="77777777" w:rsidR="00C32A38" w:rsidRPr="00C32A38" w:rsidRDefault="00C32A38" w:rsidP="00C32A38">
      <w:pPr>
        <w:spacing w:after="0" w:line="360" w:lineRule="auto"/>
        <w:jc w:val="both"/>
        <w:rPr>
          <w:rFonts w:ascii="Century Gothic" w:hAnsi="Century Gothic" w:cs="Arial"/>
          <w:sz w:val="24"/>
          <w:szCs w:val="24"/>
        </w:rPr>
      </w:pPr>
    </w:p>
    <w:p w14:paraId="6D0862E6"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lang w:val="es-ES"/>
        </w:rPr>
        <w:t>Concluyó el Tribunal que la Administración estaba habilitada temporalmente para liquidar unilateralmente el contrato y que, además, lo había hecho conforme con las situaciones fácticas y jurídicas ocurridas durante la ejecución del mismo.</w:t>
      </w:r>
    </w:p>
    <w:p w14:paraId="75C70936" w14:textId="77777777" w:rsidR="00C32A38" w:rsidRPr="00C32A38" w:rsidRDefault="00C32A38" w:rsidP="00C32A38">
      <w:pPr>
        <w:spacing w:after="0" w:line="240" w:lineRule="auto"/>
        <w:ind w:left="708"/>
        <w:rPr>
          <w:rFonts w:ascii="Century Gothic" w:hAnsi="Century Gothic" w:cs="Arial"/>
          <w:sz w:val="24"/>
          <w:szCs w:val="24"/>
        </w:rPr>
      </w:pPr>
    </w:p>
    <w:p w14:paraId="6FB95FF7"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En el </w:t>
      </w:r>
      <w:r w:rsidRPr="00C32A38">
        <w:rPr>
          <w:rFonts w:ascii="Century Gothic" w:hAnsi="Century Gothic" w:cs="Arial"/>
          <w:b/>
          <w:sz w:val="24"/>
          <w:szCs w:val="24"/>
          <w:lang w:val="es-ES"/>
        </w:rPr>
        <w:t>expediente 34230,</w:t>
      </w:r>
      <w:r w:rsidRPr="00C32A38">
        <w:rPr>
          <w:rFonts w:ascii="Century Gothic" w:hAnsi="Century Gothic" w:cs="Arial"/>
          <w:sz w:val="24"/>
          <w:szCs w:val="24"/>
        </w:rPr>
        <w:t xml:space="preserve"> e</w:t>
      </w:r>
      <w:r w:rsidRPr="00C32A38">
        <w:rPr>
          <w:rFonts w:ascii="Century Gothic" w:hAnsi="Century Gothic" w:cs="Arial"/>
          <w:sz w:val="24"/>
          <w:szCs w:val="24"/>
          <w:lang w:val="es-ES"/>
        </w:rPr>
        <w:t>l 10 de diciembre de 1999</w:t>
      </w:r>
      <w:r w:rsidRPr="00C32A38">
        <w:rPr>
          <w:rFonts w:ascii="Century Gothic" w:hAnsi="Century Gothic" w:cs="Arial"/>
          <w:sz w:val="24"/>
          <w:szCs w:val="24"/>
          <w:vertAlign w:val="superscript"/>
          <w:lang w:val="es-ES"/>
        </w:rPr>
        <w:footnoteReference w:id="11"/>
      </w:r>
      <w:r w:rsidRPr="00C32A38">
        <w:rPr>
          <w:rFonts w:ascii="Century Gothic" w:hAnsi="Century Gothic" w:cs="Arial"/>
          <w:sz w:val="24"/>
          <w:szCs w:val="24"/>
          <w:lang w:val="es-ES"/>
        </w:rPr>
        <w:t xml:space="preserve"> el </w:t>
      </w:r>
      <w:proofErr w:type="spellStart"/>
      <w:r w:rsidRPr="00C32A38">
        <w:rPr>
          <w:rFonts w:ascii="Century Gothic" w:hAnsi="Century Gothic" w:cs="Arial"/>
          <w:sz w:val="24"/>
          <w:szCs w:val="24"/>
          <w:u w:val="single"/>
          <w:lang w:val="es-ES"/>
        </w:rPr>
        <w:t>Inurbe</w:t>
      </w:r>
      <w:proofErr w:type="spellEnd"/>
      <w:r w:rsidRPr="00C32A38">
        <w:rPr>
          <w:rFonts w:ascii="Century Gothic" w:hAnsi="Century Gothic" w:cs="Arial"/>
          <w:sz w:val="24"/>
          <w:szCs w:val="24"/>
          <w:lang w:val="es-ES"/>
        </w:rPr>
        <w:t xml:space="preserve">, a través de apoderada judicial, en ejercicio de la acción contractual, presentó </w:t>
      </w:r>
      <w:r w:rsidRPr="00C32A38">
        <w:rPr>
          <w:rFonts w:ascii="Century Gothic" w:hAnsi="Century Gothic" w:cs="Arial"/>
          <w:b/>
          <w:sz w:val="24"/>
          <w:szCs w:val="24"/>
          <w:lang w:val="es-ES"/>
        </w:rPr>
        <w:t xml:space="preserve">demanda </w:t>
      </w:r>
      <w:r w:rsidRPr="00C32A38">
        <w:rPr>
          <w:rFonts w:ascii="Century Gothic" w:hAnsi="Century Gothic" w:cs="Arial"/>
          <w:sz w:val="24"/>
          <w:szCs w:val="24"/>
          <w:lang w:val="es-ES"/>
        </w:rPr>
        <w:t xml:space="preserve">ante el Tribunal Administrativo de Cundinamarca contra </w:t>
      </w:r>
      <w:proofErr w:type="spellStart"/>
      <w:r w:rsidRPr="00C32A38">
        <w:rPr>
          <w:rFonts w:ascii="Century Gothic" w:hAnsi="Century Gothic" w:cs="Arial"/>
          <w:sz w:val="24"/>
          <w:szCs w:val="24"/>
          <w:u w:val="single"/>
          <w:lang w:val="es-ES"/>
        </w:rPr>
        <w:t>Fidultra</w:t>
      </w:r>
      <w:proofErr w:type="spellEnd"/>
      <w:r w:rsidRPr="00C32A38">
        <w:rPr>
          <w:rFonts w:ascii="Century Gothic" w:hAnsi="Century Gothic" w:cs="Arial"/>
          <w:sz w:val="24"/>
          <w:szCs w:val="24"/>
          <w:lang w:val="es-ES"/>
        </w:rPr>
        <w:t xml:space="preserve"> con el objeto de que se hicieran las siguientes declaraciones: que el contrato No 103 de 1995 y su adicional, No. 1 de 31 de diciembre de 1996, son contratos estatales de fiducia regidos por la Ley 80 de 1993 y que la totalidad del dinero entregado por la entidad demandante a la sociedad demandada eran dineros públicos destinados al financiamiento de vivienda de interés social; que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incumplió el contrato por negarse a pagar las obligaciones dinerarias y retardar la liquidación del mismo; que se condenara a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a pagar al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$ 3.847’655.796 de conformidad con lo dispuesto en la Resolución No. 718 de 23 de noviembre de 1999 mediante la cual la entidad liquidó unilateralmente el contrato.</w:t>
      </w:r>
    </w:p>
    <w:p w14:paraId="35A3709B" w14:textId="77777777" w:rsidR="00C32A38" w:rsidRPr="00C32A38" w:rsidRDefault="00C32A38" w:rsidP="00C32A38">
      <w:pPr>
        <w:spacing w:after="0" w:line="240" w:lineRule="auto"/>
        <w:ind w:left="708"/>
        <w:rPr>
          <w:rFonts w:ascii="Century Gothic" w:hAnsi="Century Gothic" w:cs="Arial"/>
          <w:sz w:val="24"/>
          <w:szCs w:val="24"/>
          <w:lang w:val="es-ES"/>
        </w:rPr>
      </w:pPr>
    </w:p>
    <w:p w14:paraId="5A23B71C"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lang w:val="es-ES"/>
        </w:rPr>
        <w:lastRenderedPageBreak/>
        <w:t xml:space="preserve">Como pretensión subsidiaria solicitó que, de llegar a invalidar el Tribunal el acto de liquidación unilateral contenido en la Resolución No. 718 de 23 de noviembre de 1999, realizara en sede judicial la liquidación del contrato con fundamento en las pruebas aportadas con la demanda. </w:t>
      </w:r>
    </w:p>
    <w:p w14:paraId="27348DFB" w14:textId="77777777" w:rsidR="00C32A38" w:rsidRPr="00C32A38" w:rsidRDefault="00C32A38" w:rsidP="00C32A38">
      <w:pPr>
        <w:spacing w:after="0" w:line="360" w:lineRule="auto"/>
        <w:jc w:val="both"/>
        <w:rPr>
          <w:rFonts w:ascii="Century Gothic" w:hAnsi="Century Gothic" w:cs="Arial"/>
          <w:sz w:val="24"/>
          <w:szCs w:val="24"/>
        </w:rPr>
      </w:pPr>
      <w:r w:rsidRPr="00C32A38">
        <w:rPr>
          <w:rFonts w:ascii="Century Gothic" w:hAnsi="Century Gothic" w:cs="Arial"/>
          <w:sz w:val="24"/>
          <w:szCs w:val="24"/>
          <w:lang w:val="es-ES"/>
        </w:rPr>
        <w:t xml:space="preserve">En la </w:t>
      </w:r>
      <w:r w:rsidRPr="00C32A38">
        <w:rPr>
          <w:rFonts w:ascii="Century Gothic" w:hAnsi="Century Gothic" w:cs="Arial"/>
          <w:b/>
          <w:sz w:val="24"/>
          <w:szCs w:val="24"/>
          <w:lang w:val="es-ES"/>
        </w:rPr>
        <w:t>demanda</w:t>
      </w:r>
      <w:r w:rsidRPr="00C32A38">
        <w:rPr>
          <w:rFonts w:ascii="Century Gothic" w:hAnsi="Century Gothic" w:cs="Arial"/>
          <w:sz w:val="24"/>
          <w:szCs w:val="24"/>
          <w:lang w:val="es-ES"/>
        </w:rPr>
        <w:t xml:space="preserve"> la parte actora narró los siguientes </w:t>
      </w:r>
      <w:r w:rsidRPr="00C32A38">
        <w:rPr>
          <w:rFonts w:ascii="Century Gothic" w:hAnsi="Century Gothic" w:cs="Arial"/>
          <w:b/>
          <w:sz w:val="24"/>
          <w:szCs w:val="24"/>
          <w:lang w:val="es-ES"/>
        </w:rPr>
        <w:t>hechos</w:t>
      </w:r>
      <w:r w:rsidRPr="00C32A38">
        <w:rPr>
          <w:rFonts w:ascii="Century Gothic" w:hAnsi="Century Gothic" w:cs="Arial"/>
          <w:sz w:val="24"/>
          <w:szCs w:val="24"/>
          <w:lang w:val="es-ES"/>
        </w:rPr>
        <w:t xml:space="preserve">: </w:t>
      </w:r>
    </w:p>
    <w:p w14:paraId="2637A3BC" w14:textId="77777777" w:rsidR="00C32A38" w:rsidRPr="00C32A38" w:rsidRDefault="00C32A38" w:rsidP="00C32A38">
      <w:pPr>
        <w:spacing w:after="0" w:line="240" w:lineRule="auto"/>
        <w:ind w:left="708"/>
        <w:rPr>
          <w:rFonts w:ascii="Century Gothic" w:hAnsi="Century Gothic" w:cs="Arial"/>
          <w:sz w:val="24"/>
          <w:szCs w:val="24"/>
          <w:lang w:val="es-ES"/>
        </w:rPr>
      </w:pPr>
    </w:p>
    <w:p w14:paraId="3F913D10"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lang w:val="es-ES"/>
        </w:rPr>
        <w:t xml:space="preserve">El 22 de diciembre de 1995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y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suscribieron el contrato de fiducia pública No. 103, el cual tenía por objeto “</w:t>
      </w:r>
      <w:r w:rsidRPr="00C32A38">
        <w:rPr>
          <w:rFonts w:ascii="Century Gothic" w:hAnsi="Century Gothic" w:cs="Arial"/>
          <w:i/>
          <w:sz w:val="24"/>
          <w:szCs w:val="24"/>
          <w:lang w:val="es-ES"/>
        </w:rPr>
        <w:t>la administración e inversión de los recursos destinados a realizar operaciones de apalancamiento por parte del INURBE, para créditos otorgados directamente a entidades del SINAVIS, o a través de intermediarios financieros”</w:t>
      </w:r>
      <w:r w:rsidRPr="00C32A38">
        <w:rPr>
          <w:rFonts w:ascii="Century Gothic" w:hAnsi="Century Gothic" w:cs="Arial"/>
          <w:i/>
          <w:sz w:val="24"/>
          <w:szCs w:val="24"/>
          <w:vertAlign w:val="superscript"/>
          <w:lang w:val="es-ES"/>
        </w:rPr>
        <w:footnoteReference w:id="12"/>
      </w:r>
      <w:r w:rsidRPr="00C32A38">
        <w:rPr>
          <w:rFonts w:ascii="Century Gothic" w:hAnsi="Century Gothic" w:cs="Arial"/>
          <w:i/>
          <w:sz w:val="24"/>
          <w:szCs w:val="24"/>
          <w:lang w:val="es-ES"/>
        </w:rPr>
        <w:t xml:space="preserve">. </w:t>
      </w:r>
    </w:p>
    <w:p w14:paraId="41E05984" w14:textId="77777777" w:rsidR="00C32A38" w:rsidRPr="00C32A38" w:rsidRDefault="00C32A38" w:rsidP="00C32A38">
      <w:pPr>
        <w:spacing w:after="0" w:line="360" w:lineRule="auto"/>
        <w:jc w:val="both"/>
        <w:rPr>
          <w:rFonts w:ascii="Century Gothic" w:hAnsi="Century Gothic" w:cs="Arial"/>
          <w:sz w:val="24"/>
          <w:szCs w:val="24"/>
        </w:rPr>
      </w:pPr>
    </w:p>
    <w:p w14:paraId="56D6FA76"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lang w:val="es-ES"/>
        </w:rPr>
        <w:t>El plazo del contrato vencía el 31 de diciembre de 1996; no obstante, mediante contrato adicional No. 1, las partes prorrogaron dicho término hasta el 31 de diciembre de 1997.</w:t>
      </w:r>
    </w:p>
    <w:p w14:paraId="10537516" w14:textId="77777777" w:rsidR="00C32A38" w:rsidRPr="00C32A38" w:rsidRDefault="00C32A38" w:rsidP="00C32A38">
      <w:pPr>
        <w:spacing w:after="0" w:line="240" w:lineRule="auto"/>
        <w:ind w:left="708"/>
        <w:rPr>
          <w:rFonts w:ascii="Century Gothic" w:hAnsi="Century Gothic" w:cs="Arial"/>
          <w:sz w:val="24"/>
          <w:szCs w:val="24"/>
          <w:lang w:val="es-ES"/>
        </w:rPr>
      </w:pPr>
    </w:p>
    <w:p w14:paraId="6CBF75E7"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lang w:val="es-ES"/>
        </w:rPr>
        <w:t xml:space="preserve">Para la ejecución del contrato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entregó a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$5.733’046.912, de los cuales la sociedad fiduciaria reintegró $3.111’210.994 al vencimiento del plazo de ejecución, por lo que adeuda a la entidad $2.630’438.831.</w:t>
      </w:r>
    </w:p>
    <w:p w14:paraId="081AFF81" w14:textId="77777777" w:rsidR="00C32A38" w:rsidRPr="00C32A38" w:rsidRDefault="00C32A38" w:rsidP="00C32A38">
      <w:pPr>
        <w:spacing w:after="0" w:line="240" w:lineRule="auto"/>
        <w:ind w:left="708"/>
        <w:rPr>
          <w:rFonts w:ascii="Century Gothic" w:hAnsi="Century Gothic" w:cs="Arial"/>
          <w:sz w:val="24"/>
          <w:szCs w:val="24"/>
          <w:lang w:val="es-ES"/>
        </w:rPr>
      </w:pPr>
    </w:p>
    <w:p w14:paraId="0EC8B096"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Para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había indicado como razón para no reintegrar la última suma mencionada, que esta fue invertida con aprobación de la Junta Administradora de la Fiducia en las cooperativas </w:t>
      </w:r>
      <w:proofErr w:type="spellStart"/>
      <w:r w:rsidRPr="00C32A38">
        <w:rPr>
          <w:rFonts w:ascii="Century Gothic" w:hAnsi="Century Gothic" w:cs="Arial"/>
          <w:sz w:val="24"/>
          <w:szCs w:val="24"/>
          <w:lang w:val="es-ES"/>
        </w:rPr>
        <w:t>Cooservir</w:t>
      </w:r>
      <w:proofErr w:type="spellEnd"/>
      <w:r w:rsidRPr="00C32A38">
        <w:rPr>
          <w:rFonts w:ascii="Century Gothic" w:hAnsi="Century Gothic" w:cs="Arial"/>
          <w:sz w:val="24"/>
          <w:szCs w:val="24"/>
          <w:lang w:val="es-ES"/>
        </w:rPr>
        <w:t xml:space="preserve"> y Avancemos, las cuales no habían devuelto el dinero porque “</w:t>
      </w:r>
      <w:r w:rsidRPr="00C32A38">
        <w:rPr>
          <w:rFonts w:ascii="Century Gothic" w:hAnsi="Century Gothic" w:cs="Arial"/>
          <w:i/>
          <w:sz w:val="24"/>
          <w:szCs w:val="24"/>
          <w:lang w:val="es-ES"/>
        </w:rPr>
        <w:t>quebraron”</w:t>
      </w:r>
      <w:r w:rsidRPr="00C32A38">
        <w:rPr>
          <w:rFonts w:ascii="Century Gothic" w:hAnsi="Century Gothic" w:cs="Arial"/>
          <w:sz w:val="24"/>
          <w:szCs w:val="24"/>
          <w:lang w:val="es-ES"/>
        </w:rPr>
        <w:t>. Por tanto, a juicio de la sociedad contratista, no era su responsabilidad que ese monto se hubiera perdido.</w:t>
      </w:r>
    </w:p>
    <w:p w14:paraId="442B3139" w14:textId="77777777" w:rsidR="00C32A38" w:rsidRPr="00C32A38" w:rsidRDefault="00C32A38" w:rsidP="00C32A38">
      <w:pPr>
        <w:spacing w:after="0" w:line="240" w:lineRule="auto"/>
        <w:ind w:left="708"/>
        <w:rPr>
          <w:rFonts w:ascii="Century Gothic" w:hAnsi="Century Gothic" w:cs="Arial"/>
          <w:sz w:val="24"/>
          <w:szCs w:val="24"/>
          <w:lang w:val="es-ES"/>
        </w:rPr>
      </w:pPr>
    </w:p>
    <w:p w14:paraId="480C4387"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El 9 de noviembre de 1999 los representantes de las partes intentaron conciliar las diferencias sin lograr un arreglo, por lo que la entidad citó al contratista para la liquidación, de común acuerdo, del contrato. Ante la inasistencia de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liquidó unilateralmente el contrato No. 103 de 1995 y su adicional No. 1 de 1996 a través de Resolución 718 de 23 de noviembre de 1999.</w:t>
      </w:r>
    </w:p>
    <w:p w14:paraId="19877A7F" w14:textId="77777777" w:rsidR="00C32A38" w:rsidRPr="00C32A38" w:rsidRDefault="00C32A38" w:rsidP="00C32A38">
      <w:pPr>
        <w:spacing w:after="0" w:line="240" w:lineRule="auto"/>
        <w:ind w:left="708"/>
        <w:rPr>
          <w:rFonts w:ascii="Century Gothic" w:hAnsi="Century Gothic" w:cs="Arial"/>
          <w:sz w:val="24"/>
          <w:szCs w:val="24"/>
          <w:lang w:val="es-ES"/>
        </w:rPr>
      </w:pPr>
    </w:p>
    <w:p w14:paraId="7D73158D"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lastRenderedPageBreak/>
        <w:t xml:space="preserve">Como </w:t>
      </w:r>
      <w:r w:rsidRPr="00C32A38">
        <w:rPr>
          <w:rFonts w:ascii="Century Gothic" w:hAnsi="Century Gothic" w:cs="Arial"/>
          <w:b/>
          <w:sz w:val="24"/>
          <w:szCs w:val="24"/>
          <w:lang w:val="es-ES"/>
        </w:rPr>
        <w:t xml:space="preserve">fundamentos de derecho </w:t>
      </w:r>
      <w:r w:rsidRPr="00C32A38">
        <w:rPr>
          <w:rFonts w:ascii="Century Gothic" w:hAnsi="Century Gothic" w:cs="Arial"/>
          <w:sz w:val="24"/>
          <w:szCs w:val="24"/>
          <w:lang w:val="es-ES"/>
        </w:rPr>
        <w:t>la entidad demandante sostuvo similares argumentos a los esgrimidos al contestar la demanda del proceso 30634:</w:t>
      </w:r>
    </w:p>
    <w:p w14:paraId="430EC400" w14:textId="77777777" w:rsidR="00C32A38" w:rsidRPr="00C32A38" w:rsidRDefault="00C32A38" w:rsidP="00C32A38">
      <w:pPr>
        <w:spacing w:after="0" w:line="360" w:lineRule="auto"/>
        <w:jc w:val="both"/>
        <w:rPr>
          <w:rFonts w:ascii="Century Gothic" w:hAnsi="Century Gothic" w:cs="Arial"/>
          <w:sz w:val="24"/>
          <w:szCs w:val="24"/>
          <w:lang w:val="es-ES"/>
        </w:rPr>
      </w:pPr>
    </w:p>
    <w:p w14:paraId="2881FE8E" w14:textId="77777777" w:rsidR="00C32A38" w:rsidRPr="00C32A38" w:rsidRDefault="00C32A38" w:rsidP="00C32A38">
      <w:pPr>
        <w:numPr>
          <w:ilvl w:val="0"/>
          <w:numId w:val="4"/>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El hecho de existir una Junta Administradora que aprobara las inversiones en las cooperativas desaparecidas no exonera a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de la restitución del dinero invertido, ya que una disposición contractual no puede desconocer la ley. </w:t>
      </w:r>
    </w:p>
    <w:p w14:paraId="1E0F5D2A" w14:textId="77777777" w:rsidR="00C32A38" w:rsidRPr="00C32A38" w:rsidRDefault="00C32A38" w:rsidP="00C32A38">
      <w:pPr>
        <w:numPr>
          <w:ilvl w:val="0"/>
          <w:numId w:val="4"/>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Con la pérdida del dinero entregado a las cooperativas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desconoció los artículos 4 (derecho del contratista a la ejecución idónea y oportuna del objeto contratado), 5 (que el objeto contratado sea de la mejor calidad) y 25 (principio de economía) de la Ley 80 de 1993.</w:t>
      </w:r>
    </w:p>
    <w:p w14:paraId="4E75C3FD" w14:textId="77777777" w:rsidR="00C32A38" w:rsidRPr="00C32A38" w:rsidRDefault="00C32A38" w:rsidP="00C32A38">
      <w:pPr>
        <w:numPr>
          <w:ilvl w:val="0"/>
          <w:numId w:val="4"/>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El artículo 32 de la Ley 80 de 1993 creó el tipo contractual de fiducia pública al cual pertenece el contrato 103/95. Aunque en este tipo de contrato no hay trasferencia de la propiedad y no se crea un patrimonio autónomo, la fiduciaria, como tenedora y administradora de los bienes, es responsable de los mismos. Si bien en el artículo en comento se indica que las entidades fideicomitentes no pueden delegar en las sociedades fiduciarias la adjudicación de contratos que se celebren en desarrollo de la fiducia pública, dicha prohibición refiere a aquellos necesarios para la ejecución y desarrollo del contrato y no a las inversiones, pues es ese el objeto principal de la fiducia. </w:t>
      </w:r>
    </w:p>
    <w:p w14:paraId="16EC8F70" w14:textId="77777777" w:rsidR="00C32A38" w:rsidRPr="00C32A38" w:rsidRDefault="00C32A38" w:rsidP="00C32A38">
      <w:pPr>
        <w:numPr>
          <w:ilvl w:val="0"/>
          <w:numId w:val="4"/>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La cláusula 7 del contrato obligaba a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a realizar las inversiones </w:t>
      </w:r>
      <w:r w:rsidRPr="00C32A38">
        <w:rPr>
          <w:rFonts w:ascii="Century Gothic" w:hAnsi="Century Gothic" w:cs="Arial"/>
          <w:i/>
          <w:sz w:val="24"/>
          <w:szCs w:val="24"/>
          <w:lang w:val="es-ES"/>
        </w:rPr>
        <w:t xml:space="preserve">“atendiendo a criterios de seguridad y rentabilidad”, </w:t>
      </w:r>
      <w:r w:rsidRPr="00C32A38">
        <w:rPr>
          <w:rFonts w:ascii="Century Gothic" w:hAnsi="Century Gothic" w:cs="Arial"/>
          <w:sz w:val="24"/>
          <w:szCs w:val="24"/>
          <w:lang w:val="es-ES"/>
        </w:rPr>
        <w:t xml:space="preserve">obligación a la cual se sumaban las previstas en el artículo 1234 del C. de Co. sobre la diligencia de sus actuaciones, la protección y defensa de los recursos, inversión de acuerdo con el acto constitutivo, la procura del mayor rendimiento y restitución de los bienes una vez terminado el contrato. Todo lo anterior en concordancia con los derechos del fiduciante previstos por el artículo 1236 de la misma codificación y la regla general del artículo 1242 sobre restitución de bienes y la ineficacia de los pactos que dispongan la adquisición definitiva de los bienes por parte del fiduciario. </w:t>
      </w:r>
    </w:p>
    <w:p w14:paraId="0C477CF4" w14:textId="77777777" w:rsidR="00C32A38" w:rsidRPr="00C32A38" w:rsidRDefault="00C32A38" w:rsidP="00C32A38">
      <w:pPr>
        <w:numPr>
          <w:ilvl w:val="0"/>
          <w:numId w:val="4"/>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Asimismo, el artículo 1243 del C. de Co. indica que el fiduciario responde </w:t>
      </w:r>
      <w:r w:rsidRPr="00C32A38">
        <w:rPr>
          <w:rFonts w:ascii="Century Gothic" w:hAnsi="Century Gothic" w:cs="Arial"/>
          <w:i/>
          <w:sz w:val="24"/>
          <w:szCs w:val="24"/>
          <w:lang w:val="es-ES"/>
        </w:rPr>
        <w:t>hasta de la culpa leve en el cumplimiento de su gestión</w:t>
      </w:r>
      <w:r w:rsidRPr="00C32A38">
        <w:rPr>
          <w:rFonts w:ascii="Century Gothic" w:hAnsi="Century Gothic" w:cs="Arial"/>
          <w:sz w:val="24"/>
          <w:szCs w:val="24"/>
          <w:lang w:val="es-ES"/>
        </w:rPr>
        <w:t xml:space="preserve">, carga que no cumplió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al invertir las sumas encomendadas en forma riesgosa, hasta el punto de que resulta imposible su recuperación. </w:t>
      </w:r>
    </w:p>
    <w:p w14:paraId="2D915823" w14:textId="77777777" w:rsidR="00C32A38" w:rsidRPr="00C32A38" w:rsidRDefault="00C32A38" w:rsidP="00C32A38">
      <w:pPr>
        <w:numPr>
          <w:ilvl w:val="0"/>
          <w:numId w:val="4"/>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lastRenderedPageBreak/>
        <w:t xml:space="preserve">Sobre la liquidación del contrato señaló que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no compareció a realizarla de común acuerdo, por lo que, de conformidad con lo dispuesto en el artículo 61 de la Ley 80 de 1993,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tenía competencia para efectuarla de forma unilateral, máxime cuando la norma señalada no prevé un límite temporal para el efecto. </w:t>
      </w:r>
    </w:p>
    <w:p w14:paraId="3BEEF2BC" w14:textId="77777777" w:rsidR="00C32A38" w:rsidRPr="00C32A38" w:rsidRDefault="00C32A38" w:rsidP="00C32A38">
      <w:pPr>
        <w:spacing w:after="0" w:line="360" w:lineRule="auto"/>
        <w:ind w:left="720"/>
        <w:jc w:val="both"/>
        <w:rPr>
          <w:rFonts w:ascii="Century Gothic" w:hAnsi="Century Gothic" w:cs="Arial"/>
          <w:sz w:val="24"/>
          <w:szCs w:val="24"/>
          <w:lang w:val="es-ES"/>
        </w:rPr>
      </w:pPr>
    </w:p>
    <w:p w14:paraId="58E2DCBA"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w:t>
      </w:r>
      <w:r w:rsidRPr="00C32A38">
        <w:rPr>
          <w:rFonts w:ascii="Century Gothic" w:hAnsi="Century Gothic" w:cs="Arial"/>
          <w:b/>
          <w:sz w:val="24"/>
          <w:szCs w:val="24"/>
        </w:rPr>
        <w:t>contestó la demanda</w:t>
      </w:r>
      <w:r w:rsidRPr="00C32A38">
        <w:rPr>
          <w:rFonts w:ascii="Century Gothic" w:hAnsi="Century Gothic" w:cs="Arial"/>
          <w:sz w:val="24"/>
          <w:szCs w:val="24"/>
          <w:vertAlign w:val="superscript"/>
        </w:rPr>
        <w:footnoteReference w:id="13"/>
      </w:r>
      <w:r w:rsidRPr="00C32A38">
        <w:rPr>
          <w:rFonts w:ascii="Century Gothic" w:hAnsi="Century Gothic" w:cs="Arial"/>
          <w:sz w:val="24"/>
          <w:szCs w:val="24"/>
        </w:rPr>
        <w:t xml:space="preserve">, se opuso a la totalidad de las pretensiones y propuso tres </w:t>
      </w:r>
      <w:r w:rsidRPr="00C32A38">
        <w:rPr>
          <w:rFonts w:ascii="Century Gothic" w:hAnsi="Century Gothic" w:cs="Arial"/>
          <w:b/>
          <w:sz w:val="24"/>
          <w:szCs w:val="24"/>
        </w:rPr>
        <w:t>excepciones</w:t>
      </w:r>
      <w:r w:rsidRPr="00C32A38">
        <w:rPr>
          <w:rFonts w:ascii="Century Gothic" w:hAnsi="Century Gothic" w:cs="Arial"/>
          <w:sz w:val="24"/>
          <w:szCs w:val="24"/>
        </w:rPr>
        <w:t>, que se exponen a continuación:</w:t>
      </w:r>
    </w:p>
    <w:p w14:paraId="123AC1E3" w14:textId="77777777" w:rsidR="00C32A38" w:rsidRPr="00C32A38" w:rsidRDefault="00C32A38" w:rsidP="00C32A38">
      <w:pPr>
        <w:spacing w:after="0" w:line="360" w:lineRule="auto"/>
        <w:jc w:val="both"/>
        <w:rPr>
          <w:rFonts w:ascii="Century Gothic" w:hAnsi="Century Gothic" w:cs="Arial"/>
          <w:sz w:val="24"/>
          <w:szCs w:val="24"/>
        </w:rPr>
      </w:pPr>
    </w:p>
    <w:p w14:paraId="732CCDAB"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rPr>
        <w:t>En primer lugar, propuso la excepción que denominó “</w:t>
      </w:r>
      <w:r w:rsidRPr="00C32A38">
        <w:rPr>
          <w:rFonts w:ascii="Century Gothic" w:hAnsi="Century Gothic" w:cs="Arial"/>
          <w:i/>
          <w:sz w:val="24"/>
          <w:szCs w:val="24"/>
        </w:rPr>
        <w:t>pleito pendiente entre las mismas partes y sobre el mismo asunto</w:t>
      </w:r>
      <w:r w:rsidRPr="00C32A38">
        <w:rPr>
          <w:rFonts w:ascii="Century Gothic" w:hAnsi="Century Gothic" w:cs="Arial"/>
          <w:sz w:val="24"/>
          <w:szCs w:val="24"/>
        </w:rPr>
        <w:t xml:space="preserve">” por cursar en el mismo Tribunal un proceso que pretendía la nulidad de la Resolución que había liquidado unilateralmente el contrato, fundado en los mismos hechos que la demanda del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Al respecto sostuvo lo siguiente (se trascribe):</w:t>
      </w:r>
    </w:p>
    <w:p w14:paraId="18DB1FC5" w14:textId="77777777" w:rsidR="00C32A38" w:rsidRPr="00C32A38" w:rsidRDefault="00C32A38" w:rsidP="00C32A38">
      <w:pPr>
        <w:spacing w:after="0" w:line="240" w:lineRule="auto"/>
        <w:jc w:val="both"/>
        <w:rPr>
          <w:rFonts w:ascii="Century Gothic" w:hAnsi="Century Gothic" w:cs="Arial"/>
          <w:sz w:val="24"/>
          <w:szCs w:val="24"/>
        </w:rPr>
      </w:pPr>
    </w:p>
    <w:p w14:paraId="295E8BC7" w14:textId="77777777" w:rsidR="00C32A38" w:rsidRPr="00C32A38" w:rsidRDefault="00C32A38" w:rsidP="00C32A38">
      <w:pPr>
        <w:spacing w:after="0" w:line="276" w:lineRule="auto"/>
        <w:ind w:left="567" w:right="567"/>
        <w:jc w:val="both"/>
        <w:rPr>
          <w:rFonts w:ascii="Century Gothic" w:hAnsi="Century Gothic" w:cs="Arial"/>
          <w:i/>
        </w:rPr>
      </w:pPr>
      <w:r w:rsidRPr="00C32A38">
        <w:rPr>
          <w:rFonts w:ascii="Century Gothic" w:hAnsi="Century Gothic" w:cs="Arial"/>
        </w:rPr>
        <w:t>“</w:t>
      </w:r>
      <w:r w:rsidRPr="00C32A38">
        <w:rPr>
          <w:rFonts w:ascii="Century Gothic" w:hAnsi="Century Gothic" w:cs="Arial"/>
          <w:i/>
        </w:rPr>
        <w:t>[E]n el proceso que adelanta FIDULTRA contra el INURBE se están impugnando las razones que esgrimió el Instituto para liquidar el contrato de la manera en que finalmente lo hizo. Y en este proceso, el INURBE pretende que esos argumentos que le sirvieron de soporte para expedir la resolución de liquidación, sean avalados por el juez administrativo”</w:t>
      </w:r>
      <w:r w:rsidRPr="00C32A38">
        <w:rPr>
          <w:rFonts w:ascii="Century Gothic" w:hAnsi="Century Gothic" w:cs="Arial"/>
          <w:i/>
          <w:vertAlign w:val="superscript"/>
        </w:rPr>
        <w:footnoteReference w:id="14"/>
      </w:r>
      <w:r w:rsidRPr="00C32A38">
        <w:rPr>
          <w:rFonts w:ascii="Century Gothic" w:hAnsi="Century Gothic" w:cs="Arial"/>
          <w:i/>
        </w:rPr>
        <w:t>.</w:t>
      </w:r>
    </w:p>
    <w:p w14:paraId="2B252883" w14:textId="77777777" w:rsidR="00C32A38" w:rsidRPr="00C32A38" w:rsidRDefault="00C32A38" w:rsidP="00C32A38">
      <w:pPr>
        <w:spacing w:after="0" w:line="240" w:lineRule="auto"/>
        <w:jc w:val="both"/>
        <w:rPr>
          <w:rFonts w:ascii="Century Gothic" w:hAnsi="Century Gothic" w:cs="Arial"/>
          <w:sz w:val="24"/>
          <w:szCs w:val="24"/>
          <w:lang w:val="es-ES"/>
        </w:rPr>
      </w:pPr>
    </w:p>
    <w:p w14:paraId="4B8FED8D"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En segundo lugar, propuso la excepción que denominó “</w:t>
      </w:r>
      <w:r w:rsidRPr="00C32A38">
        <w:rPr>
          <w:rFonts w:ascii="Century Gothic" w:hAnsi="Century Gothic" w:cs="Arial"/>
          <w:i/>
          <w:sz w:val="24"/>
          <w:szCs w:val="24"/>
          <w:lang w:val="es-ES"/>
        </w:rPr>
        <w:t>falta de interés para demandar”</w:t>
      </w:r>
      <w:r w:rsidRPr="00C32A38">
        <w:rPr>
          <w:rFonts w:ascii="Century Gothic" w:hAnsi="Century Gothic" w:cs="Arial"/>
          <w:sz w:val="24"/>
          <w:szCs w:val="24"/>
          <w:lang w:val="es-ES"/>
        </w:rPr>
        <w:t xml:space="preserve">, según la cual la resolución de liquidación unilateral de contrato proferida por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y la que resolvió el recurso de reposición, se encontraban en firme y, por tanto, podían hacerse exigibles de forma coercitiva a través de la acción ejecutiva. Dichos actos administrativos gozaban de presunción de legalidad hasta cuando no sean declarados nulos por el juez competente; en consecuencia, “</w:t>
      </w:r>
      <w:r w:rsidRPr="00C32A38">
        <w:rPr>
          <w:rFonts w:ascii="Century Gothic" w:hAnsi="Century Gothic" w:cs="Arial"/>
          <w:i/>
          <w:sz w:val="24"/>
          <w:szCs w:val="24"/>
          <w:lang w:val="es-ES"/>
        </w:rPr>
        <w:t>la Administración no tiene un interés jurídico válido para formular las pretensiones declarativas y de condena que son objeto de la demanda, porque ya fueron reconocidas en un acto en firme y amparado por el principio de legalidad”</w:t>
      </w:r>
      <w:r w:rsidRPr="00C32A38">
        <w:rPr>
          <w:rFonts w:ascii="Century Gothic" w:hAnsi="Century Gothic" w:cs="Arial"/>
          <w:i/>
          <w:sz w:val="24"/>
          <w:szCs w:val="24"/>
          <w:vertAlign w:val="superscript"/>
          <w:lang w:val="es-ES"/>
        </w:rPr>
        <w:footnoteReference w:id="15"/>
      </w:r>
      <w:r w:rsidRPr="00C32A38">
        <w:rPr>
          <w:rFonts w:ascii="Century Gothic" w:hAnsi="Century Gothic" w:cs="Arial"/>
          <w:i/>
          <w:sz w:val="24"/>
          <w:szCs w:val="24"/>
          <w:lang w:val="es-ES"/>
        </w:rPr>
        <w:t xml:space="preserve">. </w:t>
      </w:r>
    </w:p>
    <w:p w14:paraId="6B990A65" w14:textId="77777777" w:rsidR="00C32A38" w:rsidRPr="00C32A38" w:rsidRDefault="00C32A38" w:rsidP="00C32A38">
      <w:pPr>
        <w:spacing w:after="0" w:line="360" w:lineRule="auto"/>
        <w:jc w:val="both"/>
        <w:rPr>
          <w:rFonts w:ascii="Century Gothic" w:hAnsi="Century Gothic" w:cs="Arial"/>
          <w:sz w:val="24"/>
          <w:szCs w:val="24"/>
          <w:lang w:val="es-ES"/>
        </w:rPr>
      </w:pPr>
    </w:p>
    <w:p w14:paraId="6930AC2A"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Finalmente, propuso la excepción que denominó “</w:t>
      </w:r>
      <w:r w:rsidRPr="00C32A38">
        <w:rPr>
          <w:rFonts w:ascii="Century Gothic" w:hAnsi="Century Gothic" w:cs="Arial"/>
          <w:i/>
          <w:sz w:val="24"/>
          <w:szCs w:val="24"/>
          <w:lang w:val="es-ES"/>
        </w:rPr>
        <w:t xml:space="preserve">cumplimiento de las obligaciones contractuales”. </w:t>
      </w:r>
      <w:r w:rsidRPr="00C32A38">
        <w:rPr>
          <w:rFonts w:ascii="Century Gothic" w:hAnsi="Century Gothic" w:cs="Arial"/>
          <w:sz w:val="24"/>
          <w:szCs w:val="24"/>
          <w:lang w:val="es-ES"/>
        </w:rPr>
        <w:t xml:space="preserve">Al respecto adujo que, de acuerdo con las </w:t>
      </w:r>
      <w:r w:rsidRPr="00C32A38">
        <w:rPr>
          <w:rFonts w:ascii="Century Gothic" w:hAnsi="Century Gothic" w:cs="Arial"/>
          <w:sz w:val="24"/>
          <w:szCs w:val="24"/>
          <w:lang w:val="es-ES"/>
        </w:rPr>
        <w:lastRenderedPageBreak/>
        <w:t xml:space="preserve">normas que gobiernan el contrato de fiducia pública,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no había trasferido a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los bienes fideicomitidos, así como tampoco podía la entidad delegar en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la adjudicación de los contratos que para la ejecución del negocio fiduciario aquella celebrara con terceros. Por ello, la fiduciaria se había limitado a girar los recursos a las cooperativas según las condiciones —monto, plazo, tasa y título representativo— previamente definidas por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quien había adoptado dichas determinaciones con el conocimiento de los riesgos de su decisión. Así, la sociedad demandada no podía ser responsable por “</w:t>
      </w:r>
      <w:r w:rsidRPr="00C32A38">
        <w:rPr>
          <w:rFonts w:ascii="Century Gothic" w:hAnsi="Century Gothic" w:cs="Arial"/>
          <w:i/>
          <w:sz w:val="24"/>
          <w:szCs w:val="24"/>
          <w:lang w:val="es-ES"/>
        </w:rPr>
        <w:t>las consecuencias de unas decisiones que no podía tomar, ni en efecto adoptó, para proteger los intereses de la entidad que convino y realizó las inversiones, estando debidamente informada de los riesgos que se podían derivar de las mismas”</w:t>
      </w:r>
      <w:r w:rsidRPr="00C32A38">
        <w:rPr>
          <w:rFonts w:ascii="Century Gothic" w:hAnsi="Century Gothic" w:cs="Arial"/>
          <w:i/>
          <w:sz w:val="24"/>
          <w:szCs w:val="24"/>
          <w:vertAlign w:val="superscript"/>
          <w:lang w:val="es-ES"/>
        </w:rPr>
        <w:footnoteReference w:id="16"/>
      </w:r>
      <w:r w:rsidRPr="00C32A38">
        <w:rPr>
          <w:rFonts w:ascii="Century Gothic" w:hAnsi="Century Gothic" w:cs="Arial"/>
          <w:i/>
          <w:sz w:val="24"/>
          <w:szCs w:val="24"/>
          <w:lang w:val="es-ES"/>
        </w:rPr>
        <w:t xml:space="preserve">. </w:t>
      </w:r>
    </w:p>
    <w:p w14:paraId="0B49C19F" w14:textId="77777777" w:rsidR="00C32A38" w:rsidRPr="00C32A38" w:rsidRDefault="00C32A38" w:rsidP="00C32A38">
      <w:pPr>
        <w:spacing w:after="0" w:line="240" w:lineRule="auto"/>
        <w:ind w:left="708"/>
        <w:rPr>
          <w:rFonts w:ascii="Century Gothic" w:hAnsi="Century Gothic" w:cs="Arial"/>
          <w:sz w:val="24"/>
          <w:szCs w:val="24"/>
          <w:lang w:val="es-ES"/>
        </w:rPr>
      </w:pPr>
    </w:p>
    <w:p w14:paraId="279595A1"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Sobre los hechos de la demanda sostuvo que, contrario a lo afirmado por la entidad, el 30 de abril de 1998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había remitido al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la rendición de cuentas prevista para el momento de finalizar la ejecución del contrato. Ante la negativa de la entidad de recibir la comunicación la fiduciaria había remitido nuevamente la rendición de cuentas el 12 de mayo del mismo año, sobre la que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guardó silencio.</w:t>
      </w:r>
    </w:p>
    <w:p w14:paraId="309A030D" w14:textId="77777777" w:rsidR="00C32A38" w:rsidRPr="00C32A38" w:rsidRDefault="00C32A38" w:rsidP="00C32A38">
      <w:pPr>
        <w:spacing w:after="0" w:line="240" w:lineRule="auto"/>
        <w:ind w:left="708"/>
        <w:rPr>
          <w:rFonts w:ascii="Century Gothic" w:hAnsi="Century Gothic" w:cs="Arial"/>
          <w:sz w:val="24"/>
          <w:szCs w:val="24"/>
          <w:lang w:val="es-ES"/>
        </w:rPr>
      </w:pPr>
    </w:p>
    <w:p w14:paraId="1F73E117"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Con posterioridad la demandante citó a la sociedad demandada en dos ocasiones, el 30 de agosto y el 7 de septiembre de 1999, con el objetivo de liquidar de manera conjunta el contrato en los términos del artículo 60 de la Ley 80 de 1993, citación que no fue atendida por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por haber expirado los 4 meses previstos en el citado artículo para dicha actuación. </w:t>
      </w:r>
    </w:p>
    <w:p w14:paraId="3B8F0141"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rPr>
        <w:t xml:space="preserve">En el </w:t>
      </w:r>
      <w:r w:rsidRPr="00C32A38">
        <w:rPr>
          <w:rFonts w:ascii="Century Gothic" w:hAnsi="Century Gothic" w:cs="Arial"/>
          <w:b/>
          <w:sz w:val="24"/>
          <w:szCs w:val="24"/>
        </w:rPr>
        <w:t>expediente 34230</w:t>
      </w:r>
      <w:r w:rsidRPr="00C32A38">
        <w:rPr>
          <w:rFonts w:ascii="Century Gothic" w:hAnsi="Century Gothic" w:cs="Arial"/>
          <w:sz w:val="24"/>
          <w:szCs w:val="24"/>
        </w:rPr>
        <w:t>, el 2 de mayo de 2007 el</w:t>
      </w:r>
      <w:r w:rsidRPr="00C32A38">
        <w:rPr>
          <w:rFonts w:ascii="Century Gothic" w:hAnsi="Century Gothic" w:cs="Arial"/>
          <w:b/>
          <w:sz w:val="24"/>
          <w:szCs w:val="24"/>
        </w:rPr>
        <w:t xml:space="preserve"> Tribunal Administrativo de Cundinamarca</w:t>
      </w:r>
      <w:r w:rsidRPr="00C32A38">
        <w:rPr>
          <w:rFonts w:ascii="Century Gothic" w:hAnsi="Century Gothic" w:cs="Arial"/>
          <w:sz w:val="24"/>
          <w:szCs w:val="24"/>
        </w:rPr>
        <w:t xml:space="preserve">, Sección Tercera, Subsección B, </w:t>
      </w:r>
      <w:r w:rsidRPr="00C32A38">
        <w:rPr>
          <w:rFonts w:ascii="Century Gothic" w:hAnsi="Century Gothic" w:cs="Arial"/>
          <w:b/>
          <w:sz w:val="24"/>
          <w:szCs w:val="24"/>
        </w:rPr>
        <w:t xml:space="preserve">negó las pretensiones de la demanda por encontrar probada la excepción que la parte demandada denominó </w:t>
      </w:r>
      <w:r w:rsidRPr="00C32A38">
        <w:rPr>
          <w:rFonts w:ascii="Century Gothic" w:hAnsi="Century Gothic" w:cs="Arial"/>
          <w:b/>
          <w:i/>
          <w:sz w:val="24"/>
          <w:szCs w:val="24"/>
        </w:rPr>
        <w:t>“falta de interés para demandar”</w:t>
      </w:r>
      <w:r w:rsidRPr="00C32A38">
        <w:rPr>
          <w:rFonts w:ascii="Century Gothic" w:hAnsi="Century Gothic" w:cs="Arial"/>
          <w:sz w:val="24"/>
          <w:szCs w:val="24"/>
          <w:vertAlign w:val="superscript"/>
        </w:rPr>
        <w:footnoteReference w:id="17"/>
      </w:r>
      <w:r w:rsidRPr="00C32A38">
        <w:rPr>
          <w:rFonts w:ascii="Century Gothic" w:hAnsi="Century Gothic" w:cs="Arial"/>
          <w:sz w:val="24"/>
          <w:szCs w:val="24"/>
        </w:rPr>
        <w:t>.</w:t>
      </w:r>
    </w:p>
    <w:p w14:paraId="782FE28B" w14:textId="77777777" w:rsidR="00C32A38" w:rsidRPr="00C32A38" w:rsidRDefault="00C32A38" w:rsidP="00C32A38">
      <w:pPr>
        <w:spacing w:after="0" w:line="240" w:lineRule="auto"/>
        <w:ind w:left="708"/>
        <w:rPr>
          <w:rFonts w:ascii="Century Gothic" w:hAnsi="Century Gothic" w:cs="Arial"/>
          <w:sz w:val="24"/>
          <w:szCs w:val="24"/>
          <w:lang w:val="es-ES"/>
        </w:rPr>
      </w:pPr>
    </w:p>
    <w:p w14:paraId="6012D6B8"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Para llegar a la anterior conclusión el juez de primera instancia indicó que en el proceso se encontraba acreditado que, mediante Resolución 718 de 23 de noviembre de 1999,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había liquidado unilateralmente el </w:t>
      </w:r>
      <w:r w:rsidRPr="00C32A38">
        <w:rPr>
          <w:rFonts w:ascii="Century Gothic" w:hAnsi="Century Gothic" w:cs="Arial"/>
          <w:sz w:val="24"/>
          <w:szCs w:val="24"/>
          <w:lang w:val="es-ES"/>
        </w:rPr>
        <w:lastRenderedPageBreak/>
        <w:t xml:space="preserve">contrato, acto administrativo que fue recurrido por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y confirmado por la entidad el 2 de diciembre del mismo año. De este modo, para la fecha de presentación de la demanda —10 de diciembre de 1999—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w:t>
      </w:r>
      <w:r w:rsidRPr="00C32A38">
        <w:rPr>
          <w:rFonts w:ascii="Century Gothic" w:hAnsi="Century Gothic" w:cs="Arial"/>
          <w:i/>
          <w:sz w:val="24"/>
          <w:szCs w:val="24"/>
          <w:lang w:val="es-ES"/>
        </w:rPr>
        <w:t xml:space="preserve">“ya había declarado el incumplimiento de las obligaciones contractuales que estaban a cargo de </w:t>
      </w:r>
      <w:proofErr w:type="spellStart"/>
      <w:r w:rsidRPr="00C32A38">
        <w:rPr>
          <w:rFonts w:ascii="Century Gothic" w:hAnsi="Century Gothic" w:cs="Arial"/>
          <w:i/>
          <w:sz w:val="24"/>
          <w:szCs w:val="24"/>
          <w:lang w:val="es-ES"/>
        </w:rPr>
        <w:t>Fidultra</w:t>
      </w:r>
      <w:proofErr w:type="spellEnd"/>
      <w:r w:rsidRPr="00C32A38">
        <w:rPr>
          <w:rFonts w:ascii="Century Gothic" w:hAnsi="Century Gothic" w:cs="Arial"/>
          <w:i/>
          <w:sz w:val="24"/>
          <w:szCs w:val="24"/>
          <w:lang w:val="es-ES"/>
        </w:rPr>
        <w:t>”</w:t>
      </w:r>
      <w:r w:rsidRPr="00C32A38">
        <w:rPr>
          <w:rFonts w:ascii="Century Gothic" w:hAnsi="Century Gothic" w:cs="Arial"/>
          <w:i/>
          <w:sz w:val="24"/>
          <w:szCs w:val="24"/>
          <w:vertAlign w:val="superscript"/>
          <w:lang w:val="es-ES"/>
        </w:rPr>
        <w:footnoteReference w:id="18"/>
      </w:r>
      <w:r w:rsidRPr="00C32A38">
        <w:rPr>
          <w:rFonts w:ascii="Century Gothic" w:hAnsi="Century Gothic" w:cs="Arial"/>
          <w:i/>
          <w:sz w:val="24"/>
          <w:szCs w:val="24"/>
          <w:lang w:val="es-ES"/>
        </w:rPr>
        <w:t xml:space="preserve">. </w:t>
      </w:r>
      <w:r w:rsidRPr="00C32A38">
        <w:rPr>
          <w:rFonts w:ascii="Century Gothic" w:hAnsi="Century Gothic" w:cs="Arial"/>
          <w:sz w:val="24"/>
          <w:szCs w:val="24"/>
          <w:lang w:val="es-ES"/>
        </w:rPr>
        <w:t xml:space="preserve"> En el caso concreto,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dispuso en el acto de liquidación unilateral que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no había cumplido la obligación de devolver los recursos entregados con ocasión del contrato de fiducia.</w:t>
      </w:r>
    </w:p>
    <w:p w14:paraId="4DC44428" w14:textId="77777777" w:rsidR="00C32A38" w:rsidRPr="00C32A38" w:rsidRDefault="00C32A38" w:rsidP="00C32A38">
      <w:pPr>
        <w:spacing w:after="0" w:line="240" w:lineRule="auto"/>
        <w:ind w:left="708"/>
        <w:rPr>
          <w:rFonts w:ascii="Century Gothic" w:hAnsi="Century Gothic" w:cs="Arial"/>
          <w:sz w:val="24"/>
          <w:szCs w:val="24"/>
          <w:lang w:val="es-ES"/>
        </w:rPr>
      </w:pPr>
    </w:p>
    <w:p w14:paraId="7D77A146"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De conformidad con lo previsto en el artículo 66 del CCA los actos administrativos antes mencionados se presumían legales hasta tanto no sean anulados o suspendidos por la Jurisdicción de lo Contencioso Administrativo; de ahí que, mientras no existiera una sentencia que declarara la nulidad de la Resolución 718 de 23 de noviembre de 1999 y 789 de 17 de diciembre del mismo año, debía considerarse ajustado a derecho que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adeudara al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$3.830.120.585, de acuerdo con el contenido del primer acto administrativo mencionado y monto de la pretensión tercera de la demanda. </w:t>
      </w:r>
    </w:p>
    <w:p w14:paraId="7172E619" w14:textId="77777777" w:rsidR="00C32A38" w:rsidRPr="00C32A38" w:rsidRDefault="00C32A38" w:rsidP="00C32A38">
      <w:pPr>
        <w:spacing w:after="0" w:line="240" w:lineRule="auto"/>
        <w:ind w:left="708"/>
        <w:rPr>
          <w:rFonts w:ascii="Century Gothic" w:hAnsi="Century Gothic" w:cs="Arial"/>
          <w:sz w:val="24"/>
          <w:szCs w:val="24"/>
          <w:lang w:val="es-ES"/>
        </w:rPr>
      </w:pPr>
    </w:p>
    <w:p w14:paraId="5FF24E08"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Por todo lo anterior, el </w:t>
      </w:r>
      <w:r w:rsidRPr="00C32A38">
        <w:rPr>
          <w:rFonts w:ascii="Century Gothic" w:hAnsi="Century Gothic" w:cs="Arial"/>
          <w:i/>
          <w:sz w:val="24"/>
          <w:szCs w:val="24"/>
          <w:lang w:val="es-ES"/>
        </w:rPr>
        <w:t>a quo</w:t>
      </w:r>
      <w:r w:rsidRPr="00C32A38">
        <w:rPr>
          <w:rFonts w:ascii="Century Gothic" w:hAnsi="Century Gothic" w:cs="Arial"/>
          <w:sz w:val="24"/>
          <w:szCs w:val="24"/>
          <w:lang w:val="es-ES"/>
        </w:rPr>
        <w:t xml:space="preserve"> concluyó que “</w:t>
      </w:r>
      <w:r w:rsidRPr="00C32A38">
        <w:rPr>
          <w:rFonts w:ascii="Century Gothic" w:hAnsi="Century Gothic" w:cs="Arial"/>
          <w:i/>
          <w:sz w:val="24"/>
          <w:szCs w:val="24"/>
          <w:lang w:val="es-ES"/>
        </w:rPr>
        <w:t>por sustracción de materia, no es posible volver a declarar judicialmente lo que ya fue declarado por vía administrativa</w:t>
      </w:r>
      <w:r w:rsidRPr="00C32A38">
        <w:rPr>
          <w:rFonts w:ascii="Century Gothic" w:hAnsi="Century Gothic" w:cs="Arial"/>
          <w:sz w:val="24"/>
          <w:szCs w:val="24"/>
          <w:lang w:val="es-ES"/>
        </w:rPr>
        <w:t>”.</w:t>
      </w:r>
    </w:p>
    <w:p w14:paraId="6DA879F8" w14:textId="77777777" w:rsidR="00C32A38" w:rsidRPr="00C32A38" w:rsidRDefault="00C32A38" w:rsidP="00C32A38">
      <w:pPr>
        <w:spacing w:after="0" w:line="240" w:lineRule="auto"/>
        <w:jc w:val="both"/>
        <w:rPr>
          <w:rFonts w:ascii="Century Gothic" w:hAnsi="Century Gothic" w:cs="Arial"/>
          <w:sz w:val="24"/>
          <w:szCs w:val="24"/>
        </w:rPr>
      </w:pPr>
    </w:p>
    <w:p w14:paraId="735C22F7" w14:textId="77777777" w:rsidR="00C32A38" w:rsidRPr="00C32A38" w:rsidRDefault="00C32A38" w:rsidP="00C32A38">
      <w:pPr>
        <w:numPr>
          <w:ilvl w:val="1"/>
          <w:numId w:val="7"/>
        </w:numPr>
        <w:spacing w:after="0" w:line="360" w:lineRule="auto"/>
        <w:jc w:val="both"/>
        <w:rPr>
          <w:rFonts w:ascii="Century Gothic" w:hAnsi="Century Gothic" w:cs="Arial"/>
          <w:b/>
          <w:sz w:val="24"/>
          <w:szCs w:val="24"/>
          <w:lang w:val="es-ES"/>
        </w:rPr>
      </w:pPr>
      <w:r w:rsidRPr="00C32A38">
        <w:rPr>
          <w:rFonts w:ascii="Century Gothic" w:hAnsi="Century Gothic" w:cs="Arial"/>
          <w:b/>
          <w:sz w:val="24"/>
          <w:szCs w:val="24"/>
          <w:lang w:val="es-ES"/>
        </w:rPr>
        <w:t>Recursos de apelación y trámite de segunda instancia</w:t>
      </w:r>
    </w:p>
    <w:p w14:paraId="30B651F2" w14:textId="77777777" w:rsidR="00C32A38" w:rsidRPr="00C32A38" w:rsidRDefault="00C32A38" w:rsidP="00C32A38">
      <w:pPr>
        <w:spacing w:after="0" w:line="360" w:lineRule="auto"/>
        <w:ind w:left="720"/>
        <w:jc w:val="both"/>
        <w:rPr>
          <w:rFonts w:ascii="Century Gothic" w:hAnsi="Century Gothic" w:cs="Arial"/>
          <w:b/>
          <w:sz w:val="24"/>
          <w:szCs w:val="24"/>
          <w:lang w:val="es-ES"/>
        </w:rPr>
      </w:pPr>
    </w:p>
    <w:p w14:paraId="5D728043"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lang w:val="es-ES"/>
        </w:rPr>
        <w:t xml:space="preserve">En el </w:t>
      </w:r>
      <w:r w:rsidRPr="00C32A38">
        <w:rPr>
          <w:rFonts w:ascii="Century Gothic" w:hAnsi="Century Gothic" w:cs="Arial"/>
          <w:b/>
          <w:sz w:val="24"/>
          <w:szCs w:val="24"/>
          <w:lang w:val="es-ES"/>
        </w:rPr>
        <w:t xml:space="preserve">expediente 30634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interpuso </w:t>
      </w:r>
      <w:r w:rsidRPr="00C32A38">
        <w:rPr>
          <w:rFonts w:ascii="Century Gothic" w:hAnsi="Century Gothic" w:cs="Arial"/>
          <w:b/>
          <w:sz w:val="24"/>
          <w:szCs w:val="24"/>
        </w:rPr>
        <w:t>recurso de apelación</w:t>
      </w:r>
      <w:r w:rsidRPr="00C32A38">
        <w:rPr>
          <w:rFonts w:ascii="Century Gothic" w:hAnsi="Century Gothic" w:cs="Arial"/>
          <w:sz w:val="24"/>
          <w:szCs w:val="24"/>
          <w:vertAlign w:val="superscript"/>
        </w:rPr>
        <w:footnoteReference w:id="19"/>
      </w:r>
      <w:r w:rsidRPr="00C32A38">
        <w:rPr>
          <w:rFonts w:ascii="Century Gothic" w:hAnsi="Century Gothic" w:cs="Arial"/>
          <w:sz w:val="24"/>
          <w:szCs w:val="24"/>
        </w:rPr>
        <w:t xml:space="preserve"> contra la sentencia de primera instancia. Las razones de su inconformidad se resumen a continuación:</w:t>
      </w:r>
    </w:p>
    <w:p w14:paraId="0CAF71E5" w14:textId="77777777" w:rsidR="00C32A38" w:rsidRPr="00C32A38" w:rsidRDefault="00C32A38" w:rsidP="00C32A38">
      <w:pPr>
        <w:spacing w:after="0" w:line="360" w:lineRule="auto"/>
        <w:jc w:val="both"/>
        <w:rPr>
          <w:rFonts w:ascii="Century Gothic" w:hAnsi="Century Gothic" w:cs="Arial"/>
          <w:sz w:val="24"/>
          <w:szCs w:val="24"/>
        </w:rPr>
      </w:pPr>
    </w:p>
    <w:p w14:paraId="41B112B7"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En primer lugar, indicó que hubo una indebida valoración de las pruebas practicadas en el proceso y de las aportadas como sobrevinientes en la etapa de alegatos de conclusión, que tenían la finalidad de demostrar que </w:t>
      </w:r>
      <w:r w:rsidRPr="00C32A38">
        <w:rPr>
          <w:rFonts w:ascii="Century Gothic" w:hAnsi="Century Gothic" w:cs="Arial"/>
          <w:sz w:val="24"/>
          <w:szCs w:val="24"/>
        </w:rPr>
        <w:lastRenderedPageBreak/>
        <w:t>la demandante no había incumplido el contrato. Sobre el particular sostuvo (se trascribe):</w:t>
      </w:r>
    </w:p>
    <w:p w14:paraId="4127DCFC" w14:textId="77777777" w:rsidR="00C32A38" w:rsidRPr="00C32A38" w:rsidRDefault="00C32A38" w:rsidP="00C32A38">
      <w:pPr>
        <w:spacing w:after="0" w:line="360" w:lineRule="auto"/>
        <w:jc w:val="both"/>
        <w:rPr>
          <w:rFonts w:ascii="Century Gothic" w:hAnsi="Century Gothic" w:cs="Arial"/>
          <w:sz w:val="24"/>
          <w:szCs w:val="24"/>
        </w:rPr>
      </w:pPr>
    </w:p>
    <w:p w14:paraId="3155759B" w14:textId="77777777" w:rsidR="00C32A38" w:rsidRPr="00C32A38" w:rsidRDefault="00C32A38" w:rsidP="00C32A38">
      <w:pPr>
        <w:spacing w:after="0" w:line="276" w:lineRule="auto"/>
        <w:ind w:left="567" w:right="567"/>
        <w:jc w:val="both"/>
        <w:rPr>
          <w:rFonts w:ascii="Century Gothic" w:hAnsi="Century Gothic" w:cs="Arial"/>
          <w:i/>
        </w:rPr>
      </w:pPr>
      <w:r w:rsidRPr="00C32A38">
        <w:rPr>
          <w:rFonts w:ascii="Century Gothic" w:hAnsi="Century Gothic" w:cs="Arial"/>
        </w:rPr>
        <w:t>“</w:t>
      </w:r>
      <w:r w:rsidRPr="00C32A38">
        <w:rPr>
          <w:rFonts w:ascii="Century Gothic" w:hAnsi="Century Gothic" w:cs="Arial"/>
          <w:i/>
        </w:rPr>
        <w:t>a) Que los términos de las inversiones, esto es, su monto, plazo, tasa y título representativo, fueron convenidos entre el INURBE y las cooperativas; b) Que el INURBE le ordenó a la demandante girar los recursos necesarios para constituir las inversiones; c) Que el INURBE contaba con toda la información necesaria para evaluar el riesgo que representaba la inversión, bien porque había sido advertida por la fiduciaria demandante y por las demás fiduciarias con las cuales celebró contratos semejantes al que es materia del presente debate”</w:t>
      </w:r>
      <w:r w:rsidRPr="00C32A38">
        <w:rPr>
          <w:rFonts w:ascii="Century Gothic" w:hAnsi="Century Gothic" w:cs="Arial"/>
          <w:i/>
          <w:vertAlign w:val="superscript"/>
        </w:rPr>
        <w:footnoteReference w:id="20"/>
      </w:r>
      <w:r w:rsidRPr="00C32A38">
        <w:rPr>
          <w:rFonts w:ascii="Century Gothic" w:hAnsi="Century Gothic" w:cs="Arial"/>
          <w:i/>
        </w:rPr>
        <w:t>.</w:t>
      </w:r>
    </w:p>
    <w:p w14:paraId="368D8EC8" w14:textId="77777777" w:rsidR="00C32A38" w:rsidRPr="00C32A38" w:rsidRDefault="00C32A38" w:rsidP="00C32A38">
      <w:pPr>
        <w:spacing w:after="0" w:line="360" w:lineRule="auto"/>
        <w:jc w:val="both"/>
        <w:rPr>
          <w:rFonts w:ascii="Century Gothic" w:hAnsi="Century Gothic" w:cs="Arial"/>
          <w:sz w:val="24"/>
          <w:szCs w:val="24"/>
          <w:lang w:val="es-ES"/>
        </w:rPr>
      </w:pPr>
    </w:p>
    <w:p w14:paraId="6FAB4F77"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A partir de la anterior omisión el Tribunal se limitó a indicar cuál era la tesis vigente del Consejo de Estado sobre la falsa motivación de los actos administrativos, sin indicar cómo había llegado a la conclusión de que, en el caso concreto, no había ocurrido.</w:t>
      </w:r>
    </w:p>
    <w:p w14:paraId="1A148D02" w14:textId="77777777" w:rsidR="00C32A38" w:rsidRPr="00C32A38" w:rsidRDefault="00C32A38" w:rsidP="00C32A38">
      <w:pPr>
        <w:spacing w:after="0" w:line="360" w:lineRule="auto"/>
        <w:jc w:val="both"/>
        <w:rPr>
          <w:rFonts w:ascii="Century Gothic" w:hAnsi="Century Gothic" w:cs="Arial"/>
          <w:sz w:val="24"/>
          <w:szCs w:val="24"/>
          <w:lang w:val="es-ES"/>
        </w:rPr>
      </w:pPr>
    </w:p>
    <w:p w14:paraId="2172341C"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Adujo también, que el juzgador de primera instancia había incurrido en una vía de hecho por aplicar normas de la fiducia mercantil cuando, en el caso concreto, el contrato era de fiducia pública, tipo contractual creado por la Ley 80 de 1993 y que se diferenciaba de la primera, por no trasferir el dominio de los bienes. Lo anterior tenía, a su juicio, las siguientes implicaciones:</w:t>
      </w:r>
    </w:p>
    <w:p w14:paraId="3545DA5C" w14:textId="77777777" w:rsidR="00C32A38" w:rsidRPr="00C32A38" w:rsidRDefault="00C32A38" w:rsidP="00C32A38">
      <w:pPr>
        <w:spacing w:after="0" w:line="360" w:lineRule="auto"/>
        <w:jc w:val="both"/>
        <w:rPr>
          <w:rFonts w:ascii="Century Gothic" w:hAnsi="Century Gothic" w:cs="Arial"/>
          <w:sz w:val="24"/>
          <w:szCs w:val="24"/>
          <w:lang w:val="es-ES"/>
        </w:rPr>
      </w:pPr>
    </w:p>
    <w:p w14:paraId="53D6BA23" w14:textId="77777777" w:rsidR="00C32A38" w:rsidRPr="00C32A38" w:rsidRDefault="00C32A38" w:rsidP="00C32A38">
      <w:pPr>
        <w:numPr>
          <w:ilvl w:val="0"/>
          <w:numId w:val="5"/>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Como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seguía siendo el titular del derecho de dominio sobre los bienes, debía asumir los riesgos inherentes a la propiedad, entre ellos, el incumplimiento y la insolvencia de las cooperativas. </w:t>
      </w:r>
    </w:p>
    <w:p w14:paraId="6FAFABD3" w14:textId="77777777" w:rsidR="00C32A38" w:rsidRPr="00C32A38" w:rsidRDefault="00C32A38" w:rsidP="00C32A38">
      <w:pPr>
        <w:numPr>
          <w:ilvl w:val="0"/>
          <w:numId w:val="5"/>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La fiduciaria tenía principalmente funciones de manejo y administración —“</w:t>
      </w:r>
      <w:r w:rsidRPr="00C32A38">
        <w:rPr>
          <w:rFonts w:ascii="Century Gothic" w:hAnsi="Century Gothic" w:cs="Arial"/>
          <w:i/>
          <w:sz w:val="24"/>
          <w:szCs w:val="24"/>
          <w:lang w:val="es-ES"/>
        </w:rPr>
        <w:t xml:space="preserve">de gestión por cuenta o en beneficio del </w:t>
      </w:r>
      <w:proofErr w:type="spellStart"/>
      <w:r w:rsidRPr="00C32A38">
        <w:rPr>
          <w:rFonts w:ascii="Century Gothic" w:hAnsi="Century Gothic" w:cs="Arial"/>
          <w:i/>
          <w:sz w:val="24"/>
          <w:szCs w:val="24"/>
          <w:lang w:val="es-ES"/>
        </w:rPr>
        <w:t>Inurbe</w:t>
      </w:r>
      <w:proofErr w:type="spellEnd"/>
      <w:r w:rsidRPr="00C32A38">
        <w:rPr>
          <w:rFonts w:ascii="Century Gothic" w:hAnsi="Century Gothic" w:cs="Arial"/>
          <w:i/>
          <w:sz w:val="24"/>
          <w:szCs w:val="24"/>
          <w:lang w:val="es-ES"/>
        </w:rPr>
        <w:t>”</w:t>
      </w:r>
      <w:r w:rsidRPr="00C32A38">
        <w:rPr>
          <w:rFonts w:ascii="Century Gothic" w:hAnsi="Century Gothic" w:cs="Arial"/>
          <w:sz w:val="24"/>
          <w:szCs w:val="24"/>
          <w:lang w:val="es-ES"/>
        </w:rPr>
        <w:t>, actividad que se rige por las normas del mandato y, en lo que sea compatible con los negocios fiduciarios estatales, con las normas de la fiducia mercantil.</w:t>
      </w:r>
    </w:p>
    <w:p w14:paraId="415FB90F" w14:textId="77777777" w:rsidR="00C32A38" w:rsidRPr="00C32A38" w:rsidRDefault="00C32A38" w:rsidP="00C32A38">
      <w:pPr>
        <w:numPr>
          <w:ilvl w:val="0"/>
          <w:numId w:val="5"/>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era el encargado de adjudicar los contratos a celebrar con terceros en la ejecución del contrato de fiducia pública. Por su parte la sociedad fiduciaria debía suministrar información y dar consejo a la </w:t>
      </w:r>
      <w:r w:rsidRPr="00C32A38">
        <w:rPr>
          <w:rFonts w:ascii="Century Gothic" w:hAnsi="Century Gothic" w:cs="Arial"/>
          <w:sz w:val="24"/>
          <w:szCs w:val="24"/>
          <w:lang w:val="es-ES"/>
        </w:rPr>
        <w:lastRenderedPageBreak/>
        <w:t xml:space="preserve">entidad para que contara con elementos de juicio para la toma de la decisión. </w:t>
      </w:r>
    </w:p>
    <w:p w14:paraId="104B5496" w14:textId="77777777" w:rsidR="00C32A38" w:rsidRPr="00C32A38" w:rsidRDefault="00C32A38" w:rsidP="00C32A38">
      <w:pPr>
        <w:spacing w:after="0" w:line="360" w:lineRule="auto"/>
        <w:jc w:val="both"/>
        <w:rPr>
          <w:rFonts w:ascii="Century Gothic" w:hAnsi="Century Gothic" w:cs="Arial"/>
          <w:sz w:val="24"/>
          <w:szCs w:val="24"/>
          <w:lang w:val="es-ES"/>
        </w:rPr>
      </w:pPr>
    </w:p>
    <w:p w14:paraId="34F8B3B1"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En el término para presentar </w:t>
      </w:r>
      <w:r w:rsidRPr="00C32A38">
        <w:rPr>
          <w:rFonts w:ascii="Century Gothic" w:hAnsi="Century Gothic" w:cs="Arial"/>
          <w:b/>
          <w:sz w:val="24"/>
          <w:szCs w:val="24"/>
          <w:lang w:val="es-ES"/>
        </w:rPr>
        <w:t>alegatos de conclusión en segunda instancia</w:t>
      </w:r>
      <w:r w:rsidRPr="00C32A38">
        <w:rPr>
          <w:rFonts w:ascii="Century Gothic" w:hAnsi="Century Gothic" w:cs="Arial"/>
          <w:sz w:val="24"/>
          <w:szCs w:val="24"/>
          <w:lang w:val="es-ES"/>
        </w:rPr>
        <w:t>, las partes intervinieron en la siguiente forma:</w:t>
      </w:r>
    </w:p>
    <w:p w14:paraId="441265CB" w14:textId="77777777" w:rsidR="00C32A38" w:rsidRPr="00C32A38" w:rsidRDefault="00C32A38" w:rsidP="00C32A38">
      <w:pPr>
        <w:spacing w:after="0" w:line="360" w:lineRule="auto"/>
        <w:jc w:val="both"/>
        <w:rPr>
          <w:rFonts w:ascii="Century Gothic" w:hAnsi="Century Gothic" w:cs="Arial"/>
          <w:sz w:val="24"/>
          <w:szCs w:val="24"/>
          <w:lang w:val="es-ES"/>
        </w:rPr>
      </w:pPr>
    </w:p>
    <w:p w14:paraId="10D7E415"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b/>
          <w:sz w:val="24"/>
          <w:szCs w:val="24"/>
          <w:lang w:val="es-ES"/>
        </w:rPr>
        <w:t xml:space="preserve">El </w:t>
      </w:r>
      <w:proofErr w:type="spellStart"/>
      <w:r w:rsidRPr="00C32A38">
        <w:rPr>
          <w:rFonts w:ascii="Century Gothic" w:hAnsi="Century Gothic" w:cs="Arial"/>
          <w:b/>
          <w:sz w:val="24"/>
          <w:szCs w:val="24"/>
          <w:lang w:val="es-ES"/>
        </w:rPr>
        <w:t>Inurbe</w:t>
      </w:r>
      <w:proofErr w:type="spellEnd"/>
      <w:r w:rsidRPr="00C32A38">
        <w:rPr>
          <w:rFonts w:ascii="Century Gothic" w:hAnsi="Century Gothic" w:cs="Arial"/>
          <w:sz w:val="24"/>
          <w:szCs w:val="24"/>
          <w:vertAlign w:val="superscript"/>
          <w:lang w:val="es-ES"/>
        </w:rPr>
        <w:footnoteReference w:id="21"/>
      </w:r>
      <w:r w:rsidRPr="00C32A38">
        <w:rPr>
          <w:rFonts w:ascii="Century Gothic" w:hAnsi="Century Gothic" w:cs="Arial"/>
          <w:sz w:val="24"/>
          <w:szCs w:val="24"/>
          <w:lang w:val="es-ES"/>
        </w:rPr>
        <w:t xml:space="preserve"> reiteró los argumentos y el concepto de la violación desarrollados en su contestación de la demanda. Por su parte, </w:t>
      </w:r>
      <w:proofErr w:type="spellStart"/>
      <w:r w:rsidRPr="00C32A38">
        <w:rPr>
          <w:rFonts w:ascii="Century Gothic" w:hAnsi="Century Gothic" w:cs="Arial"/>
          <w:b/>
          <w:sz w:val="24"/>
          <w:szCs w:val="24"/>
          <w:lang w:val="es-ES"/>
        </w:rPr>
        <w:t>Fidultra</w:t>
      </w:r>
      <w:proofErr w:type="spellEnd"/>
      <w:r w:rsidRPr="00C32A38">
        <w:rPr>
          <w:rFonts w:ascii="Century Gothic" w:hAnsi="Century Gothic" w:cs="Arial"/>
          <w:sz w:val="24"/>
          <w:szCs w:val="24"/>
          <w:vertAlign w:val="superscript"/>
          <w:lang w:val="es-ES"/>
        </w:rPr>
        <w:footnoteReference w:id="22"/>
      </w:r>
      <w:r w:rsidRPr="00C32A38">
        <w:rPr>
          <w:rFonts w:ascii="Century Gothic" w:hAnsi="Century Gothic" w:cs="Arial"/>
          <w:sz w:val="24"/>
          <w:szCs w:val="24"/>
          <w:lang w:val="es-ES"/>
        </w:rPr>
        <w:t xml:space="preserve"> reiteró los cargos de nulidad elevados en la demanda contra los actos administrativos de liquidación unilateral y las consideraciones sobre la valoración probatoria que hizo el Tribunal. Adicionalmente, sostuvo que el juzgador de primera instancia no había tenido en cuenta hechos sobrevinientes a la presentación de la demanda, de los que destacaba las investigaciones realizadas por la Procuraduría General de la Nación y la Contraloría General de la República al gerente y subgerente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w:t>
      </w:r>
      <w:r w:rsidRPr="00C32A38">
        <w:rPr>
          <w:rFonts w:ascii="Century Gothic" w:hAnsi="Century Gothic" w:cs="Arial"/>
          <w:i/>
          <w:sz w:val="24"/>
          <w:szCs w:val="24"/>
          <w:lang w:val="es-ES"/>
        </w:rPr>
        <w:t>por los hechos que este instituto le imputa a la demandante en los actos demandados”</w:t>
      </w:r>
      <w:r w:rsidRPr="00C32A38">
        <w:rPr>
          <w:rFonts w:ascii="Century Gothic" w:hAnsi="Century Gothic" w:cs="Arial"/>
          <w:sz w:val="24"/>
          <w:szCs w:val="24"/>
          <w:lang w:val="es-ES"/>
        </w:rPr>
        <w:t>.</w:t>
      </w:r>
    </w:p>
    <w:p w14:paraId="4555AA1C" w14:textId="77777777" w:rsidR="00C32A38" w:rsidRPr="00C32A38" w:rsidRDefault="00C32A38" w:rsidP="00C32A38">
      <w:pPr>
        <w:spacing w:after="0" w:line="240" w:lineRule="auto"/>
        <w:ind w:left="708"/>
        <w:rPr>
          <w:rFonts w:ascii="Century Gothic" w:hAnsi="Century Gothic" w:cs="Arial"/>
          <w:sz w:val="24"/>
          <w:szCs w:val="24"/>
          <w:lang w:val="es-ES"/>
        </w:rPr>
      </w:pPr>
    </w:p>
    <w:p w14:paraId="026BBBA8"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De otra parte, sostuvo el apoderado de la fiduciaria que el </w:t>
      </w:r>
      <w:r w:rsidRPr="00C32A38">
        <w:rPr>
          <w:rFonts w:ascii="Century Gothic" w:hAnsi="Century Gothic" w:cs="Arial"/>
          <w:i/>
          <w:sz w:val="24"/>
          <w:szCs w:val="24"/>
          <w:lang w:val="es-ES"/>
        </w:rPr>
        <w:t>a quo</w:t>
      </w:r>
      <w:r w:rsidRPr="00C32A38">
        <w:rPr>
          <w:rFonts w:ascii="Century Gothic" w:hAnsi="Century Gothic" w:cs="Arial"/>
          <w:sz w:val="24"/>
          <w:szCs w:val="24"/>
          <w:lang w:val="es-ES"/>
        </w:rPr>
        <w:t xml:space="preserve"> tampoco había tomado en consideración las condenas proferidas en contra de Armando Ricardo Félix Moncaleano Montoya (exgerente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y de Armando Rodrigo Caicedo </w:t>
      </w:r>
      <w:proofErr w:type="spellStart"/>
      <w:r w:rsidRPr="00C32A38">
        <w:rPr>
          <w:rFonts w:ascii="Century Gothic" w:hAnsi="Century Gothic" w:cs="Arial"/>
          <w:sz w:val="24"/>
          <w:szCs w:val="24"/>
          <w:lang w:val="es-ES"/>
        </w:rPr>
        <w:t>Caicedo</w:t>
      </w:r>
      <w:proofErr w:type="spellEnd"/>
      <w:r w:rsidRPr="00C32A38">
        <w:rPr>
          <w:rFonts w:ascii="Century Gothic" w:hAnsi="Century Gothic" w:cs="Arial"/>
          <w:sz w:val="24"/>
          <w:szCs w:val="24"/>
          <w:lang w:val="es-ES"/>
        </w:rPr>
        <w:t xml:space="preserve"> (exsubgerente financiero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por el delito de peculado por apropiación a favor de terceros, por hechos relativos a los que originaron el presente proceso. </w:t>
      </w:r>
    </w:p>
    <w:p w14:paraId="7A0ADA71" w14:textId="77777777" w:rsidR="00C32A38" w:rsidRPr="00C32A38" w:rsidRDefault="00C32A38" w:rsidP="00C32A38">
      <w:pPr>
        <w:spacing w:after="0" w:line="240" w:lineRule="auto"/>
        <w:ind w:left="708"/>
        <w:rPr>
          <w:rFonts w:ascii="Century Gothic" w:hAnsi="Century Gothic" w:cs="Arial"/>
          <w:b/>
          <w:sz w:val="24"/>
          <w:szCs w:val="24"/>
          <w:lang w:val="es-ES"/>
        </w:rPr>
      </w:pPr>
    </w:p>
    <w:p w14:paraId="0D6B2D06"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b/>
          <w:sz w:val="24"/>
          <w:szCs w:val="24"/>
          <w:lang w:val="es-ES"/>
        </w:rPr>
        <w:t>El Ministerio Público</w:t>
      </w:r>
      <w:r w:rsidRPr="00C32A38">
        <w:rPr>
          <w:rFonts w:ascii="Century Gothic" w:hAnsi="Century Gothic" w:cs="Arial"/>
          <w:sz w:val="24"/>
          <w:szCs w:val="24"/>
          <w:lang w:val="es-ES"/>
        </w:rPr>
        <w:t xml:space="preserve"> rindió concepto</w:t>
      </w:r>
      <w:r w:rsidRPr="00C32A38">
        <w:rPr>
          <w:rFonts w:ascii="Century Gothic" w:hAnsi="Century Gothic" w:cs="Arial"/>
          <w:sz w:val="24"/>
          <w:szCs w:val="24"/>
          <w:vertAlign w:val="superscript"/>
          <w:lang w:val="es-ES"/>
        </w:rPr>
        <w:footnoteReference w:id="23"/>
      </w:r>
      <w:r w:rsidRPr="00C32A38">
        <w:rPr>
          <w:rFonts w:ascii="Century Gothic" w:hAnsi="Century Gothic" w:cs="Arial"/>
          <w:sz w:val="24"/>
          <w:szCs w:val="24"/>
          <w:lang w:val="es-ES"/>
        </w:rPr>
        <w:t xml:space="preserve"> y solicitó que se confirmara la sentencia de primera instancia. Sostuvo que había una ineptitud sustantiva de la demanda ya que solo se había demandado el acto administrativo que liquidó el contrato y no el que resolvió el recurso de reposición interpuesto por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Tampoco se había desvirtuado en el proceso la presunción de legalidad del acto de liquidación unilateral, pues la demandante no había demostrado que fue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quien acordó los términos de negociación con las cooperativas, que la entidad contaba </w:t>
      </w:r>
      <w:r w:rsidRPr="00C32A38">
        <w:rPr>
          <w:rFonts w:ascii="Century Gothic" w:hAnsi="Century Gothic" w:cs="Arial"/>
          <w:sz w:val="24"/>
          <w:szCs w:val="24"/>
          <w:lang w:val="es-ES"/>
        </w:rPr>
        <w:lastRenderedPageBreak/>
        <w:t>con toda la información necesaria sobre el riesgo de las inversiones y que, pese a esto, había ordenado la trasferencia de los recursos.</w:t>
      </w:r>
    </w:p>
    <w:p w14:paraId="63AAEF0F" w14:textId="77777777" w:rsidR="00C32A38" w:rsidRPr="00C32A38" w:rsidRDefault="00C32A38" w:rsidP="00C32A38">
      <w:pPr>
        <w:spacing w:after="0" w:line="240" w:lineRule="auto"/>
        <w:ind w:left="708"/>
        <w:rPr>
          <w:rFonts w:ascii="Century Gothic" w:hAnsi="Century Gothic" w:cs="Arial"/>
          <w:sz w:val="24"/>
          <w:szCs w:val="24"/>
          <w:lang w:val="es-ES"/>
        </w:rPr>
      </w:pPr>
    </w:p>
    <w:p w14:paraId="2FA1EEE9"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lang w:val="es-ES"/>
        </w:rPr>
        <w:t xml:space="preserve">En el </w:t>
      </w:r>
      <w:r w:rsidRPr="00C32A38">
        <w:rPr>
          <w:rFonts w:ascii="Century Gothic" w:hAnsi="Century Gothic" w:cs="Arial"/>
          <w:b/>
          <w:sz w:val="24"/>
          <w:szCs w:val="24"/>
          <w:lang w:val="es-ES"/>
        </w:rPr>
        <w:t>expediente 34230</w:t>
      </w:r>
      <w:r w:rsidRPr="00C32A38">
        <w:rPr>
          <w:rFonts w:ascii="Century Gothic" w:hAnsi="Century Gothic" w:cs="Arial"/>
          <w:sz w:val="24"/>
          <w:szCs w:val="24"/>
          <w:lang w:val="es-ES"/>
        </w:rPr>
        <w:t xml:space="preserve"> e</w:t>
      </w:r>
      <w:r w:rsidRPr="00C32A38">
        <w:rPr>
          <w:rFonts w:ascii="Century Gothic" w:hAnsi="Century Gothic" w:cs="Arial"/>
          <w:sz w:val="24"/>
          <w:szCs w:val="24"/>
        </w:rPr>
        <w:t xml:space="preserv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interpuso </w:t>
      </w:r>
      <w:r w:rsidRPr="00C32A38">
        <w:rPr>
          <w:rFonts w:ascii="Century Gothic" w:hAnsi="Century Gothic" w:cs="Arial"/>
          <w:b/>
          <w:sz w:val="24"/>
          <w:szCs w:val="24"/>
        </w:rPr>
        <w:t>recurso de apelación</w:t>
      </w:r>
      <w:r w:rsidRPr="00C32A38">
        <w:rPr>
          <w:rFonts w:ascii="Century Gothic" w:hAnsi="Century Gothic" w:cs="Arial"/>
          <w:sz w:val="24"/>
          <w:szCs w:val="24"/>
          <w:vertAlign w:val="superscript"/>
        </w:rPr>
        <w:footnoteReference w:id="24"/>
      </w:r>
      <w:r w:rsidRPr="00C32A38">
        <w:rPr>
          <w:rFonts w:ascii="Century Gothic" w:hAnsi="Century Gothic" w:cs="Arial"/>
          <w:sz w:val="24"/>
          <w:szCs w:val="24"/>
        </w:rPr>
        <w:t xml:space="preserve"> contra la sentencia de primera instancia. Las razones de su inconformidad se resumen a continuación:</w:t>
      </w:r>
    </w:p>
    <w:p w14:paraId="72574007" w14:textId="77777777" w:rsidR="00C32A38" w:rsidRPr="00C32A38" w:rsidRDefault="00C32A38" w:rsidP="00C32A38">
      <w:pPr>
        <w:spacing w:after="0" w:line="240" w:lineRule="auto"/>
        <w:ind w:left="708"/>
        <w:rPr>
          <w:rFonts w:ascii="Century Gothic" w:hAnsi="Century Gothic" w:cs="Arial"/>
          <w:sz w:val="24"/>
          <w:szCs w:val="24"/>
        </w:rPr>
      </w:pPr>
    </w:p>
    <w:p w14:paraId="18402F27" w14:textId="77777777" w:rsidR="00C32A38" w:rsidRPr="00C32A38" w:rsidRDefault="00C32A38" w:rsidP="00C32A38">
      <w:pPr>
        <w:numPr>
          <w:ilvl w:val="0"/>
          <w:numId w:val="6"/>
        </w:numPr>
        <w:spacing w:after="0" w:line="360" w:lineRule="auto"/>
        <w:jc w:val="both"/>
        <w:rPr>
          <w:rFonts w:ascii="Century Gothic" w:hAnsi="Century Gothic" w:cs="Arial"/>
          <w:sz w:val="24"/>
          <w:szCs w:val="24"/>
        </w:rPr>
      </w:pPr>
      <w:r w:rsidRPr="00C32A38">
        <w:rPr>
          <w:rFonts w:ascii="Century Gothic" w:hAnsi="Century Gothic" w:cs="Arial"/>
          <w:sz w:val="24"/>
          <w:szCs w:val="24"/>
        </w:rPr>
        <w:t>Si bien era cierto que los actos administrativos de liquidación unilateral del contrato se encontraban en firme, lo que pretendía la entidad con la demanda era la declaratoria de incumplimiento de este. Al respecto sostuvo (se trascribe):</w:t>
      </w:r>
    </w:p>
    <w:p w14:paraId="715DA024" w14:textId="77777777" w:rsidR="00C32A38" w:rsidRPr="00C32A38" w:rsidRDefault="00C32A38" w:rsidP="00C32A38">
      <w:pPr>
        <w:spacing w:after="0" w:line="240" w:lineRule="auto"/>
        <w:jc w:val="both"/>
        <w:rPr>
          <w:rFonts w:ascii="Century Gothic" w:hAnsi="Century Gothic" w:cs="Arial"/>
          <w:sz w:val="24"/>
          <w:szCs w:val="24"/>
        </w:rPr>
      </w:pPr>
    </w:p>
    <w:p w14:paraId="2FD56F07" w14:textId="77777777" w:rsidR="00C32A38" w:rsidRPr="00C32A38" w:rsidRDefault="00C32A38" w:rsidP="00C32A38">
      <w:pPr>
        <w:spacing w:after="0" w:line="276" w:lineRule="auto"/>
        <w:ind w:left="567" w:right="567"/>
        <w:jc w:val="both"/>
        <w:rPr>
          <w:rFonts w:ascii="Century Gothic" w:hAnsi="Century Gothic" w:cs="Arial"/>
        </w:rPr>
      </w:pPr>
      <w:r w:rsidRPr="00C32A38">
        <w:rPr>
          <w:rFonts w:ascii="Century Gothic" w:hAnsi="Century Gothic" w:cs="Arial"/>
          <w:i/>
        </w:rPr>
        <w:t xml:space="preserve">“En consecuencia, no bastaría con que el </w:t>
      </w:r>
      <w:r w:rsidRPr="00C32A38">
        <w:rPr>
          <w:rFonts w:ascii="Century Gothic" w:hAnsi="Century Gothic" w:cs="Arial"/>
          <w:b/>
          <w:i/>
        </w:rPr>
        <w:t>INURBE</w:t>
      </w:r>
      <w:r w:rsidRPr="00C32A38">
        <w:rPr>
          <w:rFonts w:ascii="Century Gothic" w:hAnsi="Century Gothic" w:cs="Arial"/>
          <w:i/>
        </w:rPr>
        <w:t xml:space="preserve"> con fundamento en las Resoluciones de Liquidación del Contrato iniciara un proceso de jurisdicción coactiva para el cobro de la obligación adeudada por </w:t>
      </w:r>
      <w:r w:rsidRPr="00C32A38">
        <w:rPr>
          <w:rFonts w:ascii="Century Gothic" w:hAnsi="Century Gothic" w:cs="Arial"/>
          <w:b/>
          <w:i/>
        </w:rPr>
        <w:t>FIDULTRA</w:t>
      </w:r>
      <w:r w:rsidRPr="00C32A38">
        <w:rPr>
          <w:rFonts w:ascii="Century Gothic" w:hAnsi="Century Gothic" w:cs="Arial"/>
          <w:i/>
        </w:rPr>
        <w:t>, porque existe pleito pendiente en el cual se analiza la constitucionalidad y legalidad de dichos actos administrativos, pero, además, porque la jurisdicción contenciosa Administrativa no ha declarado el incumplimiento del contrato”</w:t>
      </w:r>
      <w:r w:rsidRPr="00C32A38">
        <w:rPr>
          <w:rFonts w:ascii="Century Gothic" w:hAnsi="Century Gothic" w:cs="Arial"/>
          <w:vertAlign w:val="superscript"/>
        </w:rPr>
        <w:footnoteReference w:id="25"/>
      </w:r>
      <w:r w:rsidRPr="00C32A38">
        <w:rPr>
          <w:rFonts w:ascii="Century Gothic" w:hAnsi="Century Gothic" w:cs="Arial"/>
          <w:i/>
        </w:rPr>
        <w:t>.</w:t>
      </w:r>
      <w:r w:rsidRPr="00C32A38">
        <w:rPr>
          <w:rFonts w:ascii="Century Gothic" w:hAnsi="Century Gothic" w:cs="Arial"/>
        </w:rPr>
        <w:t xml:space="preserve"> </w:t>
      </w:r>
    </w:p>
    <w:p w14:paraId="2A113364" w14:textId="77777777" w:rsidR="00C32A38" w:rsidRPr="00C32A38" w:rsidRDefault="00C32A38" w:rsidP="00C32A38">
      <w:pPr>
        <w:spacing w:after="0" w:line="276" w:lineRule="auto"/>
        <w:ind w:left="567" w:right="567"/>
        <w:jc w:val="both"/>
        <w:rPr>
          <w:rFonts w:ascii="Century Gothic" w:hAnsi="Century Gothic" w:cs="Arial"/>
        </w:rPr>
      </w:pPr>
    </w:p>
    <w:p w14:paraId="70ED409E"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En el término para presentar </w:t>
      </w:r>
      <w:r w:rsidRPr="00C32A38">
        <w:rPr>
          <w:rFonts w:ascii="Century Gothic" w:hAnsi="Century Gothic" w:cs="Arial"/>
          <w:b/>
          <w:sz w:val="24"/>
          <w:szCs w:val="24"/>
          <w:lang w:val="es-ES"/>
        </w:rPr>
        <w:t>alegatos de conclusión en segunda instancia</w:t>
      </w:r>
      <w:r w:rsidRPr="00C32A38">
        <w:rPr>
          <w:rFonts w:ascii="Century Gothic" w:hAnsi="Century Gothic" w:cs="Arial"/>
          <w:sz w:val="24"/>
          <w:szCs w:val="24"/>
          <w:lang w:val="es-ES"/>
        </w:rPr>
        <w:t xml:space="preserve"> las partes intervinieron en la siguiente forma:</w:t>
      </w:r>
    </w:p>
    <w:p w14:paraId="58D4DD91" w14:textId="77777777" w:rsidR="00C32A38" w:rsidRPr="00C32A38" w:rsidRDefault="00C32A38" w:rsidP="00C32A38">
      <w:pPr>
        <w:spacing w:after="0" w:line="360" w:lineRule="auto"/>
        <w:jc w:val="both"/>
        <w:rPr>
          <w:rFonts w:ascii="Century Gothic" w:hAnsi="Century Gothic" w:cs="Arial"/>
          <w:sz w:val="24"/>
          <w:szCs w:val="24"/>
          <w:lang w:val="es-ES"/>
        </w:rPr>
      </w:pPr>
    </w:p>
    <w:p w14:paraId="7944DA5D"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proofErr w:type="spellStart"/>
      <w:r w:rsidRPr="00C32A38">
        <w:rPr>
          <w:rFonts w:ascii="Century Gothic" w:hAnsi="Century Gothic" w:cs="Arial"/>
          <w:b/>
          <w:sz w:val="24"/>
          <w:szCs w:val="24"/>
          <w:lang w:val="es-ES"/>
        </w:rPr>
        <w:t>Fidultra</w:t>
      </w:r>
      <w:proofErr w:type="spellEnd"/>
      <w:r w:rsidRPr="00C32A38">
        <w:rPr>
          <w:rFonts w:ascii="Century Gothic" w:hAnsi="Century Gothic" w:cs="Arial"/>
          <w:sz w:val="24"/>
          <w:szCs w:val="24"/>
          <w:lang w:val="es-ES"/>
        </w:rPr>
        <w:t xml:space="preserve"> reiteró los argumentos relativos a las excepciones propuestas en la contestación de la demanda</w:t>
      </w:r>
      <w:r w:rsidRPr="00C32A38">
        <w:rPr>
          <w:rFonts w:ascii="Century Gothic" w:hAnsi="Century Gothic" w:cs="Arial"/>
          <w:sz w:val="24"/>
          <w:szCs w:val="24"/>
          <w:vertAlign w:val="superscript"/>
          <w:lang w:val="es-ES"/>
        </w:rPr>
        <w:footnoteReference w:id="26"/>
      </w:r>
      <w:r w:rsidRPr="00C32A38">
        <w:rPr>
          <w:rFonts w:ascii="Century Gothic" w:hAnsi="Century Gothic" w:cs="Arial"/>
          <w:sz w:val="24"/>
          <w:szCs w:val="24"/>
          <w:lang w:val="es-ES"/>
        </w:rPr>
        <w:t xml:space="preserve">. Por su parte, el apoderado del </w:t>
      </w:r>
      <w:proofErr w:type="spellStart"/>
      <w:r w:rsidRPr="00C32A38">
        <w:rPr>
          <w:rFonts w:ascii="Century Gothic" w:hAnsi="Century Gothic" w:cs="Arial"/>
          <w:b/>
          <w:sz w:val="24"/>
          <w:szCs w:val="24"/>
          <w:lang w:val="es-ES"/>
        </w:rPr>
        <w:t>Inurbe</w:t>
      </w:r>
      <w:proofErr w:type="spellEnd"/>
      <w:r w:rsidRPr="00C32A38">
        <w:rPr>
          <w:rFonts w:ascii="Century Gothic" w:hAnsi="Century Gothic" w:cs="Arial"/>
          <w:sz w:val="24"/>
          <w:szCs w:val="24"/>
          <w:lang w:val="es-ES"/>
        </w:rPr>
        <w:t xml:space="preserve"> reiteró los argumentos expuestos en la sustentación del recurso de apelación contra el fallo de primera instancia</w:t>
      </w:r>
      <w:r w:rsidRPr="00C32A38">
        <w:rPr>
          <w:rFonts w:ascii="Century Gothic" w:hAnsi="Century Gothic" w:cs="Arial"/>
          <w:sz w:val="24"/>
          <w:szCs w:val="24"/>
          <w:vertAlign w:val="superscript"/>
          <w:lang w:val="es-ES"/>
        </w:rPr>
        <w:footnoteReference w:id="27"/>
      </w:r>
      <w:r w:rsidRPr="00C32A38">
        <w:rPr>
          <w:rFonts w:ascii="Century Gothic" w:hAnsi="Century Gothic" w:cs="Arial"/>
          <w:sz w:val="24"/>
          <w:szCs w:val="24"/>
          <w:lang w:val="es-ES"/>
        </w:rPr>
        <w:t>.</w:t>
      </w:r>
    </w:p>
    <w:p w14:paraId="617A280E" w14:textId="77777777" w:rsidR="00C32A38" w:rsidRPr="00C32A38" w:rsidRDefault="00C32A38" w:rsidP="00C32A38">
      <w:pPr>
        <w:spacing w:after="0" w:line="240" w:lineRule="auto"/>
        <w:ind w:left="708"/>
        <w:rPr>
          <w:rFonts w:ascii="Century Gothic" w:hAnsi="Century Gothic" w:cs="Arial"/>
          <w:sz w:val="24"/>
          <w:szCs w:val="24"/>
          <w:lang w:val="es-ES"/>
        </w:rPr>
      </w:pPr>
    </w:p>
    <w:p w14:paraId="265F8E1C"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El </w:t>
      </w:r>
      <w:r w:rsidRPr="00C32A38">
        <w:rPr>
          <w:rFonts w:ascii="Century Gothic" w:hAnsi="Century Gothic" w:cs="Arial"/>
          <w:b/>
          <w:sz w:val="24"/>
          <w:szCs w:val="24"/>
          <w:lang w:val="es-ES"/>
        </w:rPr>
        <w:t>Ministerio Público</w:t>
      </w:r>
      <w:r w:rsidRPr="00C32A38">
        <w:rPr>
          <w:rFonts w:ascii="Century Gothic" w:hAnsi="Century Gothic" w:cs="Arial"/>
          <w:sz w:val="24"/>
          <w:szCs w:val="24"/>
          <w:lang w:val="es-ES"/>
        </w:rPr>
        <w:t xml:space="preserve"> rindió concepto</w:t>
      </w:r>
      <w:r w:rsidRPr="00C32A38">
        <w:rPr>
          <w:rFonts w:ascii="Century Gothic" w:hAnsi="Century Gothic" w:cs="Arial"/>
          <w:sz w:val="24"/>
          <w:szCs w:val="24"/>
          <w:vertAlign w:val="superscript"/>
          <w:lang w:val="es-ES"/>
        </w:rPr>
        <w:footnoteReference w:id="28"/>
      </w:r>
      <w:r w:rsidRPr="00C32A38">
        <w:rPr>
          <w:rFonts w:ascii="Century Gothic" w:hAnsi="Century Gothic" w:cs="Arial"/>
          <w:sz w:val="24"/>
          <w:szCs w:val="24"/>
          <w:lang w:val="es-ES"/>
        </w:rPr>
        <w:t xml:space="preserve"> y solicitó que se confirmara la sentencia de primera instancia. Sostuvo que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había puesto fin a la relación contractual, a través del acto de liquidación unilateral, por lo que lo procedente era acudir mediante la vía ejecutiva para obtener el pago de las sumas adeudadas. </w:t>
      </w:r>
    </w:p>
    <w:p w14:paraId="3ADB86AA" w14:textId="77777777" w:rsidR="00C32A38" w:rsidRPr="00C32A38" w:rsidRDefault="00C32A38" w:rsidP="00C32A38">
      <w:pPr>
        <w:spacing w:after="0" w:line="240" w:lineRule="auto"/>
        <w:ind w:left="708"/>
        <w:rPr>
          <w:rFonts w:ascii="Century Gothic" w:hAnsi="Century Gothic" w:cs="Arial"/>
          <w:sz w:val="24"/>
          <w:szCs w:val="24"/>
          <w:lang w:val="es-ES"/>
        </w:rPr>
      </w:pPr>
    </w:p>
    <w:p w14:paraId="12C9EDF8" w14:textId="77777777" w:rsidR="00C32A38" w:rsidRPr="00C32A38" w:rsidRDefault="00C32A38" w:rsidP="00C32A38">
      <w:pPr>
        <w:numPr>
          <w:ilvl w:val="0"/>
          <w:numId w:val="6"/>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lastRenderedPageBreak/>
        <w:t xml:space="preserve">Finalmente, mediante Autos de 10 de septiembre de 2015 y de 11 de marzo de 2019, el Ministerio de Vivienda, Ciudad y Territorio fue tenido como sucesor procesal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vertAlign w:val="superscript"/>
          <w:lang w:val="es-ES"/>
        </w:rPr>
        <w:footnoteReference w:id="29"/>
      </w:r>
      <w:r w:rsidRPr="00C32A38">
        <w:rPr>
          <w:rFonts w:ascii="Century Gothic" w:hAnsi="Century Gothic" w:cs="Arial"/>
          <w:sz w:val="24"/>
          <w:szCs w:val="24"/>
          <w:lang w:val="es-ES"/>
        </w:rPr>
        <w:t>.</w:t>
      </w:r>
    </w:p>
    <w:p w14:paraId="67BAFE23" w14:textId="77777777" w:rsidR="00C32A38" w:rsidRPr="00C32A38" w:rsidRDefault="00C32A38" w:rsidP="00C32A38">
      <w:pPr>
        <w:spacing w:after="0" w:line="360" w:lineRule="auto"/>
        <w:jc w:val="both"/>
        <w:rPr>
          <w:rFonts w:ascii="Century Gothic" w:hAnsi="Century Gothic" w:cs="Arial"/>
          <w:sz w:val="24"/>
          <w:szCs w:val="24"/>
          <w:lang w:val="es-ES"/>
        </w:rPr>
      </w:pPr>
    </w:p>
    <w:p w14:paraId="0BB463A7" w14:textId="77777777" w:rsidR="00C32A38" w:rsidRPr="00C32A38" w:rsidRDefault="00C32A38" w:rsidP="00C32A38">
      <w:pPr>
        <w:spacing w:after="0" w:line="360" w:lineRule="auto"/>
        <w:jc w:val="center"/>
        <w:rPr>
          <w:rFonts w:ascii="Century Gothic" w:hAnsi="Century Gothic" w:cs="Arial"/>
          <w:b/>
          <w:sz w:val="24"/>
          <w:szCs w:val="24"/>
          <w:lang w:val="es-ES"/>
        </w:rPr>
      </w:pPr>
      <w:r w:rsidRPr="00C32A38">
        <w:rPr>
          <w:rFonts w:ascii="Century Gothic" w:hAnsi="Century Gothic" w:cs="Arial"/>
          <w:b/>
          <w:sz w:val="24"/>
          <w:szCs w:val="24"/>
          <w:lang w:val="es-ES"/>
        </w:rPr>
        <w:t>2. CONSIDERACIONES</w:t>
      </w:r>
    </w:p>
    <w:p w14:paraId="225FB677" w14:textId="77777777" w:rsidR="00C32A38" w:rsidRPr="00C32A38" w:rsidRDefault="00C32A38" w:rsidP="00C32A38">
      <w:pPr>
        <w:spacing w:after="0" w:line="240" w:lineRule="auto"/>
        <w:jc w:val="both"/>
        <w:rPr>
          <w:rFonts w:ascii="Century Gothic" w:hAnsi="Century Gothic" w:cs="Arial"/>
          <w:sz w:val="20"/>
          <w:szCs w:val="20"/>
          <w:lang w:val="es-ES"/>
        </w:rPr>
      </w:pPr>
    </w:p>
    <w:p w14:paraId="4CE7C0EE" w14:textId="77777777" w:rsidR="00C32A38" w:rsidRPr="00C32A38" w:rsidRDefault="00C32A38" w:rsidP="00C32A38">
      <w:pPr>
        <w:spacing w:after="0" w:line="240" w:lineRule="auto"/>
        <w:jc w:val="both"/>
        <w:rPr>
          <w:rFonts w:ascii="Century Gothic" w:hAnsi="Century Gothic" w:cs="Arial"/>
          <w:sz w:val="20"/>
          <w:szCs w:val="20"/>
        </w:rPr>
      </w:pPr>
      <w:r w:rsidRPr="00C32A38">
        <w:rPr>
          <w:rFonts w:ascii="Century Gothic" w:hAnsi="Century Gothic" w:cs="Arial"/>
          <w:sz w:val="20"/>
          <w:szCs w:val="20"/>
          <w:lang w:val="es-ES"/>
        </w:rPr>
        <w:t xml:space="preserve">Contenido: 2.1. Jurisdicción y competencia – 2.2. Hechos probados - 2.3. Caso concreto </w:t>
      </w:r>
      <w:r w:rsidRPr="00C32A38">
        <w:rPr>
          <w:rFonts w:ascii="Century Gothic" w:hAnsi="Century Gothic" w:cs="Arial"/>
          <w:sz w:val="20"/>
          <w:szCs w:val="20"/>
        </w:rPr>
        <w:t xml:space="preserve">– 2.4 Liquidación del contrato </w:t>
      </w:r>
      <w:r w:rsidRPr="00C32A38">
        <w:rPr>
          <w:rFonts w:ascii="Century Gothic" w:hAnsi="Century Gothic" w:cs="Arial"/>
          <w:sz w:val="20"/>
          <w:szCs w:val="20"/>
          <w:lang w:val="es-ES"/>
        </w:rPr>
        <w:t>2.5. Sobre la condena en costas</w:t>
      </w:r>
    </w:p>
    <w:p w14:paraId="71E15229" w14:textId="77777777" w:rsidR="00C32A38" w:rsidRPr="00C32A38" w:rsidRDefault="00C32A38" w:rsidP="00C32A38">
      <w:pPr>
        <w:spacing w:after="0" w:line="360" w:lineRule="auto"/>
        <w:rPr>
          <w:rFonts w:ascii="Century Gothic" w:hAnsi="Century Gothic" w:cs="Arial"/>
          <w:b/>
          <w:sz w:val="24"/>
          <w:szCs w:val="24"/>
          <w:lang w:val="es-ES"/>
        </w:rPr>
      </w:pPr>
    </w:p>
    <w:p w14:paraId="6C19D7B8" w14:textId="77777777" w:rsidR="00C32A38" w:rsidRPr="00C32A38" w:rsidRDefault="00C32A38" w:rsidP="00C32A38">
      <w:pPr>
        <w:spacing w:after="0" w:line="360" w:lineRule="auto"/>
        <w:rPr>
          <w:rFonts w:ascii="Century Gothic" w:hAnsi="Century Gothic" w:cs="Arial"/>
          <w:b/>
          <w:sz w:val="24"/>
          <w:szCs w:val="24"/>
          <w:lang w:val="es-ES"/>
        </w:rPr>
      </w:pPr>
      <w:r w:rsidRPr="00C32A38">
        <w:rPr>
          <w:rFonts w:ascii="Century Gothic" w:hAnsi="Century Gothic" w:cs="Arial"/>
          <w:b/>
          <w:sz w:val="24"/>
          <w:szCs w:val="24"/>
          <w:lang w:val="es-ES"/>
        </w:rPr>
        <w:t>2.1. Jurisdicción y competencia</w:t>
      </w:r>
      <w:r w:rsidRPr="00C32A38">
        <w:rPr>
          <w:rFonts w:ascii="Century Gothic" w:hAnsi="Century Gothic" w:cs="Arial"/>
          <w:sz w:val="24"/>
          <w:szCs w:val="24"/>
          <w:vertAlign w:val="superscript"/>
          <w:lang w:val="es-ES"/>
        </w:rPr>
        <w:footnoteReference w:id="30"/>
      </w:r>
      <w:r w:rsidRPr="00C32A38">
        <w:rPr>
          <w:rFonts w:ascii="Century Gothic" w:hAnsi="Century Gothic" w:cs="Arial"/>
          <w:sz w:val="24"/>
          <w:szCs w:val="24"/>
          <w:lang w:val="es-ES"/>
        </w:rPr>
        <w:t xml:space="preserve"> </w:t>
      </w:r>
    </w:p>
    <w:p w14:paraId="36758C2E" w14:textId="77777777" w:rsidR="00C32A38" w:rsidRPr="00C32A38" w:rsidRDefault="00C32A38" w:rsidP="00C32A38">
      <w:pPr>
        <w:spacing w:after="0" w:line="360" w:lineRule="auto"/>
        <w:jc w:val="both"/>
        <w:rPr>
          <w:rFonts w:ascii="Century Gothic" w:hAnsi="Century Gothic" w:cs="Arial"/>
          <w:sz w:val="24"/>
          <w:szCs w:val="24"/>
          <w:lang w:val="es-ES"/>
        </w:rPr>
      </w:pPr>
    </w:p>
    <w:p w14:paraId="568F8E8F"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El presente asunto es de conocimiento de la jurisdicción de lo contencioso administrativo por tratarse de procesos en los que se tramitan controversias derivadas de un contrato estatal</w:t>
      </w:r>
      <w:r w:rsidRPr="00C32A38">
        <w:rPr>
          <w:rFonts w:ascii="Century Gothic" w:hAnsi="Century Gothic" w:cs="Arial"/>
          <w:sz w:val="24"/>
          <w:szCs w:val="24"/>
          <w:vertAlign w:val="superscript"/>
          <w:lang w:val="es-ES"/>
        </w:rPr>
        <w:footnoteReference w:id="31"/>
      </w:r>
      <w:r w:rsidRPr="00C32A38">
        <w:rPr>
          <w:rFonts w:ascii="Century Gothic" w:hAnsi="Century Gothic" w:cs="Arial"/>
          <w:sz w:val="24"/>
          <w:szCs w:val="24"/>
          <w:lang w:val="es-ES"/>
        </w:rPr>
        <w:t>.</w:t>
      </w:r>
    </w:p>
    <w:p w14:paraId="5C5CF996" w14:textId="77777777" w:rsidR="00C32A38" w:rsidRPr="00C32A38" w:rsidRDefault="00C32A38" w:rsidP="00C32A38">
      <w:pPr>
        <w:spacing w:after="0" w:line="360" w:lineRule="auto"/>
        <w:rPr>
          <w:rFonts w:ascii="Century Gothic" w:hAnsi="Century Gothic" w:cs="Arial"/>
          <w:sz w:val="24"/>
          <w:szCs w:val="24"/>
          <w:lang w:val="es-ES"/>
        </w:rPr>
      </w:pPr>
    </w:p>
    <w:p w14:paraId="75DFD012"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El Consejo de Estado es </w:t>
      </w:r>
      <w:r w:rsidRPr="00C32A38">
        <w:rPr>
          <w:rFonts w:ascii="Century Gothic" w:hAnsi="Century Gothic" w:cs="Arial"/>
          <w:b/>
          <w:sz w:val="24"/>
          <w:szCs w:val="24"/>
          <w:lang w:val="es-ES"/>
        </w:rPr>
        <w:t>competente</w:t>
      </w:r>
      <w:r w:rsidRPr="00C32A38">
        <w:rPr>
          <w:rFonts w:ascii="Century Gothic" w:hAnsi="Century Gothic" w:cs="Arial"/>
          <w:sz w:val="24"/>
          <w:szCs w:val="24"/>
          <w:lang w:val="es-ES"/>
        </w:rPr>
        <w:t xml:space="preserve"> para conocer de los recursos de apelación interpuestos contra las sentencias dictadas por el Tribunal Administrativo en primera instancia, de conformidad con lo dispuesto por el artículo 129 del Código Contencioso Administrativo.</w:t>
      </w:r>
    </w:p>
    <w:p w14:paraId="263E47EA" w14:textId="77777777" w:rsidR="00C32A38" w:rsidRPr="00C32A38" w:rsidRDefault="00C32A38" w:rsidP="00C32A38">
      <w:pPr>
        <w:spacing w:after="0" w:line="360" w:lineRule="auto"/>
        <w:jc w:val="both"/>
        <w:rPr>
          <w:rFonts w:ascii="Century Gothic" w:hAnsi="Century Gothic" w:cs="Arial"/>
          <w:sz w:val="24"/>
          <w:szCs w:val="24"/>
          <w:lang w:val="es-ES"/>
        </w:rPr>
      </w:pPr>
    </w:p>
    <w:p w14:paraId="3E599BC6"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La liquidación unilateral el contrato fue </w:t>
      </w:r>
      <w:proofErr w:type="gramStart"/>
      <w:r w:rsidRPr="00C32A38">
        <w:rPr>
          <w:rFonts w:ascii="Century Gothic" w:hAnsi="Century Gothic" w:cs="Arial"/>
          <w:sz w:val="24"/>
          <w:szCs w:val="24"/>
          <w:lang w:val="es-ES"/>
        </w:rPr>
        <w:t>confirmada</w:t>
      </w:r>
      <w:proofErr w:type="gramEnd"/>
      <w:r w:rsidRPr="00C32A38">
        <w:rPr>
          <w:rFonts w:ascii="Century Gothic" w:hAnsi="Century Gothic" w:cs="Arial"/>
          <w:sz w:val="24"/>
          <w:szCs w:val="24"/>
          <w:lang w:val="es-ES"/>
        </w:rPr>
        <w:t xml:space="preserve"> por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mediante Resolución 789 de 1999, que se notificó el 22 de diciembre de 1999</w:t>
      </w:r>
      <w:r w:rsidRPr="00C32A38">
        <w:rPr>
          <w:rFonts w:ascii="Century Gothic" w:hAnsi="Century Gothic" w:cs="Arial"/>
          <w:sz w:val="24"/>
          <w:szCs w:val="24"/>
          <w:vertAlign w:val="superscript"/>
          <w:lang w:val="es-ES"/>
        </w:rPr>
        <w:footnoteReference w:id="32"/>
      </w:r>
      <w:r w:rsidRPr="00C32A38">
        <w:rPr>
          <w:rFonts w:ascii="Century Gothic" w:hAnsi="Century Gothic" w:cs="Arial"/>
          <w:sz w:val="24"/>
          <w:szCs w:val="24"/>
          <w:lang w:val="es-ES"/>
        </w:rPr>
        <w:t>. En consecuencia, de conformidad con lo previsto en el literal d) del numeral 10 del artículo 136 del CCA</w:t>
      </w:r>
      <w:r w:rsidRPr="00C32A38">
        <w:rPr>
          <w:rFonts w:ascii="Century Gothic" w:hAnsi="Century Gothic" w:cs="Arial"/>
          <w:sz w:val="24"/>
          <w:szCs w:val="24"/>
          <w:vertAlign w:val="superscript"/>
          <w:lang w:val="es-ES"/>
        </w:rPr>
        <w:footnoteReference w:id="33"/>
      </w:r>
      <w:r w:rsidRPr="00C32A38">
        <w:rPr>
          <w:rFonts w:ascii="Century Gothic" w:hAnsi="Century Gothic" w:cs="Arial"/>
          <w:sz w:val="24"/>
          <w:szCs w:val="24"/>
          <w:lang w:val="es-ES"/>
        </w:rPr>
        <w:t xml:space="preserve">, las partes podían acudir a la jurisdicción hasta el 23 de diciembre de 2001. De esta manera, como lo hicieron el 10 y 16 de diciembre de 1999, se concluye que demandaron dentro del término previsto en la ley. </w:t>
      </w:r>
    </w:p>
    <w:p w14:paraId="0EB9C483" w14:textId="77777777" w:rsidR="00C32A38" w:rsidRPr="00C32A38" w:rsidRDefault="00C32A38" w:rsidP="00C32A38">
      <w:pPr>
        <w:spacing w:after="0" w:line="360" w:lineRule="auto"/>
        <w:jc w:val="both"/>
        <w:rPr>
          <w:rFonts w:ascii="Century Gothic" w:hAnsi="Century Gothic" w:cs="Arial"/>
          <w:b/>
          <w:sz w:val="24"/>
          <w:szCs w:val="24"/>
          <w:lang w:val="es-ES"/>
        </w:rPr>
      </w:pPr>
    </w:p>
    <w:p w14:paraId="07B4974E" w14:textId="77777777" w:rsidR="00C32A38" w:rsidRPr="00C32A38" w:rsidRDefault="00C32A38" w:rsidP="00C32A38">
      <w:pPr>
        <w:spacing w:after="0" w:line="360" w:lineRule="auto"/>
        <w:jc w:val="both"/>
        <w:rPr>
          <w:rFonts w:ascii="Century Gothic" w:hAnsi="Century Gothic" w:cs="Arial"/>
          <w:b/>
          <w:sz w:val="24"/>
          <w:szCs w:val="24"/>
          <w:lang w:val="es-ES"/>
        </w:rPr>
      </w:pPr>
      <w:r w:rsidRPr="00C32A38">
        <w:rPr>
          <w:rFonts w:ascii="Century Gothic" w:hAnsi="Century Gothic" w:cs="Arial"/>
          <w:b/>
          <w:sz w:val="24"/>
          <w:szCs w:val="24"/>
          <w:lang w:val="es-ES"/>
        </w:rPr>
        <w:lastRenderedPageBreak/>
        <w:t>2.2. Hechos probados</w:t>
      </w:r>
    </w:p>
    <w:p w14:paraId="361D4A47" w14:textId="77777777" w:rsidR="00C32A38" w:rsidRPr="00C32A38" w:rsidRDefault="00C32A38" w:rsidP="00C32A38">
      <w:pPr>
        <w:spacing w:after="0" w:line="360" w:lineRule="auto"/>
        <w:jc w:val="both"/>
        <w:rPr>
          <w:rFonts w:ascii="Century Gothic" w:hAnsi="Century Gothic" w:cs="Arial"/>
          <w:b/>
          <w:sz w:val="24"/>
          <w:szCs w:val="24"/>
          <w:lang w:val="es-ES"/>
        </w:rPr>
      </w:pPr>
    </w:p>
    <w:p w14:paraId="1CB74F73"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En el curso del proceso se probaron los siguientes hechos relevantes para la decisión del presente asunto. </w:t>
      </w:r>
    </w:p>
    <w:p w14:paraId="3F6FB775" w14:textId="77777777" w:rsidR="00C32A38" w:rsidRPr="00C32A38" w:rsidRDefault="00C32A38" w:rsidP="00C32A38">
      <w:pPr>
        <w:spacing w:after="0" w:line="360" w:lineRule="auto"/>
        <w:jc w:val="both"/>
        <w:rPr>
          <w:rFonts w:ascii="Century Gothic" w:hAnsi="Century Gothic" w:cs="Arial"/>
          <w:b/>
          <w:sz w:val="24"/>
          <w:szCs w:val="24"/>
          <w:lang w:val="es-ES"/>
        </w:rPr>
      </w:pPr>
    </w:p>
    <w:p w14:paraId="3BDDE4B0" w14:textId="77777777" w:rsidR="00C32A38" w:rsidRPr="00C32A38" w:rsidRDefault="00C32A38" w:rsidP="00C32A38">
      <w:pPr>
        <w:spacing w:after="0" w:line="360" w:lineRule="auto"/>
        <w:jc w:val="both"/>
        <w:rPr>
          <w:rFonts w:ascii="Century Gothic" w:hAnsi="Century Gothic" w:cs="Arial"/>
          <w:b/>
          <w:sz w:val="24"/>
          <w:szCs w:val="24"/>
          <w:lang w:val="es-ES"/>
        </w:rPr>
      </w:pPr>
      <w:r w:rsidRPr="00C32A38">
        <w:rPr>
          <w:rFonts w:ascii="Century Gothic" w:hAnsi="Century Gothic" w:cs="Arial"/>
          <w:b/>
          <w:sz w:val="24"/>
          <w:szCs w:val="24"/>
          <w:lang w:val="es-ES"/>
        </w:rPr>
        <w:t>2.2.1. Contrato de fiducia pública 103/95</w:t>
      </w:r>
    </w:p>
    <w:p w14:paraId="4A9AFDF7" w14:textId="77777777" w:rsidR="00C32A38" w:rsidRPr="00C32A38" w:rsidRDefault="00C32A38" w:rsidP="00C32A38">
      <w:pPr>
        <w:spacing w:after="0" w:line="360" w:lineRule="auto"/>
        <w:jc w:val="both"/>
        <w:rPr>
          <w:rFonts w:ascii="Century Gothic" w:hAnsi="Century Gothic" w:cs="Arial"/>
          <w:sz w:val="24"/>
          <w:szCs w:val="24"/>
          <w:lang w:val="es-ES_tradnl"/>
        </w:rPr>
      </w:pPr>
    </w:p>
    <w:p w14:paraId="370DD841" w14:textId="77777777" w:rsidR="00C32A38" w:rsidRPr="00C32A38" w:rsidRDefault="00C32A38" w:rsidP="00C32A38">
      <w:pPr>
        <w:numPr>
          <w:ilvl w:val="0"/>
          <w:numId w:val="12"/>
        </w:numPr>
        <w:spacing w:after="0" w:line="360" w:lineRule="auto"/>
        <w:jc w:val="both"/>
        <w:rPr>
          <w:rFonts w:ascii="Century Gothic" w:hAnsi="Century Gothic" w:cs="Arial"/>
          <w:i/>
          <w:sz w:val="24"/>
          <w:szCs w:val="24"/>
          <w:lang w:val="es-ES"/>
        </w:rPr>
      </w:pPr>
      <w:r w:rsidRPr="00C32A38">
        <w:rPr>
          <w:rFonts w:ascii="Century Gothic" w:hAnsi="Century Gothic" w:cs="Arial"/>
          <w:sz w:val="24"/>
          <w:szCs w:val="24"/>
          <w:lang w:val="es-ES"/>
        </w:rPr>
        <w:t xml:space="preserve">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en cumplimiento de las funciones que le asignó el artículo 12 de la Ley 3 de 1991—mediante la cual se creó el Sistema Nacional de Vivienda de Interés Social— celebró el contrato de </w:t>
      </w:r>
      <w:r w:rsidRPr="00C32A38">
        <w:rPr>
          <w:rFonts w:ascii="Century Gothic" w:hAnsi="Century Gothic" w:cs="Arial"/>
          <w:i/>
          <w:sz w:val="24"/>
          <w:szCs w:val="24"/>
          <w:lang w:val="es-ES"/>
        </w:rPr>
        <w:t>Fiducia Pública No. 103/95</w:t>
      </w:r>
      <w:r w:rsidRPr="00C32A38">
        <w:rPr>
          <w:rFonts w:ascii="Century Gothic" w:hAnsi="Century Gothic" w:cs="Arial"/>
          <w:i/>
          <w:sz w:val="24"/>
          <w:szCs w:val="24"/>
          <w:vertAlign w:val="superscript"/>
          <w:lang w:val="es-ES"/>
        </w:rPr>
        <w:footnoteReference w:id="34"/>
      </w:r>
      <w:r w:rsidRPr="00C32A38">
        <w:rPr>
          <w:rFonts w:ascii="Century Gothic" w:hAnsi="Century Gothic" w:cs="Arial"/>
          <w:i/>
          <w:sz w:val="24"/>
          <w:szCs w:val="24"/>
          <w:lang w:val="es-ES"/>
        </w:rPr>
        <w:t xml:space="preserve"> </w:t>
      </w:r>
      <w:r w:rsidRPr="00C32A38">
        <w:rPr>
          <w:rFonts w:ascii="Century Gothic" w:hAnsi="Century Gothic" w:cs="Arial"/>
          <w:sz w:val="24"/>
          <w:szCs w:val="24"/>
          <w:lang w:val="es-ES"/>
        </w:rPr>
        <w:t xml:space="preserve">con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el cual tenía por objeto “</w:t>
      </w:r>
      <w:r w:rsidRPr="00C32A38">
        <w:rPr>
          <w:rFonts w:ascii="Century Gothic" w:hAnsi="Century Gothic" w:cs="Arial"/>
          <w:i/>
          <w:sz w:val="24"/>
          <w:szCs w:val="24"/>
          <w:lang w:val="es-ES"/>
        </w:rPr>
        <w:t xml:space="preserve">la </w:t>
      </w:r>
      <w:r w:rsidRPr="00C32A38">
        <w:rPr>
          <w:rFonts w:ascii="Century Gothic" w:hAnsi="Century Gothic" w:cs="Arial"/>
          <w:b/>
          <w:i/>
          <w:sz w:val="24"/>
          <w:szCs w:val="24"/>
          <w:lang w:val="es-ES"/>
        </w:rPr>
        <w:t>administración e inversión</w:t>
      </w:r>
      <w:r w:rsidRPr="00C32A38">
        <w:rPr>
          <w:rFonts w:ascii="Century Gothic" w:hAnsi="Century Gothic" w:cs="Arial"/>
          <w:i/>
          <w:sz w:val="24"/>
          <w:szCs w:val="24"/>
          <w:lang w:val="es-ES"/>
        </w:rPr>
        <w:t xml:space="preserve"> de los recursos destinados a realizar operaciones de apalancamiento por parte del INURBE, para créditos otorgados directamente a entidades del SINAVIS, o a través de intermediarios financieros, de acuerdo a las estipulaciones del presente contrato”</w:t>
      </w:r>
      <w:r w:rsidRPr="00C32A38">
        <w:rPr>
          <w:rFonts w:ascii="Century Gothic" w:hAnsi="Century Gothic" w:cs="Arial"/>
          <w:i/>
          <w:sz w:val="24"/>
          <w:szCs w:val="24"/>
          <w:vertAlign w:val="superscript"/>
          <w:lang w:val="es-ES"/>
        </w:rPr>
        <w:footnoteReference w:id="35"/>
      </w:r>
      <w:r w:rsidRPr="00C32A38">
        <w:rPr>
          <w:rFonts w:ascii="Century Gothic" w:hAnsi="Century Gothic" w:cs="Arial"/>
          <w:i/>
          <w:sz w:val="24"/>
          <w:szCs w:val="24"/>
          <w:lang w:val="es-ES"/>
        </w:rPr>
        <w:t xml:space="preserve">. </w:t>
      </w:r>
    </w:p>
    <w:p w14:paraId="292E0231" w14:textId="77777777" w:rsidR="00C32A38" w:rsidRPr="00C32A38" w:rsidRDefault="00C32A38" w:rsidP="00C32A38">
      <w:pPr>
        <w:spacing w:after="0" w:line="360" w:lineRule="auto"/>
        <w:jc w:val="both"/>
        <w:rPr>
          <w:rFonts w:ascii="Century Gothic" w:hAnsi="Century Gothic" w:cs="Arial"/>
          <w:sz w:val="24"/>
          <w:szCs w:val="24"/>
          <w:lang w:val="es-ES"/>
        </w:rPr>
      </w:pPr>
    </w:p>
    <w:p w14:paraId="6516DDB4"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Para la ejecución del contrato la entidad entregó a la sociedad fiduciaria $5.733’046.912 y esta última se obligó a (se trascribe):</w:t>
      </w:r>
    </w:p>
    <w:p w14:paraId="39441C4E" w14:textId="77777777" w:rsidR="00C32A38" w:rsidRPr="00C32A38" w:rsidRDefault="00C32A38" w:rsidP="00C32A38">
      <w:pPr>
        <w:spacing w:after="0" w:line="360" w:lineRule="auto"/>
        <w:jc w:val="both"/>
        <w:rPr>
          <w:rFonts w:ascii="Century Gothic" w:hAnsi="Century Gothic" w:cs="Arial"/>
          <w:sz w:val="24"/>
          <w:szCs w:val="24"/>
          <w:lang w:val="es-ES"/>
        </w:rPr>
      </w:pPr>
    </w:p>
    <w:p w14:paraId="04FEB4FB"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“CLÁUSULA SÉPTIMA: OBLIGACIONES DE LA FIDUCIARIA.— En cumplimiento al presente contrato, LA FIDUCIARIA, se compromete a prestar los siguientes servicios: </w:t>
      </w:r>
      <w:r w:rsidRPr="00C32A38">
        <w:rPr>
          <w:rFonts w:ascii="Century Gothic" w:hAnsi="Century Gothic" w:cs="Arial"/>
          <w:i/>
          <w:u w:val="single"/>
          <w:lang w:val="es-ES"/>
        </w:rPr>
        <w:t xml:space="preserve">1) Invertir los recursos que le sean entregados por el FIDEICOMITENTE, con sujeción al régimen de inversiones que para el efecto establezca la Junta Administradora del Fideicomiso, con observancia de las disposiciones legales vigentes sobre la materia, atendiendo criterios de seguridad y rentabilidad. 2) Las inversiones temporales a que se refiere el numeral precedente se efectuarán únicamente </w:t>
      </w:r>
      <w:proofErr w:type="gramStart"/>
      <w:r w:rsidRPr="00C32A38">
        <w:rPr>
          <w:rFonts w:ascii="Century Gothic" w:hAnsi="Century Gothic" w:cs="Arial"/>
          <w:i/>
          <w:u w:val="single"/>
          <w:lang w:val="es-ES"/>
        </w:rPr>
        <w:t>de acuerdo a</w:t>
      </w:r>
      <w:proofErr w:type="gramEnd"/>
      <w:r w:rsidRPr="00C32A38">
        <w:rPr>
          <w:rFonts w:ascii="Century Gothic" w:hAnsi="Century Gothic" w:cs="Arial"/>
          <w:i/>
          <w:u w:val="single"/>
          <w:lang w:val="es-ES"/>
        </w:rPr>
        <w:t xml:space="preserve"> los intereses del FIDEICOMITENTE </w:t>
      </w:r>
      <w:r w:rsidRPr="00C32A38">
        <w:rPr>
          <w:rFonts w:ascii="Century Gothic" w:hAnsi="Century Gothic" w:cs="Arial"/>
          <w:i/>
          <w:lang w:val="es-ES"/>
        </w:rPr>
        <w:t xml:space="preserve">(…) 6) Prestar asesoría financiera durante la vigencia del presente contrato a quienes recibirán los recursos y al FIDEICOMITENTE. 8) Poner a disposición del FIDEICOMITENTE toda su experiencia, conocimientos, medios técnicos, logísticos e institucionales (…) </w:t>
      </w:r>
      <w:r w:rsidRPr="00C32A38">
        <w:rPr>
          <w:rFonts w:ascii="Century Gothic" w:hAnsi="Century Gothic" w:cs="Arial"/>
          <w:i/>
          <w:u w:val="single"/>
          <w:lang w:val="es-ES"/>
        </w:rPr>
        <w:t>9) Realizar diligentemente todos los actos necesarios para conseguir la finalidad del presente encargo (…) 12) Cumplir las instrucciones impartidas por el FIDEICOMITENTE para la ejecución del objeto del presente contrato</w:t>
      </w:r>
      <w:r w:rsidRPr="00C32A38">
        <w:rPr>
          <w:rFonts w:ascii="Century Gothic" w:hAnsi="Century Gothic" w:cs="Arial"/>
          <w:i/>
          <w:lang w:val="es-ES"/>
        </w:rPr>
        <w:t xml:space="preserve"> (…) </w:t>
      </w:r>
      <w:r w:rsidRPr="00C32A38">
        <w:rPr>
          <w:rFonts w:ascii="Century Gothic" w:hAnsi="Century Gothic" w:cs="Arial"/>
          <w:i/>
          <w:u w:val="single"/>
          <w:lang w:val="es-ES"/>
        </w:rPr>
        <w:t xml:space="preserve">14) Presentar informe final en donde se exprese el Estado de las cuentas y de todos los desembolsos efectuados. 15) Entregar al FIDEICOMITENTE toda suma de dinero que quede a la terminación del contrato, una vez efectuados todos los desembolsos con cargo a los recursos FIDEICOMETIDOS </w:t>
      </w:r>
      <w:r w:rsidRPr="00C32A38">
        <w:rPr>
          <w:rFonts w:ascii="Century Gothic" w:hAnsi="Century Gothic" w:cs="Arial"/>
          <w:i/>
          <w:lang w:val="es-ES"/>
        </w:rPr>
        <w:t xml:space="preserve">(…) 18) Recomendar a la Junta Administradora del fideicomiso, </w:t>
      </w:r>
      <w:proofErr w:type="gramStart"/>
      <w:r w:rsidRPr="00C32A38">
        <w:rPr>
          <w:rFonts w:ascii="Century Gothic" w:hAnsi="Century Gothic" w:cs="Arial"/>
          <w:i/>
          <w:lang w:val="es-ES"/>
        </w:rPr>
        <w:t>de acuerdo a</w:t>
      </w:r>
      <w:proofErr w:type="gramEnd"/>
      <w:r w:rsidRPr="00C32A38">
        <w:rPr>
          <w:rFonts w:ascii="Century Gothic" w:hAnsi="Century Gothic" w:cs="Arial"/>
          <w:i/>
          <w:lang w:val="es-ES"/>
        </w:rPr>
        <w:t xml:space="preserve"> su conocimiento específico sobre el manejo de las </w:t>
      </w:r>
      <w:r w:rsidRPr="00C32A38">
        <w:rPr>
          <w:rFonts w:ascii="Century Gothic" w:hAnsi="Century Gothic" w:cs="Arial"/>
          <w:i/>
          <w:lang w:val="es-ES"/>
        </w:rPr>
        <w:lastRenderedPageBreak/>
        <w:t>inversiones, aquellas que garanticen mayor rentabilidad con el menor riesgo (...)</w:t>
      </w:r>
    </w:p>
    <w:p w14:paraId="3A71B017"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“CÁUSULA DÉCIMA.— RENDICIÓN DE CUENTAS: (…) Al terminar el encargo, la FIDUCIARIA presentará un informe definitivo sobre su gestión en calidad de rendición final de cuentas” </w:t>
      </w:r>
      <w:r w:rsidRPr="00C32A38">
        <w:rPr>
          <w:rFonts w:ascii="Century Gothic" w:hAnsi="Century Gothic" w:cs="Arial"/>
          <w:lang w:val="es-ES"/>
        </w:rPr>
        <w:t>(subrayado fuera del original)</w:t>
      </w:r>
      <w:r w:rsidRPr="00C32A38">
        <w:rPr>
          <w:rFonts w:ascii="Century Gothic" w:hAnsi="Century Gothic" w:cs="Arial"/>
          <w:i/>
          <w:lang w:val="es-ES"/>
        </w:rPr>
        <w:t>.</w:t>
      </w:r>
    </w:p>
    <w:p w14:paraId="367D30F5" w14:textId="77777777" w:rsidR="00C32A38" w:rsidRPr="00C32A38" w:rsidRDefault="00C32A38" w:rsidP="00C32A38">
      <w:pPr>
        <w:spacing w:after="0" w:line="360" w:lineRule="auto"/>
        <w:ind w:right="567"/>
        <w:jc w:val="both"/>
        <w:rPr>
          <w:rFonts w:ascii="Century Gothic" w:hAnsi="Century Gothic" w:cs="Arial"/>
          <w:b/>
          <w:i/>
          <w:lang w:val="es-ES"/>
        </w:rPr>
      </w:pPr>
    </w:p>
    <w:p w14:paraId="7BCBEF3B" w14:textId="77777777" w:rsidR="00C32A38" w:rsidRPr="00C32A38" w:rsidRDefault="00C32A38" w:rsidP="00C32A38">
      <w:pPr>
        <w:numPr>
          <w:ilvl w:val="0"/>
          <w:numId w:val="12"/>
        </w:numPr>
        <w:spacing w:after="0" w:line="360" w:lineRule="auto"/>
        <w:ind w:right="567"/>
        <w:jc w:val="both"/>
        <w:rPr>
          <w:rFonts w:ascii="Century Gothic" w:hAnsi="Century Gothic" w:cs="Arial"/>
          <w:sz w:val="24"/>
          <w:szCs w:val="24"/>
          <w:lang w:val="es-ES"/>
        </w:rPr>
      </w:pPr>
      <w:r w:rsidRPr="00C32A38">
        <w:rPr>
          <w:rFonts w:ascii="Century Gothic" w:hAnsi="Century Gothic" w:cs="Arial"/>
          <w:sz w:val="24"/>
          <w:szCs w:val="24"/>
          <w:lang w:val="es-ES"/>
        </w:rPr>
        <w:t xml:space="preserve">Por su parte la entidad contrajo, entre otras, las siguientes obligaciones: </w:t>
      </w:r>
    </w:p>
    <w:p w14:paraId="59A5AE88" w14:textId="77777777" w:rsidR="00C32A38" w:rsidRPr="00C32A38" w:rsidRDefault="00C32A38" w:rsidP="00C32A38">
      <w:pPr>
        <w:spacing w:after="0" w:line="240" w:lineRule="auto"/>
        <w:ind w:right="567"/>
        <w:jc w:val="both"/>
        <w:rPr>
          <w:rFonts w:ascii="Century Gothic" w:hAnsi="Century Gothic" w:cs="Arial"/>
          <w:sz w:val="24"/>
          <w:szCs w:val="24"/>
          <w:lang w:val="es-ES"/>
        </w:rPr>
      </w:pPr>
    </w:p>
    <w:p w14:paraId="44257A3D"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lang w:val="es-ES"/>
        </w:rPr>
        <w:t>“</w:t>
      </w:r>
      <w:r w:rsidRPr="00C32A38">
        <w:rPr>
          <w:rFonts w:ascii="Century Gothic" w:hAnsi="Century Gothic" w:cs="Arial"/>
          <w:i/>
          <w:lang w:val="es-ES"/>
        </w:rPr>
        <w:t>CLÁUSULA OCTAVA: OBLIGACIONES DEL FIDEICOMITNTE: EL FIDEICOMITENTE asume las siguientes obligaciones: 1) Entregar a LA FIDUCIARIA, a título de fiducia pública, los recursos necesarios para el cumplimiento de los objetivos propuestos en el presente contrato 2) Suministrar a LA FIDUCIARIA las instrucciones, normas, reglamentos, listados y demás información que esta requiera para el cumplimiento del objeto contractual (…)”.</w:t>
      </w:r>
    </w:p>
    <w:p w14:paraId="6CCF4009" w14:textId="77777777" w:rsidR="00C32A38" w:rsidRPr="00C32A38" w:rsidRDefault="00C32A38" w:rsidP="00C32A38">
      <w:pPr>
        <w:spacing w:after="0" w:line="276" w:lineRule="auto"/>
        <w:ind w:right="567"/>
        <w:jc w:val="both"/>
        <w:rPr>
          <w:rFonts w:ascii="Century Gothic" w:hAnsi="Century Gothic" w:cs="Arial"/>
          <w:i/>
          <w:sz w:val="24"/>
          <w:szCs w:val="24"/>
          <w:lang w:val="es-ES"/>
        </w:rPr>
      </w:pPr>
    </w:p>
    <w:p w14:paraId="65D89D37"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Ahora bien, para la ejecución de la fiducia pública las partes estipularon la creación de una Junta Administradora, en los siguientes términos (se trascribe):</w:t>
      </w:r>
    </w:p>
    <w:p w14:paraId="4214423D" w14:textId="77777777" w:rsidR="00C32A38" w:rsidRPr="00C32A38" w:rsidRDefault="00C32A38" w:rsidP="00C32A38">
      <w:pPr>
        <w:spacing w:after="0" w:line="360" w:lineRule="auto"/>
        <w:jc w:val="both"/>
        <w:rPr>
          <w:rFonts w:ascii="Century Gothic" w:hAnsi="Century Gothic" w:cs="Arial"/>
          <w:sz w:val="24"/>
          <w:szCs w:val="24"/>
          <w:lang w:val="es-ES"/>
        </w:rPr>
      </w:pPr>
    </w:p>
    <w:p w14:paraId="1E3DF049"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“CLÁUSULA DÉCIMA SEGUNDA: JUNTA ADMINISTRADORA. La ejecución del presente contrato estará orientada por Junta Administradora del fideicomiso, que </w:t>
      </w:r>
      <w:r w:rsidRPr="00C32A38">
        <w:rPr>
          <w:rFonts w:ascii="Century Gothic" w:hAnsi="Century Gothic" w:cs="Arial"/>
          <w:i/>
          <w:u w:val="single"/>
          <w:lang w:val="es-ES"/>
        </w:rPr>
        <w:t>estará conformada por un Representante de la FIDUCIARIA y dos del INURBE y tendrá las funciones que el Gerente General del INURBE le asigne</w:t>
      </w:r>
      <w:r w:rsidRPr="00C32A38">
        <w:rPr>
          <w:rFonts w:ascii="Century Gothic" w:hAnsi="Century Gothic" w:cs="Arial"/>
          <w:i/>
          <w:lang w:val="es-ES"/>
        </w:rPr>
        <w:t xml:space="preserve"> (…)” </w:t>
      </w:r>
      <w:r w:rsidRPr="00C32A38">
        <w:rPr>
          <w:rFonts w:ascii="Century Gothic" w:hAnsi="Century Gothic" w:cs="Arial"/>
          <w:lang w:val="es-ES"/>
        </w:rPr>
        <w:t>(subrayado fuera del original)</w:t>
      </w:r>
      <w:r w:rsidRPr="00C32A38">
        <w:rPr>
          <w:rFonts w:ascii="Century Gothic" w:hAnsi="Century Gothic" w:cs="Arial"/>
          <w:i/>
          <w:lang w:val="es-ES"/>
        </w:rPr>
        <w:t xml:space="preserve">. </w:t>
      </w:r>
    </w:p>
    <w:p w14:paraId="4937D6FE" w14:textId="77777777" w:rsidR="00C32A38" w:rsidRPr="00C32A38" w:rsidRDefault="00C32A38" w:rsidP="00C32A38">
      <w:pPr>
        <w:spacing w:after="0" w:line="360" w:lineRule="auto"/>
        <w:jc w:val="both"/>
        <w:rPr>
          <w:rFonts w:ascii="Century Gothic" w:hAnsi="Century Gothic" w:cs="Arial"/>
          <w:sz w:val="24"/>
          <w:szCs w:val="24"/>
          <w:lang w:val="es-ES"/>
        </w:rPr>
      </w:pPr>
    </w:p>
    <w:p w14:paraId="7E3FAA22"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Por su parte, la cláusula 22 del contrato establece lo siguiente:</w:t>
      </w:r>
    </w:p>
    <w:p w14:paraId="6B6ECEB6" w14:textId="77777777" w:rsidR="00C32A38" w:rsidRPr="00C32A38" w:rsidRDefault="00C32A38" w:rsidP="00C32A38">
      <w:pPr>
        <w:spacing w:after="0" w:line="240" w:lineRule="auto"/>
        <w:jc w:val="both"/>
        <w:rPr>
          <w:rFonts w:ascii="Century Gothic" w:hAnsi="Century Gothic" w:cs="Arial"/>
          <w:i/>
          <w:sz w:val="24"/>
          <w:szCs w:val="24"/>
          <w:lang w:val="es-ES"/>
        </w:rPr>
      </w:pPr>
    </w:p>
    <w:p w14:paraId="14FD1FC5"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“CLÁUSULA VIGÉSIMA SEGUNDA.— LIQUIDACIÓN. Terminado el contrato por cualquier causa, se procederá a su liquidación, la cual se surtirá dentro de los cuatro (4) meses siguientes a la fecha de terminación. </w:t>
      </w:r>
      <w:r w:rsidRPr="00C32A38">
        <w:rPr>
          <w:rFonts w:ascii="Century Gothic" w:hAnsi="Century Gothic" w:cs="Arial"/>
          <w:i/>
          <w:u w:val="single"/>
          <w:lang w:val="es-ES"/>
        </w:rPr>
        <w:t>Para tal efecto, LA FIDUCIARIA deberá entregar, a la Subgerencia Administrativa y Financiera, un informe detallado sobre el manejo de los recursos, las inversiones efectuadas, los rendimientos financieros obtenidos, en desarrollo del presente encargo. Si existieren saldos a favor del FIDEICOMITENTE por estos conceptos, se procederá a su devolución</w:t>
      </w:r>
      <w:r w:rsidRPr="00C32A38">
        <w:rPr>
          <w:rFonts w:ascii="Century Gothic" w:hAnsi="Century Gothic" w:cs="Arial"/>
          <w:i/>
          <w:lang w:val="es-ES"/>
        </w:rPr>
        <w:t xml:space="preserve">. Del informe final de liquidación se levantará un acta suscrita por las partes. Si no hubiese acuerdo al respecto, se procederá de conformidad con lo establecido en el artículo 61 del Estatuto Contractual” </w:t>
      </w:r>
      <w:r w:rsidRPr="00C32A38">
        <w:rPr>
          <w:rFonts w:ascii="Century Gothic" w:hAnsi="Century Gothic" w:cs="Arial"/>
          <w:lang w:val="es-ES"/>
        </w:rPr>
        <w:t>(subrayado fuera del original).</w:t>
      </w:r>
      <w:r w:rsidRPr="00C32A38">
        <w:rPr>
          <w:rFonts w:ascii="Century Gothic" w:hAnsi="Century Gothic" w:cs="Arial"/>
          <w:i/>
          <w:lang w:val="es-ES"/>
        </w:rPr>
        <w:t xml:space="preserve"> </w:t>
      </w:r>
    </w:p>
    <w:p w14:paraId="4DB88196" w14:textId="77777777" w:rsidR="00C32A38" w:rsidRPr="00C32A38" w:rsidRDefault="00C32A38" w:rsidP="00C32A38">
      <w:pPr>
        <w:spacing w:after="0" w:line="360" w:lineRule="auto"/>
        <w:ind w:left="567"/>
        <w:jc w:val="both"/>
        <w:rPr>
          <w:rFonts w:ascii="Century Gothic" w:hAnsi="Century Gothic" w:cs="Arial"/>
          <w:i/>
          <w:lang w:val="es-ES"/>
        </w:rPr>
      </w:pPr>
    </w:p>
    <w:p w14:paraId="3A503A19"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Finalmente, el plazo de ejecución se previó desde la fecha de perfeccionamiento del contrato —22 de diciembre de 1995— hasta el 31 de diciembre de 1996; no obstante, en virtud del otrosí No. 1 al contrato de fiducia pública No. 103/95 el plazo se amplió hasta el 31 de diciembre de 1997.</w:t>
      </w:r>
    </w:p>
    <w:p w14:paraId="32D1AC6C" w14:textId="77777777" w:rsidR="00C32A38" w:rsidRPr="00C32A38" w:rsidRDefault="00C32A38" w:rsidP="00C32A38">
      <w:pPr>
        <w:tabs>
          <w:tab w:val="left" w:pos="8222"/>
        </w:tabs>
        <w:spacing w:after="0" w:line="360" w:lineRule="auto"/>
        <w:jc w:val="both"/>
        <w:rPr>
          <w:rFonts w:ascii="Century Gothic" w:hAnsi="Century Gothic" w:cs="Arial"/>
          <w:strike/>
          <w:sz w:val="24"/>
          <w:szCs w:val="24"/>
          <w:lang w:val="es-ES"/>
        </w:rPr>
      </w:pPr>
    </w:p>
    <w:p w14:paraId="30D06ED2" w14:textId="77777777" w:rsidR="00C32A38" w:rsidRPr="00C32A38" w:rsidRDefault="00C32A38" w:rsidP="00C32A38">
      <w:pPr>
        <w:tabs>
          <w:tab w:val="left" w:pos="8222"/>
        </w:tabs>
        <w:spacing w:after="0" w:line="360" w:lineRule="auto"/>
        <w:jc w:val="both"/>
        <w:rPr>
          <w:rFonts w:ascii="Century Gothic" w:hAnsi="Century Gothic" w:cs="Arial"/>
          <w:strike/>
          <w:sz w:val="24"/>
          <w:szCs w:val="24"/>
          <w:lang w:val="es-ES"/>
        </w:rPr>
      </w:pPr>
      <w:r w:rsidRPr="00C32A38">
        <w:rPr>
          <w:rFonts w:ascii="Century Gothic" w:hAnsi="Century Gothic" w:cs="Arial"/>
          <w:b/>
          <w:sz w:val="24"/>
          <w:szCs w:val="24"/>
          <w:lang w:val="es-ES"/>
        </w:rPr>
        <w:lastRenderedPageBreak/>
        <w:t>2.2.2. Junta Administradora y régimen de inversiones</w:t>
      </w:r>
    </w:p>
    <w:p w14:paraId="473841FC" w14:textId="77777777" w:rsidR="00C32A38" w:rsidRPr="00C32A38" w:rsidRDefault="00C32A38" w:rsidP="00C32A38">
      <w:pPr>
        <w:spacing w:after="0" w:line="360" w:lineRule="auto"/>
        <w:jc w:val="both"/>
        <w:rPr>
          <w:rFonts w:ascii="Century Gothic" w:hAnsi="Century Gothic" w:cs="Arial"/>
          <w:b/>
          <w:sz w:val="24"/>
          <w:szCs w:val="24"/>
          <w:lang w:val="es-ES"/>
        </w:rPr>
      </w:pPr>
    </w:p>
    <w:p w14:paraId="54483644" w14:textId="77777777" w:rsidR="00C32A38" w:rsidRPr="00C32A38" w:rsidRDefault="00C32A38" w:rsidP="00C32A38">
      <w:pPr>
        <w:numPr>
          <w:ilvl w:val="0"/>
          <w:numId w:val="12"/>
        </w:numPr>
        <w:tabs>
          <w:tab w:val="left" w:pos="567"/>
        </w:tabs>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Desde su creación en 1991,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celebró varios contratos de encargo fiduciario. Con la </w:t>
      </w:r>
      <w:proofErr w:type="gramStart"/>
      <w:r w:rsidRPr="00C32A38">
        <w:rPr>
          <w:rFonts w:ascii="Century Gothic" w:hAnsi="Century Gothic" w:cs="Arial"/>
          <w:sz w:val="24"/>
          <w:szCs w:val="24"/>
          <w:lang w:val="es-ES"/>
        </w:rPr>
        <w:t>entrada en vigencia</w:t>
      </w:r>
      <w:proofErr w:type="gramEnd"/>
      <w:r w:rsidRPr="00C32A38">
        <w:rPr>
          <w:rFonts w:ascii="Century Gothic" w:hAnsi="Century Gothic" w:cs="Arial"/>
          <w:sz w:val="24"/>
          <w:szCs w:val="24"/>
          <w:lang w:val="es-ES"/>
        </w:rPr>
        <w:t xml:space="preserve"> de la Ley 80 de 1993 la entidad optó por celebrar contratos de fiducia pública, con idéntico objeto al trascrito antes —</w:t>
      </w:r>
      <w:r w:rsidRPr="00C32A38">
        <w:rPr>
          <w:rFonts w:ascii="Century Gothic" w:hAnsi="Century Gothic" w:cs="Arial"/>
          <w:i/>
          <w:sz w:val="24"/>
          <w:szCs w:val="24"/>
          <w:lang w:val="es-ES"/>
        </w:rPr>
        <w:t>administración e inversión</w:t>
      </w:r>
      <w:r w:rsidRPr="00C32A38">
        <w:rPr>
          <w:rFonts w:ascii="Century Gothic" w:hAnsi="Century Gothic" w:cs="Arial"/>
          <w:sz w:val="24"/>
          <w:szCs w:val="24"/>
          <w:lang w:val="es-ES"/>
        </w:rPr>
        <w:t xml:space="preserve">— y con la previsión de un órgano de dirección; debido a lo anterior,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decidió realizar de manera conjunta con las sociedades fiduciarias contratistas las reuniones de la Junta Administradora</w:t>
      </w:r>
      <w:r w:rsidRPr="00C32A38">
        <w:rPr>
          <w:rFonts w:ascii="Century Gothic" w:hAnsi="Century Gothic" w:cs="Arial"/>
          <w:sz w:val="24"/>
          <w:szCs w:val="24"/>
          <w:vertAlign w:val="superscript"/>
          <w:lang w:val="es-ES"/>
        </w:rPr>
        <w:footnoteReference w:id="36"/>
      </w:r>
      <w:r w:rsidRPr="00C32A38">
        <w:rPr>
          <w:rFonts w:ascii="Century Gothic" w:hAnsi="Century Gothic" w:cs="Arial"/>
          <w:sz w:val="24"/>
          <w:szCs w:val="24"/>
          <w:lang w:val="es-ES"/>
        </w:rPr>
        <w:t xml:space="preserve">. </w:t>
      </w:r>
    </w:p>
    <w:p w14:paraId="7156A0BF" w14:textId="77777777" w:rsidR="00C32A38" w:rsidRPr="00C32A38" w:rsidRDefault="00C32A38" w:rsidP="00C32A38">
      <w:pPr>
        <w:spacing w:after="0" w:line="360" w:lineRule="auto"/>
        <w:jc w:val="both"/>
        <w:rPr>
          <w:rFonts w:ascii="Century Gothic" w:hAnsi="Century Gothic" w:cs="Arial"/>
          <w:b/>
          <w:sz w:val="24"/>
          <w:szCs w:val="24"/>
          <w:lang w:val="es-ES"/>
        </w:rPr>
      </w:pPr>
    </w:p>
    <w:p w14:paraId="2361BB9F"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No </w:t>
      </w:r>
      <w:r w:rsidR="00D83A92" w:rsidRPr="00C32A38">
        <w:rPr>
          <w:rFonts w:ascii="Century Gothic" w:hAnsi="Century Gothic" w:cs="Arial"/>
          <w:sz w:val="24"/>
          <w:szCs w:val="24"/>
          <w:lang w:val="es-ES"/>
        </w:rPr>
        <w:t>obstante,</w:t>
      </w:r>
      <w:r w:rsidRPr="00C32A38">
        <w:rPr>
          <w:rFonts w:ascii="Century Gothic" w:hAnsi="Century Gothic" w:cs="Arial"/>
          <w:sz w:val="24"/>
          <w:szCs w:val="24"/>
          <w:lang w:val="es-ES"/>
        </w:rPr>
        <w:t xml:space="preserve"> lo anterior, solo hasta el 7 de enero de 1997, y con la finalidad de establecer en una norma interna la forma en que la Junta Administradora funcionaba en la práctica, el Gerente General de la entidad, mediante Resolución 1</w:t>
      </w:r>
      <w:r w:rsidRPr="00C32A38">
        <w:rPr>
          <w:rFonts w:ascii="Century Gothic" w:hAnsi="Century Gothic" w:cs="Arial"/>
          <w:sz w:val="24"/>
          <w:szCs w:val="24"/>
          <w:vertAlign w:val="superscript"/>
          <w:lang w:val="es-ES"/>
        </w:rPr>
        <w:footnoteReference w:id="37"/>
      </w:r>
      <w:r w:rsidRPr="00C32A38">
        <w:rPr>
          <w:rFonts w:ascii="Century Gothic" w:hAnsi="Century Gothic" w:cs="Arial"/>
          <w:sz w:val="24"/>
          <w:szCs w:val="24"/>
          <w:lang w:val="es-ES"/>
        </w:rPr>
        <w:t>, dispuso la creación del órgano en mención en los siguientes términos (se trascribe):</w:t>
      </w:r>
    </w:p>
    <w:p w14:paraId="77677C87" w14:textId="77777777" w:rsidR="00C32A38" w:rsidRPr="00C32A38" w:rsidRDefault="00C32A38" w:rsidP="00C32A38">
      <w:pPr>
        <w:spacing w:after="0" w:line="360" w:lineRule="auto"/>
        <w:jc w:val="both"/>
        <w:rPr>
          <w:rFonts w:ascii="Century Gothic" w:hAnsi="Century Gothic" w:cs="Arial"/>
          <w:sz w:val="24"/>
          <w:szCs w:val="24"/>
          <w:lang w:val="es-ES"/>
        </w:rPr>
      </w:pPr>
    </w:p>
    <w:p w14:paraId="582148F8"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lang w:val="es-ES"/>
        </w:rPr>
        <w:t>“</w:t>
      </w:r>
      <w:r w:rsidRPr="00C32A38">
        <w:rPr>
          <w:rFonts w:ascii="Century Gothic" w:hAnsi="Century Gothic" w:cs="Arial"/>
          <w:i/>
          <w:lang w:val="es-ES"/>
        </w:rPr>
        <w:t xml:space="preserve">ARTÍCULO 1°.- CREACIÓN Y CONFORMACIÓN: Crear la Junta Administradora de Fideicomisos que </w:t>
      </w:r>
      <w:r w:rsidRPr="00C32A38">
        <w:rPr>
          <w:rFonts w:ascii="Century Gothic" w:hAnsi="Century Gothic" w:cs="Arial"/>
          <w:i/>
          <w:u w:val="single"/>
          <w:lang w:val="es-ES"/>
        </w:rPr>
        <w:t>estará conformada por dos representantes del INURBE y uno de la Fiduciaria, éste último con voz pero sin voto en las decisiones que se adopten.</w:t>
      </w:r>
    </w:p>
    <w:p w14:paraId="0FF92ABD"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64E94390"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“ARTÍCULO 2°.- FUNCIONES: La Junta Administradora de cada Fideicomiso tendrá las siguientes funciones:</w:t>
      </w:r>
    </w:p>
    <w:p w14:paraId="63D1E046"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0595CC07" w14:textId="77777777" w:rsidR="00C32A38" w:rsidRPr="00C32A38" w:rsidRDefault="00C32A38" w:rsidP="00C32A38">
      <w:pPr>
        <w:spacing w:after="0" w:line="276" w:lineRule="auto"/>
        <w:ind w:left="567" w:right="567"/>
        <w:jc w:val="both"/>
        <w:rPr>
          <w:rFonts w:ascii="Century Gothic" w:hAnsi="Century Gothic" w:cs="Arial"/>
          <w:lang w:val="es-ES"/>
        </w:rPr>
      </w:pPr>
      <w:r w:rsidRPr="00C32A38">
        <w:rPr>
          <w:rFonts w:ascii="Century Gothic" w:hAnsi="Century Gothic" w:cs="Arial"/>
          <w:i/>
          <w:lang w:val="es-ES"/>
        </w:rPr>
        <w:t xml:space="preserve">“6. </w:t>
      </w:r>
      <w:r w:rsidRPr="00C32A38">
        <w:rPr>
          <w:rFonts w:ascii="Century Gothic" w:hAnsi="Century Gothic" w:cs="Arial"/>
          <w:i/>
          <w:u w:val="single"/>
          <w:lang w:val="es-ES"/>
        </w:rPr>
        <w:t>Determinar y autorizar todas las inversiones que la fiduciaria debe efectuar con los recursos objeto del encargo Fiduciario o Fiducia Pública correspondiente</w:t>
      </w:r>
      <w:r w:rsidRPr="00C32A38">
        <w:rPr>
          <w:rFonts w:ascii="Century Gothic" w:hAnsi="Century Gothic" w:cs="Arial"/>
          <w:i/>
          <w:lang w:val="es-ES"/>
        </w:rPr>
        <w:t xml:space="preserve">” </w:t>
      </w:r>
      <w:r w:rsidRPr="00C32A38">
        <w:rPr>
          <w:rFonts w:ascii="Century Gothic" w:hAnsi="Century Gothic" w:cs="Arial"/>
          <w:lang w:val="es-ES"/>
        </w:rPr>
        <w:t>(subrayado fuera del original).</w:t>
      </w:r>
    </w:p>
    <w:p w14:paraId="5EC0DFEA" w14:textId="77777777" w:rsidR="00C32A38" w:rsidRPr="00C32A38" w:rsidRDefault="00C32A38" w:rsidP="00C32A38">
      <w:pPr>
        <w:spacing w:after="0" w:line="360" w:lineRule="auto"/>
        <w:jc w:val="both"/>
        <w:rPr>
          <w:rFonts w:ascii="Century Gothic" w:hAnsi="Century Gothic" w:cs="Arial"/>
          <w:lang w:val="es-ES"/>
        </w:rPr>
      </w:pPr>
    </w:p>
    <w:p w14:paraId="285AF6C4"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Ahora bien, el régimen de inversiones temporales de los recursos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a través de las fiduciarias estaba determinado por el Acuerdo 15 de 1995, el cual establecía qué intermediarios financieros podían recibirlos</w:t>
      </w:r>
      <w:r w:rsidRPr="00C32A38">
        <w:rPr>
          <w:rFonts w:ascii="Century Gothic" w:hAnsi="Century Gothic" w:cs="Arial"/>
          <w:sz w:val="24"/>
          <w:szCs w:val="24"/>
          <w:vertAlign w:val="superscript"/>
          <w:lang w:val="es-ES"/>
        </w:rPr>
        <w:footnoteReference w:id="38"/>
      </w:r>
      <w:r w:rsidRPr="00C32A38">
        <w:rPr>
          <w:rFonts w:ascii="Century Gothic" w:hAnsi="Century Gothic" w:cs="Arial"/>
          <w:sz w:val="24"/>
          <w:szCs w:val="24"/>
          <w:lang w:val="es-ES"/>
        </w:rPr>
        <w:t xml:space="preserve">, entre los que no se </w:t>
      </w:r>
      <w:r w:rsidRPr="00C32A38">
        <w:rPr>
          <w:rFonts w:ascii="Century Gothic" w:hAnsi="Century Gothic" w:cs="Arial"/>
          <w:sz w:val="24"/>
          <w:szCs w:val="24"/>
          <w:lang w:val="es-ES"/>
        </w:rPr>
        <w:lastRenderedPageBreak/>
        <w:t>encontraban las cooperativas. Debido a lo anterior, en reunión de 15 de agosto de 1995</w:t>
      </w:r>
      <w:r w:rsidRPr="00C32A38">
        <w:rPr>
          <w:rFonts w:ascii="Century Gothic" w:hAnsi="Century Gothic" w:cs="Arial"/>
          <w:sz w:val="24"/>
          <w:szCs w:val="24"/>
          <w:vertAlign w:val="superscript"/>
          <w:lang w:val="es-ES"/>
        </w:rPr>
        <w:footnoteReference w:id="39"/>
      </w:r>
      <w:r w:rsidRPr="00C32A38">
        <w:rPr>
          <w:rFonts w:ascii="Century Gothic" w:hAnsi="Century Gothic" w:cs="Arial"/>
          <w:sz w:val="24"/>
          <w:szCs w:val="24"/>
          <w:lang w:val="es-ES"/>
        </w:rPr>
        <w:t xml:space="preserve"> el subgerente financiero y administrativo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para la fecha, José Octavio Galvis Jiménez, manifestó lo siguiente (se trascribe):</w:t>
      </w:r>
    </w:p>
    <w:p w14:paraId="44B9801D" w14:textId="77777777" w:rsidR="00C32A38" w:rsidRPr="00C32A38" w:rsidRDefault="00C32A38" w:rsidP="00C32A38">
      <w:pPr>
        <w:spacing w:after="0" w:line="360" w:lineRule="auto"/>
        <w:jc w:val="both"/>
        <w:rPr>
          <w:rFonts w:ascii="Century Gothic" w:hAnsi="Century Gothic" w:cs="Arial"/>
          <w:sz w:val="24"/>
          <w:szCs w:val="24"/>
          <w:lang w:val="es-ES"/>
        </w:rPr>
      </w:pPr>
    </w:p>
    <w:p w14:paraId="1B74BA3F" w14:textId="77777777" w:rsidR="00C32A38" w:rsidRPr="00C32A38" w:rsidRDefault="00C32A38" w:rsidP="00C32A38">
      <w:pPr>
        <w:spacing w:after="0" w:line="276" w:lineRule="auto"/>
        <w:ind w:left="567" w:right="567"/>
        <w:jc w:val="both"/>
        <w:rPr>
          <w:rFonts w:ascii="Century Gothic" w:hAnsi="Century Gothic" w:cs="Arial"/>
          <w:i/>
          <w:u w:val="single"/>
          <w:lang w:val="es-ES"/>
        </w:rPr>
      </w:pPr>
      <w:r w:rsidRPr="00C32A38">
        <w:rPr>
          <w:rFonts w:ascii="Century Gothic" w:hAnsi="Century Gothic" w:cs="Arial"/>
          <w:i/>
          <w:lang w:val="es-ES"/>
        </w:rPr>
        <w:t xml:space="preserve">“Aborda el tema referente a las Operaciones de Apalancamiento de préstamos otorgados a través de intermediarios Financieros, haciendo especial énfasis en el </w:t>
      </w:r>
      <w:r w:rsidRPr="00C32A38">
        <w:rPr>
          <w:rFonts w:ascii="Century Gothic" w:hAnsi="Century Gothic" w:cs="Arial"/>
          <w:i/>
          <w:u w:val="single"/>
          <w:lang w:val="es-ES"/>
        </w:rPr>
        <w:t>artículo 2 y 3 del acuerdo No. 15 de 1995 en los que se destaca que estos intermediarios deben encontrarse vigilados por la Superintendencia Bancaria, lo que hace que las entidades Cooperativas</w:t>
      </w:r>
      <w:r w:rsidRPr="00C32A38">
        <w:rPr>
          <w:rFonts w:ascii="Century Gothic" w:hAnsi="Century Gothic" w:cs="Arial"/>
          <w:i/>
          <w:lang w:val="es-ES"/>
        </w:rPr>
        <w:t xml:space="preserve">, que son las que mayor demanda hacen de este tipo de crédito no califiquen, en razón, que su vigilancia corresponde al DANCOOP. </w:t>
      </w:r>
      <w:r w:rsidRPr="00C32A38">
        <w:rPr>
          <w:rFonts w:ascii="Century Gothic" w:hAnsi="Century Gothic" w:cs="Arial"/>
          <w:i/>
          <w:u w:val="single"/>
          <w:lang w:val="es-ES"/>
        </w:rPr>
        <w:t xml:space="preserve">Sin embargo, considera que las Cooperativas son las entidades precisas para manejar estos créditos, pero que no se puede ir en contra de la Ley. El INURBE analizará próximamente este tema. </w:t>
      </w:r>
    </w:p>
    <w:p w14:paraId="6819B0F7" w14:textId="77777777" w:rsidR="00C32A38" w:rsidRPr="00C32A38" w:rsidRDefault="00C32A38" w:rsidP="00C32A38">
      <w:pPr>
        <w:spacing w:after="0" w:line="276" w:lineRule="auto"/>
        <w:ind w:left="567" w:right="567"/>
        <w:jc w:val="both"/>
        <w:rPr>
          <w:rFonts w:ascii="Century Gothic" w:hAnsi="Century Gothic" w:cs="Arial"/>
          <w:i/>
          <w:u w:val="single"/>
          <w:lang w:val="es-ES"/>
        </w:rPr>
      </w:pPr>
    </w:p>
    <w:p w14:paraId="3CA6E8C5"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Agrega el Dr. Galvis que las Cooperativas tienen en este momento muchas solicitudes de crédito, sin embargo es preciso establecer mecanismos que permitan determinar el monto de los mismos, máxime cuando es muy difícil obtener de estas los Estados Financieros y no existe una política clara sobre las garantías”. </w:t>
      </w:r>
    </w:p>
    <w:p w14:paraId="6A3C9CC3" w14:textId="77777777" w:rsidR="00C32A38" w:rsidRPr="00C32A38" w:rsidRDefault="00C32A38" w:rsidP="00C32A38">
      <w:pPr>
        <w:spacing w:after="0" w:line="360" w:lineRule="auto"/>
        <w:ind w:right="567"/>
        <w:jc w:val="both"/>
        <w:rPr>
          <w:rFonts w:ascii="Century Gothic" w:hAnsi="Century Gothic" w:cs="Arial"/>
          <w:b/>
          <w:sz w:val="24"/>
          <w:szCs w:val="24"/>
          <w:lang w:val="es-ES"/>
        </w:rPr>
      </w:pPr>
    </w:p>
    <w:p w14:paraId="3256E4D2" w14:textId="77777777" w:rsidR="00C32A38" w:rsidRPr="00C32A38" w:rsidRDefault="00C32A38" w:rsidP="00C32A38">
      <w:pPr>
        <w:numPr>
          <w:ilvl w:val="0"/>
          <w:numId w:val="12"/>
        </w:numPr>
        <w:tabs>
          <w:tab w:val="center" w:pos="567"/>
        </w:tabs>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En vista de lo anterior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modificó el Acuerdo 15 de 1995 a través del Acuerdo 04 de 1996, para permitir que “</w:t>
      </w:r>
      <w:r w:rsidRPr="00C32A38">
        <w:rPr>
          <w:rFonts w:ascii="Century Gothic" w:hAnsi="Century Gothic" w:cs="Arial"/>
          <w:i/>
          <w:sz w:val="24"/>
          <w:szCs w:val="24"/>
          <w:lang w:val="es-ES"/>
        </w:rPr>
        <w:t xml:space="preserve">las cooperativas especializadas de ahorro y crédito y las multiactivas con sección de ahorro y crédito” </w:t>
      </w:r>
      <w:r w:rsidRPr="00C32A38">
        <w:rPr>
          <w:rFonts w:ascii="Century Gothic" w:hAnsi="Century Gothic" w:cs="Arial"/>
          <w:sz w:val="24"/>
          <w:szCs w:val="24"/>
          <w:lang w:val="es-ES"/>
        </w:rPr>
        <w:t>pudieran ser intermediarios financieros</w:t>
      </w:r>
      <w:r w:rsidRPr="00C32A38">
        <w:rPr>
          <w:rFonts w:ascii="Century Gothic" w:hAnsi="Century Gothic" w:cs="Arial"/>
          <w:sz w:val="24"/>
          <w:szCs w:val="24"/>
          <w:vertAlign w:val="superscript"/>
          <w:lang w:val="es-ES"/>
        </w:rPr>
        <w:footnoteReference w:id="40"/>
      </w:r>
      <w:r w:rsidRPr="00C32A38">
        <w:rPr>
          <w:rFonts w:ascii="Century Gothic" w:hAnsi="Century Gothic" w:cs="Arial"/>
          <w:sz w:val="24"/>
          <w:szCs w:val="24"/>
          <w:lang w:val="es-ES"/>
        </w:rPr>
        <w:t>.</w:t>
      </w:r>
    </w:p>
    <w:p w14:paraId="4A95090E" w14:textId="77777777" w:rsidR="00C32A38" w:rsidRPr="00C32A38" w:rsidRDefault="00C32A38" w:rsidP="00C32A38">
      <w:pPr>
        <w:tabs>
          <w:tab w:val="center" w:pos="567"/>
        </w:tabs>
        <w:spacing w:after="0" w:line="360" w:lineRule="auto"/>
        <w:jc w:val="both"/>
        <w:rPr>
          <w:rFonts w:ascii="Century Gothic" w:hAnsi="Century Gothic" w:cs="Arial"/>
          <w:sz w:val="24"/>
          <w:szCs w:val="24"/>
          <w:lang w:val="es-ES"/>
        </w:rPr>
      </w:pPr>
    </w:p>
    <w:p w14:paraId="528943D6" w14:textId="77777777" w:rsidR="00C32A38" w:rsidRPr="00C32A38" w:rsidRDefault="00C32A38" w:rsidP="00C32A38">
      <w:pPr>
        <w:numPr>
          <w:ilvl w:val="0"/>
          <w:numId w:val="12"/>
        </w:numPr>
        <w:tabs>
          <w:tab w:val="center" w:pos="567"/>
        </w:tabs>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Adicionalmente, y debido al importante flujo de información generado por los contratos,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mediante Resolución 2043 de 1995</w:t>
      </w:r>
      <w:r w:rsidRPr="00C32A38">
        <w:rPr>
          <w:rFonts w:ascii="Century Gothic" w:hAnsi="Century Gothic" w:cs="Arial"/>
          <w:sz w:val="24"/>
          <w:szCs w:val="24"/>
          <w:vertAlign w:val="superscript"/>
          <w:lang w:val="es-ES"/>
        </w:rPr>
        <w:footnoteReference w:id="41"/>
      </w:r>
      <w:r w:rsidRPr="00C32A38">
        <w:rPr>
          <w:rFonts w:ascii="Century Gothic" w:hAnsi="Century Gothic" w:cs="Arial"/>
          <w:sz w:val="24"/>
          <w:szCs w:val="24"/>
          <w:lang w:val="es-ES"/>
        </w:rPr>
        <w:t>, creó “</w:t>
      </w:r>
      <w:r w:rsidRPr="00C32A38">
        <w:rPr>
          <w:rFonts w:ascii="Century Gothic" w:hAnsi="Century Gothic" w:cs="Arial"/>
          <w:i/>
          <w:sz w:val="24"/>
          <w:szCs w:val="24"/>
          <w:lang w:val="es-ES"/>
        </w:rPr>
        <w:t>un grupo de trabajo para el control de la ejecución de contratos de encargo fiduciario y de fiducia pública”</w:t>
      </w:r>
      <w:r w:rsidRPr="00C32A38">
        <w:rPr>
          <w:rFonts w:ascii="Century Gothic" w:hAnsi="Century Gothic" w:cs="Arial"/>
          <w:sz w:val="24"/>
          <w:szCs w:val="24"/>
          <w:lang w:val="es-ES"/>
        </w:rPr>
        <w:t>. De acuerdo con el inciso segundo del artículo primero de este documento la conformación de dicho grupo sería la siguiente (se trascribe):</w:t>
      </w:r>
    </w:p>
    <w:p w14:paraId="76FC5C34" w14:textId="77777777" w:rsidR="00C32A38" w:rsidRPr="00C32A38" w:rsidRDefault="00C32A38" w:rsidP="00C32A38">
      <w:pPr>
        <w:tabs>
          <w:tab w:val="center" w:pos="4136"/>
        </w:tabs>
        <w:spacing w:after="0" w:line="360" w:lineRule="auto"/>
        <w:ind w:right="567"/>
        <w:jc w:val="both"/>
        <w:rPr>
          <w:rFonts w:ascii="Century Gothic" w:hAnsi="Century Gothic" w:cs="Arial"/>
          <w:sz w:val="24"/>
          <w:szCs w:val="24"/>
          <w:lang w:val="es-ES"/>
        </w:rPr>
      </w:pPr>
    </w:p>
    <w:p w14:paraId="4A6A3392"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lang w:val="es-ES"/>
        </w:rPr>
        <w:lastRenderedPageBreak/>
        <w:t>“</w:t>
      </w:r>
      <w:r w:rsidRPr="00C32A38">
        <w:rPr>
          <w:rFonts w:ascii="Century Gothic" w:hAnsi="Century Gothic" w:cs="Arial"/>
          <w:i/>
          <w:lang w:val="es-ES"/>
        </w:rPr>
        <w:t xml:space="preserve">Este grupo de trabajo estará integrado por el personal profesional y administrativo que a juicio de la Subgerencia Administrativa y Financiera se requiera y dependerá de dicha Subgerencia. Será coordinado y supervisado por el </w:t>
      </w:r>
      <w:proofErr w:type="gramStart"/>
      <w:r w:rsidRPr="00C32A38">
        <w:rPr>
          <w:rFonts w:ascii="Century Gothic" w:hAnsi="Century Gothic" w:cs="Arial"/>
          <w:i/>
          <w:u w:val="single"/>
          <w:lang w:val="es-ES"/>
        </w:rPr>
        <w:t>Jefe</w:t>
      </w:r>
      <w:proofErr w:type="gramEnd"/>
      <w:r w:rsidRPr="00C32A38">
        <w:rPr>
          <w:rFonts w:ascii="Century Gothic" w:hAnsi="Century Gothic" w:cs="Arial"/>
          <w:i/>
          <w:u w:val="single"/>
          <w:lang w:val="es-ES"/>
        </w:rPr>
        <w:t xml:space="preserve"> de la División de Contabilidad del INURBE, a quien se le asignan estas funciones</w:t>
      </w:r>
      <w:r w:rsidRPr="00C32A38">
        <w:rPr>
          <w:rFonts w:ascii="Century Gothic" w:hAnsi="Century Gothic" w:cs="Arial"/>
          <w:i/>
          <w:lang w:val="es-ES"/>
        </w:rPr>
        <w:t xml:space="preserve">” </w:t>
      </w:r>
      <w:r w:rsidRPr="00C32A38">
        <w:rPr>
          <w:rFonts w:ascii="Century Gothic" w:hAnsi="Century Gothic" w:cs="Arial"/>
          <w:lang w:val="es-ES"/>
        </w:rPr>
        <w:t>(subrayado fuera del original)</w:t>
      </w:r>
      <w:r w:rsidRPr="00C32A38">
        <w:rPr>
          <w:rFonts w:ascii="Century Gothic" w:hAnsi="Century Gothic" w:cs="Arial"/>
          <w:i/>
          <w:lang w:val="es-ES"/>
        </w:rPr>
        <w:t xml:space="preserve">. </w:t>
      </w:r>
    </w:p>
    <w:p w14:paraId="67494B78" w14:textId="77777777" w:rsidR="00C32A38" w:rsidRPr="00C32A38" w:rsidRDefault="00C32A38" w:rsidP="00C32A38">
      <w:pPr>
        <w:tabs>
          <w:tab w:val="center" w:pos="4136"/>
        </w:tabs>
        <w:spacing w:after="0" w:line="360" w:lineRule="auto"/>
        <w:ind w:right="567"/>
        <w:jc w:val="both"/>
        <w:rPr>
          <w:rFonts w:ascii="Century Gothic" w:hAnsi="Century Gothic" w:cs="Arial"/>
          <w:i/>
          <w:sz w:val="24"/>
          <w:szCs w:val="24"/>
          <w:lang w:val="es-ES"/>
        </w:rPr>
      </w:pPr>
    </w:p>
    <w:p w14:paraId="01E115DC" w14:textId="77777777" w:rsidR="00C32A38" w:rsidRPr="00C32A38" w:rsidRDefault="00C32A38" w:rsidP="00C32A38">
      <w:pPr>
        <w:numPr>
          <w:ilvl w:val="0"/>
          <w:numId w:val="12"/>
        </w:numPr>
        <w:tabs>
          <w:tab w:val="center" w:pos="567"/>
        </w:tabs>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A través de Resolución 693 de 8 de noviembre 1996</w:t>
      </w:r>
      <w:r w:rsidRPr="00C32A38">
        <w:rPr>
          <w:rFonts w:ascii="Century Gothic" w:hAnsi="Century Gothic" w:cs="Arial"/>
          <w:sz w:val="24"/>
          <w:szCs w:val="24"/>
          <w:vertAlign w:val="superscript"/>
          <w:lang w:val="es-ES"/>
        </w:rPr>
        <w:footnoteReference w:id="42"/>
      </w:r>
      <w:r w:rsidRPr="00C32A38">
        <w:rPr>
          <w:rFonts w:ascii="Century Gothic" w:hAnsi="Century Gothic" w:cs="Arial"/>
          <w:sz w:val="24"/>
          <w:szCs w:val="24"/>
          <w:lang w:val="es-ES"/>
        </w:rPr>
        <w:t xml:space="preserve">, firmada por el Gerente General Armando Moncaleano Montoya, se modificó el anterior inciso y se dispuso que la coordinación y supervisión del anterior grupo de trabajo estaría a cargo del Subgerente Administrativo y Financiero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Armando Caicedo </w:t>
      </w:r>
      <w:proofErr w:type="spellStart"/>
      <w:r w:rsidRPr="00C32A38">
        <w:rPr>
          <w:rFonts w:ascii="Century Gothic" w:hAnsi="Century Gothic" w:cs="Arial"/>
          <w:sz w:val="24"/>
          <w:szCs w:val="24"/>
          <w:lang w:val="es-ES"/>
        </w:rPr>
        <w:t>Caicedo</w:t>
      </w:r>
      <w:proofErr w:type="spellEnd"/>
      <w:r w:rsidRPr="00C32A38">
        <w:rPr>
          <w:rFonts w:ascii="Century Gothic" w:hAnsi="Century Gothic" w:cs="Arial"/>
          <w:sz w:val="24"/>
          <w:szCs w:val="24"/>
          <w:lang w:val="es-ES"/>
        </w:rPr>
        <w:t xml:space="preserve">. </w:t>
      </w:r>
    </w:p>
    <w:p w14:paraId="3310558A" w14:textId="77777777" w:rsidR="00C32A38" w:rsidRPr="00C32A38" w:rsidRDefault="00C32A38" w:rsidP="00C32A38">
      <w:pPr>
        <w:tabs>
          <w:tab w:val="center" w:pos="567"/>
        </w:tabs>
        <w:spacing w:after="0" w:line="360" w:lineRule="auto"/>
        <w:jc w:val="both"/>
        <w:rPr>
          <w:rFonts w:ascii="Century Gothic" w:hAnsi="Century Gothic" w:cs="Arial"/>
          <w:sz w:val="24"/>
          <w:szCs w:val="24"/>
          <w:lang w:val="es-ES"/>
        </w:rPr>
      </w:pPr>
    </w:p>
    <w:p w14:paraId="14AE66F4" w14:textId="77777777" w:rsidR="00C32A38" w:rsidRPr="00C32A38" w:rsidRDefault="00C32A38" w:rsidP="00C32A38">
      <w:pPr>
        <w:tabs>
          <w:tab w:val="center" w:pos="4136"/>
        </w:tabs>
        <w:spacing w:after="0" w:line="360" w:lineRule="auto"/>
        <w:jc w:val="both"/>
        <w:rPr>
          <w:rFonts w:ascii="Century Gothic" w:hAnsi="Century Gothic" w:cs="Arial"/>
          <w:b/>
          <w:sz w:val="24"/>
          <w:szCs w:val="24"/>
          <w:lang w:val="es-ES"/>
        </w:rPr>
      </w:pPr>
      <w:r w:rsidRPr="00C32A38">
        <w:rPr>
          <w:rFonts w:ascii="Century Gothic" w:hAnsi="Century Gothic" w:cs="Arial"/>
          <w:b/>
          <w:sz w:val="24"/>
          <w:szCs w:val="24"/>
          <w:lang w:val="es-ES"/>
        </w:rPr>
        <w:t>2.2.3. Actas de la Junta Administradora</w:t>
      </w:r>
    </w:p>
    <w:p w14:paraId="01B064A1" w14:textId="77777777" w:rsidR="00C32A38" w:rsidRPr="00C32A38" w:rsidRDefault="00C32A38" w:rsidP="00C32A38">
      <w:pPr>
        <w:tabs>
          <w:tab w:val="center" w:pos="4136"/>
        </w:tabs>
        <w:spacing w:after="0" w:line="240" w:lineRule="auto"/>
        <w:jc w:val="both"/>
        <w:rPr>
          <w:rFonts w:ascii="Century Gothic" w:hAnsi="Century Gothic" w:cs="Arial"/>
          <w:b/>
          <w:sz w:val="24"/>
          <w:szCs w:val="24"/>
          <w:lang w:val="es-ES"/>
        </w:rPr>
      </w:pPr>
    </w:p>
    <w:p w14:paraId="67111AA0" w14:textId="77777777" w:rsidR="00C32A38" w:rsidRPr="00C32A38" w:rsidRDefault="00C32A38" w:rsidP="00C32A38">
      <w:pPr>
        <w:numPr>
          <w:ilvl w:val="0"/>
          <w:numId w:val="12"/>
        </w:numPr>
        <w:tabs>
          <w:tab w:val="center" w:pos="567"/>
        </w:tabs>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De las reuniones realizadas entre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y las fiduciarias, con la finalidad de dirimir el presente asunto, se destacan las siguientes constancias: </w:t>
      </w:r>
    </w:p>
    <w:p w14:paraId="1637576D" w14:textId="77777777" w:rsidR="00C32A38" w:rsidRPr="00C32A38" w:rsidRDefault="00C32A38" w:rsidP="00C32A38">
      <w:pPr>
        <w:tabs>
          <w:tab w:val="center" w:pos="567"/>
        </w:tabs>
        <w:spacing w:after="0" w:line="360" w:lineRule="auto"/>
        <w:jc w:val="both"/>
        <w:rPr>
          <w:rFonts w:ascii="Century Gothic" w:hAnsi="Century Gothic" w:cs="Arial"/>
          <w:sz w:val="24"/>
          <w:szCs w:val="24"/>
          <w:lang w:val="es-ES"/>
        </w:rPr>
      </w:pPr>
    </w:p>
    <w:p w14:paraId="6421BF45" w14:textId="77777777" w:rsidR="00C32A38" w:rsidRPr="00C32A38" w:rsidRDefault="00C32A38" w:rsidP="00C32A38">
      <w:pPr>
        <w:numPr>
          <w:ilvl w:val="0"/>
          <w:numId w:val="8"/>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Acta de 15 de agosto de 1995</w:t>
      </w:r>
      <w:r w:rsidRPr="00C32A38">
        <w:rPr>
          <w:rFonts w:ascii="Century Gothic" w:hAnsi="Century Gothic" w:cs="Arial"/>
          <w:sz w:val="24"/>
          <w:szCs w:val="24"/>
          <w:vertAlign w:val="superscript"/>
          <w:lang w:val="es-ES"/>
        </w:rPr>
        <w:footnoteReference w:id="43"/>
      </w:r>
      <w:r w:rsidRPr="00C32A38">
        <w:rPr>
          <w:rFonts w:ascii="Century Gothic" w:hAnsi="Century Gothic" w:cs="Arial"/>
          <w:sz w:val="24"/>
          <w:szCs w:val="24"/>
          <w:lang w:val="es-ES"/>
        </w:rPr>
        <w:t xml:space="preserve">: participación del Gerente General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trascrita en el párrafo 76.</w:t>
      </w:r>
    </w:p>
    <w:p w14:paraId="7DB3AFA0" w14:textId="77777777" w:rsidR="00C32A38" w:rsidRPr="00C32A38" w:rsidRDefault="00C32A38" w:rsidP="00C32A38">
      <w:pPr>
        <w:spacing w:after="0" w:line="360" w:lineRule="auto"/>
        <w:ind w:left="720"/>
        <w:jc w:val="both"/>
        <w:rPr>
          <w:rFonts w:ascii="Century Gothic" w:hAnsi="Century Gothic" w:cs="Arial"/>
          <w:sz w:val="24"/>
          <w:szCs w:val="24"/>
          <w:lang w:val="es-ES"/>
        </w:rPr>
      </w:pPr>
    </w:p>
    <w:p w14:paraId="71658D1A" w14:textId="77777777" w:rsidR="00C32A38" w:rsidRPr="00C32A38" w:rsidRDefault="00C32A38" w:rsidP="00C32A38">
      <w:pPr>
        <w:numPr>
          <w:ilvl w:val="0"/>
          <w:numId w:val="8"/>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Acta de 6 de septiembre de 1995</w:t>
      </w:r>
      <w:r w:rsidRPr="00C32A38">
        <w:rPr>
          <w:rFonts w:ascii="Century Gothic" w:hAnsi="Century Gothic" w:cs="Arial"/>
          <w:sz w:val="24"/>
          <w:szCs w:val="24"/>
          <w:vertAlign w:val="superscript"/>
          <w:lang w:val="es-ES"/>
        </w:rPr>
        <w:footnoteReference w:id="44"/>
      </w:r>
      <w:r w:rsidRPr="00C32A38">
        <w:rPr>
          <w:rFonts w:ascii="Century Gothic" w:hAnsi="Century Gothic" w:cs="Arial"/>
          <w:sz w:val="24"/>
          <w:szCs w:val="24"/>
          <w:lang w:val="es-ES"/>
        </w:rPr>
        <w:t xml:space="preserve"> (se trascribe):</w:t>
      </w:r>
    </w:p>
    <w:p w14:paraId="5FE30193" w14:textId="77777777" w:rsidR="00C32A38" w:rsidRPr="00C32A38" w:rsidRDefault="00C32A38" w:rsidP="00C32A38">
      <w:pPr>
        <w:spacing w:after="0" w:line="360" w:lineRule="auto"/>
        <w:jc w:val="both"/>
        <w:rPr>
          <w:rFonts w:ascii="Century Gothic" w:hAnsi="Century Gothic" w:cs="Arial"/>
          <w:sz w:val="24"/>
          <w:szCs w:val="24"/>
          <w:lang w:val="es-ES"/>
        </w:rPr>
      </w:pPr>
    </w:p>
    <w:p w14:paraId="22C04A3B"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r w:rsidRPr="00C32A38">
        <w:rPr>
          <w:rFonts w:ascii="Century Gothic" w:hAnsi="Century Gothic" w:cs="Arial"/>
          <w:lang w:val="es-ES"/>
        </w:rPr>
        <w:t xml:space="preserve">[José Octavio Galvis, Subgerente Administrativo y Financiero del </w:t>
      </w:r>
      <w:proofErr w:type="spellStart"/>
      <w:r w:rsidRPr="00C32A38">
        <w:rPr>
          <w:rFonts w:ascii="Century Gothic" w:hAnsi="Century Gothic" w:cs="Arial"/>
          <w:lang w:val="es-ES"/>
        </w:rPr>
        <w:t>Inurbe</w:t>
      </w:r>
      <w:proofErr w:type="spellEnd"/>
      <w:r w:rsidRPr="00C32A38">
        <w:rPr>
          <w:rFonts w:ascii="Century Gothic" w:hAnsi="Century Gothic" w:cs="Arial"/>
          <w:lang w:val="es-ES"/>
        </w:rPr>
        <w:t xml:space="preserve">] </w:t>
      </w:r>
      <w:r w:rsidRPr="00C32A38">
        <w:rPr>
          <w:rFonts w:ascii="Century Gothic" w:hAnsi="Century Gothic" w:cs="Arial"/>
          <w:i/>
          <w:lang w:val="es-ES"/>
        </w:rPr>
        <w:t>Comentó que en los días anteriores se había tenido una reunión con las Cooperativas a la cual asistieron 12 de ellas, con el fin de analizar el Acuerdo 15/95, el cual reglamentó el desembolso de recursos para apalancar créditos puente.</w:t>
      </w:r>
    </w:p>
    <w:p w14:paraId="45EC8D81"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1EFD6010"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u w:val="single"/>
          <w:lang w:val="es-ES"/>
        </w:rPr>
        <w:t xml:space="preserve"> “También se van a fijar cuotas o cupos a cada Cooperativa, los cuales serán determinados por el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bajo estos cupos se regirá la operación y solo el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dará autorización de desembolsos.</w:t>
      </w:r>
      <w:r w:rsidRPr="00C32A38">
        <w:rPr>
          <w:rFonts w:ascii="Century Gothic" w:hAnsi="Century Gothic" w:cs="Arial"/>
          <w:i/>
          <w:lang w:val="es-ES"/>
        </w:rPr>
        <w:t xml:space="preserve"> </w:t>
      </w:r>
    </w:p>
    <w:p w14:paraId="795B0340" w14:textId="77777777" w:rsidR="00C32A38" w:rsidRPr="00C32A38" w:rsidRDefault="00C32A38" w:rsidP="00C32A38">
      <w:pPr>
        <w:spacing w:after="0" w:line="276" w:lineRule="auto"/>
        <w:ind w:left="567" w:right="567"/>
        <w:jc w:val="both"/>
        <w:rPr>
          <w:rFonts w:ascii="Century Gothic" w:hAnsi="Century Gothic" w:cs="Arial"/>
          <w:i/>
          <w:u w:val="single"/>
          <w:lang w:val="es-ES"/>
        </w:rPr>
      </w:pPr>
      <w:r w:rsidRPr="00C32A38">
        <w:rPr>
          <w:rFonts w:ascii="Century Gothic" w:hAnsi="Century Gothic" w:cs="Arial"/>
          <w:i/>
          <w:lang w:val="es-ES"/>
        </w:rPr>
        <w:t xml:space="preserve">“Recalcó la importancia de conformar una base de datos en la que pueda cruzarse la información de las Cooperativas con la presentada por las fiduciarias, y </w:t>
      </w:r>
      <w:r w:rsidRPr="00C32A38">
        <w:rPr>
          <w:rFonts w:ascii="Century Gothic" w:hAnsi="Century Gothic" w:cs="Arial"/>
          <w:i/>
          <w:u w:val="single"/>
          <w:lang w:val="es-ES"/>
        </w:rPr>
        <w:t>de esta manera tener absoluto control sobre la operación.</w:t>
      </w:r>
    </w:p>
    <w:p w14:paraId="3398AC5B"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u w:val="single"/>
          <w:lang w:val="es-ES"/>
        </w:rPr>
        <w:t>“Finalmente agregó que se está pensando en modificar el Acuerdo 15, con el fin de poder seguir contando con las Cooperativas bajo una precisa reglamentación y una clara información que debe ser remitida periódicamente por las cooperativas</w:t>
      </w:r>
      <w:r w:rsidRPr="00C32A38">
        <w:rPr>
          <w:rFonts w:ascii="Century Gothic" w:hAnsi="Century Gothic" w:cs="Arial"/>
          <w:i/>
          <w:lang w:val="es-ES"/>
        </w:rPr>
        <w:t xml:space="preserve">” </w:t>
      </w:r>
      <w:r w:rsidRPr="00C32A38">
        <w:rPr>
          <w:rFonts w:ascii="Century Gothic" w:hAnsi="Century Gothic" w:cs="Arial"/>
          <w:lang w:val="es-ES"/>
        </w:rPr>
        <w:t>(subrayado fuera del original)</w:t>
      </w:r>
      <w:r w:rsidRPr="00C32A38">
        <w:rPr>
          <w:rFonts w:ascii="Century Gothic" w:hAnsi="Century Gothic" w:cs="Arial"/>
          <w:i/>
          <w:lang w:val="es-ES"/>
        </w:rPr>
        <w:t>.</w:t>
      </w:r>
    </w:p>
    <w:p w14:paraId="0318ED83" w14:textId="77777777" w:rsidR="00C32A38" w:rsidRPr="00C32A38" w:rsidRDefault="00C32A38" w:rsidP="00C32A38">
      <w:pPr>
        <w:spacing w:after="0" w:line="276" w:lineRule="auto"/>
        <w:ind w:left="567" w:right="567"/>
        <w:jc w:val="both"/>
        <w:rPr>
          <w:rFonts w:ascii="Century Gothic" w:hAnsi="Century Gothic" w:cs="Arial"/>
          <w:i/>
          <w:lang w:val="es-ES"/>
        </w:rPr>
      </w:pPr>
    </w:p>
    <w:p w14:paraId="6E5C74E2" w14:textId="77777777" w:rsidR="00C32A38" w:rsidRPr="00C32A38" w:rsidRDefault="00C32A38" w:rsidP="00C32A38">
      <w:pPr>
        <w:numPr>
          <w:ilvl w:val="0"/>
          <w:numId w:val="8"/>
        </w:numPr>
        <w:spacing w:after="0" w:line="276" w:lineRule="auto"/>
        <w:ind w:left="567" w:right="567"/>
        <w:jc w:val="both"/>
        <w:rPr>
          <w:rFonts w:ascii="Century Gothic" w:hAnsi="Century Gothic" w:cs="Arial"/>
          <w:sz w:val="24"/>
          <w:szCs w:val="24"/>
          <w:lang w:val="es-ES"/>
        </w:rPr>
      </w:pPr>
      <w:r w:rsidRPr="00C32A38">
        <w:rPr>
          <w:rFonts w:ascii="Century Gothic" w:hAnsi="Century Gothic" w:cs="Arial"/>
          <w:sz w:val="24"/>
          <w:szCs w:val="24"/>
          <w:lang w:val="es-ES"/>
        </w:rPr>
        <w:lastRenderedPageBreak/>
        <w:t>Acta de 4 de octubre de 1995</w:t>
      </w:r>
      <w:r w:rsidRPr="00C32A38">
        <w:rPr>
          <w:rFonts w:ascii="Century Gothic" w:hAnsi="Century Gothic" w:cs="Arial"/>
          <w:sz w:val="24"/>
          <w:szCs w:val="24"/>
          <w:vertAlign w:val="superscript"/>
          <w:lang w:val="es-ES"/>
        </w:rPr>
        <w:footnoteReference w:id="45"/>
      </w:r>
      <w:r w:rsidRPr="00C32A38">
        <w:rPr>
          <w:rFonts w:ascii="Century Gothic" w:hAnsi="Century Gothic" w:cs="Arial"/>
          <w:sz w:val="24"/>
          <w:szCs w:val="24"/>
          <w:lang w:val="es-ES"/>
        </w:rPr>
        <w:t xml:space="preserve"> (se trascribe): </w:t>
      </w:r>
    </w:p>
    <w:p w14:paraId="6BFCE814" w14:textId="77777777" w:rsidR="00C32A38" w:rsidRPr="00C32A38" w:rsidRDefault="00C32A38" w:rsidP="00C32A38">
      <w:pPr>
        <w:spacing w:after="0" w:line="276" w:lineRule="auto"/>
        <w:ind w:left="567" w:right="567"/>
        <w:jc w:val="both"/>
        <w:rPr>
          <w:rFonts w:ascii="Century Gothic" w:hAnsi="Century Gothic" w:cs="Arial"/>
          <w:i/>
          <w:lang w:val="es-ES"/>
        </w:rPr>
      </w:pPr>
    </w:p>
    <w:p w14:paraId="60604046" w14:textId="77777777" w:rsidR="00C32A38" w:rsidRPr="00C32A38" w:rsidRDefault="00C32A38" w:rsidP="00C32A38">
      <w:pPr>
        <w:spacing w:after="0" w:line="276" w:lineRule="auto"/>
        <w:ind w:left="567" w:right="567"/>
        <w:jc w:val="both"/>
        <w:rPr>
          <w:rFonts w:ascii="Century Gothic" w:hAnsi="Century Gothic" w:cs="Arial"/>
          <w:i/>
          <w:u w:val="single"/>
          <w:lang w:val="es-ES"/>
        </w:rPr>
      </w:pPr>
      <w:r w:rsidRPr="00C32A38">
        <w:rPr>
          <w:rFonts w:ascii="Century Gothic" w:hAnsi="Century Gothic" w:cs="Arial"/>
          <w:i/>
          <w:lang w:val="es-ES"/>
        </w:rPr>
        <w:t xml:space="preserve">“El Dr. Stand </w:t>
      </w:r>
      <w:r w:rsidRPr="00C32A38">
        <w:rPr>
          <w:rFonts w:ascii="Century Gothic" w:hAnsi="Century Gothic" w:cs="Arial"/>
          <w:lang w:val="es-ES"/>
        </w:rPr>
        <w:t>[Edgar Stand Ospina, Subgerente Administrativo y Financiero]</w:t>
      </w:r>
      <w:r w:rsidRPr="00C32A38">
        <w:rPr>
          <w:rFonts w:ascii="Century Gothic" w:hAnsi="Century Gothic" w:cs="Arial"/>
          <w:i/>
          <w:lang w:val="es-ES"/>
        </w:rPr>
        <w:t xml:space="preserve"> </w:t>
      </w:r>
      <w:r w:rsidRPr="00C32A38">
        <w:rPr>
          <w:rFonts w:ascii="Century Gothic" w:hAnsi="Century Gothic" w:cs="Arial"/>
          <w:i/>
          <w:u w:val="single"/>
          <w:lang w:val="es-ES"/>
        </w:rPr>
        <w:t>habla de la importancia de las Cooperativas</w:t>
      </w:r>
      <w:r w:rsidRPr="00C32A38">
        <w:rPr>
          <w:rFonts w:ascii="Century Gothic" w:hAnsi="Century Gothic" w:cs="Arial"/>
          <w:i/>
          <w:lang w:val="es-ES"/>
        </w:rPr>
        <w:t xml:space="preserve">, ya que son el canal para llegar a los beneficiarios de los subsidios y que es su interés seguir trabajando con estas entidades, para lo cual </w:t>
      </w:r>
      <w:r w:rsidRPr="00C32A38">
        <w:rPr>
          <w:rFonts w:ascii="Century Gothic" w:hAnsi="Century Gothic" w:cs="Arial"/>
          <w:i/>
          <w:u w:val="single"/>
          <w:lang w:val="es-ES"/>
        </w:rPr>
        <w:t>se están buscando mecanismos que disminuyan el riesgo y aumenten el control sobre los recursos manejados a través de ellas, como la celebración de contratos con firmas de auditoría.</w:t>
      </w:r>
    </w:p>
    <w:p w14:paraId="678EA4C1"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66536C75" w14:textId="77777777" w:rsidR="00C32A38" w:rsidRPr="00C32A38" w:rsidRDefault="00C32A38" w:rsidP="00C32A38">
      <w:pPr>
        <w:spacing w:after="0" w:line="276" w:lineRule="auto"/>
        <w:ind w:left="567" w:right="567"/>
        <w:jc w:val="both"/>
        <w:rPr>
          <w:rFonts w:ascii="Century Gothic" w:hAnsi="Century Gothic" w:cs="Arial"/>
          <w:lang w:val="es-ES"/>
        </w:rPr>
      </w:pPr>
      <w:r w:rsidRPr="00C32A38">
        <w:rPr>
          <w:rFonts w:ascii="Century Gothic" w:hAnsi="Century Gothic" w:cs="Arial"/>
          <w:i/>
          <w:lang w:val="es-ES"/>
        </w:rPr>
        <w:t>“</w:t>
      </w:r>
      <w:r w:rsidRPr="00C32A38">
        <w:rPr>
          <w:rFonts w:ascii="Century Gothic" w:hAnsi="Century Gothic" w:cs="Arial"/>
          <w:i/>
          <w:u w:val="single"/>
          <w:lang w:val="es-ES"/>
        </w:rPr>
        <w:t xml:space="preserve">La Dra. Myriam Figueroa de </w:t>
      </w:r>
      <w:proofErr w:type="spellStart"/>
      <w:r w:rsidRPr="00C32A38">
        <w:rPr>
          <w:rFonts w:ascii="Century Gothic" w:hAnsi="Century Gothic" w:cs="Arial"/>
          <w:i/>
          <w:u w:val="single"/>
          <w:lang w:val="es-ES"/>
        </w:rPr>
        <w:t>Fiduagraria</w:t>
      </w:r>
      <w:proofErr w:type="spellEnd"/>
      <w:r w:rsidRPr="00C32A38">
        <w:rPr>
          <w:rFonts w:ascii="Century Gothic" w:hAnsi="Century Gothic" w:cs="Arial"/>
          <w:i/>
          <w:u w:val="single"/>
          <w:lang w:val="es-ES"/>
        </w:rPr>
        <w:t xml:space="preserve"> sugiere que el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debe seguir indicando con cuales Cooperativas se deben celebrar este tipo de operaciones</w:t>
      </w:r>
      <w:r w:rsidRPr="00C32A38">
        <w:rPr>
          <w:rFonts w:ascii="Century Gothic" w:hAnsi="Century Gothic" w:cs="Arial"/>
          <w:i/>
          <w:lang w:val="es-ES"/>
        </w:rPr>
        <w:t xml:space="preserve"> (…)” </w:t>
      </w:r>
      <w:r w:rsidRPr="00C32A38">
        <w:rPr>
          <w:rFonts w:ascii="Century Gothic" w:hAnsi="Century Gothic" w:cs="Arial"/>
          <w:lang w:val="es-ES"/>
        </w:rPr>
        <w:t>(subrayado fuera del original).</w:t>
      </w:r>
    </w:p>
    <w:p w14:paraId="2974B75F" w14:textId="77777777" w:rsidR="00C32A38" w:rsidRPr="00C32A38" w:rsidRDefault="00C32A38" w:rsidP="00C32A38">
      <w:pPr>
        <w:spacing w:after="0" w:line="276" w:lineRule="auto"/>
        <w:ind w:left="567" w:right="567"/>
        <w:jc w:val="both"/>
        <w:rPr>
          <w:rFonts w:ascii="Century Gothic" w:hAnsi="Century Gothic" w:cs="Arial"/>
          <w:i/>
          <w:lang w:val="es-ES"/>
        </w:rPr>
      </w:pPr>
    </w:p>
    <w:p w14:paraId="7DAB7C71" w14:textId="77777777" w:rsidR="00C32A38" w:rsidRPr="00C32A38" w:rsidRDefault="00C32A38" w:rsidP="00C32A38">
      <w:pPr>
        <w:numPr>
          <w:ilvl w:val="0"/>
          <w:numId w:val="8"/>
        </w:numPr>
        <w:spacing w:after="0" w:line="276" w:lineRule="auto"/>
        <w:ind w:left="567" w:right="567"/>
        <w:jc w:val="both"/>
        <w:rPr>
          <w:rFonts w:ascii="Century Gothic" w:hAnsi="Century Gothic" w:cs="Arial"/>
          <w:sz w:val="24"/>
          <w:szCs w:val="24"/>
          <w:lang w:val="es-ES"/>
        </w:rPr>
      </w:pPr>
      <w:r w:rsidRPr="00C32A38">
        <w:rPr>
          <w:rFonts w:ascii="Century Gothic" w:hAnsi="Century Gothic" w:cs="Arial"/>
          <w:sz w:val="24"/>
          <w:szCs w:val="24"/>
          <w:lang w:val="es-ES"/>
        </w:rPr>
        <w:t>Acta de 28 de noviembre de 1996</w:t>
      </w:r>
      <w:r w:rsidRPr="00C32A38">
        <w:rPr>
          <w:rFonts w:ascii="Century Gothic" w:hAnsi="Century Gothic" w:cs="Arial"/>
          <w:sz w:val="24"/>
          <w:szCs w:val="24"/>
          <w:vertAlign w:val="superscript"/>
          <w:lang w:val="es-ES"/>
        </w:rPr>
        <w:footnoteReference w:id="46"/>
      </w:r>
      <w:r w:rsidRPr="00C32A38">
        <w:rPr>
          <w:rFonts w:ascii="Century Gothic" w:hAnsi="Century Gothic" w:cs="Arial"/>
          <w:sz w:val="24"/>
          <w:szCs w:val="24"/>
          <w:lang w:val="es-ES"/>
        </w:rPr>
        <w:t xml:space="preserve"> (se trascribe): </w:t>
      </w:r>
    </w:p>
    <w:p w14:paraId="36D1FF73" w14:textId="77777777" w:rsidR="00C32A38" w:rsidRPr="00C32A38" w:rsidRDefault="00C32A38" w:rsidP="00C32A38">
      <w:pPr>
        <w:spacing w:after="0" w:line="276" w:lineRule="auto"/>
        <w:ind w:left="567" w:right="567"/>
        <w:jc w:val="both"/>
        <w:rPr>
          <w:rFonts w:ascii="Century Gothic" w:hAnsi="Century Gothic" w:cs="Arial"/>
          <w:i/>
          <w:lang w:val="es-ES"/>
        </w:rPr>
      </w:pPr>
    </w:p>
    <w:p w14:paraId="3141B71E"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 “La Dra. Alicia </w:t>
      </w:r>
      <w:r w:rsidRPr="00C32A38">
        <w:rPr>
          <w:rFonts w:ascii="Century Gothic" w:hAnsi="Century Gothic" w:cs="Arial"/>
          <w:lang w:val="es-ES"/>
        </w:rPr>
        <w:t>[Alicia Villegas Arango, consultora de Naciones Unidas]</w:t>
      </w:r>
      <w:r w:rsidRPr="00C32A38">
        <w:rPr>
          <w:rFonts w:ascii="Century Gothic" w:hAnsi="Century Gothic" w:cs="Arial"/>
          <w:i/>
          <w:lang w:val="es-ES"/>
        </w:rPr>
        <w:t xml:space="preserve">  muestra preocupación en el mismo aspecto </w:t>
      </w:r>
      <w:r w:rsidRPr="00C32A38">
        <w:rPr>
          <w:rFonts w:ascii="Century Gothic" w:hAnsi="Century Gothic" w:cs="Arial"/>
          <w:lang w:val="es-ES"/>
        </w:rPr>
        <w:t>[la liquidez del portafolio de inversiones]</w:t>
      </w:r>
      <w:r w:rsidRPr="00C32A38">
        <w:rPr>
          <w:rFonts w:ascii="Century Gothic" w:hAnsi="Century Gothic" w:cs="Arial"/>
          <w:i/>
          <w:lang w:val="es-ES"/>
        </w:rPr>
        <w:t xml:space="preserve">, el Dr. Álvaro Arango </w:t>
      </w:r>
      <w:r w:rsidRPr="00C32A38">
        <w:rPr>
          <w:rFonts w:ascii="Century Gothic" w:hAnsi="Century Gothic" w:cs="Arial"/>
          <w:lang w:val="es-ES"/>
        </w:rPr>
        <w:t xml:space="preserve">[representante de </w:t>
      </w:r>
      <w:proofErr w:type="spellStart"/>
      <w:r w:rsidRPr="00C32A38">
        <w:rPr>
          <w:rFonts w:ascii="Century Gothic" w:hAnsi="Century Gothic" w:cs="Arial"/>
          <w:lang w:val="es-ES"/>
        </w:rPr>
        <w:t>Fiducor</w:t>
      </w:r>
      <w:proofErr w:type="spellEnd"/>
      <w:r w:rsidRPr="00C32A38">
        <w:rPr>
          <w:rFonts w:ascii="Century Gothic" w:hAnsi="Century Gothic" w:cs="Arial"/>
          <w:lang w:val="es-ES"/>
        </w:rPr>
        <w:t>]</w:t>
      </w:r>
      <w:r w:rsidRPr="00C32A38">
        <w:rPr>
          <w:rFonts w:ascii="Century Gothic" w:hAnsi="Century Gothic" w:cs="Arial"/>
          <w:i/>
          <w:lang w:val="es-ES"/>
        </w:rPr>
        <w:t xml:space="preserve"> manifiesta que se pueden intercambiar títulos con las fiduciarias que tengan liquidez inmediata como en otras oportunidades, intercambiar títulos con otros contratos o entre fiduciarias o en su defecto redimir anticipadamente los títulos. </w:t>
      </w:r>
      <w:r w:rsidRPr="00C32A38">
        <w:rPr>
          <w:rFonts w:ascii="Century Gothic" w:hAnsi="Century Gothic" w:cs="Arial"/>
          <w:i/>
          <w:u w:val="single"/>
          <w:lang w:val="es-ES"/>
        </w:rPr>
        <w:t xml:space="preserve">Se aclara que es preocupante ya que los </w:t>
      </w:r>
      <w:proofErr w:type="spellStart"/>
      <w:r w:rsidRPr="00C32A38">
        <w:rPr>
          <w:rFonts w:ascii="Century Gothic" w:hAnsi="Century Gothic" w:cs="Arial"/>
          <w:i/>
          <w:u w:val="single"/>
          <w:lang w:val="es-ES"/>
        </w:rPr>
        <w:t>CDATs</w:t>
      </w:r>
      <w:proofErr w:type="spellEnd"/>
      <w:r w:rsidRPr="00C32A38">
        <w:rPr>
          <w:rFonts w:ascii="Century Gothic" w:hAnsi="Century Gothic" w:cs="Arial"/>
          <w:i/>
          <w:u w:val="single"/>
          <w:lang w:val="es-ES"/>
        </w:rPr>
        <w:t xml:space="preserve"> no son títulos valores y no podrían sacar al mercado en caso de no tener liquidez inmediata.</w:t>
      </w:r>
    </w:p>
    <w:p w14:paraId="411AD9A8"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r w:rsidRPr="00C32A38">
        <w:rPr>
          <w:rFonts w:ascii="Century Gothic" w:hAnsi="Century Gothic" w:cs="Arial"/>
          <w:i/>
          <w:u w:val="single"/>
          <w:lang w:val="es-ES"/>
        </w:rPr>
        <w:t xml:space="preserve">2.- Señala el Dr. Correa </w:t>
      </w:r>
      <w:r w:rsidRPr="00C32A38">
        <w:rPr>
          <w:rFonts w:ascii="Century Gothic" w:hAnsi="Century Gothic" w:cs="Arial"/>
          <w:lang w:val="es-ES"/>
        </w:rPr>
        <w:t>[Juan David Correa en representación de Fiduciaria la Previsora]</w:t>
      </w:r>
      <w:r w:rsidRPr="00C32A38">
        <w:rPr>
          <w:rFonts w:ascii="Century Gothic" w:hAnsi="Century Gothic" w:cs="Arial"/>
          <w:i/>
          <w:lang w:val="es-ES"/>
        </w:rPr>
        <w:t xml:space="preserve"> </w:t>
      </w:r>
      <w:r w:rsidRPr="00C32A38">
        <w:rPr>
          <w:rFonts w:ascii="Century Gothic" w:hAnsi="Century Gothic" w:cs="Arial"/>
          <w:i/>
          <w:u w:val="single"/>
          <w:lang w:val="es-ES"/>
        </w:rPr>
        <w:t xml:space="preserve">que a la Fiduciaria en particular le preocupa la calidad, el riesgo y la rentabilidad de las inversiones que se están realizando con los recursos del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teniendo en cuenta que son destinados para apoyar el sector Vivienda de Interés Social, al igual que la capacidad de pago que tengan las Cooperativas</w:t>
      </w:r>
      <w:r w:rsidRPr="00C32A38">
        <w:rPr>
          <w:rFonts w:ascii="Century Gothic" w:hAnsi="Century Gothic" w:cs="Arial"/>
          <w:i/>
          <w:lang w:val="es-ES"/>
        </w:rPr>
        <w:t>. El Dr. Álvaro Arango reconoce que no es solo la calidad ya que las fiduciarias son conocedoras de la rentabilidad social antes de una rentabilidad económica.</w:t>
      </w:r>
    </w:p>
    <w:p w14:paraId="3E1CE11E"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El Dr. César Páez de </w:t>
      </w:r>
      <w:proofErr w:type="spellStart"/>
      <w:r w:rsidRPr="00C32A38">
        <w:rPr>
          <w:rFonts w:ascii="Century Gothic" w:hAnsi="Century Gothic" w:cs="Arial"/>
          <w:i/>
          <w:lang w:val="es-ES"/>
        </w:rPr>
        <w:t>Fiduoccidente</w:t>
      </w:r>
      <w:proofErr w:type="spellEnd"/>
      <w:r w:rsidRPr="00C32A38">
        <w:rPr>
          <w:rFonts w:ascii="Century Gothic" w:hAnsi="Century Gothic" w:cs="Arial"/>
          <w:i/>
          <w:lang w:val="es-ES"/>
        </w:rPr>
        <w:t>, se refiere que además de lo planteado, las inversiones se deben ajustar a las disposiciones contractuales como lo han manifestado en una reunión en la Gerencia General, en comunicaciones remitidas a las Subgerencia Administrativa y Financiera y a la misma Gerencia, sugiere lo siguiente</w:t>
      </w:r>
    </w:p>
    <w:p w14:paraId="74F502A1"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“1. </w:t>
      </w:r>
      <w:r w:rsidRPr="00C32A38">
        <w:rPr>
          <w:rFonts w:ascii="Century Gothic" w:hAnsi="Century Gothic" w:cs="Arial"/>
          <w:i/>
          <w:u w:val="single"/>
          <w:lang w:val="es-ES"/>
        </w:rPr>
        <w:t>Se nombre La Junta Administradora del Fideicomiso por cada uno de los contratos y sea la misma la que trace los parámetros y políticas de inversión teniendo en cuenta los intereses del Fideicomitente</w:t>
      </w:r>
      <w:r w:rsidRPr="00C32A38">
        <w:rPr>
          <w:rFonts w:ascii="Century Gothic" w:hAnsi="Century Gothic" w:cs="Arial"/>
          <w:i/>
          <w:lang w:val="es-ES"/>
        </w:rPr>
        <w:t>.</w:t>
      </w:r>
    </w:p>
    <w:p w14:paraId="7672C64F"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r w:rsidRPr="00C32A38">
        <w:rPr>
          <w:rFonts w:ascii="Century Gothic" w:hAnsi="Century Gothic" w:cs="Arial"/>
          <w:i/>
          <w:u w:val="single"/>
          <w:lang w:val="es-ES"/>
        </w:rPr>
        <w:t>2. Se modifiquen los términos de las autorizaciones de Inversión, por Órdenes de Inversión debido a que la Fiduciaria no participa en la decisión de las inversiones.</w:t>
      </w:r>
    </w:p>
    <w:p w14:paraId="2C2EAD3A"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“Frente a los aspectos tratados, </w:t>
      </w:r>
      <w:r w:rsidRPr="00C32A38">
        <w:rPr>
          <w:rFonts w:ascii="Century Gothic" w:hAnsi="Century Gothic" w:cs="Arial"/>
          <w:i/>
          <w:u w:val="single"/>
          <w:lang w:val="es-ES"/>
        </w:rPr>
        <w:t xml:space="preserve">el Dr. Armando Moncaleano Montoya </w:t>
      </w:r>
      <w:r w:rsidRPr="00C32A38">
        <w:rPr>
          <w:rFonts w:ascii="Century Gothic" w:hAnsi="Century Gothic" w:cs="Arial"/>
          <w:lang w:val="es-ES"/>
        </w:rPr>
        <w:t xml:space="preserve">[Gerente General del </w:t>
      </w:r>
      <w:proofErr w:type="spellStart"/>
      <w:r w:rsidRPr="00C32A38">
        <w:rPr>
          <w:rFonts w:ascii="Century Gothic" w:hAnsi="Century Gothic" w:cs="Arial"/>
          <w:lang w:val="es-ES"/>
        </w:rPr>
        <w:t>Inurbe</w:t>
      </w:r>
      <w:proofErr w:type="spellEnd"/>
      <w:r w:rsidRPr="00C32A38">
        <w:rPr>
          <w:rFonts w:ascii="Century Gothic" w:hAnsi="Century Gothic" w:cs="Arial"/>
          <w:lang w:val="es-ES"/>
        </w:rPr>
        <w:t>]</w:t>
      </w:r>
      <w:r w:rsidRPr="00C32A38">
        <w:rPr>
          <w:rFonts w:ascii="Century Gothic" w:hAnsi="Century Gothic" w:cs="Arial"/>
          <w:i/>
          <w:u w:val="single"/>
          <w:lang w:val="es-ES"/>
        </w:rPr>
        <w:t xml:space="preserve"> resalta (…) [l]a única forma </w:t>
      </w:r>
      <w:proofErr w:type="spellStart"/>
      <w:r w:rsidRPr="00C32A38">
        <w:rPr>
          <w:rFonts w:ascii="Century Gothic" w:hAnsi="Century Gothic" w:cs="Arial"/>
          <w:i/>
          <w:u w:val="single"/>
          <w:lang w:val="es-ES"/>
        </w:rPr>
        <w:t>como</w:t>
      </w:r>
      <w:proofErr w:type="spellEnd"/>
      <w:r w:rsidRPr="00C32A38">
        <w:rPr>
          <w:rFonts w:ascii="Century Gothic" w:hAnsi="Century Gothic" w:cs="Arial"/>
          <w:i/>
          <w:u w:val="single"/>
          <w:lang w:val="es-ES"/>
        </w:rPr>
        <w:t xml:space="preserve"> funciona la política de Vivienda es por medio del sector Cooperativo y el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es </w:t>
      </w:r>
      <w:proofErr w:type="spellStart"/>
      <w:r w:rsidRPr="00C32A38">
        <w:rPr>
          <w:rFonts w:ascii="Century Gothic" w:hAnsi="Century Gothic" w:cs="Arial"/>
          <w:i/>
          <w:u w:val="single"/>
          <w:lang w:val="es-ES"/>
        </w:rPr>
        <w:t>conciente</w:t>
      </w:r>
      <w:proofErr w:type="spellEnd"/>
      <w:r w:rsidRPr="00C32A38">
        <w:rPr>
          <w:rFonts w:ascii="Century Gothic" w:hAnsi="Century Gothic" w:cs="Arial"/>
          <w:i/>
          <w:u w:val="single"/>
          <w:lang w:val="es-ES"/>
        </w:rPr>
        <w:t xml:space="preserve"> de su debilidad dentro del sector Financiero que busca mediante </w:t>
      </w:r>
      <w:r w:rsidRPr="00C32A38">
        <w:rPr>
          <w:rFonts w:ascii="Century Gothic" w:hAnsi="Century Gothic" w:cs="Arial"/>
          <w:i/>
          <w:u w:val="single"/>
          <w:lang w:val="es-ES"/>
        </w:rPr>
        <w:lastRenderedPageBreak/>
        <w:t xml:space="preserve">el ahorro otorgar crédito a las familias. Para que los objetivos del Estado se cumplan el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debe impulsar su desarrollo llegando por medio del sector solidario allí donde el sector privado no lo hace, conociendo de antemano la debilidad de las Cooperativas.</w:t>
      </w:r>
      <w:r w:rsidRPr="00C32A38">
        <w:rPr>
          <w:rFonts w:ascii="Century Gothic" w:hAnsi="Century Gothic" w:cs="Arial"/>
          <w:i/>
          <w:lang w:val="es-ES"/>
        </w:rPr>
        <w:t xml:space="preserve"> La Junta Directiva del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ha recomendado establecer los mecanismos de control a fin de seguir soportándolos. </w:t>
      </w:r>
    </w:p>
    <w:p w14:paraId="15B84C89"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5A5CDBAA" w14:textId="77777777" w:rsidR="00C32A38" w:rsidRPr="00C32A38" w:rsidRDefault="00C32A38" w:rsidP="00C32A38">
      <w:pPr>
        <w:spacing w:after="0" w:line="276" w:lineRule="auto"/>
        <w:ind w:left="567" w:right="567"/>
        <w:jc w:val="both"/>
        <w:rPr>
          <w:rFonts w:ascii="Century Gothic" w:hAnsi="Century Gothic" w:cs="Arial"/>
          <w:i/>
          <w:u w:val="single"/>
          <w:lang w:val="es-ES"/>
        </w:rPr>
      </w:pPr>
      <w:r w:rsidRPr="00C32A38">
        <w:rPr>
          <w:rFonts w:ascii="Century Gothic" w:hAnsi="Century Gothic" w:cs="Arial"/>
          <w:i/>
          <w:u w:val="single"/>
          <w:lang w:val="es-ES"/>
        </w:rPr>
        <w:t>“El Dr. César Páez acota que dentro de la Junta las Fiduciarias, tendrán voz pero no voto, manifiesta que es un problema de índole jurídico.</w:t>
      </w:r>
    </w:p>
    <w:p w14:paraId="3763F5EE"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u w:val="single"/>
          <w:lang w:val="es-ES"/>
        </w:rPr>
        <w:t xml:space="preserve">“El Dr. Álvaro Arango toma la palabra para manifestar que el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es quien toma e imparte decisiones de Inversión y entendido el objeto Social del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lo que preocupa a las fiduciarias es que en el futuro, debido a la debilidad del Sector Cooperativo un intermediario incumpla la redención de un CDAT y se entienda que en un proceso la fiduciaria tenga que asumir la responsabilidad</w:t>
      </w:r>
      <w:r w:rsidRPr="00C32A38">
        <w:rPr>
          <w:rFonts w:ascii="Century Gothic" w:hAnsi="Century Gothic" w:cs="Arial"/>
          <w:i/>
          <w:lang w:val="es-ES"/>
        </w:rPr>
        <w:t xml:space="preserve">” </w:t>
      </w:r>
      <w:r w:rsidRPr="00C32A38">
        <w:rPr>
          <w:rFonts w:ascii="Century Gothic" w:hAnsi="Century Gothic" w:cs="Arial"/>
          <w:lang w:val="es-ES"/>
        </w:rPr>
        <w:t>(subrayado y resaltado fuera del original).</w:t>
      </w:r>
    </w:p>
    <w:p w14:paraId="10DE77E4" w14:textId="77777777" w:rsidR="00C32A38" w:rsidRPr="00C32A38" w:rsidRDefault="00C32A38" w:rsidP="00C32A38">
      <w:pPr>
        <w:spacing w:after="0" w:line="276" w:lineRule="auto"/>
        <w:ind w:left="567" w:right="567"/>
        <w:jc w:val="both"/>
        <w:rPr>
          <w:rFonts w:ascii="Century Gothic" w:hAnsi="Century Gothic" w:cs="Arial"/>
          <w:i/>
          <w:lang w:val="es-ES"/>
        </w:rPr>
      </w:pPr>
    </w:p>
    <w:p w14:paraId="41AA23CB" w14:textId="77777777" w:rsidR="00C32A38" w:rsidRPr="00C32A38" w:rsidRDefault="00C32A38" w:rsidP="00C32A38">
      <w:pPr>
        <w:numPr>
          <w:ilvl w:val="0"/>
          <w:numId w:val="8"/>
        </w:numPr>
        <w:spacing w:after="0" w:line="276" w:lineRule="auto"/>
        <w:ind w:right="567"/>
        <w:jc w:val="both"/>
        <w:rPr>
          <w:rFonts w:ascii="Century Gothic" w:hAnsi="Century Gothic" w:cs="Arial"/>
          <w:i/>
          <w:lang w:val="es-ES"/>
        </w:rPr>
      </w:pPr>
      <w:r w:rsidRPr="00C32A38">
        <w:rPr>
          <w:rFonts w:ascii="Century Gothic" w:hAnsi="Century Gothic" w:cs="Arial"/>
          <w:sz w:val="24"/>
          <w:szCs w:val="24"/>
          <w:lang w:val="es-ES"/>
        </w:rPr>
        <w:t>Acta de 5 de marzo de 1997</w:t>
      </w:r>
      <w:r w:rsidRPr="00C32A38">
        <w:rPr>
          <w:rFonts w:ascii="Century Gothic" w:hAnsi="Century Gothic" w:cs="Arial"/>
          <w:sz w:val="24"/>
          <w:szCs w:val="24"/>
          <w:vertAlign w:val="superscript"/>
          <w:lang w:val="es-ES"/>
        </w:rPr>
        <w:footnoteReference w:id="47"/>
      </w:r>
      <w:r w:rsidRPr="00C32A38">
        <w:rPr>
          <w:rFonts w:ascii="Century Gothic" w:hAnsi="Century Gothic" w:cs="Arial"/>
          <w:sz w:val="24"/>
          <w:szCs w:val="24"/>
          <w:lang w:val="es-ES"/>
        </w:rPr>
        <w:t xml:space="preserve"> (se trascribe):</w:t>
      </w:r>
    </w:p>
    <w:p w14:paraId="372C04E7" w14:textId="77777777" w:rsidR="00C32A38" w:rsidRPr="00C32A38" w:rsidRDefault="00C32A38" w:rsidP="00C32A38">
      <w:pPr>
        <w:spacing w:after="0" w:line="276" w:lineRule="auto"/>
        <w:ind w:left="567" w:right="567"/>
        <w:jc w:val="both"/>
        <w:rPr>
          <w:rFonts w:ascii="Century Gothic" w:hAnsi="Century Gothic" w:cs="Arial"/>
          <w:i/>
          <w:lang w:val="es-ES"/>
        </w:rPr>
      </w:pPr>
    </w:p>
    <w:p w14:paraId="2EC4E9CF"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“3. INTERVENCIÓN DE LAS FIDUCIARIAS</w:t>
      </w:r>
    </w:p>
    <w:p w14:paraId="534A8683"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6D172109"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“La </w:t>
      </w:r>
      <w:proofErr w:type="spellStart"/>
      <w:r w:rsidRPr="00C32A38">
        <w:rPr>
          <w:rFonts w:ascii="Century Gothic" w:hAnsi="Century Gothic" w:cs="Arial"/>
          <w:i/>
          <w:lang w:val="es-ES"/>
        </w:rPr>
        <w:t>Dra</w:t>
      </w:r>
      <w:proofErr w:type="spellEnd"/>
      <w:r w:rsidRPr="00C32A38">
        <w:rPr>
          <w:rFonts w:ascii="Century Gothic" w:hAnsi="Century Gothic" w:cs="Arial"/>
          <w:i/>
          <w:lang w:val="es-ES"/>
        </w:rPr>
        <w:t xml:space="preserve"> Consuelo Chacón </w:t>
      </w:r>
      <w:r w:rsidRPr="00C32A38">
        <w:rPr>
          <w:rFonts w:ascii="Century Gothic" w:hAnsi="Century Gothic" w:cs="Arial"/>
          <w:lang w:val="es-ES"/>
        </w:rPr>
        <w:t xml:space="preserve">[Consuelo Chacón Liévano, Asesora de la Subgerencia Administrativa y Financiera] </w:t>
      </w:r>
      <w:r w:rsidRPr="00C32A38">
        <w:rPr>
          <w:rFonts w:ascii="Century Gothic" w:hAnsi="Century Gothic" w:cs="Arial"/>
          <w:i/>
          <w:lang w:val="es-ES"/>
        </w:rPr>
        <w:t xml:space="preserve">propone que cada Fiduciaria exponga sus inquietudes. </w:t>
      </w:r>
    </w:p>
    <w:p w14:paraId="2B5B411E"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“Las Fiduciarias presentes </w:t>
      </w:r>
      <w:r w:rsidRPr="00C32A38">
        <w:rPr>
          <w:rFonts w:ascii="Century Gothic" w:hAnsi="Century Gothic" w:cs="Arial"/>
          <w:lang w:val="es-ES"/>
        </w:rPr>
        <w:t xml:space="preserve">[entre las cuales se encuentra </w:t>
      </w:r>
      <w:proofErr w:type="spellStart"/>
      <w:r w:rsidRPr="00C32A38">
        <w:rPr>
          <w:rFonts w:ascii="Century Gothic" w:hAnsi="Century Gothic" w:cs="Arial"/>
          <w:lang w:val="es-ES"/>
        </w:rPr>
        <w:t>Fidultra</w:t>
      </w:r>
      <w:proofErr w:type="spellEnd"/>
      <w:r w:rsidRPr="00C32A38">
        <w:rPr>
          <w:rFonts w:ascii="Century Gothic" w:hAnsi="Century Gothic" w:cs="Arial"/>
          <w:lang w:val="es-ES"/>
        </w:rPr>
        <w:t>] manifiestan</w:t>
      </w:r>
      <w:r w:rsidRPr="00C32A38">
        <w:rPr>
          <w:rFonts w:ascii="Century Gothic" w:hAnsi="Century Gothic" w:cs="Arial"/>
          <w:i/>
          <w:lang w:val="es-ES"/>
        </w:rPr>
        <w:t xml:space="preserve"> su preocupación referente a los siguientes aspectos: </w:t>
      </w:r>
    </w:p>
    <w:p w14:paraId="66DDF6A2"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6C4BA3C7"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u w:val="single"/>
          <w:lang w:val="es-ES"/>
        </w:rPr>
        <w:t xml:space="preserve">“2.- El incumplimiento en la cancelación de las inversiones realizadas con Cooperativas como: Crear, </w:t>
      </w:r>
      <w:proofErr w:type="spellStart"/>
      <w:r w:rsidRPr="00C32A38">
        <w:rPr>
          <w:rFonts w:ascii="Century Gothic" w:hAnsi="Century Gothic" w:cs="Arial"/>
          <w:i/>
          <w:u w:val="single"/>
          <w:lang w:val="es-ES"/>
        </w:rPr>
        <w:t>Cooservir</w:t>
      </w:r>
      <w:proofErr w:type="spellEnd"/>
      <w:r w:rsidRPr="00C32A38">
        <w:rPr>
          <w:rFonts w:ascii="Century Gothic" w:hAnsi="Century Gothic" w:cs="Arial"/>
          <w:i/>
          <w:u w:val="single"/>
          <w:lang w:val="es-ES"/>
        </w:rPr>
        <w:t xml:space="preserve">, </w:t>
      </w:r>
      <w:proofErr w:type="spellStart"/>
      <w:r w:rsidRPr="00C32A38">
        <w:rPr>
          <w:rFonts w:ascii="Century Gothic" w:hAnsi="Century Gothic" w:cs="Arial"/>
          <w:i/>
          <w:u w:val="single"/>
          <w:lang w:val="es-ES"/>
        </w:rPr>
        <w:t>Conalcrédito</w:t>
      </w:r>
      <w:proofErr w:type="spellEnd"/>
      <w:r w:rsidRPr="00C32A38">
        <w:rPr>
          <w:rFonts w:ascii="Century Gothic" w:hAnsi="Century Gothic" w:cs="Arial"/>
          <w:i/>
          <w:u w:val="single"/>
          <w:lang w:val="es-ES"/>
        </w:rPr>
        <w:t xml:space="preserve">, </w:t>
      </w:r>
      <w:proofErr w:type="spellStart"/>
      <w:r w:rsidRPr="00C32A38">
        <w:rPr>
          <w:rFonts w:ascii="Century Gothic" w:hAnsi="Century Gothic" w:cs="Arial"/>
          <w:i/>
          <w:u w:val="single"/>
          <w:lang w:val="es-ES"/>
        </w:rPr>
        <w:t>Copexbanca</w:t>
      </w:r>
      <w:proofErr w:type="spellEnd"/>
      <w:r w:rsidRPr="00C32A38">
        <w:rPr>
          <w:rFonts w:ascii="Century Gothic" w:hAnsi="Century Gothic" w:cs="Arial"/>
          <w:i/>
          <w:u w:val="single"/>
          <w:lang w:val="es-ES"/>
        </w:rPr>
        <w:t xml:space="preserve">, </w:t>
      </w:r>
      <w:proofErr w:type="spellStart"/>
      <w:r w:rsidRPr="00C32A38">
        <w:rPr>
          <w:rFonts w:ascii="Century Gothic" w:hAnsi="Century Gothic" w:cs="Arial"/>
          <w:i/>
          <w:u w:val="single"/>
          <w:lang w:val="es-ES"/>
        </w:rPr>
        <w:t>Coolcrédito</w:t>
      </w:r>
      <w:proofErr w:type="spellEnd"/>
      <w:r w:rsidRPr="00C32A38">
        <w:rPr>
          <w:rFonts w:ascii="Century Gothic" w:hAnsi="Century Gothic" w:cs="Arial"/>
          <w:i/>
          <w:u w:val="single"/>
          <w:lang w:val="es-ES"/>
        </w:rPr>
        <w:t xml:space="preserve">, </w:t>
      </w:r>
      <w:proofErr w:type="spellStart"/>
      <w:r w:rsidRPr="00C32A38">
        <w:rPr>
          <w:rFonts w:ascii="Century Gothic" w:hAnsi="Century Gothic" w:cs="Arial"/>
          <w:i/>
          <w:u w:val="single"/>
          <w:lang w:val="es-ES"/>
        </w:rPr>
        <w:t>Surandina</w:t>
      </w:r>
      <w:proofErr w:type="spellEnd"/>
      <w:r w:rsidRPr="00C32A38">
        <w:rPr>
          <w:rFonts w:ascii="Century Gothic" w:hAnsi="Century Gothic" w:cs="Arial"/>
          <w:i/>
          <w:u w:val="single"/>
          <w:lang w:val="es-ES"/>
        </w:rPr>
        <w:t xml:space="preserve">, </w:t>
      </w:r>
      <w:proofErr w:type="spellStart"/>
      <w:r w:rsidRPr="00C32A38">
        <w:rPr>
          <w:rFonts w:ascii="Century Gothic" w:hAnsi="Century Gothic" w:cs="Arial"/>
          <w:i/>
          <w:u w:val="single"/>
          <w:lang w:val="es-ES"/>
        </w:rPr>
        <w:t>Colahorro</w:t>
      </w:r>
      <w:proofErr w:type="spellEnd"/>
      <w:r w:rsidRPr="00C32A38">
        <w:rPr>
          <w:rFonts w:ascii="Century Gothic" w:hAnsi="Century Gothic" w:cs="Arial"/>
          <w:i/>
          <w:u w:val="single"/>
          <w:lang w:val="es-ES"/>
        </w:rPr>
        <w:t xml:space="preserve"> y Avancemos.</w:t>
      </w:r>
    </w:p>
    <w:p w14:paraId="2CD6FDF5"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u w:val="single"/>
          <w:lang w:val="es-ES"/>
        </w:rPr>
        <w:t xml:space="preserve">“3.- La autorización de prórrogas a Cooperativas, con esto se dilata el problema debido a la situación de iliquidez de las mismas </w:t>
      </w:r>
      <w:r w:rsidRPr="00C32A38">
        <w:rPr>
          <w:rFonts w:ascii="Century Gothic" w:hAnsi="Century Gothic" w:cs="Arial"/>
          <w:i/>
          <w:lang w:val="es-ES"/>
        </w:rPr>
        <w:t>(…)</w:t>
      </w:r>
    </w:p>
    <w:p w14:paraId="4ED972CD"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 “5.- Las Cooperativas se han lamentado por la tasa moratoria aplicada.</w:t>
      </w:r>
    </w:p>
    <w:p w14:paraId="0715F14D"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u w:val="single"/>
          <w:lang w:val="es-ES"/>
        </w:rPr>
        <w:t xml:space="preserve">“6.- El </w:t>
      </w:r>
      <w:proofErr w:type="spellStart"/>
      <w:r w:rsidRPr="00C32A38">
        <w:rPr>
          <w:rFonts w:ascii="Century Gothic" w:hAnsi="Century Gothic" w:cs="Arial"/>
          <w:i/>
          <w:u w:val="single"/>
          <w:lang w:val="es-ES"/>
        </w:rPr>
        <w:t>Dancoop</w:t>
      </w:r>
      <w:proofErr w:type="spellEnd"/>
      <w:r w:rsidRPr="00C32A38">
        <w:rPr>
          <w:rFonts w:ascii="Century Gothic" w:hAnsi="Century Gothic" w:cs="Arial"/>
          <w:i/>
          <w:u w:val="single"/>
          <w:lang w:val="es-ES"/>
        </w:rPr>
        <w:t xml:space="preserve"> no es una garantía de control al sector Cooperativo.</w:t>
      </w:r>
    </w:p>
    <w:p w14:paraId="6FD6CDBE"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1E9FE9C3"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“9.- La debilidad del Sector Solidario representado en la iliquidez actual y el incumplimiento contribuyen a truncar el objetivo de la Política Social del Estado.</w:t>
      </w:r>
    </w:p>
    <w:p w14:paraId="77D79B81"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“10.- La provisión que deben hacer las Fiduciarias para cubrir la cartera morosa, lo cual llevaría a la iliquidez en los contratos.</w:t>
      </w:r>
    </w:p>
    <w:p w14:paraId="25759083"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“11.- </w:t>
      </w:r>
      <w:proofErr w:type="spellStart"/>
      <w:r w:rsidRPr="00C32A38">
        <w:rPr>
          <w:rFonts w:ascii="Century Gothic" w:hAnsi="Century Gothic" w:cs="Arial"/>
          <w:i/>
          <w:lang w:val="es-ES"/>
        </w:rPr>
        <w:t>Fiduoccidente</w:t>
      </w:r>
      <w:proofErr w:type="spellEnd"/>
      <w:r w:rsidRPr="00C32A38">
        <w:rPr>
          <w:rFonts w:ascii="Century Gothic" w:hAnsi="Century Gothic" w:cs="Arial"/>
          <w:i/>
          <w:lang w:val="es-ES"/>
        </w:rPr>
        <w:t xml:space="preserve"> (…) manifiesta que 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debe trazar las políticas claras con relación a:</w:t>
      </w:r>
    </w:p>
    <w:p w14:paraId="2A35B3C1"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“1.- Determinación por parte del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en cuanto a Políticas claras, para la Administración de las inversiones.</w:t>
      </w:r>
    </w:p>
    <w:p w14:paraId="693DB57F"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lang w:val="es-ES"/>
        </w:rPr>
        <w:t>“</w:t>
      </w:r>
      <w:r w:rsidRPr="00C32A38">
        <w:rPr>
          <w:rFonts w:ascii="Century Gothic" w:hAnsi="Century Gothic" w:cs="Arial"/>
          <w:i/>
          <w:u w:val="single"/>
          <w:lang w:val="es-ES"/>
        </w:rPr>
        <w:t>2.- Responsabilidad del Instituto, dado el compromiso con la Política de Vivienda de Interés Social y en cumplimiento de la misma, apoyando al sector Cooperativo.</w:t>
      </w:r>
    </w:p>
    <w:p w14:paraId="7F68C6CA"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lang w:val="es-ES"/>
        </w:rPr>
        <w:lastRenderedPageBreak/>
        <w:t>“</w:t>
      </w:r>
      <w:r w:rsidRPr="00C32A38">
        <w:rPr>
          <w:rFonts w:ascii="Century Gothic" w:hAnsi="Century Gothic" w:cs="Arial"/>
          <w:i/>
          <w:u w:val="single"/>
          <w:lang w:val="es-ES"/>
        </w:rPr>
        <w:t xml:space="preserve">13.- Las Fiduciarias están perdiendo la calidad de ser representantes del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ante las Cooperativas, omiten las comunicaciones verbales y escritas, no los consideran interlocutores.</w:t>
      </w:r>
    </w:p>
    <w:p w14:paraId="719F24AC"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r w:rsidRPr="00C32A38">
        <w:rPr>
          <w:rFonts w:ascii="Century Gothic" w:hAnsi="Century Gothic" w:cs="Arial"/>
          <w:i/>
          <w:u w:val="single"/>
          <w:lang w:val="es-ES"/>
        </w:rPr>
        <w:t>14.- La concentración de recursos en Cooperativas es riesgoso</w:t>
      </w:r>
      <w:r w:rsidRPr="00C32A38">
        <w:rPr>
          <w:rFonts w:ascii="Century Gothic" w:hAnsi="Century Gothic" w:cs="Arial"/>
          <w:i/>
          <w:lang w:val="es-ES"/>
        </w:rPr>
        <w:t xml:space="preserve"> (…)</w:t>
      </w:r>
    </w:p>
    <w:p w14:paraId="014ECCE7"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47177B7B"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“RECOMENDACIONES</w:t>
      </w:r>
    </w:p>
    <w:p w14:paraId="6AE8F50D"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lang w:val="es-ES"/>
        </w:rPr>
        <w:t>“</w:t>
      </w:r>
      <w:r w:rsidRPr="00C32A38">
        <w:rPr>
          <w:rFonts w:ascii="Century Gothic" w:hAnsi="Century Gothic" w:cs="Arial"/>
          <w:i/>
          <w:u w:val="single"/>
          <w:lang w:val="es-ES"/>
        </w:rPr>
        <w:t xml:space="preserve">- No efectuar más inversiones con el sector Cooperativo, dirigirlas hacia sectores de menor riesgo y que estén vigilados por la </w:t>
      </w:r>
      <w:proofErr w:type="spellStart"/>
      <w:r w:rsidRPr="00C32A38">
        <w:rPr>
          <w:rFonts w:ascii="Century Gothic" w:hAnsi="Century Gothic" w:cs="Arial"/>
          <w:i/>
          <w:u w:val="single"/>
          <w:lang w:val="es-ES"/>
        </w:rPr>
        <w:t>Superbancaria</w:t>
      </w:r>
      <w:proofErr w:type="spellEnd"/>
      <w:r w:rsidRPr="00C32A38">
        <w:rPr>
          <w:rFonts w:ascii="Century Gothic" w:hAnsi="Century Gothic" w:cs="Arial"/>
          <w:i/>
          <w:u w:val="single"/>
          <w:lang w:val="es-ES"/>
        </w:rPr>
        <w:t>.</w:t>
      </w:r>
    </w:p>
    <w:p w14:paraId="060DD116"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En esta junta establecer los parámetros para las Inversiones.</w:t>
      </w:r>
    </w:p>
    <w:p w14:paraId="5B1AF90E"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 Se puede solicitar un aval Bancario a las Cooperativas </w:t>
      </w:r>
    </w:p>
    <w:p w14:paraId="34D1738A"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624A4CB9"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576E3C02"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“3.- </w:t>
      </w:r>
      <w:r w:rsidRPr="00C32A38">
        <w:rPr>
          <w:rFonts w:ascii="Century Gothic" w:hAnsi="Century Gothic" w:cs="Arial"/>
          <w:i/>
          <w:u w:val="single"/>
          <w:lang w:val="es-ES"/>
        </w:rPr>
        <w:t xml:space="preserve">INTERVENCIÓN DEL INURBE </w:t>
      </w:r>
    </w:p>
    <w:p w14:paraId="3B00FAA9"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 </w:t>
      </w:r>
    </w:p>
    <w:p w14:paraId="2F9CE862"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“El Dr. Armando Caicedo </w:t>
      </w:r>
      <w:proofErr w:type="spellStart"/>
      <w:r w:rsidRPr="00C32A38">
        <w:rPr>
          <w:rFonts w:ascii="Century Gothic" w:hAnsi="Century Gothic" w:cs="Arial"/>
          <w:i/>
          <w:lang w:val="es-ES"/>
        </w:rPr>
        <w:t>Caicedo</w:t>
      </w:r>
      <w:proofErr w:type="spellEnd"/>
      <w:r w:rsidRPr="00C32A38">
        <w:rPr>
          <w:rFonts w:ascii="Century Gothic" w:hAnsi="Century Gothic" w:cs="Arial"/>
          <w:i/>
          <w:lang w:val="es-ES"/>
        </w:rPr>
        <w:t xml:space="preserve"> </w:t>
      </w:r>
      <w:r w:rsidRPr="00C32A38">
        <w:rPr>
          <w:rFonts w:ascii="Century Gothic" w:hAnsi="Century Gothic" w:cs="Arial"/>
          <w:lang w:val="es-ES"/>
        </w:rPr>
        <w:t>[Subgerente Administrativo y Financiero]</w:t>
      </w:r>
      <w:r w:rsidRPr="00C32A38">
        <w:rPr>
          <w:rFonts w:ascii="Century Gothic" w:hAnsi="Century Gothic" w:cs="Arial"/>
          <w:i/>
          <w:lang w:val="es-ES"/>
        </w:rPr>
        <w:t xml:space="preserve"> (…) </w:t>
      </w:r>
      <w:r w:rsidRPr="00C32A38">
        <w:rPr>
          <w:rFonts w:ascii="Century Gothic" w:hAnsi="Century Gothic" w:cs="Arial"/>
          <w:i/>
          <w:u w:val="single"/>
          <w:lang w:val="es-ES"/>
        </w:rPr>
        <w:t xml:space="preserve">recuerda como en otras oportunidades, la responsabilidad del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de apoyar al sector Cooperativo en la ejecución de la Política de Vivienda de Interés Social, a sabiendas de ser un sector débil</w:t>
      </w:r>
      <w:r w:rsidRPr="00C32A38">
        <w:rPr>
          <w:rFonts w:ascii="Century Gothic" w:hAnsi="Century Gothic" w:cs="Arial"/>
          <w:i/>
          <w:lang w:val="es-ES"/>
        </w:rPr>
        <w:t xml:space="preserve"> por cuanto apoya el crédito para adquisición de VIS, para las personas con ingresos inferiores a 4 salarios mínimos legales mensuales, lo cual se traduce en un apoyo a sector de la economía informal y en un gran porcentaje de la población laboral del País, ya que las Corporaciones de Ahorro y Vivienda aunque deben destinar el 23% de sus colocaciones financieras en VIS, sin embargo estas entidades Financieras incumplen el precepto arriba citado.</w:t>
      </w:r>
      <w:r w:rsidRPr="00C32A38">
        <w:rPr>
          <w:rFonts w:ascii="Century Gothic" w:hAnsi="Century Gothic" w:cs="Arial"/>
          <w:i/>
          <w:lang w:val="es-ES"/>
        </w:rPr>
        <w:br/>
        <w:t>“</w:t>
      </w:r>
      <w:r w:rsidRPr="00C32A38">
        <w:rPr>
          <w:rFonts w:ascii="Century Gothic" w:hAnsi="Century Gothic" w:cs="Arial"/>
          <w:i/>
          <w:u w:val="single"/>
          <w:lang w:val="es-ES"/>
        </w:rPr>
        <w:t xml:space="preserve">Es por esto, que la Junta Directiva del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desde hace años resolvió de una manera unánime e inequívoca apoyar a las Cooperativas que desarrollen programas VIS, realizando inversiones temporales y efectuando convenios a 18 y 24 meses, que se adaptan al funcionamiento crediticio de las Cooperativas. </w:t>
      </w:r>
    </w:p>
    <w:p w14:paraId="318BB9EA"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58681654"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“3.- Existe un claro enfrentamiento entre la Política Social y el sector Privado; por cuanto para estos no es atractivo el desarrollo de programas de vivienda de interés social, dado los riesgos que representa dicha cartera para la Entidad Financiera que coloque dichos recursos; </w:t>
      </w:r>
      <w:r w:rsidRPr="00C32A38">
        <w:rPr>
          <w:rFonts w:ascii="Century Gothic" w:hAnsi="Century Gothic" w:cs="Arial"/>
          <w:i/>
          <w:u w:val="single"/>
          <w:lang w:val="es-ES"/>
        </w:rPr>
        <w:t>mientras que el sector Cooperativo asume la vanguardia en este tipo de créditos.</w:t>
      </w:r>
    </w:p>
    <w:p w14:paraId="2C2D89EE"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lang w:val="es-ES"/>
        </w:rPr>
        <w:t>“</w:t>
      </w:r>
      <w:r w:rsidRPr="00C32A38">
        <w:rPr>
          <w:rFonts w:ascii="Century Gothic" w:hAnsi="Century Gothic" w:cs="Arial"/>
          <w:i/>
          <w:u w:val="single"/>
          <w:lang w:val="es-ES"/>
        </w:rPr>
        <w:t xml:space="preserve">También es cierto que el sector Cooperativo requiere de un flujo de fondos a mediano plazo, para afrontar la colocación de cartera a un plazo prudencial, es por esto </w:t>
      </w:r>
      <w:proofErr w:type="gramStart"/>
      <w:r w:rsidRPr="00C32A38">
        <w:rPr>
          <w:rFonts w:ascii="Century Gothic" w:hAnsi="Century Gothic" w:cs="Arial"/>
          <w:i/>
          <w:u w:val="single"/>
          <w:lang w:val="es-ES"/>
        </w:rPr>
        <w:t>que</w:t>
      </w:r>
      <w:proofErr w:type="gramEnd"/>
      <w:r w:rsidRPr="00C32A38">
        <w:rPr>
          <w:rFonts w:ascii="Century Gothic" w:hAnsi="Century Gothic" w:cs="Arial"/>
          <w:i/>
          <w:u w:val="single"/>
          <w:lang w:val="es-ES"/>
        </w:rPr>
        <w:t xml:space="preserve"> el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apoyó dicho sector; sin embargo, ante los incumplimientos presentados la Gerencia General ve con gran preocupación, toma la decisión de suspender transitoriamente cualquier inversión en Cooperativas</w:t>
      </w:r>
      <w:r w:rsidRPr="00C32A38">
        <w:rPr>
          <w:rFonts w:ascii="Century Gothic" w:hAnsi="Century Gothic" w:cs="Arial"/>
          <w:i/>
          <w:lang w:val="es-ES"/>
        </w:rPr>
        <w:t>.</w:t>
      </w:r>
    </w:p>
    <w:p w14:paraId="6A113B23"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32169917"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“5.- 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ha consultado con el DANCOOP, sobre la situación financiera de las Cooperativas, sin que hasta la fecha podamos apoyarnos en dicha información.  </w:t>
      </w:r>
    </w:p>
    <w:p w14:paraId="27FBC5FF"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lang w:val="es-ES"/>
        </w:rPr>
        <w:t>“</w:t>
      </w:r>
      <w:r w:rsidRPr="00C32A38">
        <w:rPr>
          <w:rFonts w:ascii="Century Gothic" w:hAnsi="Century Gothic" w:cs="Arial"/>
          <w:i/>
          <w:u w:val="single"/>
          <w:lang w:val="es-ES"/>
        </w:rPr>
        <w:t>En consecuencia considera la Gerencia General que si definitivamente, debemos abandonar el sector Cooperativo y dada la situación actual debemos buscar entre todos un mecanismo para recuperar los recursos.</w:t>
      </w:r>
    </w:p>
    <w:p w14:paraId="00E79BC9" w14:textId="77777777" w:rsidR="00C32A38" w:rsidRPr="00C32A38" w:rsidRDefault="00C32A38" w:rsidP="00C32A38">
      <w:pPr>
        <w:tabs>
          <w:tab w:val="center" w:pos="4136"/>
        </w:tabs>
        <w:spacing w:after="0" w:line="276" w:lineRule="auto"/>
        <w:ind w:left="567" w:right="567"/>
        <w:jc w:val="both"/>
        <w:rPr>
          <w:rFonts w:ascii="Century Gothic" w:hAnsi="Century Gothic" w:cs="Arial"/>
          <w:b/>
          <w:i/>
          <w:u w:val="single"/>
          <w:lang w:val="es-ES"/>
        </w:rPr>
      </w:pPr>
    </w:p>
    <w:p w14:paraId="505020D2"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lang w:val="es-ES"/>
        </w:rPr>
        <w:lastRenderedPageBreak/>
        <w:t>“</w:t>
      </w:r>
      <w:r w:rsidRPr="00C32A38">
        <w:rPr>
          <w:rFonts w:ascii="Century Gothic" w:hAnsi="Century Gothic" w:cs="Arial"/>
          <w:i/>
          <w:u w:val="single"/>
          <w:lang w:val="es-ES"/>
        </w:rPr>
        <w:t>4.- EVALUACIÓN Y APROBACIÓN DE NUEVAS INVERSIONES.</w:t>
      </w:r>
    </w:p>
    <w:p w14:paraId="2D07F7FA"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p>
    <w:p w14:paraId="25C0EF0A"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lang w:val="es-ES"/>
        </w:rPr>
        <w:t>“</w:t>
      </w:r>
      <w:r w:rsidRPr="00C32A38">
        <w:rPr>
          <w:rFonts w:ascii="Century Gothic" w:hAnsi="Century Gothic" w:cs="Arial"/>
          <w:i/>
          <w:u w:val="single"/>
          <w:lang w:val="es-ES"/>
        </w:rPr>
        <w:t>Se entregó a cada Fiduciaria solicitudes de apalancamiento de:</w:t>
      </w:r>
    </w:p>
    <w:p w14:paraId="759F1577"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proofErr w:type="spellStart"/>
      <w:r w:rsidRPr="00C32A38">
        <w:rPr>
          <w:rFonts w:ascii="Century Gothic" w:hAnsi="Century Gothic" w:cs="Arial"/>
          <w:i/>
          <w:u w:val="single"/>
          <w:lang w:val="es-ES"/>
        </w:rPr>
        <w:t>Cofiroyal</w:t>
      </w:r>
      <w:proofErr w:type="spellEnd"/>
      <w:r w:rsidRPr="00C32A38">
        <w:rPr>
          <w:rFonts w:ascii="Century Gothic" w:hAnsi="Century Gothic" w:cs="Arial"/>
          <w:i/>
          <w:u w:val="single"/>
          <w:lang w:val="es-ES"/>
        </w:rPr>
        <w:t xml:space="preserve">, Cohabitar, </w:t>
      </w:r>
      <w:proofErr w:type="spellStart"/>
      <w:r w:rsidRPr="00C32A38">
        <w:rPr>
          <w:rFonts w:ascii="Century Gothic" w:hAnsi="Century Gothic" w:cs="Arial"/>
          <w:i/>
          <w:u w:val="single"/>
          <w:lang w:val="es-ES"/>
        </w:rPr>
        <w:t>Construyecoop</w:t>
      </w:r>
      <w:proofErr w:type="spellEnd"/>
      <w:r w:rsidRPr="00C32A38">
        <w:rPr>
          <w:rFonts w:ascii="Century Gothic" w:hAnsi="Century Gothic" w:cs="Arial"/>
          <w:i/>
          <w:u w:val="single"/>
          <w:lang w:val="es-ES"/>
        </w:rPr>
        <w:t xml:space="preserve">, Caja Popular Cooperativa y </w:t>
      </w:r>
      <w:proofErr w:type="spellStart"/>
      <w:r w:rsidRPr="00C32A38">
        <w:rPr>
          <w:rFonts w:ascii="Century Gothic" w:hAnsi="Century Gothic" w:cs="Arial"/>
          <w:i/>
          <w:u w:val="single"/>
          <w:lang w:val="es-ES"/>
        </w:rPr>
        <w:t>Coacrédito</w:t>
      </w:r>
      <w:proofErr w:type="spellEnd"/>
      <w:r w:rsidRPr="00C32A38">
        <w:rPr>
          <w:rFonts w:ascii="Century Gothic" w:hAnsi="Century Gothic" w:cs="Arial"/>
          <w:i/>
          <w:u w:val="single"/>
          <w:lang w:val="es-ES"/>
        </w:rPr>
        <w:t>.</w:t>
      </w:r>
    </w:p>
    <w:p w14:paraId="73077754"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0079D086"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“Las Fiduciarias recalcan el pronunciamiento del Gerente, relacionado con la consulta a la Junta Directiva y al Ministerio con relación a la Política.</w:t>
      </w:r>
    </w:p>
    <w:p w14:paraId="5C4153A9" w14:textId="77777777" w:rsidR="00C32A38" w:rsidRPr="00C32A38" w:rsidRDefault="00C32A38" w:rsidP="00C32A38">
      <w:pPr>
        <w:tabs>
          <w:tab w:val="center" w:pos="4136"/>
        </w:tabs>
        <w:spacing w:after="0" w:line="276" w:lineRule="auto"/>
        <w:ind w:left="567" w:right="567"/>
        <w:jc w:val="both"/>
        <w:rPr>
          <w:rFonts w:ascii="Century Gothic" w:hAnsi="Century Gothic" w:cs="Arial"/>
          <w:b/>
          <w:i/>
          <w:u w:val="single"/>
          <w:lang w:val="es-ES"/>
        </w:rPr>
      </w:pPr>
      <w:r w:rsidRPr="00C32A38">
        <w:rPr>
          <w:rFonts w:ascii="Century Gothic" w:hAnsi="Century Gothic" w:cs="Arial"/>
          <w:i/>
          <w:lang w:val="es-ES"/>
        </w:rPr>
        <w:t>“</w:t>
      </w:r>
      <w:r w:rsidRPr="00C32A38">
        <w:rPr>
          <w:rFonts w:ascii="Century Gothic" w:hAnsi="Century Gothic" w:cs="Arial"/>
          <w:i/>
          <w:u w:val="single"/>
          <w:lang w:val="es-ES"/>
        </w:rPr>
        <w:t xml:space="preserve">Las Fiduciarias manifiestan que comprenden el compromiso del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y la Política de Vivienda de Interés Social, pero de igual forma las Cooperativas son un sector descartado por los incumplimientos presentados.</w:t>
      </w:r>
      <w:r w:rsidRPr="00C32A38">
        <w:rPr>
          <w:rFonts w:ascii="Century Gothic" w:hAnsi="Century Gothic" w:cs="Arial"/>
          <w:b/>
          <w:i/>
          <w:u w:val="single"/>
          <w:lang w:val="es-ES"/>
        </w:rPr>
        <w:t xml:space="preserve"> </w:t>
      </w:r>
    </w:p>
    <w:p w14:paraId="51334FF7"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“Proponen que 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w:t>
      </w:r>
      <w:proofErr w:type="gramStart"/>
      <w:r w:rsidRPr="00C32A38">
        <w:rPr>
          <w:rFonts w:ascii="Century Gothic" w:hAnsi="Century Gothic" w:cs="Arial"/>
          <w:i/>
          <w:lang w:val="es-ES"/>
        </w:rPr>
        <w:t>debería</w:t>
      </w:r>
      <w:proofErr w:type="gramEnd"/>
      <w:r w:rsidRPr="00C32A38">
        <w:rPr>
          <w:rFonts w:ascii="Century Gothic" w:hAnsi="Century Gothic" w:cs="Arial"/>
          <w:i/>
          <w:lang w:val="es-ES"/>
        </w:rPr>
        <w:t xml:space="preserve"> delegar en cabeza de un funcionario la decisión de las inversiones, dado que las Fiduciarias no tienen parámetros y si efectúan las inversiones que autoriza 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w:t>
      </w:r>
    </w:p>
    <w:p w14:paraId="388F864E"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7520346D"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“ESTRATEGIA</w:t>
      </w:r>
    </w:p>
    <w:p w14:paraId="6F882E7C"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566C32AC"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Se ha contratado una interventoría iniciada con Crear Cooperativa, la cual se ve presionada para cumplir, y sin embargo ha incumplido.</w:t>
      </w:r>
    </w:p>
    <w:p w14:paraId="0FE0D26B"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“-Estudiar la posibilidad de contratar interventoría con cada una de las Cooperativas, pero se ve la limitación por problemas de recorte presupuestal.</w:t>
      </w:r>
    </w:p>
    <w:p w14:paraId="3EF515DB"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Citar a cada una de las Cooperativas a fin de estudiar su situación.</w:t>
      </w:r>
    </w:p>
    <w:p w14:paraId="5B545B3B"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 La Subgerencia Administrativa y Financiera se comprometió a remitir una comunicación, aclarando las prórrogas que no se llevaron a cabo, la tasa de mora y el procedimiento a seguir con los incumplimientos. </w:t>
      </w:r>
    </w:p>
    <w:p w14:paraId="4E3CDD1F"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“-Exigir a las Cooperativas una garantía” </w:t>
      </w:r>
      <w:r w:rsidRPr="00C32A38">
        <w:rPr>
          <w:rFonts w:ascii="Century Gothic" w:hAnsi="Century Gothic" w:cs="Arial"/>
          <w:lang w:val="es-ES"/>
        </w:rPr>
        <w:t>(Subrayado fuera del original)</w:t>
      </w:r>
      <w:r w:rsidRPr="00C32A38">
        <w:rPr>
          <w:rFonts w:ascii="Century Gothic" w:hAnsi="Century Gothic" w:cs="Arial"/>
          <w:i/>
          <w:lang w:val="es-ES"/>
        </w:rPr>
        <w:t>.</w:t>
      </w:r>
    </w:p>
    <w:p w14:paraId="0FFBBD50"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479A71BD" w14:textId="77777777" w:rsidR="00C32A38" w:rsidRPr="00C32A38" w:rsidRDefault="00C32A38" w:rsidP="00C32A38">
      <w:pPr>
        <w:numPr>
          <w:ilvl w:val="0"/>
          <w:numId w:val="8"/>
        </w:numPr>
        <w:tabs>
          <w:tab w:val="center" w:pos="709"/>
        </w:tabs>
        <w:spacing w:after="0" w:line="276" w:lineRule="auto"/>
        <w:ind w:right="567"/>
        <w:jc w:val="both"/>
        <w:rPr>
          <w:rFonts w:ascii="Century Gothic" w:hAnsi="Century Gothic" w:cs="Arial"/>
          <w:i/>
          <w:lang w:val="es-ES"/>
        </w:rPr>
      </w:pPr>
      <w:r w:rsidRPr="00C32A38">
        <w:rPr>
          <w:rFonts w:ascii="Century Gothic" w:hAnsi="Century Gothic" w:cs="Arial"/>
          <w:sz w:val="24"/>
          <w:szCs w:val="24"/>
          <w:lang w:val="es-ES"/>
        </w:rPr>
        <w:t>Acta de 2 de abril de 1997</w:t>
      </w:r>
      <w:r w:rsidRPr="00C32A38">
        <w:rPr>
          <w:rFonts w:ascii="Century Gothic" w:hAnsi="Century Gothic" w:cs="Arial"/>
          <w:sz w:val="24"/>
          <w:szCs w:val="24"/>
          <w:vertAlign w:val="superscript"/>
          <w:lang w:val="es-ES"/>
        </w:rPr>
        <w:footnoteReference w:id="48"/>
      </w:r>
      <w:r w:rsidRPr="00C32A38">
        <w:rPr>
          <w:rFonts w:ascii="Century Gothic" w:hAnsi="Century Gothic" w:cs="Arial"/>
          <w:sz w:val="24"/>
          <w:szCs w:val="24"/>
          <w:lang w:val="es-ES"/>
        </w:rPr>
        <w:t xml:space="preserve"> (se trascribe):</w:t>
      </w:r>
    </w:p>
    <w:p w14:paraId="0B0A4B09"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24ED56E9"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“3. INTERVENCIÓN DEL INURBE.</w:t>
      </w:r>
    </w:p>
    <w:p w14:paraId="402BFCCA"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728DAA8B"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“Toma la palabra el Dr. Armando Moncaleano a fin, aclarar que </w:t>
      </w:r>
      <w:r w:rsidRPr="00C32A38">
        <w:rPr>
          <w:rFonts w:ascii="Century Gothic" w:hAnsi="Century Gothic" w:cs="Arial"/>
          <w:i/>
          <w:u w:val="single"/>
          <w:lang w:val="es-ES"/>
        </w:rPr>
        <w:t>el punto principal de esta reunión es buscar una solución al problema coyuntural, relacionado con la morosidad en Cooperativas</w:t>
      </w:r>
      <w:r w:rsidRPr="00C32A38">
        <w:rPr>
          <w:rFonts w:ascii="Century Gothic" w:hAnsi="Century Gothic" w:cs="Arial"/>
          <w:i/>
          <w:lang w:val="es-ES"/>
        </w:rPr>
        <w:t xml:space="preserve"> y que 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es el más interesado en la restitución y la defensa de los recursos por tal motivo requiere a las Cooperativas y no que las fiduciarias limiten esta intervención en la responsabilidad individual, delimitando la responsabilidad entre las partes. Se trata de que conjuntamente encontremos la fórmula o el mecanismo para solucionar el problema como lo había requerido en dos oportunidades y dado que las Fiduciarias como entidades de intermediación financiera pueden colaborar por su misma experiencia. Para tal fin se creó esta Junta, la cual tiene una capacidad de decisión y por tanto compete a la misma encontrar el mecanismo adecuado, tendiente a sanear y reducir el problema como a buscar la mejor estrategia para resolver el mismo. </w:t>
      </w:r>
    </w:p>
    <w:p w14:paraId="3FD49C8B"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5A8658AF"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“Resalta los siguientes aspectos.</w:t>
      </w:r>
    </w:p>
    <w:p w14:paraId="6F0529C2"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u w:val="single"/>
          <w:lang w:val="es-ES"/>
        </w:rPr>
        <w:lastRenderedPageBreak/>
        <w:t>“a) La política de Vivienda debe llegar a las personas de menos recursos, las cuales cuentan solo con el apoyo del sector cooperativo.</w:t>
      </w:r>
    </w:p>
    <w:p w14:paraId="341FDECE"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u w:val="single"/>
          <w:lang w:val="es-ES"/>
        </w:rPr>
        <w:t>“b) Las inversiones en Cooperativas vienen desde 1992.</w:t>
      </w:r>
    </w:p>
    <w:p w14:paraId="45B34AE5"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0A4D06AA"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u w:val="single"/>
          <w:lang w:val="es-ES"/>
        </w:rPr>
        <w:t>“e) Ante la situación presentada, se comunicó a las Fiduciarias no efectuar más inversiones ni renovaciones en el sector Cooperativo de igual manera proceder a recuperar los recursos (…)</w:t>
      </w:r>
    </w:p>
    <w:p w14:paraId="48056892"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u w:val="single"/>
          <w:lang w:val="es-ES"/>
        </w:rPr>
        <w:t xml:space="preserve">“h) Al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como Entidad Estatal le corresponde cumplir con el desarrollo la política de Vivienda con el sector Cooperativo y en ellas están involucradas las </w:t>
      </w:r>
      <w:proofErr w:type="spellStart"/>
      <w:r w:rsidRPr="00C32A38">
        <w:rPr>
          <w:rFonts w:ascii="Century Gothic" w:hAnsi="Century Gothic" w:cs="Arial"/>
          <w:i/>
          <w:u w:val="single"/>
          <w:lang w:val="es-ES"/>
        </w:rPr>
        <w:t>Fiducairias</w:t>
      </w:r>
      <w:proofErr w:type="spellEnd"/>
      <w:r w:rsidRPr="00C32A38">
        <w:rPr>
          <w:rFonts w:ascii="Century Gothic" w:hAnsi="Century Gothic" w:cs="Arial"/>
          <w:i/>
          <w:u w:val="single"/>
          <w:lang w:val="es-ES"/>
        </w:rPr>
        <w:t xml:space="preserve"> por la sociedad contractual, en el manejo de recursos.</w:t>
      </w:r>
    </w:p>
    <w:p w14:paraId="12898774"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“En los meses de </w:t>
      </w:r>
      <w:proofErr w:type="gramStart"/>
      <w:r w:rsidRPr="00C32A38">
        <w:rPr>
          <w:rFonts w:ascii="Century Gothic" w:hAnsi="Century Gothic" w:cs="Arial"/>
          <w:i/>
          <w:lang w:val="es-ES"/>
        </w:rPr>
        <w:t>Marzo</w:t>
      </w:r>
      <w:proofErr w:type="gramEnd"/>
      <w:r w:rsidRPr="00C32A38">
        <w:rPr>
          <w:rFonts w:ascii="Century Gothic" w:hAnsi="Century Gothic" w:cs="Arial"/>
          <w:i/>
          <w:lang w:val="es-ES"/>
        </w:rPr>
        <w:t xml:space="preserve"> y Abril se han entablado conversaciones con el </w:t>
      </w:r>
      <w:proofErr w:type="spellStart"/>
      <w:r w:rsidRPr="00C32A38">
        <w:rPr>
          <w:rFonts w:ascii="Century Gothic" w:hAnsi="Century Gothic" w:cs="Arial"/>
          <w:i/>
          <w:lang w:val="es-ES"/>
        </w:rPr>
        <w:t>Dancoop</w:t>
      </w:r>
      <w:proofErr w:type="spellEnd"/>
      <w:r w:rsidRPr="00C32A38">
        <w:rPr>
          <w:rFonts w:ascii="Century Gothic" w:hAnsi="Century Gothic" w:cs="Arial"/>
          <w:i/>
          <w:lang w:val="es-ES"/>
        </w:rPr>
        <w:t xml:space="preserve"> y con las mismas Cooperativas ellas a su vez, con el Ministerio y con 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planteando el caso que si se retiran los recursos en su totalidad, se crearía un caos total.</w:t>
      </w:r>
    </w:p>
    <w:p w14:paraId="411E1B86"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 “(…)</w:t>
      </w:r>
    </w:p>
    <w:p w14:paraId="3B12A7DD"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55BEAE5D"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“Los créditos Puente no nos exige una liquidez inmediata.</w:t>
      </w:r>
    </w:p>
    <w:p w14:paraId="0F3400E7"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59134C99"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El problema es encontrar un mecanismo operativo conjunto</w:t>
      </w:r>
      <w:r w:rsidRPr="00C32A38">
        <w:rPr>
          <w:rFonts w:ascii="Century Gothic" w:hAnsi="Century Gothic" w:cs="Arial"/>
          <w:i/>
          <w:u w:val="single"/>
          <w:lang w:val="es-ES"/>
        </w:rPr>
        <w:t xml:space="preserve">, el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tiene que cumplir con el Plan de Desarrollo que le permita continuar trabajando con el sector cooperativo</w:t>
      </w:r>
      <w:r w:rsidRPr="00C32A38">
        <w:rPr>
          <w:rFonts w:ascii="Century Gothic" w:hAnsi="Century Gothic" w:cs="Arial"/>
          <w:i/>
          <w:lang w:val="es-ES"/>
        </w:rPr>
        <w:t>, cumpliendo con los parámetros de la política VIS, la realidad es que las Cooperativas financian el 70% de la economía informal (…)</w:t>
      </w:r>
    </w:p>
    <w:p w14:paraId="546E69A4"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 Las Fiduciarias no se pueden apartar de la responsabilidad de las inversiones, dado que existe una relación contractual y sobre la cual se lleva años desarrollando una gestión. </w:t>
      </w:r>
    </w:p>
    <w:p w14:paraId="2AD78D2C"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 </w:t>
      </w:r>
      <w:r w:rsidRPr="00C32A38">
        <w:rPr>
          <w:rFonts w:ascii="Century Gothic" w:hAnsi="Century Gothic" w:cs="Arial"/>
          <w:i/>
          <w:u w:val="single"/>
          <w:lang w:val="es-ES"/>
        </w:rPr>
        <w:t xml:space="preserve">Las inversiones están dadas </w:t>
      </w:r>
      <w:proofErr w:type="gramStart"/>
      <w:r w:rsidRPr="00C32A38">
        <w:rPr>
          <w:rFonts w:ascii="Century Gothic" w:hAnsi="Century Gothic" w:cs="Arial"/>
          <w:i/>
          <w:u w:val="single"/>
          <w:lang w:val="es-ES"/>
        </w:rPr>
        <w:t>de acuerdo a</w:t>
      </w:r>
      <w:proofErr w:type="gramEnd"/>
      <w:r w:rsidRPr="00C32A38">
        <w:rPr>
          <w:rFonts w:ascii="Century Gothic" w:hAnsi="Century Gothic" w:cs="Arial"/>
          <w:i/>
          <w:u w:val="single"/>
          <w:lang w:val="es-ES"/>
        </w:rPr>
        <w:t xml:space="preserve"> los intereses del Fideicomitente acorde con el desarrollo de la política de Vivienda y las fiduciarias efectuaron las inversiones</w:t>
      </w:r>
      <w:r w:rsidRPr="00C32A38">
        <w:rPr>
          <w:rFonts w:ascii="Century Gothic" w:hAnsi="Century Gothic" w:cs="Arial"/>
          <w:i/>
          <w:lang w:val="es-ES"/>
        </w:rPr>
        <w:t>.</w:t>
      </w:r>
    </w:p>
    <w:p w14:paraId="2A4FAD99"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4DC38D8A"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 </w:t>
      </w:r>
      <w:r w:rsidRPr="00C32A38">
        <w:rPr>
          <w:rFonts w:ascii="Century Gothic" w:hAnsi="Century Gothic" w:cs="Arial"/>
          <w:i/>
          <w:u w:val="single"/>
          <w:lang w:val="es-ES"/>
        </w:rPr>
        <w:t xml:space="preserve">Al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le corresponde rescatar las inversiones, para lo cual contrató los servicios de un abogado externo y solicitó al </w:t>
      </w:r>
      <w:proofErr w:type="spellStart"/>
      <w:r w:rsidRPr="00C32A38">
        <w:rPr>
          <w:rFonts w:ascii="Century Gothic" w:hAnsi="Century Gothic" w:cs="Arial"/>
          <w:i/>
          <w:u w:val="single"/>
          <w:lang w:val="es-ES"/>
        </w:rPr>
        <w:t>Dancoop</w:t>
      </w:r>
      <w:proofErr w:type="spellEnd"/>
      <w:r w:rsidRPr="00C32A38">
        <w:rPr>
          <w:rFonts w:ascii="Century Gothic" w:hAnsi="Century Gothic" w:cs="Arial"/>
          <w:i/>
          <w:u w:val="single"/>
          <w:lang w:val="es-ES"/>
        </w:rPr>
        <w:t xml:space="preserve"> dar prioridad a los recursos del Subsidio Familiar de Vivienda</w:t>
      </w:r>
      <w:r w:rsidRPr="00C32A38">
        <w:rPr>
          <w:rFonts w:ascii="Century Gothic" w:hAnsi="Century Gothic" w:cs="Arial"/>
          <w:i/>
          <w:lang w:val="es-ES"/>
        </w:rPr>
        <w:t>, a raíz de este problema el Gobierno está pendiente de sacar una serie de medidas que regulen las operaciones del sector Cooperativo en general (…).</w:t>
      </w:r>
    </w:p>
    <w:p w14:paraId="6219C17F"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 En el momento personas del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están interviniendo a cada una de las Cooperativas, estudiando la liquidez, como lo había anunciado en la reunión anterior, para poder decirle a las Fiduciarias la situación encontrada y las alternativas planteadas (…)</w:t>
      </w:r>
    </w:p>
    <w:p w14:paraId="1121013A"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 El Dr. Ríos </w:t>
      </w:r>
      <w:r w:rsidRPr="00C32A38">
        <w:rPr>
          <w:rFonts w:ascii="Century Gothic" w:hAnsi="Century Gothic" w:cs="Arial"/>
          <w:lang w:val="es-ES"/>
        </w:rPr>
        <w:t xml:space="preserve">[Gonzalo Ríos Ortiz, Asesor de Gerencia del </w:t>
      </w:r>
      <w:proofErr w:type="spellStart"/>
      <w:r w:rsidRPr="00C32A38">
        <w:rPr>
          <w:rFonts w:ascii="Century Gothic" w:hAnsi="Century Gothic" w:cs="Arial"/>
          <w:lang w:val="es-ES"/>
        </w:rPr>
        <w:t>Inurbe</w:t>
      </w:r>
      <w:proofErr w:type="spellEnd"/>
      <w:r w:rsidRPr="00C32A38">
        <w:rPr>
          <w:rFonts w:ascii="Century Gothic" w:hAnsi="Century Gothic" w:cs="Arial"/>
          <w:lang w:val="es-ES"/>
        </w:rPr>
        <w:t>]</w:t>
      </w:r>
      <w:r w:rsidRPr="00C32A38">
        <w:rPr>
          <w:rFonts w:ascii="Century Gothic" w:hAnsi="Century Gothic" w:cs="Arial"/>
          <w:i/>
          <w:lang w:val="es-ES"/>
        </w:rPr>
        <w:t xml:space="preserve"> solicita emprender una acción operativa y concertada entre las Fiduciarias y 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para tal fin propone lo siguiente:</w:t>
      </w:r>
    </w:p>
    <w:p w14:paraId="3A38CA9D"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2FC1B9E2"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“a) 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está de acuerdo en que las Fiduciarias deberían restablecer la comunicación con las Cooperativas y reiniciar el cobro </w:t>
      </w:r>
      <w:proofErr w:type="gramStart"/>
      <w:r w:rsidRPr="00C32A38">
        <w:rPr>
          <w:rFonts w:ascii="Century Gothic" w:hAnsi="Century Gothic" w:cs="Arial"/>
          <w:i/>
          <w:lang w:val="es-ES"/>
        </w:rPr>
        <w:t>de acuerdo a</w:t>
      </w:r>
      <w:proofErr w:type="gramEnd"/>
      <w:r w:rsidRPr="00C32A38">
        <w:rPr>
          <w:rFonts w:ascii="Century Gothic" w:hAnsi="Century Gothic" w:cs="Arial"/>
          <w:i/>
          <w:lang w:val="es-ES"/>
        </w:rPr>
        <w:t xml:space="preserve"> los plazos que tienen; así como 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lo ha hecho solamente en aras de conocer de primera mano, su situación financiera, de pago y de respuesta a morosidad en las inversiones.</w:t>
      </w:r>
    </w:p>
    <w:p w14:paraId="3604EC91"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lastRenderedPageBreak/>
        <w:t xml:space="preserve">“b) Establecer el plan de pagos que deben asumir las Cooperativas dado que, de la reunión con 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están decididas al pago. </w:t>
      </w:r>
    </w:p>
    <w:p w14:paraId="75F44BDE"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380F71A5"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4387934B"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“4. INTERVENCIÓN DE LAS FIDUCIARIAS</w:t>
      </w:r>
    </w:p>
    <w:p w14:paraId="432A819B"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50BAFD96"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Las Cooperativas han sido requeridas por instrucción de la Subgerencia Administrativa y Financiera para el cobro en los siguientes aspectos:</w:t>
      </w:r>
    </w:p>
    <w:p w14:paraId="309F3B02"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67A79B8F"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“a) Prorrogas que no se llevaron a cabo porque no cancelaron los intereses.</w:t>
      </w:r>
    </w:p>
    <w:p w14:paraId="2407A301"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“b) Plazos perentorios que no cumplieron.</w:t>
      </w:r>
    </w:p>
    <w:p w14:paraId="54051FF9"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63A87FA7"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“-Promover una reunión conjunta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Fiduciarias y Cooperativas y </w:t>
      </w:r>
      <w:proofErr w:type="gramStart"/>
      <w:r w:rsidRPr="00C32A38">
        <w:rPr>
          <w:rFonts w:ascii="Century Gothic" w:hAnsi="Century Gothic" w:cs="Arial"/>
          <w:i/>
          <w:lang w:val="es-ES"/>
        </w:rPr>
        <w:t>así dedicarles</w:t>
      </w:r>
      <w:proofErr w:type="gramEnd"/>
      <w:r w:rsidRPr="00C32A38">
        <w:rPr>
          <w:rFonts w:ascii="Century Gothic" w:hAnsi="Century Gothic" w:cs="Arial"/>
          <w:i/>
          <w:lang w:val="es-ES"/>
        </w:rPr>
        <w:t xml:space="preserve"> el tiempo necesario a fin de que no se dilate el problema.</w:t>
      </w:r>
    </w:p>
    <w:p w14:paraId="52360E98"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 Establecer una reunión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y Fiduciarias antes de ir a las Cooperativas, a fin de hacer un análisis previo para establecer la situación financiera y llevar a la Cooperativa la solución concreta y hasta donde se pueden comprometer los recursos (…)</w:t>
      </w:r>
    </w:p>
    <w:p w14:paraId="7EDAD0C1"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2B877FC4"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lang w:val="es-ES"/>
        </w:rPr>
        <w:t xml:space="preserve">“- </w:t>
      </w:r>
      <w:r w:rsidRPr="00C32A38">
        <w:rPr>
          <w:rFonts w:ascii="Century Gothic" w:hAnsi="Century Gothic" w:cs="Arial"/>
          <w:i/>
          <w:u w:val="single"/>
          <w:lang w:val="es-ES"/>
        </w:rPr>
        <w:t>Les preocupa la imagen de las Fiduciarias, a las cuales no les interesa estar involucradas en un problema de tipo Jurídico o Político.</w:t>
      </w:r>
    </w:p>
    <w:p w14:paraId="083D3B3A"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lang w:val="es-ES"/>
        </w:rPr>
        <w:t xml:space="preserve">“- </w:t>
      </w:r>
      <w:r w:rsidRPr="00C32A38">
        <w:rPr>
          <w:rFonts w:ascii="Century Gothic" w:hAnsi="Century Gothic" w:cs="Arial"/>
          <w:i/>
          <w:u w:val="single"/>
          <w:lang w:val="es-ES"/>
        </w:rPr>
        <w:t xml:space="preserve">Dado el carácter de la relación contractual con el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se hace necesario trabajar con un sector de alto riesgo.</w:t>
      </w:r>
    </w:p>
    <w:p w14:paraId="3015DC50"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 Al futuro hay que definir unas políticas de inversión para el sector Cooperativo, y revisar los contratos, porque allí estipula que quien hace las inversiones atendiendo los criterios de rentabilidad liquidez y seguridad son las fiduciarias. </w:t>
      </w:r>
    </w:p>
    <w:p w14:paraId="51B1C466"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 </w:t>
      </w:r>
      <w:r w:rsidRPr="00C32A38">
        <w:rPr>
          <w:rFonts w:ascii="Century Gothic" w:hAnsi="Century Gothic" w:cs="Arial"/>
          <w:i/>
          <w:u w:val="single"/>
          <w:lang w:val="es-ES"/>
        </w:rPr>
        <w:t>La operatividad de gestión de los contratos no va de la mano con lo que estipulan los contratos, ante esta dicotomía se deben revisar los contratos y estudiar la posibilidad de hacerles un otrosí.</w:t>
      </w:r>
    </w:p>
    <w:p w14:paraId="2BC86701"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 </w:t>
      </w:r>
      <w:r w:rsidRPr="00C32A38">
        <w:rPr>
          <w:rFonts w:ascii="Century Gothic" w:hAnsi="Century Gothic" w:cs="Arial"/>
          <w:i/>
          <w:u w:val="single"/>
          <w:lang w:val="es-ES"/>
        </w:rPr>
        <w:t>No hay opción en los contratos de trabajar o no con el sector Cooperativo</w:t>
      </w:r>
      <w:r w:rsidRPr="00C32A38">
        <w:rPr>
          <w:rFonts w:ascii="Century Gothic" w:hAnsi="Century Gothic" w:cs="Arial"/>
          <w:i/>
          <w:lang w:val="es-ES"/>
        </w:rPr>
        <w:t>.</w:t>
      </w:r>
    </w:p>
    <w:p w14:paraId="4224650F" w14:textId="77777777" w:rsidR="00C32A38" w:rsidRPr="00C32A38" w:rsidRDefault="00C32A38" w:rsidP="00C32A38">
      <w:pPr>
        <w:tabs>
          <w:tab w:val="center" w:pos="4136"/>
        </w:tabs>
        <w:spacing w:after="0" w:line="276" w:lineRule="auto"/>
        <w:ind w:left="567" w:right="567"/>
        <w:jc w:val="both"/>
        <w:rPr>
          <w:rFonts w:ascii="Century Gothic" w:hAnsi="Century Gothic" w:cs="Arial"/>
          <w:i/>
          <w:u w:val="single"/>
          <w:lang w:val="es-ES"/>
        </w:rPr>
      </w:pPr>
      <w:r w:rsidRPr="00C32A38">
        <w:rPr>
          <w:rFonts w:ascii="Century Gothic" w:hAnsi="Century Gothic" w:cs="Arial"/>
          <w:i/>
          <w:lang w:val="es-ES"/>
        </w:rPr>
        <w:t xml:space="preserve">“- </w:t>
      </w:r>
      <w:r w:rsidRPr="00C32A38">
        <w:rPr>
          <w:rFonts w:ascii="Century Gothic" w:hAnsi="Century Gothic" w:cs="Arial"/>
          <w:i/>
          <w:u w:val="single"/>
          <w:lang w:val="es-ES"/>
        </w:rPr>
        <w:t xml:space="preserve">Definir políticas de inversión rigurosas para trabajar con el sector Cooperativo, que den mayor seguridad tanto al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como a las Fiduciarias (…)</w:t>
      </w:r>
    </w:p>
    <w:p w14:paraId="0945C62C" w14:textId="77777777" w:rsidR="00C32A38" w:rsidRPr="00C32A38" w:rsidRDefault="00C32A38" w:rsidP="00C32A38">
      <w:pPr>
        <w:tabs>
          <w:tab w:val="center" w:pos="4136"/>
        </w:tabs>
        <w:spacing w:after="0" w:line="276" w:lineRule="auto"/>
        <w:ind w:left="567" w:right="567"/>
        <w:jc w:val="both"/>
        <w:rPr>
          <w:rFonts w:ascii="Century Gothic" w:hAnsi="Century Gothic" w:cs="Arial"/>
          <w:u w:val="single"/>
          <w:lang w:val="es-ES"/>
        </w:rPr>
      </w:pPr>
      <w:r w:rsidRPr="00C32A38">
        <w:rPr>
          <w:rFonts w:ascii="Century Gothic" w:hAnsi="Century Gothic" w:cs="Arial"/>
          <w:i/>
          <w:lang w:val="es-ES"/>
        </w:rPr>
        <w:t xml:space="preserve">“- </w:t>
      </w:r>
      <w:r w:rsidRPr="00C32A38">
        <w:rPr>
          <w:rFonts w:ascii="Century Gothic" w:hAnsi="Century Gothic" w:cs="Arial"/>
          <w:i/>
          <w:u w:val="single"/>
          <w:lang w:val="es-ES"/>
        </w:rPr>
        <w:t xml:space="preserve">Si a futuro la política es continuar con el sector Cooperativo, con parámetros de la Junta Directiva del </w:t>
      </w:r>
      <w:proofErr w:type="spellStart"/>
      <w:r w:rsidRPr="00C32A38">
        <w:rPr>
          <w:rFonts w:ascii="Century Gothic" w:hAnsi="Century Gothic" w:cs="Arial"/>
          <w:i/>
          <w:u w:val="single"/>
          <w:lang w:val="es-ES"/>
        </w:rPr>
        <w:t>Inurbe</w:t>
      </w:r>
      <w:proofErr w:type="spellEnd"/>
      <w:r w:rsidRPr="00C32A38">
        <w:rPr>
          <w:rFonts w:ascii="Century Gothic" w:hAnsi="Century Gothic" w:cs="Arial"/>
          <w:i/>
          <w:u w:val="single"/>
          <w:lang w:val="es-ES"/>
        </w:rPr>
        <w:t xml:space="preserve"> y si están a nivel legal, se debería adecuar los contratos a lo que en realidad es el esquema operativo de las inversiones en los Fideicomisos, dado que la Fiduciaria no tendría poder </w:t>
      </w:r>
      <w:proofErr w:type="spellStart"/>
      <w:r w:rsidRPr="00C32A38">
        <w:rPr>
          <w:rFonts w:ascii="Century Gothic" w:hAnsi="Century Gothic" w:cs="Arial"/>
          <w:i/>
          <w:u w:val="single"/>
          <w:lang w:val="es-ES"/>
        </w:rPr>
        <w:t>deliberatorio</w:t>
      </w:r>
      <w:proofErr w:type="spellEnd"/>
      <w:r w:rsidRPr="00C32A38">
        <w:rPr>
          <w:rFonts w:ascii="Century Gothic" w:hAnsi="Century Gothic" w:cs="Arial"/>
          <w:i/>
          <w:lang w:val="es-ES"/>
        </w:rPr>
        <w:t>”</w:t>
      </w:r>
      <w:r w:rsidRPr="00C32A38">
        <w:rPr>
          <w:rFonts w:ascii="Century Gothic" w:hAnsi="Century Gothic" w:cs="Arial"/>
          <w:lang w:val="es-ES"/>
        </w:rPr>
        <w:t xml:space="preserve"> (subrayado fuera del original).</w:t>
      </w:r>
    </w:p>
    <w:p w14:paraId="54D031AB" w14:textId="77777777" w:rsidR="00C32A38" w:rsidRPr="00C32A38" w:rsidRDefault="00C32A38" w:rsidP="00C32A38">
      <w:pPr>
        <w:tabs>
          <w:tab w:val="center" w:pos="4136"/>
        </w:tabs>
        <w:spacing w:after="0" w:line="360" w:lineRule="auto"/>
        <w:jc w:val="both"/>
        <w:rPr>
          <w:rFonts w:ascii="Century Gothic" w:hAnsi="Century Gothic" w:cs="Arial"/>
          <w:sz w:val="24"/>
          <w:szCs w:val="24"/>
          <w:lang w:val="es-ES"/>
        </w:rPr>
      </w:pPr>
    </w:p>
    <w:p w14:paraId="520E42FD" w14:textId="77777777" w:rsidR="00C32A38" w:rsidRPr="00C32A38" w:rsidRDefault="00C32A38" w:rsidP="00C32A38">
      <w:pPr>
        <w:tabs>
          <w:tab w:val="center" w:pos="4136"/>
        </w:tabs>
        <w:spacing w:after="0" w:line="360" w:lineRule="auto"/>
        <w:jc w:val="both"/>
        <w:rPr>
          <w:rFonts w:ascii="Century Gothic" w:hAnsi="Century Gothic" w:cs="Arial"/>
          <w:b/>
          <w:sz w:val="24"/>
          <w:szCs w:val="24"/>
          <w:lang w:val="es-ES"/>
        </w:rPr>
      </w:pPr>
      <w:r w:rsidRPr="00C32A38">
        <w:rPr>
          <w:rFonts w:ascii="Century Gothic" w:hAnsi="Century Gothic" w:cs="Arial"/>
          <w:b/>
          <w:sz w:val="24"/>
          <w:szCs w:val="24"/>
          <w:lang w:val="es-ES"/>
        </w:rPr>
        <w:t>2.2.4. Informes y advertencias sobre la inconveniencia de invertir en las cooperativas</w:t>
      </w:r>
    </w:p>
    <w:p w14:paraId="082CC3E6" w14:textId="77777777" w:rsidR="00C32A38" w:rsidRPr="00C32A38" w:rsidRDefault="00C32A38" w:rsidP="00C32A38">
      <w:pPr>
        <w:tabs>
          <w:tab w:val="center" w:pos="4136"/>
        </w:tabs>
        <w:spacing w:after="0" w:line="360" w:lineRule="auto"/>
        <w:jc w:val="both"/>
        <w:rPr>
          <w:rFonts w:ascii="Century Gothic" w:hAnsi="Century Gothic" w:cs="Arial"/>
          <w:b/>
          <w:sz w:val="24"/>
          <w:szCs w:val="24"/>
          <w:lang w:val="es-ES"/>
        </w:rPr>
      </w:pPr>
    </w:p>
    <w:p w14:paraId="3863F5D1" w14:textId="77777777" w:rsidR="00C32A38" w:rsidRPr="00C32A38" w:rsidRDefault="00C32A38" w:rsidP="00C32A38">
      <w:pPr>
        <w:numPr>
          <w:ilvl w:val="0"/>
          <w:numId w:val="12"/>
        </w:numPr>
        <w:tabs>
          <w:tab w:val="center" w:pos="567"/>
        </w:tabs>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En el desarrollo de los anteriores contratos de Fiducia, entre los cuales se encuentra el de fiducia pública 103/95, ante la situación de debilidad del sector solidario,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contrató una auditoría externa con la compañía Arthur </w:t>
      </w:r>
      <w:r w:rsidRPr="00C32A38">
        <w:rPr>
          <w:rFonts w:ascii="Century Gothic" w:hAnsi="Century Gothic" w:cs="Arial"/>
          <w:sz w:val="24"/>
          <w:szCs w:val="24"/>
          <w:lang w:val="es-ES"/>
        </w:rPr>
        <w:lastRenderedPageBreak/>
        <w:t xml:space="preserve">Andersen para la </w:t>
      </w:r>
      <w:r w:rsidRPr="00C32A38">
        <w:rPr>
          <w:rFonts w:ascii="Century Gothic" w:hAnsi="Century Gothic" w:cs="Arial"/>
          <w:i/>
          <w:sz w:val="24"/>
          <w:szCs w:val="24"/>
          <w:lang w:val="es-ES"/>
        </w:rPr>
        <w:t>“revisión al manejo del apalancamiento financiero a las cooperativas”</w:t>
      </w:r>
      <w:r w:rsidRPr="00C32A38">
        <w:rPr>
          <w:rFonts w:ascii="Century Gothic" w:hAnsi="Century Gothic" w:cs="Arial"/>
          <w:i/>
          <w:sz w:val="24"/>
          <w:szCs w:val="24"/>
          <w:vertAlign w:val="superscript"/>
          <w:lang w:val="es-ES"/>
        </w:rPr>
        <w:footnoteReference w:id="49"/>
      </w:r>
      <w:r w:rsidRPr="00C32A38">
        <w:rPr>
          <w:rFonts w:ascii="Century Gothic" w:hAnsi="Century Gothic" w:cs="Arial"/>
          <w:sz w:val="24"/>
          <w:szCs w:val="24"/>
          <w:lang w:val="es-ES"/>
        </w:rPr>
        <w:t>. En marzo de 1996</w:t>
      </w:r>
      <w:r w:rsidRPr="00C32A38">
        <w:rPr>
          <w:rFonts w:ascii="Century Gothic" w:hAnsi="Century Gothic" w:cs="Arial"/>
          <w:sz w:val="24"/>
          <w:szCs w:val="24"/>
          <w:vertAlign w:val="superscript"/>
          <w:lang w:val="es-ES"/>
        </w:rPr>
        <w:footnoteReference w:id="50"/>
      </w:r>
      <w:r w:rsidRPr="00C32A38">
        <w:rPr>
          <w:rFonts w:ascii="Century Gothic" w:hAnsi="Century Gothic" w:cs="Arial"/>
          <w:sz w:val="24"/>
          <w:szCs w:val="24"/>
          <w:lang w:val="es-ES"/>
        </w:rPr>
        <w:t xml:space="preserve"> le fue entregado a la entidad un informe final como producto del anterior trabajo, del que se destacan los siguientes apartes (se trascribe):</w:t>
      </w:r>
    </w:p>
    <w:p w14:paraId="6DDA33A8" w14:textId="77777777" w:rsidR="00C32A38" w:rsidRPr="00C32A38" w:rsidRDefault="00C32A38" w:rsidP="00C32A38">
      <w:pPr>
        <w:tabs>
          <w:tab w:val="center" w:pos="4136"/>
        </w:tabs>
        <w:spacing w:after="0" w:line="360" w:lineRule="auto"/>
        <w:jc w:val="both"/>
        <w:rPr>
          <w:rFonts w:ascii="Century Gothic" w:hAnsi="Century Gothic" w:cs="Arial"/>
          <w:sz w:val="24"/>
          <w:szCs w:val="24"/>
          <w:lang w:val="es-ES"/>
        </w:rPr>
      </w:pPr>
    </w:p>
    <w:p w14:paraId="66FCA0FA"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lang w:val="es-ES"/>
        </w:rPr>
        <w:t>“</w:t>
      </w:r>
      <w:r w:rsidRPr="00C32A38">
        <w:rPr>
          <w:rFonts w:ascii="Century Gothic" w:hAnsi="Century Gothic" w:cs="Arial"/>
          <w:i/>
          <w:lang w:val="es-ES"/>
        </w:rPr>
        <w:t xml:space="preserve">Como conclusión de este trabajo </w:t>
      </w:r>
      <w:r w:rsidRPr="00C32A38">
        <w:rPr>
          <w:rFonts w:ascii="Century Gothic" w:hAnsi="Century Gothic" w:cs="Arial"/>
          <w:i/>
          <w:u w:val="single"/>
          <w:lang w:val="es-ES"/>
        </w:rPr>
        <w:t>recomendamos la eliminación gradual del procedimiento de Crédito Puente a través de cooperativas como mecanismo para financiar directamente los programas de vivienda de interés social</w:t>
      </w:r>
      <w:r w:rsidRPr="00C32A38">
        <w:rPr>
          <w:rFonts w:ascii="Century Gothic" w:hAnsi="Century Gothic" w:cs="Arial"/>
          <w:i/>
          <w:lang w:val="es-ES"/>
        </w:rPr>
        <w:t xml:space="preserve"> (…)</w:t>
      </w:r>
    </w:p>
    <w:p w14:paraId="04B874DC"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3367CDD3"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“2. </w:t>
      </w:r>
      <w:r w:rsidRPr="00C32A38">
        <w:rPr>
          <w:rFonts w:ascii="Century Gothic" w:hAnsi="Century Gothic" w:cs="Arial"/>
          <w:i/>
          <w:u w:val="single"/>
          <w:lang w:val="es-ES"/>
        </w:rPr>
        <w:t>Si INURBE considera prudente continuar trabajando con Cooperativas, es necesario efectuar permanente seguimiento a la evolución de los indicadores financieros establecidos en este documento.</w:t>
      </w:r>
      <w:r w:rsidRPr="00C32A38">
        <w:rPr>
          <w:rFonts w:ascii="Century Gothic" w:hAnsi="Century Gothic" w:cs="Arial"/>
          <w:i/>
          <w:lang w:val="es-ES"/>
        </w:rPr>
        <w:t xml:space="preserve"> Recomendamos seleccionar entre las Cooperativas, las entidades que ofrezcan respaldo al INURBE y tomar la decisión de suspender nuevos créditos con aquellas Cooperativas que muestren deterioros en sus indicadores” </w:t>
      </w:r>
      <w:r w:rsidRPr="00C32A38">
        <w:rPr>
          <w:rFonts w:ascii="Century Gothic" w:hAnsi="Century Gothic" w:cs="Arial"/>
          <w:lang w:val="es-ES"/>
        </w:rPr>
        <w:t>(subrayado fuera del original)</w:t>
      </w:r>
      <w:r w:rsidRPr="00C32A38">
        <w:rPr>
          <w:rFonts w:ascii="Century Gothic" w:hAnsi="Century Gothic" w:cs="Arial"/>
          <w:i/>
          <w:lang w:val="es-ES"/>
        </w:rPr>
        <w:t xml:space="preserve">. </w:t>
      </w:r>
    </w:p>
    <w:p w14:paraId="304FF072" w14:textId="77777777" w:rsidR="00C32A38" w:rsidRPr="00C32A38" w:rsidRDefault="00C32A38" w:rsidP="00C32A38">
      <w:pPr>
        <w:tabs>
          <w:tab w:val="center" w:pos="4136"/>
        </w:tabs>
        <w:spacing w:after="0" w:line="360" w:lineRule="auto"/>
        <w:jc w:val="both"/>
        <w:rPr>
          <w:rFonts w:ascii="Century Gothic" w:hAnsi="Century Gothic" w:cs="Arial"/>
          <w:sz w:val="24"/>
          <w:szCs w:val="24"/>
          <w:lang w:val="es-ES"/>
        </w:rPr>
      </w:pPr>
    </w:p>
    <w:p w14:paraId="05C80242" w14:textId="77777777" w:rsidR="00C32A38" w:rsidRPr="00C32A38" w:rsidRDefault="00C32A38" w:rsidP="00C32A38">
      <w:pPr>
        <w:numPr>
          <w:ilvl w:val="0"/>
          <w:numId w:val="12"/>
        </w:numPr>
        <w:tabs>
          <w:tab w:val="center" w:pos="567"/>
        </w:tabs>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En un sentido similar, el 30 de abril de 1997 el Instituto de Fomento Industrial remitió al Ministro de Desarrollo un informe que tenía por finalidad </w:t>
      </w:r>
      <w:r w:rsidRPr="00C32A38">
        <w:rPr>
          <w:rFonts w:ascii="Century Gothic" w:hAnsi="Century Gothic" w:cs="Arial"/>
          <w:i/>
          <w:sz w:val="24"/>
          <w:szCs w:val="24"/>
          <w:lang w:val="es-ES"/>
        </w:rPr>
        <w:t xml:space="preserve">“identificar la estructura organizacional de la entidad </w:t>
      </w:r>
      <w:r w:rsidRPr="00C32A38">
        <w:rPr>
          <w:rFonts w:ascii="Century Gothic" w:hAnsi="Century Gothic" w:cs="Arial"/>
          <w:sz w:val="24"/>
          <w:szCs w:val="24"/>
          <w:lang w:val="es-ES"/>
        </w:rPr>
        <w:t xml:space="preserve">[el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w:t>
      </w:r>
      <w:r w:rsidRPr="00C32A38">
        <w:rPr>
          <w:rFonts w:ascii="Century Gothic" w:hAnsi="Century Gothic" w:cs="Arial"/>
          <w:i/>
          <w:sz w:val="24"/>
          <w:szCs w:val="24"/>
          <w:lang w:val="es-ES"/>
        </w:rPr>
        <w:t>, verificar el cumplimiento de normas legales y estatutos respecto a la administración del subsidio familiar de vivienda, evaluar el manejo financiero y administrativo y los procedimientos de inversión”</w:t>
      </w:r>
      <w:r w:rsidRPr="00C32A38">
        <w:rPr>
          <w:rFonts w:ascii="Century Gothic" w:hAnsi="Century Gothic" w:cs="Arial"/>
          <w:i/>
          <w:sz w:val="24"/>
          <w:szCs w:val="24"/>
          <w:vertAlign w:val="superscript"/>
          <w:lang w:val="es-ES"/>
        </w:rPr>
        <w:footnoteReference w:id="51"/>
      </w:r>
      <w:r w:rsidRPr="00C32A38">
        <w:rPr>
          <w:rFonts w:ascii="Century Gothic" w:hAnsi="Century Gothic" w:cs="Arial"/>
          <w:i/>
          <w:sz w:val="24"/>
          <w:szCs w:val="24"/>
          <w:lang w:val="es-ES"/>
        </w:rPr>
        <w:t xml:space="preserve">. </w:t>
      </w:r>
      <w:r w:rsidRPr="00C32A38">
        <w:rPr>
          <w:rFonts w:ascii="Century Gothic" w:hAnsi="Century Gothic" w:cs="Arial"/>
          <w:sz w:val="24"/>
          <w:szCs w:val="24"/>
          <w:lang w:val="es-ES"/>
        </w:rPr>
        <w:t>De los anteriores documentos —comunicación e informe— se resalta lo siguiente (se trascribe):</w:t>
      </w:r>
    </w:p>
    <w:p w14:paraId="650B6455" w14:textId="77777777" w:rsidR="00C32A38" w:rsidRPr="00C32A38" w:rsidRDefault="00C32A38" w:rsidP="00C32A38">
      <w:pPr>
        <w:tabs>
          <w:tab w:val="center" w:pos="4136"/>
        </w:tabs>
        <w:spacing w:after="0" w:line="360" w:lineRule="auto"/>
        <w:jc w:val="both"/>
        <w:rPr>
          <w:rFonts w:ascii="Century Gothic" w:hAnsi="Century Gothic" w:cs="Arial"/>
          <w:sz w:val="24"/>
          <w:szCs w:val="24"/>
          <w:lang w:val="es-ES"/>
        </w:rPr>
      </w:pPr>
    </w:p>
    <w:p w14:paraId="0115003A"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lang w:val="es-ES"/>
        </w:rPr>
        <w:t>“</w:t>
      </w:r>
      <w:r w:rsidRPr="00C32A38">
        <w:rPr>
          <w:rFonts w:ascii="Century Gothic" w:hAnsi="Century Gothic" w:cs="Arial"/>
          <w:i/>
          <w:lang w:val="es-ES"/>
        </w:rPr>
        <w:t xml:space="preserve">1. 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adoptó procedimientos de inversión de alto riesgo para el manejo del portafolio de inversiones. </w:t>
      </w:r>
      <w:r w:rsidRPr="00C32A38">
        <w:rPr>
          <w:rFonts w:ascii="Century Gothic" w:hAnsi="Century Gothic" w:cs="Arial"/>
          <w:i/>
          <w:u w:val="single"/>
          <w:lang w:val="es-ES"/>
        </w:rPr>
        <w:t>La colocación de recursos se concentró en las decisiones del Subgerente Administrativo y Financiero, Dr. Armando Caicedo C., con la autorización del Gerente General, Dr. Armando Moncaleano.</w:t>
      </w:r>
    </w:p>
    <w:p w14:paraId="1DB66167"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“2. </w:t>
      </w:r>
      <w:r w:rsidRPr="00C32A38">
        <w:rPr>
          <w:rFonts w:ascii="Century Gothic" w:hAnsi="Century Gothic" w:cs="Arial"/>
          <w:i/>
          <w:u w:val="single"/>
          <w:lang w:val="es-ES"/>
        </w:rPr>
        <w:t xml:space="preserve">La colocación de recursos se orientó de manera evidente hacia el sector cooperativo, concentrándose en unas pocas instituciones. </w:t>
      </w:r>
    </w:p>
    <w:p w14:paraId="78C365F6"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Las cooperativas participan actualmente con algo más del 70% de la estructura del portafolio. Son notorias las dificultades financieras y administrativas por las que atraviesan varias de las entidades en las que 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tiene sus recursos. No hay un riguroso y sistemático estudio administrativo y financiero de estas entidades, por tal razón los riesgos asociados a la inversión no son valorados oportuna, suficiente y técnicamente. </w:t>
      </w:r>
    </w:p>
    <w:p w14:paraId="7B2B86E3"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4FE2A614"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 “b) La gestión de las fiduciarias no viene cumpliendo la esencia de la fiducia ni las condiciones de los contratos por cuanto permitían que 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w:t>
      </w:r>
      <w:r w:rsidRPr="00C32A38">
        <w:rPr>
          <w:rFonts w:ascii="Century Gothic" w:hAnsi="Century Gothic" w:cs="Arial"/>
          <w:i/>
          <w:lang w:val="es-ES"/>
        </w:rPr>
        <w:lastRenderedPageBreak/>
        <w:t>definiera en qué institución debían colocar los recursos, pactara las condiciones generales y autorizara las operaciones especiales como renovaciones y plazos adicionales para pagos de capital y de intereses de títulos, por ello, la función del fiduciario se limitaba a la parte operativa (…)</w:t>
      </w:r>
    </w:p>
    <w:p w14:paraId="450A3198"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“En un periodo relativamente corto (junio/96 – marzo/97) se presentó una modificación muy sustancial en la estructura del portafolio. A junio se aprecia una elevada participación de los bancos (38%) y de las corporaciones de ahorro y vivienda (21%), a diciembre se incrementó en un 145% la inversión en cooperativas, llegando a una participación del 69% (…)</w:t>
      </w:r>
    </w:p>
    <w:p w14:paraId="331D7660"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“En conclusión el riesgo del portafolio colocado en las cooperativas, es cada día mayor, dadas las situaciones siguientes:</w:t>
      </w:r>
    </w:p>
    <w:p w14:paraId="0C5318C5"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“1</w:t>
      </w:r>
      <w:r w:rsidRPr="00C32A38">
        <w:rPr>
          <w:rFonts w:ascii="Century Gothic" w:hAnsi="Century Gothic" w:cs="Arial"/>
          <w:i/>
          <w:u w:val="single"/>
          <w:lang w:val="es-ES"/>
        </w:rPr>
        <w:t>. Las condiciones generales de colocación en todos los casos examinados las definía el Subgerente Administrativo y Financiero, Dr. Armando Caicedo C., quien daba las instrucciones autorizado por el Gerente General, Dr. Armando Moncaleano</w:t>
      </w:r>
      <w:r w:rsidRPr="00C32A38">
        <w:rPr>
          <w:rFonts w:ascii="Century Gothic" w:hAnsi="Century Gothic" w:cs="Arial"/>
          <w:i/>
          <w:lang w:val="es-ES"/>
        </w:rPr>
        <w:t xml:space="preserve"> (…)” </w:t>
      </w:r>
      <w:r w:rsidRPr="00C32A38">
        <w:rPr>
          <w:rFonts w:ascii="Century Gothic" w:hAnsi="Century Gothic" w:cs="Arial"/>
          <w:lang w:val="es-ES"/>
        </w:rPr>
        <w:t>(subrayado fuera del original)</w:t>
      </w:r>
    </w:p>
    <w:p w14:paraId="6AE9F383" w14:textId="77777777" w:rsidR="00C32A38" w:rsidRPr="00C32A38" w:rsidRDefault="00C32A38" w:rsidP="00C32A38">
      <w:pPr>
        <w:tabs>
          <w:tab w:val="center" w:pos="4136"/>
        </w:tabs>
        <w:spacing w:after="0" w:line="360" w:lineRule="auto"/>
        <w:ind w:right="567"/>
        <w:jc w:val="both"/>
        <w:rPr>
          <w:rFonts w:ascii="Century Gothic" w:hAnsi="Century Gothic" w:cs="Arial"/>
          <w:sz w:val="24"/>
          <w:szCs w:val="24"/>
          <w:lang w:val="es-ES"/>
        </w:rPr>
      </w:pPr>
    </w:p>
    <w:p w14:paraId="2C2FE067" w14:textId="77777777" w:rsidR="00C32A38" w:rsidRPr="00C32A38" w:rsidRDefault="00C32A38" w:rsidP="00C32A38">
      <w:pPr>
        <w:numPr>
          <w:ilvl w:val="0"/>
          <w:numId w:val="12"/>
        </w:numPr>
        <w:tabs>
          <w:tab w:val="center" w:pos="567"/>
        </w:tabs>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Por último, el 5 de junio de 1997 la oficina de auditoría interna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remitió a la oficina de control interno disciplinario un informe en el que sugiere la apertura de investigación disciplinaria a varios funcionarios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vertAlign w:val="superscript"/>
          <w:lang w:val="es-ES"/>
        </w:rPr>
        <w:footnoteReference w:id="52"/>
      </w:r>
      <w:r w:rsidRPr="00C32A38">
        <w:rPr>
          <w:rFonts w:ascii="Century Gothic" w:hAnsi="Century Gothic" w:cs="Arial"/>
          <w:sz w:val="24"/>
          <w:szCs w:val="24"/>
          <w:lang w:val="es-ES"/>
        </w:rPr>
        <w:t>. De este documento se destaca (se trascribe):</w:t>
      </w:r>
    </w:p>
    <w:p w14:paraId="43C093FA" w14:textId="77777777" w:rsidR="00C32A38" w:rsidRPr="00C32A38" w:rsidRDefault="00C32A38" w:rsidP="00C32A38">
      <w:pPr>
        <w:tabs>
          <w:tab w:val="center" w:pos="4136"/>
        </w:tabs>
        <w:spacing w:after="0" w:line="360" w:lineRule="auto"/>
        <w:ind w:right="567"/>
        <w:jc w:val="both"/>
        <w:rPr>
          <w:rFonts w:ascii="Century Gothic" w:hAnsi="Century Gothic" w:cs="Arial"/>
          <w:sz w:val="24"/>
          <w:szCs w:val="24"/>
          <w:lang w:val="es-ES"/>
        </w:rPr>
      </w:pPr>
    </w:p>
    <w:p w14:paraId="4DF9BF60"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“1- Se encuentran $9.600 millones de pesos en poder de la Cooperativa Financiera Avancemos, la cual está intervenida por el Departamento Administrativo Nacional de Cooperativas –DANCOOP- (…)</w:t>
      </w:r>
    </w:p>
    <w:p w14:paraId="012FB2C0"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1DE9204E"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“2- </w:t>
      </w:r>
      <w:r w:rsidRPr="00C32A38">
        <w:rPr>
          <w:rFonts w:ascii="Century Gothic" w:hAnsi="Century Gothic" w:cs="Arial"/>
          <w:i/>
          <w:u w:val="single"/>
          <w:lang w:val="es-ES"/>
        </w:rPr>
        <w:t xml:space="preserve">Las autorizaciones de inversión que dieron origen al anterior monto, fueron ordenadas por el entonces Subgerente Administrativo y Financiero de INURBE, Doctor Armando Caicedo </w:t>
      </w:r>
      <w:proofErr w:type="spellStart"/>
      <w:r w:rsidRPr="00C32A38">
        <w:rPr>
          <w:rFonts w:ascii="Century Gothic" w:hAnsi="Century Gothic" w:cs="Arial"/>
          <w:i/>
          <w:u w:val="single"/>
          <w:lang w:val="es-ES"/>
        </w:rPr>
        <w:t>Caicedo</w:t>
      </w:r>
      <w:proofErr w:type="spellEnd"/>
      <w:r w:rsidRPr="00C32A38">
        <w:rPr>
          <w:rFonts w:ascii="Century Gothic" w:hAnsi="Century Gothic" w:cs="Arial"/>
          <w:i/>
          <w:u w:val="single"/>
          <w:lang w:val="es-ES"/>
        </w:rPr>
        <w:t xml:space="preserve"> y con el Vo. Bo. Del Gerente General Doctor Armando Moncaleano Montoya</w:t>
      </w:r>
      <w:r w:rsidRPr="00C32A38">
        <w:rPr>
          <w:rFonts w:ascii="Century Gothic" w:hAnsi="Century Gothic" w:cs="Arial"/>
          <w:i/>
          <w:lang w:val="es-ES"/>
        </w:rPr>
        <w:t>, quienes debieron solicitar antes de realizar dichas inversiones, los Estados Financieros de la Cooperativa, con el fin de hacer el estudio correspondiente para que mediante la aplicación de los Índices Financieros del caso, se estableciera la solidez y solvencia de la Institución a la cual se le depositaba el dinero.</w:t>
      </w:r>
    </w:p>
    <w:p w14:paraId="13891ECA"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0E6EF12F"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“3- </w:t>
      </w:r>
      <w:r w:rsidRPr="00C32A38">
        <w:rPr>
          <w:rFonts w:ascii="Century Gothic" w:hAnsi="Century Gothic" w:cs="Arial"/>
          <w:i/>
          <w:u w:val="single"/>
          <w:lang w:val="es-ES"/>
        </w:rPr>
        <w:t xml:space="preserve">Se desconoció por parte de la Subgerencia Administrativa y Financiera, encargada del Control Fiduciario, lo recomendado por la Oficina de Auditoría Interna y la firma Arthur Andersen, quienes en </w:t>
      </w:r>
      <w:proofErr w:type="gramStart"/>
      <w:r w:rsidRPr="00C32A38">
        <w:rPr>
          <w:rFonts w:ascii="Century Gothic" w:hAnsi="Century Gothic" w:cs="Arial"/>
          <w:i/>
          <w:u w:val="single"/>
          <w:lang w:val="es-ES"/>
        </w:rPr>
        <w:t>Marzo</w:t>
      </w:r>
      <w:proofErr w:type="gramEnd"/>
      <w:r w:rsidRPr="00C32A38">
        <w:rPr>
          <w:rFonts w:ascii="Century Gothic" w:hAnsi="Century Gothic" w:cs="Arial"/>
          <w:i/>
          <w:u w:val="single"/>
          <w:lang w:val="es-ES"/>
        </w:rPr>
        <w:t xml:space="preserve"> de 1.996 adelantaron una evaluación al procedimiento de apalancamiento financiero a las cooperativas, estudio en el cual se hicieron una serie de conclusiones, que no fueron tomadas en cuenta al efectuar los anteriores desembolso</w:t>
      </w:r>
      <w:r w:rsidRPr="00C32A38">
        <w:rPr>
          <w:rFonts w:ascii="Century Gothic" w:hAnsi="Century Gothic" w:cs="Arial"/>
          <w:i/>
          <w:lang w:val="es-ES"/>
        </w:rPr>
        <w:t xml:space="preserve">s </w:t>
      </w:r>
    </w:p>
    <w:p w14:paraId="51273FF9"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69CE15E0"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222A0F70"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p>
    <w:p w14:paraId="429F0617" w14:textId="77777777" w:rsidR="00C32A38" w:rsidRPr="00C32A38" w:rsidRDefault="00C32A38" w:rsidP="00C32A38">
      <w:pPr>
        <w:tabs>
          <w:tab w:val="center" w:pos="4136"/>
        </w:tabs>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“Por lo anterior esta Oficina recomienda se abra Investigación Disciplinaria al Doctor Armando Moncaleano Montoya y al Doctor Armando Caicedo </w:t>
      </w:r>
      <w:proofErr w:type="spellStart"/>
      <w:r w:rsidRPr="00C32A38">
        <w:rPr>
          <w:rFonts w:ascii="Century Gothic" w:hAnsi="Century Gothic" w:cs="Arial"/>
          <w:i/>
          <w:lang w:val="es-ES"/>
        </w:rPr>
        <w:lastRenderedPageBreak/>
        <w:t>Caicedo</w:t>
      </w:r>
      <w:proofErr w:type="spellEnd"/>
      <w:r w:rsidRPr="00C32A38">
        <w:rPr>
          <w:rFonts w:ascii="Century Gothic" w:hAnsi="Century Gothic" w:cs="Arial"/>
          <w:i/>
          <w:lang w:val="es-ES"/>
        </w:rPr>
        <w:t xml:space="preserve"> así como a todos aquellos funcionarios que directa o indirectamente hayan tenido responsabilidad con lo anteriormente mencionado, estableciendo los cargos del caso y tomando las medidas disciplinarias a que haya lugar” </w:t>
      </w:r>
      <w:r w:rsidRPr="00C32A38">
        <w:rPr>
          <w:rFonts w:ascii="Century Gothic" w:hAnsi="Century Gothic" w:cs="Arial"/>
          <w:lang w:val="es-ES"/>
        </w:rPr>
        <w:t>(subrayado y resaltado fuera del original)</w:t>
      </w:r>
      <w:r w:rsidRPr="00C32A38">
        <w:rPr>
          <w:rFonts w:ascii="Century Gothic" w:hAnsi="Century Gothic" w:cs="Arial"/>
          <w:i/>
          <w:lang w:val="es-ES"/>
        </w:rPr>
        <w:t>.</w:t>
      </w:r>
    </w:p>
    <w:p w14:paraId="69B9885B" w14:textId="77777777" w:rsidR="00C32A38" w:rsidRPr="00C32A38" w:rsidRDefault="00C32A38" w:rsidP="00C32A38">
      <w:pPr>
        <w:tabs>
          <w:tab w:val="center" w:pos="4136"/>
        </w:tabs>
        <w:spacing w:after="0" w:line="360" w:lineRule="auto"/>
        <w:ind w:right="567"/>
        <w:jc w:val="both"/>
        <w:rPr>
          <w:rFonts w:ascii="Century Gothic" w:hAnsi="Century Gothic" w:cs="Arial"/>
          <w:sz w:val="24"/>
          <w:szCs w:val="24"/>
          <w:lang w:val="es-ES"/>
        </w:rPr>
      </w:pPr>
    </w:p>
    <w:p w14:paraId="0DB0E966" w14:textId="77777777" w:rsidR="00C32A38" w:rsidRPr="00C32A38" w:rsidRDefault="00C32A38" w:rsidP="00C32A38">
      <w:pPr>
        <w:tabs>
          <w:tab w:val="center" w:pos="4136"/>
        </w:tabs>
        <w:spacing w:after="0" w:line="360" w:lineRule="auto"/>
        <w:ind w:right="51"/>
        <w:jc w:val="both"/>
        <w:rPr>
          <w:rFonts w:ascii="Century Gothic" w:hAnsi="Century Gothic" w:cs="Arial"/>
          <w:b/>
          <w:sz w:val="24"/>
          <w:szCs w:val="24"/>
          <w:lang w:val="es-ES"/>
        </w:rPr>
      </w:pPr>
      <w:r w:rsidRPr="00C32A38">
        <w:rPr>
          <w:rFonts w:ascii="Century Gothic" w:hAnsi="Century Gothic" w:cs="Arial"/>
          <w:b/>
          <w:sz w:val="24"/>
          <w:szCs w:val="24"/>
          <w:lang w:val="es-ES"/>
        </w:rPr>
        <w:t>2.2.5. Actuaciones posteriores al plazo de ejecución del contrato de naturaleza penal, fiscal y disciplinaria</w:t>
      </w:r>
      <w:r w:rsidRPr="00C32A38">
        <w:rPr>
          <w:rFonts w:ascii="Century Gothic" w:hAnsi="Century Gothic" w:cs="Arial"/>
          <w:sz w:val="24"/>
          <w:szCs w:val="24"/>
          <w:vertAlign w:val="superscript"/>
          <w:lang w:val="es-ES"/>
        </w:rPr>
        <w:footnoteReference w:id="53"/>
      </w:r>
    </w:p>
    <w:p w14:paraId="56F69577"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A raíz de la inversión en Cooperativas que, posteriormente, incumplieron el pago de los </w:t>
      </w:r>
      <w:proofErr w:type="spellStart"/>
      <w:r w:rsidRPr="00C32A38">
        <w:rPr>
          <w:rFonts w:ascii="Century Gothic" w:hAnsi="Century Gothic" w:cs="Arial"/>
          <w:sz w:val="24"/>
          <w:szCs w:val="24"/>
          <w:lang w:val="es-ES"/>
        </w:rPr>
        <w:t>CDATs</w:t>
      </w:r>
      <w:proofErr w:type="spellEnd"/>
      <w:r w:rsidRPr="00C32A38">
        <w:rPr>
          <w:rFonts w:ascii="Century Gothic" w:hAnsi="Century Gothic" w:cs="Arial"/>
          <w:sz w:val="24"/>
          <w:szCs w:val="24"/>
          <w:lang w:val="es-ES"/>
        </w:rPr>
        <w:t xml:space="preserve">, se adelantó un proceso penal en el que fueron condenados varios funcionarios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por el delito de peculado por apropiación en favor de terceros.</w:t>
      </w:r>
    </w:p>
    <w:p w14:paraId="4CD0E4E6" w14:textId="77777777" w:rsidR="00C32A38" w:rsidRPr="00C32A38" w:rsidRDefault="00C32A38" w:rsidP="00C32A38">
      <w:pPr>
        <w:spacing w:after="0" w:line="360" w:lineRule="auto"/>
        <w:jc w:val="both"/>
        <w:rPr>
          <w:rFonts w:ascii="Century Gothic" w:hAnsi="Century Gothic" w:cs="Arial"/>
          <w:sz w:val="24"/>
          <w:szCs w:val="24"/>
          <w:lang w:val="es-ES"/>
        </w:rPr>
      </w:pPr>
    </w:p>
    <w:p w14:paraId="04EA3043"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En la parte motiva de la sentencia de primera instancia el Juzgado 45 Penal del Circuito de Bogotá sostuvo lo siguiente (se trascribe):</w:t>
      </w:r>
    </w:p>
    <w:p w14:paraId="274A329D" w14:textId="77777777" w:rsidR="00C32A38" w:rsidRPr="00C32A38" w:rsidRDefault="00C32A38" w:rsidP="00C32A38">
      <w:pPr>
        <w:spacing w:after="0" w:line="360" w:lineRule="auto"/>
        <w:ind w:right="567"/>
        <w:jc w:val="both"/>
        <w:rPr>
          <w:rFonts w:ascii="Century Gothic" w:hAnsi="Century Gothic" w:cs="Arial"/>
          <w:sz w:val="24"/>
          <w:szCs w:val="24"/>
          <w:lang w:val="es-ES"/>
        </w:rPr>
      </w:pPr>
    </w:p>
    <w:p w14:paraId="64847452"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lang w:val="es-ES"/>
        </w:rPr>
        <w:t>“</w:t>
      </w:r>
      <w:r w:rsidRPr="00C32A38">
        <w:rPr>
          <w:rFonts w:ascii="Century Gothic" w:hAnsi="Century Gothic" w:cs="Arial"/>
          <w:i/>
          <w:lang w:val="es-ES"/>
        </w:rPr>
        <w:t xml:space="preserve">Luego, la situación real, que es en últimas lo que debe interesar al proceso es que </w:t>
      </w:r>
      <w:r w:rsidRPr="00C32A38">
        <w:rPr>
          <w:rFonts w:ascii="Century Gothic" w:hAnsi="Century Gothic" w:cs="Arial"/>
          <w:i/>
          <w:u w:val="single"/>
          <w:lang w:val="es-ES"/>
        </w:rPr>
        <w:t>la inversión de los recursos presuntamente administrados por las Fiduciarias la ejecutaron arbitrariamente los directivos del INURBE, amparados precisamente en estas cláusulas que les permitía intervenir en el manejo de los recursos</w:t>
      </w:r>
      <w:r w:rsidRPr="00C32A38">
        <w:rPr>
          <w:rFonts w:ascii="Century Gothic" w:hAnsi="Century Gothic" w:cs="Arial"/>
          <w:i/>
          <w:lang w:val="es-ES"/>
        </w:rPr>
        <w:t xml:space="preserve">, circunstancia probada y corroborada hasta la saciedad no solo con la documentación mencionada, sino </w:t>
      </w:r>
      <w:r w:rsidRPr="00C32A38">
        <w:rPr>
          <w:rFonts w:ascii="Century Gothic" w:hAnsi="Century Gothic" w:cs="Arial"/>
          <w:i/>
          <w:u w:val="single"/>
          <w:lang w:val="es-ES"/>
        </w:rPr>
        <w:t>con las autorizaciones de inversión y de prórroga</w:t>
      </w:r>
      <w:r w:rsidRPr="00C32A38">
        <w:rPr>
          <w:rFonts w:ascii="Century Gothic" w:hAnsi="Century Gothic" w:cs="Arial"/>
          <w:i/>
          <w:lang w:val="es-ES"/>
        </w:rPr>
        <w:t xml:space="preserve"> (…), las cartas de cobro de CAICEDO </w:t>
      </w:r>
      <w:proofErr w:type="spellStart"/>
      <w:r w:rsidRPr="00C32A38">
        <w:rPr>
          <w:rFonts w:ascii="Century Gothic" w:hAnsi="Century Gothic" w:cs="Arial"/>
          <w:i/>
          <w:lang w:val="es-ES"/>
        </w:rPr>
        <w:t>CAICEDO</w:t>
      </w:r>
      <w:proofErr w:type="spellEnd"/>
      <w:r w:rsidRPr="00C32A38">
        <w:rPr>
          <w:rFonts w:ascii="Century Gothic" w:hAnsi="Century Gothic" w:cs="Arial"/>
          <w:i/>
          <w:lang w:val="es-ES"/>
        </w:rPr>
        <w:t xml:space="preserve"> a las Cooperativas por la no redención de los C.D.A.T.S., sin desconocer el hecho de las cláusulas contractuales y de la misma normatividad que rige la FIDUCIA.</w:t>
      </w:r>
    </w:p>
    <w:p w14:paraId="486F4BF9" w14:textId="77777777" w:rsidR="00C32A38" w:rsidRPr="00C32A38" w:rsidRDefault="00C32A38" w:rsidP="00C32A38">
      <w:pPr>
        <w:spacing w:after="0" w:line="276" w:lineRule="auto"/>
        <w:ind w:left="567" w:right="567"/>
        <w:jc w:val="both"/>
        <w:rPr>
          <w:rFonts w:ascii="Century Gothic" w:hAnsi="Century Gothic" w:cs="Arial"/>
          <w:i/>
          <w:lang w:val="es-ES"/>
        </w:rPr>
      </w:pPr>
    </w:p>
    <w:p w14:paraId="70C275A8"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r w:rsidRPr="00C32A38">
        <w:rPr>
          <w:rFonts w:ascii="Century Gothic" w:hAnsi="Century Gothic" w:cs="Arial"/>
          <w:i/>
          <w:u w:val="single"/>
          <w:lang w:val="es-ES"/>
        </w:rPr>
        <w:t xml:space="preserve">Es evidente que las inversiones temporales fueron ordenadas por los directivos del INURBE y esa era la conciencia de los mismos funcionarios como se puede deducir de los señalado por el Dr. ÁLVARO ARANGO, quien manifestó: ‘El Dr. Álvaro Arango toma la palabra para manifestar que el INURBE es quien toma e imparte las decisiones de inversión </w:t>
      </w:r>
      <w:r w:rsidRPr="00C32A38">
        <w:rPr>
          <w:rFonts w:ascii="Century Gothic" w:hAnsi="Century Gothic" w:cs="Arial"/>
          <w:u w:val="single"/>
          <w:lang w:val="es-ES"/>
        </w:rPr>
        <w:t>(…)</w:t>
      </w:r>
      <w:r w:rsidRPr="00C32A38">
        <w:rPr>
          <w:rFonts w:ascii="Century Gothic" w:hAnsi="Century Gothic" w:cs="Arial"/>
          <w:i/>
          <w:lang w:val="es-ES"/>
        </w:rPr>
        <w:t>”</w:t>
      </w:r>
      <w:r w:rsidRPr="00C32A38">
        <w:rPr>
          <w:rFonts w:ascii="Century Gothic" w:hAnsi="Century Gothic" w:cs="Arial"/>
          <w:vertAlign w:val="superscript"/>
          <w:lang w:val="es-ES"/>
        </w:rPr>
        <w:footnoteReference w:id="54"/>
      </w:r>
      <w:r w:rsidRPr="00C32A38">
        <w:rPr>
          <w:rFonts w:ascii="Century Gothic" w:hAnsi="Century Gothic" w:cs="Arial"/>
          <w:i/>
          <w:lang w:val="es-ES"/>
        </w:rPr>
        <w:t xml:space="preserve"> </w:t>
      </w:r>
      <w:r w:rsidRPr="00C32A38">
        <w:rPr>
          <w:rFonts w:ascii="Century Gothic" w:hAnsi="Century Gothic" w:cs="Arial"/>
          <w:lang w:val="es-ES"/>
        </w:rPr>
        <w:t>(subrayado y resaltado fuera del original)</w:t>
      </w:r>
      <w:r w:rsidRPr="00C32A38">
        <w:rPr>
          <w:rFonts w:ascii="Century Gothic" w:hAnsi="Century Gothic" w:cs="Arial"/>
          <w:i/>
          <w:lang w:val="es-ES"/>
        </w:rPr>
        <w:t>.</w:t>
      </w:r>
    </w:p>
    <w:p w14:paraId="6F28A4F1" w14:textId="77777777" w:rsidR="00C32A38" w:rsidRPr="00C32A38" w:rsidRDefault="00C32A38" w:rsidP="00C32A38">
      <w:pPr>
        <w:spacing w:after="0" w:line="360" w:lineRule="auto"/>
        <w:jc w:val="both"/>
        <w:rPr>
          <w:rFonts w:ascii="Century Gothic" w:hAnsi="Century Gothic" w:cs="Arial"/>
          <w:i/>
          <w:lang w:val="es-ES"/>
        </w:rPr>
      </w:pPr>
    </w:p>
    <w:p w14:paraId="054C9595"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lastRenderedPageBreak/>
        <w:t xml:space="preserve">Las anteriores apreciaciones fueron compartidas por la Sala Penal del Tribunal Superior de Distrito al indicar lo siguiente (se trascribe): </w:t>
      </w:r>
    </w:p>
    <w:p w14:paraId="66133B7C" w14:textId="77777777" w:rsidR="00C32A38" w:rsidRPr="00C32A38" w:rsidRDefault="00C32A38" w:rsidP="00C32A38">
      <w:pPr>
        <w:spacing w:after="0" w:line="360" w:lineRule="auto"/>
        <w:jc w:val="both"/>
        <w:rPr>
          <w:rFonts w:ascii="Century Gothic" w:hAnsi="Century Gothic" w:cs="Arial"/>
          <w:lang w:val="es-ES"/>
        </w:rPr>
      </w:pPr>
    </w:p>
    <w:p w14:paraId="0ADDF365"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lang w:val="es-ES"/>
        </w:rPr>
        <w:t>“</w:t>
      </w:r>
      <w:r w:rsidRPr="00C32A38">
        <w:rPr>
          <w:rFonts w:ascii="Century Gothic" w:hAnsi="Century Gothic" w:cs="Arial"/>
          <w:i/>
          <w:lang w:val="es-ES"/>
        </w:rPr>
        <w:t xml:space="preserve">Sostener que el sector solidario por la época en que se efectuaron las inversiones era consistente, es una afirmación sin peso específico, pues lo que surge como verdad inconcusa es que en el caso concreto de las cooperativas favorecidas con las aludidas operaciones </w:t>
      </w:r>
      <w:r w:rsidRPr="00C32A38">
        <w:rPr>
          <w:rFonts w:ascii="Century Gothic" w:hAnsi="Century Gothic" w:cs="Arial"/>
          <w:i/>
          <w:u w:val="single"/>
          <w:lang w:val="es-ES"/>
        </w:rPr>
        <w:t>se omitió en términos absolutos cualquier tipo de estudio o análisis de carácter técnico y financiero, no por negligencias o descuido, sino por querer de los funcionarios de la entidad estatal</w:t>
      </w:r>
      <w:r w:rsidRPr="00C32A38">
        <w:rPr>
          <w:rFonts w:ascii="Century Gothic" w:hAnsi="Century Gothic" w:cs="Arial"/>
          <w:i/>
          <w:lang w:val="es-ES"/>
        </w:rPr>
        <w:t xml:space="preserve">, resultando a la postre que no contaban con la suficiente solidez para redimir los </w:t>
      </w:r>
      <w:proofErr w:type="spellStart"/>
      <w:r w:rsidRPr="00C32A38">
        <w:rPr>
          <w:rFonts w:ascii="Century Gothic" w:hAnsi="Century Gothic" w:cs="Arial"/>
          <w:i/>
          <w:lang w:val="es-ES"/>
        </w:rPr>
        <w:t>CDATs</w:t>
      </w:r>
      <w:proofErr w:type="spellEnd"/>
      <w:r w:rsidRPr="00C32A38">
        <w:rPr>
          <w:rFonts w:ascii="Century Gothic" w:hAnsi="Century Gothic" w:cs="Arial"/>
          <w:i/>
          <w:lang w:val="es-ES"/>
        </w:rPr>
        <w:t xml:space="preserve"> que se expidieron en favor del INURBE (…)</w:t>
      </w:r>
    </w:p>
    <w:p w14:paraId="7FCF1A04" w14:textId="77777777" w:rsidR="00C32A38" w:rsidRPr="00C32A38" w:rsidRDefault="00C32A38" w:rsidP="00C32A38">
      <w:pPr>
        <w:spacing w:after="0" w:line="276" w:lineRule="auto"/>
        <w:ind w:left="567" w:right="567"/>
        <w:jc w:val="both"/>
        <w:rPr>
          <w:rFonts w:ascii="Century Gothic" w:hAnsi="Century Gothic" w:cs="Arial"/>
          <w:i/>
          <w:lang w:val="es-ES"/>
        </w:rPr>
      </w:pPr>
    </w:p>
    <w:p w14:paraId="472611B9"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“Es preciso dejar en claro que no ha sido una prohibida inversión de los dineros del INURBE la conducta materia de reproche, sino la actuación consciente, voluntaria y confabulada de los incriminados Moncaleano Montoya y Caicedo </w:t>
      </w:r>
      <w:proofErr w:type="spellStart"/>
      <w:r w:rsidRPr="00C32A38">
        <w:rPr>
          <w:rFonts w:ascii="Century Gothic" w:hAnsi="Century Gothic" w:cs="Arial"/>
          <w:i/>
          <w:lang w:val="es-ES"/>
        </w:rPr>
        <w:t>Caicedo</w:t>
      </w:r>
      <w:proofErr w:type="spellEnd"/>
      <w:r w:rsidRPr="00C32A38">
        <w:rPr>
          <w:rFonts w:ascii="Century Gothic" w:hAnsi="Century Gothic" w:cs="Arial"/>
          <w:i/>
          <w:lang w:val="es-ES"/>
        </w:rPr>
        <w:t xml:space="preserve">, enderezada a que terceras personas se favorecieran de los recursos de la entidad mediante su colocación en entidades cooperativas que no gozaban de solidez o respaldo financiero, evidenciándose su propósito en el hecho de haber omitido cualquier estudio o análisis previo en el plano económico y jurídico </w:t>
      </w:r>
      <w:r w:rsidRPr="00C32A38">
        <w:rPr>
          <w:rFonts w:ascii="Century Gothic" w:hAnsi="Century Gothic" w:cs="Arial"/>
          <w:lang w:val="es-ES"/>
        </w:rPr>
        <w:t>(…)</w:t>
      </w:r>
      <w:r w:rsidRPr="00C32A38">
        <w:rPr>
          <w:rFonts w:ascii="Century Gothic" w:hAnsi="Century Gothic" w:cs="Arial"/>
          <w:i/>
          <w:lang w:val="es-ES"/>
        </w:rPr>
        <w:t>”</w:t>
      </w:r>
      <w:r w:rsidRPr="00C32A38">
        <w:rPr>
          <w:rFonts w:ascii="Century Gothic" w:hAnsi="Century Gothic" w:cs="Arial"/>
          <w:vertAlign w:val="superscript"/>
          <w:lang w:val="es-ES"/>
        </w:rPr>
        <w:footnoteReference w:id="55"/>
      </w:r>
      <w:r w:rsidRPr="00C32A38">
        <w:rPr>
          <w:rFonts w:ascii="Century Gothic" w:hAnsi="Century Gothic" w:cs="Arial"/>
          <w:i/>
          <w:lang w:val="es-ES"/>
        </w:rPr>
        <w:t xml:space="preserve"> </w:t>
      </w:r>
      <w:r w:rsidRPr="00C32A38">
        <w:rPr>
          <w:rFonts w:ascii="Century Gothic" w:hAnsi="Century Gothic" w:cs="Arial"/>
          <w:lang w:val="es-ES"/>
        </w:rPr>
        <w:t>(subrayado fuera del original)</w:t>
      </w:r>
      <w:r w:rsidRPr="00C32A38">
        <w:rPr>
          <w:rFonts w:ascii="Century Gothic" w:hAnsi="Century Gothic" w:cs="Arial"/>
          <w:i/>
          <w:lang w:val="es-ES"/>
        </w:rPr>
        <w:t>.</w:t>
      </w:r>
    </w:p>
    <w:p w14:paraId="1A82D33B" w14:textId="77777777" w:rsidR="00C32A38" w:rsidRPr="00C32A38" w:rsidRDefault="00C32A38" w:rsidP="00C32A38">
      <w:pPr>
        <w:spacing w:after="0" w:line="276" w:lineRule="auto"/>
        <w:ind w:right="567"/>
        <w:jc w:val="both"/>
        <w:rPr>
          <w:rFonts w:ascii="Century Gothic" w:hAnsi="Century Gothic" w:cs="Arial"/>
          <w:i/>
          <w:lang w:val="es-ES"/>
        </w:rPr>
      </w:pPr>
    </w:p>
    <w:p w14:paraId="27EE3CED"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En similares términos se refirió el Contralor General de la República al confirmar el fallo con responsabilidad de primera instancia por una cuantía de $40.196.556.763. En providencia de 26 de agosto de 2002 indicó (se trascribe): </w:t>
      </w:r>
    </w:p>
    <w:p w14:paraId="79A4164D" w14:textId="77777777" w:rsidR="00C32A38" w:rsidRPr="00C32A38" w:rsidRDefault="00C32A38" w:rsidP="00C32A38">
      <w:pPr>
        <w:spacing w:after="0" w:line="360" w:lineRule="auto"/>
        <w:jc w:val="both"/>
        <w:rPr>
          <w:rFonts w:ascii="Century Gothic" w:hAnsi="Century Gothic" w:cs="Arial"/>
          <w:sz w:val="24"/>
          <w:szCs w:val="24"/>
          <w:lang w:val="es-ES"/>
        </w:rPr>
      </w:pPr>
    </w:p>
    <w:p w14:paraId="26F88FBF"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lang w:val="es-ES"/>
        </w:rPr>
        <w:t>“</w:t>
      </w:r>
      <w:r w:rsidRPr="00C32A38">
        <w:rPr>
          <w:rFonts w:ascii="Century Gothic" w:hAnsi="Century Gothic" w:cs="Arial"/>
          <w:i/>
          <w:lang w:val="es-ES"/>
        </w:rPr>
        <w:t xml:space="preserve">Como bien lo afirma la </w:t>
      </w:r>
      <w:proofErr w:type="gramStart"/>
      <w:r w:rsidRPr="00C32A38">
        <w:rPr>
          <w:rFonts w:ascii="Century Gothic" w:hAnsi="Century Gothic" w:cs="Arial"/>
          <w:i/>
          <w:lang w:val="es-ES"/>
        </w:rPr>
        <w:t>Delegada</w:t>
      </w:r>
      <w:proofErr w:type="gramEnd"/>
      <w:r w:rsidRPr="00C32A38">
        <w:rPr>
          <w:rFonts w:ascii="Century Gothic" w:hAnsi="Century Gothic" w:cs="Arial"/>
          <w:i/>
          <w:lang w:val="es-ES"/>
        </w:rPr>
        <w:t>, las inversiones realizadas en las cooperativas respondieron a intenciones calculadas, pues en la práctica lo que se vio fue el uso de los recursos a favor de terceras personas (…)</w:t>
      </w:r>
    </w:p>
    <w:p w14:paraId="28AF4AF6" w14:textId="77777777" w:rsidR="00C32A38" w:rsidRPr="00C32A38" w:rsidRDefault="00C32A38" w:rsidP="00C32A38">
      <w:pPr>
        <w:spacing w:after="0" w:line="276" w:lineRule="auto"/>
        <w:ind w:left="567" w:right="567"/>
        <w:jc w:val="both"/>
        <w:rPr>
          <w:rFonts w:ascii="Century Gothic" w:hAnsi="Century Gothic" w:cs="Arial"/>
          <w:i/>
          <w:lang w:val="es-ES"/>
        </w:rPr>
      </w:pPr>
    </w:p>
    <w:p w14:paraId="67DB7829"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r w:rsidRPr="00C32A38">
        <w:rPr>
          <w:rFonts w:ascii="Century Gothic" w:hAnsi="Century Gothic" w:cs="Arial"/>
          <w:i/>
          <w:u w:val="single"/>
          <w:lang w:val="es-ES"/>
        </w:rPr>
        <w:t xml:space="preserve">De manera inexplicable </w:t>
      </w:r>
      <w:r w:rsidRPr="00C32A38">
        <w:rPr>
          <w:rFonts w:ascii="Century Gothic" w:hAnsi="Century Gothic" w:cs="Arial"/>
          <w:u w:val="single"/>
          <w:lang w:val="es-ES"/>
        </w:rPr>
        <w:t>[Armando Rodrigo Caicedo Caicedo]</w:t>
      </w:r>
      <w:r w:rsidRPr="00C32A38">
        <w:rPr>
          <w:rFonts w:ascii="Century Gothic" w:hAnsi="Century Gothic" w:cs="Arial"/>
          <w:i/>
          <w:u w:val="single"/>
          <w:lang w:val="es-ES"/>
        </w:rPr>
        <w:t xml:space="preserve"> autorizó inversiones temporales en cooperativas que carecían de respaldo y solvencia económica</w:t>
      </w:r>
      <w:r w:rsidRPr="00C32A38">
        <w:rPr>
          <w:rFonts w:ascii="Century Gothic" w:hAnsi="Century Gothic" w:cs="Arial"/>
          <w:i/>
          <w:lang w:val="es-ES"/>
        </w:rPr>
        <w:t xml:space="preserve">, muchas de ellas ni siquiera tenían la condición legal para recibir cuantiosas sumas de dinero. De manera inexplicable y contra toda lógica, </w:t>
      </w:r>
      <w:r w:rsidRPr="00C32A38">
        <w:rPr>
          <w:rFonts w:ascii="Century Gothic" w:hAnsi="Century Gothic" w:cs="Arial"/>
          <w:i/>
          <w:u w:val="single"/>
          <w:lang w:val="es-ES"/>
        </w:rPr>
        <w:t>colocaba recursos en estas entidades basado solamente en una cotización que enviaba la cooperativa</w:t>
      </w:r>
      <w:r w:rsidRPr="00C32A38">
        <w:rPr>
          <w:rFonts w:ascii="Century Gothic" w:hAnsi="Century Gothic" w:cs="Arial"/>
          <w:i/>
          <w:lang w:val="es-ES"/>
        </w:rPr>
        <w:t xml:space="preserve">, la cual sin ningún tipo de análisis era escogida de manera </w:t>
      </w:r>
      <w:proofErr w:type="spellStart"/>
      <w:r w:rsidRPr="00C32A38">
        <w:rPr>
          <w:rFonts w:ascii="Century Gothic" w:hAnsi="Century Gothic" w:cs="Arial"/>
          <w:i/>
          <w:lang w:val="es-ES"/>
        </w:rPr>
        <w:t>extrarápida</w:t>
      </w:r>
      <w:proofErr w:type="spellEnd"/>
      <w:r w:rsidRPr="00C32A38">
        <w:rPr>
          <w:rFonts w:ascii="Century Gothic" w:hAnsi="Century Gothic" w:cs="Arial"/>
          <w:i/>
          <w:lang w:val="es-ES"/>
        </w:rPr>
        <w:t xml:space="preserve">, lo que hacía que los recursos fueran enviados de un día para otro”. </w:t>
      </w:r>
    </w:p>
    <w:p w14:paraId="699DB0F5" w14:textId="77777777" w:rsidR="00C32A38" w:rsidRPr="00C32A38" w:rsidRDefault="00C32A38" w:rsidP="00C32A38">
      <w:pPr>
        <w:spacing w:after="0" w:line="276" w:lineRule="auto"/>
        <w:ind w:left="567" w:right="567"/>
        <w:jc w:val="both"/>
        <w:rPr>
          <w:rFonts w:ascii="Century Gothic" w:hAnsi="Century Gothic" w:cs="Arial"/>
          <w:i/>
          <w:lang w:val="es-ES"/>
        </w:rPr>
      </w:pPr>
    </w:p>
    <w:p w14:paraId="619A8EB4"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01617838" w14:textId="77777777" w:rsidR="00C32A38" w:rsidRPr="00C32A38" w:rsidRDefault="00C32A38" w:rsidP="00C32A38">
      <w:pPr>
        <w:spacing w:after="0" w:line="276" w:lineRule="auto"/>
        <w:ind w:left="567" w:right="567"/>
        <w:jc w:val="both"/>
        <w:rPr>
          <w:rFonts w:ascii="Century Gothic" w:hAnsi="Century Gothic" w:cs="Arial"/>
          <w:i/>
          <w:lang w:val="es-ES"/>
        </w:rPr>
      </w:pPr>
    </w:p>
    <w:p w14:paraId="134DB43E"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“El Instituto Nacional de Vivienda de Interés Social y Reforma Urbana —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como bien se ha dicho por la </w:t>
      </w:r>
      <w:proofErr w:type="gramStart"/>
      <w:r w:rsidRPr="00C32A38">
        <w:rPr>
          <w:rFonts w:ascii="Century Gothic" w:hAnsi="Century Gothic" w:cs="Arial"/>
          <w:i/>
          <w:lang w:val="es-ES"/>
        </w:rPr>
        <w:t>Delegada</w:t>
      </w:r>
      <w:proofErr w:type="gramEnd"/>
      <w:r w:rsidRPr="00C32A38">
        <w:rPr>
          <w:rFonts w:ascii="Century Gothic" w:hAnsi="Century Gothic" w:cs="Arial"/>
          <w:i/>
          <w:lang w:val="es-ES"/>
        </w:rPr>
        <w:t xml:space="preserve">, realizó contratos de fiducia para realizar inversiones temporales con recursos del Tesoro Nacional en entidades del sector solidario. No obstante, esas inversiones fueron realizadas con la </w:t>
      </w:r>
      <w:r w:rsidRPr="00C32A38">
        <w:rPr>
          <w:rFonts w:ascii="Century Gothic" w:hAnsi="Century Gothic" w:cs="Arial"/>
          <w:i/>
          <w:lang w:val="es-ES"/>
        </w:rPr>
        <w:lastRenderedPageBreak/>
        <w:t>aquiescencia del Gerente General, señor ARMANDO FELIX MONCALEANO MONTOYA, sin reunir las exigencias consagradas en los Acuerdos 15 del 22 de mayo de 1995, 36 de 1996 y 04 del mismo año”</w:t>
      </w:r>
      <w:r w:rsidRPr="00C32A38">
        <w:rPr>
          <w:rFonts w:ascii="Century Gothic" w:hAnsi="Century Gothic" w:cs="Arial"/>
          <w:vertAlign w:val="superscript"/>
          <w:lang w:val="es-ES"/>
        </w:rPr>
        <w:footnoteReference w:id="56"/>
      </w:r>
      <w:r w:rsidRPr="00C32A38">
        <w:rPr>
          <w:rFonts w:ascii="Century Gothic" w:hAnsi="Century Gothic" w:cs="Arial"/>
          <w:i/>
          <w:lang w:val="es-ES"/>
        </w:rPr>
        <w:t>.</w:t>
      </w:r>
    </w:p>
    <w:p w14:paraId="27087555" w14:textId="77777777" w:rsidR="00C32A38" w:rsidRPr="00C32A38" w:rsidRDefault="00C32A38" w:rsidP="00C32A38">
      <w:pPr>
        <w:spacing w:after="0" w:line="360" w:lineRule="auto"/>
        <w:ind w:right="51"/>
        <w:jc w:val="both"/>
        <w:rPr>
          <w:rFonts w:ascii="Century Gothic" w:hAnsi="Century Gothic" w:cs="Arial"/>
          <w:b/>
          <w:sz w:val="24"/>
          <w:szCs w:val="24"/>
          <w:lang w:val="es-ES"/>
        </w:rPr>
      </w:pPr>
    </w:p>
    <w:p w14:paraId="0A8A15D0" w14:textId="77777777" w:rsidR="00C32A38" w:rsidRPr="00C32A38" w:rsidRDefault="00C32A38" w:rsidP="00C32A38">
      <w:pPr>
        <w:numPr>
          <w:ilvl w:val="0"/>
          <w:numId w:val="12"/>
        </w:numPr>
        <w:spacing w:after="0" w:line="360" w:lineRule="auto"/>
        <w:ind w:right="51"/>
        <w:jc w:val="both"/>
        <w:rPr>
          <w:rFonts w:ascii="Century Gothic" w:hAnsi="Century Gothic" w:cs="Arial"/>
          <w:sz w:val="24"/>
          <w:szCs w:val="24"/>
          <w:lang w:val="es-ES"/>
        </w:rPr>
      </w:pPr>
      <w:r w:rsidRPr="00C32A38">
        <w:rPr>
          <w:rFonts w:ascii="Century Gothic" w:hAnsi="Century Gothic" w:cs="Arial"/>
          <w:sz w:val="24"/>
          <w:szCs w:val="24"/>
          <w:lang w:val="es-ES"/>
        </w:rPr>
        <w:t>La Procuraduría General de la Nación en fallo disciplinario de primera instancia de 19 de marzo de 2002, hizo las siguientes consideraciones (se trascribe):</w:t>
      </w:r>
    </w:p>
    <w:p w14:paraId="6E7372D0" w14:textId="77777777" w:rsidR="00C32A38" w:rsidRPr="00C32A38" w:rsidRDefault="00C32A38" w:rsidP="00C32A38">
      <w:pPr>
        <w:spacing w:after="0" w:line="360" w:lineRule="auto"/>
        <w:ind w:right="51"/>
        <w:jc w:val="both"/>
        <w:rPr>
          <w:rFonts w:ascii="Century Gothic" w:hAnsi="Century Gothic" w:cs="Arial"/>
          <w:sz w:val="24"/>
          <w:szCs w:val="24"/>
          <w:lang w:val="es-ES"/>
        </w:rPr>
      </w:pPr>
    </w:p>
    <w:p w14:paraId="5E087821"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“Caso contrario sucede cuando con las inversiones en el sector cooperativo, el INURBE, </w:t>
      </w:r>
      <w:r w:rsidRPr="00C32A38">
        <w:rPr>
          <w:rFonts w:ascii="Century Gothic" w:hAnsi="Century Gothic" w:cs="Arial"/>
          <w:i/>
          <w:u w:val="single"/>
          <w:lang w:val="es-ES"/>
        </w:rPr>
        <w:t>expide los documentos órdenes de inversión señalándole a la entidad fiduciaria dónde, cómo, cuánto y cuándo invertir</w:t>
      </w:r>
      <w:r w:rsidRPr="00C32A38">
        <w:rPr>
          <w:rFonts w:ascii="Century Gothic" w:hAnsi="Century Gothic" w:cs="Arial"/>
          <w:i/>
          <w:lang w:val="es-ES"/>
        </w:rPr>
        <w:t xml:space="preserve"> (…).</w:t>
      </w:r>
    </w:p>
    <w:p w14:paraId="05F57511" w14:textId="77777777" w:rsidR="00C32A38" w:rsidRPr="00C32A38" w:rsidRDefault="00C32A38" w:rsidP="00C32A38">
      <w:pPr>
        <w:spacing w:after="0" w:line="276" w:lineRule="auto"/>
        <w:ind w:left="567" w:right="567"/>
        <w:jc w:val="both"/>
        <w:rPr>
          <w:rFonts w:ascii="Century Gothic" w:hAnsi="Century Gothic" w:cs="Arial"/>
          <w:i/>
          <w:lang w:val="es-ES"/>
        </w:rPr>
      </w:pPr>
    </w:p>
    <w:p w14:paraId="3498AFF2"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r w:rsidRPr="00C32A38">
        <w:rPr>
          <w:rFonts w:ascii="Century Gothic" w:hAnsi="Century Gothic" w:cs="Arial"/>
          <w:lang w:val="es-ES"/>
        </w:rPr>
        <w:t xml:space="preserve">Lo anterior nos demuestra la intención de ARMANDO MONCALEANO MONTOYA en calidad de Gerente General y de ARMANDO CAICEDO </w:t>
      </w:r>
      <w:proofErr w:type="spellStart"/>
      <w:r w:rsidRPr="00C32A38">
        <w:rPr>
          <w:rFonts w:ascii="Century Gothic" w:hAnsi="Century Gothic" w:cs="Arial"/>
          <w:lang w:val="es-ES"/>
        </w:rPr>
        <w:t>CAICEDO</w:t>
      </w:r>
      <w:proofErr w:type="spellEnd"/>
      <w:r w:rsidRPr="00C32A38">
        <w:rPr>
          <w:rFonts w:ascii="Century Gothic" w:hAnsi="Century Gothic" w:cs="Arial"/>
          <w:lang w:val="es-ES"/>
        </w:rPr>
        <w:t xml:space="preserve"> en su condición de Subgerente Administrativo y Financiero de favorecer algunas entidades del sector cooperativo</w:t>
      </w:r>
      <w:r w:rsidRPr="00C32A38">
        <w:rPr>
          <w:rFonts w:ascii="Century Gothic" w:hAnsi="Century Gothic" w:cs="Arial"/>
          <w:i/>
          <w:lang w:val="es-ES"/>
        </w:rPr>
        <w:t xml:space="preserve"> con la colocación de dineros estatales en sus tesorerías con los agravantes comprobados en los numerales anteriores, generando incremento patrimonial para ellos en claro perjuicio de los intereses del Estado (…)</w:t>
      </w:r>
    </w:p>
    <w:p w14:paraId="60A2952E" w14:textId="77777777" w:rsidR="00C32A38" w:rsidRPr="00C32A38" w:rsidRDefault="00C32A38" w:rsidP="00C32A38">
      <w:pPr>
        <w:spacing w:after="0" w:line="276" w:lineRule="auto"/>
        <w:ind w:left="567" w:right="567"/>
        <w:jc w:val="both"/>
        <w:rPr>
          <w:rFonts w:ascii="Century Gothic" w:hAnsi="Century Gothic" w:cs="Arial"/>
          <w:i/>
          <w:lang w:val="es-ES"/>
        </w:rPr>
      </w:pPr>
    </w:p>
    <w:p w14:paraId="5841DD60"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“Tal como se adujo en el auto de cargos, desde la iniciación de su gestión en la entidad los investigados </w:t>
      </w:r>
      <w:r w:rsidRPr="00C32A38">
        <w:rPr>
          <w:rFonts w:ascii="Century Gothic" w:hAnsi="Century Gothic" w:cs="Arial"/>
          <w:i/>
          <w:u w:val="single"/>
          <w:lang w:val="es-ES"/>
        </w:rPr>
        <w:t>de manera deliberada asumieron la competencia para ordenar a las fiduciarias la inversión de los recursos destinados al subsidio de vivienda de interés social, para cuyo efecto ejercieron deberes asignados a las Juntas Administradoras creadas en cada uno de los contratos de encargo fiduciario</w:t>
      </w:r>
      <w:r w:rsidRPr="00C32A38">
        <w:rPr>
          <w:rFonts w:ascii="Century Gothic" w:hAnsi="Century Gothic" w:cs="Arial"/>
          <w:i/>
          <w:lang w:val="es-ES"/>
        </w:rPr>
        <w:t>, sustituyeron en sus atribuciones al grupo de trabajo que se conformó mediante resolución 2043 de 1995 para el control de la ejecución de contratos de encargo fiduciario y de fiducia pública suscritos por el INURBE para el manejo de los recursos nacionales del Subsidio Familiar para vivienda (…)</w:t>
      </w:r>
    </w:p>
    <w:p w14:paraId="71D699A4" w14:textId="77777777" w:rsidR="00C32A38" w:rsidRPr="00C32A38" w:rsidRDefault="00C32A38" w:rsidP="00C32A38">
      <w:pPr>
        <w:spacing w:after="0" w:line="276" w:lineRule="auto"/>
        <w:ind w:left="567" w:right="567"/>
        <w:jc w:val="both"/>
        <w:rPr>
          <w:rFonts w:ascii="Century Gothic" w:hAnsi="Century Gothic" w:cs="Arial"/>
          <w:i/>
          <w:lang w:val="es-ES"/>
        </w:rPr>
      </w:pPr>
    </w:p>
    <w:p w14:paraId="50D12CC0"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r w:rsidRPr="00C32A38">
        <w:rPr>
          <w:rFonts w:ascii="Century Gothic" w:hAnsi="Century Gothic" w:cs="Arial"/>
          <w:i/>
          <w:u w:val="single"/>
          <w:lang w:val="es-ES"/>
        </w:rPr>
        <w:t>Esta situación en el fondo no se modificó al expedir la Resolución 001 del 7 de enero de 1997, porque aunque en la Junta Administradora que se conformó para el manejo de las inversiones se incluyó a un representante de las fiduciarias, su participación resultó inane e intrascendente al negarle el derecho de voto</w:t>
      </w:r>
      <w:r w:rsidRPr="00C32A38">
        <w:rPr>
          <w:rFonts w:ascii="Century Gothic" w:hAnsi="Century Gothic" w:cs="Arial"/>
          <w:i/>
          <w:lang w:val="es-ES"/>
        </w:rPr>
        <w:t>, circunstancia que permitió el manejo alegre e irresponsable del portafolio de inversiones por parte de los acusados”</w:t>
      </w:r>
      <w:r w:rsidRPr="00C32A38">
        <w:rPr>
          <w:rFonts w:ascii="Century Gothic" w:hAnsi="Century Gothic" w:cs="Arial"/>
          <w:i/>
          <w:vertAlign w:val="superscript"/>
          <w:lang w:val="es-ES"/>
        </w:rPr>
        <w:footnoteReference w:id="57"/>
      </w:r>
      <w:r w:rsidRPr="00C32A38">
        <w:rPr>
          <w:rFonts w:ascii="Century Gothic" w:hAnsi="Century Gothic" w:cs="Arial"/>
          <w:i/>
          <w:lang w:val="es-ES"/>
        </w:rPr>
        <w:t xml:space="preserve"> </w:t>
      </w:r>
      <w:r w:rsidRPr="00C32A38">
        <w:rPr>
          <w:rFonts w:ascii="Century Gothic" w:hAnsi="Century Gothic" w:cs="Arial"/>
          <w:lang w:val="es-ES"/>
        </w:rPr>
        <w:t>(subrayado fuera del original)</w:t>
      </w:r>
      <w:r w:rsidRPr="00C32A38">
        <w:rPr>
          <w:rFonts w:ascii="Century Gothic" w:hAnsi="Century Gothic" w:cs="Arial"/>
          <w:i/>
          <w:lang w:val="es-ES"/>
        </w:rPr>
        <w:t>.</w:t>
      </w:r>
    </w:p>
    <w:p w14:paraId="03AEAB7A" w14:textId="77777777" w:rsidR="00C32A38" w:rsidRPr="00C32A38" w:rsidRDefault="00C32A38" w:rsidP="00C32A38">
      <w:pPr>
        <w:spacing w:after="0" w:line="360" w:lineRule="auto"/>
        <w:ind w:right="51"/>
        <w:jc w:val="both"/>
        <w:rPr>
          <w:rFonts w:ascii="Century Gothic" w:hAnsi="Century Gothic" w:cs="Arial"/>
          <w:sz w:val="24"/>
          <w:szCs w:val="24"/>
          <w:lang w:val="es-ES"/>
        </w:rPr>
      </w:pPr>
    </w:p>
    <w:p w14:paraId="5EF5261C" w14:textId="77777777" w:rsidR="00C32A38" w:rsidRPr="00C32A38" w:rsidRDefault="00C32A38" w:rsidP="00C32A38">
      <w:pPr>
        <w:spacing w:after="0" w:line="360" w:lineRule="auto"/>
        <w:ind w:right="51"/>
        <w:jc w:val="both"/>
        <w:rPr>
          <w:rFonts w:ascii="Century Gothic" w:hAnsi="Century Gothic" w:cs="Arial"/>
          <w:b/>
          <w:sz w:val="24"/>
          <w:szCs w:val="24"/>
          <w:lang w:val="es-ES"/>
        </w:rPr>
      </w:pPr>
      <w:r w:rsidRPr="00C32A38">
        <w:rPr>
          <w:rFonts w:ascii="Century Gothic" w:hAnsi="Century Gothic" w:cs="Arial"/>
          <w:b/>
          <w:sz w:val="24"/>
          <w:szCs w:val="24"/>
          <w:lang w:val="es-ES"/>
        </w:rPr>
        <w:t xml:space="preserve">2.2.6. Autorizaciones de inversión y </w:t>
      </w:r>
      <w:proofErr w:type="spellStart"/>
      <w:r w:rsidRPr="00C32A38">
        <w:rPr>
          <w:rFonts w:ascii="Century Gothic" w:hAnsi="Century Gothic" w:cs="Arial"/>
          <w:b/>
          <w:sz w:val="24"/>
          <w:szCs w:val="24"/>
          <w:lang w:val="es-ES"/>
        </w:rPr>
        <w:t>CDATs</w:t>
      </w:r>
      <w:proofErr w:type="spellEnd"/>
      <w:r w:rsidRPr="00C32A38">
        <w:rPr>
          <w:rFonts w:ascii="Century Gothic" w:hAnsi="Century Gothic" w:cs="Arial"/>
          <w:b/>
          <w:sz w:val="24"/>
          <w:szCs w:val="24"/>
          <w:lang w:val="es-ES"/>
        </w:rPr>
        <w:t xml:space="preserve"> correspondientes</w:t>
      </w:r>
    </w:p>
    <w:p w14:paraId="7DC3E240" w14:textId="77777777" w:rsidR="00C32A38" w:rsidRPr="00C32A38" w:rsidRDefault="00C32A38" w:rsidP="00C32A38">
      <w:pPr>
        <w:spacing w:after="0" w:line="360" w:lineRule="auto"/>
        <w:ind w:right="51"/>
        <w:jc w:val="both"/>
        <w:rPr>
          <w:rFonts w:ascii="Century Gothic" w:hAnsi="Century Gothic" w:cs="Arial"/>
          <w:sz w:val="24"/>
          <w:szCs w:val="24"/>
          <w:lang w:val="es-ES"/>
        </w:rPr>
      </w:pPr>
    </w:p>
    <w:p w14:paraId="5ECBA889" w14:textId="77777777" w:rsidR="00C32A38" w:rsidRPr="00C32A38" w:rsidRDefault="00C32A38" w:rsidP="00C32A38">
      <w:pPr>
        <w:numPr>
          <w:ilvl w:val="0"/>
          <w:numId w:val="12"/>
        </w:numPr>
        <w:spacing w:after="0" w:line="360" w:lineRule="auto"/>
        <w:ind w:right="51"/>
        <w:jc w:val="both"/>
        <w:rPr>
          <w:rFonts w:ascii="Century Gothic" w:hAnsi="Century Gothic" w:cs="Arial"/>
          <w:sz w:val="24"/>
          <w:szCs w:val="24"/>
          <w:lang w:val="es-ES"/>
        </w:rPr>
      </w:pPr>
      <w:r w:rsidRPr="00C32A38">
        <w:rPr>
          <w:rFonts w:ascii="Century Gothic" w:hAnsi="Century Gothic" w:cs="Arial"/>
          <w:sz w:val="24"/>
          <w:szCs w:val="24"/>
          <w:lang w:val="es-ES"/>
        </w:rPr>
        <w:lastRenderedPageBreak/>
        <w:t>En el expediente obran varias autorizaciones de inversión</w:t>
      </w:r>
      <w:r w:rsidRPr="00C32A38">
        <w:rPr>
          <w:rFonts w:ascii="Century Gothic" w:hAnsi="Century Gothic" w:cs="Arial"/>
          <w:sz w:val="24"/>
          <w:szCs w:val="24"/>
          <w:vertAlign w:val="superscript"/>
          <w:lang w:val="es-ES"/>
        </w:rPr>
        <w:footnoteReference w:id="58"/>
      </w:r>
      <w:r w:rsidRPr="00C32A38">
        <w:rPr>
          <w:rFonts w:ascii="Century Gothic" w:hAnsi="Century Gothic" w:cs="Arial"/>
          <w:sz w:val="24"/>
          <w:szCs w:val="24"/>
          <w:lang w:val="es-ES"/>
        </w:rPr>
        <w:t xml:space="preserve"> dirigidas a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documentos que fueron firmados por el Subgerente Administrativo y Financiero del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para la época, Armando Rodrigo Caicedo </w:t>
      </w:r>
      <w:proofErr w:type="spellStart"/>
      <w:r w:rsidRPr="00C32A38">
        <w:rPr>
          <w:rFonts w:ascii="Century Gothic" w:hAnsi="Century Gothic" w:cs="Arial"/>
          <w:sz w:val="24"/>
          <w:szCs w:val="24"/>
          <w:lang w:val="es-ES"/>
        </w:rPr>
        <w:t>Caicedo</w:t>
      </w:r>
      <w:proofErr w:type="spellEnd"/>
      <w:r w:rsidRPr="00C32A38">
        <w:rPr>
          <w:rFonts w:ascii="Century Gothic" w:hAnsi="Century Gothic" w:cs="Arial"/>
          <w:sz w:val="24"/>
          <w:szCs w:val="24"/>
          <w:lang w:val="es-ES"/>
        </w:rPr>
        <w:t>.  En relación con las autorizaciones reseñadas en la demanda y en el acto de liquidación unilateral, en el proceso se encuentran acreditados las siguientes:</w:t>
      </w:r>
    </w:p>
    <w:p w14:paraId="460D7034" w14:textId="77777777" w:rsidR="00C32A38" w:rsidRPr="00C32A38" w:rsidRDefault="00C32A38" w:rsidP="00C32A38">
      <w:pPr>
        <w:spacing w:after="0" w:line="360" w:lineRule="auto"/>
        <w:ind w:right="51"/>
        <w:jc w:val="both"/>
        <w:rPr>
          <w:rFonts w:ascii="Century Gothic" w:hAnsi="Century Gothic" w:cs="Arial"/>
          <w:sz w:val="24"/>
          <w:szCs w:val="24"/>
          <w:lang w:val="es-ES"/>
        </w:rPr>
      </w:pPr>
    </w:p>
    <w:p w14:paraId="0C964BF7" w14:textId="77777777" w:rsidR="00C32A38" w:rsidRPr="00C32A38" w:rsidRDefault="00C32A38" w:rsidP="00C32A38">
      <w:pPr>
        <w:spacing w:after="0" w:line="360" w:lineRule="auto"/>
        <w:ind w:left="567" w:right="51"/>
        <w:jc w:val="both"/>
        <w:rPr>
          <w:rFonts w:ascii="Century Gothic" w:hAnsi="Century Gothic" w:cs="Arial"/>
          <w:sz w:val="24"/>
          <w:szCs w:val="24"/>
          <w:lang w:val="es-ES"/>
        </w:rPr>
      </w:pPr>
      <w:r w:rsidRPr="00C32A38">
        <w:rPr>
          <w:rFonts w:ascii="Century Gothic" w:hAnsi="Century Gothic" w:cs="Arial"/>
          <w:sz w:val="24"/>
          <w:szCs w:val="24"/>
          <w:lang w:val="es-ES"/>
        </w:rPr>
        <w:t xml:space="preserve">1. </w:t>
      </w:r>
      <w:r w:rsidRPr="00C32A38">
        <w:rPr>
          <w:rFonts w:ascii="Century Gothic" w:hAnsi="Century Gothic" w:cs="Arial"/>
          <w:i/>
          <w:sz w:val="24"/>
          <w:szCs w:val="24"/>
          <w:lang w:val="es-ES"/>
        </w:rPr>
        <w:t>“Autorización de inversión No. 312-96”</w:t>
      </w:r>
      <w:r w:rsidRPr="00C32A38">
        <w:rPr>
          <w:rFonts w:ascii="Century Gothic" w:hAnsi="Century Gothic" w:cs="Arial"/>
          <w:i/>
          <w:sz w:val="24"/>
          <w:szCs w:val="24"/>
          <w:vertAlign w:val="superscript"/>
          <w:lang w:val="es-ES"/>
        </w:rPr>
        <w:footnoteReference w:id="59"/>
      </w:r>
      <w:r w:rsidRPr="00C32A38">
        <w:rPr>
          <w:rFonts w:ascii="Century Gothic" w:hAnsi="Century Gothic" w:cs="Arial"/>
          <w:sz w:val="24"/>
          <w:szCs w:val="24"/>
          <w:lang w:val="es-ES"/>
        </w:rPr>
        <w:t xml:space="preserve"> de 23 agosto de 1996, dirigida a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en la que se especifica lo siguiente:</w:t>
      </w:r>
    </w:p>
    <w:p w14:paraId="7CED0ABC" w14:textId="77777777" w:rsidR="00C32A38" w:rsidRPr="00C32A38" w:rsidRDefault="00C32A38" w:rsidP="00C32A38">
      <w:pPr>
        <w:spacing w:after="0" w:line="240" w:lineRule="auto"/>
        <w:ind w:left="567" w:right="51"/>
        <w:jc w:val="both"/>
        <w:rPr>
          <w:rFonts w:ascii="Century Gothic" w:hAnsi="Century Gothic" w:cs="Arial"/>
          <w:lang w:val="es-ES"/>
        </w:rPr>
      </w:pPr>
    </w:p>
    <w:p w14:paraId="2CC1BD7E"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“La Subgerencia Administrativa y Financiera del INURBE imparte autorización para realizar la siguiente inversión.</w:t>
      </w:r>
    </w:p>
    <w:p w14:paraId="1F8F5388" w14:textId="77777777" w:rsidR="00C32A38" w:rsidRPr="00C32A38" w:rsidRDefault="00C32A38" w:rsidP="00C32A38">
      <w:pPr>
        <w:spacing w:after="0" w:line="276" w:lineRule="auto"/>
        <w:ind w:left="567" w:right="567"/>
        <w:jc w:val="both"/>
        <w:rPr>
          <w:rFonts w:ascii="Century Gothic" w:hAnsi="Century Gothic" w:cs="Arial"/>
          <w:i/>
          <w:lang w:val="es-ES"/>
        </w:rPr>
      </w:pPr>
    </w:p>
    <w:p w14:paraId="58844A31"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“FECHA DE CONSTITUCIÓN</w:t>
      </w:r>
      <w:r w:rsidRPr="00C32A38">
        <w:rPr>
          <w:rFonts w:ascii="Century Gothic" w:hAnsi="Century Gothic" w:cs="Arial"/>
          <w:i/>
          <w:lang w:val="es-ES"/>
        </w:rPr>
        <w:tab/>
      </w:r>
      <w:r w:rsidRPr="00C32A38">
        <w:rPr>
          <w:rFonts w:ascii="Century Gothic" w:hAnsi="Century Gothic" w:cs="Arial"/>
          <w:i/>
          <w:lang w:val="es-ES"/>
        </w:rPr>
        <w:tab/>
      </w:r>
      <w:proofErr w:type="gramStart"/>
      <w:r w:rsidRPr="00C32A38">
        <w:rPr>
          <w:rFonts w:ascii="Century Gothic" w:hAnsi="Century Gothic" w:cs="Arial"/>
          <w:i/>
          <w:lang w:val="es-ES"/>
        </w:rPr>
        <w:t>Agosto</w:t>
      </w:r>
      <w:proofErr w:type="gramEnd"/>
      <w:r w:rsidRPr="00C32A38">
        <w:rPr>
          <w:rFonts w:ascii="Century Gothic" w:hAnsi="Century Gothic" w:cs="Arial"/>
          <w:i/>
          <w:lang w:val="es-ES"/>
        </w:rPr>
        <w:t xml:space="preserve"> 23 de 1996</w:t>
      </w:r>
    </w:p>
    <w:p w14:paraId="661F2612"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“ENTIDAD EMISORA</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COOSERVIR - CALI</w:t>
      </w:r>
    </w:p>
    <w:p w14:paraId="54046C6F"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“TIPO DE INVERSIÓN</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CDAT</w:t>
      </w:r>
    </w:p>
    <w:p w14:paraId="48C0CDBE"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“PLAZO</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150 días</w:t>
      </w:r>
    </w:p>
    <w:p w14:paraId="27A1CFB0"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“TASA EFECTIVA</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31.50 % P.V.</w:t>
      </w:r>
    </w:p>
    <w:p w14:paraId="05A9485E"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“Valor</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$1.500.000.000”</w:t>
      </w:r>
    </w:p>
    <w:p w14:paraId="4A49DED1" w14:textId="77777777" w:rsidR="00C32A38" w:rsidRPr="00C32A38" w:rsidRDefault="00C32A38" w:rsidP="00C32A38">
      <w:pPr>
        <w:spacing w:after="0" w:line="360" w:lineRule="auto"/>
        <w:ind w:right="51"/>
        <w:jc w:val="both"/>
        <w:rPr>
          <w:rFonts w:ascii="Century Gothic" w:hAnsi="Century Gothic" w:cs="Arial"/>
          <w:lang w:val="es-ES"/>
        </w:rPr>
      </w:pPr>
    </w:p>
    <w:p w14:paraId="0EF5D943" w14:textId="77777777" w:rsidR="00C32A38" w:rsidRPr="00C32A38" w:rsidRDefault="00C32A38" w:rsidP="00C32A38">
      <w:pPr>
        <w:spacing w:after="0" w:line="360" w:lineRule="auto"/>
        <w:ind w:left="567" w:right="51"/>
        <w:jc w:val="both"/>
        <w:rPr>
          <w:rFonts w:ascii="Century Gothic" w:hAnsi="Century Gothic" w:cs="Arial"/>
          <w:sz w:val="24"/>
          <w:szCs w:val="24"/>
          <w:lang w:val="es-ES"/>
        </w:rPr>
      </w:pPr>
      <w:r w:rsidRPr="00C32A38">
        <w:rPr>
          <w:rFonts w:ascii="Century Gothic" w:hAnsi="Century Gothic" w:cs="Arial"/>
          <w:sz w:val="24"/>
          <w:szCs w:val="24"/>
          <w:lang w:val="es-ES"/>
        </w:rPr>
        <w:t xml:space="preserve">2. </w:t>
      </w:r>
      <w:r w:rsidRPr="00C32A38">
        <w:rPr>
          <w:rFonts w:ascii="Century Gothic" w:hAnsi="Century Gothic" w:cs="Arial"/>
          <w:i/>
          <w:sz w:val="24"/>
          <w:szCs w:val="24"/>
          <w:lang w:val="es-ES"/>
        </w:rPr>
        <w:t>“Autorización de inversión No. 015-97”</w:t>
      </w:r>
      <w:r w:rsidRPr="00C32A38">
        <w:rPr>
          <w:rFonts w:ascii="Century Gothic" w:hAnsi="Century Gothic" w:cs="Arial"/>
          <w:i/>
          <w:sz w:val="24"/>
          <w:szCs w:val="24"/>
          <w:vertAlign w:val="superscript"/>
          <w:lang w:val="es-ES"/>
        </w:rPr>
        <w:footnoteReference w:id="60"/>
      </w:r>
      <w:r w:rsidRPr="00C32A38">
        <w:rPr>
          <w:rFonts w:ascii="Century Gothic" w:hAnsi="Century Gothic" w:cs="Arial"/>
          <w:sz w:val="24"/>
          <w:szCs w:val="24"/>
          <w:lang w:val="es-ES"/>
        </w:rPr>
        <w:t xml:space="preserve"> de 15 de enero de 1997, dirigida a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en la que se especifica lo siguiente:</w:t>
      </w:r>
    </w:p>
    <w:p w14:paraId="089C90F2" w14:textId="77777777" w:rsidR="00C32A38" w:rsidRPr="00C32A38" w:rsidRDefault="00C32A38" w:rsidP="00C32A38">
      <w:pPr>
        <w:spacing w:after="0" w:line="240" w:lineRule="auto"/>
        <w:ind w:right="51"/>
        <w:jc w:val="both"/>
        <w:rPr>
          <w:rFonts w:ascii="Century Gothic" w:hAnsi="Century Gothic" w:cs="Arial"/>
          <w:lang w:val="es-ES"/>
        </w:rPr>
      </w:pPr>
    </w:p>
    <w:p w14:paraId="797150D4"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“La Subgerencia Administrativa y Financiera del INURBE imparte autorización para realizar la siguiente inversión.</w:t>
      </w:r>
    </w:p>
    <w:p w14:paraId="0B36C8B5" w14:textId="77777777" w:rsidR="00C32A38" w:rsidRPr="00C32A38" w:rsidRDefault="00C32A38" w:rsidP="00C32A38">
      <w:pPr>
        <w:spacing w:after="0" w:line="276" w:lineRule="auto"/>
        <w:ind w:left="567" w:right="567"/>
        <w:jc w:val="both"/>
        <w:rPr>
          <w:rFonts w:ascii="Century Gothic" w:hAnsi="Century Gothic" w:cs="Arial"/>
          <w:i/>
          <w:lang w:val="es-ES"/>
        </w:rPr>
      </w:pPr>
    </w:p>
    <w:p w14:paraId="4FBE8C9D"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“FECHA DE CONSTITUCIÓN</w:t>
      </w:r>
      <w:r w:rsidRPr="00C32A38">
        <w:rPr>
          <w:rFonts w:ascii="Century Gothic" w:hAnsi="Century Gothic" w:cs="Arial"/>
          <w:i/>
          <w:lang w:val="es-ES"/>
        </w:rPr>
        <w:tab/>
      </w:r>
      <w:r w:rsidRPr="00C32A38">
        <w:rPr>
          <w:rFonts w:ascii="Century Gothic" w:hAnsi="Century Gothic" w:cs="Arial"/>
          <w:i/>
          <w:lang w:val="es-ES"/>
        </w:rPr>
        <w:tab/>
      </w:r>
      <w:proofErr w:type="gramStart"/>
      <w:r w:rsidRPr="00C32A38">
        <w:rPr>
          <w:rFonts w:ascii="Century Gothic" w:hAnsi="Century Gothic" w:cs="Arial"/>
          <w:i/>
          <w:lang w:val="es-ES"/>
        </w:rPr>
        <w:t>Enero</w:t>
      </w:r>
      <w:proofErr w:type="gramEnd"/>
      <w:r w:rsidRPr="00C32A38">
        <w:rPr>
          <w:rFonts w:ascii="Century Gothic" w:hAnsi="Century Gothic" w:cs="Arial"/>
          <w:i/>
          <w:lang w:val="es-ES"/>
        </w:rPr>
        <w:t xml:space="preserve"> 15 de 1997</w:t>
      </w:r>
    </w:p>
    <w:p w14:paraId="5C253A1A"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“ENTIDAD EMISORA</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COOPERATIVA – AVANCEMOS</w:t>
      </w:r>
    </w:p>
    <w:p w14:paraId="1B32D3D6"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“TIPO DE INVERSIÓN</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CDAT</w:t>
      </w:r>
    </w:p>
    <w:p w14:paraId="07F56ACC"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“PLAZO</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1 año 15 de enero de 1998</w:t>
      </w:r>
    </w:p>
    <w:p w14:paraId="6D0ED478"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“TASA EFECTIVA</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20.93% Corrección Monetaria</w:t>
      </w:r>
    </w:p>
    <w:p w14:paraId="6CFA00EB"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“Valor</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$100.000.000”</w:t>
      </w:r>
    </w:p>
    <w:p w14:paraId="4E0224FE" w14:textId="77777777" w:rsidR="00C32A38" w:rsidRPr="00C32A38" w:rsidRDefault="00C32A38" w:rsidP="00C32A38">
      <w:pPr>
        <w:spacing w:after="0" w:line="276" w:lineRule="auto"/>
        <w:ind w:right="567"/>
        <w:jc w:val="both"/>
        <w:rPr>
          <w:rFonts w:ascii="Century Gothic" w:hAnsi="Century Gothic" w:cs="Arial"/>
          <w:i/>
          <w:lang w:val="es-ES"/>
        </w:rPr>
      </w:pPr>
    </w:p>
    <w:p w14:paraId="4351F439" w14:textId="77777777" w:rsidR="00C32A38" w:rsidRPr="00C32A38" w:rsidRDefault="00C32A38" w:rsidP="00C32A38">
      <w:pPr>
        <w:spacing w:after="0" w:line="360" w:lineRule="auto"/>
        <w:ind w:left="567" w:right="51"/>
        <w:jc w:val="both"/>
        <w:rPr>
          <w:rFonts w:ascii="Century Gothic" w:hAnsi="Century Gothic" w:cs="Arial"/>
          <w:sz w:val="24"/>
          <w:szCs w:val="24"/>
          <w:lang w:val="es-ES"/>
        </w:rPr>
      </w:pPr>
      <w:r w:rsidRPr="00C32A38">
        <w:rPr>
          <w:rFonts w:ascii="Century Gothic" w:hAnsi="Century Gothic" w:cs="Arial"/>
          <w:sz w:val="24"/>
          <w:szCs w:val="24"/>
          <w:lang w:val="es-ES"/>
        </w:rPr>
        <w:t xml:space="preserve">3. </w:t>
      </w:r>
      <w:r w:rsidRPr="00C32A38">
        <w:rPr>
          <w:rFonts w:ascii="Century Gothic" w:hAnsi="Century Gothic" w:cs="Arial"/>
          <w:i/>
          <w:sz w:val="24"/>
          <w:szCs w:val="24"/>
          <w:lang w:val="es-ES"/>
        </w:rPr>
        <w:t>“Autorización de inversión No. 149-97”</w:t>
      </w:r>
      <w:r w:rsidRPr="00C32A38">
        <w:rPr>
          <w:rFonts w:ascii="Century Gothic" w:hAnsi="Century Gothic" w:cs="Arial"/>
          <w:i/>
          <w:sz w:val="24"/>
          <w:szCs w:val="24"/>
          <w:vertAlign w:val="superscript"/>
          <w:lang w:val="es-ES"/>
        </w:rPr>
        <w:footnoteReference w:id="61"/>
      </w:r>
      <w:r w:rsidRPr="00C32A38">
        <w:rPr>
          <w:rFonts w:ascii="Century Gothic" w:hAnsi="Century Gothic" w:cs="Arial"/>
          <w:sz w:val="24"/>
          <w:szCs w:val="24"/>
          <w:lang w:val="es-ES"/>
        </w:rPr>
        <w:t xml:space="preserve"> de 21 de marzo de 1997, dirigida a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en la que se especifica lo siguiente:</w:t>
      </w:r>
    </w:p>
    <w:p w14:paraId="3A130147" w14:textId="77777777" w:rsidR="00C32A38" w:rsidRPr="00C32A38" w:rsidRDefault="00C32A38" w:rsidP="00C32A38">
      <w:pPr>
        <w:spacing w:after="0" w:line="360" w:lineRule="auto"/>
        <w:ind w:right="51"/>
        <w:jc w:val="both"/>
        <w:rPr>
          <w:rFonts w:ascii="Century Gothic" w:hAnsi="Century Gothic" w:cs="Arial"/>
          <w:lang w:val="es-ES"/>
        </w:rPr>
      </w:pPr>
    </w:p>
    <w:p w14:paraId="0624E114"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roofErr w:type="gramStart"/>
      <w:r w:rsidRPr="00C32A38">
        <w:rPr>
          <w:rFonts w:ascii="Century Gothic" w:hAnsi="Century Gothic" w:cs="Arial"/>
          <w:i/>
          <w:lang w:val="es-ES"/>
        </w:rPr>
        <w:t>De acuerdo a</w:t>
      </w:r>
      <w:proofErr w:type="gramEnd"/>
      <w:r w:rsidRPr="00C32A38">
        <w:rPr>
          <w:rFonts w:ascii="Century Gothic" w:hAnsi="Century Gothic" w:cs="Arial"/>
          <w:i/>
          <w:lang w:val="es-ES"/>
        </w:rPr>
        <w:t xml:space="preserve"> la solicitud de prórroga de la Inversión con COOPERATIVA – CAJA POPULAR COOPERATIVA, me permito informarle de esta subgerencia, esta se prorroga por cuarta vez en las siguientes condiciones.</w:t>
      </w:r>
    </w:p>
    <w:p w14:paraId="4FDB7F67" w14:textId="77777777" w:rsidR="00C32A38" w:rsidRPr="00C32A38" w:rsidRDefault="00C32A38" w:rsidP="00C32A38">
      <w:pPr>
        <w:spacing w:after="0" w:line="276" w:lineRule="auto"/>
        <w:ind w:left="567" w:right="567"/>
        <w:jc w:val="both"/>
        <w:rPr>
          <w:rFonts w:ascii="Century Gothic" w:hAnsi="Century Gothic" w:cs="Arial"/>
          <w:i/>
          <w:lang w:val="es-ES"/>
        </w:rPr>
      </w:pPr>
    </w:p>
    <w:p w14:paraId="32B362AB"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lastRenderedPageBreak/>
        <w:t>“FECHA DE CONSTITUCIÓN</w:t>
      </w:r>
      <w:r w:rsidRPr="00C32A38">
        <w:rPr>
          <w:rFonts w:ascii="Century Gothic" w:hAnsi="Century Gothic" w:cs="Arial"/>
          <w:i/>
          <w:lang w:val="es-ES"/>
        </w:rPr>
        <w:tab/>
      </w:r>
      <w:r w:rsidRPr="00C32A38">
        <w:rPr>
          <w:rFonts w:ascii="Century Gothic" w:hAnsi="Century Gothic" w:cs="Arial"/>
          <w:i/>
          <w:lang w:val="es-ES"/>
        </w:rPr>
        <w:tab/>
      </w:r>
      <w:proofErr w:type="gramStart"/>
      <w:r w:rsidRPr="00C32A38">
        <w:rPr>
          <w:rFonts w:ascii="Century Gothic" w:hAnsi="Century Gothic" w:cs="Arial"/>
          <w:i/>
          <w:lang w:val="es-ES"/>
        </w:rPr>
        <w:t>Marzo</w:t>
      </w:r>
      <w:proofErr w:type="gramEnd"/>
      <w:r w:rsidRPr="00C32A38">
        <w:rPr>
          <w:rFonts w:ascii="Century Gothic" w:hAnsi="Century Gothic" w:cs="Arial"/>
          <w:i/>
          <w:lang w:val="es-ES"/>
        </w:rPr>
        <w:t xml:space="preserve"> 20 de 1997</w:t>
      </w:r>
    </w:p>
    <w:p w14:paraId="26DD0234"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“ENTIDAD EMISORA</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CAJA POPULAR COOPERATIVA-NEIVA</w:t>
      </w:r>
    </w:p>
    <w:p w14:paraId="07AA54B1"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“TIPO DE INVERSIÓN</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CDAT</w:t>
      </w:r>
    </w:p>
    <w:p w14:paraId="2C7FCEF0"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“PLAZO</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90 días</w:t>
      </w:r>
    </w:p>
    <w:p w14:paraId="3E328F5A"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“TASA EFECTIVA</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Corrección Monetaria</w:t>
      </w:r>
    </w:p>
    <w:p w14:paraId="34B23215"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“Valor</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$800.000.000”</w:t>
      </w:r>
    </w:p>
    <w:p w14:paraId="333826EC" w14:textId="77777777" w:rsidR="00C32A38" w:rsidRPr="00C32A38" w:rsidRDefault="00C32A38" w:rsidP="00C32A38">
      <w:pPr>
        <w:spacing w:after="0" w:line="276" w:lineRule="auto"/>
        <w:ind w:right="567"/>
        <w:jc w:val="both"/>
        <w:rPr>
          <w:rFonts w:ascii="Century Gothic" w:hAnsi="Century Gothic" w:cs="Arial"/>
          <w:i/>
          <w:lang w:val="es-ES"/>
        </w:rPr>
      </w:pPr>
    </w:p>
    <w:p w14:paraId="0C39F6AB" w14:textId="77777777" w:rsidR="00C32A38" w:rsidRPr="00C32A38" w:rsidRDefault="00C32A38" w:rsidP="00C32A38">
      <w:pPr>
        <w:numPr>
          <w:ilvl w:val="0"/>
          <w:numId w:val="12"/>
        </w:numPr>
        <w:spacing w:after="0" w:line="360" w:lineRule="auto"/>
        <w:ind w:right="51"/>
        <w:jc w:val="both"/>
        <w:rPr>
          <w:rFonts w:ascii="Century Gothic" w:hAnsi="Century Gothic" w:cs="Arial"/>
          <w:sz w:val="24"/>
          <w:szCs w:val="24"/>
          <w:lang w:val="es-ES"/>
        </w:rPr>
      </w:pPr>
      <w:r w:rsidRPr="00C32A38">
        <w:rPr>
          <w:rFonts w:ascii="Century Gothic" w:hAnsi="Century Gothic" w:cs="Arial"/>
          <w:sz w:val="24"/>
          <w:szCs w:val="24"/>
          <w:lang w:val="es-ES"/>
        </w:rPr>
        <w:t xml:space="preserve">Adicionalmente están acreditados los </w:t>
      </w:r>
      <w:proofErr w:type="spellStart"/>
      <w:r w:rsidRPr="00C32A38">
        <w:rPr>
          <w:rFonts w:ascii="Century Gothic" w:hAnsi="Century Gothic" w:cs="Arial"/>
          <w:sz w:val="24"/>
          <w:szCs w:val="24"/>
          <w:lang w:val="es-ES"/>
        </w:rPr>
        <w:t>CDATs</w:t>
      </w:r>
      <w:proofErr w:type="spellEnd"/>
      <w:r w:rsidRPr="00C32A38">
        <w:rPr>
          <w:rFonts w:ascii="Century Gothic" w:hAnsi="Century Gothic" w:cs="Arial"/>
          <w:sz w:val="24"/>
          <w:szCs w:val="24"/>
          <w:lang w:val="es-ES"/>
        </w:rPr>
        <w:t xml:space="preserve"> expedidos por las cooperativas</w:t>
      </w:r>
      <w:r w:rsidRPr="00C32A38">
        <w:rPr>
          <w:rFonts w:ascii="Century Gothic" w:hAnsi="Century Gothic" w:cs="Arial"/>
          <w:sz w:val="24"/>
          <w:szCs w:val="24"/>
          <w:vertAlign w:val="superscript"/>
          <w:lang w:val="es-ES"/>
        </w:rPr>
        <w:footnoteReference w:id="62"/>
      </w:r>
      <w:r w:rsidRPr="00C32A38">
        <w:rPr>
          <w:rFonts w:ascii="Century Gothic" w:hAnsi="Century Gothic" w:cs="Arial"/>
          <w:sz w:val="24"/>
          <w:szCs w:val="24"/>
          <w:lang w:val="es-ES"/>
        </w:rPr>
        <w:t xml:space="preserve"> en los términos reseñados en las autorizaciones trascritas. </w:t>
      </w:r>
    </w:p>
    <w:p w14:paraId="26B8A3D0" w14:textId="77777777" w:rsidR="00C32A38" w:rsidRPr="00C32A38" w:rsidRDefault="00C32A38" w:rsidP="00C32A38">
      <w:pPr>
        <w:spacing w:after="0" w:line="360" w:lineRule="auto"/>
        <w:ind w:right="51"/>
        <w:jc w:val="both"/>
        <w:rPr>
          <w:rFonts w:ascii="Century Gothic" w:hAnsi="Century Gothic" w:cs="Arial"/>
          <w:sz w:val="24"/>
          <w:szCs w:val="24"/>
          <w:lang w:val="es-ES"/>
        </w:rPr>
      </w:pPr>
    </w:p>
    <w:p w14:paraId="1471240E" w14:textId="77777777" w:rsidR="00C32A38" w:rsidRPr="00C32A38" w:rsidRDefault="00C32A38" w:rsidP="00C32A38">
      <w:pPr>
        <w:spacing w:after="0" w:line="276" w:lineRule="auto"/>
        <w:ind w:right="51"/>
        <w:jc w:val="both"/>
        <w:rPr>
          <w:rFonts w:ascii="Century Gothic" w:hAnsi="Century Gothic" w:cs="Arial"/>
          <w:b/>
          <w:sz w:val="24"/>
          <w:szCs w:val="24"/>
          <w:lang w:val="es-ES"/>
        </w:rPr>
      </w:pPr>
      <w:r w:rsidRPr="00C32A38">
        <w:rPr>
          <w:rFonts w:ascii="Century Gothic" w:hAnsi="Century Gothic" w:cs="Arial"/>
          <w:b/>
          <w:sz w:val="24"/>
          <w:szCs w:val="24"/>
          <w:lang w:val="es-ES"/>
        </w:rPr>
        <w:t>2.2.7. Rendición de cuentas a la finalización del contrato</w:t>
      </w:r>
    </w:p>
    <w:p w14:paraId="5380D71F" w14:textId="77777777" w:rsidR="00C32A38" w:rsidRPr="00C32A38" w:rsidRDefault="00C32A38" w:rsidP="00C32A38">
      <w:pPr>
        <w:spacing w:after="0" w:line="360" w:lineRule="auto"/>
        <w:jc w:val="both"/>
        <w:rPr>
          <w:rFonts w:ascii="Century Gothic" w:hAnsi="Century Gothic" w:cs="Arial"/>
          <w:b/>
          <w:sz w:val="24"/>
          <w:szCs w:val="24"/>
          <w:lang w:val="es-ES"/>
        </w:rPr>
      </w:pPr>
    </w:p>
    <w:p w14:paraId="10C99648"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El 30 de abril de 1998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remitió al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un documento en el que realizaba la rendición de cuentas del contrato junto con los </w:t>
      </w:r>
      <w:proofErr w:type="spellStart"/>
      <w:r w:rsidRPr="00C32A38">
        <w:rPr>
          <w:rFonts w:ascii="Century Gothic" w:hAnsi="Century Gothic" w:cs="Arial"/>
          <w:sz w:val="24"/>
          <w:szCs w:val="24"/>
          <w:lang w:val="es-ES"/>
        </w:rPr>
        <w:t>CDATs</w:t>
      </w:r>
      <w:proofErr w:type="spellEnd"/>
      <w:r w:rsidRPr="00C32A38">
        <w:rPr>
          <w:rFonts w:ascii="Century Gothic" w:hAnsi="Century Gothic" w:cs="Arial"/>
          <w:sz w:val="24"/>
          <w:szCs w:val="24"/>
          <w:lang w:val="es-ES"/>
        </w:rPr>
        <w:t xml:space="preserve"> que no habían podido ser redimidos. La entidad, a través de comunicación SGAF No. 3899</w:t>
      </w:r>
      <w:r w:rsidRPr="00C32A38">
        <w:rPr>
          <w:rFonts w:ascii="Century Gothic" w:hAnsi="Century Gothic" w:cs="Arial"/>
          <w:sz w:val="24"/>
          <w:szCs w:val="24"/>
          <w:vertAlign w:val="superscript"/>
          <w:lang w:val="es-ES"/>
        </w:rPr>
        <w:footnoteReference w:id="63"/>
      </w:r>
      <w:r w:rsidRPr="00C32A38">
        <w:rPr>
          <w:rFonts w:ascii="Century Gothic" w:hAnsi="Century Gothic" w:cs="Arial"/>
          <w:sz w:val="24"/>
          <w:szCs w:val="24"/>
          <w:lang w:val="es-ES"/>
        </w:rPr>
        <w:t xml:space="preserve"> manifestó su negativa a recibir la rendición de cuentas presentada por la fiduciaria, en los siguientes términos (se trascribe):</w:t>
      </w:r>
    </w:p>
    <w:p w14:paraId="20970FB7" w14:textId="77777777" w:rsidR="00C32A38" w:rsidRPr="00C32A38" w:rsidRDefault="00C32A38" w:rsidP="00C32A38">
      <w:pPr>
        <w:spacing w:after="0" w:line="360" w:lineRule="auto"/>
        <w:jc w:val="both"/>
        <w:rPr>
          <w:rFonts w:ascii="Century Gothic" w:hAnsi="Century Gothic" w:cs="Arial"/>
          <w:sz w:val="24"/>
          <w:szCs w:val="24"/>
          <w:lang w:val="es-ES"/>
        </w:rPr>
      </w:pPr>
    </w:p>
    <w:p w14:paraId="5E42A4DD"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lang w:val="es-ES"/>
        </w:rPr>
        <w:t>“</w:t>
      </w:r>
      <w:r w:rsidRPr="00C32A38">
        <w:rPr>
          <w:rFonts w:ascii="Century Gothic" w:hAnsi="Century Gothic" w:cs="Arial"/>
          <w:i/>
          <w:lang w:val="es-ES"/>
        </w:rPr>
        <w:t xml:space="preserve">El día de hoy, pasadas las 5.30 P.M., se hizo presente en esta Subgerencia una persona que pese a no identificarse, anunció venir en representación de esa fiduciaria para entregar una comunicación, al parecer contentiva de la rendición final de cuentas de los contratos celebrados entre el INURBE y FIDULTRA S.A., a la cual, según alcancé a advertir, adjuntaban algunos títulos. </w:t>
      </w:r>
    </w:p>
    <w:p w14:paraId="3DBB93C4" w14:textId="77777777" w:rsidR="00C32A38" w:rsidRPr="00C32A38" w:rsidRDefault="00C32A38" w:rsidP="00C32A38">
      <w:pPr>
        <w:spacing w:after="0" w:line="276" w:lineRule="auto"/>
        <w:ind w:left="567" w:right="567"/>
        <w:jc w:val="both"/>
        <w:rPr>
          <w:rFonts w:ascii="Century Gothic" w:hAnsi="Century Gothic" w:cs="Arial"/>
          <w:i/>
          <w:lang w:val="es-ES"/>
        </w:rPr>
      </w:pPr>
    </w:p>
    <w:p w14:paraId="6020AC1B"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“Respecto de la situación antes comentada, sea lo primero señalar que si bien es obligación de esa sociedad, conforme a lo pactado en las cláusulas Décima y Séptima del contrato de encargo fiduciario suscrito el 22 de septiembre de 1993 para la administración y pago de los recursos del subsidio familiar de vivienda y Décima del contrato 103 celebrado el 22 de diciembre de 1995 para la administración e inversión de los recursos de las operaciones de apalancamiento de créditos, presentar informe definitivo sobre su gestión en calidad de rendición final de cuentas, no menos cierto es que conforme al tenor literal de dichas cláusulas este informe debía entregarse ‘al terminar el encargo’, lo cual pone de presente la tardía intención de cumplir esta obligación contractual, dado el plazo transcurrido desde la fecha de terminación de estos contratos. </w:t>
      </w:r>
    </w:p>
    <w:p w14:paraId="607762D8" w14:textId="77777777" w:rsidR="00C32A38" w:rsidRPr="00C32A38" w:rsidRDefault="00C32A38" w:rsidP="00C32A38">
      <w:pPr>
        <w:spacing w:after="0" w:line="276" w:lineRule="auto"/>
        <w:ind w:left="567" w:right="567"/>
        <w:jc w:val="both"/>
        <w:rPr>
          <w:rFonts w:ascii="Century Gothic" w:hAnsi="Century Gothic" w:cs="Arial"/>
          <w:i/>
          <w:lang w:val="es-ES"/>
        </w:rPr>
      </w:pPr>
    </w:p>
    <w:p w14:paraId="5F17ECE8"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“De otra parte, a juicio de esta Subgerencia, el mecanismo que se pretendió utilizar para entregar los documentos en cuestión, no corresponde a la trascendencia y responsabilidad de los asuntos puestos a su cargo y particularmente del acto de rendición de cuentas, máxime cuando se </w:t>
      </w:r>
      <w:r w:rsidRPr="00C32A38">
        <w:rPr>
          <w:rFonts w:ascii="Century Gothic" w:hAnsi="Century Gothic" w:cs="Arial"/>
          <w:i/>
          <w:lang w:val="es-ES"/>
        </w:rPr>
        <w:lastRenderedPageBreak/>
        <w:t>pretendió hacer entrega, al parecer, de instrumentos representativos de valores.</w:t>
      </w:r>
    </w:p>
    <w:p w14:paraId="33E86476" w14:textId="77777777" w:rsidR="00C32A38" w:rsidRPr="00C32A38" w:rsidRDefault="00C32A38" w:rsidP="00C32A38">
      <w:pPr>
        <w:spacing w:after="0" w:line="276" w:lineRule="auto"/>
        <w:ind w:left="567" w:right="567"/>
        <w:jc w:val="both"/>
        <w:rPr>
          <w:rFonts w:ascii="Century Gothic" w:hAnsi="Century Gothic" w:cs="Arial"/>
          <w:i/>
          <w:lang w:val="es-ES"/>
        </w:rPr>
      </w:pPr>
    </w:p>
    <w:p w14:paraId="7562D715"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“Sin perjuicio de recibir la rendición final de cuentas, es de advertir a ustedes que la administración de INURBE se abstendrá de aceptar la entrega de títulos que vencieron, entraron en mora y se hicieron exigibles en poder de FIDULTRA S.A., originados en operaciones efectuadas al margen de los términos contractuales (…)”</w:t>
      </w:r>
      <w:r w:rsidRPr="00C32A38">
        <w:rPr>
          <w:rFonts w:ascii="Century Gothic" w:hAnsi="Century Gothic" w:cs="Arial"/>
          <w:lang w:val="es-ES"/>
        </w:rPr>
        <w:t>.</w:t>
      </w:r>
    </w:p>
    <w:p w14:paraId="6BE2471F" w14:textId="77777777" w:rsidR="00C32A38" w:rsidRPr="00C32A38" w:rsidRDefault="00C32A38" w:rsidP="00C32A38">
      <w:pPr>
        <w:spacing w:after="0" w:line="360" w:lineRule="auto"/>
        <w:jc w:val="both"/>
        <w:rPr>
          <w:rFonts w:ascii="Century Gothic" w:hAnsi="Century Gothic" w:cs="Arial"/>
          <w:sz w:val="24"/>
          <w:szCs w:val="24"/>
          <w:lang w:val="es-ES"/>
        </w:rPr>
      </w:pPr>
    </w:p>
    <w:p w14:paraId="62CF7243"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Ante la negativa de la entidad de recibir la rendición de cuentas y los títulos, la fiduciaria presentó el 13 de mayo de 1998 nuevamente el informe pero esta vez sin incluir los certificados. En el documento que denominó “</w:t>
      </w:r>
      <w:r w:rsidRPr="00C32A38">
        <w:rPr>
          <w:rFonts w:ascii="Century Gothic" w:hAnsi="Century Gothic" w:cs="Arial"/>
          <w:i/>
          <w:sz w:val="24"/>
          <w:szCs w:val="24"/>
          <w:lang w:val="es-ES"/>
        </w:rPr>
        <w:t>Rendición de cuentas de Contrato de Fiducia Pública No. 103 de 1995”</w:t>
      </w:r>
      <w:r w:rsidRPr="00C32A38">
        <w:rPr>
          <w:rFonts w:ascii="Century Gothic" w:hAnsi="Century Gothic" w:cs="Arial"/>
          <w:i/>
          <w:sz w:val="24"/>
          <w:szCs w:val="24"/>
          <w:vertAlign w:val="superscript"/>
          <w:lang w:val="es-ES"/>
        </w:rPr>
        <w:footnoteReference w:id="64"/>
      </w:r>
      <w:r w:rsidRPr="00C32A38">
        <w:rPr>
          <w:rFonts w:ascii="Century Gothic" w:hAnsi="Century Gothic" w:cs="Arial"/>
          <w:sz w:val="24"/>
          <w:szCs w:val="24"/>
          <w:lang w:val="es-ES"/>
        </w:rPr>
        <w:t>, indicó lo siguiente (se trascribe):</w:t>
      </w:r>
    </w:p>
    <w:p w14:paraId="4B5F53E0" w14:textId="77777777" w:rsidR="00C32A38" w:rsidRPr="00C32A38" w:rsidRDefault="00C32A38" w:rsidP="00C32A38">
      <w:pPr>
        <w:spacing w:after="0" w:line="276" w:lineRule="auto"/>
        <w:ind w:right="51"/>
        <w:jc w:val="both"/>
        <w:rPr>
          <w:rFonts w:ascii="Century Gothic" w:hAnsi="Century Gothic" w:cs="Arial"/>
          <w:sz w:val="24"/>
          <w:szCs w:val="24"/>
          <w:lang w:val="es-ES"/>
        </w:rPr>
      </w:pPr>
    </w:p>
    <w:p w14:paraId="2321828E"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lang w:val="es-ES"/>
        </w:rPr>
        <w:t>“</w:t>
      </w:r>
      <w:r w:rsidRPr="00C32A38">
        <w:rPr>
          <w:rFonts w:ascii="Century Gothic" w:hAnsi="Century Gothic" w:cs="Arial"/>
          <w:i/>
          <w:lang w:val="es-ES"/>
        </w:rPr>
        <w:t>RECURSOS RECIBIDOS</w:t>
      </w:r>
    </w:p>
    <w:p w14:paraId="579A54AE" w14:textId="77777777" w:rsidR="00C32A38" w:rsidRPr="00C32A38" w:rsidRDefault="00C32A38" w:rsidP="00C32A38">
      <w:pPr>
        <w:spacing w:after="0" w:line="276" w:lineRule="auto"/>
        <w:ind w:left="567" w:right="567"/>
        <w:jc w:val="both"/>
        <w:rPr>
          <w:rFonts w:ascii="Century Gothic" w:hAnsi="Century Gothic" w:cs="Arial"/>
          <w:i/>
          <w:lang w:val="es-ES"/>
        </w:rPr>
      </w:pPr>
    </w:p>
    <w:p w14:paraId="56AF81E8"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“En ejecución del contrato se recibió la suma de CINCO MIL SETECIENTOS TREINTA Y TRES MILLONES CUARENTA Y SEIS MIL NOVECIENTOS DOS PESOS ($5.733’046.902).</w:t>
      </w:r>
    </w:p>
    <w:p w14:paraId="2617944C" w14:textId="77777777" w:rsidR="00C32A38" w:rsidRPr="00C32A38" w:rsidRDefault="00C32A38" w:rsidP="00C32A38">
      <w:pPr>
        <w:spacing w:after="0" w:line="276" w:lineRule="auto"/>
        <w:ind w:left="567" w:right="567"/>
        <w:jc w:val="both"/>
        <w:rPr>
          <w:rFonts w:ascii="Century Gothic" w:hAnsi="Century Gothic" w:cs="Arial"/>
          <w:i/>
          <w:lang w:val="es-ES"/>
        </w:rPr>
      </w:pPr>
    </w:p>
    <w:p w14:paraId="71A0FA7A"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“ADMINISTRACIÓN E INVERSIÓN DE LOS RECURSOS</w:t>
      </w:r>
    </w:p>
    <w:p w14:paraId="47B6167A" w14:textId="77777777" w:rsidR="00C32A38" w:rsidRPr="00C32A38" w:rsidRDefault="00C32A38" w:rsidP="00C32A38">
      <w:pPr>
        <w:spacing w:after="0" w:line="276" w:lineRule="auto"/>
        <w:ind w:left="567" w:right="567"/>
        <w:jc w:val="both"/>
        <w:rPr>
          <w:rFonts w:ascii="Century Gothic" w:hAnsi="Century Gothic" w:cs="Arial"/>
          <w:i/>
          <w:lang w:val="es-ES"/>
        </w:rPr>
      </w:pPr>
    </w:p>
    <w:p w14:paraId="2F891F69"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“Los recursos recibidos se administraron y se invirtieron de acuerdo con lo dispuesto por la Junta del Fideicomiso. Las inversiones efectuadas en cooperativas, autorizadas y ordenadas por EL INURBE se redimieron oportunamente con excepción de las siguientes:</w:t>
      </w:r>
    </w:p>
    <w:p w14:paraId="3A86D7DC" w14:textId="77777777" w:rsidR="00C32A38" w:rsidRPr="00C32A38" w:rsidRDefault="00C32A38" w:rsidP="00C32A38">
      <w:pPr>
        <w:spacing w:after="0" w:line="276" w:lineRule="auto"/>
        <w:ind w:left="567" w:right="567"/>
        <w:jc w:val="both"/>
        <w:rPr>
          <w:rFonts w:ascii="Century Gothic" w:hAnsi="Century Gothic" w:cs="Arial"/>
          <w:i/>
          <w:lang w:val="es-ES"/>
        </w:rPr>
      </w:pPr>
    </w:p>
    <w:p w14:paraId="6213EF28" w14:textId="77777777" w:rsidR="00C32A38" w:rsidRPr="00C32A38" w:rsidRDefault="00C32A38" w:rsidP="00C32A38">
      <w:pPr>
        <w:numPr>
          <w:ilvl w:val="0"/>
          <w:numId w:val="9"/>
        </w:num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COOSERVIR </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$1.500’000.000.oo</w:t>
      </w:r>
    </w:p>
    <w:p w14:paraId="31CAC260" w14:textId="77777777" w:rsidR="00C32A38" w:rsidRPr="00C32A38" w:rsidRDefault="00C32A38" w:rsidP="00C32A38">
      <w:pPr>
        <w:numPr>
          <w:ilvl w:val="0"/>
          <w:numId w:val="9"/>
        </w:num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AVANCEMOS</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   100’000.000.oo</w:t>
      </w:r>
    </w:p>
    <w:p w14:paraId="4A8FA57B" w14:textId="77777777" w:rsidR="00C32A38" w:rsidRPr="00C32A38" w:rsidRDefault="00C32A38" w:rsidP="00C32A38">
      <w:pPr>
        <w:numPr>
          <w:ilvl w:val="0"/>
          <w:numId w:val="9"/>
        </w:num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CAJA POPULAR COOPERATIVA</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   800’000.000.oo</w:t>
      </w:r>
    </w:p>
    <w:p w14:paraId="03CC39E7" w14:textId="77777777" w:rsidR="00C32A38" w:rsidRPr="00C32A38" w:rsidRDefault="00C32A38" w:rsidP="00C32A38">
      <w:pPr>
        <w:spacing w:after="0" w:line="276" w:lineRule="auto"/>
        <w:ind w:left="567" w:right="567"/>
        <w:jc w:val="both"/>
        <w:rPr>
          <w:rFonts w:ascii="Century Gothic" w:hAnsi="Century Gothic" w:cs="Arial"/>
          <w:i/>
          <w:lang w:val="es-ES"/>
        </w:rPr>
      </w:pPr>
    </w:p>
    <w:p w14:paraId="4CD5FAB4"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“La Cooperativa </w:t>
      </w:r>
      <w:proofErr w:type="spellStart"/>
      <w:r w:rsidRPr="00C32A38">
        <w:rPr>
          <w:rFonts w:ascii="Century Gothic" w:hAnsi="Century Gothic" w:cs="Arial"/>
          <w:i/>
          <w:lang w:val="es-ES"/>
        </w:rPr>
        <w:t>Cooservir</w:t>
      </w:r>
      <w:proofErr w:type="spellEnd"/>
      <w:r w:rsidRPr="00C32A38">
        <w:rPr>
          <w:rFonts w:ascii="Century Gothic" w:hAnsi="Century Gothic" w:cs="Arial"/>
          <w:i/>
          <w:lang w:val="es-ES"/>
        </w:rPr>
        <w:t xml:space="preserve"> fue intervenida para liquidar el 10 de noviembre de 1997 y FIDULTRA presentó el crédito a favor del INURBE, el cual fue reconocido.</w:t>
      </w:r>
    </w:p>
    <w:p w14:paraId="47FFB68A" w14:textId="77777777" w:rsidR="00C32A38" w:rsidRPr="00C32A38" w:rsidRDefault="00C32A38" w:rsidP="00C32A38">
      <w:pPr>
        <w:spacing w:after="0" w:line="276" w:lineRule="auto"/>
        <w:ind w:left="567" w:right="567"/>
        <w:jc w:val="both"/>
        <w:rPr>
          <w:rFonts w:ascii="Century Gothic" w:hAnsi="Century Gothic" w:cs="Arial"/>
          <w:i/>
          <w:lang w:val="es-ES"/>
        </w:rPr>
      </w:pPr>
    </w:p>
    <w:p w14:paraId="380A9C3B"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“La Cooperativa Avancemos fue intervenida para liquidar el 4 de noviembre de 1997 y FIDULTRA presentó el crédito a favor del INURBE, el cual fue reconocido.</w:t>
      </w:r>
    </w:p>
    <w:p w14:paraId="0A1863F2" w14:textId="77777777" w:rsidR="00C32A38" w:rsidRPr="00C32A38" w:rsidRDefault="00C32A38" w:rsidP="00C32A38">
      <w:pPr>
        <w:spacing w:after="0" w:line="276" w:lineRule="auto"/>
        <w:ind w:left="567" w:right="567"/>
        <w:jc w:val="both"/>
        <w:rPr>
          <w:rFonts w:ascii="Century Gothic" w:hAnsi="Century Gothic" w:cs="Arial"/>
          <w:i/>
          <w:lang w:val="es-ES"/>
        </w:rPr>
      </w:pPr>
    </w:p>
    <w:p w14:paraId="64BEEC97"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“La Caja Popular Cooperativa fue intervenida para administrar y formuló una propuesta a todos los acreedores, de la cual se dio traslado al INURBE.</w:t>
      </w:r>
    </w:p>
    <w:p w14:paraId="0B87471B" w14:textId="77777777" w:rsidR="00C32A38" w:rsidRPr="00C32A38" w:rsidRDefault="00C32A38" w:rsidP="00C32A38">
      <w:pPr>
        <w:spacing w:after="0" w:line="276" w:lineRule="auto"/>
        <w:ind w:left="567" w:right="567"/>
        <w:jc w:val="both"/>
        <w:rPr>
          <w:rFonts w:ascii="Century Gothic" w:hAnsi="Century Gothic" w:cs="Arial"/>
          <w:i/>
          <w:lang w:val="es-ES"/>
        </w:rPr>
      </w:pPr>
    </w:p>
    <w:p w14:paraId="5FBFA003"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“GESTIÓN DE LA FIDUCIARIA</w:t>
      </w:r>
    </w:p>
    <w:p w14:paraId="556A7EB0" w14:textId="77777777" w:rsidR="00C32A38" w:rsidRPr="00C32A38" w:rsidRDefault="00C32A38" w:rsidP="00C32A38">
      <w:pPr>
        <w:spacing w:after="0" w:line="276" w:lineRule="auto"/>
        <w:ind w:left="567" w:right="567"/>
        <w:jc w:val="both"/>
        <w:rPr>
          <w:rFonts w:ascii="Century Gothic" w:hAnsi="Century Gothic" w:cs="Arial"/>
          <w:i/>
          <w:lang w:val="es-ES"/>
        </w:rPr>
      </w:pPr>
    </w:p>
    <w:p w14:paraId="718AF97B"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lastRenderedPageBreak/>
        <w:t xml:space="preserve">“En ejecución del contrato a que se refiere esta rendición de cuentas, FIDULTRA dio cumplimiento a sus obligaciones contractuales y, en ese sentido, administró diligentemente los recursos entregados, efectuó las inversiones autorizadas en virtud de lo ordenado por la Junta del Fideicomiso, y remitió al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los informes mensuales detallando mes a mes las cuentas del fideicomiso. </w:t>
      </w:r>
    </w:p>
    <w:p w14:paraId="7B91D1D3" w14:textId="77777777" w:rsidR="00C32A38" w:rsidRPr="00C32A38" w:rsidRDefault="00C32A38" w:rsidP="00C32A38">
      <w:pPr>
        <w:spacing w:after="0" w:line="276" w:lineRule="auto"/>
        <w:ind w:left="567" w:right="567"/>
        <w:jc w:val="both"/>
        <w:rPr>
          <w:rFonts w:ascii="Century Gothic" w:hAnsi="Century Gothic" w:cs="Arial"/>
          <w:i/>
          <w:lang w:val="es-ES"/>
        </w:rPr>
      </w:pPr>
    </w:p>
    <w:p w14:paraId="242B8C75"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“TERMINACIÓN DEL CONTRATO</w:t>
      </w:r>
    </w:p>
    <w:p w14:paraId="35B82146" w14:textId="77777777" w:rsidR="00C32A38" w:rsidRPr="00C32A38" w:rsidRDefault="00C32A38" w:rsidP="00C32A38">
      <w:pPr>
        <w:spacing w:after="0" w:line="276" w:lineRule="auto"/>
        <w:ind w:left="567" w:right="567"/>
        <w:jc w:val="both"/>
        <w:rPr>
          <w:rFonts w:ascii="Century Gothic" w:hAnsi="Century Gothic" w:cs="Arial"/>
          <w:i/>
          <w:lang w:val="es-ES"/>
        </w:rPr>
      </w:pPr>
    </w:p>
    <w:p w14:paraId="73E139D1"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“El día 31 de diciembre de 1997 terminó el contrato por expiración del plazo.</w:t>
      </w:r>
    </w:p>
    <w:p w14:paraId="2273FA64" w14:textId="77777777" w:rsidR="00C32A38" w:rsidRPr="00C32A38" w:rsidRDefault="00C32A38" w:rsidP="00C32A38">
      <w:pPr>
        <w:spacing w:after="0" w:line="276" w:lineRule="auto"/>
        <w:ind w:left="567" w:right="567"/>
        <w:jc w:val="both"/>
        <w:rPr>
          <w:rFonts w:ascii="Century Gothic" w:hAnsi="Century Gothic" w:cs="Arial"/>
          <w:i/>
          <w:lang w:val="es-ES"/>
        </w:rPr>
      </w:pPr>
    </w:p>
    <w:p w14:paraId="5659A4B8"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“DEVOLUCIÓN DE RECURSOS Y TÍTULO</w:t>
      </w:r>
    </w:p>
    <w:p w14:paraId="4811113E" w14:textId="77777777" w:rsidR="00C32A38" w:rsidRPr="00C32A38" w:rsidRDefault="00C32A38" w:rsidP="00C32A38">
      <w:pPr>
        <w:spacing w:after="0" w:line="276" w:lineRule="auto"/>
        <w:ind w:left="567" w:right="567"/>
        <w:jc w:val="both"/>
        <w:rPr>
          <w:rFonts w:ascii="Century Gothic" w:hAnsi="Century Gothic" w:cs="Arial"/>
          <w:i/>
          <w:lang w:val="es-ES"/>
        </w:rPr>
      </w:pPr>
    </w:p>
    <w:p w14:paraId="51CF4EAA"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“Con ocasión de la terminación del contrato procede su liquidación y la respectiva rendición de cuentas.</w:t>
      </w:r>
    </w:p>
    <w:p w14:paraId="1909B31E" w14:textId="77777777" w:rsidR="00C32A38" w:rsidRPr="00C32A38" w:rsidRDefault="00C32A38" w:rsidP="00C32A38">
      <w:pPr>
        <w:spacing w:after="0" w:line="276" w:lineRule="auto"/>
        <w:ind w:left="567" w:right="567"/>
        <w:jc w:val="both"/>
        <w:rPr>
          <w:rFonts w:ascii="Century Gothic" w:hAnsi="Century Gothic" w:cs="Arial"/>
          <w:i/>
          <w:lang w:val="es-ES"/>
        </w:rPr>
      </w:pPr>
    </w:p>
    <w:p w14:paraId="242933D5"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“El día 3 de febrero de 1998 se hizo devolución al INURBE de la suma de TRES MIL CUATROCIENTOS TRES MILLONES OCHOCIENTOS DIECINUEVE MIL TREINTA Y CINCO PESOS CON OCHENTA Y UN CENTAVOS ($3.403’819.035.81) por concepto de capital y la suma de CUARENTA Y NUEVE MILLONES SEISCIENTOS SETENTA Y DOS MIL DOSCIENTOS OCHENTA Y CUATRO PESOS CON CINCUENTA Y SIETE CENTAVOS ($49’672.284.57), por concepto de rendimientos. </w:t>
      </w:r>
    </w:p>
    <w:p w14:paraId="5BB6331E" w14:textId="77777777" w:rsidR="00C32A38" w:rsidRPr="00C32A38" w:rsidRDefault="00C32A38" w:rsidP="00C32A38">
      <w:pPr>
        <w:spacing w:after="0" w:line="276" w:lineRule="auto"/>
        <w:ind w:left="567" w:right="567"/>
        <w:jc w:val="both"/>
        <w:rPr>
          <w:rFonts w:ascii="Century Gothic" w:hAnsi="Century Gothic" w:cs="Arial"/>
          <w:i/>
          <w:lang w:val="es-ES"/>
        </w:rPr>
      </w:pPr>
    </w:p>
    <w:p w14:paraId="77D3DD56"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“Los títulos: CDAT No. 1870 EMITIDO POR </w:t>
      </w:r>
      <w:proofErr w:type="spellStart"/>
      <w:r w:rsidRPr="00C32A38">
        <w:rPr>
          <w:rFonts w:ascii="Century Gothic" w:hAnsi="Century Gothic" w:cs="Arial"/>
          <w:i/>
          <w:lang w:val="es-ES"/>
        </w:rPr>
        <w:t>Cooservir</w:t>
      </w:r>
      <w:proofErr w:type="spellEnd"/>
      <w:r w:rsidRPr="00C32A38">
        <w:rPr>
          <w:rFonts w:ascii="Century Gothic" w:hAnsi="Century Gothic" w:cs="Arial"/>
          <w:i/>
          <w:lang w:val="es-ES"/>
        </w:rPr>
        <w:t xml:space="preserve">, por valor de MIL QUINIENTOS MILLONES DE PESOS ($1.500’000.000.oo), el CDAT No. 48201 emitido por Avancemos, por valor de CIEN MILLONES DE PESOS ($100’000.000.oo) y el CDAT No. 17310 emitido por Caja Popular Cooperativa, por valor de OCHOCIENTOS MILLONES DE PESOS ($800’000.000.oo) se encuentran en la fiduciaria, a disposición del INURBE, como consecuencia expresa manifestación del INURBE de abstenerse de recibirlos. </w:t>
      </w:r>
    </w:p>
    <w:p w14:paraId="15DF2B79" w14:textId="77777777" w:rsidR="00C32A38" w:rsidRPr="00C32A38" w:rsidRDefault="00C32A38" w:rsidP="00C32A38">
      <w:pPr>
        <w:spacing w:after="0" w:line="276" w:lineRule="auto"/>
        <w:ind w:left="567" w:right="567"/>
        <w:jc w:val="both"/>
        <w:rPr>
          <w:rFonts w:ascii="Century Gothic" w:hAnsi="Century Gothic" w:cs="Arial"/>
          <w:i/>
          <w:lang w:val="es-ES"/>
        </w:rPr>
      </w:pPr>
    </w:p>
    <w:p w14:paraId="2D9384EB"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“COMISIONES FIDUCIARIAS</w:t>
      </w:r>
    </w:p>
    <w:p w14:paraId="0F5EFB8C" w14:textId="77777777" w:rsidR="00C32A38" w:rsidRPr="00C32A38" w:rsidRDefault="00C32A38" w:rsidP="00C32A38">
      <w:pPr>
        <w:spacing w:after="0" w:line="276" w:lineRule="auto"/>
        <w:ind w:left="567" w:right="567"/>
        <w:jc w:val="both"/>
        <w:rPr>
          <w:rFonts w:ascii="Century Gothic" w:hAnsi="Century Gothic" w:cs="Arial"/>
          <w:i/>
          <w:lang w:val="es-ES"/>
        </w:rPr>
      </w:pPr>
    </w:p>
    <w:p w14:paraId="49E4EAF9"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“Adjunto remitimos la relación de las comisiones fiduciarias cobradas al INURBE en ejecución del contrato. </w:t>
      </w:r>
    </w:p>
    <w:p w14:paraId="6E172660" w14:textId="77777777" w:rsidR="00C32A38" w:rsidRPr="00C32A38" w:rsidRDefault="00C32A38" w:rsidP="00C32A38">
      <w:pPr>
        <w:spacing w:after="0" w:line="276" w:lineRule="auto"/>
        <w:ind w:left="567" w:right="567"/>
        <w:jc w:val="both"/>
        <w:rPr>
          <w:rFonts w:ascii="Century Gothic" w:hAnsi="Century Gothic" w:cs="Arial"/>
          <w:i/>
          <w:lang w:val="es-ES"/>
        </w:rPr>
      </w:pPr>
    </w:p>
    <w:p w14:paraId="09281B80"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“COMISIONES PENDIENTES DE PAGO</w:t>
      </w:r>
    </w:p>
    <w:p w14:paraId="62B3C342" w14:textId="77777777" w:rsidR="00C32A38" w:rsidRPr="00C32A38" w:rsidRDefault="00C32A38" w:rsidP="00C32A38">
      <w:pPr>
        <w:spacing w:after="0" w:line="276" w:lineRule="auto"/>
        <w:ind w:left="567" w:right="567"/>
        <w:jc w:val="both"/>
        <w:rPr>
          <w:rFonts w:ascii="Century Gothic" w:hAnsi="Century Gothic" w:cs="Arial"/>
          <w:i/>
          <w:lang w:val="es-ES"/>
        </w:rPr>
      </w:pPr>
    </w:p>
    <w:p w14:paraId="255698F0"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“Actualmente el INURBE adeuda a FIDULTRA S.A. la suma de ONCE MILLONES CIENTO NUEVE MIL CUATROCIENTOS VEINTINUEVE PESOS ($11’109.429) (…)”.</w:t>
      </w:r>
    </w:p>
    <w:p w14:paraId="0636007D" w14:textId="77777777" w:rsidR="00C32A38" w:rsidRPr="00C32A38" w:rsidRDefault="00C32A38" w:rsidP="00C32A38">
      <w:pPr>
        <w:spacing w:after="0" w:line="276" w:lineRule="auto"/>
        <w:ind w:right="51"/>
        <w:jc w:val="both"/>
        <w:rPr>
          <w:rFonts w:ascii="Century Gothic" w:hAnsi="Century Gothic" w:cs="Arial"/>
          <w:b/>
          <w:sz w:val="24"/>
          <w:szCs w:val="24"/>
          <w:lang w:val="es-ES"/>
        </w:rPr>
      </w:pPr>
    </w:p>
    <w:p w14:paraId="60BD71F5" w14:textId="77777777" w:rsidR="00C32A38" w:rsidRPr="00C32A38" w:rsidRDefault="00C32A38" w:rsidP="00C32A38">
      <w:pPr>
        <w:spacing w:after="0" w:line="276" w:lineRule="auto"/>
        <w:ind w:right="51"/>
        <w:jc w:val="both"/>
        <w:rPr>
          <w:rFonts w:ascii="Century Gothic" w:hAnsi="Century Gothic" w:cs="Arial"/>
          <w:b/>
          <w:sz w:val="24"/>
          <w:szCs w:val="24"/>
          <w:lang w:val="es-ES"/>
        </w:rPr>
      </w:pPr>
    </w:p>
    <w:p w14:paraId="5EC9A6D5" w14:textId="77777777" w:rsidR="00C32A38" w:rsidRPr="00C32A38" w:rsidRDefault="00C32A38" w:rsidP="00C32A38">
      <w:pPr>
        <w:spacing w:after="0" w:line="276" w:lineRule="auto"/>
        <w:ind w:right="51"/>
        <w:jc w:val="both"/>
        <w:rPr>
          <w:rFonts w:ascii="Century Gothic" w:hAnsi="Century Gothic" w:cs="Arial"/>
          <w:b/>
          <w:sz w:val="24"/>
          <w:szCs w:val="24"/>
          <w:lang w:val="es-ES"/>
        </w:rPr>
      </w:pPr>
      <w:r w:rsidRPr="00C32A38">
        <w:rPr>
          <w:rFonts w:ascii="Century Gothic" w:hAnsi="Century Gothic" w:cs="Arial"/>
          <w:b/>
          <w:sz w:val="24"/>
          <w:szCs w:val="24"/>
          <w:lang w:val="es-ES"/>
        </w:rPr>
        <w:t>2.2.8. Acto de liquidación unilateral y su confirmación</w:t>
      </w:r>
    </w:p>
    <w:p w14:paraId="7912299E" w14:textId="77777777" w:rsidR="00C32A38" w:rsidRPr="00C32A38" w:rsidRDefault="00C32A38" w:rsidP="00C32A38">
      <w:pPr>
        <w:spacing w:after="0" w:line="360" w:lineRule="auto"/>
        <w:jc w:val="both"/>
        <w:rPr>
          <w:rFonts w:ascii="Century Gothic" w:hAnsi="Century Gothic" w:cs="Arial"/>
          <w:b/>
          <w:sz w:val="24"/>
          <w:szCs w:val="24"/>
          <w:lang w:val="es-ES"/>
        </w:rPr>
      </w:pPr>
    </w:p>
    <w:p w14:paraId="48D39659"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Consta en el expediente la Resolución No. 718 de 23 de noviembre de 1999</w:t>
      </w:r>
      <w:r w:rsidRPr="00C32A38">
        <w:rPr>
          <w:rFonts w:ascii="Century Gothic" w:hAnsi="Century Gothic" w:cs="Arial"/>
          <w:sz w:val="24"/>
          <w:szCs w:val="24"/>
          <w:vertAlign w:val="superscript"/>
          <w:lang w:val="es-ES"/>
        </w:rPr>
        <w:footnoteReference w:id="65"/>
      </w:r>
      <w:r w:rsidRPr="00C32A38">
        <w:rPr>
          <w:rFonts w:ascii="Century Gothic" w:hAnsi="Century Gothic" w:cs="Arial"/>
          <w:sz w:val="24"/>
          <w:szCs w:val="24"/>
          <w:lang w:val="es-ES"/>
        </w:rPr>
        <w:t xml:space="preserve"> mediante la cual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liquidó unilateralmente el contrato de fiducia </w:t>
      </w:r>
      <w:r w:rsidRPr="00C32A38">
        <w:rPr>
          <w:rFonts w:ascii="Century Gothic" w:hAnsi="Century Gothic" w:cs="Arial"/>
          <w:sz w:val="24"/>
          <w:szCs w:val="24"/>
          <w:lang w:val="es-ES"/>
        </w:rPr>
        <w:lastRenderedPageBreak/>
        <w:t>pública No. 103 de 1995. La entidad, tras realizar una trascripción de las obligaciones del contrato a cargo de la fiduciaria, sostuvo lo siguiente (se trascribe):</w:t>
      </w:r>
    </w:p>
    <w:p w14:paraId="783BA939" w14:textId="77777777" w:rsidR="00C32A38" w:rsidRPr="00C32A38" w:rsidRDefault="00C32A38" w:rsidP="00C32A38">
      <w:pPr>
        <w:spacing w:after="0" w:line="276" w:lineRule="auto"/>
        <w:ind w:left="567" w:right="567"/>
        <w:jc w:val="both"/>
        <w:rPr>
          <w:rFonts w:ascii="Century Gothic" w:hAnsi="Century Gothic" w:cs="Arial"/>
          <w:sz w:val="24"/>
          <w:szCs w:val="24"/>
          <w:lang w:val="es-ES"/>
        </w:rPr>
      </w:pPr>
    </w:p>
    <w:p w14:paraId="23D7E832"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“Que para la fecha de expiración del plazo contractual, esto es diciembre 31 de 1997, el portafolio de inversiones efectuadas por la fiduciaria con los recursos entregados por el Fideicomitente, presentaba las siguientes características:</w:t>
      </w:r>
    </w:p>
    <w:p w14:paraId="2CF37CA3" w14:textId="77777777" w:rsidR="00C32A38" w:rsidRPr="00C32A38" w:rsidRDefault="00C32A38" w:rsidP="00C32A38">
      <w:pPr>
        <w:spacing w:after="0" w:line="360" w:lineRule="auto"/>
        <w:jc w:val="both"/>
        <w:rPr>
          <w:rFonts w:ascii="Century Gothic" w:hAnsi="Century Gothic" w:cs="Arial"/>
          <w:i/>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6"/>
        <w:gridCol w:w="1497"/>
        <w:gridCol w:w="1497"/>
        <w:gridCol w:w="1497"/>
        <w:gridCol w:w="1497"/>
      </w:tblGrid>
      <w:tr w:rsidR="00C32A38" w:rsidRPr="00C32A38" w14:paraId="7CE5C8C8" w14:textId="77777777" w:rsidTr="000C51DA">
        <w:tc>
          <w:tcPr>
            <w:tcW w:w="1496" w:type="dxa"/>
            <w:shd w:val="clear" w:color="auto" w:fill="auto"/>
          </w:tcPr>
          <w:p w14:paraId="14015514"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FINANCIERA</w:t>
            </w:r>
          </w:p>
        </w:tc>
        <w:tc>
          <w:tcPr>
            <w:tcW w:w="1496" w:type="dxa"/>
            <w:shd w:val="clear" w:color="auto" w:fill="auto"/>
          </w:tcPr>
          <w:p w14:paraId="1229AE45"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VALOR NOMINAL</w:t>
            </w:r>
          </w:p>
        </w:tc>
        <w:tc>
          <w:tcPr>
            <w:tcW w:w="1497" w:type="dxa"/>
            <w:shd w:val="clear" w:color="auto" w:fill="auto"/>
          </w:tcPr>
          <w:p w14:paraId="640F43E9"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FECHA EMISIÓN</w:t>
            </w:r>
          </w:p>
        </w:tc>
        <w:tc>
          <w:tcPr>
            <w:tcW w:w="1497" w:type="dxa"/>
            <w:shd w:val="clear" w:color="auto" w:fill="auto"/>
          </w:tcPr>
          <w:p w14:paraId="38AD4059"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FECHA VENCI/TO</w:t>
            </w:r>
          </w:p>
        </w:tc>
        <w:tc>
          <w:tcPr>
            <w:tcW w:w="1497" w:type="dxa"/>
            <w:shd w:val="clear" w:color="auto" w:fill="auto"/>
          </w:tcPr>
          <w:p w14:paraId="698A7617"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DIAS</w:t>
            </w:r>
          </w:p>
        </w:tc>
        <w:tc>
          <w:tcPr>
            <w:tcW w:w="1497" w:type="dxa"/>
            <w:shd w:val="clear" w:color="auto" w:fill="auto"/>
          </w:tcPr>
          <w:p w14:paraId="7FE12F70"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TASA EFECTIVA</w:t>
            </w:r>
          </w:p>
        </w:tc>
      </w:tr>
      <w:tr w:rsidR="00C32A38" w:rsidRPr="00C32A38" w14:paraId="6FB60083" w14:textId="77777777" w:rsidTr="000C51DA">
        <w:tc>
          <w:tcPr>
            <w:tcW w:w="1496" w:type="dxa"/>
            <w:shd w:val="clear" w:color="auto" w:fill="auto"/>
          </w:tcPr>
          <w:p w14:paraId="16548C7B"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 xml:space="preserve">Cooperativa </w:t>
            </w:r>
            <w:proofErr w:type="spellStart"/>
            <w:r w:rsidRPr="00C32A38">
              <w:rPr>
                <w:rFonts w:ascii="Century Gothic" w:hAnsi="Century Gothic" w:cs="Arial"/>
                <w:i/>
                <w:sz w:val="20"/>
                <w:szCs w:val="20"/>
                <w:lang w:val="es-ES"/>
              </w:rPr>
              <w:t>Cooservir</w:t>
            </w:r>
            <w:proofErr w:type="spellEnd"/>
          </w:p>
        </w:tc>
        <w:tc>
          <w:tcPr>
            <w:tcW w:w="1496" w:type="dxa"/>
            <w:shd w:val="clear" w:color="auto" w:fill="auto"/>
          </w:tcPr>
          <w:p w14:paraId="449E0CD8"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1.500.000.000</w:t>
            </w:r>
          </w:p>
        </w:tc>
        <w:tc>
          <w:tcPr>
            <w:tcW w:w="1497" w:type="dxa"/>
            <w:shd w:val="clear" w:color="auto" w:fill="auto"/>
          </w:tcPr>
          <w:p w14:paraId="7E5FA337"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23/08/96</w:t>
            </w:r>
          </w:p>
        </w:tc>
        <w:tc>
          <w:tcPr>
            <w:tcW w:w="1497" w:type="dxa"/>
            <w:shd w:val="clear" w:color="auto" w:fill="auto"/>
          </w:tcPr>
          <w:p w14:paraId="360572A3"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23/01/97</w:t>
            </w:r>
          </w:p>
        </w:tc>
        <w:tc>
          <w:tcPr>
            <w:tcW w:w="1497" w:type="dxa"/>
            <w:shd w:val="clear" w:color="auto" w:fill="auto"/>
          </w:tcPr>
          <w:p w14:paraId="0A0BA239"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150</w:t>
            </w:r>
          </w:p>
        </w:tc>
        <w:tc>
          <w:tcPr>
            <w:tcW w:w="1497" w:type="dxa"/>
            <w:shd w:val="clear" w:color="auto" w:fill="auto"/>
          </w:tcPr>
          <w:p w14:paraId="7B5B115C"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31.5</w:t>
            </w:r>
          </w:p>
        </w:tc>
      </w:tr>
      <w:tr w:rsidR="00C32A38" w:rsidRPr="00C32A38" w14:paraId="1288F572" w14:textId="77777777" w:rsidTr="000C51DA">
        <w:tc>
          <w:tcPr>
            <w:tcW w:w="1496" w:type="dxa"/>
            <w:shd w:val="clear" w:color="auto" w:fill="auto"/>
          </w:tcPr>
          <w:p w14:paraId="343E98CD"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Caja Popular Cooperativa</w:t>
            </w:r>
          </w:p>
        </w:tc>
        <w:tc>
          <w:tcPr>
            <w:tcW w:w="1496" w:type="dxa"/>
            <w:shd w:val="clear" w:color="auto" w:fill="auto"/>
          </w:tcPr>
          <w:p w14:paraId="6078CA03"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800.000.000</w:t>
            </w:r>
          </w:p>
        </w:tc>
        <w:tc>
          <w:tcPr>
            <w:tcW w:w="1497" w:type="dxa"/>
            <w:shd w:val="clear" w:color="auto" w:fill="auto"/>
          </w:tcPr>
          <w:p w14:paraId="14EAB141"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23/06/97</w:t>
            </w:r>
          </w:p>
        </w:tc>
        <w:tc>
          <w:tcPr>
            <w:tcW w:w="1497" w:type="dxa"/>
            <w:shd w:val="clear" w:color="auto" w:fill="auto"/>
          </w:tcPr>
          <w:p w14:paraId="0A9ECE21"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19/08/97</w:t>
            </w:r>
          </w:p>
        </w:tc>
        <w:tc>
          <w:tcPr>
            <w:tcW w:w="1497" w:type="dxa"/>
            <w:shd w:val="clear" w:color="auto" w:fill="auto"/>
          </w:tcPr>
          <w:p w14:paraId="09566E5B"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45</w:t>
            </w:r>
          </w:p>
        </w:tc>
        <w:tc>
          <w:tcPr>
            <w:tcW w:w="1497" w:type="dxa"/>
            <w:shd w:val="clear" w:color="auto" w:fill="auto"/>
          </w:tcPr>
          <w:p w14:paraId="53D44C89"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21.23</w:t>
            </w:r>
          </w:p>
        </w:tc>
      </w:tr>
      <w:tr w:rsidR="00C32A38" w:rsidRPr="00C32A38" w14:paraId="79C37E95" w14:textId="77777777" w:rsidTr="000C51DA">
        <w:tc>
          <w:tcPr>
            <w:tcW w:w="1496" w:type="dxa"/>
            <w:shd w:val="clear" w:color="auto" w:fill="auto"/>
          </w:tcPr>
          <w:p w14:paraId="2B3CC971"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Cooperativa Avancemos</w:t>
            </w:r>
          </w:p>
        </w:tc>
        <w:tc>
          <w:tcPr>
            <w:tcW w:w="1496" w:type="dxa"/>
            <w:shd w:val="clear" w:color="auto" w:fill="auto"/>
          </w:tcPr>
          <w:p w14:paraId="5608C246"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100.000.000</w:t>
            </w:r>
          </w:p>
        </w:tc>
        <w:tc>
          <w:tcPr>
            <w:tcW w:w="1497" w:type="dxa"/>
            <w:shd w:val="clear" w:color="auto" w:fill="auto"/>
          </w:tcPr>
          <w:p w14:paraId="2911E98C"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15/01/97</w:t>
            </w:r>
          </w:p>
        </w:tc>
        <w:tc>
          <w:tcPr>
            <w:tcW w:w="1497" w:type="dxa"/>
            <w:shd w:val="clear" w:color="auto" w:fill="auto"/>
          </w:tcPr>
          <w:p w14:paraId="2F396BD7"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15/01/98</w:t>
            </w:r>
          </w:p>
        </w:tc>
        <w:tc>
          <w:tcPr>
            <w:tcW w:w="1497" w:type="dxa"/>
            <w:shd w:val="clear" w:color="auto" w:fill="auto"/>
          </w:tcPr>
          <w:p w14:paraId="48EAD1A0"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1 año</w:t>
            </w:r>
          </w:p>
        </w:tc>
        <w:tc>
          <w:tcPr>
            <w:tcW w:w="1497" w:type="dxa"/>
            <w:shd w:val="clear" w:color="auto" w:fill="auto"/>
          </w:tcPr>
          <w:p w14:paraId="7378BBA4"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Corrección monetaria</w:t>
            </w:r>
          </w:p>
        </w:tc>
      </w:tr>
      <w:tr w:rsidR="00C32A38" w:rsidRPr="00C32A38" w14:paraId="7062CF2D" w14:textId="77777777" w:rsidTr="000C51DA">
        <w:tc>
          <w:tcPr>
            <w:tcW w:w="1496" w:type="dxa"/>
            <w:shd w:val="clear" w:color="auto" w:fill="auto"/>
          </w:tcPr>
          <w:p w14:paraId="5BDC0BA5"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Total</w:t>
            </w:r>
          </w:p>
        </w:tc>
        <w:tc>
          <w:tcPr>
            <w:tcW w:w="1496" w:type="dxa"/>
            <w:shd w:val="clear" w:color="auto" w:fill="auto"/>
          </w:tcPr>
          <w:p w14:paraId="23B799FA" w14:textId="77777777" w:rsidR="00C32A38" w:rsidRPr="00C32A38" w:rsidRDefault="00C32A38" w:rsidP="00C32A38">
            <w:pPr>
              <w:spacing w:after="0" w:line="360" w:lineRule="auto"/>
              <w:jc w:val="both"/>
              <w:rPr>
                <w:rFonts w:ascii="Century Gothic" w:hAnsi="Century Gothic" w:cs="Arial"/>
                <w:i/>
                <w:sz w:val="20"/>
                <w:szCs w:val="20"/>
                <w:lang w:val="es-ES"/>
              </w:rPr>
            </w:pPr>
            <w:r w:rsidRPr="00C32A38">
              <w:rPr>
                <w:rFonts w:ascii="Century Gothic" w:hAnsi="Century Gothic" w:cs="Arial"/>
                <w:i/>
                <w:sz w:val="20"/>
                <w:szCs w:val="20"/>
                <w:lang w:val="es-ES"/>
              </w:rPr>
              <w:t>2.400.000.000</w:t>
            </w:r>
          </w:p>
        </w:tc>
        <w:tc>
          <w:tcPr>
            <w:tcW w:w="1497" w:type="dxa"/>
            <w:shd w:val="clear" w:color="auto" w:fill="auto"/>
          </w:tcPr>
          <w:p w14:paraId="559AC7E9" w14:textId="77777777" w:rsidR="00C32A38" w:rsidRPr="00C32A38" w:rsidRDefault="00C32A38" w:rsidP="00C32A38">
            <w:pPr>
              <w:spacing w:after="0" w:line="360" w:lineRule="auto"/>
              <w:jc w:val="both"/>
              <w:rPr>
                <w:rFonts w:ascii="Century Gothic" w:hAnsi="Century Gothic" w:cs="Arial"/>
                <w:i/>
                <w:sz w:val="20"/>
                <w:szCs w:val="20"/>
                <w:lang w:val="es-ES"/>
              </w:rPr>
            </w:pPr>
          </w:p>
        </w:tc>
        <w:tc>
          <w:tcPr>
            <w:tcW w:w="1497" w:type="dxa"/>
            <w:shd w:val="clear" w:color="auto" w:fill="auto"/>
          </w:tcPr>
          <w:p w14:paraId="2DF42969" w14:textId="77777777" w:rsidR="00C32A38" w:rsidRPr="00C32A38" w:rsidRDefault="00C32A38" w:rsidP="00C32A38">
            <w:pPr>
              <w:spacing w:after="0" w:line="360" w:lineRule="auto"/>
              <w:jc w:val="both"/>
              <w:rPr>
                <w:rFonts w:ascii="Century Gothic" w:hAnsi="Century Gothic" w:cs="Arial"/>
                <w:i/>
                <w:sz w:val="20"/>
                <w:szCs w:val="20"/>
                <w:lang w:val="es-ES"/>
              </w:rPr>
            </w:pPr>
          </w:p>
        </w:tc>
        <w:tc>
          <w:tcPr>
            <w:tcW w:w="1497" w:type="dxa"/>
            <w:shd w:val="clear" w:color="auto" w:fill="auto"/>
          </w:tcPr>
          <w:p w14:paraId="0AE56CFA" w14:textId="77777777" w:rsidR="00C32A38" w:rsidRPr="00C32A38" w:rsidRDefault="00C32A38" w:rsidP="00C32A38">
            <w:pPr>
              <w:spacing w:after="0" w:line="360" w:lineRule="auto"/>
              <w:jc w:val="both"/>
              <w:rPr>
                <w:rFonts w:ascii="Century Gothic" w:hAnsi="Century Gothic" w:cs="Arial"/>
                <w:i/>
                <w:sz w:val="20"/>
                <w:szCs w:val="20"/>
                <w:lang w:val="es-ES"/>
              </w:rPr>
            </w:pPr>
          </w:p>
        </w:tc>
        <w:tc>
          <w:tcPr>
            <w:tcW w:w="1497" w:type="dxa"/>
            <w:shd w:val="clear" w:color="auto" w:fill="auto"/>
          </w:tcPr>
          <w:p w14:paraId="1E925F68" w14:textId="77777777" w:rsidR="00C32A38" w:rsidRPr="00C32A38" w:rsidRDefault="00C32A38" w:rsidP="00C32A38">
            <w:pPr>
              <w:spacing w:after="0" w:line="360" w:lineRule="auto"/>
              <w:jc w:val="both"/>
              <w:rPr>
                <w:rFonts w:ascii="Century Gothic" w:hAnsi="Century Gothic" w:cs="Arial"/>
                <w:i/>
                <w:sz w:val="20"/>
                <w:szCs w:val="20"/>
                <w:lang w:val="es-ES"/>
              </w:rPr>
            </w:pPr>
          </w:p>
        </w:tc>
      </w:tr>
    </w:tbl>
    <w:p w14:paraId="19B2EC9B" w14:textId="77777777" w:rsidR="00C32A38" w:rsidRPr="00C32A38" w:rsidRDefault="00C32A38" w:rsidP="00C32A38">
      <w:pPr>
        <w:spacing w:after="0" w:line="360" w:lineRule="auto"/>
        <w:jc w:val="both"/>
        <w:rPr>
          <w:rFonts w:ascii="Century Gothic" w:hAnsi="Century Gothic" w:cs="Arial"/>
          <w:i/>
          <w:sz w:val="24"/>
          <w:szCs w:val="24"/>
          <w:lang w:val="es-ES"/>
        </w:rPr>
      </w:pPr>
    </w:p>
    <w:p w14:paraId="002BC882"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“Que hasta la fecha de expedición de la presente Resolución la SOCIEDAD ULTRA SERVICIOS FIDUCIARIOS S.A. – FIDULTRA S.A., no ha efectuado en favor el INURBE, la devolución de los dineros materia de las inversiones temporales, realizadas por ésta durante la vigencia del contrato.</w:t>
      </w:r>
    </w:p>
    <w:p w14:paraId="2AB7E0AB" w14:textId="77777777" w:rsidR="00C32A38" w:rsidRPr="00C32A38" w:rsidRDefault="00C32A38" w:rsidP="00C32A38">
      <w:pPr>
        <w:spacing w:after="0" w:line="276" w:lineRule="auto"/>
        <w:ind w:left="567" w:right="567"/>
        <w:jc w:val="both"/>
        <w:rPr>
          <w:rFonts w:ascii="Century Gothic" w:hAnsi="Century Gothic" w:cs="Arial"/>
          <w:i/>
          <w:lang w:val="es-ES"/>
        </w:rPr>
      </w:pPr>
    </w:p>
    <w:p w14:paraId="6B32D7DC"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“Que LA SOCIEDAD ULTRA SERVICIOS FIDUCIARIOS S.A.- FIDULTRA S.A., presentó un informe final que fue examinado por la División de Contabilidad del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según consta en documento suscrito por la </w:t>
      </w:r>
      <w:proofErr w:type="gramStart"/>
      <w:r w:rsidRPr="00C32A38">
        <w:rPr>
          <w:rFonts w:ascii="Century Gothic" w:hAnsi="Century Gothic" w:cs="Arial"/>
          <w:i/>
          <w:lang w:val="es-ES"/>
        </w:rPr>
        <w:t>Jefe</w:t>
      </w:r>
      <w:proofErr w:type="gramEnd"/>
      <w:r w:rsidRPr="00C32A38">
        <w:rPr>
          <w:rFonts w:ascii="Century Gothic" w:hAnsi="Century Gothic" w:cs="Arial"/>
          <w:i/>
          <w:lang w:val="es-ES"/>
        </w:rPr>
        <w:t xml:space="preserve"> de esta División el 28 de enero de 1999 y en el mismo se determinó el siguiente estado de resultados del contrato de fiducia pública materia de esta liquidación (…)</w:t>
      </w:r>
    </w:p>
    <w:p w14:paraId="1890160D" w14:textId="77777777" w:rsidR="00C32A38" w:rsidRPr="00C32A38" w:rsidRDefault="00C32A38" w:rsidP="00C32A38">
      <w:pPr>
        <w:spacing w:after="0" w:line="276" w:lineRule="auto"/>
        <w:ind w:left="567" w:right="567"/>
        <w:jc w:val="both"/>
        <w:rPr>
          <w:rFonts w:ascii="Century Gothic" w:hAnsi="Century Gothic" w:cs="Arial"/>
          <w:i/>
          <w:lang w:val="es-ES"/>
        </w:rPr>
      </w:pPr>
    </w:p>
    <w:p w14:paraId="6AAA9F67"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 xml:space="preserve">“Que a fin de establecer el valor actual de la obligación económica a cargo de la Fiduciaria, por concepto de las inversiones temporales realizadas durante la vigencia del contrato, cuyo producto aún no se ha reintegrado al </w:t>
      </w:r>
      <w:proofErr w:type="spellStart"/>
      <w:r w:rsidRPr="00C32A38">
        <w:rPr>
          <w:rFonts w:ascii="Century Gothic" w:hAnsi="Century Gothic" w:cs="Arial"/>
          <w:i/>
          <w:lang w:val="es-ES"/>
        </w:rPr>
        <w:t>Inurbe</w:t>
      </w:r>
      <w:proofErr w:type="spellEnd"/>
      <w:r w:rsidRPr="00C32A38">
        <w:rPr>
          <w:rFonts w:ascii="Century Gothic" w:hAnsi="Century Gothic" w:cs="Arial"/>
          <w:i/>
          <w:lang w:val="es-ES"/>
        </w:rPr>
        <w:t xml:space="preserve">, la Subgerencia Administrativa y Financiera efectuó la liquidación del crédito, con corte a 30 de septiembre de 1999 la cual arrojó como resultado, la suma de </w:t>
      </w:r>
      <w:r w:rsidRPr="00C32A38">
        <w:rPr>
          <w:rFonts w:ascii="Century Gothic" w:hAnsi="Century Gothic" w:cs="Arial"/>
          <w:b/>
          <w:i/>
          <w:lang w:val="es-ES"/>
        </w:rPr>
        <w:t xml:space="preserve">TRES MIL OCHOCIENTOS CUARENTA Y SIETE MILLONES SEISCIENTOS CINCUENTA Y CINCO MIL SETECIENTOS NOVENTA Y SEIS PESOS 71/100 MCTE ($3.847’655.796.71) </w:t>
      </w:r>
      <w:r w:rsidRPr="00C32A38">
        <w:rPr>
          <w:rFonts w:ascii="Century Gothic" w:hAnsi="Century Gothic" w:cs="Arial"/>
          <w:i/>
          <w:lang w:val="es-ES"/>
        </w:rPr>
        <w:t>discriminados así:</w:t>
      </w:r>
    </w:p>
    <w:p w14:paraId="2EB2127A" w14:textId="77777777" w:rsidR="00C32A38" w:rsidRPr="00C32A38" w:rsidRDefault="00C32A38" w:rsidP="00C32A38">
      <w:pPr>
        <w:spacing w:after="0" w:line="276" w:lineRule="auto"/>
        <w:ind w:left="567" w:right="567"/>
        <w:jc w:val="both"/>
        <w:rPr>
          <w:rFonts w:ascii="Century Gothic" w:hAnsi="Century Gothic" w:cs="Arial"/>
          <w:i/>
          <w:lang w:val="es-ES"/>
        </w:rPr>
      </w:pPr>
    </w:p>
    <w:p w14:paraId="007BA6EB" w14:textId="77777777" w:rsidR="00C32A38" w:rsidRPr="00C32A38" w:rsidRDefault="00C32A38" w:rsidP="00C32A38">
      <w:pPr>
        <w:numPr>
          <w:ilvl w:val="0"/>
          <w:numId w:val="10"/>
        </w:num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Capital actualizado</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$3.812’189.372.76</w:t>
      </w:r>
    </w:p>
    <w:p w14:paraId="22BF3B9F" w14:textId="77777777" w:rsidR="00C32A38" w:rsidRPr="00C32A38" w:rsidRDefault="00C32A38" w:rsidP="00C32A38">
      <w:pPr>
        <w:numPr>
          <w:ilvl w:val="0"/>
          <w:numId w:val="10"/>
        </w:num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Intereses</w:t>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r>
      <w:r w:rsidRPr="00C32A38">
        <w:rPr>
          <w:rFonts w:ascii="Century Gothic" w:hAnsi="Century Gothic" w:cs="Arial"/>
          <w:i/>
          <w:lang w:val="es-ES"/>
        </w:rPr>
        <w:tab/>
        <w:t>$35’.466.423.95</w:t>
      </w:r>
    </w:p>
    <w:p w14:paraId="1D5F09B9" w14:textId="77777777" w:rsidR="00C32A38" w:rsidRPr="00C32A38" w:rsidRDefault="00C32A38" w:rsidP="00C32A38">
      <w:pPr>
        <w:spacing w:after="0" w:line="276" w:lineRule="auto"/>
        <w:ind w:left="567" w:right="567"/>
        <w:jc w:val="both"/>
        <w:rPr>
          <w:rFonts w:ascii="Century Gothic" w:hAnsi="Century Gothic" w:cs="Arial"/>
          <w:i/>
          <w:lang w:val="es-ES"/>
        </w:rPr>
      </w:pPr>
    </w:p>
    <w:p w14:paraId="6204BDB5"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p>
    <w:p w14:paraId="6AEEB37D" w14:textId="77777777" w:rsidR="00C32A38" w:rsidRPr="00C32A38" w:rsidRDefault="00C32A38" w:rsidP="00C32A38">
      <w:pPr>
        <w:spacing w:after="0" w:line="276" w:lineRule="auto"/>
        <w:ind w:left="567" w:right="567"/>
        <w:jc w:val="both"/>
        <w:rPr>
          <w:rFonts w:ascii="Century Gothic" w:hAnsi="Century Gothic" w:cs="Arial"/>
          <w:i/>
          <w:lang w:val="es-ES"/>
        </w:rPr>
      </w:pPr>
    </w:p>
    <w:p w14:paraId="6268A5C3" w14:textId="77777777" w:rsidR="00C32A38" w:rsidRPr="00C32A38" w:rsidRDefault="00C32A38" w:rsidP="00C32A38">
      <w:pPr>
        <w:spacing w:after="0" w:line="276" w:lineRule="auto"/>
        <w:ind w:left="567" w:right="567"/>
        <w:jc w:val="center"/>
        <w:rPr>
          <w:rFonts w:ascii="Century Gothic" w:hAnsi="Century Gothic" w:cs="Arial"/>
          <w:b/>
          <w:i/>
          <w:lang w:val="es-ES"/>
        </w:rPr>
      </w:pPr>
      <w:r w:rsidRPr="00C32A38">
        <w:rPr>
          <w:rFonts w:ascii="Century Gothic" w:hAnsi="Century Gothic" w:cs="Arial"/>
          <w:i/>
          <w:lang w:val="es-ES"/>
        </w:rPr>
        <w:t>“</w:t>
      </w:r>
      <w:r w:rsidRPr="00C32A38">
        <w:rPr>
          <w:rFonts w:ascii="Century Gothic" w:hAnsi="Century Gothic" w:cs="Arial"/>
          <w:b/>
          <w:i/>
          <w:lang w:val="es-ES"/>
        </w:rPr>
        <w:t>RESUELVE</w:t>
      </w:r>
    </w:p>
    <w:p w14:paraId="63AC24A5" w14:textId="77777777" w:rsidR="00C32A38" w:rsidRPr="00C32A38" w:rsidRDefault="00C32A38" w:rsidP="00C32A38">
      <w:pPr>
        <w:spacing w:after="0" w:line="276" w:lineRule="auto"/>
        <w:ind w:left="567" w:right="567"/>
        <w:jc w:val="both"/>
        <w:rPr>
          <w:rFonts w:ascii="Century Gothic" w:hAnsi="Century Gothic" w:cs="Arial"/>
          <w:b/>
          <w:i/>
          <w:lang w:val="es-ES"/>
        </w:rPr>
      </w:pPr>
    </w:p>
    <w:p w14:paraId="5E06C2FA"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b/>
          <w:i/>
          <w:lang w:val="es-ES"/>
        </w:rPr>
        <w:t xml:space="preserve">“ARTÍCULO PRIMERO: </w:t>
      </w:r>
      <w:r w:rsidRPr="00C32A38">
        <w:rPr>
          <w:rFonts w:ascii="Century Gothic" w:hAnsi="Century Gothic" w:cs="Arial"/>
          <w:i/>
          <w:lang w:val="es-ES"/>
        </w:rPr>
        <w:t xml:space="preserve">Liquidar unilateralmente el contrato de fiducia pública para la Administración e inversión de los Recursos de las operaciones de apalancamiento de créditos </w:t>
      </w:r>
      <w:proofErr w:type="spellStart"/>
      <w:r w:rsidRPr="00C32A38">
        <w:rPr>
          <w:rFonts w:ascii="Century Gothic" w:hAnsi="Century Gothic" w:cs="Arial"/>
          <w:i/>
          <w:lang w:val="es-ES"/>
        </w:rPr>
        <w:t>N°</w:t>
      </w:r>
      <w:proofErr w:type="spellEnd"/>
      <w:r w:rsidRPr="00C32A38">
        <w:rPr>
          <w:rFonts w:ascii="Century Gothic" w:hAnsi="Century Gothic" w:cs="Arial"/>
          <w:i/>
          <w:lang w:val="es-ES"/>
        </w:rPr>
        <w:t xml:space="preserve"> 103 del 22 de diciembre de 1995 y su adicional </w:t>
      </w:r>
      <w:proofErr w:type="spellStart"/>
      <w:r w:rsidRPr="00C32A38">
        <w:rPr>
          <w:rFonts w:ascii="Century Gothic" w:hAnsi="Century Gothic" w:cs="Arial"/>
          <w:i/>
          <w:lang w:val="es-ES"/>
        </w:rPr>
        <w:t>N°</w:t>
      </w:r>
      <w:proofErr w:type="spellEnd"/>
      <w:r w:rsidRPr="00C32A38">
        <w:rPr>
          <w:rFonts w:ascii="Century Gothic" w:hAnsi="Century Gothic" w:cs="Arial"/>
          <w:i/>
          <w:lang w:val="es-ES"/>
        </w:rPr>
        <w:t xml:space="preserve"> 1 del 31 de diciembre de 1996, suscritos entre el </w:t>
      </w:r>
      <w:r w:rsidRPr="00C32A38">
        <w:rPr>
          <w:rFonts w:ascii="Century Gothic" w:hAnsi="Century Gothic" w:cs="Arial"/>
          <w:b/>
          <w:i/>
          <w:lang w:val="es-ES"/>
        </w:rPr>
        <w:t xml:space="preserve">INSTITUTO NACIONAL DE VIVIENDA DE INTERÉS SOCIAL Y DE REFORMA URBANA – INURBE Y LA SOCIEDAD ULTRA SERVICIOS FIDUCIARIOS S.A. – FIDULTRA S.A., </w:t>
      </w:r>
      <w:r w:rsidRPr="00C32A38">
        <w:rPr>
          <w:rFonts w:ascii="Century Gothic" w:hAnsi="Century Gothic" w:cs="Arial"/>
          <w:i/>
          <w:lang w:val="es-ES"/>
        </w:rPr>
        <w:t>de conformidad con los argumentos expuestos en la parte motiva de esta Resolución.</w:t>
      </w:r>
    </w:p>
    <w:p w14:paraId="4472E662"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b/>
          <w:i/>
          <w:lang w:val="es-ES"/>
        </w:rPr>
        <w:t xml:space="preserve">“ARTÍCULO SEGUNDO: </w:t>
      </w:r>
      <w:r w:rsidRPr="00C32A38">
        <w:rPr>
          <w:rFonts w:ascii="Century Gothic" w:hAnsi="Century Gothic" w:cs="Arial"/>
          <w:i/>
          <w:lang w:val="es-ES"/>
        </w:rPr>
        <w:t xml:space="preserve">Ordenar a </w:t>
      </w:r>
      <w:r w:rsidRPr="00C32A38">
        <w:rPr>
          <w:rFonts w:ascii="Century Gothic" w:hAnsi="Century Gothic" w:cs="Arial"/>
          <w:b/>
          <w:i/>
          <w:lang w:val="es-ES"/>
        </w:rPr>
        <w:t xml:space="preserve">LA SOCIEDAD ULTRA SERVICIOS FIDUCIARIOS S.A. – FIDULTRA S.A., </w:t>
      </w:r>
      <w:r w:rsidRPr="00C32A38">
        <w:rPr>
          <w:rFonts w:ascii="Century Gothic" w:hAnsi="Century Gothic" w:cs="Arial"/>
          <w:i/>
          <w:lang w:val="es-ES"/>
        </w:rPr>
        <w:t xml:space="preserve">a pagar al INURBE, la suma de </w:t>
      </w:r>
      <w:r w:rsidRPr="00C32A38">
        <w:rPr>
          <w:rFonts w:ascii="Century Gothic" w:hAnsi="Century Gothic" w:cs="Arial"/>
          <w:b/>
          <w:i/>
          <w:lang w:val="es-ES"/>
        </w:rPr>
        <w:t xml:space="preserve">TRES MIL OCHOCIENTOS CUARENTA Y SIETE MILLONES SEISCIENTOS CINCUENTA Y CINCO MIL SETECIENTOS NOVENTA Y SEIS PESOS 71/100 MCTE </w:t>
      </w:r>
      <w:r w:rsidRPr="00C32A38">
        <w:rPr>
          <w:rFonts w:ascii="Century Gothic" w:hAnsi="Century Gothic" w:cs="Arial"/>
          <w:i/>
          <w:lang w:val="es-ES"/>
        </w:rPr>
        <w:t>(…)</w:t>
      </w:r>
    </w:p>
    <w:p w14:paraId="06FD1738" w14:textId="77777777" w:rsidR="00C32A38" w:rsidRPr="00C32A38" w:rsidRDefault="00C32A38" w:rsidP="00C32A38">
      <w:pPr>
        <w:spacing w:after="0" w:line="276" w:lineRule="auto"/>
        <w:ind w:left="567" w:right="567"/>
        <w:jc w:val="both"/>
        <w:rPr>
          <w:rFonts w:ascii="Century Gothic" w:hAnsi="Century Gothic" w:cs="Arial"/>
          <w:i/>
          <w:lang w:val="es-ES"/>
        </w:rPr>
      </w:pPr>
    </w:p>
    <w:p w14:paraId="36707C1D"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r w:rsidRPr="00C32A38">
        <w:rPr>
          <w:rFonts w:ascii="Century Gothic" w:hAnsi="Century Gothic" w:cs="Arial"/>
          <w:b/>
          <w:i/>
          <w:lang w:val="es-ES"/>
        </w:rPr>
        <w:t>PARÁGRAFO TERCERO</w:t>
      </w:r>
      <w:r w:rsidRPr="00C32A38">
        <w:rPr>
          <w:rFonts w:ascii="Century Gothic" w:hAnsi="Century Gothic" w:cs="Arial"/>
          <w:i/>
          <w:lang w:val="es-ES"/>
        </w:rPr>
        <w:t xml:space="preserve">: En virtud de lo expuesto en la parte motiva de la presente providencia, es claro que la fiduciaria no restituyó los dineros que no fueron utilizados a la fecha de terminación del contrato, una vez efectuados todos los desembolsos con cargo a los recursos fideicomitidos, en virtud de lo dispuesto en el numeral 5° de la cláusula 7ª del contrato principal </w:t>
      </w:r>
      <w:proofErr w:type="spellStart"/>
      <w:r w:rsidRPr="00C32A38">
        <w:rPr>
          <w:rFonts w:ascii="Century Gothic" w:hAnsi="Century Gothic" w:cs="Arial"/>
          <w:i/>
          <w:lang w:val="es-ES"/>
        </w:rPr>
        <w:t>N°</w:t>
      </w:r>
      <w:proofErr w:type="spellEnd"/>
      <w:r w:rsidRPr="00C32A38">
        <w:rPr>
          <w:rFonts w:ascii="Century Gothic" w:hAnsi="Century Gothic" w:cs="Arial"/>
          <w:i/>
          <w:lang w:val="es-ES"/>
        </w:rPr>
        <w:t xml:space="preserve"> 103 del 22 de diciembre de 1995.</w:t>
      </w:r>
    </w:p>
    <w:p w14:paraId="145623ED" w14:textId="77777777" w:rsidR="00C32A38" w:rsidRPr="00C32A38" w:rsidRDefault="00C32A38" w:rsidP="00C32A38">
      <w:pPr>
        <w:spacing w:after="0" w:line="276" w:lineRule="auto"/>
        <w:ind w:left="567" w:right="567"/>
        <w:jc w:val="both"/>
        <w:rPr>
          <w:rFonts w:ascii="Century Gothic" w:hAnsi="Century Gothic" w:cs="Arial"/>
          <w:i/>
          <w:lang w:val="es-ES"/>
        </w:rPr>
      </w:pPr>
    </w:p>
    <w:p w14:paraId="47AD0833"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i/>
          <w:lang w:val="es-ES"/>
        </w:rPr>
        <w:t>“</w:t>
      </w:r>
      <w:r w:rsidRPr="00C32A38">
        <w:rPr>
          <w:rFonts w:ascii="Century Gothic" w:hAnsi="Century Gothic" w:cs="Arial"/>
          <w:b/>
          <w:i/>
          <w:lang w:val="es-ES"/>
        </w:rPr>
        <w:t xml:space="preserve">ARTÍCULO TERCERO: </w:t>
      </w:r>
      <w:r w:rsidRPr="00C32A38">
        <w:rPr>
          <w:rFonts w:ascii="Century Gothic" w:hAnsi="Century Gothic" w:cs="Arial"/>
          <w:i/>
          <w:lang w:val="es-ES"/>
        </w:rPr>
        <w:t xml:space="preserve">El </w:t>
      </w:r>
      <w:r w:rsidRPr="00C32A38">
        <w:rPr>
          <w:rFonts w:ascii="Century Gothic" w:hAnsi="Century Gothic" w:cs="Arial"/>
          <w:b/>
          <w:i/>
          <w:lang w:val="es-ES"/>
        </w:rPr>
        <w:t xml:space="preserve">INURBE </w:t>
      </w:r>
      <w:r w:rsidRPr="00C32A38">
        <w:rPr>
          <w:rFonts w:ascii="Century Gothic" w:hAnsi="Century Gothic" w:cs="Arial"/>
          <w:i/>
          <w:lang w:val="es-ES"/>
        </w:rPr>
        <w:t xml:space="preserve">deberá cancelar en favor de la SOCIEDAD ULTRA SERVICIOS FIDUCIARIOS S.A.- FIDULTRA la suma de </w:t>
      </w:r>
      <w:r w:rsidRPr="00C32A38">
        <w:rPr>
          <w:rFonts w:ascii="Century Gothic" w:hAnsi="Century Gothic" w:cs="Arial"/>
          <w:b/>
          <w:i/>
          <w:lang w:val="es-ES"/>
        </w:rPr>
        <w:t xml:space="preserve">DIECISIETE MILLONES QUINIENTOS TREINTA Y CINCO MIL DOSCIENTOS ONCE PESOS 21/10 ($17’535.211.21) </w:t>
      </w:r>
      <w:r w:rsidRPr="00C32A38">
        <w:rPr>
          <w:rFonts w:ascii="Century Gothic" w:hAnsi="Century Gothic" w:cs="Arial"/>
          <w:i/>
          <w:lang w:val="es-ES"/>
        </w:rPr>
        <w:t>por concepto de comisiones fiduciarias causadas durante la vigencia del contrato, que a la fecha de la presente liquidación se encuentran pendientes de pago.</w:t>
      </w:r>
    </w:p>
    <w:p w14:paraId="542062D8" w14:textId="77777777" w:rsidR="00C32A38" w:rsidRPr="00C32A38" w:rsidRDefault="00C32A38" w:rsidP="00C32A38">
      <w:pPr>
        <w:spacing w:after="0" w:line="276" w:lineRule="auto"/>
        <w:ind w:left="567" w:right="567"/>
        <w:jc w:val="both"/>
        <w:rPr>
          <w:rFonts w:ascii="Century Gothic" w:hAnsi="Century Gothic" w:cs="Arial"/>
          <w:i/>
          <w:lang w:val="es-ES"/>
        </w:rPr>
      </w:pPr>
    </w:p>
    <w:p w14:paraId="797CDBE5" w14:textId="77777777" w:rsidR="00C32A38" w:rsidRPr="00C32A38" w:rsidRDefault="00C32A38" w:rsidP="00C32A38">
      <w:pPr>
        <w:spacing w:after="0" w:line="276" w:lineRule="auto"/>
        <w:ind w:left="567" w:right="567"/>
        <w:jc w:val="both"/>
        <w:rPr>
          <w:rFonts w:ascii="Century Gothic" w:hAnsi="Century Gothic" w:cs="Arial"/>
          <w:i/>
          <w:lang w:val="es-ES"/>
        </w:rPr>
      </w:pPr>
      <w:r w:rsidRPr="00C32A38">
        <w:rPr>
          <w:rFonts w:ascii="Century Gothic" w:hAnsi="Century Gothic" w:cs="Arial"/>
          <w:b/>
          <w:i/>
          <w:lang w:val="es-ES"/>
        </w:rPr>
        <w:t xml:space="preserve">“ARTÍCULO CUARTO: </w:t>
      </w:r>
      <w:r w:rsidRPr="00C32A38">
        <w:rPr>
          <w:rFonts w:ascii="Century Gothic" w:hAnsi="Century Gothic" w:cs="Arial"/>
          <w:i/>
          <w:lang w:val="es-ES"/>
        </w:rPr>
        <w:t xml:space="preserve">Compensadas las sumas adeudadas por el INURBE y la SOCIEDAD ULTRA SERVICIOS FIDUCIARIOS S.A. — FIDULTRA, </w:t>
      </w:r>
      <w:proofErr w:type="spellStart"/>
      <w:r w:rsidRPr="00C32A38">
        <w:rPr>
          <w:rFonts w:ascii="Century Gothic" w:hAnsi="Century Gothic" w:cs="Arial"/>
          <w:i/>
          <w:lang w:val="es-ES"/>
        </w:rPr>
        <w:t>ordénase</w:t>
      </w:r>
      <w:proofErr w:type="spellEnd"/>
      <w:r w:rsidRPr="00C32A38">
        <w:rPr>
          <w:rFonts w:ascii="Century Gothic" w:hAnsi="Century Gothic" w:cs="Arial"/>
          <w:i/>
          <w:lang w:val="es-ES"/>
        </w:rPr>
        <w:t xml:space="preserve"> a la SOCIEDA ULTRA SERVICIOS FIDUCIARIOS S.A. – FIDULTRA a pagar la suma de </w:t>
      </w:r>
      <w:r w:rsidRPr="00C32A38">
        <w:rPr>
          <w:rFonts w:ascii="Century Gothic" w:hAnsi="Century Gothic" w:cs="Arial"/>
          <w:b/>
          <w:i/>
          <w:lang w:val="es-ES"/>
        </w:rPr>
        <w:t xml:space="preserve">TRES MIL OCHOCIENTOS TREINTA MILLONES CIENTO VEINTE MIL QUINIENTOS OCHENTA Y CINCO PESOS 50/100 MCTE ($3.830’120.585) </w:t>
      </w:r>
      <w:r w:rsidRPr="00C32A38">
        <w:rPr>
          <w:rFonts w:ascii="Century Gothic" w:hAnsi="Century Gothic" w:cs="Arial"/>
          <w:i/>
          <w:lang w:val="es-ES"/>
        </w:rPr>
        <w:t xml:space="preserve">(…)” </w:t>
      </w:r>
      <w:r w:rsidRPr="00C32A38">
        <w:rPr>
          <w:rFonts w:ascii="Century Gothic" w:hAnsi="Century Gothic" w:cs="Arial"/>
          <w:lang w:val="es-ES"/>
        </w:rPr>
        <w:t>(Énfasis original).</w:t>
      </w:r>
    </w:p>
    <w:p w14:paraId="460CE1D1" w14:textId="77777777" w:rsidR="00C32A38" w:rsidRPr="00C32A38" w:rsidRDefault="00C32A38" w:rsidP="00C32A38">
      <w:pPr>
        <w:spacing w:after="0" w:line="360" w:lineRule="auto"/>
        <w:jc w:val="both"/>
        <w:rPr>
          <w:rFonts w:ascii="Century Gothic" w:hAnsi="Century Gothic" w:cs="Arial"/>
          <w:i/>
          <w:sz w:val="24"/>
          <w:szCs w:val="24"/>
          <w:lang w:val="es-ES"/>
        </w:rPr>
      </w:pPr>
    </w:p>
    <w:p w14:paraId="773FF20E"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Frente a la anterior decisión la fiduciaria interpuso recurso de reposición, el cual fue resuelto por la entidad a través de Resolución No. 789 de 1999</w:t>
      </w:r>
      <w:r w:rsidRPr="00C32A38">
        <w:rPr>
          <w:rFonts w:ascii="Century Gothic" w:hAnsi="Century Gothic" w:cs="Arial"/>
          <w:sz w:val="24"/>
          <w:szCs w:val="24"/>
          <w:vertAlign w:val="superscript"/>
          <w:lang w:val="es-ES"/>
        </w:rPr>
        <w:footnoteReference w:id="66"/>
      </w:r>
      <w:r w:rsidRPr="00C32A38">
        <w:rPr>
          <w:rFonts w:ascii="Century Gothic" w:hAnsi="Century Gothic" w:cs="Arial"/>
          <w:sz w:val="24"/>
          <w:szCs w:val="24"/>
          <w:lang w:val="es-ES"/>
        </w:rPr>
        <w:t xml:space="preserve"> en el sentido de confirmar la Resolución No. 718 en todas sus partes.</w:t>
      </w:r>
    </w:p>
    <w:p w14:paraId="6B35E8D6" w14:textId="77777777" w:rsidR="00C32A38" w:rsidRPr="00C32A38" w:rsidRDefault="00C32A38" w:rsidP="00C32A38">
      <w:pPr>
        <w:spacing w:after="0" w:line="360" w:lineRule="auto"/>
        <w:jc w:val="both"/>
        <w:rPr>
          <w:rFonts w:ascii="Century Gothic" w:hAnsi="Century Gothic" w:cs="Arial"/>
          <w:sz w:val="24"/>
          <w:szCs w:val="24"/>
          <w:lang w:val="es-ES"/>
        </w:rPr>
      </w:pPr>
    </w:p>
    <w:p w14:paraId="0E324D5C" w14:textId="77777777" w:rsidR="00C32A38" w:rsidRPr="00C32A38" w:rsidRDefault="00C32A38" w:rsidP="00C32A38">
      <w:pPr>
        <w:spacing w:after="0" w:line="360" w:lineRule="auto"/>
        <w:jc w:val="both"/>
        <w:rPr>
          <w:rFonts w:ascii="Century Gothic" w:hAnsi="Century Gothic" w:cs="Arial"/>
          <w:b/>
          <w:sz w:val="24"/>
          <w:szCs w:val="24"/>
          <w:lang w:val="es-ES"/>
        </w:rPr>
      </w:pPr>
      <w:r w:rsidRPr="00C32A38">
        <w:rPr>
          <w:rFonts w:ascii="Century Gothic" w:hAnsi="Century Gothic" w:cs="Arial"/>
          <w:b/>
          <w:sz w:val="24"/>
          <w:szCs w:val="24"/>
          <w:lang w:val="es-ES"/>
        </w:rPr>
        <w:t>2.3. Caso concreto</w:t>
      </w:r>
    </w:p>
    <w:p w14:paraId="3ACE8063" w14:textId="77777777" w:rsidR="00C32A38" w:rsidRPr="00C32A38" w:rsidRDefault="00C32A38" w:rsidP="00C32A38">
      <w:pPr>
        <w:spacing w:after="0" w:line="360" w:lineRule="auto"/>
        <w:jc w:val="both"/>
        <w:rPr>
          <w:rFonts w:ascii="Century Gothic" w:hAnsi="Century Gothic" w:cs="Arial"/>
          <w:b/>
          <w:sz w:val="24"/>
          <w:szCs w:val="24"/>
          <w:lang w:val="es-ES"/>
        </w:rPr>
      </w:pPr>
    </w:p>
    <w:p w14:paraId="1F203820" w14:textId="77777777" w:rsidR="00C32A38" w:rsidRPr="00C32A38" w:rsidRDefault="00C32A38" w:rsidP="00C32A38">
      <w:pPr>
        <w:spacing w:after="0" w:line="360" w:lineRule="auto"/>
        <w:jc w:val="both"/>
        <w:rPr>
          <w:rFonts w:ascii="Century Gothic" w:hAnsi="Century Gothic" w:cs="Arial"/>
          <w:b/>
          <w:sz w:val="24"/>
          <w:szCs w:val="24"/>
          <w:lang w:val="es-ES"/>
        </w:rPr>
      </w:pPr>
      <w:r w:rsidRPr="00C32A38">
        <w:rPr>
          <w:rFonts w:ascii="Century Gothic" w:hAnsi="Century Gothic" w:cs="Arial"/>
          <w:b/>
          <w:sz w:val="24"/>
          <w:szCs w:val="24"/>
          <w:lang w:val="es-ES"/>
        </w:rPr>
        <w:t>2.3.1. Sobre la falsa motivación</w:t>
      </w:r>
    </w:p>
    <w:p w14:paraId="3215D527" w14:textId="77777777" w:rsidR="00C32A38" w:rsidRPr="00C32A38" w:rsidRDefault="00C32A38" w:rsidP="00C32A38">
      <w:pPr>
        <w:spacing w:after="0" w:line="360" w:lineRule="auto"/>
        <w:jc w:val="both"/>
        <w:rPr>
          <w:rFonts w:ascii="Century Gothic" w:hAnsi="Century Gothic" w:cs="Arial"/>
          <w:b/>
          <w:sz w:val="24"/>
          <w:szCs w:val="24"/>
          <w:lang w:val="es-ES"/>
        </w:rPr>
      </w:pPr>
    </w:p>
    <w:p w14:paraId="0A9F157C"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De los hechos narrados en las demandas y en sus contestaciones, así como de los hechos probados trascritos, la Sala concluye que el acto de liquidación </w:t>
      </w:r>
      <w:r w:rsidRPr="00C32A38">
        <w:rPr>
          <w:rFonts w:ascii="Century Gothic" w:hAnsi="Century Gothic" w:cs="Arial"/>
          <w:sz w:val="24"/>
          <w:szCs w:val="24"/>
          <w:lang w:val="es-ES"/>
        </w:rPr>
        <w:lastRenderedPageBreak/>
        <w:t>unilateral y el que lo confirma, adolecen del vicio de falsa motivación, por las razones que se expondrán a continuación. Con posterioridad a la exposición de esos motivos, la Subsección se pronunciará sobre las demás pretensiones que resulten compatibles con la anterior declaratoria.</w:t>
      </w:r>
    </w:p>
    <w:p w14:paraId="1407E122" w14:textId="77777777" w:rsidR="00C32A38" w:rsidRPr="00C32A38" w:rsidRDefault="00C32A38" w:rsidP="00C32A38">
      <w:pPr>
        <w:spacing w:after="0" w:line="360" w:lineRule="auto"/>
        <w:jc w:val="both"/>
        <w:rPr>
          <w:rFonts w:ascii="Century Gothic" w:hAnsi="Century Gothic" w:cs="Arial"/>
          <w:sz w:val="24"/>
          <w:szCs w:val="24"/>
          <w:lang w:val="es-ES"/>
        </w:rPr>
      </w:pPr>
    </w:p>
    <w:p w14:paraId="0D5499D7"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bookmarkStart w:id="1" w:name="_Hlk17451545"/>
      <w:r w:rsidRPr="00C32A38">
        <w:rPr>
          <w:rFonts w:ascii="Century Gothic" w:hAnsi="Century Gothic" w:cs="Arial"/>
          <w:sz w:val="24"/>
          <w:szCs w:val="24"/>
          <w:lang w:val="es-ES"/>
        </w:rPr>
        <w:t>Respecto de la falsa motivación, esta Sección ha indicado que es un cargo que ataca el elemento causal del acto administrativo, por atribuir la Administración una calificación errada a los motivos de hecho o de derecho que dan lugar a su expedición</w:t>
      </w:r>
      <w:bookmarkEnd w:id="1"/>
      <w:r w:rsidRPr="00C32A38">
        <w:rPr>
          <w:rFonts w:ascii="Century Gothic" w:hAnsi="Century Gothic" w:cs="Arial"/>
          <w:sz w:val="24"/>
          <w:szCs w:val="24"/>
          <w:lang w:val="es-ES"/>
        </w:rPr>
        <w:t>. Al respecto, en Sentencia de 12 de febrero de 2014</w:t>
      </w:r>
      <w:r w:rsidRPr="00C32A38">
        <w:rPr>
          <w:rFonts w:ascii="Century Gothic" w:hAnsi="Century Gothic" w:cs="Arial"/>
          <w:sz w:val="24"/>
          <w:szCs w:val="24"/>
          <w:vertAlign w:val="superscript"/>
          <w:lang w:val="es-ES"/>
        </w:rPr>
        <w:footnoteReference w:id="67"/>
      </w:r>
      <w:r w:rsidRPr="00C32A38">
        <w:rPr>
          <w:rFonts w:ascii="Century Gothic" w:hAnsi="Century Gothic" w:cs="Arial"/>
          <w:sz w:val="24"/>
          <w:szCs w:val="24"/>
          <w:lang w:val="es-ES"/>
        </w:rPr>
        <w:t>, la Subsección A señaló (se trascribe):</w:t>
      </w:r>
    </w:p>
    <w:p w14:paraId="019E8156" w14:textId="77777777" w:rsidR="00C32A38" w:rsidRPr="00C32A38" w:rsidRDefault="00C32A38" w:rsidP="00C32A38">
      <w:pPr>
        <w:spacing w:after="0" w:line="360" w:lineRule="auto"/>
        <w:jc w:val="both"/>
        <w:rPr>
          <w:rFonts w:ascii="Century Gothic" w:hAnsi="Century Gothic" w:cs="Arial"/>
          <w:sz w:val="24"/>
          <w:szCs w:val="24"/>
          <w:lang w:val="es-ES"/>
        </w:rPr>
      </w:pPr>
    </w:p>
    <w:p w14:paraId="38D46482" w14:textId="77777777" w:rsidR="00C32A38" w:rsidRPr="00C32A38" w:rsidRDefault="00C32A38" w:rsidP="00C32A38">
      <w:pPr>
        <w:spacing w:after="0" w:line="276" w:lineRule="auto"/>
        <w:ind w:left="567" w:right="567"/>
        <w:jc w:val="both"/>
        <w:rPr>
          <w:rFonts w:ascii="Century Gothic" w:hAnsi="Century Gothic" w:cs="Arial"/>
        </w:rPr>
      </w:pPr>
      <w:r w:rsidRPr="00C32A38">
        <w:rPr>
          <w:rFonts w:ascii="Century Gothic" w:hAnsi="Century Gothic" w:cs="Arial"/>
          <w:i/>
        </w:rPr>
        <w:t xml:space="preserve">“La falsa motivación de un acto administrativo es el vicio que afecta el elemento causal del acto, referente </w:t>
      </w:r>
      <w:r w:rsidRPr="00C32A38">
        <w:rPr>
          <w:rFonts w:ascii="Century Gothic" w:hAnsi="Century Gothic" w:cs="Arial"/>
          <w:i/>
          <w:u w:val="single"/>
        </w:rPr>
        <w:t>a los antecedentes legales y de hecho previstos en el ordenamiento jurídico para provocarlo</w:t>
      </w:r>
      <w:r w:rsidRPr="00C32A38">
        <w:rPr>
          <w:rFonts w:ascii="Century Gothic" w:hAnsi="Century Gothic" w:cs="Arial"/>
          <w:i/>
          <w:lang w:val="es-ES_tradnl"/>
        </w:rPr>
        <w:t>. Se</w:t>
      </w:r>
      <w:r w:rsidRPr="00C32A38">
        <w:rPr>
          <w:rFonts w:ascii="Century Gothic" w:hAnsi="Century Gothic" w:cs="Arial"/>
          <w:i/>
        </w:rPr>
        <w:t xml:space="preserve"> genera cuando las razones expuestas por la Administración,</w:t>
      </w:r>
      <w:r w:rsidRPr="00C32A38">
        <w:rPr>
          <w:rFonts w:ascii="Century Gothic" w:hAnsi="Century Gothic" w:cs="Arial"/>
          <w:i/>
          <w:lang w:val="es-ES_tradnl"/>
        </w:rPr>
        <w:t xml:space="preserve"> para</w:t>
      </w:r>
      <w:r w:rsidRPr="00C32A38">
        <w:rPr>
          <w:rFonts w:ascii="Century Gothic" w:hAnsi="Century Gothic" w:cs="Arial"/>
          <w:i/>
        </w:rPr>
        <w:t xml:space="preserve"> tomar la decisión, son contrarias a la realidad. Así, la jurisprudencia</w:t>
      </w:r>
      <w:r w:rsidRPr="00C32A38">
        <w:rPr>
          <w:rFonts w:ascii="Century Gothic" w:hAnsi="Century Gothic" w:cs="Arial"/>
          <w:i/>
          <w:vertAlign w:val="superscript"/>
        </w:rPr>
        <w:footnoteReference w:id="68"/>
      </w:r>
      <w:r w:rsidRPr="00C32A38">
        <w:rPr>
          <w:rFonts w:ascii="Century Gothic" w:hAnsi="Century Gothic" w:cs="Arial"/>
          <w:i/>
        </w:rPr>
        <w:t xml:space="preserve"> ha sostenido que la falsa motivación del acto tiene ocurrencia cuando i) se presenta inexistencia de fundamentos de hecho o de derecho en la manifestación de voluntad de la Administración Pública, </w:t>
      </w:r>
      <w:proofErr w:type="spellStart"/>
      <w:r w:rsidRPr="00C32A38">
        <w:rPr>
          <w:rFonts w:ascii="Century Gothic" w:hAnsi="Century Gothic" w:cs="Arial"/>
          <w:i/>
        </w:rPr>
        <w:t>ii</w:t>
      </w:r>
      <w:proofErr w:type="spellEnd"/>
      <w:r w:rsidRPr="00C32A38">
        <w:rPr>
          <w:rFonts w:ascii="Century Gothic" w:hAnsi="Century Gothic" w:cs="Arial"/>
          <w:i/>
        </w:rPr>
        <w:t xml:space="preserve">) los supuestos de hecho esgrimidos en el acto son contrarios a la realidad, bien por error o por razones engañosas o simuladas, </w:t>
      </w:r>
      <w:proofErr w:type="spellStart"/>
      <w:r w:rsidRPr="00C32A38">
        <w:rPr>
          <w:rFonts w:ascii="Century Gothic" w:hAnsi="Century Gothic" w:cs="Arial"/>
          <w:i/>
        </w:rPr>
        <w:t>iii</w:t>
      </w:r>
      <w:proofErr w:type="spellEnd"/>
      <w:r w:rsidRPr="00C32A38">
        <w:rPr>
          <w:rFonts w:ascii="Century Gothic" w:hAnsi="Century Gothic" w:cs="Arial"/>
          <w:i/>
        </w:rPr>
        <w:t xml:space="preserve">) </w:t>
      </w:r>
      <w:r w:rsidRPr="00C32A38">
        <w:rPr>
          <w:rFonts w:ascii="Century Gothic" w:hAnsi="Century Gothic" w:cs="Arial"/>
          <w:i/>
          <w:u w:val="single"/>
        </w:rPr>
        <w:t>el autor del acto le ha dado a los motivos de hecho o de derecho un alcance que no tienen</w:t>
      </w:r>
      <w:r w:rsidRPr="00C32A38">
        <w:rPr>
          <w:rFonts w:ascii="Century Gothic" w:hAnsi="Century Gothic" w:cs="Arial"/>
          <w:i/>
        </w:rPr>
        <w:t xml:space="preserve"> y </w:t>
      </w:r>
      <w:proofErr w:type="spellStart"/>
      <w:r w:rsidRPr="00C32A38">
        <w:rPr>
          <w:rFonts w:ascii="Century Gothic" w:hAnsi="Century Gothic" w:cs="Arial"/>
          <w:i/>
        </w:rPr>
        <w:t>iv</w:t>
      </w:r>
      <w:proofErr w:type="spellEnd"/>
      <w:r w:rsidRPr="00C32A38">
        <w:rPr>
          <w:rFonts w:ascii="Century Gothic" w:hAnsi="Century Gothic" w:cs="Arial"/>
          <w:i/>
        </w:rPr>
        <w:t xml:space="preserve">) los motivos que sirven de fundamento al acto no justifican la decisión” </w:t>
      </w:r>
      <w:r w:rsidRPr="00C32A38">
        <w:rPr>
          <w:rFonts w:ascii="Century Gothic" w:hAnsi="Century Gothic" w:cs="Arial"/>
        </w:rPr>
        <w:t>(subrayado fuera del original).</w:t>
      </w:r>
    </w:p>
    <w:p w14:paraId="4720A5C5" w14:textId="77777777" w:rsidR="00C32A38" w:rsidRPr="00C32A38" w:rsidRDefault="00C32A38" w:rsidP="00C32A38">
      <w:pPr>
        <w:spacing w:after="0" w:line="276" w:lineRule="auto"/>
        <w:ind w:right="567"/>
        <w:jc w:val="both"/>
        <w:rPr>
          <w:rFonts w:ascii="Century Gothic" w:hAnsi="Century Gothic" w:cs="Arial"/>
          <w:i/>
        </w:rPr>
      </w:pPr>
    </w:p>
    <w:p w14:paraId="4A845400"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bookmarkStart w:id="2" w:name="_Hlk17451583"/>
      <w:r w:rsidRPr="00C32A38">
        <w:rPr>
          <w:rFonts w:ascii="Century Gothic" w:hAnsi="Century Gothic" w:cs="Arial"/>
          <w:sz w:val="24"/>
          <w:szCs w:val="24"/>
        </w:rPr>
        <w:t xml:space="preserve">Así, uno de los eventos en los que se configura la falsa motivación de un acto administrativo ocurre cuando la Administración </w:t>
      </w:r>
      <w:proofErr w:type="gramStart"/>
      <w:r w:rsidRPr="00C32A38">
        <w:rPr>
          <w:rFonts w:ascii="Century Gothic" w:hAnsi="Century Gothic" w:cs="Arial"/>
          <w:sz w:val="24"/>
          <w:szCs w:val="24"/>
        </w:rPr>
        <w:t>le</w:t>
      </w:r>
      <w:proofErr w:type="gramEnd"/>
      <w:r w:rsidRPr="00C32A38">
        <w:rPr>
          <w:rFonts w:ascii="Century Gothic" w:hAnsi="Century Gothic" w:cs="Arial"/>
          <w:sz w:val="24"/>
          <w:szCs w:val="24"/>
        </w:rPr>
        <w:t xml:space="preserve"> da a los motivos de hecho o de derecho un alcance que no tienen. Pues bien, en el caso concreto, 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desconoció las estipulaciones contractuales, las normas que regulan la fiducia pública, las reglas sobre obligaciones de inversión y la forma en que efectivamente fue ejecutado el contrato. </w:t>
      </w:r>
    </w:p>
    <w:bookmarkEnd w:id="2"/>
    <w:p w14:paraId="5197713F" w14:textId="77777777" w:rsidR="00C32A38" w:rsidRPr="00C32A38" w:rsidRDefault="00C32A38" w:rsidP="00C32A38">
      <w:pPr>
        <w:spacing w:after="0" w:line="360" w:lineRule="auto"/>
        <w:jc w:val="both"/>
        <w:rPr>
          <w:rFonts w:ascii="Century Gothic" w:hAnsi="Century Gothic" w:cs="Arial"/>
          <w:sz w:val="24"/>
          <w:szCs w:val="24"/>
        </w:rPr>
      </w:pPr>
    </w:p>
    <w:p w14:paraId="39E05148" w14:textId="77777777" w:rsidR="00C32A38" w:rsidRPr="00C32A38" w:rsidRDefault="00C32A38" w:rsidP="00C32A38">
      <w:pPr>
        <w:numPr>
          <w:ilvl w:val="0"/>
          <w:numId w:val="11"/>
        </w:numPr>
        <w:spacing w:after="0" w:line="360" w:lineRule="auto"/>
        <w:jc w:val="both"/>
        <w:rPr>
          <w:rFonts w:ascii="Century Gothic" w:hAnsi="Century Gothic" w:cs="Arial"/>
          <w:sz w:val="24"/>
          <w:szCs w:val="24"/>
        </w:rPr>
      </w:pPr>
      <w:r w:rsidRPr="00C32A38">
        <w:rPr>
          <w:rFonts w:ascii="Century Gothic" w:hAnsi="Century Gothic" w:cs="Arial"/>
          <w:sz w:val="24"/>
          <w:szCs w:val="24"/>
        </w:rPr>
        <w:t>Sobre las estipulaciones contractuales:</w:t>
      </w:r>
    </w:p>
    <w:p w14:paraId="6D9B175D" w14:textId="77777777" w:rsidR="00C32A38" w:rsidRPr="00C32A38" w:rsidRDefault="00C32A38" w:rsidP="00C32A38">
      <w:pPr>
        <w:spacing w:after="0" w:line="360" w:lineRule="auto"/>
        <w:ind w:left="360"/>
        <w:jc w:val="both"/>
        <w:rPr>
          <w:rFonts w:ascii="Century Gothic" w:hAnsi="Century Gothic" w:cs="Arial"/>
          <w:sz w:val="24"/>
          <w:szCs w:val="24"/>
        </w:rPr>
      </w:pPr>
    </w:p>
    <w:p w14:paraId="71DC2D50"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De las cláusulas trascritas en el acápite de hechos probados, la Sala encuentra que la inversión de los recursos entregados a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debía hacerse </w:t>
      </w:r>
      <w:r w:rsidRPr="00C32A38">
        <w:rPr>
          <w:rFonts w:ascii="Century Gothic" w:hAnsi="Century Gothic" w:cs="Arial"/>
          <w:sz w:val="24"/>
          <w:szCs w:val="24"/>
        </w:rPr>
        <w:lastRenderedPageBreak/>
        <w:t>“</w:t>
      </w:r>
      <w:r w:rsidRPr="00C32A38">
        <w:rPr>
          <w:rFonts w:ascii="Century Gothic" w:hAnsi="Century Gothic" w:cs="Arial"/>
          <w:i/>
          <w:sz w:val="24"/>
          <w:szCs w:val="24"/>
        </w:rPr>
        <w:t>con sujeción al régimen (…) que para el efecto establezca la Junta Administradora del Fideicomiso”</w:t>
      </w:r>
      <w:r w:rsidRPr="00C32A38">
        <w:rPr>
          <w:rFonts w:ascii="Century Gothic" w:hAnsi="Century Gothic" w:cs="Arial"/>
          <w:sz w:val="24"/>
          <w:szCs w:val="24"/>
        </w:rPr>
        <w:t xml:space="preserve"> (7.1), “</w:t>
      </w:r>
      <w:r w:rsidRPr="00C32A38">
        <w:rPr>
          <w:rFonts w:ascii="Century Gothic" w:hAnsi="Century Gothic" w:cs="Arial"/>
          <w:i/>
          <w:sz w:val="24"/>
          <w:szCs w:val="24"/>
        </w:rPr>
        <w:t xml:space="preserve">únicamente </w:t>
      </w:r>
      <w:proofErr w:type="gramStart"/>
      <w:r w:rsidRPr="00C32A38">
        <w:rPr>
          <w:rFonts w:ascii="Century Gothic" w:hAnsi="Century Gothic" w:cs="Arial"/>
          <w:i/>
          <w:sz w:val="24"/>
          <w:szCs w:val="24"/>
        </w:rPr>
        <w:t>de acuerdo a</w:t>
      </w:r>
      <w:proofErr w:type="gramEnd"/>
      <w:r w:rsidRPr="00C32A38">
        <w:rPr>
          <w:rFonts w:ascii="Century Gothic" w:hAnsi="Century Gothic" w:cs="Arial"/>
          <w:i/>
          <w:sz w:val="24"/>
          <w:szCs w:val="24"/>
        </w:rPr>
        <w:t xml:space="preserve"> los intereses del Fideicomitente”</w:t>
      </w:r>
      <w:r w:rsidRPr="00C32A38">
        <w:rPr>
          <w:rFonts w:ascii="Century Gothic" w:hAnsi="Century Gothic" w:cs="Arial"/>
          <w:sz w:val="24"/>
          <w:szCs w:val="24"/>
        </w:rPr>
        <w:t xml:space="preserve"> (7.2) y en cumplimiento </w:t>
      </w:r>
      <w:r w:rsidRPr="00C32A38">
        <w:rPr>
          <w:rFonts w:ascii="Century Gothic" w:hAnsi="Century Gothic" w:cs="Arial"/>
          <w:i/>
          <w:sz w:val="24"/>
          <w:szCs w:val="24"/>
        </w:rPr>
        <w:t xml:space="preserve">“de las instrucciones impartidas por el Fideicomitente para la ejecución del objeto” </w:t>
      </w:r>
      <w:r w:rsidRPr="00C32A38">
        <w:rPr>
          <w:rFonts w:ascii="Century Gothic" w:hAnsi="Century Gothic" w:cs="Arial"/>
          <w:sz w:val="24"/>
          <w:szCs w:val="24"/>
        </w:rPr>
        <w:t xml:space="preserve">(7.12). Sumado a lo anterior, y como consecuencia de la ejecución simultánea de varios contratos de fiducia pública con el mismo objeto —y para establecer en una norma interna una situación que ocurría en la práctica— 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creó la Junta Administradora de Fideicomisos que tenía como propósito “</w:t>
      </w:r>
      <w:r w:rsidRPr="00C32A38">
        <w:rPr>
          <w:rFonts w:ascii="Century Gothic" w:hAnsi="Century Gothic" w:cs="Arial"/>
          <w:i/>
          <w:sz w:val="24"/>
          <w:szCs w:val="24"/>
          <w:u w:val="single"/>
        </w:rPr>
        <w:t>determinar y autorizar todas las inversiones</w:t>
      </w:r>
      <w:r w:rsidRPr="00C32A38">
        <w:rPr>
          <w:rFonts w:ascii="Century Gothic" w:hAnsi="Century Gothic" w:cs="Arial"/>
          <w:i/>
          <w:sz w:val="24"/>
          <w:szCs w:val="24"/>
        </w:rPr>
        <w:t xml:space="preserve">” </w:t>
      </w:r>
      <w:r w:rsidRPr="00C32A38">
        <w:rPr>
          <w:rFonts w:ascii="Century Gothic" w:hAnsi="Century Gothic" w:cs="Arial"/>
          <w:sz w:val="24"/>
          <w:szCs w:val="24"/>
        </w:rPr>
        <w:t xml:space="preserve">que las fiduciarias debían efectuar, órgano en el cual, la entidad tenía dos representantes con voz y voto, mientras las fiduciarias contaban únicamente con voz. </w:t>
      </w:r>
    </w:p>
    <w:p w14:paraId="26C350DF" w14:textId="77777777" w:rsidR="00C32A38" w:rsidRPr="00C32A38" w:rsidRDefault="00C32A38" w:rsidP="00C32A38">
      <w:pPr>
        <w:spacing w:after="0" w:line="360" w:lineRule="auto"/>
        <w:jc w:val="both"/>
        <w:rPr>
          <w:rFonts w:ascii="Century Gothic" w:hAnsi="Century Gothic" w:cs="Arial"/>
          <w:sz w:val="24"/>
          <w:szCs w:val="24"/>
        </w:rPr>
      </w:pPr>
    </w:p>
    <w:p w14:paraId="2E0249C3"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Así las cosas, de las estipulaciones contractuales se concluye que la inversión temporal de los recursos entregados a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debía hacerse según las indicaciones de la entidad. </w:t>
      </w:r>
    </w:p>
    <w:p w14:paraId="28D49402" w14:textId="77777777" w:rsidR="00C32A38" w:rsidRPr="00C32A38" w:rsidRDefault="00C32A38" w:rsidP="00C32A38">
      <w:pPr>
        <w:spacing w:after="0" w:line="360" w:lineRule="auto"/>
        <w:jc w:val="both"/>
        <w:rPr>
          <w:rFonts w:ascii="Century Gothic" w:hAnsi="Century Gothic" w:cs="Arial"/>
          <w:sz w:val="24"/>
          <w:szCs w:val="24"/>
        </w:rPr>
      </w:pPr>
    </w:p>
    <w:p w14:paraId="7E3EE637" w14:textId="77777777" w:rsidR="00C32A38" w:rsidRPr="00C32A38" w:rsidRDefault="00C32A38" w:rsidP="00C32A38">
      <w:pPr>
        <w:numPr>
          <w:ilvl w:val="0"/>
          <w:numId w:val="11"/>
        </w:numPr>
        <w:spacing w:after="0" w:line="360" w:lineRule="auto"/>
        <w:jc w:val="both"/>
        <w:rPr>
          <w:rFonts w:ascii="Century Gothic" w:hAnsi="Century Gothic" w:cs="Arial"/>
          <w:sz w:val="24"/>
          <w:szCs w:val="24"/>
        </w:rPr>
      </w:pPr>
      <w:r w:rsidRPr="00C32A38">
        <w:rPr>
          <w:rFonts w:ascii="Century Gothic" w:hAnsi="Century Gothic" w:cs="Arial"/>
          <w:sz w:val="24"/>
          <w:szCs w:val="24"/>
        </w:rPr>
        <w:t>Normas que regulan la fiducia pública y las obligaciones de inversión:</w:t>
      </w:r>
    </w:p>
    <w:p w14:paraId="4E12D5D9" w14:textId="77777777" w:rsidR="00C32A38" w:rsidRPr="00C32A38" w:rsidRDefault="00C32A38" w:rsidP="00C32A38">
      <w:pPr>
        <w:spacing w:after="0" w:line="360" w:lineRule="auto"/>
        <w:jc w:val="both"/>
        <w:rPr>
          <w:rFonts w:ascii="Century Gothic" w:hAnsi="Century Gothic" w:cs="Arial"/>
          <w:sz w:val="24"/>
          <w:szCs w:val="24"/>
        </w:rPr>
      </w:pPr>
    </w:p>
    <w:p w14:paraId="43A2C810"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bookmarkStart w:id="3" w:name="_Hlk17451795"/>
      <w:bookmarkStart w:id="4" w:name="_Hlk19718067"/>
      <w:r w:rsidRPr="00C32A38">
        <w:rPr>
          <w:rFonts w:ascii="Century Gothic" w:hAnsi="Century Gothic" w:cs="Arial"/>
          <w:sz w:val="24"/>
          <w:szCs w:val="24"/>
          <w:lang w:val="es-ES"/>
        </w:rPr>
        <w:t xml:space="preserve">El numeral 5 del artículo 32 de la Ley 80 de 1993 previó la posibilidad de que las entidades celebren contratos que denominó como de </w:t>
      </w:r>
      <w:r w:rsidRPr="00C32A38">
        <w:rPr>
          <w:rFonts w:ascii="Century Gothic" w:hAnsi="Century Gothic" w:cs="Arial"/>
          <w:i/>
          <w:sz w:val="24"/>
          <w:szCs w:val="24"/>
          <w:lang w:val="es-ES"/>
        </w:rPr>
        <w:t>fiducia pública</w:t>
      </w:r>
      <w:r w:rsidRPr="00C32A38">
        <w:rPr>
          <w:rFonts w:ascii="Century Gothic" w:hAnsi="Century Gothic" w:cs="Arial"/>
          <w:i/>
          <w:sz w:val="24"/>
          <w:szCs w:val="24"/>
          <w:vertAlign w:val="superscript"/>
          <w:lang w:val="es-ES"/>
        </w:rPr>
        <w:footnoteReference w:id="69"/>
      </w:r>
      <w:r w:rsidRPr="00C32A38">
        <w:rPr>
          <w:rFonts w:ascii="Century Gothic" w:hAnsi="Century Gothic" w:cs="Arial"/>
          <w:sz w:val="24"/>
          <w:szCs w:val="24"/>
          <w:lang w:val="es-ES"/>
        </w:rPr>
        <w:t xml:space="preserve">, a los </w:t>
      </w:r>
      <w:r w:rsidRPr="00C32A38">
        <w:rPr>
          <w:rFonts w:ascii="Century Gothic" w:hAnsi="Century Gothic" w:cs="Arial"/>
          <w:sz w:val="24"/>
          <w:szCs w:val="24"/>
          <w:lang w:val="es-ES"/>
        </w:rPr>
        <w:lastRenderedPageBreak/>
        <w:t xml:space="preserve">que les son aplicables las disposiciones previstas en el Código de Comercio sobre fiducia mercantil solo </w:t>
      </w:r>
      <w:r w:rsidRPr="00C32A38">
        <w:rPr>
          <w:rFonts w:ascii="Century Gothic" w:hAnsi="Century Gothic" w:cs="Arial"/>
          <w:i/>
          <w:sz w:val="24"/>
          <w:szCs w:val="24"/>
          <w:lang w:val="es-ES"/>
        </w:rPr>
        <w:t xml:space="preserve">“en cuanto sean compatibles”. </w:t>
      </w:r>
      <w:bookmarkEnd w:id="3"/>
      <w:r w:rsidRPr="00C32A38">
        <w:rPr>
          <w:rFonts w:ascii="Century Gothic" w:hAnsi="Century Gothic" w:cs="Arial"/>
          <w:sz w:val="24"/>
          <w:szCs w:val="24"/>
          <w:lang w:val="es-ES"/>
        </w:rPr>
        <w:t xml:space="preserve">Respecto de lo anterior, la Sala de Consulta y Servicio Civil indicó que existen cuatro </w:t>
      </w:r>
      <w:bookmarkStart w:id="5" w:name="_Hlk32852355"/>
      <w:r w:rsidRPr="00C32A38">
        <w:rPr>
          <w:rFonts w:ascii="Century Gothic" w:hAnsi="Century Gothic" w:cs="Arial"/>
          <w:sz w:val="24"/>
          <w:szCs w:val="24"/>
          <w:lang w:val="es-ES"/>
        </w:rPr>
        <w:t xml:space="preserve">salvedades fundamentales a la aplicación de la norma mercantil </w:t>
      </w:r>
      <w:bookmarkEnd w:id="5"/>
      <w:r w:rsidRPr="00C32A38">
        <w:rPr>
          <w:rFonts w:ascii="Century Gothic" w:hAnsi="Century Gothic" w:cs="Arial"/>
          <w:sz w:val="24"/>
          <w:szCs w:val="24"/>
          <w:lang w:val="es-ES"/>
        </w:rPr>
        <w:t>(se trascribe):</w:t>
      </w:r>
    </w:p>
    <w:p w14:paraId="56E1ECAC" w14:textId="77777777" w:rsidR="00C32A38" w:rsidRPr="00C32A38" w:rsidRDefault="00C32A38" w:rsidP="00C32A38">
      <w:pPr>
        <w:spacing w:after="0" w:line="360" w:lineRule="auto"/>
        <w:jc w:val="both"/>
        <w:rPr>
          <w:rFonts w:ascii="Century Gothic" w:hAnsi="Century Gothic" w:cs="Arial"/>
          <w:sz w:val="24"/>
          <w:szCs w:val="24"/>
          <w:lang w:val="es-ES"/>
        </w:rPr>
      </w:pPr>
    </w:p>
    <w:p w14:paraId="34415AAD" w14:textId="77777777" w:rsidR="00C32A38" w:rsidRPr="00C32A38" w:rsidRDefault="00C32A38" w:rsidP="00C32A38">
      <w:pPr>
        <w:spacing w:after="0" w:line="276" w:lineRule="auto"/>
        <w:ind w:left="720" w:right="567"/>
        <w:jc w:val="both"/>
        <w:rPr>
          <w:rFonts w:ascii="Century Gothic" w:hAnsi="Century Gothic" w:cs="Arial"/>
          <w:i/>
          <w:lang w:val="es-ES_tradnl"/>
        </w:rPr>
      </w:pPr>
      <w:r w:rsidRPr="00C32A38">
        <w:rPr>
          <w:rFonts w:ascii="Century Gothic" w:hAnsi="Century Gothic" w:cs="Arial"/>
          <w:i/>
          <w:lang w:val="es-ES"/>
        </w:rPr>
        <w:t xml:space="preserve">“1) </w:t>
      </w:r>
      <w:r w:rsidRPr="00C32A38">
        <w:rPr>
          <w:rFonts w:ascii="Century Gothic" w:hAnsi="Century Gothic" w:cs="Arial"/>
          <w:i/>
          <w:u w:val="single"/>
          <w:lang w:val="es-ES_tradnl"/>
        </w:rPr>
        <w:t>La fiducia pública no implica transferencia de la propiedad de los bienes o recursos fideicomitidos</w:t>
      </w:r>
      <w:r w:rsidRPr="00C32A38">
        <w:rPr>
          <w:rFonts w:ascii="Century Gothic" w:hAnsi="Century Gothic" w:cs="Arial"/>
          <w:i/>
          <w:lang w:val="es-ES_tradnl"/>
        </w:rPr>
        <w:t>.</w:t>
      </w:r>
    </w:p>
    <w:p w14:paraId="4A4070AB" w14:textId="77777777" w:rsidR="00C32A38" w:rsidRPr="00C32A38" w:rsidRDefault="00C32A38" w:rsidP="00C32A38">
      <w:pPr>
        <w:spacing w:after="0" w:line="276" w:lineRule="auto"/>
        <w:ind w:left="720" w:right="567"/>
        <w:jc w:val="both"/>
        <w:rPr>
          <w:rFonts w:ascii="Century Gothic" w:hAnsi="Century Gothic" w:cs="Arial"/>
          <w:i/>
          <w:lang w:val="es-ES_tradnl"/>
        </w:rPr>
      </w:pPr>
      <w:r w:rsidRPr="00C32A38">
        <w:rPr>
          <w:rFonts w:ascii="Century Gothic" w:hAnsi="Century Gothic" w:cs="Arial"/>
          <w:i/>
          <w:lang w:val="es-ES_tradnl"/>
        </w:rPr>
        <w:t>“2) Tampoco constituye un patrimonio autónomo afecto a la finalidad de la fiducia, en manos de la sociedad fiduciaria.</w:t>
      </w:r>
    </w:p>
    <w:p w14:paraId="252F3773" w14:textId="77777777" w:rsidR="00C32A38" w:rsidRPr="00C32A38" w:rsidRDefault="00C32A38" w:rsidP="00C32A38">
      <w:pPr>
        <w:spacing w:after="0" w:line="276" w:lineRule="auto"/>
        <w:ind w:left="720" w:right="567"/>
        <w:jc w:val="both"/>
        <w:rPr>
          <w:rFonts w:ascii="Century Gothic" w:hAnsi="Century Gothic" w:cs="Arial"/>
          <w:i/>
          <w:u w:val="single"/>
          <w:lang w:val="es-ES_tradnl"/>
        </w:rPr>
      </w:pPr>
      <w:r w:rsidRPr="00C32A38">
        <w:rPr>
          <w:rFonts w:ascii="Century Gothic" w:hAnsi="Century Gothic" w:cs="Arial"/>
          <w:i/>
          <w:lang w:val="es-ES_tradnl"/>
        </w:rPr>
        <w:t xml:space="preserve">“3) </w:t>
      </w:r>
      <w:r w:rsidRPr="00C32A38">
        <w:rPr>
          <w:rFonts w:ascii="Century Gothic" w:hAnsi="Century Gothic" w:cs="Arial"/>
          <w:i/>
          <w:u w:val="single"/>
          <w:lang w:val="es-ES_tradnl"/>
        </w:rPr>
        <w:t>La adjudicación de los subcontratos debe ser realizada por la entidad estatal fideicomitente</w:t>
      </w:r>
      <w:r w:rsidRPr="00C32A38">
        <w:rPr>
          <w:rFonts w:ascii="Century Gothic" w:hAnsi="Century Gothic" w:cs="Arial"/>
          <w:i/>
          <w:lang w:val="es-ES_tradnl"/>
        </w:rPr>
        <w:t>.</w:t>
      </w:r>
    </w:p>
    <w:p w14:paraId="1F6EFCC3" w14:textId="77777777" w:rsidR="00C32A38" w:rsidRPr="00C32A38" w:rsidRDefault="00C32A38" w:rsidP="00C32A38">
      <w:pPr>
        <w:spacing w:after="0" w:line="276" w:lineRule="auto"/>
        <w:ind w:left="720" w:right="567"/>
        <w:jc w:val="both"/>
        <w:rPr>
          <w:rFonts w:ascii="Century Gothic" w:hAnsi="Century Gothic" w:cs="Arial"/>
          <w:lang w:val="es-ES_tradnl"/>
        </w:rPr>
      </w:pPr>
      <w:r w:rsidRPr="00C32A38">
        <w:rPr>
          <w:rFonts w:ascii="Century Gothic" w:hAnsi="Century Gothic" w:cs="Arial"/>
          <w:i/>
          <w:lang w:val="es-ES_tradnl"/>
        </w:rPr>
        <w:t>“4) No se puede pactar que la comisión de la sociedad fiduciaria sea tomada de los rendimientos del fideicomiso, salvo que éstos se encuentren presupuestados”</w:t>
      </w:r>
      <w:r w:rsidRPr="00C32A38">
        <w:rPr>
          <w:rFonts w:ascii="Century Gothic" w:hAnsi="Century Gothic" w:cs="Arial"/>
          <w:i/>
          <w:vertAlign w:val="superscript"/>
          <w:lang w:val="es-ES_tradnl"/>
        </w:rPr>
        <w:footnoteReference w:id="70"/>
      </w:r>
      <w:r w:rsidRPr="00C32A38">
        <w:rPr>
          <w:rFonts w:ascii="Century Gothic" w:hAnsi="Century Gothic" w:cs="Arial"/>
          <w:lang w:val="es-ES_tradnl"/>
        </w:rPr>
        <w:t xml:space="preserve"> (subrayado fuera del original).</w:t>
      </w:r>
    </w:p>
    <w:bookmarkEnd w:id="4"/>
    <w:p w14:paraId="7FE39157" w14:textId="77777777" w:rsidR="00C32A38" w:rsidRPr="00C32A38" w:rsidRDefault="00C32A38" w:rsidP="00C32A38">
      <w:pPr>
        <w:spacing w:after="0" w:line="360" w:lineRule="auto"/>
        <w:jc w:val="both"/>
        <w:rPr>
          <w:rFonts w:ascii="Century Gothic" w:hAnsi="Century Gothic" w:cs="Arial"/>
          <w:sz w:val="24"/>
          <w:szCs w:val="24"/>
          <w:lang w:val="es-ES_tradnl"/>
        </w:rPr>
      </w:pPr>
    </w:p>
    <w:p w14:paraId="584BA1E7"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_tradnl"/>
        </w:rPr>
      </w:pPr>
      <w:bookmarkStart w:id="7" w:name="_Hlk17451815"/>
      <w:r w:rsidRPr="00C32A38">
        <w:rPr>
          <w:rFonts w:ascii="Century Gothic" w:hAnsi="Century Gothic" w:cs="Arial"/>
          <w:sz w:val="24"/>
          <w:szCs w:val="24"/>
          <w:lang w:val="es-ES_tradnl"/>
        </w:rPr>
        <w:t xml:space="preserve">De las anteriores particularidades del contrato de fiducia pública se infiere que </w:t>
      </w:r>
      <w:bookmarkStart w:id="8" w:name="_Hlk19718312"/>
      <w:r w:rsidRPr="00C32A38">
        <w:rPr>
          <w:rFonts w:ascii="Century Gothic" w:hAnsi="Century Gothic" w:cs="Arial"/>
          <w:sz w:val="24"/>
          <w:szCs w:val="24"/>
          <w:lang w:val="es-ES_tradnl"/>
        </w:rPr>
        <w:t xml:space="preserve">los bienes fideicomitidos </w:t>
      </w:r>
      <w:bookmarkEnd w:id="8"/>
      <w:r w:rsidRPr="00C32A38">
        <w:rPr>
          <w:rFonts w:ascii="Century Gothic" w:hAnsi="Century Gothic" w:cs="Arial"/>
          <w:sz w:val="24"/>
          <w:szCs w:val="24"/>
          <w:lang w:val="es-ES_tradnl"/>
        </w:rPr>
        <w:t xml:space="preserve">nunca salieron del patrimonio de la entidad pública, así como tampoco le era dado a </w:t>
      </w:r>
      <w:proofErr w:type="spellStart"/>
      <w:r w:rsidRPr="00C32A38">
        <w:rPr>
          <w:rFonts w:ascii="Century Gothic" w:hAnsi="Century Gothic" w:cs="Arial"/>
          <w:sz w:val="24"/>
          <w:szCs w:val="24"/>
          <w:lang w:val="es-ES_tradnl"/>
        </w:rPr>
        <w:t>Fidultra</w:t>
      </w:r>
      <w:proofErr w:type="spellEnd"/>
      <w:r w:rsidRPr="00C32A38">
        <w:rPr>
          <w:rFonts w:ascii="Century Gothic" w:hAnsi="Century Gothic" w:cs="Arial"/>
          <w:sz w:val="24"/>
          <w:szCs w:val="24"/>
          <w:lang w:val="es-ES_tradnl"/>
        </w:rPr>
        <w:t xml:space="preserve"> escoger las entidades en las cuales se realizaban las inversiones temporales, so pena de contravenir la prohibición de adjudicación prevista en el numeral 5 de la Ley 80 de 1993. </w:t>
      </w:r>
    </w:p>
    <w:bookmarkEnd w:id="7"/>
    <w:p w14:paraId="688EF8F3" w14:textId="77777777" w:rsidR="00C32A38" w:rsidRPr="00C32A38" w:rsidRDefault="00C32A38" w:rsidP="00C32A38">
      <w:pPr>
        <w:spacing w:after="0" w:line="360" w:lineRule="auto"/>
        <w:jc w:val="both"/>
        <w:rPr>
          <w:rFonts w:ascii="Century Gothic" w:hAnsi="Century Gothic" w:cs="Arial"/>
          <w:sz w:val="24"/>
          <w:szCs w:val="24"/>
          <w:lang w:val="es-ES_tradnl"/>
        </w:rPr>
      </w:pPr>
    </w:p>
    <w:p w14:paraId="4FF180E8"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_tradnl"/>
        </w:rPr>
      </w:pPr>
      <w:r w:rsidRPr="00C32A38">
        <w:rPr>
          <w:rFonts w:ascii="Century Gothic" w:hAnsi="Century Gothic" w:cs="Arial"/>
          <w:sz w:val="24"/>
          <w:szCs w:val="24"/>
          <w:lang w:val="es-ES_tradnl"/>
        </w:rPr>
        <w:t xml:space="preserve">Aunado a lo anterior, y según se indicó anteriormente, </w:t>
      </w:r>
      <w:bookmarkStart w:id="9" w:name="_Hlk32852284"/>
      <w:r w:rsidRPr="00C32A38">
        <w:rPr>
          <w:rFonts w:ascii="Century Gothic" w:hAnsi="Century Gothic" w:cs="Arial"/>
          <w:sz w:val="24"/>
          <w:szCs w:val="24"/>
          <w:lang w:val="es-ES_tradnl"/>
        </w:rPr>
        <w:t>las partes incluyeron en el contrato 103/95 obligaciones de inversión a las que, por ser compatibles con el contrato de fiducia pública, les resulta aplicable la disposición prevista en el artículo 151-3 y -5 del Estatuto Orgánico del Sistema Financiero —normas vigentes para la fecha de suscripción del contrato</w:t>
      </w:r>
      <w:r w:rsidRPr="00C32A38">
        <w:rPr>
          <w:rFonts w:ascii="Century Gothic" w:hAnsi="Century Gothic" w:cs="Arial"/>
          <w:sz w:val="24"/>
          <w:szCs w:val="24"/>
          <w:vertAlign w:val="superscript"/>
          <w:lang w:val="es-ES_tradnl"/>
        </w:rPr>
        <w:footnoteReference w:id="71"/>
      </w:r>
      <w:r w:rsidRPr="00C32A38">
        <w:rPr>
          <w:rFonts w:ascii="Century Gothic" w:hAnsi="Century Gothic" w:cs="Arial"/>
          <w:sz w:val="24"/>
          <w:szCs w:val="24"/>
          <w:lang w:val="es-ES_tradnl"/>
        </w:rPr>
        <w:t xml:space="preserve">—, que dispone lo siguiente: </w:t>
      </w:r>
    </w:p>
    <w:p w14:paraId="7EEB1D11" w14:textId="77777777" w:rsidR="00C32A38" w:rsidRPr="00C32A38" w:rsidRDefault="00C32A38" w:rsidP="00C32A38">
      <w:pPr>
        <w:spacing w:after="0" w:line="360" w:lineRule="auto"/>
        <w:jc w:val="both"/>
        <w:rPr>
          <w:rFonts w:ascii="Century Gothic" w:hAnsi="Century Gothic" w:cs="Arial"/>
          <w:sz w:val="24"/>
          <w:szCs w:val="24"/>
          <w:lang w:val="es-ES_tradnl"/>
        </w:rPr>
      </w:pPr>
    </w:p>
    <w:p w14:paraId="1CC71EBF" w14:textId="77777777" w:rsidR="00C32A38" w:rsidRPr="00C32A38" w:rsidRDefault="00C32A38" w:rsidP="00C32A38">
      <w:pPr>
        <w:spacing w:after="0" w:line="276" w:lineRule="auto"/>
        <w:ind w:left="567" w:right="567"/>
        <w:jc w:val="both"/>
        <w:rPr>
          <w:rFonts w:ascii="Century Gothic" w:hAnsi="Century Gothic" w:cs="Arial"/>
          <w:i/>
          <w:lang w:val="es-ES_tradnl"/>
        </w:rPr>
      </w:pPr>
      <w:r w:rsidRPr="00C32A38">
        <w:rPr>
          <w:rFonts w:ascii="Century Gothic" w:hAnsi="Century Gothic" w:cs="Arial"/>
          <w:i/>
          <w:lang w:val="es-ES_tradnl"/>
        </w:rPr>
        <w:t>“Artículo 151. NORMAS COMUNES A LOS FIDEICOMISOS DE INVERSIÓN.</w:t>
      </w:r>
    </w:p>
    <w:p w14:paraId="1DF34BBF" w14:textId="77777777" w:rsidR="00C32A38" w:rsidRPr="00C32A38" w:rsidRDefault="00C32A38" w:rsidP="00C32A38">
      <w:pPr>
        <w:spacing w:after="0" w:line="276" w:lineRule="auto"/>
        <w:ind w:left="567" w:right="567"/>
        <w:jc w:val="both"/>
        <w:rPr>
          <w:rFonts w:ascii="Century Gothic" w:hAnsi="Century Gothic" w:cs="Arial"/>
          <w:i/>
          <w:lang w:val="es-ES_tradnl"/>
        </w:rPr>
      </w:pPr>
      <w:r w:rsidRPr="00C32A38">
        <w:rPr>
          <w:rFonts w:ascii="Century Gothic" w:hAnsi="Century Gothic" w:cs="Arial"/>
          <w:i/>
          <w:lang w:val="es-ES_tradnl"/>
        </w:rPr>
        <w:t>“(…)</w:t>
      </w:r>
    </w:p>
    <w:p w14:paraId="19ADA75F" w14:textId="77777777" w:rsidR="00C32A38" w:rsidRPr="00C32A38" w:rsidRDefault="00C32A38" w:rsidP="00C32A38">
      <w:pPr>
        <w:spacing w:after="0" w:line="276" w:lineRule="auto"/>
        <w:ind w:left="567" w:right="567"/>
        <w:jc w:val="both"/>
        <w:rPr>
          <w:rFonts w:ascii="Century Gothic" w:hAnsi="Century Gothic" w:cs="Arial"/>
        </w:rPr>
      </w:pPr>
      <w:r w:rsidRPr="00C32A38">
        <w:rPr>
          <w:rFonts w:ascii="Century Gothic" w:hAnsi="Century Gothic" w:cs="Arial"/>
          <w:i/>
          <w:lang w:val="es-ES_tradnl"/>
        </w:rPr>
        <w:t>“</w:t>
      </w:r>
      <w:r w:rsidRPr="00C32A38">
        <w:rPr>
          <w:rFonts w:ascii="Century Gothic" w:hAnsi="Century Gothic" w:cs="Arial"/>
          <w:i/>
        </w:rPr>
        <w:t xml:space="preserve">3. </w:t>
      </w:r>
      <w:r w:rsidRPr="00C32A38">
        <w:rPr>
          <w:rFonts w:ascii="Century Gothic" w:hAnsi="Century Gothic" w:cs="Arial"/>
          <w:i/>
          <w:u w:val="single"/>
        </w:rPr>
        <w:t>Estipulación de la destinación específica de los recursos entregados a título de fideicomiso de inversión</w:t>
      </w:r>
      <w:r w:rsidRPr="00C32A38">
        <w:rPr>
          <w:rFonts w:ascii="Century Gothic" w:hAnsi="Century Gothic" w:cs="Arial"/>
          <w:i/>
        </w:rPr>
        <w:t xml:space="preserve">. El constituyente o adherente deberá expresar en el contrato, de manera inequívoca, los bienes o actividades específicas en los cuales deben invertirse los recursos o la persona o personas a quienes deben entregarse en todo o en parte los dineros en desarrollo del negocio y el título y las condiciones en que tal entrega debe realizarse </w:t>
      </w:r>
      <w:r w:rsidRPr="00C32A38">
        <w:rPr>
          <w:rFonts w:ascii="Century Gothic" w:hAnsi="Century Gothic" w:cs="Arial"/>
        </w:rPr>
        <w:t>(…)</w:t>
      </w:r>
    </w:p>
    <w:p w14:paraId="35FA97D7" w14:textId="77777777" w:rsidR="00C32A38" w:rsidRPr="00C32A38" w:rsidRDefault="00C32A38" w:rsidP="00C32A38">
      <w:pPr>
        <w:spacing w:after="0" w:line="276" w:lineRule="auto"/>
        <w:ind w:left="567" w:right="567"/>
        <w:jc w:val="both"/>
        <w:rPr>
          <w:rFonts w:ascii="Century Gothic" w:hAnsi="Century Gothic" w:cs="Arial"/>
          <w:i/>
        </w:rPr>
      </w:pPr>
      <w:r w:rsidRPr="00C32A38">
        <w:rPr>
          <w:rFonts w:ascii="Century Gothic" w:hAnsi="Century Gothic" w:cs="Arial"/>
          <w:i/>
        </w:rPr>
        <w:lastRenderedPageBreak/>
        <w:t>“En ningún caso la destinación de los recursos podrá ser establecida por la entidad fiduciaria o encontrarse preimpresa en los modelos de contrato que se empleen para el efecto”.</w:t>
      </w:r>
    </w:p>
    <w:p w14:paraId="699FF303" w14:textId="77777777" w:rsidR="00C32A38" w:rsidRPr="00C32A38" w:rsidRDefault="00C32A38" w:rsidP="00C32A38">
      <w:pPr>
        <w:spacing w:after="0" w:line="276" w:lineRule="auto"/>
        <w:ind w:left="567" w:right="567"/>
        <w:jc w:val="both"/>
        <w:rPr>
          <w:rFonts w:ascii="Century Gothic" w:hAnsi="Century Gothic" w:cs="Arial"/>
          <w:i/>
          <w:sz w:val="24"/>
          <w:szCs w:val="24"/>
        </w:rPr>
      </w:pPr>
      <w:r w:rsidRPr="00C32A38">
        <w:rPr>
          <w:rFonts w:ascii="Century Gothic" w:hAnsi="Century Gothic" w:cs="Arial"/>
          <w:i/>
          <w:sz w:val="24"/>
          <w:szCs w:val="24"/>
        </w:rPr>
        <w:t>“(…)</w:t>
      </w:r>
    </w:p>
    <w:p w14:paraId="383AA71C" w14:textId="77777777" w:rsidR="00C32A38" w:rsidRPr="00C32A38" w:rsidRDefault="00C32A38" w:rsidP="00C32A38">
      <w:pPr>
        <w:spacing w:after="0" w:line="276" w:lineRule="auto"/>
        <w:ind w:left="567" w:right="567"/>
        <w:jc w:val="both"/>
        <w:rPr>
          <w:rFonts w:ascii="Century Gothic" w:hAnsi="Century Gothic" w:cs="Arial"/>
          <w:i/>
        </w:rPr>
      </w:pPr>
      <w:r w:rsidRPr="00C32A38">
        <w:rPr>
          <w:rFonts w:ascii="Century Gothic" w:hAnsi="Century Gothic" w:cs="Arial"/>
          <w:i/>
          <w:sz w:val="24"/>
          <w:szCs w:val="24"/>
        </w:rPr>
        <w:t>“</w:t>
      </w:r>
      <w:r w:rsidRPr="00C32A38">
        <w:rPr>
          <w:rFonts w:ascii="Century Gothic" w:hAnsi="Century Gothic" w:cs="Arial"/>
          <w:i/>
        </w:rPr>
        <w:t xml:space="preserve">5. Dentro de los contratos mediante los cuales se vincule a los constituyentes o adherentes con los fondos o </w:t>
      </w:r>
      <w:r w:rsidRPr="00C32A38">
        <w:rPr>
          <w:rFonts w:ascii="Century Gothic" w:hAnsi="Century Gothic" w:cs="Arial"/>
          <w:i/>
          <w:u w:val="single"/>
        </w:rPr>
        <w:t>proyectos específicos de inversión deberá destacarse la circunstancia de que las obligaciones que asume el fiduciario tienen el carácter de obligaciones de medio y no de resultado</w:t>
      </w:r>
      <w:r w:rsidRPr="00C32A38">
        <w:rPr>
          <w:rFonts w:ascii="Century Gothic" w:hAnsi="Century Gothic" w:cs="Arial"/>
          <w:i/>
        </w:rPr>
        <w:t xml:space="preserve"> (…)”.</w:t>
      </w:r>
    </w:p>
    <w:p w14:paraId="3D29C207" w14:textId="77777777" w:rsidR="00C32A38" w:rsidRPr="00C32A38" w:rsidRDefault="00C32A38" w:rsidP="00C32A38">
      <w:pPr>
        <w:spacing w:after="0" w:line="360" w:lineRule="auto"/>
        <w:ind w:right="567"/>
        <w:jc w:val="both"/>
        <w:rPr>
          <w:rFonts w:ascii="Century Gothic" w:hAnsi="Century Gothic" w:cs="Arial"/>
          <w:i/>
          <w:sz w:val="24"/>
          <w:szCs w:val="24"/>
        </w:rPr>
      </w:pPr>
    </w:p>
    <w:p w14:paraId="06054CC1"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De la norma trascrita se colige que 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como constituyente del fideicomiso de inversión, debía indicar de manera inequívoca a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la destinación de los recursos entregados, situación que, en el caso concreto se materializó a través de las reuniones periódicas de la Junta Administradora; además, que las obligaciones contraídas por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para la inversión de los recursos eran de medio y no de resultado, por lo que al contratista en el caso concreto se le exigía un actuar diligente en relación con las instrucciones del fideicomitente.</w:t>
      </w:r>
    </w:p>
    <w:bookmarkEnd w:id="9"/>
    <w:p w14:paraId="145E4329" w14:textId="77777777" w:rsidR="00C32A38" w:rsidRPr="00C32A38" w:rsidRDefault="00C32A38" w:rsidP="00C32A38">
      <w:pPr>
        <w:spacing w:after="0" w:line="360" w:lineRule="auto"/>
        <w:jc w:val="both"/>
        <w:rPr>
          <w:rFonts w:ascii="Century Gothic" w:hAnsi="Century Gothic" w:cs="Arial"/>
          <w:sz w:val="24"/>
          <w:szCs w:val="24"/>
          <w:lang w:val="es-ES_tradnl"/>
        </w:rPr>
      </w:pPr>
    </w:p>
    <w:p w14:paraId="7F433476" w14:textId="77777777" w:rsidR="00C32A38" w:rsidRPr="00C32A38" w:rsidRDefault="00C32A38" w:rsidP="00C32A38">
      <w:pPr>
        <w:numPr>
          <w:ilvl w:val="0"/>
          <w:numId w:val="11"/>
        </w:numPr>
        <w:spacing w:after="0" w:line="360" w:lineRule="auto"/>
        <w:jc w:val="both"/>
        <w:rPr>
          <w:rFonts w:ascii="Century Gothic" w:hAnsi="Century Gothic" w:cs="Arial"/>
          <w:sz w:val="24"/>
          <w:szCs w:val="24"/>
        </w:rPr>
      </w:pPr>
      <w:r w:rsidRPr="00C32A38">
        <w:rPr>
          <w:rFonts w:ascii="Century Gothic" w:hAnsi="Century Gothic" w:cs="Arial"/>
          <w:sz w:val="24"/>
          <w:szCs w:val="24"/>
        </w:rPr>
        <w:t>Forma en la que efectivamente se ejecutó el contrato</w:t>
      </w:r>
    </w:p>
    <w:p w14:paraId="50409864" w14:textId="77777777" w:rsidR="00C32A38" w:rsidRPr="00C32A38" w:rsidRDefault="00C32A38" w:rsidP="00C32A38">
      <w:pPr>
        <w:spacing w:after="0" w:line="360" w:lineRule="auto"/>
        <w:jc w:val="both"/>
        <w:rPr>
          <w:rFonts w:ascii="Century Gothic" w:hAnsi="Century Gothic" w:cs="Arial"/>
          <w:sz w:val="24"/>
          <w:szCs w:val="24"/>
        </w:rPr>
      </w:pPr>
    </w:p>
    <w:p w14:paraId="5923022D"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De la lectura de los hechos probados la Sala concluye que la ejecución del contrato, especialmente para el cumplimiento de las obligaciones de inversión, se hizo de acuerdo con las determinaciones de la entidad estatal.</w:t>
      </w:r>
    </w:p>
    <w:p w14:paraId="2F176DFD" w14:textId="77777777" w:rsidR="00C32A38" w:rsidRPr="00C32A38" w:rsidRDefault="00C32A38" w:rsidP="00C32A38">
      <w:pPr>
        <w:spacing w:after="0" w:line="360" w:lineRule="auto"/>
        <w:jc w:val="both"/>
        <w:rPr>
          <w:rFonts w:ascii="Century Gothic" w:hAnsi="Century Gothic" w:cs="Arial"/>
          <w:sz w:val="24"/>
          <w:szCs w:val="24"/>
        </w:rPr>
      </w:pPr>
    </w:p>
    <w:p w14:paraId="30E33D21"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En primer lugar, está acreditado que la Junta Administradora —en la que las fiduciarias tenían voz pero no voto— determinaba la destinación de los recursos y que lo hizo con especial énfasis hacia las cooperativas, aun en contra de las numerosas advertencias que las fiduciarias le hicieron en las reuniones mensuales y de la auditoría externa realizada por Arthur Andersen.</w:t>
      </w:r>
    </w:p>
    <w:p w14:paraId="18ACFA00" w14:textId="77777777" w:rsidR="00C32A38" w:rsidRPr="00C32A38" w:rsidRDefault="00C32A38" w:rsidP="00C32A38">
      <w:pPr>
        <w:spacing w:after="0" w:line="360" w:lineRule="auto"/>
        <w:jc w:val="both"/>
        <w:rPr>
          <w:rFonts w:ascii="Century Gothic" w:hAnsi="Century Gothic" w:cs="Arial"/>
          <w:sz w:val="24"/>
          <w:szCs w:val="24"/>
        </w:rPr>
      </w:pPr>
    </w:p>
    <w:p w14:paraId="3EFF91C4"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Lo anterior se ve corroborado por las apreciaciones hechas en el juicio de responsabilidad fiscal, el proceso penal, la investigación disciplinaria y el informe elaborado por el Ministerio de Desarrollo, documentos en los que se acreditó el control del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sobre el funcionamiento de la operación.</w:t>
      </w:r>
    </w:p>
    <w:p w14:paraId="6D87D5C8" w14:textId="77777777" w:rsidR="00C32A38" w:rsidRPr="00C32A38" w:rsidRDefault="00C32A38" w:rsidP="00C32A38">
      <w:pPr>
        <w:spacing w:after="0" w:line="360" w:lineRule="auto"/>
        <w:jc w:val="both"/>
        <w:rPr>
          <w:rFonts w:ascii="Century Gothic" w:hAnsi="Century Gothic" w:cs="Arial"/>
          <w:sz w:val="24"/>
          <w:szCs w:val="24"/>
        </w:rPr>
      </w:pPr>
    </w:p>
    <w:p w14:paraId="0F2141BC"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Asimismo, las autorizaciones de inversión remitidas por la entidad a las fiduciarias constituían verdaderas órdenes, pues, además de tener la potestad a </w:t>
      </w:r>
      <w:r w:rsidRPr="00C32A38">
        <w:rPr>
          <w:rFonts w:ascii="Century Gothic" w:hAnsi="Century Gothic" w:cs="Arial"/>
          <w:sz w:val="24"/>
          <w:szCs w:val="24"/>
        </w:rPr>
        <w:lastRenderedPageBreak/>
        <w:t xml:space="preserve">través de la Junta Administradora de determinar hacia qué cooperativas se dirigían los recursos, indicaban el monto, plazo y tasa de interés de los </w:t>
      </w:r>
      <w:proofErr w:type="spellStart"/>
      <w:r w:rsidRPr="00C32A38">
        <w:rPr>
          <w:rFonts w:ascii="Century Gothic" w:hAnsi="Century Gothic" w:cs="Arial"/>
          <w:sz w:val="24"/>
          <w:szCs w:val="24"/>
        </w:rPr>
        <w:t>CDATs</w:t>
      </w:r>
      <w:proofErr w:type="spellEnd"/>
      <w:r w:rsidRPr="00C32A38">
        <w:rPr>
          <w:rFonts w:ascii="Century Gothic" w:hAnsi="Century Gothic" w:cs="Arial"/>
          <w:sz w:val="24"/>
          <w:szCs w:val="24"/>
        </w:rPr>
        <w:t xml:space="preserve">, elementos esenciales en la constitución de dichos títulos. </w:t>
      </w:r>
    </w:p>
    <w:p w14:paraId="09E38851" w14:textId="77777777" w:rsidR="00C32A38" w:rsidRPr="00C32A38" w:rsidRDefault="00C32A38" w:rsidP="00C32A38">
      <w:pPr>
        <w:spacing w:after="0" w:line="360" w:lineRule="auto"/>
        <w:jc w:val="both"/>
        <w:rPr>
          <w:rFonts w:ascii="Century Gothic" w:hAnsi="Century Gothic" w:cs="Arial"/>
          <w:sz w:val="24"/>
          <w:szCs w:val="24"/>
        </w:rPr>
      </w:pPr>
    </w:p>
    <w:p w14:paraId="78F135AF"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Finalmente, se acreditó que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en cumplimiento de la cláusula 10</w:t>
      </w:r>
      <w:r w:rsidRPr="00C32A38">
        <w:rPr>
          <w:rFonts w:ascii="Century Gothic" w:hAnsi="Century Gothic" w:cs="Arial"/>
          <w:sz w:val="24"/>
          <w:szCs w:val="24"/>
          <w:vertAlign w:val="superscript"/>
        </w:rPr>
        <w:footnoteReference w:id="72"/>
      </w:r>
      <w:r w:rsidRPr="00C32A38">
        <w:rPr>
          <w:rFonts w:ascii="Century Gothic" w:hAnsi="Century Gothic" w:cs="Arial"/>
          <w:sz w:val="24"/>
          <w:szCs w:val="24"/>
        </w:rPr>
        <w:t xml:space="preserve"> del contrato, presentó la rendición de cuentas junto con los </w:t>
      </w:r>
      <w:proofErr w:type="spellStart"/>
      <w:r w:rsidRPr="00C32A38">
        <w:rPr>
          <w:rFonts w:ascii="Century Gothic" w:hAnsi="Century Gothic" w:cs="Arial"/>
          <w:sz w:val="24"/>
          <w:szCs w:val="24"/>
        </w:rPr>
        <w:t>CDATs</w:t>
      </w:r>
      <w:proofErr w:type="spellEnd"/>
      <w:r w:rsidRPr="00C32A38">
        <w:rPr>
          <w:rFonts w:ascii="Century Gothic" w:hAnsi="Century Gothic" w:cs="Arial"/>
          <w:sz w:val="24"/>
          <w:szCs w:val="24"/>
        </w:rPr>
        <w:t xml:space="preserve"> no pagados y que la entidad decidió no recibirlos por considerar que le correspondía la devolución del dinero, por lo que, ante la imposibilidad de lograr un acuerdo con el contratista, liquidó unilateralmente el contrato.</w:t>
      </w:r>
    </w:p>
    <w:p w14:paraId="58A5657F" w14:textId="77777777" w:rsidR="00C32A38" w:rsidRPr="00C32A38" w:rsidRDefault="00C32A38" w:rsidP="00C32A38">
      <w:pPr>
        <w:spacing w:after="0" w:line="360" w:lineRule="auto"/>
        <w:jc w:val="both"/>
        <w:rPr>
          <w:rFonts w:ascii="Century Gothic" w:hAnsi="Century Gothic" w:cs="Arial"/>
          <w:sz w:val="24"/>
          <w:szCs w:val="24"/>
        </w:rPr>
      </w:pPr>
    </w:p>
    <w:p w14:paraId="5C339AC4"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Por las razones expuestas en precedencia, </w:t>
      </w:r>
      <w:bookmarkStart w:id="10" w:name="_Hlk17452047"/>
      <w:r w:rsidRPr="00C32A38">
        <w:rPr>
          <w:rFonts w:ascii="Century Gothic" w:hAnsi="Century Gothic" w:cs="Arial"/>
          <w:sz w:val="24"/>
          <w:szCs w:val="24"/>
        </w:rPr>
        <w:t xml:space="preserve">la Sala encuentra acreditado que 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al liquidar unilateralmente el contrato, pretendió la recuperación de los dineros que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había invertido en el sector cooperativo en cumplimiento de las indicaciones dadas por la entidad a través de la Junta Administradora y de las autorizaciones de inversión, sumas que, además, se encontraban representadas en los </w:t>
      </w:r>
      <w:proofErr w:type="spellStart"/>
      <w:r w:rsidRPr="00C32A38">
        <w:rPr>
          <w:rFonts w:ascii="Century Gothic" w:hAnsi="Century Gothic" w:cs="Arial"/>
          <w:sz w:val="24"/>
          <w:szCs w:val="24"/>
        </w:rPr>
        <w:t>CDATs</w:t>
      </w:r>
      <w:proofErr w:type="spellEnd"/>
      <w:r w:rsidRPr="00C32A38">
        <w:rPr>
          <w:rFonts w:ascii="Century Gothic" w:hAnsi="Century Gothic" w:cs="Arial"/>
          <w:sz w:val="24"/>
          <w:szCs w:val="24"/>
        </w:rPr>
        <w:t xml:space="preserve"> que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intentó entregar al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w:t>
      </w:r>
      <w:bookmarkEnd w:id="10"/>
    </w:p>
    <w:p w14:paraId="42C5450B" w14:textId="77777777" w:rsidR="00C32A38" w:rsidRPr="00C32A38" w:rsidRDefault="00C32A38" w:rsidP="00C32A38">
      <w:pPr>
        <w:spacing w:after="0" w:line="360" w:lineRule="auto"/>
        <w:jc w:val="both"/>
        <w:rPr>
          <w:rFonts w:ascii="Century Gothic" w:hAnsi="Century Gothic" w:cs="Arial"/>
          <w:sz w:val="24"/>
          <w:szCs w:val="24"/>
        </w:rPr>
      </w:pPr>
    </w:p>
    <w:p w14:paraId="24F689CB"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No es de recibo, como pretende la entidad, que al contrato de Fiducia 103/95 le fuera </w:t>
      </w:r>
      <w:bookmarkStart w:id="11" w:name="_Hlk19718580"/>
      <w:r w:rsidRPr="00C32A38">
        <w:rPr>
          <w:rFonts w:ascii="Century Gothic" w:hAnsi="Century Gothic" w:cs="Arial"/>
          <w:sz w:val="24"/>
          <w:szCs w:val="24"/>
        </w:rPr>
        <w:t>aplicable el artículo 1234.7 del Código de Comercio relativo a la restitución de los bienes</w:t>
      </w:r>
      <w:bookmarkEnd w:id="11"/>
      <w:r w:rsidRPr="00C32A38">
        <w:rPr>
          <w:rFonts w:ascii="Century Gothic" w:hAnsi="Century Gothic" w:cs="Arial"/>
          <w:sz w:val="24"/>
          <w:szCs w:val="24"/>
        </w:rPr>
        <w:t xml:space="preserve"> al finalizar el contrato, pues, como se indicó, en esta modalidad contractual no hay trasferencia de la propiedad. En cualquier caso, entre las obligaciones de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estaba la de “</w:t>
      </w:r>
      <w:r w:rsidRPr="00C32A38">
        <w:rPr>
          <w:rFonts w:ascii="Century Gothic" w:hAnsi="Century Gothic" w:cs="Arial"/>
          <w:b/>
          <w:i/>
          <w:sz w:val="24"/>
          <w:szCs w:val="24"/>
          <w:lang w:val="es-ES"/>
        </w:rPr>
        <w:t xml:space="preserve">entregar al FIDEICOMITENTE toda suma de dinero que quede a la terminación del contrato, </w:t>
      </w:r>
      <w:r w:rsidRPr="00C32A38">
        <w:rPr>
          <w:rFonts w:ascii="Century Gothic" w:hAnsi="Century Gothic" w:cs="Arial"/>
          <w:i/>
          <w:sz w:val="24"/>
          <w:szCs w:val="24"/>
          <w:lang w:val="es-ES"/>
        </w:rPr>
        <w:t xml:space="preserve">una vez efectuados todos los desembolsos con cargo a los recursos FIDEICOMETIDOS”, </w:t>
      </w:r>
      <w:r w:rsidRPr="00C32A38">
        <w:rPr>
          <w:rFonts w:ascii="Century Gothic" w:hAnsi="Century Gothic" w:cs="Arial"/>
          <w:sz w:val="24"/>
          <w:szCs w:val="24"/>
          <w:lang w:val="es-ES"/>
        </w:rPr>
        <w:t xml:space="preserve">lo que en efecto hizo a través de la consignación de las sumas líquidas que tenía a su disposición y la devolución de los </w:t>
      </w:r>
      <w:proofErr w:type="spellStart"/>
      <w:r w:rsidRPr="00C32A38">
        <w:rPr>
          <w:rFonts w:ascii="Century Gothic" w:hAnsi="Century Gothic" w:cs="Arial"/>
          <w:sz w:val="24"/>
          <w:szCs w:val="24"/>
          <w:lang w:val="es-ES"/>
        </w:rPr>
        <w:t>CDATs</w:t>
      </w:r>
      <w:proofErr w:type="spellEnd"/>
      <w:r w:rsidRPr="00C32A38">
        <w:rPr>
          <w:rFonts w:ascii="Century Gothic" w:hAnsi="Century Gothic" w:cs="Arial"/>
          <w:sz w:val="24"/>
          <w:szCs w:val="24"/>
          <w:lang w:val="es-ES"/>
        </w:rPr>
        <w:t xml:space="preserve"> (se resalta).</w:t>
      </w:r>
      <w:r w:rsidRPr="00C32A38">
        <w:rPr>
          <w:rFonts w:ascii="Century Gothic" w:hAnsi="Century Gothic" w:cs="Arial"/>
          <w:lang w:val="es-ES"/>
        </w:rPr>
        <w:t xml:space="preserve"> </w:t>
      </w:r>
    </w:p>
    <w:p w14:paraId="2110FF93" w14:textId="77777777" w:rsidR="00C32A38" w:rsidRPr="00C32A38" w:rsidRDefault="00C32A38" w:rsidP="00C32A38">
      <w:pPr>
        <w:spacing w:after="0" w:line="240" w:lineRule="auto"/>
        <w:ind w:left="708"/>
        <w:rPr>
          <w:rFonts w:ascii="Century Gothic" w:hAnsi="Century Gothic" w:cs="Arial"/>
          <w:sz w:val="24"/>
          <w:szCs w:val="24"/>
        </w:rPr>
      </w:pPr>
    </w:p>
    <w:p w14:paraId="2429612D"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De las anteriores consideraciones se concluye entonces que, la resolución de liquidación unilateral y la que la confirma son nulas por estar falsamente motivadas. Verificado lo anterior la Sala pasa a estudiar las pretensiones que resulten compatibles con dicha decisión.</w:t>
      </w:r>
    </w:p>
    <w:p w14:paraId="6281CCB8" w14:textId="77777777" w:rsidR="00C32A38" w:rsidRPr="00C32A38" w:rsidRDefault="00C32A38" w:rsidP="00C32A38">
      <w:pPr>
        <w:spacing w:after="0" w:line="360" w:lineRule="auto"/>
        <w:ind w:left="708"/>
        <w:rPr>
          <w:rFonts w:ascii="Century Gothic" w:hAnsi="Century Gothic" w:cs="Arial"/>
          <w:sz w:val="24"/>
          <w:szCs w:val="24"/>
        </w:rPr>
      </w:pPr>
      <w:bookmarkStart w:id="12" w:name="_Hlk5562277"/>
    </w:p>
    <w:p w14:paraId="289792BA" w14:textId="77777777" w:rsidR="00C32A38" w:rsidRPr="00C32A38" w:rsidRDefault="00C32A38" w:rsidP="00C32A38">
      <w:pPr>
        <w:spacing w:after="0" w:line="360" w:lineRule="auto"/>
        <w:jc w:val="both"/>
        <w:rPr>
          <w:rFonts w:ascii="Century Gothic" w:hAnsi="Century Gothic" w:cs="Arial"/>
          <w:b/>
          <w:sz w:val="24"/>
          <w:szCs w:val="24"/>
        </w:rPr>
      </w:pPr>
      <w:r w:rsidRPr="00C32A38">
        <w:rPr>
          <w:rFonts w:ascii="Century Gothic" w:hAnsi="Century Gothic" w:cs="Arial"/>
          <w:b/>
          <w:sz w:val="24"/>
          <w:szCs w:val="24"/>
        </w:rPr>
        <w:lastRenderedPageBreak/>
        <w:t>2.3.2. Pretensiones del proceso 34230</w:t>
      </w:r>
    </w:p>
    <w:bookmarkEnd w:id="12"/>
    <w:p w14:paraId="59E4A1EA" w14:textId="77777777" w:rsidR="00C32A38" w:rsidRPr="00C32A38" w:rsidRDefault="00C32A38" w:rsidP="00C32A38">
      <w:pPr>
        <w:spacing w:after="0" w:line="240" w:lineRule="auto"/>
        <w:jc w:val="both"/>
        <w:rPr>
          <w:rFonts w:ascii="Century Gothic" w:hAnsi="Century Gothic" w:cs="Arial"/>
          <w:b/>
          <w:sz w:val="24"/>
          <w:szCs w:val="24"/>
        </w:rPr>
      </w:pPr>
    </w:p>
    <w:p w14:paraId="33247EA0"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w:t>
      </w:r>
      <w:r w:rsidRPr="00C32A38">
        <w:rPr>
          <w:rFonts w:ascii="Century Gothic" w:hAnsi="Century Gothic" w:cs="Arial"/>
          <w:sz w:val="24"/>
          <w:szCs w:val="24"/>
          <w:u w:val="single"/>
        </w:rPr>
        <w:t>pretende que se declare que el contrato de 103/95 y su adicional son contratos de fiducia pública regidos por la Ley 80 de 1993</w:t>
      </w:r>
      <w:r w:rsidRPr="00C32A38">
        <w:rPr>
          <w:rFonts w:ascii="Century Gothic" w:hAnsi="Century Gothic" w:cs="Arial"/>
          <w:sz w:val="24"/>
          <w:szCs w:val="24"/>
        </w:rPr>
        <w:t xml:space="preserve"> y que los dineros entregados a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son recursos públicos. En efecto, la Sala encuentra acreditado que la entidad adelantó un procedimiento de selección del contratista conforme a las disposiciones sustanciales contenidas en el Estatuto General de Contratación Pública y que lo hizo con clara determinación de acudir al contrato nominado de fiducia pública previsto en el artículo 32.5 de dicha Ley</w:t>
      </w:r>
      <w:r w:rsidRPr="00C32A38">
        <w:rPr>
          <w:rFonts w:ascii="Century Gothic" w:hAnsi="Century Gothic" w:cs="Arial"/>
          <w:sz w:val="24"/>
          <w:szCs w:val="24"/>
          <w:vertAlign w:val="superscript"/>
        </w:rPr>
        <w:footnoteReference w:id="73"/>
      </w:r>
      <w:r w:rsidRPr="00C32A38">
        <w:rPr>
          <w:rFonts w:ascii="Century Gothic" w:hAnsi="Century Gothic" w:cs="Arial"/>
          <w:sz w:val="24"/>
          <w:szCs w:val="24"/>
        </w:rPr>
        <w:t xml:space="preserve">. </w:t>
      </w:r>
    </w:p>
    <w:p w14:paraId="1A1A9A31" w14:textId="77777777" w:rsidR="00C32A38" w:rsidRPr="00C32A38" w:rsidRDefault="00C32A38" w:rsidP="00C32A38">
      <w:pPr>
        <w:spacing w:after="0" w:line="360" w:lineRule="auto"/>
        <w:jc w:val="both"/>
        <w:rPr>
          <w:rFonts w:ascii="Century Gothic" w:hAnsi="Century Gothic" w:cs="Arial"/>
          <w:sz w:val="24"/>
          <w:szCs w:val="24"/>
        </w:rPr>
      </w:pPr>
    </w:p>
    <w:p w14:paraId="099A0A05"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Asimismo, en atención a la naturaleza del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y del origen de los recursos (SINAVIS) está probado que los dineros entregados a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fueron dineros públicos. Por tanto así se declarará en la parte resolutiva de esta providencia.</w:t>
      </w:r>
    </w:p>
    <w:p w14:paraId="757F087A" w14:textId="77777777" w:rsidR="00C32A38" w:rsidRPr="00C32A38" w:rsidRDefault="00C32A38" w:rsidP="00C32A38">
      <w:pPr>
        <w:spacing w:after="0" w:line="360" w:lineRule="auto"/>
        <w:jc w:val="both"/>
        <w:rPr>
          <w:rFonts w:ascii="Century Gothic" w:hAnsi="Century Gothic" w:cs="Arial"/>
          <w:b/>
          <w:sz w:val="24"/>
          <w:szCs w:val="24"/>
        </w:rPr>
      </w:pPr>
    </w:p>
    <w:p w14:paraId="25752609" w14:textId="77777777" w:rsidR="00C32A38" w:rsidRPr="00C32A38" w:rsidRDefault="00C32A38" w:rsidP="00C32A38">
      <w:pPr>
        <w:numPr>
          <w:ilvl w:val="0"/>
          <w:numId w:val="12"/>
        </w:numPr>
        <w:spacing w:after="0" w:line="360" w:lineRule="auto"/>
        <w:jc w:val="both"/>
        <w:rPr>
          <w:rFonts w:ascii="Century Gothic" w:hAnsi="Century Gothic" w:cs="Arial"/>
          <w:b/>
          <w:sz w:val="24"/>
          <w:szCs w:val="24"/>
        </w:rPr>
      </w:pPr>
      <w:r w:rsidRPr="00C32A38">
        <w:rPr>
          <w:rFonts w:ascii="Century Gothic" w:hAnsi="Century Gothic" w:cs="Arial"/>
          <w:sz w:val="24"/>
          <w:szCs w:val="24"/>
        </w:rPr>
        <w:t xml:space="preserve">Adicionalmente, la entidad </w:t>
      </w:r>
      <w:r w:rsidRPr="00C32A38">
        <w:rPr>
          <w:rFonts w:ascii="Century Gothic" w:hAnsi="Century Gothic" w:cs="Arial"/>
          <w:sz w:val="24"/>
          <w:szCs w:val="24"/>
          <w:u w:val="single"/>
        </w:rPr>
        <w:t xml:space="preserve">pretendió en su demanda la declaratoria de incumplimiento de </w:t>
      </w:r>
      <w:proofErr w:type="spellStart"/>
      <w:r w:rsidRPr="00C32A38">
        <w:rPr>
          <w:rFonts w:ascii="Century Gothic" w:hAnsi="Century Gothic" w:cs="Arial"/>
          <w:sz w:val="24"/>
          <w:szCs w:val="24"/>
          <w:u w:val="single"/>
        </w:rPr>
        <w:t>Fidultra</w:t>
      </w:r>
      <w:proofErr w:type="spellEnd"/>
      <w:r w:rsidRPr="00C32A38">
        <w:rPr>
          <w:rFonts w:ascii="Century Gothic" w:hAnsi="Century Gothic" w:cs="Arial"/>
          <w:sz w:val="24"/>
          <w:szCs w:val="24"/>
        </w:rPr>
        <w:t xml:space="preserve"> ya que, a su juicio, no devolvió al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los dineros sobrantes al finalizar la ejecución del contrato así como por retardar la liquidación del mismo. </w:t>
      </w:r>
    </w:p>
    <w:p w14:paraId="1A40E889" w14:textId="77777777" w:rsidR="00C32A38" w:rsidRPr="00C32A38" w:rsidRDefault="00C32A38" w:rsidP="00C32A38">
      <w:pPr>
        <w:spacing w:after="0" w:line="360" w:lineRule="auto"/>
        <w:jc w:val="both"/>
        <w:rPr>
          <w:rFonts w:ascii="Century Gothic" w:hAnsi="Century Gothic" w:cs="Arial"/>
          <w:b/>
          <w:sz w:val="24"/>
          <w:szCs w:val="24"/>
        </w:rPr>
      </w:pPr>
    </w:p>
    <w:p w14:paraId="47258B43" w14:textId="77777777" w:rsidR="00C32A38" w:rsidRPr="00C32A38" w:rsidRDefault="00C32A38" w:rsidP="00C32A38">
      <w:pPr>
        <w:numPr>
          <w:ilvl w:val="0"/>
          <w:numId w:val="12"/>
        </w:numPr>
        <w:spacing w:after="0" w:line="360" w:lineRule="auto"/>
        <w:jc w:val="both"/>
        <w:rPr>
          <w:rFonts w:ascii="Century Gothic" w:hAnsi="Century Gothic" w:cs="Arial"/>
          <w:b/>
          <w:sz w:val="24"/>
          <w:szCs w:val="24"/>
        </w:rPr>
      </w:pPr>
      <w:r w:rsidRPr="00C32A38">
        <w:rPr>
          <w:rFonts w:ascii="Century Gothic" w:hAnsi="Century Gothic" w:cs="Arial"/>
          <w:sz w:val="24"/>
          <w:szCs w:val="24"/>
        </w:rPr>
        <w:t xml:space="preserve">En este caso, la Sala se abstendrá de pronunciarse sobre el particular ya que la jurisprudencia de la Sección Tercera ha sostenido que, </w:t>
      </w:r>
      <w:bookmarkStart w:id="13" w:name="_Hlk19719175"/>
      <w:r w:rsidRPr="00C32A38">
        <w:rPr>
          <w:rFonts w:ascii="Century Gothic" w:hAnsi="Century Gothic" w:cs="Arial"/>
          <w:sz w:val="24"/>
          <w:szCs w:val="24"/>
        </w:rPr>
        <w:t>para que se pueda alegar el incumplimiento del contrato una vez este ha sido objeto de liquidación unilateral, debe demandarse la legalidad de dicho acto</w:t>
      </w:r>
      <w:bookmarkEnd w:id="13"/>
      <w:r w:rsidRPr="00C32A38">
        <w:rPr>
          <w:rFonts w:ascii="Century Gothic" w:hAnsi="Century Gothic" w:cs="Arial"/>
          <w:sz w:val="24"/>
          <w:szCs w:val="24"/>
          <w:vertAlign w:val="superscript"/>
        </w:rPr>
        <w:footnoteReference w:id="74"/>
      </w:r>
      <w:r w:rsidRPr="00C32A38">
        <w:rPr>
          <w:rFonts w:ascii="Century Gothic" w:hAnsi="Century Gothic" w:cs="Arial"/>
          <w:sz w:val="24"/>
          <w:szCs w:val="24"/>
        </w:rPr>
        <w:t xml:space="preserve">. Como en este caso la Administración formuló su pretensión de incumplimiento de manera autónoma, </w:t>
      </w:r>
      <w:r w:rsidRPr="00C32A38">
        <w:rPr>
          <w:rFonts w:ascii="Century Gothic" w:hAnsi="Century Gothic" w:cs="Arial"/>
          <w:sz w:val="24"/>
          <w:szCs w:val="24"/>
        </w:rPr>
        <w:lastRenderedPageBreak/>
        <w:t xml:space="preserve">resulta improcedente el pronunciamiento sobre la misma.  En concordancia con lo anterior, se despachará desfavorablemente a los intereses del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la pretensión relativa al incumplimiento del contrato 103/95 imputado en su demanda y en su recurso de apelación a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w:t>
      </w:r>
    </w:p>
    <w:p w14:paraId="065C6BB9" w14:textId="77777777" w:rsidR="00C32A38" w:rsidRPr="00C32A38" w:rsidRDefault="00C32A38" w:rsidP="00C32A38">
      <w:pPr>
        <w:spacing w:after="0" w:line="240" w:lineRule="auto"/>
        <w:rPr>
          <w:rFonts w:ascii="Century Gothic" w:hAnsi="Century Gothic" w:cs="Arial"/>
          <w:b/>
          <w:sz w:val="24"/>
          <w:szCs w:val="24"/>
        </w:rPr>
      </w:pPr>
    </w:p>
    <w:p w14:paraId="229D5EA4" w14:textId="77777777" w:rsidR="00C32A38" w:rsidRPr="00C32A38" w:rsidRDefault="00C32A38" w:rsidP="00C32A38">
      <w:pPr>
        <w:numPr>
          <w:ilvl w:val="0"/>
          <w:numId w:val="12"/>
        </w:numPr>
        <w:spacing w:after="0" w:line="360" w:lineRule="auto"/>
        <w:jc w:val="both"/>
        <w:rPr>
          <w:rFonts w:ascii="Century Gothic" w:hAnsi="Century Gothic" w:cs="Arial"/>
          <w:b/>
          <w:sz w:val="24"/>
          <w:szCs w:val="24"/>
        </w:rPr>
      </w:pPr>
      <w:r w:rsidRPr="00C32A38">
        <w:rPr>
          <w:rFonts w:ascii="Century Gothic" w:hAnsi="Century Gothic" w:cs="Arial"/>
          <w:sz w:val="24"/>
          <w:szCs w:val="24"/>
        </w:rPr>
        <w:t xml:space="preserve">Finalmente el análisis de la pretensión subsidiaria de la liquidación del contrato se hará de manera conjunta con la formulada por la fiduciaria. </w:t>
      </w:r>
    </w:p>
    <w:p w14:paraId="0A448988" w14:textId="77777777" w:rsidR="00C32A38" w:rsidRPr="00C32A38" w:rsidRDefault="00C32A38" w:rsidP="00C32A38">
      <w:pPr>
        <w:spacing w:after="0" w:line="240" w:lineRule="auto"/>
        <w:jc w:val="both"/>
        <w:rPr>
          <w:rFonts w:ascii="Century Gothic" w:hAnsi="Century Gothic" w:cs="Arial"/>
          <w:b/>
          <w:sz w:val="24"/>
          <w:szCs w:val="24"/>
        </w:rPr>
      </w:pPr>
    </w:p>
    <w:p w14:paraId="025CD29E" w14:textId="77777777" w:rsidR="00C32A38" w:rsidRPr="00C32A38" w:rsidRDefault="00C32A38" w:rsidP="00C32A38">
      <w:pPr>
        <w:spacing w:after="0" w:line="360" w:lineRule="auto"/>
        <w:jc w:val="both"/>
        <w:rPr>
          <w:rFonts w:ascii="Century Gothic" w:hAnsi="Century Gothic" w:cs="Arial"/>
          <w:b/>
          <w:sz w:val="24"/>
          <w:szCs w:val="24"/>
        </w:rPr>
      </w:pPr>
      <w:r w:rsidRPr="00C32A38">
        <w:rPr>
          <w:rFonts w:ascii="Century Gothic" w:hAnsi="Century Gothic" w:cs="Arial"/>
          <w:b/>
          <w:sz w:val="24"/>
          <w:szCs w:val="24"/>
        </w:rPr>
        <w:t>2.3.3. Pretensiones del proceso 30634</w:t>
      </w:r>
    </w:p>
    <w:p w14:paraId="3E08B152" w14:textId="77777777" w:rsidR="00C32A38" w:rsidRPr="00C32A38" w:rsidRDefault="00C32A38" w:rsidP="00C32A38">
      <w:pPr>
        <w:spacing w:after="0" w:line="360" w:lineRule="auto"/>
        <w:jc w:val="both"/>
        <w:rPr>
          <w:rFonts w:ascii="Century Gothic" w:hAnsi="Century Gothic" w:cs="Arial"/>
          <w:b/>
          <w:sz w:val="24"/>
          <w:szCs w:val="24"/>
        </w:rPr>
      </w:pPr>
    </w:p>
    <w:p w14:paraId="6E8759ED" w14:textId="77777777" w:rsidR="00C32A38" w:rsidRPr="00C32A38" w:rsidRDefault="00C32A38" w:rsidP="00C32A38">
      <w:pPr>
        <w:numPr>
          <w:ilvl w:val="0"/>
          <w:numId w:val="12"/>
        </w:numPr>
        <w:spacing w:after="0" w:line="360" w:lineRule="auto"/>
        <w:jc w:val="both"/>
        <w:rPr>
          <w:rFonts w:ascii="Century Gothic" w:hAnsi="Century Gothic" w:cs="Arial"/>
          <w:b/>
          <w:sz w:val="24"/>
          <w:szCs w:val="24"/>
        </w:rPr>
      </w:pPr>
      <w:r w:rsidRPr="00C32A38">
        <w:rPr>
          <w:rFonts w:ascii="Century Gothic" w:hAnsi="Century Gothic" w:cs="Arial"/>
          <w:sz w:val="24"/>
          <w:szCs w:val="24"/>
        </w:rPr>
        <w:t xml:space="preserve">Adicional a la pretensión de nulidad,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incluyó las pretensiones que se estudian a continuación dentro del acápite de liquidación del contrato.</w:t>
      </w:r>
    </w:p>
    <w:p w14:paraId="5991C059" w14:textId="77777777" w:rsidR="00C32A38" w:rsidRPr="00C32A38" w:rsidRDefault="00C32A38" w:rsidP="00C32A38">
      <w:pPr>
        <w:spacing w:after="0" w:line="360" w:lineRule="auto"/>
        <w:jc w:val="both"/>
        <w:rPr>
          <w:rFonts w:ascii="Century Gothic" w:hAnsi="Century Gothic" w:cs="Arial"/>
          <w:b/>
          <w:sz w:val="24"/>
          <w:szCs w:val="24"/>
        </w:rPr>
      </w:pPr>
    </w:p>
    <w:p w14:paraId="478CFBDC" w14:textId="77777777" w:rsidR="00C32A38" w:rsidRPr="00C32A38" w:rsidRDefault="00C32A38" w:rsidP="00C32A38">
      <w:pPr>
        <w:spacing w:after="0" w:line="360" w:lineRule="auto"/>
        <w:jc w:val="both"/>
        <w:rPr>
          <w:rFonts w:ascii="Century Gothic" w:hAnsi="Century Gothic" w:cs="Arial"/>
          <w:b/>
          <w:sz w:val="24"/>
          <w:szCs w:val="24"/>
        </w:rPr>
      </w:pPr>
      <w:r w:rsidRPr="00C32A38">
        <w:rPr>
          <w:rFonts w:ascii="Century Gothic" w:hAnsi="Century Gothic" w:cs="Arial"/>
          <w:b/>
          <w:sz w:val="24"/>
          <w:szCs w:val="24"/>
        </w:rPr>
        <w:t>2.3.4. Liquidación del contrato de fiducia pública 103/95 – pretensión común de los procesos acumulados</w:t>
      </w:r>
    </w:p>
    <w:p w14:paraId="06A7057C" w14:textId="77777777" w:rsidR="00C32A38" w:rsidRPr="00C32A38" w:rsidRDefault="00C32A38" w:rsidP="00C32A38">
      <w:pPr>
        <w:spacing w:after="0" w:line="360" w:lineRule="auto"/>
        <w:jc w:val="both"/>
        <w:rPr>
          <w:rFonts w:ascii="Century Gothic" w:hAnsi="Century Gothic" w:cs="Arial"/>
          <w:b/>
          <w:sz w:val="24"/>
          <w:szCs w:val="24"/>
        </w:rPr>
      </w:pPr>
    </w:p>
    <w:p w14:paraId="508A225D"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Ambos extremos solicitaron la liquidación del contrato en sus demandas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como pretensión consecuencial a la declaratoria de nulidad del acto administrativo de liquidación unilateral y 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como pretensión subsidiaria en el evento que procediera dicha reclamación—. Puesto que ambas pretensiones están encaminadas a establecer el balance de cuentas de las prestaciones adelantadas por las partes en la ejecución del contrato, se estudiarán de manera conjunta dentro de este apartado.</w:t>
      </w:r>
    </w:p>
    <w:p w14:paraId="5E552C17" w14:textId="77777777" w:rsidR="00C32A38" w:rsidRPr="00C32A38" w:rsidRDefault="00C32A38" w:rsidP="00C32A38">
      <w:pPr>
        <w:spacing w:after="0" w:line="360" w:lineRule="auto"/>
        <w:jc w:val="both"/>
        <w:rPr>
          <w:rFonts w:ascii="Century Gothic" w:hAnsi="Century Gothic" w:cs="Arial"/>
          <w:sz w:val="24"/>
          <w:szCs w:val="24"/>
        </w:rPr>
      </w:pPr>
    </w:p>
    <w:p w14:paraId="04895430" w14:textId="77777777" w:rsidR="00C32A38" w:rsidRPr="00C32A38" w:rsidRDefault="00C32A38" w:rsidP="00C32A38">
      <w:pPr>
        <w:spacing w:after="0" w:line="360" w:lineRule="auto"/>
        <w:jc w:val="both"/>
        <w:rPr>
          <w:rFonts w:ascii="Century Gothic" w:hAnsi="Century Gothic" w:cs="Arial"/>
          <w:b/>
          <w:sz w:val="24"/>
          <w:szCs w:val="24"/>
        </w:rPr>
      </w:pPr>
      <w:r w:rsidRPr="00C32A38">
        <w:rPr>
          <w:rFonts w:ascii="Century Gothic" w:hAnsi="Century Gothic" w:cs="Arial"/>
          <w:b/>
          <w:sz w:val="24"/>
          <w:szCs w:val="24"/>
        </w:rPr>
        <w:t xml:space="preserve">2.3.4.1. Gastos para la obtención del pago de las inversiones temporales </w:t>
      </w:r>
    </w:p>
    <w:p w14:paraId="236F6325" w14:textId="77777777" w:rsidR="00C32A38" w:rsidRPr="00C32A38" w:rsidRDefault="00C32A38" w:rsidP="00C32A38">
      <w:pPr>
        <w:spacing w:after="0" w:line="360" w:lineRule="auto"/>
        <w:jc w:val="both"/>
        <w:rPr>
          <w:rFonts w:ascii="Century Gothic" w:hAnsi="Century Gothic" w:cs="Arial"/>
          <w:sz w:val="24"/>
          <w:szCs w:val="24"/>
        </w:rPr>
      </w:pPr>
    </w:p>
    <w:p w14:paraId="033B54A4" w14:textId="77777777" w:rsidR="00C32A38" w:rsidRPr="00C32A38" w:rsidRDefault="00C32A38" w:rsidP="00C32A38">
      <w:pPr>
        <w:numPr>
          <w:ilvl w:val="0"/>
          <w:numId w:val="12"/>
        </w:numPr>
        <w:spacing w:after="0" w:line="360" w:lineRule="auto"/>
        <w:jc w:val="both"/>
        <w:rPr>
          <w:rFonts w:ascii="Century Gothic" w:hAnsi="Century Gothic" w:cs="Arial"/>
          <w:b/>
          <w:sz w:val="24"/>
          <w:szCs w:val="24"/>
        </w:rPr>
      </w:pPr>
      <w:r w:rsidRPr="00C32A38">
        <w:rPr>
          <w:rFonts w:ascii="Century Gothic" w:hAnsi="Century Gothic" w:cs="Arial"/>
          <w:sz w:val="24"/>
          <w:szCs w:val="24"/>
        </w:rPr>
        <w:t xml:space="preserve">Dentro del expediente se acreditó que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adelantó, dentro del plazo de ejecución y con posterioridad a su vencimiento, algunas gestiones tendientes a la recuperación de los </w:t>
      </w:r>
      <w:proofErr w:type="spellStart"/>
      <w:r w:rsidRPr="00C32A38">
        <w:rPr>
          <w:rFonts w:ascii="Century Gothic" w:hAnsi="Century Gothic" w:cs="Arial"/>
          <w:sz w:val="24"/>
          <w:szCs w:val="24"/>
        </w:rPr>
        <w:t>CDATs</w:t>
      </w:r>
      <w:proofErr w:type="spellEnd"/>
      <w:r w:rsidRPr="00C32A38">
        <w:rPr>
          <w:rFonts w:ascii="Century Gothic" w:hAnsi="Century Gothic" w:cs="Arial"/>
          <w:sz w:val="24"/>
          <w:szCs w:val="24"/>
        </w:rPr>
        <w:t xml:space="preserve"> no pagados por las cooperativas.</w:t>
      </w:r>
    </w:p>
    <w:p w14:paraId="162AD506" w14:textId="77777777" w:rsidR="00C32A38" w:rsidRPr="00C32A38" w:rsidRDefault="00C32A38" w:rsidP="00C32A38">
      <w:pPr>
        <w:spacing w:after="0" w:line="240" w:lineRule="auto"/>
        <w:jc w:val="both"/>
        <w:rPr>
          <w:rFonts w:ascii="Century Gothic" w:hAnsi="Century Gothic" w:cs="Arial"/>
          <w:b/>
          <w:sz w:val="24"/>
          <w:szCs w:val="24"/>
        </w:rPr>
      </w:pPr>
    </w:p>
    <w:p w14:paraId="043AF890"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En relación con las gestiones realizadas con anterioridad al 31 de diciembre de 1997</w:t>
      </w:r>
      <w:r w:rsidRPr="00C32A38">
        <w:rPr>
          <w:sz w:val="16"/>
          <w:szCs w:val="16"/>
          <w:lang w:val="es-ES"/>
        </w:rPr>
        <w:t xml:space="preserve"> </w:t>
      </w:r>
      <w:r w:rsidRPr="00C32A38">
        <w:rPr>
          <w:rFonts w:ascii="Century Gothic" w:hAnsi="Century Gothic"/>
          <w:sz w:val="24"/>
          <w:szCs w:val="24"/>
          <w:lang w:val="es-ES"/>
        </w:rPr>
        <w:t>(fecha en que expiró el plazo de ejecución)</w:t>
      </w:r>
      <w:r w:rsidRPr="00C32A38">
        <w:rPr>
          <w:rFonts w:ascii="Century Gothic" w:hAnsi="Century Gothic" w:cs="Arial"/>
          <w:sz w:val="24"/>
          <w:szCs w:val="24"/>
        </w:rPr>
        <w:t>, conviene destacar que el contrato previó en su cláusula 4 que la remuneración a la fiduciaria comprendía “</w:t>
      </w:r>
      <w:r w:rsidRPr="00C32A38">
        <w:rPr>
          <w:rFonts w:ascii="Century Gothic" w:hAnsi="Century Gothic" w:cs="Arial"/>
          <w:i/>
          <w:sz w:val="24"/>
          <w:szCs w:val="24"/>
        </w:rPr>
        <w:t>todos los gastos en que pueda incurrir en cumplimiento del contrato”</w:t>
      </w:r>
      <w:r w:rsidRPr="00C32A38">
        <w:rPr>
          <w:rFonts w:ascii="Century Gothic" w:hAnsi="Century Gothic" w:cs="Arial"/>
          <w:sz w:val="24"/>
          <w:szCs w:val="24"/>
        </w:rPr>
        <w:t>, lo que, aunado a la cláusula 7.9 —</w:t>
      </w:r>
      <w:r w:rsidRPr="00C32A38">
        <w:rPr>
          <w:rFonts w:ascii="Century Gothic" w:hAnsi="Century Gothic" w:cs="Arial"/>
          <w:i/>
          <w:sz w:val="24"/>
          <w:szCs w:val="24"/>
        </w:rPr>
        <w:t xml:space="preserve">realizar diligentemente todos los actos para conseguir la finalidad del presente encargo— </w:t>
      </w:r>
      <w:r w:rsidRPr="00C32A38">
        <w:rPr>
          <w:rFonts w:ascii="Century Gothic" w:hAnsi="Century Gothic" w:cs="Arial"/>
          <w:sz w:val="24"/>
          <w:szCs w:val="24"/>
        </w:rPr>
        <w:t xml:space="preserve">comprendía las actividades encaminadas </w:t>
      </w:r>
      <w:r w:rsidRPr="00C32A38">
        <w:rPr>
          <w:rFonts w:ascii="Century Gothic" w:hAnsi="Century Gothic" w:cs="Arial"/>
          <w:sz w:val="24"/>
          <w:szCs w:val="24"/>
        </w:rPr>
        <w:lastRenderedPageBreak/>
        <w:t>para llevar a buen término las inversiones realizadas. Por tal motivo no se reconocerá valor alguno por este concepto.</w:t>
      </w:r>
    </w:p>
    <w:p w14:paraId="655E6B53" w14:textId="77777777" w:rsidR="00C32A38" w:rsidRPr="00C32A38" w:rsidRDefault="00C32A38" w:rsidP="00C32A38">
      <w:pPr>
        <w:spacing w:after="0" w:line="240" w:lineRule="auto"/>
        <w:jc w:val="both"/>
        <w:rPr>
          <w:rFonts w:ascii="Century Gothic" w:hAnsi="Century Gothic" w:cs="Arial"/>
          <w:sz w:val="24"/>
          <w:szCs w:val="24"/>
        </w:rPr>
      </w:pPr>
    </w:p>
    <w:p w14:paraId="72484623"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De otra parte, se acreditó que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xml:space="preserve"> realizó algunas actuaciones vencido el plazo de ejecución del contrato</w:t>
      </w:r>
      <w:r w:rsidRPr="00C32A38">
        <w:rPr>
          <w:rFonts w:ascii="Century Gothic" w:hAnsi="Century Gothic" w:cs="Arial"/>
          <w:sz w:val="24"/>
          <w:szCs w:val="24"/>
          <w:vertAlign w:val="superscript"/>
        </w:rPr>
        <w:footnoteReference w:id="75"/>
      </w:r>
      <w:r w:rsidRPr="00C32A38">
        <w:rPr>
          <w:rFonts w:ascii="Century Gothic" w:hAnsi="Century Gothic" w:cs="Arial"/>
          <w:sz w:val="24"/>
          <w:szCs w:val="24"/>
        </w:rPr>
        <w:t>; no obstante, la Sala también negará reconocimiento alguno por este concepto toda vez que las actuaciones de la contratista se hicieron sin respaldo en lo previsto en el contrato —por fuera del plazo—, situación plenamente conocida por el Presidente de la fiduciaria,</w:t>
      </w:r>
      <w:r w:rsidRPr="00C32A38">
        <w:rPr>
          <w:rFonts w:ascii="Century Gothic" w:hAnsi="Century Gothic" w:cs="Arial"/>
          <w:i/>
          <w:sz w:val="24"/>
          <w:szCs w:val="24"/>
        </w:rPr>
        <w:t xml:space="preserve"> </w:t>
      </w:r>
      <w:r w:rsidRPr="00C32A38">
        <w:rPr>
          <w:rFonts w:ascii="Century Gothic" w:hAnsi="Century Gothic" w:cs="Arial"/>
          <w:sz w:val="24"/>
          <w:szCs w:val="24"/>
        </w:rPr>
        <w:t xml:space="preserve">según se colige de la comunicación enviada al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el 20 de febrero de 1998 en la que manifestó lo siguiente (se trascribe):</w:t>
      </w:r>
    </w:p>
    <w:p w14:paraId="59B797A3" w14:textId="77777777" w:rsidR="00C32A38" w:rsidRPr="00C32A38" w:rsidRDefault="00C32A38" w:rsidP="00C32A38">
      <w:pPr>
        <w:spacing w:after="0" w:line="240" w:lineRule="auto"/>
        <w:jc w:val="both"/>
        <w:rPr>
          <w:rFonts w:ascii="Century Gothic" w:hAnsi="Century Gothic" w:cs="Arial"/>
          <w:sz w:val="24"/>
          <w:szCs w:val="24"/>
        </w:rPr>
      </w:pPr>
    </w:p>
    <w:p w14:paraId="734129D8" w14:textId="77777777" w:rsidR="00C32A38" w:rsidRPr="00C32A38" w:rsidRDefault="00C32A38" w:rsidP="00C32A38">
      <w:pPr>
        <w:spacing w:after="0" w:line="276" w:lineRule="auto"/>
        <w:ind w:left="567" w:right="567"/>
        <w:jc w:val="both"/>
        <w:rPr>
          <w:rFonts w:ascii="Century Gothic" w:hAnsi="Century Gothic" w:cs="Arial"/>
          <w:i/>
        </w:rPr>
      </w:pPr>
      <w:r w:rsidRPr="00C32A38">
        <w:rPr>
          <w:rFonts w:ascii="Century Gothic" w:hAnsi="Century Gothic" w:cs="Arial"/>
        </w:rPr>
        <w:t>“</w:t>
      </w:r>
      <w:r w:rsidRPr="00C32A38">
        <w:rPr>
          <w:rFonts w:ascii="Century Gothic" w:hAnsi="Century Gothic" w:cs="Arial"/>
          <w:i/>
        </w:rPr>
        <w:t xml:space="preserve">Cabe anotar que no obstante ser tenedores del título, </w:t>
      </w:r>
      <w:r w:rsidRPr="00C32A38">
        <w:rPr>
          <w:rFonts w:ascii="Century Gothic" w:hAnsi="Century Gothic" w:cs="Arial"/>
          <w:i/>
          <w:u w:val="single"/>
        </w:rPr>
        <w:t>carecemos de legitimidad para continuar representando los derechos del INURBE</w:t>
      </w:r>
      <w:r w:rsidRPr="00C32A38">
        <w:rPr>
          <w:rFonts w:ascii="Century Gothic" w:hAnsi="Century Gothic" w:cs="Arial"/>
          <w:i/>
        </w:rPr>
        <w:t xml:space="preserve"> y efectuar respecto de ellos actos de disposición, </w:t>
      </w:r>
      <w:r w:rsidRPr="00C32A38">
        <w:rPr>
          <w:rFonts w:ascii="Century Gothic" w:hAnsi="Century Gothic" w:cs="Arial"/>
          <w:i/>
          <w:u w:val="single"/>
        </w:rPr>
        <w:t>toda vez que el contrato de fiducia pública dentro de cuya ejecución se efectuó la inversión terminó el 31 de diciembre de 1997</w:t>
      </w:r>
      <w:r w:rsidRPr="00C32A38">
        <w:rPr>
          <w:rFonts w:ascii="Century Gothic" w:hAnsi="Century Gothic" w:cs="Arial"/>
          <w:i/>
        </w:rPr>
        <w:t xml:space="preserve"> y por solicitud del INURBE y disposición del mencionado contrato nos encontramos en la etapa de liquidación”</w:t>
      </w:r>
      <w:r w:rsidRPr="00C32A38">
        <w:rPr>
          <w:rFonts w:ascii="Century Gothic" w:hAnsi="Century Gothic" w:cs="Arial"/>
          <w:i/>
          <w:vertAlign w:val="superscript"/>
        </w:rPr>
        <w:footnoteReference w:id="76"/>
      </w:r>
      <w:r w:rsidRPr="00C32A38">
        <w:rPr>
          <w:rFonts w:ascii="Century Gothic" w:hAnsi="Century Gothic" w:cs="Arial"/>
          <w:i/>
        </w:rPr>
        <w:t xml:space="preserve"> </w:t>
      </w:r>
      <w:r w:rsidRPr="00C32A38">
        <w:rPr>
          <w:rFonts w:ascii="Century Gothic" w:hAnsi="Century Gothic" w:cs="Arial"/>
        </w:rPr>
        <w:t>(subrayado fuera del original)</w:t>
      </w:r>
      <w:r w:rsidRPr="00C32A38">
        <w:rPr>
          <w:rFonts w:ascii="Century Gothic" w:hAnsi="Century Gothic" w:cs="Arial"/>
          <w:i/>
        </w:rPr>
        <w:t xml:space="preserve">. </w:t>
      </w:r>
    </w:p>
    <w:p w14:paraId="25EF374F" w14:textId="77777777" w:rsidR="00C32A38" w:rsidRPr="00C32A38" w:rsidRDefault="00C32A38" w:rsidP="00C32A38">
      <w:pPr>
        <w:spacing w:after="0" w:line="360" w:lineRule="auto"/>
        <w:jc w:val="both"/>
        <w:rPr>
          <w:rFonts w:ascii="Century Gothic" w:hAnsi="Century Gothic" w:cs="Arial"/>
          <w:b/>
          <w:sz w:val="24"/>
          <w:szCs w:val="24"/>
        </w:rPr>
      </w:pPr>
    </w:p>
    <w:p w14:paraId="6529A4A5" w14:textId="77777777" w:rsidR="00C32A38" w:rsidRPr="00C32A38" w:rsidRDefault="00C32A38" w:rsidP="00C32A38">
      <w:pPr>
        <w:spacing w:after="0" w:line="360" w:lineRule="auto"/>
        <w:jc w:val="both"/>
        <w:rPr>
          <w:rFonts w:ascii="Century Gothic" w:hAnsi="Century Gothic" w:cs="Arial"/>
          <w:b/>
          <w:sz w:val="24"/>
          <w:szCs w:val="24"/>
        </w:rPr>
      </w:pPr>
      <w:r w:rsidRPr="00C32A38">
        <w:rPr>
          <w:rFonts w:ascii="Century Gothic" w:hAnsi="Century Gothic" w:cs="Arial"/>
          <w:b/>
          <w:sz w:val="24"/>
          <w:szCs w:val="24"/>
        </w:rPr>
        <w:t xml:space="preserve">2.3.4.2. Incumplimiento del contrato por parte del </w:t>
      </w:r>
      <w:proofErr w:type="spellStart"/>
      <w:r w:rsidRPr="00C32A38">
        <w:rPr>
          <w:rFonts w:ascii="Century Gothic" w:hAnsi="Century Gothic" w:cs="Arial"/>
          <w:b/>
          <w:sz w:val="24"/>
          <w:szCs w:val="24"/>
        </w:rPr>
        <w:t>Inurbe</w:t>
      </w:r>
      <w:proofErr w:type="spellEnd"/>
      <w:r w:rsidRPr="00C32A38">
        <w:rPr>
          <w:rFonts w:ascii="Century Gothic" w:hAnsi="Century Gothic" w:cs="Arial"/>
          <w:b/>
          <w:sz w:val="24"/>
          <w:szCs w:val="24"/>
        </w:rPr>
        <w:t xml:space="preserve"> por el no pago de comisiones (daño emergente)</w:t>
      </w:r>
    </w:p>
    <w:p w14:paraId="099E2AB5" w14:textId="77777777" w:rsidR="00C32A38" w:rsidRPr="00C32A38" w:rsidRDefault="00C32A38" w:rsidP="00C32A38">
      <w:pPr>
        <w:spacing w:after="0" w:line="240" w:lineRule="auto"/>
        <w:jc w:val="both"/>
        <w:rPr>
          <w:rFonts w:ascii="Century Gothic" w:hAnsi="Century Gothic" w:cs="Arial"/>
          <w:sz w:val="24"/>
          <w:szCs w:val="24"/>
        </w:rPr>
      </w:pPr>
    </w:p>
    <w:p w14:paraId="13D9104A"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 xml:space="preserve">Al momento de liquidar unilateralmente el contrato el </w:t>
      </w:r>
      <w:proofErr w:type="spellStart"/>
      <w:r w:rsidRPr="00C32A38">
        <w:rPr>
          <w:rFonts w:ascii="Century Gothic" w:hAnsi="Century Gothic" w:cs="Arial"/>
          <w:sz w:val="24"/>
          <w:szCs w:val="24"/>
        </w:rPr>
        <w:t>Inurbe</w:t>
      </w:r>
      <w:proofErr w:type="spellEnd"/>
      <w:r w:rsidRPr="00C32A38">
        <w:rPr>
          <w:rFonts w:ascii="Century Gothic" w:hAnsi="Century Gothic" w:cs="Arial"/>
          <w:sz w:val="24"/>
          <w:szCs w:val="24"/>
        </w:rPr>
        <w:t xml:space="preserve"> reconoció que adeudaba a </w:t>
      </w:r>
      <w:proofErr w:type="spellStart"/>
      <w:r w:rsidRPr="00C32A38">
        <w:rPr>
          <w:rFonts w:ascii="Century Gothic" w:hAnsi="Century Gothic" w:cs="Arial"/>
          <w:sz w:val="24"/>
          <w:szCs w:val="24"/>
        </w:rPr>
        <w:t>Fidultra</w:t>
      </w:r>
      <w:proofErr w:type="spellEnd"/>
      <w:r w:rsidRPr="00C32A38">
        <w:rPr>
          <w:rFonts w:ascii="Century Gothic" w:hAnsi="Century Gothic" w:cs="Arial"/>
          <w:sz w:val="24"/>
          <w:szCs w:val="24"/>
        </w:rPr>
        <w:t>, por concepto de comisiones, $11’753.000 correspondientes a los meses de junio a diciembre de 1997</w:t>
      </w:r>
      <w:r w:rsidRPr="00C32A38">
        <w:rPr>
          <w:rFonts w:ascii="Century Gothic" w:hAnsi="Century Gothic" w:cs="Arial"/>
          <w:sz w:val="24"/>
          <w:szCs w:val="24"/>
          <w:vertAlign w:val="superscript"/>
        </w:rPr>
        <w:footnoteReference w:id="77"/>
      </w:r>
      <w:r w:rsidRPr="00C32A38">
        <w:rPr>
          <w:rFonts w:ascii="Century Gothic" w:hAnsi="Century Gothic" w:cs="Arial"/>
          <w:sz w:val="24"/>
          <w:szCs w:val="24"/>
        </w:rPr>
        <w:t>, cifra que coincide con las consideraciones del dictamen pericial adelantado, en el cual los peritos designados hicieron la siguiente consideración:</w:t>
      </w:r>
    </w:p>
    <w:p w14:paraId="095292A5" w14:textId="77777777" w:rsidR="00C32A38" w:rsidRPr="00C32A38" w:rsidRDefault="00C32A38" w:rsidP="00C32A38">
      <w:pPr>
        <w:spacing w:after="0" w:line="240" w:lineRule="auto"/>
        <w:jc w:val="both"/>
        <w:rPr>
          <w:rFonts w:ascii="Century Gothic" w:hAnsi="Century Gothic" w:cs="Arial"/>
          <w:sz w:val="24"/>
          <w:szCs w:val="24"/>
        </w:rPr>
      </w:pPr>
    </w:p>
    <w:p w14:paraId="3FD07A6A" w14:textId="77777777" w:rsidR="00C32A38" w:rsidRPr="00C32A38" w:rsidRDefault="00C32A38" w:rsidP="00C32A38">
      <w:pPr>
        <w:spacing w:after="0" w:line="276" w:lineRule="auto"/>
        <w:ind w:left="567" w:right="567"/>
        <w:jc w:val="both"/>
        <w:rPr>
          <w:rFonts w:ascii="Century Gothic" w:hAnsi="Century Gothic" w:cs="Arial"/>
          <w:i/>
        </w:rPr>
      </w:pPr>
      <w:r w:rsidRPr="00C32A38">
        <w:rPr>
          <w:rFonts w:ascii="Century Gothic" w:hAnsi="Century Gothic" w:cs="Arial"/>
        </w:rPr>
        <w:t>“</w:t>
      </w:r>
      <w:r w:rsidRPr="00C32A38">
        <w:rPr>
          <w:rFonts w:ascii="Century Gothic" w:hAnsi="Century Gothic" w:cs="Arial"/>
          <w:i/>
        </w:rPr>
        <w:t xml:space="preserve">Lo anterior significa para los suscritos que aunque la demandante al momento de presentar la demanda no había causado las comisiones hasta la fecha en que el demandado ratifica en su resolución tener contabilizadas las mismas o sea mayo 30 de 1997, esta última es válida ya que en la correspondencia revisada a FIDULTRA encontramos un oficio en el que el representante legal de la misma manifiesta estar de acuerdo con esta cifra, </w:t>
      </w:r>
      <w:r w:rsidRPr="00C32A38">
        <w:rPr>
          <w:rFonts w:ascii="Century Gothic" w:hAnsi="Century Gothic" w:cs="Arial"/>
          <w:i/>
        </w:rPr>
        <w:lastRenderedPageBreak/>
        <w:t>razón por la que este valor de ONCE MILLONES SETECIENTOS CINCUENTA Y TRES MIL PESOS ($11’753.000.00) es el DAÑO EMERGENTE”</w:t>
      </w:r>
      <w:r w:rsidRPr="00C32A38">
        <w:rPr>
          <w:rFonts w:ascii="Century Gothic" w:hAnsi="Century Gothic" w:cs="Arial"/>
          <w:i/>
          <w:vertAlign w:val="superscript"/>
        </w:rPr>
        <w:footnoteReference w:id="78"/>
      </w:r>
      <w:r w:rsidRPr="00C32A38">
        <w:rPr>
          <w:rFonts w:ascii="Century Gothic" w:hAnsi="Century Gothic" w:cs="Arial"/>
          <w:i/>
        </w:rPr>
        <w:t>.</w:t>
      </w:r>
    </w:p>
    <w:p w14:paraId="3BF5105F" w14:textId="77777777" w:rsidR="00C32A38" w:rsidRPr="00C32A38" w:rsidRDefault="00C32A38" w:rsidP="00C32A38">
      <w:pPr>
        <w:spacing w:after="0" w:line="240" w:lineRule="auto"/>
        <w:jc w:val="both"/>
        <w:rPr>
          <w:rFonts w:ascii="Century Gothic" w:hAnsi="Century Gothic" w:cs="Arial"/>
          <w:i/>
          <w:sz w:val="24"/>
          <w:szCs w:val="24"/>
        </w:rPr>
      </w:pPr>
    </w:p>
    <w:p w14:paraId="4381DA83" w14:textId="77777777" w:rsidR="00C32A38" w:rsidRPr="00C32A38" w:rsidRDefault="00C32A38" w:rsidP="00C32A38">
      <w:pPr>
        <w:numPr>
          <w:ilvl w:val="0"/>
          <w:numId w:val="12"/>
        </w:numPr>
        <w:spacing w:after="0" w:line="360" w:lineRule="auto"/>
        <w:jc w:val="both"/>
        <w:rPr>
          <w:rFonts w:ascii="Century Gothic" w:hAnsi="Century Gothic" w:cs="Arial"/>
          <w:sz w:val="24"/>
          <w:szCs w:val="24"/>
        </w:rPr>
      </w:pPr>
      <w:r w:rsidRPr="00C32A38">
        <w:rPr>
          <w:rFonts w:ascii="Century Gothic" w:hAnsi="Century Gothic" w:cs="Arial"/>
          <w:sz w:val="24"/>
          <w:szCs w:val="24"/>
        </w:rPr>
        <w:t>Respecto de la oportunidad para el pago de las comisiones la cláusula 5 del contrato estableció que se pagarían “</w:t>
      </w:r>
      <w:r w:rsidRPr="00C32A38">
        <w:rPr>
          <w:rFonts w:ascii="Century Gothic" w:hAnsi="Century Gothic" w:cs="Arial"/>
          <w:i/>
          <w:sz w:val="24"/>
          <w:szCs w:val="24"/>
        </w:rPr>
        <w:t xml:space="preserve">por mensualidades vencidas, previa presentación de las cuentas de cobro”. </w:t>
      </w:r>
      <w:r w:rsidRPr="00C32A38">
        <w:rPr>
          <w:rFonts w:ascii="Century Gothic" w:hAnsi="Century Gothic" w:cs="Arial"/>
          <w:sz w:val="24"/>
          <w:szCs w:val="24"/>
        </w:rPr>
        <w:t>En el documento que acompaña el dictamen pericial se observan los siguientes valores por mes vencido:</w:t>
      </w:r>
    </w:p>
    <w:p w14:paraId="67A8B0CC" w14:textId="77777777" w:rsidR="00C32A38" w:rsidRPr="00C32A38" w:rsidRDefault="00C32A38" w:rsidP="00C32A38">
      <w:pPr>
        <w:spacing w:after="0" w:line="360" w:lineRule="auto"/>
        <w:ind w:left="567" w:right="567"/>
        <w:jc w:val="both"/>
        <w:rPr>
          <w:rFonts w:ascii="Century Gothic" w:hAnsi="Century Gothic" w:cs="Arial"/>
          <w:sz w:val="24"/>
          <w:szCs w:val="24"/>
        </w:rPr>
      </w:pPr>
    </w:p>
    <w:p w14:paraId="4D9380D0" w14:textId="77777777" w:rsidR="00C32A38" w:rsidRPr="00C32A38" w:rsidRDefault="00C32A38" w:rsidP="00C32A38">
      <w:pPr>
        <w:spacing w:after="0" w:line="360" w:lineRule="auto"/>
        <w:ind w:left="567" w:right="567"/>
        <w:jc w:val="both"/>
        <w:rPr>
          <w:rFonts w:ascii="Century Gothic" w:hAnsi="Century Gothic" w:cs="Arial"/>
          <w:b/>
          <w:i/>
        </w:rPr>
      </w:pPr>
      <w:r w:rsidRPr="00C32A38">
        <w:rPr>
          <w:rFonts w:ascii="Century Gothic" w:hAnsi="Century Gothic" w:cs="Arial"/>
          <w:i/>
        </w:rPr>
        <w:t>“</w:t>
      </w:r>
      <w:r w:rsidRPr="00C32A38">
        <w:rPr>
          <w:rFonts w:ascii="Century Gothic" w:hAnsi="Century Gothic" w:cs="Arial"/>
          <w:b/>
          <w:i/>
        </w:rPr>
        <w:t xml:space="preserve">COMISIONES FIDUCIARIAS </w:t>
      </w:r>
    </w:p>
    <w:p w14:paraId="2EC18B52" w14:textId="77777777" w:rsidR="00C32A38" w:rsidRPr="00C32A38" w:rsidRDefault="00C32A38" w:rsidP="00C32A38">
      <w:pPr>
        <w:spacing w:after="0" w:line="360" w:lineRule="auto"/>
        <w:ind w:left="567" w:right="567"/>
        <w:jc w:val="both"/>
        <w:rPr>
          <w:rFonts w:ascii="Century Gothic" w:hAnsi="Century Gothic" w:cs="Arial"/>
          <w:b/>
          <w:i/>
        </w:rPr>
      </w:pPr>
      <w:r w:rsidRPr="00C32A38">
        <w:rPr>
          <w:rFonts w:ascii="Century Gothic" w:hAnsi="Century Gothic" w:cs="Arial"/>
          <w:b/>
          <w:i/>
        </w:rPr>
        <w:t>“CANCELADAS</w:t>
      </w:r>
    </w:p>
    <w:p w14:paraId="520AA7DF" w14:textId="77777777" w:rsidR="00C32A38" w:rsidRPr="00C32A38" w:rsidRDefault="00C32A38" w:rsidP="00C32A38">
      <w:pPr>
        <w:spacing w:after="0" w:line="360" w:lineRule="auto"/>
        <w:ind w:left="567" w:right="567"/>
        <w:jc w:val="both"/>
        <w:rPr>
          <w:rFonts w:ascii="Century Gothic" w:hAnsi="Century Gothic" w:cs="Arial"/>
          <w:b/>
          <w:i/>
        </w:rPr>
      </w:pPr>
    </w:p>
    <w:p w14:paraId="7DD7031B" w14:textId="77777777" w:rsidR="00C32A38" w:rsidRPr="00C32A38" w:rsidRDefault="00C32A38" w:rsidP="00C32A38">
      <w:pPr>
        <w:spacing w:after="0" w:line="360" w:lineRule="auto"/>
        <w:ind w:left="567" w:right="567"/>
        <w:jc w:val="both"/>
        <w:rPr>
          <w:rFonts w:ascii="Century Gothic" w:hAnsi="Century Gothic" w:cs="Arial"/>
          <w:b/>
          <w:i/>
        </w:rPr>
      </w:pPr>
      <w:r w:rsidRPr="00C32A38">
        <w:rPr>
          <w:rFonts w:ascii="Century Gothic" w:hAnsi="Century Gothic" w:cs="Arial"/>
          <w:b/>
          <w:i/>
        </w:rPr>
        <w:t>“A MAYO DE 1998</w:t>
      </w:r>
    </w:p>
    <w:p w14:paraId="3C9F0EA2" w14:textId="77777777" w:rsidR="00C32A38" w:rsidRPr="00C32A38" w:rsidRDefault="00C32A38" w:rsidP="00C32A38">
      <w:pPr>
        <w:spacing w:after="0" w:line="360" w:lineRule="auto"/>
        <w:ind w:left="567" w:right="567"/>
        <w:jc w:val="both"/>
        <w:rPr>
          <w:rFonts w:ascii="Century Gothic" w:hAnsi="Century Gothic" w:cs="Arial"/>
          <w:b/>
          <w:i/>
        </w:rPr>
      </w:pPr>
    </w:p>
    <w:p w14:paraId="3D011F04" w14:textId="77777777" w:rsidR="00C32A38" w:rsidRPr="00C32A38" w:rsidRDefault="00C32A38" w:rsidP="00C32A38">
      <w:pPr>
        <w:spacing w:after="0" w:line="360" w:lineRule="auto"/>
        <w:ind w:left="567" w:right="567"/>
        <w:jc w:val="both"/>
        <w:rPr>
          <w:rFonts w:ascii="Century Gothic" w:hAnsi="Century Gothic" w:cs="Arial"/>
          <w:i/>
        </w:rPr>
      </w:pPr>
      <w:r w:rsidRPr="00C32A38">
        <w:rPr>
          <w:rFonts w:ascii="Century Gothic" w:hAnsi="Century Gothic" w:cs="Arial"/>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245"/>
        <w:gridCol w:w="2245"/>
        <w:gridCol w:w="2245"/>
      </w:tblGrid>
      <w:tr w:rsidR="00C32A38" w:rsidRPr="00C32A38" w14:paraId="454D7566" w14:textId="77777777" w:rsidTr="000C51DA">
        <w:trPr>
          <w:gridAfter w:val="2"/>
          <w:wAfter w:w="4490" w:type="dxa"/>
        </w:trPr>
        <w:tc>
          <w:tcPr>
            <w:tcW w:w="4490" w:type="dxa"/>
            <w:gridSpan w:val="2"/>
            <w:shd w:val="clear" w:color="auto" w:fill="auto"/>
          </w:tcPr>
          <w:p w14:paraId="6F0F9ED6" w14:textId="77777777" w:rsidR="00C32A38" w:rsidRPr="00C32A38" w:rsidRDefault="00C32A38" w:rsidP="00C32A38">
            <w:pPr>
              <w:spacing w:after="0" w:line="360" w:lineRule="auto"/>
              <w:jc w:val="center"/>
              <w:rPr>
                <w:rFonts w:ascii="Century Gothic" w:hAnsi="Century Gothic" w:cs="Arial"/>
                <w:b/>
              </w:rPr>
            </w:pPr>
            <w:r w:rsidRPr="00C32A38">
              <w:rPr>
                <w:rFonts w:ascii="Century Gothic" w:hAnsi="Century Gothic" w:cs="Arial"/>
                <w:b/>
              </w:rPr>
              <w:t>CRÉDITO PUENTE</w:t>
            </w:r>
          </w:p>
        </w:tc>
      </w:tr>
      <w:tr w:rsidR="00C32A38" w:rsidRPr="00C32A38" w14:paraId="036C3379" w14:textId="77777777" w:rsidTr="000C51DA">
        <w:tc>
          <w:tcPr>
            <w:tcW w:w="8980" w:type="dxa"/>
            <w:gridSpan w:val="4"/>
            <w:tcBorders>
              <w:top w:val="single" w:sz="12" w:space="0" w:color="auto"/>
              <w:left w:val="single" w:sz="12" w:space="0" w:color="auto"/>
              <w:bottom w:val="single" w:sz="12" w:space="0" w:color="auto"/>
              <w:right w:val="single" w:sz="12" w:space="0" w:color="auto"/>
            </w:tcBorders>
            <w:shd w:val="clear" w:color="auto" w:fill="auto"/>
          </w:tcPr>
          <w:p w14:paraId="479D950F" w14:textId="77777777" w:rsidR="00C32A38" w:rsidRPr="00C32A38" w:rsidRDefault="00C32A38" w:rsidP="00C32A38">
            <w:pPr>
              <w:spacing w:after="0" w:line="360" w:lineRule="auto"/>
              <w:rPr>
                <w:rFonts w:ascii="Century Gothic" w:hAnsi="Century Gothic" w:cs="Arial"/>
              </w:rPr>
            </w:pPr>
            <w:r w:rsidRPr="00C32A38">
              <w:rPr>
                <w:rFonts w:ascii="Century Gothic" w:hAnsi="Century Gothic" w:cs="Arial"/>
              </w:rPr>
              <w:t>1997</w:t>
            </w:r>
          </w:p>
        </w:tc>
      </w:tr>
      <w:tr w:rsidR="00C32A38" w:rsidRPr="00C32A38" w14:paraId="13711B7E" w14:textId="77777777" w:rsidTr="000C51DA">
        <w:tc>
          <w:tcPr>
            <w:tcW w:w="2245" w:type="dxa"/>
            <w:tcBorders>
              <w:top w:val="single" w:sz="12" w:space="0" w:color="auto"/>
              <w:left w:val="single" w:sz="12" w:space="0" w:color="auto"/>
              <w:bottom w:val="single" w:sz="12" w:space="0" w:color="auto"/>
            </w:tcBorders>
            <w:shd w:val="clear" w:color="auto" w:fill="auto"/>
          </w:tcPr>
          <w:p w14:paraId="68FF6652" w14:textId="77777777" w:rsidR="00C32A38" w:rsidRPr="00C32A38" w:rsidRDefault="00C32A38" w:rsidP="00C32A38">
            <w:pPr>
              <w:spacing w:after="0" w:line="360" w:lineRule="auto"/>
              <w:jc w:val="center"/>
              <w:rPr>
                <w:rFonts w:ascii="Century Gothic" w:hAnsi="Century Gothic" w:cs="Arial"/>
                <w:b/>
              </w:rPr>
            </w:pPr>
            <w:r w:rsidRPr="00C32A38">
              <w:rPr>
                <w:rFonts w:ascii="Century Gothic" w:hAnsi="Century Gothic" w:cs="Arial"/>
                <w:b/>
              </w:rPr>
              <w:t>FECHA</w:t>
            </w:r>
          </w:p>
          <w:p w14:paraId="29054EED" w14:textId="77777777" w:rsidR="00C32A38" w:rsidRPr="00C32A38" w:rsidRDefault="00C32A38" w:rsidP="00C32A38">
            <w:pPr>
              <w:spacing w:after="0" w:line="360" w:lineRule="auto"/>
              <w:jc w:val="center"/>
              <w:rPr>
                <w:rFonts w:ascii="Century Gothic" w:hAnsi="Century Gothic" w:cs="Arial"/>
                <w:b/>
              </w:rPr>
            </w:pPr>
            <w:r w:rsidRPr="00C32A38">
              <w:rPr>
                <w:rFonts w:ascii="Century Gothic" w:hAnsi="Century Gothic" w:cs="Arial"/>
                <w:b/>
              </w:rPr>
              <w:t>AÑO</w:t>
            </w:r>
          </w:p>
        </w:tc>
        <w:tc>
          <w:tcPr>
            <w:tcW w:w="2245" w:type="dxa"/>
            <w:tcBorders>
              <w:top w:val="single" w:sz="12" w:space="0" w:color="auto"/>
              <w:bottom w:val="single" w:sz="12" w:space="0" w:color="auto"/>
            </w:tcBorders>
            <w:shd w:val="clear" w:color="auto" w:fill="auto"/>
          </w:tcPr>
          <w:p w14:paraId="4BB1AC98" w14:textId="77777777" w:rsidR="00C32A38" w:rsidRPr="00C32A38" w:rsidRDefault="00C32A38" w:rsidP="00C32A38">
            <w:pPr>
              <w:spacing w:after="0" w:line="360" w:lineRule="auto"/>
              <w:jc w:val="center"/>
              <w:rPr>
                <w:rFonts w:ascii="Century Gothic" w:hAnsi="Century Gothic" w:cs="Arial"/>
                <w:b/>
              </w:rPr>
            </w:pPr>
            <w:r w:rsidRPr="00C32A38">
              <w:rPr>
                <w:rFonts w:ascii="Century Gothic" w:hAnsi="Century Gothic" w:cs="Arial"/>
                <w:b/>
              </w:rPr>
              <w:t>VALOR</w:t>
            </w:r>
          </w:p>
          <w:p w14:paraId="7A371C88" w14:textId="77777777" w:rsidR="00C32A38" w:rsidRPr="00C32A38" w:rsidRDefault="00C32A38" w:rsidP="00C32A38">
            <w:pPr>
              <w:spacing w:after="0" w:line="360" w:lineRule="auto"/>
              <w:jc w:val="center"/>
              <w:rPr>
                <w:rFonts w:ascii="Century Gothic" w:hAnsi="Century Gothic" w:cs="Arial"/>
                <w:b/>
              </w:rPr>
            </w:pPr>
            <w:r w:rsidRPr="00C32A38">
              <w:rPr>
                <w:rFonts w:ascii="Century Gothic" w:hAnsi="Century Gothic" w:cs="Arial"/>
                <w:b/>
              </w:rPr>
              <w:t>COMISIONES</w:t>
            </w:r>
          </w:p>
        </w:tc>
        <w:tc>
          <w:tcPr>
            <w:tcW w:w="2245" w:type="dxa"/>
            <w:tcBorders>
              <w:top w:val="single" w:sz="12" w:space="0" w:color="auto"/>
              <w:bottom w:val="single" w:sz="12" w:space="0" w:color="auto"/>
            </w:tcBorders>
            <w:shd w:val="clear" w:color="auto" w:fill="auto"/>
          </w:tcPr>
          <w:p w14:paraId="2F4E7B07" w14:textId="77777777" w:rsidR="00C32A38" w:rsidRPr="00C32A38" w:rsidRDefault="00C32A38" w:rsidP="00C32A38">
            <w:pPr>
              <w:spacing w:after="0" w:line="360" w:lineRule="auto"/>
              <w:jc w:val="center"/>
              <w:rPr>
                <w:rFonts w:ascii="Century Gothic" w:hAnsi="Century Gothic" w:cs="Arial"/>
                <w:b/>
              </w:rPr>
            </w:pPr>
            <w:r w:rsidRPr="00C32A38">
              <w:rPr>
                <w:rFonts w:ascii="Century Gothic" w:hAnsi="Century Gothic" w:cs="Arial"/>
                <w:b/>
              </w:rPr>
              <w:t>MONTO</w:t>
            </w:r>
          </w:p>
          <w:p w14:paraId="70D28B7D" w14:textId="77777777" w:rsidR="00C32A38" w:rsidRPr="00C32A38" w:rsidRDefault="00C32A38" w:rsidP="00C32A38">
            <w:pPr>
              <w:spacing w:after="0" w:line="360" w:lineRule="auto"/>
              <w:jc w:val="center"/>
              <w:rPr>
                <w:rFonts w:ascii="Century Gothic" w:hAnsi="Century Gothic" w:cs="Arial"/>
                <w:b/>
              </w:rPr>
            </w:pPr>
            <w:r w:rsidRPr="00C32A38">
              <w:rPr>
                <w:rFonts w:ascii="Century Gothic" w:hAnsi="Century Gothic" w:cs="Arial"/>
                <w:b/>
              </w:rPr>
              <w:t>CANCELADO</w:t>
            </w:r>
          </w:p>
        </w:tc>
        <w:tc>
          <w:tcPr>
            <w:tcW w:w="2245" w:type="dxa"/>
            <w:tcBorders>
              <w:top w:val="single" w:sz="12" w:space="0" w:color="auto"/>
              <w:bottom w:val="single" w:sz="12" w:space="0" w:color="auto"/>
              <w:right w:val="single" w:sz="12" w:space="0" w:color="auto"/>
            </w:tcBorders>
            <w:shd w:val="clear" w:color="auto" w:fill="auto"/>
          </w:tcPr>
          <w:p w14:paraId="583E3358" w14:textId="77777777" w:rsidR="00C32A38" w:rsidRPr="00C32A38" w:rsidRDefault="00C32A38" w:rsidP="00C32A38">
            <w:pPr>
              <w:spacing w:after="0" w:line="360" w:lineRule="auto"/>
              <w:jc w:val="center"/>
              <w:rPr>
                <w:rFonts w:ascii="Century Gothic" w:hAnsi="Century Gothic" w:cs="Arial"/>
                <w:b/>
              </w:rPr>
            </w:pPr>
            <w:r w:rsidRPr="00C32A38">
              <w:rPr>
                <w:rFonts w:ascii="Century Gothic" w:hAnsi="Century Gothic" w:cs="Arial"/>
                <w:b/>
              </w:rPr>
              <w:t>FECHA</w:t>
            </w:r>
          </w:p>
          <w:p w14:paraId="65449766" w14:textId="77777777" w:rsidR="00C32A38" w:rsidRPr="00C32A38" w:rsidRDefault="00C32A38" w:rsidP="00C32A38">
            <w:pPr>
              <w:spacing w:after="0" w:line="360" w:lineRule="auto"/>
              <w:jc w:val="center"/>
              <w:rPr>
                <w:rFonts w:ascii="Century Gothic" w:hAnsi="Century Gothic" w:cs="Arial"/>
                <w:b/>
              </w:rPr>
            </w:pPr>
            <w:r w:rsidRPr="00C32A38">
              <w:rPr>
                <w:rFonts w:ascii="Century Gothic" w:hAnsi="Century Gothic" w:cs="Arial"/>
                <w:b/>
              </w:rPr>
              <w:t>PAGO</w:t>
            </w:r>
          </w:p>
        </w:tc>
      </w:tr>
      <w:tr w:rsidR="00C32A38" w:rsidRPr="00C32A38" w14:paraId="74D5D9AF" w14:textId="77777777" w:rsidTr="000C51DA">
        <w:tc>
          <w:tcPr>
            <w:tcW w:w="2245" w:type="dxa"/>
            <w:tcBorders>
              <w:top w:val="single" w:sz="12" w:space="0" w:color="auto"/>
              <w:left w:val="single" w:sz="12" w:space="0" w:color="auto"/>
            </w:tcBorders>
            <w:shd w:val="clear" w:color="auto" w:fill="auto"/>
          </w:tcPr>
          <w:p w14:paraId="753878C7" w14:textId="77777777" w:rsidR="00C32A38" w:rsidRPr="00C32A38" w:rsidRDefault="00C32A38" w:rsidP="00C32A38">
            <w:pPr>
              <w:spacing w:after="0" w:line="360" w:lineRule="auto"/>
              <w:jc w:val="both"/>
              <w:rPr>
                <w:rFonts w:ascii="Century Gothic" w:hAnsi="Century Gothic" w:cs="Arial"/>
              </w:rPr>
            </w:pPr>
            <w:r w:rsidRPr="00C32A38">
              <w:rPr>
                <w:rFonts w:ascii="Century Gothic" w:hAnsi="Century Gothic" w:cs="Arial"/>
              </w:rPr>
              <w:t>Enero</w:t>
            </w:r>
          </w:p>
        </w:tc>
        <w:tc>
          <w:tcPr>
            <w:tcW w:w="2245" w:type="dxa"/>
            <w:tcBorders>
              <w:top w:val="single" w:sz="12" w:space="0" w:color="auto"/>
            </w:tcBorders>
            <w:shd w:val="clear" w:color="auto" w:fill="auto"/>
          </w:tcPr>
          <w:p w14:paraId="127E597D" w14:textId="77777777" w:rsidR="00C32A38" w:rsidRPr="00C32A38" w:rsidRDefault="00C32A38" w:rsidP="00C32A38">
            <w:pPr>
              <w:spacing w:after="0" w:line="360" w:lineRule="auto"/>
              <w:jc w:val="both"/>
              <w:rPr>
                <w:rFonts w:ascii="Century Gothic" w:hAnsi="Century Gothic" w:cs="Arial"/>
              </w:rPr>
            </w:pPr>
            <w:r w:rsidRPr="00C32A38">
              <w:rPr>
                <w:rFonts w:ascii="Century Gothic" w:hAnsi="Century Gothic" w:cs="Arial"/>
              </w:rPr>
              <w:t>1,679,000.00</w:t>
            </w:r>
          </w:p>
        </w:tc>
        <w:tc>
          <w:tcPr>
            <w:tcW w:w="2245" w:type="dxa"/>
            <w:vMerge w:val="restart"/>
            <w:tcBorders>
              <w:top w:val="single" w:sz="12" w:space="0" w:color="auto"/>
            </w:tcBorders>
            <w:shd w:val="clear" w:color="auto" w:fill="auto"/>
          </w:tcPr>
          <w:p w14:paraId="143BD92B" w14:textId="77777777" w:rsidR="00C32A38" w:rsidRPr="00C32A38" w:rsidRDefault="00C32A38" w:rsidP="00C32A38">
            <w:pPr>
              <w:spacing w:after="0" w:line="360" w:lineRule="auto"/>
              <w:jc w:val="both"/>
              <w:rPr>
                <w:rFonts w:ascii="Century Gothic" w:hAnsi="Century Gothic" w:cs="Arial"/>
                <w:b/>
              </w:rPr>
            </w:pPr>
          </w:p>
          <w:p w14:paraId="57070868" w14:textId="77777777" w:rsidR="00C32A38" w:rsidRPr="00C32A38" w:rsidRDefault="00C32A38" w:rsidP="00C32A38">
            <w:pPr>
              <w:spacing w:after="0" w:line="360" w:lineRule="auto"/>
              <w:jc w:val="both"/>
              <w:rPr>
                <w:rFonts w:ascii="Century Gothic" w:hAnsi="Century Gothic" w:cs="Arial"/>
                <w:b/>
              </w:rPr>
            </w:pPr>
          </w:p>
          <w:p w14:paraId="43DA6A0D" w14:textId="77777777" w:rsidR="00C32A38" w:rsidRPr="00C32A38" w:rsidRDefault="00C32A38" w:rsidP="00C32A38">
            <w:pPr>
              <w:spacing w:after="0" w:line="360" w:lineRule="auto"/>
              <w:jc w:val="both"/>
              <w:rPr>
                <w:rFonts w:ascii="Century Gothic" w:hAnsi="Century Gothic" w:cs="Arial"/>
                <w:b/>
              </w:rPr>
            </w:pPr>
          </w:p>
          <w:p w14:paraId="2D23609F" w14:textId="77777777" w:rsidR="00C32A38" w:rsidRPr="00C32A38" w:rsidRDefault="00C32A38" w:rsidP="00C32A38">
            <w:pPr>
              <w:spacing w:after="0" w:line="360" w:lineRule="auto"/>
              <w:jc w:val="both"/>
              <w:rPr>
                <w:rFonts w:ascii="Century Gothic" w:hAnsi="Century Gothic" w:cs="Arial"/>
                <w:b/>
              </w:rPr>
            </w:pPr>
          </w:p>
          <w:p w14:paraId="413E7CD1" w14:textId="77777777" w:rsidR="00C32A38" w:rsidRPr="00C32A38" w:rsidRDefault="00C32A38" w:rsidP="00C32A38">
            <w:pPr>
              <w:spacing w:after="0" w:line="360" w:lineRule="auto"/>
              <w:jc w:val="right"/>
              <w:rPr>
                <w:rFonts w:ascii="Century Gothic" w:hAnsi="Century Gothic" w:cs="Arial"/>
              </w:rPr>
            </w:pPr>
            <w:r w:rsidRPr="00C32A38">
              <w:rPr>
                <w:rFonts w:ascii="Century Gothic" w:hAnsi="Century Gothic" w:cs="Arial"/>
              </w:rPr>
              <w:t>11,070,422.00</w:t>
            </w:r>
            <w:r w:rsidRPr="00C32A38">
              <w:rPr>
                <w:rFonts w:ascii="Century Gothic" w:hAnsi="Century Gothic" w:cs="Arial"/>
                <w:vertAlign w:val="superscript"/>
              </w:rPr>
              <w:footnoteReference w:id="79"/>
            </w:r>
          </w:p>
        </w:tc>
        <w:tc>
          <w:tcPr>
            <w:tcW w:w="2245" w:type="dxa"/>
            <w:vMerge w:val="restart"/>
            <w:tcBorders>
              <w:top w:val="single" w:sz="12" w:space="0" w:color="auto"/>
              <w:right w:val="single" w:sz="12" w:space="0" w:color="auto"/>
            </w:tcBorders>
            <w:shd w:val="clear" w:color="auto" w:fill="auto"/>
          </w:tcPr>
          <w:p w14:paraId="15473B97" w14:textId="77777777" w:rsidR="00C32A38" w:rsidRPr="00C32A38" w:rsidRDefault="00C32A38" w:rsidP="00C32A38">
            <w:pPr>
              <w:spacing w:after="0" w:line="360" w:lineRule="auto"/>
              <w:jc w:val="both"/>
              <w:rPr>
                <w:rFonts w:ascii="Century Gothic" w:hAnsi="Century Gothic" w:cs="Arial"/>
                <w:b/>
              </w:rPr>
            </w:pPr>
          </w:p>
          <w:p w14:paraId="68C5C547" w14:textId="77777777" w:rsidR="00C32A38" w:rsidRPr="00C32A38" w:rsidRDefault="00C32A38" w:rsidP="00C32A38">
            <w:pPr>
              <w:spacing w:after="0" w:line="360" w:lineRule="auto"/>
              <w:jc w:val="both"/>
              <w:rPr>
                <w:rFonts w:ascii="Century Gothic" w:hAnsi="Century Gothic" w:cs="Arial"/>
                <w:b/>
              </w:rPr>
            </w:pPr>
          </w:p>
          <w:p w14:paraId="062E2231" w14:textId="77777777" w:rsidR="00C32A38" w:rsidRPr="00C32A38" w:rsidRDefault="00C32A38" w:rsidP="00C32A38">
            <w:pPr>
              <w:spacing w:after="0" w:line="360" w:lineRule="auto"/>
              <w:jc w:val="both"/>
              <w:rPr>
                <w:rFonts w:ascii="Century Gothic" w:hAnsi="Century Gothic" w:cs="Arial"/>
                <w:b/>
              </w:rPr>
            </w:pPr>
          </w:p>
          <w:p w14:paraId="32E26CC5" w14:textId="77777777" w:rsidR="00C32A38" w:rsidRPr="00C32A38" w:rsidRDefault="00C32A38" w:rsidP="00C32A38">
            <w:pPr>
              <w:spacing w:after="0" w:line="360" w:lineRule="auto"/>
              <w:jc w:val="both"/>
              <w:rPr>
                <w:rFonts w:ascii="Century Gothic" w:hAnsi="Century Gothic" w:cs="Arial"/>
                <w:b/>
              </w:rPr>
            </w:pPr>
          </w:p>
          <w:p w14:paraId="33739989" w14:textId="77777777" w:rsidR="00C32A38" w:rsidRPr="00C32A38" w:rsidRDefault="00C32A38" w:rsidP="00C32A38">
            <w:pPr>
              <w:spacing w:after="0" w:line="360" w:lineRule="auto"/>
              <w:jc w:val="right"/>
              <w:rPr>
                <w:rFonts w:ascii="Century Gothic" w:hAnsi="Century Gothic" w:cs="Arial"/>
              </w:rPr>
            </w:pPr>
            <w:r w:rsidRPr="00C32A38">
              <w:rPr>
                <w:rFonts w:ascii="Century Gothic" w:hAnsi="Century Gothic" w:cs="Arial"/>
              </w:rPr>
              <w:t>26/09/97</w:t>
            </w:r>
          </w:p>
        </w:tc>
      </w:tr>
      <w:tr w:rsidR="00C32A38" w:rsidRPr="00C32A38" w14:paraId="3862F18B" w14:textId="77777777" w:rsidTr="000C51DA">
        <w:tc>
          <w:tcPr>
            <w:tcW w:w="2245" w:type="dxa"/>
            <w:tcBorders>
              <w:left w:val="single" w:sz="12" w:space="0" w:color="auto"/>
            </w:tcBorders>
            <w:shd w:val="clear" w:color="auto" w:fill="auto"/>
          </w:tcPr>
          <w:p w14:paraId="4B0D0243" w14:textId="77777777" w:rsidR="00C32A38" w:rsidRPr="00C32A38" w:rsidRDefault="00C32A38" w:rsidP="00C32A38">
            <w:pPr>
              <w:spacing w:after="0" w:line="360" w:lineRule="auto"/>
              <w:jc w:val="both"/>
              <w:rPr>
                <w:rFonts w:ascii="Century Gothic" w:hAnsi="Century Gothic" w:cs="Arial"/>
              </w:rPr>
            </w:pPr>
            <w:r w:rsidRPr="00C32A38">
              <w:rPr>
                <w:rFonts w:ascii="Century Gothic" w:hAnsi="Century Gothic" w:cs="Arial"/>
              </w:rPr>
              <w:t>Febrero</w:t>
            </w:r>
          </w:p>
        </w:tc>
        <w:tc>
          <w:tcPr>
            <w:tcW w:w="2245" w:type="dxa"/>
            <w:shd w:val="clear" w:color="auto" w:fill="auto"/>
          </w:tcPr>
          <w:p w14:paraId="4D1CAF90" w14:textId="77777777" w:rsidR="00C32A38" w:rsidRPr="00C32A38" w:rsidRDefault="00C32A38" w:rsidP="00C32A38">
            <w:pPr>
              <w:spacing w:after="0" w:line="360" w:lineRule="auto"/>
              <w:jc w:val="both"/>
              <w:rPr>
                <w:rFonts w:ascii="Century Gothic" w:hAnsi="Century Gothic" w:cs="Arial"/>
                <w:b/>
              </w:rPr>
            </w:pPr>
            <w:r w:rsidRPr="00C32A38">
              <w:rPr>
                <w:rFonts w:ascii="Century Gothic" w:hAnsi="Century Gothic" w:cs="Arial"/>
              </w:rPr>
              <w:t>1,679,000.00</w:t>
            </w:r>
          </w:p>
        </w:tc>
        <w:tc>
          <w:tcPr>
            <w:tcW w:w="2245" w:type="dxa"/>
            <w:vMerge/>
            <w:shd w:val="clear" w:color="auto" w:fill="auto"/>
          </w:tcPr>
          <w:p w14:paraId="6087FE61" w14:textId="77777777" w:rsidR="00C32A38" w:rsidRPr="00C32A38" w:rsidRDefault="00C32A38" w:rsidP="00C32A38">
            <w:pPr>
              <w:spacing w:after="0" w:line="360" w:lineRule="auto"/>
              <w:jc w:val="both"/>
              <w:rPr>
                <w:rFonts w:ascii="Century Gothic" w:hAnsi="Century Gothic" w:cs="Arial"/>
                <w:b/>
              </w:rPr>
            </w:pPr>
          </w:p>
        </w:tc>
        <w:tc>
          <w:tcPr>
            <w:tcW w:w="2245" w:type="dxa"/>
            <w:vMerge/>
            <w:tcBorders>
              <w:right w:val="single" w:sz="12" w:space="0" w:color="auto"/>
            </w:tcBorders>
            <w:shd w:val="clear" w:color="auto" w:fill="auto"/>
          </w:tcPr>
          <w:p w14:paraId="5C36ABA0" w14:textId="77777777" w:rsidR="00C32A38" w:rsidRPr="00C32A38" w:rsidRDefault="00C32A38" w:rsidP="00C32A38">
            <w:pPr>
              <w:spacing w:after="0" w:line="360" w:lineRule="auto"/>
              <w:jc w:val="both"/>
              <w:rPr>
                <w:rFonts w:ascii="Century Gothic" w:hAnsi="Century Gothic" w:cs="Arial"/>
                <w:b/>
              </w:rPr>
            </w:pPr>
          </w:p>
        </w:tc>
      </w:tr>
      <w:tr w:rsidR="00C32A38" w:rsidRPr="00C32A38" w14:paraId="36AF5073" w14:textId="77777777" w:rsidTr="000C51DA">
        <w:tc>
          <w:tcPr>
            <w:tcW w:w="2245" w:type="dxa"/>
            <w:tcBorders>
              <w:left w:val="single" w:sz="12" w:space="0" w:color="auto"/>
            </w:tcBorders>
            <w:shd w:val="clear" w:color="auto" w:fill="auto"/>
          </w:tcPr>
          <w:p w14:paraId="46D921DC" w14:textId="77777777" w:rsidR="00C32A38" w:rsidRPr="00C32A38" w:rsidRDefault="00C32A38" w:rsidP="00C32A38">
            <w:pPr>
              <w:spacing w:after="0" w:line="360" w:lineRule="auto"/>
              <w:jc w:val="both"/>
              <w:rPr>
                <w:rFonts w:ascii="Century Gothic" w:hAnsi="Century Gothic" w:cs="Arial"/>
              </w:rPr>
            </w:pPr>
            <w:r w:rsidRPr="00C32A38">
              <w:rPr>
                <w:rFonts w:ascii="Century Gothic" w:hAnsi="Century Gothic" w:cs="Arial"/>
              </w:rPr>
              <w:t>Marzo</w:t>
            </w:r>
          </w:p>
        </w:tc>
        <w:tc>
          <w:tcPr>
            <w:tcW w:w="2245" w:type="dxa"/>
            <w:shd w:val="clear" w:color="auto" w:fill="auto"/>
          </w:tcPr>
          <w:p w14:paraId="12F4CFE3" w14:textId="77777777" w:rsidR="00C32A38" w:rsidRPr="00C32A38" w:rsidRDefault="00C32A38" w:rsidP="00C32A38">
            <w:pPr>
              <w:spacing w:after="0" w:line="360" w:lineRule="auto"/>
              <w:jc w:val="both"/>
              <w:rPr>
                <w:rFonts w:ascii="Century Gothic" w:hAnsi="Century Gothic" w:cs="Arial"/>
                <w:b/>
              </w:rPr>
            </w:pPr>
            <w:r w:rsidRPr="00C32A38">
              <w:rPr>
                <w:rFonts w:ascii="Century Gothic" w:hAnsi="Century Gothic" w:cs="Arial"/>
              </w:rPr>
              <w:t>1,679,000.00</w:t>
            </w:r>
          </w:p>
        </w:tc>
        <w:tc>
          <w:tcPr>
            <w:tcW w:w="2245" w:type="dxa"/>
            <w:vMerge/>
            <w:shd w:val="clear" w:color="auto" w:fill="auto"/>
          </w:tcPr>
          <w:p w14:paraId="54D7FE92" w14:textId="77777777" w:rsidR="00C32A38" w:rsidRPr="00C32A38" w:rsidRDefault="00C32A38" w:rsidP="00C32A38">
            <w:pPr>
              <w:spacing w:after="0" w:line="360" w:lineRule="auto"/>
              <w:jc w:val="both"/>
              <w:rPr>
                <w:rFonts w:ascii="Century Gothic" w:hAnsi="Century Gothic" w:cs="Arial"/>
                <w:b/>
              </w:rPr>
            </w:pPr>
          </w:p>
        </w:tc>
        <w:tc>
          <w:tcPr>
            <w:tcW w:w="2245" w:type="dxa"/>
            <w:vMerge/>
            <w:tcBorders>
              <w:right w:val="single" w:sz="12" w:space="0" w:color="auto"/>
            </w:tcBorders>
            <w:shd w:val="clear" w:color="auto" w:fill="auto"/>
          </w:tcPr>
          <w:p w14:paraId="7D4E0F56" w14:textId="77777777" w:rsidR="00C32A38" w:rsidRPr="00C32A38" w:rsidRDefault="00C32A38" w:rsidP="00C32A38">
            <w:pPr>
              <w:spacing w:after="0" w:line="360" w:lineRule="auto"/>
              <w:jc w:val="both"/>
              <w:rPr>
                <w:rFonts w:ascii="Century Gothic" w:hAnsi="Century Gothic" w:cs="Arial"/>
                <w:b/>
              </w:rPr>
            </w:pPr>
          </w:p>
        </w:tc>
      </w:tr>
      <w:tr w:rsidR="00C32A38" w:rsidRPr="00C32A38" w14:paraId="37E2570D" w14:textId="77777777" w:rsidTr="000C51DA">
        <w:tc>
          <w:tcPr>
            <w:tcW w:w="2245" w:type="dxa"/>
            <w:tcBorders>
              <w:left w:val="single" w:sz="12" w:space="0" w:color="auto"/>
            </w:tcBorders>
            <w:shd w:val="clear" w:color="auto" w:fill="auto"/>
          </w:tcPr>
          <w:p w14:paraId="7EAE2F81" w14:textId="77777777" w:rsidR="00C32A38" w:rsidRPr="00C32A38" w:rsidRDefault="00C32A38" w:rsidP="00C32A38">
            <w:pPr>
              <w:spacing w:after="0" w:line="360" w:lineRule="auto"/>
              <w:jc w:val="both"/>
              <w:rPr>
                <w:rFonts w:ascii="Century Gothic" w:hAnsi="Century Gothic" w:cs="Arial"/>
              </w:rPr>
            </w:pPr>
            <w:r w:rsidRPr="00C32A38">
              <w:rPr>
                <w:rFonts w:ascii="Century Gothic" w:hAnsi="Century Gothic" w:cs="Arial"/>
              </w:rPr>
              <w:t>Abril</w:t>
            </w:r>
          </w:p>
        </w:tc>
        <w:tc>
          <w:tcPr>
            <w:tcW w:w="2245" w:type="dxa"/>
            <w:shd w:val="clear" w:color="auto" w:fill="auto"/>
          </w:tcPr>
          <w:p w14:paraId="7B615EFF" w14:textId="77777777" w:rsidR="00C32A38" w:rsidRPr="00C32A38" w:rsidRDefault="00C32A38" w:rsidP="00C32A38">
            <w:pPr>
              <w:spacing w:after="0" w:line="360" w:lineRule="auto"/>
              <w:jc w:val="both"/>
              <w:rPr>
                <w:rFonts w:ascii="Century Gothic" w:hAnsi="Century Gothic" w:cs="Arial"/>
                <w:b/>
              </w:rPr>
            </w:pPr>
            <w:r w:rsidRPr="00C32A38">
              <w:rPr>
                <w:rFonts w:ascii="Century Gothic" w:hAnsi="Century Gothic" w:cs="Arial"/>
              </w:rPr>
              <w:t>1,679,000.00</w:t>
            </w:r>
          </w:p>
        </w:tc>
        <w:tc>
          <w:tcPr>
            <w:tcW w:w="2245" w:type="dxa"/>
            <w:vMerge/>
            <w:shd w:val="clear" w:color="auto" w:fill="auto"/>
          </w:tcPr>
          <w:p w14:paraId="618655A5" w14:textId="77777777" w:rsidR="00C32A38" w:rsidRPr="00C32A38" w:rsidRDefault="00C32A38" w:rsidP="00C32A38">
            <w:pPr>
              <w:spacing w:after="0" w:line="360" w:lineRule="auto"/>
              <w:jc w:val="both"/>
              <w:rPr>
                <w:rFonts w:ascii="Century Gothic" w:hAnsi="Century Gothic" w:cs="Arial"/>
                <w:b/>
              </w:rPr>
            </w:pPr>
          </w:p>
        </w:tc>
        <w:tc>
          <w:tcPr>
            <w:tcW w:w="2245" w:type="dxa"/>
            <w:vMerge/>
            <w:tcBorders>
              <w:right w:val="single" w:sz="12" w:space="0" w:color="auto"/>
            </w:tcBorders>
            <w:shd w:val="clear" w:color="auto" w:fill="auto"/>
          </w:tcPr>
          <w:p w14:paraId="79908244" w14:textId="77777777" w:rsidR="00C32A38" w:rsidRPr="00C32A38" w:rsidRDefault="00C32A38" w:rsidP="00C32A38">
            <w:pPr>
              <w:spacing w:after="0" w:line="360" w:lineRule="auto"/>
              <w:jc w:val="both"/>
              <w:rPr>
                <w:rFonts w:ascii="Century Gothic" w:hAnsi="Century Gothic" w:cs="Arial"/>
                <w:b/>
              </w:rPr>
            </w:pPr>
          </w:p>
        </w:tc>
      </w:tr>
      <w:tr w:rsidR="00C32A38" w:rsidRPr="00C32A38" w14:paraId="0F4AC880" w14:textId="77777777" w:rsidTr="000C51DA">
        <w:tc>
          <w:tcPr>
            <w:tcW w:w="2245" w:type="dxa"/>
            <w:tcBorders>
              <w:left w:val="single" w:sz="12" w:space="0" w:color="auto"/>
              <w:bottom w:val="single" w:sz="12" w:space="0" w:color="auto"/>
            </w:tcBorders>
            <w:shd w:val="clear" w:color="auto" w:fill="auto"/>
          </w:tcPr>
          <w:p w14:paraId="01325A61" w14:textId="77777777" w:rsidR="00C32A38" w:rsidRPr="00C32A38" w:rsidRDefault="00C32A38" w:rsidP="00C32A38">
            <w:pPr>
              <w:spacing w:after="0" w:line="360" w:lineRule="auto"/>
              <w:jc w:val="both"/>
              <w:rPr>
                <w:rFonts w:ascii="Century Gothic" w:hAnsi="Century Gothic" w:cs="Arial"/>
              </w:rPr>
            </w:pPr>
            <w:r w:rsidRPr="00C32A38">
              <w:rPr>
                <w:rFonts w:ascii="Century Gothic" w:hAnsi="Century Gothic" w:cs="Arial"/>
              </w:rPr>
              <w:t>Mayo        2)</w:t>
            </w:r>
          </w:p>
        </w:tc>
        <w:tc>
          <w:tcPr>
            <w:tcW w:w="2245" w:type="dxa"/>
            <w:tcBorders>
              <w:bottom w:val="single" w:sz="12" w:space="0" w:color="auto"/>
            </w:tcBorders>
            <w:shd w:val="clear" w:color="auto" w:fill="auto"/>
          </w:tcPr>
          <w:p w14:paraId="03C1E7C0" w14:textId="77777777" w:rsidR="00C32A38" w:rsidRPr="00C32A38" w:rsidRDefault="00C32A38" w:rsidP="00C32A38">
            <w:pPr>
              <w:spacing w:after="0" w:line="360" w:lineRule="auto"/>
              <w:jc w:val="both"/>
              <w:rPr>
                <w:rFonts w:ascii="Century Gothic" w:hAnsi="Century Gothic" w:cs="Arial"/>
                <w:b/>
              </w:rPr>
            </w:pPr>
            <w:r w:rsidRPr="00C32A38">
              <w:rPr>
                <w:rFonts w:ascii="Century Gothic" w:hAnsi="Century Gothic" w:cs="Arial"/>
              </w:rPr>
              <w:t>1,679,000.00</w:t>
            </w:r>
          </w:p>
        </w:tc>
        <w:tc>
          <w:tcPr>
            <w:tcW w:w="2245" w:type="dxa"/>
            <w:vMerge/>
            <w:tcBorders>
              <w:bottom w:val="single" w:sz="12" w:space="0" w:color="auto"/>
            </w:tcBorders>
            <w:shd w:val="clear" w:color="auto" w:fill="auto"/>
          </w:tcPr>
          <w:p w14:paraId="40E4602E" w14:textId="77777777" w:rsidR="00C32A38" w:rsidRPr="00C32A38" w:rsidRDefault="00C32A38" w:rsidP="00C32A38">
            <w:pPr>
              <w:spacing w:after="0" w:line="360" w:lineRule="auto"/>
              <w:jc w:val="both"/>
              <w:rPr>
                <w:rFonts w:ascii="Century Gothic" w:hAnsi="Century Gothic" w:cs="Arial"/>
                <w:b/>
              </w:rPr>
            </w:pPr>
          </w:p>
        </w:tc>
        <w:tc>
          <w:tcPr>
            <w:tcW w:w="2245" w:type="dxa"/>
            <w:vMerge/>
            <w:tcBorders>
              <w:bottom w:val="single" w:sz="12" w:space="0" w:color="auto"/>
              <w:right w:val="single" w:sz="12" w:space="0" w:color="auto"/>
            </w:tcBorders>
            <w:shd w:val="clear" w:color="auto" w:fill="auto"/>
          </w:tcPr>
          <w:p w14:paraId="144AA93A" w14:textId="77777777" w:rsidR="00C32A38" w:rsidRPr="00C32A38" w:rsidRDefault="00C32A38" w:rsidP="00C32A38">
            <w:pPr>
              <w:spacing w:after="0" w:line="360" w:lineRule="auto"/>
              <w:jc w:val="both"/>
              <w:rPr>
                <w:rFonts w:ascii="Century Gothic" w:hAnsi="Century Gothic" w:cs="Arial"/>
                <w:b/>
              </w:rPr>
            </w:pPr>
          </w:p>
        </w:tc>
      </w:tr>
      <w:tr w:rsidR="00C32A38" w:rsidRPr="00C32A38" w14:paraId="052BB2EE" w14:textId="77777777" w:rsidTr="000C51DA">
        <w:tc>
          <w:tcPr>
            <w:tcW w:w="2245" w:type="dxa"/>
            <w:tcBorders>
              <w:top w:val="single" w:sz="12" w:space="0" w:color="auto"/>
              <w:left w:val="single" w:sz="12" w:space="0" w:color="auto"/>
            </w:tcBorders>
            <w:shd w:val="clear" w:color="auto" w:fill="auto"/>
          </w:tcPr>
          <w:p w14:paraId="42FA9358" w14:textId="77777777" w:rsidR="00C32A38" w:rsidRPr="00C32A38" w:rsidRDefault="00C32A38" w:rsidP="00C32A38">
            <w:pPr>
              <w:spacing w:after="0" w:line="360" w:lineRule="auto"/>
              <w:jc w:val="both"/>
              <w:rPr>
                <w:rFonts w:ascii="Century Gothic" w:hAnsi="Century Gothic" w:cs="Arial"/>
              </w:rPr>
            </w:pPr>
            <w:r w:rsidRPr="00C32A38">
              <w:rPr>
                <w:rFonts w:ascii="Century Gothic" w:hAnsi="Century Gothic" w:cs="Arial"/>
              </w:rPr>
              <w:t>Junio</w:t>
            </w:r>
          </w:p>
        </w:tc>
        <w:tc>
          <w:tcPr>
            <w:tcW w:w="2245" w:type="dxa"/>
            <w:tcBorders>
              <w:top w:val="single" w:sz="12" w:space="0" w:color="auto"/>
            </w:tcBorders>
            <w:shd w:val="clear" w:color="auto" w:fill="auto"/>
          </w:tcPr>
          <w:p w14:paraId="21F35D54" w14:textId="77777777" w:rsidR="00C32A38" w:rsidRPr="00C32A38" w:rsidRDefault="00C32A38" w:rsidP="00C32A38">
            <w:pPr>
              <w:spacing w:after="0" w:line="360" w:lineRule="auto"/>
              <w:jc w:val="both"/>
              <w:rPr>
                <w:rFonts w:ascii="Century Gothic" w:hAnsi="Century Gothic" w:cs="Arial"/>
                <w:b/>
              </w:rPr>
            </w:pPr>
            <w:r w:rsidRPr="00C32A38">
              <w:rPr>
                <w:rFonts w:ascii="Century Gothic" w:hAnsi="Century Gothic" w:cs="Arial"/>
              </w:rPr>
              <w:t>1,679,000.00</w:t>
            </w:r>
          </w:p>
        </w:tc>
        <w:tc>
          <w:tcPr>
            <w:tcW w:w="2245" w:type="dxa"/>
            <w:vMerge w:val="restart"/>
            <w:tcBorders>
              <w:top w:val="single" w:sz="12" w:space="0" w:color="auto"/>
            </w:tcBorders>
            <w:shd w:val="clear" w:color="auto" w:fill="auto"/>
          </w:tcPr>
          <w:p w14:paraId="10502880" w14:textId="77777777" w:rsidR="00C32A38" w:rsidRPr="00C32A38" w:rsidRDefault="00C32A38" w:rsidP="00C32A38">
            <w:pPr>
              <w:spacing w:after="0" w:line="360" w:lineRule="auto"/>
              <w:jc w:val="both"/>
              <w:rPr>
                <w:rFonts w:ascii="Century Gothic" w:hAnsi="Century Gothic" w:cs="Arial"/>
                <w:b/>
              </w:rPr>
            </w:pPr>
          </w:p>
        </w:tc>
        <w:tc>
          <w:tcPr>
            <w:tcW w:w="2245" w:type="dxa"/>
            <w:vMerge w:val="restart"/>
            <w:tcBorders>
              <w:top w:val="single" w:sz="12" w:space="0" w:color="auto"/>
              <w:right w:val="single" w:sz="12" w:space="0" w:color="auto"/>
            </w:tcBorders>
            <w:shd w:val="clear" w:color="auto" w:fill="auto"/>
          </w:tcPr>
          <w:p w14:paraId="6E2E66D4" w14:textId="77777777" w:rsidR="00C32A38" w:rsidRPr="00C32A38" w:rsidRDefault="00C32A38" w:rsidP="00C32A38">
            <w:pPr>
              <w:spacing w:after="0" w:line="360" w:lineRule="auto"/>
              <w:jc w:val="both"/>
              <w:rPr>
                <w:rFonts w:ascii="Century Gothic" w:hAnsi="Century Gothic" w:cs="Arial"/>
                <w:b/>
              </w:rPr>
            </w:pPr>
          </w:p>
        </w:tc>
      </w:tr>
      <w:tr w:rsidR="00C32A38" w:rsidRPr="00C32A38" w14:paraId="167DCEF5" w14:textId="77777777" w:rsidTr="000C51DA">
        <w:tc>
          <w:tcPr>
            <w:tcW w:w="2245" w:type="dxa"/>
            <w:tcBorders>
              <w:left w:val="single" w:sz="12" w:space="0" w:color="auto"/>
            </w:tcBorders>
            <w:shd w:val="clear" w:color="auto" w:fill="auto"/>
          </w:tcPr>
          <w:p w14:paraId="787BF4C0" w14:textId="77777777" w:rsidR="00C32A38" w:rsidRPr="00C32A38" w:rsidRDefault="00C32A38" w:rsidP="00C32A38">
            <w:pPr>
              <w:spacing w:after="0" w:line="360" w:lineRule="auto"/>
              <w:jc w:val="both"/>
              <w:rPr>
                <w:rFonts w:ascii="Century Gothic" w:hAnsi="Century Gothic" w:cs="Arial"/>
              </w:rPr>
            </w:pPr>
            <w:r w:rsidRPr="00C32A38">
              <w:rPr>
                <w:rFonts w:ascii="Century Gothic" w:hAnsi="Century Gothic" w:cs="Arial"/>
              </w:rPr>
              <w:t>Julio</w:t>
            </w:r>
          </w:p>
        </w:tc>
        <w:tc>
          <w:tcPr>
            <w:tcW w:w="2245" w:type="dxa"/>
            <w:shd w:val="clear" w:color="auto" w:fill="auto"/>
          </w:tcPr>
          <w:p w14:paraId="466974F7" w14:textId="77777777" w:rsidR="00C32A38" w:rsidRPr="00C32A38" w:rsidRDefault="00C32A38" w:rsidP="00C32A38">
            <w:pPr>
              <w:spacing w:after="0" w:line="360" w:lineRule="auto"/>
              <w:jc w:val="both"/>
              <w:rPr>
                <w:rFonts w:ascii="Century Gothic" w:hAnsi="Century Gothic" w:cs="Arial"/>
                <w:b/>
              </w:rPr>
            </w:pPr>
            <w:r w:rsidRPr="00C32A38">
              <w:rPr>
                <w:rFonts w:ascii="Century Gothic" w:hAnsi="Century Gothic" w:cs="Arial"/>
              </w:rPr>
              <w:t>1,679,000.00</w:t>
            </w:r>
          </w:p>
        </w:tc>
        <w:tc>
          <w:tcPr>
            <w:tcW w:w="2245" w:type="dxa"/>
            <w:vMerge/>
            <w:shd w:val="clear" w:color="auto" w:fill="auto"/>
          </w:tcPr>
          <w:p w14:paraId="56B91473" w14:textId="77777777" w:rsidR="00C32A38" w:rsidRPr="00C32A38" w:rsidRDefault="00C32A38" w:rsidP="00C32A38">
            <w:pPr>
              <w:spacing w:after="0" w:line="360" w:lineRule="auto"/>
              <w:jc w:val="both"/>
              <w:rPr>
                <w:rFonts w:ascii="Century Gothic" w:hAnsi="Century Gothic" w:cs="Arial"/>
                <w:b/>
              </w:rPr>
            </w:pPr>
          </w:p>
        </w:tc>
        <w:tc>
          <w:tcPr>
            <w:tcW w:w="2245" w:type="dxa"/>
            <w:vMerge/>
            <w:tcBorders>
              <w:right w:val="single" w:sz="12" w:space="0" w:color="auto"/>
            </w:tcBorders>
            <w:shd w:val="clear" w:color="auto" w:fill="auto"/>
          </w:tcPr>
          <w:p w14:paraId="15526F20" w14:textId="77777777" w:rsidR="00C32A38" w:rsidRPr="00C32A38" w:rsidRDefault="00C32A38" w:rsidP="00C32A38">
            <w:pPr>
              <w:spacing w:after="0" w:line="360" w:lineRule="auto"/>
              <w:jc w:val="both"/>
              <w:rPr>
                <w:rFonts w:ascii="Century Gothic" w:hAnsi="Century Gothic" w:cs="Arial"/>
                <w:b/>
              </w:rPr>
            </w:pPr>
          </w:p>
        </w:tc>
      </w:tr>
      <w:tr w:rsidR="00C32A38" w:rsidRPr="00C32A38" w14:paraId="0B4DFF0C" w14:textId="77777777" w:rsidTr="000C51DA">
        <w:tc>
          <w:tcPr>
            <w:tcW w:w="2245" w:type="dxa"/>
            <w:tcBorders>
              <w:left w:val="single" w:sz="12" w:space="0" w:color="auto"/>
            </w:tcBorders>
            <w:shd w:val="clear" w:color="auto" w:fill="auto"/>
          </w:tcPr>
          <w:p w14:paraId="7379468C" w14:textId="77777777" w:rsidR="00C32A38" w:rsidRPr="00C32A38" w:rsidRDefault="00C32A38" w:rsidP="00C32A38">
            <w:pPr>
              <w:spacing w:after="0" w:line="360" w:lineRule="auto"/>
              <w:jc w:val="both"/>
              <w:rPr>
                <w:rFonts w:ascii="Century Gothic" w:hAnsi="Century Gothic" w:cs="Arial"/>
              </w:rPr>
            </w:pPr>
            <w:r w:rsidRPr="00C32A38">
              <w:rPr>
                <w:rFonts w:ascii="Century Gothic" w:hAnsi="Century Gothic" w:cs="Arial"/>
              </w:rPr>
              <w:t>Agosto</w:t>
            </w:r>
          </w:p>
        </w:tc>
        <w:tc>
          <w:tcPr>
            <w:tcW w:w="2245" w:type="dxa"/>
            <w:shd w:val="clear" w:color="auto" w:fill="auto"/>
          </w:tcPr>
          <w:p w14:paraId="0E9455E2" w14:textId="77777777" w:rsidR="00C32A38" w:rsidRPr="00C32A38" w:rsidRDefault="00C32A38" w:rsidP="00C32A38">
            <w:pPr>
              <w:spacing w:after="0" w:line="360" w:lineRule="auto"/>
              <w:jc w:val="both"/>
              <w:rPr>
                <w:rFonts w:ascii="Century Gothic" w:hAnsi="Century Gothic" w:cs="Arial"/>
                <w:b/>
              </w:rPr>
            </w:pPr>
            <w:r w:rsidRPr="00C32A38">
              <w:rPr>
                <w:rFonts w:ascii="Century Gothic" w:hAnsi="Century Gothic" w:cs="Arial"/>
              </w:rPr>
              <w:t>1,679,000.00</w:t>
            </w:r>
          </w:p>
        </w:tc>
        <w:tc>
          <w:tcPr>
            <w:tcW w:w="2245" w:type="dxa"/>
            <w:vMerge/>
            <w:shd w:val="clear" w:color="auto" w:fill="auto"/>
          </w:tcPr>
          <w:p w14:paraId="6BAF7DAA" w14:textId="77777777" w:rsidR="00C32A38" w:rsidRPr="00C32A38" w:rsidRDefault="00C32A38" w:rsidP="00C32A38">
            <w:pPr>
              <w:spacing w:after="0" w:line="360" w:lineRule="auto"/>
              <w:jc w:val="both"/>
              <w:rPr>
                <w:rFonts w:ascii="Century Gothic" w:hAnsi="Century Gothic" w:cs="Arial"/>
                <w:b/>
              </w:rPr>
            </w:pPr>
          </w:p>
        </w:tc>
        <w:tc>
          <w:tcPr>
            <w:tcW w:w="2245" w:type="dxa"/>
            <w:vMerge/>
            <w:tcBorders>
              <w:right w:val="single" w:sz="12" w:space="0" w:color="auto"/>
            </w:tcBorders>
            <w:shd w:val="clear" w:color="auto" w:fill="auto"/>
          </w:tcPr>
          <w:p w14:paraId="4674D64C" w14:textId="77777777" w:rsidR="00C32A38" w:rsidRPr="00C32A38" w:rsidRDefault="00C32A38" w:rsidP="00C32A38">
            <w:pPr>
              <w:spacing w:after="0" w:line="360" w:lineRule="auto"/>
              <w:jc w:val="both"/>
              <w:rPr>
                <w:rFonts w:ascii="Century Gothic" w:hAnsi="Century Gothic" w:cs="Arial"/>
                <w:b/>
              </w:rPr>
            </w:pPr>
          </w:p>
        </w:tc>
      </w:tr>
      <w:tr w:rsidR="00C32A38" w:rsidRPr="00C32A38" w14:paraId="478CBDFA" w14:textId="77777777" w:rsidTr="000C51DA">
        <w:tc>
          <w:tcPr>
            <w:tcW w:w="2245" w:type="dxa"/>
            <w:tcBorders>
              <w:left w:val="single" w:sz="12" w:space="0" w:color="auto"/>
            </w:tcBorders>
            <w:shd w:val="clear" w:color="auto" w:fill="auto"/>
          </w:tcPr>
          <w:p w14:paraId="4A3E363E" w14:textId="77777777" w:rsidR="00C32A38" w:rsidRPr="00C32A38" w:rsidRDefault="00C32A38" w:rsidP="00C32A38">
            <w:pPr>
              <w:spacing w:after="0" w:line="360" w:lineRule="auto"/>
              <w:jc w:val="both"/>
              <w:rPr>
                <w:rFonts w:ascii="Century Gothic" w:hAnsi="Century Gothic" w:cs="Arial"/>
              </w:rPr>
            </w:pPr>
            <w:r w:rsidRPr="00C32A38">
              <w:rPr>
                <w:rFonts w:ascii="Century Gothic" w:hAnsi="Century Gothic" w:cs="Arial"/>
              </w:rPr>
              <w:t>Septiembre</w:t>
            </w:r>
          </w:p>
        </w:tc>
        <w:tc>
          <w:tcPr>
            <w:tcW w:w="2245" w:type="dxa"/>
            <w:shd w:val="clear" w:color="auto" w:fill="auto"/>
          </w:tcPr>
          <w:p w14:paraId="4FB3BBEB" w14:textId="77777777" w:rsidR="00C32A38" w:rsidRPr="00C32A38" w:rsidRDefault="00C32A38" w:rsidP="00C32A38">
            <w:pPr>
              <w:spacing w:after="0" w:line="360" w:lineRule="auto"/>
              <w:jc w:val="both"/>
              <w:rPr>
                <w:rFonts w:ascii="Century Gothic" w:hAnsi="Century Gothic" w:cs="Arial"/>
                <w:b/>
              </w:rPr>
            </w:pPr>
            <w:r w:rsidRPr="00C32A38">
              <w:rPr>
                <w:rFonts w:ascii="Century Gothic" w:hAnsi="Century Gothic" w:cs="Arial"/>
              </w:rPr>
              <w:t>1,679,000.00</w:t>
            </w:r>
          </w:p>
        </w:tc>
        <w:tc>
          <w:tcPr>
            <w:tcW w:w="2245" w:type="dxa"/>
            <w:vMerge/>
            <w:shd w:val="clear" w:color="auto" w:fill="auto"/>
          </w:tcPr>
          <w:p w14:paraId="3D3D0694" w14:textId="77777777" w:rsidR="00C32A38" w:rsidRPr="00C32A38" w:rsidRDefault="00C32A38" w:rsidP="00C32A38">
            <w:pPr>
              <w:spacing w:after="0" w:line="360" w:lineRule="auto"/>
              <w:jc w:val="both"/>
              <w:rPr>
                <w:rFonts w:ascii="Century Gothic" w:hAnsi="Century Gothic" w:cs="Arial"/>
                <w:b/>
              </w:rPr>
            </w:pPr>
          </w:p>
        </w:tc>
        <w:tc>
          <w:tcPr>
            <w:tcW w:w="2245" w:type="dxa"/>
            <w:vMerge/>
            <w:tcBorders>
              <w:right w:val="single" w:sz="12" w:space="0" w:color="auto"/>
            </w:tcBorders>
            <w:shd w:val="clear" w:color="auto" w:fill="auto"/>
          </w:tcPr>
          <w:p w14:paraId="69323E4B" w14:textId="77777777" w:rsidR="00C32A38" w:rsidRPr="00C32A38" w:rsidRDefault="00C32A38" w:rsidP="00C32A38">
            <w:pPr>
              <w:spacing w:after="0" w:line="360" w:lineRule="auto"/>
              <w:jc w:val="both"/>
              <w:rPr>
                <w:rFonts w:ascii="Century Gothic" w:hAnsi="Century Gothic" w:cs="Arial"/>
                <w:b/>
              </w:rPr>
            </w:pPr>
          </w:p>
        </w:tc>
      </w:tr>
      <w:tr w:rsidR="00C32A38" w:rsidRPr="00C32A38" w14:paraId="6036464C" w14:textId="77777777" w:rsidTr="000C51DA">
        <w:tc>
          <w:tcPr>
            <w:tcW w:w="2245" w:type="dxa"/>
            <w:tcBorders>
              <w:left w:val="single" w:sz="12" w:space="0" w:color="auto"/>
            </w:tcBorders>
            <w:shd w:val="clear" w:color="auto" w:fill="auto"/>
          </w:tcPr>
          <w:p w14:paraId="7D610DE3" w14:textId="77777777" w:rsidR="00C32A38" w:rsidRPr="00C32A38" w:rsidRDefault="00C32A38" w:rsidP="00C32A38">
            <w:pPr>
              <w:spacing w:after="0" w:line="360" w:lineRule="auto"/>
              <w:jc w:val="both"/>
              <w:rPr>
                <w:rFonts w:ascii="Century Gothic" w:hAnsi="Century Gothic" w:cs="Arial"/>
              </w:rPr>
            </w:pPr>
            <w:r w:rsidRPr="00C32A38">
              <w:rPr>
                <w:rFonts w:ascii="Century Gothic" w:hAnsi="Century Gothic" w:cs="Arial"/>
              </w:rPr>
              <w:t>Octubre</w:t>
            </w:r>
          </w:p>
        </w:tc>
        <w:tc>
          <w:tcPr>
            <w:tcW w:w="2245" w:type="dxa"/>
            <w:shd w:val="clear" w:color="auto" w:fill="auto"/>
          </w:tcPr>
          <w:p w14:paraId="0F5EB727" w14:textId="77777777" w:rsidR="00C32A38" w:rsidRPr="00C32A38" w:rsidRDefault="00C32A38" w:rsidP="00C32A38">
            <w:pPr>
              <w:spacing w:after="0" w:line="360" w:lineRule="auto"/>
              <w:jc w:val="both"/>
              <w:rPr>
                <w:rFonts w:ascii="Century Gothic" w:hAnsi="Century Gothic" w:cs="Arial"/>
                <w:b/>
              </w:rPr>
            </w:pPr>
            <w:r w:rsidRPr="00C32A38">
              <w:rPr>
                <w:rFonts w:ascii="Century Gothic" w:hAnsi="Century Gothic" w:cs="Arial"/>
              </w:rPr>
              <w:t>1,679,000.00</w:t>
            </w:r>
          </w:p>
        </w:tc>
        <w:tc>
          <w:tcPr>
            <w:tcW w:w="2245" w:type="dxa"/>
            <w:vMerge/>
            <w:shd w:val="clear" w:color="auto" w:fill="auto"/>
          </w:tcPr>
          <w:p w14:paraId="3FA5060B" w14:textId="77777777" w:rsidR="00C32A38" w:rsidRPr="00C32A38" w:rsidRDefault="00C32A38" w:rsidP="00C32A38">
            <w:pPr>
              <w:spacing w:after="0" w:line="360" w:lineRule="auto"/>
              <w:jc w:val="both"/>
              <w:rPr>
                <w:rFonts w:ascii="Century Gothic" w:hAnsi="Century Gothic" w:cs="Arial"/>
                <w:b/>
              </w:rPr>
            </w:pPr>
          </w:p>
        </w:tc>
        <w:tc>
          <w:tcPr>
            <w:tcW w:w="2245" w:type="dxa"/>
            <w:vMerge/>
            <w:tcBorders>
              <w:right w:val="single" w:sz="12" w:space="0" w:color="auto"/>
            </w:tcBorders>
            <w:shd w:val="clear" w:color="auto" w:fill="auto"/>
          </w:tcPr>
          <w:p w14:paraId="38E5BAA6" w14:textId="77777777" w:rsidR="00C32A38" w:rsidRPr="00C32A38" w:rsidRDefault="00C32A38" w:rsidP="00C32A38">
            <w:pPr>
              <w:spacing w:after="0" w:line="360" w:lineRule="auto"/>
              <w:jc w:val="both"/>
              <w:rPr>
                <w:rFonts w:ascii="Century Gothic" w:hAnsi="Century Gothic" w:cs="Arial"/>
                <w:b/>
              </w:rPr>
            </w:pPr>
          </w:p>
        </w:tc>
      </w:tr>
      <w:tr w:rsidR="00C32A38" w:rsidRPr="00C32A38" w14:paraId="66893C8E" w14:textId="77777777" w:rsidTr="000C51DA">
        <w:tc>
          <w:tcPr>
            <w:tcW w:w="2245" w:type="dxa"/>
            <w:tcBorders>
              <w:left w:val="single" w:sz="12" w:space="0" w:color="auto"/>
            </w:tcBorders>
            <w:shd w:val="clear" w:color="auto" w:fill="auto"/>
          </w:tcPr>
          <w:p w14:paraId="1D33C334" w14:textId="77777777" w:rsidR="00C32A38" w:rsidRPr="00C32A38" w:rsidRDefault="00C32A38" w:rsidP="00C32A38">
            <w:pPr>
              <w:spacing w:after="0" w:line="360" w:lineRule="auto"/>
              <w:jc w:val="both"/>
              <w:rPr>
                <w:rFonts w:ascii="Century Gothic" w:hAnsi="Century Gothic" w:cs="Arial"/>
              </w:rPr>
            </w:pPr>
            <w:r w:rsidRPr="00C32A38">
              <w:rPr>
                <w:rFonts w:ascii="Century Gothic" w:hAnsi="Century Gothic" w:cs="Arial"/>
              </w:rPr>
              <w:t>Noviembre</w:t>
            </w:r>
          </w:p>
        </w:tc>
        <w:tc>
          <w:tcPr>
            <w:tcW w:w="2245" w:type="dxa"/>
            <w:shd w:val="clear" w:color="auto" w:fill="auto"/>
          </w:tcPr>
          <w:p w14:paraId="65D46373" w14:textId="77777777" w:rsidR="00C32A38" w:rsidRPr="00C32A38" w:rsidRDefault="00C32A38" w:rsidP="00C32A38">
            <w:pPr>
              <w:spacing w:after="0" w:line="360" w:lineRule="auto"/>
              <w:jc w:val="both"/>
              <w:rPr>
                <w:rFonts w:ascii="Century Gothic" w:hAnsi="Century Gothic" w:cs="Arial"/>
                <w:b/>
              </w:rPr>
            </w:pPr>
            <w:r w:rsidRPr="00C32A38">
              <w:rPr>
                <w:rFonts w:ascii="Century Gothic" w:hAnsi="Century Gothic" w:cs="Arial"/>
              </w:rPr>
              <w:t>1,679,000.00</w:t>
            </w:r>
          </w:p>
        </w:tc>
        <w:tc>
          <w:tcPr>
            <w:tcW w:w="2245" w:type="dxa"/>
            <w:vMerge/>
            <w:shd w:val="clear" w:color="auto" w:fill="auto"/>
          </w:tcPr>
          <w:p w14:paraId="1FF83082" w14:textId="77777777" w:rsidR="00C32A38" w:rsidRPr="00C32A38" w:rsidRDefault="00C32A38" w:rsidP="00C32A38">
            <w:pPr>
              <w:spacing w:after="0" w:line="360" w:lineRule="auto"/>
              <w:jc w:val="both"/>
              <w:rPr>
                <w:rFonts w:ascii="Century Gothic" w:hAnsi="Century Gothic" w:cs="Arial"/>
                <w:b/>
              </w:rPr>
            </w:pPr>
          </w:p>
        </w:tc>
        <w:tc>
          <w:tcPr>
            <w:tcW w:w="2245" w:type="dxa"/>
            <w:vMerge/>
            <w:tcBorders>
              <w:right w:val="single" w:sz="12" w:space="0" w:color="auto"/>
            </w:tcBorders>
            <w:shd w:val="clear" w:color="auto" w:fill="auto"/>
          </w:tcPr>
          <w:p w14:paraId="0F69BD20" w14:textId="77777777" w:rsidR="00C32A38" w:rsidRPr="00C32A38" w:rsidRDefault="00C32A38" w:rsidP="00C32A38">
            <w:pPr>
              <w:spacing w:after="0" w:line="360" w:lineRule="auto"/>
              <w:jc w:val="both"/>
              <w:rPr>
                <w:rFonts w:ascii="Century Gothic" w:hAnsi="Century Gothic" w:cs="Arial"/>
                <w:b/>
              </w:rPr>
            </w:pPr>
          </w:p>
        </w:tc>
      </w:tr>
      <w:tr w:rsidR="00C32A38" w:rsidRPr="00C32A38" w14:paraId="14828689" w14:textId="77777777" w:rsidTr="000C51DA">
        <w:tc>
          <w:tcPr>
            <w:tcW w:w="2245" w:type="dxa"/>
            <w:tcBorders>
              <w:left w:val="single" w:sz="12" w:space="0" w:color="auto"/>
              <w:bottom w:val="single" w:sz="12" w:space="0" w:color="auto"/>
            </w:tcBorders>
            <w:shd w:val="clear" w:color="auto" w:fill="auto"/>
          </w:tcPr>
          <w:p w14:paraId="39E4FBD0" w14:textId="77777777" w:rsidR="00C32A38" w:rsidRPr="00C32A38" w:rsidRDefault="00C32A38" w:rsidP="00C32A38">
            <w:pPr>
              <w:spacing w:after="0" w:line="360" w:lineRule="auto"/>
              <w:jc w:val="both"/>
              <w:rPr>
                <w:rFonts w:ascii="Century Gothic" w:hAnsi="Century Gothic" w:cs="Arial"/>
              </w:rPr>
            </w:pPr>
            <w:r w:rsidRPr="00C32A38">
              <w:rPr>
                <w:rFonts w:ascii="Century Gothic" w:hAnsi="Century Gothic" w:cs="Arial"/>
              </w:rPr>
              <w:t>Diciembre</w:t>
            </w:r>
          </w:p>
        </w:tc>
        <w:tc>
          <w:tcPr>
            <w:tcW w:w="2245" w:type="dxa"/>
            <w:tcBorders>
              <w:bottom w:val="single" w:sz="12" w:space="0" w:color="auto"/>
            </w:tcBorders>
            <w:shd w:val="clear" w:color="auto" w:fill="auto"/>
          </w:tcPr>
          <w:p w14:paraId="209D2771" w14:textId="77777777" w:rsidR="00C32A38" w:rsidRPr="00C32A38" w:rsidRDefault="00C32A38" w:rsidP="00C32A38">
            <w:pPr>
              <w:spacing w:after="0" w:line="360" w:lineRule="auto"/>
              <w:jc w:val="both"/>
              <w:rPr>
                <w:rFonts w:ascii="Century Gothic" w:hAnsi="Century Gothic" w:cs="Arial"/>
                <w:b/>
              </w:rPr>
            </w:pPr>
            <w:r w:rsidRPr="00C32A38">
              <w:rPr>
                <w:rFonts w:ascii="Century Gothic" w:hAnsi="Century Gothic" w:cs="Arial"/>
              </w:rPr>
              <w:t>1,679,000.00</w:t>
            </w:r>
          </w:p>
        </w:tc>
        <w:tc>
          <w:tcPr>
            <w:tcW w:w="2245" w:type="dxa"/>
            <w:vMerge/>
            <w:tcBorders>
              <w:bottom w:val="single" w:sz="12" w:space="0" w:color="auto"/>
            </w:tcBorders>
            <w:shd w:val="clear" w:color="auto" w:fill="auto"/>
          </w:tcPr>
          <w:p w14:paraId="47FEDB77" w14:textId="77777777" w:rsidR="00C32A38" w:rsidRPr="00C32A38" w:rsidRDefault="00C32A38" w:rsidP="00C32A38">
            <w:pPr>
              <w:spacing w:after="0" w:line="360" w:lineRule="auto"/>
              <w:jc w:val="both"/>
              <w:rPr>
                <w:rFonts w:ascii="Century Gothic" w:hAnsi="Century Gothic" w:cs="Arial"/>
                <w:b/>
              </w:rPr>
            </w:pPr>
          </w:p>
        </w:tc>
        <w:tc>
          <w:tcPr>
            <w:tcW w:w="2245" w:type="dxa"/>
            <w:vMerge/>
            <w:tcBorders>
              <w:bottom w:val="single" w:sz="12" w:space="0" w:color="auto"/>
              <w:right w:val="single" w:sz="12" w:space="0" w:color="auto"/>
            </w:tcBorders>
            <w:shd w:val="clear" w:color="auto" w:fill="auto"/>
          </w:tcPr>
          <w:p w14:paraId="17362DAA" w14:textId="77777777" w:rsidR="00C32A38" w:rsidRPr="00C32A38" w:rsidRDefault="00C32A38" w:rsidP="00C32A38">
            <w:pPr>
              <w:spacing w:after="0" w:line="360" w:lineRule="auto"/>
              <w:jc w:val="both"/>
              <w:rPr>
                <w:rFonts w:ascii="Century Gothic" w:hAnsi="Century Gothic" w:cs="Arial"/>
                <w:b/>
              </w:rPr>
            </w:pPr>
          </w:p>
        </w:tc>
      </w:tr>
      <w:tr w:rsidR="00C32A38" w:rsidRPr="00C32A38" w14:paraId="02EC4708" w14:textId="77777777" w:rsidTr="000C51DA">
        <w:trPr>
          <w:gridAfter w:val="1"/>
          <w:wAfter w:w="2245" w:type="dxa"/>
        </w:trPr>
        <w:tc>
          <w:tcPr>
            <w:tcW w:w="2245" w:type="dxa"/>
            <w:tcBorders>
              <w:top w:val="single" w:sz="12" w:space="0" w:color="auto"/>
              <w:left w:val="single" w:sz="12" w:space="0" w:color="auto"/>
              <w:bottom w:val="single" w:sz="12" w:space="0" w:color="auto"/>
            </w:tcBorders>
            <w:shd w:val="clear" w:color="auto" w:fill="auto"/>
          </w:tcPr>
          <w:p w14:paraId="6E6FFCF3" w14:textId="77777777" w:rsidR="00C32A38" w:rsidRPr="00C32A38" w:rsidRDefault="00C32A38" w:rsidP="00C32A38">
            <w:pPr>
              <w:spacing w:after="0" w:line="360" w:lineRule="auto"/>
              <w:rPr>
                <w:rFonts w:ascii="Century Gothic" w:hAnsi="Century Gothic" w:cs="Arial"/>
                <w:b/>
              </w:rPr>
            </w:pPr>
            <w:r w:rsidRPr="00C32A38">
              <w:rPr>
                <w:rFonts w:ascii="Century Gothic" w:hAnsi="Century Gothic" w:cs="Arial"/>
                <w:b/>
              </w:rPr>
              <w:t>Total 1997</w:t>
            </w:r>
          </w:p>
        </w:tc>
        <w:tc>
          <w:tcPr>
            <w:tcW w:w="2245" w:type="dxa"/>
            <w:tcBorders>
              <w:top w:val="single" w:sz="12" w:space="0" w:color="auto"/>
              <w:bottom w:val="single" w:sz="12" w:space="0" w:color="auto"/>
            </w:tcBorders>
            <w:shd w:val="clear" w:color="auto" w:fill="auto"/>
          </w:tcPr>
          <w:p w14:paraId="5947E58B" w14:textId="77777777" w:rsidR="00C32A38" w:rsidRPr="00C32A38" w:rsidRDefault="00C32A38" w:rsidP="00C32A38">
            <w:pPr>
              <w:spacing w:after="0" w:line="360" w:lineRule="auto"/>
              <w:rPr>
                <w:rFonts w:ascii="Century Gothic" w:hAnsi="Century Gothic" w:cs="Arial"/>
                <w:b/>
              </w:rPr>
            </w:pPr>
            <w:r w:rsidRPr="00C32A38">
              <w:rPr>
                <w:rFonts w:ascii="Century Gothic" w:hAnsi="Century Gothic" w:cs="Arial"/>
                <w:b/>
              </w:rPr>
              <w:t>20,148,000.00</w:t>
            </w:r>
          </w:p>
        </w:tc>
        <w:tc>
          <w:tcPr>
            <w:tcW w:w="2245" w:type="dxa"/>
            <w:tcBorders>
              <w:top w:val="single" w:sz="12" w:space="0" w:color="auto"/>
              <w:bottom w:val="single" w:sz="12" w:space="0" w:color="auto"/>
            </w:tcBorders>
            <w:shd w:val="clear" w:color="auto" w:fill="auto"/>
          </w:tcPr>
          <w:p w14:paraId="363DFBA9" w14:textId="77777777" w:rsidR="00C32A38" w:rsidRPr="00C32A38" w:rsidRDefault="00C32A38" w:rsidP="00C32A38">
            <w:pPr>
              <w:spacing w:after="0" w:line="360" w:lineRule="auto"/>
              <w:rPr>
                <w:rFonts w:ascii="Century Gothic" w:hAnsi="Century Gothic" w:cs="Arial"/>
                <w:b/>
              </w:rPr>
            </w:pPr>
            <w:r w:rsidRPr="00C32A38">
              <w:rPr>
                <w:rFonts w:ascii="Century Gothic" w:hAnsi="Century Gothic" w:cs="Arial"/>
                <w:b/>
              </w:rPr>
              <w:t>11,070,422.00</w:t>
            </w:r>
          </w:p>
        </w:tc>
      </w:tr>
    </w:tbl>
    <w:p w14:paraId="3D6DC012" w14:textId="77777777" w:rsidR="00C32A38" w:rsidRPr="00C32A38" w:rsidRDefault="00C32A38" w:rsidP="00C32A38">
      <w:pPr>
        <w:spacing w:after="0" w:line="360" w:lineRule="auto"/>
        <w:jc w:val="both"/>
        <w:rPr>
          <w:rFonts w:ascii="Century Gothic" w:hAnsi="Century Gothic" w:cs="Arial"/>
          <w:b/>
        </w:rPr>
      </w:pPr>
    </w:p>
    <w:p w14:paraId="366E34EE" w14:textId="77777777" w:rsidR="00C32A38" w:rsidRPr="00C32A38" w:rsidRDefault="00C32A38" w:rsidP="00C32A38">
      <w:pPr>
        <w:spacing w:after="0" w:line="276" w:lineRule="auto"/>
        <w:ind w:left="567" w:right="567"/>
        <w:rPr>
          <w:rFonts w:ascii="Century Gothic" w:hAnsi="Century Gothic" w:cs="Arial"/>
          <w:i/>
        </w:rPr>
      </w:pPr>
      <w:r w:rsidRPr="00C32A38">
        <w:rPr>
          <w:rFonts w:ascii="Century Gothic" w:hAnsi="Century Gothic" w:cs="Arial"/>
          <w:i/>
        </w:rPr>
        <w:t>“Nota: (…)</w:t>
      </w:r>
      <w:r w:rsidRPr="00C32A38">
        <w:rPr>
          <w:rFonts w:ascii="Century Gothic" w:hAnsi="Century Gothic" w:cs="Arial"/>
          <w:i/>
        </w:rPr>
        <w:br/>
      </w:r>
      <w:r w:rsidRPr="00C32A38">
        <w:rPr>
          <w:rFonts w:ascii="Century Gothic" w:hAnsi="Century Gothic" w:cs="Arial"/>
          <w:i/>
        </w:rPr>
        <w:tab/>
        <w:t xml:space="preserve">“2) Monto correspondiente al arreglo directo por Diciembre/96 y </w:t>
      </w:r>
      <w:proofErr w:type="gramStart"/>
      <w:r w:rsidRPr="00C32A38">
        <w:rPr>
          <w:rFonts w:ascii="Century Gothic" w:hAnsi="Century Gothic" w:cs="Arial"/>
          <w:i/>
        </w:rPr>
        <w:t>Enero</w:t>
      </w:r>
      <w:proofErr w:type="gramEnd"/>
      <w:r w:rsidRPr="00C32A38">
        <w:rPr>
          <w:rFonts w:ascii="Century Gothic" w:hAnsi="Century Gothic" w:cs="Arial"/>
          <w:i/>
        </w:rPr>
        <w:t>, Febrero, Marzo, Abril y Mayo /97</w:t>
      </w:r>
    </w:p>
    <w:p w14:paraId="3CF15665" w14:textId="77777777" w:rsidR="00C32A38" w:rsidRPr="00C32A38" w:rsidRDefault="00C32A38" w:rsidP="00C32A38">
      <w:pPr>
        <w:spacing w:after="0" w:line="276" w:lineRule="auto"/>
        <w:ind w:left="567" w:right="567"/>
        <w:jc w:val="both"/>
        <w:rPr>
          <w:rFonts w:ascii="Century Gothic" w:hAnsi="Century Gothic" w:cs="Arial"/>
        </w:rPr>
      </w:pPr>
      <w:r w:rsidRPr="00C32A38">
        <w:rPr>
          <w:rFonts w:ascii="Century Gothic" w:hAnsi="Century Gothic" w:cs="Arial"/>
          <w:i/>
        </w:rPr>
        <w:lastRenderedPageBreak/>
        <w:tab/>
        <w:t xml:space="preserve">“3) </w:t>
      </w:r>
      <w:r w:rsidRPr="00C32A38">
        <w:rPr>
          <w:rFonts w:ascii="Century Gothic" w:hAnsi="Century Gothic" w:cs="Arial"/>
          <w:i/>
          <w:u w:val="single"/>
        </w:rPr>
        <w:t>A la fecha se adeuda a la Fiduciaria $11.</w:t>
      </w:r>
      <w:proofErr w:type="gramStart"/>
      <w:r w:rsidRPr="00C32A38">
        <w:rPr>
          <w:rFonts w:ascii="Century Gothic" w:hAnsi="Century Gothic" w:cs="Arial"/>
          <w:i/>
          <w:u w:val="single"/>
        </w:rPr>
        <w:t>753.000.oo</w:t>
      </w:r>
      <w:proofErr w:type="gramEnd"/>
      <w:r w:rsidRPr="00C32A38">
        <w:rPr>
          <w:rFonts w:ascii="Century Gothic" w:hAnsi="Century Gothic" w:cs="Arial"/>
          <w:i/>
          <w:u w:val="single"/>
        </w:rPr>
        <w:t>, por comisiones de Junio a Diciembre de 1997</w:t>
      </w:r>
      <w:r w:rsidRPr="00C32A38">
        <w:rPr>
          <w:rFonts w:ascii="Century Gothic" w:hAnsi="Century Gothic" w:cs="Arial"/>
          <w:b/>
          <w:i/>
          <w:u w:val="single"/>
        </w:rPr>
        <w:t xml:space="preserve"> </w:t>
      </w:r>
      <w:r w:rsidRPr="00C32A38">
        <w:rPr>
          <w:rFonts w:ascii="Century Gothic" w:hAnsi="Century Gothic" w:cs="Arial"/>
          <w:i/>
        </w:rPr>
        <w:t>(…)”</w:t>
      </w:r>
      <w:r w:rsidRPr="00C32A38">
        <w:rPr>
          <w:rFonts w:ascii="Century Gothic" w:hAnsi="Century Gothic" w:cs="Arial"/>
          <w:vertAlign w:val="superscript"/>
        </w:rPr>
        <w:footnoteReference w:id="80"/>
      </w:r>
      <w:r w:rsidRPr="00C32A38">
        <w:rPr>
          <w:rFonts w:ascii="Century Gothic" w:hAnsi="Century Gothic" w:cs="Arial"/>
          <w:i/>
        </w:rPr>
        <w:t xml:space="preserve"> </w:t>
      </w:r>
      <w:r w:rsidRPr="00C32A38">
        <w:rPr>
          <w:rFonts w:ascii="Century Gothic" w:hAnsi="Century Gothic" w:cs="Arial"/>
        </w:rPr>
        <w:t>(subrayado fuera del original).</w:t>
      </w:r>
    </w:p>
    <w:p w14:paraId="118C228E" w14:textId="77777777" w:rsidR="00C32A38" w:rsidRPr="00C32A38" w:rsidRDefault="00C32A38" w:rsidP="00C32A38">
      <w:pPr>
        <w:spacing w:after="0" w:line="360" w:lineRule="auto"/>
        <w:jc w:val="both"/>
        <w:rPr>
          <w:rFonts w:ascii="Century Gothic" w:hAnsi="Century Gothic" w:cs="Arial"/>
        </w:rPr>
      </w:pPr>
    </w:p>
    <w:p w14:paraId="48166E76"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De este modo se encuentra acreditado que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incumplió su obligación contractual de pagar las comisiones durante los meses de junio a diciembre de 1997 y así se dispondrá en la parte resolutiva de esta providencia.</w:t>
      </w:r>
    </w:p>
    <w:p w14:paraId="1F988CA5" w14:textId="77777777" w:rsidR="00C32A38" w:rsidRPr="00C32A38" w:rsidRDefault="00C32A38" w:rsidP="00C32A38">
      <w:pPr>
        <w:spacing w:after="0" w:line="360" w:lineRule="auto"/>
        <w:jc w:val="both"/>
        <w:rPr>
          <w:rFonts w:ascii="Century Gothic" w:hAnsi="Century Gothic" w:cs="Arial"/>
          <w:sz w:val="24"/>
          <w:szCs w:val="24"/>
          <w:lang w:val="es-ES"/>
        </w:rPr>
      </w:pPr>
    </w:p>
    <w:p w14:paraId="3A585F5F"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En las condiciones analizadas, y teniendo en cuenta cada una de las comisiones adeudadas (por mes), la Subsección procederá a reconocer tales valores actualizando cada una de las sumas, así:</w:t>
      </w:r>
    </w:p>
    <w:p w14:paraId="6B4F99A6" w14:textId="77777777" w:rsidR="00C32A38" w:rsidRPr="00C32A38" w:rsidRDefault="00C32A38" w:rsidP="00C32A38">
      <w:pPr>
        <w:spacing w:after="0" w:line="360" w:lineRule="auto"/>
        <w:jc w:val="both"/>
        <w:rPr>
          <w:rFonts w:ascii="Century Gothic" w:hAnsi="Century Gothic" w:cs="Arial"/>
          <w:sz w:val="24"/>
          <w:szCs w:val="24"/>
          <w:lang w:val="es-ES"/>
        </w:rPr>
      </w:pPr>
    </w:p>
    <w:p w14:paraId="67C662D9" w14:textId="77777777" w:rsidR="00C32A38" w:rsidRPr="00C32A38" w:rsidRDefault="00C32A38" w:rsidP="00C32A38">
      <w:pPr>
        <w:spacing w:after="0" w:line="240" w:lineRule="auto"/>
        <w:jc w:val="center"/>
        <w:rPr>
          <w:rFonts w:ascii="Century Gothic" w:hAnsi="Century Gothic" w:cs="Arial"/>
          <w:sz w:val="24"/>
          <w:szCs w:val="24"/>
        </w:rPr>
      </w:pPr>
      <w:r w:rsidRPr="00C32A38">
        <w:rPr>
          <w:rFonts w:ascii="Century Gothic" w:hAnsi="Century Gothic" w:cs="Arial"/>
          <w:sz w:val="24"/>
          <w:szCs w:val="24"/>
        </w:rPr>
        <w:t>Valor actualizado = Valor histórico x (</w:t>
      </w:r>
      <w:r w:rsidRPr="00C32A38">
        <w:rPr>
          <w:rFonts w:ascii="Century Gothic" w:hAnsi="Century Gothic" w:cs="Arial"/>
          <w:sz w:val="24"/>
          <w:szCs w:val="24"/>
          <w:u w:val="single"/>
        </w:rPr>
        <w:t>IPC final)</w:t>
      </w:r>
      <w:r w:rsidRPr="00C32A38">
        <w:rPr>
          <w:rFonts w:ascii="Century Gothic" w:hAnsi="Century Gothic" w:cs="Arial"/>
          <w:sz w:val="24"/>
          <w:szCs w:val="24"/>
          <w:u w:val="single"/>
          <w:vertAlign w:val="superscript"/>
        </w:rPr>
        <w:footnoteReference w:id="81"/>
      </w:r>
    </w:p>
    <w:p w14:paraId="40CB0E40" w14:textId="77777777" w:rsidR="00C32A38" w:rsidRPr="00C32A38" w:rsidRDefault="00C32A38" w:rsidP="00C32A38">
      <w:pPr>
        <w:spacing w:after="0" w:line="240" w:lineRule="auto"/>
        <w:ind w:left="4248"/>
        <w:jc w:val="center"/>
        <w:rPr>
          <w:rFonts w:ascii="Century Gothic" w:hAnsi="Century Gothic" w:cs="Arial"/>
          <w:sz w:val="24"/>
          <w:szCs w:val="24"/>
        </w:rPr>
      </w:pPr>
      <w:r w:rsidRPr="00C32A38">
        <w:rPr>
          <w:rFonts w:ascii="Century Gothic" w:hAnsi="Century Gothic" w:cs="Arial"/>
          <w:sz w:val="24"/>
          <w:szCs w:val="24"/>
        </w:rPr>
        <w:t xml:space="preserve">  (IPC inicial)</w:t>
      </w:r>
      <w:r w:rsidRPr="00C32A38">
        <w:rPr>
          <w:rFonts w:ascii="Century Gothic" w:hAnsi="Century Gothic" w:cs="Arial"/>
          <w:sz w:val="24"/>
          <w:szCs w:val="24"/>
          <w:vertAlign w:val="superscript"/>
        </w:rPr>
        <w:footnoteReference w:id="82"/>
      </w:r>
    </w:p>
    <w:p w14:paraId="48EE8AE9" w14:textId="77777777" w:rsidR="00C32A38" w:rsidRPr="00C32A38" w:rsidRDefault="00C32A38" w:rsidP="00C32A38">
      <w:pPr>
        <w:spacing w:after="0" w:line="360" w:lineRule="auto"/>
        <w:jc w:val="both"/>
        <w:rPr>
          <w:rFonts w:ascii="Century Gothic" w:hAnsi="Century Gothic" w:cs="Arial"/>
          <w:b/>
          <w:sz w:val="24"/>
          <w:szCs w:val="24"/>
        </w:rPr>
      </w:pPr>
    </w:p>
    <w:p w14:paraId="0253E870" w14:textId="77777777" w:rsidR="00C32A38" w:rsidRPr="00C32A38" w:rsidRDefault="00C32A38" w:rsidP="00C32A38">
      <w:pPr>
        <w:spacing w:after="0" w:line="360" w:lineRule="auto"/>
        <w:jc w:val="both"/>
        <w:rPr>
          <w:rFonts w:ascii="Century Gothic" w:hAnsi="Century Gothic" w:cs="Arial"/>
          <w:b/>
          <w:sz w:val="24"/>
          <w:szCs w:val="24"/>
        </w:rPr>
      </w:pPr>
      <w:r w:rsidRPr="00C32A38">
        <w:rPr>
          <w:rFonts w:ascii="Century Gothic" w:hAnsi="Century Gothic" w:cs="Arial"/>
          <w:b/>
          <w:sz w:val="24"/>
          <w:szCs w:val="24"/>
        </w:rPr>
        <w:t>Junio</w:t>
      </w:r>
    </w:p>
    <w:p w14:paraId="6808B15B" w14:textId="77777777" w:rsidR="00C32A38" w:rsidRPr="00C32A38" w:rsidRDefault="00C32A38" w:rsidP="00C32A38">
      <w:pPr>
        <w:shd w:val="clear" w:color="auto" w:fill="FFFFFF"/>
        <w:spacing w:after="0" w:line="240" w:lineRule="auto"/>
        <w:jc w:val="both"/>
        <w:rPr>
          <w:rFonts w:ascii="Century Gothic" w:eastAsia="Times New Roman" w:hAnsi="Century Gothic" w:cs="Calibri"/>
          <w:sz w:val="24"/>
          <w:szCs w:val="24"/>
          <w:lang w:eastAsia="es-CO"/>
        </w:rPr>
      </w:pPr>
      <w:r w:rsidRPr="00C32A38">
        <w:rPr>
          <w:rFonts w:ascii="Century Gothic" w:eastAsia="Times New Roman" w:hAnsi="Century Gothic" w:cs="Arial"/>
          <w:sz w:val="24"/>
          <w:szCs w:val="24"/>
          <w:lang w:eastAsia="es-CO"/>
        </w:rPr>
        <w:t>= V.H ($</w:t>
      </w:r>
      <w:r w:rsidRPr="00C32A38">
        <w:rPr>
          <w:rFonts w:ascii="Century Gothic" w:eastAsia="Times New Roman" w:hAnsi="Century Gothic" w:cs="Arial"/>
          <w:spacing w:val="-3"/>
          <w:sz w:val="24"/>
          <w:szCs w:val="24"/>
          <w:lang w:eastAsia="es-CO"/>
        </w:rPr>
        <w:t>1’679.000</w:t>
      </w:r>
      <w:r w:rsidRPr="00C32A38">
        <w:rPr>
          <w:rFonts w:ascii="Century Gothic" w:eastAsia="Times New Roman" w:hAnsi="Century Gothic" w:cs="Arial"/>
          <w:sz w:val="24"/>
          <w:szCs w:val="24"/>
          <w:lang w:eastAsia="es-CO"/>
        </w:rPr>
        <w:t xml:space="preserve">)     </w:t>
      </w:r>
      <w:r w:rsidRPr="00C32A38">
        <w:rPr>
          <w:rFonts w:ascii="Century Gothic" w:eastAsia="Times New Roman" w:hAnsi="Century Gothic" w:cs="Arial"/>
          <w:sz w:val="24"/>
          <w:szCs w:val="24"/>
          <w:u w:val="single"/>
          <w:lang w:eastAsia="es-CO"/>
        </w:rPr>
        <w:t>(102,12)</w:t>
      </w:r>
    </w:p>
    <w:p w14:paraId="3088D165" w14:textId="77777777" w:rsidR="00C32A38" w:rsidRPr="00C32A38" w:rsidRDefault="00C32A38" w:rsidP="00C32A38">
      <w:p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                             </w:t>
      </w:r>
      <w:r w:rsidRPr="00C32A38">
        <w:rPr>
          <w:rFonts w:ascii="Century Gothic" w:hAnsi="Century Gothic" w:cs="Arial"/>
          <w:sz w:val="24"/>
          <w:szCs w:val="24"/>
          <w:lang w:val="es-ES"/>
        </w:rPr>
        <w:tab/>
        <w:t xml:space="preserve">    (29,51)</w:t>
      </w:r>
    </w:p>
    <w:p w14:paraId="0BD5D84D" w14:textId="77777777" w:rsidR="00C32A38" w:rsidRPr="00C32A38" w:rsidRDefault="00C32A38" w:rsidP="00C32A38">
      <w:pPr>
        <w:spacing w:after="0" w:line="360" w:lineRule="auto"/>
        <w:jc w:val="both"/>
        <w:rPr>
          <w:rFonts w:ascii="Century Gothic" w:hAnsi="Century Gothic" w:cs="Arial"/>
          <w:sz w:val="24"/>
          <w:szCs w:val="24"/>
        </w:rPr>
      </w:pPr>
      <w:r w:rsidRPr="00C32A38">
        <w:rPr>
          <w:rFonts w:ascii="Century Gothic" w:hAnsi="Century Gothic" w:cs="Arial"/>
          <w:sz w:val="24"/>
          <w:szCs w:val="24"/>
        </w:rPr>
        <w:t>V.A = $5’810.216</w:t>
      </w:r>
    </w:p>
    <w:p w14:paraId="25D7B5D3" w14:textId="77777777" w:rsidR="00C32A38" w:rsidRPr="00C32A38" w:rsidRDefault="00C32A38" w:rsidP="00C32A38">
      <w:pPr>
        <w:spacing w:after="0" w:line="360" w:lineRule="auto"/>
        <w:jc w:val="both"/>
        <w:rPr>
          <w:rFonts w:ascii="Century Gothic" w:hAnsi="Century Gothic" w:cs="Arial"/>
          <w:b/>
          <w:sz w:val="24"/>
          <w:szCs w:val="24"/>
        </w:rPr>
      </w:pPr>
      <w:r w:rsidRPr="00C32A38">
        <w:rPr>
          <w:rFonts w:ascii="Century Gothic" w:hAnsi="Century Gothic" w:cs="Arial"/>
          <w:b/>
          <w:sz w:val="24"/>
          <w:szCs w:val="24"/>
        </w:rPr>
        <w:t>Julio</w:t>
      </w:r>
      <w:r w:rsidRPr="00C32A38">
        <w:rPr>
          <w:rFonts w:ascii="Century Gothic" w:hAnsi="Century Gothic" w:cs="Arial"/>
          <w:sz w:val="24"/>
          <w:szCs w:val="24"/>
        </w:rPr>
        <w:tab/>
      </w:r>
    </w:p>
    <w:p w14:paraId="5F672DCD" w14:textId="77777777" w:rsidR="00C32A38" w:rsidRPr="00C32A38" w:rsidRDefault="00C32A38" w:rsidP="00C32A38">
      <w:pPr>
        <w:spacing w:after="0" w:line="240" w:lineRule="auto"/>
        <w:jc w:val="both"/>
        <w:rPr>
          <w:rFonts w:ascii="Century Gothic" w:eastAsia="Times New Roman" w:hAnsi="Century Gothic" w:cs="Calibri"/>
          <w:sz w:val="24"/>
          <w:szCs w:val="24"/>
          <w:lang w:eastAsia="es-CO"/>
        </w:rPr>
      </w:pPr>
      <w:r w:rsidRPr="00C32A38">
        <w:rPr>
          <w:rFonts w:ascii="Century Gothic" w:eastAsia="Times New Roman" w:hAnsi="Century Gothic" w:cs="Arial"/>
          <w:sz w:val="24"/>
          <w:szCs w:val="24"/>
          <w:lang w:eastAsia="es-CO"/>
        </w:rPr>
        <w:t>= V.H ($</w:t>
      </w:r>
      <w:r w:rsidRPr="00C32A38">
        <w:rPr>
          <w:rFonts w:ascii="Century Gothic" w:eastAsia="Times New Roman" w:hAnsi="Century Gothic" w:cs="Arial"/>
          <w:spacing w:val="-3"/>
          <w:sz w:val="24"/>
          <w:szCs w:val="24"/>
          <w:lang w:eastAsia="es-CO"/>
        </w:rPr>
        <w:t>1’679.000</w:t>
      </w:r>
      <w:r w:rsidRPr="00C32A38">
        <w:rPr>
          <w:rFonts w:ascii="Century Gothic" w:eastAsia="Times New Roman" w:hAnsi="Century Gothic" w:cs="Arial"/>
          <w:sz w:val="24"/>
          <w:szCs w:val="24"/>
          <w:lang w:eastAsia="es-CO"/>
        </w:rPr>
        <w:t xml:space="preserve">)     </w:t>
      </w:r>
      <w:r w:rsidRPr="00C32A38">
        <w:rPr>
          <w:rFonts w:ascii="Century Gothic" w:eastAsia="Times New Roman" w:hAnsi="Century Gothic" w:cs="Arial"/>
          <w:sz w:val="24"/>
          <w:szCs w:val="24"/>
          <w:u w:val="single"/>
          <w:lang w:eastAsia="es-CO"/>
        </w:rPr>
        <w:t>(102,12)</w:t>
      </w:r>
    </w:p>
    <w:p w14:paraId="1454FCA0" w14:textId="77777777" w:rsidR="00C32A38" w:rsidRPr="00C32A38" w:rsidRDefault="00C32A38" w:rsidP="00C32A38">
      <w:p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                             </w:t>
      </w:r>
      <w:r w:rsidRPr="00C32A38">
        <w:rPr>
          <w:rFonts w:ascii="Century Gothic" w:hAnsi="Century Gothic" w:cs="Arial"/>
          <w:sz w:val="24"/>
          <w:szCs w:val="24"/>
          <w:lang w:val="es-ES"/>
        </w:rPr>
        <w:tab/>
        <w:t xml:space="preserve">    (29,75)</w:t>
      </w:r>
    </w:p>
    <w:p w14:paraId="1B6C2FDD" w14:textId="77777777" w:rsidR="00C32A38" w:rsidRPr="00C32A38" w:rsidRDefault="00C32A38" w:rsidP="00C32A38">
      <w:pPr>
        <w:spacing w:after="0" w:line="360" w:lineRule="auto"/>
        <w:jc w:val="both"/>
        <w:rPr>
          <w:rFonts w:ascii="Century Gothic" w:hAnsi="Century Gothic" w:cs="Arial"/>
          <w:sz w:val="24"/>
          <w:szCs w:val="24"/>
        </w:rPr>
      </w:pPr>
      <w:r w:rsidRPr="00C32A38">
        <w:rPr>
          <w:rFonts w:ascii="Century Gothic" w:hAnsi="Century Gothic" w:cs="Arial"/>
          <w:sz w:val="24"/>
          <w:szCs w:val="24"/>
        </w:rPr>
        <w:t>V.A = $5’763.343</w:t>
      </w:r>
    </w:p>
    <w:p w14:paraId="2074EB6F" w14:textId="77777777" w:rsidR="00C32A38" w:rsidRPr="00C32A38" w:rsidRDefault="00C32A38" w:rsidP="00C32A38">
      <w:pPr>
        <w:spacing w:after="0" w:line="360" w:lineRule="auto"/>
        <w:jc w:val="both"/>
        <w:rPr>
          <w:rFonts w:ascii="Century Gothic" w:hAnsi="Century Gothic" w:cs="Arial"/>
          <w:b/>
          <w:sz w:val="24"/>
          <w:szCs w:val="24"/>
        </w:rPr>
      </w:pPr>
      <w:r w:rsidRPr="00C32A38">
        <w:rPr>
          <w:rFonts w:ascii="Century Gothic" w:hAnsi="Century Gothic" w:cs="Arial"/>
          <w:b/>
          <w:sz w:val="24"/>
          <w:szCs w:val="24"/>
        </w:rPr>
        <w:t>Agosto</w:t>
      </w:r>
    </w:p>
    <w:p w14:paraId="4078B301" w14:textId="77777777" w:rsidR="00C32A38" w:rsidRPr="00C32A38" w:rsidRDefault="00C32A38" w:rsidP="00C32A38">
      <w:pPr>
        <w:spacing w:after="0" w:line="240" w:lineRule="auto"/>
        <w:jc w:val="both"/>
        <w:rPr>
          <w:rFonts w:ascii="Century Gothic" w:eastAsia="Times New Roman" w:hAnsi="Century Gothic" w:cs="Calibri"/>
          <w:sz w:val="24"/>
          <w:szCs w:val="24"/>
          <w:lang w:eastAsia="es-CO"/>
        </w:rPr>
      </w:pPr>
      <w:r w:rsidRPr="00C32A38">
        <w:rPr>
          <w:rFonts w:ascii="Century Gothic" w:eastAsia="Times New Roman" w:hAnsi="Century Gothic" w:cs="Arial"/>
          <w:sz w:val="24"/>
          <w:szCs w:val="24"/>
          <w:lang w:eastAsia="es-CO"/>
        </w:rPr>
        <w:t>= V.H ($</w:t>
      </w:r>
      <w:r w:rsidRPr="00C32A38">
        <w:rPr>
          <w:rFonts w:ascii="Century Gothic" w:eastAsia="Times New Roman" w:hAnsi="Century Gothic" w:cs="Arial"/>
          <w:spacing w:val="-3"/>
          <w:sz w:val="24"/>
          <w:szCs w:val="24"/>
          <w:lang w:eastAsia="es-CO"/>
        </w:rPr>
        <w:t>1’679.000</w:t>
      </w:r>
      <w:r w:rsidRPr="00C32A38">
        <w:rPr>
          <w:rFonts w:ascii="Century Gothic" w:eastAsia="Times New Roman" w:hAnsi="Century Gothic" w:cs="Arial"/>
          <w:sz w:val="24"/>
          <w:szCs w:val="24"/>
          <w:lang w:eastAsia="es-CO"/>
        </w:rPr>
        <w:t xml:space="preserve">)     </w:t>
      </w:r>
      <w:r w:rsidRPr="00C32A38">
        <w:rPr>
          <w:rFonts w:ascii="Century Gothic" w:eastAsia="Times New Roman" w:hAnsi="Century Gothic" w:cs="Arial"/>
          <w:sz w:val="24"/>
          <w:szCs w:val="24"/>
          <w:u w:val="single"/>
          <w:lang w:eastAsia="es-CO"/>
        </w:rPr>
        <w:t>(102,12)</w:t>
      </w:r>
    </w:p>
    <w:p w14:paraId="7177F13F" w14:textId="77777777" w:rsidR="00C32A38" w:rsidRPr="00C32A38" w:rsidRDefault="00C32A38" w:rsidP="00C32A38">
      <w:p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                             </w:t>
      </w:r>
      <w:r w:rsidRPr="00C32A38">
        <w:rPr>
          <w:rFonts w:ascii="Century Gothic" w:hAnsi="Century Gothic" w:cs="Arial"/>
          <w:sz w:val="24"/>
          <w:szCs w:val="24"/>
          <w:lang w:val="es-ES"/>
        </w:rPr>
        <w:tab/>
        <w:t xml:space="preserve">    (30,10)</w:t>
      </w:r>
    </w:p>
    <w:p w14:paraId="216EED75" w14:textId="77777777" w:rsidR="00C32A38" w:rsidRPr="00C32A38" w:rsidRDefault="00C32A38" w:rsidP="00C32A38">
      <w:pPr>
        <w:spacing w:after="0" w:line="360" w:lineRule="auto"/>
        <w:jc w:val="both"/>
        <w:rPr>
          <w:rFonts w:ascii="Century Gothic" w:hAnsi="Century Gothic" w:cs="Arial"/>
          <w:sz w:val="24"/>
          <w:szCs w:val="24"/>
        </w:rPr>
      </w:pPr>
      <w:r w:rsidRPr="00C32A38">
        <w:rPr>
          <w:rFonts w:ascii="Century Gothic" w:hAnsi="Century Gothic" w:cs="Arial"/>
          <w:sz w:val="24"/>
          <w:szCs w:val="24"/>
        </w:rPr>
        <w:t>V.A = $5’696.328</w:t>
      </w:r>
    </w:p>
    <w:p w14:paraId="379866D0" w14:textId="77777777" w:rsidR="00C32A38" w:rsidRPr="00C32A38" w:rsidRDefault="00C32A38" w:rsidP="00C32A38">
      <w:pPr>
        <w:spacing w:after="0" w:line="360" w:lineRule="auto"/>
        <w:jc w:val="both"/>
        <w:rPr>
          <w:rFonts w:ascii="Century Gothic" w:hAnsi="Century Gothic" w:cs="Arial"/>
          <w:b/>
          <w:sz w:val="24"/>
          <w:szCs w:val="24"/>
        </w:rPr>
      </w:pPr>
      <w:r w:rsidRPr="00C32A38">
        <w:rPr>
          <w:rFonts w:ascii="Century Gothic" w:hAnsi="Century Gothic" w:cs="Arial"/>
          <w:b/>
          <w:sz w:val="24"/>
          <w:szCs w:val="24"/>
        </w:rPr>
        <w:t>Septiembre</w:t>
      </w:r>
    </w:p>
    <w:p w14:paraId="6CAD1413" w14:textId="77777777" w:rsidR="00C32A38" w:rsidRPr="00C32A38" w:rsidRDefault="00C32A38" w:rsidP="00C32A38">
      <w:pPr>
        <w:spacing w:after="0" w:line="240" w:lineRule="auto"/>
        <w:jc w:val="both"/>
        <w:rPr>
          <w:rFonts w:ascii="Century Gothic" w:eastAsia="Times New Roman" w:hAnsi="Century Gothic" w:cs="Calibri"/>
          <w:sz w:val="24"/>
          <w:szCs w:val="24"/>
          <w:lang w:eastAsia="es-CO"/>
        </w:rPr>
      </w:pPr>
      <w:r w:rsidRPr="00C32A38">
        <w:rPr>
          <w:rFonts w:ascii="Century Gothic" w:eastAsia="Times New Roman" w:hAnsi="Century Gothic" w:cs="Arial"/>
          <w:sz w:val="24"/>
          <w:szCs w:val="24"/>
          <w:lang w:eastAsia="es-CO"/>
        </w:rPr>
        <w:t>= V.H ($</w:t>
      </w:r>
      <w:r w:rsidRPr="00C32A38">
        <w:rPr>
          <w:rFonts w:ascii="Century Gothic" w:eastAsia="Times New Roman" w:hAnsi="Century Gothic" w:cs="Arial"/>
          <w:spacing w:val="-3"/>
          <w:sz w:val="24"/>
          <w:szCs w:val="24"/>
          <w:lang w:eastAsia="es-CO"/>
        </w:rPr>
        <w:t>1’679.000</w:t>
      </w:r>
      <w:r w:rsidRPr="00C32A38">
        <w:rPr>
          <w:rFonts w:ascii="Century Gothic" w:eastAsia="Times New Roman" w:hAnsi="Century Gothic" w:cs="Arial"/>
          <w:sz w:val="24"/>
          <w:szCs w:val="24"/>
          <w:lang w:eastAsia="es-CO"/>
        </w:rPr>
        <w:t xml:space="preserve">)     </w:t>
      </w:r>
      <w:r w:rsidRPr="00C32A38">
        <w:rPr>
          <w:rFonts w:ascii="Century Gothic" w:eastAsia="Times New Roman" w:hAnsi="Century Gothic" w:cs="Arial"/>
          <w:sz w:val="24"/>
          <w:szCs w:val="24"/>
          <w:u w:val="single"/>
          <w:lang w:eastAsia="es-CO"/>
        </w:rPr>
        <w:t>(102,12)</w:t>
      </w:r>
    </w:p>
    <w:p w14:paraId="46E806ED" w14:textId="77777777" w:rsidR="00C32A38" w:rsidRPr="00C32A38" w:rsidRDefault="00C32A38" w:rsidP="00C32A38">
      <w:p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                             </w:t>
      </w:r>
      <w:r w:rsidRPr="00C32A38">
        <w:rPr>
          <w:rFonts w:ascii="Century Gothic" w:hAnsi="Century Gothic" w:cs="Arial"/>
          <w:sz w:val="24"/>
          <w:szCs w:val="24"/>
          <w:lang w:val="es-ES"/>
        </w:rPr>
        <w:tab/>
        <w:t xml:space="preserve">    (30,48)</w:t>
      </w:r>
    </w:p>
    <w:p w14:paraId="4E5E8CD6" w14:textId="77777777" w:rsidR="00C32A38" w:rsidRPr="00C32A38" w:rsidRDefault="00C32A38" w:rsidP="00C32A38">
      <w:pPr>
        <w:spacing w:after="0" w:line="360" w:lineRule="auto"/>
        <w:jc w:val="both"/>
        <w:rPr>
          <w:rFonts w:ascii="Century Gothic" w:hAnsi="Century Gothic" w:cs="Arial"/>
          <w:sz w:val="24"/>
          <w:szCs w:val="24"/>
        </w:rPr>
      </w:pPr>
      <w:r w:rsidRPr="00C32A38">
        <w:rPr>
          <w:rFonts w:ascii="Century Gothic" w:hAnsi="Century Gothic" w:cs="Arial"/>
          <w:sz w:val="24"/>
          <w:szCs w:val="24"/>
        </w:rPr>
        <w:t>V.A = $5’625.311</w:t>
      </w:r>
    </w:p>
    <w:p w14:paraId="1C4DC64F" w14:textId="77777777" w:rsidR="00C32A38" w:rsidRPr="00C32A38" w:rsidRDefault="00C32A38" w:rsidP="00C32A38">
      <w:pPr>
        <w:spacing w:after="0" w:line="360" w:lineRule="auto"/>
        <w:jc w:val="both"/>
        <w:rPr>
          <w:rFonts w:ascii="Century Gothic" w:hAnsi="Century Gothic" w:cs="Arial"/>
          <w:b/>
          <w:sz w:val="24"/>
          <w:szCs w:val="24"/>
        </w:rPr>
      </w:pPr>
      <w:r w:rsidRPr="00C32A38">
        <w:rPr>
          <w:rFonts w:ascii="Century Gothic" w:hAnsi="Century Gothic" w:cs="Arial"/>
          <w:b/>
          <w:sz w:val="24"/>
          <w:szCs w:val="24"/>
        </w:rPr>
        <w:t>Octubre</w:t>
      </w:r>
    </w:p>
    <w:p w14:paraId="6EBD92FF" w14:textId="77777777" w:rsidR="00C32A38" w:rsidRPr="00C32A38" w:rsidRDefault="00C32A38" w:rsidP="00C32A38">
      <w:pPr>
        <w:spacing w:after="0" w:line="240" w:lineRule="auto"/>
        <w:jc w:val="both"/>
        <w:rPr>
          <w:rFonts w:ascii="Century Gothic" w:eastAsia="Times New Roman" w:hAnsi="Century Gothic" w:cs="Calibri"/>
          <w:sz w:val="24"/>
          <w:szCs w:val="24"/>
          <w:lang w:eastAsia="es-CO"/>
        </w:rPr>
      </w:pPr>
      <w:r w:rsidRPr="00C32A38">
        <w:rPr>
          <w:rFonts w:ascii="Century Gothic" w:eastAsia="Times New Roman" w:hAnsi="Century Gothic" w:cs="Arial"/>
          <w:sz w:val="24"/>
          <w:szCs w:val="24"/>
          <w:lang w:eastAsia="es-CO"/>
        </w:rPr>
        <w:t>= V.H ($</w:t>
      </w:r>
      <w:r w:rsidRPr="00C32A38">
        <w:rPr>
          <w:rFonts w:ascii="Century Gothic" w:eastAsia="Times New Roman" w:hAnsi="Century Gothic" w:cs="Arial"/>
          <w:spacing w:val="-3"/>
          <w:sz w:val="24"/>
          <w:szCs w:val="24"/>
          <w:lang w:eastAsia="es-CO"/>
        </w:rPr>
        <w:t>1’679.000</w:t>
      </w:r>
      <w:r w:rsidRPr="00C32A38">
        <w:rPr>
          <w:rFonts w:ascii="Century Gothic" w:eastAsia="Times New Roman" w:hAnsi="Century Gothic" w:cs="Arial"/>
          <w:sz w:val="24"/>
          <w:szCs w:val="24"/>
          <w:lang w:eastAsia="es-CO"/>
        </w:rPr>
        <w:t xml:space="preserve">)     </w:t>
      </w:r>
      <w:r w:rsidRPr="00C32A38">
        <w:rPr>
          <w:rFonts w:ascii="Century Gothic" w:eastAsia="Times New Roman" w:hAnsi="Century Gothic" w:cs="Arial"/>
          <w:sz w:val="24"/>
          <w:szCs w:val="24"/>
          <w:u w:val="single"/>
          <w:lang w:eastAsia="es-CO"/>
        </w:rPr>
        <w:t>(102,12)</w:t>
      </w:r>
    </w:p>
    <w:p w14:paraId="79BD39B8" w14:textId="77777777" w:rsidR="00C32A38" w:rsidRPr="00C32A38" w:rsidRDefault="00C32A38" w:rsidP="00C32A38">
      <w:p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                             </w:t>
      </w:r>
      <w:r w:rsidRPr="00C32A38">
        <w:rPr>
          <w:rFonts w:ascii="Century Gothic" w:hAnsi="Century Gothic" w:cs="Arial"/>
          <w:sz w:val="24"/>
          <w:szCs w:val="24"/>
          <w:lang w:val="es-ES"/>
        </w:rPr>
        <w:tab/>
        <w:t xml:space="preserve">    (30,78)</w:t>
      </w:r>
    </w:p>
    <w:p w14:paraId="6B5C3610" w14:textId="77777777" w:rsidR="00C32A38" w:rsidRPr="00C32A38" w:rsidRDefault="00C32A38" w:rsidP="00C32A38">
      <w:pPr>
        <w:spacing w:after="0" w:line="360" w:lineRule="auto"/>
        <w:jc w:val="both"/>
        <w:rPr>
          <w:rFonts w:ascii="Century Gothic" w:hAnsi="Century Gothic" w:cs="Arial"/>
          <w:sz w:val="24"/>
          <w:szCs w:val="24"/>
        </w:rPr>
      </w:pPr>
      <w:r w:rsidRPr="00C32A38">
        <w:rPr>
          <w:rFonts w:ascii="Century Gothic" w:hAnsi="Century Gothic" w:cs="Arial"/>
          <w:sz w:val="24"/>
          <w:szCs w:val="24"/>
        </w:rPr>
        <w:lastRenderedPageBreak/>
        <w:t>V.A = $5’570.483</w:t>
      </w:r>
    </w:p>
    <w:p w14:paraId="4B92E525" w14:textId="77777777" w:rsidR="00C32A38" w:rsidRPr="00C32A38" w:rsidRDefault="00C32A38" w:rsidP="00C32A38">
      <w:pPr>
        <w:spacing w:after="0" w:line="360" w:lineRule="auto"/>
        <w:jc w:val="both"/>
        <w:rPr>
          <w:rFonts w:ascii="Century Gothic" w:hAnsi="Century Gothic" w:cs="Arial"/>
          <w:b/>
          <w:sz w:val="24"/>
          <w:szCs w:val="24"/>
        </w:rPr>
      </w:pPr>
      <w:r w:rsidRPr="00C32A38">
        <w:rPr>
          <w:rFonts w:ascii="Century Gothic" w:hAnsi="Century Gothic" w:cs="Arial"/>
          <w:b/>
          <w:sz w:val="24"/>
          <w:szCs w:val="24"/>
        </w:rPr>
        <w:t>Noviembre</w:t>
      </w:r>
    </w:p>
    <w:p w14:paraId="5D6D947B" w14:textId="77777777" w:rsidR="00C32A38" w:rsidRPr="00C32A38" w:rsidRDefault="00C32A38" w:rsidP="00C32A38">
      <w:pPr>
        <w:spacing w:after="0" w:line="240" w:lineRule="auto"/>
        <w:jc w:val="both"/>
        <w:rPr>
          <w:rFonts w:ascii="Century Gothic" w:eastAsia="Times New Roman" w:hAnsi="Century Gothic" w:cs="Calibri"/>
          <w:sz w:val="24"/>
          <w:szCs w:val="24"/>
          <w:lang w:eastAsia="es-CO"/>
        </w:rPr>
      </w:pPr>
      <w:r w:rsidRPr="00C32A38">
        <w:rPr>
          <w:rFonts w:ascii="Century Gothic" w:eastAsia="Times New Roman" w:hAnsi="Century Gothic" w:cs="Arial"/>
          <w:sz w:val="24"/>
          <w:szCs w:val="24"/>
          <w:lang w:eastAsia="es-CO"/>
        </w:rPr>
        <w:t>= V.H ($</w:t>
      </w:r>
      <w:r w:rsidRPr="00C32A38">
        <w:rPr>
          <w:rFonts w:ascii="Century Gothic" w:eastAsia="Times New Roman" w:hAnsi="Century Gothic" w:cs="Arial"/>
          <w:spacing w:val="-3"/>
          <w:sz w:val="24"/>
          <w:szCs w:val="24"/>
          <w:lang w:eastAsia="es-CO"/>
        </w:rPr>
        <w:t>1’679.000</w:t>
      </w:r>
      <w:r w:rsidRPr="00C32A38">
        <w:rPr>
          <w:rFonts w:ascii="Century Gothic" w:eastAsia="Times New Roman" w:hAnsi="Century Gothic" w:cs="Arial"/>
          <w:sz w:val="24"/>
          <w:szCs w:val="24"/>
          <w:lang w:eastAsia="es-CO"/>
        </w:rPr>
        <w:t xml:space="preserve">)     </w:t>
      </w:r>
      <w:r w:rsidRPr="00C32A38">
        <w:rPr>
          <w:rFonts w:ascii="Century Gothic" w:eastAsia="Times New Roman" w:hAnsi="Century Gothic" w:cs="Arial"/>
          <w:sz w:val="24"/>
          <w:szCs w:val="24"/>
          <w:u w:val="single"/>
          <w:lang w:eastAsia="es-CO"/>
        </w:rPr>
        <w:t>(102,12)</w:t>
      </w:r>
    </w:p>
    <w:p w14:paraId="4FE61CEE" w14:textId="77777777" w:rsidR="00C32A38" w:rsidRPr="00C32A38" w:rsidRDefault="00C32A38" w:rsidP="00C32A38">
      <w:p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                             </w:t>
      </w:r>
      <w:r w:rsidRPr="00C32A38">
        <w:rPr>
          <w:rFonts w:ascii="Century Gothic" w:hAnsi="Century Gothic" w:cs="Arial"/>
          <w:sz w:val="24"/>
          <w:szCs w:val="24"/>
          <w:lang w:val="es-ES"/>
        </w:rPr>
        <w:tab/>
        <w:t xml:space="preserve">    (31,02)</w:t>
      </w:r>
    </w:p>
    <w:p w14:paraId="49F0C607" w14:textId="77777777" w:rsidR="00C32A38" w:rsidRPr="00C32A38" w:rsidRDefault="00C32A38" w:rsidP="00C32A38">
      <w:pPr>
        <w:spacing w:after="0" w:line="360" w:lineRule="auto"/>
        <w:jc w:val="both"/>
        <w:rPr>
          <w:rFonts w:ascii="Century Gothic" w:hAnsi="Century Gothic" w:cs="Arial"/>
          <w:sz w:val="24"/>
          <w:szCs w:val="24"/>
        </w:rPr>
      </w:pPr>
      <w:r w:rsidRPr="00C32A38">
        <w:rPr>
          <w:rFonts w:ascii="Century Gothic" w:hAnsi="Century Gothic" w:cs="Arial"/>
          <w:sz w:val="24"/>
          <w:szCs w:val="24"/>
        </w:rPr>
        <w:t>V.A = $5’527.384</w:t>
      </w:r>
    </w:p>
    <w:p w14:paraId="34E9E624" w14:textId="77777777" w:rsidR="00C32A38" w:rsidRPr="00C32A38" w:rsidRDefault="00C32A38" w:rsidP="00C32A38">
      <w:pPr>
        <w:spacing w:after="0" w:line="360" w:lineRule="auto"/>
        <w:jc w:val="both"/>
        <w:rPr>
          <w:rFonts w:ascii="Century Gothic" w:hAnsi="Century Gothic" w:cs="Arial"/>
          <w:b/>
          <w:sz w:val="24"/>
          <w:szCs w:val="24"/>
        </w:rPr>
      </w:pPr>
      <w:r w:rsidRPr="00C32A38">
        <w:rPr>
          <w:rFonts w:ascii="Century Gothic" w:hAnsi="Century Gothic" w:cs="Arial"/>
          <w:b/>
          <w:sz w:val="24"/>
          <w:szCs w:val="24"/>
        </w:rPr>
        <w:t>Diciembre</w:t>
      </w:r>
    </w:p>
    <w:p w14:paraId="0C2EC6A0" w14:textId="77777777" w:rsidR="00C32A38" w:rsidRPr="00C32A38" w:rsidRDefault="00C32A38" w:rsidP="00C32A38">
      <w:pPr>
        <w:spacing w:after="0" w:line="240" w:lineRule="auto"/>
        <w:jc w:val="both"/>
        <w:rPr>
          <w:rFonts w:ascii="Century Gothic" w:eastAsia="Times New Roman" w:hAnsi="Century Gothic" w:cs="Calibri"/>
          <w:sz w:val="24"/>
          <w:szCs w:val="24"/>
          <w:lang w:eastAsia="es-CO"/>
        </w:rPr>
      </w:pPr>
      <w:r w:rsidRPr="00C32A38">
        <w:rPr>
          <w:rFonts w:ascii="Century Gothic" w:eastAsia="Times New Roman" w:hAnsi="Century Gothic" w:cs="Arial"/>
          <w:sz w:val="24"/>
          <w:szCs w:val="24"/>
          <w:lang w:eastAsia="es-CO"/>
        </w:rPr>
        <w:t>= V.H ($</w:t>
      </w:r>
      <w:r w:rsidRPr="00C32A38">
        <w:rPr>
          <w:rFonts w:ascii="Century Gothic" w:eastAsia="Times New Roman" w:hAnsi="Century Gothic" w:cs="Arial"/>
          <w:spacing w:val="-3"/>
          <w:sz w:val="24"/>
          <w:szCs w:val="24"/>
          <w:lang w:eastAsia="es-CO"/>
        </w:rPr>
        <w:t>1’679.000</w:t>
      </w:r>
      <w:r w:rsidRPr="00C32A38">
        <w:rPr>
          <w:rFonts w:ascii="Century Gothic" w:eastAsia="Times New Roman" w:hAnsi="Century Gothic" w:cs="Arial"/>
          <w:sz w:val="24"/>
          <w:szCs w:val="24"/>
          <w:lang w:eastAsia="es-CO"/>
        </w:rPr>
        <w:t xml:space="preserve">)     </w:t>
      </w:r>
      <w:r w:rsidRPr="00C32A38">
        <w:rPr>
          <w:rFonts w:ascii="Century Gothic" w:eastAsia="Times New Roman" w:hAnsi="Century Gothic" w:cs="Arial"/>
          <w:sz w:val="24"/>
          <w:szCs w:val="24"/>
          <w:u w:val="single"/>
          <w:lang w:eastAsia="es-CO"/>
        </w:rPr>
        <w:t>(102,12)</w:t>
      </w:r>
    </w:p>
    <w:p w14:paraId="7986AFE7" w14:textId="77777777" w:rsidR="00C32A38" w:rsidRPr="00C32A38" w:rsidRDefault="00C32A38" w:rsidP="00C32A38">
      <w:p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                             </w:t>
      </w:r>
      <w:r w:rsidRPr="00C32A38">
        <w:rPr>
          <w:rFonts w:ascii="Century Gothic" w:hAnsi="Century Gothic" w:cs="Arial"/>
          <w:sz w:val="24"/>
          <w:szCs w:val="24"/>
          <w:lang w:val="es-ES"/>
        </w:rPr>
        <w:tab/>
        <w:t xml:space="preserve">    (31,21)</w:t>
      </w:r>
    </w:p>
    <w:p w14:paraId="3F173192" w14:textId="77777777" w:rsidR="00C32A38" w:rsidRPr="00C32A38" w:rsidRDefault="00C32A38" w:rsidP="00C32A38">
      <w:pPr>
        <w:spacing w:after="0" w:line="360" w:lineRule="auto"/>
        <w:jc w:val="both"/>
        <w:rPr>
          <w:rFonts w:ascii="Century Gothic" w:hAnsi="Century Gothic" w:cs="Arial"/>
          <w:sz w:val="24"/>
          <w:szCs w:val="24"/>
        </w:rPr>
      </w:pPr>
      <w:r w:rsidRPr="00C32A38">
        <w:rPr>
          <w:rFonts w:ascii="Century Gothic" w:hAnsi="Century Gothic" w:cs="Arial"/>
          <w:sz w:val="24"/>
          <w:szCs w:val="24"/>
        </w:rPr>
        <w:t>V.A = $5’493.735</w:t>
      </w:r>
    </w:p>
    <w:p w14:paraId="77D5833B" w14:textId="77777777" w:rsidR="00C32A38" w:rsidRPr="00C32A38" w:rsidRDefault="00C32A38" w:rsidP="00C32A38">
      <w:pPr>
        <w:spacing w:after="0" w:line="360" w:lineRule="auto"/>
        <w:jc w:val="both"/>
        <w:rPr>
          <w:rFonts w:ascii="Century Gothic" w:hAnsi="Century Gothic" w:cs="Arial"/>
          <w:b/>
          <w:sz w:val="24"/>
          <w:szCs w:val="24"/>
        </w:rPr>
      </w:pPr>
    </w:p>
    <w:p w14:paraId="55185C6D" w14:textId="77777777" w:rsidR="00C32A38" w:rsidRPr="00C32A38" w:rsidRDefault="00C32A38" w:rsidP="00C32A38">
      <w:pPr>
        <w:spacing w:after="0" w:line="360" w:lineRule="auto"/>
        <w:jc w:val="both"/>
        <w:rPr>
          <w:rFonts w:ascii="Century Gothic" w:hAnsi="Century Gothic" w:cs="Arial"/>
          <w:sz w:val="24"/>
          <w:szCs w:val="24"/>
        </w:rPr>
      </w:pPr>
      <w:r w:rsidRPr="00C32A38">
        <w:rPr>
          <w:rFonts w:ascii="Century Gothic" w:hAnsi="Century Gothic" w:cs="Arial"/>
          <w:b/>
          <w:sz w:val="24"/>
          <w:szCs w:val="24"/>
        </w:rPr>
        <w:t xml:space="preserve">Total comisiones adeudadas V.A. = </w:t>
      </w:r>
      <w:r w:rsidRPr="00C32A38">
        <w:rPr>
          <w:rFonts w:ascii="Century Gothic" w:hAnsi="Century Gothic" w:cs="Arial"/>
          <w:sz w:val="24"/>
          <w:szCs w:val="24"/>
        </w:rPr>
        <w:t>$</w:t>
      </w:r>
      <w:r w:rsidRPr="00C32A38">
        <w:rPr>
          <w:rFonts w:ascii="Century Gothic" w:hAnsi="Century Gothic" w:cs="Arial"/>
          <w:b/>
          <w:sz w:val="24"/>
          <w:szCs w:val="24"/>
        </w:rPr>
        <w:t xml:space="preserve"> </w:t>
      </w:r>
      <w:r w:rsidRPr="00C32A38">
        <w:rPr>
          <w:rFonts w:ascii="Century Gothic" w:hAnsi="Century Gothic" w:cs="Arial"/>
          <w:sz w:val="24"/>
          <w:szCs w:val="24"/>
        </w:rPr>
        <w:t>39’486.800</w:t>
      </w:r>
    </w:p>
    <w:p w14:paraId="229EB451" w14:textId="77777777" w:rsidR="00C32A38" w:rsidRPr="00C32A38" w:rsidRDefault="00C32A38" w:rsidP="00C32A38">
      <w:pPr>
        <w:spacing w:after="0" w:line="240" w:lineRule="auto"/>
        <w:jc w:val="both"/>
        <w:rPr>
          <w:rFonts w:ascii="Century Gothic" w:hAnsi="Century Gothic" w:cs="Arial"/>
          <w:b/>
          <w:sz w:val="24"/>
          <w:szCs w:val="24"/>
        </w:rPr>
      </w:pPr>
    </w:p>
    <w:p w14:paraId="3D783E6C" w14:textId="77777777" w:rsidR="00C32A38" w:rsidRPr="00C32A38" w:rsidRDefault="00C32A38" w:rsidP="00C32A38">
      <w:pPr>
        <w:spacing w:after="0" w:line="360" w:lineRule="auto"/>
        <w:jc w:val="both"/>
        <w:rPr>
          <w:rFonts w:ascii="Century Gothic" w:hAnsi="Century Gothic" w:cs="Arial"/>
          <w:b/>
          <w:sz w:val="24"/>
          <w:szCs w:val="24"/>
        </w:rPr>
      </w:pPr>
      <w:r w:rsidRPr="00C32A38">
        <w:rPr>
          <w:rFonts w:ascii="Century Gothic" w:hAnsi="Century Gothic" w:cs="Arial"/>
          <w:b/>
          <w:sz w:val="24"/>
          <w:szCs w:val="24"/>
        </w:rPr>
        <w:t>2.3.4.2. Lucro cesante:</w:t>
      </w:r>
    </w:p>
    <w:p w14:paraId="48FF9B83" w14:textId="77777777" w:rsidR="00C32A38" w:rsidRPr="00C32A38" w:rsidRDefault="00C32A38" w:rsidP="00C32A38">
      <w:pPr>
        <w:spacing w:after="0" w:line="240" w:lineRule="auto"/>
        <w:jc w:val="both"/>
        <w:rPr>
          <w:rFonts w:ascii="Century Gothic" w:hAnsi="Century Gothic" w:cs="Arial"/>
          <w:b/>
          <w:sz w:val="24"/>
          <w:szCs w:val="24"/>
        </w:rPr>
      </w:pPr>
    </w:p>
    <w:p w14:paraId="10FDC81C"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Ahora bien, aunque en la demanda se solicitó que en el dictamen pericial se calculara el lucro cesante, también es cierto que se hizo en alusión a “</w:t>
      </w:r>
      <w:r w:rsidRPr="00C32A38">
        <w:rPr>
          <w:rFonts w:ascii="Century Gothic" w:hAnsi="Century Gothic" w:cs="Arial"/>
          <w:i/>
          <w:sz w:val="24"/>
          <w:szCs w:val="24"/>
          <w:lang w:val="es-ES"/>
        </w:rPr>
        <w:t xml:space="preserve">las sumas que </w:t>
      </w:r>
      <w:r w:rsidRPr="00C32A38">
        <w:rPr>
          <w:rFonts w:ascii="Century Gothic" w:hAnsi="Century Gothic" w:cs="Arial"/>
          <w:sz w:val="24"/>
          <w:szCs w:val="24"/>
          <w:lang w:val="es-ES"/>
        </w:rPr>
        <w:t>[</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w:t>
      </w:r>
      <w:r w:rsidRPr="00C32A38">
        <w:rPr>
          <w:rFonts w:ascii="Century Gothic" w:hAnsi="Century Gothic" w:cs="Arial"/>
          <w:i/>
          <w:sz w:val="24"/>
          <w:szCs w:val="24"/>
          <w:lang w:val="es-ES"/>
        </w:rPr>
        <w:t xml:space="preserve"> dejó y dejará de percibir como consecuencia de la </w:t>
      </w:r>
      <w:r w:rsidRPr="00C32A38">
        <w:rPr>
          <w:rFonts w:ascii="Century Gothic" w:hAnsi="Century Gothic" w:cs="Arial"/>
          <w:i/>
          <w:sz w:val="24"/>
          <w:szCs w:val="24"/>
          <w:u w:val="single"/>
          <w:lang w:val="es-ES"/>
        </w:rPr>
        <w:t>caducidad</w:t>
      </w:r>
      <w:r w:rsidRPr="00C32A38">
        <w:rPr>
          <w:rFonts w:ascii="Century Gothic" w:hAnsi="Century Gothic" w:cs="Arial"/>
          <w:i/>
          <w:sz w:val="24"/>
          <w:szCs w:val="24"/>
          <w:lang w:val="es-ES"/>
        </w:rPr>
        <w:t xml:space="preserve"> decretada por el INURBE”</w:t>
      </w:r>
      <w:r w:rsidRPr="00C32A38">
        <w:rPr>
          <w:rFonts w:ascii="Century Gothic" w:hAnsi="Century Gothic" w:cs="Arial"/>
          <w:i/>
          <w:sz w:val="24"/>
          <w:szCs w:val="24"/>
          <w:vertAlign w:val="superscript"/>
          <w:lang w:val="es-ES"/>
        </w:rPr>
        <w:footnoteReference w:id="83"/>
      </w:r>
      <w:r w:rsidRPr="00C32A38">
        <w:rPr>
          <w:rFonts w:ascii="Century Gothic" w:hAnsi="Century Gothic" w:cs="Arial"/>
          <w:i/>
          <w:sz w:val="24"/>
          <w:szCs w:val="24"/>
          <w:lang w:val="es-ES"/>
        </w:rPr>
        <w:t>.</w:t>
      </w:r>
      <w:r w:rsidRPr="00C32A38">
        <w:rPr>
          <w:rFonts w:ascii="Century Gothic" w:hAnsi="Century Gothic" w:cs="Arial"/>
          <w:sz w:val="24"/>
          <w:szCs w:val="24"/>
          <w:lang w:val="es-ES"/>
        </w:rPr>
        <w:t xml:space="preserve"> </w:t>
      </w:r>
    </w:p>
    <w:p w14:paraId="72F293A4" w14:textId="77777777" w:rsidR="00C32A38" w:rsidRPr="00C32A38" w:rsidRDefault="00C32A38" w:rsidP="00C32A38">
      <w:pPr>
        <w:spacing w:after="0" w:line="360" w:lineRule="auto"/>
        <w:jc w:val="both"/>
        <w:rPr>
          <w:rFonts w:ascii="Century Gothic" w:hAnsi="Century Gothic" w:cs="Arial"/>
          <w:sz w:val="24"/>
          <w:szCs w:val="24"/>
          <w:lang w:val="es-ES"/>
        </w:rPr>
      </w:pPr>
    </w:p>
    <w:p w14:paraId="5F16E0A1"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Al respecto, la Sala observa que la finalidad del anterior análisis guarda relación con el acto administrativo que declaró la caducidad en el marco de otro contrato de encargo fiduciario celebrado entre las mismas partes el 22 de septiembre de 1993</w:t>
      </w:r>
      <w:r w:rsidRPr="00C32A38">
        <w:rPr>
          <w:rFonts w:ascii="Century Gothic" w:hAnsi="Century Gothic" w:cs="Arial"/>
          <w:sz w:val="24"/>
          <w:szCs w:val="24"/>
          <w:vertAlign w:val="superscript"/>
          <w:lang w:val="es-ES"/>
        </w:rPr>
        <w:footnoteReference w:id="84"/>
      </w:r>
      <w:r w:rsidRPr="00C32A38">
        <w:rPr>
          <w:rFonts w:ascii="Century Gothic" w:hAnsi="Century Gothic" w:cs="Arial"/>
          <w:sz w:val="24"/>
          <w:szCs w:val="24"/>
          <w:lang w:val="es-ES"/>
        </w:rPr>
        <w:t xml:space="preserve"> —diferente al de fiducia pública 103/95—, acto cuya legalidad no fue cuestionada dentro del presente proceso y sobre el que, en consecuencia, la Sala se abstendrá de efectuar pronunciamiento alguno.</w:t>
      </w:r>
    </w:p>
    <w:p w14:paraId="0BB4699E" w14:textId="77777777" w:rsidR="00C32A38" w:rsidRPr="00C32A38" w:rsidRDefault="00C32A38" w:rsidP="00C32A38">
      <w:pPr>
        <w:spacing w:after="0" w:line="240" w:lineRule="auto"/>
        <w:jc w:val="both"/>
        <w:rPr>
          <w:rFonts w:ascii="Century Gothic" w:hAnsi="Century Gothic" w:cs="Arial"/>
          <w:sz w:val="24"/>
          <w:szCs w:val="24"/>
          <w:lang w:val="es-ES"/>
        </w:rPr>
      </w:pPr>
    </w:p>
    <w:p w14:paraId="23447FCF"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Por último, debe anotarse que, frente a la pretensión 5</w:t>
      </w:r>
      <w:r w:rsidRPr="00C32A38">
        <w:rPr>
          <w:rFonts w:ascii="Century Gothic" w:hAnsi="Century Gothic" w:cs="Arial"/>
          <w:sz w:val="24"/>
          <w:szCs w:val="24"/>
          <w:vertAlign w:val="superscript"/>
          <w:lang w:val="es-ES"/>
        </w:rPr>
        <w:footnoteReference w:id="85"/>
      </w:r>
      <w:r w:rsidRPr="00C32A38">
        <w:rPr>
          <w:rFonts w:ascii="Century Gothic" w:hAnsi="Century Gothic" w:cs="Arial"/>
          <w:sz w:val="24"/>
          <w:szCs w:val="24"/>
          <w:lang w:val="es-ES"/>
        </w:rPr>
        <w:t xml:space="preserve"> de la demanda de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no se encontraron acreditados en el curso del proceso, perjuicios derivados de la ilegalidad del acto de liquidación unilateral, del incumplimiento </w:t>
      </w:r>
      <w:r w:rsidRPr="00C32A38">
        <w:rPr>
          <w:rFonts w:ascii="Century Gothic" w:hAnsi="Century Gothic" w:cs="Arial"/>
          <w:sz w:val="24"/>
          <w:szCs w:val="24"/>
          <w:lang w:val="es-ES"/>
        </w:rPr>
        <w:lastRenderedPageBreak/>
        <w:t xml:space="preserve">del contrato y del hecho de que 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se abstuviera de recibir los </w:t>
      </w:r>
      <w:proofErr w:type="spellStart"/>
      <w:r w:rsidRPr="00C32A38">
        <w:rPr>
          <w:rFonts w:ascii="Century Gothic" w:hAnsi="Century Gothic" w:cs="Arial"/>
          <w:sz w:val="24"/>
          <w:szCs w:val="24"/>
          <w:lang w:val="es-ES"/>
        </w:rPr>
        <w:t>CDATs</w:t>
      </w:r>
      <w:proofErr w:type="spellEnd"/>
      <w:r w:rsidRPr="00C32A38">
        <w:rPr>
          <w:rFonts w:ascii="Century Gothic" w:hAnsi="Century Gothic" w:cs="Arial"/>
          <w:sz w:val="24"/>
          <w:szCs w:val="24"/>
          <w:lang w:val="es-ES"/>
        </w:rPr>
        <w:t>, por lo que no se reconocerá ningún valor adicional sobre esa petición.</w:t>
      </w:r>
    </w:p>
    <w:p w14:paraId="15E7DE86" w14:textId="77777777" w:rsidR="00C32A38" w:rsidRPr="00C32A38" w:rsidRDefault="00C32A38" w:rsidP="00C32A38">
      <w:pPr>
        <w:spacing w:after="0" w:line="360" w:lineRule="auto"/>
        <w:jc w:val="both"/>
        <w:rPr>
          <w:rFonts w:ascii="Century Gothic" w:hAnsi="Century Gothic" w:cs="Arial"/>
          <w:sz w:val="24"/>
          <w:szCs w:val="24"/>
          <w:lang w:val="es-ES"/>
        </w:rPr>
      </w:pPr>
    </w:p>
    <w:p w14:paraId="7B50889A" w14:textId="77777777" w:rsidR="00C32A38" w:rsidRPr="00C32A38" w:rsidRDefault="00C32A38" w:rsidP="00C32A38">
      <w:pPr>
        <w:spacing w:after="0" w:line="360" w:lineRule="auto"/>
        <w:jc w:val="both"/>
        <w:rPr>
          <w:rFonts w:ascii="Century Gothic" w:hAnsi="Century Gothic" w:cs="Arial"/>
          <w:b/>
          <w:sz w:val="24"/>
          <w:szCs w:val="24"/>
          <w:lang w:val="es-ES"/>
        </w:rPr>
      </w:pPr>
      <w:r w:rsidRPr="00C32A38">
        <w:rPr>
          <w:rFonts w:ascii="Century Gothic" w:hAnsi="Century Gothic" w:cs="Arial"/>
          <w:b/>
          <w:sz w:val="24"/>
          <w:szCs w:val="24"/>
          <w:lang w:val="es-ES"/>
        </w:rPr>
        <w:t>2.4. Liquidación del contrato de fiducia pública 103/95</w:t>
      </w:r>
    </w:p>
    <w:p w14:paraId="5B95788D" w14:textId="77777777" w:rsidR="00C32A38" w:rsidRPr="00C32A38" w:rsidRDefault="00C32A38" w:rsidP="00C32A38">
      <w:pPr>
        <w:spacing w:after="0" w:line="360" w:lineRule="auto"/>
        <w:jc w:val="both"/>
        <w:rPr>
          <w:rFonts w:ascii="Century Gothic" w:hAnsi="Century Gothic" w:cs="Arial"/>
          <w:b/>
          <w:sz w:val="24"/>
          <w:szCs w:val="24"/>
          <w:lang w:val="es-ES"/>
        </w:rPr>
      </w:pPr>
    </w:p>
    <w:p w14:paraId="103E95C3"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De lo expuesto en precedencia la Sala procede a realizar la liquidación judicial del contrato de fiducia pública 103/95 suscrito el 22 de diciembre de 1995 entre el Instituto Nacional de Vivienda de Interés Social y Reforma Urbana — INURBE y </w:t>
      </w:r>
      <w:proofErr w:type="spellStart"/>
      <w:r w:rsidRPr="00C32A38">
        <w:rPr>
          <w:rFonts w:ascii="Century Gothic" w:hAnsi="Century Gothic" w:cs="Arial"/>
          <w:sz w:val="24"/>
          <w:szCs w:val="24"/>
          <w:lang w:val="es-ES"/>
        </w:rPr>
        <w:t>Ultraservicios</w:t>
      </w:r>
      <w:proofErr w:type="spellEnd"/>
      <w:r w:rsidRPr="00C32A38">
        <w:rPr>
          <w:rFonts w:ascii="Century Gothic" w:hAnsi="Century Gothic" w:cs="Arial"/>
          <w:sz w:val="24"/>
          <w:szCs w:val="24"/>
          <w:lang w:val="es-ES"/>
        </w:rPr>
        <w:t xml:space="preserve"> Fiduciarios S.A. — FIDULTRA:</w:t>
      </w:r>
    </w:p>
    <w:p w14:paraId="4C0419D4" w14:textId="77777777" w:rsidR="00C32A38" w:rsidRPr="00C32A38" w:rsidRDefault="00C32A38" w:rsidP="00C32A38">
      <w:pPr>
        <w:spacing w:after="0" w:line="360" w:lineRule="auto"/>
        <w:jc w:val="both"/>
        <w:rPr>
          <w:rFonts w:ascii="Century Gothic" w:hAnsi="Century Gothic" w:cs="Arial"/>
          <w:sz w:val="24"/>
          <w:szCs w:val="24"/>
          <w:lang w:val="es-ES"/>
        </w:rPr>
      </w:pPr>
    </w:p>
    <w:p w14:paraId="545FB880" w14:textId="77777777" w:rsidR="00C32A38" w:rsidRPr="00C32A38" w:rsidRDefault="00C32A38" w:rsidP="00C32A38">
      <w:pPr>
        <w:numPr>
          <w:ilvl w:val="0"/>
          <w:numId w:val="13"/>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El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adeuda a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en total $</w:t>
      </w:r>
      <w:r w:rsidRPr="00C32A38">
        <w:rPr>
          <w:rFonts w:ascii="Century Gothic" w:hAnsi="Century Gothic" w:cs="Arial"/>
          <w:sz w:val="24"/>
          <w:szCs w:val="24"/>
        </w:rPr>
        <w:t>39’486.800 (valor actualizado) por concepto de comisiones causadas por los meses de junio, julio, agosto, septiembre, octubre, noviembre y diciembre de 1997, en la ejecución del contrato de fiducia pública 103/95.</w:t>
      </w:r>
    </w:p>
    <w:p w14:paraId="7735E236" w14:textId="77777777" w:rsidR="00C32A38" w:rsidRPr="00C32A38" w:rsidRDefault="00C32A38" w:rsidP="00C32A38">
      <w:pPr>
        <w:numPr>
          <w:ilvl w:val="0"/>
          <w:numId w:val="13"/>
        </w:numPr>
        <w:spacing w:after="0" w:line="360" w:lineRule="auto"/>
        <w:jc w:val="both"/>
        <w:rPr>
          <w:rFonts w:ascii="Century Gothic" w:hAnsi="Century Gothic" w:cs="Arial"/>
          <w:sz w:val="24"/>
          <w:szCs w:val="24"/>
          <w:lang w:val="es-ES"/>
        </w:rPr>
      </w:pP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debe hacer entrega al </w:t>
      </w:r>
      <w:proofErr w:type="spellStart"/>
      <w:r w:rsidRPr="00C32A38">
        <w:rPr>
          <w:rFonts w:ascii="Century Gothic" w:hAnsi="Century Gothic" w:cs="Arial"/>
          <w:sz w:val="24"/>
          <w:szCs w:val="24"/>
          <w:lang w:val="es-ES"/>
        </w:rPr>
        <w:t>Inurbe</w:t>
      </w:r>
      <w:proofErr w:type="spellEnd"/>
      <w:r w:rsidRPr="00C32A38">
        <w:rPr>
          <w:rFonts w:ascii="Century Gothic" w:hAnsi="Century Gothic" w:cs="Arial"/>
          <w:sz w:val="24"/>
          <w:szCs w:val="24"/>
          <w:lang w:val="es-ES"/>
        </w:rPr>
        <w:t xml:space="preserve"> de los siguientes </w:t>
      </w:r>
      <w:proofErr w:type="spellStart"/>
      <w:r w:rsidRPr="00C32A38">
        <w:rPr>
          <w:rFonts w:ascii="Century Gothic" w:hAnsi="Century Gothic" w:cs="Arial"/>
          <w:sz w:val="24"/>
          <w:szCs w:val="24"/>
          <w:lang w:val="es-ES"/>
        </w:rPr>
        <w:t>CDATs</w:t>
      </w:r>
      <w:proofErr w:type="spellEnd"/>
      <w:r w:rsidRPr="00C32A38">
        <w:rPr>
          <w:rFonts w:ascii="Century Gothic" w:hAnsi="Century Gothic" w:cs="Arial"/>
          <w:sz w:val="24"/>
          <w:szCs w:val="24"/>
          <w:lang w:val="es-ES"/>
        </w:rPr>
        <w:t>:</w:t>
      </w:r>
    </w:p>
    <w:p w14:paraId="6934180B" w14:textId="77777777" w:rsidR="00C32A38" w:rsidRPr="00C32A38" w:rsidRDefault="00C32A38" w:rsidP="00C32A38">
      <w:pPr>
        <w:numPr>
          <w:ilvl w:val="0"/>
          <w:numId w:val="14"/>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 xml:space="preserve">CDAT No. 0001870 emitido por </w:t>
      </w:r>
      <w:proofErr w:type="spellStart"/>
      <w:r w:rsidRPr="00C32A38">
        <w:rPr>
          <w:rFonts w:ascii="Century Gothic" w:hAnsi="Century Gothic" w:cs="Arial"/>
          <w:sz w:val="24"/>
          <w:szCs w:val="24"/>
          <w:lang w:val="es-ES"/>
        </w:rPr>
        <w:t>Cooservir</w:t>
      </w:r>
      <w:proofErr w:type="spellEnd"/>
      <w:r w:rsidRPr="00C32A38">
        <w:rPr>
          <w:rFonts w:ascii="Century Gothic" w:hAnsi="Century Gothic" w:cs="Arial"/>
          <w:sz w:val="24"/>
          <w:szCs w:val="24"/>
          <w:lang w:val="es-ES"/>
        </w:rPr>
        <w:t xml:space="preserve"> por $1.500’000.000</w:t>
      </w:r>
    </w:p>
    <w:p w14:paraId="0E8B4387" w14:textId="77777777" w:rsidR="00C32A38" w:rsidRPr="00C32A38" w:rsidRDefault="00C32A38" w:rsidP="00C32A38">
      <w:pPr>
        <w:numPr>
          <w:ilvl w:val="0"/>
          <w:numId w:val="14"/>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CDAT No. 048201 emitido por Avancemos por $100’000.000</w:t>
      </w:r>
    </w:p>
    <w:p w14:paraId="0FAA4A3E" w14:textId="77777777" w:rsidR="00C32A38" w:rsidRPr="00C32A38" w:rsidRDefault="00C32A38" w:rsidP="00C32A38">
      <w:pPr>
        <w:numPr>
          <w:ilvl w:val="0"/>
          <w:numId w:val="14"/>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CDAT No. 0017310 emitido por Caja Popular Cooperativa por $800’000.000</w:t>
      </w:r>
    </w:p>
    <w:p w14:paraId="12EEE8D8" w14:textId="77777777" w:rsidR="00C32A38" w:rsidRPr="00C32A38" w:rsidRDefault="00C32A38" w:rsidP="00C32A38">
      <w:pPr>
        <w:spacing w:after="0" w:line="240" w:lineRule="auto"/>
        <w:jc w:val="both"/>
        <w:rPr>
          <w:rFonts w:ascii="Century Gothic" w:hAnsi="Century Gothic" w:cs="Arial"/>
          <w:b/>
          <w:sz w:val="24"/>
          <w:szCs w:val="24"/>
          <w:lang w:val="es-ES"/>
        </w:rPr>
      </w:pPr>
    </w:p>
    <w:p w14:paraId="72676269" w14:textId="77777777" w:rsidR="00C32A38" w:rsidRPr="00C32A38" w:rsidRDefault="00C32A38" w:rsidP="00C32A38">
      <w:pPr>
        <w:spacing w:after="0" w:line="360" w:lineRule="auto"/>
        <w:jc w:val="both"/>
        <w:rPr>
          <w:rFonts w:ascii="Century Gothic" w:hAnsi="Century Gothic" w:cs="Arial"/>
          <w:b/>
          <w:sz w:val="24"/>
          <w:szCs w:val="24"/>
          <w:lang w:val="es-ES"/>
        </w:rPr>
      </w:pPr>
      <w:r w:rsidRPr="00C32A38">
        <w:rPr>
          <w:rFonts w:ascii="Century Gothic" w:hAnsi="Century Gothic" w:cs="Arial"/>
          <w:b/>
          <w:sz w:val="24"/>
          <w:szCs w:val="24"/>
          <w:lang w:val="es-ES"/>
        </w:rPr>
        <w:t>2.5. Condena en costas</w:t>
      </w:r>
    </w:p>
    <w:p w14:paraId="03373BFA" w14:textId="77777777" w:rsidR="00C32A38" w:rsidRPr="00C32A38" w:rsidRDefault="00C32A38" w:rsidP="00C32A38">
      <w:pPr>
        <w:spacing w:after="0" w:line="240" w:lineRule="auto"/>
        <w:jc w:val="both"/>
        <w:rPr>
          <w:rFonts w:ascii="Century Gothic" w:hAnsi="Century Gothic" w:cs="Arial"/>
          <w:sz w:val="24"/>
          <w:szCs w:val="24"/>
          <w:lang w:val="es-ES"/>
        </w:rPr>
      </w:pPr>
    </w:p>
    <w:p w14:paraId="79049399"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La Sala se abstendrá de condenar en costas pues no se configuran los supuestos del artículo 171 del Código Contencioso Administrativo requeridos.</w:t>
      </w:r>
    </w:p>
    <w:p w14:paraId="3F9F541D" w14:textId="77777777" w:rsidR="00C32A38" w:rsidRPr="00C32A38" w:rsidRDefault="00C32A38" w:rsidP="00C32A38">
      <w:pPr>
        <w:spacing w:after="0" w:line="240" w:lineRule="auto"/>
        <w:jc w:val="both"/>
        <w:rPr>
          <w:rFonts w:ascii="Century Gothic" w:hAnsi="Century Gothic" w:cs="Arial"/>
          <w:sz w:val="24"/>
          <w:szCs w:val="24"/>
          <w:lang w:val="es-ES"/>
        </w:rPr>
      </w:pPr>
    </w:p>
    <w:p w14:paraId="5E6AACEF" w14:textId="77777777" w:rsidR="00C32A38" w:rsidRPr="00C32A38" w:rsidRDefault="00C32A38" w:rsidP="00C32A38">
      <w:pPr>
        <w:spacing w:after="0" w:line="360" w:lineRule="auto"/>
        <w:jc w:val="both"/>
        <w:rPr>
          <w:rFonts w:ascii="Century Gothic" w:hAnsi="Century Gothic" w:cs="Arial"/>
          <w:b/>
          <w:sz w:val="24"/>
          <w:szCs w:val="24"/>
        </w:rPr>
      </w:pPr>
      <w:r w:rsidRPr="00C32A38">
        <w:rPr>
          <w:rFonts w:ascii="Century Gothic" w:hAnsi="Century Gothic" w:cs="Arial"/>
          <w:b/>
          <w:sz w:val="24"/>
          <w:szCs w:val="24"/>
        </w:rPr>
        <w:t>3. DECISIÓN</w:t>
      </w:r>
    </w:p>
    <w:p w14:paraId="3D7922D8" w14:textId="77777777" w:rsidR="00C32A38" w:rsidRPr="00C32A38" w:rsidRDefault="00C32A38" w:rsidP="00C32A38">
      <w:pPr>
        <w:spacing w:after="0" w:line="240" w:lineRule="auto"/>
        <w:jc w:val="both"/>
        <w:rPr>
          <w:rFonts w:ascii="Century Gothic" w:hAnsi="Century Gothic" w:cs="Arial"/>
          <w:sz w:val="24"/>
          <w:szCs w:val="24"/>
          <w:lang w:val="es-ES"/>
        </w:rPr>
      </w:pPr>
    </w:p>
    <w:p w14:paraId="6B3A8006" w14:textId="77777777" w:rsidR="00C32A38" w:rsidRPr="00C32A38" w:rsidRDefault="00C32A38" w:rsidP="00C32A38">
      <w:pPr>
        <w:numPr>
          <w:ilvl w:val="0"/>
          <w:numId w:val="12"/>
        </w:numPr>
        <w:spacing w:after="0" w:line="360" w:lineRule="auto"/>
        <w:jc w:val="both"/>
        <w:rPr>
          <w:rFonts w:ascii="Century Gothic" w:hAnsi="Century Gothic" w:cs="Arial"/>
          <w:sz w:val="24"/>
          <w:szCs w:val="24"/>
          <w:lang w:val="es-ES"/>
        </w:rPr>
      </w:pPr>
      <w:r w:rsidRPr="00C32A38">
        <w:rPr>
          <w:rFonts w:ascii="Century Gothic" w:hAnsi="Century Gothic" w:cs="Arial"/>
          <w:sz w:val="24"/>
          <w:szCs w:val="24"/>
          <w:lang w:val="es-ES"/>
        </w:rPr>
        <w:t>En mérito de lo expuesto, el Consejo de Estado, Sala de lo Contencioso Administrativo, Sección Tercera, Subsección B, administrando justicia en nombre de la República y por autoridad de la ley,</w:t>
      </w:r>
    </w:p>
    <w:p w14:paraId="3E4E51ED" w14:textId="77777777" w:rsidR="00C32A38" w:rsidRPr="00C32A38" w:rsidRDefault="00C32A38" w:rsidP="00C32A38">
      <w:pPr>
        <w:spacing w:after="0" w:line="360" w:lineRule="auto"/>
        <w:jc w:val="both"/>
        <w:rPr>
          <w:rFonts w:ascii="Century Gothic" w:hAnsi="Century Gothic" w:cs="Arial"/>
          <w:sz w:val="24"/>
          <w:szCs w:val="24"/>
          <w:lang w:val="es-ES"/>
        </w:rPr>
      </w:pPr>
    </w:p>
    <w:p w14:paraId="5DA9D2BA" w14:textId="77777777" w:rsidR="00C32A38" w:rsidRPr="00C32A38" w:rsidRDefault="00C32A38" w:rsidP="00C32A38">
      <w:pPr>
        <w:spacing w:after="0" w:line="360" w:lineRule="auto"/>
        <w:jc w:val="center"/>
        <w:rPr>
          <w:rFonts w:ascii="Century Gothic" w:hAnsi="Century Gothic" w:cs="Arial"/>
          <w:b/>
          <w:sz w:val="24"/>
          <w:szCs w:val="24"/>
          <w:lang w:val="es-ES"/>
        </w:rPr>
      </w:pPr>
      <w:r w:rsidRPr="00C32A38">
        <w:rPr>
          <w:rFonts w:ascii="Century Gothic" w:hAnsi="Century Gothic" w:cs="Arial"/>
          <w:b/>
          <w:sz w:val="24"/>
          <w:szCs w:val="24"/>
          <w:lang w:val="es-ES"/>
        </w:rPr>
        <w:t>RESUELVE:</w:t>
      </w:r>
    </w:p>
    <w:p w14:paraId="57061D69" w14:textId="77777777" w:rsidR="00C32A38" w:rsidRPr="00C32A38" w:rsidRDefault="00C32A38" w:rsidP="00C32A38">
      <w:pPr>
        <w:spacing w:after="0" w:line="360" w:lineRule="auto"/>
        <w:jc w:val="both"/>
        <w:rPr>
          <w:rFonts w:ascii="Century Gothic" w:hAnsi="Century Gothic" w:cs="Arial"/>
          <w:b/>
          <w:sz w:val="24"/>
          <w:szCs w:val="24"/>
          <w:lang w:val="es-ES"/>
        </w:rPr>
      </w:pPr>
    </w:p>
    <w:p w14:paraId="20A317F1" w14:textId="77777777" w:rsidR="00C32A38" w:rsidRPr="00C32A38" w:rsidRDefault="00C32A38" w:rsidP="00C32A38">
      <w:pPr>
        <w:spacing w:after="0" w:line="360" w:lineRule="auto"/>
        <w:jc w:val="both"/>
        <w:rPr>
          <w:rFonts w:ascii="Century Gothic" w:hAnsi="Century Gothic" w:cs="Arial"/>
          <w:sz w:val="24"/>
          <w:szCs w:val="24"/>
          <w:lang w:val="es-ES"/>
        </w:rPr>
      </w:pPr>
      <w:r w:rsidRPr="00C32A38">
        <w:rPr>
          <w:rFonts w:ascii="Century Gothic" w:hAnsi="Century Gothic" w:cs="Arial"/>
          <w:b/>
          <w:sz w:val="24"/>
          <w:szCs w:val="24"/>
          <w:lang w:val="es-ES"/>
        </w:rPr>
        <w:t xml:space="preserve">PRIMERO: REVOCAR </w:t>
      </w:r>
      <w:r w:rsidRPr="00C32A38">
        <w:rPr>
          <w:rFonts w:ascii="Century Gothic" w:hAnsi="Century Gothic" w:cs="Arial"/>
          <w:sz w:val="24"/>
          <w:szCs w:val="24"/>
          <w:lang w:val="es-ES"/>
        </w:rPr>
        <w:t xml:space="preserve">la Sentencia de 5 de enero de 2005 proferida por el Tribunal Administrativo de Cundinamarca, Sección Tercera, Sala de Descongestión, que </w:t>
      </w:r>
      <w:r w:rsidRPr="00C32A38">
        <w:rPr>
          <w:rFonts w:ascii="Century Gothic" w:hAnsi="Century Gothic" w:cs="Arial"/>
          <w:sz w:val="24"/>
          <w:szCs w:val="24"/>
          <w:lang w:val="es-ES"/>
        </w:rPr>
        <w:lastRenderedPageBreak/>
        <w:t>negó las pretensiones de la demanda dentro del proceso 30634 y en su lugar disponer:</w:t>
      </w:r>
    </w:p>
    <w:p w14:paraId="2BDA4760" w14:textId="77777777" w:rsidR="00C32A38" w:rsidRPr="00C32A38" w:rsidRDefault="00C32A38" w:rsidP="00C32A38">
      <w:pPr>
        <w:spacing w:after="0" w:line="360" w:lineRule="auto"/>
        <w:jc w:val="both"/>
        <w:rPr>
          <w:rFonts w:ascii="Century Gothic" w:hAnsi="Century Gothic" w:cs="Arial"/>
          <w:sz w:val="24"/>
          <w:szCs w:val="24"/>
          <w:lang w:val="es-ES"/>
        </w:rPr>
      </w:pPr>
    </w:p>
    <w:p w14:paraId="6FF10B02" w14:textId="77777777" w:rsidR="00C32A38" w:rsidRPr="00C32A38" w:rsidRDefault="00C32A38" w:rsidP="00C32A38">
      <w:pPr>
        <w:spacing w:after="0" w:line="276" w:lineRule="auto"/>
        <w:ind w:left="567" w:right="567"/>
        <w:jc w:val="both"/>
        <w:rPr>
          <w:rFonts w:ascii="Century Gothic" w:hAnsi="Century Gothic" w:cs="Arial"/>
          <w:lang w:val="es-ES"/>
        </w:rPr>
      </w:pPr>
      <w:r w:rsidRPr="00C32A38">
        <w:rPr>
          <w:rFonts w:ascii="Century Gothic" w:hAnsi="Century Gothic" w:cs="Arial"/>
          <w:lang w:val="es-ES"/>
        </w:rPr>
        <w:t>“</w:t>
      </w:r>
      <w:r w:rsidRPr="00C32A38">
        <w:rPr>
          <w:rFonts w:ascii="Century Gothic" w:hAnsi="Century Gothic" w:cs="Arial"/>
          <w:b/>
          <w:lang w:val="es-ES"/>
        </w:rPr>
        <w:t xml:space="preserve">PRIMERO: ANULAR </w:t>
      </w:r>
      <w:r w:rsidRPr="00C32A38">
        <w:rPr>
          <w:rFonts w:ascii="Century Gothic" w:hAnsi="Century Gothic" w:cs="Arial"/>
          <w:lang w:val="es-ES"/>
        </w:rPr>
        <w:t xml:space="preserve">las Resoluciones 718 de 1999 y 789 de 1999, mediante las cuales el </w:t>
      </w:r>
      <w:r w:rsidRPr="00C32A38">
        <w:rPr>
          <w:rFonts w:ascii="Century Gothic" w:eastAsia="Times New Roman" w:hAnsi="Century Gothic"/>
          <w:lang w:val="es-ES" w:eastAsia="es-ES"/>
        </w:rPr>
        <w:t xml:space="preserve">Instituto Nacional de Vivienda Urbana </w:t>
      </w:r>
      <w:r w:rsidRPr="00C32A38">
        <w:rPr>
          <w:rFonts w:ascii="Century Gothic" w:hAnsi="Century Gothic" w:cs="Arial"/>
          <w:lang w:val="es-ES"/>
        </w:rPr>
        <w:t>liquidó unilateralmente el contrato de fiducia pública 103/95.</w:t>
      </w:r>
    </w:p>
    <w:p w14:paraId="0D404377" w14:textId="77777777" w:rsidR="00C32A38" w:rsidRPr="00C32A38" w:rsidRDefault="00C32A38" w:rsidP="00C32A38">
      <w:pPr>
        <w:spacing w:after="0" w:line="276" w:lineRule="auto"/>
        <w:ind w:left="567" w:right="567"/>
        <w:jc w:val="both"/>
        <w:rPr>
          <w:rFonts w:ascii="Century Gothic" w:hAnsi="Century Gothic" w:cs="Arial"/>
          <w:lang w:val="es-ES"/>
        </w:rPr>
      </w:pPr>
    </w:p>
    <w:p w14:paraId="7568E9E5" w14:textId="77777777" w:rsidR="00C32A38" w:rsidRPr="00C32A38" w:rsidRDefault="00C32A38" w:rsidP="00C32A38">
      <w:pPr>
        <w:spacing w:after="0" w:line="276" w:lineRule="auto"/>
        <w:ind w:left="567" w:right="567"/>
        <w:jc w:val="both"/>
        <w:rPr>
          <w:rFonts w:ascii="Century Gothic" w:hAnsi="Century Gothic" w:cs="Arial"/>
          <w:lang w:val="es-ES"/>
        </w:rPr>
      </w:pPr>
      <w:r w:rsidRPr="00C32A38">
        <w:rPr>
          <w:rFonts w:ascii="Century Gothic" w:hAnsi="Century Gothic" w:cs="Arial"/>
          <w:lang w:val="es-ES"/>
        </w:rPr>
        <w:t>“</w:t>
      </w:r>
      <w:r w:rsidRPr="00C32A38">
        <w:rPr>
          <w:rFonts w:ascii="Century Gothic" w:hAnsi="Century Gothic" w:cs="Arial"/>
          <w:b/>
          <w:lang w:val="es-ES"/>
        </w:rPr>
        <w:t xml:space="preserve">SEGUNDO: DECLARAR </w:t>
      </w:r>
      <w:r w:rsidRPr="00C32A38">
        <w:rPr>
          <w:rFonts w:ascii="Century Gothic" w:hAnsi="Century Gothic" w:cs="Arial"/>
          <w:lang w:val="es-ES"/>
        </w:rPr>
        <w:t xml:space="preserve">que el Instituto Nacional de Vivienda Urbana incumplió el contrato de fiducia pública 103/95 por no pagar las comisiones previstas en favor de </w:t>
      </w:r>
      <w:proofErr w:type="spellStart"/>
      <w:r w:rsidRPr="00C32A38">
        <w:rPr>
          <w:rFonts w:ascii="Century Gothic" w:hAnsi="Century Gothic" w:cs="Arial"/>
          <w:lang w:val="es-ES"/>
        </w:rPr>
        <w:t>Ultraservicios</w:t>
      </w:r>
      <w:proofErr w:type="spellEnd"/>
      <w:r w:rsidRPr="00C32A38">
        <w:rPr>
          <w:rFonts w:ascii="Century Gothic" w:hAnsi="Century Gothic" w:cs="Arial"/>
          <w:lang w:val="es-ES"/>
        </w:rPr>
        <w:t xml:space="preserve"> Fiduciarios — </w:t>
      </w:r>
      <w:proofErr w:type="spellStart"/>
      <w:r w:rsidRPr="00C32A38">
        <w:rPr>
          <w:rFonts w:ascii="Century Gothic" w:hAnsi="Century Gothic" w:cs="Arial"/>
          <w:lang w:val="es-ES"/>
        </w:rPr>
        <w:t>Fidultra</w:t>
      </w:r>
      <w:proofErr w:type="spellEnd"/>
      <w:r w:rsidRPr="00C32A38">
        <w:rPr>
          <w:rFonts w:ascii="Century Gothic" w:hAnsi="Century Gothic" w:cs="Arial"/>
          <w:lang w:val="es-ES"/>
        </w:rPr>
        <w:t xml:space="preserve"> S.A.</w:t>
      </w:r>
    </w:p>
    <w:p w14:paraId="54E1E2D6" w14:textId="77777777" w:rsidR="00C32A38" w:rsidRPr="00C32A38" w:rsidRDefault="00C32A38" w:rsidP="00C32A38">
      <w:pPr>
        <w:spacing w:after="0" w:line="276" w:lineRule="auto"/>
        <w:ind w:left="567" w:right="567"/>
        <w:jc w:val="both"/>
        <w:rPr>
          <w:rFonts w:ascii="Century Gothic" w:hAnsi="Century Gothic" w:cs="Arial"/>
          <w:b/>
          <w:lang w:val="es-ES"/>
        </w:rPr>
      </w:pPr>
    </w:p>
    <w:p w14:paraId="78C81444" w14:textId="77777777" w:rsidR="00C32A38" w:rsidRPr="00C32A38" w:rsidRDefault="00C32A38" w:rsidP="00C32A38">
      <w:pPr>
        <w:spacing w:after="0" w:line="276" w:lineRule="auto"/>
        <w:ind w:left="567" w:right="567"/>
        <w:jc w:val="both"/>
        <w:rPr>
          <w:rFonts w:ascii="Century Gothic" w:hAnsi="Century Gothic" w:cs="Arial"/>
        </w:rPr>
      </w:pPr>
      <w:r w:rsidRPr="00C32A38">
        <w:rPr>
          <w:rFonts w:ascii="Century Gothic" w:hAnsi="Century Gothic" w:cs="Arial"/>
          <w:b/>
          <w:lang w:val="es-ES"/>
        </w:rPr>
        <w:t xml:space="preserve">“TERCERO: </w:t>
      </w:r>
      <w:r w:rsidRPr="00C32A38">
        <w:rPr>
          <w:rFonts w:ascii="Century Gothic" w:hAnsi="Century Gothic" w:cs="Arial"/>
          <w:lang w:val="es-ES"/>
        </w:rPr>
        <w:t xml:space="preserve">como consecuencia de lo anterior, </w:t>
      </w:r>
      <w:r w:rsidRPr="00C32A38">
        <w:rPr>
          <w:rFonts w:ascii="Century Gothic" w:hAnsi="Century Gothic" w:cs="Arial"/>
          <w:b/>
          <w:lang w:val="es-ES"/>
        </w:rPr>
        <w:t xml:space="preserve">CONDENAR </w:t>
      </w:r>
      <w:r w:rsidRPr="00C32A38">
        <w:rPr>
          <w:rFonts w:ascii="Century Gothic" w:hAnsi="Century Gothic" w:cs="Arial"/>
          <w:lang w:val="es-ES"/>
        </w:rPr>
        <w:t xml:space="preserve">al Ministerio de Vivienda, Ciudad y Territorio a pagar a </w:t>
      </w:r>
      <w:proofErr w:type="spellStart"/>
      <w:r w:rsidRPr="00C32A38">
        <w:rPr>
          <w:rFonts w:ascii="Century Gothic" w:hAnsi="Century Gothic" w:cs="Arial"/>
          <w:lang w:val="es-ES"/>
        </w:rPr>
        <w:t>Ultraservicios</w:t>
      </w:r>
      <w:proofErr w:type="spellEnd"/>
      <w:r w:rsidRPr="00C32A38">
        <w:rPr>
          <w:rFonts w:ascii="Century Gothic" w:hAnsi="Century Gothic" w:cs="Arial"/>
          <w:lang w:val="es-ES"/>
        </w:rPr>
        <w:t xml:space="preserve"> Fiduciarios – </w:t>
      </w:r>
      <w:proofErr w:type="spellStart"/>
      <w:r w:rsidRPr="00C32A38">
        <w:rPr>
          <w:rFonts w:ascii="Century Gothic" w:hAnsi="Century Gothic" w:cs="Arial"/>
          <w:lang w:val="es-ES"/>
        </w:rPr>
        <w:t>Fidultra</w:t>
      </w:r>
      <w:proofErr w:type="spellEnd"/>
      <w:r w:rsidRPr="00C32A38">
        <w:rPr>
          <w:rFonts w:ascii="Century Gothic" w:hAnsi="Century Gothic" w:cs="Arial"/>
          <w:lang w:val="es-ES"/>
        </w:rPr>
        <w:t xml:space="preserve"> S.A. la suma de $</w:t>
      </w:r>
      <w:r w:rsidRPr="00C32A38">
        <w:rPr>
          <w:rFonts w:ascii="Century Gothic" w:hAnsi="Century Gothic" w:cs="Arial"/>
        </w:rPr>
        <w:t>39’486.800 por concepto de comisiones adeudadas en la ejecución del Contrato de fiducia pública 103/95.</w:t>
      </w:r>
    </w:p>
    <w:p w14:paraId="2EBE5D74" w14:textId="77777777" w:rsidR="00C32A38" w:rsidRPr="00C32A38" w:rsidRDefault="00C32A38" w:rsidP="00C32A38">
      <w:pPr>
        <w:spacing w:after="0" w:line="276" w:lineRule="auto"/>
        <w:ind w:left="567" w:right="567"/>
        <w:jc w:val="both"/>
        <w:rPr>
          <w:rFonts w:ascii="Century Gothic" w:hAnsi="Century Gothic" w:cs="Arial"/>
        </w:rPr>
      </w:pPr>
    </w:p>
    <w:p w14:paraId="58140295" w14:textId="77777777" w:rsidR="00C32A38" w:rsidRPr="00C32A38" w:rsidRDefault="00C32A38" w:rsidP="00C32A38">
      <w:pPr>
        <w:spacing w:after="0" w:line="276" w:lineRule="auto"/>
        <w:ind w:left="567" w:right="567"/>
        <w:jc w:val="both"/>
        <w:rPr>
          <w:rFonts w:ascii="Century Gothic" w:hAnsi="Century Gothic" w:cs="Arial"/>
        </w:rPr>
      </w:pPr>
      <w:r w:rsidRPr="00C32A38">
        <w:rPr>
          <w:rFonts w:ascii="Century Gothic" w:hAnsi="Century Gothic" w:cs="Arial"/>
          <w:b/>
        </w:rPr>
        <w:t xml:space="preserve">“TERCERO: NEGAR </w:t>
      </w:r>
      <w:r w:rsidRPr="00C32A38">
        <w:rPr>
          <w:rFonts w:ascii="Century Gothic" w:hAnsi="Century Gothic" w:cs="Arial"/>
        </w:rPr>
        <w:t>las demás pretensiones de la demanda, de conformidad con las razones expuestas en la parte motiva de esta providencia.”</w:t>
      </w:r>
    </w:p>
    <w:p w14:paraId="12B3E6FF" w14:textId="77777777" w:rsidR="00C32A38" w:rsidRPr="00C32A38" w:rsidRDefault="00C32A38" w:rsidP="00C32A38">
      <w:pPr>
        <w:spacing w:after="0" w:line="276" w:lineRule="auto"/>
        <w:ind w:left="567" w:right="567"/>
        <w:jc w:val="both"/>
        <w:rPr>
          <w:rFonts w:ascii="Century Gothic" w:hAnsi="Century Gothic" w:cs="Arial"/>
          <w:lang w:val="es-ES"/>
        </w:rPr>
      </w:pPr>
    </w:p>
    <w:p w14:paraId="1AB18873" w14:textId="77777777" w:rsidR="00C32A38" w:rsidRPr="00C32A38" w:rsidRDefault="00C32A38" w:rsidP="00C32A38">
      <w:pPr>
        <w:spacing w:after="0" w:line="360" w:lineRule="auto"/>
        <w:jc w:val="both"/>
        <w:rPr>
          <w:rFonts w:ascii="Century Gothic" w:hAnsi="Century Gothic" w:cs="Arial"/>
          <w:sz w:val="24"/>
          <w:szCs w:val="24"/>
          <w:lang w:val="es-ES"/>
        </w:rPr>
      </w:pPr>
      <w:r w:rsidRPr="00C32A38">
        <w:rPr>
          <w:rFonts w:ascii="Century Gothic" w:hAnsi="Century Gothic" w:cs="Arial"/>
          <w:b/>
          <w:sz w:val="24"/>
          <w:szCs w:val="24"/>
          <w:lang w:val="es-ES"/>
        </w:rPr>
        <w:t xml:space="preserve">SEGUNDO: MODIFICAR </w:t>
      </w:r>
      <w:r w:rsidRPr="00C32A38">
        <w:rPr>
          <w:rFonts w:ascii="Century Gothic" w:hAnsi="Century Gothic" w:cs="Arial"/>
          <w:sz w:val="24"/>
          <w:szCs w:val="24"/>
          <w:lang w:val="es-ES"/>
        </w:rPr>
        <w:t>la Sentencia de 2 de mayo de 2007 proferida por el Tribunal Administrativo de Cundinamarca, Sección Tercera, Subsección B, que negó las pretensiones de la demanda dentro del proceso 34230 y en su lugar disponer:</w:t>
      </w:r>
    </w:p>
    <w:p w14:paraId="27CC6604" w14:textId="77777777" w:rsidR="00C32A38" w:rsidRPr="00C32A38" w:rsidRDefault="00C32A38" w:rsidP="00C32A38">
      <w:pPr>
        <w:spacing w:after="0" w:line="360" w:lineRule="auto"/>
        <w:jc w:val="both"/>
        <w:rPr>
          <w:rFonts w:ascii="Century Gothic" w:hAnsi="Century Gothic" w:cs="Arial"/>
          <w:sz w:val="24"/>
          <w:szCs w:val="24"/>
          <w:lang w:val="es-ES"/>
        </w:rPr>
      </w:pPr>
    </w:p>
    <w:p w14:paraId="677270CE" w14:textId="77777777" w:rsidR="00C32A38" w:rsidRPr="00C32A38" w:rsidRDefault="00C32A38" w:rsidP="00C32A38">
      <w:pPr>
        <w:spacing w:after="0" w:line="276" w:lineRule="auto"/>
        <w:ind w:left="567" w:right="567"/>
        <w:jc w:val="both"/>
        <w:rPr>
          <w:rFonts w:ascii="Century Gothic" w:hAnsi="Century Gothic" w:cs="Arial"/>
          <w:lang w:val="es-ES"/>
        </w:rPr>
      </w:pPr>
      <w:r w:rsidRPr="00C32A38">
        <w:rPr>
          <w:rFonts w:ascii="Century Gothic" w:hAnsi="Century Gothic" w:cs="Arial"/>
          <w:b/>
          <w:lang w:val="es-ES"/>
        </w:rPr>
        <w:t>“PRIMERO: DECLARAR</w:t>
      </w:r>
      <w:r w:rsidRPr="00C32A38">
        <w:rPr>
          <w:rFonts w:ascii="Century Gothic" w:hAnsi="Century Gothic" w:cs="Arial"/>
          <w:lang w:val="es-ES"/>
        </w:rPr>
        <w:t xml:space="preserve"> que el contrato 103/95 y su adicional No. 1, celebrados entre el </w:t>
      </w:r>
      <w:r w:rsidRPr="00C32A38">
        <w:rPr>
          <w:rFonts w:ascii="Century Gothic" w:eastAsia="Times New Roman" w:hAnsi="Century Gothic"/>
          <w:lang w:val="es-ES" w:eastAsia="es-ES"/>
        </w:rPr>
        <w:t xml:space="preserve">Instituto Nacional de Vivienda Urbana </w:t>
      </w:r>
      <w:r w:rsidRPr="00C32A38">
        <w:rPr>
          <w:rFonts w:ascii="Century Gothic" w:hAnsi="Century Gothic" w:cs="Arial"/>
          <w:lang w:val="es-ES"/>
        </w:rPr>
        <w:t xml:space="preserve">y </w:t>
      </w:r>
      <w:proofErr w:type="spellStart"/>
      <w:r w:rsidRPr="00C32A38">
        <w:rPr>
          <w:rFonts w:ascii="Century Gothic" w:hAnsi="Century Gothic" w:cs="Arial"/>
          <w:lang w:val="es-ES"/>
        </w:rPr>
        <w:t>Ultraservicios</w:t>
      </w:r>
      <w:proofErr w:type="spellEnd"/>
      <w:r w:rsidRPr="00C32A38">
        <w:rPr>
          <w:rFonts w:ascii="Century Gothic" w:hAnsi="Century Gothic" w:cs="Arial"/>
          <w:lang w:val="es-ES"/>
        </w:rPr>
        <w:t xml:space="preserve"> Fiduciarios – </w:t>
      </w:r>
      <w:proofErr w:type="spellStart"/>
      <w:r w:rsidRPr="00C32A38">
        <w:rPr>
          <w:rFonts w:ascii="Century Gothic" w:hAnsi="Century Gothic" w:cs="Arial"/>
          <w:lang w:val="es-ES"/>
        </w:rPr>
        <w:t>Fidultra</w:t>
      </w:r>
      <w:proofErr w:type="spellEnd"/>
      <w:r w:rsidRPr="00C32A38">
        <w:rPr>
          <w:rFonts w:ascii="Century Gothic" w:hAnsi="Century Gothic" w:cs="Arial"/>
          <w:lang w:val="es-ES"/>
        </w:rPr>
        <w:t xml:space="preserve"> S.A., son contratos de fiducia pública regidos por la Ley 80 de 1993 y que la totalidad del dinero entregado por la entidad a la sociedad fiduciaria eran recursos públicos destinados a la financiación de vivienda de interés social.</w:t>
      </w:r>
    </w:p>
    <w:p w14:paraId="2C5E885F" w14:textId="77777777" w:rsidR="00C32A38" w:rsidRPr="00C32A38" w:rsidRDefault="00C32A38" w:rsidP="00C32A38">
      <w:pPr>
        <w:spacing w:after="0" w:line="276" w:lineRule="auto"/>
        <w:ind w:left="567" w:right="567"/>
        <w:jc w:val="both"/>
        <w:rPr>
          <w:rFonts w:ascii="Century Gothic" w:hAnsi="Century Gothic" w:cs="Arial"/>
          <w:lang w:val="es-ES"/>
        </w:rPr>
      </w:pPr>
    </w:p>
    <w:p w14:paraId="41A26FD1" w14:textId="77777777" w:rsidR="00C32A38" w:rsidRPr="00C32A38" w:rsidRDefault="00C32A38" w:rsidP="00C32A38">
      <w:pPr>
        <w:spacing w:after="0" w:line="276" w:lineRule="auto"/>
        <w:ind w:left="567" w:right="567"/>
        <w:jc w:val="both"/>
        <w:rPr>
          <w:rFonts w:ascii="Century Gothic" w:hAnsi="Century Gothic" w:cs="Arial"/>
          <w:lang w:val="es-ES"/>
        </w:rPr>
      </w:pPr>
      <w:r w:rsidRPr="00C32A38">
        <w:rPr>
          <w:rFonts w:ascii="Century Gothic" w:hAnsi="Century Gothic" w:cs="Arial"/>
          <w:b/>
          <w:lang w:val="es-ES"/>
        </w:rPr>
        <w:t>“SEGUNDO: NEGAR</w:t>
      </w:r>
      <w:r w:rsidRPr="00C32A38">
        <w:rPr>
          <w:rFonts w:ascii="Century Gothic" w:hAnsi="Century Gothic" w:cs="Arial"/>
          <w:lang w:val="es-ES"/>
        </w:rPr>
        <w:t xml:space="preserve"> las demás pretensiones de la demanda, incluida la relativa al incumplimiento de </w:t>
      </w:r>
      <w:proofErr w:type="spellStart"/>
      <w:r w:rsidRPr="00C32A38">
        <w:rPr>
          <w:rFonts w:ascii="Century Gothic" w:hAnsi="Century Gothic" w:cs="Arial"/>
          <w:lang w:val="es-ES"/>
        </w:rPr>
        <w:t>Ultraservicios</w:t>
      </w:r>
      <w:proofErr w:type="spellEnd"/>
      <w:r w:rsidRPr="00C32A38">
        <w:rPr>
          <w:rFonts w:ascii="Century Gothic" w:hAnsi="Century Gothic" w:cs="Arial"/>
          <w:lang w:val="es-ES"/>
        </w:rPr>
        <w:t xml:space="preserve"> Fiduciarios S.A., </w:t>
      </w:r>
      <w:r w:rsidRPr="00C32A38">
        <w:rPr>
          <w:rFonts w:ascii="Century Gothic" w:hAnsi="Century Gothic" w:cs="Arial"/>
        </w:rPr>
        <w:t>de conformidad con las razones expuestas en la parte motiva de esta providencia.”</w:t>
      </w:r>
    </w:p>
    <w:p w14:paraId="0FA86D76" w14:textId="77777777" w:rsidR="00C32A38" w:rsidRPr="00C32A38" w:rsidRDefault="00C32A38" w:rsidP="00C32A38">
      <w:pPr>
        <w:spacing w:after="0" w:line="360" w:lineRule="auto"/>
        <w:jc w:val="both"/>
        <w:rPr>
          <w:rFonts w:ascii="Century Gothic" w:hAnsi="Century Gothic" w:cs="Arial"/>
          <w:sz w:val="24"/>
          <w:szCs w:val="24"/>
          <w:lang w:val="es-ES"/>
        </w:rPr>
      </w:pPr>
    </w:p>
    <w:p w14:paraId="4B7BF4C0" w14:textId="77777777" w:rsidR="00C32A38" w:rsidRPr="00C32A38" w:rsidRDefault="00C32A38" w:rsidP="00C32A38">
      <w:pPr>
        <w:spacing w:after="0" w:line="360" w:lineRule="auto"/>
        <w:jc w:val="both"/>
        <w:rPr>
          <w:rFonts w:ascii="Century Gothic" w:hAnsi="Century Gothic" w:cs="Arial"/>
          <w:sz w:val="24"/>
          <w:szCs w:val="24"/>
          <w:lang w:val="es-ES"/>
        </w:rPr>
      </w:pPr>
      <w:r w:rsidRPr="00C32A38">
        <w:rPr>
          <w:rFonts w:ascii="Century Gothic" w:hAnsi="Century Gothic" w:cs="Arial"/>
          <w:b/>
          <w:sz w:val="24"/>
          <w:szCs w:val="24"/>
          <w:lang w:val="es-ES"/>
        </w:rPr>
        <w:t xml:space="preserve">TERCERO: DECLARAR </w:t>
      </w:r>
      <w:r w:rsidRPr="00C32A38">
        <w:rPr>
          <w:rFonts w:ascii="Century Gothic" w:hAnsi="Century Gothic" w:cs="Arial"/>
          <w:sz w:val="24"/>
          <w:szCs w:val="24"/>
          <w:lang w:val="es-ES"/>
        </w:rPr>
        <w:t xml:space="preserve">liquidado judicialmente el contrato de fiducia pública 103/95 y su adicional No. 1 suscritos entre el Instituto Nacional de Vivienda Urbana y </w:t>
      </w:r>
      <w:proofErr w:type="spellStart"/>
      <w:r w:rsidRPr="00C32A38">
        <w:rPr>
          <w:rFonts w:ascii="Century Gothic" w:hAnsi="Century Gothic" w:cs="Arial"/>
          <w:sz w:val="24"/>
          <w:szCs w:val="24"/>
          <w:lang w:val="es-ES"/>
        </w:rPr>
        <w:t>Ultraservicios</w:t>
      </w:r>
      <w:proofErr w:type="spellEnd"/>
      <w:r w:rsidRPr="00C32A38">
        <w:rPr>
          <w:rFonts w:ascii="Century Gothic" w:hAnsi="Century Gothic" w:cs="Arial"/>
          <w:sz w:val="24"/>
          <w:szCs w:val="24"/>
          <w:lang w:val="es-ES"/>
        </w:rPr>
        <w:t xml:space="preserve"> Fiduciarios – </w:t>
      </w:r>
      <w:proofErr w:type="spellStart"/>
      <w:r w:rsidRPr="00C32A38">
        <w:rPr>
          <w:rFonts w:ascii="Century Gothic" w:hAnsi="Century Gothic" w:cs="Arial"/>
          <w:sz w:val="24"/>
          <w:szCs w:val="24"/>
          <w:lang w:val="es-ES"/>
        </w:rPr>
        <w:t>Fidultra</w:t>
      </w:r>
      <w:proofErr w:type="spellEnd"/>
      <w:r w:rsidRPr="00C32A38">
        <w:rPr>
          <w:rFonts w:ascii="Century Gothic" w:hAnsi="Century Gothic" w:cs="Arial"/>
          <w:sz w:val="24"/>
          <w:szCs w:val="24"/>
          <w:lang w:val="es-ES"/>
        </w:rPr>
        <w:t xml:space="preserve"> S.A.</w:t>
      </w:r>
    </w:p>
    <w:p w14:paraId="6D693C05" w14:textId="77777777" w:rsidR="00C32A38" w:rsidRPr="00C32A38" w:rsidRDefault="00C32A38" w:rsidP="00C32A38">
      <w:pPr>
        <w:spacing w:after="0" w:line="360" w:lineRule="auto"/>
        <w:jc w:val="both"/>
        <w:rPr>
          <w:rFonts w:ascii="Century Gothic" w:hAnsi="Century Gothic" w:cs="Arial"/>
          <w:b/>
          <w:sz w:val="24"/>
          <w:szCs w:val="24"/>
          <w:lang w:val="es-ES"/>
        </w:rPr>
      </w:pPr>
    </w:p>
    <w:p w14:paraId="79307696" w14:textId="77777777" w:rsidR="00C32A38" w:rsidRPr="00C32A38" w:rsidRDefault="00C32A38" w:rsidP="00C32A38">
      <w:pPr>
        <w:overflowPunct w:val="0"/>
        <w:autoSpaceDE w:val="0"/>
        <w:autoSpaceDN w:val="0"/>
        <w:adjustRightInd w:val="0"/>
        <w:spacing w:after="0" w:line="360" w:lineRule="auto"/>
        <w:jc w:val="both"/>
        <w:textAlignment w:val="baseline"/>
        <w:rPr>
          <w:rFonts w:ascii="Century Gothic" w:hAnsi="Century Gothic" w:cs="Arial"/>
          <w:bCs/>
          <w:sz w:val="24"/>
          <w:szCs w:val="24"/>
        </w:rPr>
      </w:pPr>
      <w:r w:rsidRPr="00C32A38">
        <w:rPr>
          <w:rFonts w:ascii="Century Gothic" w:hAnsi="Century Gothic" w:cs="Arial"/>
          <w:b/>
          <w:bCs/>
          <w:sz w:val="24"/>
          <w:szCs w:val="24"/>
        </w:rPr>
        <w:t>CUARTO:</w:t>
      </w:r>
      <w:r w:rsidRPr="00C32A38">
        <w:rPr>
          <w:rFonts w:ascii="Century Gothic" w:hAnsi="Century Gothic" w:cs="Arial"/>
          <w:bCs/>
          <w:sz w:val="24"/>
          <w:szCs w:val="24"/>
        </w:rPr>
        <w:t xml:space="preserve"> para el cumplimiento de esta sentencia </w:t>
      </w:r>
      <w:r w:rsidRPr="00C32A38">
        <w:rPr>
          <w:rFonts w:ascii="Century Gothic" w:hAnsi="Century Gothic" w:cs="Arial"/>
          <w:b/>
          <w:bCs/>
          <w:sz w:val="24"/>
          <w:szCs w:val="24"/>
        </w:rPr>
        <w:t xml:space="preserve">EXPEDIR </w:t>
      </w:r>
      <w:r w:rsidRPr="00C32A38">
        <w:rPr>
          <w:rFonts w:ascii="Century Gothic" w:hAnsi="Century Gothic" w:cs="Arial"/>
          <w:bCs/>
          <w:sz w:val="24"/>
          <w:szCs w:val="24"/>
        </w:rPr>
        <w:t>copias con destino a las partes.</w:t>
      </w:r>
    </w:p>
    <w:p w14:paraId="5342528D" w14:textId="77777777" w:rsidR="00C32A38" w:rsidRPr="00C32A38" w:rsidRDefault="00C32A38" w:rsidP="00C32A38">
      <w:pPr>
        <w:overflowPunct w:val="0"/>
        <w:autoSpaceDE w:val="0"/>
        <w:autoSpaceDN w:val="0"/>
        <w:adjustRightInd w:val="0"/>
        <w:spacing w:after="0" w:line="360" w:lineRule="auto"/>
        <w:jc w:val="both"/>
        <w:textAlignment w:val="baseline"/>
        <w:rPr>
          <w:rFonts w:ascii="Century Gothic" w:hAnsi="Century Gothic" w:cs="Arial"/>
          <w:bCs/>
          <w:sz w:val="24"/>
          <w:szCs w:val="24"/>
        </w:rPr>
      </w:pPr>
    </w:p>
    <w:p w14:paraId="3265C104" w14:textId="77777777" w:rsidR="00C32A38" w:rsidRPr="00C32A38" w:rsidRDefault="00C32A38" w:rsidP="00C32A38">
      <w:pPr>
        <w:overflowPunct w:val="0"/>
        <w:autoSpaceDE w:val="0"/>
        <w:autoSpaceDN w:val="0"/>
        <w:adjustRightInd w:val="0"/>
        <w:spacing w:after="0" w:line="360" w:lineRule="auto"/>
        <w:jc w:val="both"/>
        <w:textAlignment w:val="baseline"/>
        <w:rPr>
          <w:rFonts w:ascii="Century Gothic" w:hAnsi="Century Gothic" w:cs="Arial"/>
          <w:sz w:val="24"/>
          <w:szCs w:val="24"/>
          <w:lang w:val="es-ES"/>
        </w:rPr>
      </w:pPr>
      <w:r w:rsidRPr="00C32A38">
        <w:rPr>
          <w:rFonts w:ascii="Century Gothic" w:hAnsi="Century Gothic" w:cs="Arial"/>
          <w:b/>
          <w:bCs/>
          <w:sz w:val="24"/>
          <w:szCs w:val="24"/>
        </w:rPr>
        <w:lastRenderedPageBreak/>
        <w:t xml:space="preserve">QUINTO: </w:t>
      </w:r>
      <w:r w:rsidRPr="00C32A38">
        <w:rPr>
          <w:rFonts w:ascii="Century Gothic" w:hAnsi="Century Gothic" w:cs="Arial"/>
          <w:bCs/>
          <w:sz w:val="24"/>
          <w:szCs w:val="24"/>
        </w:rPr>
        <w:t xml:space="preserve">por Secretaría, una vez de ejecutoriado este proveído, </w:t>
      </w:r>
      <w:r w:rsidRPr="00C32A38">
        <w:rPr>
          <w:rFonts w:ascii="Century Gothic" w:hAnsi="Century Gothic" w:cs="Arial"/>
          <w:b/>
          <w:bCs/>
          <w:sz w:val="24"/>
          <w:szCs w:val="24"/>
        </w:rPr>
        <w:t xml:space="preserve">DEVOLVER </w:t>
      </w:r>
      <w:r w:rsidRPr="00C32A38">
        <w:rPr>
          <w:rFonts w:ascii="Century Gothic" w:hAnsi="Century Gothic" w:cs="Arial"/>
          <w:bCs/>
          <w:sz w:val="24"/>
          <w:szCs w:val="24"/>
        </w:rPr>
        <w:t xml:space="preserve">el expediente al Tribunal de origen. </w:t>
      </w:r>
    </w:p>
    <w:p w14:paraId="04AA8F79" w14:textId="77777777" w:rsidR="00C32A38" w:rsidRPr="00C32A38" w:rsidRDefault="00C32A38" w:rsidP="00C32A38">
      <w:pPr>
        <w:spacing w:after="0" w:line="240" w:lineRule="auto"/>
        <w:jc w:val="center"/>
        <w:rPr>
          <w:rFonts w:ascii="Century Gothic" w:hAnsi="Century Gothic" w:cs="Arial"/>
          <w:sz w:val="24"/>
          <w:szCs w:val="24"/>
          <w:lang w:val="es-ES"/>
        </w:rPr>
      </w:pPr>
    </w:p>
    <w:p w14:paraId="1E4EC058" w14:textId="77777777" w:rsidR="00C32A38" w:rsidRPr="00C32A38" w:rsidRDefault="00C32A38" w:rsidP="00C32A38">
      <w:pPr>
        <w:spacing w:after="0" w:line="240" w:lineRule="auto"/>
        <w:jc w:val="center"/>
        <w:rPr>
          <w:rFonts w:ascii="Century Gothic" w:hAnsi="Century Gothic" w:cs="Arial"/>
          <w:sz w:val="24"/>
          <w:szCs w:val="24"/>
          <w:lang w:val="es-ES"/>
        </w:rPr>
      </w:pPr>
    </w:p>
    <w:p w14:paraId="4E35A9F6" w14:textId="77777777" w:rsidR="00C32A38" w:rsidRPr="00C32A38" w:rsidRDefault="00C32A38" w:rsidP="00C32A38">
      <w:pPr>
        <w:spacing w:after="0" w:line="360" w:lineRule="auto"/>
        <w:jc w:val="center"/>
        <w:rPr>
          <w:rFonts w:ascii="Century Gothic" w:hAnsi="Century Gothic" w:cs="Arial"/>
          <w:b/>
          <w:sz w:val="24"/>
          <w:szCs w:val="24"/>
          <w:lang w:val="es-ES"/>
        </w:rPr>
      </w:pPr>
      <w:r w:rsidRPr="00C32A38">
        <w:rPr>
          <w:rFonts w:ascii="Century Gothic" w:hAnsi="Century Gothic" w:cs="Arial"/>
          <w:b/>
          <w:sz w:val="24"/>
          <w:szCs w:val="24"/>
          <w:lang w:val="es-ES"/>
        </w:rPr>
        <w:t>NOTIFÍQUESE Y CÚMPLASE</w:t>
      </w:r>
    </w:p>
    <w:p w14:paraId="7BC632D5" w14:textId="77777777" w:rsidR="00C32A38" w:rsidRPr="00C32A38" w:rsidRDefault="00C32A38" w:rsidP="00C32A38">
      <w:pPr>
        <w:spacing w:after="0" w:line="276" w:lineRule="auto"/>
        <w:jc w:val="both"/>
        <w:rPr>
          <w:rFonts w:ascii="Century Gothic" w:hAnsi="Century Gothic" w:cs="Arial"/>
          <w:sz w:val="24"/>
          <w:szCs w:val="24"/>
          <w:lang w:val="es-ES"/>
        </w:rPr>
      </w:pPr>
    </w:p>
    <w:p w14:paraId="7D9907DE" w14:textId="77777777" w:rsidR="00C32A38" w:rsidRPr="00C32A38" w:rsidRDefault="00C32A38" w:rsidP="00C32A38">
      <w:pPr>
        <w:spacing w:after="0" w:line="276" w:lineRule="auto"/>
        <w:jc w:val="both"/>
        <w:rPr>
          <w:rFonts w:ascii="Century Gothic" w:hAnsi="Century Gothic" w:cs="Arial"/>
          <w:sz w:val="24"/>
          <w:szCs w:val="24"/>
          <w:lang w:val="es-ES"/>
        </w:rPr>
      </w:pPr>
    </w:p>
    <w:p w14:paraId="72CFBE77" w14:textId="77777777" w:rsidR="00C32A38" w:rsidRPr="00C32A38" w:rsidRDefault="00C32A38" w:rsidP="00C32A38">
      <w:pPr>
        <w:spacing w:after="0" w:line="276" w:lineRule="auto"/>
        <w:jc w:val="both"/>
        <w:rPr>
          <w:rFonts w:ascii="Century Gothic" w:hAnsi="Century Gothic" w:cs="Arial"/>
          <w:sz w:val="24"/>
          <w:szCs w:val="24"/>
          <w:lang w:val="es-ES"/>
        </w:rPr>
      </w:pPr>
    </w:p>
    <w:p w14:paraId="26CACDF3" w14:textId="77777777" w:rsidR="00C32A38" w:rsidRPr="00C32A38" w:rsidRDefault="00C32A38" w:rsidP="00C32A38">
      <w:pPr>
        <w:spacing w:after="0" w:line="276" w:lineRule="auto"/>
        <w:jc w:val="center"/>
        <w:rPr>
          <w:rFonts w:ascii="Century Gothic" w:hAnsi="Century Gothic" w:cs="Arial"/>
          <w:b/>
          <w:sz w:val="24"/>
          <w:szCs w:val="24"/>
          <w:lang w:val="es-ES"/>
        </w:rPr>
      </w:pPr>
      <w:r w:rsidRPr="00C32A38">
        <w:rPr>
          <w:rFonts w:ascii="Century Gothic" w:hAnsi="Century Gothic" w:cs="Arial"/>
          <w:b/>
          <w:sz w:val="24"/>
          <w:szCs w:val="24"/>
          <w:lang w:val="es-ES"/>
        </w:rPr>
        <w:t>ARTURO SANABRIA GÓMEZ</w:t>
      </w:r>
    </w:p>
    <w:p w14:paraId="4D4B9A59" w14:textId="77777777" w:rsidR="00C32A38" w:rsidRPr="00C32A38" w:rsidRDefault="00C32A38" w:rsidP="00C32A38">
      <w:pPr>
        <w:spacing w:after="0" w:line="276" w:lineRule="auto"/>
        <w:jc w:val="center"/>
        <w:rPr>
          <w:rFonts w:ascii="Century Gothic" w:hAnsi="Century Gothic" w:cs="Arial"/>
          <w:sz w:val="24"/>
          <w:szCs w:val="24"/>
          <w:lang w:val="es-ES"/>
        </w:rPr>
      </w:pPr>
      <w:r w:rsidRPr="00C32A38">
        <w:rPr>
          <w:rFonts w:ascii="Century Gothic" w:hAnsi="Century Gothic" w:cs="Arial"/>
          <w:sz w:val="24"/>
          <w:szCs w:val="24"/>
          <w:lang w:val="es-ES"/>
        </w:rPr>
        <w:t>Conjuez</w:t>
      </w:r>
    </w:p>
    <w:p w14:paraId="686D3593" w14:textId="77777777" w:rsidR="00C32A38" w:rsidRPr="00C32A38" w:rsidRDefault="00C32A38" w:rsidP="00C32A38">
      <w:pPr>
        <w:spacing w:after="0" w:line="360" w:lineRule="auto"/>
        <w:jc w:val="center"/>
        <w:rPr>
          <w:rFonts w:ascii="Century Gothic" w:hAnsi="Century Gothic" w:cs="Arial"/>
          <w:b/>
          <w:sz w:val="24"/>
          <w:szCs w:val="24"/>
          <w:lang w:val="es-ES"/>
        </w:rPr>
      </w:pPr>
    </w:p>
    <w:p w14:paraId="40AD4229" w14:textId="77777777" w:rsidR="00C32A38" w:rsidRPr="00C32A38" w:rsidRDefault="00C32A38" w:rsidP="00C32A38">
      <w:pPr>
        <w:spacing w:after="0" w:line="360" w:lineRule="auto"/>
        <w:jc w:val="center"/>
        <w:rPr>
          <w:rFonts w:ascii="Century Gothic" w:hAnsi="Century Gothic" w:cs="Arial"/>
          <w:b/>
          <w:sz w:val="24"/>
          <w:szCs w:val="24"/>
          <w:lang w:val="es-ES"/>
        </w:rPr>
      </w:pPr>
    </w:p>
    <w:p w14:paraId="51CFFF1A" w14:textId="77777777" w:rsidR="00C32A38" w:rsidRPr="00C32A38" w:rsidRDefault="00C32A38" w:rsidP="00C32A38">
      <w:pPr>
        <w:spacing w:after="0" w:line="360" w:lineRule="auto"/>
        <w:jc w:val="center"/>
        <w:rPr>
          <w:rFonts w:ascii="Century Gothic" w:hAnsi="Century Gothic" w:cs="Arial"/>
          <w:b/>
          <w:sz w:val="24"/>
          <w:szCs w:val="24"/>
          <w:lang w:val="es-ES"/>
        </w:rPr>
      </w:pPr>
    </w:p>
    <w:p w14:paraId="337A6AFA" w14:textId="77777777" w:rsidR="00C32A38" w:rsidRPr="00C32A38" w:rsidRDefault="00C32A38" w:rsidP="00C32A38">
      <w:pPr>
        <w:spacing w:after="0" w:line="240" w:lineRule="auto"/>
        <w:jc w:val="center"/>
        <w:rPr>
          <w:rFonts w:ascii="Century Gothic" w:hAnsi="Century Gothic" w:cs="Arial"/>
          <w:b/>
          <w:sz w:val="24"/>
          <w:szCs w:val="24"/>
          <w:lang w:val="es-ES"/>
        </w:rPr>
      </w:pPr>
      <w:r w:rsidRPr="00C32A38">
        <w:rPr>
          <w:rFonts w:ascii="Century Gothic" w:hAnsi="Century Gothic" w:cs="Arial"/>
          <w:b/>
          <w:sz w:val="24"/>
          <w:szCs w:val="24"/>
          <w:lang w:val="es-ES"/>
        </w:rPr>
        <w:t>DIEGO ENRIQUE FRANCO VICTORIA</w:t>
      </w:r>
    </w:p>
    <w:p w14:paraId="7A66CD30" w14:textId="77777777" w:rsidR="00C32A38" w:rsidRPr="00C32A38" w:rsidRDefault="00C32A38" w:rsidP="00C32A38">
      <w:pPr>
        <w:spacing w:after="0" w:line="240" w:lineRule="auto"/>
        <w:jc w:val="center"/>
        <w:rPr>
          <w:rFonts w:ascii="Century Gothic" w:hAnsi="Century Gothic" w:cs="Arial"/>
          <w:b/>
          <w:sz w:val="24"/>
          <w:szCs w:val="24"/>
          <w:lang w:val="es-ES"/>
        </w:rPr>
      </w:pPr>
      <w:r w:rsidRPr="00C32A38">
        <w:rPr>
          <w:rFonts w:ascii="Century Gothic" w:hAnsi="Century Gothic" w:cs="Arial"/>
          <w:sz w:val="24"/>
          <w:szCs w:val="24"/>
          <w:lang w:val="es-ES"/>
        </w:rPr>
        <w:t>Conjuez</w:t>
      </w:r>
    </w:p>
    <w:p w14:paraId="54DA9882" w14:textId="77777777" w:rsidR="00C32A38" w:rsidRPr="00C32A38" w:rsidRDefault="00C32A38" w:rsidP="00C32A38">
      <w:pPr>
        <w:spacing w:after="0" w:line="360" w:lineRule="auto"/>
        <w:jc w:val="center"/>
        <w:rPr>
          <w:rFonts w:ascii="Century Gothic" w:hAnsi="Century Gothic" w:cs="Arial"/>
          <w:b/>
          <w:sz w:val="24"/>
          <w:szCs w:val="24"/>
          <w:lang w:val="es-ES"/>
        </w:rPr>
      </w:pPr>
    </w:p>
    <w:p w14:paraId="6119869F" w14:textId="77777777" w:rsidR="00C32A38" w:rsidRPr="00C32A38" w:rsidRDefault="00C32A38" w:rsidP="00C32A38">
      <w:pPr>
        <w:spacing w:after="0" w:line="360" w:lineRule="auto"/>
        <w:jc w:val="center"/>
        <w:rPr>
          <w:rFonts w:ascii="Century Gothic" w:hAnsi="Century Gothic" w:cs="Arial"/>
          <w:b/>
          <w:sz w:val="24"/>
          <w:szCs w:val="24"/>
          <w:lang w:val="es-ES"/>
        </w:rPr>
      </w:pPr>
    </w:p>
    <w:p w14:paraId="2B4E61F9" w14:textId="77777777" w:rsidR="00C32A38" w:rsidRPr="00C32A38" w:rsidRDefault="00C32A38" w:rsidP="00C32A38">
      <w:pPr>
        <w:spacing w:after="0" w:line="360" w:lineRule="auto"/>
        <w:jc w:val="center"/>
        <w:rPr>
          <w:rFonts w:ascii="Century Gothic" w:hAnsi="Century Gothic" w:cs="Arial"/>
          <w:b/>
          <w:sz w:val="24"/>
          <w:szCs w:val="24"/>
          <w:lang w:val="es-ES"/>
        </w:rPr>
      </w:pPr>
    </w:p>
    <w:p w14:paraId="7911499F" w14:textId="77777777" w:rsidR="00C32A38" w:rsidRPr="00C32A38" w:rsidRDefault="00C32A38" w:rsidP="00C32A38">
      <w:pPr>
        <w:spacing w:after="0" w:line="360" w:lineRule="auto"/>
        <w:jc w:val="center"/>
        <w:rPr>
          <w:rFonts w:ascii="Century Gothic" w:hAnsi="Century Gothic" w:cs="Arial"/>
          <w:b/>
          <w:sz w:val="24"/>
          <w:szCs w:val="24"/>
          <w:lang w:val="es-ES"/>
        </w:rPr>
      </w:pPr>
      <w:r w:rsidRPr="00C32A38">
        <w:rPr>
          <w:rFonts w:ascii="Century Gothic" w:hAnsi="Century Gothic" w:cs="Arial"/>
          <w:b/>
          <w:sz w:val="24"/>
          <w:szCs w:val="24"/>
          <w:lang w:val="es-ES"/>
        </w:rPr>
        <w:t>ALBERTO MONTAÑA PLATA</w:t>
      </w:r>
    </w:p>
    <w:p w14:paraId="2742537F" w14:textId="77777777" w:rsidR="00C32A38" w:rsidRPr="008B2995" w:rsidRDefault="00C32A38" w:rsidP="0055591F">
      <w:pPr>
        <w:rPr>
          <w:rFonts w:ascii="Arial" w:hAnsi="Arial" w:cs="Arial"/>
          <w:sz w:val="24"/>
          <w:szCs w:val="24"/>
        </w:rPr>
      </w:pPr>
    </w:p>
    <w:p w14:paraId="3689F6FE" w14:textId="77777777" w:rsidR="00693953" w:rsidRDefault="00693953"/>
    <w:sectPr w:rsidR="00693953" w:rsidSect="000C51DA">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E1CFD" w14:textId="77777777" w:rsidR="00315539" w:rsidRDefault="00315539" w:rsidP="00C32A38">
      <w:pPr>
        <w:spacing w:after="0" w:line="240" w:lineRule="auto"/>
      </w:pPr>
      <w:r>
        <w:separator/>
      </w:r>
    </w:p>
  </w:endnote>
  <w:endnote w:type="continuationSeparator" w:id="0">
    <w:p w14:paraId="3FD31885" w14:textId="77777777" w:rsidR="00315539" w:rsidRDefault="00315539" w:rsidP="00C3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A6437" w14:textId="77777777" w:rsidR="00315539" w:rsidRDefault="00315539" w:rsidP="00C32A38">
      <w:pPr>
        <w:spacing w:after="0" w:line="240" w:lineRule="auto"/>
      </w:pPr>
      <w:r>
        <w:separator/>
      </w:r>
    </w:p>
  </w:footnote>
  <w:footnote w:type="continuationSeparator" w:id="0">
    <w:p w14:paraId="0BA544F5" w14:textId="77777777" w:rsidR="00315539" w:rsidRDefault="00315539" w:rsidP="00C32A38">
      <w:pPr>
        <w:spacing w:after="0" w:line="240" w:lineRule="auto"/>
      </w:pPr>
      <w:r>
        <w:continuationSeparator/>
      </w:r>
    </w:p>
  </w:footnote>
  <w:footnote w:id="1">
    <w:p w14:paraId="1B660BDC"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Los procesos de la referencia fueron acumulados mediante Auto de 24 de marzo de 2017, de conformidad con lo previsto en el artículo 145 del Código Contencioso Administrativo (folios 560-568 del cuaderno del Consejo de Estado del expediente 30634).</w:t>
      </w:r>
    </w:p>
  </w:footnote>
  <w:footnote w:id="2">
    <w:p w14:paraId="34E1C42D"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Folios 5-46 </w:t>
      </w:r>
      <w:r w:rsidRPr="00A82DC5">
        <w:rPr>
          <w:rFonts w:ascii="Century Gothic" w:hAnsi="Century Gothic"/>
          <w:lang w:val="es-CO"/>
        </w:rPr>
        <w:t>del cuaderno No. 2 del expediente 30634</w:t>
      </w:r>
    </w:p>
  </w:footnote>
  <w:footnote w:id="3">
    <w:p w14:paraId="542FB03D"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 7 del cuaderno 16 del proceso 30634.</w:t>
      </w:r>
    </w:p>
  </w:footnote>
  <w:footnote w:id="4">
    <w:p w14:paraId="4488EF59"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Los Certificados de Depósito de Ahorro a Término son expedidos por entidades autorizadas para el ahorro de dinero a término fijo, por lo que debe esperarse a su vencimiento para cobrarlos. Son endosables y, a diferencia de los </w:t>
      </w:r>
      <w:r w:rsidRPr="00A82DC5">
        <w:rPr>
          <w:rFonts w:ascii="Century Gothic" w:hAnsi="Century Gothic"/>
        </w:rPr>
        <w:t>CDTs, se pueden abrir por un plazo menor de 30 días.</w:t>
      </w:r>
    </w:p>
  </w:footnote>
  <w:footnote w:id="5">
    <w:p w14:paraId="54530558"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 16 del cuaderno No. 2 del expediente 30634.</w:t>
      </w:r>
    </w:p>
  </w:footnote>
  <w:footnote w:id="6">
    <w:p w14:paraId="1000DCE9"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 17 del cuaderno No. 2 del expediente 30634.</w:t>
      </w:r>
    </w:p>
  </w:footnote>
  <w:footnote w:id="7">
    <w:p w14:paraId="0C278541"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 52 del cuaderno No. 2 del expediente 30634.</w:t>
      </w:r>
    </w:p>
  </w:footnote>
  <w:footnote w:id="8">
    <w:p w14:paraId="632FC157"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Folios </w:t>
      </w:r>
      <w:r w:rsidRPr="00A82DC5">
        <w:rPr>
          <w:rFonts w:ascii="Century Gothic" w:hAnsi="Century Gothic"/>
          <w:lang w:val="es-CO"/>
        </w:rPr>
        <w:t>64-82 del cuaderno No. 2 del expediente 30634.</w:t>
      </w:r>
    </w:p>
  </w:footnote>
  <w:footnote w:id="9">
    <w:p w14:paraId="3A18FF52" w14:textId="77777777" w:rsidR="00DE019C" w:rsidRPr="00A82DC5" w:rsidRDefault="00DE019C" w:rsidP="00C32A38">
      <w:pPr>
        <w:pStyle w:val="Textonotapie"/>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 69 del cuaderno No. 2 del expediente 30634.</w:t>
      </w:r>
    </w:p>
  </w:footnote>
  <w:footnote w:id="10">
    <w:p w14:paraId="6C07C906" w14:textId="77777777" w:rsidR="00DE019C" w:rsidRPr="00A82DC5" w:rsidRDefault="00DE019C" w:rsidP="00C32A38">
      <w:pPr>
        <w:pStyle w:val="Textonotapie"/>
        <w:jc w:val="both"/>
        <w:rPr>
          <w:rFonts w:ascii="Century Gothic" w:hAnsi="Century Gothic"/>
          <w:b/>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214-237 del cuaderno del Consejo de Estado del expediente 30634.</w:t>
      </w:r>
    </w:p>
  </w:footnote>
  <w:footnote w:id="11">
    <w:p w14:paraId="01B7DC07"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Folios 5-27 del cuaderno No. 1 del expediente 34230.</w:t>
      </w:r>
    </w:p>
  </w:footnote>
  <w:footnote w:id="12">
    <w:p w14:paraId="05809AF0"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 7 del cuaderno No. 1 del expediente 34230.</w:t>
      </w:r>
    </w:p>
  </w:footnote>
  <w:footnote w:id="13">
    <w:p w14:paraId="31C4AAFA"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Folios </w:t>
      </w:r>
      <w:r w:rsidRPr="00A82DC5">
        <w:rPr>
          <w:rFonts w:ascii="Century Gothic" w:hAnsi="Century Gothic"/>
          <w:lang w:val="es-CO"/>
        </w:rPr>
        <w:t xml:space="preserve">55-70 del cuaderno </w:t>
      </w:r>
      <w:r w:rsidRPr="00A82DC5">
        <w:rPr>
          <w:rFonts w:ascii="Century Gothic" w:hAnsi="Century Gothic"/>
        </w:rPr>
        <w:t>No. 1 del expediente 34230.</w:t>
      </w:r>
    </w:p>
  </w:footnote>
  <w:footnote w:id="14">
    <w:p w14:paraId="60E015B8"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 57 del cuaderno No. 1 del expediente 34230.</w:t>
      </w:r>
    </w:p>
  </w:footnote>
  <w:footnote w:id="15">
    <w:p w14:paraId="0FAE2DCB" w14:textId="77777777" w:rsidR="00DE019C" w:rsidRPr="00A82DC5" w:rsidRDefault="00DE019C" w:rsidP="00C32A38">
      <w:pPr>
        <w:pStyle w:val="Textonotapie"/>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 58 del cuaderno No. 1 del expediente 34230.</w:t>
      </w:r>
    </w:p>
  </w:footnote>
  <w:footnote w:id="16">
    <w:p w14:paraId="281F7CCB" w14:textId="77777777" w:rsidR="00DE019C" w:rsidRPr="00A82DC5" w:rsidRDefault="00DE019C" w:rsidP="00C32A38">
      <w:pPr>
        <w:pStyle w:val="Textonotapie"/>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 59 del cuaderno No. 1 del expediente 34230.</w:t>
      </w:r>
    </w:p>
  </w:footnote>
  <w:footnote w:id="17">
    <w:p w14:paraId="5B034C7D"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196-204 del cuaderno del Consejo de Estado del expediente 34230.</w:t>
      </w:r>
    </w:p>
  </w:footnote>
  <w:footnote w:id="18">
    <w:p w14:paraId="289A41F6"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 203 del cuaderno del Consejo de Estado del expediente 34230.</w:t>
      </w:r>
    </w:p>
  </w:footnote>
  <w:footnote w:id="19">
    <w:p w14:paraId="40E13915"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Folios 271-281 del cuaderno del Consejo de Estado del expediente 30634.</w:t>
      </w:r>
    </w:p>
  </w:footnote>
  <w:footnote w:id="20">
    <w:p w14:paraId="1B57B5BF"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Folios 276-277 del cuaderno del Consejo de Estado del expediente 30634.</w:t>
      </w:r>
    </w:p>
  </w:footnote>
  <w:footnote w:id="21">
    <w:p w14:paraId="0EE40F12"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Folios 290-315 del cuaderno del Consejo de Estado del expediente 30634.</w:t>
      </w:r>
    </w:p>
  </w:footnote>
  <w:footnote w:id="22">
    <w:p w14:paraId="5E22DF3B"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Folios 380-401 del cuaderno del Consejo de Estado del expediente 30634.</w:t>
      </w:r>
    </w:p>
  </w:footnote>
  <w:footnote w:id="23">
    <w:p w14:paraId="7ADAD563"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Folios 402-424 del cuaderno del Consejo de Estado del expediente 30634.</w:t>
      </w:r>
    </w:p>
  </w:footnote>
  <w:footnote w:id="24">
    <w:p w14:paraId="383939F1"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Folios 208-211 del cuaderno del Consejo de Estado del expediente 34230.</w:t>
      </w:r>
    </w:p>
  </w:footnote>
  <w:footnote w:id="25">
    <w:p w14:paraId="06709983"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 210 del cuaderno del Consejo de Estado del expediente 34230.</w:t>
      </w:r>
    </w:p>
  </w:footnote>
  <w:footnote w:id="26">
    <w:p w14:paraId="28BDEA98"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Folios 230-233 del cuaderno del Consejo de Estado del expediente 34230.</w:t>
      </w:r>
    </w:p>
  </w:footnote>
  <w:footnote w:id="27">
    <w:p w14:paraId="18DD7EF2"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Folios 238-240 del cuaderno del Consejo de Estado del expediente 34230.</w:t>
      </w:r>
    </w:p>
  </w:footnote>
  <w:footnote w:id="28">
    <w:p w14:paraId="045BC676"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Folios 253-259 del cuaderno del Consejo de Estado del expediente 34230.</w:t>
      </w:r>
    </w:p>
  </w:footnote>
  <w:footnote w:id="29">
    <w:p w14:paraId="4FD9475A" w14:textId="77777777" w:rsidR="00DE019C" w:rsidRPr="00A82DC5" w:rsidRDefault="00DE019C" w:rsidP="00C32A38">
      <w:pPr>
        <w:pStyle w:val="Textonotapie"/>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Folios 573-574 del cuaderno del Consejo de Estado del expediente 30634.</w:t>
      </w:r>
    </w:p>
  </w:footnote>
  <w:footnote w:id="30">
    <w:p w14:paraId="5D932129"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En consideración a los impedimentos manifestados por el </w:t>
      </w:r>
      <w:r w:rsidRPr="00A82DC5">
        <w:rPr>
          <w:rFonts w:ascii="Century Gothic" w:hAnsi="Century Gothic"/>
        </w:rPr>
        <w:t xml:space="preserve">Consejero Ramiro Pazos Guerrero y el Consejero Martín Bermúdez Muñoz para conocer del presente asunto (folios 567-570 y 575-576 del cuaderno 30634 del Consejo de Estado, respectivamente), se dispuso la realización del sorteo de conjueces prevista en el artículo 160A del CCA (folio 579). Realizado el sorteo fueron designados como conjueces Arturo Sanabria Gómez y Diego Enrique Franco Victoria (folio 580). </w:t>
      </w:r>
    </w:p>
  </w:footnote>
  <w:footnote w:id="31">
    <w:p w14:paraId="706BF716"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Artículos 75 de la Ley 80 de 1993 y 82 del Código Contencioso Administrativo.</w:t>
      </w:r>
    </w:p>
  </w:footnote>
  <w:footnote w:id="32">
    <w:p w14:paraId="78F2F4FC" w14:textId="77777777" w:rsidR="00DE019C" w:rsidRPr="00A82DC5" w:rsidRDefault="00DE019C" w:rsidP="00C32A38">
      <w:pPr>
        <w:pStyle w:val="Textonotapie"/>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 56 del cuaderno No. 2 del expediente 30634.</w:t>
      </w:r>
    </w:p>
  </w:footnote>
  <w:footnote w:id="33">
    <w:p w14:paraId="1BAD5A44" w14:textId="77777777" w:rsidR="00DE019C" w:rsidRPr="00A82DC5" w:rsidRDefault="00DE019C" w:rsidP="00C32A38">
      <w:pPr>
        <w:pStyle w:val="Textonotapie"/>
        <w:jc w:val="both"/>
        <w:rPr>
          <w:rFonts w:ascii="Century Gothic" w:hAnsi="Century Gothic"/>
          <w:i/>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i/>
        </w:rPr>
        <w:t>Artículo 136. Caducidad de las acciones (…)</w:t>
      </w:r>
    </w:p>
    <w:p w14:paraId="646C99C6" w14:textId="77777777" w:rsidR="00DE019C" w:rsidRPr="00A82DC5" w:rsidRDefault="00DE019C" w:rsidP="00C32A38">
      <w:pPr>
        <w:pStyle w:val="Textonotapie"/>
        <w:jc w:val="both"/>
        <w:rPr>
          <w:rFonts w:ascii="Century Gothic" w:hAnsi="Century Gothic"/>
          <w:i/>
        </w:rPr>
      </w:pPr>
      <w:r w:rsidRPr="00A82DC5">
        <w:rPr>
          <w:rFonts w:ascii="Century Gothic" w:hAnsi="Century Gothic"/>
          <w:i/>
        </w:rPr>
        <w:t>“10. En las relativas a contratos, el término de caducidad será de dos (2) años que se contará a partir del día siguiente a la ocurrencia de los motivos de hecho o de derecho que les sirvan de fundamento. En los siguientes contratos, el término de caducidad se contará así:</w:t>
      </w:r>
    </w:p>
    <w:p w14:paraId="35542E2D" w14:textId="77777777" w:rsidR="00DE019C" w:rsidRPr="00A82DC5" w:rsidRDefault="00DE019C" w:rsidP="00C32A38">
      <w:pPr>
        <w:pStyle w:val="Textonotapie"/>
        <w:jc w:val="both"/>
        <w:rPr>
          <w:rFonts w:ascii="Century Gothic" w:hAnsi="Century Gothic"/>
          <w:i/>
        </w:rPr>
      </w:pPr>
      <w:r w:rsidRPr="00A82DC5">
        <w:rPr>
          <w:rFonts w:ascii="Century Gothic" w:hAnsi="Century Gothic"/>
          <w:i/>
        </w:rPr>
        <w:t>“d) En los que requieran de liquidación y ésta sea efectuada unilateralmente por la administración, a más tardar dentro de los dos (2) años, contados desde la ejecutoria del acto que la apruebe”.</w:t>
      </w:r>
    </w:p>
  </w:footnote>
  <w:footnote w:id="34">
    <w:p w14:paraId="797C47BD"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Folios 2-13 del cuaderno No. 3 del expediente 30634.</w:t>
      </w:r>
    </w:p>
  </w:footnote>
  <w:footnote w:id="35">
    <w:p w14:paraId="2FD9243C"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2-3 del cuaderno No. 3 del expediente 30634.</w:t>
      </w:r>
    </w:p>
  </w:footnote>
  <w:footnote w:id="36">
    <w:p w14:paraId="384FCDF7"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Se destaca que hay constancia de la celebración de estas reuniones en forma conjunta desde 1992. Folio 273 del cuaderno 10 del expediente 30634.</w:t>
      </w:r>
    </w:p>
  </w:footnote>
  <w:footnote w:id="37">
    <w:p w14:paraId="689D5119" w14:textId="77777777" w:rsidR="00DE019C" w:rsidRPr="00A82DC5" w:rsidRDefault="00DE019C" w:rsidP="00C32A38">
      <w:pPr>
        <w:pStyle w:val="Textonotapie"/>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 282 del cuaderno No. 8 del expediente 30634.</w:t>
      </w:r>
    </w:p>
  </w:footnote>
  <w:footnote w:id="38">
    <w:p w14:paraId="763D1A26"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i/>
        </w:rPr>
        <w:t xml:space="preserve">Artículo segundo: Intermediarios Financieros.— </w:t>
      </w:r>
      <w:r w:rsidRPr="00A82DC5">
        <w:rPr>
          <w:rFonts w:ascii="Century Gothic" w:hAnsi="Century Gothic"/>
          <w:i/>
          <w:u w:val="single"/>
        </w:rPr>
        <w:t>Los intermediarios financieros de que trata este Acuerdo son aquellos vigilados por la Superintendencia Bancaria</w:t>
      </w:r>
      <w:r w:rsidRPr="00A82DC5">
        <w:rPr>
          <w:rFonts w:ascii="Century Gothic" w:hAnsi="Century Gothic"/>
          <w:i/>
        </w:rPr>
        <w:t>, legalmente competentes para desarrollar tal tipo de operaciones (…).</w:t>
      </w:r>
      <w:r w:rsidRPr="00A82DC5">
        <w:rPr>
          <w:rFonts w:ascii="Century Gothic" w:hAnsi="Century Gothic"/>
          <w:b/>
        </w:rPr>
        <w:t xml:space="preserve"> </w:t>
      </w:r>
    </w:p>
    <w:p w14:paraId="21211D7E" w14:textId="77777777" w:rsidR="00DE019C" w:rsidRPr="00A82DC5" w:rsidRDefault="00DE019C" w:rsidP="00C32A38">
      <w:pPr>
        <w:pStyle w:val="Textonotapie"/>
        <w:jc w:val="both"/>
        <w:rPr>
          <w:rFonts w:ascii="Century Gothic" w:hAnsi="Century Gothic"/>
          <w:i/>
          <w:lang w:val="es-CO"/>
        </w:rPr>
      </w:pPr>
      <w:r w:rsidRPr="00A82DC5">
        <w:rPr>
          <w:rFonts w:ascii="Century Gothic" w:hAnsi="Century Gothic"/>
          <w:lang w:val="es-CO"/>
        </w:rPr>
        <w:t>“</w:t>
      </w:r>
      <w:r w:rsidRPr="00A82DC5">
        <w:rPr>
          <w:rFonts w:ascii="Century Gothic" w:hAnsi="Century Gothic"/>
          <w:i/>
          <w:lang w:val="es-CO"/>
        </w:rPr>
        <w:t>Artículo quinto: Entidades Beneficiarias.-</w:t>
      </w:r>
    </w:p>
    <w:p w14:paraId="0E751DA7" w14:textId="77777777" w:rsidR="00DE019C" w:rsidRPr="00A82DC5" w:rsidRDefault="00DE019C" w:rsidP="00C32A38">
      <w:pPr>
        <w:pStyle w:val="Textonotapie"/>
        <w:jc w:val="both"/>
        <w:rPr>
          <w:rFonts w:ascii="Century Gothic" w:hAnsi="Century Gothic"/>
          <w:i/>
          <w:lang w:val="es-CO"/>
        </w:rPr>
      </w:pPr>
      <w:r w:rsidRPr="00A82DC5">
        <w:rPr>
          <w:rFonts w:ascii="Century Gothic" w:hAnsi="Century Gothic"/>
          <w:i/>
          <w:lang w:val="es-CO"/>
        </w:rPr>
        <w:t>“a) Las entidades Territoriales y sus entes descentralizados cuyo objetivo institucional esté asociado con el desarrollo de planes de vivienda de interés social.</w:t>
      </w:r>
    </w:p>
    <w:p w14:paraId="3DFF4FF5" w14:textId="77777777" w:rsidR="00DE019C" w:rsidRPr="00A82DC5" w:rsidRDefault="00DE019C" w:rsidP="00C32A38">
      <w:pPr>
        <w:pStyle w:val="Textonotapie"/>
        <w:jc w:val="both"/>
        <w:rPr>
          <w:rFonts w:ascii="Century Gothic" w:hAnsi="Century Gothic"/>
          <w:i/>
          <w:lang w:val="es-CO"/>
        </w:rPr>
      </w:pPr>
      <w:r w:rsidRPr="00A82DC5">
        <w:rPr>
          <w:rFonts w:ascii="Century Gothic" w:hAnsi="Century Gothic"/>
          <w:i/>
          <w:lang w:val="es-CO"/>
        </w:rPr>
        <w:t>“b) Las asociaciones populares de Vivienda, según están definidas en el artículo 62 de la Ley 9ª. De 1989.</w:t>
      </w:r>
    </w:p>
    <w:p w14:paraId="06AB3E01" w14:textId="77777777" w:rsidR="00DE019C" w:rsidRPr="00A82DC5" w:rsidRDefault="00DE019C" w:rsidP="00C32A38">
      <w:pPr>
        <w:pStyle w:val="Textonotapie"/>
        <w:jc w:val="both"/>
        <w:rPr>
          <w:rFonts w:ascii="Century Gothic" w:hAnsi="Century Gothic"/>
          <w:i/>
          <w:lang w:val="es-CO"/>
        </w:rPr>
      </w:pPr>
      <w:r w:rsidRPr="00A82DC5">
        <w:rPr>
          <w:rFonts w:ascii="Century Gothic" w:hAnsi="Century Gothic"/>
          <w:i/>
          <w:lang w:val="es-CO"/>
        </w:rPr>
        <w:t xml:space="preserve">“c) Las entidades sin ánimo de lucro oferentes de programas de vivienda de interés social dirigidos a atender hogares damnificados por desastres naturales, previa autorización expresa y escrita del </w:t>
      </w:r>
      <w:r w:rsidRPr="00A82DC5">
        <w:rPr>
          <w:rFonts w:ascii="Century Gothic" w:hAnsi="Century Gothic"/>
          <w:i/>
          <w:lang w:val="es-CO"/>
        </w:rPr>
        <w:t>Inurbe.</w:t>
      </w:r>
    </w:p>
    <w:p w14:paraId="7276513A" w14:textId="77777777" w:rsidR="00DE019C" w:rsidRPr="00A82DC5" w:rsidRDefault="00DE019C" w:rsidP="00C32A38">
      <w:pPr>
        <w:pStyle w:val="Textonotapie"/>
        <w:jc w:val="both"/>
        <w:rPr>
          <w:rFonts w:ascii="Century Gothic" w:hAnsi="Century Gothic"/>
          <w:i/>
          <w:lang w:val="es-CO"/>
        </w:rPr>
      </w:pPr>
      <w:r w:rsidRPr="00A82DC5">
        <w:rPr>
          <w:rFonts w:ascii="Century Gothic" w:hAnsi="Century Gothic"/>
          <w:i/>
          <w:lang w:val="es-CO"/>
        </w:rPr>
        <w:t xml:space="preserve">“d) Organizaciones no gubernamentales que se hayan destacado en la ejecución de programas de vivienda de interés social, previa selección del INURBE”. </w:t>
      </w:r>
      <w:r w:rsidRPr="00A82DC5">
        <w:rPr>
          <w:rFonts w:ascii="Century Gothic" w:hAnsi="Century Gothic"/>
          <w:lang w:val="es-CO"/>
        </w:rPr>
        <w:t>Folios 205-251 del cuaderno No. 3 del expediente 30634.</w:t>
      </w:r>
    </w:p>
  </w:footnote>
  <w:footnote w:id="39">
    <w:p w14:paraId="401705FF"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 xml:space="preserve">Debe señalarse que, si bien para la fecha de esta reunión el contrato de fiducia pública 103/95 no se había suscrito, </w:t>
      </w:r>
      <w:r w:rsidRPr="00A82DC5">
        <w:rPr>
          <w:rFonts w:ascii="Century Gothic" w:hAnsi="Century Gothic"/>
          <w:lang w:val="es-CO"/>
        </w:rPr>
        <w:t xml:space="preserve">Fidultra ejecutaba para ese momento el </w:t>
      </w:r>
      <w:r w:rsidRPr="00A82DC5">
        <w:rPr>
          <w:rFonts w:ascii="Century Gothic" w:hAnsi="Century Gothic"/>
          <w:i/>
          <w:lang w:val="es-CO"/>
        </w:rPr>
        <w:t>“contrato de encargo fiduciario sin número del 22 de septiembre de 1993”</w:t>
      </w:r>
      <w:r w:rsidRPr="00A82DC5">
        <w:rPr>
          <w:rFonts w:ascii="Century Gothic" w:hAnsi="Century Gothic"/>
          <w:lang w:val="es-CO"/>
        </w:rPr>
        <w:t>.</w:t>
      </w:r>
      <w:r w:rsidRPr="00A82DC5">
        <w:rPr>
          <w:rFonts w:ascii="Century Gothic" w:hAnsi="Century Gothic"/>
          <w:i/>
          <w:lang w:val="es-CO"/>
        </w:rPr>
        <w:t xml:space="preserve"> </w:t>
      </w:r>
      <w:r w:rsidRPr="00A82DC5">
        <w:rPr>
          <w:rFonts w:ascii="Century Gothic" w:hAnsi="Century Gothic"/>
          <w:lang w:val="es-CO"/>
        </w:rPr>
        <w:t xml:space="preserve">Folios 411-421 </w:t>
      </w:r>
      <w:bookmarkStart w:id="0" w:name="_Hlk5547426"/>
      <w:r w:rsidRPr="00A82DC5">
        <w:rPr>
          <w:rFonts w:ascii="Century Gothic" w:hAnsi="Century Gothic"/>
          <w:lang w:val="es-CO"/>
        </w:rPr>
        <w:t>del cuaderno No. 8 del expediente 30634.</w:t>
      </w:r>
      <w:bookmarkEnd w:id="0"/>
    </w:p>
  </w:footnote>
  <w:footnote w:id="40">
    <w:p w14:paraId="4E4DDF14"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Informe del Ministerio de Desarrollo sobre el portafolio de inversión del </w:t>
      </w:r>
      <w:r w:rsidRPr="00A82DC5">
        <w:rPr>
          <w:rFonts w:ascii="Century Gothic" w:hAnsi="Century Gothic"/>
        </w:rPr>
        <w:t xml:space="preserve">Inurbe. </w:t>
      </w:r>
      <w:r w:rsidRPr="00A82DC5">
        <w:rPr>
          <w:rFonts w:ascii="Century Gothic" w:hAnsi="Century Gothic"/>
          <w:lang w:val="es-CO"/>
        </w:rPr>
        <w:t>Folio 326 del cuaderno No. 8 del expediente 30634.</w:t>
      </w:r>
    </w:p>
  </w:footnote>
  <w:footnote w:id="41">
    <w:p w14:paraId="1C73DB22"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284-287 del cuaderno No. 8 del expediente 30634.</w:t>
      </w:r>
    </w:p>
  </w:footnote>
  <w:footnote w:id="42">
    <w:p w14:paraId="23AA6B2A"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 xml:space="preserve">Folio 288 del cuaderno No. 8 del expediente 30634. </w:t>
      </w:r>
    </w:p>
  </w:footnote>
  <w:footnote w:id="43">
    <w:p w14:paraId="5BDDEC7E"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144-154 del cuaderno No. 10 del expediente 30634.</w:t>
      </w:r>
    </w:p>
  </w:footnote>
  <w:footnote w:id="44">
    <w:p w14:paraId="6BC68D7D"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124-130 del cuaderno No. 10 del expediente 30634.</w:t>
      </w:r>
    </w:p>
  </w:footnote>
  <w:footnote w:id="45">
    <w:p w14:paraId="3B2EEDF2"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115-123 del cuaderno No. 10 del expediente 30634.</w:t>
      </w:r>
    </w:p>
  </w:footnote>
  <w:footnote w:id="46">
    <w:p w14:paraId="126B285F"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18-25 del cuaderno No. 10 del expediente 30634.</w:t>
      </w:r>
    </w:p>
  </w:footnote>
  <w:footnote w:id="47">
    <w:p w14:paraId="33F8749E"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7-13 del cuaderno No. 10 del expediente 30634.</w:t>
      </w:r>
    </w:p>
  </w:footnote>
  <w:footnote w:id="48">
    <w:p w14:paraId="5D9E9C66"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1-6 del cuaderno No. 10 del expediente 30634.</w:t>
      </w:r>
    </w:p>
  </w:footnote>
  <w:footnote w:id="49">
    <w:p w14:paraId="28E2EE71"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 503 del cuaderno No. 3 del expediente 34230.</w:t>
      </w:r>
    </w:p>
  </w:footnote>
  <w:footnote w:id="50">
    <w:p w14:paraId="24E2226B"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29-69 del cuaderno No. 8 del expediente 30634.</w:t>
      </w:r>
    </w:p>
  </w:footnote>
  <w:footnote w:id="51">
    <w:p w14:paraId="124F33A6"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322-334 del cuaderno No. 8 del expediente 30634.</w:t>
      </w:r>
    </w:p>
  </w:footnote>
  <w:footnote w:id="52">
    <w:p w14:paraId="037D1371"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Folios 162-163 del cuaderno No. 8 del expediente 30634.</w:t>
      </w:r>
    </w:p>
  </w:footnote>
  <w:footnote w:id="53">
    <w:p w14:paraId="705F8900"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Corrido el traslado para alegar de conclusión en segunda instancia en el proceso 30634, el Ministerio Público advirtió al despacho que el expediente no había sido remitido completo por el Tribunal (folios 316-338 del cuaderno del Consejo de Estado). Por considerar que le asistía razón al Procurador Cuarto Delegado, la Consejera Ponente ofició al </w:t>
      </w:r>
      <w:r w:rsidRPr="00A82DC5">
        <w:rPr>
          <w:rFonts w:ascii="Century Gothic" w:hAnsi="Century Gothic"/>
        </w:rPr>
        <w:t>juzgador de primera instancia para que enviara las piezas procesales faltantes (folios 367-369 del cuaderno del Consejo de Estado). Una vez allegados los cuadernos en donde constaban las actuaciones posteriores al plazo de ejecución del contrato de fiducia pública, se dictó un Auto en el que se manifestó lo siguiente:  “[e]</w:t>
      </w:r>
      <w:r w:rsidRPr="00A82DC5">
        <w:rPr>
          <w:rFonts w:ascii="Century Gothic" w:hAnsi="Century Gothic"/>
          <w:i/>
        </w:rPr>
        <w:t xml:space="preserve">n aras de garantizar el derecho de defensa  y en consideración a que para la fecha en que se otorgó el término para presentar alegatos de conclusión el expediente se encontraba incompleto, el Despacho accederá a la solicitud presentada por el Ministerio Público y por ende se volverá a correr el término para alegar” </w:t>
      </w:r>
      <w:r w:rsidRPr="00A82DC5">
        <w:rPr>
          <w:rFonts w:ascii="Century Gothic" w:hAnsi="Century Gothic"/>
        </w:rPr>
        <w:t xml:space="preserve">(folios 374-378 del cuaderno del Consejo de Estado). En dicha oportunidad procesal las partes tuvieron la oportunidad de manifestarse respecto de las pruebas contentivas de las actuaciones, enviadas por el a quo. </w:t>
      </w:r>
    </w:p>
  </w:footnote>
  <w:footnote w:id="54">
    <w:p w14:paraId="1C17B29F"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 xml:space="preserve">Folio 265 del cuaderno No. 4 del expediente 34230. </w:t>
      </w:r>
    </w:p>
  </w:footnote>
  <w:footnote w:id="55">
    <w:p w14:paraId="542C4DB6"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213-214 del cuaderno No. 4 del expediente 34230.</w:t>
      </w:r>
    </w:p>
  </w:footnote>
  <w:footnote w:id="56">
    <w:p w14:paraId="42AE11B0"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637 y 639 del cuaderno No. 4 del expediente 34230.</w:t>
      </w:r>
    </w:p>
  </w:footnote>
  <w:footnote w:id="57">
    <w:p w14:paraId="2AE96D39"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Folios 173, 174 y </w:t>
      </w:r>
      <w:r w:rsidRPr="00A82DC5">
        <w:rPr>
          <w:rFonts w:ascii="Century Gothic" w:hAnsi="Century Gothic"/>
          <w:lang w:val="es-CO"/>
        </w:rPr>
        <w:t>181 del cuaderno No. 13 del expediente 30634.</w:t>
      </w:r>
    </w:p>
  </w:footnote>
  <w:footnote w:id="58">
    <w:p w14:paraId="580FE6D7"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108-118 del cuaderno No. 3 del expediente 30634.</w:t>
      </w:r>
    </w:p>
  </w:footnote>
  <w:footnote w:id="59">
    <w:p w14:paraId="7517BCB7"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 112 del cuaderno 3 del expediente 30634.</w:t>
      </w:r>
    </w:p>
  </w:footnote>
  <w:footnote w:id="60">
    <w:p w14:paraId="2AAFA6ED"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109 del cuaderno 3 del expediente 30634.</w:t>
      </w:r>
    </w:p>
  </w:footnote>
  <w:footnote w:id="61">
    <w:p w14:paraId="2FA3A20C"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 118 del cuaderno No. 3 del expediente 30634.</w:t>
      </w:r>
    </w:p>
  </w:footnote>
  <w:footnote w:id="62">
    <w:p w14:paraId="338C78EE"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120-122 cuaderno No. 3 del expediente 30634.</w:t>
      </w:r>
    </w:p>
  </w:footnote>
  <w:footnote w:id="63">
    <w:p w14:paraId="2F0822BF"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Folios 158-159 </w:t>
      </w:r>
      <w:r w:rsidRPr="00A82DC5">
        <w:rPr>
          <w:rFonts w:ascii="Century Gothic" w:hAnsi="Century Gothic"/>
          <w:lang w:val="es-CO"/>
        </w:rPr>
        <w:t>cuaderno No. 3 del expediente 30634.</w:t>
      </w:r>
    </w:p>
  </w:footnote>
  <w:footnote w:id="64">
    <w:p w14:paraId="6629BC85"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 xml:space="preserve">Folio 154-157 </w:t>
      </w:r>
      <w:r w:rsidRPr="00A82DC5">
        <w:rPr>
          <w:rFonts w:ascii="Century Gothic" w:hAnsi="Century Gothic"/>
          <w:lang w:val="es-CO"/>
        </w:rPr>
        <w:t>ibídem.</w:t>
      </w:r>
    </w:p>
  </w:footnote>
  <w:footnote w:id="65">
    <w:p w14:paraId="6A3230ED"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Folios 105-110 del cuaderno No. 2 del expediente 30634.</w:t>
      </w:r>
    </w:p>
  </w:footnote>
  <w:footnote w:id="66">
    <w:p w14:paraId="228BE28B"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 xml:space="preserve">Folios 332-335 del cuaderno No. 3 del expediente 30634. </w:t>
      </w:r>
    </w:p>
  </w:footnote>
  <w:footnote w:id="67">
    <w:p w14:paraId="6B7EBE4B"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Consejo de Estado, Sala de lo Contencioso Administrativo, Sección Tercera, Subsección A, Sentencia de 12 de febrero de 2014, expediente 27.776.</w:t>
      </w:r>
    </w:p>
  </w:footnote>
  <w:footnote w:id="68">
    <w:p w14:paraId="78572E3E"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Consejo de Estado, Sala de lo Contencioso Administrativo, Sección Tercera, sentencia del 25 de febrero de 2009, expediente 15.797.</w:t>
      </w:r>
    </w:p>
  </w:footnote>
  <w:footnote w:id="69">
    <w:p w14:paraId="4395E90C"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i/>
          <w:iCs/>
        </w:rPr>
        <w:t xml:space="preserve">El Estatuto General de Contratación Administrativa creó un nuevo tipo de contrato, sin definirlo, denominado "fiducia pública", el cual no se relaciona con el contrato de fiducia mercantil contenido en el Código de Comercio y en las disposiciones propias del sistema financiero. Se trata, pues, de un contrato autónomo e independiente, más parecido a un encargo fiduciario que a una fiducia (por el no traspaso de la propiedad, ni la constitución de un patrimonio autónomo), al que le serán aplicables las normas del Código de Comercio sobre fiducia mercantil, "en cuanto sean compatibles con lo dispuesto en esta ley". Esta Corporación encuentra que el hecho de que el contrato de que trata el numeral 5o. del artículo 32 de la Ley 80 de 1993, denominado "encargo fiduciario y fiducia pública", contenga disposiciones que desconocen los elementos esenciales del contrato de fiducia mercantil o que resultan poco prácticas al momento de contratar con el Estado, no significa que se haya vulnerado disposición constitucional alguna”. </w:t>
      </w:r>
      <w:r w:rsidRPr="00A82DC5">
        <w:rPr>
          <w:rFonts w:ascii="Century Gothic" w:hAnsi="Century Gothic"/>
        </w:rPr>
        <w:t>Corte Constitucional, Sentencia C-086 de 1995.</w:t>
      </w:r>
    </w:p>
    <w:p w14:paraId="691A5A2F" w14:textId="77777777" w:rsidR="00DE019C" w:rsidRPr="00A82DC5" w:rsidRDefault="00DE019C" w:rsidP="00C32A38">
      <w:pPr>
        <w:pStyle w:val="Textonotapie"/>
        <w:jc w:val="both"/>
        <w:rPr>
          <w:rFonts w:ascii="Century Gothic" w:hAnsi="Century Gothic"/>
        </w:rPr>
      </w:pPr>
      <w:r w:rsidRPr="00A82DC5">
        <w:rPr>
          <w:rFonts w:ascii="Century Gothic" w:hAnsi="Century Gothic"/>
        </w:rPr>
        <w:t>Ahora bien, conviene aclarar que, debida a la escasa regulación que hizo el Legislador de la figura de la fiducia pública, el mismo podría entenderse como un contrato nominado que, en principio, carecería de tipicidad legal –aunque la tipicidad pueda, en ocasiones, entenderse elaborada socialmente-. Al respecto (se trascribe):</w:t>
      </w:r>
    </w:p>
    <w:p w14:paraId="33029B56" w14:textId="77777777" w:rsidR="00DE019C" w:rsidRPr="00A82DC5" w:rsidRDefault="00DE019C" w:rsidP="00C32A38">
      <w:pPr>
        <w:pStyle w:val="Textonotapie"/>
        <w:jc w:val="both"/>
        <w:rPr>
          <w:rFonts w:ascii="Century Gothic" w:hAnsi="Century Gothic"/>
          <w:lang w:val="es-CO"/>
        </w:rPr>
      </w:pPr>
      <w:r w:rsidRPr="00A82DC5">
        <w:rPr>
          <w:rFonts w:ascii="Century Gothic" w:hAnsi="Century Gothic"/>
          <w:i/>
        </w:rPr>
        <w:t>“</w:t>
      </w:r>
      <w:r w:rsidRPr="00A82DC5">
        <w:rPr>
          <w:rFonts w:ascii="Century Gothic" w:hAnsi="Century Gothic"/>
          <w:i/>
          <w:lang w:val="es-CO"/>
        </w:rPr>
        <w:t xml:space="preserve">Según el anterior orden de ideas, será contrato típico aquel negocio jurídico cuya estructura se encuentra predispuesta por la ley o por las prácticas sociales ─esto es, con tipicidad legal o social─ y contrato nominado aquél que cuenta con un </w:t>
      </w:r>
      <w:r w:rsidRPr="00A82DC5">
        <w:rPr>
          <w:rFonts w:ascii="Century Gothic" w:hAnsi="Century Gothic"/>
          <w:i/>
          <w:lang w:val="es-CO"/>
        </w:rPr>
        <w:t xml:space="preserve">nomen que sirve para distinguirlo o identificarlo; por lo demás, resulta usual que los típicos también sean nominados y viceversa, aunque ello no supone necesariamente que tales categorías lleguen a confundirse, </w:t>
      </w:r>
      <w:r w:rsidRPr="00A82DC5">
        <w:rPr>
          <w:rFonts w:ascii="Century Gothic" w:hAnsi="Century Gothic"/>
          <w:i/>
          <w:u w:val="single"/>
          <w:lang w:val="es-CO"/>
        </w:rPr>
        <w:t>comoquiera que pueden existir contratos nominados, incluso por la ley, pero carentes de tipicidad acerca de los elementos que los integran o estructuran</w:t>
      </w:r>
      <w:r w:rsidRPr="00A82DC5">
        <w:rPr>
          <w:rFonts w:ascii="Century Gothic" w:hAnsi="Century Gothic"/>
          <w:lang w:val="es-CO"/>
        </w:rPr>
        <w:t>” (se destaca). Consejo de Estado, Sala de lo Contencioso Administrativo, Sección Tercera, Sentencia de 18 de marzo de 2010, expediente 14.390.</w:t>
      </w:r>
    </w:p>
  </w:footnote>
  <w:footnote w:id="70">
    <w:p w14:paraId="060DF90E"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bookmarkStart w:id="6" w:name="_Hlk5557273"/>
      <w:r w:rsidRPr="00A82DC5">
        <w:rPr>
          <w:rFonts w:ascii="Century Gothic" w:hAnsi="Century Gothic"/>
        </w:rPr>
        <w:t xml:space="preserve">Sala de Consulta y Servicio Civil, 4 de noviembre de 1998, Rad. 1074, actor Ministerio del Interior. </w:t>
      </w:r>
      <w:bookmarkEnd w:id="6"/>
    </w:p>
  </w:footnote>
  <w:footnote w:id="71">
    <w:p w14:paraId="61183426"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De acuerdo con el artículo 38 de la Ley 157 de 1887 en todo contrato se entienden incorporadas las leyes vigentes al momento de su celebración, con excepción de aquellas relativas a reclamar los derechos en juicio y las que señalan penas.</w:t>
      </w:r>
    </w:p>
  </w:footnote>
  <w:footnote w:id="72">
    <w:p w14:paraId="78957A21"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i/>
          <w:lang w:val="es-CO"/>
        </w:rPr>
        <w:t xml:space="preserve">“Cláusula décima.- RENDICIÓN DE CUENTAS. (…) Al terminar el encargo, LA FIDUCIARIA presentará un informe definitivo sobre su gestión en calidad de rendición final de cuentas” </w:t>
      </w:r>
      <w:r w:rsidRPr="00A82DC5">
        <w:rPr>
          <w:rFonts w:ascii="Century Gothic" w:hAnsi="Century Gothic"/>
          <w:lang w:val="es-CO"/>
        </w:rPr>
        <w:t>y “</w:t>
      </w:r>
      <w:r w:rsidRPr="00A82DC5">
        <w:rPr>
          <w:rFonts w:ascii="Century Gothic" w:hAnsi="Century Gothic"/>
          <w:i/>
          <w:lang w:val="es-CO"/>
        </w:rPr>
        <w:t xml:space="preserve">Cláusula Séptima (…)  </w:t>
      </w:r>
      <w:r w:rsidRPr="00A82DC5">
        <w:rPr>
          <w:rFonts w:ascii="Century Gothic" w:hAnsi="Century Gothic"/>
          <w:lang w:val="es-CO"/>
        </w:rPr>
        <w:t>Folio 6 del cuaderno No. 3 del expediente 30634.</w:t>
      </w:r>
    </w:p>
  </w:footnote>
  <w:footnote w:id="73">
    <w:p w14:paraId="197B4C83" w14:textId="77777777" w:rsidR="00DE019C" w:rsidRPr="00A82DC5" w:rsidRDefault="00DE019C" w:rsidP="00C32A38">
      <w:pPr>
        <w:pStyle w:val="Textonotapie"/>
        <w:jc w:val="both"/>
        <w:rPr>
          <w:rFonts w:ascii="Century Gothic" w:hAnsi="Century Gothic"/>
          <w:i/>
        </w:rPr>
      </w:pPr>
      <w:r w:rsidRPr="00A82DC5">
        <w:rPr>
          <w:rStyle w:val="Refdenotaalpie"/>
          <w:rFonts w:ascii="Century Gothic" w:hAnsi="Century Gothic"/>
        </w:rPr>
        <w:footnoteRef/>
      </w:r>
      <w:r w:rsidRPr="00A82DC5">
        <w:rPr>
          <w:rFonts w:ascii="Century Gothic" w:hAnsi="Century Gothic"/>
        </w:rPr>
        <w:t xml:space="preserve"> En el expediente obra copia de los siguientes documentos, que acreditan el procedimiento de selección adelantado por el </w:t>
      </w:r>
      <w:r w:rsidRPr="00A82DC5">
        <w:rPr>
          <w:rFonts w:ascii="Century Gothic" w:hAnsi="Century Gothic"/>
        </w:rPr>
        <w:t>Inurbe y la sujeción del contrato de fiducia pública 103/95 a la Ley 80 de 1993: 1) Resolución No. 2062 “</w:t>
      </w:r>
      <w:r w:rsidRPr="00A82DC5">
        <w:rPr>
          <w:rFonts w:ascii="Century Gothic" w:hAnsi="Century Gothic"/>
          <w:i/>
        </w:rPr>
        <w:t xml:space="preserve">Por la cual se ordena la apertura de la licitación pública número 12 de 1995” </w:t>
      </w:r>
      <w:r w:rsidRPr="00A82DC5">
        <w:rPr>
          <w:rFonts w:ascii="Century Gothic" w:hAnsi="Century Gothic"/>
        </w:rPr>
        <w:t>(folios 223-289 del cuaderno No. 3 del expediente 30634); 2) Propuesta presentada por Fidultra para participar en la referida licitación (folios 291-381); 3) Contrato de fiducia pública 103/95 en el que se dispuso lo siguiente (se trascribe): “</w:t>
      </w:r>
      <w:r w:rsidRPr="00A82DC5">
        <w:rPr>
          <w:rFonts w:ascii="Century Gothic" w:hAnsi="Century Gothic"/>
          <w:i/>
        </w:rPr>
        <w:t>(…) se ha convenido celebrar el presente contrato de fiducia pública, el cual fue adjudicado mediante la Resolución número 2479 de 21 de diciembre de 1995, previa Licitación Pública Número 12 de 1995</w:t>
      </w:r>
      <w:r w:rsidRPr="00A82DC5">
        <w:rPr>
          <w:rFonts w:ascii="Century Gothic" w:hAnsi="Century Gothic"/>
        </w:rPr>
        <w:t xml:space="preserve"> </w:t>
      </w:r>
      <w:r w:rsidRPr="00A82DC5">
        <w:rPr>
          <w:rFonts w:ascii="Century Gothic" w:hAnsi="Century Gothic"/>
          <w:i/>
        </w:rPr>
        <w:t xml:space="preserve">y se regirá por la ley 80 de 1993, sus normas reglamentarias, las disposiciones civiles y comerciales pertinentes en materias no reguladas por la mencionada ley, el pliego de condiciones, la propuesta de la fiduciaria y demás documentos de la licitación citada y las siguientes cláusulas (…)” </w:t>
      </w:r>
      <w:r w:rsidRPr="00A82DC5">
        <w:rPr>
          <w:rFonts w:ascii="Century Gothic" w:hAnsi="Century Gothic"/>
        </w:rPr>
        <w:t>(folio 383)</w:t>
      </w:r>
      <w:r w:rsidRPr="00A82DC5">
        <w:rPr>
          <w:rFonts w:ascii="Century Gothic" w:hAnsi="Century Gothic"/>
          <w:i/>
        </w:rPr>
        <w:t>.</w:t>
      </w:r>
    </w:p>
  </w:footnote>
  <w:footnote w:id="74">
    <w:p w14:paraId="2A32EF45"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i/>
        </w:rPr>
        <w:t>“La jurisprudencia de esta Corporación ha reiterado la necesidad de que una vez liquidado unilateralmente el contrato sólo se pueda alegar el incumplimiento de las obligaciones a través de la censura de la legalidad del acto administrativo que contiene esa manifestación de voluntad de la administración pública”</w:t>
      </w:r>
      <w:r w:rsidRPr="00A82DC5">
        <w:rPr>
          <w:rFonts w:ascii="Century Gothic" w:hAnsi="Century Gothic"/>
        </w:rPr>
        <w:t xml:space="preserve">. </w:t>
      </w:r>
      <w:r w:rsidRPr="00A82DC5">
        <w:rPr>
          <w:rFonts w:ascii="Century Gothic" w:hAnsi="Century Gothic"/>
          <w:lang w:val="es-CO"/>
        </w:rPr>
        <w:t>Consejo de Estado, Sala de lo Contencioso Administrativo, Sección Tercera, Sentencia de 11 de agosto de 2010, expediente 16.941.</w:t>
      </w:r>
    </w:p>
  </w:footnote>
  <w:footnote w:id="75">
    <w:p w14:paraId="7F11EDF3"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Al respecto: i) presentación de créditos ante </w:t>
      </w:r>
      <w:r w:rsidRPr="00A82DC5">
        <w:rPr>
          <w:rFonts w:ascii="Century Gothic" w:hAnsi="Century Gothic"/>
        </w:rPr>
        <w:t xml:space="preserve">Cooservir el 2 de enero de 1998 y ante Avancemos el 8 de enero de 1998, folios 142-144 y 145-147, respectivamente, del cuaderno No. 3 del expediente 30634; ii) Comunicaciones presentadas al Inurbe dando traslado de las propuestas de pago de la Caja Popular Cooperativa (8 de septiembre de 1998) y de Cooservir (14 de septiembre de 1998), folios 162 y 163, respectivamente, del cuaderno No. 3 del expediente 30634. </w:t>
      </w:r>
    </w:p>
  </w:footnote>
  <w:footnote w:id="76">
    <w:p w14:paraId="6DE272D8"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Folio 150 del cuaderno No. 3 del expediente 30634.</w:t>
      </w:r>
    </w:p>
  </w:footnote>
  <w:footnote w:id="77">
    <w:p w14:paraId="235CB425"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 108 del cuaderno No. 2 del expediente 30634.</w:t>
      </w:r>
    </w:p>
  </w:footnote>
  <w:footnote w:id="78">
    <w:p w14:paraId="3677A3AB"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Folio 8 del cuaderno No. 17 del expediente 30634.</w:t>
      </w:r>
    </w:p>
  </w:footnote>
  <w:footnote w:id="79">
    <w:p w14:paraId="26CEA1C0"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Valor que corresponde a las comisiones causadas de enero a mayo de 1997 con la adición de un saldo pendiente de 1996 de $ 2’675.422.</w:t>
      </w:r>
    </w:p>
  </w:footnote>
  <w:footnote w:id="80">
    <w:p w14:paraId="6020194A" w14:textId="77777777" w:rsidR="00DE019C" w:rsidRPr="00A82DC5"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Folio 30 del cuaderno No. 17 del expediente 30634.</w:t>
      </w:r>
    </w:p>
  </w:footnote>
  <w:footnote w:id="81">
    <w:p w14:paraId="4A772438" w14:textId="77777777" w:rsidR="00DE019C" w:rsidRPr="00A82DC5" w:rsidRDefault="00DE019C" w:rsidP="00C32A38">
      <w:pPr>
        <w:shd w:val="clear" w:color="auto" w:fill="FFFFFF"/>
        <w:jc w:val="both"/>
        <w:rPr>
          <w:rFonts w:ascii="Century Gothic" w:hAnsi="Century Gothic" w:cs="Arial"/>
          <w:sz w:val="20"/>
          <w:szCs w:val="20"/>
        </w:rPr>
      </w:pPr>
      <w:r w:rsidRPr="00A82DC5">
        <w:rPr>
          <w:rStyle w:val="Refdenotaalpie"/>
          <w:rFonts w:ascii="Century Gothic" w:hAnsi="Century Gothic" w:cs="Arial"/>
          <w:sz w:val="20"/>
          <w:szCs w:val="20"/>
        </w:rPr>
        <w:footnoteRef/>
      </w:r>
      <w:r w:rsidRPr="00A82DC5">
        <w:rPr>
          <w:rFonts w:ascii="Century Gothic" w:hAnsi="Century Gothic" w:cs="Arial"/>
          <w:sz w:val="20"/>
          <w:szCs w:val="20"/>
        </w:rPr>
        <w:t xml:space="preserve"> Se tomará el IPC de abril de 2019 por ser la última cifra disponible al momento de proferir esta decisión.</w:t>
      </w:r>
    </w:p>
  </w:footnote>
  <w:footnote w:id="82">
    <w:p w14:paraId="57B5473E" w14:textId="77777777" w:rsidR="00DE019C" w:rsidRPr="00A82DC5" w:rsidRDefault="00DE019C" w:rsidP="00C32A38">
      <w:pPr>
        <w:pStyle w:val="Textonotapie"/>
        <w:jc w:val="both"/>
        <w:rPr>
          <w:rFonts w:ascii="Century Gothic" w:hAnsi="Century Gothic" w:cs="Arial"/>
          <w:lang w:val="es-MX"/>
        </w:rPr>
      </w:pPr>
      <w:r w:rsidRPr="00A82DC5">
        <w:rPr>
          <w:rStyle w:val="Refdenotaalpie"/>
          <w:rFonts w:ascii="Century Gothic" w:hAnsi="Century Gothic" w:cs="Arial"/>
        </w:rPr>
        <w:footnoteRef/>
      </w:r>
      <w:r w:rsidRPr="00A82DC5">
        <w:rPr>
          <w:rFonts w:ascii="Century Gothic" w:hAnsi="Century Gothic" w:cs="Arial"/>
        </w:rPr>
        <w:t xml:space="preserve"> IPC vigente para la fecha de pago de cada una de las relacionadas en el cuadro trascrito (junio-diciembre de 1997).</w:t>
      </w:r>
    </w:p>
  </w:footnote>
  <w:footnote w:id="83">
    <w:p w14:paraId="607AF9A0"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 xml:space="preserve">Folio 44 del cuaderno No. 2 del expediente 30634. </w:t>
      </w:r>
    </w:p>
  </w:footnote>
  <w:footnote w:id="84">
    <w:p w14:paraId="68C762BD" w14:textId="77777777" w:rsidR="00DE019C" w:rsidRPr="00A82DC5" w:rsidRDefault="00DE019C" w:rsidP="00C32A38">
      <w:pPr>
        <w:pStyle w:val="Textonotapie"/>
        <w:jc w:val="both"/>
        <w:rPr>
          <w:rFonts w:ascii="Century Gothic" w:hAnsi="Century Gothic"/>
          <w:lang w:val="es-CO"/>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lang w:val="es-CO"/>
        </w:rPr>
        <w:t xml:space="preserve">Según se puede evidenciar de la propuesta de arreglo directo formulada por </w:t>
      </w:r>
      <w:r w:rsidRPr="00A82DC5">
        <w:rPr>
          <w:rFonts w:ascii="Century Gothic" w:hAnsi="Century Gothic"/>
          <w:lang w:val="es-CO"/>
        </w:rPr>
        <w:t>Fidultra al Inurbe, en la cual se propone la “</w:t>
      </w:r>
      <w:r w:rsidRPr="00A82DC5">
        <w:rPr>
          <w:rFonts w:ascii="Century Gothic" w:hAnsi="Century Gothic"/>
          <w:i/>
          <w:lang w:val="es-CO"/>
        </w:rPr>
        <w:t xml:space="preserve">solución de las diferencias derivadas de los contratos de fiducia y encargo fiduciario celebrados entre el Inurbe y Fidultra”. </w:t>
      </w:r>
      <w:r w:rsidRPr="00A82DC5">
        <w:rPr>
          <w:rFonts w:ascii="Century Gothic" w:hAnsi="Century Gothic"/>
          <w:lang w:val="es-CO"/>
        </w:rPr>
        <w:t>Folios 170-213 del cuaderno No. 3 del expediente 30634.</w:t>
      </w:r>
    </w:p>
  </w:footnote>
  <w:footnote w:id="85">
    <w:p w14:paraId="4423D0EA" w14:textId="77777777" w:rsidR="00DE019C" w:rsidRPr="00BD683A" w:rsidRDefault="00DE019C" w:rsidP="00C32A38">
      <w:pPr>
        <w:pStyle w:val="Textonotapie"/>
        <w:jc w:val="both"/>
        <w:rPr>
          <w:rFonts w:ascii="Century Gothic" w:hAnsi="Century Gothic"/>
        </w:rPr>
      </w:pPr>
      <w:r w:rsidRPr="00A82DC5">
        <w:rPr>
          <w:rStyle w:val="Refdenotaalpie"/>
          <w:rFonts w:ascii="Century Gothic" w:hAnsi="Century Gothic"/>
        </w:rPr>
        <w:footnoteRef/>
      </w:r>
      <w:r w:rsidRPr="00A82DC5">
        <w:rPr>
          <w:rFonts w:ascii="Century Gothic" w:hAnsi="Century Gothic"/>
        </w:rPr>
        <w:t xml:space="preserve"> </w:t>
      </w:r>
      <w:r w:rsidRPr="00A82DC5">
        <w:rPr>
          <w:rFonts w:ascii="Century Gothic" w:hAnsi="Century Gothic"/>
          <w:i/>
        </w:rPr>
        <w:t>“QUINTA. Que se condene al INURBE a pagarle a FIDULTRA todos los perjuicios, en las modalidades de daño emergente y lucro cesante, derivados de la ilegalidad de la liquidación del contrato denominado ‘FIDUCIA PÚBLICA No. 103/95’, celebrado entre las partes el 22 de diciembre de 1995, del incumplimiento del mismo contrato y del hecho de haberse abstenido de recibir y perseguir el pago de los certificados de depósito de ahorro a término representativos de las inversiones temporales que resultaron impagadas a la finalización del contrato, descargando el cumplimiento de tal tarea en la demandante”</w:t>
      </w:r>
      <w:r w:rsidRPr="00A82DC5">
        <w:rPr>
          <w:rFonts w:ascii="Century Gothic" w:hAnsi="Century Gothic"/>
        </w:rPr>
        <w:t>. Folio 7 del cuaderno No. 2 del expediente 30634.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22E7C"/>
    <w:multiLevelType w:val="hybridMultilevel"/>
    <w:tmpl w:val="3F6801B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D404D4"/>
    <w:multiLevelType w:val="hybridMultilevel"/>
    <w:tmpl w:val="0648642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1C38F7"/>
    <w:multiLevelType w:val="hybridMultilevel"/>
    <w:tmpl w:val="1D444042"/>
    <w:lvl w:ilvl="0" w:tplc="240A0017">
      <w:start w:val="1"/>
      <w:numFmt w:val="lowerLetter"/>
      <w:lvlText w:val="%1)"/>
      <w:lvlJc w:val="left"/>
      <w:pPr>
        <w:ind w:left="1509" w:hanging="360"/>
      </w:pPr>
    </w:lvl>
    <w:lvl w:ilvl="1" w:tplc="240A0019" w:tentative="1">
      <w:start w:val="1"/>
      <w:numFmt w:val="lowerLetter"/>
      <w:lvlText w:val="%2."/>
      <w:lvlJc w:val="left"/>
      <w:pPr>
        <w:ind w:left="2229" w:hanging="360"/>
      </w:pPr>
    </w:lvl>
    <w:lvl w:ilvl="2" w:tplc="240A001B" w:tentative="1">
      <w:start w:val="1"/>
      <w:numFmt w:val="lowerRoman"/>
      <w:lvlText w:val="%3."/>
      <w:lvlJc w:val="right"/>
      <w:pPr>
        <w:ind w:left="2949" w:hanging="180"/>
      </w:pPr>
    </w:lvl>
    <w:lvl w:ilvl="3" w:tplc="240A000F" w:tentative="1">
      <w:start w:val="1"/>
      <w:numFmt w:val="decimal"/>
      <w:lvlText w:val="%4."/>
      <w:lvlJc w:val="left"/>
      <w:pPr>
        <w:ind w:left="3669" w:hanging="360"/>
      </w:pPr>
    </w:lvl>
    <w:lvl w:ilvl="4" w:tplc="240A0019" w:tentative="1">
      <w:start w:val="1"/>
      <w:numFmt w:val="lowerLetter"/>
      <w:lvlText w:val="%5."/>
      <w:lvlJc w:val="left"/>
      <w:pPr>
        <w:ind w:left="4389" w:hanging="360"/>
      </w:pPr>
    </w:lvl>
    <w:lvl w:ilvl="5" w:tplc="240A001B" w:tentative="1">
      <w:start w:val="1"/>
      <w:numFmt w:val="lowerRoman"/>
      <w:lvlText w:val="%6."/>
      <w:lvlJc w:val="right"/>
      <w:pPr>
        <w:ind w:left="5109" w:hanging="180"/>
      </w:pPr>
    </w:lvl>
    <w:lvl w:ilvl="6" w:tplc="240A000F" w:tentative="1">
      <w:start w:val="1"/>
      <w:numFmt w:val="decimal"/>
      <w:lvlText w:val="%7."/>
      <w:lvlJc w:val="left"/>
      <w:pPr>
        <w:ind w:left="5829" w:hanging="360"/>
      </w:pPr>
    </w:lvl>
    <w:lvl w:ilvl="7" w:tplc="240A0019" w:tentative="1">
      <w:start w:val="1"/>
      <w:numFmt w:val="lowerLetter"/>
      <w:lvlText w:val="%8."/>
      <w:lvlJc w:val="left"/>
      <w:pPr>
        <w:ind w:left="6549" w:hanging="360"/>
      </w:pPr>
    </w:lvl>
    <w:lvl w:ilvl="8" w:tplc="240A001B" w:tentative="1">
      <w:start w:val="1"/>
      <w:numFmt w:val="lowerRoman"/>
      <w:lvlText w:val="%9."/>
      <w:lvlJc w:val="right"/>
      <w:pPr>
        <w:ind w:left="7269" w:hanging="180"/>
      </w:pPr>
    </w:lvl>
  </w:abstractNum>
  <w:abstractNum w:abstractNumId="3" w15:restartNumberingAfterBreak="0">
    <w:nsid w:val="1CA94451"/>
    <w:multiLevelType w:val="hybridMultilevel"/>
    <w:tmpl w:val="102CA398"/>
    <w:lvl w:ilvl="0" w:tplc="015A2BBA">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C26C96"/>
    <w:multiLevelType w:val="hybridMultilevel"/>
    <w:tmpl w:val="982AF87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46267D"/>
    <w:multiLevelType w:val="multilevel"/>
    <w:tmpl w:val="0C22D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E015B7"/>
    <w:multiLevelType w:val="hybridMultilevel"/>
    <w:tmpl w:val="CE5673D8"/>
    <w:lvl w:ilvl="0" w:tplc="015A2BBA">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0F3F4E"/>
    <w:multiLevelType w:val="hybridMultilevel"/>
    <w:tmpl w:val="BB46E19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36149B"/>
    <w:multiLevelType w:val="hybridMultilevel"/>
    <w:tmpl w:val="F09EA2E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F750A7B"/>
    <w:multiLevelType w:val="multilevel"/>
    <w:tmpl w:val="A0069854"/>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6553A61"/>
    <w:multiLevelType w:val="hybridMultilevel"/>
    <w:tmpl w:val="34A646EA"/>
    <w:lvl w:ilvl="0" w:tplc="240A0011">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7D7763E"/>
    <w:multiLevelType w:val="hybridMultilevel"/>
    <w:tmpl w:val="BBDEB29A"/>
    <w:lvl w:ilvl="0" w:tplc="240A0011">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FA73423"/>
    <w:multiLevelType w:val="hybridMultilevel"/>
    <w:tmpl w:val="2B12A996"/>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11"/>
  </w:num>
  <w:num w:numId="6">
    <w:abstractNumId w:val="8"/>
  </w:num>
  <w:num w:numId="7">
    <w:abstractNumId w:val="9"/>
  </w:num>
  <w:num w:numId="8">
    <w:abstractNumId w:val="10"/>
  </w:num>
  <w:num w:numId="9">
    <w:abstractNumId w:val="6"/>
  </w:num>
  <w:num w:numId="10">
    <w:abstractNumId w:val="3"/>
  </w:num>
  <w:num w:numId="11">
    <w:abstractNumId w:val="12"/>
  </w:num>
  <w:num w:numId="12">
    <w:abstractNumId w:val="8"/>
    <w:lvlOverride w:ilvl="0">
      <w:lvl w:ilvl="0" w:tplc="0C0A000F">
        <w:start w:val="1"/>
        <w:numFmt w:val="decimal"/>
        <w:lvlText w:val="%1."/>
        <w:lvlJc w:val="left"/>
        <w:pPr>
          <w:ind w:left="0" w:firstLine="0"/>
        </w:pPr>
        <w:rPr>
          <w:rFonts w:hint="default"/>
          <w:b w:val="0"/>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1F"/>
    <w:rsid w:val="000736EB"/>
    <w:rsid w:val="000C51DA"/>
    <w:rsid w:val="00185E1B"/>
    <w:rsid w:val="00232530"/>
    <w:rsid w:val="002637CF"/>
    <w:rsid w:val="002F3196"/>
    <w:rsid w:val="00315539"/>
    <w:rsid w:val="00330B26"/>
    <w:rsid w:val="00334A36"/>
    <w:rsid w:val="00344793"/>
    <w:rsid w:val="00380E21"/>
    <w:rsid w:val="004726BB"/>
    <w:rsid w:val="00495483"/>
    <w:rsid w:val="0055591F"/>
    <w:rsid w:val="00677AAA"/>
    <w:rsid w:val="00692B88"/>
    <w:rsid w:val="00693953"/>
    <w:rsid w:val="006C0464"/>
    <w:rsid w:val="007475EB"/>
    <w:rsid w:val="00803761"/>
    <w:rsid w:val="008F5426"/>
    <w:rsid w:val="0091100B"/>
    <w:rsid w:val="009E7843"/>
    <w:rsid w:val="00AE0039"/>
    <w:rsid w:val="00B95EE5"/>
    <w:rsid w:val="00C2174B"/>
    <w:rsid w:val="00C32A38"/>
    <w:rsid w:val="00C91833"/>
    <w:rsid w:val="00CA76BF"/>
    <w:rsid w:val="00CC4FFC"/>
    <w:rsid w:val="00D83A92"/>
    <w:rsid w:val="00DE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A84A"/>
  <w15:chartTrackingRefBased/>
  <w15:docId w15:val="{C0794194-857D-48EA-A894-D806E183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C32A38"/>
  </w:style>
  <w:style w:type="paragraph" w:styleId="Encabezado">
    <w:name w:val="header"/>
    <w:basedOn w:val="Normal"/>
    <w:link w:val="EncabezadoCar"/>
    <w:uiPriority w:val="99"/>
    <w:unhideWhenUsed/>
    <w:rsid w:val="00C32A38"/>
    <w:pPr>
      <w:tabs>
        <w:tab w:val="center" w:pos="4252"/>
        <w:tab w:val="right" w:pos="8504"/>
      </w:tabs>
      <w:spacing w:after="0" w:line="240" w:lineRule="auto"/>
    </w:pPr>
    <w:rPr>
      <w:lang w:val="es-ES"/>
    </w:rPr>
  </w:style>
  <w:style w:type="character" w:customStyle="1" w:styleId="EncabezadoCar">
    <w:name w:val="Encabezado Car"/>
    <w:link w:val="Encabezado"/>
    <w:uiPriority w:val="99"/>
    <w:rsid w:val="00C32A38"/>
    <w:rPr>
      <w:sz w:val="22"/>
      <w:szCs w:val="22"/>
      <w:lang w:val="es-ES" w:eastAsia="en-US"/>
    </w:rPr>
  </w:style>
  <w:style w:type="paragraph" w:styleId="Piedepgina">
    <w:name w:val="footer"/>
    <w:basedOn w:val="Normal"/>
    <w:link w:val="PiedepginaCar"/>
    <w:uiPriority w:val="99"/>
    <w:unhideWhenUsed/>
    <w:rsid w:val="00C32A38"/>
    <w:pPr>
      <w:tabs>
        <w:tab w:val="center" w:pos="4252"/>
        <w:tab w:val="right" w:pos="8504"/>
      </w:tabs>
      <w:spacing w:after="0" w:line="240" w:lineRule="auto"/>
    </w:pPr>
    <w:rPr>
      <w:lang w:val="es-ES"/>
    </w:rPr>
  </w:style>
  <w:style w:type="character" w:customStyle="1" w:styleId="PiedepginaCar">
    <w:name w:val="Pie de página Car"/>
    <w:link w:val="Piedepgina"/>
    <w:uiPriority w:val="99"/>
    <w:rsid w:val="00C32A38"/>
    <w:rPr>
      <w:sz w:val="22"/>
      <w:szCs w:val="22"/>
      <w:lang w:val="es-ES"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unhideWhenUsed/>
    <w:qFormat/>
    <w:rsid w:val="00C32A38"/>
    <w:pPr>
      <w:spacing w:after="0" w:line="240" w:lineRule="auto"/>
    </w:pPr>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C32A38"/>
    <w:rPr>
      <w:lang w:val="es-ES"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unhideWhenUsed/>
    <w:qFormat/>
    <w:rsid w:val="00C32A38"/>
    <w:rPr>
      <w:vertAlign w:val="superscript"/>
    </w:rPr>
  </w:style>
  <w:style w:type="paragraph" w:styleId="NormalWeb">
    <w:name w:val="Normal (Web)"/>
    <w:basedOn w:val="Normal"/>
    <w:uiPriority w:val="99"/>
    <w:semiHidden/>
    <w:unhideWhenUsed/>
    <w:rsid w:val="00C32A38"/>
    <w:pPr>
      <w:spacing w:after="0" w:line="240" w:lineRule="auto"/>
    </w:pPr>
    <w:rPr>
      <w:rFonts w:ascii="Times New Roman" w:hAnsi="Times New Roman"/>
      <w:sz w:val="24"/>
      <w:szCs w:val="24"/>
      <w:lang w:val="es-ES"/>
    </w:rPr>
  </w:style>
  <w:style w:type="character" w:styleId="Hipervnculo">
    <w:name w:val="Hyperlink"/>
    <w:uiPriority w:val="99"/>
    <w:unhideWhenUsed/>
    <w:rsid w:val="00C32A38"/>
    <w:rPr>
      <w:color w:val="0563C1"/>
      <w:u w:val="single"/>
    </w:rPr>
  </w:style>
  <w:style w:type="paragraph" w:styleId="Sinespaciado">
    <w:name w:val="No Spacing"/>
    <w:uiPriority w:val="1"/>
    <w:qFormat/>
    <w:rsid w:val="00C32A38"/>
    <w:rPr>
      <w:sz w:val="22"/>
      <w:szCs w:val="22"/>
      <w:lang w:val="es-CO"/>
    </w:rPr>
  </w:style>
  <w:style w:type="paragraph" w:styleId="Prrafodelista">
    <w:name w:val="List Paragraph"/>
    <w:basedOn w:val="Normal"/>
    <w:uiPriority w:val="34"/>
    <w:qFormat/>
    <w:rsid w:val="00C32A38"/>
    <w:pPr>
      <w:spacing w:after="0" w:line="240" w:lineRule="auto"/>
      <w:ind w:left="708"/>
    </w:pPr>
    <w:rPr>
      <w:lang w:val="es-ES"/>
    </w:rPr>
  </w:style>
  <w:style w:type="paragraph" w:styleId="Textodeglobo">
    <w:name w:val="Balloon Text"/>
    <w:basedOn w:val="Normal"/>
    <w:link w:val="TextodegloboCar"/>
    <w:uiPriority w:val="99"/>
    <w:semiHidden/>
    <w:unhideWhenUsed/>
    <w:rsid w:val="00C32A38"/>
    <w:pPr>
      <w:spacing w:after="0" w:line="240" w:lineRule="auto"/>
    </w:pPr>
    <w:rPr>
      <w:rFonts w:ascii="Segoe UI" w:hAnsi="Segoe UI" w:cs="Segoe UI"/>
      <w:sz w:val="18"/>
      <w:szCs w:val="18"/>
      <w:lang w:val="es-ES"/>
    </w:rPr>
  </w:style>
  <w:style w:type="character" w:customStyle="1" w:styleId="TextodegloboCar">
    <w:name w:val="Texto de globo Car"/>
    <w:link w:val="Textodeglobo"/>
    <w:uiPriority w:val="99"/>
    <w:semiHidden/>
    <w:rsid w:val="00C32A38"/>
    <w:rPr>
      <w:rFonts w:ascii="Segoe UI" w:hAnsi="Segoe UI" w:cs="Segoe UI"/>
      <w:sz w:val="18"/>
      <w:szCs w:val="18"/>
      <w:lang w:val="es-ES" w:eastAsia="en-US"/>
    </w:rPr>
  </w:style>
  <w:style w:type="character" w:styleId="Refdecomentario">
    <w:name w:val="annotation reference"/>
    <w:uiPriority w:val="99"/>
    <w:semiHidden/>
    <w:unhideWhenUsed/>
    <w:rsid w:val="00C32A38"/>
    <w:rPr>
      <w:sz w:val="16"/>
      <w:szCs w:val="16"/>
    </w:rPr>
  </w:style>
  <w:style w:type="paragraph" w:styleId="Textocomentario">
    <w:name w:val="annotation text"/>
    <w:basedOn w:val="Normal"/>
    <w:link w:val="TextocomentarioCar"/>
    <w:uiPriority w:val="99"/>
    <w:semiHidden/>
    <w:unhideWhenUsed/>
    <w:rsid w:val="00C32A38"/>
    <w:pPr>
      <w:spacing w:after="0" w:line="240" w:lineRule="auto"/>
    </w:pPr>
    <w:rPr>
      <w:sz w:val="20"/>
      <w:szCs w:val="20"/>
      <w:lang w:val="es-ES"/>
    </w:rPr>
  </w:style>
  <w:style w:type="character" w:customStyle="1" w:styleId="TextocomentarioCar">
    <w:name w:val="Texto comentario Car"/>
    <w:link w:val="Textocomentario"/>
    <w:uiPriority w:val="99"/>
    <w:semiHidden/>
    <w:rsid w:val="00C32A38"/>
    <w:rPr>
      <w:lang w:val="es-ES" w:eastAsia="en-US"/>
    </w:rPr>
  </w:style>
  <w:style w:type="paragraph" w:styleId="Asuntodelcomentario">
    <w:name w:val="annotation subject"/>
    <w:basedOn w:val="Textocomentario"/>
    <w:next w:val="Textocomentario"/>
    <w:link w:val="AsuntodelcomentarioCar"/>
    <w:uiPriority w:val="99"/>
    <w:semiHidden/>
    <w:unhideWhenUsed/>
    <w:rsid w:val="00C32A38"/>
    <w:rPr>
      <w:b/>
      <w:bCs/>
    </w:rPr>
  </w:style>
  <w:style w:type="character" w:customStyle="1" w:styleId="AsuntodelcomentarioCar">
    <w:name w:val="Asunto del comentario Car"/>
    <w:link w:val="Asuntodelcomentario"/>
    <w:uiPriority w:val="99"/>
    <w:semiHidden/>
    <w:rsid w:val="00C32A38"/>
    <w:rPr>
      <w:b/>
      <w:bCs/>
      <w:lang w:val="es-ES" w:eastAsia="en-US"/>
    </w:rPr>
  </w:style>
  <w:style w:type="paragraph" w:styleId="Revisin">
    <w:name w:val="Revision"/>
    <w:hidden/>
    <w:uiPriority w:val="99"/>
    <w:semiHidden/>
    <w:rsid w:val="00C32A38"/>
    <w:rPr>
      <w:sz w:val="22"/>
      <w:szCs w:val="22"/>
      <w:lang w:val="es-ES"/>
    </w:rPr>
  </w:style>
  <w:style w:type="table" w:styleId="Tablaconcuadrcula">
    <w:name w:val="Table Grid"/>
    <w:basedOn w:val="Tablanormal"/>
    <w:uiPriority w:val="39"/>
    <w:rsid w:val="00C32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2CF47-1580-40C4-BC65-2D6931D29CB3}">
  <ds:schemaRefs>
    <ds:schemaRef ds:uri="http://schemas.microsoft.com/sharepoint/v3/contenttype/forms"/>
  </ds:schemaRefs>
</ds:datastoreItem>
</file>

<file path=customXml/itemProps2.xml><?xml version="1.0" encoding="utf-8"?>
<ds:datastoreItem xmlns:ds="http://schemas.openxmlformats.org/officeDocument/2006/customXml" ds:itemID="{F9ADF01A-9002-4E2B-AAA5-1B1302728B3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68519E2-25CB-42CD-8FF8-996AB27A2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17904</Words>
  <Characters>98473</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dcterms:created xsi:type="dcterms:W3CDTF">2020-07-02T21:19:00Z</dcterms:created>
  <dcterms:modified xsi:type="dcterms:W3CDTF">2020-07-02T21:19:00Z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