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0CA3C" w14:textId="2DF626F6" w:rsidR="0081193C" w:rsidRDefault="0081193C" w:rsidP="008159AC">
      <w:pPr>
        <w:spacing w:line="240" w:lineRule="atLeast"/>
        <w:ind w:right="-142"/>
        <w:contextualSpacing/>
        <w:jc w:val="both"/>
        <w:rPr>
          <w:rFonts w:ascii="Arial" w:hAnsi="Arial" w:cs="Arial"/>
          <w:b/>
        </w:rPr>
      </w:pPr>
      <w:r w:rsidRPr="008159AC">
        <w:rPr>
          <w:rFonts w:ascii="Arial" w:hAnsi="Arial" w:cs="Arial"/>
          <w:b/>
          <w:bCs/>
        </w:rPr>
        <w:t>LEGITIMACIÓN EN LA CAUSA</w:t>
      </w:r>
      <w:r w:rsidRPr="008159AC">
        <w:rPr>
          <w:rFonts w:ascii="Arial" w:hAnsi="Arial" w:cs="Arial"/>
        </w:rPr>
        <w:t xml:space="preserve"> </w:t>
      </w:r>
      <w:r w:rsidR="003B549D" w:rsidRPr="008159AC">
        <w:rPr>
          <w:rFonts w:ascii="Arial" w:hAnsi="Arial" w:cs="Arial"/>
          <w:b/>
        </w:rPr>
        <w:t>-</w:t>
      </w:r>
      <w:r w:rsidRPr="008159AC">
        <w:rPr>
          <w:rFonts w:ascii="Arial" w:hAnsi="Arial" w:cs="Arial"/>
          <w:b/>
        </w:rPr>
        <w:t xml:space="preserve"> Consorcios </w:t>
      </w:r>
      <w:r w:rsidR="003B549D" w:rsidRPr="008159AC">
        <w:rPr>
          <w:rFonts w:ascii="Arial" w:hAnsi="Arial" w:cs="Arial"/>
          <w:b/>
        </w:rPr>
        <w:t>-</w:t>
      </w:r>
      <w:r w:rsidRPr="008159AC">
        <w:rPr>
          <w:rFonts w:ascii="Arial" w:hAnsi="Arial" w:cs="Arial"/>
          <w:b/>
        </w:rPr>
        <w:t xml:space="preserve"> </w:t>
      </w:r>
      <w:r w:rsidR="003B549D" w:rsidRPr="008159AC">
        <w:rPr>
          <w:rFonts w:ascii="Arial" w:hAnsi="Arial" w:cs="Arial"/>
          <w:b/>
        </w:rPr>
        <w:t>U</w:t>
      </w:r>
      <w:r w:rsidRPr="008159AC">
        <w:rPr>
          <w:rFonts w:ascii="Arial" w:hAnsi="Arial" w:cs="Arial"/>
          <w:b/>
        </w:rPr>
        <w:t>niones temporales</w:t>
      </w:r>
    </w:p>
    <w:p w14:paraId="57417C24" w14:textId="77777777" w:rsidR="008159AC" w:rsidRPr="008159AC" w:rsidRDefault="008159AC" w:rsidP="008159AC">
      <w:pPr>
        <w:spacing w:line="240" w:lineRule="atLeast"/>
        <w:ind w:right="-142"/>
        <w:contextualSpacing/>
        <w:jc w:val="both"/>
        <w:rPr>
          <w:rFonts w:ascii="Arial" w:hAnsi="Arial" w:cs="Arial"/>
        </w:rPr>
      </w:pPr>
    </w:p>
    <w:p w14:paraId="70EB4CBD" w14:textId="77777777" w:rsidR="0081193C" w:rsidRPr="008159AC" w:rsidRDefault="0081193C" w:rsidP="008159AC">
      <w:pPr>
        <w:spacing w:line="240" w:lineRule="atLeast"/>
        <w:ind w:right="-142"/>
        <w:contextualSpacing/>
        <w:jc w:val="both"/>
        <w:rPr>
          <w:rFonts w:ascii="Arial" w:hAnsi="Arial" w:cs="Arial"/>
        </w:rPr>
      </w:pPr>
      <w:r w:rsidRPr="008159AC">
        <w:rPr>
          <w:rFonts w:ascii="Arial" w:hAnsi="Arial" w:cs="Arial"/>
          <w:lang w:val="es-CO"/>
        </w:rPr>
        <w:t xml:space="preserve">Para la Sala, este argumento no está llamado a prosperar ya que, revisado el Auto admisorio de la demanda proferido el 4 de abril de 2008, el Tribunal Administrativo de Cundinamarca admitió “la demanda instaurada por la sociedad ICAGEL LIMITADA y el señor Eduardo Garzón Alarcón como miembros del Consorcio ICAGEL LIMITADA”, decisión esta que no fue impugnada por el </w:t>
      </w:r>
      <w:proofErr w:type="spellStart"/>
      <w:r w:rsidRPr="008159AC">
        <w:rPr>
          <w:rFonts w:ascii="Arial" w:hAnsi="Arial" w:cs="Arial"/>
          <w:lang w:val="es-CO"/>
        </w:rPr>
        <w:t>Invías</w:t>
      </w:r>
      <w:proofErr w:type="spellEnd"/>
      <w:r w:rsidRPr="008159AC">
        <w:rPr>
          <w:rFonts w:ascii="Arial" w:hAnsi="Arial" w:cs="Arial"/>
          <w:lang w:val="es-CO"/>
        </w:rPr>
        <w:t xml:space="preserve"> en su momento, lo que quiere decir que desde el inicio del proceso estuvo claro que el mismo es adelantado por los integrantes del Consorcio </w:t>
      </w:r>
      <w:proofErr w:type="spellStart"/>
      <w:r w:rsidRPr="008159AC">
        <w:rPr>
          <w:rFonts w:ascii="Arial" w:hAnsi="Arial" w:cs="Arial"/>
          <w:lang w:val="es-CO"/>
        </w:rPr>
        <w:t>Icagel</w:t>
      </w:r>
      <w:proofErr w:type="spellEnd"/>
      <w:r w:rsidRPr="008159AC">
        <w:rPr>
          <w:rFonts w:ascii="Arial" w:hAnsi="Arial" w:cs="Arial"/>
          <w:lang w:val="es-CO"/>
        </w:rPr>
        <w:t xml:space="preserve"> Limitada en contra de la entidad.</w:t>
      </w:r>
      <w:r w:rsidRPr="008159AC">
        <w:rPr>
          <w:rFonts w:ascii="Arial" w:hAnsi="Arial" w:cs="Arial"/>
        </w:rPr>
        <w:t xml:space="preserve"> </w:t>
      </w:r>
      <w:r w:rsidRPr="008159AC">
        <w:rPr>
          <w:rFonts w:ascii="Arial" w:hAnsi="Arial" w:cs="Arial"/>
          <w:lang w:val="es-CO"/>
        </w:rPr>
        <w:t xml:space="preserve">48. En todo caso, y si en gracia de discusión se entendiera que la demanda fue promovida por el Consorcio </w:t>
      </w:r>
      <w:proofErr w:type="spellStart"/>
      <w:r w:rsidRPr="008159AC">
        <w:rPr>
          <w:rFonts w:ascii="Arial" w:hAnsi="Arial" w:cs="Arial"/>
          <w:lang w:val="es-CO"/>
        </w:rPr>
        <w:t>Icagel</w:t>
      </w:r>
      <w:proofErr w:type="spellEnd"/>
      <w:r w:rsidRPr="008159AC">
        <w:rPr>
          <w:rFonts w:ascii="Arial" w:hAnsi="Arial" w:cs="Arial"/>
          <w:lang w:val="es-CO"/>
        </w:rPr>
        <w:t xml:space="preserve"> Limitada y no por sus integrantes, esto no implicaría la obligación de la Sala declarar probada la falta de legitimidad activa en la causa. Lo anterior pues, según se estableció en Sentencia de unificación de 25 de septiembre de 2013, los consorcios y uniones temporales, pese a no contar con personalidad jurídica, sí tienen capacidad para procesal y, por consiguiente, pueden ser parte de un determinado proceso judicial.</w:t>
      </w:r>
      <w:r w:rsidRPr="008159AC">
        <w:rPr>
          <w:rFonts w:ascii="Arial" w:hAnsi="Arial" w:cs="Arial"/>
        </w:rPr>
        <w:t xml:space="preserve">[…] En todo caso, y si en gracia de discusión se entendiera que la demanda fue promovida por el Consorcio </w:t>
      </w:r>
      <w:proofErr w:type="spellStart"/>
      <w:r w:rsidRPr="008159AC">
        <w:rPr>
          <w:rFonts w:ascii="Arial" w:hAnsi="Arial" w:cs="Arial"/>
        </w:rPr>
        <w:t>Icagel</w:t>
      </w:r>
      <w:proofErr w:type="spellEnd"/>
      <w:r w:rsidRPr="008159AC">
        <w:rPr>
          <w:rFonts w:ascii="Arial" w:hAnsi="Arial" w:cs="Arial"/>
        </w:rPr>
        <w:t xml:space="preserve"> Limitada y no por sus integrantes, esto no implicaría la obligación de la Sala declarar probada la falta de legitimidad activa en la causa.</w:t>
      </w:r>
    </w:p>
    <w:p w14:paraId="0DEBF310" w14:textId="77777777" w:rsidR="0081193C" w:rsidRPr="008159AC" w:rsidRDefault="0081193C" w:rsidP="0081193C">
      <w:pPr>
        <w:tabs>
          <w:tab w:val="left" w:pos="495"/>
          <w:tab w:val="left" w:pos="810"/>
          <w:tab w:val="left" w:pos="930"/>
          <w:tab w:val="left" w:pos="2085"/>
        </w:tabs>
        <w:contextualSpacing/>
        <w:jc w:val="both"/>
        <w:rPr>
          <w:rFonts w:ascii="Arial" w:hAnsi="Arial" w:cs="Arial"/>
        </w:rPr>
      </w:pPr>
    </w:p>
    <w:p w14:paraId="2FD85ECA" w14:textId="503C7002" w:rsidR="0081193C" w:rsidRPr="008159AC" w:rsidRDefault="0081193C" w:rsidP="0081193C">
      <w:pPr>
        <w:tabs>
          <w:tab w:val="left" w:pos="495"/>
          <w:tab w:val="left" w:pos="810"/>
          <w:tab w:val="left" w:pos="930"/>
          <w:tab w:val="left" w:pos="2085"/>
        </w:tabs>
        <w:contextualSpacing/>
        <w:jc w:val="both"/>
        <w:rPr>
          <w:rFonts w:ascii="Arial" w:hAnsi="Arial" w:cs="Arial"/>
          <w:b/>
          <w:bCs/>
        </w:rPr>
      </w:pPr>
      <w:r w:rsidRPr="008159AC">
        <w:rPr>
          <w:rFonts w:ascii="Arial" w:hAnsi="Arial" w:cs="Arial"/>
          <w:b/>
        </w:rPr>
        <w:t>ADJUDICACIÓN</w:t>
      </w:r>
      <w:r w:rsidR="000A77E7" w:rsidRPr="008159AC">
        <w:rPr>
          <w:rFonts w:ascii="Arial" w:hAnsi="Arial" w:cs="Arial"/>
          <w:b/>
        </w:rPr>
        <w:t xml:space="preserve"> </w:t>
      </w:r>
      <w:r w:rsidR="003B549D" w:rsidRPr="008159AC">
        <w:rPr>
          <w:rFonts w:ascii="Arial" w:hAnsi="Arial" w:cs="Arial"/>
          <w:b/>
        </w:rPr>
        <w:t>-</w:t>
      </w:r>
      <w:r w:rsidRPr="008159AC">
        <w:rPr>
          <w:rFonts w:ascii="Arial" w:hAnsi="Arial" w:cs="Arial"/>
        </w:rPr>
        <w:t xml:space="preserve"> </w:t>
      </w:r>
      <w:r w:rsidR="003B549D" w:rsidRPr="008159AC">
        <w:rPr>
          <w:rFonts w:ascii="Arial" w:hAnsi="Arial" w:cs="Arial"/>
          <w:b/>
          <w:bCs/>
        </w:rPr>
        <w:t xml:space="preserve">Pliego de condiciones - </w:t>
      </w:r>
      <w:r w:rsidRPr="008159AC">
        <w:rPr>
          <w:rFonts w:ascii="Arial" w:hAnsi="Arial" w:cs="Arial"/>
          <w:b/>
          <w:bCs/>
        </w:rPr>
        <w:t>Modificaciones</w:t>
      </w:r>
      <w:r w:rsidR="003B549D" w:rsidRPr="008159AC">
        <w:rPr>
          <w:rFonts w:ascii="Arial" w:hAnsi="Arial" w:cs="Arial"/>
          <w:b/>
          <w:bCs/>
        </w:rPr>
        <w:t xml:space="preserve"> - Ofertas - </w:t>
      </w:r>
      <w:r w:rsidRPr="008159AC">
        <w:rPr>
          <w:rFonts w:ascii="Arial" w:hAnsi="Arial" w:cs="Arial"/>
          <w:b/>
          <w:bCs/>
        </w:rPr>
        <w:t>Evaluación</w:t>
      </w:r>
    </w:p>
    <w:p w14:paraId="1AB94B25" w14:textId="77777777" w:rsidR="0081193C" w:rsidRPr="008159AC" w:rsidRDefault="0081193C" w:rsidP="0081193C">
      <w:pPr>
        <w:tabs>
          <w:tab w:val="left" w:pos="495"/>
          <w:tab w:val="left" w:pos="810"/>
          <w:tab w:val="left" w:pos="930"/>
          <w:tab w:val="left" w:pos="2085"/>
        </w:tabs>
        <w:contextualSpacing/>
        <w:jc w:val="both"/>
        <w:rPr>
          <w:rFonts w:ascii="Arial" w:hAnsi="Arial" w:cs="Arial"/>
        </w:rPr>
      </w:pPr>
    </w:p>
    <w:p w14:paraId="51848329" w14:textId="77777777" w:rsidR="0081193C" w:rsidRPr="008159AC" w:rsidRDefault="0081193C" w:rsidP="0081193C">
      <w:pPr>
        <w:tabs>
          <w:tab w:val="left" w:pos="495"/>
          <w:tab w:val="left" w:pos="810"/>
          <w:tab w:val="left" w:pos="930"/>
          <w:tab w:val="left" w:pos="2085"/>
        </w:tabs>
        <w:contextualSpacing/>
        <w:jc w:val="both"/>
        <w:rPr>
          <w:rFonts w:ascii="Arial" w:hAnsi="Arial" w:cs="Arial"/>
        </w:rPr>
      </w:pPr>
      <w:r w:rsidRPr="008159AC">
        <w:rPr>
          <w:rFonts w:ascii="Arial" w:hAnsi="Arial" w:cs="Arial"/>
        </w:rPr>
        <w:t xml:space="preserve">El </w:t>
      </w:r>
      <w:proofErr w:type="spellStart"/>
      <w:r w:rsidRPr="008159AC">
        <w:rPr>
          <w:rFonts w:ascii="Arial" w:hAnsi="Arial" w:cs="Arial"/>
        </w:rPr>
        <w:t>Invías</w:t>
      </w:r>
      <w:proofErr w:type="spellEnd"/>
      <w:r w:rsidRPr="008159AC">
        <w:rPr>
          <w:rFonts w:ascii="Arial" w:hAnsi="Arial" w:cs="Arial"/>
        </w:rPr>
        <w:t xml:space="preserve"> también indicó en su recurso de apelación que el Tribunal erró al considerar que “el consorcio ICAGEL fue el ganador del proceso licitatorio número SRN-085-2007, en lo que se refiere al módulo 2”. Para la Sala tampoco le asiste razón a la entidad recurrente en este punto. Por el contrario, se estima que el Tribunal realizó un razonamiento adecuado pues, el hecho de que el Consorcio Los Andes hubiera introducido modificaciones a un valor global de la propuesta económica debió haber generado el rechazo de su propuesta, motivo por el cual el Consorcio </w:t>
      </w:r>
      <w:proofErr w:type="spellStart"/>
      <w:r w:rsidRPr="008159AC">
        <w:rPr>
          <w:rFonts w:ascii="Arial" w:hAnsi="Arial" w:cs="Arial"/>
        </w:rPr>
        <w:t>Icagel</w:t>
      </w:r>
      <w:proofErr w:type="spellEnd"/>
      <w:r w:rsidRPr="008159AC">
        <w:rPr>
          <w:rFonts w:ascii="Arial" w:hAnsi="Arial" w:cs="Arial"/>
        </w:rPr>
        <w:t xml:space="preserve"> Limitada tenía derecho a ocupar el primer lugar del orden de elegibilidad y, por consiguiente, a ser adjudicatario del módulo No. 2 de la licitación pública No. SRN-085-2007. </w:t>
      </w:r>
    </w:p>
    <w:p w14:paraId="63A8A8FD" w14:textId="77777777" w:rsidR="00F9745F" w:rsidRPr="00C6618B" w:rsidRDefault="00F9745F" w:rsidP="00C6618B">
      <w:pPr>
        <w:tabs>
          <w:tab w:val="left" w:pos="495"/>
          <w:tab w:val="left" w:pos="810"/>
          <w:tab w:val="left" w:pos="930"/>
          <w:tab w:val="left" w:pos="2085"/>
        </w:tabs>
        <w:contextualSpacing/>
        <w:jc w:val="both"/>
        <w:rPr>
          <w:rFonts w:ascii="Arial" w:hAnsi="Arial" w:cs="Arial"/>
          <w:b/>
          <w:sz w:val="24"/>
          <w:szCs w:val="24"/>
        </w:rPr>
      </w:pPr>
    </w:p>
    <w:p w14:paraId="3134077A" w14:textId="77777777" w:rsidR="008159AC" w:rsidRDefault="008159AC" w:rsidP="00A23C1F">
      <w:pPr>
        <w:tabs>
          <w:tab w:val="left" w:pos="810"/>
          <w:tab w:val="left" w:pos="2085"/>
          <w:tab w:val="center" w:pos="4420"/>
          <w:tab w:val="left" w:pos="6570"/>
        </w:tabs>
        <w:contextualSpacing/>
        <w:jc w:val="center"/>
        <w:rPr>
          <w:rFonts w:ascii="Arial" w:hAnsi="Arial" w:cs="Arial"/>
          <w:b/>
          <w:sz w:val="24"/>
          <w:szCs w:val="24"/>
        </w:rPr>
      </w:pPr>
    </w:p>
    <w:p w14:paraId="5867DDBB" w14:textId="0987938C" w:rsidR="00392470" w:rsidRPr="00A23C1F" w:rsidRDefault="00392470" w:rsidP="00A23C1F">
      <w:pPr>
        <w:tabs>
          <w:tab w:val="left" w:pos="810"/>
          <w:tab w:val="left" w:pos="2085"/>
          <w:tab w:val="center" w:pos="4420"/>
          <w:tab w:val="left" w:pos="6570"/>
        </w:tabs>
        <w:contextualSpacing/>
        <w:jc w:val="center"/>
        <w:rPr>
          <w:rFonts w:ascii="Arial" w:hAnsi="Arial" w:cs="Arial"/>
          <w:b/>
          <w:sz w:val="24"/>
          <w:szCs w:val="24"/>
        </w:rPr>
      </w:pPr>
      <w:r w:rsidRPr="00A23C1F">
        <w:rPr>
          <w:rFonts w:ascii="Arial" w:hAnsi="Arial" w:cs="Arial"/>
          <w:b/>
          <w:sz w:val="24"/>
          <w:szCs w:val="24"/>
        </w:rPr>
        <w:t>CONSEJO DE ESTADO</w:t>
      </w:r>
    </w:p>
    <w:p w14:paraId="23B23763" w14:textId="77777777" w:rsidR="00392470" w:rsidRPr="00A23C1F" w:rsidRDefault="00392470" w:rsidP="00A23C1F">
      <w:pPr>
        <w:contextualSpacing/>
        <w:jc w:val="center"/>
        <w:rPr>
          <w:rFonts w:ascii="Arial" w:hAnsi="Arial" w:cs="Arial"/>
          <w:b/>
          <w:sz w:val="24"/>
          <w:szCs w:val="24"/>
        </w:rPr>
      </w:pPr>
    </w:p>
    <w:p w14:paraId="07038C63" w14:textId="77777777" w:rsidR="00392470" w:rsidRPr="00A23C1F" w:rsidRDefault="00392470" w:rsidP="00A23C1F">
      <w:pPr>
        <w:contextualSpacing/>
        <w:jc w:val="center"/>
        <w:rPr>
          <w:rFonts w:ascii="Arial" w:hAnsi="Arial" w:cs="Arial"/>
          <w:b/>
          <w:sz w:val="24"/>
          <w:szCs w:val="24"/>
        </w:rPr>
      </w:pPr>
      <w:r w:rsidRPr="00A23C1F">
        <w:rPr>
          <w:rFonts w:ascii="Arial" w:hAnsi="Arial" w:cs="Arial"/>
          <w:b/>
          <w:sz w:val="24"/>
          <w:szCs w:val="24"/>
        </w:rPr>
        <w:t>SALA DE LO CONTENCIOSO ADMINISTRATIVO</w:t>
      </w:r>
    </w:p>
    <w:p w14:paraId="2E2D6704" w14:textId="77777777" w:rsidR="00392470" w:rsidRPr="00A23C1F" w:rsidRDefault="00392470" w:rsidP="00A23C1F">
      <w:pPr>
        <w:contextualSpacing/>
        <w:jc w:val="center"/>
        <w:rPr>
          <w:rFonts w:ascii="Arial" w:hAnsi="Arial" w:cs="Arial"/>
          <w:b/>
          <w:sz w:val="24"/>
          <w:szCs w:val="24"/>
        </w:rPr>
      </w:pPr>
    </w:p>
    <w:p w14:paraId="1ED5CF02" w14:textId="77777777" w:rsidR="00392470" w:rsidRPr="00A23C1F" w:rsidRDefault="00392470" w:rsidP="00A23C1F">
      <w:pPr>
        <w:contextualSpacing/>
        <w:jc w:val="center"/>
        <w:rPr>
          <w:rFonts w:ascii="Arial" w:hAnsi="Arial" w:cs="Arial"/>
          <w:b/>
          <w:sz w:val="24"/>
          <w:szCs w:val="24"/>
        </w:rPr>
      </w:pPr>
      <w:r w:rsidRPr="00A23C1F">
        <w:rPr>
          <w:rFonts w:ascii="Arial" w:hAnsi="Arial" w:cs="Arial"/>
          <w:b/>
          <w:sz w:val="24"/>
          <w:szCs w:val="24"/>
        </w:rPr>
        <w:t>SECCIÓN TERCERA</w:t>
      </w:r>
    </w:p>
    <w:p w14:paraId="0B734F4E" w14:textId="77777777" w:rsidR="00392470" w:rsidRPr="00A23C1F" w:rsidRDefault="00392470" w:rsidP="00A23C1F">
      <w:pPr>
        <w:contextualSpacing/>
        <w:jc w:val="center"/>
        <w:rPr>
          <w:rFonts w:ascii="Arial" w:hAnsi="Arial" w:cs="Arial"/>
          <w:b/>
          <w:sz w:val="24"/>
          <w:szCs w:val="24"/>
        </w:rPr>
      </w:pPr>
    </w:p>
    <w:p w14:paraId="61B61310" w14:textId="77777777" w:rsidR="00392470" w:rsidRPr="00A23C1F" w:rsidRDefault="00392470" w:rsidP="00A23C1F">
      <w:pPr>
        <w:tabs>
          <w:tab w:val="center" w:pos="4420"/>
          <w:tab w:val="left" w:pos="6060"/>
        </w:tabs>
        <w:contextualSpacing/>
        <w:jc w:val="center"/>
        <w:rPr>
          <w:rFonts w:ascii="Arial" w:hAnsi="Arial" w:cs="Arial"/>
          <w:b/>
          <w:sz w:val="24"/>
          <w:szCs w:val="24"/>
        </w:rPr>
      </w:pPr>
      <w:r w:rsidRPr="00A23C1F">
        <w:rPr>
          <w:rFonts w:ascii="Arial" w:hAnsi="Arial" w:cs="Arial"/>
          <w:b/>
          <w:sz w:val="24"/>
          <w:szCs w:val="24"/>
        </w:rPr>
        <w:t>SUBSECCIÓN B</w:t>
      </w:r>
    </w:p>
    <w:p w14:paraId="210641B4" w14:textId="77777777" w:rsidR="00392470" w:rsidRPr="00A23C1F" w:rsidRDefault="00392470" w:rsidP="00A23C1F">
      <w:pPr>
        <w:contextualSpacing/>
        <w:jc w:val="center"/>
        <w:rPr>
          <w:rFonts w:ascii="Arial" w:hAnsi="Arial" w:cs="Arial"/>
          <w:b/>
          <w:sz w:val="24"/>
          <w:szCs w:val="24"/>
        </w:rPr>
      </w:pPr>
    </w:p>
    <w:p w14:paraId="081357A8" w14:textId="77777777" w:rsidR="00392470" w:rsidRPr="00A23C1F" w:rsidRDefault="00392470" w:rsidP="00A23C1F">
      <w:pPr>
        <w:contextualSpacing/>
        <w:jc w:val="center"/>
        <w:rPr>
          <w:rFonts w:ascii="Arial" w:hAnsi="Arial" w:cs="Arial"/>
          <w:b/>
          <w:sz w:val="24"/>
          <w:szCs w:val="24"/>
        </w:rPr>
      </w:pPr>
      <w:r w:rsidRPr="00A23C1F">
        <w:rPr>
          <w:rFonts w:ascii="Arial" w:hAnsi="Arial" w:cs="Arial"/>
          <w:b/>
          <w:sz w:val="24"/>
          <w:szCs w:val="24"/>
        </w:rPr>
        <w:t xml:space="preserve">Consejero ponente: </w:t>
      </w:r>
      <w:r w:rsidR="0000242C" w:rsidRPr="00A23C1F">
        <w:rPr>
          <w:rFonts w:ascii="Arial" w:hAnsi="Arial" w:cs="Arial"/>
          <w:b/>
          <w:sz w:val="24"/>
          <w:szCs w:val="24"/>
        </w:rPr>
        <w:t>ALBERTO MONTAÑA PLATA</w:t>
      </w:r>
    </w:p>
    <w:p w14:paraId="69168386" w14:textId="77777777" w:rsidR="00392470" w:rsidRPr="00A23C1F" w:rsidRDefault="00392470" w:rsidP="00A23C1F">
      <w:pPr>
        <w:contextualSpacing/>
        <w:jc w:val="both"/>
        <w:rPr>
          <w:rFonts w:ascii="Arial" w:hAnsi="Arial" w:cs="Arial"/>
          <w:b/>
          <w:sz w:val="24"/>
          <w:szCs w:val="24"/>
        </w:rPr>
      </w:pPr>
    </w:p>
    <w:p w14:paraId="1FC08E10" w14:textId="77777777" w:rsidR="00392470" w:rsidRPr="00A23C1F" w:rsidRDefault="0000242C" w:rsidP="00A23C1F">
      <w:pPr>
        <w:contextualSpacing/>
        <w:jc w:val="both"/>
        <w:rPr>
          <w:rFonts w:ascii="Arial" w:hAnsi="Arial" w:cs="Arial"/>
          <w:sz w:val="24"/>
          <w:szCs w:val="24"/>
        </w:rPr>
      </w:pPr>
      <w:r w:rsidRPr="00A23C1F">
        <w:rPr>
          <w:rFonts w:ascii="Arial" w:hAnsi="Arial" w:cs="Arial"/>
          <w:sz w:val="24"/>
          <w:szCs w:val="24"/>
        </w:rPr>
        <w:t xml:space="preserve">Bogotá, </w:t>
      </w:r>
      <w:r w:rsidR="003A24EF" w:rsidRPr="00A23C1F">
        <w:rPr>
          <w:rFonts w:ascii="Arial" w:hAnsi="Arial" w:cs="Arial"/>
          <w:sz w:val="24"/>
          <w:szCs w:val="24"/>
        </w:rPr>
        <w:t xml:space="preserve">D.C., </w:t>
      </w:r>
      <w:r w:rsidRPr="00A23C1F">
        <w:rPr>
          <w:rFonts w:ascii="Arial" w:hAnsi="Arial" w:cs="Arial"/>
          <w:sz w:val="24"/>
          <w:szCs w:val="24"/>
        </w:rPr>
        <w:t>veintiséis (</w:t>
      </w:r>
      <w:r w:rsidR="003A24EF" w:rsidRPr="00A23C1F">
        <w:rPr>
          <w:rFonts w:ascii="Arial" w:hAnsi="Arial" w:cs="Arial"/>
          <w:sz w:val="24"/>
          <w:szCs w:val="24"/>
        </w:rPr>
        <w:t>26</w:t>
      </w:r>
      <w:r w:rsidRPr="00A23C1F">
        <w:rPr>
          <w:rFonts w:ascii="Arial" w:hAnsi="Arial" w:cs="Arial"/>
          <w:sz w:val="24"/>
          <w:szCs w:val="24"/>
        </w:rPr>
        <w:t>)</w:t>
      </w:r>
      <w:r w:rsidR="003A24EF" w:rsidRPr="00A23C1F">
        <w:rPr>
          <w:rFonts w:ascii="Arial" w:hAnsi="Arial" w:cs="Arial"/>
          <w:sz w:val="24"/>
          <w:szCs w:val="24"/>
        </w:rPr>
        <w:t xml:space="preserve"> de agosto</w:t>
      </w:r>
      <w:r w:rsidR="00392470" w:rsidRPr="00A23C1F">
        <w:rPr>
          <w:rFonts w:ascii="Arial" w:hAnsi="Arial" w:cs="Arial"/>
          <w:sz w:val="24"/>
          <w:szCs w:val="24"/>
        </w:rPr>
        <w:t xml:space="preserve"> de </w:t>
      </w:r>
      <w:r w:rsidRPr="00A23C1F">
        <w:rPr>
          <w:rFonts w:ascii="Arial" w:hAnsi="Arial" w:cs="Arial"/>
          <w:sz w:val="24"/>
          <w:szCs w:val="24"/>
        </w:rPr>
        <w:t>dos mil diecinueve (</w:t>
      </w:r>
      <w:r w:rsidR="00392470" w:rsidRPr="00A23C1F">
        <w:rPr>
          <w:rFonts w:ascii="Arial" w:hAnsi="Arial" w:cs="Arial"/>
          <w:sz w:val="24"/>
          <w:szCs w:val="24"/>
        </w:rPr>
        <w:t>2019</w:t>
      </w:r>
      <w:r w:rsidRPr="00A23C1F">
        <w:rPr>
          <w:rFonts w:ascii="Arial" w:hAnsi="Arial" w:cs="Arial"/>
          <w:sz w:val="24"/>
          <w:szCs w:val="24"/>
        </w:rPr>
        <w:t>)</w:t>
      </w:r>
    </w:p>
    <w:p w14:paraId="3916C23F" w14:textId="77777777" w:rsidR="00392470" w:rsidRPr="00A23C1F" w:rsidRDefault="00392470" w:rsidP="00A23C1F">
      <w:pPr>
        <w:contextualSpacing/>
        <w:jc w:val="both"/>
        <w:rPr>
          <w:rFonts w:ascii="Arial" w:hAnsi="Arial" w:cs="Arial"/>
          <w:sz w:val="24"/>
          <w:szCs w:val="24"/>
        </w:rPr>
      </w:pPr>
    </w:p>
    <w:p w14:paraId="3926BAD6" w14:textId="77777777" w:rsidR="00392470" w:rsidRPr="00A23C1F" w:rsidRDefault="0000242C" w:rsidP="00A23C1F">
      <w:pPr>
        <w:contextualSpacing/>
        <w:jc w:val="both"/>
        <w:rPr>
          <w:rFonts w:ascii="Arial" w:hAnsi="Arial" w:cs="Arial"/>
          <w:b/>
          <w:sz w:val="24"/>
          <w:szCs w:val="24"/>
        </w:rPr>
      </w:pPr>
      <w:r w:rsidRPr="00A23C1F">
        <w:rPr>
          <w:rFonts w:ascii="Arial" w:hAnsi="Arial" w:cs="Arial"/>
          <w:b/>
          <w:sz w:val="24"/>
          <w:szCs w:val="24"/>
        </w:rPr>
        <w:t xml:space="preserve">Radicación número: </w:t>
      </w:r>
      <w:r w:rsidR="00392470" w:rsidRPr="00A23C1F">
        <w:rPr>
          <w:rFonts w:ascii="Arial" w:hAnsi="Arial" w:cs="Arial"/>
          <w:b/>
          <w:sz w:val="24"/>
          <w:szCs w:val="24"/>
        </w:rPr>
        <w:t>25</w:t>
      </w:r>
      <w:r w:rsidRPr="00A23C1F">
        <w:rPr>
          <w:rFonts w:ascii="Arial" w:hAnsi="Arial" w:cs="Arial"/>
          <w:b/>
          <w:sz w:val="24"/>
          <w:szCs w:val="24"/>
        </w:rPr>
        <w:t>000-23-26-000-2007-00751-01(43</w:t>
      </w:r>
      <w:r w:rsidR="00392470" w:rsidRPr="00A23C1F">
        <w:rPr>
          <w:rFonts w:ascii="Arial" w:hAnsi="Arial" w:cs="Arial"/>
          <w:b/>
          <w:sz w:val="24"/>
          <w:szCs w:val="24"/>
        </w:rPr>
        <w:t>194)</w:t>
      </w:r>
    </w:p>
    <w:p w14:paraId="1DDA7651" w14:textId="77777777" w:rsidR="0000242C" w:rsidRPr="00A23C1F" w:rsidRDefault="0000242C" w:rsidP="00A23C1F">
      <w:pPr>
        <w:contextualSpacing/>
        <w:jc w:val="both"/>
        <w:rPr>
          <w:rFonts w:ascii="Arial" w:hAnsi="Arial" w:cs="Arial"/>
          <w:b/>
          <w:sz w:val="24"/>
          <w:szCs w:val="24"/>
        </w:rPr>
      </w:pPr>
    </w:p>
    <w:p w14:paraId="60F9BB58" w14:textId="77777777" w:rsidR="00392470" w:rsidRPr="00A23C1F" w:rsidRDefault="0000242C" w:rsidP="00A23C1F">
      <w:pPr>
        <w:contextualSpacing/>
        <w:jc w:val="both"/>
        <w:rPr>
          <w:rFonts w:ascii="Arial" w:hAnsi="Arial" w:cs="Arial"/>
          <w:b/>
          <w:sz w:val="24"/>
          <w:szCs w:val="24"/>
        </w:rPr>
      </w:pPr>
      <w:r w:rsidRPr="00A23C1F">
        <w:rPr>
          <w:rFonts w:ascii="Arial" w:hAnsi="Arial" w:cs="Arial"/>
          <w:b/>
          <w:sz w:val="24"/>
          <w:szCs w:val="24"/>
        </w:rPr>
        <w:t>Actor: ICAGEL LTDA. Y EDUARDO GARZÓN ALARCÓN (INTEGRANTES DEL CONSORCIO ICAGEL LIMITADA)</w:t>
      </w:r>
    </w:p>
    <w:p w14:paraId="67950877" w14:textId="77777777" w:rsidR="0000242C" w:rsidRPr="00A23C1F" w:rsidRDefault="0000242C" w:rsidP="00A23C1F">
      <w:pPr>
        <w:contextualSpacing/>
        <w:jc w:val="both"/>
        <w:rPr>
          <w:rFonts w:ascii="Arial" w:hAnsi="Arial" w:cs="Arial"/>
          <w:b/>
          <w:sz w:val="24"/>
          <w:szCs w:val="24"/>
        </w:rPr>
      </w:pPr>
    </w:p>
    <w:p w14:paraId="5B72B3D7" w14:textId="77777777" w:rsidR="00392470" w:rsidRPr="00A23C1F" w:rsidRDefault="0000242C" w:rsidP="00A23C1F">
      <w:pPr>
        <w:contextualSpacing/>
        <w:jc w:val="both"/>
        <w:rPr>
          <w:rFonts w:ascii="Arial" w:hAnsi="Arial" w:cs="Arial"/>
          <w:b/>
          <w:sz w:val="24"/>
          <w:szCs w:val="24"/>
        </w:rPr>
      </w:pPr>
      <w:r w:rsidRPr="00A23C1F">
        <w:rPr>
          <w:rFonts w:ascii="Arial" w:hAnsi="Arial" w:cs="Arial"/>
          <w:b/>
          <w:sz w:val="24"/>
          <w:szCs w:val="24"/>
        </w:rPr>
        <w:t xml:space="preserve">Demandado: INSTITUTO NACIONAL DE VÍAS - INVÍAS </w:t>
      </w:r>
    </w:p>
    <w:p w14:paraId="5A6A2D8C" w14:textId="77777777" w:rsidR="0000242C" w:rsidRPr="00A23C1F" w:rsidRDefault="0000242C" w:rsidP="00A23C1F">
      <w:pPr>
        <w:contextualSpacing/>
        <w:jc w:val="both"/>
        <w:rPr>
          <w:rFonts w:ascii="Arial" w:hAnsi="Arial" w:cs="Arial"/>
          <w:b/>
          <w:sz w:val="24"/>
          <w:szCs w:val="24"/>
        </w:rPr>
      </w:pPr>
    </w:p>
    <w:p w14:paraId="36624A06" w14:textId="77777777" w:rsidR="0000242C" w:rsidRPr="00A23C1F" w:rsidRDefault="0000242C" w:rsidP="00A23C1F">
      <w:pPr>
        <w:contextualSpacing/>
        <w:jc w:val="both"/>
        <w:rPr>
          <w:rFonts w:ascii="Arial" w:hAnsi="Arial" w:cs="Arial"/>
          <w:b/>
          <w:sz w:val="24"/>
          <w:szCs w:val="24"/>
        </w:rPr>
      </w:pPr>
    </w:p>
    <w:p w14:paraId="73BE8CD0" w14:textId="77777777" w:rsidR="0000242C" w:rsidRPr="00A23C1F" w:rsidRDefault="0000242C" w:rsidP="00A23C1F">
      <w:pPr>
        <w:contextualSpacing/>
        <w:jc w:val="both"/>
        <w:rPr>
          <w:rFonts w:ascii="Arial" w:hAnsi="Arial" w:cs="Arial"/>
          <w:b/>
          <w:sz w:val="24"/>
          <w:szCs w:val="24"/>
        </w:rPr>
      </w:pPr>
    </w:p>
    <w:p w14:paraId="702CF016" w14:textId="77777777" w:rsidR="00392470" w:rsidRPr="00A23C1F" w:rsidRDefault="0000242C" w:rsidP="00A23C1F">
      <w:pPr>
        <w:contextualSpacing/>
        <w:jc w:val="both"/>
        <w:rPr>
          <w:rFonts w:ascii="Arial" w:hAnsi="Arial" w:cs="Arial"/>
          <w:b/>
          <w:sz w:val="24"/>
          <w:szCs w:val="24"/>
        </w:rPr>
      </w:pPr>
      <w:r w:rsidRPr="00A23C1F">
        <w:rPr>
          <w:rFonts w:ascii="Arial" w:hAnsi="Arial" w:cs="Arial"/>
          <w:b/>
          <w:sz w:val="24"/>
          <w:szCs w:val="24"/>
        </w:rPr>
        <w:t xml:space="preserve">Referencia: </w:t>
      </w:r>
      <w:r w:rsidRPr="00A23C1F">
        <w:rPr>
          <w:rFonts w:ascii="Arial" w:hAnsi="Arial" w:cs="Arial"/>
          <w:b/>
          <w:sz w:val="24"/>
          <w:szCs w:val="24"/>
        </w:rPr>
        <w:tab/>
        <w:t xml:space="preserve">NULIDAD Y RESTABLECIMIENTO DEL DERECHO </w:t>
      </w:r>
    </w:p>
    <w:p w14:paraId="070364D2" w14:textId="77777777" w:rsidR="00392470" w:rsidRPr="00A23C1F" w:rsidRDefault="00392470" w:rsidP="00A23C1F">
      <w:pPr>
        <w:contextualSpacing/>
        <w:jc w:val="both"/>
        <w:rPr>
          <w:rFonts w:ascii="Arial" w:hAnsi="Arial" w:cs="Arial"/>
          <w:sz w:val="24"/>
          <w:szCs w:val="24"/>
        </w:rPr>
      </w:pPr>
    </w:p>
    <w:p w14:paraId="283F8443" w14:textId="77777777" w:rsidR="0000242C" w:rsidRPr="00A23C1F" w:rsidRDefault="0000242C" w:rsidP="00A23C1F">
      <w:pPr>
        <w:contextualSpacing/>
        <w:jc w:val="both"/>
        <w:rPr>
          <w:rFonts w:ascii="Arial" w:hAnsi="Arial" w:cs="Arial"/>
          <w:sz w:val="24"/>
          <w:szCs w:val="24"/>
        </w:rPr>
      </w:pPr>
    </w:p>
    <w:p w14:paraId="27C1CC1E" w14:textId="77777777" w:rsidR="0000242C" w:rsidRPr="00A23C1F" w:rsidRDefault="0000242C" w:rsidP="00A23C1F">
      <w:pPr>
        <w:contextualSpacing/>
        <w:jc w:val="both"/>
        <w:rPr>
          <w:rFonts w:ascii="Arial" w:hAnsi="Arial" w:cs="Arial"/>
          <w:sz w:val="24"/>
          <w:szCs w:val="24"/>
        </w:rPr>
      </w:pPr>
    </w:p>
    <w:p w14:paraId="50C06334" w14:textId="77777777" w:rsidR="00392470" w:rsidRPr="00A23C1F" w:rsidRDefault="00392470" w:rsidP="00A23C1F">
      <w:pPr>
        <w:spacing w:line="360" w:lineRule="auto"/>
        <w:contextualSpacing/>
        <w:jc w:val="both"/>
        <w:rPr>
          <w:rFonts w:ascii="Arial" w:hAnsi="Arial" w:cs="Arial"/>
          <w:sz w:val="24"/>
          <w:szCs w:val="24"/>
        </w:rPr>
      </w:pPr>
      <w:r w:rsidRPr="00A23C1F">
        <w:rPr>
          <w:rFonts w:ascii="Arial" w:hAnsi="Arial" w:cs="Arial"/>
          <w:sz w:val="24"/>
          <w:szCs w:val="24"/>
        </w:rPr>
        <w:lastRenderedPageBreak/>
        <w:t xml:space="preserve">Temas: controversias contractuales – actividad precontractual – nulidad del acto que declara desierto el procedimiento – </w:t>
      </w:r>
    </w:p>
    <w:p w14:paraId="7FAAA697" w14:textId="77777777" w:rsidR="00392470" w:rsidRPr="00A23C1F" w:rsidRDefault="00392470" w:rsidP="00A23C1F">
      <w:pPr>
        <w:spacing w:line="360" w:lineRule="auto"/>
        <w:contextualSpacing/>
        <w:jc w:val="both"/>
        <w:rPr>
          <w:rFonts w:ascii="Arial" w:hAnsi="Arial" w:cs="Arial"/>
          <w:sz w:val="24"/>
          <w:szCs w:val="24"/>
        </w:rPr>
      </w:pPr>
    </w:p>
    <w:p w14:paraId="50C5F3DA" w14:textId="77777777" w:rsidR="00392470" w:rsidRPr="00A23C1F" w:rsidRDefault="00392470" w:rsidP="00A23C1F">
      <w:pPr>
        <w:spacing w:line="360" w:lineRule="auto"/>
        <w:contextualSpacing/>
        <w:jc w:val="both"/>
        <w:rPr>
          <w:rFonts w:ascii="Arial" w:hAnsi="Arial" w:cs="Arial"/>
          <w:sz w:val="24"/>
          <w:szCs w:val="24"/>
        </w:rPr>
      </w:pPr>
      <w:r w:rsidRPr="00A23C1F">
        <w:rPr>
          <w:rFonts w:ascii="Arial" w:hAnsi="Arial" w:cs="Arial"/>
          <w:sz w:val="24"/>
          <w:szCs w:val="24"/>
        </w:rPr>
        <w:t>Síntesis:</w:t>
      </w:r>
      <w:r w:rsidRPr="00A23C1F">
        <w:rPr>
          <w:rFonts w:ascii="Arial" w:hAnsi="Arial" w:cs="Arial"/>
          <w:b/>
          <w:sz w:val="24"/>
          <w:szCs w:val="24"/>
        </w:rPr>
        <w:t xml:space="preserve"> </w:t>
      </w:r>
      <w:r w:rsidRPr="00A23C1F">
        <w:rPr>
          <w:rFonts w:ascii="Arial" w:hAnsi="Arial" w:cs="Arial"/>
          <w:sz w:val="24"/>
          <w:szCs w:val="24"/>
        </w:rPr>
        <w:t xml:space="preserve">El </w:t>
      </w:r>
      <w:proofErr w:type="spellStart"/>
      <w:r w:rsidRPr="00A23C1F">
        <w:rPr>
          <w:rFonts w:ascii="Arial" w:hAnsi="Arial" w:cs="Arial"/>
          <w:sz w:val="24"/>
          <w:szCs w:val="24"/>
        </w:rPr>
        <w:t>Invías</w:t>
      </w:r>
      <w:proofErr w:type="spellEnd"/>
      <w:r w:rsidRPr="00A23C1F">
        <w:rPr>
          <w:rFonts w:ascii="Arial" w:hAnsi="Arial" w:cs="Arial"/>
          <w:sz w:val="24"/>
          <w:szCs w:val="24"/>
        </w:rPr>
        <w:t xml:space="preserve"> realizó una licitación pública con el fin de contratar la rehabilitación y conservación de varios puentes. La propuesta económica debía presentarse en un formulario entregado por el </w:t>
      </w:r>
      <w:proofErr w:type="spellStart"/>
      <w:r w:rsidRPr="00A23C1F">
        <w:rPr>
          <w:rFonts w:ascii="Arial" w:hAnsi="Arial" w:cs="Arial"/>
          <w:sz w:val="24"/>
          <w:szCs w:val="24"/>
        </w:rPr>
        <w:t>Invías</w:t>
      </w:r>
      <w:proofErr w:type="spellEnd"/>
      <w:r w:rsidRPr="00A23C1F">
        <w:rPr>
          <w:rFonts w:ascii="Arial" w:hAnsi="Arial" w:cs="Arial"/>
          <w:sz w:val="24"/>
          <w:szCs w:val="24"/>
        </w:rPr>
        <w:t xml:space="preserve"> y, de acuerdo con los pliegos de condiciones, los valores de los ítems expresados a precio global en el formulario no podían ser modificados, so pena de rechazo. En el formulario entregado por el </w:t>
      </w:r>
      <w:proofErr w:type="spellStart"/>
      <w:r w:rsidRPr="00A23C1F">
        <w:rPr>
          <w:rFonts w:ascii="Arial" w:hAnsi="Arial" w:cs="Arial"/>
          <w:sz w:val="24"/>
          <w:szCs w:val="24"/>
        </w:rPr>
        <w:t>Invías</w:t>
      </w:r>
      <w:proofErr w:type="spellEnd"/>
      <w:r w:rsidRPr="00A23C1F">
        <w:rPr>
          <w:rFonts w:ascii="Arial" w:hAnsi="Arial" w:cs="Arial"/>
          <w:sz w:val="24"/>
          <w:szCs w:val="24"/>
        </w:rPr>
        <w:t xml:space="preserve">, estaba indicado expresamente que algunos ítems cuyo valor fue expresado a precio global no podían ser modificados. Sin embargo, no se dijo nada respecto de los demás ítems con estas características. Por esta razón, el </w:t>
      </w:r>
      <w:proofErr w:type="spellStart"/>
      <w:r w:rsidRPr="00A23C1F">
        <w:rPr>
          <w:rFonts w:ascii="Arial" w:hAnsi="Arial" w:cs="Arial"/>
          <w:sz w:val="24"/>
          <w:szCs w:val="24"/>
        </w:rPr>
        <w:t>Invías</w:t>
      </w:r>
      <w:proofErr w:type="spellEnd"/>
      <w:r w:rsidRPr="00A23C1F">
        <w:rPr>
          <w:rFonts w:ascii="Arial" w:hAnsi="Arial" w:cs="Arial"/>
          <w:sz w:val="24"/>
          <w:szCs w:val="24"/>
        </w:rPr>
        <w:t xml:space="preserve"> declaró desierta la licitación. En la demanda, se persigue la declaratoria de nulidad del acto que declaró desierta la licitación y la correspondiente indemnización de perjuicios.</w:t>
      </w:r>
    </w:p>
    <w:p w14:paraId="5528DBEB" w14:textId="77777777" w:rsidR="00392470" w:rsidRPr="00A23C1F" w:rsidRDefault="00392470" w:rsidP="0000242C">
      <w:pPr>
        <w:spacing w:line="360" w:lineRule="auto"/>
        <w:ind w:right="-142"/>
        <w:contextualSpacing/>
        <w:jc w:val="both"/>
        <w:rPr>
          <w:rFonts w:ascii="Arial" w:hAnsi="Arial" w:cs="Arial"/>
          <w:sz w:val="24"/>
          <w:szCs w:val="24"/>
        </w:rPr>
      </w:pPr>
    </w:p>
    <w:p w14:paraId="1B89AB87" w14:textId="77777777" w:rsidR="00392470" w:rsidRPr="00A23C1F" w:rsidRDefault="00392470" w:rsidP="0000242C">
      <w:pPr>
        <w:spacing w:line="360" w:lineRule="auto"/>
        <w:ind w:right="-142"/>
        <w:contextualSpacing/>
        <w:jc w:val="both"/>
        <w:rPr>
          <w:rFonts w:ascii="Arial" w:hAnsi="Arial" w:cs="Arial"/>
          <w:sz w:val="24"/>
          <w:szCs w:val="24"/>
        </w:rPr>
      </w:pPr>
      <w:r w:rsidRPr="00A23C1F">
        <w:rPr>
          <w:rFonts w:ascii="Arial" w:hAnsi="Arial" w:cs="Arial"/>
          <w:sz w:val="24"/>
          <w:szCs w:val="24"/>
        </w:rPr>
        <w:t>Decide la Sala el recurso de apelación interpuesto por la parte demandada contra la Sentencia proferida por el Tribunal Administrativo de Cundinamarca, Sección Tercera, Subsección B, el 22 de junio de 2011, mediante la cual se decidió (se trascribe):</w:t>
      </w:r>
    </w:p>
    <w:p w14:paraId="0B8615C4" w14:textId="77777777" w:rsidR="00392470" w:rsidRPr="00A23C1F" w:rsidRDefault="00392470" w:rsidP="00392470">
      <w:pPr>
        <w:spacing w:line="360" w:lineRule="auto"/>
        <w:ind w:right="-142"/>
        <w:contextualSpacing/>
        <w:jc w:val="both"/>
        <w:rPr>
          <w:rFonts w:ascii="Arial" w:hAnsi="Arial" w:cs="Arial"/>
          <w:i/>
          <w:iCs/>
          <w:sz w:val="24"/>
          <w:szCs w:val="24"/>
        </w:rPr>
      </w:pPr>
    </w:p>
    <w:p w14:paraId="31FDAAC3" w14:textId="77777777" w:rsidR="00392470" w:rsidRPr="00A23C1F" w:rsidRDefault="00392470" w:rsidP="00392470">
      <w:pPr>
        <w:ind w:left="567" w:right="567"/>
        <w:contextualSpacing/>
        <w:jc w:val="both"/>
        <w:rPr>
          <w:rFonts w:ascii="Arial" w:hAnsi="Arial" w:cs="Arial"/>
          <w:i/>
          <w:sz w:val="24"/>
          <w:szCs w:val="24"/>
        </w:rPr>
      </w:pPr>
      <w:r w:rsidRPr="00A23C1F">
        <w:rPr>
          <w:rFonts w:ascii="Arial" w:hAnsi="Arial" w:cs="Arial"/>
          <w:sz w:val="24"/>
          <w:szCs w:val="24"/>
        </w:rPr>
        <w:t>“</w:t>
      </w:r>
      <w:r w:rsidRPr="00A23C1F">
        <w:rPr>
          <w:rFonts w:ascii="Arial" w:hAnsi="Arial" w:cs="Arial"/>
          <w:i/>
          <w:sz w:val="24"/>
          <w:szCs w:val="24"/>
        </w:rPr>
        <w:t>PRIMERO: Declarar no probadas las excepciones propuestas por el Instituto nacional de Vías INVIAS, en los términos de la parte considerativa de esta sentencia.</w:t>
      </w:r>
    </w:p>
    <w:p w14:paraId="6B8CDB45" w14:textId="77777777" w:rsidR="00392470" w:rsidRPr="00A23C1F" w:rsidRDefault="00392470" w:rsidP="00392470">
      <w:pPr>
        <w:ind w:left="567" w:right="567"/>
        <w:contextualSpacing/>
        <w:jc w:val="both"/>
        <w:rPr>
          <w:rFonts w:ascii="Arial" w:hAnsi="Arial" w:cs="Arial"/>
          <w:i/>
          <w:sz w:val="24"/>
          <w:szCs w:val="24"/>
        </w:rPr>
      </w:pPr>
      <w:r w:rsidRPr="00A23C1F">
        <w:rPr>
          <w:rFonts w:ascii="Arial" w:hAnsi="Arial" w:cs="Arial"/>
          <w:i/>
          <w:sz w:val="24"/>
          <w:szCs w:val="24"/>
        </w:rPr>
        <w:t>SEGUNDA: Declarar no probada la objeción grave formulada por el INVIAS.</w:t>
      </w:r>
    </w:p>
    <w:p w14:paraId="15C4DD81" w14:textId="77777777" w:rsidR="00392470" w:rsidRPr="00A23C1F" w:rsidRDefault="00392470" w:rsidP="00392470">
      <w:pPr>
        <w:ind w:left="567" w:right="567"/>
        <w:contextualSpacing/>
        <w:jc w:val="both"/>
        <w:rPr>
          <w:rFonts w:ascii="Arial" w:hAnsi="Arial" w:cs="Arial"/>
          <w:i/>
          <w:sz w:val="24"/>
          <w:szCs w:val="24"/>
        </w:rPr>
      </w:pPr>
      <w:r w:rsidRPr="00A23C1F">
        <w:rPr>
          <w:rFonts w:ascii="Arial" w:hAnsi="Arial" w:cs="Arial"/>
          <w:i/>
          <w:sz w:val="24"/>
          <w:szCs w:val="24"/>
        </w:rPr>
        <w:t>TERCERA: Declarar la nulidad parcial del artículo 1 de la resolución 05961 del 3 de diciembre de 2007, en lo referente a la declaratoria de desierta del MÓDULO 2 de la licitación pública 085, con fundamento en la parte motiva de esta providencia.</w:t>
      </w:r>
    </w:p>
    <w:p w14:paraId="3C726605" w14:textId="77777777" w:rsidR="00392470" w:rsidRPr="00A23C1F" w:rsidRDefault="00392470" w:rsidP="00392470">
      <w:pPr>
        <w:ind w:left="567" w:right="567"/>
        <w:contextualSpacing/>
        <w:jc w:val="both"/>
        <w:rPr>
          <w:rFonts w:ascii="Arial" w:hAnsi="Arial" w:cs="Arial"/>
          <w:i/>
          <w:sz w:val="24"/>
          <w:szCs w:val="24"/>
        </w:rPr>
      </w:pPr>
      <w:r w:rsidRPr="00A23C1F">
        <w:rPr>
          <w:rFonts w:ascii="Arial" w:hAnsi="Arial" w:cs="Arial"/>
          <w:i/>
          <w:sz w:val="24"/>
          <w:szCs w:val="24"/>
        </w:rPr>
        <w:t>CUARTA: En consecuencia, condenar al Instituto Nacional de Vías INVIAS a pagar a los miembros del consorcio ICAGEL Limitada, la suma de ciento veintiocho millones trescientos un mil novecientos trece pesos ($128’</w:t>
      </w:r>
      <w:proofErr w:type="gramStart"/>
      <w:r w:rsidRPr="00A23C1F">
        <w:rPr>
          <w:rFonts w:ascii="Arial" w:hAnsi="Arial" w:cs="Arial"/>
          <w:i/>
          <w:sz w:val="24"/>
          <w:szCs w:val="24"/>
        </w:rPr>
        <w:t>301.913.oo</w:t>
      </w:r>
      <w:proofErr w:type="gramEnd"/>
      <w:r w:rsidRPr="00A23C1F">
        <w:rPr>
          <w:rFonts w:ascii="Arial" w:hAnsi="Arial" w:cs="Arial"/>
          <w:i/>
          <w:sz w:val="24"/>
          <w:szCs w:val="24"/>
        </w:rPr>
        <w:t>) moneda corriente. Dicha suma se pagará a los miembros del consorcio ICAGEL Limitada así: el 70% para la sociedad ICAGEL Limitada, NIT 0800207622-3, y el 30% para Eduardo Garzón Alarcón, con cédula de ciudadanía 14.248.841 de Ibagué.</w:t>
      </w:r>
    </w:p>
    <w:p w14:paraId="0BC0A496" w14:textId="77777777" w:rsidR="00392470" w:rsidRPr="00A23C1F" w:rsidRDefault="00392470" w:rsidP="00392470">
      <w:pPr>
        <w:ind w:left="567" w:right="567"/>
        <w:contextualSpacing/>
        <w:jc w:val="both"/>
        <w:rPr>
          <w:rFonts w:ascii="Arial" w:hAnsi="Arial" w:cs="Arial"/>
          <w:i/>
          <w:sz w:val="24"/>
          <w:szCs w:val="24"/>
        </w:rPr>
      </w:pPr>
      <w:r w:rsidRPr="00A23C1F">
        <w:rPr>
          <w:rFonts w:ascii="Arial" w:hAnsi="Arial" w:cs="Arial"/>
          <w:i/>
          <w:sz w:val="24"/>
          <w:szCs w:val="24"/>
        </w:rPr>
        <w:t>QUINTA: Negar las demás pretensiones de la demanda.</w:t>
      </w:r>
    </w:p>
    <w:p w14:paraId="7876CF01" w14:textId="77777777" w:rsidR="00392470" w:rsidRPr="00A23C1F" w:rsidRDefault="00392470" w:rsidP="00392470">
      <w:pPr>
        <w:ind w:left="567" w:right="567"/>
        <w:contextualSpacing/>
        <w:jc w:val="both"/>
        <w:rPr>
          <w:rFonts w:ascii="Arial" w:hAnsi="Arial" w:cs="Arial"/>
          <w:i/>
          <w:sz w:val="24"/>
          <w:szCs w:val="24"/>
        </w:rPr>
      </w:pPr>
      <w:r w:rsidRPr="00A23C1F">
        <w:rPr>
          <w:rFonts w:ascii="Arial" w:hAnsi="Arial" w:cs="Arial"/>
          <w:i/>
          <w:sz w:val="24"/>
          <w:szCs w:val="24"/>
        </w:rPr>
        <w:t>SEXTA: Para el cumplimiento de esta sentencia se dará aplicación a lo dispuesto por los artículos 176, 177 y 178 del Código Contencioso Administrativo.</w:t>
      </w:r>
    </w:p>
    <w:p w14:paraId="00F04244" w14:textId="77777777" w:rsidR="00392470" w:rsidRPr="00A23C1F" w:rsidRDefault="00392470" w:rsidP="00392470">
      <w:pPr>
        <w:ind w:left="567" w:right="567"/>
        <w:contextualSpacing/>
        <w:jc w:val="both"/>
        <w:rPr>
          <w:rFonts w:ascii="Arial" w:hAnsi="Arial" w:cs="Arial"/>
          <w:i/>
          <w:sz w:val="24"/>
          <w:szCs w:val="24"/>
        </w:rPr>
      </w:pPr>
      <w:r w:rsidRPr="00A23C1F">
        <w:rPr>
          <w:rFonts w:ascii="Arial" w:hAnsi="Arial" w:cs="Arial"/>
          <w:i/>
          <w:sz w:val="24"/>
          <w:szCs w:val="24"/>
        </w:rPr>
        <w:t>SÉPTIMA: Sin costas”.</w:t>
      </w:r>
    </w:p>
    <w:p w14:paraId="1C2AE992" w14:textId="77777777" w:rsidR="00392470" w:rsidRPr="00A23C1F" w:rsidRDefault="00392470" w:rsidP="00392470">
      <w:pPr>
        <w:spacing w:line="360" w:lineRule="auto"/>
        <w:ind w:right="-142"/>
        <w:contextualSpacing/>
        <w:jc w:val="both"/>
        <w:rPr>
          <w:rFonts w:ascii="Arial" w:hAnsi="Arial" w:cs="Arial"/>
          <w:sz w:val="24"/>
          <w:szCs w:val="24"/>
        </w:rPr>
      </w:pPr>
    </w:p>
    <w:p w14:paraId="354F48BA" w14:textId="77777777" w:rsidR="00392470" w:rsidRPr="00A23C1F" w:rsidRDefault="00392470" w:rsidP="00392470">
      <w:pPr>
        <w:spacing w:line="360" w:lineRule="auto"/>
        <w:ind w:right="-142"/>
        <w:contextualSpacing/>
        <w:jc w:val="both"/>
        <w:rPr>
          <w:rFonts w:ascii="Arial" w:hAnsi="Arial" w:cs="Arial"/>
          <w:sz w:val="24"/>
          <w:szCs w:val="24"/>
        </w:rPr>
      </w:pPr>
      <w:r w:rsidRPr="00A23C1F">
        <w:rPr>
          <w:rFonts w:ascii="Arial" w:hAnsi="Arial" w:cs="Arial"/>
          <w:sz w:val="24"/>
          <w:szCs w:val="24"/>
        </w:rPr>
        <w:t>Contenido: 1. Antecedentes – 2. Consideraciones – 3. Decisión</w:t>
      </w:r>
    </w:p>
    <w:p w14:paraId="3DA5DFE0" w14:textId="77777777" w:rsidR="00392470" w:rsidRPr="00A23C1F" w:rsidRDefault="00392470" w:rsidP="00392470">
      <w:pPr>
        <w:spacing w:line="360" w:lineRule="auto"/>
        <w:ind w:right="-142"/>
        <w:contextualSpacing/>
        <w:jc w:val="both"/>
        <w:rPr>
          <w:rFonts w:ascii="Arial" w:hAnsi="Arial" w:cs="Arial"/>
          <w:sz w:val="24"/>
          <w:szCs w:val="24"/>
        </w:rPr>
      </w:pPr>
    </w:p>
    <w:p w14:paraId="1F8A5D78" w14:textId="77777777" w:rsidR="00392470" w:rsidRPr="00A23C1F" w:rsidRDefault="00392470" w:rsidP="00392470">
      <w:pPr>
        <w:spacing w:line="360" w:lineRule="auto"/>
        <w:ind w:right="-142"/>
        <w:contextualSpacing/>
        <w:jc w:val="center"/>
        <w:rPr>
          <w:rFonts w:ascii="Arial" w:hAnsi="Arial" w:cs="Arial"/>
          <w:b/>
          <w:sz w:val="24"/>
          <w:szCs w:val="24"/>
        </w:rPr>
      </w:pPr>
      <w:r w:rsidRPr="00A23C1F">
        <w:rPr>
          <w:rFonts w:ascii="Arial" w:hAnsi="Arial" w:cs="Arial"/>
          <w:b/>
          <w:sz w:val="24"/>
          <w:szCs w:val="24"/>
        </w:rPr>
        <w:t>1.- ANTECEDENTES</w:t>
      </w:r>
    </w:p>
    <w:p w14:paraId="1A309286" w14:textId="77777777" w:rsidR="00392470" w:rsidRPr="00A23C1F" w:rsidRDefault="00392470" w:rsidP="00392470">
      <w:pPr>
        <w:spacing w:line="360" w:lineRule="auto"/>
        <w:ind w:right="-142"/>
        <w:contextualSpacing/>
        <w:jc w:val="center"/>
        <w:rPr>
          <w:rFonts w:ascii="Arial" w:hAnsi="Arial" w:cs="Arial"/>
          <w:b/>
          <w:sz w:val="24"/>
          <w:szCs w:val="24"/>
        </w:rPr>
      </w:pPr>
    </w:p>
    <w:p w14:paraId="5471CE8F" w14:textId="77777777" w:rsidR="00392470" w:rsidRPr="00A23C1F" w:rsidRDefault="00392470" w:rsidP="00392470">
      <w:pPr>
        <w:ind w:right="-142"/>
        <w:contextualSpacing/>
        <w:jc w:val="both"/>
        <w:rPr>
          <w:rFonts w:ascii="Arial" w:hAnsi="Arial" w:cs="Arial"/>
          <w:sz w:val="24"/>
          <w:szCs w:val="24"/>
        </w:rPr>
      </w:pPr>
      <w:r w:rsidRPr="00A23C1F">
        <w:rPr>
          <w:rFonts w:ascii="Arial" w:hAnsi="Arial" w:cs="Arial"/>
          <w:sz w:val="24"/>
          <w:szCs w:val="24"/>
        </w:rPr>
        <w:t>Contenido: 1.1. La demanda y su trámite en primera instancia - 1.2. El recurso de apelación y su trámite en segunda instancia</w:t>
      </w:r>
    </w:p>
    <w:p w14:paraId="2D0E206A" w14:textId="77777777" w:rsidR="00392470" w:rsidRPr="00A23C1F" w:rsidRDefault="00392470" w:rsidP="00392470">
      <w:pPr>
        <w:spacing w:line="360" w:lineRule="auto"/>
        <w:ind w:right="-142"/>
        <w:contextualSpacing/>
        <w:jc w:val="both"/>
        <w:rPr>
          <w:rFonts w:ascii="Arial" w:hAnsi="Arial" w:cs="Arial"/>
          <w:sz w:val="24"/>
          <w:szCs w:val="24"/>
        </w:rPr>
      </w:pPr>
    </w:p>
    <w:p w14:paraId="11FE3B88" w14:textId="77777777" w:rsidR="00392470" w:rsidRPr="00A23C1F" w:rsidRDefault="00392470" w:rsidP="00392470">
      <w:pPr>
        <w:spacing w:line="360" w:lineRule="auto"/>
        <w:ind w:right="-142"/>
        <w:contextualSpacing/>
        <w:jc w:val="both"/>
        <w:rPr>
          <w:rFonts w:ascii="Arial" w:hAnsi="Arial" w:cs="Arial"/>
          <w:b/>
          <w:sz w:val="24"/>
          <w:szCs w:val="24"/>
        </w:rPr>
      </w:pPr>
      <w:r w:rsidRPr="00A23C1F">
        <w:rPr>
          <w:rFonts w:ascii="Arial" w:hAnsi="Arial" w:cs="Arial"/>
          <w:b/>
          <w:sz w:val="24"/>
          <w:szCs w:val="24"/>
        </w:rPr>
        <w:t>1.1. La demanda y su trámite en primera instancia</w:t>
      </w:r>
    </w:p>
    <w:p w14:paraId="613E8CA6" w14:textId="77777777" w:rsidR="00392470" w:rsidRPr="00A23C1F" w:rsidRDefault="00392470" w:rsidP="00392470">
      <w:pPr>
        <w:spacing w:line="360" w:lineRule="auto"/>
        <w:ind w:right="-142"/>
        <w:contextualSpacing/>
        <w:jc w:val="both"/>
        <w:rPr>
          <w:rFonts w:ascii="Arial" w:hAnsi="Arial" w:cs="Arial"/>
          <w:b/>
          <w:sz w:val="24"/>
          <w:szCs w:val="24"/>
        </w:rPr>
      </w:pPr>
    </w:p>
    <w:p w14:paraId="37A697A5" w14:textId="77777777" w:rsidR="00392470" w:rsidRPr="00A23C1F" w:rsidRDefault="00392470" w:rsidP="00392470">
      <w:pPr>
        <w:widowControl w:val="0"/>
        <w:autoSpaceDE w:val="0"/>
        <w:autoSpaceDN w:val="0"/>
        <w:adjustRightInd w:val="0"/>
        <w:spacing w:line="360" w:lineRule="auto"/>
        <w:ind w:right="-142"/>
        <w:contextualSpacing/>
        <w:jc w:val="both"/>
        <w:rPr>
          <w:rFonts w:ascii="Arial" w:hAnsi="Arial" w:cs="Arial"/>
          <w:sz w:val="24"/>
          <w:szCs w:val="24"/>
        </w:rPr>
      </w:pPr>
      <w:r w:rsidRPr="00A23C1F">
        <w:rPr>
          <w:rFonts w:ascii="Arial" w:hAnsi="Arial" w:cs="Arial"/>
          <w:sz w:val="24"/>
          <w:szCs w:val="24"/>
        </w:rPr>
        <w:t>1.</w:t>
      </w:r>
      <w:r w:rsidRPr="00A23C1F">
        <w:rPr>
          <w:rFonts w:ascii="Arial" w:hAnsi="Arial" w:cs="Arial"/>
          <w:sz w:val="24"/>
          <w:szCs w:val="24"/>
          <w:lang w:val="es-CO"/>
        </w:rPr>
        <w:t xml:space="preserve"> El 19 de diciembre de 2007, </w:t>
      </w:r>
      <w:proofErr w:type="spellStart"/>
      <w:r w:rsidRPr="00A23C1F">
        <w:rPr>
          <w:rFonts w:ascii="Arial" w:hAnsi="Arial" w:cs="Arial"/>
          <w:sz w:val="24"/>
          <w:szCs w:val="24"/>
          <w:u w:val="single"/>
          <w:lang w:val="es-CO"/>
        </w:rPr>
        <w:t>Icagel</w:t>
      </w:r>
      <w:proofErr w:type="spellEnd"/>
      <w:r w:rsidRPr="00A23C1F">
        <w:rPr>
          <w:rFonts w:ascii="Arial" w:hAnsi="Arial" w:cs="Arial"/>
          <w:sz w:val="24"/>
          <w:szCs w:val="24"/>
          <w:u w:val="single"/>
          <w:lang w:val="es-CO"/>
        </w:rPr>
        <w:t xml:space="preserve"> Ltda.</w:t>
      </w:r>
      <w:r w:rsidRPr="00A23C1F">
        <w:rPr>
          <w:rFonts w:ascii="Arial" w:hAnsi="Arial" w:cs="Arial"/>
          <w:sz w:val="24"/>
          <w:szCs w:val="24"/>
          <w:lang w:val="es-CO"/>
        </w:rPr>
        <w:t xml:space="preserve"> y </w:t>
      </w:r>
      <w:r w:rsidRPr="00A23C1F">
        <w:rPr>
          <w:rFonts w:ascii="Arial" w:hAnsi="Arial" w:cs="Arial"/>
          <w:sz w:val="24"/>
          <w:szCs w:val="24"/>
          <w:u w:val="single"/>
          <w:lang w:val="es-CO"/>
        </w:rPr>
        <w:t>Eduardo Garzón Alarcón</w:t>
      </w:r>
      <w:r w:rsidRPr="00A23C1F">
        <w:rPr>
          <w:rStyle w:val="Refdenotaalpie"/>
          <w:rFonts w:ascii="Arial" w:hAnsi="Arial" w:cs="Arial"/>
          <w:sz w:val="24"/>
          <w:szCs w:val="24"/>
          <w:u w:val="single"/>
          <w:lang w:val="es-CO"/>
        </w:rPr>
        <w:footnoteReference w:id="1"/>
      </w:r>
      <w:r w:rsidRPr="00A23C1F">
        <w:rPr>
          <w:rFonts w:ascii="Arial" w:hAnsi="Arial" w:cs="Arial"/>
          <w:sz w:val="24"/>
          <w:szCs w:val="24"/>
          <w:lang w:val="es-CO"/>
        </w:rPr>
        <w:t xml:space="preserve"> presentaron </w:t>
      </w:r>
      <w:r w:rsidRPr="00A23C1F">
        <w:rPr>
          <w:rFonts w:ascii="Arial" w:hAnsi="Arial" w:cs="Arial"/>
          <w:b/>
          <w:sz w:val="24"/>
          <w:szCs w:val="24"/>
          <w:lang w:val="es-CO"/>
        </w:rPr>
        <w:t>demanda en ejercicio de la acción de nulidad y restablecimiento del derecho</w:t>
      </w:r>
      <w:r w:rsidRPr="00A23C1F">
        <w:rPr>
          <w:rFonts w:ascii="Arial" w:hAnsi="Arial" w:cs="Arial"/>
          <w:sz w:val="24"/>
          <w:szCs w:val="24"/>
          <w:lang w:val="es-CO"/>
        </w:rPr>
        <w:t xml:space="preserve"> en contra del </w:t>
      </w:r>
      <w:r w:rsidRPr="00A23C1F">
        <w:rPr>
          <w:rFonts w:ascii="Arial" w:hAnsi="Arial" w:cs="Arial"/>
          <w:sz w:val="24"/>
          <w:szCs w:val="24"/>
          <w:u w:val="single"/>
        </w:rPr>
        <w:t>Instituto Nacional de Vías (</w:t>
      </w:r>
      <w:proofErr w:type="spellStart"/>
      <w:r w:rsidRPr="00A23C1F">
        <w:rPr>
          <w:rFonts w:ascii="Arial" w:hAnsi="Arial" w:cs="Arial"/>
          <w:sz w:val="24"/>
          <w:szCs w:val="24"/>
          <w:u w:val="single"/>
        </w:rPr>
        <w:t>Invías</w:t>
      </w:r>
      <w:proofErr w:type="spellEnd"/>
      <w:r w:rsidRPr="00A23C1F">
        <w:rPr>
          <w:rFonts w:ascii="Arial" w:hAnsi="Arial" w:cs="Arial"/>
          <w:sz w:val="24"/>
          <w:szCs w:val="24"/>
          <w:u w:val="single"/>
        </w:rPr>
        <w:t>)</w:t>
      </w:r>
      <w:r w:rsidRPr="00A23C1F">
        <w:rPr>
          <w:rFonts w:ascii="Arial" w:hAnsi="Arial" w:cs="Arial"/>
          <w:sz w:val="24"/>
          <w:szCs w:val="24"/>
        </w:rPr>
        <w:t>, en cuyas pretensiones solicitaron que se hicieran las siguientes declaraciones y condenas (se trascribe)</w:t>
      </w:r>
      <w:r w:rsidRPr="00A23C1F">
        <w:rPr>
          <w:rFonts w:ascii="Arial" w:hAnsi="Arial" w:cs="Arial"/>
          <w:sz w:val="24"/>
          <w:szCs w:val="24"/>
          <w:vertAlign w:val="superscript"/>
        </w:rPr>
        <w:footnoteReference w:id="2"/>
      </w:r>
      <w:r w:rsidRPr="00A23C1F">
        <w:rPr>
          <w:rFonts w:ascii="Arial" w:hAnsi="Arial" w:cs="Arial"/>
          <w:sz w:val="24"/>
          <w:szCs w:val="24"/>
        </w:rPr>
        <w:t xml:space="preserve">: </w:t>
      </w:r>
    </w:p>
    <w:p w14:paraId="0D145888" w14:textId="77777777" w:rsidR="00392470" w:rsidRPr="00A23C1F" w:rsidRDefault="00392470" w:rsidP="00392470">
      <w:pPr>
        <w:widowControl w:val="0"/>
        <w:autoSpaceDE w:val="0"/>
        <w:autoSpaceDN w:val="0"/>
        <w:adjustRightInd w:val="0"/>
        <w:spacing w:line="360" w:lineRule="auto"/>
        <w:ind w:right="-142"/>
        <w:contextualSpacing/>
        <w:jc w:val="both"/>
        <w:rPr>
          <w:rFonts w:ascii="Arial" w:hAnsi="Arial" w:cs="Arial"/>
          <w:sz w:val="24"/>
          <w:szCs w:val="24"/>
        </w:rPr>
      </w:pPr>
    </w:p>
    <w:p w14:paraId="609506BC" w14:textId="77777777" w:rsidR="00392470" w:rsidRPr="00A23C1F" w:rsidRDefault="00392470" w:rsidP="00392470">
      <w:pPr>
        <w:ind w:left="567" w:right="567"/>
        <w:contextualSpacing/>
        <w:jc w:val="both"/>
        <w:rPr>
          <w:rFonts w:ascii="Arial" w:hAnsi="Arial" w:cs="Arial"/>
          <w:i/>
          <w:sz w:val="24"/>
          <w:szCs w:val="24"/>
        </w:rPr>
      </w:pPr>
      <w:r w:rsidRPr="00A23C1F">
        <w:rPr>
          <w:rFonts w:ascii="Arial" w:hAnsi="Arial" w:cs="Arial"/>
          <w:i/>
          <w:sz w:val="24"/>
          <w:szCs w:val="24"/>
        </w:rPr>
        <w:t xml:space="preserve">“PRIMERA: Que es nulo el artículo primero (1o) de la Resolución No. 05961 de 2007, proferida por el Señor Secretario General Técnico del INSTITUTO NACIONAL DE VIAS – INVIAS -, el día 03 de </w:t>
      </w:r>
      <w:proofErr w:type="gramStart"/>
      <w:r w:rsidRPr="00A23C1F">
        <w:rPr>
          <w:rFonts w:ascii="Arial" w:hAnsi="Arial" w:cs="Arial"/>
          <w:i/>
          <w:sz w:val="24"/>
          <w:szCs w:val="24"/>
        </w:rPr>
        <w:t>Diciembre</w:t>
      </w:r>
      <w:proofErr w:type="gramEnd"/>
      <w:r w:rsidRPr="00A23C1F">
        <w:rPr>
          <w:rFonts w:ascii="Arial" w:hAnsi="Arial" w:cs="Arial"/>
          <w:i/>
          <w:sz w:val="24"/>
          <w:szCs w:val="24"/>
        </w:rPr>
        <w:t xml:space="preserve"> de 2.007 por medio de la cual se adjudica el Módulo 3 y se declaran desiertos los módulos 1, 2, 4 y 5 de la Licitación Pública No. SRN – 085 – 2007, cuyo objeto es la rehabilitación y conservación de puentes grupo 12.</w:t>
      </w:r>
    </w:p>
    <w:p w14:paraId="50305661" w14:textId="77777777" w:rsidR="00392470" w:rsidRPr="00A23C1F" w:rsidRDefault="00392470" w:rsidP="00392470">
      <w:pPr>
        <w:ind w:left="567" w:right="567"/>
        <w:contextualSpacing/>
        <w:jc w:val="both"/>
        <w:rPr>
          <w:rFonts w:ascii="Arial" w:hAnsi="Arial" w:cs="Arial"/>
          <w:i/>
          <w:sz w:val="24"/>
          <w:szCs w:val="24"/>
        </w:rPr>
      </w:pPr>
      <w:proofErr w:type="gramStart"/>
      <w:r w:rsidRPr="00A23C1F">
        <w:rPr>
          <w:rFonts w:ascii="Arial" w:hAnsi="Arial" w:cs="Arial"/>
          <w:i/>
          <w:sz w:val="24"/>
          <w:szCs w:val="24"/>
        </w:rPr>
        <w:t>SEGUNDA.-</w:t>
      </w:r>
      <w:proofErr w:type="gramEnd"/>
      <w:r w:rsidRPr="00A23C1F">
        <w:rPr>
          <w:rFonts w:ascii="Arial" w:hAnsi="Arial" w:cs="Arial"/>
          <w:i/>
          <w:sz w:val="24"/>
          <w:szCs w:val="24"/>
        </w:rPr>
        <w:t xml:space="preserve"> Que como consecuencia de la anterior declaración y a título de restablecimiento del derecho, se condene a LA NACION – MINISTERIO DE TRANSPORTE – INSTITUTO NACIONAL DE VIAS (INVIAS), a reconocer y pagar a las personas jurídicas que conforman el denominado CONSORCIO ICAGEL LIMITADA, los perjuicios y daños de carácter material sufridos por la demandante como consecuencia de los expedición del acto administrativo demandado y de acuerdo con lo que resulte probado en el proceso.</w:t>
      </w:r>
    </w:p>
    <w:p w14:paraId="696E9948" w14:textId="77777777" w:rsidR="00392470" w:rsidRPr="00A23C1F" w:rsidRDefault="00392470" w:rsidP="00392470">
      <w:pPr>
        <w:ind w:left="567" w:right="567"/>
        <w:contextualSpacing/>
        <w:jc w:val="both"/>
        <w:rPr>
          <w:rFonts w:ascii="Arial" w:hAnsi="Arial" w:cs="Arial"/>
          <w:i/>
          <w:sz w:val="24"/>
          <w:szCs w:val="24"/>
        </w:rPr>
      </w:pPr>
      <w:proofErr w:type="gramStart"/>
      <w:r w:rsidRPr="00A23C1F">
        <w:rPr>
          <w:rFonts w:ascii="Arial" w:hAnsi="Arial" w:cs="Arial"/>
          <w:i/>
          <w:sz w:val="24"/>
          <w:szCs w:val="24"/>
        </w:rPr>
        <w:t>TERCERA.-</w:t>
      </w:r>
      <w:proofErr w:type="gramEnd"/>
      <w:r w:rsidRPr="00A23C1F">
        <w:rPr>
          <w:rFonts w:ascii="Arial" w:hAnsi="Arial" w:cs="Arial"/>
          <w:i/>
          <w:sz w:val="24"/>
          <w:szCs w:val="24"/>
        </w:rPr>
        <w:t xml:space="preserve"> A la sentencia se le dará cumplimiento en los términos establecidos en el artículo 176 y </w:t>
      </w:r>
      <w:proofErr w:type="spellStart"/>
      <w:r w:rsidRPr="00A23C1F">
        <w:rPr>
          <w:rFonts w:ascii="Arial" w:hAnsi="Arial" w:cs="Arial"/>
          <w:i/>
          <w:sz w:val="24"/>
          <w:szCs w:val="24"/>
        </w:rPr>
        <w:t>ss</w:t>
      </w:r>
      <w:proofErr w:type="spellEnd"/>
      <w:r w:rsidRPr="00A23C1F">
        <w:rPr>
          <w:rFonts w:ascii="Arial" w:hAnsi="Arial" w:cs="Arial"/>
          <w:i/>
          <w:sz w:val="24"/>
          <w:szCs w:val="24"/>
        </w:rPr>
        <w:t xml:space="preserve"> del C.C.A”.</w:t>
      </w:r>
    </w:p>
    <w:p w14:paraId="52FB5B63" w14:textId="77777777" w:rsidR="00392470" w:rsidRPr="00A23C1F" w:rsidRDefault="00392470" w:rsidP="00392470">
      <w:pPr>
        <w:widowControl w:val="0"/>
        <w:autoSpaceDE w:val="0"/>
        <w:autoSpaceDN w:val="0"/>
        <w:adjustRightInd w:val="0"/>
        <w:spacing w:line="360" w:lineRule="auto"/>
        <w:ind w:right="-142"/>
        <w:contextualSpacing/>
        <w:jc w:val="both"/>
        <w:rPr>
          <w:rFonts w:ascii="Arial" w:hAnsi="Arial" w:cs="Arial"/>
          <w:sz w:val="24"/>
          <w:szCs w:val="24"/>
        </w:rPr>
      </w:pPr>
    </w:p>
    <w:p w14:paraId="0FEDC4F4" w14:textId="77777777" w:rsidR="00392470" w:rsidRPr="00A23C1F" w:rsidRDefault="00392470" w:rsidP="00392470">
      <w:pPr>
        <w:widowControl w:val="0"/>
        <w:autoSpaceDE w:val="0"/>
        <w:autoSpaceDN w:val="0"/>
        <w:adjustRightInd w:val="0"/>
        <w:spacing w:line="360" w:lineRule="auto"/>
        <w:ind w:right="-142"/>
        <w:contextualSpacing/>
        <w:jc w:val="both"/>
        <w:rPr>
          <w:rFonts w:ascii="Arial" w:hAnsi="Arial" w:cs="Arial"/>
          <w:b/>
          <w:sz w:val="24"/>
          <w:szCs w:val="24"/>
        </w:rPr>
      </w:pPr>
      <w:r w:rsidRPr="00A23C1F">
        <w:rPr>
          <w:rFonts w:ascii="Arial" w:hAnsi="Arial" w:cs="Arial"/>
          <w:sz w:val="24"/>
          <w:szCs w:val="24"/>
        </w:rPr>
        <w:t xml:space="preserve">2. En el escrito de </w:t>
      </w:r>
      <w:r w:rsidRPr="00A23C1F">
        <w:rPr>
          <w:rFonts w:ascii="Arial" w:hAnsi="Arial" w:cs="Arial"/>
          <w:b/>
          <w:sz w:val="24"/>
          <w:szCs w:val="24"/>
        </w:rPr>
        <w:t>demanda,</w:t>
      </w:r>
      <w:r w:rsidRPr="00A23C1F">
        <w:rPr>
          <w:rFonts w:ascii="Arial" w:hAnsi="Arial" w:cs="Arial"/>
          <w:sz w:val="24"/>
          <w:szCs w:val="24"/>
        </w:rPr>
        <w:t xml:space="preserve"> la parte actora narró, en síntesis, los siguientes </w:t>
      </w:r>
      <w:r w:rsidRPr="00A23C1F">
        <w:rPr>
          <w:rFonts w:ascii="Arial" w:hAnsi="Arial" w:cs="Arial"/>
          <w:b/>
          <w:sz w:val="24"/>
          <w:szCs w:val="24"/>
        </w:rPr>
        <w:t>hechos</w:t>
      </w:r>
      <w:r w:rsidRPr="00A23C1F">
        <w:rPr>
          <w:rFonts w:ascii="Arial" w:hAnsi="Arial" w:cs="Arial"/>
          <w:b/>
          <w:sz w:val="24"/>
          <w:szCs w:val="24"/>
          <w:lang w:val="es-CO"/>
        </w:rPr>
        <w:t>:</w:t>
      </w:r>
    </w:p>
    <w:p w14:paraId="2FA96BE8" w14:textId="77777777" w:rsidR="00392470" w:rsidRPr="00A23C1F" w:rsidRDefault="00392470" w:rsidP="00392470">
      <w:pPr>
        <w:widowControl w:val="0"/>
        <w:autoSpaceDE w:val="0"/>
        <w:autoSpaceDN w:val="0"/>
        <w:adjustRightInd w:val="0"/>
        <w:spacing w:line="360" w:lineRule="auto"/>
        <w:ind w:right="-142"/>
        <w:contextualSpacing/>
        <w:jc w:val="both"/>
        <w:rPr>
          <w:rFonts w:ascii="Arial" w:hAnsi="Arial" w:cs="Arial"/>
          <w:b/>
          <w:sz w:val="24"/>
          <w:szCs w:val="24"/>
        </w:rPr>
      </w:pPr>
    </w:p>
    <w:p w14:paraId="119D5DA7" w14:textId="77777777" w:rsidR="00392470" w:rsidRPr="00A23C1F" w:rsidRDefault="00392470" w:rsidP="00392470">
      <w:pPr>
        <w:spacing w:line="360" w:lineRule="auto"/>
        <w:contextualSpacing/>
        <w:jc w:val="both"/>
        <w:rPr>
          <w:rFonts w:ascii="Arial" w:hAnsi="Arial" w:cs="Arial"/>
          <w:sz w:val="24"/>
          <w:szCs w:val="24"/>
        </w:rPr>
      </w:pPr>
      <w:r w:rsidRPr="00A23C1F">
        <w:rPr>
          <w:rFonts w:ascii="Arial" w:hAnsi="Arial" w:cs="Arial"/>
          <w:sz w:val="24"/>
          <w:szCs w:val="24"/>
          <w:lang w:val="es-CO"/>
        </w:rPr>
        <w:t>3.</w:t>
      </w:r>
      <w:r w:rsidRPr="00A23C1F">
        <w:rPr>
          <w:rFonts w:ascii="Arial" w:hAnsi="Arial" w:cs="Arial"/>
          <w:sz w:val="24"/>
          <w:szCs w:val="24"/>
          <w:lang w:val="es-CO"/>
        </w:rPr>
        <w:tab/>
      </w:r>
      <w:r w:rsidRPr="00A23C1F">
        <w:rPr>
          <w:rFonts w:ascii="Arial" w:hAnsi="Arial" w:cs="Arial"/>
          <w:sz w:val="24"/>
          <w:szCs w:val="24"/>
        </w:rPr>
        <w:t xml:space="preserve">1) Mediante Resolución No. 3562 de 3 de agosto de 2007, el </w:t>
      </w:r>
      <w:proofErr w:type="spellStart"/>
      <w:r w:rsidRPr="00A23C1F">
        <w:rPr>
          <w:rFonts w:ascii="Arial" w:hAnsi="Arial" w:cs="Arial"/>
          <w:sz w:val="24"/>
          <w:szCs w:val="24"/>
        </w:rPr>
        <w:t>Invías</w:t>
      </w:r>
      <w:proofErr w:type="spellEnd"/>
      <w:r w:rsidRPr="00A23C1F">
        <w:rPr>
          <w:rFonts w:ascii="Arial" w:hAnsi="Arial" w:cs="Arial"/>
          <w:sz w:val="24"/>
          <w:szCs w:val="24"/>
        </w:rPr>
        <w:t xml:space="preserve"> ordenó la apertura de la licitación pública No. SRN-085, para contratar la rehabilitación y conservación de “</w:t>
      </w:r>
      <w:r w:rsidRPr="00A23C1F">
        <w:rPr>
          <w:rFonts w:ascii="Arial" w:hAnsi="Arial" w:cs="Arial"/>
          <w:i/>
          <w:sz w:val="24"/>
          <w:szCs w:val="24"/>
        </w:rPr>
        <w:t>puentes grupo 12</w:t>
      </w:r>
      <w:r w:rsidRPr="00A23C1F">
        <w:rPr>
          <w:rFonts w:ascii="Arial" w:hAnsi="Arial" w:cs="Arial"/>
          <w:sz w:val="24"/>
          <w:szCs w:val="24"/>
        </w:rPr>
        <w:t>”. La licitación se dividió en 5 módulos.</w:t>
      </w:r>
    </w:p>
    <w:p w14:paraId="5D1E9640"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7976F322" w14:textId="77777777" w:rsidR="00392470" w:rsidRPr="00A23C1F" w:rsidRDefault="00392470" w:rsidP="00392470">
      <w:pPr>
        <w:spacing w:line="360" w:lineRule="auto"/>
        <w:contextualSpacing/>
        <w:jc w:val="both"/>
        <w:rPr>
          <w:rFonts w:ascii="Arial" w:hAnsi="Arial" w:cs="Arial"/>
          <w:sz w:val="24"/>
          <w:szCs w:val="24"/>
        </w:rPr>
      </w:pPr>
      <w:r w:rsidRPr="00A23C1F">
        <w:rPr>
          <w:rFonts w:ascii="Arial" w:hAnsi="Arial" w:cs="Arial"/>
          <w:sz w:val="24"/>
          <w:szCs w:val="24"/>
          <w:lang w:val="es-CO"/>
        </w:rPr>
        <w:t>4.</w:t>
      </w:r>
      <w:r w:rsidRPr="00A23C1F">
        <w:rPr>
          <w:rFonts w:ascii="Arial" w:hAnsi="Arial" w:cs="Arial"/>
          <w:sz w:val="24"/>
          <w:szCs w:val="24"/>
          <w:lang w:val="es-CO"/>
        </w:rPr>
        <w:tab/>
      </w:r>
      <w:r w:rsidRPr="00A23C1F">
        <w:rPr>
          <w:rFonts w:ascii="Arial" w:hAnsi="Arial" w:cs="Arial"/>
          <w:sz w:val="24"/>
          <w:szCs w:val="24"/>
        </w:rPr>
        <w:t xml:space="preserve">2) El </w:t>
      </w:r>
      <w:proofErr w:type="spellStart"/>
      <w:r w:rsidRPr="00A23C1F">
        <w:rPr>
          <w:rFonts w:ascii="Arial" w:hAnsi="Arial" w:cs="Arial"/>
          <w:sz w:val="24"/>
          <w:szCs w:val="24"/>
        </w:rPr>
        <w:t>Invías</w:t>
      </w:r>
      <w:proofErr w:type="spellEnd"/>
      <w:r w:rsidRPr="00A23C1F">
        <w:rPr>
          <w:rFonts w:ascii="Arial" w:hAnsi="Arial" w:cs="Arial"/>
          <w:sz w:val="24"/>
          <w:szCs w:val="24"/>
        </w:rPr>
        <w:t xml:space="preserve"> realizó 7 adendas al pliego de condiciones de la licitación SRN-085 de 2007.</w:t>
      </w:r>
    </w:p>
    <w:p w14:paraId="635A500B"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1ABD9708" w14:textId="77777777" w:rsidR="00392470" w:rsidRPr="00A23C1F" w:rsidRDefault="00392470" w:rsidP="00392470">
      <w:pPr>
        <w:spacing w:line="360" w:lineRule="auto"/>
        <w:contextualSpacing/>
        <w:jc w:val="both"/>
        <w:rPr>
          <w:rFonts w:ascii="Arial" w:hAnsi="Arial" w:cs="Arial"/>
          <w:sz w:val="24"/>
          <w:szCs w:val="24"/>
        </w:rPr>
      </w:pPr>
      <w:r w:rsidRPr="00A23C1F">
        <w:rPr>
          <w:rFonts w:ascii="Arial" w:hAnsi="Arial" w:cs="Arial"/>
          <w:sz w:val="24"/>
          <w:szCs w:val="24"/>
          <w:lang w:val="es-CO"/>
        </w:rPr>
        <w:t>5.</w:t>
      </w:r>
      <w:r w:rsidRPr="00A23C1F">
        <w:rPr>
          <w:rFonts w:ascii="Arial" w:hAnsi="Arial" w:cs="Arial"/>
          <w:sz w:val="24"/>
          <w:szCs w:val="24"/>
          <w:lang w:val="es-CO"/>
        </w:rPr>
        <w:tab/>
      </w:r>
      <w:r w:rsidRPr="00A23C1F">
        <w:rPr>
          <w:rFonts w:ascii="Arial" w:hAnsi="Arial" w:cs="Arial"/>
          <w:sz w:val="24"/>
          <w:szCs w:val="24"/>
        </w:rPr>
        <w:t xml:space="preserve">3) El 28 de septiembre de 2007, al cierre de la licitación, se habían presentado 19 propuestas para los 5 módulos. El Consorcio </w:t>
      </w:r>
      <w:proofErr w:type="spellStart"/>
      <w:r w:rsidRPr="00A23C1F">
        <w:rPr>
          <w:rFonts w:ascii="Arial" w:hAnsi="Arial" w:cs="Arial"/>
          <w:sz w:val="24"/>
          <w:szCs w:val="24"/>
        </w:rPr>
        <w:t>Icagel</w:t>
      </w:r>
      <w:proofErr w:type="spellEnd"/>
      <w:r w:rsidRPr="00A23C1F">
        <w:rPr>
          <w:rFonts w:ascii="Arial" w:hAnsi="Arial" w:cs="Arial"/>
          <w:sz w:val="24"/>
          <w:szCs w:val="24"/>
        </w:rPr>
        <w:t xml:space="preserve"> Limitada presentó una oferta para realizar las obras del módulo No. 2. </w:t>
      </w:r>
    </w:p>
    <w:p w14:paraId="7657C9FF" w14:textId="77777777" w:rsidR="00392470" w:rsidRPr="00A23C1F" w:rsidRDefault="00392470" w:rsidP="00392470">
      <w:pPr>
        <w:spacing w:line="360" w:lineRule="auto"/>
        <w:ind w:right="-142"/>
        <w:contextualSpacing/>
        <w:jc w:val="both"/>
        <w:rPr>
          <w:rFonts w:ascii="Arial" w:hAnsi="Arial" w:cs="Arial"/>
          <w:sz w:val="24"/>
          <w:szCs w:val="24"/>
        </w:rPr>
      </w:pPr>
    </w:p>
    <w:p w14:paraId="20ED2F67" w14:textId="77777777" w:rsidR="00392470" w:rsidRPr="00A23C1F" w:rsidRDefault="00392470" w:rsidP="00392470">
      <w:pPr>
        <w:spacing w:line="360" w:lineRule="auto"/>
        <w:contextualSpacing/>
        <w:jc w:val="both"/>
        <w:rPr>
          <w:rFonts w:ascii="Arial" w:hAnsi="Arial" w:cs="Arial"/>
          <w:sz w:val="24"/>
          <w:szCs w:val="24"/>
        </w:rPr>
      </w:pPr>
      <w:r w:rsidRPr="00A23C1F">
        <w:rPr>
          <w:rFonts w:ascii="Arial" w:hAnsi="Arial" w:cs="Arial"/>
          <w:sz w:val="24"/>
          <w:szCs w:val="24"/>
          <w:lang w:val="es-CO"/>
        </w:rPr>
        <w:t>6.</w:t>
      </w:r>
      <w:r w:rsidRPr="00A23C1F">
        <w:rPr>
          <w:rFonts w:ascii="Arial" w:hAnsi="Arial" w:cs="Arial"/>
          <w:sz w:val="24"/>
          <w:szCs w:val="24"/>
          <w:lang w:val="es-CO"/>
        </w:rPr>
        <w:tab/>
      </w:r>
      <w:r w:rsidRPr="00A23C1F">
        <w:rPr>
          <w:rFonts w:ascii="Arial" w:hAnsi="Arial" w:cs="Arial"/>
          <w:sz w:val="24"/>
          <w:szCs w:val="24"/>
        </w:rPr>
        <w:t xml:space="preserve">4) El 8 de noviembre de 2007, el </w:t>
      </w:r>
      <w:proofErr w:type="spellStart"/>
      <w:r w:rsidRPr="00A23C1F">
        <w:rPr>
          <w:rFonts w:ascii="Arial" w:hAnsi="Arial" w:cs="Arial"/>
          <w:sz w:val="24"/>
          <w:szCs w:val="24"/>
        </w:rPr>
        <w:t>Invías</w:t>
      </w:r>
      <w:proofErr w:type="spellEnd"/>
      <w:r w:rsidRPr="00A23C1F">
        <w:rPr>
          <w:rFonts w:ascii="Arial" w:hAnsi="Arial" w:cs="Arial"/>
          <w:sz w:val="24"/>
          <w:szCs w:val="24"/>
        </w:rPr>
        <w:t xml:space="preserve"> presentó a los participantes de la licitación el orden elegibilidad de proponentes. Respecto del módulo No. 2, el Consorcio Los Andes ocupó el primer lugar y el Consorcio </w:t>
      </w:r>
      <w:proofErr w:type="spellStart"/>
      <w:r w:rsidRPr="00A23C1F">
        <w:rPr>
          <w:rFonts w:ascii="Arial" w:hAnsi="Arial" w:cs="Arial"/>
          <w:sz w:val="24"/>
          <w:szCs w:val="24"/>
        </w:rPr>
        <w:t>Icagel</w:t>
      </w:r>
      <w:proofErr w:type="spellEnd"/>
      <w:r w:rsidRPr="00A23C1F">
        <w:rPr>
          <w:rFonts w:ascii="Arial" w:hAnsi="Arial" w:cs="Arial"/>
          <w:sz w:val="24"/>
          <w:szCs w:val="24"/>
        </w:rPr>
        <w:t xml:space="preserve"> Limitada ocupó el segundo.</w:t>
      </w:r>
    </w:p>
    <w:p w14:paraId="46404E52" w14:textId="77777777" w:rsidR="00392470" w:rsidRPr="00A23C1F" w:rsidRDefault="00392470" w:rsidP="00392470">
      <w:pPr>
        <w:spacing w:line="360" w:lineRule="auto"/>
        <w:contextualSpacing/>
        <w:jc w:val="both"/>
        <w:rPr>
          <w:rFonts w:ascii="Arial" w:hAnsi="Arial" w:cs="Arial"/>
          <w:sz w:val="24"/>
          <w:szCs w:val="24"/>
        </w:rPr>
      </w:pPr>
    </w:p>
    <w:p w14:paraId="2C0979B4" w14:textId="77777777" w:rsidR="00392470" w:rsidRPr="00A23C1F" w:rsidRDefault="00392470" w:rsidP="00392470">
      <w:pPr>
        <w:spacing w:line="360" w:lineRule="auto"/>
        <w:contextualSpacing/>
        <w:jc w:val="both"/>
        <w:rPr>
          <w:rFonts w:ascii="Arial" w:hAnsi="Arial" w:cs="Arial"/>
          <w:sz w:val="24"/>
          <w:szCs w:val="24"/>
        </w:rPr>
      </w:pPr>
      <w:r w:rsidRPr="00A23C1F">
        <w:rPr>
          <w:rFonts w:ascii="Arial" w:hAnsi="Arial" w:cs="Arial"/>
          <w:sz w:val="24"/>
          <w:szCs w:val="24"/>
        </w:rPr>
        <w:t>7.</w:t>
      </w:r>
      <w:r w:rsidRPr="00A23C1F">
        <w:rPr>
          <w:rFonts w:ascii="Arial" w:hAnsi="Arial" w:cs="Arial"/>
          <w:sz w:val="24"/>
          <w:szCs w:val="24"/>
        </w:rPr>
        <w:tab/>
        <w:t xml:space="preserve">5) El mismo 8 de noviembre de 2007, el Consorcio </w:t>
      </w:r>
      <w:proofErr w:type="spellStart"/>
      <w:r w:rsidRPr="00A23C1F">
        <w:rPr>
          <w:rFonts w:ascii="Arial" w:hAnsi="Arial" w:cs="Arial"/>
          <w:sz w:val="24"/>
          <w:szCs w:val="24"/>
        </w:rPr>
        <w:t>Icagel</w:t>
      </w:r>
      <w:proofErr w:type="spellEnd"/>
      <w:r w:rsidRPr="00A23C1F">
        <w:rPr>
          <w:rFonts w:ascii="Arial" w:hAnsi="Arial" w:cs="Arial"/>
          <w:sz w:val="24"/>
          <w:szCs w:val="24"/>
        </w:rPr>
        <w:t xml:space="preserve"> Limitada puso en conocimiento del </w:t>
      </w:r>
      <w:proofErr w:type="spellStart"/>
      <w:r w:rsidRPr="00A23C1F">
        <w:rPr>
          <w:rFonts w:ascii="Arial" w:hAnsi="Arial" w:cs="Arial"/>
          <w:sz w:val="24"/>
          <w:szCs w:val="24"/>
        </w:rPr>
        <w:t>Invías</w:t>
      </w:r>
      <w:proofErr w:type="spellEnd"/>
      <w:r w:rsidRPr="00A23C1F">
        <w:rPr>
          <w:rFonts w:ascii="Arial" w:hAnsi="Arial" w:cs="Arial"/>
          <w:sz w:val="24"/>
          <w:szCs w:val="24"/>
        </w:rPr>
        <w:t xml:space="preserve"> que, al diligenciar el formulario No. 4, varios proponentes -incluido el Consorcio Los Andes, el cual quedó ubicado en primer lugar del orden de elegibilidad del módulo No. 2-, habían incumplido un requisito del pliego de condiciones. Específicamente, el numeral 3.8.2. del pliego, según el cual (se trascribe):</w:t>
      </w:r>
    </w:p>
    <w:p w14:paraId="028EC709" w14:textId="77777777" w:rsidR="00392470" w:rsidRPr="00A23C1F" w:rsidRDefault="00392470" w:rsidP="00392470">
      <w:pPr>
        <w:ind w:left="567" w:right="567"/>
        <w:contextualSpacing/>
        <w:jc w:val="both"/>
        <w:rPr>
          <w:rFonts w:ascii="Arial" w:hAnsi="Arial" w:cs="Arial"/>
          <w:i/>
          <w:sz w:val="24"/>
          <w:szCs w:val="24"/>
        </w:rPr>
      </w:pPr>
      <w:r w:rsidRPr="00A23C1F">
        <w:rPr>
          <w:rFonts w:ascii="Arial" w:hAnsi="Arial" w:cs="Arial"/>
          <w:sz w:val="24"/>
          <w:szCs w:val="24"/>
        </w:rPr>
        <w:t>“</w:t>
      </w:r>
      <w:r w:rsidRPr="00A23C1F">
        <w:rPr>
          <w:rFonts w:ascii="Arial" w:hAnsi="Arial" w:cs="Arial"/>
          <w:i/>
          <w:sz w:val="24"/>
          <w:szCs w:val="24"/>
        </w:rPr>
        <w:t>El proponente deberá diligenciar este formulario y no podrá, so pena de rechazo adicionar, modificar, suprimir o, en todo caso, alterar sus unidades, cantidades e ítems, ni valor correspondiente a obras complementarias (incluye provisión PAGA), ni el valor global de los ítems que tenga esa modalidad toda vez que dicha información se requiere para la comparación objetiva de las propuestas”.</w:t>
      </w:r>
    </w:p>
    <w:p w14:paraId="3A76532D" w14:textId="77777777" w:rsidR="00392470" w:rsidRPr="00A23C1F" w:rsidRDefault="00392470" w:rsidP="00392470">
      <w:pPr>
        <w:spacing w:line="360" w:lineRule="auto"/>
        <w:contextualSpacing/>
        <w:jc w:val="both"/>
        <w:rPr>
          <w:rFonts w:ascii="Arial" w:hAnsi="Arial" w:cs="Arial"/>
          <w:sz w:val="24"/>
          <w:szCs w:val="24"/>
        </w:rPr>
      </w:pPr>
    </w:p>
    <w:p w14:paraId="6861B3F3" w14:textId="77777777" w:rsidR="00392470" w:rsidRPr="00A23C1F" w:rsidRDefault="00392470" w:rsidP="00392470">
      <w:pPr>
        <w:spacing w:line="360" w:lineRule="auto"/>
        <w:contextualSpacing/>
        <w:jc w:val="both"/>
        <w:rPr>
          <w:rFonts w:ascii="Arial" w:hAnsi="Arial" w:cs="Arial"/>
          <w:i/>
          <w:sz w:val="24"/>
          <w:szCs w:val="24"/>
        </w:rPr>
      </w:pPr>
      <w:r w:rsidRPr="00A23C1F">
        <w:rPr>
          <w:rFonts w:ascii="Arial" w:hAnsi="Arial" w:cs="Arial"/>
          <w:sz w:val="24"/>
          <w:szCs w:val="24"/>
        </w:rPr>
        <w:t>8.</w:t>
      </w:r>
      <w:r w:rsidRPr="00A23C1F">
        <w:rPr>
          <w:rFonts w:ascii="Arial" w:hAnsi="Arial" w:cs="Arial"/>
          <w:sz w:val="24"/>
          <w:szCs w:val="24"/>
        </w:rPr>
        <w:tab/>
        <w:t>6) De acuerdo con la demanda: “</w:t>
      </w:r>
      <w:r w:rsidRPr="00A23C1F">
        <w:rPr>
          <w:rFonts w:ascii="Arial" w:hAnsi="Arial" w:cs="Arial"/>
          <w:i/>
          <w:sz w:val="24"/>
          <w:szCs w:val="24"/>
        </w:rPr>
        <w:t>la irregularidad consistió en que al momento de diligenciar el formulario No. 4, hizo caso omiso de la advertencia contenida en el punto 3.8.2., del pliego de condiciones y procedió a modificar algunos de los aspectos que según las reglas del concurso eran inmodificables, so pena de rechazo”.</w:t>
      </w:r>
    </w:p>
    <w:p w14:paraId="07415084" w14:textId="77777777" w:rsidR="00392470" w:rsidRPr="00A23C1F" w:rsidRDefault="00392470" w:rsidP="00392470">
      <w:pPr>
        <w:spacing w:line="360" w:lineRule="auto"/>
        <w:contextualSpacing/>
        <w:jc w:val="both"/>
        <w:rPr>
          <w:rFonts w:ascii="Arial" w:hAnsi="Arial" w:cs="Arial"/>
          <w:sz w:val="24"/>
          <w:szCs w:val="24"/>
        </w:rPr>
      </w:pPr>
    </w:p>
    <w:p w14:paraId="6FBA8642" w14:textId="77777777" w:rsidR="00392470" w:rsidRPr="00A23C1F" w:rsidRDefault="00392470" w:rsidP="00392470">
      <w:pPr>
        <w:spacing w:line="360" w:lineRule="auto"/>
        <w:contextualSpacing/>
        <w:jc w:val="both"/>
        <w:rPr>
          <w:rFonts w:ascii="Arial" w:hAnsi="Arial" w:cs="Arial"/>
          <w:sz w:val="24"/>
          <w:szCs w:val="24"/>
        </w:rPr>
      </w:pPr>
      <w:r w:rsidRPr="00A23C1F">
        <w:rPr>
          <w:rFonts w:ascii="Arial" w:hAnsi="Arial" w:cs="Arial"/>
          <w:sz w:val="24"/>
          <w:szCs w:val="24"/>
        </w:rPr>
        <w:t>9.</w:t>
      </w:r>
      <w:r w:rsidRPr="00A23C1F">
        <w:rPr>
          <w:rFonts w:ascii="Arial" w:hAnsi="Arial" w:cs="Arial"/>
          <w:sz w:val="24"/>
          <w:szCs w:val="24"/>
        </w:rPr>
        <w:tab/>
        <w:t xml:space="preserve">7) Al contestar la observación realizada por el Consorcio </w:t>
      </w:r>
      <w:proofErr w:type="spellStart"/>
      <w:r w:rsidRPr="00A23C1F">
        <w:rPr>
          <w:rFonts w:ascii="Arial" w:hAnsi="Arial" w:cs="Arial"/>
          <w:sz w:val="24"/>
          <w:szCs w:val="24"/>
        </w:rPr>
        <w:t>Icagel</w:t>
      </w:r>
      <w:proofErr w:type="spellEnd"/>
      <w:r w:rsidRPr="00A23C1F">
        <w:rPr>
          <w:rFonts w:ascii="Arial" w:hAnsi="Arial" w:cs="Arial"/>
          <w:sz w:val="24"/>
          <w:szCs w:val="24"/>
        </w:rPr>
        <w:t xml:space="preserve"> Limitada, y luego de constatar que varios proponentes habían realizado modificaciones al formulario No. 4, el </w:t>
      </w:r>
      <w:proofErr w:type="spellStart"/>
      <w:r w:rsidRPr="00A23C1F">
        <w:rPr>
          <w:rFonts w:ascii="Arial" w:hAnsi="Arial" w:cs="Arial"/>
          <w:sz w:val="24"/>
          <w:szCs w:val="24"/>
        </w:rPr>
        <w:t>Invías</w:t>
      </w:r>
      <w:proofErr w:type="spellEnd"/>
      <w:r w:rsidRPr="00A23C1F">
        <w:rPr>
          <w:rFonts w:ascii="Arial" w:hAnsi="Arial" w:cs="Arial"/>
          <w:sz w:val="24"/>
          <w:szCs w:val="24"/>
        </w:rPr>
        <w:t xml:space="preserve"> concluyó que: “</w:t>
      </w:r>
      <w:r w:rsidRPr="00A23C1F">
        <w:rPr>
          <w:rFonts w:ascii="Arial" w:hAnsi="Arial" w:cs="Arial"/>
          <w:i/>
          <w:sz w:val="24"/>
          <w:szCs w:val="24"/>
        </w:rPr>
        <w:t>existía la posibilidad para los proponentes de presentar sus propuestas con modificación o no del valor correspondiente al ítem de control de tránsito y señalización, para el caso del módulo 2, y que ello le impedía a la entidad optar con claridad por una u otra forma de presentación de las ofertas”.</w:t>
      </w:r>
      <w:r w:rsidRPr="00A23C1F">
        <w:rPr>
          <w:rFonts w:ascii="Arial" w:hAnsi="Arial" w:cs="Arial"/>
          <w:sz w:val="24"/>
          <w:szCs w:val="24"/>
        </w:rPr>
        <w:t xml:space="preserve"> </w:t>
      </w:r>
    </w:p>
    <w:p w14:paraId="61BD758E" w14:textId="77777777" w:rsidR="00392470" w:rsidRPr="00A23C1F" w:rsidRDefault="00392470" w:rsidP="00392470">
      <w:pPr>
        <w:spacing w:line="360" w:lineRule="auto"/>
        <w:contextualSpacing/>
        <w:jc w:val="both"/>
        <w:rPr>
          <w:rFonts w:ascii="Arial" w:hAnsi="Arial" w:cs="Arial"/>
          <w:i/>
          <w:sz w:val="24"/>
          <w:szCs w:val="24"/>
        </w:rPr>
      </w:pPr>
    </w:p>
    <w:p w14:paraId="3C53B1DC" w14:textId="77777777" w:rsidR="00392470" w:rsidRPr="00A23C1F" w:rsidRDefault="00392470" w:rsidP="00392470">
      <w:pPr>
        <w:spacing w:line="360" w:lineRule="auto"/>
        <w:contextualSpacing/>
        <w:jc w:val="both"/>
        <w:rPr>
          <w:rFonts w:ascii="Arial" w:hAnsi="Arial" w:cs="Arial"/>
          <w:i/>
          <w:sz w:val="24"/>
          <w:szCs w:val="24"/>
        </w:rPr>
      </w:pPr>
      <w:r w:rsidRPr="00A23C1F">
        <w:rPr>
          <w:rFonts w:ascii="Arial" w:hAnsi="Arial" w:cs="Arial"/>
          <w:sz w:val="24"/>
          <w:szCs w:val="24"/>
        </w:rPr>
        <w:t>10.</w:t>
      </w:r>
      <w:r w:rsidRPr="00A23C1F">
        <w:rPr>
          <w:rFonts w:ascii="Arial" w:hAnsi="Arial" w:cs="Arial"/>
          <w:sz w:val="24"/>
          <w:szCs w:val="24"/>
        </w:rPr>
        <w:tab/>
        <w:t xml:space="preserve">8) Con fundamento en lo anterior, el </w:t>
      </w:r>
      <w:proofErr w:type="spellStart"/>
      <w:r w:rsidRPr="00A23C1F">
        <w:rPr>
          <w:rFonts w:ascii="Arial" w:hAnsi="Arial" w:cs="Arial"/>
          <w:sz w:val="24"/>
          <w:szCs w:val="24"/>
        </w:rPr>
        <w:t>Invías</w:t>
      </w:r>
      <w:proofErr w:type="spellEnd"/>
      <w:r w:rsidRPr="00A23C1F">
        <w:rPr>
          <w:rFonts w:ascii="Arial" w:hAnsi="Arial" w:cs="Arial"/>
          <w:sz w:val="24"/>
          <w:szCs w:val="24"/>
        </w:rPr>
        <w:t xml:space="preserve"> consideró que no podía realizar una selección objetiva y, mediante Resolución No. 5961 de 3 de diciembre de 2007, declaró desierta la licitación pública No. SRN-085 de 2007.</w:t>
      </w:r>
    </w:p>
    <w:p w14:paraId="71DB26A0" w14:textId="77777777" w:rsidR="00392470" w:rsidRPr="00A23C1F" w:rsidRDefault="00392470" w:rsidP="00392470">
      <w:pPr>
        <w:spacing w:line="360" w:lineRule="auto"/>
        <w:contextualSpacing/>
        <w:jc w:val="both"/>
        <w:rPr>
          <w:rFonts w:ascii="Arial" w:hAnsi="Arial" w:cs="Arial"/>
          <w:sz w:val="24"/>
          <w:szCs w:val="24"/>
        </w:rPr>
      </w:pPr>
    </w:p>
    <w:p w14:paraId="7F65C2EE" w14:textId="77777777" w:rsidR="00392470" w:rsidRPr="00A23C1F" w:rsidRDefault="00392470" w:rsidP="00392470">
      <w:pPr>
        <w:spacing w:line="360" w:lineRule="auto"/>
        <w:contextualSpacing/>
        <w:jc w:val="both"/>
        <w:rPr>
          <w:rFonts w:ascii="Arial" w:hAnsi="Arial" w:cs="Arial"/>
          <w:sz w:val="24"/>
          <w:szCs w:val="24"/>
        </w:rPr>
      </w:pPr>
      <w:r w:rsidRPr="00A23C1F">
        <w:rPr>
          <w:rFonts w:ascii="Arial" w:hAnsi="Arial" w:cs="Arial"/>
          <w:sz w:val="24"/>
          <w:szCs w:val="24"/>
          <w:lang w:val="es-CO"/>
        </w:rPr>
        <w:t xml:space="preserve">11. </w:t>
      </w:r>
      <w:r w:rsidRPr="00A23C1F">
        <w:rPr>
          <w:rFonts w:ascii="Arial" w:hAnsi="Arial" w:cs="Arial"/>
          <w:sz w:val="24"/>
          <w:szCs w:val="24"/>
        </w:rPr>
        <w:t xml:space="preserve">Según la parte demandante, el artículo demandado de la Resolución No. 5961 de 2007 adolece de falsa motivación, por violar los artículos 1, 2, 6, 21, 29, 83, 90, 124 y 209 de la Constitución Política, 2, 3 y 84 del Código Contencioso </w:t>
      </w:r>
      <w:r w:rsidRPr="00A23C1F">
        <w:rPr>
          <w:rFonts w:ascii="Arial" w:hAnsi="Arial" w:cs="Arial"/>
          <w:sz w:val="24"/>
          <w:szCs w:val="24"/>
        </w:rPr>
        <w:lastRenderedPageBreak/>
        <w:t>Administrativo (CCA) y 24, 25, 29, 30 y siguientes y concordantes de la Ley 80 de 1993.</w:t>
      </w:r>
    </w:p>
    <w:p w14:paraId="7DF41992"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1885F2A6" w14:textId="77777777" w:rsidR="00392470" w:rsidRPr="00A23C1F" w:rsidRDefault="00392470" w:rsidP="00392470">
      <w:pPr>
        <w:spacing w:line="360" w:lineRule="auto"/>
        <w:contextualSpacing/>
        <w:jc w:val="both"/>
        <w:rPr>
          <w:rFonts w:ascii="Arial" w:hAnsi="Arial" w:cs="Arial"/>
          <w:sz w:val="24"/>
          <w:szCs w:val="24"/>
          <w:lang w:val="es-CO"/>
        </w:rPr>
      </w:pPr>
      <w:r w:rsidRPr="00A23C1F">
        <w:rPr>
          <w:rFonts w:ascii="Arial" w:hAnsi="Arial" w:cs="Arial"/>
          <w:sz w:val="24"/>
          <w:szCs w:val="24"/>
          <w:lang w:val="es-CO"/>
        </w:rPr>
        <w:t xml:space="preserve">12. </w:t>
      </w:r>
      <w:r w:rsidRPr="00A23C1F">
        <w:rPr>
          <w:rFonts w:ascii="Arial" w:hAnsi="Arial" w:cs="Arial"/>
          <w:sz w:val="24"/>
          <w:szCs w:val="24"/>
        </w:rPr>
        <w:t xml:space="preserve">El Consorcio </w:t>
      </w:r>
      <w:proofErr w:type="spellStart"/>
      <w:r w:rsidRPr="00A23C1F">
        <w:rPr>
          <w:rFonts w:ascii="Arial" w:hAnsi="Arial" w:cs="Arial"/>
          <w:sz w:val="24"/>
          <w:szCs w:val="24"/>
        </w:rPr>
        <w:t>Icagel</w:t>
      </w:r>
      <w:proofErr w:type="spellEnd"/>
      <w:r w:rsidRPr="00A23C1F">
        <w:rPr>
          <w:rFonts w:ascii="Arial" w:hAnsi="Arial" w:cs="Arial"/>
          <w:sz w:val="24"/>
          <w:szCs w:val="24"/>
        </w:rPr>
        <w:t xml:space="preserve"> Limitada reprochó la argumentación del </w:t>
      </w:r>
      <w:proofErr w:type="spellStart"/>
      <w:r w:rsidRPr="00A23C1F">
        <w:rPr>
          <w:rFonts w:ascii="Arial" w:hAnsi="Arial" w:cs="Arial"/>
          <w:sz w:val="24"/>
          <w:szCs w:val="24"/>
        </w:rPr>
        <w:t>Invías</w:t>
      </w:r>
      <w:proofErr w:type="spellEnd"/>
      <w:r w:rsidRPr="00A23C1F">
        <w:rPr>
          <w:rFonts w:ascii="Arial" w:hAnsi="Arial" w:cs="Arial"/>
          <w:sz w:val="24"/>
          <w:szCs w:val="24"/>
        </w:rPr>
        <w:t>, según la cual no resultaba posible realizar una selección objetiva debido a una contradicción entre el numeral 3.2.8. del pliego de condiciones y el formulario No. 4, porque en este último solo se señalaban como no modificables los ítems de “</w:t>
      </w:r>
      <w:r w:rsidRPr="00A23C1F">
        <w:rPr>
          <w:rFonts w:ascii="Arial" w:hAnsi="Arial" w:cs="Arial"/>
          <w:i/>
          <w:sz w:val="24"/>
          <w:szCs w:val="24"/>
        </w:rPr>
        <w:t>provisión estimada para obras complementarias</w:t>
      </w:r>
      <w:r w:rsidRPr="00A23C1F">
        <w:rPr>
          <w:rFonts w:ascii="Arial" w:hAnsi="Arial" w:cs="Arial"/>
          <w:sz w:val="24"/>
          <w:szCs w:val="24"/>
        </w:rPr>
        <w:t>” y “</w:t>
      </w:r>
      <w:r w:rsidRPr="00A23C1F">
        <w:rPr>
          <w:rFonts w:ascii="Arial" w:hAnsi="Arial" w:cs="Arial"/>
          <w:i/>
          <w:sz w:val="24"/>
          <w:szCs w:val="24"/>
        </w:rPr>
        <w:t>estudios</w:t>
      </w:r>
      <w:r w:rsidRPr="00A23C1F">
        <w:rPr>
          <w:rFonts w:ascii="Arial" w:hAnsi="Arial" w:cs="Arial"/>
          <w:sz w:val="24"/>
          <w:szCs w:val="24"/>
        </w:rPr>
        <w:t>”, no así los demás ítems de la propuesta económica. En su entender, el numeral 3.8.2. del pliego fue absolutamente claro al incluir la prohibición de realizar modificaciones al momento de diligenciar el formulario No. 4. Por consiguiente, indicó que no existió “</w:t>
      </w:r>
      <w:r w:rsidRPr="00A23C1F">
        <w:rPr>
          <w:rFonts w:ascii="Arial" w:hAnsi="Arial" w:cs="Arial"/>
          <w:i/>
          <w:sz w:val="24"/>
          <w:szCs w:val="24"/>
        </w:rPr>
        <w:t>la pretendida dualidad de posibilidades para los oferentes”.</w:t>
      </w:r>
    </w:p>
    <w:p w14:paraId="65BA807A" w14:textId="77777777" w:rsidR="00392470" w:rsidRPr="00A23C1F" w:rsidRDefault="00392470" w:rsidP="00392470">
      <w:pPr>
        <w:spacing w:line="360" w:lineRule="auto"/>
        <w:contextualSpacing/>
        <w:jc w:val="both"/>
        <w:rPr>
          <w:rFonts w:ascii="Arial" w:hAnsi="Arial" w:cs="Arial"/>
          <w:i/>
          <w:sz w:val="24"/>
          <w:szCs w:val="24"/>
        </w:rPr>
      </w:pPr>
    </w:p>
    <w:p w14:paraId="3EDFAEAC" w14:textId="77777777" w:rsidR="00392470" w:rsidRPr="00A23C1F" w:rsidRDefault="00392470" w:rsidP="00392470">
      <w:pPr>
        <w:spacing w:line="360" w:lineRule="auto"/>
        <w:ind w:right="-142"/>
        <w:contextualSpacing/>
        <w:jc w:val="both"/>
        <w:rPr>
          <w:rFonts w:ascii="Arial" w:hAnsi="Arial" w:cs="Arial"/>
          <w:sz w:val="24"/>
          <w:szCs w:val="24"/>
        </w:rPr>
      </w:pPr>
      <w:r w:rsidRPr="00A23C1F">
        <w:rPr>
          <w:rFonts w:ascii="Arial" w:hAnsi="Arial" w:cs="Arial"/>
          <w:sz w:val="24"/>
          <w:szCs w:val="24"/>
          <w:lang w:val="es-CO"/>
        </w:rPr>
        <w:t xml:space="preserve">13. </w:t>
      </w:r>
      <w:r w:rsidRPr="00A23C1F">
        <w:rPr>
          <w:rFonts w:ascii="Arial" w:hAnsi="Arial" w:cs="Arial"/>
          <w:sz w:val="24"/>
          <w:szCs w:val="24"/>
        </w:rPr>
        <w:t xml:space="preserve">El Tribunal Administrativo de Cundinamarca </w:t>
      </w:r>
      <w:r w:rsidRPr="00A23C1F">
        <w:rPr>
          <w:rFonts w:ascii="Arial" w:hAnsi="Arial" w:cs="Arial"/>
          <w:b/>
          <w:sz w:val="24"/>
          <w:szCs w:val="24"/>
        </w:rPr>
        <w:t>admitió la demanda</w:t>
      </w:r>
      <w:r w:rsidRPr="00A23C1F">
        <w:rPr>
          <w:rFonts w:ascii="Arial" w:hAnsi="Arial" w:cs="Arial"/>
          <w:sz w:val="24"/>
          <w:szCs w:val="24"/>
        </w:rPr>
        <w:t xml:space="preserve"> mediante Auto de 4 de abril de 2008</w:t>
      </w:r>
      <w:r w:rsidRPr="00A23C1F">
        <w:rPr>
          <w:rStyle w:val="Refdenotaalpie"/>
          <w:rFonts w:ascii="Arial" w:hAnsi="Arial" w:cs="Arial"/>
          <w:sz w:val="24"/>
          <w:szCs w:val="24"/>
        </w:rPr>
        <w:footnoteReference w:id="3"/>
      </w:r>
      <w:r w:rsidRPr="00A23C1F">
        <w:rPr>
          <w:rFonts w:ascii="Arial" w:hAnsi="Arial" w:cs="Arial"/>
          <w:sz w:val="24"/>
          <w:szCs w:val="24"/>
        </w:rPr>
        <w:t>.</w:t>
      </w:r>
    </w:p>
    <w:p w14:paraId="263CDAF9" w14:textId="77777777" w:rsidR="00392470" w:rsidRPr="00A23C1F" w:rsidRDefault="00392470" w:rsidP="00392470">
      <w:pPr>
        <w:spacing w:line="360" w:lineRule="auto"/>
        <w:ind w:right="-142"/>
        <w:contextualSpacing/>
        <w:jc w:val="both"/>
        <w:rPr>
          <w:rFonts w:ascii="Arial" w:hAnsi="Arial" w:cs="Arial"/>
          <w:sz w:val="24"/>
          <w:szCs w:val="24"/>
        </w:rPr>
      </w:pPr>
    </w:p>
    <w:p w14:paraId="07A937CF" w14:textId="77777777" w:rsidR="00392470" w:rsidRPr="00A23C1F" w:rsidRDefault="00392470" w:rsidP="00392470">
      <w:pPr>
        <w:spacing w:line="360" w:lineRule="auto"/>
        <w:ind w:right="-142"/>
        <w:contextualSpacing/>
        <w:jc w:val="both"/>
        <w:rPr>
          <w:rFonts w:ascii="Arial" w:hAnsi="Arial" w:cs="Arial"/>
          <w:sz w:val="24"/>
          <w:szCs w:val="24"/>
        </w:rPr>
      </w:pPr>
      <w:r w:rsidRPr="00A23C1F">
        <w:rPr>
          <w:rFonts w:ascii="Arial" w:hAnsi="Arial" w:cs="Arial"/>
          <w:sz w:val="24"/>
          <w:szCs w:val="24"/>
          <w:lang w:val="es-CO"/>
        </w:rPr>
        <w:t xml:space="preserve">14. </w:t>
      </w:r>
      <w:r w:rsidRPr="00A23C1F">
        <w:rPr>
          <w:rFonts w:ascii="Arial" w:hAnsi="Arial" w:cs="Arial"/>
          <w:sz w:val="24"/>
          <w:szCs w:val="24"/>
        </w:rPr>
        <w:t xml:space="preserve">El 11 de noviembre de 2008, el </w:t>
      </w:r>
      <w:proofErr w:type="spellStart"/>
      <w:r w:rsidRPr="00A23C1F">
        <w:rPr>
          <w:rFonts w:ascii="Arial" w:hAnsi="Arial" w:cs="Arial"/>
          <w:sz w:val="24"/>
          <w:szCs w:val="24"/>
        </w:rPr>
        <w:t>Invías</w:t>
      </w:r>
      <w:proofErr w:type="spellEnd"/>
      <w:r w:rsidRPr="00A23C1F">
        <w:rPr>
          <w:rFonts w:ascii="Arial" w:hAnsi="Arial" w:cs="Arial"/>
          <w:sz w:val="24"/>
          <w:szCs w:val="24"/>
        </w:rPr>
        <w:t xml:space="preserve"> </w:t>
      </w:r>
      <w:r w:rsidRPr="00A23C1F">
        <w:rPr>
          <w:rFonts w:ascii="Arial" w:hAnsi="Arial" w:cs="Arial"/>
          <w:b/>
          <w:sz w:val="24"/>
          <w:szCs w:val="24"/>
        </w:rPr>
        <w:t>contestó la demanda</w:t>
      </w:r>
      <w:r w:rsidRPr="00A23C1F">
        <w:rPr>
          <w:rStyle w:val="Refdenotaalpie"/>
          <w:rFonts w:ascii="Arial" w:hAnsi="Arial" w:cs="Arial"/>
          <w:b/>
          <w:sz w:val="24"/>
          <w:szCs w:val="24"/>
        </w:rPr>
        <w:footnoteReference w:id="4"/>
      </w:r>
      <w:r w:rsidRPr="00A23C1F">
        <w:rPr>
          <w:rFonts w:ascii="Arial" w:hAnsi="Arial" w:cs="Arial"/>
          <w:b/>
          <w:sz w:val="24"/>
          <w:szCs w:val="24"/>
        </w:rPr>
        <w:t xml:space="preserve">. </w:t>
      </w:r>
      <w:r w:rsidRPr="00A23C1F">
        <w:rPr>
          <w:rFonts w:ascii="Arial" w:hAnsi="Arial" w:cs="Arial"/>
          <w:sz w:val="24"/>
          <w:szCs w:val="24"/>
        </w:rPr>
        <w:t>Indicó que la resolución demandada era legal, y propuso las excepciones que denominó “</w:t>
      </w:r>
      <w:r w:rsidRPr="00A23C1F">
        <w:rPr>
          <w:rFonts w:ascii="Arial" w:hAnsi="Arial" w:cs="Arial"/>
          <w:i/>
          <w:sz w:val="24"/>
          <w:szCs w:val="24"/>
        </w:rPr>
        <w:t xml:space="preserve">falta de legitimación en la causa por activa” </w:t>
      </w:r>
      <w:r w:rsidRPr="00A23C1F">
        <w:rPr>
          <w:rFonts w:ascii="Arial" w:hAnsi="Arial" w:cs="Arial"/>
          <w:sz w:val="24"/>
          <w:szCs w:val="24"/>
        </w:rPr>
        <w:t>e “</w:t>
      </w:r>
      <w:r w:rsidRPr="00A23C1F">
        <w:rPr>
          <w:rFonts w:ascii="Arial" w:hAnsi="Arial" w:cs="Arial"/>
          <w:i/>
          <w:sz w:val="24"/>
          <w:szCs w:val="24"/>
        </w:rPr>
        <w:t>inepta demanda”.</w:t>
      </w:r>
    </w:p>
    <w:p w14:paraId="01CEC044"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73B2AFCA" w14:textId="77777777" w:rsidR="00392470" w:rsidRPr="00A23C1F" w:rsidRDefault="00392470" w:rsidP="00392470">
      <w:pPr>
        <w:spacing w:line="360" w:lineRule="auto"/>
        <w:contextualSpacing/>
        <w:jc w:val="both"/>
        <w:rPr>
          <w:rFonts w:ascii="Arial" w:hAnsi="Arial" w:cs="Arial"/>
          <w:i/>
          <w:sz w:val="24"/>
          <w:szCs w:val="24"/>
        </w:rPr>
      </w:pPr>
      <w:r w:rsidRPr="00A23C1F">
        <w:rPr>
          <w:rFonts w:ascii="Arial" w:hAnsi="Arial" w:cs="Arial"/>
          <w:sz w:val="24"/>
          <w:szCs w:val="24"/>
          <w:lang w:val="es-CO"/>
        </w:rPr>
        <w:t xml:space="preserve">15. </w:t>
      </w:r>
      <w:r w:rsidRPr="00A23C1F">
        <w:rPr>
          <w:rFonts w:ascii="Arial" w:hAnsi="Arial" w:cs="Arial"/>
          <w:sz w:val="24"/>
          <w:szCs w:val="24"/>
        </w:rPr>
        <w:t>Respecto de la excepción titulada “</w:t>
      </w:r>
      <w:r w:rsidRPr="00A23C1F">
        <w:rPr>
          <w:rFonts w:ascii="Arial" w:hAnsi="Arial" w:cs="Arial"/>
          <w:i/>
          <w:sz w:val="24"/>
          <w:szCs w:val="24"/>
        </w:rPr>
        <w:t>falta de legitimación en la causa por activa”</w:t>
      </w:r>
      <w:r w:rsidRPr="00A23C1F">
        <w:rPr>
          <w:rFonts w:ascii="Arial" w:hAnsi="Arial" w:cs="Arial"/>
          <w:sz w:val="24"/>
          <w:szCs w:val="24"/>
        </w:rPr>
        <w:t xml:space="preserve">, el </w:t>
      </w:r>
      <w:proofErr w:type="spellStart"/>
      <w:r w:rsidRPr="00A23C1F">
        <w:rPr>
          <w:rFonts w:ascii="Arial" w:hAnsi="Arial" w:cs="Arial"/>
          <w:sz w:val="24"/>
          <w:szCs w:val="24"/>
        </w:rPr>
        <w:t>Invías</w:t>
      </w:r>
      <w:proofErr w:type="spellEnd"/>
      <w:r w:rsidRPr="00A23C1F">
        <w:rPr>
          <w:rFonts w:ascii="Arial" w:hAnsi="Arial" w:cs="Arial"/>
          <w:sz w:val="24"/>
          <w:szCs w:val="24"/>
        </w:rPr>
        <w:t xml:space="preserve"> señaló que, en vista de que el Consorcio </w:t>
      </w:r>
      <w:proofErr w:type="spellStart"/>
      <w:r w:rsidRPr="00A23C1F">
        <w:rPr>
          <w:rFonts w:ascii="Arial" w:hAnsi="Arial" w:cs="Arial"/>
          <w:sz w:val="24"/>
          <w:szCs w:val="24"/>
        </w:rPr>
        <w:t>Icagel</w:t>
      </w:r>
      <w:proofErr w:type="spellEnd"/>
      <w:r w:rsidRPr="00A23C1F">
        <w:rPr>
          <w:rFonts w:ascii="Arial" w:hAnsi="Arial" w:cs="Arial"/>
          <w:sz w:val="24"/>
          <w:szCs w:val="24"/>
        </w:rPr>
        <w:t xml:space="preserve"> Limitada no era una persona jurídica, no estaba legitimado para demandar. Indicó que quienes estaban legitimados para demandar eran los integrantes del consorcio, esto es, Eduardo Garzón Alarcón y la sociedad </w:t>
      </w:r>
      <w:proofErr w:type="spellStart"/>
      <w:r w:rsidRPr="00A23C1F">
        <w:rPr>
          <w:rFonts w:ascii="Arial" w:hAnsi="Arial" w:cs="Arial"/>
          <w:sz w:val="24"/>
          <w:szCs w:val="24"/>
        </w:rPr>
        <w:t>Icagel</w:t>
      </w:r>
      <w:proofErr w:type="spellEnd"/>
      <w:r w:rsidRPr="00A23C1F">
        <w:rPr>
          <w:rFonts w:ascii="Arial" w:hAnsi="Arial" w:cs="Arial"/>
          <w:sz w:val="24"/>
          <w:szCs w:val="24"/>
        </w:rPr>
        <w:t xml:space="preserve"> Ltda.</w:t>
      </w:r>
    </w:p>
    <w:p w14:paraId="290ED657" w14:textId="77777777" w:rsidR="00392470" w:rsidRPr="00A23C1F" w:rsidRDefault="00392470" w:rsidP="00392470">
      <w:pPr>
        <w:spacing w:line="360" w:lineRule="auto"/>
        <w:contextualSpacing/>
        <w:jc w:val="both"/>
        <w:rPr>
          <w:rFonts w:ascii="Arial" w:hAnsi="Arial" w:cs="Arial"/>
          <w:sz w:val="24"/>
          <w:szCs w:val="24"/>
          <w:lang w:val="es-CO"/>
        </w:rPr>
      </w:pPr>
    </w:p>
    <w:p w14:paraId="39419F0C" w14:textId="77777777" w:rsidR="00392470" w:rsidRPr="00A23C1F" w:rsidRDefault="00392470" w:rsidP="00392470">
      <w:pPr>
        <w:spacing w:line="360" w:lineRule="auto"/>
        <w:contextualSpacing/>
        <w:jc w:val="both"/>
        <w:rPr>
          <w:rFonts w:ascii="Arial" w:hAnsi="Arial" w:cs="Arial"/>
          <w:i/>
          <w:sz w:val="24"/>
          <w:szCs w:val="24"/>
        </w:rPr>
      </w:pPr>
      <w:r w:rsidRPr="00A23C1F">
        <w:rPr>
          <w:rFonts w:ascii="Arial" w:hAnsi="Arial" w:cs="Arial"/>
          <w:sz w:val="24"/>
          <w:szCs w:val="24"/>
          <w:lang w:val="es-CO"/>
        </w:rPr>
        <w:t>16. Sobre la excepción denominada “</w:t>
      </w:r>
      <w:r w:rsidRPr="00A23C1F">
        <w:rPr>
          <w:rFonts w:ascii="Arial" w:hAnsi="Arial" w:cs="Arial"/>
          <w:i/>
          <w:sz w:val="24"/>
          <w:szCs w:val="24"/>
          <w:lang w:val="es-CO"/>
        </w:rPr>
        <w:t>inepta demanda”</w:t>
      </w:r>
      <w:r w:rsidRPr="00A23C1F">
        <w:rPr>
          <w:rFonts w:ascii="Arial" w:hAnsi="Arial" w:cs="Arial"/>
          <w:sz w:val="24"/>
          <w:szCs w:val="24"/>
          <w:lang w:val="es-CO"/>
        </w:rPr>
        <w:t xml:space="preserve">, la entidad demandada sostuvo que el poder del abogado que presentó la demanda fue otorgado por el Consorcio </w:t>
      </w:r>
      <w:proofErr w:type="spellStart"/>
      <w:r w:rsidRPr="00A23C1F">
        <w:rPr>
          <w:rFonts w:ascii="Arial" w:hAnsi="Arial" w:cs="Arial"/>
          <w:sz w:val="24"/>
          <w:szCs w:val="24"/>
          <w:lang w:val="es-CO"/>
        </w:rPr>
        <w:t>Icagel</w:t>
      </w:r>
      <w:proofErr w:type="spellEnd"/>
      <w:r w:rsidRPr="00A23C1F">
        <w:rPr>
          <w:rFonts w:ascii="Arial" w:hAnsi="Arial" w:cs="Arial"/>
          <w:sz w:val="24"/>
          <w:szCs w:val="24"/>
          <w:lang w:val="es-CO"/>
        </w:rPr>
        <w:t xml:space="preserve"> Limitada, el cual, al no tener personalidad jurídica, no podía conferir poderes. En ese sentido, argumentó que la demanda adolecía de ineptitud.</w:t>
      </w:r>
    </w:p>
    <w:p w14:paraId="257F683A"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23CE3CE2" w14:textId="77777777" w:rsidR="00392470" w:rsidRPr="00A23C1F" w:rsidRDefault="00392470" w:rsidP="00392470">
      <w:pPr>
        <w:spacing w:line="360" w:lineRule="auto"/>
        <w:contextualSpacing/>
        <w:jc w:val="both"/>
        <w:rPr>
          <w:rFonts w:ascii="Arial" w:hAnsi="Arial" w:cs="Arial"/>
          <w:sz w:val="24"/>
          <w:szCs w:val="24"/>
        </w:rPr>
      </w:pPr>
      <w:r w:rsidRPr="00A23C1F">
        <w:rPr>
          <w:rFonts w:ascii="Arial" w:hAnsi="Arial" w:cs="Arial"/>
          <w:sz w:val="24"/>
          <w:szCs w:val="24"/>
          <w:lang w:val="es-CO"/>
        </w:rPr>
        <w:t xml:space="preserve">17. </w:t>
      </w:r>
      <w:r w:rsidRPr="00A23C1F">
        <w:rPr>
          <w:rFonts w:ascii="Arial" w:hAnsi="Arial" w:cs="Arial"/>
          <w:sz w:val="24"/>
          <w:szCs w:val="24"/>
        </w:rPr>
        <w:t xml:space="preserve">Mediante Auto de 13 de febrero de 2009, se </w:t>
      </w:r>
      <w:r w:rsidRPr="00A23C1F">
        <w:rPr>
          <w:rFonts w:ascii="Arial" w:hAnsi="Arial" w:cs="Arial"/>
          <w:b/>
          <w:sz w:val="24"/>
          <w:szCs w:val="24"/>
        </w:rPr>
        <w:t>decretaron las pruebas</w:t>
      </w:r>
      <w:r w:rsidRPr="00A23C1F">
        <w:rPr>
          <w:rFonts w:ascii="Arial" w:hAnsi="Arial" w:cs="Arial"/>
          <w:sz w:val="24"/>
          <w:szCs w:val="24"/>
        </w:rPr>
        <w:t xml:space="preserve"> a ser tenidas en cuenta en el proceso</w:t>
      </w:r>
      <w:r w:rsidRPr="00A23C1F">
        <w:rPr>
          <w:rStyle w:val="Refdenotaalpie"/>
          <w:rFonts w:ascii="Arial" w:hAnsi="Arial" w:cs="Arial"/>
          <w:sz w:val="24"/>
          <w:szCs w:val="24"/>
        </w:rPr>
        <w:footnoteReference w:id="5"/>
      </w:r>
      <w:r w:rsidRPr="00A23C1F">
        <w:rPr>
          <w:rFonts w:ascii="Arial" w:hAnsi="Arial" w:cs="Arial"/>
          <w:sz w:val="24"/>
          <w:szCs w:val="24"/>
        </w:rPr>
        <w:t>. Se tuvieron en cuenta pruebas documentales y una prueba pericial.</w:t>
      </w:r>
    </w:p>
    <w:p w14:paraId="3A026C57" w14:textId="77777777" w:rsidR="00392470" w:rsidRPr="00A23C1F" w:rsidRDefault="00392470" w:rsidP="00392470">
      <w:pPr>
        <w:spacing w:line="360" w:lineRule="auto"/>
        <w:contextualSpacing/>
        <w:jc w:val="both"/>
        <w:rPr>
          <w:rFonts w:ascii="Arial" w:hAnsi="Arial" w:cs="Arial"/>
          <w:sz w:val="24"/>
          <w:szCs w:val="24"/>
        </w:rPr>
      </w:pPr>
    </w:p>
    <w:p w14:paraId="0A030EF7" w14:textId="77777777" w:rsidR="00392470" w:rsidRPr="00A23C1F" w:rsidRDefault="00392470" w:rsidP="00392470">
      <w:pPr>
        <w:spacing w:line="360" w:lineRule="auto"/>
        <w:contextualSpacing/>
        <w:jc w:val="both"/>
        <w:rPr>
          <w:rFonts w:ascii="Arial" w:hAnsi="Arial" w:cs="Arial"/>
          <w:i/>
          <w:sz w:val="24"/>
          <w:szCs w:val="24"/>
        </w:rPr>
      </w:pPr>
      <w:r w:rsidRPr="00A23C1F">
        <w:rPr>
          <w:rFonts w:ascii="Arial" w:hAnsi="Arial" w:cs="Arial"/>
          <w:sz w:val="24"/>
          <w:szCs w:val="24"/>
        </w:rPr>
        <w:t>18. Una vez vencido el periodo probatorio, mediante Auto de 25 de junio de 2010, se corrió traslado a las partes para alegar de conclusión</w:t>
      </w:r>
      <w:r w:rsidRPr="00A23C1F">
        <w:rPr>
          <w:rStyle w:val="Refdenotaalpie"/>
          <w:rFonts w:ascii="Arial" w:hAnsi="Arial" w:cs="Arial"/>
          <w:sz w:val="24"/>
          <w:szCs w:val="24"/>
        </w:rPr>
        <w:footnoteReference w:id="6"/>
      </w:r>
      <w:r w:rsidRPr="00A23C1F">
        <w:rPr>
          <w:rFonts w:ascii="Arial" w:hAnsi="Arial" w:cs="Arial"/>
          <w:sz w:val="24"/>
          <w:szCs w:val="24"/>
        </w:rPr>
        <w:t>.</w:t>
      </w:r>
    </w:p>
    <w:p w14:paraId="3261C68A"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6C0A676F" w14:textId="77777777" w:rsidR="00392470" w:rsidRPr="00A23C1F" w:rsidRDefault="00392470" w:rsidP="00392470">
      <w:pPr>
        <w:spacing w:line="360" w:lineRule="auto"/>
        <w:contextualSpacing/>
        <w:jc w:val="both"/>
        <w:rPr>
          <w:rFonts w:ascii="Arial" w:hAnsi="Arial" w:cs="Arial"/>
          <w:sz w:val="24"/>
          <w:szCs w:val="24"/>
        </w:rPr>
      </w:pPr>
      <w:r w:rsidRPr="00A23C1F">
        <w:rPr>
          <w:rFonts w:ascii="Arial" w:hAnsi="Arial" w:cs="Arial"/>
          <w:sz w:val="24"/>
          <w:szCs w:val="24"/>
          <w:lang w:val="es-CO"/>
        </w:rPr>
        <w:t xml:space="preserve">19. </w:t>
      </w:r>
      <w:r w:rsidRPr="00A23C1F">
        <w:rPr>
          <w:rFonts w:ascii="Arial" w:hAnsi="Arial" w:cs="Arial"/>
          <w:sz w:val="24"/>
          <w:szCs w:val="24"/>
        </w:rPr>
        <w:t xml:space="preserve">Por medio de memorial radicado en el Tribunal Administrativo de Cundinamarca el 13 de julio de 2010, el </w:t>
      </w:r>
      <w:proofErr w:type="spellStart"/>
      <w:r w:rsidRPr="00A23C1F">
        <w:rPr>
          <w:rFonts w:ascii="Arial" w:hAnsi="Arial" w:cs="Arial"/>
          <w:sz w:val="24"/>
          <w:szCs w:val="24"/>
        </w:rPr>
        <w:t>Invías</w:t>
      </w:r>
      <w:proofErr w:type="spellEnd"/>
      <w:r w:rsidRPr="00A23C1F">
        <w:rPr>
          <w:rFonts w:ascii="Arial" w:hAnsi="Arial" w:cs="Arial"/>
          <w:sz w:val="24"/>
          <w:szCs w:val="24"/>
        </w:rPr>
        <w:t xml:space="preserve"> presentó </w:t>
      </w:r>
      <w:r w:rsidRPr="00A23C1F">
        <w:rPr>
          <w:rFonts w:ascii="Arial" w:hAnsi="Arial" w:cs="Arial"/>
          <w:b/>
          <w:sz w:val="24"/>
          <w:szCs w:val="24"/>
        </w:rPr>
        <w:t>alegatos de conclusión.</w:t>
      </w:r>
      <w:r w:rsidRPr="00A23C1F">
        <w:rPr>
          <w:rFonts w:ascii="Arial" w:hAnsi="Arial" w:cs="Arial"/>
          <w:sz w:val="24"/>
          <w:szCs w:val="24"/>
        </w:rPr>
        <w:t xml:space="preserve"> En los alegatos, reiteró los argumentos expuestos en el escrito de contestación</w:t>
      </w:r>
      <w:r w:rsidRPr="00A23C1F">
        <w:rPr>
          <w:rStyle w:val="Refdenotaalpie"/>
          <w:rFonts w:ascii="Arial" w:hAnsi="Arial" w:cs="Arial"/>
          <w:sz w:val="24"/>
          <w:szCs w:val="24"/>
        </w:rPr>
        <w:footnoteReference w:id="7"/>
      </w:r>
      <w:r w:rsidRPr="00A23C1F">
        <w:rPr>
          <w:rFonts w:ascii="Arial" w:hAnsi="Arial" w:cs="Arial"/>
          <w:sz w:val="24"/>
          <w:szCs w:val="24"/>
        </w:rPr>
        <w:t>. La parte demandante guardó silencio.</w:t>
      </w:r>
    </w:p>
    <w:p w14:paraId="662EFC37"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338EC397" w14:textId="77777777" w:rsidR="00392470" w:rsidRPr="00A23C1F" w:rsidRDefault="00392470" w:rsidP="00392470">
      <w:pPr>
        <w:spacing w:line="360" w:lineRule="auto"/>
        <w:ind w:right="-142"/>
        <w:contextualSpacing/>
        <w:jc w:val="both"/>
        <w:rPr>
          <w:rFonts w:ascii="Arial" w:hAnsi="Arial" w:cs="Arial"/>
          <w:sz w:val="24"/>
          <w:szCs w:val="24"/>
          <w:lang w:val="es-CO"/>
        </w:rPr>
      </w:pPr>
      <w:r w:rsidRPr="00A23C1F">
        <w:rPr>
          <w:rFonts w:ascii="Arial" w:hAnsi="Arial" w:cs="Arial"/>
          <w:sz w:val="24"/>
          <w:szCs w:val="24"/>
          <w:lang w:val="es-CO"/>
        </w:rPr>
        <w:t xml:space="preserve">20. </w:t>
      </w:r>
      <w:r w:rsidRPr="00A23C1F">
        <w:rPr>
          <w:rFonts w:ascii="Arial" w:hAnsi="Arial" w:cs="Arial"/>
          <w:sz w:val="24"/>
          <w:szCs w:val="24"/>
        </w:rPr>
        <w:t xml:space="preserve">El 22 de junio de 2011, el Tribunal Administrativo de Cundinamarca, Sección Tercera, Subsección B, profirió </w:t>
      </w:r>
      <w:r w:rsidRPr="00A23C1F">
        <w:rPr>
          <w:rFonts w:ascii="Arial" w:hAnsi="Arial" w:cs="Arial"/>
          <w:b/>
          <w:sz w:val="24"/>
          <w:szCs w:val="24"/>
        </w:rPr>
        <w:t>Sentencia de primera instancia</w:t>
      </w:r>
      <w:r w:rsidRPr="00A23C1F">
        <w:rPr>
          <w:rStyle w:val="Refdenotaalpie"/>
          <w:rFonts w:ascii="Arial" w:hAnsi="Arial" w:cs="Arial"/>
          <w:sz w:val="24"/>
          <w:szCs w:val="24"/>
        </w:rPr>
        <w:footnoteReference w:id="8"/>
      </w:r>
      <w:r w:rsidRPr="00A23C1F">
        <w:rPr>
          <w:rFonts w:ascii="Arial" w:hAnsi="Arial" w:cs="Arial"/>
          <w:b/>
          <w:sz w:val="24"/>
          <w:szCs w:val="24"/>
        </w:rPr>
        <w:t xml:space="preserve">. </w:t>
      </w:r>
      <w:r w:rsidRPr="00A23C1F">
        <w:rPr>
          <w:rFonts w:ascii="Arial" w:hAnsi="Arial" w:cs="Arial"/>
          <w:sz w:val="24"/>
          <w:szCs w:val="24"/>
        </w:rPr>
        <w:t xml:space="preserve">Antes que nada, el Tribunal se pronunció sobre las excepciones que el </w:t>
      </w:r>
      <w:proofErr w:type="spellStart"/>
      <w:r w:rsidRPr="00A23C1F">
        <w:rPr>
          <w:rFonts w:ascii="Arial" w:hAnsi="Arial" w:cs="Arial"/>
          <w:sz w:val="24"/>
          <w:szCs w:val="24"/>
        </w:rPr>
        <w:t>Invías</w:t>
      </w:r>
      <w:proofErr w:type="spellEnd"/>
      <w:r w:rsidRPr="00A23C1F">
        <w:rPr>
          <w:rFonts w:ascii="Arial" w:hAnsi="Arial" w:cs="Arial"/>
          <w:sz w:val="24"/>
          <w:szCs w:val="24"/>
        </w:rPr>
        <w:t xml:space="preserve"> denominó “</w:t>
      </w:r>
      <w:r w:rsidRPr="00A23C1F">
        <w:rPr>
          <w:rFonts w:ascii="Arial" w:hAnsi="Arial" w:cs="Arial"/>
          <w:i/>
          <w:sz w:val="24"/>
          <w:szCs w:val="24"/>
        </w:rPr>
        <w:t xml:space="preserve">falta de legitimación en la causa por activa” </w:t>
      </w:r>
      <w:r w:rsidRPr="00A23C1F">
        <w:rPr>
          <w:rFonts w:ascii="Arial" w:hAnsi="Arial" w:cs="Arial"/>
          <w:sz w:val="24"/>
          <w:szCs w:val="24"/>
        </w:rPr>
        <w:t>e “</w:t>
      </w:r>
      <w:r w:rsidRPr="00A23C1F">
        <w:rPr>
          <w:rFonts w:ascii="Arial" w:hAnsi="Arial" w:cs="Arial"/>
          <w:i/>
          <w:sz w:val="24"/>
          <w:szCs w:val="24"/>
        </w:rPr>
        <w:t>inepta demanda”.</w:t>
      </w:r>
      <w:r w:rsidRPr="00A23C1F">
        <w:rPr>
          <w:rFonts w:ascii="Arial" w:hAnsi="Arial" w:cs="Arial"/>
          <w:sz w:val="24"/>
          <w:szCs w:val="24"/>
        </w:rPr>
        <w:t xml:space="preserve"> Al respecto, indicó que las excepciones propuestas por el </w:t>
      </w:r>
      <w:proofErr w:type="spellStart"/>
      <w:r w:rsidRPr="00A23C1F">
        <w:rPr>
          <w:rFonts w:ascii="Arial" w:hAnsi="Arial" w:cs="Arial"/>
          <w:sz w:val="24"/>
          <w:szCs w:val="24"/>
        </w:rPr>
        <w:t>Invías</w:t>
      </w:r>
      <w:proofErr w:type="spellEnd"/>
      <w:r w:rsidRPr="00A23C1F">
        <w:rPr>
          <w:rFonts w:ascii="Arial" w:hAnsi="Arial" w:cs="Arial"/>
          <w:sz w:val="24"/>
          <w:szCs w:val="24"/>
        </w:rPr>
        <w:t xml:space="preserve"> serían desestimadas pues: 1) el Consorcio </w:t>
      </w:r>
      <w:proofErr w:type="spellStart"/>
      <w:r w:rsidRPr="00A23C1F">
        <w:rPr>
          <w:rFonts w:ascii="Arial" w:hAnsi="Arial" w:cs="Arial"/>
          <w:sz w:val="24"/>
          <w:szCs w:val="24"/>
        </w:rPr>
        <w:t>Icagel</w:t>
      </w:r>
      <w:proofErr w:type="spellEnd"/>
      <w:r w:rsidRPr="00A23C1F">
        <w:rPr>
          <w:rFonts w:ascii="Arial" w:hAnsi="Arial" w:cs="Arial"/>
          <w:sz w:val="24"/>
          <w:szCs w:val="24"/>
        </w:rPr>
        <w:t xml:space="preserve"> Limitada estaba conformado por la sociedad </w:t>
      </w:r>
      <w:proofErr w:type="spellStart"/>
      <w:r w:rsidRPr="00A23C1F">
        <w:rPr>
          <w:rFonts w:ascii="Arial" w:hAnsi="Arial" w:cs="Arial"/>
          <w:sz w:val="24"/>
          <w:szCs w:val="24"/>
        </w:rPr>
        <w:t>Icagel</w:t>
      </w:r>
      <w:proofErr w:type="spellEnd"/>
      <w:r w:rsidRPr="00A23C1F">
        <w:rPr>
          <w:rFonts w:ascii="Arial" w:hAnsi="Arial" w:cs="Arial"/>
          <w:sz w:val="24"/>
          <w:szCs w:val="24"/>
        </w:rPr>
        <w:t xml:space="preserve"> Ltda. y Eduardo Garzón Alarcón –este último, además, representante legal de aquella sociedad- y justamente el poder del abogado que presentó la demanda lo confirió Eduardo Garzón Alarcón y; 2) habida cuenta de que en las pretensiones se solicitó que las condenas se hicieran a favor de los integrantes del consorcio.</w:t>
      </w:r>
    </w:p>
    <w:p w14:paraId="06F24A21"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18129867"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1C6D54AD" w14:textId="77777777" w:rsidR="00392470" w:rsidRPr="00A23C1F" w:rsidRDefault="00392470" w:rsidP="00392470">
      <w:pPr>
        <w:spacing w:line="360" w:lineRule="auto"/>
        <w:contextualSpacing/>
        <w:jc w:val="both"/>
        <w:rPr>
          <w:rFonts w:ascii="Arial" w:hAnsi="Arial" w:cs="Arial"/>
          <w:i/>
          <w:sz w:val="24"/>
          <w:szCs w:val="24"/>
        </w:rPr>
      </w:pPr>
      <w:r w:rsidRPr="00A23C1F">
        <w:rPr>
          <w:rFonts w:ascii="Arial" w:hAnsi="Arial" w:cs="Arial"/>
          <w:sz w:val="24"/>
          <w:szCs w:val="24"/>
          <w:lang w:val="es-CO"/>
        </w:rPr>
        <w:t xml:space="preserve">21. </w:t>
      </w:r>
      <w:r w:rsidRPr="00A23C1F">
        <w:rPr>
          <w:rFonts w:ascii="Arial" w:hAnsi="Arial" w:cs="Arial"/>
          <w:sz w:val="24"/>
          <w:szCs w:val="24"/>
        </w:rPr>
        <w:t>Hecho lo anterior, el Tribunal formuló los problemas jurídicos a resolver, así: “</w:t>
      </w:r>
      <w:r w:rsidRPr="00A23C1F">
        <w:rPr>
          <w:rFonts w:ascii="Arial" w:hAnsi="Arial" w:cs="Arial"/>
          <w:i/>
          <w:sz w:val="24"/>
          <w:szCs w:val="24"/>
        </w:rPr>
        <w:t>(i) Cuál es la interpretación que debe hacerse de la exigencia contenida en el numeral 3.8.2. del pliego de condiciones y el formulario 4, puntualmente, para el módulo 2? (</w:t>
      </w:r>
      <w:proofErr w:type="spellStart"/>
      <w:r w:rsidRPr="00A23C1F">
        <w:rPr>
          <w:rFonts w:ascii="Arial" w:hAnsi="Arial" w:cs="Arial"/>
          <w:i/>
          <w:sz w:val="24"/>
          <w:szCs w:val="24"/>
        </w:rPr>
        <w:t>ii</w:t>
      </w:r>
      <w:proofErr w:type="spellEnd"/>
      <w:r w:rsidRPr="00A23C1F">
        <w:rPr>
          <w:rFonts w:ascii="Arial" w:hAnsi="Arial" w:cs="Arial"/>
          <w:i/>
          <w:sz w:val="24"/>
          <w:szCs w:val="24"/>
        </w:rPr>
        <w:t>) Dependiendo de la anterior respuesta y si es procedente, la cuestión sería establecer es si los accionantes demostraron que su propuesta era la mejor y el monto de los perjuicios ocasionados”.</w:t>
      </w:r>
    </w:p>
    <w:p w14:paraId="29563F99"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6CD2A6BF" w14:textId="77777777" w:rsidR="00392470" w:rsidRPr="00A23C1F" w:rsidRDefault="00392470" w:rsidP="00392470">
      <w:pPr>
        <w:spacing w:line="360" w:lineRule="auto"/>
        <w:contextualSpacing/>
        <w:jc w:val="both"/>
        <w:rPr>
          <w:rFonts w:ascii="Arial" w:hAnsi="Arial" w:cs="Arial"/>
          <w:sz w:val="24"/>
          <w:szCs w:val="24"/>
        </w:rPr>
      </w:pPr>
      <w:r w:rsidRPr="00A23C1F">
        <w:rPr>
          <w:rFonts w:ascii="Arial" w:hAnsi="Arial" w:cs="Arial"/>
          <w:sz w:val="24"/>
          <w:szCs w:val="24"/>
          <w:lang w:val="es-CO"/>
        </w:rPr>
        <w:t xml:space="preserve">22. </w:t>
      </w:r>
      <w:r w:rsidRPr="00A23C1F">
        <w:rPr>
          <w:rFonts w:ascii="Arial" w:hAnsi="Arial" w:cs="Arial"/>
          <w:sz w:val="24"/>
          <w:szCs w:val="24"/>
        </w:rPr>
        <w:t xml:space="preserve">A partir del estudio del numeral 3.8.2. del pliego de condiciones, el Tribunal concluyó que existía una clara prohibición de modificar el valor global de los ítems que </w:t>
      </w:r>
      <w:r w:rsidRPr="00A23C1F">
        <w:rPr>
          <w:rFonts w:ascii="Arial" w:hAnsi="Arial" w:cs="Arial"/>
          <w:i/>
          <w:sz w:val="24"/>
          <w:szCs w:val="24"/>
        </w:rPr>
        <w:t>“tuviesen dicha modalidad”</w:t>
      </w:r>
      <w:r w:rsidRPr="00A23C1F">
        <w:rPr>
          <w:rFonts w:ascii="Arial" w:hAnsi="Arial" w:cs="Arial"/>
          <w:sz w:val="24"/>
          <w:szCs w:val="24"/>
        </w:rPr>
        <w:t xml:space="preserve"> y que, como el ítem de tránsito y señalización tenía esa modalidad, pese a no haberse indicado en el formulario No. 4 que su modificación estaba prohibida, no era posible hacerlo, de conformidad con el pliego de condiciones. </w:t>
      </w:r>
    </w:p>
    <w:p w14:paraId="6853E93E"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7627D31A" w14:textId="77777777" w:rsidR="00392470" w:rsidRPr="00A23C1F" w:rsidRDefault="00392470" w:rsidP="00392470">
      <w:pPr>
        <w:spacing w:line="360" w:lineRule="auto"/>
        <w:contextualSpacing/>
        <w:jc w:val="both"/>
        <w:rPr>
          <w:rFonts w:ascii="Arial" w:hAnsi="Arial" w:cs="Arial"/>
          <w:sz w:val="24"/>
          <w:szCs w:val="24"/>
        </w:rPr>
      </w:pPr>
      <w:r w:rsidRPr="00A23C1F">
        <w:rPr>
          <w:rFonts w:ascii="Arial" w:hAnsi="Arial" w:cs="Arial"/>
          <w:sz w:val="24"/>
          <w:szCs w:val="24"/>
          <w:lang w:val="es-CO"/>
        </w:rPr>
        <w:t xml:space="preserve">23. </w:t>
      </w:r>
      <w:r w:rsidRPr="00A23C1F">
        <w:rPr>
          <w:rFonts w:ascii="Arial" w:hAnsi="Arial" w:cs="Arial"/>
          <w:sz w:val="24"/>
          <w:szCs w:val="24"/>
        </w:rPr>
        <w:t xml:space="preserve">En ese orden de ideas, el Tribunal calificó como “desafortunada” la interpretación realizada por el </w:t>
      </w:r>
      <w:proofErr w:type="spellStart"/>
      <w:r w:rsidRPr="00A23C1F">
        <w:rPr>
          <w:rFonts w:ascii="Arial" w:hAnsi="Arial" w:cs="Arial"/>
          <w:sz w:val="24"/>
          <w:szCs w:val="24"/>
        </w:rPr>
        <w:t>Invías</w:t>
      </w:r>
      <w:proofErr w:type="spellEnd"/>
      <w:r w:rsidRPr="00A23C1F">
        <w:rPr>
          <w:rFonts w:ascii="Arial" w:hAnsi="Arial" w:cs="Arial"/>
          <w:sz w:val="24"/>
          <w:szCs w:val="24"/>
        </w:rPr>
        <w:t>, según la cual la omisión de señalar expresamente en el formulario No. 4 que el ítem de tránsito y señalización era inmodificable, impedía realizar una selección objetiva de la oferta más favorable. Anunció que declararía la nulidad parcial del artículo 1 de la Resolución No. 5961 de 3 de diciembre de 2007, en lo relativo a la declaratoria de desierta del módulo No. 2, y agregó (se trascribe):</w:t>
      </w:r>
    </w:p>
    <w:p w14:paraId="70DA75A4" w14:textId="77777777" w:rsidR="00392470" w:rsidRPr="00A23C1F" w:rsidRDefault="00392470" w:rsidP="00392470">
      <w:pPr>
        <w:spacing w:line="360" w:lineRule="auto"/>
        <w:contextualSpacing/>
        <w:jc w:val="both"/>
        <w:rPr>
          <w:rFonts w:ascii="Arial" w:hAnsi="Arial" w:cs="Arial"/>
          <w:sz w:val="24"/>
          <w:szCs w:val="24"/>
        </w:rPr>
      </w:pPr>
    </w:p>
    <w:p w14:paraId="07E015AF" w14:textId="77777777" w:rsidR="00392470" w:rsidRPr="00A23C1F" w:rsidRDefault="00392470" w:rsidP="00392470">
      <w:pPr>
        <w:ind w:left="567" w:right="567"/>
        <w:contextualSpacing/>
        <w:jc w:val="both"/>
        <w:rPr>
          <w:rFonts w:ascii="Arial" w:hAnsi="Arial" w:cs="Arial"/>
          <w:i/>
          <w:sz w:val="24"/>
          <w:szCs w:val="24"/>
        </w:rPr>
      </w:pPr>
      <w:r w:rsidRPr="00A23C1F">
        <w:rPr>
          <w:rFonts w:ascii="Arial" w:hAnsi="Arial" w:cs="Arial"/>
          <w:sz w:val="24"/>
          <w:szCs w:val="24"/>
        </w:rPr>
        <w:t>“</w:t>
      </w:r>
      <w:r w:rsidRPr="00A23C1F">
        <w:rPr>
          <w:rFonts w:ascii="Arial" w:hAnsi="Arial" w:cs="Arial"/>
          <w:i/>
          <w:sz w:val="24"/>
          <w:szCs w:val="24"/>
        </w:rPr>
        <w:t xml:space="preserve">Así las cosas, para la Sala las exigencias contenidas en el </w:t>
      </w:r>
      <w:proofErr w:type="spellStart"/>
      <w:r w:rsidRPr="00A23C1F">
        <w:rPr>
          <w:rFonts w:ascii="Arial" w:hAnsi="Arial" w:cs="Arial"/>
          <w:i/>
          <w:sz w:val="24"/>
          <w:szCs w:val="24"/>
        </w:rPr>
        <w:t>pluricitado</w:t>
      </w:r>
      <w:proofErr w:type="spellEnd"/>
      <w:r w:rsidRPr="00A23C1F">
        <w:rPr>
          <w:rFonts w:ascii="Arial" w:hAnsi="Arial" w:cs="Arial"/>
          <w:i/>
          <w:sz w:val="24"/>
          <w:szCs w:val="24"/>
        </w:rPr>
        <w:t xml:space="preserve"> numeral 3.8.2 y el formulario 4, no debían entenderse como contradictorias sino como complementarias, en aplicación del referido principio </w:t>
      </w:r>
      <w:r w:rsidRPr="00A23C1F">
        <w:rPr>
          <w:rFonts w:ascii="Arial" w:hAnsi="Arial" w:cs="Arial"/>
          <w:sz w:val="24"/>
          <w:szCs w:val="24"/>
        </w:rPr>
        <w:t>[principio útil de la hermenéutica]</w:t>
      </w:r>
      <w:r w:rsidRPr="00A23C1F">
        <w:rPr>
          <w:rFonts w:ascii="Arial" w:hAnsi="Arial" w:cs="Arial"/>
          <w:i/>
          <w:sz w:val="24"/>
          <w:szCs w:val="24"/>
        </w:rPr>
        <w:t>, toda vez que si la información contenida en el formulario 4 se requería para la comparación objetiva de las propuestas, no entiende la Sala cómo la entidad demandada admitió una interpretación donde la comparación objetiva es imposible, como lo sostuvo en el acto administrativo demandado.</w:t>
      </w:r>
    </w:p>
    <w:p w14:paraId="3AAC8CDA" w14:textId="77777777" w:rsidR="00392470" w:rsidRPr="00A23C1F" w:rsidRDefault="00392470" w:rsidP="00392470">
      <w:pPr>
        <w:ind w:left="567" w:right="567"/>
        <w:contextualSpacing/>
        <w:jc w:val="both"/>
        <w:rPr>
          <w:rFonts w:ascii="Arial" w:hAnsi="Arial" w:cs="Arial"/>
          <w:i/>
          <w:sz w:val="24"/>
          <w:szCs w:val="24"/>
        </w:rPr>
      </w:pPr>
      <w:r w:rsidRPr="00A23C1F">
        <w:rPr>
          <w:rFonts w:ascii="Arial" w:hAnsi="Arial" w:cs="Arial"/>
          <w:i/>
          <w:sz w:val="24"/>
          <w:szCs w:val="24"/>
        </w:rPr>
        <w:t>Incluso, desde el punto de vista teleológico la interpretación admisible de la exigencia en estudio correspondía a aquella que impedía la modificación del ítem de tránsito y señalización, toda vez que la interpretación contraria, tal como la entidad demandante lo sostiene, impedía la comparación objetiva”.</w:t>
      </w:r>
    </w:p>
    <w:p w14:paraId="08A45C78" w14:textId="77777777" w:rsidR="00392470" w:rsidRPr="00A23C1F" w:rsidRDefault="00392470" w:rsidP="00392470">
      <w:pPr>
        <w:spacing w:line="360" w:lineRule="auto"/>
        <w:ind w:right="-142"/>
        <w:contextualSpacing/>
        <w:jc w:val="both"/>
        <w:rPr>
          <w:rFonts w:ascii="Arial" w:hAnsi="Arial" w:cs="Arial"/>
          <w:sz w:val="24"/>
          <w:szCs w:val="24"/>
        </w:rPr>
      </w:pPr>
    </w:p>
    <w:p w14:paraId="247C0FD5" w14:textId="77777777" w:rsidR="00392470" w:rsidRPr="00A23C1F" w:rsidRDefault="00392470" w:rsidP="00392470">
      <w:pPr>
        <w:spacing w:line="360" w:lineRule="auto"/>
        <w:contextualSpacing/>
        <w:jc w:val="both"/>
        <w:rPr>
          <w:rFonts w:ascii="Arial" w:hAnsi="Arial" w:cs="Arial"/>
          <w:sz w:val="24"/>
          <w:szCs w:val="24"/>
        </w:rPr>
      </w:pPr>
      <w:r w:rsidRPr="00A23C1F">
        <w:rPr>
          <w:rFonts w:ascii="Arial" w:hAnsi="Arial" w:cs="Arial"/>
          <w:sz w:val="24"/>
          <w:szCs w:val="24"/>
        </w:rPr>
        <w:t xml:space="preserve">24. En lo que tiene que ver con el hecho de si la propuesta presentada por el Consorcio </w:t>
      </w:r>
      <w:proofErr w:type="spellStart"/>
      <w:r w:rsidRPr="00A23C1F">
        <w:rPr>
          <w:rFonts w:ascii="Arial" w:hAnsi="Arial" w:cs="Arial"/>
          <w:sz w:val="24"/>
          <w:szCs w:val="24"/>
        </w:rPr>
        <w:t>Icagel</w:t>
      </w:r>
      <w:proofErr w:type="spellEnd"/>
      <w:r w:rsidRPr="00A23C1F">
        <w:rPr>
          <w:rFonts w:ascii="Arial" w:hAnsi="Arial" w:cs="Arial"/>
          <w:sz w:val="24"/>
          <w:szCs w:val="24"/>
        </w:rPr>
        <w:t xml:space="preserve"> Limitada para el módulo No. 2 era la mejor, el Tribunal consideró que, en vista de que el Consorcio Los Andes –primero en el orden de elegibilidad- modificó el ítem de tránsito y señalización y que, por consiguiente, su propuesta debió ser rechazada, el consorcio demandante estaba llamado a ocupar el primer orden de elegibilidad y, en esa medida, estaba acreditado que tenía derecho a ser adjudicatario del módulo 2.</w:t>
      </w:r>
    </w:p>
    <w:p w14:paraId="4678269C"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0A6E0C69" w14:textId="77777777" w:rsidR="00392470" w:rsidRPr="00A23C1F" w:rsidRDefault="00392470" w:rsidP="00392470">
      <w:pPr>
        <w:spacing w:line="360" w:lineRule="auto"/>
        <w:contextualSpacing/>
        <w:jc w:val="both"/>
        <w:rPr>
          <w:rFonts w:ascii="Arial" w:hAnsi="Arial" w:cs="Arial"/>
          <w:sz w:val="24"/>
          <w:szCs w:val="24"/>
        </w:rPr>
      </w:pPr>
      <w:r w:rsidRPr="00A23C1F">
        <w:rPr>
          <w:rFonts w:ascii="Arial" w:hAnsi="Arial" w:cs="Arial"/>
          <w:sz w:val="24"/>
          <w:szCs w:val="24"/>
          <w:lang w:val="es-CO"/>
        </w:rPr>
        <w:t xml:space="preserve">25. </w:t>
      </w:r>
      <w:r w:rsidRPr="00A23C1F">
        <w:rPr>
          <w:rFonts w:ascii="Arial" w:hAnsi="Arial" w:cs="Arial"/>
          <w:sz w:val="24"/>
          <w:szCs w:val="24"/>
        </w:rPr>
        <w:t xml:space="preserve">Por último, para determinar el monto de los perjuicios ocasionados al Consorcio </w:t>
      </w:r>
      <w:proofErr w:type="spellStart"/>
      <w:r w:rsidRPr="00A23C1F">
        <w:rPr>
          <w:rFonts w:ascii="Arial" w:hAnsi="Arial" w:cs="Arial"/>
          <w:sz w:val="24"/>
          <w:szCs w:val="24"/>
        </w:rPr>
        <w:t>Icagel</w:t>
      </w:r>
      <w:proofErr w:type="spellEnd"/>
      <w:r w:rsidRPr="00A23C1F">
        <w:rPr>
          <w:rFonts w:ascii="Arial" w:hAnsi="Arial" w:cs="Arial"/>
          <w:sz w:val="24"/>
          <w:szCs w:val="24"/>
        </w:rPr>
        <w:t xml:space="preserve"> Limitada por la declaratoria de desierta de la licitación respecto del módulo No. 2, el Tribunal dio aplicación a la tesis jurisprudencial según la cual la indemnización que se reconoce en este tipo de casos equivale al 100% de la utilidad que el proponente esperaba percibir. En ese sentido, como en el formulario No. 4 presentado por el consorcio se fijó el valor de la propuesta en $2.215.787.</w:t>
      </w:r>
      <w:proofErr w:type="gramStart"/>
      <w:r w:rsidRPr="00A23C1F">
        <w:rPr>
          <w:rFonts w:ascii="Arial" w:hAnsi="Arial" w:cs="Arial"/>
          <w:sz w:val="24"/>
          <w:szCs w:val="24"/>
        </w:rPr>
        <w:t>754,oo</w:t>
      </w:r>
      <w:proofErr w:type="gramEnd"/>
      <w:r w:rsidRPr="00A23C1F">
        <w:rPr>
          <w:rFonts w:ascii="Arial" w:hAnsi="Arial" w:cs="Arial"/>
          <w:sz w:val="24"/>
          <w:szCs w:val="24"/>
        </w:rPr>
        <w:t>, y la utilidad esperada en un 5% de ese valor, el Tribunal estableció el valor de la indemnización en $110.789.388,oo, suma que, actualizada a la fecha en que se profirió la Sentencia, ascendía a $128.301.913,oo.</w:t>
      </w:r>
    </w:p>
    <w:p w14:paraId="3ADED48A" w14:textId="77777777" w:rsidR="00392470" w:rsidRPr="00A23C1F" w:rsidRDefault="00392470" w:rsidP="00392470">
      <w:pPr>
        <w:spacing w:line="360" w:lineRule="auto"/>
        <w:contextualSpacing/>
        <w:jc w:val="both"/>
        <w:rPr>
          <w:rFonts w:ascii="Arial" w:hAnsi="Arial" w:cs="Arial"/>
          <w:sz w:val="24"/>
          <w:szCs w:val="24"/>
        </w:rPr>
      </w:pPr>
      <w:r w:rsidRPr="00A23C1F">
        <w:rPr>
          <w:rFonts w:ascii="Arial" w:hAnsi="Arial" w:cs="Arial"/>
          <w:sz w:val="24"/>
          <w:szCs w:val="24"/>
          <w:lang w:val="es-CO"/>
        </w:rPr>
        <w:t xml:space="preserve"> </w:t>
      </w:r>
    </w:p>
    <w:p w14:paraId="118C750C" w14:textId="77777777" w:rsidR="00392470" w:rsidRPr="00A23C1F" w:rsidRDefault="00392470" w:rsidP="00392470">
      <w:pPr>
        <w:spacing w:line="360" w:lineRule="auto"/>
        <w:contextualSpacing/>
        <w:jc w:val="both"/>
        <w:rPr>
          <w:rFonts w:ascii="Arial" w:hAnsi="Arial" w:cs="Arial"/>
          <w:sz w:val="24"/>
          <w:szCs w:val="24"/>
        </w:rPr>
      </w:pPr>
      <w:r w:rsidRPr="00A23C1F">
        <w:rPr>
          <w:rFonts w:ascii="Arial" w:hAnsi="Arial" w:cs="Arial"/>
          <w:sz w:val="24"/>
          <w:szCs w:val="24"/>
          <w:lang w:val="es-CO"/>
        </w:rPr>
        <w:lastRenderedPageBreak/>
        <w:t xml:space="preserve">26. </w:t>
      </w:r>
      <w:r w:rsidRPr="00A23C1F">
        <w:rPr>
          <w:rFonts w:ascii="Arial" w:hAnsi="Arial" w:cs="Arial"/>
          <w:sz w:val="24"/>
          <w:szCs w:val="24"/>
        </w:rPr>
        <w:t xml:space="preserve">Así las cosas, el Tribunal condenó al </w:t>
      </w:r>
      <w:proofErr w:type="spellStart"/>
      <w:r w:rsidRPr="00A23C1F">
        <w:rPr>
          <w:rFonts w:ascii="Arial" w:hAnsi="Arial" w:cs="Arial"/>
          <w:sz w:val="24"/>
          <w:szCs w:val="24"/>
        </w:rPr>
        <w:t>Invías</w:t>
      </w:r>
      <w:proofErr w:type="spellEnd"/>
      <w:r w:rsidRPr="00A23C1F">
        <w:rPr>
          <w:rFonts w:ascii="Arial" w:hAnsi="Arial" w:cs="Arial"/>
          <w:sz w:val="24"/>
          <w:szCs w:val="24"/>
        </w:rPr>
        <w:t xml:space="preserve"> a pagar a los integrantes del Consorcio </w:t>
      </w:r>
      <w:proofErr w:type="spellStart"/>
      <w:r w:rsidRPr="00A23C1F">
        <w:rPr>
          <w:rFonts w:ascii="Arial" w:hAnsi="Arial" w:cs="Arial"/>
          <w:sz w:val="24"/>
          <w:szCs w:val="24"/>
        </w:rPr>
        <w:t>Icagel</w:t>
      </w:r>
      <w:proofErr w:type="spellEnd"/>
      <w:r w:rsidRPr="00A23C1F">
        <w:rPr>
          <w:rFonts w:ascii="Arial" w:hAnsi="Arial" w:cs="Arial"/>
          <w:sz w:val="24"/>
          <w:szCs w:val="24"/>
        </w:rPr>
        <w:t xml:space="preserve"> Limitada la suma de $128.301.</w:t>
      </w:r>
      <w:proofErr w:type="gramStart"/>
      <w:r w:rsidRPr="00A23C1F">
        <w:rPr>
          <w:rFonts w:ascii="Arial" w:hAnsi="Arial" w:cs="Arial"/>
          <w:sz w:val="24"/>
          <w:szCs w:val="24"/>
        </w:rPr>
        <w:t>913,oo</w:t>
      </w:r>
      <w:proofErr w:type="gramEnd"/>
      <w:r w:rsidRPr="00A23C1F">
        <w:rPr>
          <w:rFonts w:ascii="Arial" w:hAnsi="Arial" w:cs="Arial"/>
          <w:sz w:val="24"/>
          <w:szCs w:val="24"/>
        </w:rPr>
        <w:t xml:space="preserve">, de la siguiente manera: el 70% para la sociedad </w:t>
      </w:r>
      <w:proofErr w:type="spellStart"/>
      <w:r w:rsidRPr="00A23C1F">
        <w:rPr>
          <w:rFonts w:ascii="Arial" w:hAnsi="Arial" w:cs="Arial"/>
          <w:sz w:val="24"/>
          <w:szCs w:val="24"/>
        </w:rPr>
        <w:t>Icagel</w:t>
      </w:r>
      <w:proofErr w:type="spellEnd"/>
      <w:r w:rsidRPr="00A23C1F">
        <w:rPr>
          <w:rFonts w:ascii="Arial" w:hAnsi="Arial" w:cs="Arial"/>
          <w:sz w:val="24"/>
          <w:szCs w:val="24"/>
        </w:rPr>
        <w:t xml:space="preserve"> Ltda. y el 30% para Eduardo Garzón Alarcón.</w:t>
      </w:r>
    </w:p>
    <w:p w14:paraId="547308B4" w14:textId="77777777" w:rsidR="00392470" w:rsidRPr="00A23C1F" w:rsidRDefault="00392470" w:rsidP="00392470">
      <w:pPr>
        <w:spacing w:line="360" w:lineRule="auto"/>
        <w:contextualSpacing/>
        <w:jc w:val="both"/>
        <w:rPr>
          <w:rFonts w:ascii="Arial" w:hAnsi="Arial" w:cs="Arial"/>
          <w:sz w:val="24"/>
          <w:szCs w:val="24"/>
        </w:rPr>
      </w:pPr>
    </w:p>
    <w:p w14:paraId="5C21B5D5" w14:textId="77777777" w:rsidR="00392470" w:rsidRPr="00A23C1F" w:rsidRDefault="00392470" w:rsidP="00392470">
      <w:pPr>
        <w:spacing w:line="360" w:lineRule="auto"/>
        <w:contextualSpacing/>
        <w:jc w:val="both"/>
        <w:rPr>
          <w:rFonts w:ascii="Arial" w:hAnsi="Arial" w:cs="Arial"/>
          <w:sz w:val="24"/>
          <w:szCs w:val="24"/>
        </w:rPr>
      </w:pPr>
    </w:p>
    <w:p w14:paraId="1449A16B" w14:textId="77777777" w:rsidR="00392470" w:rsidRPr="00A23C1F" w:rsidRDefault="00392470" w:rsidP="00392470">
      <w:pPr>
        <w:spacing w:line="360" w:lineRule="auto"/>
        <w:contextualSpacing/>
        <w:jc w:val="both"/>
        <w:rPr>
          <w:rFonts w:ascii="Arial" w:hAnsi="Arial" w:cs="Arial"/>
          <w:sz w:val="24"/>
          <w:szCs w:val="24"/>
        </w:rPr>
      </w:pPr>
    </w:p>
    <w:p w14:paraId="67C25511" w14:textId="77777777" w:rsidR="00392470" w:rsidRPr="00A23C1F" w:rsidRDefault="00392470" w:rsidP="00392470">
      <w:pPr>
        <w:spacing w:line="360" w:lineRule="auto"/>
        <w:contextualSpacing/>
        <w:jc w:val="both"/>
        <w:rPr>
          <w:rFonts w:ascii="Arial" w:hAnsi="Arial" w:cs="Arial"/>
          <w:sz w:val="24"/>
          <w:szCs w:val="24"/>
        </w:rPr>
      </w:pPr>
    </w:p>
    <w:p w14:paraId="25466D28" w14:textId="77777777" w:rsidR="00392470" w:rsidRPr="00A23C1F" w:rsidRDefault="00392470" w:rsidP="00392470">
      <w:pPr>
        <w:spacing w:line="360" w:lineRule="auto"/>
        <w:ind w:right="-142"/>
        <w:contextualSpacing/>
        <w:jc w:val="both"/>
        <w:rPr>
          <w:rFonts w:ascii="Arial" w:hAnsi="Arial" w:cs="Arial"/>
          <w:sz w:val="24"/>
          <w:szCs w:val="24"/>
        </w:rPr>
      </w:pPr>
      <w:r w:rsidRPr="00A23C1F">
        <w:rPr>
          <w:rFonts w:ascii="Arial" w:hAnsi="Arial" w:cs="Arial"/>
          <w:b/>
          <w:sz w:val="24"/>
          <w:szCs w:val="24"/>
        </w:rPr>
        <w:t>1.2. El recurso de apelación y su trámite en segunda instancia</w:t>
      </w:r>
    </w:p>
    <w:p w14:paraId="19D6544D" w14:textId="77777777" w:rsidR="00392470" w:rsidRPr="00A23C1F" w:rsidRDefault="00392470" w:rsidP="00392470">
      <w:pPr>
        <w:spacing w:line="360" w:lineRule="auto"/>
        <w:ind w:right="-142"/>
        <w:contextualSpacing/>
        <w:jc w:val="both"/>
        <w:rPr>
          <w:rFonts w:ascii="Arial" w:hAnsi="Arial" w:cs="Arial"/>
          <w:sz w:val="24"/>
          <w:szCs w:val="24"/>
        </w:rPr>
      </w:pPr>
    </w:p>
    <w:p w14:paraId="4E6CCD5D" w14:textId="77777777" w:rsidR="00392470" w:rsidRPr="00A23C1F" w:rsidRDefault="00392470" w:rsidP="00392470">
      <w:pPr>
        <w:spacing w:line="360" w:lineRule="auto"/>
        <w:contextualSpacing/>
        <w:jc w:val="both"/>
        <w:rPr>
          <w:rFonts w:ascii="Arial" w:hAnsi="Arial" w:cs="Arial"/>
          <w:sz w:val="24"/>
          <w:szCs w:val="24"/>
          <w:lang w:val="es-CO"/>
        </w:rPr>
      </w:pPr>
      <w:r w:rsidRPr="00A23C1F">
        <w:rPr>
          <w:rFonts w:ascii="Arial" w:hAnsi="Arial" w:cs="Arial"/>
          <w:sz w:val="24"/>
          <w:szCs w:val="24"/>
          <w:lang w:val="es-CO"/>
        </w:rPr>
        <w:t xml:space="preserve">27. </w:t>
      </w:r>
      <w:r w:rsidRPr="00A23C1F">
        <w:rPr>
          <w:rFonts w:ascii="Arial" w:hAnsi="Arial" w:cs="Arial"/>
          <w:sz w:val="24"/>
          <w:szCs w:val="24"/>
        </w:rPr>
        <w:t xml:space="preserve">El 11 de julio de 2011, el apoderado del </w:t>
      </w:r>
      <w:proofErr w:type="spellStart"/>
      <w:r w:rsidRPr="00A23C1F">
        <w:rPr>
          <w:rFonts w:ascii="Arial" w:hAnsi="Arial" w:cs="Arial"/>
          <w:sz w:val="24"/>
          <w:szCs w:val="24"/>
        </w:rPr>
        <w:t>Invías</w:t>
      </w:r>
      <w:proofErr w:type="spellEnd"/>
      <w:r w:rsidRPr="00A23C1F">
        <w:rPr>
          <w:rFonts w:ascii="Arial" w:hAnsi="Arial" w:cs="Arial"/>
          <w:sz w:val="24"/>
          <w:szCs w:val="24"/>
        </w:rPr>
        <w:t xml:space="preserve"> presentó </w:t>
      </w:r>
      <w:r w:rsidRPr="00A23C1F">
        <w:rPr>
          <w:rFonts w:ascii="Arial" w:hAnsi="Arial" w:cs="Arial"/>
          <w:b/>
          <w:sz w:val="24"/>
          <w:szCs w:val="24"/>
        </w:rPr>
        <w:t>recurso de apelación</w:t>
      </w:r>
      <w:r w:rsidRPr="00A23C1F">
        <w:rPr>
          <w:rFonts w:ascii="Arial" w:hAnsi="Arial" w:cs="Arial"/>
          <w:sz w:val="24"/>
          <w:szCs w:val="24"/>
        </w:rPr>
        <w:t xml:space="preserve"> en contra de la Sentencia de 22 de junio de 2011</w:t>
      </w:r>
      <w:r w:rsidRPr="00A23C1F">
        <w:rPr>
          <w:rStyle w:val="Refdenotaalpie"/>
          <w:rFonts w:ascii="Arial" w:hAnsi="Arial" w:cs="Arial"/>
          <w:sz w:val="24"/>
          <w:szCs w:val="24"/>
        </w:rPr>
        <w:footnoteReference w:id="9"/>
      </w:r>
      <w:r w:rsidRPr="00A23C1F">
        <w:rPr>
          <w:rFonts w:ascii="Arial" w:hAnsi="Arial" w:cs="Arial"/>
          <w:sz w:val="24"/>
          <w:szCs w:val="24"/>
        </w:rPr>
        <w:t xml:space="preserve">. </w:t>
      </w:r>
      <w:r w:rsidRPr="00A23C1F">
        <w:rPr>
          <w:rFonts w:ascii="Arial" w:hAnsi="Arial" w:cs="Arial"/>
          <w:sz w:val="24"/>
          <w:szCs w:val="24"/>
          <w:lang w:val="es-CO"/>
        </w:rPr>
        <w:t xml:space="preserve">En primer lugar, insistió en la falta de legitimidad pasiva en la causa del Consorcio </w:t>
      </w:r>
      <w:proofErr w:type="spellStart"/>
      <w:r w:rsidRPr="00A23C1F">
        <w:rPr>
          <w:rFonts w:ascii="Arial" w:hAnsi="Arial" w:cs="Arial"/>
          <w:sz w:val="24"/>
          <w:szCs w:val="24"/>
          <w:lang w:val="es-CO"/>
        </w:rPr>
        <w:t>Icagel</w:t>
      </w:r>
      <w:proofErr w:type="spellEnd"/>
      <w:r w:rsidRPr="00A23C1F">
        <w:rPr>
          <w:rFonts w:ascii="Arial" w:hAnsi="Arial" w:cs="Arial"/>
          <w:sz w:val="24"/>
          <w:szCs w:val="24"/>
          <w:lang w:val="es-CO"/>
        </w:rPr>
        <w:t xml:space="preserve"> Limitada y en la supuesta ineptitud de la demanda, para lo cual reiteró los argumentos de la contestación de la demanda. </w:t>
      </w:r>
    </w:p>
    <w:p w14:paraId="3F0F35E3"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45931BC8" w14:textId="77777777" w:rsidR="00392470" w:rsidRPr="00A23C1F" w:rsidRDefault="00392470" w:rsidP="00392470">
      <w:pPr>
        <w:spacing w:line="360" w:lineRule="auto"/>
        <w:contextualSpacing/>
        <w:jc w:val="both"/>
        <w:rPr>
          <w:rFonts w:ascii="Arial" w:hAnsi="Arial" w:cs="Arial"/>
          <w:i/>
          <w:sz w:val="24"/>
          <w:szCs w:val="24"/>
          <w:lang w:val="es-CO"/>
        </w:rPr>
      </w:pPr>
      <w:r w:rsidRPr="00A23C1F">
        <w:rPr>
          <w:rFonts w:ascii="Arial" w:hAnsi="Arial" w:cs="Arial"/>
          <w:sz w:val="24"/>
          <w:szCs w:val="24"/>
          <w:lang w:val="es-CO"/>
        </w:rPr>
        <w:t xml:space="preserve">28. Posteriormente, rechazó la decisión del Tribunal de declarar la nulidad parcial de la Resolución No. 5961 de 3 de diciembre de 2007. Al respecto, indicó </w:t>
      </w:r>
      <w:proofErr w:type="gramStart"/>
      <w:r w:rsidRPr="00A23C1F">
        <w:rPr>
          <w:rFonts w:ascii="Arial" w:hAnsi="Arial" w:cs="Arial"/>
          <w:sz w:val="24"/>
          <w:szCs w:val="24"/>
          <w:lang w:val="es-CO"/>
        </w:rPr>
        <w:t>que</w:t>
      </w:r>
      <w:proofErr w:type="gramEnd"/>
      <w:r w:rsidRPr="00A23C1F">
        <w:rPr>
          <w:rFonts w:ascii="Arial" w:hAnsi="Arial" w:cs="Arial"/>
          <w:sz w:val="24"/>
          <w:szCs w:val="24"/>
          <w:lang w:val="es-CO"/>
        </w:rPr>
        <w:t xml:space="preserve"> para proferir la mencionada resolución, el </w:t>
      </w:r>
      <w:proofErr w:type="spellStart"/>
      <w:r w:rsidRPr="00A23C1F">
        <w:rPr>
          <w:rFonts w:ascii="Arial" w:hAnsi="Arial" w:cs="Arial"/>
          <w:sz w:val="24"/>
          <w:szCs w:val="24"/>
          <w:lang w:val="es-CO"/>
        </w:rPr>
        <w:t>Invías</w:t>
      </w:r>
      <w:proofErr w:type="spellEnd"/>
      <w:r w:rsidRPr="00A23C1F">
        <w:rPr>
          <w:rFonts w:ascii="Arial" w:hAnsi="Arial" w:cs="Arial"/>
          <w:sz w:val="24"/>
          <w:szCs w:val="24"/>
          <w:lang w:val="es-CO"/>
        </w:rPr>
        <w:t xml:space="preserve"> tuvo en cuenta la información y conceptos del grupo evaluador de propuestas. En ese sentido, señaló que el </w:t>
      </w:r>
      <w:proofErr w:type="spellStart"/>
      <w:r w:rsidRPr="00A23C1F">
        <w:rPr>
          <w:rFonts w:ascii="Arial" w:hAnsi="Arial" w:cs="Arial"/>
          <w:sz w:val="24"/>
          <w:szCs w:val="24"/>
          <w:lang w:val="es-CO"/>
        </w:rPr>
        <w:t>Invías</w:t>
      </w:r>
      <w:proofErr w:type="spellEnd"/>
      <w:r w:rsidRPr="00A23C1F">
        <w:rPr>
          <w:rFonts w:ascii="Arial" w:hAnsi="Arial" w:cs="Arial"/>
          <w:sz w:val="24"/>
          <w:szCs w:val="24"/>
          <w:lang w:val="es-CO"/>
        </w:rPr>
        <w:t>: “</w:t>
      </w:r>
      <w:r w:rsidRPr="00A23C1F">
        <w:rPr>
          <w:rFonts w:ascii="Arial" w:hAnsi="Arial" w:cs="Arial"/>
          <w:i/>
          <w:sz w:val="24"/>
          <w:szCs w:val="24"/>
          <w:lang w:val="es-CO"/>
        </w:rPr>
        <w:t>obró con criterios de legalidad, certeza y realidad de los hechos, calificación jurídica adecuada y una apreciación razonada, que lo llevó a la inevitable decisión de declaratoria de desierta de la licitación, ya que como en la resolución demandada se dijo, la incongruencia presentada entre el pliego de condiciones y la adenda 02, contentiva del formulario 4, no otorgaba a la entidad la posibilidad legal de una escogencia objetiva y transparente del eventual ganador y adjudicatario de la licitación”.</w:t>
      </w:r>
    </w:p>
    <w:p w14:paraId="379DAB16" w14:textId="77777777" w:rsidR="00392470" w:rsidRPr="00A23C1F" w:rsidRDefault="00392470" w:rsidP="00392470">
      <w:pPr>
        <w:spacing w:line="360" w:lineRule="auto"/>
        <w:contextualSpacing/>
        <w:jc w:val="both"/>
        <w:rPr>
          <w:rFonts w:ascii="Arial" w:hAnsi="Arial" w:cs="Arial"/>
          <w:i/>
          <w:sz w:val="24"/>
          <w:szCs w:val="24"/>
        </w:rPr>
      </w:pPr>
    </w:p>
    <w:p w14:paraId="36B94641" w14:textId="77777777" w:rsidR="00392470" w:rsidRPr="00A23C1F" w:rsidRDefault="00392470" w:rsidP="00392470">
      <w:pPr>
        <w:spacing w:line="360" w:lineRule="auto"/>
        <w:contextualSpacing/>
        <w:jc w:val="both"/>
        <w:rPr>
          <w:rFonts w:ascii="Arial" w:hAnsi="Arial" w:cs="Arial"/>
          <w:sz w:val="24"/>
          <w:szCs w:val="24"/>
          <w:lang w:val="es-CO"/>
        </w:rPr>
      </w:pPr>
      <w:r w:rsidRPr="00A23C1F">
        <w:rPr>
          <w:rFonts w:ascii="Arial" w:hAnsi="Arial" w:cs="Arial"/>
          <w:sz w:val="24"/>
          <w:szCs w:val="24"/>
        </w:rPr>
        <w:t xml:space="preserve">29. </w:t>
      </w:r>
      <w:r w:rsidRPr="00A23C1F">
        <w:rPr>
          <w:rFonts w:ascii="Arial" w:hAnsi="Arial" w:cs="Arial"/>
          <w:sz w:val="24"/>
          <w:szCs w:val="24"/>
          <w:lang w:val="es-CO"/>
        </w:rPr>
        <w:t xml:space="preserve">En tercer lugar, acusó al Tribunal de haber fallado </w:t>
      </w:r>
      <w:r w:rsidRPr="00A23C1F">
        <w:rPr>
          <w:rFonts w:ascii="Arial" w:hAnsi="Arial" w:cs="Arial"/>
          <w:i/>
          <w:sz w:val="24"/>
          <w:szCs w:val="24"/>
          <w:lang w:val="es-CO"/>
        </w:rPr>
        <w:t xml:space="preserve">extra </w:t>
      </w:r>
      <w:proofErr w:type="spellStart"/>
      <w:r w:rsidRPr="00A23C1F">
        <w:rPr>
          <w:rFonts w:ascii="Arial" w:hAnsi="Arial" w:cs="Arial"/>
          <w:i/>
          <w:sz w:val="24"/>
          <w:szCs w:val="24"/>
          <w:lang w:val="es-CO"/>
        </w:rPr>
        <w:t>petita</w:t>
      </w:r>
      <w:proofErr w:type="spellEnd"/>
      <w:r w:rsidRPr="00A23C1F">
        <w:rPr>
          <w:rFonts w:ascii="Arial" w:hAnsi="Arial" w:cs="Arial"/>
          <w:sz w:val="24"/>
          <w:szCs w:val="24"/>
          <w:lang w:val="es-CO"/>
        </w:rPr>
        <w:t xml:space="preserve">. En este punto, indicó que el Tribunal falló </w:t>
      </w:r>
      <w:r w:rsidRPr="00A23C1F">
        <w:rPr>
          <w:rFonts w:ascii="Arial" w:hAnsi="Arial" w:cs="Arial"/>
          <w:i/>
          <w:sz w:val="24"/>
          <w:szCs w:val="24"/>
          <w:lang w:val="es-CO"/>
        </w:rPr>
        <w:t xml:space="preserve">extra </w:t>
      </w:r>
      <w:proofErr w:type="spellStart"/>
      <w:r w:rsidRPr="00A23C1F">
        <w:rPr>
          <w:rFonts w:ascii="Arial" w:hAnsi="Arial" w:cs="Arial"/>
          <w:i/>
          <w:sz w:val="24"/>
          <w:szCs w:val="24"/>
          <w:lang w:val="es-CO"/>
        </w:rPr>
        <w:t>petita</w:t>
      </w:r>
      <w:proofErr w:type="spellEnd"/>
      <w:r w:rsidRPr="00A23C1F">
        <w:rPr>
          <w:rFonts w:ascii="Arial" w:hAnsi="Arial" w:cs="Arial"/>
          <w:sz w:val="24"/>
          <w:szCs w:val="24"/>
          <w:lang w:val="es-CO"/>
        </w:rPr>
        <w:t xml:space="preserve"> al condenar al </w:t>
      </w:r>
      <w:proofErr w:type="spellStart"/>
      <w:r w:rsidRPr="00A23C1F">
        <w:rPr>
          <w:rFonts w:ascii="Arial" w:hAnsi="Arial" w:cs="Arial"/>
          <w:sz w:val="24"/>
          <w:szCs w:val="24"/>
          <w:lang w:val="es-CO"/>
        </w:rPr>
        <w:t>Invías</w:t>
      </w:r>
      <w:proofErr w:type="spellEnd"/>
      <w:r w:rsidRPr="00A23C1F">
        <w:rPr>
          <w:rFonts w:ascii="Arial" w:hAnsi="Arial" w:cs="Arial"/>
          <w:sz w:val="24"/>
          <w:szCs w:val="24"/>
          <w:lang w:val="es-CO"/>
        </w:rPr>
        <w:t xml:space="preserve"> a pagar una suma de dinero a favor de Eduardo Garzón Alarcón, en la medida en que en las pretensiones solo se solicitó condenar al </w:t>
      </w:r>
      <w:proofErr w:type="spellStart"/>
      <w:r w:rsidRPr="00A23C1F">
        <w:rPr>
          <w:rFonts w:ascii="Arial" w:hAnsi="Arial" w:cs="Arial"/>
          <w:sz w:val="24"/>
          <w:szCs w:val="24"/>
          <w:lang w:val="es-CO"/>
        </w:rPr>
        <w:t>Invías</w:t>
      </w:r>
      <w:proofErr w:type="spellEnd"/>
      <w:r w:rsidRPr="00A23C1F">
        <w:rPr>
          <w:rFonts w:ascii="Arial" w:hAnsi="Arial" w:cs="Arial"/>
          <w:sz w:val="24"/>
          <w:szCs w:val="24"/>
          <w:lang w:val="es-CO"/>
        </w:rPr>
        <w:t xml:space="preserve"> a pagar la condena a favor de las personas jurídicas integrantes del Consorcio </w:t>
      </w:r>
      <w:proofErr w:type="spellStart"/>
      <w:r w:rsidRPr="00A23C1F">
        <w:rPr>
          <w:rFonts w:ascii="Arial" w:hAnsi="Arial" w:cs="Arial"/>
          <w:sz w:val="24"/>
          <w:szCs w:val="24"/>
          <w:lang w:val="es-CO"/>
        </w:rPr>
        <w:t>Icagel</w:t>
      </w:r>
      <w:proofErr w:type="spellEnd"/>
      <w:r w:rsidRPr="00A23C1F">
        <w:rPr>
          <w:rFonts w:ascii="Arial" w:hAnsi="Arial" w:cs="Arial"/>
          <w:sz w:val="24"/>
          <w:szCs w:val="24"/>
          <w:lang w:val="es-CO"/>
        </w:rPr>
        <w:t xml:space="preserve"> Limitada. </w:t>
      </w:r>
    </w:p>
    <w:p w14:paraId="7CC90E97" w14:textId="77777777" w:rsidR="00392470" w:rsidRPr="00A23C1F" w:rsidRDefault="00392470" w:rsidP="00392470">
      <w:pPr>
        <w:spacing w:line="360" w:lineRule="auto"/>
        <w:contextualSpacing/>
        <w:jc w:val="both"/>
        <w:rPr>
          <w:rFonts w:ascii="Arial" w:hAnsi="Arial" w:cs="Arial"/>
          <w:i/>
          <w:sz w:val="24"/>
          <w:szCs w:val="24"/>
        </w:rPr>
      </w:pPr>
    </w:p>
    <w:p w14:paraId="4841B509" w14:textId="77777777" w:rsidR="00392470" w:rsidRPr="00A23C1F" w:rsidRDefault="00392470" w:rsidP="00392470">
      <w:pPr>
        <w:spacing w:line="360" w:lineRule="auto"/>
        <w:contextualSpacing/>
        <w:jc w:val="both"/>
        <w:rPr>
          <w:rFonts w:ascii="Arial" w:hAnsi="Arial" w:cs="Arial"/>
          <w:sz w:val="24"/>
          <w:szCs w:val="24"/>
        </w:rPr>
      </w:pPr>
    </w:p>
    <w:p w14:paraId="1BCAEF9E"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53572F9A" w14:textId="77777777" w:rsidR="00392470" w:rsidRPr="00A23C1F" w:rsidRDefault="00392470" w:rsidP="00392470">
      <w:pPr>
        <w:spacing w:line="360" w:lineRule="auto"/>
        <w:contextualSpacing/>
        <w:jc w:val="both"/>
        <w:rPr>
          <w:rFonts w:ascii="Arial" w:hAnsi="Arial" w:cs="Arial"/>
          <w:sz w:val="24"/>
          <w:szCs w:val="24"/>
          <w:lang w:val="es-CO"/>
        </w:rPr>
      </w:pPr>
      <w:r w:rsidRPr="00A23C1F">
        <w:rPr>
          <w:rFonts w:ascii="Arial" w:hAnsi="Arial" w:cs="Arial"/>
          <w:sz w:val="24"/>
          <w:szCs w:val="24"/>
          <w:lang w:val="es-CO"/>
        </w:rPr>
        <w:lastRenderedPageBreak/>
        <w:t>30. Por último, señaló que (se trascribe):</w:t>
      </w:r>
    </w:p>
    <w:p w14:paraId="52CA116B" w14:textId="77777777" w:rsidR="00392470" w:rsidRPr="00A23C1F" w:rsidRDefault="00392470" w:rsidP="00392470">
      <w:pPr>
        <w:spacing w:line="360" w:lineRule="auto"/>
        <w:contextualSpacing/>
        <w:jc w:val="both"/>
        <w:rPr>
          <w:rFonts w:ascii="Arial" w:hAnsi="Arial" w:cs="Arial"/>
          <w:sz w:val="24"/>
          <w:szCs w:val="24"/>
          <w:lang w:val="es-CO"/>
        </w:rPr>
      </w:pPr>
    </w:p>
    <w:p w14:paraId="2D0B13FC" w14:textId="77777777" w:rsidR="00392470" w:rsidRPr="00A23C1F" w:rsidRDefault="00392470" w:rsidP="00392470">
      <w:pPr>
        <w:ind w:left="567" w:right="567"/>
        <w:contextualSpacing/>
        <w:jc w:val="both"/>
        <w:rPr>
          <w:rFonts w:ascii="Arial" w:hAnsi="Arial" w:cs="Arial"/>
          <w:i/>
          <w:sz w:val="24"/>
          <w:szCs w:val="24"/>
          <w:lang w:val="es-CO"/>
        </w:rPr>
      </w:pPr>
      <w:r w:rsidRPr="00A23C1F">
        <w:rPr>
          <w:rFonts w:ascii="Arial" w:hAnsi="Arial" w:cs="Arial"/>
          <w:sz w:val="24"/>
          <w:szCs w:val="24"/>
          <w:lang w:val="es-CO"/>
        </w:rPr>
        <w:t>“</w:t>
      </w:r>
      <w:r w:rsidRPr="00A23C1F">
        <w:rPr>
          <w:rFonts w:ascii="Arial" w:hAnsi="Arial" w:cs="Arial"/>
          <w:i/>
          <w:sz w:val="24"/>
          <w:szCs w:val="24"/>
          <w:lang w:val="es-CO"/>
        </w:rPr>
        <w:t xml:space="preserve">Como se dijo anteriormente, al configurar un error del Juez de primera instancia, en la apreciación de inexistencia de causales de declaratoria de desierta de la licitación No. SRN-085-2007, ello conllevaría también a un error en la apreciación de considerar que el consorcio ICAGEL, fue el ganador del proceso licitatorio número SRN-085-2007, en lo que se refiera al </w:t>
      </w:r>
      <w:proofErr w:type="spellStart"/>
      <w:r w:rsidRPr="00A23C1F">
        <w:rPr>
          <w:rFonts w:ascii="Arial" w:hAnsi="Arial" w:cs="Arial"/>
          <w:i/>
          <w:sz w:val="24"/>
          <w:szCs w:val="24"/>
          <w:lang w:val="es-CO"/>
        </w:rPr>
        <w:t>modulo</w:t>
      </w:r>
      <w:proofErr w:type="spellEnd"/>
      <w:r w:rsidRPr="00A23C1F">
        <w:rPr>
          <w:rFonts w:ascii="Arial" w:hAnsi="Arial" w:cs="Arial"/>
          <w:i/>
          <w:sz w:val="24"/>
          <w:szCs w:val="24"/>
          <w:lang w:val="es-CO"/>
        </w:rPr>
        <w:t xml:space="preserve"> 2.</w:t>
      </w:r>
    </w:p>
    <w:p w14:paraId="1D0A636B" w14:textId="77777777" w:rsidR="00392470" w:rsidRPr="00A23C1F" w:rsidRDefault="00392470" w:rsidP="00392470">
      <w:pPr>
        <w:ind w:left="567" w:right="567"/>
        <w:contextualSpacing/>
        <w:jc w:val="both"/>
        <w:rPr>
          <w:rFonts w:ascii="Arial" w:hAnsi="Arial" w:cs="Arial"/>
          <w:i/>
          <w:sz w:val="24"/>
          <w:szCs w:val="24"/>
          <w:lang w:val="es-CO"/>
        </w:rPr>
      </w:pPr>
      <w:r w:rsidRPr="00A23C1F">
        <w:rPr>
          <w:rFonts w:ascii="Arial" w:hAnsi="Arial" w:cs="Arial"/>
          <w:i/>
          <w:sz w:val="24"/>
          <w:szCs w:val="24"/>
          <w:lang w:val="es-CO"/>
        </w:rPr>
        <w:t>Lo anterior nos lleva a inferir que no se debe condenar al pago de una suma de dinero, a cargo del INSTITUTO NACIONAL DE VIAS, toda vez, que no existen fundamentos legales ni facticos que lo soporten”.</w:t>
      </w:r>
    </w:p>
    <w:p w14:paraId="3294D48B" w14:textId="77777777" w:rsidR="00392470" w:rsidRPr="00A23C1F" w:rsidRDefault="00392470" w:rsidP="00392470">
      <w:pPr>
        <w:spacing w:line="360" w:lineRule="auto"/>
        <w:ind w:right="-142"/>
        <w:contextualSpacing/>
        <w:jc w:val="both"/>
        <w:rPr>
          <w:rFonts w:ascii="Arial" w:hAnsi="Arial" w:cs="Arial"/>
          <w:sz w:val="24"/>
          <w:szCs w:val="24"/>
        </w:rPr>
      </w:pPr>
    </w:p>
    <w:p w14:paraId="12AA95B7" w14:textId="77777777" w:rsidR="00392470" w:rsidRPr="00A23C1F" w:rsidRDefault="00392470" w:rsidP="00392470">
      <w:pPr>
        <w:spacing w:line="360" w:lineRule="auto"/>
        <w:contextualSpacing/>
        <w:jc w:val="both"/>
        <w:rPr>
          <w:rFonts w:ascii="Arial" w:hAnsi="Arial" w:cs="Arial"/>
          <w:sz w:val="24"/>
          <w:szCs w:val="24"/>
        </w:rPr>
      </w:pPr>
      <w:r w:rsidRPr="00A23C1F">
        <w:rPr>
          <w:rFonts w:ascii="Arial" w:hAnsi="Arial" w:cs="Arial"/>
          <w:sz w:val="24"/>
          <w:szCs w:val="24"/>
          <w:lang w:val="es-CO"/>
        </w:rPr>
        <w:t xml:space="preserve">31. </w:t>
      </w:r>
      <w:r w:rsidRPr="00A23C1F">
        <w:rPr>
          <w:rFonts w:ascii="Arial" w:hAnsi="Arial" w:cs="Arial"/>
          <w:sz w:val="24"/>
          <w:szCs w:val="24"/>
        </w:rPr>
        <w:t>El 30 de enero de 2013 se corrió traslado a las partes para presentar alegatos de conclusión en segunda instancia</w:t>
      </w:r>
      <w:r w:rsidRPr="00A23C1F">
        <w:rPr>
          <w:rStyle w:val="Refdenotaalpie"/>
          <w:rFonts w:ascii="Arial" w:hAnsi="Arial" w:cs="Arial"/>
          <w:sz w:val="24"/>
          <w:szCs w:val="24"/>
        </w:rPr>
        <w:footnoteReference w:id="10"/>
      </w:r>
      <w:r w:rsidRPr="00A23C1F">
        <w:rPr>
          <w:rFonts w:ascii="Arial" w:hAnsi="Arial" w:cs="Arial"/>
          <w:sz w:val="24"/>
          <w:szCs w:val="24"/>
        </w:rPr>
        <w:t xml:space="preserve">. </w:t>
      </w:r>
    </w:p>
    <w:p w14:paraId="353E5051" w14:textId="77777777" w:rsidR="00392470" w:rsidRPr="00A23C1F" w:rsidRDefault="00392470" w:rsidP="00392470">
      <w:pPr>
        <w:spacing w:line="360" w:lineRule="auto"/>
        <w:contextualSpacing/>
        <w:jc w:val="both"/>
        <w:rPr>
          <w:rFonts w:ascii="Arial" w:hAnsi="Arial" w:cs="Arial"/>
          <w:sz w:val="24"/>
          <w:szCs w:val="24"/>
        </w:rPr>
      </w:pPr>
    </w:p>
    <w:p w14:paraId="329C0E2A" w14:textId="77777777" w:rsidR="00392470" w:rsidRPr="00A23C1F" w:rsidRDefault="00392470" w:rsidP="00392470">
      <w:pPr>
        <w:spacing w:line="360" w:lineRule="auto"/>
        <w:contextualSpacing/>
        <w:jc w:val="both"/>
        <w:rPr>
          <w:rFonts w:ascii="Arial" w:hAnsi="Arial" w:cs="Arial"/>
          <w:sz w:val="24"/>
          <w:szCs w:val="24"/>
        </w:rPr>
      </w:pPr>
      <w:r w:rsidRPr="00A23C1F">
        <w:rPr>
          <w:rFonts w:ascii="Arial" w:hAnsi="Arial" w:cs="Arial"/>
          <w:sz w:val="24"/>
          <w:szCs w:val="24"/>
          <w:lang w:val="es-CO"/>
        </w:rPr>
        <w:t xml:space="preserve">32. </w:t>
      </w:r>
      <w:r w:rsidRPr="00A23C1F">
        <w:rPr>
          <w:rFonts w:ascii="Arial" w:hAnsi="Arial" w:cs="Arial"/>
          <w:sz w:val="24"/>
          <w:szCs w:val="24"/>
        </w:rPr>
        <w:t xml:space="preserve">Por medio de memorial radicado en esta Corporación el 13 de marzo de 2013, el </w:t>
      </w:r>
      <w:proofErr w:type="spellStart"/>
      <w:r w:rsidRPr="00A23C1F">
        <w:rPr>
          <w:rFonts w:ascii="Arial" w:hAnsi="Arial" w:cs="Arial"/>
          <w:sz w:val="24"/>
          <w:szCs w:val="24"/>
        </w:rPr>
        <w:t>Invías</w:t>
      </w:r>
      <w:proofErr w:type="spellEnd"/>
      <w:r w:rsidRPr="00A23C1F">
        <w:rPr>
          <w:rFonts w:ascii="Arial" w:hAnsi="Arial" w:cs="Arial"/>
          <w:sz w:val="24"/>
          <w:szCs w:val="24"/>
        </w:rPr>
        <w:t xml:space="preserve"> presentó </w:t>
      </w:r>
      <w:r w:rsidRPr="00A23C1F">
        <w:rPr>
          <w:rFonts w:ascii="Arial" w:hAnsi="Arial" w:cs="Arial"/>
          <w:b/>
          <w:sz w:val="24"/>
          <w:szCs w:val="24"/>
        </w:rPr>
        <w:t>alegatos de conclusión en segunda instancia.</w:t>
      </w:r>
      <w:r w:rsidRPr="00A23C1F">
        <w:rPr>
          <w:rFonts w:ascii="Arial" w:hAnsi="Arial" w:cs="Arial"/>
          <w:sz w:val="24"/>
          <w:szCs w:val="24"/>
        </w:rPr>
        <w:t xml:space="preserve"> En los alegatos, reiteró los argumentos expuestos en los escritos de contestación y apelación</w:t>
      </w:r>
      <w:r w:rsidRPr="00A23C1F">
        <w:rPr>
          <w:rStyle w:val="Refdenotaalpie"/>
          <w:rFonts w:ascii="Arial" w:hAnsi="Arial" w:cs="Arial"/>
          <w:sz w:val="24"/>
          <w:szCs w:val="24"/>
        </w:rPr>
        <w:footnoteReference w:id="11"/>
      </w:r>
      <w:r w:rsidRPr="00A23C1F">
        <w:rPr>
          <w:rFonts w:ascii="Arial" w:hAnsi="Arial" w:cs="Arial"/>
          <w:sz w:val="24"/>
          <w:szCs w:val="24"/>
        </w:rPr>
        <w:t>. La parte demandante guardó silencio.</w:t>
      </w:r>
    </w:p>
    <w:p w14:paraId="27D839D3"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2D2F21F4" w14:textId="77777777" w:rsidR="00392470" w:rsidRPr="00A23C1F" w:rsidRDefault="00392470" w:rsidP="00392470">
      <w:pPr>
        <w:spacing w:line="360" w:lineRule="auto"/>
        <w:contextualSpacing/>
        <w:jc w:val="both"/>
        <w:rPr>
          <w:rFonts w:ascii="Arial" w:hAnsi="Arial" w:cs="Arial"/>
          <w:sz w:val="24"/>
          <w:szCs w:val="24"/>
        </w:rPr>
      </w:pPr>
      <w:r w:rsidRPr="00A23C1F">
        <w:rPr>
          <w:rFonts w:ascii="Arial" w:hAnsi="Arial" w:cs="Arial"/>
          <w:sz w:val="24"/>
          <w:szCs w:val="24"/>
          <w:lang w:val="es-CO"/>
        </w:rPr>
        <w:t xml:space="preserve">33. </w:t>
      </w:r>
      <w:r w:rsidRPr="00A23C1F">
        <w:rPr>
          <w:rFonts w:ascii="Arial" w:hAnsi="Arial" w:cs="Arial"/>
          <w:sz w:val="24"/>
          <w:szCs w:val="24"/>
        </w:rPr>
        <w:t>El 27 de junio de 2019, el consejero Ramiro Pazos Guerrero manifestó su impedimento para conocer de este asunto, dado que conoció este proceso en su condición de magistrado del Tribunal Administrativo de Cundinamarca</w:t>
      </w:r>
      <w:r w:rsidRPr="00A23C1F">
        <w:rPr>
          <w:rStyle w:val="Refdenotaalpie"/>
          <w:rFonts w:ascii="Arial" w:hAnsi="Arial" w:cs="Arial"/>
          <w:sz w:val="24"/>
          <w:szCs w:val="24"/>
        </w:rPr>
        <w:footnoteReference w:id="12"/>
      </w:r>
      <w:r w:rsidRPr="00A23C1F">
        <w:rPr>
          <w:rFonts w:ascii="Arial" w:hAnsi="Arial" w:cs="Arial"/>
          <w:sz w:val="24"/>
          <w:szCs w:val="24"/>
        </w:rPr>
        <w:t>. El impedimento fue aceptado mediante Auto de 10 de julio de 2019</w:t>
      </w:r>
      <w:r w:rsidRPr="00A23C1F">
        <w:rPr>
          <w:rStyle w:val="Refdenotaalpie"/>
          <w:rFonts w:ascii="Arial" w:hAnsi="Arial" w:cs="Arial"/>
          <w:sz w:val="24"/>
          <w:szCs w:val="24"/>
        </w:rPr>
        <w:footnoteReference w:id="13"/>
      </w:r>
      <w:r w:rsidRPr="00A23C1F">
        <w:rPr>
          <w:rFonts w:ascii="Arial" w:hAnsi="Arial" w:cs="Arial"/>
          <w:sz w:val="24"/>
          <w:szCs w:val="24"/>
        </w:rPr>
        <w:t>.</w:t>
      </w:r>
    </w:p>
    <w:p w14:paraId="0436605E" w14:textId="77777777" w:rsidR="00392470" w:rsidRPr="00A23C1F" w:rsidRDefault="00392470" w:rsidP="00392470">
      <w:pPr>
        <w:spacing w:line="360" w:lineRule="auto"/>
        <w:contextualSpacing/>
        <w:jc w:val="both"/>
        <w:rPr>
          <w:rFonts w:ascii="Arial" w:hAnsi="Arial" w:cs="Arial"/>
          <w:sz w:val="24"/>
          <w:szCs w:val="24"/>
        </w:rPr>
      </w:pPr>
    </w:p>
    <w:p w14:paraId="351B97A4" w14:textId="77777777" w:rsidR="00392470" w:rsidRPr="00A23C1F" w:rsidRDefault="00392470" w:rsidP="00392470">
      <w:pPr>
        <w:spacing w:line="360" w:lineRule="auto"/>
        <w:contextualSpacing/>
        <w:jc w:val="both"/>
        <w:rPr>
          <w:rFonts w:ascii="Arial" w:hAnsi="Arial" w:cs="Arial"/>
          <w:sz w:val="24"/>
          <w:szCs w:val="24"/>
        </w:rPr>
      </w:pPr>
    </w:p>
    <w:p w14:paraId="7E954FD5" w14:textId="77777777" w:rsidR="00392470" w:rsidRPr="00A23C1F" w:rsidRDefault="00392470" w:rsidP="00392470">
      <w:pPr>
        <w:spacing w:line="360" w:lineRule="auto"/>
        <w:contextualSpacing/>
        <w:jc w:val="both"/>
        <w:rPr>
          <w:rFonts w:ascii="Arial" w:hAnsi="Arial" w:cs="Arial"/>
          <w:sz w:val="24"/>
          <w:szCs w:val="24"/>
        </w:rPr>
      </w:pPr>
    </w:p>
    <w:p w14:paraId="412495BD" w14:textId="77777777" w:rsidR="00392470" w:rsidRPr="00A23C1F" w:rsidRDefault="00392470" w:rsidP="00392470">
      <w:pPr>
        <w:spacing w:line="360" w:lineRule="auto"/>
        <w:contextualSpacing/>
        <w:jc w:val="both"/>
        <w:rPr>
          <w:rFonts w:ascii="Arial" w:hAnsi="Arial" w:cs="Arial"/>
          <w:sz w:val="24"/>
          <w:szCs w:val="24"/>
        </w:rPr>
      </w:pPr>
    </w:p>
    <w:p w14:paraId="33915B23" w14:textId="77777777" w:rsidR="00392470" w:rsidRPr="00A23C1F" w:rsidRDefault="00392470" w:rsidP="00392470">
      <w:pPr>
        <w:spacing w:line="360" w:lineRule="auto"/>
        <w:contextualSpacing/>
        <w:jc w:val="both"/>
        <w:rPr>
          <w:rFonts w:ascii="Arial" w:hAnsi="Arial" w:cs="Arial"/>
          <w:sz w:val="24"/>
          <w:szCs w:val="24"/>
        </w:rPr>
      </w:pPr>
    </w:p>
    <w:p w14:paraId="6A6221A2" w14:textId="77777777" w:rsidR="00392470" w:rsidRPr="00A23C1F" w:rsidRDefault="00392470" w:rsidP="00392470">
      <w:pPr>
        <w:spacing w:line="360" w:lineRule="auto"/>
        <w:contextualSpacing/>
        <w:jc w:val="both"/>
        <w:rPr>
          <w:rFonts w:ascii="Arial" w:hAnsi="Arial" w:cs="Arial"/>
          <w:sz w:val="24"/>
          <w:szCs w:val="24"/>
        </w:rPr>
      </w:pPr>
    </w:p>
    <w:p w14:paraId="51B12E79" w14:textId="77777777" w:rsidR="00392470" w:rsidRPr="00A23C1F" w:rsidRDefault="00392470" w:rsidP="00392470">
      <w:pPr>
        <w:spacing w:line="360" w:lineRule="auto"/>
        <w:ind w:right="-142"/>
        <w:contextualSpacing/>
        <w:jc w:val="center"/>
        <w:rPr>
          <w:rFonts w:ascii="Arial" w:hAnsi="Arial" w:cs="Arial"/>
          <w:b/>
          <w:sz w:val="24"/>
          <w:szCs w:val="24"/>
        </w:rPr>
      </w:pPr>
      <w:r w:rsidRPr="00A23C1F">
        <w:rPr>
          <w:rFonts w:ascii="Arial" w:hAnsi="Arial" w:cs="Arial"/>
          <w:b/>
          <w:sz w:val="24"/>
          <w:szCs w:val="24"/>
        </w:rPr>
        <w:t>2.- CONSIDERACIONES</w:t>
      </w:r>
    </w:p>
    <w:p w14:paraId="1550C402" w14:textId="77777777" w:rsidR="00392470" w:rsidRPr="00A23C1F" w:rsidRDefault="00392470" w:rsidP="00392470">
      <w:pPr>
        <w:spacing w:line="360" w:lineRule="auto"/>
        <w:contextualSpacing/>
        <w:jc w:val="both"/>
        <w:rPr>
          <w:rFonts w:ascii="Arial" w:hAnsi="Arial" w:cs="Arial"/>
          <w:sz w:val="24"/>
          <w:szCs w:val="24"/>
        </w:rPr>
      </w:pPr>
    </w:p>
    <w:p w14:paraId="567C315B" w14:textId="77777777" w:rsidR="00392470" w:rsidRPr="00A23C1F" w:rsidRDefault="00392470" w:rsidP="00392470">
      <w:pPr>
        <w:ind w:right="-142"/>
        <w:contextualSpacing/>
        <w:jc w:val="both"/>
        <w:rPr>
          <w:rFonts w:ascii="Arial" w:hAnsi="Arial" w:cs="Arial"/>
          <w:sz w:val="24"/>
          <w:szCs w:val="24"/>
        </w:rPr>
      </w:pPr>
      <w:r w:rsidRPr="00A23C1F">
        <w:rPr>
          <w:rFonts w:ascii="Arial" w:hAnsi="Arial" w:cs="Arial"/>
          <w:sz w:val="24"/>
          <w:szCs w:val="24"/>
        </w:rPr>
        <w:t xml:space="preserve">Contenido: 2.1. Jurisdicción y competencia – 2.2. Hechos probados – 2.3. El problema jurídico – 2.4. El caso concreto – 2.5. Sobre la condena en costas </w:t>
      </w:r>
    </w:p>
    <w:p w14:paraId="757E4579" w14:textId="77777777" w:rsidR="00392470" w:rsidRPr="00A23C1F" w:rsidRDefault="00392470" w:rsidP="00392470">
      <w:pPr>
        <w:spacing w:line="360" w:lineRule="auto"/>
        <w:contextualSpacing/>
        <w:jc w:val="both"/>
        <w:rPr>
          <w:rFonts w:ascii="Arial" w:hAnsi="Arial" w:cs="Arial"/>
          <w:sz w:val="24"/>
          <w:szCs w:val="24"/>
        </w:rPr>
      </w:pPr>
    </w:p>
    <w:p w14:paraId="083C35DC" w14:textId="77777777" w:rsidR="00392470" w:rsidRPr="00A23C1F" w:rsidRDefault="00392470" w:rsidP="00392470">
      <w:pPr>
        <w:spacing w:line="360" w:lineRule="auto"/>
        <w:ind w:right="-142"/>
        <w:contextualSpacing/>
        <w:jc w:val="both"/>
        <w:rPr>
          <w:rFonts w:ascii="Arial" w:hAnsi="Arial" w:cs="Arial"/>
          <w:b/>
          <w:sz w:val="24"/>
          <w:szCs w:val="24"/>
        </w:rPr>
      </w:pPr>
      <w:r w:rsidRPr="00A23C1F">
        <w:rPr>
          <w:rFonts w:ascii="Arial" w:hAnsi="Arial" w:cs="Arial"/>
          <w:b/>
          <w:sz w:val="24"/>
          <w:szCs w:val="24"/>
        </w:rPr>
        <w:t xml:space="preserve">2.1. Jurisdicción y competencia </w:t>
      </w:r>
    </w:p>
    <w:p w14:paraId="08EAF8FD" w14:textId="77777777" w:rsidR="00392470" w:rsidRPr="00A23C1F" w:rsidRDefault="00392470" w:rsidP="00392470">
      <w:pPr>
        <w:spacing w:line="360" w:lineRule="auto"/>
        <w:contextualSpacing/>
        <w:jc w:val="both"/>
        <w:rPr>
          <w:rFonts w:ascii="Arial" w:hAnsi="Arial" w:cs="Arial"/>
          <w:sz w:val="24"/>
          <w:szCs w:val="24"/>
        </w:rPr>
      </w:pPr>
    </w:p>
    <w:p w14:paraId="395EC100" w14:textId="77777777" w:rsidR="00392470" w:rsidRPr="00A23C1F" w:rsidRDefault="00392470" w:rsidP="00392470">
      <w:pPr>
        <w:spacing w:line="360" w:lineRule="auto"/>
        <w:contextualSpacing/>
        <w:jc w:val="both"/>
        <w:rPr>
          <w:rFonts w:ascii="Arial" w:hAnsi="Arial" w:cs="Arial"/>
          <w:sz w:val="24"/>
          <w:szCs w:val="24"/>
        </w:rPr>
      </w:pPr>
      <w:r w:rsidRPr="00A23C1F">
        <w:rPr>
          <w:rFonts w:ascii="Arial" w:hAnsi="Arial" w:cs="Arial"/>
          <w:sz w:val="24"/>
          <w:szCs w:val="24"/>
        </w:rPr>
        <w:lastRenderedPageBreak/>
        <w:t xml:space="preserve">34. De acuerdo con el artículo 82 del Código Contencioso Administrativo (CCA): </w:t>
      </w:r>
      <w:r w:rsidRPr="00A23C1F">
        <w:rPr>
          <w:rFonts w:ascii="Arial" w:hAnsi="Arial" w:cs="Arial"/>
          <w:i/>
          <w:sz w:val="24"/>
          <w:szCs w:val="24"/>
        </w:rPr>
        <w:t xml:space="preserve">“la jurisdicción de lo contencioso administrativo está instituida para juzgar las controversias y litigios administrativos originados en la actividad de las entidades públicas y de las personas privadas que desempeñen funciones propias de los distintos órganos del Estado. Se ejerce por el Consejo de Estado, los </w:t>
      </w:r>
      <w:proofErr w:type="gramStart"/>
      <w:r w:rsidRPr="00A23C1F">
        <w:rPr>
          <w:rFonts w:ascii="Arial" w:hAnsi="Arial" w:cs="Arial"/>
          <w:i/>
          <w:sz w:val="24"/>
          <w:szCs w:val="24"/>
        </w:rPr>
        <w:t>tribunales administrativos y los juzgados administrativos</w:t>
      </w:r>
      <w:proofErr w:type="gramEnd"/>
      <w:r w:rsidRPr="00A23C1F">
        <w:rPr>
          <w:rFonts w:ascii="Arial" w:hAnsi="Arial" w:cs="Arial"/>
          <w:i/>
          <w:sz w:val="24"/>
          <w:szCs w:val="24"/>
        </w:rPr>
        <w:t xml:space="preserve"> de conformidad con la constitución y la ley”</w:t>
      </w:r>
      <w:r w:rsidRPr="00A23C1F">
        <w:rPr>
          <w:rFonts w:ascii="Arial" w:hAnsi="Arial" w:cs="Arial"/>
          <w:sz w:val="24"/>
          <w:szCs w:val="24"/>
        </w:rPr>
        <w:t>. Así mismo, el artículo 75 de la Ley 80 de 1993 prevé que “</w:t>
      </w:r>
      <w:r w:rsidRPr="00A23C1F">
        <w:rPr>
          <w:rFonts w:ascii="Arial" w:hAnsi="Arial" w:cs="Arial"/>
          <w:i/>
          <w:sz w:val="24"/>
          <w:szCs w:val="24"/>
        </w:rPr>
        <w:t xml:space="preserve">el juez competente para conocer de las controversias derivadas de los contratos estatales (…) será el de la jurisdicción </w:t>
      </w:r>
      <w:proofErr w:type="gramStart"/>
      <w:r w:rsidRPr="00A23C1F">
        <w:rPr>
          <w:rFonts w:ascii="Arial" w:hAnsi="Arial" w:cs="Arial"/>
          <w:i/>
          <w:sz w:val="24"/>
          <w:szCs w:val="24"/>
        </w:rPr>
        <w:t>contencioso administrativa</w:t>
      </w:r>
      <w:proofErr w:type="gramEnd"/>
      <w:r w:rsidRPr="00A23C1F">
        <w:rPr>
          <w:rFonts w:ascii="Arial" w:hAnsi="Arial" w:cs="Arial"/>
          <w:i/>
          <w:sz w:val="24"/>
          <w:szCs w:val="24"/>
        </w:rPr>
        <w:t>”.</w:t>
      </w:r>
    </w:p>
    <w:p w14:paraId="031EF498" w14:textId="77777777" w:rsidR="00392470" w:rsidRPr="00A23C1F" w:rsidRDefault="00392470" w:rsidP="00392470">
      <w:pPr>
        <w:spacing w:line="360" w:lineRule="auto"/>
        <w:ind w:right="-142"/>
        <w:contextualSpacing/>
        <w:jc w:val="both"/>
        <w:rPr>
          <w:rFonts w:ascii="Arial" w:hAnsi="Arial" w:cs="Arial"/>
          <w:b/>
          <w:sz w:val="24"/>
          <w:szCs w:val="24"/>
        </w:rPr>
      </w:pPr>
    </w:p>
    <w:p w14:paraId="559A2BA8" w14:textId="77777777" w:rsidR="00392470" w:rsidRPr="00A23C1F" w:rsidRDefault="00392470" w:rsidP="00392470">
      <w:pPr>
        <w:spacing w:line="360" w:lineRule="auto"/>
        <w:ind w:right="-142"/>
        <w:contextualSpacing/>
        <w:jc w:val="both"/>
        <w:rPr>
          <w:rFonts w:ascii="Arial" w:hAnsi="Arial" w:cs="Arial"/>
          <w:sz w:val="24"/>
          <w:szCs w:val="24"/>
        </w:rPr>
      </w:pPr>
      <w:r w:rsidRPr="00A23C1F">
        <w:rPr>
          <w:rFonts w:ascii="Arial" w:hAnsi="Arial" w:cs="Arial"/>
          <w:sz w:val="24"/>
          <w:szCs w:val="24"/>
        </w:rPr>
        <w:t xml:space="preserve">35. Por consiguiente, en vista de que en la demanda presentada por </w:t>
      </w:r>
      <w:proofErr w:type="spellStart"/>
      <w:r w:rsidRPr="00A23C1F">
        <w:rPr>
          <w:rFonts w:ascii="Arial" w:hAnsi="Arial" w:cs="Arial"/>
          <w:sz w:val="24"/>
          <w:szCs w:val="24"/>
        </w:rPr>
        <w:t>Icagel</w:t>
      </w:r>
      <w:proofErr w:type="spellEnd"/>
      <w:r w:rsidRPr="00A23C1F">
        <w:rPr>
          <w:rFonts w:ascii="Arial" w:hAnsi="Arial" w:cs="Arial"/>
          <w:sz w:val="24"/>
          <w:szCs w:val="24"/>
        </w:rPr>
        <w:t xml:space="preserve"> Ltda. y Eduardo Garzón Alarcón se elevan pretensiones de nulidad y restablecimiento del derecho de un acto administrativo proferido por una entidad pública con ocasión de una licitación pública, el presente asunto es de conocimiento de la </w:t>
      </w:r>
      <w:r w:rsidRPr="00A23C1F">
        <w:rPr>
          <w:rFonts w:ascii="Arial" w:hAnsi="Arial" w:cs="Arial"/>
          <w:b/>
          <w:sz w:val="24"/>
          <w:szCs w:val="24"/>
        </w:rPr>
        <w:t>jurisdicción</w:t>
      </w:r>
      <w:r w:rsidRPr="00A23C1F">
        <w:rPr>
          <w:rFonts w:ascii="Arial" w:hAnsi="Arial" w:cs="Arial"/>
          <w:sz w:val="24"/>
          <w:szCs w:val="24"/>
        </w:rPr>
        <w:t xml:space="preserve"> </w:t>
      </w:r>
      <w:r w:rsidRPr="00A23C1F">
        <w:rPr>
          <w:rFonts w:ascii="Arial" w:hAnsi="Arial" w:cs="Arial"/>
          <w:b/>
          <w:sz w:val="24"/>
          <w:szCs w:val="24"/>
        </w:rPr>
        <w:t>de lo contencioso administrativo</w:t>
      </w:r>
      <w:r w:rsidRPr="00A23C1F">
        <w:rPr>
          <w:rFonts w:ascii="Arial" w:hAnsi="Arial" w:cs="Arial"/>
          <w:sz w:val="24"/>
          <w:szCs w:val="24"/>
        </w:rPr>
        <w:t>.</w:t>
      </w:r>
    </w:p>
    <w:p w14:paraId="1689ADF8" w14:textId="77777777" w:rsidR="00392470" w:rsidRPr="00A23C1F" w:rsidRDefault="00392470" w:rsidP="00392470">
      <w:pPr>
        <w:spacing w:line="360" w:lineRule="auto"/>
        <w:ind w:right="-142"/>
        <w:contextualSpacing/>
        <w:jc w:val="both"/>
        <w:rPr>
          <w:rFonts w:ascii="Arial" w:hAnsi="Arial" w:cs="Arial"/>
          <w:sz w:val="24"/>
          <w:szCs w:val="24"/>
        </w:rPr>
      </w:pPr>
    </w:p>
    <w:p w14:paraId="3AE3B6B8" w14:textId="77777777" w:rsidR="00392470" w:rsidRPr="00A23C1F" w:rsidRDefault="00392470" w:rsidP="00392470">
      <w:pPr>
        <w:spacing w:line="360" w:lineRule="auto"/>
        <w:ind w:right="-142"/>
        <w:contextualSpacing/>
        <w:jc w:val="both"/>
        <w:rPr>
          <w:rFonts w:ascii="Arial" w:hAnsi="Arial" w:cs="Arial"/>
          <w:sz w:val="24"/>
          <w:szCs w:val="24"/>
        </w:rPr>
      </w:pPr>
      <w:r w:rsidRPr="00A23C1F">
        <w:rPr>
          <w:rFonts w:ascii="Arial" w:hAnsi="Arial" w:cs="Arial"/>
          <w:sz w:val="24"/>
          <w:szCs w:val="24"/>
        </w:rPr>
        <w:t xml:space="preserve">36. El Consejo de Estado es </w:t>
      </w:r>
      <w:r w:rsidRPr="00A23C1F">
        <w:rPr>
          <w:rFonts w:ascii="Arial" w:hAnsi="Arial" w:cs="Arial"/>
          <w:b/>
          <w:sz w:val="24"/>
          <w:szCs w:val="24"/>
        </w:rPr>
        <w:t>competente</w:t>
      </w:r>
      <w:r w:rsidRPr="00A23C1F">
        <w:rPr>
          <w:rFonts w:ascii="Arial" w:hAnsi="Arial" w:cs="Arial"/>
          <w:sz w:val="24"/>
          <w:szCs w:val="24"/>
        </w:rPr>
        <w:t xml:space="preserve"> para conocer del presente asunto en virtud del recurso de apelación interpuesto por la parte demandada, en un proceso con vocación de segunda instancia ante esta Corporación, de conformidad con lo establecido en el artículo 129 del CCA</w:t>
      </w:r>
      <w:r w:rsidRPr="00A23C1F">
        <w:rPr>
          <w:rStyle w:val="Refdenotaalpie"/>
          <w:rFonts w:ascii="Arial" w:hAnsi="Arial" w:cs="Arial"/>
          <w:sz w:val="24"/>
          <w:szCs w:val="24"/>
        </w:rPr>
        <w:footnoteReference w:id="14"/>
      </w:r>
      <w:r w:rsidRPr="00A23C1F">
        <w:rPr>
          <w:rFonts w:ascii="Arial" w:hAnsi="Arial" w:cs="Arial"/>
          <w:sz w:val="24"/>
          <w:szCs w:val="24"/>
        </w:rPr>
        <w:t>.</w:t>
      </w:r>
    </w:p>
    <w:p w14:paraId="4CE59074" w14:textId="77777777" w:rsidR="00392470" w:rsidRPr="00A23C1F" w:rsidRDefault="00392470" w:rsidP="00392470">
      <w:pPr>
        <w:spacing w:line="360" w:lineRule="auto"/>
        <w:ind w:right="-142"/>
        <w:contextualSpacing/>
        <w:jc w:val="both"/>
        <w:rPr>
          <w:rFonts w:ascii="Arial" w:hAnsi="Arial" w:cs="Arial"/>
          <w:b/>
          <w:sz w:val="24"/>
          <w:szCs w:val="24"/>
        </w:rPr>
      </w:pPr>
      <w:r w:rsidRPr="00A23C1F">
        <w:rPr>
          <w:rFonts w:ascii="Arial" w:hAnsi="Arial" w:cs="Arial"/>
          <w:b/>
          <w:sz w:val="24"/>
          <w:szCs w:val="24"/>
        </w:rPr>
        <w:t xml:space="preserve">2.2. Hechos probados </w:t>
      </w:r>
    </w:p>
    <w:p w14:paraId="1DE3834A" w14:textId="77777777" w:rsidR="00392470" w:rsidRPr="00A23C1F" w:rsidRDefault="00392470" w:rsidP="00392470">
      <w:pPr>
        <w:spacing w:line="360" w:lineRule="auto"/>
        <w:ind w:right="-142"/>
        <w:contextualSpacing/>
        <w:jc w:val="both"/>
        <w:rPr>
          <w:rFonts w:ascii="Arial" w:hAnsi="Arial" w:cs="Arial"/>
          <w:sz w:val="24"/>
          <w:szCs w:val="24"/>
        </w:rPr>
      </w:pPr>
    </w:p>
    <w:p w14:paraId="3C307CDC" w14:textId="77777777" w:rsidR="00392470" w:rsidRPr="00A23C1F" w:rsidRDefault="00392470" w:rsidP="00392470">
      <w:pPr>
        <w:spacing w:line="360" w:lineRule="auto"/>
        <w:ind w:right="-142"/>
        <w:contextualSpacing/>
        <w:jc w:val="both"/>
        <w:rPr>
          <w:rFonts w:ascii="Arial" w:hAnsi="Arial" w:cs="Arial"/>
          <w:sz w:val="24"/>
          <w:szCs w:val="24"/>
        </w:rPr>
      </w:pPr>
      <w:r w:rsidRPr="00A23C1F">
        <w:rPr>
          <w:rFonts w:ascii="Arial" w:hAnsi="Arial" w:cs="Arial"/>
          <w:sz w:val="24"/>
          <w:szCs w:val="24"/>
        </w:rPr>
        <w:t xml:space="preserve">37. El 3 de agosto de 2007, el </w:t>
      </w:r>
      <w:proofErr w:type="spellStart"/>
      <w:r w:rsidRPr="00A23C1F">
        <w:rPr>
          <w:rFonts w:ascii="Arial" w:hAnsi="Arial" w:cs="Arial"/>
          <w:sz w:val="24"/>
          <w:szCs w:val="24"/>
        </w:rPr>
        <w:t>Invías</w:t>
      </w:r>
      <w:proofErr w:type="spellEnd"/>
      <w:r w:rsidRPr="00A23C1F">
        <w:rPr>
          <w:rFonts w:ascii="Arial" w:hAnsi="Arial" w:cs="Arial"/>
          <w:sz w:val="24"/>
          <w:szCs w:val="24"/>
        </w:rPr>
        <w:t xml:space="preserve"> expidió la Resolución No. 3562, por medio de la cual ordenó la apertura de la licitación pública No. SRN-085-2007</w:t>
      </w:r>
      <w:r w:rsidRPr="00A23C1F">
        <w:rPr>
          <w:rStyle w:val="Refdenotaalpie"/>
          <w:rFonts w:ascii="Arial" w:hAnsi="Arial" w:cs="Arial"/>
          <w:sz w:val="24"/>
          <w:szCs w:val="24"/>
        </w:rPr>
        <w:footnoteReference w:id="15"/>
      </w:r>
      <w:r w:rsidRPr="00A23C1F">
        <w:rPr>
          <w:rFonts w:ascii="Arial" w:hAnsi="Arial" w:cs="Arial"/>
          <w:sz w:val="24"/>
          <w:szCs w:val="24"/>
        </w:rPr>
        <w:t>. De conformidad con el pliego de condiciones, el objeto de la licitación consistía en contratar la rehabilitación y conservación de varios puentes. La licitación se desagregó en 5 módulos, así (se trascribe)</w:t>
      </w:r>
      <w:r w:rsidRPr="00A23C1F">
        <w:rPr>
          <w:rStyle w:val="Refdenotaalpie"/>
          <w:rFonts w:ascii="Arial" w:hAnsi="Arial" w:cs="Arial"/>
          <w:sz w:val="24"/>
          <w:szCs w:val="24"/>
        </w:rPr>
        <w:footnoteReference w:id="16"/>
      </w:r>
      <w:r w:rsidRPr="00A23C1F">
        <w:rPr>
          <w:rFonts w:ascii="Arial" w:hAnsi="Arial" w:cs="Arial"/>
          <w:sz w:val="24"/>
          <w:szCs w:val="24"/>
        </w:rPr>
        <w:t>:</w:t>
      </w:r>
    </w:p>
    <w:p w14:paraId="2B32C8A2" w14:textId="77777777" w:rsidR="00392470" w:rsidRPr="00A23C1F" w:rsidRDefault="00392470" w:rsidP="00392470">
      <w:pPr>
        <w:spacing w:line="360" w:lineRule="auto"/>
        <w:ind w:right="-142"/>
        <w:contextualSpacing/>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2964"/>
        <w:gridCol w:w="2947"/>
      </w:tblGrid>
      <w:tr w:rsidR="00392470" w:rsidRPr="00A23C1F" w14:paraId="70C791D6" w14:textId="77777777" w:rsidTr="00CB55A4">
        <w:tc>
          <w:tcPr>
            <w:tcW w:w="2993" w:type="dxa"/>
            <w:shd w:val="clear" w:color="auto" w:fill="auto"/>
          </w:tcPr>
          <w:p w14:paraId="5647B7FB" w14:textId="77777777" w:rsidR="00392470" w:rsidRPr="00A23C1F" w:rsidRDefault="00392470" w:rsidP="00CB55A4">
            <w:pPr>
              <w:spacing w:line="276" w:lineRule="auto"/>
              <w:contextualSpacing/>
              <w:jc w:val="center"/>
              <w:rPr>
                <w:rFonts w:ascii="Arial" w:hAnsi="Arial" w:cs="Arial"/>
                <w:i/>
                <w:sz w:val="24"/>
                <w:szCs w:val="24"/>
              </w:rPr>
            </w:pPr>
            <w:r w:rsidRPr="00A23C1F">
              <w:rPr>
                <w:rFonts w:ascii="Arial" w:hAnsi="Arial" w:cs="Arial"/>
                <w:i/>
                <w:sz w:val="24"/>
                <w:szCs w:val="24"/>
              </w:rPr>
              <w:t>Módulo</w:t>
            </w:r>
          </w:p>
        </w:tc>
        <w:tc>
          <w:tcPr>
            <w:tcW w:w="2993" w:type="dxa"/>
            <w:shd w:val="clear" w:color="auto" w:fill="auto"/>
          </w:tcPr>
          <w:p w14:paraId="1869FCD1" w14:textId="77777777" w:rsidR="00392470" w:rsidRPr="00A23C1F" w:rsidRDefault="00392470" w:rsidP="00CB55A4">
            <w:pPr>
              <w:spacing w:line="276" w:lineRule="auto"/>
              <w:contextualSpacing/>
              <w:jc w:val="center"/>
              <w:rPr>
                <w:rFonts w:ascii="Arial" w:hAnsi="Arial" w:cs="Arial"/>
                <w:i/>
                <w:sz w:val="24"/>
                <w:szCs w:val="24"/>
              </w:rPr>
            </w:pPr>
            <w:r w:rsidRPr="00A23C1F">
              <w:rPr>
                <w:rFonts w:ascii="Arial" w:hAnsi="Arial" w:cs="Arial"/>
                <w:i/>
                <w:sz w:val="24"/>
                <w:szCs w:val="24"/>
              </w:rPr>
              <w:t>Nombre del Proyecto-Tramo(s)</w:t>
            </w:r>
          </w:p>
        </w:tc>
        <w:tc>
          <w:tcPr>
            <w:tcW w:w="2994" w:type="dxa"/>
            <w:shd w:val="clear" w:color="auto" w:fill="auto"/>
          </w:tcPr>
          <w:p w14:paraId="35148F3B" w14:textId="77777777" w:rsidR="00392470" w:rsidRPr="00A23C1F" w:rsidRDefault="00392470" w:rsidP="00CB55A4">
            <w:pPr>
              <w:spacing w:line="276" w:lineRule="auto"/>
              <w:contextualSpacing/>
              <w:jc w:val="center"/>
              <w:rPr>
                <w:rFonts w:ascii="Arial" w:hAnsi="Arial" w:cs="Arial"/>
                <w:i/>
                <w:sz w:val="24"/>
                <w:szCs w:val="24"/>
              </w:rPr>
            </w:pPr>
            <w:r w:rsidRPr="00A23C1F">
              <w:rPr>
                <w:rFonts w:ascii="Arial" w:hAnsi="Arial" w:cs="Arial"/>
                <w:i/>
                <w:sz w:val="24"/>
                <w:szCs w:val="24"/>
              </w:rPr>
              <w:t>Ubicación</w:t>
            </w:r>
          </w:p>
        </w:tc>
      </w:tr>
      <w:tr w:rsidR="00392470" w:rsidRPr="00A23C1F" w14:paraId="6DF21610" w14:textId="77777777" w:rsidTr="00CB55A4">
        <w:tc>
          <w:tcPr>
            <w:tcW w:w="2993" w:type="dxa"/>
            <w:shd w:val="clear" w:color="auto" w:fill="auto"/>
          </w:tcPr>
          <w:p w14:paraId="3332C2EB" w14:textId="77777777" w:rsidR="00392470" w:rsidRPr="00A23C1F" w:rsidRDefault="00392470" w:rsidP="00CB55A4">
            <w:pPr>
              <w:spacing w:line="276" w:lineRule="auto"/>
              <w:contextualSpacing/>
              <w:jc w:val="center"/>
              <w:rPr>
                <w:rFonts w:ascii="Arial" w:hAnsi="Arial" w:cs="Arial"/>
                <w:i/>
                <w:sz w:val="24"/>
                <w:szCs w:val="24"/>
              </w:rPr>
            </w:pPr>
          </w:p>
          <w:p w14:paraId="3D6C74BB" w14:textId="77777777" w:rsidR="00392470" w:rsidRPr="00A23C1F" w:rsidRDefault="00392470" w:rsidP="00CB55A4">
            <w:pPr>
              <w:spacing w:line="276" w:lineRule="auto"/>
              <w:contextualSpacing/>
              <w:jc w:val="center"/>
              <w:rPr>
                <w:rFonts w:ascii="Arial" w:hAnsi="Arial" w:cs="Arial"/>
                <w:i/>
                <w:sz w:val="24"/>
                <w:szCs w:val="24"/>
              </w:rPr>
            </w:pPr>
          </w:p>
          <w:p w14:paraId="04C70F17" w14:textId="77777777" w:rsidR="00392470" w:rsidRPr="00A23C1F" w:rsidRDefault="00392470" w:rsidP="00CB55A4">
            <w:pPr>
              <w:spacing w:line="276" w:lineRule="auto"/>
              <w:contextualSpacing/>
              <w:jc w:val="center"/>
              <w:rPr>
                <w:rFonts w:ascii="Arial" w:hAnsi="Arial" w:cs="Arial"/>
                <w:i/>
                <w:sz w:val="24"/>
                <w:szCs w:val="24"/>
              </w:rPr>
            </w:pPr>
            <w:r w:rsidRPr="00A23C1F">
              <w:rPr>
                <w:rFonts w:ascii="Arial" w:hAnsi="Arial" w:cs="Arial"/>
                <w:i/>
                <w:sz w:val="24"/>
                <w:szCs w:val="24"/>
              </w:rPr>
              <w:t>1</w:t>
            </w:r>
          </w:p>
        </w:tc>
        <w:tc>
          <w:tcPr>
            <w:tcW w:w="2993" w:type="dxa"/>
            <w:shd w:val="clear" w:color="auto" w:fill="auto"/>
          </w:tcPr>
          <w:p w14:paraId="639AA112" w14:textId="77777777" w:rsidR="00392470" w:rsidRPr="00A23C1F" w:rsidRDefault="00392470" w:rsidP="00CB55A4">
            <w:pPr>
              <w:spacing w:line="276" w:lineRule="auto"/>
              <w:contextualSpacing/>
              <w:jc w:val="center"/>
              <w:rPr>
                <w:rFonts w:ascii="Arial" w:hAnsi="Arial" w:cs="Arial"/>
                <w:i/>
                <w:sz w:val="24"/>
                <w:szCs w:val="24"/>
              </w:rPr>
            </w:pPr>
            <w:r w:rsidRPr="00A23C1F">
              <w:rPr>
                <w:rFonts w:ascii="Arial" w:hAnsi="Arial" w:cs="Arial"/>
                <w:i/>
                <w:sz w:val="24"/>
                <w:szCs w:val="24"/>
              </w:rPr>
              <w:t xml:space="preserve">REHABILITACIÓN Y CONSERVACIÓN DEL PUENTE CARANAL DE LA CARRETERA LA </w:t>
            </w:r>
            <w:r w:rsidRPr="00A23C1F">
              <w:rPr>
                <w:rFonts w:ascii="Arial" w:hAnsi="Arial" w:cs="Arial"/>
                <w:i/>
                <w:sz w:val="24"/>
                <w:szCs w:val="24"/>
              </w:rPr>
              <w:lastRenderedPageBreak/>
              <w:t>CABUYA – SARAVENA. RUTA 6515.</w:t>
            </w:r>
          </w:p>
        </w:tc>
        <w:tc>
          <w:tcPr>
            <w:tcW w:w="2994" w:type="dxa"/>
            <w:shd w:val="clear" w:color="auto" w:fill="auto"/>
          </w:tcPr>
          <w:p w14:paraId="3E2226D3" w14:textId="77777777" w:rsidR="00392470" w:rsidRPr="00A23C1F" w:rsidRDefault="00392470" w:rsidP="00CB55A4">
            <w:pPr>
              <w:spacing w:line="276" w:lineRule="auto"/>
              <w:contextualSpacing/>
              <w:jc w:val="center"/>
              <w:rPr>
                <w:rFonts w:ascii="Arial" w:hAnsi="Arial" w:cs="Arial"/>
                <w:i/>
                <w:sz w:val="24"/>
                <w:szCs w:val="24"/>
              </w:rPr>
            </w:pPr>
          </w:p>
          <w:p w14:paraId="3F384D16" w14:textId="77777777" w:rsidR="00392470" w:rsidRPr="00A23C1F" w:rsidRDefault="00392470" w:rsidP="00CB55A4">
            <w:pPr>
              <w:spacing w:line="276" w:lineRule="auto"/>
              <w:contextualSpacing/>
              <w:jc w:val="center"/>
              <w:rPr>
                <w:rFonts w:ascii="Arial" w:hAnsi="Arial" w:cs="Arial"/>
                <w:i/>
                <w:sz w:val="24"/>
                <w:szCs w:val="24"/>
              </w:rPr>
            </w:pPr>
            <w:r w:rsidRPr="00A23C1F">
              <w:rPr>
                <w:rFonts w:ascii="Arial" w:hAnsi="Arial" w:cs="Arial"/>
                <w:i/>
                <w:sz w:val="24"/>
                <w:szCs w:val="24"/>
              </w:rPr>
              <w:t>Departamento de Casanare</w:t>
            </w:r>
          </w:p>
        </w:tc>
      </w:tr>
      <w:tr w:rsidR="00392470" w:rsidRPr="00A23C1F" w14:paraId="6FAD46FC" w14:textId="77777777" w:rsidTr="00CB55A4">
        <w:tc>
          <w:tcPr>
            <w:tcW w:w="2993" w:type="dxa"/>
            <w:shd w:val="clear" w:color="auto" w:fill="auto"/>
          </w:tcPr>
          <w:p w14:paraId="7B45522E" w14:textId="77777777" w:rsidR="00392470" w:rsidRPr="00A23C1F" w:rsidRDefault="00392470" w:rsidP="00CB55A4">
            <w:pPr>
              <w:spacing w:line="276" w:lineRule="auto"/>
              <w:contextualSpacing/>
              <w:jc w:val="center"/>
              <w:rPr>
                <w:rFonts w:ascii="Arial" w:hAnsi="Arial" w:cs="Arial"/>
                <w:i/>
                <w:sz w:val="24"/>
                <w:szCs w:val="24"/>
              </w:rPr>
            </w:pPr>
          </w:p>
          <w:p w14:paraId="2D6E9DFB" w14:textId="77777777" w:rsidR="00392470" w:rsidRPr="00A23C1F" w:rsidRDefault="00392470" w:rsidP="00CB55A4">
            <w:pPr>
              <w:spacing w:line="276" w:lineRule="auto"/>
              <w:contextualSpacing/>
              <w:rPr>
                <w:rFonts w:ascii="Arial" w:hAnsi="Arial" w:cs="Arial"/>
                <w:i/>
                <w:sz w:val="24"/>
                <w:szCs w:val="24"/>
              </w:rPr>
            </w:pPr>
          </w:p>
          <w:p w14:paraId="07AF75FC" w14:textId="77777777" w:rsidR="00392470" w:rsidRPr="00A23C1F" w:rsidRDefault="00392470" w:rsidP="00CB55A4">
            <w:pPr>
              <w:spacing w:line="276" w:lineRule="auto"/>
              <w:contextualSpacing/>
              <w:jc w:val="center"/>
              <w:rPr>
                <w:rFonts w:ascii="Arial" w:hAnsi="Arial" w:cs="Arial"/>
                <w:i/>
                <w:sz w:val="24"/>
                <w:szCs w:val="24"/>
              </w:rPr>
            </w:pPr>
            <w:r w:rsidRPr="00A23C1F">
              <w:rPr>
                <w:rFonts w:ascii="Arial" w:hAnsi="Arial" w:cs="Arial"/>
                <w:i/>
                <w:sz w:val="24"/>
                <w:szCs w:val="24"/>
              </w:rPr>
              <w:t>2</w:t>
            </w:r>
          </w:p>
        </w:tc>
        <w:tc>
          <w:tcPr>
            <w:tcW w:w="2993" w:type="dxa"/>
            <w:shd w:val="clear" w:color="auto" w:fill="auto"/>
          </w:tcPr>
          <w:p w14:paraId="714E092E" w14:textId="77777777" w:rsidR="00392470" w:rsidRPr="00A23C1F" w:rsidRDefault="00392470" w:rsidP="00CB55A4">
            <w:pPr>
              <w:spacing w:line="276" w:lineRule="auto"/>
              <w:contextualSpacing/>
              <w:jc w:val="center"/>
              <w:rPr>
                <w:rFonts w:ascii="Arial" w:hAnsi="Arial" w:cs="Arial"/>
                <w:i/>
                <w:sz w:val="24"/>
                <w:szCs w:val="24"/>
              </w:rPr>
            </w:pPr>
            <w:r w:rsidRPr="00A23C1F">
              <w:rPr>
                <w:rFonts w:ascii="Arial" w:hAnsi="Arial" w:cs="Arial"/>
                <w:i/>
                <w:sz w:val="24"/>
                <w:szCs w:val="24"/>
              </w:rPr>
              <w:t>REHABILITACIÓN Y CONSERVACIÓN DEL PUENTE PUERTO BERRIO DE LA CARRETERA PUERTO ARAUJO – PUERTO BERRIO RUTA 6206</w:t>
            </w:r>
          </w:p>
        </w:tc>
        <w:tc>
          <w:tcPr>
            <w:tcW w:w="2994" w:type="dxa"/>
            <w:shd w:val="clear" w:color="auto" w:fill="auto"/>
          </w:tcPr>
          <w:p w14:paraId="59C3123C" w14:textId="77777777" w:rsidR="00392470" w:rsidRPr="00A23C1F" w:rsidRDefault="00392470" w:rsidP="00CB55A4">
            <w:pPr>
              <w:spacing w:line="276" w:lineRule="auto"/>
              <w:contextualSpacing/>
              <w:jc w:val="center"/>
              <w:rPr>
                <w:rFonts w:ascii="Arial" w:hAnsi="Arial" w:cs="Arial"/>
                <w:i/>
                <w:sz w:val="24"/>
                <w:szCs w:val="24"/>
              </w:rPr>
            </w:pPr>
          </w:p>
          <w:p w14:paraId="2B9F70A0" w14:textId="77777777" w:rsidR="00392470" w:rsidRPr="00A23C1F" w:rsidRDefault="00392470" w:rsidP="00CB55A4">
            <w:pPr>
              <w:spacing w:line="276" w:lineRule="auto"/>
              <w:contextualSpacing/>
              <w:rPr>
                <w:rFonts w:ascii="Arial" w:hAnsi="Arial" w:cs="Arial"/>
                <w:i/>
                <w:sz w:val="24"/>
                <w:szCs w:val="24"/>
              </w:rPr>
            </w:pPr>
          </w:p>
          <w:p w14:paraId="1EB06206" w14:textId="77777777" w:rsidR="00392470" w:rsidRPr="00A23C1F" w:rsidRDefault="00392470" w:rsidP="00CB55A4">
            <w:pPr>
              <w:spacing w:line="276" w:lineRule="auto"/>
              <w:contextualSpacing/>
              <w:jc w:val="center"/>
              <w:rPr>
                <w:rFonts w:ascii="Arial" w:hAnsi="Arial" w:cs="Arial"/>
                <w:i/>
                <w:sz w:val="24"/>
                <w:szCs w:val="24"/>
              </w:rPr>
            </w:pPr>
            <w:r w:rsidRPr="00A23C1F">
              <w:rPr>
                <w:rFonts w:ascii="Arial" w:hAnsi="Arial" w:cs="Arial"/>
                <w:i/>
                <w:sz w:val="24"/>
                <w:szCs w:val="24"/>
              </w:rPr>
              <w:t>Departamento de Antioquia</w:t>
            </w:r>
          </w:p>
        </w:tc>
      </w:tr>
      <w:tr w:rsidR="00392470" w:rsidRPr="00A23C1F" w14:paraId="5835A654" w14:textId="77777777" w:rsidTr="00CB55A4">
        <w:tc>
          <w:tcPr>
            <w:tcW w:w="2993" w:type="dxa"/>
            <w:shd w:val="clear" w:color="auto" w:fill="auto"/>
          </w:tcPr>
          <w:p w14:paraId="65892456" w14:textId="77777777" w:rsidR="00392470" w:rsidRPr="00A23C1F" w:rsidRDefault="00392470" w:rsidP="00CB55A4">
            <w:pPr>
              <w:spacing w:line="276" w:lineRule="auto"/>
              <w:contextualSpacing/>
              <w:jc w:val="center"/>
              <w:rPr>
                <w:rFonts w:ascii="Arial" w:hAnsi="Arial" w:cs="Arial"/>
                <w:i/>
                <w:sz w:val="24"/>
                <w:szCs w:val="24"/>
              </w:rPr>
            </w:pPr>
          </w:p>
          <w:p w14:paraId="5943DB92" w14:textId="77777777" w:rsidR="00392470" w:rsidRPr="00A23C1F" w:rsidRDefault="00392470" w:rsidP="00CB55A4">
            <w:pPr>
              <w:spacing w:line="276" w:lineRule="auto"/>
              <w:contextualSpacing/>
              <w:jc w:val="center"/>
              <w:rPr>
                <w:rFonts w:ascii="Arial" w:hAnsi="Arial" w:cs="Arial"/>
                <w:i/>
                <w:sz w:val="24"/>
                <w:szCs w:val="24"/>
              </w:rPr>
            </w:pPr>
          </w:p>
          <w:p w14:paraId="1B4B5233" w14:textId="77777777" w:rsidR="00392470" w:rsidRPr="00A23C1F" w:rsidRDefault="00392470" w:rsidP="00CB55A4">
            <w:pPr>
              <w:spacing w:line="276" w:lineRule="auto"/>
              <w:contextualSpacing/>
              <w:jc w:val="center"/>
              <w:rPr>
                <w:rFonts w:ascii="Arial" w:hAnsi="Arial" w:cs="Arial"/>
                <w:i/>
                <w:sz w:val="24"/>
                <w:szCs w:val="24"/>
              </w:rPr>
            </w:pPr>
          </w:p>
          <w:p w14:paraId="339D200E" w14:textId="77777777" w:rsidR="00392470" w:rsidRPr="00A23C1F" w:rsidRDefault="00392470" w:rsidP="00CB55A4">
            <w:pPr>
              <w:spacing w:line="276" w:lineRule="auto"/>
              <w:contextualSpacing/>
              <w:jc w:val="center"/>
              <w:rPr>
                <w:rFonts w:ascii="Arial" w:hAnsi="Arial" w:cs="Arial"/>
                <w:i/>
                <w:sz w:val="24"/>
                <w:szCs w:val="24"/>
              </w:rPr>
            </w:pPr>
            <w:r w:rsidRPr="00A23C1F">
              <w:rPr>
                <w:rFonts w:ascii="Arial" w:hAnsi="Arial" w:cs="Arial"/>
                <w:i/>
                <w:sz w:val="24"/>
                <w:szCs w:val="24"/>
              </w:rPr>
              <w:t>3</w:t>
            </w:r>
          </w:p>
        </w:tc>
        <w:tc>
          <w:tcPr>
            <w:tcW w:w="2993" w:type="dxa"/>
            <w:shd w:val="clear" w:color="auto" w:fill="auto"/>
          </w:tcPr>
          <w:p w14:paraId="2DE39566" w14:textId="77777777" w:rsidR="00392470" w:rsidRPr="00A23C1F" w:rsidRDefault="00392470" w:rsidP="00CB55A4">
            <w:pPr>
              <w:spacing w:line="276" w:lineRule="auto"/>
              <w:contextualSpacing/>
              <w:jc w:val="center"/>
              <w:rPr>
                <w:rFonts w:ascii="Arial" w:hAnsi="Arial" w:cs="Arial"/>
                <w:i/>
                <w:sz w:val="24"/>
                <w:szCs w:val="24"/>
              </w:rPr>
            </w:pPr>
            <w:r w:rsidRPr="00A23C1F">
              <w:rPr>
                <w:rFonts w:ascii="Arial" w:hAnsi="Arial" w:cs="Arial"/>
                <w:i/>
                <w:sz w:val="24"/>
                <w:szCs w:val="24"/>
              </w:rPr>
              <w:t>REHABILITACIÓN Y CONSERVACIÓN DEL PUENTE BARRANCA DE UPIA DE LA CARRETERA VIILAVICENCIO – BARRANCA DE UPIA, RUTA 6510</w:t>
            </w:r>
          </w:p>
        </w:tc>
        <w:tc>
          <w:tcPr>
            <w:tcW w:w="2994" w:type="dxa"/>
            <w:shd w:val="clear" w:color="auto" w:fill="auto"/>
          </w:tcPr>
          <w:p w14:paraId="0EE73B81" w14:textId="77777777" w:rsidR="00392470" w:rsidRPr="00A23C1F" w:rsidRDefault="00392470" w:rsidP="00CB55A4">
            <w:pPr>
              <w:spacing w:line="276" w:lineRule="auto"/>
              <w:contextualSpacing/>
              <w:jc w:val="center"/>
              <w:rPr>
                <w:rFonts w:ascii="Arial" w:hAnsi="Arial" w:cs="Arial"/>
                <w:i/>
                <w:sz w:val="24"/>
                <w:szCs w:val="24"/>
              </w:rPr>
            </w:pPr>
          </w:p>
          <w:p w14:paraId="57E28859" w14:textId="77777777" w:rsidR="00392470" w:rsidRPr="00A23C1F" w:rsidRDefault="00392470" w:rsidP="00CB55A4">
            <w:pPr>
              <w:spacing w:line="276" w:lineRule="auto"/>
              <w:contextualSpacing/>
              <w:jc w:val="center"/>
              <w:rPr>
                <w:rFonts w:ascii="Arial" w:hAnsi="Arial" w:cs="Arial"/>
                <w:i/>
                <w:sz w:val="24"/>
                <w:szCs w:val="24"/>
              </w:rPr>
            </w:pPr>
          </w:p>
          <w:p w14:paraId="289598EC" w14:textId="77777777" w:rsidR="00392470" w:rsidRPr="00A23C1F" w:rsidRDefault="00392470" w:rsidP="00CB55A4">
            <w:pPr>
              <w:spacing w:line="276" w:lineRule="auto"/>
              <w:contextualSpacing/>
              <w:jc w:val="center"/>
              <w:rPr>
                <w:rFonts w:ascii="Arial" w:hAnsi="Arial" w:cs="Arial"/>
                <w:i/>
                <w:sz w:val="24"/>
                <w:szCs w:val="24"/>
              </w:rPr>
            </w:pPr>
          </w:p>
          <w:p w14:paraId="0E18605E" w14:textId="77777777" w:rsidR="00392470" w:rsidRPr="00A23C1F" w:rsidRDefault="00392470" w:rsidP="00CB55A4">
            <w:pPr>
              <w:spacing w:line="276" w:lineRule="auto"/>
              <w:contextualSpacing/>
              <w:jc w:val="center"/>
              <w:rPr>
                <w:rFonts w:ascii="Arial" w:hAnsi="Arial" w:cs="Arial"/>
                <w:i/>
                <w:sz w:val="24"/>
                <w:szCs w:val="24"/>
              </w:rPr>
            </w:pPr>
            <w:r w:rsidRPr="00A23C1F">
              <w:rPr>
                <w:rFonts w:ascii="Arial" w:hAnsi="Arial" w:cs="Arial"/>
                <w:i/>
                <w:sz w:val="24"/>
                <w:szCs w:val="24"/>
              </w:rPr>
              <w:t>Departamento del Meta</w:t>
            </w:r>
          </w:p>
        </w:tc>
      </w:tr>
      <w:tr w:rsidR="00392470" w:rsidRPr="00A23C1F" w14:paraId="5791F2F2" w14:textId="77777777" w:rsidTr="00CB55A4">
        <w:tc>
          <w:tcPr>
            <w:tcW w:w="2993" w:type="dxa"/>
            <w:shd w:val="clear" w:color="auto" w:fill="auto"/>
          </w:tcPr>
          <w:p w14:paraId="1D3AB67D" w14:textId="77777777" w:rsidR="00392470" w:rsidRPr="00A23C1F" w:rsidRDefault="00392470" w:rsidP="00CB55A4">
            <w:pPr>
              <w:spacing w:line="276" w:lineRule="auto"/>
              <w:contextualSpacing/>
              <w:jc w:val="center"/>
              <w:rPr>
                <w:rFonts w:ascii="Arial" w:hAnsi="Arial" w:cs="Arial"/>
                <w:i/>
                <w:sz w:val="24"/>
                <w:szCs w:val="24"/>
              </w:rPr>
            </w:pPr>
          </w:p>
          <w:p w14:paraId="7077A84F" w14:textId="77777777" w:rsidR="00392470" w:rsidRPr="00A23C1F" w:rsidRDefault="00392470" w:rsidP="00CB55A4">
            <w:pPr>
              <w:spacing w:line="276" w:lineRule="auto"/>
              <w:contextualSpacing/>
              <w:jc w:val="center"/>
              <w:rPr>
                <w:rFonts w:ascii="Arial" w:hAnsi="Arial" w:cs="Arial"/>
                <w:i/>
                <w:sz w:val="24"/>
                <w:szCs w:val="24"/>
              </w:rPr>
            </w:pPr>
          </w:p>
          <w:p w14:paraId="3980C2CE" w14:textId="77777777" w:rsidR="00392470" w:rsidRPr="00A23C1F" w:rsidRDefault="00392470" w:rsidP="00CB55A4">
            <w:pPr>
              <w:spacing w:line="276" w:lineRule="auto"/>
              <w:contextualSpacing/>
              <w:jc w:val="center"/>
              <w:rPr>
                <w:rFonts w:ascii="Arial" w:hAnsi="Arial" w:cs="Arial"/>
                <w:i/>
                <w:sz w:val="24"/>
                <w:szCs w:val="24"/>
              </w:rPr>
            </w:pPr>
            <w:r w:rsidRPr="00A23C1F">
              <w:rPr>
                <w:rFonts w:ascii="Arial" w:hAnsi="Arial" w:cs="Arial"/>
                <w:i/>
                <w:sz w:val="24"/>
                <w:szCs w:val="24"/>
              </w:rPr>
              <w:t>4</w:t>
            </w:r>
          </w:p>
        </w:tc>
        <w:tc>
          <w:tcPr>
            <w:tcW w:w="2993" w:type="dxa"/>
            <w:shd w:val="clear" w:color="auto" w:fill="auto"/>
          </w:tcPr>
          <w:p w14:paraId="1BBE2617" w14:textId="77777777" w:rsidR="00392470" w:rsidRPr="00A23C1F" w:rsidRDefault="00392470" w:rsidP="00CB55A4">
            <w:pPr>
              <w:spacing w:line="276" w:lineRule="auto"/>
              <w:contextualSpacing/>
              <w:jc w:val="center"/>
              <w:rPr>
                <w:rFonts w:ascii="Arial" w:hAnsi="Arial" w:cs="Arial"/>
                <w:i/>
                <w:sz w:val="24"/>
                <w:szCs w:val="24"/>
              </w:rPr>
            </w:pPr>
            <w:r w:rsidRPr="00A23C1F">
              <w:rPr>
                <w:rFonts w:ascii="Arial" w:hAnsi="Arial" w:cs="Arial"/>
                <w:i/>
                <w:sz w:val="24"/>
                <w:szCs w:val="24"/>
              </w:rPr>
              <w:t>REHABILITACIÓN Y CONSERVACIÓN DEL PUENTE CARLOS LLERAS RESTREPO DE LA CARRETERA PUERTO LÓPEZ – PUERTO GAITAN. RUTA 4008</w:t>
            </w:r>
          </w:p>
        </w:tc>
        <w:tc>
          <w:tcPr>
            <w:tcW w:w="2994" w:type="dxa"/>
            <w:shd w:val="clear" w:color="auto" w:fill="auto"/>
          </w:tcPr>
          <w:p w14:paraId="68C7FE3E" w14:textId="77777777" w:rsidR="00392470" w:rsidRPr="00A23C1F" w:rsidRDefault="00392470" w:rsidP="00CB55A4">
            <w:pPr>
              <w:spacing w:line="276" w:lineRule="auto"/>
              <w:contextualSpacing/>
              <w:jc w:val="center"/>
              <w:rPr>
                <w:rFonts w:ascii="Arial" w:hAnsi="Arial" w:cs="Arial"/>
                <w:i/>
                <w:sz w:val="24"/>
                <w:szCs w:val="24"/>
              </w:rPr>
            </w:pPr>
          </w:p>
          <w:p w14:paraId="5B719213" w14:textId="77777777" w:rsidR="00392470" w:rsidRPr="00A23C1F" w:rsidRDefault="00392470" w:rsidP="00CB55A4">
            <w:pPr>
              <w:spacing w:line="276" w:lineRule="auto"/>
              <w:contextualSpacing/>
              <w:jc w:val="center"/>
              <w:rPr>
                <w:rFonts w:ascii="Arial" w:hAnsi="Arial" w:cs="Arial"/>
                <w:i/>
                <w:sz w:val="24"/>
                <w:szCs w:val="24"/>
              </w:rPr>
            </w:pPr>
          </w:p>
          <w:p w14:paraId="2EFDBEEA" w14:textId="77777777" w:rsidR="00392470" w:rsidRPr="00A23C1F" w:rsidRDefault="00392470" w:rsidP="00CB55A4">
            <w:pPr>
              <w:spacing w:line="276" w:lineRule="auto"/>
              <w:contextualSpacing/>
              <w:jc w:val="center"/>
              <w:rPr>
                <w:rFonts w:ascii="Arial" w:hAnsi="Arial" w:cs="Arial"/>
                <w:i/>
                <w:sz w:val="24"/>
                <w:szCs w:val="24"/>
              </w:rPr>
            </w:pPr>
            <w:r w:rsidRPr="00A23C1F">
              <w:rPr>
                <w:rFonts w:ascii="Arial" w:hAnsi="Arial" w:cs="Arial"/>
                <w:i/>
                <w:sz w:val="24"/>
                <w:szCs w:val="24"/>
              </w:rPr>
              <w:t>Departamento del Meta</w:t>
            </w:r>
          </w:p>
        </w:tc>
      </w:tr>
      <w:tr w:rsidR="00392470" w:rsidRPr="00A23C1F" w14:paraId="2D314B05" w14:textId="77777777" w:rsidTr="00CB55A4">
        <w:tc>
          <w:tcPr>
            <w:tcW w:w="2993" w:type="dxa"/>
            <w:shd w:val="clear" w:color="auto" w:fill="auto"/>
          </w:tcPr>
          <w:p w14:paraId="152202E3" w14:textId="77777777" w:rsidR="00392470" w:rsidRPr="00A23C1F" w:rsidRDefault="00392470" w:rsidP="00CB55A4">
            <w:pPr>
              <w:spacing w:line="276" w:lineRule="auto"/>
              <w:contextualSpacing/>
              <w:jc w:val="center"/>
              <w:rPr>
                <w:rFonts w:ascii="Arial" w:hAnsi="Arial" w:cs="Arial"/>
                <w:i/>
                <w:sz w:val="24"/>
                <w:szCs w:val="24"/>
              </w:rPr>
            </w:pPr>
          </w:p>
          <w:p w14:paraId="54D57131" w14:textId="77777777" w:rsidR="00392470" w:rsidRPr="00A23C1F" w:rsidRDefault="00392470" w:rsidP="00CB55A4">
            <w:pPr>
              <w:spacing w:line="276" w:lineRule="auto"/>
              <w:contextualSpacing/>
              <w:jc w:val="center"/>
              <w:rPr>
                <w:rFonts w:ascii="Arial" w:hAnsi="Arial" w:cs="Arial"/>
                <w:i/>
                <w:sz w:val="24"/>
                <w:szCs w:val="24"/>
              </w:rPr>
            </w:pPr>
          </w:p>
          <w:p w14:paraId="1B643D85" w14:textId="77777777" w:rsidR="00392470" w:rsidRPr="00A23C1F" w:rsidRDefault="00392470" w:rsidP="00CB55A4">
            <w:pPr>
              <w:spacing w:line="276" w:lineRule="auto"/>
              <w:contextualSpacing/>
              <w:jc w:val="center"/>
              <w:rPr>
                <w:rFonts w:ascii="Arial" w:hAnsi="Arial" w:cs="Arial"/>
                <w:i/>
                <w:sz w:val="24"/>
                <w:szCs w:val="24"/>
              </w:rPr>
            </w:pPr>
            <w:r w:rsidRPr="00A23C1F">
              <w:rPr>
                <w:rFonts w:ascii="Arial" w:hAnsi="Arial" w:cs="Arial"/>
                <w:i/>
                <w:sz w:val="24"/>
                <w:szCs w:val="24"/>
              </w:rPr>
              <w:t>5</w:t>
            </w:r>
          </w:p>
        </w:tc>
        <w:tc>
          <w:tcPr>
            <w:tcW w:w="2993" w:type="dxa"/>
            <w:shd w:val="clear" w:color="auto" w:fill="auto"/>
          </w:tcPr>
          <w:p w14:paraId="6F98CD30" w14:textId="77777777" w:rsidR="00392470" w:rsidRPr="00A23C1F" w:rsidRDefault="00392470" w:rsidP="00CB55A4">
            <w:pPr>
              <w:spacing w:line="276" w:lineRule="auto"/>
              <w:contextualSpacing/>
              <w:jc w:val="center"/>
              <w:rPr>
                <w:rFonts w:ascii="Arial" w:hAnsi="Arial" w:cs="Arial"/>
                <w:i/>
                <w:sz w:val="24"/>
                <w:szCs w:val="24"/>
              </w:rPr>
            </w:pPr>
            <w:r w:rsidRPr="00A23C1F">
              <w:rPr>
                <w:rFonts w:ascii="Arial" w:hAnsi="Arial" w:cs="Arial"/>
                <w:i/>
                <w:sz w:val="24"/>
                <w:szCs w:val="24"/>
              </w:rPr>
              <w:t>REHABILITACIÓN Y CONSERVACIÓN DEL PUENTE MANACACIAS DE LA CARRETERA PUERTO LÓPEZ –PUERTO GAITAN RUTA 4008</w:t>
            </w:r>
          </w:p>
        </w:tc>
        <w:tc>
          <w:tcPr>
            <w:tcW w:w="2994" w:type="dxa"/>
            <w:shd w:val="clear" w:color="auto" w:fill="auto"/>
          </w:tcPr>
          <w:p w14:paraId="54049B47" w14:textId="77777777" w:rsidR="00392470" w:rsidRPr="00A23C1F" w:rsidRDefault="00392470" w:rsidP="00CB55A4">
            <w:pPr>
              <w:spacing w:line="276" w:lineRule="auto"/>
              <w:contextualSpacing/>
              <w:jc w:val="center"/>
              <w:rPr>
                <w:rFonts w:ascii="Arial" w:hAnsi="Arial" w:cs="Arial"/>
                <w:i/>
                <w:sz w:val="24"/>
                <w:szCs w:val="24"/>
              </w:rPr>
            </w:pPr>
          </w:p>
          <w:p w14:paraId="4FC5E1E9" w14:textId="77777777" w:rsidR="00392470" w:rsidRPr="00A23C1F" w:rsidRDefault="00392470" w:rsidP="00CB55A4">
            <w:pPr>
              <w:spacing w:line="276" w:lineRule="auto"/>
              <w:contextualSpacing/>
              <w:jc w:val="center"/>
              <w:rPr>
                <w:rFonts w:ascii="Arial" w:hAnsi="Arial" w:cs="Arial"/>
                <w:i/>
                <w:sz w:val="24"/>
                <w:szCs w:val="24"/>
              </w:rPr>
            </w:pPr>
          </w:p>
          <w:p w14:paraId="75788FCB" w14:textId="77777777" w:rsidR="00392470" w:rsidRPr="00A23C1F" w:rsidRDefault="00392470" w:rsidP="00CB55A4">
            <w:pPr>
              <w:spacing w:line="276" w:lineRule="auto"/>
              <w:contextualSpacing/>
              <w:jc w:val="center"/>
              <w:rPr>
                <w:rFonts w:ascii="Arial" w:hAnsi="Arial" w:cs="Arial"/>
                <w:i/>
                <w:sz w:val="24"/>
                <w:szCs w:val="24"/>
              </w:rPr>
            </w:pPr>
            <w:r w:rsidRPr="00A23C1F">
              <w:rPr>
                <w:rFonts w:ascii="Arial" w:hAnsi="Arial" w:cs="Arial"/>
                <w:i/>
                <w:sz w:val="24"/>
                <w:szCs w:val="24"/>
              </w:rPr>
              <w:t>Departamento del Meta</w:t>
            </w:r>
          </w:p>
        </w:tc>
      </w:tr>
    </w:tbl>
    <w:p w14:paraId="5717C46C" w14:textId="77777777" w:rsidR="00392470" w:rsidRPr="00A23C1F" w:rsidRDefault="00392470" w:rsidP="00392470">
      <w:pPr>
        <w:spacing w:line="360" w:lineRule="auto"/>
        <w:ind w:right="-142"/>
        <w:contextualSpacing/>
        <w:jc w:val="both"/>
        <w:rPr>
          <w:rFonts w:ascii="Arial" w:hAnsi="Arial" w:cs="Arial"/>
          <w:sz w:val="24"/>
          <w:szCs w:val="24"/>
          <w:lang w:val="es-CO"/>
        </w:rPr>
      </w:pPr>
      <w:r w:rsidRPr="00A23C1F">
        <w:rPr>
          <w:rFonts w:ascii="Arial" w:hAnsi="Arial" w:cs="Arial"/>
          <w:sz w:val="24"/>
          <w:szCs w:val="24"/>
          <w:lang w:val="es-CO"/>
        </w:rPr>
        <w:t>38. De acuerdo con lo establecido en el pliego de condiciones, la oferta debía ser presentada en dos sobres. El primer sobre incluía los requisitos habilitantes técnicos, financieros y jurídicos, mientras que el segundo sobre, contenía la oferta económica por cada módulo en el que el proponente estaba interesado en participar. Para la presentación de la oferta económica, los proponentes debían diligenciar el “Formulario No. 4” suministrado por la entidad, el cual, para el caso del módulo No. 2, era el siguiente:</w:t>
      </w:r>
    </w:p>
    <w:p w14:paraId="45D7599F"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7196024C" w14:textId="77777777" w:rsidR="00392470" w:rsidRPr="00A23C1F" w:rsidRDefault="00896E27" w:rsidP="00392470">
      <w:pPr>
        <w:spacing w:line="360" w:lineRule="auto"/>
        <w:ind w:right="-142"/>
        <w:contextualSpacing/>
        <w:jc w:val="both"/>
        <w:rPr>
          <w:rFonts w:ascii="Arial" w:hAnsi="Arial" w:cs="Arial"/>
          <w:i/>
          <w:sz w:val="24"/>
          <w:szCs w:val="24"/>
        </w:rPr>
      </w:pPr>
      <w:r w:rsidRPr="00A23C1F">
        <w:rPr>
          <w:rFonts w:ascii="Arial" w:hAnsi="Arial" w:cs="Arial"/>
          <w:i/>
          <w:noProof/>
          <w:sz w:val="24"/>
          <w:szCs w:val="24"/>
          <w:lang w:val="en-US"/>
        </w:rPr>
        <w:lastRenderedPageBreak/>
        <w:drawing>
          <wp:inline distT="0" distB="0" distL="0" distR="0" wp14:anchorId="7EDB56D8" wp14:editId="3F9F91BB">
            <wp:extent cx="6515100" cy="5534025"/>
            <wp:effectExtent l="0" t="0" r="0" b="0"/>
            <wp:docPr id="1" name="Imagen 1" descr="Formulario 4 Inv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rio 4 Invi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15100" cy="5534025"/>
                    </a:xfrm>
                    <a:prstGeom prst="rect">
                      <a:avLst/>
                    </a:prstGeom>
                    <a:noFill/>
                    <a:ln>
                      <a:noFill/>
                    </a:ln>
                  </pic:spPr>
                </pic:pic>
              </a:graphicData>
            </a:graphic>
          </wp:inline>
        </w:drawing>
      </w:r>
    </w:p>
    <w:p w14:paraId="22E32023"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7E54A25F"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0FE6178B" w14:textId="77777777" w:rsidR="00392470" w:rsidRPr="00A23C1F" w:rsidRDefault="00392470" w:rsidP="00392470">
      <w:pPr>
        <w:spacing w:line="360" w:lineRule="auto"/>
        <w:ind w:right="-142"/>
        <w:contextualSpacing/>
        <w:jc w:val="both"/>
        <w:rPr>
          <w:rFonts w:ascii="Arial" w:hAnsi="Arial" w:cs="Arial"/>
          <w:sz w:val="24"/>
          <w:szCs w:val="24"/>
          <w:lang w:val="es-CO"/>
        </w:rPr>
      </w:pPr>
      <w:r w:rsidRPr="00A23C1F">
        <w:rPr>
          <w:rFonts w:ascii="Arial" w:hAnsi="Arial" w:cs="Arial"/>
          <w:sz w:val="24"/>
          <w:szCs w:val="24"/>
          <w:lang w:val="es-CO"/>
        </w:rPr>
        <w:t>39. En el numeral 3.8.2. del pliego de condiciones se estableció la siguiente prohibición respecto del sobre No. 2, la cual, en caso de desatenderse, daba lugar al rechazo de la propuesta (se trascribe):</w:t>
      </w:r>
    </w:p>
    <w:p w14:paraId="0921DAE2"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72D6CA18" w14:textId="77777777" w:rsidR="00392470" w:rsidRPr="00A23C1F" w:rsidRDefault="00392470" w:rsidP="00392470">
      <w:pPr>
        <w:ind w:left="567" w:right="567"/>
        <w:contextualSpacing/>
        <w:jc w:val="both"/>
        <w:rPr>
          <w:rFonts w:ascii="Arial" w:hAnsi="Arial" w:cs="Arial"/>
          <w:i/>
          <w:sz w:val="24"/>
          <w:szCs w:val="24"/>
        </w:rPr>
      </w:pPr>
      <w:r w:rsidRPr="00A23C1F">
        <w:rPr>
          <w:rFonts w:ascii="Arial" w:hAnsi="Arial" w:cs="Arial"/>
          <w:i/>
          <w:sz w:val="24"/>
          <w:szCs w:val="24"/>
        </w:rPr>
        <w:t>“3.8.2 Sobre No. 2</w:t>
      </w:r>
    </w:p>
    <w:p w14:paraId="3513EB30" w14:textId="77777777" w:rsidR="00392470" w:rsidRPr="00A23C1F" w:rsidRDefault="00392470" w:rsidP="00392470">
      <w:pPr>
        <w:ind w:left="567" w:right="567"/>
        <w:contextualSpacing/>
        <w:jc w:val="both"/>
        <w:rPr>
          <w:rFonts w:ascii="Arial" w:hAnsi="Arial" w:cs="Arial"/>
          <w:i/>
          <w:sz w:val="24"/>
          <w:szCs w:val="24"/>
        </w:rPr>
      </w:pPr>
      <w:r w:rsidRPr="00A23C1F">
        <w:rPr>
          <w:rFonts w:ascii="Arial" w:hAnsi="Arial" w:cs="Arial"/>
          <w:i/>
          <w:sz w:val="24"/>
          <w:szCs w:val="24"/>
        </w:rPr>
        <w:t>En este sobre el proponente deberá incluir el Formulario No. 4 – Propuesta económica, para cada uno de los módulos a los que presenta oferta; su omisión generará RECHAZO de la propuesta.</w:t>
      </w:r>
    </w:p>
    <w:p w14:paraId="58325CA3" w14:textId="77777777" w:rsidR="00392470" w:rsidRPr="00A23C1F" w:rsidRDefault="00392470" w:rsidP="00392470">
      <w:pPr>
        <w:ind w:left="567" w:right="567"/>
        <w:contextualSpacing/>
        <w:jc w:val="both"/>
        <w:rPr>
          <w:rFonts w:ascii="Arial" w:hAnsi="Arial" w:cs="Arial"/>
          <w:i/>
          <w:sz w:val="24"/>
          <w:szCs w:val="24"/>
        </w:rPr>
      </w:pPr>
      <w:r w:rsidRPr="00A23C1F">
        <w:rPr>
          <w:rFonts w:ascii="Arial" w:hAnsi="Arial" w:cs="Arial"/>
          <w:i/>
          <w:sz w:val="24"/>
          <w:szCs w:val="24"/>
        </w:rPr>
        <w:t>El proponente deberá diligenciar este formulario y no podrá so pena de rechazo adicionar, modificar, suprimir o, en todo caso, alterar sus unidades, cantidades e ítems, ni valor correspondiente a obras complementarias (incluye provisión PAGA), ni el valor global de los ítems que tenga esa modalidad, toda vez que dicha información se requiere para la comparación objetiva de las propuestas (…)”.</w:t>
      </w:r>
    </w:p>
    <w:p w14:paraId="1F18CF01"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15CA2186" w14:textId="77777777" w:rsidR="00392470" w:rsidRPr="00A23C1F" w:rsidRDefault="00392470" w:rsidP="00392470">
      <w:pPr>
        <w:spacing w:line="360" w:lineRule="auto"/>
        <w:ind w:right="-142"/>
        <w:contextualSpacing/>
        <w:jc w:val="both"/>
        <w:rPr>
          <w:rFonts w:ascii="Arial" w:hAnsi="Arial" w:cs="Arial"/>
          <w:sz w:val="24"/>
          <w:szCs w:val="24"/>
          <w:lang w:val="es-CO"/>
        </w:rPr>
      </w:pPr>
      <w:r w:rsidRPr="00A23C1F">
        <w:rPr>
          <w:rFonts w:ascii="Arial" w:hAnsi="Arial" w:cs="Arial"/>
          <w:sz w:val="24"/>
          <w:szCs w:val="24"/>
          <w:lang w:val="es-CO"/>
        </w:rPr>
        <w:lastRenderedPageBreak/>
        <w:t xml:space="preserve">40. En audiencia realizada el 7 de octubre de 2007, el </w:t>
      </w:r>
      <w:proofErr w:type="spellStart"/>
      <w:r w:rsidRPr="00A23C1F">
        <w:rPr>
          <w:rFonts w:ascii="Arial" w:hAnsi="Arial" w:cs="Arial"/>
          <w:sz w:val="24"/>
          <w:szCs w:val="24"/>
          <w:lang w:val="es-CO"/>
        </w:rPr>
        <w:t>Invías</w:t>
      </w:r>
      <w:proofErr w:type="spellEnd"/>
      <w:r w:rsidRPr="00A23C1F">
        <w:rPr>
          <w:rFonts w:ascii="Arial" w:hAnsi="Arial" w:cs="Arial"/>
          <w:sz w:val="24"/>
          <w:szCs w:val="24"/>
          <w:lang w:val="es-CO"/>
        </w:rPr>
        <w:t xml:space="preserve"> dio apertura al sobre No. 2 de las propuestas declaradas admisibles y, para el caso del módulo No. 2, definió el siguiente orden de elegibilidad (se trascribe)</w:t>
      </w:r>
      <w:r w:rsidRPr="00A23C1F">
        <w:rPr>
          <w:rStyle w:val="Refdenotaalpie"/>
          <w:rFonts w:ascii="Arial" w:hAnsi="Arial" w:cs="Arial"/>
          <w:sz w:val="24"/>
          <w:szCs w:val="24"/>
          <w:lang w:val="es-CO"/>
        </w:rPr>
        <w:footnoteReference w:id="17"/>
      </w:r>
      <w:r w:rsidRPr="00A23C1F">
        <w:rPr>
          <w:rFonts w:ascii="Arial" w:hAnsi="Arial" w:cs="Arial"/>
          <w:sz w:val="24"/>
          <w:szCs w:val="24"/>
          <w:lang w:val="es-CO"/>
        </w:rPr>
        <w:t>:</w:t>
      </w:r>
    </w:p>
    <w:p w14:paraId="0674C216" w14:textId="77777777" w:rsidR="00392470" w:rsidRPr="00A23C1F" w:rsidRDefault="00392470" w:rsidP="00392470">
      <w:pPr>
        <w:spacing w:line="360" w:lineRule="auto"/>
        <w:ind w:right="-142"/>
        <w:contextualSpacing/>
        <w:jc w:val="both"/>
        <w:rPr>
          <w:rFonts w:ascii="Arial" w:hAnsi="Arial" w:cs="Arial"/>
          <w:sz w:val="24"/>
          <w:szCs w:val="24"/>
          <w:lang w:val="es-CO"/>
        </w:rPr>
      </w:pPr>
    </w:p>
    <w:tbl>
      <w:tblPr>
        <w:tblW w:w="8160" w:type="dxa"/>
        <w:tblInd w:w="75" w:type="dxa"/>
        <w:tblCellMar>
          <w:left w:w="70" w:type="dxa"/>
          <w:right w:w="70" w:type="dxa"/>
        </w:tblCellMar>
        <w:tblLook w:val="04A0" w:firstRow="1" w:lastRow="0" w:firstColumn="1" w:lastColumn="0" w:noHBand="0" w:noVBand="1"/>
      </w:tblPr>
      <w:tblGrid>
        <w:gridCol w:w="1200"/>
        <w:gridCol w:w="2074"/>
        <w:gridCol w:w="2260"/>
        <w:gridCol w:w="2960"/>
      </w:tblGrid>
      <w:tr w:rsidR="00392470" w:rsidRPr="00A23C1F" w14:paraId="290F23E0" w14:textId="77777777" w:rsidTr="00CB55A4">
        <w:trPr>
          <w:trHeight w:val="27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68681"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 xml:space="preserve">PROP </w:t>
            </w:r>
            <w:proofErr w:type="spellStart"/>
            <w:r w:rsidRPr="00A23C1F">
              <w:rPr>
                <w:rFonts w:ascii="Arial" w:eastAsia="Times New Roman" w:hAnsi="Arial" w:cs="Arial"/>
                <w:i/>
                <w:color w:val="000000"/>
                <w:sz w:val="24"/>
                <w:szCs w:val="24"/>
                <w:lang w:eastAsia="es-ES"/>
              </w:rPr>
              <w:t>Nº</w:t>
            </w:r>
            <w:proofErr w:type="spellEnd"/>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54A2EBC3"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PROPONENTE</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093B7D12"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PUNTAJE DEFINITIVO</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14:paraId="4A39DE3A"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ORDEN DE ELEGIBILIDAD</w:t>
            </w:r>
          </w:p>
        </w:tc>
      </w:tr>
      <w:tr w:rsidR="00392470" w:rsidRPr="00A23C1F" w14:paraId="3A33DF11" w14:textId="77777777" w:rsidTr="00CB55A4">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4E002D2"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4</w:t>
            </w:r>
          </w:p>
        </w:tc>
        <w:tc>
          <w:tcPr>
            <w:tcW w:w="1740" w:type="dxa"/>
            <w:tcBorders>
              <w:top w:val="nil"/>
              <w:left w:val="nil"/>
              <w:bottom w:val="single" w:sz="4" w:space="0" w:color="auto"/>
              <w:right w:val="single" w:sz="4" w:space="0" w:color="auto"/>
            </w:tcBorders>
            <w:shd w:val="clear" w:color="auto" w:fill="auto"/>
            <w:vAlign w:val="center"/>
            <w:hideMark/>
          </w:tcPr>
          <w:p w14:paraId="60D8FFD7"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CONSORCIO LOS ÁNDES</w:t>
            </w:r>
          </w:p>
        </w:tc>
        <w:tc>
          <w:tcPr>
            <w:tcW w:w="2260" w:type="dxa"/>
            <w:tcBorders>
              <w:top w:val="nil"/>
              <w:left w:val="nil"/>
              <w:bottom w:val="single" w:sz="4" w:space="0" w:color="auto"/>
              <w:right w:val="single" w:sz="4" w:space="0" w:color="auto"/>
            </w:tcBorders>
            <w:shd w:val="clear" w:color="auto" w:fill="auto"/>
            <w:noWrap/>
            <w:vAlign w:val="center"/>
            <w:hideMark/>
          </w:tcPr>
          <w:p w14:paraId="7FDBB4DE"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1.000,00</w:t>
            </w:r>
          </w:p>
        </w:tc>
        <w:tc>
          <w:tcPr>
            <w:tcW w:w="2960" w:type="dxa"/>
            <w:tcBorders>
              <w:top w:val="nil"/>
              <w:left w:val="nil"/>
              <w:bottom w:val="single" w:sz="4" w:space="0" w:color="auto"/>
              <w:right w:val="single" w:sz="4" w:space="0" w:color="auto"/>
            </w:tcBorders>
            <w:shd w:val="clear" w:color="auto" w:fill="auto"/>
            <w:noWrap/>
            <w:vAlign w:val="center"/>
            <w:hideMark/>
          </w:tcPr>
          <w:p w14:paraId="2AB699B8"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1.</w:t>
            </w:r>
          </w:p>
        </w:tc>
      </w:tr>
      <w:tr w:rsidR="00392470" w:rsidRPr="00A23C1F" w14:paraId="4A69B322" w14:textId="77777777" w:rsidTr="00CB55A4">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30163FE"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5</w:t>
            </w:r>
          </w:p>
        </w:tc>
        <w:tc>
          <w:tcPr>
            <w:tcW w:w="1740" w:type="dxa"/>
            <w:tcBorders>
              <w:top w:val="nil"/>
              <w:left w:val="nil"/>
              <w:bottom w:val="single" w:sz="4" w:space="0" w:color="auto"/>
              <w:right w:val="single" w:sz="4" w:space="0" w:color="auto"/>
            </w:tcBorders>
            <w:shd w:val="clear" w:color="auto" w:fill="auto"/>
            <w:vAlign w:val="center"/>
            <w:hideMark/>
          </w:tcPr>
          <w:p w14:paraId="1765F8CB"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CONSORCIO ICAGEL LIMITADA</w:t>
            </w:r>
          </w:p>
        </w:tc>
        <w:tc>
          <w:tcPr>
            <w:tcW w:w="2260" w:type="dxa"/>
            <w:tcBorders>
              <w:top w:val="nil"/>
              <w:left w:val="nil"/>
              <w:bottom w:val="single" w:sz="4" w:space="0" w:color="auto"/>
              <w:right w:val="single" w:sz="4" w:space="0" w:color="auto"/>
            </w:tcBorders>
            <w:shd w:val="clear" w:color="auto" w:fill="auto"/>
            <w:noWrap/>
            <w:vAlign w:val="center"/>
            <w:hideMark/>
          </w:tcPr>
          <w:p w14:paraId="3E063E6A"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224,06</w:t>
            </w:r>
          </w:p>
        </w:tc>
        <w:tc>
          <w:tcPr>
            <w:tcW w:w="2960" w:type="dxa"/>
            <w:tcBorders>
              <w:top w:val="nil"/>
              <w:left w:val="nil"/>
              <w:bottom w:val="single" w:sz="4" w:space="0" w:color="auto"/>
              <w:right w:val="single" w:sz="4" w:space="0" w:color="auto"/>
            </w:tcBorders>
            <w:shd w:val="clear" w:color="auto" w:fill="auto"/>
            <w:noWrap/>
            <w:vAlign w:val="center"/>
            <w:hideMark/>
          </w:tcPr>
          <w:p w14:paraId="10954AF8"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2.</w:t>
            </w:r>
          </w:p>
        </w:tc>
      </w:tr>
      <w:tr w:rsidR="00392470" w:rsidRPr="00A23C1F" w14:paraId="3EDE24B4" w14:textId="77777777" w:rsidTr="00CB55A4">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409EB2E"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14</w:t>
            </w:r>
          </w:p>
        </w:tc>
        <w:tc>
          <w:tcPr>
            <w:tcW w:w="1740" w:type="dxa"/>
            <w:tcBorders>
              <w:top w:val="nil"/>
              <w:left w:val="nil"/>
              <w:bottom w:val="single" w:sz="4" w:space="0" w:color="auto"/>
              <w:right w:val="single" w:sz="4" w:space="0" w:color="auto"/>
            </w:tcBorders>
            <w:shd w:val="clear" w:color="auto" w:fill="auto"/>
            <w:vAlign w:val="center"/>
            <w:hideMark/>
          </w:tcPr>
          <w:p w14:paraId="1B9016A9"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CONSORCIO METALPUENTES</w:t>
            </w:r>
          </w:p>
        </w:tc>
        <w:tc>
          <w:tcPr>
            <w:tcW w:w="2260" w:type="dxa"/>
            <w:tcBorders>
              <w:top w:val="nil"/>
              <w:left w:val="nil"/>
              <w:bottom w:val="single" w:sz="4" w:space="0" w:color="auto"/>
              <w:right w:val="single" w:sz="4" w:space="0" w:color="auto"/>
            </w:tcBorders>
            <w:shd w:val="clear" w:color="auto" w:fill="auto"/>
            <w:noWrap/>
            <w:vAlign w:val="center"/>
            <w:hideMark/>
          </w:tcPr>
          <w:p w14:paraId="01C207CC"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200,00</w:t>
            </w:r>
          </w:p>
        </w:tc>
        <w:tc>
          <w:tcPr>
            <w:tcW w:w="2960" w:type="dxa"/>
            <w:tcBorders>
              <w:top w:val="nil"/>
              <w:left w:val="nil"/>
              <w:bottom w:val="single" w:sz="4" w:space="0" w:color="auto"/>
              <w:right w:val="single" w:sz="4" w:space="0" w:color="auto"/>
            </w:tcBorders>
            <w:shd w:val="clear" w:color="auto" w:fill="auto"/>
            <w:noWrap/>
            <w:vAlign w:val="center"/>
            <w:hideMark/>
          </w:tcPr>
          <w:p w14:paraId="0BB1CBA5"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3.</w:t>
            </w:r>
          </w:p>
        </w:tc>
      </w:tr>
    </w:tbl>
    <w:p w14:paraId="6B32DADB"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1902ED6F" w14:textId="77777777" w:rsidR="00392470" w:rsidRPr="00A23C1F" w:rsidRDefault="00392470" w:rsidP="00392470">
      <w:pPr>
        <w:spacing w:line="360" w:lineRule="auto"/>
        <w:ind w:right="-142"/>
        <w:contextualSpacing/>
        <w:jc w:val="both"/>
        <w:rPr>
          <w:rFonts w:ascii="Arial" w:hAnsi="Arial" w:cs="Arial"/>
          <w:sz w:val="24"/>
          <w:szCs w:val="24"/>
          <w:lang w:val="es-CO"/>
        </w:rPr>
      </w:pPr>
      <w:r w:rsidRPr="00A23C1F">
        <w:rPr>
          <w:rFonts w:ascii="Arial" w:hAnsi="Arial" w:cs="Arial"/>
          <w:sz w:val="24"/>
          <w:szCs w:val="24"/>
          <w:lang w:val="es-CO"/>
        </w:rPr>
        <w:t xml:space="preserve">41. Luego de haberse dado a conocer el orden de elegibilidad de la licitación </w:t>
      </w:r>
      <w:proofErr w:type="spellStart"/>
      <w:r w:rsidRPr="00A23C1F">
        <w:rPr>
          <w:rFonts w:ascii="Arial" w:hAnsi="Arial" w:cs="Arial"/>
          <w:sz w:val="24"/>
          <w:szCs w:val="24"/>
          <w:lang w:val="es-CO"/>
        </w:rPr>
        <w:t>publica</w:t>
      </w:r>
      <w:proofErr w:type="spellEnd"/>
      <w:r w:rsidRPr="00A23C1F">
        <w:rPr>
          <w:rFonts w:ascii="Arial" w:hAnsi="Arial" w:cs="Arial"/>
          <w:sz w:val="24"/>
          <w:szCs w:val="24"/>
          <w:lang w:val="es-CO"/>
        </w:rPr>
        <w:t xml:space="preserve"> No. SRN-085-2007, varios proponentes de </w:t>
      </w:r>
      <w:proofErr w:type="gramStart"/>
      <w:r w:rsidRPr="00A23C1F">
        <w:rPr>
          <w:rFonts w:ascii="Arial" w:hAnsi="Arial" w:cs="Arial"/>
          <w:sz w:val="24"/>
          <w:szCs w:val="24"/>
          <w:lang w:val="es-CO"/>
        </w:rPr>
        <w:t>la misma</w:t>
      </w:r>
      <w:proofErr w:type="gramEnd"/>
      <w:r w:rsidRPr="00A23C1F">
        <w:rPr>
          <w:rFonts w:ascii="Arial" w:hAnsi="Arial" w:cs="Arial"/>
          <w:sz w:val="24"/>
          <w:szCs w:val="24"/>
          <w:lang w:val="es-CO"/>
        </w:rPr>
        <w:t xml:space="preserve"> –incluido el Consorcio </w:t>
      </w:r>
      <w:proofErr w:type="spellStart"/>
      <w:r w:rsidRPr="00A23C1F">
        <w:rPr>
          <w:rFonts w:ascii="Arial" w:hAnsi="Arial" w:cs="Arial"/>
          <w:sz w:val="24"/>
          <w:szCs w:val="24"/>
          <w:lang w:val="es-CO"/>
        </w:rPr>
        <w:t>Icagel</w:t>
      </w:r>
      <w:proofErr w:type="spellEnd"/>
      <w:r w:rsidRPr="00A23C1F">
        <w:rPr>
          <w:rFonts w:ascii="Arial" w:hAnsi="Arial" w:cs="Arial"/>
          <w:sz w:val="24"/>
          <w:szCs w:val="24"/>
          <w:lang w:val="es-CO"/>
        </w:rPr>
        <w:t xml:space="preserve"> Limitada- pusieron de presente al </w:t>
      </w:r>
      <w:proofErr w:type="spellStart"/>
      <w:r w:rsidRPr="00A23C1F">
        <w:rPr>
          <w:rFonts w:ascii="Arial" w:hAnsi="Arial" w:cs="Arial"/>
          <w:sz w:val="24"/>
          <w:szCs w:val="24"/>
          <w:lang w:val="es-CO"/>
        </w:rPr>
        <w:t>Invías</w:t>
      </w:r>
      <w:proofErr w:type="spellEnd"/>
      <w:r w:rsidRPr="00A23C1F">
        <w:rPr>
          <w:rFonts w:ascii="Arial" w:hAnsi="Arial" w:cs="Arial"/>
          <w:sz w:val="24"/>
          <w:szCs w:val="24"/>
          <w:lang w:val="es-CO"/>
        </w:rPr>
        <w:t xml:space="preserve"> que algunos proponentes habían desconocido la prohibición establecida en el numeral 3.8.2. del pliego de condiciones, en la medida en que modificaron el precio de algunos ítems expresados a precio global</w:t>
      </w:r>
      <w:r w:rsidRPr="00A23C1F">
        <w:rPr>
          <w:rStyle w:val="Refdenotaalpie"/>
          <w:rFonts w:ascii="Arial" w:hAnsi="Arial" w:cs="Arial"/>
          <w:sz w:val="24"/>
          <w:szCs w:val="24"/>
          <w:lang w:val="es-CO"/>
        </w:rPr>
        <w:footnoteReference w:id="18"/>
      </w:r>
      <w:r w:rsidRPr="00A23C1F">
        <w:rPr>
          <w:rFonts w:ascii="Arial" w:hAnsi="Arial" w:cs="Arial"/>
          <w:sz w:val="24"/>
          <w:szCs w:val="24"/>
          <w:lang w:val="es-CO"/>
        </w:rPr>
        <w:t xml:space="preserve">. </w:t>
      </w:r>
    </w:p>
    <w:p w14:paraId="205B8821" w14:textId="77777777" w:rsidR="00392470" w:rsidRPr="00A23C1F" w:rsidRDefault="00392470" w:rsidP="00392470">
      <w:pPr>
        <w:spacing w:line="360" w:lineRule="auto"/>
        <w:ind w:right="-142"/>
        <w:contextualSpacing/>
        <w:jc w:val="both"/>
        <w:rPr>
          <w:rFonts w:ascii="Arial" w:hAnsi="Arial" w:cs="Arial"/>
          <w:i/>
          <w:sz w:val="24"/>
          <w:szCs w:val="24"/>
        </w:rPr>
      </w:pPr>
    </w:p>
    <w:p w14:paraId="7282146E" w14:textId="77777777" w:rsidR="00392470" w:rsidRPr="00A23C1F" w:rsidRDefault="00392470" w:rsidP="00392470">
      <w:pPr>
        <w:spacing w:line="360" w:lineRule="auto"/>
        <w:ind w:right="-142"/>
        <w:contextualSpacing/>
        <w:jc w:val="both"/>
        <w:rPr>
          <w:rFonts w:ascii="Arial" w:hAnsi="Arial" w:cs="Arial"/>
          <w:i/>
          <w:sz w:val="24"/>
          <w:szCs w:val="24"/>
        </w:rPr>
      </w:pPr>
    </w:p>
    <w:p w14:paraId="0356B3E1" w14:textId="77777777" w:rsidR="00392470" w:rsidRPr="00A23C1F" w:rsidRDefault="00392470" w:rsidP="00392470">
      <w:pPr>
        <w:spacing w:line="360" w:lineRule="auto"/>
        <w:ind w:right="-142"/>
        <w:contextualSpacing/>
        <w:jc w:val="both"/>
        <w:rPr>
          <w:rFonts w:ascii="Arial" w:hAnsi="Arial" w:cs="Arial"/>
          <w:i/>
          <w:sz w:val="24"/>
          <w:szCs w:val="24"/>
        </w:rPr>
      </w:pPr>
    </w:p>
    <w:p w14:paraId="303F7237" w14:textId="77777777" w:rsidR="00392470" w:rsidRPr="00A23C1F" w:rsidRDefault="00392470" w:rsidP="00392470">
      <w:pPr>
        <w:spacing w:line="360" w:lineRule="auto"/>
        <w:ind w:right="-142"/>
        <w:contextualSpacing/>
        <w:jc w:val="both"/>
        <w:rPr>
          <w:rFonts w:ascii="Arial" w:hAnsi="Arial" w:cs="Arial"/>
          <w:sz w:val="24"/>
          <w:szCs w:val="24"/>
          <w:lang w:val="es-CO"/>
        </w:rPr>
      </w:pPr>
      <w:r w:rsidRPr="00A23C1F">
        <w:rPr>
          <w:rFonts w:ascii="Arial" w:hAnsi="Arial" w:cs="Arial"/>
          <w:sz w:val="24"/>
          <w:szCs w:val="24"/>
          <w:lang w:val="es-CO"/>
        </w:rPr>
        <w:t xml:space="preserve">42. En respuesta a las observaciones realizadas por algunos proponentes acerca de la prohibición establecida en el numeral 3.8.2 del pliego de condiciones, el </w:t>
      </w:r>
      <w:proofErr w:type="spellStart"/>
      <w:r w:rsidRPr="00A23C1F">
        <w:rPr>
          <w:rFonts w:ascii="Arial" w:hAnsi="Arial" w:cs="Arial"/>
          <w:sz w:val="24"/>
          <w:szCs w:val="24"/>
          <w:lang w:val="es-CO"/>
        </w:rPr>
        <w:t>Invías</w:t>
      </w:r>
      <w:proofErr w:type="spellEnd"/>
      <w:r w:rsidRPr="00A23C1F">
        <w:rPr>
          <w:rFonts w:ascii="Arial" w:hAnsi="Arial" w:cs="Arial"/>
          <w:sz w:val="24"/>
          <w:szCs w:val="24"/>
          <w:lang w:val="es-CO"/>
        </w:rPr>
        <w:t xml:space="preserve"> expidió el comunicado No. 4 de 4 de noviembre de 2007, en el que señaló (se trascribe)</w:t>
      </w:r>
      <w:r w:rsidRPr="00A23C1F">
        <w:rPr>
          <w:rStyle w:val="Refdenotaalpie"/>
          <w:rFonts w:ascii="Arial" w:hAnsi="Arial" w:cs="Arial"/>
          <w:sz w:val="24"/>
          <w:szCs w:val="24"/>
          <w:lang w:val="es-CO"/>
        </w:rPr>
        <w:footnoteReference w:id="19"/>
      </w:r>
      <w:r w:rsidRPr="00A23C1F">
        <w:rPr>
          <w:rFonts w:ascii="Arial" w:hAnsi="Arial" w:cs="Arial"/>
          <w:sz w:val="24"/>
          <w:szCs w:val="24"/>
          <w:lang w:val="es-CO"/>
        </w:rPr>
        <w:t>:</w:t>
      </w:r>
    </w:p>
    <w:p w14:paraId="0D0D79A8"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5900D50E" w14:textId="77777777" w:rsidR="00392470" w:rsidRPr="00A23C1F" w:rsidRDefault="00392470" w:rsidP="00392470">
      <w:pPr>
        <w:ind w:left="567" w:right="567"/>
        <w:contextualSpacing/>
        <w:jc w:val="both"/>
        <w:rPr>
          <w:rFonts w:ascii="Arial" w:hAnsi="Arial" w:cs="Arial"/>
          <w:i/>
          <w:sz w:val="24"/>
          <w:szCs w:val="24"/>
        </w:rPr>
      </w:pPr>
      <w:r w:rsidRPr="00A23C1F">
        <w:rPr>
          <w:rFonts w:ascii="Arial" w:hAnsi="Arial" w:cs="Arial"/>
          <w:i/>
          <w:sz w:val="24"/>
          <w:szCs w:val="24"/>
        </w:rPr>
        <w:t>1.- El pliego de condiciones en el numeral 3.8.2. Sobre No. 2, consagró ‘En este sobre el proponente deberá incluir el Formulario No. 4 – Propuesta económica, para cada uno de los módulos a los que presenta oferta; su omisión generará RECHAZO de la propuesta.</w:t>
      </w:r>
    </w:p>
    <w:p w14:paraId="0FFA6EAD" w14:textId="77777777" w:rsidR="00392470" w:rsidRPr="00A23C1F" w:rsidRDefault="00392470" w:rsidP="00392470">
      <w:pPr>
        <w:ind w:left="567" w:right="567"/>
        <w:contextualSpacing/>
        <w:jc w:val="both"/>
        <w:rPr>
          <w:rFonts w:ascii="Arial" w:hAnsi="Arial" w:cs="Arial"/>
          <w:i/>
          <w:sz w:val="24"/>
          <w:szCs w:val="24"/>
        </w:rPr>
      </w:pPr>
      <w:r w:rsidRPr="00A23C1F">
        <w:rPr>
          <w:rFonts w:ascii="Arial" w:hAnsi="Arial" w:cs="Arial"/>
          <w:i/>
          <w:sz w:val="24"/>
          <w:szCs w:val="24"/>
        </w:rPr>
        <w:t>El proponente deberá diligenciar este formulario y no podrá so pena de rechazo adicionar, modificar, suprimir o, en todo caso, alterar sus unidades, cantidades e ítems, ni el valor correspondiente a obras complementarias (incluye provisión PAGA), ni el valor global de los ítems que tengan esa modalidad, toda vez que dicha información se requiere para la comparación objetiva de las propuestas’.</w:t>
      </w:r>
    </w:p>
    <w:p w14:paraId="1574AE9A" w14:textId="77777777" w:rsidR="00392470" w:rsidRPr="00A23C1F" w:rsidRDefault="00392470" w:rsidP="00392470">
      <w:pPr>
        <w:ind w:left="567" w:right="567"/>
        <w:contextualSpacing/>
        <w:jc w:val="both"/>
        <w:rPr>
          <w:rFonts w:ascii="Arial" w:hAnsi="Arial" w:cs="Arial"/>
          <w:i/>
          <w:sz w:val="24"/>
          <w:szCs w:val="24"/>
        </w:rPr>
      </w:pPr>
      <w:r w:rsidRPr="00A23C1F">
        <w:rPr>
          <w:rFonts w:ascii="Arial" w:hAnsi="Arial" w:cs="Arial"/>
          <w:i/>
          <w:sz w:val="24"/>
          <w:szCs w:val="24"/>
        </w:rPr>
        <w:t>2.- En el formulario No. 4 para el presente proceso, se destacaron como no modificables en cada uno de los módulos, los ítems correspondientes a:</w:t>
      </w:r>
    </w:p>
    <w:p w14:paraId="385B15EC" w14:textId="77777777" w:rsidR="00392470" w:rsidRPr="00A23C1F" w:rsidRDefault="00392470" w:rsidP="00392470">
      <w:pPr>
        <w:ind w:left="567" w:right="567"/>
        <w:contextualSpacing/>
        <w:jc w:val="both"/>
        <w:rPr>
          <w:rFonts w:ascii="Arial" w:hAnsi="Arial" w:cs="Arial"/>
          <w:i/>
          <w:sz w:val="24"/>
          <w:szCs w:val="24"/>
        </w:rPr>
      </w:pPr>
      <w:r w:rsidRPr="00A23C1F">
        <w:rPr>
          <w:rFonts w:ascii="Arial" w:hAnsi="Arial" w:cs="Arial"/>
          <w:i/>
          <w:sz w:val="24"/>
          <w:szCs w:val="24"/>
        </w:rPr>
        <w:t>(…)</w:t>
      </w:r>
    </w:p>
    <w:p w14:paraId="1964DF9F" w14:textId="77777777" w:rsidR="00392470" w:rsidRPr="00A23C1F" w:rsidRDefault="00392470" w:rsidP="00392470">
      <w:pPr>
        <w:ind w:left="567" w:right="567"/>
        <w:contextualSpacing/>
        <w:jc w:val="both"/>
        <w:rPr>
          <w:rFonts w:ascii="Arial" w:hAnsi="Arial" w:cs="Arial"/>
          <w:i/>
          <w:sz w:val="24"/>
          <w:szCs w:val="24"/>
        </w:rPr>
      </w:pPr>
      <w:r w:rsidRPr="00A23C1F">
        <w:rPr>
          <w:rFonts w:ascii="Arial" w:hAnsi="Arial" w:cs="Arial"/>
          <w:i/>
          <w:sz w:val="24"/>
          <w:szCs w:val="24"/>
        </w:rPr>
        <w:lastRenderedPageBreak/>
        <w:t>MODULO 2</w:t>
      </w:r>
    </w:p>
    <w:p w14:paraId="4DE384EB" w14:textId="77777777" w:rsidR="00392470" w:rsidRPr="00A23C1F" w:rsidRDefault="00392470" w:rsidP="00392470">
      <w:pPr>
        <w:ind w:left="567" w:right="567"/>
        <w:contextualSpacing/>
        <w:jc w:val="both"/>
        <w:rPr>
          <w:rFonts w:ascii="Arial" w:hAnsi="Arial" w:cs="Arial"/>
          <w:i/>
          <w:sz w:val="24"/>
          <w:szCs w:val="24"/>
        </w:rPr>
      </w:pPr>
      <w:r w:rsidRPr="00A23C1F">
        <w:rPr>
          <w:rFonts w:ascii="Arial" w:hAnsi="Arial" w:cs="Arial"/>
          <w:i/>
          <w:sz w:val="24"/>
          <w:szCs w:val="24"/>
        </w:rPr>
        <w:t>- PROVISIÓN ESTIMADA PARA OBRAS COMPLEMENTARIAS (INCLUYE PAGA)</w:t>
      </w:r>
    </w:p>
    <w:p w14:paraId="2C6F0104" w14:textId="77777777" w:rsidR="00392470" w:rsidRPr="00A23C1F" w:rsidRDefault="00392470" w:rsidP="00392470">
      <w:pPr>
        <w:ind w:left="567" w:right="567"/>
        <w:contextualSpacing/>
        <w:jc w:val="both"/>
        <w:rPr>
          <w:rFonts w:ascii="Arial" w:hAnsi="Arial" w:cs="Arial"/>
          <w:i/>
          <w:sz w:val="24"/>
          <w:szCs w:val="24"/>
        </w:rPr>
      </w:pPr>
      <w:r w:rsidRPr="00A23C1F">
        <w:rPr>
          <w:rFonts w:ascii="Arial" w:hAnsi="Arial" w:cs="Arial"/>
          <w:i/>
          <w:sz w:val="24"/>
          <w:szCs w:val="24"/>
        </w:rPr>
        <w:t>- ESTUDIOS (Diagnóstico de la estructura actual …)</w:t>
      </w:r>
    </w:p>
    <w:p w14:paraId="3986C188" w14:textId="77777777" w:rsidR="00392470" w:rsidRPr="00A23C1F" w:rsidRDefault="00392470" w:rsidP="00392470">
      <w:pPr>
        <w:ind w:left="567" w:right="567"/>
        <w:contextualSpacing/>
        <w:jc w:val="both"/>
        <w:rPr>
          <w:rFonts w:ascii="Arial" w:hAnsi="Arial" w:cs="Arial"/>
          <w:i/>
          <w:sz w:val="24"/>
          <w:szCs w:val="24"/>
        </w:rPr>
      </w:pPr>
      <w:r w:rsidRPr="00A23C1F">
        <w:rPr>
          <w:rFonts w:ascii="Arial" w:hAnsi="Arial" w:cs="Arial"/>
          <w:i/>
          <w:sz w:val="24"/>
          <w:szCs w:val="24"/>
        </w:rPr>
        <w:t>(…)</w:t>
      </w:r>
    </w:p>
    <w:p w14:paraId="01BB5866" w14:textId="77777777" w:rsidR="00392470" w:rsidRPr="00A23C1F" w:rsidRDefault="00392470" w:rsidP="00392470">
      <w:pPr>
        <w:ind w:left="567" w:right="567"/>
        <w:contextualSpacing/>
        <w:jc w:val="both"/>
        <w:rPr>
          <w:rFonts w:ascii="Arial" w:hAnsi="Arial" w:cs="Arial"/>
          <w:i/>
          <w:sz w:val="24"/>
          <w:szCs w:val="24"/>
        </w:rPr>
      </w:pPr>
      <w:r w:rsidRPr="00A23C1F">
        <w:rPr>
          <w:rFonts w:ascii="Arial" w:hAnsi="Arial" w:cs="Arial"/>
          <w:i/>
          <w:sz w:val="24"/>
          <w:szCs w:val="24"/>
        </w:rPr>
        <w:t>5.- El comportamiento de las propuestas que obtuvieron calificación de ADMISIBLES, al momento de apertura del sobre No. 2 en relación con la posibilidad o no de modificar los ítems antes referidos, fue el siguiente:</w:t>
      </w:r>
    </w:p>
    <w:p w14:paraId="0B3AFA4E" w14:textId="77777777" w:rsidR="00392470" w:rsidRPr="00A23C1F" w:rsidRDefault="00392470" w:rsidP="00392470">
      <w:pPr>
        <w:contextualSpacing/>
        <w:jc w:val="both"/>
        <w:rPr>
          <w:rFonts w:ascii="Arial" w:hAnsi="Arial" w:cs="Arial"/>
          <w:i/>
          <w:sz w:val="24"/>
          <w:szCs w:val="24"/>
        </w:rPr>
      </w:pPr>
    </w:p>
    <w:p w14:paraId="70A12D1F" w14:textId="77777777" w:rsidR="00392470" w:rsidRPr="00A23C1F" w:rsidRDefault="00392470" w:rsidP="00392470">
      <w:pPr>
        <w:contextualSpacing/>
        <w:jc w:val="both"/>
        <w:rPr>
          <w:rFonts w:ascii="Arial" w:hAnsi="Arial" w:cs="Arial"/>
          <w:i/>
          <w:sz w:val="24"/>
          <w:szCs w:val="24"/>
        </w:rPr>
      </w:pPr>
      <w:r w:rsidRPr="00A23C1F">
        <w:rPr>
          <w:rFonts w:ascii="Arial" w:hAnsi="Arial" w:cs="Arial"/>
          <w:i/>
          <w:sz w:val="24"/>
          <w:szCs w:val="24"/>
        </w:rPr>
        <w:t>MODULO 2</w:t>
      </w:r>
    </w:p>
    <w:p w14:paraId="724CE43A" w14:textId="77777777" w:rsidR="00392470" w:rsidRPr="00A23C1F" w:rsidRDefault="00392470" w:rsidP="00392470">
      <w:pPr>
        <w:spacing w:line="276" w:lineRule="auto"/>
        <w:contextualSpacing/>
        <w:jc w:val="both"/>
        <w:rPr>
          <w:rFonts w:ascii="Arial" w:hAnsi="Arial" w:cs="Arial"/>
          <w:i/>
          <w:sz w:val="24"/>
          <w:szCs w:val="24"/>
        </w:rPr>
      </w:pPr>
    </w:p>
    <w:tbl>
      <w:tblPr>
        <w:tblW w:w="8440" w:type="dxa"/>
        <w:tblInd w:w="75" w:type="dxa"/>
        <w:tblCellMar>
          <w:left w:w="70" w:type="dxa"/>
          <w:right w:w="70" w:type="dxa"/>
        </w:tblCellMar>
        <w:tblLook w:val="04A0" w:firstRow="1" w:lastRow="0" w:firstColumn="1" w:lastColumn="0" w:noHBand="0" w:noVBand="1"/>
      </w:tblPr>
      <w:tblGrid>
        <w:gridCol w:w="3220"/>
        <w:gridCol w:w="3780"/>
        <w:gridCol w:w="1440"/>
      </w:tblGrid>
      <w:tr w:rsidR="00392470" w:rsidRPr="00A23C1F" w14:paraId="2D8D7CCD" w14:textId="77777777" w:rsidTr="00CB55A4">
        <w:trPr>
          <w:trHeight w:val="33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C7E3C"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PROPONENTE</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14:paraId="47E36C55"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ITEM</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ABFDCFB"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 </w:t>
            </w:r>
          </w:p>
        </w:tc>
      </w:tr>
      <w:tr w:rsidR="00392470" w:rsidRPr="00A23C1F" w14:paraId="12C747BD" w14:textId="77777777" w:rsidTr="00CB55A4">
        <w:trPr>
          <w:trHeight w:val="330"/>
        </w:trPr>
        <w:tc>
          <w:tcPr>
            <w:tcW w:w="32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F98271"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 xml:space="preserve">Consorcio </w:t>
            </w:r>
            <w:proofErr w:type="spellStart"/>
            <w:r w:rsidRPr="00A23C1F">
              <w:rPr>
                <w:rFonts w:ascii="Arial" w:eastAsia="Times New Roman" w:hAnsi="Arial" w:cs="Arial"/>
                <w:i/>
                <w:color w:val="000000"/>
                <w:sz w:val="24"/>
                <w:szCs w:val="24"/>
                <w:lang w:eastAsia="es-ES"/>
              </w:rPr>
              <w:t>Metalpuentes</w:t>
            </w:r>
            <w:proofErr w:type="spellEnd"/>
          </w:p>
        </w:tc>
        <w:tc>
          <w:tcPr>
            <w:tcW w:w="3780" w:type="dxa"/>
            <w:tcBorders>
              <w:top w:val="nil"/>
              <w:left w:val="nil"/>
              <w:bottom w:val="single" w:sz="4" w:space="0" w:color="auto"/>
              <w:right w:val="single" w:sz="4" w:space="0" w:color="auto"/>
            </w:tcBorders>
            <w:shd w:val="clear" w:color="auto" w:fill="auto"/>
            <w:noWrap/>
            <w:vAlign w:val="center"/>
            <w:hideMark/>
          </w:tcPr>
          <w:p w14:paraId="2A0DE4D8"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Control de Tránsito y Señalización</w:t>
            </w:r>
          </w:p>
        </w:tc>
        <w:tc>
          <w:tcPr>
            <w:tcW w:w="1440" w:type="dxa"/>
            <w:tcBorders>
              <w:top w:val="nil"/>
              <w:left w:val="nil"/>
              <w:bottom w:val="single" w:sz="4" w:space="0" w:color="auto"/>
              <w:right w:val="single" w:sz="4" w:space="0" w:color="auto"/>
            </w:tcBorders>
            <w:shd w:val="clear" w:color="auto" w:fill="auto"/>
            <w:noWrap/>
            <w:vAlign w:val="center"/>
            <w:hideMark/>
          </w:tcPr>
          <w:p w14:paraId="72110A5B"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No modificó</w:t>
            </w:r>
          </w:p>
        </w:tc>
      </w:tr>
      <w:tr w:rsidR="00392470" w:rsidRPr="00A23C1F" w14:paraId="0E7DA995" w14:textId="77777777" w:rsidTr="00CB55A4">
        <w:trPr>
          <w:trHeight w:val="570"/>
        </w:trPr>
        <w:tc>
          <w:tcPr>
            <w:tcW w:w="3220" w:type="dxa"/>
            <w:vMerge/>
            <w:tcBorders>
              <w:top w:val="nil"/>
              <w:left w:val="single" w:sz="4" w:space="0" w:color="auto"/>
              <w:bottom w:val="single" w:sz="4" w:space="0" w:color="000000"/>
              <w:right w:val="single" w:sz="4" w:space="0" w:color="auto"/>
            </w:tcBorders>
            <w:vAlign w:val="center"/>
            <w:hideMark/>
          </w:tcPr>
          <w:p w14:paraId="0217C8BF" w14:textId="77777777" w:rsidR="00392470" w:rsidRPr="00A23C1F" w:rsidRDefault="00392470" w:rsidP="00CB55A4">
            <w:pPr>
              <w:rPr>
                <w:rFonts w:ascii="Arial" w:eastAsia="Times New Roman" w:hAnsi="Arial" w:cs="Arial"/>
                <w:i/>
                <w:color w:val="000000"/>
                <w:sz w:val="24"/>
                <w:szCs w:val="24"/>
                <w:lang w:eastAsia="es-ES"/>
              </w:rPr>
            </w:pPr>
          </w:p>
        </w:tc>
        <w:tc>
          <w:tcPr>
            <w:tcW w:w="3780" w:type="dxa"/>
            <w:tcBorders>
              <w:top w:val="nil"/>
              <w:left w:val="nil"/>
              <w:bottom w:val="single" w:sz="4" w:space="0" w:color="auto"/>
              <w:right w:val="single" w:sz="4" w:space="0" w:color="auto"/>
            </w:tcBorders>
            <w:shd w:val="clear" w:color="auto" w:fill="auto"/>
            <w:vAlign w:val="center"/>
            <w:hideMark/>
          </w:tcPr>
          <w:p w14:paraId="657D0BDF"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PROVISIÓN ESTIMADA PARA OBRAS COMPLEMENTARIAS (INCLUYE PAGA)</w:t>
            </w:r>
          </w:p>
        </w:tc>
        <w:tc>
          <w:tcPr>
            <w:tcW w:w="1440" w:type="dxa"/>
            <w:tcBorders>
              <w:top w:val="nil"/>
              <w:left w:val="nil"/>
              <w:bottom w:val="single" w:sz="4" w:space="0" w:color="auto"/>
              <w:right w:val="single" w:sz="4" w:space="0" w:color="auto"/>
            </w:tcBorders>
            <w:shd w:val="clear" w:color="auto" w:fill="auto"/>
            <w:noWrap/>
            <w:vAlign w:val="center"/>
            <w:hideMark/>
          </w:tcPr>
          <w:p w14:paraId="093D449B"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No modificó</w:t>
            </w:r>
          </w:p>
        </w:tc>
      </w:tr>
      <w:tr w:rsidR="00392470" w:rsidRPr="00A23C1F" w14:paraId="27F4C12C" w14:textId="77777777" w:rsidTr="00CB55A4">
        <w:trPr>
          <w:trHeight w:val="570"/>
        </w:trPr>
        <w:tc>
          <w:tcPr>
            <w:tcW w:w="3220" w:type="dxa"/>
            <w:vMerge/>
            <w:tcBorders>
              <w:top w:val="nil"/>
              <w:left w:val="single" w:sz="4" w:space="0" w:color="auto"/>
              <w:bottom w:val="single" w:sz="4" w:space="0" w:color="000000"/>
              <w:right w:val="single" w:sz="4" w:space="0" w:color="auto"/>
            </w:tcBorders>
            <w:vAlign w:val="center"/>
            <w:hideMark/>
          </w:tcPr>
          <w:p w14:paraId="05DF603F" w14:textId="77777777" w:rsidR="00392470" w:rsidRPr="00A23C1F" w:rsidRDefault="00392470" w:rsidP="00CB55A4">
            <w:pPr>
              <w:rPr>
                <w:rFonts w:ascii="Arial" w:eastAsia="Times New Roman" w:hAnsi="Arial" w:cs="Arial"/>
                <w:i/>
                <w:color w:val="000000"/>
                <w:sz w:val="24"/>
                <w:szCs w:val="24"/>
                <w:lang w:eastAsia="es-ES"/>
              </w:rPr>
            </w:pPr>
          </w:p>
        </w:tc>
        <w:tc>
          <w:tcPr>
            <w:tcW w:w="3780" w:type="dxa"/>
            <w:tcBorders>
              <w:top w:val="nil"/>
              <w:left w:val="nil"/>
              <w:bottom w:val="single" w:sz="4" w:space="0" w:color="auto"/>
              <w:right w:val="single" w:sz="4" w:space="0" w:color="auto"/>
            </w:tcBorders>
            <w:shd w:val="clear" w:color="auto" w:fill="auto"/>
            <w:vAlign w:val="center"/>
            <w:hideMark/>
          </w:tcPr>
          <w:p w14:paraId="657BFD51"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ESTUDIOS (Diagnóstico de la estructura actual…)</w:t>
            </w:r>
          </w:p>
        </w:tc>
        <w:tc>
          <w:tcPr>
            <w:tcW w:w="1440" w:type="dxa"/>
            <w:tcBorders>
              <w:top w:val="nil"/>
              <w:left w:val="nil"/>
              <w:bottom w:val="single" w:sz="4" w:space="0" w:color="auto"/>
              <w:right w:val="single" w:sz="4" w:space="0" w:color="auto"/>
            </w:tcBorders>
            <w:shd w:val="clear" w:color="auto" w:fill="auto"/>
            <w:noWrap/>
            <w:vAlign w:val="center"/>
            <w:hideMark/>
          </w:tcPr>
          <w:p w14:paraId="60B2019D"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No modificó</w:t>
            </w:r>
          </w:p>
        </w:tc>
      </w:tr>
      <w:tr w:rsidR="00392470" w:rsidRPr="00A23C1F" w14:paraId="073056AF" w14:textId="77777777" w:rsidTr="00CB55A4">
        <w:trPr>
          <w:trHeight w:val="330"/>
        </w:trPr>
        <w:tc>
          <w:tcPr>
            <w:tcW w:w="32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A3865B"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 xml:space="preserve">Consorcio </w:t>
            </w:r>
            <w:proofErr w:type="spellStart"/>
            <w:r w:rsidRPr="00A23C1F">
              <w:rPr>
                <w:rFonts w:ascii="Arial" w:eastAsia="Times New Roman" w:hAnsi="Arial" w:cs="Arial"/>
                <w:i/>
                <w:color w:val="000000"/>
                <w:sz w:val="24"/>
                <w:szCs w:val="24"/>
                <w:lang w:eastAsia="es-ES"/>
              </w:rPr>
              <w:t>Icagel</w:t>
            </w:r>
            <w:proofErr w:type="spellEnd"/>
            <w:r w:rsidRPr="00A23C1F">
              <w:rPr>
                <w:rFonts w:ascii="Arial" w:eastAsia="Times New Roman" w:hAnsi="Arial" w:cs="Arial"/>
                <w:i/>
                <w:color w:val="000000"/>
                <w:sz w:val="24"/>
                <w:szCs w:val="24"/>
                <w:lang w:eastAsia="es-ES"/>
              </w:rPr>
              <w:t xml:space="preserve"> Ltda.</w:t>
            </w:r>
          </w:p>
        </w:tc>
        <w:tc>
          <w:tcPr>
            <w:tcW w:w="3780" w:type="dxa"/>
            <w:tcBorders>
              <w:top w:val="nil"/>
              <w:left w:val="nil"/>
              <w:bottom w:val="single" w:sz="4" w:space="0" w:color="auto"/>
              <w:right w:val="single" w:sz="4" w:space="0" w:color="auto"/>
            </w:tcBorders>
            <w:shd w:val="clear" w:color="auto" w:fill="auto"/>
            <w:noWrap/>
            <w:vAlign w:val="center"/>
            <w:hideMark/>
          </w:tcPr>
          <w:p w14:paraId="636634F0"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Control de Tránsito y Señalización</w:t>
            </w:r>
          </w:p>
        </w:tc>
        <w:tc>
          <w:tcPr>
            <w:tcW w:w="1440" w:type="dxa"/>
            <w:tcBorders>
              <w:top w:val="nil"/>
              <w:left w:val="nil"/>
              <w:bottom w:val="single" w:sz="4" w:space="0" w:color="auto"/>
              <w:right w:val="single" w:sz="4" w:space="0" w:color="auto"/>
            </w:tcBorders>
            <w:shd w:val="clear" w:color="auto" w:fill="auto"/>
            <w:noWrap/>
            <w:vAlign w:val="center"/>
            <w:hideMark/>
          </w:tcPr>
          <w:p w14:paraId="6309B9F8"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No modificó</w:t>
            </w:r>
          </w:p>
        </w:tc>
      </w:tr>
      <w:tr w:rsidR="00392470" w:rsidRPr="00A23C1F" w14:paraId="2A68F050" w14:textId="77777777" w:rsidTr="00CB55A4">
        <w:trPr>
          <w:trHeight w:val="570"/>
        </w:trPr>
        <w:tc>
          <w:tcPr>
            <w:tcW w:w="3220" w:type="dxa"/>
            <w:vMerge/>
            <w:tcBorders>
              <w:top w:val="nil"/>
              <w:left w:val="single" w:sz="4" w:space="0" w:color="auto"/>
              <w:bottom w:val="single" w:sz="4" w:space="0" w:color="000000"/>
              <w:right w:val="single" w:sz="4" w:space="0" w:color="auto"/>
            </w:tcBorders>
            <w:vAlign w:val="center"/>
            <w:hideMark/>
          </w:tcPr>
          <w:p w14:paraId="647A2727" w14:textId="77777777" w:rsidR="00392470" w:rsidRPr="00A23C1F" w:rsidRDefault="00392470" w:rsidP="00CB55A4">
            <w:pPr>
              <w:rPr>
                <w:rFonts w:ascii="Arial" w:eastAsia="Times New Roman" w:hAnsi="Arial" w:cs="Arial"/>
                <w:i/>
                <w:color w:val="000000"/>
                <w:sz w:val="24"/>
                <w:szCs w:val="24"/>
                <w:lang w:eastAsia="es-ES"/>
              </w:rPr>
            </w:pPr>
          </w:p>
        </w:tc>
        <w:tc>
          <w:tcPr>
            <w:tcW w:w="3780" w:type="dxa"/>
            <w:tcBorders>
              <w:top w:val="nil"/>
              <w:left w:val="nil"/>
              <w:bottom w:val="single" w:sz="4" w:space="0" w:color="auto"/>
              <w:right w:val="single" w:sz="4" w:space="0" w:color="auto"/>
            </w:tcBorders>
            <w:shd w:val="clear" w:color="auto" w:fill="auto"/>
            <w:vAlign w:val="center"/>
            <w:hideMark/>
          </w:tcPr>
          <w:p w14:paraId="3D3CEA1F"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PROVISIÓN ESTIMADA PARA OBRAS COMPLEMENTARIAS (INCLUYE PAGA)</w:t>
            </w:r>
          </w:p>
        </w:tc>
        <w:tc>
          <w:tcPr>
            <w:tcW w:w="1440" w:type="dxa"/>
            <w:tcBorders>
              <w:top w:val="nil"/>
              <w:left w:val="nil"/>
              <w:bottom w:val="single" w:sz="4" w:space="0" w:color="auto"/>
              <w:right w:val="single" w:sz="4" w:space="0" w:color="auto"/>
            </w:tcBorders>
            <w:shd w:val="clear" w:color="auto" w:fill="auto"/>
            <w:noWrap/>
            <w:vAlign w:val="center"/>
            <w:hideMark/>
          </w:tcPr>
          <w:p w14:paraId="64EE70C4"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No modificó</w:t>
            </w:r>
          </w:p>
        </w:tc>
      </w:tr>
      <w:tr w:rsidR="00392470" w:rsidRPr="00A23C1F" w14:paraId="278F988C" w14:textId="77777777" w:rsidTr="00CB55A4">
        <w:trPr>
          <w:trHeight w:val="570"/>
        </w:trPr>
        <w:tc>
          <w:tcPr>
            <w:tcW w:w="3220" w:type="dxa"/>
            <w:vMerge/>
            <w:tcBorders>
              <w:top w:val="nil"/>
              <w:left w:val="single" w:sz="4" w:space="0" w:color="auto"/>
              <w:bottom w:val="single" w:sz="4" w:space="0" w:color="000000"/>
              <w:right w:val="single" w:sz="4" w:space="0" w:color="auto"/>
            </w:tcBorders>
            <w:vAlign w:val="center"/>
            <w:hideMark/>
          </w:tcPr>
          <w:p w14:paraId="16D7F020" w14:textId="77777777" w:rsidR="00392470" w:rsidRPr="00A23C1F" w:rsidRDefault="00392470" w:rsidP="00CB55A4">
            <w:pPr>
              <w:rPr>
                <w:rFonts w:ascii="Arial" w:eastAsia="Times New Roman" w:hAnsi="Arial" w:cs="Arial"/>
                <w:i/>
                <w:color w:val="000000"/>
                <w:sz w:val="24"/>
                <w:szCs w:val="24"/>
                <w:lang w:eastAsia="es-ES"/>
              </w:rPr>
            </w:pPr>
          </w:p>
        </w:tc>
        <w:tc>
          <w:tcPr>
            <w:tcW w:w="3780" w:type="dxa"/>
            <w:tcBorders>
              <w:top w:val="nil"/>
              <w:left w:val="nil"/>
              <w:bottom w:val="single" w:sz="4" w:space="0" w:color="auto"/>
              <w:right w:val="single" w:sz="4" w:space="0" w:color="auto"/>
            </w:tcBorders>
            <w:shd w:val="clear" w:color="auto" w:fill="auto"/>
            <w:vAlign w:val="center"/>
            <w:hideMark/>
          </w:tcPr>
          <w:p w14:paraId="7523C4E7"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ESTUDIOS (Diagnóstico de la estructura actual…)</w:t>
            </w:r>
          </w:p>
        </w:tc>
        <w:tc>
          <w:tcPr>
            <w:tcW w:w="1440" w:type="dxa"/>
            <w:tcBorders>
              <w:top w:val="nil"/>
              <w:left w:val="nil"/>
              <w:bottom w:val="single" w:sz="4" w:space="0" w:color="auto"/>
              <w:right w:val="single" w:sz="4" w:space="0" w:color="auto"/>
            </w:tcBorders>
            <w:shd w:val="clear" w:color="auto" w:fill="auto"/>
            <w:noWrap/>
            <w:vAlign w:val="center"/>
            <w:hideMark/>
          </w:tcPr>
          <w:p w14:paraId="7845C47B"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No modificó</w:t>
            </w:r>
          </w:p>
        </w:tc>
      </w:tr>
      <w:tr w:rsidR="00392470" w:rsidRPr="00A23C1F" w14:paraId="3D99D661" w14:textId="77777777" w:rsidTr="00CB55A4">
        <w:trPr>
          <w:trHeight w:val="330"/>
        </w:trPr>
        <w:tc>
          <w:tcPr>
            <w:tcW w:w="32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DC020F"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Consorcio Los Andes</w:t>
            </w:r>
          </w:p>
        </w:tc>
        <w:tc>
          <w:tcPr>
            <w:tcW w:w="3780" w:type="dxa"/>
            <w:tcBorders>
              <w:top w:val="nil"/>
              <w:left w:val="nil"/>
              <w:bottom w:val="single" w:sz="4" w:space="0" w:color="auto"/>
              <w:right w:val="single" w:sz="4" w:space="0" w:color="auto"/>
            </w:tcBorders>
            <w:shd w:val="clear" w:color="auto" w:fill="auto"/>
            <w:noWrap/>
            <w:vAlign w:val="center"/>
            <w:hideMark/>
          </w:tcPr>
          <w:p w14:paraId="7547D30F"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Control de Tránsito y Señalización</w:t>
            </w:r>
          </w:p>
        </w:tc>
        <w:tc>
          <w:tcPr>
            <w:tcW w:w="1440" w:type="dxa"/>
            <w:tcBorders>
              <w:top w:val="nil"/>
              <w:left w:val="nil"/>
              <w:bottom w:val="single" w:sz="4" w:space="0" w:color="auto"/>
              <w:right w:val="single" w:sz="4" w:space="0" w:color="auto"/>
            </w:tcBorders>
            <w:shd w:val="clear" w:color="auto" w:fill="auto"/>
            <w:noWrap/>
            <w:vAlign w:val="center"/>
            <w:hideMark/>
          </w:tcPr>
          <w:p w14:paraId="5F78EFF1"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Si modificó</w:t>
            </w:r>
          </w:p>
        </w:tc>
      </w:tr>
      <w:tr w:rsidR="00392470" w:rsidRPr="00A23C1F" w14:paraId="4E576161" w14:textId="77777777" w:rsidTr="00CB55A4">
        <w:trPr>
          <w:trHeight w:val="570"/>
        </w:trPr>
        <w:tc>
          <w:tcPr>
            <w:tcW w:w="3220" w:type="dxa"/>
            <w:vMerge/>
            <w:tcBorders>
              <w:top w:val="nil"/>
              <w:left w:val="single" w:sz="4" w:space="0" w:color="auto"/>
              <w:bottom w:val="single" w:sz="4" w:space="0" w:color="000000"/>
              <w:right w:val="single" w:sz="4" w:space="0" w:color="auto"/>
            </w:tcBorders>
            <w:vAlign w:val="center"/>
            <w:hideMark/>
          </w:tcPr>
          <w:p w14:paraId="51C21B4F" w14:textId="77777777" w:rsidR="00392470" w:rsidRPr="00A23C1F" w:rsidRDefault="00392470" w:rsidP="00CB55A4">
            <w:pPr>
              <w:rPr>
                <w:rFonts w:ascii="Arial" w:eastAsia="Times New Roman" w:hAnsi="Arial" w:cs="Arial"/>
                <w:i/>
                <w:color w:val="000000"/>
                <w:sz w:val="24"/>
                <w:szCs w:val="24"/>
                <w:lang w:eastAsia="es-ES"/>
              </w:rPr>
            </w:pPr>
          </w:p>
        </w:tc>
        <w:tc>
          <w:tcPr>
            <w:tcW w:w="3780" w:type="dxa"/>
            <w:tcBorders>
              <w:top w:val="nil"/>
              <w:left w:val="nil"/>
              <w:bottom w:val="single" w:sz="4" w:space="0" w:color="auto"/>
              <w:right w:val="single" w:sz="4" w:space="0" w:color="auto"/>
            </w:tcBorders>
            <w:shd w:val="clear" w:color="auto" w:fill="auto"/>
            <w:vAlign w:val="center"/>
            <w:hideMark/>
          </w:tcPr>
          <w:p w14:paraId="1E9E77E6"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PROVISIÓN ESTIMADA PARA OBRAS COMPLEMENTARIAS (INCLUYE PAGA)</w:t>
            </w:r>
          </w:p>
        </w:tc>
        <w:tc>
          <w:tcPr>
            <w:tcW w:w="1440" w:type="dxa"/>
            <w:tcBorders>
              <w:top w:val="nil"/>
              <w:left w:val="nil"/>
              <w:bottom w:val="single" w:sz="4" w:space="0" w:color="auto"/>
              <w:right w:val="single" w:sz="4" w:space="0" w:color="auto"/>
            </w:tcBorders>
            <w:shd w:val="clear" w:color="auto" w:fill="auto"/>
            <w:noWrap/>
            <w:vAlign w:val="center"/>
            <w:hideMark/>
          </w:tcPr>
          <w:p w14:paraId="406A6FFF"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No modificó</w:t>
            </w:r>
          </w:p>
        </w:tc>
      </w:tr>
      <w:tr w:rsidR="00392470" w:rsidRPr="00A23C1F" w14:paraId="215B0CF8" w14:textId="77777777" w:rsidTr="00CB55A4">
        <w:trPr>
          <w:trHeight w:val="570"/>
        </w:trPr>
        <w:tc>
          <w:tcPr>
            <w:tcW w:w="3220" w:type="dxa"/>
            <w:vMerge/>
            <w:tcBorders>
              <w:top w:val="nil"/>
              <w:left w:val="single" w:sz="4" w:space="0" w:color="auto"/>
              <w:bottom w:val="single" w:sz="4" w:space="0" w:color="000000"/>
              <w:right w:val="single" w:sz="4" w:space="0" w:color="auto"/>
            </w:tcBorders>
            <w:vAlign w:val="center"/>
            <w:hideMark/>
          </w:tcPr>
          <w:p w14:paraId="093F949E" w14:textId="77777777" w:rsidR="00392470" w:rsidRPr="00A23C1F" w:rsidRDefault="00392470" w:rsidP="00CB55A4">
            <w:pPr>
              <w:rPr>
                <w:rFonts w:ascii="Arial" w:eastAsia="Times New Roman" w:hAnsi="Arial" w:cs="Arial"/>
                <w:i/>
                <w:color w:val="000000"/>
                <w:sz w:val="24"/>
                <w:szCs w:val="24"/>
                <w:lang w:eastAsia="es-ES"/>
              </w:rPr>
            </w:pPr>
          </w:p>
        </w:tc>
        <w:tc>
          <w:tcPr>
            <w:tcW w:w="3780" w:type="dxa"/>
            <w:tcBorders>
              <w:top w:val="nil"/>
              <w:left w:val="nil"/>
              <w:bottom w:val="single" w:sz="4" w:space="0" w:color="auto"/>
              <w:right w:val="single" w:sz="4" w:space="0" w:color="auto"/>
            </w:tcBorders>
            <w:shd w:val="clear" w:color="auto" w:fill="auto"/>
            <w:vAlign w:val="center"/>
            <w:hideMark/>
          </w:tcPr>
          <w:p w14:paraId="673524B9"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ESTUDIOS (Diagnóstico de la estructura actual…)</w:t>
            </w:r>
          </w:p>
        </w:tc>
        <w:tc>
          <w:tcPr>
            <w:tcW w:w="1440" w:type="dxa"/>
            <w:tcBorders>
              <w:top w:val="nil"/>
              <w:left w:val="nil"/>
              <w:bottom w:val="single" w:sz="4" w:space="0" w:color="auto"/>
              <w:right w:val="single" w:sz="4" w:space="0" w:color="auto"/>
            </w:tcBorders>
            <w:shd w:val="clear" w:color="auto" w:fill="auto"/>
            <w:noWrap/>
            <w:vAlign w:val="center"/>
            <w:hideMark/>
          </w:tcPr>
          <w:p w14:paraId="7CCEB74D" w14:textId="77777777" w:rsidR="00392470" w:rsidRPr="00A23C1F" w:rsidRDefault="00392470" w:rsidP="00CB55A4">
            <w:pPr>
              <w:jc w:val="center"/>
              <w:rPr>
                <w:rFonts w:ascii="Arial" w:eastAsia="Times New Roman" w:hAnsi="Arial" w:cs="Arial"/>
                <w:i/>
                <w:color w:val="000000"/>
                <w:sz w:val="24"/>
                <w:szCs w:val="24"/>
                <w:lang w:eastAsia="es-ES"/>
              </w:rPr>
            </w:pPr>
            <w:r w:rsidRPr="00A23C1F">
              <w:rPr>
                <w:rFonts w:ascii="Arial" w:eastAsia="Times New Roman" w:hAnsi="Arial" w:cs="Arial"/>
                <w:i/>
                <w:color w:val="000000"/>
                <w:sz w:val="24"/>
                <w:szCs w:val="24"/>
                <w:lang w:eastAsia="es-ES"/>
              </w:rPr>
              <w:t>No modificó</w:t>
            </w:r>
          </w:p>
        </w:tc>
      </w:tr>
    </w:tbl>
    <w:p w14:paraId="3D0D53A5" w14:textId="77777777" w:rsidR="00392470" w:rsidRPr="00A23C1F" w:rsidRDefault="00392470" w:rsidP="00392470">
      <w:pPr>
        <w:spacing w:line="276" w:lineRule="auto"/>
        <w:contextualSpacing/>
        <w:jc w:val="both"/>
        <w:rPr>
          <w:rFonts w:ascii="Arial" w:hAnsi="Arial" w:cs="Arial"/>
          <w:i/>
          <w:sz w:val="24"/>
          <w:szCs w:val="24"/>
        </w:rPr>
      </w:pPr>
    </w:p>
    <w:p w14:paraId="434EBAB5" w14:textId="77777777" w:rsidR="00392470" w:rsidRPr="00A23C1F" w:rsidRDefault="00392470" w:rsidP="00392470">
      <w:pPr>
        <w:ind w:left="567" w:right="567"/>
        <w:contextualSpacing/>
        <w:jc w:val="both"/>
        <w:rPr>
          <w:rFonts w:ascii="Arial" w:hAnsi="Arial" w:cs="Arial"/>
          <w:i/>
          <w:sz w:val="24"/>
          <w:szCs w:val="24"/>
        </w:rPr>
      </w:pPr>
      <w:r w:rsidRPr="00A23C1F">
        <w:rPr>
          <w:rFonts w:ascii="Arial" w:hAnsi="Arial" w:cs="Arial"/>
          <w:i/>
          <w:sz w:val="24"/>
          <w:szCs w:val="24"/>
        </w:rPr>
        <w:t>(…)</w:t>
      </w:r>
    </w:p>
    <w:p w14:paraId="3E5D7C75" w14:textId="77777777" w:rsidR="00392470" w:rsidRPr="00A23C1F" w:rsidRDefault="00392470" w:rsidP="00392470">
      <w:pPr>
        <w:ind w:left="567" w:right="567"/>
        <w:contextualSpacing/>
        <w:jc w:val="both"/>
        <w:rPr>
          <w:rFonts w:ascii="Arial" w:hAnsi="Arial" w:cs="Arial"/>
          <w:i/>
          <w:sz w:val="24"/>
          <w:szCs w:val="24"/>
        </w:rPr>
      </w:pPr>
      <w:r w:rsidRPr="00A23C1F">
        <w:rPr>
          <w:rFonts w:ascii="Arial" w:hAnsi="Arial" w:cs="Arial"/>
          <w:i/>
          <w:sz w:val="24"/>
          <w:szCs w:val="24"/>
        </w:rPr>
        <w:t>De este comportamiento, se aprecia entonces, que existía la posibilidad que los oferentes pudiesen efectuar su propuesta, algunos modificando y otros no modificando el valor correspondiente al (…) ítem de Control de Tránsito y Señalización (para los ítems 2, 4 y 5), lo cual impide a la Entidad optar con claridad meridiana por una u otra forma de presentación de las ofertas, sin lesionar o eventualmente beneficiar con su interpretación a un oferente.</w:t>
      </w:r>
    </w:p>
    <w:p w14:paraId="237C7204" w14:textId="77777777" w:rsidR="00392470" w:rsidRPr="00A23C1F" w:rsidRDefault="00392470" w:rsidP="00392470">
      <w:pPr>
        <w:ind w:left="567" w:right="567"/>
        <w:contextualSpacing/>
        <w:jc w:val="both"/>
        <w:rPr>
          <w:rFonts w:ascii="Arial" w:hAnsi="Arial" w:cs="Arial"/>
          <w:i/>
          <w:sz w:val="24"/>
          <w:szCs w:val="24"/>
        </w:rPr>
      </w:pPr>
      <w:r w:rsidRPr="00A23C1F">
        <w:rPr>
          <w:rFonts w:ascii="Arial" w:hAnsi="Arial" w:cs="Arial"/>
          <w:i/>
          <w:sz w:val="24"/>
          <w:szCs w:val="24"/>
        </w:rPr>
        <w:t>En este sentido es claro que existen motivos suficientes que impiden a la Entidad llevar a cabo una selección objetiva de la oferta más favorable para los módulos 1, 2, 4 y 5, toda vez que en cualquiera de los dos escenarios que se plantean como posibles, esto es seleccionar entre los oferentes que modificaron el valor del ítem o seleccionar entre los oferentes que no modificaron el valor del ítem (…) control de tránsito y señalización, estaríamos frente a una decisión que no se compadece con la objetividad y claridad que debe acompañar el proceso de selección”.</w:t>
      </w:r>
    </w:p>
    <w:p w14:paraId="782ED14D" w14:textId="77777777" w:rsidR="00392470" w:rsidRPr="00A23C1F" w:rsidRDefault="00392470" w:rsidP="00392470">
      <w:pPr>
        <w:spacing w:line="360" w:lineRule="auto"/>
        <w:ind w:right="-142"/>
        <w:contextualSpacing/>
        <w:jc w:val="both"/>
        <w:rPr>
          <w:rFonts w:ascii="Arial" w:hAnsi="Arial" w:cs="Arial"/>
          <w:sz w:val="24"/>
          <w:szCs w:val="24"/>
        </w:rPr>
      </w:pPr>
    </w:p>
    <w:p w14:paraId="37206C9C" w14:textId="77777777" w:rsidR="00392470" w:rsidRPr="00A23C1F" w:rsidRDefault="00392470" w:rsidP="00392470">
      <w:pPr>
        <w:spacing w:line="360" w:lineRule="auto"/>
        <w:ind w:right="-142"/>
        <w:contextualSpacing/>
        <w:jc w:val="both"/>
        <w:rPr>
          <w:rFonts w:ascii="Arial" w:hAnsi="Arial" w:cs="Arial"/>
          <w:sz w:val="24"/>
          <w:szCs w:val="24"/>
          <w:lang w:val="es-CO"/>
        </w:rPr>
      </w:pPr>
      <w:r w:rsidRPr="00A23C1F">
        <w:rPr>
          <w:rFonts w:ascii="Arial" w:hAnsi="Arial" w:cs="Arial"/>
          <w:sz w:val="24"/>
          <w:szCs w:val="24"/>
          <w:lang w:val="es-CO"/>
        </w:rPr>
        <w:t xml:space="preserve">43. Con fundamento en las consideraciones expuestas en el comunicado No. 4, mediante Resolución No. 5961 de 3 de diciembre de 2007, el </w:t>
      </w:r>
      <w:proofErr w:type="spellStart"/>
      <w:r w:rsidRPr="00A23C1F">
        <w:rPr>
          <w:rFonts w:ascii="Arial" w:hAnsi="Arial" w:cs="Arial"/>
          <w:sz w:val="24"/>
          <w:szCs w:val="24"/>
          <w:lang w:val="es-CO"/>
        </w:rPr>
        <w:t>Invías</w:t>
      </w:r>
      <w:proofErr w:type="spellEnd"/>
      <w:r w:rsidRPr="00A23C1F">
        <w:rPr>
          <w:rFonts w:ascii="Arial" w:hAnsi="Arial" w:cs="Arial"/>
          <w:sz w:val="24"/>
          <w:szCs w:val="24"/>
          <w:lang w:val="es-CO"/>
        </w:rPr>
        <w:t xml:space="preserve"> adjudicó el </w:t>
      </w:r>
      <w:r w:rsidRPr="00A23C1F">
        <w:rPr>
          <w:rFonts w:ascii="Arial" w:hAnsi="Arial" w:cs="Arial"/>
          <w:sz w:val="24"/>
          <w:szCs w:val="24"/>
          <w:lang w:val="es-CO"/>
        </w:rPr>
        <w:lastRenderedPageBreak/>
        <w:t>módulo 3 y declaró desiertos los módulos 1, 2, 4 y 5 de la licitación pública No. SRN-085-2007. En el artículo primero de este acto administrativo resolvió (se trascribe)</w:t>
      </w:r>
      <w:r w:rsidRPr="00A23C1F">
        <w:rPr>
          <w:rStyle w:val="Refdenotaalpie"/>
          <w:rFonts w:ascii="Arial" w:hAnsi="Arial" w:cs="Arial"/>
          <w:sz w:val="24"/>
          <w:szCs w:val="24"/>
          <w:lang w:val="es-CO"/>
        </w:rPr>
        <w:footnoteReference w:id="20"/>
      </w:r>
      <w:r w:rsidRPr="00A23C1F">
        <w:rPr>
          <w:rFonts w:ascii="Arial" w:hAnsi="Arial" w:cs="Arial"/>
          <w:sz w:val="24"/>
          <w:szCs w:val="24"/>
          <w:lang w:val="es-CO"/>
        </w:rPr>
        <w:t>:</w:t>
      </w:r>
    </w:p>
    <w:p w14:paraId="71F37D67"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251EC55E" w14:textId="77777777" w:rsidR="00392470" w:rsidRPr="00A23C1F" w:rsidRDefault="00392470" w:rsidP="00392470">
      <w:pPr>
        <w:ind w:left="567" w:right="567"/>
        <w:contextualSpacing/>
        <w:jc w:val="both"/>
        <w:rPr>
          <w:rFonts w:ascii="Arial" w:hAnsi="Arial" w:cs="Arial"/>
          <w:i/>
          <w:sz w:val="24"/>
          <w:szCs w:val="24"/>
        </w:rPr>
      </w:pPr>
      <w:r w:rsidRPr="00A23C1F">
        <w:rPr>
          <w:rFonts w:ascii="Arial" w:hAnsi="Arial" w:cs="Arial"/>
          <w:i/>
          <w:sz w:val="24"/>
          <w:szCs w:val="24"/>
        </w:rPr>
        <w:t xml:space="preserve">“ARTÍCULO PRIMERO: Declarar desiertos los Módulos 1: REHABILITACIÓN Y CONSERVACIÓN DEL PUENTE CARANAL DE LA CARRETERA LA CABUYA – SARAVENA. RUTA 6515, en el Departamento del Casanare. Módulo 2: REHABILITACIÓN Y CONSERVACIÓN DEL PUENTE PUERTO BERRIO DE LA CARRETERA PUERTO ARAUJO – PUERTO BERRIO RUTA 6206, en el Departamento de Antioquia. Módulo 4: REHABILITACIÓN Y CONSERVACIÓN DEL PUENTE CARLOS LLERAS RESTREPO DE LA CARRETERA PUERTO LÓPEZ – PUERTO GAITAN. RUTA 4008, en el Departamento del Meta y el Módulo 5: REHABILITACIÓN Y CONSERVACIÓN DEL PUENTE MANACACIAS DE LA CARRETERA PUERTO LÓPEZ – PUERTO GAITAN RUTA 4008, en el Departamento del Meta, por las consideraciones expuestas en el Comunicado Nº4 del día 29 de </w:t>
      </w:r>
      <w:proofErr w:type="gramStart"/>
      <w:r w:rsidRPr="00A23C1F">
        <w:rPr>
          <w:rFonts w:ascii="Arial" w:hAnsi="Arial" w:cs="Arial"/>
          <w:i/>
          <w:sz w:val="24"/>
          <w:szCs w:val="24"/>
        </w:rPr>
        <w:t>Noviembre</w:t>
      </w:r>
      <w:proofErr w:type="gramEnd"/>
      <w:r w:rsidRPr="00A23C1F">
        <w:rPr>
          <w:rFonts w:ascii="Arial" w:hAnsi="Arial" w:cs="Arial"/>
          <w:i/>
          <w:sz w:val="24"/>
          <w:szCs w:val="24"/>
        </w:rPr>
        <w:t xml:space="preserve"> de 2007”.</w:t>
      </w:r>
    </w:p>
    <w:p w14:paraId="28865ED2" w14:textId="77777777" w:rsidR="00392470" w:rsidRPr="00A23C1F" w:rsidRDefault="00392470" w:rsidP="00392470">
      <w:pPr>
        <w:spacing w:line="360" w:lineRule="auto"/>
        <w:ind w:right="-142"/>
        <w:contextualSpacing/>
        <w:jc w:val="both"/>
        <w:rPr>
          <w:rFonts w:ascii="Arial" w:hAnsi="Arial" w:cs="Arial"/>
          <w:i/>
          <w:sz w:val="24"/>
          <w:szCs w:val="24"/>
        </w:rPr>
      </w:pPr>
    </w:p>
    <w:p w14:paraId="45F0768E" w14:textId="77777777" w:rsidR="00392470" w:rsidRPr="00A23C1F" w:rsidRDefault="00392470" w:rsidP="00392470">
      <w:pPr>
        <w:spacing w:line="360" w:lineRule="auto"/>
        <w:ind w:right="-142"/>
        <w:contextualSpacing/>
        <w:jc w:val="both"/>
        <w:rPr>
          <w:rFonts w:ascii="Arial" w:hAnsi="Arial" w:cs="Arial"/>
          <w:b/>
          <w:sz w:val="24"/>
          <w:szCs w:val="24"/>
        </w:rPr>
      </w:pPr>
      <w:r w:rsidRPr="00A23C1F">
        <w:rPr>
          <w:rFonts w:ascii="Arial" w:hAnsi="Arial" w:cs="Arial"/>
          <w:b/>
          <w:sz w:val="24"/>
          <w:szCs w:val="24"/>
        </w:rPr>
        <w:t>2.3. El problema jurídico</w:t>
      </w:r>
    </w:p>
    <w:p w14:paraId="3500FE61"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022B8C16" w14:textId="77777777" w:rsidR="00392470" w:rsidRPr="00A23C1F" w:rsidRDefault="00392470" w:rsidP="00392470">
      <w:pPr>
        <w:spacing w:line="360" w:lineRule="auto"/>
        <w:ind w:right="-142"/>
        <w:contextualSpacing/>
        <w:jc w:val="both"/>
        <w:rPr>
          <w:rFonts w:ascii="Arial" w:hAnsi="Arial" w:cs="Arial"/>
          <w:sz w:val="24"/>
          <w:szCs w:val="24"/>
          <w:lang w:val="es-CO"/>
        </w:rPr>
      </w:pPr>
      <w:r w:rsidRPr="00A23C1F">
        <w:rPr>
          <w:rFonts w:ascii="Arial" w:hAnsi="Arial" w:cs="Arial"/>
          <w:sz w:val="24"/>
          <w:szCs w:val="24"/>
          <w:lang w:val="es-CO"/>
        </w:rPr>
        <w:t xml:space="preserve">44. </w:t>
      </w:r>
      <w:r w:rsidRPr="00A23C1F">
        <w:rPr>
          <w:rFonts w:ascii="Arial" w:hAnsi="Arial" w:cs="Arial"/>
          <w:sz w:val="24"/>
          <w:szCs w:val="24"/>
        </w:rPr>
        <w:t xml:space="preserve">A partir de los hechos probados y los motivos de la apelación interpuesta por la parte demandada, deberá la Sala establecer si el Tribunal erró: 1) al concluir que estaba acreditada la legitimidad activa en la causa de la parte demandante; 2) al considerar que el </w:t>
      </w:r>
      <w:proofErr w:type="spellStart"/>
      <w:r w:rsidRPr="00A23C1F">
        <w:rPr>
          <w:rFonts w:ascii="Arial" w:hAnsi="Arial" w:cs="Arial"/>
          <w:sz w:val="24"/>
          <w:szCs w:val="24"/>
        </w:rPr>
        <w:t>Invías</w:t>
      </w:r>
      <w:proofErr w:type="spellEnd"/>
      <w:r w:rsidRPr="00A23C1F">
        <w:rPr>
          <w:rFonts w:ascii="Arial" w:hAnsi="Arial" w:cs="Arial"/>
          <w:sz w:val="24"/>
          <w:szCs w:val="24"/>
        </w:rPr>
        <w:t xml:space="preserve"> podía realizar una selección objetiva; 3) al entender que el Consorcio </w:t>
      </w:r>
      <w:proofErr w:type="spellStart"/>
      <w:r w:rsidRPr="00A23C1F">
        <w:rPr>
          <w:rFonts w:ascii="Arial" w:hAnsi="Arial" w:cs="Arial"/>
          <w:sz w:val="24"/>
          <w:szCs w:val="24"/>
        </w:rPr>
        <w:t>Icagel</w:t>
      </w:r>
      <w:proofErr w:type="spellEnd"/>
      <w:r w:rsidRPr="00A23C1F">
        <w:rPr>
          <w:rFonts w:ascii="Arial" w:hAnsi="Arial" w:cs="Arial"/>
          <w:sz w:val="24"/>
          <w:szCs w:val="24"/>
        </w:rPr>
        <w:t xml:space="preserve"> Limitada tenía la mejor propuesta para el módulo No. 2 y; 4) al proferir una condena a favor de Eduardo Garzón Alarcón.</w:t>
      </w:r>
    </w:p>
    <w:p w14:paraId="5BA9C7FC"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1B69FDE5" w14:textId="77777777" w:rsidR="00392470" w:rsidRPr="00A23C1F" w:rsidRDefault="00392470" w:rsidP="00392470">
      <w:pPr>
        <w:spacing w:line="360" w:lineRule="auto"/>
        <w:ind w:right="-142"/>
        <w:contextualSpacing/>
        <w:jc w:val="both"/>
        <w:rPr>
          <w:rFonts w:ascii="Arial" w:hAnsi="Arial" w:cs="Arial"/>
          <w:b/>
          <w:sz w:val="24"/>
          <w:szCs w:val="24"/>
        </w:rPr>
      </w:pPr>
      <w:r w:rsidRPr="00A23C1F">
        <w:rPr>
          <w:rFonts w:ascii="Arial" w:hAnsi="Arial" w:cs="Arial"/>
          <w:b/>
          <w:sz w:val="24"/>
          <w:szCs w:val="24"/>
        </w:rPr>
        <w:t>2.4. El caso concreto</w:t>
      </w:r>
    </w:p>
    <w:p w14:paraId="4C3E0186"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01CD4887" w14:textId="77777777" w:rsidR="00392470" w:rsidRPr="00A23C1F" w:rsidRDefault="00392470" w:rsidP="00392470">
      <w:pPr>
        <w:spacing w:line="360" w:lineRule="auto"/>
        <w:ind w:right="-142"/>
        <w:contextualSpacing/>
        <w:jc w:val="both"/>
        <w:rPr>
          <w:rFonts w:ascii="Arial" w:hAnsi="Arial" w:cs="Arial"/>
          <w:sz w:val="24"/>
          <w:szCs w:val="24"/>
          <w:lang w:val="es-CO"/>
        </w:rPr>
      </w:pPr>
      <w:r w:rsidRPr="00A23C1F">
        <w:rPr>
          <w:rFonts w:ascii="Arial" w:hAnsi="Arial" w:cs="Arial"/>
          <w:sz w:val="24"/>
          <w:szCs w:val="24"/>
          <w:lang w:val="es-CO"/>
        </w:rPr>
        <w:t>45. La Sala rechazará los argumentos de la apelación y confirmará la decisión de primera instancia por las razones que a continuación se exponen:</w:t>
      </w:r>
    </w:p>
    <w:p w14:paraId="3B640429" w14:textId="77777777" w:rsidR="00392470" w:rsidRPr="00A23C1F" w:rsidRDefault="00392470" w:rsidP="00392470">
      <w:pPr>
        <w:pStyle w:val="Sinespaciado"/>
        <w:ind w:right="-142"/>
        <w:jc w:val="both"/>
        <w:rPr>
          <w:rFonts w:ascii="Arial" w:hAnsi="Arial" w:cs="Arial"/>
          <w:i/>
          <w:sz w:val="24"/>
          <w:szCs w:val="24"/>
        </w:rPr>
      </w:pPr>
    </w:p>
    <w:p w14:paraId="07007DAE" w14:textId="77777777" w:rsidR="00392470" w:rsidRPr="00A23C1F" w:rsidRDefault="00392470" w:rsidP="00392470">
      <w:pPr>
        <w:spacing w:line="360" w:lineRule="auto"/>
        <w:ind w:right="-142"/>
        <w:contextualSpacing/>
        <w:jc w:val="both"/>
        <w:rPr>
          <w:rFonts w:ascii="Arial" w:hAnsi="Arial" w:cs="Arial"/>
          <w:sz w:val="24"/>
          <w:szCs w:val="24"/>
          <w:lang w:val="es-CO"/>
        </w:rPr>
      </w:pPr>
      <w:r w:rsidRPr="00A23C1F">
        <w:rPr>
          <w:rFonts w:ascii="Arial" w:hAnsi="Arial" w:cs="Arial"/>
          <w:sz w:val="24"/>
          <w:szCs w:val="24"/>
          <w:lang w:val="es-CO"/>
        </w:rPr>
        <w:t xml:space="preserve">46. Como primer argumento de la apelación, el </w:t>
      </w:r>
      <w:proofErr w:type="spellStart"/>
      <w:r w:rsidRPr="00A23C1F">
        <w:rPr>
          <w:rFonts w:ascii="Arial" w:hAnsi="Arial" w:cs="Arial"/>
          <w:sz w:val="24"/>
          <w:szCs w:val="24"/>
          <w:lang w:val="es-CO"/>
        </w:rPr>
        <w:t>Invías</w:t>
      </w:r>
      <w:proofErr w:type="spellEnd"/>
      <w:r w:rsidRPr="00A23C1F">
        <w:rPr>
          <w:rFonts w:ascii="Arial" w:hAnsi="Arial" w:cs="Arial"/>
          <w:sz w:val="24"/>
          <w:szCs w:val="24"/>
          <w:lang w:val="es-CO"/>
        </w:rPr>
        <w:t xml:space="preserve"> insistió en que </w:t>
      </w:r>
      <w:r w:rsidRPr="00A23C1F">
        <w:rPr>
          <w:rFonts w:ascii="Arial" w:hAnsi="Arial" w:cs="Arial"/>
          <w:sz w:val="24"/>
          <w:szCs w:val="24"/>
        </w:rPr>
        <w:t xml:space="preserve">el Consorcio </w:t>
      </w:r>
      <w:proofErr w:type="spellStart"/>
      <w:r w:rsidRPr="00A23C1F">
        <w:rPr>
          <w:rFonts w:ascii="Arial" w:hAnsi="Arial" w:cs="Arial"/>
          <w:sz w:val="24"/>
          <w:szCs w:val="24"/>
        </w:rPr>
        <w:t>Icagel</w:t>
      </w:r>
      <w:proofErr w:type="spellEnd"/>
      <w:r w:rsidRPr="00A23C1F">
        <w:rPr>
          <w:rFonts w:ascii="Arial" w:hAnsi="Arial" w:cs="Arial"/>
          <w:sz w:val="24"/>
          <w:szCs w:val="24"/>
        </w:rPr>
        <w:t xml:space="preserve"> Limitada no era una persona jurídica y que, por lo tanto, no estaba legitimado para demandar. También reiteró que quienes estaban legitimados para demandar eran los integrantes del consorcio, esto es, Eduardo Garzón Alarcón y la sociedad </w:t>
      </w:r>
      <w:proofErr w:type="spellStart"/>
      <w:r w:rsidRPr="00A23C1F">
        <w:rPr>
          <w:rFonts w:ascii="Arial" w:hAnsi="Arial" w:cs="Arial"/>
          <w:sz w:val="24"/>
          <w:szCs w:val="24"/>
        </w:rPr>
        <w:t>Icagel</w:t>
      </w:r>
      <w:proofErr w:type="spellEnd"/>
      <w:r w:rsidRPr="00A23C1F">
        <w:rPr>
          <w:rFonts w:ascii="Arial" w:hAnsi="Arial" w:cs="Arial"/>
          <w:sz w:val="24"/>
          <w:szCs w:val="24"/>
        </w:rPr>
        <w:t xml:space="preserve"> Ltda.</w:t>
      </w:r>
    </w:p>
    <w:p w14:paraId="38E22C17"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57C24AD1" w14:textId="77777777" w:rsidR="00392470" w:rsidRPr="00A23C1F" w:rsidRDefault="00392470" w:rsidP="00392470">
      <w:pPr>
        <w:spacing w:line="360" w:lineRule="auto"/>
        <w:ind w:right="-142"/>
        <w:contextualSpacing/>
        <w:jc w:val="both"/>
        <w:rPr>
          <w:rFonts w:ascii="Arial" w:hAnsi="Arial" w:cs="Arial"/>
          <w:sz w:val="24"/>
          <w:szCs w:val="24"/>
          <w:lang w:val="es-CO"/>
        </w:rPr>
      </w:pPr>
      <w:r w:rsidRPr="00A23C1F">
        <w:rPr>
          <w:rFonts w:ascii="Arial" w:hAnsi="Arial" w:cs="Arial"/>
          <w:sz w:val="24"/>
          <w:szCs w:val="24"/>
          <w:lang w:val="es-CO"/>
        </w:rPr>
        <w:t xml:space="preserve">47. Para la Sala, este argumento no está llamado a prosperar ya que, revisado el Auto admisorio de la demanda proferido el 4 de abril de 2008, el Tribunal </w:t>
      </w:r>
      <w:r w:rsidRPr="00A23C1F">
        <w:rPr>
          <w:rFonts w:ascii="Arial" w:hAnsi="Arial" w:cs="Arial"/>
          <w:sz w:val="24"/>
          <w:szCs w:val="24"/>
          <w:lang w:val="es-CO"/>
        </w:rPr>
        <w:lastRenderedPageBreak/>
        <w:t>Administrativo de Cundinamarca admitió “</w:t>
      </w:r>
      <w:r w:rsidRPr="00A23C1F">
        <w:rPr>
          <w:rFonts w:ascii="Arial" w:hAnsi="Arial" w:cs="Arial"/>
          <w:i/>
          <w:sz w:val="24"/>
          <w:szCs w:val="24"/>
          <w:lang w:val="es-CO"/>
        </w:rPr>
        <w:t>la demanda instaurada por la sociedad ICAGEL LIMITADA y el señor Eduardo Garzón Alarcón como miembros del Consorcio ICAGEL LIMITADA”</w:t>
      </w:r>
      <w:r w:rsidRPr="00A23C1F">
        <w:rPr>
          <w:rFonts w:ascii="Arial" w:hAnsi="Arial" w:cs="Arial"/>
          <w:sz w:val="24"/>
          <w:szCs w:val="24"/>
          <w:lang w:val="es-CO"/>
        </w:rPr>
        <w:t xml:space="preserve">, decisión esta que no fue impugnada por el </w:t>
      </w:r>
      <w:proofErr w:type="spellStart"/>
      <w:r w:rsidRPr="00A23C1F">
        <w:rPr>
          <w:rFonts w:ascii="Arial" w:hAnsi="Arial" w:cs="Arial"/>
          <w:sz w:val="24"/>
          <w:szCs w:val="24"/>
          <w:lang w:val="es-CO"/>
        </w:rPr>
        <w:t>Invías</w:t>
      </w:r>
      <w:proofErr w:type="spellEnd"/>
      <w:r w:rsidRPr="00A23C1F">
        <w:rPr>
          <w:rFonts w:ascii="Arial" w:hAnsi="Arial" w:cs="Arial"/>
          <w:sz w:val="24"/>
          <w:szCs w:val="24"/>
          <w:lang w:val="es-CO"/>
        </w:rPr>
        <w:t xml:space="preserve"> en su momento, lo que quiere decir que desde el inicio del proceso estuvo claro que el mismo es adelantado por los integrantes del Consorcio </w:t>
      </w:r>
      <w:proofErr w:type="spellStart"/>
      <w:r w:rsidRPr="00A23C1F">
        <w:rPr>
          <w:rFonts w:ascii="Arial" w:hAnsi="Arial" w:cs="Arial"/>
          <w:sz w:val="24"/>
          <w:szCs w:val="24"/>
          <w:lang w:val="es-CO"/>
        </w:rPr>
        <w:t>Icagel</w:t>
      </w:r>
      <w:proofErr w:type="spellEnd"/>
      <w:r w:rsidRPr="00A23C1F">
        <w:rPr>
          <w:rFonts w:ascii="Arial" w:hAnsi="Arial" w:cs="Arial"/>
          <w:sz w:val="24"/>
          <w:szCs w:val="24"/>
          <w:lang w:val="es-CO"/>
        </w:rPr>
        <w:t xml:space="preserve"> Limitada en contra de la entidad. </w:t>
      </w:r>
    </w:p>
    <w:p w14:paraId="53BD134F" w14:textId="77777777" w:rsidR="00392470" w:rsidRPr="00A23C1F" w:rsidRDefault="00392470" w:rsidP="00392470">
      <w:pPr>
        <w:spacing w:line="360" w:lineRule="auto"/>
        <w:ind w:right="-142"/>
        <w:contextualSpacing/>
        <w:jc w:val="both"/>
        <w:rPr>
          <w:rFonts w:ascii="Arial" w:hAnsi="Arial" w:cs="Arial"/>
          <w:i/>
          <w:sz w:val="24"/>
          <w:szCs w:val="24"/>
        </w:rPr>
      </w:pPr>
      <w:r w:rsidRPr="00A23C1F">
        <w:rPr>
          <w:rFonts w:ascii="Arial" w:hAnsi="Arial" w:cs="Arial"/>
          <w:sz w:val="24"/>
          <w:szCs w:val="24"/>
          <w:lang w:val="es-CO"/>
        </w:rPr>
        <w:t xml:space="preserve">48. En todo caso, y si en gracia de discusión se entendiera que la demanda fue promovida por el Consorcio </w:t>
      </w:r>
      <w:proofErr w:type="spellStart"/>
      <w:r w:rsidRPr="00A23C1F">
        <w:rPr>
          <w:rFonts w:ascii="Arial" w:hAnsi="Arial" w:cs="Arial"/>
          <w:sz w:val="24"/>
          <w:szCs w:val="24"/>
          <w:lang w:val="es-CO"/>
        </w:rPr>
        <w:t>Icagel</w:t>
      </w:r>
      <w:proofErr w:type="spellEnd"/>
      <w:r w:rsidRPr="00A23C1F">
        <w:rPr>
          <w:rFonts w:ascii="Arial" w:hAnsi="Arial" w:cs="Arial"/>
          <w:sz w:val="24"/>
          <w:szCs w:val="24"/>
          <w:lang w:val="es-CO"/>
        </w:rPr>
        <w:t xml:space="preserve"> Limitada y no por sus integrantes, esto no implicaría la obligación de la Sala declarar probada la falta de legitimidad activa en la causa. Lo anterior pues, según se estableció en Sentencia de unificación de 25 de septiembre de 2013, los consorcios y uniones temporales, pese a no contar con personalidad jurídica, sí tienen capacidad para procesal y, por consiguiente, pueden ser parte de un determinado proceso judicial</w:t>
      </w:r>
      <w:r w:rsidRPr="00A23C1F">
        <w:rPr>
          <w:rStyle w:val="Refdenotaalpie"/>
          <w:rFonts w:ascii="Arial" w:hAnsi="Arial" w:cs="Arial"/>
          <w:sz w:val="24"/>
          <w:szCs w:val="24"/>
          <w:lang w:val="es-CO"/>
        </w:rPr>
        <w:footnoteReference w:id="21"/>
      </w:r>
      <w:r w:rsidRPr="00A23C1F">
        <w:rPr>
          <w:rFonts w:ascii="Arial" w:hAnsi="Arial" w:cs="Arial"/>
          <w:sz w:val="24"/>
          <w:szCs w:val="24"/>
          <w:lang w:val="es-CO"/>
        </w:rPr>
        <w:t>.</w:t>
      </w:r>
    </w:p>
    <w:p w14:paraId="179AA04F" w14:textId="77777777" w:rsidR="00392470" w:rsidRPr="00A23C1F" w:rsidRDefault="00392470" w:rsidP="00392470">
      <w:pPr>
        <w:ind w:left="567" w:right="567"/>
        <w:contextualSpacing/>
        <w:jc w:val="both"/>
        <w:rPr>
          <w:rFonts w:ascii="Arial" w:hAnsi="Arial" w:cs="Arial"/>
          <w:i/>
          <w:sz w:val="24"/>
          <w:szCs w:val="24"/>
        </w:rPr>
      </w:pPr>
    </w:p>
    <w:p w14:paraId="2204ABAD" w14:textId="77777777" w:rsidR="00392470" w:rsidRPr="00A23C1F" w:rsidRDefault="00392470" w:rsidP="00392470">
      <w:pPr>
        <w:spacing w:line="360" w:lineRule="auto"/>
        <w:ind w:right="-142"/>
        <w:contextualSpacing/>
        <w:jc w:val="both"/>
        <w:rPr>
          <w:rFonts w:ascii="Arial" w:hAnsi="Arial" w:cs="Arial"/>
          <w:sz w:val="24"/>
          <w:szCs w:val="24"/>
        </w:rPr>
      </w:pPr>
      <w:r w:rsidRPr="00A23C1F">
        <w:rPr>
          <w:rFonts w:ascii="Arial" w:hAnsi="Arial" w:cs="Arial"/>
          <w:sz w:val="24"/>
          <w:szCs w:val="24"/>
          <w:lang w:val="es-CO"/>
        </w:rPr>
        <w:t xml:space="preserve">49. El </w:t>
      </w:r>
      <w:proofErr w:type="spellStart"/>
      <w:r w:rsidRPr="00A23C1F">
        <w:rPr>
          <w:rFonts w:ascii="Arial" w:hAnsi="Arial" w:cs="Arial"/>
          <w:sz w:val="24"/>
          <w:szCs w:val="24"/>
          <w:lang w:val="es-CO"/>
        </w:rPr>
        <w:t>Invías</w:t>
      </w:r>
      <w:proofErr w:type="spellEnd"/>
      <w:r w:rsidRPr="00A23C1F">
        <w:rPr>
          <w:rFonts w:ascii="Arial" w:hAnsi="Arial" w:cs="Arial"/>
          <w:sz w:val="24"/>
          <w:szCs w:val="24"/>
          <w:lang w:val="es-CO"/>
        </w:rPr>
        <w:t xml:space="preserve"> señaló, como segundo argumento de la apelación, que la decisión de declarar desiertos los módulos 1, 2, 4 y 5 de la licitación pública No. SRN-085-2007 fue legal pues: “</w:t>
      </w:r>
      <w:r w:rsidRPr="00A23C1F">
        <w:rPr>
          <w:rFonts w:ascii="Arial" w:hAnsi="Arial" w:cs="Arial"/>
          <w:i/>
          <w:sz w:val="24"/>
          <w:szCs w:val="24"/>
          <w:lang w:val="es-CO"/>
        </w:rPr>
        <w:t>la incongruencia presentada entre el pliego de condiciones y la adenda 02, contentiva del formulario 4, no otorgaba a la entidad la posibilidad legal de una escogencia objetiva y transparente del eventual ganador y adjudicatario de la licitación”.</w:t>
      </w:r>
    </w:p>
    <w:p w14:paraId="283ACF6F"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7334A904" w14:textId="77777777" w:rsidR="00392470" w:rsidRPr="00A23C1F" w:rsidRDefault="00392470" w:rsidP="00392470">
      <w:pPr>
        <w:spacing w:line="360" w:lineRule="auto"/>
        <w:ind w:right="-142"/>
        <w:contextualSpacing/>
        <w:jc w:val="both"/>
        <w:rPr>
          <w:rFonts w:ascii="Arial" w:hAnsi="Arial" w:cs="Arial"/>
          <w:sz w:val="24"/>
          <w:szCs w:val="24"/>
        </w:rPr>
      </w:pPr>
      <w:r w:rsidRPr="00A23C1F">
        <w:rPr>
          <w:rFonts w:ascii="Arial" w:hAnsi="Arial" w:cs="Arial"/>
          <w:sz w:val="24"/>
          <w:szCs w:val="24"/>
          <w:lang w:val="es-CO"/>
        </w:rPr>
        <w:t>50. En este punto, la Sala hace suyas las consideraciones expuestas por el Tribunal Administrativo de Cundinamarca para declarar la nulidad de la declaratoria de desierta de la licitación pública. En efecto, el Tribunal acertó al establecer que, aunque en el formulario No. 4 del módulo No. 2 solo se prohibió expresamente la modificación de los ítems denominados “</w:t>
      </w:r>
      <w:r w:rsidRPr="00A23C1F">
        <w:rPr>
          <w:rFonts w:ascii="Arial" w:hAnsi="Arial" w:cs="Arial"/>
          <w:i/>
          <w:sz w:val="24"/>
          <w:szCs w:val="24"/>
          <w:lang w:val="es-CO"/>
        </w:rPr>
        <w:t>PROVISIÓN ESTIMADA PARA OBRAS COMPLEMENTARIAS (INCLUYE PAGA)”</w:t>
      </w:r>
      <w:r w:rsidRPr="00A23C1F">
        <w:rPr>
          <w:rFonts w:ascii="Arial" w:hAnsi="Arial" w:cs="Arial"/>
          <w:sz w:val="24"/>
          <w:szCs w:val="24"/>
          <w:lang w:val="es-CO"/>
        </w:rPr>
        <w:t xml:space="preserve"> y “</w:t>
      </w:r>
      <w:r w:rsidRPr="00A23C1F">
        <w:rPr>
          <w:rFonts w:ascii="Arial" w:hAnsi="Arial" w:cs="Arial"/>
          <w:i/>
          <w:sz w:val="24"/>
          <w:szCs w:val="24"/>
          <w:lang w:val="es-CO"/>
        </w:rPr>
        <w:t>Diagnóstico de la estructura actual y diseños de las obras a ejecutar”</w:t>
      </w:r>
      <w:r w:rsidRPr="00A23C1F">
        <w:rPr>
          <w:rFonts w:ascii="Arial" w:hAnsi="Arial" w:cs="Arial"/>
          <w:sz w:val="24"/>
          <w:szCs w:val="24"/>
          <w:lang w:val="es-CO"/>
        </w:rPr>
        <w:t>, esa situación de ninguna manera eliminó o modificó lo previsto en el numeral 3.8.2 del pliego de condiciones, esto es, que la modificación de un ítem expresado a precio global daba lugar al rechazo de la propuesta. Por consiguiente, este argumento de la apelación será desestimado.</w:t>
      </w:r>
    </w:p>
    <w:p w14:paraId="4644FA89"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5F4C2BD0"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0839C6CC" w14:textId="77777777" w:rsidR="00392470" w:rsidRPr="00A23C1F" w:rsidRDefault="00392470" w:rsidP="00392470">
      <w:pPr>
        <w:spacing w:line="360" w:lineRule="auto"/>
        <w:ind w:right="-142"/>
        <w:contextualSpacing/>
        <w:jc w:val="both"/>
        <w:rPr>
          <w:rFonts w:ascii="Arial" w:hAnsi="Arial" w:cs="Arial"/>
          <w:sz w:val="24"/>
          <w:szCs w:val="24"/>
          <w:lang w:val="es-CO"/>
        </w:rPr>
      </w:pPr>
      <w:r w:rsidRPr="00A23C1F">
        <w:rPr>
          <w:rFonts w:ascii="Arial" w:hAnsi="Arial" w:cs="Arial"/>
          <w:sz w:val="24"/>
          <w:szCs w:val="24"/>
          <w:lang w:val="es-CO"/>
        </w:rPr>
        <w:t xml:space="preserve">51. El </w:t>
      </w:r>
      <w:proofErr w:type="spellStart"/>
      <w:r w:rsidRPr="00A23C1F">
        <w:rPr>
          <w:rFonts w:ascii="Arial" w:hAnsi="Arial" w:cs="Arial"/>
          <w:sz w:val="24"/>
          <w:szCs w:val="24"/>
          <w:lang w:val="es-CO"/>
        </w:rPr>
        <w:t>Invías</w:t>
      </w:r>
      <w:proofErr w:type="spellEnd"/>
      <w:r w:rsidRPr="00A23C1F">
        <w:rPr>
          <w:rFonts w:ascii="Arial" w:hAnsi="Arial" w:cs="Arial"/>
          <w:sz w:val="24"/>
          <w:szCs w:val="24"/>
          <w:lang w:val="es-CO"/>
        </w:rPr>
        <w:t xml:space="preserve"> también indicó en su recurso de apelación que el Tribunal erró al considerar que “</w:t>
      </w:r>
      <w:r w:rsidRPr="00A23C1F">
        <w:rPr>
          <w:rFonts w:ascii="Arial" w:hAnsi="Arial" w:cs="Arial"/>
          <w:i/>
          <w:sz w:val="24"/>
          <w:szCs w:val="24"/>
          <w:lang w:val="es-CO"/>
        </w:rPr>
        <w:t xml:space="preserve">el consorcio ICAGEL fue el ganador del proceso licitatorio número </w:t>
      </w:r>
      <w:r w:rsidRPr="00A23C1F">
        <w:rPr>
          <w:rFonts w:ascii="Arial" w:hAnsi="Arial" w:cs="Arial"/>
          <w:i/>
          <w:sz w:val="24"/>
          <w:szCs w:val="24"/>
          <w:lang w:val="es-CO"/>
        </w:rPr>
        <w:lastRenderedPageBreak/>
        <w:t>SRN-085-2007, en lo que se refiere al módulo 2”.</w:t>
      </w:r>
      <w:r w:rsidRPr="00A23C1F">
        <w:rPr>
          <w:rFonts w:ascii="Arial" w:hAnsi="Arial" w:cs="Arial"/>
          <w:sz w:val="24"/>
          <w:szCs w:val="24"/>
          <w:lang w:val="es-CO"/>
        </w:rPr>
        <w:t xml:space="preserve"> Para la Sala tampoco le asiste razón a la entidad recurrente en este punto. Por el contrario, se estima que el Tribunal realizó un razonamiento adecuado pues, el hecho de que el Consorcio Los Andes hubiera introducido modificaciones a un valor global de la propuesta económica debió haber generado el rechazo de su propuesta, motivo por el cual el Consorcio </w:t>
      </w:r>
      <w:proofErr w:type="spellStart"/>
      <w:r w:rsidRPr="00A23C1F">
        <w:rPr>
          <w:rFonts w:ascii="Arial" w:hAnsi="Arial" w:cs="Arial"/>
          <w:sz w:val="24"/>
          <w:szCs w:val="24"/>
          <w:lang w:val="es-CO"/>
        </w:rPr>
        <w:t>Icagel</w:t>
      </w:r>
      <w:proofErr w:type="spellEnd"/>
      <w:r w:rsidRPr="00A23C1F">
        <w:rPr>
          <w:rFonts w:ascii="Arial" w:hAnsi="Arial" w:cs="Arial"/>
          <w:sz w:val="24"/>
          <w:szCs w:val="24"/>
          <w:lang w:val="es-CO"/>
        </w:rPr>
        <w:t xml:space="preserve"> Limitada tenía derecho a ocupar el primer lugar del orden de elegibilidad y, por consiguiente, a ser adjudicatario del módulo No. 2 de la licitación pública No. SRN-085-2007.</w:t>
      </w:r>
    </w:p>
    <w:p w14:paraId="2B8C39BB"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3D8F888F" w14:textId="77777777" w:rsidR="00392470" w:rsidRPr="00A23C1F" w:rsidRDefault="00392470" w:rsidP="00392470">
      <w:pPr>
        <w:spacing w:line="360" w:lineRule="auto"/>
        <w:ind w:right="-142"/>
        <w:contextualSpacing/>
        <w:jc w:val="both"/>
        <w:rPr>
          <w:rFonts w:ascii="Arial" w:hAnsi="Arial" w:cs="Arial"/>
          <w:sz w:val="24"/>
          <w:szCs w:val="24"/>
          <w:lang w:val="es-CO"/>
        </w:rPr>
      </w:pPr>
      <w:r w:rsidRPr="00A23C1F">
        <w:rPr>
          <w:rFonts w:ascii="Arial" w:hAnsi="Arial" w:cs="Arial"/>
          <w:sz w:val="24"/>
          <w:szCs w:val="24"/>
          <w:lang w:val="es-CO"/>
        </w:rPr>
        <w:t xml:space="preserve">52. Por último, el </w:t>
      </w:r>
      <w:proofErr w:type="spellStart"/>
      <w:r w:rsidRPr="00A23C1F">
        <w:rPr>
          <w:rFonts w:ascii="Arial" w:hAnsi="Arial" w:cs="Arial"/>
          <w:sz w:val="24"/>
          <w:szCs w:val="24"/>
          <w:lang w:val="es-CO"/>
        </w:rPr>
        <w:t>Invías</w:t>
      </w:r>
      <w:proofErr w:type="spellEnd"/>
      <w:r w:rsidRPr="00A23C1F">
        <w:rPr>
          <w:rFonts w:ascii="Arial" w:hAnsi="Arial" w:cs="Arial"/>
          <w:sz w:val="24"/>
          <w:szCs w:val="24"/>
          <w:lang w:val="es-CO"/>
        </w:rPr>
        <w:t xml:space="preserve"> sostuvo que la Sentencia 22 de julio de 2001 fue </w:t>
      </w:r>
      <w:r w:rsidRPr="00A23C1F">
        <w:rPr>
          <w:rFonts w:ascii="Arial" w:hAnsi="Arial" w:cs="Arial"/>
          <w:i/>
          <w:sz w:val="24"/>
          <w:szCs w:val="24"/>
          <w:lang w:val="es-CO"/>
        </w:rPr>
        <w:t xml:space="preserve">extra </w:t>
      </w:r>
      <w:proofErr w:type="spellStart"/>
      <w:r w:rsidRPr="00A23C1F">
        <w:rPr>
          <w:rFonts w:ascii="Arial" w:hAnsi="Arial" w:cs="Arial"/>
          <w:i/>
          <w:sz w:val="24"/>
          <w:szCs w:val="24"/>
          <w:lang w:val="es-CO"/>
        </w:rPr>
        <w:t>petita</w:t>
      </w:r>
      <w:proofErr w:type="spellEnd"/>
      <w:r w:rsidRPr="00A23C1F">
        <w:rPr>
          <w:rFonts w:ascii="Arial" w:hAnsi="Arial" w:cs="Arial"/>
          <w:sz w:val="24"/>
          <w:szCs w:val="24"/>
          <w:lang w:val="es-CO"/>
        </w:rPr>
        <w:t>, por haber condenado a la entidad a pagar una suma de dinero a favor de una persona natural, Eduardo Garzón Alarcón, pese a que en las pretensiones se solicitó que la condena se hiciera a favor de “</w:t>
      </w:r>
      <w:r w:rsidRPr="00A23C1F">
        <w:rPr>
          <w:rFonts w:ascii="Arial" w:hAnsi="Arial" w:cs="Arial"/>
          <w:i/>
          <w:sz w:val="24"/>
          <w:szCs w:val="24"/>
          <w:lang w:val="es-CO"/>
        </w:rPr>
        <w:t>las personas jurídicas que conforman el denominado CONSORCIO ICAGEL LIMITADA”.</w:t>
      </w:r>
      <w:r w:rsidRPr="00A23C1F">
        <w:rPr>
          <w:rFonts w:ascii="Arial" w:hAnsi="Arial" w:cs="Arial"/>
          <w:sz w:val="24"/>
          <w:szCs w:val="24"/>
          <w:lang w:val="es-CO"/>
        </w:rPr>
        <w:t xml:space="preserve"> Para la Sala, si bien es cierto que en la pretensión segunda de la demanda se indicó que la condena debía proferirse a favor de “</w:t>
      </w:r>
      <w:r w:rsidRPr="00A23C1F">
        <w:rPr>
          <w:rFonts w:ascii="Arial" w:hAnsi="Arial" w:cs="Arial"/>
          <w:i/>
          <w:sz w:val="24"/>
          <w:szCs w:val="24"/>
          <w:lang w:val="es-CO"/>
        </w:rPr>
        <w:t>personas jurídicas</w:t>
      </w:r>
      <w:r w:rsidRPr="00A23C1F">
        <w:rPr>
          <w:rFonts w:ascii="Arial" w:hAnsi="Arial" w:cs="Arial"/>
          <w:sz w:val="24"/>
          <w:szCs w:val="24"/>
          <w:lang w:val="es-CO"/>
        </w:rPr>
        <w:t xml:space="preserve">”, el Tribunal interpretó adecuadamente esta pretensión al ordenar al </w:t>
      </w:r>
      <w:proofErr w:type="spellStart"/>
      <w:r w:rsidRPr="00A23C1F">
        <w:rPr>
          <w:rFonts w:ascii="Arial" w:hAnsi="Arial" w:cs="Arial"/>
          <w:sz w:val="24"/>
          <w:szCs w:val="24"/>
          <w:lang w:val="es-CO"/>
        </w:rPr>
        <w:t>Invías</w:t>
      </w:r>
      <w:proofErr w:type="spellEnd"/>
      <w:r w:rsidRPr="00A23C1F">
        <w:rPr>
          <w:rFonts w:ascii="Arial" w:hAnsi="Arial" w:cs="Arial"/>
          <w:sz w:val="24"/>
          <w:szCs w:val="24"/>
          <w:lang w:val="es-CO"/>
        </w:rPr>
        <w:t xml:space="preserve"> pagar la condena a favor de los integrantes del consorcio, que fue lo que realmente se solicitó en la demanda. Así las cosas, este argumento de la apelación también será rechazado.</w:t>
      </w:r>
    </w:p>
    <w:p w14:paraId="4676B6AE"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534B1E28" w14:textId="77777777" w:rsidR="00392470" w:rsidRPr="00A23C1F" w:rsidRDefault="00392470" w:rsidP="00392470">
      <w:pPr>
        <w:spacing w:line="360" w:lineRule="auto"/>
        <w:contextualSpacing/>
        <w:jc w:val="both"/>
        <w:rPr>
          <w:rFonts w:ascii="Arial" w:hAnsi="Arial" w:cs="Arial"/>
          <w:sz w:val="24"/>
          <w:szCs w:val="24"/>
        </w:rPr>
      </w:pPr>
      <w:r w:rsidRPr="00A23C1F">
        <w:rPr>
          <w:rFonts w:ascii="Arial" w:hAnsi="Arial" w:cs="Arial"/>
          <w:sz w:val="24"/>
          <w:szCs w:val="24"/>
          <w:lang w:val="es-CO"/>
        </w:rPr>
        <w:t xml:space="preserve">53. Para finalizar, corresponde a la Sala actualizar la condena proferida el 22 de junio de 2011 por el Tribunal Administrativo de Cundinamarca, </w:t>
      </w:r>
      <w:r w:rsidRPr="00A23C1F">
        <w:rPr>
          <w:rFonts w:ascii="Arial" w:hAnsi="Arial" w:cs="Arial"/>
          <w:sz w:val="24"/>
          <w:szCs w:val="24"/>
        </w:rPr>
        <w:t>para la cual aplicará la siguiente fórmula:</w:t>
      </w:r>
    </w:p>
    <w:p w14:paraId="03D0C26C" w14:textId="77777777" w:rsidR="00392470" w:rsidRPr="00A23C1F" w:rsidRDefault="00392470" w:rsidP="00392470">
      <w:pPr>
        <w:spacing w:line="360" w:lineRule="auto"/>
        <w:contextualSpacing/>
        <w:jc w:val="both"/>
        <w:rPr>
          <w:rFonts w:ascii="Arial" w:hAnsi="Arial" w:cs="Arial"/>
          <w:sz w:val="24"/>
          <w:szCs w:val="24"/>
        </w:rPr>
      </w:pPr>
    </w:p>
    <w:p w14:paraId="7ABF4D32" w14:textId="77777777" w:rsidR="00392470" w:rsidRPr="00A23C1F" w:rsidRDefault="00392470" w:rsidP="00392470">
      <w:pPr>
        <w:spacing w:line="360" w:lineRule="auto"/>
        <w:contextualSpacing/>
        <w:jc w:val="center"/>
        <w:rPr>
          <w:rFonts w:ascii="Arial" w:hAnsi="Arial" w:cs="Arial"/>
          <w:sz w:val="24"/>
          <w:szCs w:val="24"/>
          <w:lang w:val="es-CO"/>
        </w:rPr>
      </w:pPr>
      <w:r w:rsidRPr="00A23C1F">
        <w:rPr>
          <w:rFonts w:ascii="Arial" w:hAnsi="Arial" w:cs="Arial"/>
          <w:sz w:val="24"/>
          <w:szCs w:val="24"/>
          <w:lang w:val="es-CO"/>
        </w:rPr>
        <w:t>VA = VH x (IPC final/IPC inicial)</w:t>
      </w:r>
    </w:p>
    <w:p w14:paraId="18017E90" w14:textId="77777777" w:rsidR="00392470" w:rsidRPr="00A23C1F" w:rsidRDefault="00392470" w:rsidP="00392470">
      <w:pPr>
        <w:spacing w:line="360" w:lineRule="auto"/>
        <w:contextualSpacing/>
        <w:jc w:val="both"/>
        <w:rPr>
          <w:rFonts w:ascii="Arial" w:hAnsi="Arial" w:cs="Arial"/>
          <w:sz w:val="24"/>
          <w:szCs w:val="24"/>
          <w:lang w:val="es-CO"/>
        </w:rPr>
      </w:pPr>
    </w:p>
    <w:p w14:paraId="0C61167C" w14:textId="77777777" w:rsidR="00392470" w:rsidRPr="00A23C1F" w:rsidRDefault="00392470" w:rsidP="00392470">
      <w:pPr>
        <w:spacing w:line="360" w:lineRule="auto"/>
        <w:contextualSpacing/>
        <w:jc w:val="both"/>
        <w:rPr>
          <w:rFonts w:ascii="Arial" w:hAnsi="Arial" w:cs="Arial"/>
          <w:sz w:val="24"/>
          <w:szCs w:val="24"/>
          <w:lang w:val="es-CO"/>
        </w:rPr>
      </w:pPr>
    </w:p>
    <w:p w14:paraId="03A8410F" w14:textId="77777777" w:rsidR="00392470" w:rsidRPr="00A23C1F" w:rsidRDefault="00392470" w:rsidP="00392470">
      <w:pPr>
        <w:spacing w:line="360" w:lineRule="auto"/>
        <w:contextualSpacing/>
        <w:jc w:val="both"/>
        <w:rPr>
          <w:rFonts w:ascii="Arial" w:hAnsi="Arial" w:cs="Arial"/>
          <w:sz w:val="24"/>
          <w:szCs w:val="24"/>
          <w:lang w:val="es-CO"/>
        </w:rPr>
      </w:pPr>
      <w:r w:rsidRPr="00A23C1F">
        <w:rPr>
          <w:rFonts w:ascii="Arial" w:hAnsi="Arial" w:cs="Arial"/>
          <w:sz w:val="24"/>
          <w:szCs w:val="24"/>
          <w:lang w:val="es-CO"/>
        </w:rPr>
        <w:t>Donde:</w:t>
      </w:r>
    </w:p>
    <w:p w14:paraId="68D47DCA" w14:textId="77777777" w:rsidR="00392470" w:rsidRPr="00A23C1F" w:rsidRDefault="00392470" w:rsidP="00392470">
      <w:pPr>
        <w:spacing w:line="360" w:lineRule="auto"/>
        <w:contextualSpacing/>
        <w:jc w:val="both"/>
        <w:rPr>
          <w:rFonts w:ascii="Arial" w:hAnsi="Arial" w:cs="Arial"/>
          <w:sz w:val="24"/>
          <w:szCs w:val="24"/>
          <w:lang w:val="es-CO"/>
        </w:rPr>
      </w:pPr>
    </w:p>
    <w:p w14:paraId="3AEAA811" w14:textId="77777777" w:rsidR="00392470" w:rsidRPr="00A23C1F" w:rsidRDefault="00392470" w:rsidP="00392470">
      <w:pPr>
        <w:spacing w:line="360" w:lineRule="auto"/>
        <w:contextualSpacing/>
        <w:jc w:val="both"/>
        <w:rPr>
          <w:rFonts w:ascii="Arial" w:hAnsi="Arial" w:cs="Arial"/>
          <w:sz w:val="24"/>
          <w:szCs w:val="24"/>
          <w:lang w:val="es-CO"/>
        </w:rPr>
      </w:pPr>
      <w:r w:rsidRPr="00A23C1F">
        <w:rPr>
          <w:rFonts w:ascii="Arial" w:hAnsi="Arial" w:cs="Arial"/>
          <w:sz w:val="24"/>
          <w:szCs w:val="24"/>
          <w:lang w:val="es-CO"/>
        </w:rPr>
        <w:t>VA = Valor actualizado</w:t>
      </w:r>
    </w:p>
    <w:p w14:paraId="573E6D6A" w14:textId="77777777" w:rsidR="00392470" w:rsidRPr="00A23C1F" w:rsidRDefault="00392470" w:rsidP="00392470">
      <w:pPr>
        <w:spacing w:line="360" w:lineRule="auto"/>
        <w:contextualSpacing/>
        <w:jc w:val="both"/>
        <w:rPr>
          <w:rFonts w:ascii="Arial" w:hAnsi="Arial" w:cs="Arial"/>
          <w:sz w:val="24"/>
          <w:szCs w:val="24"/>
          <w:lang w:val="es-CO"/>
        </w:rPr>
      </w:pPr>
      <w:r w:rsidRPr="00A23C1F">
        <w:rPr>
          <w:rFonts w:ascii="Arial" w:hAnsi="Arial" w:cs="Arial"/>
          <w:sz w:val="24"/>
          <w:szCs w:val="24"/>
          <w:lang w:val="es-CO"/>
        </w:rPr>
        <w:t>VH = Valor histórico</w:t>
      </w:r>
    </w:p>
    <w:p w14:paraId="10F8622A" w14:textId="77777777" w:rsidR="00392470" w:rsidRPr="00A23C1F" w:rsidRDefault="00392470" w:rsidP="00392470">
      <w:pPr>
        <w:spacing w:line="360" w:lineRule="auto"/>
        <w:contextualSpacing/>
        <w:jc w:val="both"/>
        <w:rPr>
          <w:rFonts w:ascii="Arial" w:hAnsi="Arial" w:cs="Arial"/>
          <w:sz w:val="24"/>
          <w:szCs w:val="24"/>
          <w:lang w:val="es-CO"/>
        </w:rPr>
      </w:pPr>
    </w:p>
    <w:p w14:paraId="23DA92E4" w14:textId="77777777" w:rsidR="00392470" w:rsidRPr="00A23C1F" w:rsidRDefault="00392470" w:rsidP="00392470">
      <w:pPr>
        <w:jc w:val="both"/>
        <w:rPr>
          <w:rFonts w:ascii="Arial" w:eastAsia="Times New Roman" w:hAnsi="Arial" w:cs="Arial"/>
          <w:color w:val="000000"/>
          <w:sz w:val="24"/>
          <w:szCs w:val="24"/>
          <w:lang w:eastAsia="es-ES"/>
        </w:rPr>
      </w:pPr>
      <w:proofErr w:type="gramStart"/>
      <w:r w:rsidRPr="00A23C1F">
        <w:rPr>
          <w:rFonts w:ascii="Arial" w:hAnsi="Arial" w:cs="Arial"/>
          <w:sz w:val="24"/>
          <w:szCs w:val="24"/>
        </w:rPr>
        <w:t>128.301.913,oo</w:t>
      </w:r>
      <w:proofErr w:type="gramEnd"/>
      <w:r w:rsidRPr="00A23C1F">
        <w:rPr>
          <w:rFonts w:ascii="Arial" w:hAnsi="Arial" w:cs="Arial"/>
          <w:sz w:val="24"/>
          <w:szCs w:val="24"/>
          <w:lang w:val="es-CO"/>
        </w:rPr>
        <w:t xml:space="preserve"> x 102,27/76,14 = $172.333.026,</w:t>
      </w:r>
      <w:r w:rsidRPr="00A23C1F">
        <w:rPr>
          <w:rFonts w:ascii="Arial" w:hAnsi="Arial" w:cs="Arial"/>
          <w:sz w:val="24"/>
          <w:szCs w:val="24"/>
          <w:vertAlign w:val="subscript"/>
          <w:lang w:val="es-CO"/>
        </w:rPr>
        <w:t>66</w:t>
      </w:r>
    </w:p>
    <w:p w14:paraId="1342000F"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66090102" w14:textId="77777777" w:rsidR="00392470" w:rsidRPr="00A23C1F" w:rsidRDefault="00392470" w:rsidP="00392470">
      <w:pPr>
        <w:spacing w:line="360" w:lineRule="auto"/>
        <w:ind w:right="-142"/>
        <w:contextualSpacing/>
        <w:jc w:val="both"/>
        <w:rPr>
          <w:rFonts w:ascii="Arial" w:hAnsi="Arial" w:cs="Arial"/>
          <w:b/>
          <w:sz w:val="24"/>
          <w:szCs w:val="24"/>
        </w:rPr>
      </w:pPr>
      <w:r w:rsidRPr="00A23C1F">
        <w:rPr>
          <w:rFonts w:ascii="Arial" w:hAnsi="Arial" w:cs="Arial"/>
          <w:b/>
          <w:sz w:val="24"/>
          <w:szCs w:val="24"/>
        </w:rPr>
        <w:t>2.5. Sobre la condena en costas</w:t>
      </w:r>
    </w:p>
    <w:p w14:paraId="0278A776" w14:textId="77777777" w:rsidR="00392470" w:rsidRPr="00A23C1F" w:rsidRDefault="00392470" w:rsidP="00392470">
      <w:pPr>
        <w:spacing w:line="360" w:lineRule="auto"/>
        <w:ind w:right="-142"/>
        <w:contextualSpacing/>
        <w:jc w:val="both"/>
        <w:rPr>
          <w:rFonts w:ascii="Arial" w:hAnsi="Arial" w:cs="Arial"/>
          <w:b/>
          <w:sz w:val="24"/>
          <w:szCs w:val="24"/>
          <w:lang w:val="es-CO"/>
        </w:rPr>
      </w:pPr>
    </w:p>
    <w:p w14:paraId="69BD0566" w14:textId="77777777" w:rsidR="00392470" w:rsidRPr="00A23C1F" w:rsidRDefault="00392470" w:rsidP="00392470">
      <w:pPr>
        <w:spacing w:line="360" w:lineRule="auto"/>
        <w:ind w:right="-142"/>
        <w:contextualSpacing/>
        <w:jc w:val="both"/>
        <w:rPr>
          <w:rFonts w:ascii="Arial" w:hAnsi="Arial" w:cs="Arial"/>
          <w:sz w:val="24"/>
          <w:szCs w:val="24"/>
        </w:rPr>
      </w:pPr>
      <w:r w:rsidRPr="00A23C1F">
        <w:rPr>
          <w:rFonts w:ascii="Arial" w:hAnsi="Arial" w:cs="Arial"/>
          <w:sz w:val="24"/>
          <w:szCs w:val="24"/>
          <w:lang w:val="es-CO"/>
        </w:rPr>
        <w:lastRenderedPageBreak/>
        <w:t xml:space="preserve">54. </w:t>
      </w:r>
      <w:r w:rsidRPr="00A23C1F">
        <w:rPr>
          <w:rFonts w:ascii="Arial" w:hAnsi="Arial" w:cs="Arial"/>
          <w:sz w:val="24"/>
          <w:szCs w:val="24"/>
        </w:rPr>
        <w:t>La Sala se abstendrá de condenar en costas porque no se dan los supuestos del artículo 171 del CCA requeridos.</w:t>
      </w:r>
    </w:p>
    <w:p w14:paraId="1385085B" w14:textId="77777777" w:rsidR="00392470" w:rsidRPr="00A23C1F" w:rsidRDefault="00392470" w:rsidP="00392470">
      <w:pPr>
        <w:spacing w:line="360" w:lineRule="auto"/>
        <w:ind w:right="-142"/>
        <w:contextualSpacing/>
        <w:jc w:val="both"/>
        <w:rPr>
          <w:rFonts w:ascii="Arial" w:hAnsi="Arial" w:cs="Arial"/>
          <w:sz w:val="24"/>
          <w:szCs w:val="24"/>
        </w:rPr>
      </w:pPr>
    </w:p>
    <w:p w14:paraId="719E3D8F" w14:textId="77777777" w:rsidR="00392470" w:rsidRPr="00A23C1F" w:rsidRDefault="00392470" w:rsidP="00392470">
      <w:pPr>
        <w:spacing w:line="360" w:lineRule="auto"/>
        <w:ind w:right="-142"/>
        <w:contextualSpacing/>
        <w:jc w:val="center"/>
        <w:rPr>
          <w:rFonts w:ascii="Arial" w:hAnsi="Arial" w:cs="Arial"/>
          <w:sz w:val="24"/>
          <w:szCs w:val="24"/>
        </w:rPr>
      </w:pPr>
      <w:r w:rsidRPr="00A23C1F">
        <w:rPr>
          <w:rFonts w:ascii="Arial" w:hAnsi="Arial" w:cs="Arial"/>
          <w:b/>
          <w:sz w:val="24"/>
          <w:szCs w:val="24"/>
        </w:rPr>
        <w:t>3. DECISIÓN</w:t>
      </w:r>
    </w:p>
    <w:p w14:paraId="5EAC811F" w14:textId="77777777" w:rsidR="00392470" w:rsidRPr="00A23C1F" w:rsidRDefault="00392470" w:rsidP="00392470">
      <w:pPr>
        <w:spacing w:line="360" w:lineRule="auto"/>
        <w:ind w:right="-142"/>
        <w:contextualSpacing/>
        <w:jc w:val="both"/>
        <w:rPr>
          <w:rFonts w:ascii="Arial" w:hAnsi="Arial" w:cs="Arial"/>
          <w:sz w:val="24"/>
          <w:szCs w:val="24"/>
          <w:lang w:val="es-CO"/>
        </w:rPr>
      </w:pPr>
    </w:p>
    <w:p w14:paraId="1AE26AF0" w14:textId="77777777" w:rsidR="00392470" w:rsidRPr="00A23C1F" w:rsidRDefault="00392470" w:rsidP="00392470">
      <w:pPr>
        <w:spacing w:line="360" w:lineRule="auto"/>
        <w:ind w:right="-142"/>
        <w:contextualSpacing/>
        <w:jc w:val="both"/>
        <w:rPr>
          <w:rFonts w:ascii="Arial" w:hAnsi="Arial" w:cs="Arial"/>
          <w:sz w:val="24"/>
          <w:szCs w:val="24"/>
          <w:lang w:val="es-CO"/>
        </w:rPr>
      </w:pPr>
      <w:r w:rsidRPr="00A23C1F">
        <w:rPr>
          <w:rFonts w:ascii="Arial" w:hAnsi="Arial" w:cs="Arial"/>
          <w:sz w:val="24"/>
          <w:szCs w:val="24"/>
          <w:lang w:val="es-CO"/>
        </w:rPr>
        <w:t xml:space="preserve">55. </w:t>
      </w:r>
      <w:r w:rsidRPr="00A23C1F">
        <w:rPr>
          <w:rFonts w:ascii="Arial" w:hAnsi="Arial" w:cs="Arial"/>
          <w:sz w:val="24"/>
          <w:szCs w:val="24"/>
        </w:rPr>
        <w:t>En mérito de lo expuesto, el Consejo de Estado, Sala de lo Contencioso Administrativo, Sección Tercera, Subsección B, administrando justicia en nombre de la República y por autoridad de la ley,</w:t>
      </w:r>
      <w:r w:rsidRPr="00A23C1F">
        <w:rPr>
          <w:rFonts w:ascii="Arial" w:hAnsi="Arial" w:cs="Arial"/>
          <w:sz w:val="24"/>
          <w:szCs w:val="24"/>
          <w:lang w:val="es-CO"/>
        </w:rPr>
        <w:t xml:space="preserve"> </w:t>
      </w:r>
    </w:p>
    <w:p w14:paraId="7B2D4982" w14:textId="77777777" w:rsidR="00392470" w:rsidRPr="00A23C1F" w:rsidRDefault="00392470" w:rsidP="00392470">
      <w:pPr>
        <w:pStyle w:val="Ttulo1"/>
        <w:spacing w:line="360" w:lineRule="auto"/>
        <w:ind w:right="-142"/>
        <w:contextualSpacing/>
        <w:jc w:val="center"/>
        <w:rPr>
          <w:rFonts w:ascii="Arial" w:eastAsia="Calibri" w:hAnsi="Arial" w:cs="Arial"/>
          <w:b/>
          <w:color w:val="auto"/>
          <w:sz w:val="24"/>
          <w:szCs w:val="24"/>
        </w:rPr>
      </w:pPr>
      <w:r w:rsidRPr="00A23C1F">
        <w:rPr>
          <w:rFonts w:ascii="Arial" w:eastAsia="Calibri" w:hAnsi="Arial" w:cs="Arial"/>
          <w:b/>
          <w:color w:val="auto"/>
          <w:sz w:val="24"/>
          <w:szCs w:val="24"/>
        </w:rPr>
        <w:t>RESUELVE</w:t>
      </w:r>
    </w:p>
    <w:p w14:paraId="1369F5A4" w14:textId="77777777" w:rsidR="00392470" w:rsidRPr="00A23C1F" w:rsidRDefault="00392470" w:rsidP="00392470">
      <w:pPr>
        <w:widowControl w:val="0"/>
        <w:spacing w:line="360" w:lineRule="auto"/>
        <w:ind w:right="-142"/>
        <w:contextualSpacing/>
        <w:jc w:val="both"/>
        <w:rPr>
          <w:rFonts w:ascii="Arial" w:hAnsi="Arial" w:cs="Arial"/>
          <w:sz w:val="24"/>
          <w:szCs w:val="24"/>
        </w:rPr>
      </w:pPr>
    </w:p>
    <w:p w14:paraId="63016054" w14:textId="77777777" w:rsidR="00392470" w:rsidRPr="00A23C1F" w:rsidRDefault="00392470" w:rsidP="00392470">
      <w:pPr>
        <w:widowControl w:val="0"/>
        <w:spacing w:line="360" w:lineRule="auto"/>
        <w:ind w:right="-142"/>
        <w:jc w:val="both"/>
        <w:rPr>
          <w:rFonts w:ascii="Arial" w:hAnsi="Arial" w:cs="Arial"/>
          <w:sz w:val="24"/>
          <w:szCs w:val="24"/>
        </w:rPr>
      </w:pPr>
      <w:r w:rsidRPr="00A23C1F">
        <w:rPr>
          <w:rFonts w:ascii="Arial" w:hAnsi="Arial" w:cs="Arial"/>
          <w:b/>
          <w:sz w:val="24"/>
          <w:szCs w:val="24"/>
        </w:rPr>
        <w:t>PRIMERO: CONFIRMAR</w:t>
      </w:r>
      <w:r w:rsidRPr="00A23C1F">
        <w:rPr>
          <w:rFonts w:ascii="Arial" w:hAnsi="Arial" w:cs="Arial"/>
          <w:sz w:val="24"/>
          <w:szCs w:val="24"/>
        </w:rPr>
        <w:t xml:space="preserve"> la </w:t>
      </w:r>
      <w:proofErr w:type="gramStart"/>
      <w:r w:rsidRPr="00A23C1F">
        <w:rPr>
          <w:rFonts w:ascii="Arial" w:hAnsi="Arial" w:cs="Arial"/>
          <w:sz w:val="24"/>
          <w:szCs w:val="24"/>
        </w:rPr>
        <w:t>Sentencia  de</w:t>
      </w:r>
      <w:proofErr w:type="gramEnd"/>
      <w:r w:rsidRPr="00A23C1F">
        <w:rPr>
          <w:rFonts w:ascii="Arial" w:hAnsi="Arial" w:cs="Arial"/>
          <w:sz w:val="24"/>
          <w:szCs w:val="24"/>
        </w:rPr>
        <w:t xml:space="preserve"> 22 de junio de 2011, proferida por el Tribunal Administrativo de Cundinamarca, Sección Tercera, Subsección B. La condena actualizada en esta Sentencia se pagará de la siguiente manera: el 70% para la sociedad </w:t>
      </w:r>
      <w:proofErr w:type="spellStart"/>
      <w:r w:rsidRPr="00A23C1F">
        <w:rPr>
          <w:rFonts w:ascii="Arial" w:hAnsi="Arial" w:cs="Arial"/>
          <w:sz w:val="24"/>
          <w:szCs w:val="24"/>
        </w:rPr>
        <w:t>Icagel</w:t>
      </w:r>
      <w:proofErr w:type="spellEnd"/>
      <w:r w:rsidRPr="00A23C1F">
        <w:rPr>
          <w:rFonts w:ascii="Arial" w:hAnsi="Arial" w:cs="Arial"/>
          <w:sz w:val="24"/>
          <w:szCs w:val="24"/>
        </w:rPr>
        <w:t xml:space="preserve"> Ltda. y el 30% para Eduardo Garzón Alarcón.</w:t>
      </w:r>
    </w:p>
    <w:p w14:paraId="46D968DB" w14:textId="77777777" w:rsidR="00392470" w:rsidRPr="00A23C1F" w:rsidRDefault="00392470" w:rsidP="00392470">
      <w:pPr>
        <w:widowControl w:val="0"/>
        <w:spacing w:line="360" w:lineRule="auto"/>
        <w:ind w:right="-142"/>
        <w:jc w:val="both"/>
        <w:rPr>
          <w:rFonts w:ascii="Arial" w:hAnsi="Arial" w:cs="Arial"/>
          <w:sz w:val="24"/>
          <w:szCs w:val="24"/>
        </w:rPr>
      </w:pPr>
    </w:p>
    <w:p w14:paraId="1D987A71" w14:textId="77777777" w:rsidR="00392470" w:rsidRPr="00A23C1F" w:rsidRDefault="00392470" w:rsidP="00392470">
      <w:pPr>
        <w:widowControl w:val="0"/>
        <w:spacing w:line="360" w:lineRule="auto"/>
        <w:ind w:right="-142"/>
        <w:jc w:val="both"/>
        <w:rPr>
          <w:rFonts w:ascii="Arial" w:hAnsi="Arial" w:cs="Arial"/>
          <w:b/>
          <w:sz w:val="24"/>
          <w:szCs w:val="24"/>
        </w:rPr>
      </w:pPr>
      <w:r w:rsidRPr="00A23C1F">
        <w:rPr>
          <w:rFonts w:ascii="Arial" w:hAnsi="Arial" w:cs="Arial"/>
          <w:b/>
          <w:sz w:val="24"/>
          <w:szCs w:val="24"/>
        </w:rPr>
        <w:t xml:space="preserve">SEGUNDO: </w:t>
      </w:r>
      <w:r w:rsidRPr="00A23C1F">
        <w:rPr>
          <w:rFonts w:ascii="Arial" w:hAnsi="Arial" w:cs="Arial"/>
          <w:sz w:val="24"/>
          <w:szCs w:val="24"/>
        </w:rPr>
        <w:t>sin condena en costas.</w:t>
      </w:r>
    </w:p>
    <w:p w14:paraId="7D9E1591" w14:textId="77777777" w:rsidR="00392470" w:rsidRPr="00A23C1F" w:rsidRDefault="00392470" w:rsidP="00392470">
      <w:pPr>
        <w:widowControl w:val="0"/>
        <w:spacing w:line="360" w:lineRule="auto"/>
        <w:ind w:right="-142"/>
        <w:jc w:val="both"/>
        <w:rPr>
          <w:rFonts w:ascii="Arial" w:hAnsi="Arial" w:cs="Arial"/>
          <w:sz w:val="24"/>
          <w:szCs w:val="24"/>
          <w:lang w:val="es-CO"/>
        </w:rPr>
      </w:pPr>
    </w:p>
    <w:p w14:paraId="34AE57AF" w14:textId="77777777" w:rsidR="00392470" w:rsidRPr="00A23C1F" w:rsidRDefault="00392470" w:rsidP="00392470">
      <w:pPr>
        <w:widowControl w:val="0"/>
        <w:spacing w:line="360" w:lineRule="auto"/>
        <w:ind w:right="-142"/>
        <w:jc w:val="both"/>
        <w:rPr>
          <w:rFonts w:ascii="Arial" w:hAnsi="Arial" w:cs="Arial"/>
          <w:bCs/>
          <w:sz w:val="24"/>
          <w:szCs w:val="24"/>
        </w:rPr>
      </w:pPr>
      <w:r w:rsidRPr="00A23C1F">
        <w:rPr>
          <w:rFonts w:ascii="Arial" w:hAnsi="Arial" w:cs="Arial"/>
          <w:sz w:val="24"/>
          <w:szCs w:val="24"/>
        </w:rPr>
        <w:t>P</w:t>
      </w:r>
      <w:r w:rsidRPr="00A23C1F">
        <w:rPr>
          <w:rFonts w:ascii="Arial" w:hAnsi="Arial" w:cs="Arial"/>
          <w:bCs/>
          <w:sz w:val="24"/>
          <w:szCs w:val="24"/>
        </w:rPr>
        <w:t xml:space="preserve">or Secretaría, una vez de ejecutoriado este proveído, </w:t>
      </w:r>
      <w:r w:rsidRPr="00A23C1F">
        <w:rPr>
          <w:rFonts w:ascii="Arial" w:hAnsi="Arial" w:cs="Arial"/>
          <w:b/>
          <w:bCs/>
          <w:sz w:val="24"/>
          <w:szCs w:val="24"/>
        </w:rPr>
        <w:t xml:space="preserve">DEVUÉLVASE </w:t>
      </w:r>
      <w:r w:rsidRPr="00A23C1F">
        <w:rPr>
          <w:rFonts w:ascii="Arial" w:hAnsi="Arial" w:cs="Arial"/>
          <w:bCs/>
          <w:sz w:val="24"/>
          <w:szCs w:val="24"/>
        </w:rPr>
        <w:t>el expediente al Tribunal de origen.</w:t>
      </w:r>
    </w:p>
    <w:p w14:paraId="1F669FBB" w14:textId="77777777" w:rsidR="00392470" w:rsidRPr="00A23C1F" w:rsidRDefault="00392470" w:rsidP="00392470">
      <w:pPr>
        <w:overflowPunct w:val="0"/>
        <w:autoSpaceDE w:val="0"/>
        <w:autoSpaceDN w:val="0"/>
        <w:adjustRightInd w:val="0"/>
        <w:spacing w:line="360" w:lineRule="auto"/>
        <w:ind w:right="-142"/>
        <w:contextualSpacing/>
        <w:textAlignment w:val="baseline"/>
        <w:rPr>
          <w:rFonts w:ascii="Arial" w:hAnsi="Arial" w:cs="Arial"/>
          <w:sz w:val="24"/>
          <w:szCs w:val="24"/>
        </w:rPr>
      </w:pPr>
    </w:p>
    <w:p w14:paraId="3F0A8387" w14:textId="77777777" w:rsidR="00392470" w:rsidRPr="00A23C1F" w:rsidRDefault="00392470" w:rsidP="00392470">
      <w:pPr>
        <w:overflowPunct w:val="0"/>
        <w:autoSpaceDE w:val="0"/>
        <w:autoSpaceDN w:val="0"/>
        <w:adjustRightInd w:val="0"/>
        <w:spacing w:line="360" w:lineRule="auto"/>
        <w:ind w:right="-142"/>
        <w:contextualSpacing/>
        <w:textAlignment w:val="baseline"/>
        <w:rPr>
          <w:rFonts w:ascii="Arial" w:hAnsi="Arial" w:cs="Arial"/>
          <w:sz w:val="24"/>
          <w:szCs w:val="24"/>
        </w:rPr>
      </w:pPr>
    </w:p>
    <w:p w14:paraId="1164AD89" w14:textId="77777777" w:rsidR="00392470" w:rsidRPr="00A23C1F" w:rsidRDefault="00392470" w:rsidP="00392470">
      <w:pPr>
        <w:spacing w:line="360" w:lineRule="auto"/>
        <w:ind w:right="-142"/>
        <w:contextualSpacing/>
        <w:jc w:val="center"/>
        <w:rPr>
          <w:rFonts w:ascii="Arial" w:hAnsi="Arial" w:cs="Arial"/>
          <w:b/>
          <w:snapToGrid w:val="0"/>
          <w:sz w:val="24"/>
          <w:szCs w:val="24"/>
        </w:rPr>
      </w:pPr>
      <w:r w:rsidRPr="00A23C1F">
        <w:rPr>
          <w:rFonts w:ascii="Arial" w:hAnsi="Arial" w:cs="Arial"/>
          <w:b/>
          <w:snapToGrid w:val="0"/>
          <w:sz w:val="24"/>
          <w:szCs w:val="24"/>
        </w:rPr>
        <w:t>NOTIFÍQUESE Y CÚMPLASE</w:t>
      </w:r>
    </w:p>
    <w:p w14:paraId="5E620BED" w14:textId="77777777" w:rsidR="00392470" w:rsidRPr="00A23C1F" w:rsidRDefault="00392470" w:rsidP="00FD7EA5">
      <w:pPr>
        <w:spacing w:line="360" w:lineRule="auto"/>
        <w:ind w:right="-142"/>
        <w:contextualSpacing/>
        <w:jc w:val="center"/>
        <w:rPr>
          <w:rFonts w:ascii="Arial" w:hAnsi="Arial" w:cs="Arial"/>
          <w:b/>
          <w:snapToGrid w:val="0"/>
          <w:sz w:val="24"/>
          <w:szCs w:val="24"/>
        </w:rPr>
      </w:pPr>
    </w:p>
    <w:p w14:paraId="727074E9" w14:textId="77777777" w:rsidR="00FD7EA5" w:rsidRPr="00A23C1F" w:rsidRDefault="00392470" w:rsidP="00FD7EA5">
      <w:pPr>
        <w:spacing w:line="360" w:lineRule="auto"/>
        <w:ind w:right="-142"/>
        <w:contextualSpacing/>
        <w:jc w:val="center"/>
        <w:rPr>
          <w:rFonts w:ascii="Arial" w:hAnsi="Arial" w:cs="Arial"/>
          <w:sz w:val="24"/>
          <w:szCs w:val="24"/>
        </w:rPr>
      </w:pPr>
      <w:r w:rsidRPr="00A23C1F">
        <w:rPr>
          <w:rFonts w:ascii="Arial" w:hAnsi="Arial" w:cs="Arial"/>
          <w:b/>
          <w:snapToGrid w:val="0"/>
          <w:sz w:val="24"/>
          <w:szCs w:val="24"/>
        </w:rPr>
        <w:t>ALBERTO MONTAÑA PLATA</w:t>
      </w:r>
    </w:p>
    <w:p w14:paraId="5F420B79" w14:textId="77777777" w:rsidR="00FD7EA5" w:rsidRPr="00A23C1F" w:rsidRDefault="00FD7EA5" w:rsidP="00FD7EA5">
      <w:pPr>
        <w:spacing w:line="360" w:lineRule="auto"/>
        <w:ind w:right="-142"/>
        <w:contextualSpacing/>
        <w:jc w:val="center"/>
        <w:rPr>
          <w:rFonts w:ascii="Arial" w:hAnsi="Arial" w:cs="Arial"/>
          <w:sz w:val="24"/>
          <w:szCs w:val="24"/>
        </w:rPr>
      </w:pPr>
    </w:p>
    <w:p w14:paraId="03BF127A" w14:textId="77777777" w:rsidR="00392470" w:rsidRPr="00A23C1F" w:rsidRDefault="00392470" w:rsidP="00FD7EA5">
      <w:pPr>
        <w:spacing w:line="360" w:lineRule="auto"/>
        <w:ind w:right="-142"/>
        <w:contextualSpacing/>
        <w:jc w:val="center"/>
        <w:rPr>
          <w:rFonts w:ascii="Arial" w:hAnsi="Arial" w:cs="Arial"/>
          <w:sz w:val="24"/>
          <w:szCs w:val="24"/>
        </w:rPr>
      </w:pPr>
      <w:r w:rsidRPr="00A23C1F">
        <w:rPr>
          <w:rFonts w:ascii="Arial" w:hAnsi="Arial" w:cs="Arial"/>
          <w:b/>
          <w:sz w:val="24"/>
          <w:szCs w:val="24"/>
        </w:rPr>
        <w:t>MARTÍN BERMÚDEZ MUÑOZ</w:t>
      </w:r>
    </w:p>
    <w:p w14:paraId="54348CEA" w14:textId="77777777" w:rsidR="00392470" w:rsidRPr="00A23C1F" w:rsidRDefault="00392470" w:rsidP="00392470">
      <w:pPr>
        <w:spacing w:line="360" w:lineRule="auto"/>
        <w:ind w:right="-142"/>
        <w:contextualSpacing/>
        <w:rPr>
          <w:rFonts w:ascii="Arial" w:hAnsi="Arial" w:cs="Arial"/>
          <w:sz w:val="24"/>
          <w:szCs w:val="24"/>
        </w:rPr>
      </w:pPr>
    </w:p>
    <w:p w14:paraId="7F0EC87E" w14:textId="77777777" w:rsidR="00392470" w:rsidRPr="00A23C1F" w:rsidRDefault="00392470" w:rsidP="00392470">
      <w:pPr>
        <w:spacing w:line="360" w:lineRule="auto"/>
        <w:ind w:right="-142"/>
        <w:contextualSpacing/>
        <w:rPr>
          <w:rFonts w:ascii="Arial" w:hAnsi="Arial" w:cs="Arial"/>
          <w:sz w:val="24"/>
          <w:szCs w:val="24"/>
        </w:rPr>
      </w:pPr>
    </w:p>
    <w:p w14:paraId="752E81A8" w14:textId="77777777" w:rsidR="00392470" w:rsidRPr="00A23C1F" w:rsidRDefault="00392470" w:rsidP="00392470">
      <w:pPr>
        <w:spacing w:line="360" w:lineRule="auto"/>
        <w:ind w:right="-142"/>
        <w:contextualSpacing/>
        <w:rPr>
          <w:rFonts w:ascii="Arial" w:hAnsi="Arial" w:cs="Arial"/>
          <w:sz w:val="24"/>
          <w:szCs w:val="24"/>
        </w:rPr>
      </w:pPr>
    </w:p>
    <w:p w14:paraId="1430FBDA" w14:textId="77777777" w:rsidR="00392470" w:rsidRPr="00A23C1F" w:rsidRDefault="00392470" w:rsidP="00392470">
      <w:pPr>
        <w:rPr>
          <w:rFonts w:ascii="Arial" w:hAnsi="Arial" w:cs="Arial"/>
          <w:sz w:val="24"/>
          <w:szCs w:val="24"/>
        </w:rPr>
      </w:pPr>
    </w:p>
    <w:p w14:paraId="363A8A60" w14:textId="77777777" w:rsidR="0060032C" w:rsidRPr="00A23C1F" w:rsidRDefault="0060032C">
      <w:pPr>
        <w:rPr>
          <w:rFonts w:ascii="Arial" w:hAnsi="Arial" w:cs="Arial"/>
          <w:sz w:val="24"/>
          <w:szCs w:val="24"/>
        </w:rPr>
      </w:pPr>
    </w:p>
    <w:sectPr w:rsidR="0060032C" w:rsidRPr="00A23C1F" w:rsidSect="0000242C">
      <w:footerReference w:type="first" r:id="rId10"/>
      <w:pgSz w:w="12242" w:h="18722" w:code="121"/>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C374A" w14:textId="77777777" w:rsidR="00CC76ED" w:rsidRDefault="00CC76ED" w:rsidP="00392470">
      <w:r>
        <w:separator/>
      </w:r>
    </w:p>
  </w:endnote>
  <w:endnote w:type="continuationSeparator" w:id="0">
    <w:p w14:paraId="6D8273B5" w14:textId="77777777" w:rsidR="00CC76ED" w:rsidRDefault="00CC76ED" w:rsidP="0039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07FF4" w14:textId="77777777" w:rsidR="00CB55A4" w:rsidRPr="009D2D9F" w:rsidRDefault="00CB55A4" w:rsidP="00CB55A4">
    <w:pPr>
      <w:pStyle w:val="Piedepgina"/>
      <w:jc w:val="center"/>
      <w:rPr>
        <w:rFonts w:ascii="Century Gothic" w:hAnsi="Century Gothic"/>
        <w:color w:val="767171"/>
        <w:sz w:val="20"/>
        <w:szCs w:val="20"/>
      </w:rPr>
    </w:pPr>
    <w:r w:rsidRPr="009D2D9F">
      <w:rPr>
        <w:rFonts w:ascii="Century Gothic" w:hAnsi="Century Gothic"/>
        <w:color w:val="767171"/>
        <w:sz w:val="20"/>
        <w:szCs w:val="20"/>
      </w:rPr>
      <w:t>Calle 12 No. 7-65 – Tel: (57-1) 350-6700 – Bogotá D.C. – Colombia</w:t>
    </w:r>
  </w:p>
  <w:p w14:paraId="34999B1E" w14:textId="77777777" w:rsidR="00CB55A4" w:rsidRPr="00117091" w:rsidRDefault="00CB55A4" w:rsidP="00CB55A4">
    <w:pPr>
      <w:pStyle w:val="Piedepgina"/>
      <w:jc w:val="center"/>
      <w:rPr>
        <w:color w:val="767171"/>
        <w:sz w:val="20"/>
        <w:szCs w:val="20"/>
      </w:rPr>
    </w:pPr>
    <w:r w:rsidRPr="009D2D9F">
      <w:rPr>
        <w:rFonts w:ascii="Century Gothic" w:hAnsi="Century Gothic"/>
        <w:color w:val="767171"/>
        <w:sz w:val="20"/>
        <w:szCs w:val="20"/>
      </w:rPr>
      <w:t>www.consejodeestado.gov.co</w:t>
    </w:r>
  </w:p>
  <w:p w14:paraId="03E0A1E6" w14:textId="77777777" w:rsidR="00CB55A4" w:rsidRDefault="00CB55A4">
    <w:pPr>
      <w:pStyle w:val="Piedepgina"/>
      <w:jc w:val="right"/>
      <w:rPr>
        <w:rFonts w:ascii="Arial" w:hAnsi="Arial" w:cs="Arial"/>
        <w:sz w:val="22"/>
        <w:szCs w:val="22"/>
      </w:rPr>
    </w:pPr>
  </w:p>
  <w:p w14:paraId="5BAF996B" w14:textId="77777777" w:rsidR="00CB55A4" w:rsidRPr="00A42B1F" w:rsidRDefault="00CB55A4">
    <w:pPr>
      <w:pStyle w:val="Piedepgina"/>
      <w:jc w:val="right"/>
      <w:rPr>
        <w:rFonts w:ascii="Arial" w:hAnsi="Arial" w:cs="Arial"/>
        <w:sz w:val="22"/>
        <w:szCs w:val="22"/>
      </w:rPr>
    </w:pPr>
  </w:p>
  <w:p w14:paraId="7A9D85CB" w14:textId="77777777" w:rsidR="00CB55A4" w:rsidRDefault="00CB55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780B0" w14:textId="77777777" w:rsidR="00CC76ED" w:rsidRDefault="00CC76ED" w:rsidP="00392470">
      <w:r>
        <w:separator/>
      </w:r>
    </w:p>
  </w:footnote>
  <w:footnote w:type="continuationSeparator" w:id="0">
    <w:p w14:paraId="4895EB96" w14:textId="77777777" w:rsidR="00CC76ED" w:rsidRDefault="00CC76ED" w:rsidP="00392470">
      <w:r>
        <w:continuationSeparator/>
      </w:r>
    </w:p>
  </w:footnote>
  <w:footnote w:id="1">
    <w:p w14:paraId="5FD96804" w14:textId="77777777" w:rsidR="00392470" w:rsidRPr="00DC6264" w:rsidRDefault="00392470" w:rsidP="00392470">
      <w:pPr>
        <w:pStyle w:val="Textonotapie"/>
        <w:rPr>
          <w:rFonts w:ascii="Century Gothic" w:hAnsi="Century Gothic"/>
          <w:lang w:val="es-CO"/>
        </w:rPr>
      </w:pPr>
      <w:r>
        <w:rPr>
          <w:rStyle w:val="Refdenotaalpie"/>
        </w:rPr>
        <w:footnoteRef/>
      </w:r>
      <w:r>
        <w:t xml:space="preserve"> </w:t>
      </w:r>
      <w:r>
        <w:rPr>
          <w:rFonts w:ascii="Century Gothic" w:hAnsi="Century Gothic"/>
          <w:lang w:val="es-CO"/>
        </w:rPr>
        <w:t>Integrantes del Consorcio Icagel Limitada.</w:t>
      </w:r>
    </w:p>
  </w:footnote>
  <w:footnote w:id="2">
    <w:p w14:paraId="32784170" w14:textId="77777777" w:rsidR="00392470" w:rsidRPr="0082751A" w:rsidRDefault="00392470" w:rsidP="00392470">
      <w:pPr>
        <w:pStyle w:val="Textonotapie"/>
        <w:jc w:val="both"/>
        <w:rPr>
          <w:rFonts w:ascii="Arial" w:hAnsi="Arial" w:cs="Arial"/>
          <w:i/>
        </w:rPr>
      </w:pPr>
      <w:r w:rsidRPr="0082751A">
        <w:rPr>
          <w:rStyle w:val="Refdenotaalpie"/>
          <w:rFonts w:ascii="Arial" w:eastAsia="Calibri" w:hAnsi="Arial" w:cs="Arial"/>
        </w:rPr>
        <w:footnoteRef/>
      </w:r>
      <w:r w:rsidRPr="0082751A">
        <w:rPr>
          <w:rFonts w:ascii="Arial" w:hAnsi="Arial" w:cs="Arial"/>
        </w:rPr>
        <w:t xml:space="preserve"> </w:t>
      </w:r>
      <w:r>
        <w:rPr>
          <w:rFonts w:ascii="Century Gothic" w:hAnsi="Century Gothic"/>
          <w:lang w:val="es-CO"/>
        </w:rPr>
        <w:t>Folios 2-11 del cuaderno 1.</w:t>
      </w:r>
    </w:p>
  </w:footnote>
  <w:footnote w:id="3">
    <w:p w14:paraId="4A733350" w14:textId="77777777" w:rsidR="00392470" w:rsidRPr="00A838B6" w:rsidRDefault="00392470" w:rsidP="0039247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18 del cuaderno 1.</w:t>
      </w:r>
    </w:p>
  </w:footnote>
  <w:footnote w:id="4">
    <w:p w14:paraId="408464CC" w14:textId="77777777" w:rsidR="00392470" w:rsidRPr="00721D83" w:rsidRDefault="00392470" w:rsidP="0039247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20-34 del cuaderno 1.</w:t>
      </w:r>
    </w:p>
  </w:footnote>
  <w:footnote w:id="5">
    <w:p w14:paraId="321BACB1" w14:textId="77777777" w:rsidR="00392470" w:rsidRPr="00D5090D" w:rsidRDefault="00392470" w:rsidP="0039247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43-44 del cuaderno 1.</w:t>
      </w:r>
    </w:p>
  </w:footnote>
  <w:footnote w:id="6">
    <w:p w14:paraId="6ABCE02F" w14:textId="77777777" w:rsidR="00392470" w:rsidRPr="004F6430" w:rsidRDefault="00392470" w:rsidP="0039247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68 del cuaderno 1.</w:t>
      </w:r>
    </w:p>
  </w:footnote>
  <w:footnote w:id="7">
    <w:p w14:paraId="6AF15BC4" w14:textId="77777777" w:rsidR="00392470" w:rsidRPr="00EC68CD" w:rsidRDefault="00392470" w:rsidP="00392470">
      <w:pPr>
        <w:pStyle w:val="Textonotapie"/>
        <w:rPr>
          <w:lang w:val="es-CO"/>
        </w:rPr>
      </w:pPr>
      <w:r>
        <w:rPr>
          <w:rStyle w:val="Refdenotaalpie"/>
        </w:rPr>
        <w:footnoteRef/>
      </w:r>
      <w:r>
        <w:t xml:space="preserve"> </w:t>
      </w:r>
      <w:r w:rsidRPr="00EC68CD">
        <w:rPr>
          <w:rFonts w:ascii="Century Gothic" w:hAnsi="Century Gothic"/>
          <w:lang w:val="es-CO"/>
        </w:rPr>
        <w:t xml:space="preserve">Folios </w:t>
      </w:r>
      <w:r>
        <w:rPr>
          <w:rFonts w:ascii="Century Gothic" w:hAnsi="Century Gothic"/>
          <w:lang w:val="es-CO"/>
        </w:rPr>
        <w:t>69-74 del cuaderno 1</w:t>
      </w:r>
      <w:r>
        <w:rPr>
          <w:rFonts w:ascii="Century Gothic" w:hAnsi="Century Gothic" w:cs="Arial"/>
          <w:szCs w:val="24"/>
        </w:rPr>
        <w:t>.</w:t>
      </w:r>
    </w:p>
  </w:footnote>
  <w:footnote w:id="8">
    <w:p w14:paraId="485A4F3C" w14:textId="77777777" w:rsidR="00392470" w:rsidRPr="00945CCE" w:rsidRDefault="00392470" w:rsidP="0039247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76-81 del cuaderno principal.</w:t>
      </w:r>
    </w:p>
  </w:footnote>
  <w:footnote w:id="9">
    <w:p w14:paraId="4B9E9354" w14:textId="77777777" w:rsidR="00392470" w:rsidRPr="00C5413D" w:rsidRDefault="00392470" w:rsidP="00392470">
      <w:pPr>
        <w:pStyle w:val="Textonotapie"/>
        <w:tabs>
          <w:tab w:val="left" w:pos="5560"/>
        </w:tabs>
        <w:rPr>
          <w:rFonts w:ascii="Century Gothic" w:hAnsi="Century Gothic"/>
          <w:lang w:val="es-CO"/>
        </w:rPr>
      </w:pPr>
      <w:r>
        <w:rPr>
          <w:rStyle w:val="Refdenotaalpie"/>
        </w:rPr>
        <w:footnoteRef/>
      </w:r>
      <w:r>
        <w:t xml:space="preserve"> </w:t>
      </w:r>
      <w:r>
        <w:rPr>
          <w:rFonts w:ascii="Century Gothic" w:hAnsi="Century Gothic"/>
          <w:lang w:val="es-CO"/>
        </w:rPr>
        <w:t>Folios 83-90 del cuaderno principal.</w:t>
      </w:r>
      <w:r>
        <w:rPr>
          <w:rFonts w:ascii="Century Gothic" w:hAnsi="Century Gothic"/>
          <w:lang w:val="es-CO"/>
        </w:rPr>
        <w:tab/>
      </w:r>
    </w:p>
  </w:footnote>
  <w:footnote w:id="10">
    <w:p w14:paraId="1D86D1E3" w14:textId="77777777" w:rsidR="00392470" w:rsidRPr="001774CB" w:rsidRDefault="00392470" w:rsidP="0039247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218 del cuaderno principal.</w:t>
      </w:r>
    </w:p>
  </w:footnote>
  <w:footnote w:id="11">
    <w:p w14:paraId="582EB92C" w14:textId="77777777" w:rsidR="00392470" w:rsidRPr="00EC68CD" w:rsidRDefault="00392470" w:rsidP="00392470">
      <w:pPr>
        <w:pStyle w:val="Textonotapie"/>
        <w:rPr>
          <w:lang w:val="es-CO"/>
        </w:rPr>
      </w:pPr>
      <w:r>
        <w:rPr>
          <w:rStyle w:val="Refdenotaalpie"/>
        </w:rPr>
        <w:footnoteRef/>
      </w:r>
      <w:r>
        <w:t xml:space="preserve"> </w:t>
      </w:r>
      <w:r w:rsidRPr="00EC68CD">
        <w:rPr>
          <w:rFonts w:ascii="Century Gothic" w:hAnsi="Century Gothic"/>
          <w:lang w:val="es-CO"/>
        </w:rPr>
        <w:t xml:space="preserve">Folios </w:t>
      </w:r>
      <w:r>
        <w:rPr>
          <w:rFonts w:ascii="Century Gothic" w:hAnsi="Century Gothic"/>
          <w:lang w:val="es-CO"/>
        </w:rPr>
        <w:t>219-227 del cuaderno principal</w:t>
      </w:r>
      <w:r>
        <w:rPr>
          <w:rFonts w:ascii="Century Gothic" w:hAnsi="Century Gothic" w:cs="Arial"/>
          <w:szCs w:val="24"/>
        </w:rPr>
        <w:t>.</w:t>
      </w:r>
    </w:p>
  </w:footnote>
  <w:footnote w:id="12">
    <w:p w14:paraId="1382A04F" w14:textId="77777777" w:rsidR="00392470" w:rsidRPr="003F6846" w:rsidRDefault="00392470" w:rsidP="00392470">
      <w:pPr>
        <w:pStyle w:val="Textonotapie"/>
        <w:rPr>
          <w:rFonts w:ascii="Century Gothic" w:hAnsi="Century Gothic"/>
          <w:lang w:val="es-CO"/>
        </w:rPr>
      </w:pPr>
      <w:r w:rsidRPr="003F6846">
        <w:rPr>
          <w:rStyle w:val="Refdenotaalpie"/>
        </w:rPr>
        <w:footnoteRef/>
      </w:r>
      <w:r w:rsidRPr="003F6846">
        <w:t xml:space="preserve"> </w:t>
      </w:r>
      <w:r>
        <w:rPr>
          <w:rFonts w:ascii="Century Gothic" w:hAnsi="Century Gothic"/>
          <w:lang w:val="es-CO"/>
        </w:rPr>
        <w:t>Folio 261</w:t>
      </w:r>
      <w:r w:rsidRPr="003F6846">
        <w:rPr>
          <w:rFonts w:ascii="Century Gothic" w:hAnsi="Century Gothic"/>
          <w:lang w:val="es-CO"/>
        </w:rPr>
        <w:t xml:space="preserve"> del cuaderno principal. </w:t>
      </w:r>
    </w:p>
  </w:footnote>
  <w:footnote w:id="13">
    <w:p w14:paraId="154CA994" w14:textId="77777777" w:rsidR="00392470" w:rsidRPr="002333F8" w:rsidRDefault="00392470" w:rsidP="00392470">
      <w:pPr>
        <w:pStyle w:val="Textonotapie"/>
        <w:rPr>
          <w:rFonts w:ascii="Century Gothic" w:hAnsi="Century Gothic"/>
          <w:lang w:val="es-CO"/>
        </w:rPr>
      </w:pPr>
      <w:r w:rsidRPr="003F6846">
        <w:rPr>
          <w:rStyle w:val="Refdenotaalpie"/>
        </w:rPr>
        <w:footnoteRef/>
      </w:r>
      <w:r w:rsidRPr="003F6846">
        <w:t xml:space="preserve"> </w:t>
      </w:r>
      <w:r w:rsidRPr="003F6846">
        <w:rPr>
          <w:rFonts w:ascii="Century Gothic" w:hAnsi="Century Gothic"/>
          <w:lang w:val="es-CO"/>
        </w:rPr>
        <w:t>Folio</w:t>
      </w:r>
      <w:r>
        <w:rPr>
          <w:rFonts w:ascii="Century Gothic" w:hAnsi="Century Gothic"/>
          <w:lang w:val="es-CO"/>
        </w:rPr>
        <w:t>s 262-263</w:t>
      </w:r>
      <w:r w:rsidRPr="003F6846">
        <w:rPr>
          <w:rFonts w:ascii="Century Gothic" w:hAnsi="Century Gothic"/>
          <w:lang w:val="es-CO"/>
        </w:rPr>
        <w:t xml:space="preserve"> del cuaderno principal.</w:t>
      </w:r>
    </w:p>
  </w:footnote>
  <w:footnote w:id="14">
    <w:p w14:paraId="3912530E" w14:textId="77777777" w:rsidR="00392470" w:rsidRPr="00712983" w:rsidRDefault="00392470" w:rsidP="00392470">
      <w:pPr>
        <w:pStyle w:val="Textonotapie"/>
        <w:jc w:val="both"/>
        <w:rPr>
          <w:lang w:val="es-CO"/>
        </w:rPr>
      </w:pPr>
      <w:r>
        <w:rPr>
          <w:rStyle w:val="Refdenotaalpie"/>
        </w:rPr>
        <w:footnoteRef/>
      </w:r>
      <w:r>
        <w:t xml:space="preserve"> </w:t>
      </w:r>
      <w:r w:rsidRPr="00712983">
        <w:rPr>
          <w:rFonts w:ascii="Century Gothic" w:hAnsi="Century Gothic" w:cs="Arial"/>
          <w:szCs w:val="24"/>
        </w:rPr>
        <w:t>“</w:t>
      </w:r>
      <w:r w:rsidRPr="0012071F">
        <w:rPr>
          <w:rFonts w:ascii="Century Gothic" w:hAnsi="Century Gothic" w:cs="Arial"/>
          <w:szCs w:val="24"/>
        </w:rPr>
        <w:t>Artículo 129</w:t>
      </w:r>
      <w:r w:rsidRPr="000734FD">
        <w:rPr>
          <w:rFonts w:ascii="Century Gothic" w:hAnsi="Century Gothic" w:cs="Arial"/>
          <w:szCs w:val="24"/>
        </w:rPr>
        <w:t>. El Consejo de Estado, en Sala de lo Contencioso Administrativo, conocerá en segunda instancia de las apelaciones de las sentencias dictadas en primera instancia por los Tribunales Administrativos”.</w:t>
      </w:r>
    </w:p>
  </w:footnote>
  <w:footnote w:id="15">
    <w:p w14:paraId="0F091415" w14:textId="77777777" w:rsidR="00392470" w:rsidRPr="00F13F5A" w:rsidRDefault="00392470" w:rsidP="0039247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51-53 y 55-57 del cuaderno 4.</w:t>
      </w:r>
    </w:p>
  </w:footnote>
  <w:footnote w:id="16">
    <w:p w14:paraId="6A5434DB" w14:textId="77777777" w:rsidR="00392470" w:rsidRPr="00F75E59" w:rsidRDefault="00392470" w:rsidP="00392470">
      <w:pPr>
        <w:pStyle w:val="Textonotapie"/>
        <w:rPr>
          <w:lang w:val="es-CO"/>
        </w:rPr>
      </w:pPr>
      <w:r>
        <w:rPr>
          <w:rStyle w:val="Refdenotaalpie"/>
        </w:rPr>
        <w:footnoteRef/>
      </w:r>
      <w:r>
        <w:t xml:space="preserve"> </w:t>
      </w:r>
      <w:r>
        <w:rPr>
          <w:rFonts w:ascii="Century Gothic" w:hAnsi="Century Gothic"/>
          <w:lang w:val="es-CO"/>
        </w:rPr>
        <w:t>Folios 4-50 del cuaderno 4.</w:t>
      </w:r>
    </w:p>
  </w:footnote>
  <w:footnote w:id="17">
    <w:p w14:paraId="3B7C9D7C" w14:textId="77777777" w:rsidR="00392470" w:rsidRPr="00BF103D" w:rsidRDefault="00392470" w:rsidP="00392470">
      <w:pPr>
        <w:pStyle w:val="Textonotapie"/>
        <w:rPr>
          <w:lang w:val="es-CO"/>
        </w:rPr>
      </w:pPr>
      <w:r>
        <w:rPr>
          <w:rStyle w:val="Refdenotaalpie"/>
        </w:rPr>
        <w:footnoteRef/>
      </w:r>
      <w:r>
        <w:t xml:space="preserve"> </w:t>
      </w:r>
      <w:r>
        <w:rPr>
          <w:rFonts w:ascii="Century Gothic" w:hAnsi="Century Gothic"/>
          <w:lang w:val="es-CO"/>
        </w:rPr>
        <w:t>Folios 297-326 del cuaderno 4.</w:t>
      </w:r>
    </w:p>
  </w:footnote>
  <w:footnote w:id="18">
    <w:p w14:paraId="36B2756A" w14:textId="77777777" w:rsidR="00392470" w:rsidRPr="007D1614" w:rsidRDefault="00392470" w:rsidP="0039247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6 del cuaderno 2.</w:t>
      </w:r>
    </w:p>
  </w:footnote>
  <w:footnote w:id="19">
    <w:p w14:paraId="774F3567" w14:textId="77777777" w:rsidR="00392470" w:rsidRPr="00360193" w:rsidRDefault="00392470" w:rsidP="00392470">
      <w:pPr>
        <w:pStyle w:val="Textonotapie"/>
        <w:rPr>
          <w:lang w:val="es-CO"/>
        </w:rPr>
      </w:pPr>
      <w:r>
        <w:rPr>
          <w:rStyle w:val="Refdenotaalpie"/>
        </w:rPr>
        <w:footnoteRef/>
      </w:r>
      <w:r>
        <w:t xml:space="preserve"> </w:t>
      </w:r>
      <w:r>
        <w:rPr>
          <w:rFonts w:ascii="Century Gothic" w:hAnsi="Century Gothic"/>
          <w:lang w:val="es-CO"/>
        </w:rPr>
        <w:t>Folios 341-344 del cuaderno 4.</w:t>
      </w:r>
    </w:p>
  </w:footnote>
  <w:footnote w:id="20">
    <w:p w14:paraId="34C09EB7" w14:textId="77777777" w:rsidR="00392470" w:rsidRPr="00F04C47" w:rsidRDefault="00392470" w:rsidP="00392470">
      <w:pPr>
        <w:pStyle w:val="Textonotapie"/>
        <w:rPr>
          <w:lang w:val="es-CO"/>
        </w:rPr>
      </w:pPr>
      <w:r>
        <w:rPr>
          <w:rStyle w:val="Refdenotaalpie"/>
        </w:rPr>
        <w:footnoteRef/>
      </w:r>
      <w:r>
        <w:t xml:space="preserve"> </w:t>
      </w:r>
      <w:r>
        <w:rPr>
          <w:rFonts w:ascii="Century Gothic" w:hAnsi="Century Gothic"/>
          <w:lang w:val="es-CO"/>
        </w:rPr>
        <w:t>Folios 327-340 del cuaderno 4  y 11-27 y 30-47 del cuaderno 2.</w:t>
      </w:r>
    </w:p>
  </w:footnote>
  <w:footnote w:id="21">
    <w:p w14:paraId="5C959457" w14:textId="77777777" w:rsidR="00392470" w:rsidRPr="00DA1051" w:rsidRDefault="00392470" w:rsidP="00392470">
      <w:pPr>
        <w:pStyle w:val="Textonotapie"/>
        <w:jc w:val="both"/>
        <w:rPr>
          <w:rFonts w:ascii="Century Gothic" w:hAnsi="Century Gothic"/>
          <w:lang w:val="es-CO"/>
        </w:rPr>
      </w:pPr>
      <w:r>
        <w:rPr>
          <w:rStyle w:val="Refdenotaalpie"/>
        </w:rPr>
        <w:footnoteRef/>
      </w:r>
      <w:r>
        <w:t xml:space="preserve"> </w:t>
      </w:r>
      <w:r>
        <w:rPr>
          <w:rFonts w:ascii="Century Gothic" w:hAnsi="Century Gothic"/>
          <w:lang w:val="es-CO"/>
        </w:rPr>
        <w:t>Consejo de Estado, Sala de lo Contencioso Administrativo, Sección Tercera, Sentencia de 25 de septiembre de 2013, exp. 19.933.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470"/>
    <w:rsid w:val="0000242C"/>
    <w:rsid w:val="00053309"/>
    <w:rsid w:val="000A77E7"/>
    <w:rsid w:val="00184FF0"/>
    <w:rsid w:val="00294B5A"/>
    <w:rsid w:val="00392470"/>
    <w:rsid w:val="003A24EF"/>
    <w:rsid w:val="003B549D"/>
    <w:rsid w:val="0060032C"/>
    <w:rsid w:val="00650529"/>
    <w:rsid w:val="00653279"/>
    <w:rsid w:val="006754E7"/>
    <w:rsid w:val="006A51A2"/>
    <w:rsid w:val="006D4706"/>
    <w:rsid w:val="00770875"/>
    <w:rsid w:val="007F3424"/>
    <w:rsid w:val="0081193C"/>
    <w:rsid w:val="008159AC"/>
    <w:rsid w:val="00896E27"/>
    <w:rsid w:val="008D5DE8"/>
    <w:rsid w:val="009F5641"/>
    <w:rsid w:val="00A23C1F"/>
    <w:rsid w:val="00A40093"/>
    <w:rsid w:val="00B434E2"/>
    <w:rsid w:val="00BA66FE"/>
    <w:rsid w:val="00C6618B"/>
    <w:rsid w:val="00CB55A4"/>
    <w:rsid w:val="00CC76ED"/>
    <w:rsid w:val="00D3091E"/>
    <w:rsid w:val="00DA517C"/>
    <w:rsid w:val="00E5522E"/>
    <w:rsid w:val="00E64441"/>
    <w:rsid w:val="00F542FC"/>
    <w:rsid w:val="00F9745F"/>
    <w:rsid w:val="00FD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B6864"/>
  <w15:chartTrackingRefBased/>
  <w15:docId w15:val="{D022EE3E-638B-4EEC-AFFB-61C5F31B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ES"/>
    </w:rPr>
  </w:style>
  <w:style w:type="paragraph" w:styleId="Ttulo1">
    <w:name w:val="heading 1"/>
    <w:basedOn w:val="Normal"/>
    <w:next w:val="Normal"/>
    <w:link w:val="Ttulo1Car"/>
    <w:qFormat/>
    <w:rsid w:val="00392470"/>
    <w:pPr>
      <w:keepNext/>
      <w:keepLines/>
      <w:spacing w:before="24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92470"/>
    <w:rPr>
      <w:rFonts w:ascii="Calibri Light" w:eastAsia="Times New Roman" w:hAnsi="Calibri Light"/>
      <w:color w:val="2E74B5"/>
      <w:sz w:val="32"/>
      <w:szCs w:val="32"/>
      <w:lang w:eastAsia="en-US"/>
    </w:rPr>
  </w:style>
  <w:style w:type="paragraph" w:styleId="Piedepgina">
    <w:name w:val="footer"/>
    <w:basedOn w:val="Normal"/>
    <w:link w:val="PiedepginaCar"/>
    <w:uiPriority w:val="99"/>
    <w:rsid w:val="00392470"/>
    <w:pPr>
      <w:tabs>
        <w:tab w:val="center" w:pos="4252"/>
        <w:tab w:val="right" w:pos="8504"/>
      </w:tabs>
    </w:pPr>
    <w:rPr>
      <w:rFonts w:ascii="Times New Roman" w:eastAsia="Times New Roman" w:hAnsi="Times New Roman"/>
      <w:sz w:val="24"/>
      <w:szCs w:val="24"/>
      <w:lang w:eastAsia="es-ES"/>
    </w:rPr>
  </w:style>
  <w:style w:type="character" w:customStyle="1" w:styleId="PiedepginaCar">
    <w:name w:val="Pie de página Car"/>
    <w:link w:val="Piedepgina"/>
    <w:uiPriority w:val="99"/>
    <w:rsid w:val="00392470"/>
    <w:rPr>
      <w:rFonts w:ascii="Times New Roman" w:eastAsia="Times New Roman" w:hAnsi="Times New Roman"/>
      <w:sz w:val="24"/>
      <w:szCs w:val="24"/>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392470"/>
    <w:rPr>
      <w:rFonts w:ascii="Times New Roman" w:eastAsia="Times New Roman"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392470"/>
    <w:rPr>
      <w:rFonts w:ascii="Times New Roman" w:eastAsia="Times New Roman" w:hAnsi="Times New Roman"/>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Nota de pie,Texto de nota al p"/>
    <w:link w:val="4GChar"/>
    <w:qFormat/>
    <w:rsid w:val="00392470"/>
    <w:rPr>
      <w:vertAlign w:val="superscript"/>
    </w:rPr>
  </w:style>
  <w:style w:type="paragraph" w:styleId="Encabezado">
    <w:name w:val="header"/>
    <w:basedOn w:val="Normal"/>
    <w:link w:val="EncabezadoCar"/>
    <w:unhideWhenUsed/>
    <w:rsid w:val="00392470"/>
    <w:pPr>
      <w:tabs>
        <w:tab w:val="center" w:pos="4252"/>
        <w:tab w:val="right" w:pos="8504"/>
      </w:tabs>
    </w:pPr>
  </w:style>
  <w:style w:type="character" w:customStyle="1" w:styleId="EncabezadoCar">
    <w:name w:val="Encabezado Car"/>
    <w:link w:val="Encabezado"/>
    <w:rsid w:val="00392470"/>
    <w:rPr>
      <w:sz w:val="22"/>
      <w:szCs w:val="22"/>
      <w:lang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92470"/>
    <w:pPr>
      <w:jc w:val="both"/>
    </w:pPr>
    <w:rPr>
      <w:sz w:val="20"/>
      <w:szCs w:val="20"/>
      <w:vertAlign w:val="superscript"/>
      <w:lang w:eastAsia="es-ES"/>
    </w:rPr>
  </w:style>
  <w:style w:type="paragraph" w:styleId="Sinespaciado">
    <w:name w:val="No Spacing"/>
    <w:uiPriority w:val="1"/>
    <w:qFormat/>
    <w:rsid w:val="00392470"/>
    <w:rPr>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A5886-C7FD-45D0-ABA6-D43CA3D25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6379C1-8115-402A-8E4C-35218799975E}">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EAB287A4-68C4-4453-988A-415E21A222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5305</Words>
  <Characters>29181</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HOYOS HOYOS</dc:creator>
  <cp:keywords/>
  <dc:description/>
  <cp:lastModifiedBy>Carlos Mario Castrillón Endo</cp:lastModifiedBy>
  <cp:revision>2</cp:revision>
  <dcterms:created xsi:type="dcterms:W3CDTF">2020-07-02T21:27:00Z</dcterms:created>
  <dcterms:modified xsi:type="dcterms:W3CDTF">2020-07-02T21:27:00Z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