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72A7B" w14:textId="0EBCDBF0" w:rsidR="0049393D" w:rsidRPr="00143933" w:rsidRDefault="0049393D" w:rsidP="0049393D">
      <w:pPr>
        <w:jc w:val="both"/>
        <w:rPr>
          <w:rFonts w:ascii="Arial" w:hAnsi="Arial" w:cs="Arial"/>
          <w:b/>
          <w:bCs/>
          <w:sz w:val="22"/>
          <w:szCs w:val="22"/>
        </w:rPr>
      </w:pPr>
      <w:r w:rsidRPr="00143933">
        <w:rPr>
          <w:rFonts w:ascii="Arial" w:hAnsi="Arial" w:cs="Arial"/>
          <w:b/>
          <w:bCs/>
          <w:sz w:val="22"/>
          <w:szCs w:val="22"/>
        </w:rPr>
        <w:t>T</w:t>
      </w:r>
      <w:r w:rsidR="002F43EE" w:rsidRPr="00143933">
        <w:rPr>
          <w:rFonts w:ascii="Arial" w:hAnsi="Arial" w:cs="Arial"/>
          <w:b/>
          <w:bCs/>
          <w:sz w:val="22"/>
          <w:szCs w:val="22"/>
        </w:rPr>
        <w:t>Í</w:t>
      </w:r>
      <w:r w:rsidRPr="00143933">
        <w:rPr>
          <w:rFonts w:ascii="Arial" w:hAnsi="Arial" w:cs="Arial"/>
          <w:b/>
          <w:bCs/>
          <w:sz w:val="22"/>
          <w:szCs w:val="22"/>
        </w:rPr>
        <w:t xml:space="preserve">TULO EJECUTIVO </w:t>
      </w:r>
      <w:r w:rsidR="002F43EE" w:rsidRPr="00143933">
        <w:rPr>
          <w:rFonts w:ascii="Arial" w:hAnsi="Arial" w:cs="Arial"/>
          <w:b/>
          <w:bCs/>
          <w:sz w:val="22"/>
          <w:szCs w:val="22"/>
        </w:rPr>
        <w:t>-</w:t>
      </w:r>
      <w:r w:rsidRPr="00143933">
        <w:rPr>
          <w:rFonts w:ascii="Arial" w:hAnsi="Arial" w:cs="Arial"/>
          <w:b/>
          <w:bCs/>
          <w:sz w:val="22"/>
          <w:szCs w:val="22"/>
        </w:rPr>
        <w:t xml:space="preserve"> </w:t>
      </w:r>
      <w:r w:rsidR="002F43EE" w:rsidRPr="00143933">
        <w:rPr>
          <w:rFonts w:ascii="Arial" w:hAnsi="Arial" w:cs="Arial"/>
          <w:b/>
          <w:bCs/>
          <w:sz w:val="22"/>
          <w:szCs w:val="22"/>
        </w:rPr>
        <w:t xml:space="preserve">Contenido - </w:t>
      </w:r>
      <w:r w:rsidRPr="00143933">
        <w:rPr>
          <w:rFonts w:ascii="Arial" w:hAnsi="Arial" w:cs="Arial"/>
          <w:b/>
          <w:bCs/>
          <w:sz w:val="22"/>
          <w:szCs w:val="22"/>
        </w:rPr>
        <w:t>Obligaci</w:t>
      </w:r>
      <w:r w:rsidR="002F43EE" w:rsidRPr="00143933">
        <w:rPr>
          <w:rFonts w:ascii="Arial" w:hAnsi="Arial" w:cs="Arial"/>
          <w:b/>
          <w:bCs/>
          <w:sz w:val="22"/>
          <w:szCs w:val="22"/>
        </w:rPr>
        <w:t>ó</w:t>
      </w:r>
      <w:r w:rsidRPr="00143933">
        <w:rPr>
          <w:rFonts w:ascii="Arial" w:hAnsi="Arial" w:cs="Arial"/>
          <w:b/>
          <w:bCs/>
          <w:sz w:val="22"/>
          <w:szCs w:val="22"/>
        </w:rPr>
        <w:t xml:space="preserve">n </w:t>
      </w:r>
      <w:r w:rsidR="002F43EE" w:rsidRPr="00143933">
        <w:rPr>
          <w:rFonts w:ascii="Arial" w:hAnsi="Arial" w:cs="Arial"/>
          <w:b/>
          <w:bCs/>
          <w:sz w:val="22"/>
          <w:szCs w:val="22"/>
        </w:rPr>
        <w:t xml:space="preserve">- </w:t>
      </w:r>
      <w:r w:rsidRPr="00143933">
        <w:rPr>
          <w:rFonts w:ascii="Arial" w:hAnsi="Arial" w:cs="Arial"/>
          <w:b/>
          <w:bCs/>
          <w:sz w:val="22"/>
          <w:szCs w:val="22"/>
        </w:rPr>
        <w:t>Debida conformaci</w:t>
      </w:r>
      <w:r w:rsidR="002F43EE" w:rsidRPr="00143933">
        <w:rPr>
          <w:rFonts w:ascii="Arial" w:hAnsi="Arial" w:cs="Arial"/>
          <w:b/>
          <w:bCs/>
          <w:sz w:val="22"/>
          <w:szCs w:val="22"/>
        </w:rPr>
        <w:t>ón - Pretensión</w:t>
      </w:r>
    </w:p>
    <w:p w14:paraId="446579F7" w14:textId="77777777" w:rsidR="0049393D" w:rsidRPr="00143933" w:rsidRDefault="0049393D" w:rsidP="0049393D">
      <w:pPr>
        <w:jc w:val="both"/>
        <w:rPr>
          <w:rFonts w:ascii="Arial" w:hAnsi="Arial" w:cs="Arial"/>
          <w:b/>
          <w:bCs/>
          <w:sz w:val="22"/>
          <w:szCs w:val="22"/>
        </w:rPr>
      </w:pPr>
    </w:p>
    <w:p w14:paraId="0404C4F0" w14:textId="77777777" w:rsidR="0049393D" w:rsidRPr="00143933" w:rsidRDefault="0049393D" w:rsidP="0049393D">
      <w:pPr>
        <w:jc w:val="both"/>
        <w:rPr>
          <w:rFonts w:ascii="Arial" w:hAnsi="Arial" w:cs="Arial"/>
          <w:sz w:val="22"/>
          <w:szCs w:val="22"/>
        </w:rPr>
      </w:pPr>
      <w:r w:rsidRPr="00143933">
        <w:rPr>
          <w:rFonts w:ascii="Arial" w:hAnsi="Arial" w:cs="Arial"/>
          <w:sz w:val="22"/>
          <w:szCs w:val="22"/>
        </w:rPr>
        <w:t>Al analizar conjuntamente los documentos que obran en el proceso , concluye la Sala que el título base de recaudo en el cual el IDU fundamenta sus pretensiones está debidamente conformado, toda vez que la obligación que de ellos se desprende, es clara, expresa y actualmente exigible (…) se obligó a amparar el incumplimiento en el que incurriera CONCIVILES S.A. frente a las obligaciones que le correspondían en razón del contrato de obra 403 de ese año, riesgo que el IDU estimó ocurrido y, en consecuencia, decidió declarar su acaecimiento y hacer efectiva la garantía derivada de la aludida póliza de seguros, para lo cual expidió la resolución 1999 de 2005, confirmada en su totalidad mediante la resolución 6057 de ese año. Así, al integrar los documentos acabados de relacionar –contrato estatal, póliza de seguros y actos administrativos–, se encuentra una obligación expresa a cargo de CONFIANZA S.A., consistente en pagar una suma de dinero por la ocurrencia del riesgo que se comprometió a amparar la citada póliza de seguros, (…) en la parte resolutiva de la resolución 1999 de 2005, por la cual la entidad pública declaró la ocurrencia del siniestro e hizo efectiva la garantía única</w:t>
      </w:r>
    </w:p>
    <w:p w14:paraId="4603D440" w14:textId="77777777" w:rsidR="0049393D" w:rsidRPr="00143933" w:rsidRDefault="0049393D" w:rsidP="0049393D">
      <w:pPr>
        <w:jc w:val="both"/>
        <w:rPr>
          <w:rFonts w:ascii="Arial" w:hAnsi="Arial" w:cs="Arial"/>
          <w:sz w:val="22"/>
          <w:szCs w:val="22"/>
        </w:rPr>
      </w:pPr>
    </w:p>
    <w:p w14:paraId="1BF26369" w14:textId="62A96735" w:rsidR="0049393D" w:rsidRPr="00143933" w:rsidRDefault="0049393D" w:rsidP="0049393D">
      <w:pPr>
        <w:jc w:val="both"/>
        <w:rPr>
          <w:rFonts w:ascii="Arial" w:hAnsi="Arial" w:cs="Arial"/>
          <w:b/>
          <w:bCs/>
          <w:sz w:val="22"/>
          <w:szCs w:val="22"/>
        </w:rPr>
      </w:pPr>
      <w:r w:rsidRPr="00143933">
        <w:rPr>
          <w:rFonts w:ascii="Arial" w:hAnsi="Arial" w:cs="Arial"/>
          <w:b/>
          <w:bCs/>
          <w:sz w:val="22"/>
          <w:szCs w:val="22"/>
        </w:rPr>
        <w:t>EXCEPCIONES DE M</w:t>
      </w:r>
      <w:r w:rsidR="002F43EE" w:rsidRPr="00143933">
        <w:rPr>
          <w:rFonts w:ascii="Arial" w:hAnsi="Arial" w:cs="Arial"/>
          <w:b/>
          <w:bCs/>
          <w:sz w:val="22"/>
          <w:szCs w:val="22"/>
        </w:rPr>
        <w:t>É</w:t>
      </w:r>
      <w:r w:rsidRPr="00143933">
        <w:rPr>
          <w:rFonts w:ascii="Arial" w:hAnsi="Arial" w:cs="Arial"/>
          <w:b/>
          <w:bCs/>
          <w:sz w:val="22"/>
          <w:szCs w:val="22"/>
        </w:rPr>
        <w:t xml:space="preserve">RITO </w:t>
      </w:r>
      <w:r w:rsidR="002F43EE" w:rsidRPr="00143933">
        <w:rPr>
          <w:rFonts w:ascii="Arial" w:hAnsi="Arial" w:cs="Arial"/>
          <w:b/>
          <w:bCs/>
          <w:sz w:val="22"/>
          <w:szCs w:val="22"/>
        </w:rPr>
        <w:t>-</w:t>
      </w:r>
      <w:r w:rsidRPr="00143933">
        <w:rPr>
          <w:rFonts w:ascii="Arial" w:hAnsi="Arial" w:cs="Arial"/>
          <w:b/>
          <w:bCs/>
          <w:sz w:val="22"/>
          <w:szCs w:val="22"/>
        </w:rPr>
        <w:t xml:space="preserve"> Proceso ejecutivo </w:t>
      </w:r>
    </w:p>
    <w:p w14:paraId="3CDC638C" w14:textId="77777777" w:rsidR="0049393D" w:rsidRPr="00143933" w:rsidRDefault="0049393D" w:rsidP="0049393D">
      <w:pPr>
        <w:jc w:val="both"/>
        <w:rPr>
          <w:rFonts w:ascii="Arial" w:hAnsi="Arial" w:cs="Arial"/>
          <w:b/>
          <w:bCs/>
          <w:sz w:val="22"/>
          <w:szCs w:val="22"/>
        </w:rPr>
      </w:pPr>
    </w:p>
    <w:p w14:paraId="6DE3D8BC" w14:textId="77777777" w:rsidR="0049393D" w:rsidRPr="00143933" w:rsidRDefault="0049393D" w:rsidP="0049393D">
      <w:pPr>
        <w:jc w:val="both"/>
        <w:rPr>
          <w:rFonts w:ascii="Arial" w:hAnsi="Arial" w:cs="Arial"/>
          <w:sz w:val="22"/>
          <w:szCs w:val="22"/>
        </w:rPr>
      </w:pPr>
      <w:r w:rsidRPr="00143933">
        <w:rPr>
          <w:rFonts w:ascii="Arial" w:hAnsi="Arial" w:cs="Arial"/>
          <w:sz w:val="22"/>
          <w:szCs w:val="22"/>
        </w:rPr>
        <w:t>La jurisprudencia también ha manifestado que las excepciones de mérito susceptibles de proponerse en un proceso ejecutivo excluyen todas aquéllas que impliquen un reproche a la legalidad de los actos administrativos contentivos del título y que, en consecuencia, sólo son viables las que taxativamente enuncia el numeral 2 del artículo 509 del Cód. de P.C., con la aclaración de que dicha norma resulta aplicable tanto en los casos en los cuales el título ejecutivo está compuesto por providencias judiciales, como también en aquellos en los cuales el título de recaudo está integrado por un acto administrativo. (…) resultan claras dos cosas: i) en un proceso ejecutivo no es posible presentar excepciones de mérito que conduzcan al juez a efectuar un juicio de legalidad de los documentos que componen el título y, por tanto, ii) las únicas pasibles de esgrimir con el propósito de enervar la acción ejecutiva son las de “pago, compensación, confusión, novación, remisión, prescripción o transacción, siempre que se basen en hechos posteriores a la respectiva providencia; la de nulidad en los casos que contemplan los numerales 7º (sic) y 9º (sic) del artículo 140 [del C. de P.C.], y la de pérdida de la cosa debida. (…) advierte la Sala que las excepciones de mérito que presentó CONFIANZA S.A. y que reiteró en su escrito de apelación están orientadas únicamente a ventilar un juicio de legalidad de las resoluciones 1999 y 6057 de 2005. (…) Como todas las anteriores excepciones se fundan en argumentos de hecho y de derecho que apuntalan la indebida motivación de las resoluciones 1999 y 6057 de 2005, que integran el título ejecutivo en este proceso, al tiempo que ninguna de ellas se encuadra siquiera en las que consagra el artículo 509 del C. de P.C., no le queda otro camino a la Sala que negarlas.</w:t>
      </w:r>
    </w:p>
    <w:p w14:paraId="58FE8D32" w14:textId="77777777" w:rsidR="00A1316C" w:rsidRPr="00A61755" w:rsidRDefault="00A1316C" w:rsidP="00A61755">
      <w:pPr>
        <w:jc w:val="both"/>
        <w:rPr>
          <w:rFonts w:ascii="Arial" w:hAnsi="Arial" w:cs="Arial"/>
          <w:lang w:val="es-CO"/>
        </w:rPr>
      </w:pPr>
    </w:p>
    <w:p w14:paraId="61B5CE92" w14:textId="77777777" w:rsidR="00143933" w:rsidRDefault="00143933" w:rsidP="00610A9C">
      <w:pPr>
        <w:jc w:val="center"/>
        <w:rPr>
          <w:rFonts w:ascii="Arial" w:hAnsi="Arial" w:cs="Arial"/>
          <w:b/>
        </w:rPr>
      </w:pPr>
    </w:p>
    <w:p w14:paraId="387B9C65" w14:textId="74C5C224" w:rsidR="008B6BDF" w:rsidRPr="00610A9C" w:rsidRDefault="008B6BDF" w:rsidP="00610A9C">
      <w:pPr>
        <w:jc w:val="center"/>
        <w:rPr>
          <w:rFonts w:ascii="Arial" w:hAnsi="Arial" w:cs="Arial"/>
          <w:b/>
        </w:rPr>
      </w:pPr>
      <w:r w:rsidRPr="00610A9C">
        <w:rPr>
          <w:rFonts w:ascii="Arial" w:hAnsi="Arial" w:cs="Arial"/>
          <w:b/>
        </w:rPr>
        <w:t>CONSEJO DE ESTADO</w:t>
      </w:r>
    </w:p>
    <w:p w14:paraId="792B9160" w14:textId="77777777" w:rsidR="00610A9C" w:rsidRPr="00610A9C" w:rsidRDefault="00610A9C" w:rsidP="00610A9C">
      <w:pPr>
        <w:jc w:val="center"/>
        <w:rPr>
          <w:rFonts w:ascii="Arial" w:hAnsi="Arial" w:cs="Arial"/>
          <w:b/>
        </w:rPr>
      </w:pPr>
    </w:p>
    <w:p w14:paraId="1775030B" w14:textId="77777777" w:rsidR="008B6BDF" w:rsidRPr="00610A9C" w:rsidRDefault="008B6BDF" w:rsidP="00610A9C">
      <w:pPr>
        <w:jc w:val="center"/>
        <w:rPr>
          <w:rFonts w:ascii="Arial" w:hAnsi="Arial" w:cs="Arial"/>
          <w:b/>
        </w:rPr>
      </w:pPr>
      <w:r w:rsidRPr="00610A9C">
        <w:rPr>
          <w:rFonts w:ascii="Arial" w:hAnsi="Arial" w:cs="Arial"/>
          <w:b/>
        </w:rPr>
        <w:t>SALA DE LO CONTENCIOSO ADMINISTRATIVO</w:t>
      </w:r>
    </w:p>
    <w:p w14:paraId="7F027783" w14:textId="77777777" w:rsidR="00610A9C" w:rsidRPr="00610A9C" w:rsidRDefault="00610A9C" w:rsidP="00610A9C">
      <w:pPr>
        <w:jc w:val="center"/>
        <w:rPr>
          <w:rFonts w:ascii="Arial" w:hAnsi="Arial" w:cs="Arial"/>
          <w:b/>
        </w:rPr>
      </w:pPr>
    </w:p>
    <w:p w14:paraId="1CAFD77A" w14:textId="77777777" w:rsidR="008B6BDF" w:rsidRPr="00610A9C" w:rsidRDefault="008B6BDF" w:rsidP="00610A9C">
      <w:pPr>
        <w:jc w:val="center"/>
        <w:rPr>
          <w:rFonts w:ascii="Arial" w:hAnsi="Arial" w:cs="Arial"/>
          <w:b/>
        </w:rPr>
      </w:pPr>
      <w:r w:rsidRPr="00610A9C">
        <w:rPr>
          <w:rFonts w:ascii="Arial" w:hAnsi="Arial" w:cs="Arial"/>
          <w:b/>
        </w:rPr>
        <w:t>SECCIÓN TERCERA</w:t>
      </w:r>
    </w:p>
    <w:p w14:paraId="20EA129A" w14:textId="77777777" w:rsidR="00610A9C" w:rsidRPr="00610A9C" w:rsidRDefault="00610A9C" w:rsidP="00610A9C">
      <w:pPr>
        <w:jc w:val="center"/>
        <w:rPr>
          <w:rFonts w:ascii="Arial" w:hAnsi="Arial" w:cs="Arial"/>
          <w:b/>
        </w:rPr>
      </w:pPr>
    </w:p>
    <w:p w14:paraId="4ED86906" w14:textId="77777777" w:rsidR="008B6BDF" w:rsidRPr="00610A9C" w:rsidRDefault="008B6BDF" w:rsidP="00610A9C">
      <w:pPr>
        <w:jc w:val="center"/>
        <w:rPr>
          <w:rFonts w:ascii="Arial" w:hAnsi="Arial" w:cs="Arial"/>
          <w:b/>
        </w:rPr>
      </w:pPr>
      <w:r w:rsidRPr="00610A9C">
        <w:rPr>
          <w:rFonts w:ascii="Arial" w:hAnsi="Arial" w:cs="Arial"/>
          <w:b/>
        </w:rPr>
        <w:t>SUBSECCIÓN A</w:t>
      </w:r>
    </w:p>
    <w:p w14:paraId="5F41E52B" w14:textId="77777777" w:rsidR="008B6BDF" w:rsidRPr="00610A9C" w:rsidRDefault="008B6BDF" w:rsidP="00610A9C">
      <w:pPr>
        <w:jc w:val="center"/>
        <w:rPr>
          <w:rFonts w:ascii="Arial" w:hAnsi="Arial" w:cs="Arial"/>
          <w:b/>
        </w:rPr>
      </w:pPr>
    </w:p>
    <w:p w14:paraId="7E01823A" w14:textId="77777777" w:rsidR="008B6BDF" w:rsidRPr="00610A9C" w:rsidRDefault="008B6BDF" w:rsidP="00610A9C">
      <w:pPr>
        <w:jc w:val="center"/>
        <w:rPr>
          <w:rFonts w:ascii="Arial" w:hAnsi="Arial" w:cs="Arial"/>
          <w:b/>
        </w:rPr>
      </w:pPr>
      <w:r w:rsidRPr="00610A9C">
        <w:rPr>
          <w:rFonts w:ascii="Arial" w:hAnsi="Arial" w:cs="Arial"/>
          <w:b/>
        </w:rPr>
        <w:t>Consejero ponente: CARLOS ALBERTO ZAMBRANO BARRERA</w:t>
      </w:r>
    </w:p>
    <w:p w14:paraId="1AEDE295" w14:textId="77777777" w:rsidR="008B6BDF" w:rsidRPr="00610A9C" w:rsidRDefault="008B6BDF" w:rsidP="00610A9C">
      <w:pPr>
        <w:jc w:val="both"/>
        <w:rPr>
          <w:rFonts w:ascii="Arial" w:hAnsi="Arial" w:cs="Arial"/>
        </w:rPr>
      </w:pPr>
    </w:p>
    <w:p w14:paraId="331A3D2E" w14:textId="77777777" w:rsidR="008B6BDF" w:rsidRPr="00610A9C" w:rsidRDefault="008B6BDF" w:rsidP="00610A9C">
      <w:pPr>
        <w:jc w:val="both"/>
        <w:rPr>
          <w:rFonts w:ascii="Arial" w:hAnsi="Arial" w:cs="Arial"/>
        </w:rPr>
      </w:pPr>
      <w:r w:rsidRPr="00610A9C">
        <w:rPr>
          <w:rFonts w:ascii="Arial" w:hAnsi="Arial" w:cs="Arial"/>
        </w:rPr>
        <w:t xml:space="preserve">Bogotá, D.C., </w:t>
      </w:r>
      <w:r w:rsidR="00D64B06" w:rsidRPr="00610A9C">
        <w:rPr>
          <w:rFonts w:ascii="Arial" w:hAnsi="Arial" w:cs="Arial"/>
        </w:rPr>
        <w:t>catorce (14) de marzo de dos mil diecinueve (2019)</w:t>
      </w:r>
    </w:p>
    <w:p w14:paraId="10A9D964" w14:textId="77777777" w:rsidR="008B6BDF" w:rsidRPr="00610A9C" w:rsidRDefault="008B6BDF" w:rsidP="00610A9C">
      <w:pPr>
        <w:jc w:val="both"/>
        <w:rPr>
          <w:rFonts w:ascii="Arial" w:hAnsi="Arial" w:cs="Arial"/>
          <w:b/>
        </w:rPr>
      </w:pPr>
    </w:p>
    <w:p w14:paraId="5F059656" w14:textId="77777777" w:rsidR="008B6BDF" w:rsidRPr="00610A9C" w:rsidRDefault="008B6BDF" w:rsidP="00610A9C">
      <w:pPr>
        <w:jc w:val="both"/>
        <w:rPr>
          <w:rFonts w:ascii="Arial" w:hAnsi="Arial" w:cs="Arial"/>
          <w:b/>
        </w:rPr>
      </w:pPr>
      <w:r w:rsidRPr="00610A9C">
        <w:rPr>
          <w:rFonts w:ascii="Arial" w:hAnsi="Arial" w:cs="Arial"/>
          <w:b/>
        </w:rPr>
        <w:t>Radicación</w:t>
      </w:r>
      <w:r w:rsidR="00610A9C" w:rsidRPr="00610A9C">
        <w:rPr>
          <w:rFonts w:ascii="Arial" w:hAnsi="Arial" w:cs="Arial"/>
          <w:b/>
        </w:rPr>
        <w:t xml:space="preserve"> número</w:t>
      </w:r>
      <w:r w:rsidRPr="00610A9C">
        <w:rPr>
          <w:rFonts w:ascii="Arial" w:hAnsi="Arial" w:cs="Arial"/>
          <w:b/>
        </w:rPr>
        <w:t>:</w:t>
      </w:r>
      <w:r w:rsidR="00610A9C" w:rsidRPr="00610A9C">
        <w:rPr>
          <w:rFonts w:ascii="Arial" w:hAnsi="Arial" w:cs="Arial"/>
          <w:b/>
        </w:rPr>
        <w:t xml:space="preserve"> </w:t>
      </w:r>
      <w:r w:rsidR="00F3435D" w:rsidRPr="00610A9C">
        <w:rPr>
          <w:rFonts w:ascii="Arial" w:hAnsi="Arial" w:cs="Arial"/>
          <w:b/>
        </w:rPr>
        <w:t>25000-23-26</w:t>
      </w:r>
      <w:r w:rsidRPr="00610A9C">
        <w:rPr>
          <w:rFonts w:ascii="Arial" w:hAnsi="Arial" w:cs="Arial"/>
          <w:b/>
        </w:rPr>
        <w:t>-</w:t>
      </w:r>
      <w:r w:rsidR="00F3435D" w:rsidRPr="00610A9C">
        <w:rPr>
          <w:rFonts w:ascii="Arial" w:hAnsi="Arial" w:cs="Arial"/>
          <w:b/>
        </w:rPr>
        <w:t>000</w:t>
      </w:r>
      <w:r w:rsidRPr="00610A9C">
        <w:rPr>
          <w:rFonts w:ascii="Arial" w:hAnsi="Arial" w:cs="Arial"/>
          <w:b/>
        </w:rPr>
        <w:t>-200</w:t>
      </w:r>
      <w:r w:rsidR="00F3435D" w:rsidRPr="00610A9C">
        <w:rPr>
          <w:rFonts w:ascii="Arial" w:hAnsi="Arial" w:cs="Arial"/>
          <w:b/>
        </w:rPr>
        <w:t>6</w:t>
      </w:r>
      <w:r w:rsidRPr="00610A9C">
        <w:rPr>
          <w:rFonts w:ascii="Arial" w:hAnsi="Arial" w:cs="Arial"/>
          <w:b/>
        </w:rPr>
        <w:t>-</w:t>
      </w:r>
      <w:r w:rsidR="00F3435D" w:rsidRPr="00610A9C">
        <w:rPr>
          <w:rFonts w:ascii="Arial" w:hAnsi="Arial" w:cs="Arial"/>
          <w:b/>
        </w:rPr>
        <w:t>01921</w:t>
      </w:r>
      <w:r w:rsidRPr="00610A9C">
        <w:rPr>
          <w:rFonts w:ascii="Arial" w:hAnsi="Arial" w:cs="Arial"/>
          <w:b/>
        </w:rPr>
        <w:t>-0</w:t>
      </w:r>
      <w:r w:rsidR="00F3435D" w:rsidRPr="00610A9C">
        <w:rPr>
          <w:rFonts w:ascii="Arial" w:hAnsi="Arial" w:cs="Arial"/>
          <w:b/>
        </w:rPr>
        <w:t>2</w:t>
      </w:r>
      <w:r w:rsidRPr="00610A9C">
        <w:rPr>
          <w:rFonts w:ascii="Arial" w:hAnsi="Arial" w:cs="Arial"/>
          <w:b/>
        </w:rPr>
        <w:t>(</w:t>
      </w:r>
      <w:r w:rsidR="00F3435D" w:rsidRPr="00610A9C">
        <w:rPr>
          <w:rFonts w:ascii="Arial" w:hAnsi="Arial" w:cs="Arial"/>
          <w:b/>
        </w:rPr>
        <w:t>46616</w:t>
      </w:r>
      <w:r w:rsidRPr="00610A9C">
        <w:rPr>
          <w:rFonts w:ascii="Arial" w:hAnsi="Arial" w:cs="Arial"/>
          <w:b/>
        </w:rPr>
        <w:t>)</w:t>
      </w:r>
    </w:p>
    <w:p w14:paraId="7465463E" w14:textId="77777777" w:rsidR="00610A9C" w:rsidRPr="00610A9C" w:rsidRDefault="00610A9C" w:rsidP="00610A9C">
      <w:pPr>
        <w:jc w:val="both"/>
        <w:rPr>
          <w:rFonts w:ascii="Arial" w:hAnsi="Arial" w:cs="Arial"/>
          <w:b/>
        </w:rPr>
      </w:pPr>
    </w:p>
    <w:p w14:paraId="6C44B307" w14:textId="77777777" w:rsidR="008B6BDF" w:rsidRPr="00610A9C" w:rsidRDefault="00610A9C" w:rsidP="00610A9C">
      <w:pPr>
        <w:jc w:val="both"/>
        <w:rPr>
          <w:rFonts w:ascii="Arial" w:hAnsi="Arial" w:cs="Arial"/>
          <w:b/>
        </w:rPr>
      </w:pPr>
      <w:r w:rsidRPr="00610A9C">
        <w:rPr>
          <w:rFonts w:ascii="Arial" w:hAnsi="Arial" w:cs="Arial"/>
          <w:b/>
        </w:rPr>
        <w:t>Actor: INSTITUTO DE DESARROLLO URBANO IDU</w:t>
      </w:r>
    </w:p>
    <w:p w14:paraId="22951326" w14:textId="77777777" w:rsidR="00610A9C" w:rsidRPr="00610A9C" w:rsidRDefault="00610A9C" w:rsidP="00610A9C">
      <w:pPr>
        <w:jc w:val="both"/>
        <w:rPr>
          <w:rFonts w:ascii="Arial" w:hAnsi="Arial" w:cs="Arial"/>
          <w:b/>
        </w:rPr>
      </w:pPr>
    </w:p>
    <w:p w14:paraId="4C0C592B" w14:textId="77777777" w:rsidR="008B6BDF" w:rsidRPr="00610A9C" w:rsidRDefault="00610A9C" w:rsidP="00610A9C">
      <w:pPr>
        <w:jc w:val="both"/>
        <w:rPr>
          <w:rFonts w:ascii="Arial" w:hAnsi="Arial" w:cs="Arial"/>
          <w:b/>
        </w:rPr>
      </w:pPr>
      <w:r w:rsidRPr="00610A9C">
        <w:rPr>
          <w:rFonts w:ascii="Arial" w:hAnsi="Arial" w:cs="Arial"/>
          <w:b/>
        </w:rPr>
        <w:lastRenderedPageBreak/>
        <w:t>Demandado: COMPAÑÍA ASEGURADORA DE FIANZAS S.A. CONFIANZA</w:t>
      </w:r>
    </w:p>
    <w:p w14:paraId="10C5A196" w14:textId="77777777" w:rsidR="00610A9C" w:rsidRPr="00610A9C" w:rsidRDefault="00610A9C" w:rsidP="00610A9C">
      <w:pPr>
        <w:jc w:val="both"/>
        <w:rPr>
          <w:rFonts w:ascii="Arial" w:hAnsi="Arial" w:cs="Arial"/>
          <w:b/>
        </w:rPr>
      </w:pPr>
    </w:p>
    <w:p w14:paraId="08D4BE9A" w14:textId="77777777" w:rsidR="00610A9C" w:rsidRPr="00610A9C" w:rsidRDefault="00610A9C" w:rsidP="00610A9C">
      <w:pPr>
        <w:jc w:val="both"/>
        <w:rPr>
          <w:rFonts w:ascii="Arial" w:hAnsi="Arial" w:cs="Arial"/>
          <w:b/>
        </w:rPr>
      </w:pPr>
    </w:p>
    <w:p w14:paraId="64A0DBE1" w14:textId="77777777" w:rsidR="00610A9C" w:rsidRPr="00610A9C" w:rsidRDefault="00610A9C" w:rsidP="00610A9C">
      <w:pPr>
        <w:jc w:val="both"/>
        <w:rPr>
          <w:rFonts w:ascii="Arial" w:hAnsi="Arial" w:cs="Arial"/>
          <w:b/>
        </w:rPr>
      </w:pPr>
    </w:p>
    <w:p w14:paraId="0A2040F3" w14:textId="77777777" w:rsidR="00610A9C" w:rsidRPr="00610A9C" w:rsidRDefault="00610A9C" w:rsidP="00610A9C">
      <w:pPr>
        <w:jc w:val="both"/>
        <w:rPr>
          <w:rFonts w:ascii="Arial" w:hAnsi="Arial" w:cs="Arial"/>
          <w:b/>
        </w:rPr>
      </w:pPr>
      <w:r w:rsidRPr="00610A9C">
        <w:rPr>
          <w:rFonts w:ascii="Arial" w:hAnsi="Arial" w:cs="Arial"/>
          <w:b/>
        </w:rPr>
        <w:t>Referencia: PROCESO EJECUTIVO</w:t>
      </w:r>
    </w:p>
    <w:p w14:paraId="12686792" w14:textId="77777777" w:rsidR="00610A9C" w:rsidRPr="00610A9C" w:rsidRDefault="00610A9C" w:rsidP="00610A9C">
      <w:pPr>
        <w:jc w:val="both"/>
        <w:rPr>
          <w:rFonts w:ascii="Arial" w:hAnsi="Arial" w:cs="Arial"/>
          <w:b/>
        </w:rPr>
      </w:pPr>
    </w:p>
    <w:p w14:paraId="4A5A15D8" w14:textId="77777777" w:rsidR="00610A9C" w:rsidRPr="00610A9C" w:rsidRDefault="00610A9C" w:rsidP="00610A9C">
      <w:pPr>
        <w:jc w:val="both"/>
        <w:rPr>
          <w:rFonts w:ascii="Arial" w:hAnsi="Arial" w:cs="Arial"/>
          <w:b/>
        </w:rPr>
      </w:pPr>
    </w:p>
    <w:p w14:paraId="7D04D615" w14:textId="77777777" w:rsidR="003549C6" w:rsidRPr="00610A9C" w:rsidRDefault="003549C6" w:rsidP="00610A9C">
      <w:pPr>
        <w:jc w:val="both"/>
        <w:rPr>
          <w:rFonts w:ascii="Arial" w:hAnsi="Arial" w:cs="Arial"/>
          <w:b/>
        </w:rPr>
      </w:pPr>
    </w:p>
    <w:p w14:paraId="3D95E2EF" w14:textId="77777777" w:rsidR="008B6BDF" w:rsidRPr="00941188" w:rsidRDefault="003549C6" w:rsidP="003549C6">
      <w:pPr>
        <w:widowControl w:val="0"/>
        <w:spacing w:line="360" w:lineRule="auto"/>
        <w:jc w:val="both"/>
        <w:rPr>
          <w:rFonts w:ascii="Century Gothic" w:hAnsi="Century Gothic"/>
          <w:sz w:val="22"/>
          <w:szCs w:val="22"/>
        </w:rPr>
      </w:pPr>
      <w:r w:rsidRPr="00941188">
        <w:rPr>
          <w:rFonts w:ascii="Century Gothic" w:hAnsi="Century Gothic" w:cs="Arial"/>
          <w:sz w:val="22"/>
          <w:szCs w:val="22"/>
        </w:rPr>
        <w:t xml:space="preserve">Surtido el trámite de ley, sin que se observe causal de nulidad que invalide lo actuado, </w:t>
      </w:r>
      <w:r w:rsidR="002B693D">
        <w:rPr>
          <w:rFonts w:ascii="Century Gothic" w:hAnsi="Century Gothic" w:cs="Arial"/>
          <w:sz w:val="22"/>
          <w:szCs w:val="22"/>
        </w:rPr>
        <w:t>d</w:t>
      </w:r>
      <w:r w:rsidR="008B6BDF" w:rsidRPr="00941188">
        <w:rPr>
          <w:rFonts w:ascii="Century Gothic" w:hAnsi="Century Gothic"/>
          <w:sz w:val="22"/>
          <w:szCs w:val="22"/>
        </w:rPr>
        <w:t xml:space="preserve">ecide la Sala el recurso de apelación interpuesto por la parte </w:t>
      </w:r>
      <w:r w:rsidR="00F3435D" w:rsidRPr="00941188">
        <w:rPr>
          <w:rFonts w:ascii="Century Gothic" w:hAnsi="Century Gothic"/>
          <w:sz w:val="22"/>
          <w:szCs w:val="22"/>
        </w:rPr>
        <w:t xml:space="preserve">ejecutada </w:t>
      </w:r>
      <w:r w:rsidR="008B6BDF" w:rsidRPr="00941188">
        <w:rPr>
          <w:rFonts w:ascii="Century Gothic" w:hAnsi="Century Gothic"/>
          <w:sz w:val="22"/>
          <w:szCs w:val="22"/>
        </w:rPr>
        <w:t xml:space="preserve">contra la sentencia del </w:t>
      </w:r>
      <w:r w:rsidR="00F3435D" w:rsidRPr="00941188">
        <w:rPr>
          <w:rFonts w:ascii="Century Gothic" w:hAnsi="Century Gothic"/>
          <w:sz w:val="22"/>
          <w:szCs w:val="22"/>
        </w:rPr>
        <w:t xml:space="preserve">10 </w:t>
      </w:r>
      <w:r w:rsidR="008B6BDF" w:rsidRPr="00941188">
        <w:rPr>
          <w:rFonts w:ascii="Century Gothic" w:hAnsi="Century Gothic"/>
          <w:sz w:val="22"/>
          <w:szCs w:val="22"/>
        </w:rPr>
        <w:t xml:space="preserve">de </w:t>
      </w:r>
      <w:r w:rsidR="00F3435D" w:rsidRPr="00941188">
        <w:rPr>
          <w:rFonts w:ascii="Century Gothic" w:hAnsi="Century Gothic"/>
          <w:sz w:val="22"/>
          <w:szCs w:val="22"/>
        </w:rPr>
        <w:t xml:space="preserve">octubre </w:t>
      </w:r>
      <w:r w:rsidR="008B6BDF" w:rsidRPr="00941188">
        <w:rPr>
          <w:rFonts w:ascii="Century Gothic" w:hAnsi="Century Gothic"/>
          <w:sz w:val="22"/>
          <w:szCs w:val="22"/>
        </w:rPr>
        <w:t xml:space="preserve">de 2012, proferida por el Tribunal Administrativo </w:t>
      </w:r>
      <w:r w:rsidR="00F3435D" w:rsidRPr="00941188">
        <w:rPr>
          <w:rFonts w:ascii="Century Gothic" w:hAnsi="Century Gothic"/>
          <w:sz w:val="22"/>
          <w:szCs w:val="22"/>
        </w:rPr>
        <w:t>de Cundinamarca, Sección Tercera, Subsección “B”</w:t>
      </w:r>
      <w:r w:rsidR="008B6BDF" w:rsidRPr="00941188">
        <w:rPr>
          <w:rFonts w:ascii="Century Gothic" w:hAnsi="Century Gothic"/>
          <w:sz w:val="22"/>
          <w:szCs w:val="22"/>
        </w:rPr>
        <w:t xml:space="preserve">, a través de la cual se </w:t>
      </w:r>
      <w:r w:rsidR="00F3435D" w:rsidRPr="00941188">
        <w:rPr>
          <w:rFonts w:ascii="Century Gothic" w:hAnsi="Century Gothic"/>
          <w:sz w:val="22"/>
          <w:szCs w:val="22"/>
        </w:rPr>
        <w:t>siguió adelante con la ejecución</w:t>
      </w:r>
      <w:r w:rsidR="008B6BDF" w:rsidRPr="00941188">
        <w:rPr>
          <w:rFonts w:ascii="Century Gothic" w:hAnsi="Century Gothic"/>
          <w:sz w:val="22"/>
          <w:szCs w:val="22"/>
        </w:rPr>
        <w:t>.</w:t>
      </w:r>
    </w:p>
    <w:p w14:paraId="3A2FB5AE" w14:textId="77777777" w:rsidR="008B6BDF" w:rsidRPr="00670A7D" w:rsidRDefault="008B6BDF" w:rsidP="008B6BDF">
      <w:pPr>
        <w:widowControl w:val="0"/>
        <w:spacing w:line="360" w:lineRule="auto"/>
        <w:jc w:val="both"/>
        <w:rPr>
          <w:rFonts w:ascii="Century Gothic" w:hAnsi="Century Gothic"/>
          <w:sz w:val="22"/>
          <w:szCs w:val="22"/>
        </w:rPr>
      </w:pPr>
    </w:p>
    <w:p w14:paraId="5359994B" w14:textId="77777777" w:rsidR="008B6BDF" w:rsidRPr="00905BCF" w:rsidRDefault="008B6BDF" w:rsidP="00CC039C">
      <w:pPr>
        <w:numPr>
          <w:ilvl w:val="0"/>
          <w:numId w:val="2"/>
        </w:numPr>
        <w:spacing w:line="360" w:lineRule="auto"/>
        <w:jc w:val="center"/>
        <w:rPr>
          <w:rFonts w:ascii="Century Gothic" w:hAnsi="Century Gothic"/>
          <w:b/>
          <w:sz w:val="22"/>
          <w:szCs w:val="22"/>
        </w:rPr>
      </w:pPr>
      <w:r w:rsidRPr="00905BCF">
        <w:rPr>
          <w:rFonts w:ascii="Century Gothic" w:hAnsi="Century Gothic"/>
          <w:b/>
          <w:sz w:val="22"/>
          <w:szCs w:val="22"/>
        </w:rPr>
        <w:t>ANTECEDENTES</w:t>
      </w:r>
    </w:p>
    <w:p w14:paraId="2F5ABE38" w14:textId="77777777" w:rsidR="008B6BDF" w:rsidRDefault="008B6BDF" w:rsidP="008B6BDF">
      <w:pPr>
        <w:spacing w:line="360" w:lineRule="auto"/>
        <w:jc w:val="center"/>
        <w:rPr>
          <w:rFonts w:ascii="Century Gothic" w:hAnsi="Century Gothic"/>
          <w:b/>
          <w:sz w:val="22"/>
          <w:szCs w:val="22"/>
        </w:rPr>
      </w:pPr>
    </w:p>
    <w:p w14:paraId="47403A5E" w14:textId="77777777" w:rsidR="00E75401" w:rsidRDefault="00AB138E" w:rsidP="00E75401">
      <w:pPr>
        <w:spacing w:line="360" w:lineRule="auto"/>
        <w:jc w:val="both"/>
        <w:rPr>
          <w:rFonts w:ascii="Century Gothic" w:hAnsi="Century Gothic"/>
          <w:b/>
          <w:sz w:val="22"/>
          <w:szCs w:val="22"/>
        </w:rPr>
      </w:pPr>
      <w:r>
        <w:rPr>
          <w:rFonts w:ascii="Century Gothic" w:hAnsi="Century Gothic"/>
          <w:b/>
          <w:sz w:val="22"/>
          <w:szCs w:val="22"/>
        </w:rPr>
        <w:t xml:space="preserve">1.- </w:t>
      </w:r>
      <w:r w:rsidR="00E75401">
        <w:rPr>
          <w:rFonts w:ascii="Century Gothic" w:hAnsi="Century Gothic"/>
          <w:b/>
          <w:sz w:val="22"/>
          <w:szCs w:val="22"/>
        </w:rPr>
        <w:t xml:space="preserve">La demanda. </w:t>
      </w:r>
    </w:p>
    <w:p w14:paraId="060C01B1" w14:textId="77777777" w:rsidR="00E75401" w:rsidRPr="00905BCF" w:rsidRDefault="00E75401" w:rsidP="008B6BDF">
      <w:pPr>
        <w:spacing w:line="360" w:lineRule="auto"/>
        <w:jc w:val="center"/>
        <w:rPr>
          <w:rFonts w:ascii="Century Gothic" w:hAnsi="Century Gothic"/>
          <w:b/>
          <w:sz w:val="22"/>
          <w:szCs w:val="22"/>
        </w:rPr>
      </w:pPr>
    </w:p>
    <w:p w14:paraId="15A9991A" w14:textId="77777777" w:rsidR="00075587" w:rsidRDefault="00CE402F" w:rsidP="00CE402F">
      <w:pPr>
        <w:pStyle w:val="Textoindependiente310"/>
        <w:ind w:right="122"/>
        <w:rPr>
          <w:rFonts w:ascii="Century Gothic" w:hAnsi="Century Gothic"/>
          <w:sz w:val="22"/>
          <w:szCs w:val="22"/>
          <w:lang w:val="es-ES"/>
        </w:rPr>
      </w:pPr>
      <w:r>
        <w:rPr>
          <w:rFonts w:ascii="Century Gothic" w:hAnsi="Century Gothic"/>
          <w:sz w:val="22"/>
          <w:szCs w:val="22"/>
          <w:lang w:val="es-ES"/>
        </w:rPr>
        <w:t xml:space="preserve"> </w:t>
      </w:r>
      <w:r w:rsidR="008B6BDF" w:rsidRPr="00B13C49">
        <w:rPr>
          <w:rFonts w:ascii="Century Gothic" w:hAnsi="Century Gothic"/>
          <w:sz w:val="22"/>
          <w:szCs w:val="22"/>
        </w:rPr>
        <w:t xml:space="preserve">El </w:t>
      </w:r>
      <w:r w:rsidR="008B6BDF">
        <w:rPr>
          <w:rFonts w:ascii="Century Gothic" w:hAnsi="Century Gothic"/>
          <w:sz w:val="22"/>
          <w:szCs w:val="22"/>
        </w:rPr>
        <w:t>2</w:t>
      </w:r>
      <w:r w:rsidR="00426E50">
        <w:rPr>
          <w:rFonts w:ascii="Century Gothic" w:hAnsi="Century Gothic"/>
          <w:sz w:val="22"/>
          <w:szCs w:val="22"/>
        </w:rPr>
        <w:t>8</w:t>
      </w:r>
      <w:r w:rsidR="008B6BDF" w:rsidRPr="00B13C49">
        <w:rPr>
          <w:rFonts w:ascii="Century Gothic" w:hAnsi="Century Gothic"/>
          <w:sz w:val="22"/>
          <w:szCs w:val="22"/>
        </w:rPr>
        <w:t xml:space="preserve"> de </w:t>
      </w:r>
      <w:r w:rsidR="00426E50">
        <w:rPr>
          <w:rFonts w:ascii="Century Gothic" w:hAnsi="Century Gothic"/>
          <w:sz w:val="22"/>
          <w:szCs w:val="22"/>
        </w:rPr>
        <w:t>agosto de 2006</w:t>
      </w:r>
      <w:r w:rsidR="008B6BDF" w:rsidRPr="00B13C49">
        <w:rPr>
          <w:rFonts w:ascii="Century Gothic" w:hAnsi="Century Gothic"/>
          <w:sz w:val="22"/>
          <w:szCs w:val="22"/>
        </w:rPr>
        <w:t xml:space="preserve">, </w:t>
      </w:r>
      <w:r w:rsidR="00426E50">
        <w:rPr>
          <w:rFonts w:ascii="Century Gothic" w:hAnsi="Century Gothic"/>
          <w:sz w:val="22"/>
          <w:szCs w:val="22"/>
        </w:rPr>
        <w:t xml:space="preserve">el Instituto de Desarrollo Urbano </w:t>
      </w:r>
      <w:r>
        <w:rPr>
          <w:rFonts w:ascii="Century Gothic" w:hAnsi="Century Gothic"/>
          <w:sz w:val="22"/>
          <w:szCs w:val="22"/>
        </w:rPr>
        <w:t>“</w:t>
      </w:r>
      <w:r w:rsidR="00426E50">
        <w:rPr>
          <w:rFonts w:ascii="Century Gothic" w:hAnsi="Century Gothic"/>
          <w:sz w:val="22"/>
          <w:szCs w:val="22"/>
        </w:rPr>
        <w:t>IDU</w:t>
      </w:r>
      <w:r>
        <w:rPr>
          <w:rFonts w:ascii="Century Gothic" w:hAnsi="Century Gothic"/>
          <w:sz w:val="22"/>
          <w:szCs w:val="22"/>
        </w:rPr>
        <w:t>”</w:t>
      </w:r>
      <w:r w:rsidR="008B6BDF" w:rsidRPr="00B13C49">
        <w:rPr>
          <w:rFonts w:ascii="Century Gothic" w:hAnsi="Century Gothic"/>
          <w:sz w:val="22"/>
          <w:szCs w:val="22"/>
        </w:rPr>
        <w:t>, en ejercicio</w:t>
      </w:r>
      <w:r w:rsidR="008B6BDF" w:rsidRPr="00C93885">
        <w:rPr>
          <w:rFonts w:ascii="Century Gothic" w:hAnsi="Century Gothic"/>
          <w:sz w:val="22"/>
          <w:szCs w:val="22"/>
        </w:rPr>
        <w:t xml:space="preserve"> de la acción </w:t>
      </w:r>
      <w:r w:rsidR="000A586B">
        <w:rPr>
          <w:rFonts w:ascii="Century Gothic" w:hAnsi="Century Gothic"/>
          <w:sz w:val="22"/>
          <w:szCs w:val="22"/>
        </w:rPr>
        <w:t>ejecutiva</w:t>
      </w:r>
      <w:r w:rsidR="008B6BDF" w:rsidRPr="00905BCF">
        <w:rPr>
          <w:rFonts w:ascii="Century Gothic" w:hAnsi="Century Gothic"/>
          <w:sz w:val="22"/>
          <w:szCs w:val="22"/>
        </w:rPr>
        <w:t xml:space="preserve"> y por conducto de apoderado judicial, solicit</w:t>
      </w:r>
      <w:r w:rsidR="000A586B">
        <w:rPr>
          <w:rFonts w:ascii="Century Gothic" w:hAnsi="Century Gothic"/>
          <w:sz w:val="22"/>
          <w:szCs w:val="22"/>
        </w:rPr>
        <w:t>ó</w:t>
      </w:r>
      <w:r w:rsidR="008B6BDF" w:rsidRPr="00905BCF">
        <w:rPr>
          <w:rFonts w:ascii="Century Gothic" w:hAnsi="Century Gothic"/>
          <w:sz w:val="22"/>
          <w:szCs w:val="22"/>
        </w:rPr>
        <w:t xml:space="preserve"> que se </w:t>
      </w:r>
      <w:r w:rsidR="00426E50">
        <w:rPr>
          <w:rFonts w:ascii="Century Gothic" w:hAnsi="Century Gothic"/>
          <w:sz w:val="22"/>
          <w:szCs w:val="22"/>
        </w:rPr>
        <w:t>libr</w:t>
      </w:r>
      <w:r w:rsidR="000A586B">
        <w:rPr>
          <w:rFonts w:ascii="Century Gothic" w:hAnsi="Century Gothic"/>
          <w:sz w:val="22"/>
          <w:szCs w:val="22"/>
        </w:rPr>
        <w:t>ara</w:t>
      </w:r>
      <w:r w:rsidR="00426E50">
        <w:rPr>
          <w:rFonts w:ascii="Century Gothic" w:hAnsi="Century Gothic"/>
          <w:sz w:val="22"/>
          <w:szCs w:val="22"/>
        </w:rPr>
        <w:t xml:space="preserve"> mandamiento de pago </w:t>
      </w:r>
      <w:r w:rsidR="00075587">
        <w:rPr>
          <w:rFonts w:ascii="Century Gothic" w:hAnsi="Century Gothic"/>
          <w:sz w:val="22"/>
          <w:szCs w:val="22"/>
        </w:rPr>
        <w:t xml:space="preserve">a su favor y </w:t>
      </w:r>
      <w:r w:rsidR="00426E50">
        <w:rPr>
          <w:rFonts w:ascii="Century Gothic" w:hAnsi="Century Gothic"/>
          <w:sz w:val="22"/>
          <w:szCs w:val="22"/>
        </w:rPr>
        <w:t xml:space="preserve">contra la </w:t>
      </w:r>
      <w:r w:rsidR="00426E50" w:rsidRPr="00426E50">
        <w:rPr>
          <w:rFonts w:ascii="Century Gothic" w:hAnsi="Century Gothic"/>
          <w:sz w:val="22"/>
          <w:szCs w:val="22"/>
          <w:lang w:val="es-ES"/>
        </w:rPr>
        <w:t xml:space="preserve">Compañía Aseguradora de </w:t>
      </w:r>
      <w:r w:rsidR="002D1A00">
        <w:rPr>
          <w:rFonts w:ascii="Century Gothic" w:hAnsi="Century Gothic"/>
          <w:sz w:val="22"/>
          <w:szCs w:val="22"/>
          <w:lang w:val="es-ES"/>
        </w:rPr>
        <w:t>Fianzas</w:t>
      </w:r>
      <w:r w:rsidR="00426E50" w:rsidRPr="00426E50">
        <w:rPr>
          <w:rFonts w:ascii="Century Gothic" w:hAnsi="Century Gothic"/>
          <w:sz w:val="22"/>
          <w:szCs w:val="22"/>
          <w:lang w:val="es-ES"/>
        </w:rPr>
        <w:t xml:space="preserve"> S.A. </w:t>
      </w:r>
      <w:r>
        <w:rPr>
          <w:rFonts w:ascii="Century Gothic" w:hAnsi="Century Gothic"/>
          <w:sz w:val="22"/>
          <w:szCs w:val="22"/>
          <w:lang w:val="es-ES"/>
        </w:rPr>
        <w:t>“</w:t>
      </w:r>
      <w:r w:rsidR="00426E50" w:rsidRPr="00426E50">
        <w:rPr>
          <w:rFonts w:ascii="Century Gothic" w:hAnsi="Century Gothic"/>
          <w:sz w:val="22"/>
          <w:szCs w:val="22"/>
          <w:lang w:val="es-ES"/>
        </w:rPr>
        <w:t>CONFIANZA</w:t>
      </w:r>
      <w:r>
        <w:rPr>
          <w:rFonts w:ascii="Century Gothic" w:hAnsi="Century Gothic"/>
          <w:sz w:val="22"/>
          <w:szCs w:val="22"/>
          <w:lang w:val="es-ES"/>
        </w:rPr>
        <w:t xml:space="preserve"> S.A.”</w:t>
      </w:r>
      <w:r w:rsidR="00426E50">
        <w:rPr>
          <w:rFonts w:ascii="Century Gothic" w:hAnsi="Century Gothic"/>
          <w:sz w:val="22"/>
          <w:szCs w:val="22"/>
          <w:lang w:val="es-ES"/>
        </w:rPr>
        <w:t>,</w:t>
      </w:r>
      <w:r w:rsidR="00075587">
        <w:rPr>
          <w:rFonts w:ascii="Century Gothic" w:hAnsi="Century Gothic"/>
          <w:sz w:val="22"/>
          <w:szCs w:val="22"/>
          <w:lang w:val="es-ES"/>
        </w:rPr>
        <w:t xml:space="preserve"> por las siguientes sumas </w:t>
      </w:r>
      <w:r w:rsidR="00075587" w:rsidRPr="00075587">
        <w:rPr>
          <w:rFonts w:ascii="Century Gothic" w:hAnsi="Century Gothic"/>
          <w:sz w:val="22"/>
          <w:szCs w:val="22"/>
          <w:lang w:val="es-CO"/>
        </w:rPr>
        <w:t>(se transcribe c</w:t>
      </w:r>
      <w:r w:rsidR="00075587">
        <w:rPr>
          <w:rFonts w:ascii="Century Gothic" w:hAnsi="Century Gothic"/>
          <w:sz w:val="22"/>
          <w:szCs w:val="22"/>
          <w:lang w:val="es-CO"/>
        </w:rPr>
        <w:t xml:space="preserve">omo aparece en la demanda, </w:t>
      </w:r>
      <w:proofErr w:type="spellStart"/>
      <w:r w:rsidR="00075587">
        <w:rPr>
          <w:rFonts w:ascii="Century Gothic" w:hAnsi="Century Gothic"/>
          <w:sz w:val="22"/>
          <w:szCs w:val="22"/>
          <w:lang w:val="es-CO"/>
        </w:rPr>
        <w:t>fl</w:t>
      </w:r>
      <w:proofErr w:type="spellEnd"/>
      <w:r w:rsidR="00075587">
        <w:rPr>
          <w:rFonts w:ascii="Century Gothic" w:hAnsi="Century Gothic"/>
          <w:sz w:val="22"/>
          <w:szCs w:val="22"/>
          <w:lang w:val="es-CO"/>
        </w:rPr>
        <w:t>. 3</w:t>
      </w:r>
      <w:r w:rsidR="00075587" w:rsidRPr="00075587">
        <w:rPr>
          <w:rFonts w:ascii="Century Gothic" w:hAnsi="Century Gothic"/>
          <w:sz w:val="22"/>
          <w:szCs w:val="22"/>
          <w:lang w:val="es-CO"/>
        </w:rPr>
        <w:t>, C. 1)</w:t>
      </w:r>
      <w:r w:rsidR="00075587">
        <w:rPr>
          <w:rFonts w:ascii="Century Gothic" w:hAnsi="Century Gothic"/>
          <w:sz w:val="22"/>
          <w:szCs w:val="22"/>
          <w:lang w:val="es-ES"/>
        </w:rPr>
        <w:t>:</w:t>
      </w:r>
    </w:p>
    <w:p w14:paraId="26633DF5" w14:textId="77777777" w:rsidR="00075587" w:rsidRDefault="00075587" w:rsidP="00CE402F">
      <w:pPr>
        <w:pStyle w:val="Textoindependiente310"/>
        <w:ind w:right="122"/>
        <w:rPr>
          <w:rFonts w:ascii="Century Gothic" w:hAnsi="Century Gothic"/>
          <w:sz w:val="22"/>
          <w:szCs w:val="22"/>
          <w:lang w:val="es-ES"/>
        </w:rPr>
      </w:pPr>
    </w:p>
    <w:p w14:paraId="484CACBB" w14:textId="77777777" w:rsidR="00075587" w:rsidRDefault="00075587" w:rsidP="002108A5">
      <w:pPr>
        <w:pStyle w:val="Textoindependiente310"/>
        <w:spacing w:line="240" w:lineRule="auto"/>
        <w:ind w:left="705" w:right="122"/>
        <w:rPr>
          <w:rFonts w:ascii="Century Gothic" w:hAnsi="Century Gothic"/>
          <w:sz w:val="20"/>
          <w:szCs w:val="22"/>
          <w:lang w:val="es-ES"/>
        </w:rPr>
      </w:pPr>
      <w:r w:rsidRPr="00075587">
        <w:rPr>
          <w:rFonts w:ascii="Century Gothic" w:hAnsi="Century Gothic"/>
          <w:sz w:val="20"/>
          <w:szCs w:val="22"/>
          <w:lang w:val="es-ES"/>
        </w:rPr>
        <w:t>“</w:t>
      </w:r>
      <w:r>
        <w:rPr>
          <w:rFonts w:ascii="Century Gothic" w:hAnsi="Century Gothic"/>
          <w:sz w:val="20"/>
          <w:szCs w:val="22"/>
          <w:lang w:val="es-ES"/>
        </w:rPr>
        <w:t xml:space="preserve">3.1.1. (…) </w:t>
      </w:r>
      <w:r w:rsidRPr="00075587">
        <w:rPr>
          <w:rFonts w:ascii="Century Gothic" w:hAnsi="Century Gothic"/>
          <w:sz w:val="20"/>
          <w:szCs w:val="22"/>
          <w:lang w:val="es-ES"/>
        </w:rPr>
        <w:t xml:space="preserve">CUATRO MIL OCHOCIENTOS VEINTIDÓS MILLONES DOSCIENTOS MIL PESOS ($4.822’200.000) MONEDA CORRIENTE, por concepto de obligación principal y con cargo a la Garantía Única de Cumplimiento Póliza número 1141035 expedida por la COMPAÑÍA ASEGURADORA DE FIANZAS CONFIANZA S.A. </w:t>
      </w:r>
    </w:p>
    <w:p w14:paraId="408B5BC6" w14:textId="77777777" w:rsidR="00075587" w:rsidRPr="00075587" w:rsidRDefault="00075587" w:rsidP="002108A5">
      <w:pPr>
        <w:pStyle w:val="Textoindependiente310"/>
        <w:spacing w:line="240" w:lineRule="auto"/>
        <w:ind w:left="705" w:right="122"/>
        <w:rPr>
          <w:rFonts w:ascii="Century Gothic" w:hAnsi="Century Gothic"/>
          <w:sz w:val="20"/>
          <w:szCs w:val="22"/>
          <w:lang w:val="es-ES"/>
        </w:rPr>
      </w:pPr>
    </w:p>
    <w:p w14:paraId="3D4C8C9A" w14:textId="77777777" w:rsidR="00075587" w:rsidRDefault="00075587" w:rsidP="002108A5">
      <w:pPr>
        <w:pStyle w:val="Textoindependiente310"/>
        <w:spacing w:line="240" w:lineRule="auto"/>
        <w:ind w:left="705" w:right="122"/>
        <w:rPr>
          <w:rFonts w:ascii="Century Gothic" w:hAnsi="Century Gothic"/>
          <w:sz w:val="20"/>
          <w:szCs w:val="22"/>
          <w:lang w:val="es-ES"/>
        </w:rPr>
      </w:pPr>
      <w:r w:rsidRPr="00075587">
        <w:rPr>
          <w:rFonts w:ascii="Century Gothic" w:hAnsi="Century Gothic"/>
          <w:sz w:val="20"/>
          <w:szCs w:val="22"/>
          <w:lang w:val="es-ES"/>
        </w:rPr>
        <w:t>“</w:t>
      </w:r>
      <w:r>
        <w:rPr>
          <w:rFonts w:ascii="Century Gothic" w:hAnsi="Century Gothic"/>
          <w:sz w:val="20"/>
          <w:szCs w:val="22"/>
          <w:lang w:val="es-ES"/>
        </w:rPr>
        <w:t xml:space="preserve">3.1.2. </w:t>
      </w:r>
      <w:r w:rsidRPr="00075587">
        <w:rPr>
          <w:rFonts w:ascii="Century Gothic" w:hAnsi="Century Gothic"/>
          <w:sz w:val="20"/>
          <w:szCs w:val="22"/>
          <w:lang w:val="es-ES"/>
        </w:rPr>
        <w:t xml:space="preserve">Por los intereses moratorios que se llegaren a causar sobre el monto de la obligación principal, desde el día tres (3) de diciembre de dos mil cinco (2.005), fecha en que venció el plazo para el pago de la obligación principal, hasta el momento en que ocurra su pago, liquidados a la tasa del interés bancario corriente certificado por la Superintendencia Bancaria, aumentado en un cincuenta por ciento. </w:t>
      </w:r>
    </w:p>
    <w:p w14:paraId="3CBAC956" w14:textId="77777777" w:rsidR="00075587" w:rsidRPr="00075587" w:rsidRDefault="00075587" w:rsidP="002108A5">
      <w:pPr>
        <w:pStyle w:val="Textoindependiente310"/>
        <w:spacing w:line="240" w:lineRule="auto"/>
        <w:ind w:left="705" w:right="122"/>
        <w:rPr>
          <w:rFonts w:ascii="Century Gothic" w:hAnsi="Century Gothic"/>
          <w:sz w:val="20"/>
          <w:szCs w:val="22"/>
          <w:lang w:val="es-ES"/>
        </w:rPr>
      </w:pPr>
    </w:p>
    <w:p w14:paraId="64CAB677" w14:textId="77777777" w:rsidR="00075587" w:rsidRPr="00075587" w:rsidRDefault="00075587" w:rsidP="002108A5">
      <w:pPr>
        <w:pStyle w:val="Textoindependiente310"/>
        <w:spacing w:line="240" w:lineRule="auto"/>
        <w:ind w:left="705" w:right="122"/>
        <w:rPr>
          <w:rFonts w:ascii="Century Gothic" w:hAnsi="Century Gothic"/>
          <w:sz w:val="20"/>
          <w:szCs w:val="22"/>
          <w:lang w:val="es-ES"/>
        </w:rPr>
      </w:pPr>
      <w:r w:rsidRPr="00075587">
        <w:rPr>
          <w:rFonts w:ascii="Century Gothic" w:hAnsi="Century Gothic"/>
          <w:sz w:val="20"/>
          <w:szCs w:val="22"/>
          <w:lang w:val="es-ES"/>
        </w:rPr>
        <w:t>“</w:t>
      </w:r>
      <w:r>
        <w:rPr>
          <w:rFonts w:ascii="Century Gothic" w:hAnsi="Century Gothic"/>
          <w:sz w:val="20"/>
          <w:szCs w:val="22"/>
          <w:lang w:val="es-ES"/>
        </w:rPr>
        <w:t xml:space="preserve">3.2. </w:t>
      </w:r>
      <w:r w:rsidRPr="00075587">
        <w:rPr>
          <w:rFonts w:ascii="Century Gothic" w:hAnsi="Century Gothic"/>
          <w:sz w:val="20"/>
          <w:szCs w:val="22"/>
          <w:lang w:val="es-ES"/>
        </w:rPr>
        <w:t xml:space="preserve">Se condene a la sociedad demandada al pago de costas que se llegaren a causar en razón de este proceso”. </w:t>
      </w:r>
    </w:p>
    <w:p w14:paraId="4FC6E558" w14:textId="77777777" w:rsidR="00075587" w:rsidRDefault="00075587" w:rsidP="00CE402F">
      <w:pPr>
        <w:pStyle w:val="Textoindependiente310"/>
        <w:ind w:right="122"/>
        <w:rPr>
          <w:rFonts w:ascii="Century Gothic" w:hAnsi="Century Gothic"/>
          <w:sz w:val="22"/>
          <w:szCs w:val="22"/>
          <w:lang w:val="es-ES"/>
        </w:rPr>
      </w:pPr>
    </w:p>
    <w:p w14:paraId="1C595350" w14:textId="77777777" w:rsidR="00E75401" w:rsidRPr="00E75401" w:rsidRDefault="00AB138E" w:rsidP="00CE402F">
      <w:pPr>
        <w:pStyle w:val="Textoindependiente310"/>
        <w:ind w:right="122"/>
        <w:rPr>
          <w:rFonts w:ascii="Century Gothic" w:hAnsi="Century Gothic"/>
          <w:b/>
          <w:sz w:val="22"/>
          <w:szCs w:val="22"/>
          <w:lang w:val="es-ES"/>
        </w:rPr>
      </w:pPr>
      <w:r>
        <w:rPr>
          <w:rFonts w:ascii="Century Gothic" w:hAnsi="Century Gothic"/>
          <w:b/>
          <w:sz w:val="22"/>
          <w:szCs w:val="22"/>
          <w:lang w:val="es-ES"/>
        </w:rPr>
        <w:t xml:space="preserve">2.- </w:t>
      </w:r>
      <w:r w:rsidR="00E75401">
        <w:rPr>
          <w:rFonts w:ascii="Century Gothic" w:hAnsi="Century Gothic"/>
          <w:b/>
          <w:sz w:val="22"/>
          <w:szCs w:val="22"/>
          <w:lang w:val="es-ES"/>
        </w:rPr>
        <w:t>Hechos.</w:t>
      </w:r>
    </w:p>
    <w:p w14:paraId="29DDDE95" w14:textId="77777777" w:rsidR="00E75401" w:rsidRDefault="00E75401" w:rsidP="00CE402F">
      <w:pPr>
        <w:pStyle w:val="Textoindependiente310"/>
        <w:ind w:right="122"/>
        <w:rPr>
          <w:rFonts w:ascii="Century Gothic" w:hAnsi="Century Gothic"/>
          <w:sz w:val="22"/>
          <w:szCs w:val="22"/>
          <w:lang w:val="es-ES"/>
        </w:rPr>
      </w:pPr>
    </w:p>
    <w:p w14:paraId="3FB0CEA6" w14:textId="77777777" w:rsidR="00AB138E" w:rsidRDefault="00AB138E" w:rsidP="00CE402F">
      <w:pPr>
        <w:pStyle w:val="Textoindependiente310"/>
        <w:ind w:right="122"/>
        <w:rPr>
          <w:rFonts w:ascii="Century Gothic" w:hAnsi="Century Gothic"/>
          <w:sz w:val="22"/>
          <w:szCs w:val="22"/>
          <w:lang w:val="es-ES"/>
        </w:rPr>
      </w:pPr>
      <w:r>
        <w:rPr>
          <w:rFonts w:ascii="Century Gothic" w:hAnsi="Century Gothic" w:cs="Tahoma"/>
          <w:sz w:val="22"/>
          <w:szCs w:val="22"/>
        </w:rPr>
        <w:t>Como fundamento de las pretensiones</w:t>
      </w:r>
      <w:r w:rsidRPr="0072686B">
        <w:rPr>
          <w:rFonts w:ascii="Century Gothic" w:hAnsi="Century Gothic" w:cs="Tahoma"/>
          <w:sz w:val="22"/>
          <w:szCs w:val="22"/>
        </w:rPr>
        <w:t xml:space="preserve"> </w:t>
      </w:r>
      <w:r>
        <w:rPr>
          <w:rFonts w:ascii="Century Gothic" w:hAnsi="Century Gothic" w:cs="Tahoma"/>
          <w:sz w:val="22"/>
          <w:szCs w:val="22"/>
        </w:rPr>
        <w:t>expuso el ejecutante que:</w:t>
      </w:r>
    </w:p>
    <w:p w14:paraId="7CF48BF2" w14:textId="77777777" w:rsidR="00AB138E" w:rsidRDefault="00AB138E" w:rsidP="00CE402F">
      <w:pPr>
        <w:pStyle w:val="Textoindependiente310"/>
        <w:ind w:right="122"/>
        <w:rPr>
          <w:rFonts w:ascii="Century Gothic" w:hAnsi="Century Gothic"/>
          <w:sz w:val="22"/>
          <w:szCs w:val="22"/>
          <w:lang w:val="es-ES"/>
        </w:rPr>
      </w:pPr>
    </w:p>
    <w:p w14:paraId="4CA9B45B" w14:textId="77777777" w:rsidR="00E75401" w:rsidRPr="002B693D" w:rsidRDefault="00AB138E" w:rsidP="008B6BDF">
      <w:pPr>
        <w:pStyle w:val="Textoindependiente310"/>
        <w:ind w:right="20"/>
        <w:rPr>
          <w:rFonts w:ascii="Century Gothic" w:hAnsi="Century Gothic" w:cs="Tahoma"/>
          <w:sz w:val="22"/>
          <w:szCs w:val="22"/>
          <w:lang w:val="es-ES"/>
        </w:rPr>
      </w:pPr>
      <w:r>
        <w:rPr>
          <w:rFonts w:ascii="Century Gothic" w:hAnsi="Century Gothic" w:cs="Tahoma"/>
          <w:sz w:val="22"/>
          <w:szCs w:val="22"/>
        </w:rPr>
        <w:t>2.</w:t>
      </w:r>
      <w:r w:rsidR="004A634A">
        <w:rPr>
          <w:rFonts w:ascii="Century Gothic" w:hAnsi="Century Gothic" w:cs="Tahoma"/>
          <w:sz w:val="22"/>
          <w:szCs w:val="22"/>
        </w:rPr>
        <w:t xml:space="preserve">1. </w:t>
      </w:r>
      <w:r>
        <w:rPr>
          <w:rFonts w:ascii="Century Gothic" w:hAnsi="Century Gothic" w:cs="Tahoma"/>
          <w:sz w:val="22"/>
          <w:szCs w:val="22"/>
        </w:rPr>
        <w:t>e</w:t>
      </w:r>
      <w:r w:rsidR="00CE402F">
        <w:rPr>
          <w:rFonts w:ascii="Century Gothic" w:hAnsi="Century Gothic" w:cs="Tahoma"/>
          <w:sz w:val="22"/>
          <w:szCs w:val="22"/>
        </w:rPr>
        <w:t>ntre el IDU y Construcciones Civiles S.A. “CONCIVILES S.A.” se suscribió el contrato de obra 406 de 2000, cuyo objeto consistió en la rehabilitación de las calzadas centrales de tráfico mixto y</w:t>
      </w:r>
      <w:r w:rsidR="002B693D">
        <w:rPr>
          <w:rFonts w:ascii="Century Gothic" w:hAnsi="Century Gothic" w:cs="Tahoma"/>
          <w:sz w:val="22"/>
          <w:szCs w:val="22"/>
        </w:rPr>
        <w:t xml:space="preserve"> en</w:t>
      </w:r>
      <w:r w:rsidR="00CE402F">
        <w:rPr>
          <w:rFonts w:ascii="Century Gothic" w:hAnsi="Century Gothic" w:cs="Tahoma"/>
          <w:sz w:val="22"/>
          <w:szCs w:val="22"/>
        </w:rPr>
        <w:t xml:space="preserve"> la adecuación de las mismas para la </w:t>
      </w:r>
      <w:r w:rsidR="00CE402F">
        <w:rPr>
          <w:rFonts w:ascii="Century Gothic" w:hAnsi="Century Gothic" w:cs="Tahoma"/>
          <w:sz w:val="22"/>
          <w:szCs w:val="22"/>
        </w:rPr>
        <w:lastRenderedPageBreak/>
        <w:t>operación del Sistema Transmilenio, “</w:t>
      </w:r>
      <w:r w:rsidR="00CE402F" w:rsidRPr="00F022A9">
        <w:rPr>
          <w:rFonts w:ascii="Century Gothic" w:hAnsi="Century Gothic" w:cs="Tahoma"/>
          <w:i/>
          <w:sz w:val="22"/>
          <w:szCs w:val="22"/>
        </w:rPr>
        <w:t>en la Autopista Norte de Los Héroes ala (sic) calle 176 en Bogotá D.C</w:t>
      </w:r>
      <w:r w:rsidR="002B693D">
        <w:rPr>
          <w:rFonts w:ascii="Century Gothic" w:hAnsi="Century Gothic" w:cs="Tahoma"/>
          <w:sz w:val="22"/>
          <w:szCs w:val="22"/>
        </w:rPr>
        <w:t xml:space="preserve">.”. Como </w:t>
      </w:r>
      <w:r w:rsidR="00CE402F">
        <w:rPr>
          <w:rFonts w:ascii="Century Gothic" w:hAnsi="Century Gothic" w:cs="Tahoma"/>
          <w:sz w:val="22"/>
          <w:szCs w:val="22"/>
        </w:rPr>
        <w:t>consecuencia</w:t>
      </w:r>
      <w:r w:rsidR="002B693D">
        <w:rPr>
          <w:rFonts w:ascii="Century Gothic" w:hAnsi="Century Gothic" w:cs="Tahoma"/>
          <w:sz w:val="22"/>
          <w:szCs w:val="22"/>
        </w:rPr>
        <w:t xml:space="preserve"> de lo anterior, </w:t>
      </w:r>
      <w:r w:rsidR="00CE402F">
        <w:rPr>
          <w:rFonts w:ascii="Century Gothic" w:hAnsi="Century Gothic" w:cs="Tahoma"/>
          <w:sz w:val="22"/>
          <w:szCs w:val="22"/>
        </w:rPr>
        <w:t xml:space="preserve">el particular contratista suscribió con </w:t>
      </w:r>
      <w:r w:rsidR="002B693D">
        <w:rPr>
          <w:rFonts w:ascii="Century Gothic" w:hAnsi="Century Gothic" w:cs="Tahoma"/>
          <w:sz w:val="22"/>
          <w:szCs w:val="22"/>
          <w:lang w:val="es-ES"/>
        </w:rPr>
        <w:t>Compañía Aseguradora d</w:t>
      </w:r>
      <w:r w:rsidR="002B693D" w:rsidRPr="002B693D">
        <w:rPr>
          <w:rFonts w:ascii="Century Gothic" w:hAnsi="Century Gothic" w:cs="Tahoma"/>
          <w:sz w:val="22"/>
          <w:szCs w:val="22"/>
          <w:lang w:val="es-ES"/>
        </w:rPr>
        <w:t xml:space="preserve">e Fianzas </w:t>
      </w:r>
      <w:r w:rsidR="002B693D">
        <w:rPr>
          <w:rFonts w:ascii="Century Gothic" w:hAnsi="Century Gothic" w:cs="Tahoma"/>
          <w:sz w:val="22"/>
          <w:szCs w:val="22"/>
          <w:lang w:val="es-ES"/>
        </w:rPr>
        <w:t>“</w:t>
      </w:r>
      <w:r w:rsidR="00CE402F">
        <w:rPr>
          <w:rFonts w:ascii="Century Gothic" w:hAnsi="Century Gothic" w:cs="Tahoma"/>
          <w:sz w:val="22"/>
          <w:szCs w:val="22"/>
        </w:rPr>
        <w:t>CONFIANZA S.A.</w:t>
      </w:r>
      <w:r w:rsidR="002B693D">
        <w:rPr>
          <w:rFonts w:ascii="Century Gothic" w:hAnsi="Century Gothic" w:cs="Tahoma"/>
          <w:sz w:val="22"/>
          <w:szCs w:val="22"/>
        </w:rPr>
        <w:t>”</w:t>
      </w:r>
      <w:r w:rsidR="00CE402F">
        <w:rPr>
          <w:rFonts w:ascii="Century Gothic" w:hAnsi="Century Gothic" w:cs="Tahoma"/>
          <w:sz w:val="22"/>
          <w:szCs w:val="22"/>
        </w:rPr>
        <w:t xml:space="preserve"> la póliza única de seguros a favor de entidades estatales G U01001141035 del 7 de junio de 2000, con un valor asegurado, por estabilidad de obra, de $18.390’</w:t>
      </w:r>
      <w:r w:rsidR="00E75401">
        <w:rPr>
          <w:rFonts w:ascii="Century Gothic" w:hAnsi="Century Gothic" w:cs="Tahoma"/>
          <w:sz w:val="22"/>
          <w:szCs w:val="22"/>
        </w:rPr>
        <w:t xml:space="preserve">174.228. </w:t>
      </w:r>
    </w:p>
    <w:p w14:paraId="2578E133" w14:textId="77777777" w:rsidR="00E75401" w:rsidRDefault="00E75401" w:rsidP="008B6BDF">
      <w:pPr>
        <w:pStyle w:val="Textoindependiente310"/>
        <w:ind w:right="20"/>
        <w:rPr>
          <w:rFonts w:ascii="Century Gothic" w:hAnsi="Century Gothic" w:cs="Tahoma"/>
          <w:sz w:val="22"/>
          <w:szCs w:val="22"/>
        </w:rPr>
      </w:pPr>
    </w:p>
    <w:p w14:paraId="296428B6" w14:textId="77777777" w:rsidR="00CE402F" w:rsidRDefault="00AB138E" w:rsidP="008B6BDF">
      <w:pPr>
        <w:pStyle w:val="Textoindependiente310"/>
        <w:ind w:right="20"/>
        <w:rPr>
          <w:rFonts w:ascii="Century Gothic" w:hAnsi="Century Gothic" w:cs="Tahoma"/>
          <w:sz w:val="22"/>
          <w:szCs w:val="22"/>
        </w:rPr>
      </w:pPr>
      <w:r>
        <w:rPr>
          <w:rFonts w:ascii="Century Gothic" w:hAnsi="Century Gothic" w:cs="Tahoma"/>
          <w:sz w:val="22"/>
          <w:szCs w:val="22"/>
        </w:rPr>
        <w:t>2.</w:t>
      </w:r>
      <w:r w:rsidR="004A634A">
        <w:rPr>
          <w:rFonts w:ascii="Century Gothic" w:hAnsi="Century Gothic" w:cs="Tahoma"/>
          <w:sz w:val="22"/>
          <w:szCs w:val="22"/>
        </w:rPr>
        <w:t xml:space="preserve">2. </w:t>
      </w:r>
      <w:r w:rsidR="00E75401">
        <w:rPr>
          <w:rFonts w:ascii="Century Gothic" w:hAnsi="Century Gothic" w:cs="Tahoma"/>
          <w:sz w:val="22"/>
          <w:szCs w:val="22"/>
        </w:rPr>
        <w:t xml:space="preserve">Ejecutado el contrato de obra aludido y mediante resolución 1999 de 2005, la entidad contratante declaró la ocurrencia </w:t>
      </w:r>
      <w:r w:rsidR="002B693D">
        <w:rPr>
          <w:rFonts w:ascii="Century Gothic" w:hAnsi="Century Gothic" w:cs="Tahoma"/>
          <w:sz w:val="22"/>
          <w:szCs w:val="22"/>
        </w:rPr>
        <w:t>del riesgo amparado, esto es, la inestabilidad de la obra</w:t>
      </w:r>
      <w:r w:rsidR="00E75401">
        <w:rPr>
          <w:rFonts w:ascii="Century Gothic" w:hAnsi="Century Gothic" w:cs="Tahoma"/>
          <w:sz w:val="22"/>
          <w:szCs w:val="22"/>
        </w:rPr>
        <w:t xml:space="preserve"> y, por consiguiente, hizo efectiva la garantía contenida en la póliza de seguros aludida, por </w:t>
      </w:r>
      <w:r w:rsidR="00D0307E">
        <w:rPr>
          <w:rFonts w:ascii="Century Gothic" w:hAnsi="Century Gothic" w:cs="Tahoma"/>
          <w:sz w:val="22"/>
          <w:szCs w:val="22"/>
        </w:rPr>
        <w:t xml:space="preserve">un valor de </w:t>
      </w:r>
      <w:r w:rsidR="00E75401">
        <w:rPr>
          <w:rFonts w:ascii="Century Gothic" w:hAnsi="Century Gothic" w:cs="Tahoma"/>
          <w:sz w:val="22"/>
          <w:szCs w:val="22"/>
        </w:rPr>
        <w:t>$4.822</w:t>
      </w:r>
      <w:r w:rsidR="0078340E">
        <w:rPr>
          <w:rFonts w:ascii="Century Gothic" w:hAnsi="Century Gothic" w:cs="Tahoma"/>
          <w:sz w:val="22"/>
          <w:szCs w:val="22"/>
        </w:rPr>
        <w:t>’</w:t>
      </w:r>
      <w:r w:rsidR="00E75401">
        <w:rPr>
          <w:rFonts w:ascii="Century Gothic" w:hAnsi="Century Gothic" w:cs="Tahoma"/>
          <w:sz w:val="22"/>
          <w:szCs w:val="22"/>
        </w:rPr>
        <w:t xml:space="preserve">200.000, </w:t>
      </w:r>
      <w:r w:rsidR="004A634A">
        <w:rPr>
          <w:rFonts w:ascii="Century Gothic" w:hAnsi="Century Gothic" w:cs="Tahoma"/>
          <w:sz w:val="22"/>
          <w:szCs w:val="22"/>
        </w:rPr>
        <w:t>decisión</w:t>
      </w:r>
      <w:r w:rsidR="00E75401">
        <w:rPr>
          <w:rFonts w:ascii="Century Gothic" w:hAnsi="Century Gothic" w:cs="Tahoma"/>
          <w:sz w:val="22"/>
          <w:szCs w:val="22"/>
        </w:rPr>
        <w:t xml:space="preserve"> que quedó en firme </w:t>
      </w:r>
      <w:r w:rsidR="004A634A">
        <w:rPr>
          <w:rFonts w:ascii="Century Gothic" w:hAnsi="Century Gothic" w:cs="Tahoma"/>
          <w:sz w:val="22"/>
          <w:szCs w:val="22"/>
        </w:rPr>
        <w:t>tras resolverse</w:t>
      </w:r>
      <w:r w:rsidR="0078340E">
        <w:rPr>
          <w:rFonts w:ascii="Century Gothic" w:hAnsi="Century Gothic" w:cs="Tahoma"/>
          <w:sz w:val="22"/>
          <w:szCs w:val="22"/>
        </w:rPr>
        <w:t>,</w:t>
      </w:r>
      <w:r w:rsidR="004A634A">
        <w:rPr>
          <w:rFonts w:ascii="Century Gothic" w:hAnsi="Century Gothic" w:cs="Tahoma"/>
          <w:sz w:val="22"/>
          <w:szCs w:val="22"/>
        </w:rPr>
        <w:t xml:space="preserve"> </w:t>
      </w:r>
      <w:r w:rsidR="0078340E">
        <w:rPr>
          <w:rFonts w:ascii="Century Gothic" w:hAnsi="Century Gothic" w:cs="Tahoma"/>
          <w:sz w:val="22"/>
          <w:szCs w:val="22"/>
        </w:rPr>
        <w:t xml:space="preserve">mediante la resolución 6057 de 2005, </w:t>
      </w:r>
      <w:r w:rsidR="004A634A">
        <w:rPr>
          <w:rFonts w:ascii="Century Gothic" w:hAnsi="Century Gothic" w:cs="Tahoma"/>
          <w:sz w:val="22"/>
          <w:szCs w:val="22"/>
        </w:rPr>
        <w:t>los recursos de reposición interpuestos por C</w:t>
      </w:r>
      <w:r w:rsidR="0078340E">
        <w:rPr>
          <w:rFonts w:ascii="Century Gothic" w:hAnsi="Century Gothic" w:cs="Tahoma"/>
          <w:sz w:val="22"/>
          <w:szCs w:val="22"/>
        </w:rPr>
        <w:t>ONCIVILES S.A. y CONFIANZA S.A.</w:t>
      </w:r>
    </w:p>
    <w:p w14:paraId="027A9707" w14:textId="77777777" w:rsidR="004A634A" w:rsidRDefault="004A634A" w:rsidP="008B6BDF">
      <w:pPr>
        <w:pStyle w:val="Textoindependiente310"/>
        <w:ind w:right="20"/>
        <w:rPr>
          <w:rFonts w:ascii="Century Gothic" w:hAnsi="Century Gothic" w:cs="Tahoma"/>
          <w:sz w:val="22"/>
          <w:szCs w:val="22"/>
        </w:rPr>
      </w:pPr>
    </w:p>
    <w:p w14:paraId="340090E8" w14:textId="77777777" w:rsidR="004A634A" w:rsidRDefault="0078340E" w:rsidP="008B6BDF">
      <w:pPr>
        <w:pStyle w:val="Textoindependiente310"/>
        <w:ind w:right="20"/>
        <w:rPr>
          <w:rFonts w:ascii="Century Gothic" w:hAnsi="Century Gothic" w:cs="Tahoma"/>
          <w:sz w:val="22"/>
          <w:szCs w:val="22"/>
        </w:rPr>
      </w:pPr>
      <w:r>
        <w:rPr>
          <w:rFonts w:ascii="Century Gothic" w:hAnsi="Century Gothic" w:cs="Tahoma"/>
          <w:sz w:val="22"/>
          <w:szCs w:val="22"/>
        </w:rPr>
        <w:t>2.</w:t>
      </w:r>
      <w:r w:rsidR="004A634A">
        <w:rPr>
          <w:rFonts w:ascii="Century Gothic" w:hAnsi="Century Gothic" w:cs="Tahoma"/>
          <w:sz w:val="22"/>
          <w:szCs w:val="22"/>
        </w:rPr>
        <w:t>3. Mediante oficio 125247/STCC-6500 del 28 de octubre de 2005</w:t>
      </w:r>
      <w:r w:rsidR="00D0307E">
        <w:rPr>
          <w:rFonts w:ascii="Century Gothic" w:hAnsi="Century Gothic" w:cs="Tahoma"/>
          <w:sz w:val="22"/>
          <w:szCs w:val="22"/>
        </w:rPr>
        <w:t xml:space="preserve"> y con fundamento en las resoluciones referidas</w:t>
      </w:r>
      <w:r w:rsidR="004A634A">
        <w:rPr>
          <w:rFonts w:ascii="Century Gothic" w:hAnsi="Century Gothic" w:cs="Tahoma"/>
          <w:sz w:val="22"/>
          <w:szCs w:val="22"/>
        </w:rPr>
        <w:t xml:space="preserve">, el IDU requirió a CONFIANZA S.A. para que cancelara los </w:t>
      </w:r>
      <w:r w:rsidR="00D0307E">
        <w:rPr>
          <w:rFonts w:ascii="Century Gothic" w:hAnsi="Century Gothic" w:cs="Tahoma"/>
          <w:sz w:val="22"/>
          <w:szCs w:val="22"/>
        </w:rPr>
        <w:t>$</w:t>
      </w:r>
      <w:r w:rsidR="004A634A">
        <w:rPr>
          <w:rFonts w:ascii="Century Gothic" w:hAnsi="Century Gothic" w:cs="Tahoma"/>
          <w:sz w:val="22"/>
          <w:szCs w:val="22"/>
        </w:rPr>
        <w:t>4.822’200.000, dentro de los treinta días siguientes a la recepción del mismo.</w:t>
      </w:r>
    </w:p>
    <w:p w14:paraId="14C3D1F4" w14:textId="77777777" w:rsidR="004A634A" w:rsidRDefault="004A634A" w:rsidP="008B6BDF">
      <w:pPr>
        <w:pStyle w:val="Textoindependiente310"/>
        <w:ind w:right="20"/>
        <w:rPr>
          <w:rFonts w:ascii="Century Gothic" w:hAnsi="Century Gothic" w:cs="Tahoma"/>
          <w:sz w:val="22"/>
          <w:szCs w:val="22"/>
        </w:rPr>
      </w:pPr>
    </w:p>
    <w:p w14:paraId="375A3490" w14:textId="77777777" w:rsidR="004A634A" w:rsidRDefault="0078340E" w:rsidP="008B6BDF">
      <w:pPr>
        <w:pStyle w:val="Textoindependiente310"/>
        <w:ind w:right="20"/>
        <w:rPr>
          <w:rFonts w:ascii="Century Gothic" w:hAnsi="Century Gothic" w:cs="Tahoma"/>
          <w:sz w:val="22"/>
          <w:szCs w:val="22"/>
        </w:rPr>
      </w:pPr>
      <w:r>
        <w:rPr>
          <w:rFonts w:ascii="Century Gothic" w:hAnsi="Century Gothic" w:cs="Tahoma"/>
          <w:sz w:val="22"/>
          <w:szCs w:val="22"/>
        </w:rPr>
        <w:t>2.</w:t>
      </w:r>
      <w:r w:rsidR="004A634A">
        <w:rPr>
          <w:rFonts w:ascii="Century Gothic" w:hAnsi="Century Gothic" w:cs="Tahoma"/>
          <w:sz w:val="22"/>
          <w:szCs w:val="22"/>
        </w:rPr>
        <w:t xml:space="preserve">4. A través de resoluciones 8396 de 2005 y 2218 de 2006, el IDU corrigió algunos errores mecanográficos </w:t>
      </w:r>
      <w:r w:rsidR="00D0307E">
        <w:rPr>
          <w:rFonts w:ascii="Century Gothic" w:hAnsi="Century Gothic" w:cs="Tahoma"/>
          <w:sz w:val="22"/>
          <w:szCs w:val="22"/>
        </w:rPr>
        <w:t>existentes en</w:t>
      </w:r>
      <w:r w:rsidR="004A634A">
        <w:rPr>
          <w:rFonts w:ascii="Century Gothic" w:hAnsi="Century Gothic" w:cs="Tahoma"/>
          <w:sz w:val="22"/>
          <w:szCs w:val="22"/>
        </w:rPr>
        <w:t xml:space="preserve"> el valor en letras de la obligación y en el número de </w:t>
      </w:r>
      <w:r w:rsidR="00D0307E">
        <w:rPr>
          <w:rFonts w:ascii="Century Gothic" w:hAnsi="Century Gothic" w:cs="Tahoma"/>
          <w:sz w:val="22"/>
          <w:szCs w:val="22"/>
        </w:rPr>
        <w:t xml:space="preserve">identificación de </w:t>
      </w:r>
      <w:r w:rsidR="004A634A">
        <w:rPr>
          <w:rFonts w:ascii="Century Gothic" w:hAnsi="Century Gothic" w:cs="Tahoma"/>
          <w:sz w:val="22"/>
          <w:szCs w:val="22"/>
        </w:rPr>
        <w:t>la póliza de seguros.</w:t>
      </w:r>
    </w:p>
    <w:p w14:paraId="1A9F57A0" w14:textId="77777777" w:rsidR="004A634A" w:rsidRDefault="004A634A" w:rsidP="008B6BDF">
      <w:pPr>
        <w:pStyle w:val="Textoindependiente310"/>
        <w:ind w:right="20"/>
        <w:rPr>
          <w:rFonts w:ascii="Century Gothic" w:hAnsi="Century Gothic" w:cs="Tahoma"/>
          <w:sz w:val="22"/>
          <w:szCs w:val="22"/>
        </w:rPr>
      </w:pPr>
    </w:p>
    <w:p w14:paraId="6DF14A66" w14:textId="77777777" w:rsidR="00163103" w:rsidRDefault="0078340E" w:rsidP="008B6BDF">
      <w:pPr>
        <w:pStyle w:val="Textoindependiente310"/>
        <w:ind w:right="20"/>
        <w:rPr>
          <w:rFonts w:ascii="Century Gothic" w:hAnsi="Century Gothic" w:cs="Tahoma"/>
          <w:sz w:val="22"/>
          <w:szCs w:val="22"/>
        </w:rPr>
      </w:pPr>
      <w:r>
        <w:rPr>
          <w:rFonts w:ascii="Century Gothic" w:hAnsi="Century Gothic" w:cs="Tahoma"/>
          <w:sz w:val="22"/>
          <w:szCs w:val="22"/>
        </w:rPr>
        <w:t>2.</w:t>
      </w:r>
      <w:r w:rsidR="004A634A">
        <w:rPr>
          <w:rFonts w:ascii="Century Gothic" w:hAnsi="Century Gothic" w:cs="Tahoma"/>
          <w:sz w:val="22"/>
          <w:szCs w:val="22"/>
        </w:rPr>
        <w:t>5. Pese a todo lo anterior, CONFIANZA S.A. no ha efectuado pago alguno desde el 3 de diciembre de 2004, cuando la obligación se hizo exigible (</w:t>
      </w:r>
      <w:proofErr w:type="spellStart"/>
      <w:r w:rsidR="004A634A">
        <w:rPr>
          <w:rFonts w:ascii="Century Gothic" w:hAnsi="Century Gothic" w:cs="Tahoma"/>
          <w:sz w:val="22"/>
          <w:szCs w:val="22"/>
        </w:rPr>
        <w:t>fls</w:t>
      </w:r>
      <w:proofErr w:type="spellEnd"/>
      <w:r w:rsidR="004A634A">
        <w:rPr>
          <w:rFonts w:ascii="Century Gothic" w:hAnsi="Century Gothic" w:cs="Tahoma"/>
          <w:sz w:val="22"/>
          <w:szCs w:val="22"/>
        </w:rPr>
        <w:t xml:space="preserve">. 4 y 5 C. 1).  </w:t>
      </w:r>
    </w:p>
    <w:p w14:paraId="5CC00A83" w14:textId="77777777" w:rsidR="008B6BDF" w:rsidRPr="004A634A" w:rsidRDefault="0078340E" w:rsidP="00CC039C">
      <w:pPr>
        <w:pStyle w:val="Textoindependiente310"/>
        <w:numPr>
          <w:ilvl w:val="0"/>
          <w:numId w:val="2"/>
        </w:numPr>
        <w:ind w:right="20"/>
        <w:jc w:val="center"/>
        <w:rPr>
          <w:rFonts w:ascii="Century Gothic" w:hAnsi="Century Gothic"/>
          <w:b/>
          <w:sz w:val="22"/>
          <w:szCs w:val="22"/>
        </w:rPr>
      </w:pPr>
      <w:r>
        <w:rPr>
          <w:rFonts w:ascii="Century Gothic" w:hAnsi="Century Gothic" w:cs="Tahoma"/>
          <w:b/>
          <w:sz w:val="22"/>
          <w:szCs w:val="22"/>
        </w:rPr>
        <w:t xml:space="preserve"> </w:t>
      </w:r>
      <w:r w:rsidR="003B5045" w:rsidRPr="004A634A">
        <w:rPr>
          <w:rFonts w:ascii="Century Gothic" w:hAnsi="Century Gothic" w:cs="Tahoma"/>
          <w:b/>
          <w:sz w:val="22"/>
          <w:szCs w:val="22"/>
        </w:rPr>
        <w:t xml:space="preserve">TRÁMITE DE </w:t>
      </w:r>
      <w:r w:rsidR="003B5045">
        <w:rPr>
          <w:rFonts w:ascii="Century Gothic" w:hAnsi="Century Gothic" w:cs="Tahoma"/>
          <w:b/>
          <w:sz w:val="22"/>
          <w:szCs w:val="22"/>
        </w:rPr>
        <w:t>PRIMERA INSTANCIA</w:t>
      </w:r>
      <w:r w:rsidR="003B5045" w:rsidRPr="004A634A">
        <w:rPr>
          <w:rFonts w:ascii="Century Gothic" w:hAnsi="Century Gothic" w:cs="Tahoma"/>
          <w:b/>
          <w:sz w:val="22"/>
          <w:szCs w:val="22"/>
        </w:rPr>
        <w:t>.</w:t>
      </w:r>
    </w:p>
    <w:p w14:paraId="4E602D50" w14:textId="77777777" w:rsidR="004A634A" w:rsidRDefault="004A634A" w:rsidP="008B6BDF">
      <w:pPr>
        <w:spacing w:line="360" w:lineRule="auto"/>
        <w:jc w:val="both"/>
        <w:rPr>
          <w:rFonts w:ascii="Century Gothic" w:hAnsi="Century Gothic"/>
          <w:sz w:val="22"/>
          <w:szCs w:val="22"/>
        </w:rPr>
      </w:pPr>
    </w:p>
    <w:p w14:paraId="5AB73B37" w14:textId="77777777" w:rsidR="003B5045" w:rsidRPr="003B5045" w:rsidRDefault="0078340E" w:rsidP="003B5045">
      <w:pPr>
        <w:spacing w:line="360" w:lineRule="auto"/>
        <w:jc w:val="both"/>
        <w:rPr>
          <w:rFonts w:ascii="Century Gothic" w:hAnsi="Century Gothic"/>
          <w:b/>
          <w:sz w:val="22"/>
          <w:szCs w:val="22"/>
        </w:rPr>
      </w:pPr>
      <w:r>
        <w:rPr>
          <w:rFonts w:ascii="Century Gothic" w:hAnsi="Century Gothic"/>
          <w:b/>
          <w:sz w:val="22"/>
          <w:szCs w:val="22"/>
        </w:rPr>
        <w:t xml:space="preserve">1.- </w:t>
      </w:r>
      <w:r w:rsidR="003B5045" w:rsidRPr="003B5045">
        <w:rPr>
          <w:rFonts w:ascii="Century Gothic" w:hAnsi="Century Gothic"/>
          <w:b/>
          <w:sz w:val="22"/>
          <w:szCs w:val="22"/>
        </w:rPr>
        <w:t>Mandamiento de pago.</w:t>
      </w:r>
    </w:p>
    <w:p w14:paraId="42678F10" w14:textId="77777777" w:rsidR="003B5045" w:rsidRDefault="003B5045" w:rsidP="008B6BDF">
      <w:pPr>
        <w:spacing w:line="360" w:lineRule="auto"/>
        <w:jc w:val="both"/>
        <w:rPr>
          <w:rFonts w:ascii="Century Gothic" w:hAnsi="Century Gothic"/>
          <w:sz w:val="22"/>
          <w:szCs w:val="22"/>
        </w:rPr>
      </w:pPr>
    </w:p>
    <w:p w14:paraId="19E829BD" w14:textId="77777777" w:rsidR="004A634A" w:rsidRDefault="004A634A" w:rsidP="008B6BDF">
      <w:pPr>
        <w:spacing w:line="360" w:lineRule="auto"/>
        <w:jc w:val="both"/>
        <w:rPr>
          <w:rFonts w:ascii="Century Gothic" w:hAnsi="Century Gothic"/>
          <w:i/>
          <w:sz w:val="22"/>
          <w:szCs w:val="22"/>
        </w:rPr>
      </w:pPr>
      <w:r>
        <w:rPr>
          <w:rFonts w:ascii="Century Gothic" w:hAnsi="Century Gothic"/>
          <w:sz w:val="22"/>
          <w:szCs w:val="22"/>
        </w:rPr>
        <w:t xml:space="preserve"> Mediante auto del 12 de septiembre de 2006, el Tribunal Administrativo de Cundinamarca libró mandamiento de pago </w:t>
      </w:r>
      <w:r w:rsidR="003974F3">
        <w:rPr>
          <w:rFonts w:ascii="Century Gothic" w:hAnsi="Century Gothic"/>
          <w:sz w:val="22"/>
          <w:szCs w:val="22"/>
        </w:rPr>
        <w:t>a favor del IDU</w:t>
      </w:r>
      <w:r w:rsidR="00F545D9">
        <w:rPr>
          <w:rFonts w:ascii="Century Gothic" w:hAnsi="Century Gothic"/>
          <w:sz w:val="22"/>
          <w:szCs w:val="22"/>
        </w:rPr>
        <w:t xml:space="preserve"> y c</w:t>
      </w:r>
      <w:r w:rsidR="0078340E">
        <w:rPr>
          <w:rFonts w:ascii="Century Gothic" w:hAnsi="Century Gothic"/>
          <w:sz w:val="22"/>
          <w:szCs w:val="22"/>
        </w:rPr>
        <w:t>ontra CONFIANZA S.A. por $4.822’</w:t>
      </w:r>
      <w:r w:rsidR="00F545D9">
        <w:rPr>
          <w:rFonts w:ascii="Century Gothic" w:hAnsi="Century Gothic"/>
          <w:sz w:val="22"/>
          <w:szCs w:val="22"/>
        </w:rPr>
        <w:t>200.000, “</w:t>
      </w:r>
      <w:r w:rsidR="00F545D9">
        <w:rPr>
          <w:rFonts w:ascii="Century Gothic" w:hAnsi="Century Gothic"/>
          <w:i/>
          <w:sz w:val="22"/>
          <w:szCs w:val="22"/>
        </w:rPr>
        <w:t xml:space="preserve">más los intereses legales previstos en la Ley 80 de 1.993, causados desde la fecha de su exigibilidad, esto es, desde el 3 de diciembre de 2005” </w:t>
      </w:r>
      <w:r w:rsidR="00F545D9">
        <w:rPr>
          <w:rFonts w:ascii="Century Gothic" w:hAnsi="Century Gothic"/>
          <w:sz w:val="22"/>
          <w:szCs w:val="22"/>
        </w:rPr>
        <w:t>(</w:t>
      </w:r>
      <w:proofErr w:type="spellStart"/>
      <w:r w:rsidR="00F545D9">
        <w:rPr>
          <w:rFonts w:ascii="Century Gothic" w:hAnsi="Century Gothic"/>
          <w:sz w:val="22"/>
          <w:szCs w:val="22"/>
        </w:rPr>
        <w:t>fls</w:t>
      </w:r>
      <w:proofErr w:type="spellEnd"/>
      <w:r w:rsidR="00F545D9">
        <w:rPr>
          <w:rFonts w:ascii="Century Gothic" w:hAnsi="Century Gothic"/>
          <w:sz w:val="22"/>
          <w:szCs w:val="22"/>
        </w:rPr>
        <w:t>. 16 a 21 C. 1)</w:t>
      </w:r>
      <w:r w:rsidR="00F545D9">
        <w:rPr>
          <w:rFonts w:ascii="Century Gothic" w:hAnsi="Century Gothic"/>
          <w:i/>
          <w:sz w:val="22"/>
          <w:szCs w:val="22"/>
        </w:rPr>
        <w:t>.</w:t>
      </w:r>
    </w:p>
    <w:p w14:paraId="7A95F1BA" w14:textId="77777777" w:rsidR="00F545D9" w:rsidRDefault="00F545D9" w:rsidP="008B6BDF">
      <w:pPr>
        <w:spacing w:line="360" w:lineRule="auto"/>
        <w:jc w:val="both"/>
        <w:rPr>
          <w:rFonts w:ascii="Century Gothic" w:hAnsi="Century Gothic"/>
          <w:i/>
          <w:sz w:val="22"/>
          <w:szCs w:val="22"/>
        </w:rPr>
      </w:pPr>
    </w:p>
    <w:p w14:paraId="65676401" w14:textId="77777777" w:rsidR="00F545D9" w:rsidRPr="0042691D" w:rsidRDefault="00F545D9"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42691D">
        <w:rPr>
          <w:rFonts w:ascii="Century Gothic" w:hAnsi="Century Gothic" w:cs="Arial"/>
          <w:spacing w:val="0"/>
          <w:szCs w:val="22"/>
        </w:rPr>
        <w:t>El mandamiento de pago fue notificado al representante legal de</w:t>
      </w:r>
      <w:r>
        <w:rPr>
          <w:rFonts w:ascii="Century Gothic" w:hAnsi="Century Gothic" w:cs="Arial"/>
          <w:spacing w:val="0"/>
          <w:szCs w:val="22"/>
        </w:rPr>
        <w:t xml:space="preserve"> </w:t>
      </w:r>
      <w:r>
        <w:rPr>
          <w:rFonts w:ascii="Century Gothic" w:hAnsi="Century Gothic"/>
          <w:szCs w:val="22"/>
        </w:rPr>
        <w:t>CONFIANZA S.A.</w:t>
      </w:r>
      <w:r w:rsidRPr="0042691D">
        <w:rPr>
          <w:rFonts w:ascii="Century Gothic" w:hAnsi="Century Gothic" w:cs="Arial"/>
          <w:spacing w:val="0"/>
          <w:szCs w:val="22"/>
        </w:rPr>
        <w:t xml:space="preserve">, según consta en </w:t>
      </w:r>
      <w:r>
        <w:rPr>
          <w:rFonts w:ascii="Century Gothic" w:hAnsi="Century Gothic" w:cs="Arial"/>
          <w:spacing w:val="0"/>
          <w:szCs w:val="22"/>
        </w:rPr>
        <w:t>documento visible a folio 22</w:t>
      </w:r>
      <w:r w:rsidRPr="0042691D">
        <w:rPr>
          <w:rFonts w:ascii="Century Gothic" w:hAnsi="Century Gothic" w:cs="Arial"/>
          <w:spacing w:val="0"/>
          <w:szCs w:val="22"/>
        </w:rPr>
        <w:t xml:space="preserve"> </w:t>
      </w:r>
      <w:r>
        <w:rPr>
          <w:rFonts w:ascii="Century Gothic" w:hAnsi="Century Gothic" w:cs="Arial"/>
          <w:spacing w:val="0"/>
          <w:szCs w:val="22"/>
        </w:rPr>
        <w:t xml:space="preserve">C. </w:t>
      </w:r>
      <w:r w:rsidR="00151FA0">
        <w:rPr>
          <w:rFonts w:ascii="Century Gothic" w:hAnsi="Century Gothic" w:cs="Arial"/>
          <w:spacing w:val="0"/>
          <w:szCs w:val="22"/>
        </w:rPr>
        <w:t>1.</w:t>
      </w:r>
    </w:p>
    <w:p w14:paraId="4A7468E2" w14:textId="77777777" w:rsidR="00F545D9" w:rsidRPr="00F545D9" w:rsidRDefault="00F545D9" w:rsidP="008B6BDF">
      <w:pPr>
        <w:spacing w:line="360" w:lineRule="auto"/>
        <w:jc w:val="both"/>
        <w:rPr>
          <w:rFonts w:ascii="Century Gothic" w:hAnsi="Century Gothic"/>
          <w:sz w:val="22"/>
          <w:szCs w:val="22"/>
          <w:lang w:val="es-CO"/>
        </w:rPr>
      </w:pPr>
    </w:p>
    <w:p w14:paraId="6EE87CDE" w14:textId="77777777" w:rsidR="004A634A" w:rsidRDefault="0078340E"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r>
        <w:rPr>
          <w:rFonts w:ascii="Century Gothic" w:hAnsi="Century Gothic" w:cs="Arial"/>
          <w:b/>
          <w:spacing w:val="0"/>
          <w:szCs w:val="22"/>
        </w:rPr>
        <w:t xml:space="preserve">2.- </w:t>
      </w:r>
      <w:r w:rsidR="00F362A8">
        <w:rPr>
          <w:rFonts w:ascii="Century Gothic" w:hAnsi="Century Gothic" w:cs="Arial"/>
          <w:b/>
          <w:spacing w:val="0"/>
          <w:szCs w:val="22"/>
        </w:rPr>
        <w:t>E</w:t>
      </w:r>
      <w:r w:rsidR="00F545D9" w:rsidRPr="0042691D">
        <w:rPr>
          <w:rFonts w:ascii="Century Gothic" w:hAnsi="Century Gothic" w:cs="Arial"/>
          <w:b/>
          <w:spacing w:val="0"/>
          <w:szCs w:val="22"/>
        </w:rPr>
        <w:t>xcepciones propuestas por la ejecutada.</w:t>
      </w:r>
    </w:p>
    <w:p w14:paraId="680B3786" w14:textId="77777777" w:rsidR="00F545D9" w:rsidRDefault="00F545D9"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b/>
          <w:spacing w:val="0"/>
          <w:szCs w:val="22"/>
        </w:rPr>
      </w:pPr>
    </w:p>
    <w:p w14:paraId="115DF8A8" w14:textId="77777777" w:rsidR="00B62DF3" w:rsidRDefault="00F96092"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r w:rsidRPr="00F96092">
        <w:rPr>
          <w:rFonts w:ascii="Century Gothic" w:hAnsi="Century Gothic" w:cs="Arial"/>
          <w:spacing w:val="0"/>
          <w:szCs w:val="22"/>
        </w:rPr>
        <w:t>CONFIANZA S.A.</w:t>
      </w:r>
      <w:r>
        <w:rPr>
          <w:rFonts w:ascii="Century Gothic" w:hAnsi="Century Gothic" w:cs="Arial"/>
          <w:spacing w:val="0"/>
          <w:szCs w:val="22"/>
        </w:rPr>
        <w:t>, por conducto de apoderado judicial, contestó la demanda y propuso como excepciones</w:t>
      </w:r>
      <w:r w:rsidR="002B693D">
        <w:rPr>
          <w:rFonts w:ascii="Century Gothic" w:hAnsi="Century Gothic" w:cs="Arial"/>
          <w:spacing w:val="0"/>
          <w:szCs w:val="22"/>
        </w:rPr>
        <w:t xml:space="preserve"> de mérito</w:t>
      </w:r>
      <w:r w:rsidR="00AF36AC">
        <w:rPr>
          <w:rFonts w:ascii="Century Gothic" w:hAnsi="Century Gothic" w:cs="Arial"/>
          <w:spacing w:val="0"/>
          <w:szCs w:val="22"/>
        </w:rPr>
        <w:t>:</w:t>
      </w:r>
    </w:p>
    <w:p w14:paraId="5D190ADD" w14:textId="77777777" w:rsidR="00B62DF3" w:rsidRDefault="00B62DF3"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24C2A537" w14:textId="77777777" w:rsidR="00B62DF3"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Pr="00EE487F">
        <w:rPr>
          <w:rFonts w:ascii="Century Gothic" w:hAnsi="Century Gothic" w:cs="Arial"/>
          <w:b/>
          <w:i/>
          <w:spacing w:val="0"/>
          <w:szCs w:val="22"/>
        </w:rPr>
        <w:t>L</w:t>
      </w:r>
      <w:r w:rsidR="00F96092" w:rsidRPr="00EE487F">
        <w:rPr>
          <w:rFonts w:ascii="Century Gothic" w:hAnsi="Century Gothic" w:cs="Arial"/>
          <w:b/>
          <w:i/>
          <w:spacing w:val="0"/>
          <w:szCs w:val="22"/>
        </w:rPr>
        <w:t>a ilegalidad de los actos administrativos que conforman el t</w:t>
      </w:r>
      <w:r w:rsidR="00B62DF3" w:rsidRPr="00EE487F">
        <w:rPr>
          <w:rFonts w:ascii="Century Gothic" w:hAnsi="Century Gothic" w:cs="Arial"/>
          <w:b/>
          <w:i/>
          <w:spacing w:val="0"/>
          <w:szCs w:val="22"/>
        </w:rPr>
        <w:t>ítulo ejecutivo</w:t>
      </w:r>
      <w:r>
        <w:rPr>
          <w:rFonts w:ascii="Century Gothic" w:hAnsi="Century Gothic" w:cs="Arial"/>
          <w:spacing w:val="0"/>
          <w:szCs w:val="22"/>
        </w:rPr>
        <w:t>”</w:t>
      </w:r>
      <w:r w:rsidR="00B62DF3">
        <w:rPr>
          <w:rFonts w:ascii="Century Gothic" w:hAnsi="Century Gothic" w:cs="Arial"/>
          <w:spacing w:val="0"/>
          <w:szCs w:val="22"/>
        </w:rPr>
        <w:t xml:space="preserve">. Manifestó que, si bien la postura actual de la jurisprudencia del Consejo de Estado indica que no resulta procedente proponer esta excepción en un proceso ejecutivo, lo </w:t>
      </w:r>
      <w:r w:rsidR="00440DB3">
        <w:rPr>
          <w:rFonts w:ascii="Century Gothic" w:hAnsi="Century Gothic" w:cs="Arial"/>
          <w:spacing w:val="0"/>
          <w:szCs w:val="22"/>
        </w:rPr>
        <w:t xml:space="preserve">hacía </w:t>
      </w:r>
      <w:r w:rsidR="00B62DF3">
        <w:rPr>
          <w:rFonts w:ascii="Century Gothic" w:hAnsi="Century Gothic" w:cs="Arial"/>
          <w:spacing w:val="0"/>
          <w:szCs w:val="22"/>
        </w:rPr>
        <w:t>en caso de que dicha interpretaci</w:t>
      </w:r>
      <w:r w:rsidR="00440DB3">
        <w:rPr>
          <w:rFonts w:ascii="Century Gothic" w:hAnsi="Century Gothic" w:cs="Arial"/>
          <w:spacing w:val="0"/>
          <w:szCs w:val="22"/>
        </w:rPr>
        <w:t xml:space="preserve">ón cambie y, al amparo de este argumento, procedió a realizar un detallado análisis de la realidad pre contractual y de ejecución, </w:t>
      </w:r>
      <w:r w:rsidR="008A76CC">
        <w:rPr>
          <w:rFonts w:ascii="Century Gothic" w:hAnsi="Century Gothic" w:cs="Arial"/>
          <w:spacing w:val="0"/>
          <w:szCs w:val="22"/>
        </w:rPr>
        <w:t>tras el cual</w:t>
      </w:r>
      <w:r w:rsidR="00440DB3">
        <w:rPr>
          <w:rFonts w:ascii="Century Gothic" w:hAnsi="Century Gothic" w:cs="Arial"/>
          <w:spacing w:val="0"/>
          <w:szCs w:val="22"/>
        </w:rPr>
        <w:t xml:space="preserve"> concluyó que la motivación de las resoluciones 1999 y 6057 </w:t>
      </w:r>
      <w:r w:rsidR="00790905">
        <w:rPr>
          <w:rFonts w:ascii="Century Gothic" w:hAnsi="Century Gothic" w:cs="Arial"/>
          <w:spacing w:val="0"/>
          <w:szCs w:val="22"/>
        </w:rPr>
        <w:t>de 2005</w:t>
      </w:r>
      <w:r w:rsidR="00440DB3">
        <w:rPr>
          <w:rFonts w:ascii="Century Gothic" w:hAnsi="Century Gothic" w:cs="Arial"/>
          <w:spacing w:val="0"/>
          <w:szCs w:val="22"/>
        </w:rPr>
        <w:t xml:space="preserve"> no </w:t>
      </w:r>
      <w:r w:rsidR="00D64B06">
        <w:rPr>
          <w:rFonts w:ascii="Century Gothic" w:hAnsi="Century Gothic" w:cs="Arial"/>
          <w:spacing w:val="0"/>
          <w:szCs w:val="22"/>
        </w:rPr>
        <w:t>era la adecuada</w:t>
      </w:r>
      <w:r w:rsidR="00440DB3">
        <w:rPr>
          <w:rFonts w:ascii="Century Gothic" w:hAnsi="Century Gothic" w:cs="Arial"/>
          <w:spacing w:val="0"/>
          <w:szCs w:val="22"/>
        </w:rPr>
        <w:t xml:space="preserve">, </w:t>
      </w:r>
      <w:r w:rsidR="008A76CC">
        <w:rPr>
          <w:rFonts w:ascii="Century Gothic" w:hAnsi="Century Gothic" w:cs="Arial"/>
          <w:spacing w:val="0"/>
          <w:szCs w:val="22"/>
        </w:rPr>
        <w:t xml:space="preserve">pues se funda </w:t>
      </w:r>
      <w:r w:rsidR="00440DB3">
        <w:rPr>
          <w:rFonts w:ascii="Century Gothic" w:hAnsi="Century Gothic" w:cs="Arial"/>
          <w:spacing w:val="0"/>
          <w:szCs w:val="22"/>
        </w:rPr>
        <w:t xml:space="preserve">en hechos </w:t>
      </w:r>
      <w:r w:rsidR="008A76CC">
        <w:rPr>
          <w:rFonts w:ascii="Century Gothic" w:hAnsi="Century Gothic" w:cs="Arial"/>
          <w:spacing w:val="0"/>
          <w:szCs w:val="22"/>
        </w:rPr>
        <w:t>que no correspondieron al contrato estatal (</w:t>
      </w:r>
      <w:proofErr w:type="spellStart"/>
      <w:r w:rsidR="008A76CC">
        <w:rPr>
          <w:rFonts w:ascii="Century Gothic" w:hAnsi="Century Gothic" w:cs="Arial"/>
          <w:spacing w:val="0"/>
          <w:szCs w:val="22"/>
        </w:rPr>
        <w:t>fls</w:t>
      </w:r>
      <w:proofErr w:type="spellEnd"/>
      <w:r w:rsidR="008A76CC">
        <w:rPr>
          <w:rFonts w:ascii="Century Gothic" w:hAnsi="Century Gothic" w:cs="Arial"/>
          <w:spacing w:val="0"/>
          <w:szCs w:val="22"/>
        </w:rPr>
        <w:t>. 91 a 109 C. 1).</w:t>
      </w:r>
    </w:p>
    <w:p w14:paraId="5A48FC28" w14:textId="77777777" w:rsidR="00B62DF3" w:rsidRDefault="00B62DF3" w:rsidP="000B225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3CFE67D1" w14:textId="77777777" w:rsidR="00B62DF3" w:rsidRDefault="00B62DF3"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00790905" w:rsidRPr="00EE487F">
        <w:rPr>
          <w:rFonts w:ascii="Century Gothic" w:hAnsi="Century Gothic" w:cs="Arial"/>
          <w:b/>
          <w:i/>
          <w:spacing w:val="0"/>
          <w:szCs w:val="22"/>
        </w:rPr>
        <w:t>L</w:t>
      </w:r>
      <w:r w:rsidRPr="00EE487F">
        <w:rPr>
          <w:rFonts w:ascii="Century Gothic" w:hAnsi="Century Gothic" w:cs="Arial"/>
          <w:b/>
          <w:i/>
          <w:spacing w:val="0"/>
          <w:szCs w:val="22"/>
        </w:rPr>
        <w:t xml:space="preserve">a inexistencia de una relación de causalidad entre la conducta contractual de la Sociedad </w:t>
      </w:r>
      <w:proofErr w:type="spellStart"/>
      <w:r w:rsidRPr="00EE487F">
        <w:rPr>
          <w:rFonts w:ascii="Century Gothic" w:hAnsi="Century Gothic" w:cs="Arial"/>
          <w:b/>
          <w:i/>
          <w:spacing w:val="0"/>
          <w:szCs w:val="22"/>
        </w:rPr>
        <w:t>Conciviles</w:t>
      </w:r>
      <w:proofErr w:type="spellEnd"/>
      <w:r w:rsidRPr="00EE487F">
        <w:rPr>
          <w:rFonts w:ascii="Century Gothic" w:hAnsi="Century Gothic" w:cs="Arial"/>
          <w:b/>
          <w:i/>
          <w:spacing w:val="0"/>
          <w:szCs w:val="22"/>
        </w:rPr>
        <w:t xml:space="preserve"> S.A. y los supuestos perjuicios cuya indemnización el IDU pretende</w:t>
      </w:r>
      <w:r>
        <w:rPr>
          <w:rFonts w:ascii="Century Gothic" w:hAnsi="Century Gothic" w:cs="Arial"/>
          <w:spacing w:val="0"/>
          <w:szCs w:val="22"/>
        </w:rPr>
        <w:t>”</w:t>
      </w:r>
      <w:r w:rsidR="008A76CC">
        <w:rPr>
          <w:rFonts w:ascii="Century Gothic" w:hAnsi="Century Gothic" w:cs="Arial"/>
          <w:spacing w:val="0"/>
          <w:szCs w:val="22"/>
        </w:rPr>
        <w:t>. Señaló que la entidad pública, al seguir las recomendaciones de un proveedor</w:t>
      </w:r>
      <w:r w:rsidR="00074C76">
        <w:rPr>
          <w:rFonts w:ascii="Century Gothic" w:hAnsi="Century Gothic" w:cs="Arial"/>
          <w:spacing w:val="0"/>
          <w:szCs w:val="22"/>
        </w:rPr>
        <w:t xml:space="preserve"> y entre otras órdenes, decidió</w:t>
      </w:r>
      <w:r w:rsidR="008A76CC">
        <w:rPr>
          <w:rFonts w:ascii="Century Gothic" w:hAnsi="Century Gothic" w:cs="Arial"/>
          <w:spacing w:val="0"/>
          <w:szCs w:val="22"/>
        </w:rPr>
        <w:t xml:space="preserve"> la utilización del tipo de relleno fluido que, luego, afirmó ser la causa de la inestabilidad de la obra, </w:t>
      </w:r>
      <w:r w:rsidR="00790905">
        <w:rPr>
          <w:rFonts w:ascii="Century Gothic" w:hAnsi="Century Gothic" w:cs="Arial"/>
          <w:spacing w:val="0"/>
          <w:szCs w:val="22"/>
        </w:rPr>
        <w:t xml:space="preserve">sin desestimar otras falencias técnicas que por virtud de orden suya contribuyeron al desenlace contractual </w:t>
      </w:r>
      <w:r w:rsidR="00074C76">
        <w:rPr>
          <w:rFonts w:ascii="Century Gothic" w:hAnsi="Century Gothic" w:cs="Arial"/>
          <w:spacing w:val="0"/>
          <w:szCs w:val="22"/>
        </w:rPr>
        <w:t xml:space="preserve">aludido </w:t>
      </w:r>
      <w:r w:rsidR="00790905">
        <w:rPr>
          <w:rFonts w:ascii="Century Gothic" w:hAnsi="Century Gothic" w:cs="Arial"/>
          <w:spacing w:val="0"/>
          <w:szCs w:val="22"/>
        </w:rPr>
        <w:t>(</w:t>
      </w:r>
      <w:proofErr w:type="spellStart"/>
      <w:r w:rsidR="00790905">
        <w:rPr>
          <w:rFonts w:ascii="Century Gothic" w:hAnsi="Century Gothic" w:cs="Arial"/>
          <w:spacing w:val="0"/>
          <w:szCs w:val="22"/>
        </w:rPr>
        <w:t>fls</w:t>
      </w:r>
      <w:proofErr w:type="spellEnd"/>
      <w:r w:rsidR="00790905">
        <w:rPr>
          <w:rFonts w:ascii="Century Gothic" w:hAnsi="Century Gothic" w:cs="Arial"/>
          <w:spacing w:val="0"/>
          <w:szCs w:val="22"/>
        </w:rPr>
        <w:t>. 110 a 112 C. 1)</w:t>
      </w:r>
    </w:p>
    <w:p w14:paraId="06E19C3D" w14:textId="77777777" w:rsidR="00B62DF3" w:rsidRDefault="00B62DF3" w:rsidP="000B225D">
      <w:pPr>
        <w:pStyle w:val="Prrafodelista"/>
        <w:ind w:firstLine="0"/>
        <w:rPr>
          <w:rFonts w:ascii="Century Gothic" w:hAnsi="Century Gothic" w:cs="Arial"/>
        </w:rPr>
      </w:pPr>
    </w:p>
    <w:p w14:paraId="18338570" w14:textId="77777777" w:rsidR="00074C76" w:rsidRPr="00074C76"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00790905" w:rsidRPr="00EE487F">
        <w:rPr>
          <w:rFonts w:ascii="Century Gothic" w:hAnsi="Century Gothic" w:cs="Arial"/>
          <w:b/>
          <w:i/>
          <w:spacing w:val="0"/>
          <w:szCs w:val="22"/>
        </w:rPr>
        <w:t>L</w:t>
      </w:r>
      <w:r w:rsidR="00B62DF3" w:rsidRPr="00EE487F">
        <w:rPr>
          <w:rFonts w:ascii="Century Gothic" w:hAnsi="Century Gothic" w:cs="Arial"/>
          <w:b/>
          <w:i/>
          <w:spacing w:val="0"/>
          <w:szCs w:val="22"/>
        </w:rPr>
        <w:t>a inexistencia de una obligación a cargo del asegurador</w:t>
      </w:r>
      <w:r>
        <w:rPr>
          <w:rFonts w:ascii="Century Gothic" w:hAnsi="Century Gothic" w:cs="Arial"/>
          <w:spacing w:val="0"/>
          <w:szCs w:val="22"/>
        </w:rPr>
        <w:t>”</w:t>
      </w:r>
      <w:r w:rsidR="00790905">
        <w:rPr>
          <w:rFonts w:ascii="Century Gothic" w:hAnsi="Century Gothic" w:cs="Arial"/>
          <w:spacing w:val="0"/>
          <w:szCs w:val="22"/>
        </w:rPr>
        <w:t xml:space="preserve">. Aseguró que el </w:t>
      </w:r>
      <w:r w:rsidR="00074C76">
        <w:rPr>
          <w:rFonts w:ascii="Century Gothic" w:hAnsi="Century Gothic" w:cs="Arial"/>
          <w:spacing w:val="0"/>
          <w:szCs w:val="22"/>
        </w:rPr>
        <w:t>riesgo amparado a través</w:t>
      </w:r>
      <w:r w:rsidR="00790905">
        <w:rPr>
          <w:rFonts w:ascii="Century Gothic" w:hAnsi="Century Gothic" w:cs="Arial"/>
          <w:spacing w:val="0"/>
          <w:szCs w:val="22"/>
        </w:rPr>
        <w:t xml:space="preserve"> de la póliza de seguros </w:t>
      </w:r>
      <w:r w:rsidR="00790905">
        <w:rPr>
          <w:rFonts w:ascii="Century Gothic" w:hAnsi="Century Gothic" w:cs="Tahoma"/>
          <w:szCs w:val="22"/>
        </w:rPr>
        <w:t xml:space="preserve">G U01001141035 del 7 de junio de 2000 consiste en los perjuicios </w:t>
      </w:r>
      <w:r w:rsidR="00074C76">
        <w:rPr>
          <w:rFonts w:ascii="Century Gothic" w:hAnsi="Century Gothic" w:cs="Tahoma"/>
          <w:szCs w:val="22"/>
        </w:rPr>
        <w:t xml:space="preserve">causados que sean </w:t>
      </w:r>
      <w:r w:rsidR="00790905">
        <w:rPr>
          <w:rFonts w:ascii="Century Gothic" w:hAnsi="Century Gothic" w:cs="Tahoma"/>
          <w:szCs w:val="22"/>
        </w:rPr>
        <w:t>imputable</w:t>
      </w:r>
      <w:r w:rsidR="00074C76">
        <w:rPr>
          <w:rFonts w:ascii="Century Gothic" w:hAnsi="Century Gothic" w:cs="Tahoma"/>
          <w:szCs w:val="22"/>
        </w:rPr>
        <w:t xml:space="preserve">s al contratista y, en este sentido, comoquiera que aquéllos que fueron tenidos en cuenta para la expedición de las resoluciones </w:t>
      </w:r>
      <w:r w:rsidR="00074C76">
        <w:rPr>
          <w:rFonts w:ascii="Century Gothic" w:hAnsi="Century Gothic" w:cs="Arial"/>
          <w:spacing w:val="0"/>
          <w:szCs w:val="22"/>
        </w:rPr>
        <w:t>1999 y 6057 de 2005 le son imputables al IDU, no existe obligación a cargo del asegurador que justifique pago alguno (</w:t>
      </w:r>
      <w:proofErr w:type="spellStart"/>
      <w:r w:rsidR="00074C76">
        <w:rPr>
          <w:rFonts w:ascii="Century Gothic" w:hAnsi="Century Gothic" w:cs="Arial"/>
          <w:spacing w:val="0"/>
          <w:szCs w:val="22"/>
        </w:rPr>
        <w:t>fls</w:t>
      </w:r>
      <w:proofErr w:type="spellEnd"/>
      <w:r w:rsidR="00074C76">
        <w:rPr>
          <w:rFonts w:ascii="Century Gothic" w:hAnsi="Century Gothic" w:cs="Arial"/>
          <w:spacing w:val="0"/>
          <w:szCs w:val="22"/>
        </w:rPr>
        <w:t>. 112 a 115 C. 1).</w:t>
      </w:r>
    </w:p>
    <w:p w14:paraId="0B92D2C9" w14:textId="77777777" w:rsidR="00074C76" w:rsidRDefault="00074C76" w:rsidP="000B225D">
      <w:pPr>
        <w:pStyle w:val="Prrafodelista"/>
        <w:ind w:firstLine="0"/>
        <w:rPr>
          <w:rFonts w:ascii="Century Gothic" w:hAnsi="Century Gothic" w:cs="Tahoma"/>
        </w:rPr>
      </w:pPr>
    </w:p>
    <w:p w14:paraId="1AAD2C3C" w14:textId="77777777" w:rsidR="00B62DF3"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00074C76" w:rsidRPr="00EE487F">
        <w:rPr>
          <w:rFonts w:ascii="Century Gothic" w:hAnsi="Century Gothic" w:cs="Arial"/>
          <w:b/>
          <w:i/>
          <w:spacing w:val="0"/>
          <w:szCs w:val="22"/>
        </w:rPr>
        <w:t>L</w:t>
      </w:r>
      <w:r w:rsidR="00B62DF3" w:rsidRPr="00EE487F">
        <w:rPr>
          <w:rFonts w:ascii="Century Gothic" w:hAnsi="Century Gothic" w:cs="Arial"/>
          <w:b/>
          <w:i/>
          <w:spacing w:val="0"/>
          <w:szCs w:val="22"/>
        </w:rPr>
        <w:t>a inexistencia de un riesgo</w:t>
      </w:r>
      <w:r>
        <w:rPr>
          <w:rFonts w:ascii="Century Gothic" w:hAnsi="Century Gothic" w:cs="Arial"/>
          <w:spacing w:val="0"/>
          <w:szCs w:val="22"/>
        </w:rPr>
        <w:t>”</w:t>
      </w:r>
      <w:r w:rsidR="00B430FE" w:rsidRPr="00916053">
        <w:rPr>
          <w:rFonts w:ascii="Century Gothic" w:hAnsi="Century Gothic" w:cs="Arial"/>
          <w:spacing w:val="0"/>
          <w:szCs w:val="22"/>
        </w:rPr>
        <w:t>. Adujo que a través de la póliza referida se amparaban dos clases de riesgo: i) los perjuicios directos derivados del incumplimiento imputable al contratista de las obligaciones emanadas del contrato asegurado (amparo contractual) y ii)</w:t>
      </w:r>
      <w:r w:rsidR="00A0088C" w:rsidRPr="00916053">
        <w:rPr>
          <w:rFonts w:ascii="Century Gothic" w:hAnsi="Century Gothic" w:cs="Arial"/>
          <w:spacing w:val="0"/>
          <w:szCs w:val="22"/>
        </w:rPr>
        <w:t xml:space="preserve"> </w:t>
      </w:r>
      <w:r w:rsidR="00B430FE" w:rsidRPr="00916053">
        <w:rPr>
          <w:rFonts w:ascii="Century Gothic" w:hAnsi="Century Gothic" w:cs="Arial"/>
          <w:spacing w:val="0"/>
          <w:szCs w:val="22"/>
        </w:rPr>
        <w:t>la estabilidad de la obra a partir de la entrega a satisfacción y durante el tiempo estipulado y en condiciones normales de uso y mantenimiento (amparo post contractual</w:t>
      </w:r>
      <w:r w:rsidR="00916053" w:rsidRPr="00916053">
        <w:rPr>
          <w:rFonts w:ascii="Century Gothic" w:hAnsi="Century Gothic" w:cs="Arial"/>
          <w:spacing w:val="0"/>
          <w:szCs w:val="22"/>
        </w:rPr>
        <w:t>), en este sentido, afirmó que los daños en la obra comenzaron a advertirse desde el 2001, momento para el cual aún se estaba ejecutando el contrato estatal, de suerte que el riesgo de la inestabilidad de la obra no se concret</w:t>
      </w:r>
      <w:r w:rsidR="00916053">
        <w:rPr>
          <w:rFonts w:ascii="Century Gothic" w:hAnsi="Century Gothic" w:cs="Arial"/>
          <w:spacing w:val="0"/>
          <w:szCs w:val="22"/>
        </w:rPr>
        <w:t>ó y, en consecuencia, no podía la entidad estatal declararlo, como en</w:t>
      </w:r>
      <w:r w:rsidR="00605848">
        <w:rPr>
          <w:rFonts w:ascii="Century Gothic" w:hAnsi="Century Gothic" w:cs="Arial"/>
          <w:spacing w:val="0"/>
          <w:szCs w:val="22"/>
        </w:rPr>
        <w:t xml:space="preserve"> efecto lo hizo en la resolució</w:t>
      </w:r>
      <w:r w:rsidR="00916053">
        <w:rPr>
          <w:rFonts w:ascii="Century Gothic" w:hAnsi="Century Gothic" w:cs="Arial"/>
          <w:spacing w:val="0"/>
          <w:szCs w:val="22"/>
        </w:rPr>
        <w:t>n</w:t>
      </w:r>
      <w:r w:rsidR="00605848">
        <w:rPr>
          <w:rFonts w:ascii="Century Gothic" w:hAnsi="Century Gothic" w:cs="Arial"/>
          <w:spacing w:val="0"/>
          <w:szCs w:val="22"/>
        </w:rPr>
        <w:t xml:space="preserve"> 1999, confirmada por la </w:t>
      </w:r>
      <w:r w:rsidR="00605848">
        <w:rPr>
          <w:rFonts w:ascii="Century Gothic" w:hAnsi="Century Gothic" w:cs="Arial"/>
          <w:spacing w:val="0"/>
          <w:szCs w:val="22"/>
        </w:rPr>
        <w:lastRenderedPageBreak/>
        <w:t>resolución</w:t>
      </w:r>
      <w:r w:rsidR="00916053">
        <w:rPr>
          <w:rFonts w:ascii="Century Gothic" w:hAnsi="Century Gothic" w:cs="Arial"/>
          <w:spacing w:val="0"/>
          <w:szCs w:val="22"/>
        </w:rPr>
        <w:t xml:space="preserve"> 6057 de 2005 (</w:t>
      </w:r>
      <w:proofErr w:type="spellStart"/>
      <w:r w:rsidR="00916053">
        <w:rPr>
          <w:rFonts w:ascii="Century Gothic" w:hAnsi="Century Gothic" w:cs="Arial"/>
          <w:spacing w:val="0"/>
          <w:szCs w:val="22"/>
        </w:rPr>
        <w:t>fls</w:t>
      </w:r>
      <w:proofErr w:type="spellEnd"/>
      <w:r w:rsidR="00916053">
        <w:rPr>
          <w:rFonts w:ascii="Century Gothic" w:hAnsi="Century Gothic" w:cs="Arial"/>
          <w:spacing w:val="0"/>
          <w:szCs w:val="22"/>
        </w:rPr>
        <w:t>. 115 a 118 C. 1).</w:t>
      </w:r>
    </w:p>
    <w:p w14:paraId="0086AAA8" w14:textId="77777777" w:rsidR="00916053" w:rsidRDefault="00916053" w:rsidP="000B225D">
      <w:pPr>
        <w:pStyle w:val="Prrafodelista"/>
        <w:ind w:firstLine="0"/>
        <w:rPr>
          <w:rFonts w:ascii="Century Gothic" w:hAnsi="Century Gothic" w:cs="Arial"/>
        </w:rPr>
      </w:pPr>
    </w:p>
    <w:p w14:paraId="494D8CA1" w14:textId="77777777" w:rsidR="00A7407C"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lang w:val="es-ES_tradnl"/>
        </w:rPr>
        <w:t>“</w:t>
      </w:r>
      <w:r w:rsidR="00A7407C" w:rsidRPr="00EE487F">
        <w:rPr>
          <w:rFonts w:ascii="Century Gothic" w:hAnsi="Century Gothic" w:cs="Arial"/>
          <w:b/>
          <w:i/>
          <w:spacing w:val="0"/>
          <w:szCs w:val="22"/>
          <w:lang w:val="es-ES_tradnl"/>
        </w:rPr>
        <w:t>L</w:t>
      </w:r>
      <w:r w:rsidR="00B62DF3" w:rsidRPr="00EE487F">
        <w:rPr>
          <w:rFonts w:ascii="Century Gothic" w:hAnsi="Century Gothic" w:cs="Arial"/>
          <w:b/>
          <w:i/>
          <w:spacing w:val="0"/>
          <w:szCs w:val="22"/>
        </w:rPr>
        <w:t>a prescripción de las acciones derivadas del contrato de seguros</w:t>
      </w:r>
      <w:r>
        <w:rPr>
          <w:rFonts w:ascii="Century Gothic" w:hAnsi="Century Gothic" w:cs="Arial"/>
          <w:spacing w:val="0"/>
          <w:szCs w:val="22"/>
        </w:rPr>
        <w:t>”</w:t>
      </w:r>
      <w:r w:rsidR="00A7407C" w:rsidRPr="00805117">
        <w:rPr>
          <w:rFonts w:ascii="Century Gothic" w:hAnsi="Century Gothic" w:cs="Arial"/>
          <w:spacing w:val="0"/>
          <w:szCs w:val="22"/>
        </w:rPr>
        <w:t>. Manifestó, en primer lugar, que, aun cuando el relleno fluido fue la causa determinante para la declaratoria de inestabilidad de la obra, el IDU no solo conocía sus efectos prácticos,</w:t>
      </w:r>
      <w:r w:rsidR="000613E8">
        <w:rPr>
          <w:rFonts w:ascii="Century Gothic" w:hAnsi="Century Gothic" w:cs="Arial"/>
          <w:spacing w:val="0"/>
          <w:szCs w:val="22"/>
        </w:rPr>
        <w:t xml:space="preserve"> en atención a los planes de manejo de tránsito y mitigación de impacto causado por obras del sistema Transmilenio,</w:t>
      </w:r>
      <w:r w:rsidR="00A7407C" w:rsidRPr="00805117">
        <w:rPr>
          <w:rFonts w:ascii="Century Gothic" w:hAnsi="Century Gothic" w:cs="Arial"/>
          <w:spacing w:val="0"/>
          <w:szCs w:val="22"/>
        </w:rPr>
        <w:t xml:space="preserve"> sino que así </w:t>
      </w:r>
      <w:r w:rsidR="000613E8">
        <w:rPr>
          <w:rFonts w:ascii="Century Gothic" w:hAnsi="Century Gothic" w:cs="Arial"/>
          <w:spacing w:val="0"/>
          <w:szCs w:val="22"/>
        </w:rPr>
        <w:t xml:space="preserve">debió haberlo tenido </w:t>
      </w:r>
      <w:r w:rsidR="00805117">
        <w:rPr>
          <w:rFonts w:ascii="Century Gothic" w:hAnsi="Century Gothic" w:cs="Arial"/>
          <w:spacing w:val="0"/>
          <w:szCs w:val="22"/>
        </w:rPr>
        <w:t>en cuenta</w:t>
      </w:r>
      <w:r w:rsidR="00A7407C" w:rsidRPr="00805117">
        <w:rPr>
          <w:rFonts w:ascii="Century Gothic" w:hAnsi="Century Gothic" w:cs="Arial"/>
          <w:spacing w:val="0"/>
          <w:szCs w:val="22"/>
        </w:rPr>
        <w:t xml:space="preserve"> durante la etapa precontractual</w:t>
      </w:r>
      <w:r w:rsidR="000613E8">
        <w:rPr>
          <w:rFonts w:ascii="Century Gothic" w:hAnsi="Century Gothic" w:cs="Arial"/>
          <w:spacing w:val="0"/>
          <w:szCs w:val="22"/>
        </w:rPr>
        <w:t xml:space="preserve"> y, es que si en todo caso los pasó por alto, lo cierto es que advirtió sus consecuencias prácticas desde marzo de 2001, cuando se comenzaron a presentar los daños en las losas de concreto, </w:t>
      </w:r>
      <w:r w:rsidR="00A7407C" w:rsidRPr="00805117">
        <w:rPr>
          <w:rFonts w:ascii="Century Gothic" w:hAnsi="Century Gothic" w:cs="Arial"/>
          <w:spacing w:val="0"/>
          <w:szCs w:val="22"/>
        </w:rPr>
        <w:t xml:space="preserve">y, a pesar </w:t>
      </w:r>
      <w:r w:rsidR="000613E8">
        <w:rPr>
          <w:rFonts w:ascii="Century Gothic" w:hAnsi="Century Gothic" w:cs="Arial"/>
          <w:spacing w:val="0"/>
          <w:szCs w:val="22"/>
        </w:rPr>
        <w:t xml:space="preserve">de </w:t>
      </w:r>
      <w:r w:rsidR="00A7407C" w:rsidRPr="00805117">
        <w:rPr>
          <w:rFonts w:ascii="Century Gothic" w:hAnsi="Century Gothic" w:cs="Arial"/>
          <w:spacing w:val="0"/>
          <w:szCs w:val="22"/>
        </w:rPr>
        <w:t>ello, en lugar de dar aviso de la ocurrencia del riesgo contractual –</w:t>
      </w:r>
      <w:r w:rsidR="000613E8">
        <w:rPr>
          <w:rFonts w:ascii="Century Gothic" w:hAnsi="Century Gothic" w:cs="Arial"/>
          <w:spacing w:val="0"/>
          <w:szCs w:val="22"/>
        </w:rPr>
        <w:t>omisión que</w:t>
      </w:r>
      <w:r w:rsidR="00A7407C" w:rsidRPr="00805117">
        <w:rPr>
          <w:rFonts w:ascii="Century Gothic" w:hAnsi="Century Gothic" w:cs="Arial"/>
          <w:spacing w:val="0"/>
          <w:szCs w:val="22"/>
        </w:rPr>
        <w:t xml:space="preserve">, dijo, </w:t>
      </w:r>
      <w:r w:rsidR="000613E8">
        <w:rPr>
          <w:rFonts w:ascii="Century Gothic" w:hAnsi="Century Gothic" w:cs="Arial"/>
          <w:spacing w:val="0"/>
          <w:szCs w:val="22"/>
        </w:rPr>
        <w:t xml:space="preserve">resultaba </w:t>
      </w:r>
      <w:r w:rsidR="00A7407C" w:rsidRPr="00805117">
        <w:rPr>
          <w:rFonts w:ascii="Century Gothic" w:hAnsi="Century Gothic" w:cs="Arial"/>
          <w:spacing w:val="0"/>
          <w:szCs w:val="22"/>
        </w:rPr>
        <w:t>l</w:t>
      </w:r>
      <w:r w:rsidR="000613E8">
        <w:rPr>
          <w:rFonts w:ascii="Century Gothic" w:hAnsi="Century Gothic" w:cs="Arial"/>
          <w:spacing w:val="0"/>
          <w:szCs w:val="22"/>
        </w:rPr>
        <w:t>ógica, en la medida en que los perjuicios de allí derivados</w:t>
      </w:r>
      <w:r w:rsidR="00A7407C" w:rsidRPr="00805117">
        <w:rPr>
          <w:rFonts w:ascii="Century Gothic" w:hAnsi="Century Gothic" w:cs="Arial"/>
          <w:spacing w:val="0"/>
          <w:szCs w:val="22"/>
        </w:rPr>
        <w:t xml:space="preserve"> </w:t>
      </w:r>
      <w:r w:rsidR="00605848">
        <w:rPr>
          <w:rFonts w:ascii="Century Gothic" w:hAnsi="Century Gothic" w:cs="Arial"/>
          <w:spacing w:val="0"/>
          <w:szCs w:val="22"/>
        </w:rPr>
        <w:t xml:space="preserve">le </w:t>
      </w:r>
      <w:r w:rsidR="00A7407C" w:rsidRPr="00805117">
        <w:rPr>
          <w:rFonts w:ascii="Century Gothic" w:hAnsi="Century Gothic" w:cs="Arial"/>
          <w:spacing w:val="0"/>
          <w:szCs w:val="22"/>
        </w:rPr>
        <w:t>era</w:t>
      </w:r>
      <w:r w:rsidR="00805117">
        <w:rPr>
          <w:rFonts w:ascii="Century Gothic" w:hAnsi="Century Gothic" w:cs="Arial"/>
          <w:spacing w:val="0"/>
          <w:szCs w:val="22"/>
        </w:rPr>
        <w:t>n</w:t>
      </w:r>
      <w:r w:rsidR="00A7407C" w:rsidRPr="00805117">
        <w:rPr>
          <w:rFonts w:ascii="Century Gothic" w:hAnsi="Century Gothic" w:cs="Arial"/>
          <w:spacing w:val="0"/>
          <w:szCs w:val="22"/>
        </w:rPr>
        <w:t xml:space="preserve"> imputable</w:t>
      </w:r>
      <w:r w:rsidR="00805117">
        <w:rPr>
          <w:rFonts w:ascii="Century Gothic" w:hAnsi="Century Gothic" w:cs="Arial"/>
          <w:spacing w:val="0"/>
          <w:szCs w:val="22"/>
        </w:rPr>
        <w:t>s</w:t>
      </w:r>
      <w:r w:rsidR="00A7407C" w:rsidRPr="00805117">
        <w:rPr>
          <w:rFonts w:ascii="Century Gothic" w:hAnsi="Century Gothic" w:cs="Arial"/>
          <w:spacing w:val="0"/>
          <w:szCs w:val="22"/>
        </w:rPr>
        <w:t xml:space="preserve">–, decidió esperar a la entrega de la obra para, entonces, declarar, como lo hizo, la ocurrencia del riesgo post contractual. </w:t>
      </w:r>
      <w:r w:rsidR="00C969A7">
        <w:rPr>
          <w:rFonts w:ascii="Century Gothic" w:hAnsi="Century Gothic" w:cs="Arial"/>
          <w:spacing w:val="0"/>
          <w:szCs w:val="22"/>
        </w:rPr>
        <w:t xml:space="preserve">De modo que, si </w:t>
      </w:r>
      <w:r w:rsidR="00A7407C" w:rsidRPr="00805117">
        <w:rPr>
          <w:rFonts w:ascii="Century Gothic" w:hAnsi="Century Gothic" w:cs="Arial"/>
          <w:spacing w:val="0"/>
          <w:szCs w:val="22"/>
        </w:rPr>
        <w:t>el hecho constitutivo del supuesto riesgo</w:t>
      </w:r>
      <w:r w:rsidR="00C969A7">
        <w:rPr>
          <w:rFonts w:ascii="Century Gothic" w:hAnsi="Century Gothic" w:cs="Arial"/>
          <w:spacing w:val="0"/>
          <w:szCs w:val="22"/>
        </w:rPr>
        <w:t xml:space="preserve"> fue </w:t>
      </w:r>
      <w:r w:rsidR="00A7407C" w:rsidRPr="00805117">
        <w:rPr>
          <w:rFonts w:ascii="Century Gothic" w:hAnsi="Century Gothic" w:cs="Arial"/>
          <w:spacing w:val="0"/>
          <w:szCs w:val="22"/>
        </w:rPr>
        <w:t>la</w:t>
      </w:r>
      <w:r w:rsidR="00605848">
        <w:rPr>
          <w:rFonts w:ascii="Century Gothic" w:hAnsi="Century Gothic" w:cs="Arial"/>
          <w:spacing w:val="0"/>
          <w:szCs w:val="22"/>
        </w:rPr>
        <w:t xml:space="preserve"> utilización del relleno fluido, lo cual </w:t>
      </w:r>
      <w:r w:rsidR="00A7407C" w:rsidRPr="00805117">
        <w:rPr>
          <w:rFonts w:ascii="Century Gothic" w:hAnsi="Century Gothic" w:cs="Arial"/>
          <w:spacing w:val="0"/>
          <w:szCs w:val="22"/>
        </w:rPr>
        <w:t xml:space="preserve">ocurrió el 22 de junio de 2000 o, en el mejor de los casos, </w:t>
      </w:r>
      <w:r w:rsidR="00805117" w:rsidRPr="00805117">
        <w:rPr>
          <w:rFonts w:ascii="Century Gothic" w:hAnsi="Century Gothic" w:cs="Arial"/>
          <w:spacing w:val="0"/>
          <w:szCs w:val="22"/>
        </w:rPr>
        <w:t>los daños en las losas de la obra, el término de dos años que establece el artículo 1081 del Cód. Com.</w:t>
      </w:r>
      <w:r w:rsidR="00805117">
        <w:rPr>
          <w:rFonts w:ascii="Century Gothic" w:hAnsi="Century Gothic" w:cs="Arial"/>
          <w:spacing w:val="0"/>
          <w:szCs w:val="22"/>
        </w:rPr>
        <w:t xml:space="preserve"> para la prescripción de la acción, ya había vencido para la época en la cual el IDU declaró la inestabilidad de la obra contratada a través de las re</w:t>
      </w:r>
      <w:r w:rsidR="00605848">
        <w:rPr>
          <w:rFonts w:ascii="Century Gothic" w:hAnsi="Century Gothic" w:cs="Arial"/>
          <w:spacing w:val="0"/>
          <w:szCs w:val="22"/>
        </w:rPr>
        <w:t>solución 1999, confirmada por la resolución</w:t>
      </w:r>
      <w:r w:rsidR="00805117">
        <w:rPr>
          <w:rFonts w:ascii="Century Gothic" w:hAnsi="Century Gothic" w:cs="Arial"/>
          <w:spacing w:val="0"/>
          <w:szCs w:val="22"/>
        </w:rPr>
        <w:t xml:space="preserve"> 6057 de 2005.</w:t>
      </w:r>
    </w:p>
    <w:p w14:paraId="3F18CCAA" w14:textId="77777777" w:rsidR="00805117" w:rsidRDefault="00805117" w:rsidP="000B225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35706256" w14:textId="77777777" w:rsidR="00B62DF3"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00805117" w:rsidRPr="00EE487F">
        <w:rPr>
          <w:rFonts w:ascii="Century Gothic" w:hAnsi="Century Gothic" w:cs="Arial"/>
          <w:b/>
          <w:i/>
          <w:spacing w:val="0"/>
          <w:szCs w:val="22"/>
        </w:rPr>
        <w:t>L</w:t>
      </w:r>
      <w:r w:rsidR="00B62DF3" w:rsidRPr="00EE487F">
        <w:rPr>
          <w:rFonts w:ascii="Century Gothic" w:hAnsi="Century Gothic" w:cs="Arial"/>
          <w:b/>
          <w:i/>
          <w:spacing w:val="0"/>
          <w:szCs w:val="22"/>
        </w:rPr>
        <w:t>a extinción del contrato de seguros</w:t>
      </w:r>
      <w:r>
        <w:rPr>
          <w:rFonts w:ascii="Century Gothic" w:hAnsi="Century Gothic" w:cs="Arial"/>
          <w:spacing w:val="0"/>
          <w:szCs w:val="22"/>
        </w:rPr>
        <w:t>”</w:t>
      </w:r>
      <w:r w:rsidR="00805117">
        <w:rPr>
          <w:rFonts w:ascii="Century Gothic" w:hAnsi="Century Gothic" w:cs="Arial"/>
          <w:spacing w:val="0"/>
          <w:szCs w:val="22"/>
        </w:rPr>
        <w:t xml:space="preserve">. Arguyó que, conforme a las aludidas resoluciones, la principal causa de </w:t>
      </w:r>
      <w:r w:rsidR="00D64B06">
        <w:rPr>
          <w:rFonts w:ascii="Century Gothic" w:hAnsi="Century Gothic" w:cs="Arial"/>
          <w:spacing w:val="0"/>
          <w:szCs w:val="22"/>
        </w:rPr>
        <w:t xml:space="preserve">la </w:t>
      </w:r>
      <w:r w:rsidR="00805117">
        <w:rPr>
          <w:rFonts w:ascii="Century Gothic" w:hAnsi="Century Gothic" w:cs="Arial"/>
          <w:spacing w:val="0"/>
          <w:szCs w:val="22"/>
        </w:rPr>
        <w:t xml:space="preserve">declaratoria de inestabilidad de la obra es la utilización del relleno de fluido en las losas; sin embargo, dijo, dicho fluido de relleno sólo se comenzó a utilizar tiempo después de iniciada la obra, por pacto entre los contratantes, sin que de ello se hubiera notificado a la aseguradora, razón </w:t>
      </w:r>
      <w:r w:rsidR="000613E8">
        <w:rPr>
          <w:rFonts w:ascii="Century Gothic" w:hAnsi="Century Gothic" w:cs="Arial"/>
          <w:spacing w:val="0"/>
          <w:szCs w:val="22"/>
        </w:rPr>
        <w:t xml:space="preserve">poderosa </w:t>
      </w:r>
      <w:r w:rsidR="00805117">
        <w:rPr>
          <w:rFonts w:ascii="Century Gothic" w:hAnsi="Century Gothic" w:cs="Arial"/>
          <w:spacing w:val="0"/>
          <w:szCs w:val="22"/>
        </w:rPr>
        <w:t xml:space="preserve">que, según </w:t>
      </w:r>
      <w:r w:rsidR="00F04CC1">
        <w:rPr>
          <w:rFonts w:ascii="Century Gothic" w:hAnsi="Century Gothic" w:cs="Arial"/>
          <w:spacing w:val="0"/>
          <w:szCs w:val="22"/>
        </w:rPr>
        <w:t>ésta</w:t>
      </w:r>
      <w:r w:rsidR="00805117">
        <w:rPr>
          <w:rFonts w:ascii="Century Gothic" w:hAnsi="Century Gothic" w:cs="Arial"/>
          <w:spacing w:val="0"/>
          <w:szCs w:val="22"/>
        </w:rPr>
        <w:t>, dio lugar a la terminación del contrato de seguros, por variación en las condiciones de los riesgos amparados (</w:t>
      </w:r>
      <w:proofErr w:type="spellStart"/>
      <w:r w:rsidR="00805117">
        <w:rPr>
          <w:rFonts w:ascii="Century Gothic" w:hAnsi="Century Gothic" w:cs="Arial"/>
          <w:spacing w:val="0"/>
          <w:szCs w:val="22"/>
        </w:rPr>
        <w:t>fls</w:t>
      </w:r>
      <w:proofErr w:type="spellEnd"/>
      <w:r w:rsidR="00805117">
        <w:rPr>
          <w:rFonts w:ascii="Century Gothic" w:hAnsi="Century Gothic" w:cs="Arial"/>
          <w:spacing w:val="0"/>
          <w:szCs w:val="22"/>
        </w:rPr>
        <w:t>. 122 y 123 C. 1).</w:t>
      </w:r>
    </w:p>
    <w:p w14:paraId="33794925" w14:textId="77777777" w:rsidR="00B62DF3" w:rsidRDefault="00B62DF3" w:rsidP="000B225D">
      <w:pPr>
        <w:pStyle w:val="Prrafodelista"/>
        <w:ind w:firstLine="0"/>
        <w:rPr>
          <w:rFonts w:ascii="Century Gothic" w:hAnsi="Century Gothic" w:cs="Arial"/>
        </w:rPr>
      </w:pPr>
    </w:p>
    <w:p w14:paraId="4EF7EA5B" w14:textId="77777777" w:rsidR="00B62DF3"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Pr="00EE487F">
        <w:rPr>
          <w:rFonts w:ascii="Century Gothic" w:hAnsi="Century Gothic" w:cs="Arial"/>
          <w:b/>
          <w:i/>
          <w:spacing w:val="0"/>
          <w:szCs w:val="22"/>
        </w:rPr>
        <w:t>L</w:t>
      </w:r>
      <w:r w:rsidR="00B62DF3" w:rsidRPr="00EE487F">
        <w:rPr>
          <w:rFonts w:ascii="Century Gothic" w:hAnsi="Century Gothic" w:cs="Arial"/>
          <w:b/>
          <w:i/>
          <w:spacing w:val="0"/>
          <w:szCs w:val="22"/>
        </w:rPr>
        <w:t>a invalidez del contrato de seguros por infracción de las garantías a cargo del IDU</w:t>
      </w:r>
      <w:r>
        <w:rPr>
          <w:rFonts w:ascii="Century Gothic" w:hAnsi="Century Gothic" w:cs="Arial"/>
          <w:spacing w:val="0"/>
          <w:szCs w:val="22"/>
        </w:rPr>
        <w:t>”</w:t>
      </w:r>
      <w:r w:rsidR="000613E8">
        <w:rPr>
          <w:rFonts w:ascii="Century Gothic" w:hAnsi="Century Gothic" w:cs="Arial"/>
          <w:spacing w:val="0"/>
          <w:szCs w:val="22"/>
        </w:rPr>
        <w:t xml:space="preserve">. </w:t>
      </w:r>
      <w:r w:rsidR="00C969A7">
        <w:rPr>
          <w:rFonts w:ascii="Century Gothic" w:hAnsi="Century Gothic" w:cs="Arial"/>
          <w:spacing w:val="0"/>
          <w:szCs w:val="22"/>
        </w:rPr>
        <w:t>Manifestó que, entre las condiciones ge</w:t>
      </w:r>
      <w:r w:rsidR="00D64B06">
        <w:rPr>
          <w:rFonts w:ascii="Century Gothic" w:hAnsi="Century Gothic" w:cs="Arial"/>
          <w:spacing w:val="0"/>
          <w:szCs w:val="22"/>
        </w:rPr>
        <w:t>nerales de la póliza de seguros</w:t>
      </w:r>
      <w:r w:rsidR="00C969A7">
        <w:rPr>
          <w:rFonts w:ascii="Century Gothic" w:hAnsi="Century Gothic" w:cs="Arial"/>
          <w:spacing w:val="0"/>
          <w:szCs w:val="22"/>
        </w:rPr>
        <w:t xml:space="preserve"> está la relacionada con la obligación de la entidad pública de ejercer estricto control sobre el desarrollo del contrato, la cual, en el hipotético caso de aceptar lo considerado en las resoluciones 1999 y 6057 de 2005, resultaba a todas luces incumplida, lo cual da lugar a que se declare el incumplimiento del contrato de seguros e impida hacer efectiva la póliza.</w:t>
      </w:r>
    </w:p>
    <w:p w14:paraId="17E67DB4" w14:textId="77777777" w:rsidR="00B62DF3" w:rsidRDefault="00B62DF3" w:rsidP="000B225D">
      <w:pPr>
        <w:pStyle w:val="Prrafodelista"/>
        <w:ind w:firstLine="0"/>
        <w:rPr>
          <w:rFonts w:ascii="Century Gothic" w:hAnsi="Century Gothic" w:cs="Arial"/>
        </w:rPr>
      </w:pPr>
    </w:p>
    <w:p w14:paraId="0071114D" w14:textId="77777777" w:rsidR="00B62DF3" w:rsidRDefault="00450F9D"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lastRenderedPageBreak/>
        <w:t xml:space="preserve"> “</w:t>
      </w:r>
      <w:r w:rsidR="00C969A7" w:rsidRPr="00EE487F">
        <w:rPr>
          <w:rFonts w:ascii="Century Gothic" w:hAnsi="Century Gothic" w:cs="Arial"/>
          <w:b/>
          <w:i/>
          <w:spacing w:val="0"/>
          <w:szCs w:val="22"/>
        </w:rPr>
        <w:t>L</w:t>
      </w:r>
      <w:r w:rsidR="00B62DF3" w:rsidRPr="00EE487F">
        <w:rPr>
          <w:rFonts w:ascii="Century Gothic" w:hAnsi="Century Gothic" w:cs="Arial"/>
          <w:b/>
          <w:i/>
          <w:spacing w:val="0"/>
          <w:szCs w:val="22"/>
        </w:rPr>
        <w:t>a inexistencia de una pérdida indemnizable</w:t>
      </w:r>
      <w:r>
        <w:rPr>
          <w:rFonts w:ascii="Century Gothic" w:hAnsi="Century Gothic" w:cs="Arial"/>
          <w:spacing w:val="0"/>
          <w:szCs w:val="22"/>
        </w:rPr>
        <w:t>”</w:t>
      </w:r>
      <w:r w:rsidR="00C969A7">
        <w:rPr>
          <w:rFonts w:ascii="Century Gothic" w:hAnsi="Century Gothic" w:cs="Arial"/>
          <w:spacing w:val="0"/>
          <w:szCs w:val="22"/>
        </w:rPr>
        <w:t xml:space="preserve">. </w:t>
      </w:r>
      <w:r w:rsidR="001764B3">
        <w:rPr>
          <w:rFonts w:ascii="Century Gothic" w:hAnsi="Century Gothic" w:cs="Arial"/>
          <w:spacing w:val="0"/>
          <w:szCs w:val="22"/>
        </w:rPr>
        <w:t xml:space="preserve">Afirmó que en el derecho de seguros es deber del asegurado demostrar la cuantía de la pérdida, sin pasar por alto que, si se desea incluir conceptos como el lucro cesante o valores de reposición o reemplazo, debe así </w:t>
      </w:r>
      <w:r w:rsidR="00F04CC1">
        <w:rPr>
          <w:rFonts w:ascii="Century Gothic" w:hAnsi="Century Gothic" w:cs="Arial"/>
          <w:spacing w:val="0"/>
          <w:szCs w:val="22"/>
        </w:rPr>
        <w:t>estar</w:t>
      </w:r>
      <w:r w:rsidR="001764B3">
        <w:rPr>
          <w:rFonts w:ascii="Century Gothic" w:hAnsi="Century Gothic" w:cs="Arial"/>
          <w:spacing w:val="0"/>
          <w:szCs w:val="22"/>
        </w:rPr>
        <w:t xml:space="preserve"> plenamente establecido en </w:t>
      </w:r>
      <w:r w:rsidR="00F04CC1">
        <w:rPr>
          <w:rFonts w:ascii="Century Gothic" w:hAnsi="Century Gothic" w:cs="Arial"/>
          <w:spacing w:val="0"/>
          <w:szCs w:val="22"/>
        </w:rPr>
        <w:t>la respectiva</w:t>
      </w:r>
      <w:r w:rsidR="001764B3">
        <w:rPr>
          <w:rFonts w:ascii="Century Gothic" w:hAnsi="Century Gothic" w:cs="Arial"/>
          <w:spacing w:val="0"/>
          <w:szCs w:val="22"/>
        </w:rPr>
        <w:t xml:space="preserve"> </w:t>
      </w:r>
      <w:r w:rsidR="00F04CC1">
        <w:rPr>
          <w:rFonts w:ascii="Century Gothic" w:hAnsi="Century Gothic" w:cs="Arial"/>
          <w:spacing w:val="0"/>
          <w:szCs w:val="22"/>
        </w:rPr>
        <w:t>póliza</w:t>
      </w:r>
      <w:r w:rsidR="001764B3">
        <w:rPr>
          <w:rFonts w:ascii="Century Gothic" w:hAnsi="Century Gothic" w:cs="Arial"/>
          <w:spacing w:val="0"/>
          <w:szCs w:val="22"/>
        </w:rPr>
        <w:t xml:space="preserve">. En el caso de las controversias, el IDU pretende que se paguen las losas nuevas que tuvieron que ser construidas para reemplazar </w:t>
      </w:r>
      <w:r w:rsidR="00F04CC1">
        <w:rPr>
          <w:rFonts w:ascii="Century Gothic" w:hAnsi="Century Gothic" w:cs="Arial"/>
          <w:spacing w:val="0"/>
          <w:szCs w:val="22"/>
        </w:rPr>
        <w:t>las</w:t>
      </w:r>
      <w:r w:rsidR="001764B3">
        <w:rPr>
          <w:rFonts w:ascii="Century Gothic" w:hAnsi="Century Gothic" w:cs="Arial"/>
          <w:spacing w:val="0"/>
          <w:szCs w:val="22"/>
        </w:rPr>
        <w:t xml:space="preserve"> destruidas; no obstante, ello no resulta procedente en la medida en que son técnicamente diferentes a aquellas pactadas para su construcción</w:t>
      </w:r>
      <w:r w:rsidR="00D64B06">
        <w:rPr>
          <w:rFonts w:ascii="Century Gothic" w:hAnsi="Century Gothic" w:cs="Arial"/>
          <w:spacing w:val="0"/>
          <w:szCs w:val="22"/>
        </w:rPr>
        <w:t>,</w:t>
      </w:r>
      <w:r w:rsidR="001764B3">
        <w:rPr>
          <w:rFonts w:ascii="Century Gothic" w:hAnsi="Century Gothic" w:cs="Arial"/>
          <w:spacing w:val="0"/>
          <w:szCs w:val="22"/>
        </w:rPr>
        <w:t xml:space="preserve"> de suerte que no puede pretender, a través de la declaratoria de ocurrencia del riesgo, subsanar los errores técnicos que cometió durante la ejecución contractual (</w:t>
      </w:r>
      <w:proofErr w:type="spellStart"/>
      <w:r w:rsidR="001764B3">
        <w:rPr>
          <w:rFonts w:ascii="Century Gothic" w:hAnsi="Century Gothic" w:cs="Arial"/>
          <w:spacing w:val="0"/>
          <w:szCs w:val="22"/>
        </w:rPr>
        <w:t>fls</w:t>
      </w:r>
      <w:proofErr w:type="spellEnd"/>
      <w:r w:rsidR="001764B3">
        <w:rPr>
          <w:rFonts w:ascii="Century Gothic" w:hAnsi="Century Gothic" w:cs="Arial"/>
          <w:spacing w:val="0"/>
          <w:szCs w:val="22"/>
        </w:rPr>
        <w:t xml:space="preserve">. 125 y 126 C. 1). </w:t>
      </w:r>
    </w:p>
    <w:p w14:paraId="0CB15F36" w14:textId="77777777" w:rsidR="00B62DF3" w:rsidRDefault="00B62DF3" w:rsidP="000B225D">
      <w:pPr>
        <w:pStyle w:val="Prrafodelista"/>
        <w:ind w:firstLine="0"/>
        <w:rPr>
          <w:rFonts w:ascii="Century Gothic" w:hAnsi="Century Gothic" w:cs="Arial"/>
        </w:rPr>
      </w:pPr>
    </w:p>
    <w:p w14:paraId="0B9E62DA" w14:textId="77777777" w:rsidR="00F96092" w:rsidRPr="00B62DF3" w:rsidRDefault="00B62DF3" w:rsidP="000B225D">
      <w:pPr>
        <w:pStyle w:val="BodyText28"/>
        <w:numPr>
          <w:ilvl w:val="0"/>
          <w:numId w:val="4"/>
        </w:numPr>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left="0" w:right="20" w:firstLine="0"/>
        <w:textAlignment w:val="auto"/>
        <w:rPr>
          <w:rFonts w:ascii="Century Gothic" w:hAnsi="Century Gothic" w:cs="Arial"/>
          <w:spacing w:val="0"/>
          <w:szCs w:val="22"/>
        </w:rPr>
      </w:pPr>
      <w:r>
        <w:rPr>
          <w:rFonts w:ascii="Century Gothic" w:hAnsi="Century Gothic" w:cs="Arial"/>
          <w:spacing w:val="0"/>
          <w:szCs w:val="22"/>
        </w:rPr>
        <w:t>“</w:t>
      </w:r>
      <w:r w:rsidR="00EE487F" w:rsidRPr="00EE487F">
        <w:rPr>
          <w:rFonts w:ascii="Century Gothic" w:hAnsi="Century Gothic" w:cs="Arial"/>
          <w:b/>
          <w:spacing w:val="0"/>
          <w:szCs w:val="22"/>
        </w:rPr>
        <w:t>El</w:t>
      </w:r>
      <w:r w:rsidR="00EE487F" w:rsidRPr="00EE487F">
        <w:rPr>
          <w:rFonts w:ascii="Century Gothic" w:hAnsi="Century Gothic" w:cs="Arial"/>
          <w:b/>
          <w:i/>
          <w:spacing w:val="0"/>
          <w:szCs w:val="22"/>
        </w:rPr>
        <w:t xml:space="preserve"> </w:t>
      </w:r>
      <w:r w:rsidRPr="00EE487F">
        <w:rPr>
          <w:rFonts w:ascii="Century Gothic" w:hAnsi="Century Gothic" w:cs="Arial"/>
          <w:b/>
          <w:i/>
          <w:spacing w:val="0"/>
          <w:szCs w:val="22"/>
        </w:rPr>
        <w:t>desconocimiento del debido proceso y del derecho de defensa</w:t>
      </w:r>
      <w:r>
        <w:rPr>
          <w:rFonts w:ascii="Century Gothic" w:hAnsi="Century Gothic" w:cs="Arial"/>
          <w:spacing w:val="0"/>
          <w:szCs w:val="22"/>
        </w:rPr>
        <w:t>”</w:t>
      </w:r>
      <w:r w:rsidR="001764B3">
        <w:rPr>
          <w:rFonts w:ascii="Century Gothic" w:hAnsi="Century Gothic" w:cs="Arial"/>
          <w:spacing w:val="0"/>
          <w:szCs w:val="22"/>
        </w:rPr>
        <w:t>. Afirmó que las resoluciones 1999 y 6057 de 2005</w:t>
      </w:r>
      <w:r w:rsidR="001764B3" w:rsidRPr="00B62DF3">
        <w:rPr>
          <w:rFonts w:ascii="Century Gothic" w:hAnsi="Century Gothic" w:cs="Arial"/>
          <w:spacing w:val="0"/>
          <w:szCs w:val="22"/>
        </w:rPr>
        <w:t xml:space="preserve"> </w:t>
      </w:r>
      <w:r w:rsidR="001764B3">
        <w:rPr>
          <w:rFonts w:ascii="Century Gothic" w:hAnsi="Century Gothic" w:cs="Arial"/>
          <w:spacing w:val="0"/>
          <w:szCs w:val="22"/>
        </w:rPr>
        <w:t xml:space="preserve">se basaron principalmente en el estudio que el IDU solicitó a la Universidad Nacional, que evidenciara las falencias en las que se había incurrido durante el desarrollo del contrato de obra, sin que se hubiera convocado a CONFIANZA S.A. para que solicitara las aclaraciones que considerara pertinentes o, al menos, controvirtiera aquello con lo que no estuviera de acuerdo, lo cual pone en evidencia la </w:t>
      </w:r>
      <w:r w:rsidR="00450F9D">
        <w:rPr>
          <w:rFonts w:ascii="Century Gothic" w:hAnsi="Century Gothic" w:cs="Arial"/>
          <w:spacing w:val="0"/>
          <w:szCs w:val="22"/>
        </w:rPr>
        <w:t xml:space="preserve">gravedad de las decisiones adoptadas </w:t>
      </w:r>
      <w:r w:rsidR="00AA2911" w:rsidRPr="00B62DF3">
        <w:rPr>
          <w:rFonts w:ascii="Century Gothic" w:hAnsi="Century Gothic" w:cs="Arial"/>
          <w:spacing w:val="0"/>
          <w:szCs w:val="22"/>
        </w:rPr>
        <w:t>(</w:t>
      </w:r>
      <w:proofErr w:type="spellStart"/>
      <w:r w:rsidR="00AA2911" w:rsidRPr="00B62DF3">
        <w:rPr>
          <w:rFonts w:ascii="Century Gothic" w:hAnsi="Century Gothic" w:cs="Arial"/>
          <w:spacing w:val="0"/>
          <w:szCs w:val="22"/>
        </w:rPr>
        <w:t>fls</w:t>
      </w:r>
      <w:proofErr w:type="spellEnd"/>
      <w:r w:rsidR="00AA2911" w:rsidRPr="00B62DF3">
        <w:rPr>
          <w:rFonts w:ascii="Century Gothic" w:hAnsi="Century Gothic" w:cs="Arial"/>
          <w:spacing w:val="0"/>
          <w:szCs w:val="22"/>
        </w:rPr>
        <w:t xml:space="preserve">. </w:t>
      </w:r>
      <w:r w:rsidR="00450F9D">
        <w:rPr>
          <w:rFonts w:ascii="Century Gothic" w:hAnsi="Century Gothic" w:cs="Arial"/>
          <w:spacing w:val="0"/>
          <w:szCs w:val="22"/>
        </w:rPr>
        <w:t>126 y</w:t>
      </w:r>
      <w:r w:rsidR="00AA2911" w:rsidRPr="00B62DF3">
        <w:rPr>
          <w:rFonts w:ascii="Century Gothic" w:hAnsi="Century Gothic" w:cs="Arial"/>
          <w:spacing w:val="0"/>
          <w:szCs w:val="22"/>
        </w:rPr>
        <w:t xml:space="preserve"> </w:t>
      </w:r>
      <w:r w:rsidR="00AF36AC" w:rsidRPr="00B62DF3">
        <w:rPr>
          <w:rFonts w:ascii="Century Gothic" w:hAnsi="Century Gothic" w:cs="Arial"/>
          <w:spacing w:val="0"/>
          <w:szCs w:val="22"/>
        </w:rPr>
        <w:t>127 C. 1)</w:t>
      </w:r>
      <w:r w:rsidR="00F96092" w:rsidRPr="00B62DF3">
        <w:rPr>
          <w:rFonts w:ascii="Century Gothic" w:hAnsi="Century Gothic" w:cs="Arial"/>
          <w:spacing w:val="0"/>
          <w:szCs w:val="22"/>
        </w:rPr>
        <w:t>.</w:t>
      </w:r>
    </w:p>
    <w:p w14:paraId="56430811" w14:textId="77777777" w:rsidR="00F96092" w:rsidRDefault="00F96092"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cs="Arial"/>
          <w:spacing w:val="0"/>
          <w:szCs w:val="22"/>
        </w:rPr>
      </w:pPr>
    </w:p>
    <w:p w14:paraId="64996594" w14:textId="77777777" w:rsidR="00F545D9" w:rsidRPr="00F545D9" w:rsidRDefault="00F96092" w:rsidP="00F545D9">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ascii="Century Gothic" w:hAnsi="Century Gothic"/>
          <w:szCs w:val="22"/>
        </w:rPr>
      </w:pPr>
      <w:r w:rsidRPr="00AF36AC">
        <w:rPr>
          <w:rFonts w:ascii="Century Gothic" w:hAnsi="Century Gothic" w:cs="Arial"/>
          <w:spacing w:val="0"/>
          <w:szCs w:val="22"/>
        </w:rPr>
        <w:t xml:space="preserve">Asimismo, solicitó la suspensión del proceso, </w:t>
      </w:r>
      <w:r w:rsidR="0078340E">
        <w:rPr>
          <w:rFonts w:ascii="Century Gothic" w:hAnsi="Century Gothic" w:cs="Arial"/>
          <w:spacing w:val="0"/>
          <w:szCs w:val="22"/>
        </w:rPr>
        <w:t>por cuanto</w:t>
      </w:r>
      <w:r w:rsidRPr="00AF36AC">
        <w:rPr>
          <w:rFonts w:ascii="Century Gothic" w:hAnsi="Century Gothic" w:cs="Arial"/>
          <w:spacing w:val="0"/>
          <w:szCs w:val="22"/>
        </w:rPr>
        <w:t xml:space="preserve"> </w:t>
      </w:r>
      <w:r w:rsidR="00472B58" w:rsidRPr="00AF36AC">
        <w:rPr>
          <w:rFonts w:ascii="Century Gothic" w:hAnsi="Century Gothic" w:cs="Arial"/>
          <w:spacing w:val="0"/>
          <w:szCs w:val="22"/>
        </w:rPr>
        <w:t>estaba</w:t>
      </w:r>
      <w:r w:rsidR="00472B58">
        <w:rPr>
          <w:rFonts w:ascii="Century Gothic" w:hAnsi="Century Gothic" w:cs="Arial"/>
          <w:spacing w:val="0"/>
          <w:szCs w:val="22"/>
        </w:rPr>
        <w:t>n</w:t>
      </w:r>
      <w:r w:rsidRPr="00AF36AC">
        <w:rPr>
          <w:rFonts w:ascii="Century Gothic" w:hAnsi="Century Gothic" w:cs="Arial"/>
          <w:spacing w:val="0"/>
          <w:szCs w:val="22"/>
        </w:rPr>
        <w:t xml:space="preserve"> en curso dos  demandas de </w:t>
      </w:r>
      <w:r w:rsidR="00AF36AC" w:rsidRPr="00AF36AC">
        <w:rPr>
          <w:rFonts w:ascii="Century Gothic" w:hAnsi="Century Gothic" w:cs="Arial"/>
          <w:spacing w:val="0"/>
          <w:szCs w:val="22"/>
        </w:rPr>
        <w:t>controversias contractuales</w:t>
      </w:r>
      <w:r w:rsidR="00AA2911" w:rsidRPr="00AF36AC">
        <w:rPr>
          <w:rFonts w:ascii="Century Gothic" w:hAnsi="Century Gothic" w:cs="Arial"/>
          <w:spacing w:val="0"/>
          <w:szCs w:val="22"/>
        </w:rPr>
        <w:t>,</w:t>
      </w:r>
      <w:r w:rsidRPr="00AF36AC">
        <w:rPr>
          <w:rFonts w:ascii="Century Gothic" w:hAnsi="Century Gothic" w:cs="Arial"/>
          <w:spacing w:val="0"/>
          <w:szCs w:val="22"/>
        </w:rPr>
        <w:t xml:space="preserve"> promovidas por CONFIANZA S.A. y CONCIVILES S.A.</w:t>
      </w:r>
      <w:r w:rsidR="002B693D">
        <w:rPr>
          <w:rFonts w:ascii="Century Gothic" w:hAnsi="Century Gothic" w:cs="Arial"/>
          <w:spacing w:val="0"/>
          <w:szCs w:val="22"/>
        </w:rPr>
        <w:t xml:space="preserve">, que persiguen la nulidad de </w:t>
      </w:r>
      <w:r w:rsidR="0078340E">
        <w:rPr>
          <w:rFonts w:ascii="Century Gothic" w:hAnsi="Century Gothic" w:cs="Arial"/>
          <w:spacing w:val="0"/>
          <w:szCs w:val="22"/>
        </w:rPr>
        <w:t xml:space="preserve">las resoluciones </w:t>
      </w:r>
      <w:r w:rsidRPr="00AF36AC">
        <w:rPr>
          <w:rFonts w:ascii="Century Gothic" w:hAnsi="Century Gothic" w:cs="Tahoma"/>
          <w:szCs w:val="22"/>
        </w:rPr>
        <w:t>1999 y 6057 de 2005</w:t>
      </w:r>
      <w:r w:rsidR="000A586B">
        <w:rPr>
          <w:rFonts w:ascii="Century Gothic" w:hAnsi="Century Gothic" w:cs="Tahoma"/>
          <w:szCs w:val="22"/>
        </w:rPr>
        <w:t xml:space="preserve">, </w:t>
      </w:r>
      <w:r w:rsidR="002B693D">
        <w:rPr>
          <w:rFonts w:ascii="Century Gothic" w:hAnsi="Century Gothic" w:cs="Tahoma"/>
          <w:szCs w:val="22"/>
        </w:rPr>
        <w:t>(</w:t>
      </w:r>
      <w:r w:rsidR="000A586B">
        <w:rPr>
          <w:rFonts w:ascii="Century Gothic" w:hAnsi="Century Gothic" w:cs="Tahoma"/>
          <w:szCs w:val="22"/>
        </w:rPr>
        <w:t>fundamento del título ejecutivo que se pretende hacer valer en el proceso de la referencia</w:t>
      </w:r>
      <w:r w:rsidR="002B693D">
        <w:rPr>
          <w:rFonts w:ascii="Century Gothic" w:hAnsi="Century Gothic" w:cs="Tahoma"/>
          <w:szCs w:val="22"/>
        </w:rPr>
        <w:t>)</w:t>
      </w:r>
      <w:r w:rsidR="00AA2911" w:rsidRPr="00AF36AC">
        <w:rPr>
          <w:rFonts w:ascii="Century Gothic" w:hAnsi="Century Gothic" w:cs="Tahoma"/>
          <w:szCs w:val="22"/>
        </w:rPr>
        <w:t>. Para los efectos pertinentes, adjuntó copia de las aludidas demandas</w:t>
      </w:r>
      <w:r w:rsidR="0078340E">
        <w:rPr>
          <w:rFonts w:ascii="Century Gothic" w:hAnsi="Century Gothic" w:cs="Tahoma"/>
          <w:szCs w:val="22"/>
        </w:rPr>
        <w:t>,</w:t>
      </w:r>
      <w:r w:rsidR="00AA2911" w:rsidRPr="00AF36AC">
        <w:rPr>
          <w:rFonts w:ascii="Century Gothic" w:hAnsi="Century Gothic" w:cs="Tahoma"/>
          <w:szCs w:val="22"/>
        </w:rPr>
        <w:t xml:space="preserve"> en las que consta un sello de</w:t>
      </w:r>
      <w:r w:rsidR="00AA2911">
        <w:rPr>
          <w:rFonts w:ascii="Century Gothic" w:hAnsi="Century Gothic" w:cs="Tahoma"/>
          <w:szCs w:val="22"/>
        </w:rPr>
        <w:t xml:space="preserve"> radicación de autoridad judicial (</w:t>
      </w:r>
      <w:proofErr w:type="spellStart"/>
      <w:r w:rsidR="00AA2911">
        <w:rPr>
          <w:rFonts w:ascii="Century Gothic" w:hAnsi="Century Gothic" w:cs="Tahoma"/>
          <w:szCs w:val="22"/>
        </w:rPr>
        <w:t>fls</w:t>
      </w:r>
      <w:proofErr w:type="spellEnd"/>
      <w:r w:rsidR="00AA2911">
        <w:rPr>
          <w:rFonts w:ascii="Century Gothic" w:hAnsi="Century Gothic" w:cs="Tahoma"/>
          <w:szCs w:val="22"/>
        </w:rPr>
        <w:t>. 27 a 90 C. 1)</w:t>
      </w:r>
      <w:r>
        <w:rPr>
          <w:rFonts w:ascii="Century Gothic" w:hAnsi="Century Gothic" w:cs="Tahoma"/>
          <w:szCs w:val="22"/>
        </w:rPr>
        <w:t>.</w:t>
      </w:r>
    </w:p>
    <w:p w14:paraId="6BDAC86A" w14:textId="77777777" w:rsidR="004A634A" w:rsidRDefault="004A634A" w:rsidP="008B6BDF">
      <w:pPr>
        <w:spacing w:line="360" w:lineRule="auto"/>
        <w:jc w:val="both"/>
        <w:rPr>
          <w:rFonts w:ascii="Century Gothic" w:hAnsi="Century Gothic"/>
          <w:sz w:val="22"/>
          <w:szCs w:val="22"/>
        </w:rPr>
      </w:pPr>
    </w:p>
    <w:p w14:paraId="434768B1" w14:textId="77777777" w:rsidR="00AF36AC" w:rsidRDefault="0078340E" w:rsidP="008B6BDF">
      <w:pPr>
        <w:spacing w:line="360" w:lineRule="auto"/>
        <w:jc w:val="both"/>
        <w:rPr>
          <w:rFonts w:ascii="Century Gothic" w:hAnsi="Century Gothic"/>
          <w:b/>
          <w:sz w:val="22"/>
          <w:szCs w:val="22"/>
        </w:rPr>
      </w:pPr>
      <w:r>
        <w:rPr>
          <w:rFonts w:ascii="Century Gothic" w:hAnsi="Century Gothic"/>
          <w:b/>
          <w:sz w:val="22"/>
          <w:szCs w:val="22"/>
        </w:rPr>
        <w:t xml:space="preserve">3.- </w:t>
      </w:r>
      <w:r w:rsidR="00AF36AC">
        <w:rPr>
          <w:rFonts w:ascii="Century Gothic" w:hAnsi="Century Gothic"/>
          <w:b/>
          <w:sz w:val="22"/>
          <w:szCs w:val="22"/>
        </w:rPr>
        <w:t xml:space="preserve">Suspensión </w:t>
      </w:r>
      <w:r w:rsidR="00AF36AC" w:rsidRPr="00AF36AC">
        <w:rPr>
          <w:rFonts w:ascii="Century Gothic" w:hAnsi="Century Gothic"/>
          <w:b/>
          <w:sz w:val="22"/>
          <w:szCs w:val="22"/>
        </w:rPr>
        <w:t>del proceso.</w:t>
      </w:r>
    </w:p>
    <w:p w14:paraId="25883494" w14:textId="77777777" w:rsidR="00AF36AC" w:rsidRDefault="00AF36AC" w:rsidP="008B6BDF">
      <w:pPr>
        <w:spacing w:line="360" w:lineRule="auto"/>
        <w:jc w:val="both"/>
        <w:rPr>
          <w:rFonts w:ascii="Century Gothic" w:hAnsi="Century Gothic"/>
          <w:b/>
          <w:sz w:val="22"/>
          <w:szCs w:val="22"/>
        </w:rPr>
      </w:pPr>
    </w:p>
    <w:p w14:paraId="7555E947" w14:textId="77777777" w:rsidR="00AF36AC" w:rsidRDefault="00AF36AC" w:rsidP="008B6BDF">
      <w:pPr>
        <w:spacing w:line="360" w:lineRule="auto"/>
        <w:jc w:val="both"/>
        <w:rPr>
          <w:rFonts w:ascii="Century Gothic" w:hAnsi="Century Gothic"/>
          <w:sz w:val="22"/>
          <w:szCs w:val="22"/>
        </w:rPr>
      </w:pPr>
      <w:r w:rsidRPr="00AF36AC">
        <w:rPr>
          <w:rFonts w:ascii="Century Gothic" w:hAnsi="Century Gothic"/>
          <w:sz w:val="22"/>
          <w:szCs w:val="22"/>
        </w:rPr>
        <w:t>Me</w:t>
      </w:r>
      <w:r>
        <w:rPr>
          <w:rFonts w:ascii="Century Gothic" w:hAnsi="Century Gothic"/>
          <w:sz w:val="22"/>
          <w:szCs w:val="22"/>
        </w:rPr>
        <w:t>diante auto de</w:t>
      </w:r>
      <w:r w:rsidR="0078340E">
        <w:rPr>
          <w:rFonts w:ascii="Century Gothic" w:hAnsi="Century Gothic"/>
          <w:sz w:val="22"/>
          <w:szCs w:val="22"/>
        </w:rPr>
        <w:t xml:space="preserve">l 15 de noviembre de 2006, el a </w:t>
      </w:r>
      <w:r>
        <w:rPr>
          <w:rFonts w:ascii="Century Gothic" w:hAnsi="Century Gothic"/>
          <w:sz w:val="22"/>
          <w:szCs w:val="22"/>
        </w:rPr>
        <w:t xml:space="preserve">quo suspendió el proceso de la referencia, al constatar lo dicho por el demandante, esto es, que </w:t>
      </w:r>
      <w:r w:rsidR="007504EB">
        <w:rPr>
          <w:rFonts w:ascii="Century Gothic" w:hAnsi="Century Gothic"/>
          <w:sz w:val="22"/>
          <w:szCs w:val="22"/>
        </w:rPr>
        <w:t xml:space="preserve">cursaban </w:t>
      </w:r>
      <w:r>
        <w:rPr>
          <w:rFonts w:ascii="Century Gothic" w:hAnsi="Century Gothic"/>
          <w:sz w:val="22"/>
          <w:szCs w:val="22"/>
        </w:rPr>
        <w:t>dos demandas de controversias contractuales</w:t>
      </w:r>
      <w:r w:rsidR="007504EB">
        <w:rPr>
          <w:rFonts w:ascii="Century Gothic" w:hAnsi="Century Gothic"/>
          <w:sz w:val="22"/>
          <w:szCs w:val="22"/>
        </w:rPr>
        <w:t xml:space="preserve"> en</w:t>
      </w:r>
      <w:r w:rsidR="0078340E">
        <w:rPr>
          <w:rFonts w:ascii="Century Gothic" w:hAnsi="Century Gothic"/>
          <w:sz w:val="22"/>
          <w:szCs w:val="22"/>
        </w:rPr>
        <w:t xml:space="preserve"> el</w:t>
      </w:r>
      <w:r w:rsidR="007504EB">
        <w:rPr>
          <w:rFonts w:ascii="Century Gothic" w:hAnsi="Century Gothic"/>
          <w:sz w:val="22"/>
          <w:szCs w:val="22"/>
        </w:rPr>
        <w:t xml:space="preserve"> Tri</w:t>
      </w:r>
      <w:r w:rsidR="0078340E">
        <w:rPr>
          <w:rFonts w:ascii="Century Gothic" w:hAnsi="Century Gothic"/>
          <w:sz w:val="22"/>
          <w:szCs w:val="22"/>
        </w:rPr>
        <w:t xml:space="preserve">bunal </w:t>
      </w:r>
      <w:r w:rsidR="007504EB">
        <w:rPr>
          <w:rFonts w:ascii="Century Gothic" w:hAnsi="Century Gothic"/>
          <w:sz w:val="22"/>
          <w:szCs w:val="22"/>
        </w:rPr>
        <w:t>Administrativo de Cundinamarca</w:t>
      </w:r>
      <w:r>
        <w:rPr>
          <w:rFonts w:ascii="Century Gothic" w:hAnsi="Century Gothic"/>
          <w:sz w:val="22"/>
          <w:szCs w:val="22"/>
        </w:rPr>
        <w:t>, cuyas pretensiones estaban orientadas a obtener la declaratoria de nulidad de las resoluciones que fundamentan el título que sirve de base</w:t>
      </w:r>
      <w:r w:rsidR="0078340E">
        <w:rPr>
          <w:rFonts w:ascii="Century Gothic" w:hAnsi="Century Gothic"/>
          <w:sz w:val="22"/>
          <w:szCs w:val="22"/>
        </w:rPr>
        <w:t xml:space="preserve"> de ejecución</w:t>
      </w:r>
      <w:r>
        <w:rPr>
          <w:rFonts w:ascii="Century Gothic" w:hAnsi="Century Gothic"/>
          <w:sz w:val="22"/>
          <w:szCs w:val="22"/>
        </w:rPr>
        <w:t xml:space="preserve"> en el proceso de la referencia (</w:t>
      </w:r>
      <w:proofErr w:type="spellStart"/>
      <w:r>
        <w:rPr>
          <w:rFonts w:ascii="Century Gothic" w:hAnsi="Century Gothic"/>
          <w:sz w:val="22"/>
          <w:szCs w:val="22"/>
        </w:rPr>
        <w:t>fls</w:t>
      </w:r>
      <w:proofErr w:type="spellEnd"/>
      <w:r>
        <w:rPr>
          <w:rFonts w:ascii="Century Gothic" w:hAnsi="Century Gothic"/>
          <w:sz w:val="22"/>
          <w:szCs w:val="22"/>
        </w:rPr>
        <w:t>. 134 a 136 C. 1)</w:t>
      </w:r>
      <w:r w:rsidR="007504EB">
        <w:rPr>
          <w:rFonts w:ascii="Century Gothic" w:hAnsi="Century Gothic"/>
          <w:sz w:val="22"/>
          <w:szCs w:val="22"/>
        </w:rPr>
        <w:t>.</w:t>
      </w:r>
    </w:p>
    <w:p w14:paraId="7BE34EFC" w14:textId="77777777" w:rsidR="0078340E" w:rsidRDefault="0078340E" w:rsidP="008B6BDF">
      <w:pPr>
        <w:spacing w:line="360" w:lineRule="auto"/>
        <w:jc w:val="both"/>
        <w:rPr>
          <w:rFonts w:ascii="Century Gothic" w:hAnsi="Century Gothic"/>
          <w:sz w:val="22"/>
          <w:szCs w:val="22"/>
        </w:rPr>
      </w:pPr>
    </w:p>
    <w:p w14:paraId="5A5A2609" w14:textId="77777777" w:rsidR="00F362A8" w:rsidRDefault="0078340E" w:rsidP="008B6BDF">
      <w:pPr>
        <w:spacing w:line="360" w:lineRule="auto"/>
        <w:jc w:val="both"/>
        <w:rPr>
          <w:rFonts w:ascii="Century Gothic" w:hAnsi="Century Gothic"/>
          <w:sz w:val="22"/>
          <w:szCs w:val="22"/>
        </w:rPr>
      </w:pPr>
      <w:r>
        <w:rPr>
          <w:rFonts w:ascii="Century Gothic" w:hAnsi="Century Gothic"/>
          <w:sz w:val="22"/>
          <w:szCs w:val="22"/>
        </w:rPr>
        <w:t>Por</w:t>
      </w:r>
      <w:r w:rsidR="00F362A8">
        <w:rPr>
          <w:rFonts w:ascii="Century Gothic" w:hAnsi="Century Gothic"/>
          <w:sz w:val="22"/>
          <w:szCs w:val="22"/>
        </w:rPr>
        <w:t xml:space="preserve"> auto del 19 de mayo de 2010, el Tribunal reanudó el trámite del proceso, como lo ordena el artículo 172 del C. de P.C., al estimar vencidos los tres (3) años contados </w:t>
      </w:r>
      <w:r w:rsidR="00F362A8">
        <w:rPr>
          <w:rFonts w:ascii="Century Gothic" w:hAnsi="Century Gothic"/>
          <w:sz w:val="22"/>
          <w:szCs w:val="22"/>
        </w:rPr>
        <w:lastRenderedPageBreak/>
        <w:t>desde cuando quedó ejecutoriada la providencia por la cual se había decretado la suspensión (</w:t>
      </w:r>
      <w:proofErr w:type="spellStart"/>
      <w:r w:rsidR="00F362A8">
        <w:rPr>
          <w:rFonts w:ascii="Century Gothic" w:hAnsi="Century Gothic"/>
          <w:sz w:val="22"/>
          <w:szCs w:val="22"/>
        </w:rPr>
        <w:t>fls</w:t>
      </w:r>
      <w:proofErr w:type="spellEnd"/>
      <w:r w:rsidR="00F362A8">
        <w:rPr>
          <w:rFonts w:ascii="Century Gothic" w:hAnsi="Century Gothic"/>
          <w:sz w:val="22"/>
          <w:szCs w:val="22"/>
        </w:rPr>
        <w:t>. 146 y 147 C. 1).</w:t>
      </w:r>
    </w:p>
    <w:p w14:paraId="4F721749" w14:textId="77777777" w:rsidR="00163103" w:rsidRDefault="00163103" w:rsidP="008B6BDF">
      <w:pPr>
        <w:spacing w:line="360" w:lineRule="auto"/>
        <w:jc w:val="both"/>
        <w:rPr>
          <w:rFonts w:ascii="Century Gothic" w:hAnsi="Century Gothic"/>
          <w:sz w:val="22"/>
          <w:szCs w:val="22"/>
        </w:rPr>
      </w:pPr>
    </w:p>
    <w:p w14:paraId="66F43A90" w14:textId="77777777" w:rsidR="00B2658B" w:rsidRPr="00B2658B" w:rsidRDefault="0078340E" w:rsidP="008B6BDF">
      <w:pPr>
        <w:spacing w:line="360" w:lineRule="auto"/>
        <w:jc w:val="both"/>
        <w:rPr>
          <w:rFonts w:ascii="Century Gothic" w:hAnsi="Century Gothic"/>
          <w:b/>
          <w:sz w:val="22"/>
          <w:szCs w:val="22"/>
        </w:rPr>
      </w:pPr>
      <w:r>
        <w:rPr>
          <w:rFonts w:ascii="Century Gothic" w:hAnsi="Century Gothic"/>
          <w:b/>
          <w:sz w:val="22"/>
          <w:szCs w:val="22"/>
        </w:rPr>
        <w:t xml:space="preserve">4.- </w:t>
      </w:r>
      <w:r w:rsidR="00B2658B" w:rsidRPr="00B2658B">
        <w:rPr>
          <w:rFonts w:ascii="Century Gothic" w:hAnsi="Century Gothic"/>
          <w:b/>
          <w:sz w:val="22"/>
          <w:szCs w:val="22"/>
        </w:rPr>
        <w:t>Pruebas.</w:t>
      </w:r>
    </w:p>
    <w:p w14:paraId="4277877F" w14:textId="77777777" w:rsidR="00AF36AC" w:rsidRDefault="00AF36AC" w:rsidP="008B6BDF">
      <w:pPr>
        <w:spacing w:line="360" w:lineRule="auto"/>
        <w:jc w:val="both"/>
        <w:rPr>
          <w:rFonts w:ascii="Century Gothic" w:hAnsi="Century Gothic"/>
          <w:sz w:val="22"/>
          <w:szCs w:val="22"/>
        </w:rPr>
      </w:pPr>
    </w:p>
    <w:p w14:paraId="7E95DD2A" w14:textId="77777777" w:rsidR="00B2658B" w:rsidRDefault="00B2658B" w:rsidP="008B6BDF">
      <w:pPr>
        <w:spacing w:line="360" w:lineRule="auto"/>
        <w:jc w:val="both"/>
        <w:rPr>
          <w:rFonts w:ascii="Century Gothic" w:hAnsi="Century Gothic"/>
          <w:sz w:val="22"/>
          <w:szCs w:val="22"/>
        </w:rPr>
      </w:pPr>
      <w:r>
        <w:rPr>
          <w:rFonts w:ascii="Century Gothic" w:hAnsi="Century Gothic"/>
          <w:sz w:val="22"/>
          <w:szCs w:val="22"/>
        </w:rPr>
        <w:t xml:space="preserve">Mediante auto del 20 de octubre de 2010, el a quo tuvo como pruebas los documentos aportados por las partes, negó </w:t>
      </w:r>
      <w:r w:rsidR="0078340E">
        <w:rPr>
          <w:rFonts w:ascii="Century Gothic" w:hAnsi="Century Gothic"/>
          <w:sz w:val="22"/>
          <w:szCs w:val="22"/>
        </w:rPr>
        <w:t xml:space="preserve">ordenar </w:t>
      </w:r>
      <w:r>
        <w:rPr>
          <w:rFonts w:ascii="Century Gothic" w:hAnsi="Century Gothic"/>
          <w:sz w:val="22"/>
          <w:szCs w:val="22"/>
        </w:rPr>
        <w:t>los oficios</w:t>
      </w:r>
      <w:r w:rsidR="002B693D">
        <w:rPr>
          <w:rFonts w:ascii="Century Gothic" w:hAnsi="Century Gothic"/>
          <w:sz w:val="22"/>
          <w:szCs w:val="22"/>
        </w:rPr>
        <w:t xml:space="preserve"> y</w:t>
      </w:r>
      <w:r>
        <w:rPr>
          <w:rFonts w:ascii="Century Gothic" w:hAnsi="Century Gothic"/>
          <w:sz w:val="22"/>
          <w:szCs w:val="22"/>
        </w:rPr>
        <w:t xml:space="preserve"> </w:t>
      </w:r>
      <w:r w:rsidR="0078340E">
        <w:rPr>
          <w:rFonts w:ascii="Century Gothic" w:hAnsi="Century Gothic"/>
          <w:sz w:val="22"/>
          <w:szCs w:val="22"/>
        </w:rPr>
        <w:t xml:space="preserve">decretar </w:t>
      </w:r>
      <w:r>
        <w:rPr>
          <w:rFonts w:ascii="Century Gothic" w:hAnsi="Century Gothic"/>
          <w:sz w:val="22"/>
          <w:szCs w:val="22"/>
        </w:rPr>
        <w:t>los testimonios solicitados por la parte ejecutada y no dio valor probatorio a las experticias allegadas por esta última (</w:t>
      </w:r>
      <w:proofErr w:type="spellStart"/>
      <w:r>
        <w:rPr>
          <w:rFonts w:ascii="Century Gothic" w:hAnsi="Century Gothic"/>
          <w:sz w:val="22"/>
          <w:szCs w:val="22"/>
        </w:rPr>
        <w:t>fls</w:t>
      </w:r>
      <w:proofErr w:type="spellEnd"/>
      <w:r>
        <w:rPr>
          <w:rFonts w:ascii="Century Gothic" w:hAnsi="Century Gothic"/>
          <w:sz w:val="22"/>
          <w:szCs w:val="22"/>
        </w:rPr>
        <w:t>. 157 y 158 C. 1).</w:t>
      </w:r>
    </w:p>
    <w:p w14:paraId="56527FC7" w14:textId="77777777" w:rsidR="00B2658B" w:rsidRDefault="00B2658B" w:rsidP="008B6BDF">
      <w:pPr>
        <w:spacing w:line="360" w:lineRule="auto"/>
        <w:jc w:val="both"/>
        <w:rPr>
          <w:rFonts w:ascii="Century Gothic" w:hAnsi="Century Gothic"/>
          <w:sz w:val="22"/>
          <w:szCs w:val="22"/>
        </w:rPr>
      </w:pPr>
    </w:p>
    <w:p w14:paraId="35FCE84F" w14:textId="77777777" w:rsidR="00B2658B" w:rsidRDefault="00B2658B" w:rsidP="008B6BDF">
      <w:pPr>
        <w:spacing w:line="360" w:lineRule="auto"/>
        <w:jc w:val="both"/>
        <w:rPr>
          <w:rFonts w:ascii="Century Gothic" w:hAnsi="Century Gothic"/>
          <w:sz w:val="22"/>
          <w:szCs w:val="22"/>
        </w:rPr>
      </w:pPr>
      <w:r>
        <w:rPr>
          <w:rFonts w:ascii="Century Gothic" w:hAnsi="Century Gothic"/>
          <w:sz w:val="22"/>
          <w:szCs w:val="22"/>
        </w:rPr>
        <w:t>Mediante auto del 18 de julio de 2012 y con ocasión del recurso interpuesto por la ejecutante, esta Corporación confirmó en su totalidad el proveído del 20 de octubre de 2010, al encontrarlo ajustado a derecho (</w:t>
      </w:r>
      <w:proofErr w:type="spellStart"/>
      <w:r>
        <w:rPr>
          <w:rFonts w:ascii="Century Gothic" w:hAnsi="Century Gothic"/>
          <w:sz w:val="22"/>
          <w:szCs w:val="22"/>
        </w:rPr>
        <w:t>fls</w:t>
      </w:r>
      <w:proofErr w:type="spellEnd"/>
      <w:r>
        <w:rPr>
          <w:rFonts w:ascii="Century Gothic" w:hAnsi="Century Gothic"/>
          <w:sz w:val="22"/>
          <w:szCs w:val="22"/>
        </w:rPr>
        <w:t>. 199 a 205 C. 2).</w:t>
      </w:r>
    </w:p>
    <w:p w14:paraId="4268F192" w14:textId="77777777" w:rsidR="00B2658B" w:rsidRDefault="00B2658B" w:rsidP="008B6BDF">
      <w:pPr>
        <w:spacing w:line="360" w:lineRule="auto"/>
        <w:jc w:val="both"/>
        <w:rPr>
          <w:rFonts w:ascii="Century Gothic" w:hAnsi="Century Gothic"/>
          <w:sz w:val="22"/>
          <w:szCs w:val="22"/>
        </w:rPr>
      </w:pPr>
    </w:p>
    <w:p w14:paraId="4F0843D5" w14:textId="77777777" w:rsidR="00F362A8" w:rsidRPr="00F362A8" w:rsidRDefault="0078340E" w:rsidP="008B6BDF">
      <w:pPr>
        <w:spacing w:line="360" w:lineRule="auto"/>
        <w:jc w:val="both"/>
        <w:rPr>
          <w:rFonts w:ascii="Century Gothic" w:hAnsi="Century Gothic"/>
          <w:b/>
          <w:sz w:val="22"/>
          <w:szCs w:val="22"/>
        </w:rPr>
      </w:pPr>
      <w:r>
        <w:rPr>
          <w:rFonts w:ascii="Century Gothic" w:hAnsi="Century Gothic"/>
          <w:b/>
          <w:sz w:val="22"/>
          <w:szCs w:val="22"/>
        </w:rPr>
        <w:t xml:space="preserve">5.- </w:t>
      </w:r>
      <w:r w:rsidR="00F362A8" w:rsidRPr="00F362A8">
        <w:rPr>
          <w:rFonts w:ascii="Century Gothic" w:hAnsi="Century Gothic"/>
          <w:b/>
          <w:sz w:val="22"/>
          <w:szCs w:val="22"/>
        </w:rPr>
        <w:t>Alegatos de conclusión de primera instancia.</w:t>
      </w:r>
    </w:p>
    <w:p w14:paraId="0B1F1B66" w14:textId="77777777" w:rsidR="00AF36AC" w:rsidRDefault="00AF36AC" w:rsidP="008B6BDF">
      <w:pPr>
        <w:spacing w:line="360" w:lineRule="auto"/>
        <w:jc w:val="both"/>
        <w:rPr>
          <w:rFonts w:ascii="Century Gothic" w:hAnsi="Century Gothic"/>
          <w:sz w:val="22"/>
          <w:szCs w:val="22"/>
        </w:rPr>
      </w:pPr>
    </w:p>
    <w:p w14:paraId="436AC370" w14:textId="77777777" w:rsidR="00F362A8" w:rsidRDefault="0078340E" w:rsidP="008B6BDF">
      <w:pPr>
        <w:spacing w:line="360" w:lineRule="auto"/>
        <w:jc w:val="both"/>
        <w:rPr>
          <w:rFonts w:ascii="Century Gothic" w:hAnsi="Century Gothic"/>
          <w:sz w:val="22"/>
          <w:szCs w:val="22"/>
        </w:rPr>
      </w:pPr>
      <w:r>
        <w:rPr>
          <w:rFonts w:ascii="Century Gothic" w:hAnsi="Century Gothic"/>
          <w:sz w:val="22"/>
          <w:szCs w:val="22"/>
        </w:rPr>
        <w:t xml:space="preserve">5.1. </w:t>
      </w:r>
      <w:r w:rsidR="00D0307E">
        <w:rPr>
          <w:rFonts w:ascii="Century Gothic" w:hAnsi="Century Gothic"/>
          <w:sz w:val="22"/>
          <w:szCs w:val="22"/>
        </w:rPr>
        <w:t xml:space="preserve">El ejecutante alegó que los documentos que fueron presentados con la demanda constituyen un título ejecutivo complejo del cual </w:t>
      </w:r>
      <w:r w:rsidR="002B693D">
        <w:rPr>
          <w:rFonts w:ascii="Century Gothic" w:hAnsi="Century Gothic"/>
          <w:sz w:val="22"/>
          <w:szCs w:val="22"/>
        </w:rPr>
        <w:t xml:space="preserve">se deriva </w:t>
      </w:r>
      <w:r w:rsidR="00D0307E">
        <w:rPr>
          <w:rFonts w:ascii="Century Gothic" w:hAnsi="Century Gothic"/>
          <w:sz w:val="22"/>
          <w:szCs w:val="22"/>
        </w:rPr>
        <w:t xml:space="preserve">una obligación clara, expresa y exigible, por lo </w:t>
      </w:r>
      <w:r w:rsidR="002B693D">
        <w:rPr>
          <w:rFonts w:ascii="Century Gothic" w:hAnsi="Century Gothic"/>
          <w:sz w:val="22"/>
          <w:szCs w:val="22"/>
        </w:rPr>
        <w:t>cual</w:t>
      </w:r>
      <w:r w:rsidR="00D0307E">
        <w:rPr>
          <w:rFonts w:ascii="Century Gothic" w:hAnsi="Century Gothic"/>
          <w:sz w:val="22"/>
          <w:szCs w:val="22"/>
        </w:rPr>
        <w:t xml:space="preserve">, aseguró, debe seguirse con la ejecución </w:t>
      </w:r>
      <w:r>
        <w:rPr>
          <w:rFonts w:ascii="Century Gothic" w:hAnsi="Century Gothic"/>
          <w:sz w:val="22"/>
          <w:szCs w:val="22"/>
        </w:rPr>
        <w:t xml:space="preserve">en contra </w:t>
      </w:r>
      <w:r w:rsidR="00D0307E">
        <w:rPr>
          <w:rFonts w:ascii="Century Gothic" w:hAnsi="Century Gothic"/>
          <w:sz w:val="22"/>
          <w:szCs w:val="22"/>
        </w:rPr>
        <w:t>de CONFIANZA S.A. (</w:t>
      </w:r>
      <w:proofErr w:type="spellStart"/>
      <w:r w:rsidR="00D0307E">
        <w:rPr>
          <w:rFonts w:ascii="Century Gothic" w:hAnsi="Century Gothic"/>
          <w:sz w:val="22"/>
          <w:szCs w:val="22"/>
        </w:rPr>
        <w:t>fls</w:t>
      </w:r>
      <w:proofErr w:type="spellEnd"/>
      <w:r w:rsidR="00D0307E">
        <w:rPr>
          <w:rFonts w:ascii="Century Gothic" w:hAnsi="Century Gothic"/>
          <w:sz w:val="22"/>
          <w:szCs w:val="22"/>
        </w:rPr>
        <w:t>. 192 a 203 C. 1).</w:t>
      </w:r>
    </w:p>
    <w:p w14:paraId="71D8800B" w14:textId="77777777" w:rsidR="00D0307E" w:rsidRDefault="00D0307E" w:rsidP="008B6BDF">
      <w:pPr>
        <w:spacing w:line="360" w:lineRule="auto"/>
        <w:jc w:val="both"/>
        <w:rPr>
          <w:rFonts w:ascii="Century Gothic" w:hAnsi="Century Gothic"/>
          <w:sz w:val="22"/>
          <w:szCs w:val="22"/>
        </w:rPr>
      </w:pPr>
    </w:p>
    <w:p w14:paraId="19B51677" w14:textId="77777777" w:rsidR="00D0307E" w:rsidRDefault="0078340E" w:rsidP="008B6BDF">
      <w:pPr>
        <w:spacing w:line="360" w:lineRule="auto"/>
        <w:jc w:val="both"/>
        <w:rPr>
          <w:rFonts w:ascii="Century Gothic" w:hAnsi="Century Gothic"/>
          <w:sz w:val="22"/>
          <w:szCs w:val="22"/>
        </w:rPr>
      </w:pPr>
      <w:r>
        <w:rPr>
          <w:rFonts w:ascii="Century Gothic" w:hAnsi="Century Gothic"/>
          <w:sz w:val="22"/>
          <w:szCs w:val="22"/>
        </w:rPr>
        <w:t xml:space="preserve">5.2. </w:t>
      </w:r>
      <w:r w:rsidR="00D0307E" w:rsidRPr="005F6F0D">
        <w:rPr>
          <w:rFonts w:ascii="Century Gothic" w:hAnsi="Century Gothic"/>
          <w:sz w:val="22"/>
          <w:szCs w:val="22"/>
        </w:rPr>
        <w:t xml:space="preserve">Por su parte, el ejecutado </w:t>
      </w:r>
      <w:r w:rsidR="002810DC">
        <w:rPr>
          <w:rFonts w:ascii="Century Gothic" w:hAnsi="Century Gothic"/>
          <w:sz w:val="22"/>
          <w:szCs w:val="22"/>
        </w:rPr>
        <w:t>explicó</w:t>
      </w:r>
      <w:r w:rsidR="00D0307E" w:rsidRPr="005F6F0D">
        <w:rPr>
          <w:rFonts w:ascii="Century Gothic" w:hAnsi="Century Gothic"/>
          <w:sz w:val="22"/>
          <w:szCs w:val="22"/>
        </w:rPr>
        <w:t xml:space="preserve"> </w:t>
      </w:r>
      <w:r w:rsidR="005F6F0D" w:rsidRPr="005F6F0D">
        <w:rPr>
          <w:rFonts w:ascii="Century Gothic" w:hAnsi="Century Gothic"/>
          <w:sz w:val="22"/>
          <w:szCs w:val="22"/>
        </w:rPr>
        <w:t xml:space="preserve">de forma extensa y detallada </w:t>
      </w:r>
      <w:r w:rsidR="002810DC">
        <w:rPr>
          <w:rFonts w:ascii="Century Gothic" w:hAnsi="Century Gothic"/>
          <w:sz w:val="22"/>
          <w:szCs w:val="22"/>
        </w:rPr>
        <w:t xml:space="preserve">la relación </w:t>
      </w:r>
      <w:r w:rsidR="002B693D">
        <w:rPr>
          <w:rFonts w:ascii="Century Gothic" w:hAnsi="Century Gothic"/>
          <w:sz w:val="22"/>
          <w:szCs w:val="22"/>
        </w:rPr>
        <w:t>contractual</w:t>
      </w:r>
      <w:r w:rsidR="002810DC">
        <w:rPr>
          <w:rFonts w:ascii="Century Gothic" w:hAnsi="Century Gothic"/>
          <w:sz w:val="22"/>
          <w:szCs w:val="22"/>
        </w:rPr>
        <w:t xml:space="preserve"> existente entre el IDU y CONCIVILES S.A., así como la forma y pormenores de la ejecución del contrato de obra </w:t>
      </w:r>
      <w:r w:rsidR="002810DC">
        <w:rPr>
          <w:rFonts w:ascii="Century Gothic" w:hAnsi="Century Gothic" w:cs="Tahoma"/>
          <w:sz w:val="22"/>
          <w:szCs w:val="22"/>
        </w:rPr>
        <w:t xml:space="preserve">406 de 2000, </w:t>
      </w:r>
      <w:r w:rsidR="002810DC">
        <w:rPr>
          <w:rFonts w:ascii="Century Gothic" w:hAnsi="Century Gothic"/>
          <w:sz w:val="22"/>
          <w:szCs w:val="22"/>
        </w:rPr>
        <w:t xml:space="preserve">que ató a éste y </w:t>
      </w:r>
      <w:r>
        <w:rPr>
          <w:rFonts w:ascii="Century Gothic" w:hAnsi="Century Gothic"/>
          <w:sz w:val="22"/>
          <w:szCs w:val="22"/>
        </w:rPr>
        <w:t xml:space="preserve">a </w:t>
      </w:r>
      <w:r w:rsidR="002810DC">
        <w:rPr>
          <w:rFonts w:ascii="Century Gothic" w:hAnsi="Century Gothic"/>
          <w:sz w:val="22"/>
          <w:szCs w:val="22"/>
        </w:rPr>
        <w:t>aquél al cumplimiento de obligaciones recíprocas</w:t>
      </w:r>
      <w:r>
        <w:rPr>
          <w:rFonts w:ascii="Century Gothic" w:hAnsi="Century Gothic"/>
          <w:sz w:val="22"/>
          <w:szCs w:val="22"/>
        </w:rPr>
        <w:t>;</w:t>
      </w:r>
      <w:r w:rsidR="002810DC">
        <w:rPr>
          <w:rFonts w:ascii="Century Gothic" w:hAnsi="Century Gothic"/>
          <w:sz w:val="22"/>
          <w:szCs w:val="22"/>
        </w:rPr>
        <w:t xml:space="preserve"> </w:t>
      </w:r>
      <w:r>
        <w:rPr>
          <w:rFonts w:ascii="Century Gothic" w:hAnsi="Century Gothic"/>
          <w:sz w:val="22"/>
          <w:szCs w:val="22"/>
        </w:rPr>
        <w:t>además</w:t>
      </w:r>
      <w:r w:rsidR="002810DC">
        <w:rPr>
          <w:rFonts w:ascii="Century Gothic" w:hAnsi="Century Gothic"/>
          <w:sz w:val="22"/>
          <w:szCs w:val="22"/>
        </w:rPr>
        <w:t xml:space="preserve">, reiteró y enfatizó las </w:t>
      </w:r>
      <w:r w:rsidR="005F6F0D" w:rsidRPr="005F6F0D">
        <w:rPr>
          <w:rFonts w:ascii="Century Gothic" w:hAnsi="Century Gothic"/>
          <w:sz w:val="22"/>
          <w:szCs w:val="22"/>
        </w:rPr>
        <w:t>excepciones</w:t>
      </w:r>
      <w:r w:rsidR="005F6F0D">
        <w:rPr>
          <w:rFonts w:ascii="Century Gothic" w:hAnsi="Century Gothic"/>
          <w:sz w:val="22"/>
          <w:szCs w:val="22"/>
        </w:rPr>
        <w:t xml:space="preserve"> que propuso en </w:t>
      </w:r>
      <w:r>
        <w:rPr>
          <w:rFonts w:ascii="Century Gothic" w:hAnsi="Century Gothic"/>
          <w:sz w:val="22"/>
          <w:szCs w:val="22"/>
        </w:rPr>
        <w:t xml:space="preserve">la </w:t>
      </w:r>
      <w:r w:rsidR="005F6F0D">
        <w:rPr>
          <w:rFonts w:ascii="Century Gothic" w:hAnsi="Century Gothic"/>
          <w:sz w:val="22"/>
          <w:szCs w:val="22"/>
        </w:rPr>
        <w:t>contestaci</w:t>
      </w:r>
      <w:r w:rsidR="002810DC">
        <w:rPr>
          <w:rFonts w:ascii="Century Gothic" w:hAnsi="Century Gothic"/>
          <w:sz w:val="22"/>
          <w:szCs w:val="22"/>
        </w:rPr>
        <w:t>ón de la demanda (</w:t>
      </w:r>
      <w:proofErr w:type="spellStart"/>
      <w:r w:rsidR="002810DC">
        <w:rPr>
          <w:rFonts w:ascii="Century Gothic" w:hAnsi="Century Gothic"/>
          <w:sz w:val="22"/>
          <w:szCs w:val="22"/>
        </w:rPr>
        <w:t>fls</w:t>
      </w:r>
      <w:proofErr w:type="spellEnd"/>
      <w:r w:rsidR="002810DC">
        <w:rPr>
          <w:rFonts w:ascii="Century Gothic" w:hAnsi="Century Gothic"/>
          <w:sz w:val="22"/>
          <w:szCs w:val="22"/>
        </w:rPr>
        <w:t>. 1 a 30 C. 5).</w:t>
      </w:r>
    </w:p>
    <w:p w14:paraId="532B9F6F" w14:textId="77777777" w:rsidR="00EF22E2" w:rsidRDefault="00EF22E2" w:rsidP="008B6BDF">
      <w:pPr>
        <w:spacing w:line="360" w:lineRule="auto"/>
        <w:jc w:val="both"/>
        <w:rPr>
          <w:rFonts w:ascii="Century Gothic" w:hAnsi="Century Gothic"/>
          <w:sz w:val="22"/>
          <w:szCs w:val="22"/>
        </w:rPr>
      </w:pPr>
    </w:p>
    <w:p w14:paraId="4B9034BF" w14:textId="77777777" w:rsidR="00EF22E2" w:rsidRDefault="0078340E" w:rsidP="008B6BDF">
      <w:pPr>
        <w:spacing w:line="360" w:lineRule="auto"/>
        <w:jc w:val="both"/>
        <w:rPr>
          <w:rFonts w:ascii="Century Gothic" w:hAnsi="Century Gothic"/>
          <w:sz w:val="22"/>
          <w:szCs w:val="22"/>
        </w:rPr>
      </w:pPr>
      <w:r>
        <w:rPr>
          <w:rFonts w:ascii="Century Gothic" w:hAnsi="Century Gothic"/>
          <w:sz w:val="22"/>
          <w:szCs w:val="22"/>
        </w:rPr>
        <w:t xml:space="preserve">5.3. </w:t>
      </w:r>
      <w:r w:rsidR="00EF22E2">
        <w:rPr>
          <w:rFonts w:ascii="Century Gothic" w:hAnsi="Century Gothic"/>
          <w:sz w:val="22"/>
          <w:szCs w:val="22"/>
        </w:rPr>
        <w:t xml:space="preserve">El Ministerio Público manifestó que los documentos aportados por el IDU </w:t>
      </w:r>
      <w:r>
        <w:rPr>
          <w:rFonts w:ascii="Century Gothic" w:hAnsi="Century Gothic"/>
          <w:sz w:val="22"/>
          <w:szCs w:val="22"/>
        </w:rPr>
        <w:t>constituyen</w:t>
      </w:r>
      <w:r w:rsidR="00EF22E2">
        <w:rPr>
          <w:rFonts w:ascii="Century Gothic" w:hAnsi="Century Gothic"/>
          <w:sz w:val="22"/>
          <w:szCs w:val="22"/>
        </w:rPr>
        <w:t xml:space="preserve"> </w:t>
      </w:r>
      <w:r>
        <w:rPr>
          <w:rFonts w:ascii="Century Gothic" w:hAnsi="Century Gothic"/>
          <w:sz w:val="22"/>
          <w:szCs w:val="22"/>
        </w:rPr>
        <w:t>u</w:t>
      </w:r>
      <w:r w:rsidR="00EF22E2">
        <w:rPr>
          <w:rFonts w:ascii="Century Gothic" w:hAnsi="Century Gothic"/>
          <w:sz w:val="22"/>
          <w:szCs w:val="22"/>
        </w:rPr>
        <w:t>n título ejecutivo complejo, en el cual consta una obligación clara</w:t>
      </w:r>
      <w:r w:rsidR="002B693D">
        <w:rPr>
          <w:rFonts w:ascii="Century Gothic" w:hAnsi="Century Gothic"/>
          <w:sz w:val="22"/>
          <w:szCs w:val="22"/>
        </w:rPr>
        <w:t>,</w:t>
      </w:r>
      <w:r w:rsidR="00EF22E2">
        <w:rPr>
          <w:rFonts w:ascii="Century Gothic" w:hAnsi="Century Gothic"/>
          <w:sz w:val="22"/>
          <w:szCs w:val="22"/>
        </w:rPr>
        <w:t xml:space="preserve"> expresa y exigible, de ahí que resulte procedente seguir adelante con la ejecución, máxime </w:t>
      </w:r>
      <w:r>
        <w:rPr>
          <w:rFonts w:ascii="Century Gothic" w:hAnsi="Century Gothic"/>
          <w:sz w:val="22"/>
          <w:szCs w:val="22"/>
        </w:rPr>
        <w:t>que</w:t>
      </w:r>
      <w:r w:rsidR="00EF22E2">
        <w:rPr>
          <w:rFonts w:ascii="Century Gothic" w:hAnsi="Century Gothic"/>
          <w:sz w:val="22"/>
          <w:szCs w:val="22"/>
        </w:rPr>
        <w:t xml:space="preserve"> las excepciones de mérito formuladas por el ejecutado no tienen fuerza </w:t>
      </w:r>
      <w:r w:rsidR="002B693D">
        <w:rPr>
          <w:rFonts w:ascii="Century Gothic" w:hAnsi="Century Gothic"/>
          <w:sz w:val="22"/>
          <w:szCs w:val="22"/>
        </w:rPr>
        <w:t>suficiente para enervar la acción</w:t>
      </w:r>
      <w:r w:rsidR="00EF22E2">
        <w:rPr>
          <w:rFonts w:ascii="Century Gothic" w:hAnsi="Century Gothic"/>
          <w:sz w:val="22"/>
          <w:szCs w:val="22"/>
        </w:rPr>
        <w:t xml:space="preserve"> (</w:t>
      </w:r>
      <w:proofErr w:type="spellStart"/>
      <w:r w:rsidR="00EF22E2">
        <w:rPr>
          <w:rFonts w:ascii="Century Gothic" w:hAnsi="Century Gothic"/>
          <w:sz w:val="22"/>
          <w:szCs w:val="22"/>
        </w:rPr>
        <w:t>fls</w:t>
      </w:r>
      <w:proofErr w:type="spellEnd"/>
      <w:r w:rsidR="00EF22E2">
        <w:rPr>
          <w:rFonts w:ascii="Century Gothic" w:hAnsi="Century Gothic"/>
          <w:sz w:val="22"/>
          <w:szCs w:val="22"/>
        </w:rPr>
        <w:t>. 205 a 210 C. 1).</w:t>
      </w:r>
    </w:p>
    <w:p w14:paraId="764471E7" w14:textId="77777777" w:rsidR="00163103" w:rsidRDefault="00163103" w:rsidP="008B6BDF">
      <w:pPr>
        <w:spacing w:line="360" w:lineRule="auto"/>
        <w:jc w:val="both"/>
        <w:rPr>
          <w:rFonts w:ascii="Century Gothic" w:hAnsi="Century Gothic"/>
          <w:sz w:val="22"/>
          <w:szCs w:val="22"/>
        </w:rPr>
      </w:pPr>
    </w:p>
    <w:p w14:paraId="3AD2A80D" w14:textId="77777777" w:rsidR="00EF22E2" w:rsidRDefault="0078340E" w:rsidP="008B6BDF">
      <w:pPr>
        <w:spacing w:line="360" w:lineRule="auto"/>
        <w:jc w:val="both"/>
        <w:rPr>
          <w:rFonts w:ascii="Century Gothic" w:hAnsi="Century Gothic"/>
          <w:b/>
          <w:sz w:val="22"/>
          <w:szCs w:val="22"/>
        </w:rPr>
      </w:pPr>
      <w:r>
        <w:rPr>
          <w:rFonts w:ascii="Century Gothic" w:hAnsi="Century Gothic"/>
          <w:b/>
          <w:sz w:val="22"/>
          <w:szCs w:val="22"/>
        </w:rPr>
        <w:t xml:space="preserve">6.- </w:t>
      </w:r>
      <w:r w:rsidR="00EF22E2" w:rsidRPr="00EF22E2">
        <w:rPr>
          <w:rFonts w:ascii="Century Gothic" w:hAnsi="Century Gothic"/>
          <w:b/>
          <w:sz w:val="22"/>
          <w:szCs w:val="22"/>
        </w:rPr>
        <w:t xml:space="preserve">Sentencia </w:t>
      </w:r>
      <w:r w:rsidR="00EF22E2">
        <w:rPr>
          <w:rFonts w:ascii="Century Gothic" w:hAnsi="Century Gothic"/>
          <w:b/>
          <w:sz w:val="22"/>
          <w:szCs w:val="22"/>
        </w:rPr>
        <w:t>impugnada.</w:t>
      </w:r>
    </w:p>
    <w:p w14:paraId="3E85BB63" w14:textId="77777777" w:rsidR="00EF22E2" w:rsidRDefault="00EF22E2" w:rsidP="008B6BDF">
      <w:pPr>
        <w:spacing w:line="360" w:lineRule="auto"/>
        <w:jc w:val="both"/>
        <w:rPr>
          <w:rFonts w:ascii="Century Gothic" w:hAnsi="Century Gothic"/>
          <w:b/>
          <w:sz w:val="22"/>
          <w:szCs w:val="22"/>
        </w:rPr>
      </w:pPr>
    </w:p>
    <w:p w14:paraId="2B729570" w14:textId="77777777" w:rsidR="00EF22E2" w:rsidRDefault="00EF22E2" w:rsidP="008B6BDF">
      <w:pPr>
        <w:spacing w:line="360" w:lineRule="auto"/>
        <w:jc w:val="both"/>
        <w:rPr>
          <w:rFonts w:ascii="Century Gothic" w:hAnsi="Century Gothic"/>
          <w:sz w:val="22"/>
          <w:szCs w:val="22"/>
        </w:rPr>
      </w:pPr>
      <w:r>
        <w:rPr>
          <w:rFonts w:ascii="Century Gothic" w:hAnsi="Century Gothic"/>
          <w:sz w:val="22"/>
          <w:szCs w:val="22"/>
        </w:rPr>
        <w:t xml:space="preserve">Mediante sentencia del 10 de octubre de 2012, el Tribunal Administrativo de Cundinamarca, Sección Tercera, Subsección “B”, declaró </w:t>
      </w:r>
      <w:r w:rsidR="002B693D">
        <w:rPr>
          <w:rFonts w:ascii="Century Gothic" w:hAnsi="Century Gothic"/>
          <w:sz w:val="22"/>
          <w:szCs w:val="22"/>
        </w:rPr>
        <w:t xml:space="preserve">la existencia de una obligación clara, expresa y exigible, derivada del título ejecutivo complejo </w:t>
      </w:r>
      <w:r w:rsidR="002B693D">
        <w:rPr>
          <w:rFonts w:ascii="Century Gothic" w:hAnsi="Century Gothic"/>
          <w:sz w:val="22"/>
          <w:szCs w:val="22"/>
        </w:rPr>
        <w:lastRenderedPageBreak/>
        <w:t xml:space="preserve">conformado por los documentos aportados, estimó </w:t>
      </w:r>
      <w:r>
        <w:rPr>
          <w:rFonts w:ascii="Century Gothic" w:hAnsi="Century Gothic"/>
          <w:sz w:val="22"/>
          <w:szCs w:val="22"/>
        </w:rPr>
        <w:t xml:space="preserve">no probadas las excepciones propuestas por el ejecutado y, por </w:t>
      </w:r>
      <w:r w:rsidR="002B693D">
        <w:rPr>
          <w:rFonts w:ascii="Century Gothic" w:hAnsi="Century Gothic"/>
          <w:sz w:val="22"/>
          <w:szCs w:val="22"/>
        </w:rPr>
        <w:t>tanto</w:t>
      </w:r>
      <w:r>
        <w:rPr>
          <w:rFonts w:ascii="Century Gothic" w:hAnsi="Century Gothic"/>
          <w:sz w:val="22"/>
          <w:szCs w:val="22"/>
        </w:rPr>
        <w:t>, siguió adelante</w:t>
      </w:r>
      <w:r w:rsidR="0078340E">
        <w:rPr>
          <w:rFonts w:ascii="Century Gothic" w:hAnsi="Century Gothic"/>
          <w:sz w:val="22"/>
          <w:szCs w:val="22"/>
        </w:rPr>
        <w:t xml:space="preserve"> con la ejecución en su contra y c</w:t>
      </w:r>
      <w:r>
        <w:rPr>
          <w:rFonts w:ascii="Century Gothic" w:hAnsi="Century Gothic"/>
          <w:sz w:val="22"/>
          <w:szCs w:val="22"/>
        </w:rPr>
        <w:t>ondenó en costas al ejecutado.</w:t>
      </w:r>
    </w:p>
    <w:p w14:paraId="65DBC6AC" w14:textId="77777777" w:rsidR="00EF22E2" w:rsidRDefault="00EF22E2" w:rsidP="008B6BDF">
      <w:pPr>
        <w:spacing w:line="360" w:lineRule="auto"/>
        <w:jc w:val="both"/>
        <w:rPr>
          <w:rFonts w:ascii="Century Gothic" w:hAnsi="Century Gothic"/>
          <w:sz w:val="22"/>
          <w:szCs w:val="22"/>
        </w:rPr>
      </w:pPr>
    </w:p>
    <w:p w14:paraId="3B619E49" w14:textId="77777777" w:rsidR="0078340E" w:rsidRDefault="00EF22E2" w:rsidP="008B6BDF">
      <w:pPr>
        <w:spacing w:line="360" w:lineRule="auto"/>
        <w:jc w:val="both"/>
        <w:rPr>
          <w:rFonts w:ascii="Century Gothic" w:hAnsi="Century Gothic"/>
          <w:sz w:val="22"/>
          <w:szCs w:val="22"/>
        </w:rPr>
      </w:pPr>
      <w:r>
        <w:rPr>
          <w:rFonts w:ascii="Century Gothic" w:hAnsi="Century Gothic"/>
          <w:sz w:val="22"/>
          <w:szCs w:val="22"/>
        </w:rPr>
        <w:t>Para llegar a la anterior decisión, expuso, en primer lugar, que le asistía legitimación al IDU para formular</w:t>
      </w:r>
      <w:r w:rsidR="0078340E">
        <w:rPr>
          <w:rFonts w:ascii="Century Gothic" w:hAnsi="Century Gothic"/>
          <w:sz w:val="22"/>
          <w:szCs w:val="22"/>
        </w:rPr>
        <w:t xml:space="preserve"> la</w:t>
      </w:r>
      <w:r>
        <w:rPr>
          <w:rFonts w:ascii="Century Gothic" w:hAnsi="Century Gothic"/>
          <w:sz w:val="22"/>
          <w:szCs w:val="22"/>
        </w:rPr>
        <w:t xml:space="preserve"> acción ejecutiva y a CONFIANZA S.A. para oponerse a la misma, comoquiera que aquél profirió los actos administrativos que</w:t>
      </w:r>
      <w:r w:rsidR="002B693D">
        <w:rPr>
          <w:rFonts w:ascii="Century Gothic" w:hAnsi="Century Gothic"/>
          <w:sz w:val="22"/>
          <w:szCs w:val="22"/>
        </w:rPr>
        <w:t xml:space="preserve"> integra</w:t>
      </w:r>
      <w:r w:rsidR="0078340E">
        <w:rPr>
          <w:rFonts w:ascii="Century Gothic" w:hAnsi="Century Gothic"/>
          <w:sz w:val="22"/>
          <w:szCs w:val="22"/>
        </w:rPr>
        <w:t>n</w:t>
      </w:r>
      <w:r w:rsidR="002B693D">
        <w:rPr>
          <w:rFonts w:ascii="Century Gothic" w:hAnsi="Century Gothic"/>
          <w:sz w:val="22"/>
          <w:szCs w:val="22"/>
        </w:rPr>
        <w:t xml:space="preserve">, </w:t>
      </w:r>
      <w:r w:rsidR="0078340E">
        <w:rPr>
          <w:rFonts w:ascii="Century Gothic" w:hAnsi="Century Gothic"/>
          <w:sz w:val="22"/>
          <w:szCs w:val="22"/>
        </w:rPr>
        <w:t>con</w:t>
      </w:r>
      <w:r w:rsidR="002B693D">
        <w:rPr>
          <w:rFonts w:ascii="Century Gothic" w:hAnsi="Century Gothic"/>
          <w:sz w:val="22"/>
          <w:szCs w:val="22"/>
        </w:rPr>
        <w:t xml:space="preserve"> otros documentos, </w:t>
      </w:r>
      <w:r>
        <w:rPr>
          <w:rFonts w:ascii="Century Gothic" w:hAnsi="Century Gothic"/>
          <w:sz w:val="22"/>
          <w:szCs w:val="22"/>
        </w:rPr>
        <w:t xml:space="preserve">el título </w:t>
      </w:r>
      <w:r w:rsidR="0078340E">
        <w:rPr>
          <w:rFonts w:ascii="Century Gothic" w:hAnsi="Century Gothic"/>
          <w:sz w:val="22"/>
          <w:szCs w:val="22"/>
        </w:rPr>
        <w:t xml:space="preserve">ejecutivo </w:t>
      </w:r>
      <w:r>
        <w:rPr>
          <w:rFonts w:ascii="Century Gothic" w:hAnsi="Century Gothic"/>
          <w:sz w:val="22"/>
          <w:szCs w:val="22"/>
        </w:rPr>
        <w:t xml:space="preserve">y </w:t>
      </w:r>
      <w:r w:rsidR="002B693D">
        <w:rPr>
          <w:rFonts w:ascii="Century Gothic" w:hAnsi="Century Gothic"/>
          <w:sz w:val="22"/>
          <w:szCs w:val="22"/>
        </w:rPr>
        <w:t xml:space="preserve">fue </w:t>
      </w:r>
      <w:r>
        <w:rPr>
          <w:rFonts w:ascii="Century Gothic" w:hAnsi="Century Gothic"/>
          <w:sz w:val="22"/>
          <w:szCs w:val="22"/>
        </w:rPr>
        <w:t xml:space="preserve">ésta </w:t>
      </w:r>
      <w:r w:rsidR="002B693D">
        <w:rPr>
          <w:rFonts w:ascii="Century Gothic" w:hAnsi="Century Gothic"/>
          <w:sz w:val="22"/>
          <w:szCs w:val="22"/>
        </w:rPr>
        <w:t>la señalada en los mismos como deudora de la obligación</w:t>
      </w:r>
      <w:r>
        <w:rPr>
          <w:rFonts w:ascii="Century Gothic" w:hAnsi="Century Gothic"/>
          <w:sz w:val="22"/>
          <w:szCs w:val="22"/>
        </w:rPr>
        <w:t xml:space="preserve">. </w:t>
      </w:r>
    </w:p>
    <w:p w14:paraId="2B021C48" w14:textId="77777777" w:rsidR="0078340E" w:rsidRDefault="0078340E" w:rsidP="008B6BDF">
      <w:pPr>
        <w:spacing w:line="360" w:lineRule="auto"/>
        <w:jc w:val="both"/>
        <w:rPr>
          <w:rFonts w:ascii="Century Gothic" w:hAnsi="Century Gothic"/>
          <w:sz w:val="22"/>
          <w:szCs w:val="22"/>
        </w:rPr>
      </w:pPr>
    </w:p>
    <w:p w14:paraId="0B03ADC2" w14:textId="77777777" w:rsidR="0078340E" w:rsidRDefault="00EF22E2" w:rsidP="008B6BDF">
      <w:pPr>
        <w:spacing w:line="360" w:lineRule="auto"/>
        <w:jc w:val="both"/>
        <w:rPr>
          <w:rFonts w:ascii="Century Gothic" w:hAnsi="Century Gothic"/>
          <w:sz w:val="22"/>
          <w:szCs w:val="22"/>
        </w:rPr>
      </w:pPr>
      <w:r>
        <w:rPr>
          <w:rFonts w:ascii="Century Gothic" w:hAnsi="Century Gothic"/>
          <w:sz w:val="22"/>
          <w:szCs w:val="22"/>
        </w:rPr>
        <w:t>En segundo lugar, manifestó que</w:t>
      </w:r>
      <w:r w:rsidR="00580AC4">
        <w:rPr>
          <w:rFonts w:ascii="Century Gothic" w:hAnsi="Century Gothic"/>
          <w:sz w:val="22"/>
          <w:szCs w:val="22"/>
        </w:rPr>
        <w:t xml:space="preserve"> </w:t>
      </w:r>
      <w:r>
        <w:rPr>
          <w:rFonts w:ascii="Century Gothic" w:hAnsi="Century Gothic"/>
          <w:sz w:val="22"/>
          <w:szCs w:val="22"/>
        </w:rPr>
        <w:t>la legalidad de los actos administrativos no puede ser discutida en un proceso de ejecución, pues tal asunto es competencia exc</w:t>
      </w:r>
      <w:r w:rsidR="00022B2A">
        <w:rPr>
          <w:rFonts w:ascii="Century Gothic" w:hAnsi="Century Gothic"/>
          <w:sz w:val="22"/>
          <w:szCs w:val="22"/>
        </w:rPr>
        <w:t>lusiva del juez de la nulidad y/</w:t>
      </w:r>
      <w:r>
        <w:rPr>
          <w:rFonts w:ascii="Century Gothic" w:hAnsi="Century Gothic"/>
          <w:sz w:val="22"/>
          <w:szCs w:val="22"/>
        </w:rPr>
        <w:t>o de la controversia contractual que se promueva contra los mismos</w:t>
      </w:r>
      <w:r w:rsidR="00580AC4">
        <w:rPr>
          <w:rFonts w:ascii="Century Gothic" w:hAnsi="Century Gothic"/>
          <w:sz w:val="22"/>
          <w:szCs w:val="22"/>
        </w:rPr>
        <w:t xml:space="preserve"> y, al amparo de este argumento, señaló que las demás excepciones (extinción del contrato de seguro, su invalidez por infracción a las garantías a cargo del IDU, la inexistencia de una pérdida indemnizable y el desconocimiento del derecho al debido proceso y a la defensa en la expedición de los actos administrativos) tampoco </w:t>
      </w:r>
      <w:r w:rsidR="00C45784">
        <w:rPr>
          <w:rFonts w:ascii="Century Gothic" w:hAnsi="Century Gothic"/>
          <w:sz w:val="22"/>
          <w:szCs w:val="22"/>
        </w:rPr>
        <w:t>estaban</w:t>
      </w:r>
      <w:r w:rsidR="00580AC4">
        <w:rPr>
          <w:rFonts w:ascii="Century Gothic" w:hAnsi="Century Gothic"/>
          <w:sz w:val="22"/>
          <w:szCs w:val="22"/>
        </w:rPr>
        <w:t xml:space="preserve"> llamadas a prosperar, comoquiera</w:t>
      </w:r>
      <w:r w:rsidR="00022B2A">
        <w:rPr>
          <w:rFonts w:ascii="Century Gothic" w:hAnsi="Century Gothic"/>
          <w:sz w:val="22"/>
          <w:szCs w:val="22"/>
        </w:rPr>
        <w:t xml:space="preserve"> su análisis</w:t>
      </w:r>
      <w:r w:rsidR="00D64B06">
        <w:rPr>
          <w:rFonts w:ascii="Century Gothic" w:hAnsi="Century Gothic"/>
          <w:sz w:val="22"/>
          <w:szCs w:val="22"/>
        </w:rPr>
        <w:t xml:space="preserve"> comporta</w:t>
      </w:r>
      <w:r w:rsidR="00580AC4">
        <w:rPr>
          <w:rFonts w:ascii="Century Gothic" w:hAnsi="Century Gothic"/>
          <w:sz w:val="22"/>
          <w:szCs w:val="22"/>
        </w:rPr>
        <w:t xml:space="preserve"> un juicio de legalidad de las resoluciones </w:t>
      </w:r>
      <w:r w:rsidR="00022B2A">
        <w:rPr>
          <w:rFonts w:ascii="Century Gothic" w:hAnsi="Century Gothic"/>
          <w:sz w:val="22"/>
          <w:szCs w:val="22"/>
        </w:rPr>
        <w:t>integrantes</w:t>
      </w:r>
      <w:r w:rsidR="00580AC4">
        <w:rPr>
          <w:rFonts w:ascii="Century Gothic" w:hAnsi="Century Gothic"/>
          <w:sz w:val="22"/>
          <w:szCs w:val="22"/>
        </w:rPr>
        <w:t xml:space="preserve"> </w:t>
      </w:r>
      <w:r w:rsidR="00022B2A">
        <w:rPr>
          <w:rFonts w:ascii="Century Gothic" w:hAnsi="Century Gothic"/>
          <w:sz w:val="22"/>
          <w:szCs w:val="22"/>
        </w:rPr>
        <w:t>d</w:t>
      </w:r>
      <w:r w:rsidR="00580AC4">
        <w:rPr>
          <w:rFonts w:ascii="Century Gothic" w:hAnsi="Century Gothic"/>
          <w:sz w:val="22"/>
          <w:szCs w:val="22"/>
        </w:rPr>
        <w:t xml:space="preserve">el título base de recaudo ejecutivo. </w:t>
      </w:r>
    </w:p>
    <w:p w14:paraId="272D966A" w14:textId="77777777" w:rsidR="0078340E" w:rsidRDefault="0078340E" w:rsidP="008B6BDF">
      <w:pPr>
        <w:spacing w:line="360" w:lineRule="auto"/>
        <w:jc w:val="both"/>
        <w:rPr>
          <w:rFonts w:ascii="Century Gothic" w:hAnsi="Century Gothic"/>
          <w:sz w:val="22"/>
          <w:szCs w:val="22"/>
        </w:rPr>
      </w:pPr>
    </w:p>
    <w:p w14:paraId="1AF0170F" w14:textId="77777777" w:rsidR="00EF22E2" w:rsidRPr="00EF22E2" w:rsidRDefault="00580AC4" w:rsidP="008B6BDF">
      <w:pPr>
        <w:spacing w:line="360" w:lineRule="auto"/>
        <w:jc w:val="both"/>
        <w:rPr>
          <w:rFonts w:ascii="Century Gothic" w:hAnsi="Century Gothic"/>
          <w:sz w:val="22"/>
          <w:szCs w:val="22"/>
        </w:rPr>
      </w:pPr>
      <w:r>
        <w:rPr>
          <w:rFonts w:ascii="Century Gothic" w:hAnsi="Century Gothic"/>
          <w:sz w:val="22"/>
          <w:szCs w:val="22"/>
        </w:rPr>
        <w:t>Finalmente, analizó los documentos aportados con la demanda y consideró que cumplían los requisitos esenciales de un título ejecutivo, pues de ellos se derivaba una obligación clara, expresa y exigible, al tiempo que constituían plena prueba contra el ejecutado, razón</w:t>
      </w:r>
      <w:r w:rsidR="0078340E">
        <w:rPr>
          <w:rFonts w:ascii="Century Gothic" w:hAnsi="Century Gothic"/>
          <w:sz w:val="22"/>
          <w:szCs w:val="22"/>
        </w:rPr>
        <w:t xml:space="preserve"> por</w:t>
      </w:r>
      <w:r>
        <w:rPr>
          <w:rFonts w:ascii="Century Gothic" w:hAnsi="Century Gothic"/>
          <w:sz w:val="22"/>
          <w:szCs w:val="22"/>
        </w:rPr>
        <w:t xml:space="preserve"> </w:t>
      </w:r>
      <w:r w:rsidR="00022B2A">
        <w:rPr>
          <w:rFonts w:ascii="Century Gothic" w:hAnsi="Century Gothic"/>
          <w:sz w:val="22"/>
          <w:szCs w:val="22"/>
        </w:rPr>
        <w:t xml:space="preserve">la cual resultaba forzosa </w:t>
      </w:r>
      <w:r>
        <w:rPr>
          <w:rFonts w:ascii="Century Gothic" w:hAnsi="Century Gothic"/>
          <w:sz w:val="22"/>
          <w:szCs w:val="22"/>
        </w:rPr>
        <w:t>la continuación de la intimación de pago (</w:t>
      </w:r>
      <w:proofErr w:type="spellStart"/>
      <w:r>
        <w:rPr>
          <w:rFonts w:ascii="Century Gothic" w:hAnsi="Century Gothic"/>
          <w:sz w:val="22"/>
          <w:szCs w:val="22"/>
        </w:rPr>
        <w:t>fls</w:t>
      </w:r>
      <w:proofErr w:type="spellEnd"/>
      <w:r>
        <w:rPr>
          <w:rFonts w:ascii="Century Gothic" w:hAnsi="Century Gothic"/>
          <w:sz w:val="22"/>
          <w:szCs w:val="22"/>
        </w:rPr>
        <w:t xml:space="preserve">. 212 a 222 C. </w:t>
      </w:r>
      <w:proofErr w:type="spellStart"/>
      <w:r w:rsidR="008758E4">
        <w:rPr>
          <w:rFonts w:ascii="Century Gothic" w:hAnsi="Century Gothic"/>
          <w:sz w:val="22"/>
          <w:szCs w:val="22"/>
        </w:rPr>
        <w:t>Ppal</w:t>
      </w:r>
      <w:proofErr w:type="spellEnd"/>
      <w:r>
        <w:rPr>
          <w:rFonts w:ascii="Century Gothic" w:hAnsi="Century Gothic"/>
          <w:sz w:val="22"/>
          <w:szCs w:val="22"/>
        </w:rPr>
        <w:t>).</w:t>
      </w:r>
    </w:p>
    <w:p w14:paraId="07B156EC" w14:textId="77777777" w:rsidR="00163103" w:rsidRDefault="00163103" w:rsidP="008B6BDF">
      <w:pPr>
        <w:spacing w:line="360" w:lineRule="auto"/>
        <w:jc w:val="both"/>
        <w:rPr>
          <w:rFonts w:ascii="Century Gothic" w:hAnsi="Century Gothic"/>
          <w:sz w:val="22"/>
          <w:szCs w:val="22"/>
        </w:rPr>
      </w:pPr>
    </w:p>
    <w:p w14:paraId="39603F40" w14:textId="77777777" w:rsidR="00EF22E2" w:rsidRDefault="0078340E" w:rsidP="008B6BDF">
      <w:pPr>
        <w:spacing w:line="360" w:lineRule="auto"/>
        <w:jc w:val="both"/>
        <w:rPr>
          <w:rFonts w:ascii="Century Gothic" w:hAnsi="Century Gothic"/>
          <w:b/>
          <w:sz w:val="22"/>
          <w:szCs w:val="22"/>
        </w:rPr>
      </w:pPr>
      <w:r>
        <w:rPr>
          <w:rFonts w:ascii="Century Gothic" w:hAnsi="Century Gothic"/>
          <w:b/>
          <w:sz w:val="22"/>
          <w:szCs w:val="22"/>
        </w:rPr>
        <w:t xml:space="preserve">7.- </w:t>
      </w:r>
      <w:r w:rsidR="00CE496B">
        <w:rPr>
          <w:rFonts w:ascii="Century Gothic" w:hAnsi="Century Gothic"/>
          <w:b/>
          <w:sz w:val="22"/>
          <w:szCs w:val="22"/>
        </w:rPr>
        <w:t>R</w:t>
      </w:r>
      <w:r w:rsidR="00580AC4" w:rsidRPr="00CE496B">
        <w:rPr>
          <w:rFonts w:ascii="Century Gothic" w:hAnsi="Century Gothic"/>
          <w:b/>
          <w:sz w:val="22"/>
          <w:szCs w:val="22"/>
        </w:rPr>
        <w:t xml:space="preserve">ecurso </w:t>
      </w:r>
      <w:r w:rsidR="00CE496B" w:rsidRPr="00CE496B">
        <w:rPr>
          <w:rFonts w:ascii="Century Gothic" w:hAnsi="Century Gothic"/>
          <w:b/>
          <w:sz w:val="22"/>
          <w:szCs w:val="22"/>
        </w:rPr>
        <w:t>de apelación.</w:t>
      </w:r>
    </w:p>
    <w:p w14:paraId="3C6757D6" w14:textId="77777777" w:rsidR="00CE496B" w:rsidRDefault="00CE496B" w:rsidP="008B6BDF">
      <w:pPr>
        <w:spacing w:line="360" w:lineRule="auto"/>
        <w:jc w:val="both"/>
        <w:rPr>
          <w:rFonts w:ascii="Century Gothic" w:hAnsi="Century Gothic"/>
          <w:b/>
          <w:sz w:val="22"/>
          <w:szCs w:val="22"/>
        </w:rPr>
      </w:pPr>
    </w:p>
    <w:p w14:paraId="63A1818F" w14:textId="77777777" w:rsidR="00CE496B" w:rsidRDefault="0078340E" w:rsidP="008B6BDF">
      <w:pPr>
        <w:spacing w:line="360" w:lineRule="auto"/>
        <w:jc w:val="both"/>
        <w:rPr>
          <w:rFonts w:ascii="Century Gothic" w:hAnsi="Century Gothic"/>
          <w:sz w:val="22"/>
          <w:szCs w:val="22"/>
        </w:rPr>
      </w:pPr>
      <w:r>
        <w:rPr>
          <w:rFonts w:ascii="Century Gothic" w:hAnsi="Century Gothic"/>
          <w:sz w:val="22"/>
          <w:szCs w:val="22"/>
        </w:rPr>
        <w:t xml:space="preserve">7.1. </w:t>
      </w:r>
      <w:r w:rsidR="00CE496B" w:rsidRPr="00CE496B">
        <w:rPr>
          <w:rFonts w:ascii="Century Gothic" w:hAnsi="Century Gothic"/>
          <w:sz w:val="22"/>
          <w:szCs w:val="22"/>
        </w:rPr>
        <w:t>Inconforme con la</w:t>
      </w:r>
      <w:r w:rsidR="00022B2A">
        <w:rPr>
          <w:rFonts w:ascii="Century Gothic" w:hAnsi="Century Gothic"/>
          <w:sz w:val="22"/>
          <w:szCs w:val="22"/>
        </w:rPr>
        <w:t>s decisiones</w:t>
      </w:r>
      <w:r w:rsidR="00CE496B" w:rsidRPr="00CE496B">
        <w:rPr>
          <w:rFonts w:ascii="Century Gothic" w:hAnsi="Century Gothic"/>
          <w:sz w:val="22"/>
          <w:szCs w:val="22"/>
        </w:rPr>
        <w:t xml:space="preserve"> desfavorable</w:t>
      </w:r>
      <w:r w:rsidR="00022B2A">
        <w:rPr>
          <w:rFonts w:ascii="Century Gothic" w:hAnsi="Century Gothic"/>
          <w:sz w:val="22"/>
          <w:szCs w:val="22"/>
        </w:rPr>
        <w:t>s</w:t>
      </w:r>
      <w:r w:rsidR="00CE496B" w:rsidRPr="00CE496B">
        <w:rPr>
          <w:rFonts w:ascii="Century Gothic" w:hAnsi="Century Gothic"/>
          <w:sz w:val="22"/>
          <w:szCs w:val="22"/>
        </w:rPr>
        <w:t xml:space="preserve"> a sus intereses,</w:t>
      </w:r>
      <w:r w:rsidR="00CE496B">
        <w:rPr>
          <w:rFonts w:ascii="Century Gothic" w:hAnsi="Century Gothic"/>
          <w:sz w:val="22"/>
          <w:szCs w:val="22"/>
        </w:rPr>
        <w:t xml:space="preserve"> CONFIANZA S.A. presentó recurso de apelación, con el propósito de que se declararan probadas las excepciones propuestas y, en consecuencia, </w:t>
      </w:r>
      <w:r w:rsidR="00022B2A">
        <w:rPr>
          <w:rFonts w:ascii="Century Gothic" w:hAnsi="Century Gothic"/>
          <w:sz w:val="22"/>
          <w:szCs w:val="22"/>
        </w:rPr>
        <w:t xml:space="preserve">solicitó </w:t>
      </w:r>
      <w:r w:rsidR="00CE496B">
        <w:rPr>
          <w:rFonts w:ascii="Century Gothic" w:hAnsi="Century Gothic"/>
          <w:sz w:val="22"/>
          <w:szCs w:val="22"/>
        </w:rPr>
        <w:t xml:space="preserve">revocar la sentencia de primera instancia. </w:t>
      </w:r>
    </w:p>
    <w:p w14:paraId="45F43C77" w14:textId="77777777" w:rsidR="00CE496B" w:rsidRDefault="00CE496B" w:rsidP="008B6BDF">
      <w:pPr>
        <w:spacing w:line="360" w:lineRule="auto"/>
        <w:jc w:val="both"/>
        <w:rPr>
          <w:rFonts w:ascii="Century Gothic" w:hAnsi="Century Gothic"/>
          <w:sz w:val="22"/>
          <w:szCs w:val="22"/>
        </w:rPr>
      </w:pPr>
    </w:p>
    <w:p w14:paraId="45C08230" w14:textId="77777777" w:rsidR="0078340E" w:rsidRDefault="00CE496B" w:rsidP="008B6BDF">
      <w:pPr>
        <w:spacing w:line="360" w:lineRule="auto"/>
        <w:jc w:val="both"/>
        <w:rPr>
          <w:rFonts w:ascii="Century Gothic" w:hAnsi="Century Gothic"/>
          <w:sz w:val="22"/>
          <w:szCs w:val="22"/>
        </w:rPr>
      </w:pPr>
      <w:r>
        <w:rPr>
          <w:rFonts w:ascii="Century Gothic" w:hAnsi="Century Gothic"/>
          <w:sz w:val="22"/>
          <w:szCs w:val="22"/>
        </w:rPr>
        <w:t>Como sustento de lo anterior, arguyó</w:t>
      </w:r>
      <w:r w:rsidR="008758E4">
        <w:rPr>
          <w:rFonts w:ascii="Century Gothic" w:hAnsi="Century Gothic"/>
          <w:sz w:val="22"/>
          <w:szCs w:val="22"/>
        </w:rPr>
        <w:t>, por una parte,</w:t>
      </w:r>
      <w:r>
        <w:rPr>
          <w:rFonts w:ascii="Century Gothic" w:hAnsi="Century Gothic"/>
          <w:sz w:val="22"/>
          <w:szCs w:val="22"/>
        </w:rPr>
        <w:t xml:space="preserve"> que el Tribunal Administrativo de Cundinamarca había violado su derecho a la defensa y al debido proceso, en la medida </w:t>
      </w:r>
      <w:r w:rsidR="00CA0656">
        <w:rPr>
          <w:rFonts w:ascii="Century Gothic" w:hAnsi="Century Gothic"/>
          <w:sz w:val="22"/>
          <w:szCs w:val="22"/>
        </w:rPr>
        <w:t xml:space="preserve">en </w:t>
      </w:r>
      <w:r>
        <w:rPr>
          <w:rFonts w:ascii="Century Gothic" w:hAnsi="Century Gothic"/>
          <w:sz w:val="22"/>
          <w:szCs w:val="22"/>
        </w:rPr>
        <w:t xml:space="preserve">que no decretó </w:t>
      </w:r>
      <w:r w:rsidR="008758E4">
        <w:rPr>
          <w:rFonts w:ascii="Century Gothic" w:hAnsi="Century Gothic"/>
          <w:sz w:val="22"/>
          <w:szCs w:val="22"/>
        </w:rPr>
        <w:t xml:space="preserve">como prueba los documentos </w:t>
      </w:r>
      <w:r>
        <w:rPr>
          <w:rFonts w:ascii="Century Gothic" w:hAnsi="Century Gothic"/>
          <w:sz w:val="22"/>
          <w:szCs w:val="22"/>
        </w:rPr>
        <w:t>a</w:t>
      </w:r>
      <w:r w:rsidR="008758E4">
        <w:rPr>
          <w:rFonts w:ascii="Century Gothic" w:hAnsi="Century Gothic"/>
          <w:sz w:val="22"/>
          <w:szCs w:val="22"/>
        </w:rPr>
        <w:t>portado</w:t>
      </w:r>
      <w:r>
        <w:rPr>
          <w:rFonts w:ascii="Century Gothic" w:hAnsi="Century Gothic"/>
          <w:sz w:val="22"/>
          <w:szCs w:val="22"/>
        </w:rPr>
        <w:t xml:space="preserve">s por </w:t>
      </w:r>
      <w:r>
        <w:rPr>
          <w:rFonts w:ascii="Century Gothic" w:hAnsi="Century Gothic"/>
          <w:sz w:val="22"/>
          <w:szCs w:val="22"/>
        </w:rPr>
        <w:lastRenderedPageBreak/>
        <w:t xml:space="preserve">CONFIANZA S.A. y sólo tuvo como elementos de convencimiento </w:t>
      </w:r>
      <w:r w:rsidR="008758E4">
        <w:rPr>
          <w:rFonts w:ascii="Century Gothic" w:hAnsi="Century Gothic"/>
          <w:sz w:val="22"/>
          <w:szCs w:val="22"/>
        </w:rPr>
        <w:t xml:space="preserve">para su decisión </w:t>
      </w:r>
      <w:r>
        <w:rPr>
          <w:rFonts w:ascii="Century Gothic" w:hAnsi="Century Gothic"/>
          <w:sz w:val="22"/>
          <w:szCs w:val="22"/>
        </w:rPr>
        <w:t>l</w:t>
      </w:r>
      <w:r w:rsidR="008758E4">
        <w:rPr>
          <w:rFonts w:ascii="Century Gothic" w:hAnsi="Century Gothic"/>
          <w:sz w:val="22"/>
          <w:szCs w:val="22"/>
        </w:rPr>
        <w:t>os aportado</w:t>
      </w:r>
      <w:r>
        <w:rPr>
          <w:rFonts w:ascii="Century Gothic" w:hAnsi="Century Gothic"/>
          <w:sz w:val="22"/>
          <w:szCs w:val="22"/>
        </w:rPr>
        <w:t>s por el IDU</w:t>
      </w:r>
      <w:r w:rsidR="008758E4">
        <w:rPr>
          <w:rFonts w:ascii="Century Gothic" w:hAnsi="Century Gothic"/>
          <w:sz w:val="22"/>
          <w:szCs w:val="22"/>
        </w:rPr>
        <w:t xml:space="preserve">. </w:t>
      </w:r>
    </w:p>
    <w:p w14:paraId="054F46EE" w14:textId="77777777" w:rsidR="0078340E" w:rsidRDefault="0078340E" w:rsidP="008B6BDF">
      <w:pPr>
        <w:spacing w:line="360" w:lineRule="auto"/>
        <w:jc w:val="both"/>
        <w:rPr>
          <w:rFonts w:ascii="Century Gothic" w:hAnsi="Century Gothic"/>
          <w:sz w:val="22"/>
          <w:szCs w:val="22"/>
        </w:rPr>
      </w:pPr>
    </w:p>
    <w:p w14:paraId="4D60C39F" w14:textId="77777777" w:rsidR="00D65958" w:rsidRDefault="008758E4" w:rsidP="008B6BDF">
      <w:pPr>
        <w:spacing w:line="360" w:lineRule="auto"/>
        <w:jc w:val="both"/>
        <w:rPr>
          <w:rFonts w:ascii="Century Gothic" w:hAnsi="Century Gothic"/>
          <w:sz w:val="22"/>
          <w:szCs w:val="22"/>
        </w:rPr>
      </w:pPr>
      <w:r>
        <w:rPr>
          <w:rFonts w:ascii="Century Gothic" w:hAnsi="Century Gothic"/>
          <w:sz w:val="22"/>
          <w:szCs w:val="22"/>
        </w:rPr>
        <w:t>Por otra parte, manifestó que, si bien no es posible discutir la legalidad de los actos administrativos, “</w:t>
      </w:r>
      <w:r w:rsidRPr="008758E4">
        <w:rPr>
          <w:rFonts w:ascii="Century Gothic" w:hAnsi="Century Gothic"/>
          <w:i/>
          <w:sz w:val="22"/>
          <w:szCs w:val="22"/>
        </w:rPr>
        <w:t>lo cierto es que, respecto a los otros actos jurídicos que componen el título ejecutivo, no se le puede negar a Confianza</w:t>
      </w:r>
      <w:r>
        <w:rPr>
          <w:rFonts w:ascii="Century Gothic" w:hAnsi="Century Gothic"/>
          <w:sz w:val="22"/>
          <w:szCs w:val="22"/>
        </w:rPr>
        <w:t xml:space="preserve"> </w:t>
      </w:r>
      <w:r w:rsidRPr="008758E4">
        <w:rPr>
          <w:rFonts w:ascii="Century Gothic" w:hAnsi="Century Gothic"/>
          <w:i/>
          <w:sz w:val="22"/>
          <w:szCs w:val="22"/>
        </w:rPr>
        <w:t xml:space="preserve">el derecho de controvertir </w:t>
      </w:r>
      <w:r>
        <w:rPr>
          <w:rFonts w:ascii="Century Gothic" w:hAnsi="Century Gothic"/>
          <w:i/>
          <w:sz w:val="22"/>
          <w:szCs w:val="22"/>
        </w:rPr>
        <w:t xml:space="preserve">su </w:t>
      </w:r>
      <w:r w:rsidRPr="008758E4">
        <w:rPr>
          <w:rFonts w:ascii="Century Gothic" w:hAnsi="Century Gothic"/>
          <w:i/>
          <w:sz w:val="22"/>
          <w:szCs w:val="22"/>
        </w:rPr>
        <w:t xml:space="preserve">validez </w:t>
      </w:r>
      <w:r>
        <w:rPr>
          <w:rFonts w:ascii="Century Gothic" w:hAnsi="Century Gothic"/>
          <w:i/>
          <w:sz w:val="22"/>
          <w:szCs w:val="22"/>
        </w:rPr>
        <w:t xml:space="preserve"> o su mérito probatorio</w:t>
      </w:r>
      <w:r w:rsidR="00D65958">
        <w:rPr>
          <w:rFonts w:ascii="Century Gothic" w:hAnsi="Century Gothic"/>
          <w:sz w:val="22"/>
          <w:szCs w:val="22"/>
        </w:rPr>
        <w:t>” (</w:t>
      </w:r>
      <w:r>
        <w:rPr>
          <w:rFonts w:ascii="Century Gothic" w:hAnsi="Century Gothic"/>
          <w:sz w:val="22"/>
          <w:szCs w:val="22"/>
        </w:rPr>
        <w:t>esto sin manifestar a cuáles actos hacía referencia</w:t>
      </w:r>
      <w:r w:rsidR="00D65958">
        <w:rPr>
          <w:rFonts w:ascii="Century Gothic" w:hAnsi="Century Gothic"/>
          <w:sz w:val="22"/>
          <w:szCs w:val="22"/>
        </w:rPr>
        <w:t>)</w:t>
      </w:r>
      <w:r>
        <w:rPr>
          <w:rFonts w:ascii="Century Gothic" w:hAnsi="Century Gothic"/>
          <w:sz w:val="22"/>
          <w:szCs w:val="22"/>
        </w:rPr>
        <w:t>.</w:t>
      </w:r>
    </w:p>
    <w:p w14:paraId="143D7638" w14:textId="77777777" w:rsidR="00D65958" w:rsidRDefault="00D65958" w:rsidP="008B6BDF">
      <w:pPr>
        <w:spacing w:line="360" w:lineRule="auto"/>
        <w:jc w:val="both"/>
        <w:rPr>
          <w:rFonts w:ascii="Century Gothic" w:hAnsi="Century Gothic"/>
          <w:sz w:val="22"/>
          <w:szCs w:val="22"/>
        </w:rPr>
      </w:pPr>
    </w:p>
    <w:p w14:paraId="14ECF273" w14:textId="77777777" w:rsidR="00CE496B" w:rsidRPr="00CE496B" w:rsidRDefault="008758E4" w:rsidP="008B6BDF">
      <w:pPr>
        <w:spacing w:line="360" w:lineRule="auto"/>
        <w:jc w:val="both"/>
        <w:rPr>
          <w:rFonts w:ascii="Century Gothic" w:hAnsi="Century Gothic"/>
          <w:sz w:val="22"/>
          <w:szCs w:val="22"/>
        </w:rPr>
      </w:pPr>
      <w:r>
        <w:rPr>
          <w:rFonts w:ascii="Century Gothic" w:hAnsi="Century Gothic"/>
          <w:sz w:val="22"/>
          <w:szCs w:val="22"/>
        </w:rPr>
        <w:t xml:space="preserve"> </w:t>
      </w:r>
      <w:r w:rsidR="00CA0656">
        <w:rPr>
          <w:rFonts w:ascii="Century Gothic" w:hAnsi="Century Gothic"/>
          <w:sz w:val="22"/>
          <w:szCs w:val="22"/>
        </w:rPr>
        <w:t>R</w:t>
      </w:r>
      <w:r>
        <w:rPr>
          <w:rFonts w:ascii="Century Gothic" w:hAnsi="Century Gothic"/>
          <w:sz w:val="22"/>
          <w:szCs w:val="22"/>
        </w:rPr>
        <w:t>eiteró las excepciones</w:t>
      </w:r>
      <w:r w:rsidR="00CA0656">
        <w:rPr>
          <w:rFonts w:ascii="Century Gothic" w:hAnsi="Century Gothic"/>
          <w:sz w:val="22"/>
          <w:szCs w:val="22"/>
        </w:rPr>
        <w:t xml:space="preserve"> </w:t>
      </w:r>
      <w:r>
        <w:rPr>
          <w:rFonts w:ascii="Century Gothic" w:hAnsi="Century Gothic"/>
          <w:sz w:val="22"/>
          <w:szCs w:val="22"/>
        </w:rPr>
        <w:t xml:space="preserve"> de mérito propuestas en la contestaci</w:t>
      </w:r>
      <w:r w:rsidR="007E0CC5">
        <w:rPr>
          <w:rFonts w:ascii="Century Gothic" w:hAnsi="Century Gothic"/>
          <w:sz w:val="22"/>
          <w:szCs w:val="22"/>
        </w:rPr>
        <w:t xml:space="preserve">ón de la demanda </w:t>
      </w:r>
      <w:r w:rsidR="00CA0656">
        <w:rPr>
          <w:rFonts w:ascii="Century Gothic" w:hAnsi="Century Gothic"/>
          <w:sz w:val="22"/>
          <w:szCs w:val="22"/>
        </w:rPr>
        <w:t>(ver pág</w:t>
      </w:r>
      <w:r w:rsidR="00541C40">
        <w:rPr>
          <w:rFonts w:ascii="Century Gothic" w:hAnsi="Century Gothic"/>
          <w:sz w:val="22"/>
          <w:szCs w:val="22"/>
        </w:rPr>
        <w:t>s</w:t>
      </w:r>
      <w:r w:rsidR="00CA0656">
        <w:rPr>
          <w:rFonts w:ascii="Century Gothic" w:hAnsi="Century Gothic"/>
          <w:sz w:val="22"/>
          <w:szCs w:val="22"/>
        </w:rPr>
        <w:t>. 3</w:t>
      </w:r>
      <w:r w:rsidR="00541C40">
        <w:rPr>
          <w:rFonts w:ascii="Century Gothic" w:hAnsi="Century Gothic"/>
          <w:sz w:val="22"/>
          <w:szCs w:val="22"/>
        </w:rPr>
        <w:t xml:space="preserve"> a 6 de esta providencia</w:t>
      </w:r>
      <w:r w:rsidR="00CA0656">
        <w:rPr>
          <w:rFonts w:ascii="Century Gothic" w:hAnsi="Century Gothic"/>
          <w:sz w:val="22"/>
          <w:szCs w:val="22"/>
        </w:rPr>
        <w:t xml:space="preserve">) </w:t>
      </w:r>
      <w:r w:rsidR="007E0CC5">
        <w:rPr>
          <w:rFonts w:ascii="Century Gothic" w:hAnsi="Century Gothic"/>
          <w:sz w:val="22"/>
          <w:szCs w:val="22"/>
        </w:rPr>
        <w:t xml:space="preserve">y, finalmente, </w:t>
      </w:r>
      <w:r w:rsidR="00CA0656">
        <w:rPr>
          <w:rFonts w:ascii="Century Gothic" w:hAnsi="Century Gothic"/>
          <w:sz w:val="22"/>
          <w:szCs w:val="22"/>
        </w:rPr>
        <w:t>esgrimió</w:t>
      </w:r>
      <w:r w:rsidR="007E0CC5">
        <w:rPr>
          <w:rFonts w:ascii="Century Gothic" w:hAnsi="Century Gothic"/>
          <w:sz w:val="22"/>
          <w:szCs w:val="22"/>
        </w:rPr>
        <w:t xml:space="preserve"> que, </w:t>
      </w:r>
      <w:r w:rsidR="00CA0656">
        <w:rPr>
          <w:rFonts w:ascii="Century Gothic" w:hAnsi="Century Gothic"/>
          <w:sz w:val="22"/>
          <w:szCs w:val="22"/>
        </w:rPr>
        <w:t xml:space="preserve">conforme a </w:t>
      </w:r>
      <w:r w:rsidR="007E0CC5">
        <w:rPr>
          <w:rFonts w:ascii="Century Gothic" w:hAnsi="Century Gothic"/>
          <w:sz w:val="22"/>
          <w:szCs w:val="22"/>
        </w:rPr>
        <w:t>todo lo anterior, “</w:t>
      </w:r>
      <w:r w:rsidR="007E0CC5" w:rsidRPr="007E0CC5">
        <w:rPr>
          <w:rFonts w:ascii="Century Gothic" w:hAnsi="Century Gothic"/>
          <w:i/>
          <w:sz w:val="22"/>
          <w:szCs w:val="22"/>
        </w:rPr>
        <w:t>no se presentaron los supuestos de hecho en los que pueda fundarse un pretendido incumplimiento del contratista de las obligaciones por él asumidas, mucho menos el cobro de la garantía de estabilidad de obra … además, que el IDU no se encuentra entonces legitimado para exigir que se ejecuten las determinaciones que él adoptó en las Resoluciones 1999 de 28 de abril de 2005 y 6057 de 15 de septiembre de 2005, ni mucho menos para exigir una pretendida indemnización de perjuicios con fundamento en lo que en ellas se consignó</w:t>
      </w:r>
      <w:r w:rsidR="007E0CC5">
        <w:rPr>
          <w:rFonts w:ascii="Century Gothic" w:hAnsi="Century Gothic"/>
          <w:sz w:val="22"/>
          <w:szCs w:val="22"/>
        </w:rPr>
        <w:t xml:space="preserve">” </w:t>
      </w:r>
      <w:r>
        <w:rPr>
          <w:rFonts w:ascii="Century Gothic" w:hAnsi="Century Gothic"/>
          <w:sz w:val="22"/>
          <w:szCs w:val="22"/>
        </w:rPr>
        <w:t xml:space="preserve"> (225 a 236 C. </w:t>
      </w:r>
      <w:proofErr w:type="spellStart"/>
      <w:r>
        <w:rPr>
          <w:rFonts w:ascii="Century Gothic" w:hAnsi="Century Gothic"/>
          <w:sz w:val="22"/>
          <w:szCs w:val="22"/>
        </w:rPr>
        <w:t>Ppal</w:t>
      </w:r>
      <w:proofErr w:type="spellEnd"/>
      <w:r>
        <w:rPr>
          <w:rFonts w:ascii="Century Gothic" w:hAnsi="Century Gothic"/>
          <w:sz w:val="22"/>
          <w:szCs w:val="22"/>
        </w:rPr>
        <w:t>).</w:t>
      </w:r>
    </w:p>
    <w:p w14:paraId="611DF0C7" w14:textId="77777777" w:rsidR="009832FF" w:rsidRDefault="009832FF" w:rsidP="008B6BDF">
      <w:pPr>
        <w:spacing w:line="360" w:lineRule="auto"/>
        <w:jc w:val="both"/>
        <w:rPr>
          <w:rFonts w:ascii="Century Gothic" w:hAnsi="Century Gothic"/>
          <w:sz w:val="22"/>
          <w:szCs w:val="22"/>
        </w:rPr>
      </w:pPr>
    </w:p>
    <w:p w14:paraId="54AAFBAD" w14:textId="77777777" w:rsidR="000756AC" w:rsidRDefault="00D65958" w:rsidP="008B6BDF">
      <w:pPr>
        <w:spacing w:line="360" w:lineRule="auto"/>
        <w:jc w:val="both"/>
        <w:rPr>
          <w:rFonts w:ascii="Century Gothic" w:hAnsi="Century Gothic"/>
          <w:sz w:val="22"/>
          <w:szCs w:val="22"/>
        </w:rPr>
      </w:pPr>
      <w:r>
        <w:rPr>
          <w:rFonts w:ascii="Century Gothic" w:hAnsi="Century Gothic"/>
          <w:sz w:val="22"/>
          <w:szCs w:val="22"/>
        </w:rPr>
        <w:t xml:space="preserve">7.2. </w:t>
      </w:r>
      <w:r w:rsidR="000756AC">
        <w:rPr>
          <w:rFonts w:ascii="Century Gothic" w:hAnsi="Century Gothic"/>
          <w:sz w:val="22"/>
          <w:szCs w:val="22"/>
        </w:rPr>
        <w:t>Por auto del 30 de enero de 2013, el a quo concedió, en el efecto suspensivo, el recurso de apelación interpuesto y, por ende, lo remitió a esta Corporación (</w:t>
      </w:r>
      <w:proofErr w:type="spellStart"/>
      <w:r w:rsidR="000756AC">
        <w:rPr>
          <w:rFonts w:ascii="Century Gothic" w:hAnsi="Century Gothic"/>
          <w:sz w:val="22"/>
          <w:szCs w:val="22"/>
        </w:rPr>
        <w:t>fl</w:t>
      </w:r>
      <w:proofErr w:type="spellEnd"/>
      <w:r w:rsidR="000756AC">
        <w:rPr>
          <w:rFonts w:ascii="Century Gothic" w:hAnsi="Century Gothic"/>
          <w:sz w:val="22"/>
          <w:szCs w:val="22"/>
        </w:rPr>
        <w:t xml:space="preserve">. 238 C. </w:t>
      </w:r>
      <w:proofErr w:type="spellStart"/>
      <w:r w:rsidR="000756AC">
        <w:rPr>
          <w:rFonts w:ascii="Century Gothic" w:hAnsi="Century Gothic"/>
          <w:sz w:val="22"/>
          <w:szCs w:val="22"/>
        </w:rPr>
        <w:t>Ppal</w:t>
      </w:r>
      <w:proofErr w:type="spellEnd"/>
      <w:r w:rsidR="000756AC">
        <w:rPr>
          <w:rFonts w:ascii="Century Gothic" w:hAnsi="Century Gothic"/>
          <w:sz w:val="22"/>
          <w:szCs w:val="22"/>
        </w:rPr>
        <w:t>)</w:t>
      </w:r>
      <w:r w:rsidR="005F664C">
        <w:rPr>
          <w:rFonts w:ascii="Century Gothic" w:hAnsi="Century Gothic"/>
          <w:sz w:val="22"/>
          <w:szCs w:val="22"/>
        </w:rPr>
        <w:t>.</w:t>
      </w:r>
    </w:p>
    <w:p w14:paraId="3E85FF94" w14:textId="77777777" w:rsidR="00BA4769" w:rsidRDefault="00BA4769" w:rsidP="008B6BDF">
      <w:pPr>
        <w:spacing w:line="360" w:lineRule="auto"/>
        <w:jc w:val="both"/>
        <w:rPr>
          <w:rFonts w:ascii="Century Gothic" w:hAnsi="Century Gothic"/>
          <w:sz w:val="22"/>
          <w:szCs w:val="22"/>
        </w:rPr>
      </w:pPr>
    </w:p>
    <w:p w14:paraId="35AAA18A" w14:textId="77777777" w:rsidR="008B6BDF" w:rsidRPr="00905BCF" w:rsidRDefault="008B6BDF" w:rsidP="00CC039C">
      <w:pPr>
        <w:pStyle w:val="Sangra3detindependiente10"/>
        <w:numPr>
          <w:ilvl w:val="0"/>
          <w:numId w:val="2"/>
        </w:numPr>
        <w:jc w:val="center"/>
        <w:rPr>
          <w:b/>
          <w:bCs/>
          <w:szCs w:val="22"/>
          <w:lang w:val="es-CO"/>
        </w:rPr>
      </w:pPr>
      <w:r w:rsidRPr="00905BCF">
        <w:rPr>
          <w:b/>
          <w:bCs/>
          <w:szCs w:val="22"/>
          <w:lang w:val="es-CO"/>
        </w:rPr>
        <w:t>TRÁMITE DE SEGUNDA INSTANCIA</w:t>
      </w:r>
    </w:p>
    <w:p w14:paraId="6E03FDA0" w14:textId="77777777" w:rsidR="008B6BDF" w:rsidRDefault="008B6BDF" w:rsidP="008B6BDF">
      <w:pPr>
        <w:pStyle w:val="Sangra3detindependiente10"/>
        <w:jc w:val="center"/>
        <w:rPr>
          <w:b/>
          <w:bCs/>
          <w:szCs w:val="22"/>
          <w:lang w:val="es-CO"/>
        </w:rPr>
      </w:pPr>
    </w:p>
    <w:p w14:paraId="2A25E2CE" w14:textId="77777777" w:rsidR="00D65958" w:rsidRPr="00D65958" w:rsidRDefault="00D65958" w:rsidP="007E0CC5">
      <w:pPr>
        <w:pStyle w:val="Sangra3detindependiente10"/>
        <w:ind w:firstLine="0"/>
        <w:rPr>
          <w:b/>
          <w:bCs/>
          <w:szCs w:val="22"/>
          <w:lang w:val="es-CO"/>
        </w:rPr>
      </w:pPr>
      <w:r>
        <w:rPr>
          <w:b/>
          <w:bCs/>
          <w:szCs w:val="22"/>
          <w:lang w:val="es-CO"/>
        </w:rPr>
        <w:t xml:space="preserve">1.- Admisión y traslado. </w:t>
      </w:r>
    </w:p>
    <w:p w14:paraId="0A7AC019" w14:textId="77777777" w:rsidR="00D65958" w:rsidRDefault="00D65958" w:rsidP="007E0CC5">
      <w:pPr>
        <w:pStyle w:val="Sangra3detindependiente10"/>
        <w:ind w:firstLine="0"/>
        <w:rPr>
          <w:bCs/>
          <w:szCs w:val="22"/>
          <w:lang w:val="es-CO"/>
        </w:rPr>
      </w:pPr>
    </w:p>
    <w:p w14:paraId="22282898" w14:textId="77777777" w:rsidR="007E0CC5" w:rsidRDefault="007E0CC5" w:rsidP="007E0CC5">
      <w:pPr>
        <w:pStyle w:val="Sangra3detindependiente10"/>
        <w:ind w:firstLine="0"/>
        <w:rPr>
          <w:bCs/>
          <w:szCs w:val="22"/>
          <w:lang w:val="es-CO"/>
        </w:rPr>
      </w:pPr>
      <w:r>
        <w:rPr>
          <w:bCs/>
          <w:szCs w:val="22"/>
          <w:lang w:val="es-CO"/>
        </w:rPr>
        <w:t>Mediante auto del 27 de mayo de 2013, este despacho admitió el recurso de apelación interpuesto por CONFIANZA S.A. contra la sentencia del 10 de octubre de 2012, proferida por el Tribunal Administrativo de Cundinamarca, Sección Tercera, Subsección “B”, que ordenó seguir adelante con la ejecución (</w:t>
      </w:r>
      <w:proofErr w:type="spellStart"/>
      <w:r>
        <w:rPr>
          <w:bCs/>
          <w:szCs w:val="22"/>
          <w:lang w:val="es-CO"/>
        </w:rPr>
        <w:t>fl</w:t>
      </w:r>
      <w:proofErr w:type="spellEnd"/>
      <w:r>
        <w:rPr>
          <w:bCs/>
          <w:szCs w:val="22"/>
          <w:lang w:val="es-CO"/>
        </w:rPr>
        <w:t xml:space="preserve">. 242 C. </w:t>
      </w:r>
      <w:proofErr w:type="spellStart"/>
      <w:r>
        <w:rPr>
          <w:bCs/>
          <w:szCs w:val="22"/>
          <w:lang w:val="es-CO"/>
        </w:rPr>
        <w:t>Ppal</w:t>
      </w:r>
      <w:proofErr w:type="spellEnd"/>
      <w:r>
        <w:rPr>
          <w:bCs/>
          <w:szCs w:val="22"/>
          <w:lang w:val="es-CO"/>
        </w:rPr>
        <w:t>).</w:t>
      </w:r>
    </w:p>
    <w:p w14:paraId="79AA1AD1" w14:textId="77777777" w:rsidR="007E0CC5" w:rsidRDefault="007E0CC5" w:rsidP="007E0CC5">
      <w:pPr>
        <w:pStyle w:val="Sangra3detindependiente10"/>
        <w:ind w:firstLine="0"/>
        <w:rPr>
          <w:bCs/>
          <w:szCs w:val="22"/>
          <w:lang w:val="es-CO"/>
        </w:rPr>
      </w:pPr>
    </w:p>
    <w:p w14:paraId="0DD3CEB2" w14:textId="77777777" w:rsidR="007E0CC5" w:rsidRDefault="007E0CC5" w:rsidP="007E0CC5">
      <w:pPr>
        <w:pStyle w:val="Sangra3detindependiente10"/>
        <w:ind w:firstLine="0"/>
        <w:rPr>
          <w:bCs/>
          <w:szCs w:val="22"/>
          <w:lang w:val="es-CO"/>
        </w:rPr>
      </w:pPr>
      <w:r>
        <w:rPr>
          <w:bCs/>
          <w:szCs w:val="22"/>
          <w:lang w:val="es-CO"/>
        </w:rPr>
        <w:t>Mediante providencia del 3 de julio de 2013, se corrió traslado a las partes para alegar de conclusión</w:t>
      </w:r>
      <w:r w:rsidR="000756AC">
        <w:rPr>
          <w:bCs/>
          <w:szCs w:val="22"/>
          <w:lang w:val="es-CO"/>
        </w:rPr>
        <w:t>.</w:t>
      </w:r>
    </w:p>
    <w:p w14:paraId="11AD456E" w14:textId="77777777" w:rsidR="000756AC" w:rsidRDefault="000756AC" w:rsidP="007E0CC5">
      <w:pPr>
        <w:pStyle w:val="Sangra3detindependiente10"/>
        <w:ind w:firstLine="0"/>
        <w:rPr>
          <w:bCs/>
          <w:szCs w:val="22"/>
          <w:lang w:val="es-CO"/>
        </w:rPr>
      </w:pPr>
    </w:p>
    <w:p w14:paraId="3F4D3A5E" w14:textId="77777777" w:rsidR="000756AC" w:rsidRDefault="00D65958" w:rsidP="007E0CC5">
      <w:pPr>
        <w:pStyle w:val="Sangra3detindependiente10"/>
        <w:ind w:firstLine="0"/>
        <w:rPr>
          <w:b/>
          <w:bCs/>
          <w:szCs w:val="22"/>
          <w:lang w:val="es-CO"/>
        </w:rPr>
      </w:pPr>
      <w:r>
        <w:rPr>
          <w:b/>
          <w:bCs/>
          <w:szCs w:val="22"/>
          <w:lang w:val="es-CO"/>
        </w:rPr>
        <w:t xml:space="preserve">2.- </w:t>
      </w:r>
      <w:r w:rsidR="000756AC" w:rsidRPr="000756AC">
        <w:rPr>
          <w:b/>
          <w:bCs/>
          <w:szCs w:val="22"/>
          <w:lang w:val="es-CO"/>
        </w:rPr>
        <w:t>Alegatos de conclusión.</w:t>
      </w:r>
    </w:p>
    <w:p w14:paraId="10C504D7" w14:textId="77777777" w:rsidR="000756AC" w:rsidRDefault="000756AC" w:rsidP="007E0CC5">
      <w:pPr>
        <w:pStyle w:val="Sangra3detindependiente10"/>
        <w:ind w:firstLine="0"/>
        <w:rPr>
          <w:b/>
          <w:bCs/>
          <w:szCs w:val="22"/>
          <w:lang w:val="es-CO"/>
        </w:rPr>
      </w:pPr>
    </w:p>
    <w:p w14:paraId="715753AA" w14:textId="77777777" w:rsidR="000756AC" w:rsidRDefault="00D65958" w:rsidP="007E0CC5">
      <w:pPr>
        <w:pStyle w:val="Sangra3detindependiente10"/>
        <w:ind w:firstLine="0"/>
        <w:rPr>
          <w:bCs/>
          <w:szCs w:val="22"/>
          <w:lang w:val="es-CO"/>
        </w:rPr>
      </w:pPr>
      <w:r>
        <w:rPr>
          <w:bCs/>
          <w:szCs w:val="22"/>
          <w:lang w:val="es-CO"/>
        </w:rPr>
        <w:t xml:space="preserve">2.1. </w:t>
      </w:r>
      <w:r w:rsidR="000756AC" w:rsidRPr="000756AC">
        <w:rPr>
          <w:bCs/>
          <w:szCs w:val="22"/>
          <w:lang w:val="es-CO"/>
        </w:rPr>
        <w:t xml:space="preserve">CONFIANZA S.A. </w:t>
      </w:r>
      <w:r w:rsidR="000756AC">
        <w:rPr>
          <w:bCs/>
          <w:szCs w:val="22"/>
          <w:lang w:val="es-CO"/>
        </w:rPr>
        <w:t>se limitó a reiterar los mismos argumentos que fundamentaron su recurso de apelación (</w:t>
      </w:r>
      <w:proofErr w:type="spellStart"/>
      <w:r w:rsidR="000756AC">
        <w:rPr>
          <w:bCs/>
          <w:szCs w:val="22"/>
          <w:lang w:val="es-CO"/>
        </w:rPr>
        <w:t>fls</w:t>
      </w:r>
      <w:proofErr w:type="spellEnd"/>
      <w:r w:rsidR="000756AC">
        <w:rPr>
          <w:bCs/>
          <w:szCs w:val="22"/>
          <w:lang w:val="es-CO"/>
        </w:rPr>
        <w:t xml:space="preserve">. 245 a 257 C. </w:t>
      </w:r>
      <w:proofErr w:type="spellStart"/>
      <w:r w:rsidR="000756AC">
        <w:rPr>
          <w:bCs/>
          <w:szCs w:val="22"/>
          <w:lang w:val="es-CO"/>
        </w:rPr>
        <w:t>Ppal</w:t>
      </w:r>
      <w:proofErr w:type="spellEnd"/>
      <w:r w:rsidR="000756AC">
        <w:rPr>
          <w:bCs/>
          <w:szCs w:val="22"/>
          <w:lang w:val="es-CO"/>
        </w:rPr>
        <w:t xml:space="preserve">). </w:t>
      </w:r>
    </w:p>
    <w:p w14:paraId="3E319D5D" w14:textId="77777777" w:rsidR="000756AC" w:rsidRDefault="000756AC" w:rsidP="007E0CC5">
      <w:pPr>
        <w:pStyle w:val="Sangra3detindependiente10"/>
        <w:ind w:firstLine="0"/>
        <w:rPr>
          <w:bCs/>
          <w:szCs w:val="22"/>
          <w:lang w:val="es-CO"/>
        </w:rPr>
      </w:pPr>
    </w:p>
    <w:p w14:paraId="106ED553" w14:textId="77777777" w:rsidR="007F6172" w:rsidRDefault="00D65958" w:rsidP="007E0CC5">
      <w:pPr>
        <w:pStyle w:val="Sangra3detindependiente10"/>
        <w:ind w:firstLine="0"/>
        <w:rPr>
          <w:bCs/>
          <w:szCs w:val="22"/>
          <w:lang w:val="es-CO"/>
        </w:rPr>
      </w:pPr>
      <w:r>
        <w:rPr>
          <w:bCs/>
          <w:szCs w:val="22"/>
          <w:lang w:val="es-CO"/>
        </w:rPr>
        <w:t xml:space="preserve">2.2. </w:t>
      </w:r>
      <w:r w:rsidR="000756AC">
        <w:rPr>
          <w:bCs/>
          <w:szCs w:val="22"/>
          <w:lang w:val="es-CO"/>
        </w:rPr>
        <w:t>El IDU señaló, en síntesis, que la sentencia de primera instancia deb</w:t>
      </w:r>
      <w:r w:rsidR="00022B2A">
        <w:rPr>
          <w:bCs/>
          <w:szCs w:val="22"/>
          <w:lang w:val="es-CO"/>
        </w:rPr>
        <w:t>ía</w:t>
      </w:r>
      <w:r w:rsidR="000756AC">
        <w:rPr>
          <w:bCs/>
          <w:szCs w:val="22"/>
          <w:lang w:val="es-CO"/>
        </w:rPr>
        <w:t xml:space="preserve"> ser confirmada, por cuanto las excepciones propuestas por el ejecutado no so</w:t>
      </w:r>
      <w:r w:rsidR="000A586B">
        <w:rPr>
          <w:bCs/>
          <w:szCs w:val="22"/>
          <w:lang w:val="es-CO"/>
        </w:rPr>
        <w:t xml:space="preserve">n las que contempla el artículo </w:t>
      </w:r>
      <w:r w:rsidR="000756AC">
        <w:rPr>
          <w:bCs/>
          <w:szCs w:val="22"/>
          <w:lang w:val="es-CO"/>
        </w:rPr>
        <w:t>509 del C. de P.C., según el cual, en un proceso ejecutivo, sólo tienen vocación de prosperidad aquéllas que demuestren pago, compensación, confusión, novación, remisión, prescripción o transacción, siempre que se fundamenten en hechos ocurridos con posterioridad a la expedición del acto administrativo que comp</w:t>
      </w:r>
      <w:r w:rsidR="00022B2A">
        <w:rPr>
          <w:bCs/>
          <w:szCs w:val="22"/>
          <w:lang w:val="es-CO"/>
        </w:rPr>
        <w:t>one o sirve de título ejecutivo. C</w:t>
      </w:r>
      <w:r w:rsidR="000A586B">
        <w:rPr>
          <w:bCs/>
          <w:szCs w:val="22"/>
          <w:lang w:val="es-CO"/>
        </w:rPr>
        <w:t xml:space="preserve">omo </w:t>
      </w:r>
      <w:r w:rsidR="007F6172">
        <w:rPr>
          <w:bCs/>
          <w:szCs w:val="22"/>
          <w:lang w:val="es-CO"/>
        </w:rPr>
        <w:t xml:space="preserve">las </w:t>
      </w:r>
      <w:r w:rsidR="000756AC">
        <w:rPr>
          <w:bCs/>
          <w:szCs w:val="22"/>
          <w:lang w:val="es-CO"/>
        </w:rPr>
        <w:t xml:space="preserve">excepciones </w:t>
      </w:r>
      <w:r w:rsidR="000A586B">
        <w:rPr>
          <w:bCs/>
          <w:szCs w:val="22"/>
          <w:lang w:val="es-CO"/>
        </w:rPr>
        <w:t xml:space="preserve">propuestas por el ejecutado buscan un análisis de legalidad de parte del juez ejecutivo, aseguró, no hay duda de que </w:t>
      </w:r>
      <w:r w:rsidR="007F6172">
        <w:rPr>
          <w:bCs/>
          <w:szCs w:val="22"/>
          <w:lang w:val="es-CO"/>
        </w:rPr>
        <w:t>deben ser rechazadas (</w:t>
      </w:r>
      <w:proofErr w:type="spellStart"/>
      <w:r w:rsidR="007F6172">
        <w:rPr>
          <w:bCs/>
          <w:szCs w:val="22"/>
          <w:lang w:val="es-CO"/>
        </w:rPr>
        <w:t>fls</w:t>
      </w:r>
      <w:proofErr w:type="spellEnd"/>
      <w:r w:rsidR="007F6172">
        <w:rPr>
          <w:bCs/>
          <w:szCs w:val="22"/>
          <w:lang w:val="es-CO"/>
        </w:rPr>
        <w:t xml:space="preserve">. 258 a 260 C. </w:t>
      </w:r>
      <w:proofErr w:type="spellStart"/>
      <w:r w:rsidR="007F6172">
        <w:rPr>
          <w:bCs/>
          <w:szCs w:val="22"/>
          <w:lang w:val="es-CO"/>
        </w:rPr>
        <w:t>Ppal</w:t>
      </w:r>
      <w:proofErr w:type="spellEnd"/>
      <w:r w:rsidR="007F6172">
        <w:rPr>
          <w:bCs/>
          <w:szCs w:val="22"/>
          <w:lang w:val="es-CO"/>
        </w:rPr>
        <w:t>).</w:t>
      </w:r>
    </w:p>
    <w:p w14:paraId="06FA9125" w14:textId="77777777" w:rsidR="007F6172" w:rsidRDefault="007F6172" w:rsidP="007E0CC5">
      <w:pPr>
        <w:pStyle w:val="Sangra3detindependiente10"/>
        <w:ind w:firstLine="0"/>
        <w:rPr>
          <w:bCs/>
          <w:szCs w:val="22"/>
          <w:lang w:val="es-CO"/>
        </w:rPr>
      </w:pPr>
    </w:p>
    <w:p w14:paraId="559EF090" w14:textId="77777777" w:rsidR="000756AC" w:rsidRDefault="00D65958" w:rsidP="007E0CC5">
      <w:pPr>
        <w:pStyle w:val="Sangra3detindependiente10"/>
        <w:ind w:firstLine="0"/>
        <w:rPr>
          <w:bCs/>
          <w:szCs w:val="22"/>
          <w:lang w:val="es-CO"/>
        </w:rPr>
      </w:pPr>
      <w:r>
        <w:rPr>
          <w:bCs/>
          <w:szCs w:val="22"/>
          <w:lang w:val="es-CO"/>
        </w:rPr>
        <w:t xml:space="preserve">2.3. </w:t>
      </w:r>
      <w:r w:rsidR="007F6172">
        <w:rPr>
          <w:bCs/>
          <w:szCs w:val="22"/>
          <w:lang w:val="es-CO"/>
        </w:rPr>
        <w:t xml:space="preserve">El </w:t>
      </w:r>
      <w:r w:rsidR="00163103">
        <w:rPr>
          <w:bCs/>
          <w:szCs w:val="22"/>
          <w:lang w:val="es-CO"/>
        </w:rPr>
        <w:t>M</w:t>
      </w:r>
      <w:r w:rsidR="007F6172">
        <w:rPr>
          <w:bCs/>
          <w:szCs w:val="22"/>
          <w:lang w:val="es-CO"/>
        </w:rPr>
        <w:t xml:space="preserve">inisterio Público no se manifestó. </w:t>
      </w:r>
    </w:p>
    <w:p w14:paraId="4D7FA006" w14:textId="77777777" w:rsidR="00163103" w:rsidRDefault="00163103" w:rsidP="007E0CC5">
      <w:pPr>
        <w:pStyle w:val="Sangra3detindependiente10"/>
        <w:ind w:firstLine="0"/>
        <w:rPr>
          <w:bCs/>
          <w:szCs w:val="22"/>
          <w:lang w:val="es-CO"/>
        </w:rPr>
      </w:pPr>
    </w:p>
    <w:p w14:paraId="342AEC9C" w14:textId="77777777" w:rsidR="008B6BDF" w:rsidRPr="00905BCF" w:rsidRDefault="008B6BDF" w:rsidP="00CC039C">
      <w:pPr>
        <w:pStyle w:val="Sangra3detindependiente10"/>
        <w:numPr>
          <w:ilvl w:val="0"/>
          <w:numId w:val="2"/>
        </w:numPr>
        <w:jc w:val="center"/>
        <w:rPr>
          <w:b/>
          <w:bCs/>
          <w:szCs w:val="22"/>
        </w:rPr>
      </w:pPr>
      <w:r w:rsidRPr="00905BCF">
        <w:rPr>
          <w:b/>
          <w:bCs/>
          <w:szCs w:val="22"/>
        </w:rPr>
        <w:t>CONSIDERACIONES</w:t>
      </w:r>
    </w:p>
    <w:p w14:paraId="6DC3DBC2" w14:textId="77777777" w:rsidR="008B6BDF" w:rsidRDefault="008B6BDF" w:rsidP="008B6BDF">
      <w:pPr>
        <w:pStyle w:val="Textoindependiente"/>
        <w:spacing w:line="360" w:lineRule="auto"/>
        <w:ind w:firstLine="708"/>
        <w:rPr>
          <w:szCs w:val="22"/>
        </w:rPr>
      </w:pPr>
    </w:p>
    <w:p w14:paraId="0DD29F6F" w14:textId="77777777" w:rsidR="008B6BDF" w:rsidRPr="00905BCF" w:rsidRDefault="00D65958" w:rsidP="008B6BDF">
      <w:pPr>
        <w:tabs>
          <w:tab w:val="left" w:pos="709"/>
        </w:tabs>
        <w:spacing w:line="360" w:lineRule="auto"/>
        <w:jc w:val="both"/>
        <w:rPr>
          <w:rFonts w:ascii="Century Gothic" w:hAnsi="Century Gothic"/>
          <w:b/>
          <w:sz w:val="22"/>
          <w:szCs w:val="22"/>
          <w:lang w:val="es-CO"/>
        </w:rPr>
      </w:pPr>
      <w:r>
        <w:rPr>
          <w:rFonts w:ascii="Century Gothic" w:hAnsi="Century Gothic"/>
          <w:b/>
          <w:sz w:val="22"/>
          <w:szCs w:val="22"/>
          <w:lang w:val="es-CO"/>
        </w:rPr>
        <w:t xml:space="preserve">1.- </w:t>
      </w:r>
      <w:r w:rsidR="008E3550">
        <w:rPr>
          <w:rFonts w:ascii="Century Gothic" w:hAnsi="Century Gothic"/>
          <w:b/>
          <w:sz w:val="22"/>
          <w:szCs w:val="22"/>
          <w:lang w:val="es-CO"/>
        </w:rPr>
        <w:t>Jurisdicción y c</w:t>
      </w:r>
      <w:r w:rsidR="008B6BDF" w:rsidRPr="00905BCF">
        <w:rPr>
          <w:rFonts w:ascii="Century Gothic" w:hAnsi="Century Gothic"/>
          <w:b/>
          <w:sz w:val="22"/>
          <w:szCs w:val="22"/>
          <w:lang w:val="es-CO"/>
        </w:rPr>
        <w:t>ompetencia</w:t>
      </w:r>
      <w:r w:rsidR="008E5CE2">
        <w:rPr>
          <w:rFonts w:ascii="Century Gothic" w:hAnsi="Century Gothic"/>
          <w:b/>
          <w:sz w:val="22"/>
          <w:szCs w:val="22"/>
          <w:lang w:val="es-CO"/>
        </w:rPr>
        <w:t>.</w:t>
      </w:r>
    </w:p>
    <w:p w14:paraId="643B25D6" w14:textId="77777777" w:rsidR="008B6BDF" w:rsidRPr="00075587" w:rsidRDefault="008B6BDF" w:rsidP="008B6BDF">
      <w:pPr>
        <w:spacing w:line="360" w:lineRule="auto"/>
        <w:jc w:val="both"/>
        <w:rPr>
          <w:rFonts w:ascii="Century Gothic" w:hAnsi="Century Gothic" w:cs="Arial"/>
          <w:sz w:val="22"/>
          <w:szCs w:val="22"/>
        </w:rPr>
      </w:pPr>
    </w:p>
    <w:p w14:paraId="4C276BA4" w14:textId="77777777" w:rsidR="00E417F3" w:rsidRDefault="008E3550" w:rsidP="003549C6">
      <w:pPr>
        <w:widowControl w:val="0"/>
        <w:autoSpaceDE w:val="0"/>
        <w:autoSpaceDN w:val="0"/>
        <w:adjustRightInd w:val="0"/>
        <w:spacing w:line="360" w:lineRule="auto"/>
        <w:jc w:val="both"/>
        <w:rPr>
          <w:rFonts w:ascii="Century Gothic" w:hAnsi="Century Gothic"/>
          <w:sz w:val="22"/>
          <w:szCs w:val="22"/>
        </w:rPr>
      </w:pPr>
      <w:r>
        <w:rPr>
          <w:rFonts w:ascii="Century Gothic" w:hAnsi="Century Gothic"/>
          <w:sz w:val="22"/>
          <w:szCs w:val="22"/>
        </w:rPr>
        <w:t xml:space="preserve">Esta corporación tiene jurisdicción para conocer </w:t>
      </w:r>
      <w:r w:rsidR="00977378">
        <w:rPr>
          <w:rFonts w:ascii="Century Gothic" w:hAnsi="Century Gothic"/>
          <w:sz w:val="22"/>
          <w:szCs w:val="22"/>
        </w:rPr>
        <w:t>d</w:t>
      </w:r>
      <w:r>
        <w:rPr>
          <w:rFonts w:ascii="Century Gothic" w:hAnsi="Century Gothic"/>
          <w:sz w:val="22"/>
          <w:szCs w:val="22"/>
        </w:rPr>
        <w:t xml:space="preserve">el asunto de </w:t>
      </w:r>
      <w:r w:rsidR="00977378">
        <w:rPr>
          <w:rFonts w:ascii="Century Gothic" w:hAnsi="Century Gothic"/>
          <w:sz w:val="22"/>
          <w:szCs w:val="22"/>
        </w:rPr>
        <w:t>la referencia</w:t>
      </w:r>
      <w:r>
        <w:rPr>
          <w:rFonts w:ascii="Century Gothic" w:hAnsi="Century Gothic"/>
          <w:sz w:val="22"/>
          <w:szCs w:val="22"/>
        </w:rPr>
        <w:t>,</w:t>
      </w:r>
      <w:r w:rsidR="00E417F3">
        <w:rPr>
          <w:rFonts w:ascii="Century Gothic" w:hAnsi="Century Gothic"/>
          <w:sz w:val="22"/>
          <w:szCs w:val="22"/>
        </w:rPr>
        <w:t xml:space="preserve"> </w:t>
      </w:r>
      <w:r w:rsidR="00977378">
        <w:rPr>
          <w:rFonts w:ascii="Century Gothic" w:hAnsi="Century Gothic"/>
          <w:sz w:val="22"/>
          <w:szCs w:val="22"/>
        </w:rPr>
        <w:t>toda vez que</w:t>
      </w:r>
      <w:r w:rsidR="00E417F3">
        <w:rPr>
          <w:rFonts w:ascii="Century Gothic" w:hAnsi="Century Gothic"/>
          <w:sz w:val="22"/>
          <w:szCs w:val="22"/>
        </w:rPr>
        <w:t xml:space="preserve">, al ser </w:t>
      </w:r>
      <w:r>
        <w:rPr>
          <w:rFonts w:ascii="Century Gothic" w:hAnsi="Century Gothic"/>
          <w:sz w:val="22"/>
          <w:szCs w:val="22"/>
        </w:rPr>
        <w:t xml:space="preserve">la póliza de seguros </w:t>
      </w:r>
      <w:r w:rsidR="00F022A9">
        <w:rPr>
          <w:rFonts w:ascii="Century Gothic" w:hAnsi="Century Gothic" w:cs="Tahoma"/>
          <w:sz w:val="22"/>
          <w:szCs w:val="22"/>
        </w:rPr>
        <w:t xml:space="preserve">G U01001141035 </w:t>
      </w:r>
      <w:r w:rsidR="00E417F3">
        <w:rPr>
          <w:rFonts w:ascii="Century Gothic" w:hAnsi="Century Gothic"/>
          <w:sz w:val="22"/>
          <w:szCs w:val="22"/>
        </w:rPr>
        <w:t xml:space="preserve">una forma de aval de parte del contratista CONCIVILES S.A. </w:t>
      </w:r>
      <w:r w:rsidR="00D65958">
        <w:rPr>
          <w:rFonts w:ascii="Century Gothic" w:hAnsi="Century Gothic"/>
          <w:sz w:val="22"/>
          <w:szCs w:val="22"/>
        </w:rPr>
        <w:t xml:space="preserve">respecto del </w:t>
      </w:r>
      <w:r w:rsidR="00E417F3" w:rsidRPr="00977378">
        <w:rPr>
          <w:rFonts w:ascii="Century Gothic" w:hAnsi="Century Gothic"/>
          <w:sz w:val="22"/>
          <w:szCs w:val="22"/>
        </w:rPr>
        <w:t>cumplimiento de las obligaciones surgida</w:t>
      </w:r>
      <w:r w:rsidR="00977378">
        <w:rPr>
          <w:rFonts w:ascii="Century Gothic" w:hAnsi="Century Gothic"/>
          <w:sz w:val="22"/>
          <w:szCs w:val="22"/>
        </w:rPr>
        <w:t xml:space="preserve">s del </w:t>
      </w:r>
      <w:r w:rsidR="00E417F3" w:rsidRPr="00977378">
        <w:rPr>
          <w:rFonts w:ascii="Century Gothic" w:hAnsi="Century Gothic"/>
          <w:sz w:val="22"/>
          <w:szCs w:val="22"/>
        </w:rPr>
        <w:t>contrato</w:t>
      </w:r>
      <w:r w:rsidR="00977378">
        <w:rPr>
          <w:rFonts w:ascii="Century Gothic" w:hAnsi="Century Gothic"/>
          <w:sz w:val="22"/>
          <w:szCs w:val="22"/>
        </w:rPr>
        <w:t xml:space="preserve"> estatal de obra </w:t>
      </w:r>
      <w:r w:rsidR="00977378">
        <w:rPr>
          <w:rFonts w:ascii="Century Gothic" w:hAnsi="Century Gothic" w:cs="Tahoma"/>
          <w:sz w:val="22"/>
          <w:szCs w:val="22"/>
        </w:rPr>
        <w:t>406 de 2000</w:t>
      </w:r>
      <w:r w:rsidR="00977378">
        <w:rPr>
          <w:rFonts w:ascii="Century Gothic" w:hAnsi="Century Gothic"/>
          <w:sz w:val="22"/>
          <w:szCs w:val="22"/>
        </w:rPr>
        <w:t xml:space="preserve">, en los términos del </w:t>
      </w:r>
      <w:r w:rsidR="00E417F3">
        <w:rPr>
          <w:rFonts w:ascii="Century Gothic" w:hAnsi="Century Gothic"/>
          <w:sz w:val="22"/>
          <w:szCs w:val="22"/>
        </w:rPr>
        <w:t>artículo 25</w:t>
      </w:r>
      <w:r w:rsidR="00F022A9">
        <w:rPr>
          <w:rFonts w:ascii="Century Gothic" w:hAnsi="Century Gothic"/>
          <w:sz w:val="22"/>
          <w:szCs w:val="22"/>
        </w:rPr>
        <w:t>, numeral 19</w:t>
      </w:r>
      <w:r w:rsidR="00D65958">
        <w:rPr>
          <w:rStyle w:val="Refdenotaalpie"/>
          <w:rFonts w:ascii="Century Gothic" w:hAnsi="Century Gothic"/>
          <w:sz w:val="22"/>
          <w:szCs w:val="22"/>
        </w:rPr>
        <w:footnoteReference w:id="1"/>
      </w:r>
      <w:r w:rsidR="00D65958">
        <w:rPr>
          <w:rFonts w:ascii="Century Gothic" w:hAnsi="Century Gothic"/>
          <w:sz w:val="22"/>
          <w:szCs w:val="22"/>
        </w:rPr>
        <w:t>,</w:t>
      </w:r>
      <w:r w:rsidR="00E417F3">
        <w:rPr>
          <w:rFonts w:ascii="Century Gothic" w:hAnsi="Century Gothic"/>
          <w:sz w:val="22"/>
          <w:szCs w:val="22"/>
        </w:rPr>
        <w:t xml:space="preserve"> de la ley 80 de 1993</w:t>
      </w:r>
      <w:r w:rsidR="00F022A9">
        <w:rPr>
          <w:rFonts w:ascii="Century Gothic" w:hAnsi="Century Gothic"/>
          <w:sz w:val="22"/>
          <w:szCs w:val="22"/>
        </w:rPr>
        <w:t xml:space="preserve"> y las resoluciones </w:t>
      </w:r>
      <w:r w:rsidR="00F022A9">
        <w:rPr>
          <w:rFonts w:ascii="Century Gothic" w:hAnsi="Century Gothic" w:cs="Tahoma"/>
          <w:sz w:val="22"/>
          <w:szCs w:val="22"/>
        </w:rPr>
        <w:t>1999 y 6057 de 2005,</w:t>
      </w:r>
      <w:r w:rsidR="00D65958">
        <w:rPr>
          <w:rFonts w:ascii="Century Gothic" w:hAnsi="Century Gothic" w:cs="Tahoma"/>
          <w:sz w:val="22"/>
          <w:szCs w:val="22"/>
        </w:rPr>
        <w:t xml:space="preserve"> unas</w:t>
      </w:r>
      <w:r w:rsidR="00F022A9">
        <w:rPr>
          <w:rFonts w:ascii="Century Gothic" w:hAnsi="Century Gothic" w:cs="Tahoma"/>
          <w:sz w:val="22"/>
          <w:szCs w:val="22"/>
        </w:rPr>
        <w:t xml:space="preserve"> manifestaciones post contractuales de la administración</w:t>
      </w:r>
      <w:r w:rsidR="00E417F3">
        <w:rPr>
          <w:rFonts w:ascii="Century Gothic" w:hAnsi="Century Gothic"/>
          <w:sz w:val="22"/>
          <w:szCs w:val="22"/>
        </w:rPr>
        <w:t>, la acción ejecutiva que l</w:t>
      </w:r>
      <w:r w:rsidR="00F022A9">
        <w:rPr>
          <w:rFonts w:ascii="Century Gothic" w:hAnsi="Century Gothic"/>
          <w:sz w:val="22"/>
          <w:szCs w:val="22"/>
        </w:rPr>
        <w:t>os</w:t>
      </w:r>
      <w:r w:rsidR="00E417F3">
        <w:rPr>
          <w:rFonts w:ascii="Century Gothic" w:hAnsi="Century Gothic"/>
          <w:sz w:val="22"/>
          <w:szCs w:val="22"/>
        </w:rPr>
        <w:t xml:space="preserve"> tiene por </w:t>
      </w:r>
      <w:r w:rsidR="00E417F3">
        <w:rPr>
          <w:rFonts w:ascii="Century Gothic" w:hAnsi="Century Gothic"/>
          <w:sz w:val="22"/>
          <w:szCs w:val="22"/>
        </w:rPr>
        <w:lastRenderedPageBreak/>
        <w:t>fundamento</w:t>
      </w:r>
      <w:r w:rsidR="00F022A9">
        <w:rPr>
          <w:rFonts w:ascii="Century Gothic" w:hAnsi="Century Gothic"/>
          <w:sz w:val="22"/>
          <w:szCs w:val="22"/>
        </w:rPr>
        <w:t xml:space="preserve"> </w:t>
      </w:r>
      <w:r w:rsidR="00E417F3">
        <w:rPr>
          <w:rFonts w:ascii="Century Gothic" w:hAnsi="Century Gothic"/>
          <w:sz w:val="22"/>
          <w:szCs w:val="22"/>
        </w:rPr>
        <w:t xml:space="preserve">se entiende comprendida en los </w:t>
      </w:r>
      <w:r w:rsidR="00E417F3" w:rsidRPr="00F022A9">
        <w:rPr>
          <w:rFonts w:ascii="Century Gothic" w:hAnsi="Century Gothic"/>
          <w:sz w:val="22"/>
          <w:szCs w:val="22"/>
        </w:rPr>
        <w:t xml:space="preserve">procesos de ejecución o </w:t>
      </w:r>
      <w:r w:rsidR="00F022A9">
        <w:rPr>
          <w:rFonts w:ascii="Century Gothic" w:hAnsi="Century Gothic"/>
          <w:sz w:val="22"/>
          <w:szCs w:val="22"/>
        </w:rPr>
        <w:t xml:space="preserve">de </w:t>
      </w:r>
      <w:r w:rsidR="00E417F3" w:rsidRPr="00F022A9">
        <w:rPr>
          <w:rFonts w:ascii="Century Gothic" w:hAnsi="Century Gothic"/>
          <w:sz w:val="22"/>
          <w:szCs w:val="22"/>
        </w:rPr>
        <w:t>cumplimiento</w:t>
      </w:r>
      <w:r w:rsidR="00977378">
        <w:rPr>
          <w:rFonts w:ascii="Century Gothic" w:hAnsi="Century Gothic"/>
          <w:sz w:val="22"/>
          <w:szCs w:val="22"/>
        </w:rPr>
        <w:t xml:space="preserve"> que el artículo 75 </w:t>
      </w:r>
      <w:r w:rsidR="00977378" w:rsidRPr="00D65958">
        <w:rPr>
          <w:rFonts w:ascii="Century Gothic" w:hAnsi="Century Gothic"/>
          <w:i/>
          <w:sz w:val="22"/>
          <w:szCs w:val="22"/>
        </w:rPr>
        <w:t>ibídem</w:t>
      </w:r>
      <w:r w:rsidR="00D65958">
        <w:rPr>
          <w:rStyle w:val="Refdenotaalpie"/>
          <w:rFonts w:ascii="Century Gothic" w:hAnsi="Century Gothic"/>
          <w:sz w:val="22"/>
          <w:szCs w:val="22"/>
        </w:rPr>
        <w:footnoteReference w:id="2"/>
      </w:r>
      <w:r w:rsidR="00977378">
        <w:rPr>
          <w:rFonts w:ascii="Century Gothic" w:hAnsi="Century Gothic"/>
          <w:sz w:val="22"/>
          <w:szCs w:val="22"/>
        </w:rPr>
        <w:t xml:space="preserve"> establece como del resorte exclusivo de esta </w:t>
      </w:r>
      <w:r w:rsidR="00E417F3">
        <w:rPr>
          <w:rFonts w:ascii="Century Gothic" w:hAnsi="Century Gothic"/>
          <w:sz w:val="22"/>
          <w:szCs w:val="22"/>
        </w:rPr>
        <w:t>jurisdicción.</w:t>
      </w:r>
    </w:p>
    <w:p w14:paraId="1F5957CF" w14:textId="77777777" w:rsidR="00E417F3" w:rsidRDefault="00E417F3" w:rsidP="003549C6">
      <w:pPr>
        <w:widowControl w:val="0"/>
        <w:autoSpaceDE w:val="0"/>
        <w:autoSpaceDN w:val="0"/>
        <w:adjustRightInd w:val="0"/>
        <w:spacing w:line="360" w:lineRule="auto"/>
        <w:jc w:val="both"/>
        <w:rPr>
          <w:rFonts w:ascii="Century Gothic" w:hAnsi="Century Gothic"/>
          <w:sz w:val="22"/>
          <w:szCs w:val="22"/>
        </w:rPr>
      </w:pPr>
    </w:p>
    <w:p w14:paraId="418A62E3" w14:textId="77777777" w:rsidR="00E417F3" w:rsidRDefault="00E417F3" w:rsidP="003549C6">
      <w:pPr>
        <w:widowControl w:val="0"/>
        <w:autoSpaceDE w:val="0"/>
        <w:autoSpaceDN w:val="0"/>
        <w:adjustRightInd w:val="0"/>
        <w:spacing w:line="360" w:lineRule="auto"/>
        <w:jc w:val="both"/>
        <w:rPr>
          <w:rFonts w:ascii="Century Gothic" w:hAnsi="Century Gothic"/>
          <w:sz w:val="22"/>
          <w:szCs w:val="22"/>
        </w:rPr>
      </w:pPr>
      <w:r>
        <w:rPr>
          <w:rFonts w:ascii="Century Gothic" w:hAnsi="Century Gothic"/>
          <w:sz w:val="22"/>
          <w:szCs w:val="22"/>
        </w:rPr>
        <w:t xml:space="preserve">Por otro lado, esta Corporación tiene competencia funcional y por cuantía para resolver el recurso de apelación interpuesto por CONFIANZA S.A. </w:t>
      </w:r>
      <w:r w:rsidRPr="00075587">
        <w:rPr>
          <w:rFonts w:ascii="Century Gothic" w:hAnsi="Century Gothic"/>
          <w:sz w:val="22"/>
          <w:szCs w:val="22"/>
        </w:rPr>
        <w:t>contra la sente</w:t>
      </w:r>
      <w:r w:rsidR="00FD5827">
        <w:rPr>
          <w:rFonts w:ascii="Century Gothic" w:hAnsi="Century Gothic"/>
          <w:sz w:val="22"/>
          <w:szCs w:val="22"/>
        </w:rPr>
        <w:t>ncia del 10 de octubre de 2012</w:t>
      </w:r>
      <w:r>
        <w:rPr>
          <w:rFonts w:ascii="Century Gothic" w:hAnsi="Century Gothic"/>
          <w:sz w:val="22"/>
          <w:szCs w:val="22"/>
        </w:rPr>
        <w:t>, porque, por una parte, el asunto ostenta vocación de doble instancia</w:t>
      </w:r>
      <w:r w:rsidR="00FD5827">
        <w:rPr>
          <w:rStyle w:val="Refdenotaalpie"/>
          <w:rFonts w:ascii="Century Gothic" w:hAnsi="Century Gothic"/>
          <w:sz w:val="22"/>
          <w:szCs w:val="22"/>
        </w:rPr>
        <w:footnoteReference w:id="3"/>
      </w:r>
      <w:r>
        <w:rPr>
          <w:rFonts w:ascii="Century Gothic" w:hAnsi="Century Gothic"/>
          <w:sz w:val="22"/>
          <w:szCs w:val="22"/>
        </w:rPr>
        <w:t xml:space="preserve">, en los términos del artículo 132 </w:t>
      </w:r>
      <w:r w:rsidRPr="00E417F3">
        <w:rPr>
          <w:rFonts w:ascii="Century Gothic" w:hAnsi="Century Gothic"/>
          <w:sz w:val="22"/>
          <w:szCs w:val="22"/>
        </w:rPr>
        <w:t>(numeral 7)</w:t>
      </w:r>
      <w:r>
        <w:rPr>
          <w:rFonts w:ascii="Century Gothic" w:hAnsi="Century Gothic"/>
          <w:sz w:val="22"/>
          <w:szCs w:val="22"/>
        </w:rPr>
        <w:t xml:space="preserve"> del C.C.A.</w:t>
      </w:r>
      <w:r w:rsidRPr="00E417F3">
        <w:rPr>
          <w:rFonts w:ascii="Century Gothic" w:hAnsi="Century Gothic"/>
          <w:sz w:val="22"/>
          <w:szCs w:val="22"/>
        </w:rPr>
        <w:t>, subrogado por el artículo 40 de la ley 446 de 1998</w:t>
      </w:r>
      <w:r w:rsidR="00FD5827">
        <w:rPr>
          <w:rFonts w:ascii="Century Gothic" w:hAnsi="Century Gothic"/>
          <w:sz w:val="22"/>
          <w:szCs w:val="22"/>
        </w:rPr>
        <w:t xml:space="preserve">, y, por otra parte, porque la providencia aludida fue proferida, en primera instancia, </w:t>
      </w:r>
      <w:r w:rsidR="00FD5827" w:rsidRPr="00075587">
        <w:rPr>
          <w:rFonts w:ascii="Century Gothic" w:hAnsi="Century Gothic"/>
          <w:sz w:val="22"/>
          <w:szCs w:val="22"/>
        </w:rPr>
        <w:t xml:space="preserve">por </w:t>
      </w:r>
      <w:r w:rsidR="00FD5827">
        <w:rPr>
          <w:rFonts w:ascii="Century Gothic" w:hAnsi="Century Gothic"/>
          <w:sz w:val="22"/>
          <w:szCs w:val="22"/>
        </w:rPr>
        <w:t xml:space="preserve">un tribunal administrativo, en este caso, </w:t>
      </w:r>
      <w:r w:rsidR="00FD5827" w:rsidRPr="00075587">
        <w:rPr>
          <w:rFonts w:ascii="Century Gothic" w:hAnsi="Century Gothic"/>
          <w:sz w:val="22"/>
          <w:szCs w:val="22"/>
        </w:rPr>
        <w:t>el Tribunal Administrativo de Cundinamarca, Sección Tercera, Subsección “B”</w:t>
      </w:r>
      <w:r w:rsidR="00FD5827">
        <w:rPr>
          <w:rFonts w:ascii="Century Gothic" w:hAnsi="Century Gothic"/>
          <w:sz w:val="22"/>
          <w:szCs w:val="22"/>
        </w:rPr>
        <w:t xml:space="preserve">, </w:t>
      </w:r>
      <w:r w:rsidR="00D65958">
        <w:rPr>
          <w:rFonts w:ascii="Century Gothic" w:hAnsi="Century Gothic"/>
          <w:sz w:val="22"/>
          <w:szCs w:val="22"/>
        </w:rPr>
        <w:t xml:space="preserve">ante lo cual debe recordarse que, </w:t>
      </w:r>
      <w:r w:rsidR="00FD5827">
        <w:rPr>
          <w:rFonts w:ascii="Century Gothic" w:hAnsi="Century Gothic"/>
          <w:sz w:val="22"/>
          <w:szCs w:val="22"/>
        </w:rPr>
        <w:t xml:space="preserve">como lo </w:t>
      </w:r>
      <w:r w:rsidR="00022B2A">
        <w:rPr>
          <w:rFonts w:ascii="Century Gothic" w:hAnsi="Century Gothic"/>
          <w:sz w:val="22"/>
          <w:szCs w:val="22"/>
        </w:rPr>
        <w:t>señala</w:t>
      </w:r>
      <w:r w:rsidR="00FD5827">
        <w:rPr>
          <w:rFonts w:ascii="Century Gothic" w:hAnsi="Century Gothic"/>
          <w:sz w:val="22"/>
          <w:szCs w:val="22"/>
        </w:rPr>
        <w:t xml:space="preserve"> el artículo 129 del C.C.A.</w:t>
      </w:r>
      <w:r w:rsidR="00D65958">
        <w:rPr>
          <w:rFonts w:ascii="Century Gothic" w:hAnsi="Century Gothic"/>
          <w:sz w:val="22"/>
          <w:szCs w:val="22"/>
        </w:rPr>
        <w:t xml:space="preserve">, </w:t>
      </w:r>
      <w:r w:rsidR="00D65958" w:rsidRPr="00D65958">
        <w:rPr>
          <w:rFonts w:ascii="Century Gothic" w:hAnsi="Century Gothic"/>
          <w:sz w:val="22"/>
          <w:szCs w:val="22"/>
          <w:lang w:val="es-CO"/>
        </w:rPr>
        <w:t>“</w:t>
      </w:r>
      <w:r w:rsidR="00D65958" w:rsidRPr="00D65958">
        <w:rPr>
          <w:rFonts w:ascii="Century Gothic" w:hAnsi="Century Gothic"/>
          <w:i/>
          <w:sz w:val="22"/>
          <w:szCs w:val="22"/>
        </w:rPr>
        <w:t>El Consejo de Estado, en Sala de lo Contencioso Administrativo conocerá en segunda instancia de las apelaciones de las sentencias dictadas en primera instancia por los tribunales administrativos</w:t>
      </w:r>
      <w:r w:rsidR="00D65958">
        <w:rPr>
          <w:rFonts w:ascii="Century Gothic" w:hAnsi="Century Gothic"/>
          <w:i/>
          <w:sz w:val="22"/>
          <w:szCs w:val="22"/>
        </w:rPr>
        <w:t xml:space="preserve"> …”.</w:t>
      </w:r>
    </w:p>
    <w:p w14:paraId="75006B43" w14:textId="77777777" w:rsidR="00163103" w:rsidRDefault="00163103" w:rsidP="003549C6">
      <w:pPr>
        <w:widowControl w:val="0"/>
        <w:autoSpaceDE w:val="0"/>
        <w:autoSpaceDN w:val="0"/>
        <w:adjustRightInd w:val="0"/>
        <w:spacing w:line="360" w:lineRule="auto"/>
        <w:jc w:val="both"/>
        <w:rPr>
          <w:rFonts w:ascii="Century Gothic" w:hAnsi="Century Gothic"/>
          <w:sz w:val="22"/>
          <w:szCs w:val="22"/>
        </w:rPr>
      </w:pPr>
    </w:p>
    <w:p w14:paraId="2C1FF083" w14:textId="77777777" w:rsidR="00316DC7" w:rsidRPr="00472B58" w:rsidRDefault="00D65958" w:rsidP="00316DC7">
      <w:pPr>
        <w:pStyle w:val="Textoindependiente"/>
        <w:spacing w:line="360" w:lineRule="auto"/>
        <w:rPr>
          <w:b/>
          <w:szCs w:val="22"/>
        </w:rPr>
      </w:pPr>
      <w:r>
        <w:rPr>
          <w:b/>
          <w:szCs w:val="22"/>
        </w:rPr>
        <w:t xml:space="preserve">2.- </w:t>
      </w:r>
      <w:r w:rsidR="00386D18">
        <w:rPr>
          <w:b/>
          <w:szCs w:val="22"/>
        </w:rPr>
        <w:t>Asunto preliminar.</w:t>
      </w:r>
    </w:p>
    <w:p w14:paraId="605A9F24" w14:textId="77777777" w:rsidR="00316DC7" w:rsidRDefault="00316DC7" w:rsidP="00316DC7">
      <w:pPr>
        <w:pStyle w:val="Textoindependiente"/>
        <w:spacing w:line="360" w:lineRule="auto"/>
        <w:ind w:firstLine="708"/>
        <w:rPr>
          <w:szCs w:val="22"/>
        </w:rPr>
      </w:pPr>
    </w:p>
    <w:p w14:paraId="0F9801D8" w14:textId="77777777" w:rsidR="00316DC7" w:rsidRDefault="00316DC7" w:rsidP="00316DC7">
      <w:pPr>
        <w:pStyle w:val="Textoindependiente"/>
        <w:spacing w:line="360" w:lineRule="auto"/>
        <w:rPr>
          <w:szCs w:val="22"/>
        </w:rPr>
      </w:pPr>
      <w:r>
        <w:rPr>
          <w:szCs w:val="22"/>
        </w:rPr>
        <w:t>Repara la Sala que uno de los argumentos centrales del recurso de apelación interpuesto por la parte ejecutada se funda en la que, aduce, constituyó una violación al debido proceso y de defensa por parte del Tribunal</w:t>
      </w:r>
      <w:r w:rsidR="00022B2A">
        <w:rPr>
          <w:szCs w:val="22"/>
        </w:rPr>
        <w:t>,</w:t>
      </w:r>
      <w:r>
        <w:rPr>
          <w:szCs w:val="22"/>
        </w:rPr>
        <w:t xml:space="preserve"> al no decretar y valorar como prueba algunos documentos por </w:t>
      </w:r>
      <w:r w:rsidR="00022B2A">
        <w:rPr>
          <w:szCs w:val="22"/>
        </w:rPr>
        <w:t>aquélla</w:t>
      </w:r>
      <w:r>
        <w:rPr>
          <w:szCs w:val="22"/>
        </w:rPr>
        <w:t xml:space="preserve"> aportados; no obstante, tal cargo no será analizado</w:t>
      </w:r>
      <w:r w:rsidR="00D65958">
        <w:rPr>
          <w:szCs w:val="22"/>
        </w:rPr>
        <w:t>,</w:t>
      </w:r>
      <w:r>
        <w:rPr>
          <w:szCs w:val="22"/>
        </w:rPr>
        <w:t xml:space="preserve"> </w:t>
      </w:r>
      <w:r w:rsidR="00D65958">
        <w:rPr>
          <w:szCs w:val="22"/>
        </w:rPr>
        <w:t xml:space="preserve">teniendo en cuenta </w:t>
      </w:r>
      <w:r>
        <w:rPr>
          <w:szCs w:val="22"/>
        </w:rPr>
        <w:t xml:space="preserve">que el auto del 20 de octubre de 2010 </w:t>
      </w:r>
      <w:r w:rsidR="00D65958">
        <w:rPr>
          <w:szCs w:val="22"/>
        </w:rPr>
        <w:t>(</w:t>
      </w:r>
      <w:r>
        <w:rPr>
          <w:szCs w:val="22"/>
        </w:rPr>
        <w:t xml:space="preserve">por el cual se decidió sobre </w:t>
      </w:r>
      <w:r w:rsidR="00022B2A">
        <w:rPr>
          <w:szCs w:val="22"/>
        </w:rPr>
        <w:t>las pruebas</w:t>
      </w:r>
      <w:r w:rsidR="00D65958">
        <w:rPr>
          <w:szCs w:val="22"/>
        </w:rPr>
        <w:t>),</w:t>
      </w:r>
      <w:r w:rsidR="00022B2A">
        <w:rPr>
          <w:szCs w:val="22"/>
        </w:rPr>
        <w:t xml:space="preserve"> </w:t>
      </w:r>
      <w:r>
        <w:rPr>
          <w:szCs w:val="22"/>
        </w:rPr>
        <w:t>además de haber sido recurrido por quien ahora manifiesta los reparos, fue confirmado en su totalidad por esta Corporación en proveído del 18 de julio de 2012</w:t>
      </w:r>
      <w:r w:rsidR="00D0625F">
        <w:rPr>
          <w:szCs w:val="22"/>
        </w:rPr>
        <w:t xml:space="preserve"> (ver </w:t>
      </w:r>
      <w:r w:rsidR="00D65958">
        <w:rPr>
          <w:szCs w:val="22"/>
        </w:rPr>
        <w:t xml:space="preserve">numeral 4 en </w:t>
      </w:r>
      <w:r w:rsidR="00D0625F">
        <w:rPr>
          <w:szCs w:val="22"/>
        </w:rPr>
        <w:t>pág. 4)</w:t>
      </w:r>
      <w:r>
        <w:rPr>
          <w:szCs w:val="22"/>
        </w:rPr>
        <w:t>.</w:t>
      </w:r>
    </w:p>
    <w:p w14:paraId="558B862C" w14:textId="77777777" w:rsidR="00316DC7" w:rsidRDefault="00316DC7" w:rsidP="008B6BDF">
      <w:pPr>
        <w:spacing w:line="360" w:lineRule="auto"/>
        <w:jc w:val="both"/>
        <w:rPr>
          <w:rFonts w:ascii="Century Gothic" w:hAnsi="Century Gothic" w:cs="Arial"/>
          <w:b/>
          <w:sz w:val="22"/>
          <w:szCs w:val="22"/>
        </w:rPr>
      </w:pPr>
    </w:p>
    <w:p w14:paraId="64A7237E" w14:textId="77777777" w:rsidR="00316DC7" w:rsidRDefault="00D65958" w:rsidP="00316DC7">
      <w:pPr>
        <w:spacing w:line="360" w:lineRule="auto"/>
        <w:jc w:val="both"/>
        <w:rPr>
          <w:rFonts w:ascii="Century Gothic" w:hAnsi="Century Gothic" w:cs="Arial"/>
          <w:b/>
          <w:sz w:val="22"/>
          <w:szCs w:val="22"/>
        </w:rPr>
      </w:pPr>
      <w:r>
        <w:rPr>
          <w:rFonts w:ascii="Century Gothic" w:hAnsi="Century Gothic" w:cs="Arial"/>
          <w:b/>
          <w:sz w:val="22"/>
          <w:szCs w:val="22"/>
        </w:rPr>
        <w:t xml:space="preserve">3.- </w:t>
      </w:r>
      <w:r w:rsidR="00316DC7">
        <w:rPr>
          <w:rFonts w:ascii="Century Gothic" w:hAnsi="Century Gothic" w:cs="Arial"/>
          <w:b/>
          <w:sz w:val="22"/>
          <w:szCs w:val="22"/>
        </w:rPr>
        <w:t>Aspectos metodológicos.</w:t>
      </w:r>
    </w:p>
    <w:p w14:paraId="7B098CFC" w14:textId="77777777" w:rsidR="00316DC7" w:rsidRDefault="00316DC7" w:rsidP="008B6BDF">
      <w:pPr>
        <w:spacing w:line="360" w:lineRule="auto"/>
        <w:jc w:val="both"/>
        <w:rPr>
          <w:rFonts w:ascii="Century Gothic" w:hAnsi="Century Gothic" w:cs="Arial"/>
          <w:b/>
          <w:sz w:val="22"/>
          <w:szCs w:val="22"/>
        </w:rPr>
      </w:pPr>
    </w:p>
    <w:p w14:paraId="3872952F" w14:textId="77777777" w:rsidR="00316DC7" w:rsidRDefault="00316DC7" w:rsidP="008B6BDF">
      <w:pPr>
        <w:spacing w:line="360" w:lineRule="auto"/>
        <w:jc w:val="both"/>
        <w:rPr>
          <w:rFonts w:ascii="Century Gothic" w:hAnsi="Century Gothic" w:cs="Arial"/>
          <w:sz w:val="22"/>
          <w:szCs w:val="22"/>
        </w:rPr>
      </w:pPr>
      <w:r>
        <w:rPr>
          <w:rFonts w:ascii="Century Gothic" w:hAnsi="Century Gothic" w:cs="Arial"/>
          <w:sz w:val="22"/>
          <w:szCs w:val="22"/>
        </w:rPr>
        <w:t>Como el elemento angular de la acción ejecutiva es el título ejecutivo, la Sala hará una breve exposición sobre su noción y sus requisitos</w:t>
      </w:r>
      <w:r w:rsidR="00D65958">
        <w:rPr>
          <w:rFonts w:ascii="Century Gothic" w:hAnsi="Century Gothic" w:cs="Arial"/>
          <w:sz w:val="22"/>
          <w:szCs w:val="22"/>
        </w:rPr>
        <w:t>,</w:t>
      </w:r>
      <w:r>
        <w:rPr>
          <w:rFonts w:ascii="Century Gothic" w:hAnsi="Century Gothic" w:cs="Arial"/>
          <w:sz w:val="22"/>
          <w:szCs w:val="22"/>
        </w:rPr>
        <w:t xml:space="preserve"> para luego determinar si los documentos que reposan en el plenario son contentivos de un t</w:t>
      </w:r>
      <w:r w:rsidR="00B87873">
        <w:rPr>
          <w:rFonts w:ascii="Century Gothic" w:hAnsi="Century Gothic" w:cs="Arial"/>
          <w:sz w:val="22"/>
          <w:szCs w:val="22"/>
        </w:rPr>
        <w:t xml:space="preserve">ítulo de esa </w:t>
      </w:r>
      <w:r w:rsidR="00B87873">
        <w:rPr>
          <w:rFonts w:ascii="Century Gothic" w:hAnsi="Century Gothic" w:cs="Arial"/>
          <w:sz w:val="22"/>
          <w:szCs w:val="22"/>
        </w:rPr>
        <w:lastRenderedPageBreak/>
        <w:t xml:space="preserve">naturaleza, </w:t>
      </w:r>
      <w:r w:rsidR="00386D18">
        <w:rPr>
          <w:rFonts w:ascii="Century Gothic" w:hAnsi="Century Gothic" w:cs="Arial"/>
          <w:sz w:val="22"/>
          <w:szCs w:val="22"/>
        </w:rPr>
        <w:t>e</w:t>
      </w:r>
      <w:r w:rsidR="00B87873">
        <w:rPr>
          <w:rFonts w:ascii="Century Gothic" w:hAnsi="Century Gothic" w:cs="Arial"/>
          <w:sz w:val="22"/>
          <w:szCs w:val="22"/>
        </w:rPr>
        <w:t xml:space="preserve">n caso afirmativo, explicará las excepciones de mérito que la ley establece </w:t>
      </w:r>
      <w:r w:rsidR="00022B2A">
        <w:rPr>
          <w:rFonts w:ascii="Century Gothic" w:hAnsi="Century Gothic" w:cs="Arial"/>
          <w:sz w:val="22"/>
          <w:szCs w:val="22"/>
        </w:rPr>
        <w:t xml:space="preserve">como </w:t>
      </w:r>
      <w:r w:rsidR="00B87873">
        <w:rPr>
          <w:rFonts w:ascii="Century Gothic" w:hAnsi="Century Gothic" w:cs="Arial"/>
          <w:sz w:val="22"/>
          <w:szCs w:val="22"/>
        </w:rPr>
        <w:t>susceptibles de interponer contra un título ejecutivo y, entonces, determinará si las propuestas por el ejecutado están llamadas a prosperar</w:t>
      </w:r>
      <w:r w:rsidR="00022B2A">
        <w:rPr>
          <w:rFonts w:ascii="Century Gothic" w:hAnsi="Century Gothic" w:cs="Arial"/>
          <w:sz w:val="22"/>
          <w:szCs w:val="22"/>
        </w:rPr>
        <w:t xml:space="preserve"> o no</w:t>
      </w:r>
      <w:r w:rsidR="00B87873">
        <w:rPr>
          <w:rFonts w:ascii="Century Gothic" w:hAnsi="Century Gothic" w:cs="Arial"/>
          <w:sz w:val="22"/>
          <w:szCs w:val="22"/>
        </w:rPr>
        <w:t>.</w:t>
      </w:r>
    </w:p>
    <w:p w14:paraId="1ED20CCF" w14:textId="77777777" w:rsidR="009409A3" w:rsidRDefault="009409A3" w:rsidP="008B6BDF">
      <w:pPr>
        <w:spacing w:line="360" w:lineRule="auto"/>
        <w:jc w:val="both"/>
        <w:rPr>
          <w:rFonts w:ascii="Century Gothic" w:hAnsi="Century Gothic" w:cs="Arial"/>
          <w:b/>
          <w:sz w:val="22"/>
          <w:szCs w:val="22"/>
        </w:rPr>
      </w:pPr>
    </w:p>
    <w:p w14:paraId="7B4227C7" w14:textId="77777777" w:rsidR="008B6BDF" w:rsidRDefault="00D65958" w:rsidP="00CA0656">
      <w:pPr>
        <w:spacing w:line="360" w:lineRule="auto"/>
        <w:jc w:val="both"/>
        <w:rPr>
          <w:rFonts w:ascii="Century Gothic" w:hAnsi="Century Gothic"/>
          <w:b/>
          <w:sz w:val="22"/>
          <w:szCs w:val="22"/>
        </w:rPr>
      </w:pPr>
      <w:r>
        <w:rPr>
          <w:rFonts w:ascii="Century Gothic" w:hAnsi="Century Gothic"/>
          <w:b/>
          <w:sz w:val="22"/>
          <w:szCs w:val="22"/>
        </w:rPr>
        <w:t xml:space="preserve">4.- </w:t>
      </w:r>
      <w:bookmarkStart w:id="0" w:name="_Hlk21096700"/>
      <w:r w:rsidR="00BA4769">
        <w:rPr>
          <w:rFonts w:ascii="Century Gothic" w:hAnsi="Century Gothic"/>
          <w:b/>
          <w:sz w:val="22"/>
          <w:szCs w:val="22"/>
        </w:rPr>
        <w:t xml:space="preserve">El título ejecutivo. </w:t>
      </w:r>
      <w:bookmarkEnd w:id="0"/>
    </w:p>
    <w:p w14:paraId="33FD018B" w14:textId="77777777" w:rsidR="00BA4769" w:rsidRDefault="00BA4769" w:rsidP="00CA0656">
      <w:pPr>
        <w:spacing w:line="360" w:lineRule="auto"/>
        <w:jc w:val="both"/>
        <w:rPr>
          <w:rFonts w:ascii="Century Gothic" w:hAnsi="Century Gothic"/>
          <w:b/>
          <w:sz w:val="22"/>
          <w:szCs w:val="22"/>
        </w:rPr>
      </w:pPr>
    </w:p>
    <w:p w14:paraId="0C30FBE7" w14:textId="77777777" w:rsidR="00364ACA" w:rsidRDefault="00364ACA" w:rsidP="00CA0656">
      <w:pPr>
        <w:spacing w:line="360" w:lineRule="auto"/>
        <w:jc w:val="both"/>
        <w:rPr>
          <w:rFonts w:ascii="Century Gothic" w:hAnsi="Century Gothic"/>
          <w:sz w:val="22"/>
          <w:szCs w:val="22"/>
        </w:rPr>
      </w:pPr>
      <w:bookmarkStart w:id="1" w:name="_Hlk21096774"/>
      <w:r>
        <w:rPr>
          <w:rFonts w:ascii="Century Gothic" w:hAnsi="Century Gothic"/>
          <w:sz w:val="22"/>
          <w:szCs w:val="22"/>
        </w:rPr>
        <w:t xml:space="preserve">Un título ejecutivo es </w:t>
      </w:r>
      <w:r w:rsidR="00627301">
        <w:rPr>
          <w:rFonts w:ascii="Century Gothic" w:hAnsi="Century Gothic"/>
          <w:sz w:val="22"/>
          <w:szCs w:val="22"/>
        </w:rPr>
        <w:t>un</w:t>
      </w:r>
      <w:r>
        <w:rPr>
          <w:rFonts w:ascii="Century Gothic" w:hAnsi="Century Gothic"/>
          <w:sz w:val="22"/>
          <w:szCs w:val="22"/>
        </w:rPr>
        <w:t xml:space="preserve"> documento o conjunto de documentos que, por </w:t>
      </w:r>
      <w:r w:rsidR="00D65958">
        <w:rPr>
          <w:rFonts w:ascii="Century Gothic" w:hAnsi="Century Gothic"/>
          <w:sz w:val="22"/>
          <w:szCs w:val="22"/>
        </w:rPr>
        <w:t>mandato</w:t>
      </w:r>
      <w:r>
        <w:rPr>
          <w:rFonts w:ascii="Century Gothic" w:hAnsi="Century Gothic"/>
          <w:sz w:val="22"/>
          <w:szCs w:val="22"/>
        </w:rPr>
        <w:t xml:space="preserve"> legal, judicial o convencional, contiene una obligación</w:t>
      </w:r>
      <w:r w:rsidR="00627301">
        <w:rPr>
          <w:rFonts w:ascii="Century Gothic" w:hAnsi="Century Gothic"/>
          <w:sz w:val="22"/>
          <w:szCs w:val="22"/>
        </w:rPr>
        <w:t xml:space="preserve">, que puede ser de pagar una suma liquida de dinero, de dar una cosa, de hacer, o de no hacer, </w:t>
      </w:r>
      <w:r w:rsidR="00D65958">
        <w:rPr>
          <w:rFonts w:ascii="Century Gothic" w:hAnsi="Century Gothic"/>
          <w:sz w:val="22"/>
          <w:szCs w:val="22"/>
        </w:rPr>
        <w:t xml:space="preserve">la cual se encuentra </w:t>
      </w:r>
      <w:r w:rsidR="00627301">
        <w:rPr>
          <w:rFonts w:ascii="Century Gothic" w:hAnsi="Century Gothic"/>
          <w:sz w:val="22"/>
          <w:szCs w:val="22"/>
        </w:rPr>
        <w:t>a cargo del deudor y a favor del acreedor</w:t>
      </w:r>
      <w:r w:rsidR="00D65958">
        <w:rPr>
          <w:rFonts w:ascii="Century Gothic" w:hAnsi="Century Gothic"/>
          <w:sz w:val="22"/>
          <w:szCs w:val="22"/>
        </w:rPr>
        <w:t xml:space="preserve"> y</w:t>
      </w:r>
      <w:r w:rsidR="00627301">
        <w:rPr>
          <w:rFonts w:ascii="Century Gothic" w:hAnsi="Century Gothic"/>
          <w:sz w:val="22"/>
          <w:szCs w:val="22"/>
        </w:rPr>
        <w:t>, que, al ser expresa, clara y actualmente exigible</w:t>
      </w:r>
      <w:r w:rsidR="00D65958">
        <w:rPr>
          <w:rFonts w:ascii="Century Gothic" w:hAnsi="Century Gothic"/>
          <w:sz w:val="22"/>
          <w:szCs w:val="22"/>
        </w:rPr>
        <w:t>,</w:t>
      </w:r>
      <w:r w:rsidR="00627301">
        <w:rPr>
          <w:rFonts w:ascii="Century Gothic" w:hAnsi="Century Gothic"/>
          <w:sz w:val="22"/>
          <w:szCs w:val="22"/>
        </w:rPr>
        <w:t xml:space="preserve"> constituye plena prueba contra </w:t>
      </w:r>
      <w:r w:rsidR="00D65958">
        <w:rPr>
          <w:rFonts w:ascii="Century Gothic" w:hAnsi="Century Gothic"/>
          <w:sz w:val="22"/>
          <w:szCs w:val="22"/>
        </w:rPr>
        <w:t xml:space="preserve">el primero </w:t>
      </w:r>
      <w:r w:rsidR="00627301">
        <w:rPr>
          <w:rFonts w:ascii="Century Gothic" w:hAnsi="Century Gothic"/>
          <w:sz w:val="22"/>
          <w:szCs w:val="22"/>
        </w:rPr>
        <w:t>y</w:t>
      </w:r>
      <w:r w:rsidR="00D65958">
        <w:rPr>
          <w:rFonts w:ascii="Century Gothic" w:hAnsi="Century Gothic"/>
          <w:sz w:val="22"/>
          <w:szCs w:val="22"/>
        </w:rPr>
        <w:t>, por tanto,</w:t>
      </w:r>
      <w:r w:rsidR="00627301">
        <w:rPr>
          <w:rFonts w:ascii="Century Gothic" w:hAnsi="Century Gothic"/>
          <w:sz w:val="22"/>
          <w:szCs w:val="22"/>
        </w:rPr>
        <w:t xml:space="preserve"> genera certeza judicial suficiente </w:t>
      </w:r>
      <w:r w:rsidR="00360C83">
        <w:rPr>
          <w:rFonts w:ascii="Century Gothic" w:hAnsi="Century Gothic"/>
          <w:sz w:val="22"/>
          <w:szCs w:val="22"/>
        </w:rPr>
        <w:t xml:space="preserve">–mérito ejecutivo– </w:t>
      </w:r>
      <w:r w:rsidR="00627301">
        <w:rPr>
          <w:rFonts w:ascii="Century Gothic" w:hAnsi="Century Gothic"/>
          <w:sz w:val="22"/>
          <w:szCs w:val="22"/>
        </w:rPr>
        <w:t xml:space="preserve">para que </w:t>
      </w:r>
      <w:r w:rsidR="00D65958">
        <w:rPr>
          <w:rFonts w:ascii="Century Gothic" w:hAnsi="Century Gothic"/>
          <w:sz w:val="22"/>
          <w:szCs w:val="22"/>
        </w:rPr>
        <w:t xml:space="preserve">el segundo </w:t>
      </w:r>
      <w:r w:rsidR="00627301">
        <w:rPr>
          <w:rFonts w:ascii="Century Gothic" w:hAnsi="Century Gothic"/>
          <w:sz w:val="22"/>
          <w:szCs w:val="22"/>
        </w:rPr>
        <w:t>exija su solución por medio de la acción ejecutiva.</w:t>
      </w:r>
    </w:p>
    <w:bookmarkEnd w:id="1"/>
    <w:p w14:paraId="4E3C8E8E" w14:textId="77777777" w:rsidR="00364ACA" w:rsidRDefault="00364ACA" w:rsidP="00CA0656">
      <w:pPr>
        <w:spacing w:line="360" w:lineRule="auto"/>
        <w:jc w:val="both"/>
        <w:rPr>
          <w:rFonts w:ascii="Century Gothic" w:hAnsi="Century Gothic"/>
          <w:sz w:val="22"/>
          <w:szCs w:val="22"/>
        </w:rPr>
      </w:pPr>
    </w:p>
    <w:p w14:paraId="0435BBED" w14:textId="77777777" w:rsidR="00627301" w:rsidRDefault="00D65958" w:rsidP="00CA0656">
      <w:pPr>
        <w:spacing w:line="360" w:lineRule="auto"/>
        <w:jc w:val="both"/>
        <w:rPr>
          <w:rFonts w:ascii="Century Gothic" w:hAnsi="Century Gothic"/>
          <w:sz w:val="22"/>
          <w:szCs w:val="22"/>
        </w:rPr>
      </w:pPr>
      <w:r>
        <w:rPr>
          <w:rFonts w:ascii="Century Gothic" w:hAnsi="Century Gothic"/>
          <w:sz w:val="22"/>
          <w:szCs w:val="22"/>
        </w:rPr>
        <w:t>Esta</w:t>
      </w:r>
      <w:r w:rsidR="00627301">
        <w:rPr>
          <w:rFonts w:ascii="Century Gothic" w:hAnsi="Century Gothic"/>
          <w:sz w:val="22"/>
          <w:szCs w:val="22"/>
        </w:rPr>
        <w:t xml:space="preserve"> definición no sólo engloba lo que la doctrina entiende por título ejecutivo</w:t>
      </w:r>
      <w:r w:rsidR="00EB0A20">
        <w:rPr>
          <w:rStyle w:val="Refdenotaalpie"/>
          <w:rFonts w:ascii="Century Gothic" w:hAnsi="Century Gothic"/>
          <w:sz w:val="22"/>
          <w:szCs w:val="22"/>
        </w:rPr>
        <w:footnoteReference w:id="4"/>
      </w:r>
      <w:r w:rsidR="00627301">
        <w:rPr>
          <w:rFonts w:ascii="Century Gothic" w:hAnsi="Century Gothic"/>
          <w:sz w:val="22"/>
          <w:szCs w:val="22"/>
        </w:rPr>
        <w:t>, sino que se acompasa con lo que el legislador ha expresado en torno al mismo</w:t>
      </w:r>
      <w:r w:rsidR="00D659BE">
        <w:rPr>
          <w:rFonts w:ascii="Century Gothic" w:hAnsi="Century Gothic"/>
          <w:sz w:val="22"/>
          <w:szCs w:val="22"/>
        </w:rPr>
        <w:t xml:space="preserve"> (artículo 488 del C. de P.C</w:t>
      </w:r>
      <w:r w:rsidR="00ED3AF2">
        <w:rPr>
          <w:rFonts w:ascii="Century Gothic" w:hAnsi="Century Gothic"/>
          <w:sz w:val="22"/>
          <w:szCs w:val="22"/>
        </w:rPr>
        <w:t>.</w:t>
      </w:r>
      <w:r w:rsidR="00D659BE">
        <w:rPr>
          <w:rFonts w:ascii="Century Gothic" w:hAnsi="Century Gothic"/>
          <w:sz w:val="22"/>
          <w:szCs w:val="22"/>
        </w:rPr>
        <w:t>)</w:t>
      </w:r>
      <w:r w:rsidR="00627301">
        <w:rPr>
          <w:rFonts w:ascii="Century Gothic" w:hAnsi="Century Gothic"/>
          <w:sz w:val="22"/>
          <w:szCs w:val="22"/>
        </w:rPr>
        <w:t>:</w:t>
      </w:r>
    </w:p>
    <w:p w14:paraId="1C771A83" w14:textId="77777777" w:rsidR="00627301" w:rsidRDefault="00627301" w:rsidP="00CA0656">
      <w:pPr>
        <w:spacing w:line="360" w:lineRule="auto"/>
        <w:jc w:val="both"/>
        <w:rPr>
          <w:rFonts w:ascii="Century Gothic" w:hAnsi="Century Gothic"/>
          <w:sz w:val="22"/>
          <w:szCs w:val="22"/>
        </w:rPr>
      </w:pPr>
    </w:p>
    <w:p w14:paraId="2040DBE6" w14:textId="77777777" w:rsidR="00627301" w:rsidRDefault="00627301" w:rsidP="00D659BE">
      <w:pPr>
        <w:ind w:left="708"/>
        <w:jc w:val="both"/>
        <w:rPr>
          <w:rFonts w:ascii="Century Gothic" w:hAnsi="Century Gothic"/>
          <w:sz w:val="22"/>
          <w:szCs w:val="22"/>
        </w:rPr>
      </w:pPr>
      <w:r>
        <w:rPr>
          <w:rFonts w:ascii="Century Gothic" w:hAnsi="Century Gothic"/>
          <w:sz w:val="22"/>
          <w:szCs w:val="22"/>
        </w:rPr>
        <w:t>“</w:t>
      </w:r>
      <w:r w:rsidR="00D659BE" w:rsidRPr="00D659BE">
        <w:rPr>
          <w:rFonts w:ascii="Century Gothic" w:hAnsi="Century Gothic"/>
          <w:i/>
          <w:sz w:val="22"/>
          <w:szCs w:val="22"/>
        </w:rPr>
        <w:t>Títulos ejecutivos.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justicia</w:t>
      </w:r>
      <w:r w:rsidR="00D659BE">
        <w:rPr>
          <w:rFonts w:ascii="Century Gothic" w:hAnsi="Century Gothic"/>
          <w:sz w:val="22"/>
          <w:szCs w:val="22"/>
        </w:rPr>
        <w:t>”</w:t>
      </w:r>
      <w:r w:rsidR="00D659BE" w:rsidRPr="00D659BE">
        <w:rPr>
          <w:rFonts w:ascii="Century Gothic" w:hAnsi="Century Gothic"/>
          <w:sz w:val="22"/>
          <w:szCs w:val="22"/>
        </w:rPr>
        <w:t>.</w:t>
      </w:r>
    </w:p>
    <w:p w14:paraId="7340C4E4" w14:textId="77777777" w:rsidR="00364ACA" w:rsidRDefault="00364ACA" w:rsidP="00CA0656">
      <w:pPr>
        <w:spacing w:line="360" w:lineRule="auto"/>
        <w:jc w:val="both"/>
        <w:rPr>
          <w:rFonts w:ascii="Century Gothic" w:hAnsi="Century Gothic"/>
          <w:sz w:val="22"/>
          <w:szCs w:val="22"/>
        </w:rPr>
      </w:pPr>
    </w:p>
    <w:p w14:paraId="16CE63D4" w14:textId="77777777" w:rsidR="00D659BE" w:rsidRDefault="00D659BE" w:rsidP="00CA0656">
      <w:pPr>
        <w:spacing w:line="360" w:lineRule="auto"/>
        <w:jc w:val="both"/>
        <w:rPr>
          <w:rFonts w:ascii="Century Gothic" w:hAnsi="Century Gothic"/>
          <w:sz w:val="22"/>
          <w:szCs w:val="22"/>
        </w:rPr>
      </w:pPr>
      <w:bookmarkStart w:id="2" w:name="_Hlk21097051"/>
      <w:r>
        <w:rPr>
          <w:rFonts w:ascii="Century Gothic" w:hAnsi="Century Gothic"/>
          <w:sz w:val="22"/>
          <w:szCs w:val="22"/>
        </w:rPr>
        <w:t xml:space="preserve">Ahora, conviene precisar que, al tenor de la norma transcrita así como </w:t>
      </w:r>
      <w:r w:rsidR="00D65958">
        <w:rPr>
          <w:rFonts w:ascii="Century Gothic" w:hAnsi="Century Gothic"/>
          <w:sz w:val="22"/>
          <w:szCs w:val="22"/>
        </w:rPr>
        <w:t xml:space="preserve">de </w:t>
      </w:r>
      <w:r>
        <w:rPr>
          <w:rFonts w:ascii="Century Gothic" w:hAnsi="Century Gothic"/>
          <w:sz w:val="22"/>
          <w:szCs w:val="22"/>
        </w:rPr>
        <w:t xml:space="preserve">la definición </w:t>
      </w:r>
      <w:r w:rsidR="00D65958">
        <w:rPr>
          <w:rFonts w:ascii="Century Gothic" w:hAnsi="Century Gothic"/>
          <w:sz w:val="22"/>
          <w:szCs w:val="22"/>
        </w:rPr>
        <w:t>dada</w:t>
      </w:r>
      <w:r>
        <w:rPr>
          <w:rFonts w:ascii="Century Gothic" w:hAnsi="Century Gothic"/>
          <w:sz w:val="22"/>
          <w:szCs w:val="22"/>
        </w:rPr>
        <w:t xml:space="preserve">, la obligación de la cual se predica nitidez, claridad y exigibilidad bien puede estar contenida en un solo documento, caso en el cual se </w:t>
      </w:r>
      <w:r w:rsidR="00D65958">
        <w:rPr>
          <w:rFonts w:ascii="Century Gothic" w:hAnsi="Century Gothic"/>
          <w:sz w:val="22"/>
          <w:szCs w:val="22"/>
        </w:rPr>
        <w:t>hablará</w:t>
      </w:r>
      <w:r>
        <w:rPr>
          <w:rFonts w:ascii="Century Gothic" w:hAnsi="Century Gothic"/>
          <w:sz w:val="22"/>
          <w:szCs w:val="22"/>
        </w:rPr>
        <w:t xml:space="preserve"> de un título ejecutivo simple, o puede </w:t>
      </w:r>
      <w:r w:rsidR="00ED3AF2">
        <w:rPr>
          <w:rFonts w:ascii="Century Gothic" w:hAnsi="Century Gothic"/>
          <w:sz w:val="22"/>
          <w:szCs w:val="22"/>
        </w:rPr>
        <w:t>derivarse</w:t>
      </w:r>
      <w:r>
        <w:rPr>
          <w:rFonts w:ascii="Century Gothic" w:hAnsi="Century Gothic"/>
          <w:sz w:val="22"/>
          <w:szCs w:val="22"/>
        </w:rPr>
        <w:t xml:space="preserve"> también </w:t>
      </w:r>
      <w:r w:rsidR="00ED3AF2">
        <w:rPr>
          <w:rFonts w:ascii="Century Gothic" w:hAnsi="Century Gothic"/>
          <w:sz w:val="22"/>
          <w:szCs w:val="22"/>
        </w:rPr>
        <w:t>de</w:t>
      </w:r>
      <w:r>
        <w:rPr>
          <w:rFonts w:ascii="Century Gothic" w:hAnsi="Century Gothic"/>
          <w:sz w:val="22"/>
          <w:szCs w:val="22"/>
        </w:rPr>
        <w:t xml:space="preserve"> varios documentos que, aunque suscritos en diferentes momentos</w:t>
      </w:r>
      <w:r w:rsidR="00ED3AF2">
        <w:rPr>
          <w:rFonts w:ascii="Century Gothic" w:hAnsi="Century Gothic"/>
          <w:sz w:val="22"/>
          <w:szCs w:val="22"/>
        </w:rPr>
        <w:t xml:space="preserve"> por las partes</w:t>
      </w:r>
      <w:r>
        <w:rPr>
          <w:rFonts w:ascii="Century Gothic" w:hAnsi="Century Gothic"/>
          <w:sz w:val="22"/>
          <w:szCs w:val="22"/>
        </w:rPr>
        <w:t>, c</w:t>
      </w:r>
      <w:r w:rsidR="00ED3AF2">
        <w:rPr>
          <w:rFonts w:ascii="Century Gothic" w:hAnsi="Century Gothic"/>
          <w:sz w:val="22"/>
          <w:szCs w:val="22"/>
        </w:rPr>
        <w:t>onstituye</w:t>
      </w:r>
      <w:r>
        <w:rPr>
          <w:rFonts w:ascii="Century Gothic" w:hAnsi="Century Gothic"/>
          <w:sz w:val="22"/>
          <w:szCs w:val="22"/>
        </w:rPr>
        <w:t>n</w:t>
      </w:r>
      <w:r w:rsidR="00D65958">
        <w:rPr>
          <w:rFonts w:ascii="Century Gothic" w:hAnsi="Century Gothic"/>
          <w:sz w:val="22"/>
          <w:szCs w:val="22"/>
        </w:rPr>
        <w:t xml:space="preserve"> una</w:t>
      </w:r>
      <w:r>
        <w:rPr>
          <w:rFonts w:ascii="Century Gothic" w:hAnsi="Century Gothic"/>
          <w:sz w:val="22"/>
          <w:szCs w:val="22"/>
        </w:rPr>
        <w:t xml:space="preserve"> unidad jurídica suficiente para </w:t>
      </w:r>
      <w:r w:rsidR="00ED3AF2">
        <w:rPr>
          <w:rFonts w:ascii="Century Gothic" w:hAnsi="Century Gothic"/>
          <w:sz w:val="22"/>
          <w:szCs w:val="22"/>
        </w:rPr>
        <w:t>la conminación al pago</w:t>
      </w:r>
      <w:r>
        <w:rPr>
          <w:rFonts w:ascii="Century Gothic" w:hAnsi="Century Gothic"/>
          <w:sz w:val="22"/>
          <w:szCs w:val="22"/>
        </w:rPr>
        <w:t xml:space="preserve">, caso en el cual </w:t>
      </w:r>
      <w:r w:rsidR="00D65958">
        <w:rPr>
          <w:rFonts w:ascii="Century Gothic" w:hAnsi="Century Gothic"/>
          <w:sz w:val="22"/>
          <w:szCs w:val="22"/>
        </w:rPr>
        <w:t>se tratará de un</w:t>
      </w:r>
      <w:r>
        <w:rPr>
          <w:rFonts w:ascii="Century Gothic" w:hAnsi="Century Gothic"/>
          <w:sz w:val="22"/>
          <w:szCs w:val="22"/>
        </w:rPr>
        <w:t xml:space="preserve"> título ejecutivo complejo</w:t>
      </w:r>
      <w:r w:rsidR="00776AD2">
        <w:rPr>
          <w:rStyle w:val="Refdenotaalpie"/>
          <w:rFonts w:ascii="Century Gothic" w:hAnsi="Century Gothic"/>
          <w:sz w:val="22"/>
          <w:szCs w:val="22"/>
        </w:rPr>
        <w:footnoteReference w:id="5"/>
      </w:r>
      <w:r>
        <w:rPr>
          <w:rFonts w:ascii="Century Gothic" w:hAnsi="Century Gothic"/>
          <w:sz w:val="22"/>
          <w:szCs w:val="22"/>
        </w:rPr>
        <w:t>.</w:t>
      </w:r>
    </w:p>
    <w:bookmarkEnd w:id="2"/>
    <w:p w14:paraId="06D87F61" w14:textId="77777777" w:rsidR="00D659BE" w:rsidRDefault="00D659BE" w:rsidP="00CA0656">
      <w:pPr>
        <w:spacing w:line="360" w:lineRule="auto"/>
        <w:jc w:val="both"/>
        <w:rPr>
          <w:rFonts w:ascii="Century Gothic" w:hAnsi="Century Gothic"/>
          <w:sz w:val="22"/>
          <w:szCs w:val="22"/>
        </w:rPr>
      </w:pPr>
      <w:r>
        <w:rPr>
          <w:rFonts w:ascii="Century Gothic" w:hAnsi="Century Gothic"/>
          <w:sz w:val="22"/>
          <w:szCs w:val="22"/>
        </w:rPr>
        <w:lastRenderedPageBreak/>
        <w:t>Es precisamente en este último escenario</w:t>
      </w:r>
      <w:r w:rsidR="007B2BC2">
        <w:rPr>
          <w:rFonts w:ascii="Century Gothic" w:hAnsi="Century Gothic"/>
          <w:sz w:val="22"/>
          <w:szCs w:val="22"/>
        </w:rPr>
        <w:t xml:space="preserve"> –</w:t>
      </w:r>
      <w:r w:rsidR="00ED3AF2">
        <w:rPr>
          <w:rFonts w:ascii="Century Gothic" w:hAnsi="Century Gothic"/>
          <w:sz w:val="22"/>
          <w:szCs w:val="22"/>
        </w:rPr>
        <w:t>el de los títulos ejecutivos complejos–</w:t>
      </w:r>
      <w:r>
        <w:rPr>
          <w:rFonts w:ascii="Century Gothic" w:hAnsi="Century Gothic"/>
          <w:sz w:val="22"/>
          <w:szCs w:val="22"/>
        </w:rPr>
        <w:t xml:space="preserve"> en el que se ubican</w:t>
      </w:r>
      <w:r w:rsidR="00776AD2">
        <w:rPr>
          <w:rFonts w:ascii="Century Gothic" w:hAnsi="Century Gothic"/>
          <w:sz w:val="22"/>
          <w:szCs w:val="22"/>
        </w:rPr>
        <w:t xml:space="preserve"> algunos de</w:t>
      </w:r>
      <w:r>
        <w:rPr>
          <w:rFonts w:ascii="Century Gothic" w:hAnsi="Century Gothic"/>
          <w:sz w:val="22"/>
          <w:szCs w:val="22"/>
        </w:rPr>
        <w:t xml:space="preserve"> los títulos</w:t>
      </w:r>
      <w:r w:rsidR="00ED3AF2">
        <w:rPr>
          <w:rFonts w:ascii="Century Gothic" w:hAnsi="Century Gothic"/>
          <w:sz w:val="22"/>
          <w:szCs w:val="22"/>
        </w:rPr>
        <w:t xml:space="preserve"> de recaudo ejecutivo </w:t>
      </w:r>
      <w:r>
        <w:rPr>
          <w:rFonts w:ascii="Century Gothic" w:hAnsi="Century Gothic"/>
          <w:sz w:val="22"/>
          <w:szCs w:val="22"/>
        </w:rPr>
        <w:t xml:space="preserve">que </w:t>
      </w:r>
      <w:r w:rsidR="00ED3AF2">
        <w:rPr>
          <w:rFonts w:ascii="Century Gothic" w:hAnsi="Century Gothic"/>
          <w:sz w:val="22"/>
          <w:szCs w:val="22"/>
        </w:rPr>
        <w:t>contempla</w:t>
      </w:r>
      <w:r>
        <w:rPr>
          <w:rFonts w:ascii="Century Gothic" w:hAnsi="Century Gothic"/>
          <w:sz w:val="22"/>
          <w:szCs w:val="22"/>
        </w:rPr>
        <w:t xml:space="preserve"> el artículo </w:t>
      </w:r>
      <w:r w:rsidR="00776AD2">
        <w:rPr>
          <w:rFonts w:ascii="Century Gothic" w:hAnsi="Century Gothic"/>
          <w:sz w:val="22"/>
          <w:szCs w:val="22"/>
        </w:rPr>
        <w:t xml:space="preserve">68 del </w:t>
      </w:r>
      <w:r>
        <w:rPr>
          <w:rFonts w:ascii="Century Gothic" w:hAnsi="Century Gothic"/>
          <w:sz w:val="22"/>
          <w:szCs w:val="22"/>
        </w:rPr>
        <w:t>Código Contencioso</w:t>
      </w:r>
      <w:r w:rsidR="00776AD2">
        <w:rPr>
          <w:rFonts w:ascii="Century Gothic" w:hAnsi="Century Gothic"/>
          <w:sz w:val="22"/>
          <w:szCs w:val="22"/>
        </w:rPr>
        <w:t xml:space="preserve"> Administrativo:</w:t>
      </w:r>
    </w:p>
    <w:p w14:paraId="3A9B6B07" w14:textId="77777777" w:rsidR="00D659BE" w:rsidRDefault="00D659BE" w:rsidP="00CA0656">
      <w:pPr>
        <w:spacing w:line="360" w:lineRule="auto"/>
        <w:jc w:val="both"/>
        <w:rPr>
          <w:rFonts w:ascii="Century Gothic" w:hAnsi="Century Gothic"/>
          <w:sz w:val="22"/>
          <w:szCs w:val="22"/>
        </w:rPr>
      </w:pPr>
    </w:p>
    <w:p w14:paraId="7765CD9F" w14:textId="77777777" w:rsidR="00BA4769" w:rsidRPr="00776AD2" w:rsidRDefault="009B5F25" w:rsidP="00776AD2">
      <w:pPr>
        <w:ind w:left="705"/>
        <w:jc w:val="both"/>
        <w:rPr>
          <w:rFonts w:ascii="Century Gothic" w:hAnsi="Century Gothic"/>
          <w:i/>
          <w:sz w:val="22"/>
          <w:szCs w:val="22"/>
        </w:rPr>
      </w:pPr>
      <w:r w:rsidRPr="00776AD2">
        <w:rPr>
          <w:rFonts w:ascii="Century Gothic" w:hAnsi="Century Gothic"/>
          <w:i/>
          <w:sz w:val="22"/>
          <w:szCs w:val="22"/>
        </w:rPr>
        <w:t>“</w:t>
      </w:r>
      <w:r w:rsidR="00776AD2" w:rsidRPr="00776AD2">
        <w:rPr>
          <w:rFonts w:ascii="Century Gothic" w:hAnsi="Century Gothic"/>
          <w:i/>
          <w:sz w:val="22"/>
          <w:szCs w:val="22"/>
        </w:rPr>
        <w:t>Prestarán mérito ejecutivo por jurisdicción coactiva, siempre que en ellos conste una obligación clara, expresa y actualmente exigible, los siguientes documentos:</w:t>
      </w:r>
    </w:p>
    <w:p w14:paraId="178E440D" w14:textId="77777777" w:rsidR="00776AD2" w:rsidRPr="00776AD2" w:rsidRDefault="00776AD2" w:rsidP="00776AD2">
      <w:pPr>
        <w:ind w:left="705"/>
        <w:jc w:val="both"/>
        <w:rPr>
          <w:rFonts w:ascii="Century Gothic" w:hAnsi="Century Gothic"/>
          <w:i/>
          <w:sz w:val="22"/>
          <w:szCs w:val="22"/>
          <w:lang w:val="es-CO"/>
        </w:rPr>
      </w:pPr>
      <w:r w:rsidRPr="00776AD2">
        <w:rPr>
          <w:rFonts w:ascii="Century Gothic" w:hAnsi="Century Gothic"/>
          <w:i/>
          <w:sz w:val="22"/>
          <w:szCs w:val="22"/>
        </w:rPr>
        <w:t xml:space="preserve"> “</w:t>
      </w:r>
      <w:r w:rsidRPr="00776AD2">
        <w:rPr>
          <w:rFonts w:ascii="Century Gothic" w:hAnsi="Century Gothic"/>
          <w:i/>
          <w:sz w:val="22"/>
          <w:szCs w:val="22"/>
          <w:lang w:val="es-CO"/>
        </w:rPr>
        <w:t>1. Todo acto administrativo ejecutoriado que imponga a favor de la Nación, de una entidad territorial, o de un establecimiento público de cualquier orden, la obligación de pagar una suma líquida de dinero, en los casos previstos en la ley.</w:t>
      </w:r>
    </w:p>
    <w:p w14:paraId="47D560CB" w14:textId="77777777" w:rsidR="00776AD2" w:rsidRPr="00776AD2" w:rsidRDefault="00776AD2" w:rsidP="00776AD2">
      <w:pPr>
        <w:ind w:left="705"/>
        <w:jc w:val="both"/>
        <w:rPr>
          <w:rFonts w:ascii="Century Gothic" w:hAnsi="Century Gothic"/>
          <w:i/>
          <w:sz w:val="22"/>
          <w:szCs w:val="22"/>
          <w:lang w:val="es-CO"/>
        </w:rPr>
      </w:pPr>
      <w:r w:rsidRPr="00776AD2">
        <w:rPr>
          <w:rFonts w:ascii="Century Gothic" w:hAnsi="Century Gothic"/>
          <w:i/>
          <w:sz w:val="22"/>
          <w:szCs w:val="22"/>
          <w:lang w:val="es-CO"/>
        </w:rPr>
        <w:t>“2. Las sentencias y demás decisiones jurisdiccionales ejecutoriadas que impongan a favor del tesoro nacional, de una entidad territorial, o de un establecimiento público de cualquier orden, la obligación de pagar una suma líquida de dinero.</w:t>
      </w:r>
    </w:p>
    <w:p w14:paraId="5FEF1CD1" w14:textId="77777777" w:rsidR="00776AD2" w:rsidRPr="00776AD2" w:rsidRDefault="00776AD2" w:rsidP="00776AD2">
      <w:pPr>
        <w:ind w:left="705"/>
        <w:jc w:val="both"/>
        <w:rPr>
          <w:rFonts w:ascii="Century Gothic" w:hAnsi="Century Gothic"/>
          <w:i/>
          <w:sz w:val="22"/>
          <w:szCs w:val="22"/>
          <w:lang w:val="es-CO"/>
        </w:rPr>
      </w:pPr>
      <w:r w:rsidRPr="00776AD2">
        <w:rPr>
          <w:rFonts w:ascii="Century Gothic" w:hAnsi="Century Gothic"/>
          <w:i/>
          <w:sz w:val="22"/>
          <w:szCs w:val="22"/>
          <w:lang w:val="es-CO"/>
        </w:rPr>
        <w:t>“3. Las liquidaciones de impuestos contenidas en providencias ejecutoriadas que practiquen los respectivos funcionarios fiscales, a cargo de los contribuyentes, o las liquidaciones privadas que hayan quedado en firme, en aquellos tributos en los que su presentación sea obligatoria.</w:t>
      </w:r>
    </w:p>
    <w:p w14:paraId="73316C4B" w14:textId="77777777" w:rsidR="00776AD2" w:rsidRPr="00776AD2" w:rsidRDefault="00776AD2" w:rsidP="00776AD2">
      <w:pPr>
        <w:ind w:left="705"/>
        <w:jc w:val="both"/>
        <w:rPr>
          <w:rFonts w:ascii="Century Gothic" w:hAnsi="Century Gothic"/>
          <w:i/>
          <w:sz w:val="22"/>
          <w:szCs w:val="22"/>
          <w:u w:val="single"/>
          <w:lang w:val="es-CO"/>
        </w:rPr>
      </w:pPr>
      <w:r w:rsidRPr="00776AD2">
        <w:rPr>
          <w:rFonts w:ascii="Century Gothic" w:hAnsi="Century Gothic"/>
          <w:i/>
          <w:sz w:val="22"/>
          <w:szCs w:val="22"/>
          <w:lang w:val="es-CO"/>
        </w:rPr>
        <w:t xml:space="preserve">“4. </w:t>
      </w:r>
      <w:r w:rsidRPr="00776AD2">
        <w:rPr>
          <w:rFonts w:ascii="Century Gothic" w:hAnsi="Century Gothic"/>
          <w:i/>
          <w:sz w:val="22"/>
          <w:szCs w:val="22"/>
          <w:u w:val="single"/>
          <w:lang w:val="es-CO"/>
        </w:rPr>
        <w:t>Los contratos, las pólizas de seguro y las demás garantías que otorguen los contratistas a favor de entidades públicas, que integrarán título ejecutivo con el acto administrativo de liquidación final del contrato, o con la resolución ejecutoriada que decrete la caducidad, o la terminación según el caso.</w:t>
      </w:r>
    </w:p>
    <w:p w14:paraId="4A146870" w14:textId="77777777" w:rsidR="00776AD2" w:rsidRPr="00776AD2" w:rsidRDefault="00776AD2" w:rsidP="00776AD2">
      <w:pPr>
        <w:ind w:left="705"/>
        <w:jc w:val="both"/>
        <w:rPr>
          <w:rFonts w:ascii="Century Gothic" w:hAnsi="Century Gothic"/>
          <w:i/>
          <w:sz w:val="22"/>
          <w:szCs w:val="22"/>
          <w:u w:val="single"/>
          <w:lang w:val="es-CO"/>
        </w:rPr>
      </w:pPr>
      <w:r w:rsidRPr="00776AD2">
        <w:rPr>
          <w:rFonts w:ascii="Century Gothic" w:hAnsi="Century Gothic"/>
          <w:i/>
          <w:sz w:val="22"/>
          <w:szCs w:val="22"/>
          <w:u w:val="single"/>
          <w:lang w:val="es-CO"/>
        </w:rPr>
        <w:t>“5. Las demás garantías que a favor de las entidades públicas se presten por cualquier concepto, las cuales se integrarán con el acto administrativo ejecutoriado que declare la obligación.</w:t>
      </w:r>
    </w:p>
    <w:p w14:paraId="0BF77FCF" w14:textId="77777777" w:rsidR="00776AD2" w:rsidRPr="00776AD2" w:rsidRDefault="00776AD2" w:rsidP="00776AD2">
      <w:pPr>
        <w:ind w:left="705"/>
        <w:jc w:val="both"/>
        <w:rPr>
          <w:rFonts w:ascii="Century Gothic" w:hAnsi="Century Gothic"/>
          <w:i/>
          <w:sz w:val="22"/>
          <w:szCs w:val="22"/>
          <w:lang w:val="es-CO"/>
        </w:rPr>
      </w:pPr>
      <w:r w:rsidRPr="00776AD2">
        <w:rPr>
          <w:rFonts w:ascii="Century Gothic" w:hAnsi="Century Gothic"/>
          <w:i/>
          <w:sz w:val="22"/>
          <w:szCs w:val="22"/>
          <w:lang w:val="es-CO"/>
        </w:rPr>
        <w:t>“6. Las demás que consten en documentos que provengan del deudor”</w:t>
      </w:r>
      <w:r>
        <w:rPr>
          <w:rFonts w:ascii="Century Gothic" w:hAnsi="Century Gothic"/>
          <w:i/>
          <w:sz w:val="22"/>
          <w:szCs w:val="22"/>
          <w:lang w:val="es-CO"/>
        </w:rPr>
        <w:t xml:space="preserve"> </w:t>
      </w:r>
      <w:r>
        <w:rPr>
          <w:rFonts w:ascii="Century Gothic" w:hAnsi="Century Gothic"/>
          <w:sz w:val="22"/>
          <w:szCs w:val="22"/>
          <w:lang w:val="es-CO"/>
        </w:rPr>
        <w:t>(subrayas del despacho)</w:t>
      </w:r>
      <w:r w:rsidRPr="00776AD2">
        <w:rPr>
          <w:rFonts w:ascii="Century Gothic" w:hAnsi="Century Gothic"/>
          <w:i/>
          <w:sz w:val="22"/>
          <w:szCs w:val="22"/>
          <w:lang w:val="es-CO"/>
        </w:rPr>
        <w:t>.</w:t>
      </w:r>
    </w:p>
    <w:p w14:paraId="30EEE9FD" w14:textId="77777777" w:rsidR="00776AD2" w:rsidRDefault="00776AD2" w:rsidP="00776AD2">
      <w:pPr>
        <w:spacing w:line="360" w:lineRule="auto"/>
        <w:ind w:left="705"/>
        <w:jc w:val="both"/>
        <w:rPr>
          <w:rFonts w:ascii="Century Gothic" w:hAnsi="Century Gothic"/>
          <w:sz w:val="22"/>
          <w:szCs w:val="22"/>
        </w:rPr>
      </w:pPr>
    </w:p>
    <w:p w14:paraId="589354D1" w14:textId="77777777" w:rsidR="00022B2A" w:rsidRDefault="00434F26" w:rsidP="00776AD2">
      <w:pPr>
        <w:spacing w:line="360" w:lineRule="auto"/>
        <w:jc w:val="both"/>
        <w:rPr>
          <w:rFonts w:ascii="Century Gothic" w:hAnsi="Century Gothic"/>
          <w:sz w:val="22"/>
          <w:szCs w:val="22"/>
        </w:rPr>
      </w:pPr>
      <w:r>
        <w:rPr>
          <w:rFonts w:ascii="Century Gothic" w:hAnsi="Century Gothic"/>
          <w:sz w:val="22"/>
          <w:szCs w:val="22"/>
        </w:rPr>
        <w:lastRenderedPageBreak/>
        <w:t xml:space="preserve">Así y a título de </w:t>
      </w:r>
      <w:r w:rsidR="00ED3AF2">
        <w:rPr>
          <w:rFonts w:ascii="Century Gothic" w:hAnsi="Century Gothic"/>
          <w:sz w:val="22"/>
          <w:szCs w:val="22"/>
        </w:rPr>
        <w:t>ejemplo, cuando la acción ejecutiva se dirige a constreñir a una de la</w:t>
      </w:r>
      <w:r w:rsidR="001D7989">
        <w:rPr>
          <w:rFonts w:ascii="Century Gothic" w:hAnsi="Century Gothic"/>
          <w:sz w:val="22"/>
          <w:szCs w:val="22"/>
        </w:rPr>
        <w:t xml:space="preserve">s partes de un contrato estatal </w:t>
      </w:r>
      <w:r>
        <w:rPr>
          <w:rFonts w:ascii="Century Gothic" w:hAnsi="Century Gothic"/>
          <w:sz w:val="22"/>
          <w:szCs w:val="22"/>
        </w:rPr>
        <w:t xml:space="preserve">de obra </w:t>
      </w:r>
      <w:r w:rsidR="001D7989">
        <w:rPr>
          <w:rFonts w:ascii="Century Gothic" w:hAnsi="Century Gothic"/>
          <w:sz w:val="22"/>
          <w:szCs w:val="22"/>
        </w:rPr>
        <w:t>al cumplimiento de una obligación derivada</w:t>
      </w:r>
      <w:r w:rsidR="00C029BB">
        <w:rPr>
          <w:rFonts w:ascii="Century Gothic" w:hAnsi="Century Gothic"/>
          <w:sz w:val="22"/>
          <w:szCs w:val="22"/>
        </w:rPr>
        <w:t xml:space="preserve"> de éste</w:t>
      </w:r>
      <w:r w:rsidR="001D7989">
        <w:rPr>
          <w:rFonts w:ascii="Century Gothic" w:hAnsi="Century Gothic"/>
          <w:sz w:val="22"/>
          <w:szCs w:val="22"/>
        </w:rPr>
        <w:t xml:space="preserve">, no basta con aportar el documento en </w:t>
      </w:r>
      <w:r>
        <w:rPr>
          <w:rFonts w:ascii="Century Gothic" w:hAnsi="Century Gothic"/>
          <w:sz w:val="22"/>
          <w:szCs w:val="22"/>
        </w:rPr>
        <w:t xml:space="preserve">el que </w:t>
      </w:r>
      <w:r w:rsidR="001D7989">
        <w:rPr>
          <w:rFonts w:ascii="Century Gothic" w:hAnsi="Century Gothic"/>
          <w:sz w:val="22"/>
          <w:szCs w:val="22"/>
        </w:rPr>
        <w:t xml:space="preserve">consta </w:t>
      </w:r>
      <w:r>
        <w:rPr>
          <w:rFonts w:ascii="Century Gothic" w:hAnsi="Century Gothic"/>
          <w:sz w:val="22"/>
          <w:szCs w:val="22"/>
        </w:rPr>
        <w:t>el acuerdo de voluntades</w:t>
      </w:r>
      <w:r w:rsidR="00DE40D0">
        <w:rPr>
          <w:rFonts w:ascii="Century Gothic" w:hAnsi="Century Gothic"/>
          <w:sz w:val="22"/>
          <w:szCs w:val="22"/>
        </w:rPr>
        <w:t>,</w:t>
      </w:r>
      <w:r>
        <w:rPr>
          <w:rFonts w:ascii="Century Gothic" w:hAnsi="Century Gothic"/>
          <w:sz w:val="22"/>
          <w:szCs w:val="22"/>
        </w:rPr>
        <w:t xml:space="preserve"> </w:t>
      </w:r>
      <w:r w:rsidR="001D7989">
        <w:rPr>
          <w:rFonts w:ascii="Century Gothic" w:hAnsi="Century Gothic"/>
          <w:sz w:val="22"/>
          <w:szCs w:val="22"/>
        </w:rPr>
        <w:t>sino que se requiere</w:t>
      </w:r>
      <w:r w:rsidR="00DE40D0">
        <w:rPr>
          <w:rFonts w:ascii="Century Gothic" w:hAnsi="Century Gothic"/>
          <w:sz w:val="22"/>
          <w:szCs w:val="22"/>
        </w:rPr>
        <w:t>n</w:t>
      </w:r>
      <w:r w:rsidR="001D7989">
        <w:rPr>
          <w:rFonts w:ascii="Century Gothic" w:hAnsi="Century Gothic"/>
          <w:sz w:val="22"/>
          <w:szCs w:val="22"/>
        </w:rPr>
        <w:t>, además y entre otros documentos, las actas de iniciación</w:t>
      </w:r>
      <w:r>
        <w:rPr>
          <w:rFonts w:ascii="Century Gothic" w:hAnsi="Century Gothic"/>
          <w:sz w:val="22"/>
          <w:szCs w:val="22"/>
        </w:rPr>
        <w:t xml:space="preserve"> de obra</w:t>
      </w:r>
      <w:r w:rsidR="001D7989">
        <w:rPr>
          <w:rFonts w:ascii="Century Gothic" w:hAnsi="Century Gothic"/>
          <w:sz w:val="22"/>
          <w:szCs w:val="22"/>
        </w:rPr>
        <w:t>, las cuentas de cobro, las actas de recibo parcial o total, todas ellas susc</w:t>
      </w:r>
      <w:r w:rsidR="00022B2A">
        <w:rPr>
          <w:rFonts w:ascii="Century Gothic" w:hAnsi="Century Gothic"/>
          <w:sz w:val="22"/>
          <w:szCs w:val="22"/>
        </w:rPr>
        <w:t>ritas por quienes la ley ordena.</w:t>
      </w:r>
    </w:p>
    <w:p w14:paraId="2729C1D3" w14:textId="77777777" w:rsidR="00163103" w:rsidRDefault="00163103" w:rsidP="00776AD2">
      <w:pPr>
        <w:spacing w:line="360" w:lineRule="auto"/>
        <w:jc w:val="both"/>
        <w:rPr>
          <w:rFonts w:ascii="Century Gothic" w:hAnsi="Century Gothic"/>
          <w:sz w:val="22"/>
          <w:szCs w:val="22"/>
        </w:rPr>
      </w:pPr>
    </w:p>
    <w:p w14:paraId="07FD84B6" w14:textId="77777777" w:rsidR="00776AD2" w:rsidRDefault="00022B2A" w:rsidP="00776AD2">
      <w:pPr>
        <w:spacing w:line="360" w:lineRule="auto"/>
        <w:jc w:val="both"/>
        <w:rPr>
          <w:rFonts w:ascii="Century Gothic" w:hAnsi="Century Gothic"/>
          <w:sz w:val="22"/>
          <w:szCs w:val="22"/>
        </w:rPr>
      </w:pPr>
      <w:r>
        <w:rPr>
          <w:rFonts w:ascii="Century Gothic" w:hAnsi="Century Gothic"/>
          <w:sz w:val="22"/>
          <w:szCs w:val="22"/>
        </w:rPr>
        <w:t xml:space="preserve">Lo anterior fue </w:t>
      </w:r>
      <w:r w:rsidR="00C029BB">
        <w:rPr>
          <w:rFonts w:ascii="Century Gothic" w:hAnsi="Century Gothic"/>
          <w:sz w:val="22"/>
          <w:szCs w:val="22"/>
        </w:rPr>
        <w:t>señalado</w:t>
      </w:r>
      <w:r>
        <w:rPr>
          <w:rFonts w:ascii="Century Gothic" w:hAnsi="Century Gothic"/>
          <w:sz w:val="22"/>
          <w:szCs w:val="22"/>
        </w:rPr>
        <w:t xml:space="preserve"> por</w:t>
      </w:r>
      <w:r w:rsidR="001D7989">
        <w:rPr>
          <w:rFonts w:ascii="Century Gothic" w:hAnsi="Century Gothic"/>
          <w:sz w:val="22"/>
          <w:szCs w:val="22"/>
        </w:rPr>
        <w:t xml:space="preserve"> la Sección Tercera de esta Corporación en auto del </w:t>
      </w:r>
      <w:r w:rsidR="00040EF9">
        <w:rPr>
          <w:rFonts w:ascii="Century Gothic" w:hAnsi="Century Gothic"/>
          <w:sz w:val="22"/>
          <w:szCs w:val="22"/>
        </w:rPr>
        <w:t xml:space="preserve">24 de enero de 2007, en el </w:t>
      </w:r>
      <w:r w:rsidR="001D7989">
        <w:rPr>
          <w:rFonts w:ascii="Century Gothic" w:hAnsi="Century Gothic"/>
          <w:sz w:val="22"/>
          <w:szCs w:val="22"/>
        </w:rPr>
        <w:t xml:space="preserve">proceso </w:t>
      </w:r>
      <w:r w:rsidR="00040EF9">
        <w:rPr>
          <w:rFonts w:ascii="Century Gothic" w:hAnsi="Century Gothic"/>
          <w:sz w:val="22"/>
          <w:szCs w:val="22"/>
        </w:rPr>
        <w:t>28755</w:t>
      </w:r>
      <w:r>
        <w:rPr>
          <w:rFonts w:ascii="Century Gothic" w:hAnsi="Century Gothic"/>
          <w:sz w:val="22"/>
          <w:szCs w:val="22"/>
        </w:rPr>
        <w:t>, en los siguientes términos</w:t>
      </w:r>
      <w:r w:rsidR="00040EF9">
        <w:rPr>
          <w:rFonts w:ascii="Century Gothic" w:hAnsi="Century Gothic"/>
          <w:sz w:val="22"/>
          <w:szCs w:val="22"/>
        </w:rPr>
        <w:t xml:space="preserve"> (se transcribe </w:t>
      </w:r>
      <w:r w:rsidR="00DE40D0">
        <w:rPr>
          <w:rFonts w:ascii="Century Gothic" w:hAnsi="Century Gothic"/>
          <w:sz w:val="22"/>
          <w:szCs w:val="22"/>
        </w:rPr>
        <w:t>literal</w:t>
      </w:r>
      <w:r w:rsidR="00040EF9">
        <w:rPr>
          <w:rFonts w:ascii="Century Gothic" w:hAnsi="Century Gothic"/>
          <w:sz w:val="22"/>
          <w:szCs w:val="22"/>
        </w:rPr>
        <w:t>):</w:t>
      </w:r>
    </w:p>
    <w:p w14:paraId="23D8F16B" w14:textId="77777777" w:rsidR="001D7989" w:rsidRDefault="001D7989" w:rsidP="00776AD2">
      <w:pPr>
        <w:spacing w:line="360" w:lineRule="auto"/>
        <w:jc w:val="both"/>
        <w:rPr>
          <w:rFonts w:ascii="Century Gothic" w:hAnsi="Century Gothic"/>
          <w:sz w:val="22"/>
          <w:szCs w:val="22"/>
        </w:rPr>
      </w:pPr>
    </w:p>
    <w:p w14:paraId="54B24B4B" w14:textId="77777777" w:rsidR="001D7989" w:rsidRPr="001D7989" w:rsidRDefault="001D7989" w:rsidP="001D7989">
      <w:pPr>
        <w:ind w:left="705"/>
        <w:jc w:val="both"/>
        <w:rPr>
          <w:rFonts w:ascii="Century Gothic" w:hAnsi="Century Gothic"/>
          <w:i/>
          <w:sz w:val="22"/>
          <w:szCs w:val="22"/>
          <w:lang w:val="es-CO"/>
        </w:rPr>
      </w:pPr>
      <w:r w:rsidRPr="001D7989">
        <w:rPr>
          <w:rFonts w:ascii="Century Gothic" w:hAnsi="Century Gothic"/>
          <w:i/>
          <w:sz w:val="22"/>
          <w:szCs w:val="22"/>
          <w:lang w:val="es-CO"/>
        </w:rPr>
        <w:t>“</w:t>
      </w:r>
      <w:r w:rsidR="00022B2A" w:rsidRPr="00022B2A">
        <w:rPr>
          <w:rFonts w:ascii="Century Gothic" w:hAnsi="Century Gothic"/>
          <w:sz w:val="22"/>
          <w:szCs w:val="22"/>
          <w:lang w:val="es-CO"/>
        </w:rPr>
        <w:t>(…)</w:t>
      </w:r>
      <w:r w:rsidRPr="001D7989">
        <w:rPr>
          <w:rFonts w:ascii="Century Gothic" w:hAnsi="Century Gothic"/>
          <w:i/>
          <w:sz w:val="22"/>
          <w:szCs w:val="22"/>
          <w:lang w:val="es-CO"/>
        </w:rPr>
        <w:t xml:space="preserve"> cabe advertir que cuando se presenta como título de recaudo el contrato estatal, el título ejecutivo es complejo en la medida en que está conformado no solo por el contrato, en el cual consta el compromiso de pago, sino por otros documentos -normalmente actas y facturas- elaborados por la Administración y el contratista, en los cuales conste el cumplimiento de la obligación a cargo de este último y de los que se pueda deducir de manera clara y expresa el contenido de la obligación y la exigibilidad de la misma a favor de una parte y en contra de la otra.</w:t>
      </w:r>
    </w:p>
    <w:p w14:paraId="56FF69A4" w14:textId="77777777" w:rsidR="001D7989" w:rsidRPr="001D7989" w:rsidRDefault="001D7989" w:rsidP="001D7989">
      <w:pPr>
        <w:jc w:val="both"/>
        <w:rPr>
          <w:rFonts w:ascii="Century Gothic" w:hAnsi="Century Gothic"/>
          <w:i/>
          <w:sz w:val="22"/>
          <w:szCs w:val="22"/>
          <w:lang w:val="es-CO"/>
        </w:rPr>
      </w:pPr>
      <w:r w:rsidRPr="001D7989">
        <w:rPr>
          <w:rFonts w:ascii="Century Gothic" w:hAnsi="Century Gothic"/>
          <w:i/>
          <w:sz w:val="22"/>
          <w:szCs w:val="22"/>
          <w:lang w:val="es-CO"/>
        </w:rPr>
        <w:t xml:space="preserve"> </w:t>
      </w:r>
    </w:p>
    <w:p w14:paraId="1F8499EA" w14:textId="77777777" w:rsidR="001D7989" w:rsidRPr="001D7989" w:rsidRDefault="001D7989" w:rsidP="001D7989">
      <w:pPr>
        <w:ind w:left="705"/>
        <w:jc w:val="both"/>
        <w:rPr>
          <w:rFonts w:ascii="Century Gothic" w:hAnsi="Century Gothic"/>
          <w:i/>
          <w:sz w:val="22"/>
          <w:szCs w:val="22"/>
          <w:lang w:val="es-CO"/>
        </w:rPr>
      </w:pPr>
      <w:r w:rsidRPr="001D7989">
        <w:rPr>
          <w:rFonts w:ascii="Century Gothic" w:hAnsi="Century Gothic"/>
          <w:i/>
          <w:sz w:val="22"/>
          <w:szCs w:val="22"/>
          <w:lang w:val="es-CO"/>
        </w:rPr>
        <w:t>“Sólo cuando los documentos allegados como recaudo ejecutivo no dejan duda, en el juez de la ejecución, sobre la existencia de la obligación dada su claridad y su condición de expresa, además de su exigibilidad por ser una obligación pura y simple o porque siendo modal ya se cumplió el plazo o la condición, será procedente librar el mandamiento de pago.</w:t>
      </w:r>
    </w:p>
    <w:p w14:paraId="3D11579C" w14:textId="77777777" w:rsidR="001D7989" w:rsidRPr="001D7989" w:rsidRDefault="001D7989" w:rsidP="001D7989">
      <w:pPr>
        <w:jc w:val="both"/>
        <w:rPr>
          <w:rFonts w:ascii="Century Gothic" w:hAnsi="Century Gothic"/>
          <w:i/>
          <w:sz w:val="22"/>
          <w:szCs w:val="22"/>
          <w:lang w:val="es-CO"/>
        </w:rPr>
      </w:pPr>
      <w:r w:rsidRPr="001D7989">
        <w:rPr>
          <w:rFonts w:ascii="Century Gothic" w:hAnsi="Century Gothic"/>
          <w:i/>
          <w:sz w:val="22"/>
          <w:szCs w:val="22"/>
          <w:lang w:val="es-CO"/>
        </w:rPr>
        <w:t xml:space="preserve"> </w:t>
      </w:r>
    </w:p>
    <w:p w14:paraId="5D5ADEF3" w14:textId="77777777" w:rsidR="001D7989" w:rsidRPr="001D7989" w:rsidRDefault="001D7989" w:rsidP="001D7989">
      <w:pPr>
        <w:ind w:left="705"/>
        <w:jc w:val="both"/>
        <w:rPr>
          <w:rFonts w:ascii="Century Gothic" w:hAnsi="Century Gothic"/>
          <w:i/>
          <w:sz w:val="22"/>
          <w:szCs w:val="22"/>
          <w:lang w:val="es-CO"/>
        </w:rPr>
      </w:pPr>
      <w:r w:rsidRPr="001D7989">
        <w:rPr>
          <w:rFonts w:ascii="Century Gothic" w:hAnsi="Century Gothic"/>
          <w:i/>
          <w:sz w:val="22"/>
          <w:szCs w:val="22"/>
          <w:lang w:val="es-CO"/>
        </w:rPr>
        <w:t>“Y tales condiciones no solo se predican como atrás se explicó de los títulos valores, sino que pueden predicarse de otros documentos como sucede con el contrato que como fuente de obligaciones bien puede llegar a constituir título ejecutivo, generalmente de la naturaleza de los complejos por cuanto la estructuración del título requiere además del contrato en el que se sustenta la obligación, la demostración del cumplimiento de la condición de la cual pende el pago, verbigracia el acta en la que consta el recibo por parte de la administración, de la obra o servicio”.</w:t>
      </w:r>
    </w:p>
    <w:p w14:paraId="022803F9" w14:textId="77777777" w:rsidR="001D7989" w:rsidRPr="001D7989" w:rsidRDefault="001D7989" w:rsidP="00776AD2">
      <w:pPr>
        <w:spacing w:line="360" w:lineRule="auto"/>
        <w:jc w:val="both"/>
        <w:rPr>
          <w:rFonts w:ascii="Century Gothic" w:hAnsi="Century Gothic"/>
          <w:sz w:val="22"/>
          <w:szCs w:val="22"/>
          <w:lang w:val="es-CO"/>
        </w:rPr>
      </w:pPr>
    </w:p>
    <w:p w14:paraId="542D05F4" w14:textId="77777777" w:rsidR="00434F26" w:rsidRDefault="00B01A84" w:rsidP="00CA0656">
      <w:pPr>
        <w:spacing w:line="360" w:lineRule="auto"/>
        <w:jc w:val="both"/>
        <w:rPr>
          <w:rFonts w:ascii="Century Gothic" w:hAnsi="Century Gothic"/>
          <w:sz w:val="22"/>
          <w:szCs w:val="22"/>
        </w:rPr>
      </w:pPr>
      <w:bookmarkStart w:id="4" w:name="_Hlk21097259"/>
      <w:r w:rsidRPr="00B01A84">
        <w:rPr>
          <w:rFonts w:ascii="Century Gothic" w:hAnsi="Century Gothic"/>
          <w:sz w:val="22"/>
          <w:szCs w:val="22"/>
        </w:rPr>
        <w:t xml:space="preserve">Lo </w:t>
      </w:r>
      <w:r>
        <w:rPr>
          <w:rFonts w:ascii="Century Gothic" w:hAnsi="Century Gothic"/>
          <w:sz w:val="22"/>
          <w:szCs w:val="22"/>
        </w:rPr>
        <w:t>mismo ocurre cuando la acción ejecutiva se dirige a intimar al pago</w:t>
      </w:r>
      <w:r w:rsidR="00434F26">
        <w:rPr>
          <w:rFonts w:ascii="Century Gothic" w:hAnsi="Century Gothic"/>
          <w:sz w:val="22"/>
          <w:szCs w:val="22"/>
        </w:rPr>
        <w:t xml:space="preserve"> a una aseguradora</w:t>
      </w:r>
      <w:r>
        <w:rPr>
          <w:rFonts w:ascii="Century Gothic" w:hAnsi="Century Gothic"/>
          <w:sz w:val="22"/>
          <w:szCs w:val="22"/>
        </w:rPr>
        <w:t xml:space="preserve"> por una obligación derivada de una póliza de seguros a favor de entidades públicas, suscrita por aquélla </w:t>
      </w:r>
      <w:r w:rsidR="00022B2A">
        <w:rPr>
          <w:rFonts w:ascii="Century Gothic" w:hAnsi="Century Gothic"/>
          <w:sz w:val="22"/>
          <w:szCs w:val="22"/>
        </w:rPr>
        <w:t>y</w:t>
      </w:r>
      <w:r w:rsidR="007B2BC2">
        <w:rPr>
          <w:rFonts w:ascii="Century Gothic" w:hAnsi="Century Gothic"/>
          <w:sz w:val="22"/>
          <w:szCs w:val="22"/>
        </w:rPr>
        <w:t xml:space="preserve"> un particular contratista</w:t>
      </w:r>
      <w:r>
        <w:rPr>
          <w:rFonts w:ascii="Century Gothic" w:hAnsi="Century Gothic"/>
          <w:sz w:val="22"/>
          <w:szCs w:val="22"/>
        </w:rPr>
        <w:t xml:space="preserve"> en </w:t>
      </w:r>
      <w:r w:rsidR="00DE40D0">
        <w:rPr>
          <w:rFonts w:ascii="Century Gothic" w:hAnsi="Century Gothic"/>
          <w:sz w:val="22"/>
          <w:szCs w:val="22"/>
        </w:rPr>
        <w:t>el</w:t>
      </w:r>
      <w:r w:rsidR="00C029BB">
        <w:rPr>
          <w:rFonts w:ascii="Century Gothic" w:hAnsi="Century Gothic"/>
          <w:sz w:val="22"/>
          <w:szCs w:val="22"/>
        </w:rPr>
        <w:t xml:space="preserve"> marco de un contrato estatal; e</w:t>
      </w:r>
      <w:r>
        <w:rPr>
          <w:rFonts w:ascii="Century Gothic" w:hAnsi="Century Gothic"/>
          <w:sz w:val="22"/>
          <w:szCs w:val="22"/>
        </w:rPr>
        <w:t>n efecto, en estos casos el título ejecutivo se reputa complejo en la medida en que</w:t>
      </w:r>
      <w:r w:rsidR="00434F26">
        <w:rPr>
          <w:rFonts w:ascii="Century Gothic" w:hAnsi="Century Gothic"/>
          <w:sz w:val="22"/>
          <w:szCs w:val="22"/>
        </w:rPr>
        <w:t>,</w:t>
      </w:r>
      <w:r>
        <w:rPr>
          <w:rFonts w:ascii="Century Gothic" w:hAnsi="Century Gothic"/>
          <w:sz w:val="22"/>
          <w:szCs w:val="22"/>
        </w:rPr>
        <w:t xml:space="preserve"> para su conformación</w:t>
      </w:r>
      <w:r w:rsidR="00434F26">
        <w:rPr>
          <w:rFonts w:ascii="Century Gothic" w:hAnsi="Century Gothic"/>
          <w:sz w:val="22"/>
          <w:szCs w:val="22"/>
        </w:rPr>
        <w:t>,</w:t>
      </w:r>
      <w:r>
        <w:rPr>
          <w:rFonts w:ascii="Century Gothic" w:hAnsi="Century Gothic"/>
          <w:sz w:val="22"/>
          <w:szCs w:val="22"/>
        </w:rPr>
        <w:t xml:space="preserve"> no sólo se requiere de la exhibición documental de la póliza de seguros respectiva, sino que debe estar acompañada del contrato estatal del cual </w:t>
      </w:r>
      <w:r w:rsidR="00DE40D0">
        <w:rPr>
          <w:rFonts w:ascii="Century Gothic" w:hAnsi="Century Gothic"/>
          <w:sz w:val="22"/>
          <w:szCs w:val="22"/>
        </w:rPr>
        <w:t xml:space="preserve">se </w:t>
      </w:r>
      <w:r>
        <w:rPr>
          <w:rFonts w:ascii="Century Gothic" w:hAnsi="Century Gothic"/>
          <w:sz w:val="22"/>
          <w:szCs w:val="22"/>
        </w:rPr>
        <w:t>deriva y del</w:t>
      </w:r>
      <w:r w:rsidR="00434F26">
        <w:rPr>
          <w:rFonts w:ascii="Century Gothic" w:hAnsi="Century Gothic"/>
          <w:sz w:val="22"/>
          <w:szCs w:val="22"/>
        </w:rPr>
        <w:t xml:space="preserve"> o </w:t>
      </w:r>
      <w:r w:rsidR="00DE40D0">
        <w:rPr>
          <w:rFonts w:ascii="Century Gothic" w:hAnsi="Century Gothic"/>
          <w:sz w:val="22"/>
          <w:szCs w:val="22"/>
        </w:rPr>
        <w:t xml:space="preserve">de </w:t>
      </w:r>
      <w:r w:rsidR="00434F26">
        <w:rPr>
          <w:rFonts w:ascii="Century Gothic" w:hAnsi="Century Gothic"/>
          <w:sz w:val="22"/>
          <w:szCs w:val="22"/>
        </w:rPr>
        <w:t>los</w:t>
      </w:r>
      <w:r>
        <w:rPr>
          <w:rFonts w:ascii="Century Gothic" w:hAnsi="Century Gothic"/>
          <w:sz w:val="22"/>
          <w:szCs w:val="22"/>
        </w:rPr>
        <w:t xml:space="preserve"> acto</w:t>
      </w:r>
      <w:r w:rsidR="00040EF9">
        <w:rPr>
          <w:rFonts w:ascii="Century Gothic" w:hAnsi="Century Gothic"/>
          <w:sz w:val="22"/>
          <w:szCs w:val="22"/>
        </w:rPr>
        <w:t>s</w:t>
      </w:r>
      <w:r>
        <w:rPr>
          <w:rFonts w:ascii="Century Gothic" w:hAnsi="Century Gothic"/>
          <w:sz w:val="22"/>
          <w:szCs w:val="22"/>
        </w:rPr>
        <w:t xml:space="preserve"> administrativo</w:t>
      </w:r>
      <w:r w:rsidR="00040EF9">
        <w:rPr>
          <w:rFonts w:ascii="Century Gothic" w:hAnsi="Century Gothic"/>
          <w:sz w:val="22"/>
          <w:szCs w:val="22"/>
        </w:rPr>
        <w:t>s</w:t>
      </w:r>
      <w:r w:rsidR="00434F26">
        <w:rPr>
          <w:rFonts w:ascii="Century Gothic" w:hAnsi="Century Gothic"/>
          <w:sz w:val="22"/>
          <w:szCs w:val="22"/>
        </w:rPr>
        <w:t xml:space="preserve"> en firme que declar</w:t>
      </w:r>
      <w:r w:rsidR="00DE40D0">
        <w:rPr>
          <w:rFonts w:ascii="Century Gothic" w:hAnsi="Century Gothic"/>
          <w:sz w:val="22"/>
          <w:szCs w:val="22"/>
        </w:rPr>
        <w:t>a</w:t>
      </w:r>
      <w:r w:rsidR="00434F26">
        <w:rPr>
          <w:rFonts w:ascii="Century Gothic" w:hAnsi="Century Gothic"/>
          <w:sz w:val="22"/>
          <w:szCs w:val="22"/>
        </w:rPr>
        <w:t xml:space="preserve">n </w:t>
      </w:r>
      <w:r>
        <w:rPr>
          <w:rFonts w:ascii="Century Gothic" w:hAnsi="Century Gothic"/>
          <w:sz w:val="22"/>
          <w:szCs w:val="22"/>
        </w:rPr>
        <w:t>la ocurrencia del siniestro que la póliza ampara.</w:t>
      </w:r>
    </w:p>
    <w:bookmarkEnd w:id="4"/>
    <w:p w14:paraId="5E4A38B5" w14:textId="77777777" w:rsidR="00163103" w:rsidRDefault="00163103" w:rsidP="00CA0656">
      <w:pPr>
        <w:spacing w:line="360" w:lineRule="auto"/>
        <w:jc w:val="both"/>
        <w:rPr>
          <w:rFonts w:ascii="Century Gothic" w:hAnsi="Century Gothic"/>
          <w:sz w:val="22"/>
          <w:szCs w:val="22"/>
        </w:rPr>
      </w:pPr>
    </w:p>
    <w:p w14:paraId="606E6B24" w14:textId="77777777" w:rsidR="00040EF9" w:rsidRDefault="00434F26" w:rsidP="00CA0656">
      <w:pPr>
        <w:spacing w:line="360" w:lineRule="auto"/>
        <w:jc w:val="both"/>
        <w:rPr>
          <w:rFonts w:ascii="Century Gothic" w:hAnsi="Century Gothic"/>
          <w:sz w:val="22"/>
          <w:szCs w:val="22"/>
        </w:rPr>
      </w:pPr>
      <w:r>
        <w:rPr>
          <w:rFonts w:ascii="Century Gothic" w:hAnsi="Century Gothic"/>
          <w:sz w:val="22"/>
          <w:szCs w:val="22"/>
        </w:rPr>
        <w:lastRenderedPageBreak/>
        <w:t>En relación con lo anterior,</w:t>
      </w:r>
      <w:r w:rsidR="00040EF9">
        <w:rPr>
          <w:rFonts w:ascii="Century Gothic" w:hAnsi="Century Gothic"/>
          <w:sz w:val="22"/>
          <w:szCs w:val="22"/>
        </w:rPr>
        <w:t xml:space="preserve"> </w:t>
      </w:r>
      <w:r>
        <w:rPr>
          <w:rFonts w:ascii="Century Gothic" w:hAnsi="Century Gothic"/>
          <w:sz w:val="22"/>
          <w:szCs w:val="22"/>
        </w:rPr>
        <w:t xml:space="preserve">la </w:t>
      </w:r>
      <w:r w:rsidR="00040EF9">
        <w:rPr>
          <w:rFonts w:ascii="Century Gothic" w:hAnsi="Century Gothic"/>
          <w:sz w:val="22"/>
          <w:szCs w:val="22"/>
        </w:rPr>
        <w:t>Sección Tercera de esta Corporación</w:t>
      </w:r>
      <w:r>
        <w:rPr>
          <w:rFonts w:ascii="Century Gothic" w:hAnsi="Century Gothic"/>
          <w:sz w:val="22"/>
          <w:szCs w:val="22"/>
        </w:rPr>
        <w:t>,</w:t>
      </w:r>
      <w:r w:rsidR="00040EF9">
        <w:rPr>
          <w:rFonts w:ascii="Century Gothic" w:hAnsi="Century Gothic"/>
          <w:sz w:val="22"/>
          <w:szCs w:val="22"/>
        </w:rPr>
        <w:t xml:space="preserve"> en sentencia del 13 de diciembre de 2001</w:t>
      </w:r>
      <w:r>
        <w:rPr>
          <w:rFonts w:ascii="Century Gothic" w:hAnsi="Century Gothic"/>
          <w:sz w:val="22"/>
          <w:szCs w:val="22"/>
        </w:rPr>
        <w:t xml:space="preserve"> (</w:t>
      </w:r>
      <w:r w:rsidR="00DE40D0">
        <w:rPr>
          <w:rFonts w:ascii="Century Gothic" w:hAnsi="Century Gothic"/>
          <w:sz w:val="22"/>
          <w:szCs w:val="22"/>
        </w:rPr>
        <w:t>radicado</w:t>
      </w:r>
      <w:r w:rsidR="00040EF9">
        <w:rPr>
          <w:rFonts w:ascii="Century Gothic" w:hAnsi="Century Gothic"/>
          <w:sz w:val="22"/>
          <w:szCs w:val="22"/>
        </w:rPr>
        <w:t xml:space="preserve"> 15310</w:t>
      </w:r>
      <w:r>
        <w:rPr>
          <w:rFonts w:ascii="Century Gothic" w:hAnsi="Century Gothic"/>
          <w:sz w:val="22"/>
          <w:szCs w:val="22"/>
        </w:rPr>
        <w:t>), manifestó</w:t>
      </w:r>
      <w:r w:rsidR="00040EF9">
        <w:rPr>
          <w:rFonts w:ascii="Century Gothic" w:hAnsi="Century Gothic"/>
          <w:sz w:val="22"/>
          <w:szCs w:val="22"/>
        </w:rPr>
        <w:t xml:space="preserve"> </w:t>
      </w:r>
      <w:r>
        <w:rPr>
          <w:rFonts w:ascii="Century Gothic" w:hAnsi="Century Gothic"/>
          <w:sz w:val="22"/>
          <w:szCs w:val="22"/>
        </w:rPr>
        <w:t xml:space="preserve">lo siguiente </w:t>
      </w:r>
      <w:r w:rsidR="00040EF9">
        <w:rPr>
          <w:rFonts w:ascii="Century Gothic" w:hAnsi="Century Gothic"/>
          <w:sz w:val="22"/>
          <w:szCs w:val="22"/>
        </w:rPr>
        <w:t xml:space="preserve">(se transcribe </w:t>
      </w:r>
      <w:r w:rsidR="00DE40D0">
        <w:rPr>
          <w:rFonts w:ascii="Century Gothic" w:hAnsi="Century Gothic"/>
          <w:sz w:val="22"/>
          <w:szCs w:val="22"/>
        </w:rPr>
        <w:t>literal</w:t>
      </w:r>
      <w:r w:rsidR="00040EF9">
        <w:rPr>
          <w:rFonts w:ascii="Century Gothic" w:hAnsi="Century Gothic"/>
          <w:sz w:val="22"/>
          <w:szCs w:val="22"/>
        </w:rPr>
        <w:t>):</w:t>
      </w:r>
    </w:p>
    <w:p w14:paraId="071139CB" w14:textId="77777777" w:rsidR="00040EF9" w:rsidRDefault="00040EF9" w:rsidP="00CA0656">
      <w:pPr>
        <w:spacing w:line="360" w:lineRule="auto"/>
        <w:jc w:val="both"/>
        <w:rPr>
          <w:rFonts w:ascii="Century Gothic" w:hAnsi="Century Gothic"/>
          <w:sz w:val="22"/>
          <w:szCs w:val="22"/>
        </w:rPr>
      </w:pPr>
    </w:p>
    <w:p w14:paraId="3AE2E1EF" w14:textId="77777777" w:rsidR="00040EF9" w:rsidRPr="00040EF9" w:rsidRDefault="00040EF9" w:rsidP="00040EF9">
      <w:pPr>
        <w:ind w:left="705"/>
        <w:jc w:val="both"/>
        <w:rPr>
          <w:rFonts w:ascii="Century Gothic" w:hAnsi="Century Gothic"/>
          <w:i/>
          <w:sz w:val="22"/>
          <w:szCs w:val="22"/>
          <w:lang w:val="es-ES_tradnl"/>
        </w:rPr>
      </w:pPr>
      <w:r w:rsidRPr="00040EF9">
        <w:rPr>
          <w:rFonts w:ascii="Century Gothic" w:hAnsi="Century Gothic"/>
          <w:i/>
          <w:sz w:val="22"/>
          <w:szCs w:val="22"/>
        </w:rPr>
        <w:t>“</w:t>
      </w:r>
      <w:r w:rsidRPr="00040EF9">
        <w:rPr>
          <w:rFonts w:ascii="Century Gothic" w:hAnsi="Century Gothic"/>
          <w:i/>
          <w:sz w:val="22"/>
          <w:szCs w:val="22"/>
          <w:lang w:val="es-ES_tradnl"/>
        </w:rPr>
        <w:t xml:space="preserve">La Sala considera que los documentos que se acaban de relacionar conforman un titulo ejecutivo complejo del que se derivan obligaciones claras, expresas y exigibles a cargo del señor </w:t>
      </w:r>
      <w:r w:rsidR="00547BF4">
        <w:rPr>
          <w:rFonts w:ascii="Century Gothic" w:hAnsi="Century Gothic"/>
          <w:i/>
          <w:sz w:val="22"/>
          <w:szCs w:val="22"/>
          <w:lang w:val="es-ES_tradnl"/>
        </w:rPr>
        <w:t>…</w:t>
      </w:r>
      <w:r w:rsidRPr="00040EF9">
        <w:rPr>
          <w:rFonts w:ascii="Century Gothic" w:hAnsi="Century Gothic"/>
          <w:i/>
          <w:sz w:val="22"/>
          <w:szCs w:val="22"/>
          <w:lang w:val="es-ES_tradnl"/>
        </w:rPr>
        <w:t xml:space="preserve"> y de </w:t>
      </w:r>
      <w:r w:rsidR="00547BF4">
        <w:rPr>
          <w:rFonts w:ascii="Century Gothic" w:hAnsi="Century Gothic"/>
          <w:i/>
          <w:sz w:val="22"/>
          <w:szCs w:val="22"/>
          <w:lang w:val="es-ES_tradnl"/>
        </w:rPr>
        <w:t>…</w:t>
      </w:r>
    </w:p>
    <w:p w14:paraId="2D0268B7" w14:textId="77777777" w:rsidR="00040EF9" w:rsidRPr="00040EF9" w:rsidRDefault="00040EF9" w:rsidP="00040EF9">
      <w:pPr>
        <w:jc w:val="both"/>
        <w:rPr>
          <w:rFonts w:ascii="Century Gothic" w:hAnsi="Century Gothic"/>
          <w:i/>
          <w:sz w:val="22"/>
          <w:szCs w:val="22"/>
          <w:lang w:val="es-ES_tradnl"/>
        </w:rPr>
      </w:pPr>
    </w:p>
    <w:p w14:paraId="5077F49E" w14:textId="77777777" w:rsidR="00040EF9" w:rsidRPr="00040EF9" w:rsidRDefault="00040EF9" w:rsidP="00040EF9">
      <w:pPr>
        <w:ind w:left="705"/>
        <w:jc w:val="both"/>
        <w:rPr>
          <w:rFonts w:ascii="Century Gothic" w:hAnsi="Century Gothic"/>
          <w:i/>
          <w:sz w:val="22"/>
          <w:szCs w:val="22"/>
          <w:lang w:val="es-ES_tradnl"/>
        </w:rPr>
      </w:pPr>
      <w:r w:rsidRPr="00040EF9">
        <w:rPr>
          <w:rFonts w:ascii="Century Gothic" w:hAnsi="Century Gothic"/>
          <w:i/>
          <w:sz w:val="22"/>
          <w:szCs w:val="22"/>
          <w:lang w:val="es-ES_tradnl"/>
        </w:rPr>
        <w:t xml:space="preserve">“En efecto, está demostrada la existencia del contrato estatal suscrito entre el departamento de </w:t>
      </w:r>
      <w:r w:rsidR="00547BF4">
        <w:rPr>
          <w:rFonts w:ascii="Century Gothic" w:hAnsi="Century Gothic"/>
          <w:i/>
          <w:sz w:val="22"/>
          <w:szCs w:val="22"/>
          <w:lang w:val="es-ES_tradnl"/>
        </w:rPr>
        <w:t>…</w:t>
      </w:r>
      <w:r w:rsidRPr="00040EF9">
        <w:rPr>
          <w:rFonts w:ascii="Century Gothic" w:hAnsi="Century Gothic"/>
          <w:i/>
          <w:sz w:val="22"/>
          <w:szCs w:val="22"/>
          <w:lang w:val="es-ES_tradnl"/>
        </w:rPr>
        <w:t xml:space="preserve"> y </w:t>
      </w:r>
      <w:r w:rsidR="00547BF4">
        <w:rPr>
          <w:rFonts w:ascii="Century Gothic" w:hAnsi="Century Gothic"/>
          <w:i/>
          <w:sz w:val="22"/>
          <w:szCs w:val="22"/>
          <w:lang w:val="es-ES_tradnl"/>
        </w:rPr>
        <w:t>…</w:t>
      </w:r>
      <w:r w:rsidRPr="00040EF9">
        <w:rPr>
          <w:rFonts w:ascii="Century Gothic" w:hAnsi="Century Gothic"/>
          <w:i/>
          <w:sz w:val="22"/>
          <w:szCs w:val="22"/>
          <w:lang w:val="es-ES_tradnl"/>
        </w:rPr>
        <w:t xml:space="preserve"> como también que el cumplimiento de las obligaciones surgidas de este contrato fue garantizado con la póliza única de seguro de cumplimiento en favor de entidades estatales número </w:t>
      </w:r>
      <w:r w:rsidR="00547BF4">
        <w:rPr>
          <w:rFonts w:ascii="Century Gothic" w:hAnsi="Century Gothic"/>
          <w:i/>
          <w:sz w:val="22"/>
          <w:szCs w:val="22"/>
          <w:lang w:val="es-ES_tradnl"/>
        </w:rPr>
        <w:t xml:space="preserve">… </w:t>
      </w:r>
      <w:r w:rsidRPr="00040EF9">
        <w:rPr>
          <w:rFonts w:ascii="Century Gothic" w:hAnsi="Century Gothic"/>
          <w:i/>
          <w:sz w:val="22"/>
          <w:szCs w:val="22"/>
          <w:lang w:val="es-ES_tradnl"/>
        </w:rPr>
        <w:t xml:space="preserve">expedida por </w:t>
      </w:r>
      <w:r w:rsidR="00547BF4">
        <w:rPr>
          <w:rFonts w:ascii="Century Gothic" w:hAnsi="Century Gothic"/>
          <w:i/>
          <w:sz w:val="22"/>
          <w:szCs w:val="22"/>
          <w:lang w:val="es-ES_tradnl"/>
        </w:rPr>
        <w:t xml:space="preserve">… </w:t>
      </w:r>
      <w:r w:rsidRPr="00040EF9">
        <w:rPr>
          <w:rFonts w:ascii="Century Gothic" w:hAnsi="Century Gothic"/>
          <w:i/>
          <w:sz w:val="22"/>
          <w:szCs w:val="22"/>
          <w:lang w:val="es-ES_tradnl"/>
        </w:rPr>
        <w:t xml:space="preserve">en favor del Departamento </w:t>
      </w:r>
      <w:r w:rsidR="00547BF4">
        <w:rPr>
          <w:rFonts w:ascii="Century Gothic" w:hAnsi="Century Gothic"/>
          <w:i/>
          <w:sz w:val="22"/>
          <w:szCs w:val="22"/>
          <w:lang w:val="es-ES_tradnl"/>
        </w:rPr>
        <w:t>…</w:t>
      </w:r>
    </w:p>
    <w:p w14:paraId="24F03DD2" w14:textId="77777777" w:rsidR="00040EF9" w:rsidRPr="00040EF9" w:rsidRDefault="00040EF9" w:rsidP="00040EF9">
      <w:pPr>
        <w:jc w:val="both"/>
        <w:rPr>
          <w:rFonts w:ascii="Century Gothic" w:hAnsi="Century Gothic"/>
          <w:i/>
          <w:sz w:val="22"/>
          <w:szCs w:val="22"/>
          <w:lang w:val="es-ES_tradnl"/>
        </w:rPr>
      </w:pPr>
    </w:p>
    <w:p w14:paraId="2F8074C3" w14:textId="77777777" w:rsidR="00040EF9" w:rsidRPr="00040EF9" w:rsidRDefault="00040EF9" w:rsidP="00040EF9">
      <w:pPr>
        <w:ind w:left="705"/>
        <w:jc w:val="both"/>
        <w:rPr>
          <w:rFonts w:ascii="Century Gothic" w:hAnsi="Century Gothic"/>
          <w:i/>
          <w:sz w:val="22"/>
          <w:szCs w:val="22"/>
          <w:lang w:val="es-ES_tradnl"/>
        </w:rPr>
      </w:pPr>
      <w:r w:rsidRPr="00040EF9">
        <w:rPr>
          <w:rFonts w:ascii="Century Gothic" w:hAnsi="Century Gothic"/>
          <w:i/>
          <w:sz w:val="22"/>
          <w:szCs w:val="22"/>
          <w:lang w:val="es-ES_tradnl"/>
        </w:rPr>
        <w:t>“Se acreditó además que mediante actos administrativos notificados y ejecutoriados el Departamento dispuso la terminación del contrato y su liquidación unilateral, y que en los mismos consta una suma a favor del ejecutante por $39’808.195.</w:t>
      </w:r>
    </w:p>
    <w:p w14:paraId="6E0C1DA6" w14:textId="77777777" w:rsidR="00040EF9" w:rsidRPr="00040EF9" w:rsidRDefault="00040EF9" w:rsidP="00040EF9">
      <w:pPr>
        <w:jc w:val="both"/>
        <w:rPr>
          <w:rFonts w:ascii="Century Gothic" w:hAnsi="Century Gothic"/>
          <w:i/>
          <w:sz w:val="22"/>
          <w:szCs w:val="22"/>
          <w:lang w:val="es-ES_tradnl"/>
        </w:rPr>
      </w:pPr>
    </w:p>
    <w:p w14:paraId="61DA6E13" w14:textId="77777777" w:rsidR="00040EF9" w:rsidRPr="00040EF9" w:rsidRDefault="00040EF9" w:rsidP="00040EF9">
      <w:pPr>
        <w:ind w:left="705"/>
        <w:jc w:val="both"/>
        <w:rPr>
          <w:rFonts w:ascii="Century Gothic" w:hAnsi="Century Gothic"/>
          <w:i/>
          <w:sz w:val="22"/>
          <w:szCs w:val="22"/>
          <w:lang w:val="es-ES_tradnl"/>
        </w:rPr>
      </w:pPr>
      <w:r w:rsidRPr="00040EF9">
        <w:rPr>
          <w:rFonts w:ascii="Century Gothic" w:hAnsi="Century Gothic"/>
          <w:i/>
          <w:sz w:val="22"/>
          <w:szCs w:val="22"/>
          <w:lang w:val="es-ES_tradnl"/>
        </w:rPr>
        <w:t xml:space="preserve">“Igualmente se probó que los interesados impugnaron tales actos mediante recurso de reposición que fue resuelto por el Departamento en forma desfavorable; como también que </w:t>
      </w:r>
      <w:r w:rsidR="00547BF4">
        <w:rPr>
          <w:rFonts w:ascii="Century Gothic" w:hAnsi="Century Gothic"/>
          <w:i/>
          <w:sz w:val="22"/>
          <w:szCs w:val="22"/>
          <w:lang w:val="es-ES_tradnl"/>
        </w:rPr>
        <w:t xml:space="preserve">… </w:t>
      </w:r>
      <w:r w:rsidRPr="00040EF9">
        <w:rPr>
          <w:rFonts w:ascii="Century Gothic" w:hAnsi="Century Gothic"/>
          <w:i/>
          <w:sz w:val="22"/>
          <w:szCs w:val="22"/>
          <w:lang w:val="es-ES_tradnl"/>
        </w:rPr>
        <w:t>pidió la revocatoria directa de los mismos, las cuales fueron resueltas negativamente por la Administración.</w:t>
      </w:r>
    </w:p>
    <w:p w14:paraId="13BDCA03" w14:textId="77777777" w:rsidR="00040EF9" w:rsidRPr="00040EF9" w:rsidRDefault="00040EF9" w:rsidP="00040EF9">
      <w:pPr>
        <w:jc w:val="both"/>
        <w:rPr>
          <w:rFonts w:ascii="Century Gothic" w:hAnsi="Century Gothic"/>
          <w:i/>
          <w:sz w:val="22"/>
          <w:szCs w:val="22"/>
          <w:lang w:val="es-ES_tradnl"/>
        </w:rPr>
      </w:pPr>
    </w:p>
    <w:p w14:paraId="72FB9946" w14:textId="77777777" w:rsidR="00040EF9" w:rsidRPr="00040EF9" w:rsidRDefault="00040EF9" w:rsidP="00040EF9">
      <w:pPr>
        <w:ind w:left="705"/>
        <w:jc w:val="both"/>
        <w:rPr>
          <w:rFonts w:ascii="Century Gothic" w:hAnsi="Century Gothic"/>
          <w:i/>
          <w:sz w:val="22"/>
          <w:szCs w:val="22"/>
          <w:lang w:val="es-ES_tradnl"/>
        </w:rPr>
      </w:pPr>
      <w:r w:rsidRPr="00040EF9">
        <w:rPr>
          <w:rFonts w:ascii="Century Gothic" w:hAnsi="Century Gothic"/>
          <w:i/>
          <w:sz w:val="22"/>
          <w:szCs w:val="22"/>
          <w:lang w:val="es-ES_tradnl"/>
        </w:rPr>
        <w:t>“El título así presentado lleva a la conclusión de que reúne los requisitos de forma y de fondo previstos en el artículo 488 del Código de Procedimiento Civil”.</w:t>
      </w:r>
    </w:p>
    <w:p w14:paraId="3933F782" w14:textId="77777777" w:rsidR="00040EF9" w:rsidRPr="00040EF9" w:rsidRDefault="00040EF9" w:rsidP="00CA0656">
      <w:pPr>
        <w:spacing w:line="360" w:lineRule="auto"/>
        <w:jc w:val="both"/>
        <w:rPr>
          <w:rFonts w:ascii="Century Gothic" w:hAnsi="Century Gothic"/>
          <w:sz w:val="22"/>
          <w:szCs w:val="22"/>
          <w:lang w:val="es-ES_tradnl"/>
        </w:rPr>
      </w:pPr>
    </w:p>
    <w:p w14:paraId="19AB116B" w14:textId="77777777" w:rsidR="005035CD" w:rsidRDefault="005035CD" w:rsidP="005035CD">
      <w:pPr>
        <w:spacing w:line="360" w:lineRule="auto"/>
        <w:jc w:val="both"/>
        <w:rPr>
          <w:rFonts w:ascii="Century Gothic" w:hAnsi="Century Gothic"/>
          <w:sz w:val="22"/>
          <w:szCs w:val="22"/>
        </w:rPr>
      </w:pPr>
      <w:bookmarkStart w:id="5" w:name="_Hlk21098056"/>
      <w:r>
        <w:rPr>
          <w:rFonts w:ascii="Century Gothic" w:hAnsi="Century Gothic"/>
          <w:sz w:val="22"/>
          <w:szCs w:val="22"/>
        </w:rPr>
        <w:t xml:space="preserve">Lo anterior sin pasar por alto que, si el título que se pretende hacer valer contra el ejecutado está integrado por </w:t>
      </w:r>
      <w:r w:rsidR="000758BE">
        <w:rPr>
          <w:rFonts w:ascii="Century Gothic" w:hAnsi="Century Gothic"/>
          <w:sz w:val="22"/>
          <w:szCs w:val="22"/>
        </w:rPr>
        <w:t xml:space="preserve">uno o varios </w:t>
      </w:r>
      <w:r>
        <w:rPr>
          <w:rFonts w:ascii="Century Gothic" w:hAnsi="Century Gothic"/>
          <w:sz w:val="22"/>
          <w:szCs w:val="22"/>
        </w:rPr>
        <w:t>actos administrativos, éstos deben haber cobrado fuerza ejecutoria para que cumplan el efecto p</w:t>
      </w:r>
      <w:r w:rsidR="00D85522">
        <w:rPr>
          <w:rFonts w:ascii="Century Gothic" w:hAnsi="Century Gothic"/>
          <w:sz w:val="22"/>
          <w:szCs w:val="22"/>
        </w:rPr>
        <w:t>ropuesto, lo cual quiere decir que debieron haber cumplido con las exigencias de ley, en relación con su notificación, publicación y resolución de impugnaciones, pues, ante la ausencia de alguno de estos presupuestos que exige la ley</w:t>
      </w:r>
      <w:r w:rsidR="009F2771">
        <w:rPr>
          <w:rFonts w:ascii="Century Gothic" w:hAnsi="Century Gothic"/>
          <w:sz w:val="22"/>
          <w:szCs w:val="22"/>
        </w:rPr>
        <w:t xml:space="preserve">, el acto administrativo no estará en firme y, por tanto, no podrá integrar </w:t>
      </w:r>
      <w:r w:rsidR="00D85522">
        <w:rPr>
          <w:rFonts w:ascii="Century Gothic" w:hAnsi="Century Gothic"/>
          <w:sz w:val="22"/>
          <w:szCs w:val="22"/>
        </w:rPr>
        <w:t>el t</w:t>
      </w:r>
      <w:r w:rsidR="007B755B">
        <w:rPr>
          <w:rFonts w:ascii="Century Gothic" w:hAnsi="Century Gothic"/>
          <w:sz w:val="22"/>
          <w:szCs w:val="22"/>
        </w:rPr>
        <w:t>ítulo ejecutivo</w:t>
      </w:r>
      <w:r w:rsidR="00337C90">
        <w:rPr>
          <w:rFonts w:ascii="Century Gothic" w:hAnsi="Century Gothic"/>
          <w:sz w:val="22"/>
          <w:szCs w:val="22"/>
        </w:rPr>
        <w:t>, como se puede deducir del artículo 64 del C.C.A</w:t>
      </w:r>
      <w:bookmarkEnd w:id="5"/>
      <w:r w:rsidR="00337C90">
        <w:rPr>
          <w:rFonts w:ascii="Century Gothic" w:hAnsi="Century Gothic"/>
          <w:sz w:val="22"/>
          <w:szCs w:val="22"/>
        </w:rPr>
        <w:t>.</w:t>
      </w:r>
      <w:r w:rsidR="00547BF4">
        <w:rPr>
          <w:rFonts w:ascii="Century Gothic" w:hAnsi="Century Gothic"/>
          <w:sz w:val="22"/>
          <w:szCs w:val="22"/>
        </w:rPr>
        <w:t>, según el cual</w:t>
      </w:r>
      <w:r w:rsidR="007B755B">
        <w:rPr>
          <w:rFonts w:ascii="Century Gothic" w:hAnsi="Century Gothic"/>
          <w:sz w:val="22"/>
          <w:szCs w:val="22"/>
        </w:rPr>
        <w:t>:</w:t>
      </w:r>
    </w:p>
    <w:p w14:paraId="52C7EB85" w14:textId="77777777" w:rsidR="007B755B" w:rsidRDefault="007B755B" w:rsidP="005035CD">
      <w:pPr>
        <w:spacing w:line="360" w:lineRule="auto"/>
        <w:jc w:val="both"/>
        <w:rPr>
          <w:rFonts w:ascii="Century Gothic" w:hAnsi="Century Gothic"/>
          <w:sz w:val="22"/>
          <w:szCs w:val="22"/>
        </w:rPr>
      </w:pPr>
    </w:p>
    <w:p w14:paraId="5AA32941" w14:textId="77777777" w:rsidR="007B755B" w:rsidRDefault="007B755B" w:rsidP="00337C90">
      <w:pPr>
        <w:spacing w:line="360" w:lineRule="auto"/>
        <w:ind w:left="705"/>
        <w:jc w:val="both"/>
        <w:rPr>
          <w:rFonts w:ascii="Century Gothic" w:hAnsi="Century Gothic"/>
          <w:sz w:val="22"/>
          <w:szCs w:val="22"/>
        </w:rPr>
      </w:pPr>
      <w:r>
        <w:rPr>
          <w:rFonts w:ascii="Century Gothic" w:hAnsi="Century Gothic"/>
          <w:sz w:val="22"/>
          <w:szCs w:val="22"/>
        </w:rPr>
        <w:t>“</w:t>
      </w:r>
      <w:r w:rsidR="00337C90" w:rsidRPr="00337C90">
        <w:rPr>
          <w:rFonts w:ascii="Century Gothic" w:hAnsi="Century Gothic"/>
          <w:i/>
          <w:sz w:val="22"/>
          <w:szCs w:val="22"/>
        </w:rPr>
        <w:t xml:space="preserve">Salvo norma expresa en contrario, los actos que queden en firme al concluir el procedimiento administrativo serán suficientes, por sí mismos, para que la administración pueda ejecutar de inmediato los actos necesarios para su cumplimiento. </w:t>
      </w:r>
      <w:r w:rsidR="00337C90" w:rsidRPr="00337C90">
        <w:rPr>
          <w:rFonts w:ascii="Century Gothic" w:hAnsi="Century Gothic"/>
          <w:b/>
          <w:i/>
          <w:sz w:val="22"/>
          <w:szCs w:val="22"/>
          <w:u w:val="single"/>
        </w:rPr>
        <w:t>La firmeza de tales actos es indispensable para la ejecución contra la voluntad de los interesados</w:t>
      </w:r>
      <w:r w:rsidR="00337C90">
        <w:rPr>
          <w:rFonts w:ascii="Century Gothic" w:hAnsi="Century Gothic"/>
          <w:sz w:val="22"/>
          <w:szCs w:val="22"/>
        </w:rPr>
        <w:t>” (resaltado y subrayado fuera del original)</w:t>
      </w:r>
      <w:r w:rsidR="00337C90" w:rsidRPr="00337C90">
        <w:rPr>
          <w:rFonts w:ascii="Century Gothic" w:hAnsi="Century Gothic"/>
          <w:sz w:val="22"/>
          <w:szCs w:val="22"/>
        </w:rPr>
        <w:t>.</w:t>
      </w:r>
    </w:p>
    <w:p w14:paraId="40727795" w14:textId="77777777" w:rsidR="00163103" w:rsidRDefault="00163103" w:rsidP="005035CD">
      <w:pPr>
        <w:spacing w:line="360" w:lineRule="auto"/>
        <w:jc w:val="both"/>
        <w:rPr>
          <w:rFonts w:ascii="Century Gothic" w:hAnsi="Century Gothic"/>
          <w:sz w:val="22"/>
          <w:szCs w:val="22"/>
        </w:rPr>
      </w:pPr>
    </w:p>
    <w:p w14:paraId="02626839" w14:textId="77777777" w:rsidR="008E3767" w:rsidRPr="00075587" w:rsidRDefault="00547BF4" w:rsidP="008E3767">
      <w:pPr>
        <w:pStyle w:val="Sangra2detindependiente"/>
        <w:numPr>
          <w:ilvl w:val="0"/>
          <w:numId w:val="0"/>
        </w:numPr>
        <w:rPr>
          <w:b/>
          <w:szCs w:val="22"/>
        </w:rPr>
      </w:pPr>
      <w:r>
        <w:rPr>
          <w:b/>
          <w:szCs w:val="22"/>
        </w:rPr>
        <w:t xml:space="preserve">5.- </w:t>
      </w:r>
      <w:r w:rsidR="005F664C">
        <w:rPr>
          <w:b/>
          <w:szCs w:val="22"/>
        </w:rPr>
        <w:t>C</w:t>
      </w:r>
      <w:r w:rsidR="008E3767" w:rsidRPr="00075587">
        <w:rPr>
          <w:b/>
          <w:szCs w:val="22"/>
        </w:rPr>
        <w:t>aso concreto</w:t>
      </w:r>
      <w:r w:rsidR="008E5CE2">
        <w:rPr>
          <w:b/>
          <w:szCs w:val="22"/>
        </w:rPr>
        <w:t>.</w:t>
      </w:r>
    </w:p>
    <w:p w14:paraId="14450510" w14:textId="77777777" w:rsidR="008E3767" w:rsidRDefault="008E3767" w:rsidP="005035CD">
      <w:pPr>
        <w:spacing w:line="360" w:lineRule="auto"/>
        <w:jc w:val="both"/>
        <w:rPr>
          <w:rFonts w:ascii="Century Gothic" w:hAnsi="Century Gothic"/>
          <w:sz w:val="22"/>
          <w:szCs w:val="22"/>
        </w:rPr>
      </w:pPr>
    </w:p>
    <w:p w14:paraId="36DFECB0" w14:textId="77777777" w:rsidR="005035CD" w:rsidRDefault="00D85522" w:rsidP="005035CD">
      <w:pPr>
        <w:spacing w:line="360" w:lineRule="auto"/>
        <w:jc w:val="both"/>
        <w:rPr>
          <w:rFonts w:ascii="Century Gothic" w:hAnsi="Century Gothic"/>
          <w:sz w:val="22"/>
          <w:szCs w:val="22"/>
        </w:rPr>
      </w:pPr>
      <w:r>
        <w:rPr>
          <w:rFonts w:ascii="Century Gothic" w:hAnsi="Century Gothic"/>
          <w:sz w:val="22"/>
          <w:szCs w:val="22"/>
        </w:rPr>
        <w:t>Sentado lo anterior</w:t>
      </w:r>
      <w:r w:rsidR="005E7CEB">
        <w:rPr>
          <w:rFonts w:ascii="Century Gothic" w:hAnsi="Century Gothic"/>
          <w:sz w:val="22"/>
          <w:szCs w:val="22"/>
        </w:rPr>
        <w:t xml:space="preserve">, procede </w:t>
      </w:r>
      <w:r w:rsidR="005E6FBF">
        <w:rPr>
          <w:rFonts w:ascii="Century Gothic" w:hAnsi="Century Gothic"/>
          <w:sz w:val="22"/>
          <w:szCs w:val="22"/>
        </w:rPr>
        <w:t xml:space="preserve">la Sala </w:t>
      </w:r>
      <w:r w:rsidR="005E7CEB">
        <w:rPr>
          <w:rFonts w:ascii="Century Gothic" w:hAnsi="Century Gothic"/>
          <w:sz w:val="22"/>
          <w:szCs w:val="22"/>
        </w:rPr>
        <w:t xml:space="preserve">a analizar si los documentos </w:t>
      </w:r>
      <w:r w:rsidR="009733B7">
        <w:rPr>
          <w:rFonts w:ascii="Century Gothic" w:hAnsi="Century Gothic"/>
          <w:sz w:val="22"/>
          <w:szCs w:val="22"/>
        </w:rPr>
        <w:t xml:space="preserve">que reposan en el plenario </w:t>
      </w:r>
      <w:r w:rsidR="0050160D">
        <w:rPr>
          <w:rFonts w:ascii="Century Gothic" w:hAnsi="Century Gothic"/>
          <w:sz w:val="22"/>
          <w:szCs w:val="22"/>
        </w:rPr>
        <w:t>componen</w:t>
      </w:r>
      <w:r w:rsidR="005E7CEB">
        <w:rPr>
          <w:rFonts w:ascii="Century Gothic" w:hAnsi="Century Gothic"/>
          <w:sz w:val="22"/>
          <w:szCs w:val="22"/>
        </w:rPr>
        <w:t xml:space="preserve"> </w:t>
      </w:r>
      <w:r w:rsidR="00547BF4">
        <w:rPr>
          <w:rFonts w:ascii="Century Gothic" w:hAnsi="Century Gothic"/>
          <w:sz w:val="22"/>
          <w:szCs w:val="22"/>
        </w:rPr>
        <w:t xml:space="preserve">una </w:t>
      </w:r>
      <w:r w:rsidR="005E7CEB">
        <w:rPr>
          <w:rFonts w:ascii="Century Gothic" w:hAnsi="Century Gothic"/>
          <w:sz w:val="22"/>
          <w:szCs w:val="22"/>
        </w:rPr>
        <w:t xml:space="preserve">unidad jurídica representativa de un título </w:t>
      </w:r>
      <w:r w:rsidR="00434F26">
        <w:rPr>
          <w:rFonts w:ascii="Century Gothic" w:hAnsi="Century Gothic"/>
          <w:sz w:val="22"/>
          <w:szCs w:val="22"/>
        </w:rPr>
        <w:t>base de recaudo y si el mismo es contentivo de una obligación clara, expresa y exigible</w:t>
      </w:r>
      <w:r w:rsidR="00547BF4">
        <w:rPr>
          <w:rFonts w:ascii="Century Gothic" w:hAnsi="Century Gothic"/>
          <w:sz w:val="22"/>
          <w:szCs w:val="22"/>
        </w:rPr>
        <w:t>,</w:t>
      </w:r>
      <w:r w:rsidR="00434F26">
        <w:rPr>
          <w:rFonts w:ascii="Century Gothic" w:hAnsi="Century Gothic"/>
          <w:sz w:val="22"/>
          <w:szCs w:val="22"/>
        </w:rPr>
        <w:t xml:space="preserve"> que conduzca a conminar a CONFIANZA S.A.</w:t>
      </w:r>
      <w:r w:rsidR="005035CD">
        <w:rPr>
          <w:rFonts w:ascii="Century Gothic" w:hAnsi="Century Gothic"/>
          <w:sz w:val="22"/>
          <w:szCs w:val="22"/>
        </w:rPr>
        <w:t xml:space="preserve"> a su solución.</w:t>
      </w:r>
    </w:p>
    <w:p w14:paraId="4787FD6B" w14:textId="77777777" w:rsidR="005E7CEB" w:rsidRDefault="005035CD" w:rsidP="005035CD">
      <w:pPr>
        <w:spacing w:line="360" w:lineRule="auto"/>
        <w:jc w:val="both"/>
        <w:rPr>
          <w:rFonts w:ascii="Century Gothic" w:hAnsi="Century Gothic"/>
          <w:sz w:val="22"/>
          <w:szCs w:val="22"/>
        </w:rPr>
      </w:pPr>
      <w:r>
        <w:rPr>
          <w:rFonts w:ascii="Century Gothic" w:hAnsi="Century Gothic"/>
          <w:sz w:val="22"/>
          <w:szCs w:val="22"/>
        </w:rPr>
        <w:t xml:space="preserve"> </w:t>
      </w:r>
    </w:p>
    <w:p w14:paraId="4711D7C6" w14:textId="77777777" w:rsidR="005E7CEB" w:rsidRDefault="00547BF4" w:rsidP="00CA0656">
      <w:pPr>
        <w:spacing w:line="360" w:lineRule="auto"/>
        <w:jc w:val="both"/>
        <w:rPr>
          <w:rFonts w:ascii="Century Gothic" w:hAnsi="Century Gothic"/>
          <w:sz w:val="22"/>
          <w:szCs w:val="22"/>
        </w:rPr>
      </w:pPr>
      <w:r>
        <w:rPr>
          <w:rFonts w:ascii="Century Gothic" w:hAnsi="Century Gothic"/>
          <w:sz w:val="22"/>
          <w:szCs w:val="22"/>
        </w:rPr>
        <w:t>E</w:t>
      </w:r>
      <w:r w:rsidR="00A57743">
        <w:rPr>
          <w:rFonts w:ascii="Century Gothic" w:hAnsi="Century Gothic"/>
          <w:sz w:val="22"/>
          <w:szCs w:val="22"/>
        </w:rPr>
        <w:t>n el plenario obran</w:t>
      </w:r>
      <w:r w:rsidR="005E7CEB">
        <w:rPr>
          <w:rFonts w:ascii="Century Gothic" w:hAnsi="Century Gothic"/>
          <w:sz w:val="22"/>
          <w:szCs w:val="22"/>
        </w:rPr>
        <w:t xml:space="preserve"> los siguientes documentos:</w:t>
      </w:r>
    </w:p>
    <w:p w14:paraId="128FA1F8" w14:textId="77777777" w:rsidR="005E7CEB" w:rsidRDefault="005E7CEB" w:rsidP="00CA0656">
      <w:pPr>
        <w:spacing w:line="360" w:lineRule="auto"/>
        <w:jc w:val="both"/>
        <w:rPr>
          <w:rFonts w:ascii="Century Gothic" w:hAnsi="Century Gothic"/>
          <w:sz w:val="22"/>
          <w:szCs w:val="22"/>
        </w:rPr>
      </w:pPr>
    </w:p>
    <w:p w14:paraId="2B45752C" w14:textId="77777777" w:rsidR="005E7CEB" w:rsidRDefault="00A14326"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547BF4">
        <w:rPr>
          <w:rFonts w:ascii="Century Gothic" w:hAnsi="Century Gothic"/>
          <w:sz w:val="22"/>
          <w:szCs w:val="22"/>
        </w:rPr>
        <w:t>autenticada</w:t>
      </w:r>
      <w:r w:rsidR="009A433D">
        <w:rPr>
          <w:rFonts w:ascii="Century Gothic" w:hAnsi="Century Gothic"/>
          <w:sz w:val="22"/>
          <w:szCs w:val="22"/>
        </w:rPr>
        <w:t xml:space="preserve"> </w:t>
      </w:r>
      <w:r>
        <w:rPr>
          <w:rFonts w:ascii="Century Gothic" w:hAnsi="Century Gothic"/>
          <w:sz w:val="22"/>
          <w:szCs w:val="22"/>
        </w:rPr>
        <w:t xml:space="preserve">del contrato 403 de 2000, </w:t>
      </w:r>
      <w:r w:rsidR="00791FDA">
        <w:rPr>
          <w:rFonts w:ascii="Century Gothic" w:hAnsi="Century Gothic"/>
          <w:sz w:val="22"/>
          <w:szCs w:val="22"/>
        </w:rPr>
        <w:t>celebrado</w:t>
      </w:r>
      <w:r>
        <w:rPr>
          <w:rFonts w:ascii="Century Gothic" w:hAnsi="Century Gothic"/>
          <w:sz w:val="22"/>
          <w:szCs w:val="22"/>
        </w:rPr>
        <w:t xml:space="preserve"> entre el Instituto de Desarrollo Urbano y Construcciones Civiles S.A., cuyo objeto consistió en que: “</w:t>
      </w:r>
      <w:r w:rsidRPr="00A14326">
        <w:rPr>
          <w:rFonts w:ascii="Century Gothic" w:hAnsi="Century Gothic"/>
          <w:i/>
          <w:sz w:val="22"/>
          <w:szCs w:val="22"/>
        </w:rPr>
        <w:t>El CONTRATISTA se compromete para con el IDU por el sistema de precios unitarios sin fórmula de reajuste, a realizar las obras requeridas para la rehabilitación de las calzadas centrales de tráfico mixto y adecuación para la operación de Transmilenio en la Autopista Norte de los Héroes a la calle 176, en Santafé de Bogotá, de conformidad con la propuesta presentada el 15 de marzo del 2000 y bajo las condiciones estipuladas en este contrato</w:t>
      </w:r>
      <w:r>
        <w:rPr>
          <w:rFonts w:ascii="Century Gothic" w:hAnsi="Century Gothic"/>
          <w:sz w:val="22"/>
          <w:szCs w:val="22"/>
        </w:rPr>
        <w:t>” (</w:t>
      </w:r>
      <w:proofErr w:type="spellStart"/>
      <w:r>
        <w:rPr>
          <w:rFonts w:ascii="Century Gothic" w:hAnsi="Century Gothic"/>
          <w:sz w:val="22"/>
          <w:szCs w:val="22"/>
        </w:rPr>
        <w:t>fls</w:t>
      </w:r>
      <w:proofErr w:type="spellEnd"/>
      <w:r>
        <w:rPr>
          <w:rFonts w:ascii="Century Gothic" w:hAnsi="Century Gothic"/>
          <w:sz w:val="22"/>
          <w:szCs w:val="22"/>
        </w:rPr>
        <w:t>. 20 a 25 C. Pruebas).</w:t>
      </w:r>
    </w:p>
    <w:p w14:paraId="22ACD6CD" w14:textId="77777777" w:rsidR="00A3424D" w:rsidRDefault="00A3424D" w:rsidP="00844244">
      <w:pPr>
        <w:ind w:left="720"/>
        <w:jc w:val="both"/>
        <w:rPr>
          <w:rFonts w:ascii="Century Gothic" w:hAnsi="Century Gothic"/>
          <w:sz w:val="22"/>
          <w:szCs w:val="22"/>
        </w:rPr>
      </w:pPr>
    </w:p>
    <w:p w14:paraId="5BB94AB1" w14:textId="77777777" w:rsidR="00A14326" w:rsidRDefault="002A2388"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DD15F5">
        <w:rPr>
          <w:rFonts w:ascii="Century Gothic" w:hAnsi="Century Gothic"/>
          <w:sz w:val="22"/>
          <w:szCs w:val="22"/>
        </w:rPr>
        <w:t>autenticada</w:t>
      </w:r>
      <w:r w:rsidR="001D4FFE">
        <w:rPr>
          <w:rFonts w:ascii="Century Gothic" w:hAnsi="Century Gothic"/>
          <w:sz w:val="22"/>
          <w:szCs w:val="22"/>
        </w:rPr>
        <w:t xml:space="preserve"> </w:t>
      </w:r>
      <w:r>
        <w:rPr>
          <w:rFonts w:ascii="Century Gothic" w:hAnsi="Century Gothic"/>
          <w:sz w:val="22"/>
          <w:szCs w:val="22"/>
        </w:rPr>
        <w:t>de</w:t>
      </w:r>
      <w:r w:rsidR="00E60AD0">
        <w:rPr>
          <w:rFonts w:ascii="Century Gothic" w:hAnsi="Century Gothic"/>
          <w:sz w:val="22"/>
          <w:szCs w:val="22"/>
        </w:rPr>
        <w:t xml:space="preserve"> un</w:t>
      </w:r>
      <w:r>
        <w:rPr>
          <w:rFonts w:ascii="Century Gothic" w:hAnsi="Century Gothic"/>
          <w:sz w:val="22"/>
          <w:szCs w:val="22"/>
        </w:rPr>
        <w:t xml:space="preserve"> o</w:t>
      </w:r>
      <w:r w:rsidR="00547BF4">
        <w:rPr>
          <w:rFonts w:ascii="Century Gothic" w:hAnsi="Century Gothic"/>
          <w:sz w:val="22"/>
          <w:szCs w:val="22"/>
        </w:rPr>
        <w:t>trosí del contrato 403 de</w:t>
      </w:r>
      <w:r w:rsidR="00791FDA">
        <w:rPr>
          <w:rFonts w:ascii="Century Gothic" w:hAnsi="Century Gothic"/>
          <w:sz w:val="22"/>
          <w:szCs w:val="22"/>
        </w:rPr>
        <w:t xml:space="preserve"> 2000, suscrito el 15 de junio de </w:t>
      </w:r>
      <w:r w:rsidR="00547BF4">
        <w:rPr>
          <w:rFonts w:ascii="Century Gothic" w:hAnsi="Century Gothic"/>
          <w:sz w:val="22"/>
          <w:szCs w:val="22"/>
        </w:rPr>
        <w:t>ese año</w:t>
      </w:r>
      <w:r w:rsidR="00791FDA">
        <w:rPr>
          <w:rFonts w:ascii="Century Gothic" w:hAnsi="Century Gothic"/>
          <w:sz w:val="22"/>
          <w:szCs w:val="22"/>
        </w:rPr>
        <w:t xml:space="preserve"> (</w:t>
      </w:r>
      <w:proofErr w:type="spellStart"/>
      <w:r w:rsidR="00791FDA">
        <w:rPr>
          <w:rFonts w:ascii="Century Gothic" w:hAnsi="Century Gothic"/>
          <w:sz w:val="22"/>
          <w:szCs w:val="22"/>
        </w:rPr>
        <w:t>fl</w:t>
      </w:r>
      <w:proofErr w:type="spellEnd"/>
      <w:r w:rsidR="00791FDA">
        <w:rPr>
          <w:rFonts w:ascii="Century Gothic" w:hAnsi="Century Gothic"/>
          <w:sz w:val="22"/>
          <w:szCs w:val="22"/>
        </w:rPr>
        <w:t>. 26 C. Pruebas).</w:t>
      </w:r>
    </w:p>
    <w:p w14:paraId="6E73486E" w14:textId="77777777" w:rsidR="00A3424D" w:rsidRPr="00547BF4" w:rsidRDefault="00A3424D" w:rsidP="00844244">
      <w:pPr>
        <w:pStyle w:val="Prrafodelista"/>
        <w:spacing w:line="240" w:lineRule="auto"/>
        <w:rPr>
          <w:rFonts w:ascii="Century Gothic" w:hAnsi="Century Gothic"/>
          <w:sz w:val="22"/>
          <w:lang w:val="es-ES"/>
        </w:rPr>
      </w:pPr>
    </w:p>
    <w:p w14:paraId="57AEA5E3" w14:textId="77777777" w:rsidR="002B1AC5" w:rsidRDefault="002A2388"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DD15F5">
        <w:rPr>
          <w:rFonts w:ascii="Century Gothic" w:hAnsi="Century Gothic"/>
          <w:sz w:val="22"/>
          <w:szCs w:val="22"/>
        </w:rPr>
        <w:t xml:space="preserve">autenticada </w:t>
      </w:r>
      <w:r>
        <w:rPr>
          <w:rFonts w:ascii="Century Gothic" w:hAnsi="Century Gothic"/>
          <w:sz w:val="22"/>
          <w:szCs w:val="22"/>
        </w:rPr>
        <w:t xml:space="preserve">de la </w:t>
      </w:r>
      <w:r w:rsidR="00791FDA">
        <w:rPr>
          <w:rFonts w:ascii="Century Gothic" w:hAnsi="Century Gothic"/>
          <w:sz w:val="22"/>
          <w:szCs w:val="22"/>
        </w:rPr>
        <w:t>“MODIFICACI</w:t>
      </w:r>
      <w:r w:rsidR="002D1A00">
        <w:rPr>
          <w:rFonts w:ascii="Century Gothic" w:hAnsi="Century Gothic"/>
          <w:sz w:val="22"/>
          <w:szCs w:val="22"/>
        </w:rPr>
        <w:t>O</w:t>
      </w:r>
      <w:r w:rsidR="00791FDA">
        <w:rPr>
          <w:rFonts w:ascii="Century Gothic" w:hAnsi="Century Gothic"/>
          <w:sz w:val="22"/>
          <w:szCs w:val="22"/>
        </w:rPr>
        <w:t xml:space="preserve">N CONTRACTUAL </w:t>
      </w:r>
      <w:r w:rsidR="002D1A00">
        <w:rPr>
          <w:rFonts w:ascii="Century Gothic" w:hAnsi="Century Gothic"/>
          <w:sz w:val="22"/>
          <w:szCs w:val="22"/>
        </w:rPr>
        <w:t>0</w:t>
      </w:r>
      <w:r w:rsidR="00791FDA">
        <w:rPr>
          <w:rFonts w:ascii="Century Gothic" w:hAnsi="Century Gothic"/>
          <w:sz w:val="22"/>
          <w:szCs w:val="22"/>
        </w:rPr>
        <w:t xml:space="preserve">1 AL CONTRATO PRINCIPAL 403 DEL </w:t>
      </w:r>
      <w:r w:rsidR="00D64B06">
        <w:rPr>
          <w:rFonts w:ascii="Century Gothic" w:hAnsi="Century Gothic"/>
          <w:sz w:val="22"/>
          <w:szCs w:val="22"/>
        </w:rPr>
        <w:t>(</w:t>
      </w:r>
      <w:r w:rsidR="00547BF4">
        <w:rPr>
          <w:rFonts w:ascii="Century Gothic" w:hAnsi="Century Gothic"/>
          <w:sz w:val="22"/>
          <w:szCs w:val="22"/>
        </w:rPr>
        <w:t xml:space="preserve">sic) </w:t>
      </w:r>
      <w:r w:rsidR="00791FDA">
        <w:rPr>
          <w:rFonts w:ascii="Century Gothic" w:hAnsi="Century Gothic"/>
          <w:sz w:val="22"/>
          <w:szCs w:val="22"/>
        </w:rPr>
        <w:t>2000”, el 30 de marzo de 2001 (</w:t>
      </w:r>
      <w:proofErr w:type="spellStart"/>
      <w:r w:rsidR="00791FDA">
        <w:rPr>
          <w:rFonts w:ascii="Century Gothic" w:hAnsi="Century Gothic"/>
          <w:sz w:val="22"/>
          <w:szCs w:val="22"/>
        </w:rPr>
        <w:t>fl</w:t>
      </w:r>
      <w:proofErr w:type="spellEnd"/>
      <w:r w:rsidR="00791FDA">
        <w:rPr>
          <w:rFonts w:ascii="Century Gothic" w:hAnsi="Century Gothic"/>
          <w:sz w:val="22"/>
          <w:szCs w:val="22"/>
        </w:rPr>
        <w:t>. 27 C. Pruebas).</w:t>
      </w:r>
    </w:p>
    <w:p w14:paraId="621ECE1A" w14:textId="77777777" w:rsidR="00A3424D" w:rsidRDefault="00A3424D" w:rsidP="00844244">
      <w:pPr>
        <w:ind w:left="720"/>
        <w:jc w:val="both"/>
        <w:rPr>
          <w:rFonts w:ascii="Century Gothic" w:hAnsi="Century Gothic"/>
          <w:sz w:val="22"/>
          <w:szCs w:val="22"/>
        </w:rPr>
      </w:pPr>
    </w:p>
    <w:p w14:paraId="52D5B713" w14:textId="77777777" w:rsidR="00791FDA" w:rsidRDefault="002A2388" w:rsidP="00CC039C">
      <w:pPr>
        <w:numPr>
          <w:ilvl w:val="0"/>
          <w:numId w:val="1"/>
        </w:numPr>
        <w:jc w:val="both"/>
        <w:rPr>
          <w:rFonts w:ascii="Century Gothic" w:hAnsi="Century Gothic"/>
          <w:sz w:val="22"/>
          <w:szCs w:val="22"/>
        </w:rPr>
      </w:pPr>
      <w:r>
        <w:rPr>
          <w:rFonts w:ascii="Century Gothic" w:hAnsi="Century Gothic"/>
          <w:sz w:val="22"/>
          <w:szCs w:val="22"/>
        </w:rPr>
        <w:t xml:space="preserve">Copias </w:t>
      </w:r>
      <w:r w:rsidR="00DD15F5">
        <w:rPr>
          <w:rFonts w:ascii="Century Gothic" w:hAnsi="Century Gothic"/>
          <w:sz w:val="22"/>
          <w:szCs w:val="22"/>
        </w:rPr>
        <w:t xml:space="preserve">autenticada </w:t>
      </w:r>
      <w:r>
        <w:rPr>
          <w:rFonts w:ascii="Century Gothic" w:hAnsi="Century Gothic"/>
          <w:sz w:val="22"/>
          <w:szCs w:val="22"/>
        </w:rPr>
        <w:t>de seis c</w:t>
      </w:r>
      <w:r w:rsidR="00791FDA">
        <w:rPr>
          <w:rFonts w:ascii="Century Gothic" w:hAnsi="Century Gothic"/>
          <w:sz w:val="22"/>
          <w:szCs w:val="22"/>
        </w:rPr>
        <w:t xml:space="preserve">ontratos adicionales al contrato 403 de 2000, celebrados el 10 de noviembre de </w:t>
      </w:r>
      <w:r w:rsidR="00547BF4">
        <w:rPr>
          <w:rFonts w:ascii="Century Gothic" w:hAnsi="Century Gothic"/>
          <w:sz w:val="22"/>
          <w:szCs w:val="22"/>
        </w:rPr>
        <w:t>ese año</w:t>
      </w:r>
      <w:r w:rsidR="00791FDA">
        <w:rPr>
          <w:rFonts w:ascii="Century Gothic" w:hAnsi="Century Gothic"/>
          <w:sz w:val="22"/>
          <w:szCs w:val="22"/>
        </w:rPr>
        <w:t xml:space="preserve"> (</w:t>
      </w:r>
      <w:proofErr w:type="spellStart"/>
      <w:r w:rsidR="00791FDA">
        <w:rPr>
          <w:rFonts w:ascii="Century Gothic" w:hAnsi="Century Gothic"/>
          <w:sz w:val="22"/>
          <w:szCs w:val="22"/>
        </w:rPr>
        <w:t>fls</w:t>
      </w:r>
      <w:proofErr w:type="spellEnd"/>
      <w:r w:rsidR="00791FDA">
        <w:rPr>
          <w:rFonts w:ascii="Century Gothic" w:hAnsi="Century Gothic"/>
          <w:sz w:val="22"/>
          <w:szCs w:val="22"/>
        </w:rPr>
        <w:t>. 2</w:t>
      </w:r>
      <w:r w:rsidR="002D1A00">
        <w:rPr>
          <w:rFonts w:ascii="Century Gothic" w:hAnsi="Century Gothic"/>
          <w:sz w:val="22"/>
          <w:szCs w:val="22"/>
        </w:rPr>
        <w:t>8</w:t>
      </w:r>
      <w:r w:rsidR="00791FDA">
        <w:rPr>
          <w:rFonts w:ascii="Century Gothic" w:hAnsi="Century Gothic"/>
          <w:sz w:val="22"/>
          <w:szCs w:val="22"/>
        </w:rPr>
        <w:t xml:space="preserve"> a </w:t>
      </w:r>
      <w:r w:rsidR="002D1A00">
        <w:rPr>
          <w:rFonts w:ascii="Century Gothic" w:hAnsi="Century Gothic"/>
          <w:sz w:val="22"/>
          <w:szCs w:val="22"/>
        </w:rPr>
        <w:t xml:space="preserve">35 </w:t>
      </w:r>
      <w:r w:rsidR="00791FDA">
        <w:rPr>
          <w:rFonts w:ascii="Century Gothic" w:hAnsi="Century Gothic"/>
          <w:sz w:val="22"/>
          <w:szCs w:val="22"/>
        </w:rPr>
        <w:t xml:space="preserve">C. Pruebas), </w:t>
      </w:r>
      <w:r w:rsidR="002D1A00">
        <w:rPr>
          <w:rFonts w:ascii="Century Gothic" w:hAnsi="Century Gothic"/>
          <w:sz w:val="22"/>
          <w:szCs w:val="22"/>
        </w:rPr>
        <w:t>el 21 de febrero de 2001 (</w:t>
      </w:r>
      <w:proofErr w:type="spellStart"/>
      <w:r w:rsidR="002D1A00">
        <w:rPr>
          <w:rFonts w:ascii="Century Gothic" w:hAnsi="Century Gothic"/>
          <w:sz w:val="22"/>
          <w:szCs w:val="22"/>
        </w:rPr>
        <w:t>fl</w:t>
      </w:r>
      <w:proofErr w:type="spellEnd"/>
      <w:r w:rsidR="002D1A00">
        <w:rPr>
          <w:rFonts w:ascii="Century Gothic" w:hAnsi="Century Gothic"/>
          <w:sz w:val="22"/>
          <w:szCs w:val="22"/>
        </w:rPr>
        <w:t>. 36 C. Pruebas), el 21 de junio de 2001 (</w:t>
      </w:r>
      <w:proofErr w:type="spellStart"/>
      <w:r w:rsidR="002D1A00">
        <w:rPr>
          <w:rFonts w:ascii="Century Gothic" w:hAnsi="Century Gothic"/>
          <w:sz w:val="22"/>
          <w:szCs w:val="22"/>
        </w:rPr>
        <w:t>fl</w:t>
      </w:r>
      <w:proofErr w:type="spellEnd"/>
      <w:r w:rsidR="002D1A00">
        <w:rPr>
          <w:rFonts w:ascii="Century Gothic" w:hAnsi="Century Gothic"/>
          <w:sz w:val="22"/>
          <w:szCs w:val="22"/>
        </w:rPr>
        <w:t>. 37 C. Pruebas), el 19 de octubre de 2001 (</w:t>
      </w:r>
      <w:proofErr w:type="spellStart"/>
      <w:r w:rsidR="002D1A00">
        <w:rPr>
          <w:rFonts w:ascii="Century Gothic" w:hAnsi="Century Gothic"/>
          <w:sz w:val="22"/>
          <w:szCs w:val="22"/>
        </w:rPr>
        <w:t>fl</w:t>
      </w:r>
      <w:proofErr w:type="spellEnd"/>
      <w:r w:rsidR="002D1A00">
        <w:rPr>
          <w:rFonts w:ascii="Century Gothic" w:hAnsi="Century Gothic"/>
          <w:sz w:val="22"/>
          <w:szCs w:val="22"/>
        </w:rPr>
        <w:t>. 38 C. Pruebas), el 20 de noviembre de 2001 (</w:t>
      </w:r>
      <w:proofErr w:type="spellStart"/>
      <w:r w:rsidR="002D1A00">
        <w:rPr>
          <w:rFonts w:ascii="Century Gothic" w:hAnsi="Century Gothic"/>
          <w:sz w:val="22"/>
          <w:szCs w:val="22"/>
        </w:rPr>
        <w:t>fls</w:t>
      </w:r>
      <w:proofErr w:type="spellEnd"/>
      <w:r w:rsidR="002D1A00">
        <w:rPr>
          <w:rFonts w:ascii="Century Gothic" w:hAnsi="Century Gothic"/>
          <w:sz w:val="22"/>
          <w:szCs w:val="22"/>
        </w:rPr>
        <w:t>. 39 y 40 C. Pruebas) y el 19 de diciembre de 2001 (</w:t>
      </w:r>
      <w:proofErr w:type="spellStart"/>
      <w:r w:rsidR="002D1A00">
        <w:rPr>
          <w:rFonts w:ascii="Century Gothic" w:hAnsi="Century Gothic"/>
          <w:sz w:val="22"/>
          <w:szCs w:val="22"/>
        </w:rPr>
        <w:t>fl</w:t>
      </w:r>
      <w:proofErr w:type="spellEnd"/>
      <w:r w:rsidR="002D1A00">
        <w:rPr>
          <w:rFonts w:ascii="Century Gothic" w:hAnsi="Century Gothic"/>
          <w:sz w:val="22"/>
          <w:szCs w:val="22"/>
        </w:rPr>
        <w:t>. 41 C. Pruebas).</w:t>
      </w:r>
    </w:p>
    <w:p w14:paraId="6BDD48DD" w14:textId="77777777" w:rsidR="00A3424D" w:rsidRDefault="00A3424D" w:rsidP="00844244">
      <w:pPr>
        <w:ind w:left="720"/>
        <w:jc w:val="both"/>
        <w:rPr>
          <w:rFonts w:ascii="Century Gothic" w:hAnsi="Century Gothic"/>
          <w:sz w:val="22"/>
          <w:szCs w:val="22"/>
        </w:rPr>
      </w:pPr>
    </w:p>
    <w:p w14:paraId="234134E2" w14:textId="77777777" w:rsidR="002D1A00" w:rsidRDefault="002D1A00" w:rsidP="00CC039C">
      <w:pPr>
        <w:numPr>
          <w:ilvl w:val="0"/>
          <w:numId w:val="1"/>
        </w:numPr>
        <w:jc w:val="both"/>
        <w:rPr>
          <w:rFonts w:ascii="Century Gothic" w:hAnsi="Century Gothic"/>
          <w:sz w:val="22"/>
          <w:szCs w:val="22"/>
        </w:rPr>
      </w:pPr>
      <w:r>
        <w:rPr>
          <w:rFonts w:ascii="Century Gothic" w:hAnsi="Century Gothic"/>
          <w:sz w:val="22"/>
          <w:szCs w:val="22"/>
        </w:rPr>
        <w:t>Copia</w:t>
      </w:r>
      <w:r w:rsidR="009A433D">
        <w:rPr>
          <w:rFonts w:ascii="Century Gothic" w:hAnsi="Century Gothic"/>
          <w:sz w:val="22"/>
          <w:szCs w:val="22"/>
        </w:rPr>
        <w:t xml:space="preserve"> </w:t>
      </w:r>
      <w:r w:rsidR="00DD15F5">
        <w:rPr>
          <w:rFonts w:ascii="Century Gothic" w:hAnsi="Century Gothic"/>
          <w:sz w:val="22"/>
          <w:szCs w:val="22"/>
        </w:rPr>
        <w:t xml:space="preserve">autenticada </w:t>
      </w:r>
      <w:r>
        <w:rPr>
          <w:rFonts w:ascii="Century Gothic" w:hAnsi="Century Gothic"/>
          <w:sz w:val="22"/>
          <w:szCs w:val="22"/>
        </w:rPr>
        <w:t>de la póliza única de seguro de cumplimiento a favor de entidades estatales GU01001141035, expedida por Compañía Aseguradora de Fianzas S.A.</w:t>
      </w:r>
      <w:r w:rsidR="00A3424D">
        <w:rPr>
          <w:rFonts w:ascii="Century Gothic" w:hAnsi="Century Gothic"/>
          <w:sz w:val="22"/>
          <w:szCs w:val="22"/>
        </w:rPr>
        <w:t xml:space="preserve">, en la que figura como tomador Construcciones Civiles S.A. y como asegurado el Instituto de Desarrollo Urbano, cuyo objeto se hizo consistir en: “GARANTIZAR EL CUMPLIMIENTO. </w:t>
      </w:r>
      <w:r w:rsidR="00A3424D" w:rsidRPr="00A14326">
        <w:rPr>
          <w:rFonts w:ascii="Century Gothic" w:hAnsi="Century Gothic"/>
          <w:i/>
          <w:sz w:val="22"/>
          <w:szCs w:val="22"/>
        </w:rPr>
        <w:t>EL CONTRATISTA SE COMPROMETE PARA CON EL IDU POR EL SISTEMA DE PRECIOS UNITARIOS SIN F</w:t>
      </w:r>
      <w:r w:rsidR="00A3424D">
        <w:rPr>
          <w:rFonts w:ascii="Century Gothic" w:hAnsi="Century Gothic"/>
          <w:i/>
          <w:sz w:val="22"/>
          <w:szCs w:val="22"/>
        </w:rPr>
        <w:t>O</w:t>
      </w:r>
      <w:r w:rsidR="00A3424D" w:rsidRPr="00A14326">
        <w:rPr>
          <w:rFonts w:ascii="Century Gothic" w:hAnsi="Century Gothic"/>
          <w:i/>
          <w:sz w:val="22"/>
          <w:szCs w:val="22"/>
        </w:rPr>
        <w:t>RMULA DE REAJUSTE, A REALIZAR LAS OBRAS REQUERIDAS PARA LA REHABILITAC</w:t>
      </w:r>
      <w:r w:rsidR="00A3424D">
        <w:rPr>
          <w:rFonts w:ascii="Century Gothic" w:hAnsi="Century Gothic"/>
          <w:i/>
          <w:sz w:val="22"/>
          <w:szCs w:val="22"/>
        </w:rPr>
        <w:t>ION</w:t>
      </w:r>
      <w:r w:rsidR="00A3424D" w:rsidRPr="00A14326">
        <w:rPr>
          <w:rFonts w:ascii="Century Gothic" w:hAnsi="Century Gothic"/>
          <w:i/>
          <w:sz w:val="22"/>
          <w:szCs w:val="22"/>
        </w:rPr>
        <w:t xml:space="preserve"> DE LAS CALZADAS CENTRALES DE TR</w:t>
      </w:r>
      <w:r w:rsidR="00A3424D">
        <w:rPr>
          <w:rFonts w:ascii="Century Gothic" w:hAnsi="Century Gothic"/>
          <w:i/>
          <w:sz w:val="22"/>
          <w:szCs w:val="22"/>
        </w:rPr>
        <w:t>A</w:t>
      </w:r>
      <w:r w:rsidR="00A3424D" w:rsidRPr="00A14326">
        <w:rPr>
          <w:rFonts w:ascii="Century Gothic" w:hAnsi="Century Gothic"/>
          <w:i/>
          <w:sz w:val="22"/>
          <w:szCs w:val="22"/>
        </w:rPr>
        <w:t>FICO</w:t>
      </w:r>
      <w:r w:rsidR="00A3424D">
        <w:rPr>
          <w:rFonts w:ascii="Century Gothic" w:hAnsi="Century Gothic"/>
          <w:i/>
          <w:sz w:val="22"/>
          <w:szCs w:val="22"/>
        </w:rPr>
        <w:t xml:space="preserve"> </w:t>
      </w:r>
      <w:r w:rsidR="00A3424D" w:rsidRPr="00A14326">
        <w:rPr>
          <w:rFonts w:ascii="Century Gothic" w:hAnsi="Century Gothic"/>
          <w:i/>
          <w:sz w:val="22"/>
          <w:szCs w:val="22"/>
        </w:rPr>
        <w:t>MIXTO Y ADECUACI</w:t>
      </w:r>
      <w:r w:rsidR="00A3424D">
        <w:rPr>
          <w:rFonts w:ascii="Century Gothic" w:hAnsi="Century Gothic"/>
          <w:i/>
          <w:sz w:val="22"/>
          <w:szCs w:val="22"/>
        </w:rPr>
        <w:t>O</w:t>
      </w:r>
      <w:r w:rsidR="00A3424D" w:rsidRPr="00A14326">
        <w:rPr>
          <w:rFonts w:ascii="Century Gothic" w:hAnsi="Century Gothic"/>
          <w:i/>
          <w:sz w:val="22"/>
          <w:szCs w:val="22"/>
        </w:rPr>
        <w:t xml:space="preserve">N </w:t>
      </w:r>
      <w:r w:rsidR="00A3424D">
        <w:rPr>
          <w:rFonts w:ascii="Century Gothic" w:hAnsi="Century Gothic"/>
          <w:i/>
          <w:sz w:val="22"/>
          <w:szCs w:val="22"/>
        </w:rPr>
        <w:t xml:space="preserve"> </w:t>
      </w:r>
      <w:r w:rsidR="00A3424D" w:rsidRPr="00A14326">
        <w:rPr>
          <w:rFonts w:ascii="Century Gothic" w:hAnsi="Century Gothic"/>
          <w:i/>
          <w:sz w:val="22"/>
          <w:szCs w:val="22"/>
        </w:rPr>
        <w:t>PARA LA OPERACI</w:t>
      </w:r>
      <w:r w:rsidR="00A3424D">
        <w:rPr>
          <w:rFonts w:ascii="Century Gothic" w:hAnsi="Century Gothic"/>
          <w:i/>
          <w:sz w:val="22"/>
          <w:szCs w:val="22"/>
        </w:rPr>
        <w:t>O</w:t>
      </w:r>
      <w:r w:rsidR="00A3424D" w:rsidRPr="00A14326">
        <w:rPr>
          <w:rFonts w:ascii="Century Gothic" w:hAnsi="Century Gothic"/>
          <w:i/>
          <w:sz w:val="22"/>
          <w:szCs w:val="22"/>
        </w:rPr>
        <w:t>N DE TRANSMILENIO</w:t>
      </w:r>
      <w:r w:rsidR="00A3424D">
        <w:rPr>
          <w:rFonts w:ascii="Century Gothic" w:hAnsi="Century Gothic"/>
          <w:i/>
          <w:sz w:val="22"/>
          <w:szCs w:val="22"/>
        </w:rPr>
        <w:t xml:space="preserve"> EN LA AUTOPISTA NORTE DE LOS HE</w:t>
      </w:r>
      <w:r w:rsidR="00A3424D" w:rsidRPr="00A14326">
        <w:rPr>
          <w:rFonts w:ascii="Century Gothic" w:hAnsi="Century Gothic"/>
          <w:i/>
          <w:sz w:val="22"/>
          <w:szCs w:val="22"/>
        </w:rPr>
        <w:t xml:space="preserve">ROES </w:t>
      </w:r>
      <w:r w:rsidR="00A3424D">
        <w:rPr>
          <w:rFonts w:ascii="Century Gothic" w:hAnsi="Century Gothic"/>
          <w:i/>
          <w:sz w:val="22"/>
          <w:szCs w:val="22"/>
        </w:rPr>
        <w:t>A LA CALLE 176, EN SANTAFE DE BOGOTA</w:t>
      </w:r>
      <w:r w:rsidR="00A3424D" w:rsidRPr="00A14326">
        <w:rPr>
          <w:rFonts w:ascii="Century Gothic" w:hAnsi="Century Gothic"/>
          <w:i/>
          <w:sz w:val="22"/>
          <w:szCs w:val="22"/>
        </w:rPr>
        <w:t xml:space="preserve">, DE CONFORMIDAD CON LA PROPUESTA PRESENTADA EL 15 DE MARZO DEL 2000 Y BAJO LAS CONDICIONES ESTIPULADAS EN </w:t>
      </w:r>
      <w:r w:rsidR="00A3424D">
        <w:rPr>
          <w:rFonts w:ascii="Century Gothic" w:hAnsi="Century Gothic"/>
          <w:i/>
          <w:sz w:val="22"/>
          <w:szCs w:val="22"/>
        </w:rPr>
        <w:t>EL</w:t>
      </w:r>
      <w:r w:rsidR="00A3424D" w:rsidRPr="00A14326">
        <w:rPr>
          <w:rFonts w:ascii="Century Gothic" w:hAnsi="Century Gothic"/>
          <w:i/>
          <w:sz w:val="22"/>
          <w:szCs w:val="22"/>
        </w:rPr>
        <w:t xml:space="preserve"> CONTRATO</w:t>
      </w:r>
      <w:r w:rsidR="00A3424D">
        <w:rPr>
          <w:rFonts w:ascii="Century Gothic" w:hAnsi="Century Gothic"/>
          <w:i/>
          <w:sz w:val="22"/>
          <w:szCs w:val="22"/>
        </w:rPr>
        <w:t xml:space="preserve">” </w:t>
      </w:r>
      <w:r w:rsidR="00A3424D">
        <w:rPr>
          <w:rFonts w:ascii="Century Gothic" w:hAnsi="Century Gothic"/>
          <w:sz w:val="22"/>
          <w:szCs w:val="22"/>
        </w:rPr>
        <w:t>(</w:t>
      </w:r>
      <w:proofErr w:type="spellStart"/>
      <w:r w:rsidR="00A3424D">
        <w:rPr>
          <w:rFonts w:ascii="Century Gothic" w:hAnsi="Century Gothic"/>
          <w:sz w:val="22"/>
          <w:szCs w:val="22"/>
        </w:rPr>
        <w:t>fl</w:t>
      </w:r>
      <w:proofErr w:type="spellEnd"/>
      <w:r w:rsidR="00A3424D">
        <w:rPr>
          <w:rFonts w:ascii="Century Gothic" w:hAnsi="Century Gothic"/>
          <w:sz w:val="22"/>
          <w:szCs w:val="22"/>
        </w:rPr>
        <w:t>. 42 C. Pruebas).</w:t>
      </w:r>
    </w:p>
    <w:p w14:paraId="1796797A" w14:textId="77777777" w:rsidR="00A3424D" w:rsidRDefault="00A3424D" w:rsidP="00844244">
      <w:pPr>
        <w:pStyle w:val="Prrafodelista"/>
        <w:spacing w:line="240" w:lineRule="auto"/>
        <w:rPr>
          <w:rFonts w:ascii="Century Gothic" w:hAnsi="Century Gothic"/>
          <w:sz w:val="22"/>
        </w:rPr>
      </w:pPr>
    </w:p>
    <w:p w14:paraId="02BEF9B7" w14:textId="77777777" w:rsidR="00A3424D" w:rsidRDefault="00E60AD0"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DD15F5">
        <w:rPr>
          <w:rFonts w:ascii="Century Gothic" w:hAnsi="Century Gothic"/>
          <w:sz w:val="22"/>
          <w:szCs w:val="22"/>
        </w:rPr>
        <w:t xml:space="preserve">autenticada </w:t>
      </w:r>
      <w:r>
        <w:rPr>
          <w:rFonts w:ascii="Century Gothic" w:hAnsi="Century Gothic"/>
          <w:sz w:val="22"/>
          <w:szCs w:val="22"/>
        </w:rPr>
        <w:t>de la modificación</w:t>
      </w:r>
      <w:r w:rsidR="00A3424D">
        <w:rPr>
          <w:rFonts w:ascii="Century Gothic" w:hAnsi="Century Gothic"/>
          <w:sz w:val="22"/>
          <w:szCs w:val="22"/>
          <w:lang w:val="es-ES_tradnl"/>
        </w:rPr>
        <w:t xml:space="preserve"> 1229321 </w:t>
      </w:r>
      <w:r>
        <w:rPr>
          <w:rFonts w:ascii="Century Gothic" w:hAnsi="Century Gothic"/>
          <w:sz w:val="22"/>
          <w:szCs w:val="22"/>
          <w:lang w:val="es-ES_tradnl"/>
        </w:rPr>
        <w:t>de</w:t>
      </w:r>
      <w:r w:rsidR="00A3424D">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A3424D">
        <w:rPr>
          <w:rFonts w:ascii="Century Gothic" w:hAnsi="Century Gothic"/>
          <w:sz w:val="22"/>
          <w:szCs w:val="22"/>
        </w:rPr>
        <w:t>GU01001141035</w:t>
      </w:r>
      <w:r>
        <w:rPr>
          <w:rFonts w:ascii="Century Gothic" w:hAnsi="Century Gothic"/>
          <w:sz w:val="22"/>
          <w:szCs w:val="22"/>
        </w:rPr>
        <w:t xml:space="preserve">, suscrita </w:t>
      </w:r>
      <w:r w:rsidR="00A3424D">
        <w:rPr>
          <w:rFonts w:ascii="Century Gothic" w:hAnsi="Century Gothic"/>
          <w:sz w:val="22"/>
          <w:szCs w:val="22"/>
        </w:rPr>
        <w:t>el 24 de noviembre de 2000 (</w:t>
      </w:r>
      <w:proofErr w:type="spellStart"/>
      <w:r w:rsidR="00A3424D">
        <w:rPr>
          <w:rFonts w:ascii="Century Gothic" w:hAnsi="Century Gothic"/>
          <w:sz w:val="22"/>
          <w:szCs w:val="22"/>
        </w:rPr>
        <w:t>fl</w:t>
      </w:r>
      <w:proofErr w:type="spellEnd"/>
      <w:r w:rsidR="00A3424D">
        <w:rPr>
          <w:rFonts w:ascii="Century Gothic" w:hAnsi="Century Gothic"/>
          <w:sz w:val="22"/>
          <w:szCs w:val="22"/>
        </w:rPr>
        <w:t>. 47 C. Pruebas).</w:t>
      </w:r>
    </w:p>
    <w:p w14:paraId="737EA463" w14:textId="77777777" w:rsidR="00A3424D" w:rsidRPr="00791FDA" w:rsidRDefault="00A3424D" w:rsidP="00844244">
      <w:pPr>
        <w:jc w:val="both"/>
        <w:rPr>
          <w:rFonts w:ascii="Century Gothic" w:hAnsi="Century Gothic"/>
          <w:sz w:val="22"/>
          <w:szCs w:val="22"/>
        </w:rPr>
      </w:pPr>
    </w:p>
    <w:p w14:paraId="5C757209" w14:textId="77777777" w:rsidR="00A3424D" w:rsidRDefault="00E60AD0"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DD15F5">
        <w:rPr>
          <w:rFonts w:ascii="Century Gothic" w:hAnsi="Century Gothic"/>
          <w:sz w:val="22"/>
          <w:szCs w:val="22"/>
        </w:rPr>
        <w:t xml:space="preserve">autenticada </w:t>
      </w:r>
      <w:r>
        <w:rPr>
          <w:rFonts w:ascii="Century Gothic" w:hAnsi="Century Gothic"/>
          <w:sz w:val="22"/>
          <w:szCs w:val="22"/>
        </w:rPr>
        <w:t xml:space="preserve">de la </w:t>
      </w:r>
      <w:r w:rsidR="00282FA0">
        <w:rPr>
          <w:rFonts w:ascii="Century Gothic" w:hAnsi="Century Gothic"/>
          <w:sz w:val="22"/>
          <w:szCs w:val="22"/>
        </w:rPr>
        <w:t>modificación</w:t>
      </w:r>
      <w:r w:rsidR="00A3424D">
        <w:rPr>
          <w:rFonts w:ascii="Century Gothic" w:hAnsi="Century Gothic"/>
          <w:sz w:val="22"/>
          <w:szCs w:val="22"/>
          <w:lang w:val="es-ES_tradnl"/>
        </w:rPr>
        <w:t xml:space="preserve"> 1234945 </w:t>
      </w:r>
      <w:r>
        <w:rPr>
          <w:rFonts w:ascii="Century Gothic" w:hAnsi="Century Gothic"/>
          <w:sz w:val="22"/>
          <w:szCs w:val="22"/>
          <w:lang w:val="es-ES_tradnl"/>
        </w:rPr>
        <w:t>de la póliza de seguros</w:t>
      </w:r>
      <w:r w:rsidR="00A3424D">
        <w:rPr>
          <w:rFonts w:ascii="Century Gothic" w:hAnsi="Century Gothic"/>
          <w:sz w:val="22"/>
          <w:szCs w:val="22"/>
          <w:lang w:val="es-ES_tradnl"/>
        </w:rPr>
        <w:t xml:space="preserve"> </w:t>
      </w:r>
      <w:r w:rsidR="00A3424D">
        <w:rPr>
          <w:rFonts w:ascii="Century Gothic" w:hAnsi="Century Gothic"/>
          <w:sz w:val="22"/>
          <w:szCs w:val="22"/>
        </w:rPr>
        <w:t>GU01001141035</w:t>
      </w:r>
      <w:r>
        <w:rPr>
          <w:rFonts w:ascii="Century Gothic" w:hAnsi="Century Gothic"/>
          <w:sz w:val="22"/>
          <w:szCs w:val="22"/>
        </w:rPr>
        <w:t xml:space="preserve">, suscrita </w:t>
      </w:r>
      <w:r w:rsidR="00A3424D">
        <w:rPr>
          <w:rFonts w:ascii="Century Gothic" w:hAnsi="Century Gothic"/>
          <w:sz w:val="22"/>
          <w:szCs w:val="22"/>
        </w:rPr>
        <w:t>el 13 de diciembre de 2000 (</w:t>
      </w:r>
      <w:proofErr w:type="spellStart"/>
      <w:r w:rsidR="00A3424D">
        <w:rPr>
          <w:rFonts w:ascii="Century Gothic" w:hAnsi="Century Gothic"/>
          <w:sz w:val="22"/>
          <w:szCs w:val="22"/>
        </w:rPr>
        <w:t>fl</w:t>
      </w:r>
      <w:proofErr w:type="spellEnd"/>
      <w:r w:rsidR="00A3424D">
        <w:rPr>
          <w:rFonts w:ascii="Century Gothic" w:hAnsi="Century Gothic"/>
          <w:sz w:val="22"/>
          <w:szCs w:val="22"/>
        </w:rPr>
        <w:t>. 49 C. Pruebas).</w:t>
      </w:r>
    </w:p>
    <w:p w14:paraId="20A4AECB" w14:textId="77777777" w:rsidR="00A3424D" w:rsidRPr="00282FA0" w:rsidRDefault="00A3424D" w:rsidP="00844244">
      <w:pPr>
        <w:pStyle w:val="Prrafodelista"/>
        <w:spacing w:line="240" w:lineRule="auto"/>
        <w:rPr>
          <w:rFonts w:ascii="Century Gothic" w:hAnsi="Century Gothic"/>
          <w:sz w:val="22"/>
          <w:lang w:val="es-ES"/>
        </w:rPr>
      </w:pPr>
    </w:p>
    <w:p w14:paraId="68D26E52" w14:textId="77777777" w:rsidR="00A3424D"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Copia</w:t>
      </w:r>
      <w:r w:rsidR="009A433D">
        <w:rPr>
          <w:rFonts w:ascii="Century Gothic" w:hAnsi="Century Gothic"/>
          <w:sz w:val="22"/>
          <w:szCs w:val="22"/>
          <w:lang w:val="es-ES_tradnl"/>
        </w:rPr>
        <w:t xml:space="preserve">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modificación 1234947 de</w:t>
      </w:r>
      <w:r w:rsidR="00A3424D">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A3424D">
        <w:rPr>
          <w:rFonts w:ascii="Century Gothic" w:hAnsi="Century Gothic"/>
          <w:sz w:val="22"/>
          <w:szCs w:val="22"/>
        </w:rPr>
        <w:t>GU01001141035</w:t>
      </w:r>
      <w:r>
        <w:rPr>
          <w:rFonts w:ascii="Century Gothic" w:hAnsi="Century Gothic"/>
          <w:sz w:val="22"/>
          <w:szCs w:val="22"/>
        </w:rPr>
        <w:t>,</w:t>
      </w:r>
      <w:r w:rsidR="00A3424D">
        <w:rPr>
          <w:rFonts w:ascii="Century Gothic" w:hAnsi="Century Gothic"/>
          <w:sz w:val="22"/>
          <w:szCs w:val="22"/>
        </w:rPr>
        <w:t xml:space="preserve"> </w:t>
      </w:r>
      <w:r w:rsidR="00547BF4">
        <w:rPr>
          <w:rFonts w:ascii="Century Gothic" w:hAnsi="Century Gothic"/>
          <w:sz w:val="22"/>
          <w:szCs w:val="22"/>
        </w:rPr>
        <w:t>expedida</w:t>
      </w:r>
      <w:r>
        <w:rPr>
          <w:rFonts w:ascii="Century Gothic" w:hAnsi="Century Gothic"/>
          <w:sz w:val="22"/>
          <w:szCs w:val="22"/>
        </w:rPr>
        <w:t xml:space="preserve"> el</w:t>
      </w:r>
      <w:r w:rsidR="00A3424D">
        <w:rPr>
          <w:rFonts w:ascii="Century Gothic" w:hAnsi="Century Gothic"/>
          <w:sz w:val="22"/>
          <w:szCs w:val="22"/>
        </w:rPr>
        <w:t xml:space="preserve"> </w:t>
      </w:r>
      <w:r w:rsidR="002A2388">
        <w:rPr>
          <w:rFonts w:ascii="Century Gothic" w:hAnsi="Century Gothic"/>
          <w:sz w:val="22"/>
          <w:szCs w:val="22"/>
        </w:rPr>
        <w:t>13</w:t>
      </w:r>
      <w:r w:rsidR="00A3424D">
        <w:rPr>
          <w:rFonts w:ascii="Century Gothic" w:hAnsi="Century Gothic"/>
          <w:sz w:val="22"/>
          <w:szCs w:val="22"/>
        </w:rPr>
        <w:t xml:space="preserve"> de </w:t>
      </w:r>
      <w:r w:rsidR="002A2388">
        <w:rPr>
          <w:rFonts w:ascii="Century Gothic" w:hAnsi="Century Gothic"/>
          <w:sz w:val="22"/>
          <w:szCs w:val="22"/>
        </w:rPr>
        <w:t>diciembre de 2000 (</w:t>
      </w:r>
      <w:proofErr w:type="spellStart"/>
      <w:r w:rsidR="002A2388">
        <w:rPr>
          <w:rFonts w:ascii="Century Gothic" w:hAnsi="Century Gothic"/>
          <w:sz w:val="22"/>
          <w:szCs w:val="22"/>
        </w:rPr>
        <w:t>fl</w:t>
      </w:r>
      <w:proofErr w:type="spellEnd"/>
      <w:r w:rsidR="002A2388">
        <w:rPr>
          <w:rFonts w:ascii="Century Gothic" w:hAnsi="Century Gothic"/>
          <w:sz w:val="22"/>
          <w:szCs w:val="22"/>
        </w:rPr>
        <w:t>. 50</w:t>
      </w:r>
      <w:r w:rsidR="00A3424D">
        <w:rPr>
          <w:rFonts w:ascii="Century Gothic" w:hAnsi="Century Gothic"/>
          <w:sz w:val="22"/>
          <w:szCs w:val="22"/>
        </w:rPr>
        <w:t xml:space="preserve"> C. Pruebas).</w:t>
      </w:r>
    </w:p>
    <w:p w14:paraId="6BDF320D" w14:textId="77777777" w:rsidR="002A2388" w:rsidRDefault="002A2388" w:rsidP="00844244">
      <w:pPr>
        <w:pStyle w:val="Prrafodelista"/>
        <w:spacing w:line="240" w:lineRule="auto"/>
        <w:rPr>
          <w:rFonts w:ascii="Century Gothic" w:hAnsi="Century Gothic"/>
          <w:sz w:val="22"/>
        </w:rPr>
      </w:pPr>
    </w:p>
    <w:p w14:paraId="6C901CFF"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lastRenderedPageBreak/>
        <w:t xml:space="preserve">Copia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odificación 1260756</w:t>
      </w:r>
      <w:r>
        <w:rPr>
          <w:rFonts w:ascii="Century Gothic" w:hAnsi="Century Gothic"/>
          <w:sz w:val="22"/>
          <w:szCs w:val="22"/>
          <w:lang w:val="es-ES_tradnl"/>
        </w:rPr>
        <w:t xml:space="preserve"> 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suscrita </w:t>
      </w:r>
      <w:r w:rsidR="002A2388">
        <w:rPr>
          <w:rFonts w:ascii="Century Gothic" w:hAnsi="Century Gothic"/>
          <w:sz w:val="22"/>
          <w:szCs w:val="22"/>
        </w:rPr>
        <w:t>el 23 de enero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55 C. Pruebas).</w:t>
      </w:r>
    </w:p>
    <w:p w14:paraId="6FB561A3" w14:textId="77777777" w:rsidR="002A2388" w:rsidRDefault="002A2388" w:rsidP="00844244">
      <w:pPr>
        <w:pStyle w:val="Prrafodelista"/>
        <w:spacing w:line="240" w:lineRule="auto"/>
        <w:rPr>
          <w:rFonts w:ascii="Century Gothic" w:hAnsi="Century Gothic"/>
          <w:sz w:val="22"/>
        </w:rPr>
      </w:pPr>
    </w:p>
    <w:p w14:paraId="1C6FA5ED"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Copia</w:t>
      </w:r>
      <w:r w:rsidR="009A433D">
        <w:rPr>
          <w:rFonts w:ascii="Century Gothic" w:hAnsi="Century Gothic"/>
          <w:sz w:val="22"/>
          <w:szCs w:val="22"/>
          <w:lang w:val="es-ES_tradnl"/>
        </w:rPr>
        <w:t xml:space="preserve">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odificación 1260758</w:t>
      </w:r>
      <w:r>
        <w:rPr>
          <w:rFonts w:ascii="Century Gothic" w:hAnsi="Century Gothic"/>
          <w:sz w:val="22"/>
          <w:szCs w:val="22"/>
          <w:lang w:val="es-ES_tradnl"/>
        </w:rPr>
        <w:t xml:space="preserve"> de </w:t>
      </w:r>
      <w:r w:rsidR="002A2388">
        <w:rPr>
          <w:rFonts w:ascii="Century Gothic" w:hAnsi="Century Gothic"/>
          <w:sz w:val="22"/>
          <w:szCs w:val="22"/>
          <w:lang w:val="es-ES_tradnl"/>
        </w:rPr>
        <w:t xml:space="preserve">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w:t>
      </w:r>
      <w:r w:rsidR="00547BF4">
        <w:rPr>
          <w:rFonts w:ascii="Century Gothic" w:hAnsi="Century Gothic"/>
          <w:sz w:val="22"/>
          <w:szCs w:val="22"/>
        </w:rPr>
        <w:t>expedida</w:t>
      </w:r>
      <w:r>
        <w:rPr>
          <w:rFonts w:ascii="Century Gothic" w:hAnsi="Century Gothic"/>
          <w:sz w:val="22"/>
          <w:szCs w:val="22"/>
        </w:rPr>
        <w:t xml:space="preserve"> </w:t>
      </w:r>
      <w:r w:rsidR="002A2388">
        <w:rPr>
          <w:rFonts w:ascii="Century Gothic" w:hAnsi="Century Gothic"/>
          <w:sz w:val="22"/>
          <w:szCs w:val="22"/>
        </w:rPr>
        <w:t>el 23 de enero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56 C. Pruebas).</w:t>
      </w:r>
    </w:p>
    <w:p w14:paraId="023D2462" w14:textId="77777777" w:rsidR="002A2388" w:rsidRPr="00547BF4" w:rsidRDefault="002A2388" w:rsidP="00844244">
      <w:pPr>
        <w:pStyle w:val="Prrafodelista"/>
        <w:spacing w:line="240" w:lineRule="auto"/>
        <w:rPr>
          <w:rFonts w:ascii="Century Gothic" w:hAnsi="Century Gothic"/>
          <w:sz w:val="22"/>
          <w:lang w:val="es-ES"/>
        </w:rPr>
      </w:pPr>
    </w:p>
    <w:p w14:paraId="7EA96850" w14:textId="77777777" w:rsidR="002A2388" w:rsidRDefault="009A433D"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DD15F5">
        <w:rPr>
          <w:rFonts w:ascii="Century Gothic" w:hAnsi="Century Gothic"/>
          <w:sz w:val="22"/>
          <w:szCs w:val="22"/>
        </w:rPr>
        <w:t xml:space="preserve">autenticada </w:t>
      </w:r>
      <w:r>
        <w:rPr>
          <w:rFonts w:ascii="Century Gothic" w:hAnsi="Century Gothic"/>
          <w:sz w:val="22"/>
          <w:szCs w:val="22"/>
        </w:rPr>
        <w:t>de la modificación</w:t>
      </w:r>
      <w:r w:rsidR="002A2388">
        <w:rPr>
          <w:rFonts w:ascii="Century Gothic" w:hAnsi="Century Gothic"/>
          <w:sz w:val="22"/>
          <w:szCs w:val="22"/>
          <w:lang w:val="es-ES_tradnl"/>
        </w:rPr>
        <w:t xml:space="preserve"> 1282036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sidR="00E60AD0">
        <w:rPr>
          <w:rFonts w:ascii="Century Gothic" w:hAnsi="Century Gothic"/>
          <w:sz w:val="22"/>
          <w:szCs w:val="22"/>
        </w:rPr>
        <w:t xml:space="preserve">, suscrita </w:t>
      </w:r>
      <w:r w:rsidR="002A2388">
        <w:rPr>
          <w:rFonts w:ascii="Century Gothic" w:hAnsi="Century Gothic"/>
          <w:sz w:val="22"/>
          <w:szCs w:val="22"/>
        </w:rPr>
        <w:t>el 14 de marzo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57 C. Pruebas).</w:t>
      </w:r>
    </w:p>
    <w:p w14:paraId="4413C56B" w14:textId="77777777" w:rsidR="002A2388" w:rsidRDefault="002A2388" w:rsidP="00844244">
      <w:pPr>
        <w:pStyle w:val="Prrafodelista"/>
        <w:spacing w:line="240" w:lineRule="auto"/>
        <w:rPr>
          <w:rFonts w:ascii="Century Gothic" w:hAnsi="Century Gothic"/>
          <w:sz w:val="22"/>
        </w:rPr>
      </w:pPr>
    </w:p>
    <w:p w14:paraId="45896A1F"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 xml:space="preserve">odificación 1302687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Pr>
          <w:rFonts w:ascii="Century Gothic" w:hAnsi="Century Gothic"/>
          <w:sz w:val="22"/>
          <w:szCs w:val="22"/>
        </w:rPr>
        <w:t xml:space="preserve">GU01001141035, </w:t>
      </w:r>
      <w:r w:rsidR="00547BF4">
        <w:rPr>
          <w:rFonts w:ascii="Century Gothic" w:hAnsi="Century Gothic"/>
          <w:sz w:val="22"/>
          <w:szCs w:val="22"/>
        </w:rPr>
        <w:t>expedida</w:t>
      </w:r>
      <w:r>
        <w:rPr>
          <w:rFonts w:ascii="Century Gothic" w:hAnsi="Century Gothic"/>
          <w:sz w:val="22"/>
          <w:szCs w:val="22"/>
        </w:rPr>
        <w:t xml:space="preserve"> </w:t>
      </w:r>
      <w:r w:rsidR="002A2388">
        <w:rPr>
          <w:rFonts w:ascii="Century Gothic" w:hAnsi="Century Gothic"/>
          <w:sz w:val="22"/>
          <w:szCs w:val="22"/>
        </w:rPr>
        <w:t>el 3 de julio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59 C. Pruebas).</w:t>
      </w:r>
    </w:p>
    <w:p w14:paraId="43B8EF58" w14:textId="77777777" w:rsidR="002A2388" w:rsidRDefault="002A2388" w:rsidP="00844244">
      <w:pPr>
        <w:pStyle w:val="Prrafodelista"/>
        <w:spacing w:line="240" w:lineRule="auto"/>
        <w:rPr>
          <w:rFonts w:ascii="Century Gothic" w:hAnsi="Century Gothic"/>
          <w:sz w:val="22"/>
        </w:rPr>
      </w:pPr>
    </w:p>
    <w:p w14:paraId="28C2D2C5"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 xml:space="preserve">odificación 1356215 </w:t>
      </w:r>
      <w:r>
        <w:rPr>
          <w:rFonts w:ascii="Century Gothic" w:hAnsi="Century Gothic"/>
          <w:sz w:val="22"/>
          <w:szCs w:val="22"/>
          <w:lang w:val="es-ES_tradnl"/>
        </w:rPr>
        <w:t xml:space="preserve">de </w:t>
      </w:r>
      <w:r w:rsidR="002A2388">
        <w:rPr>
          <w:rFonts w:ascii="Century Gothic" w:hAnsi="Century Gothic"/>
          <w:sz w:val="22"/>
          <w:szCs w:val="22"/>
          <w:lang w:val="es-ES_tradnl"/>
        </w:rPr>
        <w:t xml:space="preserve">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suscrita </w:t>
      </w:r>
      <w:r w:rsidR="002A2388">
        <w:rPr>
          <w:rFonts w:ascii="Century Gothic" w:hAnsi="Century Gothic"/>
          <w:sz w:val="22"/>
          <w:szCs w:val="22"/>
        </w:rPr>
        <w:t>el 9 de agosto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61 C. Pruebas).</w:t>
      </w:r>
    </w:p>
    <w:p w14:paraId="551C9433" w14:textId="77777777" w:rsidR="002A2388" w:rsidRDefault="002A2388" w:rsidP="00844244">
      <w:pPr>
        <w:jc w:val="both"/>
        <w:rPr>
          <w:rFonts w:ascii="Century Gothic" w:hAnsi="Century Gothic"/>
          <w:sz w:val="22"/>
          <w:szCs w:val="22"/>
        </w:rPr>
      </w:pPr>
    </w:p>
    <w:p w14:paraId="446E510D"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DD15F5">
        <w:rPr>
          <w:rFonts w:ascii="Century Gothic" w:hAnsi="Century Gothic"/>
          <w:sz w:val="22"/>
          <w:szCs w:val="22"/>
        </w:rPr>
        <w:t xml:space="preserve">autenticada </w:t>
      </w:r>
      <w:r>
        <w:rPr>
          <w:rFonts w:ascii="Century Gothic" w:hAnsi="Century Gothic"/>
          <w:sz w:val="22"/>
          <w:szCs w:val="22"/>
        </w:rPr>
        <w:t>de la modificación</w:t>
      </w:r>
      <w:r w:rsidR="002A2388">
        <w:rPr>
          <w:rFonts w:ascii="Century Gothic" w:hAnsi="Century Gothic"/>
          <w:sz w:val="22"/>
          <w:szCs w:val="22"/>
          <w:lang w:val="es-ES_tradnl"/>
        </w:rPr>
        <w:t xml:space="preserve"> 1396631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w:t>
      </w:r>
      <w:r w:rsidR="00547BF4">
        <w:rPr>
          <w:rFonts w:ascii="Century Gothic" w:hAnsi="Century Gothic"/>
          <w:sz w:val="22"/>
          <w:szCs w:val="22"/>
        </w:rPr>
        <w:t>expedida</w:t>
      </w:r>
      <w:r>
        <w:rPr>
          <w:rFonts w:ascii="Century Gothic" w:hAnsi="Century Gothic"/>
          <w:sz w:val="22"/>
          <w:szCs w:val="22"/>
        </w:rPr>
        <w:t xml:space="preserve"> </w:t>
      </w:r>
      <w:r w:rsidR="002A2388">
        <w:rPr>
          <w:rFonts w:ascii="Century Gothic" w:hAnsi="Century Gothic"/>
          <w:sz w:val="22"/>
          <w:szCs w:val="22"/>
        </w:rPr>
        <w:t>el 26 de octubre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63 C. Pruebas).</w:t>
      </w:r>
    </w:p>
    <w:p w14:paraId="57284879" w14:textId="77777777" w:rsidR="002A2388" w:rsidRDefault="002A2388" w:rsidP="00844244">
      <w:pPr>
        <w:pStyle w:val="Prrafodelista"/>
        <w:spacing w:line="240" w:lineRule="auto"/>
        <w:rPr>
          <w:rFonts w:ascii="Century Gothic" w:hAnsi="Century Gothic"/>
          <w:sz w:val="22"/>
        </w:rPr>
      </w:pPr>
    </w:p>
    <w:p w14:paraId="3F712140"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 xml:space="preserve">odificación 1414062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suscrita </w:t>
      </w:r>
      <w:r w:rsidR="002A2388">
        <w:rPr>
          <w:rFonts w:ascii="Century Gothic" w:hAnsi="Century Gothic"/>
          <w:sz w:val="22"/>
          <w:szCs w:val="22"/>
        </w:rPr>
        <w:t>el 7 de diciembre de 2001 (</w:t>
      </w:r>
      <w:proofErr w:type="spellStart"/>
      <w:r w:rsidR="002A2388">
        <w:rPr>
          <w:rFonts w:ascii="Century Gothic" w:hAnsi="Century Gothic"/>
          <w:sz w:val="22"/>
          <w:szCs w:val="22"/>
        </w:rPr>
        <w:t>fl</w:t>
      </w:r>
      <w:proofErr w:type="spellEnd"/>
      <w:r w:rsidR="002A2388">
        <w:rPr>
          <w:rFonts w:ascii="Century Gothic" w:hAnsi="Century Gothic"/>
          <w:sz w:val="22"/>
          <w:szCs w:val="22"/>
        </w:rPr>
        <w:t>. 65 C. Pruebas).</w:t>
      </w:r>
    </w:p>
    <w:p w14:paraId="72155F2D" w14:textId="77777777" w:rsidR="002A2388" w:rsidRDefault="002A2388" w:rsidP="00844244">
      <w:pPr>
        <w:pStyle w:val="Prrafodelista"/>
        <w:spacing w:line="240" w:lineRule="auto"/>
        <w:rPr>
          <w:rFonts w:ascii="Century Gothic" w:hAnsi="Century Gothic"/>
          <w:sz w:val="22"/>
        </w:rPr>
      </w:pPr>
    </w:p>
    <w:p w14:paraId="38F133C4"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Copia</w:t>
      </w:r>
      <w:r w:rsidR="009A433D">
        <w:rPr>
          <w:rFonts w:ascii="Century Gothic" w:hAnsi="Century Gothic"/>
          <w:sz w:val="22"/>
          <w:szCs w:val="22"/>
          <w:lang w:val="es-ES_tradnl"/>
        </w:rPr>
        <w:t xml:space="preserve">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 xml:space="preserve">odificación 1437156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w:t>
      </w:r>
      <w:r w:rsidR="00547BF4">
        <w:rPr>
          <w:rFonts w:ascii="Century Gothic" w:hAnsi="Century Gothic"/>
          <w:sz w:val="22"/>
          <w:szCs w:val="22"/>
        </w:rPr>
        <w:t xml:space="preserve">expedida </w:t>
      </w:r>
      <w:r w:rsidR="002A2388">
        <w:rPr>
          <w:rFonts w:ascii="Century Gothic" w:hAnsi="Century Gothic"/>
          <w:sz w:val="22"/>
          <w:szCs w:val="22"/>
        </w:rPr>
        <w:t>el 17 de enero de 2002 (</w:t>
      </w:r>
      <w:proofErr w:type="spellStart"/>
      <w:r w:rsidR="002A2388">
        <w:rPr>
          <w:rFonts w:ascii="Century Gothic" w:hAnsi="Century Gothic"/>
          <w:sz w:val="22"/>
          <w:szCs w:val="22"/>
        </w:rPr>
        <w:t>fl</w:t>
      </w:r>
      <w:proofErr w:type="spellEnd"/>
      <w:r w:rsidR="002A2388">
        <w:rPr>
          <w:rFonts w:ascii="Century Gothic" w:hAnsi="Century Gothic"/>
          <w:sz w:val="22"/>
          <w:szCs w:val="22"/>
        </w:rPr>
        <w:t>. 67 C. Pruebas).</w:t>
      </w:r>
    </w:p>
    <w:p w14:paraId="185BA7C5" w14:textId="77777777" w:rsidR="002A2388" w:rsidRDefault="002A2388" w:rsidP="00844244">
      <w:pPr>
        <w:pStyle w:val="Prrafodelista"/>
        <w:spacing w:line="240" w:lineRule="auto"/>
        <w:rPr>
          <w:rFonts w:ascii="Century Gothic" w:hAnsi="Century Gothic"/>
          <w:sz w:val="22"/>
        </w:rPr>
      </w:pPr>
    </w:p>
    <w:p w14:paraId="0F3FE193" w14:textId="77777777" w:rsidR="002A2388" w:rsidRDefault="00E60AD0"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DD15F5">
        <w:rPr>
          <w:rFonts w:ascii="Century Gothic" w:hAnsi="Century Gothic"/>
          <w:sz w:val="22"/>
          <w:szCs w:val="22"/>
        </w:rPr>
        <w:t>autenticada</w:t>
      </w:r>
      <w:r w:rsidR="00DD15F5">
        <w:rPr>
          <w:rFonts w:ascii="Century Gothic" w:hAnsi="Century Gothic"/>
          <w:sz w:val="22"/>
          <w:szCs w:val="22"/>
          <w:lang w:val="es-ES_tradnl"/>
        </w:rPr>
        <w:t xml:space="preserve"> </w:t>
      </w:r>
      <w:r>
        <w:rPr>
          <w:rFonts w:ascii="Century Gothic" w:hAnsi="Century Gothic"/>
          <w:sz w:val="22"/>
          <w:szCs w:val="22"/>
          <w:lang w:val="es-ES_tradnl"/>
        </w:rPr>
        <w:t>de la m</w:t>
      </w:r>
      <w:r w:rsidR="002A2388">
        <w:rPr>
          <w:rFonts w:ascii="Century Gothic" w:hAnsi="Century Gothic"/>
          <w:sz w:val="22"/>
          <w:szCs w:val="22"/>
          <w:lang w:val="es-ES_tradnl"/>
        </w:rPr>
        <w:t xml:space="preserve">odificación 1583012 </w:t>
      </w:r>
      <w:r>
        <w:rPr>
          <w:rFonts w:ascii="Century Gothic" w:hAnsi="Century Gothic"/>
          <w:sz w:val="22"/>
          <w:szCs w:val="22"/>
          <w:lang w:val="es-ES_tradnl"/>
        </w:rPr>
        <w:t>de</w:t>
      </w:r>
      <w:r w:rsid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Pr>
          <w:rFonts w:ascii="Century Gothic" w:hAnsi="Century Gothic"/>
          <w:sz w:val="22"/>
          <w:szCs w:val="22"/>
        </w:rPr>
        <w:t>GU01001141035</w:t>
      </w:r>
      <w:r>
        <w:rPr>
          <w:rFonts w:ascii="Century Gothic" w:hAnsi="Century Gothic"/>
          <w:sz w:val="22"/>
          <w:szCs w:val="22"/>
        </w:rPr>
        <w:t xml:space="preserve">, suscrita </w:t>
      </w:r>
      <w:r w:rsidR="002A2388">
        <w:rPr>
          <w:rFonts w:ascii="Century Gothic" w:hAnsi="Century Gothic"/>
          <w:sz w:val="22"/>
          <w:szCs w:val="22"/>
        </w:rPr>
        <w:t>el 9 de septiembre de 2002 (</w:t>
      </w:r>
      <w:proofErr w:type="spellStart"/>
      <w:r w:rsidR="002A2388">
        <w:rPr>
          <w:rFonts w:ascii="Century Gothic" w:hAnsi="Century Gothic"/>
          <w:sz w:val="22"/>
          <w:szCs w:val="22"/>
        </w:rPr>
        <w:t>fl</w:t>
      </w:r>
      <w:proofErr w:type="spellEnd"/>
      <w:r w:rsidR="002A2388">
        <w:rPr>
          <w:rFonts w:ascii="Century Gothic" w:hAnsi="Century Gothic"/>
          <w:sz w:val="22"/>
          <w:szCs w:val="22"/>
        </w:rPr>
        <w:t>. 69 C. Pruebas).</w:t>
      </w:r>
    </w:p>
    <w:p w14:paraId="20BD6FF0" w14:textId="77777777" w:rsidR="002A2388" w:rsidRDefault="002A2388" w:rsidP="00A20C12">
      <w:pPr>
        <w:jc w:val="both"/>
        <w:rPr>
          <w:rFonts w:ascii="Century Gothic" w:hAnsi="Century Gothic"/>
          <w:sz w:val="22"/>
          <w:szCs w:val="22"/>
        </w:rPr>
      </w:pPr>
    </w:p>
    <w:p w14:paraId="1E7C121F" w14:textId="77777777" w:rsidR="002A2388" w:rsidRPr="002A2388" w:rsidRDefault="00E60AD0" w:rsidP="00CC039C">
      <w:pPr>
        <w:numPr>
          <w:ilvl w:val="0"/>
          <w:numId w:val="1"/>
        </w:numPr>
        <w:jc w:val="both"/>
        <w:rPr>
          <w:rFonts w:ascii="Century Gothic" w:hAnsi="Century Gothic"/>
          <w:sz w:val="22"/>
          <w:szCs w:val="22"/>
        </w:rPr>
      </w:pPr>
      <w:r>
        <w:rPr>
          <w:rFonts w:ascii="Century Gothic" w:hAnsi="Century Gothic"/>
          <w:sz w:val="22"/>
          <w:szCs w:val="22"/>
        </w:rPr>
        <w:t>Copia</w:t>
      </w:r>
      <w:r w:rsidR="009A433D">
        <w:rPr>
          <w:rFonts w:ascii="Century Gothic" w:hAnsi="Century Gothic"/>
          <w:sz w:val="22"/>
          <w:szCs w:val="22"/>
        </w:rPr>
        <w:t xml:space="preserve"> </w:t>
      </w:r>
      <w:r w:rsidR="00DD15F5">
        <w:rPr>
          <w:rFonts w:ascii="Century Gothic" w:hAnsi="Century Gothic"/>
          <w:sz w:val="22"/>
          <w:szCs w:val="22"/>
        </w:rPr>
        <w:t xml:space="preserve">autenticada </w:t>
      </w:r>
      <w:r>
        <w:rPr>
          <w:rFonts w:ascii="Century Gothic" w:hAnsi="Century Gothic"/>
          <w:sz w:val="22"/>
          <w:szCs w:val="22"/>
        </w:rPr>
        <w:t xml:space="preserve">de la </w:t>
      </w:r>
      <w:r w:rsidR="00282FA0">
        <w:rPr>
          <w:rFonts w:ascii="Century Gothic" w:hAnsi="Century Gothic"/>
          <w:sz w:val="22"/>
          <w:szCs w:val="22"/>
        </w:rPr>
        <w:t>modificación</w:t>
      </w:r>
      <w:r w:rsidR="002A2388">
        <w:rPr>
          <w:rFonts w:ascii="Century Gothic" w:hAnsi="Century Gothic"/>
          <w:sz w:val="22"/>
          <w:szCs w:val="22"/>
          <w:lang w:val="es-ES_tradnl"/>
        </w:rPr>
        <w:t xml:space="preserve"> </w:t>
      </w:r>
      <w:r w:rsidR="002A2388">
        <w:rPr>
          <w:rFonts w:ascii="Century Gothic" w:hAnsi="Century Gothic"/>
          <w:sz w:val="22"/>
          <w:szCs w:val="22"/>
        </w:rPr>
        <w:t xml:space="preserve">1583990 </w:t>
      </w:r>
      <w:r>
        <w:rPr>
          <w:rFonts w:ascii="Century Gothic" w:hAnsi="Century Gothic"/>
          <w:sz w:val="22"/>
          <w:szCs w:val="22"/>
          <w:lang w:val="es-ES_tradnl"/>
        </w:rPr>
        <w:t>de</w:t>
      </w:r>
      <w:r w:rsidR="002A2388" w:rsidRPr="002A2388">
        <w:rPr>
          <w:rFonts w:ascii="Century Gothic" w:hAnsi="Century Gothic"/>
          <w:sz w:val="22"/>
          <w:szCs w:val="22"/>
          <w:lang w:val="es-ES_tradnl"/>
        </w:rPr>
        <w:t xml:space="preserve"> la póliza </w:t>
      </w:r>
      <w:r>
        <w:rPr>
          <w:rFonts w:ascii="Century Gothic" w:hAnsi="Century Gothic"/>
          <w:sz w:val="22"/>
          <w:szCs w:val="22"/>
          <w:lang w:val="es-ES_tradnl"/>
        </w:rPr>
        <w:t xml:space="preserve">de seguros </w:t>
      </w:r>
      <w:r w:rsidR="002A2388" w:rsidRPr="002A2388">
        <w:rPr>
          <w:rFonts w:ascii="Century Gothic" w:hAnsi="Century Gothic"/>
          <w:sz w:val="22"/>
          <w:szCs w:val="22"/>
        </w:rPr>
        <w:t>GU01001141035</w:t>
      </w:r>
      <w:r>
        <w:rPr>
          <w:rFonts w:ascii="Century Gothic" w:hAnsi="Century Gothic"/>
          <w:sz w:val="22"/>
          <w:szCs w:val="22"/>
        </w:rPr>
        <w:t xml:space="preserve">, </w:t>
      </w:r>
      <w:r w:rsidR="00547BF4">
        <w:rPr>
          <w:rFonts w:ascii="Century Gothic" w:hAnsi="Century Gothic"/>
          <w:sz w:val="22"/>
          <w:szCs w:val="22"/>
        </w:rPr>
        <w:t>expedida</w:t>
      </w:r>
      <w:r>
        <w:rPr>
          <w:rFonts w:ascii="Century Gothic" w:hAnsi="Century Gothic"/>
          <w:sz w:val="22"/>
          <w:szCs w:val="22"/>
        </w:rPr>
        <w:t xml:space="preserve"> </w:t>
      </w:r>
      <w:r w:rsidR="002A2388" w:rsidRPr="002A2388">
        <w:rPr>
          <w:rFonts w:ascii="Century Gothic" w:hAnsi="Century Gothic"/>
          <w:sz w:val="22"/>
          <w:szCs w:val="22"/>
        </w:rPr>
        <w:t xml:space="preserve">el </w:t>
      </w:r>
      <w:r w:rsidR="002A2388">
        <w:rPr>
          <w:rFonts w:ascii="Century Gothic" w:hAnsi="Century Gothic"/>
          <w:sz w:val="22"/>
          <w:szCs w:val="22"/>
        </w:rPr>
        <w:t xml:space="preserve">23 </w:t>
      </w:r>
      <w:r w:rsidR="002A2388" w:rsidRPr="002A2388">
        <w:rPr>
          <w:rFonts w:ascii="Century Gothic" w:hAnsi="Century Gothic"/>
          <w:sz w:val="22"/>
          <w:szCs w:val="22"/>
        </w:rPr>
        <w:t xml:space="preserve">de </w:t>
      </w:r>
      <w:r w:rsidR="002A2388">
        <w:rPr>
          <w:rFonts w:ascii="Century Gothic" w:hAnsi="Century Gothic"/>
          <w:sz w:val="22"/>
          <w:szCs w:val="22"/>
        </w:rPr>
        <w:t xml:space="preserve">septiembre </w:t>
      </w:r>
      <w:r w:rsidR="002A2388" w:rsidRPr="002A2388">
        <w:rPr>
          <w:rFonts w:ascii="Century Gothic" w:hAnsi="Century Gothic"/>
          <w:sz w:val="22"/>
          <w:szCs w:val="22"/>
        </w:rPr>
        <w:t xml:space="preserve">de </w:t>
      </w:r>
      <w:r w:rsidR="002A2388">
        <w:rPr>
          <w:rFonts w:ascii="Century Gothic" w:hAnsi="Century Gothic"/>
          <w:sz w:val="22"/>
          <w:szCs w:val="22"/>
        </w:rPr>
        <w:t xml:space="preserve">2002 </w:t>
      </w:r>
      <w:r w:rsidR="002A2388" w:rsidRPr="002A2388">
        <w:rPr>
          <w:rFonts w:ascii="Century Gothic" w:hAnsi="Century Gothic"/>
          <w:sz w:val="22"/>
          <w:szCs w:val="22"/>
        </w:rPr>
        <w:t>(</w:t>
      </w:r>
      <w:proofErr w:type="spellStart"/>
      <w:r w:rsidR="002A2388" w:rsidRPr="002A2388">
        <w:rPr>
          <w:rFonts w:ascii="Century Gothic" w:hAnsi="Century Gothic"/>
          <w:sz w:val="22"/>
          <w:szCs w:val="22"/>
        </w:rPr>
        <w:t>fl</w:t>
      </w:r>
      <w:proofErr w:type="spellEnd"/>
      <w:r w:rsidR="002A2388" w:rsidRPr="002A2388">
        <w:rPr>
          <w:rFonts w:ascii="Century Gothic" w:hAnsi="Century Gothic"/>
          <w:sz w:val="22"/>
          <w:szCs w:val="22"/>
        </w:rPr>
        <w:t xml:space="preserve">. </w:t>
      </w:r>
      <w:r w:rsidR="002A2388">
        <w:rPr>
          <w:rFonts w:ascii="Century Gothic" w:hAnsi="Century Gothic"/>
          <w:sz w:val="22"/>
          <w:szCs w:val="22"/>
        </w:rPr>
        <w:t xml:space="preserve">73 </w:t>
      </w:r>
      <w:r w:rsidR="002A2388" w:rsidRPr="002A2388">
        <w:rPr>
          <w:rFonts w:ascii="Century Gothic" w:hAnsi="Century Gothic"/>
          <w:sz w:val="22"/>
          <w:szCs w:val="22"/>
        </w:rPr>
        <w:t>C. Pruebas).</w:t>
      </w:r>
    </w:p>
    <w:p w14:paraId="18CFF120" w14:textId="77777777" w:rsidR="002A2388" w:rsidRDefault="002A2388" w:rsidP="00A20C12">
      <w:pPr>
        <w:jc w:val="both"/>
        <w:rPr>
          <w:rFonts w:ascii="Century Gothic" w:hAnsi="Century Gothic"/>
          <w:sz w:val="22"/>
          <w:szCs w:val="22"/>
        </w:rPr>
      </w:pPr>
    </w:p>
    <w:p w14:paraId="7C622580" w14:textId="77777777" w:rsidR="00844244" w:rsidRDefault="00282FA0" w:rsidP="00CC039C">
      <w:pPr>
        <w:numPr>
          <w:ilvl w:val="0"/>
          <w:numId w:val="1"/>
        </w:numPr>
        <w:jc w:val="both"/>
        <w:rPr>
          <w:rFonts w:ascii="Century Gothic" w:hAnsi="Century Gothic"/>
          <w:sz w:val="22"/>
          <w:szCs w:val="22"/>
        </w:rPr>
      </w:pPr>
      <w:r>
        <w:rPr>
          <w:rFonts w:ascii="Century Gothic" w:hAnsi="Century Gothic"/>
          <w:sz w:val="22"/>
          <w:szCs w:val="22"/>
        </w:rPr>
        <w:t>Copia</w:t>
      </w:r>
      <w:r w:rsidR="009A433D">
        <w:rPr>
          <w:rFonts w:ascii="Century Gothic" w:hAnsi="Century Gothic"/>
          <w:sz w:val="22"/>
          <w:szCs w:val="22"/>
        </w:rPr>
        <w:t xml:space="preserve"> auténtica</w:t>
      </w:r>
      <w:r>
        <w:rPr>
          <w:rFonts w:ascii="Century Gothic" w:hAnsi="Century Gothic"/>
          <w:sz w:val="22"/>
          <w:szCs w:val="22"/>
        </w:rPr>
        <w:t xml:space="preserve"> de la resolución 1999 del 28 de abril de 2005, por medio de la cual el Instituto de Desarrollo Urbano resolvió</w:t>
      </w:r>
      <w:r w:rsidR="00844244">
        <w:rPr>
          <w:rFonts w:ascii="Century Gothic" w:hAnsi="Century Gothic"/>
          <w:sz w:val="22"/>
          <w:szCs w:val="22"/>
        </w:rPr>
        <w:t xml:space="preserve"> (</w:t>
      </w:r>
      <w:proofErr w:type="spellStart"/>
      <w:r w:rsidR="00844244">
        <w:rPr>
          <w:rFonts w:ascii="Century Gothic" w:hAnsi="Century Gothic"/>
          <w:sz w:val="22"/>
          <w:szCs w:val="22"/>
        </w:rPr>
        <w:t>fls</w:t>
      </w:r>
      <w:proofErr w:type="spellEnd"/>
      <w:r w:rsidR="00844244">
        <w:rPr>
          <w:rFonts w:ascii="Century Gothic" w:hAnsi="Century Gothic"/>
          <w:sz w:val="22"/>
          <w:szCs w:val="22"/>
        </w:rPr>
        <w:t>. 74 a 140 C. Pruebas)</w:t>
      </w:r>
      <w:r w:rsidR="00547BF4">
        <w:rPr>
          <w:rFonts w:ascii="Century Gothic" w:hAnsi="Century Gothic"/>
          <w:sz w:val="22"/>
          <w:szCs w:val="22"/>
        </w:rPr>
        <w:t xml:space="preserve"> (se transcribe como obra):</w:t>
      </w:r>
    </w:p>
    <w:p w14:paraId="5C458746" w14:textId="77777777" w:rsidR="00844244" w:rsidRDefault="00844244" w:rsidP="00A20C12">
      <w:pPr>
        <w:pStyle w:val="Prrafodelista"/>
        <w:spacing w:line="240" w:lineRule="auto"/>
        <w:rPr>
          <w:rFonts w:ascii="Century Gothic" w:hAnsi="Century Gothic"/>
          <w:sz w:val="22"/>
        </w:rPr>
      </w:pPr>
    </w:p>
    <w:p w14:paraId="7263784B" w14:textId="77777777" w:rsidR="002A2388" w:rsidRPr="0095621F" w:rsidRDefault="00282FA0" w:rsidP="00A20C12">
      <w:pPr>
        <w:ind w:left="1416"/>
        <w:jc w:val="both"/>
        <w:rPr>
          <w:rFonts w:ascii="Century Gothic" w:hAnsi="Century Gothic"/>
          <w:i/>
          <w:sz w:val="22"/>
          <w:szCs w:val="22"/>
        </w:rPr>
      </w:pPr>
      <w:r>
        <w:rPr>
          <w:rFonts w:ascii="Century Gothic" w:hAnsi="Century Gothic"/>
          <w:sz w:val="22"/>
          <w:szCs w:val="22"/>
        </w:rPr>
        <w:t>“</w:t>
      </w:r>
      <w:r w:rsidR="00844244" w:rsidRPr="0095621F">
        <w:rPr>
          <w:rFonts w:ascii="Century Gothic" w:hAnsi="Century Gothic"/>
          <w:i/>
          <w:sz w:val="22"/>
          <w:szCs w:val="22"/>
        </w:rPr>
        <w:t xml:space="preserve">ARTÍCULO PRIMERO: </w:t>
      </w:r>
      <w:r w:rsidRPr="0095621F">
        <w:rPr>
          <w:rFonts w:ascii="Century Gothic" w:hAnsi="Century Gothic"/>
          <w:i/>
          <w:sz w:val="22"/>
          <w:szCs w:val="22"/>
        </w:rPr>
        <w:t>Declarar la ocurrencia del siniestro de estabilidad de obra a favor del Instituto de Desarrollo Urbano IDU, cubierto por la Garantía Única de Cumplimiento Póliza No 1141035 expedida por la Compañía Aseguradora CONFIANZA COMPAÑÍA ASEGURADORA DE FIANZAS S.A., vigente hasta el 20 de marzo de 2007, con ocasión del contrato No 403 del 2000 suscrito entre el IDU y la firma CONSTRUCCIONES CIVILES S.A. CONCIVILES .S.A.</w:t>
      </w:r>
    </w:p>
    <w:p w14:paraId="6D0ADCB7" w14:textId="77777777" w:rsidR="00844244" w:rsidRPr="0095621F" w:rsidRDefault="00844244" w:rsidP="00A20C12">
      <w:pPr>
        <w:ind w:left="1416"/>
        <w:jc w:val="both"/>
        <w:rPr>
          <w:rFonts w:ascii="Century Gothic" w:hAnsi="Century Gothic"/>
          <w:i/>
          <w:sz w:val="22"/>
          <w:szCs w:val="22"/>
        </w:rPr>
      </w:pPr>
    </w:p>
    <w:p w14:paraId="54C241E7" w14:textId="77777777" w:rsidR="00844244" w:rsidRPr="00844244" w:rsidRDefault="00844244" w:rsidP="00A20C12">
      <w:pPr>
        <w:ind w:left="1416"/>
        <w:jc w:val="both"/>
        <w:rPr>
          <w:rFonts w:ascii="Century Gothic" w:hAnsi="Century Gothic"/>
          <w:i/>
          <w:sz w:val="22"/>
          <w:szCs w:val="22"/>
        </w:rPr>
      </w:pPr>
      <w:r w:rsidRPr="0095621F">
        <w:rPr>
          <w:rFonts w:ascii="Century Gothic" w:hAnsi="Century Gothic"/>
          <w:i/>
          <w:sz w:val="22"/>
          <w:szCs w:val="22"/>
        </w:rPr>
        <w:t>“ARTÍCULO SEGUNDO: Ordenar que dicha garantía se haga efectiva, a favor del Instituto de Desarrollo Urbano IDU, por un monto igual a CUATRO MIL MILLONES OCHOCIENTOS VEINTIDÓS MIL DOSCIENTOS PESOS MONEDA CORRIENTE ($</w:t>
      </w:r>
      <w:r w:rsidRPr="00547BF4">
        <w:rPr>
          <w:rFonts w:ascii="Century Gothic" w:hAnsi="Century Gothic"/>
          <w:i/>
          <w:sz w:val="22"/>
          <w:szCs w:val="22"/>
        </w:rPr>
        <w:t>4.822.200.</w:t>
      </w:r>
      <w:r w:rsidR="00547BF4" w:rsidRPr="00547BF4">
        <w:rPr>
          <w:rFonts w:ascii="Century Gothic" w:hAnsi="Century Gothic"/>
          <w:i/>
          <w:sz w:val="22"/>
          <w:szCs w:val="22"/>
        </w:rPr>
        <w:t>0</w:t>
      </w:r>
      <w:r w:rsidRPr="00547BF4">
        <w:rPr>
          <w:rFonts w:ascii="Century Gothic" w:hAnsi="Century Gothic"/>
          <w:i/>
          <w:sz w:val="22"/>
          <w:szCs w:val="22"/>
        </w:rPr>
        <w:t>00</w:t>
      </w:r>
      <w:r w:rsidRPr="0095621F">
        <w:rPr>
          <w:rFonts w:ascii="Century Gothic" w:hAnsi="Century Gothic"/>
          <w:i/>
          <w:sz w:val="22"/>
          <w:szCs w:val="22"/>
        </w:rPr>
        <w:t>.oo), con cargo a la Garantía Única de Cumplimiento mencionada en el artículo anterior, una vez se encuentre en firme el presente acto administrativo</w:t>
      </w:r>
      <w:r>
        <w:rPr>
          <w:rFonts w:ascii="Century Gothic" w:hAnsi="Century Gothic"/>
          <w:i/>
          <w:sz w:val="22"/>
          <w:szCs w:val="22"/>
        </w:rPr>
        <w:t>”</w:t>
      </w:r>
      <w:r w:rsidR="00A20C12">
        <w:rPr>
          <w:rFonts w:ascii="Century Gothic" w:hAnsi="Century Gothic"/>
          <w:i/>
          <w:sz w:val="22"/>
          <w:szCs w:val="22"/>
        </w:rPr>
        <w:t>.</w:t>
      </w:r>
    </w:p>
    <w:p w14:paraId="3B672AA3" w14:textId="77777777" w:rsidR="00A3424D" w:rsidRDefault="00A3424D" w:rsidP="00A20C12">
      <w:pPr>
        <w:jc w:val="both"/>
        <w:rPr>
          <w:rFonts w:ascii="Century Gothic" w:hAnsi="Century Gothic"/>
          <w:sz w:val="22"/>
          <w:szCs w:val="22"/>
        </w:rPr>
      </w:pPr>
    </w:p>
    <w:p w14:paraId="7FDB8262" w14:textId="77777777" w:rsidR="00844244" w:rsidRDefault="00844244"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9A433D">
        <w:rPr>
          <w:rFonts w:ascii="Century Gothic" w:hAnsi="Century Gothic"/>
          <w:sz w:val="22"/>
          <w:szCs w:val="22"/>
        </w:rPr>
        <w:t xml:space="preserve">auténtica </w:t>
      </w:r>
      <w:r>
        <w:rPr>
          <w:rFonts w:ascii="Century Gothic" w:hAnsi="Century Gothic"/>
          <w:sz w:val="22"/>
          <w:szCs w:val="22"/>
        </w:rPr>
        <w:t xml:space="preserve">del edicto fijado entre el 13 y el 26 de mayo de 2005, por el cual se notificó la resolución </w:t>
      </w:r>
      <w:r w:rsidR="00A20C12">
        <w:rPr>
          <w:rFonts w:ascii="Century Gothic" w:hAnsi="Century Gothic"/>
          <w:sz w:val="22"/>
          <w:szCs w:val="22"/>
        </w:rPr>
        <w:t xml:space="preserve">1999 de 2005, ante la </w:t>
      </w:r>
      <w:r w:rsidR="00547BF4">
        <w:rPr>
          <w:rFonts w:ascii="Century Gothic" w:hAnsi="Century Gothic"/>
          <w:sz w:val="22"/>
          <w:szCs w:val="22"/>
        </w:rPr>
        <w:t xml:space="preserve">renuencia a presentarse </w:t>
      </w:r>
      <w:r w:rsidR="00C029BB">
        <w:rPr>
          <w:rFonts w:ascii="Century Gothic" w:hAnsi="Century Gothic"/>
          <w:sz w:val="22"/>
          <w:szCs w:val="22"/>
        </w:rPr>
        <w:t>de</w:t>
      </w:r>
      <w:r w:rsidR="00547BF4">
        <w:rPr>
          <w:rFonts w:ascii="Century Gothic" w:hAnsi="Century Gothic"/>
          <w:sz w:val="22"/>
          <w:szCs w:val="22"/>
        </w:rPr>
        <w:t xml:space="preserve"> forma personal</w:t>
      </w:r>
      <w:r w:rsidR="00A20C12">
        <w:rPr>
          <w:rFonts w:ascii="Century Gothic" w:hAnsi="Century Gothic"/>
          <w:sz w:val="22"/>
          <w:szCs w:val="22"/>
        </w:rPr>
        <w:t xml:space="preserve"> del representante legal de CONFIANZA S.A. (</w:t>
      </w:r>
      <w:proofErr w:type="spellStart"/>
      <w:r w:rsidR="00A20C12">
        <w:rPr>
          <w:rFonts w:ascii="Century Gothic" w:hAnsi="Century Gothic"/>
          <w:sz w:val="22"/>
          <w:szCs w:val="22"/>
        </w:rPr>
        <w:t>fls</w:t>
      </w:r>
      <w:proofErr w:type="spellEnd"/>
      <w:r w:rsidR="00A20C12">
        <w:rPr>
          <w:rFonts w:ascii="Century Gothic" w:hAnsi="Century Gothic"/>
          <w:sz w:val="22"/>
          <w:szCs w:val="22"/>
        </w:rPr>
        <w:t>. 141 y 142 C. Pruebas).</w:t>
      </w:r>
    </w:p>
    <w:p w14:paraId="2325DB45" w14:textId="77777777" w:rsidR="00A20C12" w:rsidRDefault="00A20C12" w:rsidP="00A20C12">
      <w:pPr>
        <w:ind w:left="720"/>
        <w:jc w:val="both"/>
        <w:rPr>
          <w:rFonts w:ascii="Century Gothic" w:hAnsi="Century Gothic"/>
          <w:sz w:val="22"/>
          <w:szCs w:val="22"/>
        </w:rPr>
      </w:pPr>
    </w:p>
    <w:p w14:paraId="7E59AEAB" w14:textId="77777777" w:rsidR="00A20C12" w:rsidRDefault="00A20C12" w:rsidP="00CC039C">
      <w:pPr>
        <w:numPr>
          <w:ilvl w:val="0"/>
          <w:numId w:val="1"/>
        </w:numPr>
        <w:jc w:val="both"/>
        <w:rPr>
          <w:rFonts w:ascii="Century Gothic" w:hAnsi="Century Gothic"/>
          <w:sz w:val="22"/>
          <w:szCs w:val="22"/>
        </w:rPr>
      </w:pPr>
      <w:r>
        <w:rPr>
          <w:rFonts w:ascii="Century Gothic" w:hAnsi="Century Gothic"/>
          <w:sz w:val="22"/>
          <w:szCs w:val="22"/>
        </w:rPr>
        <w:t xml:space="preserve">Copia </w:t>
      </w:r>
      <w:r w:rsidR="009A433D">
        <w:rPr>
          <w:rFonts w:ascii="Century Gothic" w:hAnsi="Century Gothic"/>
          <w:sz w:val="22"/>
          <w:szCs w:val="22"/>
        </w:rPr>
        <w:t xml:space="preserve">auténtica </w:t>
      </w:r>
      <w:r>
        <w:rPr>
          <w:rFonts w:ascii="Century Gothic" w:hAnsi="Century Gothic"/>
          <w:sz w:val="22"/>
          <w:szCs w:val="22"/>
        </w:rPr>
        <w:t xml:space="preserve">de la resolución 6057 del 15 de septiembre de 2005, por medio de la cual el Instituto de Desarrollo Urbano, con ocasión de los </w:t>
      </w:r>
      <w:r>
        <w:rPr>
          <w:rFonts w:ascii="Century Gothic" w:hAnsi="Century Gothic"/>
          <w:sz w:val="22"/>
          <w:szCs w:val="22"/>
        </w:rPr>
        <w:lastRenderedPageBreak/>
        <w:t>recursos de reposición interpuestos por CONCIVILES S.A. Y CONFIANZA S.A., resolvió</w:t>
      </w:r>
      <w:r w:rsidR="00DA73E8">
        <w:rPr>
          <w:rFonts w:ascii="Century Gothic" w:hAnsi="Century Gothic"/>
          <w:sz w:val="22"/>
          <w:szCs w:val="22"/>
        </w:rPr>
        <w:t xml:space="preserve"> (</w:t>
      </w:r>
      <w:proofErr w:type="spellStart"/>
      <w:r w:rsidR="00DA73E8">
        <w:rPr>
          <w:rFonts w:ascii="Century Gothic" w:hAnsi="Century Gothic"/>
          <w:sz w:val="22"/>
          <w:szCs w:val="22"/>
        </w:rPr>
        <w:t>fls</w:t>
      </w:r>
      <w:proofErr w:type="spellEnd"/>
      <w:r w:rsidR="00DA73E8">
        <w:rPr>
          <w:rFonts w:ascii="Century Gothic" w:hAnsi="Century Gothic"/>
          <w:sz w:val="22"/>
          <w:szCs w:val="22"/>
        </w:rPr>
        <w:t xml:space="preserve"> 145  a 191 C. </w:t>
      </w:r>
      <w:proofErr w:type="spellStart"/>
      <w:r w:rsidR="00DA73E8">
        <w:rPr>
          <w:rFonts w:ascii="Century Gothic" w:hAnsi="Century Gothic"/>
          <w:sz w:val="22"/>
          <w:szCs w:val="22"/>
        </w:rPr>
        <w:t>Ppal</w:t>
      </w:r>
      <w:proofErr w:type="spellEnd"/>
      <w:r w:rsidR="00DA73E8">
        <w:rPr>
          <w:rFonts w:ascii="Century Gothic" w:hAnsi="Century Gothic"/>
          <w:sz w:val="22"/>
          <w:szCs w:val="22"/>
        </w:rPr>
        <w:t>)</w:t>
      </w:r>
      <w:r>
        <w:rPr>
          <w:rFonts w:ascii="Century Gothic" w:hAnsi="Century Gothic"/>
          <w:sz w:val="22"/>
          <w:szCs w:val="22"/>
        </w:rPr>
        <w:t>:</w:t>
      </w:r>
    </w:p>
    <w:p w14:paraId="518ED6B3" w14:textId="77777777" w:rsidR="00A20C12" w:rsidRDefault="00A20C12" w:rsidP="00A20C12">
      <w:pPr>
        <w:pStyle w:val="Prrafodelista"/>
        <w:spacing w:line="240" w:lineRule="auto"/>
        <w:rPr>
          <w:rFonts w:ascii="Century Gothic" w:hAnsi="Century Gothic"/>
          <w:sz w:val="22"/>
        </w:rPr>
      </w:pPr>
    </w:p>
    <w:p w14:paraId="6FCF5F2D" w14:textId="77777777" w:rsidR="00A20C12" w:rsidRPr="0095621F" w:rsidRDefault="00A20C12" w:rsidP="00A20C12">
      <w:pPr>
        <w:ind w:left="1416"/>
        <w:jc w:val="both"/>
        <w:rPr>
          <w:rFonts w:ascii="Century Gothic" w:hAnsi="Century Gothic"/>
          <w:i/>
          <w:sz w:val="22"/>
          <w:szCs w:val="22"/>
          <w:lang w:val="es-ES_tradnl"/>
        </w:rPr>
      </w:pPr>
      <w:r>
        <w:rPr>
          <w:rFonts w:ascii="Century Gothic" w:hAnsi="Century Gothic"/>
          <w:sz w:val="22"/>
          <w:szCs w:val="22"/>
          <w:lang w:val="es-ES_tradnl"/>
        </w:rPr>
        <w:t>“</w:t>
      </w:r>
      <w:r w:rsidRPr="0095621F">
        <w:rPr>
          <w:rFonts w:ascii="Century Gothic" w:hAnsi="Century Gothic"/>
          <w:i/>
          <w:sz w:val="22"/>
          <w:szCs w:val="22"/>
          <w:lang w:val="es-ES_tradnl"/>
        </w:rPr>
        <w:t xml:space="preserve">ARTICULO PRIMERO: Confirmar en todas sus partes la Resolución 1999 del 28 de abril de 2005, por medio de la cual ‘Se declara la ocurrencia de un siniestro y se hace efectiva la Garantía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 xml:space="preserve">Única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 xml:space="preserve">de Cumplimiento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 xml:space="preserve">en el amparo de Estabilidad </w:t>
      </w:r>
      <w:r w:rsidRPr="00F85D27">
        <w:rPr>
          <w:rFonts w:ascii="Century Gothic" w:hAnsi="Century Gothic"/>
          <w:sz w:val="22"/>
          <w:szCs w:val="22"/>
          <w:lang w:val="es-ES_tradnl"/>
        </w:rPr>
        <w:t>(sic)</w:t>
      </w:r>
      <w:r w:rsidRPr="0095621F">
        <w:rPr>
          <w:rFonts w:ascii="Century Gothic" w:hAnsi="Century Gothic"/>
          <w:i/>
          <w:sz w:val="22"/>
          <w:szCs w:val="22"/>
          <w:lang w:val="es-ES_tradnl"/>
        </w:rPr>
        <w:t>’, contenida en la Póliza (sic) No 11410305, expedida por la COMPAÑÍA ASEGURADORA DE FIANZAS CONFIANZA S.A., vigente hasta el 20 de marzo de 2007, con ocasión del Contrato No 403 de 2000, suscrito entre el IDU y CONCIVILES S.A.</w:t>
      </w:r>
      <w:r w:rsidR="00D42535" w:rsidRPr="0095621F">
        <w:rPr>
          <w:rFonts w:ascii="Century Gothic" w:hAnsi="Century Gothic"/>
          <w:i/>
          <w:sz w:val="22"/>
          <w:szCs w:val="22"/>
          <w:lang w:val="es-ES_tradnl"/>
        </w:rPr>
        <w:t>”.</w:t>
      </w:r>
    </w:p>
    <w:p w14:paraId="01832C80" w14:textId="77777777" w:rsidR="00DA73E8" w:rsidRDefault="00DA73E8" w:rsidP="00DA73E8">
      <w:pPr>
        <w:jc w:val="both"/>
        <w:rPr>
          <w:rFonts w:ascii="Century Gothic" w:hAnsi="Century Gothic"/>
          <w:sz w:val="22"/>
          <w:szCs w:val="22"/>
          <w:lang w:val="es-ES_tradnl"/>
        </w:rPr>
      </w:pPr>
    </w:p>
    <w:p w14:paraId="204ED463" w14:textId="77777777" w:rsidR="00DA73E8" w:rsidRDefault="00DA73E8"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9A433D">
        <w:rPr>
          <w:rFonts w:ascii="Century Gothic" w:hAnsi="Century Gothic"/>
          <w:sz w:val="22"/>
          <w:szCs w:val="22"/>
        </w:rPr>
        <w:t xml:space="preserve">auténtica </w:t>
      </w:r>
      <w:r>
        <w:rPr>
          <w:rFonts w:ascii="Century Gothic" w:hAnsi="Century Gothic"/>
          <w:sz w:val="22"/>
          <w:szCs w:val="22"/>
          <w:lang w:val="es-ES_tradnl"/>
        </w:rPr>
        <w:t xml:space="preserve">del </w:t>
      </w:r>
      <w:r>
        <w:rPr>
          <w:rFonts w:ascii="Century Gothic" w:hAnsi="Century Gothic"/>
          <w:sz w:val="22"/>
          <w:szCs w:val="22"/>
        </w:rPr>
        <w:t>edicto fijado entre el 1</w:t>
      </w:r>
      <w:r w:rsidR="005051FE">
        <w:rPr>
          <w:rFonts w:ascii="Century Gothic" w:hAnsi="Century Gothic"/>
          <w:sz w:val="22"/>
          <w:szCs w:val="22"/>
        </w:rPr>
        <w:t>0</w:t>
      </w:r>
      <w:r>
        <w:rPr>
          <w:rFonts w:ascii="Century Gothic" w:hAnsi="Century Gothic"/>
          <w:sz w:val="22"/>
          <w:szCs w:val="22"/>
        </w:rPr>
        <w:t xml:space="preserve"> y el </w:t>
      </w:r>
      <w:r w:rsidR="005051FE">
        <w:rPr>
          <w:rFonts w:ascii="Century Gothic" w:hAnsi="Century Gothic"/>
          <w:sz w:val="22"/>
          <w:szCs w:val="22"/>
        </w:rPr>
        <w:t>24</w:t>
      </w:r>
      <w:r>
        <w:rPr>
          <w:rFonts w:ascii="Century Gothic" w:hAnsi="Century Gothic"/>
          <w:sz w:val="22"/>
          <w:szCs w:val="22"/>
        </w:rPr>
        <w:t xml:space="preserve"> de </w:t>
      </w:r>
      <w:r w:rsidR="005051FE">
        <w:rPr>
          <w:rFonts w:ascii="Century Gothic" w:hAnsi="Century Gothic"/>
          <w:sz w:val="22"/>
          <w:szCs w:val="22"/>
        </w:rPr>
        <w:t xml:space="preserve">octubre </w:t>
      </w:r>
      <w:r>
        <w:rPr>
          <w:rFonts w:ascii="Century Gothic" w:hAnsi="Century Gothic"/>
          <w:sz w:val="22"/>
          <w:szCs w:val="22"/>
        </w:rPr>
        <w:t xml:space="preserve">de 2005, por el cual se notificó la resolución </w:t>
      </w:r>
      <w:r w:rsidR="005051FE">
        <w:rPr>
          <w:rFonts w:ascii="Century Gothic" w:hAnsi="Century Gothic"/>
          <w:sz w:val="22"/>
          <w:szCs w:val="22"/>
        </w:rPr>
        <w:t xml:space="preserve">6057 </w:t>
      </w:r>
      <w:r>
        <w:rPr>
          <w:rFonts w:ascii="Century Gothic" w:hAnsi="Century Gothic"/>
          <w:sz w:val="22"/>
          <w:szCs w:val="22"/>
        </w:rPr>
        <w:t xml:space="preserve">de 2005, </w:t>
      </w:r>
      <w:r w:rsidR="00547BF4">
        <w:rPr>
          <w:rFonts w:ascii="Century Gothic" w:hAnsi="Century Gothic"/>
          <w:sz w:val="22"/>
          <w:szCs w:val="22"/>
        </w:rPr>
        <w:t xml:space="preserve">ante la renuencia a presentarse </w:t>
      </w:r>
      <w:r w:rsidR="00C029BB">
        <w:rPr>
          <w:rFonts w:ascii="Century Gothic" w:hAnsi="Century Gothic"/>
          <w:sz w:val="22"/>
          <w:szCs w:val="22"/>
        </w:rPr>
        <w:t>de</w:t>
      </w:r>
      <w:r w:rsidR="00547BF4">
        <w:rPr>
          <w:rFonts w:ascii="Century Gothic" w:hAnsi="Century Gothic"/>
          <w:sz w:val="22"/>
          <w:szCs w:val="22"/>
        </w:rPr>
        <w:t xml:space="preserve"> forma personal de los representantes</w:t>
      </w:r>
      <w:r>
        <w:rPr>
          <w:rFonts w:ascii="Century Gothic" w:hAnsi="Century Gothic"/>
          <w:sz w:val="22"/>
          <w:szCs w:val="22"/>
        </w:rPr>
        <w:t xml:space="preserve"> legal</w:t>
      </w:r>
      <w:r w:rsidR="00547BF4">
        <w:rPr>
          <w:rFonts w:ascii="Century Gothic" w:hAnsi="Century Gothic"/>
          <w:sz w:val="22"/>
          <w:szCs w:val="22"/>
        </w:rPr>
        <w:t>es</w:t>
      </w:r>
      <w:r>
        <w:rPr>
          <w:rFonts w:ascii="Century Gothic" w:hAnsi="Century Gothic"/>
          <w:sz w:val="22"/>
          <w:szCs w:val="22"/>
        </w:rPr>
        <w:t xml:space="preserve"> de CONFIANZA S.A.</w:t>
      </w:r>
      <w:r w:rsidR="005051FE">
        <w:rPr>
          <w:rFonts w:ascii="Century Gothic" w:hAnsi="Century Gothic"/>
          <w:sz w:val="22"/>
          <w:szCs w:val="22"/>
        </w:rPr>
        <w:t xml:space="preserve"> y CONCIVILES S.A.</w:t>
      </w:r>
      <w:r>
        <w:rPr>
          <w:rFonts w:ascii="Century Gothic" w:hAnsi="Century Gothic"/>
          <w:sz w:val="22"/>
          <w:szCs w:val="22"/>
        </w:rPr>
        <w:t xml:space="preserve"> (</w:t>
      </w:r>
      <w:proofErr w:type="spellStart"/>
      <w:r>
        <w:rPr>
          <w:rFonts w:ascii="Century Gothic" w:hAnsi="Century Gothic"/>
          <w:sz w:val="22"/>
          <w:szCs w:val="22"/>
        </w:rPr>
        <w:t>fls</w:t>
      </w:r>
      <w:proofErr w:type="spellEnd"/>
      <w:r>
        <w:rPr>
          <w:rFonts w:ascii="Century Gothic" w:hAnsi="Century Gothic"/>
          <w:sz w:val="22"/>
          <w:szCs w:val="22"/>
        </w:rPr>
        <w:t xml:space="preserve">. </w:t>
      </w:r>
      <w:r w:rsidR="005051FE">
        <w:rPr>
          <w:rFonts w:ascii="Century Gothic" w:hAnsi="Century Gothic"/>
          <w:sz w:val="22"/>
          <w:szCs w:val="22"/>
        </w:rPr>
        <w:t>192</w:t>
      </w:r>
      <w:r>
        <w:rPr>
          <w:rFonts w:ascii="Century Gothic" w:hAnsi="Century Gothic"/>
          <w:sz w:val="22"/>
          <w:szCs w:val="22"/>
        </w:rPr>
        <w:t xml:space="preserve"> y </w:t>
      </w:r>
      <w:r w:rsidR="005051FE">
        <w:rPr>
          <w:rFonts w:ascii="Century Gothic" w:hAnsi="Century Gothic"/>
          <w:sz w:val="22"/>
          <w:szCs w:val="22"/>
        </w:rPr>
        <w:t>193</w:t>
      </w:r>
      <w:r>
        <w:rPr>
          <w:rFonts w:ascii="Century Gothic" w:hAnsi="Century Gothic"/>
          <w:sz w:val="22"/>
          <w:szCs w:val="22"/>
        </w:rPr>
        <w:t xml:space="preserve"> C. Pruebas).</w:t>
      </w:r>
    </w:p>
    <w:p w14:paraId="0B36A20D" w14:textId="77777777" w:rsidR="00DA73E8" w:rsidRDefault="00DA73E8" w:rsidP="005051FE">
      <w:pPr>
        <w:jc w:val="both"/>
        <w:rPr>
          <w:rFonts w:ascii="Century Gothic" w:hAnsi="Century Gothic"/>
          <w:sz w:val="22"/>
          <w:szCs w:val="22"/>
        </w:rPr>
      </w:pPr>
    </w:p>
    <w:p w14:paraId="49F381A9" w14:textId="77777777" w:rsidR="005051FE" w:rsidRDefault="005051FE" w:rsidP="00CC039C">
      <w:pPr>
        <w:numPr>
          <w:ilvl w:val="0"/>
          <w:numId w:val="1"/>
        </w:numPr>
        <w:jc w:val="both"/>
        <w:rPr>
          <w:rFonts w:ascii="Century Gothic" w:hAnsi="Century Gothic"/>
          <w:sz w:val="22"/>
          <w:szCs w:val="22"/>
        </w:rPr>
      </w:pPr>
      <w:r>
        <w:rPr>
          <w:rFonts w:ascii="Century Gothic" w:hAnsi="Century Gothic"/>
          <w:sz w:val="22"/>
          <w:szCs w:val="22"/>
        </w:rPr>
        <w:t>Copia</w:t>
      </w:r>
      <w:r w:rsidR="009A433D">
        <w:rPr>
          <w:rFonts w:ascii="Century Gothic" w:hAnsi="Century Gothic"/>
          <w:sz w:val="22"/>
          <w:szCs w:val="22"/>
        </w:rPr>
        <w:t xml:space="preserve"> auténtica d</w:t>
      </w:r>
      <w:r>
        <w:rPr>
          <w:rFonts w:ascii="Century Gothic" w:hAnsi="Century Gothic"/>
          <w:sz w:val="22"/>
          <w:szCs w:val="22"/>
        </w:rPr>
        <w:t xml:space="preserve">e la constancia de ejecutoria de la resolución 1999 del 28 de abril de 2005, expedida por la </w:t>
      </w:r>
      <w:r w:rsidR="00580F3B">
        <w:rPr>
          <w:rFonts w:ascii="Century Gothic" w:hAnsi="Century Gothic"/>
          <w:sz w:val="22"/>
          <w:szCs w:val="22"/>
        </w:rPr>
        <w:t>Subdirectora Técnica de Contrat</w:t>
      </w:r>
      <w:r>
        <w:rPr>
          <w:rFonts w:ascii="Century Gothic" w:hAnsi="Century Gothic"/>
          <w:sz w:val="22"/>
          <w:szCs w:val="22"/>
        </w:rPr>
        <w:t>os y Convenios del IDU</w:t>
      </w:r>
      <w:r w:rsidR="00CA1B9B">
        <w:rPr>
          <w:rFonts w:ascii="Century Gothic" w:hAnsi="Century Gothic"/>
          <w:sz w:val="22"/>
          <w:szCs w:val="22"/>
        </w:rPr>
        <w:t xml:space="preserve">, según la cual dicho acto administrativo quedó en firme el 25 de octubre de 2005 </w:t>
      </w:r>
      <w:r>
        <w:rPr>
          <w:rFonts w:ascii="Century Gothic" w:hAnsi="Century Gothic"/>
          <w:sz w:val="22"/>
          <w:szCs w:val="22"/>
        </w:rPr>
        <w:t>(</w:t>
      </w:r>
      <w:proofErr w:type="spellStart"/>
      <w:r>
        <w:rPr>
          <w:rFonts w:ascii="Century Gothic" w:hAnsi="Century Gothic"/>
          <w:sz w:val="22"/>
          <w:szCs w:val="22"/>
        </w:rPr>
        <w:t>fl</w:t>
      </w:r>
      <w:proofErr w:type="spellEnd"/>
      <w:r>
        <w:rPr>
          <w:rFonts w:ascii="Century Gothic" w:hAnsi="Century Gothic"/>
          <w:sz w:val="22"/>
          <w:szCs w:val="22"/>
        </w:rPr>
        <w:t>. 196 C. Pruebas).</w:t>
      </w:r>
    </w:p>
    <w:p w14:paraId="1DC203AE" w14:textId="77777777" w:rsidR="0095621F" w:rsidRDefault="0095621F" w:rsidP="0095621F">
      <w:pPr>
        <w:pStyle w:val="Prrafodelista"/>
        <w:rPr>
          <w:rFonts w:ascii="Century Gothic" w:hAnsi="Century Gothic"/>
          <w:sz w:val="22"/>
        </w:rPr>
      </w:pPr>
    </w:p>
    <w:p w14:paraId="3713ECC0" w14:textId="77777777" w:rsidR="0095621F" w:rsidRDefault="0095621F" w:rsidP="00CC039C">
      <w:pPr>
        <w:numPr>
          <w:ilvl w:val="0"/>
          <w:numId w:val="1"/>
        </w:numPr>
        <w:jc w:val="both"/>
        <w:rPr>
          <w:rFonts w:ascii="Century Gothic" w:hAnsi="Century Gothic"/>
          <w:sz w:val="22"/>
          <w:szCs w:val="22"/>
        </w:rPr>
      </w:pPr>
      <w:r>
        <w:rPr>
          <w:rFonts w:ascii="Century Gothic" w:hAnsi="Century Gothic"/>
          <w:sz w:val="22"/>
          <w:szCs w:val="22"/>
        </w:rPr>
        <w:t>Copia</w:t>
      </w:r>
      <w:r w:rsidR="009A433D">
        <w:rPr>
          <w:rFonts w:ascii="Century Gothic" w:hAnsi="Century Gothic"/>
          <w:sz w:val="22"/>
          <w:szCs w:val="22"/>
        </w:rPr>
        <w:t xml:space="preserve"> auténtica</w:t>
      </w:r>
      <w:r>
        <w:rPr>
          <w:rFonts w:ascii="Century Gothic" w:hAnsi="Century Gothic"/>
          <w:sz w:val="22"/>
          <w:szCs w:val="22"/>
        </w:rPr>
        <w:t xml:space="preserve"> de la resolución 8396 del 16 de diciembre de 2005, por medio de la cual el Instituto de Desarrollo Urbano resolvió (</w:t>
      </w:r>
      <w:proofErr w:type="spellStart"/>
      <w:r>
        <w:rPr>
          <w:rFonts w:ascii="Century Gothic" w:hAnsi="Century Gothic"/>
          <w:sz w:val="22"/>
          <w:szCs w:val="22"/>
        </w:rPr>
        <w:t>fls</w:t>
      </w:r>
      <w:proofErr w:type="spellEnd"/>
      <w:r>
        <w:rPr>
          <w:rFonts w:ascii="Century Gothic" w:hAnsi="Century Gothic"/>
          <w:sz w:val="22"/>
          <w:szCs w:val="22"/>
        </w:rPr>
        <w:t>. 199 a 201 C. Pruebas):</w:t>
      </w:r>
    </w:p>
    <w:p w14:paraId="126E409E" w14:textId="77777777" w:rsidR="0095621F" w:rsidRDefault="0095621F" w:rsidP="0095621F">
      <w:pPr>
        <w:pStyle w:val="Prrafodelista"/>
        <w:rPr>
          <w:rFonts w:ascii="Century Gothic" w:hAnsi="Century Gothic"/>
          <w:sz w:val="22"/>
        </w:rPr>
      </w:pPr>
    </w:p>
    <w:p w14:paraId="2AB1B016" w14:textId="77777777" w:rsidR="0095621F" w:rsidRDefault="0095621F" w:rsidP="0095621F">
      <w:pPr>
        <w:ind w:left="1416"/>
        <w:jc w:val="both"/>
        <w:rPr>
          <w:rFonts w:ascii="Century Gothic" w:hAnsi="Century Gothic"/>
          <w:sz w:val="22"/>
          <w:szCs w:val="22"/>
          <w:lang w:val="es-ES_tradnl"/>
        </w:rPr>
      </w:pPr>
      <w:r>
        <w:rPr>
          <w:rFonts w:ascii="Century Gothic" w:hAnsi="Century Gothic"/>
          <w:sz w:val="22"/>
          <w:szCs w:val="22"/>
          <w:lang w:val="es-ES_tradnl"/>
        </w:rPr>
        <w:t>“</w:t>
      </w:r>
      <w:r w:rsidRPr="0095621F">
        <w:rPr>
          <w:rFonts w:ascii="Century Gothic" w:hAnsi="Century Gothic"/>
          <w:i/>
          <w:sz w:val="22"/>
          <w:szCs w:val="22"/>
          <w:lang w:val="es-ES_tradnl"/>
        </w:rPr>
        <w:t xml:space="preserve">ARTÍCULO PRIMERO: Revocar parcialmente el artículo segundo de la Resolución 1999 de abril 28 de 2005 (…) y corregir la cifra en letras, que para los efectos de la suma por la cual se hizo efectiva la garantía, a favor del Instituto de Desarrollo Urbano, corresponde a CUATRO MIL OCHOCIENTOS VEINTIDÓS MILLONES DOSCIENTOS MIL PESOS MONEDA CORRIENTE, el cual quedará así: ‘ARTICULO (sic) SEGUNDO: Ordenar que dicha garantía se haga efectiva, a favor del Instituto de Desarrollo Urbano IDU, por un monto igual a CUATRO MIL OCHOCIENTOS VEINTIDÓS MILLONES DOSCIENTOS MIL PESOS MONEDA CORRIENTE ($4.822’200.000.oo), con cargo a la Garantía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 xml:space="preserve">Única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 xml:space="preserve">de Cumplimiento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Pr="0095621F">
        <w:rPr>
          <w:rFonts w:ascii="Century Gothic" w:hAnsi="Century Gothic"/>
          <w:i/>
          <w:sz w:val="22"/>
          <w:szCs w:val="22"/>
          <w:lang w:val="es-ES_tradnl"/>
        </w:rPr>
        <w:t>mencionada en el artículo anterior, una vez que se encuentre en firme el presente acto administrativo</w:t>
      </w:r>
      <w:r w:rsidR="00F85D27">
        <w:rPr>
          <w:rFonts w:ascii="Century Gothic" w:hAnsi="Century Gothic"/>
          <w:i/>
          <w:sz w:val="22"/>
          <w:szCs w:val="22"/>
          <w:lang w:val="es-ES_tradnl"/>
        </w:rPr>
        <w:t>’</w:t>
      </w:r>
      <w:r>
        <w:rPr>
          <w:rFonts w:ascii="Century Gothic" w:hAnsi="Century Gothic"/>
          <w:sz w:val="22"/>
          <w:szCs w:val="22"/>
          <w:lang w:val="es-ES_tradnl"/>
        </w:rPr>
        <w:t xml:space="preserve">”. </w:t>
      </w:r>
    </w:p>
    <w:p w14:paraId="7DBD08CA" w14:textId="77777777" w:rsidR="00CA1B9B" w:rsidRDefault="00CA1B9B" w:rsidP="00CA1B9B">
      <w:pPr>
        <w:jc w:val="both"/>
        <w:rPr>
          <w:rFonts w:ascii="Century Gothic" w:hAnsi="Century Gothic"/>
          <w:sz w:val="22"/>
          <w:szCs w:val="22"/>
          <w:lang w:val="es-ES_tradnl"/>
        </w:rPr>
      </w:pPr>
    </w:p>
    <w:p w14:paraId="5807348D" w14:textId="77777777" w:rsidR="00CA1B9B" w:rsidRPr="00D17B47" w:rsidRDefault="00CA1B9B" w:rsidP="00CC039C">
      <w:pPr>
        <w:numPr>
          <w:ilvl w:val="0"/>
          <w:numId w:val="3"/>
        </w:numPr>
        <w:jc w:val="both"/>
        <w:rPr>
          <w:rFonts w:ascii="Century Gothic" w:hAnsi="Century Gothic"/>
          <w:sz w:val="22"/>
          <w:szCs w:val="22"/>
          <w:lang w:val="es-ES_tradnl"/>
        </w:rPr>
      </w:pPr>
      <w:r>
        <w:rPr>
          <w:rFonts w:ascii="Century Gothic" w:hAnsi="Century Gothic"/>
          <w:sz w:val="22"/>
          <w:szCs w:val="22"/>
          <w:lang w:val="es-ES_tradnl"/>
        </w:rPr>
        <w:t xml:space="preserve">Copia auténtica del oficio del 19 de enero de 2006, por medio del cual el IDU le comunica a </w:t>
      </w:r>
      <w:r w:rsidR="00D17B47">
        <w:rPr>
          <w:rFonts w:ascii="Century Gothic" w:hAnsi="Century Gothic"/>
          <w:sz w:val="22"/>
          <w:szCs w:val="22"/>
          <w:lang w:val="es-ES_tradnl"/>
        </w:rPr>
        <w:t>CONCIVILES</w:t>
      </w:r>
      <w:r>
        <w:rPr>
          <w:rFonts w:ascii="Century Gothic" w:hAnsi="Century Gothic"/>
          <w:sz w:val="22"/>
          <w:szCs w:val="22"/>
          <w:lang w:val="es-ES_tradnl"/>
        </w:rPr>
        <w:t xml:space="preserve"> S.A. la expedición de la resolución </w:t>
      </w:r>
      <w:r>
        <w:rPr>
          <w:rFonts w:ascii="Century Gothic" w:hAnsi="Century Gothic"/>
          <w:sz w:val="22"/>
          <w:szCs w:val="22"/>
        </w:rPr>
        <w:t>8396 del 16 de diciembre de 2005</w:t>
      </w:r>
      <w:r w:rsidR="00D17B47">
        <w:rPr>
          <w:rFonts w:ascii="Century Gothic" w:hAnsi="Century Gothic"/>
          <w:sz w:val="22"/>
          <w:szCs w:val="22"/>
        </w:rPr>
        <w:t xml:space="preserve">, en el cual consta sello de </w:t>
      </w:r>
      <w:r w:rsidR="006F1689">
        <w:rPr>
          <w:rFonts w:ascii="Century Gothic" w:hAnsi="Century Gothic"/>
          <w:sz w:val="22"/>
          <w:szCs w:val="22"/>
        </w:rPr>
        <w:t>recibido</w:t>
      </w:r>
      <w:r w:rsidR="00D17B47">
        <w:rPr>
          <w:rFonts w:ascii="Century Gothic" w:hAnsi="Century Gothic"/>
          <w:sz w:val="22"/>
          <w:szCs w:val="22"/>
        </w:rPr>
        <w:t xml:space="preserve"> de correspondencia (</w:t>
      </w:r>
      <w:proofErr w:type="spellStart"/>
      <w:r w:rsidR="00D17B47">
        <w:rPr>
          <w:rFonts w:ascii="Century Gothic" w:hAnsi="Century Gothic"/>
          <w:sz w:val="22"/>
          <w:szCs w:val="22"/>
        </w:rPr>
        <w:t>fl</w:t>
      </w:r>
      <w:proofErr w:type="spellEnd"/>
      <w:r w:rsidR="00D17B47">
        <w:rPr>
          <w:rFonts w:ascii="Century Gothic" w:hAnsi="Century Gothic"/>
          <w:sz w:val="22"/>
          <w:szCs w:val="22"/>
        </w:rPr>
        <w:t>. 202 C. Pruebas).</w:t>
      </w:r>
    </w:p>
    <w:p w14:paraId="2777F923" w14:textId="77777777" w:rsidR="00D17B47" w:rsidRPr="00D17B47" w:rsidRDefault="00D17B47" w:rsidP="00D17B47">
      <w:pPr>
        <w:ind w:left="720"/>
        <w:jc w:val="both"/>
        <w:rPr>
          <w:rFonts w:ascii="Century Gothic" w:hAnsi="Century Gothic"/>
          <w:sz w:val="22"/>
          <w:szCs w:val="22"/>
          <w:lang w:val="es-ES_tradnl"/>
        </w:rPr>
      </w:pPr>
    </w:p>
    <w:p w14:paraId="409D8D7B" w14:textId="77777777" w:rsidR="00D17B47" w:rsidRDefault="00D17B47" w:rsidP="00CC039C">
      <w:pPr>
        <w:numPr>
          <w:ilvl w:val="0"/>
          <w:numId w:val="3"/>
        </w:numPr>
        <w:jc w:val="both"/>
        <w:rPr>
          <w:rFonts w:ascii="Century Gothic" w:hAnsi="Century Gothic"/>
          <w:sz w:val="22"/>
          <w:szCs w:val="22"/>
          <w:lang w:val="es-ES_tradnl"/>
        </w:rPr>
      </w:pPr>
      <w:r>
        <w:rPr>
          <w:rFonts w:ascii="Century Gothic" w:hAnsi="Century Gothic"/>
          <w:sz w:val="22"/>
          <w:szCs w:val="22"/>
          <w:lang w:val="es-ES_tradnl"/>
        </w:rPr>
        <w:t xml:space="preserve">Copia auténtica del oficio del 19 de enero de 2006, por medio del cual el IDU le comunica a CONFIANZA S.A. la expedición de la resolución </w:t>
      </w:r>
      <w:r>
        <w:rPr>
          <w:rFonts w:ascii="Century Gothic" w:hAnsi="Century Gothic"/>
          <w:sz w:val="22"/>
          <w:szCs w:val="22"/>
        </w:rPr>
        <w:t xml:space="preserve">8396 del 16 de diciembre de 2005, en el cual consta sello de </w:t>
      </w:r>
      <w:r w:rsidR="006F1689">
        <w:rPr>
          <w:rFonts w:ascii="Century Gothic" w:hAnsi="Century Gothic"/>
          <w:sz w:val="22"/>
          <w:szCs w:val="22"/>
        </w:rPr>
        <w:t>recibido</w:t>
      </w:r>
      <w:r>
        <w:rPr>
          <w:rFonts w:ascii="Century Gothic" w:hAnsi="Century Gothic"/>
          <w:sz w:val="22"/>
          <w:szCs w:val="22"/>
        </w:rPr>
        <w:t xml:space="preserve"> de correspondencia (</w:t>
      </w:r>
      <w:proofErr w:type="spellStart"/>
      <w:r>
        <w:rPr>
          <w:rFonts w:ascii="Century Gothic" w:hAnsi="Century Gothic"/>
          <w:sz w:val="22"/>
          <w:szCs w:val="22"/>
        </w:rPr>
        <w:t>fl</w:t>
      </w:r>
      <w:proofErr w:type="spellEnd"/>
      <w:r>
        <w:rPr>
          <w:rFonts w:ascii="Century Gothic" w:hAnsi="Century Gothic"/>
          <w:sz w:val="22"/>
          <w:szCs w:val="22"/>
        </w:rPr>
        <w:t>. 202 C. Pruebas).</w:t>
      </w:r>
    </w:p>
    <w:p w14:paraId="77497262" w14:textId="77777777" w:rsidR="00D17B47" w:rsidRDefault="00D17B47" w:rsidP="00D17B47">
      <w:pPr>
        <w:ind w:left="720"/>
        <w:jc w:val="both"/>
        <w:rPr>
          <w:rFonts w:ascii="Century Gothic" w:hAnsi="Century Gothic"/>
          <w:sz w:val="22"/>
          <w:szCs w:val="22"/>
          <w:lang w:val="es-ES_tradnl"/>
        </w:rPr>
      </w:pPr>
    </w:p>
    <w:p w14:paraId="57B61D79" w14:textId="77777777" w:rsidR="0095621F" w:rsidRDefault="0095621F" w:rsidP="00CC039C">
      <w:pPr>
        <w:numPr>
          <w:ilvl w:val="0"/>
          <w:numId w:val="1"/>
        </w:numPr>
        <w:jc w:val="both"/>
        <w:rPr>
          <w:rFonts w:ascii="Century Gothic" w:hAnsi="Century Gothic"/>
          <w:sz w:val="22"/>
          <w:szCs w:val="22"/>
        </w:rPr>
      </w:pPr>
      <w:r>
        <w:rPr>
          <w:rFonts w:ascii="Century Gothic" w:hAnsi="Century Gothic"/>
          <w:sz w:val="22"/>
          <w:szCs w:val="22"/>
          <w:lang w:val="es-ES_tradnl"/>
        </w:rPr>
        <w:t xml:space="preserve">Copia </w:t>
      </w:r>
      <w:r w:rsidR="009A433D">
        <w:rPr>
          <w:rFonts w:ascii="Century Gothic" w:hAnsi="Century Gothic"/>
          <w:sz w:val="22"/>
          <w:szCs w:val="22"/>
        </w:rPr>
        <w:t xml:space="preserve">auténtica </w:t>
      </w:r>
      <w:r>
        <w:rPr>
          <w:rFonts w:ascii="Century Gothic" w:hAnsi="Century Gothic"/>
          <w:sz w:val="22"/>
          <w:szCs w:val="22"/>
          <w:lang w:val="es-ES_tradnl"/>
        </w:rPr>
        <w:t xml:space="preserve">de la resolución 2218 del 15 de junio de 2006, por medio de la cual </w:t>
      </w:r>
      <w:r>
        <w:rPr>
          <w:rFonts w:ascii="Century Gothic" w:hAnsi="Century Gothic"/>
          <w:sz w:val="22"/>
          <w:szCs w:val="22"/>
        </w:rPr>
        <w:t>el Instituto de Desarrollo Urbano resolvió (</w:t>
      </w:r>
      <w:proofErr w:type="spellStart"/>
      <w:r>
        <w:rPr>
          <w:rFonts w:ascii="Century Gothic" w:hAnsi="Century Gothic"/>
          <w:sz w:val="22"/>
          <w:szCs w:val="22"/>
        </w:rPr>
        <w:t>fls</w:t>
      </w:r>
      <w:proofErr w:type="spellEnd"/>
      <w:r>
        <w:rPr>
          <w:rFonts w:ascii="Century Gothic" w:hAnsi="Century Gothic"/>
          <w:sz w:val="22"/>
          <w:szCs w:val="22"/>
        </w:rPr>
        <w:t>. 205 y 206 C. Pruebas):</w:t>
      </w:r>
    </w:p>
    <w:p w14:paraId="00959F2D" w14:textId="77777777" w:rsidR="0095621F" w:rsidRDefault="0095621F" w:rsidP="0095621F">
      <w:pPr>
        <w:jc w:val="both"/>
        <w:rPr>
          <w:rFonts w:ascii="Century Gothic" w:hAnsi="Century Gothic"/>
          <w:sz w:val="22"/>
          <w:szCs w:val="22"/>
        </w:rPr>
      </w:pPr>
    </w:p>
    <w:p w14:paraId="07082A43" w14:textId="77777777" w:rsidR="0095621F" w:rsidRDefault="0095621F" w:rsidP="0095621F">
      <w:pPr>
        <w:ind w:left="1416"/>
        <w:jc w:val="both"/>
        <w:rPr>
          <w:rFonts w:ascii="Century Gothic" w:hAnsi="Century Gothic"/>
          <w:sz w:val="22"/>
          <w:szCs w:val="22"/>
        </w:rPr>
      </w:pPr>
      <w:r>
        <w:rPr>
          <w:rFonts w:ascii="Century Gothic" w:hAnsi="Century Gothic"/>
          <w:sz w:val="22"/>
          <w:szCs w:val="22"/>
        </w:rPr>
        <w:t xml:space="preserve">“ARTÍCULO PRIMERO: Revocar parcialmente el artículo primero de la resolución No 6057 de septiembre 15 de 2005, el cual quedará así: ‘Confirmar en todas sus partes la resolución 1999 del 28 de abril de </w:t>
      </w:r>
      <w:r>
        <w:rPr>
          <w:rFonts w:ascii="Century Gothic" w:hAnsi="Century Gothic"/>
          <w:sz w:val="22"/>
          <w:szCs w:val="22"/>
        </w:rPr>
        <w:lastRenderedPageBreak/>
        <w:t xml:space="preserve">2005, por medio de la cual </w:t>
      </w:r>
      <w:r w:rsidR="0061559D">
        <w:rPr>
          <w:rFonts w:ascii="Century Gothic" w:hAnsi="Century Gothic"/>
          <w:sz w:val="22"/>
          <w:szCs w:val="22"/>
        </w:rPr>
        <w:t xml:space="preserve">‘Se declara la ocurrencia de un siniestro y se hace efectiva la Garantía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0061559D">
        <w:rPr>
          <w:rFonts w:ascii="Century Gothic" w:hAnsi="Century Gothic"/>
          <w:sz w:val="22"/>
          <w:szCs w:val="22"/>
        </w:rPr>
        <w:t xml:space="preserve">Única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0061559D">
        <w:rPr>
          <w:rFonts w:ascii="Century Gothic" w:hAnsi="Century Gothic"/>
          <w:sz w:val="22"/>
          <w:szCs w:val="22"/>
        </w:rPr>
        <w:t xml:space="preserve">de Cumplimiento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 xml:space="preserve"> </w:t>
      </w:r>
      <w:r w:rsidR="0061559D">
        <w:rPr>
          <w:rFonts w:ascii="Century Gothic" w:hAnsi="Century Gothic"/>
          <w:sz w:val="22"/>
          <w:szCs w:val="22"/>
        </w:rPr>
        <w:t>en el amparo de Estabilidad</w:t>
      </w:r>
      <w:r w:rsidR="00F85D27">
        <w:rPr>
          <w:rFonts w:ascii="Century Gothic" w:hAnsi="Century Gothic"/>
          <w:sz w:val="22"/>
          <w:szCs w:val="22"/>
        </w:rPr>
        <w:t xml:space="preserve"> </w:t>
      </w:r>
      <w:r w:rsidR="00F85D27" w:rsidRPr="00F85D27">
        <w:rPr>
          <w:rFonts w:ascii="Century Gothic" w:hAnsi="Century Gothic"/>
          <w:sz w:val="22"/>
          <w:szCs w:val="22"/>
          <w:lang w:val="es-ES_tradnl"/>
        </w:rPr>
        <w:t>(sic)</w:t>
      </w:r>
      <w:r w:rsidR="00F85D27">
        <w:rPr>
          <w:rFonts w:ascii="Century Gothic" w:hAnsi="Century Gothic"/>
          <w:sz w:val="22"/>
          <w:szCs w:val="22"/>
          <w:lang w:val="es-ES_tradnl"/>
        </w:rPr>
        <w:t>’</w:t>
      </w:r>
      <w:r w:rsidR="0061559D">
        <w:rPr>
          <w:rFonts w:ascii="Century Gothic" w:hAnsi="Century Gothic"/>
          <w:sz w:val="22"/>
          <w:szCs w:val="22"/>
        </w:rPr>
        <w:t>, contenida en la póliza No. 1141035, expedida por la COMPAÑÍA ASEGURADORA DE FIANZAS CONFIANZA S.A., vigente hasta el 20 de marzo de 2007, con ocasión del contrato No. 403 de 2000, suscrito entre el IDU y CONCIVILES S.A.</w:t>
      </w:r>
      <w:r w:rsidR="00832F5C">
        <w:rPr>
          <w:rFonts w:ascii="Century Gothic" w:hAnsi="Century Gothic"/>
          <w:sz w:val="22"/>
          <w:szCs w:val="22"/>
        </w:rPr>
        <w:t>”</w:t>
      </w:r>
      <w:r w:rsidR="00832F5C">
        <w:rPr>
          <w:rStyle w:val="Refdenotaalpie"/>
          <w:rFonts w:ascii="Century Gothic" w:hAnsi="Century Gothic"/>
          <w:sz w:val="22"/>
          <w:szCs w:val="22"/>
          <w:lang w:val="es-ES_tradnl"/>
        </w:rPr>
        <w:footnoteReference w:id="6"/>
      </w:r>
      <w:r w:rsidR="0061559D">
        <w:rPr>
          <w:rFonts w:ascii="Century Gothic" w:hAnsi="Century Gothic"/>
          <w:sz w:val="22"/>
          <w:szCs w:val="22"/>
        </w:rPr>
        <w:t>.</w:t>
      </w:r>
    </w:p>
    <w:p w14:paraId="5F4A068F" w14:textId="77777777" w:rsidR="00026559" w:rsidRDefault="00026559" w:rsidP="006013C6">
      <w:pPr>
        <w:spacing w:line="360" w:lineRule="auto"/>
        <w:ind w:left="1416"/>
        <w:jc w:val="both"/>
        <w:rPr>
          <w:rFonts w:ascii="Century Gothic" w:hAnsi="Century Gothic"/>
          <w:sz w:val="22"/>
          <w:szCs w:val="22"/>
        </w:rPr>
      </w:pPr>
    </w:p>
    <w:p w14:paraId="35EA8676" w14:textId="77777777" w:rsidR="00C14D77" w:rsidRDefault="00C029BB" w:rsidP="00026559">
      <w:pPr>
        <w:spacing w:line="360" w:lineRule="auto"/>
        <w:jc w:val="both"/>
        <w:rPr>
          <w:rFonts w:ascii="Century Gothic" w:hAnsi="Century Gothic"/>
          <w:sz w:val="22"/>
          <w:szCs w:val="22"/>
        </w:rPr>
      </w:pPr>
      <w:r>
        <w:rPr>
          <w:rFonts w:ascii="Century Gothic" w:hAnsi="Century Gothic"/>
          <w:sz w:val="22"/>
          <w:szCs w:val="22"/>
        </w:rPr>
        <w:t>Pues bien</w:t>
      </w:r>
      <w:r w:rsidR="00C14D77">
        <w:rPr>
          <w:rFonts w:ascii="Century Gothic" w:hAnsi="Century Gothic"/>
          <w:sz w:val="22"/>
          <w:szCs w:val="22"/>
        </w:rPr>
        <w:t xml:space="preserve">, </w:t>
      </w:r>
      <w:r w:rsidR="00F85D27">
        <w:rPr>
          <w:rFonts w:ascii="Century Gothic" w:hAnsi="Century Gothic"/>
          <w:sz w:val="22"/>
          <w:szCs w:val="22"/>
        </w:rPr>
        <w:t xml:space="preserve">al analizar conjuntamente </w:t>
      </w:r>
      <w:r w:rsidR="00C14D77">
        <w:rPr>
          <w:rFonts w:ascii="Century Gothic" w:hAnsi="Century Gothic"/>
          <w:sz w:val="22"/>
          <w:szCs w:val="22"/>
        </w:rPr>
        <w:t xml:space="preserve">los documentos que obran </w:t>
      </w:r>
      <w:r w:rsidR="00F85D27">
        <w:rPr>
          <w:rFonts w:ascii="Century Gothic" w:hAnsi="Century Gothic"/>
          <w:sz w:val="22"/>
          <w:szCs w:val="22"/>
        </w:rPr>
        <w:t xml:space="preserve">en el </w:t>
      </w:r>
      <w:r w:rsidR="00711F9D">
        <w:rPr>
          <w:rFonts w:ascii="Century Gothic" w:hAnsi="Century Gothic"/>
          <w:sz w:val="22"/>
          <w:szCs w:val="22"/>
        </w:rPr>
        <w:t>proceso</w:t>
      </w:r>
      <w:r w:rsidR="00322185">
        <w:rPr>
          <w:rStyle w:val="Refdenotaalpie"/>
          <w:rFonts w:ascii="Century Gothic" w:hAnsi="Century Gothic"/>
          <w:sz w:val="22"/>
          <w:szCs w:val="22"/>
        </w:rPr>
        <w:footnoteReference w:id="7"/>
      </w:r>
      <w:r w:rsidR="00C14D77">
        <w:rPr>
          <w:rFonts w:ascii="Century Gothic" w:hAnsi="Century Gothic"/>
          <w:sz w:val="22"/>
          <w:szCs w:val="22"/>
        </w:rPr>
        <w:t xml:space="preserve">, concluye </w:t>
      </w:r>
      <w:r w:rsidR="00404EE0">
        <w:rPr>
          <w:rFonts w:ascii="Century Gothic" w:hAnsi="Century Gothic"/>
          <w:sz w:val="22"/>
          <w:szCs w:val="22"/>
        </w:rPr>
        <w:t>la Sala</w:t>
      </w:r>
      <w:r w:rsidR="00026559">
        <w:rPr>
          <w:rFonts w:ascii="Century Gothic" w:hAnsi="Century Gothic"/>
          <w:sz w:val="22"/>
          <w:szCs w:val="22"/>
        </w:rPr>
        <w:t xml:space="preserve"> que el título base de recaudo </w:t>
      </w:r>
      <w:r w:rsidR="00F85D27">
        <w:rPr>
          <w:rFonts w:ascii="Century Gothic" w:hAnsi="Century Gothic"/>
          <w:sz w:val="22"/>
          <w:szCs w:val="22"/>
        </w:rPr>
        <w:t xml:space="preserve">en el cual el IDU fundamenta sus pretensiones </w:t>
      </w:r>
      <w:r w:rsidR="00026559">
        <w:rPr>
          <w:rFonts w:ascii="Century Gothic" w:hAnsi="Century Gothic"/>
          <w:sz w:val="22"/>
          <w:szCs w:val="22"/>
        </w:rPr>
        <w:t>está debidamente conformado,</w:t>
      </w:r>
      <w:r w:rsidR="00C14D77">
        <w:rPr>
          <w:rFonts w:ascii="Century Gothic" w:hAnsi="Century Gothic"/>
          <w:sz w:val="22"/>
          <w:szCs w:val="22"/>
        </w:rPr>
        <w:t xml:space="preserve"> toda vez que</w:t>
      </w:r>
      <w:r w:rsidR="0074573E">
        <w:rPr>
          <w:rFonts w:ascii="Century Gothic" w:hAnsi="Century Gothic"/>
          <w:sz w:val="22"/>
          <w:szCs w:val="22"/>
        </w:rPr>
        <w:t xml:space="preserve"> la </w:t>
      </w:r>
      <w:r w:rsidR="00C14D77">
        <w:rPr>
          <w:rFonts w:ascii="Century Gothic" w:hAnsi="Century Gothic"/>
          <w:sz w:val="22"/>
          <w:szCs w:val="22"/>
        </w:rPr>
        <w:t xml:space="preserve">obligación </w:t>
      </w:r>
      <w:r w:rsidR="0074573E">
        <w:rPr>
          <w:rFonts w:ascii="Century Gothic" w:hAnsi="Century Gothic"/>
          <w:sz w:val="22"/>
          <w:szCs w:val="22"/>
        </w:rPr>
        <w:t xml:space="preserve">que de ellos se desprende, es </w:t>
      </w:r>
      <w:r w:rsidR="00C14D77">
        <w:rPr>
          <w:rFonts w:ascii="Century Gothic" w:hAnsi="Century Gothic"/>
          <w:sz w:val="22"/>
          <w:szCs w:val="22"/>
        </w:rPr>
        <w:t>clara</w:t>
      </w:r>
      <w:r w:rsidR="007B2BC2">
        <w:rPr>
          <w:rFonts w:ascii="Century Gothic" w:hAnsi="Century Gothic"/>
          <w:sz w:val="22"/>
          <w:szCs w:val="22"/>
        </w:rPr>
        <w:t>, expresa</w:t>
      </w:r>
      <w:r w:rsidR="00E275B4">
        <w:rPr>
          <w:rFonts w:ascii="Century Gothic" w:hAnsi="Century Gothic"/>
          <w:sz w:val="22"/>
          <w:szCs w:val="22"/>
        </w:rPr>
        <w:t xml:space="preserve"> y actualmente exigible</w:t>
      </w:r>
      <w:r w:rsidR="00D85522">
        <w:rPr>
          <w:rFonts w:ascii="Century Gothic" w:hAnsi="Century Gothic"/>
          <w:sz w:val="22"/>
          <w:szCs w:val="22"/>
        </w:rPr>
        <w:t>.</w:t>
      </w:r>
    </w:p>
    <w:p w14:paraId="01352B3F" w14:textId="77777777" w:rsidR="00C14D77" w:rsidRDefault="00C14D77" w:rsidP="00026559">
      <w:pPr>
        <w:spacing w:line="360" w:lineRule="auto"/>
        <w:jc w:val="both"/>
        <w:rPr>
          <w:rFonts w:ascii="Century Gothic" w:hAnsi="Century Gothic"/>
          <w:sz w:val="22"/>
          <w:szCs w:val="22"/>
        </w:rPr>
      </w:pPr>
    </w:p>
    <w:p w14:paraId="6FC8C336" w14:textId="77777777" w:rsidR="0082384A" w:rsidRDefault="00C14D77" w:rsidP="00026559">
      <w:pPr>
        <w:spacing w:line="360" w:lineRule="auto"/>
        <w:jc w:val="both"/>
        <w:rPr>
          <w:rFonts w:ascii="Century Gothic" w:hAnsi="Century Gothic"/>
          <w:sz w:val="22"/>
          <w:szCs w:val="22"/>
        </w:rPr>
      </w:pPr>
      <w:r w:rsidRPr="0082321E">
        <w:rPr>
          <w:rFonts w:ascii="Century Gothic" w:hAnsi="Century Gothic"/>
          <w:sz w:val="22"/>
          <w:szCs w:val="22"/>
        </w:rPr>
        <w:t>En efecto,</w:t>
      </w:r>
      <w:r w:rsidR="00AB0A0B" w:rsidRPr="0082321E">
        <w:rPr>
          <w:rFonts w:ascii="Century Gothic" w:hAnsi="Century Gothic"/>
          <w:sz w:val="22"/>
          <w:szCs w:val="22"/>
        </w:rPr>
        <w:t xml:space="preserve"> en la póliza de seguros GU01001141035 de 2000, CONFIANZA S.A. se oblig</w:t>
      </w:r>
      <w:r w:rsidR="0082321E" w:rsidRPr="0082321E">
        <w:rPr>
          <w:rFonts w:ascii="Century Gothic" w:hAnsi="Century Gothic"/>
          <w:sz w:val="22"/>
          <w:szCs w:val="22"/>
        </w:rPr>
        <w:t>ó a amparar</w:t>
      </w:r>
      <w:r w:rsidR="00AB0A0B" w:rsidRPr="0082321E">
        <w:rPr>
          <w:rFonts w:ascii="Century Gothic" w:hAnsi="Century Gothic"/>
          <w:sz w:val="22"/>
          <w:szCs w:val="22"/>
        </w:rPr>
        <w:t xml:space="preserve"> el incumplimiento en el que incurriera CONCIVILES S.A. </w:t>
      </w:r>
      <w:r w:rsidR="0074573E">
        <w:rPr>
          <w:rFonts w:ascii="Century Gothic" w:hAnsi="Century Gothic"/>
          <w:sz w:val="22"/>
          <w:szCs w:val="22"/>
        </w:rPr>
        <w:t>frente a</w:t>
      </w:r>
      <w:r w:rsidR="00AB0A0B" w:rsidRPr="0082321E">
        <w:rPr>
          <w:rFonts w:ascii="Century Gothic" w:hAnsi="Century Gothic"/>
          <w:sz w:val="22"/>
          <w:szCs w:val="22"/>
        </w:rPr>
        <w:t xml:space="preserve"> las obligaciones que le </w:t>
      </w:r>
      <w:r w:rsidR="0074573E">
        <w:rPr>
          <w:rFonts w:ascii="Century Gothic" w:hAnsi="Century Gothic"/>
          <w:sz w:val="22"/>
          <w:szCs w:val="22"/>
        </w:rPr>
        <w:t>correspondían</w:t>
      </w:r>
      <w:r w:rsidR="00AB0A0B" w:rsidRPr="0082321E">
        <w:rPr>
          <w:rFonts w:ascii="Century Gothic" w:hAnsi="Century Gothic"/>
          <w:sz w:val="22"/>
          <w:szCs w:val="22"/>
        </w:rPr>
        <w:t xml:space="preserve"> en razón del contrato de obra 403 de ese año</w:t>
      </w:r>
      <w:r w:rsidR="0082321E" w:rsidRPr="0082321E">
        <w:rPr>
          <w:rFonts w:ascii="Century Gothic" w:hAnsi="Century Gothic"/>
          <w:sz w:val="22"/>
          <w:szCs w:val="22"/>
        </w:rPr>
        <w:t>, riesgo que el IDU estimó ocurrido y, en consecuencia, decidió declarar su acaecimiento y hacer efectiva la garantía derivada de la aludida póliza de seguros</w:t>
      </w:r>
      <w:r w:rsidR="0082321E">
        <w:rPr>
          <w:rFonts w:ascii="Century Gothic" w:hAnsi="Century Gothic"/>
          <w:sz w:val="22"/>
          <w:szCs w:val="22"/>
        </w:rPr>
        <w:t xml:space="preserve">, </w:t>
      </w:r>
      <w:r w:rsidR="0074573E">
        <w:rPr>
          <w:rFonts w:ascii="Century Gothic" w:hAnsi="Century Gothic"/>
          <w:sz w:val="22"/>
          <w:szCs w:val="22"/>
        </w:rPr>
        <w:t xml:space="preserve">para lo cual expidió </w:t>
      </w:r>
      <w:r w:rsidR="0082321E" w:rsidRPr="0082321E">
        <w:rPr>
          <w:rFonts w:ascii="Century Gothic" w:hAnsi="Century Gothic"/>
          <w:sz w:val="22"/>
          <w:szCs w:val="22"/>
        </w:rPr>
        <w:t xml:space="preserve">la resolución 1999 de 2005, confirmada en su totalidad </w:t>
      </w:r>
      <w:r w:rsidR="0074573E">
        <w:rPr>
          <w:rFonts w:ascii="Century Gothic" w:hAnsi="Century Gothic"/>
          <w:sz w:val="22"/>
          <w:szCs w:val="22"/>
        </w:rPr>
        <w:t xml:space="preserve">mediante </w:t>
      </w:r>
      <w:r w:rsidR="0082321E" w:rsidRPr="0082321E">
        <w:rPr>
          <w:rFonts w:ascii="Century Gothic" w:hAnsi="Century Gothic"/>
          <w:sz w:val="22"/>
          <w:szCs w:val="22"/>
        </w:rPr>
        <w:t>la resolución 6057 de ese año.</w:t>
      </w:r>
    </w:p>
    <w:p w14:paraId="03F5D8B9" w14:textId="77777777" w:rsidR="0082321E" w:rsidRDefault="0082321E" w:rsidP="00026559">
      <w:pPr>
        <w:spacing w:line="360" w:lineRule="auto"/>
        <w:jc w:val="both"/>
        <w:rPr>
          <w:rFonts w:ascii="Century Gothic" w:hAnsi="Century Gothic"/>
          <w:sz w:val="22"/>
          <w:szCs w:val="22"/>
        </w:rPr>
      </w:pPr>
    </w:p>
    <w:p w14:paraId="0987D1A8" w14:textId="77777777" w:rsidR="007128C3" w:rsidRPr="009039B2" w:rsidRDefault="00317788" w:rsidP="007128C3">
      <w:pPr>
        <w:spacing w:line="360" w:lineRule="auto"/>
        <w:jc w:val="both"/>
        <w:rPr>
          <w:rFonts w:ascii="Century Gothic" w:hAnsi="Century Gothic"/>
          <w:sz w:val="22"/>
          <w:szCs w:val="22"/>
        </w:rPr>
      </w:pPr>
      <w:bookmarkStart w:id="6" w:name="_Hlk21098520"/>
      <w:r w:rsidRPr="009039B2">
        <w:rPr>
          <w:rFonts w:ascii="Century Gothic" w:hAnsi="Century Gothic"/>
          <w:sz w:val="22"/>
          <w:szCs w:val="22"/>
        </w:rPr>
        <w:t>Así, al integrar los documentos</w:t>
      </w:r>
      <w:r w:rsidR="009F2771" w:rsidRPr="009039B2">
        <w:rPr>
          <w:rFonts w:ascii="Century Gothic" w:hAnsi="Century Gothic"/>
          <w:sz w:val="22"/>
          <w:szCs w:val="22"/>
        </w:rPr>
        <w:t xml:space="preserve"> acabados de relacionar  –</w:t>
      </w:r>
      <w:bookmarkStart w:id="7" w:name="_Hlk21098491"/>
      <w:r w:rsidR="009F2771" w:rsidRPr="009039B2">
        <w:rPr>
          <w:rFonts w:ascii="Century Gothic" w:hAnsi="Century Gothic"/>
          <w:sz w:val="22"/>
          <w:szCs w:val="22"/>
        </w:rPr>
        <w:t>contrato estatal, póliza de seguros y actos administrativos</w:t>
      </w:r>
      <w:bookmarkEnd w:id="7"/>
      <w:r w:rsidR="009F2771" w:rsidRPr="009039B2">
        <w:rPr>
          <w:rFonts w:ascii="Century Gothic" w:hAnsi="Century Gothic"/>
          <w:sz w:val="22"/>
          <w:szCs w:val="22"/>
        </w:rPr>
        <w:t xml:space="preserve">–, se </w:t>
      </w:r>
      <w:r w:rsidR="009039B2" w:rsidRPr="009039B2">
        <w:rPr>
          <w:rFonts w:ascii="Century Gothic" w:hAnsi="Century Gothic"/>
          <w:sz w:val="22"/>
          <w:szCs w:val="22"/>
        </w:rPr>
        <w:t>encuentra</w:t>
      </w:r>
      <w:r w:rsidR="00424002" w:rsidRPr="009039B2">
        <w:rPr>
          <w:rFonts w:ascii="Century Gothic" w:hAnsi="Century Gothic"/>
          <w:b/>
          <w:sz w:val="22"/>
          <w:szCs w:val="22"/>
        </w:rPr>
        <w:t xml:space="preserve"> </w:t>
      </w:r>
      <w:r w:rsidR="009F2771" w:rsidRPr="009039B2">
        <w:rPr>
          <w:rFonts w:ascii="Century Gothic" w:hAnsi="Century Gothic"/>
          <w:b/>
          <w:sz w:val="22"/>
          <w:szCs w:val="22"/>
          <w:u w:val="single"/>
        </w:rPr>
        <w:t xml:space="preserve">una obligación </w:t>
      </w:r>
      <w:r w:rsidR="00141B9C" w:rsidRPr="00141B9C">
        <w:rPr>
          <w:rFonts w:ascii="Century Gothic" w:hAnsi="Century Gothic"/>
          <w:b/>
          <w:sz w:val="22"/>
          <w:szCs w:val="22"/>
          <w:u w:val="single"/>
        </w:rPr>
        <w:t>expresa</w:t>
      </w:r>
      <w:r w:rsidR="00141B9C" w:rsidRPr="009039B2">
        <w:rPr>
          <w:rStyle w:val="Refdenotaalpie"/>
          <w:rFonts w:ascii="Century Gothic" w:hAnsi="Century Gothic"/>
          <w:sz w:val="22"/>
          <w:szCs w:val="22"/>
        </w:rPr>
        <w:footnoteReference w:id="8"/>
      </w:r>
      <w:r w:rsidR="005B7B59" w:rsidRPr="009039B2">
        <w:rPr>
          <w:rFonts w:ascii="Century Gothic" w:hAnsi="Century Gothic"/>
          <w:b/>
          <w:sz w:val="22"/>
          <w:szCs w:val="22"/>
        </w:rPr>
        <w:t xml:space="preserve"> </w:t>
      </w:r>
      <w:r w:rsidR="009F2771" w:rsidRPr="009039B2">
        <w:rPr>
          <w:rFonts w:ascii="Century Gothic" w:hAnsi="Century Gothic"/>
          <w:sz w:val="22"/>
          <w:szCs w:val="22"/>
        </w:rPr>
        <w:t xml:space="preserve">a cargo de </w:t>
      </w:r>
      <w:r w:rsidR="00CA03FB" w:rsidRPr="009039B2">
        <w:rPr>
          <w:rFonts w:ascii="Century Gothic" w:hAnsi="Century Gothic"/>
          <w:sz w:val="22"/>
          <w:szCs w:val="22"/>
        </w:rPr>
        <w:t>CONFIANZA S.A.</w:t>
      </w:r>
      <w:r w:rsidR="009F2771" w:rsidRPr="009039B2">
        <w:rPr>
          <w:rFonts w:ascii="Century Gothic" w:hAnsi="Century Gothic"/>
          <w:sz w:val="22"/>
          <w:szCs w:val="22"/>
        </w:rPr>
        <w:t xml:space="preserve">, consistente en </w:t>
      </w:r>
      <w:r w:rsidR="00D85522" w:rsidRPr="009039B2">
        <w:rPr>
          <w:rFonts w:ascii="Century Gothic" w:hAnsi="Century Gothic"/>
          <w:sz w:val="22"/>
          <w:szCs w:val="22"/>
        </w:rPr>
        <w:t>pagar una suma de dinero</w:t>
      </w:r>
      <w:r w:rsidR="00FD768A" w:rsidRPr="009039B2">
        <w:rPr>
          <w:rFonts w:ascii="Century Gothic" w:hAnsi="Century Gothic"/>
          <w:sz w:val="22"/>
          <w:szCs w:val="22"/>
        </w:rPr>
        <w:t xml:space="preserve"> por la ocurrencia del riesgo que se </w:t>
      </w:r>
      <w:r w:rsidR="009F2771" w:rsidRPr="009039B2">
        <w:rPr>
          <w:rFonts w:ascii="Century Gothic" w:hAnsi="Century Gothic"/>
          <w:sz w:val="22"/>
          <w:szCs w:val="22"/>
        </w:rPr>
        <w:t xml:space="preserve">comprometió </w:t>
      </w:r>
      <w:r w:rsidR="00FD768A" w:rsidRPr="009039B2">
        <w:rPr>
          <w:rFonts w:ascii="Century Gothic" w:hAnsi="Century Gothic"/>
          <w:sz w:val="22"/>
          <w:szCs w:val="22"/>
        </w:rPr>
        <w:t xml:space="preserve">a amparar </w:t>
      </w:r>
      <w:r w:rsidR="009039B2">
        <w:rPr>
          <w:rFonts w:ascii="Century Gothic" w:hAnsi="Century Gothic"/>
          <w:sz w:val="22"/>
          <w:szCs w:val="22"/>
        </w:rPr>
        <w:t>la citada</w:t>
      </w:r>
      <w:r w:rsidR="00DC1BDD">
        <w:rPr>
          <w:rFonts w:ascii="Century Gothic" w:hAnsi="Century Gothic"/>
          <w:sz w:val="22"/>
          <w:szCs w:val="22"/>
        </w:rPr>
        <w:t xml:space="preserve"> póliza </w:t>
      </w:r>
      <w:r w:rsidR="00F83A73">
        <w:rPr>
          <w:rFonts w:ascii="Century Gothic" w:hAnsi="Century Gothic"/>
          <w:sz w:val="22"/>
          <w:szCs w:val="22"/>
        </w:rPr>
        <w:t xml:space="preserve">de </w:t>
      </w:r>
      <w:r w:rsidR="00FD768A" w:rsidRPr="009039B2">
        <w:rPr>
          <w:rFonts w:ascii="Century Gothic" w:hAnsi="Century Gothic"/>
          <w:sz w:val="22"/>
          <w:szCs w:val="22"/>
        </w:rPr>
        <w:t>seguros</w:t>
      </w:r>
      <w:r w:rsidR="009039B2">
        <w:rPr>
          <w:rFonts w:ascii="Century Gothic" w:hAnsi="Century Gothic"/>
          <w:sz w:val="22"/>
          <w:szCs w:val="22"/>
        </w:rPr>
        <w:t>, suscrita</w:t>
      </w:r>
      <w:r w:rsidR="00FD768A" w:rsidRPr="009039B2">
        <w:rPr>
          <w:rFonts w:ascii="Century Gothic" w:hAnsi="Century Gothic"/>
          <w:sz w:val="22"/>
          <w:szCs w:val="22"/>
        </w:rPr>
        <w:t xml:space="preserve"> con CONCIVILES S.A., en el marco de las exigencias establecidas </w:t>
      </w:r>
      <w:r w:rsidR="007B755B" w:rsidRPr="009039B2">
        <w:rPr>
          <w:rFonts w:ascii="Century Gothic" w:hAnsi="Century Gothic"/>
          <w:sz w:val="22"/>
          <w:szCs w:val="22"/>
        </w:rPr>
        <w:t>por</w:t>
      </w:r>
      <w:r w:rsidR="00FD768A" w:rsidRPr="009039B2">
        <w:rPr>
          <w:rFonts w:ascii="Century Gothic" w:hAnsi="Century Gothic"/>
          <w:sz w:val="22"/>
          <w:szCs w:val="22"/>
        </w:rPr>
        <w:t xml:space="preserve"> el contrato estatal de obra 403 </w:t>
      </w:r>
      <w:r w:rsidR="009039B2">
        <w:rPr>
          <w:rFonts w:ascii="Century Gothic" w:hAnsi="Century Gothic"/>
          <w:sz w:val="22"/>
          <w:szCs w:val="22"/>
        </w:rPr>
        <w:t>en cita</w:t>
      </w:r>
      <w:r w:rsidR="00FD768A" w:rsidRPr="009039B2">
        <w:rPr>
          <w:rFonts w:ascii="Century Gothic" w:hAnsi="Century Gothic"/>
          <w:sz w:val="22"/>
          <w:szCs w:val="22"/>
        </w:rPr>
        <w:t>, celeb</w:t>
      </w:r>
      <w:r w:rsidR="007128C3" w:rsidRPr="009039B2">
        <w:rPr>
          <w:rFonts w:ascii="Century Gothic" w:hAnsi="Century Gothic"/>
          <w:sz w:val="22"/>
          <w:szCs w:val="22"/>
        </w:rPr>
        <w:t xml:space="preserve">rado entre esta última y el IDU; sin embargo, el valor de la </w:t>
      </w:r>
      <w:r w:rsidR="007B2BC2" w:rsidRPr="009039B2">
        <w:rPr>
          <w:rFonts w:ascii="Century Gothic" w:hAnsi="Century Gothic"/>
          <w:sz w:val="22"/>
          <w:szCs w:val="22"/>
        </w:rPr>
        <w:t xml:space="preserve">obligación </w:t>
      </w:r>
      <w:r w:rsidR="009039B2">
        <w:rPr>
          <w:rFonts w:ascii="Century Gothic" w:hAnsi="Century Gothic"/>
          <w:sz w:val="22"/>
          <w:szCs w:val="22"/>
        </w:rPr>
        <w:t xml:space="preserve">es </w:t>
      </w:r>
      <w:r w:rsidR="007128C3" w:rsidRPr="009039B2">
        <w:rPr>
          <w:rFonts w:ascii="Century Gothic" w:hAnsi="Century Gothic"/>
          <w:sz w:val="22"/>
          <w:szCs w:val="22"/>
        </w:rPr>
        <w:t xml:space="preserve">impreciso, pues, en la parte resolutiva de la resolución 1999 de 2005, por la cual la entidad pública declaró </w:t>
      </w:r>
      <w:r w:rsidR="007B2BC2" w:rsidRPr="009039B2">
        <w:rPr>
          <w:rFonts w:ascii="Century Gothic" w:hAnsi="Century Gothic"/>
          <w:sz w:val="22"/>
          <w:szCs w:val="22"/>
        </w:rPr>
        <w:t xml:space="preserve">la ocurrencia del siniestro </w:t>
      </w:r>
      <w:r w:rsidR="007128C3" w:rsidRPr="009039B2">
        <w:rPr>
          <w:rFonts w:ascii="Century Gothic" w:hAnsi="Century Gothic"/>
          <w:sz w:val="22"/>
          <w:szCs w:val="22"/>
        </w:rPr>
        <w:t>e hizo efectiva la garantía única expedida por CONFIANZA S.A., se consignó en letras “</w:t>
      </w:r>
      <w:r w:rsidR="007128C3" w:rsidRPr="009039B2">
        <w:rPr>
          <w:rFonts w:ascii="Century Gothic" w:hAnsi="Century Gothic"/>
          <w:i/>
          <w:sz w:val="22"/>
          <w:szCs w:val="22"/>
        </w:rPr>
        <w:t xml:space="preserve">CUATRO MIL MILLONES OCHOCIENTOS VEINTIDÓS MIL DOSCIENTOS PESOS MONEDA CORRIENTE” </w:t>
      </w:r>
      <w:r w:rsidR="007128C3" w:rsidRPr="009039B2">
        <w:rPr>
          <w:rFonts w:ascii="Century Gothic" w:hAnsi="Century Gothic"/>
          <w:sz w:val="22"/>
          <w:szCs w:val="22"/>
        </w:rPr>
        <w:lastRenderedPageBreak/>
        <w:t>(</w:t>
      </w:r>
      <w:r w:rsidR="009039B2">
        <w:rPr>
          <w:rFonts w:ascii="Century Gothic" w:hAnsi="Century Gothic"/>
          <w:sz w:val="22"/>
          <w:szCs w:val="22"/>
        </w:rPr>
        <w:t xml:space="preserve">es decir, </w:t>
      </w:r>
      <w:r w:rsidR="007128C3" w:rsidRPr="009039B2">
        <w:rPr>
          <w:rFonts w:ascii="Century Gothic" w:hAnsi="Century Gothic"/>
          <w:sz w:val="22"/>
          <w:szCs w:val="22"/>
        </w:rPr>
        <w:t xml:space="preserve">$4.000’822.200) y en números </w:t>
      </w:r>
      <w:r w:rsidR="009039B2">
        <w:rPr>
          <w:rFonts w:ascii="Century Gothic" w:hAnsi="Century Gothic"/>
          <w:sz w:val="22"/>
          <w:szCs w:val="22"/>
        </w:rPr>
        <w:t xml:space="preserve">(esto es, </w:t>
      </w:r>
      <w:r w:rsidR="007128C3" w:rsidRPr="009039B2">
        <w:rPr>
          <w:rFonts w:ascii="Century Gothic" w:hAnsi="Century Gothic"/>
          <w:sz w:val="22"/>
          <w:szCs w:val="22"/>
        </w:rPr>
        <w:t>cuatro mil ochocientos veintidós millones doscientos mil pesos</w:t>
      </w:r>
      <w:r w:rsidR="009039B2">
        <w:rPr>
          <w:rFonts w:ascii="Century Gothic" w:hAnsi="Century Gothic"/>
          <w:sz w:val="22"/>
          <w:szCs w:val="22"/>
        </w:rPr>
        <w:t>)</w:t>
      </w:r>
      <w:r w:rsidR="007128C3" w:rsidRPr="009039B2">
        <w:rPr>
          <w:rFonts w:ascii="Century Gothic" w:hAnsi="Century Gothic"/>
          <w:sz w:val="22"/>
          <w:szCs w:val="22"/>
        </w:rPr>
        <w:t xml:space="preserve"> “</w:t>
      </w:r>
      <w:r w:rsidR="009039B2">
        <w:rPr>
          <w:rFonts w:ascii="Century Gothic" w:hAnsi="Century Gothic"/>
          <w:i/>
          <w:sz w:val="22"/>
          <w:szCs w:val="22"/>
        </w:rPr>
        <w:t>$4.822’200.000.oo</w:t>
      </w:r>
      <w:r w:rsidR="007128C3" w:rsidRPr="009039B2">
        <w:rPr>
          <w:rFonts w:ascii="Century Gothic" w:hAnsi="Century Gothic"/>
          <w:i/>
          <w:sz w:val="22"/>
          <w:szCs w:val="22"/>
        </w:rPr>
        <w:t>”.</w:t>
      </w:r>
    </w:p>
    <w:bookmarkEnd w:id="6"/>
    <w:p w14:paraId="3A82C018" w14:textId="77777777" w:rsidR="007128C3" w:rsidRPr="009039B2" w:rsidRDefault="007128C3" w:rsidP="00026559">
      <w:pPr>
        <w:spacing w:line="360" w:lineRule="auto"/>
        <w:jc w:val="both"/>
        <w:rPr>
          <w:rFonts w:ascii="Century Gothic" w:hAnsi="Century Gothic"/>
          <w:sz w:val="22"/>
          <w:szCs w:val="22"/>
        </w:rPr>
      </w:pPr>
    </w:p>
    <w:p w14:paraId="45103D0C" w14:textId="77777777" w:rsidR="00F27AB2" w:rsidRPr="009039B2" w:rsidRDefault="009039B2" w:rsidP="00AA333B">
      <w:pPr>
        <w:spacing w:line="360" w:lineRule="auto"/>
        <w:jc w:val="both"/>
        <w:rPr>
          <w:rFonts w:ascii="Century Gothic" w:hAnsi="Century Gothic"/>
          <w:sz w:val="22"/>
          <w:szCs w:val="22"/>
        </w:rPr>
      </w:pPr>
      <w:r>
        <w:rPr>
          <w:rFonts w:ascii="Century Gothic" w:hAnsi="Century Gothic"/>
          <w:sz w:val="22"/>
          <w:szCs w:val="22"/>
        </w:rPr>
        <w:t>El y</w:t>
      </w:r>
      <w:r w:rsidR="007B2BC2" w:rsidRPr="009039B2">
        <w:rPr>
          <w:rFonts w:ascii="Century Gothic" w:hAnsi="Century Gothic"/>
          <w:sz w:val="22"/>
          <w:szCs w:val="22"/>
        </w:rPr>
        <w:t xml:space="preserve">erro </w:t>
      </w:r>
      <w:r>
        <w:rPr>
          <w:rFonts w:ascii="Century Gothic" w:hAnsi="Century Gothic"/>
          <w:sz w:val="22"/>
          <w:szCs w:val="22"/>
        </w:rPr>
        <w:t>anotado</w:t>
      </w:r>
      <w:r w:rsidR="007B2BC2" w:rsidRPr="009039B2">
        <w:rPr>
          <w:rFonts w:ascii="Century Gothic" w:hAnsi="Century Gothic"/>
          <w:sz w:val="22"/>
          <w:szCs w:val="22"/>
        </w:rPr>
        <w:t xml:space="preserve"> se </w:t>
      </w:r>
      <w:r w:rsidR="006E0F5F" w:rsidRPr="009039B2">
        <w:rPr>
          <w:rFonts w:ascii="Century Gothic" w:hAnsi="Century Gothic"/>
          <w:sz w:val="22"/>
          <w:szCs w:val="22"/>
        </w:rPr>
        <w:t xml:space="preserve">corrigió </w:t>
      </w:r>
      <w:r w:rsidR="00424002" w:rsidRPr="009039B2">
        <w:rPr>
          <w:rFonts w:ascii="Century Gothic" w:hAnsi="Century Gothic"/>
          <w:sz w:val="22"/>
          <w:szCs w:val="22"/>
        </w:rPr>
        <w:t>con la resolución 8396 del 16 de diciembre de 2005</w:t>
      </w:r>
      <w:r w:rsidR="007B2BC2" w:rsidRPr="009039B2">
        <w:rPr>
          <w:rFonts w:ascii="Century Gothic" w:hAnsi="Century Gothic"/>
          <w:sz w:val="22"/>
          <w:szCs w:val="22"/>
        </w:rPr>
        <w:t xml:space="preserve"> y, si bien </w:t>
      </w:r>
      <w:r w:rsidR="006F1689" w:rsidRPr="009039B2">
        <w:rPr>
          <w:rFonts w:ascii="Century Gothic" w:hAnsi="Century Gothic"/>
          <w:sz w:val="22"/>
          <w:szCs w:val="22"/>
        </w:rPr>
        <w:t xml:space="preserve">no hay prueba dentro del proceso de que </w:t>
      </w:r>
      <w:r w:rsidR="007B2BC2" w:rsidRPr="009039B2">
        <w:rPr>
          <w:rFonts w:ascii="Century Gothic" w:hAnsi="Century Gothic"/>
          <w:sz w:val="22"/>
          <w:szCs w:val="22"/>
        </w:rPr>
        <w:t xml:space="preserve">este </w:t>
      </w:r>
      <w:r w:rsidR="00424002" w:rsidRPr="009039B2">
        <w:rPr>
          <w:rFonts w:ascii="Century Gothic" w:hAnsi="Century Gothic"/>
          <w:sz w:val="22"/>
          <w:szCs w:val="22"/>
        </w:rPr>
        <w:t xml:space="preserve">acto administrativo se </w:t>
      </w:r>
      <w:r w:rsidR="006F1689" w:rsidRPr="009039B2">
        <w:rPr>
          <w:rFonts w:ascii="Century Gothic" w:hAnsi="Century Gothic"/>
          <w:sz w:val="22"/>
          <w:szCs w:val="22"/>
        </w:rPr>
        <w:t xml:space="preserve">haya notificado </w:t>
      </w:r>
      <w:r w:rsidR="00D17B47" w:rsidRPr="009039B2">
        <w:rPr>
          <w:rFonts w:ascii="Century Gothic" w:hAnsi="Century Gothic"/>
          <w:sz w:val="22"/>
          <w:szCs w:val="22"/>
        </w:rPr>
        <w:t>personalmente</w:t>
      </w:r>
      <w:r w:rsidR="00424002" w:rsidRPr="009039B2">
        <w:rPr>
          <w:rFonts w:ascii="Century Gothic" w:hAnsi="Century Gothic"/>
          <w:sz w:val="22"/>
          <w:szCs w:val="22"/>
          <w:lang w:val="es-ES_tradnl"/>
        </w:rPr>
        <w:t xml:space="preserve">, lo cierto es, por un lado, </w:t>
      </w:r>
      <w:r w:rsidR="00A42FC8" w:rsidRPr="009039B2">
        <w:rPr>
          <w:rFonts w:ascii="Century Gothic" w:hAnsi="Century Gothic"/>
          <w:sz w:val="22"/>
          <w:szCs w:val="22"/>
          <w:lang w:val="es-ES_tradnl"/>
        </w:rPr>
        <w:t xml:space="preserve">que </w:t>
      </w:r>
      <w:r w:rsidR="00424002" w:rsidRPr="009039B2">
        <w:rPr>
          <w:rFonts w:ascii="Century Gothic" w:hAnsi="Century Gothic"/>
          <w:sz w:val="22"/>
          <w:szCs w:val="22"/>
          <w:lang w:val="es-ES_tradnl"/>
        </w:rPr>
        <w:t xml:space="preserve">el IDU comunicó su contenido </w:t>
      </w:r>
      <w:r w:rsidR="00AE1D9F" w:rsidRPr="009039B2">
        <w:rPr>
          <w:rFonts w:ascii="Century Gothic" w:hAnsi="Century Gothic"/>
          <w:sz w:val="22"/>
          <w:szCs w:val="22"/>
          <w:lang w:val="es-ES_tradnl"/>
        </w:rPr>
        <w:t xml:space="preserve">a CONFIANZA S.A. </w:t>
      </w:r>
      <w:r w:rsidR="00424002" w:rsidRPr="009039B2">
        <w:rPr>
          <w:rFonts w:ascii="Century Gothic" w:hAnsi="Century Gothic"/>
          <w:sz w:val="22"/>
          <w:szCs w:val="22"/>
          <w:lang w:val="es-ES_tradnl"/>
        </w:rPr>
        <w:t xml:space="preserve">a través del oficio </w:t>
      </w:r>
      <w:r w:rsidR="006F1689" w:rsidRPr="009039B2">
        <w:rPr>
          <w:rFonts w:ascii="Century Gothic" w:hAnsi="Century Gothic"/>
          <w:sz w:val="22"/>
          <w:szCs w:val="22"/>
          <w:lang w:val="es-ES_tradnl"/>
        </w:rPr>
        <w:t xml:space="preserve">del </w:t>
      </w:r>
      <w:r w:rsidR="00D17B47" w:rsidRPr="009039B2">
        <w:rPr>
          <w:rFonts w:ascii="Century Gothic" w:hAnsi="Century Gothic"/>
          <w:sz w:val="22"/>
          <w:szCs w:val="22"/>
          <w:lang w:val="es-ES_tradnl"/>
        </w:rPr>
        <w:t>19</w:t>
      </w:r>
      <w:r w:rsidR="00424002" w:rsidRPr="009039B2">
        <w:rPr>
          <w:rFonts w:ascii="Century Gothic" w:hAnsi="Century Gothic"/>
          <w:sz w:val="22"/>
          <w:szCs w:val="22"/>
          <w:lang w:val="es-ES_tradnl"/>
        </w:rPr>
        <w:t xml:space="preserve"> </w:t>
      </w:r>
      <w:r w:rsidR="00D17B47" w:rsidRPr="009039B2">
        <w:rPr>
          <w:rFonts w:ascii="Century Gothic" w:hAnsi="Century Gothic"/>
          <w:sz w:val="22"/>
          <w:szCs w:val="22"/>
          <w:lang w:val="es-ES_tradnl"/>
        </w:rPr>
        <w:t>de enero de 2006</w:t>
      </w:r>
      <w:r w:rsidR="006F1689" w:rsidRPr="009039B2">
        <w:rPr>
          <w:rFonts w:ascii="Century Gothic" w:hAnsi="Century Gothic"/>
          <w:sz w:val="22"/>
          <w:szCs w:val="22"/>
          <w:lang w:val="es-ES_tradnl"/>
        </w:rPr>
        <w:t xml:space="preserve"> (</w:t>
      </w:r>
      <w:proofErr w:type="spellStart"/>
      <w:r w:rsidR="006F1689" w:rsidRPr="009039B2">
        <w:rPr>
          <w:rFonts w:ascii="Century Gothic" w:hAnsi="Century Gothic"/>
          <w:sz w:val="22"/>
          <w:szCs w:val="22"/>
        </w:rPr>
        <w:t>fl</w:t>
      </w:r>
      <w:proofErr w:type="spellEnd"/>
      <w:r w:rsidR="006F1689" w:rsidRPr="009039B2">
        <w:rPr>
          <w:rFonts w:ascii="Century Gothic" w:hAnsi="Century Gothic"/>
          <w:sz w:val="22"/>
          <w:szCs w:val="22"/>
        </w:rPr>
        <w:t>. 202 C. Pruebas</w:t>
      </w:r>
      <w:r w:rsidR="006F1689" w:rsidRPr="009039B2">
        <w:rPr>
          <w:rFonts w:ascii="Century Gothic" w:hAnsi="Century Gothic"/>
          <w:sz w:val="22"/>
          <w:szCs w:val="22"/>
          <w:lang w:val="es-ES_tradnl"/>
        </w:rPr>
        <w:t>)</w:t>
      </w:r>
      <w:r w:rsidR="00D17B47" w:rsidRPr="009039B2">
        <w:rPr>
          <w:rFonts w:ascii="Century Gothic" w:hAnsi="Century Gothic"/>
          <w:sz w:val="22"/>
          <w:szCs w:val="22"/>
          <w:lang w:val="es-ES_tradnl"/>
        </w:rPr>
        <w:t xml:space="preserve"> </w:t>
      </w:r>
      <w:r w:rsidR="00424002" w:rsidRPr="009039B2">
        <w:rPr>
          <w:rFonts w:ascii="Century Gothic" w:hAnsi="Century Gothic"/>
          <w:sz w:val="22"/>
          <w:szCs w:val="22"/>
          <w:lang w:val="es-ES_tradnl"/>
        </w:rPr>
        <w:t>y, por otro lado,</w:t>
      </w:r>
      <w:r w:rsidR="00A42FC8" w:rsidRPr="009039B2">
        <w:rPr>
          <w:rFonts w:ascii="Century Gothic" w:hAnsi="Century Gothic"/>
          <w:sz w:val="22"/>
          <w:szCs w:val="22"/>
          <w:lang w:val="es-ES_tradnl"/>
        </w:rPr>
        <w:t xml:space="preserve"> que</w:t>
      </w:r>
      <w:r w:rsidR="00424002" w:rsidRPr="009039B2">
        <w:rPr>
          <w:rFonts w:ascii="Century Gothic" w:hAnsi="Century Gothic"/>
          <w:sz w:val="22"/>
          <w:szCs w:val="22"/>
          <w:lang w:val="es-ES_tradnl"/>
        </w:rPr>
        <w:t xml:space="preserve"> </w:t>
      </w:r>
      <w:r w:rsidR="00AE1D9F" w:rsidRPr="009039B2">
        <w:rPr>
          <w:rFonts w:ascii="Century Gothic" w:hAnsi="Century Gothic"/>
          <w:sz w:val="22"/>
          <w:szCs w:val="22"/>
          <w:lang w:val="es-ES_tradnl"/>
        </w:rPr>
        <w:t>ésta</w:t>
      </w:r>
      <w:r w:rsidR="00424002" w:rsidRPr="009039B2">
        <w:rPr>
          <w:rFonts w:ascii="Century Gothic" w:hAnsi="Century Gothic"/>
          <w:sz w:val="22"/>
          <w:szCs w:val="22"/>
          <w:lang w:val="es-ES_tradnl"/>
        </w:rPr>
        <w:t xml:space="preserve"> no lo desconoció durante el curso de este proceso</w:t>
      </w:r>
      <w:r w:rsidR="006F1689" w:rsidRPr="009039B2">
        <w:rPr>
          <w:rFonts w:ascii="Century Gothic" w:hAnsi="Century Gothic"/>
          <w:sz w:val="22"/>
          <w:szCs w:val="22"/>
          <w:lang w:val="es-ES_tradnl"/>
        </w:rPr>
        <w:t>,</w:t>
      </w:r>
      <w:r w:rsidR="00424002" w:rsidRPr="009039B2">
        <w:rPr>
          <w:rFonts w:ascii="Century Gothic" w:hAnsi="Century Gothic"/>
          <w:sz w:val="22"/>
          <w:szCs w:val="22"/>
          <w:lang w:val="es-ES_tradnl"/>
        </w:rPr>
        <w:t xml:space="preserve"> ni </w:t>
      </w:r>
      <w:r w:rsidR="006F1689" w:rsidRPr="009039B2">
        <w:rPr>
          <w:rFonts w:ascii="Century Gothic" w:hAnsi="Century Gothic"/>
          <w:sz w:val="22"/>
          <w:szCs w:val="22"/>
          <w:lang w:val="es-ES_tradnl"/>
        </w:rPr>
        <w:t>reparó</w:t>
      </w:r>
      <w:r>
        <w:rPr>
          <w:rFonts w:ascii="Century Gothic" w:hAnsi="Century Gothic"/>
          <w:sz w:val="22"/>
          <w:szCs w:val="22"/>
          <w:lang w:val="es-ES_tradnl"/>
        </w:rPr>
        <w:t xml:space="preserve"> o reprochó</w:t>
      </w:r>
      <w:r w:rsidR="00424002" w:rsidRPr="009039B2">
        <w:rPr>
          <w:rFonts w:ascii="Century Gothic" w:hAnsi="Century Gothic"/>
          <w:sz w:val="22"/>
          <w:szCs w:val="22"/>
          <w:lang w:val="es-ES_tradnl"/>
        </w:rPr>
        <w:t xml:space="preserve"> </w:t>
      </w:r>
      <w:r w:rsidR="006F1689" w:rsidRPr="009039B2">
        <w:rPr>
          <w:rFonts w:ascii="Century Gothic" w:hAnsi="Century Gothic"/>
          <w:sz w:val="22"/>
          <w:szCs w:val="22"/>
          <w:lang w:val="es-ES_tradnl"/>
        </w:rPr>
        <w:t xml:space="preserve">la ausencia de </w:t>
      </w:r>
      <w:r w:rsidR="00424002" w:rsidRPr="009039B2">
        <w:rPr>
          <w:rFonts w:ascii="Century Gothic" w:hAnsi="Century Gothic"/>
          <w:sz w:val="22"/>
          <w:szCs w:val="22"/>
          <w:lang w:val="es-ES_tradnl"/>
        </w:rPr>
        <w:t xml:space="preserve">notificación, </w:t>
      </w:r>
      <w:r>
        <w:rPr>
          <w:rFonts w:ascii="Century Gothic" w:hAnsi="Century Gothic"/>
          <w:sz w:val="22"/>
          <w:szCs w:val="22"/>
          <w:lang w:val="es-ES_tradnl"/>
        </w:rPr>
        <w:t>conducta</w:t>
      </w:r>
      <w:r w:rsidR="00424002" w:rsidRPr="009039B2">
        <w:rPr>
          <w:rFonts w:ascii="Century Gothic" w:hAnsi="Century Gothic"/>
          <w:sz w:val="22"/>
          <w:szCs w:val="22"/>
          <w:lang w:val="es-ES_tradnl"/>
        </w:rPr>
        <w:t xml:space="preserve"> que, a la luz del artículo </w:t>
      </w:r>
      <w:r w:rsidR="00AE1D9F" w:rsidRPr="009039B2">
        <w:rPr>
          <w:rFonts w:ascii="Century Gothic" w:hAnsi="Century Gothic"/>
          <w:sz w:val="22"/>
          <w:szCs w:val="22"/>
          <w:lang w:val="es-ES_tradnl"/>
        </w:rPr>
        <w:t>48</w:t>
      </w:r>
      <w:r w:rsidR="00AE1D9F" w:rsidRPr="009039B2">
        <w:rPr>
          <w:rStyle w:val="Refdenotaalpie"/>
          <w:rFonts w:ascii="Century Gothic" w:hAnsi="Century Gothic"/>
          <w:sz w:val="22"/>
          <w:szCs w:val="22"/>
          <w:lang w:val="es-ES_tradnl"/>
        </w:rPr>
        <w:footnoteReference w:id="9"/>
      </w:r>
      <w:r w:rsidR="00AE1D9F" w:rsidRPr="009039B2">
        <w:rPr>
          <w:rFonts w:ascii="Century Gothic" w:hAnsi="Century Gothic"/>
          <w:sz w:val="22"/>
          <w:szCs w:val="22"/>
          <w:lang w:val="es-ES_tradnl"/>
        </w:rPr>
        <w:t xml:space="preserve"> del C.C.A., implica</w:t>
      </w:r>
      <w:r w:rsidR="007B2BC2" w:rsidRPr="009039B2">
        <w:rPr>
          <w:rFonts w:ascii="Century Gothic" w:hAnsi="Century Gothic"/>
          <w:sz w:val="22"/>
          <w:szCs w:val="22"/>
          <w:lang w:val="es-ES_tradnl"/>
        </w:rPr>
        <w:t xml:space="preserve"> que dicha aseguradora</w:t>
      </w:r>
      <w:r w:rsidR="00AE1D9F" w:rsidRPr="009039B2">
        <w:rPr>
          <w:rFonts w:ascii="Century Gothic" w:hAnsi="Century Gothic"/>
          <w:sz w:val="22"/>
          <w:szCs w:val="22"/>
          <w:lang w:val="es-ES_tradnl"/>
        </w:rPr>
        <w:t xml:space="preserve"> </w:t>
      </w:r>
      <w:r w:rsidR="007B2BC2" w:rsidRPr="009039B2">
        <w:rPr>
          <w:rFonts w:ascii="Century Gothic" w:hAnsi="Century Gothic"/>
          <w:sz w:val="22"/>
          <w:szCs w:val="22"/>
          <w:lang w:val="es-ES_tradnl"/>
        </w:rPr>
        <w:t>convalidó</w:t>
      </w:r>
      <w:r>
        <w:rPr>
          <w:rFonts w:ascii="Century Gothic" w:hAnsi="Century Gothic"/>
          <w:sz w:val="22"/>
          <w:szCs w:val="22"/>
          <w:lang w:val="es-ES_tradnl"/>
        </w:rPr>
        <w:t xml:space="preserve"> (por así </w:t>
      </w:r>
      <w:r w:rsidR="00711F9D">
        <w:rPr>
          <w:rFonts w:ascii="Century Gothic" w:hAnsi="Century Gothic"/>
          <w:sz w:val="22"/>
          <w:szCs w:val="22"/>
          <w:lang w:val="es-ES_tradnl"/>
        </w:rPr>
        <w:t>decirlo</w:t>
      </w:r>
      <w:r>
        <w:rPr>
          <w:rFonts w:ascii="Century Gothic" w:hAnsi="Century Gothic"/>
          <w:sz w:val="22"/>
          <w:szCs w:val="22"/>
          <w:lang w:val="es-ES_tradnl"/>
        </w:rPr>
        <w:t>)</w:t>
      </w:r>
      <w:r w:rsidR="007B2BC2" w:rsidRPr="009039B2">
        <w:rPr>
          <w:rFonts w:ascii="Century Gothic" w:hAnsi="Century Gothic"/>
          <w:sz w:val="22"/>
          <w:szCs w:val="22"/>
          <w:lang w:val="es-ES_tradnl"/>
        </w:rPr>
        <w:t xml:space="preserve"> </w:t>
      </w:r>
      <w:r w:rsidR="00AE1D9F" w:rsidRPr="009039B2">
        <w:rPr>
          <w:rFonts w:ascii="Century Gothic" w:hAnsi="Century Gothic"/>
          <w:sz w:val="22"/>
          <w:szCs w:val="22"/>
          <w:lang w:val="es-ES_tradnl"/>
        </w:rPr>
        <w:t xml:space="preserve">los efectos jurídicos de </w:t>
      </w:r>
      <w:r w:rsidR="007B2BC2" w:rsidRPr="009039B2">
        <w:rPr>
          <w:rFonts w:ascii="Century Gothic" w:hAnsi="Century Gothic"/>
          <w:sz w:val="22"/>
          <w:szCs w:val="22"/>
          <w:lang w:val="es-ES_tradnl"/>
        </w:rPr>
        <w:t xml:space="preserve">dicha </w:t>
      </w:r>
      <w:r w:rsidR="00AE1D9F" w:rsidRPr="009039B2">
        <w:rPr>
          <w:rFonts w:ascii="Century Gothic" w:hAnsi="Century Gothic"/>
          <w:sz w:val="22"/>
          <w:szCs w:val="22"/>
          <w:lang w:val="es-ES_tradnl"/>
        </w:rPr>
        <w:t xml:space="preserve">resolución, </w:t>
      </w:r>
      <w:r w:rsidR="007B2BC2" w:rsidRPr="009039B2">
        <w:rPr>
          <w:rFonts w:ascii="Century Gothic" w:hAnsi="Century Gothic"/>
          <w:sz w:val="22"/>
          <w:szCs w:val="22"/>
          <w:lang w:val="es-ES_tradnl"/>
        </w:rPr>
        <w:t xml:space="preserve">lo cual conduce a </w:t>
      </w:r>
      <w:r w:rsidR="00CF7F04" w:rsidRPr="009039B2">
        <w:rPr>
          <w:rFonts w:ascii="Century Gothic" w:hAnsi="Century Gothic"/>
          <w:sz w:val="22"/>
          <w:szCs w:val="22"/>
          <w:lang w:val="es-ES_tradnl"/>
        </w:rPr>
        <w:t>afirmar que</w:t>
      </w:r>
      <w:r w:rsidR="007B2BC2" w:rsidRPr="009039B2">
        <w:rPr>
          <w:rFonts w:ascii="Century Gothic" w:hAnsi="Century Gothic"/>
          <w:sz w:val="22"/>
          <w:szCs w:val="22"/>
          <w:lang w:val="es-ES_tradnl"/>
        </w:rPr>
        <w:t xml:space="preserve"> </w:t>
      </w:r>
      <w:r w:rsidR="00AE1D9F" w:rsidRPr="009039B2">
        <w:rPr>
          <w:rFonts w:ascii="Century Gothic" w:hAnsi="Century Gothic"/>
          <w:b/>
          <w:sz w:val="22"/>
          <w:szCs w:val="22"/>
          <w:u w:val="single"/>
        </w:rPr>
        <w:t>la obligación</w:t>
      </w:r>
      <w:r w:rsidR="00AE1D9F" w:rsidRPr="009039B2">
        <w:rPr>
          <w:rFonts w:ascii="Century Gothic" w:hAnsi="Century Gothic"/>
          <w:sz w:val="22"/>
          <w:szCs w:val="22"/>
        </w:rPr>
        <w:t>, en principio imprecisa, contenida en la resolución 1999 de 2005,</w:t>
      </w:r>
      <w:r w:rsidR="00CF7F04" w:rsidRPr="009039B2">
        <w:rPr>
          <w:rFonts w:ascii="Century Gothic" w:hAnsi="Century Gothic"/>
          <w:sz w:val="22"/>
          <w:szCs w:val="22"/>
        </w:rPr>
        <w:t xml:space="preserve"> </w:t>
      </w:r>
      <w:r>
        <w:rPr>
          <w:rFonts w:ascii="Century Gothic" w:hAnsi="Century Gothic"/>
          <w:sz w:val="22"/>
          <w:szCs w:val="22"/>
        </w:rPr>
        <w:t>con esa corrección</w:t>
      </w:r>
      <w:r w:rsidR="00AE1D9F" w:rsidRPr="009039B2">
        <w:rPr>
          <w:rFonts w:ascii="Century Gothic" w:hAnsi="Century Gothic"/>
          <w:sz w:val="22"/>
          <w:szCs w:val="22"/>
        </w:rPr>
        <w:t xml:space="preserve"> </w:t>
      </w:r>
      <w:r w:rsidR="00CF7F04" w:rsidRPr="009039B2">
        <w:rPr>
          <w:rFonts w:ascii="Century Gothic" w:hAnsi="Century Gothic"/>
          <w:b/>
          <w:sz w:val="22"/>
          <w:szCs w:val="22"/>
          <w:u w:val="single"/>
        </w:rPr>
        <w:t>se tornó</w:t>
      </w:r>
      <w:r w:rsidR="00141B9C">
        <w:rPr>
          <w:rFonts w:ascii="Century Gothic" w:hAnsi="Century Gothic"/>
          <w:b/>
          <w:sz w:val="22"/>
          <w:szCs w:val="22"/>
          <w:u w:val="single"/>
        </w:rPr>
        <w:t xml:space="preserve"> </w:t>
      </w:r>
      <w:r w:rsidR="00141B9C" w:rsidRPr="00141B9C">
        <w:rPr>
          <w:rFonts w:ascii="Century Gothic" w:hAnsi="Century Gothic"/>
          <w:b/>
          <w:sz w:val="22"/>
          <w:szCs w:val="22"/>
          <w:u w:val="single"/>
        </w:rPr>
        <w:t>clara</w:t>
      </w:r>
      <w:r w:rsidR="00141B9C" w:rsidRPr="009039B2">
        <w:rPr>
          <w:rStyle w:val="Refdenotaalpie"/>
          <w:rFonts w:ascii="Century Gothic" w:hAnsi="Century Gothic"/>
          <w:sz w:val="22"/>
          <w:szCs w:val="22"/>
        </w:rPr>
        <w:footnoteReference w:id="10"/>
      </w:r>
      <w:r w:rsidR="00816A1B">
        <w:rPr>
          <w:rFonts w:ascii="Century Gothic" w:hAnsi="Century Gothic"/>
          <w:sz w:val="22"/>
          <w:szCs w:val="22"/>
        </w:rPr>
        <w:t>.</w:t>
      </w:r>
    </w:p>
    <w:p w14:paraId="1B02D785" w14:textId="77777777" w:rsidR="00F27AB2" w:rsidRPr="009039B2" w:rsidRDefault="00F27AB2" w:rsidP="00AA333B">
      <w:pPr>
        <w:spacing w:line="360" w:lineRule="auto"/>
        <w:jc w:val="both"/>
        <w:rPr>
          <w:rFonts w:ascii="Century Gothic" w:hAnsi="Century Gothic"/>
          <w:sz w:val="22"/>
          <w:szCs w:val="22"/>
        </w:rPr>
      </w:pPr>
    </w:p>
    <w:p w14:paraId="5712BAD8" w14:textId="77777777" w:rsidR="006F1689" w:rsidRPr="009039B2" w:rsidRDefault="00CF7F04" w:rsidP="00AA333B">
      <w:pPr>
        <w:spacing w:line="360" w:lineRule="auto"/>
        <w:jc w:val="both"/>
        <w:rPr>
          <w:rFonts w:ascii="Century Gothic" w:hAnsi="Century Gothic"/>
          <w:i/>
          <w:sz w:val="22"/>
          <w:szCs w:val="22"/>
        </w:rPr>
      </w:pPr>
      <w:r w:rsidRPr="009039B2">
        <w:rPr>
          <w:rFonts w:ascii="Century Gothic" w:hAnsi="Century Gothic"/>
          <w:sz w:val="22"/>
          <w:szCs w:val="22"/>
        </w:rPr>
        <w:t xml:space="preserve">Ahora, </w:t>
      </w:r>
      <w:r w:rsidR="006F1689" w:rsidRPr="009039B2">
        <w:rPr>
          <w:rFonts w:ascii="Century Gothic" w:hAnsi="Century Gothic"/>
          <w:sz w:val="22"/>
          <w:szCs w:val="22"/>
        </w:rPr>
        <w:t xml:space="preserve">como la resolución que corrigió el error (res. 8396 de 2005) se comunicó el </w:t>
      </w:r>
      <w:r w:rsidR="006F1689" w:rsidRPr="009039B2">
        <w:rPr>
          <w:rFonts w:ascii="Century Gothic" w:hAnsi="Century Gothic"/>
          <w:sz w:val="22"/>
          <w:szCs w:val="22"/>
          <w:lang w:val="es-ES_tradnl"/>
        </w:rPr>
        <w:t xml:space="preserve">19 de enero de 2006, </w:t>
      </w:r>
      <w:r w:rsidR="006F1689" w:rsidRPr="009039B2">
        <w:rPr>
          <w:rFonts w:ascii="Century Gothic" w:hAnsi="Century Gothic"/>
          <w:b/>
          <w:sz w:val="22"/>
          <w:szCs w:val="22"/>
          <w:u w:val="single"/>
          <w:lang w:val="es-ES_tradnl"/>
        </w:rPr>
        <w:t>la obligación se hizo exigible</w:t>
      </w:r>
      <w:r w:rsidR="006F1689" w:rsidRPr="009039B2">
        <w:rPr>
          <w:rFonts w:ascii="Century Gothic" w:hAnsi="Century Gothic"/>
          <w:sz w:val="22"/>
          <w:szCs w:val="22"/>
          <w:lang w:val="es-ES_tradnl"/>
        </w:rPr>
        <w:t xml:space="preserve"> al día siguiente de ocurrido esto, es decir, el 20 de esos mes y año; no obstante</w:t>
      </w:r>
      <w:r w:rsidR="00A34DB0">
        <w:rPr>
          <w:rFonts w:ascii="Century Gothic" w:hAnsi="Century Gothic"/>
          <w:sz w:val="22"/>
          <w:szCs w:val="22"/>
          <w:lang w:val="es-ES_tradnl"/>
        </w:rPr>
        <w:t>,</w:t>
      </w:r>
      <w:r w:rsidR="006F1689" w:rsidRPr="009039B2">
        <w:rPr>
          <w:rFonts w:ascii="Century Gothic" w:hAnsi="Century Gothic"/>
          <w:sz w:val="22"/>
          <w:szCs w:val="22"/>
          <w:lang w:val="es-ES_tradnl"/>
        </w:rPr>
        <w:t xml:space="preserve"> como la sentencia impugnada tuvo como fecha de exigibilidad </w:t>
      </w:r>
      <w:r w:rsidR="002367F7" w:rsidRPr="009039B2">
        <w:rPr>
          <w:rFonts w:ascii="Century Gothic" w:hAnsi="Century Gothic"/>
          <w:sz w:val="22"/>
          <w:szCs w:val="22"/>
          <w:lang w:val="es-ES_tradnl"/>
        </w:rPr>
        <w:t xml:space="preserve">de la obligación </w:t>
      </w:r>
      <w:r w:rsidR="006F1689" w:rsidRPr="009039B2">
        <w:rPr>
          <w:rFonts w:ascii="Century Gothic" w:hAnsi="Century Gothic"/>
          <w:sz w:val="22"/>
          <w:szCs w:val="22"/>
          <w:lang w:val="es-ES_tradnl"/>
        </w:rPr>
        <w:t xml:space="preserve">la establecida en el mandamiento ejecutivo, </w:t>
      </w:r>
      <w:r w:rsidR="009039B2">
        <w:rPr>
          <w:rFonts w:ascii="Century Gothic" w:hAnsi="Century Gothic"/>
          <w:sz w:val="22"/>
          <w:szCs w:val="22"/>
          <w:lang w:val="es-ES_tradnl"/>
        </w:rPr>
        <w:t>es decir</w:t>
      </w:r>
      <w:r w:rsidR="00A34DB0">
        <w:rPr>
          <w:rFonts w:ascii="Century Gothic" w:hAnsi="Century Gothic"/>
          <w:sz w:val="22"/>
          <w:szCs w:val="22"/>
          <w:lang w:val="es-ES_tradnl"/>
        </w:rPr>
        <w:t>,</w:t>
      </w:r>
      <w:r w:rsidR="009039B2">
        <w:rPr>
          <w:rFonts w:ascii="Century Gothic" w:hAnsi="Century Gothic"/>
          <w:sz w:val="22"/>
          <w:szCs w:val="22"/>
          <w:lang w:val="es-ES_tradnl"/>
        </w:rPr>
        <w:t xml:space="preserve"> </w:t>
      </w:r>
      <w:r w:rsidR="006F1689" w:rsidRPr="009039B2">
        <w:rPr>
          <w:rFonts w:ascii="Century Gothic" w:hAnsi="Century Gothic"/>
          <w:sz w:val="22"/>
          <w:szCs w:val="22"/>
          <w:lang w:val="es-ES_tradnl"/>
        </w:rPr>
        <w:t>“</w:t>
      </w:r>
      <w:r w:rsidR="006F1689" w:rsidRPr="009039B2">
        <w:rPr>
          <w:rFonts w:ascii="Century Gothic" w:hAnsi="Century Gothic"/>
          <w:i/>
          <w:sz w:val="22"/>
          <w:szCs w:val="22"/>
        </w:rPr>
        <w:t xml:space="preserve">el 3 de diciembre de 2005” </w:t>
      </w:r>
      <w:r w:rsidR="006F1689" w:rsidRPr="009039B2">
        <w:rPr>
          <w:rFonts w:ascii="Century Gothic" w:hAnsi="Century Gothic"/>
          <w:sz w:val="22"/>
          <w:szCs w:val="22"/>
        </w:rPr>
        <w:t>(ver págs. 3 y 8) y esto no fue objeto de apelación, se mantendrá esta última</w:t>
      </w:r>
      <w:r w:rsidR="00141B9C">
        <w:rPr>
          <w:rFonts w:ascii="Century Gothic" w:hAnsi="Century Gothic"/>
          <w:sz w:val="22"/>
          <w:szCs w:val="22"/>
        </w:rPr>
        <w:t xml:space="preserve"> para efectos de la determinación de los intereses</w:t>
      </w:r>
      <w:r w:rsidR="00A34DB0">
        <w:rPr>
          <w:rFonts w:ascii="Century Gothic" w:hAnsi="Century Gothic"/>
          <w:sz w:val="22"/>
          <w:szCs w:val="22"/>
        </w:rPr>
        <w:t xml:space="preserve"> a favor del ejecutante, </w:t>
      </w:r>
      <w:r w:rsidR="00B85011">
        <w:rPr>
          <w:rFonts w:ascii="Century Gothic" w:hAnsi="Century Gothic"/>
          <w:sz w:val="22"/>
          <w:szCs w:val="22"/>
        </w:rPr>
        <w:t xml:space="preserve">en aras </w:t>
      </w:r>
      <w:r w:rsidR="00A34DB0">
        <w:rPr>
          <w:rFonts w:ascii="Century Gothic" w:hAnsi="Century Gothic"/>
          <w:sz w:val="22"/>
          <w:szCs w:val="22"/>
        </w:rPr>
        <w:t>de no hacer más gravosa la pena impuesta al apelante único (</w:t>
      </w:r>
      <w:r w:rsidR="00141B9C">
        <w:rPr>
          <w:rFonts w:ascii="Century Gothic" w:hAnsi="Century Gothic"/>
          <w:sz w:val="22"/>
          <w:szCs w:val="22"/>
        </w:rPr>
        <w:t xml:space="preserve">en aplicación del principio de </w:t>
      </w:r>
      <w:r w:rsidR="00141B9C">
        <w:rPr>
          <w:rFonts w:ascii="Century Gothic" w:hAnsi="Century Gothic"/>
          <w:i/>
          <w:sz w:val="22"/>
          <w:szCs w:val="22"/>
        </w:rPr>
        <w:t xml:space="preserve">non </w:t>
      </w:r>
      <w:proofErr w:type="spellStart"/>
      <w:r w:rsidR="00141B9C">
        <w:rPr>
          <w:rFonts w:ascii="Century Gothic" w:hAnsi="Century Gothic"/>
          <w:i/>
          <w:sz w:val="22"/>
          <w:szCs w:val="22"/>
        </w:rPr>
        <w:t>reformatio</w:t>
      </w:r>
      <w:proofErr w:type="spellEnd"/>
      <w:r w:rsidR="00141B9C">
        <w:rPr>
          <w:rFonts w:ascii="Century Gothic" w:hAnsi="Century Gothic"/>
          <w:i/>
          <w:sz w:val="22"/>
          <w:szCs w:val="22"/>
        </w:rPr>
        <w:t xml:space="preserve"> in </w:t>
      </w:r>
      <w:proofErr w:type="spellStart"/>
      <w:r w:rsidR="00141B9C">
        <w:rPr>
          <w:rFonts w:ascii="Century Gothic" w:hAnsi="Century Gothic"/>
          <w:i/>
          <w:sz w:val="22"/>
          <w:szCs w:val="22"/>
        </w:rPr>
        <w:t>pejus</w:t>
      </w:r>
      <w:proofErr w:type="spellEnd"/>
      <w:r w:rsidR="00A34DB0">
        <w:rPr>
          <w:rFonts w:ascii="Century Gothic" w:hAnsi="Century Gothic"/>
          <w:sz w:val="22"/>
          <w:szCs w:val="22"/>
        </w:rPr>
        <w:t xml:space="preserve"> –artículo </w:t>
      </w:r>
      <w:r w:rsidR="00B85011">
        <w:rPr>
          <w:rFonts w:ascii="Century Gothic" w:hAnsi="Century Gothic"/>
          <w:sz w:val="22"/>
          <w:szCs w:val="22"/>
        </w:rPr>
        <w:t>32</w:t>
      </w:r>
      <w:r w:rsidR="00B85011">
        <w:rPr>
          <w:rStyle w:val="Refdenotaalpie"/>
          <w:rFonts w:ascii="Century Gothic" w:hAnsi="Century Gothic"/>
          <w:sz w:val="22"/>
          <w:szCs w:val="22"/>
        </w:rPr>
        <w:footnoteReference w:id="11"/>
      </w:r>
      <w:r w:rsidR="00B85011">
        <w:rPr>
          <w:rFonts w:ascii="Century Gothic" w:hAnsi="Century Gothic"/>
          <w:sz w:val="22"/>
          <w:szCs w:val="22"/>
        </w:rPr>
        <w:t xml:space="preserve"> Superior</w:t>
      </w:r>
      <w:r w:rsidR="00711F9D">
        <w:rPr>
          <w:rFonts w:ascii="Century Gothic" w:hAnsi="Century Gothic"/>
          <w:sz w:val="22"/>
          <w:szCs w:val="22"/>
        </w:rPr>
        <w:t>–</w:t>
      </w:r>
      <w:r w:rsidR="00A34DB0">
        <w:rPr>
          <w:rFonts w:ascii="Century Gothic" w:hAnsi="Century Gothic"/>
          <w:sz w:val="22"/>
          <w:szCs w:val="22"/>
        </w:rPr>
        <w:t>)</w:t>
      </w:r>
      <w:r w:rsidR="006F1689" w:rsidRPr="00896281">
        <w:rPr>
          <w:rFonts w:ascii="Century Gothic" w:hAnsi="Century Gothic"/>
          <w:i/>
          <w:sz w:val="22"/>
          <w:szCs w:val="22"/>
          <w:lang w:val="es-ES_tradnl"/>
        </w:rPr>
        <w:t>.</w:t>
      </w:r>
    </w:p>
    <w:p w14:paraId="0496CCC9" w14:textId="77777777" w:rsidR="00264E40" w:rsidRPr="009039B2" w:rsidRDefault="00264E40" w:rsidP="00AA333B">
      <w:pPr>
        <w:spacing w:line="360" w:lineRule="auto"/>
        <w:jc w:val="both"/>
        <w:rPr>
          <w:rFonts w:ascii="Century Gothic" w:hAnsi="Century Gothic"/>
          <w:sz w:val="22"/>
          <w:szCs w:val="22"/>
        </w:rPr>
      </w:pPr>
    </w:p>
    <w:p w14:paraId="283AE61B" w14:textId="77777777" w:rsidR="00D17B47" w:rsidRPr="009039B2" w:rsidRDefault="00D17B47" w:rsidP="00AA333B">
      <w:pPr>
        <w:spacing w:line="360" w:lineRule="auto"/>
        <w:jc w:val="both"/>
        <w:rPr>
          <w:rFonts w:ascii="Century Gothic" w:hAnsi="Century Gothic"/>
          <w:sz w:val="22"/>
          <w:szCs w:val="22"/>
        </w:rPr>
      </w:pPr>
      <w:bookmarkStart w:id="9" w:name="_Hlk21098675"/>
      <w:r w:rsidRPr="009039B2">
        <w:rPr>
          <w:rFonts w:ascii="Century Gothic" w:hAnsi="Century Gothic"/>
          <w:sz w:val="22"/>
          <w:szCs w:val="22"/>
        </w:rPr>
        <w:t xml:space="preserve">Así las cosas, se concluye que el título complejo sobre el cual el IDU edificó </w:t>
      </w:r>
      <w:r w:rsidR="0039764C" w:rsidRPr="009039B2">
        <w:rPr>
          <w:rFonts w:ascii="Century Gothic" w:hAnsi="Century Gothic"/>
          <w:sz w:val="22"/>
          <w:szCs w:val="22"/>
        </w:rPr>
        <w:t>la</w:t>
      </w:r>
      <w:r w:rsidRPr="009039B2">
        <w:rPr>
          <w:rFonts w:ascii="Century Gothic" w:hAnsi="Century Gothic"/>
          <w:sz w:val="22"/>
          <w:szCs w:val="22"/>
        </w:rPr>
        <w:t xml:space="preserve"> pretensión </w:t>
      </w:r>
      <w:r w:rsidR="0039764C" w:rsidRPr="009039B2">
        <w:rPr>
          <w:rFonts w:ascii="Century Gothic" w:hAnsi="Century Gothic"/>
          <w:sz w:val="22"/>
          <w:szCs w:val="22"/>
        </w:rPr>
        <w:t xml:space="preserve">ejecutiva contra </w:t>
      </w:r>
      <w:r w:rsidRPr="009039B2">
        <w:rPr>
          <w:rFonts w:ascii="Century Gothic" w:hAnsi="Century Gothic"/>
          <w:sz w:val="22"/>
          <w:szCs w:val="22"/>
        </w:rPr>
        <w:t>CONFIANZA S.A. se encuentra debidamente conformado y presta mérito ejecutivo</w:t>
      </w:r>
      <w:bookmarkEnd w:id="9"/>
      <w:r w:rsidRPr="009039B2">
        <w:rPr>
          <w:rFonts w:ascii="Century Gothic" w:hAnsi="Century Gothic"/>
          <w:sz w:val="22"/>
          <w:szCs w:val="22"/>
        </w:rPr>
        <w:t>, razón por la cual se procede a analizar las excepciones de fondo propuestas por es</w:t>
      </w:r>
      <w:r w:rsidR="0039764C" w:rsidRPr="009039B2">
        <w:rPr>
          <w:rFonts w:ascii="Century Gothic" w:hAnsi="Century Gothic"/>
          <w:sz w:val="22"/>
          <w:szCs w:val="22"/>
        </w:rPr>
        <w:t>ta</w:t>
      </w:r>
      <w:r w:rsidRPr="009039B2">
        <w:rPr>
          <w:rFonts w:ascii="Century Gothic" w:hAnsi="Century Gothic"/>
          <w:sz w:val="22"/>
          <w:szCs w:val="22"/>
        </w:rPr>
        <w:t xml:space="preserve"> aseguradora.</w:t>
      </w:r>
    </w:p>
    <w:p w14:paraId="769A5E4A" w14:textId="77777777" w:rsidR="007D2993" w:rsidRPr="009039B2" w:rsidRDefault="007D2993" w:rsidP="00AA333B">
      <w:pPr>
        <w:spacing w:line="360" w:lineRule="auto"/>
        <w:jc w:val="both"/>
        <w:rPr>
          <w:rFonts w:ascii="Century Gothic" w:hAnsi="Century Gothic"/>
          <w:sz w:val="22"/>
          <w:szCs w:val="22"/>
        </w:rPr>
      </w:pPr>
    </w:p>
    <w:p w14:paraId="1B203DD6" w14:textId="77777777" w:rsidR="007D2993" w:rsidRPr="009039B2" w:rsidRDefault="007D2993" w:rsidP="00AA333B">
      <w:pPr>
        <w:spacing w:line="360" w:lineRule="auto"/>
        <w:jc w:val="both"/>
        <w:rPr>
          <w:rFonts w:ascii="Century Gothic" w:hAnsi="Century Gothic"/>
          <w:b/>
          <w:sz w:val="22"/>
          <w:szCs w:val="22"/>
        </w:rPr>
      </w:pPr>
      <w:r w:rsidRPr="009039B2">
        <w:rPr>
          <w:rFonts w:ascii="Century Gothic" w:hAnsi="Century Gothic"/>
          <w:b/>
          <w:sz w:val="22"/>
          <w:szCs w:val="22"/>
        </w:rPr>
        <w:t>6</w:t>
      </w:r>
      <w:r w:rsidR="005F1419" w:rsidRPr="009039B2">
        <w:rPr>
          <w:rFonts w:ascii="Century Gothic" w:hAnsi="Century Gothic"/>
          <w:b/>
          <w:sz w:val="22"/>
          <w:szCs w:val="22"/>
        </w:rPr>
        <w:t>.-</w:t>
      </w:r>
      <w:r w:rsidRPr="009039B2">
        <w:rPr>
          <w:rFonts w:ascii="Century Gothic" w:hAnsi="Century Gothic"/>
          <w:b/>
          <w:sz w:val="22"/>
          <w:szCs w:val="22"/>
        </w:rPr>
        <w:t xml:space="preserve"> Excepciones de mérito pasibles de interposici</w:t>
      </w:r>
      <w:r w:rsidR="005F1419" w:rsidRPr="009039B2">
        <w:rPr>
          <w:rFonts w:ascii="Century Gothic" w:hAnsi="Century Gothic"/>
          <w:b/>
          <w:sz w:val="22"/>
          <w:szCs w:val="22"/>
        </w:rPr>
        <w:t>ón en un proceso ejecutivo</w:t>
      </w:r>
      <w:r w:rsidRPr="009039B2">
        <w:rPr>
          <w:rFonts w:ascii="Century Gothic" w:hAnsi="Century Gothic"/>
          <w:b/>
          <w:sz w:val="22"/>
          <w:szCs w:val="22"/>
        </w:rPr>
        <w:t>.</w:t>
      </w:r>
    </w:p>
    <w:p w14:paraId="3EF10572" w14:textId="77777777" w:rsidR="00264E40" w:rsidRPr="009039B2" w:rsidRDefault="00264E40" w:rsidP="00AA333B">
      <w:pPr>
        <w:spacing w:line="360" w:lineRule="auto"/>
        <w:jc w:val="both"/>
        <w:rPr>
          <w:rFonts w:ascii="Century Gothic" w:hAnsi="Century Gothic"/>
          <w:sz w:val="22"/>
          <w:szCs w:val="22"/>
        </w:rPr>
      </w:pPr>
    </w:p>
    <w:p w14:paraId="3F6AC3ED" w14:textId="77777777" w:rsidR="00D17B47" w:rsidRDefault="009039B2" w:rsidP="00AA333B">
      <w:pPr>
        <w:spacing w:line="360" w:lineRule="auto"/>
        <w:jc w:val="both"/>
        <w:rPr>
          <w:rFonts w:ascii="Century Gothic" w:hAnsi="Century Gothic"/>
          <w:sz w:val="22"/>
          <w:szCs w:val="22"/>
        </w:rPr>
      </w:pPr>
      <w:bookmarkStart w:id="10" w:name="_Hlk21099629"/>
      <w:r>
        <w:rPr>
          <w:rFonts w:ascii="Century Gothic" w:hAnsi="Century Gothic"/>
          <w:sz w:val="22"/>
          <w:szCs w:val="22"/>
        </w:rPr>
        <w:t>D</w:t>
      </w:r>
      <w:r w:rsidR="00A82674" w:rsidRPr="009039B2">
        <w:rPr>
          <w:rFonts w:ascii="Century Gothic" w:hAnsi="Century Gothic"/>
          <w:sz w:val="22"/>
          <w:szCs w:val="22"/>
        </w:rPr>
        <w:t>esde 2005</w:t>
      </w:r>
      <w:r w:rsidR="007D2993" w:rsidRPr="009039B2">
        <w:rPr>
          <w:rFonts w:ascii="Century Gothic" w:hAnsi="Century Gothic"/>
          <w:sz w:val="22"/>
          <w:szCs w:val="22"/>
        </w:rPr>
        <w:t xml:space="preserve"> (sentencia </w:t>
      </w:r>
      <w:r>
        <w:rPr>
          <w:rFonts w:ascii="Century Gothic" w:hAnsi="Century Gothic"/>
          <w:sz w:val="22"/>
          <w:szCs w:val="22"/>
        </w:rPr>
        <w:t xml:space="preserve">del </w:t>
      </w:r>
      <w:r w:rsidR="00305EAD" w:rsidRPr="009039B2">
        <w:rPr>
          <w:rFonts w:ascii="Century Gothic" w:hAnsi="Century Gothic"/>
          <w:sz w:val="22"/>
          <w:szCs w:val="22"/>
        </w:rPr>
        <w:t xml:space="preserve">27 de julio de ese año, </w:t>
      </w:r>
      <w:r>
        <w:rPr>
          <w:rFonts w:ascii="Century Gothic" w:hAnsi="Century Gothic"/>
          <w:sz w:val="22"/>
          <w:szCs w:val="22"/>
        </w:rPr>
        <w:t xml:space="preserve">proferida </w:t>
      </w:r>
      <w:r w:rsidR="007D2993" w:rsidRPr="009039B2">
        <w:rPr>
          <w:rFonts w:ascii="Century Gothic" w:hAnsi="Century Gothic"/>
          <w:sz w:val="22"/>
          <w:szCs w:val="22"/>
        </w:rPr>
        <w:t xml:space="preserve">por la </w:t>
      </w:r>
      <w:r w:rsidR="00405444" w:rsidRPr="009039B2">
        <w:rPr>
          <w:rFonts w:ascii="Century Gothic" w:hAnsi="Century Gothic"/>
          <w:sz w:val="22"/>
          <w:szCs w:val="22"/>
        </w:rPr>
        <w:t>S</w:t>
      </w:r>
      <w:r w:rsidR="007D2993" w:rsidRPr="009039B2">
        <w:rPr>
          <w:rFonts w:ascii="Century Gothic" w:hAnsi="Century Gothic"/>
          <w:sz w:val="22"/>
          <w:szCs w:val="22"/>
        </w:rPr>
        <w:t xml:space="preserve">ección </w:t>
      </w:r>
      <w:r w:rsidR="00405444" w:rsidRPr="009039B2">
        <w:rPr>
          <w:rFonts w:ascii="Century Gothic" w:hAnsi="Century Gothic"/>
          <w:sz w:val="22"/>
          <w:szCs w:val="22"/>
        </w:rPr>
        <w:t>Tercera</w:t>
      </w:r>
      <w:r w:rsidR="00305EAD" w:rsidRPr="009039B2">
        <w:rPr>
          <w:rFonts w:ascii="Century Gothic" w:hAnsi="Century Gothic"/>
          <w:sz w:val="22"/>
          <w:szCs w:val="22"/>
        </w:rPr>
        <w:t>,</w:t>
      </w:r>
      <w:r w:rsidR="00405444" w:rsidRPr="009039B2">
        <w:rPr>
          <w:rFonts w:ascii="Century Gothic" w:hAnsi="Century Gothic"/>
          <w:sz w:val="22"/>
          <w:szCs w:val="22"/>
        </w:rPr>
        <w:t xml:space="preserve"> en el proceso 23565)</w:t>
      </w:r>
      <w:r w:rsidR="00A82674" w:rsidRPr="009039B2">
        <w:rPr>
          <w:rFonts w:ascii="Century Gothic" w:hAnsi="Century Gothic"/>
          <w:sz w:val="22"/>
          <w:szCs w:val="22"/>
        </w:rPr>
        <w:t xml:space="preserve">, </w:t>
      </w:r>
      <w:r>
        <w:rPr>
          <w:rFonts w:ascii="Century Gothic" w:hAnsi="Century Gothic"/>
          <w:sz w:val="22"/>
          <w:szCs w:val="22"/>
        </w:rPr>
        <w:t>l</w:t>
      </w:r>
      <w:r w:rsidRPr="009039B2">
        <w:rPr>
          <w:rFonts w:ascii="Century Gothic" w:hAnsi="Century Gothic"/>
          <w:sz w:val="22"/>
          <w:szCs w:val="22"/>
        </w:rPr>
        <w:t xml:space="preserve">a jurisprudencia de esta Corporación ha sido pacífica en señalar </w:t>
      </w:r>
      <w:r w:rsidR="00A82674" w:rsidRPr="009039B2">
        <w:rPr>
          <w:rFonts w:ascii="Century Gothic" w:hAnsi="Century Gothic"/>
          <w:sz w:val="22"/>
          <w:szCs w:val="22"/>
        </w:rPr>
        <w:t xml:space="preserve">que al juez de la ejecución le está vedado </w:t>
      </w:r>
      <w:bookmarkStart w:id="11" w:name="_Hlk21099561"/>
      <w:r w:rsidR="002367F7" w:rsidRPr="009039B2">
        <w:rPr>
          <w:rFonts w:ascii="Century Gothic" w:hAnsi="Century Gothic"/>
          <w:sz w:val="22"/>
          <w:szCs w:val="22"/>
        </w:rPr>
        <w:t>el</w:t>
      </w:r>
      <w:r w:rsidR="00A82674" w:rsidRPr="009039B2">
        <w:rPr>
          <w:rFonts w:ascii="Century Gothic" w:hAnsi="Century Gothic"/>
          <w:sz w:val="22"/>
          <w:szCs w:val="22"/>
        </w:rPr>
        <w:t xml:space="preserve"> análisis de legalidad de los actos administrativos </w:t>
      </w:r>
      <w:bookmarkEnd w:id="11"/>
      <w:r w:rsidR="00A82674" w:rsidRPr="009039B2">
        <w:rPr>
          <w:rFonts w:ascii="Century Gothic" w:hAnsi="Century Gothic"/>
          <w:sz w:val="22"/>
          <w:szCs w:val="22"/>
        </w:rPr>
        <w:t>que se aduzcan como integrantes de un título base de recaudo ejecutivo, comoquiera que</w:t>
      </w:r>
      <w:r>
        <w:rPr>
          <w:rFonts w:ascii="Century Gothic" w:hAnsi="Century Gothic"/>
          <w:sz w:val="22"/>
          <w:szCs w:val="22"/>
        </w:rPr>
        <w:t xml:space="preserve"> esa tarea</w:t>
      </w:r>
      <w:r w:rsidR="00A82674" w:rsidRPr="009039B2">
        <w:rPr>
          <w:rFonts w:ascii="Century Gothic" w:hAnsi="Century Gothic"/>
          <w:sz w:val="22"/>
          <w:szCs w:val="22"/>
        </w:rPr>
        <w:t xml:space="preserve"> es una facultad exclusiva del juez ordinario –bien el de </w:t>
      </w:r>
      <w:r>
        <w:rPr>
          <w:rFonts w:ascii="Century Gothic" w:hAnsi="Century Gothic"/>
          <w:sz w:val="22"/>
          <w:szCs w:val="22"/>
        </w:rPr>
        <w:t xml:space="preserve">la </w:t>
      </w:r>
      <w:r w:rsidR="00A82674" w:rsidRPr="009039B2">
        <w:rPr>
          <w:rFonts w:ascii="Century Gothic" w:hAnsi="Century Gothic"/>
          <w:sz w:val="22"/>
          <w:szCs w:val="22"/>
        </w:rPr>
        <w:t>nulidad</w:t>
      </w:r>
      <w:r>
        <w:rPr>
          <w:rFonts w:ascii="Century Gothic" w:hAnsi="Century Gothic"/>
          <w:sz w:val="22"/>
          <w:szCs w:val="22"/>
        </w:rPr>
        <w:t>, bien el de la nulidad y restablecimiento del derecho, o bien</w:t>
      </w:r>
      <w:r w:rsidR="00A82674" w:rsidRPr="009039B2">
        <w:rPr>
          <w:rFonts w:ascii="Century Gothic" w:hAnsi="Century Gothic"/>
          <w:sz w:val="22"/>
          <w:szCs w:val="22"/>
        </w:rPr>
        <w:t xml:space="preserve"> el de las controversias contractuales–, </w:t>
      </w:r>
      <w:r>
        <w:rPr>
          <w:rFonts w:ascii="Century Gothic" w:hAnsi="Century Gothic"/>
          <w:sz w:val="22"/>
          <w:szCs w:val="22"/>
        </w:rPr>
        <w:t xml:space="preserve">pues </w:t>
      </w:r>
      <w:r w:rsidR="00A82674" w:rsidRPr="009039B2">
        <w:rPr>
          <w:rFonts w:ascii="Century Gothic" w:hAnsi="Century Gothic"/>
          <w:sz w:val="22"/>
          <w:szCs w:val="22"/>
        </w:rPr>
        <w:t>no de otro modo se garantizaría</w:t>
      </w:r>
      <w:r>
        <w:rPr>
          <w:rFonts w:ascii="Century Gothic" w:hAnsi="Century Gothic"/>
          <w:sz w:val="22"/>
          <w:szCs w:val="22"/>
        </w:rPr>
        <w:t>n</w:t>
      </w:r>
      <w:r w:rsidR="00D70E91" w:rsidRPr="009039B2">
        <w:rPr>
          <w:rFonts w:ascii="Century Gothic" w:hAnsi="Century Gothic"/>
          <w:sz w:val="22"/>
          <w:szCs w:val="22"/>
        </w:rPr>
        <w:t xml:space="preserve"> </w:t>
      </w:r>
      <w:r w:rsidR="007D2993" w:rsidRPr="009039B2">
        <w:rPr>
          <w:rFonts w:ascii="Century Gothic" w:hAnsi="Century Gothic"/>
          <w:sz w:val="22"/>
          <w:szCs w:val="22"/>
        </w:rPr>
        <w:t xml:space="preserve">los principios </w:t>
      </w:r>
      <w:r w:rsidR="00D70E91" w:rsidRPr="009039B2">
        <w:rPr>
          <w:rFonts w:ascii="Century Gothic" w:hAnsi="Century Gothic"/>
          <w:sz w:val="22"/>
          <w:szCs w:val="22"/>
        </w:rPr>
        <w:t>de</w:t>
      </w:r>
      <w:r>
        <w:rPr>
          <w:rFonts w:ascii="Century Gothic" w:hAnsi="Century Gothic"/>
          <w:sz w:val="22"/>
          <w:szCs w:val="22"/>
        </w:rPr>
        <w:t>l</w:t>
      </w:r>
      <w:r w:rsidR="00D70E91" w:rsidRPr="009039B2">
        <w:rPr>
          <w:rFonts w:ascii="Century Gothic" w:hAnsi="Century Gothic"/>
          <w:sz w:val="22"/>
          <w:szCs w:val="22"/>
        </w:rPr>
        <w:t xml:space="preserve"> juez natural</w:t>
      </w:r>
      <w:r w:rsidR="00D70E91" w:rsidRPr="009039B2">
        <w:rPr>
          <w:rStyle w:val="Refdenotaalpie"/>
          <w:rFonts w:ascii="Century Gothic" w:hAnsi="Century Gothic"/>
          <w:sz w:val="22"/>
          <w:szCs w:val="22"/>
        </w:rPr>
        <w:footnoteReference w:id="12"/>
      </w:r>
      <w:r w:rsidR="00D70E91" w:rsidRPr="009039B2">
        <w:rPr>
          <w:rFonts w:ascii="Century Gothic" w:hAnsi="Century Gothic"/>
          <w:sz w:val="22"/>
          <w:szCs w:val="22"/>
        </w:rPr>
        <w:t xml:space="preserve"> </w:t>
      </w:r>
      <w:r w:rsidR="007D2993" w:rsidRPr="009039B2">
        <w:rPr>
          <w:rFonts w:ascii="Century Gothic" w:hAnsi="Century Gothic"/>
          <w:sz w:val="22"/>
          <w:szCs w:val="22"/>
        </w:rPr>
        <w:t>y de</w:t>
      </w:r>
      <w:r>
        <w:rPr>
          <w:rFonts w:ascii="Century Gothic" w:hAnsi="Century Gothic"/>
          <w:sz w:val="22"/>
          <w:szCs w:val="22"/>
        </w:rPr>
        <w:t>l</w:t>
      </w:r>
      <w:r w:rsidR="007D2993" w:rsidRPr="009039B2">
        <w:rPr>
          <w:rFonts w:ascii="Century Gothic" w:hAnsi="Century Gothic"/>
          <w:sz w:val="22"/>
          <w:szCs w:val="22"/>
        </w:rPr>
        <w:t xml:space="preserve"> debido proceso </w:t>
      </w:r>
      <w:r>
        <w:rPr>
          <w:rFonts w:ascii="Century Gothic" w:hAnsi="Century Gothic"/>
          <w:sz w:val="22"/>
          <w:szCs w:val="22"/>
        </w:rPr>
        <w:t>(</w:t>
      </w:r>
      <w:r w:rsidR="007D2993" w:rsidRPr="009039B2">
        <w:rPr>
          <w:rFonts w:ascii="Century Gothic" w:hAnsi="Century Gothic"/>
          <w:sz w:val="22"/>
          <w:szCs w:val="22"/>
        </w:rPr>
        <w:t>artículo 29</w:t>
      </w:r>
      <w:r w:rsidR="007D2993" w:rsidRPr="009039B2">
        <w:rPr>
          <w:rStyle w:val="Refdenotaalpie"/>
          <w:rFonts w:ascii="Century Gothic" w:hAnsi="Century Gothic"/>
          <w:sz w:val="22"/>
          <w:szCs w:val="22"/>
        </w:rPr>
        <w:footnoteReference w:id="13"/>
      </w:r>
      <w:r w:rsidR="007D2993" w:rsidRPr="009039B2">
        <w:rPr>
          <w:rFonts w:ascii="Century Gothic" w:hAnsi="Century Gothic"/>
          <w:sz w:val="22"/>
          <w:szCs w:val="22"/>
        </w:rPr>
        <w:t xml:space="preserve"> </w:t>
      </w:r>
      <w:r w:rsidR="00223675" w:rsidRPr="009039B2">
        <w:rPr>
          <w:rFonts w:ascii="Century Gothic" w:hAnsi="Century Gothic"/>
          <w:sz w:val="22"/>
          <w:szCs w:val="22"/>
        </w:rPr>
        <w:t xml:space="preserve"> </w:t>
      </w:r>
      <w:r w:rsidR="007D2993" w:rsidRPr="009039B2">
        <w:rPr>
          <w:rFonts w:ascii="Century Gothic" w:hAnsi="Century Gothic"/>
          <w:sz w:val="22"/>
          <w:szCs w:val="22"/>
        </w:rPr>
        <w:t>Superior</w:t>
      </w:r>
      <w:r>
        <w:rPr>
          <w:rFonts w:ascii="Century Gothic" w:hAnsi="Century Gothic"/>
          <w:sz w:val="22"/>
          <w:szCs w:val="22"/>
        </w:rPr>
        <w:t>)</w:t>
      </w:r>
      <w:r w:rsidR="007D2993" w:rsidRPr="009039B2">
        <w:rPr>
          <w:rFonts w:ascii="Century Gothic" w:hAnsi="Century Gothic"/>
          <w:sz w:val="22"/>
          <w:szCs w:val="22"/>
        </w:rPr>
        <w:t>.</w:t>
      </w:r>
    </w:p>
    <w:bookmarkEnd w:id="10"/>
    <w:p w14:paraId="7DEB28F2" w14:textId="77777777" w:rsidR="00AC5111" w:rsidRPr="009039B2" w:rsidRDefault="00AC5111" w:rsidP="00AA333B">
      <w:pPr>
        <w:spacing w:line="360" w:lineRule="auto"/>
        <w:jc w:val="both"/>
        <w:rPr>
          <w:rFonts w:ascii="Century Gothic" w:hAnsi="Century Gothic"/>
          <w:sz w:val="22"/>
          <w:szCs w:val="22"/>
        </w:rPr>
      </w:pPr>
    </w:p>
    <w:p w14:paraId="418EC18D" w14:textId="77777777" w:rsidR="00D70E91" w:rsidRPr="009039B2" w:rsidRDefault="00D70E91" w:rsidP="00AA333B">
      <w:pPr>
        <w:spacing w:line="360" w:lineRule="auto"/>
        <w:jc w:val="both"/>
        <w:rPr>
          <w:rFonts w:ascii="Century Gothic" w:hAnsi="Century Gothic"/>
          <w:sz w:val="22"/>
          <w:szCs w:val="22"/>
        </w:rPr>
      </w:pPr>
      <w:r w:rsidRPr="009039B2">
        <w:rPr>
          <w:rFonts w:ascii="Century Gothic" w:hAnsi="Century Gothic"/>
          <w:sz w:val="22"/>
          <w:szCs w:val="22"/>
        </w:rPr>
        <w:t xml:space="preserve">Bajo este entendimiento, la jurisprudencia también ha manifestado que las excepciones de mérito susceptibles de proponerse en un proceso ejecutivo excluyen todas aquéllas que impliquen un </w:t>
      </w:r>
      <w:bookmarkStart w:id="12" w:name="_Hlk21099710"/>
      <w:r w:rsidRPr="009039B2">
        <w:rPr>
          <w:rFonts w:ascii="Century Gothic" w:hAnsi="Century Gothic"/>
          <w:sz w:val="22"/>
          <w:szCs w:val="22"/>
        </w:rPr>
        <w:t xml:space="preserve">reproche a la legalidad de los actos administrativos contentivos del título </w:t>
      </w:r>
      <w:bookmarkEnd w:id="12"/>
      <w:r w:rsidRPr="009039B2">
        <w:rPr>
          <w:rFonts w:ascii="Century Gothic" w:hAnsi="Century Gothic"/>
          <w:sz w:val="22"/>
          <w:szCs w:val="22"/>
        </w:rPr>
        <w:t>y</w:t>
      </w:r>
      <w:r w:rsidR="00AC5111">
        <w:rPr>
          <w:rFonts w:ascii="Century Gothic" w:hAnsi="Century Gothic"/>
          <w:sz w:val="22"/>
          <w:szCs w:val="22"/>
        </w:rPr>
        <w:t xml:space="preserve"> que</w:t>
      </w:r>
      <w:r w:rsidRPr="009039B2">
        <w:rPr>
          <w:rFonts w:ascii="Century Gothic" w:hAnsi="Century Gothic"/>
          <w:sz w:val="22"/>
          <w:szCs w:val="22"/>
        </w:rPr>
        <w:t>, en consecuencia, sólo son</w:t>
      </w:r>
      <w:r w:rsidR="009039B2">
        <w:rPr>
          <w:rFonts w:ascii="Century Gothic" w:hAnsi="Century Gothic"/>
          <w:sz w:val="22"/>
          <w:szCs w:val="22"/>
        </w:rPr>
        <w:t xml:space="preserve"> viables</w:t>
      </w:r>
      <w:r w:rsidRPr="009039B2">
        <w:rPr>
          <w:rFonts w:ascii="Century Gothic" w:hAnsi="Century Gothic"/>
          <w:sz w:val="22"/>
          <w:szCs w:val="22"/>
        </w:rPr>
        <w:t xml:space="preserve"> las que taxativamente enuncia </w:t>
      </w:r>
      <w:r w:rsidR="00AC5111">
        <w:rPr>
          <w:rFonts w:ascii="Century Gothic" w:hAnsi="Century Gothic"/>
          <w:sz w:val="22"/>
          <w:szCs w:val="22"/>
        </w:rPr>
        <w:t xml:space="preserve">el </w:t>
      </w:r>
      <w:r w:rsidR="00512BD8" w:rsidRPr="009039B2">
        <w:rPr>
          <w:rFonts w:ascii="Century Gothic" w:hAnsi="Century Gothic"/>
          <w:sz w:val="22"/>
          <w:szCs w:val="22"/>
        </w:rPr>
        <w:t>numeral 2 d</w:t>
      </w:r>
      <w:r w:rsidRPr="009039B2">
        <w:rPr>
          <w:rFonts w:ascii="Century Gothic" w:hAnsi="Century Gothic"/>
          <w:sz w:val="22"/>
          <w:szCs w:val="22"/>
        </w:rPr>
        <w:t xml:space="preserve">el artículo </w:t>
      </w:r>
      <w:r w:rsidR="00512BD8" w:rsidRPr="009039B2">
        <w:rPr>
          <w:rFonts w:ascii="Century Gothic" w:hAnsi="Century Gothic"/>
          <w:sz w:val="22"/>
          <w:szCs w:val="22"/>
        </w:rPr>
        <w:t>509 del Cód. de P.C.</w:t>
      </w:r>
      <w:r w:rsidR="007D2993" w:rsidRPr="009039B2">
        <w:rPr>
          <w:rFonts w:ascii="Century Gothic" w:hAnsi="Century Gothic"/>
          <w:sz w:val="22"/>
          <w:szCs w:val="22"/>
        </w:rPr>
        <w:t>, con la aclaración de que dicha norma resulta aplicable tanto en los casos en los cuales el título ejecutivo está compuesto por providencias judiciales, como también en aquellos en los cuales el título de recaudo está integrado por un acto administrativo</w:t>
      </w:r>
      <w:r w:rsidR="00405444" w:rsidRPr="009039B2">
        <w:rPr>
          <w:rFonts w:ascii="Century Gothic" w:hAnsi="Century Gothic"/>
          <w:sz w:val="22"/>
          <w:szCs w:val="22"/>
        </w:rPr>
        <w:t xml:space="preserve"> (se transcribe</w:t>
      </w:r>
      <w:r w:rsidR="009039B2">
        <w:rPr>
          <w:rFonts w:ascii="Century Gothic" w:hAnsi="Century Gothic"/>
          <w:sz w:val="22"/>
          <w:szCs w:val="22"/>
        </w:rPr>
        <w:t xml:space="preserve"> </w:t>
      </w:r>
      <w:r w:rsidR="009039B2">
        <w:rPr>
          <w:rFonts w:ascii="Century Gothic" w:hAnsi="Century Gothic"/>
          <w:i/>
          <w:sz w:val="22"/>
          <w:szCs w:val="22"/>
        </w:rPr>
        <w:t xml:space="preserve">in extenso </w:t>
      </w:r>
      <w:r w:rsidR="009039B2">
        <w:rPr>
          <w:rFonts w:ascii="Century Gothic" w:hAnsi="Century Gothic"/>
          <w:sz w:val="22"/>
          <w:szCs w:val="22"/>
        </w:rPr>
        <w:t>esta parte</w:t>
      </w:r>
      <w:r w:rsidR="00405444" w:rsidRPr="009039B2">
        <w:rPr>
          <w:rFonts w:ascii="Century Gothic" w:hAnsi="Century Gothic"/>
          <w:sz w:val="22"/>
          <w:szCs w:val="22"/>
        </w:rPr>
        <w:t xml:space="preserve"> </w:t>
      </w:r>
      <w:r w:rsidR="003B4CDD" w:rsidRPr="009039B2">
        <w:rPr>
          <w:rFonts w:ascii="Century Gothic" w:hAnsi="Century Gothic"/>
          <w:sz w:val="22"/>
          <w:szCs w:val="22"/>
        </w:rPr>
        <w:t xml:space="preserve">la </w:t>
      </w:r>
      <w:r w:rsidR="009039B2">
        <w:rPr>
          <w:rFonts w:ascii="Century Gothic" w:hAnsi="Century Gothic"/>
          <w:sz w:val="22"/>
          <w:szCs w:val="22"/>
        </w:rPr>
        <w:t xml:space="preserve">citada </w:t>
      </w:r>
      <w:r w:rsidR="003B4CDD" w:rsidRPr="009039B2">
        <w:rPr>
          <w:rFonts w:ascii="Century Gothic" w:hAnsi="Century Gothic"/>
          <w:sz w:val="22"/>
          <w:szCs w:val="22"/>
        </w:rPr>
        <w:t xml:space="preserve">sentencia </w:t>
      </w:r>
      <w:r w:rsidR="00896281" w:rsidRPr="009039B2">
        <w:rPr>
          <w:rFonts w:ascii="Century Gothic" w:hAnsi="Century Gothic"/>
          <w:sz w:val="22"/>
          <w:szCs w:val="22"/>
        </w:rPr>
        <w:t>27 de julio de ese año</w:t>
      </w:r>
      <w:r w:rsidR="00896281">
        <w:rPr>
          <w:rFonts w:ascii="Century Gothic" w:hAnsi="Century Gothic"/>
          <w:sz w:val="22"/>
          <w:szCs w:val="22"/>
        </w:rPr>
        <w:t xml:space="preserve"> –aludida </w:t>
      </w:r>
      <w:r w:rsidR="00AC5111">
        <w:rPr>
          <w:rFonts w:ascii="Century Gothic" w:hAnsi="Century Gothic"/>
          <w:sz w:val="22"/>
          <w:szCs w:val="22"/>
        </w:rPr>
        <w:t>en el párrafo anterior</w:t>
      </w:r>
      <w:r w:rsidR="00896281">
        <w:rPr>
          <w:rFonts w:ascii="Century Gothic" w:hAnsi="Century Gothic"/>
          <w:sz w:val="22"/>
          <w:szCs w:val="22"/>
        </w:rPr>
        <w:t>–</w:t>
      </w:r>
      <w:r w:rsidR="00405444" w:rsidRPr="009039B2">
        <w:rPr>
          <w:rFonts w:ascii="Century Gothic" w:hAnsi="Century Gothic"/>
          <w:sz w:val="22"/>
          <w:szCs w:val="22"/>
        </w:rPr>
        <w:t xml:space="preserve">, dada su claridad y </w:t>
      </w:r>
      <w:r w:rsidR="00896281">
        <w:rPr>
          <w:rFonts w:ascii="Century Gothic" w:hAnsi="Century Gothic"/>
          <w:sz w:val="22"/>
          <w:szCs w:val="22"/>
        </w:rPr>
        <w:t xml:space="preserve">su </w:t>
      </w:r>
      <w:r w:rsidR="00405444" w:rsidRPr="009039B2">
        <w:rPr>
          <w:rFonts w:ascii="Century Gothic" w:hAnsi="Century Gothic"/>
          <w:sz w:val="22"/>
          <w:szCs w:val="22"/>
        </w:rPr>
        <w:t>pert</w:t>
      </w:r>
      <w:r w:rsidR="00896281">
        <w:rPr>
          <w:rFonts w:ascii="Century Gothic" w:hAnsi="Century Gothic"/>
          <w:sz w:val="22"/>
          <w:szCs w:val="22"/>
        </w:rPr>
        <w:t>i</w:t>
      </w:r>
      <w:r w:rsidR="00405444" w:rsidRPr="009039B2">
        <w:rPr>
          <w:rFonts w:ascii="Century Gothic" w:hAnsi="Century Gothic"/>
          <w:sz w:val="22"/>
          <w:szCs w:val="22"/>
        </w:rPr>
        <w:t>nencia):</w:t>
      </w:r>
    </w:p>
    <w:p w14:paraId="1CA41EF5" w14:textId="77777777" w:rsidR="00405444" w:rsidRPr="009039B2" w:rsidRDefault="00405444" w:rsidP="00AA333B">
      <w:pPr>
        <w:spacing w:line="360" w:lineRule="auto"/>
        <w:jc w:val="both"/>
        <w:rPr>
          <w:rFonts w:ascii="Century Gothic" w:hAnsi="Century Gothic"/>
          <w:sz w:val="22"/>
          <w:szCs w:val="22"/>
        </w:rPr>
      </w:pPr>
    </w:p>
    <w:p w14:paraId="5F446396"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 xml:space="preserve">“En el trámite de los procesos ejecutivos ante esta jurisdicción, se aplica el Código de Procedimiento Civil, por remisión en los términos del artículo 267 del C. C. A., ante la falta de normativa sobre el tema en el Código Contencioso Administrativo, además de que la ley 446 de 1.998, al modificar el artículo 87 del C. C. Administrativo, expresamente dispuso en relación con </w:t>
      </w:r>
      <w:r w:rsidRPr="009039B2">
        <w:rPr>
          <w:rFonts w:ascii="Century Gothic" w:hAnsi="Century Gothic"/>
          <w:i/>
          <w:sz w:val="22"/>
          <w:szCs w:val="22"/>
        </w:rPr>
        <w:lastRenderedPageBreak/>
        <w:t xml:space="preserve">el trámite a seguir para los procesos ejecutivos, que este </w:t>
      </w:r>
      <w:r w:rsidRPr="009039B2">
        <w:rPr>
          <w:rFonts w:ascii="Century Gothic" w:hAnsi="Century Gothic"/>
          <w:sz w:val="22"/>
          <w:szCs w:val="22"/>
        </w:rPr>
        <w:t>(sic)</w:t>
      </w:r>
      <w:r w:rsidRPr="009039B2">
        <w:rPr>
          <w:rFonts w:ascii="Century Gothic" w:hAnsi="Century Gothic"/>
          <w:i/>
          <w:sz w:val="22"/>
          <w:szCs w:val="22"/>
        </w:rPr>
        <w:t xml:space="preserve"> sería aquel </w:t>
      </w:r>
      <w:r w:rsidRPr="009039B2">
        <w:rPr>
          <w:rFonts w:ascii="Century Gothic" w:hAnsi="Century Gothic"/>
          <w:sz w:val="22"/>
          <w:szCs w:val="22"/>
        </w:rPr>
        <w:t xml:space="preserve">(sic) </w:t>
      </w:r>
      <w:r w:rsidRPr="009039B2">
        <w:rPr>
          <w:rFonts w:ascii="Century Gothic" w:hAnsi="Century Gothic"/>
          <w:i/>
          <w:sz w:val="22"/>
          <w:szCs w:val="22"/>
        </w:rPr>
        <w:t>de mayor cuantía regulado en el C. de P. Civil</w:t>
      </w:r>
      <w:r w:rsidRPr="009039B2">
        <w:rPr>
          <w:rFonts w:ascii="Century Gothic" w:hAnsi="Century Gothic"/>
          <w:i/>
          <w:sz w:val="22"/>
          <w:szCs w:val="22"/>
          <w:vertAlign w:val="superscript"/>
        </w:rPr>
        <w:footnoteReference w:id="14"/>
      </w:r>
      <w:r w:rsidRPr="009039B2">
        <w:rPr>
          <w:rFonts w:ascii="Century Gothic" w:hAnsi="Century Gothic"/>
          <w:i/>
          <w:sz w:val="22"/>
          <w:szCs w:val="22"/>
        </w:rPr>
        <w:t xml:space="preserve">. </w:t>
      </w:r>
    </w:p>
    <w:p w14:paraId="5DAD4F60" w14:textId="77777777" w:rsidR="00405444" w:rsidRPr="009039B2" w:rsidRDefault="00405444" w:rsidP="00EC2AA0">
      <w:pPr>
        <w:jc w:val="both"/>
        <w:rPr>
          <w:rFonts w:ascii="Century Gothic" w:hAnsi="Century Gothic"/>
          <w:i/>
          <w:sz w:val="22"/>
          <w:szCs w:val="22"/>
        </w:rPr>
      </w:pPr>
    </w:p>
    <w:p w14:paraId="5CCB0691" w14:textId="77777777" w:rsidR="00405444" w:rsidRPr="00896281" w:rsidRDefault="00405444" w:rsidP="00896281">
      <w:pPr>
        <w:ind w:left="705"/>
        <w:jc w:val="both"/>
        <w:rPr>
          <w:rFonts w:ascii="Century Gothic" w:hAnsi="Century Gothic"/>
          <w:b/>
          <w:i/>
          <w:sz w:val="22"/>
          <w:szCs w:val="22"/>
        </w:rPr>
      </w:pPr>
      <w:r w:rsidRPr="009039B2">
        <w:rPr>
          <w:rFonts w:ascii="Century Gothic" w:hAnsi="Century Gothic"/>
          <w:i/>
          <w:sz w:val="22"/>
          <w:szCs w:val="22"/>
        </w:rPr>
        <w:t>“</w:t>
      </w:r>
      <w:r w:rsidRPr="009039B2">
        <w:rPr>
          <w:rFonts w:ascii="Century Gothic" w:hAnsi="Century Gothic"/>
          <w:b/>
          <w:i/>
          <w:sz w:val="22"/>
          <w:szCs w:val="22"/>
          <w:u w:val="single"/>
        </w:rPr>
        <w:t xml:space="preserve">En materia de excepciones de mérito dentro del proceso ejecutivo, el </w:t>
      </w:r>
      <w:r w:rsidRPr="009039B2">
        <w:rPr>
          <w:rFonts w:ascii="Century Gothic" w:hAnsi="Century Gothic"/>
          <w:b/>
          <w:i/>
          <w:sz w:val="22"/>
          <w:szCs w:val="22"/>
          <w:u w:val="single"/>
        </w:rPr>
        <w:tab/>
        <w:t>artículo 509 del C. de P. Civil, establece para cuando el título ejecutivo consista en una sentencia o un laudo de condena,</w:t>
      </w:r>
      <w:r w:rsidRPr="009039B2">
        <w:rPr>
          <w:rFonts w:ascii="Century Gothic" w:hAnsi="Century Gothic"/>
          <w:i/>
          <w:sz w:val="22"/>
          <w:szCs w:val="22"/>
        </w:rPr>
        <w:t xml:space="preserve"> </w:t>
      </w:r>
      <w:r w:rsidRPr="009039B2">
        <w:rPr>
          <w:rFonts w:ascii="Century Gothic" w:hAnsi="Century Gothic"/>
          <w:sz w:val="22"/>
          <w:szCs w:val="22"/>
        </w:rPr>
        <w:t>(sic)</w:t>
      </w:r>
      <w:r w:rsidRPr="009039B2">
        <w:rPr>
          <w:rFonts w:ascii="Century Gothic" w:hAnsi="Century Gothic"/>
          <w:i/>
          <w:sz w:val="22"/>
          <w:szCs w:val="22"/>
        </w:rPr>
        <w:t xml:space="preserve"> </w:t>
      </w:r>
      <w:r w:rsidRPr="009039B2">
        <w:rPr>
          <w:rFonts w:ascii="Century Gothic" w:hAnsi="Century Gothic"/>
          <w:b/>
          <w:i/>
          <w:sz w:val="22"/>
          <w:szCs w:val="22"/>
          <w:u w:val="single"/>
        </w:rPr>
        <w:t>o en otra providencia que conlleve ejecución, que sólo podrán alegarse las excepciones de pago, compensación, confusión, novación, remisión, prescripción o transacción, siempre que se basen en hechos posteriores a la respectiva providencia; la de nulidad en los casos que contemplan los numerales 7º</w:t>
      </w:r>
      <w:r w:rsidR="00896281" w:rsidRPr="00896281">
        <w:rPr>
          <w:rFonts w:ascii="Century Gothic" w:hAnsi="Century Gothic"/>
          <w:b/>
          <w:i/>
          <w:sz w:val="22"/>
          <w:szCs w:val="22"/>
        </w:rPr>
        <w:t xml:space="preserve"> </w:t>
      </w:r>
      <w:r w:rsidR="00896281" w:rsidRPr="00896281">
        <w:rPr>
          <w:rFonts w:ascii="Century Gothic" w:hAnsi="Century Gothic"/>
          <w:sz w:val="22"/>
          <w:szCs w:val="22"/>
        </w:rPr>
        <w:t>(sic)</w:t>
      </w:r>
      <w:r w:rsidR="00896281">
        <w:rPr>
          <w:rFonts w:ascii="Century Gothic" w:hAnsi="Century Gothic"/>
          <w:b/>
          <w:i/>
          <w:sz w:val="22"/>
          <w:szCs w:val="22"/>
        </w:rPr>
        <w:t xml:space="preserve"> </w:t>
      </w:r>
      <w:r w:rsidRPr="009039B2">
        <w:rPr>
          <w:rFonts w:ascii="Century Gothic" w:hAnsi="Century Gothic"/>
          <w:b/>
          <w:i/>
          <w:sz w:val="22"/>
          <w:szCs w:val="22"/>
          <w:u w:val="single"/>
        </w:rPr>
        <w:t>y 9º</w:t>
      </w:r>
      <w:r w:rsidR="00896281" w:rsidRPr="00896281">
        <w:rPr>
          <w:rFonts w:ascii="Century Gothic" w:hAnsi="Century Gothic"/>
          <w:b/>
          <w:i/>
          <w:sz w:val="22"/>
          <w:szCs w:val="22"/>
        </w:rPr>
        <w:t xml:space="preserve"> </w:t>
      </w:r>
      <w:r w:rsidR="00896281" w:rsidRPr="00896281">
        <w:rPr>
          <w:rFonts w:ascii="Century Gothic" w:hAnsi="Century Gothic"/>
          <w:sz w:val="22"/>
          <w:szCs w:val="22"/>
        </w:rPr>
        <w:t>(sic)</w:t>
      </w:r>
      <w:r w:rsidRPr="00896281">
        <w:rPr>
          <w:rFonts w:ascii="Century Gothic" w:hAnsi="Century Gothic"/>
          <w:b/>
          <w:i/>
          <w:sz w:val="22"/>
          <w:szCs w:val="22"/>
        </w:rPr>
        <w:t xml:space="preserve"> </w:t>
      </w:r>
      <w:r w:rsidRPr="009039B2">
        <w:rPr>
          <w:rFonts w:ascii="Century Gothic" w:hAnsi="Century Gothic"/>
          <w:b/>
          <w:i/>
          <w:sz w:val="22"/>
          <w:szCs w:val="22"/>
          <w:u w:val="single"/>
        </w:rPr>
        <w:t>del artículo 140, y la de pérdida de la cosa debida</w:t>
      </w:r>
      <w:r w:rsidRPr="009039B2">
        <w:rPr>
          <w:rFonts w:ascii="Century Gothic" w:hAnsi="Century Gothic"/>
          <w:i/>
          <w:sz w:val="22"/>
          <w:szCs w:val="22"/>
        </w:rPr>
        <w:t xml:space="preserve">. </w:t>
      </w:r>
    </w:p>
    <w:p w14:paraId="73C7C9B5" w14:textId="77777777" w:rsidR="00896281" w:rsidRDefault="00896281" w:rsidP="00EC2AA0">
      <w:pPr>
        <w:ind w:left="705"/>
        <w:jc w:val="both"/>
        <w:rPr>
          <w:rFonts w:ascii="Century Gothic" w:hAnsi="Century Gothic"/>
          <w:i/>
          <w:sz w:val="22"/>
          <w:szCs w:val="22"/>
        </w:rPr>
      </w:pPr>
    </w:p>
    <w:p w14:paraId="52920735"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“Para cuando el título ejecutivo esté constituido por una sentencia, laudo de condena o providencia que conlleve ejecución, la norma proscribe, dentro de ese proceso, cualquier discusión sobre la legalidad del título, circunscribiendo las alegaciones por la vía de las excepciones, sólo a los sucesos posteriores al nacimiento del título, y a partir de los cuales se pueda concluir que la obligación está satisfecha, se ha extinguido, se ha novado, o ha perdido su exigibilidad.</w:t>
      </w:r>
    </w:p>
    <w:p w14:paraId="472B702B" w14:textId="77777777" w:rsidR="00405444" w:rsidRPr="009039B2" w:rsidRDefault="00405444" w:rsidP="00EC2AA0">
      <w:pPr>
        <w:jc w:val="both"/>
        <w:rPr>
          <w:rFonts w:ascii="Century Gothic" w:hAnsi="Century Gothic"/>
          <w:i/>
          <w:sz w:val="22"/>
          <w:szCs w:val="22"/>
        </w:rPr>
      </w:pPr>
    </w:p>
    <w:p w14:paraId="687AFB62"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w:t>
      </w:r>
      <w:r w:rsidRPr="009039B2">
        <w:rPr>
          <w:rFonts w:ascii="Century Gothic" w:hAnsi="Century Gothic"/>
          <w:b/>
          <w:i/>
          <w:sz w:val="22"/>
          <w:szCs w:val="22"/>
          <w:u w:val="single"/>
        </w:rPr>
        <w:t>El acto administrativo, una vez en firme, tiene la calidad de providencia que conlleva ejecución</w:t>
      </w:r>
      <w:r w:rsidRPr="009039B2">
        <w:rPr>
          <w:rFonts w:ascii="Century Gothic" w:hAnsi="Century Gothic"/>
          <w:i/>
          <w:sz w:val="22"/>
          <w:szCs w:val="22"/>
        </w:rPr>
        <w:t>; tal carácter le ha sido expresamente atribuido por el legislador, que en el artículo 64 del C. C. A., expresamente dispone:</w:t>
      </w:r>
    </w:p>
    <w:p w14:paraId="510ACFAB" w14:textId="77777777" w:rsidR="00405444" w:rsidRPr="009039B2" w:rsidRDefault="00405444" w:rsidP="00EC2AA0">
      <w:pPr>
        <w:jc w:val="both"/>
        <w:rPr>
          <w:rFonts w:ascii="Century Gothic" w:hAnsi="Century Gothic"/>
          <w:i/>
          <w:sz w:val="22"/>
          <w:szCs w:val="22"/>
        </w:rPr>
      </w:pPr>
    </w:p>
    <w:p w14:paraId="26CDB0A2" w14:textId="77777777" w:rsidR="00405444" w:rsidRPr="009039B2" w:rsidRDefault="00405444" w:rsidP="00EC2AA0">
      <w:pPr>
        <w:ind w:firstLine="705"/>
        <w:jc w:val="both"/>
        <w:rPr>
          <w:rFonts w:ascii="Century Gothic" w:hAnsi="Century Gothic"/>
          <w:sz w:val="22"/>
          <w:szCs w:val="22"/>
        </w:rPr>
      </w:pPr>
      <w:r w:rsidRPr="009039B2">
        <w:rPr>
          <w:rFonts w:ascii="Century Gothic" w:hAnsi="Century Gothic"/>
          <w:sz w:val="22"/>
          <w:szCs w:val="22"/>
        </w:rPr>
        <w:t>“(….)</w:t>
      </w:r>
    </w:p>
    <w:p w14:paraId="3BFE04B4" w14:textId="77777777" w:rsidR="00405444" w:rsidRPr="009039B2" w:rsidRDefault="00405444" w:rsidP="00EC2AA0">
      <w:pPr>
        <w:jc w:val="both"/>
        <w:rPr>
          <w:rFonts w:ascii="Century Gothic" w:hAnsi="Century Gothic"/>
          <w:i/>
          <w:sz w:val="22"/>
          <w:szCs w:val="22"/>
        </w:rPr>
      </w:pPr>
    </w:p>
    <w:p w14:paraId="1B073CAB"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 xml:space="preserve">“Mientras que el artículo 66 del mismo código, </w:t>
      </w:r>
      <w:r w:rsidRPr="009039B2">
        <w:rPr>
          <w:rFonts w:ascii="Century Gothic" w:hAnsi="Century Gothic"/>
          <w:sz w:val="22"/>
          <w:szCs w:val="22"/>
        </w:rPr>
        <w:t>(sic)</w:t>
      </w:r>
      <w:r w:rsidRPr="009039B2">
        <w:rPr>
          <w:rFonts w:ascii="Century Gothic" w:hAnsi="Century Gothic"/>
          <w:i/>
          <w:sz w:val="22"/>
          <w:szCs w:val="22"/>
        </w:rPr>
        <w:t xml:space="preserve"> reitera la noción de que el acto administrativo conlleva ejecución, cuando expresamente establece los casos en los cuales pierden</w:t>
      </w:r>
      <w:r w:rsidR="00896281">
        <w:rPr>
          <w:rFonts w:ascii="Century Gothic" w:hAnsi="Century Gothic"/>
          <w:sz w:val="22"/>
          <w:szCs w:val="22"/>
        </w:rPr>
        <w:t xml:space="preserve"> </w:t>
      </w:r>
      <w:r w:rsidR="00896281" w:rsidRPr="00896281">
        <w:rPr>
          <w:rFonts w:ascii="Century Gothic" w:hAnsi="Century Gothic"/>
          <w:sz w:val="22"/>
          <w:szCs w:val="22"/>
        </w:rPr>
        <w:t>(sic)</w:t>
      </w:r>
      <w:r w:rsidRPr="009039B2">
        <w:rPr>
          <w:rFonts w:ascii="Century Gothic" w:hAnsi="Century Gothic"/>
          <w:i/>
          <w:sz w:val="22"/>
          <w:szCs w:val="22"/>
        </w:rPr>
        <w:t xml:space="preserve"> su fuerza ejecutoria, (…)</w:t>
      </w:r>
    </w:p>
    <w:p w14:paraId="7FAF2656" w14:textId="77777777" w:rsidR="00405444" w:rsidRPr="009039B2" w:rsidRDefault="00405444" w:rsidP="00EC2AA0">
      <w:pPr>
        <w:jc w:val="both"/>
        <w:rPr>
          <w:rFonts w:ascii="Century Gothic" w:hAnsi="Century Gothic"/>
          <w:i/>
          <w:sz w:val="22"/>
          <w:szCs w:val="22"/>
        </w:rPr>
      </w:pPr>
    </w:p>
    <w:p w14:paraId="7D5EB69C"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 xml:space="preserve">“Por fuera de los eventos expresamente señalados en esa norma, el acto administrativo es una providencia que conlleva ejecución, la cual puede lograrse en veces directamente por parte de la administración, como sucede en los términos del artículo 68 ibídem para cuando se dispone de jurisdicción coactiva; o de lo contrario, ante la jurisdicción ordinaria o contencioso administrativa, de acuerdo a </w:t>
      </w:r>
      <w:r w:rsidR="00896281" w:rsidRPr="00896281">
        <w:rPr>
          <w:rFonts w:ascii="Century Gothic" w:hAnsi="Century Gothic"/>
          <w:sz w:val="22"/>
          <w:szCs w:val="22"/>
        </w:rPr>
        <w:t>(sic)</w:t>
      </w:r>
      <w:r w:rsidR="00896281">
        <w:rPr>
          <w:rFonts w:ascii="Century Gothic" w:hAnsi="Century Gothic"/>
          <w:i/>
          <w:sz w:val="22"/>
          <w:szCs w:val="22"/>
        </w:rPr>
        <w:t xml:space="preserve"> </w:t>
      </w:r>
      <w:r w:rsidRPr="009039B2">
        <w:rPr>
          <w:rFonts w:ascii="Century Gothic" w:hAnsi="Century Gothic"/>
          <w:i/>
          <w:sz w:val="22"/>
          <w:szCs w:val="22"/>
        </w:rPr>
        <w:t>la atribución de competencia realizada por el legislador.</w:t>
      </w:r>
    </w:p>
    <w:p w14:paraId="35908B2A" w14:textId="77777777" w:rsidR="00405444" w:rsidRPr="009039B2" w:rsidRDefault="00405444" w:rsidP="00EC2AA0">
      <w:pPr>
        <w:jc w:val="both"/>
        <w:rPr>
          <w:rFonts w:ascii="Century Gothic" w:hAnsi="Century Gothic"/>
          <w:i/>
          <w:sz w:val="22"/>
          <w:szCs w:val="22"/>
        </w:rPr>
      </w:pPr>
    </w:p>
    <w:p w14:paraId="053793EB"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“A su vez en los artículos 85 y 87 del C. C. Administrativo, el legislador ha establecido las acciones que permiten la revisión de legalidad del acto administrativo que contiene un título ejecutivo, esto es, la de nulidad y restablecimiento del derecho y la relativa a controversias contractuales, ambas tramitadas a través del proceso ordinario tal como lo manda el artículo 206 ídem.</w:t>
      </w:r>
    </w:p>
    <w:p w14:paraId="403240B0" w14:textId="77777777" w:rsidR="00405444" w:rsidRPr="009039B2" w:rsidRDefault="00405444" w:rsidP="00EC2AA0">
      <w:pPr>
        <w:jc w:val="both"/>
        <w:rPr>
          <w:rFonts w:ascii="Century Gothic" w:hAnsi="Century Gothic"/>
          <w:i/>
          <w:sz w:val="22"/>
          <w:szCs w:val="22"/>
        </w:rPr>
      </w:pPr>
    </w:p>
    <w:p w14:paraId="62E8811E"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w:t>
      </w:r>
      <w:r w:rsidR="00305EAD" w:rsidRPr="009039B2">
        <w:rPr>
          <w:rFonts w:ascii="Century Gothic" w:hAnsi="Century Gothic"/>
          <w:sz w:val="22"/>
          <w:szCs w:val="22"/>
        </w:rPr>
        <w:t>(…)</w:t>
      </w:r>
    </w:p>
    <w:p w14:paraId="0CAE4C4B" w14:textId="77777777" w:rsidR="00405444" w:rsidRPr="009039B2" w:rsidRDefault="00405444" w:rsidP="00EC2AA0">
      <w:pPr>
        <w:jc w:val="both"/>
        <w:rPr>
          <w:rFonts w:ascii="Century Gothic" w:hAnsi="Century Gothic"/>
          <w:i/>
          <w:sz w:val="22"/>
          <w:szCs w:val="22"/>
        </w:rPr>
      </w:pPr>
    </w:p>
    <w:p w14:paraId="15B19E68"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lastRenderedPageBreak/>
        <w:t>“Al permitirse el cuestionamiento de legalidad del acto administrativo presentado como recaudo ejecutivo, a través de la proposición de excepciones dentro del proceso ejecutivo, fundadas en hechos sucedidos con anterioridad a la expedición del acto administrativo, se está desconociendo de un lado la naturaleza de providencia que conlleva ejecución que el artículo 64 del C. C. Administrativo, le otorga al acto administrativo, y de otro, se vulnera el debido proceso, como quiera que se surte la revisión de legalidad del acto administrativo ante un juez diferente a aquel establecido por el Legislador</w:t>
      </w:r>
      <w:r w:rsidR="00896281">
        <w:rPr>
          <w:rFonts w:ascii="Century Gothic" w:hAnsi="Century Gothic"/>
          <w:i/>
          <w:sz w:val="22"/>
          <w:szCs w:val="22"/>
        </w:rPr>
        <w:t xml:space="preserve"> </w:t>
      </w:r>
      <w:r w:rsidR="00896281" w:rsidRPr="00896281">
        <w:rPr>
          <w:rFonts w:ascii="Century Gothic" w:hAnsi="Century Gothic"/>
          <w:sz w:val="22"/>
          <w:szCs w:val="22"/>
        </w:rPr>
        <w:t>(sic)</w:t>
      </w:r>
      <w:r w:rsidRPr="009039B2">
        <w:rPr>
          <w:rFonts w:ascii="Century Gothic" w:hAnsi="Century Gothic"/>
          <w:i/>
          <w:sz w:val="22"/>
          <w:szCs w:val="22"/>
        </w:rPr>
        <w:t xml:space="preserve"> para el efecto, esto es </w:t>
      </w:r>
      <w:r w:rsidR="00896281" w:rsidRPr="00896281">
        <w:rPr>
          <w:rFonts w:ascii="Century Gothic" w:hAnsi="Century Gothic"/>
          <w:sz w:val="22"/>
          <w:szCs w:val="22"/>
        </w:rPr>
        <w:t>(sic)</w:t>
      </w:r>
      <w:r w:rsidR="00896281">
        <w:rPr>
          <w:rFonts w:ascii="Century Gothic" w:hAnsi="Century Gothic"/>
          <w:sz w:val="22"/>
          <w:szCs w:val="22"/>
        </w:rPr>
        <w:t xml:space="preserve"> </w:t>
      </w:r>
      <w:r w:rsidRPr="009039B2">
        <w:rPr>
          <w:rFonts w:ascii="Century Gothic" w:hAnsi="Century Gothic"/>
          <w:i/>
          <w:sz w:val="22"/>
          <w:szCs w:val="22"/>
        </w:rPr>
        <w:t xml:space="preserve">ante el juez de la ejecución y no ante el ordinario </w:t>
      </w:r>
      <w:r w:rsidR="00896281" w:rsidRPr="00896281">
        <w:rPr>
          <w:rFonts w:ascii="Century Gothic" w:hAnsi="Century Gothic"/>
          <w:sz w:val="22"/>
          <w:szCs w:val="22"/>
        </w:rPr>
        <w:t>(sic)</w:t>
      </w:r>
      <w:r w:rsidR="00896281">
        <w:rPr>
          <w:rFonts w:ascii="Century Gothic" w:hAnsi="Century Gothic"/>
          <w:i/>
          <w:sz w:val="22"/>
          <w:szCs w:val="22"/>
        </w:rPr>
        <w:t xml:space="preserve"> </w:t>
      </w:r>
      <w:r w:rsidRPr="009039B2">
        <w:rPr>
          <w:rFonts w:ascii="Century Gothic" w:hAnsi="Century Gothic"/>
          <w:i/>
          <w:sz w:val="22"/>
          <w:szCs w:val="22"/>
        </w:rPr>
        <w:t xml:space="preserve">que fue al que se atribuyó competencia por el Legislador </w:t>
      </w:r>
      <w:r w:rsidR="00896281" w:rsidRPr="00896281">
        <w:rPr>
          <w:rFonts w:ascii="Century Gothic" w:hAnsi="Century Gothic"/>
          <w:sz w:val="22"/>
          <w:szCs w:val="22"/>
        </w:rPr>
        <w:t>(sic)</w:t>
      </w:r>
      <w:r w:rsidR="00896281">
        <w:rPr>
          <w:rFonts w:ascii="Century Gothic" w:hAnsi="Century Gothic"/>
          <w:i/>
          <w:sz w:val="22"/>
          <w:szCs w:val="22"/>
        </w:rPr>
        <w:t xml:space="preserve"> </w:t>
      </w:r>
      <w:r w:rsidRPr="009039B2">
        <w:rPr>
          <w:rFonts w:ascii="Century Gothic" w:hAnsi="Century Gothic"/>
          <w:i/>
          <w:sz w:val="22"/>
          <w:szCs w:val="22"/>
        </w:rPr>
        <w:t xml:space="preserve">para realizar tal enjuiciamiento, además de que se le da a la revisión de legalidad un trámite diferente al señalado para el efecto por el legislador, </w:t>
      </w:r>
      <w:r w:rsidR="00896281" w:rsidRPr="00896281">
        <w:rPr>
          <w:rFonts w:ascii="Century Gothic" w:hAnsi="Century Gothic"/>
          <w:sz w:val="22"/>
          <w:szCs w:val="22"/>
        </w:rPr>
        <w:t>(sic)</w:t>
      </w:r>
      <w:r w:rsidR="00896281">
        <w:rPr>
          <w:rFonts w:ascii="Century Gothic" w:hAnsi="Century Gothic"/>
          <w:i/>
          <w:sz w:val="22"/>
          <w:szCs w:val="22"/>
        </w:rPr>
        <w:t xml:space="preserve"> </w:t>
      </w:r>
      <w:r w:rsidRPr="009039B2">
        <w:rPr>
          <w:rFonts w:ascii="Century Gothic" w:hAnsi="Century Gothic"/>
          <w:i/>
          <w:sz w:val="22"/>
          <w:szCs w:val="22"/>
        </w:rPr>
        <w:t>y se desconocen los términos que también el legislador previó para la formulación del juicio de legalidad.</w:t>
      </w:r>
    </w:p>
    <w:p w14:paraId="5A16C85B" w14:textId="77777777" w:rsidR="00405444" w:rsidRPr="009039B2" w:rsidRDefault="00405444" w:rsidP="00EC2AA0">
      <w:pPr>
        <w:jc w:val="both"/>
        <w:rPr>
          <w:rFonts w:ascii="Century Gothic" w:hAnsi="Century Gothic"/>
          <w:i/>
          <w:sz w:val="22"/>
          <w:szCs w:val="22"/>
        </w:rPr>
      </w:pPr>
    </w:p>
    <w:p w14:paraId="37113D53" w14:textId="77777777" w:rsidR="00405444" w:rsidRPr="009039B2" w:rsidRDefault="00405444" w:rsidP="00EC2AA0">
      <w:pPr>
        <w:ind w:left="705"/>
        <w:jc w:val="both"/>
        <w:rPr>
          <w:rFonts w:ascii="Century Gothic" w:hAnsi="Century Gothic"/>
          <w:i/>
          <w:sz w:val="22"/>
          <w:szCs w:val="22"/>
        </w:rPr>
      </w:pPr>
      <w:r w:rsidRPr="009039B2">
        <w:rPr>
          <w:rFonts w:ascii="Century Gothic" w:hAnsi="Century Gothic"/>
          <w:i/>
          <w:sz w:val="22"/>
          <w:szCs w:val="22"/>
        </w:rPr>
        <w:t>“Igualmente el trámite de excepciones que discutan la legalidad del título de recaudo ejecutivo,</w:t>
      </w:r>
      <w:r w:rsidR="00896281">
        <w:rPr>
          <w:rFonts w:ascii="Century Gothic" w:hAnsi="Century Gothic"/>
          <w:i/>
          <w:sz w:val="22"/>
          <w:szCs w:val="22"/>
        </w:rPr>
        <w:t xml:space="preserve"> </w:t>
      </w:r>
      <w:r w:rsidR="00896281" w:rsidRPr="00896281">
        <w:rPr>
          <w:rFonts w:ascii="Century Gothic" w:hAnsi="Century Gothic"/>
          <w:sz w:val="22"/>
          <w:szCs w:val="22"/>
        </w:rPr>
        <w:t>(sic)</w:t>
      </w:r>
      <w:r w:rsidRPr="009039B2">
        <w:rPr>
          <w:rFonts w:ascii="Century Gothic" w:hAnsi="Century Gothic"/>
          <w:i/>
          <w:sz w:val="22"/>
          <w:szCs w:val="22"/>
        </w:rPr>
        <w:t xml:space="preserve"> desnaturaliza el proceso ejecutivo que sólo busca obtener coercitivamente del deudor,</w:t>
      </w:r>
      <w:r w:rsidR="00896281" w:rsidRPr="00896281">
        <w:rPr>
          <w:rFonts w:ascii="Century Gothic" w:hAnsi="Century Gothic"/>
          <w:sz w:val="22"/>
          <w:szCs w:val="22"/>
        </w:rPr>
        <w:t xml:space="preserve"> (sic)</w:t>
      </w:r>
      <w:r w:rsidR="00896281">
        <w:rPr>
          <w:rFonts w:ascii="Century Gothic" w:hAnsi="Century Gothic"/>
          <w:i/>
          <w:sz w:val="22"/>
          <w:szCs w:val="22"/>
        </w:rPr>
        <w:t xml:space="preserve"> </w:t>
      </w:r>
      <w:r w:rsidRPr="009039B2">
        <w:rPr>
          <w:rFonts w:ascii="Century Gothic" w:hAnsi="Century Gothic"/>
          <w:i/>
          <w:sz w:val="22"/>
          <w:szCs w:val="22"/>
        </w:rPr>
        <w:t>el pago</w:t>
      </w:r>
      <w:r w:rsidR="00896281">
        <w:rPr>
          <w:rFonts w:ascii="Century Gothic" w:hAnsi="Century Gothic"/>
          <w:i/>
          <w:sz w:val="22"/>
          <w:szCs w:val="22"/>
        </w:rPr>
        <w:t xml:space="preserve"> </w:t>
      </w:r>
      <w:r w:rsidR="00896281" w:rsidRPr="00896281">
        <w:rPr>
          <w:rFonts w:ascii="Century Gothic" w:hAnsi="Century Gothic"/>
          <w:sz w:val="22"/>
          <w:szCs w:val="22"/>
        </w:rPr>
        <w:t>(sic)</w:t>
      </w:r>
      <w:r w:rsidRPr="009039B2">
        <w:rPr>
          <w:rFonts w:ascii="Century Gothic" w:hAnsi="Century Gothic"/>
          <w:i/>
          <w:sz w:val="22"/>
          <w:szCs w:val="22"/>
        </w:rPr>
        <w:t xml:space="preserve"> a favor del acreedor, de una obligación sobre cuya claridad, expresión y exigibilidad, no existe duda alguna. El trámite de excepciones en el proceso ejecutivo no permite convertirlo en un proceso ordinario, en el cual se discuta la legalidad del título</w:t>
      </w:r>
      <w:r w:rsidR="00305EAD" w:rsidRPr="009039B2">
        <w:rPr>
          <w:rFonts w:ascii="Century Gothic" w:hAnsi="Century Gothic"/>
          <w:i/>
          <w:sz w:val="22"/>
          <w:szCs w:val="22"/>
          <w:vertAlign w:val="superscript"/>
        </w:rPr>
        <w:footnoteReference w:id="15"/>
      </w:r>
      <w:r w:rsidRPr="009039B2">
        <w:rPr>
          <w:rFonts w:ascii="Century Gothic" w:hAnsi="Century Gothic"/>
          <w:i/>
          <w:sz w:val="22"/>
          <w:szCs w:val="22"/>
        </w:rPr>
        <w:t>”</w:t>
      </w:r>
      <w:r w:rsidR="00305EAD" w:rsidRPr="009039B2">
        <w:rPr>
          <w:rFonts w:ascii="Century Gothic" w:hAnsi="Century Gothic"/>
          <w:i/>
          <w:sz w:val="22"/>
          <w:szCs w:val="22"/>
        </w:rPr>
        <w:t>.</w:t>
      </w:r>
    </w:p>
    <w:p w14:paraId="2B6A7311" w14:textId="77777777" w:rsidR="00405444" w:rsidRPr="009039B2" w:rsidRDefault="00405444" w:rsidP="00AA333B">
      <w:pPr>
        <w:spacing w:line="360" w:lineRule="auto"/>
        <w:jc w:val="both"/>
        <w:rPr>
          <w:rFonts w:ascii="Century Gothic" w:hAnsi="Century Gothic"/>
          <w:sz w:val="22"/>
          <w:szCs w:val="22"/>
        </w:rPr>
      </w:pPr>
    </w:p>
    <w:p w14:paraId="2DCD2BD1" w14:textId="77777777" w:rsidR="00264E40" w:rsidRPr="009039B2" w:rsidRDefault="00B25BEC" w:rsidP="00AA333B">
      <w:pPr>
        <w:spacing w:line="360" w:lineRule="auto"/>
        <w:jc w:val="both"/>
        <w:rPr>
          <w:rFonts w:ascii="Century Gothic" w:hAnsi="Century Gothic"/>
          <w:sz w:val="22"/>
          <w:szCs w:val="22"/>
        </w:rPr>
      </w:pPr>
      <w:r w:rsidRPr="009039B2">
        <w:rPr>
          <w:rFonts w:ascii="Century Gothic" w:hAnsi="Century Gothic"/>
          <w:sz w:val="22"/>
          <w:szCs w:val="22"/>
        </w:rPr>
        <w:t>En consecuencia, resulta</w:t>
      </w:r>
      <w:r w:rsidR="00EC2AA0" w:rsidRPr="009039B2">
        <w:rPr>
          <w:rFonts w:ascii="Century Gothic" w:hAnsi="Century Gothic"/>
          <w:sz w:val="22"/>
          <w:szCs w:val="22"/>
        </w:rPr>
        <w:t>n claras</w:t>
      </w:r>
      <w:r w:rsidRPr="009039B2">
        <w:rPr>
          <w:rFonts w:ascii="Century Gothic" w:hAnsi="Century Gothic"/>
          <w:sz w:val="22"/>
          <w:szCs w:val="22"/>
        </w:rPr>
        <w:t xml:space="preserve"> dos cosas: i) en un proceso ejecutivo no es posible presentar excepciones de mérito que conduzcan al juez a </w:t>
      </w:r>
      <w:r w:rsidR="00EC5E29" w:rsidRPr="009039B2">
        <w:rPr>
          <w:rFonts w:ascii="Century Gothic" w:hAnsi="Century Gothic"/>
          <w:sz w:val="22"/>
          <w:szCs w:val="22"/>
        </w:rPr>
        <w:t>efectuar un</w:t>
      </w:r>
      <w:r w:rsidRPr="009039B2">
        <w:rPr>
          <w:rFonts w:ascii="Century Gothic" w:hAnsi="Century Gothic"/>
          <w:sz w:val="22"/>
          <w:szCs w:val="22"/>
        </w:rPr>
        <w:t xml:space="preserve"> juicio de legalidad de los documentos que componen el título y, por tanto, ii) las únicas pasibles de esgrimir con el propósito de enervar la acción ejecutiva son las de </w:t>
      </w:r>
      <w:r w:rsidR="003B4CDD" w:rsidRPr="009039B2">
        <w:rPr>
          <w:rFonts w:ascii="Century Gothic" w:hAnsi="Century Gothic"/>
          <w:sz w:val="22"/>
          <w:szCs w:val="22"/>
        </w:rPr>
        <w:t>“</w:t>
      </w:r>
      <w:r w:rsidR="003B4CDD" w:rsidRPr="009039B2">
        <w:rPr>
          <w:rFonts w:ascii="Century Gothic" w:hAnsi="Century Gothic"/>
          <w:i/>
          <w:sz w:val="22"/>
          <w:szCs w:val="22"/>
        </w:rPr>
        <w:t>pago, compensación, confusión, novación, remisión, prescripción o transacción, siempre que se basen en hechos posteriores a la respectiva providencia; la de nulidad en los casos que contemplan los numerales 7º</w:t>
      </w:r>
      <w:r w:rsidR="00896281">
        <w:rPr>
          <w:rFonts w:ascii="Century Gothic" w:hAnsi="Century Gothic"/>
          <w:i/>
          <w:sz w:val="22"/>
          <w:szCs w:val="22"/>
        </w:rPr>
        <w:t xml:space="preserve"> </w:t>
      </w:r>
      <w:r w:rsidR="00896281" w:rsidRPr="00896281">
        <w:rPr>
          <w:rFonts w:ascii="Century Gothic" w:hAnsi="Century Gothic"/>
          <w:sz w:val="22"/>
          <w:szCs w:val="22"/>
        </w:rPr>
        <w:t>(sic)</w:t>
      </w:r>
      <w:r w:rsidR="003B4CDD" w:rsidRPr="009039B2">
        <w:rPr>
          <w:rFonts w:ascii="Century Gothic" w:hAnsi="Century Gothic"/>
          <w:i/>
          <w:sz w:val="22"/>
          <w:szCs w:val="22"/>
        </w:rPr>
        <w:t xml:space="preserve"> y 9º</w:t>
      </w:r>
      <w:r w:rsidR="00896281">
        <w:rPr>
          <w:rFonts w:ascii="Century Gothic" w:hAnsi="Century Gothic"/>
          <w:i/>
          <w:sz w:val="22"/>
          <w:szCs w:val="22"/>
        </w:rPr>
        <w:t xml:space="preserve"> </w:t>
      </w:r>
      <w:r w:rsidR="00896281" w:rsidRPr="00896281">
        <w:rPr>
          <w:rFonts w:ascii="Century Gothic" w:hAnsi="Century Gothic"/>
          <w:sz w:val="22"/>
          <w:szCs w:val="22"/>
        </w:rPr>
        <w:t>(sic)</w:t>
      </w:r>
      <w:r w:rsidR="003B4CDD" w:rsidRPr="009039B2">
        <w:rPr>
          <w:rFonts w:ascii="Century Gothic" w:hAnsi="Century Gothic"/>
          <w:i/>
          <w:sz w:val="22"/>
          <w:szCs w:val="22"/>
        </w:rPr>
        <w:t xml:space="preserve"> del artículo 140 </w:t>
      </w:r>
      <w:r w:rsidR="003B4CDD" w:rsidRPr="009039B2">
        <w:rPr>
          <w:rFonts w:ascii="Century Gothic" w:hAnsi="Century Gothic"/>
          <w:sz w:val="22"/>
          <w:szCs w:val="22"/>
        </w:rPr>
        <w:t>[del C. de P.C.]</w:t>
      </w:r>
      <w:r w:rsidR="003B4CDD" w:rsidRPr="009039B2">
        <w:rPr>
          <w:rFonts w:ascii="Century Gothic" w:hAnsi="Century Gothic"/>
          <w:i/>
          <w:sz w:val="22"/>
          <w:szCs w:val="22"/>
        </w:rPr>
        <w:t>, y la de pérdida de la cosa debida”.</w:t>
      </w:r>
    </w:p>
    <w:p w14:paraId="3316C632" w14:textId="77777777" w:rsidR="00264E40" w:rsidRPr="009039B2" w:rsidRDefault="00264E40" w:rsidP="00AA333B">
      <w:pPr>
        <w:spacing w:line="360" w:lineRule="auto"/>
        <w:jc w:val="both"/>
        <w:rPr>
          <w:rFonts w:ascii="Century Gothic" w:hAnsi="Century Gothic"/>
          <w:sz w:val="22"/>
          <w:szCs w:val="22"/>
        </w:rPr>
      </w:pPr>
    </w:p>
    <w:p w14:paraId="0BBE3AC4" w14:textId="77777777" w:rsidR="00047288" w:rsidRPr="009039B2" w:rsidRDefault="00EC5E29" w:rsidP="00AA333B">
      <w:pPr>
        <w:spacing w:line="360" w:lineRule="auto"/>
        <w:jc w:val="both"/>
        <w:rPr>
          <w:rFonts w:ascii="Century Gothic" w:hAnsi="Century Gothic" w:cs="Arial"/>
          <w:sz w:val="22"/>
          <w:szCs w:val="22"/>
        </w:rPr>
      </w:pPr>
      <w:r w:rsidRPr="009039B2">
        <w:rPr>
          <w:rFonts w:ascii="Century Gothic" w:hAnsi="Century Gothic"/>
          <w:sz w:val="22"/>
          <w:szCs w:val="22"/>
        </w:rPr>
        <w:t>En el caso bajo análisis</w:t>
      </w:r>
      <w:r w:rsidR="003B4CDD" w:rsidRPr="009039B2">
        <w:rPr>
          <w:rFonts w:ascii="Century Gothic" w:hAnsi="Century Gothic"/>
          <w:sz w:val="22"/>
          <w:szCs w:val="22"/>
        </w:rPr>
        <w:t>, advierte la Sala que las excepciones de mérito que presentó CONFIANZA S.A.</w:t>
      </w:r>
      <w:r w:rsidR="00541C40" w:rsidRPr="009039B2">
        <w:rPr>
          <w:rFonts w:ascii="Century Gothic" w:hAnsi="Century Gothic"/>
          <w:sz w:val="22"/>
          <w:szCs w:val="22"/>
        </w:rPr>
        <w:t xml:space="preserve"> y que reiteró en su escrito de apelación</w:t>
      </w:r>
      <w:r w:rsidR="003B4CDD" w:rsidRPr="009039B2">
        <w:rPr>
          <w:rFonts w:ascii="Century Gothic" w:hAnsi="Century Gothic"/>
          <w:sz w:val="22"/>
          <w:szCs w:val="22"/>
        </w:rPr>
        <w:t xml:space="preserve"> </w:t>
      </w:r>
      <w:r w:rsidR="00541C40" w:rsidRPr="009039B2">
        <w:rPr>
          <w:rFonts w:ascii="Century Gothic" w:hAnsi="Century Gothic"/>
          <w:sz w:val="22"/>
          <w:szCs w:val="22"/>
        </w:rPr>
        <w:t>están orientadas</w:t>
      </w:r>
      <w:r w:rsidR="00EC2AA0" w:rsidRPr="009039B2">
        <w:rPr>
          <w:rFonts w:ascii="Century Gothic" w:hAnsi="Century Gothic"/>
          <w:sz w:val="22"/>
          <w:szCs w:val="22"/>
        </w:rPr>
        <w:t xml:space="preserve"> únicamente </w:t>
      </w:r>
      <w:r w:rsidR="00541C40" w:rsidRPr="009039B2">
        <w:rPr>
          <w:rFonts w:ascii="Century Gothic" w:hAnsi="Century Gothic"/>
          <w:sz w:val="22"/>
          <w:szCs w:val="22"/>
        </w:rPr>
        <w:t xml:space="preserve">a ventilar un juicio de </w:t>
      </w:r>
      <w:r w:rsidR="00EE487F" w:rsidRPr="009039B2">
        <w:rPr>
          <w:rFonts w:ascii="Century Gothic" w:hAnsi="Century Gothic"/>
          <w:sz w:val="22"/>
          <w:szCs w:val="22"/>
        </w:rPr>
        <w:t xml:space="preserve">legalidad de las resoluciones </w:t>
      </w:r>
      <w:r w:rsidR="00A22C9D" w:rsidRPr="009039B2">
        <w:rPr>
          <w:rFonts w:ascii="Century Gothic" w:hAnsi="Century Gothic" w:cs="Arial"/>
          <w:sz w:val="22"/>
          <w:szCs w:val="22"/>
        </w:rPr>
        <w:t>1999 y 6057 de 2005</w:t>
      </w:r>
      <w:r w:rsidR="001F664B" w:rsidRPr="009039B2">
        <w:rPr>
          <w:rFonts w:ascii="Century Gothic" w:hAnsi="Century Gothic" w:cs="Arial"/>
          <w:sz w:val="22"/>
          <w:szCs w:val="22"/>
        </w:rPr>
        <w:t>.</w:t>
      </w:r>
    </w:p>
    <w:p w14:paraId="1BE13970" w14:textId="77777777" w:rsidR="00541C40" w:rsidRPr="009039B2" w:rsidRDefault="00541C40" w:rsidP="00AA333B">
      <w:pPr>
        <w:spacing w:line="360" w:lineRule="auto"/>
        <w:jc w:val="both"/>
        <w:rPr>
          <w:rFonts w:ascii="Century Gothic" w:hAnsi="Century Gothic"/>
          <w:sz w:val="22"/>
          <w:szCs w:val="22"/>
        </w:rPr>
      </w:pPr>
    </w:p>
    <w:p w14:paraId="2A653510" w14:textId="77777777" w:rsidR="00541C40" w:rsidRDefault="00047288" w:rsidP="00047288">
      <w:pPr>
        <w:spacing w:line="360" w:lineRule="auto"/>
        <w:jc w:val="both"/>
        <w:rPr>
          <w:rFonts w:ascii="Century Gothic" w:hAnsi="Century Gothic" w:cs="Arial"/>
          <w:sz w:val="22"/>
          <w:szCs w:val="22"/>
        </w:rPr>
      </w:pPr>
      <w:r w:rsidRPr="009039B2">
        <w:rPr>
          <w:rFonts w:ascii="Century Gothic" w:hAnsi="Century Gothic"/>
          <w:sz w:val="22"/>
          <w:szCs w:val="22"/>
        </w:rPr>
        <w:t>En efecto, “l</w:t>
      </w:r>
      <w:r w:rsidRPr="009039B2">
        <w:rPr>
          <w:rFonts w:ascii="Century Gothic" w:hAnsi="Century Gothic"/>
          <w:i/>
          <w:sz w:val="22"/>
          <w:szCs w:val="22"/>
        </w:rPr>
        <w:t>a ilegalidad de los actos administrativos que conforman el título ejecutivo</w:t>
      </w:r>
      <w:r w:rsidRPr="009039B2">
        <w:rPr>
          <w:rFonts w:ascii="Century Gothic" w:hAnsi="Century Gothic"/>
          <w:sz w:val="22"/>
          <w:szCs w:val="22"/>
        </w:rPr>
        <w:t>”, “l</w:t>
      </w:r>
      <w:r w:rsidRPr="009039B2">
        <w:rPr>
          <w:rFonts w:ascii="Century Gothic" w:hAnsi="Century Gothic"/>
          <w:i/>
          <w:sz w:val="22"/>
          <w:szCs w:val="22"/>
        </w:rPr>
        <w:t xml:space="preserve">a inexistencia de una relación de causalidad entre la conducta contractual de la Sociedad </w:t>
      </w:r>
      <w:proofErr w:type="spellStart"/>
      <w:r w:rsidRPr="009039B2">
        <w:rPr>
          <w:rFonts w:ascii="Century Gothic" w:hAnsi="Century Gothic"/>
          <w:i/>
          <w:sz w:val="22"/>
          <w:szCs w:val="22"/>
        </w:rPr>
        <w:t>Conciviles</w:t>
      </w:r>
      <w:proofErr w:type="spellEnd"/>
      <w:r w:rsidRPr="009039B2">
        <w:rPr>
          <w:rFonts w:ascii="Century Gothic" w:hAnsi="Century Gothic"/>
          <w:i/>
          <w:sz w:val="22"/>
          <w:szCs w:val="22"/>
        </w:rPr>
        <w:t xml:space="preserve"> S.A. y los supuestos perjuicios cuya indemnización el IDU pretende</w:t>
      </w:r>
      <w:r w:rsidRPr="009039B2">
        <w:rPr>
          <w:rFonts w:ascii="Century Gothic" w:hAnsi="Century Gothic"/>
          <w:sz w:val="22"/>
          <w:szCs w:val="22"/>
        </w:rPr>
        <w:t>”, “l</w:t>
      </w:r>
      <w:r w:rsidRPr="009039B2">
        <w:rPr>
          <w:rFonts w:ascii="Century Gothic" w:hAnsi="Century Gothic"/>
          <w:i/>
          <w:sz w:val="22"/>
          <w:szCs w:val="22"/>
        </w:rPr>
        <w:t>a inexistencia de una obligación a cargo del asegurador</w:t>
      </w:r>
      <w:r w:rsidRPr="009039B2">
        <w:rPr>
          <w:rFonts w:ascii="Century Gothic" w:hAnsi="Century Gothic"/>
          <w:sz w:val="22"/>
          <w:szCs w:val="22"/>
        </w:rPr>
        <w:t>”, “l</w:t>
      </w:r>
      <w:r w:rsidRPr="009039B2">
        <w:rPr>
          <w:rFonts w:ascii="Century Gothic" w:hAnsi="Century Gothic"/>
          <w:i/>
          <w:sz w:val="22"/>
          <w:szCs w:val="22"/>
        </w:rPr>
        <w:t>a inexistencia de un riesgo</w:t>
      </w:r>
      <w:r w:rsidRPr="009039B2">
        <w:rPr>
          <w:rFonts w:ascii="Century Gothic" w:hAnsi="Century Gothic"/>
          <w:sz w:val="22"/>
          <w:szCs w:val="22"/>
        </w:rPr>
        <w:t>”, “l</w:t>
      </w:r>
      <w:r w:rsidRPr="009039B2">
        <w:rPr>
          <w:rFonts w:ascii="Century Gothic" w:hAnsi="Century Gothic"/>
          <w:i/>
          <w:sz w:val="22"/>
          <w:szCs w:val="22"/>
        </w:rPr>
        <w:t>a inexistencia de una pérdida indemnizable</w:t>
      </w:r>
      <w:r w:rsidRPr="009039B2">
        <w:rPr>
          <w:rFonts w:ascii="Century Gothic" w:hAnsi="Century Gothic"/>
          <w:sz w:val="22"/>
          <w:szCs w:val="22"/>
        </w:rPr>
        <w:t xml:space="preserve">”, </w:t>
      </w:r>
      <w:r w:rsidRPr="009039B2">
        <w:rPr>
          <w:rFonts w:ascii="Century Gothic" w:hAnsi="Century Gothic" w:cs="Arial"/>
          <w:sz w:val="22"/>
          <w:szCs w:val="22"/>
        </w:rPr>
        <w:t xml:space="preserve">“el </w:t>
      </w:r>
      <w:r w:rsidRPr="009039B2">
        <w:rPr>
          <w:rFonts w:ascii="Century Gothic" w:hAnsi="Century Gothic" w:cs="Arial"/>
          <w:i/>
          <w:sz w:val="22"/>
          <w:szCs w:val="22"/>
        </w:rPr>
        <w:t xml:space="preserve">desconocimiento del debido proceso y del derecho de </w:t>
      </w:r>
      <w:r w:rsidRPr="009039B2">
        <w:rPr>
          <w:rFonts w:ascii="Century Gothic" w:hAnsi="Century Gothic" w:cs="Arial"/>
          <w:i/>
          <w:sz w:val="22"/>
          <w:szCs w:val="22"/>
        </w:rPr>
        <w:lastRenderedPageBreak/>
        <w:t>defensa</w:t>
      </w:r>
      <w:r w:rsidRPr="009039B2">
        <w:rPr>
          <w:rFonts w:ascii="Century Gothic" w:hAnsi="Century Gothic" w:cs="Arial"/>
          <w:sz w:val="22"/>
          <w:szCs w:val="22"/>
        </w:rPr>
        <w:t>”</w:t>
      </w:r>
      <w:r w:rsidR="002367F7" w:rsidRPr="009039B2">
        <w:rPr>
          <w:rFonts w:ascii="Century Gothic" w:hAnsi="Century Gothic" w:cs="Arial"/>
          <w:sz w:val="22"/>
          <w:szCs w:val="22"/>
        </w:rPr>
        <w:t>, todas ellas</w:t>
      </w:r>
      <w:r w:rsidRPr="009039B2">
        <w:rPr>
          <w:rFonts w:ascii="Century Gothic" w:hAnsi="Century Gothic" w:cs="Arial"/>
          <w:sz w:val="22"/>
          <w:szCs w:val="22"/>
        </w:rPr>
        <w:t xml:space="preserve"> aluden a las razones por las cuales</w:t>
      </w:r>
      <w:r w:rsidR="001F664B" w:rsidRPr="009039B2">
        <w:rPr>
          <w:rFonts w:ascii="Century Gothic" w:hAnsi="Century Gothic" w:cs="Arial"/>
          <w:sz w:val="22"/>
          <w:szCs w:val="22"/>
        </w:rPr>
        <w:t>,</w:t>
      </w:r>
      <w:r w:rsidRPr="009039B2">
        <w:rPr>
          <w:rFonts w:ascii="Century Gothic" w:hAnsi="Century Gothic" w:cs="Arial"/>
          <w:sz w:val="22"/>
          <w:szCs w:val="22"/>
        </w:rPr>
        <w:t xml:space="preserve"> </w:t>
      </w:r>
      <w:r w:rsidR="001F664B" w:rsidRPr="009039B2">
        <w:rPr>
          <w:rFonts w:ascii="Century Gothic" w:hAnsi="Century Gothic" w:cs="Arial"/>
          <w:sz w:val="22"/>
          <w:szCs w:val="22"/>
        </w:rPr>
        <w:t xml:space="preserve">según CONFIANSA S.A., </w:t>
      </w:r>
      <w:r w:rsidRPr="009039B2">
        <w:rPr>
          <w:rFonts w:ascii="Century Gothic" w:hAnsi="Century Gothic" w:cs="Arial"/>
          <w:sz w:val="22"/>
          <w:szCs w:val="22"/>
        </w:rPr>
        <w:t>el IDU no debió declarar –como lo hizo– la ocurrencia del riesgo amparado, pues,</w:t>
      </w:r>
      <w:r w:rsidR="001F664B" w:rsidRPr="009039B2">
        <w:rPr>
          <w:rFonts w:ascii="Century Gothic" w:hAnsi="Century Gothic" w:cs="Arial"/>
          <w:sz w:val="22"/>
          <w:szCs w:val="22"/>
        </w:rPr>
        <w:t xml:space="preserve"> por un lado,</w:t>
      </w:r>
      <w:r w:rsidRPr="009039B2">
        <w:rPr>
          <w:rFonts w:ascii="Century Gothic" w:hAnsi="Century Gothic" w:cs="Arial"/>
          <w:sz w:val="22"/>
          <w:szCs w:val="22"/>
        </w:rPr>
        <w:t xml:space="preserve"> los perjuicios que sufrió</w:t>
      </w:r>
      <w:r w:rsidR="001F664B" w:rsidRPr="009039B2">
        <w:rPr>
          <w:rFonts w:ascii="Century Gothic" w:hAnsi="Century Gothic" w:cs="Arial"/>
          <w:sz w:val="22"/>
          <w:szCs w:val="22"/>
        </w:rPr>
        <w:t xml:space="preserve"> dicha entidad</w:t>
      </w:r>
      <w:r w:rsidRPr="009039B2">
        <w:rPr>
          <w:rFonts w:ascii="Century Gothic" w:hAnsi="Century Gothic" w:cs="Arial"/>
          <w:sz w:val="22"/>
          <w:szCs w:val="22"/>
        </w:rPr>
        <w:t xml:space="preserve"> fueron producto de su propio actuar y</w:t>
      </w:r>
      <w:r w:rsidR="005E234D">
        <w:rPr>
          <w:rFonts w:ascii="Century Gothic" w:hAnsi="Century Gothic" w:cs="Arial"/>
          <w:sz w:val="22"/>
          <w:szCs w:val="22"/>
        </w:rPr>
        <w:t xml:space="preserve"> de</w:t>
      </w:r>
      <w:r w:rsidRPr="009039B2">
        <w:rPr>
          <w:rFonts w:ascii="Century Gothic" w:hAnsi="Century Gothic" w:cs="Arial"/>
          <w:sz w:val="22"/>
          <w:szCs w:val="22"/>
        </w:rPr>
        <w:t xml:space="preserve"> </w:t>
      </w:r>
      <w:r w:rsidR="001F664B" w:rsidRPr="009039B2">
        <w:rPr>
          <w:rFonts w:ascii="Century Gothic" w:hAnsi="Century Gothic" w:cs="Arial"/>
          <w:sz w:val="22"/>
          <w:szCs w:val="22"/>
        </w:rPr>
        <w:t>la</w:t>
      </w:r>
      <w:r w:rsidRPr="009039B2">
        <w:rPr>
          <w:rFonts w:ascii="Century Gothic" w:hAnsi="Century Gothic" w:cs="Arial"/>
          <w:sz w:val="22"/>
          <w:szCs w:val="22"/>
        </w:rPr>
        <w:t xml:space="preserve"> falta a la </w:t>
      </w:r>
      <w:r w:rsidRPr="009039B2">
        <w:rPr>
          <w:rFonts w:ascii="Century Gothic" w:hAnsi="Century Gothic" w:cs="Arial"/>
          <w:i/>
          <w:sz w:val="22"/>
          <w:szCs w:val="22"/>
        </w:rPr>
        <w:t xml:space="preserve">lex </w:t>
      </w:r>
      <w:proofErr w:type="spellStart"/>
      <w:r w:rsidRPr="009039B2">
        <w:rPr>
          <w:rFonts w:ascii="Century Gothic" w:hAnsi="Century Gothic" w:cs="Arial"/>
          <w:i/>
          <w:sz w:val="22"/>
          <w:szCs w:val="22"/>
        </w:rPr>
        <w:t>artis</w:t>
      </w:r>
      <w:proofErr w:type="spellEnd"/>
      <w:r w:rsidRPr="009039B2">
        <w:rPr>
          <w:rFonts w:ascii="Century Gothic" w:hAnsi="Century Gothic" w:cs="Arial"/>
          <w:sz w:val="22"/>
          <w:szCs w:val="22"/>
        </w:rPr>
        <w:t xml:space="preserve"> </w:t>
      </w:r>
      <w:r w:rsidR="001F664B" w:rsidRPr="009039B2">
        <w:rPr>
          <w:rFonts w:ascii="Century Gothic" w:hAnsi="Century Gothic" w:cs="Arial"/>
          <w:sz w:val="22"/>
          <w:szCs w:val="22"/>
        </w:rPr>
        <w:t xml:space="preserve">en la que incurrió </w:t>
      </w:r>
      <w:r w:rsidRPr="009039B2">
        <w:rPr>
          <w:rFonts w:ascii="Century Gothic" w:hAnsi="Century Gothic" w:cs="Arial"/>
          <w:sz w:val="22"/>
          <w:szCs w:val="22"/>
        </w:rPr>
        <w:t xml:space="preserve">durante el desarrollo del contrato de obra </w:t>
      </w:r>
      <w:r w:rsidR="00541C40" w:rsidRPr="009039B2">
        <w:rPr>
          <w:rFonts w:ascii="Century Gothic" w:hAnsi="Century Gothic" w:cs="Arial"/>
          <w:sz w:val="22"/>
          <w:szCs w:val="22"/>
        </w:rPr>
        <w:t>403 de 2000</w:t>
      </w:r>
      <w:r w:rsidR="001F664B" w:rsidRPr="009039B2">
        <w:rPr>
          <w:rFonts w:ascii="Century Gothic" w:hAnsi="Century Gothic" w:cs="Arial"/>
          <w:sz w:val="22"/>
          <w:szCs w:val="22"/>
        </w:rPr>
        <w:t xml:space="preserve"> y, por otro lado, porque las garantías derivadas de la póliza de seguros G U01001141035 del 7 de junio de 2000 no podían hacerse efectivas, en tanto la entidad pública faltó a su deber de supervisión y control de la obra y, además, decidió convertir su indulgente actuar en uno de los riesgos amparados por la misma.  </w:t>
      </w:r>
    </w:p>
    <w:p w14:paraId="07B16335" w14:textId="77777777" w:rsidR="00711F9D" w:rsidRPr="009039B2" w:rsidRDefault="00711F9D" w:rsidP="005E234D">
      <w:pPr>
        <w:spacing w:line="360" w:lineRule="auto"/>
        <w:ind w:left="708"/>
        <w:jc w:val="both"/>
        <w:rPr>
          <w:rFonts w:ascii="Century Gothic" w:hAnsi="Century Gothic" w:cs="Arial"/>
          <w:sz w:val="22"/>
          <w:szCs w:val="22"/>
        </w:rPr>
      </w:pPr>
    </w:p>
    <w:p w14:paraId="3B37AB2A" w14:textId="77777777" w:rsidR="001F664B" w:rsidRPr="009039B2" w:rsidRDefault="001F664B" w:rsidP="001F664B">
      <w:pPr>
        <w:spacing w:line="360" w:lineRule="auto"/>
        <w:jc w:val="both"/>
        <w:rPr>
          <w:rFonts w:ascii="Century Gothic" w:hAnsi="Century Gothic" w:cs="Arial"/>
          <w:sz w:val="22"/>
          <w:szCs w:val="22"/>
        </w:rPr>
      </w:pPr>
      <w:r w:rsidRPr="009039B2">
        <w:rPr>
          <w:rFonts w:ascii="Century Gothic" w:hAnsi="Century Gothic" w:cs="Arial"/>
          <w:sz w:val="22"/>
          <w:szCs w:val="22"/>
        </w:rPr>
        <w:t xml:space="preserve">Así las cosas, como todas las anteriores excepciones </w:t>
      </w:r>
      <w:r w:rsidR="00EC2AA0" w:rsidRPr="009039B2">
        <w:rPr>
          <w:rFonts w:ascii="Century Gothic" w:hAnsi="Century Gothic" w:cs="Arial"/>
          <w:sz w:val="22"/>
          <w:szCs w:val="22"/>
        </w:rPr>
        <w:t>se fundan</w:t>
      </w:r>
      <w:r w:rsidR="002367F7" w:rsidRPr="009039B2">
        <w:rPr>
          <w:rFonts w:ascii="Century Gothic" w:hAnsi="Century Gothic" w:cs="Arial"/>
          <w:sz w:val="22"/>
          <w:szCs w:val="22"/>
        </w:rPr>
        <w:t xml:space="preserve"> en</w:t>
      </w:r>
      <w:r w:rsidRPr="009039B2">
        <w:rPr>
          <w:rFonts w:ascii="Century Gothic" w:hAnsi="Century Gothic" w:cs="Arial"/>
          <w:sz w:val="22"/>
          <w:szCs w:val="22"/>
        </w:rPr>
        <w:t xml:space="preserve"> argumentos de hecho</w:t>
      </w:r>
      <w:r w:rsidR="002367F7" w:rsidRPr="009039B2">
        <w:rPr>
          <w:rFonts w:ascii="Century Gothic" w:hAnsi="Century Gothic" w:cs="Arial"/>
          <w:sz w:val="22"/>
          <w:szCs w:val="22"/>
        </w:rPr>
        <w:t xml:space="preserve"> y</w:t>
      </w:r>
      <w:r w:rsidRPr="009039B2">
        <w:rPr>
          <w:rFonts w:ascii="Century Gothic" w:hAnsi="Century Gothic" w:cs="Arial"/>
          <w:sz w:val="22"/>
          <w:szCs w:val="22"/>
        </w:rPr>
        <w:t xml:space="preserve"> de derecho que apuntalan</w:t>
      </w:r>
      <w:r w:rsidR="00EC2AA0" w:rsidRPr="009039B2">
        <w:rPr>
          <w:rFonts w:ascii="Century Gothic" w:hAnsi="Century Gothic" w:cs="Arial"/>
          <w:sz w:val="22"/>
          <w:szCs w:val="22"/>
        </w:rPr>
        <w:t xml:space="preserve"> </w:t>
      </w:r>
      <w:r w:rsidRPr="009039B2">
        <w:rPr>
          <w:rFonts w:ascii="Century Gothic" w:hAnsi="Century Gothic" w:cs="Arial"/>
          <w:sz w:val="22"/>
          <w:szCs w:val="22"/>
        </w:rPr>
        <w:t xml:space="preserve">la indebida motivación de las resoluciones 1999 y 6057 de 2005, que integran el título ejecutivo en este proceso, </w:t>
      </w:r>
      <w:r w:rsidR="00EC2AA0" w:rsidRPr="009039B2">
        <w:rPr>
          <w:rFonts w:ascii="Century Gothic" w:hAnsi="Century Gothic" w:cs="Arial"/>
          <w:sz w:val="22"/>
          <w:szCs w:val="22"/>
        </w:rPr>
        <w:t xml:space="preserve">al tiempo que ninguna de ellas se encuadra siquiera en las que consagra </w:t>
      </w:r>
      <w:r w:rsidRPr="009039B2">
        <w:rPr>
          <w:rFonts w:ascii="Century Gothic" w:hAnsi="Century Gothic" w:cs="Arial"/>
          <w:sz w:val="22"/>
          <w:szCs w:val="22"/>
        </w:rPr>
        <w:t xml:space="preserve">el artículo 509 </w:t>
      </w:r>
      <w:r w:rsidRPr="009039B2">
        <w:rPr>
          <w:rFonts w:ascii="Century Gothic" w:hAnsi="Century Gothic"/>
          <w:sz w:val="22"/>
          <w:szCs w:val="22"/>
        </w:rPr>
        <w:t xml:space="preserve">del C. de P.C., </w:t>
      </w:r>
      <w:r w:rsidR="00EC2AA0" w:rsidRPr="009039B2">
        <w:rPr>
          <w:rFonts w:ascii="Century Gothic" w:hAnsi="Century Gothic"/>
          <w:sz w:val="22"/>
          <w:szCs w:val="22"/>
        </w:rPr>
        <w:t>no le queda otr</w:t>
      </w:r>
      <w:r w:rsidR="002367F7" w:rsidRPr="009039B2">
        <w:rPr>
          <w:rFonts w:ascii="Century Gothic" w:hAnsi="Century Gothic"/>
          <w:sz w:val="22"/>
          <w:szCs w:val="22"/>
        </w:rPr>
        <w:t>o camino a la Sala que negarlas</w:t>
      </w:r>
      <w:r w:rsidR="00EC2AA0" w:rsidRPr="009039B2">
        <w:rPr>
          <w:rFonts w:ascii="Century Gothic" w:hAnsi="Century Gothic"/>
          <w:sz w:val="22"/>
          <w:szCs w:val="22"/>
        </w:rPr>
        <w:t>.</w:t>
      </w:r>
    </w:p>
    <w:p w14:paraId="61AE4BF6" w14:textId="77777777" w:rsidR="001F664B" w:rsidRPr="009039B2" w:rsidRDefault="001F664B" w:rsidP="001F664B">
      <w:pPr>
        <w:spacing w:line="360" w:lineRule="auto"/>
        <w:jc w:val="both"/>
        <w:rPr>
          <w:rFonts w:ascii="Century Gothic" w:hAnsi="Century Gothic" w:cs="Arial"/>
          <w:sz w:val="22"/>
          <w:szCs w:val="22"/>
        </w:rPr>
      </w:pPr>
    </w:p>
    <w:p w14:paraId="76A5172C" w14:textId="77777777" w:rsidR="002B1AC5" w:rsidRPr="009039B2" w:rsidRDefault="005F1419" w:rsidP="005F664C">
      <w:pPr>
        <w:pStyle w:val="BodyText21"/>
        <w:spacing w:line="360" w:lineRule="auto"/>
        <w:ind w:right="-91"/>
        <w:rPr>
          <w:rFonts w:ascii="Century Gothic" w:hAnsi="Century Gothic" w:cs="Tahoma"/>
          <w:b/>
          <w:sz w:val="22"/>
          <w:szCs w:val="22"/>
          <w:lang w:val="es-CO"/>
        </w:rPr>
      </w:pPr>
      <w:r w:rsidRPr="009039B2">
        <w:rPr>
          <w:rFonts w:ascii="Century Gothic" w:hAnsi="Century Gothic" w:cs="Tahoma"/>
          <w:b/>
          <w:sz w:val="22"/>
          <w:szCs w:val="22"/>
          <w:lang w:val="es-CO"/>
        </w:rPr>
        <w:t>7</w:t>
      </w:r>
      <w:r w:rsidR="007C4636" w:rsidRPr="009039B2">
        <w:rPr>
          <w:rFonts w:ascii="Century Gothic" w:hAnsi="Century Gothic" w:cs="Tahoma"/>
          <w:b/>
          <w:sz w:val="22"/>
          <w:szCs w:val="22"/>
          <w:lang w:val="es-CO"/>
        </w:rPr>
        <w:t xml:space="preserve">.- </w:t>
      </w:r>
      <w:r w:rsidR="002B1AC5" w:rsidRPr="009039B2">
        <w:rPr>
          <w:rFonts w:ascii="Century Gothic" w:hAnsi="Century Gothic" w:cs="Tahoma"/>
          <w:b/>
          <w:sz w:val="22"/>
          <w:szCs w:val="22"/>
          <w:lang w:val="es-CO"/>
        </w:rPr>
        <w:t>Costas</w:t>
      </w:r>
      <w:r w:rsidR="008E5CE2" w:rsidRPr="009039B2">
        <w:rPr>
          <w:rFonts w:ascii="Century Gothic" w:hAnsi="Century Gothic" w:cs="Tahoma"/>
          <w:b/>
          <w:sz w:val="22"/>
          <w:szCs w:val="22"/>
          <w:lang w:val="es-CO"/>
        </w:rPr>
        <w:t>.</w:t>
      </w:r>
    </w:p>
    <w:p w14:paraId="3676E806" w14:textId="77777777" w:rsidR="002B1AC5" w:rsidRPr="009039B2" w:rsidRDefault="002B1AC5" w:rsidP="002B1AC5">
      <w:pPr>
        <w:spacing w:line="360" w:lineRule="auto"/>
        <w:ind w:right="-91"/>
        <w:jc w:val="both"/>
        <w:rPr>
          <w:rFonts w:ascii="Century Gothic" w:hAnsi="Century Gothic" w:cs="Tahoma"/>
          <w:bCs/>
          <w:sz w:val="22"/>
          <w:szCs w:val="22"/>
          <w:lang w:val="es-CO"/>
        </w:rPr>
      </w:pPr>
    </w:p>
    <w:p w14:paraId="0AAFFD88" w14:textId="77777777" w:rsidR="002B1AC5" w:rsidRPr="009039B2" w:rsidRDefault="002B1AC5" w:rsidP="002B1AC5">
      <w:pPr>
        <w:spacing w:line="360" w:lineRule="auto"/>
        <w:ind w:right="-91"/>
        <w:jc w:val="both"/>
        <w:rPr>
          <w:rFonts w:ascii="Century Gothic" w:hAnsi="Century Gothic" w:cs="Tahoma"/>
          <w:sz w:val="22"/>
          <w:szCs w:val="22"/>
        </w:rPr>
      </w:pPr>
      <w:r w:rsidRPr="009039B2">
        <w:rPr>
          <w:rFonts w:ascii="Century Gothic" w:hAnsi="Century Gothic" w:cs="Tahoma"/>
          <w:bCs/>
          <w:sz w:val="22"/>
          <w:szCs w:val="22"/>
          <w:lang w:val="es-ES_tradnl"/>
        </w:rPr>
        <w:t>En consideración a que no se evidenció temeridad, ni mala fe en la actuación procesal de las partes, la Sala se abstendrá de condenarlas en costas, de conformidad con lo establecido en el artículo 171 del C.C.A., modificado por el art</w:t>
      </w:r>
      <w:r w:rsidR="00C45784" w:rsidRPr="009039B2">
        <w:rPr>
          <w:rFonts w:ascii="Century Gothic" w:hAnsi="Century Gothic" w:cs="Tahoma"/>
          <w:bCs/>
          <w:sz w:val="22"/>
          <w:szCs w:val="22"/>
          <w:lang w:val="es-ES_tradnl"/>
        </w:rPr>
        <w:t>ículo 55 de la ley 446 de 1998.</w:t>
      </w:r>
    </w:p>
    <w:p w14:paraId="1C9E0B99" w14:textId="77777777" w:rsidR="002B1AC5" w:rsidRPr="009039B2" w:rsidRDefault="002B1AC5" w:rsidP="002B1AC5">
      <w:pPr>
        <w:spacing w:line="480" w:lineRule="auto"/>
        <w:ind w:right="-91"/>
        <w:jc w:val="both"/>
        <w:rPr>
          <w:rFonts w:ascii="Century Gothic" w:hAnsi="Century Gothic"/>
          <w:sz w:val="22"/>
          <w:szCs w:val="22"/>
          <w:lang w:val="es-CO"/>
        </w:rPr>
      </w:pPr>
    </w:p>
    <w:p w14:paraId="762FA11B" w14:textId="77777777" w:rsidR="002B1AC5" w:rsidRPr="009039B2" w:rsidRDefault="002B1AC5" w:rsidP="002B1AC5">
      <w:pPr>
        <w:spacing w:line="360" w:lineRule="auto"/>
        <w:ind w:right="-91"/>
        <w:jc w:val="both"/>
        <w:rPr>
          <w:rFonts w:ascii="Century Gothic" w:hAnsi="Century Gothic"/>
          <w:sz w:val="22"/>
          <w:szCs w:val="22"/>
          <w:lang w:val="es-CO"/>
        </w:rPr>
      </w:pPr>
      <w:r w:rsidRPr="009039B2">
        <w:rPr>
          <w:rFonts w:ascii="Century Gothic" w:hAnsi="Century Gothic"/>
          <w:sz w:val="22"/>
          <w:szCs w:val="22"/>
          <w:lang w:val="es-CO"/>
        </w:rPr>
        <w:t>En mérito de lo expuesto, el Consejo de Estado, en Sala de lo Contencioso Administrativo, Sección Tercera, Subsección A, administrando justicia en nombre de la República y por autoridad de la ley,</w:t>
      </w:r>
    </w:p>
    <w:p w14:paraId="1C446F50" w14:textId="77777777" w:rsidR="00163103" w:rsidRPr="009039B2" w:rsidRDefault="00163103" w:rsidP="002B1AC5">
      <w:pPr>
        <w:spacing w:line="360" w:lineRule="auto"/>
        <w:ind w:right="-91"/>
        <w:jc w:val="center"/>
        <w:rPr>
          <w:rFonts w:ascii="Century Gothic" w:hAnsi="Century Gothic" w:cs="Tahoma"/>
          <w:b/>
          <w:sz w:val="22"/>
          <w:szCs w:val="22"/>
        </w:rPr>
      </w:pPr>
    </w:p>
    <w:p w14:paraId="086F1620" w14:textId="77777777" w:rsidR="002B1AC5" w:rsidRDefault="002B1AC5" w:rsidP="002B1AC5">
      <w:pPr>
        <w:spacing w:line="360" w:lineRule="auto"/>
        <w:ind w:right="-91"/>
        <w:jc w:val="center"/>
        <w:rPr>
          <w:rFonts w:ascii="Century Gothic" w:hAnsi="Century Gothic" w:cs="Tahoma"/>
          <w:b/>
          <w:sz w:val="22"/>
          <w:szCs w:val="22"/>
        </w:rPr>
      </w:pPr>
      <w:r w:rsidRPr="009039B2">
        <w:rPr>
          <w:rFonts w:ascii="Century Gothic" w:hAnsi="Century Gothic" w:cs="Tahoma"/>
          <w:b/>
          <w:sz w:val="22"/>
          <w:szCs w:val="22"/>
        </w:rPr>
        <w:t>FALLA:</w:t>
      </w:r>
    </w:p>
    <w:p w14:paraId="28B076BC" w14:textId="77777777" w:rsidR="00711F9D" w:rsidRPr="009039B2" w:rsidRDefault="00711F9D" w:rsidP="002B1AC5">
      <w:pPr>
        <w:spacing w:line="360" w:lineRule="auto"/>
        <w:ind w:right="-91"/>
        <w:jc w:val="center"/>
        <w:rPr>
          <w:rFonts w:ascii="Century Gothic" w:hAnsi="Century Gothic" w:cs="Tahoma"/>
          <w:b/>
          <w:sz w:val="22"/>
          <w:szCs w:val="22"/>
        </w:rPr>
      </w:pPr>
    </w:p>
    <w:p w14:paraId="14C7CB1D" w14:textId="77777777" w:rsidR="002B1AC5" w:rsidRPr="009039B2" w:rsidRDefault="002B1AC5" w:rsidP="007741D7">
      <w:pPr>
        <w:widowControl w:val="0"/>
        <w:spacing w:line="360" w:lineRule="auto"/>
        <w:jc w:val="both"/>
        <w:rPr>
          <w:rFonts w:ascii="Century Gothic" w:hAnsi="Century Gothic"/>
          <w:sz w:val="22"/>
          <w:szCs w:val="22"/>
        </w:rPr>
      </w:pPr>
      <w:r w:rsidRPr="009039B2">
        <w:rPr>
          <w:rFonts w:ascii="Century Gothic" w:hAnsi="Century Gothic"/>
          <w:b/>
          <w:sz w:val="22"/>
          <w:szCs w:val="22"/>
          <w:lang w:val="es-ES_tradnl"/>
        </w:rPr>
        <w:t xml:space="preserve">PRIMERO: </w:t>
      </w:r>
      <w:r w:rsidR="007C4636" w:rsidRPr="009039B2">
        <w:rPr>
          <w:rFonts w:ascii="Century Gothic" w:hAnsi="Century Gothic"/>
          <w:sz w:val="22"/>
          <w:szCs w:val="22"/>
          <w:lang w:val="es-ES_tradnl"/>
        </w:rPr>
        <w:t>De</w:t>
      </w:r>
      <w:r w:rsidR="007C4636" w:rsidRPr="009039B2">
        <w:rPr>
          <w:rFonts w:ascii="Century Gothic" w:hAnsi="Century Gothic"/>
          <w:sz w:val="22"/>
          <w:szCs w:val="22"/>
        </w:rPr>
        <w:t xml:space="preserve"> conformidad con las razones expuestas en esta providencia, </w:t>
      </w:r>
      <w:r w:rsidR="005255A2" w:rsidRPr="009039B2">
        <w:rPr>
          <w:rFonts w:ascii="Century Gothic" w:hAnsi="Century Gothic"/>
          <w:b/>
          <w:sz w:val="22"/>
          <w:szCs w:val="22"/>
          <w:lang w:val="es-ES_tradnl"/>
        </w:rPr>
        <w:t>CONFÍRMASE</w:t>
      </w:r>
      <w:r w:rsidRPr="009039B2">
        <w:rPr>
          <w:rFonts w:ascii="Century Gothic" w:hAnsi="Century Gothic"/>
          <w:b/>
          <w:sz w:val="22"/>
          <w:szCs w:val="22"/>
          <w:lang w:val="es-CO"/>
        </w:rPr>
        <w:t xml:space="preserve"> </w:t>
      </w:r>
      <w:r w:rsidRPr="009039B2">
        <w:rPr>
          <w:rFonts w:ascii="Century Gothic" w:hAnsi="Century Gothic"/>
          <w:sz w:val="22"/>
          <w:szCs w:val="22"/>
          <w:lang w:val="es-CO"/>
        </w:rPr>
        <w:t xml:space="preserve">la </w:t>
      </w:r>
      <w:r w:rsidR="00C51211" w:rsidRPr="009039B2">
        <w:rPr>
          <w:rFonts w:ascii="Century Gothic" w:hAnsi="Century Gothic"/>
          <w:sz w:val="22"/>
          <w:szCs w:val="22"/>
        </w:rPr>
        <w:t xml:space="preserve">sentencia del 10 de octubre de 2012, proferida por el Tribunal Administrativo de Cundinamarca, Sección Tercera, Subsección “B”, a través de la cual se </w:t>
      </w:r>
      <w:r w:rsidR="007C4636" w:rsidRPr="009039B2">
        <w:rPr>
          <w:rFonts w:ascii="Century Gothic" w:hAnsi="Century Gothic"/>
          <w:sz w:val="22"/>
          <w:szCs w:val="22"/>
        </w:rPr>
        <w:t xml:space="preserve">ordenó seguir </w:t>
      </w:r>
      <w:r w:rsidR="00281F98" w:rsidRPr="009039B2">
        <w:rPr>
          <w:rFonts w:ascii="Century Gothic" w:hAnsi="Century Gothic"/>
          <w:sz w:val="22"/>
          <w:szCs w:val="22"/>
        </w:rPr>
        <w:t>adelante con la ejecución.</w:t>
      </w:r>
    </w:p>
    <w:p w14:paraId="4FC7CF95" w14:textId="77777777" w:rsidR="002B1AC5" w:rsidRPr="009039B2" w:rsidRDefault="002B1AC5" w:rsidP="002B1AC5">
      <w:pPr>
        <w:autoSpaceDE w:val="0"/>
        <w:autoSpaceDN w:val="0"/>
        <w:adjustRightInd w:val="0"/>
        <w:spacing w:line="360" w:lineRule="auto"/>
        <w:ind w:right="51" w:firstLine="709"/>
        <w:jc w:val="both"/>
        <w:rPr>
          <w:rFonts w:ascii="Century Gothic" w:hAnsi="Century Gothic"/>
          <w:sz w:val="22"/>
          <w:szCs w:val="22"/>
        </w:rPr>
      </w:pPr>
    </w:p>
    <w:p w14:paraId="3F735BE0" w14:textId="77777777" w:rsidR="00163103" w:rsidRPr="009039B2" w:rsidRDefault="002B1AC5" w:rsidP="00163103">
      <w:pPr>
        <w:autoSpaceDE w:val="0"/>
        <w:autoSpaceDN w:val="0"/>
        <w:adjustRightInd w:val="0"/>
        <w:spacing w:line="360" w:lineRule="auto"/>
        <w:ind w:right="51"/>
        <w:jc w:val="both"/>
        <w:rPr>
          <w:rFonts w:ascii="Century Gothic" w:hAnsi="Century Gothic"/>
          <w:b/>
          <w:sz w:val="22"/>
          <w:szCs w:val="22"/>
        </w:rPr>
      </w:pPr>
      <w:r w:rsidRPr="009039B2">
        <w:rPr>
          <w:rFonts w:ascii="Century Gothic" w:hAnsi="Century Gothic"/>
          <w:b/>
          <w:sz w:val="22"/>
          <w:szCs w:val="22"/>
        </w:rPr>
        <w:t xml:space="preserve">SEGUNDO: </w:t>
      </w:r>
      <w:r w:rsidRPr="009039B2">
        <w:rPr>
          <w:rFonts w:ascii="Century Gothic" w:hAnsi="Century Gothic"/>
          <w:sz w:val="22"/>
          <w:szCs w:val="22"/>
        </w:rPr>
        <w:t>Sin condena en costas</w:t>
      </w:r>
      <w:r w:rsidRPr="009039B2">
        <w:rPr>
          <w:rFonts w:ascii="Century Gothic" w:hAnsi="Century Gothic"/>
          <w:b/>
          <w:sz w:val="22"/>
          <w:szCs w:val="22"/>
        </w:rPr>
        <w:t>.</w:t>
      </w:r>
    </w:p>
    <w:p w14:paraId="4798648F" w14:textId="77777777" w:rsidR="00163103" w:rsidRPr="009039B2" w:rsidRDefault="00163103" w:rsidP="00163103">
      <w:pPr>
        <w:autoSpaceDE w:val="0"/>
        <w:autoSpaceDN w:val="0"/>
        <w:adjustRightInd w:val="0"/>
        <w:spacing w:line="360" w:lineRule="auto"/>
        <w:ind w:right="51"/>
        <w:jc w:val="both"/>
        <w:rPr>
          <w:rFonts w:ascii="Century Gothic" w:hAnsi="Century Gothic"/>
          <w:b/>
          <w:sz w:val="22"/>
          <w:szCs w:val="22"/>
        </w:rPr>
      </w:pPr>
    </w:p>
    <w:p w14:paraId="3C56A707" w14:textId="77777777" w:rsidR="00163103" w:rsidRDefault="002B1AC5" w:rsidP="002B1AC5">
      <w:pPr>
        <w:tabs>
          <w:tab w:val="left" w:pos="8222"/>
        </w:tabs>
        <w:overflowPunct w:val="0"/>
        <w:autoSpaceDE w:val="0"/>
        <w:autoSpaceDN w:val="0"/>
        <w:adjustRightInd w:val="0"/>
        <w:spacing w:line="360" w:lineRule="auto"/>
        <w:ind w:right="51"/>
        <w:jc w:val="both"/>
        <w:textAlignment w:val="baseline"/>
        <w:rPr>
          <w:rFonts w:ascii="Century Gothic" w:hAnsi="Century Gothic"/>
          <w:sz w:val="22"/>
          <w:szCs w:val="22"/>
        </w:rPr>
      </w:pPr>
      <w:r w:rsidRPr="009039B2">
        <w:rPr>
          <w:rFonts w:ascii="Century Gothic" w:hAnsi="Century Gothic"/>
          <w:b/>
          <w:sz w:val="22"/>
          <w:szCs w:val="22"/>
        </w:rPr>
        <w:lastRenderedPageBreak/>
        <w:t>TERCERO:</w:t>
      </w:r>
      <w:r w:rsidRPr="009039B2">
        <w:rPr>
          <w:rFonts w:ascii="Century Gothic" w:hAnsi="Century Gothic"/>
          <w:sz w:val="22"/>
          <w:szCs w:val="22"/>
        </w:rPr>
        <w:t xml:space="preserve"> Ejecutoriada esta providencia</w:t>
      </w:r>
      <w:r w:rsidRPr="009039B2">
        <w:rPr>
          <w:rFonts w:ascii="Century Gothic" w:hAnsi="Century Gothic"/>
          <w:b/>
          <w:sz w:val="22"/>
          <w:szCs w:val="22"/>
        </w:rPr>
        <w:t xml:space="preserve">, DEVUÉLVASE </w:t>
      </w:r>
      <w:r w:rsidRPr="009039B2">
        <w:rPr>
          <w:rFonts w:ascii="Century Gothic" w:hAnsi="Century Gothic"/>
          <w:sz w:val="22"/>
          <w:szCs w:val="22"/>
        </w:rPr>
        <w:t>el expediente al Tribunal de origen.</w:t>
      </w:r>
    </w:p>
    <w:p w14:paraId="635292A7" w14:textId="77777777" w:rsidR="00711F9D" w:rsidRPr="009039B2" w:rsidRDefault="00711F9D" w:rsidP="002B1AC5">
      <w:pPr>
        <w:tabs>
          <w:tab w:val="left" w:pos="8222"/>
        </w:tabs>
        <w:overflowPunct w:val="0"/>
        <w:autoSpaceDE w:val="0"/>
        <w:autoSpaceDN w:val="0"/>
        <w:adjustRightInd w:val="0"/>
        <w:spacing w:line="360" w:lineRule="auto"/>
        <w:ind w:right="51"/>
        <w:jc w:val="both"/>
        <w:textAlignment w:val="baseline"/>
        <w:rPr>
          <w:rFonts w:ascii="Century Gothic" w:hAnsi="Century Gothic"/>
          <w:sz w:val="22"/>
          <w:szCs w:val="22"/>
        </w:rPr>
      </w:pPr>
    </w:p>
    <w:p w14:paraId="71D10C12" w14:textId="77777777" w:rsidR="002B1AC5" w:rsidRPr="009039B2" w:rsidRDefault="002B1AC5" w:rsidP="00E67FF5">
      <w:pPr>
        <w:pStyle w:val="Textoindependiente"/>
        <w:ind w:right="-91"/>
        <w:jc w:val="center"/>
        <w:rPr>
          <w:b/>
          <w:i/>
          <w:szCs w:val="22"/>
        </w:rPr>
      </w:pPr>
      <w:r w:rsidRPr="009039B2">
        <w:rPr>
          <w:b/>
          <w:szCs w:val="22"/>
        </w:rPr>
        <w:t>CÓPIESE, NOTIFÍQUESE Y CÚMPLASE</w:t>
      </w:r>
    </w:p>
    <w:p w14:paraId="7BC914F5" w14:textId="77777777" w:rsidR="00251F70" w:rsidRPr="009039B2" w:rsidRDefault="00251F70" w:rsidP="00E67FF5">
      <w:pPr>
        <w:ind w:right="-91"/>
        <w:jc w:val="center"/>
        <w:rPr>
          <w:rFonts w:ascii="Century Gothic" w:hAnsi="Century Gothic"/>
          <w:b/>
          <w:sz w:val="22"/>
          <w:szCs w:val="22"/>
        </w:rPr>
      </w:pPr>
    </w:p>
    <w:p w14:paraId="6C35F61C" w14:textId="77777777" w:rsidR="00E67FF5" w:rsidRDefault="00E67FF5" w:rsidP="00E67FF5">
      <w:pPr>
        <w:ind w:right="-91"/>
        <w:jc w:val="center"/>
        <w:rPr>
          <w:rFonts w:ascii="Century Gothic" w:hAnsi="Century Gothic"/>
          <w:b/>
          <w:sz w:val="22"/>
          <w:szCs w:val="22"/>
        </w:rPr>
      </w:pPr>
    </w:p>
    <w:p w14:paraId="6D2F7ACB" w14:textId="77777777" w:rsidR="00711F9D" w:rsidRPr="009039B2" w:rsidRDefault="00711F9D" w:rsidP="00E67FF5">
      <w:pPr>
        <w:ind w:right="-91"/>
        <w:jc w:val="center"/>
        <w:rPr>
          <w:rFonts w:ascii="Century Gothic" w:hAnsi="Century Gothic"/>
          <w:b/>
          <w:sz w:val="22"/>
          <w:szCs w:val="22"/>
        </w:rPr>
      </w:pPr>
    </w:p>
    <w:p w14:paraId="5186A9DE" w14:textId="77777777" w:rsidR="00E67FF5" w:rsidRPr="009039B2" w:rsidRDefault="00E67FF5" w:rsidP="00E67FF5">
      <w:pPr>
        <w:jc w:val="center"/>
        <w:rPr>
          <w:rFonts w:ascii="Century Gothic" w:hAnsi="Century Gothic" w:cs="Arial"/>
          <w:b/>
          <w:bCs/>
          <w:color w:val="000000"/>
          <w:spacing w:val="2"/>
          <w:sz w:val="22"/>
          <w:szCs w:val="22"/>
        </w:rPr>
      </w:pPr>
    </w:p>
    <w:p w14:paraId="362F87AF" w14:textId="77777777" w:rsidR="00573D47" w:rsidRPr="009039B2" w:rsidRDefault="00251F70" w:rsidP="00E67FF5">
      <w:pPr>
        <w:jc w:val="center"/>
        <w:rPr>
          <w:rFonts w:ascii="Century Gothic" w:hAnsi="Century Gothic"/>
          <w:b/>
          <w:sz w:val="22"/>
          <w:szCs w:val="22"/>
        </w:rPr>
      </w:pPr>
      <w:r w:rsidRPr="009039B2">
        <w:rPr>
          <w:rFonts w:ascii="Century Gothic" w:hAnsi="Century Gothic" w:cs="Arial"/>
          <w:b/>
          <w:bCs/>
          <w:color w:val="000000"/>
          <w:spacing w:val="2"/>
          <w:sz w:val="22"/>
          <w:szCs w:val="22"/>
        </w:rPr>
        <w:t xml:space="preserve">MARÍA ADRIANA MARÍN </w:t>
      </w:r>
    </w:p>
    <w:p w14:paraId="58751CD7" w14:textId="77777777" w:rsidR="00573D47" w:rsidRPr="009039B2" w:rsidRDefault="00573D47" w:rsidP="00E67FF5">
      <w:pPr>
        <w:ind w:right="-91"/>
        <w:jc w:val="center"/>
        <w:rPr>
          <w:rFonts w:ascii="Century Gothic" w:hAnsi="Century Gothic"/>
          <w:b/>
          <w:sz w:val="22"/>
          <w:szCs w:val="22"/>
        </w:rPr>
      </w:pPr>
    </w:p>
    <w:p w14:paraId="1FE03CE6" w14:textId="77777777" w:rsidR="002B1AC5" w:rsidRPr="009039B2" w:rsidRDefault="002B1AC5" w:rsidP="00E67FF5">
      <w:pPr>
        <w:ind w:right="-91"/>
        <w:jc w:val="center"/>
        <w:rPr>
          <w:rFonts w:ascii="Century Gothic" w:hAnsi="Century Gothic"/>
          <w:b/>
          <w:sz w:val="22"/>
          <w:szCs w:val="22"/>
        </w:rPr>
      </w:pPr>
    </w:p>
    <w:p w14:paraId="788D0065" w14:textId="77777777" w:rsidR="00E67FF5" w:rsidRDefault="00E67FF5" w:rsidP="00E67FF5">
      <w:pPr>
        <w:ind w:right="-91"/>
        <w:jc w:val="center"/>
        <w:rPr>
          <w:rFonts w:ascii="Century Gothic" w:hAnsi="Century Gothic"/>
          <w:b/>
          <w:sz w:val="22"/>
          <w:szCs w:val="22"/>
        </w:rPr>
      </w:pPr>
    </w:p>
    <w:p w14:paraId="54550F69" w14:textId="77777777" w:rsidR="00711F9D" w:rsidRPr="009039B2" w:rsidRDefault="00711F9D" w:rsidP="00E67FF5">
      <w:pPr>
        <w:ind w:right="-91"/>
        <w:jc w:val="center"/>
        <w:rPr>
          <w:rFonts w:ascii="Century Gothic" w:hAnsi="Century Gothic"/>
          <w:b/>
          <w:sz w:val="22"/>
          <w:szCs w:val="22"/>
        </w:rPr>
      </w:pPr>
    </w:p>
    <w:p w14:paraId="5E3D1E90" w14:textId="77777777" w:rsidR="00163103" w:rsidRPr="009039B2" w:rsidRDefault="00163103" w:rsidP="00E67FF5">
      <w:pPr>
        <w:ind w:right="-91"/>
        <w:jc w:val="center"/>
        <w:rPr>
          <w:rFonts w:ascii="Century Gothic" w:hAnsi="Century Gothic"/>
          <w:b/>
          <w:sz w:val="22"/>
          <w:szCs w:val="22"/>
        </w:rPr>
      </w:pPr>
    </w:p>
    <w:p w14:paraId="69CA57F8" w14:textId="77777777" w:rsidR="006611E1" w:rsidRPr="00AA333B" w:rsidRDefault="002B1AC5" w:rsidP="00E67FF5">
      <w:pPr>
        <w:jc w:val="center"/>
        <w:rPr>
          <w:rFonts w:ascii="Century Gothic" w:hAnsi="Century Gothic" w:cs="Arial"/>
          <w:sz w:val="22"/>
          <w:szCs w:val="22"/>
          <w:lang w:val="es-CO"/>
        </w:rPr>
      </w:pPr>
      <w:r w:rsidRPr="009039B2">
        <w:rPr>
          <w:rFonts w:ascii="Century Gothic" w:hAnsi="Century Gothic" w:cs="Arial"/>
          <w:b/>
          <w:bCs/>
          <w:color w:val="000000"/>
          <w:spacing w:val="2"/>
          <w:sz w:val="22"/>
          <w:szCs w:val="22"/>
        </w:rPr>
        <w:t>MARTA NUBIA VELÁSQUEZ RICO</w:t>
      </w:r>
      <w:r w:rsidR="00A2640B" w:rsidRPr="009039B2">
        <w:rPr>
          <w:rFonts w:ascii="Century Gothic" w:hAnsi="Century Gothic" w:cs="Arial"/>
          <w:b/>
          <w:bCs/>
          <w:color w:val="000000"/>
          <w:spacing w:val="2"/>
          <w:sz w:val="22"/>
          <w:szCs w:val="22"/>
        </w:rPr>
        <w:tab/>
      </w:r>
      <w:r w:rsidR="00A2640B" w:rsidRPr="009039B2">
        <w:rPr>
          <w:rFonts w:ascii="Century Gothic" w:hAnsi="Century Gothic" w:cs="Arial"/>
          <w:b/>
          <w:bCs/>
          <w:color w:val="000000"/>
          <w:spacing w:val="2"/>
          <w:sz w:val="22"/>
          <w:szCs w:val="22"/>
        </w:rPr>
        <w:tab/>
      </w:r>
      <w:r w:rsidRPr="009039B2">
        <w:rPr>
          <w:rFonts w:ascii="Century Gothic" w:hAnsi="Century Gothic" w:cs="Arial"/>
          <w:b/>
          <w:bCs/>
          <w:color w:val="000000"/>
          <w:spacing w:val="2"/>
          <w:sz w:val="22"/>
          <w:szCs w:val="22"/>
        </w:rPr>
        <w:t>CARLOS ALBERTO ZAMBRANO BARRERA</w:t>
      </w:r>
    </w:p>
    <w:sectPr w:rsidR="006611E1" w:rsidRPr="00AA333B" w:rsidSect="00A61755">
      <w:headerReference w:type="even" r:id="rId11"/>
      <w:pgSz w:w="12242" w:h="18722" w:code="14"/>
      <w:pgMar w:top="1701" w:right="1701" w:bottom="1701" w:left="1701" w:header="1418"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89F7" w14:textId="77777777" w:rsidR="0068094B" w:rsidRDefault="0068094B">
      <w:r>
        <w:separator/>
      </w:r>
    </w:p>
  </w:endnote>
  <w:endnote w:type="continuationSeparator" w:id="0">
    <w:p w14:paraId="5BC0DF7A" w14:textId="77777777" w:rsidR="0068094B" w:rsidRDefault="006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695D" w14:textId="77777777" w:rsidR="0068094B" w:rsidRDefault="0068094B">
      <w:r>
        <w:separator/>
      </w:r>
    </w:p>
  </w:footnote>
  <w:footnote w:type="continuationSeparator" w:id="0">
    <w:p w14:paraId="5188D2DE" w14:textId="77777777" w:rsidR="0068094B" w:rsidRDefault="0068094B">
      <w:r>
        <w:continuationSeparator/>
      </w:r>
    </w:p>
  </w:footnote>
  <w:footnote w:id="1">
    <w:p w14:paraId="7FEB37BE" w14:textId="77777777" w:rsidR="00D65958" w:rsidRPr="00405444" w:rsidRDefault="00D65958" w:rsidP="00D65958">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Pr="00405444">
        <w:rPr>
          <w:rFonts w:ascii="Century Gothic" w:hAnsi="Century Gothic"/>
          <w:i/>
          <w:iCs/>
          <w:sz w:val="18"/>
          <w:szCs w:val="18"/>
        </w:rPr>
        <w:t>Del Principio de Economía.</w:t>
      </w:r>
      <w:r w:rsidRPr="00405444">
        <w:rPr>
          <w:rFonts w:ascii="Century Gothic" w:hAnsi="Century Gothic"/>
          <w:i/>
          <w:sz w:val="18"/>
          <w:szCs w:val="18"/>
        </w:rPr>
        <w:t>  En virtud de este principio:</w:t>
      </w:r>
    </w:p>
    <w:p w14:paraId="7DC66011" w14:textId="77777777" w:rsidR="00D65958" w:rsidRPr="00405444" w:rsidRDefault="00D65958" w:rsidP="00D65958">
      <w:pPr>
        <w:pStyle w:val="Textonotapie"/>
        <w:jc w:val="both"/>
        <w:rPr>
          <w:rFonts w:ascii="Century Gothic" w:hAnsi="Century Gothic"/>
          <w:i/>
          <w:sz w:val="18"/>
          <w:szCs w:val="18"/>
        </w:rPr>
      </w:pPr>
      <w:r w:rsidRPr="00405444">
        <w:rPr>
          <w:rFonts w:ascii="Century Gothic" w:hAnsi="Century Gothic"/>
          <w:i/>
          <w:sz w:val="18"/>
          <w:szCs w:val="18"/>
        </w:rPr>
        <w:t>(…)</w:t>
      </w:r>
    </w:p>
    <w:p w14:paraId="3E6069AE" w14:textId="77777777" w:rsidR="00D65958" w:rsidRPr="00405444" w:rsidRDefault="00D65958" w:rsidP="00D65958">
      <w:pPr>
        <w:pStyle w:val="Textonotapie"/>
        <w:jc w:val="both"/>
        <w:rPr>
          <w:rFonts w:ascii="Century Gothic" w:hAnsi="Century Gothic"/>
          <w:i/>
          <w:sz w:val="18"/>
          <w:szCs w:val="18"/>
          <w:lang w:val="es-CO"/>
        </w:rPr>
      </w:pPr>
      <w:r w:rsidRPr="00405444">
        <w:rPr>
          <w:rFonts w:ascii="Century Gothic" w:hAnsi="Century Gothic"/>
          <w:i/>
          <w:sz w:val="18"/>
          <w:szCs w:val="18"/>
          <w:lang w:val="es-CO"/>
        </w:rPr>
        <w:t>“19. 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seriedad de los ofrecimientos hechos.</w:t>
      </w:r>
    </w:p>
    <w:p w14:paraId="13C31BA5" w14:textId="77777777" w:rsidR="00D65958" w:rsidRPr="00405444" w:rsidRDefault="00D65958" w:rsidP="00D65958">
      <w:pPr>
        <w:pStyle w:val="Textonotapie"/>
        <w:jc w:val="both"/>
        <w:rPr>
          <w:rFonts w:ascii="Century Gothic" w:hAnsi="Century Gothic"/>
          <w:i/>
          <w:sz w:val="18"/>
          <w:szCs w:val="18"/>
          <w:lang w:val="es-CO"/>
        </w:rPr>
      </w:pPr>
      <w:r w:rsidRPr="00405444">
        <w:rPr>
          <w:rFonts w:ascii="Century Gothic" w:hAnsi="Century Gothic"/>
          <w:i/>
          <w:sz w:val="18"/>
          <w:szCs w:val="18"/>
          <w:lang w:val="es-CO"/>
        </w:rPr>
        <w:t>“Las garantías consistirán en pólizas expedidas por compañías de seguros legalmente autorizadas para funcionar en Colombia o en garantías bancarias.</w:t>
      </w:r>
    </w:p>
    <w:p w14:paraId="3F083DD7" w14:textId="77777777" w:rsidR="00D65958" w:rsidRPr="00405444" w:rsidRDefault="00D65958" w:rsidP="00D65958">
      <w:pPr>
        <w:pStyle w:val="Textonotapie"/>
        <w:jc w:val="both"/>
        <w:rPr>
          <w:rFonts w:ascii="Century Gothic" w:hAnsi="Century Gothic"/>
          <w:i/>
          <w:sz w:val="18"/>
          <w:szCs w:val="18"/>
          <w:lang w:val="es-CO"/>
        </w:rPr>
      </w:pPr>
      <w:r w:rsidRPr="00405444">
        <w:rPr>
          <w:rFonts w:ascii="Century Gothic" w:hAnsi="Century Gothic"/>
          <w:i/>
          <w:sz w:val="18"/>
          <w:szCs w:val="18"/>
          <w:lang w:val="es-CO"/>
        </w:rPr>
        <w:t>“La garantía se entenderá vigente hasta la liquidación del contrato garantizado y la prolongación de sus efectos y, tratándose de pólizas, no expirará por falta de pago de la prima o por revocatoria unilateral</w:t>
      </w:r>
      <w:r w:rsidRPr="00405444">
        <w:rPr>
          <w:rFonts w:ascii="Century Gothic" w:hAnsi="Century Gothic"/>
          <w:b/>
          <w:bCs/>
          <w:i/>
          <w:sz w:val="18"/>
          <w:szCs w:val="18"/>
          <w:lang w:val="es-CO"/>
        </w:rPr>
        <w:t>.</w:t>
      </w:r>
    </w:p>
    <w:p w14:paraId="3A394416" w14:textId="77777777" w:rsidR="00D65958" w:rsidRPr="00405444" w:rsidRDefault="00D65958" w:rsidP="00D65958">
      <w:pPr>
        <w:pStyle w:val="Textonotapie"/>
        <w:jc w:val="both"/>
        <w:rPr>
          <w:rFonts w:ascii="Century Gothic" w:hAnsi="Century Gothic"/>
          <w:i/>
          <w:sz w:val="18"/>
          <w:szCs w:val="18"/>
          <w:lang w:val="es-CO"/>
        </w:rPr>
      </w:pPr>
      <w:r w:rsidRPr="00405444">
        <w:rPr>
          <w:rFonts w:ascii="Century Gothic" w:hAnsi="Century Gothic"/>
          <w:i/>
          <w:sz w:val="18"/>
          <w:szCs w:val="18"/>
          <w:lang w:val="es-CO"/>
        </w:rPr>
        <w:t>“Las garantías no serán obligatorias en los contratos de empréstito, interadministrativos y en los de seguros.</w:t>
      </w:r>
    </w:p>
    <w:p w14:paraId="41F5D7CF" w14:textId="77777777" w:rsidR="00D65958" w:rsidRPr="00405444" w:rsidRDefault="00D65958" w:rsidP="00D65958">
      <w:pPr>
        <w:pStyle w:val="Textonotapie"/>
        <w:jc w:val="both"/>
        <w:rPr>
          <w:rFonts w:ascii="Century Gothic" w:hAnsi="Century Gothic"/>
          <w:i/>
          <w:sz w:val="18"/>
          <w:szCs w:val="18"/>
          <w:lang w:val="es-CO"/>
        </w:rPr>
      </w:pPr>
      <w:r w:rsidRPr="00405444">
        <w:rPr>
          <w:rFonts w:ascii="Century Gothic" w:hAnsi="Century Gothic"/>
          <w:i/>
          <w:sz w:val="18"/>
          <w:szCs w:val="18"/>
          <w:lang w:val="es-CO"/>
        </w:rPr>
        <w:t>“Las entidades estatales podrán exonerar a las organizaciones cooperativas nacionales de trabajo asociado legalmente constituidas del otorgamiento de garantías en los contratos que celebren con ellas, siempre y cuando el objeto, cuantía y modalidad de los mismos, así como las características específicas de la organización de que se trate, lo justifiquen. La decisión en este sentido se adoptará mediante resolución motivada”.</w:t>
      </w:r>
    </w:p>
  </w:footnote>
  <w:footnote w:id="2">
    <w:p w14:paraId="0F64F58C" w14:textId="77777777" w:rsidR="00D65958" w:rsidRPr="00405444" w:rsidRDefault="00D65958" w:rsidP="00D65958">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Pr="00405444">
        <w:rPr>
          <w:rFonts w:ascii="Century Gothic" w:hAnsi="Century Gothic"/>
          <w:i/>
          <w:iCs/>
          <w:sz w:val="18"/>
          <w:szCs w:val="18"/>
        </w:rPr>
        <w:t>Del Juez Competente.</w:t>
      </w:r>
      <w:r w:rsidRPr="00405444">
        <w:rPr>
          <w:rFonts w:ascii="Century Gothic" w:hAnsi="Century Gothic"/>
          <w:i/>
          <w:sz w:val="18"/>
          <w:szCs w:val="18"/>
        </w:rPr>
        <w:t> Sin perjuicio de lo dispuesto en los artículos anteriores, el juez competente para conocer de las controversias derivadas de los contratos estatales y de los procesos de ejecución o cumplimiento será el de la jurisdicción contencioso administrativo”.</w:t>
      </w:r>
    </w:p>
  </w:footnote>
  <w:footnote w:id="3">
    <w:p w14:paraId="2F2CAB11" w14:textId="77777777" w:rsidR="00A3424D" w:rsidRPr="00405444" w:rsidRDefault="00A3424D" w:rsidP="00FD5827">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00D65958" w:rsidRPr="00405444">
        <w:rPr>
          <w:rFonts w:ascii="Century Gothic" w:hAnsi="Century Gothic"/>
          <w:i/>
          <w:sz w:val="18"/>
          <w:szCs w:val="18"/>
        </w:rPr>
        <w:t xml:space="preserve"> P</w:t>
      </w:r>
      <w:r w:rsidRPr="00405444">
        <w:rPr>
          <w:rFonts w:ascii="Century Gothic" w:hAnsi="Century Gothic"/>
          <w:i/>
          <w:sz w:val="18"/>
          <w:szCs w:val="18"/>
        </w:rPr>
        <w:t>ara el 28 de agosto de 2006, fecha en la cual se interpuso la demanda (fl. 9 C. 1), la pretensión mayor</w:t>
      </w:r>
      <w:r w:rsidR="00D65958" w:rsidRPr="00405444">
        <w:rPr>
          <w:rFonts w:ascii="Century Gothic" w:hAnsi="Century Gothic"/>
          <w:i/>
          <w:sz w:val="18"/>
          <w:szCs w:val="18"/>
        </w:rPr>
        <w:t>,</w:t>
      </w:r>
      <w:r w:rsidRPr="00405444">
        <w:rPr>
          <w:rFonts w:ascii="Century Gothic" w:hAnsi="Century Gothic"/>
          <w:i/>
          <w:sz w:val="18"/>
          <w:szCs w:val="18"/>
        </w:rPr>
        <w:t xml:space="preserve"> tasada en $4.822’200.000 (fl. 3 C. 1)</w:t>
      </w:r>
      <w:r w:rsidR="00D65958" w:rsidRPr="00405444">
        <w:rPr>
          <w:rFonts w:ascii="Century Gothic" w:hAnsi="Century Gothic"/>
          <w:i/>
          <w:sz w:val="18"/>
          <w:szCs w:val="18"/>
        </w:rPr>
        <w:t>,</w:t>
      </w:r>
      <w:r w:rsidRPr="00405444">
        <w:rPr>
          <w:rFonts w:ascii="Century Gothic" w:hAnsi="Century Gothic"/>
          <w:i/>
          <w:sz w:val="18"/>
          <w:szCs w:val="18"/>
        </w:rPr>
        <w:t xml:space="preserve"> superaba ostensiblemente los $612’000.000, monto </w:t>
      </w:r>
      <w:r w:rsidR="00D65958" w:rsidRPr="00405444">
        <w:rPr>
          <w:rFonts w:ascii="Century Gothic" w:hAnsi="Century Gothic"/>
          <w:i/>
          <w:sz w:val="18"/>
          <w:szCs w:val="18"/>
        </w:rPr>
        <w:t>al que equivalen</w:t>
      </w:r>
      <w:r w:rsidRPr="00405444">
        <w:rPr>
          <w:rFonts w:ascii="Century Gothic" w:hAnsi="Century Gothic"/>
          <w:i/>
          <w:sz w:val="18"/>
          <w:szCs w:val="18"/>
        </w:rPr>
        <w:t xml:space="preserve"> los 1500 salarios mínimos legales mensuales vigentes que exigía el artículo 132 (numeral 7) del C.C.A., subrogado por el ar</w:t>
      </w:r>
      <w:r w:rsidR="00D65958" w:rsidRPr="00405444">
        <w:rPr>
          <w:rFonts w:ascii="Century Gothic" w:hAnsi="Century Gothic"/>
          <w:i/>
          <w:sz w:val="18"/>
          <w:szCs w:val="18"/>
        </w:rPr>
        <w:t>tículo 40 de la ley 446 de 1998, para que el proceso tuviera vocación de doble instancia (</w:t>
      </w:r>
      <w:r w:rsidRPr="00405444">
        <w:rPr>
          <w:rFonts w:ascii="Century Gothic" w:hAnsi="Century Gothic"/>
          <w:i/>
          <w:sz w:val="18"/>
          <w:szCs w:val="18"/>
        </w:rPr>
        <w:t>para esa fecha, un salario mínimo legal mensual</w:t>
      </w:r>
      <w:r w:rsidR="00D65958" w:rsidRPr="00405444">
        <w:rPr>
          <w:rFonts w:ascii="Century Gothic" w:hAnsi="Century Gothic"/>
          <w:i/>
          <w:sz w:val="18"/>
          <w:szCs w:val="18"/>
        </w:rPr>
        <w:t xml:space="preserve"> vigente equivalía a  $408.000, según el </w:t>
      </w:r>
      <w:r w:rsidRPr="00405444">
        <w:rPr>
          <w:rFonts w:ascii="Century Gothic" w:hAnsi="Century Gothic"/>
          <w:i/>
          <w:sz w:val="18"/>
          <w:szCs w:val="18"/>
        </w:rPr>
        <w:t xml:space="preserve">decreto </w:t>
      </w:r>
      <w:r w:rsidRPr="00405444">
        <w:rPr>
          <w:rFonts w:ascii="Century Gothic" w:hAnsi="Century Gothic"/>
          <w:i/>
          <w:sz w:val="18"/>
          <w:szCs w:val="18"/>
          <w:lang w:val="es-CO"/>
        </w:rPr>
        <w:t>4686 del 21 de diciembre de 2005)</w:t>
      </w:r>
      <w:r w:rsidRPr="00405444">
        <w:rPr>
          <w:rFonts w:ascii="Century Gothic" w:hAnsi="Century Gothic"/>
          <w:i/>
          <w:sz w:val="18"/>
          <w:szCs w:val="18"/>
        </w:rPr>
        <w:t>.</w:t>
      </w:r>
    </w:p>
  </w:footnote>
  <w:footnote w:id="4">
    <w:p w14:paraId="5FAB6F49" w14:textId="77777777" w:rsidR="00A3424D" w:rsidRPr="00405444" w:rsidRDefault="00A3424D" w:rsidP="00EB0A20">
      <w:pPr>
        <w:pStyle w:val="Textonotapie"/>
        <w:jc w:val="both"/>
        <w:rPr>
          <w:rFonts w:ascii="Century Gothic" w:hAnsi="Century Gothic"/>
          <w:i/>
          <w:sz w:val="18"/>
          <w:szCs w:val="18"/>
          <w:lang w:val="es-CO"/>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Pr="00405444">
        <w:rPr>
          <w:rFonts w:ascii="Century Gothic" w:hAnsi="Century Gothic"/>
          <w:i/>
          <w:sz w:val="18"/>
          <w:szCs w:val="18"/>
          <w:lang w:val="es-CO"/>
        </w:rPr>
        <w:t>“(…) es el documento, o la serie de dos o más documentos conexos, que por mandato legal o judicial, o por acuerdo de quienes lo suscriben, contiene una obligación de pagar una suma de dinero, o dar otra cosa, o de hacer, deshacer, o no hacer a cargo de una o mas (sic) personas y a favor de otra o de otras, que por ser expresa, clara y exigible y constituir plena prueba, produce la certeza judicial necesaria para que pueda ser satisfecha mediante el proceso ejecutivo respectivo” (</w:t>
      </w:r>
      <w:r w:rsidR="00D65958" w:rsidRPr="00405444">
        <w:rPr>
          <w:rFonts w:ascii="Century Gothic" w:hAnsi="Century Gothic"/>
          <w:i/>
          <w:sz w:val="18"/>
          <w:szCs w:val="18"/>
          <w:lang w:val="es-CO"/>
        </w:rPr>
        <w:t xml:space="preserve">VELÁSQUEZ GÓMEZ, Juan Guillermo: “Los procesos Ejecutivos”, </w:t>
      </w:r>
      <w:r w:rsidRPr="00405444">
        <w:rPr>
          <w:rFonts w:ascii="Century Gothic" w:hAnsi="Century Gothic"/>
          <w:i/>
          <w:sz w:val="18"/>
          <w:szCs w:val="18"/>
          <w:lang w:val="es-CO"/>
        </w:rPr>
        <w:t>Ed. Jurídica Sánchez</w:t>
      </w:r>
      <w:r w:rsidR="00D65958" w:rsidRPr="00405444">
        <w:rPr>
          <w:rFonts w:ascii="Century Gothic" w:hAnsi="Century Gothic"/>
          <w:i/>
          <w:sz w:val="18"/>
          <w:szCs w:val="18"/>
          <w:lang w:val="es-CO"/>
        </w:rPr>
        <w:t>,</w:t>
      </w:r>
      <w:r w:rsidRPr="00405444">
        <w:rPr>
          <w:rFonts w:ascii="Century Gothic" w:hAnsi="Century Gothic"/>
          <w:i/>
          <w:sz w:val="18"/>
          <w:szCs w:val="18"/>
          <w:lang w:val="es-CO"/>
        </w:rPr>
        <w:t xml:space="preserve"> Medellín, 2006, pág. 47).</w:t>
      </w:r>
    </w:p>
  </w:footnote>
  <w:footnote w:id="5">
    <w:p w14:paraId="4ED921A1" w14:textId="77777777" w:rsidR="00A3424D" w:rsidRPr="00405444" w:rsidRDefault="00A3424D" w:rsidP="00ED3AF2">
      <w:pPr>
        <w:pStyle w:val="Textonotapie"/>
        <w:jc w:val="both"/>
        <w:rPr>
          <w:rFonts w:ascii="Century Gothic" w:hAnsi="Century Gothic"/>
          <w:i/>
          <w:sz w:val="18"/>
          <w:szCs w:val="18"/>
          <w:lang w:val="es-CO"/>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Pr="00405444">
        <w:rPr>
          <w:rFonts w:ascii="Century Gothic" w:hAnsi="Century Gothic"/>
          <w:i/>
          <w:sz w:val="18"/>
          <w:szCs w:val="18"/>
          <w:lang w:val="es-CO"/>
        </w:rPr>
        <w:t>“Cuando la obligación se deduce del contenido de dos o más documentos dependientes o conexos. En este caso el mérito ejecutivo emerge de la unidad jurídica del título, al ser integrado este por una pluralidad de documentos ligados íntimamente. A esta clase de título suele llamársele también ‘complejo’ o ‘compuesto’” (ibídem, pág. 48).</w:t>
      </w:r>
    </w:p>
    <w:p w14:paraId="7AEBFCB8" w14:textId="77777777" w:rsidR="00B87873" w:rsidRPr="00405444" w:rsidRDefault="00B87873" w:rsidP="00ED3AF2">
      <w:pPr>
        <w:pStyle w:val="Textonotapie"/>
        <w:jc w:val="both"/>
        <w:rPr>
          <w:rFonts w:ascii="Century Gothic" w:hAnsi="Century Gothic"/>
          <w:i/>
          <w:sz w:val="18"/>
          <w:szCs w:val="18"/>
          <w:lang w:val="es-CO"/>
        </w:rPr>
      </w:pPr>
    </w:p>
    <w:p w14:paraId="4A4B19E0" w14:textId="77777777" w:rsidR="00B87873" w:rsidRPr="00405444" w:rsidRDefault="00B87873" w:rsidP="00B87873">
      <w:pPr>
        <w:pStyle w:val="Textonotapie"/>
        <w:jc w:val="both"/>
        <w:rPr>
          <w:rFonts w:ascii="Century Gothic" w:hAnsi="Century Gothic"/>
          <w:i/>
          <w:sz w:val="18"/>
          <w:szCs w:val="18"/>
          <w:lang w:val="es-CO"/>
        </w:rPr>
      </w:pPr>
      <w:r w:rsidRPr="00405444">
        <w:rPr>
          <w:rFonts w:ascii="Century Gothic" w:hAnsi="Century Gothic"/>
          <w:i/>
          <w:sz w:val="18"/>
          <w:szCs w:val="18"/>
          <w:lang w:val="es-CO"/>
        </w:rPr>
        <w:t>En similar sentido, la Corte Constitucional ha manifestado que “los títulos ejecutivos deben gozar de dos tipos de condiciones: formales y sustanciales.</w:t>
      </w:r>
    </w:p>
    <w:p w14:paraId="3E2C8A1B" w14:textId="77777777" w:rsidR="00B87873" w:rsidRPr="00405444" w:rsidRDefault="00B87873" w:rsidP="00B87873">
      <w:pPr>
        <w:pStyle w:val="Textonotapie"/>
        <w:jc w:val="both"/>
        <w:rPr>
          <w:rFonts w:ascii="Century Gothic" w:hAnsi="Century Gothic"/>
          <w:i/>
          <w:sz w:val="18"/>
          <w:szCs w:val="18"/>
          <w:lang w:val="es-CO"/>
        </w:rPr>
      </w:pPr>
      <w:r w:rsidRPr="00405444">
        <w:rPr>
          <w:rFonts w:ascii="Century Gothic" w:hAnsi="Century Gothic"/>
          <w:i/>
          <w:sz w:val="18"/>
          <w:szCs w:val="18"/>
          <w:lang w:val="es-CO"/>
        </w:rPr>
        <w:t>“Las primeras exigen que el documento o conjunto de documentos que dan cuenta de la existencia de la obligación ‘</w:t>
      </w:r>
      <w:r w:rsidRPr="00405444">
        <w:rPr>
          <w:rFonts w:ascii="Century Gothic" w:hAnsi="Century Gothic"/>
          <w:b/>
          <w:bCs/>
          <w:i/>
          <w:iCs/>
          <w:sz w:val="18"/>
          <w:szCs w:val="18"/>
          <w:lang w:val="es-CO"/>
        </w:rPr>
        <w:t>(i)</w:t>
      </w:r>
      <w:r w:rsidRPr="00405444">
        <w:rPr>
          <w:rFonts w:ascii="Century Gothic" w:hAnsi="Century Gothic"/>
          <w:i/>
          <w:iCs/>
          <w:sz w:val="18"/>
          <w:szCs w:val="18"/>
          <w:lang w:val="es-CO"/>
        </w:rPr>
        <w:t> sean auténticos y </w:t>
      </w:r>
      <w:r w:rsidRPr="00405444">
        <w:rPr>
          <w:rFonts w:ascii="Century Gothic" w:hAnsi="Century Gothic"/>
          <w:b/>
          <w:bCs/>
          <w:i/>
          <w:iCs/>
          <w:sz w:val="18"/>
          <w:szCs w:val="18"/>
          <w:lang w:val="es-CO"/>
        </w:rPr>
        <w:t>(ii)</w:t>
      </w:r>
      <w:r w:rsidRPr="00405444">
        <w:rPr>
          <w:rFonts w:ascii="Century Gothic" w:hAnsi="Century Gothic"/>
          <w:i/>
          <w:sz w:val="18"/>
          <w:szCs w:val="18"/>
          <w:lang w:val="es-CO"/>
        </w:rPr>
        <w:t> </w:t>
      </w:r>
      <w:r w:rsidRPr="00405444">
        <w:rPr>
          <w:rFonts w:ascii="Century Gothic" w:hAnsi="Century Gothic"/>
          <w:i/>
          <w:iCs/>
          <w:sz w:val="18"/>
          <w:szCs w:val="18"/>
          <w:lang w:val="es-CO"/>
        </w:rPr>
        <w:t>emanen del deudor o de su causante, de una sentencia de condena proferida por el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justicia, o de un acto administrativo en firme</w:t>
      </w:r>
      <w:bookmarkStart w:id="3" w:name="_ftnref20"/>
      <w:r w:rsidRPr="00405444">
        <w:rPr>
          <w:rFonts w:ascii="Century Gothic" w:hAnsi="Century Gothic"/>
          <w:i/>
          <w:iCs/>
          <w:sz w:val="18"/>
          <w:szCs w:val="18"/>
          <w:lang w:val="es-CO"/>
        </w:rPr>
        <w:t>’</w:t>
      </w:r>
      <w:hyperlink r:id="rId1" w:anchor="_ftn20" w:history="1"/>
      <w:bookmarkEnd w:id="3"/>
    </w:p>
    <w:p w14:paraId="4DBAFE95" w14:textId="77777777" w:rsidR="00B87873" w:rsidRPr="00405444" w:rsidRDefault="00B87873" w:rsidP="00B87873">
      <w:pPr>
        <w:pStyle w:val="Textonotapie"/>
        <w:jc w:val="both"/>
        <w:rPr>
          <w:rFonts w:ascii="Century Gothic" w:hAnsi="Century Gothic"/>
          <w:i/>
          <w:sz w:val="18"/>
          <w:szCs w:val="18"/>
          <w:lang w:val="es-CO"/>
        </w:rPr>
      </w:pPr>
      <w:r w:rsidRPr="00405444">
        <w:rPr>
          <w:rFonts w:ascii="Century Gothic" w:hAnsi="Century Gothic"/>
          <w:i/>
          <w:sz w:val="18"/>
          <w:szCs w:val="18"/>
          <w:lang w:val="es-CO"/>
        </w:rPr>
        <w:t>“Desde esta perspectiva, el título ejecutivo puede ser singular, esto es, estar contenido o constituido en un solo documento, o complejo, cuando la obligación está contenida en varios documentos.</w:t>
      </w:r>
    </w:p>
    <w:p w14:paraId="19C56CA1" w14:textId="77777777" w:rsidR="00B87873" w:rsidRPr="00405444" w:rsidRDefault="00B87873" w:rsidP="00B87873">
      <w:pPr>
        <w:pStyle w:val="Textonotapie"/>
        <w:jc w:val="both"/>
        <w:rPr>
          <w:rFonts w:ascii="Century Gothic" w:hAnsi="Century Gothic"/>
          <w:i/>
          <w:sz w:val="18"/>
          <w:szCs w:val="18"/>
          <w:lang w:val="es-CO"/>
        </w:rPr>
      </w:pPr>
      <w:r w:rsidRPr="00405444">
        <w:rPr>
          <w:rFonts w:ascii="Century Gothic" w:hAnsi="Century Gothic"/>
          <w:i/>
          <w:sz w:val="18"/>
          <w:szCs w:val="18"/>
          <w:lang w:val="es-CO"/>
        </w:rPr>
        <w:t>“Las segundas, exigen que el título ejecutivo contenga una prestación en beneficio de una persona.</w:t>
      </w:r>
      <w:r w:rsidR="00C029BB" w:rsidRPr="00405444">
        <w:rPr>
          <w:rFonts w:ascii="Century Gothic" w:hAnsi="Century Gothic"/>
          <w:i/>
          <w:sz w:val="18"/>
          <w:szCs w:val="18"/>
          <w:lang w:val="es-CO"/>
        </w:rPr>
        <w:t xml:space="preserve"> </w:t>
      </w:r>
      <w:r w:rsidRPr="00405444">
        <w:rPr>
          <w:rFonts w:ascii="Century Gothic" w:hAnsi="Century Gothic"/>
          <w:i/>
          <w:sz w:val="18"/>
          <w:szCs w:val="18"/>
          <w:lang w:val="es-CO"/>
        </w:rPr>
        <w:t>“Es decir, que establezca que el obligado debe observar a favor de su acreedor una conducta de hacer, de dar, o de no hacer, que debe ser clara, expresa y exigible.</w:t>
      </w:r>
      <w:r w:rsidRPr="00405444">
        <w:rPr>
          <w:rFonts w:ascii="Century Gothic" w:hAnsi="Century Gothic"/>
          <w:b/>
          <w:bCs/>
          <w:i/>
          <w:sz w:val="18"/>
          <w:szCs w:val="18"/>
          <w:lang w:val="es-CO"/>
        </w:rPr>
        <w:t> </w:t>
      </w:r>
      <w:r w:rsidRPr="00405444">
        <w:rPr>
          <w:rFonts w:ascii="Century Gothic" w:hAnsi="Century Gothic"/>
          <w:i/>
          <w:sz w:val="18"/>
          <w:szCs w:val="18"/>
          <w:lang w:val="es-CO"/>
        </w:rPr>
        <w:t>Es </w:t>
      </w:r>
      <w:r w:rsidRPr="00405444">
        <w:rPr>
          <w:rFonts w:ascii="Century Gothic" w:hAnsi="Century Gothic"/>
          <w:b/>
          <w:bCs/>
          <w:i/>
          <w:sz w:val="18"/>
          <w:szCs w:val="18"/>
          <w:lang w:val="es-CO"/>
        </w:rPr>
        <w:t>clara</w:t>
      </w:r>
      <w:r w:rsidRPr="00405444">
        <w:rPr>
          <w:rFonts w:ascii="Century Gothic" w:hAnsi="Century Gothic"/>
          <w:i/>
          <w:sz w:val="18"/>
          <w:szCs w:val="18"/>
          <w:lang w:val="es-CO"/>
        </w:rPr>
        <w:t> la obligación que no da lugar a equívocos, en otras palabras, en la que están identificados el deudor, el acreedor, la naturaleza de la obligación y los factores que la determinan. Es </w:t>
      </w:r>
      <w:r w:rsidRPr="00405444">
        <w:rPr>
          <w:rFonts w:ascii="Century Gothic" w:hAnsi="Century Gothic"/>
          <w:b/>
          <w:bCs/>
          <w:i/>
          <w:sz w:val="18"/>
          <w:szCs w:val="18"/>
          <w:lang w:val="es-CO"/>
        </w:rPr>
        <w:t>expresa</w:t>
      </w:r>
      <w:r w:rsidRPr="00405444">
        <w:rPr>
          <w:rFonts w:ascii="Century Gothic" w:hAnsi="Century Gothic"/>
          <w:i/>
          <w:sz w:val="18"/>
          <w:szCs w:val="18"/>
          <w:lang w:val="es-CO"/>
        </w:rPr>
        <w:t> cuando de la redacción misma del documento, aparece nítida y manifiesta la obligación. Es </w:t>
      </w:r>
      <w:r w:rsidRPr="00405444">
        <w:rPr>
          <w:rFonts w:ascii="Century Gothic" w:hAnsi="Century Gothic"/>
          <w:b/>
          <w:bCs/>
          <w:i/>
          <w:sz w:val="18"/>
          <w:szCs w:val="18"/>
          <w:lang w:val="es-CO"/>
        </w:rPr>
        <w:t>exigible</w:t>
      </w:r>
      <w:r w:rsidRPr="00405444">
        <w:rPr>
          <w:rFonts w:ascii="Century Gothic" w:hAnsi="Century Gothic"/>
          <w:i/>
          <w:sz w:val="18"/>
          <w:szCs w:val="18"/>
          <w:lang w:val="es-CO"/>
        </w:rPr>
        <w:t> si su cumplimiento no está sujeto a un plazo o a una condición, dicho de otro modo, si se trata de una obligación pura y simple ya declarada.</w:t>
      </w:r>
    </w:p>
    <w:p w14:paraId="45E50F71" w14:textId="77777777" w:rsidR="00B87873" w:rsidRPr="00405444" w:rsidRDefault="00B87873" w:rsidP="00B87873">
      <w:pPr>
        <w:pStyle w:val="Textonotapie"/>
        <w:jc w:val="both"/>
        <w:rPr>
          <w:rFonts w:ascii="Century Gothic" w:hAnsi="Century Gothic"/>
          <w:i/>
          <w:sz w:val="18"/>
          <w:szCs w:val="18"/>
          <w:lang w:val="es-CO"/>
        </w:rPr>
      </w:pPr>
      <w:r w:rsidRPr="00405444">
        <w:rPr>
          <w:rFonts w:ascii="Century Gothic" w:hAnsi="Century Gothic"/>
          <w:i/>
          <w:sz w:val="18"/>
          <w:szCs w:val="18"/>
          <w:lang w:val="es-CO"/>
        </w:rPr>
        <w:t>“De manera que toda obligación que se ajuste a los preceptos y requisitos generales indicados presta mérito ejecutivo</w:t>
      </w:r>
      <w:r w:rsidR="00C029BB" w:rsidRPr="00405444">
        <w:rPr>
          <w:rFonts w:ascii="Century Gothic" w:hAnsi="Century Gothic"/>
          <w:i/>
          <w:sz w:val="18"/>
          <w:szCs w:val="18"/>
          <w:lang w:val="es-CO"/>
        </w:rPr>
        <w:t xml:space="preserve"> (sic)</w:t>
      </w:r>
      <w:r w:rsidRPr="00405444">
        <w:rPr>
          <w:rFonts w:ascii="Century Gothic" w:hAnsi="Century Gothic"/>
          <w:i/>
          <w:sz w:val="18"/>
          <w:szCs w:val="18"/>
          <w:lang w:val="es-CO"/>
        </w:rPr>
        <w:t>, por lo tanto, en el trámite de un proceso ejecutivo, el juez debe determinar si en el caso que se somete a su consideración se dan los supuestos exigidos en la norma referida” (sentencia T - 743 de 2013).</w:t>
      </w:r>
    </w:p>
  </w:footnote>
  <w:footnote w:id="6">
    <w:p w14:paraId="7F8E294E" w14:textId="77777777" w:rsidR="00832F5C" w:rsidRPr="00405444" w:rsidRDefault="00832F5C" w:rsidP="00832F5C">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La corrección que se pretendió efectuar con este acto administrativo fue sobre el número de identificación de la póliza de seguros, pues en la resolución 6057 del 15 de septiembre de 2005 se consignó “</w:t>
      </w:r>
      <w:r w:rsidRPr="00405444">
        <w:rPr>
          <w:rFonts w:ascii="Century Gothic" w:hAnsi="Century Gothic"/>
          <w:i/>
          <w:sz w:val="18"/>
          <w:szCs w:val="18"/>
          <w:lang w:val="es-ES_tradnl"/>
        </w:rPr>
        <w:t>11410305”, siendo “</w:t>
      </w:r>
      <w:r w:rsidRPr="00405444">
        <w:rPr>
          <w:rFonts w:ascii="Century Gothic" w:hAnsi="Century Gothic"/>
          <w:i/>
          <w:sz w:val="18"/>
          <w:szCs w:val="18"/>
        </w:rPr>
        <w:t>1141035” el número correcto.</w:t>
      </w:r>
    </w:p>
  </w:footnote>
  <w:footnote w:id="7">
    <w:p w14:paraId="0BD38B94" w14:textId="77777777" w:rsidR="00322185" w:rsidRPr="00405444" w:rsidRDefault="00322185" w:rsidP="00E736D0">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00E736D0" w:rsidRPr="00405444">
        <w:rPr>
          <w:rFonts w:ascii="Century Gothic" w:hAnsi="Century Gothic"/>
          <w:i/>
          <w:sz w:val="18"/>
          <w:szCs w:val="18"/>
        </w:rPr>
        <w:t>R</w:t>
      </w:r>
      <w:r w:rsidRPr="00405444">
        <w:rPr>
          <w:rFonts w:ascii="Century Gothic" w:hAnsi="Century Gothic"/>
          <w:i/>
          <w:sz w:val="18"/>
          <w:szCs w:val="18"/>
        </w:rPr>
        <w:t xml:space="preserve">esalta el despacho que los documentos relacionados con el contrato 403 del 2000 y con la póliza de seguros GU01001141035 fueron aportados por el ejecutante en original y, si bien fueron </w:t>
      </w:r>
      <w:r w:rsidR="00B57E87" w:rsidRPr="00405444">
        <w:rPr>
          <w:rFonts w:ascii="Century Gothic" w:hAnsi="Century Gothic"/>
          <w:i/>
          <w:sz w:val="18"/>
          <w:szCs w:val="18"/>
        </w:rPr>
        <w:t xml:space="preserve">reemplazados </w:t>
      </w:r>
      <w:r w:rsidRPr="00405444">
        <w:rPr>
          <w:rFonts w:ascii="Century Gothic" w:hAnsi="Century Gothic"/>
          <w:i/>
          <w:sz w:val="18"/>
          <w:szCs w:val="18"/>
        </w:rPr>
        <w:t>por copias</w:t>
      </w:r>
      <w:r w:rsidR="00E736D0" w:rsidRPr="00405444">
        <w:rPr>
          <w:rFonts w:ascii="Century Gothic" w:hAnsi="Century Gothic"/>
          <w:i/>
          <w:sz w:val="18"/>
          <w:szCs w:val="18"/>
        </w:rPr>
        <w:t xml:space="preserve">, con el propósito de usar los originales para interponer otras demandas, </w:t>
      </w:r>
      <w:r w:rsidR="00B57E87" w:rsidRPr="00405444">
        <w:rPr>
          <w:rFonts w:ascii="Century Gothic" w:hAnsi="Century Gothic"/>
          <w:i/>
          <w:sz w:val="18"/>
          <w:szCs w:val="18"/>
        </w:rPr>
        <w:t xml:space="preserve">lo cierto es que esas copias </w:t>
      </w:r>
      <w:r w:rsidR="00DD15F5" w:rsidRPr="00405444">
        <w:rPr>
          <w:rFonts w:ascii="Century Gothic" w:hAnsi="Century Gothic"/>
          <w:i/>
          <w:sz w:val="18"/>
          <w:szCs w:val="18"/>
        </w:rPr>
        <w:t>fueron autenticadas</w:t>
      </w:r>
      <w:r w:rsidR="00B57E87" w:rsidRPr="00405444">
        <w:rPr>
          <w:rFonts w:ascii="Century Gothic" w:hAnsi="Century Gothic"/>
          <w:i/>
          <w:sz w:val="18"/>
          <w:szCs w:val="18"/>
        </w:rPr>
        <w:t xml:space="preserve"> por el secretario del tribunal, conforme a lo ordenado en </w:t>
      </w:r>
      <w:r w:rsidR="00E736D0" w:rsidRPr="00405444">
        <w:rPr>
          <w:rFonts w:ascii="Century Gothic" w:hAnsi="Century Gothic"/>
          <w:i/>
          <w:sz w:val="18"/>
          <w:szCs w:val="18"/>
        </w:rPr>
        <w:t xml:space="preserve">auto del 14 de noviembre de 2007, </w:t>
      </w:r>
      <w:r w:rsidR="00DD15F5" w:rsidRPr="00405444">
        <w:rPr>
          <w:rFonts w:ascii="Century Gothic" w:hAnsi="Century Gothic"/>
          <w:i/>
          <w:sz w:val="18"/>
          <w:szCs w:val="18"/>
        </w:rPr>
        <w:t>por el cual</w:t>
      </w:r>
      <w:r w:rsidR="003926F0">
        <w:rPr>
          <w:rFonts w:ascii="Century Gothic" w:hAnsi="Century Gothic"/>
          <w:i/>
          <w:sz w:val="18"/>
          <w:szCs w:val="18"/>
        </w:rPr>
        <w:t xml:space="preserve"> se</w:t>
      </w:r>
      <w:r w:rsidR="00DD15F5" w:rsidRPr="00405444">
        <w:rPr>
          <w:rFonts w:ascii="Century Gothic" w:hAnsi="Century Gothic"/>
          <w:i/>
          <w:sz w:val="18"/>
          <w:szCs w:val="18"/>
        </w:rPr>
        <w:t xml:space="preserve"> </w:t>
      </w:r>
      <w:r w:rsidR="003926F0">
        <w:rPr>
          <w:rFonts w:ascii="Century Gothic" w:hAnsi="Century Gothic"/>
          <w:i/>
          <w:sz w:val="18"/>
          <w:szCs w:val="18"/>
        </w:rPr>
        <w:t>ordenó</w:t>
      </w:r>
      <w:r w:rsidR="00E736D0" w:rsidRPr="00405444">
        <w:rPr>
          <w:rFonts w:ascii="Century Gothic" w:hAnsi="Century Gothic"/>
          <w:i/>
          <w:sz w:val="18"/>
          <w:szCs w:val="18"/>
        </w:rPr>
        <w:t xml:space="preserve"> </w:t>
      </w:r>
      <w:r w:rsidR="00DD15F5" w:rsidRPr="00405444">
        <w:rPr>
          <w:rFonts w:ascii="Century Gothic" w:hAnsi="Century Gothic"/>
          <w:i/>
          <w:sz w:val="18"/>
          <w:szCs w:val="18"/>
        </w:rPr>
        <w:t xml:space="preserve">su </w:t>
      </w:r>
      <w:r w:rsidR="00E736D0" w:rsidRPr="00405444">
        <w:rPr>
          <w:rFonts w:ascii="Century Gothic" w:hAnsi="Century Gothic"/>
          <w:i/>
          <w:sz w:val="18"/>
          <w:szCs w:val="18"/>
        </w:rPr>
        <w:t>desglose</w:t>
      </w:r>
      <w:r w:rsidR="003926F0">
        <w:rPr>
          <w:rFonts w:ascii="Century Gothic" w:hAnsi="Century Gothic"/>
          <w:i/>
          <w:sz w:val="18"/>
          <w:szCs w:val="18"/>
        </w:rPr>
        <w:t>, razón por la cual</w:t>
      </w:r>
      <w:r w:rsidR="00E736D0" w:rsidRPr="00405444">
        <w:rPr>
          <w:rFonts w:ascii="Century Gothic" w:hAnsi="Century Gothic"/>
          <w:i/>
          <w:sz w:val="18"/>
          <w:szCs w:val="18"/>
        </w:rPr>
        <w:t xml:space="preserve"> tienen el mismo valor probatorio que los </w:t>
      </w:r>
      <w:r w:rsidR="001D4FFE" w:rsidRPr="00405444">
        <w:rPr>
          <w:rFonts w:ascii="Century Gothic" w:hAnsi="Century Gothic"/>
          <w:i/>
          <w:sz w:val="18"/>
          <w:szCs w:val="18"/>
        </w:rPr>
        <w:t xml:space="preserve">documentos </w:t>
      </w:r>
      <w:r w:rsidR="00E736D0" w:rsidRPr="00405444">
        <w:rPr>
          <w:rFonts w:ascii="Century Gothic" w:hAnsi="Century Gothic"/>
          <w:i/>
          <w:sz w:val="18"/>
          <w:szCs w:val="18"/>
        </w:rPr>
        <w:t>originales, por cuanto cumplen la exigencia establecida en el numeral 1 del artículo 254 del C.</w:t>
      </w:r>
      <w:r w:rsidR="00DD15F5" w:rsidRPr="00405444">
        <w:rPr>
          <w:rFonts w:ascii="Century Gothic" w:hAnsi="Century Gothic"/>
          <w:i/>
          <w:sz w:val="18"/>
          <w:szCs w:val="18"/>
        </w:rPr>
        <w:t xml:space="preserve"> </w:t>
      </w:r>
      <w:r w:rsidR="00E736D0" w:rsidRPr="00405444">
        <w:rPr>
          <w:rFonts w:ascii="Century Gothic" w:hAnsi="Century Gothic"/>
          <w:i/>
          <w:sz w:val="18"/>
          <w:szCs w:val="18"/>
        </w:rPr>
        <w:t>de P.</w:t>
      </w:r>
      <w:r w:rsidR="001D4FFE" w:rsidRPr="00405444">
        <w:rPr>
          <w:rFonts w:ascii="Century Gothic" w:hAnsi="Century Gothic"/>
          <w:i/>
          <w:sz w:val="18"/>
          <w:szCs w:val="18"/>
        </w:rPr>
        <w:t xml:space="preserve">C., según el cual “Las copias tendrán el mismo valor probatorio del original … 1. </w:t>
      </w:r>
      <w:r w:rsidR="001D4FFE" w:rsidRPr="00405444">
        <w:rPr>
          <w:rFonts w:ascii="Century Gothic" w:hAnsi="Century Gothic"/>
          <w:b/>
          <w:i/>
          <w:sz w:val="18"/>
          <w:szCs w:val="18"/>
          <w:u w:val="single"/>
        </w:rPr>
        <w:t>Cuando hayan sido autorizadas por</w:t>
      </w:r>
      <w:r w:rsidR="001D4FFE" w:rsidRPr="00405444">
        <w:rPr>
          <w:rFonts w:ascii="Century Gothic" w:hAnsi="Century Gothic"/>
          <w:i/>
          <w:sz w:val="18"/>
          <w:szCs w:val="18"/>
        </w:rPr>
        <w:t xml:space="preserve"> notario, director de oficina administrativa o de policía, o </w:t>
      </w:r>
      <w:r w:rsidR="001D4FFE" w:rsidRPr="00405444">
        <w:rPr>
          <w:rFonts w:ascii="Century Gothic" w:hAnsi="Century Gothic"/>
          <w:b/>
          <w:i/>
          <w:sz w:val="18"/>
          <w:szCs w:val="18"/>
          <w:u w:val="single"/>
        </w:rPr>
        <w:t>secretario de oficina judicial, previa orden del juez, donde se encuentre el original o una copia autenticada</w:t>
      </w:r>
      <w:r w:rsidR="001D4FFE" w:rsidRPr="00405444">
        <w:rPr>
          <w:rFonts w:ascii="Century Gothic" w:hAnsi="Century Gothic"/>
          <w:i/>
          <w:sz w:val="18"/>
          <w:szCs w:val="18"/>
        </w:rPr>
        <w:t xml:space="preserve">” (resaltado y subrayado fuera del original). </w:t>
      </w:r>
    </w:p>
  </w:footnote>
  <w:footnote w:id="8">
    <w:p w14:paraId="4D9E5228" w14:textId="77777777" w:rsidR="00141B9C" w:rsidRPr="00405444" w:rsidRDefault="00141B9C" w:rsidP="00141B9C">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“Que la obligación sea expresa: Quiere decir que se encuentre debidamente determinada, especificada y patente” </w:t>
      </w:r>
      <w:r w:rsidRPr="00405444">
        <w:rPr>
          <w:rFonts w:ascii="Century Gothic" w:hAnsi="Century Gothic"/>
          <w:sz w:val="18"/>
          <w:szCs w:val="18"/>
        </w:rPr>
        <w:t>(</w:t>
      </w:r>
      <w:r w:rsidRPr="00405444">
        <w:rPr>
          <w:rFonts w:ascii="Century Gothic" w:hAnsi="Century Gothic"/>
          <w:sz w:val="18"/>
          <w:szCs w:val="18"/>
          <w:lang w:val="es-CO"/>
        </w:rPr>
        <w:t>GARCÍA DE CARVAJALINO, Yolanda:</w:t>
      </w:r>
      <w:r w:rsidRPr="00405444">
        <w:rPr>
          <w:rFonts w:ascii="Century Gothic" w:hAnsi="Century Gothic"/>
          <w:sz w:val="18"/>
          <w:szCs w:val="18"/>
        </w:rPr>
        <w:t xml:space="preserve"> </w:t>
      </w:r>
      <w:r w:rsidRPr="00405444">
        <w:rPr>
          <w:rFonts w:ascii="Century Gothic" w:hAnsi="Century Gothic"/>
          <w:sz w:val="18"/>
          <w:szCs w:val="18"/>
          <w:lang w:val="es-CO"/>
        </w:rPr>
        <w:t>“El proceso ejecutivo en el contencioso administrativo”, Ed. Nueva Jurídica, 2008, pág. 77)</w:t>
      </w:r>
      <w:r w:rsidRPr="00405444">
        <w:rPr>
          <w:rFonts w:ascii="Century Gothic" w:hAnsi="Century Gothic"/>
          <w:i/>
          <w:sz w:val="18"/>
          <w:szCs w:val="18"/>
          <w:lang w:val="es-CO"/>
        </w:rPr>
        <w:t>.</w:t>
      </w:r>
    </w:p>
  </w:footnote>
  <w:footnote w:id="9">
    <w:p w14:paraId="4DC29482" w14:textId="77777777" w:rsidR="00AE1D9F" w:rsidRPr="00405444" w:rsidRDefault="00AE1D9F" w:rsidP="00AE1D9F">
      <w:pPr>
        <w:pStyle w:val="Textonotapie"/>
        <w:jc w:val="both"/>
        <w:rPr>
          <w:rFonts w:ascii="Century Gothic" w:hAnsi="Century Gothic"/>
          <w:i/>
          <w:sz w:val="18"/>
          <w:szCs w:val="18"/>
          <w:lang w:val="es-CO"/>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bookmarkStart w:id="8" w:name="48"/>
      <w:r w:rsidRPr="00405444">
        <w:rPr>
          <w:rFonts w:ascii="Century Gothic" w:hAnsi="Century Gothic"/>
          <w:b/>
          <w:bCs/>
          <w:i/>
          <w:sz w:val="18"/>
          <w:szCs w:val="18"/>
          <w:lang w:val="es-CO"/>
        </w:rPr>
        <w:t>FALTA O IRREGULARIDAD DE LAS NOTIFICACIONES.</w:t>
      </w:r>
      <w:bookmarkEnd w:id="8"/>
      <w:r w:rsidRPr="00405444">
        <w:rPr>
          <w:rFonts w:ascii="Century Gothic" w:hAnsi="Century Gothic"/>
          <w:i/>
          <w:sz w:val="18"/>
          <w:szCs w:val="18"/>
          <w:lang w:val="es-CO"/>
        </w:rPr>
        <w:t xml:space="preserve"> Sin el lleno de los anteriores requisitos </w:t>
      </w:r>
      <w:r w:rsidRPr="00405444">
        <w:rPr>
          <w:rFonts w:ascii="Century Gothic" w:hAnsi="Century Gothic"/>
          <w:b/>
          <w:i/>
          <w:sz w:val="18"/>
          <w:szCs w:val="18"/>
          <w:u w:val="single"/>
          <w:lang w:val="es-CO"/>
        </w:rPr>
        <w:t>no se tendrá por hecha la notificación ni producirá efectos legales la decisión, a menos que la parte interesada, dándose por suficientemente enterada, convenga en ella</w:t>
      </w:r>
      <w:r w:rsidRPr="00405444">
        <w:rPr>
          <w:rFonts w:ascii="Century Gothic" w:hAnsi="Century Gothic"/>
          <w:i/>
          <w:sz w:val="18"/>
          <w:szCs w:val="18"/>
          <w:lang w:val="es-CO"/>
        </w:rPr>
        <w:t xml:space="preserve"> o utilice en tiempo los recursos legales.</w:t>
      </w:r>
    </w:p>
    <w:p w14:paraId="3CC8201C" w14:textId="77777777" w:rsidR="00AE1D9F" w:rsidRPr="00405444" w:rsidRDefault="009039B2" w:rsidP="00AE1D9F">
      <w:pPr>
        <w:pStyle w:val="Textonotapie"/>
        <w:jc w:val="both"/>
        <w:rPr>
          <w:rFonts w:ascii="Century Gothic" w:hAnsi="Century Gothic"/>
          <w:i/>
          <w:sz w:val="18"/>
          <w:szCs w:val="18"/>
          <w:lang w:val="es-CO"/>
        </w:rPr>
      </w:pPr>
      <w:r>
        <w:rPr>
          <w:rFonts w:ascii="Century Gothic" w:hAnsi="Century Gothic"/>
          <w:i/>
          <w:sz w:val="18"/>
          <w:szCs w:val="18"/>
          <w:lang w:val="es-CO"/>
        </w:rPr>
        <w:t>“</w:t>
      </w:r>
      <w:r w:rsidR="00AE1D9F" w:rsidRPr="00405444">
        <w:rPr>
          <w:rFonts w:ascii="Century Gothic" w:hAnsi="Century Gothic"/>
          <w:i/>
          <w:sz w:val="18"/>
          <w:szCs w:val="18"/>
          <w:lang w:val="es-CO"/>
        </w:rPr>
        <w:t>Tampoco producirán efectos legales las decisiones mientras no se hagan las publicaciones respectivas en el caso del artículo 46</w:t>
      </w:r>
      <w:r w:rsidR="00AE1D9F" w:rsidRPr="00405444">
        <w:rPr>
          <w:rFonts w:ascii="Century Gothic" w:hAnsi="Century Gothic"/>
          <w:i/>
          <w:sz w:val="18"/>
          <w:szCs w:val="18"/>
        </w:rPr>
        <w:t>”</w:t>
      </w:r>
      <w:r w:rsidR="00AE1D9F" w:rsidRPr="00405444">
        <w:rPr>
          <w:rFonts w:ascii="Century Gothic" w:hAnsi="Century Gothic"/>
          <w:i/>
          <w:sz w:val="18"/>
          <w:szCs w:val="18"/>
          <w:lang w:val="es-CO"/>
        </w:rPr>
        <w:t>.</w:t>
      </w:r>
    </w:p>
    <w:p w14:paraId="6484A6B0" w14:textId="77777777" w:rsidR="00AE1D9F" w:rsidRPr="00405444" w:rsidRDefault="00AE1D9F">
      <w:pPr>
        <w:pStyle w:val="Textonotapie"/>
        <w:rPr>
          <w:rFonts w:ascii="Century Gothic" w:hAnsi="Century Gothic"/>
          <w:i/>
          <w:sz w:val="18"/>
          <w:szCs w:val="18"/>
          <w:lang w:val="es-CO"/>
        </w:rPr>
      </w:pPr>
    </w:p>
  </w:footnote>
  <w:footnote w:id="10">
    <w:p w14:paraId="4FFBA9F1" w14:textId="77777777" w:rsidR="00141B9C" w:rsidRPr="00405444" w:rsidRDefault="00141B9C" w:rsidP="00141B9C">
      <w:pPr>
        <w:pStyle w:val="Textonotapie"/>
        <w:jc w:val="both"/>
        <w:rPr>
          <w:rFonts w:ascii="Century Gothic" w:hAnsi="Century Gothic"/>
          <w:i/>
          <w:sz w:val="18"/>
          <w:szCs w:val="18"/>
          <w:lang w:val="es-CO"/>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w:t>
      </w:r>
      <w:r w:rsidRPr="00405444">
        <w:rPr>
          <w:rFonts w:ascii="Century Gothic" w:hAnsi="Century Gothic"/>
          <w:i/>
          <w:sz w:val="18"/>
          <w:szCs w:val="18"/>
          <w:lang w:val="es-CO"/>
        </w:rPr>
        <w:t>“Esto es que sus elementos aparezcan inequívocamente señalados; tanto su objeto (crédito) como sus sujetos (acreedor y deudor)” (ibídem).</w:t>
      </w:r>
    </w:p>
  </w:footnote>
  <w:footnote w:id="11">
    <w:p w14:paraId="04B373FF" w14:textId="77777777" w:rsidR="00B85011" w:rsidRPr="00B85011" w:rsidRDefault="00B85011" w:rsidP="00B85011">
      <w:pPr>
        <w:pStyle w:val="Textonotapie"/>
        <w:jc w:val="both"/>
        <w:rPr>
          <w:rFonts w:ascii="Century Gothic" w:hAnsi="Century Gothic"/>
          <w:sz w:val="18"/>
          <w:lang w:val="es-CO"/>
        </w:rPr>
      </w:pPr>
      <w:r w:rsidRPr="00B85011">
        <w:rPr>
          <w:rStyle w:val="Refdenotaalpie"/>
          <w:rFonts w:ascii="Century Gothic" w:hAnsi="Century Gothic"/>
          <w:sz w:val="18"/>
        </w:rPr>
        <w:footnoteRef/>
      </w:r>
      <w:r w:rsidRPr="00B85011">
        <w:rPr>
          <w:rFonts w:ascii="Century Gothic" w:hAnsi="Century Gothic"/>
          <w:sz w:val="18"/>
        </w:rPr>
        <w:t xml:space="preserve"> “</w:t>
      </w:r>
      <w:r w:rsidRPr="00B85011">
        <w:rPr>
          <w:rFonts w:ascii="Century Gothic" w:hAnsi="Century Gothic"/>
          <w:sz w:val="18"/>
          <w:lang w:val="es-CO"/>
        </w:rPr>
        <w:t>Toda sentencia judicial podrá ser apelada o consultada, salvo las excepciones que consagre la ley.</w:t>
      </w:r>
    </w:p>
    <w:p w14:paraId="7375B142" w14:textId="77777777" w:rsidR="00B85011" w:rsidRPr="00B85011" w:rsidRDefault="00B85011" w:rsidP="00B85011">
      <w:pPr>
        <w:pStyle w:val="Textonotapie"/>
        <w:jc w:val="both"/>
        <w:rPr>
          <w:rFonts w:ascii="Century Gothic" w:hAnsi="Century Gothic"/>
          <w:i/>
          <w:sz w:val="18"/>
          <w:lang w:val="es-CO"/>
        </w:rPr>
      </w:pPr>
      <w:r w:rsidRPr="00B85011">
        <w:rPr>
          <w:rFonts w:ascii="Century Gothic" w:hAnsi="Century Gothic"/>
          <w:sz w:val="18"/>
          <w:lang w:val="es-CO"/>
        </w:rPr>
        <w:t>“El superior no podrá agravar la pena impuesta cuando el condenado sea apelante único”</w:t>
      </w:r>
      <w:r>
        <w:rPr>
          <w:rFonts w:ascii="Century Gothic" w:hAnsi="Century Gothic"/>
          <w:sz w:val="18"/>
          <w:lang w:val="es-CO"/>
        </w:rPr>
        <w:t>. Al respecto, la Corte Constitucional ha manifestado que, mediante la prohibición de la non reformatio in pejus “</w:t>
      </w:r>
      <w:r w:rsidRPr="00B85011">
        <w:rPr>
          <w:rFonts w:ascii="Century Gothic" w:hAnsi="Century Gothic"/>
          <w:i/>
          <w:sz w:val="18"/>
        </w:rPr>
        <w:t>se desarrolla el debido proceso, involucra una limitación al superior jerárquico consistente en la imposibilidad de ejercer libremente sus atribuciones, restringiendo su competencia o poder decisorio a lo planteado por el apelante único</w:t>
      </w:r>
      <w:r>
        <w:rPr>
          <w:rFonts w:ascii="Century Gothic" w:hAnsi="Century Gothic"/>
          <w:sz w:val="18"/>
        </w:rPr>
        <w:t>” (sentencia T-033 de 2002)</w:t>
      </w:r>
      <w:r w:rsidRPr="00B85011">
        <w:rPr>
          <w:rFonts w:ascii="Century Gothic" w:hAnsi="Century Gothic"/>
          <w:sz w:val="18"/>
        </w:rPr>
        <w:t>.</w:t>
      </w:r>
    </w:p>
    <w:p w14:paraId="051E36F4" w14:textId="77777777" w:rsidR="00B85011" w:rsidRPr="00B85011" w:rsidRDefault="00B85011">
      <w:pPr>
        <w:pStyle w:val="Textonotapie"/>
        <w:rPr>
          <w:lang w:val="es-CO"/>
        </w:rPr>
      </w:pPr>
    </w:p>
  </w:footnote>
  <w:footnote w:id="12">
    <w:p w14:paraId="732ED96C" w14:textId="77777777" w:rsidR="00D70E91" w:rsidRPr="00405444" w:rsidRDefault="00D70E91" w:rsidP="00D70E91">
      <w:pPr>
        <w:pStyle w:val="Textonotapie"/>
        <w:jc w:val="both"/>
        <w:rPr>
          <w:rFonts w:ascii="Century Gothic" w:hAnsi="Century Gothic"/>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“La exigencia de un juez competente, independiente e imparcial remite  necesariamente a la noción de “juez natural”, que tiene en el ordenamiento jurídico colombiano un significado preciso, esto es, “aquél a quien la Constitución o la ley le ha atribuido el conocimiento de un determinado asunto” </w:t>
      </w:r>
      <w:r w:rsidRPr="00405444">
        <w:rPr>
          <w:rFonts w:ascii="Century Gothic" w:hAnsi="Century Gothic"/>
          <w:sz w:val="18"/>
          <w:szCs w:val="18"/>
        </w:rPr>
        <w:t>(Corte Constitucional C- 200 de 2002).</w:t>
      </w:r>
    </w:p>
  </w:footnote>
  <w:footnote w:id="13">
    <w:p w14:paraId="6757F992" w14:textId="77777777" w:rsidR="007D2993" w:rsidRPr="00405444" w:rsidRDefault="007D2993" w:rsidP="007D2993">
      <w:pPr>
        <w:pStyle w:val="Textonotapie"/>
        <w:jc w:val="both"/>
        <w:rPr>
          <w:rFonts w:ascii="Century Gothic" w:hAnsi="Century Gothic"/>
          <w:i/>
          <w:sz w:val="18"/>
          <w:szCs w:val="18"/>
        </w:rPr>
      </w:pPr>
      <w:r w:rsidRPr="00405444">
        <w:rPr>
          <w:rStyle w:val="Refdenotaalpie"/>
          <w:rFonts w:ascii="Century Gothic" w:hAnsi="Century Gothic"/>
          <w:i/>
          <w:sz w:val="18"/>
          <w:szCs w:val="18"/>
        </w:rPr>
        <w:footnoteRef/>
      </w:r>
      <w:r w:rsidRPr="00405444">
        <w:rPr>
          <w:rFonts w:ascii="Century Gothic" w:hAnsi="Century Gothic"/>
          <w:i/>
          <w:sz w:val="18"/>
          <w:szCs w:val="18"/>
        </w:rPr>
        <w:t xml:space="preserve">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p>
  </w:footnote>
  <w:footnote w:id="14">
    <w:p w14:paraId="350E4143" w14:textId="77777777" w:rsidR="00405444" w:rsidRPr="00405444" w:rsidRDefault="00405444" w:rsidP="00405444">
      <w:pPr>
        <w:pStyle w:val="Textonotapie"/>
        <w:jc w:val="both"/>
        <w:rPr>
          <w:rFonts w:ascii="Century Gothic" w:hAnsi="Century Gothic" w:cs="Arial"/>
          <w:sz w:val="18"/>
          <w:szCs w:val="18"/>
        </w:rPr>
      </w:pPr>
      <w:r w:rsidRPr="00405444">
        <w:rPr>
          <w:rStyle w:val="Refdenotaalpie"/>
          <w:rFonts w:ascii="Century Gothic" w:hAnsi="Century Gothic" w:cs="Arial"/>
          <w:sz w:val="18"/>
          <w:szCs w:val="18"/>
        </w:rPr>
        <w:footnoteRef/>
      </w:r>
      <w:r w:rsidRPr="00405444">
        <w:rPr>
          <w:rFonts w:ascii="Century Gothic" w:hAnsi="Century Gothic" w:cs="Arial"/>
          <w:sz w:val="18"/>
          <w:szCs w:val="18"/>
        </w:rPr>
        <w:t xml:space="preserve"> Cita del original: “A través del artículo 32 de la ley 446 de 1.998, se adicionó el artículo 87 del C.C.A., norma que se ocupó de la acción relativa a controversias contractuales, entre otros aspectos, para señalar que ‘</w:t>
      </w:r>
      <w:r w:rsidRPr="00405444">
        <w:rPr>
          <w:rFonts w:ascii="Century Gothic" w:hAnsi="Century Gothic" w:cs="Arial"/>
          <w:i/>
          <w:sz w:val="18"/>
          <w:szCs w:val="18"/>
        </w:rPr>
        <w:t>en los procesos ejecutivos derivados de condenas impuestas por la jurisdicción contencioso administrativa se aplicará la regulación del proceso ejecutivo singular de mayor cuantía contenida en el Código de Procedimiento Civil.’</w:t>
      </w:r>
      <w:r w:rsidR="00896281" w:rsidRPr="00896281">
        <w:rPr>
          <w:rFonts w:ascii="Century Gothic" w:hAnsi="Century Gothic"/>
          <w:sz w:val="22"/>
          <w:szCs w:val="22"/>
        </w:rPr>
        <w:t xml:space="preserve"> </w:t>
      </w:r>
      <w:r w:rsidR="00896281" w:rsidRPr="00896281">
        <w:rPr>
          <w:rFonts w:ascii="Century Gothic" w:hAnsi="Century Gothic" w:cs="Arial"/>
          <w:sz w:val="18"/>
          <w:szCs w:val="18"/>
        </w:rPr>
        <w:t>(sic)</w:t>
      </w:r>
      <w:r w:rsidRPr="00405444">
        <w:rPr>
          <w:rFonts w:ascii="Century Gothic" w:hAnsi="Century Gothic" w:cs="Arial"/>
          <w:sz w:val="18"/>
          <w:szCs w:val="18"/>
        </w:rPr>
        <w:t xml:space="preserve"> La interpretación sistemática de esta disposición ubicada en la acción relativa a controversias contractuales, con el artículo 75 de la Ley 80 de 1.993, que asignó a la jurisdicción contencioso administrativa la competencia para conocer de los procesos de ejecución derivados de los contratos estatales, permitió concluir que ese también es el trámite a seguir cuando la acción ejecutiva proviene directamente del contrato estatal, aunque no medie sentencia de condena”.</w:t>
      </w:r>
    </w:p>
  </w:footnote>
  <w:footnote w:id="15">
    <w:p w14:paraId="7EEA7E67" w14:textId="77777777" w:rsidR="00305EAD" w:rsidRPr="00405444" w:rsidRDefault="00305EAD" w:rsidP="00305EAD">
      <w:pPr>
        <w:pStyle w:val="Puesto"/>
        <w:widowControl w:val="0"/>
        <w:spacing w:line="240" w:lineRule="auto"/>
        <w:jc w:val="both"/>
        <w:rPr>
          <w:rFonts w:ascii="Century Gothic" w:hAnsi="Century Gothic"/>
          <w:b w:val="0"/>
          <w:sz w:val="18"/>
          <w:szCs w:val="18"/>
        </w:rPr>
      </w:pPr>
      <w:r w:rsidRPr="00405444">
        <w:rPr>
          <w:rStyle w:val="Refdenotaalpie"/>
          <w:rFonts w:ascii="Century Gothic" w:hAnsi="Century Gothic"/>
          <w:b w:val="0"/>
          <w:sz w:val="18"/>
          <w:szCs w:val="18"/>
        </w:rPr>
        <w:footnoteRef/>
      </w:r>
      <w:r w:rsidRPr="00405444">
        <w:rPr>
          <w:rFonts w:ascii="Century Gothic" w:hAnsi="Century Gothic"/>
          <w:b w:val="0"/>
          <w:sz w:val="18"/>
          <w:szCs w:val="18"/>
        </w:rPr>
        <w:t xml:space="preserve"> Cita del original</w:t>
      </w:r>
      <w:r>
        <w:rPr>
          <w:rFonts w:ascii="Century Gothic" w:hAnsi="Century Gothic"/>
          <w:b w:val="0"/>
          <w:sz w:val="18"/>
          <w:szCs w:val="18"/>
        </w:rPr>
        <w:t>:</w:t>
      </w:r>
      <w:r w:rsidRPr="00405444">
        <w:rPr>
          <w:rFonts w:ascii="Century Gothic" w:hAnsi="Century Gothic"/>
          <w:b w:val="0"/>
          <w:sz w:val="18"/>
          <w:szCs w:val="18"/>
        </w:rPr>
        <w:t xml:space="preserve"> </w:t>
      </w:r>
      <w:r w:rsidRPr="00405444">
        <w:rPr>
          <w:rFonts w:ascii="Century Gothic" w:hAnsi="Century Gothic"/>
          <w:sz w:val="18"/>
          <w:szCs w:val="18"/>
        </w:rPr>
        <w:t>“</w:t>
      </w:r>
      <w:r w:rsidRPr="00405444">
        <w:rPr>
          <w:rFonts w:ascii="Century Gothic" w:hAnsi="Century Gothic"/>
          <w:b w:val="0"/>
          <w:bCs/>
          <w:i/>
          <w:sz w:val="18"/>
          <w:szCs w:val="18"/>
        </w:rPr>
        <w:t xml:space="preserve">Sección Tercera, Consejero Ponente (E) Mauricio Fajardo Gomez, </w:t>
      </w:r>
      <w:r w:rsidRPr="00405444">
        <w:rPr>
          <w:rFonts w:ascii="Century Gothic" w:hAnsi="Century Gothic"/>
          <w:b w:val="0"/>
          <w:i/>
          <w:sz w:val="18"/>
          <w:szCs w:val="18"/>
        </w:rPr>
        <w:t>18 de marzo de 2010,  radicación número: 25000-23-26-000-1997-4694-01(22339), actor: Instituto de Fomento Industrial Concesión Salinas, demandado: Cóndor S.A. Compañía de Seguros Generales</w:t>
      </w:r>
      <w:r w:rsidRPr="00405444">
        <w:rPr>
          <w:rFonts w:ascii="Century Gothic" w:hAnsi="Century Gothic"/>
          <w:b w:val="0"/>
          <w:sz w:val="18"/>
          <w:szCs w:val="18"/>
        </w:rPr>
        <w:t xml:space="preserve">”. </w:t>
      </w:r>
    </w:p>
    <w:p w14:paraId="0500382C" w14:textId="77777777" w:rsidR="00305EAD" w:rsidRPr="00405444" w:rsidRDefault="00305EAD" w:rsidP="00305EAD">
      <w:pPr>
        <w:pStyle w:val="Textonotapie"/>
        <w:rPr>
          <w:rFonts w:ascii="Century Gothic" w:hAnsi="Century Gothic"/>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A02C" w14:textId="77777777" w:rsidR="00A3424D" w:rsidRDefault="00A3424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8466A9" w14:textId="77777777" w:rsidR="00A3424D" w:rsidRDefault="00A3424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BB0"/>
    <w:multiLevelType w:val="hybridMultilevel"/>
    <w:tmpl w:val="4DECE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0D386F"/>
    <w:multiLevelType w:val="hybridMultilevel"/>
    <w:tmpl w:val="76E816A6"/>
    <w:lvl w:ilvl="0" w:tplc="ECFE954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9946CC"/>
    <w:multiLevelType w:val="hybridMultilevel"/>
    <w:tmpl w:val="06043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4826C6B"/>
    <w:multiLevelType w:val="hybridMultilevel"/>
    <w:tmpl w:val="8C5E90DC"/>
    <w:lvl w:ilvl="0" w:tplc="392481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58"/>
    <w:rsid w:val="000002EF"/>
    <w:rsid w:val="000004F3"/>
    <w:rsid w:val="00000F09"/>
    <w:rsid w:val="000019DE"/>
    <w:rsid w:val="00002098"/>
    <w:rsid w:val="000025CA"/>
    <w:rsid w:val="00002609"/>
    <w:rsid w:val="000026B9"/>
    <w:rsid w:val="00002828"/>
    <w:rsid w:val="00002E35"/>
    <w:rsid w:val="00002E55"/>
    <w:rsid w:val="00002E7F"/>
    <w:rsid w:val="000030AC"/>
    <w:rsid w:val="0000311D"/>
    <w:rsid w:val="00003193"/>
    <w:rsid w:val="0000358A"/>
    <w:rsid w:val="000039C3"/>
    <w:rsid w:val="00003B08"/>
    <w:rsid w:val="00003BA1"/>
    <w:rsid w:val="00003E0A"/>
    <w:rsid w:val="00004236"/>
    <w:rsid w:val="0000582E"/>
    <w:rsid w:val="00006004"/>
    <w:rsid w:val="00006415"/>
    <w:rsid w:val="00006622"/>
    <w:rsid w:val="0000688B"/>
    <w:rsid w:val="00006938"/>
    <w:rsid w:val="00006C1F"/>
    <w:rsid w:val="00007611"/>
    <w:rsid w:val="00010163"/>
    <w:rsid w:val="00010754"/>
    <w:rsid w:val="00010AAF"/>
    <w:rsid w:val="00010B4C"/>
    <w:rsid w:val="000114A7"/>
    <w:rsid w:val="0001182B"/>
    <w:rsid w:val="000118D4"/>
    <w:rsid w:val="00011AE2"/>
    <w:rsid w:val="000126F5"/>
    <w:rsid w:val="00012ABA"/>
    <w:rsid w:val="00012B28"/>
    <w:rsid w:val="00012BAE"/>
    <w:rsid w:val="0001301F"/>
    <w:rsid w:val="00013187"/>
    <w:rsid w:val="0001326D"/>
    <w:rsid w:val="0001358C"/>
    <w:rsid w:val="00013E6E"/>
    <w:rsid w:val="00015100"/>
    <w:rsid w:val="0001546B"/>
    <w:rsid w:val="00015A8B"/>
    <w:rsid w:val="00015ADC"/>
    <w:rsid w:val="00015B01"/>
    <w:rsid w:val="00015B64"/>
    <w:rsid w:val="00015DEB"/>
    <w:rsid w:val="0001651B"/>
    <w:rsid w:val="00016F92"/>
    <w:rsid w:val="00017784"/>
    <w:rsid w:val="00017C5C"/>
    <w:rsid w:val="00017F43"/>
    <w:rsid w:val="00020183"/>
    <w:rsid w:val="000201D1"/>
    <w:rsid w:val="00020208"/>
    <w:rsid w:val="00020623"/>
    <w:rsid w:val="00020664"/>
    <w:rsid w:val="00020BFE"/>
    <w:rsid w:val="00020C9D"/>
    <w:rsid w:val="00020E82"/>
    <w:rsid w:val="00020FB6"/>
    <w:rsid w:val="00021402"/>
    <w:rsid w:val="000215DC"/>
    <w:rsid w:val="0002168C"/>
    <w:rsid w:val="000218DA"/>
    <w:rsid w:val="00021F08"/>
    <w:rsid w:val="00021F9E"/>
    <w:rsid w:val="00021FE2"/>
    <w:rsid w:val="000221EF"/>
    <w:rsid w:val="00022B2A"/>
    <w:rsid w:val="00022DC8"/>
    <w:rsid w:val="00022DCC"/>
    <w:rsid w:val="000232C4"/>
    <w:rsid w:val="00023518"/>
    <w:rsid w:val="000240B8"/>
    <w:rsid w:val="000243B8"/>
    <w:rsid w:val="00024AEE"/>
    <w:rsid w:val="00025311"/>
    <w:rsid w:val="000253F6"/>
    <w:rsid w:val="00025568"/>
    <w:rsid w:val="00025580"/>
    <w:rsid w:val="00025EAB"/>
    <w:rsid w:val="00026244"/>
    <w:rsid w:val="00026321"/>
    <w:rsid w:val="000263E1"/>
    <w:rsid w:val="00026559"/>
    <w:rsid w:val="0002662B"/>
    <w:rsid w:val="0002697C"/>
    <w:rsid w:val="00026C2B"/>
    <w:rsid w:val="00026F36"/>
    <w:rsid w:val="0002737E"/>
    <w:rsid w:val="00027558"/>
    <w:rsid w:val="000276B8"/>
    <w:rsid w:val="00027A66"/>
    <w:rsid w:val="00027C2B"/>
    <w:rsid w:val="00027EF8"/>
    <w:rsid w:val="00030295"/>
    <w:rsid w:val="000302B0"/>
    <w:rsid w:val="000304E2"/>
    <w:rsid w:val="0003115C"/>
    <w:rsid w:val="000311F7"/>
    <w:rsid w:val="0003121A"/>
    <w:rsid w:val="00031472"/>
    <w:rsid w:val="00031895"/>
    <w:rsid w:val="00031AFA"/>
    <w:rsid w:val="00031BA5"/>
    <w:rsid w:val="00031FCF"/>
    <w:rsid w:val="0003218D"/>
    <w:rsid w:val="00032260"/>
    <w:rsid w:val="000326AA"/>
    <w:rsid w:val="00033721"/>
    <w:rsid w:val="000339EA"/>
    <w:rsid w:val="00033B5A"/>
    <w:rsid w:val="00033F09"/>
    <w:rsid w:val="000341BC"/>
    <w:rsid w:val="00034B95"/>
    <w:rsid w:val="000351C6"/>
    <w:rsid w:val="000351D9"/>
    <w:rsid w:val="00035E90"/>
    <w:rsid w:val="00036097"/>
    <w:rsid w:val="000360B7"/>
    <w:rsid w:val="000363D2"/>
    <w:rsid w:val="00036562"/>
    <w:rsid w:val="00036A56"/>
    <w:rsid w:val="00036AC5"/>
    <w:rsid w:val="000378EB"/>
    <w:rsid w:val="0004064C"/>
    <w:rsid w:val="000406C0"/>
    <w:rsid w:val="0004072F"/>
    <w:rsid w:val="00040BF6"/>
    <w:rsid w:val="00040C1E"/>
    <w:rsid w:val="00040EF9"/>
    <w:rsid w:val="00041617"/>
    <w:rsid w:val="000416A2"/>
    <w:rsid w:val="00041FC1"/>
    <w:rsid w:val="00042019"/>
    <w:rsid w:val="0004203E"/>
    <w:rsid w:val="0004223A"/>
    <w:rsid w:val="00042457"/>
    <w:rsid w:val="00042679"/>
    <w:rsid w:val="0004301C"/>
    <w:rsid w:val="000431EC"/>
    <w:rsid w:val="0004389E"/>
    <w:rsid w:val="00043CA5"/>
    <w:rsid w:val="00043D54"/>
    <w:rsid w:val="00043FC9"/>
    <w:rsid w:val="0004425C"/>
    <w:rsid w:val="000443CB"/>
    <w:rsid w:val="0004455C"/>
    <w:rsid w:val="00044775"/>
    <w:rsid w:val="00044D1A"/>
    <w:rsid w:val="000452F8"/>
    <w:rsid w:val="0004580C"/>
    <w:rsid w:val="00045BE4"/>
    <w:rsid w:val="00045FC3"/>
    <w:rsid w:val="00046088"/>
    <w:rsid w:val="00046229"/>
    <w:rsid w:val="00046649"/>
    <w:rsid w:val="000466CE"/>
    <w:rsid w:val="00046B67"/>
    <w:rsid w:val="00046CE9"/>
    <w:rsid w:val="00047085"/>
    <w:rsid w:val="00047288"/>
    <w:rsid w:val="0004747C"/>
    <w:rsid w:val="000476B8"/>
    <w:rsid w:val="000478FD"/>
    <w:rsid w:val="000517C5"/>
    <w:rsid w:val="000519D5"/>
    <w:rsid w:val="00051FF6"/>
    <w:rsid w:val="00052205"/>
    <w:rsid w:val="0005263A"/>
    <w:rsid w:val="00052B27"/>
    <w:rsid w:val="00052BCE"/>
    <w:rsid w:val="00052DC2"/>
    <w:rsid w:val="000538F1"/>
    <w:rsid w:val="00053D15"/>
    <w:rsid w:val="00053E4B"/>
    <w:rsid w:val="000542DF"/>
    <w:rsid w:val="000545F3"/>
    <w:rsid w:val="0005479B"/>
    <w:rsid w:val="00054FCB"/>
    <w:rsid w:val="000552A7"/>
    <w:rsid w:val="00055412"/>
    <w:rsid w:val="00055554"/>
    <w:rsid w:val="000555C9"/>
    <w:rsid w:val="00055B5B"/>
    <w:rsid w:val="00055C2C"/>
    <w:rsid w:val="00055CF8"/>
    <w:rsid w:val="00055D2D"/>
    <w:rsid w:val="000563EC"/>
    <w:rsid w:val="0005668C"/>
    <w:rsid w:val="000567E6"/>
    <w:rsid w:val="00056D43"/>
    <w:rsid w:val="00056DDA"/>
    <w:rsid w:val="0005795A"/>
    <w:rsid w:val="00057AD1"/>
    <w:rsid w:val="00057B50"/>
    <w:rsid w:val="00060027"/>
    <w:rsid w:val="00060078"/>
    <w:rsid w:val="0006042A"/>
    <w:rsid w:val="00060499"/>
    <w:rsid w:val="00060501"/>
    <w:rsid w:val="00060506"/>
    <w:rsid w:val="000606BE"/>
    <w:rsid w:val="000607F3"/>
    <w:rsid w:val="00060B14"/>
    <w:rsid w:val="00060E7A"/>
    <w:rsid w:val="00060FEE"/>
    <w:rsid w:val="000613C6"/>
    <w:rsid w:val="000613E8"/>
    <w:rsid w:val="00061658"/>
    <w:rsid w:val="00061A0A"/>
    <w:rsid w:val="00061A83"/>
    <w:rsid w:val="00062198"/>
    <w:rsid w:val="00062230"/>
    <w:rsid w:val="0006253F"/>
    <w:rsid w:val="00062A17"/>
    <w:rsid w:val="00062B53"/>
    <w:rsid w:val="00062E61"/>
    <w:rsid w:val="0006312E"/>
    <w:rsid w:val="000637B3"/>
    <w:rsid w:val="00063965"/>
    <w:rsid w:val="00063B6F"/>
    <w:rsid w:val="00063C50"/>
    <w:rsid w:val="00063C9E"/>
    <w:rsid w:val="00064180"/>
    <w:rsid w:val="00064CC9"/>
    <w:rsid w:val="00065417"/>
    <w:rsid w:val="000658E6"/>
    <w:rsid w:val="000659F7"/>
    <w:rsid w:val="00065B91"/>
    <w:rsid w:val="00065C1A"/>
    <w:rsid w:val="00065DDB"/>
    <w:rsid w:val="000660C5"/>
    <w:rsid w:val="00066D37"/>
    <w:rsid w:val="0006770D"/>
    <w:rsid w:val="00070089"/>
    <w:rsid w:val="000701BC"/>
    <w:rsid w:val="00070533"/>
    <w:rsid w:val="000705C2"/>
    <w:rsid w:val="00070684"/>
    <w:rsid w:val="00070948"/>
    <w:rsid w:val="00070EB5"/>
    <w:rsid w:val="00071A50"/>
    <w:rsid w:val="0007233C"/>
    <w:rsid w:val="00072977"/>
    <w:rsid w:val="00072BFF"/>
    <w:rsid w:val="00072C64"/>
    <w:rsid w:val="00073470"/>
    <w:rsid w:val="00073546"/>
    <w:rsid w:val="0007358E"/>
    <w:rsid w:val="000736AB"/>
    <w:rsid w:val="000736EC"/>
    <w:rsid w:val="00073D03"/>
    <w:rsid w:val="0007420F"/>
    <w:rsid w:val="00074704"/>
    <w:rsid w:val="00074985"/>
    <w:rsid w:val="00074BA1"/>
    <w:rsid w:val="00074C00"/>
    <w:rsid w:val="00074C76"/>
    <w:rsid w:val="00075028"/>
    <w:rsid w:val="00075587"/>
    <w:rsid w:val="000756AC"/>
    <w:rsid w:val="000756D2"/>
    <w:rsid w:val="0007578C"/>
    <w:rsid w:val="000758BE"/>
    <w:rsid w:val="000759EA"/>
    <w:rsid w:val="00075A25"/>
    <w:rsid w:val="00075A2F"/>
    <w:rsid w:val="000769B0"/>
    <w:rsid w:val="000769EC"/>
    <w:rsid w:val="00077188"/>
    <w:rsid w:val="000773AD"/>
    <w:rsid w:val="000773ED"/>
    <w:rsid w:val="000775C9"/>
    <w:rsid w:val="0007796D"/>
    <w:rsid w:val="00077AD9"/>
    <w:rsid w:val="00080443"/>
    <w:rsid w:val="0008123E"/>
    <w:rsid w:val="000815D6"/>
    <w:rsid w:val="000815F7"/>
    <w:rsid w:val="0008163B"/>
    <w:rsid w:val="000817B5"/>
    <w:rsid w:val="000819BC"/>
    <w:rsid w:val="00081A03"/>
    <w:rsid w:val="00081ED0"/>
    <w:rsid w:val="000821B4"/>
    <w:rsid w:val="00082287"/>
    <w:rsid w:val="0008234E"/>
    <w:rsid w:val="000825EC"/>
    <w:rsid w:val="0008285F"/>
    <w:rsid w:val="000828E8"/>
    <w:rsid w:val="00082E0A"/>
    <w:rsid w:val="00082E81"/>
    <w:rsid w:val="00082F1F"/>
    <w:rsid w:val="00082F58"/>
    <w:rsid w:val="00083199"/>
    <w:rsid w:val="000833C6"/>
    <w:rsid w:val="00083570"/>
    <w:rsid w:val="000835F5"/>
    <w:rsid w:val="00083620"/>
    <w:rsid w:val="0008367A"/>
    <w:rsid w:val="000838C6"/>
    <w:rsid w:val="00083AAC"/>
    <w:rsid w:val="00083BA2"/>
    <w:rsid w:val="00084019"/>
    <w:rsid w:val="000847DE"/>
    <w:rsid w:val="0008496E"/>
    <w:rsid w:val="00084B09"/>
    <w:rsid w:val="00084F12"/>
    <w:rsid w:val="000850C6"/>
    <w:rsid w:val="000851BB"/>
    <w:rsid w:val="000852E1"/>
    <w:rsid w:val="0008531C"/>
    <w:rsid w:val="0008555C"/>
    <w:rsid w:val="00085B6C"/>
    <w:rsid w:val="00085BF8"/>
    <w:rsid w:val="00085FA6"/>
    <w:rsid w:val="000862DA"/>
    <w:rsid w:val="00086854"/>
    <w:rsid w:val="00087154"/>
    <w:rsid w:val="00090151"/>
    <w:rsid w:val="00090A73"/>
    <w:rsid w:val="00090DD3"/>
    <w:rsid w:val="00090DF9"/>
    <w:rsid w:val="00090EB2"/>
    <w:rsid w:val="00090F0D"/>
    <w:rsid w:val="00091446"/>
    <w:rsid w:val="00091626"/>
    <w:rsid w:val="0009163B"/>
    <w:rsid w:val="0009238B"/>
    <w:rsid w:val="00092AEE"/>
    <w:rsid w:val="00093D1D"/>
    <w:rsid w:val="00093DDA"/>
    <w:rsid w:val="0009409B"/>
    <w:rsid w:val="000944F6"/>
    <w:rsid w:val="000947AA"/>
    <w:rsid w:val="00094867"/>
    <w:rsid w:val="000955F0"/>
    <w:rsid w:val="000959ED"/>
    <w:rsid w:val="00095A8C"/>
    <w:rsid w:val="00095CAB"/>
    <w:rsid w:val="00095EFE"/>
    <w:rsid w:val="00096D57"/>
    <w:rsid w:val="00096EF9"/>
    <w:rsid w:val="000973E7"/>
    <w:rsid w:val="00097FE5"/>
    <w:rsid w:val="000A017E"/>
    <w:rsid w:val="000A0286"/>
    <w:rsid w:val="000A0299"/>
    <w:rsid w:val="000A0557"/>
    <w:rsid w:val="000A0634"/>
    <w:rsid w:val="000A0BB5"/>
    <w:rsid w:val="000A11B2"/>
    <w:rsid w:val="000A1313"/>
    <w:rsid w:val="000A16DA"/>
    <w:rsid w:val="000A22EE"/>
    <w:rsid w:val="000A2537"/>
    <w:rsid w:val="000A2A64"/>
    <w:rsid w:val="000A2BA7"/>
    <w:rsid w:val="000A2D8C"/>
    <w:rsid w:val="000A2F53"/>
    <w:rsid w:val="000A31D9"/>
    <w:rsid w:val="000A3642"/>
    <w:rsid w:val="000A39CA"/>
    <w:rsid w:val="000A3AC7"/>
    <w:rsid w:val="000A3F70"/>
    <w:rsid w:val="000A40F2"/>
    <w:rsid w:val="000A412D"/>
    <w:rsid w:val="000A438C"/>
    <w:rsid w:val="000A4898"/>
    <w:rsid w:val="000A48E0"/>
    <w:rsid w:val="000A4CA8"/>
    <w:rsid w:val="000A4E0F"/>
    <w:rsid w:val="000A4E78"/>
    <w:rsid w:val="000A5062"/>
    <w:rsid w:val="000A50E6"/>
    <w:rsid w:val="000A54DB"/>
    <w:rsid w:val="000A54EE"/>
    <w:rsid w:val="000A55A4"/>
    <w:rsid w:val="000A585C"/>
    <w:rsid w:val="000A586B"/>
    <w:rsid w:val="000A5E5B"/>
    <w:rsid w:val="000A5EEF"/>
    <w:rsid w:val="000A6209"/>
    <w:rsid w:val="000A658D"/>
    <w:rsid w:val="000A6781"/>
    <w:rsid w:val="000A680D"/>
    <w:rsid w:val="000A6892"/>
    <w:rsid w:val="000A6CC2"/>
    <w:rsid w:val="000A73CE"/>
    <w:rsid w:val="000A7A6B"/>
    <w:rsid w:val="000A7E08"/>
    <w:rsid w:val="000B0201"/>
    <w:rsid w:val="000B03A1"/>
    <w:rsid w:val="000B0419"/>
    <w:rsid w:val="000B06F6"/>
    <w:rsid w:val="000B0B69"/>
    <w:rsid w:val="000B130D"/>
    <w:rsid w:val="000B1542"/>
    <w:rsid w:val="000B17FD"/>
    <w:rsid w:val="000B1AC7"/>
    <w:rsid w:val="000B2056"/>
    <w:rsid w:val="000B225D"/>
    <w:rsid w:val="000B27A2"/>
    <w:rsid w:val="000B29D5"/>
    <w:rsid w:val="000B2C9B"/>
    <w:rsid w:val="000B3179"/>
    <w:rsid w:val="000B3636"/>
    <w:rsid w:val="000B39C8"/>
    <w:rsid w:val="000B3A23"/>
    <w:rsid w:val="000B4113"/>
    <w:rsid w:val="000B44A0"/>
    <w:rsid w:val="000B45AB"/>
    <w:rsid w:val="000B47CE"/>
    <w:rsid w:val="000B4AE1"/>
    <w:rsid w:val="000B4C98"/>
    <w:rsid w:val="000B52B7"/>
    <w:rsid w:val="000B5DEF"/>
    <w:rsid w:val="000B5FC3"/>
    <w:rsid w:val="000B61FD"/>
    <w:rsid w:val="000B6371"/>
    <w:rsid w:val="000B6B7B"/>
    <w:rsid w:val="000B721A"/>
    <w:rsid w:val="000B7235"/>
    <w:rsid w:val="000B745D"/>
    <w:rsid w:val="000B78D4"/>
    <w:rsid w:val="000B7DF1"/>
    <w:rsid w:val="000B7EEA"/>
    <w:rsid w:val="000C066B"/>
    <w:rsid w:val="000C0694"/>
    <w:rsid w:val="000C06F4"/>
    <w:rsid w:val="000C087D"/>
    <w:rsid w:val="000C090F"/>
    <w:rsid w:val="000C0E92"/>
    <w:rsid w:val="000C14D1"/>
    <w:rsid w:val="000C16E7"/>
    <w:rsid w:val="000C1BFB"/>
    <w:rsid w:val="000C1C8A"/>
    <w:rsid w:val="000C20D7"/>
    <w:rsid w:val="000C242B"/>
    <w:rsid w:val="000C259C"/>
    <w:rsid w:val="000C2A47"/>
    <w:rsid w:val="000C392B"/>
    <w:rsid w:val="000C3A11"/>
    <w:rsid w:val="000C3AC7"/>
    <w:rsid w:val="000C3FB5"/>
    <w:rsid w:val="000C4710"/>
    <w:rsid w:val="000C4C2C"/>
    <w:rsid w:val="000C56DB"/>
    <w:rsid w:val="000C5BE6"/>
    <w:rsid w:val="000C5CD1"/>
    <w:rsid w:val="000C617F"/>
    <w:rsid w:val="000C6373"/>
    <w:rsid w:val="000C6381"/>
    <w:rsid w:val="000C6399"/>
    <w:rsid w:val="000C68CA"/>
    <w:rsid w:val="000C6988"/>
    <w:rsid w:val="000C7174"/>
    <w:rsid w:val="000C7411"/>
    <w:rsid w:val="000C75C8"/>
    <w:rsid w:val="000C7A6E"/>
    <w:rsid w:val="000D0065"/>
    <w:rsid w:val="000D00F8"/>
    <w:rsid w:val="000D0712"/>
    <w:rsid w:val="000D0C15"/>
    <w:rsid w:val="000D0F31"/>
    <w:rsid w:val="000D1188"/>
    <w:rsid w:val="000D1312"/>
    <w:rsid w:val="000D18DF"/>
    <w:rsid w:val="000D1DF1"/>
    <w:rsid w:val="000D298E"/>
    <w:rsid w:val="000D29D3"/>
    <w:rsid w:val="000D29F1"/>
    <w:rsid w:val="000D2F86"/>
    <w:rsid w:val="000D3010"/>
    <w:rsid w:val="000D3275"/>
    <w:rsid w:val="000D3719"/>
    <w:rsid w:val="000D3844"/>
    <w:rsid w:val="000D3C0B"/>
    <w:rsid w:val="000D428E"/>
    <w:rsid w:val="000D501A"/>
    <w:rsid w:val="000D546B"/>
    <w:rsid w:val="000D567F"/>
    <w:rsid w:val="000D5E7A"/>
    <w:rsid w:val="000D5FBF"/>
    <w:rsid w:val="000D6468"/>
    <w:rsid w:val="000D6C55"/>
    <w:rsid w:val="000D6E4C"/>
    <w:rsid w:val="000D7217"/>
    <w:rsid w:val="000D730E"/>
    <w:rsid w:val="000D75FA"/>
    <w:rsid w:val="000D789B"/>
    <w:rsid w:val="000E0592"/>
    <w:rsid w:val="000E08FF"/>
    <w:rsid w:val="000E10E2"/>
    <w:rsid w:val="000E1255"/>
    <w:rsid w:val="000E16D8"/>
    <w:rsid w:val="000E1C67"/>
    <w:rsid w:val="000E2593"/>
    <w:rsid w:val="000E25A5"/>
    <w:rsid w:val="000E2B60"/>
    <w:rsid w:val="000E2B6D"/>
    <w:rsid w:val="000E2C2F"/>
    <w:rsid w:val="000E2CFA"/>
    <w:rsid w:val="000E2DC4"/>
    <w:rsid w:val="000E397D"/>
    <w:rsid w:val="000E3B59"/>
    <w:rsid w:val="000E3CC8"/>
    <w:rsid w:val="000E4474"/>
    <w:rsid w:val="000E485F"/>
    <w:rsid w:val="000E4D40"/>
    <w:rsid w:val="000E5118"/>
    <w:rsid w:val="000E589B"/>
    <w:rsid w:val="000E5B1D"/>
    <w:rsid w:val="000E5E64"/>
    <w:rsid w:val="000E5EB3"/>
    <w:rsid w:val="000E6F37"/>
    <w:rsid w:val="000E706D"/>
    <w:rsid w:val="000E7091"/>
    <w:rsid w:val="000E715C"/>
    <w:rsid w:val="000E75BF"/>
    <w:rsid w:val="000E76D4"/>
    <w:rsid w:val="000E7E16"/>
    <w:rsid w:val="000E7EBF"/>
    <w:rsid w:val="000F023A"/>
    <w:rsid w:val="000F0563"/>
    <w:rsid w:val="000F05D8"/>
    <w:rsid w:val="000F0A6A"/>
    <w:rsid w:val="000F1277"/>
    <w:rsid w:val="000F17BD"/>
    <w:rsid w:val="000F18BC"/>
    <w:rsid w:val="000F18FD"/>
    <w:rsid w:val="000F27A3"/>
    <w:rsid w:val="000F27A7"/>
    <w:rsid w:val="000F27D2"/>
    <w:rsid w:val="000F280B"/>
    <w:rsid w:val="000F2F44"/>
    <w:rsid w:val="000F34A6"/>
    <w:rsid w:val="000F37CD"/>
    <w:rsid w:val="000F4279"/>
    <w:rsid w:val="000F438C"/>
    <w:rsid w:val="000F44CF"/>
    <w:rsid w:val="000F479B"/>
    <w:rsid w:val="000F4998"/>
    <w:rsid w:val="000F4B7C"/>
    <w:rsid w:val="000F548D"/>
    <w:rsid w:val="000F54B3"/>
    <w:rsid w:val="000F5849"/>
    <w:rsid w:val="000F5A6A"/>
    <w:rsid w:val="000F6170"/>
    <w:rsid w:val="000F671C"/>
    <w:rsid w:val="000F67BB"/>
    <w:rsid w:val="000F69DE"/>
    <w:rsid w:val="000F69F2"/>
    <w:rsid w:val="000F6B0E"/>
    <w:rsid w:val="000F6BA3"/>
    <w:rsid w:val="000F6C18"/>
    <w:rsid w:val="000F6DDF"/>
    <w:rsid w:val="000F6EF6"/>
    <w:rsid w:val="000F72C6"/>
    <w:rsid w:val="000F7D68"/>
    <w:rsid w:val="000F7F3A"/>
    <w:rsid w:val="00100CAD"/>
    <w:rsid w:val="00100FFE"/>
    <w:rsid w:val="0010110A"/>
    <w:rsid w:val="00101240"/>
    <w:rsid w:val="0010171E"/>
    <w:rsid w:val="00101731"/>
    <w:rsid w:val="00101917"/>
    <w:rsid w:val="001019D4"/>
    <w:rsid w:val="00101A24"/>
    <w:rsid w:val="001029D9"/>
    <w:rsid w:val="00102A6E"/>
    <w:rsid w:val="00102F49"/>
    <w:rsid w:val="001030FB"/>
    <w:rsid w:val="0010325B"/>
    <w:rsid w:val="00103450"/>
    <w:rsid w:val="001039D1"/>
    <w:rsid w:val="00103E72"/>
    <w:rsid w:val="001040A5"/>
    <w:rsid w:val="00104657"/>
    <w:rsid w:val="00104A5E"/>
    <w:rsid w:val="00104ABC"/>
    <w:rsid w:val="00104B55"/>
    <w:rsid w:val="00104D8D"/>
    <w:rsid w:val="00105ACD"/>
    <w:rsid w:val="00105DC2"/>
    <w:rsid w:val="00106115"/>
    <w:rsid w:val="00106867"/>
    <w:rsid w:val="00106B6E"/>
    <w:rsid w:val="00106CD0"/>
    <w:rsid w:val="00107BF5"/>
    <w:rsid w:val="00110105"/>
    <w:rsid w:val="00110184"/>
    <w:rsid w:val="001102C1"/>
    <w:rsid w:val="0011050B"/>
    <w:rsid w:val="00110777"/>
    <w:rsid w:val="00110C8E"/>
    <w:rsid w:val="00110E3F"/>
    <w:rsid w:val="00111975"/>
    <w:rsid w:val="00111BCD"/>
    <w:rsid w:val="00112207"/>
    <w:rsid w:val="001122B2"/>
    <w:rsid w:val="00112423"/>
    <w:rsid w:val="00112504"/>
    <w:rsid w:val="00112651"/>
    <w:rsid w:val="00112B96"/>
    <w:rsid w:val="00112C01"/>
    <w:rsid w:val="001131F7"/>
    <w:rsid w:val="00113549"/>
    <w:rsid w:val="001139A0"/>
    <w:rsid w:val="00114317"/>
    <w:rsid w:val="00114627"/>
    <w:rsid w:val="0011486E"/>
    <w:rsid w:val="0011492B"/>
    <w:rsid w:val="0011495B"/>
    <w:rsid w:val="00115506"/>
    <w:rsid w:val="00115A01"/>
    <w:rsid w:val="00115DDB"/>
    <w:rsid w:val="00115DF8"/>
    <w:rsid w:val="001170F4"/>
    <w:rsid w:val="00117C0C"/>
    <w:rsid w:val="00117DF7"/>
    <w:rsid w:val="00117FB6"/>
    <w:rsid w:val="00117FCE"/>
    <w:rsid w:val="0012046A"/>
    <w:rsid w:val="001204DF"/>
    <w:rsid w:val="001205A8"/>
    <w:rsid w:val="00120719"/>
    <w:rsid w:val="001207BD"/>
    <w:rsid w:val="00120A2C"/>
    <w:rsid w:val="00120B66"/>
    <w:rsid w:val="00120C77"/>
    <w:rsid w:val="00120F3B"/>
    <w:rsid w:val="001211F9"/>
    <w:rsid w:val="0012154F"/>
    <w:rsid w:val="0012169E"/>
    <w:rsid w:val="001218F0"/>
    <w:rsid w:val="00121F25"/>
    <w:rsid w:val="0012267D"/>
    <w:rsid w:val="001226B4"/>
    <w:rsid w:val="00122F98"/>
    <w:rsid w:val="001231F1"/>
    <w:rsid w:val="001240EF"/>
    <w:rsid w:val="00124937"/>
    <w:rsid w:val="001249DB"/>
    <w:rsid w:val="00125A90"/>
    <w:rsid w:val="00125D90"/>
    <w:rsid w:val="00126923"/>
    <w:rsid w:val="0012696F"/>
    <w:rsid w:val="00126FE5"/>
    <w:rsid w:val="001271A4"/>
    <w:rsid w:val="001273D4"/>
    <w:rsid w:val="001278F8"/>
    <w:rsid w:val="00127A96"/>
    <w:rsid w:val="00127E2E"/>
    <w:rsid w:val="001306D7"/>
    <w:rsid w:val="00130735"/>
    <w:rsid w:val="001309F6"/>
    <w:rsid w:val="00130BEC"/>
    <w:rsid w:val="00130C15"/>
    <w:rsid w:val="001314A2"/>
    <w:rsid w:val="001314AB"/>
    <w:rsid w:val="00131728"/>
    <w:rsid w:val="00131BEF"/>
    <w:rsid w:val="0013241B"/>
    <w:rsid w:val="0013266A"/>
    <w:rsid w:val="00133055"/>
    <w:rsid w:val="0013309F"/>
    <w:rsid w:val="00133218"/>
    <w:rsid w:val="0013323E"/>
    <w:rsid w:val="00133BE6"/>
    <w:rsid w:val="00133FA0"/>
    <w:rsid w:val="00134B6A"/>
    <w:rsid w:val="00135132"/>
    <w:rsid w:val="0013534B"/>
    <w:rsid w:val="001359D3"/>
    <w:rsid w:val="0013602F"/>
    <w:rsid w:val="00136377"/>
    <w:rsid w:val="00136F63"/>
    <w:rsid w:val="001375EC"/>
    <w:rsid w:val="0013771A"/>
    <w:rsid w:val="0013792C"/>
    <w:rsid w:val="00137BD2"/>
    <w:rsid w:val="00137E7D"/>
    <w:rsid w:val="00140062"/>
    <w:rsid w:val="00140412"/>
    <w:rsid w:val="0014055A"/>
    <w:rsid w:val="001408A2"/>
    <w:rsid w:val="00141505"/>
    <w:rsid w:val="00141B81"/>
    <w:rsid w:val="00141B9C"/>
    <w:rsid w:val="00141C08"/>
    <w:rsid w:val="001420D3"/>
    <w:rsid w:val="00142327"/>
    <w:rsid w:val="0014281A"/>
    <w:rsid w:val="00143627"/>
    <w:rsid w:val="00143933"/>
    <w:rsid w:val="00143BBA"/>
    <w:rsid w:val="00143C3E"/>
    <w:rsid w:val="00143C51"/>
    <w:rsid w:val="00143F13"/>
    <w:rsid w:val="001442D1"/>
    <w:rsid w:val="00144743"/>
    <w:rsid w:val="0014477E"/>
    <w:rsid w:val="001447D9"/>
    <w:rsid w:val="00144B90"/>
    <w:rsid w:val="00144FB4"/>
    <w:rsid w:val="00145100"/>
    <w:rsid w:val="001453A9"/>
    <w:rsid w:val="0014635F"/>
    <w:rsid w:val="00146398"/>
    <w:rsid w:val="00146BFE"/>
    <w:rsid w:val="00147104"/>
    <w:rsid w:val="00147347"/>
    <w:rsid w:val="00147903"/>
    <w:rsid w:val="00147CAC"/>
    <w:rsid w:val="00147EB6"/>
    <w:rsid w:val="00150755"/>
    <w:rsid w:val="00150B24"/>
    <w:rsid w:val="00150D1E"/>
    <w:rsid w:val="00150D96"/>
    <w:rsid w:val="00150EBD"/>
    <w:rsid w:val="00150FE4"/>
    <w:rsid w:val="001512BB"/>
    <w:rsid w:val="001516EB"/>
    <w:rsid w:val="00151D5E"/>
    <w:rsid w:val="00151E93"/>
    <w:rsid w:val="00151FA0"/>
    <w:rsid w:val="0015263C"/>
    <w:rsid w:val="0015297C"/>
    <w:rsid w:val="00152D85"/>
    <w:rsid w:val="00153245"/>
    <w:rsid w:val="001536A8"/>
    <w:rsid w:val="0015385A"/>
    <w:rsid w:val="00153A5C"/>
    <w:rsid w:val="00153F56"/>
    <w:rsid w:val="00154367"/>
    <w:rsid w:val="00154759"/>
    <w:rsid w:val="00154A72"/>
    <w:rsid w:val="00154C0F"/>
    <w:rsid w:val="001551C2"/>
    <w:rsid w:val="00155433"/>
    <w:rsid w:val="00155544"/>
    <w:rsid w:val="00155BBC"/>
    <w:rsid w:val="00155CC1"/>
    <w:rsid w:val="00155D3B"/>
    <w:rsid w:val="00155D68"/>
    <w:rsid w:val="00155DC0"/>
    <w:rsid w:val="00156033"/>
    <w:rsid w:val="00156201"/>
    <w:rsid w:val="0015634B"/>
    <w:rsid w:val="00156420"/>
    <w:rsid w:val="0015672B"/>
    <w:rsid w:val="001567E0"/>
    <w:rsid w:val="00156B4E"/>
    <w:rsid w:val="001576C8"/>
    <w:rsid w:val="001576F4"/>
    <w:rsid w:val="00157709"/>
    <w:rsid w:val="0015771B"/>
    <w:rsid w:val="001579CE"/>
    <w:rsid w:val="00157C47"/>
    <w:rsid w:val="00157F04"/>
    <w:rsid w:val="00157F9D"/>
    <w:rsid w:val="001600DA"/>
    <w:rsid w:val="001600E3"/>
    <w:rsid w:val="001601B6"/>
    <w:rsid w:val="00160DAD"/>
    <w:rsid w:val="00161847"/>
    <w:rsid w:val="001618C4"/>
    <w:rsid w:val="00161F11"/>
    <w:rsid w:val="00162364"/>
    <w:rsid w:val="00162AF5"/>
    <w:rsid w:val="00162B59"/>
    <w:rsid w:val="00162C13"/>
    <w:rsid w:val="00163103"/>
    <w:rsid w:val="001632C9"/>
    <w:rsid w:val="00163B21"/>
    <w:rsid w:val="00164AA2"/>
    <w:rsid w:val="00164B8D"/>
    <w:rsid w:val="001650F5"/>
    <w:rsid w:val="00165A88"/>
    <w:rsid w:val="00165B1F"/>
    <w:rsid w:val="00165E3D"/>
    <w:rsid w:val="00166506"/>
    <w:rsid w:val="00166898"/>
    <w:rsid w:val="00167079"/>
    <w:rsid w:val="001676C2"/>
    <w:rsid w:val="001677EB"/>
    <w:rsid w:val="00167E61"/>
    <w:rsid w:val="00167F66"/>
    <w:rsid w:val="00170D20"/>
    <w:rsid w:val="00170FA2"/>
    <w:rsid w:val="00171247"/>
    <w:rsid w:val="00171D45"/>
    <w:rsid w:val="00171FE5"/>
    <w:rsid w:val="00172193"/>
    <w:rsid w:val="00172314"/>
    <w:rsid w:val="00172469"/>
    <w:rsid w:val="00172671"/>
    <w:rsid w:val="001727B5"/>
    <w:rsid w:val="00172C66"/>
    <w:rsid w:val="001730E2"/>
    <w:rsid w:val="00173479"/>
    <w:rsid w:val="00173685"/>
    <w:rsid w:val="00173D73"/>
    <w:rsid w:val="00173EE7"/>
    <w:rsid w:val="00174339"/>
    <w:rsid w:val="001743D3"/>
    <w:rsid w:val="0017524A"/>
    <w:rsid w:val="001752A3"/>
    <w:rsid w:val="00175C0D"/>
    <w:rsid w:val="001760ED"/>
    <w:rsid w:val="0017629E"/>
    <w:rsid w:val="001764B3"/>
    <w:rsid w:val="0017683A"/>
    <w:rsid w:val="0017774F"/>
    <w:rsid w:val="00177D2A"/>
    <w:rsid w:val="00177E6A"/>
    <w:rsid w:val="00180004"/>
    <w:rsid w:val="00180073"/>
    <w:rsid w:val="001806E3"/>
    <w:rsid w:val="0018094D"/>
    <w:rsid w:val="00181111"/>
    <w:rsid w:val="001815C5"/>
    <w:rsid w:val="00181D50"/>
    <w:rsid w:val="0018271C"/>
    <w:rsid w:val="0018319B"/>
    <w:rsid w:val="00183894"/>
    <w:rsid w:val="00183CD3"/>
    <w:rsid w:val="00185275"/>
    <w:rsid w:val="001852F9"/>
    <w:rsid w:val="001854F9"/>
    <w:rsid w:val="0018556B"/>
    <w:rsid w:val="00185A45"/>
    <w:rsid w:val="001860F8"/>
    <w:rsid w:val="00186369"/>
    <w:rsid w:val="001866CE"/>
    <w:rsid w:val="00186C88"/>
    <w:rsid w:val="0018721B"/>
    <w:rsid w:val="00187BBF"/>
    <w:rsid w:val="00187C70"/>
    <w:rsid w:val="0019061E"/>
    <w:rsid w:val="00190A17"/>
    <w:rsid w:val="00190F5D"/>
    <w:rsid w:val="001931D9"/>
    <w:rsid w:val="00193973"/>
    <w:rsid w:val="00193A26"/>
    <w:rsid w:val="00193B0E"/>
    <w:rsid w:val="00193E37"/>
    <w:rsid w:val="00193E51"/>
    <w:rsid w:val="00194686"/>
    <w:rsid w:val="00194AFC"/>
    <w:rsid w:val="00194B0A"/>
    <w:rsid w:val="00194C21"/>
    <w:rsid w:val="001951D7"/>
    <w:rsid w:val="0019524D"/>
    <w:rsid w:val="00195DFC"/>
    <w:rsid w:val="001961BB"/>
    <w:rsid w:val="00196243"/>
    <w:rsid w:val="00196280"/>
    <w:rsid w:val="001963C1"/>
    <w:rsid w:val="0019770D"/>
    <w:rsid w:val="0019772B"/>
    <w:rsid w:val="00197C07"/>
    <w:rsid w:val="001A0812"/>
    <w:rsid w:val="001A0BC2"/>
    <w:rsid w:val="001A0E1F"/>
    <w:rsid w:val="001A11F2"/>
    <w:rsid w:val="001A13E1"/>
    <w:rsid w:val="001A1910"/>
    <w:rsid w:val="001A1D61"/>
    <w:rsid w:val="001A22C0"/>
    <w:rsid w:val="001A2A37"/>
    <w:rsid w:val="001A2B61"/>
    <w:rsid w:val="001A2CF5"/>
    <w:rsid w:val="001A2E7F"/>
    <w:rsid w:val="001A31C4"/>
    <w:rsid w:val="001A31D4"/>
    <w:rsid w:val="001A3456"/>
    <w:rsid w:val="001A407E"/>
    <w:rsid w:val="001A43EE"/>
    <w:rsid w:val="001A497A"/>
    <w:rsid w:val="001A55F4"/>
    <w:rsid w:val="001A5825"/>
    <w:rsid w:val="001A5A68"/>
    <w:rsid w:val="001A5EE5"/>
    <w:rsid w:val="001A5FF2"/>
    <w:rsid w:val="001A6070"/>
    <w:rsid w:val="001A692A"/>
    <w:rsid w:val="001A6C3F"/>
    <w:rsid w:val="001A6CB2"/>
    <w:rsid w:val="001A6E10"/>
    <w:rsid w:val="001A7447"/>
    <w:rsid w:val="001A7584"/>
    <w:rsid w:val="001A781D"/>
    <w:rsid w:val="001A7A7F"/>
    <w:rsid w:val="001B13DB"/>
    <w:rsid w:val="001B1558"/>
    <w:rsid w:val="001B1586"/>
    <w:rsid w:val="001B199E"/>
    <w:rsid w:val="001B200B"/>
    <w:rsid w:val="001B2B23"/>
    <w:rsid w:val="001B304B"/>
    <w:rsid w:val="001B3374"/>
    <w:rsid w:val="001B345C"/>
    <w:rsid w:val="001B3514"/>
    <w:rsid w:val="001B37AC"/>
    <w:rsid w:val="001B3A1D"/>
    <w:rsid w:val="001B40AD"/>
    <w:rsid w:val="001B43C9"/>
    <w:rsid w:val="001B48A4"/>
    <w:rsid w:val="001B4CC6"/>
    <w:rsid w:val="001B4EA7"/>
    <w:rsid w:val="001B4EB0"/>
    <w:rsid w:val="001B54C5"/>
    <w:rsid w:val="001B637B"/>
    <w:rsid w:val="001B6D05"/>
    <w:rsid w:val="001B6F40"/>
    <w:rsid w:val="001B792C"/>
    <w:rsid w:val="001B7DB9"/>
    <w:rsid w:val="001B7DDA"/>
    <w:rsid w:val="001C0400"/>
    <w:rsid w:val="001C0473"/>
    <w:rsid w:val="001C04F1"/>
    <w:rsid w:val="001C07B1"/>
    <w:rsid w:val="001C09AD"/>
    <w:rsid w:val="001C170D"/>
    <w:rsid w:val="001C1A44"/>
    <w:rsid w:val="001C1EB7"/>
    <w:rsid w:val="001C1FF8"/>
    <w:rsid w:val="001C2188"/>
    <w:rsid w:val="001C21FF"/>
    <w:rsid w:val="001C2524"/>
    <w:rsid w:val="001C2990"/>
    <w:rsid w:val="001C2FDA"/>
    <w:rsid w:val="001C320C"/>
    <w:rsid w:val="001C359F"/>
    <w:rsid w:val="001C3972"/>
    <w:rsid w:val="001C3987"/>
    <w:rsid w:val="001C42EF"/>
    <w:rsid w:val="001C4509"/>
    <w:rsid w:val="001C4A81"/>
    <w:rsid w:val="001C4E00"/>
    <w:rsid w:val="001C58A8"/>
    <w:rsid w:val="001C5FA3"/>
    <w:rsid w:val="001C6148"/>
    <w:rsid w:val="001C62C0"/>
    <w:rsid w:val="001C67EE"/>
    <w:rsid w:val="001C6AFB"/>
    <w:rsid w:val="001C6D39"/>
    <w:rsid w:val="001C7267"/>
    <w:rsid w:val="001C79D9"/>
    <w:rsid w:val="001C7CE7"/>
    <w:rsid w:val="001C7D38"/>
    <w:rsid w:val="001D047A"/>
    <w:rsid w:val="001D04A3"/>
    <w:rsid w:val="001D0A6E"/>
    <w:rsid w:val="001D1307"/>
    <w:rsid w:val="001D133A"/>
    <w:rsid w:val="001D1832"/>
    <w:rsid w:val="001D19FF"/>
    <w:rsid w:val="001D1D0A"/>
    <w:rsid w:val="001D1E5F"/>
    <w:rsid w:val="001D1FFB"/>
    <w:rsid w:val="001D2C55"/>
    <w:rsid w:val="001D30C5"/>
    <w:rsid w:val="001D3BA7"/>
    <w:rsid w:val="001D41B6"/>
    <w:rsid w:val="001D4B53"/>
    <w:rsid w:val="001D4C49"/>
    <w:rsid w:val="001D4DFC"/>
    <w:rsid w:val="001D4F96"/>
    <w:rsid w:val="001D4FFE"/>
    <w:rsid w:val="001D51E9"/>
    <w:rsid w:val="001D5C3E"/>
    <w:rsid w:val="001D6028"/>
    <w:rsid w:val="001D61C0"/>
    <w:rsid w:val="001D6347"/>
    <w:rsid w:val="001D6380"/>
    <w:rsid w:val="001D6430"/>
    <w:rsid w:val="001D6644"/>
    <w:rsid w:val="001D6AE1"/>
    <w:rsid w:val="001D7131"/>
    <w:rsid w:val="001D71BE"/>
    <w:rsid w:val="001D73D3"/>
    <w:rsid w:val="001D752D"/>
    <w:rsid w:val="001D770C"/>
    <w:rsid w:val="001D7989"/>
    <w:rsid w:val="001D79D4"/>
    <w:rsid w:val="001D7BC8"/>
    <w:rsid w:val="001D7E43"/>
    <w:rsid w:val="001E051E"/>
    <w:rsid w:val="001E0C9C"/>
    <w:rsid w:val="001E0D9F"/>
    <w:rsid w:val="001E123F"/>
    <w:rsid w:val="001E2CB6"/>
    <w:rsid w:val="001E2F51"/>
    <w:rsid w:val="001E3165"/>
    <w:rsid w:val="001E3337"/>
    <w:rsid w:val="001E3A29"/>
    <w:rsid w:val="001E3A9E"/>
    <w:rsid w:val="001E4AAA"/>
    <w:rsid w:val="001E50AA"/>
    <w:rsid w:val="001E563F"/>
    <w:rsid w:val="001E5A8A"/>
    <w:rsid w:val="001E5BE8"/>
    <w:rsid w:val="001E5E34"/>
    <w:rsid w:val="001E5E9D"/>
    <w:rsid w:val="001E5FCB"/>
    <w:rsid w:val="001E6216"/>
    <w:rsid w:val="001E6230"/>
    <w:rsid w:val="001E6320"/>
    <w:rsid w:val="001E63B2"/>
    <w:rsid w:val="001E67CF"/>
    <w:rsid w:val="001E6A42"/>
    <w:rsid w:val="001E6E84"/>
    <w:rsid w:val="001E718E"/>
    <w:rsid w:val="001E7A29"/>
    <w:rsid w:val="001E7C92"/>
    <w:rsid w:val="001E7D5C"/>
    <w:rsid w:val="001E7FCE"/>
    <w:rsid w:val="001F03A8"/>
    <w:rsid w:val="001F03E7"/>
    <w:rsid w:val="001F0D81"/>
    <w:rsid w:val="001F1017"/>
    <w:rsid w:val="001F13DD"/>
    <w:rsid w:val="001F1560"/>
    <w:rsid w:val="001F1577"/>
    <w:rsid w:val="001F1599"/>
    <w:rsid w:val="001F1666"/>
    <w:rsid w:val="001F1792"/>
    <w:rsid w:val="001F219E"/>
    <w:rsid w:val="001F28AE"/>
    <w:rsid w:val="001F2C44"/>
    <w:rsid w:val="001F2FBA"/>
    <w:rsid w:val="001F3742"/>
    <w:rsid w:val="001F38DD"/>
    <w:rsid w:val="001F3ACB"/>
    <w:rsid w:val="001F4134"/>
    <w:rsid w:val="001F4447"/>
    <w:rsid w:val="001F46E7"/>
    <w:rsid w:val="001F50F2"/>
    <w:rsid w:val="001F59C5"/>
    <w:rsid w:val="001F631A"/>
    <w:rsid w:val="001F664B"/>
    <w:rsid w:val="001F6E9D"/>
    <w:rsid w:val="001F73D6"/>
    <w:rsid w:val="001F745D"/>
    <w:rsid w:val="001F77C3"/>
    <w:rsid w:val="00200060"/>
    <w:rsid w:val="00200B40"/>
    <w:rsid w:val="00200EDF"/>
    <w:rsid w:val="0020101C"/>
    <w:rsid w:val="00201620"/>
    <w:rsid w:val="00201D4B"/>
    <w:rsid w:val="0020222C"/>
    <w:rsid w:val="00202316"/>
    <w:rsid w:val="002028B1"/>
    <w:rsid w:val="0020303E"/>
    <w:rsid w:val="00203047"/>
    <w:rsid w:val="002032DC"/>
    <w:rsid w:val="00203648"/>
    <w:rsid w:val="002037F7"/>
    <w:rsid w:val="00203FA5"/>
    <w:rsid w:val="002040D3"/>
    <w:rsid w:val="002045B9"/>
    <w:rsid w:val="00205340"/>
    <w:rsid w:val="00205350"/>
    <w:rsid w:val="002053EE"/>
    <w:rsid w:val="00205503"/>
    <w:rsid w:val="00205525"/>
    <w:rsid w:val="00205933"/>
    <w:rsid w:val="00205A68"/>
    <w:rsid w:val="00206983"/>
    <w:rsid w:val="002070B8"/>
    <w:rsid w:val="002071FF"/>
    <w:rsid w:val="002074A1"/>
    <w:rsid w:val="00207884"/>
    <w:rsid w:val="00207DF9"/>
    <w:rsid w:val="00210261"/>
    <w:rsid w:val="002108A5"/>
    <w:rsid w:val="00210DBD"/>
    <w:rsid w:val="00210EA9"/>
    <w:rsid w:val="002113C4"/>
    <w:rsid w:val="00211E4F"/>
    <w:rsid w:val="00212741"/>
    <w:rsid w:val="00212EED"/>
    <w:rsid w:val="002138B4"/>
    <w:rsid w:val="00213C1A"/>
    <w:rsid w:val="00214250"/>
    <w:rsid w:val="002147BB"/>
    <w:rsid w:val="002147C1"/>
    <w:rsid w:val="0021524A"/>
    <w:rsid w:val="00215FA1"/>
    <w:rsid w:val="0021602F"/>
    <w:rsid w:val="002161C9"/>
    <w:rsid w:val="00216F11"/>
    <w:rsid w:val="00217157"/>
    <w:rsid w:val="0021743A"/>
    <w:rsid w:val="0021747D"/>
    <w:rsid w:val="002179C7"/>
    <w:rsid w:val="00217C52"/>
    <w:rsid w:val="00217D47"/>
    <w:rsid w:val="00217EDC"/>
    <w:rsid w:val="0022029C"/>
    <w:rsid w:val="0022067B"/>
    <w:rsid w:val="002208BB"/>
    <w:rsid w:val="002208C3"/>
    <w:rsid w:val="00220C5A"/>
    <w:rsid w:val="00221028"/>
    <w:rsid w:val="0022182E"/>
    <w:rsid w:val="00221975"/>
    <w:rsid w:val="002219EE"/>
    <w:rsid w:val="00221A7B"/>
    <w:rsid w:val="00221B6C"/>
    <w:rsid w:val="00221C0F"/>
    <w:rsid w:val="00221C68"/>
    <w:rsid w:val="0022259E"/>
    <w:rsid w:val="00222A19"/>
    <w:rsid w:val="00222C0B"/>
    <w:rsid w:val="002233E6"/>
    <w:rsid w:val="00223675"/>
    <w:rsid w:val="002237BF"/>
    <w:rsid w:val="0022395C"/>
    <w:rsid w:val="00223A20"/>
    <w:rsid w:val="00224136"/>
    <w:rsid w:val="00224493"/>
    <w:rsid w:val="00224501"/>
    <w:rsid w:val="0022459A"/>
    <w:rsid w:val="00225224"/>
    <w:rsid w:val="002254B4"/>
    <w:rsid w:val="002254E6"/>
    <w:rsid w:val="00225A91"/>
    <w:rsid w:val="002267AA"/>
    <w:rsid w:val="00226C12"/>
    <w:rsid w:val="002276CE"/>
    <w:rsid w:val="0022775B"/>
    <w:rsid w:val="00227DFD"/>
    <w:rsid w:val="002308D0"/>
    <w:rsid w:val="00230C8F"/>
    <w:rsid w:val="00230E48"/>
    <w:rsid w:val="00230F53"/>
    <w:rsid w:val="002319F5"/>
    <w:rsid w:val="00231D32"/>
    <w:rsid w:val="00231F5D"/>
    <w:rsid w:val="0023249E"/>
    <w:rsid w:val="00232830"/>
    <w:rsid w:val="00232A58"/>
    <w:rsid w:val="00233495"/>
    <w:rsid w:val="00233F48"/>
    <w:rsid w:val="00234094"/>
    <w:rsid w:val="0023411E"/>
    <w:rsid w:val="0023492B"/>
    <w:rsid w:val="00234C88"/>
    <w:rsid w:val="00234FB5"/>
    <w:rsid w:val="00235FE0"/>
    <w:rsid w:val="00236540"/>
    <w:rsid w:val="002365F1"/>
    <w:rsid w:val="002367F7"/>
    <w:rsid w:val="0023691F"/>
    <w:rsid w:val="00236B16"/>
    <w:rsid w:val="0023774A"/>
    <w:rsid w:val="00240665"/>
    <w:rsid w:val="00240E12"/>
    <w:rsid w:val="00240E97"/>
    <w:rsid w:val="0024159B"/>
    <w:rsid w:val="00241668"/>
    <w:rsid w:val="00241819"/>
    <w:rsid w:val="002419B3"/>
    <w:rsid w:val="00241ACD"/>
    <w:rsid w:val="002421A6"/>
    <w:rsid w:val="002429A8"/>
    <w:rsid w:val="002429E6"/>
    <w:rsid w:val="00242AFF"/>
    <w:rsid w:val="00242E0D"/>
    <w:rsid w:val="002438DD"/>
    <w:rsid w:val="00243A61"/>
    <w:rsid w:val="002445B9"/>
    <w:rsid w:val="0024479B"/>
    <w:rsid w:val="0024484C"/>
    <w:rsid w:val="00244B93"/>
    <w:rsid w:val="00244C2C"/>
    <w:rsid w:val="0024548C"/>
    <w:rsid w:val="002455A9"/>
    <w:rsid w:val="0024604D"/>
    <w:rsid w:val="00246489"/>
    <w:rsid w:val="0024652E"/>
    <w:rsid w:val="00247475"/>
    <w:rsid w:val="0024789A"/>
    <w:rsid w:val="002478FE"/>
    <w:rsid w:val="002501C1"/>
    <w:rsid w:val="0025032E"/>
    <w:rsid w:val="0025047B"/>
    <w:rsid w:val="00250733"/>
    <w:rsid w:val="0025114E"/>
    <w:rsid w:val="002515C2"/>
    <w:rsid w:val="00251682"/>
    <w:rsid w:val="0025172C"/>
    <w:rsid w:val="00251AF7"/>
    <w:rsid w:val="00251F70"/>
    <w:rsid w:val="0025265D"/>
    <w:rsid w:val="00252907"/>
    <w:rsid w:val="002530FB"/>
    <w:rsid w:val="002532E9"/>
    <w:rsid w:val="002534D5"/>
    <w:rsid w:val="002534D6"/>
    <w:rsid w:val="00253527"/>
    <w:rsid w:val="002536C1"/>
    <w:rsid w:val="002537A9"/>
    <w:rsid w:val="002537C4"/>
    <w:rsid w:val="0025396A"/>
    <w:rsid w:val="00253B34"/>
    <w:rsid w:val="00253C04"/>
    <w:rsid w:val="00253CD0"/>
    <w:rsid w:val="002540C9"/>
    <w:rsid w:val="0025412B"/>
    <w:rsid w:val="0025419A"/>
    <w:rsid w:val="002544C4"/>
    <w:rsid w:val="002546E8"/>
    <w:rsid w:val="002547FF"/>
    <w:rsid w:val="00254905"/>
    <w:rsid w:val="00254A59"/>
    <w:rsid w:val="00254CC2"/>
    <w:rsid w:val="002551AE"/>
    <w:rsid w:val="002558E2"/>
    <w:rsid w:val="00256336"/>
    <w:rsid w:val="0025650A"/>
    <w:rsid w:val="0025660D"/>
    <w:rsid w:val="002566E5"/>
    <w:rsid w:val="002567AD"/>
    <w:rsid w:val="00256BC4"/>
    <w:rsid w:val="00256C46"/>
    <w:rsid w:val="0025737B"/>
    <w:rsid w:val="0025798D"/>
    <w:rsid w:val="00257B14"/>
    <w:rsid w:val="00257F07"/>
    <w:rsid w:val="00257FA9"/>
    <w:rsid w:val="00257FBD"/>
    <w:rsid w:val="00257FFE"/>
    <w:rsid w:val="002606AD"/>
    <w:rsid w:val="002606E6"/>
    <w:rsid w:val="0026077D"/>
    <w:rsid w:val="00260FD2"/>
    <w:rsid w:val="00261464"/>
    <w:rsid w:val="002617D4"/>
    <w:rsid w:val="00261817"/>
    <w:rsid w:val="00261F89"/>
    <w:rsid w:val="00261FC3"/>
    <w:rsid w:val="00262387"/>
    <w:rsid w:val="0026253A"/>
    <w:rsid w:val="002627C6"/>
    <w:rsid w:val="0026297C"/>
    <w:rsid w:val="00262F78"/>
    <w:rsid w:val="00263084"/>
    <w:rsid w:val="0026346B"/>
    <w:rsid w:val="002634A4"/>
    <w:rsid w:val="002637BA"/>
    <w:rsid w:val="00263AAC"/>
    <w:rsid w:val="00263E2B"/>
    <w:rsid w:val="00263EE6"/>
    <w:rsid w:val="00263F23"/>
    <w:rsid w:val="002640F2"/>
    <w:rsid w:val="002641E4"/>
    <w:rsid w:val="002647B3"/>
    <w:rsid w:val="0026493A"/>
    <w:rsid w:val="00264C46"/>
    <w:rsid w:val="00264E40"/>
    <w:rsid w:val="00264F7F"/>
    <w:rsid w:val="00264FE5"/>
    <w:rsid w:val="00265129"/>
    <w:rsid w:val="00265212"/>
    <w:rsid w:val="00265756"/>
    <w:rsid w:val="00265866"/>
    <w:rsid w:val="0026596A"/>
    <w:rsid w:val="00265A5F"/>
    <w:rsid w:val="00265F71"/>
    <w:rsid w:val="00265F89"/>
    <w:rsid w:val="00266099"/>
    <w:rsid w:val="002671A4"/>
    <w:rsid w:val="00267212"/>
    <w:rsid w:val="0026773E"/>
    <w:rsid w:val="00267829"/>
    <w:rsid w:val="00267BC3"/>
    <w:rsid w:val="00267DF5"/>
    <w:rsid w:val="002701FA"/>
    <w:rsid w:val="00270AB8"/>
    <w:rsid w:val="00270B65"/>
    <w:rsid w:val="00270EA1"/>
    <w:rsid w:val="00270EE3"/>
    <w:rsid w:val="00271BEF"/>
    <w:rsid w:val="00271D43"/>
    <w:rsid w:val="0027209D"/>
    <w:rsid w:val="002720BA"/>
    <w:rsid w:val="002721FB"/>
    <w:rsid w:val="00272441"/>
    <w:rsid w:val="0027300F"/>
    <w:rsid w:val="00273537"/>
    <w:rsid w:val="002737C4"/>
    <w:rsid w:val="00273800"/>
    <w:rsid w:val="00273C47"/>
    <w:rsid w:val="00273E48"/>
    <w:rsid w:val="00273FB3"/>
    <w:rsid w:val="00274055"/>
    <w:rsid w:val="00274557"/>
    <w:rsid w:val="0027469D"/>
    <w:rsid w:val="00274BA1"/>
    <w:rsid w:val="00274FFF"/>
    <w:rsid w:val="00275170"/>
    <w:rsid w:val="00275BBC"/>
    <w:rsid w:val="0027604B"/>
    <w:rsid w:val="0027615F"/>
    <w:rsid w:val="00276741"/>
    <w:rsid w:val="00277668"/>
    <w:rsid w:val="00277770"/>
    <w:rsid w:val="002777AD"/>
    <w:rsid w:val="00277803"/>
    <w:rsid w:val="00277A8B"/>
    <w:rsid w:val="00277F85"/>
    <w:rsid w:val="00280169"/>
    <w:rsid w:val="0028028F"/>
    <w:rsid w:val="00280911"/>
    <w:rsid w:val="002810D4"/>
    <w:rsid w:val="002810DC"/>
    <w:rsid w:val="002814C0"/>
    <w:rsid w:val="00281B51"/>
    <w:rsid w:val="00281F98"/>
    <w:rsid w:val="00282BFF"/>
    <w:rsid w:val="00282FA0"/>
    <w:rsid w:val="00283091"/>
    <w:rsid w:val="00283234"/>
    <w:rsid w:val="00283344"/>
    <w:rsid w:val="00283A67"/>
    <w:rsid w:val="00283C6C"/>
    <w:rsid w:val="00283CDD"/>
    <w:rsid w:val="0028407A"/>
    <w:rsid w:val="0028467D"/>
    <w:rsid w:val="00284770"/>
    <w:rsid w:val="00284BBB"/>
    <w:rsid w:val="002850B1"/>
    <w:rsid w:val="0028524E"/>
    <w:rsid w:val="00285374"/>
    <w:rsid w:val="00285379"/>
    <w:rsid w:val="0028548F"/>
    <w:rsid w:val="00285687"/>
    <w:rsid w:val="00285778"/>
    <w:rsid w:val="0028599B"/>
    <w:rsid w:val="002866D3"/>
    <w:rsid w:val="00286FC0"/>
    <w:rsid w:val="002875C1"/>
    <w:rsid w:val="00287762"/>
    <w:rsid w:val="00287E58"/>
    <w:rsid w:val="002909BA"/>
    <w:rsid w:val="00290A7A"/>
    <w:rsid w:val="00290C3A"/>
    <w:rsid w:val="00290D60"/>
    <w:rsid w:val="00290DF4"/>
    <w:rsid w:val="002911CC"/>
    <w:rsid w:val="00291360"/>
    <w:rsid w:val="002915B6"/>
    <w:rsid w:val="0029160A"/>
    <w:rsid w:val="002917C6"/>
    <w:rsid w:val="0029191B"/>
    <w:rsid w:val="0029192F"/>
    <w:rsid w:val="002919A8"/>
    <w:rsid w:val="0029228D"/>
    <w:rsid w:val="002922A5"/>
    <w:rsid w:val="00293043"/>
    <w:rsid w:val="0029311A"/>
    <w:rsid w:val="00293127"/>
    <w:rsid w:val="002938BF"/>
    <w:rsid w:val="002939A8"/>
    <w:rsid w:val="00293E44"/>
    <w:rsid w:val="0029430A"/>
    <w:rsid w:val="00294464"/>
    <w:rsid w:val="002944FF"/>
    <w:rsid w:val="00294C13"/>
    <w:rsid w:val="00295106"/>
    <w:rsid w:val="002952DD"/>
    <w:rsid w:val="00295533"/>
    <w:rsid w:val="00295BB5"/>
    <w:rsid w:val="00295E37"/>
    <w:rsid w:val="00295F2B"/>
    <w:rsid w:val="0029601D"/>
    <w:rsid w:val="0029642B"/>
    <w:rsid w:val="002964C0"/>
    <w:rsid w:val="0029665E"/>
    <w:rsid w:val="00296733"/>
    <w:rsid w:val="00296E4E"/>
    <w:rsid w:val="00297390"/>
    <w:rsid w:val="002A0263"/>
    <w:rsid w:val="002A043C"/>
    <w:rsid w:val="002A0668"/>
    <w:rsid w:val="002A0B5E"/>
    <w:rsid w:val="002A1012"/>
    <w:rsid w:val="002A1722"/>
    <w:rsid w:val="002A17A5"/>
    <w:rsid w:val="002A1C72"/>
    <w:rsid w:val="002A1F21"/>
    <w:rsid w:val="002A2388"/>
    <w:rsid w:val="002A2427"/>
    <w:rsid w:val="002A266C"/>
    <w:rsid w:val="002A2935"/>
    <w:rsid w:val="002A2D02"/>
    <w:rsid w:val="002A2D4A"/>
    <w:rsid w:val="002A2D56"/>
    <w:rsid w:val="002A32FD"/>
    <w:rsid w:val="002A401E"/>
    <w:rsid w:val="002A42F6"/>
    <w:rsid w:val="002A4605"/>
    <w:rsid w:val="002A487C"/>
    <w:rsid w:val="002A4ACB"/>
    <w:rsid w:val="002A51CC"/>
    <w:rsid w:val="002A54C2"/>
    <w:rsid w:val="002A5A0F"/>
    <w:rsid w:val="002A6276"/>
    <w:rsid w:val="002A6345"/>
    <w:rsid w:val="002A67CB"/>
    <w:rsid w:val="002A688E"/>
    <w:rsid w:val="002A6926"/>
    <w:rsid w:val="002A6EAA"/>
    <w:rsid w:val="002A7468"/>
    <w:rsid w:val="002A7481"/>
    <w:rsid w:val="002A7CEC"/>
    <w:rsid w:val="002A7D0A"/>
    <w:rsid w:val="002B0B79"/>
    <w:rsid w:val="002B0CDC"/>
    <w:rsid w:val="002B11BB"/>
    <w:rsid w:val="002B12D6"/>
    <w:rsid w:val="002B17CE"/>
    <w:rsid w:val="002B1AC5"/>
    <w:rsid w:val="002B1CF8"/>
    <w:rsid w:val="002B23F8"/>
    <w:rsid w:val="002B291F"/>
    <w:rsid w:val="002B2CD7"/>
    <w:rsid w:val="002B34A9"/>
    <w:rsid w:val="002B37BF"/>
    <w:rsid w:val="002B3989"/>
    <w:rsid w:val="002B3A0B"/>
    <w:rsid w:val="002B3B74"/>
    <w:rsid w:val="002B3EEF"/>
    <w:rsid w:val="002B5DC8"/>
    <w:rsid w:val="002B5F1A"/>
    <w:rsid w:val="002B612C"/>
    <w:rsid w:val="002B6133"/>
    <w:rsid w:val="002B616D"/>
    <w:rsid w:val="002B61C9"/>
    <w:rsid w:val="002B693D"/>
    <w:rsid w:val="002B697E"/>
    <w:rsid w:val="002B777A"/>
    <w:rsid w:val="002B7C58"/>
    <w:rsid w:val="002B7DDE"/>
    <w:rsid w:val="002C0560"/>
    <w:rsid w:val="002C0A54"/>
    <w:rsid w:val="002C0D0B"/>
    <w:rsid w:val="002C1103"/>
    <w:rsid w:val="002C1187"/>
    <w:rsid w:val="002C15B0"/>
    <w:rsid w:val="002C2328"/>
    <w:rsid w:val="002C2907"/>
    <w:rsid w:val="002C2939"/>
    <w:rsid w:val="002C2F51"/>
    <w:rsid w:val="002C363E"/>
    <w:rsid w:val="002C3A43"/>
    <w:rsid w:val="002C3CD3"/>
    <w:rsid w:val="002C4489"/>
    <w:rsid w:val="002C480F"/>
    <w:rsid w:val="002C4B1E"/>
    <w:rsid w:val="002C4C98"/>
    <w:rsid w:val="002C4D48"/>
    <w:rsid w:val="002C4ECC"/>
    <w:rsid w:val="002C549C"/>
    <w:rsid w:val="002C5826"/>
    <w:rsid w:val="002C59D6"/>
    <w:rsid w:val="002C5B6B"/>
    <w:rsid w:val="002C611B"/>
    <w:rsid w:val="002C6461"/>
    <w:rsid w:val="002C652B"/>
    <w:rsid w:val="002C6C5A"/>
    <w:rsid w:val="002C6CEF"/>
    <w:rsid w:val="002C71DF"/>
    <w:rsid w:val="002C78B1"/>
    <w:rsid w:val="002C7E8C"/>
    <w:rsid w:val="002C7F80"/>
    <w:rsid w:val="002D0181"/>
    <w:rsid w:val="002D0353"/>
    <w:rsid w:val="002D046F"/>
    <w:rsid w:val="002D0B6C"/>
    <w:rsid w:val="002D0CC4"/>
    <w:rsid w:val="002D0CF9"/>
    <w:rsid w:val="002D0F9E"/>
    <w:rsid w:val="002D13AB"/>
    <w:rsid w:val="002D1876"/>
    <w:rsid w:val="002D1A00"/>
    <w:rsid w:val="002D2110"/>
    <w:rsid w:val="002D285C"/>
    <w:rsid w:val="002D2927"/>
    <w:rsid w:val="002D2E0C"/>
    <w:rsid w:val="002D2F90"/>
    <w:rsid w:val="002D303F"/>
    <w:rsid w:val="002D30BC"/>
    <w:rsid w:val="002D33F4"/>
    <w:rsid w:val="002D3534"/>
    <w:rsid w:val="002D38B4"/>
    <w:rsid w:val="002D3AE5"/>
    <w:rsid w:val="002D3FDC"/>
    <w:rsid w:val="002D477A"/>
    <w:rsid w:val="002D4876"/>
    <w:rsid w:val="002D4C13"/>
    <w:rsid w:val="002D53F9"/>
    <w:rsid w:val="002D56FF"/>
    <w:rsid w:val="002D5958"/>
    <w:rsid w:val="002D5C74"/>
    <w:rsid w:val="002D6272"/>
    <w:rsid w:val="002D637E"/>
    <w:rsid w:val="002D66A2"/>
    <w:rsid w:val="002D6703"/>
    <w:rsid w:val="002D6AC8"/>
    <w:rsid w:val="002D6B7C"/>
    <w:rsid w:val="002D6F73"/>
    <w:rsid w:val="002D7113"/>
    <w:rsid w:val="002D78AD"/>
    <w:rsid w:val="002D7BED"/>
    <w:rsid w:val="002D7EB2"/>
    <w:rsid w:val="002D7FE9"/>
    <w:rsid w:val="002E01FD"/>
    <w:rsid w:val="002E0278"/>
    <w:rsid w:val="002E056F"/>
    <w:rsid w:val="002E07FD"/>
    <w:rsid w:val="002E0B5A"/>
    <w:rsid w:val="002E1499"/>
    <w:rsid w:val="002E15DC"/>
    <w:rsid w:val="002E169C"/>
    <w:rsid w:val="002E177C"/>
    <w:rsid w:val="002E18E2"/>
    <w:rsid w:val="002E1C7C"/>
    <w:rsid w:val="002E1D4F"/>
    <w:rsid w:val="002E2776"/>
    <w:rsid w:val="002E2BC5"/>
    <w:rsid w:val="002E31C0"/>
    <w:rsid w:val="002E3AD9"/>
    <w:rsid w:val="002E485B"/>
    <w:rsid w:val="002E54D3"/>
    <w:rsid w:val="002E54DA"/>
    <w:rsid w:val="002E55D0"/>
    <w:rsid w:val="002E57F3"/>
    <w:rsid w:val="002E5993"/>
    <w:rsid w:val="002E5A33"/>
    <w:rsid w:val="002E5A3F"/>
    <w:rsid w:val="002E6242"/>
    <w:rsid w:val="002E6A6D"/>
    <w:rsid w:val="002E6BE9"/>
    <w:rsid w:val="002E6D87"/>
    <w:rsid w:val="002E70FD"/>
    <w:rsid w:val="002E760F"/>
    <w:rsid w:val="002E7800"/>
    <w:rsid w:val="002E7CA2"/>
    <w:rsid w:val="002E7D54"/>
    <w:rsid w:val="002E7E25"/>
    <w:rsid w:val="002F0568"/>
    <w:rsid w:val="002F083C"/>
    <w:rsid w:val="002F0E13"/>
    <w:rsid w:val="002F1382"/>
    <w:rsid w:val="002F170B"/>
    <w:rsid w:val="002F182B"/>
    <w:rsid w:val="002F23EE"/>
    <w:rsid w:val="002F252F"/>
    <w:rsid w:val="002F2592"/>
    <w:rsid w:val="002F3267"/>
    <w:rsid w:val="002F330E"/>
    <w:rsid w:val="002F33C3"/>
    <w:rsid w:val="002F3E05"/>
    <w:rsid w:val="002F3ED2"/>
    <w:rsid w:val="002F43EE"/>
    <w:rsid w:val="002F459F"/>
    <w:rsid w:val="002F4B98"/>
    <w:rsid w:val="002F522C"/>
    <w:rsid w:val="002F52C6"/>
    <w:rsid w:val="002F53F3"/>
    <w:rsid w:val="002F5607"/>
    <w:rsid w:val="002F57EB"/>
    <w:rsid w:val="002F58E4"/>
    <w:rsid w:val="002F5F29"/>
    <w:rsid w:val="002F6B6B"/>
    <w:rsid w:val="002F6BB6"/>
    <w:rsid w:val="002F6CA1"/>
    <w:rsid w:val="002F6D58"/>
    <w:rsid w:val="002F75B7"/>
    <w:rsid w:val="002F7A17"/>
    <w:rsid w:val="002F7F22"/>
    <w:rsid w:val="003006AE"/>
    <w:rsid w:val="00300F72"/>
    <w:rsid w:val="003010A8"/>
    <w:rsid w:val="003022DF"/>
    <w:rsid w:val="003025DF"/>
    <w:rsid w:val="00302616"/>
    <w:rsid w:val="00302BB9"/>
    <w:rsid w:val="00302D17"/>
    <w:rsid w:val="00302F9C"/>
    <w:rsid w:val="00303036"/>
    <w:rsid w:val="00303285"/>
    <w:rsid w:val="003033FA"/>
    <w:rsid w:val="003039DE"/>
    <w:rsid w:val="00303AE2"/>
    <w:rsid w:val="00304396"/>
    <w:rsid w:val="00305EAD"/>
    <w:rsid w:val="00305EEB"/>
    <w:rsid w:val="003060B7"/>
    <w:rsid w:val="00306919"/>
    <w:rsid w:val="00306D4C"/>
    <w:rsid w:val="00306FFA"/>
    <w:rsid w:val="00307241"/>
    <w:rsid w:val="00307534"/>
    <w:rsid w:val="0030786A"/>
    <w:rsid w:val="00307918"/>
    <w:rsid w:val="0031078D"/>
    <w:rsid w:val="00310AA8"/>
    <w:rsid w:val="00310B9C"/>
    <w:rsid w:val="00310BD7"/>
    <w:rsid w:val="00310D7D"/>
    <w:rsid w:val="00310EB2"/>
    <w:rsid w:val="00310F96"/>
    <w:rsid w:val="0031172A"/>
    <w:rsid w:val="00311813"/>
    <w:rsid w:val="00312444"/>
    <w:rsid w:val="00312985"/>
    <w:rsid w:val="00313173"/>
    <w:rsid w:val="003131D1"/>
    <w:rsid w:val="0031349A"/>
    <w:rsid w:val="0031378A"/>
    <w:rsid w:val="0031389E"/>
    <w:rsid w:val="0031399D"/>
    <w:rsid w:val="00313AD3"/>
    <w:rsid w:val="00313B72"/>
    <w:rsid w:val="00313DCB"/>
    <w:rsid w:val="00313E05"/>
    <w:rsid w:val="00313FEE"/>
    <w:rsid w:val="00314221"/>
    <w:rsid w:val="00314275"/>
    <w:rsid w:val="00315998"/>
    <w:rsid w:val="00315F0E"/>
    <w:rsid w:val="003162BF"/>
    <w:rsid w:val="00316DC7"/>
    <w:rsid w:val="00317135"/>
    <w:rsid w:val="003173F2"/>
    <w:rsid w:val="00317678"/>
    <w:rsid w:val="00317788"/>
    <w:rsid w:val="00317A9F"/>
    <w:rsid w:val="00317C3A"/>
    <w:rsid w:val="00317D8E"/>
    <w:rsid w:val="00320A12"/>
    <w:rsid w:val="00320AF2"/>
    <w:rsid w:val="00320D13"/>
    <w:rsid w:val="0032134C"/>
    <w:rsid w:val="003214BC"/>
    <w:rsid w:val="0032166B"/>
    <w:rsid w:val="00321E6A"/>
    <w:rsid w:val="003220B0"/>
    <w:rsid w:val="00322164"/>
    <w:rsid w:val="00322185"/>
    <w:rsid w:val="0032224A"/>
    <w:rsid w:val="00322A19"/>
    <w:rsid w:val="00322D74"/>
    <w:rsid w:val="00322F41"/>
    <w:rsid w:val="003230E1"/>
    <w:rsid w:val="0032318C"/>
    <w:rsid w:val="00323845"/>
    <w:rsid w:val="00323F9E"/>
    <w:rsid w:val="00323FFA"/>
    <w:rsid w:val="0032416A"/>
    <w:rsid w:val="003248C2"/>
    <w:rsid w:val="00324A51"/>
    <w:rsid w:val="00324D15"/>
    <w:rsid w:val="00324F02"/>
    <w:rsid w:val="00325147"/>
    <w:rsid w:val="00325166"/>
    <w:rsid w:val="00325A26"/>
    <w:rsid w:val="00326336"/>
    <w:rsid w:val="0032676A"/>
    <w:rsid w:val="00326790"/>
    <w:rsid w:val="00326B46"/>
    <w:rsid w:val="00326B63"/>
    <w:rsid w:val="003270FF"/>
    <w:rsid w:val="003272B4"/>
    <w:rsid w:val="003274FC"/>
    <w:rsid w:val="0032760D"/>
    <w:rsid w:val="0032765F"/>
    <w:rsid w:val="003277C7"/>
    <w:rsid w:val="00327830"/>
    <w:rsid w:val="00327A79"/>
    <w:rsid w:val="00327FA6"/>
    <w:rsid w:val="003304AE"/>
    <w:rsid w:val="00330801"/>
    <w:rsid w:val="0033085F"/>
    <w:rsid w:val="00330BBD"/>
    <w:rsid w:val="00330D2F"/>
    <w:rsid w:val="0033140C"/>
    <w:rsid w:val="00331A8C"/>
    <w:rsid w:val="00331E9D"/>
    <w:rsid w:val="00332966"/>
    <w:rsid w:val="00332AC6"/>
    <w:rsid w:val="00333022"/>
    <w:rsid w:val="00333235"/>
    <w:rsid w:val="003332C8"/>
    <w:rsid w:val="003333A1"/>
    <w:rsid w:val="00333AF4"/>
    <w:rsid w:val="00333C98"/>
    <w:rsid w:val="00333DD4"/>
    <w:rsid w:val="00333FFA"/>
    <w:rsid w:val="003340E3"/>
    <w:rsid w:val="00334156"/>
    <w:rsid w:val="0033417C"/>
    <w:rsid w:val="00334359"/>
    <w:rsid w:val="003346A8"/>
    <w:rsid w:val="00334C33"/>
    <w:rsid w:val="0033502C"/>
    <w:rsid w:val="00335059"/>
    <w:rsid w:val="003353EB"/>
    <w:rsid w:val="003354CC"/>
    <w:rsid w:val="00335741"/>
    <w:rsid w:val="003362FC"/>
    <w:rsid w:val="0033677D"/>
    <w:rsid w:val="003368B8"/>
    <w:rsid w:val="003368C3"/>
    <w:rsid w:val="00336BCC"/>
    <w:rsid w:val="00336EC3"/>
    <w:rsid w:val="003370F5"/>
    <w:rsid w:val="00337456"/>
    <w:rsid w:val="003377DF"/>
    <w:rsid w:val="00337C90"/>
    <w:rsid w:val="00337F91"/>
    <w:rsid w:val="003405EE"/>
    <w:rsid w:val="003407F6"/>
    <w:rsid w:val="00340EA5"/>
    <w:rsid w:val="00341259"/>
    <w:rsid w:val="00341AE4"/>
    <w:rsid w:val="003421F5"/>
    <w:rsid w:val="0034241A"/>
    <w:rsid w:val="00342DF9"/>
    <w:rsid w:val="003431E9"/>
    <w:rsid w:val="003431EE"/>
    <w:rsid w:val="0034336F"/>
    <w:rsid w:val="0034348A"/>
    <w:rsid w:val="0034380C"/>
    <w:rsid w:val="00343B74"/>
    <w:rsid w:val="00343DB9"/>
    <w:rsid w:val="00344792"/>
    <w:rsid w:val="003450AB"/>
    <w:rsid w:val="003452CD"/>
    <w:rsid w:val="003452CE"/>
    <w:rsid w:val="00345532"/>
    <w:rsid w:val="00346166"/>
    <w:rsid w:val="0034624C"/>
    <w:rsid w:val="00346793"/>
    <w:rsid w:val="0034708A"/>
    <w:rsid w:val="003474AC"/>
    <w:rsid w:val="0034751F"/>
    <w:rsid w:val="003479DA"/>
    <w:rsid w:val="00347A43"/>
    <w:rsid w:val="00347CD2"/>
    <w:rsid w:val="00347CF0"/>
    <w:rsid w:val="00347E69"/>
    <w:rsid w:val="00347FA5"/>
    <w:rsid w:val="0035023B"/>
    <w:rsid w:val="00350883"/>
    <w:rsid w:val="00350B35"/>
    <w:rsid w:val="00350BF6"/>
    <w:rsid w:val="00350FF2"/>
    <w:rsid w:val="0035110C"/>
    <w:rsid w:val="0035120F"/>
    <w:rsid w:val="003515C8"/>
    <w:rsid w:val="00351967"/>
    <w:rsid w:val="00351EEF"/>
    <w:rsid w:val="00352173"/>
    <w:rsid w:val="00352239"/>
    <w:rsid w:val="00352284"/>
    <w:rsid w:val="0035264E"/>
    <w:rsid w:val="0035285F"/>
    <w:rsid w:val="00352C12"/>
    <w:rsid w:val="003532B8"/>
    <w:rsid w:val="00353391"/>
    <w:rsid w:val="00353560"/>
    <w:rsid w:val="00353807"/>
    <w:rsid w:val="00353C87"/>
    <w:rsid w:val="00353CE0"/>
    <w:rsid w:val="00353DD5"/>
    <w:rsid w:val="003546C3"/>
    <w:rsid w:val="003546D6"/>
    <w:rsid w:val="003549C6"/>
    <w:rsid w:val="00354DD6"/>
    <w:rsid w:val="00355973"/>
    <w:rsid w:val="00355E6D"/>
    <w:rsid w:val="00355ED3"/>
    <w:rsid w:val="0035615B"/>
    <w:rsid w:val="0035667D"/>
    <w:rsid w:val="00356695"/>
    <w:rsid w:val="003567C8"/>
    <w:rsid w:val="00356BBC"/>
    <w:rsid w:val="00357025"/>
    <w:rsid w:val="00357091"/>
    <w:rsid w:val="00357725"/>
    <w:rsid w:val="0035791D"/>
    <w:rsid w:val="00357B21"/>
    <w:rsid w:val="003602DF"/>
    <w:rsid w:val="0036033D"/>
    <w:rsid w:val="003606FB"/>
    <w:rsid w:val="00360AF6"/>
    <w:rsid w:val="00360B80"/>
    <w:rsid w:val="00360C83"/>
    <w:rsid w:val="00360CA7"/>
    <w:rsid w:val="00360F33"/>
    <w:rsid w:val="00360FC1"/>
    <w:rsid w:val="00361149"/>
    <w:rsid w:val="00361AF1"/>
    <w:rsid w:val="00361C59"/>
    <w:rsid w:val="00361F67"/>
    <w:rsid w:val="00361FB8"/>
    <w:rsid w:val="003628BB"/>
    <w:rsid w:val="003629F2"/>
    <w:rsid w:val="00363306"/>
    <w:rsid w:val="0036388F"/>
    <w:rsid w:val="00363BCA"/>
    <w:rsid w:val="00364085"/>
    <w:rsid w:val="0036436E"/>
    <w:rsid w:val="00364ACA"/>
    <w:rsid w:val="00364C15"/>
    <w:rsid w:val="00365414"/>
    <w:rsid w:val="00365ADF"/>
    <w:rsid w:val="00366206"/>
    <w:rsid w:val="0036648D"/>
    <w:rsid w:val="00366EDF"/>
    <w:rsid w:val="00367549"/>
    <w:rsid w:val="00367787"/>
    <w:rsid w:val="003678AA"/>
    <w:rsid w:val="003678BF"/>
    <w:rsid w:val="00367D9C"/>
    <w:rsid w:val="00367FC7"/>
    <w:rsid w:val="003708ED"/>
    <w:rsid w:val="003709B7"/>
    <w:rsid w:val="00370CAB"/>
    <w:rsid w:val="00370F8A"/>
    <w:rsid w:val="00371266"/>
    <w:rsid w:val="00371646"/>
    <w:rsid w:val="003718E6"/>
    <w:rsid w:val="00371BAA"/>
    <w:rsid w:val="00371CCC"/>
    <w:rsid w:val="00371D2D"/>
    <w:rsid w:val="0037201E"/>
    <w:rsid w:val="003722EE"/>
    <w:rsid w:val="00373356"/>
    <w:rsid w:val="0037387A"/>
    <w:rsid w:val="003738D9"/>
    <w:rsid w:val="00373A75"/>
    <w:rsid w:val="00373ADF"/>
    <w:rsid w:val="00373CC7"/>
    <w:rsid w:val="0037416C"/>
    <w:rsid w:val="00374451"/>
    <w:rsid w:val="003747E1"/>
    <w:rsid w:val="00374802"/>
    <w:rsid w:val="00374E6E"/>
    <w:rsid w:val="003751EF"/>
    <w:rsid w:val="003752DE"/>
    <w:rsid w:val="003754DA"/>
    <w:rsid w:val="00375EFE"/>
    <w:rsid w:val="00375F95"/>
    <w:rsid w:val="0037652E"/>
    <w:rsid w:val="003767FB"/>
    <w:rsid w:val="003769E5"/>
    <w:rsid w:val="00376B15"/>
    <w:rsid w:val="00376C48"/>
    <w:rsid w:val="00376EA2"/>
    <w:rsid w:val="00376FCB"/>
    <w:rsid w:val="003775CE"/>
    <w:rsid w:val="00377A8A"/>
    <w:rsid w:val="00377A9C"/>
    <w:rsid w:val="00377B7D"/>
    <w:rsid w:val="00377BD5"/>
    <w:rsid w:val="00377C71"/>
    <w:rsid w:val="003801DD"/>
    <w:rsid w:val="0038032D"/>
    <w:rsid w:val="00380524"/>
    <w:rsid w:val="00380815"/>
    <w:rsid w:val="00380907"/>
    <w:rsid w:val="00380C3D"/>
    <w:rsid w:val="00381800"/>
    <w:rsid w:val="0038249B"/>
    <w:rsid w:val="00382AE2"/>
    <w:rsid w:val="00382AE7"/>
    <w:rsid w:val="003832BD"/>
    <w:rsid w:val="0038366E"/>
    <w:rsid w:val="00383E13"/>
    <w:rsid w:val="00383E29"/>
    <w:rsid w:val="00383EBC"/>
    <w:rsid w:val="00383F62"/>
    <w:rsid w:val="003840B0"/>
    <w:rsid w:val="00384553"/>
    <w:rsid w:val="00384583"/>
    <w:rsid w:val="00384AEC"/>
    <w:rsid w:val="00384D6A"/>
    <w:rsid w:val="00385149"/>
    <w:rsid w:val="003852A0"/>
    <w:rsid w:val="0038551D"/>
    <w:rsid w:val="003858CD"/>
    <w:rsid w:val="00385965"/>
    <w:rsid w:val="00385B73"/>
    <w:rsid w:val="00385D0E"/>
    <w:rsid w:val="00385D64"/>
    <w:rsid w:val="00385DB6"/>
    <w:rsid w:val="00386356"/>
    <w:rsid w:val="00386964"/>
    <w:rsid w:val="00386AEB"/>
    <w:rsid w:val="00386C78"/>
    <w:rsid w:val="00386D18"/>
    <w:rsid w:val="00387412"/>
    <w:rsid w:val="003874CD"/>
    <w:rsid w:val="00387627"/>
    <w:rsid w:val="00387872"/>
    <w:rsid w:val="00387AF7"/>
    <w:rsid w:val="00387F51"/>
    <w:rsid w:val="00390754"/>
    <w:rsid w:val="00390B42"/>
    <w:rsid w:val="00390C3F"/>
    <w:rsid w:val="00391213"/>
    <w:rsid w:val="0039134F"/>
    <w:rsid w:val="0039146F"/>
    <w:rsid w:val="00391B92"/>
    <w:rsid w:val="00391C55"/>
    <w:rsid w:val="0039240E"/>
    <w:rsid w:val="003926F0"/>
    <w:rsid w:val="00393321"/>
    <w:rsid w:val="00393897"/>
    <w:rsid w:val="003949C4"/>
    <w:rsid w:val="00394D5D"/>
    <w:rsid w:val="00395125"/>
    <w:rsid w:val="003951FE"/>
    <w:rsid w:val="003953BA"/>
    <w:rsid w:val="00395457"/>
    <w:rsid w:val="00395926"/>
    <w:rsid w:val="003964FB"/>
    <w:rsid w:val="00396537"/>
    <w:rsid w:val="00396C03"/>
    <w:rsid w:val="00396CCF"/>
    <w:rsid w:val="00396F09"/>
    <w:rsid w:val="00396F54"/>
    <w:rsid w:val="003974F3"/>
    <w:rsid w:val="0039764C"/>
    <w:rsid w:val="003979B7"/>
    <w:rsid w:val="00397BE3"/>
    <w:rsid w:val="00397F61"/>
    <w:rsid w:val="003A001D"/>
    <w:rsid w:val="003A0379"/>
    <w:rsid w:val="003A0665"/>
    <w:rsid w:val="003A0BDF"/>
    <w:rsid w:val="003A142E"/>
    <w:rsid w:val="003A16FC"/>
    <w:rsid w:val="003A1F1D"/>
    <w:rsid w:val="003A20FD"/>
    <w:rsid w:val="003A2274"/>
    <w:rsid w:val="003A23A1"/>
    <w:rsid w:val="003A23B8"/>
    <w:rsid w:val="003A2896"/>
    <w:rsid w:val="003A2C77"/>
    <w:rsid w:val="003A2E41"/>
    <w:rsid w:val="003A2F12"/>
    <w:rsid w:val="003A31A9"/>
    <w:rsid w:val="003A36A9"/>
    <w:rsid w:val="003A3CF5"/>
    <w:rsid w:val="003A3D27"/>
    <w:rsid w:val="003A477A"/>
    <w:rsid w:val="003A4954"/>
    <w:rsid w:val="003A4B55"/>
    <w:rsid w:val="003A50A9"/>
    <w:rsid w:val="003A51F3"/>
    <w:rsid w:val="003A527A"/>
    <w:rsid w:val="003A52A1"/>
    <w:rsid w:val="003A56A7"/>
    <w:rsid w:val="003A5966"/>
    <w:rsid w:val="003A5A27"/>
    <w:rsid w:val="003A5A98"/>
    <w:rsid w:val="003A5C96"/>
    <w:rsid w:val="003A5CDF"/>
    <w:rsid w:val="003A5F5F"/>
    <w:rsid w:val="003A6229"/>
    <w:rsid w:val="003A646B"/>
    <w:rsid w:val="003A65F8"/>
    <w:rsid w:val="003A6804"/>
    <w:rsid w:val="003A6A79"/>
    <w:rsid w:val="003A7AD5"/>
    <w:rsid w:val="003B0365"/>
    <w:rsid w:val="003B070A"/>
    <w:rsid w:val="003B0B40"/>
    <w:rsid w:val="003B0C0C"/>
    <w:rsid w:val="003B0F8C"/>
    <w:rsid w:val="003B1785"/>
    <w:rsid w:val="003B19AB"/>
    <w:rsid w:val="003B1A5E"/>
    <w:rsid w:val="003B1D76"/>
    <w:rsid w:val="003B1E6D"/>
    <w:rsid w:val="003B22C9"/>
    <w:rsid w:val="003B230D"/>
    <w:rsid w:val="003B23D4"/>
    <w:rsid w:val="003B27D5"/>
    <w:rsid w:val="003B29D7"/>
    <w:rsid w:val="003B2FD6"/>
    <w:rsid w:val="003B33BA"/>
    <w:rsid w:val="003B3A0A"/>
    <w:rsid w:val="003B4513"/>
    <w:rsid w:val="003B47C8"/>
    <w:rsid w:val="003B4CDD"/>
    <w:rsid w:val="003B4F85"/>
    <w:rsid w:val="003B5045"/>
    <w:rsid w:val="003B5048"/>
    <w:rsid w:val="003B50AC"/>
    <w:rsid w:val="003B52D0"/>
    <w:rsid w:val="003B54A7"/>
    <w:rsid w:val="003B59E2"/>
    <w:rsid w:val="003B600D"/>
    <w:rsid w:val="003B61ED"/>
    <w:rsid w:val="003B64AE"/>
    <w:rsid w:val="003B68A3"/>
    <w:rsid w:val="003B6B2E"/>
    <w:rsid w:val="003B6FAB"/>
    <w:rsid w:val="003B72B7"/>
    <w:rsid w:val="003B736F"/>
    <w:rsid w:val="003B7595"/>
    <w:rsid w:val="003B775B"/>
    <w:rsid w:val="003B77CC"/>
    <w:rsid w:val="003B79DB"/>
    <w:rsid w:val="003B7B1F"/>
    <w:rsid w:val="003B7BF4"/>
    <w:rsid w:val="003B7C9D"/>
    <w:rsid w:val="003B7CEF"/>
    <w:rsid w:val="003B7DA4"/>
    <w:rsid w:val="003C0271"/>
    <w:rsid w:val="003C05A7"/>
    <w:rsid w:val="003C0A06"/>
    <w:rsid w:val="003C11AA"/>
    <w:rsid w:val="003C141B"/>
    <w:rsid w:val="003C153B"/>
    <w:rsid w:val="003C1710"/>
    <w:rsid w:val="003C17A4"/>
    <w:rsid w:val="003C1AB9"/>
    <w:rsid w:val="003C29F4"/>
    <w:rsid w:val="003C2BF8"/>
    <w:rsid w:val="003C2C0D"/>
    <w:rsid w:val="003C2CC1"/>
    <w:rsid w:val="003C321E"/>
    <w:rsid w:val="003C3746"/>
    <w:rsid w:val="003C3834"/>
    <w:rsid w:val="003C3AAC"/>
    <w:rsid w:val="003C3ABD"/>
    <w:rsid w:val="003C3CCB"/>
    <w:rsid w:val="003C3E3C"/>
    <w:rsid w:val="003C40F5"/>
    <w:rsid w:val="003C413B"/>
    <w:rsid w:val="003C420F"/>
    <w:rsid w:val="003C422F"/>
    <w:rsid w:val="003C4476"/>
    <w:rsid w:val="003C486D"/>
    <w:rsid w:val="003C486E"/>
    <w:rsid w:val="003C4BE0"/>
    <w:rsid w:val="003C5158"/>
    <w:rsid w:val="003C594F"/>
    <w:rsid w:val="003C5B19"/>
    <w:rsid w:val="003C5D7D"/>
    <w:rsid w:val="003C5FB2"/>
    <w:rsid w:val="003C604C"/>
    <w:rsid w:val="003C60D0"/>
    <w:rsid w:val="003C699E"/>
    <w:rsid w:val="003C7196"/>
    <w:rsid w:val="003C7903"/>
    <w:rsid w:val="003C7B72"/>
    <w:rsid w:val="003C7F58"/>
    <w:rsid w:val="003D01FF"/>
    <w:rsid w:val="003D021E"/>
    <w:rsid w:val="003D0418"/>
    <w:rsid w:val="003D059B"/>
    <w:rsid w:val="003D0A63"/>
    <w:rsid w:val="003D0D77"/>
    <w:rsid w:val="003D16B0"/>
    <w:rsid w:val="003D207A"/>
    <w:rsid w:val="003D2180"/>
    <w:rsid w:val="003D2243"/>
    <w:rsid w:val="003D271A"/>
    <w:rsid w:val="003D32E7"/>
    <w:rsid w:val="003D36BA"/>
    <w:rsid w:val="003D392F"/>
    <w:rsid w:val="003D3CA3"/>
    <w:rsid w:val="003D3CAD"/>
    <w:rsid w:val="003D424E"/>
    <w:rsid w:val="003D5237"/>
    <w:rsid w:val="003D545B"/>
    <w:rsid w:val="003D5610"/>
    <w:rsid w:val="003D590A"/>
    <w:rsid w:val="003D5D17"/>
    <w:rsid w:val="003D5F1E"/>
    <w:rsid w:val="003D62DB"/>
    <w:rsid w:val="003D6AB8"/>
    <w:rsid w:val="003D6B62"/>
    <w:rsid w:val="003D6C6D"/>
    <w:rsid w:val="003D71F4"/>
    <w:rsid w:val="003D78B7"/>
    <w:rsid w:val="003D795A"/>
    <w:rsid w:val="003D7A26"/>
    <w:rsid w:val="003D7AE9"/>
    <w:rsid w:val="003E00C0"/>
    <w:rsid w:val="003E019D"/>
    <w:rsid w:val="003E04B1"/>
    <w:rsid w:val="003E0A2D"/>
    <w:rsid w:val="003E0AAF"/>
    <w:rsid w:val="003E1403"/>
    <w:rsid w:val="003E14A2"/>
    <w:rsid w:val="003E1570"/>
    <w:rsid w:val="003E1ADB"/>
    <w:rsid w:val="003E1B2D"/>
    <w:rsid w:val="003E1B79"/>
    <w:rsid w:val="003E21A2"/>
    <w:rsid w:val="003E2205"/>
    <w:rsid w:val="003E24BF"/>
    <w:rsid w:val="003E25D4"/>
    <w:rsid w:val="003E2A40"/>
    <w:rsid w:val="003E2CBE"/>
    <w:rsid w:val="003E35AE"/>
    <w:rsid w:val="003E3AB7"/>
    <w:rsid w:val="003E3FC1"/>
    <w:rsid w:val="003E427B"/>
    <w:rsid w:val="003E433B"/>
    <w:rsid w:val="003E49BA"/>
    <w:rsid w:val="003E51C0"/>
    <w:rsid w:val="003E522B"/>
    <w:rsid w:val="003E601D"/>
    <w:rsid w:val="003E6501"/>
    <w:rsid w:val="003E6B0A"/>
    <w:rsid w:val="003E6B42"/>
    <w:rsid w:val="003E738F"/>
    <w:rsid w:val="003E73C7"/>
    <w:rsid w:val="003E7401"/>
    <w:rsid w:val="003E7800"/>
    <w:rsid w:val="003E7D75"/>
    <w:rsid w:val="003E7EC2"/>
    <w:rsid w:val="003F00FB"/>
    <w:rsid w:val="003F047B"/>
    <w:rsid w:val="003F0A8A"/>
    <w:rsid w:val="003F0C4C"/>
    <w:rsid w:val="003F0F57"/>
    <w:rsid w:val="003F177A"/>
    <w:rsid w:val="003F1A95"/>
    <w:rsid w:val="003F201B"/>
    <w:rsid w:val="003F2050"/>
    <w:rsid w:val="003F2DA6"/>
    <w:rsid w:val="003F3041"/>
    <w:rsid w:val="003F33B5"/>
    <w:rsid w:val="003F3463"/>
    <w:rsid w:val="003F35C1"/>
    <w:rsid w:val="003F398A"/>
    <w:rsid w:val="003F3D86"/>
    <w:rsid w:val="003F3E92"/>
    <w:rsid w:val="003F448A"/>
    <w:rsid w:val="003F4AA4"/>
    <w:rsid w:val="003F4B53"/>
    <w:rsid w:val="003F4F5C"/>
    <w:rsid w:val="003F5259"/>
    <w:rsid w:val="003F526F"/>
    <w:rsid w:val="003F5389"/>
    <w:rsid w:val="003F5781"/>
    <w:rsid w:val="003F5FCB"/>
    <w:rsid w:val="003F6759"/>
    <w:rsid w:val="003F68C4"/>
    <w:rsid w:val="003F6A91"/>
    <w:rsid w:val="003F7078"/>
    <w:rsid w:val="003F7378"/>
    <w:rsid w:val="003F73A1"/>
    <w:rsid w:val="003F7832"/>
    <w:rsid w:val="003F7865"/>
    <w:rsid w:val="003F7AF6"/>
    <w:rsid w:val="00400A20"/>
    <w:rsid w:val="004017AE"/>
    <w:rsid w:val="00401EEF"/>
    <w:rsid w:val="004020BF"/>
    <w:rsid w:val="00402BEA"/>
    <w:rsid w:val="00403CCF"/>
    <w:rsid w:val="00403DC4"/>
    <w:rsid w:val="0040460A"/>
    <w:rsid w:val="004046E8"/>
    <w:rsid w:val="00404B5F"/>
    <w:rsid w:val="00404CDB"/>
    <w:rsid w:val="00404EE0"/>
    <w:rsid w:val="00404FCE"/>
    <w:rsid w:val="00405444"/>
    <w:rsid w:val="004057B1"/>
    <w:rsid w:val="00405856"/>
    <w:rsid w:val="00405FA5"/>
    <w:rsid w:val="00405FEC"/>
    <w:rsid w:val="00406266"/>
    <w:rsid w:val="004062F2"/>
    <w:rsid w:val="00406469"/>
    <w:rsid w:val="0040683D"/>
    <w:rsid w:val="004069BD"/>
    <w:rsid w:val="0040730B"/>
    <w:rsid w:val="004073BA"/>
    <w:rsid w:val="00407476"/>
    <w:rsid w:val="004075DF"/>
    <w:rsid w:val="004078A0"/>
    <w:rsid w:val="00407E83"/>
    <w:rsid w:val="004102A1"/>
    <w:rsid w:val="0041087A"/>
    <w:rsid w:val="00410EC5"/>
    <w:rsid w:val="00411205"/>
    <w:rsid w:val="0041137E"/>
    <w:rsid w:val="0041148E"/>
    <w:rsid w:val="00411B1D"/>
    <w:rsid w:val="00411DAC"/>
    <w:rsid w:val="004120A2"/>
    <w:rsid w:val="004121E5"/>
    <w:rsid w:val="00412249"/>
    <w:rsid w:val="00412B14"/>
    <w:rsid w:val="00412FB7"/>
    <w:rsid w:val="004131F0"/>
    <w:rsid w:val="00413212"/>
    <w:rsid w:val="0041378A"/>
    <w:rsid w:val="00413903"/>
    <w:rsid w:val="00413BFD"/>
    <w:rsid w:val="00413DFD"/>
    <w:rsid w:val="00413F41"/>
    <w:rsid w:val="00414769"/>
    <w:rsid w:val="00414900"/>
    <w:rsid w:val="00414DE2"/>
    <w:rsid w:val="004150A8"/>
    <w:rsid w:val="00415278"/>
    <w:rsid w:val="00415BF9"/>
    <w:rsid w:val="004164CF"/>
    <w:rsid w:val="004165E2"/>
    <w:rsid w:val="00416DB5"/>
    <w:rsid w:val="00416DFC"/>
    <w:rsid w:val="0041768D"/>
    <w:rsid w:val="004176CF"/>
    <w:rsid w:val="00417995"/>
    <w:rsid w:val="004179B5"/>
    <w:rsid w:val="00417C6F"/>
    <w:rsid w:val="004205C0"/>
    <w:rsid w:val="004205D6"/>
    <w:rsid w:val="00420C2A"/>
    <w:rsid w:val="00420CCE"/>
    <w:rsid w:val="00420D1B"/>
    <w:rsid w:val="00421C22"/>
    <w:rsid w:val="00421F08"/>
    <w:rsid w:val="00422B18"/>
    <w:rsid w:val="00422C21"/>
    <w:rsid w:val="00422FC7"/>
    <w:rsid w:val="004233CE"/>
    <w:rsid w:val="00423885"/>
    <w:rsid w:val="00423BA7"/>
    <w:rsid w:val="00423C38"/>
    <w:rsid w:val="00424002"/>
    <w:rsid w:val="00424FB9"/>
    <w:rsid w:val="0042515C"/>
    <w:rsid w:val="0042698D"/>
    <w:rsid w:val="00426CD5"/>
    <w:rsid w:val="00426DDC"/>
    <w:rsid w:val="00426E50"/>
    <w:rsid w:val="00426E6B"/>
    <w:rsid w:val="0042700B"/>
    <w:rsid w:val="00427098"/>
    <w:rsid w:val="00427A58"/>
    <w:rsid w:val="00427BB3"/>
    <w:rsid w:val="004300A9"/>
    <w:rsid w:val="00430D95"/>
    <w:rsid w:val="00430DAA"/>
    <w:rsid w:val="00431128"/>
    <w:rsid w:val="0043175A"/>
    <w:rsid w:val="004317F5"/>
    <w:rsid w:val="004317FD"/>
    <w:rsid w:val="00431AD0"/>
    <w:rsid w:val="00431CB5"/>
    <w:rsid w:val="00431D69"/>
    <w:rsid w:val="00431EB7"/>
    <w:rsid w:val="004324C3"/>
    <w:rsid w:val="00432F26"/>
    <w:rsid w:val="00432F4D"/>
    <w:rsid w:val="00432F53"/>
    <w:rsid w:val="0043300D"/>
    <w:rsid w:val="004331D6"/>
    <w:rsid w:val="00433886"/>
    <w:rsid w:val="00433901"/>
    <w:rsid w:val="00433B02"/>
    <w:rsid w:val="004344FB"/>
    <w:rsid w:val="004348B1"/>
    <w:rsid w:val="00434B3F"/>
    <w:rsid w:val="00434CAA"/>
    <w:rsid w:val="00434CC4"/>
    <w:rsid w:val="00434F26"/>
    <w:rsid w:val="0043526D"/>
    <w:rsid w:val="004359DB"/>
    <w:rsid w:val="00435C57"/>
    <w:rsid w:val="00435CEC"/>
    <w:rsid w:val="00435E09"/>
    <w:rsid w:val="00436261"/>
    <w:rsid w:val="00436386"/>
    <w:rsid w:val="00436440"/>
    <w:rsid w:val="0043702E"/>
    <w:rsid w:val="00437292"/>
    <w:rsid w:val="004372C6"/>
    <w:rsid w:val="0043732E"/>
    <w:rsid w:val="0043771D"/>
    <w:rsid w:val="004379A3"/>
    <w:rsid w:val="004405EE"/>
    <w:rsid w:val="00440D61"/>
    <w:rsid w:val="00440DB3"/>
    <w:rsid w:val="00441301"/>
    <w:rsid w:val="0044137F"/>
    <w:rsid w:val="004419F1"/>
    <w:rsid w:val="0044255A"/>
    <w:rsid w:val="00442986"/>
    <w:rsid w:val="004429E8"/>
    <w:rsid w:val="00442CAE"/>
    <w:rsid w:val="0044323E"/>
    <w:rsid w:val="00443488"/>
    <w:rsid w:val="004434B4"/>
    <w:rsid w:val="004434CF"/>
    <w:rsid w:val="004437A1"/>
    <w:rsid w:val="004438E0"/>
    <w:rsid w:val="004443D9"/>
    <w:rsid w:val="004443FB"/>
    <w:rsid w:val="00444485"/>
    <w:rsid w:val="00444818"/>
    <w:rsid w:val="004449FB"/>
    <w:rsid w:val="00444F85"/>
    <w:rsid w:val="0044505D"/>
    <w:rsid w:val="00445BAE"/>
    <w:rsid w:val="00445CD5"/>
    <w:rsid w:val="00445D18"/>
    <w:rsid w:val="004460EB"/>
    <w:rsid w:val="004461BA"/>
    <w:rsid w:val="00446309"/>
    <w:rsid w:val="0044725F"/>
    <w:rsid w:val="004479D4"/>
    <w:rsid w:val="004500DA"/>
    <w:rsid w:val="00450B08"/>
    <w:rsid w:val="00450DC3"/>
    <w:rsid w:val="00450F9D"/>
    <w:rsid w:val="004518CC"/>
    <w:rsid w:val="00452002"/>
    <w:rsid w:val="00452049"/>
    <w:rsid w:val="00452CF2"/>
    <w:rsid w:val="00452E32"/>
    <w:rsid w:val="00452E68"/>
    <w:rsid w:val="00452FAF"/>
    <w:rsid w:val="00453187"/>
    <w:rsid w:val="00453202"/>
    <w:rsid w:val="00453236"/>
    <w:rsid w:val="004536D1"/>
    <w:rsid w:val="004539AA"/>
    <w:rsid w:val="00453E5A"/>
    <w:rsid w:val="004543E8"/>
    <w:rsid w:val="00454482"/>
    <w:rsid w:val="004545D4"/>
    <w:rsid w:val="00454BA1"/>
    <w:rsid w:val="00455030"/>
    <w:rsid w:val="004552AC"/>
    <w:rsid w:val="004555BD"/>
    <w:rsid w:val="004555DB"/>
    <w:rsid w:val="00455705"/>
    <w:rsid w:val="00455722"/>
    <w:rsid w:val="00455A8A"/>
    <w:rsid w:val="00455C61"/>
    <w:rsid w:val="00456238"/>
    <w:rsid w:val="004565A2"/>
    <w:rsid w:val="00456E90"/>
    <w:rsid w:val="0045705D"/>
    <w:rsid w:val="00457279"/>
    <w:rsid w:val="004577F3"/>
    <w:rsid w:val="004579CC"/>
    <w:rsid w:val="00460019"/>
    <w:rsid w:val="0046061E"/>
    <w:rsid w:val="00460759"/>
    <w:rsid w:val="00460B10"/>
    <w:rsid w:val="00460BA4"/>
    <w:rsid w:val="00460CBB"/>
    <w:rsid w:val="00460CDC"/>
    <w:rsid w:val="004614BA"/>
    <w:rsid w:val="00461AE5"/>
    <w:rsid w:val="00462353"/>
    <w:rsid w:val="004626D4"/>
    <w:rsid w:val="00462894"/>
    <w:rsid w:val="004628B4"/>
    <w:rsid w:val="00462FBE"/>
    <w:rsid w:val="0046337C"/>
    <w:rsid w:val="0046366A"/>
    <w:rsid w:val="00463CB2"/>
    <w:rsid w:val="00463F7F"/>
    <w:rsid w:val="004641C3"/>
    <w:rsid w:val="00464253"/>
    <w:rsid w:val="0046436A"/>
    <w:rsid w:val="00464538"/>
    <w:rsid w:val="00464AD5"/>
    <w:rsid w:val="004659CC"/>
    <w:rsid w:val="00465B5B"/>
    <w:rsid w:val="00466105"/>
    <w:rsid w:val="00466137"/>
    <w:rsid w:val="00466DA2"/>
    <w:rsid w:val="004670D4"/>
    <w:rsid w:val="00467248"/>
    <w:rsid w:val="0046750E"/>
    <w:rsid w:val="0046769B"/>
    <w:rsid w:val="0047042B"/>
    <w:rsid w:val="004704F8"/>
    <w:rsid w:val="0047066A"/>
    <w:rsid w:val="004709AA"/>
    <w:rsid w:val="00470E86"/>
    <w:rsid w:val="004712EC"/>
    <w:rsid w:val="00471588"/>
    <w:rsid w:val="00471AF4"/>
    <w:rsid w:val="004720D7"/>
    <w:rsid w:val="00472B58"/>
    <w:rsid w:val="004730FD"/>
    <w:rsid w:val="00473393"/>
    <w:rsid w:val="00473558"/>
    <w:rsid w:val="00473B15"/>
    <w:rsid w:val="00473F7B"/>
    <w:rsid w:val="00474268"/>
    <w:rsid w:val="0047444C"/>
    <w:rsid w:val="004744FC"/>
    <w:rsid w:val="0047494F"/>
    <w:rsid w:val="00474A6B"/>
    <w:rsid w:val="00474D97"/>
    <w:rsid w:val="00474DC5"/>
    <w:rsid w:val="00474DE6"/>
    <w:rsid w:val="00474E30"/>
    <w:rsid w:val="004751D4"/>
    <w:rsid w:val="00475255"/>
    <w:rsid w:val="004752D9"/>
    <w:rsid w:val="0047548B"/>
    <w:rsid w:val="0047568B"/>
    <w:rsid w:val="004756B1"/>
    <w:rsid w:val="004756B5"/>
    <w:rsid w:val="0047578D"/>
    <w:rsid w:val="00475E12"/>
    <w:rsid w:val="00475F91"/>
    <w:rsid w:val="0047632C"/>
    <w:rsid w:val="0047632E"/>
    <w:rsid w:val="00476D43"/>
    <w:rsid w:val="004770B3"/>
    <w:rsid w:val="004770CD"/>
    <w:rsid w:val="00477474"/>
    <w:rsid w:val="004777C5"/>
    <w:rsid w:val="00477ADA"/>
    <w:rsid w:val="00477BC2"/>
    <w:rsid w:val="004801D8"/>
    <w:rsid w:val="0048052A"/>
    <w:rsid w:val="0048080C"/>
    <w:rsid w:val="00480B6B"/>
    <w:rsid w:val="00480D81"/>
    <w:rsid w:val="0048142F"/>
    <w:rsid w:val="00481745"/>
    <w:rsid w:val="0048198B"/>
    <w:rsid w:val="004819D3"/>
    <w:rsid w:val="00481C07"/>
    <w:rsid w:val="0048278E"/>
    <w:rsid w:val="00482909"/>
    <w:rsid w:val="00482D04"/>
    <w:rsid w:val="00482FC8"/>
    <w:rsid w:val="004832D3"/>
    <w:rsid w:val="004835D0"/>
    <w:rsid w:val="0048369C"/>
    <w:rsid w:val="004836F9"/>
    <w:rsid w:val="00483C42"/>
    <w:rsid w:val="00484625"/>
    <w:rsid w:val="00484809"/>
    <w:rsid w:val="004848A6"/>
    <w:rsid w:val="00484CA8"/>
    <w:rsid w:val="0048523C"/>
    <w:rsid w:val="0048540E"/>
    <w:rsid w:val="00485859"/>
    <w:rsid w:val="0048596A"/>
    <w:rsid w:val="00485C37"/>
    <w:rsid w:val="00485C9D"/>
    <w:rsid w:val="0048634B"/>
    <w:rsid w:val="0048665B"/>
    <w:rsid w:val="0048670E"/>
    <w:rsid w:val="0048686F"/>
    <w:rsid w:val="00486F19"/>
    <w:rsid w:val="004872AF"/>
    <w:rsid w:val="004876BB"/>
    <w:rsid w:val="00487787"/>
    <w:rsid w:val="004879E9"/>
    <w:rsid w:val="00487C21"/>
    <w:rsid w:val="0049027C"/>
    <w:rsid w:val="00490701"/>
    <w:rsid w:val="00490CD5"/>
    <w:rsid w:val="00490EB7"/>
    <w:rsid w:val="004919B4"/>
    <w:rsid w:val="00491A66"/>
    <w:rsid w:val="004922C7"/>
    <w:rsid w:val="004923A0"/>
    <w:rsid w:val="00492414"/>
    <w:rsid w:val="0049258D"/>
    <w:rsid w:val="00492632"/>
    <w:rsid w:val="004926D6"/>
    <w:rsid w:val="0049271F"/>
    <w:rsid w:val="00492CCB"/>
    <w:rsid w:val="00492DD8"/>
    <w:rsid w:val="00492E4B"/>
    <w:rsid w:val="004932C2"/>
    <w:rsid w:val="004932D7"/>
    <w:rsid w:val="004932ED"/>
    <w:rsid w:val="00493367"/>
    <w:rsid w:val="004934CD"/>
    <w:rsid w:val="004937A3"/>
    <w:rsid w:val="0049393D"/>
    <w:rsid w:val="00493BD3"/>
    <w:rsid w:val="0049479F"/>
    <w:rsid w:val="004949DF"/>
    <w:rsid w:val="00494A73"/>
    <w:rsid w:val="00494CCA"/>
    <w:rsid w:val="004955BA"/>
    <w:rsid w:val="0049585A"/>
    <w:rsid w:val="00495A88"/>
    <w:rsid w:val="00495D38"/>
    <w:rsid w:val="00496925"/>
    <w:rsid w:val="00496DEB"/>
    <w:rsid w:val="00497289"/>
    <w:rsid w:val="00497531"/>
    <w:rsid w:val="00497731"/>
    <w:rsid w:val="004978E7"/>
    <w:rsid w:val="00497A24"/>
    <w:rsid w:val="00497AE2"/>
    <w:rsid w:val="00497AF4"/>
    <w:rsid w:val="00497AFB"/>
    <w:rsid w:val="004A003A"/>
    <w:rsid w:val="004A01B2"/>
    <w:rsid w:val="004A033F"/>
    <w:rsid w:val="004A0421"/>
    <w:rsid w:val="004A078F"/>
    <w:rsid w:val="004A093D"/>
    <w:rsid w:val="004A0BED"/>
    <w:rsid w:val="004A0D16"/>
    <w:rsid w:val="004A0FAB"/>
    <w:rsid w:val="004A13C6"/>
    <w:rsid w:val="004A1528"/>
    <w:rsid w:val="004A2467"/>
    <w:rsid w:val="004A30FA"/>
    <w:rsid w:val="004A34DE"/>
    <w:rsid w:val="004A34E1"/>
    <w:rsid w:val="004A3687"/>
    <w:rsid w:val="004A36E3"/>
    <w:rsid w:val="004A37B2"/>
    <w:rsid w:val="004A3F42"/>
    <w:rsid w:val="004A4878"/>
    <w:rsid w:val="004A4BB4"/>
    <w:rsid w:val="004A4CE7"/>
    <w:rsid w:val="004A4DF7"/>
    <w:rsid w:val="004A4ED9"/>
    <w:rsid w:val="004A5B8D"/>
    <w:rsid w:val="004A5DF9"/>
    <w:rsid w:val="004A634A"/>
    <w:rsid w:val="004A68BE"/>
    <w:rsid w:val="004A6948"/>
    <w:rsid w:val="004A6B75"/>
    <w:rsid w:val="004A6C65"/>
    <w:rsid w:val="004A6C97"/>
    <w:rsid w:val="004A73B3"/>
    <w:rsid w:val="004A7A2E"/>
    <w:rsid w:val="004A7EC5"/>
    <w:rsid w:val="004B004C"/>
    <w:rsid w:val="004B0448"/>
    <w:rsid w:val="004B0533"/>
    <w:rsid w:val="004B0920"/>
    <w:rsid w:val="004B0B86"/>
    <w:rsid w:val="004B0E29"/>
    <w:rsid w:val="004B12AB"/>
    <w:rsid w:val="004B19E0"/>
    <w:rsid w:val="004B1B69"/>
    <w:rsid w:val="004B1CAC"/>
    <w:rsid w:val="004B1FE6"/>
    <w:rsid w:val="004B25CB"/>
    <w:rsid w:val="004B2899"/>
    <w:rsid w:val="004B2AF0"/>
    <w:rsid w:val="004B2C6D"/>
    <w:rsid w:val="004B2F0A"/>
    <w:rsid w:val="004B36B2"/>
    <w:rsid w:val="004B3857"/>
    <w:rsid w:val="004B3939"/>
    <w:rsid w:val="004B43B8"/>
    <w:rsid w:val="004B4603"/>
    <w:rsid w:val="004B4E2A"/>
    <w:rsid w:val="004B4FA6"/>
    <w:rsid w:val="004B4FA7"/>
    <w:rsid w:val="004B5DCB"/>
    <w:rsid w:val="004B5EAD"/>
    <w:rsid w:val="004B636A"/>
    <w:rsid w:val="004B658D"/>
    <w:rsid w:val="004B66BD"/>
    <w:rsid w:val="004B6B72"/>
    <w:rsid w:val="004B6FEE"/>
    <w:rsid w:val="004B7335"/>
    <w:rsid w:val="004B73E6"/>
    <w:rsid w:val="004B745B"/>
    <w:rsid w:val="004B787F"/>
    <w:rsid w:val="004B7DA7"/>
    <w:rsid w:val="004C014E"/>
    <w:rsid w:val="004C038F"/>
    <w:rsid w:val="004C057F"/>
    <w:rsid w:val="004C1049"/>
    <w:rsid w:val="004C11F8"/>
    <w:rsid w:val="004C1320"/>
    <w:rsid w:val="004C14D2"/>
    <w:rsid w:val="004C24FE"/>
    <w:rsid w:val="004C2AB9"/>
    <w:rsid w:val="004C33F8"/>
    <w:rsid w:val="004C39EB"/>
    <w:rsid w:val="004C3B64"/>
    <w:rsid w:val="004C3F8B"/>
    <w:rsid w:val="004C411D"/>
    <w:rsid w:val="004C41B5"/>
    <w:rsid w:val="004C44A0"/>
    <w:rsid w:val="004C4D9A"/>
    <w:rsid w:val="004C4E25"/>
    <w:rsid w:val="004C509D"/>
    <w:rsid w:val="004C5297"/>
    <w:rsid w:val="004C5629"/>
    <w:rsid w:val="004C58A3"/>
    <w:rsid w:val="004C593D"/>
    <w:rsid w:val="004C5AC4"/>
    <w:rsid w:val="004C6153"/>
    <w:rsid w:val="004C6277"/>
    <w:rsid w:val="004C6426"/>
    <w:rsid w:val="004C66F5"/>
    <w:rsid w:val="004C6A10"/>
    <w:rsid w:val="004C6D04"/>
    <w:rsid w:val="004C6EFE"/>
    <w:rsid w:val="004C760D"/>
    <w:rsid w:val="004C78BB"/>
    <w:rsid w:val="004C7A8D"/>
    <w:rsid w:val="004C7B39"/>
    <w:rsid w:val="004D0EB5"/>
    <w:rsid w:val="004D0F80"/>
    <w:rsid w:val="004D11D3"/>
    <w:rsid w:val="004D23D5"/>
    <w:rsid w:val="004D245D"/>
    <w:rsid w:val="004D2626"/>
    <w:rsid w:val="004D2FD7"/>
    <w:rsid w:val="004D3006"/>
    <w:rsid w:val="004D380A"/>
    <w:rsid w:val="004D3AD6"/>
    <w:rsid w:val="004D3EBB"/>
    <w:rsid w:val="004D41A2"/>
    <w:rsid w:val="004D4286"/>
    <w:rsid w:val="004D4479"/>
    <w:rsid w:val="004D4B8C"/>
    <w:rsid w:val="004D4C39"/>
    <w:rsid w:val="004D5EA5"/>
    <w:rsid w:val="004D639A"/>
    <w:rsid w:val="004D693B"/>
    <w:rsid w:val="004D70B5"/>
    <w:rsid w:val="004D73D4"/>
    <w:rsid w:val="004D76AC"/>
    <w:rsid w:val="004D77A9"/>
    <w:rsid w:val="004D7F0B"/>
    <w:rsid w:val="004E04C8"/>
    <w:rsid w:val="004E1131"/>
    <w:rsid w:val="004E114F"/>
    <w:rsid w:val="004E14A0"/>
    <w:rsid w:val="004E188D"/>
    <w:rsid w:val="004E1A60"/>
    <w:rsid w:val="004E1C04"/>
    <w:rsid w:val="004E1E90"/>
    <w:rsid w:val="004E203A"/>
    <w:rsid w:val="004E23CF"/>
    <w:rsid w:val="004E2670"/>
    <w:rsid w:val="004E2E80"/>
    <w:rsid w:val="004E32F2"/>
    <w:rsid w:val="004E371E"/>
    <w:rsid w:val="004E3F30"/>
    <w:rsid w:val="004E3F51"/>
    <w:rsid w:val="004E44E7"/>
    <w:rsid w:val="004E45E0"/>
    <w:rsid w:val="004E52B4"/>
    <w:rsid w:val="004E57A4"/>
    <w:rsid w:val="004E586A"/>
    <w:rsid w:val="004E5BA5"/>
    <w:rsid w:val="004E5F1C"/>
    <w:rsid w:val="004E5F4F"/>
    <w:rsid w:val="004E6026"/>
    <w:rsid w:val="004E60B9"/>
    <w:rsid w:val="004E64DF"/>
    <w:rsid w:val="004E675C"/>
    <w:rsid w:val="004E6F32"/>
    <w:rsid w:val="004E7769"/>
    <w:rsid w:val="004F0127"/>
    <w:rsid w:val="004F08CF"/>
    <w:rsid w:val="004F196E"/>
    <w:rsid w:val="004F1FBB"/>
    <w:rsid w:val="004F22DE"/>
    <w:rsid w:val="004F2632"/>
    <w:rsid w:val="004F2699"/>
    <w:rsid w:val="004F29C0"/>
    <w:rsid w:val="004F2E40"/>
    <w:rsid w:val="004F2E6A"/>
    <w:rsid w:val="004F3201"/>
    <w:rsid w:val="004F32CF"/>
    <w:rsid w:val="004F3BEA"/>
    <w:rsid w:val="004F3C07"/>
    <w:rsid w:val="004F3C7B"/>
    <w:rsid w:val="004F3E25"/>
    <w:rsid w:val="004F4170"/>
    <w:rsid w:val="004F41B7"/>
    <w:rsid w:val="004F42F7"/>
    <w:rsid w:val="004F470F"/>
    <w:rsid w:val="004F481D"/>
    <w:rsid w:val="004F49CF"/>
    <w:rsid w:val="004F4B4A"/>
    <w:rsid w:val="004F5B65"/>
    <w:rsid w:val="004F5E39"/>
    <w:rsid w:val="004F681B"/>
    <w:rsid w:val="004F6B65"/>
    <w:rsid w:val="004F6F6F"/>
    <w:rsid w:val="004F727E"/>
    <w:rsid w:val="004F7473"/>
    <w:rsid w:val="004F7D41"/>
    <w:rsid w:val="004F7F70"/>
    <w:rsid w:val="005001C5"/>
    <w:rsid w:val="0050032D"/>
    <w:rsid w:val="0050045F"/>
    <w:rsid w:val="0050058D"/>
    <w:rsid w:val="00500622"/>
    <w:rsid w:val="0050074D"/>
    <w:rsid w:val="00500B7D"/>
    <w:rsid w:val="0050116C"/>
    <w:rsid w:val="00501418"/>
    <w:rsid w:val="0050160D"/>
    <w:rsid w:val="005016E9"/>
    <w:rsid w:val="00501949"/>
    <w:rsid w:val="005022EE"/>
    <w:rsid w:val="005024DB"/>
    <w:rsid w:val="0050275E"/>
    <w:rsid w:val="00502A23"/>
    <w:rsid w:val="00503003"/>
    <w:rsid w:val="00503355"/>
    <w:rsid w:val="0050342F"/>
    <w:rsid w:val="005035CD"/>
    <w:rsid w:val="00503FDB"/>
    <w:rsid w:val="00504785"/>
    <w:rsid w:val="005051FE"/>
    <w:rsid w:val="00505407"/>
    <w:rsid w:val="00505560"/>
    <w:rsid w:val="00505897"/>
    <w:rsid w:val="005066F7"/>
    <w:rsid w:val="00506AC8"/>
    <w:rsid w:val="00506B69"/>
    <w:rsid w:val="00506FDC"/>
    <w:rsid w:val="005076C2"/>
    <w:rsid w:val="00507AD5"/>
    <w:rsid w:val="00507EFF"/>
    <w:rsid w:val="005104A6"/>
    <w:rsid w:val="005105E0"/>
    <w:rsid w:val="005106C5"/>
    <w:rsid w:val="005107F9"/>
    <w:rsid w:val="00510A9D"/>
    <w:rsid w:val="00510C80"/>
    <w:rsid w:val="0051104C"/>
    <w:rsid w:val="0051108F"/>
    <w:rsid w:val="0051115A"/>
    <w:rsid w:val="005113CA"/>
    <w:rsid w:val="005115A9"/>
    <w:rsid w:val="00511D1C"/>
    <w:rsid w:val="00511D5C"/>
    <w:rsid w:val="00511E3B"/>
    <w:rsid w:val="00511EDB"/>
    <w:rsid w:val="005123B1"/>
    <w:rsid w:val="005123B6"/>
    <w:rsid w:val="00512BD8"/>
    <w:rsid w:val="00512F11"/>
    <w:rsid w:val="00512F65"/>
    <w:rsid w:val="00513259"/>
    <w:rsid w:val="00513293"/>
    <w:rsid w:val="0051351C"/>
    <w:rsid w:val="00514113"/>
    <w:rsid w:val="0051414B"/>
    <w:rsid w:val="00514AE2"/>
    <w:rsid w:val="00514C1F"/>
    <w:rsid w:val="00515214"/>
    <w:rsid w:val="0051576D"/>
    <w:rsid w:val="005159ED"/>
    <w:rsid w:val="005159F6"/>
    <w:rsid w:val="00515F81"/>
    <w:rsid w:val="00516575"/>
    <w:rsid w:val="0051671E"/>
    <w:rsid w:val="00516B3E"/>
    <w:rsid w:val="005176FE"/>
    <w:rsid w:val="00517863"/>
    <w:rsid w:val="005179EC"/>
    <w:rsid w:val="00520383"/>
    <w:rsid w:val="00520630"/>
    <w:rsid w:val="005208DE"/>
    <w:rsid w:val="00520DEA"/>
    <w:rsid w:val="00520F49"/>
    <w:rsid w:val="00521243"/>
    <w:rsid w:val="00521610"/>
    <w:rsid w:val="0052174E"/>
    <w:rsid w:val="0052221A"/>
    <w:rsid w:val="00522402"/>
    <w:rsid w:val="005224C9"/>
    <w:rsid w:val="005227A5"/>
    <w:rsid w:val="00523139"/>
    <w:rsid w:val="005234AB"/>
    <w:rsid w:val="00524354"/>
    <w:rsid w:val="00524726"/>
    <w:rsid w:val="00524E7A"/>
    <w:rsid w:val="00525041"/>
    <w:rsid w:val="005254E3"/>
    <w:rsid w:val="005255A2"/>
    <w:rsid w:val="005261A1"/>
    <w:rsid w:val="005261BB"/>
    <w:rsid w:val="00526487"/>
    <w:rsid w:val="005270F3"/>
    <w:rsid w:val="0052742B"/>
    <w:rsid w:val="005276A6"/>
    <w:rsid w:val="005278D3"/>
    <w:rsid w:val="0053028A"/>
    <w:rsid w:val="0053047E"/>
    <w:rsid w:val="00530ACC"/>
    <w:rsid w:val="005316C0"/>
    <w:rsid w:val="00531789"/>
    <w:rsid w:val="00531A8E"/>
    <w:rsid w:val="0053211C"/>
    <w:rsid w:val="00532685"/>
    <w:rsid w:val="005326B6"/>
    <w:rsid w:val="0053288A"/>
    <w:rsid w:val="00532CD1"/>
    <w:rsid w:val="0053336C"/>
    <w:rsid w:val="0053360D"/>
    <w:rsid w:val="0053377D"/>
    <w:rsid w:val="0053390D"/>
    <w:rsid w:val="005340C8"/>
    <w:rsid w:val="005341DD"/>
    <w:rsid w:val="005342EC"/>
    <w:rsid w:val="00534E3E"/>
    <w:rsid w:val="00535098"/>
    <w:rsid w:val="00535267"/>
    <w:rsid w:val="005352A0"/>
    <w:rsid w:val="0053540F"/>
    <w:rsid w:val="005355A0"/>
    <w:rsid w:val="0053585D"/>
    <w:rsid w:val="0053595D"/>
    <w:rsid w:val="00535EA7"/>
    <w:rsid w:val="00536384"/>
    <w:rsid w:val="00536753"/>
    <w:rsid w:val="005367C5"/>
    <w:rsid w:val="00536B5C"/>
    <w:rsid w:val="005372A8"/>
    <w:rsid w:val="005374CB"/>
    <w:rsid w:val="00537732"/>
    <w:rsid w:val="00537875"/>
    <w:rsid w:val="00540343"/>
    <w:rsid w:val="00540579"/>
    <w:rsid w:val="00540D43"/>
    <w:rsid w:val="00540FBF"/>
    <w:rsid w:val="005410AC"/>
    <w:rsid w:val="0054137C"/>
    <w:rsid w:val="00541744"/>
    <w:rsid w:val="0054191E"/>
    <w:rsid w:val="00541C40"/>
    <w:rsid w:val="00541D61"/>
    <w:rsid w:val="00541EE8"/>
    <w:rsid w:val="005421D8"/>
    <w:rsid w:val="0054221C"/>
    <w:rsid w:val="00542810"/>
    <w:rsid w:val="00542A3A"/>
    <w:rsid w:val="00543134"/>
    <w:rsid w:val="0054363C"/>
    <w:rsid w:val="0054388C"/>
    <w:rsid w:val="00543ECD"/>
    <w:rsid w:val="005444B0"/>
    <w:rsid w:val="00544A77"/>
    <w:rsid w:val="00544CBD"/>
    <w:rsid w:val="00544EA4"/>
    <w:rsid w:val="00544F40"/>
    <w:rsid w:val="00545322"/>
    <w:rsid w:val="0054586B"/>
    <w:rsid w:val="00545A0C"/>
    <w:rsid w:val="00545A95"/>
    <w:rsid w:val="00545D43"/>
    <w:rsid w:val="005467F6"/>
    <w:rsid w:val="00546B77"/>
    <w:rsid w:val="00546CE0"/>
    <w:rsid w:val="00547000"/>
    <w:rsid w:val="00547059"/>
    <w:rsid w:val="005477D7"/>
    <w:rsid w:val="005477F3"/>
    <w:rsid w:val="0054792A"/>
    <w:rsid w:val="005479F4"/>
    <w:rsid w:val="00547BF4"/>
    <w:rsid w:val="0055060B"/>
    <w:rsid w:val="00550734"/>
    <w:rsid w:val="00550CA7"/>
    <w:rsid w:val="00550F84"/>
    <w:rsid w:val="00551C02"/>
    <w:rsid w:val="005525B6"/>
    <w:rsid w:val="00552917"/>
    <w:rsid w:val="00552A89"/>
    <w:rsid w:val="00552F87"/>
    <w:rsid w:val="00553411"/>
    <w:rsid w:val="00553439"/>
    <w:rsid w:val="0055360A"/>
    <w:rsid w:val="0055395C"/>
    <w:rsid w:val="00553967"/>
    <w:rsid w:val="00553FDD"/>
    <w:rsid w:val="00554149"/>
    <w:rsid w:val="00554236"/>
    <w:rsid w:val="00554295"/>
    <w:rsid w:val="005549BD"/>
    <w:rsid w:val="00554A0C"/>
    <w:rsid w:val="00554B4B"/>
    <w:rsid w:val="00554F44"/>
    <w:rsid w:val="0055514E"/>
    <w:rsid w:val="005552F0"/>
    <w:rsid w:val="005557D4"/>
    <w:rsid w:val="00555B1D"/>
    <w:rsid w:val="00555B6A"/>
    <w:rsid w:val="00555DCF"/>
    <w:rsid w:val="00555F8C"/>
    <w:rsid w:val="00556255"/>
    <w:rsid w:val="005564D7"/>
    <w:rsid w:val="0055663B"/>
    <w:rsid w:val="0055748E"/>
    <w:rsid w:val="0055799C"/>
    <w:rsid w:val="00557A5A"/>
    <w:rsid w:val="00557BF3"/>
    <w:rsid w:val="00557E99"/>
    <w:rsid w:val="00557EEA"/>
    <w:rsid w:val="00560237"/>
    <w:rsid w:val="005606AF"/>
    <w:rsid w:val="00560A5C"/>
    <w:rsid w:val="00560FA3"/>
    <w:rsid w:val="00561B92"/>
    <w:rsid w:val="00561DE5"/>
    <w:rsid w:val="0056227E"/>
    <w:rsid w:val="005622A3"/>
    <w:rsid w:val="0056261C"/>
    <w:rsid w:val="00562A3D"/>
    <w:rsid w:val="00562E26"/>
    <w:rsid w:val="00563075"/>
    <w:rsid w:val="0056312E"/>
    <w:rsid w:val="00563267"/>
    <w:rsid w:val="005632D8"/>
    <w:rsid w:val="00563362"/>
    <w:rsid w:val="0056349D"/>
    <w:rsid w:val="00563A06"/>
    <w:rsid w:val="00563A45"/>
    <w:rsid w:val="00563C28"/>
    <w:rsid w:val="00564387"/>
    <w:rsid w:val="00564521"/>
    <w:rsid w:val="00564579"/>
    <w:rsid w:val="00564C85"/>
    <w:rsid w:val="00564E72"/>
    <w:rsid w:val="00564F2A"/>
    <w:rsid w:val="005650B7"/>
    <w:rsid w:val="00565667"/>
    <w:rsid w:val="005656F1"/>
    <w:rsid w:val="00565728"/>
    <w:rsid w:val="005658AA"/>
    <w:rsid w:val="00565AC1"/>
    <w:rsid w:val="0056621D"/>
    <w:rsid w:val="00566384"/>
    <w:rsid w:val="00566583"/>
    <w:rsid w:val="00566D95"/>
    <w:rsid w:val="00566E34"/>
    <w:rsid w:val="00566F0C"/>
    <w:rsid w:val="00566F0E"/>
    <w:rsid w:val="00567C56"/>
    <w:rsid w:val="00567D02"/>
    <w:rsid w:val="0057068B"/>
    <w:rsid w:val="005708A9"/>
    <w:rsid w:val="005708D4"/>
    <w:rsid w:val="00570C9F"/>
    <w:rsid w:val="00570CF3"/>
    <w:rsid w:val="00570F71"/>
    <w:rsid w:val="00571500"/>
    <w:rsid w:val="005715CB"/>
    <w:rsid w:val="005718B6"/>
    <w:rsid w:val="00571E46"/>
    <w:rsid w:val="00572260"/>
    <w:rsid w:val="00572425"/>
    <w:rsid w:val="00572559"/>
    <w:rsid w:val="005726BC"/>
    <w:rsid w:val="00572B30"/>
    <w:rsid w:val="00572B49"/>
    <w:rsid w:val="005734DD"/>
    <w:rsid w:val="005739AE"/>
    <w:rsid w:val="00573BB4"/>
    <w:rsid w:val="00573D47"/>
    <w:rsid w:val="00573DF6"/>
    <w:rsid w:val="00573E91"/>
    <w:rsid w:val="005740DC"/>
    <w:rsid w:val="00574551"/>
    <w:rsid w:val="00574686"/>
    <w:rsid w:val="005748F1"/>
    <w:rsid w:val="00574A3F"/>
    <w:rsid w:val="00574D07"/>
    <w:rsid w:val="00575E7F"/>
    <w:rsid w:val="0057601A"/>
    <w:rsid w:val="00576C37"/>
    <w:rsid w:val="00576D1D"/>
    <w:rsid w:val="00576FED"/>
    <w:rsid w:val="00577069"/>
    <w:rsid w:val="005775E8"/>
    <w:rsid w:val="00577605"/>
    <w:rsid w:val="005779D6"/>
    <w:rsid w:val="00577DE3"/>
    <w:rsid w:val="00580543"/>
    <w:rsid w:val="005807C3"/>
    <w:rsid w:val="00580AC4"/>
    <w:rsid w:val="00580F3B"/>
    <w:rsid w:val="00581384"/>
    <w:rsid w:val="00581506"/>
    <w:rsid w:val="005817E6"/>
    <w:rsid w:val="00581D12"/>
    <w:rsid w:val="005821B2"/>
    <w:rsid w:val="00582507"/>
    <w:rsid w:val="00582984"/>
    <w:rsid w:val="00582BBA"/>
    <w:rsid w:val="00582F83"/>
    <w:rsid w:val="00583BAD"/>
    <w:rsid w:val="0058426F"/>
    <w:rsid w:val="005842E7"/>
    <w:rsid w:val="005845C6"/>
    <w:rsid w:val="00584F1F"/>
    <w:rsid w:val="005850DD"/>
    <w:rsid w:val="005862A1"/>
    <w:rsid w:val="00586551"/>
    <w:rsid w:val="0058678B"/>
    <w:rsid w:val="00586840"/>
    <w:rsid w:val="00586F84"/>
    <w:rsid w:val="0058701A"/>
    <w:rsid w:val="005870D8"/>
    <w:rsid w:val="00587792"/>
    <w:rsid w:val="00587EE0"/>
    <w:rsid w:val="00590263"/>
    <w:rsid w:val="00590A35"/>
    <w:rsid w:val="00590A44"/>
    <w:rsid w:val="005911D4"/>
    <w:rsid w:val="0059159F"/>
    <w:rsid w:val="0059171D"/>
    <w:rsid w:val="0059188D"/>
    <w:rsid w:val="00592035"/>
    <w:rsid w:val="00592A8C"/>
    <w:rsid w:val="00592F10"/>
    <w:rsid w:val="00593111"/>
    <w:rsid w:val="00593153"/>
    <w:rsid w:val="00593624"/>
    <w:rsid w:val="005937FB"/>
    <w:rsid w:val="00593B91"/>
    <w:rsid w:val="00593D76"/>
    <w:rsid w:val="00593FD3"/>
    <w:rsid w:val="00593FFD"/>
    <w:rsid w:val="0059410A"/>
    <w:rsid w:val="00594150"/>
    <w:rsid w:val="0059423C"/>
    <w:rsid w:val="00594758"/>
    <w:rsid w:val="0059480B"/>
    <w:rsid w:val="005958BA"/>
    <w:rsid w:val="00595C15"/>
    <w:rsid w:val="00595C72"/>
    <w:rsid w:val="005960E9"/>
    <w:rsid w:val="0059650F"/>
    <w:rsid w:val="00596815"/>
    <w:rsid w:val="00596959"/>
    <w:rsid w:val="00596E88"/>
    <w:rsid w:val="00596EDF"/>
    <w:rsid w:val="005975B2"/>
    <w:rsid w:val="005979CD"/>
    <w:rsid w:val="00597B10"/>
    <w:rsid w:val="00597C9F"/>
    <w:rsid w:val="00597E73"/>
    <w:rsid w:val="00597F85"/>
    <w:rsid w:val="005A0329"/>
    <w:rsid w:val="005A03B4"/>
    <w:rsid w:val="005A05C2"/>
    <w:rsid w:val="005A089E"/>
    <w:rsid w:val="005A0A13"/>
    <w:rsid w:val="005A124F"/>
    <w:rsid w:val="005A1376"/>
    <w:rsid w:val="005A14D3"/>
    <w:rsid w:val="005A1925"/>
    <w:rsid w:val="005A1D3E"/>
    <w:rsid w:val="005A22F8"/>
    <w:rsid w:val="005A233C"/>
    <w:rsid w:val="005A2533"/>
    <w:rsid w:val="005A25E5"/>
    <w:rsid w:val="005A2907"/>
    <w:rsid w:val="005A2B94"/>
    <w:rsid w:val="005A2DD5"/>
    <w:rsid w:val="005A3290"/>
    <w:rsid w:val="005A332F"/>
    <w:rsid w:val="005A344F"/>
    <w:rsid w:val="005A352A"/>
    <w:rsid w:val="005A36AE"/>
    <w:rsid w:val="005A3B4D"/>
    <w:rsid w:val="005A3CE5"/>
    <w:rsid w:val="005A3F3B"/>
    <w:rsid w:val="005A403C"/>
    <w:rsid w:val="005A406E"/>
    <w:rsid w:val="005A4806"/>
    <w:rsid w:val="005A4B91"/>
    <w:rsid w:val="005A52AE"/>
    <w:rsid w:val="005A587A"/>
    <w:rsid w:val="005A5E40"/>
    <w:rsid w:val="005A5F5A"/>
    <w:rsid w:val="005A62A7"/>
    <w:rsid w:val="005A6751"/>
    <w:rsid w:val="005A67BD"/>
    <w:rsid w:val="005A6BA7"/>
    <w:rsid w:val="005A6EC5"/>
    <w:rsid w:val="005A6F2B"/>
    <w:rsid w:val="005A7166"/>
    <w:rsid w:val="005A72F0"/>
    <w:rsid w:val="005A7702"/>
    <w:rsid w:val="005A7752"/>
    <w:rsid w:val="005A77A1"/>
    <w:rsid w:val="005A79B8"/>
    <w:rsid w:val="005A7C1C"/>
    <w:rsid w:val="005B0158"/>
    <w:rsid w:val="005B0795"/>
    <w:rsid w:val="005B0BA9"/>
    <w:rsid w:val="005B0E7D"/>
    <w:rsid w:val="005B1137"/>
    <w:rsid w:val="005B1559"/>
    <w:rsid w:val="005B2003"/>
    <w:rsid w:val="005B27CA"/>
    <w:rsid w:val="005B2C8B"/>
    <w:rsid w:val="005B2DC8"/>
    <w:rsid w:val="005B34B3"/>
    <w:rsid w:val="005B3963"/>
    <w:rsid w:val="005B3987"/>
    <w:rsid w:val="005B3A84"/>
    <w:rsid w:val="005B41CB"/>
    <w:rsid w:val="005B43EB"/>
    <w:rsid w:val="005B451C"/>
    <w:rsid w:val="005B4C80"/>
    <w:rsid w:val="005B5026"/>
    <w:rsid w:val="005B51E7"/>
    <w:rsid w:val="005B531F"/>
    <w:rsid w:val="005B5432"/>
    <w:rsid w:val="005B621A"/>
    <w:rsid w:val="005B68C8"/>
    <w:rsid w:val="005B6DDF"/>
    <w:rsid w:val="005B7B59"/>
    <w:rsid w:val="005C0010"/>
    <w:rsid w:val="005C00AF"/>
    <w:rsid w:val="005C055C"/>
    <w:rsid w:val="005C0591"/>
    <w:rsid w:val="005C05F5"/>
    <w:rsid w:val="005C06FB"/>
    <w:rsid w:val="005C0D11"/>
    <w:rsid w:val="005C118C"/>
    <w:rsid w:val="005C127C"/>
    <w:rsid w:val="005C1333"/>
    <w:rsid w:val="005C13BA"/>
    <w:rsid w:val="005C14D0"/>
    <w:rsid w:val="005C159C"/>
    <w:rsid w:val="005C18F3"/>
    <w:rsid w:val="005C1A9A"/>
    <w:rsid w:val="005C1D18"/>
    <w:rsid w:val="005C1D2D"/>
    <w:rsid w:val="005C24B2"/>
    <w:rsid w:val="005C2501"/>
    <w:rsid w:val="005C2D14"/>
    <w:rsid w:val="005C32E4"/>
    <w:rsid w:val="005C3558"/>
    <w:rsid w:val="005C3E7B"/>
    <w:rsid w:val="005C3EF4"/>
    <w:rsid w:val="005C4130"/>
    <w:rsid w:val="005C432D"/>
    <w:rsid w:val="005C4596"/>
    <w:rsid w:val="005C5046"/>
    <w:rsid w:val="005C54B8"/>
    <w:rsid w:val="005C5583"/>
    <w:rsid w:val="005C56CA"/>
    <w:rsid w:val="005C6082"/>
    <w:rsid w:val="005C62BA"/>
    <w:rsid w:val="005C62C4"/>
    <w:rsid w:val="005C7312"/>
    <w:rsid w:val="005C748D"/>
    <w:rsid w:val="005C772E"/>
    <w:rsid w:val="005C7B3A"/>
    <w:rsid w:val="005C7D7C"/>
    <w:rsid w:val="005D0047"/>
    <w:rsid w:val="005D006D"/>
    <w:rsid w:val="005D0810"/>
    <w:rsid w:val="005D094A"/>
    <w:rsid w:val="005D0D26"/>
    <w:rsid w:val="005D10E0"/>
    <w:rsid w:val="005D117A"/>
    <w:rsid w:val="005D1340"/>
    <w:rsid w:val="005D1345"/>
    <w:rsid w:val="005D162E"/>
    <w:rsid w:val="005D1C86"/>
    <w:rsid w:val="005D1F10"/>
    <w:rsid w:val="005D1F48"/>
    <w:rsid w:val="005D2314"/>
    <w:rsid w:val="005D290B"/>
    <w:rsid w:val="005D2AA0"/>
    <w:rsid w:val="005D377A"/>
    <w:rsid w:val="005D3851"/>
    <w:rsid w:val="005D3AC2"/>
    <w:rsid w:val="005D3BC8"/>
    <w:rsid w:val="005D3C37"/>
    <w:rsid w:val="005D4DB9"/>
    <w:rsid w:val="005D5218"/>
    <w:rsid w:val="005D534B"/>
    <w:rsid w:val="005D545B"/>
    <w:rsid w:val="005D5CA5"/>
    <w:rsid w:val="005D5DE0"/>
    <w:rsid w:val="005D6153"/>
    <w:rsid w:val="005D633C"/>
    <w:rsid w:val="005D6446"/>
    <w:rsid w:val="005D6667"/>
    <w:rsid w:val="005D66CE"/>
    <w:rsid w:val="005D680B"/>
    <w:rsid w:val="005D697F"/>
    <w:rsid w:val="005D6F54"/>
    <w:rsid w:val="005D7262"/>
    <w:rsid w:val="005D735B"/>
    <w:rsid w:val="005D7592"/>
    <w:rsid w:val="005D790B"/>
    <w:rsid w:val="005D792B"/>
    <w:rsid w:val="005D7B79"/>
    <w:rsid w:val="005E0145"/>
    <w:rsid w:val="005E0987"/>
    <w:rsid w:val="005E09EC"/>
    <w:rsid w:val="005E0AD7"/>
    <w:rsid w:val="005E0D1F"/>
    <w:rsid w:val="005E124A"/>
    <w:rsid w:val="005E1AEF"/>
    <w:rsid w:val="005E21D3"/>
    <w:rsid w:val="005E234D"/>
    <w:rsid w:val="005E23AD"/>
    <w:rsid w:val="005E2E93"/>
    <w:rsid w:val="005E3420"/>
    <w:rsid w:val="005E361C"/>
    <w:rsid w:val="005E3813"/>
    <w:rsid w:val="005E3BCD"/>
    <w:rsid w:val="005E3C67"/>
    <w:rsid w:val="005E3E06"/>
    <w:rsid w:val="005E47AA"/>
    <w:rsid w:val="005E4C18"/>
    <w:rsid w:val="005E4C19"/>
    <w:rsid w:val="005E520F"/>
    <w:rsid w:val="005E55EF"/>
    <w:rsid w:val="005E5A3D"/>
    <w:rsid w:val="005E5F13"/>
    <w:rsid w:val="005E5F52"/>
    <w:rsid w:val="005E6765"/>
    <w:rsid w:val="005E6DB2"/>
    <w:rsid w:val="005E6E35"/>
    <w:rsid w:val="005E6FBF"/>
    <w:rsid w:val="005E721A"/>
    <w:rsid w:val="005E74B0"/>
    <w:rsid w:val="005E7781"/>
    <w:rsid w:val="005E7844"/>
    <w:rsid w:val="005E7A17"/>
    <w:rsid w:val="005E7C1D"/>
    <w:rsid w:val="005E7CEB"/>
    <w:rsid w:val="005F0808"/>
    <w:rsid w:val="005F0D50"/>
    <w:rsid w:val="005F1172"/>
    <w:rsid w:val="005F1419"/>
    <w:rsid w:val="005F1C82"/>
    <w:rsid w:val="005F1D39"/>
    <w:rsid w:val="005F1DB4"/>
    <w:rsid w:val="005F1EAF"/>
    <w:rsid w:val="005F21EE"/>
    <w:rsid w:val="005F2928"/>
    <w:rsid w:val="005F2EBC"/>
    <w:rsid w:val="005F3355"/>
    <w:rsid w:val="005F337F"/>
    <w:rsid w:val="005F3479"/>
    <w:rsid w:val="005F3511"/>
    <w:rsid w:val="005F3544"/>
    <w:rsid w:val="005F3E59"/>
    <w:rsid w:val="005F3E74"/>
    <w:rsid w:val="005F407F"/>
    <w:rsid w:val="005F4385"/>
    <w:rsid w:val="005F4C2E"/>
    <w:rsid w:val="005F4D02"/>
    <w:rsid w:val="005F4E03"/>
    <w:rsid w:val="005F5157"/>
    <w:rsid w:val="005F540E"/>
    <w:rsid w:val="005F5422"/>
    <w:rsid w:val="005F5D2C"/>
    <w:rsid w:val="005F5F4E"/>
    <w:rsid w:val="005F612B"/>
    <w:rsid w:val="005F6183"/>
    <w:rsid w:val="005F63E4"/>
    <w:rsid w:val="005F664C"/>
    <w:rsid w:val="005F6B3F"/>
    <w:rsid w:val="005F6F0D"/>
    <w:rsid w:val="005F708C"/>
    <w:rsid w:val="005F7302"/>
    <w:rsid w:val="005F733F"/>
    <w:rsid w:val="005F7425"/>
    <w:rsid w:val="005F74E0"/>
    <w:rsid w:val="005F75BD"/>
    <w:rsid w:val="006002A1"/>
    <w:rsid w:val="00600673"/>
    <w:rsid w:val="00600C0A"/>
    <w:rsid w:val="00601069"/>
    <w:rsid w:val="006010BE"/>
    <w:rsid w:val="006011BB"/>
    <w:rsid w:val="006012C3"/>
    <w:rsid w:val="006013C6"/>
    <w:rsid w:val="006016AD"/>
    <w:rsid w:val="00601846"/>
    <w:rsid w:val="00601FD2"/>
    <w:rsid w:val="006023B7"/>
    <w:rsid w:val="00602624"/>
    <w:rsid w:val="006027C7"/>
    <w:rsid w:val="006029A4"/>
    <w:rsid w:val="00602BAC"/>
    <w:rsid w:val="00602FDF"/>
    <w:rsid w:val="00603071"/>
    <w:rsid w:val="006030BD"/>
    <w:rsid w:val="00603296"/>
    <w:rsid w:val="00603394"/>
    <w:rsid w:val="00603C1E"/>
    <w:rsid w:val="0060416C"/>
    <w:rsid w:val="006048F7"/>
    <w:rsid w:val="00604B30"/>
    <w:rsid w:val="00604F13"/>
    <w:rsid w:val="00604F83"/>
    <w:rsid w:val="0060504D"/>
    <w:rsid w:val="00605848"/>
    <w:rsid w:val="0060592B"/>
    <w:rsid w:val="00605A13"/>
    <w:rsid w:val="006063CD"/>
    <w:rsid w:val="00606410"/>
    <w:rsid w:val="0060685C"/>
    <w:rsid w:val="00607444"/>
    <w:rsid w:val="00607792"/>
    <w:rsid w:val="006078C2"/>
    <w:rsid w:val="006079FF"/>
    <w:rsid w:val="00607D6E"/>
    <w:rsid w:val="00607F1F"/>
    <w:rsid w:val="0061012A"/>
    <w:rsid w:val="0061039F"/>
    <w:rsid w:val="00610524"/>
    <w:rsid w:val="006105EE"/>
    <w:rsid w:val="006108B2"/>
    <w:rsid w:val="006108FA"/>
    <w:rsid w:val="00610A9C"/>
    <w:rsid w:val="00611056"/>
    <w:rsid w:val="0061158B"/>
    <w:rsid w:val="00611806"/>
    <w:rsid w:val="0061245A"/>
    <w:rsid w:val="006129EF"/>
    <w:rsid w:val="0061340E"/>
    <w:rsid w:val="006147C7"/>
    <w:rsid w:val="006147FD"/>
    <w:rsid w:val="00614B75"/>
    <w:rsid w:val="00614C5F"/>
    <w:rsid w:val="00614C82"/>
    <w:rsid w:val="006150AD"/>
    <w:rsid w:val="006153FD"/>
    <w:rsid w:val="0061559D"/>
    <w:rsid w:val="00615A65"/>
    <w:rsid w:val="00615FBF"/>
    <w:rsid w:val="0061616E"/>
    <w:rsid w:val="00616241"/>
    <w:rsid w:val="006162C4"/>
    <w:rsid w:val="006163FA"/>
    <w:rsid w:val="006164D3"/>
    <w:rsid w:val="006165FD"/>
    <w:rsid w:val="00616D16"/>
    <w:rsid w:val="00617337"/>
    <w:rsid w:val="006176BF"/>
    <w:rsid w:val="00617CA8"/>
    <w:rsid w:val="0062006A"/>
    <w:rsid w:val="006201E5"/>
    <w:rsid w:val="006203F2"/>
    <w:rsid w:val="00620474"/>
    <w:rsid w:val="006205E7"/>
    <w:rsid w:val="00620B35"/>
    <w:rsid w:val="00620E42"/>
    <w:rsid w:val="00620F43"/>
    <w:rsid w:val="00621166"/>
    <w:rsid w:val="00621796"/>
    <w:rsid w:val="0062224F"/>
    <w:rsid w:val="006226E0"/>
    <w:rsid w:val="00622C8F"/>
    <w:rsid w:val="00622ED8"/>
    <w:rsid w:val="0062372D"/>
    <w:rsid w:val="00623A1A"/>
    <w:rsid w:val="00623A2A"/>
    <w:rsid w:val="00623EE8"/>
    <w:rsid w:val="00624C65"/>
    <w:rsid w:val="00624D51"/>
    <w:rsid w:val="00624D70"/>
    <w:rsid w:val="00624DE0"/>
    <w:rsid w:val="00624EDA"/>
    <w:rsid w:val="00624FBA"/>
    <w:rsid w:val="006256F6"/>
    <w:rsid w:val="006257C8"/>
    <w:rsid w:val="00625BBE"/>
    <w:rsid w:val="00625BCE"/>
    <w:rsid w:val="0062640D"/>
    <w:rsid w:val="00626421"/>
    <w:rsid w:val="00626F53"/>
    <w:rsid w:val="006271D5"/>
    <w:rsid w:val="00627301"/>
    <w:rsid w:val="00627677"/>
    <w:rsid w:val="0062786A"/>
    <w:rsid w:val="00627A4C"/>
    <w:rsid w:val="00627D95"/>
    <w:rsid w:val="00630164"/>
    <w:rsid w:val="00630CBA"/>
    <w:rsid w:val="00631552"/>
    <w:rsid w:val="00631DFC"/>
    <w:rsid w:val="0063212E"/>
    <w:rsid w:val="0063234F"/>
    <w:rsid w:val="006324F1"/>
    <w:rsid w:val="00632B12"/>
    <w:rsid w:val="00632CA9"/>
    <w:rsid w:val="00632E36"/>
    <w:rsid w:val="00632FDE"/>
    <w:rsid w:val="0063358E"/>
    <w:rsid w:val="006338F3"/>
    <w:rsid w:val="00634F0F"/>
    <w:rsid w:val="00635050"/>
    <w:rsid w:val="00635230"/>
    <w:rsid w:val="006355B9"/>
    <w:rsid w:val="006356E5"/>
    <w:rsid w:val="0063589C"/>
    <w:rsid w:val="006366CC"/>
    <w:rsid w:val="006368F6"/>
    <w:rsid w:val="0063708B"/>
    <w:rsid w:val="00637673"/>
    <w:rsid w:val="00637AF0"/>
    <w:rsid w:val="00637B8E"/>
    <w:rsid w:val="00640618"/>
    <w:rsid w:val="00640887"/>
    <w:rsid w:val="00640C5A"/>
    <w:rsid w:val="00640FDD"/>
    <w:rsid w:val="0064184E"/>
    <w:rsid w:val="00641B9C"/>
    <w:rsid w:val="00641D07"/>
    <w:rsid w:val="00641DAD"/>
    <w:rsid w:val="006422D8"/>
    <w:rsid w:val="0064244E"/>
    <w:rsid w:val="00642ACA"/>
    <w:rsid w:val="00642EEB"/>
    <w:rsid w:val="00643077"/>
    <w:rsid w:val="006433E7"/>
    <w:rsid w:val="00643436"/>
    <w:rsid w:val="006434D0"/>
    <w:rsid w:val="006436D5"/>
    <w:rsid w:val="006439BC"/>
    <w:rsid w:val="00643CB8"/>
    <w:rsid w:val="00643D35"/>
    <w:rsid w:val="00643D7A"/>
    <w:rsid w:val="006440AB"/>
    <w:rsid w:val="006441FB"/>
    <w:rsid w:val="0064457E"/>
    <w:rsid w:val="00644654"/>
    <w:rsid w:val="006448AF"/>
    <w:rsid w:val="006448D3"/>
    <w:rsid w:val="00644A50"/>
    <w:rsid w:val="00644DAF"/>
    <w:rsid w:val="006453B8"/>
    <w:rsid w:val="006454EB"/>
    <w:rsid w:val="006458FE"/>
    <w:rsid w:val="00645E5A"/>
    <w:rsid w:val="006461D9"/>
    <w:rsid w:val="00646592"/>
    <w:rsid w:val="00646A39"/>
    <w:rsid w:val="00646B8F"/>
    <w:rsid w:val="00646F64"/>
    <w:rsid w:val="00647698"/>
    <w:rsid w:val="0064797F"/>
    <w:rsid w:val="00647F86"/>
    <w:rsid w:val="006504E1"/>
    <w:rsid w:val="00650D15"/>
    <w:rsid w:val="006512ED"/>
    <w:rsid w:val="00651E20"/>
    <w:rsid w:val="00651FEA"/>
    <w:rsid w:val="006523C2"/>
    <w:rsid w:val="00653383"/>
    <w:rsid w:val="00653F2A"/>
    <w:rsid w:val="00654187"/>
    <w:rsid w:val="006546A6"/>
    <w:rsid w:val="00654B23"/>
    <w:rsid w:val="006556DA"/>
    <w:rsid w:val="006556E1"/>
    <w:rsid w:val="00655E4B"/>
    <w:rsid w:val="00656C0B"/>
    <w:rsid w:val="00656D1C"/>
    <w:rsid w:val="00656DC5"/>
    <w:rsid w:val="00657409"/>
    <w:rsid w:val="00657850"/>
    <w:rsid w:val="00657B5A"/>
    <w:rsid w:val="00657D08"/>
    <w:rsid w:val="00657D6A"/>
    <w:rsid w:val="006602BB"/>
    <w:rsid w:val="006606A4"/>
    <w:rsid w:val="00660C1F"/>
    <w:rsid w:val="00660D57"/>
    <w:rsid w:val="00660D8C"/>
    <w:rsid w:val="00661097"/>
    <w:rsid w:val="00661117"/>
    <w:rsid w:val="006611E1"/>
    <w:rsid w:val="006612F8"/>
    <w:rsid w:val="006613C6"/>
    <w:rsid w:val="00661557"/>
    <w:rsid w:val="00661698"/>
    <w:rsid w:val="006616A8"/>
    <w:rsid w:val="00661B20"/>
    <w:rsid w:val="00661C9D"/>
    <w:rsid w:val="00661D30"/>
    <w:rsid w:val="00662072"/>
    <w:rsid w:val="006622A6"/>
    <w:rsid w:val="00662705"/>
    <w:rsid w:val="006627FF"/>
    <w:rsid w:val="00662B71"/>
    <w:rsid w:val="00662F92"/>
    <w:rsid w:val="00663280"/>
    <w:rsid w:val="00663593"/>
    <w:rsid w:val="006637D1"/>
    <w:rsid w:val="00663B5C"/>
    <w:rsid w:val="00663BB3"/>
    <w:rsid w:val="00663E12"/>
    <w:rsid w:val="0066411D"/>
    <w:rsid w:val="0066496A"/>
    <w:rsid w:val="006649A6"/>
    <w:rsid w:val="00664A73"/>
    <w:rsid w:val="00664D36"/>
    <w:rsid w:val="0066501F"/>
    <w:rsid w:val="0066513D"/>
    <w:rsid w:val="0066573D"/>
    <w:rsid w:val="00666127"/>
    <w:rsid w:val="00666249"/>
    <w:rsid w:val="00666A16"/>
    <w:rsid w:val="00666C05"/>
    <w:rsid w:val="00666D04"/>
    <w:rsid w:val="00667A23"/>
    <w:rsid w:val="00667AC2"/>
    <w:rsid w:val="00667CBC"/>
    <w:rsid w:val="00667D4F"/>
    <w:rsid w:val="0067003C"/>
    <w:rsid w:val="006704C3"/>
    <w:rsid w:val="006704DB"/>
    <w:rsid w:val="00670FAE"/>
    <w:rsid w:val="00671928"/>
    <w:rsid w:val="00671C48"/>
    <w:rsid w:val="00672E59"/>
    <w:rsid w:val="00672F7E"/>
    <w:rsid w:val="006734DC"/>
    <w:rsid w:val="0067352A"/>
    <w:rsid w:val="0067358A"/>
    <w:rsid w:val="006745EF"/>
    <w:rsid w:val="00674874"/>
    <w:rsid w:val="00674940"/>
    <w:rsid w:val="00674B96"/>
    <w:rsid w:val="006753A8"/>
    <w:rsid w:val="0067610C"/>
    <w:rsid w:val="00676F35"/>
    <w:rsid w:val="0067701C"/>
    <w:rsid w:val="0067739F"/>
    <w:rsid w:val="0067751E"/>
    <w:rsid w:val="00677C87"/>
    <w:rsid w:val="0068068C"/>
    <w:rsid w:val="0068094B"/>
    <w:rsid w:val="0068103A"/>
    <w:rsid w:val="00681190"/>
    <w:rsid w:val="00681471"/>
    <w:rsid w:val="00681BCF"/>
    <w:rsid w:val="00682394"/>
    <w:rsid w:val="006828EF"/>
    <w:rsid w:val="00682997"/>
    <w:rsid w:val="00683BF2"/>
    <w:rsid w:val="00683FC5"/>
    <w:rsid w:val="00684065"/>
    <w:rsid w:val="006842CA"/>
    <w:rsid w:val="00684324"/>
    <w:rsid w:val="006845B5"/>
    <w:rsid w:val="00684BD2"/>
    <w:rsid w:val="00684C8E"/>
    <w:rsid w:val="00684DAD"/>
    <w:rsid w:val="00684DD5"/>
    <w:rsid w:val="00685573"/>
    <w:rsid w:val="00685907"/>
    <w:rsid w:val="00685C13"/>
    <w:rsid w:val="00685D97"/>
    <w:rsid w:val="00686008"/>
    <w:rsid w:val="00686271"/>
    <w:rsid w:val="00686323"/>
    <w:rsid w:val="0068642B"/>
    <w:rsid w:val="006865B2"/>
    <w:rsid w:val="00686C9C"/>
    <w:rsid w:val="0068769A"/>
    <w:rsid w:val="00690331"/>
    <w:rsid w:val="0069074F"/>
    <w:rsid w:val="00690D1D"/>
    <w:rsid w:val="00690EA6"/>
    <w:rsid w:val="00691342"/>
    <w:rsid w:val="0069136D"/>
    <w:rsid w:val="00691829"/>
    <w:rsid w:val="00691D59"/>
    <w:rsid w:val="00692200"/>
    <w:rsid w:val="0069244A"/>
    <w:rsid w:val="00692786"/>
    <w:rsid w:val="00692C9C"/>
    <w:rsid w:val="0069346B"/>
    <w:rsid w:val="006934CC"/>
    <w:rsid w:val="006935CE"/>
    <w:rsid w:val="00693799"/>
    <w:rsid w:val="00693886"/>
    <w:rsid w:val="00693DFC"/>
    <w:rsid w:val="0069417F"/>
    <w:rsid w:val="00694D70"/>
    <w:rsid w:val="00694E7E"/>
    <w:rsid w:val="00695126"/>
    <w:rsid w:val="00695138"/>
    <w:rsid w:val="00695635"/>
    <w:rsid w:val="00696666"/>
    <w:rsid w:val="006969D9"/>
    <w:rsid w:val="00696BFB"/>
    <w:rsid w:val="00696EE1"/>
    <w:rsid w:val="00697150"/>
    <w:rsid w:val="00697187"/>
    <w:rsid w:val="0069747D"/>
    <w:rsid w:val="00697631"/>
    <w:rsid w:val="006976D1"/>
    <w:rsid w:val="00697930"/>
    <w:rsid w:val="00697B21"/>
    <w:rsid w:val="006A034B"/>
    <w:rsid w:val="006A044A"/>
    <w:rsid w:val="006A062E"/>
    <w:rsid w:val="006A069C"/>
    <w:rsid w:val="006A09DB"/>
    <w:rsid w:val="006A118A"/>
    <w:rsid w:val="006A1637"/>
    <w:rsid w:val="006A1B76"/>
    <w:rsid w:val="006A211B"/>
    <w:rsid w:val="006A220A"/>
    <w:rsid w:val="006A2FE5"/>
    <w:rsid w:val="006A3054"/>
    <w:rsid w:val="006A4BE6"/>
    <w:rsid w:val="006A4F67"/>
    <w:rsid w:val="006A534D"/>
    <w:rsid w:val="006A56EF"/>
    <w:rsid w:val="006A5808"/>
    <w:rsid w:val="006A5DAA"/>
    <w:rsid w:val="006A5E69"/>
    <w:rsid w:val="006A5E8C"/>
    <w:rsid w:val="006A6150"/>
    <w:rsid w:val="006A6316"/>
    <w:rsid w:val="006A649D"/>
    <w:rsid w:val="006A6532"/>
    <w:rsid w:val="006A65DD"/>
    <w:rsid w:val="006A68AF"/>
    <w:rsid w:val="006A6987"/>
    <w:rsid w:val="006A6B32"/>
    <w:rsid w:val="006A6EC4"/>
    <w:rsid w:val="006A7168"/>
    <w:rsid w:val="006A7316"/>
    <w:rsid w:val="006A7A13"/>
    <w:rsid w:val="006A7FD1"/>
    <w:rsid w:val="006B000A"/>
    <w:rsid w:val="006B0272"/>
    <w:rsid w:val="006B0E30"/>
    <w:rsid w:val="006B0EE8"/>
    <w:rsid w:val="006B217B"/>
    <w:rsid w:val="006B25FE"/>
    <w:rsid w:val="006B2B40"/>
    <w:rsid w:val="006B2FC5"/>
    <w:rsid w:val="006B30E2"/>
    <w:rsid w:val="006B312C"/>
    <w:rsid w:val="006B33CD"/>
    <w:rsid w:val="006B41B0"/>
    <w:rsid w:val="006B422B"/>
    <w:rsid w:val="006B4D19"/>
    <w:rsid w:val="006B4F2D"/>
    <w:rsid w:val="006B5563"/>
    <w:rsid w:val="006B5B52"/>
    <w:rsid w:val="006B6249"/>
    <w:rsid w:val="006B6D47"/>
    <w:rsid w:val="006B6DBE"/>
    <w:rsid w:val="006B731B"/>
    <w:rsid w:val="006B7389"/>
    <w:rsid w:val="006C020B"/>
    <w:rsid w:val="006C06D4"/>
    <w:rsid w:val="006C07A0"/>
    <w:rsid w:val="006C1049"/>
    <w:rsid w:val="006C119B"/>
    <w:rsid w:val="006C127F"/>
    <w:rsid w:val="006C1383"/>
    <w:rsid w:val="006C1387"/>
    <w:rsid w:val="006C13D3"/>
    <w:rsid w:val="006C192E"/>
    <w:rsid w:val="006C1973"/>
    <w:rsid w:val="006C20D8"/>
    <w:rsid w:val="006C21C1"/>
    <w:rsid w:val="006C22A2"/>
    <w:rsid w:val="006C23E0"/>
    <w:rsid w:val="006C2458"/>
    <w:rsid w:val="006C26A3"/>
    <w:rsid w:val="006C29E8"/>
    <w:rsid w:val="006C2A45"/>
    <w:rsid w:val="006C3373"/>
    <w:rsid w:val="006C3507"/>
    <w:rsid w:val="006C3512"/>
    <w:rsid w:val="006C3941"/>
    <w:rsid w:val="006C3989"/>
    <w:rsid w:val="006C3A3A"/>
    <w:rsid w:val="006C3D24"/>
    <w:rsid w:val="006C4157"/>
    <w:rsid w:val="006C42CC"/>
    <w:rsid w:val="006C43DC"/>
    <w:rsid w:val="006C441E"/>
    <w:rsid w:val="006C50C4"/>
    <w:rsid w:val="006C5197"/>
    <w:rsid w:val="006C53AF"/>
    <w:rsid w:val="006C5503"/>
    <w:rsid w:val="006C60B2"/>
    <w:rsid w:val="006C651A"/>
    <w:rsid w:val="006C665C"/>
    <w:rsid w:val="006C678B"/>
    <w:rsid w:val="006C6CE6"/>
    <w:rsid w:val="006C7045"/>
    <w:rsid w:val="006D08D1"/>
    <w:rsid w:val="006D0B82"/>
    <w:rsid w:val="006D0DF2"/>
    <w:rsid w:val="006D11D3"/>
    <w:rsid w:val="006D13A4"/>
    <w:rsid w:val="006D1630"/>
    <w:rsid w:val="006D21B7"/>
    <w:rsid w:val="006D28B1"/>
    <w:rsid w:val="006D294C"/>
    <w:rsid w:val="006D36CF"/>
    <w:rsid w:val="006D3F5D"/>
    <w:rsid w:val="006D440B"/>
    <w:rsid w:val="006D45CD"/>
    <w:rsid w:val="006D46FC"/>
    <w:rsid w:val="006D4CD1"/>
    <w:rsid w:val="006D4DC3"/>
    <w:rsid w:val="006D5BBD"/>
    <w:rsid w:val="006D5C86"/>
    <w:rsid w:val="006D5FF2"/>
    <w:rsid w:val="006D6233"/>
    <w:rsid w:val="006D6580"/>
    <w:rsid w:val="006D6641"/>
    <w:rsid w:val="006D66EB"/>
    <w:rsid w:val="006D6850"/>
    <w:rsid w:val="006D6D19"/>
    <w:rsid w:val="006D6F0D"/>
    <w:rsid w:val="006D7159"/>
    <w:rsid w:val="006D74AC"/>
    <w:rsid w:val="006D74F8"/>
    <w:rsid w:val="006D7CF8"/>
    <w:rsid w:val="006D7E8D"/>
    <w:rsid w:val="006E0241"/>
    <w:rsid w:val="006E02F3"/>
    <w:rsid w:val="006E06D1"/>
    <w:rsid w:val="006E0DCB"/>
    <w:rsid w:val="006E0F30"/>
    <w:rsid w:val="006E0F5F"/>
    <w:rsid w:val="006E11F4"/>
    <w:rsid w:val="006E1301"/>
    <w:rsid w:val="006E149E"/>
    <w:rsid w:val="006E1C20"/>
    <w:rsid w:val="006E205F"/>
    <w:rsid w:val="006E22D0"/>
    <w:rsid w:val="006E2423"/>
    <w:rsid w:val="006E2A0E"/>
    <w:rsid w:val="006E2C1A"/>
    <w:rsid w:val="006E2DA7"/>
    <w:rsid w:val="006E344D"/>
    <w:rsid w:val="006E3590"/>
    <w:rsid w:val="006E36B6"/>
    <w:rsid w:val="006E393F"/>
    <w:rsid w:val="006E3987"/>
    <w:rsid w:val="006E3B8F"/>
    <w:rsid w:val="006E3F07"/>
    <w:rsid w:val="006E400F"/>
    <w:rsid w:val="006E4038"/>
    <w:rsid w:val="006E4251"/>
    <w:rsid w:val="006E45A4"/>
    <w:rsid w:val="006E45FE"/>
    <w:rsid w:val="006E483B"/>
    <w:rsid w:val="006E4A80"/>
    <w:rsid w:val="006E51BC"/>
    <w:rsid w:val="006E61B5"/>
    <w:rsid w:val="006E64F2"/>
    <w:rsid w:val="006E657C"/>
    <w:rsid w:val="006E65B2"/>
    <w:rsid w:val="006E6603"/>
    <w:rsid w:val="006E6790"/>
    <w:rsid w:val="006E78DD"/>
    <w:rsid w:val="006E7D6D"/>
    <w:rsid w:val="006E7E56"/>
    <w:rsid w:val="006F052A"/>
    <w:rsid w:val="006F106C"/>
    <w:rsid w:val="006F122A"/>
    <w:rsid w:val="006F1682"/>
    <w:rsid w:val="006F1689"/>
    <w:rsid w:val="006F1713"/>
    <w:rsid w:val="006F1AE9"/>
    <w:rsid w:val="006F2482"/>
    <w:rsid w:val="006F29E9"/>
    <w:rsid w:val="006F2C0B"/>
    <w:rsid w:val="006F2EEA"/>
    <w:rsid w:val="006F2F3D"/>
    <w:rsid w:val="006F334E"/>
    <w:rsid w:val="006F3AB2"/>
    <w:rsid w:val="006F3BC9"/>
    <w:rsid w:val="006F4376"/>
    <w:rsid w:val="006F4EA3"/>
    <w:rsid w:val="006F513B"/>
    <w:rsid w:val="006F5BF6"/>
    <w:rsid w:val="006F5CF1"/>
    <w:rsid w:val="006F5DCE"/>
    <w:rsid w:val="006F5F96"/>
    <w:rsid w:val="006F61DB"/>
    <w:rsid w:val="006F6218"/>
    <w:rsid w:val="006F77EF"/>
    <w:rsid w:val="006F7B19"/>
    <w:rsid w:val="006F7B94"/>
    <w:rsid w:val="006F7E53"/>
    <w:rsid w:val="006F7FBC"/>
    <w:rsid w:val="0070072B"/>
    <w:rsid w:val="00700BB2"/>
    <w:rsid w:val="00700C48"/>
    <w:rsid w:val="00701025"/>
    <w:rsid w:val="0070102D"/>
    <w:rsid w:val="007013D7"/>
    <w:rsid w:val="0070153F"/>
    <w:rsid w:val="00701892"/>
    <w:rsid w:val="007019B8"/>
    <w:rsid w:val="00701AC3"/>
    <w:rsid w:val="00701F95"/>
    <w:rsid w:val="007020AB"/>
    <w:rsid w:val="0070229F"/>
    <w:rsid w:val="0070249F"/>
    <w:rsid w:val="007030FF"/>
    <w:rsid w:val="007031E9"/>
    <w:rsid w:val="007032E5"/>
    <w:rsid w:val="00703C1B"/>
    <w:rsid w:val="0070404E"/>
    <w:rsid w:val="007040F4"/>
    <w:rsid w:val="007041CE"/>
    <w:rsid w:val="00704485"/>
    <w:rsid w:val="00704492"/>
    <w:rsid w:val="00704B1C"/>
    <w:rsid w:val="00704C90"/>
    <w:rsid w:val="00704D76"/>
    <w:rsid w:val="00705045"/>
    <w:rsid w:val="007058F6"/>
    <w:rsid w:val="007059BB"/>
    <w:rsid w:val="00705EBD"/>
    <w:rsid w:val="00705FB9"/>
    <w:rsid w:val="007060D2"/>
    <w:rsid w:val="00706F01"/>
    <w:rsid w:val="00707517"/>
    <w:rsid w:val="00707538"/>
    <w:rsid w:val="007075E7"/>
    <w:rsid w:val="00707775"/>
    <w:rsid w:val="0070790D"/>
    <w:rsid w:val="00707BE7"/>
    <w:rsid w:val="00710FB1"/>
    <w:rsid w:val="0071101F"/>
    <w:rsid w:val="007116C6"/>
    <w:rsid w:val="0071193A"/>
    <w:rsid w:val="00711CD8"/>
    <w:rsid w:val="00711F9D"/>
    <w:rsid w:val="007128C3"/>
    <w:rsid w:val="00712933"/>
    <w:rsid w:val="00712997"/>
    <w:rsid w:val="00712CEA"/>
    <w:rsid w:val="00712D08"/>
    <w:rsid w:val="00712E9B"/>
    <w:rsid w:val="00713874"/>
    <w:rsid w:val="00713D94"/>
    <w:rsid w:val="007140FD"/>
    <w:rsid w:val="0071442F"/>
    <w:rsid w:val="007151DE"/>
    <w:rsid w:val="007158F3"/>
    <w:rsid w:val="00715A4A"/>
    <w:rsid w:val="00715F4C"/>
    <w:rsid w:val="0071652D"/>
    <w:rsid w:val="0071656F"/>
    <w:rsid w:val="00716ABC"/>
    <w:rsid w:val="00716EC8"/>
    <w:rsid w:val="00716F09"/>
    <w:rsid w:val="007174DE"/>
    <w:rsid w:val="007176AD"/>
    <w:rsid w:val="00717A40"/>
    <w:rsid w:val="00717FC4"/>
    <w:rsid w:val="007202CC"/>
    <w:rsid w:val="00720332"/>
    <w:rsid w:val="00720601"/>
    <w:rsid w:val="007206D4"/>
    <w:rsid w:val="0072075F"/>
    <w:rsid w:val="007207A6"/>
    <w:rsid w:val="007207BE"/>
    <w:rsid w:val="00720810"/>
    <w:rsid w:val="00720881"/>
    <w:rsid w:val="00720A5A"/>
    <w:rsid w:val="00720A94"/>
    <w:rsid w:val="00720CE9"/>
    <w:rsid w:val="007210E3"/>
    <w:rsid w:val="00721141"/>
    <w:rsid w:val="0072122E"/>
    <w:rsid w:val="007216D5"/>
    <w:rsid w:val="0072238D"/>
    <w:rsid w:val="007227A5"/>
    <w:rsid w:val="00722826"/>
    <w:rsid w:val="00722827"/>
    <w:rsid w:val="00722C44"/>
    <w:rsid w:val="00722D11"/>
    <w:rsid w:val="00722D27"/>
    <w:rsid w:val="0072325B"/>
    <w:rsid w:val="0072355C"/>
    <w:rsid w:val="0072359C"/>
    <w:rsid w:val="007236F3"/>
    <w:rsid w:val="007237DE"/>
    <w:rsid w:val="00723F82"/>
    <w:rsid w:val="007243EC"/>
    <w:rsid w:val="00724625"/>
    <w:rsid w:val="007249CD"/>
    <w:rsid w:val="00724FC0"/>
    <w:rsid w:val="00725136"/>
    <w:rsid w:val="007252A3"/>
    <w:rsid w:val="00725850"/>
    <w:rsid w:val="007259D5"/>
    <w:rsid w:val="00725C35"/>
    <w:rsid w:val="007263A6"/>
    <w:rsid w:val="00726434"/>
    <w:rsid w:val="007265CC"/>
    <w:rsid w:val="007266AF"/>
    <w:rsid w:val="00726C81"/>
    <w:rsid w:val="00726E3A"/>
    <w:rsid w:val="00726E53"/>
    <w:rsid w:val="007271F5"/>
    <w:rsid w:val="007274D6"/>
    <w:rsid w:val="0072755A"/>
    <w:rsid w:val="00727972"/>
    <w:rsid w:val="00727FB3"/>
    <w:rsid w:val="00730253"/>
    <w:rsid w:val="007305F8"/>
    <w:rsid w:val="00730A26"/>
    <w:rsid w:val="00731163"/>
    <w:rsid w:val="007311D2"/>
    <w:rsid w:val="00731544"/>
    <w:rsid w:val="00731C3C"/>
    <w:rsid w:val="007320DB"/>
    <w:rsid w:val="00732945"/>
    <w:rsid w:val="00732C15"/>
    <w:rsid w:val="00732DC8"/>
    <w:rsid w:val="007330C0"/>
    <w:rsid w:val="00733300"/>
    <w:rsid w:val="0073338B"/>
    <w:rsid w:val="00733588"/>
    <w:rsid w:val="0073397D"/>
    <w:rsid w:val="0073406C"/>
    <w:rsid w:val="0073418A"/>
    <w:rsid w:val="007344C1"/>
    <w:rsid w:val="00734A05"/>
    <w:rsid w:val="00734FA3"/>
    <w:rsid w:val="00735018"/>
    <w:rsid w:val="0073558A"/>
    <w:rsid w:val="007358A6"/>
    <w:rsid w:val="0073591F"/>
    <w:rsid w:val="00735FA1"/>
    <w:rsid w:val="00736468"/>
    <w:rsid w:val="007366D6"/>
    <w:rsid w:val="007368A1"/>
    <w:rsid w:val="00736A03"/>
    <w:rsid w:val="00736DF0"/>
    <w:rsid w:val="00737B63"/>
    <w:rsid w:val="00737C69"/>
    <w:rsid w:val="00741597"/>
    <w:rsid w:val="007419FF"/>
    <w:rsid w:val="00741B1A"/>
    <w:rsid w:val="00742CCF"/>
    <w:rsid w:val="0074396C"/>
    <w:rsid w:val="00743CC7"/>
    <w:rsid w:val="00743CE2"/>
    <w:rsid w:val="00744225"/>
    <w:rsid w:val="00744411"/>
    <w:rsid w:val="00744892"/>
    <w:rsid w:val="00744A89"/>
    <w:rsid w:val="00745095"/>
    <w:rsid w:val="007453AB"/>
    <w:rsid w:val="0074573E"/>
    <w:rsid w:val="00746124"/>
    <w:rsid w:val="00746134"/>
    <w:rsid w:val="007462BF"/>
    <w:rsid w:val="00746B1C"/>
    <w:rsid w:val="00746C13"/>
    <w:rsid w:val="00746C91"/>
    <w:rsid w:val="00746DB0"/>
    <w:rsid w:val="00747B31"/>
    <w:rsid w:val="00747E92"/>
    <w:rsid w:val="00750139"/>
    <w:rsid w:val="00750241"/>
    <w:rsid w:val="007504EB"/>
    <w:rsid w:val="0075075D"/>
    <w:rsid w:val="00750945"/>
    <w:rsid w:val="00750C48"/>
    <w:rsid w:val="00751B46"/>
    <w:rsid w:val="00751C21"/>
    <w:rsid w:val="0075271D"/>
    <w:rsid w:val="00752834"/>
    <w:rsid w:val="007528BF"/>
    <w:rsid w:val="00752AE5"/>
    <w:rsid w:val="007533C7"/>
    <w:rsid w:val="007534D8"/>
    <w:rsid w:val="0075424A"/>
    <w:rsid w:val="007544F6"/>
    <w:rsid w:val="00754E39"/>
    <w:rsid w:val="00754E93"/>
    <w:rsid w:val="00755119"/>
    <w:rsid w:val="007555B2"/>
    <w:rsid w:val="007555BB"/>
    <w:rsid w:val="00755731"/>
    <w:rsid w:val="007558AC"/>
    <w:rsid w:val="007558C2"/>
    <w:rsid w:val="00756138"/>
    <w:rsid w:val="007567F0"/>
    <w:rsid w:val="0075686E"/>
    <w:rsid w:val="007568B1"/>
    <w:rsid w:val="00756D76"/>
    <w:rsid w:val="00757033"/>
    <w:rsid w:val="00757379"/>
    <w:rsid w:val="00757770"/>
    <w:rsid w:val="007578BF"/>
    <w:rsid w:val="00757C2A"/>
    <w:rsid w:val="00757E6A"/>
    <w:rsid w:val="00757F02"/>
    <w:rsid w:val="00760173"/>
    <w:rsid w:val="007601CB"/>
    <w:rsid w:val="00760251"/>
    <w:rsid w:val="007602AD"/>
    <w:rsid w:val="007606FD"/>
    <w:rsid w:val="00760949"/>
    <w:rsid w:val="00760A1C"/>
    <w:rsid w:val="00761A80"/>
    <w:rsid w:val="00762079"/>
    <w:rsid w:val="00762B7C"/>
    <w:rsid w:val="00762C45"/>
    <w:rsid w:val="00762D79"/>
    <w:rsid w:val="00763277"/>
    <w:rsid w:val="00763A5D"/>
    <w:rsid w:val="00763B96"/>
    <w:rsid w:val="00763BAD"/>
    <w:rsid w:val="0076404F"/>
    <w:rsid w:val="0076472C"/>
    <w:rsid w:val="00764899"/>
    <w:rsid w:val="007649F9"/>
    <w:rsid w:val="00764BE6"/>
    <w:rsid w:val="00764E40"/>
    <w:rsid w:val="00764E6C"/>
    <w:rsid w:val="0076577D"/>
    <w:rsid w:val="007658B3"/>
    <w:rsid w:val="007659EA"/>
    <w:rsid w:val="00765BDB"/>
    <w:rsid w:val="00766370"/>
    <w:rsid w:val="00766389"/>
    <w:rsid w:val="0076691F"/>
    <w:rsid w:val="00766C4E"/>
    <w:rsid w:val="00767D99"/>
    <w:rsid w:val="00767E91"/>
    <w:rsid w:val="00767F34"/>
    <w:rsid w:val="00767F63"/>
    <w:rsid w:val="00770694"/>
    <w:rsid w:val="00770AFE"/>
    <w:rsid w:val="00770DA5"/>
    <w:rsid w:val="00770EC4"/>
    <w:rsid w:val="00771020"/>
    <w:rsid w:val="00771250"/>
    <w:rsid w:val="0077139E"/>
    <w:rsid w:val="007714AA"/>
    <w:rsid w:val="00771B70"/>
    <w:rsid w:val="007720C5"/>
    <w:rsid w:val="0077246D"/>
    <w:rsid w:val="00772E69"/>
    <w:rsid w:val="00772FC5"/>
    <w:rsid w:val="00772FEF"/>
    <w:rsid w:val="007734B9"/>
    <w:rsid w:val="00773695"/>
    <w:rsid w:val="00773817"/>
    <w:rsid w:val="00773EAF"/>
    <w:rsid w:val="007741D7"/>
    <w:rsid w:val="007742C6"/>
    <w:rsid w:val="00774A73"/>
    <w:rsid w:val="00774B39"/>
    <w:rsid w:val="00774EF0"/>
    <w:rsid w:val="0077562A"/>
    <w:rsid w:val="00775E53"/>
    <w:rsid w:val="00776753"/>
    <w:rsid w:val="00776AD2"/>
    <w:rsid w:val="00776CBC"/>
    <w:rsid w:val="00776E0D"/>
    <w:rsid w:val="00776EAA"/>
    <w:rsid w:val="00776FF9"/>
    <w:rsid w:val="00777023"/>
    <w:rsid w:val="007772E1"/>
    <w:rsid w:val="0077743E"/>
    <w:rsid w:val="00777D36"/>
    <w:rsid w:val="00780806"/>
    <w:rsid w:val="00780F20"/>
    <w:rsid w:val="00781488"/>
    <w:rsid w:val="007814C3"/>
    <w:rsid w:val="0078196B"/>
    <w:rsid w:val="00781D98"/>
    <w:rsid w:val="007820C1"/>
    <w:rsid w:val="0078263A"/>
    <w:rsid w:val="00782C4C"/>
    <w:rsid w:val="00782E78"/>
    <w:rsid w:val="0078332C"/>
    <w:rsid w:val="0078336A"/>
    <w:rsid w:val="007833F7"/>
    <w:rsid w:val="0078340E"/>
    <w:rsid w:val="007837A3"/>
    <w:rsid w:val="00784CE0"/>
    <w:rsid w:val="00784F04"/>
    <w:rsid w:val="00784FD1"/>
    <w:rsid w:val="0078539B"/>
    <w:rsid w:val="00785BB0"/>
    <w:rsid w:val="00786334"/>
    <w:rsid w:val="0078635B"/>
    <w:rsid w:val="007867B4"/>
    <w:rsid w:val="00786808"/>
    <w:rsid w:val="007869C5"/>
    <w:rsid w:val="00786C73"/>
    <w:rsid w:val="00786D1E"/>
    <w:rsid w:val="0078726E"/>
    <w:rsid w:val="00787518"/>
    <w:rsid w:val="0078796A"/>
    <w:rsid w:val="00787A61"/>
    <w:rsid w:val="007902D6"/>
    <w:rsid w:val="00790332"/>
    <w:rsid w:val="007903BA"/>
    <w:rsid w:val="00790905"/>
    <w:rsid w:val="00790AC0"/>
    <w:rsid w:val="00790C87"/>
    <w:rsid w:val="00790DDC"/>
    <w:rsid w:val="00791B1E"/>
    <w:rsid w:val="00791E39"/>
    <w:rsid w:val="00791FDA"/>
    <w:rsid w:val="00792164"/>
    <w:rsid w:val="00792839"/>
    <w:rsid w:val="00792A3D"/>
    <w:rsid w:val="00792B75"/>
    <w:rsid w:val="00793C87"/>
    <w:rsid w:val="00793CBB"/>
    <w:rsid w:val="00793F67"/>
    <w:rsid w:val="00794189"/>
    <w:rsid w:val="0079475D"/>
    <w:rsid w:val="00794865"/>
    <w:rsid w:val="00794A77"/>
    <w:rsid w:val="00794ADE"/>
    <w:rsid w:val="00794BB1"/>
    <w:rsid w:val="00794C59"/>
    <w:rsid w:val="00795556"/>
    <w:rsid w:val="00795A62"/>
    <w:rsid w:val="00795C4B"/>
    <w:rsid w:val="007960E6"/>
    <w:rsid w:val="0079621C"/>
    <w:rsid w:val="0079635E"/>
    <w:rsid w:val="007967DF"/>
    <w:rsid w:val="00796857"/>
    <w:rsid w:val="00796AED"/>
    <w:rsid w:val="00797FCD"/>
    <w:rsid w:val="007A0196"/>
    <w:rsid w:val="007A029E"/>
    <w:rsid w:val="007A07D5"/>
    <w:rsid w:val="007A0B40"/>
    <w:rsid w:val="007A0DB5"/>
    <w:rsid w:val="007A0EA5"/>
    <w:rsid w:val="007A0FF7"/>
    <w:rsid w:val="007A1222"/>
    <w:rsid w:val="007A122D"/>
    <w:rsid w:val="007A18A8"/>
    <w:rsid w:val="007A19AE"/>
    <w:rsid w:val="007A1AE3"/>
    <w:rsid w:val="007A2378"/>
    <w:rsid w:val="007A259A"/>
    <w:rsid w:val="007A26B7"/>
    <w:rsid w:val="007A2ACC"/>
    <w:rsid w:val="007A2B43"/>
    <w:rsid w:val="007A2CEA"/>
    <w:rsid w:val="007A2E54"/>
    <w:rsid w:val="007A2EB4"/>
    <w:rsid w:val="007A3245"/>
    <w:rsid w:val="007A3359"/>
    <w:rsid w:val="007A33F4"/>
    <w:rsid w:val="007A351F"/>
    <w:rsid w:val="007A4175"/>
    <w:rsid w:val="007A44DC"/>
    <w:rsid w:val="007A5AF8"/>
    <w:rsid w:val="007A5ECB"/>
    <w:rsid w:val="007A660E"/>
    <w:rsid w:val="007A6778"/>
    <w:rsid w:val="007A6BA4"/>
    <w:rsid w:val="007A6C6F"/>
    <w:rsid w:val="007A716F"/>
    <w:rsid w:val="007A719B"/>
    <w:rsid w:val="007A7517"/>
    <w:rsid w:val="007A7EEE"/>
    <w:rsid w:val="007B04E9"/>
    <w:rsid w:val="007B08DC"/>
    <w:rsid w:val="007B0AB6"/>
    <w:rsid w:val="007B106F"/>
    <w:rsid w:val="007B1415"/>
    <w:rsid w:val="007B146C"/>
    <w:rsid w:val="007B15AD"/>
    <w:rsid w:val="007B1D17"/>
    <w:rsid w:val="007B1E19"/>
    <w:rsid w:val="007B1E30"/>
    <w:rsid w:val="007B2B0D"/>
    <w:rsid w:val="007B2BAC"/>
    <w:rsid w:val="007B2BC2"/>
    <w:rsid w:val="007B2E36"/>
    <w:rsid w:val="007B3493"/>
    <w:rsid w:val="007B35B9"/>
    <w:rsid w:val="007B3E79"/>
    <w:rsid w:val="007B41E8"/>
    <w:rsid w:val="007B4267"/>
    <w:rsid w:val="007B448C"/>
    <w:rsid w:val="007B454A"/>
    <w:rsid w:val="007B4C65"/>
    <w:rsid w:val="007B50C3"/>
    <w:rsid w:val="007B532A"/>
    <w:rsid w:val="007B537A"/>
    <w:rsid w:val="007B5623"/>
    <w:rsid w:val="007B57F0"/>
    <w:rsid w:val="007B591D"/>
    <w:rsid w:val="007B5C35"/>
    <w:rsid w:val="007B5D3B"/>
    <w:rsid w:val="007B5D85"/>
    <w:rsid w:val="007B68CB"/>
    <w:rsid w:val="007B6941"/>
    <w:rsid w:val="007B6A25"/>
    <w:rsid w:val="007B7011"/>
    <w:rsid w:val="007B7013"/>
    <w:rsid w:val="007B755B"/>
    <w:rsid w:val="007B7CA0"/>
    <w:rsid w:val="007B7EB5"/>
    <w:rsid w:val="007C026E"/>
    <w:rsid w:val="007C039B"/>
    <w:rsid w:val="007C0850"/>
    <w:rsid w:val="007C09EB"/>
    <w:rsid w:val="007C0EA3"/>
    <w:rsid w:val="007C0F8A"/>
    <w:rsid w:val="007C152E"/>
    <w:rsid w:val="007C1952"/>
    <w:rsid w:val="007C1B58"/>
    <w:rsid w:val="007C1D18"/>
    <w:rsid w:val="007C1DA4"/>
    <w:rsid w:val="007C1F3F"/>
    <w:rsid w:val="007C2323"/>
    <w:rsid w:val="007C25F5"/>
    <w:rsid w:val="007C27FF"/>
    <w:rsid w:val="007C2EF9"/>
    <w:rsid w:val="007C2FA2"/>
    <w:rsid w:val="007C30F6"/>
    <w:rsid w:val="007C32F0"/>
    <w:rsid w:val="007C373D"/>
    <w:rsid w:val="007C3F41"/>
    <w:rsid w:val="007C45CD"/>
    <w:rsid w:val="007C4636"/>
    <w:rsid w:val="007C470F"/>
    <w:rsid w:val="007C4728"/>
    <w:rsid w:val="007C4D4F"/>
    <w:rsid w:val="007C4EF4"/>
    <w:rsid w:val="007C596F"/>
    <w:rsid w:val="007C5DC1"/>
    <w:rsid w:val="007C6072"/>
    <w:rsid w:val="007C60EF"/>
    <w:rsid w:val="007C61B8"/>
    <w:rsid w:val="007C688A"/>
    <w:rsid w:val="007C6947"/>
    <w:rsid w:val="007C6C07"/>
    <w:rsid w:val="007C6CD4"/>
    <w:rsid w:val="007C74E0"/>
    <w:rsid w:val="007C79F5"/>
    <w:rsid w:val="007C7C9B"/>
    <w:rsid w:val="007C7D32"/>
    <w:rsid w:val="007D007F"/>
    <w:rsid w:val="007D0155"/>
    <w:rsid w:val="007D02E2"/>
    <w:rsid w:val="007D037F"/>
    <w:rsid w:val="007D0610"/>
    <w:rsid w:val="007D06DF"/>
    <w:rsid w:val="007D07AA"/>
    <w:rsid w:val="007D0BD8"/>
    <w:rsid w:val="007D0F96"/>
    <w:rsid w:val="007D1099"/>
    <w:rsid w:val="007D11B5"/>
    <w:rsid w:val="007D137D"/>
    <w:rsid w:val="007D1638"/>
    <w:rsid w:val="007D1683"/>
    <w:rsid w:val="007D18F8"/>
    <w:rsid w:val="007D1990"/>
    <w:rsid w:val="007D1A41"/>
    <w:rsid w:val="007D1D61"/>
    <w:rsid w:val="007D2013"/>
    <w:rsid w:val="007D24EA"/>
    <w:rsid w:val="007D2993"/>
    <w:rsid w:val="007D2BE1"/>
    <w:rsid w:val="007D2CED"/>
    <w:rsid w:val="007D345D"/>
    <w:rsid w:val="007D366B"/>
    <w:rsid w:val="007D3812"/>
    <w:rsid w:val="007D3886"/>
    <w:rsid w:val="007D3E23"/>
    <w:rsid w:val="007D45B0"/>
    <w:rsid w:val="007D4672"/>
    <w:rsid w:val="007D46A7"/>
    <w:rsid w:val="007D5008"/>
    <w:rsid w:val="007D59C9"/>
    <w:rsid w:val="007D5EAE"/>
    <w:rsid w:val="007D627E"/>
    <w:rsid w:val="007D62F4"/>
    <w:rsid w:val="007D6484"/>
    <w:rsid w:val="007D69C3"/>
    <w:rsid w:val="007D6D0E"/>
    <w:rsid w:val="007D6E99"/>
    <w:rsid w:val="007D7A93"/>
    <w:rsid w:val="007D7F73"/>
    <w:rsid w:val="007E0126"/>
    <w:rsid w:val="007E013A"/>
    <w:rsid w:val="007E07EC"/>
    <w:rsid w:val="007E0858"/>
    <w:rsid w:val="007E0CC5"/>
    <w:rsid w:val="007E0F2B"/>
    <w:rsid w:val="007E1744"/>
    <w:rsid w:val="007E194A"/>
    <w:rsid w:val="007E1AA0"/>
    <w:rsid w:val="007E1C0F"/>
    <w:rsid w:val="007E23BE"/>
    <w:rsid w:val="007E247C"/>
    <w:rsid w:val="007E24FD"/>
    <w:rsid w:val="007E27A4"/>
    <w:rsid w:val="007E2DCF"/>
    <w:rsid w:val="007E2E98"/>
    <w:rsid w:val="007E346D"/>
    <w:rsid w:val="007E3709"/>
    <w:rsid w:val="007E3786"/>
    <w:rsid w:val="007E393B"/>
    <w:rsid w:val="007E3BC7"/>
    <w:rsid w:val="007E4775"/>
    <w:rsid w:val="007E4EBB"/>
    <w:rsid w:val="007E4F7C"/>
    <w:rsid w:val="007E4FD4"/>
    <w:rsid w:val="007E553E"/>
    <w:rsid w:val="007E5556"/>
    <w:rsid w:val="007E55E4"/>
    <w:rsid w:val="007E569B"/>
    <w:rsid w:val="007E597A"/>
    <w:rsid w:val="007E6223"/>
    <w:rsid w:val="007E63EC"/>
    <w:rsid w:val="007E6748"/>
    <w:rsid w:val="007E687B"/>
    <w:rsid w:val="007E7339"/>
    <w:rsid w:val="007E7782"/>
    <w:rsid w:val="007E7875"/>
    <w:rsid w:val="007E79B9"/>
    <w:rsid w:val="007E7B1B"/>
    <w:rsid w:val="007E7D41"/>
    <w:rsid w:val="007F0A88"/>
    <w:rsid w:val="007F0E64"/>
    <w:rsid w:val="007F0E7E"/>
    <w:rsid w:val="007F115B"/>
    <w:rsid w:val="007F117C"/>
    <w:rsid w:val="007F13CD"/>
    <w:rsid w:val="007F1793"/>
    <w:rsid w:val="007F1885"/>
    <w:rsid w:val="007F192F"/>
    <w:rsid w:val="007F19D8"/>
    <w:rsid w:val="007F3848"/>
    <w:rsid w:val="007F39A2"/>
    <w:rsid w:val="007F4090"/>
    <w:rsid w:val="007F40A2"/>
    <w:rsid w:val="007F40B3"/>
    <w:rsid w:val="007F430C"/>
    <w:rsid w:val="007F4477"/>
    <w:rsid w:val="007F4482"/>
    <w:rsid w:val="007F4A38"/>
    <w:rsid w:val="007F4DF7"/>
    <w:rsid w:val="007F5C45"/>
    <w:rsid w:val="007F5F91"/>
    <w:rsid w:val="007F6070"/>
    <w:rsid w:val="007F6090"/>
    <w:rsid w:val="007F6172"/>
    <w:rsid w:val="007F65E2"/>
    <w:rsid w:val="007F691D"/>
    <w:rsid w:val="007F692D"/>
    <w:rsid w:val="007F6C63"/>
    <w:rsid w:val="007F74E3"/>
    <w:rsid w:val="007F773E"/>
    <w:rsid w:val="008003CD"/>
    <w:rsid w:val="00800A5D"/>
    <w:rsid w:val="00800FBD"/>
    <w:rsid w:val="0080130E"/>
    <w:rsid w:val="00801577"/>
    <w:rsid w:val="00801F64"/>
    <w:rsid w:val="0080210C"/>
    <w:rsid w:val="0080232D"/>
    <w:rsid w:val="008025D2"/>
    <w:rsid w:val="00802AD0"/>
    <w:rsid w:val="00802EF3"/>
    <w:rsid w:val="0080308B"/>
    <w:rsid w:val="0080336E"/>
    <w:rsid w:val="008034FA"/>
    <w:rsid w:val="00803717"/>
    <w:rsid w:val="008037C6"/>
    <w:rsid w:val="00803A93"/>
    <w:rsid w:val="00803E51"/>
    <w:rsid w:val="00803F3B"/>
    <w:rsid w:val="0080401F"/>
    <w:rsid w:val="0080412F"/>
    <w:rsid w:val="0080487B"/>
    <w:rsid w:val="00805117"/>
    <w:rsid w:val="00805130"/>
    <w:rsid w:val="0080543B"/>
    <w:rsid w:val="008055E5"/>
    <w:rsid w:val="008058F1"/>
    <w:rsid w:val="00805F2F"/>
    <w:rsid w:val="0080611F"/>
    <w:rsid w:val="00806647"/>
    <w:rsid w:val="00806914"/>
    <w:rsid w:val="0080691A"/>
    <w:rsid w:val="00806C49"/>
    <w:rsid w:val="008070E0"/>
    <w:rsid w:val="008074A1"/>
    <w:rsid w:val="008078B9"/>
    <w:rsid w:val="00807B8B"/>
    <w:rsid w:val="00807ED4"/>
    <w:rsid w:val="00807F9E"/>
    <w:rsid w:val="00810236"/>
    <w:rsid w:val="008103CF"/>
    <w:rsid w:val="0081061C"/>
    <w:rsid w:val="00810AD0"/>
    <w:rsid w:val="00810D52"/>
    <w:rsid w:val="00811144"/>
    <w:rsid w:val="008112A8"/>
    <w:rsid w:val="0081180B"/>
    <w:rsid w:val="00811D07"/>
    <w:rsid w:val="00812000"/>
    <w:rsid w:val="0081217F"/>
    <w:rsid w:val="008121ED"/>
    <w:rsid w:val="00812756"/>
    <w:rsid w:val="00812856"/>
    <w:rsid w:val="00812EC4"/>
    <w:rsid w:val="008146F6"/>
    <w:rsid w:val="008147DD"/>
    <w:rsid w:val="008148B4"/>
    <w:rsid w:val="00814BDA"/>
    <w:rsid w:val="008156FD"/>
    <w:rsid w:val="00815865"/>
    <w:rsid w:val="00815910"/>
    <w:rsid w:val="0081591E"/>
    <w:rsid w:val="00815B20"/>
    <w:rsid w:val="00816545"/>
    <w:rsid w:val="00816797"/>
    <w:rsid w:val="008168FF"/>
    <w:rsid w:val="00816A1B"/>
    <w:rsid w:val="00816B59"/>
    <w:rsid w:val="00816C19"/>
    <w:rsid w:val="00816C31"/>
    <w:rsid w:val="00816F36"/>
    <w:rsid w:val="0081758D"/>
    <w:rsid w:val="008175A0"/>
    <w:rsid w:val="008178DE"/>
    <w:rsid w:val="00817C5E"/>
    <w:rsid w:val="00817E51"/>
    <w:rsid w:val="00817FDA"/>
    <w:rsid w:val="00820168"/>
    <w:rsid w:val="00820DFC"/>
    <w:rsid w:val="008210B0"/>
    <w:rsid w:val="00821328"/>
    <w:rsid w:val="0082192F"/>
    <w:rsid w:val="0082193E"/>
    <w:rsid w:val="00821A7A"/>
    <w:rsid w:val="00821D51"/>
    <w:rsid w:val="0082230D"/>
    <w:rsid w:val="00822509"/>
    <w:rsid w:val="00822BE3"/>
    <w:rsid w:val="00822D13"/>
    <w:rsid w:val="00822E0F"/>
    <w:rsid w:val="008231BE"/>
    <w:rsid w:val="0082321E"/>
    <w:rsid w:val="0082384A"/>
    <w:rsid w:val="008241D1"/>
    <w:rsid w:val="0082452A"/>
    <w:rsid w:val="00824541"/>
    <w:rsid w:val="00824E45"/>
    <w:rsid w:val="0082507D"/>
    <w:rsid w:val="008250E5"/>
    <w:rsid w:val="00825A3D"/>
    <w:rsid w:val="00825DDB"/>
    <w:rsid w:val="008263C5"/>
    <w:rsid w:val="00826567"/>
    <w:rsid w:val="008269A6"/>
    <w:rsid w:val="00826EB1"/>
    <w:rsid w:val="008270EB"/>
    <w:rsid w:val="00827FDC"/>
    <w:rsid w:val="008302AD"/>
    <w:rsid w:val="008302D1"/>
    <w:rsid w:val="0083089F"/>
    <w:rsid w:val="00830B17"/>
    <w:rsid w:val="008310D1"/>
    <w:rsid w:val="00831246"/>
    <w:rsid w:val="008312B3"/>
    <w:rsid w:val="00831C17"/>
    <w:rsid w:val="00831C61"/>
    <w:rsid w:val="00832107"/>
    <w:rsid w:val="008323C8"/>
    <w:rsid w:val="008329F7"/>
    <w:rsid w:val="00832CF3"/>
    <w:rsid w:val="00832F5C"/>
    <w:rsid w:val="008339EE"/>
    <w:rsid w:val="00833DE5"/>
    <w:rsid w:val="0083431A"/>
    <w:rsid w:val="0083446F"/>
    <w:rsid w:val="008347F3"/>
    <w:rsid w:val="00834C28"/>
    <w:rsid w:val="00834F8F"/>
    <w:rsid w:val="00835004"/>
    <w:rsid w:val="0083525F"/>
    <w:rsid w:val="0083579D"/>
    <w:rsid w:val="008357F1"/>
    <w:rsid w:val="00835B94"/>
    <w:rsid w:val="00835E2B"/>
    <w:rsid w:val="00836987"/>
    <w:rsid w:val="00836B0F"/>
    <w:rsid w:val="00837034"/>
    <w:rsid w:val="008371D8"/>
    <w:rsid w:val="008374CC"/>
    <w:rsid w:val="008374D9"/>
    <w:rsid w:val="008378F4"/>
    <w:rsid w:val="0084004D"/>
    <w:rsid w:val="0084029E"/>
    <w:rsid w:val="0084048C"/>
    <w:rsid w:val="00840576"/>
    <w:rsid w:val="00840813"/>
    <w:rsid w:val="00841025"/>
    <w:rsid w:val="00841DC0"/>
    <w:rsid w:val="00841FDF"/>
    <w:rsid w:val="00842043"/>
    <w:rsid w:val="00842057"/>
    <w:rsid w:val="008426CD"/>
    <w:rsid w:val="0084324E"/>
    <w:rsid w:val="00843633"/>
    <w:rsid w:val="008436E2"/>
    <w:rsid w:val="00843740"/>
    <w:rsid w:val="008439E7"/>
    <w:rsid w:val="00844244"/>
    <w:rsid w:val="0084424B"/>
    <w:rsid w:val="00844C0B"/>
    <w:rsid w:val="00844C8E"/>
    <w:rsid w:val="00845463"/>
    <w:rsid w:val="008457D9"/>
    <w:rsid w:val="00845C6D"/>
    <w:rsid w:val="00845CBC"/>
    <w:rsid w:val="00845D40"/>
    <w:rsid w:val="00845ED6"/>
    <w:rsid w:val="0084607E"/>
    <w:rsid w:val="00846338"/>
    <w:rsid w:val="00846856"/>
    <w:rsid w:val="00846CC5"/>
    <w:rsid w:val="00846FD5"/>
    <w:rsid w:val="008501EF"/>
    <w:rsid w:val="0085105E"/>
    <w:rsid w:val="00851189"/>
    <w:rsid w:val="00851954"/>
    <w:rsid w:val="00851CA1"/>
    <w:rsid w:val="00852050"/>
    <w:rsid w:val="00852432"/>
    <w:rsid w:val="00852B5B"/>
    <w:rsid w:val="00852D54"/>
    <w:rsid w:val="00852E79"/>
    <w:rsid w:val="0085347C"/>
    <w:rsid w:val="00853F0E"/>
    <w:rsid w:val="00853FA1"/>
    <w:rsid w:val="0085417A"/>
    <w:rsid w:val="008548F7"/>
    <w:rsid w:val="00854D6A"/>
    <w:rsid w:val="00855156"/>
    <w:rsid w:val="008564A3"/>
    <w:rsid w:val="008565EF"/>
    <w:rsid w:val="00856928"/>
    <w:rsid w:val="00856AA1"/>
    <w:rsid w:val="0085703C"/>
    <w:rsid w:val="00857103"/>
    <w:rsid w:val="0085776E"/>
    <w:rsid w:val="00857E1A"/>
    <w:rsid w:val="008601E3"/>
    <w:rsid w:val="00860868"/>
    <w:rsid w:val="00860CDF"/>
    <w:rsid w:val="00860FEC"/>
    <w:rsid w:val="008614A4"/>
    <w:rsid w:val="008615C2"/>
    <w:rsid w:val="00861A51"/>
    <w:rsid w:val="00861EF6"/>
    <w:rsid w:val="00862310"/>
    <w:rsid w:val="00862609"/>
    <w:rsid w:val="00863102"/>
    <w:rsid w:val="008631DB"/>
    <w:rsid w:val="00863585"/>
    <w:rsid w:val="00863A2E"/>
    <w:rsid w:val="00863A48"/>
    <w:rsid w:val="00863C6B"/>
    <w:rsid w:val="00863D3E"/>
    <w:rsid w:val="00863DA5"/>
    <w:rsid w:val="00863DD3"/>
    <w:rsid w:val="0086403E"/>
    <w:rsid w:val="00864266"/>
    <w:rsid w:val="00864CEC"/>
    <w:rsid w:val="00864D89"/>
    <w:rsid w:val="00864E33"/>
    <w:rsid w:val="008651C1"/>
    <w:rsid w:val="0086520C"/>
    <w:rsid w:val="00865422"/>
    <w:rsid w:val="008655C8"/>
    <w:rsid w:val="0086571E"/>
    <w:rsid w:val="0086579E"/>
    <w:rsid w:val="008659F4"/>
    <w:rsid w:val="00865AD1"/>
    <w:rsid w:val="00865AF1"/>
    <w:rsid w:val="00865DE7"/>
    <w:rsid w:val="00865FCE"/>
    <w:rsid w:val="00866E0C"/>
    <w:rsid w:val="008671A9"/>
    <w:rsid w:val="008671FC"/>
    <w:rsid w:val="008672F6"/>
    <w:rsid w:val="008674BA"/>
    <w:rsid w:val="00867F0F"/>
    <w:rsid w:val="00870266"/>
    <w:rsid w:val="00870831"/>
    <w:rsid w:val="00871BFD"/>
    <w:rsid w:val="00871C0E"/>
    <w:rsid w:val="00871D52"/>
    <w:rsid w:val="00871EFA"/>
    <w:rsid w:val="0087231E"/>
    <w:rsid w:val="00872686"/>
    <w:rsid w:val="00872C65"/>
    <w:rsid w:val="0087318C"/>
    <w:rsid w:val="0087319F"/>
    <w:rsid w:val="008737AB"/>
    <w:rsid w:val="00873AF9"/>
    <w:rsid w:val="00873B7D"/>
    <w:rsid w:val="008741BB"/>
    <w:rsid w:val="00874642"/>
    <w:rsid w:val="008747AB"/>
    <w:rsid w:val="008747B2"/>
    <w:rsid w:val="00874FB7"/>
    <w:rsid w:val="008751A7"/>
    <w:rsid w:val="008752E3"/>
    <w:rsid w:val="008758E4"/>
    <w:rsid w:val="0087593D"/>
    <w:rsid w:val="00875FFB"/>
    <w:rsid w:val="008760B1"/>
    <w:rsid w:val="00876243"/>
    <w:rsid w:val="0087681C"/>
    <w:rsid w:val="00876FCF"/>
    <w:rsid w:val="0087716A"/>
    <w:rsid w:val="008771C4"/>
    <w:rsid w:val="00877C09"/>
    <w:rsid w:val="00877E85"/>
    <w:rsid w:val="008802F9"/>
    <w:rsid w:val="00881068"/>
    <w:rsid w:val="00881A22"/>
    <w:rsid w:val="00881BB6"/>
    <w:rsid w:val="008821AC"/>
    <w:rsid w:val="0088227A"/>
    <w:rsid w:val="008823C7"/>
    <w:rsid w:val="00882D00"/>
    <w:rsid w:val="008833D2"/>
    <w:rsid w:val="008839F3"/>
    <w:rsid w:val="00883C82"/>
    <w:rsid w:val="00883D6D"/>
    <w:rsid w:val="00884151"/>
    <w:rsid w:val="00884241"/>
    <w:rsid w:val="008844EF"/>
    <w:rsid w:val="00884EEA"/>
    <w:rsid w:val="00885151"/>
    <w:rsid w:val="00885226"/>
    <w:rsid w:val="00885233"/>
    <w:rsid w:val="008852C1"/>
    <w:rsid w:val="008853C8"/>
    <w:rsid w:val="00885BD2"/>
    <w:rsid w:val="00885D4F"/>
    <w:rsid w:val="00885D96"/>
    <w:rsid w:val="008865EA"/>
    <w:rsid w:val="00886C45"/>
    <w:rsid w:val="00886C4B"/>
    <w:rsid w:val="00886FAE"/>
    <w:rsid w:val="00887511"/>
    <w:rsid w:val="008879D6"/>
    <w:rsid w:val="0089023B"/>
    <w:rsid w:val="00890977"/>
    <w:rsid w:val="00890E23"/>
    <w:rsid w:val="00890FBB"/>
    <w:rsid w:val="008910EC"/>
    <w:rsid w:val="0089189D"/>
    <w:rsid w:val="00891F79"/>
    <w:rsid w:val="0089214F"/>
    <w:rsid w:val="00892A53"/>
    <w:rsid w:val="00892C1B"/>
    <w:rsid w:val="00892F48"/>
    <w:rsid w:val="00892FA9"/>
    <w:rsid w:val="00893538"/>
    <w:rsid w:val="00893B2F"/>
    <w:rsid w:val="00893D37"/>
    <w:rsid w:val="00893F54"/>
    <w:rsid w:val="00894469"/>
    <w:rsid w:val="008945C4"/>
    <w:rsid w:val="00894A59"/>
    <w:rsid w:val="00894C79"/>
    <w:rsid w:val="00894C7D"/>
    <w:rsid w:val="00894FAB"/>
    <w:rsid w:val="00894FE1"/>
    <w:rsid w:val="0089508C"/>
    <w:rsid w:val="008955DA"/>
    <w:rsid w:val="008956FA"/>
    <w:rsid w:val="00895911"/>
    <w:rsid w:val="00895A8D"/>
    <w:rsid w:val="00895CA4"/>
    <w:rsid w:val="00895DA7"/>
    <w:rsid w:val="00895EFD"/>
    <w:rsid w:val="008960A1"/>
    <w:rsid w:val="00896281"/>
    <w:rsid w:val="0089641B"/>
    <w:rsid w:val="00896514"/>
    <w:rsid w:val="008968FD"/>
    <w:rsid w:val="00896C09"/>
    <w:rsid w:val="008973BD"/>
    <w:rsid w:val="0089763A"/>
    <w:rsid w:val="008978EC"/>
    <w:rsid w:val="00897B83"/>
    <w:rsid w:val="00897ECC"/>
    <w:rsid w:val="00897EEA"/>
    <w:rsid w:val="008A006C"/>
    <w:rsid w:val="008A049A"/>
    <w:rsid w:val="008A0C80"/>
    <w:rsid w:val="008A0E05"/>
    <w:rsid w:val="008A16E4"/>
    <w:rsid w:val="008A1F99"/>
    <w:rsid w:val="008A201B"/>
    <w:rsid w:val="008A24DA"/>
    <w:rsid w:val="008A2671"/>
    <w:rsid w:val="008A29B6"/>
    <w:rsid w:val="008A2E0D"/>
    <w:rsid w:val="008A33AD"/>
    <w:rsid w:val="008A350D"/>
    <w:rsid w:val="008A3B6B"/>
    <w:rsid w:val="008A4A42"/>
    <w:rsid w:val="008A4BE5"/>
    <w:rsid w:val="008A4E27"/>
    <w:rsid w:val="008A4F05"/>
    <w:rsid w:val="008A4F41"/>
    <w:rsid w:val="008A53E1"/>
    <w:rsid w:val="008A57FA"/>
    <w:rsid w:val="008A5AEC"/>
    <w:rsid w:val="008A62CA"/>
    <w:rsid w:val="008A633A"/>
    <w:rsid w:val="008A6576"/>
    <w:rsid w:val="008A6779"/>
    <w:rsid w:val="008A68ED"/>
    <w:rsid w:val="008A69EB"/>
    <w:rsid w:val="008A6A29"/>
    <w:rsid w:val="008A6D22"/>
    <w:rsid w:val="008A6D55"/>
    <w:rsid w:val="008A7302"/>
    <w:rsid w:val="008A742E"/>
    <w:rsid w:val="008A76CC"/>
    <w:rsid w:val="008A7757"/>
    <w:rsid w:val="008A78EE"/>
    <w:rsid w:val="008A7903"/>
    <w:rsid w:val="008A7EC1"/>
    <w:rsid w:val="008B022E"/>
    <w:rsid w:val="008B0A73"/>
    <w:rsid w:val="008B0BE3"/>
    <w:rsid w:val="008B0CCA"/>
    <w:rsid w:val="008B1080"/>
    <w:rsid w:val="008B15C5"/>
    <w:rsid w:val="008B1733"/>
    <w:rsid w:val="008B1B6A"/>
    <w:rsid w:val="008B25F8"/>
    <w:rsid w:val="008B26A0"/>
    <w:rsid w:val="008B2C7D"/>
    <w:rsid w:val="008B3091"/>
    <w:rsid w:val="008B324A"/>
    <w:rsid w:val="008B33BD"/>
    <w:rsid w:val="008B3575"/>
    <w:rsid w:val="008B3576"/>
    <w:rsid w:val="008B3693"/>
    <w:rsid w:val="008B3AB8"/>
    <w:rsid w:val="008B3CCC"/>
    <w:rsid w:val="008B4159"/>
    <w:rsid w:val="008B4309"/>
    <w:rsid w:val="008B4E1D"/>
    <w:rsid w:val="008B5093"/>
    <w:rsid w:val="008B50CB"/>
    <w:rsid w:val="008B53C7"/>
    <w:rsid w:val="008B53D3"/>
    <w:rsid w:val="008B5703"/>
    <w:rsid w:val="008B5F77"/>
    <w:rsid w:val="008B6078"/>
    <w:rsid w:val="008B661B"/>
    <w:rsid w:val="008B69FD"/>
    <w:rsid w:val="008B6A48"/>
    <w:rsid w:val="008B6BDF"/>
    <w:rsid w:val="008B7599"/>
    <w:rsid w:val="008B7EC3"/>
    <w:rsid w:val="008C0515"/>
    <w:rsid w:val="008C06BE"/>
    <w:rsid w:val="008C07CB"/>
    <w:rsid w:val="008C0A97"/>
    <w:rsid w:val="008C1101"/>
    <w:rsid w:val="008C1541"/>
    <w:rsid w:val="008C175B"/>
    <w:rsid w:val="008C1BC4"/>
    <w:rsid w:val="008C2077"/>
    <w:rsid w:val="008C258E"/>
    <w:rsid w:val="008C268C"/>
    <w:rsid w:val="008C26FE"/>
    <w:rsid w:val="008C2826"/>
    <w:rsid w:val="008C34B7"/>
    <w:rsid w:val="008C3CFC"/>
    <w:rsid w:val="008C41CA"/>
    <w:rsid w:val="008C4B46"/>
    <w:rsid w:val="008C4FD7"/>
    <w:rsid w:val="008C67CE"/>
    <w:rsid w:val="008C6A44"/>
    <w:rsid w:val="008C7652"/>
    <w:rsid w:val="008C7884"/>
    <w:rsid w:val="008C7C22"/>
    <w:rsid w:val="008D097B"/>
    <w:rsid w:val="008D0C03"/>
    <w:rsid w:val="008D0E85"/>
    <w:rsid w:val="008D1196"/>
    <w:rsid w:val="008D11E5"/>
    <w:rsid w:val="008D12F2"/>
    <w:rsid w:val="008D13B5"/>
    <w:rsid w:val="008D13C3"/>
    <w:rsid w:val="008D1822"/>
    <w:rsid w:val="008D19FC"/>
    <w:rsid w:val="008D1D01"/>
    <w:rsid w:val="008D22FB"/>
    <w:rsid w:val="008D26FB"/>
    <w:rsid w:val="008D27FD"/>
    <w:rsid w:val="008D35B9"/>
    <w:rsid w:val="008D3E3B"/>
    <w:rsid w:val="008D4378"/>
    <w:rsid w:val="008D446A"/>
    <w:rsid w:val="008D474E"/>
    <w:rsid w:val="008D47DD"/>
    <w:rsid w:val="008D49E4"/>
    <w:rsid w:val="008D51E3"/>
    <w:rsid w:val="008D556B"/>
    <w:rsid w:val="008D5C9A"/>
    <w:rsid w:val="008D600C"/>
    <w:rsid w:val="008D6159"/>
    <w:rsid w:val="008D621F"/>
    <w:rsid w:val="008D64F6"/>
    <w:rsid w:val="008D7006"/>
    <w:rsid w:val="008D7040"/>
    <w:rsid w:val="008D7117"/>
    <w:rsid w:val="008D7617"/>
    <w:rsid w:val="008D78AE"/>
    <w:rsid w:val="008D7FBA"/>
    <w:rsid w:val="008E01CE"/>
    <w:rsid w:val="008E02B5"/>
    <w:rsid w:val="008E03C8"/>
    <w:rsid w:val="008E052F"/>
    <w:rsid w:val="008E0800"/>
    <w:rsid w:val="008E0CF6"/>
    <w:rsid w:val="008E0EF3"/>
    <w:rsid w:val="008E0FF4"/>
    <w:rsid w:val="008E13E2"/>
    <w:rsid w:val="008E157E"/>
    <w:rsid w:val="008E1940"/>
    <w:rsid w:val="008E1A8D"/>
    <w:rsid w:val="008E1AE8"/>
    <w:rsid w:val="008E1DD4"/>
    <w:rsid w:val="008E200D"/>
    <w:rsid w:val="008E212F"/>
    <w:rsid w:val="008E2873"/>
    <w:rsid w:val="008E2FE7"/>
    <w:rsid w:val="008E2FF8"/>
    <w:rsid w:val="008E311D"/>
    <w:rsid w:val="008E32F8"/>
    <w:rsid w:val="008E3550"/>
    <w:rsid w:val="008E36C6"/>
    <w:rsid w:val="008E3767"/>
    <w:rsid w:val="008E3F7B"/>
    <w:rsid w:val="008E41BE"/>
    <w:rsid w:val="008E490E"/>
    <w:rsid w:val="008E4A1F"/>
    <w:rsid w:val="008E5CE2"/>
    <w:rsid w:val="008E5D11"/>
    <w:rsid w:val="008E5FB3"/>
    <w:rsid w:val="008E6390"/>
    <w:rsid w:val="008E64A0"/>
    <w:rsid w:val="008E69BC"/>
    <w:rsid w:val="008E6F19"/>
    <w:rsid w:val="008E6F5C"/>
    <w:rsid w:val="008E6FF3"/>
    <w:rsid w:val="008E7387"/>
    <w:rsid w:val="008F0528"/>
    <w:rsid w:val="008F05ED"/>
    <w:rsid w:val="008F0A66"/>
    <w:rsid w:val="008F0D72"/>
    <w:rsid w:val="008F0E1B"/>
    <w:rsid w:val="008F1DFC"/>
    <w:rsid w:val="008F1E68"/>
    <w:rsid w:val="008F25FB"/>
    <w:rsid w:val="008F29F7"/>
    <w:rsid w:val="008F2AB4"/>
    <w:rsid w:val="008F2FE7"/>
    <w:rsid w:val="008F3767"/>
    <w:rsid w:val="008F41A5"/>
    <w:rsid w:val="008F475E"/>
    <w:rsid w:val="008F4789"/>
    <w:rsid w:val="008F4B79"/>
    <w:rsid w:val="008F4B91"/>
    <w:rsid w:val="008F4D29"/>
    <w:rsid w:val="008F5182"/>
    <w:rsid w:val="008F5E4E"/>
    <w:rsid w:val="008F60F3"/>
    <w:rsid w:val="008F6142"/>
    <w:rsid w:val="008F660B"/>
    <w:rsid w:val="008F690E"/>
    <w:rsid w:val="008F6F02"/>
    <w:rsid w:val="008F6FB2"/>
    <w:rsid w:val="008F6FC6"/>
    <w:rsid w:val="008F72DC"/>
    <w:rsid w:val="008F7A16"/>
    <w:rsid w:val="008F7C57"/>
    <w:rsid w:val="008F7E66"/>
    <w:rsid w:val="0090028C"/>
    <w:rsid w:val="00900B21"/>
    <w:rsid w:val="00900D2E"/>
    <w:rsid w:val="00900F29"/>
    <w:rsid w:val="009011F1"/>
    <w:rsid w:val="009011FD"/>
    <w:rsid w:val="0090130D"/>
    <w:rsid w:val="009013BE"/>
    <w:rsid w:val="0090149C"/>
    <w:rsid w:val="00901785"/>
    <w:rsid w:val="009019CA"/>
    <w:rsid w:val="00901BB7"/>
    <w:rsid w:val="00901CEF"/>
    <w:rsid w:val="009021E3"/>
    <w:rsid w:val="009026B1"/>
    <w:rsid w:val="009027D8"/>
    <w:rsid w:val="00902A84"/>
    <w:rsid w:val="00903001"/>
    <w:rsid w:val="00903040"/>
    <w:rsid w:val="00903148"/>
    <w:rsid w:val="009032A0"/>
    <w:rsid w:val="0090337F"/>
    <w:rsid w:val="00903392"/>
    <w:rsid w:val="009037F0"/>
    <w:rsid w:val="0090397E"/>
    <w:rsid w:val="009039B2"/>
    <w:rsid w:val="009039BF"/>
    <w:rsid w:val="00903C00"/>
    <w:rsid w:val="00903F00"/>
    <w:rsid w:val="00903F7D"/>
    <w:rsid w:val="009040BE"/>
    <w:rsid w:val="009042A5"/>
    <w:rsid w:val="00904358"/>
    <w:rsid w:val="00904F23"/>
    <w:rsid w:val="009051F4"/>
    <w:rsid w:val="009053D1"/>
    <w:rsid w:val="00905447"/>
    <w:rsid w:val="0090559A"/>
    <w:rsid w:val="0090564D"/>
    <w:rsid w:val="009059A1"/>
    <w:rsid w:val="009059D0"/>
    <w:rsid w:val="00905C6B"/>
    <w:rsid w:val="00905CD8"/>
    <w:rsid w:val="00906330"/>
    <w:rsid w:val="00906392"/>
    <w:rsid w:val="00906A83"/>
    <w:rsid w:val="00906CDA"/>
    <w:rsid w:val="009072EE"/>
    <w:rsid w:val="0090784A"/>
    <w:rsid w:val="00907AD9"/>
    <w:rsid w:val="00910069"/>
    <w:rsid w:val="009100E3"/>
    <w:rsid w:val="009106FD"/>
    <w:rsid w:val="009109FB"/>
    <w:rsid w:val="00910EAA"/>
    <w:rsid w:val="009110D9"/>
    <w:rsid w:val="009115EE"/>
    <w:rsid w:val="0091192D"/>
    <w:rsid w:val="00911B1D"/>
    <w:rsid w:val="00911C84"/>
    <w:rsid w:val="009120EE"/>
    <w:rsid w:val="00912167"/>
    <w:rsid w:val="009129EB"/>
    <w:rsid w:val="00912BE2"/>
    <w:rsid w:val="00912C1C"/>
    <w:rsid w:val="00912C83"/>
    <w:rsid w:val="00912CD9"/>
    <w:rsid w:val="00912F2A"/>
    <w:rsid w:val="00912FD7"/>
    <w:rsid w:val="009130A2"/>
    <w:rsid w:val="009130A3"/>
    <w:rsid w:val="00913421"/>
    <w:rsid w:val="0091364A"/>
    <w:rsid w:val="00913ABA"/>
    <w:rsid w:val="00913C75"/>
    <w:rsid w:val="00914458"/>
    <w:rsid w:val="00914622"/>
    <w:rsid w:val="00914961"/>
    <w:rsid w:val="00915068"/>
    <w:rsid w:val="00915342"/>
    <w:rsid w:val="00915937"/>
    <w:rsid w:val="00915A8C"/>
    <w:rsid w:val="00915B76"/>
    <w:rsid w:val="00916053"/>
    <w:rsid w:val="009162CD"/>
    <w:rsid w:val="0091653F"/>
    <w:rsid w:val="009170FF"/>
    <w:rsid w:val="00917462"/>
    <w:rsid w:val="009176C5"/>
    <w:rsid w:val="00917A08"/>
    <w:rsid w:val="00917C23"/>
    <w:rsid w:val="00917EDF"/>
    <w:rsid w:val="00920193"/>
    <w:rsid w:val="00920A27"/>
    <w:rsid w:val="00920A76"/>
    <w:rsid w:val="009212BF"/>
    <w:rsid w:val="00921E4F"/>
    <w:rsid w:val="00922122"/>
    <w:rsid w:val="0092225C"/>
    <w:rsid w:val="009228B1"/>
    <w:rsid w:val="00922A41"/>
    <w:rsid w:val="00922C73"/>
    <w:rsid w:val="00923F28"/>
    <w:rsid w:val="00923FA7"/>
    <w:rsid w:val="0092405E"/>
    <w:rsid w:val="0092428F"/>
    <w:rsid w:val="00924B99"/>
    <w:rsid w:val="00924F24"/>
    <w:rsid w:val="00925C92"/>
    <w:rsid w:val="00925DD6"/>
    <w:rsid w:val="00925E58"/>
    <w:rsid w:val="009262FF"/>
    <w:rsid w:val="00926AD3"/>
    <w:rsid w:val="00926AD4"/>
    <w:rsid w:val="00926DD7"/>
    <w:rsid w:val="0092757B"/>
    <w:rsid w:val="00927890"/>
    <w:rsid w:val="0092797F"/>
    <w:rsid w:val="00927F7C"/>
    <w:rsid w:val="009300A5"/>
    <w:rsid w:val="009304B7"/>
    <w:rsid w:val="009305C1"/>
    <w:rsid w:val="00930A35"/>
    <w:rsid w:val="009319E0"/>
    <w:rsid w:val="00931BF4"/>
    <w:rsid w:val="00931D32"/>
    <w:rsid w:val="00932469"/>
    <w:rsid w:val="009333FF"/>
    <w:rsid w:val="00933688"/>
    <w:rsid w:val="009337D0"/>
    <w:rsid w:val="0093402C"/>
    <w:rsid w:val="009344EE"/>
    <w:rsid w:val="00934749"/>
    <w:rsid w:val="00934771"/>
    <w:rsid w:val="009347D2"/>
    <w:rsid w:val="009348B8"/>
    <w:rsid w:val="00934CF9"/>
    <w:rsid w:val="00934FA5"/>
    <w:rsid w:val="00935361"/>
    <w:rsid w:val="009357FA"/>
    <w:rsid w:val="00935A71"/>
    <w:rsid w:val="00935A81"/>
    <w:rsid w:val="009368F4"/>
    <w:rsid w:val="00936DA3"/>
    <w:rsid w:val="00937B59"/>
    <w:rsid w:val="00937C45"/>
    <w:rsid w:val="00937CAD"/>
    <w:rsid w:val="00937EBF"/>
    <w:rsid w:val="00940225"/>
    <w:rsid w:val="00940674"/>
    <w:rsid w:val="009409A3"/>
    <w:rsid w:val="00940B70"/>
    <w:rsid w:val="00940B8F"/>
    <w:rsid w:val="00940CBE"/>
    <w:rsid w:val="00941188"/>
    <w:rsid w:val="00941620"/>
    <w:rsid w:val="00941D7A"/>
    <w:rsid w:val="00941EF7"/>
    <w:rsid w:val="00942096"/>
    <w:rsid w:val="009422EE"/>
    <w:rsid w:val="00942A88"/>
    <w:rsid w:val="00943497"/>
    <w:rsid w:val="00943566"/>
    <w:rsid w:val="009435DC"/>
    <w:rsid w:val="00943678"/>
    <w:rsid w:val="009437C4"/>
    <w:rsid w:val="0094381F"/>
    <w:rsid w:val="00943A2D"/>
    <w:rsid w:val="00943EE0"/>
    <w:rsid w:val="009440E1"/>
    <w:rsid w:val="00944271"/>
    <w:rsid w:val="009442BE"/>
    <w:rsid w:val="00944406"/>
    <w:rsid w:val="00944DD0"/>
    <w:rsid w:val="00944E5C"/>
    <w:rsid w:val="0094509A"/>
    <w:rsid w:val="00945329"/>
    <w:rsid w:val="0094539A"/>
    <w:rsid w:val="009454D1"/>
    <w:rsid w:val="00945591"/>
    <w:rsid w:val="00945AE2"/>
    <w:rsid w:val="00945C79"/>
    <w:rsid w:val="00945DE7"/>
    <w:rsid w:val="00945EED"/>
    <w:rsid w:val="00945F2E"/>
    <w:rsid w:val="00946036"/>
    <w:rsid w:val="00946338"/>
    <w:rsid w:val="00946ACB"/>
    <w:rsid w:val="00946CE8"/>
    <w:rsid w:val="00946F0E"/>
    <w:rsid w:val="0094700A"/>
    <w:rsid w:val="00947672"/>
    <w:rsid w:val="009479B1"/>
    <w:rsid w:val="00947DD9"/>
    <w:rsid w:val="0095018C"/>
    <w:rsid w:val="009502C9"/>
    <w:rsid w:val="00950916"/>
    <w:rsid w:val="009509A6"/>
    <w:rsid w:val="00950E8A"/>
    <w:rsid w:val="00951A26"/>
    <w:rsid w:val="00951AD0"/>
    <w:rsid w:val="00951F79"/>
    <w:rsid w:val="00952218"/>
    <w:rsid w:val="0095245B"/>
    <w:rsid w:val="00952494"/>
    <w:rsid w:val="00952905"/>
    <w:rsid w:val="00952927"/>
    <w:rsid w:val="00952C9B"/>
    <w:rsid w:val="00952D60"/>
    <w:rsid w:val="00952E6C"/>
    <w:rsid w:val="00952ECA"/>
    <w:rsid w:val="00954246"/>
    <w:rsid w:val="00954669"/>
    <w:rsid w:val="00954A9B"/>
    <w:rsid w:val="00954D4A"/>
    <w:rsid w:val="00954F3A"/>
    <w:rsid w:val="0095537F"/>
    <w:rsid w:val="0095549F"/>
    <w:rsid w:val="0095556C"/>
    <w:rsid w:val="00955842"/>
    <w:rsid w:val="00955BDC"/>
    <w:rsid w:val="00955E59"/>
    <w:rsid w:val="00956013"/>
    <w:rsid w:val="0095621F"/>
    <w:rsid w:val="00956767"/>
    <w:rsid w:val="009567D2"/>
    <w:rsid w:val="009568BA"/>
    <w:rsid w:val="00956B8C"/>
    <w:rsid w:val="00957026"/>
    <w:rsid w:val="00957672"/>
    <w:rsid w:val="00957CAA"/>
    <w:rsid w:val="00957E99"/>
    <w:rsid w:val="00960594"/>
    <w:rsid w:val="00960607"/>
    <w:rsid w:val="009608A4"/>
    <w:rsid w:val="00961542"/>
    <w:rsid w:val="00961969"/>
    <w:rsid w:val="00961BBB"/>
    <w:rsid w:val="00961C90"/>
    <w:rsid w:val="0096221F"/>
    <w:rsid w:val="0096278A"/>
    <w:rsid w:val="009629B5"/>
    <w:rsid w:val="00962AEB"/>
    <w:rsid w:val="009637A0"/>
    <w:rsid w:val="009638DE"/>
    <w:rsid w:val="00963FB4"/>
    <w:rsid w:val="009640E7"/>
    <w:rsid w:val="00964252"/>
    <w:rsid w:val="0096432C"/>
    <w:rsid w:val="00964442"/>
    <w:rsid w:val="0096444E"/>
    <w:rsid w:val="00964740"/>
    <w:rsid w:val="00964918"/>
    <w:rsid w:val="009649DD"/>
    <w:rsid w:val="00964B3F"/>
    <w:rsid w:val="00964CB1"/>
    <w:rsid w:val="00965C19"/>
    <w:rsid w:val="00965C9E"/>
    <w:rsid w:val="00965ED8"/>
    <w:rsid w:val="0096632E"/>
    <w:rsid w:val="00966724"/>
    <w:rsid w:val="00966AA2"/>
    <w:rsid w:val="009670BE"/>
    <w:rsid w:val="009678B3"/>
    <w:rsid w:val="00970395"/>
    <w:rsid w:val="009706E7"/>
    <w:rsid w:val="009708F0"/>
    <w:rsid w:val="00970B73"/>
    <w:rsid w:val="00970CD1"/>
    <w:rsid w:val="009712AD"/>
    <w:rsid w:val="009712BA"/>
    <w:rsid w:val="00971811"/>
    <w:rsid w:val="00971BC6"/>
    <w:rsid w:val="0097273B"/>
    <w:rsid w:val="00972CFF"/>
    <w:rsid w:val="00972F8F"/>
    <w:rsid w:val="00973167"/>
    <w:rsid w:val="009731CD"/>
    <w:rsid w:val="00973374"/>
    <w:rsid w:val="009733B7"/>
    <w:rsid w:val="0097348C"/>
    <w:rsid w:val="009736F9"/>
    <w:rsid w:val="00973777"/>
    <w:rsid w:val="00973D74"/>
    <w:rsid w:val="00973EEA"/>
    <w:rsid w:val="009744D6"/>
    <w:rsid w:val="009749DA"/>
    <w:rsid w:val="00974FD9"/>
    <w:rsid w:val="00975088"/>
    <w:rsid w:val="009755AA"/>
    <w:rsid w:val="009755CE"/>
    <w:rsid w:val="00975F35"/>
    <w:rsid w:val="00976017"/>
    <w:rsid w:val="00977378"/>
    <w:rsid w:val="00977975"/>
    <w:rsid w:val="00977D69"/>
    <w:rsid w:val="009804A7"/>
    <w:rsid w:val="009807DD"/>
    <w:rsid w:val="009809DD"/>
    <w:rsid w:val="00980A87"/>
    <w:rsid w:val="00980CD0"/>
    <w:rsid w:val="00981119"/>
    <w:rsid w:val="009815DE"/>
    <w:rsid w:val="009816D2"/>
    <w:rsid w:val="00981C7A"/>
    <w:rsid w:val="00982476"/>
    <w:rsid w:val="009825E4"/>
    <w:rsid w:val="00982B2D"/>
    <w:rsid w:val="00982E75"/>
    <w:rsid w:val="009832FF"/>
    <w:rsid w:val="00983927"/>
    <w:rsid w:val="009839F8"/>
    <w:rsid w:val="00983FCF"/>
    <w:rsid w:val="00984040"/>
    <w:rsid w:val="009840F7"/>
    <w:rsid w:val="0098438E"/>
    <w:rsid w:val="009846B4"/>
    <w:rsid w:val="00984E88"/>
    <w:rsid w:val="00985047"/>
    <w:rsid w:val="0098597E"/>
    <w:rsid w:val="00985BE6"/>
    <w:rsid w:val="00985BFD"/>
    <w:rsid w:val="00985C6B"/>
    <w:rsid w:val="00985CE1"/>
    <w:rsid w:val="00985F20"/>
    <w:rsid w:val="009863D6"/>
    <w:rsid w:val="00986479"/>
    <w:rsid w:val="00986EEF"/>
    <w:rsid w:val="00987BC1"/>
    <w:rsid w:val="009901C4"/>
    <w:rsid w:val="00990243"/>
    <w:rsid w:val="00990311"/>
    <w:rsid w:val="009905ED"/>
    <w:rsid w:val="00990C49"/>
    <w:rsid w:val="00990D2F"/>
    <w:rsid w:val="00991854"/>
    <w:rsid w:val="00991D89"/>
    <w:rsid w:val="009927D6"/>
    <w:rsid w:val="009930C9"/>
    <w:rsid w:val="0099337F"/>
    <w:rsid w:val="009934AE"/>
    <w:rsid w:val="009936BB"/>
    <w:rsid w:val="009938F5"/>
    <w:rsid w:val="00993A3E"/>
    <w:rsid w:val="00994051"/>
    <w:rsid w:val="0099418F"/>
    <w:rsid w:val="00994CC1"/>
    <w:rsid w:val="0099537F"/>
    <w:rsid w:val="00996519"/>
    <w:rsid w:val="00996767"/>
    <w:rsid w:val="0099677E"/>
    <w:rsid w:val="00996A18"/>
    <w:rsid w:val="00996BE4"/>
    <w:rsid w:val="009973ED"/>
    <w:rsid w:val="0099777A"/>
    <w:rsid w:val="00997A85"/>
    <w:rsid w:val="009A049E"/>
    <w:rsid w:val="009A06B2"/>
    <w:rsid w:val="009A0B45"/>
    <w:rsid w:val="009A0C37"/>
    <w:rsid w:val="009A0DCF"/>
    <w:rsid w:val="009A14F3"/>
    <w:rsid w:val="009A19AC"/>
    <w:rsid w:val="009A1A6F"/>
    <w:rsid w:val="009A1CB0"/>
    <w:rsid w:val="009A216D"/>
    <w:rsid w:val="009A303C"/>
    <w:rsid w:val="009A379A"/>
    <w:rsid w:val="009A38A7"/>
    <w:rsid w:val="009A3D78"/>
    <w:rsid w:val="009A433D"/>
    <w:rsid w:val="009A43A2"/>
    <w:rsid w:val="009A445C"/>
    <w:rsid w:val="009A467E"/>
    <w:rsid w:val="009A4780"/>
    <w:rsid w:val="009A4784"/>
    <w:rsid w:val="009A47D0"/>
    <w:rsid w:val="009A49D0"/>
    <w:rsid w:val="009A4B19"/>
    <w:rsid w:val="009A4E89"/>
    <w:rsid w:val="009A557B"/>
    <w:rsid w:val="009A580F"/>
    <w:rsid w:val="009A59B8"/>
    <w:rsid w:val="009A5D80"/>
    <w:rsid w:val="009A6107"/>
    <w:rsid w:val="009A621A"/>
    <w:rsid w:val="009A67FA"/>
    <w:rsid w:val="009A69E3"/>
    <w:rsid w:val="009A6B6D"/>
    <w:rsid w:val="009A6D81"/>
    <w:rsid w:val="009A6E5C"/>
    <w:rsid w:val="009A7109"/>
    <w:rsid w:val="009A7275"/>
    <w:rsid w:val="009A72E6"/>
    <w:rsid w:val="009A74C3"/>
    <w:rsid w:val="009A756D"/>
    <w:rsid w:val="009A7686"/>
    <w:rsid w:val="009A7B8D"/>
    <w:rsid w:val="009A7C0D"/>
    <w:rsid w:val="009A7CF6"/>
    <w:rsid w:val="009A7DA8"/>
    <w:rsid w:val="009A7DDD"/>
    <w:rsid w:val="009B0E1A"/>
    <w:rsid w:val="009B115F"/>
    <w:rsid w:val="009B1233"/>
    <w:rsid w:val="009B129D"/>
    <w:rsid w:val="009B14EB"/>
    <w:rsid w:val="009B1846"/>
    <w:rsid w:val="009B1914"/>
    <w:rsid w:val="009B1CA4"/>
    <w:rsid w:val="009B2567"/>
    <w:rsid w:val="009B2BED"/>
    <w:rsid w:val="009B2E98"/>
    <w:rsid w:val="009B2E9F"/>
    <w:rsid w:val="009B2FA2"/>
    <w:rsid w:val="009B362F"/>
    <w:rsid w:val="009B370B"/>
    <w:rsid w:val="009B37BC"/>
    <w:rsid w:val="009B450E"/>
    <w:rsid w:val="009B4821"/>
    <w:rsid w:val="009B4985"/>
    <w:rsid w:val="009B5DD2"/>
    <w:rsid w:val="009B5F25"/>
    <w:rsid w:val="009B64D5"/>
    <w:rsid w:val="009B6877"/>
    <w:rsid w:val="009B6CF6"/>
    <w:rsid w:val="009B712E"/>
    <w:rsid w:val="009B741D"/>
    <w:rsid w:val="009B7C11"/>
    <w:rsid w:val="009B7D6A"/>
    <w:rsid w:val="009C031D"/>
    <w:rsid w:val="009C0954"/>
    <w:rsid w:val="009C12C4"/>
    <w:rsid w:val="009C15E8"/>
    <w:rsid w:val="009C1869"/>
    <w:rsid w:val="009C1A71"/>
    <w:rsid w:val="009C1C5E"/>
    <w:rsid w:val="009C1CCF"/>
    <w:rsid w:val="009C2060"/>
    <w:rsid w:val="009C2B20"/>
    <w:rsid w:val="009C2C15"/>
    <w:rsid w:val="009C2CE8"/>
    <w:rsid w:val="009C2CF6"/>
    <w:rsid w:val="009C2D91"/>
    <w:rsid w:val="009C35B1"/>
    <w:rsid w:val="009C39F2"/>
    <w:rsid w:val="009C41A5"/>
    <w:rsid w:val="009C42E8"/>
    <w:rsid w:val="009C43E8"/>
    <w:rsid w:val="009C44A1"/>
    <w:rsid w:val="009C455B"/>
    <w:rsid w:val="009C467D"/>
    <w:rsid w:val="009C4699"/>
    <w:rsid w:val="009C4D7B"/>
    <w:rsid w:val="009C501B"/>
    <w:rsid w:val="009C522F"/>
    <w:rsid w:val="009C572E"/>
    <w:rsid w:val="009C5AA2"/>
    <w:rsid w:val="009C5BFA"/>
    <w:rsid w:val="009C5EC1"/>
    <w:rsid w:val="009C6449"/>
    <w:rsid w:val="009C64CE"/>
    <w:rsid w:val="009C66E0"/>
    <w:rsid w:val="009C69FA"/>
    <w:rsid w:val="009C6A18"/>
    <w:rsid w:val="009C6CE1"/>
    <w:rsid w:val="009C6D82"/>
    <w:rsid w:val="009C6E8F"/>
    <w:rsid w:val="009C6F29"/>
    <w:rsid w:val="009C6F9B"/>
    <w:rsid w:val="009C7780"/>
    <w:rsid w:val="009D07F1"/>
    <w:rsid w:val="009D090A"/>
    <w:rsid w:val="009D0A04"/>
    <w:rsid w:val="009D0A56"/>
    <w:rsid w:val="009D0A7A"/>
    <w:rsid w:val="009D1536"/>
    <w:rsid w:val="009D1E88"/>
    <w:rsid w:val="009D227D"/>
    <w:rsid w:val="009D262F"/>
    <w:rsid w:val="009D2A59"/>
    <w:rsid w:val="009D2D30"/>
    <w:rsid w:val="009D30E0"/>
    <w:rsid w:val="009D3663"/>
    <w:rsid w:val="009D3673"/>
    <w:rsid w:val="009D36C5"/>
    <w:rsid w:val="009D37C4"/>
    <w:rsid w:val="009D3AF2"/>
    <w:rsid w:val="009D3B31"/>
    <w:rsid w:val="009D3E6D"/>
    <w:rsid w:val="009D41A9"/>
    <w:rsid w:val="009D47ED"/>
    <w:rsid w:val="009D4890"/>
    <w:rsid w:val="009D49C4"/>
    <w:rsid w:val="009D50C7"/>
    <w:rsid w:val="009D5E30"/>
    <w:rsid w:val="009D66A8"/>
    <w:rsid w:val="009D7068"/>
    <w:rsid w:val="009D7636"/>
    <w:rsid w:val="009D7C73"/>
    <w:rsid w:val="009E0265"/>
    <w:rsid w:val="009E0415"/>
    <w:rsid w:val="009E0B88"/>
    <w:rsid w:val="009E0E51"/>
    <w:rsid w:val="009E0F7D"/>
    <w:rsid w:val="009E108C"/>
    <w:rsid w:val="009E2444"/>
    <w:rsid w:val="009E2565"/>
    <w:rsid w:val="009E25F1"/>
    <w:rsid w:val="009E273E"/>
    <w:rsid w:val="009E29C4"/>
    <w:rsid w:val="009E2E06"/>
    <w:rsid w:val="009E30F0"/>
    <w:rsid w:val="009E3138"/>
    <w:rsid w:val="009E352E"/>
    <w:rsid w:val="009E3A48"/>
    <w:rsid w:val="009E3F1D"/>
    <w:rsid w:val="009E4462"/>
    <w:rsid w:val="009E458F"/>
    <w:rsid w:val="009E48F3"/>
    <w:rsid w:val="009E4B9A"/>
    <w:rsid w:val="009E554A"/>
    <w:rsid w:val="009E5A2C"/>
    <w:rsid w:val="009E5A63"/>
    <w:rsid w:val="009E5ADC"/>
    <w:rsid w:val="009E5BD7"/>
    <w:rsid w:val="009E5C21"/>
    <w:rsid w:val="009E5CED"/>
    <w:rsid w:val="009E5F73"/>
    <w:rsid w:val="009E6130"/>
    <w:rsid w:val="009E646A"/>
    <w:rsid w:val="009E684D"/>
    <w:rsid w:val="009E6918"/>
    <w:rsid w:val="009E6DB1"/>
    <w:rsid w:val="009E74C9"/>
    <w:rsid w:val="009E761D"/>
    <w:rsid w:val="009E7AA1"/>
    <w:rsid w:val="009E7E9F"/>
    <w:rsid w:val="009E7FAA"/>
    <w:rsid w:val="009F06CE"/>
    <w:rsid w:val="009F07BF"/>
    <w:rsid w:val="009F0B11"/>
    <w:rsid w:val="009F0E7A"/>
    <w:rsid w:val="009F1DDA"/>
    <w:rsid w:val="009F2109"/>
    <w:rsid w:val="009F25AA"/>
    <w:rsid w:val="009F2771"/>
    <w:rsid w:val="009F2CCA"/>
    <w:rsid w:val="009F2E42"/>
    <w:rsid w:val="009F3B54"/>
    <w:rsid w:val="009F3E5C"/>
    <w:rsid w:val="009F3F29"/>
    <w:rsid w:val="009F3F38"/>
    <w:rsid w:val="009F46AF"/>
    <w:rsid w:val="009F471A"/>
    <w:rsid w:val="009F4781"/>
    <w:rsid w:val="009F486F"/>
    <w:rsid w:val="009F4934"/>
    <w:rsid w:val="009F495C"/>
    <w:rsid w:val="009F5036"/>
    <w:rsid w:val="009F57F7"/>
    <w:rsid w:val="009F5E5D"/>
    <w:rsid w:val="009F621F"/>
    <w:rsid w:val="009F66FB"/>
    <w:rsid w:val="009F6A9D"/>
    <w:rsid w:val="009F6CA0"/>
    <w:rsid w:val="009F6DE2"/>
    <w:rsid w:val="009F7FD3"/>
    <w:rsid w:val="00A00011"/>
    <w:rsid w:val="00A0043F"/>
    <w:rsid w:val="00A0088C"/>
    <w:rsid w:val="00A00A23"/>
    <w:rsid w:val="00A00E14"/>
    <w:rsid w:val="00A01085"/>
    <w:rsid w:val="00A01303"/>
    <w:rsid w:val="00A01589"/>
    <w:rsid w:val="00A01A9B"/>
    <w:rsid w:val="00A01B6F"/>
    <w:rsid w:val="00A01CAD"/>
    <w:rsid w:val="00A01F15"/>
    <w:rsid w:val="00A02468"/>
    <w:rsid w:val="00A0249E"/>
    <w:rsid w:val="00A02706"/>
    <w:rsid w:val="00A02CFE"/>
    <w:rsid w:val="00A02E85"/>
    <w:rsid w:val="00A031F4"/>
    <w:rsid w:val="00A03CB7"/>
    <w:rsid w:val="00A0423A"/>
    <w:rsid w:val="00A04390"/>
    <w:rsid w:val="00A04628"/>
    <w:rsid w:val="00A04A9A"/>
    <w:rsid w:val="00A04CF4"/>
    <w:rsid w:val="00A04F77"/>
    <w:rsid w:val="00A0523F"/>
    <w:rsid w:val="00A053F6"/>
    <w:rsid w:val="00A0588D"/>
    <w:rsid w:val="00A05C13"/>
    <w:rsid w:val="00A05E98"/>
    <w:rsid w:val="00A06064"/>
    <w:rsid w:val="00A066CC"/>
    <w:rsid w:val="00A067C7"/>
    <w:rsid w:val="00A069E0"/>
    <w:rsid w:val="00A06A20"/>
    <w:rsid w:val="00A06B70"/>
    <w:rsid w:val="00A06D58"/>
    <w:rsid w:val="00A07202"/>
    <w:rsid w:val="00A07E6B"/>
    <w:rsid w:val="00A07F2A"/>
    <w:rsid w:val="00A10664"/>
    <w:rsid w:val="00A10768"/>
    <w:rsid w:val="00A10789"/>
    <w:rsid w:val="00A10966"/>
    <w:rsid w:val="00A10C0B"/>
    <w:rsid w:val="00A11124"/>
    <w:rsid w:val="00A11468"/>
    <w:rsid w:val="00A1197C"/>
    <w:rsid w:val="00A11DD2"/>
    <w:rsid w:val="00A11E19"/>
    <w:rsid w:val="00A121AB"/>
    <w:rsid w:val="00A12577"/>
    <w:rsid w:val="00A12862"/>
    <w:rsid w:val="00A129AA"/>
    <w:rsid w:val="00A1304A"/>
    <w:rsid w:val="00A1316C"/>
    <w:rsid w:val="00A1357C"/>
    <w:rsid w:val="00A14154"/>
    <w:rsid w:val="00A142F3"/>
    <w:rsid w:val="00A14326"/>
    <w:rsid w:val="00A146E3"/>
    <w:rsid w:val="00A149A3"/>
    <w:rsid w:val="00A14A8B"/>
    <w:rsid w:val="00A14AF3"/>
    <w:rsid w:val="00A15546"/>
    <w:rsid w:val="00A159C8"/>
    <w:rsid w:val="00A16019"/>
    <w:rsid w:val="00A16468"/>
    <w:rsid w:val="00A1661D"/>
    <w:rsid w:val="00A16A97"/>
    <w:rsid w:val="00A16E22"/>
    <w:rsid w:val="00A173AD"/>
    <w:rsid w:val="00A17BC9"/>
    <w:rsid w:val="00A17D63"/>
    <w:rsid w:val="00A17DBC"/>
    <w:rsid w:val="00A17F88"/>
    <w:rsid w:val="00A20280"/>
    <w:rsid w:val="00A20954"/>
    <w:rsid w:val="00A20970"/>
    <w:rsid w:val="00A20BB0"/>
    <w:rsid w:val="00A20C12"/>
    <w:rsid w:val="00A21264"/>
    <w:rsid w:val="00A21282"/>
    <w:rsid w:val="00A2138B"/>
    <w:rsid w:val="00A2172D"/>
    <w:rsid w:val="00A218CC"/>
    <w:rsid w:val="00A21EE7"/>
    <w:rsid w:val="00A22252"/>
    <w:rsid w:val="00A22441"/>
    <w:rsid w:val="00A22C9D"/>
    <w:rsid w:val="00A22E39"/>
    <w:rsid w:val="00A22E3D"/>
    <w:rsid w:val="00A236A2"/>
    <w:rsid w:val="00A23956"/>
    <w:rsid w:val="00A24271"/>
    <w:rsid w:val="00A247B5"/>
    <w:rsid w:val="00A247C2"/>
    <w:rsid w:val="00A24817"/>
    <w:rsid w:val="00A24DE1"/>
    <w:rsid w:val="00A24E74"/>
    <w:rsid w:val="00A24ED3"/>
    <w:rsid w:val="00A25C16"/>
    <w:rsid w:val="00A2640B"/>
    <w:rsid w:val="00A26724"/>
    <w:rsid w:val="00A26AD2"/>
    <w:rsid w:val="00A274B8"/>
    <w:rsid w:val="00A30391"/>
    <w:rsid w:val="00A3039E"/>
    <w:rsid w:val="00A306C4"/>
    <w:rsid w:val="00A30E46"/>
    <w:rsid w:val="00A31042"/>
    <w:rsid w:val="00A310AD"/>
    <w:rsid w:val="00A31335"/>
    <w:rsid w:val="00A314DA"/>
    <w:rsid w:val="00A31662"/>
    <w:rsid w:val="00A31C6B"/>
    <w:rsid w:val="00A31DFB"/>
    <w:rsid w:val="00A32244"/>
    <w:rsid w:val="00A32F1A"/>
    <w:rsid w:val="00A3302E"/>
    <w:rsid w:val="00A330C0"/>
    <w:rsid w:val="00A333B2"/>
    <w:rsid w:val="00A33412"/>
    <w:rsid w:val="00A334A0"/>
    <w:rsid w:val="00A335D9"/>
    <w:rsid w:val="00A336BE"/>
    <w:rsid w:val="00A33EF5"/>
    <w:rsid w:val="00A3424D"/>
    <w:rsid w:val="00A34354"/>
    <w:rsid w:val="00A34DB0"/>
    <w:rsid w:val="00A35B1C"/>
    <w:rsid w:val="00A35B57"/>
    <w:rsid w:val="00A362A9"/>
    <w:rsid w:val="00A36327"/>
    <w:rsid w:val="00A363EA"/>
    <w:rsid w:val="00A3689E"/>
    <w:rsid w:val="00A36BD6"/>
    <w:rsid w:val="00A36C5B"/>
    <w:rsid w:val="00A36DC9"/>
    <w:rsid w:val="00A37487"/>
    <w:rsid w:val="00A3758D"/>
    <w:rsid w:val="00A37738"/>
    <w:rsid w:val="00A378F5"/>
    <w:rsid w:val="00A37FC3"/>
    <w:rsid w:val="00A4011E"/>
    <w:rsid w:val="00A40608"/>
    <w:rsid w:val="00A40844"/>
    <w:rsid w:val="00A40883"/>
    <w:rsid w:val="00A41199"/>
    <w:rsid w:val="00A41934"/>
    <w:rsid w:val="00A41A35"/>
    <w:rsid w:val="00A41D47"/>
    <w:rsid w:val="00A41DF4"/>
    <w:rsid w:val="00A4254D"/>
    <w:rsid w:val="00A42832"/>
    <w:rsid w:val="00A429C0"/>
    <w:rsid w:val="00A429C7"/>
    <w:rsid w:val="00A42AC6"/>
    <w:rsid w:val="00A42D32"/>
    <w:rsid w:val="00A42FC8"/>
    <w:rsid w:val="00A4331F"/>
    <w:rsid w:val="00A43610"/>
    <w:rsid w:val="00A4375A"/>
    <w:rsid w:val="00A437DB"/>
    <w:rsid w:val="00A43F06"/>
    <w:rsid w:val="00A441BF"/>
    <w:rsid w:val="00A442B3"/>
    <w:rsid w:val="00A44567"/>
    <w:rsid w:val="00A4468F"/>
    <w:rsid w:val="00A44C62"/>
    <w:rsid w:val="00A44D0A"/>
    <w:rsid w:val="00A44E32"/>
    <w:rsid w:val="00A45071"/>
    <w:rsid w:val="00A45564"/>
    <w:rsid w:val="00A45592"/>
    <w:rsid w:val="00A45F47"/>
    <w:rsid w:val="00A4602C"/>
    <w:rsid w:val="00A46191"/>
    <w:rsid w:val="00A461FE"/>
    <w:rsid w:val="00A462C4"/>
    <w:rsid w:val="00A46A1E"/>
    <w:rsid w:val="00A46A2F"/>
    <w:rsid w:val="00A46BDD"/>
    <w:rsid w:val="00A473ED"/>
    <w:rsid w:val="00A47C4D"/>
    <w:rsid w:val="00A47C5C"/>
    <w:rsid w:val="00A50756"/>
    <w:rsid w:val="00A50808"/>
    <w:rsid w:val="00A50D0D"/>
    <w:rsid w:val="00A51691"/>
    <w:rsid w:val="00A51DA4"/>
    <w:rsid w:val="00A5207D"/>
    <w:rsid w:val="00A52597"/>
    <w:rsid w:val="00A52F73"/>
    <w:rsid w:val="00A52FD3"/>
    <w:rsid w:val="00A53A6D"/>
    <w:rsid w:val="00A53B8F"/>
    <w:rsid w:val="00A53BC6"/>
    <w:rsid w:val="00A53D01"/>
    <w:rsid w:val="00A5419D"/>
    <w:rsid w:val="00A541C8"/>
    <w:rsid w:val="00A5448D"/>
    <w:rsid w:val="00A54729"/>
    <w:rsid w:val="00A5474E"/>
    <w:rsid w:val="00A55096"/>
    <w:rsid w:val="00A55934"/>
    <w:rsid w:val="00A55A41"/>
    <w:rsid w:val="00A563E6"/>
    <w:rsid w:val="00A5650E"/>
    <w:rsid w:val="00A565B9"/>
    <w:rsid w:val="00A57303"/>
    <w:rsid w:val="00A5736F"/>
    <w:rsid w:val="00A5749F"/>
    <w:rsid w:val="00A57648"/>
    <w:rsid w:val="00A57743"/>
    <w:rsid w:val="00A57B9D"/>
    <w:rsid w:val="00A57C73"/>
    <w:rsid w:val="00A57E46"/>
    <w:rsid w:val="00A60232"/>
    <w:rsid w:val="00A6028B"/>
    <w:rsid w:val="00A605B0"/>
    <w:rsid w:val="00A607A6"/>
    <w:rsid w:val="00A6086E"/>
    <w:rsid w:val="00A60AAE"/>
    <w:rsid w:val="00A6109F"/>
    <w:rsid w:val="00A61501"/>
    <w:rsid w:val="00A61755"/>
    <w:rsid w:val="00A61FB4"/>
    <w:rsid w:val="00A6237E"/>
    <w:rsid w:val="00A62DAD"/>
    <w:rsid w:val="00A62E13"/>
    <w:rsid w:val="00A6314A"/>
    <w:rsid w:val="00A63266"/>
    <w:rsid w:val="00A634B8"/>
    <w:rsid w:val="00A635F5"/>
    <w:rsid w:val="00A643D2"/>
    <w:rsid w:val="00A645F5"/>
    <w:rsid w:val="00A6468E"/>
    <w:rsid w:val="00A64766"/>
    <w:rsid w:val="00A64D29"/>
    <w:rsid w:val="00A64EF5"/>
    <w:rsid w:val="00A6552D"/>
    <w:rsid w:val="00A65579"/>
    <w:rsid w:val="00A65693"/>
    <w:rsid w:val="00A65803"/>
    <w:rsid w:val="00A658DC"/>
    <w:rsid w:val="00A65CEF"/>
    <w:rsid w:val="00A66E3B"/>
    <w:rsid w:val="00A670BA"/>
    <w:rsid w:val="00A6751B"/>
    <w:rsid w:val="00A67BA5"/>
    <w:rsid w:val="00A67C61"/>
    <w:rsid w:val="00A67CE1"/>
    <w:rsid w:val="00A700D6"/>
    <w:rsid w:val="00A7069C"/>
    <w:rsid w:val="00A718EE"/>
    <w:rsid w:val="00A71AD5"/>
    <w:rsid w:val="00A721B5"/>
    <w:rsid w:val="00A726E5"/>
    <w:rsid w:val="00A728B6"/>
    <w:rsid w:val="00A72EBF"/>
    <w:rsid w:val="00A7316C"/>
    <w:rsid w:val="00A7399F"/>
    <w:rsid w:val="00A7407C"/>
    <w:rsid w:val="00A7436C"/>
    <w:rsid w:val="00A7464B"/>
    <w:rsid w:val="00A74FA2"/>
    <w:rsid w:val="00A75591"/>
    <w:rsid w:val="00A7562A"/>
    <w:rsid w:val="00A75897"/>
    <w:rsid w:val="00A75B14"/>
    <w:rsid w:val="00A75CDC"/>
    <w:rsid w:val="00A75EE2"/>
    <w:rsid w:val="00A76A5A"/>
    <w:rsid w:val="00A76C1F"/>
    <w:rsid w:val="00A7707E"/>
    <w:rsid w:val="00A7752A"/>
    <w:rsid w:val="00A77A2E"/>
    <w:rsid w:val="00A8069E"/>
    <w:rsid w:val="00A808DE"/>
    <w:rsid w:val="00A809BE"/>
    <w:rsid w:val="00A81BCD"/>
    <w:rsid w:val="00A821E5"/>
    <w:rsid w:val="00A82674"/>
    <w:rsid w:val="00A828DC"/>
    <w:rsid w:val="00A82F6C"/>
    <w:rsid w:val="00A834AD"/>
    <w:rsid w:val="00A837A6"/>
    <w:rsid w:val="00A83C97"/>
    <w:rsid w:val="00A8455D"/>
    <w:rsid w:val="00A84C61"/>
    <w:rsid w:val="00A84E89"/>
    <w:rsid w:val="00A85150"/>
    <w:rsid w:val="00A851C7"/>
    <w:rsid w:val="00A8590D"/>
    <w:rsid w:val="00A85D04"/>
    <w:rsid w:val="00A85FAB"/>
    <w:rsid w:val="00A86202"/>
    <w:rsid w:val="00A8675E"/>
    <w:rsid w:val="00A868B0"/>
    <w:rsid w:val="00A86DF9"/>
    <w:rsid w:val="00A86F8B"/>
    <w:rsid w:val="00A87227"/>
    <w:rsid w:val="00A87494"/>
    <w:rsid w:val="00A874A2"/>
    <w:rsid w:val="00A90226"/>
    <w:rsid w:val="00A9063B"/>
    <w:rsid w:val="00A9078F"/>
    <w:rsid w:val="00A9120B"/>
    <w:rsid w:val="00A91A6F"/>
    <w:rsid w:val="00A920EC"/>
    <w:rsid w:val="00A92273"/>
    <w:rsid w:val="00A925DC"/>
    <w:rsid w:val="00A927DB"/>
    <w:rsid w:val="00A9428F"/>
    <w:rsid w:val="00A943C5"/>
    <w:rsid w:val="00A946DA"/>
    <w:rsid w:val="00A94B37"/>
    <w:rsid w:val="00A94B98"/>
    <w:rsid w:val="00A95346"/>
    <w:rsid w:val="00A955C6"/>
    <w:rsid w:val="00A9585A"/>
    <w:rsid w:val="00A95901"/>
    <w:rsid w:val="00A95F20"/>
    <w:rsid w:val="00A9620F"/>
    <w:rsid w:val="00A96531"/>
    <w:rsid w:val="00A96EB5"/>
    <w:rsid w:val="00A96F47"/>
    <w:rsid w:val="00A972ED"/>
    <w:rsid w:val="00AA02CF"/>
    <w:rsid w:val="00AA054C"/>
    <w:rsid w:val="00AA093F"/>
    <w:rsid w:val="00AA094B"/>
    <w:rsid w:val="00AA0CDE"/>
    <w:rsid w:val="00AA0D49"/>
    <w:rsid w:val="00AA1322"/>
    <w:rsid w:val="00AA1F32"/>
    <w:rsid w:val="00AA26B0"/>
    <w:rsid w:val="00AA28AB"/>
    <w:rsid w:val="00AA2911"/>
    <w:rsid w:val="00AA2BD4"/>
    <w:rsid w:val="00AA2C33"/>
    <w:rsid w:val="00AA333B"/>
    <w:rsid w:val="00AA35B2"/>
    <w:rsid w:val="00AA3659"/>
    <w:rsid w:val="00AA3D04"/>
    <w:rsid w:val="00AA4139"/>
    <w:rsid w:val="00AA4CDA"/>
    <w:rsid w:val="00AA561F"/>
    <w:rsid w:val="00AA58C5"/>
    <w:rsid w:val="00AA5D38"/>
    <w:rsid w:val="00AA5DAD"/>
    <w:rsid w:val="00AA606F"/>
    <w:rsid w:val="00AA6299"/>
    <w:rsid w:val="00AA6538"/>
    <w:rsid w:val="00AA6682"/>
    <w:rsid w:val="00AA6A13"/>
    <w:rsid w:val="00AA76F4"/>
    <w:rsid w:val="00AA7A7D"/>
    <w:rsid w:val="00AA7B18"/>
    <w:rsid w:val="00AA7BE8"/>
    <w:rsid w:val="00AA7D22"/>
    <w:rsid w:val="00AB00D5"/>
    <w:rsid w:val="00AB0400"/>
    <w:rsid w:val="00AB0715"/>
    <w:rsid w:val="00AB0A0B"/>
    <w:rsid w:val="00AB0F1A"/>
    <w:rsid w:val="00AB106A"/>
    <w:rsid w:val="00AB125F"/>
    <w:rsid w:val="00AB138E"/>
    <w:rsid w:val="00AB1534"/>
    <w:rsid w:val="00AB1FE0"/>
    <w:rsid w:val="00AB26FE"/>
    <w:rsid w:val="00AB2926"/>
    <w:rsid w:val="00AB2A48"/>
    <w:rsid w:val="00AB2DA4"/>
    <w:rsid w:val="00AB2F76"/>
    <w:rsid w:val="00AB324C"/>
    <w:rsid w:val="00AB3789"/>
    <w:rsid w:val="00AB3BC2"/>
    <w:rsid w:val="00AB3BD7"/>
    <w:rsid w:val="00AB3FB7"/>
    <w:rsid w:val="00AB48DC"/>
    <w:rsid w:val="00AB4A9D"/>
    <w:rsid w:val="00AB52C1"/>
    <w:rsid w:val="00AB5666"/>
    <w:rsid w:val="00AB5686"/>
    <w:rsid w:val="00AB58E1"/>
    <w:rsid w:val="00AB59A4"/>
    <w:rsid w:val="00AB5C69"/>
    <w:rsid w:val="00AB5FDB"/>
    <w:rsid w:val="00AB63FF"/>
    <w:rsid w:val="00AB6505"/>
    <w:rsid w:val="00AB6949"/>
    <w:rsid w:val="00AB6CE0"/>
    <w:rsid w:val="00AB6D3E"/>
    <w:rsid w:val="00AB6EAC"/>
    <w:rsid w:val="00AB6F3D"/>
    <w:rsid w:val="00AB7A9A"/>
    <w:rsid w:val="00AC0F8A"/>
    <w:rsid w:val="00AC105E"/>
    <w:rsid w:val="00AC1232"/>
    <w:rsid w:val="00AC1B56"/>
    <w:rsid w:val="00AC1C34"/>
    <w:rsid w:val="00AC1CBF"/>
    <w:rsid w:val="00AC226C"/>
    <w:rsid w:val="00AC2568"/>
    <w:rsid w:val="00AC25A5"/>
    <w:rsid w:val="00AC2B4D"/>
    <w:rsid w:val="00AC2B9E"/>
    <w:rsid w:val="00AC2C33"/>
    <w:rsid w:val="00AC2FCF"/>
    <w:rsid w:val="00AC315D"/>
    <w:rsid w:val="00AC334D"/>
    <w:rsid w:val="00AC36D9"/>
    <w:rsid w:val="00AC3A95"/>
    <w:rsid w:val="00AC3B05"/>
    <w:rsid w:val="00AC4506"/>
    <w:rsid w:val="00AC4522"/>
    <w:rsid w:val="00AC4B8B"/>
    <w:rsid w:val="00AC4ED2"/>
    <w:rsid w:val="00AC5111"/>
    <w:rsid w:val="00AC5210"/>
    <w:rsid w:val="00AC5794"/>
    <w:rsid w:val="00AC5B32"/>
    <w:rsid w:val="00AC60AC"/>
    <w:rsid w:val="00AC6336"/>
    <w:rsid w:val="00AC66FA"/>
    <w:rsid w:val="00AC6C44"/>
    <w:rsid w:val="00AC6F53"/>
    <w:rsid w:val="00AC714A"/>
    <w:rsid w:val="00AC7224"/>
    <w:rsid w:val="00AC72D2"/>
    <w:rsid w:val="00AC74E8"/>
    <w:rsid w:val="00AC7913"/>
    <w:rsid w:val="00AD035C"/>
    <w:rsid w:val="00AD0705"/>
    <w:rsid w:val="00AD075F"/>
    <w:rsid w:val="00AD1263"/>
    <w:rsid w:val="00AD12BE"/>
    <w:rsid w:val="00AD13CC"/>
    <w:rsid w:val="00AD1946"/>
    <w:rsid w:val="00AD1991"/>
    <w:rsid w:val="00AD232C"/>
    <w:rsid w:val="00AD253F"/>
    <w:rsid w:val="00AD2579"/>
    <w:rsid w:val="00AD2C7C"/>
    <w:rsid w:val="00AD2F7E"/>
    <w:rsid w:val="00AD303C"/>
    <w:rsid w:val="00AD38BF"/>
    <w:rsid w:val="00AD38FF"/>
    <w:rsid w:val="00AD3A0C"/>
    <w:rsid w:val="00AD3F24"/>
    <w:rsid w:val="00AD416F"/>
    <w:rsid w:val="00AD451B"/>
    <w:rsid w:val="00AD47AC"/>
    <w:rsid w:val="00AD486E"/>
    <w:rsid w:val="00AD4C03"/>
    <w:rsid w:val="00AD4C2A"/>
    <w:rsid w:val="00AD4DDC"/>
    <w:rsid w:val="00AD551E"/>
    <w:rsid w:val="00AD5C14"/>
    <w:rsid w:val="00AD5E4A"/>
    <w:rsid w:val="00AD602A"/>
    <w:rsid w:val="00AD67A1"/>
    <w:rsid w:val="00AD794A"/>
    <w:rsid w:val="00AD7B14"/>
    <w:rsid w:val="00AD7CEB"/>
    <w:rsid w:val="00AD7D26"/>
    <w:rsid w:val="00AD7EA3"/>
    <w:rsid w:val="00AE08A8"/>
    <w:rsid w:val="00AE0E35"/>
    <w:rsid w:val="00AE1409"/>
    <w:rsid w:val="00AE16E5"/>
    <w:rsid w:val="00AE185F"/>
    <w:rsid w:val="00AE1D9F"/>
    <w:rsid w:val="00AE2318"/>
    <w:rsid w:val="00AE2552"/>
    <w:rsid w:val="00AE259C"/>
    <w:rsid w:val="00AE27EC"/>
    <w:rsid w:val="00AE2C89"/>
    <w:rsid w:val="00AE384D"/>
    <w:rsid w:val="00AE3950"/>
    <w:rsid w:val="00AE398B"/>
    <w:rsid w:val="00AE3B0B"/>
    <w:rsid w:val="00AE41B5"/>
    <w:rsid w:val="00AE4547"/>
    <w:rsid w:val="00AE46E7"/>
    <w:rsid w:val="00AE5026"/>
    <w:rsid w:val="00AE50D3"/>
    <w:rsid w:val="00AE51A8"/>
    <w:rsid w:val="00AE5765"/>
    <w:rsid w:val="00AE592E"/>
    <w:rsid w:val="00AE59FD"/>
    <w:rsid w:val="00AE607B"/>
    <w:rsid w:val="00AE63E3"/>
    <w:rsid w:val="00AE65AE"/>
    <w:rsid w:val="00AE7B4C"/>
    <w:rsid w:val="00AE7E7C"/>
    <w:rsid w:val="00AE7EDE"/>
    <w:rsid w:val="00AF09BA"/>
    <w:rsid w:val="00AF0CF0"/>
    <w:rsid w:val="00AF1133"/>
    <w:rsid w:val="00AF1569"/>
    <w:rsid w:val="00AF1982"/>
    <w:rsid w:val="00AF1FEF"/>
    <w:rsid w:val="00AF26A6"/>
    <w:rsid w:val="00AF26F8"/>
    <w:rsid w:val="00AF276E"/>
    <w:rsid w:val="00AF2ADE"/>
    <w:rsid w:val="00AF2B24"/>
    <w:rsid w:val="00AF32C0"/>
    <w:rsid w:val="00AF36AC"/>
    <w:rsid w:val="00AF3802"/>
    <w:rsid w:val="00AF3B65"/>
    <w:rsid w:val="00AF3CC1"/>
    <w:rsid w:val="00AF46E9"/>
    <w:rsid w:val="00AF479E"/>
    <w:rsid w:val="00AF4F2C"/>
    <w:rsid w:val="00AF523F"/>
    <w:rsid w:val="00AF5273"/>
    <w:rsid w:val="00AF53C7"/>
    <w:rsid w:val="00AF556E"/>
    <w:rsid w:val="00AF5742"/>
    <w:rsid w:val="00AF5750"/>
    <w:rsid w:val="00AF592F"/>
    <w:rsid w:val="00AF5F1D"/>
    <w:rsid w:val="00AF61C0"/>
    <w:rsid w:val="00AF6277"/>
    <w:rsid w:val="00AF63B2"/>
    <w:rsid w:val="00AF6515"/>
    <w:rsid w:val="00AF6571"/>
    <w:rsid w:val="00AF6680"/>
    <w:rsid w:val="00AF69F2"/>
    <w:rsid w:val="00AF70D1"/>
    <w:rsid w:val="00AF70DD"/>
    <w:rsid w:val="00AF74D5"/>
    <w:rsid w:val="00AF75B1"/>
    <w:rsid w:val="00AF7881"/>
    <w:rsid w:val="00AF7A3D"/>
    <w:rsid w:val="00AF7C0B"/>
    <w:rsid w:val="00AF7C2C"/>
    <w:rsid w:val="00B000A2"/>
    <w:rsid w:val="00B0043C"/>
    <w:rsid w:val="00B0046A"/>
    <w:rsid w:val="00B005F3"/>
    <w:rsid w:val="00B008B4"/>
    <w:rsid w:val="00B00A36"/>
    <w:rsid w:val="00B00B2C"/>
    <w:rsid w:val="00B011E8"/>
    <w:rsid w:val="00B01249"/>
    <w:rsid w:val="00B01284"/>
    <w:rsid w:val="00B012DA"/>
    <w:rsid w:val="00B013B1"/>
    <w:rsid w:val="00B0158B"/>
    <w:rsid w:val="00B01619"/>
    <w:rsid w:val="00B01A84"/>
    <w:rsid w:val="00B01BC5"/>
    <w:rsid w:val="00B02089"/>
    <w:rsid w:val="00B02184"/>
    <w:rsid w:val="00B022AC"/>
    <w:rsid w:val="00B0251D"/>
    <w:rsid w:val="00B028FE"/>
    <w:rsid w:val="00B02F15"/>
    <w:rsid w:val="00B03079"/>
    <w:rsid w:val="00B032B0"/>
    <w:rsid w:val="00B032FC"/>
    <w:rsid w:val="00B03515"/>
    <w:rsid w:val="00B03750"/>
    <w:rsid w:val="00B038EA"/>
    <w:rsid w:val="00B03F8F"/>
    <w:rsid w:val="00B043B3"/>
    <w:rsid w:val="00B04709"/>
    <w:rsid w:val="00B04776"/>
    <w:rsid w:val="00B048BE"/>
    <w:rsid w:val="00B051B1"/>
    <w:rsid w:val="00B05553"/>
    <w:rsid w:val="00B056CD"/>
    <w:rsid w:val="00B060E9"/>
    <w:rsid w:val="00B06134"/>
    <w:rsid w:val="00B0633A"/>
    <w:rsid w:val="00B063C0"/>
    <w:rsid w:val="00B06485"/>
    <w:rsid w:val="00B069DE"/>
    <w:rsid w:val="00B06A5A"/>
    <w:rsid w:val="00B06B60"/>
    <w:rsid w:val="00B06BFF"/>
    <w:rsid w:val="00B072CC"/>
    <w:rsid w:val="00B0738C"/>
    <w:rsid w:val="00B0749A"/>
    <w:rsid w:val="00B07A3D"/>
    <w:rsid w:val="00B07BA6"/>
    <w:rsid w:val="00B07C28"/>
    <w:rsid w:val="00B10122"/>
    <w:rsid w:val="00B10308"/>
    <w:rsid w:val="00B1043C"/>
    <w:rsid w:val="00B10A16"/>
    <w:rsid w:val="00B10BBB"/>
    <w:rsid w:val="00B10CCD"/>
    <w:rsid w:val="00B115D7"/>
    <w:rsid w:val="00B1190E"/>
    <w:rsid w:val="00B119EA"/>
    <w:rsid w:val="00B123D0"/>
    <w:rsid w:val="00B1246C"/>
    <w:rsid w:val="00B1285F"/>
    <w:rsid w:val="00B12948"/>
    <w:rsid w:val="00B12BA4"/>
    <w:rsid w:val="00B13353"/>
    <w:rsid w:val="00B13CEC"/>
    <w:rsid w:val="00B1405A"/>
    <w:rsid w:val="00B146F1"/>
    <w:rsid w:val="00B14DC2"/>
    <w:rsid w:val="00B153EC"/>
    <w:rsid w:val="00B155B2"/>
    <w:rsid w:val="00B156CD"/>
    <w:rsid w:val="00B15DD5"/>
    <w:rsid w:val="00B169E2"/>
    <w:rsid w:val="00B17009"/>
    <w:rsid w:val="00B1703B"/>
    <w:rsid w:val="00B17345"/>
    <w:rsid w:val="00B17454"/>
    <w:rsid w:val="00B17BB3"/>
    <w:rsid w:val="00B17D0E"/>
    <w:rsid w:val="00B20084"/>
    <w:rsid w:val="00B20560"/>
    <w:rsid w:val="00B2069C"/>
    <w:rsid w:val="00B20854"/>
    <w:rsid w:val="00B20AC0"/>
    <w:rsid w:val="00B20B98"/>
    <w:rsid w:val="00B20BFF"/>
    <w:rsid w:val="00B20C76"/>
    <w:rsid w:val="00B20E61"/>
    <w:rsid w:val="00B211D4"/>
    <w:rsid w:val="00B214FF"/>
    <w:rsid w:val="00B216C4"/>
    <w:rsid w:val="00B2185F"/>
    <w:rsid w:val="00B21D89"/>
    <w:rsid w:val="00B21FF4"/>
    <w:rsid w:val="00B22025"/>
    <w:rsid w:val="00B22838"/>
    <w:rsid w:val="00B2297D"/>
    <w:rsid w:val="00B22B67"/>
    <w:rsid w:val="00B22EF2"/>
    <w:rsid w:val="00B23123"/>
    <w:rsid w:val="00B2331D"/>
    <w:rsid w:val="00B23E65"/>
    <w:rsid w:val="00B23F44"/>
    <w:rsid w:val="00B240AF"/>
    <w:rsid w:val="00B24555"/>
    <w:rsid w:val="00B2494B"/>
    <w:rsid w:val="00B25418"/>
    <w:rsid w:val="00B256F4"/>
    <w:rsid w:val="00B25BA2"/>
    <w:rsid w:val="00B25BEC"/>
    <w:rsid w:val="00B25BFD"/>
    <w:rsid w:val="00B25C0A"/>
    <w:rsid w:val="00B25F25"/>
    <w:rsid w:val="00B260A1"/>
    <w:rsid w:val="00B260EB"/>
    <w:rsid w:val="00B261B5"/>
    <w:rsid w:val="00B26254"/>
    <w:rsid w:val="00B26490"/>
    <w:rsid w:val="00B2658B"/>
    <w:rsid w:val="00B26E35"/>
    <w:rsid w:val="00B26F85"/>
    <w:rsid w:val="00B26FED"/>
    <w:rsid w:val="00B2766D"/>
    <w:rsid w:val="00B3044E"/>
    <w:rsid w:val="00B30638"/>
    <w:rsid w:val="00B30CB4"/>
    <w:rsid w:val="00B31126"/>
    <w:rsid w:val="00B31184"/>
    <w:rsid w:val="00B31CB4"/>
    <w:rsid w:val="00B31F67"/>
    <w:rsid w:val="00B32229"/>
    <w:rsid w:val="00B32320"/>
    <w:rsid w:val="00B32621"/>
    <w:rsid w:val="00B326CA"/>
    <w:rsid w:val="00B32A14"/>
    <w:rsid w:val="00B333D7"/>
    <w:rsid w:val="00B3359A"/>
    <w:rsid w:val="00B33610"/>
    <w:rsid w:val="00B33A8A"/>
    <w:rsid w:val="00B33F6A"/>
    <w:rsid w:val="00B34E7D"/>
    <w:rsid w:val="00B35928"/>
    <w:rsid w:val="00B35ADC"/>
    <w:rsid w:val="00B35D7A"/>
    <w:rsid w:val="00B363CE"/>
    <w:rsid w:val="00B364A3"/>
    <w:rsid w:val="00B36584"/>
    <w:rsid w:val="00B369FF"/>
    <w:rsid w:val="00B36AA7"/>
    <w:rsid w:val="00B36BAC"/>
    <w:rsid w:val="00B370FF"/>
    <w:rsid w:val="00B3737F"/>
    <w:rsid w:val="00B3789D"/>
    <w:rsid w:val="00B37A32"/>
    <w:rsid w:val="00B37AF2"/>
    <w:rsid w:val="00B37B5A"/>
    <w:rsid w:val="00B37CA7"/>
    <w:rsid w:val="00B37FAB"/>
    <w:rsid w:val="00B40309"/>
    <w:rsid w:val="00B40310"/>
    <w:rsid w:val="00B403C9"/>
    <w:rsid w:val="00B405D7"/>
    <w:rsid w:val="00B40C87"/>
    <w:rsid w:val="00B413B1"/>
    <w:rsid w:val="00B41642"/>
    <w:rsid w:val="00B4170F"/>
    <w:rsid w:val="00B417F6"/>
    <w:rsid w:val="00B41871"/>
    <w:rsid w:val="00B427FA"/>
    <w:rsid w:val="00B428F5"/>
    <w:rsid w:val="00B429D3"/>
    <w:rsid w:val="00B42D2A"/>
    <w:rsid w:val="00B42DFE"/>
    <w:rsid w:val="00B430C6"/>
    <w:rsid w:val="00B430FE"/>
    <w:rsid w:val="00B433F1"/>
    <w:rsid w:val="00B4363F"/>
    <w:rsid w:val="00B43B02"/>
    <w:rsid w:val="00B43C07"/>
    <w:rsid w:val="00B43F86"/>
    <w:rsid w:val="00B44030"/>
    <w:rsid w:val="00B44051"/>
    <w:rsid w:val="00B44242"/>
    <w:rsid w:val="00B44478"/>
    <w:rsid w:val="00B44503"/>
    <w:rsid w:val="00B445E1"/>
    <w:rsid w:val="00B449CD"/>
    <w:rsid w:val="00B44AD7"/>
    <w:rsid w:val="00B4553D"/>
    <w:rsid w:val="00B455F6"/>
    <w:rsid w:val="00B45D97"/>
    <w:rsid w:val="00B46369"/>
    <w:rsid w:val="00B46639"/>
    <w:rsid w:val="00B46A80"/>
    <w:rsid w:val="00B46F23"/>
    <w:rsid w:val="00B47292"/>
    <w:rsid w:val="00B4746D"/>
    <w:rsid w:val="00B475A5"/>
    <w:rsid w:val="00B477DE"/>
    <w:rsid w:val="00B47A09"/>
    <w:rsid w:val="00B47EBC"/>
    <w:rsid w:val="00B504D7"/>
    <w:rsid w:val="00B504FF"/>
    <w:rsid w:val="00B50BA9"/>
    <w:rsid w:val="00B50D02"/>
    <w:rsid w:val="00B50D68"/>
    <w:rsid w:val="00B5109B"/>
    <w:rsid w:val="00B510A0"/>
    <w:rsid w:val="00B5116F"/>
    <w:rsid w:val="00B5161B"/>
    <w:rsid w:val="00B51701"/>
    <w:rsid w:val="00B527A7"/>
    <w:rsid w:val="00B53089"/>
    <w:rsid w:val="00B53106"/>
    <w:rsid w:val="00B53123"/>
    <w:rsid w:val="00B531AE"/>
    <w:rsid w:val="00B53403"/>
    <w:rsid w:val="00B53409"/>
    <w:rsid w:val="00B53550"/>
    <w:rsid w:val="00B539E4"/>
    <w:rsid w:val="00B53F9C"/>
    <w:rsid w:val="00B5411E"/>
    <w:rsid w:val="00B546CA"/>
    <w:rsid w:val="00B54DB4"/>
    <w:rsid w:val="00B550EB"/>
    <w:rsid w:val="00B552BC"/>
    <w:rsid w:val="00B552C6"/>
    <w:rsid w:val="00B5545E"/>
    <w:rsid w:val="00B556AA"/>
    <w:rsid w:val="00B556C3"/>
    <w:rsid w:val="00B55B31"/>
    <w:rsid w:val="00B55BCF"/>
    <w:rsid w:val="00B56161"/>
    <w:rsid w:val="00B563F4"/>
    <w:rsid w:val="00B56ADF"/>
    <w:rsid w:val="00B56DA9"/>
    <w:rsid w:val="00B56E7F"/>
    <w:rsid w:val="00B571AD"/>
    <w:rsid w:val="00B57257"/>
    <w:rsid w:val="00B574C1"/>
    <w:rsid w:val="00B575B5"/>
    <w:rsid w:val="00B57AF8"/>
    <w:rsid w:val="00B57D65"/>
    <w:rsid w:val="00B57D6D"/>
    <w:rsid w:val="00B57E87"/>
    <w:rsid w:val="00B57FAB"/>
    <w:rsid w:val="00B57FCD"/>
    <w:rsid w:val="00B603EF"/>
    <w:rsid w:val="00B60AC0"/>
    <w:rsid w:val="00B60F17"/>
    <w:rsid w:val="00B61113"/>
    <w:rsid w:val="00B61AFC"/>
    <w:rsid w:val="00B61D13"/>
    <w:rsid w:val="00B62020"/>
    <w:rsid w:val="00B62254"/>
    <w:rsid w:val="00B626C7"/>
    <w:rsid w:val="00B62952"/>
    <w:rsid w:val="00B62D71"/>
    <w:rsid w:val="00B62DF3"/>
    <w:rsid w:val="00B62E5C"/>
    <w:rsid w:val="00B62ECE"/>
    <w:rsid w:val="00B62F19"/>
    <w:rsid w:val="00B637D8"/>
    <w:rsid w:val="00B63983"/>
    <w:rsid w:val="00B63AB0"/>
    <w:rsid w:val="00B647E3"/>
    <w:rsid w:val="00B650ED"/>
    <w:rsid w:val="00B660AC"/>
    <w:rsid w:val="00B669D3"/>
    <w:rsid w:val="00B66AA6"/>
    <w:rsid w:val="00B66D01"/>
    <w:rsid w:val="00B67BE3"/>
    <w:rsid w:val="00B70453"/>
    <w:rsid w:val="00B7096B"/>
    <w:rsid w:val="00B70DA8"/>
    <w:rsid w:val="00B70FF5"/>
    <w:rsid w:val="00B711FE"/>
    <w:rsid w:val="00B7123B"/>
    <w:rsid w:val="00B71307"/>
    <w:rsid w:val="00B71CAA"/>
    <w:rsid w:val="00B71E6F"/>
    <w:rsid w:val="00B72068"/>
    <w:rsid w:val="00B7211A"/>
    <w:rsid w:val="00B722BF"/>
    <w:rsid w:val="00B722F6"/>
    <w:rsid w:val="00B7266F"/>
    <w:rsid w:val="00B72B62"/>
    <w:rsid w:val="00B7390E"/>
    <w:rsid w:val="00B73D8F"/>
    <w:rsid w:val="00B740B3"/>
    <w:rsid w:val="00B7436B"/>
    <w:rsid w:val="00B74ABF"/>
    <w:rsid w:val="00B74BD3"/>
    <w:rsid w:val="00B75E5F"/>
    <w:rsid w:val="00B76E2D"/>
    <w:rsid w:val="00B7733D"/>
    <w:rsid w:val="00B77AAC"/>
    <w:rsid w:val="00B802C9"/>
    <w:rsid w:val="00B805AE"/>
    <w:rsid w:val="00B8069E"/>
    <w:rsid w:val="00B8089F"/>
    <w:rsid w:val="00B814F7"/>
    <w:rsid w:val="00B81D43"/>
    <w:rsid w:val="00B821BC"/>
    <w:rsid w:val="00B82419"/>
    <w:rsid w:val="00B82704"/>
    <w:rsid w:val="00B82B4F"/>
    <w:rsid w:val="00B83312"/>
    <w:rsid w:val="00B83563"/>
    <w:rsid w:val="00B837C5"/>
    <w:rsid w:val="00B83C14"/>
    <w:rsid w:val="00B83D73"/>
    <w:rsid w:val="00B83EA2"/>
    <w:rsid w:val="00B84044"/>
    <w:rsid w:val="00B84227"/>
    <w:rsid w:val="00B84338"/>
    <w:rsid w:val="00B84524"/>
    <w:rsid w:val="00B84643"/>
    <w:rsid w:val="00B848C5"/>
    <w:rsid w:val="00B85011"/>
    <w:rsid w:val="00B85061"/>
    <w:rsid w:val="00B857ED"/>
    <w:rsid w:val="00B86115"/>
    <w:rsid w:val="00B86763"/>
    <w:rsid w:val="00B867C1"/>
    <w:rsid w:val="00B8680B"/>
    <w:rsid w:val="00B869F3"/>
    <w:rsid w:val="00B86F61"/>
    <w:rsid w:val="00B870EC"/>
    <w:rsid w:val="00B872D3"/>
    <w:rsid w:val="00B87391"/>
    <w:rsid w:val="00B87873"/>
    <w:rsid w:val="00B8795A"/>
    <w:rsid w:val="00B879AA"/>
    <w:rsid w:val="00B90824"/>
    <w:rsid w:val="00B90C81"/>
    <w:rsid w:val="00B9142B"/>
    <w:rsid w:val="00B91ABE"/>
    <w:rsid w:val="00B91CE5"/>
    <w:rsid w:val="00B91D91"/>
    <w:rsid w:val="00B92083"/>
    <w:rsid w:val="00B92665"/>
    <w:rsid w:val="00B928B5"/>
    <w:rsid w:val="00B92967"/>
    <w:rsid w:val="00B92C45"/>
    <w:rsid w:val="00B92DE0"/>
    <w:rsid w:val="00B9384A"/>
    <w:rsid w:val="00B94616"/>
    <w:rsid w:val="00B9469F"/>
    <w:rsid w:val="00B9476A"/>
    <w:rsid w:val="00B9478C"/>
    <w:rsid w:val="00B9493F"/>
    <w:rsid w:val="00B94B4B"/>
    <w:rsid w:val="00B9515C"/>
    <w:rsid w:val="00B953E4"/>
    <w:rsid w:val="00B953E9"/>
    <w:rsid w:val="00B954EC"/>
    <w:rsid w:val="00B95591"/>
    <w:rsid w:val="00B9657F"/>
    <w:rsid w:val="00B96907"/>
    <w:rsid w:val="00B96977"/>
    <w:rsid w:val="00B974EF"/>
    <w:rsid w:val="00B97BA1"/>
    <w:rsid w:val="00BA0046"/>
    <w:rsid w:val="00BA0621"/>
    <w:rsid w:val="00BA06CF"/>
    <w:rsid w:val="00BA0B52"/>
    <w:rsid w:val="00BA0F66"/>
    <w:rsid w:val="00BA13B9"/>
    <w:rsid w:val="00BA1BEB"/>
    <w:rsid w:val="00BA21A3"/>
    <w:rsid w:val="00BA2265"/>
    <w:rsid w:val="00BA2341"/>
    <w:rsid w:val="00BA2701"/>
    <w:rsid w:val="00BA2AB3"/>
    <w:rsid w:val="00BA2BDD"/>
    <w:rsid w:val="00BA2ED8"/>
    <w:rsid w:val="00BA377A"/>
    <w:rsid w:val="00BA3FF6"/>
    <w:rsid w:val="00BA4769"/>
    <w:rsid w:val="00BA485B"/>
    <w:rsid w:val="00BA5129"/>
    <w:rsid w:val="00BA55DC"/>
    <w:rsid w:val="00BA5E51"/>
    <w:rsid w:val="00BA6091"/>
    <w:rsid w:val="00BA6347"/>
    <w:rsid w:val="00BA6525"/>
    <w:rsid w:val="00BA6664"/>
    <w:rsid w:val="00BA670A"/>
    <w:rsid w:val="00BA6849"/>
    <w:rsid w:val="00BA68FB"/>
    <w:rsid w:val="00BA69F6"/>
    <w:rsid w:val="00BA6A2B"/>
    <w:rsid w:val="00BA6B35"/>
    <w:rsid w:val="00BA6B77"/>
    <w:rsid w:val="00BA7041"/>
    <w:rsid w:val="00BA709B"/>
    <w:rsid w:val="00BA71F3"/>
    <w:rsid w:val="00BA729B"/>
    <w:rsid w:val="00BA7593"/>
    <w:rsid w:val="00BA7FAA"/>
    <w:rsid w:val="00BA7FEA"/>
    <w:rsid w:val="00BB0328"/>
    <w:rsid w:val="00BB079F"/>
    <w:rsid w:val="00BB0966"/>
    <w:rsid w:val="00BB134B"/>
    <w:rsid w:val="00BB1C97"/>
    <w:rsid w:val="00BB2593"/>
    <w:rsid w:val="00BB26C2"/>
    <w:rsid w:val="00BB2D03"/>
    <w:rsid w:val="00BB31C6"/>
    <w:rsid w:val="00BB3370"/>
    <w:rsid w:val="00BB337C"/>
    <w:rsid w:val="00BB342B"/>
    <w:rsid w:val="00BB359A"/>
    <w:rsid w:val="00BB3E2F"/>
    <w:rsid w:val="00BB440C"/>
    <w:rsid w:val="00BB46E8"/>
    <w:rsid w:val="00BB4709"/>
    <w:rsid w:val="00BB4875"/>
    <w:rsid w:val="00BB505A"/>
    <w:rsid w:val="00BB5140"/>
    <w:rsid w:val="00BB53EB"/>
    <w:rsid w:val="00BB5E15"/>
    <w:rsid w:val="00BB5F52"/>
    <w:rsid w:val="00BB648B"/>
    <w:rsid w:val="00BB6571"/>
    <w:rsid w:val="00BB6F5C"/>
    <w:rsid w:val="00BB7395"/>
    <w:rsid w:val="00BC0322"/>
    <w:rsid w:val="00BC03F4"/>
    <w:rsid w:val="00BC04EA"/>
    <w:rsid w:val="00BC076B"/>
    <w:rsid w:val="00BC0EF4"/>
    <w:rsid w:val="00BC1373"/>
    <w:rsid w:val="00BC1447"/>
    <w:rsid w:val="00BC151E"/>
    <w:rsid w:val="00BC1CB0"/>
    <w:rsid w:val="00BC21A3"/>
    <w:rsid w:val="00BC21F0"/>
    <w:rsid w:val="00BC26BD"/>
    <w:rsid w:val="00BC2969"/>
    <w:rsid w:val="00BC3422"/>
    <w:rsid w:val="00BC3A15"/>
    <w:rsid w:val="00BC415B"/>
    <w:rsid w:val="00BC440C"/>
    <w:rsid w:val="00BC4E98"/>
    <w:rsid w:val="00BC4EFE"/>
    <w:rsid w:val="00BC5208"/>
    <w:rsid w:val="00BC54FD"/>
    <w:rsid w:val="00BC5574"/>
    <w:rsid w:val="00BC56E4"/>
    <w:rsid w:val="00BC57C1"/>
    <w:rsid w:val="00BC5B5E"/>
    <w:rsid w:val="00BC5DDB"/>
    <w:rsid w:val="00BC5E3B"/>
    <w:rsid w:val="00BC5F0C"/>
    <w:rsid w:val="00BC62A7"/>
    <w:rsid w:val="00BC65F0"/>
    <w:rsid w:val="00BC6E44"/>
    <w:rsid w:val="00BC79C7"/>
    <w:rsid w:val="00BC7C92"/>
    <w:rsid w:val="00BC7D90"/>
    <w:rsid w:val="00BC7F66"/>
    <w:rsid w:val="00BD03E7"/>
    <w:rsid w:val="00BD0507"/>
    <w:rsid w:val="00BD05DA"/>
    <w:rsid w:val="00BD07E0"/>
    <w:rsid w:val="00BD0835"/>
    <w:rsid w:val="00BD0AFD"/>
    <w:rsid w:val="00BD0F3D"/>
    <w:rsid w:val="00BD0FB6"/>
    <w:rsid w:val="00BD1082"/>
    <w:rsid w:val="00BD122C"/>
    <w:rsid w:val="00BD1619"/>
    <w:rsid w:val="00BD24AD"/>
    <w:rsid w:val="00BD25B2"/>
    <w:rsid w:val="00BD2733"/>
    <w:rsid w:val="00BD2FBE"/>
    <w:rsid w:val="00BD30B4"/>
    <w:rsid w:val="00BD34A0"/>
    <w:rsid w:val="00BD3883"/>
    <w:rsid w:val="00BD3905"/>
    <w:rsid w:val="00BD3A04"/>
    <w:rsid w:val="00BD3D18"/>
    <w:rsid w:val="00BD4227"/>
    <w:rsid w:val="00BD45CA"/>
    <w:rsid w:val="00BD4C10"/>
    <w:rsid w:val="00BD51EA"/>
    <w:rsid w:val="00BD5615"/>
    <w:rsid w:val="00BD5F0A"/>
    <w:rsid w:val="00BD6022"/>
    <w:rsid w:val="00BD61E9"/>
    <w:rsid w:val="00BD6261"/>
    <w:rsid w:val="00BD66AA"/>
    <w:rsid w:val="00BD6BF3"/>
    <w:rsid w:val="00BD70EC"/>
    <w:rsid w:val="00BD71E6"/>
    <w:rsid w:val="00BD7251"/>
    <w:rsid w:val="00BD73E7"/>
    <w:rsid w:val="00BD767A"/>
    <w:rsid w:val="00BD7A3A"/>
    <w:rsid w:val="00BD7D86"/>
    <w:rsid w:val="00BE02B8"/>
    <w:rsid w:val="00BE0542"/>
    <w:rsid w:val="00BE06DE"/>
    <w:rsid w:val="00BE09C4"/>
    <w:rsid w:val="00BE0D96"/>
    <w:rsid w:val="00BE14BE"/>
    <w:rsid w:val="00BE1519"/>
    <w:rsid w:val="00BE19E5"/>
    <w:rsid w:val="00BE2129"/>
    <w:rsid w:val="00BE288A"/>
    <w:rsid w:val="00BE2A8B"/>
    <w:rsid w:val="00BE32E2"/>
    <w:rsid w:val="00BE364A"/>
    <w:rsid w:val="00BE398D"/>
    <w:rsid w:val="00BE3FCB"/>
    <w:rsid w:val="00BE462F"/>
    <w:rsid w:val="00BE4EB0"/>
    <w:rsid w:val="00BE5973"/>
    <w:rsid w:val="00BE5E65"/>
    <w:rsid w:val="00BE611A"/>
    <w:rsid w:val="00BE67A8"/>
    <w:rsid w:val="00BE685B"/>
    <w:rsid w:val="00BE685E"/>
    <w:rsid w:val="00BE69E8"/>
    <w:rsid w:val="00BE6E39"/>
    <w:rsid w:val="00BE6F83"/>
    <w:rsid w:val="00BE705C"/>
    <w:rsid w:val="00BE71C1"/>
    <w:rsid w:val="00BE7259"/>
    <w:rsid w:val="00BE7321"/>
    <w:rsid w:val="00BE73D4"/>
    <w:rsid w:val="00BE7888"/>
    <w:rsid w:val="00BE790C"/>
    <w:rsid w:val="00BE7A14"/>
    <w:rsid w:val="00BE7A98"/>
    <w:rsid w:val="00BE7C28"/>
    <w:rsid w:val="00BE7DFF"/>
    <w:rsid w:val="00BE7E39"/>
    <w:rsid w:val="00BF02CF"/>
    <w:rsid w:val="00BF039B"/>
    <w:rsid w:val="00BF0681"/>
    <w:rsid w:val="00BF09A1"/>
    <w:rsid w:val="00BF09AA"/>
    <w:rsid w:val="00BF0D6D"/>
    <w:rsid w:val="00BF0EAF"/>
    <w:rsid w:val="00BF150A"/>
    <w:rsid w:val="00BF1546"/>
    <w:rsid w:val="00BF1A6D"/>
    <w:rsid w:val="00BF22C6"/>
    <w:rsid w:val="00BF2DBB"/>
    <w:rsid w:val="00BF2EB8"/>
    <w:rsid w:val="00BF38A3"/>
    <w:rsid w:val="00BF3B23"/>
    <w:rsid w:val="00BF3E5A"/>
    <w:rsid w:val="00BF3F62"/>
    <w:rsid w:val="00BF3FA5"/>
    <w:rsid w:val="00BF4158"/>
    <w:rsid w:val="00BF4578"/>
    <w:rsid w:val="00BF4693"/>
    <w:rsid w:val="00BF46DF"/>
    <w:rsid w:val="00BF46E6"/>
    <w:rsid w:val="00BF47E5"/>
    <w:rsid w:val="00BF49D8"/>
    <w:rsid w:val="00BF51F8"/>
    <w:rsid w:val="00BF57D5"/>
    <w:rsid w:val="00BF61A6"/>
    <w:rsid w:val="00BF6516"/>
    <w:rsid w:val="00BF6DE2"/>
    <w:rsid w:val="00BF6F39"/>
    <w:rsid w:val="00BF7A9F"/>
    <w:rsid w:val="00BF7B4E"/>
    <w:rsid w:val="00BF7C53"/>
    <w:rsid w:val="00BF7D7C"/>
    <w:rsid w:val="00C001A1"/>
    <w:rsid w:val="00C001D6"/>
    <w:rsid w:val="00C002B4"/>
    <w:rsid w:val="00C002F9"/>
    <w:rsid w:val="00C003DE"/>
    <w:rsid w:val="00C00A21"/>
    <w:rsid w:val="00C01293"/>
    <w:rsid w:val="00C01373"/>
    <w:rsid w:val="00C029BB"/>
    <w:rsid w:val="00C02C92"/>
    <w:rsid w:val="00C030DE"/>
    <w:rsid w:val="00C033DE"/>
    <w:rsid w:val="00C037CE"/>
    <w:rsid w:val="00C03F04"/>
    <w:rsid w:val="00C041D9"/>
    <w:rsid w:val="00C041E4"/>
    <w:rsid w:val="00C0438A"/>
    <w:rsid w:val="00C04D3C"/>
    <w:rsid w:val="00C04D96"/>
    <w:rsid w:val="00C04E6C"/>
    <w:rsid w:val="00C04EB8"/>
    <w:rsid w:val="00C05034"/>
    <w:rsid w:val="00C05058"/>
    <w:rsid w:val="00C0527D"/>
    <w:rsid w:val="00C053B6"/>
    <w:rsid w:val="00C05956"/>
    <w:rsid w:val="00C05B35"/>
    <w:rsid w:val="00C05EA2"/>
    <w:rsid w:val="00C067E1"/>
    <w:rsid w:val="00C06CD3"/>
    <w:rsid w:val="00C06FC0"/>
    <w:rsid w:val="00C07CB7"/>
    <w:rsid w:val="00C10004"/>
    <w:rsid w:val="00C1056B"/>
    <w:rsid w:val="00C10745"/>
    <w:rsid w:val="00C10785"/>
    <w:rsid w:val="00C10AEB"/>
    <w:rsid w:val="00C10B22"/>
    <w:rsid w:val="00C10C51"/>
    <w:rsid w:val="00C11067"/>
    <w:rsid w:val="00C110EF"/>
    <w:rsid w:val="00C111B0"/>
    <w:rsid w:val="00C1130C"/>
    <w:rsid w:val="00C11428"/>
    <w:rsid w:val="00C1142C"/>
    <w:rsid w:val="00C11478"/>
    <w:rsid w:val="00C1153C"/>
    <w:rsid w:val="00C11724"/>
    <w:rsid w:val="00C1173C"/>
    <w:rsid w:val="00C11952"/>
    <w:rsid w:val="00C11EEC"/>
    <w:rsid w:val="00C12109"/>
    <w:rsid w:val="00C12230"/>
    <w:rsid w:val="00C12562"/>
    <w:rsid w:val="00C126DE"/>
    <w:rsid w:val="00C12748"/>
    <w:rsid w:val="00C12B8F"/>
    <w:rsid w:val="00C12D0D"/>
    <w:rsid w:val="00C12F66"/>
    <w:rsid w:val="00C130E2"/>
    <w:rsid w:val="00C131B9"/>
    <w:rsid w:val="00C13479"/>
    <w:rsid w:val="00C13634"/>
    <w:rsid w:val="00C13BC2"/>
    <w:rsid w:val="00C13C82"/>
    <w:rsid w:val="00C13D60"/>
    <w:rsid w:val="00C14447"/>
    <w:rsid w:val="00C144E8"/>
    <w:rsid w:val="00C14790"/>
    <w:rsid w:val="00C14A29"/>
    <w:rsid w:val="00C14CB6"/>
    <w:rsid w:val="00C14D77"/>
    <w:rsid w:val="00C15285"/>
    <w:rsid w:val="00C15F8A"/>
    <w:rsid w:val="00C164A7"/>
    <w:rsid w:val="00C16609"/>
    <w:rsid w:val="00C16932"/>
    <w:rsid w:val="00C17154"/>
    <w:rsid w:val="00C17354"/>
    <w:rsid w:val="00C17567"/>
    <w:rsid w:val="00C1789A"/>
    <w:rsid w:val="00C178DF"/>
    <w:rsid w:val="00C17C80"/>
    <w:rsid w:val="00C208E5"/>
    <w:rsid w:val="00C209B5"/>
    <w:rsid w:val="00C20C4B"/>
    <w:rsid w:val="00C20C51"/>
    <w:rsid w:val="00C20C5B"/>
    <w:rsid w:val="00C20F61"/>
    <w:rsid w:val="00C21260"/>
    <w:rsid w:val="00C226DC"/>
    <w:rsid w:val="00C2285F"/>
    <w:rsid w:val="00C2286D"/>
    <w:rsid w:val="00C2287B"/>
    <w:rsid w:val="00C22DF7"/>
    <w:rsid w:val="00C231C1"/>
    <w:rsid w:val="00C231D1"/>
    <w:rsid w:val="00C23241"/>
    <w:rsid w:val="00C2364D"/>
    <w:rsid w:val="00C2375B"/>
    <w:rsid w:val="00C23A85"/>
    <w:rsid w:val="00C244D8"/>
    <w:rsid w:val="00C244E5"/>
    <w:rsid w:val="00C2502A"/>
    <w:rsid w:val="00C2522F"/>
    <w:rsid w:val="00C255B0"/>
    <w:rsid w:val="00C25620"/>
    <w:rsid w:val="00C261B8"/>
    <w:rsid w:val="00C2698A"/>
    <w:rsid w:val="00C26A67"/>
    <w:rsid w:val="00C2714D"/>
    <w:rsid w:val="00C274BB"/>
    <w:rsid w:val="00C301AC"/>
    <w:rsid w:val="00C30315"/>
    <w:rsid w:val="00C3078A"/>
    <w:rsid w:val="00C30794"/>
    <w:rsid w:val="00C30E72"/>
    <w:rsid w:val="00C31667"/>
    <w:rsid w:val="00C316B5"/>
    <w:rsid w:val="00C31847"/>
    <w:rsid w:val="00C32076"/>
    <w:rsid w:val="00C32DCF"/>
    <w:rsid w:val="00C32DD7"/>
    <w:rsid w:val="00C32FA8"/>
    <w:rsid w:val="00C33317"/>
    <w:rsid w:val="00C33341"/>
    <w:rsid w:val="00C33370"/>
    <w:rsid w:val="00C33E0F"/>
    <w:rsid w:val="00C34A0E"/>
    <w:rsid w:val="00C34B96"/>
    <w:rsid w:val="00C34C2A"/>
    <w:rsid w:val="00C35007"/>
    <w:rsid w:val="00C359E5"/>
    <w:rsid w:val="00C35F01"/>
    <w:rsid w:val="00C364D1"/>
    <w:rsid w:val="00C36928"/>
    <w:rsid w:val="00C36D31"/>
    <w:rsid w:val="00C37154"/>
    <w:rsid w:val="00C37467"/>
    <w:rsid w:val="00C37713"/>
    <w:rsid w:val="00C378A4"/>
    <w:rsid w:val="00C37F1E"/>
    <w:rsid w:val="00C40876"/>
    <w:rsid w:val="00C408CE"/>
    <w:rsid w:val="00C40DC9"/>
    <w:rsid w:val="00C40E4C"/>
    <w:rsid w:val="00C41450"/>
    <w:rsid w:val="00C4176C"/>
    <w:rsid w:val="00C41B7E"/>
    <w:rsid w:val="00C421CB"/>
    <w:rsid w:val="00C424D8"/>
    <w:rsid w:val="00C4280C"/>
    <w:rsid w:val="00C428B6"/>
    <w:rsid w:val="00C429E9"/>
    <w:rsid w:val="00C43412"/>
    <w:rsid w:val="00C4387C"/>
    <w:rsid w:val="00C43B2C"/>
    <w:rsid w:val="00C43E07"/>
    <w:rsid w:val="00C44CC5"/>
    <w:rsid w:val="00C44FC5"/>
    <w:rsid w:val="00C4518E"/>
    <w:rsid w:val="00C452C5"/>
    <w:rsid w:val="00C45784"/>
    <w:rsid w:val="00C45ABA"/>
    <w:rsid w:val="00C45CCC"/>
    <w:rsid w:val="00C46012"/>
    <w:rsid w:val="00C4606F"/>
    <w:rsid w:val="00C465AA"/>
    <w:rsid w:val="00C4687F"/>
    <w:rsid w:val="00C473E3"/>
    <w:rsid w:val="00C47C0A"/>
    <w:rsid w:val="00C47DEA"/>
    <w:rsid w:val="00C5031F"/>
    <w:rsid w:val="00C50415"/>
    <w:rsid w:val="00C50443"/>
    <w:rsid w:val="00C50DAF"/>
    <w:rsid w:val="00C50DFF"/>
    <w:rsid w:val="00C50E57"/>
    <w:rsid w:val="00C51211"/>
    <w:rsid w:val="00C51864"/>
    <w:rsid w:val="00C518B9"/>
    <w:rsid w:val="00C520A4"/>
    <w:rsid w:val="00C521D0"/>
    <w:rsid w:val="00C52408"/>
    <w:rsid w:val="00C52894"/>
    <w:rsid w:val="00C52A3F"/>
    <w:rsid w:val="00C52C4E"/>
    <w:rsid w:val="00C52EE1"/>
    <w:rsid w:val="00C52F67"/>
    <w:rsid w:val="00C53326"/>
    <w:rsid w:val="00C533B0"/>
    <w:rsid w:val="00C53C9A"/>
    <w:rsid w:val="00C54103"/>
    <w:rsid w:val="00C5412F"/>
    <w:rsid w:val="00C545B1"/>
    <w:rsid w:val="00C54977"/>
    <w:rsid w:val="00C54DBB"/>
    <w:rsid w:val="00C550CD"/>
    <w:rsid w:val="00C558B5"/>
    <w:rsid w:val="00C55C3D"/>
    <w:rsid w:val="00C56243"/>
    <w:rsid w:val="00C56586"/>
    <w:rsid w:val="00C5671D"/>
    <w:rsid w:val="00C5682F"/>
    <w:rsid w:val="00C568D9"/>
    <w:rsid w:val="00C57871"/>
    <w:rsid w:val="00C5788B"/>
    <w:rsid w:val="00C57CDF"/>
    <w:rsid w:val="00C60626"/>
    <w:rsid w:val="00C60857"/>
    <w:rsid w:val="00C60A17"/>
    <w:rsid w:val="00C61483"/>
    <w:rsid w:val="00C61B2C"/>
    <w:rsid w:val="00C621AA"/>
    <w:rsid w:val="00C623CB"/>
    <w:rsid w:val="00C62797"/>
    <w:rsid w:val="00C632E0"/>
    <w:rsid w:val="00C634BF"/>
    <w:rsid w:val="00C641F7"/>
    <w:rsid w:val="00C64611"/>
    <w:rsid w:val="00C64DD0"/>
    <w:rsid w:val="00C64ED8"/>
    <w:rsid w:val="00C6565B"/>
    <w:rsid w:val="00C658C0"/>
    <w:rsid w:val="00C65A4F"/>
    <w:rsid w:val="00C65BB6"/>
    <w:rsid w:val="00C65D6E"/>
    <w:rsid w:val="00C66294"/>
    <w:rsid w:val="00C662BF"/>
    <w:rsid w:val="00C66307"/>
    <w:rsid w:val="00C66A24"/>
    <w:rsid w:val="00C66C00"/>
    <w:rsid w:val="00C672D5"/>
    <w:rsid w:val="00C676B8"/>
    <w:rsid w:val="00C6785D"/>
    <w:rsid w:val="00C67B22"/>
    <w:rsid w:val="00C708D2"/>
    <w:rsid w:val="00C71050"/>
    <w:rsid w:val="00C7125B"/>
    <w:rsid w:val="00C712B5"/>
    <w:rsid w:val="00C715B2"/>
    <w:rsid w:val="00C719B1"/>
    <w:rsid w:val="00C71E65"/>
    <w:rsid w:val="00C71F22"/>
    <w:rsid w:val="00C7206A"/>
    <w:rsid w:val="00C7217B"/>
    <w:rsid w:val="00C7264E"/>
    <w:rsid w:val="00C72733"/>
    <w:rsid w:val="00C72855"/>
    <w:rsid w:val="00C72A7F"/>
    <w:rsid w:val="00C72AAE"/>
    <w:rsid w:val="00C7339C"/>
    <w:rsid w:val="00C73459"/>
    <w:rsid w:val="00C7347C"/>
    <w:rsid w:val="00C74325"/>
    <w:rsid w:val="00C7447E"/>
    <w:rsid w:val="00C74CFC"/>
    <w:rsid w:val="00C74D65"/>
    <w:rsid w:val="00C74ED1"/>
    <w:rsid w:val="00C75002"/>
    <w:rsid w:val="00C753A2"/>
    <w:rsid w:val="00C753BF"/>
    <w:rsid w:val="00C75565"/>
    <w:rsid w:val="00C7559E"/>
    <w:rsid w:val="00C75A94"/>
    <w:rsid w:val="00C75AF4"/>
    <w:rsid w:val="00C75DB0"/>
    <w:rsid w:val="00C76CB2"/>
    <w:rsid w:val="00C77092"/>
    <w:rsid w:val="00C77912"/>
    <w:rsid w:val="00C77B07"/>
    <w:rsid w:val="00C77CC7"/>
    <w:rsid w:val="00C77F08"/>
    <w:rsid w:val="00C8084F"/>
    <w:rsid w:val="00C80BA3"/>
    <w:rsid w:val="00C80D3E"/>
    <w:rsid w:val="00C811D4"/>
    <w:rsid w:val="00C8134E"/>
    <w:rsid w:val="00C81A13"/>
    <w:rsid w:val="00C81BEA"/>
    <w:rsid w:val="00C81C15"/>
    <w:rsid w:val="00C82343"/>
    <w:rsid w:val="00C82801"/>
    <w:rsid w:val="00C82B90"/>
    <w:rsid w:val="00C831CB"/>
    <w:rsid w:val="00C8326A"/>
    <w:rsid w:val="00C83320"/>
    <w:rsid w:val="00C835C2"/>
    <w:rsid w:val="00C8373F"/>
    <w:rsid w:val="00C84106"/>
    <w:rsid w:val="00C8449C"/>
    <w:rsid w:val="00C844AD"/>
    <w:rsid w:val="00C8452F"/>
    <w:rsid w:val="00C84C3F"/>
    <w:rsid w:val="00C84D49"/>
    <w:rsid w:val="00C8520A"/>
    <w:rsid w:val="00C857DF"/>
    <w:rsid w:val="00C858C3"/>
    <w:rsid w:val="00C85B22"/>
    <w:rsid w:val="00C85F2E"/>
    <w:rsid w:val="00C86059"/>
    <w:rsid w:val="00C8643C"/>
    <w:rsid w:val="00C869F5"/>
    <w:rsid w:val="00C86B7C"/>
    <w:rsid w:val="00C86D27"/>
    <w:rsid w:val="00C86D3A"/>
    <w:rsid w:val="00C870DE"/>
    <w:rsid w:val="00C87378"/>
    <w:rsid w:val="00C87B69"/>
    <w:rsid w:val="00C90686"/>
    <w:rsid w:val="00C90802"/>
    <w:rsid w:val="00C90B76"/>
    <w:rsid w:val="00C90BBF"/>
    <w:rsid w:val="00C90CC7"/>
    <w:rsid w:val="00C911AB"/>
    <w:rsid w:val="00C91757"/>
    <w:rsid w:val="00C918C1"/>
    <w:rsid w:val="00C9224B"/>
    <w:rsid w:val="00C92357"/>
    <w:rsid w:val="00C9244D"/>
    <w:rsid w:val="00C92D35"/>
    <w:rsid w:val="00C93162"/>
    <w:rsid w:val="00C933C0"/>
    <w:rsid w:val="00C93692"/>
    <w:rsid w:val="00C942EE"/>
    <w:rsid w:val="00C94614"/>
    <w:rsid w:val="00C949D9"/>
    <w:rsid w:val="00C95086"/>
    <w:rsid w:val="00C9549D"/>
    <w:rsid w:val="00C95581"/>
    <w:rsid w:val="00C95CFF"/>
    <w:rsid w:val="00C95D59"/>
    <w:rsid w:val="00C95E0E"/>
    <w:rsid w:val="00C964B9"/>
    <w:rsid w:val="00C966C7"/>
    <w:rsid w:val="00C969A7"/>
    <w:rsid w:val="00C96C21"/>
    <w:rsid w:val="00C97431"/>
    <w:rsid w:val="00C9743B"/>
    <w:rsid w:val="00C97BC1"/>
    <w:rsid w:val="00C97F27"/>
    <w:rsid w:val="00CA01C9"/>
    <w:rsid w:val="00CA03FB"/>
    <w:rsid w:val="00CA041E"/>
    <w:rsid w:val="00CA0656"/>
    <w:rsid w:val="00CA12FC"/>
    <w:rsid w:val="00CA1370"/>
    <w:rsid w:val="00CA1AC2"/>
    <w:rsid w:val="00CA1AC8"/>
    <w:rsid w:val="00CA1B9B"/>
    <w:rsid w:val="00CA1DF9"/>
    <w:rsid w:val="00CA1E09"/>
    <w:rsid w:val="00CA2110"/>
    <w:rsid w:val="00CA2177"/>
    <w:rsid w:val="00CA21CA"/>
    <w:rsid w:val="00CA2DA5"/>
    <w:rsid w:val="00CA36F2"/>
    <w:rsid w:val="00CA379A"/>
    <w:rsid w:val="00CA4313"/>
    <w:rsid w:val="00CA4817"/>
    <w:rsid w:val="00CA557A"/>
    <w:rsid w:val="00CA5F67"/>
    <w:rsid w:val="00CA6126"/>
    <w:rsid w:val="00CA652F"/>
    <w:rsid w:val="00CA6D5F"/>
    <w:rsid w:val="00CA6FE9"/>
    <w:rsid w:val="00CA7166"/>
    <w:rsid w:val="00CA7962"/>
    <w:rsid w:val="00CA7B65"/>
    <w:rsid w:val="00CA7ED6"/>
    <w:rsid w:val="00CB021A"/>
    <w:rsid w:val="00CB03F3"/>
    <w:rsid w:val="00CB076C"/>
    <w:rsid w:val="00CB0AC8"/>
    <w:rsid w:val="00CB0B28"/>
    <w:rsid w:val="00CB0B65"/>
    <w:rsid w:val="00CB1505"/>
    <w:rsid w:val="00CB1D16"/>
    <w:rsid w:val="00CB2903"/>
    <w:rsid w:val="00CB2DC3"/>
    <w:rsid w:val="00CB2DF7"/>
    <w:rsid w:val="00CB2F40"/>
    <w:rsid w:val="00CB3440"/>
    <w:rsid w:val="00CB39C7"/>
    <w:rsid w:val="00CB3E19"/>
    <w:rsid w:val="00CB41CB"/>
    <w:rsid w:val="00CB44DF"/>
    <w:rsid w:val="00CB494F"/>
    <w:rsid w:val="00CB4CFE"/>
    <w:rsid w:val="00CB5478"/>
    <w:rsid w:val="00CB55EA"/>
    <w:rsid w:val="00CB55F3"/>
    <w:rsid w:val="00CB56C4"/>
    <w:rsid w:val="00CB5AA7"/>
    <w:rsid w:val="00CB5BBC"/>
    <w:rsid w:val="00CB6405"/>
    <w:rsid w:val="00CB645D"/>
    <w:rsid w:val="00CB68F4"/>
    <w:rsid w:val="00CB6A80"/>
    <w:rsid w:val="00CB6E0B"/>
    <w:rsid w:val="00CB6F37"/>
    <w:rsid w:val="00CB72FD"/>
    <w:rsid w:val="00CB7737"/>
    <w:rsid w:val="00CB7C51"/>
    <w:rsid w:val="00CC039C"/>
    <w:rsid w:val="00CC0489"/>
    <w:rsid w:val="00CC054D"/>
    <w:rsid w:val="00CC0AD8"/>
    <w:rsid w:val="00CC0C0C"/>
    <w:rsid w:val="00CC0CDE"/>
    <w:rsid w:val="00CC12BC"/>
    <w:rsid w:val="00CC1417"/>
    <w:rsid w:val="00CC1F6F"/>
    <w:rsid w:val="00CC1F86"/>
    <w:rsid w:val="00CC2361"/>
    <w:rsid w:val="00CC272F"/>
    <w:rsid w:val="00CC2A27"/>
    <w:rsid w:val="00CC2B12"/>
    <w:rsid w:val="00CC2CA6"/>
    <w:rsid w:val="00CC2EAE"/>
    <w:rsid w:val="00CC2F49"/>
    <w:rsid w:val="00CC2FFB"/>
    <w:rsid w:val="00CC309A"/>
    <w:rsid w:val="00CC31B2"/>
    <w:rsid w:val="00CC321D"/>
    <w:rsid w:val="00CC324A"/>
    <w:rsid w:val="00CC347B"/>
    <w:rsid w:val="00CC3A68"/>
    <w:rsid w:val="00CC3FFF"/>
    <w:rsid w:val="00CC4235"/>
    <w:rsid w:val="00CC424B"/>
    <w:rsid w:val="00CC4581"/>
    <w:rsid w:val="00CC46A4"/>
    <w:rsid w:val="00CC4762"/>
    <w:rsid w:val="00CC47B2"/>
    <w:rsid w:val="00CC4874"/>
    <w:rsid w:val="00CC4D07"/>
    <w:rsid w:val="00CC4E09"/>
    <w:rsid w:val="00CC5623"/>
    <w:rsid w:val="00CC5658"/>
    <w:rsid w:val="00CC5738"/>
    <w:rsid w:val="00CC5819"/>
    <w:rsid w:val="00CC586A"/>
    <w:rsid w:val="00CC5E23"/>
    <w:rsid w:val="00CC68CF"/>
    <w:rsid w:val="00CC6EBC"/>
    <w:rsid w:val="00CC6F3F"/>
    <w:rsid w:val="00CC70CB"/>
    <w:rsid w:val="00CC7A4C"/>
    <w:rsid w:val="00CC7C9C"/>
    <w:rsid w:val="00CC7DFB"/>
    <w:rsid w:val="00CC7E1D"/>
    <w:rsid w:val="00CC7ED4"/>
    <w:rsid w:val="00CD04E3"/>
    <w:rsid w:val="00CD05C7"/>
    <w:rsid w:val="00CD0B4B"/>
    <w:rsid w:val="00CD115D"/>
    <w:rsid w:val="00CD127B"/>
    <w:rsid w:val="00CD15B9"/>
    <w:rsid w:val="00CD1C88"/>
    <w:rsid w:val="00CD202E"/>
    <w:rsid w:val="00CD25A3"/>
    <w:rsid w:val="00CD2997"/>
    <w:rsid w:val="00CD2A16"/>
    <w:rsid w:val="00CD2B80"/>
    <w:rsid w:val="00CD2CC5"/>
    <w:rsid w:val="00CD3159"/>
    <w:rsid w:val="00CD3220"/>
    <w:rsid w:val="00CD3935"/>
    <w:rsid w:val="00CD3A27"/>
    <w:rsid w:val="00CD3B80"/>
    <w:rsid w:val="00CD3E0A"/>
    <w:rsid w:val="00CD457D"/>
    <w:rsid w:val="00CD4822"/>
    <w:rsid w:val="00CD4AD0"/>
    <w:rsid w:val="00CD5524"/>
    <w:rsid w:val="00CD5646"/>
    <w:rsid w:val="00CD60E9"/>
    <w:rsid w:val="00CD634A"/>
    <w:rsid w:val="00CD64F0"/>
    <w:rsid w:val="00CD6590"/>
    <w:rsid w:val="00CD6976"/>
    <w:rsid w:val="00CD6C45"/>
    <w:rsid w:val="00CD6FF1"/>
    <w:rsid w:val="00CD70F1"/>
    <w:rsid w:val="00CD717B"/>
    <w:rsid w:val="00CD7223"/>
    <w:rsid w:val="00CD72AF"/>
    <w:rsid w:val="00CD761E"/>
    <w:rsid w:val="00CD76B1"/>
    <w:rsid w:val="00CD7776"/>
    <w:rsid w:val="00CD77D6"/>
    <w:rsid w:val="00CD78A8"/>
    <w:rsid w:val="00CD795A"/>
    <w:rsid w:val="00CD7E9A"/>
    <w:rsid w:val="00CD7F23"/>
    <w:rsid w:val="00CE01B9"/>
    <w:rsid w:val="00CE0587"/>
    <w:rsid w:val="00CE0B7B"/>
    <w:rsid w:val="00CE172D"/>
    <w:rsid w:val="00CE1C3D"/>
    <w:rsid w:val="00CE212F"/>
    <w:rsid w:val="00CE285F"/>
    <w:rsid w:val="00CE290D"/>
    <w:rsid w:val="00CE29F9"/>
    <w:rsid w:val="00CE2A6B"/>
    <w:rsid w:val="00CE2CFC"/>
    <w:rsid w:val="00CE2EEE"/>
    <w:rsid w:val="00CE3079"/>
    <w:rsid w:val="00CE402F"/>
    <w:rsid w:val="00CE4505"/>
    <w:rsid w:val="00CE4694"/>
    <w:rsid w:val="00CE4838"/>
    <w:rsid w:val="00CE496B"/>
    <w:rsid w:val="00CE51D9"/>
    <w:rsid w:val="00CE5297"/>
    <w:rsid w:val="00CE59D6"/>
    <w:rsid w:val="00CE5A50"/>
    <w:rsid w:val="00CE5ACF"/>
    <w:rsid w:val="00CE694F"/>
    <w:rsid w:val="00CE6B70"/>
    <w:rsid w:val="00CE6D2A"/>
    <w:rsid w:val="00CE7558"/>
    <w:rsid w:val="00CE76A4"/>
    <w:rsid w:val="00CE778F"/>
    <w:rsid w:val="00CE795E"/>
    <w:rsid w:val="00CE7997"/>
    <w:rsid w:val="00CE79E8"/>
    <w:rsid w:val="00CF00E9"/>
    <w:rsid w:val="00CF00F9"/>
    <w:rsid w:val="00CF0948"/>
    <w:rsid w:val="00CF0A13"/>
    <w:rsid w:val="00CF13BD"/>
    <w:rsid w:val="00CF14F3"/>
    <w:rsid w:val="00CF2100"/>
    <w:rsid w:val="00CF25C2"/>
    <w:rsid w:val="00CF25FE"/>
    <w:rsid w:val="00CF26F4"/>
    <w:rsid w:val="00CF2DE0"/>
    <w:rsid w:val="00CF2F9B"/>
    <w:rsid w:val="00CF34EE"/>
    <w:rsid w:val="00CF3887"/>
    <w:rsid w:val="00CF38EE"/>
    <w:rsid w:val="00CF3A25"/>
    <w:rsid w:val="00CF3D08"/>
    <w:rsid w:val="00CF411A"/>
    <w:rsid w:val="00CF432E"/>
    <w:rsid w:val="00CF44C9"/>
    <w:rsid w:val="00CF4588"/>
    <w:rsid w:val="00CF4AF9"/>
    <w:rsid w:val="00CF4B2A"/>
    <w:rsid w:val="00CF4C71"/>
    <w:rsid w:val="00CF4CD0"/>
    <w:rsid w:val="00CF5219"/>
    <w:rsid w:val="00CF5474"/>
    <w:rsid w:val="00CF61C6"/>
    <w:rsid w:val="00CF686A"/>
    <w:rsid w:val="00CF6BD3"/>
    <w:rsid w:val="00CF6CA7"/>
    <w:rsid w:val="00CF7225"/>
    <w:rsid w:val="00CF7D1F"/>
    <w:rsid w:val="00CF7F04"/>
    <w:rsid w:val="00D00090"/>
    <w:rsid w:val="00D001CD"/>
    <w:rsid w:val="00D00996"/>
    <w:rsid w:val="00D00A53"/>
    <w:rsid w:val="00D00E16"/>
    <w:rsid w:val="00D01047"/>
    <w:rsid w:val="00D0173F"/>
    <w:rsid w:val="00D01784"/>
    <w:rsid w:val="00D01AA6"/>
    <w:rsid w:val="00D01AEF"/>
    <w:rsid w:val="00D01B64"/>
    <w:rsid w:val="00D01D07"/>
    <w:rsid w:val="00D01EB1"/>
    <w:rsid w:val="00D020CB"/>
    <w:rsid w:val="00D02438"/>
    <w:rsid w:val="00D028BC"/>
    <w:rsid w:val="00D02B2D"/>
    <w:rsid w:val="00D02B35"/>
    <w:rsid w:val="00D0307E"/>
    <w:rsid w:val="00D031AD"/>
    <w:rsid w:val="00D03206"/>
    <w:rsid w:val="00D0339D"/>
    <w:rsid w:val="00D03929"/>
    <w:rsid w:val="00D03F4F"/>
    <w:rsid w:val="00D03FAE"/>
    <w:rsid w:val="00D04383"/>
    <w:rsid w:val="00D0483C"/>
    <w:rsid w:val="00D04BF2"/>
    <w:rsid w:val="00D04DBE"/>
    <w:rsid w:val="00D051AF"/>
    <w:rsid w:val="00D0557D"/>
    <w:rsid w:val="00D05667"/>
    <w:rsid w:val="00D05700"/>
    <w:rsid w:val="00D0594A"/>
    <w:rsid w:val="00D05C5D"/>
    <w:rsid w:val="00D0623F"/>
    <w:rsid w:val="00D0625F"/>
    <w:rsid w:val="00D0656C"/>
    <w:rsid w:val="00D0692C"/>
    <w:rsid w:val="00D06A51"/>
    <w:rsid w:val="00D06D10"/>
    <w:rsid w:val="00D06DE7"/>
    <w:rsid w:val="00D06FBC"/>
    <w:rsid w:val="00D07E4C"/>
    <w:rsid w:val="00D10167"/>
    <w:rsid w:val="00D1026B"/>
    <w:rsid w:val="00D103F3"/>
    <w:rsid w:val="00D106F6"/>
    <w:rsid w:val="00D115C1"/>
    <w:rsid w:val="00D1172D"/>
    <w:rsid w:val="00D11751"/>
    <w:rsid w:val="00D11A3E"/>
    <w:rsid w:val="00D11F84"/>
    <w:rsid w:val="00D1255B"/>
    <w:rsid w:val="00D1380C"/>
    <w:rsid w:val="00D13A2B"/>
    <w:rsid w:val="00D13B66"/>
    <w:rsid w:val="00D13B6F"/>
    <w:rsid w:val="00D14654"/>
    <w:rsid w:val="00D149F6"/>
    <w:rsid w:val="00D14CB1"/>
    <w:rsid w:val="00D14D22"/>
    <w:rsid w:val="00D14F9C"/>
    <w:rsid w:val="00D15143"/>
    <w:rsid w:val="00D151F2"/>
    <w:rsid w:val="00D1530C"/>
    <w:rsid w:val="00D15424"/>
    <w:rsid w:val="00D154C8"/>
    <w:rsid w:val="00D15AC7"/>
    <w:rsid w:val="00D16810"/>
    <w:rsid w:val="00D16880"/>
    <w:rsid w:val="00D1765A"/>
    <w:rsid w:val="00D17B47"/>
    <w:rsid w:val="00D202B6"/>
    <w:rsid w:val="00D20613"/>
    <w:rsid w:val="00D20866"/>
    <w:rsid w:val="00D208F5"/>
    <w:rsid w:val="00D20F3B"/>
    <w:rsid w:val="00D218BD"/>
    <w:rsid w:val="00D2190A"/>
    <w:rsid w:val="00D21AC0"/>
    <w:rsid w:val="00D2270A"/>
    <w:rsid w:val="00D22F1B"/>
    <w:rsid w:val="00D22F73"/>
    <w:rsid w:val="00D2321A"/>
    <w:rsid w:val="00D2349C"/>
    <w:rsid w:val="00D23A30"/>
    <w:rsid w:val="00D23E94"/>
    <w:rsid w:val="00D2477B"/>
    <w:rsid w:val="00D247B8"/>
    <w:rsid w:val="00D2493F"/>
    <w:rsid w:val="00D24D5E"/>
    <w:rsid w:val="00D24E3A"/>
    <w:rsid w:val="00D250A2"/>
    <w:rsid w:val="00D25344"/>
    <w:rsid w:val="00D25D22"/>
    <w:rsid w:val="00D2621E"/>
    <w:rsid w:val="00D26C71"/>
    <w:rsid w:val="00D27255"/>
    <w:rsid w:val="00D27406"/>
    <w:rsid w:val="00D3065F"/>
    <w:rsid w:val="00D307A7"/>
    <w:rsid w:val="00D307BB"/>
    <w:rsid w:val="00D30C15"/>
    <w:rsid w:val="00D30C9F"/>
    <w:rsid w:val="00D31CDC"/>
    <w:rsid w:val="00D31D06"/>
    <w:rsid w:val="00D320DB"/>
    <w:rsid w:val="00D323CB"/>
    <w:rsid w:val="00D32921"/>
    <w:rsid w:val="00D329B0"/>
    <w:rsid w:val="00D32A10"/>
    <w:rsid w:val="00D32BF0"/>
    <w:rsid w:val="00D32F51"/>
    <w:rsid w:val="00D33085"/>
    <w:rsid w:val="00D3328B"/>
    <w:rsid w:val="00D3408E"/>
    <w:rsid w:val="00D349DD"/>
    <w:rsid w:val="00D34F8C"/>
    <w:rsid w:val="00D35075"/>
    <w:rsid w:val="00D350E4"/>
    <w:rsid w:val="00D351C1"/>
    <w:rsid w:val="00D352B3"/>
    <w:rsid w:val="00D354DB"/>
    <w:rsid w:val="00D356E9"/>
    <w:rsid w:val="00D35C11"/>
    <w:rsid w:val="00D35CC3"/>
    <w:rsid w:val="00D35D06"/>
    <w:rsid w:val="00D35E2C"/>
    <w:rsid w:val="00D35F9D"/>
    <w:rsid w:val="00D3604C"/>
    <w:rsid w:val="00D36065"/>
    <w:rsid w:val="00D366BF"/>
    <w:rsid w:val="00D3779E"/>
    <w:rsid w:val="00D37804"/>
    <w:rsid w:val="00D37DB0"/>
    <w:rsid w:val="00D37E1D"/>
    <w:rsid w:val="00D402A1"/>
    <w:rsid w:val="00D409B8"/>
    <w:rsid w:val="00D40ADD"/>
    <w:rsid w:val="00D40E73"/>
    <w:rsid w:val="00D41C9F"/>
    <w:rsid w:val="00D424A6"/>
    <w:rsid w:val="00D4250B"/>
    <w:rsid w:val="00D42535"/>
    <w:rsid w:val="00D42546"/>
    <w:rsid w:val="00D42AED"/>
    <w:rsid w:val="00D42E3F"/>
    <w:rsid w:val="00D433E1"/>
    <w:rsid w:val="00D437EA"/>
    <w:rsid w:val="00D440FB"/>
    <w:rsid w:val="00D4451D"/>
    <w:rsid w:val="00D44A9C"/>
    <w:rsid w:val="00D451DB"/>
    <w:rsid w:val="00D4532C"/>
    <w:rsid w:val="00D458BD"/>
    <w:rsid w:val="00D45B0C"/>
    <w:rsid w:val="00D45FD9"/>
    <w:rsid w:val="00D46517"/>
    <w:rsid w:val="00D46738"/>
    <w:rsid w:val="00D46AE0"/>
    <w:rsid w:val="00D46F4B"/>
    <w:rsid w:val="00D47198"/>
    <w:rsid w:val="00D4773A"/>
    <w:rsid w:val="00D5051E"/>
    <w:rsid w:val="00D508EC"/>
    <w:rsid w:val="00D50C59"/>
    <w:rsid w:val="00D50E56"/>
    <w:rsid w:val="00D50F28"/>
    <w:rsid w:val="00D51980"/>
    <w:rsid w:val="00D51A64"/>
    <w:rsid w:val="00D51A78"/>
    <w:rsid w:val="00D51AE0"/>
    <w:rsid w:val="00D51C33"/>
    <w:rsid w:val="00D520A2"/>
    <w:rsid w:val="00D525D8"/>
    <w:rsid w:val="00D52998"/>
    <w:rsid w:val="00D52BBD"/>
    <w:rsid w:val="00D52C74"/>
    <w:rsid w:val="00D532C8"/>
    <w:rsid w:val="00D53459"/>
    <w:rsid w:val="00D53C39"/>
    <w:rsid w:val="00D543B9"/>
    <w:rsid w:val="00D547D6"/>
    <w:rsid w:val="00D54D5C"/>
    <w:rsid w:val="00D5583C"/>
    <w:rsid w:val="00D558AE"/>
    <w:rsid w:val="00D55BED"/>
    <w:rsid w:val="00D562EF"/>
    <w:rsid w:val="00D5647E"/>
    <w:rsid w:val="00D56674"/>
    <w:rsid w:val="00D567BB"/>
    <w:rsid w:val="00D56828"/>
    <w:rsid w:val="00D56878"/>
    <w:rsid w:val="00D56D1A"/>
    <w:rsid w:val="00D56DA6"/>
    <w:rsid w:val="00D56EC6"/>
    <w:rsid w:val="00D57031"/>
    <w:rsid w:val="00D5750E"/>
    <w:rsid w:val="00D575D4"/>
    <w:rsid w:val="00D576D4"/>
    <w:rsid w:val="00D576EC"/>
    <w:rsid w:val="00D578C2"/>
    <w:rsid w:val="00D57BBD"/>
    <w:rsid w:val="00D57F0C"/>
    <w:rsid w:val="00D60AB5"/>
    <w:rsid w:val="00D60FEC"/>
    <w:rsid w:val="00D61214"/>
    <w:rsid w:val="00D6199D"/>
    <w:rsid w:val="00D61CE1"/>
    <w:rsid w:val="00D61FBE"/>
    <w:rsid w:val="00D6274F"/>
    <w:rsid w:val="00D62CF4"/>
    <w:rsid w:val="00D62EE0"/>
    <w:rsid w:val="00D62FAD"/>
    <w:rsid w:val="00D634D7"/>
    <w:rsid w:val="00D63624"/>
    <w:rsid w:val="00D63802"/>
    <w:rsid w:val="00D638C3"/>
    <w:rsid w:val="00D63B00"/>
    <w:rsid w:val="00D63BBD"/>
    <w:rsid w:val="00D63BF4"/>
    <w:rsid w:val="00D63CE6"/>
    <w:rsid w:val="00D63D10"/>
    <w:rsid w:val="00D63D9A"/>
    <w:rsid w:val="00D63E42"/>
    <w:rsid w:val="00D642F1"/>
    <w:rsid w:val="00D64B06"/>
    <w:rsid w:val="00D64D50"/>
    <w:rsid w:val="00D657C9"/>
    <w:rsid w:val="00D65958"/>
    <w:rsid w:val="00D659BE"/>
    <w:rsid w:val="00D65B11"/>
    <w:rsid w:val="00D65D7F"/>
    <w:rsid w:val="00D661EB"/>
    <w:rsid w:val="00D6646A"/>
    <w:rsid w:val="00D664D9"/>
    <w:rsid w:val="00D6655E"/>
    <w:rsid w:val="00D66BAD"/>
    <w:rsid w:val="00D66D9D"/>
    <w:rsid w:val="00D66E91"/>
    <w:rsid w:val="00D673C1"/>
    <w:rsid w:val="00D676F1"/>
    <w:rsid w:val="00D67808"/>
    <w:rsid w:val="00D678DE"/>
    <w:rsid w:val="00D67B56"/>
    <w:rsid w:val="00D67DAA"/>
    <w:rsid w:val="00D67F1E"/>
    <w:rsid w:val="00D7051E"/>
    <w:rsid w:val="00D705D1"/>
    <w:rsid w:val="00D70721"/>
    <w:rsid w:val="00D708A0"/>
    <w:rsid w:val="00D709E5"/>
    <w:rsid w:val="00D70CB5"/>
    <w:rsid w:val="00D70DE8"/>
    <w:rsid w:val="00D70E91"/>
    <w:rsid w:val="00D71292"/>
    <w:rsid w:val="00D71400"/>
    <w:rsid w:val="00D7151D"/>
    <w:rsid w:val="00D71848"/>
    <w:rsid w:val="00D71BF7"/>
    <w:rsid w:val="00D71D12"/>
    <w:rsid w:val="00D72182"/>
    <w:rsid w:val="00D728FA"/>
    <w:rsid w:val="00D73500"/>
    <w:rsid w:val="00D736A5"/>
    <w:rsid w:val="00D73A43"/>
    <w:rsid w:val="00D73D10"/>
    <w:rsid w:val="00D740C4"/>
    <w:rsid w:val="00D746B6"/>
    <w:rsid w:val="00D74805"/>
    <w:rsid w:val="00D74FB7"/>
    <w:rsid w:val="00D75A82"/>
    <w:rsid w:val="00D75D9C"/>
    <w:rsid w:val="00D762B1"/>
    <w:rsid w:val="00D76308"/>
    <w:rsid w:val="00D768DB"/>
    <w:rsid w:val="00D76926"/>
    <w:rsid w:val="00D76951"/>
    <w:rsid w:val="00D76DFB"/>
    <w:rsid w:val="00D76FCB"/>
    <w:rsid w:val="00D774DB"/>
    <w:rsid w:val="00D77626"/>
    <w:rsid w:val="00D77637"/>
    <w:rsid w:val="00D7766E"/>
    <w:rsid w:val="00D77F02"/>
    <w:rsid w:val="00D8000B"/>
    <w:rsid w:val="00D802C0"/>
    <w:rsid w:val="00D80BBB"/>
    <w:rsid w:val="00D80E4A"/>
    <w:rsid w:val="00D81154"/>
    <w:rsid w:val="00D815E0"/>
    <w:rsid w:val="00D81A76"/>
    <w:rsid w:val="00D820FB"/>
    <w:rsid w:val="00D8223C"/>
    <w:rsid w:val="00D8263B"/>
    <w:rsid w:val="00D82807"/>
    <w:rsid w:val="00D82971"/>
    <w:rsid w:val="00D82A8A"/>
    <w:rsid w:val="00D82D35"/>
    <w:rsid w:val="00D83384"/>
    <w:rsid w:val="00D83845"/>
    <w:rsid w:val="00D83A3D"/>
    <w:rsid w:val="00D83CFE"/>
    <w:rsid w:val="00D845D9"/>
    <w:rsid w:val="00D84AA6"/>
    <w:rsid w:val="00D84EEC"/>
    <w:rsid w:val="00D85241"/>
    <w:rsid w:val="00D8541A"/>
    <w:rsid w:val="00D854AD"/>
    <w:rsid w:val="00D85522"/>
    <w:rsid w:val="00D85612"/>
    <w:rsid w:val="00D858A5"/>
    <w:rsid w:val="00D858BD"/>
    <w:rsid w:val="00D859A8"/>
    <w:rsid w:val="00D86185"/>
    <w:rsid w:val="00D8649F"/>
    <w:rsid w:val="00D86B5F"/>
    <w:rsid w:val="00D86D74"/>
    <w:rsid w:val="00D870E0"/>
    <w:rsid w:val="00D873DD"/>
    <w:rsid w:val="00D87C12"/>
    <w:rsid w:val="00D90553"/>
    <w:rsid w:val="00D90776"/>
    <w:rsid w:val="00D909DA"/>
    <w:rsid w:val="00D90AC6"/>
    <w:rsid w:val="00D90BDE"/>
    <w:rsid w:val="00D919F5"/>
    <w:rsid w:val="00D91BD7"/>
    <w:rsid w:val="00D920E7"/>
    <w:rsid w:val="00D92212"/>
    <w:rsid w:val="00D928EE"/>
    <w:rsid w:val="00D92ACA"/>
    <w:rsid w:val="00D939BE"/>
    <w:rsid w:val="00D93C1A"/>
    <w:rsid w:val="00D93CFF"/>
    <w:rsid w:val="00D9404B"/>
    <w:rsid w:val="00D944E2"/>
    <w:rsid w:val="00D9485F"/>
    <w:rsid w:val="00D95098"/>
    <w:rsid w:val="00D95210"/>
    <w:rsid w:val="00D95273"/>
    <w:rsid w:val="00D95BC2"/>
    <w:rsid w:val="00D95DDF"/>
    <w:rsid w:val="00D96040"/>
    <w:rsid w:val="00D966F5"/>
    <w:rsid w:val="00D96CF0"/>
    <w:rsid w:val="00D96DEE"/>
    <w:rsid w:val="00D96F54"/>
    <w:rsid w:val="00D97079"/>
    <w:rsid w:val="00D9792B"/>
    <w:rsid w:val="00D97EA3"/>
    <w:rsid w:val="00DA1828"/>
    <w:rsid w:val="00DA1880"/>
    <w:rsid w:val="00DA24A5"/>
    <w:rsid w:val="00DA2E3D"/>
    <w:rsid w:val="00DA2F3F"/>
    <w:rsid w:val="00DA2FFC"/>
    <w:rsid w:val="00DA3359"/>
    <w:rsid w:val="00DA35EB"/>
    <w:rsid w:val="00DA3AD6"/>
    <w:rsid w:val="00DA3BDC"/>
    <w:rsid w:val="00DA3C9B"/>
    <w:rsid w:val="00DA3D1C"/>
    <w:rsid w:val="00DA4048"/>
    <w:rsid w:val="00DA404A"/>
    <w:rsid w:val="00DA41A6"/>
    <w:rsid w:val="00DA42CA"/>
    <w:rsid w:val="00DA43F3"/>
    <w:rsid w:val="00DA4D94"/>
    <w:rsid w:val="00DA4EDB"/>
    <w:rsid w:val="00DA558E"/>
    <w:rsid w:val="00DA58BB"/>
    <w:rsid w:val="00DA5F6C"/>
    <w:rsid w:val="00DA6055"/>
    <w:rsid w:val="00DA61A3"/>
    <w:rsid w:val="00DA660B"/>
    <w:rsid w:val="00DA670E"/>
    <w:rsid w:val="00DA6B19"/>
    <w:rsid w:val="00DA6D03"/>
    <w:rsid w:val="00DA6EB7"/>
    <w:rsid w:val="00DA7364"/>
    <w:rsid w:val="00DA73E8"/>
    <w:rsid w:val="00DA7952"/>
    <w:rsid w:val="00DB0589"/>
    <w:rsid w:val="00DB05CA"/>
    <w:rsid w:val="00DB0E7E"/>
    <w:rsid w:val="00DB0EA4"/>
    <w:rsid w:val="00DB1242"/>
    <w:rsid w:val="00DB18BE"/>
    <w:rsid w:val="00DB1959"/>
    <w:rsid w:val="00DB1B44"/>
    <w:rsid w:val="00DB1E94"/>
    <w:rsid w:val="00DB24DE"/>
    <w:rsid w:val="00DB2547"/>
    <w:rsid w:val="00DB280B"/>
    <w:rsid w:val="00DB28D2"/>
    <w:rsid w:val="00DB2952"/>
    <w:rsid w:val="00DB386B"/>
    <w:rsid w:val="00DB393C"/>
    <w:rsid w:val="00DB4166"/>
    <w:rsid w:val="00DB41B2"/>
    <w:rsid w:val="00DB4597"/>
    <w:rsid w:val="00DB4C59"/>
    <w:rsid w:val="00DB4DE3"/>
    <w:rsid w:val="00DB4E23"/>
    <w:rsid w:val="00DB58AE"/>
    <w:rsid w:val="00DB5BAE"/>
    <w:rsid w:val="00DB5C98"/>
    <w:rsid w:val="00DB5E5A"/>
    <w:rsid w:val="00DB6021"/>
    <w:rsid w:val="00DB629F"/>
    <w:rsid w:val="00DB6FF7"/>
    <w:rsid w:val="00DB7063"/>
    <w:rsid w:val="00DB7196"/>
    <w:rsid w:val="00DB7577"/>
    <w:rsid w:val="00DB7751"/>
    <w:rsid w:val="00DB7CB3"/>
    <w:rsid w:val="00DC07EC"/>
    <w:rsid w:val="00DC09B2"/>
    <w:rsid w:val="00DC0CE0"/>
    <w:rsid w:val="00DC1563"/>
    <w:rsid w:val="00DC1BA9"/>
    <w:rsid w:val="00DC1BDD"/>
    <w:rsid w:val="00DC2923"/>
    <w:rsid w:val="00DC3091"/>
    <w:rsid w:val="00DC30C2"/>
    <w:rsid w:val="00DC31E7"/>
    <w:rsid w:val="00DC38B0"/>
    <w:rsid w:val="00DC3993"/>
    <w:rsid w:val="00DC3B34"/>
    <w:rsid w:val="00DC3B3D"/>
    <w:rsid w:val="00DC3BDD"/>
    <w:rsid w:val="00DC3DF1"/>
    <w:rsid w:val="00DC4390"/>
    <w:rsid w:val="00DC5059"/>
    <w:rsid w:val="00DC50BF"/>
    <w:rsid w:val="00DC531E"/>
    <w:rsid w:val="00DC5378"/>
    <w:rsid w:val="00DC5A6A"/>
    <w:rsid w:val="00DC5B3D"/>
    <w:rsid w:val="00DC61E7"/>
    <w:rsid w:val="00DC6208"/>
    <w:rsid w:val="00DC6E09"/>
    <w:rsid w:val="00DC730F"/>
    <w:rsid w:val="00DC7BE8"/>
    <w:rsid w:val="00DD006F"/>
    <w:rsid w:val="00DD0428"/>
    <w:rsid w:val="00DD07A2"/>
    <w:rsid w:val="00DD098C"/>
    <w:rsid w:val="00DD12A6"/>
    <w:rsid w:val="00DD15F5"/>
    <w:rsid w:val="00DD165A"/>
    <w:rsid w:val="00DD1780"/>
    <w:rsid w:val="00DD1F43"/>
    <w:rsid w:val="00DD323D"/>
    <w:rsid w:val="00DD3258"/>
    <w:rsid w:val="00DD35F7"/>
    <w:rsid w:val="00DD372D"/>
    <w:rsid w:val="00DD3756"/>
    <w:rsid w:val="00DD38E3"/>
    <w:rsid w:val="00DD3C14"/>
    <w:rsid w:val="00DD3DDE"/>
    <w:rsid w:val="00DD41C9"/>
    <w:rsid w:val="00DD435B"/>
    <w:rsid w:val="00DD4680"/>
    <w:rsid w:val="00DD4C87"/>
    <w:rsid w:val="00DD511B"/>
    <w:rsid w:val="00DD5780"/>
    <w:rsid w:val="00DD57B1"/>
    <w:rsid w:val="00DD57BA"/>
    <w:rsid w:val="00DD59B4"/>
    <w:rsid w:val="00DD5A4B"/>
    <w:rsid w:val="00DD5BC7"/>
    <w:rsid w:val="00DD5E33"/>
    <w:rsid w:val="00DD61AB"/>
    <w:rsid w:val="00DD62FF"/>
    <w:rsid w:val="00DD63A5"/>
    <w:rsid w:val="00DD675F"/>
    <w:rsid w:val="00DD6B43"/>
    <w:rsid w:val="00DD6BC2"/>
    <w:rsid w:val="00DD6C6B"/>
    <w:rsid w:val="00DD718E"/>
    <w:rsid w:val="00DD7382"/>
    <w:rsid w:val="00DD7426"/>
    <w:rsid w:val="00DD7459"/>
    <w:rsid w:val="00DD7749"/>
    <w:rsid w:val="00DD7A50"/>
    <w:rsid w:val="00DE037F"/>
    <w:rsid w:val="00DE045A"/>
    <w:rsid w:val="00DE0D70"/>
    <w:rsid w:val="00DE101C"/>
    <w:rsid w:val="00DE140C"/>
    <w:rsid w:val="00DE1667"/>
    <w:rsid w:val="00DE1F17"/>
    <w:rsid w:val="00DE21EF"/>
    <w:rsid w:val="00DE23D5"/>
    <w:rsid w:val="00DE2686"/>
    <w:rsid w:val="00DE26D2"/>
    <w:rsid w:val="00DE28F6"/>
    <w:rsid w:val="00DE2923"/>
    <w:rsid w:val="00DE310D"/>
    <w:rsid w:val="00DE3581"/>
    <w:rsid w:val="00DE36AF"/>
    <w:rsid w:val="00DE3E25"/>
    <w:rsid w:val="00DE3ED3"/>
    <w:rsid w:val="00DE40D0"/>
    <w:rsid w:val="00DE4202"/>
    <w:rsid w:val="00DE49D7"/>
    <w:rsid w:val="00DE5030"/>
    <w:rsid w:val="00DE51A9"/>
    <w:rsid w:val="00DE58FF"/>
    <w:rsid w:val="00DE5A64"/>
    <w:rsid w:val="00DE6125"/>
    <w:rsid w:val="00DE61F0"/>
    <w:rsid w:val="00DE66FE"/>
    <w:rsid w:val="00DE6E3F"/>
    <w:rsid w:val="00DE7077"/>
    <w:rsid w:val="00DE71A4"/>
    <w:rsid w:val="00DE73E9"/>
    <w:rsid w:val="00DF0859"/>
    <w:rsid w:val="00DF110D"/>
    <w:rsid w:val="00DF11AB"/>
    <w:rsid w:val="00DF1531"/>
    <w:rsid w:val="00DF15C9"/>
    <w:rsid w:val="00DF15DA"/>
    <w:rsid w:val="00DF1837"/>
    <w:rsid w:val="00DF1E0E"/>
    <w:rsid w:val="00DF1E59"/>
    <w:rsid w:val="00DF1F38"/>
    <w:rsid w:val="00DF21E5"/>
    <w:rsid w:val="00DF2AB1"/>
    <w:rsid w:val="00DF2F24"/>
    <w:rsid w:val="00DF3529"/>
    <w:rsid w:val="00DF4C23"/>
    <w:rsid w:val="00DF5122"/>
    <w:rsid w:val="00DF519A"/>
    <w:rsid w:val="00DF530F"/>
    <w:rsid w:val="00DF5891"/>
    <w:rsid w:val="00DF5FAE"/>
    <w:rsid w:val="00DF5FB7"/>
    <w:rsid w:val="00DF61E6"/>
    <w:rsid w:val="00DF6B74"/>
    <w:rsid w:val="00DF6DE3"/>
    <w:rsid w:val="00DF74B7"/>
    <w:rsid w:val="00DF7673"/>
    <w:rsid w:val="00E00106"/>
    <w:rsid w:val="00E0012E"/>
    <w:rsid w:val="00E003C4"/>
    <w:rsid w:val="00E00681"/>
    <w:rsid w:val="00E006CD"/>
    <w:rsid w:val="00E00B56"/>
    <w:rsid w:val="00E00D4D"/>
    <w:rsid w:val="00E00D58"/>
    <w:rsid w:val="00E01019"/>
    <w:rsid w:val="00E014FA"/>
    <w:rsid w:val="00E01A69"/>
    <w:rsid w:val="00E0220D"/>
    <w:rsid w:val="00E02406"/>
    <w:rsid w:val="00E0279D"/>
    <w:rsid w:val="00E02EA6"/>
    <w:rsid w:val="00E02F6C"/>
    <w:rsid w:val="00E03287"/>
    <w:rsid w:val="00E03488"/>
    <w:rsid w:val="00E036FF"/>
    <w:rsid w:val="00E037C5"/>
    <w:rsid w:val="00E040AB"/>
    <w:rsid w:val="00E0488F"/>
    <w:rsid w:val="00E04994"/>
    <w:rsid w:val="00E04AAA"/>
    <w:rsid w:val="00E052F9"/>
    <w:rsid w:val="00E05441"/>
    <w:rsid w:val="00E0564A"/>
    <w:rsid w:val="00E05DF7"/>
    <w:rsid w:val="00E0660E"/>
    <w:rsid w:val="00E06809"/>
    <w:rsid w:val="00E074D0"/>
    <w:rsid w:val="00E1057C"/>
    <w:rsid w:val="00E10FE6"/>
    <w:rsid w:val="00E112AF"/>
    <w:rsid w:val="00E11309"/>
    <w:rsid w:val="00E11B75"/>
    <w:rsid w:val="00E12650"/>
    <w:rsid w:val="00E12EAD"/>
    <w:rsid w:val="00E13440"/>
    <w:rsid w:val="00E139B8"/>
    <w:rsid w:val="00E13A3A"/>
    <w:rsid w:val="00E13D4B"/>
    <w:rsid w:val="00E13E5F"/>
    <w:rsid w:val="00E143FF"/>
    <w:rsid w:val="00E14756"/>
    <w:rsid w:val="00E14799"/>
    <w:rsid w:val="00E14C2E"/>
    <w:rsid w:val="00E15113"/>
    <w:rsid w:val="00E1513F"/>
    <w:rsid w:val="00E151C6"/>
    <w:rsid w:val="00E15237"/>
    <w:rsid w:val="00E15272"/>
    <w:rsid w:val="00E15793"/>
    <w:rsid w:val="00E15FA0"/>
    <w:rsid w:val="00E16183"/>
    <w:rsid w:val="00E16D89"/>
    <w:rsid w:val="00E16E2B"/>
    <w:rsid w:val="00E16FD2"/>
    <w:rsid w:val="00E1700B"/>
    <w:rsid w:val="00E1741A"/>
    <w:rsid w:val="00E17650"/>
    <w:rsid w:val="00E176F6"/>
    <w:rsid w:val="00E17761"/>
    <w:rsid w:val="00E1785B"/>
    <w:rsid w:val="00E178EC"/>
    <w:rsid w:val="00E179CD"/>
    <w:rsid w:val="00E17A7C"/>
    <w:rsid w:val="00E20208"/>
    <w:rsid w:val="00E20E8B"/>
    <w:rsid w:val="00E212DB"/>
    <w:rsid w:val="00E21681"/>
    <w:rsid w:val="00E2174D"/>
    <w:rsid w:val="00E21859"/>
    <w:rsid w:val="00E219AD"/>
    <w:rsid w:val="00E229D8"/>
    <w:rsid w:val="00E22D8D"/>
    <w:rsid w:val="00E22D9E"/>
    <w:rsid w:val="00E22EAB"/>
    <w:rsid w:val="00E23426"/>
    <w:rsid w:val="00E23943"/>
    <w:rsid w:val="00E23952"/>
    <w:rsid w:val="00E2422F"/>
    <w:rsid w:val="00E24331"/>
    <w:rsid w:val="00E24575"/>
    <w:rsid w:val="00E24C7F"/>
    <w:rsid w:val="00E24FB6"/>
    <w:rsid w:val="00E25815"/>
    <w:rsid w:val="00E258A7"/>
    <w:rsid w:val="00E25B9C"/>
    <w:rsid w:val="00E25C50"/>
    <w:rsid w:val="00E2627F"/>
    <w:rsid w:val="00E262BF"/>
    <w:rsid w:val="00E267A9"/>
    <w:rsid w:val="00E267D2"/>
    <w:rsid w:val="00E26E96"/>
    <w:rsid w:val="00E270E7"/>
    <w:rsid w:val="00E27348"/>
    <w:rsid w:val="00E275B4"/>
    <w:rsid w:val="00E27C1E"/>
    <w:rsid w:val="00E27DE2"/>
    <w:rsid w:val="00E27FA5"/>
    <w:rsid w:val="00E312CD"/>
    <w:rsid w:val="00E3137A"/>
    <w:rsid w:val="00E313CA"/>
    <w:rsid w:val="00E31726"/>
    <w:rsid w:val="00E3238B"/>
    <w:rsid w:val="00E32A24"/>
    <w:rsid w:val="00E32B40"/>
    <w:rsid w:val="00E32DF2"/>
    <w:rsid w:val="00E3339D"/>
    <w:rsid w:val="00E33572"/>
    <w:rsid w:val="00E3390B"/>
    <w:rsid w:val="00E33B59"/>
    <w:rsid w:val="00E33E45"/>
    <w:rsid w:val="00E33F27"/>
    <w:rsid w:val="00E340C9"/>
    <w:rsid w:val="00E3427B"/>
    <w:rsid w:val="00E34462"/>
    <w:rsid w:val="00E34BC5"/>
    <w:rsid w:val="00E35253"/>
    <w:rsid w:val="00E35CE2"/>
    <w:rsid w:val="00E3683B"/>
    <w:rsid w:val="00E3685B"/>
    <w:rsid w:val="00E36BF7"/>
    <w:rsid w:val="00E36E2C"/>
    <w:rsid w:val="00E37198"/>
    <w:rsid w:val="00E37345"/>
    <w:rsid w:val="00E3778F"/>
    <w:rsid w:val="00E40220"/>
    <w:rsid w:val="00E40BBC"/>
    <w:rsid w:val="00E41026"/>
    <w:rsid w:val="00E41199"/>
    <w:rsid w:val="00E41283"/>
    <w:rsid w:val="00E41698"/>
    <w:rsid w:val="00E417F3"/>
    <w:rsid w:val="00E41E0F"/>
    <w:rsid w:val="00E4230F"/>
    <w:rsid w:val="00E425EC"/>
    <w:rsid w:val="00E4266E"/>
    <w:rsid w:val="00E42B31"/>
    <w:rsid w:val="00E42C06"/>
    <w:rsid w:val="00E433A7"/>
    <w:rsid w:val="00E433E1"/>
    <w:rsid w:val="00E43BDC"/>
    <w:rsid w:val="00E43BF5"/>
    <w:rsid w:val="00E43DB2"/>
    <w:rsid w:val="00E441E6"/>
    <w:rsid w:val="00E44954"/>
    <w:rsid w:val="00E44BCB"/>
    <w:rsid w:val="00E45293"/>
    <w:rsid w:val="00E45420"/>
    <w:rsid w:val="00E45975"/>
    <w:rsid w:val="00E45AFC"/>
    <w:rsid w:val="00E45CC4"/>
    <w:rsid w:val="00E45DF6"/>
    <w:rsid w:val="00E46209"/>
    <w:rsid w:val="00E462A5"/>
    <w:rsid w:val="00E466E1"/>
    <w:rsid w:val="00E46873"/>
    <w:rsid w:val="00E4693D"/>
    <w:rsid w:val="00E46AAE"/>
    <w:rsid w:val="00E47455"/>
    <w:rsid w:val="00E47CC8"/>
    <w:rsid w:val="00E47D1C"/>
    <w:rsid w:val="00E47E4D"/>
    <w:rsid w:val="00E47FE9"/>
    <w:rsid w:val="00E50016"/>
    <w:rsid w:val="00E50C9A"/>
    <w:rsid w:val="00E50FDC"/>
    <w:rsid w:val="00E511C6"/>
    <w:rsid w:val="00E51355"/>
    <w:rsid w:val="00E5155E"/>
    <w:rsid w:val="00E52878"/>
    <w:rsid w:val="00E52BE9"/>
    <w:rsid w:val="00E52D76"/>
    <w:rsid w:val="00E52E1D"/>
    <w:rsid w:val="00E533E9"/>
    <w:rsid w:val="00E535AD"/>
    <w:rsid w:val="00E5371E"/>
    <w:rsid w:val="00E53D92"/>
    <w:rsid w:val="00E540C1"/>
    <w:rsid w:val="00E5418A"/>
    <w:rsid w:val="00E541D9"/>
    <w:rsid w:val="00E54941"/>
    <w:rsid w:val="00E5535F"/>
    <w:rsid w:val="00E558D9"/>
    <w:rsid w:val="00E5658A"/>
    <w:rsid w:val="00E565EF"/>
    <w:rsid w:val="00E56F28"/>
    <w:rsid w:val="00E5748F"/>
    <w:rsid w:val="00E576C7"/>
    <w:rsid w:val="00E57A6B"/>
    <w:rsid w:val="00E57BFC"/>
    <w:rsid w:val="00E6003C"/>
    <w:rsid w:val="00E6056B"/>
    <w:rsid w:val="00E60686"/>
    <w:rsid w:val="00E6090D"/>
    <w:rsid w:val="00E60AD0"/>
    <w:rsid w:val="00E60DA6"/>
    <w:rsid w:val="00E60E7D"/>
    <w:rsid w:val="00E610A9"/>
    <w:rsid w:val="00E615A6"/>
    <w:rsid w:val="00E61A8D"/>
    <w:rsid w:val="00E61EF5"/>
    <w:rsid w:val="00E62205"/>
    <w:rsid w:val="00E624E9"/>
    <w:rsid w:val="00E62870"/>
    <w:rsid w:val="00E62943"/>
    <w:rsid w:val="00E62AFF"/>
    <w:rsid w:val="00E6305F"/>
    <w:rsid w:val="00E63545"/>
    <w:rsid w:val="00E63582"/>
    <w:rsid w:val="00E63682"/>
    <w:rsid w:val="00E638B6"/>
    <w:rsid w:val="00E6394F"/>
    <w:rsid w:val="00E63A4D"/>
    <w:rsid w:val="00E63E9E"/>
    <w:rsid w:val="00E64167"/>
    <w:rsid w:val="00E6479C"/>
    <w:rsid w:val="00E64A4B"/>
    <w:rsid w:val="00E64A67"/>
    <w:rsid w:val="00E65349"/>
    <w:rsid w:val="00E653BB"/>
    <w:rsid w:val="00E655FB"/>
    <w:rsid w:val="00E65A34"/>
    <w:rsid w:val="00E65CD9"/>
    <w:rsid w:val="00E65F31"/>
    <w:rsid w:val="00E66A62"/>
    <w:rsid w:val="00E6731B"/>
    <w:rsid w:val="00E676B8"/>
    <w:rsid w:val="00E676F9"/>
    <w:rsid w:val="00E67DA2"/>
    <w:rsid w:val="00E67FF5"/>
    <w:rsid w:val="00E7035B"/>
    <w:rsid w:val="00E70487"/>
    <w:rsid w:val="00E70BE5"/>
    <w:rsid w:val="00E70EA6"/>
    <w:rsid w:val="00E710AB"/>
    <w:rsid w:val="00E71183"/>
    <w:rsid w:val="00E71202"/>
    <w:rsid w:val="00E7150E"/>
    <w:rsid w:val="00E71547"/>
    <w:rsid w:val="00E71B08"/>
    <w:rsid w:val="00E71BBA"/>
    <w:rsid w:val="00E71BD9"/>
    <w:rsid w:val="00E71F15"/>
    <w:rsid w:val="00E71F52"/>
    <w:rsid w:val="00E720DE"/>
    <w:rsid w:val="00E720F9"/>
    <w:rsid w:val="00E736D0"/>
    <w:rsid w:val="00E7397D"/>
    <w:rsid w:val="00E73B5C"/>
    <w:rsid w:val="00E73DB2"/>
    <w:rsid w:val="00E740F9"/>
    <w:rsid w:val="00E74855"/>
    <w:rsid w:val="00E74F04"/>
    <w:rsid w:val="00E7525C"/>
    <w:rsid w:val="00E75401"/>
    <w:rsid w:val="00E75B33"/>
    <w:rsid w:val="00E766C8"/>
    <w:rsid w:val="00E767F8"/>
    <w:rsid w:val="00E76A36"/>
    <w:rsid w:val="00E76C14"/>
    <w:rsid w:val="00E76DD5"/>
    <w:rsid w:val="00E777D0"/>
    <w:rsid w:val="00E77800"/>
    <w:rsid w:val="00E77903"/>
    <w:rsid w:val="00E77B65"/>
    <w:rsid w:val="00E77B88"/>
    <w:rsid w:val="00E77F46"/>
    <w:rsid w:val="00E80448"/>
    <w:rsid w:val="00E80BB3"/>
    <w:rsid w:val="00E80D34"/>
    <w:rsid w:val="00E80E90"/>
    <w:rsid w:val="00E8156D"/>
    <w:rsid w:val="00E81656"/>
    <w:rsid w:val="00E81817"/>
    <w:rsid w:val="00E8193D"/>
    <w:rsid w:val="00E81DC5"/>
    <w:rsid w:val="00E823B1"/>
    <w:rsid w:val="00E824EC"/>
    <w:rsid w:val="00E82BA0"/>
    <w:rsid w:val="00E82BFF"/>
    <w:rsid w:val="00E82C8C"/>
    <w:rsid w:val="00E83834"/>
    <w:rsid w:val="00E838A3"/>
    <w:rsid w:val="00E83B66"/>
    <w:rsid w:val="00E83F97"/>
    <w:rsid w:val="00E84594"/>
    <w:rsid w:val="00E84601"/>
    <w:rsid w:val="00E84766"/>
    <w:rsid w:val="00E8479F"/>
    <w:rsid w:val="00E84E43"/>
    <w:rsid w:val="00E84F41"/>
    <w:rsid w:val="00E84FFE"/>
    <w:rsid w:val="00E851FD"/>
    <w:rsid w:val="00E852D3"/>
    <w:rsid w:val="00E85AB4"/>
    <w:rsid w:val="00E85C55"/>
    <w:rsid w:val="00E85F0B"/>
    <w:rsid w:val="00E861F5"/>
    <w:rsid w:val="00E86C65"/>
    <w:rsid w:val="00E86C92"/>
    <w:rsid w:val="00E86DAB"/>
    <w:rsid w:val="00E87643"/>
    <w:rsid w:val="00E878B7"/>
    <w:rsid w:val="00E87A3E"/>
    <w:rsid w:val="00E87E03"/>
    <w:rsid w:val="00E900A3"/>
    <w:rsid w:val="00E903B3"/>
    <w:rsid w:val="00E90435"/>
    <w:rsid w:val="00E90740"/>
    <w:rsid w:val="00E909CD"/>
    <w:rsid w:val="00E91168"/>
    <w:rsid w:val="00E914C5"/>
    <w:rsid w:val="00E9156E"/>
    <w:rsid w:val="00E91867"/>
    <w:rsid w:val="00E91AB6"/>
    <w:rsid w:val="00E920F9"/>
    <w:rsid w:val="00E922FA"/>
    <w:rsid w:val="00E9256A"/>
    <w:rsid w:val="00E927B3"/>
    <w:rsid w:val="00E9326D"/>
    <w:rsid w:val="00E935C9"/>
    <w:rsid w:val="00E9387C"/>
    <w:rsid w:val="00E93A05"/>
    <w:rsid w:val="00E93ED8"/>
    <w:rsid w:val="00E94A0C"/>
    <w:rsid w:val="00E94AB4"/>
    <w:rsid w:val="00E94D79"/>
    <w:rsid w:val="00E9505B"/>
    <w:rsid w:val="00E95244"/>
    <w:rsid w:val="00E95331"/>
    <w:rsid w:val="00E95377"/>
    <w:rsid w:val="00E95704"/>
    <w:rsid w:val="00E95866"/>
    <w:rsid w:val="00E95AEF"/>
    <w:rsid w:val="00E96611"/>
    <w:rsid w:val="00E97109"/>
    <w:rsid w:val="00E973C2"/>
    <w:rsid w:val="00EA005F"/>
    <w:rsid w:val="00EA0812"/>
    <w:rsid w:val="00EA132F"/>
    <w:rsid w:val="00EA1650"/>
    <w:rsid w:val="00EA1B60"/>
    <w:rsid w:val="00EA21C0"/>
    <w:rsid w:val="00EA266C"/>
    <w:rsid w:val="00EA2675"/>
    <w:rsid w:val="00EA283F"/>
    <w:rsid w:val="00EA294F"/>
    <w:rsid w:val="00EA2F23"/>
    <w:rsid w:val="00EA3475"/>
    <w:rsid w:val="00EA39A4"/>
    <w:rsid w:val="00EA3AAA"/>
    <w:rsid w:val="00EA3E2A"/>
    <w:rsid w:val="00EA4035"/>
    <w:rsid w:val="00EA47B6"/>
    <w:rsid w:val="00EA4BA3"/>
    <w:rsid w:val="00EA4D89"/>
    <w:rsid w:val="00EA4FFA"/>
    <w:rsid w:val="00EA519D"/>
    <w:rsid w:val="00EA5BD6"/>
    <w:rsid w:val="00EA5E05"/>
    <w:rsid w:val="00EA6069"/>
    <w:rsid w:val="00EA69B3"/>
    <w:rsid w:val="00EA6C9A"/>
    <w:rsid w:val="00EA6FCF"/>
    <w:rsid w:val="00EA73CB"/>
    <w:rsid w:val="00EA7776"/>
    <w:rsid w:val="00EB04C6"/>
    <w:rsid w:val="00EB060C"/>
    <w:rsid w:val="00EB067B"/>
    <w:rsid w:val="00EB0A20"/>
    <w:rsid w:val="00EB0BA2"/>
    <w:rsid w:val="00EB0D7E"/>
    <w:rsid w:val="00EB1796"/>
    <w:rsid w:val="00EB25CD"/>
    <w:rsid w:val="00EB2D24"/>
    <w:rsid w:val="00EB30F8"/>
    <w:rsid w:val="00EB3152"/>
    <w:rsid w:val="00EB3186"/>
    <w:rsid w:val="00EB325A"/>
    <w:rsid w:val="00EB33CC"/>
    <w:rsid w:val="00EB347D"/>
    <w:rsid w:val="00EB3DEC"/>
    <w:rsid w:val="00EB41F1"/>
    <w:rsid w:val="00EB44C0"/>
    <w:rsid w:val="00EB46AF"/>
    <w:rsid w:val="00EB4B3C"/>
    <w:rsid w:val="00EB4B87"/>
    <w:rsid w:val="00EB4EB8"/>
    <w:rsid w:val="00EB5789"/>
    <w:rsid w:val="00EB5BCA"/>
    <w:rsid w:val="00EB5C9D"/>
    <w:rsid w:val="00EB5D04"/>
    <w:rsid w:val="00EB6455"/>
    <w:rsid w:val="00EB65E6"/>
    <w:rsid w:val="00EB6DDA"/>
    <w:rsid w:val="00EB77D0"/>
    <w:rsid w:val="00EB78B7"/>
    <w:rsid w:val="00EB7CE8"/>
    <w:rsid w:val="00EC0E99"/>
    <w:rsid w:val="00EC125C"/>
    <w:rsid w:val="00EC1854"/>
    <w:rsid w:val="00EC18F3"/>
    <w:rsid w:val="00EC1DFE"/>
    <w:rsid w:val="00EC2064"/>
    <w:rsid w:val="00EC2320"/>
    <w:rsid w:val="00EC2474"/>
    <w:rsid w:val="00EC2AA0"/>
    <w:rsid w:val="00EC2ABD"/>
    <w:rsid w:val="00EC3122"/>
    <w:rsid w:val="00EC334B"/>
    <w:rsid w:val="00EC34A5"/>
    <w:rsid w:val="00EC3525"/>
    <w:rsid w:val="00EC3BCC"/>
    <w:rsid w:val="00EC3D76"/>
    <w:rsid w:val="00EC4052"/>
    <w:rsid w:val="00EC41F8"/>
    <w:rsid w:val="00EC4281"/>
    <w:rsid w:val="00EC42FA"/>
    <w:rsid w:val="00EC46DD"/>
    <w:rsid w:val="00EC4C2E"/>
    <w:rsid w:val="00EC4F5D"/>
    <w:rsid w:val="00EC5E29"/>
    <w:rsid w:val="00EC5E6B"/>
    <w:rsid w:val="00EC6138"/>
    <w:rsid w:val="00EC64A4"/>
    <w:rsid w:val="00EC6645"/>
    <w:rsid w:val="00EC69FC"/>
    <w:rsid w:val="00EC7502"/>
    <w:rsid w:val="00EC7C54"/>
    <w:rsid w:val="00EC7D95"/>
    <w:rsid w:val="00EC7FE9"/>
    <w:rsid w:val="00ED1469"/>
    <w:rsid w:val="00ED17ED"/>
    <w:rsid w:val="00ED1CE6"/>
    <w:rsid w:val="00ED2680"/>
    <w:rsid w:val="00ED26D0"/>
    <w:rsid w:val="00ED2AF3"/>
    <w:rsid w:val="00ED2BAC"/>
    <w:rsid w:val="00ED3395"/>
    <w:rsid w:val="00ED35B5"/>
    <w:rsid w:val="00ED36EB"/>
    <w:rsid w:val="00ED3750"/>
    <w:rsid w:val="00ED3AF2"/>
    <w:rsid w:val="00ED3E37"/>
    <w:rsid w:val="00ED425B"/>
    <w:rsid w:val="00ED456A"/>
    <w:rsid w:val="00ED45B1"/>
    <w:rsid w:val="00ED4729"/>
    <w:rsid w:val="00ED4E40"/>
    <w:rsid w:val="00ED4EF3"/>
    <w:rsid w:val="00ED54DA"/>
    <w:rsid w:val="00ED581B"/>
    <w:rsid w:val="00ED5A8C"/>
    <w:rsid w:val="00ED5D79"/>
    <w:rsid w:val="00ED6C77"/>
    <w:rsid w:val="00ED6CAC"/>
    <w:rsid w:val="00ED6F2C"/>
    <w:rsid w:val="00ED7151"/>
    <w:rsid w:val="00ED7231"/>
    <w:rsid w:val="00ED7C95"/>
    <w:rsid w:val="00ED7E99"/>
    <w:rsid w:val="00ED7F14"/>
    <w:rsid w:val="00ED7FEA"/>
    <w:rsid w:val="00EE00A9"/>
    <w:rsid w:val="00EE04C5"/>
    <w:rsid w:val="00EE08B4"/>
    <w:rsid w:val="00EE0CFA"/>
    <w:rsid w:val="00EE14D7"/>
    <w:rsid w:val="00EE152D"/>
    <w:rsid w:val="00EE1558"/>
    <w:rsid w:val="00EE15E1"/>
    <w:rsid w:val="00EE199B"/>
    <w:rsid w:val="00EE1C59"/>
    <w:rsid w:val="00EE1D5C"/>
    <w:rsid w:val="00EE1DDB"/>
    <w:rsid w:val="00EE1DE4"/>
    <w:rsid w:val="00EE241A"/>
    <w:rsid w:val="00EE2506"/>
    <w:rsid w:val="00EE30F7"/>
    <w:rsid w:val="00EE32A9"/>
    <w:rsid w:val="00EE333A"/>
    <w:rsid w:val="00EE37D3"/>
    <w:rsid w:val="00EE3861"/>
    <w:rsid w:val="00EE4293"/>
    <w:rsid w:val="00EE4620"/>
    <w:rsid w:val="00EE487F"/>
    <w:rsid w:val="00EE4906"/>
    <w:rsid w:val="00EE5058"/>
    <w:rsid w:val="00EE522E"/>
    <w:rsid w:val="00EE58DF"/>
    <w:rsid w:val="00EE5E64"/>
    <w:rsid w:val="00EE5F56"/>
    <w:rsid w:val="00EE60AB"/>
    <w:rsid w:val="00EE60B5"/>
    <w:rsid w:val="00EE6486"/>
    <w:rsid w:val="00EE6948"/>
    <w:rsid w:val="00EE6ABC"/>
    <w:rsid w:val="00EE70BC"/>
    <w:rsid w:val="00EE7164"/>
    <w:rsid w:val="00EE743C"/>
    <w:rsid w:val="00EE7E5D"/>
    <w:rsid w:val="00EF00BA"/>
    <w:rsid w:val="00EF0298"/>
    <w:rsid w:val="00EF040D"/>
    <w:rsid w:val="00EF0926"/>
    <w:rsid w:val="00EF0A7B"/>
    <w:rsid w:val="00EF1261"/>
    <w:rsid w:val="00EF1771"/>
    <w:rsid w:val="00EF1989"/>
    <w:rsid w:val="00EF1BCA"/>
    <w:rsid w:val="00EF1C25"/>
    <w:rsid w:val="00EF2071"/>
    <w:rsid w:val="00EF22E2"/>
    <w:rsid w:val="00EF2655"/>
    <w:rsid w:val="00EF29CE"/>
    <w:rsid w:val="00EF2A7E"/>
    <w:rsid w:val="00EF3003"/>
    <w:rsid w:val="00EF33E2"/>
    <w:rsid w:val="00EF36DD"/>
    <w:rsid w:val="00EF3817"/>
    <w:rsid w:val="00EF3B55"/>
    <w:rsid w:val="00EF3D2B"/>
    <w:rsid w:val="00EF3DC9"/>
    <w:rsid w:val="00EF40C8"/>
    <w:rsid w:val="00EF4432"/>
    <w:rsid w:val="00EF4806"/>
    <w:rsid w:val="00EF493A"/>
    <w:rsid w:val="00EF4B20"/>
    <w:rsid w:val="00EF4B61"/>
    <w:rsid w:val="00EF4C58"/>
    <w:rsid w:val="00EF54B1"/>
    <w:rsid w:val="00EF603E"/>
    <w:rsid w:val="00EF671D"/>
    <w:rsid w:val="00EF6AA2"/>
    <w:rsid w:val="00EF6B53"/>
    <w:rsid w:val="00EF6C6F"/>
    <w:rsid w:val="00EF6ED0"/>
    <w:rsid w:val="00EF7201"/>
    <w:rsid w:val="00EF73E0"/>
    <w:rsid w:val="00EF7D7C"/>
    <w:rsid w:val="00EF7DF1"/>
    <w:rsid w:val="00F0046E"/>
    <w:rsid w:val="00F009EC"/>
    <w:rsid w:val="00F015EF"/>
    <w:rsid w:val="00F01A43"/>
    <w:rsid w:val="00F01D18"/>
    <w:rsid w:val="00F01EA4"/>
    <w:rsid w:val="00F022A9"/>
    <w:rsid w:val="00F0271F"/>
    <w:rsid w:val="00F027DA"/>
    <w:rsid w:val="00F02912"/>
    <w:rsid w:val="00F02993"/>
    <w:rsid w:val="00F02C1D"/>
    <w:rsid w:val="00F0305B"/>
    <w:rsid w:val="00F031F2"/>
    <w:rsid w:val="00F032F0"/>
    <w:rsid w:val="00F033BD"/>
    <w:rsid w:val="00F03768"/>
    <w:rsid w:val="00F0411B"/>
    <w:rsid w:val="00F047C2"/>
    <w:rsid w:val="00F04999"/>
    <w:rsid w:val="00F04C04"/>
    <w:rsid w:val="00F04CC1"/>
    <w:rsid w:val="00F04F27"/>
    <w:rsid w:val="00F05296"/>
    <w:rsid w:val="00F053C0"/>
    <w:rsid w:val="00F055C9"/>
    <w:rsid w:val="00F0585D"/>
    <w:rsid w:val="00F05F1C"/>
    <w:rsid w:val="00F060C6"/>
    <w:rsid w:val="00F063DB"/>
    <w:rsid w:val="00F06446"/>
    <w:rsid w:val="00F06449"/>
    <w:rsid w:val="00F06971"/>
    <w:rsid w:val="00F0698C"/>
    <w:rsid w:val="00F06E3C"/>
    <w:rsid w:val="00F0707A"/>
    <w:rsid w:val="00F078DA"/>
    <w:rsid w:val="00F07948"/>
    <w:rsid w:val="00F07FE6"/>
    <w:rsid w:val="00F1023C"/>
    <w:rsid w:val="00F10314"/>
    <w:rsid w:val="00F1040A"/>
    <w:rsid w:val="00F1040D"/>
    <w:rsid w:val="00F106AD"/>
    <w:rsid w:val="00F115D7"/>
    <w:rsid w:val="00F115DA"/>
    <w:rsid w:val="00F11B70"/>
    <w:rsid w:val="00F12065"/>
    <w:rsid w:val="00F12145"/>
    <w:rsid w:val="00F12206"/>
    <w:rsid w:val="00F124CF"/>
    <w:rsid w:val="00F12F47"/>
    <w:rsid w:val="00F13174"/>
    <w:rsid w:val="00F13278"/>
    <w:rsid w:val="00F133EF"/>
    <w:rsid w:val="00F13CD2"/>
    <w:rsid w:val="00F13E0C"/>
    <w:rsid w:val="00F14347"/>
    <w:rsid w:val="00F14BA3"/>
    <w:rsid w:val="00F14CE4"/>
    <w:rsid w:val="00F14DB4"/>
    <w:rsid w:val="00F14DE6"/>
    <w:rsid w:val="00F14E8A"/>
    <w:rsid w:val="00F14F0C"/>
    <w:rsid w:val="00F15526"/>
    <w:rsid w:val="00F155CF"/>
    <w:rsid w:val="00F15A23"/>
    <w:rsid w:val="00F15E0F"/>
    <w:rsid w:val="00F160D1"/>
    <w:rsid w:val="00F16502"/>
    <w:rsid w:val="00F16EB2"/>
    <w:rsid w:val="00F172FC"/>
    <w:rsid w:val="00F17390"/>
    <w:rsid w:val="00F173B1"/>
    <w:rsid w:val="00F177BA"/>
    <w:rsid w:val="00F178E7"/>
    <w:rsid w:val="00F17B47"/>
    <w:rsid w:val="00F207EC"/>
    <w:rsid w:val="00F20880"/>
    <w:rsid w:val="00F2127C"/>
    <w:rsid w:val="00F217AA"/>
    <w:rsid w:val="00F2180B"/>
    <w:rsid w:val="00F218CA"/>
    <w:rsid w:val="00F21B56"/>
    <w:rsid w:val="00F21E57"/>
    <w:rsid w:val="00F22396"/>
    <w:rsid w:val="00F22482"/>
    <w:rsid w:val="00F22849"/>
    <w:rsid w:val="00F228FE"/>
    <w:rsid w:val="00F22B14"/>
    <w:rsid w:val="00F22EB8"/>
    <w:rsid w:val="00F22F6B"/>
    <w:rsid w:val="00F233B1"/>
    <w:rsid w:val="00F235F2"/>
    <w:rsid w:val="00F23B85"/>
    <w:rsid w:val="00F24095"/>
    <w:rsid w:val="00F246F6"/>
    <w:rsid w:val="00F249F9"/>
    <w:rsid w:val="00F24AE8"/>
    <w:rsid w:val="00F24D58"/>
    <w:rsid w:val="00F24D62"/>
    <w:rsid w:val="00F24F2E"/>
    <w:rsid w:val="00F24FD4"/>
    <w:rsid w:val="00F250BB"/>
    <w:rsid w:val="00F25511"/>
    <w:rsid w:val="00F25815"/>
    <w:rsid w:val="00F25C92"/>
    <w:rsid w:val="00F25D25"/>
    <w:rsid w:val="00F26362"/>
    <w:rsid w:val="00F26961"/>
    <w:rsid w:val="00F26DBD"/>
    <w:rsid w:val="00F2709B"/>
    <w:rsid w:val="00F27A7B"/>
    <w:rsid w:val="00F27A9D"/>
    <w:rsid w:val="00F27AB2"/>
    <w:rsid w:val="00F27AF6"/>
    <w:rsid w:val="00F27B27"/>
    <w:rsid w:val="00F27F17"/>
    <w:rsid w:val="00F27F5A"/>
    <w:rsid w:val="00F27FF9"/>
    <w:rsid w:val="00F300C0"/>
    <w:rsid w:val="00F307C3"/>
    <w:rsid w:val="00F30BF3"/>
    <w:rsid w:val="00F30DFA"/>
    <w:rsid w:val="00F31039"/>
    <w:rsid w:val="00F31955"/>
    <w:rsid w:val="00F31BD3"/>
    <w:rsid w:val="00F32C37"/>
    <w:rsid w:val="00F32D38"/>
    <w:rsid w:val="00F32E5E"/>
    <w:rsid w:val="00F32E91"/>
    <w:rsid w:val="00F33593"/>
    <w:rsid w:val="00F335B4"/>
    <w:rsid w:val="00F33808"/>
    <w:rsid w:val="00F3384F"/>
    <w:rsid w:val="00F338CD"/>
    <w:rsid w:val="00F34081"/>
    <w:rsid w:val="00F3421E"/>
    <w:rsid w:val="00F342BD"/>
    <w:rsid w:val="00F3435D"/>
    <w:rsid w:val="00F3470E"/>
    <w:rsid w:val="00F3491E"/>
    <w:rsid w:val="00F34D99"/>
    <w:rsid w:val="00F358A3"/>
    <w:rsid w:val="00F35B87"/>
    <w:rsid w:val="00F35C9E"/>
    <w:rsid w:val="00F362A8"/>
    <w:rsid w:val="00F36646"/>
    <w:rsid w:val="00F370EC"/>
    <w:rsid w:val="00F37293"/>
    <w:rsid w:val="00F373A1"/>
    <w:rsid w:val="00F3753B"/>
    <w:rsid w:val="00F376D2"/>
    <w:rsid w:val="00F37910"/>
    <w:rsid w:val="00F37B55"/>
    <w:rsid w:val="00F37E14"/>
    <w:rsid w:val="00F37E23"/>
    <w:rsid w:val="00F4063B"/>
    <w:rsid w:val="00F4102B"/>
    <w:rsid w:val="00F4156B"/>
    <w:rsid w:val="00F41A58"/>
    <w:rsid w:val="00F41BE5"/>
    <w:rsid w:val="00F41EDE"/>
    <w:rsid w:val="00F41EF3"/>
    <w:rsid w:val="00F421DE"/>
    <w:rsid w:val="00F42453"/>
    <w:rsid w:val="00F42818"/>
    <w:rsid w:val="00F428B0"/>
    <w:rsid w:val="00F42A3A"/>
    <w:rsid w:val="00F42BAE"/>
    <w:rsid w:val="00F42CA1"/>
    <w:rsid w:val="00F43271"/>
    <w:rsid w:val="00F4332B"/>
    <w:rsid w:val="00F438C3"/>
    <w:rsid w:val="00F4428E"/>
    <w:rsid w:val="00F44856"/>
    <w:rsid w:val="00F44C8B"/>
    <w:rsid w:val="00F44CC0"/>
    <w:rsid w:val="00F451EF"/>
    <w:rsid w:val="00F454AE"/>
    <w:rsid w:val="00F455D1"/>
    <w:rsid w:val="00F456F3"/>
    <w:rsid w:val="00F45801"/>
    <w:rsid w:val="00F45974"/>
    <w:rsid w:val="00F45BC0"/>
    <w:rsid w:val="00F45C2D"/>
    <w:rsid w:val="00F45CCD"/>
    <w:rsid w:val="00F463EF"/>
    <w:rsid w:val="00F46681"/>
    <w:rsid w:val="00F46706"/>
    <w:rsid w:val="00F4773B"/>
    <w:rsid w:val="00F47B6A"/>
    <w:rsid w:val="00F47BF7"/>
    <w:rsid w:val="00F505AE"/>
    <w:rsid w:val="00F50BFB"/>
    <w:rsid w:val="00F50ED1"/>
    <w:rsid w:val="00F515CC"/>
    <w:rsid w:val="00F516DC"/>
    <w:rsid w:val="00F51CF4"/>
    <w:rsid w:val="00F52437"/>
    <w:rsid w:val="00F5259F"/>
    <w:rsid w:val="00F525B3"/>
    <w:rsid w:val="00F52A7D"/>
    <w:rsid w:val="00F52D73"/>
    <w:rsid w:val="00F536CB"/>
    <w:rsid w:val="00F537AF"/>
    <w:rsid w:val="00F538BB"/>
    <w:rsid w:val="00F54269"/>
    <w:rsid w:val="00F545D9"/>
    <w:rsid w:val="00F545DA"/>
    <w:rsid w:val="00F54C69"/>
    <w:rsid w:val="00F55942"/>
    <w:rsid w:val="00F55AE1"/>
    <w:rsid w:val="00F55B9D"/>
    <w:rsid w:val="00F56255"/>
    <w:rsid w:val="00F5631E"/>
    <w:rsid w:val="00F56661"/>
    <w:rsid w:val="00F568DF"/>
    <w:rsid w:val="00F56B89"/>
    <w:rsid w:val="00F570F9"/>
    <w:rsid w:val="00F57129"/>
    <w:rsid w:val="00F60107"/>
    <w:rsid w:val="00F605A1"/>
    <w:rsid w:val="00F60BBA"/>
    <w:rsid w:val="00F60F7A"/>
    <w:rsid w:val="00F61850"/>
    <w:rsid w:val="00F6203E"/>
    <w:rsid w:val="00F62378"/>
    <w:rsid w:val="00F625B1"/>
    <w:rsid w:val="00F62D22"/>
    <w:rsid w:val="00F62E68"/>
    <w:rsid w:val="00F63106"/>
    <w:rsid w:val="00F6313A"/>
    <w:rsid w:val="00F63320"/>
    <w:rsid w:val="00F635AD"/>
    <w:rsid w:val="00F637C4"/>
    <w:rsid w:val="00F6462F"/>
    <w:rsid w:val="00F65152"/>
    <w:rsid w:val="00F65815"/>
    <w:rsid w:val="00F65A30"/>
    <w:rsid w:val="00F65C55"/>
    <w:rsid w:val="00F65D24"/>
    <w:rsid w:val="00F65D2E"/>
    <w:rsid w:val="00F66056"/>
    <w:rsid w:val="00F660AF"/>
    <w:rsid w:val="00F663AC"/>
    <w:rsid w:val="00F664FF"/>
    <w:rsid w:val="00F6698D"/>
    <w:rsid w:val="00F669C3"/>
    <w:rsid w:val="00F66EC1"/>
    <w:rsid w:val="00F6701B"/>
    <w:rsid w:val="00F674DD"/>
    <w:rsid w:val="00F67834"/>
    <w:rsid w:val="00F6785F"/>
    <w:rsid w:val="00F679ED"/>
    <w:rsid w:val="00F67A01"/>
    <w:rsid w:val="00F67A7D"/>
    <w:rsid w:val="00F67D7B"/>
    <w:rsid w:val="00F67DB1"/>
    <w:rsid w:val="00F700B8"/>
    <w:rsid w:val="00F7040C"/>
    <w:rsid w:val="00F7138B"/>
    <w:rsid w:val="00F715F5"/>
    <w:rsid w:val="00F71A30"/>
    <w:rsid w:val="00F71ABE"/>
    <w:rsid w:val="00F71B40"/>
    <w:rsid w:val="00F71E53"/>
    <w:rsid w:val="00F721FA"/>
    <w:rsid w:val="00F72238"/>
    <w:rsid w:val="00F722A1"/>
    <w:rsid w:val="00F725AD"/>
    <w:rsid w:val="00F72D4F"/>
    <w:rsid w:val="00F7308E"/>
    <w:rsid w:val="00F73146"/>
    <w:rsid w:val="00F731DA"/>
    <w:rsid w:val="00F73304"/>
    <w:rsid w:val="00F734B4"/>
    <w:rsid w:val="00F73B49"/>
    <w:rsid w:val="00F73BB9"/>
    <w:rsid w:val="00F73D16"/>
    <w:rsid w:val="00F73F5F"/>
    <w:rsid w:val="00F74806"/>
    <w:rsid w:val="00F74D54"/>
    <w:rsid w:val="00F754BE"/>
    <w:rsid w:val="00F75C07"/>
    <w:rsid w:val="00F75F7B"/>
    <w:rsid w:val="00F75F84"/>
    <w:rsid w:val="00F760D4"/>
    <w:rsid w:val="00F765D1"/>
    <w:rsid w:val="00F765F5"/>
    <w:rsid w:val="00F76614"/>
    <w:rsid w:val="00F7675F"/>
    <w:rsid w:val="00F76D61"/>
    <w:rsid w:val="00F7709D"/>
    <w:rsid w:val="00F77119"/>
    <w:rsid w:val="00F77393"/>
    <w:rsid w:val="00F7749A"/>
    <w:rsid w:val="00F77DF2"/>
    <w:rsid w:val="00F8033B"/>
    <w:rsid w:val="00F806C4"/>
    <w:rsid w:val="00F80EE1"/>
    <w:rsid w:val="00F80F67"/>
    <w:rsid w:val="00F80F91"/>
    <w:rsid w:val="00F81004"/>
    <w:rsid w:val="00F811C6"/>
    <w:rsid w:val="00F81841"/>
    <w:rsid w:val="00F821B2"/>
    <w:rsid w:val="00F823C2"/>
    <w:rsid w:val="00F82452"/>
    <w:rsid w:val="00F825C1"/>
    <w:rsid w:val="00F82822"/>
    <w:rsid w:val="00F828D8"/>
    <w:rsid w:val="00F83076"/>
    <w:rsid w:val="00F831C2"/>
    <w:rsid w:val="00F83746"/>
    <w:rsid w:val="00F83A73"/>
    <w:rsid w:val="00F83BE3"/>
    <w:rsid w:val="00F83C79"/>
    <w:rsid w:val="00F83D7F"/>
    <w:rsid w:val="00F84944"/>
    <w:rsid w:val="00F84FFE"/>
    <w:rsid w:val="00F85803"/>
    <w:rsid w:val="00F85850"/>
    <w:rsid w:val="00F859E1"/>
    <w:rsid w:val="00F85A3B"/>
    <w:rsid w:val="00F85AB3"/>
    <w:rsid w:val="00F85B73"/>
    <w:rsid w:val="00F85D27"/>
    <w:rsid w:val="00F85D44"/>
    <w:rsid w:val="00F85DED"/>
    <w:rsid w:val="00F86226"/>
    <w:rsid w:val="00F86353"/>
    <w:rsid w:val="00F86456"/>
    <w:rsid w:val="00F86693"/>
    <w:rsid w:val="00F8669E"/>
    <w:rsid w:val="00F86D45"/>
    <w:rsid w:val="00F86F10"/>
    <w:rsid w:val="00F87117"/>
    <w:rsid w:val="00F87989"/>
    <w:rsid w:val="00F900A4"/>
    <w:rsid w:val="00F905E6"/>
    <w:rsid w:val="00F90730"/>
    <w:rsid w:val="00F90B5D"/>
    <w:rsid w:val="00F90C3D"/>
    <w:rsid w:val="00F90F84"/>
    <w:rsid w:val="00F91093"/>
    <w:rsid w:val="00F9157B"/>
    <w:rsid w:val="00F91988"/>
    <w:rsid w:val="00F91DA2"/>
    <w:rsid w:val="00F9287B"/>
    <w:rsid w:val="00F928D3"/>
    <w:rsid w:val="00F92DDE"/>
    <w:rsid w:val="00F93202"/>
    <w:rsid w:val="00F93485"/>
    <w:rsid w:val="00F93516"/>
    <w:rsid w:val="00F93BD4"/>
    <w:rsid w:val="00F93C14"/>
    <w:rsid w:val="00F93FCC"/>
    <w:rsid w:val="00F9437A"/>
    <w:rsid w:val="00F94A4B"/>
    <w:rsid w:val="00F94E08"/>
    <w:rsid w:val="00F94FD8"/>
    <w:rsid w:val="00F9527D"/>
    <w:rsid w:val="00F95C7E"/>
    <w:rsid w:val="00F95D20"/>
    <w:rsid w:val="00F95DFA"/>
    <w:rsid w:val="00F96092"/>
    <w:rsid w:val="00F962D0"/>
    <w:rsid w:val="00F962F5"/>
    <w:rsid w:val="00F9699B"/>
    <w:rsid w:val="00F969D6"/>
    <w:rsid w:val="00F96CC3"/>
    <w:rsid w:val="00F96DAF"/>
    <w:rsid w:val="00F97261"/>
    <w:rsid w:val="00F9728E"/>
    <w:rsid w:val="00F979F9"/>
    <w:rsid w:val="00F97AA7"/>
    <w:rsid w:val="00F97B52"/>
    <w:rsid w:val="00F97BFC"/>
    <w:rsid w:val="00FA0379"/>
    <w:rsid w:val="00FA0438"/>
    <w:rsid w:val="00FA081D"/>
    <w:rsid w:val="00FA091D"/>
    <w:rsid w:val="00FA0A1D"/>
    <w:rsid w:val="00FA0BCE"/>
    <w:rsid w:val="00FA0F31"/>
    <w:rsid w:val="00FA1100"/>
    <w:rsid w:val="00FA1297"/>
    <w:rsid w:val="00FA1425"/>
    <w:rsid w:val="00FA1476"/>
    <w:rsid w:val="00FA1D92"/>
    <w:rsid w:val="00FA1FD3"/>
    <w:rsid w:val="00FA2674"/>
    <w:rsid w:val="00FA26AB"/>
    <w:rsid w:val="00FA28E8"/>
    <w:rsid w:val="00FA298B"/>
    <w:rsid w:val="00FA2C78"/>
    <w:rsid w:val="00FA2CD2"/>
    <w:rsid w:val="00FA30AA"/>
    <w:rsid w:val="00FA311F"/>
    <w:rsid w:val="00FA355C"/>
    <w:rsid w:val="00FA4391"/>
    <w:rsid w:val="00FA43D2"/>
    <w:rsid w:val="00FA4A34"/>
    <w:rsid w:val="00FA5608"/>
    <w:rsid w:val="00FA5A43"/>
    <w:rsid w:val="00FA6017"/>
    <w:rsid w:val="00FA64DF"/>
    <w:rsid w:val="00FA66F1"/>
    <w:rsid w:val="00FA6733"/>
    <w:rsid w:val="00FA7414"/>
    <w:rsid w:val="00FA75EC"/>
    <w:rsid w:val="00FA7E9B"/>
    <w:rsid w:val="00FA7EB2"/>
    <w:rsid w:val="00FB0123"/>
    <w:rsid w:val="00FB05DB"/>
    <w:rsid w:val="00FB074B"/>
    <w:rsid w:val="00FB0E07"/>
    <w:rsid w:val="00FB0EA2"/>
    <w:rsid w:val="00FB0FAA"/>
    <w:rsid w:val="00FB198E"/>
    <w:rsid w:val="00FB22D3"/>
    <w:rsid w:val="00FB23C9"/>
    <w:rsid w:val="00FB25BB"/>
    <w:rsid w:val="00FB2894"/>
    <w:rsid w:val="00FB2C01"/>
    <w:rsid w:val="00FB2DF0"/>
    <w:rsid w:val="00FB2F68"/>
    <w:rsid w:val="00FB33FB"/>
    <w:rsid w:val="00FB3538"/>
    <w:rsid w:val="00FB382D"/>
    <w:rsid w:val="00FB3CAC"/>
    <w:rsid w:val="00FB3E08"/>
    <w:rsid w:val="00FB3F66"/>
    <w:rsid w:val="00FB438E"/>
    <w:rsid w:val="00FB464A"/>
    <w:rsid w:val="00FB4FF8"/>
    <w:rsid w:val="00FB5111"/>
    <w:rsid w:val="00FB722D"/>
    <w:rsid w:val="00FB73A0"/>
    <w:rsid w:val="00FB7641"/>
    <w:rsid w:val="00FB7B0D"/>
    <w:rsid w:val="00FC0493"/>
    <w:rsid w:val="00FC0495"/>
    <w:rsid w:val="00FC05AA"/>
    <w:rsid w:val="00FC09FD"/>
    <w:rsid w:val="00FC0B08"/>
    <w:rsid w:val="00FC0C7A"/>
    <w:rsid w:val="00FC1199"/>
    <w:rsid w:val="00FC11F5"/>
    <w:rsid w:val="00FC1313"/>
    <w:rsid w:val="00FC132D"/>
    <w:rsid w:val="00FC16CE"/>
    <w:rsid w:val="00FC1716"/>
    <w:rsid w:val="00FC1AA0"/>
    <w:rsid w:val="00FC1CD7"/>
    <w:rsid w:val="00FC1F2B"/>
    <w:rsid w:val="00FC22E9"/>
    <w:rsid w:val="00FC2C1B"/>
    <w:rsid w:val="00FC2D79"/>
    <w:rsid w:val="00FC33EF"/>
    <w:rsid w:val="00FC351F"/>
    <w:rsid w:val="00FC37FB"/>
    <w:rsid w:val="00FC387F"/>
    <w:rsid w:val="00FC38BF"/>
    <w:rsid w:val="00FC46FC"/>
    <w:rsid w:val="00FC4A3C"/>
    <w:rsid w:val="00FC4B30"/>
    <w:rsid w:val="00FC4CCF"/>
    <w:rsid w:val="00FC4F5E"/>
    <w:rsid w:val="00FC4FC5"/>
    <w:rsid w:val="00FC54D3"/>
    <w:rsid w:val="00FC568F"/>
    <w:rsid w:val="00FC56BF"/>
    <w:rsid w:val="00FC59AA"/>
    <w:rsid w:val="00FC5D4F"/>
    <w:rsid w:val="00FC5E69"/>
    <w:rsid w:val="00FC6809"/>
    <w:rsid w:val="00FC69B0"/>
    <w:rsid w:val="00FC6BEF"/>
    <w:rsid w:val="00FC7509"/>
    <w:rsid w:val="00FC7AF3"/>
    <w:rsid w:val="00FC7C03"/>
    <w:rsid w:val="00FC7D8F"/>
    <w:rsid w:val="00FD0063"/>
    <w:rsid w:val="00FD01FC"/>
    <w:rsid w:val="00FD0372"/>
    <w:rsid w:val="00FD0AE8"/>
    <w:rsid w:val="00FD0B06"/>
    <w:rsid w:val="00FD0E3D"/>
    <w:rsid w:val="00FD132E"/>
    <w:rsid w:val="00FD15E8"/>
    <w:rsid w:val="00FD1B78"/>
    <w:rsid w:val="00FD1BE7"/>
    <w:rsid w:val="00FD1E51"/>
    <w:rsid w:val="00FD22F3"/>
    <w:rsid w:val="00FD2335"/>
    <w:rsid w:val="00FD28C8"/>
    <w:rsid w:val="00FD2ECD"/>
    <w:rsid w:val="00FD30C0"/>
    <w:rsid w:val="00FD3311"/>
    <w:rsid w:val="00FD3376"/>
    <w:rsid w:val="00FD369A"/>
    <w:rsid w:val="00FD37C6"/>
    <w:rsid w:val="00FD3C3E"/>
    <w:rsid w:val="00FD3C9E"/>
    <w:rsid w:val="00FD3CCA"/>
    <w:rsid w:val="00FD3E32"/>
    <w:rsid w:val="00FD41E8"/>
    <w:rsid w:val="00FD4A1F"/>
    <w:rsid w:val="00FD4A61"/>
    <w:rsid w:val="00FD4B83"/>
    <w:rsid w:val="00FD5115"/>
    <w:rsid w:val="00FD5575"/>
    <w:rsid w:val="00FD5827"/>
    <w:rsid w:val="00FD5876"/>
    <w:rsid w:val="00FD5923"/>
    <w:rsid w:val="00FD5D8D"/>
    <w:rsid w:val="00FD5E91"/>
    <w:rsid w:val="00FD617D"/>
    <w:rsid w:val="00FD66F9"/>
    <w:rsid w:val="00FD67CA"/>
    <w:rsid w:val="00FD68D1"/>
    <w:rsid w:val="00FD6AE9"/>
    <w:rsid w:val="00FD6B27"/>
    <w:rsid w:val="00FD7531"/>
    <w:rsid w:val="00FD758D"/>
    <w:rsid w:val="00FD768A"/>
    <w:rsid w:val="00FD79C1"/>
    <w:rsid w:val="00FD7AB1"/>
    <w:rsid w:val="00FD7AB6"/>
    <w:rsid w:val="00FE05B9"/>
    <w:rsid w:val="00FE0CF7"/>
    <w:rsid w:val="00FE1195"/>
    <w:rsid w:val="00FE125A"/>
    <w:rsid w:val="00FE195B"/>
    <w:rsid w:val="00FE1AF6"/>
    <w:rsid w:val="00FE1CDC"/>
    <w:rsid w:val="00FE1F32"/>
    <w:rsid w:val="00FE2121"/>
    <w:rsid w:val="00FE24EC"/>
    <w:rsid w:val="00FE2B5F"/>
    <w:rsid w:val="00FE2FE6"/>
    <w:rsid w:val="00FE3165"/>
    <w:rsid w:val="00FE31A5"/>
    <w:rsid w:val="00FE423D"/>
    <w:rsid w:val="00FE5058"/>
    <w:rsid w:val="00FE54AC"/>
    <w:rsid w:val="00FE5A17"/>
    <w:rsid w:val="00FE6035"/>
    <w:rsid w:val="00FE6876"/>
    <w:rsid w:val="00FE69D3"/>
    <w:rsid w:val="00FE6B3A"/>
    <w:rsid w:val="00FE6D98"/>
    <w:rsid w:val="00FE77E0"/>
    <w:rsid w:val="00FE7DDB"/>
    <w:rsid w:val="00FE7F35"/>
    <w:rsid w:val="00FF0084"/>
    <w:rsid w:val="00FF0DEF"/>
    <w:rsid w:val="00FF1699"/>
    <w:rsid w:val="00FF1C6E"/>
    <w:rsid w:val="00FF1FBD"/>
    <w:rsid w:val="00FF2017"/>
    <w:rsid w:val="00FF20E1"/>
    <w:rsid w:val="00FF27A3"/>
    <w:rsid w:val="00FF28A8"/>
    <w:rsid w:val="00FF2B6F"/>
    <w:rsid w:val="00FF3330"/>
    <w:rsid w:val="00FF4544"/>
    <w:rsid w:val="00FF47AF"/>
    <w:rsid w:val="00FF519E"/>
    <w:rsid w:val="00FF5537"/>
    <w:rsid w:val="00FF55E6"/>
    <w:rsid w:val="00FF5D6C"/>
    <w:rsid w:val="00FF60F4"/>
    <w:rsid w:val="00FF6CAE"/>
    <w:rsid w:val="00FF6FAF"/>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8907E"/>
  <w15:chartTrackingRefBased/>
  <w15:docId w15:val="{210E46B0-D11C-40F9-9A5B-DE7E7B0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58"/>
    <w:rPr>
      <w:sz w:val="24"/>
      <w:szCs w:val="24"/>
      <w:lang w:val="es-ES" w:eastAsia="es-ES"/>
    </w:rPr>
  </w:style>
  <w:style w:type="paragraph" w:styleId="Ttulo1">
    <w:name w:val="heading 1"/>
    <w:basedOn w:val="Normal"/>
    <w:next w:val="Normal"/>
    <w:link w:val="Ttulo1Car"/>
    <w:uiPriority w:val="9"/>
    <w:qFormat/>
    <w:rsid w:val="002B7C58"/>
    <w:pPr>
      <w:keepNext/>
      <w:overflowPunct w:val="0"/>
      <w:autoSpaceDE w:val="0"/>
      <w:autoSpaceDN w:val="0"/>
      <w:adjustRightInd w:val="0"/>
      <w:ind w:right="-283"/>
      <w:jc w:val="both"/>
      <w:textAlignment w:val="baseline"/>
      <w:outlineLvl w:val="0"/>
    </w:pPr>
    <w:rPr>
      <w:rFonts w:ascii="Arial" w:hAnsi="Arial"/>
      <w:b/>
      <w:szCs w:val="20"/>
      <w:lang w:val="es-ES_tradnl"/>
    </w:rPr>
  </w:style>
  <w:style w:type="paragraph" w:styleId="Ttulo2">
    <w:name w:val="heading 2"/>
    <w:basedOn w:val="Normal"/>
    <w:next w:val="Normal"/>
    <w:qFormat/>
    <w:rsid w:val="002B7C58"/>
    <w:pPr>
      <w:keepNext/>
      <w:overflowPunct w:val="0"/>
      <w:autoSpaceDE w:val="0"/>
      <w:autoSpaceDN w:val="0"/>
      <w:adjustRightInd w:val="0"/>
      <w:spacing w:line="360" w:lineRule="auto"/>
      <w:jc w:val="center"/>
      <w:textAlignment w:val="baseline"/>
      <w:outlineLvl w:val="1"/>
    </w:pPr>
    <w:rPr>
      <w:rFonts w:ascii="Century Gothic" w:hAnsi="Century Gothic"/>
      <w:b/>
      <w:bCs/>
      <w:sz w:val="22"/>
      <w:szCs w:val="20"/>
      <w:lang w:val="es-ES_tradnl"/>
    </w:rPr>
  </w:style>
  <w:style w:type="paragraph" w:styleId="Ttulo3">
    <w:name w:val="heading 3"/>
    <w:basedOn w:val="Normal"/>
    <w:next w:val="Normal"/>
    <w:link w:val="Ttulo3Car"/>
    <w:semiHidden/>
    <w:unhideWhenUsed/>
    <w:qFormat/>
    <w:rsid w:val="00065C1A"/>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065C1A"/>
    <w:pPr>
      <w:keepNext/>
      <w:spacing w:before="240" w:after="60"/>
      <w:outlineLvl w:val="3"/>
    </w:pPr>
    <w:rPr>
      <w:rFonts w:ascii="Calibri" w:hAnsi="Calibri"/>
      <w:b/>
      <w:bCs/>
      <w:sz w:val="28"/>
      <w:szCs w:val="28"/>
    </w:rPr>
  </w:style>
  <w:style w:type="paragraph" w:styleId="Ttulo6">
    <w:name w:val="heading 6"/>
    <w:basedOn w:val="Normal"/>
    <w:next w:val="Normal"/>
    <w:link w:val="Ttulo6Car"/>
    <w:qFormat/>
    <w:rsid w:val="002B7C58"/>
    <w:pPr>
      <w:keepNext/>
      <w:overflowPunct w:val="0"/>
      <w:autoSpaceDE w:val="0"/>
      <w:autoSpaceDN w:val="0"/>
      <w:adjustRightInd w:val="0"/>
      <w:ind w:right="-142"/>
      <w:jc w:val="center"/>
      <w:textAlignment w:val="baseline"/>
      <w:outlineLvl w:val="5"/>
    </w:pPr>
    <w:rPr>
      <w:rFonts w:ascii="Century Gothic" w:hAnsi="Century Gothic"/>
      <w:b/>
      <w:kern w:val="28"/>
      <w:sz w:val="22"/>
      <w:szCs w:val="20"/>
      <w:lang w:val="es-ES_tradnl"/>
    </w:rPr>
  </w:style>
  <w:style w:type="paragraph" w:styleId="Ttulo7">
    <w:name w:val="heading 7"/>
    <w:basedOn w:val="Normal"/>
    <w:next w:val="Normal"/>
    <w:link w:val="Ttulo7Car"/>
    <w:unhideWhenUsed/>
    <w:qFormat/>
    <w:rsid w:val="00E54941"/>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B7C58"/>
  </w:style>
  <w:style w:type="paragraph" w:customStyle="1" w:styleId="Puesto">
    <w:name w:val="Puesto"/>
    <w:aliases w:val="Title"/>
    <w:basedOn w:val="Normal"/>
    <w:link w:val="PuestoCar"/>
    <w:qFormat/>
    <w:rsid w:val="002B7C58"/>
    <w:pPr>
      <w:overflowPunct w:val="0"/>
      <w:autoSpaceDE w:val="0"/>
      <w:autoSpaceDN w:val="0"/>
      <w:adjustRightInd w:val="0"/>
      <w:spacing w:line="360" w:lineRule="auto"/>
      <w:jc w:val="center"/>
      <w:textAlignment w:val="baseline"/>
    </w:pPr>
    <w:rPr>
      <w:rFonts w:ascii="Arial" w:hAnsi="Arial"/>
      <w:b/>
      <w:szCs w:val="20"/>
    </w:rPr>
  </w:style>
  <w:style w:type="paragraph" w:customStyle="1" w:styleId="Textoindependiente31">
    <w:name w:val="Texto independiente 31"/>
    <w:basedOn w:val="Normal"/>
    <w:rsid w:val="002B7C58"/>
    <w:pPr>
      <w:overflowPunct w:val="0"/>
      <w:autoSpaceDE w:val="0"/>
      <w:autoSpaceDN w:val="0"/>
      <w:adjustRightInd w:val="0"/>
      <w:spacing w:line="360" w:lineRule="auto"/>
      <w:jc w:val="both"/>
      <w:textAlignment w:val="baseline"/>
    </w:pPr>
    <w:rPr>
      <w:rFonts w:ascii="Arial" w:hAnsi="Arial"/>
      <w:szCs w:val="20"/>
      <w:lang w:val="es-ES_tradnl"/>
    </w:rPr>
  </w:style>
  <w:style w:type="paragraph" w:styleId="Encabezado">
    <w:name w:val="header"/>
    <w:basedOn w:val="Normal"/>
    <w:rsid w:val="002B7C58"/>
    <w:pPr>
      <w:tabs>
        <w:tab w:val="center" w:pos="4252"/>
        <w:tab w:val="right" w:pos="8504"/>
      </w:tabs>
      <w:overflowPunct w:val="0"/>
      <w:autoSpaceDE w:val="0"/>
      <w:autoSpaceDN w:val="0"/>
      <w:adjustRightInd w:val="0"/>
      <w:textAlignment w:val="baseline"/>
    </w:pPr>
    <w:rPr>
      <w:rFonts w:ascii="Courier New" w:hAnsi="Courier New"/>
      <w:i/>
      <w:szCs w:val="20"/>
      <w:lang w:val="es-ES_tradnl"/>
    </w:rPr>
  </w:style>
  <w:style w:type="paragraph" w:customStyle="1" w:styleId="Textoindependiente21">
    <w:name w:val="Texto independiente 21"/>
    <w:basedOn w:val="Normal"/>
    <w:rsid w:val="002B7C58"/>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rPr>
  </w:style>
  <w:style w:type="paragraph" w:customStyle="1" w:styleId="Textodebloque1">
    <w:name w:val="Texto de bloque1"/>
    <w:basedOn w:val="Normal"/>
    <w:qFormat/>
    <w:rsid w:val="002B7C58"/>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 w:type="paragraph" w:styleId="Textoindependiente">
    <w:name w:val="Body Text"/>
    <w:basedOn w:val="Normal"/>
    <w:link w:val="TextoindependienteCar"/>
    <w:rsid w:val="002B7C58"/>
    <w:pPr>
      <w:ind w:right="20"/>
      <w:jc w:val="both"/>
    </w:pPr>
    <w:rPr>
      <w:rFonts w:ascii="Century Gothic" w:hAnsi="Century Gothic"/>
      <w:sz w:val="22"/>
    </w:rPr>
  </w:style>
  <w:style w:type="paragraph" w:styleId="Sangra2detindependiente">
    <w:name w:val="Body Text Indent 2"/>
    <w:basedOn w:val="Normal"/>
    <w:link w:val="Sangra2detindependienteCar"/>
    <w:rsid w:val="002B7C58"/>
    <w:pPr>
      <w:numPr>
        <w:ilvl w:val="12"/>
      </w:numPr>
      <w:spacing w:line="360" w:lineRule="auto"/>
      <w:ind w:firstLine="708"/>
      <w:jc w:val="both"/>
    </w:pPr>
    <w:rPr>
      <w:rFonts w:ascii="Century Gothic" w:hAnsi="Century Gothic"/>
      <w:bCs/>
      <w:sz w:val="22"/>
    </w:rPr>
  </w:style>
  <w:style w:type="paragraph" w:styleId="Textoindependiente2">
    <w:name w:val="Body Text 2"/>
    <w:basedOn w:val="Normal"/>
    <w:link w:val="Textoindependiente2Car"/>
    <w:rsid w:val="002B7C58"/>
    <w:pPr>
      <w:tabs>
        <w:tab w:val="left" w:pos="4860"/>
      </w:tabs>
      <w:spacing w:line="360" w:lineRule="auto"/>
      <w:jc w:val="both"/>
    </w:pPr>
    <w:rPr>
      <w:rFonts w:ascii="Century Gothic" w:hAnsi="Century Gothic"/>
      <w:bCs/>
      <w:sz w:val="22"/>
    </w:rPr>
  </w:style>
  <w:style w:type="paragraph" w:styleId="Textonotapie">
    <w:name w:val="footnote text"/>
    <w:aliases w:val="Texto nota pie Car,MI NOTA PIE DE PÁGINA (TEXTO),Footnote Text Char Char Char Char Char,Footnote Text Char Char Char Char,Footnote reference,FA Fu,Footnote Text Cha,Footnote Text Char Char Char,FA Fußnotentext,FA Fuﬂnotentext, C,C,ft,FA"/>
    <w:basedOn w:val="Normal"/>
    <w:link w:val="TextonotapieCar1"/>
    <w:qFormat/>
    <w:rsid w:val="002B7C58"/>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qFormat/>
    <w:rsid w:val="002B7C58"/>
    <w:rPr>
      <w:vertAlign w:val="superscript"/>
    </w:rPr>
  </w:style>
  <w:style w:type="paragraph" w:customStyle="1" w:styleId="Sangra2detindependiente1">
    <w:name w:val="Sangría 2 de t. independiente1"/>
    <w:basedOn w:val="Normal"/>
    <w:rsid w:val="002B7C5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BodyText21">
    <w:name w:val="Body Text 21"/>
    <w:basedOn w:val="Normal"/>
    <w:rsid w:val="002B7C58"/>
    <w:pPr>
      <w:widowControl w:val="0"/>
      <w:autoSpaceDE w:val="0"/>
      <w:autoSpaceDN w:val="0"/>
      <w:spacing w:line="480" w:lineRule="auto"/>
      <w:jc w:val="both"/>
    </w:pPr>
    <w:rPr>
      <w:rFonts w:ascii="Arial" w:hAnsi="Arial" w:cs="Arial"/>
      <w:lang w:val="es-ES_tradnl"/>
    </w:rPr>
  </w:style>
  <w:style w:type="character" w:customStyle="1" w:styleId="TextonotapieCar1">
    <w:name w:val="Texto nota pie Car1"/>
    <w:aliases w:val="Texto nota pie Car Car,MI NOTA PIE DE PÁGINA (TEXTO) Car,Footnote Text Char Char Char Char Char Car,Footnote Text Char Char Char Char Car,Footnote reference Car,FA Fu Car,Footnote Text Cha Car,Footnote Text Char Char Char Car, C Car"/>
    <w:link w:val="Textonotapie"/>
    <w:qFormat/>
    <w:rsid w:val="002B7C58"/>
    <w:rPr>
      <w:lang w:val="es-ES" w:eastAsia="es-ES" w:bidi="ar-SA"/>
    </w:rPr>
  </w:style>
  <w:style w:type="paragraph" w:styleId="Piedepgina">
    <w:name w:val="footer"/>
    <w:basedOn w:val="Normal"/>
    <w:link w:val="PiedepginaCar"/>
    <w:uiPriority w:val="99"/>
    <w:rsid w:val="000825EC"/>
    <w:pPr>
      <w:tabs>
        <w:tab w:val="center" w:pos="4252"/>
        <w:tab w:val="right" w:pos="8504"/>
      </w:tabs>
    </w:pPr>
  </w:style>
  <w:style w:type="character" w:customStyle="1" w:styleId="PiedepginaCar">
    <w:name w:val="Pie de página Car"/>
    <w:link w:val="Piedepgina"/>
    <w:uiPriority w:val="99"/>
    <w:rsid w:val="00D6274F"/>
    <w:rPr>
      <w:sz w:val="24"/>
      <w:szCs w:val="24"/>
      <w:lang w:val="es-ES" w:eastAsia="es-ES" w:bidi="ar-SA"/>
    </w:rPr>
  </w:style>
  <w:style w:type="paragraph" w:styleId="Sangradetextonormal">
    <w:name w:val="Body Text Indent"/>
    <w:basedOn w:val="Normal"/>
    <w:link w:val="SangradetextonormalCar"/>
    <w:rsid w:val="00385D0E"/>
    <w:pPr>
      <w:spacing w:after="120"/>
      <w:ind w:left="283"/>
    </w:pPr>
  </w:style>
  <w:style w:type="character" w:customStyle="1" w:styleId="SangradetextonormalCar">
    <w:name w:val="Sangría de texto normal Car"/>
    <w:link w:val="Sangradetextonormal"/>
    <w:rsid w:val="00385D0E"/>
    <w:rPr>
      <w:sz w:val="24"/>
      <w:szCs w:val="24"/>
      <w:lang w:val="es-ES" w:eastAsia="es-ES"/>
    </w:rPr>
  </w:style>
  <w:style w:type="paragraph" w:styleId="NormalWeb">
    <w:name w:val="Normal (Web)"/>
    <w:basedOn w:val="Normal"/>
    <w:uiPriority w:val="99"/>
    <w:rsid w:val="008378F4"/>
    <w:pPr>
      <w:spacing w:before="100" w:beforeAutospacing="1" w:after="100" w:afterAutospacing="1"/>
    </w:pPr>
    <w:rPr>
      <w:rFonts w:ascii="Arial" w:hAnsi="Arial" w:cs="Arial"/>
      <w:color w:val="000000"/>
    </w:rPr>
  </w:style>
  <w:style w:type="character" w:customStyle="1" w:styleId="apple-style-span">
    <w:name w:val="apple-style-span"/>
    <w:rsid w:val="00893B2F"/>
  </w:style>
  <w:style w:type="character" w:customStyle="1" w:styleId="TextoindependienteCar">
    <w:name w:val="Texto independiente Car"/>
    <w:link w:val="Textoindependiente"/>
    <w:rsid w:val="001727B5"/>
    <w:rPr>
      <w:rFonts w:ascii="Century Gothic" w:hAnsi="Century Gothic"/>
      <w:sz w:val="22"/>
      <w:szCs w:val="24"/>
      <w:lang w:val="es-ES" w:eastAsia="es-ES"/>
    </w:rPr>
  </w:style>
  <w:style w:type="character" w:customStyle="1" w:styleId="Textoindependiente2Car">
    <w:name w:val="Texto independiente 2 Car"/>
    <w:link w:val="Textoindependiente2"/>
    <w:rsid w:val="001727B5"/>
    <w:rPr>
      <w:rFonts w:ascii="Century Gothic" w:hAnsi="Century Gothic"/>
      <w:bCs/>
      <w:sz w:val="22"/>
      <w:szCs w:val="24"/>
      <w:lang w:val="es-ES" w:eastAsia="es-ES"/>
    </w:rPr>
  </w:style>
  <w:style w:type="character" w:customStyle="1" w:styleId="Sangra2detindependienteCar">
    <w:name w:val="Sangría 2 de t. independiente Car"/>
    <w:link w:val="Sangra2detindependiente"/>
    <w:rsid w:val="001727B5"/>
    <w:rPr>
      <w:rFonts w:ascii="Century Gothic" w:hAnsi="Century Gothic"/>
      <w:bCs/>
      <w:sz w:val="22"/>
      <w:szCs w:val="24"/>
      <w:lang w:val="es-ES" w:eastAsia="es-ES"/>
    </w:rPr>
  </w:style>
  <w:style w:type="character" w:customStyle="1" w:styleId="Smbolodenotaalpie">
    <w:name w:val="Símbolo de nota al pie"/>
    <w:rsid w:val="00273537"/>
    <w:rPr>
      <w:vertAlign w:val="superscript"/>
    </w:rPr>
  </w:style>
  <w:style w:type="character" w:customStyle="1" w:styleId="textonavy1">
    <w:name w:val="texto_navy1"/>
    <w:rsid w:val="009901C4"/>
    <w:rPr>
      <w:color w:val="000080"/>
    </w:rPr>
  </w:style>
  <w:style w:type="paragraph" w:styleId="Textodeglobo">
    <w:name w:val="Balloon Text"/>
    <w:basedOn w:val="Normal"/>
    <w:link w:val="TextodegloboCar"/>
    <w:rsid w:val="0015634B"/>
    <w:rPr>
      <w:rFonts w:ascii="Tahoma" w:hAnsi="Tahoma"/>
      <w:sz w:val="16"/>
      <w:szCs w:val="16"/>
    </w:rPr>
  </w:style>
  <w:style w:type="character" w:customStyle="1" w:styleId="TextodegloboCar">
    <w:name w:val="Texto de globo Car"/>
    <w:link w:val="Textodeglobo"/>
    <w:rsid w:val="0015634B"/>
    <w:rPr>
      <w:rFonts w:ascii="Tahoma" w:hAnsi="Tahoma" w:cs="Tahoma"/>
      <w:sz w:val="16"/>
      <w:szCs w:val="16"/>
      <w:lang w:val="es-ES" w:eastAsia="es-ES"/>
    </w:rPr>
  </w:style>
  <w:style w:type="paragraph" w:styleId="Prrafodelista">
    <w:name w:val="List Paragraph"/>
    <w:basedOn w:val="Normal"/>
    <w:qFormat/>
    <w:rsid w:val="00A57648"/>
    <w:pPr>
      <w:spacing w:line="360" w:lineRule="auto"/>
      <w:ind w:firstLine="706"/>
      <w:contextualSpacing/>
      <w:jc w:val="both"/>
    </w:pPr>
    <w:rPr>
      <w:rFonts w:ascii="Arial" w:eastAsia="Calibri" w:hAnsi="Arial"/>
      <w:szCs w:val="22"/>
      <w:lang w:val="es-ES_tradnl" w:eastAsia="en-US"/>
    </w:rPr>
  </w:style>
  <w:style w:type="character" w:styleId="Textoennegrita">
    <w:name w:val="Strong"/>
    <w:uiPriority w:val="22"/>
    <w:qFormat/>
    <w:rsid w:val="00CF26F4"/>
    <w:rPr>
      <w:b/>
      <w:bCs/>
    </w:rPr>
  </w:style>
  <w:style w:type="character" w:styleId="Hipervnculo">
    <w:name w:val="Hyperlink"/>
    <w:uiPriority w:val="99"/>
    <w:unhideWhenUsed/>
    <w:rsid w:val="00CF26F4"/>
    <w:rPr>
      <w:color w:val="0000FF"/>
      <w:u w:val="single"/>
    </w:rPr>
  </w:style>
  <w:style w:type="paragraph" w:customStyle="1" w:styleId="Default">
    <w:name w:val="Default"/>
    <w:rsid w:val="007210E3"/>
    <w:pPr>
      <w:autoSpaceDE w:val="0"/>
      <w:autoSpaceDN w:val="0"/>
      <w:adjustRightInd w:val="0"/>
    </w:pPr>
    <w:rPr>
      <w:rFonts w:ascii="Arial" w:hAnsi="Arial" w:cs="Arial"/>
      <w:color w:val="000000"/>
      <w:sz w:val="24"/>
      <w:szCs w:val="24"/>
      <w:lang w:val="es-CO" w:eastAsia="es-CO"/>
    </w:rPr>
  </w:style>
  <w:style w:type="character" w:customStyle="1" w:styleId="b1">
    <w:name w:val="b1"/>
    <w:rsid w:val="004D2626"/>
    <w:rPr>
      <w:color w:val="000000"/>
    </w:rPr>
  </w:style>
  <w:style w:type="paragraph" w:styleId="Lista">
    <w:name w:val="List"/>
    <w:basedOn w:val="Normal"/>
    <w:rsid w:val="00F172FC"/>
    <w:pPr>
      <w:ind w:left="283" w:hanging="283"/>
      <w:contextualSpacing/>
    </w:pPr>
  </w:style>
  <w:style w:type="paragraph" w:styleId="Lista2">
    <w:name w:val="List 2"/>
    <w:basedOn w:val="Normal"/>
    <w:rsid w:val="00F172FC"/>
    <w:pPr>
      <w:ind w:left="566" w:hanging="283"/>
      <w:contextualSpacing/>
    </w:pPr>
  </w:style>
  <w:style w:type="paragraph" w:styleId="Encabezadodemensaje">
    <w:name w:val="Message Header"/>
    <w:basedOn w:val="Normal"/>
    <w:link w:val="EncabezadodemensajeCar"/>
    <w:rsid w:val="00F172F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F172FC"/>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F172FC"/>
  </w:style>
  <w:style w:type="character" w:customStyle="1" w:styleId="SaludoCar">
    <w:name w:val="Saludo Car"/>
    <w:link w:val="Saludo"/>
    <w:rsid w:val="00F172FC"/>
    <w:rPr>
      <w:sz w:val="24"/>
      <w:szCs w:val="24"/>
      <w:lang w:val="es-ES" w:eastAsia="es-ES"/>
    </w:rPr>
  </w:style>
  <w:style w:type="paragraph" w:styleId="Continuarlista">
    <w:name w:val="List Continue"/>
    <w:basedOn w:val="Normal"/>
    <w:rsid w:val="00F172FC"/>
    <w:pPr>
      <w:spacing w:after="120"/>
      <w:ind w:left="283"/>
      <w:contextualSpacing/>
    </w:pPr>
  </w:style>
  <w:style w:type="paragraph" w:styleId="Continuarlista2">
    <w:name w:val="List Continue 2"/>
    <w:basedOn w:val="Normal"/>
    <w:rsid w:val="00F172FC"/>
    <w:pPr>
      <w:spacing w:after="120"/>
      <w:ind w:left="566"/>
      <w:contextualSpacing/>
    </w:pPr>
  </w:style>
  <w:style w:type="paragraph" w:customStyle="1" w:styleId="Lneadeasunto">
    <w:name w:val="Línea de asunto"/>
    <w:basedOn w:val="Normal"/>
    <w:rsid w:val="00F172FC"/>
  </w:style>
  <w:style w:type="paragraph" w:styleId="Textoindependienteprimerasangra">
    <w:name w:val="Body Text First Indent"/>
    <w:basedOn w:val="Textoindependiente"/>
    <w:link w:val="TextoindependienteprimerasangraCar"/>
    <w:rsid w:val="00F172FC"/>
    <w:pPr>
      <w:spacing w:after="120"/>
      <w:ind w:right="0" w:firstLine="210"/>
      <w:jc w:val="left"/>
    </w:pPr>
    <w:rPr>
      <w:sz w:val="24"/>
    </w:rPr>
  </w:style>
  <w:style w:type="character" w:customStyle="1" w:styleId="TextoindependienteprimerasangraCar">
    <w:name w:val="Texto independiente primera sangría Car"/>
    <w:link w:val="Textoindependienteprimerasangra"/>
    <w:rsid w:val="00F172FC"/>
    <w:rPr>
      <w:rFonts w:ascii="Century Gothic" w:hAnsi="Century Gothic"/>
      <w:sz w:val="24"/>
      <w:szCs w:val="24"/>
      <w:lang w:val="es-ES" w:eastAsia="es-ES"/>
    </w:rPr>
  </w:style>
  <w:style w:type="paragraph" w:styleId="Textoindependienteprimerasangra2">
    <w:name w:val="Body Text First Indent 2"/>
    <w:basedOn w:val="Sangradetextonormal"/>
    <w:link w:val="Textoindependienteprimerasangra2Car"/>
    <w:rsid w:val="00F172FC"/>
    <w:pPr>
      <w:ind w:firstLine="210"/>
    </w:pPr>
  </w:style>
  <w:style w:type="character" w:customStyle="1" w:styleId="Textoindependienteprimerasangra2Car">
    <w:name w:val="Texto independiente primera sangría 2 Car"/>
    <w:basedOn w:val="SangradetextonormalCar"/>
    <w:link w:val="Textoindependienteprimerasangra2"/>
    <w:rsid w:val="00F172FC"/>
    <w:rPr>
      <w:sz w:val="24"/>
      <w:szCs w:val="24"/>
      <w:lang w:val="es-ES" w:eastAsia="es-ES"/>
    </w:rPr>
  </w:style>
  <w:style w:type="character" w:customStyle="1" w:styleId="apple-converted-space">
    <w:name w:val="apple-converted-space"/>
    <w:basedOn w:val="Fuentedeprrafopredeter"/>
    <w:rsid w:val="00600C0A"/>
  </w:style>
  <w:style w:type="character" w:customStyle="1" w:styleId="texto1">
    <w:name w:val="texto1"/>
    <w:rsid w:val="00306919"/>
    <w:rPr>
      <w:color w:val="292A2E"/>
      <w:sz w:val="20"/>
      <w:szCs w:val="20"/>
    </w:rPr>
  </w:style>
  <w:style w:type="character" w:customStyle="1" w:styleId="bluelabel2nd">
    <w:name w:val="bluelabel_2nd"/>
    <w:rsid w:val="00CF4C71"/>
  </w:style>
  <w:style w:type="paragraph" w:customStyle="1" w:styleId="textoindependiente210">
    <w:name w:val="textoindependiente21"/>
    <w:basedOn w:val="Normal"/>
    <w:rsid w:val="00B20BFF"/>
    <w:pPr>
      <w:spacing w:line="360" w:lineRule="auto"/>
      <w:jc w:val="both"/>
    </w:pPr>
    <w:rPr>
      <w:rFonts w:ascii="Century Gothic" w:hAnsi="Century Gothic"/>
      <w:sz w:val="22"/>
      <w:szCs w:val="22"/>
    </w:rPr>
  </w:style>
  <w:style w:type="paragraph" w:styleId="Sangra3detindependiente">
    <w:name w:val="Body Text Indent 3"/>
    <w:basedOn w:val="Normal"/>
    <w:link w:val="Sangra3detindependienteCar"/>
    <w:unhideWhenUsed/>
    <w:rsid w:val="00B53106"/>
    <w:pPr>
      <w:spacing w:after="120"/>
      <w:ind w:left="283"/>
    </w:pPr>
    <w:rPr>
      <w:sz w:val="16"/>
      <w:szCs w:val="16"/>
    </w:rPr>
  </w:style>
  <w:style w:type="character" w:customStyle="1" w:styleId="Sangra3detindependienteCar">
    <w:name w:val="Sangría 3 de t. independiente Car"/>
    <w:link w:val="Sangra3detindependiente"/>
    <w:rsid w:val="00B53106"/>
    <w:rPr>
      <w:sz w:val="16"/>
      <w:szCs w:val="16"/>
      <w:lang w:val="es-ES" w:eastAsia="es-ES"/>
    </w:rPr>
  </w:style>
  <w:style w:type="paragraph" w:customStyle="1" w:styleId="Textoindependiente211">
    <w:name w:val="Texto independiente 21"/>
    <w:basedOn w:val="Normal"/>
    <w:rsid w:val="00B53106"/>
    <w:pPr>
      <w:suppressAutoHyphens/>
      <w:overflowPunct w:val="0"/>
      <w:autoSpaceDE w:val="0"/>
      <w:autoSpaceDN w:val="0"/>
      <w:adjustRightInd w:val="0"/>
      <w:spacing w:line="360" w:lineRule="auto"/>
      <w:ind w:right="114"/>
      <w:jc w:val="both"/>
    </w:pPr>
    <w:rPr>
      <w:rFonts w:ascii="Arial" w:hAnsi="Arial"/>
      <w:spacing w:val="-4"/>
      <w:sz w:val="28"/>
      <w:szCs w:val="20"/>
      <w:lang w:val="es-CO"/>
    </w:rPr>
  </w:style>
  <w:style w:type="paragraph" w:styleId="Textoindependiente3">
    <w:name w:val="Body Text 3"/>
    <w:basedOn w:val="Normal"/>
    <w:link w:val="Textoindependiente3Car"/>
    <w:rsid w:val="00B01284"/>
    <w:pPr>
      <w:spacing w:after="120"/>
    </w:pPr>
    <w:rPr>
      <w:sz w:val="16"/>
      <w:szCs w:val="16"/>
    </w:rPr>
  </w:style>
  <w:style w:type="character" w:customStyle="1" w:styleId="Textoindependiente3Car">
    <w:name w:val="Texto independiente 3 Car"/>
    <w:link w:val="Textoindependiente3"/>
    <w:rsid w:val="00B01284"/>
    <w:rPr>
      <w:sz w:val="16"/>
      <w:szCs w:val="16"/>
      <w:lang w:val="es-ES" w:eastAsia="es-ES"/>
    </w:rPr>
  </w:style>
  <w:style w:type="character" w:customStyle="1" w:styleId="estilocorreo17">
    <w:name w:val="estilocorreo17"/>
    <w:semiHidden/>
    <w:rsid w:val="00EC42FA"/>
    <w:rPr>
      <w:rFonts w:ascii="Arial" w:hAnsi="Arial" w:cs="Arial" w:hint="default"/>
      <w:color w:val="auto"/>
    </w:rPr>
  </w:style>
  <w:style w:type="character" w:customStyle="1" w:styleId="TextonotapieCar2">
    <w:name w:val="Texto nota pie Car2"/>
    <w:aliases w:val="Texto nota pie Car Car2,Texto nota pie Car Car Car1,Texto nota pie Car1 Car1,Footnote Text Char Char Char Char Char Car1,Footnote Text Char Char Char Char Car1,Footnote reference Car1,FA Fu Car1,Footnote Text Cha Car1,FA Fu Car2"/>
    <w:semiHidden/>
    <w:rsid w:val="0017524A"/>
    <w:rPr>
      <w:rFonts w:ascii="Times New Roman" w:eastAsia="Times New Roman" w:hAnsi="Times New Roman"/>
      <w:lang w:val="es-ES" w:eastAsia="es-ES"/>
    </w:rPr>
  </w:style>
  <w:style w:type="paragraph" w:customStyle="1" w:styleId="Piedepagina">
    <w:name w:val="Pie de pagina"/>
    <w:basedOn w:val="Normal"/>
    <w:rsid w:val="003C5158"/>
    <w:pPr>
      <w:overflowPunct w:val="0"/>
      <w:autoSpaceDE w:val="0"/>
      <w:autoSpaceDN w:val="0"/>
      <w:adjustRightInd w:val="0"/>
      <w:jc w:val="both"/>
    </w:pPr>
    <w:rPr>
      <w:rFonts w:ascii="Arial" w:hAnsi="Arial"/>
      <w:sz w:val="20"/>
      <w:szCs w:val="20"/>
      <w:lang w:val="es-ES_tradnl"/>
    </w:rPr>
  </w:style>
  <w:style w:type="character" w:customStyle="1" w:styleId="Ttulo7Car">
    <w:name w:val="Título 7 Car"/>
    <w:link w:val="Ttulo7"/>
    <w:rsid w:val="00E54941"/>
    <w:rPr>
      <w:rFonts w:ascii="Calibri" w:eastAsia="Times New Roman" w:hAnsi="Calibri" w:cs="Times New Roman"/>
      <w:sz w:val="24"/>
      <w:szCs w:val="24"/>
      <w:lang w:val="es-ES" w:eastAsia="es-ES"/>
    </w:rPr>
  </w:style>
  <w:style w:type="character" w:customStyle="1" w:styleId="vivbold">
    <w:name w:val="vivbold"/>
    <w:rsid w:val="00CD4822"/>
  </w:style>
  <w:style w:type="character" w:customStyle="1" w:styleId="Ttulo3Car">
    <w:name w:val="Título 3 Car"/>
    <w:link w:val="Ttulo3"/>
    <w:semiHidden/>
    <w:rsid w:val="00065C1A"/>
    <w:rPr>
      <w:rFonts w:ascii="Cambria" w:eastAsia="Times New Roman" w:hAnsi="Cambria" w:cs="Times New Roman"/>
      <w:b/>
      <w:bCs/>
      <w:sz w:val="26"/>
      <w:szCs w:val="26"/>
      <w:lang w:val="es-ES" w:eastAsia="es-ES"/>
    </w:rPr>
  </w:style>
  <w:style w:type="character" w:customStyle="1" w:styleId="Ttulo4Car">
    <w:name w:val="Título 4 Car"/>
    <w:link w:val="Ttulo4"/>
    <w:semiHidden/>
    <w:rsid w:val="00065C1A"/>
    <w:rPr>
      <w:rFonts w:ascii="Calibri" w:eastAsia="Times New Roman" w:hAnsi="Calibri" w:cs="Times New Roman"/>
      <w:b/>
      <w:bCs/>
      <w:sz w:val="28"/>
      <w:szCs w:val="28"/>
      <w:lang w:val="es-ES" w:eastAsia="es-ES"/>
    </w:rPr>
  </w:style>
  <w:style w:type="paragraph" w:customStyle="1" w:styleId="Textodebloque2">
    <w:name w:val="Texto de bloque2"/>
    <w:basedOn w:val="Normal"/>
    <w:rsid w:val="003546C3"/>
    <w:pPr>
      <w:overflowPunct w:val="0"/>
      <w:autoSpaceDE w:val="0"/>
      <w:autoSpaceDN w:val="0"/>
      <w:adjustRightInd w:val="0"/>
      <w:ind w:left="720" w:firstLine="706"/>
      <w:jc w:val="both"/>
      <w:textAlignment w:val="baseline"/>
    </w:pPr>
    <w:rPr>
      <w:i/>
      <w:szCs w:val="20"/>
      <w:lang w:val="es-ES_tradnl"/>
    </w:rPr>
  </w:style>
  <w:style w:type="paragraph" w:customStyle="1" w:styleId="Textonormal">
    <w:name w:val="Texto normal"/>
    <w:basedOn w:val="Normal"/>
    <w:rsid w:val="00354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Arial Narrow" w:hAnsi="Arial Narrow"/>
      <w:sz w:val="28"/>
      <w:szCs w:val="20"/>
      <w:lang w:val="es-ES_tradnl"/>
    </w:rPr>
  </w:style>
  <w:style w:type="paragraph" w:customStyle="1" w:styleId="BodyText28">
    <w:name w:val="Body Text 28"/>
    <w:basedOn w:val="Normal"/>
    <w:rsid w:val="003546C3"/>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navy">
    <w:name w:val="texto_navy"/>
    <w:rsid w:val="00183894"/>
  </w:style>
  <w:style w:type="character" w:customStyle="1" w:styleId="st">
    <w:name w:val="st"/>
    <w:rsid w:val="00E82BA0"/>
  </w:style>
  <w:style w:type="paragraph" w:styleId="Subttulo">
    <w:name w:val="Subtitle"/>
    <w:basedOn w:val="Normal"/>
    <w:next w:val="Normal"/>
    <w:link w:val="SubttuloCar"/>
    <w:qFormat/>
    <w:rsid w:val="00285374"/>
    <w:pPr>
      <w:spacing w:after="60"/>
      <w:jc w:val="center"/>
      <w:outlineLvl w:val="1"/>
    </w:pPr>
    <w:rPr>
      <w:rFonts w:ascii="Cambria" w:hAnsi="Cambria"/>
    </w:rPr>
  </w:style>
  <w:style w:type="character" w:customStyle="1" w:styleId="SubttuloCar">
    <w:name w:val="Subtítulo Car"/>
    <w:link w:val="Subttulo"/>
    <w:rsid w:val="00285374"/>
    <w:rPr>
      <w:rFonts w:ascii="Cambria" w:eastAsia="Times New Roman" w:hAnsi="Cambria" w:cs="Times New Roman"/>
      <w:sz w:val="24"/>
      <w:szCs w:val="24"/>
      <w:lang w:val="es-ES" w:eastAsia="es-ES"/>
    </w:rPr>
  </w:style>
  <w:style w:type="paragraph" w:customStyle="1" w:styleId="bodytext3">
    <w:name w:val="bodytext3"/>
    <w:basedOn w:val="Normal"/>
    <w:rsid w:val="003362FC"/>
    <w:pPr>
      <w:overflowPunct w:val="0"/>
      <w:autoSpaceDE w:val="0"/>
      <w:autoSpaceDN w:val="0"/>
    </w:pPr>
    <w:rPr>
      <w:rFonts w:ascii="Century Gothic" w:eastAsia="Calibri" w:hAnsi="Century Gothic"/>
      <w:sz w:val="22"/>
      <w:szCs w:val="22"/>
      <w:lang w:val="es-CO" w:eastAsia="es-CO"/>
    </w:rPr>
  </w:style>
  <w:style w:type="paragraph" w:customStyle="1" w:styleId="transcripcin">
    <w:name w:val="transcripción"/>
    <w:basedOn w:val="Normal"/>
    <w:rsid w:val="00B3737F"/>
    <w:pPr>
      <w:overflowPunct w:val="0"/>
      <w:autoSpaceDE w:val="0"/>
      <w:autoSpaceDN w:val="0"/>
      <w:adjustRightInd w:val="0"/>
      <w:spacing w:line="480" w:lineRule="auto"/>
      <w:ind w:left="1134" w:right="1134"/>
      <w:jc w:val="both"/>
      <w:textAlignment w:val="baseline"/>
    </w:pPr>
    <w:rPr>
      <w:rFonts w:ascii="Arial" w:hAnsi="Arial"/>
      <w:i/>
      <w:szCs w:val="20"/>
      <w:lang w:val="es-ES_tradnl"/>
    </w:rPr>
  </w:style>
  <w:style w:type="character" w:styleId="nfasis">
    <w:name w:val="Emphasis"/>
    <w:uiPriority w:val="20"/>
    <w:qFormat/>
    <w:rsid w:val="00273FB3"/>
    <w:rPr>
      <w:i/>
      <w:iCs/>
    </w:rPr>
  </w:style>
  <w:style w:type="paragraph" w:styleId="Sinespaciado">
    <w:name w:val="No Spacing"/>
    <w:link w:val="SinespaciadoCar"/>
    <w:qFormat/>
    <w:rsid w:val="00985047"/>
    <w:rPr>
      <w:rFonts w:ascii="Calibri" w:eastAsia="Calibri" w:hAnsi="Calibri"/>
      <w:sz w:val="22"/>
      <w:szCs w:val="22"/>
      <w:lang w:val="es-CO"/>
    </w:rPr>
  </w:style>
  <w:style w:type="paragraph" w:customStyle="1" w:styleId="BodyText22">
    <w:name w:val="Body Text 22"/>
    <w:basedOn w:val="Normal"/>
    <w:rsid w:val="00562A3D"/>
    <w:pPr>
      <w:spacing w:after="160" w:line="360" w:lineRule="auto"/>
      <w:jc w:val="both"/>
    </w:pPr>
    <w:rPr>
      <w:rFonts w:ascii="Arial" w:hAnsi="Arial"/>
      <w:spacing w:val="-3"/>
      <w:sz w:val="22"/>
      <w:szCs w:val="20"/>
      <w:lang w:val="es-ES_tradnl" w:eastAsia="es-CO"/>
    </w:rPr>
  </w:style>
  <w:style w:type="paragraph" w:customStyle="1" w:styleId="Sangra3detindependiente1">
    <w:name w:val="Sangría 3 de t. independiente1"/>
    <w:basedOn w:val="Normal"/>
    <w:rsid w:val="002B1AC5"/>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paragraph" w:customStyle="1" w:styleId="ParrafoCdeE">
    <w:name w:val="Parrafo C de E"/>
    <w:basedOn w:val="Normal"/>
    <w:rsid w:val="002B1AC5"/>
    <w:pPr>
      <w:overflowPunct w:val="0"/>
      <w:autoSpaceDE w:val="0"/>
      <w:autoSpaceDN w:val="0"/>
      <w:adjustRightInd w:val="0"/>
      <w:spacing w:line="360" w:lineRule="auto"/>
      <w:ind w:firstLine="1418"/>
      <w:jc w:val="both"/>
      <w:textAlignment w:val="baseline"/>
    </w:pPr>
    <w:rPr>
      <w:rFonts w:ascii="Arial" w:hAnsi="Arial"/>
      <w:szCs w:val="20"/>
      <w:lang w:val="es-ES_tradnl"/>
    </w:rPr>
  </w:style>
  <w:style w:type="character" w:customStyle="1" w:styleId="SinespaciadoCar">
    <w:name w:val="Sin espaciado Car"/>
    <w:link w:val="Sinespaciado"/>
    <w:locked/>
    <w:rsid w:val="002B1AC5"/>
    <w:rPr>
      <w:rFonts w:ascii="Calibri" w:eastAsia="Calibri" w:hAnsi="Calibri"/>
      <w:sz w:val="22"/>
      <w:szCs w:val="22"/>
      <w:lang w:eastAsia="en-US"/>
    </w:rPr>
  </w:style>
  <w:style w:type="character" w:styleId="Refdecomentario">
    <w:name w:val="annotation reference"/>
    <w:rsid w:val="00F31955"/>
    <w:rPr>
      <w:sz w:val="16"/>
      <w:szCs w:val="16"/>
    </w:rPr>
  </w:style>
  <w:style w:type="paragraph" w:styleId="Textocomentario">
    <w:name w:val="annotation text"/>
    <w:basedOn w:val="Normal"/>
    <w:link w:val="TextocomentarioCar"/>
    <w:rsid w:val="00F31955"/>
    <w:rPr>
      <w:sz w:val="20"/>
      <w:szCs w:val="20"/>
    </w:rPr>
  </w:style>
  <w:style w:type="character" w:customStyle="1" w:styleId="TextocomentarioCar">
    <w:name w:val="Texto comentario Car"/>
    <w:link w:val="Textocomentario"/>
    <w:rsid w:val="00F31955"/>
    <w:rPr>
      <w:lang w:val="es-ES" w:eastAsia="es-ES"/>
    </w:rPr>
  </w:style>
  <w:style w:type="paragraph" w:styleId="Asuntodelcomentario">
    <w:name w:val="annotation subject"/>
    <w:basedOn w:val="Textocomentario"/>
    <w:next w:val="Textocomentario"/>
    <w:link w:val="AsuntodelcomentarioCar"/>
    <w:rsid w:val="00F31955"/>
    <w:rPr>
      <w:b/>
      <w:bCs/>
    </w:rPr>
  </w:style>
  <w:style w:type="character" w:customStyle="1" w:styleId="AsuntodelcomentarioCar">
    <w:name w:val="Asunto del comentario Car"/>
    <w:link w:val="Asuntodelcomentario"/>
    <w:rsid w:val="00F31955"/>
    <w:rPr>
      <w:b/>
      <w:bCs/>
      <w:lang w:val="es-ES" w:eastAsia="es-ES"/>
    </w:rPr>
  </w:style>
  <w:style w:type="paragraph" w:customStyle="1" w:styleId="Textoindependiente310">
    <w:name w:val="Texto independiente 31"/>
    <w:basedOn w:val="Normal"/>
    <w:rsid w:val="008B6BDF"/>
    <w:pPr>
      <w:overflowPunct w:val="0"/>
      <w:autoSpaceDE w:val="0"/>
      <w:autoSpaceDN w:val="0"/>
      <w:adjustRightInd w:val="0"/>
      <w:spacing w:line="360" w:lineRule="auto"/>
      <w:jc w:val="both"/>
      <w:textAlignment w:val="baseline"/>
    </w:pPr>
    <w:rPr>
      <w:rFonts w:ascii="Arial" w:hAnsi="Arial"/>
      <w:szCs w:val="20"/>
      <w:lang w:val="es-ES_tradnl"/>
    </w:rPr>
  </w:style>
  <w:style w:type="paragraph" w:customStyle="1" w:styleId="Textodebloque10">
    <w:name w:val="Texto de bloque1"/>
    <w:basedOn w:val="Normal"/>
    <w:qFormat/>
    <w:rsid w:val="008B6BDF"/>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 w:type="paragraph" w:customStyle="1" w:styleId="Sangra3detindependiente10">
    <w:name w:val="Sangría 3 de t. independiente1"/>
    <w:basedOn w:val="Normal"/>
    <w:rsid w:val="008B6BDF"/>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character" w:customStyle="1" w:styleId="Ttulo1Car">
    <w:name w:val="Título 1 Car"/>
    <w:link w:val="Ttulo1"/>
    <w:uiPriority w:val="9"/>
    <w:rsid w:val="008B6BDF"/>
    <w:rPr>
      <w:rFonts w:ascii="Arial" w:hAnsi="Arial"/>
      <w:b/>
      <w:sz w:val="24"/>
      <w:lang w:val="es-ES_tradnl" w:eastAsia="es-ES"/>
    </w:rPr>
  </w:style>
  <w:style w:type="character" w:customStyle="1" w:styleId="Ttulo6Car">
    <w:name w:val="Título 6 Car"/>
    <w:link w:val="Ttulo6"/>
    <w:rsid w:val="008B6BDF"/>
    <w:rPr>
      <w:rFonts w:ascii="Century Gothic" w:hAnsi="Century Gothic"/>
      <w:b/>
      <w:kern w:val="28"/>
      <w:sz w:val="22"/>
      <w:lang w:val="es-ES_tradnl" w:eastAsia="es-ES"/>
    </w:rPr>
  </w:style>
  <w:style w:type="character" w:customStyle="1" w:styleId="PuestoCar">
    <w:name w:val="Puesto Car"/>
    <w:link w:val="Puesto"/>
    <w:rsid w:val="008B6BDF"/>
    <w:rPr>
      <w:rFonts w:ascii="Arial" w:hAnsi="Arial"/>
      <w:b/>
      <w:sz w:val="24"/>
      <w:lang w:val="es-ES" w:eastAsia="es-ES"/>
    </w:rPr>
  </w:style>
  <w:style w:type="paragraph" w:styleId="Revisin">
    <w:name w:val="Revision"/>
    <w:hidden/>
    <w:uiPriority w:val="99"/>
    <w:semiHidden/>
    <w:rsid w:val="001D4FF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7254">
      <w:bodyDiv w:val="1"/>
      <w:marLeft w:val="0"/>
      <w:marRight w:val="0"/>
      <w:marTop w:val="0"/>
      <w:marBottom w:val="0"/>
      <w:divBdr>
        <w:top w:val="none" w:sz="0" w:space="0" w:color="auto"/>
        <w:left w:val="none" w:sz="0" w:space="0" w:color="auto"/>
        <w:bottom w:val="none" w:sz="0" w:space="0" w:color="auto"/>
        <w:right w:val="none" w:sz="0" w:space="0" w:color="auto"/>
      </w:divBdr>
    </w:div>
    <w:div w:id="49232508">
      <w:bodyDiv w:val="1"/>
      <w:marLeft w:val="0"/>
      <w:marRight w:val="0"/>
      <w:marTop w:val="0"/>
      <w:marBottom w:val="0"/>
      <w:divBdr>
        <w:top w:val="none" w:sz="0" w:space="0" w:color="auto"/>
        <w:left w:val="none" w:sz="0" w:space="0" w:color="auto"/>
        <w:bottom w:val="none" w:sz="0" w:space="0" w:color="auto"/>
        <w:right w:val="none" w:sz="0" w:space="0" w:color="auto"/>
      </w:divBdr>
    </w:div>
    <w:div w:id="58990948">
      <w:bodyDiv w:val="1"/>
      <w:marLeft w:val="0"/>
      <w:marRight w:val="0"/>
      <w:marTop w:val="0"/>
      <w:marBottom w:val="0"/>
      <w:divBdr>
        <w:top w:val="none" w:sz="0" w:space="0" w:color="auto"/>
        <w:left w:val="none" w:sz="0" w:space="0" w:color="auto"/>
        <w:bottom w:val="none" w:sz="0" w:space="0" w:color="auto"/>
        <w:right w:val="none" w:sz="0" w:space="0" w:color="auto"/>
      </w:divBdr>
    </w:div>
    <w:div w:id="115999131">
      <w:bodyDiv w:val="1"/>
      <w:marLeft w:val="0"/>
      <w:marRight w:val="0"/>
      <w:marTop w:val="0"/>
      <w:marBottom w:val="0"/>
      <w:divBdr>
        <w:top w:val="none" w:sz="0" w:space="0" w:color="auto"/>
        <w:left w:val="none" w:sz="0" w:space="0" w:color="auto"/>
        <w:bottom w:val="none" w:sz="0" w:space="0" w:color="auto"/>
        <w:right w:val="none" w:sz="0" w:space="0" w:color="auto"/>
      </w:divBdr>
    </w:div>
    <w:div w:id="154808457">
      <w:bodyDiv w:val="1"/>
      <w:marLeft w:val="0"/>
      <w:marRight w:val="0"/>
      <w:marTop w:val="0"/>
      <w:marBottom w:val="0"/>
      <w:divBdr>
        <w:top w:val="none" w:sz="0" w:space="0" w:color="auto"/>
        <w:left w:val="none" w:sz="0" w:space="0" w:color="auto"/>
        <w:bottom w:val="none" w:sz="0" w:space="0" w:color="auto"/>
        <w:right w:val="none" w:sz="0" w:space="0" w:color="auto"/>
      </w:divBdr>
    </w:div>
    <w:div w:id="232660754">
      <w:bodyDiv w:val="1"/>
      <w:marLeft w:val="120"/>
      <w:marRight w:val="120"/>
      <w:marTop w:val="0"/>
      <w:marBottom w:val="0"/>
      <w:divBdr>
        <w:top w:val="none" w:sz="0" w:space="0" w:color="auto"/>
        <w:left w:val="none" w:sz="0" w:space="0" w:color="auto"/>
        <w:bottom w:val="none" w:sz="0" w:space="0" w:color="auto"/>
        <w:right w:val="none" w:sz="0" w:space="0" w:color="auto"/>
      </w:divBdr>
      <w:divsChild>
        <w:div w:id="379867796">
          <w:marLeft w:val="0"/>
          <w:marRight w:val="0"/>
          <w:marTop w:val="120"/>
          <w:marBottom w:val="120"/>
          <w:divBdr>
            <w:top w:val="none" w:sz="0" w:space="0" w:color="auto"/>
            <w:left w:val="none" w:sz="0" w:space="0" w:color="auto"/>
            <w:bottom w:val="none" w:sz="0" w:space="0" w:color="auto"/>
            <w:right w:val="none" w:sz="0" w:space="0" w:color="auto"/>
          </w:divBdr>
          <w:divsChild>
            <w:div w:id="1846285347">
              <w:marLeft w:val="0"/>
              <w:marRight w:val="0"/>
              <w:marTop w:val="0"/>
              <w:marBottom w:val="0"/>
              <w:divBdr>
                <w:top w:val="none" w:sz="0" w:space="0" w:color="auto"/>
                <w:left w:val="none" w:sz="0" w:space="0" w:color="auto"/>
                <w:bottom w:val="none" w:sz="0" w:space="0" w:color="auto"/>
                <w:right w:val="none" w:sz="0" w:space="0" w:color="auto"/>
              </w:divBdr>
              <w:divsChild>
                <w:div w:id="1400983167">
                  <w:marLeft w:val="0"/>
                  <w:marRight w:val="0"/>
                  <w:marTop w:val="0"/>
                  <w:marBottom w:val="0"/>
                  <w:divBdr>
                    <w:top w:val="none" w:sz="0" w:space="0" w:color="auto"/>
                    <w:left w:val="none" w:sz="0" w:space="0" w:color="auto"/>
                    <w:bottom w:val="none" w:sz="0" w:space="0" w:color="auto"/>
                    <w:right w:val="none" w:sz="0" w:space="0" w:color="auto"/>
                  </w:divBdr>
                  <w:divsChild>
                    <w:div w:id="1150515524">
                      <w:marLeft w:val="0"/>
                      <w:marRight w:val="0"/>
                      <w:marTop w:val="0"/>
                      <w:marBottom w:val="0"/>
                      <w:divBdr>
                        <w:top w:val="none" w:sz="0" w:space="0" w:color="auto"/>
                        <w:left w:val="none" w:sz="0" w:space="0" w:color="auto"/>
                        <w:bottom w:val="none" w:sz="0" w:space="0" w:color="auto"/>
                        <w:right w:val="none" w:sz="0" w:space="0" w:color="auto"/>
                      </w:divBdr>
                      <w:divsChild>
                        <w:div w:id="2081057508">
                          <w:marLeft w:val="0"/>
                          <w:marRight w:val="0"/>
                          <w:marTop w:val="225"/>
                          <w:marBottom w:val="0"/>
                          <w:divBdr>
                            <w:top w:val="none" w:sz="0" w:space="0" w:color="auto"/>
                            <w:left w:val="none" w:sz="0" w:space="0" w:color="auto"/>
                            <w:bottom w:val="none" w:sz="0" w:space="0" w:color="auto"/>
                            <w:right w:val="none" w:sz="0" w:space="0" w:color="auto"/>
                          </w:divBdr>
                          <w:divsChild>
                            <w:div w:id="663322469">
                              <w:marLeft w:val="0"/>
                              <w:marRight w:val="0"/>
                              <w:marTop w:val="0"/>
                              <w:marBottom w:val="0"/>
                              <w:divBdr>
                                <w:top w:val="none" w:sz="0" w:space="0" w:color="auto"/>
                                <w:left w:val="none" w:sz="0" w:space="0" w:color="auto"/>
                                <w:bottom w:val="none" w:sz="0" w:space="0" w:color="auto"/>
                                <w:right w:val="none" w:sz="0" w:space="0" w:color="auto"/>
                              </w:divBdr>
                              <w:divsChild>
                                <w:div w:id="972249462">
                                  <w:marLeft w:val="0"/>
                                  <w:marRight w:val="0"/>
                                  <w:marTop w:val="0"/>
                                  <w:marBottom w:val="0"/>
                                  <w:divBdr>
                                    <w:top w:val="none" w:sz="0" w:space="0" w:color="auto"/>
                                    <w:left w:val="none" w:sz="0" w:space="0" w:color="auto"/>
                                    <w:bottom w:val="none" w:sz="0" w:space="0" w:color="auto"/>
                                    <w:right w:val="none" w:sz="0" w:space="0" w:color="auto"/>
                                  </w:divBdr>
                                  <w:divsChild>
                                    <w:div w:id="900945427">
                                      <w:marLeft w:val="-4500"/>
                                      <w:marRight w:val="0"/>
                                      <w:marTop w:val="0"/>
                                      <w:marBottom w:val="0"/>
                                      <w:divBdr>
                                        <w:top w:val="none" w:sz="0" w:space="0" w:color="auto"/>
                                        <w:left w:val="none" w:sz="0" w:space="0" w:color="auto"/>
                                        <w:bottom w:val="none" w:sz="0" w:space="0" w:color="auto"/>
                                        <w:right w:val="none" w:sz="0" w:space="0" w:color="auto"/>
                                      </w:divBdr>
                                      <w:divsChild>
                                        <w:div w:id="1858470029">
                                          <w:marLeft w:val="4500"/>
                                          <w:marRight w:val="0"/>
                                          <w:marTop w:val="0"/>
                                          <w:marBottom w:val="0"/>
                                          <w:divBdr>
                                            <w:top w:val="none" w:sz="0" w:space="0" w:color="auto"/>
                                            <w:left w:val="none" w:sz="0" w:space="0" w:color="auto"/>
                                            <w:bottom w:val="none" w:sz="0" w:space="0" w:color="auto"/>
                                            <w:right w:val="none" w:sz="0" w:space="0" w:color="auto"/>
                                          </w:divBdr>
                                          <w:divsChild>
                                            <w:div w:id="1845050185">
                                              <w:marLeft w:val="0"/>
                                              <w:marRight w:val="0"/>
                                              <w:marTop w:val="0"/>
                                              <w:marBottom w:val="0"/>
                                              <w:divBdr>
                                                <w:top w:val="none" w:sz="0" w:space="0" w:color="auto"/>
                                                <w:left w:val="none" w:sz="0" w:space="0" w:color="auto"/>
                                                <w:bottom w:val="none" w:sz="0" w:space="0" w:color="auto"/>
                                                <w:right w:val="none" w:sz="0" w:space="0" w:color="auto"/>
                                              </w:divBdr>
                                              <w:divsChild>
                                                <w:div w:id="488644082">
                                                  <w:marLeft w:val="0"/>
                                                  <w:marRight w:val="0"/>
                                                  <w:marTop w:val="0"/>
                                                  <w:marBottom w:val="0"/>
                                                  <w:divBdr>
                                                    <w:top w:val="none" w:sz="0" w:space="0" w:color="auto"/>
                                                    <w:left w:val="none" w:sz="0" w:space="0" w:color="auto"/>
                                                    <w:bottom w:val="none" w:sz="0" w:space="0" w:color="auto"/>
                                                    <w:right w:val="none" w:sz="0" w:space="0" w:color="auto"/>
                                                  </w:divBdr>
                                                  <w:divsChild>
                                                    <w:div w:id="1821997879">
                                                      <w:marLeft w:val="0"/>
                                                      <w:marRight w:val="0"/>
                                                      <w:marTop w:val="0"/>
                                                      <w:marBottom w:val="0"/>
                                                      <w:divBdr>
                                                        <w:top w:val="none" w:sz="0" w:space="0" w:color="auto"/>
                                                        <w:left w:val="none" w:sz="0" w:space="0" w:color="auto"/>
                                                        <w:bottom w:val="none" w:sz="0" w:space="0" w:color="auto"/>
                                                        <w:right w:val="none" w:sz="0" w:space="0" w:color="auto"/>
                                                      </w:divBdr>
                                                      <w:divsChild>
                                                        <w:div w:id="8366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251917">
      <w:bodyDiv w:val="1"/>
      <w:marLeft w:val="0"/>
      <w:marRight w:val="0"/>
      <w:marTop w:val="0"/>
      <w:marBottom w:val="0"/>
      <w:divBdr>
        <w:top w:val="none" w:sz="0" w:space="0" w:color="auto"/>
        <w:left w:val="none" w:sz="0" w:space="0" w:color="auto"/>
        <w:bottom w:val="none" w:sz="0" w:space="0" w:color="auto"/>
        <w:right w:val="none" w:sz="0" w:space="0" w:color="auto"/>
      </w:divBdr>
    </w:div>
    <w:div w:id="330908333">
      <w:bodyDiv w:val="1"/>
      <w:marLeft w:val="0"/>
      <w:marRight w:val="0"/>
      <w:marTop w:val="0"/>
      <w:marBottom w:val="0"/>
      <w:divBdr>
        <w:top w:val="none" w:sz="0" w:space="0" w:color="auto"/>
        <w:left w:val="none" w:sz="0" w:space="0" w:color="auto"/>
        <w:bottom w:val="none" w:sz="0" w:space="0" w:color="auto"/>
        <w:right w:val="none" w:sz="0" w:space="0" w:color="auto"/>
      </w:divBdr>
    </w:div>
    <w:div w:id="331684411">
      <w:bodyDiv w:val="1"/>
      <w:marLeft w:val="0"/>
      <w:marRight w:val="0"/>
      <w:marTop w:val="0"/>
      <w:marBottom w:val="0"/>
      <w:divBdr>
        <w:top w:val="none" w:sz="0" w:space="0" w:color="auto"/>
        <w:left w:val="none" w:sz="0" w:space="0" w:color="auto"/>
        <w:bottom w:val="none" w:sz="0" w:space="0" w:color="auto"/>
        <w:right w:val="none" w:sz="0" w:space="0" w:color="auto"/>
      </w:divBdr>
    </w:div>
    <w:div w:id="391468890">
      <w:bodyDiv w:val="1"/>
      <w:marLeft w:val="0"/>
      <w:marRight w:val="0"/>
      <w:marTop w:val="0"/>
      <w:marBottom w:val="0"/>
      <w:divBdr>
        <w:top w:val="none" w:sz="0" w:space="0" w:color="auto"/>
        <w:left w:val="none" w:sz="0" w:space="0" w:color="auto"/>
        <w:bottom w:val="none" w:sz="0" w:space="0" w:color="auto"/>
        <w:right w:val="none" w:sz="0" w:space="0" w:color="auto"/>
      </w:divBdr>
    </w:div>
    <w:div w:id="410545267">
      <w:bodyDiv w:val="1"/>
      <w:marLeft w:val="0"/>
      <w:marRight w:val="0"/>
      <w:marTop w:val="0"/>
      <w:marBottom w:val="0"/>
      <w:divBdr>
        <w:top w:val="none" w:sz="0" w:space="0" w:color="auto"/>
        <w:left w:val="none" w:sz="0" w:space="0" w:color="auto"/>
        <w:bottom w:val="none" w:sz="0" w:space="0" w:color="auto"/>
        <w:right w:val="none" w:sz="0" w:space="0" w:color="auto"/>
      </w:divBdr>
    </w:div>
    <w:div w:id="526332685">
      <w:bodyDiv w:val="1"/>
      <w:marLeft w:val="0"/>
      <w:marRight w:val="0"/>
      <w:marTop w:val="0"/>
      <w:marBottom w:val="0"/>
      <w:divBdr>
        <w:top w:val="none" w:sz="0" w:space="0" w:color="auto"/>
        <w:left w:val="none" w:sz="0" w:space="0" w:color="auto"/>
        <w:bottom w:val="none" w:sz="0" w:space="0" w:color="auto"/>
        <w:right w:val="none" w:sz="0" w:space="0" w:color="auto"/>
      </w:divBdr>
    </w:div>
    <w:div w:id="588805630">
      <w:bodyDiv w:val="1"/>
      <w:marLeft w:val="0"/>
      <w:marRight w:val="0"/>
      <w:marTop w:val="0"/>
      <w:marBottom w:val="0"/>
      <w:divBdr>
        <w:top w:val="none" w:sz="0" w:space="0" w:color="auto"/>
        <w:left w:val="none" w:sz="0" w:space="0" w:color="auto"/>
        <w:bottom w:val="none" w:sz="0" w:space="0" w:color="auto"/>
        <w:right w:val="none" w:sz="0" w:space="0" w:color="auto"/>
      </w:divBdr>
    </w:div>
    <w:div w:id="597299388">
      <w:bodyDiv w:val="1"/>
      <w:marLeft w:val="0"/>
      <w:marRight w:val="0"/>
      <w:marTop w:val="0"/>
      <w:marBottom w:val="0"/>
      <w:divBdr>
        <w:top w:val="none" w:sz="0" w:space="0" w:color="auto"/>
        <w:left w:val="none" w:sz="0" w:space="0" w:color="auto"/>
        <w:bottom w:val="none" w:sz="0" w:space="0" w:color="auto"/>
        <w:right w:val="none" w:sz="0" w:space="0" w:color="auto"/>
      </w:divBdr>
    </w:div>
    <w:div w:id="6856392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4423183">
          <w:marLeft w:val="0"/>
          <w:marRight w:val="0"/>
          <w:marTop w:val="0"/>
          <w:marBottom w:val="0"/>
          <w:divBdr>
            <w:top w:val="none" w:sz="0" w:space="0" w:color="auto"/>
            <w:left w:val="none" w:sz="0" w:space="0" w:color="auto"/>
            <w:bottom w:val="none" w:sz="0" w:space="0" w:color="auto"/>
            <w:right w:val="none" w:sz="0" w:space="0" w:color="auto"/>
          </w:divBdr>
        </w:div>
        <w:div w:id="1782415063">
          <w:marLeft w:val="0"/>
          <w:marRight w:val="0"/>
          <w:marTop w:val="0"/>
          <w:marBottom w:val="0"/>
          <w:divBdr>
            <w:top w:val="none" w:sz="0" w:space="0" w:color="auto"/>
            <w:left w:val="none" w:sz="0" w:space="0" w:color="auto"/>
            <w:bottom w:val="none" w:sz="0" w:space="0" w:color="auto"/>
            <w:right w:val="none" w:sz="0" w:space="0" w:color="auto"/>
          </w:divBdr>
        </w:div>
      </w:divsChild>
    </w:div>
    <w:div w:id="721100993">
      <w:bodyDiv w:val="1"/>
      <w:marLeft w:val="0"/>
      <w:marRight w:val="0"/>
      <w:marTop w:val="0"/>
      <w:marBottom w:val="0"/>
      <w:divBdr>
        <w:top w:val="none" w:sz="0" w:space="0" w:color="auto"/>
        <w:left w:val="none" w:sz="0" w:space="0" w:color="auto"/>
        <w:bottom w:val="none" w:sz="0" w:space="0" w:color="auto"/>
        <w:right w:val="none" w:sz="0" w:space="0" w:color="auto"/>
      </w:divBdr>
    </w:div>
    <w:div w:id="795488243">
      <w:bodyDiv w:val="1"/>
      <w:marLeft w:val="0"/>
      <w:marRight w:val="0"/>
      <w:marTop w:val="0"/>
      <w:marBottom w:val="0"/>
      <w:divBdr>
        <w:top w:val="none" w:sz="0" w:space="0" w:color="auto"/>
        <w:left w:val="none" w:sz="0" w:space="0" w:color="auto"/>
        <w:bottom w:val="none" w:sz="0" w:space="0" w:color="auto"/>
        <w:right w:val="none" w:sz="0" w:space="0" w:color="auto"/>
      </w:divBdr>
    </w:div>
    <w:div w:id="809638631">
      <w:bodyDiv w:val="1"/>
      <w:marLeft w:val="0"/>
      <w:marRight w:val="0"/>
      <w:marTop w:val="0"/>
      <w:marBottom w:val="0"/>
      <w:divBdr>
        <w:top w:val="none" w:sz="0" w:space="0" w:color="auto"/>
        <w:left w:val="none" w:sz="0" w:space="0" w:color="auto"/>
        <w:bottom w:val="none" w:sz="0" w:space="0" w:color="auto"/>
        <w:right w:val="none" w:sz="0" w:space="0" w:color="auto"/>
      </w:divBdr>
      <w:divsChild>
        <w:div w:id="1313214101">
          <w:marLeft w:val="0"/>
          <w:marRight w:val="0"/>
          <w:marTop w:val="0"/>
          <w:marBottom w:val="0"/>
          <w:divBdr>
            <w:top w:val="none" w:sz="0" w:space="0" w:color="auto"/>
            <w:left w:val="none" w:sz="0" w:space="0" w:color="auto"/>
            <w:bottom w:val="none" w:sz="0" w:space="0" w:color="auto"/>
            <w:right w:val="none" w:sz="0" w:space="0" w:color="auto"/>
          </w:divBdr>
          <w:divsChild>
            <w:div w:id="19141183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13522063">
      <w:bodyDiv w:val="1"/>
      <w:marLeft w:val="0"/>
      <w:marRight w:val="0"/>
      <w:marTop w:val="0"/>
      <w:marBottom w:val="0"/>
      <w:divBdr>
        <w:top w:val="none" w:sz="0" w:space="0" w:color="auto"/>
        <w:left w:val="none" w:sz="0" w:space="0" w:color="auto"/>
        <w:bottom w:val="none" w:sz="0" w:space="0" w:color="auto"/>
        <w:right w:val="none" w:sz="0" w:space="0" w:color="auto"/>
      </w:divBdr>
    </w:div>
    <w:div w:id="876818209">
      <w:bodyDiv w:val="1"/>
      <w:marLeft w:val="0"/>
      <w:marRight w:val="0"/>
      <w:marTop w:val="0"/>
      <w:marBottom w:val="0"/>
      <w:divBdr>
        <w:top w:val="none" w:sz="0" w:space="0" w:color="auto"/>
        <w:left w:val="none" w:sz="0" w:space="0" w:color="auto"/>
        <w:bottom w:val="none" w:sz="0" w:space="0" w:color="auto"/>
        <w:right w:val="none" w:sz="0" w:space="0" w:color="auto"/>
      </w:divBdr>
    </w:div>
    <w:div w:id="893389042">
      <w:bodyDiv w:val="1"/>
      <w:marLeft w:val="0"/>
      <w:marRight w:val="0"/>
      <w:marTop w:val="0"/>
      <w:marBottom w:val="0"/>
      <w:divBdr>
        <w:top w:val="none" w:sz="0" w:space="0" w:color="auto"/>
        <w:left w:val="none" w:sz="0" w:space="0" w:color="auto"/>
        <w:bottom w:val="none" w:sz="0" w:space="0" w:color="auto"/>
        <w:right w:val="none" w:sz="0" w:space="0" w:color="auto"/>
      </w:divBdr>
    </w:div>
    <w:div w:id="926572103">
      <w:bodyDiv w:val="1"/>
      <w:marLeft w:val="0"/>
      <w:marRight w:val="0"/>
      <w:marTop w:val="0"/>
      <w:marBottom w:val="0"/>
      <w:divBdr>
        <w:top w:val="none" w:sz="0" w:space="0" w:color="auto"/>
        <w:left w:val="none" w:sz="0" w:space="0" w:color="auto"/>
        <w:bottom w:val="none" w:sz="0" w:space="0" w:color="auto"/>
        <w:right w:val="none" w:sz="0" w:space="0" w:color="auto"/>
      </w:divBdr>
    </w:div>
    <w:div w:id="932740185">
      <w:bodyDiv w:val="1"/>
      <w:marLeft w:val="0"/>
      <w:marRight w:val="0"/>
      <w:marTop w:val="0"/>
      <w:marBottom w:val="0"/>
      <w:divBdr>
        <w:top w:val="none" w:sz="0" w:space="0" w:color="auto"/>
        <w:left w:val="none" w:sz="0" w:space="0" w:color="auto"/>
        <w:bottom w:val="none" w:sz="0" w:space="0" w:color="auto"/>
        <w:right w:val="none" w:sz="0" w:space="0" w:color="auto"/>
      </w:divBdr>
    </w:div>
    <w:div w:id="942762309">
      <w:bodyDiv w:val="1"/>
      <w:marLeft w:val="0"/>
      <w:marRight w:val="0"/>
      <w:marTop w:val="0"/>
      <w:marBottom w:val="0"/>
      <w:divBdr>
        <w:top w:val="none" w:sz="0" w:space="0" w:color="auto"/>
        <w:left w:val="none" w:sz="0" w:space="0" w:color="auto"/>
        <w:bottom w:val="none" w:sz="0" w:space="0" w:color="auto"/>
        <w:right w:val="none" w:sz="0" w:space="0" w:color="auto"/>
      </w:divBdr>
    </w:div>
    <w:div w:id="979311635">
      <w:bodyDiv w:val="1"/>
      <w:marLeft w:val="0"/>
      <w:marRight w:val="0"/>
      <w:marTop w:val="0"/>
      <w:marBottom w:val="0"/>
      <w:divBdr>
        <w:top w:val="none" w:sz="0" w:space="0" w:color="auto"/>
        <w:left w:val="none" w:sz="0" w:space="0" w:color="auto"/>
        <w:bottom w:val="none" w:sz="0" w:space="0" w:color="auto"/>
        <w:right w:val="none" w:sz="0" w:space="0" w:color="auto"/>
      </w:divBdr>
    </w:div>
    <w:div w:id="980116096">
      <w:bodyDiv w:val="1"/>
      <w:marLeft w:val="0"/>
      <w:marRight w:val="0"/>
      <w:marTop w:val="0"/>
      <w:marBottom w:val="0"/>
      <w:divBdr>
        <w:top w:val="none" w:sz="0" w:space="0" w:color="auto"/>
        <w:left w:val="none" w:sz="0" w:space="0" w:color="auto"/>
        <w:bottom w:val="none" w:sz="0" w:space="0" w:color="auto"/>
        <w:right w:val="none" w:sz="0" w:space="0" w:color="auto"/>
      </w:divBdr>
    </w:div>
    <w:div w:id="1101998545">
      <w:bodyDiv w:val="1"/>
      <w:marLeft w:val="0"/>
      <w:marRight w:val="0"/>
      <w:marTop w:val="0"/>
      <w:marBottom w:val="0"/>
      <w:divBdr>
        <w:top w:val="none" w:sz="0" w:space="0" w:color="auto"/>
        <w:left w:val="none" w:sz="0" w:space="0" w:color="auto"/>
        <w:bottom w:val="none" w:sz="0" w:space="0" w:color="auto"/>
        <w:right w:val="none" w:sz="0" w:space="0" w:color="auto"/>
      </w:divBdr>
      <w:divsChild>
        <w:div w:id="884633596">
          <w:marLeft w:val="0"/>
          <w:marRight w:val="0"/>
          <w:marTop w:val="0"/>
          <w:marBottom w:val="0"/>
          <w:divBdr>
            <w:top w:val="none" w:sz="0" w:space="0" w:color="auto"/>
            <w:left w:val="none" w:sz="0" w:space="0" w:color="auto"/>
            <w:bottom w:val="none" w:sz="0" w:space="0" w:color="auto"/>
            <w:right w:val="none" w:sz="0" w:space="0" w:color="auto"/>
          </w:divBdr>
          <w:divsChild>
            <w:div w:id="9161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925">
      <w:bodyDiv w:val="1"/>
      <w:marLeft w:val="0"/>
      <w:marRight w:val="0"/>
      <w:marTop w:val="0"/>
      <w:marBottom w:val="0"/>
      <w:divBdr>
        <w:top w:val="none" w:sz="0" w:space="0" w:color="auto"/>
        <w:left w:val="none" w:sz="0" w:space="0" w:color="auto"/>
        <w:bottom w:val="none" w:sz="0" w:space="0" w:color="auto"/>
        <w:right w:val="none" w:sz="0" w:space="0" w:color="auto"/>
      </w:divBdr>
    </w:div>
    <w:div w:id="1196306545">
      <w:bodyDiv w:val="1"/>
      <w:marLeft w:val="0"/>
      <w:marRight w:val="0"/>
      <w:marTop w:val="0"/>
      <w:marBottom w:val="0"/>
      <w:divBdr>
        <w:top w:val="none" w:sz="0" w:space="0" w:color="auto"/>
        <w:left w:val="none" w:sz="0" w:space="0" w:color="auto"/>
        <w:bottom w:val="none" w:sz="0" w:space="0" w:color="auto"/>
        <w:right w:val="none" w:sz="0" w:space="0" w:color="auto"/>
      </w:divBdr>
    </w:div>
    <w:div w:id="1260992732">
      <w:bodyDiv w:val="1"/>
      <w:marLeft w:val="0"/>
      <w:marRight w:val="0"/>
      <w:marTop w:val="0"/>
      <w:marBottom w:val="0"/>
      <w:divBdr>
        <w:top w:val="none" w:sz="0" w:space="0" w:color="auto"/>
        <w:left w:val="none" w:sz="0" w:space="0" w:color="auto"/>
        <w:bottom w:val="none" w:sz="0" w:space="0" w:color="auto"/>
        <w:right w:val="none" w:sz="0" w:space="0" w:color="auto"/>
      </w:divBdr>
    </w:div>
    <w:div w:id="1271353761">
      <w:bodyDiv w:val="1"/>
      <w:marLeft w:val="0"/>
      <w:marRight w:val="0"/>
      <w:marTop w:val="0"/>
      <w:marBottom w:val="0"/>
      <w:divBdr>
        <w:top w:val="none" w:sz="0" w:space="0" w:color="auto"/>
        <w:left w:val="none" w:sz="0" w:space="0" w:color="auto"/>
        <w:bottom w:val="none" w:sz="0" w:space="0" w:color="auto"/>
        <w:right w:val="none" w:sz="0" w:space="0" w:color="auto"/>
      </w:divBdr>
    </w:div>
    <w:div w:id="1353799557">
      <w:bodyDiv w:val="1"/>
      <w:marLeft w:val="0"/>
      <w:marRight w:val="0"/>
      <w:marTop w:val="0"/>
      <w:marBottom w:val="0"/>
      <w:divBdr>
        <w:top w:val="none" w:sz="0" w:space="0" w:color="auto"/>
        <w:left w:val="none" w:sz="0" w:space="0" w:color="auto"/>
        <w:bottom w:val="none" w:sz="0" w:space="0" w:color="auto"/>
        <w:right w:val="none" w:sz="0" w:space="0" w:color="auto"/>
      </w:divBdr>
    </w:div>
    <w:div w:id="1470709880">
      <w:bodyDiv w:val="1"/>
      <w:marLeft w:val="0"/>
      <w:marRight w:val="0"/>
      <w:marTop w:val="0"/>
      <w:marBottom w:val="0"/>
      <w:divBdr>
        <w:top w:val="none" w:sz="0" w:space="0" w:color="auto"/>
        <w:left w:val="none" w:sz="0" w:space="0" w:color="auto"/>
        <w:bottom w:val="none" w:sz="0" w:space="0" w:color="auto"/>
        <w:right w:val="none" w:sz="0" w:space="0" w:color="auto"/>
      </w:divBdr>
    </w:div>
    <w:div w:id="14760991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2457103">
          <w:marLeft w:val="0"/>
          <w:marRight w:val="0"/>
          <w:marTop w:val="0"/>
          <w:marBottom w:val="0"/>
          <w:divBdr>
            <w:top w:val="none" w:sz="0" w:space="0" w:color="auto"/>
            <w:left w:val="none" w:sz="0" w:space="0" w:color="auto"/>
            <w:bottom w:val="none" w:sz="0" w:space="0" w:color="auto"/>
            <w:right w:val="none" w:sz="0" w:space="0" w:color="auto"/>
          </w:divBdr>
        </w:div>
        <w:div w:id="584457397">
          <w:marLeft w:val="0"/>
          <w:marRight w:val="0"/>
          <w:marTop w:val="0"/>
          <w:marBottom w:val="0"/>
          <w:divBdr>
            <w:top w:val="none" w:sz="0" w:space="0" w:color="auto"/>
            <w:left w:val="none" w:sz="0" w:space="0" w:color="auto"/>
            <w:bottom w:val="none" w:sz="0" w:space="0" w:color="auto"/>
            <w:right w:val="none" w:sz="0" w:space="0" w:color="auto"/>
          </w:divBdr>
        </w:div>
        <w:div w:id="1398625730">
          <w:marLeft w:val="0"/>
          <w:marRight w:val="0"/>
          <w:marTop w:val="0"/>
          <w:marBottom w:val="0"/>
          <w:divBdr>
            <w:top w:val="none" w:sz="0" w:space="0" w:color="auto"/>
            <w:left w:val="none" w:sz="0" w:space="0" w:color="auto"/>
            <w:bottom w:val="none" w:sz="0" w:space="0" w:color="auto"/>
            <w:right w:val="none" w:sz="0" w:space="0" w:color="auto"/>
          </w:divBdr>
        </w:div>
        <w:div w:id="1829324343">
          <w:marLeft w:val="0"/>
          <w:marRight w:val="0"/>
          <w:marTop w:val="0"/>
          <w:marBottom w:val="0"/>
          <w:divBdr>
            <w:top w:val="none" w:sz="0" w:space="0" w:color="auto"/>
            <w:left w:val="none" w:sz="0" w:space="0" w:color="auto"/>
            <w:bottom w:val="none" w:sz="0" w:space="0" w:color="auto"/>
            <w:right w:val="none" w:sz="0" w:space="0" w:color="auto"/>
          </w:divBdr>
        </w:div>
      </w:divsChild>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3191971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86969008">
          <w:marLeft w:val="0"/>
          <w:marRight w:val="0"/>
          <w:marTop w:val="0"/>
          <w:marBottom w:val="0"/>
          <w:divBdr>
            <w:top w:val="none" w:sz="0" w:space="0" w:color="auto"/>
            <w:left w:val="none" w:sz="0" w:space="0" w:color="auto"/>
            <w:bottom w:val="none" w:sz="0" w:space="0" w:color="auto"/>
            <w:right w:val="none" w:sz="0" w:space="0" w:color="auto"/>
          </w:divBdr>
        </w:div>
        <w:div w:id="1906448081">
          <w:marLeft w:val="0"/>
          <w:marRight w:val="0"/>
          <w:marTop w:val="0"/>
          <w:marBottom w:val="0"/>
          <w:divBdr>
            <w:top w:val="none" w:sz="0" w:space="0" w:color="auto"/>
            <w:left w:val="none" w:sz="0" w:space="0" w:color="auto"/>
            <w:bottom w:val="none" w:sz="0" w:space="0" w:color="auto"/>
            <w:right w:val="none" w:sz="0" w:space="0" w:color="auto"/>
          </w:divBdr>
        </w:div>
      </w:divsChild>
    </w:div>
    <w:div w:id="1608848868">
      <w:bodyDiv w:val="1"/>
      <w:marLeft w:val="0"/>
      <w:marRight w:val="0"/>
      <w:marTop w:val="0"/>
      <w:marBottom w:val="0"/>
      <w:divBdr>
        <w:top w:val="none" w:sz="0" w:space="0" w:color="auto"/>
        <w:left w:val="none" w:sz="0" w:space="0" w:color="auto"/>
        <w:bottom w:val="none" w:sz="0" w:space="0" w:color="auto"/>
        <w:right w:val="none" w:sz="0" w:space="0" w:color="auto"/>
      </w:divBdr>
    </w:div>
    <w:div w:id="1611431808">
      <w:bodyDiv w:val="1"/>
      <w:marLeft w:val="0"/>
      <w:marRight w:val="0"/>
      <w:marTop w:val="0"/>
      <w:marBottom w:val="0"/>
      <w:divBdr>
        <w:top w:val="none" w:sz="0" w:space="0" w:color="auto"/>
        <w:left w:val="none" w:sz="0" w:space="0" w:color="auto"/>
        <w:bottom w:val="none" w:sz="0" w:space="0" w:color="auto"/>
        <w:right w:val="none" w:sz="0" w:space="0" w:color="auto"/>
      </w:divBdr>
    </w:div>
    <w:div w:id="1666204497">
      <w:bodyDiv w:val="1"/>
      <w:marLeft w:val="0"/>
      <w:marRight w:val="0"/>
      <w:marTop w:val="0"/>
      <w:marBottom w:val="0"/>
      <w:divBdr>
        <w:top w:val="none" w:sz="0" w:space="0" w:color="auto"/>
        <w:left w:val="none" w:sz="0" w:space="0" w:color="auto"/>
        <w:bottom w:val="none" w:sz="0" w:space="0" w:color="auto"/>
        <w:right w:val="none" w:sz="0" w:space="0" w:color="auto"/>
      </w:divBdr>
    </w:div>
    <w:div w:id="1685591966">
      <w:bodyDiv w:val="1"/>
      <w:marLeft w:val="0"/>
      <w:marRight w:val="0"/>
      <w:marTop w:val="0"/>
      <w:marBottom w:val="0"/>
      <w:divBdr>
        <w:top w:val="none" w:sz="0" w:space="0" w:color="auto"/>
        <w:left w:val="none" w:sz="0" w:space="0" w:color="auto"/>
        <w:bottom w:val="none" w:sz="0" w:space="0" w:color="auto"/>
        <w:right w:val="none" w:sz="0" w:space="0" w:color="auto"/>
      </w:divBdr>
    </w:div>
    <w:div w:id="1706447827">
      <w:bodyDiv w:val="1"/>
      <w:marLeft w:val="0"/>
      <w:marRight w:val="0"/>
      <w:marTop w:val="0"/>
      <w:marBottom w:val="0"/>
      <w:divBdr>
        <w:top w:val="none" w:sz="0" w:space="0" w:color="auto"/>
        <w:left w:val="none" w:sz="0" w:space="0" w:color="auto"/>
        <w:bottom w:val="none" w:sz="0" w:space="0" w:color="auto"/>
        <w:right w:val="none" w:sz="0" w:space="0" w:color="auto"/>
      </w:divBdr>
    </w:div>
    <w:div w:id="1718042970">
      <w:bodyDiv w:val="1"/>
      <w:marLeft w:val="0"/>
      <w:marRight w:val="0"/>
      <w:marTop w:val="0"/>
      <w:marBottom w:val="0"/>
      <w:divBdr>
        <w:top w:val="none" w:sz="0" w:space="0" w:color="auto"/>
        <w:left w:val="none" w:sz="0" w:space="0" w:color="auto"/>
        <w:bottom w:val="none" w:sz="0" w:space="0" w:color="auto"/>
        <w:right w:val="none" w:sz="0" w:space="0" w:color="auto"/>
      </w:divBdr>
    </w:div>
    <w:div w:id="1807117030">
      <w:bodyDiv w:val="1"/>
      <w:marLeft w:val="0"/>
      <w:marRight w:val="0"/>
      <w:marTop w:val="0"/>
      <w:marBottom w:val="0"/>
      <w:divBdr>
        <w:top w:val="none" w:sz="0" w:space="0" w:color="auto"/>
        <w:left w:val="none" w:sz="0" w:space="0" w:color="auto"/>
        <w:bottom w:val="none" w:sz="0" w:space="0" w:color="auto"/>
        <w:right w:val="none" w:sz="0" w:space="0" w:color="auto"/>
      </w:divBdr>
    </w:div>
    <w:div w:id="1882597733">
      <w:bodyDiv w:val="1"/>
      <w:marLeft w:val="0"/>
      <w:marRight w:val="0"/>
      <w:marTop w:val="0"/>
      <w:marBottom w:val="0"/>
      <w:divBdr>
        <w:top w:val="none" w:sz="0" w:space="0" w:color="auto"/>
        <w:left w:val="none" w:sz="0" w:space="0" w:color="auto"/>
        <w:bottom w:val="none" w:sz="0" w:space="0" w:color="auto"/>
        <w:right w:val="none" w:sz="0" w:space="0" w:color="auto"/>
      </w:divBdr>
    </w:div>
    <w:div w:id="18958455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75590523">
          <w:marLeft w:val="0"/>
          <w:marRight w:val="0"/>
          <w:marTop w:val="0"/>
          <w:marBottom w:val="0"/>
          <w:divBdr>
            <w:top w:val="none" w:sz="0" w:space="0" w:color="auto"/>
            <w:left w:val="none" w:sz="0" w:space="0" w:color="auto"/>
            <w:bottom w:val="none" w:sz="0" w:space="0" w:color="auto"/>
            <w:right w:val="none" w:sz="0" w:space="0" w:color="auto"/>
          </w:divBdr>
        </w:div>
        <w:div w:id="545676871">
          <w:marLeft w:val="0"/>
          <w:marRight w:val="0"/>
          <w:marTop w:val="0"/>
          <w:marBottom w:val="0"/>
          <w:divBdr>
            <w:top w:val="none" w:sz="0" w:space="0" w:color="auto"/>
            <w:left w:val="none" w:sz="0" w:space="0" w:color="auto"/>
            <w:bottom w:val="none" w:sz="0" w:space="0" w:color="auto"/>
            <w:right w:val="none" w:sz="0" w:space="0" w:color="auto"/>
          </w:divBdr>
        </w:div>
        <w:div w:id="2103986889">
          <w:marLeft w:val="0"/>
          <w:marRight w:val="0"/>
          <w:marTop w:val="0"/>
          <w:marBottom w:val="0"/>
          <w:divBdr>
            <w:top w:val="none" w:sz="0" w:space="0" w:color="auto"/>
            <w:left w:val="none" w:sz="0" w:space="0" w:color="auto"/>
            <w:bottom w:val="none" w:sz="0" w:space="0" w:color="auto"/>
            <w:right w:val="none" w:sz="0" w:space="0" w:color="auto"/>
          </w:divBdr>
        </w:div>
      </w:divsChild>
    </w:div>
    <w:div w:id="1910337024">
      <w:bodyDiv w:val="1"/>
      <w:marLeft w:val="0"/>
      <w:marRight w:val="0"/>
      <w:marTop w:val="0"/>
      <w:marBottom w:val="0"/>
      <w:divBdr>
        <w:top w:val="none" w:sz="0" w:space="0" w:color="auto"/>
        <w:left w:val="none" w:sz="0" w:space="0" w:color="auto"/>
        <w:bottom w:val="none" w:sz="0" w:space="0" w:color="auto"/>
        <w:right w:val="none" w:sz="0" w:space="0" w:color="auto"/>
      </w:divBdr>
    </w:div>
    <w:div w:id="1919943596">
      <w:bodyDiv w:val="1"/>
      <w:marLeft w:val="0"/>
      <w:marRight w:val="0"/>
      <w:marTop w:val="0"/>
      <w:marBottom w:val="0"/>
      <w:divBdr>
        <w:top w:val="none" w:sz="0" w:space="0" w:color="auto"/>
        <w:left w:val="none" w:sz="0" w:space="0" w:color="auto"/>
        <w:bottom w:val="none" w:sz="0" w:space="0" w:color="auto"/>
        <w:right w:val="none" w:sz="0" w:space="0" w:color="auto"/>
      </w:divBdr>
    </w:div>
    <w:div w:id="1922984485">
      <w:bodyDiv w:val="1"/>
      <w:marLeft w:val="120"/>
      <w:marRight w:val="120"/>
      <w:marTop w:val="0"/>
      <w:marBottom w:val="0"/>
      <w:divBdr>
        <w:top w:val="none" w:sz="0" w:space="0" w:color="auto"/>
        <w:left w:val="none" w:sz="0" w:space="0" w:color="auto"/>
        <w:bottom w:val="none" w:sz="0" w:space="0" w:color="auto"/>
        <w:right w:val="none" w:sz="0" w:space="0" w:color="auto"/>
      </w:divBdr>
      <w:divsChild>
        <w:div w:id="1194684563">
          <w:marLeft w:val="0"/>
          <w:marRight w:val="0"/>
          <w:marTop w:val="120"/>
          <w:marBottom w:val="120"/>
          <w:divBdr>
            <w:top w:val="none" w:sz="0" w:space="0" w:color="auto"/>
            <w:left w:val="none" w:sz="0" w:space="0" w:color="auto"/>
            <w:bottom w:val="none" w:sz="0" w:space="0" w:color="auto"/>
            <w:right w:val="none" w:sz="0" w:space="0" w:color="auto"/>
          </w:divBdr>
          <w:divsChild>
            <w:div w:id="930118213">
              <w:marLeft w:val="0"/>
              <w:marRight w:val="0"/>
              <w:marTop w:val="0"/>
              <w:marBottom w:val="0"/>
              <w:divBdr>
                <w:top w:val="none" w:sz="0" w:space="0" w:color="auto"/>
                <w:left w:val="none" w:sz="0" w:space="0" w:color="auto"/>
                <w:bottom w:val="none" w:sz="0" w:space="0" w:color="auto"/>
                <w:right w:val="none" w:sz="0" w:space="0" w:color="auto"/>
              </w:divBdr>
              <w:divsChild>
                <w:div w:id="1238973192">
                  <w:marLeft w:val="0"/>
                  <w:marRight w:val="0"/>
                  <w:marTop w:val="0"/>
                  <w:marBottom w:val="0"/>
                  <w:divBdr>
                    <w:top w:val="none" w:sz="0" w:space="0" w:color="auto"/>
                    <w:left w:val="none" w:sz="0" w:space="0" w:color="auto"/>
                    <w:bottom w:val="none" w:sz="0" w:space="0" w:color="auto"/>
                    <w:right w:val="none" w:sz="0" w:space="0" w:color="auto"/>
                  </w:divBdr>
                  <w:divsChild>
                    <w:div w:id="1606843052">
                      <w:marLeft w:val="0"/>
                      <w:marRight w:val="0"/>
                      <w:marTop w:val="0"/>
                      <w:marBottom w:val="0"/>
                      <w:divBdr>
                        <w:top w:val="none" w:sz="0" w:space="0" w:color="auto"/>
                        <w:left w:val="none" w:sz="0" w:space="0" w:color="auto"/>
                        <w:bottom w:val="none" w:sz="0" w:space="0" w:color="auto"/>
                        <w:right w:val="none" w:sz="0" w:space="0" w:color="auto"/>
                      </w:divBdr>
                      <w:divsChild>
                        <w:div w:id="230623342">
                          <w:marLeft w:val="0"/>
                          <w:marRight w:val="0"/>
                          <w:marTop w:val="225"/>
                          <w:marBottom w:val="0"/>
                          <w:divBdr>
                            <w:top w:val="none" w:sz="0" w:space="0" w:color="auto"/>
                            <w:left w:val="none" w:sz="0" w:space="0" w:color="auto"/>
                            <w:bottom w:val="none" w:sz="0" w:space="0" w:color="auto"/>
                            <w:right w:val="none" w:sz="0" w:space="0" w:color="auto"/>
                          </w:divBdr>
                          <w:divsChild>
                            <w:div w:id="1743333993">
                              <w:marLeft w:val="0"/>
                              <w:marRight w:val="0"/>
                              <w:marTop w:val="0"/>
                              <w:marBottom w:val="0"/>
                              <w:divBdr>
                                <w:top w:val="none" w:sz="0" w:space="0" w:color="auto"/>
                                <w:left w:val="none" w:sz="0" w:space="0" w:color="auto"/>
                                <w:bottom w:val="none" w:sz="0" w:space="0" w:color="auto"/>
                                <w:right w:val="none" w:sz="0" w:space="0" w:color="auto"/>
                              </w:divBdr>
                              <w:divsChild>
                                <w:div w:id="460075017">
                                  <w:marLeft w:val="0"/>
                                  <w:marRight w:val="0"/>
                                  <w:marTop w:val="0"/>
                                  <w:marBottom w:val="0"/>
                                  <w:divBdr>
                                    <w:top w:val="none" w:sz="0" w:space="0" w:color="auto"/>
                                    <w:left w:val="none" w:sz="0" w:space="0" w:color="auto"/>
                                    <w:bottom w:val="none" w:sz="0" w:space="0" w:color="auto"/>
                                    <w:right w:val="none" w:sz="0" w:space="0" w:color="auto"/>
                                  </w:divBdr>
                                  <w:divsChild>
                                    <w:div w:id="1956017851">
                                      <w:marLeft w:val="-4500"/>
                                      <w:marRight w:val="0"/>
                                      <w:marTop w:val="0"/>
                                      <w:marBottom w:val="0"/>
                                      <w:divBdr>
                                        <w:top w:val="none" w:sz="0" w:space="0" w:color="auto"/>
                                        <w:left w:val="none" w:sz="0" w:space="0" w:color="auto"/>
                                        <w:bottom w:val="none" w:sz="0" w:space="0" w:color="auto"/>
                                        <w:right w:val="none" w:sz="0" w:space="0" w:color="auto"/>
                                      </w:divBdr>
                                      <w:divsChild>
                                        <w:div w:id="839199950">
                                          <w:marLeft w:val="4500"/>
                                          <w:marRight w:val="0"/>
                                          <w:marTop w:val="0"/>
                                          <w:marBottom w:val="0"/>
                                          <w:divBdr>
                                            <w:top w:val="none" w:sz="0" w:space="0" w:color="auto"/>
                                            <w:left w:val="none" w:sz="0" w:space="0" w:color="auto"/>
                                            <w:bottom w:val="none" w:sz="0" w:space="0" w:color="auto"/>
                                            <w:right w:val="none" w:sz="0" w:space="0" w:color="auto"/>
                                          </w:divBdr>
                                          <w:divsChild>
                                            <w:div w:id="159275085">
                                              <w:marLeft w:val="0"/>
                                              <w:marRight w:val="0"/>
                                              <w:marTop w:val="0"/>
                                              <w:marBottom w:val="0"/>
                                              <w:divBdr>
                                                <w:top w:val="none" w:sz="0" w:space="0" w:color="auto"/>
                                                <w:left w:val="none" w:sz="0" w:space="0" w:color="auto"/>
                                                <w:bottom w:val="none" w:sz="0" w:space="0" w:color="auto"/>
                                                <w:right w:val="none" w:sz="0" w:space="0" w:color="auto"/>
                                              </w:divBdr>
                                              <w:divsChild>
                                                <w:div w:id="1019045512">
                                                  <w:marLeft w:val="0"/>
                                                  <w:marRight w:val="0"/>
                                                  <w:marTop w:val="0"/>
                                                  <w:marBottom w:val="0"/>
                                                  <w:divBdr>
                                                    <w:top w:val="none" w:sz="0" w:space="0" w:color="auto"/>
                                                    <w:left w:val="none" w:sz="0" w:space="0" w:color="auto"/>
                                                    <w:bottom w:val="none" w:sz="0" w:space="0" w:color="auto"/>
                                                    <w:right w:val="none" w:sz="0" w:space="0" w:color="auto"/>
                                                  </w:divBdr>
                                                  <w:divsChild>
                                                    <w:div w:id="947934055">
                                                      <w:marLeft w:val="0"/>
                                                      <w:marRight w:val="0"/>
                                                      <w:marTop w:val="0"/>
                                                      <w:marBottom w:val="0"/>
                                                      <w:divBdr>
                                                        <w:top w:val="none" w:sz="0" w:space="0" w:color="auto"/>
                                                        <w:left w:val="none" w:sz="0" w:space="0" w:color="auto"/>
                                                        <w:bottom w:val="none" w:sz="0" w:space="0" w:color="auto"/>
                                                        <w:right w:val="none" w:sz="0" w:space="0" w:color="auto"/>
                                                      </w:divBdr>
                                                      <w:divsChild>
                                                        <w:div w:id="7522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2135">
      <w:bodyDiv w:val="1"/>
      <w:marLeft w:val="0"/>
      <w:marRight w:val="0"/>
      <w:marTop w:val="0"/>
      <w:marBottom w:val="0"/>
      <w:divBdr>
        <w:top w:val="none" w:sz="0" w:space="0" w:color="auto"/>
        <w:left w:val="none" w:sz="0" w:space="0" w:color="auto"/>
        <w:bottom w:val="none" w:sz="0" w:space="0" w:color="auto"/>
        <w:right w:val="none" w:sz="0" w:space="0" w:color="auto"/>
      </w:divBdr>
    </w:div>
    <w:div w:id="1934166036">
      <w:bodyDiv w:val="1"/>
      <w:marLeft w:val="0"/>
      <w:marRight w:val="0"/>
      <w:marTop w:val="0"/>
      <w:marBottom w:val="0"/>
      <w:divBdr>
        <w:top w:val="none" w:sz="0" w:space="0" w:color="auto"/>
        <w:left w:val="none" w:sz="0" w:space="0" w:color="auto"/>
        <w:bottom w:val="none" w:sz="0" w:space="0" w:color="auto"/>
        <w:right w:val="none" w:sz="0" w:space="0" w:color="auto"/>
      </w:divBdr>
    </w:div>
    <w:div w:id="1938513916">
      <w:bodyDiv w:val="1"/>
      <w:marLeft w:val="0"/>
      <w:marRight w:val="0"/>
      <w:marTop w:val="0"/>
      <w:marBottom w:val="0"/>
      <w:divBdr>
        <w:top w:val="none" w:sz="0" w:space="0" w:color="auto"/>
        <w:left w:val="none" w:sz="0" w:space="0" w:color="auto"/>
        <w:bottom w:val="none" w:sz="0" w:space="0" w:color="auto"/>
        <w:right w:val="none" w:sz="0" w:space="0" w:color="auto"/>
      </w:divBdr>
    </w:div>
    <w:div w:id="1947927833">
      <w:bodyDiv w:val="1"/>
      <w:marLeft w:val="0"/>
      <w:marRight w:val="0"/>
      <w:marTop w:val="0"/>
      <w:marBottom w:val="0"/>
      <w:divBdr>
        <w:top w:val="none" w:sz="0" w:space="0" w:color="auto"/>
        <w:left w:val="none" w:sz="0" w:space="0" w:color="auto"/>
        <w:bottom w:val="none" w:sz="0" w:space="0" w:color="auto"/>
        <w:right w:val="none" w:sz="0" w:space="0" w:color="auto"/>
      </w:divBdr>
    </w:div>
    <w:div w:id="1951432189">
      <w:bodyDiv w:val="1"/>
      <w:marLeft w:val="0"/>
      <w:marRight w:val="0"/>
      <w:marTop w:val="0"/>
      <w:marBottom w:val="0"/>
      <w:divBdr>
        <w:top w:val="none" w:sz="0" w:space="0" w:color="auto"/>
        <w:left w:val="none" w:sz="0" w:space="0" w:color="auto"/>
        <w:bottom w:val="none" w:sz="0" w:space="0" w:color="auto"/>
        <w:right w:val="none" w:sz="0" w:space="0" w:color="auto"/>
      </w:divBdr>
    </w:div>
    <w:div w:id="2007174442">
      <w:bodyDiv w:val="1"/>
      <w:marLeft w:val="0"/>
      <w:marRight w:val="0"/>
      <w:marTop w:val="0"/>
      <w:marBottom w:val="0"/>
      <w:divBdr>
        <w:top w:val="none" w:sz="0" w:space="0" w:color="auto"/>
        <w:left w:val="none" w:sz="0" w:space="0" w:color="auto"/>
        <w:bottom w:val="none" w:sz="0" w:space="0" w:color="auto"/>
        <w:right w:val="none" w:sz="0" w:space="0" w:color="auto"/>
      </w:divBdr>
    </w:div>
    <w:div w:id="2013338707">
      <w:bodyDiv w:val="1"/>
      <w:marLeft w:val="0"/>
      <w:marRight w:val="0"/>
      <w:marTop w:val="0"/>
      <w:marBottom w:val="0"/>
      <w:divBdr>
        <w:top w:val="none" w:sz="0" w:space="0" w:color="auto"/>
        <w:left w:val="none" w:sz="0" w:space="0" w:color="auto"/>
        <w:bottom w:val="none" w:sz="0" w:space="0" w:color="auto"/>
        <w:right w:val="none" w:sz="0" w:space="0" w:color="auto"/>
      </w:divBdr>
    </w:div>
    <w:div w:id="2016640983">
      <w:bodyDiv w:val="1"/>
      <w:marLeft w:val="0"/>
      <w:marRight w:val="0"/>
      <w:marTop w:val="0"/>
      <w:marBottom w:val="0"/>
      <w:divBdr>
        <w:top w:val="none" w:sz="0" w:space="0" w:color="auto"/>
        <w:left w:val="none" w:sz="0" w:space="0" w:color="auto"/>
        <w:bottom w:val="none" w:sz="0" w:space="0" w:color="auto"/>
        <w:right w:val="none" w:sz="0" w:space="0" w:color="auto"/>
      </w:divBdr>
    </w:div>
    <w:div w:id="2080709181">
      <w:bodyDiv w:val="1"/>
      <w:marLeft w:val="0"/>
      <w:marRight w:val="0"/>
      <w:marTop w:val="0"/>
      <w:marBottom w:val="0"/>
      <w:divBdr>
        <w:top w:val="none" w:sz="0" w:space="0" w:color="auto"/>
        <w:left w:val="none" w:sz="0" w:space="0" w:color="auto"/>
        <w:bottom w:val="none" w:sz="0" w:space="0" w:color="auto"/>
        <w:right w:val="none" w:sz="0" w:space="0" w:color="auto"/>
      </w:divBdr>
    </w:div>
    <w:div w:id="2129354568">
      <w:bodyDiv w:val="1"/>
      <w:marLeft w:val="0"/>
      <w:marRight w:val="0"/>
      <w:marTop w:val="0"/>
      <w:marBottom w:val="0"/>
      <w:divBdr>
        <w:top w:val="none" w:sz="0" w:space="0" w:color="auto"/>
        <w:left w:val="none" w:sz="0" w:space="0" w:color="auto"/>
        <w:bottom w:val="none" w:sz="0" w:space="0" w:color="auto"/>
        <w:right w:val="none" w:sz="0" w:space="0" w:color="auto"/>
      </w:divBdr>
      <w:divsChild>
        <w:div w:id="1151408293">
          <w:marLeft w:val="0"/>
          <w:marRight w:val="0"/>
          <w:marTop w:val="0"/>
          <w:marBottom w:val="0"/>
          <w:divBdr>
            <w:top w:val="none" w:sz="0" w:space="0" w:color="auto"/>
            <w:left w:val="none" w:sz="0" w:space="0" w:color="auto"/>
            <w:bottom w:val="none" w:sz="0" w:space="0" w:color="auto"/>
            <w:right w:val="none" w:sz="0" w:space="0" w:color="auto"/>
          </w:divBdr>
          <w:divsChild>
            <w:div w:id="699940006">
              <w:marLeft w:val="0"/>
              <w:marRight w:val="0"/>
              <w:marTop w:val="0"/>
              <w:marBottom w:val="0"/>
              <w:divBdr>
                <w:top w:val="none" w:sz="0" w:space="0" w:color="auto"/>
                <w:left w:val="none" w:sz="0" w:space="0" w:color="auto"/>
                <w:bottom w:val="none" w:sz="0" w:space="0" w:color="auto"/>
                <w:right w:val="none" w:sz="0" w:space="0" w:color="auto"/>
              </w:divBdr>
              <w:divsChild>
                <w:div w:id="1215390918">
                  <w:marLeft w:val="0"/>
                  <w:marRight w:val="0"/>
                  <w:marTop w:val="0"/>
                  <w:marBottom w:val="0"/>
                  <w:divBdr>
                    <w:top w:val="none" w:sz="0" w:space="0" w:color="auto"/>
                    <w:left w:val="none" w:sz="0" w:space="0" w:color="auto"/>
                    <w:bottom w:val="none" w:sz="0" w:space="0" w:color="auto"/>
                    <w:right w:val="none" w:sz="0" w:space="0" w:color="auto"/>
                  </w:divBdr>
                  <w:divsChild>
                    <w:div w:id="132986909">
                      <w:marLeft w:val="0"/>
                      <w:marRight w:val="0"/>
                      <w:marTop w:val="0"/>
                      <w:marBottom w:val="0"/>
                      <w:divBdr>
                        <w:top w:val="none" w:sz="0" w:space="0" w:color="auto"/>
                        <w:left w:val="none" w:sz="0" w:space="0" w:color="auto"/>
                        <w:bottom w:val="none" w:sz="0" w:space="0" w:color="auto"/>
                        <w:right w:val="none" w:sz="0" w:space="0" w:color="auto"/>
                      </w:divBdr>
                      <w:divsChild>
                        <w:div w:id="543296293">
                          <w:marLeft w:val="0"/>
                          <w:marRight w:val="0"/>
                          <w:marTop w:val="0"/>
                          <w:marBottom w:val="0"/>
                          <w:divBdr>
                            <w:top w:val="none" w:sz="0" w:space="0" w:color="auto"/>
                            <w:left w:val="none" w:sz="0" w:space="0" w:color="auto"/>
                            <w:bottom w:val="none" w:sz="0" w:space="0" w:color="auto"/>
                            <w:right w:val="none" w:sz="0" w:space="0" w:color="auto"/>
                          </w:divBdr>
                          <w:divsChild>
                            <w:div w:id="735012175">
                              <w:marLeft w:val="0"/>
                              <w:marRight w:val="0"/>
                              <w:marTop w:val="0"/>
                              <w:marBottom w:val="0"/>
                              <w:divBdr>
                                <w:top w:val="none" w:sz="0" w:space="0" w:color="auto"/>
                                <w:left w:val="none" w:sz="0" w:space="0" w:color="auto"/>
                                <w:bottom w:val="none" w:sz="0" w:space="0" w:color="auto"/>
                                <w:right w:val="none" w:sz="0" w:space="0" w:color="auto"/>
                              </w:divBdr>
                              <w:divsChild>
                                <w:div w:id="1665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2013/T-747-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650CE-58FC-4F04-982C-04AACCCF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D5BD-2F02-460B-B935-67F078A0264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BF98250-34BB-465A-AC2B-26D5FCEDAFE3}">
  <ds:schemaRefs>
    <ds:schemaRef ds:uri="http://schemas.openxmlformats.org/officeDocument/2006/bibliography"/>
  </ds:schemaRefs>
</ds:datastoreItem>
</file>

<file path=customXml/itemProps4.xml><?xml version="1.0" encoding="utf-8"?>
<ds:datastoreItem xmlns:ds="http://schemas.openxmlformats.org/officeDocument/2006/customXml" ds:itemID="{BB2516AE-AED4-49AB-8BFB-3F98BEC44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8493</Words>
  <Characters>46712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Judicatura</Company>
  <LinksUpToDate>false</LinksUpToDate>
  <CharactersWithSpaces>55095</CharactersWithSpaces>
  <SharedDoc>false</SharedDoc>
  <HLinks>
    <vt:vector size="6" baseType="variant">
      <vt:variant>
        <vt:i4>6291464</vt:i4>
      </vt:variant>
      <vt:variant>
        <vt:i4>0</vt:i4>
      </vt:variant>
      <vt:variant>
        <vt:i4>0</vt:i4>
      </vt:variant>
      <vt:variant>
        <vt:i4>5</vt:i4>
      </vt:variant>
      <vt:variant>
        <vt:lpwstr>http://www.corteconstitucional.gov.co/relatoria/2013/T-747-13.htm</vt:lpwstr>
      </vt:variant>
      <vt:variant>
        <vt:lpwstr>_ftn20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A_J1S305</dc:creator>
  <cp:keywords/>
  <dc:description/>
  <cp:lastModifiedBy>Carlos Mario Castrillón Endo</cp:lastModifiedBy>
  <cp:revision>2</cp:revision>
  <cp:lastPrinted>2019-03-18T17:15:00Z</cp:lastPrinted>
  <dcterms:created xsi:type="dcterms:W3CDTF">2020-07-02T21:38:00Z</dcterms:created>
  <dcterms:modified xsi:type="dcterms:W3CDTF">2020-07-02T21:38:00Z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-1639036486</vt:i4>
  </property>
  <property fmtid="{D5CDD505-2E9C-101B-9397-08002B2CF9AE}" pid="3" name="ContentTypeId">
    <vt:lpwstr>0x010100F2E0F32964D9B84EA054B84E5D4157A0</vt:lpwstr>
  </property>
</Properties>
</file>