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02E9" w14:textId="67905A51" w:rsidR="00B15C7D" w:rsidRPr="00313CB7" w:rsidRDefault="00B15C7D" w:rsidP="00B15C7D">
      <w:pPr>
        <w:jc w:val="both"/>
        <w:rPr>
          <w:rFonts w:ascii="Arial" w:hAnsi="Arial" w:cs="Arial"/>
        </w:rPr>
      </w:pPr>
      <w:r w:rsidRPr="00313CB7">
        <w:rPr>
          <w:rFonts w:ascii="Arial" w:hAnsi="Arial" w:cs="Arial"/>
          <w:b/>
        </w:rPr>
        <w:t>PRUEBA PERICIAL</w:t>
      </w:r>
      <w:r w:rsidR="006C2973" w:rsidRPr="00313CB7">
        <w:rPr>
          <w:rFonts w:ascii="Arial" w:hAnsi="Arial" w:cs="Arial"/>
          <w:b/>
        </w:rPr>
        <w:t xml:space="preserve"> </w:t>
      </w:r>
      <w:r w:rsidRPr="00313CB7">
        <w:rPr>
          <w:rFonts w:ascii="Arial" w:hAnsi="Arial" w:cs="Arial"/>
          <w:b/>
        </w:rPr>
        <w:t xml:space="preserve">- </w:t>
      </w:r>
      <w:r w:rsidRPr="00313CB7">
        <w:rPr>
          <w:rFonts w:ascii="Arial" w:hAnsi="Arial" w:cs="Arial"/>
          <w:b/>
          <w:bCs/>
        </w:rPr>
        <w:t>Procedencia</w:t>
      </w:r>
      <w:r w:rsidR="00D62B82" w:rsidRPr="00313CB7">
        <w:rPr>
          <w:rFonts w:ascii="Arial" w:hAnsi="Arial" w:cs="Arial"/>
          <w:b/>
          <w:bCs/>
        </w:rPr>
        <w:t xml:space="preserve"> </w:t>
      </w:r>
      <w:r w:rsidR="006C2973" w:rsidRPr="00313CB7">
        <w:rPr>
          <w:rFonts w:ascii="Arial" w:hAnsi="Arial" w:cs="Arial"/>
          <w:b/>
          <w:bCs/>
        </w:rPr>
        <w:t>- V</w:t>
      </w:r>
      <w:r w:rsidR="00D62B82" w:rsidRPr="00313CB7">
        <w:rPr>
          <w:rFonts w:ascii="Arial" w:hAnsi="Arial" w:cs="Arial"/>
          <w:b/>
          <w:bCs/>
        </w:rPr>
        <w:t>aloración</w:t>
      </w:r>
    </w:p>
    <w:p w14:paraId="019BB2B6" w14:textId="77777777" w:rsidR="00B15C7D" w:rsidRPr="00313CB7" w:rsidRDefault="00B15C7D" w:rsidP="00B15C7D">
      <w:pPr>
        <w:jc w:val="both"/>
        <w:rPr>
          <w:rFonts w:ascii="Arial" w:hAnsi="Arial" w:cs="Arial"/>
        </w:rPr>
      </w:pPr>
    </w:p>
    <w:p w14:paraId="4D23B294" w14:textId="77777777" w:rsidR="00B15C7D" w:rsidRPr="00313CB7" w:rsidRDefault="00B15C7D" w:rsidP="00B15C7D">
      <w:pPr>
        <w:jc w:val="both"/>
        <w:rPr>
          <w:rFonts w:ascii="Arial" w:hAnsi="Arial" w:cs="Arial"/>
        </w:rPr>
      </w:pPr>
      <w:r w:rsidRPr="00313CB7">
        <w:rPr>
          <w:rFonts w:ascii="Arial" w:hAnsi="Arial" w:cs="Arial"/>
        </w:rPr>
        <w:t>En los términos del artículo 233 del CPC, la prueba pericial procede en aquellos casos en que se necesiten especiales conocimientos científicos, técnicos o artísticos, para verificar ciertos hechos que interesan al proceso.</w:t>
      </w:r>
      <w:r w:rsidR="00D62B82" w:rsidRPr="00313CB7">
        <w:rPr>
          <w:rFonts w:ascii="Arial" w:hAnsi="Arial" w:cs="Arial"/>
        </w:rPr>
        <w:t xml:space="preserve"> </w:t>
      </w:r>
      <w:r w:rsidRPr="00313CB7">
        <w:rPr>
          <w:rFonts w:ascii="Arial" w:hAnsi="Arial" w:cs="Arial"/>
        </w:rPr>
        <w:t>Sobre la apreciación del dictamen, el artículo 241 del CPC establece que el juez debe valorar el dictamen pericial a la luz de la sana crítica y las reglas de la experiencia, con el fin de acogerlo total o parcialmente. De igual manera, el juez puede desechar los resultados del dictamen pericial, siempre que no sea claro, preciso y detallado y no reúna las condiciones para adquirir eficacia probatoria, condiciones que consisten en: (1) la conducencia en relación con el hecho por probar; (2) que el perito sea competente, es decir, un verdadero experto para el desempeño del cargo; (3) que no exista un motivo serio para dudar de la imparcialidad del perito; (4) que el dictamen esté debidamente fundamentado y sus conclusiones sean claras, firmes y sean consecuencia de las razones expuestas; (5) que la prueba haya surtido contradicción. Así mismo, el juez debe tener en cuenta los demás medios probatorios que obren en el proceso.</w:t>
      </w:r>
    </w:p>
    <w:p w14:paraId="6D86B606" w14:textId="77777777" w:rsidR="00B15C7D" w:rsidRPr="00313CB7" w:rsidRDefault="00B15C7D" w:rsidP="00B15C7D">
      <w:pPr>
        <w:jc w:val="both"/>
        <w:rPr>
          <w:rFonts w:ascii="Arial" w:hAnsi="Arial" w:cs="Arial"/>
        </w:rPr>
      </w:pPr>
    </w:p>
    <w:p w14:paraId="6401FCD0" w14:textId="26BD6C4A" w:rsidR="00B15C7D" w:rsidRPr="00313CB7" w:rsidRDefault="00B15C7D" w:rsidP="00B15C7D">
      <w:pPr>
        <w:jc w:val="both"/>
        <w:rPr>
          <w:rFonts w:ascii="Arial" w:hAnsi="Arial" w:cs="Arial"/>
        </w:rPr>
      </w:pPr>
      <w:r w:rsidRPr="00313CB7">
        <w:rPr>
          <w:rFonts w:ascii="Arial" w:hAnsi="Arial" w:cs="Arial"/>
          <w:b/>
        </w:rPr>
        <w:t>PRUEBA PERICIAL</w:t>
      </w:r>
      <w:r w:rsidR="006C2973" w:rsidRPr="00313CB7">
        <w:rPr>
          <w:rFonts w:ascii="Arial" w:hAnsi="Arial" w:cs="Arial"/>
          <w:b/>
        </w:rPr>
        <w:t xml:space="preserve"> </w:t>
      </w:r>
      <w:r w:rsidRPr="00313CB7">
        <w:rPr>
          <w:rFonts w:ascii="Arial" w:hAnsi="Arial" w:cs="Arial"/>
          <w:b/>
        </w:rPr>
        <w:t>-</w:t>
      </w:r>
      <w:r w:rsidR="00952339" w:rsidRPr="00313CB7">
        <w:rPr>
          <w:rFonts w:ascii="Arial" w:hAnsi="Arial" w:cs="Arial"/>
          <w:b/>
        </w:rPr>
        <w:t xml:space="preserve"> Contradicción -</w:t>
      </w:r>
      <w:r w:rsidRPr="00313CB7">
        <w:rPr>
          <w:rFonts w:ascii="Arial" w:hAnsi="Arial" w:cs="Arial"/>
          <w:b/>
        </w:rPr>
        <w:t xml:space="preserve"> Objeción </w:t>
      </w:r>
      <w:r w:rsidR="006C2973" w:rsidRPr="00313CB7">
        <w:rPr>
          <w:rFonts w:ascii="Arial" w:hAnsi="Arial" w:cs="Arial"/>
          <w:b/>
        </w:rPr>
        <w:t>- E</w:t>
      </w:r>
      <w:r w:rsidRPr="00313CB7">
        <w:rPr>
          <w:rFonts w:ascii="Arial" w:hAnsi="Arial" w:cs="Arial"/>
          <w:b/>
        </w:rPr>
        <w:t>rror grave</w:t>
      </w:r>
    </w:p>
    <w:p w14:paraId="3B4CA27C" w14:textId="77777777" w:rsidR="00B15C7D" w:rsidRPr="00313CB7" w:rsidRDefault="00B15C7D" w:rsidP="00B15C7D">
      <w:pPr>
        <w:jc w:val="both"/>
        <w:rPr>
          <w:rFonts w:ascii="Arial" w:hAnsi="Arial" w:cs="Arial"/>
        </w:rPr>
      </w:pPr>
    </w:p>
    <w:p w14:paraId="0602509B" w14:textId="77777777" w:rsidR="00B15C7D" w:rsidRPr="00313CB7" w:rsidRDefault="00D62B82" w:rsidP="00B15C7D">
      <w:pPr>
        <w:jc w:val="both"/>
        <w:rPr>
          <w:rFonts w:ascii="Arial" w:hAnsi="Arial" w:cs="Arial"/>
        </w:rPr>
      </w:pPr>
      <w:r w:rsidRPr="00313CB7">
        <w:rPr>
          <w:rFonts w:ascii="Arial" w:hAnsi="Arial" w:cs="Arial"/>
        </w:rPr>
        <w:t xml:space="preserve">De conformidad con el numeral 4 del artículo 238 del CPC, cualquiera de las partes de un proceso judicial puede hacer manifiesto su desacuerdo con el trabajo del experto y señalar los motivos por los cuales considera que el dictamen se equivocó de manera grave. </w:t>
      </w:r>
      <w:r w:rsidR="00B15C7D" w:rsidRPr="00313CB7">
        <w:rPr>
          <w:rFonts w:ascii="Arial" w:hAnsi="Arial" w:cs="Arial"/>
        </w:rPr>
        <w:t>Para que se configure el error grave en el dictamen pericial se requiere de una equivocación que pueda llevar tal calificativo, es decir, una falla o equivocación con la entidad suficiente para llegar a conclusiones igualmente equivocadas, tal y como lo exigen los numerales 4 y 5 del artículo 238 del CPC. Ahora, la prosperidad de la objeción por error grave supone que el objetante acredite las circunstancias que, a su juicio, originan el error. Para ello puede solicitar las pruebas que estime pertinentes o, si lo considera suficiente, esgrimir los argumentos que fundamentan su objeción. Esta Corporación ha sostenido que la objeción por error grave debe referirse al objeto de la peritación y no a la conclusión de los expertos.</w:t>
      </w:r>
    </w:p>
    <w:p w14:paraId="21DB10D1" w14:textId="77777777" w:rsidR="00B15C7D" w:rsidRPr="00313CB7" w:rsidRDefault="00B15C7D" w:rsidP="00B15C7D">
      <w:pPr>
        <w:jc w:val="both"/>
        <w:rPr>
          <w:rFonts w:ascii="Arial" w:hAnsi="Arial" w:cs="Arial"/>
        </w:rPr>
      </w:pPr>
    </w:p>
    <w:p w14:paraId="6C20F8D7" w14:textId="1BBF0EB3" w:rsidR="00B15C7D" w:rsidRPr="00313CB7" w:rsidRDefault="00B15C7D" w:rsidP="00B15C7D">
      <w:pPr>
        <w:jc w:val="both"/>
        <w:rPr>
          <w:rFonts w:ascii="Arial" w:hAnsi="Arial" w:cs="Arial"/>
          <w:b/>
        </w:rPr>
      </w:pPr>
      <w:r w:rsidRPr="00313CB7">
        <w:rPr>
          <w:rFonts w:ascii="Arial" w:hAnsi="Arial" w:cs="Arial"/>
          <w:b/>
        </w:rPr>
        <w:t>PRUEBA PERICIAL</w:t>
      </w:r>
      <w:r w:rsidR="006C2973" w:rsidRPr="00313CB7">
        <w:rPr>
          <w:rFonts w:ascii="Arial" w:hAnsi="Arial" w:cs="Arial"/>
          <w:b/>
        </w:rPr>
        <w:t xml:space="preserve"> </w:t>
      </w:r>
      <w:r w:rsidRPr="00313CB7">
        <w:rPr>
          <w:rFonts w:ascii="Arial" w:hAnsi="Arial" w:cs="Arial"/>
          <w:b/>
        </w:rPr>
        <w:t xml:space="preserve">- </w:t>
      </w:r>
      <w:r w:rsidR="00B34E4E" w:rsidRPr="00313CB7">
        <w:rPr>
          <w:rFonts w:ascii="Arial" w:hAnsi="Arial" w:cs="Arial"/>
          <w:b/>
        </w:rPr>
        <w:t>O</w:t>
      </w:r>
      <w:r w:rsidRPr="00313CB7">
        <w:rPr>
          <w:rFonts w:ascii="Arial" w:hAnsi="Arial" w:cs="Arial"/>
          <w:b/>
        </w:rPr>
        <w:t xml:space="preserve">bjeción </w:t>
      </w:r>
      <w:r w:rsidR="006C2973" w:rsidRPr="00313CB7">
        <w:rPr>
          <w:rFonts w:ascii="Arial" w:hAnsi="Arial" w:cs="Arial"/>
          <w:b/>
        </w:rPr>
        <w:t>- E</w:t>
      </w:r>
      <w:r w:rsidRPr="00313CB7">
        <w:rPr>
          <w:rFonts w:ascii="Arial" w:hAnsi="Arial" w:cs="Arial"/>
          <w:b/>
        </w:rPr>
        <w:t xml:space="preserve">rror grave </w:t>
      </w:r>
      <w:r w:rsidR="00B34E4E" w:rsidRPr="00313CB7">
        <w:rPr>
          <w:rFonts w:ascii="Arial" w:hAnsi="Arial" w:cs="Arial"/>
          <w:b/>
        </w:rPr>
        <w:t>-</w:t>
      </w:r>
      <w:r w:rsidR="006C2973" w:rsidRPr="00313CB7">
        <w:rPr>
          <w:rFonts w:ascii="Arial" w:hAnsi="Arial" w:cs="Arial"/>
          <w:b/>
        </w:rPr>
        <w:t xml:space="preserve"> </w:t>
      </w:r>
      <w:r w:rsidR="00B34E4E" w:rsidRPr="00313CB7">
        <w:rPr>
          <w:rFonts w:ascii="Arial" w:hAnsi="Arial" w:cs="Arial"/>
          <w:b/>
        </w:rPr>
        <w:t>Prosperidad</w:t>
      </w:r>
    </w:p>
    <w:p w14:paraId="47F744EB" w14:textId="77777777" w:rsidR="00B15C7D" w:rsidRPr="00313CB7" w:rsidRDefault="00B15C7D" w:rsidP="00B15C7D">
      <w:pPr>
        <w:jc w:val="both"/>
        <w:rPr>
          <w:rFonts w:ascii="Arial" w:hAnsi="Arial" w:cs="Arial"/>
        </w:rPr>
      </w:pPr>
    </w:p>
    <w:p w14:paraId="741BCC1A" w14:textId="77777777" w:rsidR="00B15C7D" w:rsidRPr="00313CB7" w:rsidRDefault="00D62B82" w:rsidP="00B15C7D">
      <w:pPr>
        <w:jc w:val="both"/>
        <w:rPr>
          <w:rFonts w:ascii="Arial" w:hAnsi="Arial" w:cs="Arial"/>
        </w:rPr>
      </w:pPr>
      <w:r w:rsidRPr="00313CB7">
        <w:rPr>
          <w:rFonts w:ascii="Arial" w:hAnsi="Arial" w:cs="Arial"/>
        </w:rPr>
        <w:t xml:space="preserve">Para </w:t>
      </w:r>
      <w:r w:rsidR="00B15C7D" w:rsidRPr="00313CB7">
        <w:rPr>
          <w:rFonts w:ascii="Arial" w:hAnsi="Arial" w:cs="Arial"/>
        </w:rPr>
        <w:t>la prosperidad de la objeción por error grave es preciso que el dictamen se construya sobre bases equivocadas, de una entidad tal que conduzcan a conclusiones también erradas. Los errores pueden consistir en que se haya tomado como punto de referencia y estudio uno diferente a aquel sobre el cual debió recaer la experticia o que se hayan modificado las características esenciales del objeto examinado, de una forma tal, que de no haberse presentado los mismos, los resultados hubieran sido distintos. Ahora bien, frente al dictamen pericial debidamente practicado, puede ocurrir que el juez no encuentre la certeza suficiente para establecer la causación del perjuicio o su cuantía, dando lugar a que se aparte parcial o totalmente de las conclusiones del perito, sin que esto implique que la experticia adolece de un error grave.</w:t>
      </w:r>
    </w:p>
    <w:p w14:paraId="6971EE64" w14:textId="77777777" w:rsidR="00B15C7D" w:rsidRDefault="00B15C7D" w:rsidP="00B15C7D">
      <w:pPr>
        <w:jc w:val="both"/>
        <w:rPr>
          <w:rFonts w:ascii="Arial" w:hAnsi="Arial" w:cs="Arial"/>
          <w:sz w:val="24"/>
          <w:szCs w:val="24"/>
        </w:rPr>
      </w:pPr>
    </w:p>
    <w:p w14:paraId="0FBED80E" w14:textId="77777777" w:rsidR="00B15C7D" w:rsidRDefault="00B15C7D" w:rsidP="00B15C7D">
      <w:pPr>
        <w:jc w:val="both"/>
        <w:rPr>
          <w:rFonts w:ascii="Arial" w:hAnsi="Arial" w:cs="Arial"/>
          <w:b/>
          <w:sz w:val="24"/>
          <w:szCs w:val="24"/>
        </w:rPr>
      </w:pPr>
    </w:p>
    <w:p w14:paraId="27734384" w14:textId="77777777" w:rsidR="00092306" w:rsidRPr="00B74841" w:rsidRDefault="00092306" w:rsidP="00B74841">
      <w:pPr>
        <w:jc w:val="center"/>
        <w:rPr>
          <w:rFonts w:ascii="Arial" w:hAnsi="Arial" w:cs="Arial"/>
          <w:b/>
          <w:sz w:val="24"/>
          <w:szCs w:val="24"/>
        </w:rPr>
      </w:pPr>
      <w:r w:rsidRPr="00B74841">
        <w:rPr>
          <w:rFonts w:ascii="Arial" w:hAnsi="Arial" w:cs="Arial"/>
          <w:b/>
          <w:sz w:val="24"/>
          <w:szCs w:val="24"/>
        </w:rPr>
        <w:t>CONSEJO DE ESTADO</w:t>
      </w:r>
    </w:p>
    <w:p w14:paraId="0BF1DBCC" w14:textId="77777777" w:rsidR="00092306" w:rsidRPr="00B74841" w:rsidRDefault="00092306" w:rsidP="00B74841">
      <w:pPr>
        <w:jc w:val="center"/>
        <w:rPr>
          <w:rFonts w:ascii="Arial" w:hAnsi="Arial" w:cs="Arial"/>
          <w:b/>
          <w:sz w:val="24"/>
          <w:szCs w:val="24"/>
        </w:rPr>
      </w:pPr>
    </w:p>
    <w:p w14:paraId="5889E777" w14:textId="77777777" w:rsidR="00092306" w:rsidRPr="00B74841" w:rsidRDefault="00092306" w:rsidP="00B74841">
      <w:pPr>
        <w:jc w:val="center"/>
        <w:rPr>
          <w:rFonts w:ascii="Arial" w:hAnsi="Arial" w:cs="Arial"/>
          <w:b/>
          <w:sz w:val="24"/>
          <w:szCs w:val="24"/>
        </w:rPr>
      </w:pPr>
      <w:r w:rsidRPr="00B74841">
        <w:rPr>
          <w:rFonts w:ascii="Arial" w:hAnsi="Arial" w:cs="Arial"/>
          <w:b/>
          <w:sz w:val="24"/>
          <w:szCs w:val="24"/>
        </w:rPr>
        <w:t>SALA DE LO CONTENCIOSO ADMINISTRATIVO</w:t>
      </w:r>
    </w:p>
    <w:p w14:paraId="3D81AF93" w14:textId="77777777" w:rsidR="00092306" w:rsidRPr="00B74841" w:rsidRDefault="00092306" w:rsidP="00B74841">
      <w:pPr>
        <w:jc w:val="center"/>
        <w:rPr>
          <w:rFonts w:ascii="Arial" w:hAnsi="Arial" w:cs="Arial"/>
          <w:b/>
          <w:sz w:val="24"/>
          <w:szCs w:val="24"/>
        </w:rPr>
      </w:pPr>
    </w:p>
    <w:p w14:paraId="33397118" w14:textId="77777777" w:rsidR="00092306" w:rsidRPr="00B74841" w:rsidRDefault="00092306" w:rsidP="00B74841">
      <w:pPr>
        <w:jc w:val="center"/>
        <w:rPr>
          <w:rFonts w:ascii="Arial" w:hAnsi="Arial" w:cs="Arial"/>
          <w:b/>
          <w:sz w:val="24"/>
          <w:szCs w:val="24"/>
        </w:rPr>
      </w:pPr>
      <w:r w:rsidRPr="00B74841">
        <w:rPr>
          <w:rFonts w:ascii="Arial" w:hAnsi="Arial" w:cs="Arial"/>
          <w:b/>
          <w:sz w:val="24"/>
          <w:szCs w:val="24"/>
        </w:rPr>
        <w:t>SECCIÓN TERCERA</w:t>
      </w:r>
    </w:p>
    <w:p w14:paraId="3DB485A1" w14:textId="77777777" w:rsidR="00092306" w:rsidRPr="00B74841" w:rsidRDefault="00092306" w:rsidP="00B74841">
      <w:pPr>
        <w:jc w:val="center"/>
        <w:rPr>
          <w:rFonts w:ascii="Arial" w:hAnsi="Arial" w:cs="Arial"/>
          <w:b/>
          <w:sz w:val="24"/>
          <w:szCs w:val="24"/>
        </w:rPr>
      </w:pPr>
    </w:p>
    <w:p w14:paraId="51773825" w14:textId="77777777" w:rsidR="00092306" w:rsidRPr="00B74841" w:rsidRDefault="00092306" w:rsidP="00B74841">
      <w:pPr>
        <w:jc w:val="center"/>
        <w:rPr>
          <w:rFonts w:ascii="Arial" w:hAnsi="Arial" w:cs="Arial"/>
          <w:b/>
          <w:sz w:val="24"/>
          <w:szCs w:val="24"/>
        </w:rPr>
      </w:pPr>
      <w:r w:rsidRPr="00B74841">
        <w:rPr>
          <w:rFonts w:ascii="Arial" w:hAnsi="Arial" w:cs="Arial"/>
          <w:b/>
          <w:sz w:val="24"/>
          <w:szCs w:val="24"/>
        </w:rPr>
        <w:t>SUBSECCIÓN B</w:t>
      </w:r>
    </w:p>
    <w:p w14:paraId="65B1C84B" w14:textId="77777777" w:rsidR="00092306" w:rsidRPr="00B74841" w:rsidRDefault="00092306" w:rsidP="00B74841">
      <w:pPr>
        <w:jc w:val="center"/>
        <w:rPr>
          <w:rFonts w:ascii="Arial" w:hAnsi="Arial" w:cs="Arial"/>
          <w:b/>
          <w:sz w:val="24"/>
          <w:szCs w:val="24"/>
        </w:rPr>
      </w:pPr>
    </w:p>
    <w:p w14:paraId="705DD1D1" w14:textId="77777777" w:rsidR="00092306" w:rsidRPr="00B74841" w:rsidRDefault="00092306" w:rsidP="00B74841">
      <w:pPr>
        <w:jc w:val="center"/>
        <w:rPr>
          <w:rFonts w:ascii="Arial" w:hAnsi="Arial" w:cs="Arial"/>
          <w:b/>
          <w:sz w:val="24"/>
          <w:szCs w:val="24"/>
        </w:rPr>
      </w:pPr>
      <w:r w:rsidRPr="00B74841">
        <w:rPr>
          <w:rFonts w:ascii="Arial" w:hAnsi="Arial" w:cs="Arial"/>
          <w:b/>
          <w:sz w:val="24"/>
          <w:szCs w:val="24"/>
        </w:rPr>
        <w:t xml:space="preserve">Consejero ponente: </w:t>
      </w:r>
      <w:r w:rsidR="00DA4455" w:rsidRPr="00B74841">
        <w:rPr>
          <w:rFonts w:ascii="Arial" w:hAnsi="Arial" w:cs="Arial"/>
          <w:b/>
          <w:sz w:val="24"/>
          <w:szCs w:val="24"/>
        </w:rPr>
        <w:t>ALBERTO MONTAÑA PLATA</w:t>
      </w:r>
    </w:p>
    <w:p w14:paraId="5A472055" w14:textId="77777777" w:rsidR="00092306" w:rsidRPr="00B74841" w:rsidRDefault="00092306" w:rsidP="00B74841">
      <w:pPr>
        <w:jc w:val="both"/>
        <w:rPr>
          <w:rFonts w:ascii="Arial" w:hAnsi="Arial" w:cs="Arial"/>
          <w:sz w:val="24"/>
          <w:szCs w:val="24"/>
        </w:rPr>
      </w:pPr>
    </w:p>
    <w:p w14:paraId="75B03BCF" w14:textId="77777777" w:rsidR="00092306" w:rsidRPr="00B74841" w:rsidRDefault="002F2FDD" w:rsidP="00B74841">
      <w:pPr>
        <w:jc w:val="both"/>
        <w:rPr>
          <w:rFonts w:ascii="Arial" w:hAnsi="Arial" w:cs="Arial"/>
          <w:sz w:val="24"/>
          <w:szCs w:val="24"/>
        </w:rPr>
      </w:pPr>
      <w:r w:rsidRPr="00B74841">
        <w:rPr>
          <w:rFonts w:ascii="Arial" w:hAnsi="Arial" w:cs="Arial"/>
          <w:sz w:val="24"/>
          <w:szCs w:val="24"/>
        </w:rPr>
        <w:t>Bogotá</w:t>
      </w:r>
      <w:r w:rsidR="00092306" w:rsidRPr="00B74841">
        <w:rPr>
          <w:rFonts w:ascii="Arial" w:hAnsi="Arial" w:cs="Arial"/>
          <w:sz w:val="24"/>
          <w:szCs w:val="24"/>
        </w:rPr>
        <w:t xml:space="preserve"> D.C., </w:t>
      </w:r>
      <w:r w:rsidR="00DA4455" w:rsidRPr="00B74841">
        <w:rPr>
          <w:rFonts w:ascii="Arial" w:hAnsi="Arial" w:cs="Arial"/>
          <w:sz w:val="24"/>
          <w:szCs w:val="24"/>
        </w:rPr>
        <w:t>diez (</w:t>
      </w:r>
      <w:r w:rsidR="00294C89" w:rsidRPr="00B74841">
        <w:rPr>
          <w:rFonts w:ascii="Arial" w:hAnsi="Arial" w:cs="Arial"/>
          <w:sz w:val="24"/>
          <w:szCs w:val="24"/>
        </w:rPr>
        <w:t>10</w:t>
      </w:r>
      <w:r w:rsidR="00DA4455" w:rsidRPr="00B74841">
        <w:rPr>
          <w:rFonts w:ascii="Arial" w:hAnsi="Arial" w:cs="Arial"/>
          <w:sz w:val="24"/>
          <w:szCs w:val="24"/>
        </w:rPr>
        <w:t>)</w:t>
      </w:r>
      <w:r w:rsidR="00294C89" w:rsidRPr="00B74841">
        <w:rPr>
          <w:rFonts w:ascii="Arial" w:hAnsi="Arial" w:cs="Arial"/>
          <w:sz w:val="24"/>
          <w:szCs w:val="24"/>
        </w:rPr>
        <w:t xml:space="preserve"> de abril </w:t>
      </w:r>
      <w:r w:rsidR="00092306" w:rsidRPr="00B74841">
        <w:rPr>
          <w:rFonts w:ascii="Arial" w:hAnsi="Arial" w:cs="Arial"/>
          <w:sz w:val="24"/>
          <w:szCs w:val="24"/>
        </w:rPr>
        <w:t>de</w:t>
      </w:r>
      <w:r w:rsidR="00DA4455" w:rsidRPr="00B74841">
        <w:rPr>
          <w:rFonts w:ascii="Arial" w:hAnsi="Arial" w:cs="Arial"/>
          <w:sz w:val="24"/>
          <w:szCs w:val="24"/>
        </w:rPr>
        <w:t xml:space="preserve"> dos mil diecinueve (</w:t>
      </w:r>
      <w:r w:rsidR="00092306" w:rsidRPr="00B74841">
        <w:rPr>
          <w:rFonts w:ascii="Arial" w:hAnsi="Arial" w:cs="Arial"/>
          <w:sz w:val="24"/>
          <w:szCs w:val="24"/>
        </w:rPr>
        <w:t>2019</w:t>
      </w:r>
      <w:r w:rsidR="00DA4455" w:rsidRPr="00B74841">
        <w:rPr>
          <w:rFonts w:ascii="Arial" w:hAnsi="Arial" w:cs="Arial"/>
          <w:sz w:val="24"/>
          <w:szCs w:val="24"/>
        </w:rPr>
        <w:t>)</w:t>
      </w:r>
    </w:p>
    <w:p w14:paraId="04F379BA" w14:textId="77777777" w:rsidR="00092306" w:rsidRPr="00B74841" w:rsidRDefault="00092306" w:rsidP="00B74841">
      <w:pPr>
        <w:jc w:val="both"/>
        <w:rPr>
          <w:rFonts w:ascii="Arial" w:hAnsi="Arial" w:cs="Arial"/>
          <w:b/>
          <w:sz w:val="24"/>
          <w:szCs w:val="24"/>
        </w:rPr>
      </w:pPr>
    </w:p>
    <w:p w14:paraId="0B917C10" w14:textId="77777777" w:rsidR="00092306" w:rsidRPr="00B74841" w:rsidRDefault="00092306" w:rsidP="00B74841">
      <w:pPr>
        <w:jc w:val="both"/>
        <w:rPr>
          <w:rFonts w:ascii="Arial" w:hAnsi="Arial" w:cs="Arial"/>
          <w:b/>
          <w:sz w:val="24"/>
          <w:szCs w:val="24"/>
        </w:rPr>
      </w:pPr>
      <w:r w:rsidRPr="00B74841">
        <w:rPr>
          <w:rFonts w:ascii="Arial" w:hAnsi="Arial" w:cs="Arial"/>
          <w:b/>
          <w:sz w:val="24"/>
          <w:szCs w:val="24"/>
        </w:rPr>
        <w:t>Radicación número: 25000-23-26-000-2006-00108-01(43311)</w:t>
      </w:r>
    </w:p>
    <w:p w14:paraId="67511AB9" w14:textId="77777777" w:rsidR="00DA4455" w:rsidRPr="00B74841" w:rsidRDefault="00DA4455" w:rsidP="00B74841">
      <w:pPr>
        <w:jc w:val="both"/>
        <w:rPr>
          <w:rFonts w:ascii="Arial" w:hAnsi="Arial" w:cs="Arial"/>
          <w:b/>
          <w:sz w:val="24"/>
          <w:szCs w:val="24"/>
        </w:rPr>
      </w:pPr>
    </w:p>
    <w:p w14:paraId="2D7B0BCB" w14:textId="77777777" w:rsidR="00092306" w:rsidRPr="00B74841" w:rsidRDefault="00092306" w:rsidP="00B74841">
      <w:pPr>
        <w:jc w:val="both"/>
        <w:rPr>
          <w:rFonts w:ascii="Arial" w:hAnsi="Arial" w:cs="Arial"/>
          <w:b/>
          <w:sz w:val="24"/>
          <w:szCs w:val="24"/>
        </w:rPr>
      </w:pPr>
      <w:r w:rsidRPr="00B74841">
        <w:rPr>
          <w:rFonts w:ascii="Arial" w:hAnsi="Arial" w:cs="Arial"/>
          <w:b/>
          <w:sz w:val="24"/>
          <w:szCs w:val="24"/>
        </w:rPr>
        <w:t xml:space="preserve">Actor: </w:t>
      </w:r>
      <w:r w:rsidR="00DA4455" w:rsidRPr="00B74841">
        <w:rPr>
          <w:rFonts w:ascii="Arial" w:hAnsi="Arial" w:cs="Arial"/>
          <w:b/>
          <w:sz w:val="24"/>
          <w:szCs w:val="24"/>
        </w:rPr>
        <w:t>DISTRITO CAPITAL DE BOGOTÁ – SECRETARÍA DE HACIENDA</w:t>
      </w:r>
    </w:p>
    <w:p w14:paraId="64802364" w14:textId="77777777" w:rsidR="00DA4455" w:rsidRPr="00B74841" w:rsidRDefault="00DA4455" w:rsidP="00B74841">
      <w:pPr>
        <w:jc w:val="both"/>
        <w:rPr>
          <w:rFonts w:ascii="Arial" w:hAnsi="Arial" w:cs="Arial"/>
          <w:b/>
          <w:sz w:val="24"/>
          <w:szCs w:val="24"/>
        </w:rPr>
      </w:pPr>
    </w:p>
    <w:p w14:paraId="22DA9975" w14:textId="77777777" w:rsidR="00092306" w:rsidRPr="00B74841" w:rsidRDefault="00092306" w:rsidP="00B74841">
      <w:pPr>
        <w:jc w:val="both"/>
        <w:rPr>
          <w:rFonts w:ascii="Arial" w:hAnsi="Arial" w:cs="Arial"/>
          <w:b/>
          <w:sz w:val="24"/>
          <w:szCs w:val="24"/>
        </w:rPr>
      </w:pPr>
      <w:r w:rsidRPr="00B74841">
        <w:rPr>
          <w:rFonts w:ascii="Arial" w:hAnsi="Arial" w:cs="Arial"/>
          <w:b/>
          <w:sz w:val="24"/>
          <w:szCs w:val="24"/>
        </w:rPr>
        <w:t xml:space="preserve">Demandado: </w:t>
      </w:r>
      <w:r w:rsidR="00DA4455" w:rsidRPr="00B74841">
        <w:rPr>
          <w:rFonts w:ascii="Arial" w:hAnsi="Arial" w:cs="Arial"/>
          <w:b/>
          <w:sz w:val="24"/>
          <w:szCs w:val="24"/>
        </w:rPr>
        <w:t xml:space="preserve">ADMINISTRACIÓN POSTAL NACIONAL </w:t>
      </w:r>
      <w:r w:rsidR="00B74841">
        <w:rPr>
          <w:rFonts w:ascii="Arial" w:hAnsi="Arial" w:cs="Arial"/>
          <w:b/>
          <w:sz w:val="24"/>
          <w:szCs w:val="24"/>
        </w:rPr>
        <w:t xml:space="preserve">- </w:t>
      </w:r>
      <w:r w:rsidR="00DA4455" w:rsidRPr="00B74841">
        <w:rPr>
          <w:rFonts w:ascii="Arial" w:hAnsi="Arial" w:cs="Arial"/>
          <w:b/>
          <w:sz w:val="24"/>
          <w:szCs w:val="24"/>
        </w:rPr>
        <w:t>ADPOSTAL</w:t>
      </w:r>
    </w:p>
    <w:p w14:paraId="373DE716" w14:textId="77777777" w:rsidR="00DA4455" w:rsidRPr="00B74841" w:rsidRDefault="00DA4455" w:rsidP="00B74841">
      <w:pPr>
        <w:jc w:val="both"/>
        <w:rPr>
          <w:rFonts w:ascii="Arial" w:hAnsi="Arial" w:cs="Arial"/>
          <w:b/>
          <w:sz w:val="24"/>
          <w:szCs w:val="24"/>
        </w:rPr>
      </w:pPr>
    </w:p>
    <w:p w14:paraId="5CD6F8B4" w14:textId="77777777" w:rsidR="00DA4455" w:rsidRPr="00B74841" w:rsidRDefault="00DA4455" w:rsidP="00B74841">
      <w:pPr>
        <w:jc w:val="both"/>
        <w:rPr>
          <w:rFonts w:ascii="Arial" w:hAnsi="Arial" w:cs="Arial"/>
          <w:b/>
          <w:sz w:val="24"/>
          <w:szCs w:val="24"/>
        </w:rPr>
      </w:pPr>
    </w:p>
    <w:p w14:paraId="3E0FF6B2" w14:textId="77777777" w:rsidR="00DA4455" w:rsidRPr="00B74841" w:rsidRDefault="00DA4455" w:rsidP="00B74841">
      <w:pPr>
        <w:jc w:val="both"/>
        <w:rPr>
          <w:rFonts w:ascii="Arial" w:hAnsi="Arial" w:cs="Arial"/>
          <w:b/>
          <w:sz w:val="24"/>
          <w:szCs w:val="24"/>
        </w:rPr>
      </w:pPr>
    </w:p>
    <w:p w14:paraId="0577D453" w14:textId="77777777" w:rsidR="00092306" w:rsidRPr="00B74841" w:rsidRDefault="00092306" w:rsidP="00B74841">
      <w:pPr>
        <w:jc w:val="both"/>
        <w:rPr>
          <w:rFonts w:ascii="Arial" w:hAnsi="Arial" w:cs="Arial"/>
          <w:b/>
          <w:sz w:val="24"/>
          <w:szCs w:val="24"/>
        </w:rPr>
      </w:pPr>
      <w:r w:rsidRPr="00B74841">
        <w:rPr>
          <w:rFonts w:ascii="Arial" w:hAnsi="Arial" w:cs="Arial"/>
          <w:b/>
          <w:sz w:val="24"/>
          <w:szCs w:val="24"/>
        </w:rPr>
        <w:t xml:space="preserve">Referencia: </w:t>
      </w:r>
      <w:r w:rsidR="00DA4455" w:rsidRPr="00B74841">
        <w:rPr>
          <w:rFonts w:ascii="Arial" w:hAnsi="Arial" w:cs="Arial"/>
          <w:b/>
          <w:sz w:val="24"/>
          <w:szCs w:val="24"/>
        </w:rPr>
        <w:t>CONTROVERSIAS CONTRACTUALES</w:t>
      </w:r>
    </w:p>
    <w:p w14:paraId="61191678" w14:textId="77777777" w:rsidR="00DA4455" w:rsidRPr="00B74841" w:rsidRDefault="00DA4455" w:rsidP="00B74841">
      <w:pPr>
        <w:jc w:val="both"/>
        <w:rPr>
          <w:rFonts w:ascii="Arial" w:hAnsi="Arial" w:cs="Arial"/>
          <w:b/>
          <w:sz w:val="24"/>
          <w:szCs w:val="24"/>
        </w:rPr>
      </w:pPr>
    </w:p>
    <w:p w14:paraId="1A7FDAC7" w14:textId="77777777" w:rsidR="00DA4455" w:rsidRPr="00B74841" w:rsidRDefault="00DA4455" w:rsidP="00B74841">
      <w:pPr>
        <w:jc w:val="both"/>
        <w:rPr>
          <w:rFonts w:ascii="Arial" w:hAnsi="Arial" w:cs="Arial"/>
          <w:b/>
          <w:sz w:val="24"/>
          <w:szCs w:val="24"/>
        </w:rPr>
      </w:pPr>
    </w:p>
    <w:p w14:paraId="35F8CE53" w14:textId="77777777" w:rsidR="00092306" w:rsidRPr="00B74841" w:rsidRDefault="00092306" w:rsidP="00B74841">
      <w:pPr>
        <w:jc w:val="both"/>
        <w:rPr>
          <w:rFonts w:ascii="Arial" w:hAnsi="Arial" w:cs="Arial"/>
          <w:b/>
          <w:sz w:val="24"/>
          <w:szCs w:val="24"/>
        </w:rPr>
      </w:pPr>
    </w:p>
    <w:p w14:paraId="25100B50" w14:textId="77777777" w:rsidR="00092306" w:rsidRPr="00AD3D53" w:rsidRDefault="00092306" w:rsidP="00092306">
      <w:pPr>
        <w:contextualSpacing/>
        <w:jc w:val="both"/>
        <w:rPr>
          <w:rFonts w:ascii="Arial" w:hAnsi="Arial" w:cs="Arial"/>
          <w:sz w:val="20"/>
        </w:rPr>
      </w:pPr>
      <w:r w:rsidRPr="00AD3D53">
        <w:rPr>
          <w:rFonts w:ascii="Arial" w:hAnsi="Arial" w:cs="Arial"/>
          <w:b/>
          <w:sz w:val="20"/>
        </w:rPr>
        <w:t>Temas:</w:t>
      </w:r>
      <w:r w:rsidRPr="00AD3D53">
        <w:rPr>
          <w:rFonts w:ascii="Arial" w:hAnsi="Arial" w:cs="Arial"/>
          <w:sz w:val="20"/>
        </w:rPr>
        <w:t xml:space="preserve"> CO</w:t>
      </w:r>
      <w:r w:rsidR="00A53094" w:rsidRPr="00AD3D53">
        <w:rPr>
          <w:rFonts w:ascii="Arial" w:hAnsi="Arial" w:cs="Arial"/>
          <w:sz w:val="20"/>
        </w:rPr>
        <w:t xml:space="preserve">NTROVERSIAS CONTRACTUALES </w:t>
      </w:r>
      <w:r w:rsidRPr="00AD3D53">
        <w:rPr>
          <w:rFonts w:ascii="Arial" w:hAnsi="Arial" w:cs="Arial"/>
          <w:sz w:val="20"/>
        </w:rPr>
        <w:t xml:space="preserve">– Incumplimiento contractual - </w:t>
      </w:r>
      <w:r w:rsidR="00A53094" w:rsidRPr="00AD3D53">
        <w:rPr>
          <w:rFonts w:ascii="Arial" w:hAnsi="Arial" w:cs="Arial"/>
          <w:sz w:val="20"/>
        </w:rPr>
        <w:t>/ PRUEBA PERICIAL – Objeción por error grave</w:t>
      </w:r>
    </w:p>
    <w:p w14:paraId="738EC8A3" w14:textId="77777777" w:rsidR="00092306" w:rsidRPr="00AD3D53" w:rsidRDefault="00092306" w:rsidP="00092306">
      <w:pPr>
        <w:contextualSpacing/>
        <w:jc w:val="both"/>
        <w:rPr>
          <w:rFonts w:ascii="Arial" w:hAnsi="Arial" w:cs="Arial"/>
          <w:sz w:val="20"/>
        </w:rPr>
      </w:pPr>
    </w:p>
    <w:p w14:paraId="47B4077B" w14:textId="77777777" w:rsidR="00092306" w:rsidRPr="00AD3D53" w:rsidRDefault="00092306" w:rsidP="00092306">
      <w:pPr>
        <w:contextualSpacing/>
        <w:jc w:val="both"/>
        <w:rPr>
          <w:rFonts w:ascii="Arial" w:hAnsi="Arial" w:cs="Arial"/>
          <w:sz w:val="20"/>
        </w:rPr>
      </w:pPr>
      <w:r w:rsidRPr="00AD3D53">
        <w:rPr>
          <w:rFonts w:ascii="Arial" w:hAnsi="Arial" w:cs="Arial"/>
          <w:b/>
          <w:sz w:val="20"/>
        </w:rPr>
        <w:t xml:space="preserve">Síntesis: </w:t>
      </w:r>
      <w:r w:rsidR="00B365FA" w:rsidRPr="00AD3D53">
        <w:rPr>
          <w:rFonts w:ascii="Arial" w:hAnsi="Arial" w:cs="Arial"/>
          <w:sz w:val="20"/>
        </w:rPr>
        <w:t>La Secretaría de Hacienda del Distrito Capital de Bogotá</w:t>
      </w:r>
      <w:r w:rsidRPr="00AD3D53">
        <w:rPr>
          <w:rFonts w:ascii="Arial" w:hAnsi="Arial" w:cs="Arial"/>
          <w:sz w:val="20"/>
        </w:rPr>
        <w:t xml:space="preserve"> presen</w:t>
      </w:r>
      <w:r w:rsidR="00B478FD" w:rsidRPr="00AD3D53">
        <w:rPr>
          <w:rFonts w:ascii="Arial" w:hAnsi="Arial" w:cs="Arial"/>
          <w:sz w:val="20"/>
        </w:rPr>
        <w:t>ta demanda en contra de Administración Postal Nacional -</w:t>
      </w:r>
      <w:proofErr w:type="spellStart"/>
      <w:r w:rsidR="00B478FD" w:rsidRPr="00AD3D53">
        <w:rPr>
          <w:rFonts w:ascii="Arial" w:hAnsi="Arial" w:cs="Arial"/>
          <w:sz w:val="20"/>
        </w:rPr>
        <w:t>Adpostal</w:t>
      </w:r>
      <w:proofErr w:type="spellEnd"/>
      <w:r w:rsidR="0055591A" w:rsidRPr="00AD3D53">
        <w:rPr>
          <w:rFonts w:ascii="Arial" w:hAnsi="Arial" w:cs="Arial"/>
          <w:sz w:val="20"/>
        </w:rPr>
        <w:t xml:space="preserve">, solicitando </w:t>
      </w:r>
      <w:r w:rsidRPr="00AD3D53">
        <w:rPr>
          <w:rFonts w:ascii="Arial" w:hAnsi="Arial" w:cs="Arial"/>
          <w:sz w:val="20"/>
        </w:rPr>
        <w:t>que</w:t>
      </w:r>
      <w:r w:rsidR="00C438D3" w:rsidRPr="00AD3D53">
        <w:rPr>
          <w:rFonts w:ascii="Arial" w:hAnsi="Arial" w:cs="Arial"/>
          <w:sz w:val="20"/>
        </w:rPr>
        <w:t xml:space="preserve"> se condene </w:t>
      </w:r>
      <w:r w:rsidR="00B32E17" w:rsidRPr="00AD3D53">
        <w:rPr>
          <w:rFonts w:ascii="Arial" w:hAnsi="Arial" w:cs="Arial"/>
          <w:sz w:val="20"/>
        </w:rPr>
        <w:t xml:space="preserve">a la demandada al pago de los perjuicios ocasionados con ocasión del incumplimiento de un </w:t>
      </w:r>
      <w:r w:rsidR="009956A2" w:rsidRPr="00AD3D53">
        <w:rPr>
          <w:rFonts w:ascii="Arial" w:hAnsi="Arial" w:cs="Arial"/>
          <w:sz w:val="20"/>
        </w:rPr>
        <w:t>convenio celebrado para la prestación de servicios postales</w:t>
      </w:r>
      <w:r w:rsidRPr="00AD3D53">
        <w:rPr>
          <w:rFonts w:ascii="Arial" w:hAnsi="Arial" w:cs="Arial"/>
          <w:sz w:val="20"/>
        </w:rPr>
        <w:t>.</w:t>
      </w:r>
      <w:r w:rsidR="00E47A85" w:rsidRPr="00AD3D53">
        <w:rPr>
          <w:rFonts w:ascii="Arial" w:hAnsi="Arial" w:cs="Arial"/>
          <w:sz w:val="20"/>
        </w:rPr>
        <w:t xml:space="preserve"> También solicita que se liquide el convenio.</w:t>
      </w:r>
      <w:r w:rsidRPr="00AD3D53">
        <w:rPr>
          <w:rFonts w:ascii="Arial" w:hAnsi="Arial" w:cs="Arial"/>
          <w:sz w:val="20"/>
        </w:rPr>
        <w:t xml:space="preserve"> El Tribunal</w:t>
      </w:r>
      <w:r w:rsidR="004627BD" w:rsidRPr="00AD3D53">
        <w:rPr>
          <w:rFonts w:ascii="Arial" w:hAnsi="Arial" w:cs="Arial"/>
          <w:sz w:val="20"/>
        </w:rPr>
        <w:t xml:space="preserve"> condenó a </w:t>
      </w:r>
      <w:proofErr w:type="spellStart"/>
      <w:r w:rsidR="004457FE" w:rsidRPr="00AD3D53">
        <w:rPr>
          <w:rFonts w:ascii="Arial" w:hAnsi="Arial" w:cs="Arial"/>
          <w:sz w:val="20"/>
        </w:rPr>
        <w:t>Adpostal</w:t>
      </w:r>
      <w:proofErr w:type="spellEnd"/>
      <w:r w:rsidR="004457FE" w:rsidRPr="00AD3D53">
        <w:rPr>
          <w:rFonts w:ascii="Arial" w:hAnsi="Arial" w:cs="Arial"/>
          <w:sz w:val="20"/>
        </w:rPr>
        <w:t xml:space="preserve"> y liquidó el contrato, decisión frente a la cual las partes presentaron recurso de apelación</w:t>
      </w:r>
      <w:r w:rsidRPr="00AD3D53">
        <w:rPr>
          <w:rFonts w:ascii="Arial" w:hAnsi="Arial" w:cs="Arial"/>
          <w:sz w:val="20"/>
        </w:rPr>
        <w:t>.</w:t>
      </w:r>
    </w:p>
    <w:p w14:paraId="608FD3AC" w14:textId="77777777" w:rsidR="00092306" w:rsidRPr="00AD3D53" w:rsidRDefault="00092306" w:rsidP="00092306">
      <w:pPr>
        <w:spacing w:line="360" w:lineRule="auto"/>
        <w:contextualSpacing/>
        <w:jc w:val="both"/>
        <w:rPr>
          <w:rFonts w:ascii="Arial" w:hAnsi="Arial" w:cs="Arial"/>
          <w:sz w:val="24"/>
          <w:szCs w:val="24"/>
        </w:rPr>
      </w:pPr>
    </w:p>
    <w:p w14:paraId="08B84D19" w14:textId="77777777" w:rsidR="00092306" w:rsidRPr="00AD3D53" w:rsidRDefault="00092306" w:rsidP="00092306">
      <w:pPr>
        <w:spacing w:line="360" w:lineRule="auto"/>
        <w:contextualSpacing/>
        <w:jc w:val="both"/>
        <w:rPr>
          <w:rFonts w:ascii="Arial" w:hAnsi="Arial" w:cs="Arial"/>
          <w:sz w:val="24"/>
          <w:szCs w:val="24"/>
        </w:rPr>
      </w:pPr>
      <w:r w:rsidRPr="00AD3D53">
        <w:rPr>
          <w:rFonts w:ascii="Arial" w:hAnsi="Arial" w:cs="Arial"/>
          <w:sz w:val="24"/>
          <w:szCs w:val="24"/>
        </w:rPr>
        <w:t>Decide la Sala el recurso de apelación interpuesto por</w:t>
      </w:r>
      <w:r w:rsidR="00B256B7" w:rsidRPr="00AD3D53">
        <w:rPr>
          <w:rFonts w:ascii="Arial" w:hAnsi="Arial" w:cs="Arial"/>
          <w:sz w:val="24"/>
          <w:szCs w:val="24"/>
        </w:rPr>
        <w:t xml:space="preserve"> la parte demandada</w:t>
      </w:r>
      <w:r w:rsidRPr="00AD3D53">
        <w:rPr>
          <w:rFonts w:ascii="Arial" w:hAnsi="Arial" w:cs="Arial"/>
          <w:sz w:val="24"/>
          <w:szCs w:val="24"/>
        </w:rPr>
        <w:t xml:space="preserve"> contra la Sentencia proferida por el Tribunal Admin</w:t>
      </w:r>
      <w:r w:rsidR="007A3DDB" w:rsidRPr="00AD3D53">
        <w:rPr>
          <w:rFonts w:ascii="Arial" w:hAnsi="Arial" w:cs="Arial"/>
          <w:sz w:val="24"/>
          <w:szCs w:val="24"/>
        </w:rPr>
        <w:t>istrativo de Cundinamarca,</w:t>
      </w:r>
      <w:r w:rsidR="006D1FA5" w:rsidRPr="00AD3D53">
        <w:rPr>
          <w:rFonts w:ascii="Arial" w:hAnsi="Arial" w:cs="Arial"/>
          <w:sz w:val="24"/>
          <w:szCs w:val="24"/>
        </w:rPr>
        <w:t xml:space="preserve"> Sección Tercera, Subsección B,</w:t>
      </w:r>
      <w:r w:rsidR="007A3DDB" w:rsidRPr="00AD3D53">
        <w:rPr>
          <w:rFonts w:ascii="Arial" w:hAnsi="Arial" w:cs="Arial"/>
          <w:sz w:val="24"/>
          <w:szCs w:val="24"/>
        </w:rPr>
        <w:t xml:space="preserve"> el 8 de junio de 2011</w:t>
      </w:r>
      <w:r w:rsidRPr="00AD3D53">
        <w:rPr>
          <w:rFonts w:ascii="Arial" w:hAnsi="Arial" w:cs="Arial"/>
          <w:sz w:val="24"/>
          <w:szCs w:val="24"/>
        </w:rPr>
        <w:t>, mediante la cual se decidió (se trascribe):</w:t>
      </w:r>
    </w:p>
    <w:p w14:paraId="217262DE" w14:textId="77777777" w:rsidR="00092306" w:rsidRPr="00AD3D53" w:rsidRDefault="00092306" w:rsidP="00092306">
      <w:pPr>
        <w:spacing w:line="360" w:lineRule="auto"/>
        <w:contextualSpacing/>
        <w:jc w:val="both"/>
        <w:rPr>
          <w:rFonts w:ascii="Arial" w:hAnsi="Arial" w:cs="Arial"/>
          <w:i/>
          <w:iCs/>
          <w:sz w:val="24"/>
          <w:szCs w:val="24"/>
        </w:rPr>
      </w:pPr>
    </w:p>
    <w:p w14:paraId="3C47ADA0" w14:textId="77777777" w:rsidR="00842544" w:rsidRPr="00AD3D53" w:rsidRDefault="00842544" w:rsidP="00926EAA">
      <w:pPr>
        <w:ind w:left="567" w:right="567"/>
        <w:contextualSpacing/>
        <w:jc w:val="both"/>
        <w:rPr>
          <w:rFonts w:ascii="Arial" w:hAnsi="Arial" w:cs="Arial"/>
          <w:i/>
          <w:szCs w:val="24"/>
          <w:lang w:val="es-CO"/>
        </w:rPr>
      </w:pPr>
      <w:r w:rsidRPr="00AD3D53">
        <w:rPr>
          <w:rFonts w:ascii="Arial" w:hAnsi="Arial" w:cs="Arial"/>
          <w:szCs w:val="24"/>
          <w:lang w:val="es-CO"/>
        </w:rPr>
        <w:t>“</w:t>
      </w:r>
      <w:r w:rsidRPr="00AD3D53">
        <w:rPr>
          <w:rFonts w:ascii="Arial" w:hAnsi="Arial" w:cs="Arial"/>
          <w:i/>
          <w:szCs w:val="24"/>
          <w:lang w:val="es-CO"/>
        </w:rPr>
        <w:t>PRIMERO: Declarar no probada la objeción propuesta por la</w:t>
      </w:r>
      <w:r w:rsidR="00A72832" w:rsidRPr="00AD3D53">
        <w:rPr>
          <w:rFonts w:ascii="Arial" w:hAnsi="Arial" w:cs="Arial"/>
          <w:i/>
          <w:szCs w:val="24"/>
          <w:lang w:val="es-CO"/>
        </w:rPr>
        <w:t xml:space="preserve"> parte demandante, en </w:t>
      </w:r>
      <w:proofErr w:type="gramStart"/>
      <w:r w:rsidR="00A72832" w:rsidRPr="00AD3D53">
        <w:rPr>
          <w:rFonts w:ascii="Arial" w:hAnsi="Arial" w:cs="Arial"/>
          <w:i/>
          <w:szCs w:val="24"/>
          <w:lang w:val="es-CO"/>
        </w:rPr>
        <w:t>los término</w:t>
      </w:r>
      <w:proofErr w:type="gramEnd"/>
      <w:r w:rsidRPr="00AD3D53">
        <w:rPr>
          <w:rFonts w:ascii="Arial" w:hAnsi="Arial" w:cs="Arial"/>
          <w:i/>
          <w:szCs w:val="24"/>
          <w:lang w:val="es-CO"/>
        </w:rPr>
        <w:t xml:space="preserve"> de la parte considerativa de esta sentencia.</w:t>
      </w:r>
    </w:p>
    <w:p w14:paraId="24DC97D6" w14:textId="77777777" w:rsidR="00842544" w:rsidRPr="00AD3D53" w:rsidRDefault="00842544" w:rsidP="00926EAA">
      <w:pPr>
        <w:ind w:left="567" w:right="567"/>
        <w:contextualSpacing/>
        <w:jc w:val="both"/>
        <w:rPr>
          <w:rFonts w:ascii="Arial" w:hAnsi="Arial" w:cs="Arial"/>
          <w:i/>
          <w:szCs w:val="24"/>
          <w:lang w:val="es-CO"/>
        </w:rPr>
      </w:pPr>
      <w:r w:rsidRPr="00AD3D53">
        <w:rPr>
          <w:rFonts w:ascii="Arial" w:hAnsi="Arial" w:cs="Arial"/>
          <w:i/>
          <w:szCs w:val="24"/>
          <w:lang w:val="es-CO"/>
        </w:rPr>
        <w:t>SEGUNDA: Declarar el incumplimiento del contrato interadministrativo 024 del 28 de diciembre de 2001, por parte de ADPOSTAL o quien haga sus veces.</w:t>
      </w:r>
    </w:p>
    <w:p w14:paraId="3DB9B5DF" w14:textId="77777777" w:rsidR="00842544" w:rsidRPr="00AD3D53" w:rsidRDefault="00842544" w:rsidP="00926EAA">
      <w:pPr>
        <w:ind w:left="567" w:right="567"/>
        <w:contextualSpacing/>
        <w:jc w:val="both"/>
        <w:rPr>
          <w:rFonts w:ascii="Arial" w:hAnsi="Arial" w:cs="Arial"/>
          <w:i/>
          <w:szCs w:val="24"/>
          <w:lang w:val="es-CO"/>
        </w:rPr>
      </w:pPr>
      <w:r w:rsidRPr="00AD3D53">
        <w:rPr>
          <w:rFonts w:ascii="Arial" w:hAnsi="Arial" w:cs="Arial"/>
          <w:i/>
          <w:szCs w:val="24"/>
          <w:lang w:val="es-CO"/>
        </w:rPr>
        <w:t>TERCERA: En consecuencia, condenar a ADPOSTAL o quien haga sus veces y a favor del Distrito Capital – Secretaría de Hacienda, a devolver el valor de tres millones cuatrocientos ochenta y ocho mil seiscientos sesenta y nueve pesos ($3.488.669.oo) moneda corriente, en los términos de la parte considerativa de esta sentencia.</w:t>
      </w:r>
    </w:p>
    <w:p w14:paraId="188310A5" w14:textId="77777777" w:rsidR="00842544" w:rsidRPr="00AD3D53" w:rsidRDefault="00842544" w:rsidP="00926EAA">
      <w:pPr>
        <w:ind w:left="567" w:right="567"/>
        <w:contextualSpacing/>
        <w:jc w:val="both"/>
        <w:rPr>
          <w:rFonts w:ascii="Arial" w:hAnsi="Arial" w:cs="Arial"/>
          <w:i/>
          <w:szCs w:val="24"/>
          <w:lang w:val="es-CO"/>
        </w:rPr>
      </w:pPr>
      <w:r w:rsidRPr="00AD3D53">
        <w:rPr>
          <w:rFonts w:ascii="Arial" w:hAnsi="Arial" w:cs="Arial"/>
          <w:i/>
          <w:szCs w:val="24"/>
          <w:lang w:val="es-CO"/>
        </w:rPr>
        <w:t>CUARTA: Declarar judicialmente liquidado el contrato interadministrativo del 28 de diciembre de 2001, en los términos de la parte considerativa de esta sentencia.</w:t>
      </w:r>
    </w:p>
    <w:p w14:paraId="77223B3E" w14:textId="77777777" w:rsidR="00297247" w:rsidRPr="00AD3D53" w:rsidRDefault="00297247" w:rsidP="00926EAA">
      <w:pPr>
        <w:ind w:left="567" w:right="567"/>
        <w:contextualSpacing/>
        <w:jc w:val="both"/>
        <w:rPr>
          <w:rFonts w:ascii="Arial" w:hAnsi="Arial" w:cs="Arial"/>
          <w:i/>
          <w:szCs w:val="24"/>
          <w:lang w:val="es-CO"/>
        </w:rPr>
      </w:pPr>
    </w:p>
    <w:p w14:paraId="7747A74A" w14:textId="77777777" w:rsidR="00842544" w:rsidRPr="00AD3D53" w:rsidRDefault="00842544" w:rsidP="00926EAA">
      <w:pPr>
        <w:ind w:left="567" w:right="567"/>
        <w:contextualSpacing/>
        <w:jc w:val="both"/>
        <w:rPr>
          <w:rFonts w:ascii="Arial" w:hAnsi="Arial" w:cs="Arial"/>
          <w:i/>
          <w:szCs w:val="24"/>
          <w:lang w:val="es-CO"/>
        </w:rPr>
      </w:pPr>
      <w:r w:rsidRPr="00AD3D53">
        <w:rPr>
          <w:rFonts w:ascii="Arial" w:hAnsi="Arial" w:cs="Arial"/>
          <w:i/>
          <w:szCs w:val="24"/>
          <w:lang w:val="es-CO"/>
        </w:rPr>
        <w:t>QUINTA: Negar las pretensiones de la demanda, en los términos de esta sentencia.</w:t>
      </w:r>
    </w:p>
    <w:p w14:paraId="12E9C622" w14:textId="77777777" w:rsidR="00842544" w:rsidRPr="00AD3D53" w:rsidRDefault="00842544" w:rsidP="008C2234">
      <w:pPr>
        <w:ind w:left="567" w:right="567"/>
        <w:contextualSpacing/>
        <w:jc w:val="both"/>
        <w:rPr>
          <w:rFonts w:ascii="Arial" w:hAnsi="Arial" w:cs="Arial"/>
          <w:i/>
          <w:szCs w:val="24"/>
          <w:highlight w:val="yellow"/>
          <w:lang w:val="es-CO"/>
        </w:rPr>
      </w:pPr>
      <w:r w:rsidRPr="00AD3D53">
        <w:rPr>
          <w:rFonts w:ascii="Arial" w:hAnsi="Arial" w:cs="Arial"/>
          <w:i/>
          <w:szCs w:val="24"/>
          <w:lang w:val="es-CO"/>
        </w:rPr>
        <w:t>SEXTA: Por Secretaría, se ordena desagregar los documentos allegados con el informe del 4 de agosto de 2010, toda vez que una vez revisados los mismos no corresponden a la presente actuación. De igual forma, se deberá ubicar el expediente al cual corresponden y rendir el informe respectivo al Despacho Sustanciador.</w:t>
      </w:r>
    </w:p>
    <w:p w14:paraId="2D62D0C2" w14:textId="77777777" w:rsidR="00842544" w:rsidRPr="00AD3D53" w:rsidRDefault="00842544" w:rsidP="00926EAA">
      <w:pPr>
        <w:ind w:left="567" w:right="567"/>
        <w:contextualSpacing/>
        <w:jc w:val="both"/>
        <w:rPr>
          <w:rFonts w:ascii="Arial" w:hAnsi="Arial" w:cs="Arial"/>
          <w:i/>
          <w:szCs w:val="24"/>
          <w:lang w:val="es-CO"/>
        </w:rPr>
      </w:pPr>
      <w:r w:rsidRPr="00AD3D53">
        <w:rPr>
          <w:rFonts w:ascii="Arial" w:hAnsi="Arial" w:cs="Arial"/>
          <w:i/>
          <w:szCs w:val="24"/>
          <w:lang w:val="es-CO"/>
        </w:rPr>
        <w:t>SÉPTIMA: Sin costas”.</w:t>
      </w:r>
    </w:p>
    <w:p w14:paraId="42EF641D" w14:textId="77777777" w:rsidR="00092306" w:rsidRPr="00AD3D53" w:rsidRDefault="00092306" w:rsidP="00092306">
      <w:pPr>
        <w:tabs>
          <w:tab w:val="left" w:pos="1276"/>
        </w:tabs>
        <w:spacing w:line="360" w:lineRule="auto"/>
        <w:ind w:left="567" w:right="567"/>
        <w:contextualSpacing/>
        <w:jc w:val="both"/>
        <w:rPr>
          <w:rFonts w:ascii="Arial" w:hAnsi="Arial" w:cs="Arial"/>
          <w:i/>
          <w:lang w:val="es-CO"/>
        </w:rPr>
      </w:pPr>
    </w:p>
    <w:p w14:paraId="74E08ADE" w14:textId="77777777" w:rsidR="00092306" w:rsidRPr="00AD3D53" w:rsidRDefault="00092306" w:rsidP="00092306">
      <w:pPr>
        <w:spacing w:line="360" w:lineRule="auto"/>
        <w:contextualSpacing/>
        <w:jc w:val="both"/>
        <w:rPr>
          <w:rFonts w:ascii="Arial" w:hAnsi="Arial" w:cs="Arial"/>
          <w:sz w:val="20"/>
          <w:szCs w:val="24"/>
        </w:rPr>
      </w:pPr>
      <w:r w:rsidRPr="00AD3D53">
        <w:rPr>
          <w:rFonts w:ascii="Arial" w:hAnsi="Arial" w:cs="Arial"/>
          <w:sz w:val="20"/>
          <w:szCs w:val="24"/>
        </w:rPr>
        <w:t>Contenido: 1. Antecedentes – 2. Consideraciones – 3. Decisión</w:t>
      </w:r>
    </w:p>
    <w:p w14:paraId="653C5AC9" w14:textId="77777777" w:rsidR="00092306" w:rsidRPr="00AD3D53" w:rsidRDefault="00092306" w:rsidP="00092306">
      <w:pPr>
        <w:spacing w:line="360" w:lineRule="auto"/>
        <w:contextualSpacing/>
        <w:jc w:val="both"/>
        <w:rPr>
          <w:rFonts w:ascii="Arial" w:hAnsi="Arial" w:cs="Arial"/>
          <w:sz w:val="20"/>
          <w:szCs w:val="24"/>
        </w:rPr>
      </w:pPr>
    </w:p>
    <w:p w14:paraId="5773BFD6" w14:textId="77777777" w:rsidR="00092306" w:rsidRPr="00AD3D53" w:rsidRDefault="00092306" w:rsidP="00092306">
      <w:pPr>
        <w:spacing w:line="360" w:lineRule="auto"/>
        <w:contextualSpacing/>
        <w:jc w:val="center"/>
        <w:rPr>
          <w:rFonts w:ascii="Arial" w:hAnsi="Arial" w:cs="Arial"/>
          <w:b/>
          <w:sz w:val="24"/>
          <w:szCs w:val="24"/>
        </w:rPr>
      </w:pPr>
      <w:r w:rsidRPr="00AD3D53">
        <w:rPr>
          <w:rFonts w:ascii="Arial" w:hAnsi="Arial" w:cs="Arial"/>
          <w:b/>
          <w:sz w:val="24"/>
          <w:szCs w:val="24"/>
        </w:rPr>
        <w:t>1.- ANTECEDENTES</w:t>
      </w:r>
    </w:p>
    <w:p w14:paraId="0E936763" w14:textId="77777777" w:rsidR="00092306" w:rsidRPr="00AD3D53" w:rsidRDefault="00092306" w:rsidP="00092306">
      <w:pPr>
        <w:spacing w:line="360" w:lineRule="auto"/>
        <w:contextualSpacing/>
        <w:jc w:val="center"/>
        <w:rPr>
          <w:rFonts w:ascii="Arial" w:hAnsi="Arial" w:cs="Arial"/>
          <w:b/>
          <w:sz w:val="24"/>
          <w:szCs w:val="24"/>
        </w:rPr>
      </w:pPr>
    </w:p>
    <w:p w14:paraId="47F1F0FE" w14:textId="77777777" w:rsidR="00092306" w:rsidRPr="00AD3D53" w:rsidRDefault="00092306" w:rsidP="00092306">
      <w:pPr>
        <w:contextualSpacing/>
        <w:jc w:val="both"/>
        <w:rPr>
          <w:rFonts w:ascii="Arial" w:hAnsi="Arial" w:cs="Arial"/>
          <w:sz w:val="24"/>
          <w:szCs w:val="24"/>
        </w:rPr>
      </w:pPr>
      <w:r w:rsidRPr="00AD3D53">
        <w:rPr>
          <w:rFonts w:ascii="Arial" w:hAnsi="Arial" w:cs="Arial"/>
          <w:sz w:val="24"/>
          <w:szCs w:val="24"/>
        </w:rPr>
        <w:lastRenderedPageBreak/>
        <w:t>Contenido: 1.1. La demanda y su trámite en primera instancia</w:t>
      </w:r>
      <w:r w:rsidR="00F10E87" w:rsidRPr="00AD3D53">
        <w:rPr>
          <w:rFonts w:ascii="Arial" w:hAnsi="Arial" w:cs="Arial"/>
          <w:sz w:val="24"/>
          <w:szCs w:val="24"/>
        </w:rPr>
        <w:t xml:space="preserve"> 1.2. Los</w:t>
      </w:r>
      <w:r w:rsidRPr="00AD3D53">
        <w:rPr>
          <w:rFonts w:ascii="Arial" w:hAnsi="Arial" w:cs="Arial"/>
          <w:sz w:val="24"/>
          <w:szCs w:val="24"/>
        </w:rPr>
        <w:t xml:space="preserve"> recurso</w:t>
      </w:r>
      <w:r w:rsidR="00F10E87" w:rsidRPr="00AD3D53">
        <w:rPr>
          <w:rFonts w:ascii="Arial" w:hAnsi="Arial" w:cs="Arial"/>
          <w:sz w:val="24"/>
          <w:szCs w:val="24"/>
        </w:rPr>
        <w:t>s</w:t>
      </w:r>
      <w:r w:rsidRPr="00AD3D53">
        <w:rPr>
          <w:rFonts w:ascii="Arial" w:hAnsi="Arial" w:cs="Arial"/>
          <w:sz w:val="24"/>
          <w:szCs w:val="24"/>
        </w:rPr>
        <w:t xml:space="preserve"> de apelación y su trámite en segunda instancia</w:t>
      </w:r>
    </w:p>
    <w:p w14:paraId="27B72AAC" w14:textId="77777777" w:rsidR="00092306" w:rsidRPr="00AD3D53" w:rsidRDefault="00092306" w:rsidP="00092306">
      <w:pPr>
        <w:spacing w:line="360" w:lineRule="auto"/>
        <w:contextualSpacing/>
        <w:jc w:val="both"/>
        <w:rPr>
          <w:rFonts w:ascii="Arial" w:hAnsi="Arial" w:cs="Arial"/>
          <w:sz w:val="24"/>
          <w:szCs w:val="24"/>
        </w:rPr>
      </w:pPr>
    </w:p>
    <w:p w14:paraId="38ECDFA0" w14:textId="77777777" w:rsidR="00092306" w:rsidRPr="00AD3D53" w:rsidRDefault="00092306" w:rsidP="00092306">
      <w:pPr>
        <w:spacing w:line="360" w:lineRule="auto"/>
        <w:contextualSpacing/>
        <w:jc w:val="both"/>
        <w:rPr>
          <w:rFonts w:ascii="Arial" w:hAnsi="Arial" w:cs="Arial"/>
          <w:b/>
          <w:sz w:val="24"/>
          <w:szCs w:val="24"/>
        </w:rPr>
      </w:pPr>
      <w:r w:rsidRPr="00AD3D53">
        <w:rPr>
          <w:rFonts w:ascii="Arial" w:hAnsi="Arial" w:cs="Arial"/>
          <w:b/>
          <w:sz w:val="24"/>
          <w:szCs w:val="24"/>
        </w:rPr>
        <w:t>1.1. La demanda y su trámite en primera instancia</w:t>
      </w:r>
    </w:p>
    <w:p w14:paraId="724BE07A" w14:textId="77777777" w:rsidR="00092306" w:rsidRPr="00AD3D53" w:rsidRDefault="00092306" w:rsidP="00092306">
      <w:pPr>
        <w:spacing w:line="360" w:lineRule="auto"/>
        <w:contextualSpacing/>
        <w:jc w:val="both"/>
        <w:rPr>
          <w:rFonts w:ascii="Arial" w:hAnsi="Arial" w:cs="Arial"/>
          <w:b/>
          <w:sz w:val="24"/>
          <w:szCs w:val="24"/>
        </w:rPr>
      </w:pPr>
    </w:p>
    <w:p w14:paraId="63EFA2FA" w14:textId="77777777" w:rsidR="00092306" w:rsidRPr="00AD3D53" w:rsidRDefault="00092306" w:rsidP="00092306">
      <w:pPr>
        <w:widowControl w:val="0"/>
        <w:autoSpaceDE w:val="0"/>
        <w:autoSpaceDN w:val="0"/>
        <w:adjustRightInd w:val="0"/>
        <w:spacing w:line="360" w:lineRule="auto"/>
        <w:ind w:right="-284"/>
        <w:contextualSpacing/>
        <w:jc w:val="both"/>
        <w:rPr>
          <w:rFonts w:ascii="Arial" w:hAnsi="Arial" w:cs="Arial"/>
          <w:sz w:val="24"/>
          <w:szCs w:val="24"/>
        </w:rPr>
      </w:pPr>
      <w:r w:rsidRPr="00AD3D53">
        <w:rPr>
          <w:rFonts w:ascii="Arial" w:hAnsi="Arial" w:cs="Arial"/>
          <w:sz w:val="24"/>
          <w:szCs w:val="24"/>
        </w:rPr>
        <w:t>1.</w:t>
      </w:r>
      <w:r w:rsidR="00BC3880" w:rsidRPr="00AD3D53">
        <w:rPr>
          <w:rFonts w:ascii="Arial" w:hAnsi="Arial" w:cs="Arial"/>
          <w:sz w:val="24"/>
          <w:szCs w:val="24"/>
          <w:lang w:val="es-CO"/>
        </w:rPr>
        <w:t xml:space="preserve"> El 16 de diciembre</w:t>
      </w:r>
      <w:r w:rsidRPr="00AD3D53">
        <w:rPr>
          <w:rFonts w:ascii="Arial" w:hAnsi="Arial" w:cs="Arial"/>
          <w:sz w:val="24"/>
          <w:szCs w:val="24"/>
          <w:lang w:val="es-CO"/>
        </w:rPr>
        <w:t xml:space="preserve"> de 2005, actuando por inter</w:t>
      </w:r>
      <w:r w:rsidR="00BC3880" w:rsidRPr="00AD3D53">
        <w:rPr>
          <w:rFonts w:ascii="Arial" w:hAnsi="Arial" w:cs="Arial"/>
          <w:sz w:val="24"/>
          <w:szCs w:val="24"/>
          <w:lang w:val="es-CO"/>
        </w:rPr>
        <w:t xml:space="preserve">medio de apoderado judicial, el </w:t>
      </w:r>
      <w:r w:rsidR="00BC3880" w:rsidRPr="00AD3D53">
        <w:rPr>
          <w:rFonts w:ascii="Arial" w:hAnsi="Arial" w:cs="Arial"/>
          <w:sz w:val="24"/>
          <w:szCs w:val="24"/>
          <w:u w:val="single"/>
          <w:lang w:val="es-CO"/>
        </w:rPr>
        <w:t>Distrito Capital de Bogotá – Secretaría de Hacienda</w:t>
      </w:r>
      <w:r w:rsidR="00BC3880" w:rsidRPr="00AD3D53">
        <w:rPr>
          <w:rFonts w:ascii="Arial" w:hAnsi="Arial" w:cs="Arial"/>
          <w:sz w:val="24"/>
          <w:szCs w:val="24"/>
          <w:lang w:val="es-CO"/>
        </w:rPr>
        <w:t xml:space="preserve"> presentó demanda en contra de </w:t>
      </w:r>
      <w:r w:rsidR="006D20EE" w:rsidRPr="00AD3D53">
        <w:rPr>
          <w:rFonts w:ascii="Arial" w:hAnsi="Arial" w:cs="Arial"/>
          <w:sz w:val="24"/>
          <w:szCs w:val="24"/>
          <w:u w:val="single"/>
          <w:lang w:val="es-CO"/>
        </w:rPr>
        <w:t>Administración Postal Nacional (</w:t>
      </w:r>
      <w:proofErr w:type="spellStart"/>
      <w:r w:rsidR="00BC3880" w:rsidRPr="00AD3D53">
        <w:rPr>
          <w:rFonts w:ascii="Arial" w:hAnsi="Arial" w:cs="Arial"/>
          <w:sz w:val="24"/>
          <w:szCs w:val="24"/>
          <w:u w:val="single"/>
          <w:lang w:val="es-CO"/>
        </w:rPr>
        <w:t>Adpostal</w:t>
      </w:r>
      <w:proofErr w:type="spellEnd"/>
      <w:r w:rsidR="006D20EE" w:rsidRPr="00AD3D53">
        <w:rPr>
          <w:rFonts w:ascii="Arial" w:hAnsi="Arial" w:cs="Arial"/>
          <w:sz w:val="24"/>
          <w:szCs w:val="24"/>
          <w:u w:val="single"/>
          <w:lang w:val="es-CO"/>
        </w:rPr>
        <w:t>)</w:t>
      </w:r>
      <w:r w:rsidRPr="00AD3D53">
        <w:rPr>
          <w:rFonts w:ascii="Arial" w:hAnsi="Arial" w:cs="Arial"/>
          <w:sz w:val="24"/>
          <w:szCs w:val="24"/>
        </w:rPr>
        <w:t>, en cuyas pretensiones solicitó que se hicieran las siguientes declaraciones y condenas</w:t>
      </w:r>
      <w:r w:rsidRPr="00AD3D53">
        <w:rPr>
          <w:rFonts w:ascii="Arial" w:hAnsi="Arial" w:cs="Arial"/>
          <w:sz w:val="24"/>
          <w:szCs w:val="24"/>
          <w:vertAlign w:val="superscript"/>
        </w:rPr>
        <w:footnoteReference w:id="1"/>
      </w:r>
      <w:r w:rsidRPr="00AD3D53">
        <w:rPr>
          <w:rFonts w:ascii="Arial" w:hAnsi="Arial" w:cs="Arial"/>
          <w:sz w:val="24"/>
          <w:szCs w:val="24"/>
        </w:rPr>
        <w:t xml:space="preserve"> (se trascribe):</w:t>
      </w:r>
    </w:p>
    <w:p w14:paraId="7B4C37FE" w14:textId="77777777" w:rsidR="00092306" w:rsidRPr="00AD3D53" w:rsidRDefault="00092306" w:rsidP="00092306">
      <w:pPr>
        <w:widowControl w:val="0"/>
        <w:autoSpaceDE w:val="0"/>
        <w:autoSpaceDN w:val="0"/>
        <w:adjustRightInd w:val="0"/>
        <w:spacing w:line="360" w:lineRule="auto"/>
        <w:ind w:left="993" w:right="1469"/>
        <w:contextualSpacing/>
        <w:jc w:val="both"/>
        <w:rPr>
          <w:rFonts w:ascii="Arial" w:hAnsi="Arial" w:cs="Arial"/>
          <w:sz w:val="24"/>
          <w:szCs w:val="24"/>
        </w:rPr>
      </w:pPr>
    </w:p>
    <w:p w14:paraId="360D100C" w14:textId="77777777" w:rsidR="00057511" w:rsidRPr="00AD3D53" w:rsidRDefault="00057511" w:rsidP="00083A05">
      <w:pPr>
        <w:ind w:left="567" w:right="567"/>
        <w:contextualSpacing/>
        <w:jc w:val="both"/>
        <w:rPr>
          <w:rFonts w:ascii="Arial" w:hAnsi="Arial" w:cs="Arial"/>
          <w:i/>
          <w:szCs w:val="24"/>
          <w:lang w:val="es-CO"/>
        </w:rPr>
      </w:pPr>
      <w:r w:rsidRPr="00AD3D53">
        <w:rPr>
          <w:rFonts w:ascii="Arial" w:hAnsi="Arial" w:cs="Arial"/>
          <w:szCs w:val="24"/>
          <w:lang w:val="es-CO"/>
        </w:rPr>
        <w:t>“</w:t>
      </w:r>
      <w:r w:rsidRPr="00AD3D53">
        <w:rPr>
          <w:rFonts w:ascii="Arial" w:hAnsi="Arial" w:cs="Arial"/>
          <w:i/>
          <w:szCs w:val="24"/>
          <w:lang w:val="es-CO"/>
        </w:rPr>
        <w:t>PRIMERA: Que se declare liquidado el Convenio Interadministrativo Nº 24 del 28 de diciembre de 2001 suscrito entre el DISTRITO CAPITAL DE BOGOTÁ – SECRETARÍA DE HACIENDA y la ADMINISTRACIÓN POSTAL NACIONAL – ADPOSTAL, y se ordene en consecuencia devolver, reintegrar, reembolsar o anular a favor de la Entidad las sumas a que haya lugar, para efectos de poder declararse a paz y salvo las partes en razón del mencionado convenio.</w:t>
      </w:r>
    </w:p>
    <w:p w14:paraId="2E2D711B" w14:textId="77777777" w:rsidR="00057511" w:rsidRPr="00AD3D53" w:rsidRDefault="00057511" w:rsidP="00083A05">
      <w:pPr>
        <w:ind w:left="567" w:right="567"/>
        <w:contextualSpacing/>
        <w:jc w:val="both"/>
        <w:rPr>
          <w:rFonts w:ascii="Arial" w:hAnsi="Arial" w:cs="Arial"/>
          <w:i/>
          <w:szCs w:val="24"/>
          <w:lang w:val="es-CO"/>
        </w:rPr>
      </w:pPr>
      <w:r w:rsidRPr="00AD3D53">
        <w:rPr>
          <w:rFonts w:ascii="Arial" w:hAnsi="Arial" w:cs="Arial"/>
          <w:i/>
          <w:szCs w:val="24"/>
          <w:lang w:val="es-CO"/>
        </w:rPr>
        <w:t>SEGUNDA: Que como consecuencia de lo anterior, se declaren los incumplimientos en que incurrió la ADMINISTRACIÓN POSTAL NACIONAL – ADPOSTAL, en cuanto los envíos no certificados por ADPOSTAL y los acuses de recibo no entregados por dicho contratista a mi representada, según lo certificado por el control de ejecución del convenio 023 de 2001, en los valores y cuantías que se establezcan dentro del presente proceso, desde cuando se causaron y hasta la fecha de ejecutoria de la sentencia que se profiera en este juicio accediendo a esta pretensión, debidamente indexados.</w:t>
      </w:r>
    </w:p>
    <w:p w14:paraId="2058DCFF" w14:textId="77777777" w:rsidR="00057511" w:rsidRPr="00AD3D53" w:rsidRDefault="00057511" w:rsidP="00083A05">
      <w:pPr>
        <w:ind w:left="567" w:right="567"/>
        <w:contextualSpacing/>
        <w:jc w:val="both"/>
        <w:rPr>
          <w:rFonts w:ascii="Arial" w:hAnsi="Arial" w:cs="Arial"/>
          <w:i/>
          <w:szCs w:val="24"/>
          <w:lang w:val="es-CO"/>
        </w:rPr>
      </w:pPr>
      <w:r w:rsidRPr="00AD3D53">
        <w:rPr>
          <w:rFonts w:ascii="Arial" w:hAnsi="Arial" w:cs="Arial"/>
          <w:i/>
          <w:szCs w:val="24"/>
          <w:lang w:val="es-CO"/>
        </w:rPr>
        <w:t>TERCERA: Que se ordene al contratista ADPOSTAL a pagar al Distrito Capital de Bogotá a título de indemnización de perjuicios por los daños ocasionados con ocasión del incumplimiento en la ejecución del convenio 024 de 2001 las sumas que resultaren probadas dentro del proceso, debidamente indexadas.</w:t>
      </w:r>
    </w:p>
    <w:p w14:paraId="0C22E15B" w14:textId="77777777" w:rsidR="00057511" w:rsidRPr="00AD3D53" w:rsidRDefault="00057511" w:rsidP="00083A05">
      <w:pPr>
        <w:ind w:left="567" w:right="567"/>
        <w:contextualSpacing/>
        <w:jc w:val="both"/>
        <w:rPr>
          <w:rFonts w:ascii="Arial" w:hAnsi="Arial" w:cs="Arial"/>
          <w:i/>
          <w:szCs w:val="24"/>
          <w:lang w:val="es-CO"/>
        </w:rPr>
      </w:pPr>
      <w:r w:rsidRPr="00AD3D53">
        <w:rPr>
          <w:rFonts w:ascii="Arial" w:hAnsi="Arial" w:cs="Arial"/>
          <w:i/>
          <w:szCs w:val="24"/>
          <w:lang w:val="es-CO"/>
        </w:rPr>
        <w:t>CUARTA: Que se condene al demandado al pago de los respectivos intereses moratorios de la suma que deba reintegrar o pagar a la Entidad, para lo cual se aplicará la tasa equivalente al doble del interés legal civil sobre el valor histórico actualizado, de conformidad con lo establecido en el artículo 4º de la Ley 80 de 1993 y el artículo 1º del Decreto 679 de 1994, desde el momento en que fue desembolsada por la Entidad dicha suma hasta cuando sea pagado efectivamente ente reintegro.</w:t>
      </w:r>
    </w:p>
    <w:p w14:paraId="312C14CF" w14:textId="77777777" w:rsidR="00057511" w:rsidRPr="00AD3D53" w:rsidRDefault="00057511" w:rsidP="00083A05">
      <w:pPr>
        <w:ind w:left="567" w:right="567"/>
        <w:contextualSpacing/>
        <w:jc w:val="both"/>
        <w:rPr>
          <w:rFonts w:ascii="Arial" w:hAnsi="Arial" w:cs="Arial"/>
          <w:i/>
          <w:szCs w:val="24"/>
          <w:lang w:val="es-CO"/>
        </w:rPr>
      </w:pPr>
      <w:r w:rsidRPr="00AD3D53">
        <w:rPr>
          <w:rFonts w:ascii="Arial" w:hAnsi="Arial" w:cs="Arial"/>
          <w:i/>
          <w:szCs w:val="24"/>
          <w:lang w:val="es-CO"/>
        </w:rPr>
        <w:t>QUINTA: Que se condene al demandado al pago de los intereses moratorios sobre la cuantía que se ordene pagar a la Entidad debidamente indexada, a partir de la ejecutoria de la sentencia que decida este proceso hasta la fecha del pago final, para lo cual debe tenerse en cuenta la tasa máxima que señalan las autoridades monetarias correspondientes, es decir, el doble del interés bancario corriente sin exceder el límite de usura.</w:t>
      </w:r>
    </w:p>
    <w:p w14:paraId="03271E3F" w14:textId="77777777" w:rsidR="00057511" w:rsidRPr="00AD3D53" w:rsidRDefault="00057511" w:rsidP="00083A05">
      <w:pPr>
        <w:ind w:left="567" w:right="567"/>
        <w:contextualSpacing/>
        <w:jc w:val="both"/>
        <w:rPr>
          <w:rFonts w:ascii="Arial" w:hAnsi="Arial" w:cs="Arial"/>
          <w:i/>
          <w:szCs w:val="24"/>
          <w:lang w:val="es-CO"/>
        </w:rPr>
      </w:pPr>
      <w:r w:rsidRPr="00AD3D53">
        <w:rPr>
          <w:rFonts w:ascii="Arial" w:hAnsi="Arial" w:cs="Arial"/>
          <w:i/>
          <w:szCs w:val="24"/>
          <w:lang w:val="es-CO"/>
        </w:rPr>
        <w:t>SEXTA: Que la sentencia que se profiera en este proceso sea cumplida en los términos de los artículos 177 y 178 del C.C.A.</w:t>
      </w:r>
    </w:p>
    <w:p w14:paraId="0EC01096" w14:textId="77777777" w:rsidR="00057511" w:rsidRPr="00AD3D53" w:rsidRDefault="00057511" w:rsidP="00083A05">
      <w:pPr>
        <w:ind w:left="567" w:right="567"/>
        <w:contextualSpacing/>
        <w:jc w:val="both"/>
        <w:rPr>
          <w:rFonts w:ascii="Arial" w:hAnsi="Arial" w:cs="Arial"/>
          <w:i/>
          <w:szCs w:val="24"/>
          <w:lang w:val="es-CO"/>
        </w:rPr>
      </w:pPr>
      <w:r w:rsidRPr="00AD3D53">
        <w:rPr>
          <w:rFonts w:ascii="Arial" w:hAnsi="Arial" w:cs="Arial"/>
          <w:i/>
          <w:szCs w:val="24"/>
          <w:lang w:val="es-CO"/>
        </w:rPr>
        <w:t>SÉPTIMA: Que se condene al demandado al pago de las costas y gastos del presente proceso”.</w:t>
      </w:r>
    </w:p>
    <w:p w14:paraId="7948F8B9" w14:textId="77777777" w:rsidR="00092306" w:rsidRPr="00AD3D53" w:rsidRDefault="00092306" w:rsidP="00092306">
      <w:pPr>
        <w:widowControl w:val="0"/>
        <w:autoSpaceDE w:val="0"/>
        <w:autoSpaceDN w:val="0"/>
        <w:adjustRightInd w:val="0"/>
        <w:spacing w:line="360" w:lineRule="auto"/>
        <w:ind w:right="-284"/>
        <w:contextualSpacing/>
        <w:rPr>
          <w:rFonts w:ascii="Arial" w:hAnsi="Arial" w:cs="Arial"/>
          <w:sz w:val="24"/>
          <w:szCs w:val="24"/>
        </w:rPr>
      </w:pPr>
    </w:p>
    <w:p w14:paraId="7F7AC4D1" w14:textId="77777777" w:rsidR="00092306" w:rsidRPr="00AD3D53" w:rsidRDefault="00092306" w:rsidP="008D50A7">
      <w:pPr>
        <w:widowControl w:val="0"/>
        <w:autoSpaceDE w:val="0"/>
        <w:autoSpaceDN w:val="0"/>
        <w:adjustRightInd w:val="0"/>
        <w:spacing w:line="360" w:lineRule="auto"/>
        <w:ind w:right="-284"/>
        <w:contextualSpacing/>
        <w:jc w:val="both"/>
        <w:rPr>
          <w:rFonts w:ascii="Arial" w:hAnsi="Arial" w:cs="Arial"/>
          <w:b/>
          <w:sz w:val="24"/>
          <w:szCs w:val="24"/>
        </w:rPr>
      </w:pPr>
      <w:r w:rsidRPr="00AD3D53">
        <w:rPr>
          <w:rFonts w:ascii="Arial" w:hAnsi="Arial" w:cs="Arial"/>
          <w:sz w:val="24"/>
          <w:szCs w:val="24"/>
        </w:rPr>
        <w:t xml:space="preserve">2. En el escrito de </w:t>
      </w:r>
      <w:r w:rsidRPr="00AD3D53">
        <w:rPr>
          <w:rFonts w:ascii="Arial" w:hAnsi="Arial" w:cs="Arial"/>
          <w:b/>
          <w:sz w:val="24"/>
          <w:szCs w:val="24"/>
        </w:rPr>
        <w:t>demanda,</w:t>
      </w:r>
      <w:r w:rsidRPr="00AD3D53">
        <w:rPr>
          <w:rFonts w:ascii="Arial" w:hAnsi="Arial" w:cs="Arial"/>
          <w:sz w:val="24"/>
          <w:szCs w:val="24"/>
        </w:rPr>
        <w:t xml:space="preserve"> la p</w:t>
      </w:r>
      <w:r w:rsidR="00DE28E4" w:rsidRPr="00AD3D53">
        <w:rPr>
          <w:rFonts w:ascii="Arial" w:hAnsi="Arial" w:cs="Arial"/>
          <w:sz w:val="24"/>
          <w:szCs w:val="24"/>
        </w:rPr>
        <w:t>arte actora narró los</w:t>
      </w:r>
      <w:r w:rsidRPr="00AD3D53">
        <w:rPr>
          <w:rFonts w:ascii="Arial" w:hAnsi="Arial" w:cs="Arial"/>
          <w:sz w:val="24"/>
          <w:szCs w:val="24"/>
        </w:rPr>
        <w:t xml:space="preserve"> </w:t>
      </w:r>
      <w:r w:rsidRPr="00AD3D53">
        <w:rPr>
          <w:rFonts w:ascii="Arial" w:hAnsi="Arial" w:cs="Arial"/>
          <w:b/>
          <w:sz w:val="24"/>
          <w:szCs w:val="24"/>
        </w:rPr>
        <w:t>hechos</w:t>
      </w:r>
      <w:r w:rsidR="00DE28E4" w:rsidRPr="00AD3D53">
        <w:rPr>
          <w:rFonts w:ascii="Arial" w:hAnsi="Arial" w:cs="Arial"/>
          <w:sz w:val="24"/>
          <w:szCs w:val="24"/>
        </w:rPr>
        <w:t xml:space="preserve"> que a continuación se sintetizan</w:t>
      </w:r>
      <w:r w:rsidRPr="00AD3D53">
        <w:rPr>
          <w:rFonts w:ascii="Arial" w:hAnsi="Arial" w:cs="Arial"/>
          <w:sz w:val="24"/>
          <w:szCs w:val="24"/>
        </w:rPr>
        <w:t>:</w:t>
      </w:r>
    </w:p>
    <w:p w14:paraId="23DD909F" w14:textId="77777777" w:rsidR="00092306" w:rsidRPr="00AD3D53" w:rsidRDefault="00092306" w:rsidP="00092306">
      <w:pPr>
        <w:widowControl w:val="0"/>
        <w:autoSpaceDE w:val="0"/>
        <w:autoSpaceDN w:val="0"/>
        <w:adjustRightInd w:val="0"/>
        <w:spacing w:line="360" w:lineRule="auto"/>
        <w:ind w:right="-284"/>
        <w:contextualSpacing/>
        <w:rPr>
          <w:rFonts w:ascii="Arial" w:hAnsi="Arial" w:cs="Arial"/>
          <w:sz w:val="24"/>
          <w:szCs w:val="24"/>
        </w:rPr>
      </w:pPr>
    </w:p>
    <w:p w14:paraId="0601DFA2" w14:textId="77777777" w:rsidR="00092306" w:rsidRPr="00AD3D53" w:rsidRDefault="00092306" w:rsidP="00800A17">
      <w:pPr>
        <w:spacing w:line="360" w:lineRule="auto"/>
        <w:contextualSpacing/>
        <w:jc w:val="both"/>
        <w:rPr>
          <w:rFonts w:ascii="Arial" w:hAnsi="Arial" w:cs="Arial"/>
          <w:sz w:val="24"/>
          <w:szCs w:val="24"/>
          <w:lang w:val="es-CO"/>
        </w:rPr>
      </w:pPr>
      <w:r w:rsidRPr="00AD3D53">
        <w:rPr>
          <w:rFonts w:ascii="Arial" w:hAnsi="Arial" w:cs="Arial"/>
          <w:sz w:val="24"/>
          <w:szCs w:val="24"/>
          <w:lang w:val="es-CO"/>
        </w:rPr>
        <w:t xml:space="preserve">3. </w:t>
      </w:r>
      <w:r w:rsidR="002A3647" w:rsidRPr="00AD3D53">
        <w:rPr>
          <w:rFonts w:ascii="Arial" w:hAnsi="Arial" w:cs="Arial"/>
          <w:sz w:val="24"/>
          <w:szCs w:val="24"/>
          <w:lang w:val="es-CO"/>
        </w:rPr>
        <w:t>Mediante convenio i</w:t>
      </w:r>
      <w:r w:rsidR="00800A17" w:rsidRPr="00AD3D53">
        <w:rPr>
          <w:rFonts w:ascii="Arial" w:hAnsi="Arial" w:cs="Arial"/>
          <w:sz w:val="24"/>
          <w:szCs w:val="24"/>
          <w:lang w:val="es-CO"/>
        </w:rPr>
        <w:t xml:space="preserve">nteradministrativo No. 24 de 28 de diciembre de 2001 celebrado entre la Secretaría de Hacienda y </w:t>
      </w:r>
      <w:proofErr w:type="spellStart"/>
      <w:r w:rsidR="00800A17" w:rsidRPr="00AD3D53">
        <w:rPr>
          <w:rFonts w:ascii="Arial" w:hAnsi="Arial" w:cs="Arial"/>
          <w:sz w:val="24"/>
          <w:szCs w:val="24"/>
          <w:lang w:val="es-CO"/>
        </w:rPr>
        <w:t>Adpostal</w:t>
      </w:r>
      <w:proofErr w:type="spellEnd"/>
      <w:r w:rsidR="00800A17" w:rsidRPr="00AD3D53">
        <w:rPr>
          <w:rFonts w:ascii="Arial" w:hAnsi="Arial" w:cs="Arial"/>
          <w:sz w:val="24"/>
          <w:szCs w:val="24"/>
          <w:lang w:val="es-CO"/>
        </w:rPr>
        <w:t>, esta última se compromet</w:t>
      </w:r>
      <w:r w:rsidR="00EA04AF" w:rsidRPr="00AD3D53">
        <w:rPr>
          <w:rFonts w:ascii="Arial" w:hAnsi="Arial" w:cs="Arial"/>
          <w:sz w:val="24"/>
          <w:szCs w:val="24"/>
          <w:lang w:val="es-CO"/>
        </w:rPr>
        <w:t>ió con la primera</w:t>
      </w:r>
      <w:r w:rsidR="00800A17" w:rsidRPr="00AD3D53">
        <w:rPr>
          <w:rFonts w:ascii="Arial" w:hAnsi="Arial" w:cs="Arial"/>
          <w:sz w:val="24"/>
          <w:szCs w:val="24"/>
          <w:lang w:val="es-CO"/>
        </w:rPr>
        <w:t xml:space="preserve"> a prestarle el servicio de admisión, curso y entrega de la correspondencia y demás envíos postales que el Distrito le confiara, con el carácter de correo certificado y </w:t>
      </w:r>
      <w:r w:rsidR="007A4FA7" w:rsidRPr="00AD3D53">
        <w:rPr>
          <w:rFonts w:ascii="Arial" w:hAnsi="Arial" w:cs="Arial"/>
          <w:sz w:val="24"/>
          <w:szCs w:val="24"/>
          <w:lang w:val="es-CO"/>
        </w:rPr>
        <w:t>“</w:t>
      </w:r>
      <w:proofErr w:type="spellStart"/>
      <w:r w:rsidR="00800A17" w:rsidRPr="00AD3D53">
        <w:rPr>
          <w:rFonts w:ascii="Arial" w:hAnsi="Arial" w:cs="Arial"/>
          <w:sz w:val="24"/>
          <w:szCs w:val="24"/>
          <w:lang w:val="es-CO"/>
        </w:rPr>
        <w:t>postexpress</w:t>
      </w:r>
      <w:proofErr w:type="spellEnd"/>
      <w:r w:rsidR="007A4FA7" w:rsidRPr="00AD3D53">
        <w:rPr>
          <w:rFonts w:ascii="Arial" w:hAnsi="Arial" w:cs="Arial"/>
          <w:sz w:val="24"/>
          <w:szCs w:val="24"/>
          <w:lang w:val="es-CO"/>
        </w:rPr>
        <w:t>”</w:t>
      </w:r>
      <w:r w:rsidR="00044CBC" w:rsidRPr="00AD3D53">
        <w:rPr>
          <w:rFonts w:ascii="Arial" w:hAnsi="Arial" w:cs="Arial"/>
          <w:sz w:val="24"/>
          <w:szCs w:val="24"/>
          <w:lang w:val="es-CO"/>
        </w:rPr>
        <w:t>, con observancia de</w:t>
      </w:r>
      <w:r w:rsidR="00800A17" w:rsidRPr="00AD3D53">
        <w:rPr>
          <w:rFonts w:ascii="Arial" w:hAnsi="Arial" w:cs="Arial"/>
          <w:sz w:val="24"/>
          <w:szCs w:val="24"/>
          <w:lang w:val="es-CO"/>
        </w:rPr>
        <w:t xml:space="preserve"> las normas legales y reglamentarias existentes sobre la materia para el área urbana de Bogotá D.C. y a nivel nacional, de conformidad con las tarifas y descuentos que para correo certificado y </w:t>
      </w:r>
      <w:r w:rsidR="007A4FA7" w:rsidRPr="00AD3D53">
        <w:rPr>
          <w:rFonts w:ascii="Arial" w:hAnsi="Arial" w:cs="Arial"/>
          <w:sz w:val="24"/>
          <w:szCs w:val="24"/>
          <w:lang w:val="es-CO"/>
        </w:rPr>
        <w:t>“</w:t>
      </w:r>
      <w:proofErr w:type="spellStart"/>
      <w:r w:rsidR="00800A17" w:rsidRPr="00AD3D53">
        <w:rPr>
          <w:rFonts w:ascii="Arial" w:hAnsi="Arial" w:cs="Arial"/>
          <w:sz w:val="24"/>
          <w:szCs w:val="24"/>
          <w:lang w:val="es-CO"/>
        </w:rPr>
        <w:t>postexpress</w:t>
      </w:r>
      <w:proofErr w:type="spellEnd"/>
      <w:r w:rsidR="007A4FA7" w:rsidRPr="00AD3D53">
        <w:rPr>
          <w:rFonts w:ascii="Arial" w:hAnsi="Arial" w:cs="Arial"/>
          <w:sz w:val="24"/>
          <w:szCs w:val="24"/>
          <w:lang w:val="es-CO"/>
        </w:rPr>
        <w:t>”</w:t>
      </w:r>
      <w:r w:rsidR="00454EBE" w:rsidRPr="00AD3D53">
        <w:rPr>
          <w:rFonts w:ascii="Arial" w:hAnsi="Arial" w:cs="Arial"/>
          <w:sz w:val="24"/>
          <w:szCs w:val="24"/>
          <w:lang w:val="es-CO"/>
        </w:rPr>
        <w:t xml:space="preserve"> se encontraban</w:t>
      </w:r>
      <w:r w:rsidR="00800A17" w:rsidRPr="00AD3D53">
        <w:rPr>
          <w:rFonts w:ascii="Arial" w:hAnsi="Arial" w:cs="Arial"/>
          <w:sz w:val="24"/>
          <w:szCs w:val="24"/>
          <w:lang w:val="es-CO"/>
        </w:rPr>
        <w:t xml:space="preserve"> señala</w:t>
      </w:r>
      <w:r w:rsidR="00A46887" w:rsidRPr="00AD3D53">
        <w:rPr>
          <w:rFonts w:ascii="Arial" w:hAnsi="Arial" w:cs="Arial"/>
          <w:sz w:val="24"/>
          <w:szCs w:val="24"/>
          <w:lang w:val="es-CO"/>
        </w:rPr>
        <w:t>dos en la cláusula primera del c</w:t>
      </w:r>
      <w:r w:rsidR="00800A17" w:rsidRPr="00AD3D53">
        <w:rPr>
          <w:rFonts w:ascii="Arial" w:hAnsi="Arial" w:cs="Arial"/>
          <w:sz w:val="24"/>
          <w:szCs w:val="24"/>
          <w:lang w:val="es-CO"/>
        </w:rPr>
        <w:t>onvenio.</w:t>
      </w:r>
    </w:p>
    <w:p w14:paraId="10ED025A" w14:textId="77777777" w:rsidR="00092306" w:rsidRPr="00AD3D53" w:rsidRDefault="00092306" w:rsidP="00092306">
      <w:pPr>
        <w:spacing w:line="360" w:lineRule="auto"/>
        <w:contextualSpacing/>
        <w:jc w:val="both"/>
        <w:rPr>
          <w:rFonts w:ascii="Arial" w:hAnsi="Arial" w:cs="Arial"/>
          <w:sz w:val="24"/>
          <w:szCs w:val="24"/>
          <w:lang w:val="es-CO"/>
        </w:rPr>
      </w:pPr>
    </w:p>
    <w:p w14:paraId="6F7FE885" w14:textId="77777777" w:rsidR="00092306" w:rsidRPr="00AD3D53" w:rsidRDefault="00092306" w:rsidP="00092306">
      <w:pPr>
        <w:spacing w:line="360" w:lineRule="auto"/>
        <w:contextualSpacing/>
        <w:jc w:val="both"/>
        <w:rPr>
          <w:rFonts w:ascii="Arial" w:hAnsi="Arial" w:cs="Arial"/>
          <w:sz w:val="24"/>
          <w:szCs w:val="24"/>
          <w:lang w:val="es-CO"/>
        </w:rPr>
      </w:pPr>
      <w:r w:rsidRPr="00AD3D53">
        <w:rPr>
          <w:rFonts w:ascii="Arial" w:hAnsi="Arial" w:cs="Arial"/>
          <w:sz w:val="24"/>
          <w:szCs w:val="24"/>
          <w:lang w:val="es-CO"/>
        </w:rPr>
        <w:t xml:space="preserve">4. </w:t>
      </w:r>
      <w:r w:rsidR="00374712" w:rsidRPr="00AD3D53">
        <w:rPr>
          <w:rFonts w:ascii="Arial" w:hAnsi="Arial" w:cs="Arial"/>
          <w:sz w:val="24"/>
          <w:szCs w:val="24"/>
          <w:lang w:val="es-CO"/>
        </w:rPr>
        <w:t>En la cláusula segunda del c</w:t>
      </w:r>
      <w:r w:rsidR="00800A17" w:rsidRPr="00AD3D53">
        <w:rPr>
          <w:rFonts w:ascii="Arial" w:hAnsi="Arial" w:cs="Arial"/>
          <w:sz w:val="24"/>
          <w:szCs w:val="24"/>
          <w:lang w:val="es-CO"/>
        </w:rPr>
        <w:t xml:space="preserve">onvenio se estipularon las obligaciones de </w:t>
      </w:r>
      <w:proofErr w:type="spellStart"/>
      <w:r w:rsidR="00800A17" w:rsidRPr="00AD3D53">
        <w:rPr>
          <w:rFonts w:ascii="Arial" w:hAnsi="Arial" w:cs="Arial"/>
          <w:sz w:val="24"/>
          <w:szCs w:val="24"/>
          <w:lang w:val="es-CO"/>
        </w:rPr>
        <w:t>Adpostal</w:t>
      </w:r>
      <w:proofErr w:type="spellEnd"/>
      <w:r w:rsidR="00800A17" w:rsidRPr="00AD3D53">
        <w:rPr>
          <w:rFonts w:ascii="Arial" w:hAnsi="Arial" w:cs="Arial"/>
          <w:sz w:val="24"/>
          <w:szCs w:val="24"/>
          <w:lang w:val="es-CO"/>
        </w:rPr>
        <w:t>, las cuales eran, entre otras, las de recibir, portear y dar trámite a la correspondencia enviada, entregar a los destinatarios de envío de</w:t>
      </w:r>
      <w:r w:rsidR="009D25D2" w:rsidRPr="00AD3D53">
        <w:rPr>
          <w:rFonts w:ascii="Arial" w:hAnsi="Arial" w:cs="Arial"/>
          <w:sz w:val="24"/>
          <w:szCs w:val="24"/>
          <w:lang w:val="es-CO"/>
        </w:rPr>
        <w:t xml:space="preserve"> correspondencia</w:t>
      </w:r>
      <w:r w:rsidR="00800A17" w:rsidRPr="00AD3D53">
        <w:rPr>
          <w:rFonts w:ascii="Arial" w:hAnsi="Arial" w:cs="Arial"/>
          <w:sz w:val="24"/>
          <w:szCs w:val="24"/>
          <w:lang w:val="es-CO"/>
        </w:rPr>
        <w:t xml:space="preserve"> objetos postales y notificaciones en la dirección del domicilio señalado en el envío, en los plazos máximos anotados, debiendo devolver diaria y debidamente revisadas, firmadas, fechadas y selladas dos copias de la planilla de remisión del correo certificado, y debiendo conservar en sus archivos las mismas, así como devolver los acuses de recibo y/o envíos en devolución dentro de los plazos consagrados. Igualmente se estipuló que para los acuses de recibo correspondientes a envíos por correo certificado que efectuó la Secretarí</w:t>
      </w:r>
      <w:r w:rsidR="00374712" w:rsidRPr="00AD3D53">
        <w:rPr>
          <w:rFonts w:ascii="Arial" w:hAnsi="Arial" w:cs="Arial"/>
          <w:sz w:val="24"/>
          <w:szCs w:val="24"/>
          <w:lang w:val="es-CO"/>
        </w:rPr>
        <w:t>a de Hacienda en ejecución del c</w:t>
      </w:r>
      <w:r w:rsidR="00800A17" w:rsidRPr="00AD3D53">
        <w:rPr>
          <w:rFonts w:ascii="Arial" w:hAnsi="Arial" w:cs="Arial"/>
          <w:sz w:val="24"/>
          <w:szCs w:val="24"/>
          <w:lang w:val="es-CO"/>
        </w:rPr>
        <w:t xml:space="preserve">onvenio No. 3 de 15 de abril de 1999, </w:t>
      </w:r>
      <w:proofErr w:type="spellStart"/>
      <w:r w:rsidR="00800A17" w:rsidRPr="00AD3D53">
        <w:rPr>
          <w:rFonts w:ascii="Arial" w:hAnsi="Arial" w:cs="Arial"/>
          <w:sz w:val="24"/>
          <w:szCs w:val="24"/>
          <w:lang w:val="es-CO"/>
        </w:rPr>
        <w:t>Adpostal</w:t>
      </w:r>
      <w:proofErr w:type="spellEnd"/>
      <w:r w:rsidR="00800A17" w:rsidRPr="00AD3D53">
        <w:rPr>
          <w:rFonts w:ascii="Arial" w:hAnsi="Arial" w:cs="Arial"/>
          <w:sz w:val="24"/>
          <w:szCs w:val="24"/>
          <w:lang w:val="es-CO"/>
        </w:rPr>
        <w:t xml:space="preserve"> realizaría la búsqueda y certificación de dichos envíos y cobraría en la forma allí estipulada.</w:t>
      </w:r>
    </w:p>
    <w:p w14:paraId="19082E81" w14:textId="77777777" w:rsidR="00092306" w:rsidRPr="00AD3D53" w:rsidRDefault="00092306" w:rsidP="00092306">
      <w:pPr>
        <w:spacing w:line="360" w:lineRule="auto"/>
        <w:contextualSpacing/>
        <w:jc w:val="both"/>
        <w:rPr>
          <w:rFonts w:ascii="Arial" w:hAnsi="Arial" w:cs="Arial"/>
          <w:sz w:val="24"/>
          <w:szCs w:val="24"/>
          <w:lang w:val="es-CO"/>
        </w:rPr>
      </w:pPr>
    </w:p>
    <w:p w14:paraId="69ECCBD3" w14:textId="77777777" w:rsidR="00092306" w:rsidRPr="00AD3D53" w:rsidRDefault="00092306" w:rsidP="00092306">
      <w:pPr>
        <w:spacing w:line="360" w:lineRule="auto"/>
        <w:contextualSpacing/>
        <w:jc w:val="both"/>
        <w:rPr>
          <w:rFonts w:ascii="Arial" w:hAnsi="Arial" w:cs="Arial"/>
          <w:sz w:val="24"/>
          <w:szCs w:val="24"/>
          <w:lang w:val="es-CO"/>
        </w:rPr>
      </w:pPr>
      <w:r w:rsidRPr="00AD3D53">
        <w:rPr>
          <w:rFonts w:ascii="Arial" w:hAnsi="Arial" w:cs="Arial"/>
          <w:sz w:val="24"/>
          <w:szCs w:val="24"/>
          <w:lang w:val="es-CO"/>
        </w:rPr>
        <w:t xml:space="preserve">5. </w:t>
      </w:r>
      <w:r w:rsidR="006307B3" w:rsidRPr="00AD3D53">
        <w:rPr>
          <w:rFonts w:ascii="Arial" w:hAnsi="Arial" w:cs="Arial"/>
          <w:sz w:val="24"/>
          <w:szCs w:val="24"/>
          <w:lang w:val="es-CO"/>
        </w:rPr>
        <w:t xml:space="preserve">Sobre el plazo de ejecución </w:t>
      </w:r>
      <w:r w:rsidR="00374712" w:rsidRPr="00AD3D53">
        <w:rPr>
          <w:rFonts w:ascii="Arial" w:hAnsi="Arial" w:cs="Arial"/>
          <w:sz w:val="24"/>
          <w:szCs w:val="24"/>
          <w:lang w:val="es-CO"/>
        </w:rPr>
        <w:t>del c</w:t>
      </w:r>
      <w:r w:rsidR="006307B3" w:rsidRPr="00AD3D53">
        <w:rPr>
          <w:rFonts w:ascii="Arial" w:hAnsi="Arial" w:cs="Arial"/>
          <w:sz w:val="24"/>
          <w:szCs w:val="24"/>
          <w:lang w:val="es-CO"/>
        </w:rPr>
        <w:t>onvenio, se estableció en la cláusula cuarta que sería de 1 año o hasta agotar los recursos, y que su vigencia sería por el plazo de ejecución y 4 meses más.</w:t>
      </w:r>
    </w:p>
    <w:p w14:paraId="3C544A00" w14:textId="77777777" w:rsidR="00092306" w:rsidRPr="00AD3D53" w:rsidRDefault="00092306" w:rsidP="00092306">
      <w:pPr>
        <w:spacing w:line="360" w:lineRule="auto"/>
        <w:contextualSpacing/>
        <w:jc w:val="both"/>
        <w:rPr>
          <w:rFonts w:ascii="Arial" w:hAnsi="Arial" w:cs="Arial"/>
          <w:sz w:val="24"/>
          <w:szCs w:val="24"/>
          <w:lang w:val="es-CO"/>
        </w:rPr>
      </w:pPr>
    </w:p>
    <w:p w14:paraId="08A7AE81" w14:textId="77777777" w:rsidR="00092306" w:rsidRPr="00AD3D53" w:rsidRDefault="00092306" w:rsidP="000554E7">
      <w:pPr>
        <w:spacing w:line="360" w:lineRule="auto"/>
        <w:contextualSpacing/>
        <w:jc w:val="both"/>
        <w:rPr>
          <w:rFonts w:ascii="Arial" w:hAnsi="Arial" w:cs="Arial"/>
          <w:sz w:val="24"/>
          <w:szCs w:val="24"/>
          <w:lang w:val="es-CO"/>
        </w:rPr>
      </w:pPr>
      <w:r w:rsidRPr="00AD3D53">
        <w:rPr>
          <w:rFonts w:ascii="Arial" w:hAnsi="Arial" w:cs="Arial"/>
          <w:sz w:val="24"/>
          <w:szCs w:val="24"/>
          <w:lang w:val="es-CO"/>
        </w:rPr>
        <w:t xml:space="preserve">6. </w:t>
      </w:r>
      <w:r w:rsidR="000554E7" w:rsidRPr="00AD3D53">
        <w:rPr>
          <w:rFonts w:ascii="Arial" w:hAnsi="Arial" w:cs="Arial"/>
          <w:sz w:val="24"/>
          <w:szCs w:val="24"/>
          <w:lang w:val="es-CO"/>
        </w:rPr>
        <w:t>El 10 de julio de 2002 se real</w:t>
      </w:r>
      <w:r w:rsidR="0094078C" w:rsidRPr="00AD3D53">
        <w:rPr>
          <w:rFonts w:ascii="Arial" w:hAnsi="Arial" w:cs="Arial"/>
          <w:sz w:val="24"/>
          <w:szCs w:val="24"/>
          <w:lang w:val="es-CO"/>
        </w:rPr>
        <w:t>izó la primera modificación al c</w:t>
      </w:r>
      <w:r w:rsidR="000554E7" w:rsidRPr="00AD3D53">
        <w:rPr>
          <w:rFonts w:ascii="Arial" w:hAnsi="Arial" w:cs="Arial"/>
          <w:sz w:val="24"/>
          <w:szCs w:val="24"/>
          <w:lang w:val="es-CO"/>
        </w:rPr>
        <w:t xml:space="preserve">onvenio, pues solo se habían incluido en el objeto del mismo los servicios de correo certificado y </w:t>
      </w:r>
      <w:r w:rsidR="007A4FA7" w:rsidRPr="00AD3D53">
        <w:rPr>
          <w:rFonts w:ascii="Arial" w:hAnsi="Arial" w:cs="Arial"/>
          <w:sz w:val="24"/>
          <w:szCs w:val="24"/>
          <w:lang w:val="es-CO"/>
        </w:rPr>
        <w:t>“</w:t>
      </w:r>
      <w:proofErr w:type="spellStart"/>
      <w:r w:rsidR="000554E7" w:rsidRPr="00AD3D53">
        <w:rPr>
          <w:rFonts w:ascii="Arial" w:hAnsi="Arial" w:cs="Arial"/>
          <w:sz w:val="24"/>
          <w:szCs w:val="24"/>
          <w:lang w:val="es-CO"/>
        </w:rPr>
        <w:t>postexpress</w:t>
      </w:r>
      <w:proofErr w:type="spellEnd"/>
      <w:r w:rsidR="007A4FA7" w:rsidRPr="00AD3D53">
        <w:rPr>
          <w:rFonts w:ascii="Arial" w:hAnsi="Arial" w:cs="Arial"/>
          <w:sz w:val="24"/>
          <w:szCs w:val="24"/>
          <w:lang w:val="es-CO"/>
        </w:rPr>
        <w:t>”</w:t>
      </w:r>
      <w:r w:rsidR="000554E7" w:rsidRPr="00AD3D53">
        <w:rPr>
          <w:rFonts w:ascii="Arial" w:hAnsi="Arial" w:cs="Arial"/>
          <w:sz w:val="24"/>
          <w:szCs w:val="24"/>
          <w:lang w:val="es-CO"/>
        </w:rPr>
        <w:t xml:space="preserve"> y en cualquier momento la Secretaría de Hacienda podía requerir los demás servicios que prestaba </w:t>
      </w:r>
      <w:proofErr w:type="spellStart"/>
      <w:r w:rsidR="000554E7" w:rsidRPr="00AD3D53">
        <w:rPr>
          <w:rFonts w:ascii="Arial" w:hAnsi="Arial" w:cs="Arial"/>
          <w:sz w:val="24"/>
          <w:szCs w:val="24"/>
          <w:lang w:val="es-CO"/>
        </w:rPr>
        <w:t>Adpostal</w:t>
      </w:r>
      <w:proofErr w:type="spellEnd"/>
      <w:r w:rsidR="000554E7" w:rsidRPr="00AD3D53">
        <w:rPr>
          <w:rFonts w:ascii="Arial" w:hAnsi="Arial" w:cs="Arial"/>
          <w:sz w:val="24"/>
          <w:szCs w:val="24"/>
          <w:lang w:val="es-CO"/>
        </w:rPr>
        <w:t>.</w:t>
      </w:r>
    </w:p>
    <w:p w14:paraId="23DE4FCD" w14:textId="77777777" w:rsidR="00092306" w:rsidRPr="00AD3D53" w:rsidRDefault="00092306" w:rsidP="00092306">
      <w:pPr>
        <w:spacing w:line="360" w:lineRule="auto"/>
        <w:contextualSpacing/>
        <w:jc w:val="both"/>
        <w:rPr>
          <w:rFonts w:ascii="Arial" w:hAnsi="Arial" w:cs="Arial"/>
          <w:sz w:val="24"/>
          <w:szCs w:val="24"/>
          <w:lang w:val="es-CO"/>
        </w:rPr>
      </w:pPr>
    </w:p>
    <w:p w14:paraId="22A82326" w14:textId="77777777" w:rsidR="00092306" w:rsidRPr="00AD3D53" w:rsidRDefault="00092306" w:rsidP="00092306">
      <w:pPr>
        <w:spacing w:line="360" w:lineRule="auto"/>
        <w:contextualSpacing/>
        <w:jc w:val="both"/>
        <w:rPr>
          <w:rFonts w:ascii="Arial" w:hAnsi="Arial" w:cs="Arial"/>
          <w:sz w:val="24"/>
          <w:szCs w:val="24"/>
          <w:lang w:val="es-CO"/>
        </w:rPr>
      </w:pPr>
      <w:r w:rsidRPr="00AD3D53">
        <w:rPr>
          <w:rFonts w:ascii="Arial" w:hAnsi="Arial" w:cs="Arial"/>
          <w:sz w:val="24"/>
          <w:szCs w:val="24"/>
          <w:lang w:val="es-CO"/>
        </w:rPr>
        <w:t xml:space="preserve">7. </w:t>
      </w:r>
      <w:r w:rsidR="0052764A" w:rsidRPr="00AD3D53">
        <w:rPr>
          <w:rFonts w:ascii="Arial" w:hAnsi="Arial" w:cs="Arial"/>
          <w:sz w:val="24"/>
          <w:szCs w:val="24"/>
          <w:lang w:val="es-CO"/>
        </w:rPr>
        <w:t>El 7 de octubre de 2002 se m</w:t>
      </w:r>
      <w:r w:rsidR="0094078C" w:rsidRPr="00AD3D53">
        <w:rPr>
          <w:rFonts w:ascii="Arial" w:hAnsi="Arial" w:cs="Arial"/>
          <w:sz w:val="24"/>
          <w:szCs w:val="24"/>
          <w:lang w:val="es-CO"/>
        </w:rPr>
        <w:t>odificó la cláusula novena del c</w:t>
      </w:r>
      <w:r w:rsidR="0052764A" w:rsidRPr="00AD3D53">
        <w:rPr>
          <w:rFonts w:ascii="Arial" w:hAnsi="Arial" w:cs="Arial"/>
          <w:sz w:val="24"/>
          <w:szCs w:val="24"/>
          <w:lang w:val="es-CO"/>
        </w:rPr>
        <w:t>onvenio con el siguiente texto “</w:t>
      </w:r>
      <w:r w:rsidR="0052764A" w:rsidRPr="00AD3D53">
        <w:rPr>
          <w:rFonts w:ascii="Arial" w:hAnsi="Arial" w:cs="Arial"/>
          <w:i/>
          <w:sz w:val="24"/>
          <w:szCs w:val="24"/>
          <w:lang w:val="es-CO"/>
        </w:rPr>
        <w:t xml:space="preserve">el control para la cabal ejecución y cumplimiento de este convenio, de acuerdo con los objetivos perseguidos con su celebración, será realizado por </w:t>
      </w:r>
      <w:r w:rsidR="0052764A" w:rsidRPr="00AD3D53">
        <w:rPr>
          <w:rFonts w:ascii="Arial" w:hAnsi="Arial" w:cs="Arial"/>
          <w:i/>
          <w:sz w:val="24"/>
          <w:szCs w:val="24"/>
          <w:lang w:val="es-CO"/>
        </w:rPr>
        <w:lastRenderedPageBreak/>
        <w:t>un profesional de la Subdirección Administrativa el cual será designado por el Subdirector Administrativo”.</w:t>
      </w:r>
    </w:p>
    <w:p w14:paraId="27591AB5" w14:textId="77777777" w:rsidR="00092306" w:rsidRPr="00AD3D53" w:rsidRDefault="00092306" w:rsidP="00092306">
      <w:pPr>
        <w:spacing w:line="360" w:lineRule="auto"/>
        <w:contextualSpacing/>
        <w:jc w:val="both"/>
        <w:rPr>
          <w:rFonts w:ascii="Arial" w:hAnsi="Arial" w:cs="Arial"/>
          <w:sz w:val="24"/>
          <w:szCs w:val="24"/>
          <w:lang w:val="es-CO"/>
        </w:rPr>
      </w:pPr>
    </w:p>
    <w:p w14:paraId="20626A8C" w14:textId="77777777" w:rsidR="00092306" w:rsidRPr="00AD3D53" w:rsidRDefault="00092306" w:rsidP="00092306">
      <w:pPr>
        <w:spacing w:line="360" w:lineRule="auto"/>
        <w:contextualSpacing/>
        <w:jc w:val="both"/>
        <w:rPr>
          <w:rFonts w:ascii="Arial" w:hAnsi="Arial" w:cs="Arial"/>
          <w:sz w:val="24"/>
          <w:szCs w:val="24"/>
          <w:lang w:val="es-CO"/>
        </w:rPr>
      </w:pPr>
      <w:r w:rsidRPr="00AD3D53">
        <w:rPr>
          <w:rFonts w:ascii="Arial" w:hAnsi="Arial" w:cs="Arial"/>
          <w:sz w:val="24"/>
          <w:szCs w:val="24"/>
          <w:lang w:val="es-CO"/>
        </w:rPr>
        <w:t xml:space="preserve">8. </w:t>
      </w:r>
      <w:r w:rsidR="00F25948" w:rsidRPr="00AD3D53">
        <w:rPr>
          <w:rFonts w:ascii="Arial" w:hAnsi="Arial" w:cs="Arial"/>
          <w:sz w:val="24"/>
          <w:szCs w:val="24"/>
          <w:lang w:val="es-CO"/>
        </w:rPr>
        <w:t>El 28 de enero de 2003,</w:t>
      </w:r>
      <w:r w:rsidR="00FA0201" w:rsidRPr="00AD3D53">
        <w:rPr>
          <w:rFonts w:ascii="Arial" w:hAnsi="Arial" w:cs="Arial"/>
          <w:sz w:val="24"/>
          <w:szCs w:val="24"/>
          <w:lang w:val="es-CO"/>
        </w:rPr>
        <w:t xml:space="preserve"> se m</w:t>
      </w:r>
      <w:r w:rsidR="0094078C" w:rsidRPr="00AD3D53">
        <w:rPr>
          <w:rFonts w:ascii="Arial" w:hAnsi="Arial" w:cs="Arial"/>
          <w:sz w:val="24"/>
          <w:szCs w:val="24"/>
          <w:lang w:val="es-CO"/>
        </w:rPr>
        <w:t>odificó la cláusula cuarta del c</w:t>
      </w:r>
      <w:r w:rsidR="00723AF6" w:rsidRPr="00AD3D53">
        <w:rPr>
          <w:rFonts w:ascii="Arial" w:hAnsi="Arial" w:cs="Arial"/>
          <w:sz w:val="24"/>
          <w:szCs w:val="24"/>
          <w:lang w:val="es-CO"/>
        </w:rPr>
        <w:t>onvenio, en la que se señaló</w:t>
      </w:r>
      <w:r w:rsidR="00FA0201" w:rsidRPr="00AD3D53">
        <w:rPr>
          <w:rFonts w:ascii="Arial" w:hAnsi="Arial" w:cs="Arial"/>
          <w:sz w:val="24"/>
          <w:szCs w:val="24"/>
          <w:lang w:val="es-CO"/>
        </w:rPr>
        <w:t xml:space="preserve"> que el plazo de ejecución sería hasta agotar el valor de los recursos. También se adicionó el valor del convenio en la suma de $20.000.000,oo de pesos, incluido IVA.</w:t>
      </w:r>
    </w:p>
    <w:p w14:paraId="7A9E39B3" w14:textId="77777777" w:rsidR="00092306" w:rsidRPr="00AD3D53" w:rsidRDefault="00092306" w:rsidP="00092306">
      <w:pPr>
        <w:spacing w:line="360" w:lineRule="auto"/>
        <w:contextualSpacing/>
        <w:jc w:val="both"/>
        <w:rPr>
          <w:rFonts w:ascii="Arial" w:hAnsi="Arial" w:cs="Arial"/>
          <w:sz w:val="24"/>
          <w:szCs w:val="24"/>
          <w:lang w:val="es-CO"/>
        </w:rPr>
      </w:pPr>
    </w:p>
    <w:p w14:paraId="231874C0" w14:textId="77777777" w:rsidR="00092306" w:rsidRPr="00AD3D53" w:rsidRDefault="00092306" w:rsidP="00092306">
      <w:pPr>
        <w:spacing w:line="360" w:lineRule="auto"/>
        <w:contextualSpacing/>
        <w:jc w:val="both"/>
        <w:rPr>
          <w:rFonts w:ascii="Arial" w:hAnsi="Arial" w:cs="Arial"/>
          <w:sz w:val="24"/>
          <w:szCs w:val="24"/>
          <w:lang w:val="es-CO"/>
        </w:rPr>
      </w:pPr>
      <w:r w:rsidRPr="00AD3D53">
        <w:rPr>
          <w:rFonts w:ascii="Arial" w:hAnsi="Arial" w:cs="Arial"/>
          <w:sz w:val="24"/>
          <w:szCs w:val="24"/>
          <w:lang w:val="es-CO"/>
        </w:rPr>
        <w:t xml:space="preserve">9. </w:t>
      </w:r>
      <w:r w:rsidR="00470535" w:rsidRPr="00AD3D53">
        <w:rPr>
          <w:rFonts w:ascii="Arial" w:hAnsi="Arial" w:cs="Arial"/>
          <w:sz w:val="24"/>
          <w:szCs w:val="24"/>
          <w:lang w:val="es-CO"/>
        </w:rPr>
        <w:t xml:space="preserve">El 27 de febrero de </w:t>
      </w:r>
      <w:r w:rsidR="0094078C" w:rsidRPr="00AD3D53">
        <w:rPr>
          <w:rFonts w:ascii="Arial" w:hAnsi="Arial" w:cs="Arial"/>
          <w:sz w:val="24"/>
          <w:szCs w:val="24"/>
          <w:lang w:val="es-CO"/>
        </w:rPr>
        <w:t>2003, se adicionó el valor del c</w:t>
      </w:r>
      <w:r w:rsidR="00470535" w:rsidRPr="00AD3D53">
        <w:rPr>
          <w:rFonts w:ascii="Arial" w:hAnsi="Arial" w:cs="Arial"/>
          <w:sz w:val="24"/>
          <w:szCs w:val="24"/>
          <w:lang w:val="es-CO"/>
        </w:rPr>
        <w:t>onvenio en la suma de $60.000.000,oo de pesos, incluido IVA.</w:t>
      </w:r>
    </w:p>
    <w:p w14:paraId="7C43B2CD" w14:textId="77777777" w:rsidR="00092306" w:rsidRPr="00AD3D53" w:rsidRDefault="00092306" w:rsidP="00092306">
      <w:pPr>
        <w:spacing w:line="360" w:lineRule="auto"/>
        <w:contextualSpacing/>
        <w:jc w:val="both"/>
        <w:rPr>
          <w:rFonts w:ascii="Arial" w:hAnsi="Arial" w:cs="Arial"/>
          <w:sz w:val="24"/>
          <w:szCs w:val="24"/>
          <w:lang w:val="es-CO"/>
        </w:rPr>
      </w:pPr>
    </w:p>
    <w:p w14:paraId="4C2F667F" w14:textId="77777777" w:rsidR="00092306" w:rsidRPr="00AD3D53" w:rsidRDefault="00092306" w:rsidP="00092306">
      <w:pPr>
        <w:spacing w:line="360" w:lineRule="auto"/>
        <w:contextualSpacing/>
        <w:jc w:val="both"/>
        <w:rPr>
          <w:rFonts w:ascii="Arial" w:hAnsi="Arial" w:cs="Arial"/>
          <w:sz w:val="24"/>
          <w:szCs w:val="24"/>
          <w:lang w:val="es-CO"/>
        </w:rPr>
      </w:pPr>
      <w:r w:rsidRPr="00AD3D53">
        <w:rPr>
          <w:rFonts w:ascii="Arial" w:hAnsi="Arial" w:cs="Arial"/>
          <w:sz w:val="24"/>
          <w:szCs w:val="24"/>
          <w:lang w:val="es-CO"/>
        </w:rPr>
        <w:t xml:space="preserve">10. </w:t>
      </w:r>
      <w:r w:rsidR="002A4346" w:rsidRPr="00AD3D53">
        <w:rPr>
          <w:rFonts w:ascii="Arial" w:hAnsi="Arial" w:cs="Arial"/>
          <w:sz w:val="24"/>
          <w:szCs w:val="24"/>
          <w:lang w:val="es-CO"/>
        </w:rPr>
        <w:t>Según c</w:t>
      </w:r>
      <w:r w:rsidR="00470535" w:rsidRPr="00AD3D53">
        <w:rPr>
          <w:rFonts w:ascii="Arial" w:hAnsi="Arial" w:cs="Arial"/>
          <w:sz w:val="24"/>
          <w:szCs w:val="24"/>
          <w:lang w:val="es-CO"/>
        </w:rPr>
        <w:t>ertif</w:t>
      </w:r>
      <w:r w:rsidR="002A4346" w:rsidRPr="00AD3D53">
        <w:rPr>
          <w:rFonts w:ascii="Arial" w:hAnsi="Arial" w:cs="Arial"/>
          <w:sz w:val="24"/>
          <w:szCs w:val="24"/>
          <w:lang w:val="es-CO"/>
        </w:rPr>
        <w:t>icación final de e</w:t>
      </w:r>
      <w:r w:rsidR="00B5475D" w:rsidRPr="00AD3D53">
        <w:rPr>
          <w:rFonts w:ascii="Arial" w:hAnsi="Arial" w:cs="Arial"/>
          <w:sz w:val="24"/>
          <w:szCs w:val="24"/>
          <w:lang w:val="es-CO"/>
        </w:rPr>
        <w:t>j</w:t>
      </w:r>
      <w:r w:rsidR="00365C02" w:rsidRPr="00AD3D53">
        <w:rPr>
          <w:rFonts w:ascii="Arial" w:hAnsi="Arial" w:cs="Arial"/>
          <w:sz w:val="24"/>
          <w:szCs w:val="24"/>
          <w:lang w:val="es-CO"/>
        </w:rPr>
        <w:t>ecución del c</w:t>
      </w:r>
      <w:r w:rsidR="00075C2A" w:rsidRPr="00AD3D53">
        <w:rPr>
          <w:rFonts w:ascii="Arial" w:hAnsi="Arial" w:cs="Arial"/>
          <w:sz w:val="24"/>
          <w:szCs w:val="24"/>
          <w:lang w:val="es-CO"/>
        </w:rPr>
        <w:t>onvenio 24 de 2001, el c</w:t>
      </w:r>
      <w:r w:rsidR="00470535" w:rsidRPr="00AD3D53">
        <w:rPr>
          <w:rFonts w:ascii="Arial" w:hAnsi="Arial" w:cs="Arial"/>
          <w:sz w:val="24"/>
          <w:szCs w:val="24"/>
          <w:lang w:val="es-CO"/>
        </w:rPr>
        <w:t>onvenio venció el 16 de junio de 2003 y se cancelaron $203.441.031,oo de pesos, encontrándose pendiente por presentar y determinar el pago de las facturas de los meses de marzo y abril de 2003 por un valor de $35.573.150,oo de pesos, con un saldo a favor de la Secretaría de Hacienda por valor de $985.819,oo pesos.</w:t>
      </w:r>
    </w:p>
    <w:p w14:paraId="517BF213" w14:textId="77777777" w:rsidR="00092306" w:rsidRPr="00AD3D53" w:rsidRDefault="00092306" w:rsidP="00092306">
      <w:pPr>
        <w:spacing w:line="360" w:lineRule="auto"/>
        <w:contextualSpacing/>
        <w:jc w:val="both"/>
        <w:rPr>
          <w:rFonts w:ascii="Arial" w:hAnsi="Arial" w:cs="Arial"/>
          <w:sz w:val="24"/>
          <w:szCs w:val="24"/>
          <w:lang w:val="es-CO"/>
        </w:rPr>
      </w:pPr>
    </w:p>
    <w:p w14:paraId="1B0297E0" w14:textId="77777777" w:rsidR="00092306" w:rsidRPr="00AD3D53" w:rsidRDefault="005B1816" w:rsidP="00092306">
      <w:pPr>
        <w:spacing w:line="360" w:lineRule="auto"/>
        <w:contextualSpacing/>
        <w:jc w:val="both"/>
        <w:rPr>
          <w:rFonts w:ascii="Arial" w:hAnsi="Arial" w:cs="Arial"/>
          <w:sz w:val="24"/>
          <w:szCs w:val="24"/>
        </w:rPr>
      </w:pPr>
      <w:r w:rsidRPr="00AD3D53">
        <w:rPr>
          <w:rFonts w:ascii="Arial" w:hAnsi="Arial" w:cs="Arial"/>
          <w:sz w:val="24"/>
          <w:szCs w:val="24"/>
        </w:rPr>
        <w:t>11</w:t>
      </w:r>
      <w:r w:rsidR="00092306" w:rsidRPr="00AD3D53">
        <w:rPr>
          <w:rFonts w:ascii="Arial" w:hAnsi="Arial" w:cs="Arial"/>
          <w:sz w:val="24"/>
          <w:szCs w:val="24"/>
        </w:rPr>
        <w:t xml:space="preserve">. El Tribunal Administrativo de Cundinamarca </w:t>
      </w:r>
      <w:r w:rsidR="00092306" w:rsidRPr="00AD3D53">
        <w:rPr>
          <w:rFonts w:ascii="Arial" w:hAnsi="Arial" w:cs="Arial"/>
          <w:b/>
          <w:sz w:val="24"/>
          <w:szCs w:val="24"/>
        </w:rPr>
        <w:t>admitió la demanda</w:t>
      </w:r>
      <w:r w:rsidR="00092306" w:rsidRPr="00AD3D53">
        <w:rPr>
          <w:rFonts w:ascii="Arial" w:hAnsi="Arial" w:cs="Arial"/>
          <w:sz w:val="24"/>
          <w:szCs w:val="24"/>
        </w:rPr>
        <w:t xml:space="preserve"> mediante A</w:t>
      </w:r>
      <w:r w:rsidR="00A91386" w:rsidRPr="00AD3D53">
        <w:rPr>
          <w:rFonts w:ascii="Arial" w:hAnsi="Arial" w:cs="Arial"/>
          <w:sz w:val="24"/>
          <w:szCs w:val="24"/>
        </w:rPr>
        <w:t>uto de 3 de febrero de 2006</w:t>
      </w:r>
      <w:r w:rsidR="00092306" w:rsidRPr="00AD3D53">
        <w:rPr>
          <w:rStyle w:val="Refdenotaalpie"/>
          <w:rFonts w:ascii="Arial" w:hAnsi="Arial" w:cs="Arial"/>
          <w:sz w:val="24"/>
          <w:szCs w:val="24"/>
        </w:rPr>
        <w:footnoteReference w:id="2"/>
      </w:r>
      <w:r w:rsidR="00092306" w:rsidRPr="00AD3D53">
        <w:rPr>
          <w:rFonts w:ascii="Arial" w:hAnsi="Arial" w:cs="Arial"/>
          <w:sz w:val="24"/>
          <w:szCs w:val="24"/>
        </w:rPr>
        <w:t xml:space="preserve">. </w:t>
      </w:r>
    </w:p>
    <w:p w14:paraId="4D891F1A" w14:textId="77777777" w:rsidR="00092306" w:rsidRPr="00AD3D53" w:rsidRDefault="00092306" w:rsidP="00092306">
      <w:pPr>
        <w:spacing w:line="360" w:lineRule="auto"/>
        <w:contextualSpacing/>
        <w:jc w:val="both"/>
        <w:rPr>
          <w:rFonts w:ascii="Arial" w:hAnsi="Arial" w:cs="Arial"/>
          <w:b/>
          <w:sz w:val="24"/>
          <w:szCs w:val="24"/>
        </w:rPr>
      </w:pPr>
    </w:p>
    <w:p w14:paraId="207B012A" w14:textId="77777777" w:rsidR="00092306" w:rsidRPr="00AD3D53" w:rsidRDefault="00223CD6" w:rsidP="00092306">
      <w:pPr>
        <w:spacing w:line="360" w:lineRule="auto"/>
        <w:contextualSpacing/>
        <w:jc w:val="both"/>
        <w:rPr>
          <w:rFonts w:ascii="Arial" w:hAnsi="Arial" w:cs="Arial"/>
          <w:sz w:val="24"/>
          <w:szCs w:val="24"/>
        </w:rPr>
      </w:pPr>
      <w:r w:rsidRPr="00AD3D53">
        <w:rPr>
          <w:rFonts w:ascii="Arial" w:hAnsi="Arial" w:cs="Arial"/>
          <w:sz w:val="24"/>
          <w:szCs w:val="24"/>
        </w:rPr>
        <w:t>1</w:t>
      </w:r>
      <w:r w:rsidR="00092306" w:rsidRPr="00AD3D53">
        <w:rPr>
          <w:rFonts w:ascii="Arial" w:hAnsi="Arial" w:cs="Arial"/>
          <w:sz w:val="24"/>
          <w:szCs w:val="24"/>
        </w:rPr>
        <w:t xml:space="preserve">2 </w:t>
      </w:r>
      <w:r w:rsidR="00A61F85" w:rsidRPr="00AD3D53">
        <w:rPr>
          <w:rFonts w:ascii="Arial" w:hAnsi="Arial" w:cs="Arial"/>
          <w:sz w:val="24"/>
          <w:szCs w:val="24"/>
        </w:rPr>
        <w:t>El 2 de mayo de 2006</w:t>
      </w:r>
      <w:r w:rsidR="00092306" w:rsidRPr="00AD3D53">
        <w:rPr>
          <w:rFonts w:ascii="Arial" w:hAnsi="Arial" w:cs="Arial"/>
          <w:sz w:val="24"/>
          <w:szCs w:val="24"/>
        </w:rPr>
        <w:t xml:space="preserve">, </w:t>
      </w:r>
      <w:proofErr w:type="spellStart"/>
      <w:r w:rsidR="00A61F85" w:rsidRPr="00AD3D53">
        <w:rPr>
          <w:rFonts w:ascii="Arial" w:hAnsi="Arial" w:cs="Arial"/>
          <w:sz w:val="24"/>
          <w:szCs w:val="24"/>
        </w:rPr>
        <w:t>Adpostal</w:t>
      </w:r>
      <w:proofErr w:type="spellEnd"/>
      <w:r w:rsidR="00092306" w:rsidRPr="00AD3D53">
        <w:rPr>
          <w:rFonts w:ascii="Arial" w:hAnsi="Arial" w:cs="Arial"/>
          <w:sz w:val="24"/>
          <w:szCs w:val="24"/>
        </w:rPr>
        <w:t xml:space="preserve">, actuando por intermedio de apoderada judicial, presentó </w:t>
      </w:r>
      <w:r w:rsidR="00092306" w:rsidRPr="00AD3D53">
        <w:rPr>
          <w:rFonts w:ascii="Arial" w:hAnsi="Arial" w:cs="Arial"/>
          <w:b/>
          <w:sz w:val="24"/>
          <w:szCs w:val="24"/>
        </w:rPr>
        <w:t>contestación de la demanda</w:t>
      </w:r>
      <w:r w:rsidR="00092306" w:rsidRPr="00AD3D53">
        <w:rPr>
          <w:rStyle w:val="Refdenotaalpie"/>
          <w:rFonts w:ascii="Arial" w:hAnsi="Arial" w:cs="Arial"/>
          <w:b/>
          <w:sz w:val="24"/>
          <w:szCs w:val="24"/>
        </w:rPr>
        <w:footnoteReference w:id="3"/>
      </w:r>
      <w:r w:rsidR="000F1F68" w:rsidRPr="00AD3D53">
        <w:rPr>
          <w:rFonts w:ascii="Arial" w:hAnsi="Arial" w:cs="Arial"/>
          <w:b/>
          <w:sz w:val="24"/>
          <w:szCs w:val="24"/>
        </w:rPr>
        <w:t>,</w:t>
      </w:r>
      <w:r w:rsidR="00092306" w:rsidRPr="00AD3D53">
        <w:rPr>
          <w:rFonts w:ascii="Arial" w:hAnsi="Arial" w:cs="Arial"/>
          <w:sz w:val="24"/>
          <w:szCs w:val="24"/>
        </w:rPr>
        <w:t xml:space="preserve"> </w:t>
      </w:r>
      <w:r w:rsidR="000F1F68" w:rsidRPr="00AD3D53">
        <w:rPr>
          <w:rFonts w:ascii="Arial" w:hAnsi="Arial" w:cs="Arial"/>
          <w:sz w:val="24"/>
          <w:szCs w:val="24"/>
          <w:lang w:val="es-CO"/>
        </w:rPr>
        <w:t>en la cual propuso las excepciones que denominó “</w:t>
      </w:r>
      <w:r w:rsidR="000F1F68" w:rsidRPr="00AD3D53">
        <w:rPr>
          <w:rFonts w:ascii="Arial" w:hAnsi="Arial" w:cs="Arial"/>
          <w:i/>
          <w:sz w:val="24"/>
          <w:szCs w:val="24"/>
          <w:lang w:val="es-CO"/>
        </w:rPr>
        <w:t>prescripción del derecho”</w:t>
      </w:r>
      <w:r w:rsidR="000F1F68" w:rsidRPr="00AD3D53">
        <w:rPr>
          <w:rFonts w:ascii="Arial" w:hAnsi="Arial" w:cs="Arial"/>
          <w:sz w:val="24"/>
          <w:szCs w:val="24"/>
          <w:lang w:val="es-CO"/>
        </w:rPr>
        <w:t xml:space="preserve"> y “</w:t>
      </w:r>
      <w:r w:rsidR="000F1F68" w:rsidRPr="00AD3D53">
        <w:rPr>
          <w:rFonts w:ascii="Arial" w:hAnsi="Arial" w:cs="Arial"/>
          <w:i/>
          <w:sz w:val="24"/>
          <w:szCs w:val="24"/>
          <w:lang w:val="es-CO"/>
        </w:rPr>
        <w:t>excepción de caducidad”.</w:t>
      </w:r>
    </w:p>
    <w:p w14:paraId="29E85E22" w14:textId="77777777" w:rsidR="00092306" w:rsidRPr="00AD3D53" w:rsidRDefault="00092306" w:rsidP="00092306">
      <w:pPr>
        <w:spacing w:line="360" w:lineRule="auto"/>
        <w:contextualSpacing/>
        <w:jc w:val="both"/>
        <w:rPr>
          <w:rFonts w:ascii="Arial" w:hAnsi="Arial" w:cs="Arial"/>
          <w:sz w:val="24"/>
          <w:szCs w:val="24"/>
        </w:rPr>
      </w:pPr>
    </w:p>
    <w:p w14:paraId="527008D4" w14:textId="77777777" w:rsidR="00092306" w:rsidRPr="00AD3D53" w:rsidRDefault="00DA3046" w:rsidP="00092306">
      <w:pPr>
        <w:spacing w:line="360" w:lineRule="auto"/>
        <w:contextualSpacing/>
        <w:jc w:val="both"/>
        <w:rPr>
          <w:rFonts w:ascii="Arial" w:hAnsi="Arial" w:cs="Arial"/>
          <w:sz w:val="24"/>
          <w:szCs w:val="24"/>
        </w:rPr>
      </w:pPr>
      <w:r w:rsidRPr="00AD3D53">
        <w:rPr>
          <w:rFonts w:ascii="Arial" w:hAnsi="Arial" w:cs="Arial"/>
          <w:sz w:val="24"/>
          <w:szCs w:val="24"/>
        </w:rPr>
        <w:t>13</w:t>
      </w:r>
      <w:r w:rsidR="00092306" w:rsidRPr="00AD3D53">
        <w:rPr>
          <w:rFonts w:ascii="Arial" w:hAnsi="Arial" w:cs="Arial"/>
          <w:sz w:val="24"/>
          <w:szCs w:val="24"/>
        </w:rPr>
        <w:t xml:space="preserve">. </w:t>
      </w:r>
      <w:r w:rsidR="00FE65F2" w:rsidRPr="00AD3D53">
        <w:rPr>
          <w:rFonts w:ascii="Arial" w:hAnsi="Arial" w:cs="Arial"/>
          <w:sz w:val="24"/>
          <w:szCs w:val="24"/>
        </w:rPr>
        <w:t>El 30 de septiembre</w:t>
      </w:r>
      <w:r w:rsidR="00092306" w:rsidRPr="00AD3D53">
        <w:rPr>
          <w:rFonts w:ascii="Arial" w:hAnsi="Arial" w:cs="Arial"/>
          <w:sz w:val="24"/>
          <w:szCs w:val="24"/>
        </w:rPr>
        <w:t xml:space="preserve"> de 200</w:t>
      </w:r>
      <w:r w:rsidR="00D21DBD" w:rsidRPr="00AD3D53">
        <w:rPr>
          <w:rFonts w:ascii="Arial" w:hAnsi="Arial" w:cs="Arial"/>
          <w:sz w:val="24"/>
          <w:szCs w:val="24"/>
        </w:rPr>
        <w:t>6,</w:t>
      </w:r>
      <w:r w:rsidR="00092306" w:rsidRPr="00AD3D53">
        <w:rPr>
          <w:rFonts w:ascii="Arial" w:hAnsi="Arial" w:cs="Arial"/>
          <w:sz w:val="24"/>
          <w:szCs w:val="24"/>
        </w:rPr>
        <w:t xml:space="preserve"> el Tribunal Administrativo de Cundinamarca </w:t>
      </w:r>
      <w:r w:rsidR="00092306" w:rsidRPr="00AD3D53">
        <w:rPr>
          <w:rFonts w:ascii="Arial" w:hAnsi="Arial" w:cs="Arial"/>
          <w:b/>
          <w:sz w:val="24"/>
          <w:szCs w:val="24"/>
        </w:rPr>
        <w:t>decretó las pruebas</w:t>
      </w:r>
      <w:r w:rsidR="00092306" w:rsidRPr="00AD3D53">
        <w:rPr>
          <w:rFonts w:ascii="Arial" w:hAnsi="Arial" w:cs="Arial"/>
          <w:sz w:val="24"/>
          <w:szCs w:val="24"/>
        </w:rPr>
        <w:t xml:space="preserve"> a ser tenidas en cuenta en el proceso</w:t>
      </w:r>
      <w:r w:rsidR="00092306" w:rsidRPr="00AD3D53">
        <w:rPr>
          <w:rStyle w:val="Refdenotaalpie"/>
          <w:rFonts w:ascii="Arial" w:hAnsi="Arial" w:cs="Arial"/>
          <w:sz w:val="24"/>
          <w:szCs w:val="24"/>
        </w:rPr>
        <w:footnoteReference w:id="4"/>
      </w:r>
      <w:r w:rsidR="00092306" w:rsidRPr="00AD3D53">
        <w:rPr>
          <w:rFonts w:ascii="Arial" w:hAnsi="Arial" w:cs="Arial"/>
          <w:sz w:val="24"/>
          <w:szCs w:val="24"/>
        </w:rPr>
        <w:t>. Se tuvieron en cuenta los siguientes medios probatorios:</w:t>
      </w:r>
    </w:p>
    <w:p w14:paraId="2F0F9BFC" w14:textId="77777777" w:rsidR="00092306" w:rsidRPr="00AD3D53" w:rsidRDefault="00092306" w:rsidP="00092306">
      <w:pPr>
        <w:spacing w:line="360" w:lineRule="auto"/>
        <w:contextualSpacing/>
        <w:jc w:val="both"/>
        <w:rPr>
          <w:rFonts w:ascii="Arial" w:hAnsi="Arial" w:cs="Arial"/>
          <w:sz w:val="24"/>
          <w:szCs w:val="24"/>
        </w:rPr>
      </w:pPr>
    </w:p>
    <w:p w14:paraId="04DFECC4" w14:textId="77777777" w:rsidR="002765A5" w:rsidRPr="00AD3D53" w:rsidRDefault="00BB669D" w:rsidP="002765A5">
      <w:pPr>
        <w:spacing w:line="360" w:lineRule="auto"/>
        <w:contextualSpacing/>
        <w:jc w:val="both"/>
        <w:rPr>
          <w:rFonts w:ascii="Arial" w:hAnsi="Arial" w:cs="Arial"/>
          <w:b/>
          <w:sz w:val="24"/>
          <w:szCs w:val="24"/>
          <w:lang w:val="es-CO"/>
        </w:rPr>
      </w:pPr>
      <w:r w:rsidRPr="00AD3D53">
        <w:rPr>
          <w:rFonts w:ascii="Arial" w:hAnsi="Arial" w:cs="Arial"/>
          <w:b/>
          <w:sz w:val="24"/>
          <w:szCs w:val="24"/>
          <w:lang w:val="es-CO"/>
        </w:rPr>
        <w:t>(</w:t>
      </w:r>
      <w:r w:rsidR="002765A5" w:rsidRPr="00AD3D53">
        <w:rPr>
          <w:rFonts w:ascii="Arial" w:hAnsi="Arial" w:cs="Arial"/>
          <w:b/>
          <w:sz w:val="24"/>
          <w:szCs w:val="24"/>
          <w:lang w:val="es-CO"/>
        </w:rPr>
        <w:t>Documentales</w:t>
      </w:r>
      <w:r w:rsidRPr="00AD3D53">
        <w:rPr>
          <w:rFonts w:ascii="Arial" w:hAnsi="Arial" w:cs="Arial"/>
          <w:b/>
          <w:sz w:val="24"/>
          <w:szCs w:val="24"/>
          <w:lang w:val="es-CO"/>
        </w:rPr>
        <w:t>)</w:t>
      </w:r>
    </w:p>
    <w:p w14:paraId="1D8AC2FE" w14:textId="77777777" w:rsidR="002765A5" w:rsidRPr="00AD3D53" w:rsidRDefault="002765A5" w:rsidP="002765A5">
      <w:pPr>
        <w:spacing w:line="360" w:lineRule="auto"/>
        <w:contextualSpacing/>
        <w:jc w:val="both"/>
        <w:rPr>
          <w:rFonts w:ascii="Arial" w:hAnsi="Arial" w:cs="Arial"/>
          <w:sz w:val="24"/>
          <w:szCs w:val="24"/>
          <w:lang w:val="es-CO"/>
        </w:rPr>
      </w:pPr>
    </w:p>
    <w:p w14:paraId="6F674F0E" w14:textId="77777777" w:rsidR="002765A5" w:rsidRPr="00AD3D53" w:rsidRDefault="00001BE4"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t>- Convenio i</w:t>
      </w:r>
      <w:r w:rsidR="002765A5" w:rsidRPr="00AD3D53">
        <w:rPr>
          <w:rFonts w:ascii="Arial" w:hAnsi="Arial" w:cs="Arial"/>
          <w:sz w:val="24"/>
          <w:szCs w:val="24"/>
          <w:lang w:val="es-CO"/>
        </w:rPr>
        <w:t>nteradministrativo No. 24 de 2001</w:t>
      </w:r>
      <w:r w:rsidR="002765A5" w:rsidRPr="00AD3D53">
        <w:rPr>
          <w:rStyle w:val="Refdenotaalpie"/>
          <w:rFonts w:ascii="Arial" w:hAnsi="Arial" w:cs="Arial"/>
          <w:lang w:val="es-CO"/>
        </w:rPr>
        <w:footnoteReference w:id="5"/>
      </w:r>
      <w:r w:rsidR="002765A5" w:rsidRPr="00AD3D53">
        <w:rPr>
          <w:rFonts w:ascii="Arial" w:hAnsi="Arial" w:cs="Arial"/>
          <w:sz w:val="24"/>
          <w:szCs w:val="24"/>
          <w:lang w:val="es-CO"/>
        </w:rPr>
        <w:t>.</w:t>
      </w:r>
    </w:p>
    <w:p w14:paraId="6950C28C" w14:textId="77777777" w:rsidR="002765A5" w:rsidRPr="00AD3D53" w:rsidRDefault="002765A5" w:rsidP="002765A5">
      <w:pPr>
        <w:spacing w:line="360" w:lineRule="auto"/>
        <w:contextualSpacing/>
        <w:jc w:val="both"/>
        <w:rPr>
          <w:rFonts w:ascii="Arial" w:hAnsi="Arial" w:cs="Arial"/>
          <w:sz w:val="24"/>
          <w:szCs w:val="24"/>
          <w:lang w:val="es-CO"/>
        </w:rPr>
      </w:pPr>
    </w:p>
    <w:p w14:paraId="5A445571" w14:textId="77777777" w:rsidR="002765A5" w:rsidRPr="00AD3D53" w:rsidRDefault="00001BE4"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lastRenderedPageBreak/>
        <w:t>- Modificación No. 1 al c</w:t>
      </w:r>
      <w:r w:rsidR="00DF4CEF" w:rsidRPr="00AD3D53">
        <w:rPr>
          <w:rFonts w:ascii="Arial" w:hAnsi="Arial" w:cs="Arial"/>
          <w:sz w:val="24"/>
          <w:szCs w:val="24"/>
          <w:lang w:val="es-CO"/>
        </w:rPr>
        <w:t>onvenio i</w:t>
      </w:r>
      <w:r w:rsidR="002765A5" w:rsidRPr="00AD3D53">
        <w:rPr>
          <w:rFonts w:ascii="Arial" w:hAnsi="Arial" w:cs="Arial"/>
          <w:sz w:val="24"/>
          <w:szCs w:val="24"/>
          <w:lang w:val="es-CO"/>
        </w:rPr>
        <w:t>nteradministrativo No. 24 de 2001, de 10 de julio de 2002</w:t>
      </w:r>
      <w:r w:rsidR="002765A5" w:rsidRPr="00AD3D53">
        <w:rPr>
          <w:rStyle w:val="Refdenotaalpie"/>
          <w:rFonts w:ascii="Arial" w:hAnsi="Arial" w:cs="Arial"/>
          <w:lang w:val="es-CO"/>
        </w:rPr>
        <w:footnoteReference w:id="6"/>
      </w:r>
      <w:r w:rsidR="002765A5" w:rsidRPr="00AD3D53">
        <w:rPr>
          <w:rFonts w:ascii="Arial" w:hAnsi="Arial" w:cs="Arial"/>
          <w:sz w:val="24"/>
          <w:szCs w:val="24"/>
          <w:lang w:val="es-CO"/>
        </w:rPr>
        <w:t>.</w:t>
      </w:r>
    </w:p>
    <w:p w14:paraId="0A8EAF10" w14:textId="77777777" w:rsidR="00C2740E" w:rsidRPr="00AD3D53" w:rsidRDefault="00C2740E" w:rsidP="002765A5">
      <w:pPr>
        <w:spacing w:line="360" w:lineRule="auto"/>
        <w:contextualSpacing/>
        <w:jc w:val="both"/>
        <w:rPr>
          <w:rFonts w:ascii="Arial" w:hAnsi="Arial" w:cs="Arial"/>
          <w:sz w:val="24"/>
          <w:szCs w:val="24"/>
          <w:lang w:val="es-CO"/>
        </w:rPr>
      </w:pPr>
    </w:p>
    <w:p w14:paraId="1EDEB894" w14:textId="77777777" w:rsidR="002765A5" w:rsidRPr="00AD3D53" w:rsidRDefault="001B0D29"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t>- Modificación No. 2 al convenio i</w:t>
      </w:r>
      <w:r w:rsidR="002765A5" w:rsidRPr="00AD3D53">
        <w:rPr>
          <w:rFonts w:ascii="Arial" w:hAnsi="Arial" w:cs="Arial"/>
          <w:sz w:val="24"/>
          <w:szCs w:val="24"/>
          <w:lang w:val="es-CO"/>
        </w:rPr>
        <w:t>nteradministrativo No. 24 de 2001, de 7 de octubre de 2002</w:t>
      </w:r>
      <w:r w:rsidR="002765A5" w:rsidRPr="00AD3D53">
        <w:rPr>
          <w:rStyle w:val="Refdenotaalpie"/>
          <w:rFonts w:ascii="Arial" w:hAnsi="Arial" w:cs="Arial"/>
          <w:lang w:val="es-CO"/>
        </w:rPr>
        <w:footnoteReference w:id="7"/>
      </w:r>
      <w:r w:rsidR="002765A5" w:rsidRPr="00AD3D53">
        <w:rPr>
          <w:rFonts w:ascii="Arial" w:hAnsi="Arial" w:cs="Arial"/>
          <w:sz w:val="24"/>
          <w:szCs w:val="24"/>
          <w:lang w:val="es-CO"/>
        </w:rPr>
        <w:t>.</w:t>
      </w:r>
    </w:p>
    <w:p w14:paraId="615BCF58" w14:textId="77777777" w:rsidR="002765A5" w:rsidRPr="00AD3D53" w:rsidRDefault="002765A5" w:rsidP="002765A5">
      <w:pPr>
        <w:spacing w:line="360" w:lineRule="auto"/>
        <w:contextualSpacing/>
        <w:jc w:val="both"/>
        <w:rPr>
          <w:rFonts w:ascii="Arial" w:hAnsi="Arial" w:cs="Arial"/>
          <w:sz w:val="24"/>
          <w:szCs w:val="24"/>
          <w:lang w:val="es-CO"/>
        </w:rPr>
      </w:pPr>
    </w:p>
    <w:p w14:paraId="1A2E4B0C" w14:textId="77777777" w:rsidR="002765A5" w:rsidRPr="00AD3D53" w:rsidRDefault="00903AAD"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t>- Modificación No. 3 al convenio i</w:t>
      </w:r>
      <w:r w:rsidR="002765A5" w:rsidRPr="00AD3D53">
        <w:rPr>
          <w:rFonts w:ascii="Arial" w:hAnsi="Arial" w:cs="Arial"/>
          <w:sz w:val="24"/>
          <w:szCs w:val="24"/>
          <w:lang w:val="es-CO"/>
        </w:rPr>
        <w:t>nteradministrativo No. 24 de 2001, de 28 de enero de 2003</w:t>
      </w:r>
      <w:r w:rsidR="002765A5" w:rsidRPr="00AD3D53">
        <w:rPr>
          <w:rStyle w:val="Refdenotaalpie"/>
          <w:rFonts w:ascii="Arial" w:hAnsi="Arial" w:cs="Arial"/>
          <w:lang w:val="es-CO"/>
        </w:rPr>
        <w:footnoteReference w:id="8"/>
      </w:r>
      <w:r w:rsidR="002765A5" w:rsidRPr="00AD3D53">
        <w:rPr>
          <w:rFonts w:ascii="Arial" w:hAnsi="Arial" w:cs="Arial"/>
          <w:sz w:val="24"/>
          <w:szCs w:val="24"/>
          <w:lang w:val="es-CO"/>
        </w:rPr>
        <w:t>.</w:t>
      </w:r>
    </w:p>
    <w:p w14:paraId="7D01CA4C" w14:textId="77777777" w:rsidR="002765A5" w:rsidRPr="00AD3D53" w:rsidRDefault="002765A5" w:rsidP="002765A5">
      <w:pPr>
        <w:spacing w:line="360" w:lineRule="auto"/>
        <w:contextualSpacing/>
        <w:jc w:val="both"/>
        <w:rPr>
          <w:rFonts w:ascii="Arial" w:hAnsi="Arial" w:cs="Arial"/>
          <w:sz w:val="24"/>
          <w:szCs w:val="24"/>
          <w:lang w:val="es-CO"/>
        </w:rPr>
      </w:pPr>
    </w:p>
    <w:p w14:paraId="48BAB5A1" w14:textId="77777777" w:rsidR="002765A5" w:rsidRPr="00AD3D53" w:rsidRDefault="00202D8B"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t>- Modificación No. 4 al convenio i</w:t>
      </w:r>
      <w:r w:rsidR="002765A5" w:rsidRPr="00AD3D53">
        <w:rPr>
          <w:rFonts w:ascii="Arial" w:hAnsi="Arial" w:cs="Arial"/>
          <w:sz w:val="24"/>
          <w:szCs w:val="24"/>
          <w:lang w:val="es-CO"/>
        </w:rPr>
        <w:t>nteradministrativo No. 24 de 2001, de 27 de febrero de 2003</w:t>
      </w:r>
      <w:r w:rsidR="002765A5" w:rsidRPr="00AD3D53">
        <w:rPr>
          <w:rStyle w:val="Refdenotaalpie"/>
          <w:rFonts w:ascii="Arial" w:hAnsi="Arial" w:cs="Arial"/>
          <w:lang w:val="es-CO"/>
        </w:rPr>
        <w:footnoteReference w:id="9"/>
      </w:r>
      <w:r w:rsidR="002765A5" w:rsidRPr="00AD3D53">
        <w:rPr>
          <w:rFonts w:ascii="Arial" w:hAnsi="Arial" w:cs="Arial"/>
          <w:sz w:val="24"/>
          <w:szCs w:val="24"/>
          <w:lang w:val="es-CO"/>
        </w:rPr>
        <w:t>.</w:t>
      </w:r>
    </w:p>
    <w:p w14:paraId="3DD6AA3E" w14:textId="77777777" w:rsidR="002765A5" w:rsidRPr="00AD3D53" w:rsidRDefault="002765A5" w:rsidP="002765A5">
      <w:pPr>
        <w:spacing w:line="360" w:lineRule="auto"/>
        <w:contextualSpacing/>
        <w:jc w:val="both"/>
        <w:rPr>
          <w:rFonts w:ascii="Arial" w:hAnsi="Arial" w:cs="Arial"/>
          <w:sz w:val="24"/>
          <w:szCs w:val="24"/>
          <w:lang w:val="es-CO"/>
        </w:rPr>
      </w:pPr>
    </w:p>
    <w:p w14:paraId="6F4DF4AC" w14:textId="77777777" w:rsidR="002765A5" w:rsidRPr="00AD3D53" w:rsidRDefault="002765A5"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t>-Antecedentes administrativos del</w:t>
      </w:r>
      <w:r w:rsidR="00E56784" w:rsidRPr="00AD3D53">
        <w:rPr>
          <w:rFonts w:ascii="Arial" w:hAnsi="Arial" w:cs="Arial"/>
          <w:sz w:val="24"/>
          <w:szCs w:val="24"/>
          <w:lang w:val="es-CO"/>
        </w:rPr>
        <w:t xml:space="preserve"> convenio i</w:t>
      </w:r>
      <w:r w:rsidRPr="00AD3D53">
        <w:rPr>
          <w:rFonts w:ascii="Arial" w:hAnsi="Arial" w:cs="Arial"/>
          <w:sz w:val="24"/>
          <w:szCs w:val="24"/>
          <w:lang w:val="es-CO"/>
        </w:rPr>
        <w:t>nteradministrativo No. 24 de 2001, de 27 de febrero de 2003</w:t>
      </w:r>
      <w:r w:rsidRPr="00AD3D53">
        <w:rPr>
          <w:rStyle w:val="Refdenotaalpie"/>
          <w:rFonts w:ascii="Arial" w:hAnsi="Arial" w:cs="Arial"/>
          <w:lang w:val="es-CO"/>
        </w:rPr>
        <w:footnoteReference w:id="10"/>
      </w:r>
      <w:r w:rsidRPr="00AD3D53">
        <w:rPr>
          <w:rFonts w:ascii="Arial" w:hAnsi="Arial" w:cs="Arial"/>
          <w:sz w:val="24"/>
          <w:szCs w:val="24"/>
          <w:lang w:val="es-CO"/>
        </w:rPr>
        <w:t>.</w:t>
      </w:r>
    </w:p>
    <w:p w14:paraId="1CB056C2" w14:textId="77777777" w:rsidR="002765A5" w:rsidRPr="00AD3D53" w:rsidRDefault="002765A5" w:rsidP="002765A5">
      <w:pPr>
        <w:spacing w:line="360" w:lineRule="auto"/>
        <w:contextualSpacing/>
        <w:jc w:val="both"/>
        <w:rPr>
          <w:rFonts w:ascii="Arial" w:hAnsi="Arial" w:cs="Arial"/>
          <w:sz w:val="24"/>
          <w:szCs w:val="24"/>
          <w:lang w:val="es-CO"/>
        </w:rPr>
      </w:pPr>
    </w:p>
    <w:p w14:paraId="33FD1616" w14:textId="77777777" w:rsidR="002765A5" w:rsidRPr="00AD3D53" w:rsidRDefault="00C84409"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t>- Certificación f</w:t>
      </w:r>
      <w:r w:rsidR="00390235" w:rsidRPr="00AD3D53">
        <w:rPr>
          <w:rFonts w:ascii="Arial" w:hAnsi="Arial" w:cs="Arial"/>
          <w:sz w:val="24"/>
          <w:szCs w:val="24"/>
          <w:lang w:val="es-CO"/>
        </w:rPr>
        <w:t>inal de ejecución del convenio i</w:t>
      </w:r>
      <w:r w:rsidR="002765A5" w:rsidRPr="00AD3D53">
        <w:rPr>
          <w:rFonts w:ascii="Arial" w:hAnsi="Arial" w:cs="Arial"/>
          <w:sz w:val="24"/>
          <w:szCs w:val="24"/>
          <w:lang w:val="es-CO"/>
        </w:rPr>
        <w:t>nteradministrativo No. 24 de 2001, de 27 de febrero de 2003</w:t>
      </w:r>
      <w:r w:rsidR="002765A5" w:rsidRPr="00AD3D53">
        <w:rPr>
          <w:rStyle w:val="Refdenotaalpie"/>
          <w:rFonts w:ascii="Arial" w:hAnsi="Arial" w:cs="Arial"/>
          <w:lang w:val="es-CO"/>
        </w:rPr>
        <w:footnoteReference w:id="11"/>
      </w:r>
      <w:r w:rsidR="002765A5" w:rsidRPr="00AD3D53">
        <w:rPr>
          <w:rFonts w:ascii="Arial" w:hAnsi="Arial" w:cs="Arial"/>
          <w:sz w:val="24"/>
          <w:szCs w:val="24"/>
          <w:lang w:val="es-CO"/>
        </w:rPr>
        <w:t>.</w:t>
      </w:r>
    </w:p>
    <w:p w14:paraId="0F451A05" w14:textId="77777777" w:rsidR="002765A5" w:rsidRPr="00AD3D53" w:rsidRDefault="002765A5" w:rsidP="002765A5">
      <w:pPr>
        <w:spacing w:line="360" w:lineRule="auto"/>
        <w:contextualSpacing/>
        <w:jc w:val="both"/>
        <w:rPr>
          <w:rFonts w:ascii="Arial" w:hAnsi="Arial" w:cs="Arial"/>
          <w:sz w:val="24"/>
          <w:szCs w:val="24"/>
          <w:lang w:val="es-CO"/>
        </w:rPr>
      </w:pPr>
    </w:p>
    <w:p w14:paraId="6903E4FE" w14:textId="77777777" w:rsidR="002765A5" w:rsidRPr="00AD3D53" w:rsidRDefault="002765A5"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t>- Memorando de</w:t>
      </w:r>
      <w:r w:rsidR="009A488B" w:rsidRPr="00AD3D53">
        <w:rPr>
          <w:rFonts w:ascii="Arial" w:hAnsi="Arial" w:cs="Arial"/>
          <w:sz w:val="24"/>
          <w:szCs w:val="24"/>
          <w:lang w:val="es-CO"/>
        </w:rPr>
        <w:t xml:space="preserve"> 14 de diciembre de 2005 de la directora distrital de i</w:t>
      </w:r>
      <w:r w:rsidRPr="00AD3D53">
        <w:rPr>
          <w:rFonts w:ascii="Arial" w:hAnsi="Arial" w:cs="Arial"/>
          <w:sz w:val="24"/>
          <w:szCs w:val="24"/>
          <w:lang w:val="es-CO"/>
        </w:rPr>
        <w:t>m</w:t>
      </w:r>
      <w:r w:rsidR="009A488B" w:rsidRPr="00AD3D53">
        <w:rPr>
          <w:rFonts w:ascii="Arial" w:hAnsi="Arial" w:cs="Arial"/>
          <w:sz w:val="24"/>
          <w:szCs w:val="24"/>
          <w:lang w:val="es-CO"/>
        </w:rPr>
        <w:t>puestos dirigido a la directora j</w:t>
      </w:r>
      <w:r w:rsidRPr="00AD3D53">
        <w:rPr>
          <w:rFonts w:ascii="Arial" w:hAnsi="Arial" w:cs="Arial"/>
          <w:sz w:val="24"/>
          <w:szCs w:val="24"/>
          <w:lang w:val="es-CO"/>
        </w:rPr>
        <w:t xml:space="preserve">urídica de la Secretaría de Hacienda, sobre incumplimientos de </w:t>
      </w:r>
      <w:proofErr w:type="spellStart"/>
      <w:r w:rsidRPr="00AD3D53">
        <w:rPr>
          <w:rFonts w:ascii="Arial" w:hAnsi="Arial" w:cs="Arial"/>
          <w:sz w:val="24"/>
          <w:szCs w:val="24"/>
          <w:lang w:val="es-CO"/>
        </w:rPr>
        <w:t>Adpostal</w:t>
      </w:r>
      <w:proofErr w:type="spellEnd"/>
      <w:r w:rsidRPr="00AD3D53">
        <w:rPr>
          <w:rFonts w:ascii="Arial" w:hAnsi="Arial" w:cs="Arial"/>
          <w:sz w:val="24"/>
          <w:szCs w:val="24"/>
          <w:lang w:val="es-CO"/>
        </w:rPr>
        <w:t xml:space="preserve"> y tasación de los perjuicios</w:t>
      </w:r>
      <w:r w:rsidRPr="00AD3D53">
        <w:rPr>
          <w:rStyle w:val="Refdenotaalpie"/>
          <w:rFonts w:ascii="Arial" w:hAnsi="Arial" w:cs="Arial"/>
          <w:lang w:val="es-CO"/>
        </w:rPr>
        <w:footnoteReference w:id="12"/>
      </w:r>
      <w:r w:rsidRPr="00AD3D53">
        <w:rPr>
          <w:rFonts w:ascii="Arial" w:hAnsi="Arial" w:cs="Arial"/>
          <w:sz w:val="24"/>
          <w:szCs w:val="24"/>
          <w:lang w:val="es-CO"/>
        </w:rPr>
        <w:t xml:space="preserve">. </w:t>
      </w:r>
    </w:p>
    <w:p w14:paraId="5574C06F" w14:textId="77777777" w:rsidR="002765A5" w:rsidRPr="00AD3D53" w:rsidRDefault="002765A5" w:rsidP="002765A5">
      <w:pPr>
        <w:spacing w:line="360" w:lineRule="auto"/>
        <w:contextualSpacing/>
        <w:jc w:val="both"/>
        <w:rPr>
          <w:rFonts w:ascii="Arial" w:hAnsi="Arial" w:cs="Arial"/>
          <w:sz w:val="24"/>
          <w:szCs w:val="24"/>
          <w:lang w:val="es-CO"/>
        </w:rPr>
      </w:pPr>
    </w:p>
    <w:p w14:paraId="7B074C32" w14:textId="77777777" w:rsidR="002765A5" w:rsidRPr="00AD3D53" w:rsidRDefault="007D7D12" w:rsidP="002765A5">
      <w:pPr>
        <w:spacing w:line="360" w:lineRule="auto"/>
        <w:contextualSpacing/>
        <w:jc w:val="both"/>
        <w:rPr>
          <w:rFonts w:ascii="Arial" w:hAnsi="Arial" w:cs="Arial"/>
          <w:b/>
          <w:sz w:val="24"/>
          <w:szCs w:val="24"/>
          <w:lang w:val="es-CO"/>
        </w:rPr>
      </w:pPr>
      <w:r w:rsidRPr="00AD3D53">
        <w:rPr>
          <w:rFonts w:ascii="Arial" w:hAnsi="Arial" w:cs="Arial"/>
          <w:b/>
          <w:sz w:val="24"/>
          <w:szCs w:val="24"/>
          <w:lang w:val="es-CO"/>
        </w:rPr>
        <w:t>(</w:t>
      </w:r>
      <w:r w:rsidR="002765A5" w:rsidRPr="00AD3D53">
        <w:rPr>
          <w:rFonts w:ascii="Arial" w:hAnsi="Arial" w:cs="Arial"/>
          <w:b/>
          <w:sz w:val="24"/>
          <w:szCs w:val="24"/>
          <w:lang w:val="es-CO"/>
        </w:rPr>
        <w:t>Interrogatorio de parte</w:t>
      </w:r>
      <w:r w:rsidRPr="00AD3D53">
        <w:rPr>
          <w:rFonts w:ascii="Arial" w:hAnsi="Arial" w:cs="Arial"/>
          <w:b/>
          <w:sz w:val="24"/>
          <w:szCs w:val="24"/>
          <w:lang w:val="es-CO"/>
        </w:rPr>
        <w:t>)</w:t>
      </w:r>
    </w:p>
    <w:p w14:paraId="62030D41" w14:textId="77777777" w:rsidR="002765A5" w:rsidRPr="00AD3D53" w:rsidRDefault="002765A5" w:rsidP="002765A5">
      <w:pPr>
        <w:spacing w:line="360" w:lineRule="auto"/>
        <w:contextualSpacing/>
        <w:jc w:val="both"/>
        <w:rPr>
          <w:rFonts w:ascii="Arial" w:hAnsi="Arial" w:cs="Arial"/>
          <w:b/>
          <w:sz w:val="24"/>
          <w:szCs w:val="24"/>
          <w:lang w:val="es-CO"/>
        </w:rPr>
      </w:pPr>
    </w:p>
    <w:p w14:paraId="2A205074" w14:textId="77777777" w:rsidR="004D012D" w:rsidRPr="00AD3D53" w:rsidRDefault="002765A5"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t>- Interrogatorio de parte de la</w:t>
      </w:r>
      <w:r w:rsidR="00DE0B38" w:rsidRPr="00AD3D53">
        <w:rPr>
          <w:rFonts w:ascii="Arial" w:hAnsi="Arial" w:cs="Arial"/>
          <w:sz w:val="24"/>
          <w:szCs w:val="24"/>
          <w:lang w:val="es-CO"/>
        </w:rPr>
        <w:t xml:space="preserve"> representante legal de </w:t>
      </w:r>
      <w:proofErr w:type="spellStart"/>
      <w:r w:rsidR="00DE0B38" w:rsidRPr="00AD3D53">
        <w:rPr>
          <w:rFonts w:ascii="Arial" w:hAnsi="Arial" w:cs="Arial"/>
          <w:sz w:val="24"/>
          <w:szCs w:val="24"/>
          <w:lang w:val="es-CO"/>
        </w:rPr>
        <w:t>Adpostal</w:t>
      </w:r>
      <w:proofErr w:type="spellEnd"/>
      <w:r w:rsidR="00DE0B38" w:rsidRPr="00AD3D53">
        <w:rPr>
          <w:rFonts w:ascii="Arial" w:hAnsi="Arial" w:cs="Arial"/>
          <w:sz w:val="24"/>
          <w:szCs w:val="24"/>
          <w:lang w:val="es-CO"/>
        </w:rPr>
        <w:t>,</w:t>
      </w:r>
      <w:r w:rsidRPr="00AD3D53">
        <w:rPr>
          <w:rFonts w:ascii="Arial" w:hAnsi="Arial" w:cs="Arial"/>
          <w:sz w:val="24"/>
          <w:szCs w:val="24"/>
          <w:lang w:val="es-CO"/>
        </w:rPr>
        <w:t xml:space="preserve"> realizado el 8 de mayo de 2008</w:t>
      </w:r>
      <w:r w:rsidRPr="00AD3D53">
        <w:rPr>
          <w:rStyle w:val="Refdenotaalpie"/>
          <w:rFonts w:ascii="Arial" w:hAnsi="Arial" w:cs="Arial"/>
          <w:lang w:val="es-CO"/>
        </w:rPr>
        <w:footnoteReference w:id="13"/>
      </w:r>
      <w:r w:rsidRPr="00AD3D53">
        <w:rPr>
          <w:rFonts w:ascii="Arial" w:hAnsi="Arial" w:cs="Arial"/>
          <w:sz w:val="24"/>
          <w:szCs w:val="24"/>
          <w:lang w:val="es-CO"/>
        </w:rPr>
        <w:t>.</w:t>
      </w:r>
    </w:p>
    <w:p w14:paraId="34BB43D0" w14:textId="77777777" w:rsidR="002765A5" w:rsidRPr="00AD3D53" w:rsidRDefault="00C77B49" w:rsidP="002765A5">
      <w:pPr>
        <w:spacing w:line="360" w:lineRule="auto"/>
        <w:contextualSpacing/>
        <w:jc w:val="both"/>
        <w:rPr>
          <w:rFonts w:ascii="Arial" w:hAnsi="Arial" w:cs="Arial"/>
          <w:sz w:val="24"/>
          <w:szCs w:val="24"/>
          <w:lang w:val="es-CO"/>
        </w:rPr>
      </w:pPr>
      <w:r w:rsidRPr="00AD3D53">
        <w:rPr>
          <w:rFonts w:ascii="Arial" w:hAnsi="Arial" w:cs="Arial"/>
          <w:b/>
          <w:sz w:val="24"/>
          <w:szCs w:val="24"/>
          <w:lang w:val="es-CO"/>
        </w:rPr>
        <w:t>(</w:t>
      </w:r>
      <w:r w:rsidR="002765A5" w:rsidRPr="00AD3D53">
        <w:rPr>
          <w:rFonts w:ascii="Arial" w:hAnsi="Arial" w:cs="Arial"/>
          <w:b/>
          <w:sz w:val="24"/>
          <w:szCs w:val="24"/>
          <w:lang w:val="es-CO"/>
        </w:rPr>
        <w:t>Testimoniales</w:t>
      </w:r>
      <w:r w:rsidRPr="00AD3D53">
        <w:rPr>
          <w:rFonts w:ascii="Arial" w:hAnsi="Arial" w:cs="Arial"/>
          <w:b/>
          <w:sz w:val="24"/>
          <w:szCs w:val="24"/>
          <w:lang w:val="es-CO"/>
        </w:rPr>
        <w:t>)</w:t>
      </w:r>
    </w:p>
    <w:p w14:paraId="0F255BF5" w14:textId="77777777" w:rsidR="002765A5" w:rsidRPr="00AD3D53" w:rsidRDefault="002765A5" w:rsidP="002765A5">
      <w:pPr>
        <w:spacing w:line="360" w:lineRule="auto"/>
        <w:contextualSpacing/>
        <w:jc w:val="both"/>
        <w:rPr>
          <w:rFonts w:ascii="Arial" w:hAnsi="Arial" w:cs="Arial"/>
          <w:sz w:val="24"/>
          <w:szCs w:val="24"/>
          <w:lang w:val="es-CO"/>
        </w:rPr>
      </w:pPr>
    </w:p>
    <w:p w14:paraId="27456DDE" w14:textId="77777777" w:rsidR="002765A5" w:rsidRPr="00AD3D53" w:rsidRDefault="002765A5"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t>- Testim</w:t>
      </w:r>
      <w:r w:rsidR="000A78F0" w:rsidRPr="00AD3D53">
        <w:rPr>
          <w:rFonts w:ascii="Arial" w:hAnsi="Arial" w:cs="Arial"/>
          <w:sz w:val="24"/>
          <w:szCs w:val="24"/>
          <w:lang w:val="es-CO"/>
        </w:rPr>
        <w:t>onio del primer supervisor del c</w:t>
      </w:r>
      <w:r w:rsidRPr="00AD3D53">
        <w:rPr>
          <w:rFonts w:ascii="Arial" w:hAnsi="Arial" w:cs="Arial"/>
          <w:sz w:val="24"/>
          <w:szCs w:val="24"/>
          <w:lang w:val="es-CO"/>
        </w:rPr>
        <w:t>onvenio, realizado el 6 de mayo de 2008</w:t>
      </w:r>
      <w:r w:rsidRPr="00AD3D53">
        <w:rPr>
          <w:rStyle w:val="Refdenotaalpie"/>
          <w:rFonts w:ascii="Arial" w:hAnsi="Arial" w:cs="Arial"/>
          <w:lang w:val="es-CO"/>
        </w:rPr>
        <w:footnoteReference w:id="14"/>
      </w:r>
      <w:r w:rsidRPr="00AD3D53">
        <w:rPr>
          <w:rFonts w:ascii="Arial" w:hAnsi="Arial" w:cs="Arial"/>
          <w:sz w:val="24"/>
          <w:szCs w:val="24"/>
          <w:lang w:val="es-CO"/>
        </w:rPr>
        <w:t>.</w:t>
      </w:r>
    </w:p>
    <w:p w14:paraId="2D94A967" w14:textId="77777777" w:rsidR="002765A5" w:rsidRPr="00AD3D53" w:rsidRDefault="002765A5" w:rsidP="002765A5">
      <w:pPr>
        <w:spacing w:line="360" w:lineRule="auto"/>
        <w:contextualSpacing/>
        <w:jc w:val="both"/>
        <w:rPr>
          <w:rFonts w:ascii="Arial" w:hAnsi="Arial" w:cs="Arial"/>
          <w:sz w:val="24"/>
          <w:szCs w:val="24"/>
          <w:lang w:val="es-CO"/>
        </w:rPr>
      </w:pPr>
    </w:p>
    <w:p w14:paraId="3B33A065" w14:textId="77777777" w:rsidR="002765A5" w:rsidRPr="00AD3D53" w:rsidRDefault="002765A5"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lastRenderedPageBreak/>
        <w:t>- Testimo</w:t>
      </w:r>
      <w:r w:rsidR="000A78F0" w:rsidRPr="00AD3D53">
        <w:rPr>
          <w:rFonts w:ascii="Arial" w:hAnsi="Arial" w:cs="Arial"/>
          <w:sz w:val="24"/>
          <w:szCs w:val="24"/>
          <w:lang w:val="es-CO"/>
        </w:rPr>
        <w:t>nio del segundo supervisor del c</w:t>
      </w:r>
      <w:r w:rsidRPr="00AD3D53">
        <w:rPr>
          <w:rFonts w:ascii="Arial" w:hAnsi="Arial" w:cs="Arial"/>
          <w:sz w:val="24"/>
          <w:szCs w:val="24"/>
          <w:lang w:val="es-CO"/>
        </w:rPr>
        <w:t>onvenio, realizado el 6 de mayo de 2008</w:t>
      </w:r>
      <w:r w:rsidRPr="00AD3D53">
        <w:rPr>
          <w:rStyle w:val="Refdenotaalpie"/>
          <w:rFonts w:ascii="Arial" w:hAnsi="Arial" w:cs="Arial"/>
          <w:lang w:val="es-CO"/>
        </w:rPr>
        <w:footnoteReference w:id="15"/>
      </w:r>
      <w:r w:rsidRPr="00AD3D53">
        <w:rPr>
          <w:rFonts w:ascii="Arial" w:hAnsi="Arial" w:cs="Arial"/>
          <w:sz w:val="24"/>
          <w:szCs w:val="24"/>
          <w:lang w:val="es-CO"/>
        </w:rPr>
        <w:t>.</w:t>
      </w:r>
    </w:p>
    <w:p w14:paraId="469D2393" w14:textId="77777777" w:rsidR="002765A5" w:rsidRPr="00AD3D53" w:rsidRDefault="002765A5" w:rsidP="002765A5">
      <w:pPr>
        <w:spacing w:line="360" w:lineRule="auto"/>
        <w:contextualSpacing/>
        <w:jc w:val="both"/>
        <w:rPr>
          <w:rFonts w:ascii="Arial" w:hAnsi="Arial" w:cs="Arial"/>
          <w:sz w:val="24"/>
          <w:szCs w:val="24"/>
          <w:lang w:val="es-CO"/>
        </w:rPr>
      </w:pPr>
    </w:p>
    <w:p w14:paraId="156A92ED" w14:textId="77777777" w:rsidR="002765A5" w:rsidRPr="00AD3D53" w:rsidRDefault="00A25461" w:rsidP="002765A5">
      <w:pPr>
        <w:spacing w:line="360" w:lineRule="auto"/>
        <w:contextualSpacing/>
        <w:jc w:val="both"/>
        <w:rPr>
          <w:rFonts w:ascii="Arial" w:hAnsi="Arial" w:cs="Arial"/>
          <w:b/>
          <w:sz w:val="24"/>
          <w:szCs w:val="24"/>
          <w:lang w:val="es-CO"/>
        </w:rPr>
      </w:pPr>
      <w:r w:rsidRPr="00AD3D53">
        <w:rPr>
          <w:rFonts w:ascii="Arial" w:hAnsi="Arial" w:cs="Arial"/>
          <w:b/>
          <w:sz w:val="24"/>
          <w:szCs w:val="24"/>
          <w:lang w:val="es-CO"/>
        </w:rPr>
        <w:t>(</w:t>
      </w:r>
      <w:r w:rsidR="002765A5" w:rsidRPr="00AD3D53">
        <w:rPr>
          <w:rFonts w:ascii="Arial" w:hAnsi="Arial" w:cs="Arial"/>
          <w:b/>
          <w:sz w:val="24"/>
          <w:szCs w:val="24"/>
          <w:lang w:val="es-CO"/>
        </w:rPr>
        <w:t>Dictamen pericial</w:t>
      </w:r>
      <w:r w:rsidRPr="00AD3D53">
        <w:rPr>
          <w:rFonts w:ascii="Arial" w:hAnsi="Arial" w:cs="Arial"/>
          <w:b/>
          <w:sz w:val="24"/>
          <w:szCs w:val="24"/>
          <w:lang w:val="es-CO"/>
        </w:rPr>
        <w:t>)</w:t>
      </w:r>
    </w:p>
    <w:p w14:paraId="34933D61" w14:textId="77777777" w:rsidR="002765A5" w:rsidRPr="00AD3D53" w:rsidRDefault="002765A5" w:rsidP="002765A5">
      <w:pPr>
        <w:spacing w:line="360" w:lineRule="auto"/>
        <w:contextualSpacing/>
        <w:jc w:val="both"/>
        <w:rPr>
          <w:rFonts w:ascii="Arial" w:hAnsi="Arial" w:cs="Arial"/>
          <w:b/>
          <w:sz w:val="24"/>
          <w:szCs w:val="24"/>
          <w:lang w:val="es-CO"/>
        </w:rPr>
      </w:pPr>
    </w:p>
    <w:p w14:paraId="0FA67D52" w14:textId="77777777" w:rsidR="002765A5" w:rsidRPr="00AD3D53" w:rsidRDefault="002765A5"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t>- Dictamen pericial realizado por el contador Luis Eduardo Carrillo Villamiza</w:t>
      </w:r>
      <w:r w:rsidR="00991FF1" w:rsidRPr="00AD3D53">
        <w:rPr>
          <w:rFonts w:ascii="Arial" w:hAnsi="Arial" w:cs="Arial"/>
          <w:sz w:val="24"/>
          <w:szCs w:val="24"/>
          <w:lang w:val="es-CO"/>
        </w:rPr>
        <w:t>r, sobre los perjuicios soportados</w:t>
      </w:r>
      <w:r w:rsidRPr="00AD3D53">
        <w:rPr>
          <w:rFonts w:ascii="Arial" w:hAnsi="Arial" w:cs="Arial"/>
          <w:sz w:val="24"/>
          <w:szCs w:val="24"/>
          <w:lang w:val="es-CO"/>
        </w:rPr>
        <w:t xml:space="preserve"> por la Secretaría de Hacien</w:t>
      </w:r>
      <w:r w:rsidR="00774789" w:rsidRPr="00AD3D53">
        <w:rPr>
          <w:rFonts w:ascii="Arial" w:hAnsi="Arial" w:cs="Arial"/>
          <w:sz w:val="24"/>
          <w:szCs w:val="24"/>
          <w:lang w:val="es-CO"/>
        </w:rPr>
        <w:t>da por los incumplimientos del c</w:t>
      </w:r>
      <w:r w:rsidRPr="00AD3D53">
        <w:rPr>
          <w:rFonts w:ascii="Arial" w:hAnsi="Arial" w:cs="Arial"/>
          <w:sz w:val="24"/>
          <w:szCs w:val="24"/>
          <w:lang w:val="es-CO"/>
        </w:rPr>
        <w:t>onvenio</w:t>
      </w:r>
      <w:r w:rsidRPr="00AD3D53">
        <w:rPr>
          <w:rStyle w:val="Refdenotaalpie"/>
          <w:rFonts w:ascii="Arial" w:hAnsi="Arial" w:cs="Arial"/>
          <w:lang w:val="es-CO"/>
        </w:rPr>
        <w:footnoteReference w:id="16"/>
      </w:r>
      <w:r w:rsidRPr="00AD3D53">
        <w:rPr>
          <w:rFonts w:ascii="Arial" w:hAnsi="Arial" w:cs="Arial"/>
          <w:sz w:val="24"/>
          <w:szCs w:val="24"/>
          <w:lang w:val="es-CO"/>
        </w:rPr>
        <w:t>.</w:t>
      </w:r>
    </w:p>
    <w:p w14:paraId="0122666B" w14:textId="77777777" w:rsidR="00C0463D" w:rsidRPr="00AD3D53" w:rsidRDefault="00C0463D" w:rsidP="002765A5">
      <w:pPr>
        <w:spacing w:line="360" w:lineRule="auto"/>
        <w:contextualSpacing/>
        <w:jc w:val="both"/>
        <w:rPr>
          <w:rFonts w:ascii="Arial" w:hAnsi="Arial" w:cs="Arial"/>
          <w:sz w:val="24"/>
          <w:szCs w:val="24"/>
          <w:lang w:val="es-CO"/>
        </w:rPr>
      </w:pPr>
    </w:p>
    <w:p w14:paraId="1FBFD01E" w14:textId="77777777" w:rsidR="00C0463D" w:rsidRPr="00AD3D53" w:rsidRDefault="000D1CFF" w:rsidP="002765A5">
      <w:pPr>
        <w:spacing w:line="360" w:lineRule="auto"/>
        <w:contextualSpacing/>
        <w:jc w:val="both"/>
        <w:rPr>
          <w:rFonts w:ascii="Arial" w:hAnsi="Arial" w:cs="Arial"/>
          <w:sz w:val="24"/>
          <w:szCs w:val="24"/>
          <w:lang w:val="es-CO"/>
        </w:rPr>
      </w:pPr>
      <w:r w:rsidRPr="00AD3D53">
        <w:rPr>
          <w:rFonts w:ascii="Arial" w:hAnsi="Arial" w:cs="Arial"/>
          <w:sz w:val="24"/>
          <w:szCs w:val="24"/>
          <w:lang w:val="es-CO"/>
        </w:rPr>
        <w:t>14</w:t>
      </w:r>
      <w:r w:rsidR="00C0463D" w:rsidRPr="00AD3D53">
        <w:rPr>
          <w:rFonts w:ascii="Arial" w:hAnsi="Arial" w:cs="Arial"/>
          <w:sz w:val="24"/>
          <w:szCs w:val="24"/>
          <w:lang w:val="es-CO"/>
        </w:rPr>
        <w:t xml:space="preserve">. Con ocasión del cierre del proceso </w:t>
      </w:r>
      <w:proofErr w:type="spellStart"/>
      <w:r w:rsidR="00C0463D" w:rsidRPr="00AD3D53">
        <w:rPr>
          <w:rFonts w:ascii="Arial" w:hAnsi="Arial" w:cs="Arial"/>
          <w:sz w:val="24"/>
          <w:szCs w:val="24"/>
          <w:lang w:val="es-CO"/>
        </w:rPr>
        <w:t>liquidatorio</w:t>
      </w:r>
      <w:proofErr w:type="spellEnd"/>
      <w:r w:rsidR="00C0463D" w:rsidRPr="00AD3D53">
        <w:rPr>
          <w:rFonts w:ascii="Arial" w:hAnsi="Arial" w:cs="Arial"/>
          <w:sz w:val="24"/>
          <w:szCs w:val="24"/>
          <w:lang w:val="es-CO"/>
        </w:rPr>
        <w:t xml:space="preserve"> de </w:t>
      </w:r>
      <w:proofErr w:type="spellStart"/>
      <w:r w:rsidR="00C0463D" w:rsidRPr="00AD3D53">
        <w:rPr>
          <w:rFonts w:ascii="Arial" w:hAnsi="Arial" w:cs="Arial"/>
          <w:sz w:val="24"/>
          <w:szCs w:val="24"/>
          <w:lang w:val="es-CO"/>
        </w:rPr>
        <w:t>Adpostal</w:t>
      </w:r>
      <w:proofErr w:type="spellEnd"/>
      <w:r w:rsidR="000D69EA" w:rsidRPr="00AD3D53">
        <w:rPr>
          <w:rStyle w:val="Refdenotaalpie"/>
          <w:rFonts w:ascii="Arial" w:hAnsi="Arial" w:cs="Arial"/>
          <w:sz w:val="24"/>
          <w:szCs w:val="24"/>
          <w:lang w:val="es-CO"/>
        </w:rPr>
        <w:footnoteReference w:id="17"/>
      </w:r>
      <w:r w:rsidR="00055F14" w:rsidRPr="00AD3D53">
        <w:rPr>
          <w:rFonts w:ascii="Arial" w:hAnsi="Arial" w:cs="Arial"/>
          <w:sz w:val="24"/>
          <w:szCs w:val="24"/>
          <w:lang w:val="es-CO"/>
        </w:rPr>
        <w:t xml:space="preserve">, la </w:t>
      </w:r>
      <w:r w:rsidR="00055F14" w:rsidRPr="00AD3D53">
        <w:rPr>
          <w:rFonts w:ascii="Arial" w:hAnsi="Arial" w:cs="Arial"/>
          <w:sz w:val="24"/>
          <w:szCs w:val="24"/>
          <w:u w:val="single"/>
          <w:lang w:val="es-CO"/>
        </w:rPr>
        <w:t>Sociedad Fiduciaria de</w:t>
      </w:r>
      <w:r w:rsidR="00A06896" w:rsidRPr="00AD3D53">
        <w:rPr>
          <w:rFonts w:ascii="Arial" w:hAnsi="Arial" w:cs="Arial"/>
          <w:sz w:val="24"/>
          <w:szCs w:val="24"/>
          <w:u w:val="single"/>
          <w:lang w:val="es-CO"/>
        </w:rPr>
        <w:t xml:space="preserve"> Desarrollo Agropecuario S.A. (</w:t>
      </w:r>
      <w:proofErr w:type="spellStart"/>
      <w:r w:rsidR="00C0463D" w:rsidRPr="00AD3D53">
        <w:rPr>
          <w:rFonts w:ascii="Arial" w:hAnsi="Arial" w:cs="Arial"/>
          <w:sz w:val="24"/>
          <w:szCs w:val="24"/>
          <w:u w:val="single"/>
          <w:lang w:val="es-CO"/>
        </w:rPr>
        <w:t>Fiduagraria</w:t>
      </w:r>
      <w:proofErr w:type="spellEnd"/>
      <w:r w:rsidR="00C0463D" w:rsidRPr="00AD3D53">
        <w:rPr>
          <w:rFonts w:ascii="Arial" w:hAnsi="Arial" w:cs="Arial"/>
          <w:sz w:val="24"/>
          <w:szCs w:val="24"/>
          <w:u w:val="single"/>
          <w:lang w:val="es-CO"/>
        </w:rPr>
        <w:t xml:space="preserve"> S.A.</w:t>
      </w:r>
      <w:r w:rsidR="00A06896" w:rsidRPr="00AD3D53">
        <w:rPr>
          <w:rFonts w:ascii="Arial" w:hAnsi="Arial" w:cs="Arial"/>
          <w:sz w:val="24"/>
          <w:szCs w:val="24"/>
          <w:u w:val="single"/>
          <w:lang w:val="es-CO"/>
        </w:rPr>
        <w:t>)</w:t>
      </w:r>
      <w:r w:rsidR="00C0463D" w:rsidRPr="00AD3D53">
        <w:rPr>
          <w:rFonts w:ascii="Arial" w:hAnsi="Arial" w:cs="Arial"/>
          <w:sz w:val="24"/>
          <w:szCs w:val="24"/>
          <w:lang w:val="es-CO"/>
        </w:rPr>
        <w:t xml:space="preserve">, en calidad de vocera del patrimonio autónomo de remanentes de </w:t>
      </w:r>
      <w:proofErr w:type="spellStart"/>
      <w:r w:rsidR="00C0463D" w:rsidRPr="00AD3D53">
        <w:rPr>
          <w:rFonts w:ascii="Arial" w:hAnsi="Arial" w:cs="Arial"/>
          <w:sz w:val="24"/>
          <w:szCs w:val="24"/>
          <w:lang w:val="es-CO"/>
        </w:rPr>
        <w:t>Adpostal</w:t>
      </w:r>
      <w:proofErr w:type="spellEnd"/>
      <w:r w:rsidR="00C0463D" w:rsidRPr="00AD3D53">
        <w:rPr>
          <w:rFonts w:ascii="Arial" w:hAnsi="Arial" w:cs="Arial"/>
          <w:sz w:val="24"/>
          <w:szCs w:val="24"/>
          <w:lang w:val="es-CO"/>
        </w:rPr>
        <w:t xml:space="preserve">, </w:t>
      </w:r>
      <w:r w:rsidR="004C728E" w:rsidRPr="00AD3D53">
        <w:rPr>
          <w:rFonts w:ascii="Arial" w:hAnsi="Arial" w:cs="Arial"/>
          <w:sz w:val="24"/>
          <w:szCs w:val="24"/>
          <w:lang w:val="es-CO"/>
        </w:rPr>
        <w:t>sucedió procesalmente a esta entidad</w:t>
      </w:r>
      <w:r w:rsidR="00C0463D" w:rsidRPr="00AD3D53">
        <w:rPr>
          <w:rStyle w:val="Refdenotaalpie"/>
          <w:rFonts w:ascii="Arial" w:hAnsi="Arial" w:cs="Arial"/>
          <w:lang w:val="es-CO"/>
        </w:rPr>
        <w:footnoteReference w:id="18"/>
      </w:r>
      <w:r w:rsidR="00C0463D" w:rsidRPr="00AD3D53">
        <w:rPr>
          <w:rFonts w:ascii="Arial" w:hAnsi="Arial" w:cs="Arial"/>
          <w:sz w:val="24"/>
          <w:szCs w:val="24"/>
          <w:lang w:val="es-CO"/>
        </w:rPr>
        <w:t>.</w:t>
      </w:r>
    </w:p>
    <w:p w14:paraId="1C9FE00D" w14:textId="77777777" w:rsidR="00092306" w:rsidRPr="00AD3D53" w:rsidRDefault="00092306" w:rsidP="00092306">
      <w:pPr>
        <w:spacing w:line="360" w:lineRule="auto"/>
        <w:contextualSpacing/>
        <w:jc w:val="both"/>
        <w:rPr>
          <w:rFonts w:ascii="Arial" w:hAnsi="Arial" w:cs="Arial"/>
          <w:sz w:val="24"/>
          <w:szCs w:val="24"/>
          <w:lang w:val="es-CO"/>
        </w:rPr>
      </w:pPr>
    </w:p>
    <w:p w14:paraId="3C6306D6" w14:textId="77777777" w:rsidR="003A5DBD" w:rsidRPr="00AD3D53" w:rsidRDefault="00E44371" w:rsidP="003A5DBD">
      <w:pPr>
        <w:spacing w:line="360" w:lineRule="auto"/>
        <w:contextualSpacing/>
        <w:jc w:val="both"/>
        <w:rPr>
          <w:rFonts w:ascii="Arial" w:hAnsi="Arial" w:cs="Arial"/>
          <w:sz w:val="24"/>
          <w:szCs w:val="24"/>
          <w:lang w:val="es-CO"/>
        </w:rPr>
      </w:pPr>
      <w:r w:rsidRPr="00AD3D53">
        <w:rPr>
          <w:rFonts w:ascii="Arial" w:hAnsi="Arial" w:cs="Arial"/>
          <w:sz w:val="24"/>
          <w:szCs w:val="24"/>
        </w:rPr>
        <w:t>15</w:t>
      </w:r>
      <w:r w:rsidR="00092306" w:rsidRPr="00AD3D53">
        <w:rPr>
          <w:rFonts w:ascii="Arial" w:hAnsi="Arial" w:cs="Arial"/>
          <w:sz w:val="24"/>
          <w:szCs w:val="24"/>
        </w:rPr>
        <w:t xml:space="preserve">. </w:t>
      </w:r>
      <w:r w:rsidR="003A5DBD" w:rsidRPr="00AD3D53">
        <w:rPr>
          <w:rFonts w:ascii="Arial" w:hAnsi="Arial" w:cs="Arial"/>
          <w:sz w:val="24"/>
          <w:szCs w:val="24"/>
          <w:lang w:val="es-CO"/>
        </w:rPr>
        <w:t xml:space="preserve">Mediante escrito radicado el 24 de abril de 2009, la apoderada de </w:t>
      </w:r>
      <w:proofErr w:type="spellStart"/>
      <w:r w:rsidR="003A5DBD" w:rsidRPr="00AD3D53">
        <w:rPr>
          <w:rFonts w:ascii="Arial" w:hAnsi="Arial" w:cs="Arial"/>
          <w:sz w:val="24"/>
          <w:szCs w:val="24"/>
          <w:lang w:val="es-CO"/>
        </w:rPr>
        <w:t>Fiduagraria</w:t>
      </w:r>
      <w:proofErr w:type="spellEnd"/>
      <w:r w:rsidR="003A5DBD" w:rsidRPr="00AD3D53">
        <w:rPr>
          <w:rFonts w:ascii="Arial" w:hAnsi="Arial" w:cs="Arial"/>
          <w:sz w:val="24"/>
          <w:szCs w:val="24"/>
          <w:lang w:val="es-CO"/>
        </w:rPr>
        <w:t xml:space="preserve"> S.A. -en calidad de vocera del patrimonio autónomo de remanentes de </w:t>
      </w:r>
      <w:proofErr w:type="spellStart"/>
      <w:r w:rsidR="003A5DBD" w:rsidRPr="00AD3D53">
        <w:rPr>
          <w:rFonts w:ascii="Arial" w:hAnsi="Arial" w:cs="Arial"/>
          <w:sz w:val="24"/>
          <w:szCs w:val="24"/>
          <w:lang w:val="es-CO"/>
        </w:rPr>
        <w:t>Adpostal</w:t>
      </w:r>
      <w:proofErr w:type="spellEnd"/>
      <w:r w:rsidR="003A5DBD" w:rsidRPr="00AD3D53">
        <w:rPr>
          <w:rFonts w:ascii="Arial" w:hAnsi="Arial" w:cs="Arial"/>
          <w:sz w:val="24"/>
          <w:szCs w:val="24"/>
          <w:lang w:val="es-CO"/>
        </w:rPr>
        <w:t>-, presentó objeción por error grave del dictamen rendido por Luis Eduardo Carrillo Villamizar</w:t>
      </w:r>
      <w:r w:rsidR="003A5DBD" w:rsidRPr="00AD3D53">
        <w:rPr>
          <w:rStyle w:val="Refdenotaalpie"/>
          <w:rFonts w:ascii="Arial" w:hAnsi="Arial" w:cs="Arial"/>
          <w:sz w:val="24"/>
          <w:szCs w:val="24"/>
          <w:lang w:val="es-CO"/>
        </w:rPr>
        <w:footnoteReference w:id="19"/>
      </w:r>
      <w:r w:rsidR="003A5DBD" w:rsidRPr="00AD3D53">
        <w:rPr>
          <w:rFonts w:ascii="Arial" w:hAnsi="Arial" w:cs="Arial"/>
          <w:sz w:val="24"/>
          <w:szCs w:val="24"/>
          <w:lang w:val="es-CO"/>
        </w:rPr>
        <w:t>.</w:t>
      </w:r>
    </w:p>
    <w:p w14:paraId="3E0A131A" w14:textId="77777777" w:rsidR="00092306" w:rsidRPr="00AD3D53" w:rsidRDefault="00092306" w:rsidP="00092306">
      <w:pPr>
        <w:spacing w:line="360" w:lineRule="auto"/>
        <w:contextualSpacing/>
        <w:jc w:val="both"/>
        <w:rPr>
          <w:rFonts w:ascii="Arial" w:hAnsi="Arial" w:cs="Arial"/>
          <w:sz w:val="24"/>
          <w:szCs w:val="24"/>
        </w:rPr>
      </w:pPr>
    </w:p>
    <w:p w14:paraId="238B9607" w14:textId="77777777" w:rsidR="00092306" w:rsidRPr="00AD3D53" w:rsidRDefault="00EA51B3" w:rsidP="00092306">
      <w:pPr>
        <w:spacing w:line="360" w:lineRule="auto"/>
        <w:contextualSpacing/>
        <w:jc w:val="both"/>
        <w:rPr>
          <w:rFonts w:ascii="Arial" w:hAnsi="Arial" w:cs="Arial"/>
          <w:sz w:val="24"/>
          <w:szCs w:val="24"/>
        </w:rPr>
      </w:pPr>
      <w:r w:rsidRPr="00AD3D53">
        <w:rPr>
          <w:rFonts w:ascii="Arial" w:hAnsi="Arial" w:cs="Arial"/>
          <w:sz w:val="24"/>
          <w:szCs w:val="24"/>
        </w:rPr>
        <w:t>16</w:t>
      </w:r>
      <w:r w:rsidR="00092306" w:rsidRPr="00AD3D53">
        <w:rPr>
          <w:rFonts w:ascii="Arial" w:hAnsi="Arial" w:cs="Arial"/>
          <w:sz w:val="24"/>
          <w:szCs w:val="24"/>
        </w:rPr>
        <w:t>. Una vez vencido el periodo probatorio, mediante A</w:t>
      </w:r>
      <w:r w:rsidR="00CF3636" w:rsidRPr="00AD3D53">
        <w:rPr>
          <w:rFonts w:ascii="Arial" w:hAnsi="Arial" w:cs="Arial"/>
          <w:sz w:val="24"/>
          <w:szCs w:val="24"/>
        </w:rPr>
        <w:t>uto de 30 de abril</w:t>
      </w:r>
      <w:r w:rsidR="00092306" w:rsidRPr="00AD3D53">
        <w:rPr>
          <w:rFonts w:ascii="Arial" w:hAnsi="Arial" w:cs="Arial"/>
          <w:sz w:val="24"/>
          <w:szCs w:val="24"/>
        </w:rPr>
        <w:t xml:space="preserve"> de 2</w:t>
      </w:r>
      <w:r w:rsidR="00CF3636" w:rsidRPr="00AD3D53">
        <w:rPr>
          <w:rFonts w:ascii="Arial" w:hAnsi="Arial" w:cs="Arial"/>
          <w:sz w:val="24"/>
          <w:szCs w:val="24"/>
        </w:rPr>
        <w:t>010</w:t>
      </w:r>
      <w:r w:rsidR="00092306" w:rsidRPr="00AD3D53">
        <w:rPr>
          <w:rFonts w:ascii="Arial" w:hAnsi="Arial" w:cs="Arial"/>
          <w:sz w:val="24"/>
          <w:szCs w:val="24"/>
        </w:rPr>
        <w:t>, el Tribunal Administrativo de Cundinamarca corrió traslado a las partes para presentar sus alegatos de conclusión</w:t>
      </w:r>
      <w:r w:rsidR="00092306" w:rsidRPr="00AD3D53">
        <w:rPr>
          <w:rStyle w:val="Refdenotaalpie"/>
          <w:rFonts w:ascii="Arial" w:hAnsi="Arial" w:cs="Arial"/>
          <w:sz w:val="24"/>
          <w:szCs w:val="24"/>
        </w:rPr>
        <w:footnoteReference w:id="20"/>
      </w:r>
      <w:r w:rsidR="00092306" w:rsidRPr="00AD3D53">
        <w:rPr>
          <w:rFonts w:ascii="Arial" w:hAnsi="Arial" w:cs="Arial"/>
          <w:sz w:val="24"/>
          <w:szCs w:val="24"/>
        </w:rPr>
        <w:t>.</w:t>
      </w:r>
    </w:p>
    <w:p w14:paraId="3D074C41" w14:textId="77777777" w:rsidR="00092306" w:rsidRPr="00AD3D53" w:rsidRDefault="00092306" w:rsidP="00092306">
      <w:pPr>
        <w:spacing w:line="360" w:lineRule="auto"/>
        <w:contextualSpacing/>
        <w:jc w:val="both"/>
        <w:rPr>
          <w:rFonts w:ascii="Arial" w:hAnsi="Arial" w:cs="Arial"/>
          <w:sz w:val="24"/>
          <w:szCs w:val="24"/>
        </w:rPr>
      </w:pPr>
    </w:p>
    <w:p w14:paraId="5C053EEA" w14:textId="77777777" w:rsidR="00092306" w:rsidRPr="00AD3D53" w:rsidRDefault="00BF4235" w:rsidP="00092306">
      <w:pPr>
        <w:spacing w:line="360" w:lineRule="auto"/>
        <w:contextualSpacing/>
        <w:jc w:val="both"/>
        <w:rPr>
          <w:rFonts w:ascii="Arial" w:hAnsi="Arial" w:cs="Arial"/>
          <w:sz w:val="24"/>
          <w:szCs w:val="24"/>
          <w:lang w:val="es-CO"/>
        </w:rPr>
      </w:pPr>
      <w:r w:rsidRPr="00AD3D53">
        <w:rPr>
          <w:rFonts w:ascii="Arial" w:hAnsi="Arial" w:cs="Arial"/>
          <w:sz w:val="24"/>
          <w:szCs w:val="24"/>
        </w:rPr>
        <w:t>17</w:t>
      </w:r>
      <w:r w:rsidR="00092306" w:rsidRPr="00AD3D53">
        <w:rPr>
          <w:rFonts w:ascii="Arial" w:hAnsi="Arial" w:cs="Arial"/>
          <w:sz w:val="24"/>
          <w:szCs w:val="24"/>
        </w:rPr>
        <w:t xml:space="preserve">. </w:t>
      </w:r>
      <w:r w:rsidR="0068515F" w:rsidRPr="00AD3D53">
        <w:rPr>
          <w:rFonts w:ascii="Arial" w:hAnsi="Arial" w:cs="Arial"/>
          <w:sz w:val="24"/>
          <w:szCs w:val="24"/>
          <w:lang w:val="es-CO"/>
        </w:rPr>
        <w:t xml:space="preserve">Por medio de escritos radicados en el Tribunal Administrativo de Cundinamarca los días 14 y 18 de mayo de 2008, la Secretaría de Hacienda y </w:t>
      </w:r>
      <w:proofErr w:type="spellStart"/>
      <w:r w:rsidR="0068515F" w:rsidRPr="00AD3D53">
        <w:rPr>
          <w:rFonts w:ascii="Arial" w:hAnsi="Arial" w:cs="Arial"/>
          <w:sz w:val="24"/>
          <w:szCs w:val="24"/>
          <w:lang w:val="es-CO"/>
        </w:rPr>
        <w:t>Fiduagraria</w:t>
      </w:r>
      <w:proofErr w:type="spellEnd"/>
      <w:r w:rsidR="0068515F" w:rsidRPr="00AD3D53">
        <w:rPr>
          <w:rFonts w:ascii="Arial" w:hAnsi="Arial" w:cs="Arial"/>
          <w:sz w:val="24"/>
          <w:szCs w:val="24"/>
          <w:lang w:val="es-CO"/>
        </w:rPr>
        <w:t xml:space="preserve"> S.A. -en calidad de vocera del patrimonio autónomo de remanentes de </w:t>
      </w:r>
      <w:proofErr w:type="spellStart"/>
      <w:r w:rsidR="0068515F" w:rsidRPr="00AD3D53">
        <w:rPr>
          <w:rFonts w:ascii="Arial" w:hAnsi="Arial" w:cs="Arial"/>
          <w:sz w:val="24"/>
          <w:szCs w:val="24"/>
          <w:lang w:val="es-CO"/>
        </w:rPr>
        <w:t>Adpostal</w:t>
      </w:r>
      <w:proofErr w:type="spellEnd"/>
      <w:r w:rsidR="0068515F" w:rsidRPr="00AD3D53">
        <w:rPr>
          <w:rFonts w:ascii="Arial" w:hAnsi="Arial" w:cs="Arial"/>
          <w:sz w:val="24"/>
          <w:szCs w:val="24"/>
          <w:lang w:val="es-CO"/>
        </w:rPr>
        <w:t xml:space="preserve">-, respectivamente, presentaron </w:t>
      </w:r>
      <w:r w:rsidR="0068515F" w:rsidRPr="00AD3D53">
        <w:rPr>
          <w:rFonts w:ascii="Arial" w:hAnsi="Arial" w:cs="Arial"/>
          <w:b/>
          <w:sz w:val="24"/>
          <w:szCs w:val="24"/>
          <w:lang w:val="es-CO"/>
        </w:rPr>
        <w:t>alegatos de conclusión</w:t>
      </w:r>
      <w:r w:rsidR="0068515F" w:rsidRPr="00AD3D53">
        <w:rPr>
          <w:rFonts w:ascii="Arial" w:hAnsi="Arial" w:cs="Arial"/>
          <w:sz w:val="24"/>
          <w:szCs w:val="24"/>
          <w:lang w:val="es-CO"/>
        </w:rPr>
        <w:t>, reiterando los argumentos expuestos en los escritos de demanda y contestación</w:t>
      </w:r>
      <w:r w:rsidR="0068515F" w:rsidRPr="00AD3D53">
        <w:rPr>
          <w:rStyle w:val="Refdenotaalpie"/>
          <w:rFonts w:ascii="Arial" w:hAnsi="Arial" w:cs="Arial"/>
          <w:sz w:val="24"/>
          <w:szCs w:val="24"/>
          <w:lang w:val="es-CO"/>
        </w:rPr>
        <w:footnoteReference w:id="21"/>
      </w:r>
      <w:r w:rsidR="0068515F" w:rsidRPr="00AD3D53">
        <w:rPr>
          <w:rFonts w:ascii="Arial" w:hAnsi="Arial" w:cs="Arial"/>
          <w:sz w:val="24"/>
          <w:szCs w:val="24"/>
          <w:lang w:val="es-CO"/>
        </w:rPr>
        <w:t>.</w:t>
      </w:r>
    </w:p>
    <w:p w14:paraId="504B8706" w14:textId="77777777" w:rsidR="00092306" w:rsidRPr="00AD3D53" w:rsidRDefault="00092306" w:rsidP="00092306">
      <w:pPr>
        <w:spacing w:line="360" w:lineRule="auto"/>
        <w:contextualSpacing/>
        <w:jc w:val="both"/>
        <w:rPr>
          <w:rFonts w:ascii="Arial" w:hAnsi="Arial" w:cs="Arial"/>
          <w:b/>
          <w:sz w:val="24"/>
          <w:szCs w:val="24"/>
        </w:rPr>
      </w:pPr>
    </w:p>
    <w:p w14:paraId="7C87E038" w14:textId="77777777" w:rsidR="0017365B" w:rsidRPr="00AD3D53" w:rsidRDefault="004561C4" w:rsidP="0017365B">
      <w:pPr>
        <w:spacing w:line="360" w:lineRule="auto"/>
        <w:contextualSpacing/>
        <w:jc w:val="both"/>
        <w:rPr>
          <w:rFonts w:ascii="Arial" w:hAnsi="Arial" w:cs="Arial"/>
          <w:sz w:val="24"/>
          <w:szCs w:val="24"/>
          <w:lang w:val="es-CO"/>
        </w:rPr>
      </w:pPr>
      <w:r w:rsidRPr="00AD3D53">
        <w:rPr>
          <w:rFonts w:ascii="Arial" w:hAnsi="Arial" w:cs="Arial"/>
          <w:sz w:val="24"/>
          <w:szCs w:val="24"/>
        </w:rPr>
        <w:t>18</w:t>
      </w:r>
      <w:r w:rsidR="00092306" w:rsidRPr="00AD3D53">
        <w:rPr>
          <w:rFonts w:ascii="Arial" w:hAnsi="Arial" w:cs="Arial"/>
          <w:sz w:val="24"/>
          <w:szCs w:val="24"/>
        </w:rPr>
        <w:t xml:space="preserve">. En la </w:t>
      </w:r>
      <w:r w:rsidR="00092306" w:rsidRPr="00AD3D53">
        <w:rPr>
          <w:rFonts w:ascii="Arial" w:hAnsi="Arial" w:cs="Arial"/>
          <w:b/>
          <w:sz w:val="24"/>
          <w:szCs w:val="24"/>
        </w:rPr>
        <w:t>Sentencia</w:t>
      </w:r>
      <w:r w:rsidR="00092306" w:rsidRPr="00AD3D53">
        <w:rPr>
          <w:rFonts w:ascii="Arial" w:hAnsi="Arial" w:cs="Arial"/>
          <w:sz w:val="24"/>
          <w:szCs w:val="24"/>
        </w:rPr>
        <w:t xml:space="preserve"> </w:t>
      </w:r>
      <w:r w:rsidR="005A0EF2" w:rsidRPr="00AD3D53">
        <w:rPr>
          <w:rFonts w:ascii="Arial" w:hAnsi="Arial" w:cs="Arial"/>
          <w:sz w:val="24"/>
          <w:szCs w:val="24"/>
        </w:rPr>
        <w:t>proferida el 8 de junio</w:t>
      </w:r>
      <w:r w:rsidR="00092306" w:rsidRPr="00AD3D53">
        <w:rPr>
          <w:rFonts w:ascii="Arial" w:hAnsi="Arial" w:cs="Arial"/>
          <w:sz w:val="24"/>
          <w:szCs w:val="24"/>
        </w:rPr>
        <w:t xml:space="preserve"> de</w:t>
      </w:r>
      <w:r w:rsidR="005A0EF2" w:rsidRPr="00AD3D53">
        <w:rPr>
          <w:rFonts w:ascii="Arial" w:hAnsi="Arial" w:cs="Arial"/>
          <w:sz w:val="24"/>
          <w:szCs w:val="24"/>
        </w:rPr>
        <w:t xml:space="preserve"> 2011</w:t>
      </w:r>
      <w:r w:rsidR="00092306" w:rsidRPr="00AD3D53">
        <w:rPr>
          <w:rStyle w:val="Refdenotaalpie"/>
          <w:rFonts w:ascii="Arial" w:hAnsi="Arial" w:cs="Arial"/>
          <w:sz w:val="24"/>
          <w:szCs w:val="24"/>
        </w:rPr>
        <w:footnoteReference w:id="22"/>
      </w:r>
      <w:r w:rsidR="00092306" w:rsidRPr="00AD3D53">
        <w:rPr>
          <w:rFonts w:ascii="Arial" w:hAnsi="Arial" w:cs="Arial"/>
          <w:sz w:val="24"/>
          <w:szCs w:val="24"/>
        </w:rPr>
        <w:t>, e</w:t>
      </w:r>
      <w:r w:rsidR="00092306" w:rsidRPr="00AD3D53">
        <w:rPr>
          <w:rFonts w:ascii="Arial" w:hAnsi="Arial" w:cs="Arial"/>
          <w:sz w:val="24"/>
          <w:szCs w:val="24"/>
          <w:lang w:val="es-CO"/>
        </w:rPr>
        <w:t xml:space="preserve">l </w:t>
      </w:r>
      <w:r w:rsidR="0017365B" w:rsidRPr="00AD3D53">
        <w:rPr>
          <w:rFonts w:ascii="Arial" w:hAnsi="Arial" w:cs="Arial"/>
          <w:sz w:val="24"/>
          <w:szCs w:val="24"/>
          <w:lang w:val="es-CO"/>
        </w:rPr>
        <w:t xml:space="preserve">Tribunal, luego de hacer un recuento del </w:t>
      </w:r>
      <w:proofErr w:type="spellStart"/>
      <w:r w:rsidR="0017365B" w:rsidRPr="00AD3D53">
        <w:rPr>
          <w:rFonts w:ascii="Arial" w:hAnsi="Arial" w:cs="Arial"/>
          <w:i/>
          <w:sz w:val="24"/>
          <w:szCs w:val="24"/>
          <w:lang w:val="es-CO"/>
        </w:rPr>
        <w:t>íter</w:t>
      </w:r>
      <w:proofErr w:type="spellEnd"/>
      <w:r w:rsidR="0017365B" w:rsidRPr="00AD3D53">
        <w:rPr>
          <w:rFonts w:ascii="Arial" w:hAnsi="Arial" w:cs="Arial"/>
          <w:sz w:val="24"/>
          <w:szCs w:val="24"/>
          <w:lang w:val="es-CO"/>
        </w:rPr>
        <w:t xml:space="preserve"> procesal y </w:t>
      </w:r>
      <w:r w:rsidR="00E65A6D" w:rsidRPr="00AD3D53">
        <w:rPr>
          <w:rFonts w:ascii="Arial" w:hAnsi="Arial" w:cs="Arial"/>
          <w:sz w:val="24"/>
          <w:szCs w:val="24"/>
          <w:lang w:val="es-CO"/>
        </w:rPr>
        <w:t xml:space="preserve">de </w:t>
      </w:r>
      <w:r w:rsidR="0017365B" w:rsidRPr="00AD3D53">
        <w:rPr>
          <w:rFonts w:ascii="Arial" w:hAnsi="Arial" w:cs="Arial"/>
          <w:sz w:val="24"/>
          <w:szCs w:val="24"/>
          <w:lang w:val="es-CO"/>
        </w:rPr>
        <w:t>los hechos probados, procedió a determinar s</w:t>
      </w:r>
      <w:r w:rsidR="001A7EB1" w:rsidRPr="00AD3D53">
        <w:rPr>
          <w:rFonts w:ascii="Arial" w:hAnsi="Arial" w:cs="Arial"/>
          <w:sz w:val="24"/>
          <w:szCs w:val="24"/>
          <w:lang w:val="es-CO"/>
        </w:rPr>
        <w:t xml:space="preserve">i </w:t>
      </w:r>
      <w:proofErr w:type="spellStart"/>
      <w:r w:rsidR="001A7EB1" w:rsidRPr="00AD3D53">
        <w:rPr>
          <w:rFonts w:ascii="Arial" w:hAnsi="Arial" w:cs="Arial"/>
          <w:sz w:val="24"/>
          <w:szCs w:val="24"/>
          <w:lang w:val="es-CO"/>
        </w:rPr>
        <w:lastRenderedPageBreak/>
        <w:t>Adpostal</w:t>
      </w:r>
      <w:proofErr w:type="spellEnd"/>
      <w:r w:rsidR="001A7EB1" w:rsidRPr="00AD3D53">
        <w:rPr>
          <w:rFonts w:ascii="Arial" w:hAnsi="Arial" w:cs="Arial"/>
          <w:sz w:val="24"/>
          <w:szCs w:val="24"/>
          <w:lang w:val="es-CO"/>
        </w:rPr>
        <w:t xml:space="preserve"> había incumplido el convenio i</w:t>
      </w:r>
      <w:r w:rsidR="0017365B" w:rsidRPr="00AD3D53">
        <w:rPr>
          <w:rFonts w:ascii="Arial" w:hAnsi="Arial" w:cs="Arial"/>
          <w:sz w:val="24"/>
          <w:szCs w:val="24"/>
          <w:lang w:val="es-CO"/>
        </w:rPr>
        <w:t>nteradministrativo No. 24 de 2001.  A part</w:t>
      </w:r>
      <w:r w:rsidR="00CE69A0" w:rsidRPr="00AD3D53">
        <w:rPr>
          <w:rFonts w:ascii="Arial" w:hAnsi="Arial" w:cs="Arial"/>
          <w:sz w:val="24"/>
          <w:szCs w:val="24"/>
          <w:lang w:val="es-CO"/>
        </w:rPr>
        <w:t>ir de las pruebas aportadas, el Tribunal</w:t>
      </w:r>
      <w:r w:rsidR="0017365B" w:rsidRPr="00AD3D53">
        <w:rPr>
          <w:rFonts w:ascii="Arial" w:hAnsi="Arial" w:cs="Arial"/>
          <w:sz w:val="24"/>
          <w:szCs w:val="24"/>
          <w:lang w:val="es-CO"/>
        </w:rPr>
        <w:t xml:space="preserve"> concluyó que </w:t>
      </w:r>
      <w:proofErr w:type="spellStart"/>
      <w:r w:rsidR="0017365B" w:rsidRPr="00AD3D53">
        <w:rPr>
          <w:rFonts w:ascii="Arial" w:hAnsi="Arial" w:cs="Arial"/>
          <w:sz w:val="24"/>
          <w:szCs w:val="24"/>
          <w:lang w:val="es-CO"/>
        </w:rPr>
        <w:t>Adpostal</w:t>
      </w:r>
      <w:proofErr w:type="spellEnd"/>
      <w:r w:rsidR="00774789" w:rsidRPr="00AD3D53">
        <w:rPr>
          <w:rFonts w:ascii="Arial" w:hAnsi="Arial" w:cs="Arial"/>
          <w:sz w:val="24"/>
          <w:szCs w:val="24"/>
          <w:lang w:val="es-CO"/>
        </w:rPr>
        <w:t xml:space="preserve"> incumplió el c</w:t>
      </w:r>
      <w:r w:rsidR="00833EAC" w:rsidRPr="00AD3D53">
        <w:rPr>
          <w:rFonts w:ascii="Arial" w:hAnsi="Arial" w:cs="Arial"/>
          <w:sz w:val="24"/>
          <w:szCs w:val="24"/>
          <w:lang w:val="es-CO"/>
        </w:rPr>
        <w:t>onvenio, en la medida en que</w:t>
      </w:r>
      <w:r w:rsidR="0017365B" w:rsidRPr="00AD3D53">
        <w:rPr>
          <w:rFonts w:ascii="Arial" w:hAnsi="Arial" w:cs="Arial"/>
          <w:sz w:val="24"/>
          <w:szCs w:val="24"/>
          <w:lang w:val="es-CO"/>
        </w:rPr>
        <w:t xml:space="preserve"> no certificó la entrega de 5</w:t>
      </w:r>
      <w:r w:rsidR="0080616E" w:rsidRPr="00AD3D53">
        <w:rPr>
          <w:rFonts w:ascii="Arial" w:hAnsi="Arial" w:cs="Arial"/>
          <w:sz w:val="24"/>
          <w:szCs w:val="24"/>
          <w:lang w:val="es-CO"/>
        </w:rPr>
        <w:t>.</w:t>
      </w:r>
      <w:r w:rsidR="0017365B" w:rsidRPr="00AD3D53">
        <w:rPr>
          <w:rFonts w:ascii="Arial" w:hAnsi="Arial" w:cs="Arial"/>
          <w:sz w:val="24"/>
          <w:szCs w:val="24"/>
          <w:lang w:val="es-CO"/>
        </w:rPr>
        <w:t>852 actos administrativos, de los cuales 4</w:t>
      </w:r>
      <w:r w:rsidR="005C10FC" w:rsidRPr="00AD3D53">
        <w:rPr>
          <w:rFonts w:ascii="Arial" w:hAnsi="Arial" w:cs="Arial"/>
          <w:sz w:val="24"/>
          <w:szCs w:val="24"/>
          <w:lang w:val="es-CO"/>
        </w:rPr>
        <w:t>.</w:t>
      </w:r>
      <w:r w:rsidR="0017365B" w:rsidRPr="00AD3D53">
        <w:rPr>
          <w:rFonts w:ascii="Arial" w:hAnsi="Arial" w:cs="Arial"/>
          <w:sz w:val="24"/>
          <w:szCs w:val="24"/>
          <w:lang w:val="es-CO"/>
        </w:rPr>
        <w:t>162 no fueron pagados por los contribuyentes del Distrito Capital de Bogotá.</w:t>
      </w:r>
    </w:p>
    <w:p w14:paraId="03B1CBE5" w14:textId="77777777" w:rsidR="0017365B" w:rsidRPr="00AD3D53" w:rsidRDefault="0017365B" w:rsidP="0017365B">
      <w:pPr>
        <w:spacing w:line="360" w:lineRule="auto"/>
        <w:contextualSpacing/>
        <w:jc w:val="both"/>
        <w:rPr>
          <w:rFonts w:ascii="Arial" w:hAnsi="Arial" w:cs="Arial"/>
          <w:sz w:val="24"/>
          <w:szCs w:val="24"/>
          <w:lang w:val="es-CO"/>
        </w:rPr>
      </w:pPr>
    </w:p>
    <w:p w14:paraId="56E7B3EE" w14:textId="77777777" w:rsidR="0017365B" w:rsidRPr="00AD3D53" w:rsidRDefault="000C25AE" w:rsidP="0017365B">
      <w:pPr>
        <w:spacing w:line="360" w:lineRule="auto"/>
        <w:contextualSpacing/>
        <w:jc w:val="both"/>
        <w:rPr>
          <w:rFonts w:ascii="Arial" w:hAnsi="Arial" w:cs="Arial"/>
          <w:sz w:val="24"/>
          <w:szCs w:val="24"/>
          <w:lang w:val="es-CO"/>
        </w:rPr>
      </w:pPr>
      <w:r w:rsidRPr="00AD3D53">
        <w:rPr>
          <w:rFonts w:ascii="Arial" w:hAnsi="Arial" w:cs="Arial"/>
          <w:sz w:val="24"/>
          <w:szCs w:val="24"/>
          <w:lang w:val="es-CO"/>
        </w:rPr>
        <w:t>19</w:t>
      </w:r>
      <w:r w:rsidR="00BE27A5" w:rsidRPr="00AD3D53">
        <w:rPr>
          <w:rFonts w:ascii="Arial" w:hAnsi="Arial" w:cs="Arial"/>
          <w:sz w:val="24"/>
          <w:szCs w:val="24"/>
          <w:lang w:val="es-CO"/>
        </w:rPr>
        <w:t xml:space="preserve">. </w:t>
      </w:r>
      <w:r w:rsidR="0017365B" w:rsidRPr="00AD3D53">
        <w:rPr>
          <w:rFonts w:ascii="Arial" w:hAnsi="Arial" w:cs="Arial"/>
          <w:sz w:val="24"/>
          <w:szCs w:val="24"/>
          <w:lang w:val="es-CO"/>
        </w:rPr>
        <w:t xml:space="preserve">Sobre los perjuicios que el incumplimiento de </w:t>
      </w:r>
      <w:proofErr w:type="spellStart"/>
      <w:r w:rsidR="0017365B" w:rsidRPr="00AD3D53">
        <w:rPr>
          <w:rFonts w:ascii="Arial" w:hAnsi="Arial" w:cs="Arial"/>
          <w:sz w:val="24"/>
          <w:szCs w:val="24"/>
          <w:lang w:val="es-CO"/>
        </w:rPr>
        <w:t>Adpostal</w:t>
      </w:r>
      <w:proofErr w:type="spellEnd"/>
      <w:r w:rsidR="0017365B" w:rsidRPr="00AD3D53">
        <w:rPr>
          <w:rFonts w:ascii="Arial" w:hAnsi="Arial" w:cs="Arial"/>
          <w:sz w:val="24"/>
          <w:szCs w:val="24"/>
          <w:lang w:val="es-CO"/>
        </w:rPr>
        <w:t xml:space="preserve"> ocasionó a la Secretaría de Hacienda y las pruebas tendientes a acreditarlos, el Tribunal</w:t>
      </w:r>
      <w:r w:rsidR="008C05CF" w:rsidRPr="00AD3D53">
        <w:rPr>
          <w:rFonts w:ascii="Arial" w:hAnsi="Arial" w:cs="Arial"/>
          <w:sz w:val="24"/>
          <w:szCs w:val="24"/>
          <w:lang w:val="es-CO"/>
        </w:rPr>
        <w:t>, en primer lugar,</w:t>
      </w:r>
      <w:r w:rsidR="007E69CC" w:rsidRPr="00AD3D53">
        <w:rPr>
          <w:rFonts w:ascii="Arial" w:hAnsi="Arial" w:cs="Arial"/>
          <w:sz w:val="24"/>
          <w:szCs w:val="24"/>
          <w:lang w:val="es-CO"/>
        </w:rPr>
        <w:t xml:space="preserve"> se refirió a</w:t>
      </w:r>
      <w:r w:rsidR="0017365B" w:rsidRPr="00AD3D53">
        <w:rPr>
          <w:rFonts w:ascii="Arial" w:hAnsi="Arial" w:cs="Arial"/>
          <w:sz w:val="24"/>
          <w:szCs w:val="24"/>
          <w:lang w:val="es-CO"/>
        </w:rPr>
        <w:t>l dictamen pericial rendido por el perito Luis Eduardo Carrillo Villamizar y el memorando de</w:t>
      </w:r>
      <w:r w:rsidR="005C7F16" w:rsidRPr="00AD3D53">
        <w:rPr>
          <w:rFonts w:ascii="Arial" w:hAnsi="Arial" w:cs="Arial"/>
          <w:sz w:val="24"/>
          <w:szCs w:val="24"/>
          <w:lang w:val="es-CO"/>
        </w:rPr>
        <w:t xml:space="preserve"> 14 de diciembre de 2005 de la directora d</w:t>
      </w:r>
      <w:r w:rsidR="0017365B" w:rsidRPr="00AD3D53">
        <w:rPr>
          <w:rFonts w:ascii="Arial" w:hAnsi="Arial" w:cs="Arial"/>
          <w:sz w:val="24"/>
          <w:szCs w:val="24"/>
          <w:lang w:val="es-CO"/>
        </w:rPr>
        <w:t>istrital de Impuestos dirigido a l</w:t>
      </w:r>
      <w:r w:rsidR="00712219" w:rsidRPr="00AD3D53">
        <w:rPr>
          <w:rFonts w:ascii="Arial" w:hAnsi="Arial" w:cs="Arial"/>
          <w:sz w:val="24"/>
          <w:szCs w:val="24"/>
          <w:lang w:val="es-CO"/>
        </w:rPr>
        <w:t>a directora j</w:t>
      </w:r>
      <w:r w:rsidR="0017365B" w:rsidRPr="00AD3D53">
        <w:rPr>
          <w:rFonts w:ascii="Arial" w:hAnsi="Arial" w:cs="Arial"/>
          <w:sz w:val="24"/>
          <w:szCs w:val="24"/>
          <w:lang w:val="es-CO"/>
        </w:rPr>
        <w:t>urídica de la Secretaría de Hacienda. Concluyó que la estimación de perjuicios que el perito tasó en $16.</w:t>
      </w:r>
      <w:r w:rsidR="00F80C6B" w:rsidRPr="00AD3D53">
        <w:rPr>
          <w:rFonts w:ascii="Arial" w:hAnsi="Arial" w:cs="Arial"/>
          <w:sz w:val="24"/>
          <w:szCs w:val="24"/>
          <w:lang w:val="es-CO"/>
        </w:rPr>
        <w:t>089.804.160,oo de pesos no podía</w:t>
      </w:r>
      <w:r w:rsidR="0017365B" w:rsidRPr="00AD3D53">
        <w:rPr>
          <w:rFonts w:ascii="Arial" w:hAnsi="Arial" w:cs="Arial"/>
          <w:sz w:val="24"/>
          <w:szCs w:val="24"/>
          <w:lang w:val="es-CO"/>
        </w:rPr>
        <w:t xml:space="preserve"> ser tomada en cuenta. En palabras del Tribunal (se trascribe):</w:t>
      </w:r>
    </w:p>
    <w:p w14:paraId="11EEA3F4" w14:textId="77777777" w:rsidR="0017365B" w:rsidRPr="00AD3D53" w:rsidRDefault="0017365B" w:rsidP="0017365B">
      <w:pPr>
        <w:spacing w:line="360" w:lineRule="auto"/>
        <w:contextualSpacing/>
        <w:jc w:val="both"/>
        <w:rPr>
          <w:rFonts w:ascii="Arial" w:hAnsi="Arial" w:cs="Arial"/>
          <w:sz w:val="24"/>
          <w:szCs w:val="24"/>
          <w:lang w:val="es-CO"/>
        </w:rPr>
      </w:pPr>
    </w:p>
    <w:p w14:paraId="0B14901A" w14:textId="77777777" w:rsidR="0017365B" w:rsidRPr="00AD3D53" w:rsidRDefault="0017365B" w:rsidP="002222BB">
      <w:pPr>
        <w:ind w:left="567" w:right="567"/>
        <w:contextualSpacing/>
        <w:jc w:val="both"/>
        <w:rPr>
          <w:rFonts w:ascii="Arial" w:hAnsi="Arial" w:cs="Arial"/>
          <w:i/>
          <w:szCs w:val="24"/>
          <w:lang w:val="es-CO"/>
        </w:rPr>
      </w:pPr>
      <w:r w:rsidRPr="00AD3D53">
        <w:rPr>
          <w:rFonts w:ascii="Arial" w:hAnsi="Arial" w:cs="Arial"/>
          <w:szCs w:val="24"/>
          <w:lang w:val="es-CO"/>
        </w:rPr>
        <w:t>“</w:t>
      </w:r>
      <w:r w:rsidRPr="00AD3D53">
        <w:rPr>
          <w:rFonts w:ascii="Arial" w:hAnsi="Arial" w:cs="Arial"/>
          <w:i/>
          <w:szCs w:val="24"/>
          <w:lang w:val="es-CO"/>
        </w:rPr>
        <w:t xml:space="preserve">De las dos últimas pruebas relacionadas se desprende que a pesar de los incumplimientos de ADPOSTAL, la entidad adelantó los procesos coactivos tan solo en 33 de los actos administrativos en los cuales no existía acuse de recibo, de lo cual se desprende que, primero, la administración podía adelantar las gestiones conducentes a obtener el cobro de los actos administrativos, claro está, con un riesgo bastante significativo, debido al consabido incumplimiento; segundo, el cobro coactivo de los actos administrativos supone unas acreencias que están afectadas por muchas variables que impactan su recaudo efectivo, incluso, en aquellos procesos coactivos que cumplen estrictamente todas las exigencias legales, sobre todo por la capacidad de pago de los ejecutados. </w:t>
      </w:r>
    </w:p>
    <w:p w14:paraId="2EE8DB5C" w14:textId="77777777" w:rsidR="0017365B" w:rsidRPr="00AD3D53" w:rsidRDefault="0017365B" w:rsidP="002222BB">
      <w:pPr>
        <w:ind w:left="567" w:right="567"/>
        <w:contextualSpacing/>
        <w:jc w:val="both"/>
        <w:rPr>
          <w:rFonts w:ascii="Arial" w:hAnsi="Arial" w:cs="Arial"/>
          <w:i/>
          <w:szCs w:val="24"/>
          <w:lang w:val="es-CO"/>
        </w:rPr>
      </w:pPr>
      <w:r w:rsidRPr="00AD3D53">
        <w:rPr>
          <w:rFonts w:ascii="Arial" w:hAnsi="Arial" w:cs="Arial"/>
          <w:i/>
          <w:szCs w:val="24"/>
          <w:lang w:val="es-CO"/>
        </w:rPr>
        <w:t>(…)</w:t>
      </w:r>
    </w:p>
    <w:p w14:paraId="36342ED1" w14:textId="77777777" w:rsidR="0017365B" w:rsidRPr="00AD3D53" w:rsidRDefault="0017365B" w:rsidP="002222BB">
      <w:pPr>
        <w:ind w:left="567" w:right="567"/>
        <w:contextualSpacing/>
        <w:jc w:val="both"/>
        <w:rPr>
          <w:rFonts w:ascii="Arial" w:hAnsi="Arial" w:cs="Arial"/>
          <w:i/>
          <w:szCs w:val="24"/>
          <w:lang w:val="es-CO"/>
        </w:rPr>
      </w:pPr>
      <w:r w:rsidRPr="00AD3D53">
        <w:rPr>
          <w:rFonts w:ascii="Arial" w:hAnsi="Arial" w:cs="Arial"/>
          <w:i/>
          <w:szCs w:val="24"/>
          <w:lang w:val="es-CO"/>
        </w:rPr>
        <w:t>En el presente asunto, es claro que la administración podía adelantar las gestiones administrativas encaminadas a obtener el cobro de los actos administrativos que carecían del acuse de recibo, como en efecto lo hizo, y que en todo caso, sin la aludida deficiencia, los actos administrativos que se someten a cobro coactivo están sometidos a unas situaciones que no permiten asegurar su recaudo efectivo, situaciones que llevan a pensar que la cuantificación realizada por el perito, por las apreciaciones de tipo jurídico que aquí se exponen, más no por deficiencias técnicas de la pericia, no pueden ser tomadas integralmente, con mayor razón si se tiene en cuenta que el mismo perito aludió también a los pagos voluntarios que podrían realizar los administrados (…).</w:t>
      </w:r>
    </w:p>
    <w:p w14:paraId="0AF4CBF7" w14:textId="77777777" w:rsidR="00A86356" w:rsidRPr="00AD3D53" w:rsidRDefault="00A86356" w:rsidP="0017365B">
      <w:pPr>
        <w:spacing w:line="360" w:lineRule="auto"/>
        <w:contextualSpacing/>
        <w:jc w:val="both"/>
        <w:rPr>
          <w:rFonts w:ascii="Arial" w:hAnsi="Arial" w:cs="Arial"/>
          <w:sz w:val="24"/>
          <w:szCs w:val="24"/>
          <w:lang w:val="es-CO"/>
        </w:rPr>
      </w:pPr>
    </w:p>
    <w:p w14:paraId="6C417382" w14:textId="77777777" w:rsidR="0017365B" w:rsidRPr="00AD3D53" w:rsidRDefault="00A11589" w:rsidP="0017365B">
      <w:pPr>
        <w:spacing w:line="360" w:lineRule="auto"/>
        <w:contextualSpacing/>
        <w:jc w:val="both"/>
        <w:rPr>
          <w:rFonts w:ascii="Arial" w:hAnsi="Arial" w:cs="Arial"/>
          <w:sz w:val="24"/>
          <w:szCs w:val="24"/>
          <w:lang w:val="es-CO"/>
        </w:rPr>
      </w:pPr>
      <w:r w:rsidRPr="00AD3D53">
        <w:rPr>
          <w:rFonts w:ascii="Arial" w:hAnsi="Arial" w:cs="Arial"/>
          <w:sz w:val="24"/>
          <w:szCs w:val="24"/>
          <w:lang w:val="es-CO"/>
        </w:rPr>
        <w:t>20</w:t>
      </w:r>
      <w:r w:rsidR="00A86356" w:rsidRPr="00AD3D53">
        <w:rPr>
          <w:rFonts w:ascii="Arial" w:hAnsi="Arial" w:cs="Arial"/>
          <w:sz w:val="24"/>
          <w:szCs w:val="24"/>
          <w:lang w:val="es-CO"/>
        </w:rPr>
        <w:t xml:space="preserve">. </w:t>
      </w:r>
      <w:r w:rsidR="0017365B" w:rsidRPr="00AD3D53">
        <w:rPr>
          <w:rFonts w:ascii="Arial" w:hAnsi="Arial" w:cs="Arial"/>
          <w:sz w:val="24"/>
          <w:szCs w:val="24"/>
          <w:lang w:val="es-CO"/>
        </w:rPr>
        <w:t xml:space="preserve">Posteriormente, señaló que, si bien la Secretaría de Hacienda no sufrió los perjuicios estimados por el perito, sí sufrió unos perjuicios, a título de daño emergente, por los servicios que pagó a </w:t>
      </w:r>
      <w:proofErr w:type="spellStart"/>
      <w:r w:rsidR="0017365B" w:rsidRPr="00AD3D53">
        <w:rPr>
          <w:rFonts w:ascii="Arial" w:hAnsi="Arial" w:cs="Arial"/>
          <w:sz w:val="24"/>
          <w:szCs w:val="24"/>
          <w:lang w:val="es-CO"/>
        </w:rPr>
        <w:t>Adpostal</w:t>
      </w:r>
      <w:proofErr w:type="spellEnd"/>
      <w:r w:rsidR="0017365B" w:rsidRPr="00AD3D53">
        <w:rPr>
          <w:rFonts w:ascii="Arial" w:hAnsi="Arial" w:cs="Arial"/>
          <w:sz w:val="24"/>
          <w:szCs w:val="24"/>
          <w:lang w:val="es-CO"/>
        </w:rPr>
        <w:t xml:space="preserve"> y que esta empresa prestó de manera deficiente. En ese sentido, consideró que </w:t>
      </w:r>
      <w:proofErr w:type="spellStart"/>
      <w:r w:rsidR="0017365B" w:rsidRPr="00AD3D53">
        <w:rPr>
          <w:rFonts w:ascii="Arial" w:hAnsi="Arial" w:cs="Arial"/>
          <w:sz w:val="24"/>
          <w:szCs w:val="24"/>
          <w:lang w:val="es-CO"/>
        </w:rPr>
        <w:t>Adpostal</w:t>
      </w:r>
      <w:proofErr w:type="spellEnd"/>
      <w:r w:rsidR="0017365B" w:rsidRPr="00AD3D53">
        <w:rPr>
          <w:rFonts w:ascii="Arial" w:hAnsi="Arial" w:cs="Arial"/>
          <w:sz w:val="24"/>
          <w:szCs w:val="24"/>
          <w:lang w:val="es-CO"/>
        </w:rPr>
        <w:t xml:space="preserve"> estaba obligada a reintegrar a la Secretaría de Hacienda la suma de $2.705.300,oo de pesos, cifra obtenida de multiplicar los 4</w:t>
      </w:r>
      <w:r w:rsidR="00474D0F" w:rsidRPr="00AD3D53">
        <w:rPr>
          <w:rFonts w:ascii="Arial" w:hAnsi="Arial" w:cs="Arial"/>
          <w:sz w:val="24"/>
          <w:szCs w:val="24"/>
          <w:lang w:val="es-CO"/>
        </w:rPr>
        <w:t>.</w:t>
      </w:r>
      <w:r w:rsidR="0017365B" w:rsidRPr="00AD3D53">
        <w:rPr>
          <w:rFonts w:ascii="Arial" w:hAnsi="Arial" w:cs="Arial"/>
          <w:sz w:val="24"/>
          <w:szCs w:val="24"/>
          <w:lang w:val="es-CO"/>
        </w:rPr>
        <w:t>162 actos administrativos entregados sin acuse de recibo o devolución que no fueron pagados por los contribuyentes, por el valor de cada certificación o envío local, esto es, $650,oo pesos.</w:t>
      </w:r>
    </w:p>
    <w:p w14:paraId="25F92595" w14:textId="77777777" w:rsidR="0017365B" w:rsidRPr="00AD3D53" w:rsidRDefault="0017365B" w:rsidP="0017365B">
      <w:pPr>
        <w:spacing w:line="360" w:lineRule="auto"/>
        <w:contextualSpacing/>
        <w:jc w:val="both"/>
        <w:rPr>
          <w:rFonts w:ascii="Arial" w:hAnsi="Arial" w:cs="Arial"/>
          <w:sz w:val="24"/>
          <w:szCs w:val="24"/>
          <w:lang w:val="es-CO"/>
        </w:rPr>
      </w:pPr>
    </w:p>
    <w:p w14:paraId="62239992" w14:textId="77777777" w:rsidR="0017365B" w:rsidRPr="00AD3D53" w:rsidRDefault="00FD3C22" w:rsidP="0017365B">
      <w:pPr>
        <w:spacing w:line="360" w:lineRule="auto"/>
        <w:contextualSpacing/>
        <w:jc w:val="both"/>
        <w:rPr>
          <w:rFonts w:ascii="Arial" w:hAnsi="Arial" w:cs="Arial"/>
          <w:sz w:val="24"/>
          <w:szCs w:val="24"/>
          <w:lang w:val="es-CO"/>
        </w:rPr>
      </w:pPr>
      <w:r w:rsidRPr="00AD3D53">
        <w:rPr>
          <w:rFonts w:ascii="Arial" w:hAnsi="Arial" w:cs="Arial"/>
          <w:sz w:val="24"/>
          <w:szCs w:val="24"/>
          <w:lang w:val="es-CO"/>
        </w:rPr>
        <w:t>21</w:t>
      </w:r>
      <w:r w:rsidR="00291E36" w:rsidRPr="00AD3D53">
        <w:rPr>
          <w:rFonts w:ascii="Arial" w:hAnsi="Arial" w:cs="Arial"/>
          <w:sz w:val="24"/>
          <w:szCs w:val="24"/>
          <w:lang w:val="es-CO"/>
        </w:rPr>
        <w:t xml:space="preserve">. </w:t>
      </w:r>
      <w:r w:rsidR="0017365B" w:rsidRPr="00AD3D53">
        <w:rPr>
          <w:rFonts w:ascii="Arial" w:hAnsi="Arial" w:cs="Arial"/>
          <w:sz w:val="24"/>
          <w:szCs w:val="24"/>
          <w:lang w:val="es-CO"/>
        </w:rPr>
        <w:t>Fina</w:t>
      </w:r>
      <w:r w:rsidR="00774789" w:rsidRPr="00AD3D53">
        <w:rPr>
          <w:rFonts w:ascii="Arial" w:hAnsi="Arial" w:cs="Arial"/>
          <w:sz w:val="24"/>
          <w:szCs w:val="24"/>
          <w:lang w:val="es-CO"/>
        </w:rPr>
        <w:t>lmente, el Tribunal liquidó el c</w:t>
      </w:r>
      <w:r w:rsidR="0017365B" w:rsidRPr="00AD3D53">
        <w:rPr>
          <w:rFonts w:ascii="Arial" w:hAnsi="Arial" w:cs="Arial"/>
          <w:sz w:val="24"/>
          <w:szCs w:val="24"/>
          <w:lang w:val="es-CO"/>
        </w:rPr>
        <w:t>onvenio, así:</w:t>
      </w:r>
    </w:p>
    <w:p w14:paraId="0AC76B15" w14:textId="77777777" w:rsidR="0017365B" w:rsidRPr="00AD3D53" w:rsidRDefault="0017365B" w:rsidP="0017365B">
      <w:pPr>
        <w:spacing w:line="360" w:lineRule="auto"/>
        <w:contextualSpacing/>
        <w:jc w:val="both"/>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17365B" w:rsidRPr="00AD3D53" w14:paraId="52224C99" w14:textId="77777777" w:rsidTr="005A0A33">
        <w:tc>
          <w:tcPr>
            <w:tcW w:w="4322" w:type="dxa"/>
            <w:shd w:val="clear" w:color="auto" w:fill="auto"/>
          </w:tcPr>
          <w:p w14:paraId="1F63AD78"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Valor total del contrato</w:t>
            </w:r>
          </w:p>
        </w:tc>
        <w:tc>
          <w:tcPr>
            <w:tcW w:w="4322" w:type="dxa"/>
            <w:shd w:val="clear" w:color="auto" w:fill="auto"/>
          </w:tcPr>
          <w:p w14:paraId="4E0287D8"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$240.000.000,oo</w:t>
            </w:r>
          </w:p>
        </w:tc>
      </w:tr>
      <w:tr w:rsidR="0017365B" w:rsidRPr="00AD3D53" w14:paraId="7C821D48" w14:textId="77777777" w:rsidTr="005A0A33">
        <w:tc>
          <w:tcPr>
            <w:tcW w:w="4322" w:type="dxa"/>
            <w:shd w:val="clear" w:color="auto" w:fill="auto"/>
          </w:tcPr>
          <w:p w14:paraId="08E16F57"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Valor inicial del contrato</w:t>
            </w:r>
          </w:p>
        </w:tc>
        <w:tc>
          <w:tcPr>
            <w:tcW w:w="4322" w:type="dxa"/>
            <w:shd w:val="clear" w:color="auto" w:fill="auto"/>
          </w:tcPr>
          <w:p w14:paraId="4B790358"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$160.000.000,oo</w:t>
            </w:r>
          </w:p>
        </w:tc>
      </w:tr>
      <w:tr w:rsidR="0017365B" w:rsidRPr="00AD3D53" w14:paraId="11F6BDFD" w14:textId="77777777" w:rsidTr="005A0A33">
        <w:tc>
          <w:tcPr>
            <w:tcW w:w="4322" w:type="dxa"/>
            <w:shd w:val="clear" w:color="auto" w:fill="auto"/>
          </w:tcPr>
          <w:p w14:paraId="26AA5CF4"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Primera adición</w:t>
            </w:r>
          </w:p>
        </w:tc>
        <w:tc>
          <w:tcPr>
            <w:tcW w:w="4322" w:type="dxa"/>
            <w:shd w:val="clear" w:color="auto" w:fill="auto"/>
          </w:tcPr>
          <w:p w14:paraId="70BCB19D"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$20.000.000,oo</w:t>
            </w:r>
          </w:p>
        </w:tc>
      </w:tr>
      <w:tr w:rsidR="0017365B" w:rsidRPr="00AD3D53" w14:paraId="5919D05A" w14:textId="77777777" w:rsidTr="005A0A33">
        <w:tc>
          <w:tcPr>
            <w:tcW w:w="4322" w:type="dxa"/>
            <w:shd w:val="clear" w:color="auto" w:fill="auto"/>
          </w:tcPr>
          <w:p w14:paraId="41E34064"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Segunda adición</w:t>
            </w:r>
          </w:p>
        </w:tc>
        <w:tc>
          <w:tcPr>
            <w:tcW w:w="4322" w:type="dxa"/>
            <w:shd w:val="clear" w:color="auto" w:fill="auto"/>
          </w:tcPr>
          <w:p w14:paraId="462A1FFC"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$60.000.000,oo</w:t>
            </w:r>
          </w:p>
        </w:tc>
      </w:tr>
      <w:tr w:rsidR="0017365B" w:rsidRPr="00AD3D53" w14:paraId="1EC9EA25" w14:textId="77777777" w:rsidTr="005A0A33">
        <w:tc>
          <w:tcPr>
            <w:tcW w:w="4322" w:type="dxa"/>
            <w:shd w:val="clear" w:color="auto" w:fill="auto"/>
          </w:tcPr>
          <w:p w14:paraId="4E5AE350"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Valor cancelado al contratista</w:t>
            </w:r>
          </w:p>
        </w:tc>
        <w:tc>
          <w:tcPr>
            <w:tcW w:w="4322" w:type="dxa"/>
            <w:shd w:val="clear" w:color="auto" w:fill="auto"/>
          </w:tcPr>
          <w:p w14:paraId="0FCF4D01"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$203.441.031,oo</w:t>
            </w:r>
          </w:p>
        </w:tc>
      </w:tr>
      <w:tr w:rsidR="0017365B" w:rsidRPr="00AD3D53" w14:paraId="79C0C0DB" w14:textId="77777777" w:rsidTr="005A0A33">
        <w:tc>
          <w:tcPr>
            <w:tcW w:w="4322" w:type="dxa"/>
            <w:shd w:val="clear" w:color="auto" w:fill="auto"/>
          </w:tcPr>
          <w:p w14:paraId="43284B8F"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Valor adeudado al contratista</w:t>
            </w:r>
          </w:p>
        </w:tc>
        <w:tc>
          <w:tcPr>
            <w:tcW w:w="4322" w:type="dxa"/>
            <w:shd w:val="clear" w:color="auto" w:fill="auto"/>
          </w:tcPr>
          <w:p w14:paraId="7BE776AD"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$35.573.150,oo</w:t>
            </w:r>
          </w:p>
        </w:tc>
      </w:tr>
      <w:tr w:rsidR="0017365B" w:rsidRPr="00AD3D53" w14:paraId="7B09091C" w14:textId="77777777" w:rsidTr="005A0A33">
        <w:tc>
          <w:tcPr>
            <w:tcW w:w="4322" w:type="dxa"/>
            <w:shd w:val="clear" w:color="auto" w:fill="auto"/>
          </w:tcPr>
          <w:p w14:paraId="72B3950E"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TOTAL EJECUTADO</w:t>
            </w:r>
          </w:p>
        </w:tc>
        <w:tc>
          <w:tcPr>
            <w:tcW w:w="4322" w:type="dxa"/>
            <w:shd w:val="clear" w:color="auto" w:fill="auto"/>
          </w:tcPr>
          <w:p w14:paraId="6E6A31E5"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$239.014.181,oo</w:t>
            </w:r>
          </w:p>
        </w:tc>
      </w:tr>
      <w:tr w:rsidR="0017365B" w:rsidRPr="00AD3D53" w14:paraId="6BF90BBF" w14:textId="77777777" w:rsidTr="005A0A33">
        <w:tc>
          <w:tcPr>
            <w:tcW w:w="4322" w:type="dxa"/>
            <w:shd w:val="clear" w:color="auto" w:fill="auto"/>
          </w:tcPr>
          <w:p w14:paraId="24AF7F2B"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Valor total del contrato</w:t>
            </w:r>
          </w:p>
        </w:tc>
        <w:tc>
          <w:tcPr>
            <w:tcW w:w="4322" w:type="dxa"/>
            <w:shd w:val="clear" w:color="auto" w:fill="auto"/>
          </w:tcPr>
          <w:p w14:paraId="7BAE622B"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$240.000.000,oo</w:t>
            </w:r>
          </w:p>
        </w:tc>
      </w:tr>
      <w:tr w:rsidR="0017365B" w:rsidRPr="00AD3D53" w14:paraId="7F73B22B" w14:textId="77777777" w:rsidTr="005A0A33">
        <w:tc>
          <w:tcPr>
            <w:tcW w:w="4322" w:type="dxa"/>
            <w:shd w:val="clear" w:color="auto" w:fill="auto"/>
          </w:tcPr>
          <w:p w14:paraId="4C448F9A"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Valor ejecutado</w:t>
            </w:r>
          </w:p>
        </w:tc>
        <w:tc>
          <w:tcPr>
            <w:tcW w:w="4322" w:type="dxa"/>
            <w:shd w:val="clear" w:color="auto" w:fill="auto"/>
          </w:tcPr>
          <w:p w14:paraId="7D45F277"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$239.014.181,oo</w:t>
            </w:r>
          </w:p>
        </w:tc>
      </w:tr>
      <w:tr w:rsidR="0017365B" w:rsidRPr="00AD3D53" w14:paraId="5247F088" w14:textId="77777777" w:rsidTr="005A0A33">
        <w:tc>
          <w:tcPr>
            <w:tcW w:w="4322" w:type="dxa"/>
            <w:shd w:val="clear" w:color="auto" w:fill="auto"/>
          </w:tcPr>
          <w:p w14:paraId="14870E0A"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SALDO A FAVOR DEL DISTRITO</w:t>
            </w:r>
          </w:p>
        </w:tc>
        <w:tc>
          <w:tcPr>
            <w:tcW w:w="4322" w:type="dxa"/>
            <w:shd w:val="clear" w:color="auto" w:fill="auto"/>
          </w:tcPr>
          <w:p w14:paraId="1C325733" w14:textId="77777777" w:rsidR="0017365B" w:rsidRPr="00AD3D53" w:rsidRDefault="0017365B"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$985.819,oo</w:t>
            </w:r>
          </w:p>
        </w:tc>
      </w:tr>
    </w:tbl>
    <w:p w14:paraId="2CE3634E" w14:textId="77777777" w:rsidR="00092306" w:rsidRPr="00AD3D53" w:rsidRDefault="00092306" w:rsidP="0017365B">
      <w:pPr>
        <w:spacing w:line="360" w:lineRule="auto"/>
        <w:ind w:firstLine="1"/>
        <w:contextualSpacing/>
        <w:jc w:val="both"/>
        <w:rPr>
          <w:rFonts w:ascii="Arial" w:hAnsi="Arial" w:cs="Arial"/>
          <w:b/>
          <w:sz w:val="24"/>
          <w:szCs w:val="24"/>
        </w:rPr>
      </w:pPr>
    </w:p>
    <w:p w14:paraId="2A656F45" w14:textId="77777777" w:rsidR="00092306" w:rsidRPr="00AD3D53" w:rsidRDefault="00092306" w:rsidP="00092306">
      <w:pPr>
        <w:spacing w:line="360" w:lineRule="auto"/>
        <w:contextualSpacing/>
        <w:jc w:val="both"/>
        <w:rPr>
          <w:rFonts w:ascii="Arial" w:hAnsi="Arial" w:cs="Arial"/>
          <w:b/>
          <w:sz w:val="24"/>
          <w:szCs w:val="24"/>
        </w:rPr>
      </w:pPr>
      <w:r w:rsidRPr="00AD3D53">
        <w:rPr>
          <w:rFonts w:ascii="Arial" w:hAnsi="Arial" w:cs="Arial"/>
          <w:b/>
          <w:sz w:val="24"/>
          <w:szCs w:val="24"/>
        </w:rPr>
        <w:t>1</w:t>
      </w:r>
      <w:r w:rsidR="00E84CF7" w:rsidRPr="00AD3D53">
        <w:rPr>
          <w:rFonts w:ascii="Arial" w:hAnsi="Arial" w:cs="Arial"/>
          <w:b/>
          <w:sz w:val="24"/>
          <w:szCs w:val="24"/>
        </w:rPr>
        <w:t>.2. Los</w:t>
      </w:r>
      <w:r w:rsidRPr="00AD3D53">
        <w:rPr>
          <w:rFonts w:ascii="Arial" w:hAnsi="Arial" w:cs="Arial"/>
          <w:b/>
          <w:sz w:val="24"/>
          <w:szCs w:val="24"/>
        </w:rPr>
        <w:t xml:space="preserve"> recurso</w:t>
      </w:r>
      <w:r w:rsidR="00E84CF7" w:rsidRPr="00AD3D53">
        <w:rPr>
          <w:rFonts w:ascii="Arial" w:hAnsi="Arial" w:cs="Arial"/>
          <w:b/>
          <w:sz w:val="24"/>
          <w:szCs w:val="24"/>
        </w:rPr>
        <w:t>s</w:t>
      </w:r>
      <w:r w:rsidRPr="00AD3D53">
        <w:rPr>
          <w:rFonts w:ascii="Arial" w:hAnsi="Arial" w:cs="Arial"/>
          <w:b/>
          <w:sz w:val="24"/>
          <w:szCs w:val="24"/>
        </w:rPr>
        <w:t xml:space="preserve"> de apelación y su trámite en segunda instancia</w:t>
      </w:r>
    </w:p>
    <w:p w14:paraId="106A6BEE" w14:textId="77777777" w:rsidR="00092306" w:rsidRPr="00AD3D53" w:rsidRDefault="00092306" w:rsidP="00092306">
      <w:pPr>
        <w:spacing w:line="360" w:lineRule="auto"/>
        <w:contextualSpacing/>
        <w:jc w:val="both"/>
        <w:rPr>
          <w:rFonts w:ascii="Arial" w:hAnsi="Arial" w:cs="Arial"/>
          <w:b/>
          <w:sz w:val="24"/>
          <w:szCs w:val="24"/>
        </w:rPr>
      </w:pPr>
    </w:p>
    <w:p w14:paraId="5DBB5656" w14:textId="77777777" w:rsidR="003F1278" w:rsidRPr="00AD3D53" w:rsidRDefault="00E37449" w:rsidP="003F1278">
      <w:pPr>
        <w:spacing w:line="360" w:lineRule="auto"/>
        <w:contextualSpacing/>
        <w:jc w:val="both"/>
        <w:rPr>
          <w:rFonts w:ascii="Arial" w:hAnsi="Arial" w:cs="Arial"/>
          <w:sz w:val="24"/>
          <w:szCs w:val="24"/>
          <w:lang w:val="es-CO"/>
        </w:rPr>
      </w:pPr>
      <w:r w:rsidRPr="00AD3D53">
        <w:rPr>
          <w:rFonts w:ascii="Arial" w:hAnsi="Arial" w:cs="Arial"/>
          <w:sz w:val="24"/>
          <w:szCs w:val="24"/>
        </w:rPr>
        <w:t>22</w:t>
      </w:r>
      <w:r w:rsidR="00092306" w:rsidRPr="00AD3D53">
        <w:rPr>
          <w:rFonts w:ascii="Arial" w:hAnsi="Arial" w:cs="Arial"/>
          <w:sz w:val="24"/>
          <w:szCs w:val="24"/>
        </w:rPr>
        <w:t xml:space="preserve">. </w:t>
      </w:r>
      <w:r w:rsidR="003F1278" w:rsidRPr="00AD3D53">
        <w:rPr>
          <w:rFonts w:ascii="Arial" w:hAnsi="Arial" w:cs="Arial"/>
          <w:sz w:val="24"/>
          <w:szCs w:val="24"/>
          <w:lang w:val="es-CO"/>
        </w:rPr>
        <w:t xml:space="preserve">El 7 de julio de 2011, la Secretaría de Hacienda interpuso </w:t>
      </w:r>
      <w:r w:rsidR="003F1278" w:rsidRPr="00AD3D53">
        <w:rPr>
          <w:rFonts w:ascii="Arial" w:hAnsi="Arial" w:cs="Arial"/>
          <w:b/>
          <w:sz w:val="24"/>
          <w:szCs w:val="24"/>
          <w:lang w:val="es-CO"/>
        </w:rPr>
        <w:t>recurso de apelación</w:t>
      </w:r>
      <w:r w:rsidR="003F1278" w:rsidRPr="00AD3D53">
        <w:rPr>
          <w:rFonts w:ascii="Arial" w:hAnsi="Arial" w:cs="Arial"/>
          <w:sz w:val="24"/>
          <w:szCs w:val="24"/>
          <w:lang w:val="es-CO"/>
        </w:rPr>
        <w:t xml:space="preserve"> en contra de la sentencia de 8 de junio de 2011</w:t>
      </w:r>
      <w:r w:rsidR="003F1278" w:rsidRPr="00AD3D53">
        <w:rPr>
          <w:rStyle w:val="Refdenotaalpie"/>
          <w:rFonts w:ascii="Arial" w:hAnsi="Arial" w:cs="Arial"/>
          <w:lang w:val="es-CO"/>
        </w:rPr>
        <w:footnoteReference w:id="23"/>
      </w:r>
      <w:r w:rsidR="003F1278" w:rsidRPr="00AD3D53">
        <w:rPr>
          <w:rFonts w:ascii="Arial" w:hAnsi="Arial" w:cs="Arial"/>
          <w:sz w:val="24"/>
          <w:szCs w:val="24"/>
          <w:lang w:val="es-CO"/>
        </w:rPr>
        <w:t>. En su recurso, señaló que el Tribunal no ordenó el reconocimiento de los perjuicios ocasionados a la Secretaría de Hacienda</w:t>
      </w:r>
      <w:r w:rsidR="00E9479D" w:rsidRPr="00AD3D53">
        <w:rPr>
          <w:rFonts w:ascii="Arial" w:hAnsi="Arial" w:cs="Arial"/>
          <w:sz w:val="24"/>
          <w:szCs w:val="24"/>
          <w:lang w:val="es-CO"/>
        </w:rPr>
        <w:t>,</w:t>
      </w:r>
      <w:r w:rsidR="003F1278" w:rsidRPr="00AD3D53">
        <w:rPr>
          <w:rFonts w:ascii="Arial" w:hAnsi="Arial" w:cs="Arial"/>
          <w:sz w:val="24"/>
          <w:szCs w:val="24"/>
          <w:lang w:val="es-CO"/>
        </w:rPr>
        <w:t xml:space="preserve"> los cuales, a su juicio, se encontraban debidamente soportados en las pruebas practicadas en el proceso.</w:t>
      </w:r>
    </w:p>
    <w:p w14:paraId="76EC0904" w14:textId="77777777" w:rsidR="00092306" w:rsidRPr="00AD3D53" w:rsidRDefault="00092306" w:rsidP="00092306">
      <w:pPr>
        <w:spacing w:line="360" w:lineRule="auto"/>
        <w:contextualSpacing/>
        <w:jc w:val="both"/>
        <w:rPr>
          <w:rFonts w:ascii="Arial" w:hAnsi="Arial" w:cs="Arial"/>
          <w:sz w:val="24"/>
          <w:szCs w:val="24"/>
          <w:lang w:val="es-CO"/>
        </w:rPr>
      </w:pPr>
    </w:p>
    <w:p w14:paraId="5822CE3F" w14:textId="77777777" w:rsidR="00EA2089" w:rsidRPr="00AD3D53" w:rsidRDefault="004700E9" w:rsidP="00EA2089">
      <w:pPr>
        <w:spacing w:line="360" w:lineRule="auto"/>
        <w:contextualSpacing/>
        <w:jc w:val="both"/>
        <w:rPr>
          <w:rFonts w:ascii="Arial" w:hAnsi="Arial" w:cs="Arial"/>
          <w:sz w:val="24"/>
          <w:szCs w:val="24"/>
          <w:lang w:val="es-CO"/>
        </w:rPr>
      </w:pPr>
      <w:r w:rsidRPr="00AD3D53">
        <w:rPr>
          <w:rFonts w:ascii="Arial" w:hAnsi="Arial" w:cs="Arial"/>
          <w:sz w:val="24"/>
          <w:szCs w:val="24"/>
          <w:lang w:val="es-CO"/>
        </w:rPr>
        <w:t>23</w:t>
      </w:r>
      <w:r w:rsidR="00092306" w:rsidRPr="00AD3D53">
        <w:rPr>
          <w:rFonts w:ascii="Arial" w:hAnsi="Arial" w:cs="Arial"/>
          <w:sz w:val="24"/>
          <w:szCs w:val="24"/>
          <w:lang w:val="es-CO"/>
        </w:rPr>
        <w:t xml:space="preserve">. </w:t>
      </w:r>
      <w:r w:rsidR="00EA2089" w:rsidRPr="00AD3D53">
        <w:rPr>
          <w:rFonts w:ascii="Arial" w:hAnsi="Arial" w:cs="Arial"/>
          <w:sz w:val="24"/>
          <w:szCs w:val="24"/>
          <w:lang w:val="es-CO"/>
        </w:rPr>
        <w:t xml:space="preserve">El 12 de julio de 2011, </w:t>
      </w:r>
      <w:proofErr w:type="spellStart"/>
      <w:r w:rsidR="00EA2089" w:rsidRPr="00AD3D53">
        <w:rPr>
          <w:rFonts w:ascii="Arial" w:hAnsi="Arial" w:cs="Arial"/>
          <w:sz w:val="24"/>
          <w:szCs w:val="24"/>
          <w:lang w:val="es-CO"/>
        </w:rPr>
        <w:t>Fiduagraria</w:t>
      </w:r>
      <w:proofErr w:type="spellEnd"/>
      <w:r w:rsidR="00EA2089" w:rsidRPr="00AD3D53">
        <w:rPr>
          <w:rFonts w:ascii="Arial" w:hAnsi="Arial" w:cs="Arial"/>
          <w:sz w:val="24"/>
          <w:szCs w:val="24"/>
          <w:lang w:val="es-CO"/>
        </w:rPr>
        <w:t xml:space="preserve"> S.A. -en calidad de vocera del patrimonio autónomo de remanentes de </w:t>
      </w:r>
      <w:proofErr w:type="spellStart"/>
      <w:r w:rsidR="00EA2089" w:rsidRPr="00AD3D53">
        <w:rPr>
          <w:rFonts w:ascii="Arial" w:hAnsi="Arial" w:cs="Arial"/>
          <w:sz w:val="24"/>
          <w:szCs w:val="24"/>
          <w:lang w:val="es-CO"/>
        </w:rPr>
        <w:t>Adpostal</w:t>
      </w:r>
      <w:proofErr w:type="spellEnd"/>
      <w:r w:rsidR="00EA2089" w:rsidRPr="00AD3D53">
        <w:rPr>
          <w:rFonts w:ascii="Arial" w:hAnsi="Arial" w:cs="Arial"/>
          <w:sz w:val="24"/>
          <w:szCs w:val="24"/>
          <w:lang w:val="es-CO"/>
        </w:rPr>
        <w:t>- interpuso recurs</w:t>
      </w:r>
      <w:r w:rsidR="00492088" w:rsidRPr="00AD3D53">
        <w:rPr>
          <w:rFonts w:ascii="Arial" w:hAnsi="Arial" w:cs="Arial"/>
          <w:sz w:val="24"/>
          <w:szCs w:val="24"/>
          <w:lang w:val="es-CO"/>
        </w:rPr>
        <w:t>o de apelación en contra de la S</w:t>
      </w:r>
      <w:r w:rsidR="00EA2089" w:rsidRPr="00AD3D53">
        <w:rPr>
          <w:rFonts w:ascii="Arial" w:hAnsi="Arial" w:cs="Arial"/>
          <w:sz w:val="24"/>
          <w:szCs w:val="24"/>
          <w:lang w:val="es-CO"/>
        </w:rPr>
        <w:t>entencia de 8 de junio de 2011</w:t>
      </w:r>
      <w:r w:rsidR="00EA2089" w:rsidRPr="00AD3D53">
        <w:rPr>
          <w:rStyle w:val="Refdenotaalpie"/>
          <w:rFonts w:ascii="Arial" w:hAnsi="Arial" w:cs="Arial"/>
          <w:lang w:val="es-CO"/>
        </w:rPr>
        <w:footnoteReference w:id="24"/>
      </w:r>
      <w:r w:rsidR="008138E6" w:rsidRPr="00AD3D53">
        <w:rPr>
          <w:rFonts w:ascii="Arial" w:hAnsi="Arial" w:cs="Arial"/>
          <w:sz w:val="24"/>
          <w:szCs w:val="24"/>
          <w:lang w:val="es-CO"/>
        </w:rPr>
        <w:t>. En el recurso sostuvo</w:t>
      </w:r>
      <w:r w:rsidR="00FC7203" w:rsidRPr="00AD3D53">
        <w:rPr>
          <w:rFonts w:ascii="Arial" w:hAnsi="Arial" w:cs="Arial"/>
          <w:sz w:val="24"/>
          <w:szCs w:val="24"/>
          <w:lang w:val="es-CO"/>
        </w:rPr>
        <w:t xml:space="preserve"> (se trascribe)</w:t>
      </w:r>
      <w:r w:rsidR="00EA2089" w:rsidRPr="00AD3D53">
        <w:rPr>
          <w:rFonts w:ascii="Arial" w:hAnsi="Arial" w:cs="Arial"/>
          <w:sz w:val="24"/>
          <w:szCs w:val="24"/>
          <w:lang w:val="es-CO"/>
        </w:rPr>
        <w:t>:</w:t>
      </w:r>
    </w:p>
    <w:p w14:paraId="4A4F2106" w14:textId="77777777" w:rsidR="00EA2089" w:rsidRPr="00AD3D53" w:rsidRDefault="00EA2089" w:rsidP="00EA2089">
      <w:pPr>
        <w:spacing w:line="360" w:lineRule="auto"/>
        <w:contextualSpacing/>
        <w:jc w:val="both"/>
        <w:rPr>
          <w:rFonts w:ascii="Arial" w:hAnsi="Arial" w:cs="Arial"/>
          <w:sz w:val="24"/>
          <w:szCs w:val="24"/>
          <w:lang w:val="es-CO"/>
        </w:rPr>
      </w:pPr>
    </w:p>
    <w:p w14:paraId="58B2D0B9" w14:textId="77777777" w:rsidR="00EA2089" w:rsidRPr="00AD3D53" w:rsidRDefault="00EA2089" w:rsidP="007A3433">
      <w:pPr>
        <w:ind w:left="567" w:right="567"/>
        <w:contextualSpacing/>
        <w:jc w:val="both"/>
        <w:rPr>
          <w:rFonts w:ascii="Arial" w:hAnsi="Arial" w:cs="Arial"/>
          <w:i/>
          <w:szCs w:val="24"/>
          <w:lang w:val="es-CO"/>
        </w:rPr>
      </w:pPr>
      <w:r w:rsidRPr="00AD3D53">
        <w:rPr>
          <w:rFonts w:ascii="Arial" w:hAnsi="Arial" w:cs="Arial"/>
          <w:szCs w:val="24"/>
          <w:lang w:val="es-CO"/>
        </w:rPr>
        <w:t>“</w:t>
      </w:r>
      <w:r w:rsidRPr="00AD3D53">
        <w:rPr>
          <w:rFonts w:ascii="Arial" w:hAnsi="Arial" w:cs="Arial"/>
          <w:i/>
          <w:szCs w:val="24"/>
          <w:lang w:val="es-CO"/>
        </w:rPr>
        <w:t>Tal como concluyó el ad-quo, en el presente proceso no se demostró perjuicio alguno por parte de la demandante, y todas las consideraciones de la demanda y de los alegatos corresponde a hipótesis y conjeturas, que no permiten concretar ni objetivar el perjuicio reclamado.</w:t>
      </w:r>
    </w:p>
    <w:p w14:paraId="5EFE3879" w14:textId="77777777" w:rsidR="00EA2089" w:rsidRPr="00AD3D53" w:rsidRDefault="00EA2089" w:rsidP="007A3433">
      <w:pPr>
        <w:ind w:left="567" w:right="567"/>
        <w:contextualSpacing/>
        <w:jc w:val="both"/>
        <w:rPr>
          <w:rFonts w:ascii="Arial" w:hAnsi="Arial" w:cs="Arial"/>
          <w:i/>
          <w:szCs w:val="24"/>
          <w:lang w:val="es-CO"/>
        </w:rPr>
      </w:pPr>
      <w:r w:rsidRPr="00AD3D53">
        <w:rPr>
          <w:rFonts w:ascii="Arial" w:hAnsi="Arial" w:cs="Arial"/>
          <w:i/>
          <w:szCs w:val="24"/>
          <w:lang w:val="es-CO"/>
        </w:rPr>
        <w:t>(…)</w:t>
      </w:r>
    </w:p>
    <w:p w14:paraId="59C9700B" w14:textId="77777777" w:rsidR="00EA2089" w:rsidRPr="00AD3D53" w:rsidRDefault="00EA2089" w:rsidP="007A3433">
      <w:pPr>
        <w:ind w:left="567" w:right="567"/>
        <w:contextualSpacing/>
        <w:jc w:val="both"/>
        <w:rPr>
          <w:rFonts w:ascii="Arial" w:hAnsi="Arial" w:cs="Arial"/>
          <w:i/>
          <w:szCs w:val="24"/>
          <w:lang w:val="es-CO"/>
        </w:rPr>
      </w:pPr>
      <w:r w:rsidRPr="00AD3D53">
        <w:rPr>
          <w:rFonts w:ascii="Arial" w:hAnsi="Arial" w:cs="Arial"/>
          <w:i/>
          <w:szCs w:val="24"/>
          <w:lang w:val="es-CO"/>
        </w:rPr>
        <w:t xml:space="preserve">Las anteriores consideraciones, por sí solas, demuestran por si solas, que este dictamen carece de la precisión y claridad que debe contener un dictamen pericial, máxime cuando en este proceso están en juego dineros del Estado, como los que administra </w:t>
      </w:r>
      <w:proofErr w:type="spellStart"/>
      <w:r w:rsidRPr="00AD3D53">
        <w:rPr>
          <w:rFonts w:ascii="Arial" w:hAnsi="Arial" w:cs="Arial"/>
          <w:i/>
          <w:szCs w:val="24"/>
          <w:lang w:val="es-CO"/>
        </w:rPr>
        <w:t>Fiduagraria</w:t>
      </w:r>
      <w:proofErr w:type="spellEnd"/>
      <w:r w:rsidRPr="00AD3D53">
        <w:rPr>
          <w:rFonts w:ascii="Arial" w:hAnsi="Arial" w:cs="Arial"/>
          <w:i/>
          <w:szCs w:val="24"/>
          <w:lang w:val="es-CO"/>
        </w:rPr>
        <w:t xml:space="preserve"> S.A.</w:t>
      </w:r>
    </w:p>
    <w:p w14:paraId="1FDC3A07" w14:textId="77777777" w:rsidR="00EA2089" w:rsidRPr="00AD3D53" w:rsidRDefault="00EA2089" w:rsidP="007A3433">
      <w:pPr>
        <w:ind w:left="567" w:right="567"/>
        <w:contextualSpacing/>
        <w:jc w:val="both"/>
        <w:rPr>
          <w:rFonts w:ascii="Arial" w:hAnsi="Arial" w:cs="Arial"/>
          <w:i/>
          <w:szCs w:val="24"/>
          <w:lang w:val="es-CO"/>
        </w:rPr>
      </w:pPr>
      <w:r w:rsidRPr="00AD3D53">
        <w:rPr>
          <w:rFonts w:ascii="Arial" w:hAnsi="Arial" w:cs="Arial"/>
          <w:i/>
          <w:szCs w:val="24"/>
          <w:lang w:val="es-CO"/>
        </w:rPr>
        <w:t>Por lo anteriormente expuesto, solicito de manera respetuosa al despacho, declarar que el Dictamen Pericial que obra en el proceso, desconoce los preceptos legales ya mencionados, y dejarlo sin efecto en esta instancia”.</w:t>
      </w:r>
    </w:p>
    <w:p w14:paraId="5EAAE4D3" w14:textId="77777777" w:rsidR="00092306" w:rsidRPr="00AD3D53" w:rsidRDefault="00092306" w:rsidP="00092306">
      <w:pPr>
        <w:spacing w:line="360" w:lineRule="auto"/>
        <w:contextualSpacing/>
        <w:jc w:val="both"/>
        <w:rPr>
          <w:rFonts w:ascii="Arial" w:hAnsi="Arial" w:cs="Arial"/>
          <w:sz w:val="24"/>
          <w:szCs w:val="24"/>
          <w:lang w:val="es-CO"/>
        </w:rPr>
      </w:pPr>
    </w:p>
    <w:p w14:paraId="5D195B07" w14:textId="77777777" w:rsidR="004D0C12" w:rsidRPr="00AD3D53" w:rsidRDefault="00434411" w:rsidP="004D0C12">
      <w:pPr>
        <w:spacing w:line="360" w:lineRule="auto"/>
        <w:contextualSpacing/>
        <w:jc w:val="both"/>
        <w:rPr>
          <w:rFonts w:ascii="Arial" w:hAnsi="Arial" w:cs="Arial"/>
          <w:sz w:val="24"/>
          <w:szCs w:val="24"/>
          <w:lang w:val="es-CO"/>
        </w:rPr>
      </w:pPr>
      <w:r w:rsidRPr="00AD3D53">
        <w:rPr>
          <w:rFonts w:ascii="Arial" w:hAnsi="Arial" w:cs="Arial"/>
          <w:sz w:val="24"/>
          <w:szCs w:val="24"/>
          <w:lang w:val="es-CO"/>
        </w:rPr>
        <w:lastRenderedPageBreak/>
        <w:t>24</w:t>
      </w:r>
      <w:r w:rsidR="00092306" w:rsidRPr="00AD3D53">
        <w:rPr>
          <w:rFonts w:ascii="Arial" w:hAnsi="Arial" w:cs="Arial"/>
          <w:sz w:val="24"/>
          <w:szCs w:val="24"/>
          <w:lang w:val="es-CO"/>
        </w:rPr>
        <w:t xml:space="preserve">. </w:t>
      </w:r>
      <w:r w:rsidR="004D0C12" w:rsidRPr="00AD3D53">
        <w:rPr>
          <w:rFonts w:ascii="Arial" w:hAnsi="Arial" w:cs="Arial"/>
          <w:sz w:val="24"/>
          <w:szCs w:val="24"/>
          <w:lang w:val="es-CO"/>
        </w:rPr>
        <w:t>El 3 de octubre de 2011 se realizó la audiencia de que trata el artículo 70 de la Ley 1395 de 2010</w:t>
      </w:r>
      <w:r w:rsidR="004D0C12" w:rsidRPr="00AD3D53">
        <w:rPr>
          <w:rStyle w:val="Refdenotaalpie"/>
          <w:rFonts w:ascii="Arial" w:hAnsi="Arial" w:cs="Arial"/>
          <w:lang w:val="es-CO"/>
        </w:rPr>
        <w:footnoteReference w:id="25"/>
      </w:r>
      <w:r w:rsidR="004D0C12" w:rsidRPr="00AD3D53">
        <w:rPr>
          <w:rFonts w:ascii="Arial" w:hAnsi="Arial" w:cs="Arial"/>
          <w:sz w:val="24"/>
          <w:szCs w:val="24"/>
          <w:lang w:val="es-CO"/>
        </w:rPr>
        <w:t>, a la cual no comparecieron</w:t>
      </w:r>
      <w:r w:rsidR="00EF3FA2" w:rsidRPr="00AD3D53">
        <w:rPr>
          <w:rFonts w:ascii="Arial" w:hAnsi="Arial" w:cs="Arial"/>
          <w:sz w:val="24"/>
          <w:szCs w:val="24"/>
          <w:lang w:val="es-CO"/>
        </w:rPr>
        <w:t xml:space="preserve"> ni el representante legal ni el</w:t>
      </w:r>
      <w:r w:rsidR="004D0C12" w:rsidRPr="00AD3D53">
        <w:rPr>
          <w:rFonts w:ascii="Arial" w:hAnsi="Arial" w:cs="Arial"/>
          <w:sz w:val="24"/>
          <w:szCs w:val="24"/>
          <w:lang w:val="es-CO"/>
        </w:rPr>
        <w:t xml:space="preserve"> apoderado de la Secretaría de Haci</w:t>
      </w:r>
      <w:r w:rsidR="00B12B62" w:rsidRPr="00AD3D53">
        <w:rPr>
          <w:rFonts w:ascii="Arial" w:hAnsi="Arial" w:cs="Arial"/>
          <w:sz w:val="24"/>
          <w:szCs w:val="24"/>
          <w:lang w:val="es-CO"/>
        </w:rPr>
        <w:t>enda. Por lo anterior, mediante Auto</w:t>
      </w:r>
      <w:r w:rsidR="004D0C12" w:rsidRPr="00AD3D53">
        <w:rPr>
          <w:rFonts w:ascii="Arial" w:hAnsi="Arial" w:cs="Arial"/>
          <w:sz w:val="24"/>
          <w:szCs w:val="24"/>
          <w:lang w:val="es-CO"/>
        </w:rPr>
        <w:t xml:space="preserve"> de 3 de febrero de 2012, el Tribunal declaró desierto el recurso de apelación interpuesto por la Secretaría de Hacienda</w:t>
      </w:r>
      <w:r w:rsidR="001C20BC" w:rsidRPr="00AD3D53">
        <w:rPr>
          <w:rFonts w:ascii="Arial" w:hAnsi="Arial" w:cs="Arial"/>
          <w:sz w:val="24"/>
          <w:szCs w:val="24"/>
          <w:lang w:val="es-CO"/>
        </w:rPr>
        <w:t xml:space="preserve"> del </w:t>
      </w:r>
      <w:r w:rsidR="00707571" w:rsidRPr="00AD3D53">
        <w:rPr>
          <w:rFonts w:ascii="Arial" w:hAnsi="Arial" w:cs="Arial"/>
          <w:sz w:val="24"/>
          <w:szCs w:val="24"/>
          <w:lang w:val="es-CO"/>
        </w:rPr>
        <w:t>Distrito Capital</w:t>
      </w:r>
      <w:r w:rsidR="00EE052C" w:rsidRPr="00AD3D53">
        <w:rPr>
          <w:rFonts w:ascii="Arial" w:hAnsi="Arial" w:cs="Arial"/>
          <w:sz w:val="24"/>
          <w:szCs w:val="24"/>
          <w:lang w:val="es-CO"/>
        </w:rPr>
        <w:t xml:space="preserve"> de Bogotá</w:t>
      </w:r>
      <w:r w:rsidR="004D0C12" w:rsidRPr="00AD3D53">
        <w:rPr>
          <w:rStyle w:val="Refdenotaalpie"/>
          <w:rFonts w:ascii="Arial" w:hAnsi="Arial" w:cs="Arial"/>
          <w:lang w:val="es-CO"/>
        </w:rPr>
        <w:footnoteReference w:id="26"/>
      </w:r>
      <w:r w:rsidR="004D0C12" w:rsidRPr="00AD3D53">
        <w:rPr>
          <w:rFonts w:ascii="Arial" w:hAnsi="Arial" w:cs="Arial"/>
          <w:sz w:val="24"/>
          <w:szCs w:val="24"/>
          <w:lang w:val="es-CO"/>
        </w:rPr>
        <w:t>.</w:t>
      </w:r>
    </w:p>
    <w:p w14:paraId="30C5F65B" w14:textId="77777777" w:rsidR="00092306" w:rsidRPr="00AD3D53" w:rsidRDefault="00092306" w:rsidP="004D0C12">
      <w:pPr>
        <w:spacing w:line="360" w:lineRule="auto"/>
        <w:contextualSpacing/>
        <w:jc w:val="both"/>
        <w:rPr>
          <w:rFonts w:ascii="Arial" w:hAnsi="Arial" w:cs="Arial"/>
          <w:i/>
          <w:sz w:val="24"/>
          <w:szCs w:val="24"/>
          <w:lang w:val="es-CO"/>
        </w:rPr>
      </w:pPr>
    </w:p>
    <w:p w14:paraId="3588E098" w14:textId="77777777" w:rsidR="00BC630D" w:rsidRPr="00AD3D53" w:rsidRDefault="00767EAD" w:rsidP="00092306">
      <w:pPr>
        <w:spacing w:line="360" w:lineRule="auto"/>
        <w:contextualSpacing/>
        <w:jc w:val="both"/>
        <w:rPr>
          <w:rFonts w:ascii="Arial" w:hAnsi="Arial" w:cs="Arial"/>
          <w:sz w:val="24"/>
          <w:szCs w:val="24"/>
          <w:lang w:val="es-CO"/>
        </w:rPr>
      </w:pPr>
      <w:r w:rsidRPr="00AD3D53">
        <w:rPr>
          <w:rFonts w:ascii="Arial" w:hAnsi="Arial" w:cs="Arial"/>
          <w:sz w:val="24"/>
          <w:szCs w:val="24"/>
        </w:rPr>
        <w:t>25</w:t>
      </w:r>
      <w:r w:rsidR="00092306" w:rsidRPr="00AD3D53">
        <w:rPr>
          <w:rFonts w:ascii="Arial" w:hAnsi="Arial" w:cs="Arial"/>
          <w:sz w:val="24"/>
          <w:szCs w:val="24"/>
        </w:rPr>
        <w:t xml:space="preserve">. </w:t>
      </w:r>
      <w:r w:rsidR="00BC630D" w:rsidRPr="00AD3D53">
        <w:rPr>
          <w:rFonts w:ascii="Arial" w:hAnsi="Arial" w:cs="Arial"/>
          <w:sz w:val="24"/>
          <w:szCs w:val="24"/>
          <w:lang w:val="es-CO"/>
        </w:rPr>
        <w:t>El 4 de mayo de 2012 se corrió traslado a las partes para presentar alegatos de conclusión en segunda instancia</w:t>
      </w:r>
      <w:r w:rsidR="00BC630D" w:rsidRPr="00AD3D53">
        <w:rPr>
          <w:rStyle w:val="Refdenotaalpie"/>
          <w:rFonts w:ascii="Arial" w:hAnsi="Arial" w:cs="Arial"/>
          <w:lang w:val="es-CO"/>
        </w:rPr>
        <w:footnoteReference w:id="27"/>
      </w:r>
      <w:r w:rsidR="00BC630D" w:rsidRPr="00AD3D53">
        <w:rPr>
          <w:rFonts w:ascii="Arial" w:hAnsi="Arial" w:cs="Arial"/>
          <w:sz w:val="24"/>
          <w:szCs w:val="24"/>
          <w:lang w:val="es-CO"/>
        </w:rPr>
        <w:t>.</w:t>
      </w:r>
    </w:p>
    <w:p w14:paraId="5F1CF165" w14:textId="77777777" w:rsidR="00BC630D" w:rsidRPr="00AD3D53" w:rsidRDefault="00BC630D" w:rsidP="00092306">
      <w:pPr>
        <w:spacing w:line="360" w:lineRule="auto"/>
        <w:contextualSpacing/>
        <w:jc w:val="both"/>
        <w:rPr>
          <w:rFonts w:ascii="Arial" w:hAnsi="Arial" w:cs="Arial"/>
          <w:sz w:val="24"/>
          <w:szCs w:val="24"/>
        </w:rPr>
      </w:pPr>
    </w:p>
    <w:p w14:paraId="7465A926" w14:textId="77777777" w:rsidR="00EB461C" w:rsidRPr="00AD3D53" w:rsidRDefault="00C83357" w:rsidP="00EB461C">
      <w:pPr>
        <w:spacing w:line="360" w:lineRule="auto"/>
        <w:contextualSpacing/>
        <w:jc w:val="both"/>
        <w:rPr>
          <w:rFonts w:ascii="Arial" w:hAnsi="Arial" w:cs="Arial"/>
          <w:sz w:val="24"/>
          <w:szCs w:val="24"/>
          <w:lang w:val="es-CO"/>
        </w:rPr>
      </w:pPr>
      <w:r w:rsidRPr="00AD3D53">
        <w:rPr>
          <w:rFonts w:ascii="Arial" w:hAnsi="Arial" w:cs="Arial"/>
          <w:sz w:val="24"/>
          <w:szCs w:val="24"/>
          <w:lang w:val="es-CO"/>
        </w:rPr>
        <w:t>26</w:t>
      </w:r>
      <w:r w:rsidR="00EB461C" w:rsidRPr="00AD3D53">
        <w:rPr>
          <w:rFonts w:ascii="Arial" w:hAnsi="Arial" w:cs="Arial"/>
          <w:sz w:val="24"/>
          <w:szCs w:val="24"/>
          <w:lang w:val="es-CO"/>
        </w:rPr>
        <w:t xml:space="preserve">. Por medio de escritos radicados los días 14 y 27 de junio de 2012, la Secretaría de Hacienda y </w:t>
      </w:r>
      <w:proofErr w:type="spellStart"/>
      <w:r w:rsidR="00EB461C" w:rsidRPr="00AD3D53">
        <w:rPr>
          <w:rFonts w:ascii="Arial" w:hAnsi="Arial" w:cs="Arial"/>
          <w:sz w:val="24"/>
          <w:szCs w:val="24"/>
          <w:lang w:val="es-CO"/>
        </w:rPr>
        <w:t>Fiduagraria</w:t>
      </w:r>
      <w:proofErr w:type="spellEnd"/>
      <w:r w:rsidR="00EB461C" w:rsidRPr="00AD3D53">
        <w:rPr>
          <w:rFonts w:ascii="Arial" w:hAnsi="Arial" w:cs="Arial"/>
          <w:sz w:val="24"/>
          <w:szCs w:val="24"/>
          <w:lang w:val="es-CO"/>
        </w:rPr>
        <w:t xml:space="preserve"> S.A. -en calidad de vocera del patrimonio autónomo de remanentes de </w:t>
      </w:r>
      <w:proofErr w:type="spellStart"/>
      <w:r w:rsidR="00EB461C" w:rsidRPr="00AD3D53">
        <w:rPr>
          <w:rFonts w:ascii="Arial" w:hAnsi="Arial" w:cs="Arial"/>
          <w:sz w:val="24"/>
          <w:szCs w:val="24"/>
          <w:lang w:val="es-CO"/>
        </w:rPr>
        <w:t>Adpostal</w:t>
      </w:r>
      <w:proofErr w:type="spellEnd"/>
      <w:r w:rsidR="00EB461C" w:rsidRPr="00AD3D53">
        <w:rPr>
          <w:rFonts w:ascii="Arial" w:hAnsi="Arial" w:cs="Arial"/>
          <w:sz w:val="24"/>
          <w:szCs w:val="24"/>
          <w:lang w:val="es-CO"/>
        </w:rPr>
        <w:t xml:space="preserve">-, respectivamente, presentaron </w:t>
      </w:r>
      <w:r w:rsidR="00EB461C" w:rsidRPr="00AD3D53">
        <w:rPr>
          <w:rFonts w:ascii="Arial" w:hAnsi="Arial" w:cs="Arial"/>
          <w:b/>
          <w:sz w:val="24"/>
          <w:szCs w:val="24"/>
          <w:lang w:val="es-CO"/>
        </w:rPr>
        <w:t>alegatos de conclusión en segunda instancia</w:t>
      </w:r>
      <w:r w:rsidR="00EB461C" w:rsidRPr="00AD3D53">
        <w:rPr>
          <w:rFonts w:ascii="Arial" w:hAnsi="Arial" w:cs="Arial"/>
          <w:sz w:val="24"/>
          <w:szCs w:val="24"/>
          <w:lang w:val="es-CO"/>
        </w:rPr>
        <w:t>, reiterando los argumentos expuestos en los escritos de demanda y contestación</w:t>
      </w:r>
      <w:r w:rsidR="00EB461C" w:rsidRPr="00AD3D53">
        <w:rPr>
          <w:rStyle w:val="Refdenotaalpie"/>
          <w:rFonts w:ascii="Arial" w:hAnsi="Arial" w:cs="Arial"/>
          <w:sz w:val="24"/>
          <w:szCs w:val="24"/>
          <w:lang w:val="es-CO"/>
        </w:rPr>
        <w:footnoteReference w:id="28"/>
      </w:r>
      <w:r w:rsidR="00EB461C" w:rsidRPr="00AD3D53">
        <w:rPr>
          <w:rFonts w:ascii="Arial" w:hAnsi="Arial" w:cs="Arial"/>
          <w:sz w:val="24"/>
          <w:szCs w:val="24"/>
          <w:lang w:val="es-CO"/>
        </w:rPr>
        <w:t>.</w:t>
      </w:r>
    </w:p>
    <w:p w14:paraId="7B170180" w14:textId="77777777" w:rsidR="00092306" w:rsidRPr="00AD3D53" w:rsidRDefault="00092306" w:rsidP="00092306">
      <w:pPr>
        <w:spacing w:line="360" w:lineRule="auto"/>
        <w:contextualSpacing/>
        <w:jc w:val="both"/>
        <w:rPr>
          <w:rFonts w:ascii="Arial" w:hAnsi="Arial" w:cs="Arial"/>
          <w:sz w:val="24"/>
          <w:szCs w:val="24"/>
        </w:rPr>
      </w:pPr>
    </w:p>
    <w:p w14:paraId="3CA17E84" w14:textId="77777777" w:rsidR="00092306" w:rsidRPr="00AD3D53" w:rsidRDefault="00092306" w:rsidP="00092306">
      <w:pPr>
        <w:spacing w:line="360" w:lineRule="auto"/>
        <w:contextualSpacing/>
        <w:jc w:val="center"/>
        <w:rPr>
          <w:rFonts w:ascii="Arial" w:hAnsi="Arial" w:cs="Arial"/>
          <w:b/>
          <w:sz w:val="24"/>
          <w:szCs w:val="24"/>
        </w:rPr>
      </w:pPr>
      <w:r w:rsidRPr="00AD3D53">
        <w:rPr>
          <w:rFonts w:ascii="Arial" w:hAnsi="Arial" w:cs="Arial"/>
          <w:b/>
          <w:sz w:val="24"/>
          <w:szCs w:val="24"/>
        </w:rPr>
        <w:t>2.- CONSIDERACIONES</w:t>
      </w:r>
    </w:p>
    <w:p w14:paraId="1A7F60E7" w14:textId="77777777" w:rsidR="00092306" w:rsidRPr="00AD3D53" w:rsidRDefault="00092306" w:rsidP="00092306">
      <w:pPr>
        <w:spacing w:line="360" w:lineRule="auto"/>
        <w:contextualSpacing/>
        <w:jc w:val="center"/>
        <w:rPr>
          <w:rFonts w:ascii="Arial" w:hAnsi="Arial" w:cs="Arial"/>
          <w:b/>
          <w:sz w:val="24"/>
          <w:szCs w:val="24"/>
        </w:rPr>
      </w:pPr>
    </w:p>
    <w:p w14:paraId="23B53451" w14:textId="77777777" w:rsidR="00092306" w:rsidRPr="00AD3D53" w:rsidRDefault="00092306" w:rsidP="00092306">
      <w:pPr>
        <w:contextualSpacing/>
        <w:jc w:val="both"/>
        <w:rPr>
          <w:rFonts w:ascii="Arial" w:hAnsi="Arial" w:cs="Arial"/>
          <w:sz w:val="24"/>
          <w:szCs w:val="24"/>
        </w:rPr>
      </w:pPr>
      <w:r w:rsidRPr="00AD3D53">
        <w:rPr>
          <w:rFonts w:ascii="Arial" w:hAnsi="Arial" w:cs="Arial"/>
          <w:sz w:val="24"/>
          <w:szCs w:val="24"/>
        </w:rPr>
        <w:t xml:space="preserve">Contenido: 2.1. Jurisdicción y competencia – 2.2. Hechos probados – 2.3. El problema jurídico – 2.4. </w:t>
      </w:r>
      <w:r w:rsidR="00A27630" w:rsidRPr="00AD3D53">
        <w:rPr>
          <w:rFonts w:ascii="Arial" w:hAnsi="Arial" w:cs="Arial"/>
          <w:sz w:val="24"/>
          <w:szCs w:val="24"/>
        </w:rPr>
        <w:t>La prueba pericial y su objeción por error grave</w:t>
      </w:r>
      <w:r w:rsidRPr="00AD3D53">
        <w:rPr>
          <w:rFonts w:ascii="Arial" w:hAnsi="Arial" w:cs="Arial"/>
          <w:sz w:val="24"/>
          <w:szCs w:val="24"/>
        </w:rPr>
        <w:t>– 2.5.</w:t>
      </w:r>
      <w:r w:rsidRPr="00AD3D53">
        <w:rPr>
          <w:rFonts w:ascii="Arial" w:hAnsi="Arial" w:cs="Arial"/>
          <w:b/>
          <w:sz w:val="24"/>
          <w:szCs w:val="24"/>
        </w:rPr>
        <w:t xml:space="preserve"> </w:t>
      </w:r>
      <w:r w:rsidR="0010401C" w:rsidRPr="00AD3D53">
        <w:rPr>
          <w:rFonts w:ascii="Arial" w:hAnsi="Arial" w:cs="Arial"/>
          <w:sz w:val="24"/>
          <w:szCs w:val="24"/>
        </w:rPr>
        <w:t xml:space="preserve">El caso concreto </w:t>
      </w:r>
      <w:r w:rsidRPr="00AD3D53">
        <w:rPr>
          <w:rFonts w:ascii="Arial" w:hAnsi="Arial" w:cs="Arial"/>
          <w:sz w:val="24"/>
          <w:szCs w:val="24"/>
        </w:rPr>
        <w:t xml:space="preserve">– 2.6. </w:t>
      </w:r>
      <w:r w:rsidR="00185757" w:rsidRPr="00AD3D53">
        <w:rPr>
          <w:rFonts w:ascii="Arial" w:hAnsi="Arial" w:cs="Arial"/>
          <w:sz w:val="24"/>
          <w:szCs w:val="24"/>
        </w:rPr>
        <w:t>Sobre la condena en costas</w:t>
      </w:r>
      <w:r w:rsidRPr="00AD3D53">
        <w:rPr>
          <w:rFonts w:ascii="Arial" w:hAnsi="Arial" w:cs="Arial"/>
          <w:sz w:val="24"/>
          <w:szCs w:val="24"/>
        </w:rPr>
        <w:t xml:space="preserve"> </w:t>
      </w:r>
    </w:p>
    <w:p w14:paraId="79A4DC51" w14:textId="77777777" w:rsidR="00351568" w:rsidRPr="00AD3D53" w:rsidRDefault="00351568" w:rsidP="00092306">
      <w:pPr>
        <w:spacing w:line="360" w:lineRule="auto"/>
        <w:contextualSpacing/>
        <w:jc w:val="both"/>
        <w:rPr>
          <w:rFonts w:ascii="Arial" w:hAnsi="Arial" w:cs="Arial"/>
          <w:sz w:val="24"/>
          <w:szCs w:val="24"/>
        </w:rPr>
      </w:pPr>
    </w:p>
    <w:p w14:paraId="44A507E9" w14:textId="77777777" w:rsidR="00360B71" w:rsidRPr="00AD3D53" w:rsidRDefault="00092306" w:rsidP="00092306">
      <w:pPr>
        <w:spacing w:line="360" w:lineRule="auto"/>
        <w:contextualSpacing/>
        <w:jc w:val="both"/>
        <w:rPr>
          <w:rFonts w:ascii="Arial" w:hAnsi="Arial" w:cs="Arial"/>
          <w:b/>
          <w:sz w:val="24"/>
          <w:szCs w:val="24"/>
        </w:rPr>
      </w:pPr>
      <w:r w:rsidRPr="00AD3D53">
        <w:rPr>
          <w:rFonts w:ascii="Arial" w:hAnsi="Arial" w:cs="Arial"/>
          <w:b/>
          <w:sz w:val="24"/>
          <w:szCs w:val="24"/>
        </w:rPr>
        <w:t>2.1. Jurisdicción y competencia</w:t>
      </w:r>
    </w:p>
    <w:p w14:paraId="0A2D527C" w14:textId="77777777" w:rsidR="00351568" w:rsidRPr="00AD3D53" w:rsidRDefault="00351568" w:rsidP="00092306">
      <w:pPr>
        <w:spacing w:line="360" w:lineRule="auto"/>
        <w:contextualSpacing/>
        <w:jc w:val="both"/>
        <w:rPr>
          <w:rFonts w:ascii="Arial" w:hAnsi="Arial" w:cs="Arial"/>
          <w:b/>
          <w:sz w:val="24"/>
          <w:szCs w:val="24"/>
        </w:rPr>
      </w:pPr>
    </w:p>
    <w:p w14:paraId="07C2148D" w14:textId="77777777" w:rsidR="00092306" w:rsidRPr="00AD3D53" w:rsidRDefault="00DA06CA" w:rsidP="00EF7CA8">
      <w:pPr>
        <w:spacing w:line="360" w:lineRule="auto"/>
        <w:contextualSpacing/>
        <w:jc w:val="both"/>
        <w:rPr>
          <w:rFonts w:ascii="Arial" w:hAnsi="Arial" w:cs="Arial"/>
          <w:i/>
          <w:szCs w:val="24"/>
        </w:rPr>
      </w:pPr>
      <w:r w:rsidRPr="00AD3D53">
        <w:rPr>
          <w:rFonts w:ascii="Arial" w:hAnsi="Arial" w:cs="Arial"/>
          <w:sz w:val="24"/>
          <w:szCs w:val="24"/>
        </w:rPr>
        <w:t>27</w:t>
      </w:r>
      <w:r w:rsidR="00092306" w:rsidRPr="00AD3D53">
        <w:rPr>
          <w:rFonts w:ascii="Arial" w:hAnsi="Arial" w:cs="Arial"/>
          <w:sz w:val="24"/>
          <w:szCs w:val="24"/>
        </w:rPr>
        <w:t>. De acuerdo con el artículo 82 del Código Contencioso Administrativo</w:t>
      </w:r>
      <w:r w:rsidR="000245AC" w:rsidRPr="00AD3D53">
        <w:rPr>
          <w:rFonts w:ascii="Arial" w:hAnsi="Arial" w:cs="Arial"/>
          <w:sz w:val="24"/>
          <w:szCs w:val="24"/>
        </w:rPr>
        <w:t xml:space="preserve"> (CCA)</w:t>
      </w:r>
      <w:r w:rsidR="00092306" w:rsidRPr="00AD3D53">
        <w:rPr>
          <w:rFonts w:ascii="Arial" w:hAnsi="Arial" w:cs="Arial"/>
          <w:sz w:val="24"/>
          <w:szCs w:val="24"/>
        </w:rPr>
        <w:t xml:space="preserve">: </w:t>
      </w:r>
      <w:r w:rsidR="00092306" w:rsidRPr="00AD3D53">
        <w:rPr>
          <w:rFonts w:ascii="Arial" w:hAnsi="Arial" w:cs="Arial"/>
          <w:i/>
          <w:sz w:val="24"/>
          <w:szCs w:val="24"/>
        </w:rPr>
        <w:t>“la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w:t>
      </w:r>
      <w:r w:rsidR="00092306" w:rsidRPr="00AD3D53">
        <w:rPr>
          <w:rFonts w:ascii="Arial" w:hAnsi="Arial" w:cs="Arial"/>
          <w:sz w:val="24"/>
          <w:szCs w:val="24"/>
        </w:rPr>
        <w:t xml:space="preserve">. </w:t>
      </w:r>
    </w:p>
    <w:p w14:paraId="3B9B0CDC" w14:textId="77777777" w:rsidR="00092306" w:rsidRPr="00AD3D53" w:rsidRDefault="00092306" w:rsidP="00092306">
      <w:pPr>
        <w:spacing w:line="360" w:lineRule="auto"/>
        <w:contextualSpacing/>
        <w:jc w:val="both"/>
        <w:rPr>
          <w:rFonts w:ascii="Arial" w:hAnsi="Arial" w:cs="Arial"/>
          <w:sz w:val="24"/>
          <w:szCs w:val="24"/>
        </w:rPr>
      </w:pPr>
    </w:p>
    <w:p w14:paraId="46493122" w14:textId="77777777" w:rsidR="00092306" w:rsidRPr="00AD3D53" w:rsidRDefault="00F64636" w:rsidP="00092306">
      <w:pPr>
        <w:spacing w:line="360" w:lineRule="auto"/>
        <w:contextualSpacing/>
        <w:jc w:val="both"/>
        <w:rPr>
          <w:rFonts w:ascii="Arial" w:hAnsi="Arial" w:cs="Arial"/>
          <w:sz w:val="24"/>
          <w:szCs w:val="24"/>
        </w:rPr>
      </w:pPr>
      <w:r w:rsidRPr="00AD3D53">
        <w:rPr>
          <w:rFonts w:ascii="Arial" w:hAnsi="Arial" w:cs="Arial"/>
          <w:sz w:val="24"/>
          <w:szCs w:val="24"/>
        </w:rPr>
        <w:lastRenderedPageBreak/>
        <w:t>28</w:t>
      </w:r>
      <w:r w:rsidR="00092306" w:rsidRPr="00AD3D53">
        <w:rPr>
          <w:rFonts w:ascii="Arial" w:hAnsi="Arial" w:cs="Arial"/>
          <w:sz w:val="24"/>
          <w:szCs w:val="24"/>
        </w:rPr>
        <w:t>. Por consiguiente, en vista de que en</w:t>
      </w:r>
      <w:r w:rsidR="00AF7BC0" w:rsidRPr="00AD3D53">
        <w:rPr>
          <w:rFonts w:ascii="Arial" w:hAnsi="Arial" w:cs="Arial"/>
          <w:sz w:val="24"/>
          <w:szCs w:val="24"/>
        </w:rPr>
        <w:t xml:space="preserve"> la demanda presentada por</w:t>
      </w:r>
      <w:r w:rsidR="00F204B9" w:rsidRPr="00AD3D53">
        <w:rPr>
          <w:rFonts w:ascii="Arial" w:hAnsi="Arial" w:cs="Arial"/>
          <w:sz w:val="24"/>
          <w:szCs w:val="24"/>
        </w:rPr>
        <w:t xml:space="preserve"> la Secretaría de Hacienda</w:t>
      </w:r>
      <w:r w:rsidR="00092306" w:rsidRPr="00AD3D53">
        <w:rPr>
          <w:rFonts w:ascii="Arial" w:hAnsi="Arial" w:cs="Arial"/>
          <w:sz w:val="24"/>
          <w:szCs w:val="24"/>
        </w:rPr>
        <w:t xml:space="preserve"> se elevan pretensiones de declaratoria responsabilidad en contra de una entidad pública, el presente asunto debe ser tramitado ante la jurisdicción de lo contencioso administrativo.</w:t>
      </w:r>
    </w:p>
    <w:p w14:paraId="00EEBDB2" w14:textId="77777777" w:rsidR="00092306" w:rsidRPr="00AD3D53" w:rsidRDefault="00092306" w:rsidP="00092306">
      <w:pPr>
        <w:spacing w:line="360" w:lineRule="auto"/>
        <w:contextualSpacing/>
        <w:jc w:val="both"/>
        <w:rPr>
          <w:rFonts w:ascii="Arial" w:hAnsi="Arial" w:cs="Arial"/>
          <w:sz w:val="24"/>
          <w:szCs w:val="24"/>
        </w:rPr>
      </w:pPr>
    </w:p>
    <w:p w14:paraId="61F00F0F" w14:textId="77777777" w:rsidR="00A93712" w:rsidRPr="00AD3D53" w:rsidRDefault="00C517CE" w:rsidP="00092306">
      <w:pPr>
        <w:spacing w:line="360" w:lineRule="auto"/>
        <w:contextualSpacing/>
        <w:jc w:val="both"/>
        <w:rPr>
          <w:rFonts w:ascii="Arial" w:hAnsi="Arial" w:cs="Arial"/>
          <w:sz w:val="24"/>
          <w:szCs w:val="24"/>
        </w:rPr>
      </w:pPr>
      <w:r w:rsidRPr="00AD3D53">
        <w:rPr>
          <w:rFonts w:ascii="Arial" w:hAnsi="Arial" w:cs="Arial"/>
          <w:sz w:val="24"/>
          <w:szCs w:val="24"/>
        </w:rPr>
        <w:t>29</w:t>
      </w:r>
      <w:r w:rsidR="00092306" w:rsidRPr="00AD3D53">
        <w:rPr>
          <w:rFonts w:ascii="Arial" w:hAnsi="Arial" w:cs="Arial"/>
          <w:sz w:val="24"/>
          <w:szCs w:val="24"/>
        </w:rPr>
        <w:t xml:space="preserve">. Adicionalmente, el Consejo de Estado es </w:t>
      </w:r>
      <w:r w:rsidR="00092306" w:rsidRPr="00AD3D53">
        <w:rPr>
          <w:rFonts w:ascii="Arial" w:hAnsi="Arial" w:cs="Arial"/>
          <w:b/>
          <w:sz w:val="24"/>
          <w:szCs w:val="24"/>
        </w:rPr>
        <w:t>competente</w:t>
      </w:r>
      <w:r w:rsidR="00092306" w:rsidRPr="00AD3D53">
        <w:rPr>
          <w:rFonts w:ascii="Arial" w:hAnsi="Arial" w:cs="Arial"/>
          <w:sz w:val="24"/>
          <w:szCs w:val="24"/>
        </w:rPr>
        <w:t xml:space="preserve"> para conocer del presente asunto en virtud del recurso de apelación inte</w:t>
      </w:r>
      <w:r w:rsidR="00403D6D" w:rsidRPr="00AD3D53">
        <w:rPr>
          <w:rFonts w:ascii="Arial" w:hAnsi="Arial" w:cs="Arial"/>
          <w:sz w:val="24"/>
          <w:szCs w:val="24"/>
        </w:rPr>
        <w:t>rpuesto por la parte demandada</w:t>
      </w:r>
      <w:r w:rsidR="008F5346" w:rsidRPr="00AD3D53">
        <w:rPr>
          <w:rFonts w:ascii="Arial" w:hAnsi="Arial" w:cs="Arial"/>
          <w:sz w:val="24"/>
          <w:szCs w:val="24"/>
        </w:rPr>
        <w:t xml:space="preserve"> el 12 de julio de 2011</w:t>
      </w:r>
      <w:r w:rsidR="00092306" w:rsidRPr="00AD3D53">
        <w:rPr>
          <w:rFonts w:ascii="Arial" w:hAnsi="Arial" w:cs="Arial"/>
          <w:sz w:val="24"/>
          <w:szCs w:val="24"/>
        </w:rPr>
        <w:t>, en un proceso con vocación de segunda instancia ante esta Corporación, de conformidad con lo establecido en el artículo 129 del C</w:t>
      </w:r>
      <w:r w:rsidR="00FE6024" w:rsidRPr="00AD3D53">
        <w:rPr>
          <w:rFonts w:ascii="Arial" w:hAnsi="Arial" w:cs="Arial"/>
          <w:sz w:val="24"/>
          <w:szCs w:val="24"/>
        </w:rPr>
        <w:t>CA</w:t>
      </w:r>
      <w:r w:rsidR="00092306" w:rsidRPr="00AD3D53">
        <w:rPr>
          <w:rStyle w:val="Refdenotaalpie"/>
          <w:rFonts w:ascii="Arial" w:hAnsi="Arial" w:cs="Arial"/>
          <w:sz w:val="24"/>
          <w:szCs w:val="24"/>
        </w:rPr>
        <w:footnoteReference w:id="29"/>
      </w:r>
      <w:r w:rsidR="00092306" w:rsidRPr="00AD3D53">
        <w:rPr>
          <w:rFonts w:ascii="Arial" w:hAnsi="Arial" w:cs="Arial"/>
          <w:sz w:val="24"/>
          <w:szCs w:val="24"/>
        </w:rPr>
        <w:t xml:space="preserve">. </w:t>
      </w:r>
    </w:p>
    <w:p w14:paraId="517E9189" w14:textId="77777777" w:rsidR="00F23614" w:rsidRPr="00AD3D53" w:rsidRDefault="00F23614" w:rsidP="00092306">
      <w:pPr>
        <w:spacing w:line="360" w:lineRule="auto"/>
        <w:contextualSpacing/>
        <w:jc w:val="both"/>
        <w:rPr>
          <w:rFonts w:ascii="Arial" w:hAnsi="Arial" w:cs="Arial"/>
          <w:sz w:val="24"/>
          <w:szCs w:val="24"/>
        </w:rPr>
      </w:pPr>
    </w:p>
    <w:p w14:paraId="7FA206F6" w14:textId="77777777" w:rsidR="00092306" w:rsidRPr="00AD3D53" w:rsidRDefault="00092306" w:rsidP="00092306">
      <w:pPr>
        <w:spacing w:line="360" w:lineRule="auto"/>
        <w:contextualSpacing/>
        <w:jc w:val="both"/>
        <w:rPr>
          <w:rFonts w:ascii="Arial" w:hAnsi="Arial" w:cs="Arial"/>
          <w:b/>
          <w:sz w:val="24"/>
          <w:szCs w:val="24"/>
        </w:rPr>
      </w:pPr>
      <w:r w:rsidRPr="00AD3D53">
        <w:rPr>
          <w:rFonts w:ascii="Arial" w:hAnsi="Arial" w:cs="Arial"/>
          <w:b/>
          <w:sz w:val="24"/>
          <w:szCs w:val="24"/>
        </w:rPr>
        <w:t xml:space="preserve">2.2. Hechos probados </w:t>
      </w:r>
    </w:p>
    <w:p w14:paraId="05F2158A" w14:textId="77777777" w:rsidR="00092306" w:rsidRPr="00AD3D53" w:rsidRDefault="00092306" w:rsidP="00092306">
      <w:pPr>
        <w:spacing w:line="360" w:lineRule="auto"/>
        <w:contextualSpacing/>
        <w:jc w:val="both"/>
        <w:rPr>
          <w:rFonts w:ascii="Arial" w:hAnsi="Arial" w:cs="Arial"/>
          <w:sz w:val="24"/>
          <w:szCs w:val="24"/>
        </w:rPr>
      </w:pPr>
    </w:p>
    <w:p w14:paraId="33310083" w14:textId="77777777" w:rsidR="005D4F98" w:rsidRPr="00AD3D53" w:rsidRDefault="00D32216" w:rsidP="005D4F98">
      <w:pPr>
        <w:spacing w:line="360" w:lineRule="auto"/>
        <w:contextualSpacing/>
        <w:jc w:val="both"/>
        <w:rPr>
          <w:rFonts w:ascii="Arial" w:hAnsi="Arial" w:cs="Arial"/>
          <w:sz w:val="24"/>
          <w:szCs w:val="24"/>
          <w:lang w:val="es-CO"/>
        </w:rPr>
      </w:pPr>
      <w:r w:rsidRPr="00AD3D53">
        <w:rPr>
          <w:rFonts w:ascii="Arial" w:hAnsi="Arial" w:cs="Arial"/>
          <w:sz w:val="24"/>
          <w:szCs w:val="24"/>
        </w:rPr>
        <w:t>30</w:t>
      </w:r>
      <w:r w:rsidR="00092306" w:rsidRPr="00AD3D53">
        <w:rPr>
          <w:rFonts w:ascii="Arial" w:hAnsi="Arial" w:cs="Arial"/>
          <w:sz w:val="24"/>
          <w:szCs w:val="24"/>
        </w:rPr>
        <w:t xml:space="preserve">. </w:t>
      </w:r>
      <w:r w:rsidR="005D4F98" w:rsidRPr="00AD3D53">
        <w:rPr>
          <w:rFonts w:ascii="Arial" w:hAnsi="Arial" w:cs="Arial"/>
          <w:sz w:val="24"/>
          <w:szCs w:val="24"/>
          <w:lang w:val="es-CO"/>
        </w:rPr>
        <w:t>El 28 de diciembre de 2001, la Secretaría de Hacienda del D</w:t>
      </w:r>
      <w:r w:rsidR="00D42F5A" w:rsidRPr="00AD3D53">
        <w:rPr>
          <w:rFonts w:ascii="Arial" w:hAnsi="Arial" w:cs="Arial"/>
          <w:sz w:val="24"/>
          <w:szCs w:val="24"/>
          <w:lang w:val="es-CO"/>
        </w:rPr>
        <w:t>istrito Capital de Bogotá</w:t>
      </w:r>
      <w:r w:rsidR="005D4F98" w:rsidRPr="00AD3D53">
        <w:rPr>
          <w:rFonts w:ascii="Arial" w:hAnsi="Arial" w:cs="Arial"/>
          <w:sz w:val="24"/>
          <w:szCs w:val="24"/>
          <w:lang w:val="es-CO"/>
        </w:rPr>
        <w:t xml:space="preserve"> y la empresa industrial y comercial del Estado Administración Postal Nacio</w:t>
      </w:r>
      <w:r w:rsidR="00784698" w:rsidRPr="00AD3D53">
        <w:rPr>
          <w:rFonts w:ascii="Arial" w:hAnsi="Arial" w:cs="Arial"/>
          <w:sz w:val="24"/>
          <w:szCs w:val="24"/>
          <w:lang w:val="es-CO"/>
        </w:rPr>
        <w:t>nal –</w:t>
      </w:r>
      <w:proofErr w:type="spellStart"/>
      <w:r w:rsidR="00784698" w:rsidRPr="00AD3D53">
        <w:rPr>
          <w:rFonts w:ascii="Arial" w:hAnsi="Arial" w:cs="Arial"/>
          <w:sz w:val="24"/>
          <w:szCs w:val="24"/>
          <w:lang w:val="es-CO"/>
        </w:rPr>
        <w:t>Adpostal</w:t>
      </w:r>
      <w:proofErr w:type="spellEnd"/>
      <w:r w:rsidR="00784698" w:rsidRPr="00AD3D53">
        <w:rPr>
          <w:rFonts w:ascii="Arial" w:hAnsi="Arial" w:cs="Arial"/>
          <w:sz w:val="24"/>
          <w:szCs w:val="24"/>
          <w:lang w:val="es-CO"/>
        </w:rPr>
        <w:t>, celebraron el convenio i</w:t>
      </w:r>
      <w:r w:rsidR="005D4F98" w:rsidRPr="00AD3D53">
        <w:rPr>
          <w:rFonts w:ascii="Arial" w:hAnsi="Arial" w:cs="Arial"/>
          <w:sz w:val="24"/>
          <w:szCs w:val="24"/>
          <w:lang w:val="es-CO"/>
        </w:rPr>
        <w:t>nteradministrativo No. 24 de 2001</w:t>
      </w:r>
      <w:r w:rsidR="005D4F98" w:rsidRPr="00AD3D53">
        <w:rPr>
          <w:rStyle w:val="Refdenotaalpie"/>
          <w:rFonts w:ascii="Arial" w:hAnsi="Arial" w:cs="Arial"/>
          <w:lang w:val="es-CO"/>
        </w:rPr>
        <w:footnoteReference w:id="30"/>
      </w:r>
      <w:r w:rsidR="005D4F98" w:rsidRPr="00AD3D53">
        <w:rPr>
          <w:rFonts w:ascii="Arial" w:hAnsi="Arial" w:cs="Arial"/>
          <w:sz w:val="24"/>
          <w:szCs w:val="24"/>
          <w:lang w:val="es-CO"/>
        </w:rPr>
        <w:t>, con el siguiente objeto (se trascribe):</w:t>
      </w:r>
    </w:p>
    <w:p w14:paraId="79ED6FF6" w14:textId="77777777" w:rsidR="005D4F98" w:rsidRPr="00AD3D53" w:rsidRDefault="005D4F98" w:rsidP="005D4F98">
      <w:pPr>
        <w:spacing w:line="360" w:lineRule="auto"/>
        <w:contextualSpacing/>
        <w:jc w:val="both"/>
        <w:rPr>
          <w:rFonts w:ascii="Arial" w:hAnsi="Arial" w:cs="Arial"/>
          <w:sz w:val="24"/>
          <w:szCs w:val="24"/>
          <w:lang w:val="es-CO"/>
        </w:rPr>
      </w:pPr>
    </w:p>
    <w:p w14:paraId="24ED306C" w14:textId="77777777" w:rsidR="005D4F98" w:rsidRPr="00AD3D53" w:rsidRDefault="005D4F98" w:rsidP="003D05D1">
      <w:pPr>
        <w:ind w:left="567" w:right="567"/>
        <w:contextualSpacing/>
        <w:jc w:val="both"/>
        <w:rPr>
          <w:rFonts w:ascii="Arial" w:hAnsi="Arial" w:cs="Arial"/>
          <w:i/>
          <w:szCs w:val="24"/>
          <w:lang w:val="es-CO"/>
        </w:rPr>
      </w:pPr>
      <w:r w:rsidRPr="00AD3D53">
        <w:rPr>
          <w:rFonts w:ascii="Arial" w:hAnsi="Arial" w:cs="Arial"/>
          <w:szCs w:val="24"/>
          <w:lang w:val="es-CO"/>
        </w:rPr>
        <w:t>“</w:t>
      </w:r>
      <w:r w:rsidRPr="00AD3D53">
        <w:rPr>
          <w:rFonts w:ascii="Arial" w:hAnsi="Arial" w:cs="Arial"/>
          <w:i/>
          <w:szCs w:val="24"/>
          <w:lang w:val="es-CO"/>
        </w:rPr>
        <w:t xml:space="preserve">ADPOSTAL, se compromete para con EL DISTRITO a prestarle el servicio de admisión, curso y entrega de la correspondencia y demás envíos postales que EL DISTRITO le confíe, con el carácter de correo certificado y </w:t>
      </w:r>
      <w:proofErr w:type="spellStart"/>
      <w:r w:rsidRPr="00AD3D53">
        <w:rPr>
          <w:rFonts w:ascii="Arial" w:hAnsi="Arial" w:cs="Arial"/>
          <w:i/>
          <w:szCs w:val="24"/>
          <w:lang w:val="es-CO"/>
        </w:rPr>
        <w:t>postexpress</w:t>
      </w:r>
      <w:proofErr w:type="spellEnd"/>
      <w:r w:rsidRPr="00AD3D53">
        <w:rPr>
          <w:rFonts w:ascii="Arial" w:hAnsi="Arial" w:cs="Arial"/>
          <w:i/>
          <w:szCs w:val="24"/>
          <w:lang w:val="es-CO"/>
        </w:rPr>
        <w:t>, observando las normas legales y reglamentarias existentes sobre esta materia para el área urbana de Bogotá, D.C. y a nivel nacional (…)”.</w:t>
      </w:r>
    </w:p>
    <w:p w14:paraId="3A67630C" w14:textId="77777777" w:rsidR="00092306" w:rsidRPr="00AD3D53" w:rsidRDefault="00092306" w:rsidP="00092306">
      <w:pPr>
        <w:spacing w:line="360" w:lineRule="auto"/>
        <w:contextualSpacing/>
        <w:jc w:val="both"/>
        <w:rPr>
          <w:rFonts w:ascii="Arial" w:hAnsi="Arial" w:cs="Arial"/>
          <w:sz w:val="24"/>
          <w:szCs w:val="24"/>
        </w:rPr>
      </w:pPr>
    </w:p>
    <w:p w14:paraId="2B4F8599" w14:textId="77777777" w:rsidR="005A1F5B" w:rsidRPr="00AD3D53" w:rsidRDefault="003D05D1" w:rsidP="005A1F5B">
      <w:pPr>
        <w:spacing w:line="360" w:lineRule="auto"/>
        <w:contextualSpacing/>
        <w:jc w:val="both"/>
        <w:rPr>
          <w:rFonts w:ascii="Arial" w:hAnsi="Arial" w:cs="Arial"/>
          <w:sz w:val="24"/>
          <w:szCs w:val="24"/>
          <w:lang w:val="es-CO"/>
        </w:rPr>
      </w:pPr>
      <w:r w:rsidRPr="00AD3D53">
        <w:rPr>
          <w:rFonts w:ascii="Arial" w:hAnsi="Arial" w:cs="Arial"/>
          <w:sz w:val="24"/>
          <w:szCs w:val="24"/>
        </w:rPr>
        <w:t>31</w:t>
      </w:r>
      <w:r w:rsidR="00092306" w:rsidRPr="00AD3D53">
        <w:rPr>
          <w:rFonts w:ascii="Arial" w:hAnsi="Arial" w:cs="Arial"/>
          <w:sz w:val="24"/>
          <w:szCs w:val="24"/>
        </w:rPr>
        <w:t xml:space="preserve">. </w:t>
      </w:r>
      <w:r w:rsidR="005A1F5B" w:rsidRPr="00AD3D53">
        <w:rPr>
          <w:rFonts w:ascii="Arial" w:hAnsi="Arial" w:cs="Arial"/>
          <w:sz w:val="24"/>
          <w:szCs w:val="24"/>
          <w:lang w:val="es-CO"/>
        </w:rPr>
        <w:t>En cuanto al plazo de ejecución y vigencia, el</w:t>
      </w:r>
      <w:r w:rsidR="007729EA" w:rsidRPr="00AD3D53">
        <w:rPr>
          <w:rFonts w:ascii="Arial" w:hAnsi="Arial" w:cs="Arial"/>
          <w:sz w:val="24"/>
          <w:szCs w:val="24"/>
          <w:lang w:val="es-CO"/>
        </w:rPr>
        <w:t xml:space="preserve"> valor y la forma del pago del convenio i</w:t>
      </w:r>
      <w:r w:rsidR="005A1F5B" w:rsidRPr="00AD3D53">
        <w:rPr>
          <w:rFonts w:ascii="Arial" w:hAnsi="Arial" w:cs="Arial"/>
          <w:sz w:val="24"/>
          <w:szCs w:val="24"/>
          <w:lang w:val="es-CO"/>
        </w:rPr>
        <w:t>nteradministrativo No. 24 de 2001, las partes estipularon lo siguiente (se trascribe):</w:t>
      </w:r>
    </w:p>
    <w:p w14:paraId="24C507F0" w14:textId="77777777" w:rsidR="005A1F5B" w:rsidRPr="00AD3D53" w:rsidRDefault="005A1F5B" w:rsidP="005A1F5B">
      <w:pPr>
        <w:spacing w:line="360" w:lineRule="auto"/>
        <w:contextualSpacing/>
        <w:jc w:val="both"/>
        <w:rPr>
          <w:rFonts w:ascii="Arial" w:hAnsi="Arial" w:cs="Arial"/>
          <w:sz w:val="24"/>
          <w:szCs w:val="24"/>
          <w:lang w:val="es-CO"/>
        </w:rPr>
      </w:pPr>
    </w:p>
    <w:p w14:paraId="35CE555C" w14:textId="77777777" w:rsidR="005A1F5B" w:rsidRPr="00AD3D53" w:rsidRDefault="005A1F5B" w:rsidP="00106056">
      <w:pPr>
        <w:ind w:left="567" w:right="567"/>
        <w:contextualSpacing/>
        <w:jc w:val="both"/>
        <w:rPr>
          <w:rFonts w:ascii="Arial" w:hAnsi="Arial" w:cs="Arial"/>
          <w:i/>
          <w:szCs w:val="24"/>
          <w:lang w:val="es-CO"/>
        </w:rPr>
      </w:pPr>
      <w:r w:rsidRPr="00AD3D53">
        <w:rPr>
          <w:rFonts w:ascii="Arial" w:hAnsi="Arial" w:cs="Arial"/>
          <w:szCs w:val="24"/>
          <w:lang w:val="es-CO"/>
        </w:rPr>
        <w:t>“</w:t>
      </w:r>
      <w:r w:rsidRPr="00AD3D53">
        <w:rPr>
          <w:rFonts w:ascii="Arial" w:hAnsi="Arial" w:cs="Arial"/>
          <w:i/>
          <w:szCs w:val="24"/>
          <w:lang w:val="es-CO"/>
        </w:rPr>
        <w:t>CUARTA.- PLAZO DE EJECUCIÓN Y VIGENCIA: El término de ejecución del presente convenio será de un (1) año o hasta agotar el valor de los recursos, su vigencia será por el plazo de ejecución y cuatro (4) meses más. QUINTA.- VALOR Y FORMA DE PAGO: El valor de presente convenio es por la suma de CIENTO SESENTA MILLONES DE PESOS ($160.000.000.oo) M/cte., incluido el IVA en los casos a que haya lugar. SEXTA.- FORMA DE PAGO: El valor del convenio será cancelado por mensualidades vencidas, dentro de los diez (10) días hábiles siguientes a la radicación de la correspondiente factura, previa certificación de cumplimiento a satisfacción expedida por quien ejerce el control de ejecución (…)”.</w:t>
      </w:r>
    </w:p>
    <w:p w14:paraId="47AD75BA" w14:textId="77777777" w:rsidR="00092306" w:rsidRPr="00AD3D53" w:rsidRDefault="00092306" w:rsidP="00092306">
      <w:pPr>
        <w:spacing w:line="360" w:lineRule="auto"/>
        <w:contextualSpacing/>
        <w:jc w:val="both"/>
        <w:rPr>
          <w:rFonts w:ascii="Arial" w:hAnsi="Arial" w:cs="Arial"/>
          <w:sz w:val="24"/>
          <w:szCs w:val="24"/>
        </w:rPr>
      </w:pPr>
      <w:r w:rsidRPr="00AD3D53">
        <w:rPr>
          <w:rFonts w:ascii="Arial" w:hAnsi="Arial" w:cs="Arial"/>
          <w:sz w:val="24"/>
          <w:szCs w:val="24"/>
        </w:rPr>
        <w:tab/>
      </w:r>
      <w:r w:rsidRPr="00AD3D53">
        <w:rPr>
          <w:rFonts w:ascii="Arial" w:hAnsi="Arial" w:cs="Arial"/>
          <w:sz w:val="24"/>
          <w:szCs w:val="24"/>
        </w:rPr>
        <w:tab/>
        <w:t xml:space="preserve">  </w:t>
      </w:r>
    </w:p>
    <w:p w14:paraId="648A2919" w14:textId="77777777" w:rsidR="003A4769" w:rsidRPr="00AD3D53" w:rsidRDefault="00E920A6" w:rsidP="003A4769">
      <w:pPr>
        <w:spacing w:line="360" w:lineRule="auto"/>
        <w:contextualSpacing/>
        <w:jc w:val="both"/>
        <w:rPr>
          <w:rFonts w:ascii="Arial" w:hAnsi="Arial" w:cs="Arial"/>
          <w:sz w:val="24"/>
          <w:szCs w:val="24"/>
          <w:lang w:val="es-CO"/>
        </w:rPr>
      </w:pPr>
      <w:r w:rsidRPr="00AD3D53">
        <w:rPr>
          <w:rFonts w:ascii="Arial" w:hAnsi="Arial" w:cs="Arial"/>
          <w:sz w:val="24"/>
          <w:szCs w:val="24"/>
        </w:rPr>
        <w:lastRenderedPageBreak/>
        <w:t>32</w:t>
      </w:r>
      <w:r w:rsidR="00092306" w:rsidRPr="00AD3D53">
        <w:rPr>
          <w:rFonts w:ascii="Arial" w:hAnsi="Arial" w:cs="Arial"/>
          <w:sz w:val="24"/>
          <w:szCs w:val="24"/>
        </w:rPr>
        <w:t xml:space="preserve">. </w:t>
      </w:r>
      <w:r w:rsidR="003A4769" w:rsidRPr="00AD3D53">
        <w:rPr>
          <w:rFonts w:ascii="Arial" w:hAnsi="Arial" w:cs="Arial"/>
          <w:sz w:val="24"/>
          <w:szCs w:val="24"/>
          <w:lang w:val="es-CO"/>
        </w:rPr>
        <w:t xml:space="preserve">El 10 de julio de 2002, la Secretaría de Hacienda y </w:t>
      </w:r>
      <w:proofErr w:type="spellStart"/>
      <w:r w:rsidR="003A4769" w:rsidRPr="00AD3D53">
        <w:rPr>
          <w:rFonts w:ascii="Arial" w:hAnsi="Arial" w:cs="Arial"/>
          <w:sz w:val="24"/>
          <w:szCs w:val="24"/>
          <w:lang w:val="es-CO"/>
        </w:rPr>
        <w:t>Adpo</w:t>
      </w:r>
      <w:r w:rsidR="003B635F" w:rsidRPr="00AD3D53">
        <w:rPr>
          <w:rFonts w:ascii="Arial" w:hAnsi="Arial" w:cs="Arial"/>
          <w:sz w:val="24"/>
          <w:szCs w:val="24"/>
          <w:lang w:val="es-CO"/>
        </w:rPr>
        <w:t>stal</w:t>
      </w:r>
      <w:proofErr w:type="spellEnd"/>
      <w:r w:rsidR="003B635F" w:rsidRPr="00AD3D53">
        <w:rPr>
          <w:rFonts w:ascii="Arial" w:hAnsi="Arial" w:cs="Arial"/>
          <w:sz w:val="24"/>
          <w:szCs w:val="24"/>
          <w:lang w:val="es-CO"/>
        </w:rPr>
        <w:t xml:space="preserve"> modificaron el objeto del convenio i</w:t>
      </w:r>
      <w:r w:rsidR="003A4769" w:rsidRPr="00AD3D53">
        <w:rPr>
          <w:rFonts w:ascii="Arial" w:hAnsi="Arial" w:cs="Arial"/>
          <w:sz w:val="24"/>
          <w:szCs w:val="24"/>
          <w:lang w:val="es-CO"/>
        </w:rPr>
        <w:t>nteradministrativo No. 24 de 2001</w:t>
      </w:r>
      <w:r w:rsidR="003A4769" w:rsidRPr="00AD3D53">
        <w:rPr>
          <w:rStyle w:val="Refdenotaalpie"/>
          <w:rFonts w:ascii="Arial" w:hAnsi="Arial" w:cs="Arial"/>
          <w:lang w:val="es-CO"/>
        </w:rPr>
        <w:footnoteReference w:id="31"/>
      </w:r>
      <w:r w:rsidR="003A4769" w:rsidRPr="00AD3D53">
        <w:rPr>
          <w:rFonts w:ascii="Arial" w:hAnsi="Arial" w:cs="Arial"/>
          <w:sz w:val="24"/>
          <w:szCs w:val="24"/>
          <w:lang w:val="es-CO"/>
        </w:rPr>
        <w:t>, el</w:t>
      </w:r>
      <w:r w:rsidR="00C43A4B" w:rsidRPr="00AD3D53">
        <w:rPr>
          <w:rFonts w:ascii="Arial" w:hAnsi="Arial" w:cs="Arial"/>
          <w:sz w:val="24"/>
          <w:szCs w:val="24"/>
          <w:lang w:val="es-CO"/>
        </w:rPr>
        <w:t xml:space="preserve"> cual quedó así (se trascribe):</w:t>
      </w:r>
    </w:p>
    <w:p w14:paraId="23579DB1" w14:textId="77777777" w:rsidR="00C43A4B" w:rsidRPr="00AD3D53" w:rsidRDefault="00C43A4B" w:rsidP="003A4769">
      <w:pPr>
        <w:spacing w:line="360" w:lineRule="auto"/>
        <w:contextualSpacing/>
        <w:jc w:val="both"/>
        <w:rPr>
          <w:rFonts w:ascii="Arial" w:hAnsi="Arial" w:cs="Arial"/>
          <w:sz w:val="24"/>
          <w:szCs w:val="24"/>
          <w:lang w:val="es-CO"/>
        </w:rPr>
      </w:pPr>
    </w:p>
    <w:p w14:paraId="73496192" w14:textId="77777777" w:rsidR="003A4769" w:rsidRPr="00AD3D53" w:rsidRDefault="003A4769" w:rsidP="005F1E85">
      <w:pPr>
        <w:ind w:left="567" w:right="567"/>
        <w:contextualSpacing/>
        <w:jc w:val="both"/>
        <w:rPr>
          <w:rFonts w:ascii="Arial" w:hAnsi="Arial" w:cs="Arial"/>
          <w:i/>
          <w:szCs w:val="24"/>
          <w:lang w:val="es-CO"/>
        </w:rPr>
      </w:pPr>
      <w:r w:rsidRPr="00AD3D53">
        <w:rPr>
          <w:rFonts w:ascii="Arial" w:hAnsi="Arial" w:cs="Arial"/>
          <w:szCs w:val="24"/>
          <w:lang w:val="es-CO"/>
        </w:rPr>
        <w:t>“</w:t>
      </w:r>
      <w:r w:rsidRPr="00AD3D53">
        <w:rPr>
          <w:rFonts w:ascii="Arial" w:hAnsi="Arial" w:cs="Arial"/>
          <w:i/>
          <w:szCs w:val="24"/>
          <w:lang w:val="es-CO"/>
        </w:rPr>
        <w:t>ADPOSTAL, se compromete para con EL DISTRITO a prestarle el servicio de admisión, curso y entrega de la correspondencia y demás envíos postales que EL DISTRITO le confíe, observando las normas legales y reglamentarias existentes sobre esta materia para el área urbana de Bogotá, D.C. y a nivel nacional e internacional (…)”.</w:t>
      </w:r>
    </w:p>
    <w:p w14:paraId="613108CF" w14:textId="77777777" w:rsidR="00092306" w:rsidRPr="00AD3D53" w:rsidRDefault="00092306" w:rsidP="003A4769">
      <w:pPr>
        <w:spacing w:line="360" w:lineRule="auto"/>
        <w:contextualSpacing/>
        <w:jc w:val="both"/>
        <w:rPr>
          <w:rFonts w:ascii="Arial" w:hAnsi="Arial" w:cs="Arial"/>
          <w:sz w:val="24"/>
          <w:szCs w:val="24"/>
        </w:rPr>
      </w:pPr>
    </w:p>
    <w:p w14:paraId="312BE742" w14:textId="77777777" w:rsidR="00092306" w:rsidRDefault="00E737D5" w:rsidP="003176A6">
      <w:pPr>
        <w:spacing w:line="360" w:lineRule="auto"/>
        <w:contextualSpacing/>
        <w:jc w:val="both"/>
        <w:rPr>
          <w:rFonts w:ascii="Arial" w:hAnsi="Arial" w:cs="Arial"/>
          <w:sz w:val="24"/>
          <w:szCs w:val="24"/>
          <w:lang w:val="es-CO"/>
        </w:rPr>
      </w:pPr>
      <w:r w:rsidRPr="00AD3D53">
        <w:rPr>
          <w:rFonts w:ascii="Arial" w:hAnsi="Arial" w:cs="Arial"/>
          <w:sz w:val="24"/>
          <w:szCs w:val="24"/>
        </w:rPr>
        <w:t>33</w:t>
      </w:r>
      <w:r w:rsidR="00B41ACA" w:rsidRPr="00AD3D53">
        <w:rPr>
          <w:rFonts w:ascii="Arial" w:hAnsi="Arial" w:cs="Arial"/>
          <w:sz w:val="24"/>
          <w:szCs w:val="24"/>
        </w:rPr>
        <w:t xml:space="preserve">. </w:t>
      </w:r>
      <w:r w:rsidR="00A273B7" w:rsidRPr="00AD3D53">
        <w:rPr>
          <w:rFonts w:ascii="Arial" w:hAnsi="Arial" w:cs="Arial"/>
          <w:sz w:val="24"/>
          <w:szCs w:val="24"/>
          <w:lang w:val="es-CO"/>
        </w:rPr>
        <w:t>El 7 de octubre de 2002,</w:t>
      </w:r>
      <w:r w:rsidR="00B41ACA" w:rsidRPr="00AD3D53">
        <w:rPr>
          <w:rFonts w:ascii="Arial" w:hAnsi="Arial" w:cs="Arial"/>
          <w:sz w:val="24"/>
          <w:szCs w:val="24"/>
          <w:lang w:val="es-CO"/>
        </w:rPr>
        <w:t xml:space="preserve"> las partes modificaron </w:t>
      </w:r>
      <w:r w:rsidR="00837EAF" w:rsidRPr="00AD3D53">
        <w:rPr>
          <w:rFonts w:ascii="Arial" w:hAnsi="Arial" w:cs="Arial"/>
          <w:sz w:val="24"/>
          <w:szCs w:val="24"/>
          <w:lang w:val="es-CO"/>
        </w:rPr>
        <w:t>por segunda vez el</w:t>
      </w:r>
      <w:r w:rsidR="00C55D4B" w:rsidRPr="00AD3D53">
        <w:rPr>
          <w:rFonts w:ascii="Arial" w:hAnsi="Arial" w:cs="Arial"/>
          <w:sz w:val="24"/>
          <w:szCs w:val="24"/>
          <w:lang w:val="es-CO"/>
        </w:rPr>
        <w:t xml:space="preserve"> convenio i</w:t>
      </w:r>
      <w:r w:rsidR="00B41ACA" w:rsidRPr="00AD3D53">
        <w:rPr>
          <w:rFonts w:ascii="Arial" w:hAnsi="Arial" w:cs="Arial"/>
          <w:sz w:val="24"/>
          <w:szCs w:val="24"/>
          <w:lang w:val="es-CO"/>
        </w:rPr>
        <w:t>nteradministrativo No. 24 de 2001</w:t>
      </w:r>
      <w:r w:rsidR="00B41ACA" w:rsidRPr="00AD3D53">
        <w:rPr>
          <w:rStyle w:val="Refdenotaalpie"/>
          <w:rFonts w:ascii="Arial" w:hAnsi="Arial" w:cs="Arial"/>
          <w:lang w:val="es-CO"/>
        </w:rPr>
        <w:footnoteReference w:id="32"/>
      </w:r>
      <w:r w:rsidR="00B41ACA" w:rsidRPr="00AD3D53">
        <w:rPr>
          <w:rFonts w:ascii="Arial" w:hAnsi="Arial" w:cs="Arial"/>
          <w:sz w:val="24"/>
          <w:szCs w:val="24"/>
          <w:lang w:val="es-CO"/>
        </w:rPr>
        <w:t>. En esta oportunidad, se estableció que la supervisión del contrato estaría a cargo de un profesional de la Subdirección A</w:t>
      </w:r>
      <w:r w:rsidR="00A50B24" w:rsidRPr="00AD3D53">
        <w:rPr>
          <w:rFonts w:ascii="Arial" w:hAnsi="Arial" w:cs="Arial"/>
          <w:sz w:val="24"/>
          <w:szCs w:val="24"/>
          <w:lang w:val="es-CO"/>
        </w:rPr>
        <w:t>dministrativa designado por el subdirector a</w:t>
      </w:r>
      <w:r w:rsidR="00B41ACA" w:rsidRPr="00AD3D53">
        <w:rPr>
          <w:rFonts w:ascii="Arial" w:hAnsi="Arial" w:cs="Arial"/>
          <w:sz w:val="24"/>
          <w:szCs w:val="24"/>
          <w:lang w:val="es-CO"/>
        </w:rPr>
        <w:t>dministrativo.</w:t>
      </w:r>
    </w:p>
    <w:p w14:paraId="7C53A4B1" w14:textId="77777777" w:rsidR="00D862A9" w:rsidRPr="00AD3D53" w:rsidRDefault="00D862A9" w:rsidP="003176A6">
      <w:pPr>
        <w:spacing w:line="360" w:lineRule="auto"/>
        <w:contextualSpacing/>
        <w:jc w:val="both"/>
        <w:rPr>
          <w:rFonts w:ascii="Arial" w:hAnsi="Arial" w:cs="Arial"/>
          <w:szCs w:val="24"/>
        </w:rPr>
      </w:pPr>
    </w:p>
    <w:p w14:paraId="2FE212B6" w14:textId="77777777" w:rsidR="00092306" w:rsidRPr="00AD3D53" w:rsidRDefault="00281AA8" w:rsidP="00915A87">
      <w:pPr>
        <w:spacing w:line="360" w:lineRule="auto"/>
        <w:contextualSpacing/>
        <w:jc w:val="both"/>
        <w:rPr>
          <w:rFonts w:ascii="Arial" w:hAnsi="Arial" w:cs="Arial"/>
          <w:i/>
          <w:szCs w:val="24"/>
          <w:lang w:val="es-CO"/>
        </w:rPr>
      </w:pPr>
      <w:r w:rsidRPr="00AD3D53">
        <w:rPr>
          <w:rFonts w:ascii="Arial" w:hAnsi="Arial" w:cs="Arial"/>
          <w:sz w:val="24"/>
          <w:szCs w:val="24"/>
        </w:rPr>
        <w:t>34</w:t>
      </w:r>
      <w:r w:rsidR="00092306" w:rsidRPr="00AD3D53">
        <w:rPr>
          <w:rFonts w:ascii="Arial" w:hAnsi="Arial" w:cs="Arial"/>
          <w:sz w:val="24"/>
          <w:szCs w:val="24"/>
        </w:rPr>
        <w:t xml:space="preserve">. </w:t>
      </w:r>
      <w:r w:rsidR="00915A87" w:rsidRPr="00AD3D53">
        <w:rPr>
          <w:rFonts w:ascii="Arial" w:hAnsi="Arial" w:cs="Arial"/>
          <w:sz w:val="24"/>
          <w:szCs w:val="24"/>
          <w:lang w:val="es-CO"/>
        </w:rPr>
        <w:t xml:space="preserve">El 28 de enero de 2003 la Secretaría de Hacienda y </w:t>
      </w:r>
      <w:proofErr w:type="spellStart"/>
      <w:r w:rsidR="00915A87" w:rsidRPr="00AD3D53">
        <w:rPr>
          <w:rFonts w:ascii="Arial" w:hAnsi="Arial" w:cs="Arial"/>
          <w:sz w:val="24"/>
          <w:szCs w:val="24"/>
          <w:lang w:val="es-CO"/>
        </w:rPr>
        <w:t>Adpostal</w:t>
      </w:r>
      <w:proofErr w:type="spellEnd"/>
      <w:r w:rsidR="00915A87" w:rsidRPr="00AD3D53">
        <w:rPr>
          <w:rFonts w:ascii="Arial" w:hAnsi="Arial" w:cs="Arial"/>
          <w:sz w:val="24"/>
          <w:szCs w:val="24"/>
          <w:lang w:val="es-CO"/>
        </w:rPr>
        <w:t xml:space="preserve"> </w:t>
      </w:r>
      <w:r w:rsidR="007A4667" w:rsidRPr="00AD3D53">
        <w:rPr>
          <w:rFonts w:ascii="Arial" w:hAnsi="Arial" w:cs="Arial"/>
          <w:sz w:val="24"/>
          <w:szCs w:val="24"/>
          <w:lang w:val="es-CO"/>
        </w:rPr>
        <w:t>modificaron por tercera vez el convenio i</w:t>
      </w:r>
      <w:r w:rsidR="00915A87" w:rsidRPr="00AD3D53">
        <w:rPr>
          <w:rFonts w:ascii="Arial" w:hAnsi="Arial" w:cs="Arial"/>
          <w:sz w:val="24"/>
          <w:szCs w:val="24"/>
          <w:lang w:val="es-CO"/>
        </w:rPr>
        <w:t>nteradministrativo No. 24 de 2001</w:t>
      </w:r>
      <w:r w:rsidR="00915A87" w:rsidRPr="00AD3D53">
        <w:rPr>
          <w:rStyle w:val="Refdenotaalpie"/>
          <w:rFonts w:ascii="Arial" w:hAnsi="Arial" w:cs="Arial"/>
          <w:lang w:val="es-CO"/>
        </w:rPr>
        <w:footnoteReference w:id="33"/>
      </w:r>
      <w:r w:rsidR="00915A87" w:rsidRPr="00AD3D53">
        <w:rPr>
          <w:rFonts w:ascii="Arial" w:hAnsi="Arial" w:cs="Arial"/>
          <w:sz w:val="24"/>
          <w:szCs w:val="24"/>
          <w:lang w:val="es-CO"/>
        </w:rPr>
        <w:t>. La modificación consistió en señalar que el plazo de ejecución del contrato iría hasta que se agotara el valor de los rec</w:t>
      </w:r>
      <w:r w:rsidR="0008143D" w:rsidRPr="00AD3D53">
        <w:rPr>
          <w:rFonts w:ascii="Arial" w:hAnsi="Arial" w:cs="Arial"/>
          <w:sz w:val="24"/>
          <w:szCs w:val="24"/>
          <w:lang w:val="es-CO"/>
        </w:rPr>
        <w:t>ursos. Así mismo, adicionaron el</w:t>
      </w:r>
      <w:r w:rsidR="00915A87" w:rsidRPr="00AD3D53">
        <w:rPr>
          <w:rFonts w:ascii="Arial" w:hAnsi="Arial" w:cs="Arial"/>
          <w:sz w:val="24"/>
          <w:szCs w:val="24"/>
          <w:lang w:val="es-CO"/>
        </w:rPr>
        <w:t xml:space="preserve"> valor del </w:t>
      </w:r>
      <w:r w:rsidR="009C5D1D" w:rsidRPr="00AD3D53">
        <w:rPr>
          <w:rFonts w:ascii="Arial" w:hAnsi="Arial" w:cs="Arial"/>
          <w:sz w:val="24"/>
          <w:szCs w:val="24"/>
          <w:lang w:val="es-CO"/>
        </w:rPr>
        <w:t>c</w:t>
      </w:r>
      <w:r w:rsidR="00915A87" w:rsidRPr="00AD3D53">
        <w:rPr>
          <w:rFonts w:ascii="Arial" w:hAnsi="Arial" w:cs="Arial"/>
          <w:sz w:val="24"/>
          <w:szCs w:val="24"/>
          <w:lang w:val="es-CO"/>
        </w:rPr>
        <w:t>onvenio</w:t>
      </w:r>
      <w:r w:rsidR="0008143D" w:rsidRPr="00AD3D53">
        <w:rPr>
          <w:rFonts w:ascii="Arial" w:hAnsi="Arial" w:cs="Arial"/>
          <w:sz w:val="24"/>
          <w:szCs w:val="24"/>
          <w:lang w:val="es-CO"/>
        </w:rPr>
        <w:t xml:space="preserve"> en</w:t>
      </w:r>
      <w:r w:rsidR="00915A87" w:rsidRPr="00AD3D53">
        <w:rPr>
          <w:rFonts w:ascii="Arial" w:hAnsi="Arial" w:cs="Arial"/>
          <w:sz w:val="24"/>
          <w:szCs w:val="24"/>
          <w:lang w:val="es-CO"/>
        </w:rPr>
        <w:t xml:space="preserve"> $20.000.000,oo de pesos, incluido IVA.</w:t>
      </w:r>
    </w:p>
    <w:p w14:paraId="0EF4A610" w14:textId="77777777" w:rsidR="00092306" w:rsidRPr="00AD3D53" w:rsidRDefault="00092306" w:rsidP="00D862A9">
      <w:pPr>
        <w:ind w:right="567"/>
        <w:contextualSpacing/>
        <w:jc w:val="both"/>
        <w:rPr>
          <w:rFonts w:ascii="Arial" w:hAnsi="Arial" w:cs="Arial"/>
          <w:i/>
          <w:szCs w:val="24"/>
          <w:lang w:val="es-CO"/>
        </w:rPr>
      </w:pPr>
    </w:p>
    <w:p w14:paraId="5A937466" w14:textId="77777777" w:rsidR="00092306" w:rsidRPr="00AD3D53" w:rsidRDefault="0015033E" w:rsidP="004E3497">
      <w:pPr>
        <w:spacing w:line="360" w:lineRule="auto"/>
        <w:contextualSpacing/>
        <w:jc w:val="both"/>
        <w:rPr>
          <w:rFonts w:ascii="Arial" w:hAnsi="Arial" w:cs="Arial"/>
          <w:i/>
          <w:sz w:val="18"/>
          <w:szCs w:val="24"/>
        </w:rPr>
      </w:pPr>
      <w:r w:rsidRPr="00AD3D53">
        <w:rPr>
          <w:rFonts w:ascii="Arial" w:hAnsi="Arial" w:cs="Arial"/>
          <w:sz w:val="24"/>
          <w:szCs w:val="24"/>
        </w:rPr>
        <w:t>35</w:t>
      </w:r>
      <w:r w:rsidR="004E3497" w:rsidRPr="00AD3D53">
        <w:rPr>
          <w:rFonts w:ascii="Arial" w:hAnsi="Arial" w:cs="Arial"/>
          <w:sz w:val="24"/>
          <w:szCs w:val="24"/>
        </w:rPr>
        <w:t xml:space="preserve">. </w:t>
      </w:r>
      <w:r w:rsidR="009C5D1D" w:rsidRPr="00AD3D53">
        <w:rPr>
          <w:rFonts w:ascii="Arial" w:hAnsi="Arial" w:cs="Arial"/>
          <w:sz w:val="24"/>
          <w:szCs w:val="24"/>
          <w:lang w:val="es-CO"/>
        </w:rPr>
        <w:t>El c</w:t>
      </w:r>
      <w:r w:rsidR="00FB3151" w:rsidRPr="00AD3D53">
        <w:rPr>
          <w:rFonts w:ascii="Arial" w:hAnsi="Arial" w:cs="Arial"/>
          <w:sz w:val="24"/>
          <w:szCs w:val="24"/>
          <w:lang w:val="es-CO"/>
        </w:rPr>
        <w:t>onvenio i</w:t>
      </w:r>
      <w:r w:rsidR="004E3497" w:rsidRPr="00AD3D53">
        <w:rPr>
          <w:rFonts w:ascii="Arial" w:hAnsi="Arial" w:cs="Arial"/>
          <w:sz w:val="24"/>
          <w:szCs w:val="24"/>
          <w:lang w:val="es-CO"/>
        </w:rPr>
        <w:t>nteradministrativo No. 24 de 2001 fue modificado nuevamente el 27 de febrero de 2003</w:t>
      </w:r>
      <w:r w:rsidR="004E3497" w:rsidRPr="00AD3D53">
        <w:rPr>
          <w:rStyle w:val="Refdenotaalpie"/>
          <w:rFonts w:ascii="Arial" w:hAnsi="Arial" w:cs="Arial"/>
          <w:lang w:val="es-CO"/>
        </w:rPr>
        <w:footnoteReference w:id="34"/>
      </w:r>
      <w:r w:rsidR="006B098C" w:rsidRPr="00AD3D53">
        <w:rPr>
          <w:rFonts w:ascii="Arial" w:hAnsi="Arial" w:cs="Arial"/>
          <w:sz w:val="24"/>
          <w:szCs w:val="24"/>
          <w:lang w:val="es-CO"/>
        </w:rPr>
        <w:t xml:space="preserve">, fecha en la cual las partes </w:t>
      </w:r>
      <w:r w:rsidR="004E3497" w:rsidRPr="00AD3D53">
        <w:rPr>
          <w:rFonts w:ascii="Arial" w:hAnsi="Arial" w:cs="Arial"/>
          <w:sz w:val="24"/>
          <w:szCs w:val="24"/>
          <w:lang w:val="es-CO"/>
        </w:rPr>
        <w:t xml:space="preserve">adicionaron </w:t>
      </w:r>
      <w:r w:rsidR="00B5383B" w:rsidRPr="00AD3D53">
        <w:rPr>
          <w:rFonts w:ascii="Arial" w:hAnsi="Arial" w:cs="Arial"/>
          <w:sz w:val="24"/>
          <w:szCs w:val="24"/>
          <w:lang w:val="es-CO"/>
        </w:rPr>
        <w:t>el</w:t>
      </w:r>
      <w:r w:rsidR="00774789" w:rsidRPr="00AD3D53">
        <w:rPr>
          <w:rFonts w:ascii="Arial" w:hAnsi="Arial" w:cs="Arial"/>
          <w:sz w:val="24"/>
          <w:szCs w:val="24"/>
          <w:lang w:val="es-CO"/>
        </w:rPr>
        <w:t xml:space="preserve"> valor del c</w:t>
      </w:r>
      <w:r w:rsidR="004E3497" w:rsidRPr="00AD3D53">
        <w:rPr>
          <w:rFonts w:ascii="Arial" w:hAnsi="Arial" w:cs="Arial"/>
          <w:sz w:val="24"/>
          <w:szCs w:val="24"/>
          <w:lang w:val="es-CO"/>
        </w:rPr>
        <w:t>onvenio</w:t>
      </w:r>
      <w:r w:rsidR="00B5383B" w:rsidRPr="00AD3D53">
        <w:rPr>
          <w:rFonts w:ascii="Arial" w:hAnsi="Arial" w:cs="Arial"/>
          <w:sz w:val="24"/>
          <w:szCs w:val="24"/>
          <w:lang w:val="es-CO"/>
        </w:rPr>
        <w:t xml:space="preserve"> en</w:t>
      </w:r>
      <w:r w:rsidR="004E3497" w:rsidRPr="00AD3D53">
        <w:rPr>
          <w:rFonts w:ascii="Arial" w:hAnsi="Arial" w:cs="Arial"/>
          <w:sz w:val="24"/>
          <w:szCs w:val="24"/>
          <w:lang w:val="es-CO"/>
        </w:rPr>
        <w:t xml:space="preserve"> $60.000.000,oo de pesos, incluido IVA.</w:t>
      </w:r>
      <w:r w:rsidR="00092306" w:rsidRPr="00AD3D53">
        <w:rPr>
          <w:rFonts w:ascii="Arial" w:hAnsi="Arial" w:cs="Arial"/>
          <w:i/>
          <w:szCs w:val="24"/>
        </w:rPr>
        <w:t xml:space="preserve"> </w:t>
      </w:r>
    </w:p>
    <w:p w14:paraId="65E55CEC" w14:textId="77777777" w:rsidR="00092306" w:rsidRPr="00AD3D53" w:rsidRDefault="00092306" w:rsidP="00092306">
      <w:pPr>
        <w:spacing w:line="360" w:lineRule="auto"/>
        <w:contextualSpacing/>
        <w:jc w:val="both"/>
        <w:rPr>
          <w:rFonts w:ascii="Arial" w:hAnsi="Arial" w:cs="Arial"/>
          <w:sz w:val="24"/>
          <w:szCs w:val="24"/>
        </w:rPr>
      </w:pPr>
    </w:p>
    <w:p w14:paraId="2B2AAAD8" w14:textId="77777777" w:rsidR="003E32AE" w:rsidRPr="00AD3D53" w:rsidRDefault="009C5852" w:rsidP="003E32AE">
      <w:pPr>
        <w:spacing w:line="360" w:lineRule="auto"/>
        <w:contextualSpacing/>
        <w:jc w:val="both"/>
        <w:rPr>
          <w:rFonts w:ascii="Arial" w:hAnsi="Arial" w:cs="Arial"/>
          <w:sz w:val="24"/>
          <w:szCs w:val="24"/>
          <w:lang w:val="es-CO"/>
        </w:rPr>
      </w:pPr>
      <w:r w:rsidRPr="00AD3D53">
        <w:rPr>
          <w:rFonts w:ascii="Arial" w:hAnsi="Arial" w:cs="Arial"/>
          <w:sz w:val="24"/>
          <w:szCs w:val="24"/>
        </w:rPr>
        <w:t>36</w:t>
      </w:r>
      <w:r w:rsidR="003E32AE" w:rsidRPr="00AD3D53">
        <w:rPr>
          <w:rFonts w:ascii="Arial" w:hAnsi="Arial" w:cs="Arial"/>
          <w:sz w:val="24"/>
          <w:szCs w:val="24"/>
        </w:rPr>
        <w:t xml:space="preserve">. </w:t>
      </w:r>
      <w:proofErr w:type="spellStart"/>
      <w:r w:rsidR="003E32AE" w:rsidRPr="00AD3D53">
        <w:rPr>
          <w:rFonts w:ascii="Arial" w:hAnsi="Arial" w:cs="Arial"/>
          <w:sz w:val="24"/>
          <w:szCs w:val="24"/>
          <w:lang w:val="es-CO"/>
        </w:rPr>
        <w:t>Adpostal</w:t>
      </w:r>
      <w:proofErr w:type="spellEnd"/>
      <w:r w:rsidR="003E32AE" w:rsidRPr="00AD3D53">
        <w:rPr>
          <w:rFonts w:ascii="Arial" w:hAnsi="Arial" w:cs="Arial"/>
          <w:sz w:val="24"/>
          <w:szCs w:val="24"/>
          <w:lang w:val="es-CO"/>
        </w:rPr>
        <w:t xml:space="preserve"> adquirió las</w:t>
      </w:r>
      <w:r w:rsidR="00837112" w:rsidRPr="00AD3D53">
        <w:rPr>
          <w:rFonts w:ascii="Arial" w:hAnsi="Arial" w:cs="Arial"/>
          <w:sz w:val="24"/>
          <w:szCs w:val="24"/>
          <w:lang w:val="es-CO"/>
        </w:rPr>
        <w:t xml:space="preserve"> siguientes obligaciones en el convenio i</w:t>
      </w:r>
      <w:r w:rsidR="003E32AE" w:rsidRPr="00AD3D53">
        <w:rPr>
          <w:rFonts w:ascii="Arial" w:hAnsi="Arial" w:cs="Arial"/>
          <w:sz w:val="24"/>
          <w:szCs w:val="24"/>
          <w:lang w:val="es-CO"/>
        </w:rPr>
        <w:t>nteradministrativo No. 24 de 2001 (se trascribe):</w:t>
      </w:r>
    </w:p>
    <w:p w14:paraId="1EE8E388" w14:textId="77777777" w:rsidR="003E32AE" w:rsidRPr="00AD3D53" w:rsidRDefault="003E32AE" w:rsidP="003E32AE">
      <w:pPr>
        <w:spacing w:line="360" w:lineRule="auto"/>
        <w:contextualSpacing/>
        <w:jc w:val="both"/>
        <w:rPr>
          <w:rFonts w:ascii="Arial" w:hAnsi="Arial" w:cs="Arial"/>
          <w:sz w:val="24"/>
          <w:szCs w:val="24"/>
          <w:lang w:val="es-CO"/>
        </w:rPr>
      </w:pPr>
    </w:p>
    <w:p w14:paraId="676DA1AF" w14:textId="77777777" w:rsidR="00092306" w:rsidRPr="00AD3D53" w:rsidRDefault="003E32AE" w:rsidP="001B7CE4">
      <w:pPr>
        <w:ind w:left="567" w:right="424"/>
        <w:contextualSpacing/>
        <w:jc w:val="both"/>
        <w:rPr>
          <w:rFonts w:ascii="Arial" w:hAnsi="Arial" w:cs="Arial"/>
          <w:i/>
          <w:szCs w:val="24"/>
          <w:lang w:val="es-CO"/>
        </w:rPr>
      </w:pPr>
      <w:r w:rsidRPr="00AD3D53">
        <w:rPr>
          <w:rFonts w:ascii="Arial" w:hAnsi="Arial" w:cs="Arial"/>
          <w:szCs w:val="24"/>
          <w:lang w:val="es-CO"/>
        </w:rPr>
        <w:t>“</w:t>
      </w:r>
      <w:r w:rsidRPr="00AD3D53">
        <w:rPr>
          <w:rFonts w:ascii="Arial" w:hAnsi="Arial" w:cs="Arial"/>
          <w:i/>
          <w:szCs w:val="24"/>
          <w:lang w:val="es-CO"/>
        </w:rPr>
        <w:t xml:space="preserve">SEGUNDA.- OBLIGACIONES DE ADPOSTAL: ADPOSTAL se obliga a: (…) 2.6)- Devolver diaria y debidamente revisadas, firmadas, fechadas y selladas dos copias de la planilla de remisión del correo certificado, debiendo conservar en sus archivos los originales de las mismas. 2.7)- Devolver los acuses de recibo y/o envíos en devolución dentro de los siguientes plazos máximos: a)- Envíos urbanos, tres (3) días hábiles; b)- Envíos entre Bogotá D.C. y ciudades capitales, cuatro (4) días hábiles; c)- Envíos entre Bogotá D.C. y ciudades intermedias, cuatro días hábiles; d)- Envíos entre Bogotá D.C. y poblaciones rurales, cinco (5) días hábiles. 2.8)- Para los acuses de recibo correspondientes a envíos por correo certificado que ha efectuado EL DISTRITO – Secretaría de Hacienda en ejecución del convenio No, 003 del 15 de abril de 1999, correspondiente al período del 1° de febrero de 2001 hasta la fecha de terminación del mismo, ADPOSTAL realizará la búsqueda y certificará dichos </w:t>
      </w:r>
      <w:r w:rsidRPr="00AD3D53">
        <w:rPr>
          <w:rFonts w:ascii="Arial" w:hAnsi="Arial" w:cs="Arial"/>
          <w:i/>
          <w:szCs w:val="24"/>
          <w:lang w:val="es-CO"/>
        </w:rPr>
        <w:lastRenderedPageBreak/>
        <w:t xml:space="preserve">envíos y cobrará así: a)-Certificaciones y Envíos Locales a razón de seiscientos cincuenta pesos ($650.oo) m/cte. cada uno. b) Certificaciones y Envíos nacionales y aéreos a razón de mil cien pesos ($1.100.oo) m/cte. cada uno, que entregue al DISTRITO – Secretaría de Hacienda (…)”. </w:t>
      </w:r>
    </w:p>
    <w:p w14:paraId="73E0A923" w14:textId="77777777" w:rsidR="00092306" w:rsidRPr="00AD3D53" w:rsidRDefault="00092306" w:rsidP="00092306">
      <w:pPr>
        <w:spacing w:line="360" w:lineRule="auto"/>
        <w:contextualSpacing/>
        <w:jc w:val="both"/>
        <w:rPr>
          <w:rFonts w:ascii="Arial" w:hAnsi="Arial" w:cs="Arial"/>
          <w:sz w:val="24"/>
          <w:szCs w:val="24"/>
        </w:rPr>
      </w:pPr>
    </w:p>
    <w:p w14:paraId="0CC59981" w14:textId="77777777" w:rsidR="00092306" w:rsidRPr="00AD3D53" w:rsidRDefault="001B7CE4" w:rsidP="003D77E4">
      <w:pPr>
        <w:spacing w:line="360" w:lineRule="auto"/>
        <w:contextualSpacing/>
        <w:jc w:val="both"/>
        <w:rPr>
          <w:rFonts w:ascii="Arial" w:hAnsi="Arial" w:cs="Arial"/>
          <w:i/>
          <w:szCs w:val="24"/>
          <w:lang w:val="es-CO"/>
        </w:rPr>
      </w:pPr>
      <w:r w:rsidRPr="00AD3D53">
        <w:rPr>
          <w:rFonts w:ascii="Arial" w:hAnsi="Arial" w:cs="Arial"/>
          <w:sz w:val="24"/>
          <w:szCs w:val="24"/>
        </w:rPr>
        <w:t>37.</w:t>
      </w:r>
      <w:r w:rsidR="00092306" w:rsidRPr="00AD3D53">
        <w:rPr>
          <w:rFonts w:ascii="Arial" w:hAnsi="Arial" w:cs="Arial"/>
          <w:sz w:val="24"/>
          <w:szCs w:val="24"/>
        </w:rPr>
        <w:t xml:space="preserve"> </w:t>
      </w:r>
      <w:r w:rsidR="00774789" w:rsidRPr="00AD3D53">
        <w:rPr>
          <w:rFonts w:ascii="Arial" w:hAnsi="Arial" w:cs="Arial"/>
          <w:sz w:val="24"/>
          <w:szCs w:val="24"/>
          <w:lang w:val="es-CO"/>
        </w:rPr>
        <w:t>Durante la ejecución del c</w:t>
      </w:r>
      <w:r w:rsidR="003D77E4" w:rsidRPr="00AD3D53">
        <w:rPr>
          <w:rFonts w:ascii="Arial" w:hAnsi="Arial" w:cs="Arial"/>
          <w:sz w:val="24"/>
          <w:szCs w:val="24"/>
          <w:lang w:val="es-CO"/>
        </w:rPr>
        <w:t xml:space="preserve">onvenio, la Secretaría de Hacienda se dirigió en múltiples ocasiones a </w:t>
      </w:r>
      <w:proofErr w:type="spellStart"/>
      <w:r w:rsidR="003D77E4" w:rsidRPr="00AD3D53">
        <w:rPr>
          <w:rFonts w:ascii="Arial" w:hAnsi="Arial" w:cs="Arial"/>
          <w:sz w:val="24"/>
          <w:szCs w:val="24"/>
          <w:lang w:val="es-CO"/>
        </w:rPr>
        <w:t>Adpostal</w:t>
      </w:r>
      <w:proofErr w:type="spellEnd"/>
      <w:r w:rsidR="003D77E4" w:rsidRPr="00AD3D53">
        <w:rPr>
          <w:rFonts w:ascii="Arial" w:hAnsi="Arial" w:cs="Arial"/>
          <w:sz w:val="24"/>
          <w:szCs w:val="24"/>
          <w:lang w:val="es-CO"/>
        </w:rPr>
        <w:t>, poniendo de presente que la empresa no estaba cumpliendo con su obligación de devolver a la entidad los acuses de recibo</w:t>
      </w:r>
      <w:r w:rsidR="003D77E4" w:rsidRPr="00AD3D53">
        <w:rPr>
          <w:rStyle w:val="Refdenotaalpie"/>
          <w:rFonts w:ascii="Arial" w:hAnsi="Arial" w:cs="Arial"/>
          <w:lang w:val="es-CO"/>
        </w:rPr>
        <w:footnoteReference w:id="35"/>
      </w:r>
      <w:r w:rsidR="003D77E4" w:rsidRPr="00AD3D53">
        <w:rPr>
          <w:rFonts w:ascii="Arial" w:hAnsi="Arial" w:cs="Arial"/>
          <w:sz w:val="24"/>
          <w:szCs w:val="24"/>
          <w:lang w:val="es-CO"/>
        </w:rPr>
        <w:t>.</w:t>
      </w:r>
    </w:p>
    <w:p w14:paraId="139EB206" w14:textId="77777777" w:rsidR="00092306" w:rsidRPr="00AD3D53" w:rsidRDefault="00092306" w:rsidP="00092306">
      <w:pPr>
        <w:spacing w:line="360" w:lineRule="auto"/>
        <w:contextualSpacing/>
        <w:jc w:val="both"/>
        <w:rPr>
          <w:rFonts w:ascii="Arial" w:hAnsi="Arial" w:cs="Arial"/>
          <w:i/>
          <w:sz w:val="24"/>
          <w:szCs w:val="24"/>
        </w:rPr>
      </w:pPr>
    </w:p>
    <w:p w14:paraId="4A204095" w14:textId="77777777" w:rsidR="00092306" w:rsidRPr="00AD3D53" w:rsidRDefault="006E378A" w:rsidP="00092306">
      <w:pPr>
        <w:spacing w:line="360" w:lineRule="auto"/>
        <w:contextualSpacing/>
        <w:jc w:val="both"/>
        <w:rPr>
          <w:rFonts w:ascii="Arial" w:hAnsi="Arial" w:cs="Arial"/>
          <w:sz w:val="24"/>
          <w:szCs w:val="24"/>
          <w:lang w:val="es-CO"/>
        </w:rPr>
      </w:pPr>
      <w:r w:rsidRPr="00AD3D53">
        <w:rPr>
          <w:rFonts w:ascii="Arial" w:hAnsi="Arial" w:cs="Arial"/>
          <w:sz w:val="24"/>
          <w:szCs w:val="24"/>
        </w:rPr>
        <w:t>38</w:t>
      </w:r>
      <w:r w:rsidR="00092306" w:rsidRPr="00AD3D53">
        <w:rPr>
          <w:rFonts w:ascii="Arial" w:hAnsi="Arial" w:cs="Arial"/>
          <w:sz w:val="24"/>
          <w:szCs w:val="24"/>
        </w:rPr>
        <w:t xml:space="preserve">. </w:t>
      </w:r>
      <w:r w:rsidR="002703B2" w:rsidRPr="00AD3D53">
        <w:rPr>
          <w:rFonts w:ascii="Arial" w:hAnsi="Arial" w:cs="Arial"/>
          <w:sz w:val="24"/>
          <w:szCs w:val="24"/>
          <w:lang w:val="es-CO"/>
        </w:rPr>
        <w:t xml:space="preserve">Entre los años 2001 y 2003, </w:t>
      </w:r>
      <w:proofErr w:type="spellStart"/>
      <w:r w:rsidR="002703B2" w:rsidRPr="00AD3D53">
        <w:rPr>
          <w:rFonts w:ascii="Arial" w:hAnsi="Arial" w:cs="Arial"/>
          <w:sz w:val="24"/>
          <w:szCs w:val="24"/>
          <w:lang w:val="es-CO"/>
        </w:rPr>
        <w:t>Adpostal</w:t>
      </w:r>
      <w:proofErr w:type="spellEnd"/>
      <w:r w:rsidR="002703B2" w:rsidRPr="00AD3D53">
        <w:rPr>
          <w:rFonts w:ascii="Arial" w:hAnsi="Arial" w:cs="Arial"/>
          <w:sz w:val="24"/>
          <w:szCs w:val="24"/>
          <w:lang w:val="es-CO"/>
        </w:rPr>
        <w:t xml:space="preserve"> incumplió con su obligación de entregar los certificados de entrega (acuse de recibo) o</w:t>
      </w:r>
      <w:r w:rsidR="00AB1448" w:rsidRPr="00AD3D53">
        <w:rPr>
          <w:rFonts w:ascii="Arial" w:hAnsi="Arial" w:cs="Arial"/>
          <w:sz w:val="24"/>
          <w:szCs w:val="24"/>
          <w:lang w:val="es-CO"/>
        </w:rPr>
        <w:t xml:space="preserve"> de</w:t>
      </w:r>
      <w:r w:rsidR="002703B2" w:rsidRPr="00AD3D53">
        <w:rPr>
          <w:rFonts w:ascii="Arial" w:hAnsi="Arial" w:cs="Arial"/>
          <w:sz w:val="24"/>
          <w:szCs w:val="24"/>
          <w:lang w:val="es-CO"/>
        </w:rPr>
        <w:t xml:space="preserve"> devolución de 5</w:t>
      </w:r>
      <w:r w:rsidR="007A1412" w:rsidRPr="00AD3D53">
        <w:rPr>
          <w:rFonts w:ascii="Arial" w:hAnsi="Arial" w:cs="Arial"/>
          <w:sz w:val="24"/>
          <w:szCs w:val="24"/>
          <w:lang w:val="es-CO"/>
        </w:rPr>
        <w:t>.</w:t>
      </w:r>
      <w:r w:rsidR="002703B2" w:rsidRPr="00AD3D53">
        <w:rPr>
          <w:rFonts w:ascii="Arial" w:hAnsi="Arial" w:cs="Arial"/>
          <w:sz w:val="24"/>
          <w:szCs w:val="24"/>
          <w:lang w:val="es-CO"/>
        </w:rPr>
        <w:t>852 actos administrativos proferidos por la Secretaría de Hacienda, de los cuales 4</w:t>
      </w:r>
      <w:r w:rsidR="007A1412" w:rsidRPr="00AD3D53">
        <w:rPr>
          <w:rFonts w:ascii="Arial" w:hAnsi="Arial" w:cs="Arial"/>
          <w:sz w:val="24"/>
          <w:szCs w:val="24"/>
          <w:lang w:val="es-CO"/>
        </w:rPr>
        <w:t>.</w:t>
      </w:r>
      <w:r w:rsidR="002703B2" w:rsidRPr="00AD3D53">
        <w:rPr>
          <w:rFonts w:ascii="Arial" w:hAnsi="Arial" w:cs="Arial"/>
          <w:sz w:val="24"/>
          <w:szCs w:val="24"/>
          <w:lang w:val="es-CO"/>
        </w:rPr>
        <w:t>162 no fueron pagados</w:t>
      </w:r>
      <w:r w:rsidR="002703B2" w:rsidRPr="00AD3D53">
        <w:rPr>
          <w:rStyle w:val="Refdenotaalpie"/>
          <w:rFonts w:ascii="Arial" w:hAnsi="Arial" w:cs="Arial"/>
          <w:lang w:val="es-CO"/>
        </w:rPr>
        <w:footnoteReference w:id="36"/>
      </w:r>
      <w:r w:rsidR="002703B2" w:rsidRPr="00AD3D53">
        <w:rPr>
          <w:rFonts w:ascii="Arial" w:hAnsi="Arial" w:cs="Arial"/>
          <w:sz w:val="24"/>
          <w:szCs w:val="24"/>
          <w:lang w:val="es-CO"/>
        </w:rPr>
        <w:t>.</w:t>
      </w:r>
    </w:p>
    <w:p w14:paraId="525A7B01" w14:textId="77777777" w:rsidR="00092306" w:rsidRPr="00AD3D53" w:rsidRDefault="00092306" w:rsidP="00092306">
      <w:pPr>
        <w:spacing w:line="360" w:lineRule="auto"/>
        <w:contextualSpacing/>
        <w:jc w:val="both"/>
        <w:rPr>
          <w:rFonts w:ascii="Arial" w:hAnsi="Arial" w:cs="Arial"/>
          <w:sz w:val="24"/>
          <w:szCs w:val="24"/>
        </w:rPr>
      </w:pPr>
    </w:p>
    <w:p w14:paraId="742DBE43" w14:textId="77777777" w:rsidR="00BE6A33" w:rsidRPr="00AD3D53" w:rsidRDefault="009C7E23" w:rsidP="00BE6A33">
      <w:pPr>
        <w:spacing w:line="360" w:lineRule="auto"/>
        <w:contextualSpacing/>
        <w:jc w:val="both"/>
        <w:rPr>
          <w:rFonts w:ascii="Arial" w:hAnsi="Arial" w:cs="Arial"/>
          <w:sz w:val="24"/>
          <w:szCs w:val="24"/>
          <w:lang w:val="es-CO"/>
        </w:rPr>
      </w:pPr>
      <w:r w:rsidRPr="00AD3D53">
        <w:rPr>
          <w:rFonts w:ascii="Arial" w:hAnsi="Arial" w:cs="Arial"/>
          <w:sz w:val="24"/>
          <w:szCs w:val="24"/>
        </w:rPr>
        <w:t>39</w:t>
      </w:r>
      <w:r w:rsidR="00092306" w:rsidRPr="00AD3D53">
        <w:rPr>
          <w:rFonts w:ascii="Arial" w:hAnsi="Arial" w:cs="Arial"/>
          <w:sz w:val="24"/>
          <w:szCs w:val="24"/>
        </w:rPr>
        <w:t xml:space="preserve">. </w:t>
      </w:r>
      <w:r w:rsidR="0007629C" w:rsidRPr="00AD3D53">
        <w:rPr>
          <w:rFonts w:ascii="Arial" w:hAnsi="Arial" w:cs="Arial"/>
          <w:sz w:val="24"/>
          <w:szCs w:val="24"/>
          <w:lang w:val="es-CO"/>
        </w:rPr>
        <w:t>Una vez finalizado el contrato,</w:t>
      </w:r>
      <w:r w:rsidR="00BE6A33" w:rsidRPr="00AD3D53">
        <w:rPr>
          <w:rFonts w:ascii="Arial" w:hAnsi="Arial" w:cs="Arial"/>
          <w:sz w:val="24"/>
          <w:szCs w:val="24"/>
          <w:lang w:val="es-CO"/>
        </w:rPr>
        <w:t xml:space="preserve"> se habían ejecutado recursos así</w:t>
      </w:r>
      <w:r w:rsidR="00BE6A33" w:rsidRPr="00AD3D53">
        <w:rPr>
          <w:rStyle w:val="Refdenotaalpie"/>
          <w:rFonts w:ascii="Arial" w:hAnsi="Arial" w:cs="Arial"/>
          <w:lang w:val="es-CO"/>
        </w:rPr>
        <w:footnoteReference w:id="37"/>
      </w:r>
      <w:r w:rsidR="00BE6A33" w:rsidRPr="00AD3D53">
        <w:rPr>
          <w:rFonts w:ascii="Arial" w:hAnsi="Arial" w:cs="Arial"/>
          <w:sz w:val="24"/>
          <w:szCs w:val="24"/>
          <w:lang w:val="es-CO"/>
        </w:rPr>
        <w:t>:</w:t>
      </w:r>
    </w:p>
    <w:p w14:paraId="19E8F592" w14:textId="77777777" w:rsidR="00BE6A33" w:rsidRPr="00AD3D53" w:rsidRDefault="00BE6A33" w:rsidP="00BE6A33">
      <w:pPr>
        <w:spacing w:line="360" w:lineRule="auto"/>
        <w:contextualSpacing/>
        <w:jc w:val="both"/>
        <w:rPr>
          <w:rFonts w:ascii="Arial" w:hAnsi="Arial" w:cs="Arial"/>
          <w:sz w:val="24"/>
          <w:szCs w:val="24"/>
          <w:highlight w:val="yellow"/>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78"/>
        <w:gridCol w:w="2880"/>
      </w:tblGrid>
      <w:tr w:rsidR="00BE6A33" w:rsidRPr="00AD3D53" w14:paraId="2075A120" w14:textId="77777777" w:rsidTr="005A0A33">
        <w:tc>
          <w:tcPr>
            <w:tcW w:w="2881" w:type="dxa"/>
            <w:shd w:val="clear" w:color="auto" w:fill="auto"/>
          </w:tcPr>
          <w:p w14:paraId="1921A4CE" w14:textId="77777777" w:rsidR="00774179" w:rsidRPr="00AD3D53" w:rsidRDefault="00774179" w:rsidP="005A0A33">
            <w:pPr>
              <w:spacing w:line="360" w:lineRule="auto"/>
              <w:contextualSpacing/>
              <w:jc w:val="center"/>
              <w:rPr>
                <w:rFonts w:ascii="Arial" w:hAnsi="Arial" w:cs="Arial"/>
                <w:sz w:val="24"/>
                <w:szCs w:val="24"/>
                <w:lang w:val="es-CO"/>
              </w:rPr>
            </w:pPr>
          </w:p>
          <w:p w14:paraId="3ABC203E"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Meses</w:t>
            </w:r>
          </w:p>
        </w:tc>
        <w:tc>
          <w:tcPr>
            <w:tcW w:w="2881" w:type="dxa"/>
            <w:shd w:val="clear" w:color="auto" w:fill="auto"/>
          </w:tcPr>
          <w:p w14:paraId="5E2DC735"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Envío</w:t>
            </w:r>
            <w:r w:rsidR="004F55BF" w:rsidRPr="00AD3D53">
              <w:rPr>
                <w:rFonts w:ascii="Arial" w:hAnsi="Arial" w:cs="Arial"/>
                <w:sz w:val="24"/>
                <w:szCs w:val="24"/>
                <w:lang w:val="es-CO"/>
              </w:rPr>
              <w:t>s realizados con acuse de recibo o devolución</w:t>
            </w:r>
          </w:p>
        </w:tc>
        <w:tc>
          <w:tcPr>
            <w:tcW w:w="2882" w:type="dxa"/>
            <w:shd w:val="clear" w:color="auto" w:fill="auto"/>
          </w:tcPr>
          <w:p w14:paraId="1D40308C" w14:textId="77777777" w:rsidR="00774179" w:rsidRPr="00AD3D53" w:rsidRDefault="00774179" w:rsidP="005A0A33">
            <w:pPr>
              <w:spacing w:line="360" w:lineRule="auto"/>
              <w:contextualSpacing/>
              <w:jc w:val="center"/>
              <w:rPr>
                <w:rFonts w:ascii="Arial" w:hAnsi="Arial" w:cs="Arial"/>
                <w:sz w:val="24"/>
                <w:szCs w:val="24"/>
                <w:lang w:val="es-CO"/>
              </w:rPr>
            </w:pPr>
          </w:p>
          <w:p w14:paraId="42931ABD"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Valor pagado</w:t>
            </w:r>
          </w:p>
        </w:tc>
      </w:tr>
      <w:tr w:rsidR="00BE6A33" w:rsidRPr="00AD3D53" w14:paraId="02B711FE" w14:textId="77777777" w:rsidTr="005A0A33">
        <w:tc>
          <w:tcPr>
            <w:tcW w:w="2881" w:type="dxa"/>
            <w:shd w:val="clear" w:color="auto" w:fill="auto"/>
          </w:tcPr>
          <w:p w14:paraId="5BB301A5"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Febrero, marzo, abril, mayo, junio julio y agosto de 2002</w:t>
            </w:r>
          </w:p>
        </w:tc>
        <w:tc>
          <w:tcPr>
            <w:tcW w:w="2881" w:type="dxa"/>
            <w:shd w:val="clear" w:color="auto" w:fill="auto"/>
          </w:tcPr>
          <w:p w14:paraId="7D52F98B" w14:textId="77777777" w:rsidR="00BE6A33" w:rsidRPr="00AD3D53" w:rsidRDefault="00BE6A33" w:rsidP="005A0A33">
            <w:pPr>
              <w:spacing w:line="360" w:lineRule="auto"/>
              <w:contextualSpacing/>
              <w:jc w:val="center"/>
              <w:rPr>
                <w:rFonts w:ascii="Arial" w:hAnsi="Arial" w:cs="Arial"/>
                <w:sz w:val="24"/>
                <w:szCs w:val="24"/>
                <w:lang w:val="es-CO"/>
              </w:rPr>
            </w:pPr>
          </w:p>
          <w:p w14:paraId="733C4B32"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12816</w:t>
            </w:r>
          </w:p>
        </w:tc>
        <w:tc>
          <w:tcPr>
            <w:tcW w:w="2882" w:type="dxa"/>
            <w:shd w:val="clear" w:color="auto" w:fill="auto"/>
          </w:tcPr>
          <w:p w14:paraId="6B1DA72F" w14:textId="77777777" w:rsidR="00BE6A33" w:rsidRPr="00AD3D53" w:rsidRDefault="00BE6A33" w:rsidP="005A0A33">
            <w:pPr>
              <w:spacing w:line="360" w:lineRule="auto"/>
              <w:contextualSpacing/>
              <w:jc w:val="center"/>
              <w:rPr>
                <w:rFonts w:ascii="Arial" w:hAnsi="Arial" w:cs="Arial"/>
                <w:sz w:val="24"/>
                <w:szCs w:val="24"/>
                <w:lang w:val="es-CO"/>
              </w:rPr>
            </w:pPr>
          </w:p>
          <w:p w14:paraId="6BA3B72C"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$82.783.950,oo</w:t>
            </w:r>
          </w:p>
        </w:tc>
      </w:tr>
      <w:tr w:rsidR="00BE6A33" w:rsidRPr="00AD3D53" w14:paraId="1B349B7C" w14:textId="77777777" w:rsidTr="005A0A33">
        <w:tc>
          <w:tcPr>
            <w:tcW w:w="2881" w:type="dxa"/>
            <w:shd w:val="clear" w:color="auto" w:fill="auto"/>
          </w:tcPr>
          <w:p w14:paraId="4439EC41"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Octubre de 2002</w:t>
            </w:r>
          </w:p>
        </w:tc>
        <w:tc>
          <w:tcPr>
            <w:tcW w:w="2881" w:type="dxa"/>
            <w:shd w:val="clear" w:color="auto" w:fill="auto"/>
          </w:tcPr>
          <w:p w14:paraId="7D294F2E"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3124</w:t>
            </w:r>
          </w:p>
        </w:tc>
        <w:tc>
          <w:tcPr>
            <w:tcW w:w="2882" w:type="dxa"/>
            <w:shd w:val="clear" w:color="auto" w:fill="auto"/>
          </w:tcPr>
          <w:p w14:paraId="34CF9930"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$18.512.325.oo</w:t>
            </w:r>
          </w:p>
        </w:tc>
      </w:tr>
      <w:tr w:rsidR="00BE6A33" w:rsidRPr="00AD3D53" w14:paraId="114C0128" w14:textId="77777777" w:rsidTr="005A0A33">
        <w:tc>
          <w:tcPr>
            <w:tcW w:w="2881" w:type="dxa"/>
            <w:shd w:val="clear" w:color="auto" w:fill="auto"/>
          </w:tcPr>
          <w:p w14:paraId="4C3D9DBE" w14:textId="77777777" w:rsidR="00BE6A33" w:rsidRPr="00AD3D53" w:rsidRDefault="00BE6A33" w:rsidP="005A0A33">
            <w:pPr>
              <w:spacing w:line="360" w:lineRule="auto"/>
              <w:contextualSpacing/>
              <w:jc w:val="center"/>
              <w:rPr>
                <w:rFonts w:ascii="Arial" w:hAnsi="Arial" w:cs="Arial"/>
                <w:sz w:val="24"/>
                <w:szCs w:val="24"/>
                <w:lang w:val="es-CO"/>
              </w:rPr>
            </w:pPr>
          </w:p>
          <w:p w14:paraId="72D9569D"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Septiembre y noviembre de 2002</w:t>
            </w:r>
          </w:p>
        </w:tc>
        <w:tc>
          <w:tcPr>
            <w:tcW w:w="2881" w:type="dxa"/>
            <w:shd w:val="clear" w:color="auto" w:fill="auto"/>
          </w:tcPr>
          <w:p w14:paraId="16DCC803" w14:textId="77777777" w:rsidR="00BE6A33" w:rsidRPr="00AD3D53" w:rsidRDefault="00BE6A33" w:rsidP="005A0A33">
            <w:pPr>
              <w:spacing w:line="360" w:lineRule="auto"/>
              <w:contextualSpacing/>
              <w:jc w:val="center"/>
              <w:rPr>
                <w:rFonts w:ascii="Arial" w:hAnsi="Arial" w:cs="Arial"/>
                <w:sz w:val="24"/>
                <w:szCs w:val="24"/>
                <w:lang w:val="es-CO"/>
              </w:rPr>
            </w:pPr>
          </w:p>
          <w:p w14:paraId="2EF1E20C"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6611</w:t>
            </w:r>
          </w:p>
        </w:tc>
        <w:tc>
          <w:tcPr>
            <w:tcW w:w="2882" w:type="dxa"/>
            <w:shd w:val="clear" w:color="auto" w:fill="auto"/>
          </w:tcPr>
          <w:p w14:paraId="1079C0BA" w14:textId="77777777" w:rsidR="00BE6A33" w:rsidRPr="00AD3D53" w:rsidRDefault="00BE6A33" w:rsidP="005A0A33">
            <w:pPr>
              <w:spacing w:line="360" w:lineRule="auto"/>
              <w:contextualSpacing/>
              <w:jc w:val="center"/>
              <w:rPr>
                <w:rFonts w:ascii="Arial" w:hAnsi="Arial" w:cs="Arial"/>
                <w:sz w:val="24"/>
                <w:szCs w:val="24"/>
                <w:lang w:val="es-CO"/>
              </w:rPr>
            </w:pPr>
          </w:p>
          <w:p w14:paraId="29E3554C"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$23.869.575,oo</w:t>
            </w:r>
          </w:p>
        </w:tc>
      </w:tr>
      <w:tr w:rsidR="00BE6A33" w:rsidRPr="00AD3D53" w14:paraId="0FF07E4F" w14:textId="77777777" w:rsidTr="005A0A33">
        <w:tc>
          <w:tcPr>
            <w:tcW w:w="2881" w:type="dxa"/>
            <w:shd w:val="clear" w:color="auto" w:fill="auto"/>
          </w:tcPr>
          <w:p w14:paraId="2BD50604"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Diciembre de 2002</w:t>
            </w:r>
          </w:p>
        </w:tc>
        <w:tc>
          <w:tcPr>
            <w:tcW w:w="2881" w:type="dxa"/>
            <w:shd w:val="clear" w:color="auto" w:fill="auto"/>
          </w:tcPr>
          <w:p w14:paraId="2654A0EB"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7483</w:t>
            </w:r>
          </w:p>
        </w:tc>
        <w:tc>
          <w:tcPr>
            <w:tcW w:w="2882" w:type="dxa"/>
            <w:shd w:val="clear" w:color="auto" w:fill="auto"/>
          </w:tcPr>
          <w:p w14:paraId="17AE2C91"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$24.327.225,oo</w:t>
            </w:r>
          </w:p>
        </w:tc>
      </w:tr>
      <w:tr w:rsidR="00BE6A33" w:rsidRPr="00AD3D53" w14:paraId="55B2F7CC" w14:textId="77777777" w:rsidTr="005A0A33">
        <w:tc>
          <w:tcPr>
            <w:tcW w:w="2881" w:type="dxa"/>
            <w:shd w:val="clear" w:color="auto" w:fill="auto"/>
          </w:tcPr>
          <w:p w14:paraId="182A690E"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Enero de 2003</w:t>
            </w:r>
          </w:p>
        </w:tc>
        <w:tc>
          <w:tcPr>
            <w:tcW w:w="2881" w:type="dxa"/>
            <w:shd w:val="clear" w:color="auto" w:fill="auto"/>
          </w:tcPr>
          <w:p w14:paraId="2E0CF516"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3175</w:t>
            </w:r>
          </w:p>
        </w:tc>
        <w:tc>
          <w:tcPr>
            <w:tcW w:w="2882" w:type="dxa"/>
            <w:shd w:val="clear" w:color="auto" w:fill="auto"/>
          </w:tcPr>
          <w:p w14:paraId="42230CE8"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$9.339.956,oo</w:t>
            </w:r>
          </w:p>
        </w:tc>
      </w:tr>
      <w:tr w:rsidR="00BE6A33" w:rsidRPr="00AD3D53" w14:paraId="07FAE692" w14:textId="77777777" w:rsidTr="005A0A33">
        <w:tc>
          <w:tcPr>
            <w:tcW w:w="2881" w:type="dxa"/>
            <w:shd w:val="clear" w:color="auto" w:fill="auto"/>
          </w:tcPr>
          <w:p w14:paraId="4DD92CF1"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Febrero de 2003</w:t>
            </w:r>
          </w:p>
        </w:tc>
        <w:tc>
          <w:tcPr>
            <w:tcW w:w="2881" w:type="dxa"/>
            <w:shd w:val="clear" w:color="auto" w:fill="auto"/>
          </w:tcPr>
          <w:p w14:paraId="1F9DFF9B"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3968</w:t>
            </w:r>
          </w:p>
        </w:tc>
        <w:tc>
          <w:tcPr>
            <w:tcW w:w="2882" w:type="dxa"/>
            <w:shd w:val="clear" w:color="auto" w:fill="auto"/>
          </w:tcPr>
          <w:p w14:paraId="0B639FEC"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$11.420.700,oo</w:t>
            </w:r>
          </w:p>
        </w:tc>
      </w:tr>
      <w:tr w:rsidR="00BE6A33" w:rsidRPr="00AD3D53" w14:paraId="192B6631" w14:textId="77777777" w:rsidTr="005A0A33">
        <w:tc>
          <w:tcPr>
            <w:tcW w:w="2881" w:type="dxa"/>
            <w:shd w:val="clear" w:color="auto" w:fill="auto"/>
          </w:tcPr>
          <w:p w14:paraId="3F6C2D9B"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Mayo de 2003</w:t>
            </w:r>
          </w:p>
        </w:tc>
        <w:tc>
          <w:tcPr>
            <w:tcW w:w="2881" w:type="dxa"/>
            <w:shd w:val="clear" w:color="auto" w:fill="auto"/>
          </w:tcPr>
          <w:p w14:paraId="341E607C"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8114</w:t>
            </w:r>
          </w:p>
        </w:tc>
        <w:tc>
          <w:tcPr>
            <w:tcW w:w="2882" w:type="dxa"/>
            <w:shd w:val="clear" w:color="auto" w:fill="auto"/>
          </w:tcPr>
          <w:p w14:paraId="0C685256"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$23.465.700,oo</w:t>
            </w:r>
          </w:p>
        </w:tc>
      </w:tr>
      <w:tr w:rsidR="00BE6A33" w:rsidRPr="00AD3D53" w14:paraId="3785B6DB" w14:textId="77777777" w:rsidTr="005A0A33">
        <w:tc>
          <w:tcPr>
            <w:tcW w:w="2881" w:type="dxa"/>
            <w:shd w:val="clear" w:color="auto" w:fill="auto"/>
          </w:tcPr>
          <w:p w14:paraId="30FC1B13"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Junio de 2003</w:t>
            </w:r>
          </w:p>
        </w:tc>
        <w:tc>
          <w:tcPr>
            <w:tcW w:w="2881" w:type="dxa"/>
            <w:shd w:val="clear" w:color="auto" w:fill="auto"/>
          </w:tcPr>
          <w:p w14:paraId="52A7875C"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3345</w:t>
            </w:r>
          </w:p>
        </w:tc>
        <w:tc>
          <w:tcPr>
            <w:tcW w:w="2882" w:type="dxa"/>
            <w:shd w:val="clear" w:color="auto" w:fill="auto"/>
          </w:tcPr>
          <w:p w14:paraId="0000BE00"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$9.721.600,oo</w:t>
            </w:r>
          </w:p>
        </w:tc>
      </w:tr>
      <w:tr w:rsidR="00BE6A33" w:rsidRPr="00AD3D53" w14:paraId="78FF7B43" w14:textId="77777777" w:rsidTr="005A0A33">
        <w:tc>
          <w:tcPr>
            <w:tcW w:w="2881" w:type="dxa"/>
            <w:shd w:val="clear" w:color="auto" w:fill="auto"/>
          </w:tcPr>
          <w:p w14:paraId="1FC4B386"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TOTAL</w:t>
            </w:r>
          </w:p>
        </w:tc>
        <w:tc>
          <w:tcPr>
            <w:tcW w:w="2881" w:type="dxa"/>
            <w:shd w:val="clear" w:color="auto" w:fill="auto"/>
          </w:tcPr>
          <w:p w14:paraId="5827D346"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48636</w:t>
            </w:r>
          </w:p>
        </w:tc>
        <w:tc>
          <w:tcPr>
            <w:tcW w:w="2882" w:type="dxa"/>
            <w:shd w:val="clear" w:color="auto" w:fill="auto"/>
          </w:tcPr>
          <w:p w14:paraId="0AE11C18" w14:textId="77777777" w:rsidR="00BE6A33" w:rsidRPr="00AD3D53" w:rsidRDefault="00BE6A33"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$203.441.031,oo</w:t>
            </w:r>
          </w:p>
        </w:tc>
      </w:tr>
    </w:tbl>
    <w:p w14:paraId="7C28C288" w14:textId="77777777" w:rsidR="00092306" w:rsidRPr="00AD3D53" w:rsidRDefault="00092306" w:rsidP="00ED29B4">
      <w:pPr>
        <w:spacing w:line="360" w:lineRule="auto"/>
        <w:ind w:right="567"/>
        <w:contextualSpacing/>
        <w:jc w:val="both"/>
        <w:rPr>
          <w:rFonts w:ascii="Arial" w:hAnsi="Arial" w:cs="Arial"/>
          <w:i/>
          <w:szCs w:val="24"/>
          <w:lang w:val="es-CO"/>
        </w:rPr>
      </w:pPr>
    </w:p>
    <w:p w14:paraId="42BBCBB9" w14:textId="77777777" w:rsidR="00ED29B4" w:rsidRPr="00AD3D53" w:rsidRDefault="00B03B6F" w:rsidP="00ED29B4">
      <w:pPr>
        <w:spacing w:line="360" w:lineRule="auto"/>
        <w:contextualSpacing/>
        <w:jc w:val="both"/>
        <w:rPr>
          <w:rFonts w:ascii="Arial" w:hAnsi="Arial" w:cs="Arial"/>
          <w:sz w:val="24"/>
          <w:szCs w:val="24"/>
          <w:lang w:val="es-CO"/>
        </w:rPr>
      </w:pPr>
      <w:r w:rsidRPr="00AD3D53">
        <w:rPr>
          <w:rFonts w:ascii="Arial" w:hAnsi="Arial" w:cs="Arial"/>
          <w:sz w:val="24"/>
          <w:szCs w:val="24"/>
        </w:rPr>
        <w:t>40</w:t>
      </w:r>
      <w:r w:rsidR="00092306" w:rsidRPr="00AD3D53">
        <w:rPr>
          <w:rFonts w:ascii="Arial" w:hAnsi="Arial" w:cs="Arial"/>
          <w:sz w:val="24"/>
          <w:szCs w:val="24"/>
        </w:rPr>
        <w:t xml:space="preserve">. </w:t>
      </w:r>
      <w:r w:rsidR="00ED29B4" w:rsidRPr="00AD3D53">
        <w:rPr>
          <w:rFonts w:ascii="Arial" w:hAnsi="Arial" w:cs="Arial"/>
          <w:sz w:val="24"/>
          <w:szCs w:val="24"/>
          <w:lang w:val="es-CO"/>
        </w:rPr>
        <w:t>Igualmente, quedaron</w:t>
      </w:r>
      <w:r w:rsidR="00E12010" w:rsidRPr="00AD3D53">
        <w:rPr>
          <w:rFonts w:ascii="Arial" w:hAnsi="Arial" w:cs="Arial"/>
          <w:sz w:val="24"/>
          <w:szCs w:val="24"/>
          <w:lang w:val="es-CO"/>
        </w:rPr>
        <w:t xml:space="preserve"> pendientes por pagar los servicios prestados</w:t>
      </w:r>
      <w:r w:rsidR="00ED29B4" w:rsidRPr="00AD3D53">
        <w:rPr>
          <w:rFonts w:ascii="Arial" w:hAnsi="Arial" w:cs="Arial"/>
          <w:sz w:val="24"/>
          <w:szCs w:val="24"/>
          <w:lang w:val="es-CO"/>
        </w:rPr>
        <w:t xml:space="preserve"> en los meses de marzo y abril de 2003, así</w:t>
      </w:r>
      <w:r w:rsidR="00ED29B4" w:rsidRPr="00AD3D53">
        <w:rPr>
          <w:rStyle w:val="Refdenotaalpie"/>
          <w:rFonts w:ascii="Arial" w:hAnsi="Arial" w:cs="Arial"/>
          <w:lang w:val="es-CO"/>
        </w:rPr>
        <w:footnoteReference w:id="38"/>
      </w:r>
      <w:r w:rsidR="00ED29B4" w:rsidRPr="00AD3D53">
        <w:rPr>
          <w:rFonts w:ascii="Arial" w:hAnsi="Arial" w:cs="Arial"/>
          <w:sz w:val="24"/>
          <w:szCs w:val="24"/>
          <w:lang w:val="es-C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9"/>
        <w:gridCol w:w="2880"/>
      </w:tblGrid>
      <w:tr w:rsidR="00ED29B4" w:rsidRPr="00AD3D53" w14:paraId="4CC608E3" w14:textId="77777777" w:rsidTr="005A0A33">
        <w:tc>
          <w:tcPr>
            <w:tcW w:w="2881" w:type="dxa"/>
            <w:shd w:val="clear" w:color="auto" w:fill="auto"/>
          </w:tcPr>
          <w:p w14:paraId="39835CD6" w14:textId="77777777" w:rsidR="00166C57" w:rsidRPr="00AD3D53" w:rsidRDefault="00166C57" w:rsidP="005A0A33">
            <w:pPr>
              <w:spacing w:line="360" w:lineRule="auto"/>
              <w:contextualSpacing/>
              <w:jc w:val="center"/>
              <w:rPr>
                <w:rFonts w:ascii="Arial" w:hAnsi="Arial" w:cs="Arial"/>
                <w:sz w:val="24"/>
                <w:szCs w:val="24"/>
                <w:lang w:val="es-CO"/>
              </w:rPr>
            </w:pPr>
          </w:p>
          <w:p w14:paraId="7F8D5568" w14:textId="77777777" w:rsidR="00166C57" w:rsidRPr="00AD3D53" w:rsidRDefault="00166C57" w:rsidP="005A0A33">
            <w:pPr>
              <w:spacing w:line="360" w:lineRule="auto"/>
              <w:contextualSpacing/>
              <w:jc w:val="center"/>
              <w:rPr>
                <w:rFonts w:ascii="Arial" w:hAnsi="Arial" w:cs="Arial"/>
                <w:sz w:val="24"/>
                <w:szCs w:val="24"/>
                <w:lang w:val="es-CO"/>
              </w:rPr>
            </w:pPr>
          </w:p>
          <w:p w14:paraId="6C12648D"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Mes</w:t>
            </w:r>
          </w:p>
        </w:tc>
        <w:tc>
          <w:tcPr>
            <w:tcW w:w="2881" w:type="dxa"/>
            <w:shd w:val="clear" w:color="auto" w:fill="auto"/>
          </w:tcPr>
          <w:p w14:paraId="18A8531C"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 xml:space="preserve">Envíos realizados con acuse de recibo </w:t>
            </w:r>
            <w:r w:rsidR="00885AEC" w:rsidRPr="00AD3D53">
              <w:rPr>
                <w:rFonts w:ascii="Arial" w:hAnsi="Arial" w:cs="Arial"/>
                <w:sz w:val="24"/>
                <w:szCs w:val="24"/>
                <w:lang w:val="es-CO"/>
              </w:rPr>
              <w:t xml:space="preserve">o </w:t>
            </w:r>
            <w:r w:rsidR="00DA08CF" w:rsidRPr="00AD3D53">
              <w:rPr>
                <w:rFonts w:ascii="Arial" w:hAnsi="Arial" w:cs="Arial"/>
                <w:sz w:val="24"/>
                <w:szCs w:val="24"/>
                <w:lang w:val="es-CO"/>
              </w:rPr>
              <w:t>devolución</w:t>
            </w:r>
            <w:r w:rsidRPr="00AD3D53">
              <w:rPr>
                <w:rFonts w:ascii="Arial" w:hAnsi="Arial" w:cs="Arial"/>
                <w:sz w:val="24"/>
                <w:szCs w:val="24"/>
                <w:lang w:val="es-CO"/>
              </w:rPr>
              <w:t xml:space="preserve"> y pendientes</w:t>
            </w:r>
          </w:p>
        </w:tc>
        <w:tc>
          <w:tcPr>
            <w:tcW w:w="2882" w:type="dxa"/>
            <w:shd w:val="clear" w:color="auto" w:fill="auto"/>
          </w:tcPr>
          <w:p w14:paraId="0C892394" w14:textId="77777777" w:rsidR="00166C57" w:rsidRPr="00AD3D53" w:rsidRDefault="00166C57" w:rsidP="005A0A33">
            <w:pPr>
              <w:spacing w:line="360" w:lineRule="auto"/>
              <w:contextualSpacing/>
              <w:jc w:val="center"/>
              <w:rPr>
                <w:rFonts w:ascii="Arial" w:hAnsi="Arial" w:cs="Arial"/>
                <w:sz w:val="24"/>
                <w:szCs w:val="24"/>
                <w:lang w:val="es-CO"/>
              </w:rPr>
            </w:pPr>
          </w:p>
          <w:p w14:paraId="0426A668" w14:textId="77777777" w:rsidR="00166C57" w:rsidRPr="00AD3D53" w:rsidRDefault="00166C57" w:rsidP="005A0A33">
            <w:pPr>
              <w:spacing w:line="360" w:lineRule="auto"/>
              <w:contextualSpacing/>
              <w:jc w:val="center"/>
              <w:rPr>
                <w:rFonts w:ascii="Arial" w:hAnsi="Arial" w:cs="Arial"/>
                <w:sz w:val="24"/>
                <w:szCs w:val="24"/>
                <w:lang w:val="es-CO"/>
              </w:rPr>
            </w:pPr>
          </w:p>
          <w:p w14:paraId="59CA9BC0"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Valor</w:t>
            </w:r>
          </w:p>
        </w:tc>
      </w:tr>
      <w:tr w:rsidR="00ED29B4" w:rsidRPr="00AD3D53" w14:paraId="4DD2237E" w14:textId="77777777" w:rsidTr="005A0A33">
        <w:tc>
          <w:tcPr>
            <w:tcW w:w="2881" w:type="dxa"/>
            <w:shd w:val="clear" w:color="auto" w:fill="auto"/>
          </w:tcPr>
          <w:p w14:paraId="644FDB22"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Marzo de 2003</w:t>
            </w:r>
          </w:p>
        </w:tc>
        <w:tc>
          <w:tcPr>
            <w:tcW w:w="2881" w:type="dxa"/>
            <w:shd w:val="clear" w:color="auto" w:fill="auto"/>
          </w:tcPr>
          <w:p w14:paraId="66968C0E"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6203 (pendientes 76)</w:t>
            </w:r>
          </w:p>
        </w:tc>
        <w:tc>
          <w:tcPr>
            <w:tcW w:w="2882" w:type="dxa"/>
            <w:shd w:val="clear" w:color="auto" w:fill="auto"/>
          </w:tcPr>
          <w:p w14:paraId="3887D3B9"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$18.471.800,oo</w:t>
            </w:r>
          </w:p>
        </w:tc>
      </w:tr>
      <w:tr w:rsidR="00ED29B4" w:rsidRPr="00AD3D53" w14:paraId="5AB34C6D" w14:textId="77777777" w:rsidTr="005A0A33">
        <w:tc>
          <w:tcPr>
            <w:tcW w:w="2881" w:type="dxa"/>
            <w:shd w:val="clear" w:color="auto" w:fill="auto"/>
          </w:tcPr>
          <w:p w14:paraId="11A876F6"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Abril de 2003</w:t>
            </w:r>
          </w:p>
        </w:tc>
        <w:tc>
          <w:tcPr>
            <w:tcW w:w="2881" w:type="dxa"/>
            <w:shd w:val="clear" w:color="auto" w:fill="auto"/>
          </w:tcPr>
          <w:p w14:paraId="06E87B36"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5870 (pendientes 105)</w:t>
            </w:r>
          </w:p>
        </w:tc>
        <w:tc>
          <w:tcPr>
            <w:tcW w:w="2882" w:type="dxa"/>
            <w:shd w:val="clear" w:color="auto" w:fill="auto"/>
          </w:tcPr>
          <w:p w14:paraId="1FCB70CE"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$17.101.350,oo</w:t>
            </w:r>
          </w:p>
        </w:tc>
      </w:tr>
      <w:tr w:rsidR="00ED29B4" w:rsidRPr="00AD3D53" w14:paraId="3D2D34D3" w14:textId="77777777" w:rsidTr="005A0A33">
        <w:tc>
          <w:tcPr>
            <w:tcW w:w="2881" w:type="dxa"/>
            <w:shd w:val="clear" w:color="auto" w:fill="auto"/>
          </w:tcPr>
          <w:p w14:paraId="2B87D747"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TOTAL</w:t>
            </w:r>
          </w:p>
        </w:tc>
        <w:tc>
          <w:tcPr>
            <w:tcW w:w="2881" w:type="dxa"/>
            <w:shd w:val="clear" w:color="auto" w:fill="auto"/>
          </w:tcPr>
          <w:p w14:paraId="155A84EE"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12073 (pendientes  181)</w:t>
            </w:r>
          </w:p>
        </w:tc>
        <w:tc>
          <w:tcPr>
            <w:tcW w:w="2882" w:type="dxa"/>
            <w:shd w:val="clear" w:color="auto" w:fill="auto"/>
          </w:tcPr>
          <w:p w14:paraId="4CAA5289" w14:textId="77777777" w:rsidR="00ED29B4" w:rsidRPr="00AD3D53" w:rsidRDefault="00ED29B4" w:rsidP="005A0A33">
            <w:pPr>
              <w:spacing w:line="360" w:lineRule="auto"/>
              <w:contextualSpacing/>
              <w:jc w:val="center"/>
              <w:rPr>
                <w:rFonts w:ascii="Arial" w:hAnsi="Arial" w:cs="Arial"/>
                <w:sz w:val="24"/>
                <w:szCs w:val="24"/>
                <w:lang w:val="es-CO"/>
              </w:rPr>
            </w:pPr>
            <w:r w:rsidRPr="00AD3D53">
              <w:rPr>
                <w:rFonts w:ascii="Arial" w:hAnsi="Arial" w:cs="Arial"/>
                <w:sz w:val="24"/>
                <w:szCs w:val="24"/>
                <w:lang w:val="es-CO"/>
              </w:rPr>
              <w:t>$35.573.150,oo</w:t>
            </w:r>
          </w:p>
        </w:tc>
      </w:tr>
    </w:tbl>
    <w:p w14:paraId="0A506171" w14:textId="77777777" w:rsidR="00092306" w:rsidRPr="00AD3D53" w:rsidRDefault="00092306" w:rsidP="00092306">
      <w:pPr>
        <w:spacing w:line="360" w:lineRule="auto"/>
        <w:contextualSpacing/>
        <w:jc w:val="both"/>
        <w:rPr>
          <w:rFonts w:ascii="Arial" w:hAnsi="Arial" w:cs="Arial"/>
          <w:sz w:val="24"/>
          <w:szCs w:val="24"/>
        </w:rPr>
      </w:pPr>
    </w:p>
    <w:p w14:paraId="48B6D6E9" w14:textId="77777777" w:rsidR="002626E3" w:rsidRPr="00AD3D53" w:rsidRDefault="00ED29B4" w:rsidP="002626E3">
      <w:pPr>
        <w:spacing w:line="360" w:lineRule="auto"/>
        <w:contextualSpacing/>
        <w:jc w:val="both"/>
        <w:rPr>
          <w:rFonts w:ascii="Arial" w:hAnsi="Arial" w:cs="Arial"/>
          <w:sz w:val="24"/>
          <w:szCs w:val="24"/>
          <w:lang w:val="es-CO"/>
        </w:rPr>
      </w:pPr>
      <w:r w:rsidRPr="00AD3D53">
        <w:rPr>
          <w:rFonts w:ascii="Arial" w:hAnsi="Arial" w:cs="Arial"/>
          <w:sz w:val="24"/>
          <w:szCs w:val="24"/>
        </w:rPr>
        <w:t>41</w:t>
      </w:r>
      <w:r w:rsidR="00092306" w:rsidRPr="00AD3D53">
        <w:rPr>
          <w:rFonts w:ascii="Arial" w:hAnsi="Arial" w:cs="Arial"/>
          <w:sz w:val="24"/>
          <w:szCs w:val="24"/>
        </w:rPr>
        <w:t xml:space="preserve">. </w:t>
      </w:r>
      <w:r w:rsidR="002626E3" w:rsidRPr="00AD3D53">
        <w:rPr>
          <w:rFonts w:ascii="Arial" w:hAnsi="Arial" w:cs="Arial"/>
          <w:sz w:val="24"/>
          <w:szCs w:val="24"/>
          <w:lang w:val="es-CO"/>
        </w:rPr>
        <w:t xml:space="preserve">En relación con los perjuicios ocasionados por </w:t>
      </w:r>
      <w:proofErr w:type="spellStart"/>
      <w:r w:rsidR="002626E3" w:rsidRPr="00AD3D53">
        <w:rPr>
          <w:rFonts w:ascii="Arial" w:hAnsi="Arial" w:cs="Arial"/>
          <w:sz w:val="24"/>
          <w:szCs w:val="24"/>
          <w:lang w:val="es-CO"/>
        </w:rPr>
        <w:t>Adpostal</w:t>
      </w:r>
      <w:proofErr w:type="spellEnd"/>
      <w:r w:rsidR="002626E3" w:rsidRPr="00AD3D53">
        <w:rPr>
          <w:rFonts w:ascii="Arial" w:hAnsi="Arial" w:cs="Arial"/>
          <w:sz w:val="24"/>
          <w:szCs w:val="24"/>
          <w:lang w:val="es-CO"/>
        </w:rPr>
        <w:t xml:space="preserve"> a la Secretaría de Hacienda con </w:t>
      </w:r>
      <w:r w:rsidR="00774789" w:rsidRPr="00AD3D53">
        <w:rPr>
          <w:rFonts w:ascii="Arial" w:hAnsi="Arial" w:cs="Arial"/>
          <w:sz w:val="24"/>
          <w:szCs w:val="24"/>
          <w:lang w:val="es-CO"/>
        </w:rPr>
        <w:t>ocasión del incumplimiento del c</w:t>
      </w:r>
      <w:r w:rsidR="002626E3" w:rsidRPr="00AD3D53">
        <w:rPr>
          <w:rFonts w:ascii="Arial" w:hAnsi="Arial" w:cs="Arial"/>
          <w:sz w:val="24"/>
          <w:szCs w:val="24"/>
          <w:lang w:val="es-CO"/>
        </w:rPr>
        <w:t>onvenio, en memorando de diciembre de 2005, la Directora Distrital de Impuestos de la Secretaría de Hacienda indicó (se trascribe):</w:t>
      </w:r>
    </w:p>
    <w:p w14:paraId="295F7E97" w14:textId="77777777" w:rsidR="002626E3" w:rsidRPr="00AD3D53" w:rsidRDefault="002626E3" w:rsidP="002626E3">
      <w:pPr>
        <w:spacing w:line="360" w:lineRule="auto"/>
        <w:contextualSpacing/>
        <w:jc w:val="both"/>
        <w:rPr>
          <w:rFonts w:ascii="Arial" w:hAnsi="Arial" w:cs="Arial"/>
          <w:sz w:val="24"/>
          <w:szCs w:val="24"/>
          <w:lang w:val="es-CO"/>
        </w:rPr>
      </w:pPr>
    </w:p>
    <w:p w14:paraId="4F882771" w14:textId="77777777" w:rsidR="002626E3" w:rsidRPr="00AD3D53" w:rsidRDefault="002626E3" w:rsidP="002626E3">
      <w:pPr>
        <w:ind w:left="567" w:right="567"/>
        <w:contextualSpacing/>
        <w:jc w:val="both"/>
        <w:rPr>
          <w:rFonts w:ascii="Arial" w:hAnsi="Arial" w:cs="Arial"/>
          <w:i/>
          <w:szCs w:val="24"/>
          <w:lang w:val="es-CO"/>
        </w:rPr>
      </w:pPr>
      <w:r w:rsidRPr="00AD3D53">
        <w:rPr>
          <w:rFonts w:ascii="Arial" w:hAnsi="Arial" w:cs="Arial"/>
          <w:szCs w:val="24"/>
          <w:lang w:val="es-CO"/>
        </w:rPr>
        <w:t>“</w:t>
      </w:r>
      <w:r w:rsidRPr="00AD3D53">
        <w:rPr>
          <w:rFonts w:ascii="Arial" w:hAnsi="Arial" w:cs="Arial"/>
          <w:i/>
          <w:szCs w:val="24"/>
          <w:lang w:val="es-CO"/>
        </w:rPr>
        <w:t>(…) precisamos que esta Dirección tal como lo expresó en comunicación del 2 de noviembre de 2005, no ha iniciado el proceso de cobro de estos actos administrativos, en tal sentido no existe una cuantificación de los valores que no serán percibidos por la entidad, en el entendido que dentro del proceso de cobro el contribuyente puede aducir no solo la indebida o inexistente notificación, sino otras circunstancias que no permitan realizar el cobro de la obligación tributaria, se constituyen entonces en expectativas de ingresos.</w:t>
      </w:r>
    </w:p>
    <w:p w14:paraId="355E09EB" w14:textId="77777777" w:rsidR="002626E3" w:rsidRPr="00AD3D53" w:rsidRDefault="002626E3" w:rsidP="002626E3">
      <w:pPr>
        <w:ind w:left="567" w:right="567"/>
        <w:contextualSpacing/>
        <w:jc w:val="both"/>
        <w:rPr>
          <w:rFonts w:ascii="Arial" w:hAnsi="Arial" w:cs="Arial"/>
          <w:i/>
          <w:szCs w:val="24"/>
          <w:lang w:val="es-CO"/>
        </w:rPr>
      </w:pPr>
      <w:r w:rsidRPr="00AD3D53">
        <w:rPr>
          <w:rFonts w:ascii="Arial" w:hAnsi="Arial" w:cs="Arial"/>
          <w:i/>
          <w:szCs w:val="24"/>
          <w:lang w:val="es-CO"/>
        </w:rPr>
        <w:t xml:space="preserve">Finalmente en cuanto al requisito sine qua non de la fecha de notificación de los actos administrativos para adelantar el proceso de cobro, es preciso señalar que la Subdirección Jurídico Tributaria en estudio realizado sobre el particular ha establecido que a la luz de las disposiciones no solo contractuales sino de ley los actos administrativos entregados a </w:t>
      </w:r>
      <w:proofErr w:type="spellStart"/>
      <w:r w:rsidRPr="00AD3D53">
        <w:rPr>
          <w:rFonts w:ascii="Arial" w:hAnsi="Arial" w:cs="Arial"/>
          <w:i/>
          <w:szCs w:val="24"/>
          <w:lang w:val="es-CO"/>
        </w:rPr>
        <w:t>Adpostal</w:t>
      </w:r>
      <w:proofErr w:type="spellEnd"/>
      <w:r w:rsidRPr="00AD3D53">
        <w:rPr>
          <w:rFonts w:ascii="Arial" w:hAnsi="Arial" w:cs="Arial"/>
          <w:i/>
          <w:szCs w:val="24"/>
          <w:lang w:val="es-CO"/>
        </w:rPr>
        <w:t xml:space="preserve"> se presumen notificados, por ello se iniciarán los procesos de cobro respectivos; sin embargo, si en ejercicio del derecho de defensa el contribuyente aduce indebida o inexistente notificación, la Dirección de Impuestos no cuenta con los medios probatorios para desvirtuar el argumento del contribuyen y deberá aceptarlos finalizando el proceso de cobro”.</w:t>
      </w:r>
    </w:p>
    <w:p w14:paraId="73AF5D7A" w14:textId="77777777" w:rsidR="00092306" w:rsidRPr="00AD3D53" w:rsidRDefault="00092306" w:rsidP="00092306">
      <w:pPr>
        <w:spacing w:line="360" w:lineRule="auto"/>
        <w:contextualSpacing/>
        <w:jc w:val="both"/>
        <w:rPr>
          <w:rFonts w:ascii="Arial" w:hAnsi="Arial" w:cs="Arial"/>
          <w:sz w:val="24"/>
          <w:szCs w:val="24"/>
        </w:rPr>
      </w:pPr>
    </w:p>
    <w:p w14:paraId="29A1FABF" w14:textId="77777777" w:rsidR="00092306" w:rsidRPr="00AD3D53" w:rsidRDefault="00092306" w:rsidP="00092306">
      <w:pPr>
        <w:spacing w:line="360" w:lineRule="auto"/>
        <w:contextualSpacing/>
        <w:jc w:val="both"/>
        <w:rPr>
          <w:rFonts w:ascii="Arial" w:hAnsi="Arial" w:cs="Arial"/>
          <w:b/>
          <w:sz w:val="24"/>
          <w:szCs w:val="24"/>
        </w:rPr>
      </w:pPr>
      <w:r w:rsidRPr="00AD3D53">
        <w:rPr>
          <w:rFonts w:ascii="Arial" w:hAnsi="Arial" w:cs="Arial"/>
          <w:b/>
          <w:sz w:val="24"/>
          <w:szCs w:val="24"/>
        </w:rPr>
        <w:t>2.3. El problema jurídico</w:t>
      </w:r>
    </w:p>
    <w:p w14:paraId="461D3ABE" w14:textId="77777777" w:rsidR="00092306" w:rsidRPr="00AD3D53" w:rsidRDefault="00092306" w:rsidP="00092306">
      <w:pPr>
        <w:spacing w:line="360" w:lineRule="auto"/>
        <w:contextualSpacing/>
        <w:jc w:val="both"/>
        <w:rPr>
          <w:rFonts w:ascii="Arial" w:hAnsi="Arial" w:cs="Arial"/>
          <w:sz w:val="24"/>
          <w:szCs w:val="24"/>
        </w:rPr>
      </w:pPr>
    </w:p>
    <w:p w14:paraId="6A635E31" w14:textId="77777777" w:rsidR="00092306" w:rsidRPr="00AD3D53" w:rsidRDefault="008102DA" w:rsidP="00092306">
      <w:pPr>
        <w:spacing w:line="360" w:lineRule="auto"/>
        <w:contextualSpacing/>
        <w:jc w:val="both"/>
        <w:rPr>
          <w:rFonts w:ascii="Arial" w:hAnsi="Arial" w:cs="Arial"/>
          <w:sz w:val="24"/>
          <w:szCs w:val="24"/>
        </w:rPr>
      </w:pPr>
      <w:r w:rsidRPr="00AD3D53">
        <w:rPr>
          <w:rFonts w:ascii="Arial" w:hAnsi="Arial" w:cs="Arial"/>
          <w:sz w:val="24"/>
          <w:szCs w:val="24"/>
        </w:rPr>
        <w:t>42</w:t>
      </w:r>
      <w:r w:rsidR="00092306" w:rsidRPr="00AD3D53">
        <w:rPr>
          <w:rFonts w:ascii="Arial" w:hAnsi="Arial" w:cs="Arial"/>
          <w:sz w:val="24"/>
          <w:szCs w:val="24"/>
        </w:rPr>
        <w:t>. Teniendo en cuenta los hechos probados y los motivos de la apelac</w:t>
      </w:r>
      <w:r w:rsidR="00C5195A" w:rsidRPr="00AD3D53">
        <w:rPr>
          <w:rFonts w:ascii="Arial" w:hAnsi="Arial" w:cs="Arial"/>
          <w:sz w:val="24"/>
          <w:szCs w:val="24"/>
        </w:rPr>
        <w:t>ión interpuesta por la parte demandada</w:t>
      </w:r>
      <w:r w:rsidR="00556382" w:rsidRPr="00AD3D53">
        <w:rPr>
          <w:rFonts w:ascii="Arial" w:hAnsi="Arial" w:cs="Arial"/>
          <w:sz w:val="24"/>
          <w:szCs w:val="24"/>
        </w:rPr>
        <w:t>,</w:t>
      </w:r>
      <w:r w:rsidR="00592E4E" w:rsidRPr="00AD3D53">
        <w:rPr>
          <w:rFonts w:ascii="Arial" w:hAnsi="Arial" w:cs="Arial"/>
          <w:sz w:val="24"/>
          <w:szCs w:val="24"/>
        </w:rPr>
        <w:t xml:space="preserve"> así como la declaratoria de desierto del recurso de apelación interpuesto por la Secretaría de Hacienda,</w:t>
      </w:r>
      <w:r w:rsidR="00703142" w:rsidRPr="00AD3D53">
        <w:rPr>
          <w:rFonts w:ascii="Arial" w:hAnsi="Arial" w:cs="Arial"/>
          <w:sz w:val="24"/>
          <w:szCs w:val="24"/>
        </w:rPr>
        <w:t xml:space="preserve"> deberá la Sala establecer si (</w:t>
      </w:r>
      <w:r w:rsidR="007A202A" w:rsidRPr="00AD3D53">
        <w:rPr>
          <w:rFonts w:ascii="Arial" w:hAnsi="Arial" w:cs="Arial"/>
          <w:sz w:val="24"/>
          <w:szCs w:val="24"/>
        </w:rPr>
        <w:t xml:space="preserve">1) </w:t>
      </w:r>
      <w:r w:rsidR="00556382" w:rsidRPr="00AD3D53">
        <w:rPr>
          <w:rFonts w:ascii="Arial" w:hAnsi="Arial" w:cs="Arial"/>
          <w:sz w:val="24"/>
          <w:szCs w:val="24"/>
        </w:rPr>
        <w:t xml:space="preserve">en relación con el dictamen elaborado por </w:t>
      </w:r>
      <w:r w:rsidR="007A202A" w:rsidRPr="00AD3D53">
        <w:rPr>
          <w:rFonts w:ascii="Arial" w:hAnsi="Arial" w:cs="Arial"/>
          <w:sz w:val="24"/>
          <w:szCs w:val="24"/>
        </w:rPr>
        <w:t>Luis Eduardo Carrillo Villamizar, se configura un error grave en los términos</w:t>
      </w:r>
      <w:r w:rsidR="00092306" w:rsidRPr="00AD3D53">
        <w:rPr>
          <w:rFonts w:ascii="Arial" w:hAnsi="Arial" w:cs="Arial"/>
          <w:sz w:val="24"/>
          <w:szCs w:val="24"/>
        </w:rPr>
        <w:t xml:space="preserve"> </w:t>
      </w:r>
      <w:r w:rsidR="007A202A" w:rsidRPr="00AD3D53">
        <w:rPr>
          <w:rFonts w:ascii="Arial" w:hAnsi="Arial" w:cs="Arial"/>
          <w:sz w:val="24"/>
          <w:szCs w:val="24"/>
        </w:rPr>
        <w:t>del Código de Procedimiento Civil</w:t>
      </w:r>
      <w:r w:rsidR="00586929" w:rsidRPr="00AD3D53">
        <w:rPr>
          <w:rFonts w:ascii="Arial" w:hAnsi="Arial" w:cs="Arial"/>
          <w:sz w:val="24"/>
          <w:szCs w:val="24"/>
        </w:rPr>
        <w:t xml:space="preserve"> (CPC)</w:t>
      </w:r>
      <w:r w:rsidR="007A202A" w:rsidRPr="00AD3D53">
        <w:rPr>
          <w:rFonts w:ascii="Arial" w:hAnsi="Arial" w:cs="Arial"/>
          <w:sz w:val="24"/>
          <w:szCs w:val="24"/>
        </w:rPr>
        <w:t xml:space="preserve"> y la jurisprudencia</w:t>
      </w:r>
      <w:r w:rsidR="0072798E" w:rsidRPr="00AD3D53">
        <w:rPr>
          <w:rFonts w:ascii="Arial" w:hAnsi="Arial" w:cs="Arial"/>
          <w:sz w:val="24"/>
          <w:szCs w:val="24"/>
        </w:rPr>
        <w:t xml:space="preserve"> y </w:t>
      </w:r>
      <w:r w:rsidR="00DA2DE2" w:rsidRPr="00AD3D53">
        <w:rPr>
          <w:rFonts w:ascii="Arial" w:hAnsi="Arial" w:cs="Arial"/>
          <w:sz w:val="24"/>
          <w:szCs w:val="24"/>
        </w:rPr>
        <w:t>(</w:t>
      </w:r>
      <w:r w:rsidR="0072798E" w:rsidRPr="00AD3D53">
        <w:rPr>
          <w:rFonts w:ascii="Arial" w:hAnsi="Arial" w:cs="Arial"/>
          <w:sz w:val="24"/>
          <w:szCs w:val="24"/>
        </w:rPr>
        <w:t>2) si el Tribunal acertó</w:t>
      </w:r>
      <w:r w:rsidR="007A202A" w:rsidRPr="00AD3D53">
        <w:rPr>
          <w:rFonts w:ascii="Arial" w:hAnsi="Arial" w:cs="Arial"/>
          <w:sz w:val="24"/>
          <w:szCs w:val="24"/>
        </w:rPr>
        <w:t xml:space="preserve"> al declarar no probada la objeción por error grave propuesta por la demandada.</w:t>
      </w:r>
    </w:p>
    <w:p w14:paraId="01216F79" w14:textId="77777777" w:rsidR="00092306" w:rsidRPr="00AD3D53" w:rsidRDefault="00092306" w:rsidP="00092306">
      <w:pPr>
        <w:spacing w:line="360" w:lineRule="auto"/>
        <w:contextualSpacing/>
        <w:jc w:val="both"/>
        <w:rPr>
          <w:rFonts w:ascii="Arial" w:hAnsi="Arial" w:cs="Arial"/>
          <w:sz w:val="24"/>
          <w:szCs w:val="24"/>
        </w:rPr>
      </w:pPr>
    </w:p>
    <w:p w14:paraId="7ABE171F" w14:textId="77777777" w:rsidR="00092306" w:rsidRPr="00AD3D53" w:rsidRDefault="00092306" w:rsidP="00092306">
      <w:pPr>
        <w:spacing w:line="360" w:lineRule="auto"/>
        <w:contextualSpacing/>
        <w:jc w:val="both"/>
        <w:rPr>
          <w:rFonts w:ascii="Arial" w:hAnsi="Arial" w:cs="Arial"/>
          <w:sz w:val="24"/>
          <w:szCs w:val="24"/>
        </w:rPr>
      </w:pPr>
      <w:r w:rsidRPr="00AD3D53">
        <w:rPr>
          <w:rFonts w:ascii="Arial" w:hAnsi="Arial" w:cs="Arial"/>
          <w:b/>
          <w:sz w:val="24"/>
          <w:szCs w:val="24"/>
        </w:rPr>
        <w:t>2.4</w:t>
      </w:r>
      <w:r w:rsidR="00695E99" w:rsidRPr="00AD3D53">
        <w:rPr>
          <w:rFonts w:ascii="Arial" w:hAnsi="Arial" w:cs="Arial"/>
          <w:b/>
          <w:sz w:val="24"/>
          <w:szCs w:val="24"/>
        </w:rPr>
        <w:t>. La</w:t>
      </w:r>
      <w:r w:rsidR="00E05F65" w:rsidRPr="00AD3D53">
        <w:rPr>
          <w:rFonts w:ascii="Arial" w:hAnsi="Arial" w:cs="Arial"/>
          <w:b/>
          <w:sz w:val="24"/>
          <w:szCs w:val="24"/>
        </w:rPr>
        <w:t xml:space="preserve"> prueba pericial y su</w:t>
      </w:r>
      <w:r w:rsidR="00695E99" w:rsidRPr="00AD3D53">
        <w:rPr>
          <w:rFonts w:ascii="Arial" w:hAnsi="Arial" w:cs="Arial"/>
          <w:b/>
          <w:sz w:val="24"/>
          <w:szCs w:val="24"/>
        </w:rPr>
        <w:t xml:space="preserve"> </w:t>
      </w:r>
    </w:p>
    <w:p w14:paraId="6989F9DF" w14:textId="77777777" w:rsidR="00EB08A3" w:rsidRPr="00D62B82" w:rsidRDefault="008102DA" w:rsidP="00EB08A3">
      <w:pPr>
        <w:spacing w:line="360" w:lineRule="auto"/>
        <w:jc w:val="both"/>
        <w:rPr>
          <w:rFonts w:ascii="Arial" w:hAnsi="Arial" w:cs="Arial"/>
          <w:sz w:val="24"/>
          <w:szCs w:val="24"/>
          <w:highlight w:val="yellow"/>
        </w:rPr>
      </w:pPr>
      <w:r w:rsidRPr="00D62B82">
        <w:rPr>
          <w:rFonts w:ascii="Arial" w:hAnsi="Arial" w:cs="Arial"/>
          <w:sz w:val="24"/>
          <w:szCs w:val="24"/>
          <w:highlight w:val="yellow"/>
        </w:rPr>
        <w:lastRenderedPageBreak/>
        <w:t xml:space="preserve">43. </w:t>
      </w:r>
      <w:bookmarkStart w:id="0" w:name="_Hlk18587400"/>
      <w:r w:rsidR="00EB08A3" w:rsidRPr="00D62B82">
        <w:rPr>
          <w:rFonts w:ascii="Arial" w:hAnsi="Arial" w:cs="Arial"/>
          <w:sz w:val="24"/>
          <w:szCs w:val="24"/>
          <w:highlight w:val="yellow"/>
        </w:rPr>
        <w:t>En los térm</w:t>
      </w:r>
      <w:r w:rsidR="0039507E" w:rsidRPr="00D62B82">
        <w:rPr>
          <w:rFonts w:ascii="Arial" w:hAnsi="Arial" w:cs="Arial"/>
          <w:sz w:val="24"/>
          <w:szCs w:val="24"/>
          <w:highlight w:val="yellow"/>
        </w:rPr>
        <w:t>inos del artículo 233</w:t>
      </w:r>
      <w:r w:rsidR="004167A2" w:rsidRPr="00D62B82">
        <w:rPr>
          <w:rFonts w:ascii="Arial" w:hAnsi="Arial" w:cs="Arial"/>
          <w:sz w:val="24"/>
          <w:szCs w:val="24"/>
          <w:highlight w:val="yellow"/>
        </w:rPr>
        <w:t xml:space="preserve"> d</w:t>
      </w:r>
      <w:r w:rsidR="00CF76A9" w:rsidRPr="00D62B82">
        <w:rPr>
          <w:rFonts w:ascii="Arial" w:hAnsi="Arial" w:cs="Arial"/>
          <w:sz w:val="24"/>
          <w:szCs w:val="24"/>
          <w:highlight w:val="yellow"/>
        </w:rPr>
        <w:t>el CPC</w:t>
      </w:r>
      <w:r w:rsidR="00722AE7" w:rsidRPr="00D62B82">
        <w:rPr>
          <w:rStyle w:val="Refdenotaalpie"/>
          <w:rFonts w:ascii="Arial" w:hAnsi="Arial" w:cs="Arial"/>
          <w:sz w:val="24"/>
          <w:szCs w:val="24"/>
          <w:highlight w:val="yellow"/>
        </w:rPr>
        <w:footnoteReference w:id="39"/>
      </w:r>
      <w:r w:rsidR="00EB08A3" w:rsidRPr="00D62B82">
        <w:rPr>
          <w:rFonts w:ascii="Arial" w:hAnsi="Arial" w:cs="Arial"/>
          <w:sz w:val="24"/>
          <w:szCs w:val="24"/>
          <w:highlight w:val="yellow"/>
        </w:rPr>
        <w:t>, la</w:t>
      </w:r>
      <w:r w:rsidR="00D54FB6" w:rsidRPr="00D62B82">
        <w:rPr>
          <w:rFonts w:ascii="Arial" w:hAnsi="Arial" w:cs="Arial"/>
          <w:sz w:val="24"/>
          <w:szCs w:val="24"/>
          <w:highlight w:val="yellow"/>
        </w:rPr>
        <w:t xml:space="preserve"> </w:t>
      </w:r>
      <w:bookmarkStart w:id="1" w:name="_Hlk18587378"/>
      <w:r w:rsidR="00D54FB6" w:rsidRPr="00D62B82">
        <w:rPr>
          <w:rFonts w:ascii="Arial" w:hAnsi="Arial" w:cs="Arial"/>
          <w:sz w:val="24"/>
          <w:szCs w:val="24"/>
          <w:highlight w:val="yellow"/>
        </w:rPr>
        <w:t xml:space="preserve">prueba pericial </w:t>
      </w:r>
      <w:bookmarkEnd w:id="1"/>
      <w:r w:rsidR="00D54FB6" w:rsidRPr="00D62B82">
        <w:rPr>
          <w:rFonts w:ascii="Arial" w:hAnsi="Arial" w:cs="Arial"/>
          <w:sz w:val="24"/>
          <w:szCs w:val="24"/>
          <w:highlight w:val="yellow"/>
        </w:rPr>
        <w:t>procede en aque</w:t>
      </w:r>
      <w:r w:rsidR="00EB08A3" w:rsidRPr="00D62B82">
        <w:rPr>
          <w:rFonts w:ascii="Arial" w:hAnsi="Arial" w:cs="Arial"/>
          <w:sz w:val="24"/>
          <w:szCs w:val="24"/>
          <w:highlight w:val="yellow"/>
        </w:rPr>
        <w:t>llos casos en que se necesiten especiales conocimientos científicos, técnicos o artísticos, para verificar ciertos hechos que interesan al proceso.</w:t>
      </w:r>
      <w:r w:rsidR="004646E2" w:rsidRPr="00D62B82">
        <w:rPr>
          <w:rFonts w:ascii="Arial" w:hAnsi="Arial" w:cs="Arial"/>
          <w:sz w:val="24"/>
          <w:szCs w:val="24"/>
          <w:highlight w:val="yellow"/>
        </w:rPr>
        <w:t xml:space="preserve"> </w:t>
      </w:r>
    </w:p>
    <w:bookmarkEnd w:id="0"/>
    <w:p w14:paraId="6D43BDE5" w14:textId="77777777" w:rsidR="00EB08A3" w:rsidRPr="00D62B82" w:rsidRDefault="00EB08A3" w:rsidP="00EB08A3">
      <w:pPr>
        <w:spacing w:line="360" w:lineRule="auto"/>
        <w:jc w:val="both"/>
        <w:rPr>
          <w:rFonts w:ascii="Arial" w:hAnsi="Arial" w:cs="Arial"/>
          <w:sz w:val="24"/>
          <w:szCs w:val="24"/>
          <w:highlight w:val="yellow"/>
        </w:rPr>
      </w:pPr>
    </w:p>
    <w:p w14:paraId="5AD8EAE2" w14:textId="77777777" w:rsidR="00EB08A3" w:rsidRPr="00AD3D53" w:rsidRDefault="008102DA" w:rsidP="00EB08A3">
      <w:pPr>
        <w:spacing w:line="360" w:lineRule="auto"/>
        <w:jc w:val="both"/>
        <w:rPr>
          <w:rFonts w:ascii="Arial" w:hAnsi="Arial" w:cs="Arial"/>
          <w:sz w:val="24"/>
          <w:szCs w:val="24"/>
        </w:rPr>
      </w:pPr>
      <w:r w:rsidRPr="00D62B82">
        <w:rPr>
          <w:rFonts w:ascii="Arial" w:hAnsi="Arial" w:cs="Arial"/>
          <w:sz w:val="24"/>
          <w:szCs w:val="24"/>
          <w:highlight w:val="yellow"/>
        </w:rPr>
        <w:t>44</w:t>
      </w:r>
      <w:bookmarkStart w:id="2" w:name="_Hlk18587486"/>
      <w:r w:rsidRPr="00D62B82">
        <w:rPr>
          <w:rFonts w:ascii="Arial" w:hAnsi="Arial" w:cs="Arial"/>
          <w:sz w:val="24"/>
          <w:szCs w:val="24"/>
          <w:highlight w:val="yellow"/>
        </w:rPr>
        <w:t xml:space="preserve">. </w:t>
      </w:r>
      <w:r w:rsidR="000E0C72" w:rsidRPr="00D62B82">
        <w:rPr>
          <w:rFonts w:ascii="Arial" w:hAnsi="Arial" w:cs="Arial"/>
          <w:sz w:val="24"/>
          <w:szCs w:val="24"/>
          <w:highlight w:val="yellow"/>
        </w:rPr>
        <w:t>Sobre la apreciación del dictamen, el artículo 241 d</w:t>
      </w:r>
      <w:r w:rsidR="00FD2BBC" w:rsidRPr="00D62B82">
        <w:rPr>
          <w:rFonts w:ascii="Arial" w:hAnsi="Arial" w:cs="Arial"/>
          <w:sz w:val="24"/>
          <w:szCs w:val="24"/>
          <w:highlight w:val="yellow"/>
        </w:rPr>
        <w:t>el CPC</w:t>
      </w:r>
      <w:r w:rsidR="000E0C72" w:rsidRPr="00D62B82">
        <w:rPr>
          <w:rFonts w:ascii="Arial" w:hAnsi="Arial" w:cs="Arial"/>
          <w:sz w:val="24"/>
          <w:szCs w:val="24"/>
          <w:highlight w:val="yellow"/>
        </w:rPr>
        <w:t xml:space="preserve"> establece que e</w:t>
      </w:r>
      <w:r w:rsidR="00EB08A3" w:rsidRPr="00D62B82">
        <w:rPr>
          <w:rFonts w:ascii="Arial" w:hAnsi="Arial" w:cs="Arial"/>
          <w:sz w:val="24"/>
          <w:szCs w:val="24"/>
          <w:highlight w:val="yellow"/>
        </w:rPr>
        <w:t>l juez</w:t>
      </w:r>
      <w:r w:rsidR="005853F4" w:rsidRPr="00D62B82">
        <w:rPr>
          <w:rFonts w:ascii="Arial" w:hAnsi="Arial" w:cs="Arial"/>
          <w:sz w:val="24"/>
          <w:szCs w:val="24"/>
          <w:highlight w:val="yellow"/>
        </w:rPr>
        <w:t xml:space="preserve"> debe valorar el dictamen pericial</w:t>
      </w:r>
      <w:r w:rsidR="00EB08A3" w:rsidRPr="00D62B82">
        <w:rPr>
          <w:rFonts w:ascii="Arial" w:hAnsi="Arial" w:cs="Arial"/>
          <w:sz w:val="24"/>
          <w:szCs w:val="24"/>
          <w:highlight w:val="yellow"/>
        </w:rPr>
        <w:t xml:space="preserve"> a la luz de la sana crítica y las reglas de la experiencia, con el fin de acogerlo total o parcial</w:t>
      </w:r>
      <w:r w:rsidR="002F4476" w:rsidRPr="00D62B82">
        <w:rPr>
          <w:rFonts w:ascii="Arial" w:hAnsi="Arial" w:cs="Arial"/>
          <w:sz w:val="24"/>
          <w:szCs w:val="24"/>
          <w:highlight w:val="yellow"/>
        </w:rPr>
        <w:t>mente</w:t>
      </w:r>
      <w:r w:rsidR="006F5B31" w:rsidRPr="00D62B82">
        <w:rPr>
          <w:rFonts w:ascii="Arial" w:hAnsi="Arial" w:cs="Arial"/>
          <w:sz w:val="24"/>
          <w:szCs w:val="24"/>
          <w:highlight w:val="yellow"/>
        </w:rPr>
        <w:t>.</w:t>
      </w:r>
      <w:r w:rsidR="002F4476" w:rsidRPr="00D62B82">
        <w:rPr>
          <w:rFonts w:ascii="Arial" w:hAnsi="Arial" w:cs="Arial"/>
          <w:sz w:val="24"/>
          <w:szCs w:val="24"/>
          <w:highlight w:val="yellow"/>
        </w:rPr>
        <w:t xml:space="preserve"> De igual manera, el juez puede desechar los resultados del dictamen pericial,</w:t>
      </w:r>
      <w:r w:rsidR="00EB08A3" w:rsidRPr="00D62B82">
        <w:rPr>
          <w:rFonts w:ascii="Arial" w:hAnsi="Arial" w:cs="Arial"/>
          <w:sz w:val="24"/>
          <w:szCs w:val="24"/>
          <w:highlight w:val="yellow"/>
        </w:rPr>
        <w:t xml:space="preserve"> siempre que no sea claro, preciso y detallado y no reúna las condiciones para adquir</w:t>
      </w:r>
      <w:r w:rsidR="003F4282" w:rsidRPr="00D62B82">
        <w:rPr>
          <w:rFonts w:ascii="Arial" w:hAnsi="Arial" w:cs="Arial"/>
          <w:sz w:val="24"/>
          <w:szCs w:val="24"/>
          <w:highlight w:val="yellow"/>
        </w:rPr>
        <w:t>ir eficacia probatoria, condiciones que consisten en</w:t>
      </w:r>
      <w:r w:rsidR="006C1523" w:rsidRPr="00D62B82">
        <w:rPr>
          <w:rFonts w:ascii="Arial" w:hAnsi="Arial" w:cs="Arial"/>
          <w:sz w:val="24"/>
          <w:szCs w:val="24"/>
          <w:highlight w:val="yellow"/>
        </w:rPr>
        <w:t>:</w:t>
      </w:r>
      <w:r w:rsidR="00EB08A3" w:rsidRPr="00D62B82">
        <w:rPr>
          <w:rFonts w:ascii="Arial" w:hAnsi="Arial" w:cs="Arial"/>
          <w:sz w:val="24"/>
          <w:szCs w:val="24"/>
          <w:highlight w:val="yellow"/>
        </w:rPr>
        <w:t xml:space="preserve"> </w:t>
      </w:r>
      <w:r w:rsidR="00831EC5" w:rsidRPr="00D62B82">
        <w:rPr>
          <w:rFonts w:ascii="Arial" w:hAnsi="Arial" w:cs="Arial"/>
          <w:sz w:val="24"/>
          <w:szCs w:val="24"/>
          <w:highlight w:val="yellow"/>
        </w:rPr>
        <w:t>(</w:t>
      </w:r>
      <w:r w:rsidR="006C1523" w:rsidRPr="00D62B82">
        <w:rPr>
          <w:rFonts w:ascii="Arial" w:hAnsi="Arial" w:cs="Arial"/>
          <w:sz w:val="24"/>
          <w:szCs w:val="24"/>
          <w:highlight w:val="yellow"/>
        </w:rPr>
        <w:t xml:space="preserve">1) </w:t>
      </w:r>
      <w:r w:rsidR="00EB08A3" w:rsidRPr="00D62B82">
        <w:rPr>
          <w:rFonts w:ascii="Arial" w:hAnsi="Arial" w:cs="Arial"/>
          <w:sz w:val="24"/>
          <w:szCs w:val="24"/>
          <w:highlight w:val="yellow"/>
        </w:rPr>
        <w:t xml:space="preserve">la conducencia en relación con el hecho por probar; </w:t>
      </w:r>
      <w:r w:rsidR="00831EC5" w:rsidRPr="00D62B82">
        <w:rPr>
          <w:rFonts w:ascii="Arial" w:hAnsi="Arial" w:cs="Arial"/>
          <w:sz w:val="24"/>
          <w:szCs w:val="24"/>
          <w:highlight w:val="yellow"/>
        </w:rPr>
        <w:t>(</w:t>
      </w:r>
      <w:r w:rsidR="00203A26" w:rsidRPr="00D62B82">
        <w:rPr>
          <w:rFonts w:ascii="Arial" w:hAnsi="Arial" w:cs="Arial"/>
          <w:sz w:val="24"/>
          <w:szCs w:val="24"/>
          <w:highlight w:val="yellow"/>
        </w:rPr>
        <w:t xml:space="preserve">2) </w:t>
      </w:r>
      <w:r w:rsidR="00EB08A3" w:rsidRPr="00D62B82">
        <w:rPr>
          <w:rFonts w:ascii="Arial" w:hAnsi="Arial" w:cs="Arial"/>
          <w:sz w:val="24"/>
          <w:szCs w:val="24"/>
          <w:highlight w:val="yellow"/>
        </w:rPr>
        <w:t xml:space="preserve">que el perito sea competente, es decir, un verdadero experto para el desempeño del cargo; </w:t>
      </w:r>
      <w:r w:rsidR="00831EC5" w:rsidRPr="00D62B82">
        <w:rPr>
          <w:rFonts w:ascii="Arial" w:hAnsi="Arial" w:cs="Arial"/>
          <w:sz w:val="24"/>
          <w:szCs w:val="24"/>
          <w:highlight w:val="yellow"/>
        </w:rPr>
        <w:t>(</w:t>
      </w:r>
      <w:r w:rsidR="00CC3250" w:rsidRPr="00D62B82">
        <w:rPr>
          <w:rFonts w:ascii="Arial" w:hAnsi="Arial" w:cs="Arial"/>
          <w:sz w:val="24"/>
          <w:szCs w:val="24"/>
          <w:highlight w:val="yellow"/>
        </w:rPr>
        <w:t xml:space="preserve">3) </w:t>
      </w:r>
      <w:r w:rsidR="00EB08A3" w:rsidRPr="00D62B82">
        <w:rPr>
          <w:rFonts w:ascii="Arial" w:hAnsi="Arial" w:cs="Arial"/>
          <w:sz w:val="24"/>
          <w:szCs w:val="24"/>
          <w:highlight w:val="yellow"/>
        </w:rPr>
        <w:t>que no exista un mot</w:t>
      </w:r>
      <w:r w:rsidR="00A16146" w:rsidRPr="00D62B82">
        <w:rPr>
          <w:rFonts w:ascii="Arial" w:hAnsi="Arial" w:cs="Arial"/>
          <w:sz w:val="24"/>
          <w:szCs w:val="24"/>
          <w:highlight w:val="yellow"/>
        </w:rPr>
        <w:t>ivo serio para dudar de la</w:t>
      </w:r>
      <w:r w:rsidR="00EB08A3" w:rsidRPr="00D62B82">
        <w:rPr>
          <w:rFonts w:ascii="Arial" w:hAnsi="Arial" w:cs="Arial"/>
          <w:sz w:val="24"/>
          <w:szCs w:val="24"/>
          <w:highlight w:val="yellow"/>
        </w:rPr>
        <w:t xml:space="preserve"> imparcialidad</w:t>
      </w:r>
      <w:r w:rsidR="00A16146" w:rsidRPr="00D62B82">
        <w:rPr>
          <w:rFonts w:ascii="Arial" w:hAnsi="Arial" w:cs="Arial"/>
          <w:sz w:val="24"/>
          <w:szCs w:val="24"/>
          <w:highlight w:val="yellow"/>
        </w:rPr>
        <w:t xml:space="preserve"> del perito</w:t>
      </w:r>
      <w:r w:rsidR="00EB08A3" w:rsidRPr="00D62B82">
        <w:rPr>
          <w:rFonts w:ascii="Arial" w:hAnsi="Arial" w:cs="Arial"/>
          <w:sz w:val="24"/>
          <w:szCs w:val="24"/>
          <w:highlight w:val="yellow"/>
        </w:rPr>
        <w:t xml:space="preserve">; </w:t>
      </w:r>
      <w:r w:rsidR="00CC3574" w:rsidRPr="00D62B82">
        <w:rPr>
          <w:rFonts w:ascii="Arial" w:hAnsi="Arial" w:cs="Arial"/>
          <w:sz w:val="24"/>
          <w:szCs w:val="24"/>
          <w:highlight w:val="yellow"/>
        </w:rPr>
        <w:t>(</w:t>
      </w:r>
      <w:r w:rsidR="004827A9" w:rsidRPr="00D62B82">
        <w:rPr>
          <w:rFonts w:ascii="Arial" w:hAnsi="Arial" w:cs="Arial"/>
          <w:sz w:val="24"/>
          <w:szCs w:val="24"/>
          <w:highlight w:val="yellow"/>
        </w:rPr>
        <w:t xml:space="preserve">4) </w:t>
      </w:r>
      <w:r w:rsidR="00EB08A3" w:rsidRPr="00D62B82">
        <w:rPr>
          <w:rFonts w:ascii="Arial" w:hAnsi="Arial" w:cs="Arial"/>
          <w:sz w:val="24"/>
          <w:szCs w:val="24"/>
          <w:highlight w:val="yellow"/>
        </w:rPr>
        <w:t>que el dictamen esté debidamente fundamentado y sus conclusiones sean claras</w:t>
      </w:r>
      <w:r w:rsidR="005B7C77" w:rsidRPr="00D62B82">
        <w:rPr>
          <w:rFonts w:ascii="Arial" w:hAnsi="Arial" w:cs="Arial"/>
          <w:sz w:val="24"/>
          <w:szCs w:val="24"/>
          <w:highlight w:val="yellow"/>
        </w:rPr>
        <w:t>,</w:t>
      </w:r>
      <w:r w:rsidR="00EB08A3" w:rsidRPr="00D62B82">
        <w:rPr>
          <w:rFonts w:ascii="Arial" w:hAnsi="Arial" w:cs="Arial"/>
          <w:sz w:val="24"/>
          <w:szCs w:val="24"/>
          <w:highlight w:val="yellow"/>
        </w:rPr>
        <w:t xml:space="preserve"> firmes y </w:t>
      </w:r>
      <w:r w:rsidR="00A21EB3" w:rsidRPr="00D62B82">
        <w:rPr>
          <w:rFonts w:ascii="Arial" w:hAnsi="Arial" w:cs="Arial"/>
          <w:sz w:val="24"/>
          <w:szCs w:val="24"/>
          <w:highlight w:val="yellow"/>
        </w:rPr>
        <w:t xml:space="preserve">sean </w:t>
      </w:r>
      <w:r w:rsidR="00EB08A3" w:rsidRPr="00D62B82">
        <w:rPr>
          <w:rFonts w:ascii="Arial" w:hAnsi="Arial" w:cs="Arial"/>
          <w:sz w:val="24"/>
          <w:szCs w:val="24"/>
          <w:highlight w:val="yellow"/>
        </w:rPr>
        <w:t xml:space="preserve">consecuencia de las razones expuestas; </w:t>
      </w:r>
      <w:r w:rsidR="00CC3574" w:rsidRPr="00D62B82">
        <w:rPr>
          <w:rFonts w:ascii="Arial" w:hAnsi="Arial" w:cs="Arial"/>
          <w:sz w:val="24"/>
          <w:szCs w:val="24"/>
          <w:highlight w:val="yellow"/>
        </w:rPr>
        <w:t>(</w:t>
      </w:r>
      <w:r w:rsidR="001A49D7" w:rsidRPr="00D62B82">
        <w:rPr>
          <w:rFonts w:ascii="Arial" w:hAnsi="Arial" w:cs="Arial"/>
          <w:sz w:val="24"/>
          <w:szCs w:val="24"/>
          <w:highlight w:val="yellow"/>
        </w:rPr>
        <w:t xml:space="preserve">5) </w:t>
      </w:r>
      <w:r w:rsidR="00EB08A3" w:rsidRPr="00D62B82">
        <w:rPr>
          <w:rFonts w:ascii="Arial" w:hAnsi="Arial" w:cs="Arial"/>
          <w:sz w:val="24"/>
          <w:szCs w:val="24"/>
          <w:highlight w:val="yellow"/>
        </w:rPr>
        <w:t>que</w:t>
      </w:r>
      <w:r w:rsidR="000F5925" w:rsidRPr="00D62B82">
        <w:rPr>
          <w:rFonts w:ascii="Arial" w:hAnsi="Arial" w:cs="Arial"/>
          <w:sz w:val="24"/>
          <w:szCs w:val="24"/>
          <w:highlight w:val="yellow"/>
        </w:rPr>
        <w:t xml:space="preserve"> la prueba</w:t>
      </w:r>
      <w:r w:rsidR="00EB08A3" w:rsidRPr="00D62B82">
        <w:rPr>
          <w:rFonts w:ascii="Arial" w:hAnsi="Arial" w:cs="Arial"/>
          <w:sz w:val="24"/>
          <w:szCs w:val="24"/>
          <w:highlight w:val="yellow"/>
        </w:rPr>
        <w:t xml:space="preserve"> haya sur</w:t>
      </w:r>
      <w:r w:rsidR="007806EA" w:rsidRPr="00D62B82">
        <w:rPr>
          <w:rFonts w:ascii="Arial" w:hAnsi="Arial" w:cs="Arial"/>
          <w:sz w:val="24"/>
          <w:szCs w:val="24"/>
          <w:highlight w:val="yellow"/>
        </w:rPr>
        <w:t>tido contradicción</w:t>
      </w:r>
      <w:r w:rsidR="00EB08A3" w:rsidRPr="00D62B82">
        <w:rPr>
          <w:rFonts w:ascii="Arial" w:hAnsi="Arial" w:cs="Arial"/>
          <w:sz w:val="24"/>
          <w:szCs w:val="24"/>
          <w:highlight w:val="yellow"/>
        </w:rPr>
        <w:t>.</w:t>
      </w:r>
      <w:r w:rsidR="007806EA" w:rsidRPr="00D62B82">
        <w:rPr>
          <w:rFonts w:ascii="Arial" w:hAnsi="Arial" w:cs="Arial"/>
          <w:sz w:val="24"/>
          <w:szCs w:val="24"/>
          <w:highlight w:val="yellow"/>
        </w:rPr>
        <w:t xml:space="preserve"> Así mismo,</w:t>
      </w:r>
      <w:r w:rsidR="00FB6A85" w:rsidRPr="00D62B82">
        <w:rPr>
          <w:rFonts w:ascii="Arial" w:hAnsi="Arial" w:cs="Arial"/>
          <w:sz w:val="24"/>
          <w:szCs w:val="24"/>
          <w:highlight w:val="yellow"/>
        </w:rPr>
        <w:t xml:space="preserve"> el juez</w:t>
      </w:r>
      <w:r w:rsidR="007806EA" w:rsidRPr="00D62B82">
        <w:rPr>
          <w:rFonts w:ascii="Arial" w:hAnsi="Arial" w:cs="Arial"/>
          <w:sz w:val="24"/>
          <w:szCs w:val="24"/>
          <w:highlight w:val="yellow"/>
        </w:rPr>
        <w:t xml:space="preserve"> debe tener en cuenta los demás medios probatorios que obren en el proceso</w:t>
      </w:r>
      <w:r w:rsidR="007806EA" w:rsidRPr="00AD3D53">
        <w:rPr>
          <w:rFonts w:ascii="Arial" w:hAnsi="Arial" w:cs="Arial"/>
          <w:sz w:val="24"/>
          <w:szCs w:val="24"/>
        </w:rPr>
        <w:t>.</w:t>
      </w:r>
    </w:p>
    <w:bookmarkEnd w:id="2"/>
    <w:p w14:paraId="4EB7C122" w14:textId="77777777" w:rsidR="00EB08A3" w:rsidRPr="00AD3D53" w:rsidRDefault="00EB08A3" w:rsidP="00EB08A3">
      <w:pPr>
        <w:spacing w:line="360" w:lineRule="auto"/>
        <w:jc w:val="both"/>
        <w:rPr>
          <w:rFonts w:ascii="Arial" w:hAnsi="Arial" w:cs="Arial"/>
          <w:sz w:val="24"/>
          <w:szCs w:val="24"/>
        </w:rPr>
      </w:pPr>
    </w:p>
    <w:p w14:paraId="7A7917CE" w14:textId="77777777" w:rsidR="00EB08A3" w:rsidRPr="00AD3D53" w:rsidRDefault="008102DA" w:rsidP="00EB08A3">
      <w:pPr>
        <w:pStyle w:val="Textodebloque1"/>
        <w:spacing w:line="360" w:lineRule="auto"/>
        <w:ind w:left="0" w:firstLine="0"/>
        <w:rPr>
          <w:rFonts w:ascii="Arial" w:hAnsi="Arial" w:cs="Arial"/>
          <w:i w:val="0"/>
          <w:szCs w:val="24"/>
          <w:lang w:val="es-ES_tradnl"/>
        </w:rPr>
      </w:pPr>
      <w:r w:rsidRPr="00AD3D53">
        <w:rPr>
          <w:rFonts w:ascii="Arial" w:hAnsi="Arial" w:cs="Arial"/>
          <w:i w:val="0"/>
          <w:szCs w:val="24"/>
          <w:lang w:val="es-ES_tradnl"/>
        </w:rPr>
        <w:t>45.</w:t>
      </w:r>
      <w:r w:rsidR="006752E7" w:rsidRPr="00AD3D53">
        <w:rPr>
          <w:rFonts w:ascii="Arial" w:hAnsi="Arial" w:cs="Arial"/>
          <w:i w:val="0"/>
          <w:szCs w:val="24"/>
          <w:lang w:val="es-ES_tradnl"/>
        </w:rPr>
        <w:t xml:space="preserve"> De</w:t>
      </w:r>
      <w:r w:rsidR="00EB08A3" w:rsidRPr="00AD3D53">
        <w:rPr>
          <w:rFonts w:ascii="Arial" w:hAnsi="Arial" w:cs="Arial"/>
          <w:i w:val="0"/>
          <w:szCs w:val="24"/>
          <w:lang w:val="es-ES_tradnl"/>
        </w:rPr>
        <w:t xml:space="preserve"> conformidad con</w:t>
      </w:r>
      <w:r w:rsidR="00744788" w:rsidRPr="00AD3D53">
        <w:rPr>
          <w:rFonts w:ascii="Arial" w:hAnsi="Arial" w:cs="Arial"/>
          <w:i w:val="0"/>
          <w:szCs w:val="24"/>
          <w:lang w:val="es-ES_tradnl"/>
        </w:rPr>
        <w:t xml:space="preserve"> el numeral 4</w:t>
      </w:r>
      <w:r w:rsidR="00CD73C2" w:rsidRPr="00AD3D53">
        <w:rPr>
          <w:rFonts w:ascii="Arial" w:hAnsi="Arial" w:cs="Arial"/>
          <w:i w:val="0"/>
          <w:szCs w:val="24"/>
          <w:lang w:val="es-ES_tradnl"/>
        </w:rPr>
        <w:t xml:space="preserve"> del artículo 238 d</w:t>
      </w:r>
      <w:r w:rsidR="008F1326" w:rsidRPr="00AD3D53">
        <w:rPr>
          <w:rFonts w:ascii="Arial" w:hAnsi="Arial" w:cs="Arial"/>
          <w:i w:val="0"/>
          <w:szCs w:val="24"/>
          <w:lang w:val="es-ES_tradnl"/>
        </w:rPr>
        <w:t>el CPC</w:t>
      </w:r>
      <w:r w:rsidR="00EB08A3" w:rsidRPr="00AD3D53">
        <w:rPr>
          <w:rFonts w:ascii="Arial" w:hAnsi="Arial" w:cs="Arial"/>
          <w:i w:val="0"/>
          <w:szCs w:val="24"/>
          <w:lang w:val="es-ES_tradnl"/>
        </w:rPr>
        <w:t>, cualquiera de las partes de un proceso judicial puede hacer manifiesto su desacuerdo con el trabajo del experto y señalar los motivos por los cuales considera que el dictamen se equivocó de manera grave</w:t>
      </w:r>
      <w:r w:rsidR="00744788" w:rsidRPr="00AD3D53">
        <w:rPr>
          <w:rFonts w:ascii="Arial" w:hAnsi="Arial" w:cs="Arial"/>
          <w:i w:val="0"/>
          <w:szCs w:val="24"/>
          <w:lang w:val="es-ES_tradnl"/>
        </w:rPr>
        <w:t>.</w:t>
      </w:r>
    </w:p>
    <w:p w14:paraId="12932D9A" w14:textId="77777777" w:rsidR="00EB08A3" w:rsidRPr="00AD3D53" w:rsidRDefault="00EB08A3" w:rsidP="00EB08A3">
      <w:pPr>
        <w:pStyle w:val="Textodebloque1"/>
        <w:spacing w:line="360" w:lineRule="auto"/>
        <w:ind w:left="0" w:firstLine="0"/>
        <w:rPr>
          <w:rFonts w:ascii="Arial" w:hAnsi="Arial" w:cs="Arial"/>
          <w:i w:val="0"/>
          <w:szCs w:val="24"/>
          <w:lang w:val="es-ES_tradnl"/>
        </w:rPr>
      </w:pPr>
    </w:p>
    <w:p w14:paraId="334938D9" w14:textId="77777777" w:rsidR="00EB08A3" w:rsidRPr="00AD3D53" w:rsidRDefault="008102DA" w:rsidP="00EB08A3">
      <w:pPr>
        <w:spacing w:line="360" w:lineRule="auto"/>
        <w:jc w:val="both"/>
        <w:rPr>
          <w:rFonts w:ascii="Arial" w:hAnsi="Arial" w:cs="Arial"/>
          <w:sz w:val="24"/>
          <w:szCs w:val="24"/>
        </w:rPr>
      </w:pPr>
      <w:r w:rsidRPr="00AD3D53">
        <w:rPr>
          <w:rFonts w:ascii="Arial" w:hAnsi="Arial" w:cs="Arial"/>
          <w:sz w:val="24"/>
          <w:szCs w:val="24"/>
        </w:rPr>
        <w:t xml:space="preserve">46. </w:t>
      </w:r>
      <w:bookmarkStart w:id="3" w:name="_Hlk18589625"/>
      <w:r w:rsidR="00C41363" w:rsidRPr="00AD3D53">
        <w:rPr>
          <w:rFonts w:ascii="Arial" w:hAnsi="Arial" w:cs="Arial"/>
          <w:sz w:val="24"/>
          <w:szCs w:val="24"/>
        </w:rPr>
        <w:t>P</w:t>
      </w:r>
      <w:r w:rsidR="006609B4" w:rsidRPr="00AD3D53">
        <w:rPr>
          <w:rFonts w:ascii="Arial" w:hAnsi="Arial" w:cs="Arial"/>
          <w:sz w:val="24"/>
          <w:szCs w:val="24"/>
        </w:rPr>
        <w:t>ara que se configure el error grave</w:t>
      </w:r>
      <w:r w:rsidR="00EB08A3" w:rsidRPr="00AD3D53">
        <w:rPr>
          <w:rFonts w:ascii="Arial" w:hAnsi="Arial" w:cs="Arial"/>
          <w:sz w:val="24"/>
          <w:szCs w:val="24"/>
        </w:rPr>
        <w:t xml:space="preserve"> en el dictamen pericial se requiere de una equivocación que pueda llevar tal calific</w:t>
      </w:r>
      <w:r w:rsidR="002E537B" w:rsidRPr="00AD3D53">
        <w:rPr>
          <w:rFonts w:ascii="Arial" w:hAnsi="Arial" w:cs="Arial"/>
          <w:sz w:val="24"/>
          <w:szCs w:val="24"/>
        </w:rPr>
        <w:t>ativo, es decir,</w:t>
      </w:r>
      <w:r w:rsidR="00C20A8B" w:rsidRPr="00AD3D53">
        <w:rPr>
          <w:rFonts w:ascii="Arial" w:hAnsi="Arial" w:cs="Arial"/>
          <w:sz w:val="24"/>
          <w:szCs w:val="24"/>
        </w:rPr>
        <w:t xml:space="preserve"> una falla o equivocación</w:t>
      </w:r>
      <w:r w:rsidR="009B5274" w:rsidRPr="00AD3D53">
        <w:rPr>
          <w:rFonts w:ascii="Arial" w:hAnsi="Arial" w:cs="Arial"/>
          <w:sz w:val="24"/>
          <w:szCs w:val="24"/>
        </w:rPr>
        <w:t xml:space="preserve"> con</w:t>
      </w:r>
      <w:r w:rsidR="00E02717" w:rsidRPr="00AD3D53">
        <w:rPr>
          <w:rFonts w:ascii="Arial" w:hAnsi="Arial" w:cs="Arial"/>
          <w:sz w:val="24"/>
          <w:szCs w:val="24"/>
        </w:rPr>
        <w:t xml:space="preserve"> la</w:t>
      </w:r>
      <w:r w:rsidR="00EB08A3" w:rsidRPr="00AD3D53">
        <w:rPr>
          <w:rFonts w:ascii="Arial" w:hAnsi="Arial" w:cs="Arial"/>
          <w:sz w:val="24"/>
          <w:szCs w:val="24"/>
        </w:rPr>
        <w:t xml:space="preserve"> entidad suficiente para llegar a conclusiones igualmente equivocadas, tal y</w:t>
      </w:r>
      <w:r w:rsidR="00203402" w:rsidRPr="00AD3D53">
        <w:rPr>
          <w:rFonts w:ascii="Arial" w:hAnsi="Arial" w:cs="Arial"/>
          <w:sz w:val="24"/>
          <w:szCs w:val="24"/>
        </w:rPr>
        <w:t xml:space="preserve"> como lo exigen los numerales 4 y 5 del artículo 238 d</w:t>
      </w:r>
      <w:r w:rsidR="00953A22" w:rsidRPr="00AD3D53">
        <w:rPr>
          <w:rFonts w:ascii="Arial" w:hAnsi="Arial" w:cs="Arial"/>
          <w:sz w:val="24"/>
          <w:szCs w:val="24"/>
        </w:rPr>
        <w:t>el CPC</w:t>
      </w:r>
      <w:r w:rsidR="00EB08A3" w:rsidRPr="00AD3D53">
        <w:rPr>
          <w:rFonts w:ascii="Arial" w:hAnsi="Arial" w:cs="Arial"/>
          <w:sz w:val="24"/>
          <w:szCs w:val="24"/>
        </w:rPr>
        <w:t xml:space="preserve">. </w:t>
      </w:r>
    </w:p>
    <w:p w14:paraId="1B16B6C0" w14:textId="77777777" w:rsidR="00EB08A3" w:rsidRPr="00AD3D53" w:rsidRDefault="00EB08A3" w:rsidP="00EB08A3">
      <w:pPr>
        <w:pStyle w:val="Ttulo2CdeE"/>
        <w:ind w:left="0" w:firstLine="0"/>
        <w:rPr>
          <w:rFonts w:cs="Arial"/>
          <w:b w:val="0"/>
          <w:bCs/>
          <w:szCs w:val="24"/>
          <w:lang w:val="es-CO"/>
        </w:rPr>
      </w:pPr>
    </w:p>
    <w:p w14:paraId="516D9607" w14:textId="77777777" w:rsidR="00EB08A3" w:rsidRPr="00AD3D53" w:rsidRDefault="00D60457" w:rsidP="00EB08A3">
      <w:pPr>
        <w:pStyle w:val="Ttulo2CdeE"/>
        <w:ind w:left="0" w:firstLine="0"/>
        <w:rPr>
          <w:rFonts w:cs="Arial"/>
          <w:b w:val="0"/>
          <w:bCs/>
          <w:szCs w:val="24"/>
          <w:lang w:val="es-CO"/>
        </w:rPr>
      </w:pPr>
      <w:r w:rsidRPr="00AD3D53">
        <w:rPr>
          <w:rFonts w:cs="Arial"/>
          <w:b w:val="0"/>
          <w:bCs/>
          <w:szCs w:val="24"/>
          <w:lang w:val="es-CO"/>
        </w:rPr>
        <w:t xml:space="preserve">47. </w:t>
      </w:r>
      <w:r w:rsidR="00EB08A3" w:rsidRPr="00AD3D53">
        <w:rPr>
          <w:rFonts w:cs="Arial"/>
          <w:b w:val="0"/>
          <w:bCs/>
          <w:szCs w:val="24"/>
          <w:lang w:val="es-CO"/>
        </w:rPr>
        <w:t>Ahora, la prosperidad de la objeción</w:t>
      </w:r>
      <w:r w:rsidR="00E72F26" w:rsidRPr="00AD3D53">
        <w:rPr>
          <w:rFonts w:cs="Arial"/>
          <w:b w:val="0"/>
          <w:bCs/>
          <w:szCs w:val="24"/>
          <w:lang w:val="es-CO"/>
        </w:rPr>
        <w:t xml:space="preserve"> por error grave</w:t>
      </w:r>
      <w:r w:rsidR="00EB08A3" w:rsidRPr="00AD3D53">
        <w:rPr>
          <w:rFonts w:cs="Arial"/>
          <w:b w:val="0"/>
          <w:bCs/>
          <w:szCs w:val="24"/>
          <w:lang w:val="es-CO"/>
        </w:rPr>
        <w:t xml:space="preserve"> supone que el objetante acredite las circunstancias qu</w:t>
      </w:r>
      <w:r w:rsidR="004F704B" w:rsidRPr="00AD3D53">
        <w:rPr>
          <w:rFonts w:cs="Arial"/>
          <w:b w:val="0"/>
          <w:bCs/>
          <w:szCs w:val="24"/>
          <w:lang w:val="es-CO"/>
        </w:rPr>
        <w:t>e,</w:t>
      </w:r>
      <w:r w:rsidR="004255EB" w:rsidRPr="00AD3D53">
        <w:rPr>
          <w:rFonts w:cs="Arial"/>
          <w:b w:val="0"/>
          <w:bCs/>
          <w:szCs w:val="24"/>
          <w:lang w:val="es-CO"/>
        </w:rPr>
        <w:t xml:space="preserve"> a</w:t>
      </w:r>
      <w:r w:rsidR="004F704B" w:rsidRPr="00AD3D53">
        <w:rPr>
          <w:rFonts w:cs="Arial"/>
          <w:b w:val="0"/>
          <w:bCs/>
          <w:szCs w:val="24"/>
          <w:lang w:val="es-CO"/>
        </w:rPr>
        <w:t xml:space="preserve"> su juicio, originan el error. P</w:t>
      </w:r>
      <w:r w:rsidR="00EB08A3" w:rsidRPr="00AD3D53">
        <w:rPr>
          <w:rFonts w:cs="Arial"/>
          <w:b w:val="0"/>
          <w:bCs/>
          <w:szCs w:val="24"/>
          <w:lang w:val="es-CO"/>
        </w:rPr>
        <w:t>ara ello puede solicitar las pruebas que estime pertinentes o, si lo considera suficiente, esgrimir los argumentos que fundamentan su objeción.</w:t>
      </w:r>
    </w:p>
    <w:p w14:paraId="74215FCF" w14:textId="77777777" w:rsidR="00EB08A3" w:rsidRPr="00AD3D53" w:rsidRDefault="00EB08A3" w:rsidP="00EB08A3">
      <w:pPr>
        <w:tabs>
          <w:tab w:val="left" w:pos="8460"/>
        </w:tabs>
        <w:spacing w:line="360" w:lineRule="auto"/>
        <w:jc w:val="both"/>
        <w:rPr>
          <w:rFonts w:ascii="Arial" w:hAnsi="Arial" w:cs="Arial"/>
          <w:sz w:val="24"/>
          <w:szCs w:val="24"/>
        </w:rPr>
      </w:pPr>
    </w:p>
    <w:p w14:paraId="3F657D2A" w14:textId="77777777" w:rsidR="00EB08A3" w:rsidRPr="00AD3D53" w:rsidRDefault="00D60457" w:rsidP="00EB08A3">
      <w:pPr>
        <w:spacing w:line="360" w:lineRule="auto"/>
        <w:jc w:val="both"/>
        <w:rPr>
          <w:rFonts w:ascii="Arial" w:hAnsi="Arial" w:cs="Arial"/>
          <w:sz w:val="24"/>
          <w:szCs w:val="24"/>
        </w:rPr>
      </w:pPr>
      <w:r w:rsidRPr="00AD3D53">
        <w:rPr>
          <w:rFonts w:ascii="Arial" w:hAnsi="Arial" w:cs="Arial"/>
          <w:sz w:val="24"/>
          <w:szCs w:val="24"/>
          <w:lang w:val="es-ES_tradnl"/>
        </w:rPr>
        <w:t xml:space="preserve">48. </w:t>
      </w:r>
      <w:r w:rsidR="00E06030" w:rsidRPr="00D62B82">
        <w:rPr>
          <w:rFonts w:ascii="Arial" w:hAnsi="Arial" w:cs="Arial"/>
          <w:sz w:val="24"/>
          <w:szCs w:val="24"/>
          <w:highlight w:val="yellow"/>
          <w:lang w:val="es-ES_tradnl"/>
        </w:rPr>
        <w:t>Esta Corporación</w:t>
      </w:r>
      <w:r w:rsidR="00EB08A3" w:rsidRPr="00D62B82">
        <w:rPr>
          <w:rFonts w:ascii="Arial" w:hAnsi="Arial" w:cs="Arial"/>
          <w:sz w:val="24"/>
          <w:szCs w:val="24"/>
          <w:highlight w:val="yellow"/>
          <w:lang w:val="es-ES_tradnl"/>
        </w:rPr>
        <w:t xml:space="preserve"> ha sostenido que la objeción por error grave debe referirse al objeto de la peritación y no a la conclusión de los expertos</w:t>
      </w:r>
      <w:bookmarkEnd w:id="3"/>
      <w:r w:rsidR="00C22A8D" w:rsidRPr="00AD3D53">
        <w:rPr>
          <w:rFonts w:ascii="Arial" w:hAnsi="Arial" w:cs="Arial"/>
          <w:sz w:val="24"/>
          <w:szCs w:val="24"/>
          <w:lang w:val="es-ES_tradnl"/>
        </w:rPr>
        <w:t xml:space="preserve"> (se trascribe)</w:t>
      </w:r>
      <w:r w:rsidR="00EB08A3" w:rsidRPr="00AD3D53">
        <w:rPr>
          <w:rFonts w:ascii="Arial" w:hAnsi="Arial" w:cs="Arial"/>
          <w:sz w:val="24"/>
          <w:szCs w:val="24"/>
        </w:rPr>
        <w:t>:</w:t>
      </w:r>
    </w:p>
    <w:p w14:paraId="337F7C91" w14:textId="77777777" w:rsidR="00272C31" w:rsidRPr="00AD3D53" w:rsidRDefault="00272C31" w:rsidP="00EB08A3">
      <w:pPr>
        <w:spacing w:line="360" w:lineRule="auto"/>
        <w:jc w:val="both"/>
        <w:rPr>
          <w:rFonts w:ascii="Arial" w:hAnsi="Arial" w:cs="Arial"/>
          <w:sz w:val="24"/>
          <w:szCs w:val="24"/>
        </w:rPr>
      </w:pPr>
    </w:p>
    <w:p w14:paraId="3CDA8504" w14:textId="77777777" w:rsidR="00EB08A3" w:rsidRPr="00AD3D53" w:rsidRDefault="00EB08A3" w:rsidP="00CA7795">
      <w:pPr>
        <w:pStyle w:val="Textodebloque1"/>
        <w:ind w:left="567" w:right="567" w:firstLine="0"/>
        <w:rPr>
          <w:rFonts w:ascii="Arial" w:hAnsi="Arial" w:cs="Arial"/>
          <w:sz w:val="22"/>
          <w:szCs w:val="24"/>
          <w:lang w:val="es-CO"/>
        </w:rPr>
      </w:pPr>
      <w:r w:rsidRPr="00AD3D53">
        <w:rPr>
          <w:rFonts w:ascii="Arial" w:hAnsi="Arial" w:cs="Arial"/>
          <w:sz w:val="22"/>
          <w:szCs w:val="24"/>
        </w:rPr>
        <w:lastRenderedPageBreak/>
        <w:t xml:space="preserve">“En punto a lo que debe entenderse como error grave, no hay discusión en la jurisprudencia que éste es el que </w:t>
      </w:r>
      <w:r w:rsidRPr="00AD3D53">
        <w:rPr>
          <w:rFonts w:ascii="Arial" w:hAnsi="Arial" w:cs="Arial"/>
          <w:sz w:val="22"/>
          <w:szCs w:val="24"/>
          <w:lang w:val="es-CO"/>
        </w:rPr>
        <w:t>se opone a la verdad, por la falta de identidad entre la realidad del objeto sobre el que se rinda el dictamen y la representación mental que de él haga el perito, pero constituirá error grave en estos términos, las conclusiones o inferencias a que lleguen los peritos, que bien pueden adolecer de otros defectos pero no de éste. En otros términos, la objeción por error grave debe referirse al objeto de la peritación, y no a la conclusión de los peritos”</w:t>
      </w:r>
      <w:r w:rsidRPr="00AD3D53">
        <w:rPr>
          <w:rStyle w:val="Refdenotaalpie"/>
          <w:rFonts w:ascii="Arial" w:hAnsi="Arial" w:cs="Arial"/>
          <w:sz w:val="22"/>
          <w:szCs w:val="24"/>
          <w:lang w:val="es-ES_tradnl"/>
        </w:rPr>
        <w:footnoteReference w:id="40"/>
      </w:r>
      <w:r w:rsidR="0028718F" w:rsidRPr="00AD3D53">
        <w:rPr>
          <w:rFonts w:ascii="Arial" w:hAnsi="Arial" w:cs="Arial"/>
          <w:sz w:val="22"/>
          <w:szCs w:val="24"/>
          <w:lang w:val="es-CO"/>
        </w:rPr>
        <w:t>.</w:t>
      </w:r>
    </w:p>
    <w:p w14:paraId="262DC917" w14:textId="77777777" w:rsidR="00EB08A3" w:rsidRPr="00AD3D53" w:rsidRDefault="00EB08A3" w:rsidP="00EB08A3">
      <w:pPr>
        <w:pStyle w:val="Textodebloque1"/>
        <w:spacing w:line="360" w:lineRule="auto"/>
        <w:ind w:left="0" w:firstLine="0"/>
        <w:rPr>
          <w:rFonts w:ascii="Arial" w:hAnsi="Arial" w:cs="Arial"/>
          <w:i w:val="0"/>
          <w:szCs w:val="24"/>
          <w:lang w:val="es-CO"/>
        </w:rPr>
      </w:pPr>
    </w:p>
    <w:p w14:paraId="45883AA4" w14:textId="77777777" w:rsidR="00EB08A3" w:rsidRPr="00AD3D53" w:rsidRDefault="00D60457" w:rsidP="00EB08A3">
      <w:pPr>
        <w:pStyle w:val="Textodebloque1"/>
        <w:spacing w:line="360" w:lineRule="auto"/>
        <w:ind w:left="0" w:firstLine="0"/>
        <w:rPr>
          <w:rFonts w:ascii="Arial" w:hAnsi="Arial" w:cs="Arial"/>
          <w:i w:val="0"/>
          <w:color w:val="000000"/>
          <w:szCs w:val="24"/>
          <w:lang w:val="es-ES_tradnl" w:eastAsia="es-CO"/>
        </w:rPr>
      </w:pPr>
      <w:r w:rsidRPr="00AD3D53">
        <w:rPr>
          <w:rFonts w:ascii="Arial" w:hAnsi="Arial" w:cs="Arial"/>
          <w:i w:val="0"/>
          <w:szCs w:val="24"/>
          <w:lang w:val="es-CO"/>
        </w:rPr>
        <w:t xml:space="preserve">49. </w:t>
      </w:r>
      <w:bookmarkStart w:id="4" w:name="_Hlk18589712"/>
      <w:r w:rsidR="00EB08A3" w:rsidRPr="00AD3D53">
        <w:rPr>
          <w:rFonts w:ascii="Arial" w:hAnsi="Arial" w:cs="Arial"/>
          <w:i w:val="0"/>
          <w:szCs w:val="24"/>
          <w:lang w:val="es-CO"/>
        </w:rPr>
        <w:t>En este orden</w:t>
      </w:r>
      <w:r w:rsidR="00A9206E" w:rsidRPr="00AD3D53">
        <w:rPr>
          <w:rFonts w:ascii="Arial" w:hAnsi="Arial" w:cs="Arial"/>
          <w:i w:val="0"/>
          <w:szCs w:val="24"/>
          <w:lang w:val="es-CO"/>
        </w:rPr>
        <w:t xml:space="preserve"> de ideas</w:t>
      </w:r>
      <w:r w:rsidR="00EB08A3" w:rsidRPr="00AD3D53">
        <w:rPr>
          <w:rFonts w:ascii="Arial" w:hAnsi="Arial" w:cs="Arial"/>
          <w:i w:val="0"/>
          <w:szCs w:val="24"/>
          <w:lang w:val="es-CO"/>
        </w:rPr>
        <w:t>,</w:t>
      </w:r>
      <w:r w:rsidR="00EB08A3" w:rsidRPr="00AD3D53">
        <w:rPr>
          <w:rFonts w:ascii="Arial" w:hAnsi="Arial" w:cs="Arial"/>
          <w:i w:val="0"/>
          <w:szCs w:val="24"/>
          <w:lang w:val="es-ES_tradnl"/>
        </w:rPr>
        <w:t xml:space="preserve"> para la </w:t>
      </w:r>
      <w:bookmarkStart w:id="5" w:name="_Hlk18589697"/>
      <w:r w:rsidR="00EB08A3" w:rsidRPr="00AD3D53">
        <w:rPr>
          <w:rFonts w:ascii="Arial" w:hAnsi="Arial" w:cs="Arial"/>
          <w:i w:val="0"/>
          <w:szCs w:val="24"/>
          <w:lang w:val="es-ES_tradnl"/>
        </w:rPr>
        <w:t xml:space="preserve">prosperidad de la objeción por error grave </w:t>
      </w:r>
      <w:bookmarkEnd w:id="5"/>
      <w:r w:rsidR="00EB08A3" w:rsidRPr="00AD3D53">
        <w:rPr>
          <w:rFonts w:ascii="Arial" w:hAnsi="Arial" w:cs="Arial"/>
          <w:i w:val="0"/>
          <w:szCs w:val="24"/>
          <w:lang w:val="es-ES_tradnl"/>
        </w:rPr>
        <w:t>es preciso que el dictamen se construya sobre bases equivocadas, de una entidad tal que conduzcan a conclusiones tamb</w:t>
      </w:r>
      <w:r w:rsidR="00623215" w:rsidRPr="00AD3D53">
        <w:rPr>
          <w:rFonts w:ascii="Arial" w:hAnsi="Arial" w:cs="Arial"/>
          <w:i w:val="0"/>
          <w:szCs w:val="24"/>
          <w:lang w:val="es-ES_tradnl"/>
        </w:rPr>
        <w:t>ién erradas</w:t>
      </w:r>
      <w:r w:rsidR="00EB08A3" w:rsidRPr="00AD3D53">
        <w:rPr>
          <w:rFonts w:ascii="Arial" w:hAnsi="Arial" w:cs="Arial"/>
          <w:i w:val="0"/>
          <w:szCs w:val="24"/>
          <w:lang w:val="es-ES_tradnl"/>
        </w:rPr>
        <w:t xml:space="preserve">. </w:t>
      </w:r>
      <w:r w:rsidR="00435024" w:rsidRPr="00AD3D53">
        <w:rPr>
          <w:rFonts w:ascii="Arial" w:hAnsi="Arial" w:cs="Arial"/>
          <w:i w:val="0"/>
          <w:color w:val="000000"/>
          <w:szCs w:val="24"/>
          <w:lang w:val="es-ES_tradnl" w:eastAsia="es-CO"/>
        </w:rPr>
        <w:t>Los errores</w:t>
      </w:r>
      <w:r w:rsidR="00EB08A3" w:rsidRPr="00AD3D53">
        <w:rPr>
          <w:rFonts w:ascii="Arial" w:hAnsi="Arial" w:cs="Arial"/>
          <w:i w:val="0"/>
          <w:color w:val="000000"/>
          <w:szCs w:val="24"/>
          <w:lang w:val="es-ES_tradnl" w:eastAsia="es-CO"/>
        </w:rPr>
        <w:t xml:space="preserve"> pueden consistir en que se haya tomado como punto de referenci</w:t>
      </w:r>
      <w:r w:rsidR="00435024" w:rsidRPr="00AD3D53">
        <w:rPr>
          <w:rFonts w:ascii="Arial" w:hAnsi="Arial" w:cs="Arial"/>
          <w:i w:val="0"/>
          <w:color w:val="000000"/>
          <w:szCs w:val="24"/>
          <w:lang w:val="es-ES_tradnl" w:eastAsia="es-CO"/>
        </w:rPr>
        <w:t>a y estudio uno diferente a aque</w:t>
      </w:r>
      <w:r w:rsidR="00EB08A3" w:rsidRPr="00AD3D53">
        <w:rPr>
          <w:rFonts w:ascii="Arial" w:hAnsi="Arial" w:cs="Arial"/>
          <w:i w:val="0"/>
          <w:color w:val="000000"/>
          <w:szCs w:val="24"/>
          <w:lang w:val="es-ES_tradnl" w:eastAsia="es-CO"/>
        </w:rPr>
        <w:t>l sobre el cual debió recaer la experticia o que se hayan modificado las características esenciales del objeto examinado, de una forma ta</w:t>
      </w:r>
      <w:r w:rsidR="001A3B9B" w:rsidRPr="00AD3D53">
        <w:rPr>
          <w:rFonts w:ascii="Arial" w:hAnsi="Arial" w:cs="Arial"/>
          <w:i w:val="0"/>
          <w:color w:val="000000"/>
          <w:szCs w:val="24"/>
          <w:lang w:val="es-ES_tradnl" w:eastAsia="es-CO"/>
        </w:rPr>
        <w:t>l,</w:t>
      </w:r>
      <w:r w:rsidR="00EB08A3" w:rsidRPr="00AD3D53">
        <w:rPr>
          <w:rFonts w:ascii="Arial" w:hAnsi="Arial" w:cs="Arial"/>
          <w:i w:val="0"/>
          <w:color w:val="000000"/>
          <w:szCs w:val="24"/>
          <w:lang w:val="es-ES_tradnl" w:eastAsia="es-CO"/>
        </w:rPr>
        <w:t xml:space="preserve"> que de no haberse presentado</w:t>
      </w:r>
      <w:r w:rsidR="00435024" w:rsidRPr="00AD3D53">
        <w:rPr>
          <w:rFonts w:ascii="Arial" w:hAnsi="Arial" w:cs="Arial"/>
          <w:i w:val="0"/>
          <w:color w:val="000000"/>
          <w:szCs w:val="24"/>
          <w:lang w:val="es-ES_tradnl" w:eastAsia="es-CO"/>
        </w:rPr>
        <w:t xml:space="preserve"> los mismos</w:t>
      </w:r>
      <w:r w:rsidR="00EB08A3" w:rsidRPr="00AD3D53">
        <w:rPr>
          <w:rFonts w:ascii="Arial" w:hAnsi="Arial" w:cs="Arial"/>
          <w:i w:val="0"/>
          <w:color w:val="000000"/>
          <w:szCs w:val="24"/>
          <w:lang w:val="es-ES_tradnl" w:eastAsia="es-CO"/>
        </w:rPr>
        <w:t>, los res</w:t>
      </w:r>
      <w:r w:rsidR="00544E55" w:rsidRPr="00AD3D53">
        <w:rPr>
          <w:rFonts w:ascii="Arial" w:hAnsi="Arial" w:cs="Arial"/>
          <w:i w:val="0"/>
          <w:color w:val="000000"/>
          <w:szCs w:val="24"/>
          <w:lang w:val="es-ES_tradnl" w:eastAsia="es-CO"/>
        </w:rPr>
        <w:t>ultados hubiera</w:t>
      </w:r>
      <w:r w:rsidR="00B9332E" w:rsidRPr="00AD3D53">
        <w:rPr>
          <w:rFonts w:ascii="Arial" w:hAnsi="Arial" w:cs="Arial"/>
          <w:i w:val="0"/>
          <w:color w:val="000000"/>
          <w:szCs w:val="24"/>
          <w:lang w:val="es-ES_tradnl" w:eastAsia="es-CO"/>
        </w:rPr>
        <w:t>n sido distintos.</w:t>
      </w:r>
      <w:r w:rsidR="00EB08A3" w:rsidRPr="00AD3D53">
        <w:rPr>
          <w:rFonts w:ascii="Arial" w:hAnsi="Arial" w:cs="Arial"/>
          <w:i w:val="0"/>
          <w:color w:val="000000"/>
          <w:szCs w:val="24"/>
          <w:lang w:val="es-ES_tradnl" w:eastAsia="es-CO"/>
        </w:rPr>
        <w:t xml:space="preserve"> </w:t>
      </w:r>
    </w:p>
    <w:bookmarkEnd w:id="4"/>
    <w:p w14:paraId="163E83C4" w14:textId="77777777" w:rsidR="00EB08A3" w:rsidRPr="00AD3D53" w:rsidRDefault="00EB08A3" w:rsidP="00EB08A3">
      <w:pPr>
        <w:autoSpaceDE w:val="0"/>
        <w:autoSpaceDN w:val="0"/>
        <w:adjustRightInd w:val="0"/>
        <w:spacing w:line="360" w:lineRule="auto"/>
        <w:jc w:val="both"/>
        <w:rPr>
          <w:rFonts w:ascii="Arial" w:hAnsi="Arial" w:cs="Arial"/>
          <w:sz w:val="24"/>
          <w:szCs w:val="24"/>
        </w:rPr>
      </w:pPr>
    </w:p>
    <w:p w14:paraId="7751B60A" w14:textId="77777777" w:rsidR="00092306" w:rsidRPr="00AD3D53" w:rsidRDefault="00D60457" w:rsidP="00E9213B">
      <w:pPr>
        <w:autoSpaceDE w:val="0"/>
        <w:autoSpaceDN w:val="0"/>
        <w:adjustRightInd w:val="0"/>
        <w:spacing w:line="360" w:lineRule="auto"/>
        <w:jc w:val="both"/>
        <w:rPr>
          <w:rFonts w:ascii="Arial" w:hAnsi="Arial" w:cs="Arial"/>
          <w:sz w:val="24"/>
          <w:szCs w:val="24"/>
        </w:rPr>
      </w:pPr>
      <w:r w:rsidRPr="00AD3D53">
        <w:rPr>
          <w:rFonts w:ascii="Arial" w:hAnsi="Arial" w:cs="Arial"/>
          <w:sz w:val="24"/>
          <w:szCs w:val="24"/>
        </w:rPr>
        <w:t xml:space="preserve">50. </w:t>
      </w:r>
      <w:bookmarkStart w:id="6" w:name="_Hlk18589971"/>
      <w:r w:rsidR="00EB08A3" w:rsidRPr="00AD3D53">
        <w:rPr>
          <w:rFonts w:ascii="Arial" w:hAnsi="Arial" w:cs="Arial"/>
          <w:sz w:val="24"/>
          <w:szCs w:val="24"/>
        </w:rPr>
        <w:t>Ahora</w:t>
      </w:r>
      <w:r w:rsidR="00584CD7" w:rsidRPr="00AD3D53">
        <w:rPr>
          <w:rFonts w:ascii="Arial" w:hAnsi="Arial" w:cs="Arial"/>
          <w:sz w:val="24"/>
          <w:szCs w:val="24"/>
        </w:rPr>
        <w:t xml:space="preserve"> bien</w:t>
      </w:r>
      <w:r w:rsidR="00EB08A3" w:rsidRPr="00AD3D53">
        <w:rPr>
          <w:rFonts w:ascii="Arial" w:hAnsi="Arial" w:cs="Arial"/>
          <w:sz w:val="24"/>
          <w:szCs w:val="24"/>
        </w:rPr>
        <w:t>,</w:t>
      </w:r>
      <w:r w:rsidR="001039E9" w:rsidRPr="00AD3D53">
        <w:rPr>
          <w:rFonts w:ascii="Arial" w:hAnsi="Arial" w:cs="Arial"/>
          <w:sz w:val="24"/>
          <w:szCs w:val="24"/>
        </w:rPr>
        <w:t xml:space="preserve"> frente al dictamen</w:t>
      </w:r>
      <w:r w:rsidR="00F330C3" w:rsidRPr="00AD3D53">
        <w:rPr>
          <w:rFonts w:ascii="Arial" w:hAnsi="Arial" w:cs="Arial"/>
          <w:sz w:val="24"/>
          <w:szCs w:val="24"/>
        </w:rPr>
        <w:t xml:space="preserve"> pericial debidamente practicado,</w:t>
      </w:r>
      <w:r w:rsidR="001039E9" w:rsidRPr="00AD3D53">
        <w:rPr>
          <w:rFonts w:ascii="Arial" w:hAnsi="Arial" w:cs="Arial"/>
          <w:sz w:val="24"/>
          <w:szCs w:val="24"/>
        </w:rPr>
        <w:t xml:space="preserve"> </w:t>
      </w:r>
      <w:r w:rsidR="00584CD7" w:rsidRPr="00AD3D53">
        <w:rPr>
          <w:rFonts w:ascii="Arial" w:hAnsi="Arial" w:cs="Arial"/>
          <w:sz w:val="24"/>
          <w:szCs w:val="24"/>
        </w:rPr>
        <w:t>puede ocurrir que</w:t>
      </w:r>
      <w:r w:rsidR="001039E9" w:rsidRPr="00AD3D53">
        <w:rPr>
          <w:rFonts w:ascii="Arial" w:hAnsi="Arial" w:cs="Arial"/>
          <w:sz w:val="24"/>
          <w:szCs w:val="24"/>
        </w:rPr>
        <w:t xml:space="preserve"> el juez</w:t>
      </w:r>
      <w:r w:rsidR="00D841D5" w:rsidRPr="00AD3D53">
        <w:rPr>
          <w:rFonts w:ascii="Arial" w:hAnsi="Arial" w:cs="Arial"/>
          <w:sz w:val="24"/>
          <w:szCs w:val="24"/>
        </w:rPr>
        <w:t xml:space="preserve"> no encuentre</w:t>
      </w:r>
      <w:r w:rsidR="00EB08A3" w:rsidRPr="00AD3D53">
        <w:rPr>
          <w:rFonts w:ascii="Arial" w:hAnsi="Arial" w:cs="Arial"/>
          <w:sz w:val="24"/>
          <w:szCs w:val="24"/>
        </w:rPr>
        <w:t xml:space="preserve"> la certeza suficiente para establecer la </w:t>
      </w:r>
      <w:proofErr w:type="spellStart"/>
      <w:r w:rsidR="00EB08A3" w:rsidRPr="00AD3D53">
        <w:rPr>
          <w:rFonts w:ascii="Arial" w:hAnsi="Arial" w:cs="Arial"/>
          <w:sz w:val="24"/>
          <w:szCs w:val="24"/>
        </w:rPr>
        <w:t>causación</w:t>
      </w:r>
      <w:proofErr w:type="spellEnd"/>
      <w:r w:rsidR="00EB08A3" w:rsidRPr="00AD3D53">
        <w:rPr>
          <w:rFonts w:ascii="Arial" w:hAnsi="Arial" w:cs="Arial"/>
          <w:sz w:val="24"/>
          <w:szCs w:val="24"/>
        </w:rPr>
        <w:t xml:space="preserve"> del perjuicio o su cuantía, dando lugar a que se aparte parcial o totalmente </w:t>
      </w:r>
      <w:r w:rsidR="001039E9" w:rsidRPr="00AD3D53">
        <w:rPr>
          <w:rFonts w:ascii="Arial" w:hAnsi="Arial" w:cs="Arial"/>
          <w:sz w:val="24"/>
          <w:szCs w:val="24"/>
        </w:rPr>
        <w:t>de las conclusiones del perito, sin que esto implique que la experticia adolece de un error grave.</w:t>
      </w:r>
    </w:p>
    <w:bookmarkEnd w:id="6"/>
    <w:p w14:paraId="14C1948C" w14:textId="77777777" w:rsidR="00092306" w:rsidRPr="00AD3D53" w:rsidRDefault="00092306" w:rsidP="00092306">
      <w:pPr>
        <w:spacing w:line="360" w:lineRule="auto"/>
        <w:contextualSpacing/>
        <w:jc w:val="both"/>
        <w:rPr>
          <w:rFonts w:ascii="Arial" w:hAnsi="Arial" w:cs="Arial"/>
          <w:sz w:val="24"/>
          <w:szCs w:val="24"/>
        </w:rPr>
      </w:pPr>
    </w:p>
    <w:p w14:paraId="616C7C86" w14:textId="77777777" w:rsidR="00092306" w:rsidRPr="00AD3D53" w:rsidRDefault="00016A51" w:rsidP="00092306">
      <w:pPr>
        <w:spacing w:line="360" w:lineRule="auto"/>
        <w:contextualSpacing/>
        <w:jc w:val="both"/>
        <w:rPr>
          <w:rFonts w:ascii="Arial" w:hAnsi="Arial" w:cs="Arial"/>
          <w:sz w:val="24"/>
          <w:szCs w:val="24"/>
        </w:rPr>
      </w:pPr>
      <w:r w:rsidRPr="00AD3D53">
        <w:rPr>
          <w:rFonts w:ascii="Arial" w:hAnsi="Arial" w:cs="Arial"/>
          <w:b/>
          <w:sz w:val="24"/>
          <w:szCs w:val="24"/>
        </w:rPr>
        <w:t>2.5</w:t>
      </w:r>
      <w:r w:rsidR="00092306" w:rsidRPr="00AD3D53">
        <w:rPr>
          <w:rFonts w:ascii="Arial" w:hAnsi="Arial" w:cs="Arial"/>
          <w:b/>
          <w:sz w:val="24"/>
          <w:szCs w:val="24"/>
        </w:rPr>
        <w:t>. El caso concreto</w:t>
      </w:r>
    </w:p>
    <w:p w14:paraId="19F20D54" w14:textId="77777777" w:rsidR="009E74BD" w:rsidRPr="00AD3D53" w:rsidRDefault="009E74BD" w:rsidP="00092306">
      <w:pPr>
        <w:spacing w:line="360" w:lineRule="auto"/>
        <w:contextualSpacing/>
        <w:jc w:val="both"/>
        <w:rPr>
          <w:rFonts w:ascii="Arial" w:hAnsi="Arial" w:cs="Arial"/>
          <w:sz w:val="24"/>
          <w:szCs w:val="24"/>
          <w:highlight w:val="yellow"/>
        </w:rPr>
      </w:pPr>
    </w:p>
    <w:p w14:paraId="75F61186" w14:textId="77777777" w:rsidR="009E74BD" w:rsidRPr="00AD3D53" w:rsidRDefault="00E84740" w:rsidP="00092306">
      <w:pPr>
        <w:spacing w:line="360" w:lineRule="auto"/>
        <w:contextualSpacing/>
        <w:jc w:val="both"/>
        <w:rPr>
          <w:rFonts w:ascii="Arial" w:hAnsi="Arial" w:cs="Arial"/>
          <w:sz w:val="24"/>
          <w:szCs w:val="24"/>
        </w:rPr>
      </w:pPr>
      <w:r w:rsidRPr="00AD3D53">
        <w:rPr>
          <w:rFonts w:ascii="Arial" w:hAnsi="Arial" w:cs="Arial"/>
          <w:sz w:val="24"/>
          <w:szCs w:val="24"/>
        </w:rPr>
        <w:t>51. En el caso bajo estudio, la Secretaría de H</w:t>
      </w:r>
      <w:r w:rsidR="007973DC" w:rsidRPr="00AD3D53">
        <w:rPr>
          <w:rFonts w:ascii="Arial" w:hAnsi="Arial" w:cs="Arial"/>
          <w:sz w:val="24"/>
          <w:szCs w:val="24"/>
        </w:rPr>
        <w:t xml:space="preserve">acienda solicitó al Tribunal condenar </w:t>
      </w:r>
      <w:r w:rsidR="00992019" w:rsidRPr="00AD3D53">
        <w:rPr>
          <w:rFonts w:ascii="Arial" w:hAnsi="Arial" w:cs="Arial"/>
          <w:sz w:val="24"/>
          <w:szCs w:val="24"/>
        </w:rPr>
        <w:t xml:space="preserve">a </w:t>
      </w:r>
      <w:proofErr w:type="spellStart"/>
      <w:r w:rsidR="00992019" w:rsidRPr="00AD3D53">
        <w:rPr>
          <w:rFonts w:ascii="Arial" w:hAnsi="Arial" w:cs="Arial"/>
          <w:sz w:val="24"/>
          <w:szCs w:val="24"/>
        </w:rPr>
        <w:t>Adpostal</w:t>
      </w:r>
      <w:proofErr w:type="spellEnd"/>
      <w:r w:rsidR="00992019" w:rsidRPr="00AD3D53">
        <w:rPr>
          <w:rFonts w:ascii="Arial" w:hAnsi="Arial" w:cs="Arial"/>
          <w:sz w:val="24"/>
          <w:szCs w:val="24"/>
        </w:rPr>
        <w:t xml:space="preserve"> a pagarle los perjuicios ocasionados con ocasión </w:t>
      </w:r>
      <w:r w:rsidR="001B368A" w:rsidRPr="00AD3D53">
        <w:rPr>
          <w:rFonts w:ascii="Arial" w:hAnsi="Arial" w:cs="Arial"/>
          <w:sz w:val="24"/>
          <w:szCs w:val="24"/>
        </w:rPr>
        <w:t>del incumplimiento del</w:t>
      </w:r>
      <w:r w:rsidR="0001160D" w:rsidRPr="00AD3D53">
        <w:rPr>
          <w:rFonts w:ascii="Arial" w:hAnsi="Arial" w:cs="Arial"/>
          <w:sz w:val="24"/>
          <w:szCs w:val="24"/>
        </w:rPr>
        <w:t xml:space="preserve"> c</w:t>
      </w:r>
      <w:r w:rsidR="00B479D8" w:rsidRPr="00AD3D53">
        <w:rPr>
          <w:rFonts w:ascii="Arial" w:hAnsi="Arial" w:cs="Arial"/>
          <w:sz w:val="24"/>
          <w:szCs w:val="24"/>
        </w:rPr>
        <w:t>onvenio</w:t>
      </w:r>
      <w:r w:rsidR="001B368A" w:rsidRPr="00AD3D53">
        <w:rPr>
          <w:rFonts w:ascii="Arial" w:hAnsi="Arial" w:cs="Arial"/>
          <w:sz w:val="24"/>
          <w:szCs w:val="24"/>
        </w:rPr>
        <w:t xml:space="preserve"> </w:t>
      </w:r>
      <w:r w:rsidR="0001160D" w:rsidRPr="00AD3D53">
        <w:rPr>
          <w:rFonts w:ascii="Arial" w:hAnsi="Arial" w:cs="Arial"/>
          <w:sz w:val="24"/>
          <w:szCs w:val="24"/>
          <w:lang w:val="es-CO"/>
        </w:rPr>
        <w:t>i</w:t>
      </w:r>
      <w:r w:rsidR="00B479D8" w:rsidRPr="00AD3D53">
        <w:rPr>
          <w:rFonts w:ascii="Arial" w:hAnsi="Arial" w:cs="Arial"/>
          <w:sz w:val="24"/>
          <w:szCs w:val="24"/>
          <w:lang w:val="es-CO"/>
        </w:rPr>
        <w:t>nteradministrativo No. 24 de 2001</w:t>
      </w:r>
      <w:r w:rsidR="00D63FD9" w:rsidRPr="00AD3D53">
        <w:rPr>
          <w:rFonts w:ascii="Arial" w:hAnsi="Arial" w:cs="Arial"/>
          <w:sz w:val="24"/>
          <w:szCs w:val="24"/>
        </w:rPr>
        <w:t xml:space="preserve">, </w:t>
      </w:r>
      <w:r w:rsidR="00844474" w:rsidRPr="00AD3D53">
        <w:rPr>
          <w:rFonts w:ascii="Arial" w:hAnsi="Arial" w:cs="Arial"/>
          <w:sz w:val="24"/>
          <w:szCs w:val="24"/>
        </w:rPr>
        <w:t>para lo cual solicit</w:t>
      </w:r>
      <w:r w:rsidR="001B6B10" w:rsidRPr="00AD3D53">
        <w:rPr>
          <w:rFonts w:ascii="Arial" w:hAnsi="Arial" w:cs="Arial"/>
          <w:sz w:val="24"/>
          <w:szCs w:val="24"/>
        </w:rPr>
        <w:t>ó la práctica de un dictamen pericial en los siguientes términos</w:t>
      </w:r>
      <w:r w:rsidR="00052D14" w:rsidRPr="00AD3D53">
        <w:rPr>
          <w:rFonts w:ascii="Arial" w:hAnsi="Arial" w:cs="Arial"/>
          <w:sz w:val="24"/>
          <w:szCs w:val="24"/>
        </w:rPr>
        <w:t xml:space="preserve"> (se trascribe)</w:t>
      </w:r>
      <w:r w:rsidR="001B6B10" w:rsidRPr="00AD3D53">
        <w:rPr>
          <w:rFonts w:ascii="Arial" w:hAnsi="Arial" w:cs="Arial"/>
          <w:sz w:val="24"/>
          <w:szCs w:val="24"/>
        </w:rPr>
        <w:t>:</w:t>
      </w:r>
    </w:p>
    <w:p w14:paraId="7C0B42DA" w14:textId="77777777" w:rsidR="00B47D70" w:rsidRPr="00AD3D53" w:rsidRDefault="00B47D70" w:rsidP="00B47D70">
      <w:pPr>
        <w:ind w:right="567"/>
        <w:contextualSpacing/>
        <w:jc w:val="both"/>
        <w:rPr>
          <w:rFonts w:ascii="Arial" w:hAnsi="Arial" w:cs="Arial"/>
          <w:szCs w:val="24"/>
        </w:rPr>
      </w:pPr>
    </w:p>
    <w:p w14:paraId="5710AB17" w14:textId="77777777" w:rsidR="001B6B10" w:rsidRPr="00AD3D53" w:rsidRDefault="00EE73BE" w:rsidP="00EE73BE">
      <w:pPr>
        <w:ind w:left="567" w:right="567"/>
        <w:contextualSpacing/>
        <w:jc w:val="both"/>
        <w:rPr>
          <w:rFonts w:ascii="Arial" w:hAnsi="Arial" w:cs="Arial"/>
          <w:i/>
          <w:szCs w:val="24"/>
        </w:rPr>
      </w:pPr>
      <w:r w:rsidRPr="00AD3D53">
        <w:rPr>
          <w:rFonts w:ascii="Arial" w:hAnsi="Arial" w:cs="Arial"/>
          <w:szCs w:val="24"/>
        </w:rPr>
        <w:t>“</w:t>
      </w:r>
      <w:r w:rsidRPr="00AD3D53">
        <w:rPr>
          <w:rFonts w:ascii="Arial" w:hAnsi="Arial" w:cs="Arial"/>
          <w:i/>
          <w:szCs w:val="24"/>
        </w:rPr>
        <w:t>E. Peritaje o Dictamen Pericial:</w:t>
      </w:r>
    </w:p>
    <w:p w14:paraId="358081F9" w14:textId="77777777" w:rsidR="00EE73BE" w:rsidRPr="00AD3D53" w:rsidRDefault="00EE73BE" w:rsidP="00EE73BE">
      <w:pPr>
        <w:ind w:left="567" w:right="567"/>
        <w:contextualSpacing/>
        <w:jc w:val="both"/>
        <w:rPr>
          <w:rFonts w:ascii="Arial" w:hAnsi="Arial" w:cs="Arial"/>
          <w:i/>
          <w:szCs w:val="24"/>
        </w:rPr>
      </w:pPr>
      <w:r w:rsidRPr="00AD3D53">
        <w:rPr>
          <w:rFonts w:ascii="Arial" w:hAnsi="Arial" w:cs="Arial"/>
          <w:i/>
          <w:szCs w:val="24"/>
        </w:rPr>
        <w:t xml:space="preserve">Se sirva designar un perito </w:t>
      </w:r>
      <w:proofErr w:type="spellStart"/>
      <w:r w:rsidRPr="00AD3D53">
        <w:rPr>
          <w:rFonts w:ascii="Arial" w:hAnsi="Arial" w:cs="Arial"/>
          <w:i/>
          <w:szCs w:val="24"/>
        </w:rPr>
        <w:t>avaluador</w:t>
      </w:r>
      <w:proofErr w:type="spellEnd"/>
      <w:r w:rsidRPr="00AD3D53">
        <w:rPr>
          <w:rFonts w:ascii="Arial" w:hAnsi="Arial" w:cs="Arial"/>
          <w:i/>
          <w:szCs w:val="24"/>
        </w:rPr>
        <w:t xml:space="preserve"> de la lista de auxiliares de la justicia a fin de determinar mediante </w:t>
      </w:r>
      <w:proofErr w:type="spellStart"/>
      <w:r w:rsidRPr="00AD3D53">
        <w:rPr>
          <w:rFonts w:ascii="Arial" w:hAnsi="Arial" w:cs="Arial"/>
          <w:i/>
          <w:szCs w:val="24"/>
        </w:rPr>
        <w:t>experticio</w:t>
      </w:r>
      <w:proofErr w:type="spellEnd"/>
      <w:r w:rsidRPr="00AD3D53">
        <w:rPr>
          <w:rFonts w:ascii="Arial" w:hAnsi="Arial" w:cs="Arial"/>
          <w:i/>
          <w:szCs w:val="24"/>
        </w:rPr>
        <w:t xml:space="preserve"> el lucro cesante, daño emergente y demás rubros a indemnizar solicitados en la presente demanda, en razón de la indebida ejecución del Convenio Interadministrativo 024 de 2001”.</w:t>
      </w:r>
    </w:p>
    <w:p w14:paraId="1E070786" w14:textId="77777777" w:rsidR="009E74BD" w:rsidRPr="00AD3D53" w:rsidRDefault="009E74BD" w:rsidP="00092306">
      <w:pPr>
        <w:spacing w:line="360" w:lineRule="auto"/>
        <w:contextualSpacing/>
        <w:jc w:val="both"/>
        <w:rPr>
          <w:rFonts w:ascii="Arial" w:hAnsi="Arial" w:cs="Arial"/>
          <w:sz w:val="24"/>
          <w:szCs w:val="24"/>
          <w:highlight w:val="yellow"/>
        </w:rPr>
      </w:pPr>
    </w:p>
    <w:p w14:paraId="0EB85FE6" w14:textId="77777777" w:rsidR="00907163" w:rsidRPr="00AD3D53" w:rsidRDefault="00907163" w:rsidP="007C4175">
      <w:pPr>
        <w:tabs>
          <w:tab w:val="left" w:pos="1195"/>
        </w:tabs>
        <w:spacing w:line="360" w:lineRule="auto"/>
        <w:contextualSpacing/>
        <w:jc w:val="both"/>
        <w:rPr>
          <w:rFonts w:ascii="Arial" w:hAnsi="Arial" w:cs="Arial"/>
          <w:sz w:val="24"/>
          <w:szCs w:val="24"/>
        </w:rPr>
      </w:pPr>
      <w:r w:rsidRPr="00AD3D53">
        <w:rPr>
          <w:rFonts w:ascii="Arial" w:hAnsi="Arial" w:cs="Arial"/>
          <w:sz w:val="24"/>
          <w:szCs w:val="24"/>
        </w:rPr>
        <w:t>52</w:t>
      </w:r>
      <w:r w:rsidR="007C4175" w:rsidRPr="00AD3D53">
        <w:rPr>
          <w:rFonts w:ascii="Arial" w:hAnsi="Arial" w:cs="Arial"/>
          <w:sz w:val="24"/>
          <w:szCs w:val="24"/>
        </w:rPr>
        <w:t>. Como consecuencia de la referida solicitud probatoria, el Tribunal decretó el dictamen pericial y</w:t>
      </w:r>
      <w:r w:rsidR="004F21B1" w:rsidRPr="00AD3D53">
        <w:rPr>
          <w:rFonts w:ascii="Arial" w:hAnsi="Arial" w:cs="Arial"/>
          <w:sz w:val="24"/>
          <w:szCs w:val="24"/>
        </w:rPr>
        <w:t xml:space="preserve"> encargó</w:t>
      </w:r>
      <w:r w:rsidR="007C4175" w:rsidRPr="00AD3D53">
        <w:rPr>
          <w:rFonts w:ascii="Arial" w:hAnsi="Arial" w:cs="Arial"/>
          <w:sz w:val="24"/>
          <w:szCs w:val="24"/>
        </w:rPr>
        <w:t xml:space="preserve"> al contador Luis Eduardo Carrillo Villamizar la realización de la experticia</w:t>
      </w:r>
      <w:r w:rsidR="007C4175" w:rsidRPr="00AD3D53">
        <w:rPr>
          <w:rStyle w:val="Refdenotaalpie"/>
          <w:rFonts w:ascii="Arial" w:hAnsi="Arial" w:cs="Arial"/>
          <w:sz w:val="24"/>
          <w:szCs w:val="24"/>
        </w:rPr>
        <w:footnoteReference w:id="41"/>
      </w:r>
      <w:r w:rsidR="00EE3D68" w:rsidRPr="00AD3D53">
        <w:rPr>
          <w:rFonts w:ascii="Arial" w:hAnsi="Arial" w:cs="Arial"/>
          <w:sz w:val="24"/>
          <w:szCs w:val="24"/>
        </w:rPr>
        <w:t xml:space="preserve">, </w:t>
      </w:r>
      <w:r w:rsidR="00C430FC" w:rsidRPr="00AD3D53">
        <w:rPr>
          <w:rFonts w:ascii="Arial" w:hAnsi="Arial" w:cs="Arial"/>
          <w:sz w:val="24"/>
          <w:szCs w:val="24"/>
        </w:rPr>
        <w:t xml:space="preserve">la cual fue presentada </w:t>
      </w:r>
      <w:r w:rsidR="00EE3D68" w:rsidRPr="00AD3D53">
        <w:rPr>
          <w:rFonts w:ascii="Arial" w:hAnsi="Arial" w:cs="Arial"/>
          <w:sz w:val="24"/>
          <w:szCs w:val="24"/>
        </w:rPr>
        <w:t>ante el Tribunal</w:t>
      </w:r>
      <w:r w:rsidR="001D0F9E" w:rsidRPr="00AD3D53">
        <w:rPr>
          <w:rFonts w:ascii="Arial" w:hAnsi="Arial" w:cs="Arial"/>
          <w:sz w:val="24"/>
          <w:szCs w:val="24"/>
        </w:rPr>
        <w:t xml:space="preserve"> el 22 </w:t>
      </w:r>
      <w:r w:rsidR="00F67D92" w:rsidRPr="00AD3D53">
        <w:rPr>
          <w:rFonts w:ascii="Arial" w:hAnsi="Arial" w:cs="Arial"/>
          <w:sz w:val="24"/>
          <w:szCs w:val="24"/>
        </w:rPr>
        <w:t xml:space="preserve">de </w:t>
      </w:r>
      <w:r w:rsidR="00E73EF4" w:rsidRPr="00AD3D53">
        <w:rPr>
          <w:rFonts w:ascii="Arial" w:hAnsi="Arial" w:cs="Arial"/>
          <w:sz w:val="24"/>
          <w:szCs w:val="24"/>
        </w:rPr>
        <w:t>octubre de 2008. En el documento</w:t>
      </w:r>
      <w:r w:rsidR="00940FFD" w:rsidRPr="00AD3D53">
        <w:rPr>
          <w:rFonts w:ascii="Arial" w:hAnsi="Arial" w:cs="Arial"/>
          <w:sz w:val="24"/>
          <w:szCs w:val="24"/>
        </w:rPr>
        <w:t>,</w:t>
      </w:r>
      <w:r w:rsidR="001D0F9E" w:rsidRPr="00AD3D53">
        <w:rPr>
          <w:rFonts w:ascii="Arial" w:hAnsi="Arial" w:cs="Arial"/>
          <w:sz w:val="24"/>
          <w:szCs w:val="24"/>
        </w:rPr>
        <w:t xml:space="preserve"> el perito </w:t>
      </w:r>
      <w:r w:rsidR="00DE5FA8" w:rsidRPr="00AD3D53">
        <w:rPr>
          <w:rFonts w:ascii="Arial" w:hAnsi="Arial" w:cs="Arial"/>
          <w:sz w:val="24"/>
          <w:szCs w:val="24"/>
        </w:rPr>
        <w:t>concluyó que: “</w:t>
      </w:r>
      <w:r w:rsidR="00DE5FA8" w:rsidRPr="00AD3D53">
        <w:rPr>
          <w:rFonts w:ascii="Arial" w:hAnsi="Arial" w:cs="Arial"/>
          <w:i/>
          <w:sz w:val="24"/>
          <w:szCs w:val="24"/>
        </w:rPr>
        <w:t xml:space="preserve">el valor de la </w:t>
      </w:r>
      <w:r w:rsidR="00DE5FA8" w:rsidRPr="00AD3D53">
        <w:rPr>
          <w:rFonts w:ascii="Arial" w:hAnsi="Arial" w:cs="Arial"/>
          <w:i/>
          <w:sz w:val="24"/>
          <w:szCs w:val="24"/>
        </w:rPr>
        <w:lastRenderedPageBreak/>
        <w:t>indemnización correspondiente por los Daños y Perjuicios ocasionados con ocasión del incumplimiento parcial del Convenio Interadministrativo No. 024 del 28 de diciembre de 2001 (…) asciende a la suma de VEINTID</w:t>
      </w:r>
      <w:r w:rsidR="00640F15" w:rsidRPr="00AD3D53">
        <w:rPr>
          <w:rFonts w:ascii="Arial" w:hAnsi="Arial" w:cs="Arial"/>
          <w:i/>
          <w:sz w:val="24"/>
          <w:szCs w:val="24"/>
        </w:rPr>
        <w:t>OS MIL CUATROCIENTOS</w:t>
      </w:r>
      <w:r w:rsidR="00575B92" w:rsidRPr="00AD3D53">
        <w:rPr>
          <w:rFonts w:ascii="Arial" w:hAnsi="Arial" w:cs="Arial"/>
          <w:i/>
          <w:sz w:val="24"/>
          <w:szCs w:val="24"/>
        </w:rPr>
        <w:t xml:space="preserve"> SETENTA Y TRES MILLONES OCHOCIENTOS MIL </w:t>
      </w:r>
      <w:r w:rsidR="009C7E18" w:rsidRPr="00AD3D53">
        <w:rPr>
          <w:rFonts w:ascii="Arial" w:hAnsi="Arial" w:cs="Arial"/>
          <w:i/>
          <w:sz w:val="24"/>
          <w:szCs w:val="24"/>
        </w:rPr>
        <w:t>SEISCIENTOS SEIS PESOS $22.473.800.606”.</w:t>
      </w:r>
      <w:r w:rsidR="00473B72" w:rsidRPr="00AD3D53">
        <w:rPr>
          <w:rFonts w:ascii="Arial" w:hAnsi="Arial" w:cs="Arial"/>
          <w:sz w:val="24"/>
          <w:szCs w:val="24"/>
        </w:rPr>
        <w:t xml:space="preserve"> </w:t>
      </w:r>
      <w:r w:rsidR="00F6143F" w:rsidRPr="00AD3D53">
        <w:rPr>
          <w:rFonts w:ascii="Arial" w:hAnsi="Arial" w:cs="Arial"/>
          <w:sz w:val="24"/>
          <w:szCs w:val="24"/>
        </w:rPr>
        <w:t xml:space="preserve"> </w:t>
      </w:r>
    </w:p>
    <w:p w14:paraId="5243A138" w14:textId="77777777" w:rsidR="004E7F5D" w:rsidRPr="00AD3D53" w:rsidRDefault="004E7F5D" w:rsidP="007C4175">
      <w:pPr>
        <w:tabs>
          <w:tab w:val="left" w:pos="1195"/>
        </w:tabs>
        <w:spacing w:line="360" w:lineRule="auto"/>
        <w:contextualSpacing/>
        <w:jc w:val="both"/>
        <w:rPr>
          <w:rFonts w:ascii="Arial" w:hAnsi="Arial" w:cs="Arial"/>
          <w:sz w:val="24"/>
          <w:szCs w:val="24"/>
        </w:rPr>
      </w:pPr>
    </w:p>
    <w:p w14:paraId="078CB0B2" w14:textId="77777777" w:rsidR="004E7F5D" w:rsidRPr="00AD3D53" w:rsidRDefault="004E7F5D" w:rsidP="007C4175">
      <w:pPr>
        <w:tabs>
          <w:tab w:val="left" w:pos="1195"/>
        </w:tabs>
        <w:spacing w:line="360" w:lineRule="auto"/>
        <w:contextualSpacing/>
        <w:jc w:val="both"/>
        <w:rPr>
          <w:rFonts w:ascii="Arial" w:hAnsi="Arial" w:cs="Arial"/>
          <w:sz w:val="24"/>
          <w:szCs w:val="24"/>
        </w:rPr>
      </w:pPr>
      <w:r w:rsidRPr="00AD3D53">
        <w:rPr>
          <w:rFonts w:ascii="Arial" w:hAnsi="Arial" w:cs="Arial"/>
          <w:sz w:val="24"/>
          <w:szCs w:val="24"/>
        </w:rPr>
        <w:t xml:space="preserve">53. </w:t>
      </w:r>
      <w:r w:rsidR="001D4800" w:rsidRPr="00AD3D53">
        <w:rPr>
          <w:rFonts w:ascii="Arial" w:hAnsi="Arial" w:cs="Arial"/>
          <w:sz w:val="24"/>
          <w:szCs w:val="24"/>
        </w:rPr>
        <w:t>L</w:t>
      </w:r>
      <w:r w:rsidR="00315ADB" w:rsidRPr="00AD3D53">
        <w:rPr>
          <w:rFonts w:ascii="Arial" w:hAnsi="Arial" w:cs="Arial"/>
          <w:sz w:val="24"/>
          <w:szCs w:val="24"/>
        </w:rPr>
        <w:t xml:space="preserve">a apoderada de </w:t>
      </w:r>
      <w:proofErr w:type="spellStart"/>
      <w:r w:rsidR="00315ADB" w:rsidRPr="00AD3D53">
        <w:rPr>
          <w:rFonts w:ascii="Arial" w:hAnsi="Arial" w:cs="Arial"/>
          <w:sz w:val="24"/>
          <w:szCs w:val="24"/>
        </w:rPr>
        <w:t>Adpostal</w:t>
      </w:r>
      <w:proofErr w:type="spellEnd"/>
      <w:r w:rsidR="00315ADB" w:rsidRPr="00AD3D53">
        <w:rPr>
          <w:rFonts w:ascii="Arial" w:hAnsi="Arial" w:cs="Arial"/>
          <w:sz w:val="24"/>
          <w:szCs w:val="24"/>
        </w:rPr>
        <w:t xml:space="preserve"> presentó</w:t>
      </w:r>
      <w:r w:rsidR="001D4800" w:rsidRPr="00AD3D53">
        <w:rPr>
          <w:rFonts w:ascii="Arial" w:hAnsi="Arial" w:cs="Arial"/>
          <w:sz w:val="24"/>
          <w:szCs w:val="24"/>
        </w:rPr>
        <w:t xml:space="preserve"> objeción por error grave</w:t>
      </w:r>
      <w:r w:rsidR="00315ADB" w:rsidRPr="00AD3D53">
        <w:rPr>
          <w:rFonts w:ascii="Arial" w:hAnsi="Arial" w:cs="Arial"/>
          <w:sz w:val="24"/>
          <w:szCs w:val="24"/>
        </w:rPr>
        <w:t xml:space="preserve"> en contra del dictamen elaborado por el contador Luis Eduard</w:t>
      </w:r>
      <w:r w:rsidR="00F41688" w:rsidRPr="00AD3D53">
        <w:rPr>
          <w:rFonts w:ascii="Arial" w:hAnsi="Arial" w:cs="Arial"/>
          <w:sz w:val="24"/>
          <w:szCs w:val="24"/>
        </w:rPr>
        <w:t>o Carrillo Villamizar, argumentando</w:t>
      </w:r>
      <w:r w:rsidR="00451C33" w:rsidRPr="00AD3D53">
        <w:rPr>
          <w:rFonts w:ascii="Arial" w:hAnsi="Arial" w:cs="Arial"/>
          <w:sz w:val="24"/>
          <w:szCs w:val="24"/>
        </w:rPr>
        <w:t xml:space="preserve"> (se trascribe)</w:t>
      </w:r>
      <w:r w:rsidR="00315ADB" w:rsidRPr="00AD3D53">
        <w:rPr>
          <w:rFonts w:ascii="Arial" w:hAnsi="Arial" w:cs="Arial"/>
          <w:sz w:val="24"/>
          <w:szCs w:val="24"/>
        </w:rPr>
        <w:t>:</w:t>
      </w:r>
    </w:p>
    <w:p w14:paraId="3B635DDA" w14:textId="77777777" w:rsidR="00315ADB" w:rsidRPr="00AD3D53" w:rsidRDefault="00315ADB" w:rsidP="007C4175">
      <w:pPr>
        <w:tabs>
          <w:tab w:val="left" w:pos="1195"/>
        </w:tabs>
        <w:spacing w:line="360" w:lineRule="auto"/>
        <w:contextualSpacing/>
        <w:jc w:val="both"/>
        <w:rPr>
          <w:rFonts w:ascii="Arial" w:hAnsi="Arial" w:cs="Arial"/>
          <w:sz w:val="24"/>
          <w:szCs w:val="24"/>
        </w:rPr>
      </w:pPr>
    </w:p>
    <w:p w14:paraId="6E144F15" w14:textId="77777777" w:rsidR="00315ADB" w:rsidRPr="00AD3D53" w:rsidRDefault="00315ADB" w:rsidP="000663E4">
      <w:pPr>
        <w:tabs>
          <w:tab w:val="left" w:pos="1195"/>
        </w:tabs>
        <w:ind w:left="567" w:right="567"/>
        <w:contextualSpacing/>
        <w:jc w:val="both"/>
        <w:rPr>
          <w:rFonts w:ascii="Arial" w:hAnsi="Arial" w:cs="Arial"/>
          <w:i/>
          <w:szCs w:val="24"/>
        </w:rPr>
      </w:pPr>
      <w:r w:rsidRPr="00AD3D53">
        <w:rPr>
          <w:rFonts w:ascii="Arial" w:hAnsi="Arial" w:cs="Arial"/>
          <w:szCs w:val="24"/>
        </w:rPr>
        <w:t>“</w:t>
      </w:r>
      <w:r w:rsidR="005254F6" w:rsidRPr="00AD3D53">
        <w:rPr>
          <w:rFonts w:ascii="Arial" w:hAnsi="Arial" w:cs="Arial"/>
          <w:i/>
          <w:szCs w:val="24"/>
        </w:rPr>
        <w:t xml:space="preserve">Una de las objeciones iniciales al dictamen consistieron en revisar toda la documentación que poseía el Patrimonio Autónomo de </w:t>
      </w:r>
      <w:proofErr w:type="spellStart"/>
      <w:r w:rsidR="005254F6" w:rsidRPr="00AD3D53">
        <w:rPr>
          <w:rFonts w:ascii="Arial" w:hAnsi="Arial" w:cs="Arial"/>
          <w:i/>
          <w:szCs w:val="24"/>
        </w:rPr>
        <w:t>Adpostal</w:t>
      </w:r>
      <w:proofErr w:type="spellEnd"/>
      <w:r w:rsidR="005254F6" w:rsidRPr="00AD3D53">
        <w:rPr>
          <w:rFonts w:ascii="Arial" w:hAnsi="Arial" w:cs="Arial"/>
          <w:i/>
          <w:szCs w:val="24"/>
        </w:rPr>
        <w:t xml:space="preserve"> en LIQUIDACION, Y QUE TAL COMO LO AFIRMA EL AUXILIAR DE LA JUSTICIA, SE NO HIZO.</w:t>
      </w:r>
    </w:p>
    <w:p w14:paraId="1C2ABF22" w14:textId="77777777" w:rsidR="005254F6" w:rsidRPr="00AD3D53" w:rsidRDefault="005254F6" w:rsidP="000663E4">
      <w:pPr>
        <w:tabs>
          <w:tab w:val="left" w:pos="1195"/>
        </w:tabs>
        <w:ind w:left="567" w:right="567"/>
        <w:contextualSpacing/>
        <w:jc w:val="both"/>
        <w:rPr>
          <w:rFonts w:ascii="Arial" w:hAnsi="Arial" w:cs="Arial"/>
          <w:i/>
          <w:szCs w:val="24"/>
        </w:rPr>
      </w:pPr>
    </w:p>
    <w:p w14:paraId="2EF34169" w14:textId="77777777" w:rsidR="005254F6" w:rsidRPr="00AD3D53" w:rsidRDefault="005254F6" w:rsidP="000663E4">
      <w:pPr>
        <w:tabs>
          <w:tab w:val="left" w:pos="1195"/>
        </w:tabs>
        <w:ind w:left="567" w:right="567"/>
        <w:contextualSpacing/>
        <w:jc w:val="both"/>
        <w:rPr>
          <w:rFonts w:ascii="Arial" w:hAnsi="Arial" w:cs="Arial"/>
          <w:i/>
          <w:szCs w:val="24"/>
        </w:rPr>
      </w:pPr>
      <w:r w:rsidRPr="00AD3D53">
        <w:rPr>
          <w:rFonts w:ascii="Arial" w:hAnsi="Arial" w:cs="Arial"/>
          <w:i/>
          <w:szCs w:val="24"/>
        </w:rPr>
        <w:t>DE OTRA PARTE, RESPECTO DE LAS CIFRAS GLOABLES CON LAS QUE SE CALCULÓ EL PERJUICIO POR PARTE DEL PERITO DESIGNADO POR EL DESPACHO, SE CONSTITUYE EN UN ELEMENTO QUE VICIA LA VERACIDAD Y LA ESPECIFICIDAD CON DQUE DEBE CONTAR EL MISMO, YA QUE EN UN EVENTO IMPROBABLE, DE UNA CONDENA PARA ADPOSTAL EN LIQUIDACIÓN, ESTA RECAERÍA SOBRE LAS CIFRAS DEL DICTAMEN PERICIAL (…).</w:t>
      </w:r>
    </w:p>
    <w:p w14:paraId="45212C9D" w14:textId="77777777" w:rsidR="005254F6" w:rsidRPr="00AD3D53" w:rsidRDefault="005254F6" w:rsidP="000663E4">
      <w:pPr>
        <w:tabs>
          <w:tab w:val="left" w:pos="1195"/>
        </w:tabs>
        <w:ind w:left="567" w:right="567"/>
        <w:contextualSpacing/>
        <w:jc w:val="both"/>
        <w:rPr>
          <w:rFonts w:ascii="Arial" w:hAnsi="Arial" w:cs="Arial"/>
          <w:i/>
          <w:szCs w:val="24"/>
          <w:lang w:val="es-CO"/>
        </w:rPr>
      </w:pPr>
      <w:r w:rsidRPr="00AD3D53">
        <w:rPr>
          <w:rFonts w:ascii="Arial" w:hAnsi="Arial" w:cs="Arial"/>
          <w:i/>
          <w:szCs w:val="24"/>
        </w:rPr>
        <w:t xml:space="preserve">Lo anterior no es </w:t>
      </w:r>
      <w:proofErr w:type="spellStart"/>
      <w:r w:rsidRPr="00AD3D53">
        <w:rPr>
          <w:rFonts w:ascii="Arial" w:hAnsi="Arial" w:cs="Arial"/>
          <w:i/>
          <w:szCs w:val="24"/>
        </w:rPr>
        <w:t>mas</w:t>
      </w:r>
      <w:proofErr w:type="spellEnd"/>
      <w:r w:rsidRPr="00AD3D53">
        <w:rPr>
          <w:rFonts w:ascii="Arial" w:hAnsi="Arial" w:cs="Arial"/>
          <w:i/>
          <w:szCs w:val="24"/>
        </w:rPr>
        <w:t xml:space="preserve"> que la demostración clara de que el dictamen pericial está elaborado sobre supuestos generales, abstractos, indeterminados, y por tanto las cifras que arroja el dictamen, adolecen</w:t>
      </w:r>
      <w:r w:rsidR="000663E4" w:rsidRPr="00AD3D53">
        <w:rPr>
          <w:rFonts w:ascii="Arial" w:hAnsi="Arial" w:cs="Arial"/>
          <w:i/>
          <w:szCs w:val="24"/>
        </w:rPr>
        <w:t xml:space="preserve"> de las mismas deficiencias (…)”.</w:t>
      </w:r>
    </w:p>
    <w:p w14:paraId="24B96A37" w14:textId="77777777" w:rsidR="002735D0" w:rsidRPr="00AD3D53" w:rsidRDefault="002735D0" w:rsidP="00092306">
      <w:pPr>
        <w:spacing w:line="360" w:lineRule="auto"/>
        <w:contextualSpacing/>
        <w:jc w:val="both"/>
        <w:rPr>
          <w:rFonts w:ascii="Arial" w:hAnsi="Arial" w:cs="Arial"/>
          <w:sz w:val="24"/>
          <w:szCs w:val="24"/>
          <w:highlight w:val="yellow"/>
        </w:rPr>
      </w:pPr>
    </w:p>
    <w:p w14:paraId="782C7806" w14:textId="77777777" w:rsidR="002735D0" w:rsidRPr="00AD3D53" w:rsidRDefault="002735D0" w:rsidP="00092306">
      <w:pPr>
        <w:spacing w:line="360" w:lineRule="auto"/>
        <w:contextualSpacing/>
        <w:jc w:val="both"/>
        <w:rPr>
          <w:rFonts w:ascii="Arial" w:hAnsi="Arial" w:cs="Arial"/>
          <w:sz w:val="24"/>
          <w:szCs w:val="24"/>
        </w:rPr>
      </w:pPr>
      <w:r w:rsidRPr="00AD3D53">
        <w:rPr>
          <w:rFonts w:ascii="Arial" w:hAnsi="Arial" w:cs="Arial"/>
          <w:sz w:val="24"/>
          <w:szCs w:val="24"/>
        </w:rPr>
        <w:t xml:space="preserve">54. Al momento de pronunciarse sobre el dictamen, el Tribunal </w:t>
      </w:r>
      <w:r w:rsidR="00555446" w:rsidRPr="00AD3D53">
        <w:rPr>
          <w:rFonts w:ascii="Arial" w:hAnsi="Arial" w:cs="Arial"/>
          <w:sz w:val="24"/>
          <w:szCs w:val="24"/>
        </w:rPr>
        <w:t>señal</w:t>
      </w:r>
      <w:r w:rsidR="00821C16" w:rsidRPr="00AD3D53">
        <w:rPr>
          <w:rFonts w:ascii="Arial" w:hAnsi="Arial" w:cs="Arial"/>
          <w:sz w:val="24"/>
          <w:szCs w:val="24"/>
        </w:rPr>
        <w:t xml:space="preserve">ó que </w:t>
      </w:r>
      <w:r w:rsidR="005E44DE" w:rsidRPr="00AD3D53">
        <w:rPr>
          <w:rFonts w:ascii="Arial" w:hAnsi="Arial" w:cs="Arial"/>
          <w:sz w:val="24"/>
          <w:szCs w:val="24"/>
        </w:rPr>
        <w:t xml:space="preserve">se apartaría de la cuantificación </w:t>
      </w:r>
      <w:r w:rsidR="00BC7220" w:rsidRPr="00AD3D53">
        <w:rPr>
          <w:rFonts w:ascii="Arial" w:hAnsi="Arial" w:cs="Arial"/>
          <w:sz w:val="24"/>
          <w:szCs w:val="24"/>
        </w:rPr>
        <w:t xml:space="preserve">de perjuicios </w:t>
      </w:r>
      <w:r w:rsidR="0066195F" w:rsidRPr="00AD3D53">
        <w:rPr>
          <w:rFonts w:ascii="Arial" w:hAnsi="Arial" w:cs="Arial"/>
          <w:sz w:val="24"/>
          <w:szCs w:val="24"/>
        </w:rPr>
        <w:t xml:space="preserve">realizada por el perito, no porque </w:t>
      </w:r>
      <w:r w:rsidR="00936DBD" w:rsidRPr="00AD3D53">
        <w:rPr>
          <w:rFonts w:ascii="Arial" w:hAnsi="Arial" w:cs="Arial"/>
          <w:sz w:val="24"/>
          <w:szCs w:val="24"/>
        </w:rPr>
        <w:t xml:space="preserve">el dictamen adoleciera de deficiencias técnicas, </w:t>
      </w:r>
      <w:r w:rsidR="0001414E" w:rsidRPr="00AD3D53">
        <w:rPr>
          <w:rFonts w:ascii="Arial" w:hAnsi="Arial" w:cs="Arial"/>
          <w:sz w:val="24"/>
          <w:szCs w:val="24"/>
        </w:rPr>
        <w:t>sino por apreciaciones de tipo jur</w:t>
      </w:r>
      <w:r w:rsidR="00720762" w:rsidRPr="00AD3D53">
        <w:rPr>
          <w:rFonts w:ascii="Arial" w:hAnsi="Arial" w:cs="Arial"/>
          <w:sz w:val="24"/>
          <w:szCs w:val="24"/>
        </w:rPr>
        <w:t>ídico, que hacían que las conc</w:t>
      </w:r>
      <w:r w:rsidR="00147E1F" w:rsidRPr="00AD3D53">
        <w:rPr>
          <w:rFonts w:ascii="Arial" w:hAnsi="Arial" w:cs="Arial"/>
          <w:sz w:val="24"/>
          <w:szCs w:val="24"/>
        </w:rPr>
        <w:t>lusiones del experto no pudieran</w:t>
      </w:r>
      <w:r w:rsidR="00720762" w:rsidRPr="00AD3D53">
        <w:rPr>
          <w:rFonts w:ascii="Arial" w:hAnsi="Arial" w:cs="Arial"/>
          <w:sz w:val="24"/>
          <w:szCs w:val="24"/>
        </w:rPr>
        <w:t xml:space="preserve"> ser acogidas.</w:t>
      </w:r>
    </w:p>
    <w:p w14:paraId="5D057949" w14:textId="77777777" w:rsidR="00555446" w:rsidRPr="00AD3D53" w:rsidRDefault="00555446" w:rsidP="00092306">
      <w:pPr>
        <w:spacing w:line="360" w:lineRule="auto"/>
        <w:contextualSpacing/>
        <w:jc w:val="both"/>
        <w:rPr>
          <w:rFonts w:ascii="Arial" w:hAnsi="Arial" w:cs="Arial"/>
          <w:sz w:val="24"/>
          <w:szCs w:val="24"/>
        </w:rPr>
      </w:pPr>
      <w:bookmarkStart w:id="7" w:name="_Hlk18591189"/>
    </w:p>
    <w:p w14:paraId="360AD025" w14:textId="77777777" w:rsidR="00CE2D84" w:rsidRDefault="00555446" w:rsidP="00092306">
      <w:pPr>
        <w:spacing w:line="360" w:lineRule="auto"/>
        <w:contextualSpacing/>
        <w:jc w:val="both"/>
        <w:rPr>
          <w:rFonts w:ascii="Arial" w:hAnsi="Arial" w:cs="Arial"/>
          <w:sz w:val="24"/>
          <w:szCs w:val="24"/>
        </w:rPr>
      </w:pPr>
      <w:r w:rsidRPr="00AD3D53">
        <w:rPr>
          <w:rFonts w:ascii="Arial" w:hAnsi="Arial" w:cs="Arial"/>
          <w:sz w:val="24"/>
          <w:szCs w:val="24"/>
        </w:rPr>
        <w:t>55.</w:t>
      </w:r>
      <w:r w:rsidR="0014672E" w:rsidRPr="00AD3D53">
        <w:rPr>
          <w:rFonts w:ascii="Arial" w:hAnsi="Arial" w:cs="Arial"/>
          <w:sz w:val="24"/>
          <w:szCs w:val="24"/>
        </w:rPr>
        <w:t xml:space="preserve"> Revisado </w:t>
      </w:r>
      <w:r w:rsidR="003C6FB1" w:rsidRPr="00AD3D53">
        <w:rPr>
          <w:rFonts w:ascii="Arial" w:hAnsi="Arial" w:cs="Arial"/>
          <w:sz w:val="24"/>
          <w:szCs w:val="24"/>
        </w:rPr>
        <w:t xml:space="preserve">el dictamen elaborado por </w:t>
      </w:r>
      <w:r w:rsidR="00042582" w:rsidRPr="00AD3D53">
        <w:rPr>
          <w:rFonts w:ascii="Arial" w:hAnsi="Arial" w:cs="Arial"/>
          <w:sz w:val="24"/>
          <w:szCs w:val="24"/>
        </w:rPr>
        <w:t xml:space="preserve">el perito, </w:t>
      </w:r>
      <w:r w:rsidR="00C905BB" w:rsidRPr="00AD3D53">
        <w:rPr>
          <w:rFonts w:ascii="Arial" w:hAnsi="Arial" w:cs="Arial"/>
          <w:sz w:val="24"/>
          <w:szCs w:val="24"/>
        </w:rPr>
        <w:t xml:space="preserve">se evidencia </w:t>
      </w:r>
      <w:r w:rsidR="0012096C" w:rsidRPr="00AD3D53">
        <w:rPr>
          <w:rFonts w:ascii="Arial" w:hAnsi="Arial" w:cs="Arial"/>
          <w:sz w:val="24"/>
          <w:szCs w:val="24"/>
        </w:rPr>
        <w:t>que</w:t>
      </w:r>
      <w:r w:rsidR="009C5B36" w:rsidRPr="00AD3D53">
        <w:rPr>
          <w:rFonts w:ascii="Arial" w:hAnsi="Arial" w:cs="Arial"/>
          <w:sz w:val="24"/>
          <w:szCs w:val="24"/>
        </w:rPr>
        <w:t xml:space="preserve"> el perito realizó las siguientes actividades: </w:t>
      </w:r>
      <w:r w:rsidR="00C340A0" w:rsidRPr="00AD3D53">
        <w:rPr>
          <w:rFonts w:ascii="Arial" w:hAnsi="Arial" w:cs="Arial"/>
          <w:sz w:val="24"/>
          <w:szCs w:val="24"/>
        </w:rPr>
        <w:t>(</w:t>
      </w:r>
      <w:r w:rsidR="008758A7" w:rsidRPr="00AD3D53">
        <w:rPr>
          <w:rFonts w:ascii="Arial" w:hAnsi="Arial" w:cs="Arial"/>
          <w:sz w:val="24"/>
          <w:szCs w:val="24"/>
        </w:rPr>
        <w:t xml:space="preserve">1) solicitud de copia de los documentos obrantes en el expediente; </w:t>
      </w:r>
      <w:r w:rsidR="00C340A0" w:rsidRPr="00AD3D53">
        <w:rPr>
          <w:rFonts w:ascii="Arial" w:hAnsi="Arial" w:cs="Arial"/>
          <w:sz w:val="24"/>
          <w:szCs w:val="24"/>
        </w:rPr>
        <w:t>(</w:t>
      </w:r>
      <w:r w:rsidR="008758A7" w:rsidRPr="00AD3D53">
        <w:rPr>
          <w:rFonts w:ascii="Arial" w:hAnsi="Arial" w:cs="Arial"/>
          <w:sz w:val="24"/>
          <w:szCs w:val="24"/>
        </w:rPr>
        <w:t xml:space="preserve">2) </w:t>
      </w:r>
      <w:r w:rsidR="00C824B7" w:rsidRPr="00AD3D53">
        <w:rPr>
          <w:rFonts w:ascii="Arial" w:hAnsi="Arial" w:cs="Arial"/>
          <w:sz w:val="24"/>
          <w:szCs w:val="24"/>
        </w:rPr>
        <w:t xml:space="preserve">visitas a la sede de la Secretaría de Hacienda; </w:t>
      </w:r>
      <w:r w:rsidR="00C340A0" w:rsidRPr="00AD3D53">
        <w:rPr>
          <w:rFonts w:ascii="Arial" w:hAnsi="Arial" w:cs="Arial"/>
          <w:sz w:val="24"/>
          <w:szCs w:val="24"/>
        </w:rPr>
        <w:t>(</w:t>
      </w:r>
      <w:r w:rsidR="00C824B7" w:rsidRPr="00AD3D53">
        <w:rPr>
          <w:rFonts w:ascii="Arial" w:hAnsi="Arial" w:cs="Arial"/>
          <w:sz w:val="24"/>
          <w:szCs w:val="24"/>
        </w:rPr>
        <w:t xml:space="preserve">3) </w:t>
      </w:r>
      <w:r w:rsidR="00A2761F" w:rsidRPr="00AD3D53">
        <w:rPr>
          <w:rFonts w:ascii="Arial" w:hAnsi="Arial" w:cs="Arial"/>
          <w:sz w:val="24"/>
          <w:szCs w:val="24"/>
        </w:rPr>
        <w:t xml:space="preserve">revisión de la documentación </w:t>
      </w:r>
      <w:r w:rsidR="0017376F" w:rsidRPr="00AD3D53">
        <w:rPr>
          <w:rFonts w:ascii="Arial" w:hAnsi="Arial" w:cs="Arial"/>
          <w:sz w:val="24"/>
          <w:szCs w:val="24"/>
        </w:rPr>
        <w:t xml:space="preserve">obrante en los archivos de la Secretaría de Hacienda; </w:t>
      </w:r>
      <w:r w:rsidR="00C340A0" w:rsidRPr="00AD3D53">
        <w:rPr>
          <w:rFonts w:ascii="Arial" w:hAnsi="Arial" w:cs="Arial"/>
          <w:sz w:val="24"/>
          <w:szCs w:val="24"/>
        </w:rPr>
        <w:t>(</w:t>
      </w:r>
      <w:r w:rsidR="0017376F" w:rsidRPr="00AD3D53">
        <w:rPr>
          <w:rFonts w:ascii="Arial" w:hAnsi="Arial" w:cs="Arial"/>
          <w:sz w:val="24"/>
          <w:szCs w:val="24"/>
        </w:rPr>
        <w:t xml:space="preserve">4) </w:t>
      </w:r>
      <w:r w:rsidR="0012757B" w:rsidRPr="00AD3D53">
        <w:rPr>
          <w:rFonts w:ascii="Arial" w:hAnsi="Arial" w:cs="Arial"/>
          <w:sz w:val="24"/>
          <w:szCs w:val="24"/>
        </w:rPr>
        <w:t xml:space="preserve">indagación sobre la forma como </w:t>
      </w:r>
      <w:proofErr w:type="spellStart"/>
      <w:r w:rsidR="0012757B" w:rsidRPr="00AD3D53">
        <w:rPr>
          <w:rFonts w:ascii="Arial" w:hAnsi="Arial" w:cs="Arial"/>
          <w:sz w:val="24"/>
          <w:szCs w:val="24"/>
        </w:rPr>
        <w:t>Adpostal</w:t>
      </w:r>
      <w:proofErr w:type="spellEnd"/>
      <w:r w:rsidR="0012757B" w:rsidRPr="00AD3D53">
        <w:rPr>
          <w:rFonts w:ascii="Arial" w:hAnsi="Arial" w:cs="Arial"/>
          <w:sz w:val="24"/>
          <w:szCs w:val="24"/>
        </w:rPr>
        <w:t xml:space="preserve"> </w:t>
      </w:r>
      <w:r w:rsidR="00DC2F2F" w:rsidRPr="00AD3D53">
        <w:rPr>
          <w:rFonts w:ascii="Arial" w:hAnsi="Arial" w:cs="Arial"/>
          <w:sz w:val="24"/>
          <w:szCs w:val="24"/>
        </w:rPr>
        <w:t>prestaba el servicio</w:t>
      </w:r>
      <w:bookmarkEnd w:id="7"/>
      <w:r w:rsidR="00CE2D84" w:rsidRPr="00AD3D53">
        <w:rPr>
          <w:rFonts w:ascii="Arial" w:hAnsi="Arial" w:cs="Arial"/>
          <w:sz w:val="24"/>
          <w:szCs w:val="24"/>
        </w:rPr>
        <w:t>.</w:t>
      </w:r>
    </w:p>
    <w:p w14:paraId="57DFE120" w14:textId="77777777" w:rsidR="009F1EC0" w:rsidRPr="00AD3D53" w:rsidRDefault="009F1EC0" w:rsidP="00092306">
      <w:pPr>
        <w:spacing w:line="360" w:lineRule="auto"/>
        <w:contextualSpacing/>
        <w:jc w:val="both"/>
        <w:rPr>
          <w:rFonts w:ascii="Arial" w:hAnsi="Arial" w:cs="Arial"/>
          <w:sz w:val="24"/>
          <w:szCs w:val="24"/>
        </w:rPr>
      </w:pPr>
    </w:p>
    <w:p w14:paraId="42CC5F9E" w14:textId="77777777" w:rsidR="00CE2D84" w:rsidRPr="00AD3D53" w:rsidRDefault="00CE2D84" w:rsidP="00092306">
      <w:pPr>
        <w:spacing w:line="360" w:lineRule="auto"/>
        <w:contextualSpacing/>
        <w:jc w:val="both"/>
        <w:rPr>
          <w:rFonts w:ascii="Arial" w:hAnsi="Arial" w:cs="Arial"/>
          <w:i/>
          <w:sz w:val="24"/>
          <w:szCs w:val="24"/>
        </w:rPr>
      </w:pPr>
      <w:r w:rsidRPr="00AD3D53">
        <w:rPr>
          <w:rFonts w:ascii="Arial" w:hAnsi="Arial" w:cs="Arial"/>
          <w:sz w:val="24"/>
          <w:szCs w:val="24"/>
        </w:rPr>
        <w:t xml:space="preserve">56. </w:t>
      </w:r>
      <w:r w:rsidR="00E76F9C" w:rsidRPr="00AD3D53">
        <w:rPr>
          <w:rFonts w:ascii="Arial" w:hAnsi="Arial" w:cs="Arial"/>
          <w:sz w:val="24"/>
          <w:szCs w:val="24"/>
        </w:rPr>
        <w:t xml:space="preserve">Así mismo, </w:t>
      </w:r>
      <w:r w:rsidR="002E304B" w:rsidRPr="00AD3D53">
        <w:rPr>
          <w:rFonts w:ascii="Arial" w:hAnsi="Arial" w:cs="Arial"/>
          <w:sz w:val="24"/>
          <w:szCs w:val="24"/>
        </w:rPr>
        <w:t>defini</w:t>
      </w:r>
      <w:r w:rsidR="005A33D4" w:rsidRPr="00AD3D53">
        <w:rPr>
          <w:rFonts w:ascii="Arial" w:hAnsi="Arial" w:cs="Arial"/>
          <w:sz w:val="24"/>
          <w:szCs w:val="24"/>
        </w:rPr>
        <w:t>ó la</w:t>
      </w:r>
      <w:r w:rsidR="002E304B" w:rsidRPr="00AD3D53">
        <w:rPr>
          <w:rFonts w:ascii="Arial" w:hAnsi="Arial" w:cs="Arial"/>
          <w:sz w:val="24"/>
          <w:szCs w:val="24"/>
        </w:rPr>
        <w:t xml:space="preserve"> metodología </w:t>
      </w:r>
      <w:r w:rsidR="00E23AE4" w:rsidRPr="00AD3D53">
        <w:rPr>
          <w:rFonts w:ascii="Arial" w:hAnsi="Arial" w:cs="Arial"/>
          <w:sz w:val="24"/>
          <w:szCs w:val="24"/>
        </w:rPr>
        <w:t xml:space="preserve">de cálculo de </w:t>
      </w:r>
      <w:r w:rsidR="007D6640" w:rsidRPr="00AD3D53">
        <w:rPr>
          <w:rFonts w:ascii="Arial" w:hAnsi="Arial" w:cs="Arial"/>
          <w:sz w:val="24"/>
          <w:szCs w:val="24"/>
        </w:rPr>
        <w:t xml:space="preserve">los perjuicios ocasionados, </w:t>
      </w:r>
      <w:r w:rsidR="005A33D4" w:rsidRPr="00AD3D53">
        <w:rPr>
          <w:rFonts w:ascii="Arial" w:hAnsi="Arial" w:cs="Arial"/>
          <w:sz w:val="24"/>
          <w:szCs w:val="24"/>
        </w:rPr>
        <w:t>indicando además que “</w:t>
      </w:r>
      <w:r w:rsidR="005A33D4" w:rsidRPr="00AD3D53">
        <w:rPr>
          <w:rFonts w:ascii="Arial" w:hAnsi="Arial" w:cs="Arial"/>
          <w:i/>
          <w:sz w:val="24"/>
          <w:szCs w:val="24"/>
        </w:rPr>
        <w:t>una vez obtenidos los datos que soportan la cuantificación de los daños ocasionados a la demandante en este proceso, se procedió a actualizarlos con el IPC suministrado por el DANE. Igualmente sobre los valores así establecidos, se calculan los intereses correspondientes</w:t>
      </w:r>
      <w:r w:rsidR="00CF1E0E" w:rsidRPr="00AD3D53">
        <w:rPr>
          <w:rFonts w:ascii="Arial" w:hAnsi="Arial" w:cs="Arial"/>
          <w:i/>
          <w:sz w:val="24"/>
          <w:szCs w:val="24"/>
        </w:rPr>
        <w:t xml:space="preserve"> sobre los valores </w:t>
      </w:r>
      <w:r w:rsidR="00CF1E0E" w:rsidRPr="00AD3D53">
        <w:rPr>
          <w:rFonts w:ascii="Arial" w:hAnsi="Arial" w:cs="Arial"/>
          <w:i/>
          <w:sz w:val="24"/>
          <w:szCs w:val="24"/>
        </w:rPr>
        <w:lastRenderedPageBreak/>
        <w:t xml:space="preserve">obtenidos e indexados, </w:t>
      </w:r>
      <w:r w:rsidR="0062252F" w:rsidRPr="00AD3D53">
        <w:rPr>
          <w:rFonts w:ascii="Arial" w:hAnsi="Arial" w:cs="Arial"/>
          <w:i/>
          <w:sz w:val="24"/>
          <w:szCs w:val="24"/>
        </w:rPr>
        <w:t>a la tasa prevista</w:t>
      </w:r>
      <w:r w:rsidR="004132DB" w:rsidRPr="00AD3D53">
        <w:rPr>
          <w:rFonts w:ascii="Arial" w:hAnsi="Arial" w:cs="Arial"/>
          <w:i/>
          <w:sz w:val="24"/>
          <w:szCs w:val="24"/>
        </w:rPr>
        <w:t xml:space="preserve"> de acuerdo a la normatividad vigente sobre la materia, o sea al doble del interés civil”.</w:t>
      </w:r>
    </w:p>
    <w:p w14:paraId="357D05D1" w14:textId="77777777" w:rsidR="00B5354E" w:rsidRPr="00AD3D53" w:rsidRDefault="00B5354E" w:rsidP="00092306">
      <w:pPr>
        <w:spacing w:line="360" w:lineRule="auto"/>
        <w:contextualSpacing/>
        <w:jc w:val="both"/>
        <w:rPr>
          <w:rFonts w:ascii="Arial" w:hAnsi="Arial" w:cs="Arial"/>
          <w:i/>
          <w:sz w:val="24"/>
          <w:szCs w:val="24"/>
        </w:rPr>
      </w:pPr>
    </w:p>
    <w:p w14:paraId="1854FF77" w14:textId="77777777" w:rsidR="00B5354E" w:rsidRPr="00AD3D53" w:rsidRDefault="00B5354E" w:rsidP="00092306">
      <w:pPr>
        <w:spacing w:line="360" w:lineRule="auto"/>
        <w:contextualSpacing/>
        <w:jc w:val="both"/>
        <w:rPr>
          <w:rFonts w:ascii="Arial" w:hAnsi="Arial" w:cs="Arial"/>
          <w:sz w:val="24"/>
          <w:szCs w:val="24"/>
        </w:rPr>
      </w:pPr>
      <w:r w:rsidRPr="00AD3D53">
        <w:rPr>
          <w:rFonts w:ascii="Arial" w:hAnsi="Arial" w:cs="Arial"/>
          <w:sz w:val="24"/>
          <w:szCs w:val="24"/>
        </w:rPr>
        <w:t xml:space="preserve">57. </w:t>
      </w:r>
      <w:r w:rsidR="00DA6CC0" w:rsidRPr="00AD3D53">
        <w:rPr>
          <w:rFonts w:ascii="Arial" w:hAnsi="Arial" w:cs="Arial"/>
          <w:sz w:val="24"/>
          <w:szCs w:val="24"/>
        </w:rPr>
        <w:t xml:space="preserve">En el acápite de análisis y sustentación del dictamen pericial, </w:t>
      </w:r>
      <w:r w:rsidR="00144E78" w:rsidRPr="00AD3D53">
        <w:rPr>
          <w:rFonts w:ascii="Arial" w:hAnsi="Arial" w:cs="Arial"/>
          <w:sz w:val="24"/>
          <w:szCs w:val="24"/>
        </w:rPr>
        <w:t xml:space="preserve">se observa que el perito </w:t>
      </w:r>
      <w:r w:rsidR="00584CBD" w:rsidRPr="00AD3D53">
        <w:rPr>
          <w:rFonts w:ascii="Arial" w:hAnsi="Arial" w:cs="Arial"/>
          <w:sz w:val="24"/>
          <w:szCs w:val="24"/>
        </w:rPr>
        <w:t xml:space="preserve">soportó su análisis en el memorando </w:t>
      </w:r>
      <w:r w:rsidR="000B76A7" w:rsidRPr="00AD3D53">
        <w:rPr>
          <w:rFonts w:ascii="Arial" w:hAnsi="Arial" w:cs="Arial"/>
          <w:sz w:val="24"/>
          <w:szCs w:val="24"/>
        </w:rPr>
        <w:t>2008IE36925 de 20 de octubre de 2008, a p</w:t>
      </w:r>
      <w:r w:rsidR="00910A75" w:rsidRPr="00AD3D53">
        <w:rPr>
          <w:rFonts w:ascii="Arial" w:hAnsi="Arial" w:cs="Arial"/>
          <w:sz w:val="24"/>
          <w:szCs w:val="24"/>
        </w:rPr>
        <w:t xml:space="preserve">artir del cual pudo extraer que, durante la ejecución del contrato, </w:t>
      </w:r>
      <w:r w:rsidR="00FA7D27" w:rsidRPr="00AD3D53">
        <w:rPr>
          <w:rFonts w:ascii="Arial" w:hAnsi="Arial" w:cs="Arial"/>
          <w:sz w:val="24"/>
          <w:szCs w:val="24"/>
        </w:rPr>
        <w:t>5</w:t>
      </w:r>
      <w:r w:rsidR="0036716E" w:rsidRPr="00AD3D53">
        <w:rPr>
          <w:rFonts w:ascii="Arial" w:hAnsi="Arial" w:cs="Arial"/>
          <w:sz w:val="24"/>
          <w:szCs w:val="24"/>
        </w:rPr>
        <w:t>.</w:t>
      </w:r>
      <w:r w:rsidR="00FA7D27" w:rsidRPr="00AD3D53">
        <w:rPr>
          <w:rFonts w:ascii="Arial" w:hAnsi="Arial" w:cs="Arial"/>
          <w:sz w:val="24"/>
          <w:szCs w:val="24"/>
        </w:rPr>
        <w:t>852 entregas</w:t>
      </w:r>
      <w:r w:rsidR="00287099" w:rsidRPr="00AD3D53">
        <w:rPr>
          <w:rFonts w:ascii="Arial" w:hAnsi="Arial" w:cs="Arial"/>
          <w:sz w:val="24"/>
          <w:szCs w:val="24"/>
        </w:rPr>
        <w:t xml:space="preserve"> de actos administrativos</w:t>
      </w:r>
      <w:r w:rsidR="00FA7D27" w:rsidRPr="00AD3D53">
        <w:rPr>
          <w:rFonts w:ascii="Arial" w:hAnsi="Arial" w:cs="Arial"/>
          <w:sz w:val="24"/>
          <w:szCs w:val="24"/>
        </w:rPr>
        <w:t xml:space="preserve"> no fueron certificadas por </w:t>
      </w:r>
      <w:proofErr w:type="spellStart"/>
      <w:r w:rsidR="00FA7D27" w:rsidRPr="00AD3D53">
        <w:rPr>
          <w:rFonts w:ascii="Arial" w:hAnsi="Arial" w:cs="Arial"/>
          <w:sz w:val="24"/>
          <w:szCs w:val="24"/>
        </w:rPr>
        <w:t>Adpostal</w:t>
      </w:r>
      <w:proofErr w:type="spellEnd"/>
      <w:r w:rsidR="00FA7D27" w:rsidRPr="00AD3D53">
        <w:rPr>
          <w:rFonts w:ascii="Arial" w:hAnsi="Arial" w:cs="Arial"/>
          <w:sz w:val="24"/>
          <w:szCs w:val="24"/>
        </w:rPr>
        <w:t xml:space="preserve">, </w:t>
      </w:r>
      <w:r w:rsidR="00361BF0" w:rsidRPr="00AD3D53">
        <w:rPr>
          <w:rFonts w:ascii="Arial" w:hAnsi="Arial" w:cs="Arial"/>
          <w:sz w:val="24"/>
          <w:szCs w:val="24"/>
        </w:rPr>
        <w:t>de</w:t>
      </w:r>
      <w:r w:rsidR="005A426C" w:rsidRPr="00AD3D53">
        <w:rPr>
          <w:rFonts w:ascii="Arial" w:hAnsi="Arial" w:cs="Arial"/>
          <w:sz w:val="24"/>
          <w:szCs w:val="24"/>
        </w:rPr>
        <w:t xml:space="preserve"> las cuales 4</w:t>
      </w:r>
      <w:r w:rsidR="0036716E" w:rsidRPr="00AD3D53">
        <w:rPr>
          <w:rFonts w:ascii="Arial" w:hAnsi="Arial" w:cs="Arial"/>
          <w:sz w:val="24"/>
          <w:szCs w:val="24"/>
        </w:rPr>
        <w:t>.</w:t>
      </w:r>
      <w:r w:rsidR="005A426C" w:rsidRPr="00AD3D53">
        <w:rPr>
          <w:rFonts w:ascii="Arial" w:hAnsi="Arial" w:cs="Arial"/>
          <w:sz w:val="24"/>
          <w:szCs w:val="24"/>
        </w:rPr>
        <w:t>162 actos admini</w:t>
      </w:r>
      <w:r w:rsidR="009801FE" w:rsidRPr="00AD3D53">
        <w:rPr>
          <w:rFonts w:ascii="Arial" w:hAnsi="Arial" w:cs="Arial"/>
          <w:sz w:val="24"/>
          <w:szCs w:val="24"/>
        </w:rPr>
        <w:t>strativos no fueron pagados</w:t>
      </w:r>
      <w:r w:rsidR="00AD4342" w:rsidRPr="00AD3D53">
        <w:rPr>
          <w:rFonts w:ascii="Arial" w:hAnsi="Arial" w:cs="Arial"/>
          <w:sz w:val="24"/>
          <w:szCs w:val="24"/>
        </w:rPr>
        <w:t xml:space="preserve"> por los contribuyentes</w:t>
      </w:r>
      <w:r w:rsidR="00361BF0" w:rsidRPr="00AD3D53">
        <w:rPr>
          <w:rFonts w:ascii="Arial" w:hAnsi="Arial" w:cs="Arial"/>
          <w:sz w:val="24"/>
          <w:szCs w:val="24"/>
        </w:rPr>
        <w:t>, por un valor de $16.020.981.760,oo de pesos.</w:t>
      </w:r>
    </w:p>
    <w:p w14:paraId="0FD93839" w14:textId="77777777" w:rsidR="000643FE" w:rsidRPr="00AD3D53" w:rsidRDefault="000643FE" w:rsidP="00092306">
      <w:pPr>
        <w:spacing w:line="360" w:lineRule="auto"/>
        <w:contextualSpacing/>
        <w:jc w:val="both"/>
        <w:rPr>
          <w:rFonts w:ascii="Arial" w:hAnsi="Arial" w:cs="Arial"/>
          <w:sz w:val="24"/>
          <w:szCs w:val="24"/>
        </w:rPr>
      </w:pPr>
    </w:p>
    <w:p w14:paraId="1B4E9AD5" w14:textId="77777777" w:rsidR="000643FE" w:rsidRPr="00AD3D53" w:rsidRDefault="000643FE" w:rsidP="00092306">
      <w:pPr>
        <w:spacing w:line="360" w:lineRule="auto"/>
        <w:contextualSpacing/>
        <w:jc w:val="both"/>
        <w:rPr>
          <w:rFonts w:ascii="Arial" w:hAnsi="Arial" w:cs="Arial"/>
          <w:sz w:val="24"/>
          <w:szCs w:val="24"/>
        </w:rPr>
      </w:pPr>
      <w:r w:rsidRPr="00AD3D53">
        <w:rPr>
          <w:rFonts w:ascii="Arial" w:hAnsi="Arial" w:cs="Arial"/>
          <w:sz w:val="24"/>
          <w:szCs w:val="24"/>
        </w:rPr>
        <w:t xml:space="preserve">58. Finalmente, </w:t>
      </w:r>
      <w:r w:rsidR="004E32E6" w:rsidRPr="00AD3D53">
        <w:rPr>
          <w:rFonts w:ascii="Arial" w:hAnsi="Arial" w:cs="Arial"/>
          <w:sz w:val="24"/>
          <w:szCs w:val="24"/>
        </w:rPr>
        <w:t>el perito aplicó a la cifra de $16.020.981.760,oo de pesos su conocimiento técnico, actualizando esta cifra a 2008, y calculando sobre la misma intereses moratorios.</w:t>
      </w:r>
    </w:p>
    <w:p w14:paraId="319692BB" w14:textId="77777777" w:rsidR="00016A51" w:rsidRPr="00AD3D53" w:rsidRDefault="00016A51" w:rsidP="00092306">
      <w:pPr>
        <w:spacing w:line="360" w:lineRule="auto"/>
        <w:contextualSpacing/>
        <w:jc w:val="both"/>
        <w:rPr>
          <w:rFonts w:ascii="Arial" w:hAnsi="Arial" w:cs="Arial"/>
          <w:sz w:val="24"/>
          <w:szCs w:val="24"/>
        </w:rPr>
      </w:pPr>
    </w:p>
    <w:p w14:paraId="7887CFFF" w14:textId="77777777" w:rsidR="00B71189" w:rsidRPr="00AD3D53" w:rsidRDefault="00935A28" w:rsidP="00097638">
      <w:pPr>
        <w:shd w:val="clear" w:color="auto" w:fill="FFFFFF"/>
        <w:spacing w:line="360" w:lineRule="auto"/>
        <w:jc w:val="both"/>
        <w:rPr>
          <w:rFonts w:ascii="Arial" w:hAnsi="Arial" w:cs="Arial"/>
          <w:sz w:val="24"/>
          <w:szCs w:val="24"/>
        </w:rPr>
      </w:pPr>
      <w:r w:rsidRPr="00AD3D53">
        <w:rPr>
          <w:rFonts w:ascii="Arial" w:hAnsi="Arial" w:cs="Arial"/>
          <w:sz w:val="24"/>
          <w:szCs w:val="24"/>
        </w:rPr>
        <w:t xml:space="preserve">59. </w:t>
      </w:r>
      <w:bookmarkStart w:id="8" w:name="_Hlk18591246"/>
      <w:r w:rsidR="004600D0" w:rsidRPr="00AD3D53">
        <w:rPr>
          <w:rFonts w:ascii="Arial" w:hAnsi="Arial" w:cs="Arial"/>
          <w:sz w:val="24"/>
          <w:szCs w:val="24"/>
        </w:rPr>
        <w:t>De conformidad con lo anterior, l</w:t>
      </w:r>
      <w:r w:rsidR="004376AD" w:rsidRPr="00AD3D53">
        <w:rPr>
          <w:rFonts w:ascii="Arial" w:hAnsi="Arial" w:cs="Arial"/>
          <w:sz w:val="24"/>
          <w:szCs w:val="24"/>
        </w:rPr>
        <w:t>a Sala encuentra que en el presente asunto los argumentos que integran la objeción de la demandada no constituyen un error grave, en la medida en que el dictamen cumplió con lo dispues</w:t>
      </w:r>
      <w:r w:rsidR="00A472C3" w:rsidRPr="00AD3D53">
        <w:rPr>
          <w:rFonts w:ascii="Arial" w:hAnsi="Arial" w:cs="Arial"/>
          <w:sz w:val="24"/>
          <w:szCs w:val="24"/>
        </w:rPr>
        <w:t>to por el numeral 6 del artículo 237 d</w:t>
      </w:r>
      <w:r w:rsidR="00373789" w:rsidRPr="00AD3D53">
        <w:rPr>
          <w:rFonts w:ascii="Arial" w:hAnsi="Arial" w:cs="Arial"/>
          <w:sz w:val="24"/>
          <w:szCs w:val="24"/>
        </w:rPr>
        <w:t>el CPC</w:t>
      </w:r>
      <w:r w:rsidR="00584CD7" w:rsidRPr="00AD3D53">
        <w:rPr>
          <w:rFonts w:ascii="Arial" w:hAnsi="Arial" w:cs="Arial"/>
          <w:sz w:val="24"/>
          <w:szCs w:val="24"/>
        </w:rPr>
        <w:t>.</w:t>
      </w:r>
      <w:r w:rsidR="00097638" w:rsidRPr="00AD3D53">
        <w:rPr>
          <w:rFonts w:ascii="Arial" w:hAnsi="Arial" w:cs="Arial"/>
          <w:sz w:val="24"/>
          <w:szCs w:val="24"/>
        </w:rPr>
        <w:t xml:space="preserve"> </w:t>
      </w:r>
      <w:r w:rsidR="00A45064" w:rsidRPr="00AD3D53">
        <w:rPr>
          <w:rFonts w:ascii="Arial" w:hAnsi="Arial" w:cs="Arial"/>
          <w:sz w:val="24"/>
          <w:szCs w:val="24"/>
        </w:rPr>
        <w:t>En efecto</w:t>
      </w:r>
      <w:r w:rsidR="00B71189" w:rsidRPr="00AD3D53">
        <w:rPr>
          <w:rFonts w:ascii="Arial" w:hAnsi="Arial" w:cs="Arial"/>
          <w:sz w:val="24"/>
          <w:szCs w:val="24"/>
        </w:rPr>
        <w:t>, la experticia fue rendida por</w:t>
      </w:r>
      <w:r w:rsidR="00D21126" w:rsidRPr="00AD3D53">
        <w:rPr>
          <w:rFonts w:ascii="Arial" w:hAnsi="Arial" w:cs="Arial"/>
          <w:sz w:val="24"/>
          <w:szCs w:val="24"/>
        </w:rPr>
        <w:t xml:space="preserve"> un</w:t>
      </w:r>
      <w:r w:rsidR="00B71189" w:rsidRPr="00AD3D53">
        <w:rPr>
          <w:rFonts w:ascii="Arial" w:hAnsi="Arial" w:cs="Arial"/>
          <w:sz w:val="24"/>
          <w:szCs w:val="24"/>
        </w:rPr>
        <w:t xml:space="preserve"> perito idóneo, quien rindió su concepto sin desbordar el objeto de la prueba y basado en el conocimiento de la documentac</w:t>
      </w:r>
      <w:r w:rsidR="00097638" w:rsidRPr="00AD3D53">
        <w:rPr>
          <w:rFonts w:ascii="Arial" w:hAnsi="Arial" w:cs="Arial"/>
          <w:sz w:val="24"/>
          <w:szCs w:val="24"/>
        </w:rPr>
        <w:t>ión que reposa en el expediente.</w:t>
      </w:r>
      <w:r w:rsidR="00B71189" w:rsidRPr="00AD3D53">
        <w:rPr>
          <w:rFonts w:ascii="Arial" w:hAnsi="Arial" w:cs="Arial"/>
          <w:sz w:val="24"/>
          <w:szCs w:val="24"/>
        </w:rPr>
        <w:t xml:space="preserve"> </w:t>
      </w:r>
      <w:r w:rsidR="00DA5973" w:rsidRPr="00AD3D53">
        <w:rPr>
          <w:rFonts w:ascii="Arial" w:hAnsi="Arial" w:cs="Arial"/>
          <w:sz w:val="24"/>
          <w:szCs w:val="24"/>
        </w:rPr>
        <w:t>Por tal motivo, el Tribunal acertó al declarar no probada la objeción por error grave.</w:t>
      </w:r>
    </w:p>
    <w:bookmarkEnd w:id="8"/>
    <w:p w14:paraId="0D434F18" w14:textId="77777777" w:rsidR="00092306" w:rsidRPr="00AD3D53" w:rsidRDefault="00092306" w:rsidP="00092306">
      <w:pPr>
        <w:spacing w:line="360" w:lineRule="auto"/>
        <w:contextualSpacing/>
        <w:jc w:val="both"/>
        <w:rPr>
          <w:rFonts w:ascii="Arial" w:hAnsi="Arial" w:cs="Arial"/>
          <w:sz w:val="24"/>
          <w:szCs w:val="24"/>
        </w:rPr>
      </w:pPr>
    </w:p>
    <w:p w14:paraId="6A3DFD18" w14:textId="77777777" w:rsidR="00DA1931" w:rsidRPr="00AD3D53" w:rsidRDefault="00DA1931" w:rsidP="00092306">
      <w:pPr>
        <w:spacing w:line="360" w:lineRule="auto"/>
        <w:contextualSpacing/>
        <w:jc w:val="both"/>
        <w:rPr>
          <w:rFonts w:ascii="Arial" w:hAnsi="Arial" w:cs="Arial"/>
          <w:sz w:val="24"/>
          <w:szCs w:val="24"/>
        </w:rPr>
      </w:pPr>
    </w:p>
    <w:p w14:paraId="67237674" w14:textId="77777777" w:rsidR="00092306" w:rsidRPr="00AD3D53" w:rsidRDefault="002243AA" w:rsidP="00092306">
      <w:pPr>
        <w:spacing w:line="360" w:lineRule="auto"/>
        <w:contextualSpacing/>
        <w:jc w:val="both"/>
        <w:rPr>
          <w:rFonts w:ascii="Arial" w:hAnsi="Arial" w:cs="Arial"/>
          <w:b/>
          <w:sz w:val="24"/>
          <w:szCs w:val="24"/>
        </w:rPr>
      </w:pPr>
      <w:r w:rsidRPr="00AD3D53">
        <w:rPr>
          <w:rFonts w:ascii="Arial" w:hAnsi="Arial" w:cs="Arial"/>
          <w:b/>
          <w:sz w:val="24"/>
          <w:szCs w:val="24"/>
        </w:rPr>
        <w:t>2.6</w:t>
      </w:r>
      <w:r w:rsidR="00092306" w:rsidRPr="00AD3D53">
        <w:rPr>
          <w:rFonts w:ascii="Arial" w:hAnsi="Arial" w:cs="Arial"/>
          <w:b/>
          <w:sz w:val="24"/>
          <w:szCs w:val="24"/>
        </w:rPr>
        <w:t>. Sobre la condena en costas</w:t>
      </w:r>
    </w:p>
    <w:p w14:paraId="56844031" w14:textId="77777777" w:rsidR="00092306" w:rsidRPr="00AD3D53" w:rsidRDefault="00092306" w:rsidP="00092306">
      <w:pPr>
        <w:spacing w:line="360" w:lineRule="auto"/>
        <w:contextualSpacing/>
        <w:jc w:val="both"/>
        <w:rPr>
          <w:rFonts w:ascii="Arial" w:hAnsi="Arial" w:cs="Arial"/>
          <w:sz w:val="24"/>
          <w:szCs w:val="24"/>
        </w:rPr>
      </w:pPr>
    </w:p>
    <w:p w14:paraId="2A9F81E7" w14:textId="77777777" w:rsidR="00092306" w:rsidRPr="00AD3D53" w:rsidRDefault="00025793" w:rsidP="00092306">
      <w:pPr>
        <w:spacing w:line="360" w:lineRule="auto"/>
        <w:contextualSpacing/>
        <w:jc w:val="both"/>
        <w:rPr>
          <w:rFonts w:ascii="Arial" w:hAnsi="Arial" w:cs="Arial"/>
          <w:sz w:val="24"/>
          <w:szCs w:val="24"/>
        </w:rPr>
      </w:pPr>
      <w:r w:rsidRPr="00AD3D53">
        <w:rPr>
          <w:rFonts w:ascii="Arial" w:hAnsi="Arial" w:cs="Arial"/>
          <w:sz w:val="24"/>
          <w:szCs w:val="24"/>
        </w:rPr>
        <w:t>60</w:t>
      </w:r>
      <w:r w:rsidR="00092306" w:rsidRPr="00AD3D53">
        <w:rPr>
          <w:rFonts w:ascii="Arial" w:hAnsi="Arial" w:cs="Arial"/>
          <w:sz w:val="24"/>
          <w:szCs w:val="24"/>
        </w:rPr>
        <w:t>. La Sala se abstendrá de condenar en costas porque no se dan los supuestos del artículo 171 del C</w:t>
      </w:r>
      <w:r w:rsidR="007E05C2" w:rsidRPr="00AD3D53">
        <w:rPr>
          <w:rFonts w:ascii="Arial" w:hAnsi="Arial" w:cs="Arial"/>
          <w:sz w:val="24"/>
          <w:szCs w:val="24"/>
        </w:rPr>
        <w:t>CA</w:t>
      </w:r>
      <w:r w:rsidR="00092306" w:rsidRPr="00AD3D53">
        <w:rPr>
          <w:rFonts w:ascii="Arial" w:hAnsi="Arial" w:cs="Arial"/>
          <w:sz w:val="24"/>
          <w:szCs w:val="24"/>
        </w:rPr>
        <w:t xml:space="preserve"> requeridos.</w:t>
      </w:r>
    </w:p>
    <w:p w14:paraId="44473630" w14:textId="77777777" w:rsidR="00092306" w:rsidRPr="00AD3D53" w:rsidRDefault="00092306" w:rsidP="00092306">
      <w:pPr>
        <w:tabs>
          <w:tab w:val="left" w:pos="3417"/>
        </w:tabs>
        <w:spacing w:line="360" w:lineRule="auto"/>
        <w:contextualSpacing/>
        <w:jc w:val="both"/>
        <w:rPr>
          <w:rFonts w:ascii="Arial" w:hAnsi="Arial" w:cs="Arial"/>
          <w:sz w:val="24"/>
          <w:szCs w:val="24"/>
        </w:rPr>
      </w:pPr>
      <w:r w:rsidRPr="00AD3D53">
        <w:rPr>
          <w:rFonts w:ascii="Arial" w:hAnsi="Arial" w:cs="Arial"/>
          <w:sz w:val="24"/>
          <w:szCs w:val="24"/>
        </w:rPr>
        <w:tab/>
      </w:r>
    </w:p>
    <w:p w14:paraId="7AF69CE9" w14:textId="77777777" w:rsidR="008A2884" w:rsidRPr="00AD3D53" w:rsidRDefault="008A2884" w:rsidP="008A2884">
      <w:pPr>
        <w:spacing w:line="360" w:lineRule="auto"/>
        <w:contextualSpacing/>
        <w:jc w:val="center"/>
        <w:rPr>
          <w:rFonts w:ascii="Arial" w:hAnsi="Arial" w:cs="Arial"/>
          <w:sz w:val="24"/>
          <w:szCs w:val="24"/>
        </w:rPr>
      </w:pPr>
      <w:r w:rsidRPr="00AD3D53">
        <w:rPr>
          <w:rFonts w:ascii="Arial" w:hAnsi="Arial" w:cs="Arial"/>
          <w:b/>
          <w:sz w:val="24"/>
          <w:szCs w:val="24"/>
        </w:rPr>
        <w:t>3. DECISIÓN</w:t>
      </w:r>
    </w:p>
    <w:p w14:paraId="61EE8FCD" w14:textId="77777777" w:rsidR="008A2884" w:rsidRPr="00AD3D53" w:rsidRDefault="008A2884" w:rsidP="00092306">
      <w:pPr>
        <w:spacing w:line="360" w:lineRule="auto"/>
        <w:contextualSpacing/>
        <w:jc w:val="both"/>
        <w:rPr>
          <w:rFonts w:ascii="Arial" w:hAnsi="Arial" w:cs="Arial"/>
          <w:sz w:val="24"/>
          <w:szCs w:val="24"/>
        </w:rPr>
      </w:pPr>
    </w:p>
    <w:p w14:paraId="180FA0BD" w14:textId="77777777" w:rsidR="00092306" w:rsidRPr="00AD3D53" w:rsidRDefault="00AA3507" w:rsidP="00092306">
      <w:pPr>
        <w:spacing w:line="360" w:lineRule="auto"/>
        <w:contextualSpacing/>
        <w:jc w:val="both"/>
        <w:rPr>
          <w:rFonts w:ascii="Arial" w:hAnsi="Arial" w:cs="Arial"/>
          <w:sz w:val="24"/>
          <w:szCs w:val="24"/>
        </w:rPr>
      </w:pPr>
      <w:r w:rsidRPr="00AD3D53">
        <w:rPr>
          <w:rFonts w:ascii="Arial" w:hAnsi="Arial" w:cs="Arial"/>
          <w:sz w:val="24"/>
          <w:szCs w:val="24"/>
        </w:rPr>
        <w:t>61</w:t>
      </w:r>
      <w:r w:rsidR="00092306" w:rsidRPr="00AD3D53">
        <w:rPr>
          <w:rFonts w:ascii="Arial" w:hAnsi="Arial" w:cs="Arial"/>
          <w:sz w:val="24"/>
          <w:szCs w:val="24"/>
        </w:rPr>
        <w:t>. En mérito de lo expuesto, el Consejo de Estado, Sala de lo Contencioso Administrativo, Sección Tercera, Subsección B, administrando justicia en nombre de la República y por autoridad de la ley,</w:t>
      </w:r>
    </w:p>
    <w:p w14:paraId="2A963067" w14:textId="77777777" w:rsidR="00092306" w:rsidRPr="00AD3D53" w:rsidRDefault="00092306" w:rsidP="00092306">
      <w:pPr>
        <w:pStyle w:val="Ttulo1"/>
        <w:spacing w:line="360" w:lineRule="auto"/>
        <w:contextualSpacing/>
        <w:jc w:val="center"/>
        <w:rPr>
          <w:rFonts w:ascii="Arial" w:eastAsia="Calibri" w:hAnsi="Arial" w:cs="Arial"/>
          <w:b/>
          <w:color w:val="auto"/>
          <w:sz w:val="24"/>
          <w:szCs w:val="24"/>
        </w:rPr>
      </w:pPr>
      <w:r w:rsidRPr="00AD3D53">
        <w:rPr>
          <w:rFonts w:ascii="Arial" w:eastAsia="Calibri" w:hAnsi="Arial" w:cs="Arial"/>
          <w:b/>
          <w:color w:val="auto"/>
          <w:sz w:val="24"/>
          <w:szCs w:val="24"/>
        </w:rPr>
        <w:t>RESUELVE</w:t>
      </w:r>
    </w:p>
    <w:p w14:paraId="5ECBACAB" w14:textId="77777777" w:rsidR="00092306" w:rsidRPr="00AD3D53" w:rsidRDefault="00092306" w:rsidP="00092306">
      <w:pPr>
        <w:widowControl w:val="0"/>
        <w:spacing w:line="360" w:lineRule="auto"/>
        <w:contextualSpacing/>
        <w:jc w:val="both"/>
        <w:rPr>
          <w:rFonts w:ascii="Arial" w:hAnsi="Arial" w:cs="Arial"/>
          <w:sz w:val="24"/>
          <w:szCs w:val="24"/>
        </w:rPr>
      </w:pPr>
    </w:p>
    <w:p w14:paraId="46AC0060" w14:textId="77777777" w:rsidR="00092306" w:rsidRPr="00AD3D53" w:rsidRDefault="009B5052" w:rsidP="00092306">
      <w:pPr>
        <w:widowControl w:val="0"/>
        <w:spacing w:line="360" w:lineRule="auto"/>
        <w:contextualSpacing/>
        <w:jc w:val="both"/>
        <w:rPr>
          <w:rFonts w:ascii="Arial" w:hAnsi="Arial" w:cs="Arial"/>
          <w:sz w:val="24"/>
          <w:szCs w:val="24"/>
        </w:rPr>
      </w:pPr>
      <w:r w:rsidRPr="00AD3D53">
        <w:rPr>
          <w:rFonts w:ascii="Arial" w:hAnsi="Arial" w:cs="Arial"/>
          <w:b/>
          <w:sz w:val="24"/>
          <w:szCs w:val="24"/>
        </w:rPr>
        <w:t xml:space="preserve">PRIMERO: CONFIRMAR </w:t>
      </w:r>
      <w:r w:rsidR="00092306" w:rsidRPr="00AD3D53">
        <w:rPr>
          <w:rFonts w:ascii="Arial" w:hAnsi="Arial" w:cs="Arial"/>
          <w:sz w:val="24"/>
          <w:szCs w:val="24"/>
        </w:rPr>
        <w:t>la S</w:t>
      </w:r>
      <w:r w:rsidR="00D32AEC" w:rsidRPr="00AD3D53">
        <w:rPr>
          <w:rFonts w:ascii="Arial" w:hAnsi="Arial" w:cs="Arial"/>
          <w:sz w:val="24"/>
          <w:szCs w:val="24"/>
        </w:rPr>
        <w:t>entencia apelada proferida el 8 de junio</w:t>
      </w:r>
      <w:r w:rsidR="00092306" w:rsidRPr="00AD3D53">
        <w:rPr>
          <w:rFonts w:ascii="Arial" w:hAnsi="Arial" w:cs="Arial"/>
          <w:sz w:val="24"/>
          <w:szCs w:val="24"/>
        </w:rPr>
        <w:t xml:space="preserve"> de 2009 por </w:t>
      </w:r>
      <w:r w:rsidR="00092306" w:rsidRPr="00AD3D53">
        <w:rPr>
          <w:rFonts w:ascii="Arial" w:hAnsi="Arial" w:cs="Arial"/>
          <w:sz w:val="24"/>
          <w:szCs w:val="24"/>
        </w:rPr>
        <w:lastRenderedPageBreak/>
        <w:t>el Tribunal Administrativo de Cundinamarca, Sección Tercera, S</w:t>
      </w:r>
      <w:r w:rsidR="00520B98" w:rsidRPr="00AD3D53">
        <w:rPr>
          <w:rFonts w:ascii="Arial" w:hAnsi="Arial" w:cs="Arial"/>
          <w:sz w:val="24"/>
          <w:szCs w:val="24"/>
        </w:rPr>
        <w:t>ubsección B</w:t>
      </w:r>
      <w:r w:rsidR="00D32AEC" w:rsidRPr="00AD3D53">
        <w:rPr>
          <w:rFonts w:ascii="Arial" w:hAnsi="Arial" w:cs="Arial"/>
          <w:sz w:val="24"/>
          <w:szCs w:val="24"/>
        </w:rPr>
        <w:t>.</w:t>
      </w:r>
    </w:p>
    <w:p w14:paraId="4F973E10" w14:textId="77777777" w:rsidR="001177CE" w:rsidRPr="00AD3D53" w:rsidRDefault="001177CE" w:rsidP="00092306">
      <w:pPr>
        <w:widowControl w:val="0"/>
        <w:spacing w:line="360" w:lineRule="auto"/>
        <w:contextualSpacing/>
        <w:jc w:val="both"/>
        <w:rPr>
          <w:rFonts w:ascii="Arial" w:hAnsi="Arial" w:cs="Arial"/>
          <w:sz w:val="24"/>
          <w:szCs w:val="24"/>
        </w:rPr>
      </w:pPr>
    </w:p>
    <w:p w14:paraId="7834C7D2" w14:textId="77777777" w:rsidR="00092306" w:rsidRPr="00AD3D53" w:rsidRDefault="00092306" w:rsidP="00381252">
      <w:pPr>
        <w:widowControl w:val="0"/>
        <w:tabs>
          <w:tab w:val="left" w:pos="4456"/>
        </w:tabs>
        <w:spacing w:line="360" w:lineRule="auto"/>
        <w:contextualSpacing/>
        <w:jc w:val="both"/>
        <w:rPr>
          <w:rFonts w:ascii="Arial" w:hAnsi="Arial" w:cs="Arial"/>
          <w:sz w:val="24"/>
          <w:szCs w:val="24"/>
        </w:rPr>
      </w:pPr>
      <w:r w:rsidRPr="00AD3D53">
        <w:rPr>
          <w:rFonts w:ascii="Arial" w:hAnsi="Arial" w:cs="Arial"/>
          <w:b/>
          <w:sz w:val="24"/>
          <w:szCs w:val="24"/>
        </w:rPr>
        <w:t>SEGUNDO:</w:t>
      </w:r>
      <w:r w:rsidRPr="00AD3D53">
        <w:rPr>
          <w:rFonts w:ascii="Arial" w:hAnsi="Arial" w:cs="Arial"/>
          <w:sz w:val="24"/>
          <w:szCs w:val="24"/>
        </w:rPr>
        <w:t xml:space="preserve"> </w:t>
      </w:r>
      <w:r w:rsidR="00C3449A" w:rsidRPr="00AD3D53">
        <w:rPr>
          <w:rFonts w:ascii="Arial" w:hAnsi="Arial" w:cs="Arial"/>
          <w:sz w:val="24"/>
          <w:szCs w:val="24"/>
        </w:rPr>
        <w:t>sin condena en costas.</w:t>
      </w:r>
      <w:r w:rsidR="00E54F20" w:rsidRPr="00AD3D53">
        <w:rPr>
          <w:rFonts w:ascii="Arial" w:hAnsi="Arial" w:cs="Arial"/>
          <w:sz w:val="24"/>
          <w:szCs w:val="24"/>
        </w:rPr>
        <w:tab/>
      </w:r>
    </w:p>
    <w:p w14:paraId="1BE2C598" w14:textId="77777777" w:rsidR="001177CE" w:rsidRPr="00AD3D53" w:rsidRDefault="001177CE" w:rsidP="00381252">
      <w:pPr>
        <w:widowControl w:val="0"/>
        <w:tabs>
          <w:tab w:val="left" w:pos="4456"/>
        </w:tabs>
        <w:spacing w:line="360" w:lineRule="auto"/>
        <w:contextualSpacing/>
        <w:jc w:val="both"/>
        <w:rPr>
          <w:rFonts w:ascii="Arial" w:hAnsi="Arial" w:cs="Arial"/>
          <w:sz w:val="24"/>
          <w:szCs w:val="24"/>
        </w:rPr>
      </w:pPr>
    </w:p>
    <w:p w14:paraId="65C306E6" w14:textId="77777777" w:rsidR="00092306" w:rsidRPr="00AD3D53" w:rsidRDefault="00B32033" w:rsidP="00092306">
      <w:pPr>
        <w:widowControl w:val="0"/>
        <w:spacing w:line="360" w:lineRule="auto"/>
        <w:contextualSpacing/>
        <w:jc w:val="both"/>
        <w:rPr>
          <w:rFonts w:ascii="Arial" w:hAnsi="Arial" w:cs="Arial"/>
          <w:sz w:val="24"/>
          <w:szCs w:val="24"/>
          <w:lang w:val="es-CO"/>
        </w:rPr>
      </w:pPr>
      <w:r w:rsidRPr="00AD3D53">
        <w:rPr>
          <w:rFonts w:ascii="Arial" w:hAnsi="Arial" w:cs="Arial"/>
          <w:b/>
          <w:sz w:val="24"/>
          <w:szCs w:val="24"/>
        </w:rPr>
        <w:t xml:space="preserve">TERCERO: </w:t>
      </w:r>
      <w:r w:rsidRPr="00AD3D53">
        <w:rPr>
          <w:rFonts w:ascii="Arial" w:hAnsi="Arial" w:cs="Arial"/>
          <w:sz w:val="24"/>
          <w:szCs w:val="24"/>
        </w:rPr>
        <w:t xml:space="preserve">Por Secretaría, </w:t>
      </w:r>
      <w:r w:rsidRPr="00AD3D53">
        <w:rPr>
          <w:rFonts w:ascii="Arial" w:hAnsi="Arial" w:cs="Arial"/>
          <w:b/>
          <w:sz w:val="24"/>
          <w:szCs w:val="24"/>
          <w:lang w:val="es-CO"/>
        </w:rPr>
        <w:t>EXPEDIR</w:t>
      </w:r>
      <w:r w:rsidRPr="00AD3D53">
        <w:rPr>
          <w:rFonts w:ascii="Arial" w:hAnsi="Arial" w:cs="Arial"/>
          <w:sz w:val="24"/>
          <w:szCs w:val="24"/>
          <w:lang w:val="es-CO"/>
        </w:rPr>
        <w:t xml:space="preserve"> copias con destino a las partes.</w:t>
      </w:r>
    </w:p>
    <w:p w14:paraId="05EC859E" w14:textId="77777777" w:rsidR="001177CE" w:rsidRPr="00AD3D53" w:rsidRDefault="001177CE" w:rsidP="00092306">
      <w:pPr>
        <w:widowControl w:val="0"/>
        <w:spacing w:line="360" w:lineRule="auto"/>
        <w:contextualSpacing/>
        <w:jc w:val="both"/>
        <w:rPr>
          <w:rFonts w:ascii="Arial" w:hAnsi="Arial" w:cs="Arial"/>
          <w:sz w:val="24"/>
          <w:szCs w:val="24"/>
          <w:lang w:val="es-CO"/>
        </w:rPr>
      </w:pPr>
    </w:p>
    <w:p w14:paraId="5DCEACA1" w14:textId="77777777" w:rsidR="00092306" w:rsidRPr="00AD3D53" w:rsidRDefault="00092306" w:rsidP="00B1161F">
      <w:pPr>
        <w:widowControl w:val="0"/>
        <w:spacing w:line="360" w:lineRule="auto"/>
        <w:contextualSpacing/>
        <w:jc w:val="both"/>
        <w:rPr>
          <w:rFonts w:ascii="Arial" w:hAnsi="Arial" w:cs="Arial"/>
          <w:sz w:val="24"/>
          <w:szCs w:val="24"/>
        </w:rPr>
      </w:pPr>
      <w:r w:rsidRPr="00AD3D53">
        <w:rPr>
          <w:rFonts w:ascii="Arial" w:hAnsi="Arial" w:cs="Arial"/>
          <w:b/>
          <w:sz w:val="24"/>
          <w:szCs w:val="24"/>
        </w:rPr>
        <w:t xml:space="preserve">CUARTO: </w:t>
      </w:r>
      <w:r w:rsidR="00C3449A" w:rsidRPr="00AD3D53">
        <w:rPr>
          <w:rFonts w:ascii="Arial" w:hAnsi="Arial" w:cs="Arial"/>
          <w:bCs/>
          <w:sz w:val="24"/>
          <w:szCs w:val="24"/>
        </w:rPr>
        <w:t xml:space="preserve">Por Secretaría, una vez de ejecutoriado este proveído, </w:t>
      </w:r>
      <w:r w:rsidR="00C3449A" w:rsidRPr="00AD3D53">
        <w:rPr>
          <w:rFonts w:ascii="Arial" w:hAnsi="Arial" w:cs="Arial"/>
          <w:b/>
          <w:bCs/>
          <w:sz w:val="24"/>
          <w:szCs w:val="24"/>
        </w:rPr>
        <w:t xml:space="preserve">DEVUÉLVASE </w:t>
      </w:r>
      <w:r w:rsidR="00C3449A" w:rsidRPr="00AD3D53">
        <w:rPr>
          <w:rFonts w:ascii="Arial" w:hAnsi="Arial" w:cs="Arial"/>
          <w:bCs/>
          <w:sz w:val="24"/>
          <w:szCs w:val="24"/>
        </w:rPr>
        <w:t>el expediente al Tribunal de origen.</w:t>
      </w:r>
    </w:p>
    <w:p w14:paraId="5CC17919" w14:textId="77777777" w:rsidR="00092306" w:rsidRPr="00AD3D53" w:rsidRDefault="00092306" w:rsidP="00092306">
      <w:pPr>
        <w:overflowPunct w:val="0"/>
        <w:autoSpaceDE w:val="0"/>
        <w:autoSpaceDN w:val="0"/>
        <w:adjustRightInd w:val="0"/>
        <w:spacing w:line="360" w:lineRule="auto"/>
        <w:contextualSpacing/>
        <w:textAlignment w:val="baseline"/>
        <w:rPr>
          <w:rFonts w:ascii="Arial" w:hAnsi="Arial" w:cs="Arial"/>
          <w:sz w:val="24"/>
          <w:szCs w:val="24"/>
        </w:rPr>
      </w:pPr>
    </w:p>
    <w:p w14:paraId="054FA168" w14:textId="77777777" w:rsidR="00092306" w:rsidRPr="00AD3D53" w:rsidRDefault="00092306" w:rsidP="00092306">
      <w:pPr>
        <w:spacing w:line="360" w:lineRule="auto"/>
        <w:contextualSpacing/>
        <w:jc w:val="center"/>
        <w:rPr>
          <w:rFonts w:ascii="Arial" w:hAnsi="Arial" w:cs="Arial"/>
          <w:b/>
          <w:snapToGrid w:val="0"/>
          <w:sz w:val="24"/>
          <w:szCs w:val="24"/>
        </w:rPr>
      </w:pPr>
      <w:r w:rsidRPr="00AD3D53">
        <w:rPr>
          <w:rFonts w:ascii="Arial" w:hAnsi="Arial" w:cs="Arial"/>
          <w:b/>
          <w:snapToGrid w:val="0"/>
          <w:sz w:val="24"/>
          <w:szCs w:val="24"/>
        </w:rPr>
        <w:t>NOTIFÍQUESE Y CÚMPLASE</w:t>
      </w:r>
    </w:p>
    <w:p w14:paraId="5AEFC6C8" w14:textId="77777777" w:rsidR="00092306" w:rsidRPr="00AD3D53" w:rsidRDefault="00092306" w:rsidP="00B1161F">
      <w:pPr>
        <w:spacing w:line="360" w:lineRule="auto"/>
        <w:contextualSpacing/>
        <w:rPr>
          <w:rFonts w:ascii="Arial" w:hAnsi="Arial" w:cs="Arial"/>
          <w:b/>
          <w:snapToGrid w:val="0"/>
          <w:sz w:val="24"/>
          <w:szCs w:val="24"/>
        </w:rPr>
      </w:pPr>
    </w:p>
    <w:p w14:paraId="3BA9C2BE" w14:textId="77777777" w:rsidR="00092306" w:rsidRPr="00AD3D53" w:rsidRDefault="00092306" w:rsidP="00092306">
      <w:pPr>
        <w:spacing w:line="360" w:lineRule="auto"/>
        <w:contextualSpacing/>
        <w:jc w:val="center"/>
        <w:rPr>
          <w:rFonts w:ascii="Arial" w:hAnsi="Arial" w:cs="Arial"/>
          <w:b/>
          <w:snapToGrid w:val="0"/>
          <w:sz w:val="24"/>
          <w:szCs w:val="24"/>
        </w:rPr>
      </w:pPr>
    </w:p>
    <w:p w14:paraId="7AA0D5ED" w14:textId="77777777" w:rsidR="00092306" w:rsidRPr="00AD3D53" w:rsidRDefault="00092306" w:rsidP="00092306">
      <w:pPr>
        <w:spacing w:line="360" w:lineRule="auto"/>
        <w:contextualSpacing/>
        <w:jc w:val="center"/>
        <w:rPr>
          <w:rFonts w:ascii="Arial" w:hAnsi="Arial" w:cs="Arial"/>
          <w:b/>
          <w:snapToGrid w:val="0"/>
          <w:sz w:val="24"/>
          <w:szCs w:val="24"/>
        </w:rPr>
      </w:pPr>
    </w:p>
    <w:p w14:paraId="073BDC50" w14:textId="77777777" w:rsidR="00092306" w:rsidRPr="00AD3D53" w:rsidRDefault="00092306" w:rsidP="00092306">
      <w:pPr>
        <w:spacing w:line="360" w:lineRule="auto"/>
        <w:contextualSpacing/>
        <w:rPr>
          <w:rFonts w:ascii="Arial" w:hAnsi="Arial" w:cs="Arial"/>
          <w:sz w:val="24"/>
          <w:szCs w:val="24"/>
        </w:rPr>
      </w:pPr>
      <w:r w:rsidRPr="00AD3D53">
        <w:rPr>
          <w:rFonts w:ascii="Arial" w:hAnsi="Arial" w:cs="Arial"/>
          <w:b/>
          <w:sz w:val="24"/>
          <w:szCs w:val="24"/>
        </w:rPr>
        <w:t xml:space="preserve">MARTÍN BERMÚDEZ MUÑOZ  </w:t>
      </w:r>
      <w:r w:rsidRPr="00AD3D53">
        <w:rPr>
          <w:rFonts w:ascii="Arial" w:hAnsi="Arial" w:cs="Arial"/>
          <w:sz w:val="24"/>
          <w:szCs w:val="24"/>
        </w:rPr>
        <w:t xml:space="preserve">                        </w:t>
      </w:r>
      <w:r w:rsidRPr="00AD3D53">
        <w:rPr>
          <w:rFonts w:ascii="Arial" w:hAnsi="Arial" w:cs="Arial"/>
          <w:b/>
          <w:snapToGrid w:val="0"/>
          <w:sz w:val="24"/>
          <w:szCs w:val="24"/>
        </w:rPr>
        <w:t>ALBERTO MONTAÑA PLATA</w:t>
      </w:r>
    </w:p>
    <w:p w14:paraId="1E7F9C3E" w14:textId="77777777" w:rsidR="0060032C" w:rsidRPr="00AD3D53" w:rsidRDefault="0060032C">
      <w:pPr>
        <w:rPr>
          <w:rFonts w:ascii="Arial" w:hAnsi="Arial" w:cs="Arial"/>
        </w:rPr>
      </w:pPr>
    </w:p>
    <w:sectPr w:rsidR="0060032C" w:rsidRPr="00AD3D53" w:rsidSect="005A0A33">
      <w:pgSz w:w="12242" w:h="18722" w:code="120"/>
      <w:pgMar w:top="1701" w:right="1894" w:bottom="1701"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C402E" w14:textId="77777777" w:rsidR="00175444" w:rsidRDefault="00175444" w:rsidP="00092306">
      <w:r>
        <w:separator/>
      </w:r>
    </w:p>
  </w:endnote>
  <w:endnote w:type="continuationSeparator" w:id="0">
    <w:p w14:paraId="6DC068A7" w14:textId="77777777" w:rsidR="00175444" w:rsidRDefault="00175444" w:rsidP="000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ED017" w14:textId="77777777" w:rsidR="00175444" w:rsidRDefault="00175444" w:rsidP="00092306">
      <w:r>
        <w:separator/>
      </w:r>
    </w:p>
  </w:footnote>
  <w:footnote w:type="continuationSeparator" w:id="0">
    <w:p w14:paraId="510F6BBA" w14:textId="77777777" w:rsidR="00175444" w:rsidRDefault="00175444" w:rsidP="00092306">
      <w:r>
        <w:continuationSeparator/>
      </w:r>
    </w:p>
  </w:footnote>
  <w:footnote w:id="1">
    <w:p w14:paraId="7BB6F948" w14:textId="77777777" w:rsidR="00092306" w:rsidRPr="00B61467" w:rsidRDefault="00092306" w:rsidP="00092306">
      <w:pPr>
        <w:pStyle w:val="Textonotapie"/>
        <w:jc w:val="both"/>
        <w:rPr>
          <w:rFonts w:ascii="Arial" w:hAnsi="Arial" w:cs="Arial"/>
          <w:i/>
          <w:sz w:val="22"/>
          <w:szCs w:val="22"/>
        </w:rPr>
      </w:pPr>
      <w:r w:rsidRPr="00B61467">
        <w:rPr>
          <w:rStyle w:val="Refdenotaalpie"/>
          <w:rFonts w:ascii="Arial" w:eastAsia="Calibri" w:hAnsi="Arial" w:cs="Arial"/>
          <w:sz w:val="22"/>
          <w:szCs w:val="22"/>
        </w:rPr>
        <w:footnoteRef/>
      </w:r>
      <w:r w:rsidRPr="00B61467">
        <w:rPr>
          <w:rFonts w:ascii="Arial" w:hAnsi="Arial" w:cs="Arial"/>
          <w:sz w:val="22"/>
          <w:szCs w:val="22"/>
        </w:rPr>
        <w:t xml:space="preserve"> </w:t>
      </w:r>
      <w:r w:rsidR="00F14C46">
        <w:rPr>
          <w:rFonts w:ascii="Century Gothic" w:hAnsi="Century Gothic"/>
          <w:lang w:val="es-CO"/>
        </w:rPr>
        <w:t>Folios 23-34 del cuaderno 2.</w:t>
      </w:r>
    </w:p>
  </w:footnote>
  <w:footnote w:id="2">
    <w:p w14:paraId="358635EB" w14:textId="77777777" w:rsidR="00092306" w:rsidRPr="00BF580E" w:rsidRDefault="00092306" w:rsidP="00092306">
      <w:pPr>
        <w:pStyle w:val="Textonotapie"/>
        <w:rPr>
          <w:lang w:val="es-CO"/>
        </w:rPr>
      </w:pPr>
      <w:r>
        <w:rPr>
          <w:rStyle w:val="Refdenotaalpie"/>
        </w:rPr>
        <w:footnoteRef/>
      </w:r>
      <w:r>
        <w:t xml:space="preserve"> </w:t>
      </w:r>
      <w:r w:rsidR="00A91386">
        <w:rPr>
          <w:rFonts w:ascii="Century Gothic" w:hAnsi="Century Gothic"/>
          <w:lang w:val="es-CO"/>
        </w:rPr>
        <w:t>Folio 37 del cuaderno 2.</w:t>
      </w:r>
    </w:p>
  </w:footnote>
  <w:footnote w:id="3">
    <w:p w14:paraId="78CF4E76" w14:textId="77777777" w:rsidR="00092306" w:rsidRPr="00BA1D74" w:rsidRDefault="00092306" w:rsidP="00092306">
      <w:pPr>
        <w:pStyle w:val="Textonotapie"/>
        <w:rPr>
          <w:lang w:val="es-CO"/>
        </w:rPr>
      </w:pPr>
      <w:r>
        <w:rPr>
          <w:rStyle w:val="Refdenotaalpie"/>
        </w:rPr>
        <w:footnoteRef/>
      </w:r>
      <w:r>
        <w:t xml:space="preserve"> </w:t>
      </w:r>
      <w:r w:rsidR="00470898">
        <w:rPr>
          <w:rFonts w:ascii="Century Gothic" w:hAnsi="Century Gothic"/>
          <w:lang w:val="es-CO"/>
        </w:rPr>
        <w:t>Folios 40-42 del cuaderno 2.</w:t>
      </w:r>
    </w:p>
  </w:footnote>
  <w:footnote w:id="4">
    <w:p w14:paraId="4401F9C1" w14:textId="77777777" w:rsidR="00092306" w:rsidRPr="00C843CD" w:rsidRDefault="00092306" w:rsidP="00092306">
      <w:pPr>
        <w:pStyle w:val="Textonotapie"/>
        <w:rPr>
          <w:lang w:val="es-CO"/>
        </w:rPr>
      </w:pPr>
      <w:r>
        <w:rPr>
          <w:rStyle w:val="Refdenotaalpie"/>
        </w:rPr>
        <w:footnoteRef/>
      </w:r>
      <w:r>
        <w:t xml:space="preserve"> </w:t>
      </w:r>
      <w:r>
        <w:rPr>
          <w:rFonts w:ascii="Century Gothic" w:hAnsi="Century Gothic" w:cs="Arial"/>
          <w:szCs w:val="24"/>
        </w:rPr>
        <w:t>Folios 90-91 del cuaderno 2.</w:t>
      </w:r>
    </w:p>
  </w:footnote>
  <w:footnote w:id="5">
    <w:p w14:paraId="1AD748BE" w14:textId="77777777" w:rsidR="002765A5" w:rsidRPr="00AB2B06" w:rsidRDefault="002765A5" w:rsidP="002765A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2-5 del cuaderno 3.</w:t>
      </w:r>
    </w:p>
  </w:footnote>
  <w:footnote w:id="6">
    <w:p w14:paraId="500E5C84" w14:textId="77777777" w:rsidR="002765A5" w:rsidRPr="00E5063B" w:rsidRDefault="002765A5" w:rsidP="002765A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6-7 del cuaderno 3.</w:t>
      </w:r>
    </w:p>
  </w:footnote>
  <w:footnote w:id="7">
    <w:p w14:paraId="52001655" w14:textId="77777777" w:rsidR="002765A5" w:rsidRPr="00F40CBF" w:rsidRDefault="002765A5" w:rsidP="002765A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8-9 del cuaderno 3.</w:t>
      </w:r>
    </w:p>
  </w:footnote>
  <w:footnote w:id="8">
    <w:p w14:paraId="6865A7AC" w14:textId="77777777" w:rsidR="002765A5" w:rsidRPr="006C2526" w:rsidRDefault="002765A5" w:rsidP="002765A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10-12 del cuaderno 3.</w:t>
      </w:r>
    </w:p>
  </w:footnote>
  <w:footnote w:id="9">
    <w:p w14:paraId="1EDE67CC" w14:textId="77777777" w:rsidR="002765A5" w:rsidRPr="005228EE" w:rsidRDefault="002765A5" w:rsidP="002765A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13-15 del cuaderno 3.</w:t>
      </w:r>
    </w:p>
  </w:footnote>
  <w:footnote w:id="10">
    <w:p w14:paraId="5540CFAE" w14:textId="77777777" w:rsidR="002765A5" w:rsidRPr="00C07DCF" w:rsidRDefault="002765A5" w:rsidP="002765A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16-150 del cuaderno 3 y 293-400 del cuaderno 4.</w:t>
      </w:r>
    </w:p>
  </w:footnote>
  <w:footnote w:id="11">
    <w:p w14:paraId="326C267F" w14:textId="77777777" w:rsidR="002765A5" w:rsidRPr="001938E1" w:rsidRDefault="002765A5" w:rsidP="002765A5">
      <w:pPr>
        <w:pStyle w:val="Textonotapie"/>
        <w:rPr>
          <w:lang w:val="es-CO"/>
        </w:rPr>
      </w:pPr>
      <w:r>
        <w:rPr>
          <w:rStyle w:val="Refdenotaalpie"/>
        </w:rPr>
        <w:footnoteRef/>
      </w:r>
      <w:r>
        <w:t xml:space="preserve"> </w:t>
      </w:r>
      <w:r>
        <w:rPr>
          <w:rFonts w:ascii="Century Gothic" w:hAnsi="Century Gothic"/>
          <w:lang w:val="es-CO"/>
        </w:rPr>
        <w:t>Folios 300-305 del cuaderno 4.</w:t>
      </w:r>
    </w:p>
  </w:footnote>
  <w:footnote w:id="12">
    <w:p w14:paraId="7A0D9945" w14:textId="77777777" w:rsidR="002765A5" w:rsidRPr="00265014" w:rsidRDefault="002765A5" w:rsidP="002765A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405-406 del cuaderno 4.</w:t>
      </w:r>
    </w:p>
  </w:footnote>
  <w:footnote w:id="13">
    <w:p w14:paraId="76BDE2AD" w14:textId="77777777" w:rsidR="002765A5" w:rsidRPr="003B6898" w:rsidRDefault="002765A5" w:rsidP="002765A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376-377 del cuaderno 4.</w:t>
      </w:r>
    </w:p>
  </w:footnote>
  <w:footnote w:id="14">
    <w:p w14:paraId="6DADF55D" w14:textId="77777777" w:rsidR="002765A5" w:rsidRPr="000C15BC" w:rsidRDefault="002765A5" w:rsidP="00DC3170">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Folios 372 del cuaderno 4.</w:t>
      </w:r>
    </w:p>
  </w:footnote>
  <w:footnote w:id="15">
    <w:p w14:paraId="45AAEDFE" w14:textId="77777777" w:rsidR="002765A5" w:rsidRPr="000C15BC" w:rsidRDefault="002765A5" w:rsidP="00DC3170">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Folios 373-374 del cuaderno 4.</w:t>
      </w:r>
    </w:p>
  </w:footnote>
  <w:footnote w:id="16">
    <w:p w14:paraId="4978F0D4" w14:textId="77777777" w:rsidR="002765A5" w:rsidRPr="004C7A03" w:rsidRDefault="002765A5" w:rsidP="00DC3170">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Cuaderno dictamen pericial.</w:t>
      </w:r>
    </w:p>
  </w:footnote>
  <w:footnote w:id="17">
    <w:p w14:paraId="3FBBE0C3" w14:textId="77777777" w:rsidR="000D69EA" w:rsidRPr="000D69EA" w:rsidRDefault="000D69EA" w:rsidP="00DC3170">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Mediante Decreto 2853 de 25 de agosto de 2006, se suprimió la Administración Postal Nacional –Adpostal y se ordenó su liquidación.</w:t>
      </w:r>
    </w:p>
  </w:footnote>
  <w:footnote w:id="18">
    <w:p w14:paraId="25AA7A53" w14:textId="77777777" w:rsidR="00C0463D" w:rsidRPr="0047333A" w:rsidRDefault="00C0463D" w:rsidP="00C0463D">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210-228 del cuaderno 2.</w:t>
      </w:r>
    </w:p>
  </w:footnote>
  <w:footnote w:id="19">
    <w:p w14:paraId="182381B2" w14:textId="77777777" w:rsidR="003A5DBD" w:rsidRPr="00AE13DF" w:rsidRDefault="003A5DBD" w:rsidP="003A5DBD">
      <w:pPr>
        <w:pStyle w:val="Textonotapie"/>
        <w:tabs>
          <w:tab w:val="left" w:pos="2127"/>
        </w:tabs>
        <w:rPr>
          <w:lang w:val="es-CO"/>
        </w:rPr>
      </w:pPr>
      <w:r>
        <w:rPr>
          <w:rStyle w:val="Refdenotaalpie"/>
        </w:rPr>
        <w:footnoteRef/>
      </w:r>
      <w:r>
        <w:t xml:space="preserve"> </w:t>
      </w:r>
      <w:r w:rsidRPr="00AE13DF">
        <w:rPr>
          <w:rFonts w:ascii="Century Gothic" w:hAnsi="Century Gothic" w:cs="Arial"/>
          <w:szCs w:val="24"/>
          <w:lang w:val="es-CO"/>
        </w:rPr>
        <w:t xml:space="preserve">Folios </w:t>
      </w:r>
      <w:r>
        <w:rPr>
          <w:rFonts w:ascii="Century Gothic" w:hAnsi="Century Gothic" w:cs="Arial"/>
          <w:szCs w:val="24"/>
          <w:lang w:val="es-CO"/>
        </w:rPr>
        <w:t>263-264 del cuaderno 2.</w:t>
      </w:r>
    </w:p>
  </w:footnote>
  <w:footnote w:id="20">
    <w:p w14:paraId="25333E57" w14:textId="77777777" w:rsidR="00092306" w:rsidRPr="00E405EB" w:rsidRDefault="00092306" w:rsidP="00092306">
      <w:pPr>
        <w:pStyle w:val="Textonotapie"/>
        <w:rPr>
          <w:lang w:val="es-CO"/>
        </w:rPr>
      </w:pPr>
      <w:r>
        <w:rPr>
          <w:rStyle w:val="Refdenotaalpie"/>
        </w:rPr>
        <w:footnoteRef/>
      </w:r>
      <w:r>
        <w:t xml:space="preserve"> </w:t>
      </w:r>
      <w:r w:rsidR="00CB7290">
        <w:rPr>
          <w:rFonts w:ascii="Century Gothic" w:hAnsi="Century Gothic"/>
          <w:lang w:val="es-CO"/>
        </w:rPr>
        <w:t>Folio 282 del cuaderno 2.</w:t>
      </w:r>
    </w:p>
  </w:footnote>
  <w:footnote w:id="21">
    <w:p w14:paraId="39EB5DAE" w14:textId="77777777" w:rsidR="0068515F" w:rsidRPr="00EC68CD" w:rsidRDefault="0068515F" w:rsidP="0068515F">
      <w:pPr>
        <w:pStyle w:val="Textonotapie"/>
        <w:rPr>
          <w:lang w:val="es-CO"/>
        </w:rPr>
      </w:pPr>
      <w:r>
        <w:rPr>
          <w:rStyle w:val="Refdenotaalpie"/>
        </w:rPr>
        <w:footnoteRef/>
      </w:r>
      <w:r>
        <w:t xml:space="preserve"> </w:t>
      </w:r>
      <w:r w:rsidRPr="00EC68CD">
        <w:rPr>
          <w:rFonts w:ascii="Century Gothic" w:hAnsi="Century Gothic"/>
          <w:lang w:val="es-CO"/>
        </w:rPr>
        <w:t xml:space="preserve">Folios </w:t>
      </w:r>
      <w:r>
        <w:rPr>
          <w:rFonts w:ascii="Century Gothic" w:hAnsi="Century Gothic"/>
          <w:lang w:val="es-CO"/>
        </w:rPr>
        <w:t>283-291 del cuaderno 2.</w:t>
      </w:r>
    </w:p>
  </w:footnote>
  <w:footnote w:id="22">
    <w:p w14:paraId="1575C065" w14:textId="77777777" w:rsidR="00092306" w:rsidRPr="002470AD" w:rsidRDefault="00092306" w:rsidP="00092306">
      <w:pPr>
        <w:pStyle w:val="Textonotapie"/>
        <w:rPr>
          <w:lang w:val="es-CO"/>
        </w:rPr>
      </w:pPr>
      <w:r>
        <w:rPr>
          <w:rStyle w:val="Refdenotaalpie"/>
        </w:rPr>
        <w:footnoteRef/>
      </w:r>
      <w:r>
        <w:t xml:space="preserve"> </w:t>
      </w:r>
      <w:r w:rsidR="005C6A8D">
        <w:rPr>
          <w:rFonts w:ascii="Century Gothic" w:hAnsi="Century Gothic"/>
          <w:lang w:val="es-CO"/>
        </w:rPr>
        <w:t>Folios 294-295 del cuaderno principal.</w:t>
      </w:r>
    </w:p>
  </w:footnote>
  <w:footnote w:id="23">
    <w:p w14:paraId="6162908C" w14:textId="77777777" w:rsidR="003F1278" w:rsidRPr="00C5413D" w:rsidRDefault="003F1278" w:rsidP="003F1278">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303-310 del cuaderno principal.</w:t>
      </w:r>
    </w:p>
  </w:footnote>
  <w:footnote w:id="24">
    <w:p w14:paraId="1D502AFF" w14:textId="77777777" w:rsidR="00EA2089" w:rsidRPr="00C5413D" w:rsidRDefault="00EA2089" w:rsidP="00EA208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312-314 del cuaderno principal.</w:t>
      </w:r>
    </w:p>
  </w:footnote>
  <w:footnote w:id="25">
    <w:p w14:paraId="278E2DD6" w14:textId="77777777" w:rsidR="004D0C12" w:rsidRPr="00F6637A" w:rsidRDefault="004D0C12" w:rsidP="004D0C12">
      <w:pPr>
        <w:contextualSpacing/>
        <w:jc w:val="both"/>
        <w:rPr>
          <w:rFonts w:ascii="Century Gothic" w:hAnsi="Century Gothic" w:cs="Arial"/>
          <w:sz w:val="20"/>
          <w:szCs w:val="24"/>
          <w:lang w:val="es-CO"/>
        </w:rPr>
      </w:pPr>
      <w:r>
        <w:rPr>
          <w:rStyle w:val="Refdenotaalpie"/>
        </w:rPr>
        <w:footnoteRef/>
      </w:r>
      <w:r>
        <w:t xml:space="preserve"> </w:t>
      </w:r>
      <w:r w:rsidR="009C7D0F" w:rsidRPr="008D5CE5">
        <w:rPr>
          <w:rFonts w:ascii="Century Gothic" w:hAnsi="Century Gothic" w:cs="Arial"/>
          <w:sz w:val="20"/>
          <w:szCs w:val="24"/>
          <w:lang w:val="es-CO"/>
        </w:rPr>
        <w:t>Artículo</w:t>
      </w:r>
      <w:r w:rsidRPr="008D5CE5">
        <w:rPr>
          <w:rFonts w:ascii="Century Gothic" w:hAnsi="Century Gothic" w:cs="Arial"/>
          <w:sz w:val="20"/>
          <w:szCs w:val="24"/>
          <w:lang w:val="es-CO"/>
        </w:rPr>
        <w:t xml:space="preserve"> 70.</w:t>
      </w:r>
      <w:r w:rsidRPr="00F6637A">
        <w:rPr>
          <w:rFonts w:ascii="Century Gothic" w:hAnsi="Century Gothic" w:cs="Arial"/>
          <w:sz w:val="20"/>
          <w:szCs w:val="24"/>
          <w:lang w:val="es-CO"/>
        </w:rPr>
        <w:t xml:space="preserve"> En materia de lo contencioso administrativo, cuando el fallo de primera instancia sea de carácter condenatorio y contra el mismo se interponga el recurso de apelación, el juez o magistrado deberá citar a audiencia de conciliación, que deberá celebrarse antes de resolver sobre la concesión del recurso. La asistencia a e</w:t>
      </w:r>
      <w:r>
        <w:rPr>
          <w:rFonts w:ascii="Century Gothic" w:hAnsi="Century Gothic" w:cs="Arial"/>
          <w:sz w:val="20"/>
          <w:szCs w:val="24"/>
          <w:lang w:val="es-CO"/>
        </w:rPr>
        <w:t>sta audiencia será obligatoria.</w:t>
      </w:r>
    </w:p>
    <w:p w14:paraId="1481433C" w14:textId="77777777" w:rsidR="004D0C12" w:rsidRPr="00D35C26" w:rsidRDefault="009C7D0F" w:rsidP="00D35C26">
      <w:pPr>
        <w:contextualSpacing/>
        <w:jc w:val="both"/>
        <w:rPr>
          <w:rFonts w:ascii="Century Gothic" w:hAnsi="Century Gothic" w:cs="Arial"/>
          <w:sz w:val="20"/>
          <w:szCs w:val="24"/>
          <w:lang w:val="es-CO"/>
        </w:rPr>
      </w:pPr>
      <w:r>
        <w:rPr>
          <w:rFonts w:ascii="Century Gothic" w:hAnsi="Century Gothic" w:cs="Arial"/>
          <w:sz w:val="20"/>
          <w:szCs w:val="24"/>
          <w:lang w:val="es-CO"/>
        </w:rPr>
        <w:t>Parágrafo</w:t>
      </w:r>
      <w:r w:rsidR="004D0C12" w:rsidRPr="009C7D0F">
        <w:rPr>
          <w:rFonts w:ascii="Century Gothic" w:hAnsi="Century Gothic" w:cs="Arial"/>
          <w:sz w:val="20"/>
          <w:szCs w:val="24"/>
          <w:lang w:val="es-CO"/>
        </w:rPr>
        <w:t>.</w:t>
      </w:r>
      <w:r w:rsidR="004D0C12" w:rsidRPr="00F6637A">
        <w:rPr>
          <w:rFonts w:ascii="Century Gothic" w:hAnsi="Century Gothic" w:cs="Arial"/>
          <w:sz w:val="20"/>
          <w:szCs w:val="24"/>
          <w:lang w:val="es-CO"/>
        </w:rPr>
        <w:t xml:space="preserve"> Si el apelante no asiste a la audiencia, se</w:t>
      </w:r>
      <w:r w:rsidR="00D35C26">
        <w:rPr>
          <w:rFonts w:ascii="Century Gothic" w:hAnsi="Century Gothic" w:cs="Arial"/>
          <w:sz w:val="20"/>
          <w:szCs w:val="24"/>
          <w:lang w:val="es-CO"/>
        </w:rPr>
        <w:t xml:space="preserve"> declarará desierto el recurso.</w:t>
      </w:r>
    </w:p>
  </w:footnote>
  <w:footnote w:id="26">
    <w:p w14:paraId="3DFD1C21" w14:textId="77777777" w:rsidR="004D0C12" w:rsidRPr="00500506" w:rsidRDefault="004D0C12" w:rsidP="004D0C1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321 del cuaderno principal.</w:t>
      </w:r>
    </w:p>
  </w:footnote>
  <w:footnote w:id="27">
    <w:p w14:paraId="322CF4D5" w14:textId="77777777" w:rsidR="00BC630D" w:rsidRPr="00B5368E" w:rsidRDefault="00BC630D" w:rsidP="00BC630D">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327 del cuaderno principal.</w:t>
      </w:r>
    </w:p>
  </w:footnote>
  <w:footnote w:id="28">
    <w:p w14:paraId="01B956DD" w14:textId="77777777" w:rsidR="00EB461C" w:rsidRPr="00EC68CD" w:rsidRDefault="00EB461C" w:rsidP="00EB461C">
      <w:pPr>
        <w:pStyle w:val="Textonotapie"/>
        <w:rPr>
          <w:lang w:val="es-CO"/>
        </w:rPr>
      </w:pPr>
      <w:r>
        <w:rPr>
          <w:rStyle w:val="Refdenotaalpie"/>
        </w:rPr>
        <w:footnoteRef/>
      </w:r>
      <w:r>
        <w:t xml:space="preserve"> </w:t>
      </w:r>
      <w:r w:rsidRPr="00EC68CD">
        <w:rPr>
          <w:rFonts w:ascii="Century Gothic" w:hAnsi="Century Gothic"/>
          <w:lang w:val="es-CO"/>
        </w:rPr>
        <w:t xml:space="preserve">Folios </w:t>
      </w:r>
      <w:r>
        <w:rPr>
          <w:rFonts w:ascii="Century Gothic" w:hAnsi="Century Gothic"/>
          <w:lang w:val="es-CO"/>
        </w:rPr>
        <w:t>328-339 del cuaderno principal.</w:t>
      </w:r>
    </w:p>
  </w:footnote>
  <w:footnote w:id="29">
    <w:p w14:paraId="3E461AB3" w14:textId="77777777" w:rsidR="00092306" w:rsidRPr="00712983" w:rsidRDefault="00092306" w:rsidP="00092306">
      <w:pPr>
        <w:pStyle w:val="Textonotapie"/>
        <w:jc w:val="both"/>
        <w:rPr>
          <w:lang w:val="es-CO"/>
        </w:rPr>
      </w:pPr>
      <w:r>
        <w:rPr>
          <w:rStyle w:val="Refdenotaalpie"/>
        </w:rPr>
        <w:footnoteRef/>
      </w:r>
      <w:r>
        <w:t xml:space="preserve"> </w:t>
      </w:r>
      <w:r w:rsidRPr="00712983">
        <w:rPr>
          <w:rFonts w:ascii="Century Gothic" w:hAnsi="Century Gothic" w:cs="Arial"/>
          <w:szCs w:val="24"/>
        </w:rPr>
        <w:t>“</w:t>
      </w:r>
      <w:r w:rsidR="0012071F" w:rsidRPr="0012071F">
        <w:rPr>
          <w:rFonts w:ascii="Century Gothic" w:hAnsi="Century Gothic" w:cs="Arial"/>
          <w:szCs w:val="24"/>
        </w:rPr>
        <w:t>Artículo</w:t>
      </w:r>
      <w:r w:rsidRPr="0012071F">
        <w:rPr>
          <w:rFonts w:ascii="Century Gothic" w:hAnsi="Century Gothic" w:cs="Arial"/>
          <w:szCs w:val="24"/>
        </w:rPr>
        <w:t xml:space="preserve"> 129</w:t>
      </w:r>
      <w:r w:rsidRPr="000734FD">
        <w:rPr>
          <w:rFonts w:ascii="Century Gothic" w:hAnsi="Century Gothic" w:cs="Arial"/>
          <w:szCs w:val="24"/>
        </w:rPr>
        <w:t>. El Consejo de Estado, en Sala de lo Contencioso Administrativo, conocerá en segunda instancia de las apelaciones de las sentencias dictadas en primera instancia por los Tribunales Administrativos”.</w:t>
      </w:r>
    </w:p>
  </w:footnote>
  <w:footnote w:id="30">
    <w:p w14:paraId="227B2AA2" w14:textId="77777777" w:rsidR="005D4F98" w:rsidRPr="00AB2B06" w:rsidRDefault="005D4F98" w:rsidP="005D4F98">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2-5 del cuaderno 3.</w:t>
      </w:r>
    </w:p>
  </w:footnote>
  <w:footnote w:id="31">
    <w:p w14:paraId="6A1F5F04" w14:textId="77777777" w:rsidR="003A4769" w:rsidRPr="00E5063B" w:rsidRDefault="003A4769" w:rsidP="003A476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6-7 del cuaderno 3.</w:t>
      </w:r>
    </w:p>
  </w:footnote>
  <w:footnote w:id="32">
    <w:p w14:paraId="508D184F" w14:textId="77777777" w:rsidR="00B41ACA" w:rsidRPr="00F40CBF" w:rsidRDefault="00B41ACA" w:rsidP="00B41ACA">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8-9 del cuaderno 3.</w:t>
      </w:r>
    </w:p>
  </w:footnote>
  <w:footnote w:id="33">
    <w:p w14:paraId="4FEA7234" w14:textId="77777777" w:rsidR="00915A87" w:rsidRPr="006C2526" w:rsidRDefault="00915A87" w:rsidP="00915A87">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10-12 del cuaderno 3.</w:t>
      </w:r>
    </w:p>
  </w:footnote>
  <w:footnote w:id="34">
    <w:p w14:paraId="702C171E" w14:textId="77777777" w:rsidR="004E3497" w:rsidRPr="005228EE" w:rsidRDefault="004E3497" w:rsidP="004E3497">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13-15 del cuaderno 3.</w:t>
      </w:r>
    </w:p>
  </w:footnote>
  <w:footnote w:id="35">
    <w:p w14:paraId="667FDF1E" w14:textId="77777777" w:rsidR="003D77E4" w:rsidRPr="00C07DCF" w:rsidRDefault="003D77E4" w:rsidP="003D77E4">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16-150 del cuaderno 3 y 293-400 del cuaderno 4.</w:t>
      </w:r>
    </w:p>
  </w:footnote>
  <w:footnote w:id="36">
    <w:p w14:paraId="529F809A" w14:textId="77777777" w:rsidR="002703B2" w:rsidRPr="00F83DE0" w:rsidRDefault="002703B2" w:rsidP="002703B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19-23 del cuaderno del dictamen pericial.</w:t>
      </w:r>
    </w:p>
  </w:footnote>
  <w:footnote w:id="37">
    <w:p w14:paraId="4C1573B4" w14:textId="77777777" w:rsidR="00BE6A33" w:rsidRPr="00050D05" w:rsidRDefault="00BE6A33" w:rsidP="00BE6A33">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300-305 del cuaderno 4.</w:t>
      </w:r>
    </w:p>
  </w:footnote>
  <w:footnote w:id="38">
    <w:p w14:paraId="6E049F79" w14:textId="77777777" w:rsidR="00ED29B4" w:rsidRPr="00EB25CC" w:rsidRDefault="00ED29B4" w:rsidP="00ED29B4">
      <w:pPr>
        <w:pStyle w:val="Textonotapie"/>
        <w:rPr>
          <w:rFonts w:ascii="Century Gothic" w:hAnsi="Century Gothic"/>
          <w:lang w:val="es-CO"/>
        </w:rPr>
      </w:pPr>
      <w:r>
        <w:rPr>
          <w:rStyle w:val="Refdenotaalpie"/>
        </w:rPr>
        <w:footnoteRef/>
      </w:r>
      <w:r>
        <w:t xml:space="preserve"> </w:t>
      </w:r>
      <w:r>
        <w:rPr>
          <w:rFonts w:ascii="Century Gothic" w:hAnsi="Century Gothic"/>
          <w:lang w:val="es-CO"/>
        </w:rPr>
        <w:t>Ibídem.</w:t>
      </w:r>
    </w:p>
  </w:footnote>
  <w:footnote w:id="39">
    <w:p w14:paraId="4266D20E" w14:textId="77777777" w:rsidR="00722AE7" w:rsidRPr="00722AE7" w:rsidRDefault="00722AE7" w:rsidP="005F2B4F">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 xml:space="preserve">Aplicable al presente caso por remisión expresa del artículo </w:t>
      </w:r>
      <w:r w:rsidR="005F2B4F">
        <w:rPr>
          <w:rFonts w:ascii="Century Gothic" w:hAnsi="Century Gothic"/>
          <w:lang w:val="es-CO"/>
        </w:rPr>
        <w:t>168 del CCA.</w:t>
      </w:r>
    </w:p>
  </w:footnote>
  <w:footnote w:id="40">
    <w:p w14:paraId="7D95288B" w14:textId="77777777" w:rsidR="00EB08A3" w:rsidRPr="00060C1E" w:rsidRDefault="00EB08A3" w:rsidP="00EB08A3">
      <w:pPr>
        <w:pStyle w:val="Textonotapie"/>
        <w:jc w:val="both"/>
        <w:rPr>
          <w:rFonts w:ascii="Arial" w:hAnsi="Arial" w:cs="Arial"/>
          <w:sz w:val="22"/>
          <w:szCs w:val="22"/>
        </w:rPr>
      </w:pPr>
      <w:r w:rsidRPr="00060C1E">
        <w:rPr>
          <w:rStyle w:val="Refdenotaalpie"/>
          <w:rFonts w:ascii="Arial" w:hAnsi="Arial" w:cs="Arial"/>
          <w:sz w:val="22"/>
          <w:szCs w:val="22"/>
        </w:rPr>
        <w:footnoteRef/>
      </w:r>
      <w:r w:rsidRPr="00060C1E">
        <w:rPr>
          <w:rFonts w:ascii="Arial" w:hAnsi="Arial" w:cs="Arial"/>
          <w:sz w:val="22"/>
          <w:szCs w:val="22"/>
        </w:rPr>
        <w:t xml:space="preserve"> </w:t>
      </w:r>
      <w:r w:rsidR="00D60457" w:rsidRPr="005F3460">
        <w:rPr>
          <w:rFonts w:ascii="Century Gothic" w:hAnsi="Century Gothic" w:cs="Arial"/>
          <w:szCs w:val="22"/>
        </w:rPr>
        <w:t>Con</w:t>
      </w:r>
      <w:r w:rsidR="005F3460">
        <w:rPr>
          <w:rFonts w:ascii="Century Gothic" w:hAnsi="Century Gothic" w:cs="Arial"/>
          <w:szCs w:val="22"/>
        </w:rPr>
        <w:t>sejo de Estado,</w:t>
      </w:r>
      <w:r w:rsidR="00F27F0E">
        <w:rPr>
          <w:rFonts w:ascii="Century Gothic" w:hAnsi="Century Gothic" w:cs="Arial"/>
          <w:szCs w:val="22"/>
        </w:rPr>
        <w:t xml:space="preserve"> Sala de lo Contencioso Administrativo,</w:t>
      </w:r>
      <w:r w:rsidR="005F3460">
        <w:rPr>
          <w:rFonts w:ascii="Century Gothic" w:hAnsi="Century Gothic" w:cs="Arial"/>
          <w:szCs w:val="22"/>
        </w:rPr>
        <w:t xml:space="preserve"> Sección Tercera, </w:t>
      </w:r>
      <w:r w:rsidR="002D60DC">
        <w:rPr>
          <w:rFonts w:ascii="Century Gothic" w:hAnsi="Century Gothic" w:cs="Arial"/>
          <w:szCs w:val="22"/>
        </w:rPr>
        <w:t>S</w:t>
      </w:r>
      <w:r w:rsidRPr="005F3460">
        <w:rPr>
          <w:rFonts w:ascii="Century Gothic" w:hAnsi="Century Gothic" w:cs="Arial"/>
          <w:szCs w:val="22"/>
        </w:rPr>
        <w:t>entencia de</w:t>
      </w:r>
      <w:r w:rsidR="00D60457" w:rsidRPr="005F3460">
        <w:rPr>
          <w:rFonts w:ascii="Century Gothic" w:hAnsi="Century Gothic" w:cs="Arial"/>
          <w:szCs w:val="22"/>
        </w:rPr>
        <w:t xml:space="preserve"> 17</w:t>
      </w:r>
      <w:r w:rsidRPr="005F3460">
        <w:rPr>
          <w:rFonts w:ascii="Century Gothic" w:hAnsi="Century Gothic" w:cs="Arial"/>
          <w:szCs w:val="22"/>
        </w:rPr>
        <w:t xml:space="preserve"> ma</w:t>
      </w:r>
      <w:r w:rsidR="00D60457" w:rsidRPr="005F3460">
        <w:rPr>
          <w:rFonts w:ascii="Century Gothic" w:hAnsi="Century Gothic" w:cs="Arial"/>
          <w:szCs w:val="22"/>
        </w:rPr>
        <w:t>yo</w:t>
      </w:r>
      <w:r w:rsidRPr="005F3460">
        <w:rPr>
          <w:rFonts w:ascii="Century Gothic" w:hAnsi="Century Gothic" w:cs="Arial"/>
          <w:szCs w:val="22"/>
        </w:rPr>
        <w:t xml:space="preserve"> de 2007, </w:t>
      </w:r>
      <w:r w:rsidR="002743A9" w:rsidRPr="005F3460">
        <w:rPr>
          <w:rFonts w:ascii="Century Gothic" w:hAnsi="Century Gothic" w:cs="Arial"/>
          <w:szCs w:val="22"/>
          <w:lang w:val="es-ES_tradnl"/>
        </w:rPr>
        <w:t>Exp.</w:t>
      </w:r>
      <w:r w:rsidRPr="005F3460">
        <w:rPr>
          <w:rFonts w:ascii="Century Gothic" w:hAnsi="Century Gothic" w:cs="Arial"/>
          <w:szCs w:val="22"/>
          <w:lang w:val="es-ES_tradnl"/>
        </w:rPr>
        <w:t xml:space="preserve"> </w:t>
      </w:r>
      <w:r w:rsidRPr="005F3460">
        <w:rPr>
          <w:rFonts w:ascii="Century Gothic" w:hAnsi="Century Gothic" w:cs="Arial"/>
          <w:szCs w:val="22"/>
        </w:rPr>
        <w:t>050</w:t>
      </w:r>
      <w:r w:rsidR="00D60457" w:rsidRPr="005F3460">
        <w:rPr>
          <w:rFonts w:ascii="Century Gothic" w:hAnsi="Century Gothic" w:cs="Arial"/>
          <w:szCs w:val="22"/>
        </w:rPr>
        <w:t>01-23-31-000-2000-03341-01(AG).</w:t>
      </w:r>
    </w:p>
  </w:footnote>
  <w:footnote w:id="41">
    <w:p w14:paraId="5E4144F2" w14:textId="77777777" w:rsidR="007C4175" w:rsidRPr="007C4175" w:rsidRDefault="007C417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178-179 del cuaderno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4464A"/>
    <w:multiLevelType w:val="hybridMultilevel"/>
    <w:tmpl w:val="8FC02B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06"/>
    <w:rsid w:val="00001BE4"/>
    <w:rsid w:val="0001160D"/>
    <w:rsid w:val="0001414E"/>
    <w:rsid w:val="0001690E"/>
    <w:rsid w:val="00016A51"/>
    <w:rsid w:val="00022AA3"/>
    <w:rsid w:val="000245AC"/>
    <w:rsid w:val="00025793"/>
    <w:rsid w:val="00042582"/>
    <w:rsid w:val="00044CBC"/>
    <w:rsid w:val="00052D14"/>
    <w:rsid w:val="00053309"/>
    <w:rsid w:val="000554E7"/>
    <w:rsid w:val="00055F14"/>
    <w:rsid w:val="00057511"/>
    <w:rsid w:val="000643FE"/>
    <w:rsid w:val="000663E4"/>
    <w:rsid w:val="000734FD"/>
    <w:rsid w:val="00075488"/>
    <w:rsid w:val="00075C2A"/>
    <w:rsid w:val="0007629C"/>
    <w:rsid w:val="0008143D"/>
    <w:rsid w:val="00083A05"/>
    <w:rsid w:val="00092306"/>
    <w:rsid w:val="000933F3"/>
    <w:rsid w:val="0009372D"/>
    <w:rsid w:val="0009519D"/>
    <w:rsid w:val="00097638"/>
    <w:rsid w:val="000A78F0"/>
    <w:rsid w:val="000B12BC"/>
    <w:rsid w:val="000B585E"/>
    <w:rsid w:val="000B68A6"/>
    <w:rsid w:val="000B76A7"/>
    <w:rsid w:val="000C25AE"/>
    <w:rsid w:val="000C513A"/>
    <w:rsid w:val="000D1CFF"/>
    <w:rsid w:val="000D4835"/>
    <w:rsid w:val="000D5FC7"/>
    <w:rsid w:val="000D69EA"/>
    <w:rsid w:val="000D7E5C"/>
    <w:rsid w:val="000E0C72"/>
    <w:rsid w:val="000F1F68"/>
    <w:rsid w:val="000F4BB5"/>
    <w:rsid w:val="000F5925"/>
    <w:rsid w:val="001039E9"/>
    <w:rsid w:val="0010401C"/>
    <w:rsid w:val="00106056"/>
    <w:rsid w:val="00114BAA"/>
    <w:rsid w:val="001177CE"/>
    <w:rsid w:val="0012071F"/>
    <w:rsid w:val="0012096C"/>
    <w:rsid w:val="00123BD7"/>
    <w:rsid w:val="0012757B"/>
    <w:rsid w:val="00131E87"/>
    <w:rsid w:val="00131F7A"/>
    <w:rsid w:val="00141526"/>
    <w:rsid w:val="00144E78"/>
    <w:rsid w:val="0014672E"/>
    <w:rsid w:val="00147E1F"/>
    <w:rsid w:val="0015033E"/>
    <w:rsid w:val="00150BBC"/>
    <w:rsid w:val="00157CFD"/>
    <w:rsid w:val="00164B8E"/>
    <w:rsid w:val="001650C1"/>
    <w:rsid w:val="00166C57"/>
    <w:rsid w:val="0017365B"/>
    <w:rsid w:val="0017376F"/>
    <w:rsid w:val="00175444"/>
    <w:rsid w:val="00181563"/>
    <w:rsid w:val="00181681"/>
    <w:rsid w:val="00185757"/>
    <w:rsid w:val="00195DEC"/>
    <w:rsid w:val="001A1206"/>
    <w:rsid w:val="001A1E7A"/>
    <w:rsid w:val="001A3B9B"/>
    <w:rsid w:val="001A49D7"/>
    <w:rsid w:val="001A7EB1"/>
    <w:rsid w:val="001B0D29"/>
    <w:rsid w:val="001B368A"/>
    <w:rsid w:val="001B3EC6"/>
    <w:rsid w:val="001B4749"/>
    <w:rsid w:val="001B6B10"/>
    <w:rsid w:val="001B7CE4"/>
    <w:rsid w:val="001C20BC"/>
    <w:rsid w:val="001C3926"/>
    <w:rsid w:val="001C48D9"/>
    <w:rsid w:val="001D0CEE"/>
    <w:rsid w:val="001D0F9E"/>
    <w:rsid w:val="001D4800"/>
    <w:rsid w:val="001E047E"/>
    <w:rsid w:val="001E18A4"/>
    <w:rsid w:val="001F4EF8"/>
    <w:rsid w:val="001F5DAC"/>
    <w:rsid w:val="0020112C"/>
    <w:rsid w:val="00202D8B"/>
    <w:rsid w:val="00203402"/>
    <w:rsid w:val="002039C2"/>
    <w:rsid w:val="00203A26"/>
    <w:rsid w:val="00206D37"/>
    <w:rsid w:val="002075A6"/>
    <w:rsid w:val="002079C3"/>
    <w:rsid w:val="002222BB"/>
    <w:rsid w:val="00223CD6"/>
    <w:rsid w:val="002243AA"/>
    <w:rsid w:val="0024328E"/>
    <w:rsid w:val="002626E3"/>
    <w:rsid w:val="00262DB7"/>
    <w:rsid w:val="002703B2"/>
    <w:rsid w:val="00272C31"/>
    <w:rsid w:val="002735D0"/>
    <w:rsid w:val="002743A9"/>
    <w:rsid w:val="002765A5"/>
    <w:rsid w:val="00281AA8"/>
    <w:rsid w:val="00287099"/>
    <w:rsid w:val="0028718F"/>
    <w:rsid w:val="00291E36"/>
    <w:rsid w:val="00294C89"/>
    <w:rsid w:val="00297247"/>
    <w:rsid w:val="002A3647"/>
    <w:rsid w:val="002A4346"/>
    <w:rsid w:val="002B0E7F"/>
    <w:rsid w:val="002B4FA8"/>
    <w:rsid w:val="002C549B"/>
    <w:rsid w:val="002D60DC"/>
    <w:rsid w:val="002E304B"/>
    <w:rsid w:val="002E537B"/>
    <w:rsid w:val="002F2FDD"/>
    <w:rsid w:val="002F4476"/>
    <w:rsid w:val="00300325"/>
    <w:rsid w:val="003029D1"/>
    <w:rsid w:val="00313CB7"/>
    <w:rsid w:val="00314625"/>
    <w:rsid w:val="00315ADB"/>
    <w:rsid w:val="003176A6"/>
    <w:rsid w:val="00336AE9"/>
    <w:rsid w:val="00343FE9"/>
    <w:rsid w:val="00351568"/>
    <w:rsid w:val="00351AF1"/>
    <w:rsid w:val="00360B71"/>
    <w:rsid w:val="00361BF0"/>
    <w:rsid w:val="00365C02"/>
    <w:rsid w:val="0036716E"/>
    <w:rsid w:val="00373789"/>
    <w:rsid w:val="00374712"/>
    <w:rsid w:val="00377A66"/>
    <w:rsid w:val="00381252"/>
    <w:rsid w:val="00390235"/>
    <w:rsid w:val="00391476"/>
    <w:rsid w:val="0039507E"/>
    <w:rsid w:val="003A4769"/>
    <w:rsid w:val="003A5DBD"/>
    <w:rsid w:val="003B635F"/>
    <w:rsid w:val="003C6FB1"/>
    <w:rsid w:val="003D05D1"/>
    <w:rsid w:val="003D4FB5"/>
    <w:rsid w:val="003D77E4"/>
    <w:rsid w:val="003E32AE"/>
    <w:rsid w:val="003F1278"/>
    <w:rsid w:val="003F4282"/>
    <w:rsid w:val="00400262"/>
    <w:rsid w:val="00403D6D"/>
    <w:rsid w:val="004132DB"/>
    <w:rsid w:val="004167A2"/>
    <w:rsid w:val="004203CB"/>
    <w:rsid w:val="0042485F"/>
    <w:rsid w:val="004255EB"/>
    <w:rsid w:val="00434411"/>
    <w:rsid w:val="00435024"/>
    <w:rsid w:val="004376AD"/>
    <w:rsid w:val="00443EBF"/>
    <w:rsid w:val="004457FE"/>
    <w:rsid w:val="00451C33"/>
    <w:rsid w:val="00454EBE"/>
    <w:rsid w:val="004561C4"/>
    <w:rsid w:val="00457587"/>
    <w:rsid w:val="004600D0"/>
    <w:rsid w:val="004627BD"/>
    <w:rsid w:val="004646E2"/>
    <w:rsid w:val="004700E9"/>
    <w:rsid w:val="00470535"/>
    <w:rsid w:val="00470898"/>
    <w:rsid w:val="00473B72"/>
    <w:rsid w:val="00474D0F"/>
    <w:rsid w:val="004827A9"/>
    <w:rsid w:val="00492088"/>
    <w:rsid w:val="004A5B60"/>
    <w:rsid w:val="004C4356"/>
    <w:rsid w:val="004C728E"/>
    <w:rsid w:val="004D012D"/>
    <w:rsid w:val="004D0C12"/>
    <w:rsid w:val="004D7775"/>
    <w:rsid w:val="004E1808"/>
    <w:rsid w:val="004E3229"/>
    <w:rsid w:val="004E32E6"/>
    <w:rsid w:val="004E3497"/>
    <w:rsid w:val="004E3536"/>
    <w:rsid w:val="004E7F5D"/>
    <w:rsid w:val="004F21B1"/>
    <w:rsid w:val="004F236A"/>
    <w:rsid w:val="004F55BF"/>
    <w:rsid w:val="004F5E9A"/>
    <w:rsid w:val="004F704B"/>
    <w:rsid w:val="00506BDA"/>
    <w:rsid w:val="00512BB3"/>
    <w:rsid w:val="00520B98"/>
    <w:rsid w:val="005246B3"/>
    <w:rsid w:val="005254F6"/>
    <w:rsid w:val="0052764A"/>
    <w:rsid w:val="00527E2B"/>
    <w:rsid w:val="00532AF9"/>
    <w:rsid w:val="00544E55"/>
    <w:rsid w:val="0055005F"/>
    <w:rsid w:val="00555446"/>
    <w:rsid w:val="0055591A"/>
    <w:rsid w:val="00556382"/>
    <w:rsid w:val="00575B92"/>
    <w:rsid w:val="00584CBD"/>
    <w:rsid w:val="00584CD7"/>
    <w:rsid w:val="005853F4"/>
    <w:rsid w:val="00586468"/>
    <w:rsid w:val="00586929"/>
    <w:rsid w:val="00592E4E"/>
    <w:rsid w:val="005A01F5"/>
    <w:rsid w:val="005A0A33"/>
    <w:rsid w:val="005A0EF2"/>
    <w:rsid w:val="005A1F5B"/>
    <w:rsid w:val="005A33D4"/>
    <w:rsid w:val="005A37F0"/>
    <w:rsid w:val="005A426C"/>
    <w:rsid w:val="005B1816"/>
    <w:rsid w:val="005B7C77"/>
    <w:rsid w:val="005C10FC"/>
    <w:rsid w:val="005C6A8D"/>
    <w:rsid w:val="005C7F16"/>
    <w:rsid w:val="005D34D6"/>
    <w:rsid w:val="005D4F98"/>
    <w:rsid w:val="005E44DE"/>
    <w:rsid w:val="005F1E85"/>
    <w:rsid w:val="005F26CA"/>
    <w:rsid w:val="005F2B4F"/>
    <w:rsid w:val="005F3460"/>
    <w:rsid w:val="0060032C"/>
    <w:rsid w:val="0060596F"/>
    <w:rsid w:val="0062252F"/>
    <w:rsid w:val="00623215"/>
    <w:rsid w:val="0062550D"/>
    <w:rsid w:val="00625CF4"/>
    <w:rsid w:val="006307B3"/>
    <w:rsid w:val="00636A11"/>
    <w:rsid w:val="00640F15"/>
    <w:rsid w:val="006609B4"/>
    <w:rsid w:val="0066194E"/>
    <w:rsid w:val="0066195F"/>
    <w:rsid w:val="00665322"/>
    <w:rsid w:val="00667C21"/>
    <w:rsid w:val="00670704"/>
    <w:rsid w:val="006752E7"/>
    <w:rsid w:val="006826C5"/>
    <w:rsid w:val="0068515F"/>
    <w:rsid w:val="00695E99"/>
    <w:rsid w:val="006A06D9"/>
    <w:rsid w:val="006A53A8"/>
    <w:rsid w:val="006B098C"/>
    <w:rsid w:val="006C1523"/>
    <w:rsid w:val="006C2973"/>
    <w:rsid w:val="006D1FA5"/>
    <w:rsid w:val="006D20EE"/>
    <w:rsid w:val="006E378A"/>
    <w:rsid w:val="006F1BF3"/>
    <w:rsid w:val="006F5B31"/>
    <w:rsid w:val="00700C70"/>
    <w:rsid w:val="00703142"/>
    <w:rsid w:val="00704D35"/>
    <w:rsid w:val="00707571"/>
    <w:rsid w:val="007077EB"/>
    <w:rsid w:val="007116AE"/>
    <w:rsid w:val="00712219"/>
    <w:rsid w:val="00713AE7"/>
    <w:rsid w:val="00720762"/>
    <w:rsid w:val="00720CA5"/>
    <w:rsid w:val="00722AE7"/>
    <w:rsid w:val="007231A0"/>
    <w:rsid w:val="00723AF6"/>
    <w:rsid w:val="00726893"/>
    <w:rsid w:val="0072798E"/>
    <w:rsid w:val="00731009"/>
    <w:rsid w:val="0074177C"/>
    <w:rsid w:val="00744788"/>
    <w:rsid w:val="00763F48"/>
    <w:rsid w:val="00767EAD"/>
    <w:rsid w:val="007729EA"/>
    <w:rsid w:val="00774179"/>
    <w:rsid w:val="00774789"/>
    <w:rsid w:val="00775915"/>
    <w:rsid w:val="007806EA"/>
    <w:rsid w:val="00784698"/>
    <w:rsid w:val="007956B1"/>
    <w:rsid w:val="007973DC"/>
    <w:rsid w:val="007A1412"/>
    <w:rsid w:val="007A202A"/>
    <w:rsid w:val="007A3433"/>
    <w:rsid w:val="007A3DDB"/>
    <w:rsid w:val="007A445A"/>
    <w:rsid w:val="007A4667"/>
    <w:rsid w:val="007A4FA7"/>
    <w:rsid w:val="007A764A"/>
    <w:rsid w:val="007B0E10"/>
    <w:rsid w:val="007C4175"/>
    <w:rsid w:val="007C4709"/>
    <w:rsid w:val="007D6640"/>
    <w:rsid w:val="007D7D12"/>
    <w:rsid w:val="007E05C2"/>
    <w:rsid w:val="007E08A9"/>
    <w:rsid w:val="007E69CC"/>
    <w:rsid w:val="007F15F3"/>
    <w:rsid w:val="007F6CCE"/>
    <w:rsid w:val="00800A17"/>
    <w:rsid w:val="0080616E"/>
    <w:rsid w:val="0080703F"/>
    <w:rsid w:val="00807F9C"/>
    <w:rsid w:val="008102DA"/>
    <w:rsid w:val="008138E6"/>
    <w:rsid w:val="00821C16"/>
    <w:rsid w:val="0082601C"/>
    <w:rsid w:val="00831EC5"/>
    <w:rsid w:val="00833EAC"/>
    <w:rsid w:val="00837112"/>
    <w:rsid w:val="00837EAF"/>
    <w:rsid w:val="00842544"/>
    <w:rsid w:val="00844474"/>
    <w:rsid w:val="0085386A"/>
    <w:rsid w:val="00861C88"/>
    <w:rsid w:val="00873881"/>
    <w:rsid w:val="0087390B"/>
    <w:rsid w:val="008758A7"/>
    <w:rsid w:val="0088463A"/>
    <w:rsid w:val="00885AEC"/>
    <w:rsid w:val="008902ED"/>
    <w:rsid w:val="008A2884"/>
    <w:rsid w:val="008C05CF"/>
    <w:rsid w:val="008C2234"/>
    <w:rsid w:val="008D50A7"/>
    <w:rsid w:val="008D5CE5"/>
    <w:rsid w:val="008F1326"/>
    <w:rsid w:val="008F5346"/>
    <w:rsid w:val="00901377"/>
    <w:rsid w:val="00903AAD"/>
    <w:rsid w:val="00903EE1"/>
    <w:rsid w:val="00907163"/>
    <w:rsid w:val="00910A75"/>
    <w:rsid w:val="00915A87"/>
    <w:rsid w:val="00916536"/>
    <w:rsid w:val="009242B5"/>
    <w:rsid w:val="00926EAA"/>
    <w:rsid w:val="00933517"/>
    <w:rsid w:val="00935A28"/>
    <w:rsid w:val="00936DBD"/>
    <w:rsid w:val="0094023B"/>
    <w:rsid w:val="0094078C"/>
    <w:rsid w:val="00940FFD"/>
    <w:rsid w:val="00952339"/>
    <w:rsid w:val="00953A22"/>
    <w:rsid w:val="00957042"/>
    <w:rsid w:val="009652C3"/>
    <w:rsid w:val="00977FD3"/>
    <w:rsid w:val="009801FE"/>
    <w:rsid w:val="0098224D"/>
    <w:rsid w:val="00985281"/>
    <w:rsid w:val="00991FF1"/>
    <w:rsid w:val="00992019"/>
    <w:rsid w:val="009956A2"/>
    <w:rsid w:val="00995877"/>
    <w:rsid w:val="009A488B"/>
    <w:rsid w:val="009B0A66"/>
    <w:rsid w:val="009B5052"/>
    <w:rsid w:val="009B5274"/>
    <w:rsid w:val="009B6818"/>
    <w:rsid w:val="009C5852"/>
    <w:rsid w:val="009C5B36"/>
    <w:rsid w:val="009C5D1D"/>
    <w:rsid w:val="009C7D0F"/>
    <w:rsid w:val="009C7E18"/>
    <w:rsid w:val="009C7E23"/>
    <w:rsid w:val="009D25D2"/>
    <w:rsid w:val="009D2A0E"/>
    <w:rsid w:val="009E1C9A"/>
    <w:rsid w:val="009E1D37"/>
    <w:rsid w:val="009E74BD"/>
    <w:rsid w:val="009F1EC0"/>
    <w:rsid w:val="009F380C"/>
    <w:rsid w:val="00A04A47"/>
    <w:rsid w:val="00A05DE4"/>
    <w:rsid w:val="00A06077"/>
    <w:rsid w:val="00A06896"/>
    <w:rsid w:val="00A11589"/>
    <w:rsid w:val="00A16146"/>
    <w:rsid w:val="00A1643D"/>
    <w:rsid w:val="00A20456"/>
    <w:rsid w:val="00A21EB3"/>
    <w:rsid w:val="00A25461"/>
    <w:rsid w:val="00A273B7"/>
    <w:rsid w:val="00A2761F"/>
    <w:rsid w:val="00A27630"/>
    <w:rsid w:val="00A326B5"/>
    <w:rsid w:val="00A36781"/>
    <w:rsid w:val="00A45064"/>
    <w:rsid w:val="00A46887"/>
    <w:rsid w:val="00A472C3"/>
    <w:rsid w:val="00A50B24"/>
    <w:rsid w:val="00A52CD7"/>
    <w:rsid w:val="00A53094"/>
    <w:rsid w:val="00A55BBB"/>
    <w:rsid w:val="00A61F85"/>
    <w:rsid w:val="00A6522D"/>
    <w:rsid w:val="00A72832"/>
    <w:rsid w:val="00A74E64"/>
    <w:rsid w:val="00A7676B"/>
    <w:rsid w:val="00A86356"/>
    <w:rsid w:val="00A86CC2"/>
    <w:rsid w:val="00A90533"/>
    <w:rsid w:val="00A91386"/>
    <w:rsid w:val="00A9206E"/>
    <w:rsid w:val="00A93712"/>
    <w:rsid w:val="00AA3507"/>
    <w:rsid w:val="00AB1448"/>
    <w:rsid w:val="00AB1672"/>
    <w:rsid w:val="00AD3D53"/>
    <w:rsid w:val="00AD4342"/>
    <w:rsid w:val="00AF1B57"/>
    <w:rsid w:val="00AF7465"/>
    <w:rsid w:val="00AF7BC0"/>
    <w:rsid w:val="00B00B22"/>
    <w:rsid w:val="00B03B6F"/>
    <w:rsid w:val="00B07524"/>
    <w:rsid w:val="00B07CAE"/>
    <w:rsid w:val="00B1161F"/>
    <w:rsid w:val="00B12B62"/>
    <w:rsid w:val="00B15C7D"/>
    <w:rsid w:val="00B256B7"/>
    <w:rsid w:val="00B32033"/>
    <w:rsid w:val="00B32E17"/>
    <w:rsid w:val="00B34E4E"/>
    <w:rsid w:val="00B365FA"/>
    <w:rsid w:val="00B4110A"/>
    <w:rsid w:val="00B41ACA"/>
    <w:rsid w:val="00B45820"/>
    <w:rsid w:val="00B478FD"/>
    <w:rsid w:val="00B479D8"/>
    <w:rsid w:val="00B47D70"/>
    <w:rsid w:val="00B51108"/>
    <w:rsid w:val="00B5354E"/>
    <w:rsid w:val="00B5383B"/>
    <w:rsid w:val="00B5475D"/>
    <w:rsid w:val="00B668D6"/>
    <w:rsid w:val="00B67562"/>
    <w:rsid w:val="00B71189"/>
    <w:rsid w:val="00B7468E"/>
    <w:rsid w:val="00B74841"/>
    <w:rsid w:val="00B91994"/>
    <w:rsid w:val="00B9332E"/>
    <w:rsid w:val="00B93B4B"/>
    <w:rsid w:val="00BB1CB4"/>
    <w:rsid w:val="00BB2B9A"/>
    <w:rsid w:val="00BB5614"/>
    <w:rsid w:val="00BB669D"/>
    <w:rsid w:val="00BC3880"/>
    <w:rsid w:val="00BC5CE1"/>
    <w:rsid w:val="00BC630D"/>
    <w:rsid w:val="00BC7220"/>
    <w:rsid w:val="00BD10BE"/>
    <w:rsid w:val="00BE1E59"/>
    <w:rsid w:val="00BE27A5"/>
    <w:rsid w:val="00BE6A33"/>
    <w:rsid w:val="00BF4235"/>
    <w:rsid w:val="00BF55FC"/>
    <w:rsid w:val="00C0463D"/>
    <w:rsid w:val="00C17BCD"/>
    <w:rsid w:val="00C20A8B"/>
    <w:rsid w:val="00C21578"/>
    <w:rsid w:val="00C227D6"/>
    <w:rsid w:val="00C22A8D"/>
    <w:rsid w:val="00C2740E"/>
    <w:rsid w:val="00C27A9C"/>
    <w:rsid w:val="00C3234E"/>
    <w:rsid w:val="00C340A0"/>
    <w:rsid w:val="00C3449A"/>
    <w:rsid w:val="00C4122E"/>
    <w:rsid w:val="00C41363"/>
    <w:rsid w:val="00C42A2A"/>
    <w:rsid w:val="00C430FC"/>
    <w:rsid w:val="00C438D3"/>
    <w:rsid w:val="00C43A4B"/>
    <w:rsid w:val="00C517CE"/>
    <w:rsid w:val="00C5195A"/>
    <w:rsid w:val="00C55D4B"/>
    <w:rsid w:val="00C6126D"/>
    <w:rsid w:val="00C644C8"/>
    <w:rsid w:val="00C65027"/>
    <w:rsid w:val="00C67BAF"/>
    <w:rsid w:val="00C74FD8"/>
    <w:rsid w:val="00C77B49"/>
    <w:rsid w:val="00C824B7"/>
    <w:rsid w:val="00C83357"/>
    <w:rsid w:val="00C84409"/>
    <w:rsid w:val="00C905BB"/>
    <w:rsid w:val="00C96E57"/>
    <w:rsid w:val="00CA7795"/>
    <w:rsid w:val="00CB5C2E"/>
    <w:rsid w:val="00CB5C69"/>
    <w:rsid w:val="00CB7290"/>
    <w:rsid w:val="00CC3250"/>
    <w:rsid w:val="00CC3574"/>
    <w:rsid w:val="00CC4A8A"/>
    <w:rsid w:val="00CD73C2"/>
    <w:rsid w:val="00CE2A5A"/>
    <w:rsid w:val="00CE2D84"/>
    <w:rsid w:val="00CE69A0"/>
    <w:rsid w:val="00CF1E0E"/>
    <w:rsid w:val="00CF3636"/>
    <w:rsid w:val="00CF76A9"/>
    <w:rsid w:val="00D06AF0"/>
    <w:rsid w:val="00D21126"/>
    <w:rsid w:val="00D21DBD"/>
    <w:rsid w:val="00D23BF9"/>
    <w:rsid w:val="00D3091E"/>
    <w:rsid w:val="00D32216"/>
    <w:rsid w:val="00D32AEC"/>
    <w:rsid w:val="00D35A3F"/>
    <w:rsid w:val="00D35C26"/>
    <w:rsid w:val="00D42169"/>
    <w:rsid w:val="00D42F5A"/>
    <w:rsid w:val="00D52AE1"/>
    <w:rsid w:val="00D54FB6"/>
    <w:rsid w:val="00D60457"/>
    <w:rsid w:val="00D62B82"/>
    <w:rsid w:val="00D63FD9"/>
    <w:rsid w:val="00D67D1A"/>
    <w:rsid w:val="00D841D5"/>
    <w:rsid w:val="00D862A9"/>
    <w:rsid w:val="00D93E60"/>
    <w:rsid w:val="00D9610B"/>
    <w:rsid w:val="00D97F05"/>
    <w:rsid w:val="00DA06CA"/>
    <w:rsid w:val="00DA08CF"/>
    <w:rsid w:val="00DA1931"/>
    <w:rsid w:val="00DA2DE2"/>
    <w:rsid w:val="00DA3046"/>
    <w:rsid w:val="00DA4455"/>
    <w:rsid w:val="00DA5973"/>
    <w:rsid w:val="00DA6CC0"/>
    <w:rsid w:val="00DC2F2F"/>
    <w:rsid w:val="00DC3170"/>
    <w:rsid w:val="00DD565F"/>
    <w:rsid w:val="00DE0B38"/>
    <w:rsid w:val="00DE28E4"/>
    <w:rsid w:val="00DE5FA8"/>
    <w:rsid w:val="00DF1797"/>
    <w:rsid w:val="00DF4CEF"/>
    <w:rsid w:val="00DF7CA6"/>
    <w:rsid w:val="00E02717"/>
    <w:rsid w:val="00E03855"/>
    <w:rsid w:val="00E05F65"/>
    <w:rsid w:val="00E06030"/>
    <w:rsid w:val="00E12010"/>
    <w:rsid w:val="00E210A2"/>
    <w:rsid w:val="00E23AE4"/>
    <w:rsid w:val="00E32534"/>
    <w:rsid w:val="00E37449"/>
    <w:rsid w:val="00E44371"/>
    <w:rsid w:val="00E47A85"/>
    <w:rsid w:val="00E5032D"/>
    <w:rsid w:val="00E54F20"/>
    <w:rsid w:val="00E56784"/>
    <w:rsid w:val="00E65A6D"/>
    <w:rsid w:val="00E70DBF"/>
    <w:rsid w:val="00E72F26"/>
    <w:rsid w:val="00E737D5"/>
    <w:rsid w:val="00E73EF4"/>
    <w:rsid w:val="00E76F9C"/>
    <w:rsid w:val="00E80D5A"/>
    <w:rsid w:val="00E84740"/>
    <w:rsid w:val="00E84CF7"/>
    <w:rsid w:val="00E920A6"/>
    <w:rsid w:val="00E9213B"/>
    <w:rsid w:val="00E93E99"/>
    <w:rsid w:val="00E9479D"/>
    <w:rsid w:val="00EA04AF"/>
    <w:rsid w:val="00EA2089"/>
    <w:rsid w:val="00EA244F"/>
    <w:rsid w:val="00EA51B3"/>
    <w:rsid w:val="00EB08A3"/>
    <w:rsid w:val="00EB461C"/>
    <w:rsid w:val="00EB79FD"/>
    <w:rsid w:val="00ED13DD"/>
    <w:rsid w:val="00ED29B4"/>
    <w:rsid w:val="00EE052C"/>
    <w:rsid w:val="00EE3D68"/>
    <w:rsid w:val="00EE4240"/>
    <w:rsid w:val="00EE73BE"/>
    <w:rsid w:val="00EF0346"/>
    <w:rsid w:val="00EF3FA2"/>
    <w:rsid w:val="00EF7CA8"/>
    <w:rsid w:val="00F01E32"/>
    <w:rsid w:val="00F10E18"/>
    <w:rsid w:val="00F10E87"/>
    <w:rsid w:val="00F14C46"/>
    <w:rsid w:val="00F204B9"/>
    <w:rsid w:val="00F23614"/>
    <w:rsid w:val="00F25948"/>
    <w:rsid w:val="00F27F0E"/>
    <w:rsid w:val="00F330C3"/>
    <w:rsid w:val="00F34250"/>
    <w:rsid w:val="00F366F9"/>
    <w:rsid w:val="00F41688"/>
    <w:rsid w:val="00F47259"/>
    <w:rsid w:val="00F5605E"/>
    <w:rsid w:val="00F6143F"/>
    <w:rsid w:val="00F64636"/>
    <w:rsid w:val="00F67811"/>
    <w:rsid w:val="00F67D92"/>
    <w:rsid w:val="00F8093C"/>
    <w:rsid w:val="00F80C6B"/>
    <w:rsid w:val="00F834FD"/>
    <w:rsid w:val="00F84BDA"/>
    <w:rsid w:val="00FA0201"/>
    <w:rsid w:val="00FA1417"/>
    <w:rsid w:val="00FA7D27"/>
    <w:rsid w:val="00FB3151"/>
    <w:rsid w:val="00FB6A85"/>
    <w:rsid w:val="00FC6843"/>
    <w:rsid w:val="00FC7203"/>
    <w:rsid w:val="00FD1C95"/>
    <w:rsid w:val="00FD2BBC"/>
    <w:rsid w:val="00FD3C22"/>
    <w:rsid w:val="00FE1AE3"/>
    <w:rsid w:val="00FE6024"/>
    <w:rsid w:val="00FE65F2"/>
    <w:rsid w:val="00FF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6669A"/>
  <w15:chartTrackingRefBased/>
  <w15:docId w15:val="{01EE4929-20A9-46EA-A47D-6281BFA3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69"/>
    <w:rPr>
      <w:sz w:val="22"/>
      <w:szCs w:val="22"/>
      <w:lang w:val="es-ES"/>
    </w:rPr>
  </w:style>
  <w:style w:type="paragraph" w:styleId="Ttulo1">
    <w:name w:val="heading 1"/>
    <w:basedOn w:val="Normal"/>
    <w:next w:val="Normal"/>
    <w:link w:val="Ttulo1Car"/>
    <w:qFormat/>
    <w:rsid w:val="00092306"/>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92306"/>
    <w:rPr>
      <w:rFonts w:ascii="Calibri Light" w:eastAsia="Times New Roman" w:hAnsi="Calibri Light"/>
      <w:color w:val="2E74B5"/>
      <w:sz w:val="32"/>
      <w:szCs w:val="32"/>
      <w:lang w:eastAsia="en-US"/>
    </w:rPr>
  </w:style>
  <w:style w:type="paragraph" w:styleId="Piedepgina">
    <w:name w:val="footer"/>
    <w:basedOn w:val="Normal"/>
    <w:link w:val="PiedepginaCar"/>
    <w:uiPriority w:val="99"/>
    <w:rsid w:val="00092306"/>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092306"/>
    <w:rPr>
      <w:rFonts w:ascii="Times New Roman" w:eastAsia="Times New Roman" w:hAnsi="Times New Roman"/>
      <w:sz w:val="24"/>
      <w:szCs w:val="24"/>
    </w:rPr>
  </w:style>
  <w:style w:type="paragraph" w:styleId="Prrafodelista">
    <w:name w:val="List Paragraph"/>
    <w:basedOn w:val="Normal"/>
    <w:uiPriority w:val="34"/>
    <w:qFormat/>
    <w:rsid w:val="00092306"/>
    <w:pPr>
      <w:ind w:left="708"/>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092306"/>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092306"/>
    <w:rPr>
      <w:rFonts w:ascii="Times New Roman" w:eastAsia="Times New Roman" w:hAnsi="Times New Roman"/>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qFormat/>
    <w:rsid w:val="00092306"/>
    <w:rPr>
      <w:vertAlign w:val="superscript"/>
    </w:rPr>
  </w:style>
  <w:style w:type="paragraph" w:customStyle="1" w:styleId="Sangra2detindependiente1">
    <w:name w:val="Sangría 2 de t. independiente1"/>
    <w:basedOn w:val="Normal"/>
    <w:rsid w:val="00092306"/>
    <w:pPr>
      <w:overflowPunct w:val="0"/>
      <w:autoSpaceDE w:val="0"/>
      <w:autoSpaceDN w:val="0"/>
      <w:adjustRightInd w:val="0"/>
      <w:spacing w:line="360" w:lineRule="auto"/>
      <w:ind w:left="1701"/>
      <w:jc w:val="both"/>
      <w:textAlignment w:val="baseline"/>
    </w:pPr>
    <w:rPr>
      <w:rFonts w:ascii="Arial" w:eastAsia="Times New Roman" w:hAnsi="Arial"/>
      <w:sz w:val="24"/>
      <w:szCs w:val="20"/>
      <w:lang w:val="es-ES_tradnl" w:eastAsia="es-ES"/>
    </w:rPr>
  </w:style>
  <w:style w:type="paragraph" w:styleId="NormalWeb">
    <w:name w:val="Normal (Web)"/>
    <w:basedOn w:val="Normal"/>
    <w:uiPriority w:val="99"/>
    <w:unhideWhenUsed/>
    <w:rsid w:val="00092306"/>
    <w:pPr>
      <w:spacing w:before="100" w:beforeAutospacing="1" w:after="100" w:afterAutospacing="1"/>
    </w:pPr>
    <w:rPr>
      <w:rFonts w:ascii="Times New Roman" w:eastAsia="Times New Roman" w:hAnsi="Times New Roman"/>
      <w:sz w:val="24"/>
      <w:szCs w:val="24"/>
      <w:lang w:val="es-CO" w:eastAsia="es-CO"/>
    </w:rPr>
  </w:style>
  <w:style w:type="paragraph" w:styleId="Encabezado">
    <w:name w:val="header"/>
    <w:basedOn w:val="Normal"/>
    <w:link w:val="EncabezadoCar"/>
    <w:unhideWhenUsed/>
    <w:rsid w:val="00092306"/>
    <w:pPr>
      <w:tabs>
        <w:tab w:val="center" w:pos="4252"/>
        <w:tab w:val="right" w:pos="8504"/>
      </w:tabs>
    </w:pPr>
  </w:style>
  <w:style w:type="character" w:customStyle="1" w:styleId="EncabezadoCar">
    <w:name w:val="Encabezado Car"/>
    <w:link w:val="Encabezado"/>
    <w:rsid w:val="00092306"/>
    <w:rPr>
      <w:sz w:val="22"/>
      <w:szCs w:val="22"/>
      <w:lang w:eastAsia="en-US"/>
    </w:rPr>
  </w:style>
  <w:style w:type="paragraph" w:customStyle="1" w:styleId="Textodebloque1">
    <w:name w:val="Texto de bloque1"/>
    <w:basedOn w:val="Normal"/>
    <w:qFormat/>
    <w:rsid w:val="00092306"/>
    <w:pPr>
      <w:overflowPunct w:val="0"/>
      <w:autoSpaceDE w:val="0"/>
      <w:autoSpaceDN w:val="0"/>
      <w:adjustRightInd w:val="0"/>
      <w:ind w:left="720" w:firstLine="706"/>
      <w:jc w:val="both"/>
      <w:textAlignment w:val="baseline"/>
    </w:pPr>
    <w:rPr>
      <w:rFonts w:ascii="Times New Roman" w:eastAsia="Times New Roman" w:hAnsi="Times New Roman"/>
      <w:i/>
      <w:sz w:val="24"/>
      <w:szCs w:val="20"/>
      <w:lang w:eastAsia="es-ES"/>
    </w:rPr>
  </w:style>
  <w:style w:type="paragraph" w:customStyle="1" w:styleId="BodyTextIndent21">
    <w:name w:val="Body Text Indent 21"/>
    <w:basedOn w:val="Normal"/>
    <w:rsid w:val="00092306"/>
    <w:pPr>
      <w:overflowPunct w:val="0"/>
      <w:autoSpaceDE w:val="0"/>
      <w:autoSpaceDN w:val="0"/>
      <w:adjustRightInd w:val="0"/>
      <w:spacing w:after="120" w:line="480" w:lineRule="auto"/>
      <w:ind w:left="283"/>
      <w:jc w:val="both"/>
      <w:textAlignment w:val="baseline"/>
    </w:pPr>
    <w:rPr>
      <w:rFonts w:ascii="Arial" w:eastAsia="Times New Roman" w:hAnsi="Arial"/>
      <w:sz w:val="24"/>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92306"/>
    <w:pPr>
      <w:jc w:val="both"/>
    </w:pPr>
    <w:rPr>
      <w:sz w:val="20"/>
      <w:szCs w:val="20"/>
      <w:vertAlign w:val="superscript"/>
      <w:lang w:eastAsia="es-ES"/>
    </w:rPr>
  </w:style>
  <w:style w:type="table" w:styleId="Tablaconcuadrcula">
    <w:name w:val="Table Grid"/>
    <w:basedOn w:val="Tablanormal"/>
    <w:uiPriority w:val="39"/>
    <w:rsid w:val="0009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EB08A3"/>
    <w:pPr>
      <w:overflowPunct w:val="0"/>
      <w:autoSpaceDE w:val="0"/>
      <w:autoSpaceDN w:val="0"/>
      <w:adjustRightInd w:val="0"/>
      <w:spacing w:line="480" w:lineRule="auto"/>
      <w:jc w:val="both"/>
    </w:pPr>
    <w:rPr>
      <w:rFonts w:ascii="Arial" w:eastAsia="Times New Roman" w:hAnsi="Arial"/>
      <w:sz w:val="24"/>
      <w:szCs w:val="20"/>
      <w:lang w:eastAsia="es-ES"/>
    </w:rPr>
  </w:style>
  <w:style w:type="paragraph" w:styleId="Textoindependiente">
    <w:name w:val="Body Text"/>
    <w:basedOn w:val="Normal"/>
    <w:link w:val="TextoindependienteCar"/>
    <w:rsid w:val="00EB08A3"/>
    <w:pPr>
      <w:spacing w:after="120"/>
    </w:pPr>
    <w:rPr>
      <w:rFonts w:ascii="Times New Roman" w:eastAsia="Times New Roman" w:hAnsi="Times New Roman"/>
      <w:sz w:val="24"/>
      <w:szCs w:val="24"/>
      <w:lang w:eastAsia="es-ES"/>
    </w:rPr>
  </w:style>
  <w:style w:type="character" w:customStyle="1" w:styleId="TextoindependienteCar">
    <w:name w:val="Texto independiente Car"/>
    <w:link w:val="Textoindependiente"/>
    <w:rsid w:val="00EB08A3"/>
    <w:rPr>
      <w:rFonts w:ascii="Times New Roman" w:eastAsia="Times New Roman" w:hAnsi="Times New Roman"/>
      <w:sz w:val="24"/>
      <w:szCs w:val="24"/>
    </w:rPr>
  </w:style>
  <w:style w:type="character" w:customStyle="1" w:styleId="textonavy">
    <w:name w:val="texto_navy"/>
    <w:rsid w:val="00EB08A3"/>
  </w:style>
  <w:style w:type="paragraph" w:customStyle="1" w:styleId="Ttulo2CdeE">
    <w:name w:val="Título 2 C de E"/>
    <w:basedOn w:val="Normal"/>
    <w:rsid w:val="00EB08A3"/>
    <w:pPr>
      <w:tabs>
        <w:tab w:val="left" w:pos="1843"/>
      </w:tabs>
      <w:overflowPunct w:val="0"/>
      <w:autoSpaceDE w:val="0"/>
      <w:autoSpaceDN w:val="0"/>
      <w:adjustRightInd w:val="0"/>
      <w:spacing w:line="360" w:lineRule="auto"/>
      <w:ind w:left="708" w:firstLine="708"/>
      <w:jc w:val="both"/>
      <w:textAlignment w:val="baseline"/>
    </w:pPr>
    <w:rPr>
      <w:rFonts w:ascii="Arial" w:eastAsia="Times New Roman" w:hAnsi="Arial"/>
      <w:b/>
      <w:sz w:val="24"/>
      <w:szCs w:val="20"/>
      <w:lang w:val="es-ES_tradnl" w:eastAsia="es-ES"/>
    </w:rPr>
  </w:style>
  <w:style w:type="paragraph" w:styleId="Textodeglobo">
    <w:name w:val="Balloon Text"/>
    <w:basedOn w:val="Normal"/>
    <w:link w:val="TextodegloboCar"/>
    <w:uiPriority w:val="99"/>
    <w:semiHidden/>
    <w:unhideWhenUsed/>
    <w:rsid w:val="00E65A6D"/>
    <w:rPr>
      <w:rFonts w:ascii="Segoe UI" w:hAnsi="Segoe UI" w:cs="Segoe UI"/>
      <w:sz w:val="18"/>
      <w:szCs w:val="18"/>
    </w:rPr>
  </w:style>
  <w:style w:type="character" w:customStyle="1" w:styleId="TextodegloboCar">
    <w:name w:val="Texto de globo Car"/>
    <w:link w:val="Textodeglobo"/>
    <w:uiPriority w:val="99"/>
    <w:semiHidden/>
    <w:rsid w:val="00E65A6D"/>
    <w:rPr>
      <w:rFonts w:ascii="Segoe UI" w:hAnsi="Segoe UI" w:cs="Segoe UI"/>
      <w:sz w:val="18"/>
      <w:szCs w:val="18"/>
      <w:lang w:eastAsia="en-US"/>
    </w:rPr>
  </w:style>
  <w:style w:type="character" w:styleId="Refdecomentario">
    <w:name w:val="annotation reference"/>
    <w:uiPriority w:val="99"/>
    <w:semiHidden/>
    <w:unhideWhenUsed/>
    <w:rsid w:val="003D4FB5"/>
    <w:rPr>
      <w:sz w:val="16"/>
      <w:szCs w:val="16"/>
    </w:rPr>
  </w:style>
  <w:style w:type="paragraph" w:styleId="Textocomentario">
    <w:name w:val="annotation text"/>
    <w:basedOn w:val="Normal"/>
    <w:link w:val="TextocomentarioCar"/>
    <w:uiPriority w:val="99"/>
    <w:semiHidden/>
    <w:unhideWhenUsed/>
    <w:rsid w:val="003D4FB5"/>
    <w:rPr>
      <w:sz w:val="20"/>
      <w:szCs w:val="20"/>
    </w:rPr>
  </w:style>
  <w:style w:type="character" w:customStyle="1" w:styleId="TextocomentarioCar">
    <w:name w:val="Texto comentario Car"/>
    <w:link w:val="Textocomentario"/>
    <w:uiPriority w:val="99"/>
    <w:semiHidden/>
    <w:rsid w:val="003D4FB5"/>
    <w:rPr>
      <w:lang w:eastAsia="en-US"/>
    </w:rPr>
  </w:style>
  <w:style w:type="paragraph" w:styleId="Asuntodelcomentario">
    <w:name w:val="annotation subject"/>
    <w:basedOn w:val="Textocomentario"/>
    <w:next w:val="Textocomentario"/>
    <w:link w:val="AsuntodelcomentarioCar"/>
    <w:uiPriority w:val="99"/>
    <w:semiHidden/>
    <w:unhideWhenUsed/>
    <w:rsid w:val="003D4FB5"/>
    <w:rPr>
      <w:b/>
      <w:bCs/>
    </w:rPr>
  </w:style>
  <w:style w:type="character" w:customStyle="1" w:styleId="AsuntodelcomentarioCar">
    <w:name w:val="Asunto del comentario Car"/>
    <w:link w:val="Asuntodelcomentario"/>
    <w:uiPriority w:val="99"/>
    <w:semiHidden/>
    <w:rsid w:val="003D4FB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67862">
      <w:bodyDiv w:val="1"/>
      <w:marLeft w:val="0"/>
      <w:marRight w:val="0"/>
      <w:marTop w:val="0"/>
      <w:marBottom w:val="0"/>
      <w:divBdr>
        <w:top w:val="none" w:sz="0" w:space="0" w:color="auto"/>
        <w:left w:val="none" w:sz="0" w:space="0" w:color="auto"/>
        <w:bottom w:val="none" w:sz="0" w:space="0" w:color="auto"/>
        <w:right w:val="none" w:sz="0" w:space="0" w:color="auto"/>
      </w:divBdr>
    </w:div>
    <w:div w:id="1062216658">
      <w:bodyDiv w:val="1"/>
      <w:marLeft w:val="0"/>
      <w:marRight w:val="0"/>
      <w:marTop w:val="0"/>
      <w:marBottom w:val="0"/>
      <w:divBdr>
        <w:top w:val="none" w:sz="0" w:space="0" w:color="auto"/>
        <w:left w:val="none" w:sz="0" w:space="0" w:color="auto"/>
        <w:bottom w:val="none" w:sz="0" w:space="0" w:color="auto"/>
        <w:right w:val="none" w:sz="0" w:space="0" w:color="auto"/>
      </w:divBdr>
    </w:div>
    <w:div w:id="1254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36642-EA3B-4B56-B871-A40851DE6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33C1F-74E4-4DE4-A073-6BF4EAC3668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F5F180E-3ABD-48CB-9423-A7F68F504C0E}">
  <ds:schemaRefs>
    <ds:schemaRef ds:uri="http://schemas.openxmlformats.org/officeDocument/2006/bibliography"/>
  </ds:schemaRefs>
</ds:datastoreItem>
</file>

<file path=customXml/itemProps4.xml><?xml version="1.0" encoding="utf-8"?>
<ds:datastoreItem xmlns:ds="http://schemas.openxmlformats.org/officeDocument/2006/customXml" ds:itemID="{D5F411B7-7DD5-4899-910F-2A71F6D88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6025</Words>
  <Characters>33139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HOYOS HOYOS</dc:creator>
  <cp:keywords/>
  <dc:description/>
  <cp:lastModifiedBy>Carlos Mario Castrillón Endo</cp:lastModifiedBy>
  <cp:revision>2</cp:revision>
  <dcterms:created xsi:type="dcterms:W3CDTF">2020-07-02T21:43:00Z</dcterms:created>
  <dcterms:modified xsi:type="dcterms:W3CDTF">2020-07-02T21:43:00Z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