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BA784" w14:textId="33DF925B" w:rsidR="00F1081D" w:rsidRPr="005354D3" w:rsidRDefault="00F1081D" w:rsidP="005354D3">
      <w:pPr>
        <w:jc w:val="both"/>
        <w:rPr>
          <w:rFonts w:ascii="Arial" w:hAnsi="Arial" w:cs="Arial"/>
          <w:b/>
          <w:bCs/>
        </w:rPr>
      </w:pPr>
      <w:r w:rsidRPr="005354D3">
        <w:rPr>
          <w:rFonts w:ascii="Arial" w:hAnsi="Arial" w:cs="Arial"/>
          <w:b/>
        </w:rPr>
        <w:t>SOCIEDADES</w:t>
      </w:r>
      <w:r w:rsidR="00AA0E8C" w:rsidRPr="005354D3">
        <w:rPr>
          <w:rFonts w:ascii="Arial" w:hAnsi="Arial" w:cs="Arial"/>
          <w:b/>
        </w:rPr>
        <w:t xml:space="preserve"> </w:t>
      </w:r>
      <w:r w:rsidR="00DC33D1" w:rsidRPr="005354D3">
        <w:rPr>
          <w:rFonts w:ascii="Arial" w:hAnsi="Arial" w:cs="Arial"/>
          <w:b/>
          <w:bCs/>
        </w:rPr>
        <w:t>- Deberes - Estados financieros</w:t>
      </w:r>
      <w:r w:rsidR="00AA0E8C" w:rsidRPr="005354D3">
        <w:rPr>
          <w:rFonts w:ascii="Arial" w:hAnsi="Arial" w:cs="Arial"/>
          <w:b/>
          <w:bCs/>
        </w:rPr>
        <w:t xml:space="preserve"> </w:t>
      </w:r>
      <w:r w:rsidR="00DC33D1" w:rsidRPr="005354D3">
        <w:rPr>
          <w:rFonts w:ascii="Arial" w:hAnsi="Arial" w:cs="Arial"/>
          <w:b/>
          <w:bCs/>
        </w:rPr>
        <w:t xml:space="preserve">- </w:t>
      </w:r>
      <w:r w:rsidRPr="005354D3">
        <w:rPr>
          <w:rFonts w:ascii="Arial" w:hAnsi="Arial" w:cs="Arial"/>
          <w:b/>
          <w:bCs/>
        </w:rPr>
        <w:t xml:space="preserve">Preparación </w:t>
      </w:r>
      <w:r w:rsidR="00DC33D1" w:rsidRPr="005354D3">
        <w:rPr>
          <w:rFonts w:ascii="Arial" w:hAnsi="Arial" w:cs="Arial"/>
          <w:b/>
          <w:bCs/>
        </w:rPr>
        <w:t>-</w:t>
      </w:r>
      <w:r w:rsidRPr="005354D3">
        <w:rPr>
          <w:rFonts w:ascii="Arial" w:hAnsi="Arial" w:cs="Arial"/>
          <w:b/>
          <w:bCs/>
        </w:rPr>
        <w:t xml:space="preserve"> </w:t>
      </w:r>
      <w:r w:rsidR="00DC33D1" w:rsidRPr="005354D3">
        <w:rPr>
          <w:rFonts w:ascii="Arial" w:hAnsi="Arial" w:cs="Arial"/>
          <w:b/>
          <w:bCs/>
        </w:rPr>
        <w:t>D</w:t>
      </w:r>
      <w:r w:rsidRPr="005354D3">
        <w:rPr>
          <w:rFonts w:ascii="Arial" w:hAnsi="Arial" w:cs="Arial"/>
          <w:b/>
          <w:bCs/>
        </w:rPr>
        <w:t>ifusión</w:t>
      </w:r>
    </w:p>
    <w:p w14:paraId="04E64D52" w14:textId="77777777" w:rsidR="00F1081D" w:rsidRPr="005354D3" w:rsidRDefault="00F1081D" w:rsidP="005354D3">
      <w:pPr>
        <w:jc w:val="both"/>
        <w:rPr>
          <w:rFonts w:ascii="Arial" w:hAnsi="Arial" w:cs="Arial"/>
          <w:b/>
          <w:bCs/>
        </w:rPr>
      </w:pPr>
    </w:p>
    <w:p w14:paraId="1230F884" w14:textId="77777777" w:rsidR="00F1081D" w:rsidRPr="005354D3" w:rsidRDefault="00F1081D" w:rsidP="005354D3">
      <w:pPr>
        <w:jc w:val="both"/>
        <w:rPr>
          <w:rFonts w:ascii="Arial" w:hAnsi="Arial" w:cs="Arial"/>
        </w:rPr>
      </w:pPr>
      <w:r w:rsidRPr="005354D3">
        <w:rPr>
          <w:rFonts w:ascii="Arial" w:hAnsi="Arial" w:cs="Arial"/>
          <w:lang w:val="es-CO"/>
        </w:rPr>
        <w:t xml:space="preserve">Las normas contables vigentes para la época estaban establecidas en varios artículos de la Ley 222 de 1995 y de la reglamentación de la contabilidad consagrada en el Decreto 2649 de 1993, tal y como lo refirieron los apelantes.  </w:t>
      </w:r>
      <w:r w:rsidRPr="005354D3">
        <w:rPr>
          <w:rFonts w:ascii="Arial" w:hAnsi="Arial" w:cs="Arial"/>
        </w:rPr>
        <w:t>[…] Del análisis de las normas citadas se desprende el deber de las sociedades, con corte a 31 de diciembre de cada año, de preparar y difundir sus estados financieros, entre ellos el balance general, debidamente certificados. Adicionalmente, el balance general debe someterse a la aprobación del órgano social competente y depositarse copia en la Cámara de Comercio del domicilio social. En el mismo sentido, el balance certificado se presume auténtico, salvo que se demuestre lo contrario. Al analizar el caso concreto, se constata que el proponente UT RTS no presentó el balance general aprobado por el órgano social con corte a 31 de diciembre de 2004, que cumpliera con todos los requisitos legales, ni alegó, en momento alguno, su intención a aportar dicho documento financiero que permitiera aclarar las diferencias que tuvieron origen en su comportamiento.</w:t>
      </w:r>
    </w:p>
    <w:p w14:paraId="7BBA9C7E" w14:textId="77777777" w:rsidR="00F1081D" w:rsidRPr="005354D3" w:rsidRDefault="00F1081D" w:rsidP="005354D3">
      <w:pPr>
        <w:jc w:val="both"/>
        <w:rPr>
          <w:rFonts w:ascii="Arial" w:hAnsi="Arial" w:cs="Arial"/>
        </w:rPr>
      </w:pPr>
    </w:p>
    <w:p w14:paraId="411284FC" w14:textId="30BEE4B6" w:rsidR="00F1081D" w:rsidRPr="005354D3" w:rsidRDefault="00F1081D" w:rsidP="005354D3">
      <w:pPr>
        <w:jc w:val="both"/>
        <w:rPr>
          <w:rFonts w:ascii="Arial" w:hAnsi="Arial" w:cs="Arial"/>
        </w:rPr>
      </w:pPr>
      <w:r w:rsidRPr="005354D3">
        <w:rPr>
          <w:rFonts w:ascii="Arial" w:hAnsi="Arial" w:cs="Arial"/>
          <w:b/>
        </w:rPr>
        <w:t xml:space="preserve">PLIEGOS DE CONDICIONES </w:t>
      </w:r>
      <w:r w:rsidR="00DC33D1" w:rsidRPr="005354D3">
        <w:rPr>
          <w:rFonts w:ascii="Arial" w:hAnsi="Arial" w:cs="Arial"/>
          <w:b/>
        </w:rPr>
        <w:t>-</w:t>
      </w:r>
      <w:r w:rsidRPr="005354D3">
        <w:rPr>
          <w:rFonts w:ascii="Arial" w:hAnsi="Arial" w:cs="Arial"/>
        </w:rPr>
        <w:t xml:space="preserve"> </w:t>
      </w:r>
      <w:r w:rsidRPr="005354D3">
        <w:rPr>
          <w:rFonts w:ascii="Arial" w:hAnsi="Arial" w:cs="Arial"/>
          <w:b/>
          <w:bCs/>
        </w:rPr>
        <w:t>Reglas de selección</w:t>
      </w:r>
      <w:r w:rsidR="00AA0E8C" w:rsidRPr="005354D3">
        <w:rPr>
          <w:rFonts w:ascii="Arial" w:hAnsi="Arial" w:cs="Arial"/>
          <w:b/>
          <w:bCs/>
        </w:rPr>
        <w:t xml:space="preserve"> </w:t>
      </w:r>
      <w:r w:rsidR="00DC33D1" w:rsidRPr="005354D3">
        <w:rPr>
          <w:rFonts w:ascii="Arial" w:hAnsi="Arial" w:cs="Arial"/>
          <w:b/>
          <w:bCs/>
        </w:rPr>
        <w:t>-</w:t>
      </w:r>
      <w:r w:rsidRPr="005354D3">
        <w:rPr>
          <w:rFonts w:ascii="Arial" w:hAnsi="Arial" w:cs="Arial"/>
          <w:b/>
          <w:bCs/>
        </w:rPr>
        <w:t xml:space="preserve"> Acto de adjudicación</w:t>
      </w:r>
      <w:r w:rsidRPr="005354D3">
        <w:rPr>
          <w:rFonts w:ascii="Arial" w:hAnsi="Arial" w:cs="Arial"/>
        </w:rPr>
        <w:t xml:space="preserve"> </w:t>
      </w:r>
    </w:p>
    <w:p w14:paraId="7E849115" w14:textId="77777777" w:rsidR="00F1081D" w:rsidRPr="005354D3" w:rsidRDefault="00F1081D" w:rsidP="005354D3">
      <w:pPr>
        <w:jc w:val="both"/>
        <w:rPr>
          <w:rFonts w:ascii="Arial" w:hAnsi="Arial" w:cs="Arial"/>
        </w:rPr>
      </w:pPr>
    </w:p>
    <w:p w14:paraId="3EBED528" w14:textId="77777777" w:rsidR="00F1081D" w:rsidRPr="005354D3" w:rsidRDefault="00F1081D" w:rsidP="005354D3">
      <w:pPr>
        <w:jc w:val="both"/>
        <w:rPr>
          <w:rFonts w:ascii="Arial" w:hAnsi="Arial" w:cs="Arial"/>
        </w:rPr>
      </w:pPr>
      <w:r w:rsidRPr="005354D3">
        <w:rPr>
          <w:rFonts w:ascii="Arial" w:hAnsi="Arial" w:cs="Arial"/>
        </w:rPr>
        <w:t>La Sala encuentra probado que las reglas de selección contenidas en los pliegos (no demandados y que gozan de presunción de legalidad) fueron aplicadas debidamente o, lo que es lo mismo, el acto de adjudicación fue legal en la medida en que aplicó correctamente los términos de referencia, al no otorgar puntaje a la información contenida en el documento presentado como balance general, que contenía cifras diferentes a las aprobadas por el órgano social competente.</w:t>
      </w:r>
    </w:p>
    <w:p w14:paraId="3A042331" w14:textId="77777777" w:rsidR="00F1081D" w:rsidRPr="005354D3" w:rsidRDefault="00F1081D" w:rsidP="005354D3">
      <w:pPr>
        <w:jc w:val="both"/>
        <w:rPr>
          <w:rFonts w:ascii="Arial" w:hAnsi="Arial" w:cs="Arial"/>
        </w:rPr>
      </w:pPr>
    </w:p>
    <w:p w14:paraId="4BC6E977" w14:textId="589ACB01" w:rsidR="00F1081D" w:rsidRDefault="00F1081D" w:rsidP="005354D3">
      <w:pPr>
        <w:tabs>
          <w:tab w:val="left" w:pos="426"/>
        </w:tabs>
        <w:jc w:val="both"/>
        <w:rPr>
          <w:rFonts w:ascii="Arial" w:hAnsi="Arial" w:cs="Arial"/>
          <w:b/>
        </w:rPr>
      </w:pPr>
      <w:r w:rsidRPr="005354D3">
        <w:rPr>
          <w:rFonts w:ascii="Arial" w:hAnsi="Arial" w:cs="Arial"/>
          <w:b/>
          <w:bCs/>
        </w:rPr>
        <w:t>ACTO DE ADJUDICACIÓN</w:t>
      </w:r>
      <w:r w:rsidRPr="005354D3">
        <w:rPr>
          <w:rFonts w:ascii="Arial" w:hAnsi="Arial" w:cs="Arial"/>
        </w:rPr>
        <w:t xml:space="preserve"> </w:t>
      </w:r>
      <w:r w:rsidR="00DC33D1" w:rsidRPr="005354D3">
        <w:rPr>
          <w:rFonts w:ascii="Arial" w:hAnsi="Arial" w:cs="Arial"/>
          <w:b/>
        </w:rPr>
        <w:t>-</w:t>
      </w:r>
      <w:r w:rsidRPr="005354D3">
        <w:rPr>
          <w:rFonts w:ascii="Arial" w:hAnsi="Arial" w:cs="Arial"/>
          <w:b/>
        </w:rPr>
        <w:t xml:space="preserve"> </w:t>
      </w:r>
      <w:r w:rsidR="00AA0E8C" w:rsidRPr="005354D3">
        <w:rPr>
          <w:rFonts w:ascii="Arial" w:hAnsi="Arial" w:cs="Arial"/>
          <w:b/>
        </w:rPr>
        <w:t xml:space="preserve">Nulidad </w:t>
      </w:r>
      <w:r w:rsidR="00DC33D1" w:rsidRPr="005354D3">
        <w:rPr>
          <w:rFonts w:ascii="Arial" w:hAnsi="Arial" w:cs="Arial"/>
          <w:b/>
        </w:rPr>
        <w:t xml:space="preserve">- </w:t>
      </w:r>
      <w:r w:rsidRPr="005354D3">
        <w:rPr>
          <w:rFonts w:ascii="Arial" w:hAnsi="Arial" w:cs="Arial"/>
          <w:b/>
        </w:rPr>
        <w:t>Carga de la prueba</w:t>
      </w:r>
    </w:p>
    <w:p w14:paraId="456ACD97" w14:textId="77777777" w:rsidR="008574C1" w:rsidRPr="005354D3" w:rsidRDefault="008574C1" w:rsidP="005354D3">
      <w:pPr>
        <w:tabs>
          <w:tab w:val="left" w:pos="426"/>
        </w:tabs>
        <w:jc w:val="both"/>
        <w:rPr>
          <w:rFonts w:ascii="Arial" w:hAnsi="Arial" w:cs="Arial"/>
          <w:b/>
          <w:bCs/>
        </w:rPr>
      </w:pPr>
    </w:p>
    <w:p w14:paraId="28F74BD4" w14:textId="549757D3" w:rsidR="00C634A9" w:rsidRPr="005354D3" w:rsidRDefault="00F1081D" w:rsidP="005354D3">
      <w:pPr>
        <w:jc w:val="both"/>
        <w:rPr>
          <w:rFonts w:ascii="Arial" w:hAnsi="Arial" w:cs="Arial"/>
          <w:lang w:val="es-CO"/>
        </w:rPr>
      </w:pPr>
      <w:r w:rsidRPr="005354D3">
        <w:rPr>
          <w:rFonts w:ascii="Arial" w:hAnsi="Arial" w:cs="Arial"/>
        </w:rPr>
        <w:t>P</w:t>
      </w:r>
      <w:r w:rsidRPr="005354D3">
        <w:rPr>
          <w:rFonts w:ascii="Arial" w:hAnsi="Arial" w:cs="Arial"/>
          <w:lang w:val="es-CO"/>
        </w:rPr>
        <w:t>ara la Sala resulta fundamental recordar la obligación de los proponentes inconformes con la decisión de adjudicación de una entidad de probar que, de haberse evaluado su propuesta, se hubiesen convertido en el proponente adjudicatario, pues esta conclusión no puede suponerse, ni se desprende, de manera automática, del error de una entidad de no evaluar su propuesta. De esta manera, una cosa es que la Administración deje de evaluar equivocadamente una propuesta, y otra que el afectado con esa decisión se hubiese convertido en el ganador del procedimiento contractual administrativo. De manera entonces que, si bien procede la reparación integral en sede precontractual cuando se ha ocasionado un daño originado en una acción u omisión de la Administración, diversos supuestos pueden tener lugar en sede precontractual, toda vez que, entre otros eventos, un supuesto se configura cuando se lesiona el derecho del proponente a que su oferta sea valorada y otro cuando se vulnera el derecho a ser adjudicatario.</w:t>
      </w:r>
      <w:r w:rsidRPr="005354D3">
        <w:rPr>
          <w:rFonts w:ascii="Arial" w:hAnsi="Arial" w:cs="Arial"/>
        </w:rPr>
        <w:t xml:space="preserve"> </w:t>
      </w:r>
      <w:r w:rsidRPr="005354D3">
        <w:rPr>
          <w:rFonts w:ascii="Arial" w:hAnsi="Arial" w:cs="Arial"/>
          <w:lang w:val="es-CO"/>
        </w:rPr>
        <w:t>Por demás, la parte inconforme con la decisión de la entidad pública tiene que cumplir con su carga de probar el perjuicio derivado de la actividad de la Administración</w:t>
      </w:r>
      <w:r w:rsidRPr="005354D3">
        <w:rPr>
          <w:rFonts w:ascii="Arial" w:hAnsi="Arial" w:cs="Arial"/>
        </w:rPr>
        <w:t>.</w:t>
      </w:r>
    </w:p>
    <w:p w14:paraId="7736A4CD" w14:textId="7F4DAE3F" w:rsidR="00DA27B6" w:rsidRDefault="00DA27B6" w:rsidP="000C130B">
      <w:pPr>
        <w:pStyle w:val="Sinespaciado"/>
        <w:jc w:val="center"/>
        <w:rPr>
          <w:rFonts w:ascii="Arial" w:eastAsia="Times New Roman" w:hAnsi="Arial" w:cs="Arial"/>
          <w:b/>
          <w:bCs/>
          <w:color w:val="000000"/>
          <w:sz w:val="24"/>
          <w:szCs w:val="24"/>
        </w:rPr>
      </w:pPr>
    </w:p>
    <w:p w14:paraId="6222B3FA" w14:textId="77777777" w:rsidR="005354D3" w:rsidRPr="000C130B" w:rsidRDefault="005354D3" w:rsidP="000C130B">
      <w:pPr>
        <w:pStyle w:val="Sinespaciado"/>
        <w:jc w:val="center"/>
        <w:rPr>
          <w:rFonts w:ascii="Arial" w:eastAsia="Times New Roman" w:hAnsi="Arial" w:cs="Arial"/>
          <w:b/>
          <w:bCs/>
          <w:color w:val="000000"/>
          <w:sz w:val="24"/>
          <w:szCs w:val="24"/>
        </w:rPr>
      </w:pPr>
    </w:p>
    <w:p w14:paraId="065D41F7" w14:textId="77777777" w:rsidR="00DA27B6" w:rsidRDefault="00DA27B6" w:rsidP="000C130B">
      <w:pPr>
        <w:pStyle w:val="Sinespaciado"/>
        <w:jc w:val="center"/>
        <w:rPr>
          <w:rFonts w:ascii="Arial" w:eastAsia="Times New Roman" w:hAnsi="Arial" w:cs="Arial"/>
          <w:b/>
          <w:bCs/>
          <w:color w:val="000000"/>
          <w:sz w:val="24"/>
          <w:szCs w:val="24"/>
        </w:rPr>
      </w:pPr>
      <w:r w:rsidRPr="000C130B">
        <w:rPr>
          <w:rFonts w:ascii="Arial" w:eastAsia="Times New Roman" w:hAnsi="Arial" w:cs="Arial"/>
          <w:b/>
          <w:bCs/>
          <w:color w:val="000000"/>
          <w:sz w:val="24"/>
          <w:szCs w:val="24"/>
        </w:rPr>
        <w:t>CONSEJO DE ESTADO</w:t>
      </w:r>
    </w:p>
    <w:p w14:paraId="42B84D03" w14:textId="77777777" w:rsidR="000C130B" w:rsidRPr="000C130B" w:rsidRDefault="000C130B" w:rsidP="000C130B">
      <w:pPr>
        <w:pStyle w:val="Sinespaciado"/>
        <w:jc w:val="center"/>
        <w:rPr>
          <w:rFonts w:ascii="Arial" w:eastAsia="Times New Roman" w:hAnsi="Arial" w:cs="Arial"/>
          <w:b/>
          <w:bCs/>
          <w:color w:val="000000"/>
          <w:sz w:val="24"/>
          <w:szCs w:val="24"/>
        </w:rPr>
      </w:pPr>
    </w:p>
    <w:p w14:paraId="336F5358" w14:textId="77777777" w:rsidR="00DA27B6" w:rsidRDefault="00DA27B6" w:rsidP="000C130B">
      <w:pPr>
        <w:pStyle w:val="Sinespaciado"/>
        <w:jc w:val="center"/>
        <w:rPr>
          <w:rFonts w:ascii="Arial" w:eastAsia="Times New Roman" w:hAnsi="Arial" w:cs="Arial"/>
          <w:b/>
          <w:bCs/>
          <w:color w:val="000000"/>
          <w:sz w:val="24"/>
          <w:szCs w:val="24"/>
        </w:rPr>
      </w:pPr>
      <w:r w:rsidRPr="000C130B">
        <w:rPr>
          <w:rFonts w:ascii="Arial" w:eastAsia="Times New Roman" w:hAnsi="Arial" w:cs="Arial"/>
          <w:b/>
          <w:bCs/>
          <w:color w:val="000000"/>
          <w:sz w:val="24"/>
          <w:szCs w:val="24"/>
        </w:rPr>
        <w:t>SALA DE LO CONTENCIOSO ADMINISTRATIVO</w:t>
      </w:r>
    </w:p>
    <w:p w14:paraId="50DD15FC" w14:textId="77777777" w:rsidR="000C130B" w:rsidRPr="000C130B" w:rsidRDefault="000C130B" w:rsidP="000C130B">
      <w:pPr>
        <w:pStyle w:val="Sinespaciado"/>
        <w:jc w:val="center"/>
        <w:rPr>
          <w:rFonts w:ascii="Arial" w:eastAsia="Times New Roman" w:hAnsi="Arial" w:cs="Arial"/>
          <w:b/>
          <w:bCs/>
          <w:color w:val="000000"/>
          <w:sz w:val="24"/>
          <w:szCs w:val="24"/>
        </w:rPr>
      </w:pPr>
    </w:p>
    <w:p w14:paraId="4CA1352B" w14:textId="77777777" w:rsidR="00DA27B6" w:rsidRDefault="00DA27B6" w:rsidP="000C130B">
      <w:pPr>
        <w:pStyle w:val="Sinespaciado"/>
        <w:jc w:val="center"/>
        <w:rPr>
          <w:rFonts w:ascii="Arial" w:eastAsia="Times New Roman" w:hAnsi="Arial" w:cs="Arial"/>
          <w:b/>
          <w:bCs/>
          <w:color w:val="000000"/>
          <w:sz w:val="24"/>
          <w:szCs w:val="24"/>
        </w:rPr>
      </w:pPr>
      <w:r w:rsidRPr="000C130B">
        <w:rPr>
          <w:rFonts w:ascii="Arial" w:eastAsia="Times New Roman" w:hAnsi="Arial" w:cs="Arial"/>
          <w:b/>
          <w:bCs/>
          <w:color w:val="000000"/>
          <w:sz w:val="24"/>
          <w:szCs w:val="24"/>
        </w:rPr>
        <w:t>SECCIÓN TERCERA</w:t>
      </w:r>
    </w:p>
    <w:p w14:paraId="5F819D8B" w14:textId="77777777" w:rsidR="000C130B" w:rsidRPr="000C130B" w:rsidRDefault="000C130B" w:rsidP="000C130B">
      <w:pPr>
        <w:pStyle w:val="Sinespaciado"/>
        <w:jc w:val="center"/>
        <w:rPr>
          <w:rFonts w:ascii="Arial" w:eastAsia="Times New Roman" w:hAnsi="Arial" w:cs="Arial"/>
          <w:b/>
          <w:bCs/>
          <w:color w:val="000000"/>
          <w:sz w:val="24"/>
          <w:szCs w:val="24"/>
        </w:rPr>
      </w:pPr>
    </w:p>
    <w:p w14:paraId="0A85BF0E" w14:textId="77777777" w:rsidR="00DA27B6" w:rsidRPr="000C130B" w:rsidRDefault="00DA27B6" w:rsidP="000C130B">
      <w:pPr>
        <w:pStyle w:val="Sinespaciado"/>
        <w:jc w:val="center"/>
        <w:rPr>
          <w:rFonts w:ascii="Arial" w:eastAsia="Times New Roman" w:hAnsi="Arial" w:cs="Arial"/>
          <w:b/>
          <w:bCs/>
          <w:color w:val="000000"/>
          <w:sz w:val="24"/>
          <w:szCs w:val="24"/>
        </w:rPr>
      </w:pPr>
      <w:r w:rsidRPr="000C130B">
        <w:rPr>
          <w:rFonts w:ascii="Arial" w:eastAsia="Times New Roman" w:hAnsi="Arial" w:cs="Arial"/>
          <w:b/>
          <w:bCs/>
          <w:color w:val="000000"/>
          <w:sz w:val="24"/>
          <w:szCs w:val="24"/>
        </w:rPr>
        <w:t>SUBSECCIÓN B</w:t>
      </w:r>
    </w:p>
    <w:p w14:paraId="47FF4298" w14:textId="77777777" w:rsidR="00DA27B6" w:rsidRPr="000C130B" w:rsidRDefault="00DA27B6" w:rsidP="000C130B">
      <w:pPr>
        <w:pStyle w:val="Sinespaciado"/>
        <w:rPr>
          <w:rFonts w:ascii="Arial" w:eastAsia="Times New Roman" w:hAnsi="Arial" w:cs="Arial"/>
          <w:bCs/>
          <w:color w:val="000000"/>
          <w:sz w:val="24"/>
          <w:szCs w:val="24"/>
        </w:rPr>
      </w:pPr>
    </w:p>
    <w:p w14:paraId="26AA9823" w14:textId="77777777" w:rsidR="00DA27B6" w:rsidRDefault="00DA27B6" w:rsidP="000C130B">
      <w:pPr>
        <w:pStyle w:val="Sinespaciado"/>
        <w:jc w:val="center"/>
        <w:rPr>
          <w:rFonts w:ascii="Arial" w:eastAsia="Times New Roman" w:hAnsi="Arial" w:cs="Arial"/>
          <w:b/>
          <w:bCs/>
          <w:color w:val="000000"/>
          <w:sz w:val="24"/>
          <w:szCs w:val="24"/>
        </w:rPr>
      </w:pPr>
      <w:r w:rsidRPr="000C130B">
        <w:rPr>
          <w:rFonts w:ascii="Arial" w:eastAsia="Times New Roman" w:hAnsi="Arial" w:cs="Arial"/>
          <w:b/>
          <w:bCs/>
          <w:color w:val="000000"/>
          <w:sz w:val="24"/>
          <w:szCs w:val="24"/>
        </w:rPr>
        <w:t xml:space="preserve">Consejero </w:t>
      </w:r>
      <w:r w:rsidR="000C130B">
        <w:rPr>
          <w:rFonts w:ascii="Arial" w:eastAsia="Times New Roman" w:hAnsi="Arial" w:cs="Arial"/>
          <w:b/>
          <w:bCs/>
          <w:color w:val="000000"/>
          <w:sz w:val="24"/>
          <w:szCs w:val="24"/>
        </w:rPr>
        <w:t>p</w:t>
      </w:r>
      <w:r w:rsidRPr="000C130B">
        <w:rPr>
          <w:rFonts w:ascii="Arial" w:eastAsia="Times New Roman" w:hAnsi="Arial" w:cs="Arial"/>
          <w:b/>
          <w:bCs/>
          <w:color w:val="000000"/>
          <w:sz w:val="24"/>
          <w:szCs w:val="24"/>
        </w:rPr>
        <w:t xml:space="preserve">onente: </w:t>
      </w:r>
      <w:r w:rsidR="000C130B" w:rsidRPr="000C130B">
        <w:rPr>
          <w:rFonts w:ascii="Arial" w:eastAsia="Times New Roman" w:hAnsi="Arial" w:cs="Arial"/>
          <w:b/>
          <w:bCs/>
          <w:color w:val="000000"/>
          <w:sz w:val="24"/>
          <w:szCs w:val="24"/>
        </w:rPr>
        <w:t>ALBERTO MONTAÑA PLATA</w:t>
      </w:r>
    </w:p>
    <w:p w14:paraId="799B4529" w14:textId="77777777" w:rsidR="000C130B" w:rsidRDefault="000C130B" w:rsidP="000C130B">
      <w:pPr>
        <w:pStyle w:val="Sinespaciado"/>
        <w:jc w:val="center"/>
        <w:rPr>
          <w:rFonts w:ascii="Arial" w:eastAsia="Times New Roman" w:hAnsi="Arial" w:cs="Arial"/>
          <w:b/>
          <w:bCs/>
          <w:color w:val="000000"/>
          <w:sz w:val="24"/>
          <w:szCs w:val="24"/>
        </w:rPr>
      </w:pPr>
    </w:p>
    <w:p w14:paraId="54B93CEA" w14:textId="77777777" w:rsidR="00DA27B6" w:rsidRDefault="00DA27B6" w:rsidP="000C130B">
      <w:pPr>
        <w:pStyle w:val="Sinespaciado"/>
        <w:rPr>
          <w:rFonts w:ascii="Arial" w:hAnsi="Arial" w:cs="Arial"/>
          <w:sz w:val="24"/>
          <w:szCs w:val="24"/>
        </w:rPr>
      </w:pPr>
      <w:r w:rsidRPr="000C130B">
        <w:rPr>
          <w:rFonts w:ascii="Arial" w:hAnsi="Arial" w:cs="Arial"/>
          <w:sz w:val="24"/>
          <w:szCs w:val="24"/>
        </w:rPr>
        <w:t xml:space="preserve">Bogotá, D.C., </w:t>
      </w:r>
      <w:r w:rsidR="000C130B">
        <w:rPr>
          <w:rFonts w:ascii="Arial" w:hAnsi="Arial" w:cs="Arial"/>
          <w:sz w:val="24"/>
          <w:szCs w:val="24"/>
        </w:rPr>
        <w:t>veintidós (22)</w:t>
      </w:r>
      <w:r w:rsidR="00692161" w:rsidRPr="000C130B">
        <w:rPr>
          <w:rFonts w:ascii="Arial" w:hAnsi="Arial" w:cs="Arial"/>
          <w:sz w:val="24"/>
          <w:szCs w:val="24"/>
        </w:rPr>
        <w:t xml:space="preserve"> </w:t>
      </w:r>
      <w:r w:rsidRPr="000C130B">
        <w:rPr>
          <w:rFonts w:ascii="Arial" w:hAnsi="Arial" w:cs="Arial"/>
          <w:sz w:val="24"/>
          <w:szCs w:val="24"/>
        </w:rPr>
        <w:t xml:space="preserve">de agosto de </w:t>
      </w:r>
      <w:r w:rsidR="000C130B">
        <w:rPr>
          <w:rFonts w:ascii="Arial" w:hAnsi="Arial" w:cs="Arial"/>
          <w:sz w:val="24"/>
          <w:szCs w:val="24"/>
        </w:rPr>
        <w:t>dos mil diecinueve (</w:t>
      </w:r>
      <w:r w:rsidRPr="000C130B">
        <w:rPr>
          <w:rFonts w:ascii="Arial" w:hAnsi="Arial" w:cs="Arial"/>
          <w:sz w:val="24"/>
          <w:szCs w:val="24"/>
        </w:rPr>
        <w:t>2019</w:t>
      </w:r>
      <w:r w:rsidR="000C130B">
        <w:rPr>
          <w:rFonts w:ascii="Arial" w:hAnsi="Arial" w:cs="Arial"/>
          <w:sz w:val="24"/>
          <w:szCs w:val="24"/>
        </w:rPr>
        <w:t>)</w:t>
      </w:r>
    </w:p>
    <w:p w14:paraId="6162C322" w14:textId="77777777" w:rsidR="000C130B" w:rsidRPr="000C130B" w:rsidRDefault="000C130B" w:rsidP="000C130B">
      <w:pPr>
        <w:pStyle w:val="Sinespaciado"/>
        <w:rPr>
          <w:rFonts w:ascii="Arial" w:hAnsi="Arial" w:cs="Arial"/>
          <w:sz w:val="24"/>
          <w:szCs w:val="24"/>
        </w:rPr>
      </w:pPr>
    </w:p>
    <w:p w14:paraId="24E4DF4C" w14:textId="77777777" w:rsidR="00DA27B6" w:rsidRDefault="00DA27B6" w:rsidP="000C130B">
      <w:pPr>
        <w:pStyle w:val="Sinespaciado"/>
        <w:rPr>
          <w:rFonts w:ascii="Arial" w:hAnsi="Arial" w:cs="Arial"/>
          <w:b/>
          <w:color w:val="000000"/>
          <w:sz w:val="24"/>
          <w:szCs w:val="24"/>
        </w:rPr>
      </w:pPr>
      <w:r w:rsidRPr="000C130B">
        <w:rPr>
          <w:rFonts w:ascii="Arial" w:hAnsi="Arial" w:cs="Arial"/>
          <w:b/>
          <w:color w:val="000000"/>
          <w:sz w:val="24"/>
          <w:szCs w:val="24"/>
        </w:rPr>
        <w:t>Radicación</w:t>
      </w:r>
      <w:r w:rsidR="000C130B" w:rsidRPr="000C130B">
        <w:rPr>
          <w:rFonts w:ascii="Arial" w:hAnsi="Arial" w:cs="Arial"/>
          <w:b/>
          <w:color w:val="000000"/>
          <w:sz w:val="24"/>
          <w:szCs w:val="24"/>
        </w:rPr>
        <w:t xml:space="preserve"> número</w:t>
      </w:r>
      <w:r w:rsidRPr="000C130B">
        <w:rPr>
          <w:rFonts w:ascii="Arial" w:hAnsi="Arial" w:cs="Arial"/>
          <w:b/>
          <w:color w:val="000000"/>
          <w:sz w:val="24"/>
          <w:szCs w:val="24"/>
        </w:rPr>
        <w:t>:</w:t>
      </w:r>
      <w:r w:rsidR="000C130B" w:rsidRPr="000C130B">
        <w:rPr>
          <w:rFonts w:ascii="Arial" w:hAnsi="Arial" w:cs="Arial"/>
          <w:b/>
          <w:color w:val="000000"/>
          <w:sz w:val="24"/>
          <w:szCs w:val="24"/>
        </w:rPr>
        <w:t xml:space="preserve"> </w:t>
      </w:r>
      <w:r w:rsidRPr="000C130B">
        <w:rPr>
          <w:rFonts w:ascii="Arial" w:hAnsi="Arial" w:cs="Arial"/>
          <w:b/>
          <w:color w:val="000000"/>
          <w:sz w:val="24"/>
          <w:szCs w:val="24"/>
        </w:rPr>
        <w:t>25000-23-26-000-2005-12082-01</w:t>
      </w:r>
      <w:r w:rsidR="000C130B" w:rsidRPr="000C130B">
        <w:rPr>
          <w:rFonts w:ascii="Arial" w:hAnsi="Arial" w:cs="Arial"/>
          <w:b/>
          <w:color w:val="000000"/>
          <w:sz w:val="24"/>
          <w:szCs w:val="24"/>
        </w:rPr>
        <w:t>(38995)</w:t>
      </w:r>
    </w:p>
    <w:p w14:paraId="7B572851" w14:textId="77777777" w:rsidR="000C130B" w:rsidRPr="000C130B" w:rsidRDefault="000C130B" w:rsidP="000C130B">
      <w:pPr>
        <w:pStyle w:val="Sinespaciado"/>
        <w:rPr>
          <w:rFonts w:ascii="Arial" w:hAnsi="Arial" w:cs="Arial"/>
          <w:b/>
          <w:color w:val="000000"/>
          <w:sz w:val="24"/>
          <w:szCs w:val="24"/>
        </w:rPr>
      </w:pPr>
    </w:p>
    <w:p w14:paraId="59B2B717" w14:textId="77777777" w:rsidR="00DA27B6" w:rsidRDefault="00DA27B6" w:rsidP="000C130B">
      <w:pPr>
        <w:pStyle w:val="Sinespaciado"/>
        <w:rPr>
          <w:rFonts w:ascii="Arial" w:hAnsi="Arial" w:cs="Arial"/>
          <w:b/>
          <w:color w:val="000000"/>
          <w:sz w:val="24"/>
          <w:szCs w:val="24"/>
        </w:rPr>
      </w:pPr>
      <w:r w:rsidRPr="000C130B">
        <w:rPr>
          <w:rFonts w:ascii="Arial" w:hAnsi="Arial" w:cs="Arial"/>
          <w:b/>
          <w:color w:val="000000"/>
          <w:sz w:val="24"/>
          <w:szCs w:val="24"/>
        </w:rPr>
        <w:t>Actor:</w:t>
      </w:r>
      <w:r w:rsidR="000C130B" w:rsidRPr="000C130B">
        <w:rPr>
          <w:rFonts w:ascii="Arial" w:hAnsi="Arial" w:cs="Arial"/>
          <w:b/>
          <w:color w:val="000000"/>
          <w:sz w:val="24"/>
          <w:szCs w:val="24"/>
        </w:rPr>
        <w:t xml:space="preserve"> RTS SERVICIOS DE SALUD LTDA. Y OTROS</w:t>
      </w:r>
    </w:p>
    <w:p w14:paraId="3826DD60" w14:textId="77777777" w:rsidR="000C130B" w:rsidRPr="000C130B" w:rsidRDefault="000C130B" w:rsidP="000C130B">
      <w:pPr>
        <w:pStyle w:val="Sinespaciado"/>
        <w:rPr>
          <w:rFonts w:ascii="Arial" w:hAnsi="Arial" w:cs="Arial"/>
          <w:b/>
          <w:color w:val="000000"/>
          <w:sz w:val="24"/>
          <w:szCs w:val="24"/>
        </w:rPr>
      </w:pPr>
    </w:p>
    <w:p w14:paraId="4607748E" w14:textId="77777777" w:rsidR="00DA27B6" w:rsidRDefault="00DA27B6" w:rsidP="000C130B">
      <w:pPr>
        <w:pStyle w:val="Sinespaciado"/>
        <w:rPr>
          <w:rFonts w:ascii="Arial" w:hAnsi="Arial" w:cs="Arial"/>
          <w:b/>
          <w:color w:val="000000"/>
          <w:sz w:val="24"/>
          <w:szCs w:val="24"/>
        </w:rPr>
      </w:pPr>
      <w:r w:rsidRPr="000C130B">
        <w:rPr>
          <w:rFonts w:ascii="Arial" w:hAnsi="Arial" w:cs="Arial"/>
          <w:b/>
          <w:color w:val="000000"/>
          <w:sz w:val="24"/>
          <w:szCs w:val="24"/>
        </w:rPr>
        <w:t>Demandado:</w:t>
      </w:r>
      <w:r w:rsidR="000C130B" w:rsidRPr="000C130B">
        <w:rPr>
          <w:rFonts w:ascii="Arial" w:hAnsi="Arial" w:cs="Arial"/>
          <w:b/>
          <w:color w:val="000000"/>
          <w:sz w:val="24"/>
          <w:szCs w:val="24"/>
        </w:rPr>
        <w:t xml:space="preserve"> NACIÓN – MINISTERIO DE DEFENSA – POLICÍA NACIONAL - Y OTROS</w:t>
      </w:r>
    </w:p>
    <w:p w14:paraId="270F4CC5" w14:textId="77777777" w:rsidR="000C130B" w:rsidRDefault="000C130B" w:rsidP="000C130B">
      <w:pPr>
        <w:pStyle w:val="Sinespaciado"/>
        <w:rPr>
          <w:rFonts w:ascii="Arial" w:hAnsi="Arial" w:cs="Arial"/>
          <w:b/>
          <w:color w:val="000000"/>
          <w:sz w:val="24"/>
          <w:szCs w:val="24"/>
        </w:rPr>
      </w:pPr>
    </w:p>
    <w:p w14:paraId="1100EB99" w14:textId="77777777" w:rsidR="000C130B" w:rsidRPr="000C130B" w:rsidRDefault="000C130B" w:rsidP="000C130B">
      <w:pPr>
        <w:pStyle w:val="Sinespaciado"/>
        <w:rPr>
          <w:rFonts w:ascii="Arial" w:hAnsi="Arial" w:cs="Arial"/>
          <w:b/>
          <w:color w:val="000000"/>
          <w:sz w:val="24"/>
          <w:szCs w:val="24"/>
        </w:rPr>
      </w:pPr>
    </w:p>
    <w:p w14:paraId="6B5B11BD" w14:textId="77777777" w:rsidR="00DA27B6" w:rsidRDefault="00DA27B6" w:rsidP="000C130B">
      <w:pPr>
        <w:pStyle w:val="Sinespaciado"/>
        <w:rPr>
          <w:rFonts w:ascii="Arial" w:hAnsi="Arial" w:cs="Arial"/>
          <w:b/>
          <w:bCs/>
          <w:color w:val="000000"/>
          <w:sz w:val="24"/>
          <w:szCs w:val="24"/>
        </w:rPr>
      </w:pPr>
      <w:r w:rsidRPr="000C130B">
        <w:rPr>
          <w:rFonts w:ascii="Arial" w:hAnsi="Arial" w:cs="Arial"/>
          <w:b/>
          <w:color w:val="000000"/>
          <w:sz w:val="24"/>
          <w:szCs w:val="24"/>
        </w:rPr>
        <w:t>Referencia:</w:t>
      </w:r>
      <w:r w:rsidR="000C130B" w:rsidRPr="000C130B">
        <w:rPr>
          <w:rFonts w:ascii="Arial" w:hAnsi="Arial" w:cs="Arial"/>
          <w:b/>
          <w:color w:val="000000"/>
          <w:sz w:val="24"/>
          <w:szCs w:val="24"/>
        </w:rPr>
        <w:t xml:space="preserve"> </w:t>
      </w:r>
      <w:r w:rsidR="000C130B" w:rsidRPr="000C130B">
        <w:rPr>
          <w:rFonts w:ascii="Arial" w:hAnsi="Arial" w:cs="Arial"/>
          <w:b/>
          <w:bCs/>
          <w:color w:val="000000"/>
          <w:sz w:val="24"/>
          <w:szCs w:val="24"/>
        </w:rPr>
        <w:t>ACCIÓN DE CONTROVERSIAS CONTRACTUALES (DECRETO 1 DE 1984)</w:t>
      </w:r>
      <w:r w:rsidR="00F6749D">
        <w:rPr>
          <w:rFonts w:ascii="Arial" w:hAnsi="Arial" w:cs="Arial"/>
          <w:b/>
          <w:bCs/>
          <w:color w:val="000000"/>
          <w:sz w:val="24"/>
          <w:szCs w:val="24"/>
        </w:rPr>
        <w:t xml:space="preserve"> (APELACIÓN SENTENCIA)</w:t>
      </w:r>
    </w:p>
    <w:p w14:paraId="1FC4729A" w14:textId="77777777" w:rsidR="000C130B" w:rsidRDefault="000C130B" w:rsidP="000C130B">
      <w:pPr>
        <w:pStyle w:val="Sinespaciado"/>
        <w:rPr>
          <w:rFonts w:ascii="Arial" w:hAnsi="Arial" w:cs="Arial"/>
          <w:b/>
          <w:bCs/>
          <w:color w:val="000000"/>
          <w:sz w:val="24"/>
          <w:szCs w:val="24"/>
        </w:rPr>
      </w:pPr>
    </w:p>
    <w:p w14:paraId="4E6D49FF" w14:textId="77777777" w:rsidR="000C130B" w:rsidRDefault="000C130B" w:rsidP="000C130B">
      <w:pPr>
        <w:pStyle w:val="Sinespaciado"/>
        <w:rPr>
          <w:rFonts w:ascii="Arial" w:hAnsi="Arial" w:cs="Arial"/>
          <w:b/>
          <w:bCs/>
          <w:color w:val="000000"/>
          <w:sz w:val="24"/>
          <w:szCs w:val="24"/>
        </w:rPr>
      </w:pPr>
    </w:p>
    <w:p w14:paraId="51BCA37D" w14:textId="77777777" w:rsidR="000C130B" w:rsidRDefault="000C130B" w:rsidP="000C130B">
      <w:pPr>
        <w:pStyle w:val="Sinespaciado"/>
        <w:rPr>
          <w:rFonts w:ascii="Arial" w:hAnsi="Arial" w:cs="Arial"/>
          <w:b/>
          <w:bCs/>
          <w:color w:val="000000"/>
          <w:sz w:val="24"/>
          <w:szCs w:val="24"/>
        </w:rPr>
      </w:pPr>
    </w:p>
    <w:p w14:paraId="4CD8C2CF" w14:textId="77777777" w:rsidR="00807C57" w:rsidRPr="00807C57" w:rsidRDefault="00807C57" w:rsidP="00006E81">
      <w:pPr>
        <w:jc w:val="both"/>
        <w:rPr>
          <w:rFonts w:ascii="Century Gothic" w:hAnsi="Century Gothic" w:cs="Arial"/>
          <w:sz w:val="20"/>
          <w:szCs w:val="20"/>
          <w:lang w:val="es-CO"/>
        </w:rPr>
      </w:pPr>
      <w:r w:rsidRPr="00807C57">
        <w:rPr>
          <w:rFonts w:ascii="Century Gothic" w:hAnsi="Century Gothic" w:cs="Arial"/>
          <w:sz w:val="20"/>
          <w:szCs w:val="20"/>
          <w:lang w:val="es-CO"/>
        </w:rPr>
        <w:t xml:space="preserve">Temas: CONTROVERSIAS CONTRACTUALES </w:t>
      </w:r>
      <w:r w:rsidR="00F27225">
        <w:rPr>
          <w:rFonts w:ascii="Century Gothic" w:hAnsi="Century Gothic" w:cs="Arial"/>
          <w:sz w:val="20"/>
          <w:szCs w:val="20"/>
          <w:lang w:val="es-CO"/>
        </w:rPr>
        <w:t>-</w:t>
      </w:r>
      <w:r w:rsidRPr="00807C57">
        <w:rPr>
          <w:rFonts w:ascii="Century Gothic" w:hAnsi="Century Gothic" w:cs="Arial"/>
          <w:sz w:val="20"/>
          <w:szCs w:val="20"/>
          <w:lang w:val="es-CO"/>
        </w:rPr>
        <w:t xml:space="preserve"> </w:t>
      </w:r>
      <w:r w:rsidR="00F27225">
        <w:rPr>
          <w:rFonts w:ascii="Century Gothic" w:hAnsi="Century Gothic" w:cs="Arial"/>
          <w:sz w:val="20"/>
          <w:szCs w:val="20"/>
          <w:lang w:val="es-CO"/>
        </w:rPr>
        <w:t xml:space="preserve">Contratación directa </w:t>
      </w:r>
      <w:r w:rsidR="00470C19">
        <w:rPr>
          <w:rFonts w:ascii="Century Gothic" w:hAnsi="Century Gothic" w:cs="Arial"/>
          <w:sz w:val="20"/>
          <w:szCs w:val="20"/>
          <w:lang w:val="es-CO"/>
        </w:rPr>
        <w:t>–</w:t>
      </w:r>
      <w:r w:rsidR="00F27225">
        <w:rPr>
          <w:rFonts w:ascii="Century Gothic" w:hAnsi="Century Gothic" w:cs="Arial"/>
          <w:sz w:val="20"/>
          <w:szCs w:val="20"/>
          <w:lang w:val="es-CO"/>
        </w:rPr>
        <w:t xml:space="preserve"> </w:t>
      </w:r>
      <w:r w:rsidR="001E771F">
        <w:rPr>
          <w:rFonts w:ascii="Century Gothic" w:hAnsi="Century Gothic" w:cs="Arial"/>
          <w:sz w:val="20"/>
          <w:szCs w:val="20"/>
          <w:lang w:val="es-CO"/>
        </w:rPr>
        <w:t xml:space="preserve">Responsabilidad precontractual - </w:t>
      </w:r>
      <w:r w:rsidR="00470C19">
        <w:rPr>
          <w:rFonts w:ascii="Century Gothic" w:hAnsi="Century Gothic" w:cs="Arial"/>
          <w:sz w:val="20"/>
          <w:szCs w:val="20"/>
          <w:lang w:val="es-CO"/>
        </w:rPr>
        <w:t xml:space="preserve">Responsabilidad </w:t>
      </w:r>
      <w:r w:rsidR="002A2BB3">
        <w:rPr>
          <w:rFonts w:ascii="Century Gothic" w:hAnsi="Century Gothic" w:cs="Arial"/>
          <w:sz w:val="20"/>
          <w:szCs w:val="20"/>
          <w:lang w:val="es-CO"/>
        </w:rPr>
        <w:t>d</w:t>
      </w:r>
      <w:r w:rsidR="001E771F">
        <w:rPr>
          <w:rFonts w:ascii="Century Gothic" w:hAnsi="Century Gothic" w:cs="Arial"/>
          <w:sz w:val="20"/>
          <w:szCs w:val="20"/>
          <w:lang w:val="es-CO"/>
        </w:rPr>
        <w:t>el contratista ante</w:t>
      </w:r>
      <w:r w:rsidR="00470C19">
        <w:rPr>
          <w:rFonts w:ascii="Century Gothic" w:hAnsi="Century Gothic" w:cs="Arial"/>
          <w:sz w:val="20"/>
          <w:szCs w:val="20"/>
          <w:lang w:val="es-CO"/>
        </w:rPr>
        <w:t xml:space="preserve"> la presentación de informa</w:t>
      </w:r>
      <w:r w:rsidR="001E771F">
        <w:rPr>
          <w:rFonts w:ascii="Century Gothic" w:hAnsi="Century Gothic" w:cs="Arial"/>
          <w:sz w:val="20"/>
          <w:szCs w:val="20"/>
          <w:lang w:val="es-CO"/>
        </w:rPr>
        <w:t>ción a la entidad.</w:t>
      </w:r>
    </w:p>
    <w:p w14:paraId="32B65538" w14:textId="77777777" w:rsidR="00807C57" w:rsidRPr="00807C57" w:rsidRDefault="00807C57" w:rsidP="00006E81">
      <w:pPr>
        <w:jc w:val="both"/>
        <w:rPr>
          <w:rFonts w:ascii="Century Gothic" w:hAnsi="Century Gothic" w:cs="Arial"/>
          <w:sz w:val="20"/>
          <w:szCs w:val="20"/>
          <w:lang w:val="es-CO"/>
        </w:rPr>
      </w:pPr>
    </w:p>
    <w:p w14:paraId="17F00CE7" w14:textId="77777777" w:rsidR="00807C57" w:rsidRPr="00807C57" w:rsidRDefault="00807C57" w:rsidP="00006E81">
      <w:pPr>
        <w:jc w:val="both"/>
        <w:rPr>
          <w:rFonts w:ascii="Century Gothic" w:hAnsi="Century Gothic" w:cs="Arial"/>
          <w:sz w:val="20"/>
          <w:szCs w:val="20"/>
          <w:lang w:val="es-CO"/>
        </w:rPr>
      </w:pPr>
      <w:r w:rsidRPr="00807C57">
        <w:rPr>
          <w:rFonts w:ascii="Century Gothic" w:hAnsi="Century Gothic" w:cs="Arial"/>
          <w:sz w:val="20"/>
          <w:szCs w:val="20"/>
          <w:lang w:val="es-CO"/>
        </w:rPr>
        <w:t xml:space="preserve">Síntesis del caso: </w:t>
      </w:r>
      <w:r w:rsidR="00F27225">
        <w:rPr>
          <w:rFonts w:ascii="Century Gothic" w:hAnsi="Century Gothic" w:cs="Arial"/>
          <w:sz w:val="20"/>
          <w:szCs w:val="20"/>
          <w:lang w:val="es-CO"/>
        </w:rPr>
        <w:t>el demandante pretendió la declaratoria de la nulidad y el correspondiente restablecimiento</w:t>
      </w:r>
      <w:r w:rsidR="002A2BB3">
        <w:rPr>
          <w:rFonts w:ascii="Century Gothic" w:hAnsi="Century Gothic" w:cs="Arial"/>
          <w:sz w:val="20"/>
          <w:szCs w:val="20"/>
          <w:lang w:val="es-CO"/>
        </w:rPr>
        <w:t xml:space="preserve"> del derecho</w:t>
      </w:r>
      <w:r w:rsidR="00F27225">
        <w:rPr>
          <w:rFonts w:ascii="Century Gothic" w:hAnsi="Century Gothic" w:cs="Arial"/>
          <w:sz w:val="20"/>
          <w:szCs w:val="20"/>
          <w:lang w:val="es-CO"/>
        </w:rPr>
        <w:t xml:space="preserve"> por la adjudicación</w:t>
      </w:r>
      <w:r w:rsidR="00590A8B">
        <w:rPr>
          <w:rFonts w:ascii="Century Gothic" w:hAnsi="Century Gothic" w:cs="Arial"/>
          <w:sz w:val="20"/>
          <w:szCs w:val="20"/>
          <w:lang w:val="es-CO"/>
        </w:rPr>
        <w:t xml:space="preserve"> de</w:t>
      </w:r>
      <w:r w:rsidR="00EE325B">
        <w:rPr>
          <w:rFonts w:ascii="Century Gothic" w:hAnsi="Century Gothic" w:cs="Arial"/>
          <w:sz w:val="20"/>
          <w:szCs w:val="20"/>
          <w:lang w:val="es-CO"/>
        </w:rPr>
        <w:t>l</w:t>
      </w:r>
      <w:r w:rsidR="00590A8B">
        <w:rPr>
          <w:rFonts w:ascii="Century Gothic" w:hAnsi="Century Gothic" w:cs="Arial"/>
          <w:sz w:val="20"/>
          <w:szCs w:val="20"/>
          <w:lang w:val="es-CO"/>
        </w:rPr>
        <w:t xml:space="preserve"> contrato</w:t>
      </w:r>
      <w:r w:rsidR="00F27225">
        <w:rPr>
          <w:rFonts w:ascii="Century Gothic" w:hAnsi="Century Gothic" w:cs="Arial"/>
          <w:sz w:val="20"/>
          <w:szCs w:val="20"/>
          <w:lang w:val="es-CO"/>
        </w:rPr>
        <w:t xml:space="preserve"> </w:t>
      </w:r>
      <w:r w:rsidR="002A2BB3">
        <w:rPr>
          <w:rFonts w:ascii="Century Gothic" w:hAnsi="Century Gothic" w:cs="Arial"/>
          <w:sz w:val="20"/>
          <w:szCs w:val="20"/>
          <w:lang w:val="es-CO"/>
        </w:rPr>
        <w:t xml:space="preserve">a </w:t>
      </w:r>
      <w:r w:rsidR="00590A8B">
        <w:rPr>
          <w:rFonts w:ascii="Century Gothic" w:hAnsi="Century Gothic" w:cs="Arial"/>
          <w:sz w:val="20"/>
          <w:szCs w:val="20"/>
          <w:lang w:val="es-CO"/>
        </w:rPr>
        <w:t>otro oferente</w:t>
      </w:r>
      <w:r w:rsidR="00EE325B">
        <w:rPr>
          <w:rFonts w:ascii="Century Gothic" w:hAnsi="Century Gothic" w:cs="Arial"/>
          <w:sz w:val="20"/>
          <w:szCs w:val="20"/>
          <w:lang w:val="es-CO"/>
        </w:rPr>
        <w:t xml:space="preserve">, </w:t>
      </w:r>
      <w:r w:rsidR="00B70736">
        <w:rPr>
          <w:rFonts w:ascii="Century Gothic" w:hAnsi="Century Gothic" w:cs="Arial"/>
          <w:sz w:val="20"/>
          <w:szCs w:val="20"/>
          <w:lang w:val="es-CO"/>
        </w:rPr>
        <w:t xml:space="preserve">luego de que su oferta fuera desestimada por </w:t>
      </w:r>
      <w:r w:rsidR="00084AB9">
        <w:rPr>
          <w:rFonts w:ascii="Century Gothic" w:hAnsi="Century Gothic" w:cs="Arial"/>
          <w:sz w:val="20"/>
          <w:szCs w:val="20"/>
          <w:lang w:val="es-CO"/>
        </w:rPr>
        <w:t xml:space="preserve">existir </w:t>
      </w:r>
      <w:r w:rsidR="00FD4BA2">
        <w:rPr>
          <w:rFonts w:ascii="Century Gothic" w:hAnsi="Century Gothic" w:cs="Arial"/>
          <w:sz w:val="20"/>
          <w:szCs w:val="20"/>
          <w:lang w:val="es-CO"/>
        </w:rPr>
        <w:t>inconsistencias</w:t>
      </w:r>
      <w:r w:rsidR="00B70736">
        <w:rPr>
          <w:rFonts w:ascii="Century Gothic" w:hAnsi="Century Gothic" w:cs="Arial"/>
          <w:sz w:val="20"/>
          <w:szCs w:val="20"/>
          <w:lang w:val="es-CO"/>
        </w:rPr>
        <w:t xml:space="preserve"> en</w:t>
      </w:r>
      <w:r w:rsidR="00C919CC">
        <w:rPr>
          <w:rFonts w:ascii="Century Gothic" w:hAnsi="Century Gothic" w:cs="Arial"/>
          <w:sz w:val="20"/>
          <w:szCs w:val="20"/>
          <w:lang w:val="es-CO"/>
        </w:rPr>
        <w:t>tre</w:t>
      </w:r>
      <w:r w:rsidR="00B70736">
        <w:rPr>
          <w:rFonts w:ascii="Century Gothic" w:hAnsi="Century Gothic" w:cs="Arial"/>
          <w:sz w:val="20"/>
          <w:szCs w:val="20"/>
          <w:lang w:val="es-CO"/>
        </w:rPr>
        <w:t xml:space="preserve"> la información de los estados financieros que </w:t>
      </w:r>
      <w:r w:rsidR="00A715BA">
        <w:rPr>
          <w:rFonts w:ascii="Century Gothic" w:hAnsi="Century Gothic" w:cs="Arial"/>
          <w:sz w:val="20"/>
          <w:szCs w:val="20"/>
          <w:lang w:val="es-CO"/>
        </w:rPr>
        <w:t>presentó</w:t>
      </w:r>
      <w:r w:rsidR="00084AB9">
        <w:rPr>
          <w:rFonts w:ascii="Century Gothic" w:hAnsi="Century Gothic" w:cs="Arial"/>
          <w:sz w:val="20"/>
          <w:szCs w:val="20"/>
          <w:lang w:val="es-CO"/>
        </w:rPr>
        <w:t xml:space="preserve"> ante la entidad y los reportados ante la Cámara de Comercio.</w:t>
      </w:r>
    </w:p>
    <w:p w14:paraId="6F2BBF4D" w14:textId="77777777" w:rsidR="00807C57" w:rsidRPr="00807C57" w:rsidRDefault="00807C57" w:rsidP="00006E81">
      <w:pPr>
        <w:spacing w:line="360" w:lineRule="auto"/>
        <w:jc w:val="both"/>
        <w:rPr>
          <w:rFonts w:ascii="Century Gothic" w:hAnsi="Century Gothic" w:cs="Arial"/>
          <w:sz w:val="24"/>
          <w:szCs w:val="24"/>
          <w:lang w:val="es-CO"/>
        </w:rPr>
      </w:pPr>
    </w:p>
    <w:p w14:paraId="7C56CE73" w14:textId="77777777" w:rsidR="00807C57" w:rsidRPr="00807C57" w:rsidRDefault="00807C57" w:rsidP="00006E81">
      <w:pPr>
        <w:spacing w:line="360" w:lineRule="auto"/>
        <w:jc w:val="both"/>
        <w:rPr>
          <w:rFonts w:ascii="Century Gothic" w:hAnsi="Century Gothic" w:cs="Arial"/>
          <w:sz w:val="24"/>
          <w:szCs w:val="24"/>
          <w:lang w:val="es-CO"/>
        </w:rPr>
      </w:pPr>
      <w:r w:rsidRPr="00807C57">
        <w:rPr>
          <w:rFonts w:ascii="Century Gothic" w:hAnsi="Century Gothic" w:cs="Arial"/>
          <w:sz w:val="24"/>
          <w:szCs w:val="24"/>
          <w:lang w:val="es-CO"/>
        </w:rPr>
        <w:t xml:space="preserve">Decide la Sala el recurso de apelación interpuesto por la parte </w:t>
      </w:r>
      <w:r w:rsidR="00F27225">
        <w:rPr>
          <w:rFonts w:ascii="Century Gothic" w:hAnsi="Century Gothic" w:cs="Arial"/>
          <w:sz w:val="24"/>
          <w:szCs w:val="24"/>
          <w:lang w:val="es-CO"/>
        </w:rPr>
        <w:t xml:space="preserve">demandada </w:t>
      </w:r>
      <w:r w:rsidRPr="00807C57">
        <w:rPr>
          <w:rFonts w:ascii="Century Gothic" w:hAnsi="Century Gothic" w:cs="Arial"/>
          <w:sz w:val="24"/>
          <w:szCs w:val="24"/>
          <w:lang w:val="es-CO"/>
        </w:rPr>
        <w:t xml:space="preserve">contra la Sentencia de </w:t>
      </w:r>
      <w:r w:rsidR="00457D27">
        <w:rPr>
          <w:rFonts w:ascii="Century Gothic" w:hAnsi="Century Gothic" w:cs="Arial"/>
          <w:sz w:val="24"/>
          <w:szCs w:val="24"/>
          <w:lang w:val="es-CO"/>
        </w:rPr>
        <w:t xml:space="preserve">17 de marzo de 2010 </w:t>
      </w:r>
      <w:r w:rsidRPr="00807C57">
        <w:rPr>
          <w:rFonts w:ascii="Century Gothic" w:hAnsi="Century Gothic" w:cs="Arial"/>
          <w:sz w:val="24"/>
          <w:szCs w:val="24"/>
          <w:lang w:val="es-CO"/>
        </w:rPr>
        <w:t>del Tribunal Adm</w:t>
      </w:r>
      <w:r w:rsidR="00457D27">
        <w:rPr>
          <w:rFonts w:ascii="Century Gothic" w:hAnsi="Century Gothic" w:cs="Arial"/>
          <w:sz w:val="24"/>
          <w:szCs w:val="24"/>
          <w:lang w:val="es-CO"/>
        </w:rPr>
        <w:t xml:space="preserve">inistrativo </w:t>
      </w:r>
      <w:r w:rsidR="00F27225">
        <w:rPr>
          <w:rFonts w:ascii="Century Gothic" w:hAnsi="Century Gothic" w:cs="Arial"/>
          <w:sz w:val="24"/>
          <w:szCs w:val="24"/>
          <w:lang w:val="es-CO"/>
        </w:rPr>
        <w:t xml:space="preserve">de Cundinamarca, que accedió parcialmente a las pretensiones de la demanda. </w:t>
      </w:r>
    </w:p>
    <w:p w14:paraId="293B1E1F" w14:textId="77777777" w:rsidR="00807C57" w:rsidRPr="00807C57" w:rsidRDefault="00807C57" w:rsidP="00006E81">
      <w:pPr>
        <w:spacing w:line="360" w:lineRule="auto"/>
        <w:jc w:val="both"/>
        <w:rPr>
          <w:rFonts w:ascii="Century Gothic" w:hAnsi="Century Gothic" w:cs="Arial"/>
          <w:sz w:val="20"/>
          <w:szCs w:val="20"/>
        </w:rPr>
      </w:pPr>
    </w:p>
    <w:p w14:paraId="5BFF46FA" w14:textId="77777777" w:rsidR="00807C57" w:rsidRDefault="00807C57" w:rsidP="00006E81">
      <w:pPr>
        <w:spacing w:line="360" w:lineRule="auto"/>
        <w:jc w:val="both"/>
        <w:rPr>
          <w:rFonts w:ascii="Century Gothic" w:hAnsi="Century Gothic" w:cs="Arial"/>
          <w:sz w:val="20"/>
          <w:szCs w:val="20"/>
        </w:rPr>
      </w:pPr>
      <w:r w:rsidRPr="00807C57">
        <w:rPr>
          <w:rFonts w:ascii="Century Gothic" w:hAnsi="Century Gothic" w:cs="Arial"/>
          <w:sz w:val="20"/>
          <w:szCs w:val="20"/>
        </w:rPr>
        <w:t>Contenido: 1. Antecedentes - 2.</w:t>
      </w:r>
      <w:r w:rsidR="00006E81">
        <w:rPr>
          <w:rFonts w:ascii="Century Gothic" w:hAnsi="Century Gothic" w:cs="Arial"/>
          <w:sz w:val="20"/>
          <w:szCs w:val="20"/>
        </w:rPr>
        <w:t xml:space="preserve"> Consideraciones – 3. Decisión </w:t>
      </w:r>
    </w:p>
    <w:p w14:paraId="6B52DC1B" w14:textId="77777777" w:rsidR="00006E81" w:rsidRPr="00006E81" w:rsidRDefault="00006E81" w:rsidP="00006E81">
      <w:pPr>
        <w:spacing w:line="360" w:lineRule="auto"/>
        <w:jc w:val="both"/>
        <w:rPr>
          <w:rFonts w:ascii="Century Gothic" w:hAnsi="Century Gothic" w:cs="Arial"/>
          <w:sz w:val="20"/>
          <w:szCs w:val="20"/>
        </w:rPr>
      </w:pPr>
    </w:p>
    <w:p w14:paraId="64D2D83D" w14:textId="77777777" w:rsidR="00006E81" w:rsidRPr="00470C19" w:rsidRDefault="00807C57" w:rsidP="00470C19">
      <w:pPr>
        <w:numPr>
          <w:ilvl w:val="0"/>
          <w:numId w:val="1"/>
        </w:numPr>
        <w:spacing w:line="360" w:lineRule="auto"/>
        <w:jc w:val="center"/>
        <w:rPr>
          <w:rFonts w:ascii="Century Gothic" w:hAnsi="Century Gothic" w:cs="Arial"/>
          <w:b/>
          <w:sz w:val="24"/>
          <w:szCs w:val="24"/>
        </w:rPr>
      </w:pPr>
      <w:r w:rsidRPr="00807C57">
        <w:rPr>
          <w:rFonts w:ascii="Century Gothic" w:hAnsi="Century Gothic" w:cs="Arial"/>
          <w:b/>
          <w:sz w:val="24"/>
          <w:szCs w:val="24"/>
        </w:rPr>
        <w:t>ANTECEDENTES</w:t>
      </w:r>
    </w:p>
    <w:p w14:paraId="07BE93AD" w14:textId="77777777" w:rsidR="00807C57" w:rsidRPr="00807C57" w:rsidRDefault="00807C57" w:rsidP="00006E81">
      <w:pPr>
        <w:jc w:val="both"/>
        <w:rPr>
          <w:rFonts w:ascii="Century Gothic" w:hAnsi="Century Gothic" w:cs="Arial"/>
          <w:sz w:val="20"/>
          <w:szCs w:val="20"/>
        </w:rPr>
      </w:pPr>
      <w:r w:rsidRPr="00807C57">
        <w:rPr>
          <w:rFonts w:ascii="Century Gothic" w:hAnsi="Century Gothic" w:cs="Arial"/>
          <w:sz w:val="20"/>
          <w:szCs w:val="20"/>
        </w:rPr>
        <w:t>Contenido: 1.1. La demanda y su trámite de primera instancia – 1.2. Recurso de apelación y trámite de segunda instancia</w:t>
      </w:r>
    </w:p>
    <w:p w14:paraId="3533FC76" w14:textId="77777777" w:rsidR="00807C57" w:rsidRPr="00807C57" w:rsidRDefault="00807C57" w:rsidP="00006E81">
      <w:pPr>
        <w:spacing w:line="360" w:lineRule="auto"/>
        <w:rPr>
          <w:rFonts w:ascii="Century Gothic" w:hAnsi="Century Gothic" w:cs="Arial"/>
          <w:b/>
          <w:sz w:val="24"/>
          <w:szCs w:val="24"/>
        </w:rPr>
      </w:pPr>
    </w:p>
    <w:p w14:paraId="2668FF94" w14:textId="77777777" w:rsidR="00807C57" w:rsidRPr="00807C57" w:rsidRDefault="00807C57" w:rsidP="00006E81">
      <w:pPr>
        <w:spacing w:line="360" w:lineRule="auto"/>
        <w:jc w:val="both"/>
        <w:rPr>
          <w:rFonts w:ascii="Century Gothic" w:hAnsi="Century Gothic" w:cs="Arial"/>
          <w:b/>
          <w:sz w:val="24"/>
          <w:szCs w:val="24"/>
        </w:rPr>
      </w:pPr>
      <w:r w:rsidRPr="00807C57">
        <w:rPr>
          <w:rFonts w:ascii="Century Gothic" w:hAnsi="Century Gothic" w:cs="Arial"/>
          <w:b/>
          <w:sz w:val="24"/>
          <w:szCs w:val="24"/>
        </w:rPr>
        <w:t>1.1. La demanda y su trámite de primera instancia</w:t>
      </w:r>
    </w:p>
    <w:p w14:paraId="252199E6" w14:textId="77777777" w:rsidR="00807C57" w:rsidRPr="00807C57" w:rsidRDefault="00807C57" w:rsidP="00006E81">
      <w:pPr>
        <w:tabs>
          <w:tab w:val="left" w:pos="284"/>
        </w:tabs>
        <w:spacing w:line="360" w:lineRule="auto"/>
        <w:jc w:val="both"/>
        <w:rPr>
          <w:rFonts w:ascii="Century Gothic" w:hAnsi="Century Gothic" w:cs="Arial"/>
          <w:b/>
          <w:sz w:val="24"/>
          <w:szCs w:val="24"/>
        </w:rPr>
      </w:pPr>
    </w:p>
    <w:p w14:paraId="1519CAD3" w14:textId="77777777" w:rsidR="00217504" w:rsidRDefault="005E4D0D" w:rsidP="00006E81">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El 7 de septiembre de 2005</w:t>
      </w:r>
      <w:r w:rsidR="00F27225">
        <w:rPr>
          <w:rFonts w:ascii="Century Gothic" w:hAnsi="Century Gothic" w:cs="Arial"/>
          <w:sz w:val="24"/>
          <w:szCs w:val="24"/>
        </w:rPr>
        <w:t xml:space="preserve">, </w:t>
      </w:r>
      <w:r w:rsidRPr="005E4D0D">
        <w:rPr>
          <w:rFonts w:ascii="Century Gothic" w:hAnsi="Century Gothic" w:cs="Arial"/>
          <w:sz w:val="24"/>
          <w:szCs w:val="24"/>
          <w:lang w:val="es-CO"/>
        </w:rPr>
        <w:t xml:space="preserve">las sociedades </w:t>
      </w:r>
      <w:r w:rsidRPr="005E4D0D">
        <w:rPr>
          <w:rFonts w:ascii="Century Gothic" w:hAnsi="Century Gothic" w:cs="Arial"/>
          <w:sz w:val="24"/>
          <w:szCs w:val="24"/>
          <w:u w:val="single"/>
          <w:lang w:val="es-CO"/>
        </w:rPr>
        <w:t>RTS Ltda. y Nefrológica San José Ltda.</w:t>
      </w:r>
      <w:r w:rsidRPr="005E4D0D">
        <w:rPr>
          <w:rFonts w:ascii="Century Gothic" w:hAnsi="Century Gothic" w:cs="Arial"/>
          <w:sz w:val="24"/>
          <w:szCs w:val="24"/>
          <w:lang w:val="es-CO"/>
        </w:rPr>
        <w:t xml:space="preserve">, con posterior ratificación por parte del </w:t>
      </w:r>
      <w:r w:rsidRPr="005E4D0D">
        <w:rPr>
          <w:rFonts w:ascii="Century Gothic" w:hAnsi="Century Gothic" w:cs="Arial"/>
          <w:sz w:val="24"/>
          <w:szCs w:val="24"/>
          <w:u w:val="single"/>
          <w:lang w:val="es-CO"/>
        </w:rPr>
        <w:t xml:space="preserve">Centro de Terapia Renal </w:t>
      </w:r>
      <w:r>
        <w:rPr>
          <w:rFonts w:ascii="Century Gothic" w:hAnsi="Century Gothic" w:cs="Arial"/>
          <w:sz w:val="24"/>
          <w:szCs w:val="24"/>
          <w:u w:val="single"/>
          <w:lang w:val="es-CO"/>
        </w:rPr>
        <w:t xml:space="preserve">de </w:t>
      </w:r>
      <w:r w:rsidRPr="005E4D0D">
        <w:rPr>
          <w:rFonts w:ascii="Century Gothic" w:hAnsi="Century Gothic" w:cs="Arial"/>
          <w:sz w:val="24"/>
          <w:szCs w:val="24"/>
          <w:u w:val="single"/>
          <w:lang w:val="es-CO"/>
        </w:rPr>
        <w:t>Medellín Ltda., Servicio de Terapia Renal de Santander Ltda., Renal médica Ltda., Cruz Roja Huila Servicio de Terapia Renal Ltda., Laboratorios Baxter S.A., RTS Servicios de Salud Ltda., Unidad Renal del Tolima Ltda., Instituto del Riñón de Sucre Ltda. y Nefro Salud Ltda.</w:t>
      </w:r>
      <w:r w:rsidRPr="005E4D0D">
        <w:rPr>
          <w:rFonts w:ascii="Century Gothic" w:hAnsi="Century Gothic" w:cs="Arial"/>
          <w:sz w:val="24"/>
          <w:szCs w:val="24"/>
          <w:lang w:val="es-CO"/>
        </w:rPr>
        <w:t xml:space="preserve">, </w:t>
      </w:r>
      <w:r>
        <w:rPr>
          <w:rFonts w:ascii="Century Gothic" w:hAnsi="Century Gothic" w:cs="Arial"/>
          <w:sz w:val="24"/>
          <w:szCs w:val="24"/>
          <w:lang w:val="es-CO"/>
        </w:rPr>
        <w:t xml:space="preserve">integrantes de la </w:t>
      </w:r>
      <w:r w:rsidRPr="005E4D0D">
        <w:rPr>
          <w:rFonts w:ascii="Century Gothic" w:hAnsi="Century Gothic" w:cs="Arial"/>
          <w:sz w:val="24"/>
          <w:szCs w:val="24"/>
          <w:u w:val="single"/>
          <w:lang w:val="es-CO"/>
        </w:rPr>
        <w:t>Unión Temporal RTS</w:t>
      </w:r>
      <w:r>
        <w:rPr>
          <w:rFonts w:ascii="Century Gothic" w:hAnsi="Century Gothic" w:cs="Arial"/>
          <w:sz w:val="24"/>
          <w:szCs w:val="24"/>
          <w:lang w:val="es-CO"/>
        </w:rPr>
        <w:t xml:space="preserve">, </w:t>
      </w:r>
      <w:r w:rsidR="00567CA3">
        <w:rPr>
          <w:rFonts w:ascii="Century Gothic" w:hAnsi="Century Gothic" w:cs="Arial"/>
          <w:sz w:val="24"/>
          <w:szCs w:val="24"/>
        </w:rPr>
        <w:t>a través</w:t>
      </w:r>
      <w:r w:rsidR="00F27225">
        <w:rPr>
          <w:rFonts w:ascii="Century Gothic" w:hAnsi="Century Gothic" w:cs="Arial"/>
          <w:sz w:val="24"/>
          <w:szCs w:val="24"/>
        </w:rPr>
        <w:t xml:space="preserve"> apoderado judicial</w:t>
      </w:r>
      <w:r>
        <w:rPr>
          <w:rFonts w:ascii="Century Gothic" w:hAnsi="Century Gothic" w:cs="Arial"/>
          <w:sz w:val="24"/>
          <w:szCs w:val="24"/>
        </w:rPr>
        <w:t>,</w:t>
      </w:r>
      <w:r w:rsidR="00F27225">
        <w:rPr>
          <w:rFonts w:ascii="Century Gothic" w:hAnsi="Century Gothic" w:cs="Arial"/>
          <w:sz w:val="24"/>
          <w:szCs w:val="24"/>
        </w:rPr>
        <w:t xml:space="preserve"> </w:t>
      </w:r>
      <w:r>
        <w:rPr>
          <w:rFonts w:ascii="Century Gothic" w:hAnsi="Century Gothic" w:cs="Arial"/>
          <w:sz w:val="24"/>
          <w:szCs w:val="24"/>
        </w:rPr>
        <w:t>presentaron</w:t>
      </w:r>
      <w:r w:rsidR="00567CA3">
        <w:rPr>
          <w:rFonts w:ascii="Century Gothic" w:hAnsi="Century Gothic" w:cs="Arial"/>
          <w:sz w:val="24"/>
          <w:szCs w:val="24"/>
        </w:rPr>
        <w:t xml:space="preserve"> </w:t>
      </w:r>
      <w:r w:rsidR="00567CA3" w:rsidRPr="00567CA3">
        <w:rPr>
          <w:rFonts w:ascii="Century Gothic" w:hAnsi="Century Gothic" w:cs="Arial"/>
          <w:b/>
          <w:sz w:val="24"/>
          <w:szCs w:val="24"/>
        </w:rPr>
        <w:t>demanda</w:t>
      </w:r>
      <w:r w:rsidR="00567CA3">
        <w:rPr>
          <w:rFonts w:ascii="Century Gothic" w:hAnsi="Century Gothic" w:cs="Arial"/>
          <w:sz w:val="24"/>
          <w:szCs w:val="24"/>
        </w:rPr>
        <w:t xml:space="preserve"> en contra de la </w:t>
      </w:r>
      <w:r w:rsidR="00567CA3" w:rsidRPr="00567CA3">
        <w:rPr>
          <w:rFonts w:ascii="Century Gothic" w:hAnsi="Century Gothic" w:cs="Arial"/>
          <w:sz w:val="24"/>
          <w:szCs w:val="24"/>
          <w:u w:val="single"/>
        </w:rPr>
        <w:t>Nación</w:t>
      </w:r>
      <w:r w:rsidR="00A715BA">
        <w:rPr>
          <w:rFonts w:ascii="Century Gothic" w:hAnsi="Century Gothic" w:cs="Arial"/>
          <w:sz w:val="24"/>
          <w:szCs w:val="24"/>
          <w:u w:val="single"/>
        </w:rPr>
        <w:t xml:space="preserve"> </w:t>
      </w:r>
      <w:r w:rsidR="00567CA3" w:rsidRPr="00567CA3">
        <w:rPr>
          <w:rFonts w:ascii="Century Gothic" w:hAnsi="Century Gothic" w:cs="Arial"/>
          <w:sz w:val="24"/>
          <w:szCs w:val="24"/>
          <w:u w:val="single"/>
        </w:rPr>
        <w:t>-</w:t>
      </w:r>
      <w:r w:rsidR="00A715BA">
        <w:rPr>
          <w:rFonts w:ascii="Century Gothic" w:hAnsi="Century Gothic" w:cs="Arial"/>
          <w:sz w:val="24"/>
          <w:szCs w:val="24"/>
          <w:u w:val="single"/>
        </w:rPr>
        <w:t xml:space="preserve"> </w:t>
      </w:r>
      <w:r w:rsidR="00567CA3" w:rsidRPr="00567CA3">
        <w:rPr>
          <w:rFonts w:ascii="Century Gothic" w:hAnsi="Century Gothic" w:cs="Arial"/>
          <w:sz w:val="24"/>
          <w:szCs w:val="24"/>
          <w:u w:val="single"/>
        </w:rPr>
        <w:t>Ministerio de Defensa -</w:t>
      </w:r>
      <w:r w:rsidR="00A715BA">
        <w:rPr>
          <w:rFonts w:ascii="Century Gothic" w:hAnsi="Century Gothic" w:cs="Arial"/>
          <w:sz w:val="24"/>
          <w:szCs w:val="24"/>
          <w:u w:val="single"/>
        </w:rPr>
        <w:t xml:space="preserve"> </w:t>
      </w:r>
      <w:r w:rsidR="00567CA3" w:rsidRPr="00567CA3">
        <w:rPr>
          <w:rFonts w:ascii="Century Gothic" w:hAnsi="Century Gothic" w:cs="Arial"/>
          <w:sz w:val="24"/>
          <w:szCs w:val="24"/>
          <w:u w:val="single"/>
        </w:rPr>
        <w:t>Policía Nacional</w:t>
      </w:r>
      <w:r w:rsidR="00567CA3">
        <w:rPr>
          <w:rFonts w:ascii="Century Gothic" w:hAnsi="Century Gothic" w:cs="Arial"/>
          <w:sz w:val="24"/>
          <w:szCs w:val="24"/>
        </w:rPr>
        <w:t xml:space="preserve"> y </w:t>
      </w:r>
      <w:r w:rsidR="00567CA3" w:rsidRPr="00470C19">
        <w:rPr>
          <w:rFonts w:ascii="Century Gothic" w:hAnsi="Century Gothic" w:cs="Arial"/>
          <w:sz w:val="24"/>
          <w:szCs w:val="24"/>
        </w:rPr>
        <w:t xml:space="preserve">de </w:t>
      </w:r>
      <w:r w:rsidR="00567CA3" w:rsidRPr="00567CA3">
        <w:rPr>
          <w:rFonts w:ascii="Century Gothic" w:hAnsi="Century Gothic" w:cs="Arial"/>
          <w:sz w:val="24"/>
          <w:szCs w:val="24"/>
          <w:u w:val="single"/>
        </w:rPr>
        <w:t xml:space="preserve">Fresenius Medical </w:t>
      </w:r>
      <w:proofErr w:type="spellStart"/>
      <w:r w:rsidR="00567CA3" w:rsidRPr="00567CA3">
        <w:rPr>
          <w:rFonts w:ascii="Century Gothic" w:hAnsi="Century Gothic" w:cs="Arial"/>
          <w:sz w:val="24"/>
          <w:szCs w:val="24"/>
          <w:u w:val="single"/>
        </w:rPr>
        <w:t>Care</w:t>
      </w:r>
      <w:proofErr w:type="spellEnd"/>
      <w:r w:rsidR="00567CA3" w:rsidRPr="00567CA3">
        <w:rPr>
          <w:rFonts w:ascii="Century Gothic" w:hAnsi="Century Gothic" w:cs="Arial"/>
          <w:sz w:val="24"/>
          <w:szCs w:val="24"/>
          <w:u w:val="single"/>
        </w:rPr>
        <w:t xml:space="preserve"> Colombia S.A.</w:t>
      </w:r>
      <w:r w:rsidR="00567CA3">
        <w:rPr>
          <w:rFonts w:ascii="Century Gothic" w:hAnsi="Century Gothic" w:cs="Arial"/>
          <w:sz w:val="24"/>
          <w:szCs w:val="24"/>
        </w:rPr>
        <w:t xml:space="preserve">, en ejercicio de la </w:t>
      </w:r>
      <w:r w:rsidR="00567CA3" w:rsidRPr="002A2BB3">
        <w:rPr>
          <w:rFonts w:ascii="Century Gothic" w:hAnsi="Century Gothic" w:cs="Arial"/>
          <w:b/>
          <w:sz w:val="24"/>
          <w:szCs w:val="24"/>
        </w:rPr>
        <w:t>acción de nulidad y restablecimiento del derecho</w:t>
      </w:r>
      <w:r>
        <w:rPr>
          <w:rFonts w:ascii="Century Gothic" w:hAnsi="Century Gothic" w:cs="Arial"/>
          <w:sz w:val="24"/>
          <w:szCs w:val="24"/>
        </w:rPr>
        <w:t xml:space="preserve"> (demanda que fue subsanada en tres oportunidades: el 9 de noviembre de 2005, el 22 de marzo y el 23 de agosto de 2006) </w:t>
      </w:r>
      <w:r w:rsidR="00567CA3">
        <w:rPr>
          <w:rFonts w:ascii="Century Gothic" w:hAnsi="Century Gothic" w:cs="Arial"/>
          <w:sz w:val="24"/>
          <w:szCs w:val="24"/>
        </w:rPr>
        <w:t xml:space="preserve">con </w:t>
      </w:r>
      <w:r w:rsidR="00096544">
        <w:rPr>
          <w:rFonts w:ascii="Century Gothic" w:hAnsi="Century Gothic" w:cs="Arial"/>
          <w:sz w:val="24"/>
          <w:szCs w:val="24"/>
        </w:rPr>
        <w:t>el fin</w:t>
      </w:r>
      <w:r w:rsidR="00567CA3">
        <w:rPr>
          <w:rFonts w:ascii="Century Gothic" w:hAnsi="Century Gothic" w:cs="Arial"/>
          <w:sz w:val="24"/>
          <w:szCs w:val="24"/>
        </w:rPr>
        <w:t xml:space="preserve"> de </w:t>
      </w:r>
      <w:r w:rsidR="00567CA3">
        <w:rPr>
          <w:rFonts w:ascii="Century Gothic" w:hAnsi="Century Gothic" w:cs="Arial"/>
          <w:sz w:val="24"/>
          <w:szCs w:val="24"/>
        </w:rPr>
        <w:lastRenderedPageBreak/>
        <w:t>que se acogieran las siguie</w:t>
      </w:r>
      <w:r w:rsidR="00470C19">
        <w:rPr>
          <w:rFonts w:ascii="Century Gothic" w:hAnsi="Century Gothic" w:cs="Arial"/>
          <w:sz w:val="24"/>
          <w:szCs w:val="24"/>
        </w:rPr>
        <w:t>ntes pretensiones: 1) se declarara</w:t>
      </w:r>
      <w:r w:rsidR="00567CA3">
        <w:rPr>
          <w:rFonts w:ascii="Century Gothic" w:hAnsi="Century Gothic" w:cs="Arial"/>
          <w:sz w:val="24"/>
          <w:szCs w:val="24"/>
        </w:rPr>
        <w:t xml:space="preserve"> la nulidad de la Resolución 394 de 26 de julio de 2005</w:t>
      </w:r>
      <w:r w:rsidR="003D5599">
        <w:rPr>
          <w:rFonts w:ascii="Century Gothic" w:hAnsi="Century Gothic" w:cs="Arial"/>
          <w:sz w:val="24"/>
          <w:szCs w:val="24"/>
        </w:rPr>
        <w:t>,</w:t>
      </w:r>
      <w:r w:rsidR="00567CA3">
        <w:rPr>
          <w:rFonts w:ascii="Century Gothic" w:hAnsi="Century Gothic" w:cs="Arial"/>
          <w:sz w:val="24"/>
          <w:szCs w:val="24"/>
        </w:rPr>
        <w:t xml:space="preserve"> expedida por la Dirección de Sanidad de la Pol</w:t>
      </w:r>
      <w:r w:rsidR="00470C19">
        <w:rPr>
          <w:rFonts w:ascii="Century Gothic" w:hAnsi="Century Gothic" w:cs="Arial"/>
          <w:sz w:val="24"/>
          <w:szCs w:val="24"/>
        </w:rPr>
        <w:t>icía Nacional; 2) se restableciera</w:t>
      </w:r>
      <w:r w:rsidR="00567CA3">
        <w:rPr>
          <w:rFonts w:ascii="Century Gothic" w:hAnsi="Century Gothic" w:cs="Arial"/>
          <w:sz w:val="24"/>
          <w:szCs w:val="24"/>
        </w:rPr>
        <w:t xml:space="preserve"> el derecho de los demandantes, condenando a los demandados a “</w:t>
      </w:r>
      <w:r w:rsidR="00567CA3" w:rsidRPr="00D77498">
        <w:rPr>
          <w:rFonts w:ascii="Century Gothic" w:hAnsi="Century Gothic" w:cs="Arial"/>
          <w:i/>
          <w:sz w:val="24"/>
          <w:szCs w:val="24"/>
        </w:rPr>
        <w:t>pagarles los perjuicios ocasionados</w:t>
      </w:r>
      <w:r w:rsidR="00567CA3">
        <w:rPr>
          <w:rFonts w:ascii="Century Gothic" w:hAnsi="Century Gothic" w:cs="Arial"/>
          <w:sz w:val="24"/>
          <w:szCs w:val="24"/>
        </w:rPr>
        <w:t xml:space="preserve">” con la </w:t>
      </w:r>
      <w:r w:rsidR="00470C19">
        <w:rPr>
          <w:rFonts w:ascii="Century Gothic" w:hAnsi="Century Gothic" w:cs="Arial"/>
          <w:sz w:val="24"/>
          <w:szCs w:val="24"/>
        </w:rPr>
        <w:t>citada Resolución; 3) se declarara</w:t>
      </w:r>
      <w:r w:rsidR="00567CA3">
        <w:rPr>
          <w:rFonts w:ascii="Century Gothic" w:hAnsi="Century Gothic" w:cs="Arial"/>
          <w:sz w:val="24"/>
          <w:szCs w:val="24"/>
        </w:rPr>
        <w:t xml:space="preserve"> la nulidad absoluta del contrato celebrado entre la Policía Nacional y la sociedad Fresenius Medical </w:t>
      </w:r>
      <w:proofErr w:type="spellStart"/>
      <w:r w:rsidR="00567CA3">
        <w:rPr>
          <w:rFonts w:ascii="Century Gothic" w:hAnsi="Century Gothic" w:cs="Arial"/>
          <w:sz w:val="24"/>
          <w:szCs w:val="24"/>
        </w:rPr>
        <w:t>Care</w:t>
      </w:r>
      <w:proofErr w:type="spellEnd"/>
      <w:r w:rsidR="00567CA3">
        <w:rPr>
          <w:rFonts w:ascii="Century Gothic" w:hAnsi="Century Gothic" w:cs="Arial"/>
          <w:sz w:val="24"/>
          <w:szCs w:val="24"/>
        </w:rPr>
        <w:t xml:space="preserve"> Colombia S.A., con fundamento en la causal 4 del artículo 44 de la Ley 80 de 1993; 4) </w:t>
      </w:r>
      <w:r w:rsidR="00470C19">
        <w:rPr>
          <w:rFonts w:ascii="Century Gothic" w:hAnsi="Century Gothic" w:cs="Arial"/>
          <w:sz w:val="24"/>
          <w:szCs w:val="24"/>
        </w:rPr>
        <w:t>se condenara</w:t>
      </w:r>
      <w:r w:rsidR="00217504">
        <w:rPr>
          <w:rFonts w:ascii="Century Gothic" w:hAnsi="Century Gothic" w:cs="Arial"/>
          <w:sz w:val="24"/>
          <w:szCs w:val="24"/>
        </w:rPr>
        <w:t xml:space="preserve"> a las demanda</w:t>
      </w:r>
      <w:r w:rsidR="003D5599">
        <w:rPr>
          <w:rFonts w:ascii="Century Gothic" w:hAnsi="Century Gothic" w:cs="Arial"/>
          <w:sz w:val="24"/>
          <w:szCs w:val="24"/>
        </w:rPr>
        <w:t>da</w:t>
      </w:r>
      <w:r w:rsidR="00217504">
        <w:rPr>
          <w:rFonts w:ascii="Century Gothic" w:hAnsi="Century Gothic" w:cs="Arial"/>
          <w:sz w:val="24"/>
          <w:szCs w:val="24"/>
        </w:rPr>
        <w:t>s a pagar las costas del proceso.</w:t>
      </w:r>
    </w:p>
    <w:p w14:paraId="1986B1F5" w14:textId="77777777" w:rsidR="00837443" w:rsidRPr="00837443" w:rsidRDefault="00837443" w:rsidP="00837443">
      <w:pPr>
        <w:tabs>
          <w:tab w:val="left" w:pos="284"/>
        </w:tabs>
        <w:spacing w:line="360" w:lineRule="auto"/>
        <w:jc w:val="both"/>
        <w:rPr>
          <w:rFonts w:ascii="Century Gothic" w:hAnsi="Century Gothic" w:cs="Arial"/>
          <w:sz w:val="24"/>
          <w:szCs w:val="24"/>
        </w:rPr>
      </w:pPr>
    </w:p>
    <w:p w14:paraId="5F65CB69" w14:textId="77777777" w:rsidR="00006E81" w:rsidRDefault="00006E81" w:rsidP="00837443">
      <w:pPr>
        <w:numPr>
          <w:ilvl w:val="0"/>
          <w:numId w:val="3"/>
        </w:numPr>
        <w:tabs>
          <w:tab w:val="left" w:pos="284"/>
        </w:tabs>
        <w:spacing w:line="360" w:lineRule="auto"/>
        <w:ind w:left="0" w:firstLine="0"/>
        <w:jc w:val="both"/>
        <w:rPr>
          <w:rFonts w:ascii="Century Gothic" w:hAnsi="Century Gothic" w:cs="Arial"/>
          <w:sz w:val="24"/>
          <w:szCs w:val="24"/>
        </w:rPr>
      </w:pPr>
      <w:r w:rsidRPr="00006E81">
        <w:rPr>
          <w:rFonts w:ascii="Century Gothic" w:hAnsi="Century Gothic" w:cs="Arial"/>
          <w:sz w:val="24"/>
          <w:szCs w:val="24"/>
        </w:rPr>
        <w:t xml:space="preserve">En la </w:t>
      </w:r>
      <w:r w:rsidRPr="00837443">
        <w:rPr>
          <w:rFonts w:ascii="Century Gothic" w:hAnsi="Century Gothic" w:cs="Arial"/>
          <w:b/>
          <w:sz w:val="24"/>
          <w:szCs w:val="24"/>
        </w:rPr>
        <w:t>demanda</w:t>
      </w:r>
      <w:r w:rsidRPr="00006E81">
        <w:rPr>
          <w:rFonts w:ascii="Century Gothic" w:hAnsi="Century Gothic" w:cs="Arial"/>
          <w:sz w:val="24"/>
          <w:szCs w:val="24"/>
        </w:rPr>
        <w:t xml:space="preserve"> la parte actora narró, en síntesis, los siguientes </w:t>
      </w:r>
      <w:r w:rsidRPr="00D777AE">
        <w:rPr>
          <w:rFonts w:ascii="Century Gothic" w:hAnsi="Century Gothic" w:cs="Arial"/>
          <w:b/>
          <w:sz w:val="24"/>
          <w:szCs w:val="24"/>
        </w:rPr>
        <w:t xml:space="preserve">hechos </w:t>
      </w:r>
      <w:r w:rsidRPr="00006E81">
        <w:rPr>
          <w:rFonts w:ascii="Century Gothic" w:hAnsi="Century Gothic" w:cs="Arial"/>
          <w:sz w:val="24"/>
          <w:szCs w:val="24"/>
        </w:rPr>
        <w:t>relevantes:</w:t>
      </w:r>
    </w:p>
    <w:p w14:paraId="5F3958F4" w14:textId="77777777" w:rsidR="00837443" w:rsidRDefault="00837443" w:rsidP="00837443">
      <w:pPr>
        <w:pStyle w:val="Prrafodelista"/>
        <w:rPr>
          <w:rFonts w:ascii="Century Gothic" w:hAnsi="Century Gothic" w:cs="Arial"/>
          <w:sz w:val="24"/>
          <w:szCs w:val="24"/>
        </w:rPr>
      </w:pPr>
    </w:p>
    <w:p w14:paraId="3616725E" w14:textId="77777777" w:rsidR="00837443"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D77498">
        <w:rPr>
          <w:rFonts w:ascii="Century Gothic" w:hAnsi="Century Gothic" w:cs="Arial"/>
          <w:sz w:val="24"/>
          <w:szCs w:val="24"/>
        </w:rPr>
        <w:t>1) Mediante Resolución 304 de 17 de junio de 2005, la Dirección de Sanidad de la Policía Nacional ordenó la apertura de</w:t>
      </w:r>
      <w:r w:rsidR="002424D5">
        <w:rPr>
          <w:rFonts w:ascii="Century Gothic" w:hAnsi="Century Gothic" w:cs="Arial"/>
          <w:sz w:val="24"/>
          <w:szCs w:val="24"/>
        </w:rPr>
        <w:t>l procedimiento</w:t>
      </w:r>
      <w:r w:rsidR="00D77498">
        <w:rPr>
          <w:rFonts w:ascii="Century Gothic" w:hAnsi="Century Gothic" w:cs="Arial"/>
          <w:sz w:val="24"/>
          <w:szCs w:val="24"/>
        </w:rPr>
        <w:t xml:space="preserve"> </w:t>
      </w:r>
      <w:r w:rsidR="002424D5">
        <w:rPr>
          <w:rFonts w:ascii="Century Gothic" w:hAnsi="Century Gothic" w:cs="Arial"/>
          <w:sz w:val="24"/>
          <w:szCs w:val="24"/>
        </w:rPr>
        <w:t>de</w:t>
      </w:r>
      <w:r w:rsidR="00D77498">
        <w:rPr>
          <w:rFonts w:ascii="Century Gothic" w:hAnsi="Century Gothic" w:cs="Arial"/>
          <w:sz w:val="24"/>
          <w:szCs w:val="24"/>
        </w:rPr>
        <w:t xml:space="preserve"> contratación</w:t>
      </w:r>
      <w:r>
        <w:rPr>
          <w:rFonts w:ascii="Century Gothic" w:hAnsi="Century Gothic" w:cs="Arial"/>
          <w:sz w:val="24"/>
          <w:szCs w:val="24"/>
        </w:rPr>
        <w:t xml:space="preserve"> directa </w:t>
      </w:r>
      <w:r w:rsidR="00D77498">
        <w:rPr>
          <w:rFonts w:ascii="Century Gothic" w:hAnsi="Century Gothic" w:cs="Arial"/>
          <w:sz w:val="24"/>
          <w:szCs w:val="24"/>
        </w:rPr>
        <w:t>17-DISAN-2005.</w:t>
      </w:r>
    </w:p>
    <w:p w14:paraId="162E3EF1" w14:textId="77777777" w:rsidR="00D77498" w:rsidRDefault="00D77498" w:rsidP="00D77498">
      <w:pPr>
        <w:pStyle w:val="Prrafodelista"/>
        <w:rPr>
          <w:rFonts w:ascii="Century Gothic" w:hAnsi="Century Gothic" w:cs="Arial"/>
          <w:sz w:val="24"/>
          <w:szCs w:val="24"/>
        </w:rPr>
      </w:pPr>
    </w:p>
    <w:p w14:paraId="07315F46" w14:textId="77777777" w:rsidR="00D77498"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D77498">
        <w:rPr>
          <w:rFonts w:ascii="Century Gothic" w:hAnsi="Century Gothic" w:cs="Arial"/>
          <w:sz w:val="24"/>
          <w:szCs w:val="24"/>
        </w:rPr>
        <w:t xml:space="preserve">2) </w:t>
      </w:r>
      <w:r w:rsidR="00EC6565">
        <w:rPr>
          <w:rFonts w:ascii="Century Gothic" w:hAnsi="Century Gothic" w:cs="Arial"/>
          <w:sz w:val="24"/>
          <w:szCs w:val="24"/>
        </w:rPr>
        <w:t>El 5 de julio de 2005 presentaron ofertas las sociedades integrantes de la Unión Temporal RTS-Red Nacional de Servicios Renales</w:t>
      </w:r>
      <w:r w:rsidR="008E228F">
        <w:rPr>
          <w:rFonts w:ascii="Century Gothic" w:hAnsi="Century Gothic" w:cs="Arial"/>
          <w:sz w:val="24"/>
          <w:szCs w:val="24"/>
        </w:rPr>
        <w:t xml:space="preserve"> UT</w:t>
      </w:r>
      <w:r w:rsidR="00EC6565">
        <w:rPr>
          <w:rFonts w:ascii="Century Gothic" w:hAnsi="Century Gothic" w:cs="Arial"/>
          <w:sz w:val="24"/>
          <w:szCs w:val="24"/>
        </w:rPr>
        <w:t xml:space="preserve"> y la sociedad Fresenius Medical </w:t>
      </w:r>
      <w:proofErr w:type="spellStart"/>
      <w:r w:rsidR="00EC6565">
        <w:rPr>
          <w:rFonts w:ascii="Century Gothic" w:hAnsi="Century Gothic" w:cs="Arial"/>
          <w:sz w:val="24"/>
          <w:szCs w:val="24"/>
        </w:rPr>
        <w:t>Care</w:t>
      </w:r>
      <w:proofErr w:type="spellEnd"/>
      <w:r w:rsidR="00EC6565">
        <w:rPr>
          <w:rFonts w:ascii="Century Gothic" w:hAnsi="Century Gothic" w:cs="Arial"/>
          <w:sz w:val="24"/>
          <w:szCs w:val="24"/>
        </w:rPr>
        <w:t xml:space="preserve"> Colombia S.A.</w:t>
      </w:r>
    </w:p>
    <w:p w14:paraId="0C20AAFE" w14:textId="77777777" w:rsidR="00EC6565" w:rsidRDefault="00EC6565" w:rsidP="00EC6565">
      <w:pPr>
        <w:pStyle w:val="Prrafodelista"/>
        <w:rPr>
          <w:rFonts w:ascii="Century Gothic" w:hAnsi="Century Gothic" w:cs="Arial"/>
          <w:sz w:val="24"/>
          <w:szCs w:val="24"/>
        </w:rPr>
      </w:pPr>
    </w:p>
    <w:p w14:paraId="5C4C8C57" w14:textId="77777777" w:rsidR="00EC6565"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EC6565">
        <w:rPr>
          <w:rFonts w:ascii="Century Gothic" w:hAnsi="Century Gothic" w:cs="Arial"/>
          <w:sz w:val="24"/>
          <w:szCs w:val="24"/>
        </w:rPr>
        <w:t xml:space="preserve">3) Dentro de los requisitos señalados en los términos de referencia se exigió la presentación de un balance general con corte a 31 de diciembre de 2004, debidamente auditado y certificado, esto es, suscrito por un contador y un revisor fiscal. </w:t>
      </w:r>
    </w:p>
    <w:p w14:paraId="7FB0DD0A" w14:textId="77777777" w:rsidR="00EC6565" w:rsidRDefault="00EC6565" w:rsidP="00EC6565">
      <w:pPr>
        <w:pStyle w:val="Prrafodelista"/>
        <w:rPr>
          <w:rFonts w:ascii="Century Gothic" w:hAnsi="Century Gothic" w:cs="Arial"/>
          <w:sz w:val="24"/>
          <w:szCs w:val="24"/>
        </w:rPr>
      </w:pPr>
    </w:p>
    <w:p w14:paraId="3F1CB701" w14:textId="77777777" w:rsidR="00EC6565"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EC6565">
        <w:rPr>
          <w:rFonts w:ascii="Century Gothic" w:hAnsi="Century Gothic" w:cs="Arial"/>
          <w:sz w:val="24"/>
          <w:szCs w:val="24"/>
        </w:rPr>
        <w:t xml:space="preserve">4) </w:t>
      </w:r>
      <w:r w:rsidR="001F325B">
        <w:rPr>
          <w:rFonts w:ascii="Century Gothic" w:hAnsi="Century Gothic" w:cs="Arial"/>
          <w:sz w:val="24"/>
          <w:szCs w:val="24"/>
        </w:rPr>
        <w:t xml:space="preserve">La UT </w:t>
      </w:r>
      <w:r w:rsidR="00EC6565">
        <w:rPr>
          <w:rFonts w:ascii="Century Gothic" w:hAnsi="Century Gothic" w:cs="Arial"/>
          <w:sz w:val="24"/>
          <w:szCs w:val="24"/>
        </w:rPr>
        <w:t>RTS presentó los balances respectivos, sin embargo, la Dirección de Sanidad encontró que entre dichos balances y los presentados por RTS ante la Cámara de Comercio</w:t>
      </w:r>
      <w:r w:rsidR="003D5599">
        <w:rPr>
          <w:rFonts w:ascii="Century Gothic" w:hAnsi="Century Gothic" w:cs="Arial"/>
          <w:sz w:val="24"/>
          <w:szCs w:val="24"/>
        </w:rPr>
        <w:t>,</w:t>
      </w:r>
      <w:r w:rsidR="00EC6565">
        <w:rPr>
          <w:rFonts w:ascii="Century Gothic" w:hAnsi="Century Gothic" w:cs="Arial"/>
          <w:sz w:val="24"/>
          <w:szCs w:val="24"/>
        </w:rPr>
        <w:t xml:space="preserve"> para obtener la renovación de la matrícula mercantil, existían diferencias.</w:t>
      </w:r>
    </w:p>
    <w:p w14:paraId="4BA56A45" w14:textId="77777777" w:rsidR="00EC6565" w:rsidRDefault="00EC6565" w:rsidP="00EC6565">
      <w:pPr>
        <w:pStyle w:val="Prrafodelista"/>
        <w:rPr>
          <w:rFonts w:ascii="Century Gothic" w:hAnsi="Century Gothic" w:cs="Arial"/>
          <w:sz w:val="24"/>
          <w:szCs w:val="24"/>
        </w:rPr>
      </w:pPr>
    </w:p>
    <w:p w14:paraId="23EAA8CB" w14:textId="77777777" w:rsidR="00EC6565"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EC6565">
        <w:rPr>
          <w:rFonts w:ascii="Century Gothic" w:hAnsi="Century Gothic" w:cs="Arial"/>
          <w:sz w:val="24"/>
          <w:szCs w:val="24"/>
        </w:rPr>
        <w:t xml:space="preserve">5) Con base en la anterior </w:t>
      </w:r>
      <w:r w:rsidR="00084AB9">
        <w:rPr>
          <w:rFonts w:ascii="Century Gothic" w:hAnsi="Century Gothic" w:cs="Arial"/>
          <w:sz w:val="24"/>
          <w:szCs w:val="24"/>
        </w:rPr>
        <w:t>consideración</w:t>
      </w:r>
      <w:r w:rsidR="00EC6565">
        <w:rPr>
          <w:rFonts w:ascii="Century Gothic" w:hAnsi="Century Gothic" w:cs="Arial"/>
          <w:sz w:val="24"/>
          <w:szCs w:val="24"/>
        </w:rPr>
        <w:t>, la Dirección de Sanidad concluyó que RTS limitada no había cumplido el requisito, insubsanable, de presentar los balances en los términos indicados.</w:t>
      </w:r>
    </w:p>
    <w:p w14:paraId="7C5A3169" w14:textId="77777777" w:rsidR="00EC6565" w:rsidRDefault="00EC6565" w:rsidP="00EC6565">
      <w:pPr>
        <w:pStyle w:val="Prrafodelista"/>
        <w:rPr>
          <w:rFonts w:ascii="Century Gothic" w:hAnsi="Century Gothic" w:cs="Arial"/>
          <w:sz w:val="24"/>
          <w:szCs w:val="24"/>
        </w:rPr>
      </w:pPr>
    </w:p>
    <w:p w14:paraId="2B2675CB" w14:textId="77777777" w:rsidR="00EC6565" w:rsidRDefault="000704DE" w:rsidP="00837443">
      <w:pPr>
        <w:numPr>
          <w:ilvl w:val="0"/>
          <w:numId w:val="3"/>
        </w:numPr>
        <w:tabs>
          <w:tab w:val="left" w:pos="284"/>
        </w:tabs>
        <w:spacing w:line="360" w:lineRule="auto"/>
        <w:ind w:left="0" w:firstLine="0"/>
        <w:jc w:val="both"/>
        <w:rPr>
          <w:rFonts w:ascii="Century Gothic" w:hAnsi="Century Gothic" w:cs="Arial"/>
          <w:sz w:val="24"/>
          <w:szCs w:val="24"/>
        </w:rPr>
      </w:pPr>
      <w:r>
        <w:rPr>
          <w:rFonts w:ascii="Century Gothic" w:hAnsi="Century Gothic" w:cs="Arial"/>
          <w:sz w:val="24"/>
          <w:szCs w:val="24"/>
        </w:rPr>
        <w:lastRenderedPageBreak/>
        <w:t xml:space="preserve"> </w:t>
      </w:r>
      <w:r w:rsidR="00EC6565">
        <w:rPr>
          <w:rFonts w:ascii="Century Gothic" w:hAnsi="Century Gothic" w:cs="Arial"/>
          <w:sz w:val="24"/>
          <w:szCs w:val="24"/>
        </w:rPr>
        <w:t xml:space="preserve">6) Como consecuencia, la propuesta de la demandante no fue considerada y el contrato le fue adjudicado a la sociedad Fresenius Medical </w:t>
      </w:r>
      <w:proofErr w:type="spellStart"/>
      <w:r w:rsidR="00EC6565">
        <w:rPr>
          <w:rFonts w:ascii="Century Gothic" w:hAnsi="Century Gothic" w:cs="Arial"/>
          <w:sz w:val="24"/>
          <w:szCs w:val="24"/>
        </w:rPr>
        <w:t>Care</w:t>
      </w:r>
      <w:proofErr w:type="spellEnd"/>
      <w:r w:rsidR="00EC6565">
        <w:rPr>
          <w:rFonts w:ascii="Century Gothic" w:hAnsi="Century Gothic" w:cs="Arial"/>
          <w:sz w:val="24"/>
          <w:szCs w:val="24"/>
        </w:rPr>
        <w:t xml:space="preserve"> Colombia S.A.</w:t>
      </w:r>
    </w:p>
    <w:p w14:paraId="7D81AEE8" w14:textId="77777777" w:rsidR="008E228F" w:rsidRDefault="008E228F" w:rsidP="008E228F">
      <w:pPr>
        <w:pStyle w:val="Prrafodelista"/>
        <w:rPr>
          <w:rFonts w:ascii="Century Gothic" w:hAnsi="Century Gothic" w:cs="Arial"/>
          <w:sz w:val="24"/>
          <w:szCs w:val="24"/>
        </w:rPr>
      </w:pPr>
    </w:p>
    <w:p w14:paraId="731FE307" w14:textId="77777777" w:rsidR="008E228F" w:rsidRDefault="008E228F" w:rsidP="008E228F">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7) De haberse considerado la propuesta de la Unión Temporal RTS-Red Nacional de Servicios Renales UT</w:t>
      </w:r>
      <w:r w:rsidR="00C919CC">
        <w:rPr>
          <w:rFonts w:ascii="Century Gothic" w:hAnsi="Century Gothic" w:cs="Arial"/>
          <w:sz w:val="24"/>
          <w:szCs w:val="24"/>
        </w:rPr>
        <w:t>,</w:t>
      </w:r>
      <w:r>
        <w:rPr>
          <w:rFonts w:ascii="Century Gothic" w:hAnsi="Century Gothic" w:cs="Arial"/>
          <w:sz w:val="24"/>
          <w:szCs w:val="24"/>
        </w:rPr>
        <w:t xml:space="preserve"> el contrato le hubiera sido adjudicado, “</w:t>
      </w:r>
      <w:r w:rsidRPr="008E228F">
        <w:rPr>
          <w:rFonts w:ascii="Century Gothic" w:hAnsi="Century Gothic" w:cs="Arial"/>
          <w:i/>
          <w:sz w:val="24"/>
          <w:szCs w:val="24"/>
        </w:rPr>
        <w:t>porque el puntaje total asignado a su oferta en las diferentes calificaciones parciales establecidas para el proceso de contratación, era superior al obtenido por la propuesta de la sociedad que resultó adjudicataria</w:t>
      </w:r>
      <w:r>
        <w:rPr>
          <w:rFonts w:ascii="Century Gothic" w:hAnsi="Century Gothic" w:cs="Arial"/>
          <w:sz w:val="24"/>
          <w:szCs w:val="24"/>
        </w:rPr>
        <w:t>”.</w:t>
      </w:r>
    </w:p>
    <w:p w14:paraId="29558159" w14:textId="77777777" w:rsidR="008E228F" w:rsidRDefault="008E228F" w:rsidP="008E228F">
      <w:pPr>
        <w:pStyle w:val="Prrafodelista"/>
        <w:tabs>
          <w:tab w:val="left" w:pos="426"/>
        </w:tabs>
        <w:rPr>
          <w:rFonts w:ascii="Century Gothic" w:hAnsi="Century Gothic" w:cs="Arial"/>
          <w:sz w:val="24"/>
          <w:szCs w:val="24"/>
        </w:rPr>
      </w:pPr>
    </w:p>
    <w:p w14:paraId="50500C45" w14:textId="77777777" w:rsidR="008E228F" w:rsidRDefault="000704DE" w:rsidP="008E228F">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 </w:t>
      </w:r>
      <w:r w:rsidR="008E228F">
        <w:rPr>
          <w:rFonts w:ascii="Century Gothic" w:hAnsi="Century Gothic" w:cs="Arial"/>
          <w:sz w:val="24"/>
          <w:szCs w:val="24"/>
        </w:rPr>
        <w:t xml:space="preserve">8) Como consecuencia </w:t>
      </w:r>
      <w:r w:rsidR="009D405D">
        <w:rPr>
          <w:rFonts w:ascii="Century Gothic" w:hAnsi="Century Gothic" w:cs="Arial"/>
          <w:sz w:val="24"/>
          <w:szCs w:val="24"/>
        </w:rPr>
        <w:t>de la adjudicación, se celebró el contrato objeto del proceso de contratación directa.</w:t>
      </w:r>
    </w:p>
    <w:p w14:paraId="29F3A436" w14:textId="77777777" w:rsidR="009D405D" w:rsidRDefault="009D405D" w:rsidP="009D405D">
      <w:pPr>
        <w:pStyle w:val="Prrafodelista"/>
        <w:rPr>
          <w:rFonts w:ascii="Century Gothic" w:hAnsi="Century Gothic" w:cs="Arial"/>
          <w:sz w:val="24"/>
          <w:szCs w:val="24"/>
        </w:rPr>
      </w:pPr>
    </w:p>
    <w:p w14:paraId="02EF69BD" w14:textId="77777777" w:rsidR="009D405D" w:rsidRPr="00FB7476" w:rsidRDefault="009D405D" w:rsidP="008E228F">
      <w:pPr>
        <w:numPr>
          <w:ilvl w:val="0"/>
          <w:numId w:val="3"/>
        </w:numPr>
        <w:tabs>
          <w:tab w:val="left" w:pos="426"/>
        </w:tabs>
        <w:spacing w:line="360" w:lineRule="auto"/>
        <w:ind w:left="0" w:firstLine="0"/>
        <w:jc w:val="both"/>
        <w:rPr>
          <w:rFonts w:ascii="Century Gothic" w:hAnsi="Century Gothic" w:cs="Arial"/>
          <w:sz w:val="24"/>
          <w:szCs w:val="24"/>
        </w:rPr>
      </w:pPr>
      <w:r w:rsidRPr="00FB7476">
        <w:rPr>
          <w:rFonts w:ascii="Century Gothic" w:hAnsi="Century Gothic" w:cs="Arial"/>
          <w:sz w:val="24"/>
          <w:szCs w:val="24"/>
        </w:rPr>
        <w:t xml:space="preserve">Como </w:t>
      </w:r>
      <w:r w:rsidRPr="00FB7476">
        <w:rPr>
          <w:rFonts w:ascii="Century Gothic" w:hAnsi="Century Gothic" w:cs="Arial"/>
          <w:b/>
          <w:sz w:val="24"/>
          <w:szCs w:val="24"/>
        </w:rPr>
        <w:t>concepto de la violación</w:t>
      </w:r>
      <w:r w:rsidR="00001324" w:rsidRPr="00FB7476">
        <w:rPr>
          <w:rFonts w:ascii="Century Gothic" w:hAnsi="Century Gothic" w:cs="Arial"/>
          <w:sz w:val="24"/>
          <w:szCs w:val="24"/>
        </w:rPr>
        <w:t xml:space="preserve"> se argumentó </w:t>
      </w:r>
      <w:r w:rsidR="003907ED" w:rsidRPr="00FB7476">
        <w:rPr>
          <w:rFonts w:ascii="Century Gothic" w:hAnsi="Century Gothic" w:cs="Arial"/>
          <w:sz w:val="24"/>
          <w:szCs w:val="24"/>
        </w:rPr>
        <w:t xml:space="preserve">que </w:t>
      </w:r>
      <w:r w:rsidR="00001324" w:rsidRPr="00FB7476">
        <w:rPr>
          <w:rFonts w:ascii="Century Gothic" w:hAnsi="Century Gothic" w:cs="Arial"/>
          <w:sz w:val="24"/>
          <w:szCs w:val="24"/>
        </w:rPr>
        <w:t xml:space="preserve">la nulidad del acto impugnado </w:t>
      </w:r>
      <w:r w:rsidR="000905D7" w:rsidRPr="00FB7476">
        <w:rPr>
          <w:rFonts w:ascii="Century Gothic" w:hAnsi="Century Gothic" w:cs="Arial"/>
          <w:sz w:val="24"/>
          <w:szCs w:val="24"/>
        </w:rPr>
        <w:t>se originaba en</w:t>
      </w:r>
      <w:r w:rsidR="003907ED" w:rsidRPr="00FB7476">
        <w:rPr>
          <w:rFonts w:ascii="Century Gothic" w:hAnsi="Century Gothic" w:cs="Arial"/>
          <w:sz w:val="24"/>
          <w:szCs w:val="24"/>
        </w:rPr>
        <w:t xml:space="preserve"> su</w:t>
      </w:r>
      <w:r w:rsidR="00001324" w:rsidRPr="00FB7476">
        <w:rPr>
          <w:rFonts w:ascii="Century Gothic" w:hAnsi="Century Gothic" w:cs="Arial"/>
          <w:sz w:val="24"/>
          <w:szCs w:val="24"/>
        </w:rPr>
        <w:t xml:space="preserve"> falsa motivación</w:t>
      </w:r>
      <w:r w:rsidR="003907ED" w:rsidRPr="00FB7476">
        <w:rPr>
          <w:rFonts w:ascii="Century Gothic" w:hAnsi="Century Gothic" w:cs="Arial"/>
          <w:sz w:val="24"/>
          <w:szCs w:val="24"/>
        </w:rPr>
        <w:t>, toda vez que no resultaba cierto que no se hubi</w:t>
      </w:r>
      <w:r w:rsidR="003D5599" w:rsidRPr="00FB7476">
        <w:rPr>
          <w:rFonts w:ascii="Century Gothic" w:hAnsi="Century Gothic" w:cs="Arial"/>
          <w:sz w:val="24"/>
          <w:szCs w:val="24"/>
        </w:rPr>
        <w:t>era presentado el balance, pues,</w:t>
      </w:r>
      <w:r w:rsidR="003907ED" w:rsidRPr="00FB7476">
        <w:rPr>
          <w:rFonts w:ascii="Century Gothic" w:hAnsi="Century Gothic" w:cs="Arial"/>
          <w:sz w:val="24"/>
          <w:szCs w:val="24"/>
        </w:rPr>
        <w:t xml:space="preserve"> los balances </w:t>
      </w:r>
      <w:r w:rsidR="000905D7" w:rsidRPr="00FB7476">
        <w:rPr>
          <w:rFonts w:ascii="Century Gothic" w:hAnsi="Century Gothic" w:cs="Arial"/>
          <w:sz w:val="24"/>
          <w:szCs w:val="24"/>
        </w:rPr>
        <w:t>aportados</w:t>
      </w:r>
      <w:r w:rsidR="003907ED" w:rsidRPr="00FB7476">
        <w:rPr>
          <w:rFonts w:ascii="Century Gothic" w:hAnsi="Century Gothic" w:cs="Arial"/>
          <w:sz w:val="24"/>
          <w:szCs w:val="24"/>
        </w:rPr>
        <w:t>, cuando se adviertan diferencias entre estos y “</w:t>
      </w:r>
      <w:r w:rsidR="003907ED" w:rsidRPr="00FB7476">
        <w:rPr>
          <w:rFonts w:ascii="Century Gothic" w:hAnsi="Century Gothic" w:cs="Arial"/>
          <w:i/>
          <w:sz w:val="24"/>
          <w:szCs w:val="24"/>
        </w:rPr>
        <w:t>otros del mismo ente económico de fecha anterior, aunque con idéntico corte</w:t>
      </w:r>
      <w:r w:rsidR="003907ED" w:rsidRPr="00FB7476">
        <w:rPr>
          <w:rFonts w:ascii="Century Gothic" w:hAnsi="Century Gothic" w:cs="Arial"/>
          <w:sz w:val="24"/>
          <w:szCs w:val="24"/>
        </w:rPr>
        <w:t xml:space="preserve">”, </w:t>
      </w:r>
      <w:r w:rsidR="003D5599" w:rsidRPr="00FB7476">
        <w:rPr>
          <w:rFonts w:ascii="Century Gothic" w:hAnsi="Century Gothic" w:cs="Arial"/>
          <w:sz w:val="24"/>
          <w:szCs w:val="24"/>
        </w:rPr>
        <w:t xml:space="preserve">no </w:t>
      </w:r>
      <w:r w:rsidR="003907ED" w:rsidRPr="00FB7476">
        <w:rPr>
          <w:rFonts w:ascii="Century Gothic" w:hAnsi="Century Gothic" w:cs="Arial"/>
          <w:sz w:val="24"/>
          <w:szCs w:val="24"/>
        </w:rPr>
        <w:t>deben</w:t>
      </w:r>
      <w:r w:rsidR="00084AB9" w:rsidRPr="00FB7476">
        <w:rPr>
          <w:rFonts w:ascii="Century Gothic" w:hAnsi="Century Gothic" w:cs="Arial"/>
          <w:sz w:val="24"/>
          <w:szCs w:val="24"/>
        </w:rPr>
        <w:t xml:space="preserve"> tenerse por no presentados. Sumado a lo anterior</w:t>
      </w:r>
      <w:r w:rsidR="001F325B" w:rsidRPr="00FB7476">
        <w:rPr>
          <w:rFonts w:ascii="Century Gothic" w:hAnsi="Century Gothic" w:cs="Arial"/>
          <w:sz w:val="24"/>
          <w:szCs w:val="24"/>
        </w:rPr>
        <w:t xml:space="preserve"> se indicó que</w:t>
      </w:r>
      <w:r w:rsidR="00084AB9" w:rsidRPr="00FB7476">
        <w:rPr>
          <w:rFonts w:ascii="Century Gothic" w:hAnsi="Century Gothic" w:cs="Arial"/>
          <w:sz w:val="24"/>
          <w:szCs w:val="24"/>
        </w:rPr>
        <w:t xml:space="preserve">, </w:t>
      </w:r>
      <w:r w:rsidR="001F325B" w:rsidRPr="00FB7476">
        <w:rPr>
          <w:rFonts w:ascii="Century Gothic" w:hAnsi="Century Gothic" w:cs="Arial"/>
          <w:sz w:val="24"/>
          <w:szCs w:val="24"/>
        </w:rPr>
        <w:t>la nulidad del contrato debía</w:t>
      </w:r>
      <w:r w:rsidR="003907ED" w:rsidRPr="00FB7476">
        <w:rPr>
          <w:rFonts w:ascii="Century Gothic" w:hAnsi="Century Gothic" w:cs="Arial"/>
          <w:sz w:val="24"/>
          <w:szCs w:val="24"/>
        </w:rPr>
        <w:t xml:space="preserve"> ser declarada con fundamento en el artículo 44 numeral 4 de la Ley 80 de 1993, esto es, por declararse nulos los actos administ</w:t>
      </w:r>
      <w:r w:rsidR="001F325B" w:rsidRPr="00FB7476">
        <w:rPr>
          <w:rFonts w:ascii="Century Gothic" w:hAnsi="Century Gothic" w:cs="Arial"/>
          <w:sz w:val="24"/>
          <w:szCs w:val="24"/>
        </w:rPr>
        <w:t>rativos en los que se fundamentó</w:t>
      </w:r>
      <w:r w:rsidR="003907ED" w:rsidRPr="00FB7476">
        <w:rPr>
          <w:rFonts w:ascii="Century Gothic" w:hAnsi="Century Gothic" w:cs="Arial"/>
          <w:sz w:val="24"/>
          <w:szCs w:val="24"/>
        </w:rPr>
        <w:t>.</w:t>
      </w:r>
    </w:p>
    <w:p w14:paraId="35B81B07" w14:textId="77777777" w:rsidR="003907ED" w:rsidRDefault="003907ED" w:rsidP="000F7FFA">
      <w:pPr>
        <w:pStyle w:val="Prrafodelista"/>
        <w:spacing w:line="360" w:lineRule="auto"/>
        <w:rPr>
          <w:rFonts w:ascii="Century Gothic" w:hAnsi="Century Gothic" w:cs="Arial"/>
          <w:sz w:val="24"/>
          <w:szCs w:val="24"/>
        </w:rPr>
      </w:pPr>
    </w:p>
    <w:p w14:paraId="72F1AB31" w14:textId="77777777" w:rsidR="003907ED" w:rsidRDefault="00E213D5" w:rsidP="000F7FF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Mediante memorial de 26 de octubre de 2005, el magistrado ponente del Tribunal Administrativo de Cundinamarca inadmitió la demanda para que, entre otros, se realizaran las siguientes precisiones: 1) “</w:t>
      </w:r>
      <w:r w:rsidRPr="00E213D5">
        <w:rPr>
          <w:rFonts w:ascii="Century Gothic" w:hAnsi="Century Gothic" w:cs="Arial"/>
          <w:i/>
          <w:sz w:val="24"/>
          <w:szCs w:val="24"/>
        </w:rPr>
        <w:t xml:space="preserve">ajustar la cuantía de la demanda a la utilidad dejada de percibir por </w:t>
      </w:r>
      <w:r w:rsidR="00084AB9">
        <w:rPr>
          <w:rFonts w:ascii="Century Gothic" w:hAnsi="Century Gothic" w:cs="Arial"/>
          <w:i/>
          <w:sz w:val="24"/>
          <w:szCs w:val="24"/>
        </w:rPr>
        <w:t>l</w:t>
      </w:r>
      <w:r w:rsidRPr="00E213D5">
        <w:rPr>
          <w:rFonts w:ascii="Century Gothic" w:hAnsi="Century Gothic" w:cs="Arial"/>
          <w:i/>
          <w:sz w:val="24"/>
          <w:szCs w:val="24"/>
        </w:rPr>
        <w:t>a no adjudicación de la licitación, esto es, el AIU pactado en el contrato</w:t>
      </w:r>
      <w:r>
        <w:rPr>
          <w:rFonts w:ascii="Century Gothic" w:hAnsi="Century Gothic" w:cs="Arial"/>
          <w:sz w:val="24"/>
          <w:szCs w:val="24"/>
        </w:rPr>
        <w:t>”; 2) “</w:t>
      </w:r>
      <w:r w:rsidRPr="00E213D5">
        <w:rPr>
          <w:rFonts w:ascii="Century Gothic" w:hAnsi="Century Gothic" w:cs="Arial"/>
          <w:i/>
          <w:sz w:val="24"/>
          <w:szCs w:val="24"/>
        </w:rPr>
        <w:t>dentro del acápite de pruebas, deben solicitarse las pruebas que establezcan que si el demandante no hubiera sido excluido del proceso licitatorio, hubiera ganado la licitación, para lo cual se sugiere solicitar un dictamen pericial a un Profesional de la Salud que evalúe las pruebas presentadas y emita un concepto</w:t>
      </w:r>
      <w:r>
        <w:rPr>
          <w:rFonts w:ascii="Century Gothic" w:hAnsi="Century Gothic" w:cs="Arial"/>
          <w:sz w:val="24"/>
          <w:szCs w:val="24"/>
        </w:rPr>
        <w:t>”</w:t>
      </w:r>
      <w:r w:rsidR="00084AB9">
        <w:rPr>
          <w:rStyle w:val="Refdenotaalpie"/>
          <w:rFonts w:ascii="Century Gothic" w:hAnsi="Century Gothic" w:cs="Arial"/>
          <w:sz w:val="24"/>
          <w:szCs w:val="24"/>
        </w:rPr>
        <w:footnoteReference w:id="1"/>
      </w:r>
      <w:r>
        <w:rPr>
          <w:rFonts w:ascii="Century Gothic" w:hAnsi="Century Gothic" w:cs="Arial"/>
          <w:sz w:val="24"/>
          <w:szCs w:val="24"/>
        </w:rPr>
        <w:t>.</w:t>
      </w:r>
    </w:p>
    <w:p w14:paraId="3C416ADE" w14:textId="77777777" w:rsidR="00527434" w:rsidRDefault="00527434" w:rsidP="000F7FFA">
      <w:pPr>
        <w:pStyle w:val="Prrafodelista"/>
        <w:spacing w:line="360" w:lineRule="auto"/>
        <w:rPr>
          <w:rFonts w:ascii="Century Gothic" w:hAnsi="Century Gothic" w:cs="Arial"/>
          <w:sz w:val="24"/>
          <w:szCs w:val="24"/>
        </w:rPr>
      </w:pPr>
    </w:p>
    <w:p w14:paraId="34AD8810" w14:textId="77777777" w:rsidR="00527434" w:rsidRDefault="00527434" w:rsidP="000F7FF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lastRenderedPageBreak/>
        <w:t>El 9 de noviembre de 2005, la parte demandante presen</w:t>
      </w:r>
      <w:r w:rsidR="000905D7">
        <w:rPr>
          <w:rFonts w:ascii="Century Gothic" w:hAnsi="Century Gothic" w:cs="Arial"/>
          <w:sz w:val="24"/>
          <w:szCs w:val="24"/>
        </w:rPr>
        <w:t>tó escrito de subsanación, en el</w:t>
      </w:r>
      <w:r>
        <w:rPr>
          <w:rFonts w:ascii="Century Gothic" w:hAnsi="Century Gothic" w:cs="Arial"/>
          <w:sz w:val="24"/>
          <w:szCs w:val="24"/>
        </w:rPr>
        <w:t xml:space="preserve"> que estimó razonadamente la cuantía</w:t>
      </w:r>
      <w:r w:rsidR="009B1220">
        <w:rPr>
          <w:rFonts w:ascii="Century Gothic" w:hAnsi="Century Gothic" w:cs="Arial"/>
          <w:sz w:val="24"/>
          <w:szCs w:val="24"/>
        </w:rPr>
        <w:t xml:space="preserve"> de la demanda </w:t>
      </w:r>
      <w:r>
        <w:rPr>
          <w:rFonts w:ascii="Century Gothic" w:hAnsi="Century Gothic" w:cs="Arial"/>
          <w:sz w:val="24"/>
          <w:szCs w:val="24"/>
        </w:rPr>
        <w:t>en 1.876.133.643</w:t>
      </w:r>
      <w:r w:rsidR="00A8472C">
        <w:rPr>
          <w:rStyle w:val="Refdenotaalpie"/>
          <w:rFonts w:ascii="Century Gothic" w:hAnsi="Century Gothic" w:cs="Arial"/>
          <w:sz w:val="24"/>
          <w:szCs w:val="24"/>
        </w:rPr>
        <w:footnoteReference w:id="2"/>
      </w:r>
      <w:r>
        <w:rPr>
          <w:rFonts w:ascii="Century Gothic" w:hAnsi="Century Gothic" w:cs="Arial"/>
          <w:sz w:val="24"/>
          <w:szCs w:val="24"/>
        </w:rPr>
        <w:t>.</w:t>
      </w:r>
      <w:r w:rsidR="0098104D">
        <w:rPr>
          <w:rFonts w:ascii="Century Gothic" w:hAnsi="Century Gothic" w:cs="Arial"/>
          <w:sz w:val="24"/>
          <w:szCs w:val="24"/>
        </w:rPr>
        <w:t xml:space="preserve"> </w:t>
      </w:r>
    </w:p>
    <w:p w14:paraId="0049973F" w14:textId="77777777" w:rsidR="00A8472C" w:rsidRDefault="00A8472C" w:rsidP="000F7FFA">
      <w:pPr>
        <w:pStyle w:val="Prrafodelista"/>
        <w:spacing w:line="360" w:lineRule="auto"/>
        <w:rPr>
          <w:rFonts w:ascii="Century Gothic" w:hAnsi="Century Gothic" w:cs="Arial"/>
          <w:sz w:val="24"/>
          <w:szCs w:val="24"/>
        </w:rPr>
      </w:pPr>
    </w:p>
    <w:p w14:paraId="223BFFAA" w14:textId="77777777" w:rsidR="00A8472C" w:rsidRDefault="00A8472C" w:rsidP="000F7FF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A pesar de haber presentado escrito de subsanación, el magistrado ponente del Tribunal, en providencia de 8 de marzo de 2006, encontró que la demanda </w:t>
      </w:r>
      <w:r w:rsidR="0027331C">
        <w:rPr>
          <w:rFonts w:ascii="Century Gothic" w:hAnsi="Century Gothic" w:cs="Arial"/>
          <w:sz w:val="24"/>
          <w:szCs w:val="24"/>
        </w:rPr>
        <w:t xml:space="preserve">aún </w:t>
      </w:r>
      <w:r>
        <w:rPr>
          <w:rFonts w:ascii="Century Gothic" w:hAnsi="Century Gothic" w:cs="Arial"/>
          <w:sz w:val="24"/>
          <w:szCs w:val="24"/>
        </w:rPr>
        <w:t>adolecía de defectos, por lo que le solicitó, nuevamente, aportar documentación para subsanar</w:t>
      </w:r>
      <w:r w:rsidR="007A5E50">
        <w:rPr>
          <w:rFonts w:ascii="Century Gothic" w:hAnsi="Century Gothic" w:cs="Arial"/>
          <w:sz w:val="24"/>
          <w:szCs w:val="24"/>
        </w:rPr>
        <w:t>la</w:t>
      </w:r>
      <w:r>
        <w:rPr>
          <w:rStyle w:val="Refdenotaalpie"/>
          <w:rFonts w:ascii="Century Gothic" w:hAnsi="Century Gothic" w:cs="Arial"/>
          <w:sz w:val="24"/>
          <w:szCs w:val="24"/>
        </w:rPr>
        <w:footnoteReference w:id="3"/>
      </w:r>
      <w:r>
        <w:rPr>
          <w:rFonts w:ascii="Century Gothic" w:hAnsi="Century Gothic" w:cs="Arial"/>
          <w:sz w:val="24"/>
          <w:szCs w:val="24"/>
        </w:rPr>
        <w:t xml:space="preserve">. </w:t>
      </w:r>
      <w:r w:rsidR="009A0727">
        <w:rPr>
          <w:rFonts w:ascii="Century Gothic" w:hAnsi="Century Gothic" w:cs="Arial"/>
          <w:sz w:val="24"/>
          <w:szCs w:val="24"/>
        </w:rPr>
        <w:t>Una vez más</w:t>
      </w:r>
      <w:r>
        <w:rPr>
          <w:rFonts w:ascii="Century Gothic" w:hAnsi="Century Gothic" w:cs="Arial"/>
          <w:sz w:val="24"/>
          <w:szCs w:val="24"/>
        </w:rPr>
        <w:t>, en escrito de 9 de agosto de 2006, previo a la decidir sobre la admisión, el magistrado ponente solicitó que se aportaran documentos para verificar la legitimidad activa en la causa y la debida representación</w:t>
      </w:r>
      <w:r>
        <w:rPr>
          <w:rStyle w:val="Refdenotaalpie"/>
          <w:rFonts w:ascii="Century Gothic" w:hAnsi="Century Gothic" w:cs="Arial"/>
          <w:sz w:val="24"/>
          <w:szCs w:val="24"/>
        </w:rPr>
        <w:footnoteReference w:id="4"/>
      </w:r>
      <w:r>
        <w:rPr>
          <w:rFonts w:ascii="Century Gothic" w:hAnsi="Century Gothic" w:cs="Arial"/>
          <w:sz w:val="24"/>
          <w:szCs w:val="24"/>
        </w:rPr>
        <w:t>.</w:t>
      </w:r>
    </w:p>
    <w:p w14:paraId="72CBE3F0" w14:textId="77777777" w:rsidR="00CA3FA4" w:rsidRDefault="00CA3FA4" w:rsidP="000F7FFA">
      <w:pPr>
        <w:pStyle w:val="Prrafodelista"/>
        <w:spacing w:line="360" w:lineRule="auto"/>
        <w:rPr>
          <w:rFonts w:ascii="Century Gothic" w:hAnsi="Century Gothic" w:cs="Arial"/>
          <w:sz w:val="24"/>
          <w:szCs w:val="24"/>
        </w:rPr>
      </w:pPr>
    </w:p>
    <w:p w14:paraId="12F46BD8" w14:textId="77777777" w:rsidR="001179F9" w:rsidRDefault="001179F9" w:rsidP="000F7FF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Finalmente</w:t>
      </w:r>
      <w:r w:rsidR="00CA3FA4">
        <w:rPr>
          <w:rFonts w:ascii="Century Gothic" w:hAnsi="Century Gothic" w:cs="Arial"/>
          <w:sz w:val="24"/>
          <w:szCs w:val="24"/>
        </w:rPr>
        <w:t xml:space="preserve">, </w:t>
      </w:r>
      <w:r w:rsidR="00A8472C">
        <w:rPr>
          <w:rFonts w:ascii="Century Gothic" w:hAnsi="Century Gothic" w:cs="Arial"/>
          <w:sz w:val="24"/>
          <w:szCs w:val="24"/>
        </w:rPr>
        <w:t>mediante Auto de 27 de septiembre de 2006</w:t>
      </w:r>
      <w:r>
        <w:rPr>
          <w:rFonts w:ascii="Century Gothic" w:hAnsi="Century Gothic" w:cs="Arial"/>
          <w:sz w:val="24"/>
          <w:szCs w:val="24"/>
        </w:rPr>
        <w:t>,</w:t>
      </w:r>
      <w:r w:rsidR="00A8472C">
        <w:rPr>
          <w:rFonts w:ascii="Century Gothic" w:hAnsi="Century Gothic" w:cs="Arial"/>
          <w:sz w:val="24"/>
          <w:szCs w:val="24"/>
        </w:rPr>
        <w:t xml:space="preserve"> </w:t>
      </w:r>
      <w:r w:rsidR="00A8472C" w:rsidRPr="00A8472C">
        <w:rPr>
          <w:rFonts w:ascii="Century Gothic" w:hAnsi="Century Gothic" w:cs="Arial"/>
          <w:b/>
          <w:sz w:val="24"/>
          <w:szCs w:val="24"/>
        </w:rPr>
        <w:t>se admitió la demanda</w:t>
      </w:r>
      <w:r w:rsidRPr="00435EC0">
        <w:rPr>
          <w:rStyle w:val="Refdenotaalpie"/>
          <w:rFonts w:ascii="Century Gothic" w:hAnsi="Century Gothic" w:cs="Arial"/>
          <w:sz w:val="24"/>
          <w:szCs w:val="24"/>
        </w:rPr>
        <w:footnoteReference w:id="5"/>
      </w:r>
      <w:r w:rsidRPr="00435EC0">
        <w:rPr>
          <w:rFonts w:ascii="Century Gothic" w:hAnsi="Century Gothic" w:cs="Arial"/>
          <w:sz w:val="24"/>
          <w:szCs w:val="24"/>
        </w:rPr>
        <w:t>.</w:t>
      </w:r>
    </w:p>
    <w:p w14:paraId="45DA0879" w14:textId="77777777" w:rsidR="000F7FFA" w:rsidRPr="000F7FFA" w:rsidRDefault="000F7FFA" w:rsidP="000F7FFA">
      <w:pPr>
        <w:tabs>
          <w:tab w:val="left" w:pos="426"/>
        </w:tabs>
        <w:spacing w:line="360" w:lineRule="auto"/>
        <w:jc w:val="both"/>
        <w:rPr>
          <w:rFonts w:ascii="Century Gothic" w:hAnsi="Century Gothic" w:cs="Arial"/>
          <w:sz w:val="24"/>
          <w:szCs w:val="24"/>
        </w:rPr>
      </w:pPr>
    </w:p>
    <w:p w14:paraId="5883DCFA" w14:textId="77777777" w:rsidR="00CA3FA4" w:rsidRDefault="001179F9" w:rsidP="00EC4CB5">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Frese</w:t>
      </w:r>
      <w:r w:rsidR="007A5E50">
        <w:rPr>
          <w:rFonts w:ascii="Century Gothic" w:hAnsi="Century Gothic" w:cs="Arial"/>
          <w:sz w:val="24"/>
          <w:szCs w:val="24"/>
        </w:rPr>
        <w:t xml:space="preserve">nius Medical </w:t>
      </w:r>
      <w:proofErr w:type="spellStart"/>
      <w:r w:rsidR="007A5E50">
        <w:rPr>
          <w:rFonts w:ascii="Century Gothic" w:hAnsi="Century Gothic" w:cs="Arial"/>
          <w:sz w:val="24"/>
          <w:szCs w:val="24"/>
        </w:rPr>
        <w:t>Care</w:t>
      </w:r>
      <w:proofErr w:type="spellEnd"/>
      <w:r w:rsidR="007A5E50">
        <w:rPr>
          <w:rFonts w:ascii="Century Gothic" w:hAnsi="Century Gothic" w:cs="Arial"/>
          <w:sz w:val="24"/>
          <w:szCs w:val="24"/>
        </w:rPr>
        <w:t xml:space="preserve"> Colombia S.A.</w:t>
      </w:r>
      <w:r>
        <w:rPr>
          <w:rFonts w:ascii="Century Gothic" w:hAnsi="Century Gothic" w:cs="Arial"/>
          <w:sz w:val="24"/>
          <w:szCs w:val="24"/>
        </w:rPr>
        <w:t xml:space="preserve"> </w:t>
      </w:r>
      <w:r w:rsidR="00CA3FA4" w:rsidRPr="00CA3FA4">
        <w:rPr>
          <w:rFonts w:ascii="Century Gothic" w:hAnsi="Century Gothic" w:cs="Arial"/>
          <w:b/>
          <w:sz w:val="24"/>
          <w:szCs w:val="24"/>
        </w:rPr>
        <w:t>contestó la demanda</w:t>
      </w:r>
      <w:r w:rsidR="00B40307" w:rsidRPr="00B40307">
        <w:rPr>
          <w:rStyle w:val="Refdenotaalpie"/>
          <w:rFonts w:ascii="Century Gothic" w:hAnsi="Century Gothic" w:cs="Arial"/>
          <w:sz w:val="24"/>
          <w:szCs w:val="24"/>
        </w:rPr>
        <w:footnoteReference w:id="6"/>
      </w:r>
      <w:r w:rsidR="00B40307" w:rsidRPr="00B40307">
        <w:rPr>
          <w:rFonts w:ascii="Century Gothic" w:hAnsi="Century Gothic" w:cs="Arial"/>
          <w:sz w:val="24"/>
          <w:szCs w:val="24"/>
        </w:rPr>
        <w:t xml:space="preserve"> y se opuso a la totalidad de las pretensiones elevadas por la parte actora</w:t>
      </w:r>
      <w:r w:rsidR="000F7FFA">
        <w:rPr>
          <w:rFonts w:ascii="Century Gothic" w:hAnsi="Century Gothic" w:cs="Arial"/>
          <w:sz w:val="24"/>
          <w:szCs w:val="24"/>
        </w:rPr>
        <w:t xml:space="preserve">, </w:t>
      </w:r>
      <w:r w:rsidR="000F7FFA" w:rsidRPr="000F7FFA">
        <w:rPr>
          <w:rFonts w:ascii="Century Gothic" w:hAnsi="Century Gothic" w:cs="Arial"/>
          <w:sz w:val="24"/>
          <w:szCs w:val="24"/>
          <w:lang w:val="es-CO"/>
        </w:rPr>
        <w:t xml:space="preserve">por considerar que </w:t>
      </w:r>
      <w:r w:rsidR="000F7FFA">
        <w:rPr>
          <w:rFonts w:ascii="Century Gothic" w:hAnsi="Century Gothic" w:cs="Arial"/>
          <w:sz w:val="24"/>
          <w:szCs w:val="24"/>
          <w:lang w:val="es-CO"/>
        </w:rPr>
        <w:t>no existió</w:t>
      </w:r>
      <w:r w:rsidR="00084AB9">
        <w:rPr>
          <w:rFonts w:ascii="Century Gothic" w:hAnsi="Century Gothic" w:cs="Arial"/>
          <w:sz w:val="24"/>
          <w:szCs w:val="24"/>
          <w:lang w:val="es-CO"/>
        </w:rPr>
        <w:t xml:space="preserve"> vicio de nulidad que afectara </w:t>
      </w:r>
      <w:r w:rsidR="000F7FFA" w:rsidRPr="000F7FFA">
        <w:rPr>
          <w:rFonts w:ascii="Century Gothic" w:hAnsi="Century Gothic" w:cs="Arial"/>
          <w:sz w:val="24"/>
          <w:szCs w:val="24"/>
          <w:lang w:val="es-CO"/>
        </w:rPr>
        <w:t>la resolución impugnada</w:t>
      </w:r>
      <w:r w:rsidR="00B40307">
        <w:rPr>
          <w:rFonts w:ascii="Century Gothic" w:hAnsi="Century Gothic" w:cs="Arial"/>
          <w:sz w:val="24"/>
          <w:szCs w:val="24"/>
        </w:rPr>
        <w:t>.</w:t>
      </w:r>
    </w:p>
    <w:p w14:paraId="55C1468D" w14:textId="77777777" w:rsidR="00B40307" w:rsidRDefault="00B40307" w:rsidP="00EC4CB5">
      <w:pPr>
        <w:pStyle w:val="Prrafodelista"/>
        <w:spacing w:line="360" w:lineRule="auto"/>
        <w:ind w:left="0"/>
        <w:rPr>
          <w:rFonts w:ascii="Century Gothic" w:hAnsi="Century Gothic" w:cs="Arial"/>
          <w:sz w:val="24"/>
          <w:szCs w:val="24"/>
        </w:rPr>
      </w:pPr>
    </w:p>
    <w:p w14:paraId="72BC5FFE" w14:textId="77777777" w:rsidR="00EC4CB5" w:rsidRDefault="00EC4CB5" w:rsidP="00EC4CB5">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Sostuvo que no era</w:t>
      </w:r>
      <w:r w:rsidRPr="00EC4CB5">
        <w:rPr>
          <w:rFonts w:ascii="Century Gothic" w:hAnsi="Century Gothic" w:cs="Arial"/>
          <w:sz w:val="24"/>
          <w:szCs w:val="24"/>
        </w:rPr>
        <w:t xml:space="preserve"> cierto que en el proceso de </w:t>
      </w:r>
      <w:r w:rsidR="00724835">
        <w:rPr>
          <w:rFonts w:ascii="Century Gothic" w:hAnsi="Century Gothic" w:cs="Arial"/>
          <w:sz w:val="24"/>
          <w:szCs w:val="24"/>
        </w:rPr>
        <w:t>contratación</w:t>
      </w:r>
      <w:r w:rsidRPr="00EC4CB5">
        <w:rPr>
          <w:rFonts w:ascii="Century Gothic" w:hAnsi="Century Gothic" w:cs="Arial"/>
          <w:sz w:val="24"/>
          <w:szCs w:val="24"/>
        </w:rPr>
        <w:t xml:space="preserve"> </w:t>
      </w:r>
      <w:r w:rsidR="007A5E50">
        <w:rPr>
          <w:rFonts w:ascii="Century Gothic" w:hAnsi="Century Gothic" w:cs="Arial"/>
          <w:sz w:val="24"/>
          <w:szCs w:val="24"/>
        </w:rPr>
        <w:t xml:space="preserve">se exigiera la </w:t>
      </w:r>
      <w:r w:rsidRPr="00EC4CB5">
        <w:rPr>
          <w:rFonts w:ascii="Century Gothic" w:hAnsi="Century Gothic" w:cs="Arial"/>
          <w:sz w:val="24"/>
          <w:szCs w:val="24"/>
        </w:rPr>
        <w:t>“</w:t>
      </w:r>
      <w:r w:rsidRPr="00EC4CB5">
        <w:rPr>
          <w:rFonts w:ascii="Century Gothic" w:hAnsi="Century Gothic" w:cs="Arial"/>
          <w:i/>
          <w:sz w:val="24"/>
          <w:szCs w:val="24"/>
        </w:rPr>
        <w:t xml:space="preserve">presentación de </w:t>
      </w:r>
      <w:r w:rsidR="00EC1392">
        <w:rPr>
          <w:rFonts w:ascii="Century Gothic" w:hAnsi="Century Gothic" w:cs="Arial"/>
          <w:i/>
          <w:sz w:val="24"/>
          <w:szCs w:val="24"/>
        </w:rPr>
        <w:t>‘un balance’</w:t>
      </w:r>
      <w:r w:rsidR="00724835">
        <w:rPr>
          <w:rFonts w:ascii="Century Gothic" w:hAnsi="Century Gothic" w:cs="Arial"/>
          <w:i/>
          <w:sz w:val="24"/>
          <w:szCs w:val="24"/>
        </w:rPr>
        <w:t>,</w:t>
      </w:r>
      <w:r w:rsidRPr="00EC4CB5">
        <w:rPr>
          <w:rFonts w:ascii="Century Gothic" w:hAnsi="Century Gothic" w:cs="Arial"/>
          <w:i/>
          <w:sz w:val="24"/>
          <w:szCs w:val="24"/>
        </w:rPr>
        <w:t xml:space="preserve"> </w:t>
      </w:r>
      <w:r>
        <w:rPr>
          <w:rFonts w:ascii="Century Gothic" w:hAnsi="Century Gothic" w:cs="Arial"/>
          <w:i/>
          <w:sz w:val="24"/>
          <w:szCs w:val="24"/>
        </w:rPr>
        <w:t>como lo señala el demandante, lo que se exigió fue la presentación del balance general de acuerdo a las normas contables vigentes conforme al artículo 37 de la Ley 222 de 1995</w:t>
      </w:r>
      <w:r w:rsidRPr="00EC4CB5">
        <w:rPr>
          <w:rFonts w:ascii="Century Gothic" w:hAnsi="Century Gothic" w:cs="Arial"/>
          <w:sz w:val="24"/>
          <w:szCs w:val="24"/>
        </w:rPr>
        <w:t xml:space="preserve">”, y que dicho requisito debía ser cumplido por </w:t>
      </w:r>
      <w:r w:rsidR="00084AB9">
        <w:rPr>
          <w:rFonts w:ascii="Century Gothic" w:hAnsi="Century Gothic" w:cs="Arial"/>
          <w:sz w:val="24"/>
          <w:szCs w:val="24"/>
        </w:rPr>
        <w:t>cada uno de los miembros de la Unión T</w:t>
      </w:r>
      <w:r w:rsidRPr="00EC4CB5">
        <w:rPr>
          <w:rFonts w:ascii="Century Gothic" w:hAnsi="Century Gothic" w:cs="Arial"/>
          <w:sz w:val="24"/>
          <w:szCs w:val="24"/>
        </w:rPr>
        <w:t xml:space="preserve">emporal, situación que no acató la sociedad RTS Ltda., </w:t>
      </w:r>
      <w:r w:rsidR="00D57B8F">
        <w:rPr>
          <w:rFonts w:ascii="Century Gothic" w:hAnsi="Century Gothic" w:cs="Arial"/>
          <w:sz w:val="24"/>
          <w:szCs w:val="24"/>
        </w:rPr>
        <w:t>ya que</w:t>
      </w:r>
      <w:r w:rsidRPr="00EC4CB5">
        <w:rPr>
          <w:rFonts w:ascii="Century Gothic" w:hAnsi="Century Gothic" w:cs="Arial"/>
          <w:sz w:val="24"/>
          <w:szCs w:val="24"/>
        </w:rPr>
        <w:t xml:space="preserve"> tenía dos balances d</w:t>
      </w:r>
      <w:r>
        <w:rPr>
          <w:rFonts w:ascii="Century Gothic" w:hAnsi="Century Gothic" w:cs="Arial"/>
          <w:sz w:val="24"/>
          <w:szCs w:val="24"/>
        </w:rPr>
        <w:t>iferentes para el mismo período</w:t>
      </w:r>
      <w:r w:rsidRPr="00EC4CB5">
        <w:rPr>
          <w:rFonts w:ascii="Century Gothic" w:hAnsi="Century Gothic" w:cs="Arial"/>
          <w:sz w:val="24"/>
          <w:szCs w:val="24"/>
        </w:rPr>
        <w:t>.</w:t>
      </w:r>
    </w:p>
    <w:p w14:paraId="3FBB8C22" w14:textId="77777777" w:rsidR="00EC4CB5" w:rsidRPr="00EC4CB5" w:rsidRDefault="00EC4CB5" w:rsidP="00EC4CB5">
      <w:pPr>
        <w:tabs>
          <w:tab w:val="left" w:pos="426"/>
        </w:tabs>
        <w:spacing w:line="360" w:lineRule="auto"/>
        <w:jc w:val="both"/>
        <w:rPr>
          <w:rFonts w:ascii="Century Gothic" w:hAnsi="Century Gothic" w:cs="Arial"/>
          <w:sz w:val="24"/>
          <w:szCs w:val="24"/>
        </w:rPr>
      </w:pPr>
    </w:p>
    <w:p w14:paraId="18FBCDBE" w14:textId="77777777" w:rsidR="00EC4CB5" w:rsidRPr="00EC4CB5" w:rsidRDefault="00EC4CB5" w:rsidP="00EC4CB5">
      <w:pPr>
        <w:numPr>
          <w:ilvl w:val="0"/>
          <w:numId w:val="3"/>
        </w:numPr>
        <w:tabs>
          <w:tab w:val="left" w:pos="426"/>
        </w:tabs>
        <w:spacing w:line="360" w:lineRule="auto"/>
        <w:ind w:left="0" w:firstLine="0"/>
        <w:jc w:val="both"/>
        <w:rPr>
          <w:rFonts w:ascii="Century Gothic" w:hAnsi="Century Gothic" w:cs="Arial"/>
          <w:sz w:val="24"/>
          <w:szCs w:val="24"/>
        </w:rPr>
      </w:pPr>
      <w:r w:rsidRPr="00EC4CB5">
        <w:rPr>
          <w:rFonts w:ascii="Century Gothic" w:hAnsi="Century Gothic" w:cs="Arial"/>
          <w:sz w:val="24"/>
          <w:szCs w:val="24"/>
        </w:rPr>
        <w:t xml:space="preserve">Adicionalmente, argumentó que la </w:t>
      </w:r>
      <w:r w:rsidR="00724835">
        <w:rPr>
          <w:rFonts w:ascii="Century Gothic" w:hAnsi="Century Gothic" w:cs="Arial"/>
          <w:sz w:val="24"/>
          <w:szCs w:val="24"/>
        </w:rPr>
        <w:t>UT</w:t>
      </w:r>
      <w:r w:rsidRPr="00EC4CB5">
        <w:rPr>
          <w:rFonts w:ascii="Century Gothic" w:hAnsi="Century Gothic" w:cs="Arial"/>
          <w:sz w:val="24"/>
          <w:szCs w:val="24"/>
        </w:rPr>
        <w:t xml:space="preserve"> RTS no presentó una oferta más favorable que le permitiera </w:t>
      </w:r>
      <w:r w:rsidR="00D57B8F" w:rsidRPr="00EC4CB5">
        <w:rPr>
          <w:rFonts w:ascii="Century Gothic" w:hAnsi="Century Gothic" w:cs="Arial"/>
          <w:sz w:val="24"/>
          <w:szCs w:val="24"/>
        </w:rPr>
        <w:t>alcanzar</w:t>
      </w:r>
      <w:r w:rsidRPr="00EC4CB5">
        <w:rPr>
          <w:rFonts w:ascii="Century Gothic" w:hAnsi="Century Gothic" w:cs="Arial"/>
          <w:sz w:val="24"/>
          <w:szCs w:val="24"/>
        </w:rPr>
        <w:t xml:space="preserve"> un mej</w:t>
      </w:r>
      <w:r>
        <w:rPr>
          <w:rFonts w:ascii="Century Gothic" w:hAnsi="Century Gothic" w:cs="Arial"/>
          <w:sz w:val="24"/>
          <w:szCs w:val="24"/>
        </w:rPr>
        <w:t xml:space="preserve">or puntaje que </w:t>
      </w:r>
      <w:r w:rsidR="00517222">
        <w:rPr>
          <w:rFonts w:ascii="Century Gothic" w:hAnsi="Century Gothic" w:cs="Arial"/>
          <w:sz w:val="24"/>
          <w:szCs w:val="24"/>
        </w:rPr>
        <w:t>el obtenido por quien</w:t>
      </w:r>
      <w:r w:rsidR="00B217F3">
        <w:rPr>
          <w:rFonts w:ascii="Century Gothic" w:hAnsi="Century Gothic" w:cs="Arial"/>
          <w:sz w:val="24"/>
          <w:szCs w:val="24"/>
        </w:rPr>
        <w:t>,</w:t>
      </w:r>
      <w:r>
        <w:rPr>
          <w:rFonts w:ascii="Century Gothic" w:hAnsi="Century Gothic" w:cs="Arial"/>
          <w:sz w:val="24"/>
          <w:szCs w:val="24"/>
        </w:rPr>
        <w:t xml:space="preserve"> finalmente</w:t>
      </w:r>
      <w:r w:rsidR="00B217F3">
        <w:rPr>
          <w:rFonts w:ascii="Century Gothic" w:hAnsi="Century Gothic" w:cs="Arial"/>
          <w:sz w:val="24"/>
          <w:szCs w:val="24"/>
        </w:rPr>
        <w:t>,</w:t>
      </w:r>
      <w:r>
        <w:rPr>
          <w:rFonts w:ascii="Century Gothic" w:hAnsi="Century Gothic" w:cs="Arial"/>
          <w:sz w:val="24"/>
          <w:szCs w:val="24"/>
        </w:rPr>
        <w:t xml:space="preserve"> resultó adjudicataria</w:t>
      </w:r>
      <w:r w:rsidR="00CC1A86">
        <w:rPr>
          <w:rFonts w:ascii="Century Gothic" w:hAnsi="Century Gothic" w:cs="Arial"/>
          <w:sz w:val="24"/>
          <w:szCs w:val="24"/>
        </w:rPr>
        <w:t xml:space="preserve"> del contrato</w:t>
      </w:r>
      <w:r w:rsidRPr="00EC4CB5">
        <w:rPr>
          <w:rFonts w:ascii="Century Gothic" w:hAnsi="Century Gothic" w:cs="Arial"/>
          <w:sz w:val="24"/>
          <w:szCs w:val="24"/>
        </w:rPr>
        <w:t>.</w:t>
      </w:r>
    </w:p>
    <w:p w14:paraId="0F10C040" w14:textId="77777777" w:rsidR="00EC4CB5" w:rsidRPr="00EC4CB5" w:rsidRDefault="00EC4CB5" w:rsidP="00EC4CB5">
      <w:pPr>
        <w:tabs>
          <w:tab w:val="left" w:pos="426"/>
        </w:tabs>
        <w:spacing w:line="360" w:lineRule="auto"/>
        <w:jc w:val="both"/>
        <w:rPr>
          <w:rFonts w:ascii="Century Gothic" w:hAnsi="Century Gothic" w:cs="Arial"/>
          <w:sz w:val="24"/>
          <w:szCs w:val="24"/>
        </w:rPr>
      </w:pPr>
    </w:p>
    <w:p w14:paraId="10AC2301" w14:textId="77777777" w:rsidR="00B40307" w:rsidRDefault="00EC4CB5" w:rsidP="00EC4CB5">
      <w:pPr>
        <w:numPr>
          <w:ilvl w:val="0"/>
          <w:numId w:val="3"/>
        </w:numPr>
        <w:tabs>
          <w:tab w:val="left" w:pos="426"/>
        </w:tabs>
        <w:spacing w:line="360" w:lineRule="auto"/>
        <w:ind w:left="0" w:firstLine="0"/>
        <w:jc w:val="both"/>
        <w:rPr>
          <w:rFonts w:ascii="Century Gothic" w:hAnsi="Century Gothic" w:cs="Arial"/>
          <w:sz w:val="24"/>
          <w:szCs w:val="24"/>
        </w:rPr>
      </w:pPr>
      <w:r w:rsidRPr="00EC4CB5">
        <w:rPr>
          <w:rFonts w:ascii="Century Gothic" w:hAnsi="Century Gothic" w:cs="Arial"/>
          <w:sz w:val="24"/>
          <w:szCs w:val="24"/>
        </w:rPr>
        <w:t>Con fundamento en lo anterior, sostuvo que no existían razones para declarar la nulidad del acto administrativo, ni se configuró causal alguna de falsa motivación de la resolución impugnada, así como ningún argumento para</w:t>
      </w:r>
      <w:r>
        <w:rPr>
          <w:rFonts w:ascii="Century Gothic" w:hAnsi="Century Gothic" w:cs="Arial"/>
          <w:sz w:val="24"/>
          <w:szCs w:val="24"/>
        </w:rPr>
        <w:t xml:space="preserve"> que </w:t>
      </w:r>
      <w:r w:rsidR="00517222">
        <w:rPr>
          <w:rFonts w:ascii="Century Gothic" w:hAnsi="Century Gothic" w:cs="Arial"/>
          <w:sz w:val="24"/>
          <w:szCs w:val="24"/>
        </w:rPr>
        <w:t xml:space="preserve">prosperaran </w:t>
      </w:r>
      <w:r>
        <w:rPr>
          <w:rFonts w:ascii="Century Gothic" w:hAnsi="Century Gothic" w:cs="Arial"/>
          <w:sz w:val="24"/>
          <w:szCs w:val="24"/>
        </w:rPr>
        <w:t>las pretensiones</w:t>
      </w:r>
      <w:r w:rsidRPr="00EC4CB5">
        <w:rPr>
          <w:rFonts w:ascii="Century Gothic" w:hAnsi="Century Gothic" w:cs="Arial"/>
          <w:sz w:val="24"/>
          <w:szCs w:val="24"/>
        </w:rPr>
        <w:t>.</w:t>
      </w:r>
    </w:p>
    <w:p w14:paraId="36C7A957" w14:textId="77777777" w:rsidR="00EC4CB5" w:rsidRDefault="00EC4CB5" w:rsidP="00EC4CB5">
      <w:pPr>
        <w:pStyle w:val="Prrafodelista"/>
        <w:rPr>
          <w:rFonts w:ascii="Century Gothic" w:hAnsi="Century Gothic" w:cs="Arial"/>
          <w:sz w:val="24"/>
          <w:szCs w:val="24"/>
        </w:rPr>
      </w:pPr>
    </w:p>
    <w:p w14:paraId="24B84F7D" w14:textId="77777777" w:rsidR="00807C57" w:rsidRDefault="00CC1A86" w:rsidP="00EC4CB5">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A su vez, l</w:t>
      </w:r>
      <w:r w:rsidR="00623978" w:rsidRPr="00C56B0C">
        <w:rPr>
          <w:rFonts w:ascii="Century Gothic" w:hAnsi="Century Gothic" w:cs="Arial"/>
          <w:sz w:val="24"/>
          <w:szCs w:val="24"/>
        </w:rPr>
        <w:t xml:space="preserve">a Dirección de Sanidad de la Policía Nacional </w:t>
      </w:r>
      <w:r w:rsidR="00623978" w:rsidRPr="00C56B0C">
        <w:rPr>
          <w:rFonts w:ascii="Century Gothic" w:hAnsi="Century Gothic" w:cs="Arial"/>
          <w:b/>
          <w:sz w:val="24"/>
          <w:szCs w:val="24"/>
        </w:rPr>
        <w:t>contestó la demanda</w:t>
      </w:r>
      <w:r w:rsidR="00FD4BA2" w:rsidRPr="0045189C">
        <w:rPr>
          <w:rStyle w:val="Refdenotaalpie"/>
          <w:rFonts w:ascii="Century Gothic" w:hAnsi="Century Gothic" w:cs="Arial"/>
          <w:sz w:val="24"/>
          <w:szCs w:val="24"/>
        </w:rPr>
        <w:footnoteReference w:id="7"/>
      </w:r>
      <w:r w:rsidR="00FD4BA2">
        <w:rPr>
          <w:rFonts w:ascii="Century Gothic" w:hAnsi="Century Gothic" w:cs="Arial"/>
          <w:sz w:val="24"/>
          <w:szCs w:val="24"/>
        </w:rPr>
        <w:t xml:space="preserve"> y se opuso a la totalidad de las pretensiones. </w:t>
      </w:r>
    </w:p>
    <w:p w14:paraId="4DCE42EE" w14:textId="77777777" w:rsidR="0045189C" w:rsidRDefault="0045189C" w:rsidP="0045189C">
      <w:pPr>
        <w:pStyle w:val="Prrafodelista"/>
        <w:rPr>
          <w:rFonts w:ascii="Century Gothic" w:hAnsi="Century Gothic" w:cs="Arial"/>
          <w:sz w:val="24"/>
          <w:szCs w:val="24"/>
        </w:rPr>
      </w:pPr>
    </w:p>
    <w:p w14:paraId="7CEA7A1A" w14:textId="77777777" w:rsidR="0045189C" w:rsidRDefault="0045189C" w:rsidP="00EC4CB5">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Señaló que, luego de la evaluación de las ofertas de acuerdo</w:t>
      </w:r>
      <w:r w:rsidR="00B217F3">
        <w:rPr>
          <w:rFonts w:ascii="Century Gothic" w:hAnsi="Century Gothic" w:cs="Arial"/>
          <w:sz w:val="24"/>
          <w:szCs w:val="24"/>
        </w:rPr>
        <w:t xml:space="preserve"> con</w:t>
      </w:r>
      <w:r>
        <w:rPr>
          <w:rFonts w:ascii="Century Gothic" w:hAnsi="Century Gothic" w:cs="Arial"/>
          <w:sz w:val="24"/>
          <w:szCs w:val="24"/>
        </w:rPr>
        <w:t xml:space="preserve"> los criterios establecidos en los términos de referencia, como resultado del análisis del Comité Econ</w:t>
      </w:r>
      <w:r w:rsidR="008F2929">
        <w:rPr>
          <w:rFonts w:ascii="Century Gothic" w:hAnsi="Century Gothic" w:cs="Arial"/>
          <w:sz w:val="24"/>
          <w:szCs w:val="24"/>
        </w:rPr>
        <w:t>ómico</w:t>
      </w:r>
      <w:r w:rsidR="00724835">
        <w:rPr>
          <w:rFonts w:ascii="Century Gothic" w:hAnsi="Century Gothic" w:cs="Arial"/>
          <w:sz w:val="24"/>
          <w:szCs w:val="24"/>
        </w:rPr>
        <w:t>,</w:t>
      </w:r>
      <w:r w:rsidR="008F2929">
        <w:rPr>
          <w:rFonts w:ascii="Century Gothic" w:hAnsi="Century Gothic" w:cs="Arial"/>
          <w:sz w:val="24"/>
          <w:szCs w:val="24"/>
        </w:rPr>
        <w:t xml:space="preserve"> y</w:t>
      </w:r>
      <w:r>
        <w:rPr>
          <w:rFonts w:ascii="Century Gothic" w:hAnsi="Century Gothic" w:cs="Arial"/>
          <w:sz w:val="24"/>
          <w:szCs w:val="24"/>
        </w:rPr>
        <w:t xml:space="preserve"> tras analizar las observaciones presentadas a la evaluación, se rechazó la oferta presenta por la UT RTS “</w:t>
      </w:r>
      <w:r w:rsidRPr="0045189C">
        <w:rPr>
          <w:rFonts w:ascii="Century Gothic" w:hAnsi="Century Gothic" w:cs="Arial"/>
          <w:i/>
          <w:sz w:val="24"/>
          <w:szCs w:val="24"/>
        </w:rPr>
        <w:t>por la inconsistencia en la información suministrada que impide ejecutar o continuar con la correspondiente verificación y evaluación financiera, como quiera que al no presentarse la uniformidad que debe existir entre los diferentes documentos que se allegan en una oferta y, para el caso particular, los de orden financiero, se dificulta e imposibilita el cumplimiento del principio de selección objetiva previsto en el artículo 29 de la Ley 80 de 1993</w:t>
      </w:r>
      <w:r>
        <w:rPr>
          <w:rFonts w:ascii="Century Gothic" w:hAnsi="Century Gothic" w:cs="Arial"/>
          <w:sz w:val="24"/>
          <w:szCs w:val="24"/>
        </w:rPr>
        <w:t xml:space="preserve">”. De manera que </w:t>
      </w:r>
      <w:r w:rsidR="007510D6">
        <w:rPr>
          <w:rFonts w:ascii="Century Gothic" w:hAnsi="Century Gothic" w:cs="Arial"/>
          <w:sz w:val="24"/>
          <w:szCs w:val="24"/>
        </w:rPr>
        <w:t xml:space="preserve">la propuesta de </w:t>
      </w:r>
      <w:r>
        <w:rPr>
          <w:rFonts w:ascii="Century Gothic" w:hAnsi="Century Gothic" w:cs="Arial"/>
          <w:sz w:val="24"/>
          <w:szCs w:val="24"/>
        </w:rPr>
        <w:t xml:space="preserve">RTS no fue rechazada por la no presentación del balance general con corte a 31 de diciembre de 2004, sino por las inconsistencias en la información suministrada. </w:t>
      </w:r>
    </w:p>
    <w:p w14:paraId="4A5B28E3" w14:textId="77777777" w:rsidR="0045189C" w:rsidRDefault="0045189C" w:rsidP="0045189C">
      <w:pPr>
        <w:pStyle w:val="Prrafodelista"/>
        <w:rPr>
          <w:rFonts w:ascii="Century Gothic" w:hAnsi="Century Gothic" w:cs="Arial"/>
          <w:sz w:val="24"/>
          <w:szCs w:val="24"/>
        </w:rPr>
      </w:pPr>
    </w:p>
    <w:p w14:paraId="263C669B" w14:textId="77777777" w:rsidR="0045189C" w:rsidRDefault="008F2929" w:rsidP="00EC4CB5">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Concluyó, entonces,</w:t>
      </w:r>
      <w:r w:rsidR="0045189C">
        <w:rPr>
          <w:rFonts w:ascii="Century Gothic" w:hAnsi="Century Gothic" w:cs="Arial"/>
          <w:sz w:val="24"/>
          <w:szCs w:val="24"/>
        </w:rPr>
        <w:t xml:space="preserve"> que la información presentada no permitía tener certeza sobre </w:t>
      </w:r>
      <w:r>
        <w:rPr>
          <w:rFonts w:ascii="Century Gothic" w:hAnsi="Century Gothic" w:cs="Arial"/>
          <w:sz w:val="24"/>
          <w:szCs w:val="24"/>
        </w:rPr>
        <w:t>la veracidad de los datos consignados en los estados financieros de la UT RTS.</w:t>
      </w:r>
    </w:p>
    <w:p w14:paraId="76390F7D" w14:textId="77777777" w:rsidR="008F2929" w:rsidRDefault="008F2929" w:rsidP="008F2929">
      <w:pPr>
        <w:pStyle w:val="Prrafodelista"/>
        <w:rPr>
          <w:rFonts w:ascii="Century Gothic" w:hAnsi="Century Gothic" w:cs="Arial"/>
          <w:sz w:val="24"/>
          <w:szCs w:val="24"/>
        </w:rPr>
      </w:pPr>
    </w:p>
    <w:p w14:paraId="06141DAF" w14:textId="77777777" w:rsidR="00C56B0C" w:rsidRDefault="008F2929" w:rsidP="00C56B0C">
      <w:pPr>
        <w:numPr>
          <w:ilvl w:val="0"/>
          <w:numId w:val="3"/>
        </w:numPr>
        <w:tabs>
          <w:tab w:val="left" w:pos="426"/>
        </w:tabs>
        <w:spacing w:line="360" w:lineRule="auto"/>
        <w:ind w:left="0" w:firstLine="0"/>
        <w:jc w:val="both"/>
        <w:rPr>
          <w:rFonts w:ascii="Century Gothic" w:hAnsi="Century Gothic" w:cs="Arial"/>
          <w:sz w:val="24"/>
          <w:szCs w:val="24"/>
        </w:rPr>
      </w:pPr>
      <w:r w:rsidRPr="008F2929">
        <w:rPr>
          <w:rFonts w:ascii="Century Gothic" w:hAnsi="Century Gothic" w:cs="Arial"/>
          <w:sz w:val="24"/>
          <w:szCs w:val="24"/>
        </w:rPr>
        <w:t xml:space="preserve">Finalmente, sostuvo que la Resolución 394 de 2005 se motivó adecuadamente, </w:t>
      </w:r>
      <w:r w:rsidR="00B217F3">
        <w:rPr>
          <w:rFonts w:ascii="Century Gothic" w:hAnsi="Century Gothic" w:cs="Arial"/>
          <w:sz w:val="24"/>
          <w:szCs w:val="24"/>
        </w:rPr>
        <w:t>ya</w:t>
      </w:r>
      <w:r w:rsidRPr="008F2929">
        <w:rPr>
          <w:rFonts w:ascii="Century Gothic" w:hAnsi="Century Gothic" w:cs="Arial"/>
          <w:sz w:val="24"/>
          <w:szCs w:val="24"/>
        </w:rPr>
        <w:t xml:space="preserve"> que en ella se incorporaron las evaluaciones efectuadas por el Comité de Evaluación y de la Junta Asesora de Contratación, de acuerdo con las reglas del proceso de selección</w:t>
      </w:r>
      <w:r>
        <w:rPr>
          <w:rFonts w:ascii="Century Gothic" w:hAnsi="Century Gothic" w:cs="Arial"/>
          <w:sz w:val="24"/>
          <w:szCs w:val="24"/>
        </w:rPr>
        <w:t>.</w:t>
      </w:r>
    </w:p>
    <w:p w14:paraId="4CC36C02" w14:textId="77777777" w:rsidR="008F2929" w:rsidRPr="008F2929" w:rsidRDefault="008F2929" w:rsidP="008F2929">
      <w:pPr>
        <w:tabs>
          <w:tab w:val="left" w:pos="426"/>
        </w:tabs>
        <w:spacing w:line="360" w:lineRule="auto"/>
        <w:jc w:val="both"/>
        <w:rPr>
          <w:rFonts w:ascii="Century Gothic" w:hAnsi="Century Gothic" w:cs="Arial"/>
          <w:sz w:val="24"/>
          <w:szCs w:val="24"/>
        </w:rPr>
      </w:pPr>
    </w:p>
    <w:p w14:paraId="001373BA" w14:textId="77777777" w:rsidR="00533714" w:rsidRDefault="00C56B0C" w:rsidP="00533714">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El 17 de marzo de 2010 el Tribunal Administrativo de Cundinamarca, Sección Tercera, Subsección B, profirió </w:t>
      </w:r>
      <w:r w:rsidRPr="00C56B0C">
        <w:rPr>
          <w:rFonts w:ascii="Century Gothic" w:hAnsi="Century Gothic" w:cs="Arial"/>
          <w:b/>
          <w:sz w:val="24"/>
          <w:szCs w:val="24"/>
        </w:rPr>
        <w:t>sentencia de primera instancia</w:t>
      </w:r>
      <w:r w:rsidR="00533714" w:rsidRPr="00186E19">
        <w:rPr>
          <w:rStyle w:val="Refdenotaalpie"/>
          <w:rFonts w:ascii="Century Gothic" w:hAnsi="Century Gothic" w:cs="Arial"/>
          <w:sz w:val="24"/>
          <w:szCs w:val="24"/>
        </w:rPr>
        <w:footnoteReference w:id="8"/>
      </w:r>
      <w:r w:rsidR="00533714" w:rsidRPr="00186E19">
        <w:rPr>
          <w:rFonts w:ascii="Century Gothic" w:hAnsi="Century Gothic" w:cs="Arial"/>
          <w:sz w:val="24"/>
          <w:szCs w:val="24"/>
        </w:rPr>
        <w:t xml:space="preserve"> </w:t>
      </w:r>
      <w:r w:rsidR="00533714">
        <w:rPr>
          <w:rFonts w:ascii="Century Gothic" w:hAnsi="Century Gothic" w:cs="Arial"/>
          <w:sz w:val="24"/>
          <w:szCs w:val="24"/>
        </w:rPr>
        <w:lastRenderedPageBreak/>
        <w:t>mediante la cual se resolvió: 1) declarar la nulidad parcial de la Resolución 394 de 26 de julio de 2005, mediante la cual la Dirección de Sanidad de la Policía Nacional adjudicó la contratación directa 017-DISAN-2005 a la firma Fresen</w:t>
      </w:r>
      <w:r w:rsidR="001F325B">
        <w:rPr>
          <w:rFonts w:ascii="Century Gothic" w:hAnsi="Century Gothic" w:cs="Arial"/>
          <w:sz w:val="24"/>
          <w:szCs w:val="24"/>
        </w:rPr>
        <w:t xml:space="preserve">ius Medical </w:t>
      </w:r>
      <w:proofErr w:type="spellStart"/>
      <w:r w:rsidR="001F325B">
        <w:rPr>
          <w:rFonts w:ascii="Century Gothic" w:hAnsi="Century Gothic" w:cs="Arial"/>
          <w:sz w:val="24"/>
          <w:szCs w:val="24"/>
        </w:rPr>
        <w:t>Care</w:t>
      </w:r>
      <w:proofErr w:type="spellEnd"/>
      <w:r w:rsidR="001F325B">
        <w:rPr>
          <w:rFonts w:ascii="Century Gothic" w:hAnsi="Century Gothic" w:cs="Arial"/>
          <w:sz w:val="24"/>
          <w:szCs w:val="24"/>
        </w:rPr>
        <w:t xml:space="preserve"> S.A.; 2) ordenar</w:t>
      </w:r>
      <w:r w:rsidR="00533714">
        <w:rPr>
          <w:rFonts w:ascii="Century Gothic" w:hAnsi="Century Gothic" w:cs="Arial"/>
          <w:sz w:val="24"/>
          <w:szCs w:val="24"/>
        </w:rPr>
        <w:t xml:space="preserve"> a la Nación </w:t>
      </w:r>
      <w:r w:rsidR="0045189C">
        <w:rPr>
          <w:rFonts w:ascii="Century Gothic" w:hAnsi="Century Gothic" w:cs="Arial"/>
          <w:sz w:val="24"/>
          <w:szCs w:val="24"/>
        </w:rPr>
        <w:t>– Ministerio de Defensa Nacional</w:t>
      </w:r>
      <w:r w:rsidR="00533714">
        <w:rPr>
          <w:rFonts w:ascii="Century Gothic" w:hAnsi="Century Gothic" w:cs="Arial"/>
          <w:sz w:val="24"/>
          <w:szCs w:val="24"/>
        </w:rPr>
        <w:t xml:space="preserve"> – Policía Nacional – Direccíón de Sanidad, pagar la suma de 254.604.546; 3) declarar la nulidad parcial del contrato ; 4) negar las demás pretensiones.</w:t>
      </w:r>
    </w:p>
    <w:p w14:paraId="054B68BC" w14:textId="77777777" w:rsidR="00533714" w:rsidRDefault="00533714" w:rsidP="00533714">
      <w:pPr>
        <w:pStyle w:val="Prrafodelista"/>
        <w:rPr>
          <w:rFonts w:ascii="Century Gothic" w:hAnsi="Century Gothic" w:cs="Arial"/>
          <w:sz w:val="24"/>
          <w:szCs w:val="24"/>
        </w:rPr>
      </w:pPr>
    </w:p>
    <w:p w14:paraId="38FDB6AF" w14:textId="77777777" w:rsidR="00F75F9C" w:rsidRDefault="00533714" w:rsidP="00F75F9C">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Para arribar a las anterio</w:t>
      </w:r>
      <w:r w:rsidR="00280303">
        <w:rPr>
          <w:rFonts w:ascii="Century Gothic" w:hAnsi="Century Gothic" w:cs="Arial"/>
          <w:sz w:val="24"/>
          <w:szCs w:val="24"/>
        </w:rPr>
        <w:t>res conclusiones el juzgador de primera instancia consideró que el cargo de falsa motivación estaba llamado a prosperar parcialmente pues, aunque era verdad que los datos del balance general presentados con la propuesta y los datos reportados por la Cámara de Comercio no coincidían,</w:t>
      </w:r>
      <w:r w:rsidR="00F75F9C">
        <w:rPr>
          <w:rFonts w:ascii="Century Gothic" w:hAnsi="Century Gothic" w:cs="Arial"/>
          <w:sz w:val="24"/>
          <w:szCs w:val="24"/>
        </w:rPr>
        <w:t xml:space="preserve"> en realidad (se trascribe):</w:t>
      </w:r>
      <w:r w:rsidR="00280303">
        <w:rPr>
          <w:rFonts w:ascii="Century Gothic" w:hAnsi="Century Gothic" w:cs="Arial"/>
          <w:sz w:val="24"/>
          <w:szCs w:val="24"/>
        </w:rPr>
        <w:t xml:space="preserve"> </w:t>
      </w:r>
    </w:p>
    <w:p w14:paraId="78563C85" w14:textId="77777777" w:rsidR="00F75F9C" w:rsidRDefault="00F75F9C" w:rsidP="00F75F9C">
      <w:pPr>
        <w:pStyle w:val="Prrafodelista"/>
        <w:rPr>
          <w:rFonts w:ascii="Century Gothic" w:hAnsi="Century Gothic" w:cs="Arial"/>
          <w:sz w:val="24"/>
          <w:szCs w:val="24"/>
        </w:rPr>
      </w:pPr>
    </w:p>
    <w:p w14:paraId="1F5CA5FE" w14:textId="77777777" w:rsidR="00533714" w:rsidRPr="00F75F9C" w:rsidRDefault="00280303" w:rsidP="00F75F9C">
      <w:pPr>
        <w:tabs>
          <w:tab w:val="left" w:pos="426"/>
        </w:tabs>
        <w:ind w:left="851" w:right="618"/>
        <w:jc w:val="both"/>
        <w:rPr>
          <w:rFonts w:ascii="Century Gothic" w:hAnsi="Century Gothic" w:cs="Arial"/>
          <w:i/>
        </w:rPr>
      </w:pPr>
      <w:r w:rsidRPr="00F75F9C">
        <w:rPr>
          <w:rFonts w:ascii="Century Gothic" w:hAnsi="Century Gothic" w:cs="Arial"/>
          <w:i/>
        </w:rPr>
        <w:t>“los presentados ante la entidad gozan de presunción de veracidad, pues la información en él contenida fue certificada y dictaminada por el representante legal, el revisor fiscal y la contadora de la firma RTS limitada</w:t>
      </w:r>
      <w:r w:rsidR="00FE5B92" w:rsidRPr="00F75F9C">
        <w:rPr>
          <w:rFonts w:ascii="Century Gothic" w:hAnsi="Century Gothic" w:cs="Arial"/>
          <w:i/>
        </w:rPr>
        <w:t xml:space="preserve"> (…) por el contrario, los datos que se leen en el </w:t>
      </w:r>
      <w:r w:rsidR="00777EA4">
        <w:rPr>
          <w:rFonts w:ascii="Century Gothic" w:hAnsi="Century Gothic" w:cs="Arial"/>
          <w:i/>
        </w:rPr>
        <w:t>docu</w:t>
      </w:r>
      <w:r w:rsidR="00FE5B92" w:rsidRPr="00F75F9C">
        <w:rPr>
          <w:rFonts w:ascii="Century Gothic" w:hAnsi="Century Gothic" w:cs="Arial"/>
          <w:i/>
        </w:rPr>
        <w:t>mento de la Cámara de Comercio, no corresponden al balance general que presentó la firma RTS limitada para renovar su matrícula mercantil, sino es un pantallazo del sistema informático de la Cámara, y a simple se vista se observa que las cifras de uno y otro documento se diferencia en miles de millones de pesos, lo que conduce a pensar que al momento de digitar la información en la Cámara de Comercio, se pudieron cometer errores que no son posibles determinar</w:t>
      </w:r>
      <w:r w:rsidR="00F75F9C" w:rsidRPr="00F75F9C">
        <w:rPr>
          <w:rFonts w:ascii="Century Gothic" w:hAnsi="Century Gothic" w:cs="Arial"/>
          <w:i/>
        </w:rPr>
        <w:t>, pues al proceso no se aportó el balance general entregado por RTS limitada a la Cámara de Comercio, que finalmente es el que daría certeza de la información digitada”</w:t>
      </w:r>
      <w:r w:rsidR="00F75F9C" w:rsidRPr="00F75F9C">
        <w:rPr>
          <w:rStyle w:val="Refdenotaalpie"/>
          <w:rFonts w:ascii="Century Gothic" w:hAnsi="Century Gothic" w:cs="Arial"/>
          <w:i/>
        </w:rPr>
        <w:footnoteReference w:id="9"/>
      </w:r>
      <w:r w:rsidR="00F75F9C" w:rsidRPr="00F75F9C">
        <w:rPr>
          <w:rFonts w:ascii="Century Gothic" w:hAnsi="Century Gothic" w:cs="Arial"/>
          <w:i/>
        </w:rPr>
        <w:t>.</w:t>
      </w:r>
    </w:p>
    <w:p w14:paraId="4058B580" w14:textId="77777777" w:rsidR="00F75F9C" w:rsidRDefault="00F75F9C" w:rsidP="00F75F9C">
      <w:pPr>
        <w:pStyle w:val="Prrafodelista"/>
        <w:rPr>
          <w:rFonts w:ascii="Century Gothic" w:hAnsi="Century Gothic" w:cs="Arial"/>
          <w:sz w:val="24"/>
          <w:szCs w:val="24"/>
        </w:rPr>
      </w:pPr>
    </w:p>
    <w:p w14:paraId="2637BA21" w14:textId="77777777" w:rsidR="00F75F9C" w:rsidRDefault="00DA7455" w:rsidP="00F75F9C">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En conclusión del Tribunal, el </w:t>
      </w:r>
      <w:r w:rsidR="00A97116">
        <w:rPr>
          <w:rFonts w:ascii="Century Gothic" w:hAnsi="Century Gothic" w:cs="Arial"/>
          <w:sz w:val="24"/>
          <w:szCs w:val="24"/>
        </w:rPr>
        <w:t>proponente debió ser calificado,</w:t>
      </w:r>
      <w:r>
        <w:rPr>
          <w:rFonts w:ascii="Century Gothic" w:hAnsi="Century Gothic" w:cs="Arial"/>
          <w:sz w:val="24"/>
          <w:szCs w:val="24"/>
        </w:rPr>
        <w:t xml:space="preserve"> pues, si </w:t>
      </w:r>
      <w:r w:rsidR="00DC022D">
        <w:rPr>
          <w:rFonts w:ascii="Century Gothic" w:hAnsi="Century Gothic" w:cs="Arial"/>
          <w:sz w:val="24"/>
          <w:szCs w:val="24"/>
        </w:rPr>
        <w:t>“</w:t>
      </w:r>
      <w:r w:rsidR="00DC022D" w:rsidRPr="00DF0C38">
        <w:rPr>
          <w:rFonts w:ascii="Century Gothic" w:hAnsi="Century Gothic" w:cs="Arial"/>
          <w:i/>
          <w:sz w:val="24"/>
          <w:szCs w:val="24"/>
        </w:rPr>
        <w:t xml:space="preserve">la entidad pretendió desvirtuar la presunción de veracidad del balance general presentado por RTS limitada, debió haber hecho uso de los medios idóneos para ello, esto es, verificando los libros de contabilidad </w:t>
      </w:r>
      <w:r w:rsidR="007510D6">
        <w:rPr>
          <w:rFonts w:ascii="Century Gothic" w:hAnsi="Century Gothic" w:cs="Arial"/>
          <w:i/>
          <w:sz w:val="24"/>
          <w:szCs w:val="24"/>
        </w:rPr>
        <w:t>d</w:t>
      </w:r>
      <w:r w:rsidR="00DC022D" w:rsidRPr="00DF0C38">
        <w:rPr>
          <w:rFonts w:ascii="Century Gothic" w:hAnsi="Century Gothic" w:cs="Arial"/>
          <w:i/>
          <w:sz w:val="24"/>
          <w:szCs w:val="24"/>
        </w:rPr>
        <w:t>el proponente para saber si se ajustaban o no a lo cuantificado en los balances finales</w:t>
      </w:r>
      <w:r w:rsidR="00DF0C38">
        <w:rPr>
          <w:rFonts w:ascii="Century Gothic" w:hAnsi="Century Gothic" w:cs="Arial"/>
          <w:sz w:val="24"/>
          <w:szCs w:val="24"/>
        </w:rPr>
        <w:t>".</w:t>
      </w:r>
    </w:p>
    <w:p w14:paraId="42EC5A88" w14:textId="77777777" w:rsidR="00DF0C38" w:rsidRDefault="00DF0C38" w:rsidP="00DF0C38">
      <w:pPr>
        <w:tabs>
          <w:tab w:val="left" w:pos="426"/>
        </w:tabs>
        <w:spacing w:line="360" w:lineRule="auto"/>
        <w:jc w:val="both"/>
        <w:rPr>
          <w:rFonts w:ascii="Century Gothic" w:hAnsi="Century Gothic" w:cs="Arial"/>
          <w:sz w:val="24"/>
          <w:szCs w:val="24"/>
        </w:rPr>
      </w:pPr>
    </w:p>
    <w:p w14:paraId="0059E562" w14:textId="77777777" w:rsidR="00DF0C38" w:rsidRDefault="00DF0C38" w:rsidP="00F75F9C">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A continuación, luego de señalar que no se había aportado la propuesta de la firma Fresenius Medical </w:t>
      </w:r>
      <w:proofErr w:type="spellStart"/>
      <w:r>
        <w:rPr>
          <w:rFonts w:ascii="Century Gothic" w:hAnsi="Century Gothic" w:cs="Arial"/>
          <w:sz w:val="24"/>
          <w:szCs w:val="24"/>
        </w:rPr>
        <w:t>Care</w:t>
      </w:r>
      <w:proofErr w:type="spellEnd"/>
      <w:r>
        <w:rPr>
          <w:rFonts w:ascii="Century Gothic" w:hAnsi="Century Gothic" w:cs="Arial"/>
          <w:sz w:val="24"/>
          <w:szCs w:val="24"/>
        </w:rPr>
        <w:t xml:space="preserve">, lo que hubiera permitido realizar la comparación de las propuestas en el aspecto técnico, consideró que </w:t>
      </w:r>
      <w:r>
        <w:rPr>
          <w:rFonts w:ascii="Century Gothic" w:hAnsi="Century Gothic" w:cs="Arial"/>
          <w:sz w:val="24"/>
          <w:szCs w:val="24"/>
        </w:rPr>
        <w:lastRenderedPageBreak/>
        <w:t>estaba probada, producto de una aclaración al dictamen</w:t>
      </w:r>
      <w:r w:rsidR="00A043D3">
        <w:rPr>
          <w:rFonts w:ascii="Century Gothic" w:hAnsi="Century Gothic" w:cs="Arial"/>
          <w:sz w:val="24"/>
          <w:szCs w:val="24"/>
        </w:rPr>
        <w:t xml:space="preserve"> practicado</w:t>
      </w:r>
      <w:r>
        <w:rPr>
          <w:rFonts w:ascii="Century Gothic" w:hAnsi="Century Gothic" w:cs="Arial"/>
          <w:sz w:val="24"/>
          <w:szCs w:val="24"/>
        </w:rPr>
        <w:t>, la calificación que debió ser realizada por la entidad.</w:t>
      </w:r>
    </w:p>
    <w:p w14:paraId="13C18924" w14:textId="77777777" w:rsidR="00DF0C38" w:rsidRDefault="00DF0C38" w:rsidP="00DF0C38">
      <w:pPr>
        <w:pStyle w:val="Prrafodelista"/>
        <w:rPr>
          <w:rFonts w:ascii="Century Gothic" w:hAnsi="Century Gothic" w:cs="Arial"/>
          <w:sz w:val="24"/>
          <w:szCs w:val="24"/>
        </w:rPr>
      </w:pPr>
    </w:p>
    <w:p w14:paraId="02B6E7D3" w14:textId="77777777" w:rsidR="00B20583" w:rsidRDefault="00DF0C38" w:rsidP="00F75F9C">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Como, en todo caso, RTS limitada no cumplía los requisitos para todas las ciudades en la que se debía prestar el servicio, sino solo para algunas de ellas, y en el entendimiento de “</w:t>
      </w:r>
      <w:r w:rsidRPr="00777EA4">
        <w:rPr>
          <w:rFonts w:ascii="Century Gothic" w:hAnsi="Century Gothic" w:cs="Arial"/>
          <w:i/>
          <w:sz w:val="24"/>
          <w:szCs w:val="24"/>
        </w:rPr>
        <w:t>que los términos de referencia admitían adjudicar parcialmente la propuesta</w:t>
      </w:r>
      <w:r>
        <w:rPr>
          <w:rFonts w:ascii="Century Gothic" w:hAnsi="Century Gothic" w:cs="Arial"/>
          <w:sz w:val="24"/>
          <w:szCs w:val="24"/>
        </w:rPr>
        <w:t>”, el Tribunal concluy</w:t>
      </w:r>
      <w:r w:rsidR="00B20583">
        <w:rPr>
          <w:rFonts w:ascii="Century Gothic" w:hAnsi="Century Gothic" w:cs="Arial"/>
          <w:sz w:val="24"/>
          <w:szCs w:val="24"/>
        </w:rPr>
        <w:t>ó</w:t>
      </w:r>
      <w:r w:rsidR="007510D6">
        <w:rPr>
          <w:rFonts w:ascii="Century Gothic" w:hAnsi="Century Gothic" w:cs="Arial"/>
          <w:sz w:val="24"/>
          <w:szCs w:val="24"/>
        </w:rPr>
        <w:t xml:space="preserve"> </w:t>
      </w:r>
      <w:r w:rsidR="00B20583">
        <w:rPr>
          <w:rFonts w:ascii="Century Gothic" w:hAnsi="Century Gothic" w:cs="Arial"/>
          <w:sz w:val="24"/>
          <w:szCs w:val="24"/>
        </w:rPr>
        <w:t>(se trascribe):</w:t>
      </w:r>
    </w:p>
    <w:p w14:paraId="3DE83EE8" w14:textId="77777777" w:rsidR="00B20583" w:rsidRDefault="00B20583" w:rsidP="00B20583">
      <w:pPr>
        <w:pStyle w:val="Prrafodelista"/>
        <w:rPr>
          <w:rFonts w:ascii="Century Gothic" w:hAnsi="Century Gothic" w:cs="Arial"/>
          <w:sz w:val="24"/>
          <w:szCs w:val="24"/>
        </w:rPr>
      </w:pPr>
    </w:p>
    <w:p w14:paraId="11C23198" w14:textId="77777777" w:rsidR="00DF0C38" w:rsidRDefault="00DF0C38" w:rsidP="00B20583">
      <w:pPr>
        <w:tabs>
          <w:tab w:val="left" w:pos="426"/>
        </w:tabs>
        <w:ind w:left="851" w:right="618"/>
        <w:jc w:val="both"/>
        <w:rPr>
          <w:rFonts w:ascii="Century Gothic" w:hAnsi="Century Gothic" w:cs="Arial"/>
          <w:i/>
          <w:sz w:val="24"/>
          <w:szCs w:val="24"/>
        </w:rPr>
      </w:pPr>
      <w:r w:rsidRPr="00B20583">
        <w:rPr>
          <w:rFonts w:ascii="Century Gothic" w:hAnsi="Century Gothic" w:cs="Arial"/>
          <w:i/>
          <w:sz w:val="24"/>
          <w:szCs w:val="24"/>
        </w:rPr>
        <w:t xml:space="preserve">“de haberse calificado la propuesta de la unión temporal demandante en el aspecto económico y financiero, ésta hubiera obtenido el mayor puntaje para la prestación del servicio para la atención integral ambulatoria y hospitalaria del paciente con insuficiencia renal, aguda o crónica en las ciudades de Sincelejo, Montería, Ibagué, Pereira, Cali, Barranquilla y Medellín; y si bien es cierto no se probó que la utilidad dejada de percibir ascendía al porcentaje del 26.5%, la </w:t>
      </w:r>
      <w:r w:rsidR="00B20583" w:rsidRPr="00B20583">
        <w:rPr>
          <w:rFonts w:ascii="Century Gothic" w:hAnsi="Century Gothic" w:cs="Arial"/>
          <w:i/>
          <w:sz w:val="24"/>
          <w:szCs w:val="24"/>
        </w:rPr>
        <w:t>póliza</w:t>
      </w:r>
      <w:r w:rsidRPr="00B20583">
        <w:rPr>
          <w:rFonts w:ascii="Century Gothic" w:hAnsi="Century Gothic" w:cs="Arial"/>
          <w:i/>
          <w:sz w:val="24"/>
          <w:szCs w:val="24"/>
        </w:rPr>
        <w:t xml:space="preserve"> de garantía de seriedad de la oferta obligaba i</w:t>
      </w:r>
      <w:r w:rsidR="00B20583" w:rsidRPr="00B20583">
        <w:rPr>
          <w:rFonts w:ascii="Century Gothic" w:hAnsi="Century Gothic" w:cs="Arial"/>
          <w:i/>
          <w:sz w:val="24"/>
          <w:szCs w:val="24"/>
        </w:rPr>
        <w:t>gualmente a la entidad a garantizar la seriedad al momento de calificar las propuestas (…) por lo que la Sala considera que se deber</w:t>
      </w:r>
      <w:r w:rsidR="00B20583">
        <w:rPr>
          <w:rFonts w:ascii="Century Gothic" w:hAnsi="Century Gothic" w:cs="Arial"/>
          <w:i/>
          <w:sz w:val="24"/>
          <w:szCs w:val="24"/>
        </w:rPr>
        <w:t xml:space="preserve">án liquidar </w:t>
      </w:r>
      <w:r w:rsidR="00B20583" w:rsidRPr="00B20583">
        <w:rPr>
          <w:rFonts w:ascii="Century Gothic" w:hAnsi="Century Gothic" w:cs="Arial"/>
          <w:i/>
          <w:sz w:val="24"/>
          <w:szCs w:val="24"/>
        </w:rPr>
        <w:t>los perjuicios, de acuerdo al porcentaje señalado en la póliza, es decir sobre el 10%”</w:t>
      </w:r>
      <w:r w:rsidR="00777EA4">
        <w:rPr>
          <w:rFonts w:ascii="Century Gothic" w:hAnsi="Century Gothic" w:cs="Arial"/>
          <w:i/>
          <w:sz w:val="24"/>
          <w:szCs w:val="24"/>
        </w:rPr>
        <w:t>.</w:t>
      </w:r>
    </w:p>
    <w:p w14:paraId="61F552B5" w14:textId="77777777" w:rsidR="008822D6" w:rsidRPr="00B20583" w:rsidRDefault="008822D6" w:rsidP="008822D6">
      <w:pPr>
        <w:tabs>
          <w:tab w:val="left" w:pos="426"/>
        </w:tabs>
        <w:ind w:right="618"/>
        <w:jc w:val="both"/>
        <w:rPr>
          <w:rFonts w:ascii="Century Gothic" w:hAnsi="Century Gothic" w:cs="Arial"/>
          <w:i/>
          <w:sz w:val="24"/>
          <w:szCs w:val="24"/>
        </w:rPr>
      </w:pPr>
    </w:p>
    <w:p w14:paraId="1B72D654" w14:textId="77777777" w:rsidR="00B20583" w:rsidRDefault="00B20583" w:rsidP="00B20583">
      <w:pPr>
        <w:pStyle w:val="Prrafodelista"/>
        <w:rPr>
          <w:rFonts w:ascii="Century Gothic" w:hAnsi="Century Gothic" w:cs="Arial"/>
          <w:sz w:val="24"/>
          <w:szCs w:val="24"/>
        </w:rPr>
      </w:pPr>
    </w:p>
    <w:p w14:paraId="1F950F90" w14:textId="77777777" w:rsidR="00F75F9C" w:rsidRDefault="0073090D" w:rsidP="00F75F9C">
      <w:pPr>
        <w:numPr>
          <w:ilvl w:val="0"/>
          <w:numId w:val="3"/>
        </w:numPr>
        <w:tabs>
          <w:tab w:val="left" w:pos="426"/>
        </w:tabs>
        <w:spacing w:line="360" w:lineRule="auto"/>
        <w:ind w:left="0" w:firstLine="0"/>
        <w:jc w:val="both"/>
        <w:rPr>
          <w:rFonts w:ascii="Century Gothic" w:hAnsi="Century Gothic" w:cs="Arial"/>
          <w:sz w:val="24"/>
          <w:szCs w:val="24"/>
        </w:rPr>
      </w:pPr>
      <w:r w:rsidRPr="00042163">
        <w:rPr>
          <w:rFonts w:ascii="Century Gothic" w:hAnsi="Century Gothic" w:cs="Arial"/>
          <w:sz w:val="24"/>
          <w:szCs w:val="24"/>
        </w:rPr>
        <w:t>Finalmente, d</w:t>
      </w:r>
      <w:r w:rsidR="00B20583" w:rsidRPr="00042163">
        <w:rPr>
          <w:rFonts w:ascii="Century Gothic" w:hAnsi="Century Gothic" w:cs="Arial"/>
          <w:sz w:val="24"/>
          <w:szCs w:val="24"/>
        </w:rPr>
        <w:t>eclaró la nulidad</w:t>
      </w:r>
      <w:r w:rsidRPr="00042163">
        <w:rPr>
          <w:rFonts w:ascii="Century Gothic" w:hAnsi="Century Gothic" w:cs="Arial"/>
          <w:sz w:val="24"/>
          <w:szCs w:val="24"/>
        </w:rPr>
        <w:t xml:space="preserve"> parcial del contrato, sobre el que, a pesar de haberse terminado </w:t>
      </w:r>
      <w:r w:rsidR="007510D6" w:rsidRPr="00042163">
        <w:rPr>
          <w:rFonts w:ascii="Century Gothic" w:hAnsi="Century Gothic" w:cs="Arial"/>
          <w:sz w:val="24"/>
          <w:szCs w:val="24"/>
        </w:rPr>
        <w:t>su ejecución, se hacía necesaria</w:t>
      </w:r>
      <w:r w:rsidRPr="00042163">
        <w:rPr>
          <w:rFonts w:ascii="Century Gothic" w:hAnsi="Century Gothic" w:cs="Arial"/>
          <w:sz w:val="24"/>
          <w:szCs w:val="24"/>
        </w:rPr>
        <w:t xml:space="preserve"> </w:t>
      </w:r>
      <w:r w:rsidR="00DD6ED2" w:rsidRPr="00042163">
        <w:rPr>
          <w:rFonts w:ascii="Century Gothic" w:hAnsi="Century Gothic" w:cs="Arial"/>
          <w:sz w:val="24"/>
          <w:szCs w:val="24"/>
        </w:rPr>
        <w:t>dicha declaratoria</w:t>
      </w:r>
      <w:r w:rsidRPr="00042163">
        <w:rPr>
          <w:rFonts w:ascii="Century Gothic" w:hAnsi="Century Gothic" w:cs="Arial"/>
          <w:sz w:val="24"/>
          <w:szCs w:val="24"/>
        </w:rPr>
        <w:t xml:space="preserve"> respecto de las ciudades en las que, en su entender, debió habérsele adjudicado el contrato a RTS</w:t>
      </w:r>
      <w:r>
        <w:rPr>
          <w:rFonts w:ascii="Century Gothic" w:hAnsi="Century Gothic" w:cs="Arial"/>
          <w:sz w:val="24"/>
          <w:szCs w:val="24"/>
        </w:rPr>
        <w:t xml:space="preserve"> limitada, “</w:t>
      </w:r>
      <w:r w:rsidRPr="0073090D">
        <w:rPr>
          <w:rFonts w:ascii="Century Gothic" w:hAnsi="Century Gothic" w:cs="Arial"/>
          <w:i/>
          <w:sz w:val="24"/>
          <w:szCs w:val="24"/>
        </w:rPr>
        <w:t xml:space="preserve">pues la firma Fresenius Medical </w:t>
      </w:r>
      <w:proofErr w:type="spellStart"/>
      <w:r w:rsidRPr="0073090D">
        <w:rPr>
          <w:rFonts w:ascii="Century Gothic" w:hAnsi="Century Gothic" w:cs="Arial"/>
          <w:i/>
          <w:sz w:val="24"/>
          <w:szCs w:val="24"/>
        </w:rPr>
        <w:t>Care</w:t>
      </w:r>
      <w:proofErr w:type="spellEnd"/>
      <w:r w:rsidRPr="0073090D">
        <w:rPr>
          <w:rFonts w:ascii="Century Gothic" w:hAnsi="Century Gothic" w:cs="Arial"/>
          <w:i/>
          <w:sz w:val="24"/>
          <w:szCs w:val="24"/>
        </w:rPr>
        <w:t xml:space="preserve"> S.A. no puede favorecerse de una experiencia a la cual no tenía derecho</w:t>
      </w:r>
      <w:r>
        <w:rPr>
          <w:rFonts w:ascii="Century Gothic" w:hAnsi="Century Gothic" w:cs="Arial"/>
          <w:sz w:val="24"/>
          <w:szCs w:val="24"/>
        </w:rPr>
        <w:t>”.</w:t>
      </w:r>
    </w:p>
    <w:p w14:paraId="3482BFE2" w14:textId="77777777" w:rsidR="008822D6" w:rsidRDefault="008822D6" w:rsidP="008822D6">
      <w:pPr>
        <w:tabs>
          <w:tab w:val="left" w:pos="426"/>
        </w:tabs>
        <w:spacing w:line="360" w:lineRule="auto"/>
        <w:jc w:val="both"/>
        <w:rPr>
          <w:rFonts w:ascii="Century Gothic" w:hAnsi="Century Gothic" w:cs="Arial"/>
          <w:sz w:val="24"/>
          <w:szCs w:val="24"/>
        </w:rPr>
      </w:pPr>
    </w:p>
    <w:p w14:paraId="17082043" w14:textId="77777777" w:rsidR="008822D6" w:rsidRDefault="008822D6" w:rsidP="008822D6">
      <w:pPr>
        <w:tabs>
          <w:tab w:val="left" w:pos="426"/>
        </w:tabs>
        <w:spacing w:line="360" w:lineRule="auto"/>
        <w:jc w:val="both"/>
        <w:rPr>
          <w:rFonts w:ascii="Century Gothic" w:hAnsi="Century Gothic" w:cs="Arial"/>
          <w:sz w:val="24"/>
          <w:szCs w:val="24"/>
        </w:rPr>
      </w:pPr>
    </w:p>
    <w:p w14:paraId="2DCA780B" w14:textId="77777777" w:rsidR="008822D6" w:rsidRPr="00B20583" w:rsidRDefault="008822D6" w:rsidP="008822D6">
      <w:pPr>
        <w:tabs>
          <w:tab w:val="left" w:pos="426"/>
        </w:tabs>
        <w:spacing w:line="360" w:lineRule="auto"/>
        <w:jc w:val="both"/>
        <w:rPr>
          <w:rFonts w:ascii="Century Gothic" w:hAnsi="Century Gothic" w:cs="Arial"/>
          <w:sz w:val="24"/>
          <w:szCs w:val="24"/>
        </w:rPr>
      </w:pPr>
    </w:p>
    <w:p w14:paraId="4B6BFF55" w14:textId="77777777" w:rsidR="00C56B0C" w:rsidRPr="00C56B0C" w:rsidRDefault="00C56B0C" w:rsidP="00C56B0C">
      <w:pPr>
        <w:tabs>
          <w:tab w:val="left" w:pos="426"/>
        </w:tabs>
        <w:spacing w:line="360" w:lineRule="auto"/>
        <w:jc w:val="both"/>
        <w:rPr>
          <w:rFonts w:ascii="Century Gothic" w:hAnsi="Century Gothic" w:cs="Arial"/>
          <w:sz w:val="24"/>
          <w:szCs w:val="24"/>
        </w:rPr>
      </w:pPr>
    </w:p>
    <w:p w14:paraId="092F48B5" w14:textId="77777777" w:rsidR="00807C57" w:rsidRPr="00807C57" w:rsidRDefault="00807C57" w:rsidP="000F7FFA">
      <w:pPr>
        <w:numPr>
          <w:ilvl w:val="1"/>
          <w:numId w:val="2"/>
        </w:numPr>
        <w:spacing w:line="360" w:lineRule="auto"/>
        <w:jc w:val="both"/>
        <w:rPr>
          <w:rFonts w:ascii="Century Gothic" w:hAnsi="Century Gothic" w:cs="Arial"/>
          <w:b/>
          <w:sz w:val="24"/>
          <w:szCs w:val="24"/>
        </w:rPr>
      </w:pPr>
      <w:r w:rsidRPr="00807C57">
        <w:rPr>
          <w:rFonts w:ascii="Century Gothic" w:hAnsi="Century Gothic" w:cs="Arial"/>
          <w:b/>
          <w:sz w:val="24"/>
          <w:szCs w:val="24"/>
        </w:rPr>
        <w:t>Recurso de apelación y trámite de segunda instancia</w:t>
      </w:r>
    </w:p>
    <w:p w14:paraId="7604FFA6" w14:textId="77777777" w:rsidR="00F27225" w:rsidRDefault="00F27225" w:rsidP="00D05141">
      <w:pPr>
        <w:tabs>
          <w:tab w:val="left" w:pos="426"/>
        </w:tabs>
        <w:spacing w:line="360" w:lineRule="auto"/>
        <w:jc w:val="both"/>
        <w:rPr>
          <w:rFonts w:ascii="Century Gothic" w:hAnsi="Century Gothic" w:cs="Arial"/>
          <w:sz w:val="24"/>
          <w:szCs w:val="24"/>
        </w:rPr>
      </w:pPr>
    </w:p>
    <w:p w14:paraId="38D0707A" w14:textId="77777777" w:rsidR="00D05141" w:rsidRDefault="00D05141" w:rsidP="00D05141">
      <w:pPr>
        <w:numPr>
          <w:ilvl w:val="0"/>
          <w:numId w:val="3"/>
        </w:numPr>
        <w:tabs>
          <w:tab w:val="left" w:pos="426"/>
        </w:tabs>
        <w:spacing w:line="360" w:lineRule="auto"/>
        <w:ind w:left="0" w:firstLine="0"/>
        <w:jc w:val="both"/>
        <w:rPr>
          <w:rFonts w:ascii="Century Gothic" w:hAnsi="Century Gothic" w:cs="Arial"/>
          <w:sz w:val="24"/>
          <w:szCs w:val="24"/>
        </w:rPr>
      </w:pPr>
      <w:r w:rsidRPr="00D05141">
        <w:rPr>
          <w:rFonts w:ascii="Century Gothic" w:hAnsi="Century Gothic" w:cs="Arial"/>
          <w:sz w:val="24"/>
          <w:szCs w:val="24"/>
        </w:rPr>
        <w:t xml:space="preserve">El </w:t>
      </w:r>
      <w:r>
        <w:rPr>
          <w:rFonts w:ascii="Century Gothic" w:hAnsi="Century Gothic" w:cs="Arial"/>
          <w:sz w:val="24"/>
          <w:szCs w:val="24"/>
        </w:rPr>
        <w:t xml:space="preserve">5 </w:t>
      </w:r>
      <w:r w:rsidRPr="00D05141">
        <w:rPr>
          <w:rFonts w:ascii="Century Gothic" w:hAnsi="Century Gothic" w:cs="Arial"/>
          <w:sz w:val="24"/>
          <w:szCs w:val="24"/>
        </w:rPr>
        <w:t>de</w:t>
      </w:r>
      <w:r>
        <w:rPr>
          <w:rFonts w:ascii="Century Gothic" w:hAnsi="Century Gothic" w:cs="Arial"/>
          <w:sz w:val="24"/>
          <w:szCs w:val="24"/>
        </w:rPr>
        <w:t xml:space="preserve"> abril de 2010</w:t>
      </w:r>
      <w:r w:rsidRPr="00D05141">
        <w:rPr>
          <w:rFonts w:ascii="Century Gothic" w:hAnsi="Century Gothic" w:cs="Arial"/>
          <w:sz w:val="24"/>
          <w:szCs w:val="24"/>
        </w:rPr>
        <w:t xml:space="preserve">, </w:t>
      </w:r>
      <w:r>
        <w:rPr>
          <w:rFonts w:ascii="Century Gothic" w:hAnsi="Century Gothic" w:cs="Arial"/>
          <w:sz w:val="24"/>
          <w:szCs w:val="24"/>
        </w:rPr>
        <w:t>la parte demanda</w:t>
      </w:r>
      <w:r w:rsidR="007F14C6">
        <w:rPr>
          <w:rFonts w:ascii="Century Gothic" w:hAnsi="Century Gothic" w:cs="Arial"/>
          <w:sz w:val="24"/>
          <w:szCs w:val="24"/>
        </w:rPr>
        <w:t>da</w:t>
      </w:r>
      <w:r w:rsidRPr="00D05141">
        <w:rPr>
          <w:rFonts w:ascii="Century Gothic" w:hAnsi="Century Gothic" w:cs="Arial"/>
          <w:sz w:val="24"/>
          <w:szCs w:val="24"/>
        </w:rPr>
        <w:t xml:space="preserve"> interpuso</w:t>
      </w:r>
      <w:r w:rsidR="00DD6ED2">
        <w:rPr>
          <w:rFonts w:ascii="Century Gothic" w:hAnsi="Century Gothic" w:cs="Arial"/>
          <w:sz w:val="24"/>
          <w:szCs w:val="24"/>
        </w:rPr>
        <w:t xml:space="preserve"> </w:t>
      </w:r>
      <w:r w:rsidRPr="00D05141">
        <w:rPr>
          <w:rFonts w:ascii="Century Gothic" w:hAnsi="Century Gothic" w:cs="Arial"/>
          <w:b/>
          <w:sz w:val="24"/>
          <w:szCs w:val="24"/>
        </w:rPr>
        <w:t>recurso de apelación</w:t>
      </w:r>
      <w:r w:rsidRPr="00D05141">
        <w:rPr>
          <w:rFonts w:ascii="Century Gothic" w:hAnsi="Century Gothic" w:cs="Arial"/>
          <w:sz w:val="24"/>
          <w:szCs w:val="24"/>
          <w:vertAlign w:val="superscript"/>
        </w:rPr>
        <w:footnoteReference w:id="10"/>
      </w:r>
      <w:r w:rsidRPr="00D05141">
        <w:rPr>
          <w:rFonts w:ascii="Century Gothic" w:hAnsi="Century Gothic" w:cs="Arial"/>
          <w:sz w:val="24"/>
          <w:szCs w:val="24"/>
        </w:rPr>
        <w:t xml:space="preserve"> en contra de la sentencia de primera instancia</w:t>
      </w:r>
      <w:r w:rsidR="002042A4">
        <w:rPr>
          <w:rFonts w:ascii="Century Gothic" w:hAnsi="Century Gothic" w:cs="Arial"/>
          <w:sz w:val="24"/>
          <w:szCs w:val="24"/>
        </w:rPr>
        <w:t>. En la susten</w:t>
      </w:r>
      <w:r w:rsidR="00692D21">
        <w:rPr>
          <w:rFonts w:ascii="Century Gothic" w:hAnsi="Century Gothic" w:cs="Arial"/>
          <w:sz w:val="24"/>
          <w:szCs w:val="24"/>
        </w:rPr>
        <w:t>ta</w:t>
      </w:r>
      <w:r w:rsidR="002042A4">
        <w:rPr>
          <w:rFonts w:ascii="Century Gothic" w:hAnsi="Century Gothic" w:cs="Arial"/>
          <w:sz w:val="24"/>
          <w:szCs w:val="24"/>
        </w:rPr>
        <w:t>ción del recurso</w:t>
      </w:r>
      <w:r w:rsidR="00186E19">
        <w:rPr>
          <w:rStyle w:val="Refdenotaalpie"/>
          <w:rFonts w:ascii="Century Gothic" w:hAnsi="Century Gothic" w:cs="Arial"/>
          <w:sz w:val="24"/>
          <w:szCs w:val="24"/>
        </w:rPr>
        <w:footnoteReference w:id="11"/>
      </w:r>
      <w:r w:rsidR="00186E19">
        <w:rPr>
          <w:rFonts w:ascii="Century Gothic" w:hAnsi="Century Gothic" w:cs="Arial"/>
          <w:sz w:val="24"/>
          <w:szCs w:val="24"/>
        </w:rPr>
        <w:t xml:space="preserve"> el apoderado de la sociedad Frese</w:t>
      </w:r>
      <w:r w:rsidR="007510D6">
        <w:rPr>
          <w:rFonts w:ascii="Century Gothic" w:hAnsi="Century Gothic" w:cs="Arial"/>
          <w:sz w:val="24"/>
          <w:szCs w:val="24"/>
        </w:rPr>
        <w:t xml:space="preserve">nius Medical </w:t>
      </w:r>
      <w:proofErr w:type="spellStart"/>
      <w:r w:rsidR="007510D6">
        <w:rPr>
          <w:rFonts w:ascii="Century Gothic" w:hAnsi="Century Gothic" w:cs="Arial"/>
          <w:sz w:val="24"/>
          <w:szCs w:val="24"/>
        </w:rPr>
        <w:t>Care</w:t>
      </w:r>
      <w:proofErr w:type="spellEnd"/>
      <w:r w:rsidR="007510D6">
        <w:rPr>
          <w:rFonts w:ascii="Century Gothic" w:hAnsi="Century Gothic" w:cs="Arial"/>
          <w:sz w:val="24"/>
          <w:szCs w:val="24"/>
        </w:rPr>
        <w:t xml:space="preserve"> Colombia S.A.</w:t>
      </w:r>
      <w:r w:rsidR="00186E19">
        <w:rPr>
          <w:rFonts w:ascii="Century Gothic" w:hAnsi="Century Gothic" w:cs="Arial"/>
          <w:sz w:val="24"/>
          <w:szCs w:val="24"/>
        </w:rPr>
        <w:t xml:space="preserve"> se pronunció sobre la inexistencia de la falsa motivación </w:t>
      </w:r>
      <w:r w:rsidR="00186E19">
        <w:rPr>
          <w:rFonts w:ascii="Century Gothic" w:hAnsi="Century Gothic" w:cs="Arial"/>
          <w:sz w:val="24"/>
          <w:szCs w:val="24"/>
        </w:rPr>
        <w:lastRenderedPageBreak/>
        <w:t xml:space="preserve">pues, entre otras consideraciones, el proceso contractual no </w:t>
      </w:r>
      <w:r w:rsidR="007F14C6">
        <w:rPr>
          <w:rFonts w:ascii="Century Gothic" w:hAnsi="Century Gothic" w:cs="Arial"/>
          <w:sz w:val="24"/>
          <w:szCs w:val="24"/>
        </w:rPr>
        <w:t>debía ser</w:t>
      </w:r>
      <w:r w:rsidR="00186E19">
        <w:rPr>
          <w:rFonts w:ascii="Century Gothic" w:hAnsi="Century Gothic" w:cs="Arial"/>
          <w:sz w:val="24"/>
          <w:szCs w:val="24"/>
        </w:rPr>
        <w:t xml:space="preserve"> el escenario para debatir cuál era el balance que se debía tener por</w:t>
      </w:r>
      <w:r w:rsidR="007510D6">
        <w:rPr>
          <w:rFonts w:ascii="Century Gothic" w:hAnsi="Century Gothic" w:cs="Arial"/>
          <w:sz w:val="24"/>
          <w:szCs w:val="24"/>
        </w:rPr>
        <w:t xml:space="preserve"> válido</w:t>
      </w:r>
      <w:r w:rsidR="00186E19">
        <w:rPr>
          <w:rFonts w:ascii="Century Gothic" w:hAnsi="Century Gothic" w:cs="Arial"/>
          <w:sz w:val="24"/>
          <w:szCs w:val="24"/>
        </w:rPr>
        <w:t>, “</w:t>
      </w:r>
      <w:r w:rsidR="00186E19" w:rsidRPr="007F14C6">
        <w:rPr>
          <w:rFonts w:ascii="Century Gothic" w:hAnsi="Century Gothic" w:cs="Arial"/>
          <w:i/>
          <w:sz w:val="24"/>
          <w:szCs w:val="24"/>
        </w:rPr>
        <w:t>muchos menos podía el Tribunal el invertir la carga del apoderado de la parte demandante imponiendo a la Dirección de Sanidad de la Policía la obligación de verificar los libros de contabilidad del proponente</w:t>
      </w:r>
      <w:r w:rsidR="007F14C6">
        <w:rPr>
          <w:rFonts w:ascii="Century Gothic" w:hAnsi="Century Gothic" w:cs="Arial"/>
          <w:sz w:val="24"/>
          <w:szCs w:val="24"/>
        </w:rPr>
        <w:t>”</w:t>
      </w:r>
      <w:r w:rsidR="00186E19">
        <w:rPr>
          <w:rFonts w:ascii="Century Gothic" w:hAnsi="Century Gothic" w:cs="Arial"/>
          <w:sz w:val="24"/>
          <w:szCs w:val="24"/>
        </w:rPr>
        <w:t>.</w:t>
      </w:r>
    </w:p>
    <w:p w14:paraId="2F77C4D3" w14:textId="77777777" w:rsidR="00796378" w:rsidRDefault="00796378" w:rsidP="00796378">
      <w:pPr>
        <w:tabs>
          <w:tab w:val="left" w:pos="426"/>
        </w:tabs>
        <w:spacing w:line="360" w:lineRule="auto"/>
        <w:jc w:val="both"/>
        <w:rPr>
          <w:rFonts w:ascii="Century Gothic" w:hAnsi="Century Gothic" w:cs="Arial"/>
          <w:sz w:val="24"/>
          <w:szCs w:val="24"/>
        </w:rPr>
      </w:pPr>
    </w:p>
    <w:p w14:paraId="20C69797" w14:textId="77777777" w:rsidR="00B41A53" w:rsidRPr="00B41A53" w:rsidRDefault="00B41A53" w:rsidP="00B41A53">
      <w:pPr>
        <w:numPr>
          <w:ilvl w:val="0"/>
          <w:numId w:val="3"/>
        </w:numPr>
        <w:tabs>
          <w:tab w:val="left" w:pos="426"/>
        </w:tabs>
        <w:spacing w:line="360" w:lineRule="auto"/>
        <w:ind w:left="0" w:firstLine="0"/>
        <w:jc w:val="both"/>
        <w:rPr>
          <w:rFonts w:ascii="Century Gothic" w:hAnsi="Century Gothic" w:cs="Arial"/>
          <w:sz w:val="24"/>
          <w:szCs w:val="24"/>
        </w:rPr>
      </w:pPr>
      <w:r w:rsidRPr="00B41A53">
        <w:rPr>
          <w:rFonts w:ascii="Century Gothic" w:hAnsi="Century Gothic" w:cs="Arial"/>
          <w:sz w:val="24"/>
          <w:szCs w:val="24"/>
        </w:rPr>
        <w:t xml:space="preserve">La sociedad Fresenius consideró que el Tribunal cometió un error de derecho en contra de lo estipulado por los artículos 34, 37, 39 y 41 de la Ley 222 de 1995, al otorgarle presunción de veracidad al balance general presentado en la propuesta. </w:t>
      </w:r>
    </w:p>
    <w:p w14:paraId="7DB23386" w14:textId="77777777" w:rsidR="00B41A53" w:rsidRPr="00B41A53" w:rsidRDefault="00B41A53" w:rsidP="00B41A53">
      <w:pPr>
        <w:tabs>
          <w:tab w:val="left" w:pos="426"/>
        </w:tabs>
        <w:spacing w:line="360" w:lineRule="auto"/>
        <w:jc w:val="both"/>
        <w:rPr>
          <w:rFonts w:ascii="Century Gothic" w:hAnsi="Century Gothic" w:cs="Arial"/>
          <w:sz w:val="24"/>
          <w:szCs w:val="24"/>
        </w:rPr>
      </w:pPr>
    </w:p>
    <w:p w14:paraId="386F9A4F" w14:textId="77777777" w:rsidR="00B41A53" w:rsidRPr="00B41A53" w:rsidRDefault="00B41A53" w:rsidP="00B41A53">
      <w:pPr>
        <w:numPr>
          <w:ilvl w:val="0"/>
          <w:numId w:val="3"/>
        </w:numPr>
        <w:tabs>
          <w:tab w:val="left" w:pos="426"/>
        </w:tabs>
        <w:spacing w:line="360" w:lineRule="auto"/>
        <w:ind w:left="0" w:firstLine="0"/>
        <w:jc w:val="both"/>
        <w:rPr>
          <w:rFonts w:ascii="Century Gothic" w:hAnsi="Century Gothic" w:cs="Arial"/>
          <w:sz w:val="24"/>
          <w:szCs w:val="24"/>
        </w:rPr>
      </w:pPr>
      <w:r w:rsidRPr="00B41A53">
        <w:rPr>
          <w:rFonts w:ascii="Century Gothic" w:hAnsi="Century Gothic" w:cs="Arial"/>
          <w:sz w:val="24"/>
          <w:szCs w:val="24"/>
        </w:rPr>
        <w:t xml:space="preserve">Sustentó </w:t>
      </w:r>
      <w:r w:rsidR="00DD4AB4">
        <w:rPr>
          <w:rFonts w:ascii="Century Gothic" w:hAnsi="Century Gothic" w:cs="Arial"/>
          <w:sz w:val="24"/>
          <w:szCs w:val="24"/>
        </w:rPr>
        <w:t>su posición</w:t>
      </w:r>
      <w:r w:rsidRPr="00B41A53">
        <w:rPr>
          <w:rFonts w:ascii="Century Gothic" w:hAnsi="Century Gothic" w:cs="Arial"/>
          <w:sz w:val="24"/>
          <w:szCs w:val="24"/>
        </w:rPr>
        <w:t xml:space="preserve"> en el artículo 39 </w:t>
      </w:r>
      <w:r w:rsidR="00DD4AB4">
        <w:rPr>
          <w:rFonts w:ascii="Century Gothic" w:hAnsi="Century Gothic" w:cs="Arial"/>
          <w:sz w:val="24"/>
          <w:szCs w:val="24"/>
        </w:rPr>
        <w:t xml:space="preserve">que </w:t>
      </w:r>
      <w:r w:rsidRPr="00B41A53">
        <w:rPr>
          <w:rFonts w:ascii="Century Gothic" w:hAnsi="Century Gothic" w:cs="Arial"/>
          <w:sz w:val="24"/>
          <w:szCs w:val="24"/>
        </w:rPr>
        <w:t>regula la presunción de veracidad de los balances generale</w:t>
      </w:r>
      <w:r w:rsidR="007F14C6">
        <w:rPr>
          <w:rFonts w:ascii="Century Gothic" w:hAnsi="Century Gothic" w:cs="Arial"/>
          <w:sz w:val="24"/>
          <w:szCs w:val="24"/>
        </w:rPr>
        <w:t>s, salvo prueba en contrario, prueba</w:t>
      </w:r>
      <w:r w:rsidRPr="00B41A53">
        <w:rPr>
          <w:rFonts w:ascii="Century Gothic" w:hAnsi="Century Gothic" w:cs="Arial"/>
          <w:sz w:val="24"/>
          <w:szCs w:val="24"/>
        </w:rPr>
        <w:t xml:space="preserve"> que, en efecto, </w:t>
      </w:r>
      <w:r w:rsidR="00DD4AB4">
        <w:rPr>
          <w:rFonts w:ascii="Century Gothic" w:hAnsi="Century Gothic" w:cs="Arial"/>
          <w:sz w:val="24"/>
          <w:szCs w:val="24"/>
        </w:rPr>
        <w:t>fue aportada al proceso</w:t>
      </w:r>
      <w:r w:rsidRPr="00B41A53">
        <w:rPr>
          <w:rFonts w:ascii="Century Gothic" w:hAnsi="Century Gothic" w:cs="Arial"/>
          <w:sz w:val="24"/>
          <w:szCs w:val="24"/>
        </w:rPr>
        <w:t xml:space="preserve">, </w:t>
      </w:r>
      <w:r w:rsidR="007510D6">
        <w:rPr>
          <w:rFonts w:ascii="Century Gothic" w:hAnsi="Century Gothic" w:cs="Arial"/>
          <w:sz w:val="24"/>
          <w:szCs w:val="24"/>
        </w:rPr>
        <w:t>puesto</w:t>
      </w:r>
      <w:r w:rsidRPr="00B41A53">
        <w:rPr>
          <w:rFonts w:ascii="Century Gothic" w:hAnsi="Century Gothic" w:cs="Arial"/>
          <w:sz w:val="24"/>
          <w:szCs w:val="24"/>
        </w:rPr>
        <w:t xml:space="preserve"> que el único balance general es aquel que contiene los datos que fueron aprobados por el órgano social competente</w:t>
      </w:r>
      <w:r w:rsidR="007F14C6">
        <w:rPr>
          <w:rFonts w:ascii="Century Gothic" w:hAnsi="Century Gothic" w:cs="Arial"/>
          <w:sz w:val="24"/>
          <w:szCs w:val="24"/>
        </w:rPr>
        <w:t>,</w:t>
      </w:r>
      <w:r w:rsidRPr="00B41A53">
        <w:rPr>
          <w:rFonts w:ascii="Century Gothic" w:hAnsi="Century Gothic" w:cs="Arial"/>
          <w:sz w:val="24"/>
          <w:szCs w:val="24"/>
        </w:rPr>
        <w:t xml:space="preserve"> y el presentado en el proceso de selección por la </w:t>
      </w:r>
      <w:r w:rsidR="00DD4AB4">
        <w:rPr>
          <w:rFonts w:ascii="Century Gothic" w:hAnsi="Century Gothic" w:cs="Arial"/>
          <w:sz w:val="24"/>
          <w:szCs w:val="24"/>
        </w:rPr>
        <w:t xml:space="preserve">UT RTS </w:t>
      </w:r>
      <w:r w:rsidRPr="00B41A53">
        <w:rPr>
          <w:rFonts w:ascii="Century Gothic" w:hAnsi="Century Gothic" w:cs="Arial"/>
          <w:sz w:val="24"/>
          <w:szCs w:val="24"/>
        </w:rPr>
        <w:t xml:space="preserve">de una de sus integrantes no cumplía con dicha exigencia. </w:t>
      </w:r>
    </w:p>
    <w:p w14:paraId="2C7FA1A4" w14:textId="77777777" w:rsidR="00B41A53" w:rsidRPr="00B41A53" w:rsidRDefault="00B41A53" w:rsidP="00B41A53">
      <w:pPr>
        <w:tabs>
          <w:tab w:val="left" w:pos="426"/>
        </w:tabs>
        <w:spacing w:line="360" w:lineRule="auto"/>
        <w:jc w:val="both"/>
        <w:rPr>
          <w:rFonts w:ascii="Century Gothic" w:hAnsi="Century Gothic" w:cs="Arial"/>
          <w:sz w:val="24"/>
          <w:szCs w:val="24"/>
        </w:rPr>
      </w:pPr>
    </w:p>
    <w:p w14:paraId="3768DB5B" w14:textId="77777777" w:rsidR="00B41A53" w:rsidRDefault="00B41A53" w:rsidP="00B41A53">
      <w:pPr>
        <w:numPr>
          <w:ilvl w:val="0"/>
          <w:numId w:val="3"/>
        </w:numPr>
        <w:tabs>
          <w:tab w:val="left" w:pos="426"/>
        </w:tabs>
        <w:spacing w:line="360" w:lineRule="auto"/>
        <w:ind w:left="0" w:firstLine="0"/>
        <w:jc w:val="both"/>
        <w:rPr>
          <w:rFonts w:ascii="Century Gothic" w:hAnsi="Century Gothic" w:cs="Arial"/>
          <w:sz w:val="24"/>
          <w:szCs w:val="24"/>
        </w:rPr>
      </w:pPr>
      <w:r w:rsidRPr="00B41A53">
        <w:rPr>
          <w:rFonts w:ascii="Century Gothic" w:hAnsi="Century Gothic" w:cs="Arial"/>
          <w:sz w:val="24"/>
          <w:szCs w:val="24"/>
        </w:rPr>
        <w:t xml:space="preserve">Agregó el apelante que en la demanda hubo </w:t>
      </w:r>
      <w:r w:rsidR="007510D6">
        <w:rPr>
          <w:rFonts w:ascii="Century Gothic" w:hAnsi="Century Gothic" w:cs="Arial"/>
          <w:sz w:val="24"/>
          <w:szCs w:val="24"/>
        </w:rPr>
        <w:t>reconocimiento expreso</w:t>
      </w:r>
      <w:r w:rsidRPr="00B41A53">
        <w:rPr>
          <w:rFonts w:ascii="Century Gothic" w:hAnsi="Century Gothic" w:cs="Arial"/>
          <w:sz w:val="24"/>
          <w:szCs w:val="24"/>
        </w:rPr>
        <w:t xml:space="preserve"> de este hecho, pues el abogado afirmó que “</w:t>
      </w:r>
      <w:r w:rsidRPr="00DD4AB4">
        <w:rPr>
          <w:rFonts w:ascii="Century Gothic" w:hAnsi="Century Gothic" w:cs="Arial"/>
          <w:i/>
          <w:sz w:val="24"/>
          <w:szCs w:val="24"/>
        </w:rPr>
        <w:t>los que aquí interesan, no tienen el carácter de definitivos al no haber obtenido la aprobación del órgano social competente</w:t>
      </w:r>
      <w:r w:rsidR="00DD4AB4">
        <w:rPr>
          <w:rFonts w:ascii="Century Gothic" w:hAnsi="Century Gothic" w:cs="Arial"/>
          <w:sz w:val="24"/>
          <w:szCs w:val="24"/>
        </w:rPr>
        <w:t>”</w:t>
      </w:r>
      <w:r w:rsidRPr="00B41A53">
        <w:rPr>
          <w:rFonts w:ascii="Century Gothic" w:hAnsi="Century Gothic" w:cs="Arial"/>
          <w:sz w:val="24"/>
          <w:szCs w:val="24"/>
        </w:rPr>
        <w:t>, es decir, hubo confesión de</w:t>
      </w:r>
      <w:r w:rsidR="00906C95">
        <w:rPr>
          <w:rFonts w:ascii="Century Gothic" w:hAnsi="Century Gothic" w:cs="Arial"/>
          <w:sz w:val="24"/>
          <w:szCs w:val="24"/>
        </w:rPr>
        <w:t xml:space="preserve"> </w:t>
      </w:r>
      <w:r w:rsidRPr="00B41A53">
        <w:rPr>
          <w:rFonts w:ascii="Century Gothic" w:hAnsi="Century Gothic" w:cs="Arial"/>
          <w:sz w:val="24"/>
          <w:szCs w:val="24"/>
        </w:rPr>
        <w:t>que el balance no estaba conforme con los principios de contabilidad vigentes y no cumplía con lo estipulado en el artículo 37 de la Ley 222 de 1995, asunto que “</w:t>
      </w:r>
      <w:r w:rsidRPr="007F14C6">
        <w:rPr>
          <w:rFonts w:ascii="Century Gothic" w:hAnsi="Century Gothic" w:cs="Arial"/>
          <w:i/>
          <w:sz w:val="24"/>
          <w:szCs w:val="24"/>
        </w:rPr>
        <w:t>no mereció ningún análisis del Honorable Tribunal</w:t>
      </w:r>
      <w:r w:rsidR="007F14C6">
        <w:rPr>
          <w:rFonts w:ascii="Century Gothic" w:hAnsi="Century Gothic" w:cs="Arial"/>
          <w:sz w:val="24"/>
          <w:szCs w:val="24"/>
        </w:rPr>
        <w:t>”</w:t>
      </w:r>
      <w:r w:rsidRPr="00B41A53">
        <w:rPr>
          <w:rFonts w:ascii="Century Gothic" w:hAnsi="Century Gothic" w:cs="Arial"/>
          <w:sz w:val="24"/>
          <w:szCs w:val="24"/>
        </w:rPr>
        <w:t>.</w:t>
      </w:r>
    </w:p>
    <w:p w14:paraId="4CB41689" w14:textId="77777777" w:rsidR="00B41A53" w:rsidRDefault="00B41A53" w:rsidP="00B41A53">
      <w:pPr>
        <w:pStyle w:val="Prrafodelista"/>
        <w:ind w:left="0"/>
        <w:rPr>
          <w:rFonts w:ascii="Century Gothic" w:hAnsi="Century Gothic" w:cs="Arial"/>
          <w:sz w:val="24"/>
          <w:szCs w:val="24"/>
        </w:rPr>
      </w:pPr>
    </w:p>
    <w:p w14:paraId="33D175DD" w14:textId="77777777" w:rsidR="00796378" w:rsidRDefault="00796378" w:rsidP="00D05141">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Sostuvo, además, que la propuesta de la UT RTS no obtuvo el mayor puntaje, por lo que el juzgador de primera instancia erró al llegar a conclusión contraria, “</w:t>
      </w:r>
      <w:r w:rsidRPr="007F14C6">
        <w:rPr>
          <w:rFonts w:ascii="Century Gothic" w:hAnsi="Century Gothic" w:cs="Arial"/>
          <w:i/>
          <w:sz w:val="24"/>
          <w:szCs w:val="24"/>
        </w:rPr>
        <w:t>sin ninguna razón y contrario a las pruebas obrantes dentro del proceso</w:t>
      </w:r>
      <w:r>
        <w:rPr>
          <w:rFonts w:ascii="Century Gothic" w:hAnsi="Century Gothic" w:cs="Arial"/>
          <w:sz w:val="24"/>
          <w:szCs w:val="24"/>
        </w:rPr>
        <w:t>”.</w:t>
      </w:r>
      <w:r w:rsidR="00392888">
        <w:rPr>
          <w:rFonts w:ascii="Century Gothic" w:hAnsi="Century Gothic" w:cs="Arial"/>
          <w:sz w:val="24"/>
          <w:szCs w:val="24"/>
        </w:rPr>
        <w:t xml:space="preserve"> De manera que, si en gracia de discusión el balance presentado por RTS hubiera sido aceptado</w:t>
      </w:r>
      <w:r w:rsidR="00CB22F4">
        <w:rPr>
          <w:rFonts w:ascii="Century Gothic" w:hAnsi="Century Gothic" w:cs="Arial"/>
          <w:sz w:val="24"/>
          <w:szCs w:val="24"/>
        </w:rPr>
        <w:t xml:space="preserve">, en todo caso, y para todas las </w:t>
      </w:r>
      <w:r w:rsidR="00392888">
        <w:rPr>
          <w:rFonts w:ascii="Century Gothic" w:hAnsi="Century Gothic" w:cs="Arial"/>
          <w:sz w:val="24"/>
          <w:szCs w:val="24"/>
        </w:rPr>
        <w:t>ciudad</w:t>
      </w:r>
      <w:r w:rsidR="00CB22F4">
        <w:rPr>
          <w:rFonts w:ascii="Century Gothic" w:hAnsi="Century Gothic" w:cs="Arial"/>
          <w:sz w:val="24"/>
          <w:szCs w:val="24"/>
        </w:rPr>
        <w:t>es</w:t>
      </w:r>
      <w:r w:rsidR="007F14C6">
        <w:rPr>
          <w:rFonts w:ascii="Century Gothic" w:hAnsi="Century Gothic" w:cs="Arial"/>
          <w:sz w:val="24"/>
          <w:szCs w:val="24"/>
        </w:rPr>
        <w:t>,</w:t>
      </w:r>
      <w:r w:rsidR="00392888">
        <w:rPr>
          <w:rFonts w:ascii="Century Gothic" w:hAnsi="Century Gothic" w:cs="Arial"/>
          <w:sz w:val="24"/>
          <w:szCs w:val="24"/>
        </w:rPr>
        <w:t xml:space="preserve"> Fresenius obtuvo el mayor puntaje. </w:t>
      </w:r>
    </w:p>
    <w:p w14:paraId="05A36EF0" w14:textId="77777777" w:rsidR="00392888" w:rsidRDefault="00392888" w:rsidP="00392888">
      <w:pPr>
        <w:pStyle w:val="Prrafodelista"/>
        <w:rPr>
          <w:rFonts w:ascii="Century Gothic" w:hAnsi="Century Gothic" w:cs="Arial"/>
          <w:sz w:val="24"/>
          <w:szCs w:val="24"/>
        </w:rPr>
      </w:pPr>
    </w:p>
    <w:p w14:paraId="69E3A3E2" w14:textId="77777777" w:rsidR="00392888" w:rsidRDefault="00392888" w:rsidP="00D05141">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lastRenderedPageBreak/>
        <w:t>Recordó el carácter insubsanable del requisito, al tiempo que indicó que una empresa no puede tener más de un balance general</w:t>
      </w:r>
      <w:r w:rsidR="00777EA4">
        <w:rPr>
          <w:rFonts w:ascii="Century Gothic" w:hAnsi="Century Gothic" w:cs="Arial"/>
          <w:sz w:val="24"/>
          <w:szCs w:val="24"/>
        </w:rPr>
        <w:t>,</w:t>
      </w:r>
      <w:r>
        <w:rPr>
          <w:rFonts w:ascii="Century Gothic" w:hAnsi="Century Gothic" w:cs="Arial"/>
          <w:sz w:val="24"/>
          <w:szCs w:val="24"/>
        </w:rPr>
        <w:t xml:space="preserve"> a menos que lleve una doble contabilidad. </w:t>
      </w:r>
    </w:p>
    <w:p w14:paraId="5D1305DE" w14:textId="77777777" w:rsidR="00392888" w:rsidRDefault="00392888" w:rsidP="00392888">
      <w:pPr>
        <w:pStyle w:val="Prrafodelista"/>
        <w:rPr>
          <w:rFonts w:ascii="Century Gothic" w:hAnsi="Century Gothic" w:cs="Arial"/>
          <w:sz w:val="24"/>
          <w:szCs w:val="24"/>
        </w:rPr>
      </w:pPr>
    </w:p>
    <w:p w14:paraId="3DD4FDA6" w14:textId="77777777" w:rsidR="00392888" w:rsidRDefault="00392888" w:rsidP="00D05141">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Finalmente</w:t>
      </w:r>
      <w:r w:rsidR="007F14C6">
        <w:rPr>
          <w:rFonts w:ascii="Century Gothic" w:hAnsi="Century Gothic" w:cs="Arial"/>
          <w:sz w:val="24"/>
          <w:szCs w:val="24"/>
        </w:rPr>
        <w:t>,</w:t>
      </w:r>
      <w:r>
        <w:rPr>
          <w:rFonts w:ascii="Century Gothic" w:hAnsi="Century Gothic" w:cs="Arial"/>
          <w:sz w:val="24"/>
          <w:szCs w:val="24"/>
        </w:rPr>
        <w:t xml:space="preserve"> indicó que el Tribunal invirtió las cargas probatorias al </w:t>
      </w:r>
      <w:r w:rsidR="007F14C6">
        <w:rPr>
          <w:rFonts w:ascii="Century Gothic" w:hAnsi="Century Gothic" w:cs="Arial"/>
          <w:sz w:val="24"/>
          <w:szCs w:val="24"/>
        </w:rPr>
        <w:t>sostener</w:t>
      </w:r>
      <w:r>
        <w:rPr>
          <w:rFonts w:ascii="Century Gothic" w:hAnsi="Century Gothic" w:cs="Arial"/>
          <w:sz w:val="24"/>
          <w:szCs w:val="24"/>
        </w:rPr>
        <w:t xml:space="preserve"> que la Dirección de Sanidad debió haber adelantado un análisis contable para verificar si la información suministrada por RTS era la misma que reposaba en los balances finales, lo que hubiera llevado a la entidad a tener que adelantar “</w:t>
      </w:r>
      <w:r w:rsidRPr="007F14C6">
        <w:rPr>
          <w:rFonts w:ascii="Century Gothic" w:hAnsi="Century Gothic" w:cs="Arial"/>
          <w:i/>
          <w:sz w:val="24"/>
          <w:szCs w:val="24"/>
        </w:rPr>
        <w:t>un procedimiento administrativo no contemplado en los términos de referencia</w:t>
      </w:r>
      <w:r>
        <w:rPr>
          <w:rFonts w:ascii="Century Gothic" w:hAnsi="Century Gothic" w:cs="Arial"/>
          <w:sz w:val="24"/>
          <w:szCs w:val="24"/>
        </w:rPr>
        <w:t>”</w:t>
      </w:r>
      <w:r w:rsidR="000F0D21">
        <w:rPr>
          <w:rFonts w:ascii="Century Gothic" w:hAnsi="Century Gothic" w:cs="Arial"/>
          <w:sz w:val="24"/>
          <w:szCs w:val="24"/>
        </w:rPr>
        <w:t>.</w:t>
      </w:r>
    </w:p>
    <w:p w14:paraId="2F13A7A4" w14:textId="77777777" w:rsidR="000F0D21" w:rsidRDefault="000F0D21" w:rsidP="000F0D21">
      <w:pPr>
        <w:pStyle w:val="Prrafodelista"/>
        <w:rPr>
          <w:rFonts w:ascii="Century Gothic" w:hAnsi="Century Gothic" w:cs="Arial"/>
          <w:sz w:val="24"/>
          <w:szCs w:val="24"/>
        </w:rPr>
      </w:pPr>
    </w:p>
    <w:p w14:paraId="20130C5B" w14:textId="77777777" w:rsidR="000F0D21" w:rsidRDefault="000F0D21" w:rsidP="00D05141">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La Dirección de Sanidad de la Policía Nacional por su p</w:t>
      </w:r>
      <w:r w:rsidR="00777EA4">
        <w:rPr>
          <w:rFonts w:ascii="Century Gothic" w:hAnsi="Century Gothic" w:cs="Arial"/>
          <w:sz w:val="24"/>
          <w:szCs w:val="24"/>
        </w:rPr>
        <w:t>arte, al sustentar el recurso, indicó</w:t>
      </w:r>
      <w:r>
        <w:rPr>
          <w:rFonts w:ascii="Century Gothic" w:hAnsi="Century Gothic" w:cs="Arial"/>
          <w:sz w:val="24"/>
          <w:szCs w:val="24"/>
        </w:rPr>
        <w:t xml:space="preserve"> que</w:t>
      </w:r>
      <w:r w:rsidR="00777EA4">
        <w:rPr>
          <w:rFonts w:ascii="Century Gothic" w:hAnsi="Century Gothic" w:cs="Arial"/>
          <w:sz w:val="24"/>
          <w:szCs w:val="24"/>
        </w:rPr>
        <w:t xml:space="preserve"> cuando se constataron</w:t>
      </w:r>
      <w:r w:rsidR="0043029B">
        <w:rPr>
          <w:rFonts w:ascii="Century Gothic" w:hAnsi="Century Gothic" w:cs="Arial"/>
          <w:sz w:val="24"/>
          <w:szCs w:val="24"/>
        </w:rPr>
        <w:t xml:space="preserve"> las diferencias en los </w:t>
      </w:r>
      <w:r w:rsidR="00415D7E">
        <w:rPr>
          <w:rFonts w:ascii="Century Gothic" w:hAnsi="Century Gothic" w:cs="Arial"/>
          <w:sz w:val="24"/>
          <w:szCs w:val="24"/>
        </w:rPr>
        <w:t>estados financieros</w:t>
      </w:r>
      <w:r w:rsidR="0043029B">
        <w:rPr>
          <w:rFonts w:ascii="Century Gothic" w:hAnsi="Century Gothic" w:cs="Arial"/>
          <w:sz w:val="24"/>
          <w:szCs w:val="24"/>
        </w:rPr>
        <w:t xml:space="preserve"> no se podía tener certeza de la veracidad de los datos consignados en los balances.</w:t>
      </w:r>
    </w:p>
    <w:p w14:paraId="15CDC75E" w14:textId="77777777" w:rsidR="0043029B" w:rsidRDefault="0043029B" w:rsidP="0043029B">
      <w:pPr>
        <w:pStyle w:val="Prrafodelista"/>
        <w:rPr>
          <w:rFonts w:ascii="Century Gothic" w:hAnsi="Century Gothic" w:cs="Arial"/>
          <w:sz w:val="24"/>
          <w:szCs w:val="24"/>
        </w:rPr>
      </w:pPr>
    </w:p>
    <w:p w14:paraId="12661F7E" w14:textId="77777777" w:rsidR="0043029B" w:rsidRDefault="0043029B" w:rsidP="00D05141">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Tras advertir las inconsistencias, la Dirección de Sanidad requirió a RTS para que allegara el documento expedido por Cámara de Comercio donde se reflejaran las cifras</w:t>
      </w:r>
      <w:r w:rsidR="00415D7E">
        <w:rPr>
          <w:rFonts w:ascii="Century Gothic" w:hAnsi="Century Gothic" w:cs="Arial"/>
          <w:sz w:val="24"/>
          <w:szCs w:val="24"/>
        </w:rPr>
        <w:t xml:space="preserve"> del balance general </w:t>
      </w:r>
      <w:r>
        <w:rPr>
          <w:rFonts w:ascii="Century Gothic" w:hAnsi="Century Gothic" w:cs="Arial"/>
          <w:sz w:val="24"/>
          <w:szCs w:val="24"/>
        </w:rPr>
        <w:t>y</w:t>
      </w:r>
      <w:r w:rsidR="00415D7E">
        <w:rPr>
          <w:rFonts w:ascii="Century Gothic" w:hAnsi="Century Gothic" w:cs="Arial"/>
          <w:sz w:val="24"/>
          <w:szCs w:val="24"/>
        </w:rPr>
        <w:t>,</w:t>
      </w:r>
      <w:r>
        <w:rPr>
          <w:rFonts w:ascii="Century Gothic" w:hAnsi="Century Gothic" w:cs="Arial"/>
          <w:sz w:val="24"/>
          <w:szCs w:val="24"/>
        </w:rPr>
        <w:t xml:space="preserve"> en la documentación enviada como repuesta a dicho requerimiento</w:t>
      </w:r>
      <w:r w:rsidR="00415D7E">
        <w:rPr>
          <w:rFonts w:ascii="Century Gothic" w:hAnsi="Century Gothic" w:cs="Arial"/>
          <w:sz w:val="24"/>
          <w:szCs w:val="24"/>
        </w:rPr>
        <w:t>,</w:t>
      </w:r>
      <w:r>
        <w:rPr>
          <w:rFonts w:ascii="Century Gothic" w:hAnsi="Century Gothic" w:cs="Arial"/>
          <w:sz w:val="24"/>
          <w:szCs w:val="24"/>
        </w:rPr>
        <w:t xml:space="preserve"> se </w:t>
      </w:r>
      <w:r w:rsidR="00415D7E">
        <w:rPr>
          <w:rFonts w:ascii="Century Gothic" w:hAnsi="Century Gothic" w:cs="Arial"/>
          <w:sz w:val="24"/>
          <w:szCs w:val="24"/>
        </w:rPr>
        <w:t>halló</w:t>
      </w:r>
      <w:r>
        <w:rPr>
          <w:rFonts w:ascii="Century Gothic" w:hAnsi="Century Gothic" w:cs="Arial"/>
          <w:sz w:val="24"/>
          <w:szCs w:val="24"/>
        </w:rPr>
        <w:t xml:space="preserve"> la </w:t>
      </w:r>
      <w:r w:rsidR="00415D7E">
        <w:rPr>
          <w:rFonts w:ascii="Century Gothic" w:hAnsi="Century Gothic" w:cs="Arial"/>
          <w:sz w:val="24"/>
          <w:szCs w:val="24"/>
        </w:rPr>
        <w:t>presencia</w:t>
      </w:r>
      <w:r>
        <w:rPr>
          <w:rFonts w:ascii="Century Gothic" w:hAnsi="Century Gothic" w:cs="Arial"/>
          <w:sz w:val="24"/>
          <w:szCs w:val="24"/>
        </w:rPr>
        <w:t xml:space="preserve"> definitiva de diferencias entre las cifras contenidas en los balances, por lo que la entidad no podía extralimitarse y solicitar libros de contabilidad </w:t>
      </w:r>
      <w:r w:rsidR="00415D7E">
        <w:rPr>
          <w:rFonts w:ascii="Century Gothic" w:hAnsi="Century Gothic" w:cs="Arial"/>
          <w:sz w:val="24"/>
          <w:szCs w:val="24"/>
        </w:rPr>
        <w:t>a</w:t>
      </w:r>
      <w:r>
        <w:rPr>
          <w:rFonts w:ascii="Century Gothic" w:hAnsi="Century Gothic" w:cs="Arial"/>
          <w:sz w:val="24"/>
          <w:szCs w:val="24"/>
        </w:rPr>
        <w:t>l proponente para verificar cuál era la información exacta.</w:t>
      </w:r>
    </w:p>
    <w:p w14:paraId="72D2DD0B" w14:textId="77777777" w:rsidR="00B3624B" w:rsidRDefault="00B3624B" w:rsidP="00B3624B">
      <w:pPr>
        <w:pStyle w:val="Prrafodelista"/>
        <w:rPr>
          <w:rFonts w:ascii="Century Gothic" w:hAnsi="Century Gothic" w:cs="Arial"/>
          <w:sz w:val="24"/>
          <w:szCs w:val="24"/>
        </w:rPr>
      </w:pPr>
    </w:p>
    <w:p w14:paraId="1E76D8A6" w14:textId="77777777" w:rsidR="0043029B" w:rsidRPr="0043029B" w:rsidRDefault="0043029B" w:rsidP="0043029B">
      <w:pPr>
        <w:numPr>
          <w:ilvl w:val="0"/>
          <w:numId w:val="3"/>
        </w:numPr>
        <w:tabs>
          <w:tab w:val="left" w:pos="426"/>
        </w:tabs>
        <w:spacing w:line="360" w:lineRule="auto"/>
        <w:ind w:left="0" w:firstLine="0"/>
        <w:jc w:val="both"/>
        <w:rPr>
          <w:rFonts w:ascii="Century Gothic" w:hAnsi="Century Gothic" w:cs="Arial"/>
          <w:sz w:val="24"/>
          <w:szCs w:val="24"/>
        </w:rPr>
      </w:pPr>
      <w:r w:rsidRPr="002953E4">
        <w:rPr>
          <w:rFonts w:ascii="Century Gothic" w:hAnsi="Century Gothic" w:cs="Arial"/>
          <w:sz w:val="24"/>
          <w:szCs w:val="24"/>
          <w:lang w:val="es-CO"/>
        </w:rPr>
        <w:t>Las partes presentaron sus respectivos</w:t>
      </w:r>
      <w:r>
        <w:rPr>
          <w:rFonts w:ascii="Century Gothic" w:hAnsi="Century Gothic" w:cs="Arial"/>
          <w:b/>
          <w:sz w:val="24"/>
          <w:szCs w:val="24"/>
          <w:lang w:val="es-CO"/>
        </w:rPr>
        <w:t xml:space="preserve"> a</w:t>
      </w:r>
      <w:r w:rsidR="00B3624B" w:rsidRPr="00B3624B">
        <w:rPr>
          <w:rFonts w:ascii="Century Gothic" w:hAnsi="Century Gothic" w:cs="Arial"/>
          <w:b/>
          <w:sz w:val="24"/>
          <w:szCs w:val="24"/>
          <w:lang w:val="es-CO"/>
        </w:rPr>
        <w:t>legatos de conclusión</w:t>
      </w:r>
      <w:r w:rsidR="00436041" w:rsidRPr="00436041">
        <w:rPr>
          <w:rStyle w:val="Refdenotaalpie"/>
          <w:rFonts w:ascii="Century Gothic" w:hAnsi="Century Gothic" w:cs="Arial"/>
          <w:sz w:val="24"/>
          <w:szCs w:val="24"/>
          <w:lang w:val="es-CO"/>
        </w:rPr>
        <w:footnoteReference w:id="12"/>
      </w:r>
      <w:r w:rsidR="00436041">
        <w:rPr>
          <w:rFonts w:ascii="Century Gothic" w:hAnsi="Century Gothic" w:cs="Arial"/>
          <w:b/>
          <w:sz w:val="24"/>
          <w:szCs w:val="24"/>
          <w:lang w:val="es-CO"/>
        </w:rPr>
        <w:t xml:space="preserve"> </w:t>
      </w:r>
      <w:r w:rsidR="007510D6">
        <w:rPr>
          <w:rFonts w:ascii="Century Gothic" w:hAnsi="Century Gothic" w:cs="Arial"/>
          <w:sz w:val="24"/>
          <w:szCs w:val="24"/>
          <w:lang w:val="es-CO"/>
        </w:rPr>
        <w:t>en los cuales reiteraron la</w:t>
      </w:r>
      <w:r w:rsidR="00436041" w:rsidRPr="00436041">
        <w:rPr>
          <w:rFonts w:ascii="Century Gothic" w:hAnsi="Century Gothic" w:cs="Arial"/>
          <w:sz w:val="24"/>
          <w:szCs w:val="24"/>
          <w:lang w:val="es-CO"/>
        </w:rPr>
        <w:t xml:space="preserve">s </w:t>
      </w:r>
      <w:r w:rsidR="007510D6">
        <w:rPr>
          <w:rFonts w:ascii="Century Gothic" w:hAnsi="Century Gothic" w:cs="Arial"/>
          <w:sz w:val="24"/>
          <w:szCs w:val="24"/>
          <w:lang w:val="es-CO"/>
        </w:rPr>
        <w:t>consideraciones esgrimida</w:t>
      </w:r>
      <w:r w:rsidR="00436041" w:rsidRPr="00436041">
        <w:rPr>
          <w:rFonts w:ascii="Century Gothic" w:hAnsi="Century Gothic" w:cs="Arial"/>
          <w:sz w:val="24"/>
          <w:szCs w:val="24"/>
          <w:lang w:val="es-CO"/>
        </w:rPr>
        <w:t xml:space="preserve">s </w:t>
      </w:r>
      <w:r w:rsidR="00436041" w:rsidRPr="00A40F61">
        <w:rPr>
          <w:rFonts w:ascii="Century Gothic" w:hAnsi="Century Gothic" w:cs="Arial"/>
          <w:sz w:val="24"/>
          <w:szCs w:val="24"/>
          <w:lang w:val="es-CO"/>
        </w:rPr>
        <w:t>en la apelación,</w:t>
      </w:r>
      <w:r w:rsidR="00436041" w:rsidRPr="00A40F61">
        <w:rPr>
          <w:rFonts w:ascii="Century Gothic" w:hAnsi="Century Gothic" w:cs="Arial"/>
          <w:b/>
          <w:sz w:val="24"/>
          <w:szCs w:val="24"/>
          <w:lang w:val="es-CO"/>
        </w:rPr>
        <w:t xml:space="preserve"> </w:t>
      </w:r>
      <w:r w:rsidR="00436041" w:rsidRPr="00A40F61">
        <w:rPr>
          <w:rFonts w:ascii="Century Gothic" w:hAnsi="Century Gothic" w:cs="Arial"/>
          <w:sz w:val="24"/>
          <w:szCs w:val="24"/>
          <w:lang w:val="es-CO"/>
        </w:rPr>
        <w:t>y donde,</w:t>
      </w:r>
      <w:r w:rsidR="00436041" w:rsidRPr="00436041">
        <w:rPr>
          <w:rFonts w:ascii="Century Gothic" w:hAnsi="Century Gothic" w:cs="Arial"/>
          <w:sz w:val="24"/>
          <w:szCs w:val="24"/>
          <w:lang w:val="es-CO"/>
        </w:rPr>
        <w:t xml:space="preserve"> además de reiterar sus argumentos, la parte demandante indicó</w:t>
      </w:r>
      <w:r w:rsidR="00436041">
        <w:rPr>
          <w:rFonts w:ascii="Century Gothic" w:hAnsi="Century Gothic" w:cs="Arial"/>
          <w:sz w:val="24"/>
          <w:szCs w:val="24"/>
          <w:lang w:val="es-CO"/>
        </w:rPr>
        <w:t xml:space="preserve"> que había reconocido la existencia de la </w:t>
      </w:r>
      <w:r w:rsidR="007510D6">
        <w:rPr>
          <w:rFonts w:ascii="Century Gothic" w:hAnsi="Century Gothic" w:cs="Arial"/>
          <w:sz w:val="24"/>
          <w:szCs w:val="24"/>
          <w:lang w:val="es-CO"/>
        </w:rPr>
        <w:t>inco</w:t>
      </w:r>
      <w:r w:rsidR="00E21D91">
        <w:rPr>
          <w:rFonts w:ascii="Century Gothic" w:hAnsi="Century Gothic" w:cs="Arial"/>
          <w:sz w:val="24"/>
          <w:szCs w:val="24"/>
          <w:lang w:val="es-CO"/>
        </w:rPr>
        <w:t>n</w:t>
      </w:r>
      <w:r w:rsidR="007510D6">
        <w:rPr>
          <w:rFonts w:ascii="Century Gothic" w:hAnsi="Century Gothic" w:cs="Arial"/>
          <w:sz w:val="24"/>
          <w:szCs w:val="24"/>
          <w:lang w:val="es-CO"/>
        </w:rPr>
        <w:t>sistencia</w:t>
      </w:r>
      <w:r w:rsidR="00436041">
        <w:rPr>
          <w:rFonts w:ascii="Century Gothic" w:hAnsi="Century Gothic" w:cs="Arial"/>
          <w:sz w:val="24"/>
          <w:szCs w:val="24"/>
          <w:lang w:val="es-CO"/>
        </w:rPr>
        <w:t xml:space="preserve"> en la información suministrada, solo que, a la referid</w:t>
      </w:r>
      <w:r w:rsidR="00562779">
        <w:rPr>
          <w:rFonts w:ascii="Century Gothic" w:hAnsi="Century Gothic" w:cs="Arial"/>
          <w:sz w:val="24"/>
          <w:szCs w:val="24"/>
          <w:lang w:val="es-CO"/>
        </w:rPr>
        <w:t>a diferencia entre los balances</w:t>
      </w:r>
      <w:r w:rsidR="00436041">
        <w:rPr>
          <w:rFonts w:ascii="Century Gothic" w:hAnsi="Century Gothic" w:cs="Arial"/>
          <w:sz w:val="24"/>
          <w:szCs w:val="24"/>
          <w:lang w:val="es-CO"/>
        </w:rPr>
        <w:t xml:space="preserve"> no se le podía atribuir los efectos que le asignó la entidad al rechazar la propuesta de la parte actora. Por su parte el</w:t>
      </w:r>
      <w:r w:rsidRPr="0043029B">
        <w:rPr>
          <w:rFonts w:ascii="Century Gothic" w:hAnsi="Century Gothic" w:cs="Arial"/>
          <w:b/>
          <w:sz w:val="24"/>
          <w:szCs w:val="24"/>
          <w:lang w:val="es-CO"/>
        </w:rPr>
        <w:t xml:space="preserve"> Ministerio Público</w:t>
      </w:r>
      <w:r>
        <w:rPr>
          <w:rFonts w:ascii="Century Gothic" w:hAnsi="Century Gothic" w:cs="Arial"/>
          <w:sz w:val="24"/>
          <w:szCs w:val="24"/>
          <w:lang w:val="es-CO"/>
        </w:rPr>
        <w:t xml:space="preserve"> </w:t>
      </w:r>
      <w:r w:rsidR="00436041">
        <w:rPr>
          <w:rFonts w:ascii="Century Gothic" w:hAnsi="Century Gothic" w:cs="Arial"/>
          <w:sz w:val="24"/>
          <w:szCs w:val="24"/>
          <w:lang w:val="es-CO"/>
        </w:rPr>
        <w:t xml:space="preserve">rindió </w:t>
      </w:r>
      <w:r w:rsidR="00436041" w:rsidRPr="005920DC">
        <w:rPr>
          <w:rFonts w:ascii="Century Gothic" w:hAnsi="Century Gothic" w:cs="Arial"/>
          <w:b/>
          <w:sz w:val="24"/>
          <w:szCs w:val="24"/>
          <w:lang w:val="es-CO"/>
        </w:rPr>
        <w:t>concepto</w:t>
      </w:r>
      <w:r w:rsidR="00436041">
        <w:rPr>
          <w:rFonts w:ascii="Century Gothic" w:hAnsi="Century Gothic" w:cs="Arial"/>
          <w:sz w:val="24"/>
          <w:szCs w:val="24"/>
          <w:lang w:val="es-CO"/>
        </w:rPr>
        <w:t xml:space="preserve"> en el </w:t>
      </w:r>
      <w:r w:rsidR="005920DC">
        <w:rPr>
          <w:rFonts w:ascii="Century Gothic" w:hAnsi="Century Gothic" w:cs="Arial"/>
          <w:sz w:val="24"/>
          <w:szCs w:val="24"/>
          <w:lang w:val="es-CO"/>
        </w:rPr>
        <w:t>que solicitó se confirmara la sentencia de primera instancia</w:t>
      </w:r>
      <w:r w:rsidR="005920DC">
        <w:rPr>
          <w:rStyle w:val="Refdenotaalpie"/>
          <w:rFonts w:ascii="Century Gothic" w:hAnsi="Century Gothic" w:cs="Arial"/>
          <w:sz w:val="24"/>
          <w:szCs w:val="24"/>
          <w:lang w:val="es-CO"/>
        </w:rPr>
        <w:footnoteReference w:id="13"/>
      </w:r>
      <w:r w:rsidR="005920DC">
        <w:rPr>
          <w:rFonts w:ascii="Century Gothic" w:hAnsi="Century Gothic" w:cs="Arial"/>
          <w:sz w:val="24"/>
          <w:szCs w:val="24"/>
          <w:lang w:val="es-CO"/>
        </w:rPr>
        <w:t xml:space="preserve">. </w:t>
      </w:r>
    </w:p>
    <w:p w14:paraId="50621047" w14:textId="77777777" w:rsidR="00817F22" w:rsidRPr="00B3624B" w:rsidRDefault="00817F22" w:rsidP="00B3624B">
      <w:pPr>
        <w:tabs>
          <w:tab w:val="left" w:pos="426"/>
        </w:tabs>
        <w:spacing w:line="360" w:lineRule="auto"/>
        <w:jc w:val="both"/>
        <w:rPr>
          <w:rFonts w:ascii="Century Gothic" w:hAnsi="Century Gothic" w:cs="Arial"/>
          <w:sz w:val="24"/>
          <w:szCs w:val="24"/>
        </w:rPr>
      </w:pPr>
    </w:p>
    <w:p w14:paraId="5D174191" w14:textId="77777777" w:rsidR="00694736" w:rsidRPr="00B3624B" w:rsidRDefault="00B3624B" w:rsidP="00B3624B">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lastRenderedPageBreak/>
        <w:t>El 19 de enero de 2017 el magistrado Ramiro Pazos Guerrero manifestó su impedim</w:t>
      </w:r>
      <w:r w:rsidRPr="00B3624B">
        <w:rPr>
          <w:rFonts w:ascii="Century Gothic" w:hAnsi="Century Gothic" w:cs="Arial"/>
          <w:sz w:val="24"/>
          <w:szCs w:val="24"/>
        </w:rPr>
        <w:t>ento</w:t>
      </w:r>
      <w:r w:rsidR="00E21D91">
        <w:rPr>
          <w:rFonts w:ascii="Century Gothic" w:hAnsi="Century Gothic" w:cs="Arial"/>
          <w:sz w:val="24"/>
          <w:szCs w:val="24"/>
        </w:rPr>
        <w:t>,</w:t>
      </w:r>
      <w:r w:rsidRPr="00B3624B">
        <w:rPr>
          <w:rFonts w:ascii="Century Gothic" w:hAnsi="Century Gothic" w:cs="Arial"/>
          <w:sz w:val="24"/>
          <w:szCs w:val="24"/>
        </w:rPr>
        <w:t xml:space="preserve"> por haber conocido del asunto en primera instancia, </w:t>
      </w:r>
      <w:r>
        <w:rPr>
          <w:rFonts w:ascii="Century Gothic" w:hAnsi="Century Gothic" w:cs="Arial"/>
          <w:sz w:val="24"/>
          <w:szCs w:val="24"/>
        </w:rPr>
        <w:t>impedimento que le fue aceptado mediante Auto de 25 de enero de 2017</w:t>
      </w:r>
      <w:r>
        <w:rPr>
          <w:rStyle w:val="Refdenotaalpie"/>
          <w:rFonts w:ascii="Century Gothic" w:hAnsi="Century Gothic" w:cs="Arial"/>
          <w:sz w:val="24"/>
          <w:szCs w:val="24"/>
        </w:rPr>
        <w:footnoteReference w:id="14"/>
      </w:r>
      <w:r>
        <w:rPr>
          <w:rFonts w:ascii="Century Gothic" w:hAnsi="Century Gothic" w:cs="Arial"/>
          <w:sz w:val="24"/>
          <w:szCs w:val="24"/>
        </w:rPr>
        <w:t xml:space="preserve">. </w:t>
      </w:r>
    </w:p>
    <w:p w14:paraId="603B4658" w14:textId="77777777" w:rsidR="00694736" w:rsidRDefault="00694736" w:rsidP="00694736">
      <w:pPr>
        <w:pStyle w:val="Prrafodelista"/>
        <w:rPr>
          <w:rFonts w:ascii="Century Gothic" w:hAnsi="Century Gothic" w:cs="Arial"/>
          <w:sz w:val="24"/>
          <w:szCs w:val="24"/>
        </w:rPr>
      </w:pPr>
    </w:p>
    <w:p w14:paraId="5D0682AC" w14:textId="77777777" w:rsidR="00EE29B1" w:rsidRPr="007D6CC6" w:rsidRDefault="007D6CC6" w:rsidP="000F7FFA">
      <w:pPr>
        <w:numPr>
          <w:ilvl w:val="0"/>
          <w:numId w:val="3"/>
        </w:numPr>
        <w:tabs>
          <w:tab w:val="left" w:pos="426"/>
        </w:tabs>
        <w:spacing w:line="360" w:lineRule="auto"/>
        <w:ind w:left="0" w:firstLine="0"/>
        <w:jc w:val="both"/>
        <w:rPr>
          <w:rFonts w:ascii="Century Gothic" w:hAnsi="Century Gothic" w:cs="Arial"/>
          <w:sz w:val="24"/>
          <w:szCs w:val="24"/>
        </w:rPr>
      </w:pPr>
      <w:r w:rsidRPr="007D6CC6">
        <w:rPr>
          <w:rFonts w:ascii="Century Gothic" w:hAnsi="Century Gothic" w:cs="Arial"/>
          <w:sz w:val="24"/>
          <w:szCs w:val="24"/>
        </w:rPr>
        <w:t>El</w:t>
      </w:r>
      <w:r w:rsidR="00B3624B" w:rsidRPr="007D6CC6">
        <w:rPr>
          <w:rFonts w:ascii="Century Gothic" w:hAnsi="Century Gothic" w:cs="Arial"/>
          <w:sz w:val="24"/>
          <w:szCs w:val="24"/>
        </w:rPr>
        <w:t xml:space="preserve"> </w:t>
      </w:r>
      <w:r w:rsidR="00EE29B1" w:rsidRPr="007D6CC6">
        <w:rPr>
          <w:rFonts w:ascii="Century Gothic" w:hAnsi="Century Gothic" w:cs="Arial"/>
          <w:sz w:val="24"/>
          <w:szCs w:val="24"/>
        </w:rPr>
        <w:t>magistrado</w:t>
      </w:r>
      <w:r w:rsidR="00B3624B" w:rsidRPr="007D6CC6">
        <w:rPr>
          <w:rFonts w:ascii="Century Gothic" w:hAnsi="Century Gothic" w:cs="Arial"/>
          <w:sz w:val="24"/>
          <w:szCs w:val="24"/>
        </w:rPr>
        <w:t xml:space="preserve"> Martín</w:t>
      </w:r>
      <w:r w:rsidR="00EE29B1" w:rsidRPr="007D6CC6">
        <w:rPr>
          <w:rFonts w:ascii="Century Gothic" w:hAnsi="Century Gothic" w:cs="Arial"/>
          <w:sz w:val="24"/>
          <w:szCs w:val="24"/>
        </w:rPr>
        <w:t xml:space="preserve"> Bermúdez</w:t>
      </w:r>
      <w:r w:rsidR="00B3624B" w:rsidRPr="007D6CC6">
        <w:rPr>
          <w:rFonts w:ascii="Century Gothic" w:hAnsi="Century Gothic" w:cs="Arial"/>
          <w:sz w:val="24"/>
          <w:szCs w:val="24"/>
        </w:rPr>
        <w:t xml:space="preserve"> Muñoz manifestó, de igual manera, su impedimento,</w:t>
      </w:r>
      <w:r>
        <w:rPr>
          <w:rFonts w:ascii="Century Gothic" w:hAnsi="Century Gothic" w:cs="Arial"/>
          <w:sz w:val="24"/>
          <w:szCs w:val="24"/>
        </w:rPr>
        <w:t xml:space="preserve"> </w:t>
      </w:r>
      <w:r>
        <w:rPr>
          <w:rFonts w:ascii="Century Gothic" w:eastAsia="Century Gothic" w:hAnsi="Century Gothic" w:cs="Century Gothic"/>
          <w:sz w:val="24"/>
          <w:szCs w:val="24"/>
        </w:rPr>
        <w:t xml:space="preserve">por hallarse incurso en la causal prevista en el numeral 3 del artículo 141 del Código General del Proceso, </w:t>
      </w:r>
      <w:r w:rsidRPr="007D6CC6">
        <w:rPr>
          <w:rFonts w:ascii="Century Gothic" w:hAnsi="Century Gothic" w:cs="Arial"/>
          <w:sz w:val="24"/>
          <w:szCs w:val="24"/>
        </w:rPr>
        <w:t>el cual fue aceptado mediante Auto de 22 de julio de 2019</w:t>
      </w:r>
      <w:r w:rsidRPr="007D6CC6">
        <w:rPr>
          <w:rStyle w:val="Refdenotaalpie"/>
          <w:rFonts w:ascii="Century Gothic" w:hAnsi="Century Gothic" w:cs="Arial"/>
          <w:sz w:val="24"/>
          <w:szCs w:val="24"/>
        </w:rPr>
        <w:footnoteReference w:id="15"/>
      </w:r>
      <w:r w:rsidRPr="007D6CC6">
        <w:rPr>
          <w:rFonts w:ascii="Century Gothic" w:hAnsi="Century Gothic" w:cs="Arial"/>
          <w:sz w:val="24"/>
          <w:szCs w:val="24"/>
        </w:rPr>
        <w:t xml:space="preserve">, providencia en la que se dispuso, además, la realización del sorteo de conjueces, al haberse visto afectado el quórum para decidir. El sorteo se realizó el 29 de julio de 2019, </w:t>
      </w:r>
      <w:r w:rsidR="00DE74DA">
        <w:rPr>
          <w:rFonts w:ascii="Century Gothic" w:hAnsi="Century Gothic" w:cs="Arial"/>
          <w:sz w:val="24"/>
          <w:szCs w:val="24"/>
        </w:rPr>
        <w:t>y en él</w:t>
      </w:r>
      <w:r w:rsidRPr="007D6CC6">
        <w:rPr>
          <w:rFonts w:ascii="Century Gothic" w:hAnsi="Century Gothic" w:cs="Arial"/>
          <w:sz w:val="24"/>
          <w:szCs w:val="24"/>
        </w:rPr>
        <w:t xml:space="preserve"> resultaron designados como conjueces: Edgardo Villamil Portilla y Alier Eduardo Hernández Enríquez. </w:t>
      </w:r>
    </w:p>
    <w:p w14:paraId="5DCFDF1E" w14:textId="77777777" w:rsidR="00EE29B1" w:rsidRPr="00807C57" w:rsidRDefault="00EE29B1" w:rsidP="000F7FFA">
      <w:pPr>
        <w:spacing w:line="360" w:lineRule="auto"/>
        <w:jc w:val="both"/>
        <w:rPr>
          <w:rFonts w:ascii="Century Gothic" w:hAnsi="Century Gothic" w:cs="Arial"/>
          <w:sz w:val="24"/>
          <w:szCs w:val="24"/>
        </w:rPr>
      </w:pPr>
    </w:p>
    <w:p w14:paraId="0AAF6B8D" w14:textId="77777777" w:rsidR="00807C57" w:rsidRPr="00807C57" w:rsidRDefault="00807C57" w:rsidP="000F7FFA">
      <w:pPr>
        <w:spacing w:line="360" w:lineRule="auto"/>
        <w:jc w:val="center"/>
        <w:rPr>
          <w:rFonts w:ascii="Century Gothic" w:hAnsi="Century Gothic" w:cs="Arial"/>
          <w:b/>
          <w:sz w:val="24"/>
          <w:szCs w:val="24"/>
        </w:rPr>
      </w:pPr>
      <w:r w:rsidRPr="00807C57">
        <w:rPr>
          <w:rFonts w:ascii="Century Gothic" w:hAnsi="Century Gothic" w:cs="Arial"/>
          <w:b/>
          <w:sz w:val="24"/>
          <w:szCs w:val="24"/>
        </w:rPr>
        <w:t>2. CONSIDERACIONES</w:t>
      </w:r>
    </w:p>
    <w:p w14:paraId="06BDB80C" w14:textId="77777777" w:rsidR="00807C57" w:rsidRPr="00807C57" w:rsidRDefault="00807C57" w:rsidP="000F7FFA">
      <w:pPr>
        <w:spacing w:line="360" w:lineRule="auto"/>
        <w:jc w:val="both"/>
        <w:rPr>
          <w:rFonts w:ascii="Century Gothic" w:hAnsi="Century Gothic" w:cs="Arial"/>
          <w:sz w:val="20"/>
          <w:szCs w:val="20"/>
        </w:rPr>
      </w:pPr>
    </w:p>
    <w:p w14:paraId="374A6433" w14:textId="77777777" w:rsidR="00807C57" w:rsidRDefault="00807C57" w:rsidP="00EE29B1">
      <w:pPr>
        <w:jc w:val="both"/>
        <w:rPr>
          <w:rFonts w:ascii="Century Gothic" w:hAnsi="Century Gothic" w:cs="Arial"/>
          <w:sz w:val="20"/>
          <w:szCs w:val="20"/>
        </w:rPr>
      </w:pPr>
      <w:r w:rsidRPr="00807C57">
        <w:rPr>
          <w:rFonts w:ascii="Century Gothic" w:hAnsi="Century Gothic" w:cs="Arial"/>
          <w:sz w:val="20"/>
          <w:szCs w:val="20"/>
        </w:rPr>
        <w:t xml:space="preserve">Contenido: 2.1. Jurisdicción y competencia – 2.2. Hechos probados - 2.3. Caso concreto </w:t>
      </w:r>
      <w:r w:rsidRPr="00807C57">
        <w:rPr>
          <w:rFonts w:ascii="Century Gothic" w:hAnsi="Century Gothic" w:cs="Arial"/>
          <w:sz w:val="20"/>
          <w:szCs w:val="20"/>
          <w:lang w:val="es-CO"/>
        </w:rPr>
        <w:t xml:space="preserve">- </w:t>
      </w:r>
      <w:r w:rsidRPr="00807C57">
        <w:rPr>
          <w:rFonts w:ascii="Century Gothic" w:hAnsi="Century Gothic" w:cs="Arial"/>
          <w:sz w:val="20"/>
          <w:szCs w:val="20"/>
        </w:rPr>
        <w:t>2.4.</w:t>
      </w:r>
      <w:r w:rsidRPr="00807C57">
        <w:rPr>
          <w:rFonts w:ascii="Century Gothic" w:hAnsi="Century Gothic" w:cs="Arial"/>
          <w:b/>
          <w:sz w:val="20"/>
          <w:szCs w:val="20"/>
          <w:lang w:val="es-CO"/>
        </w:rPr>
        <w:t xml:space="preserve"> </w:t>
      </w:r>
      <w:r w:rsidRPr="00807C57">
        <w:rPr>
          <w:rFonts w:ascii="Century Gothic" w:hAnsi="Century Gothic" w:cs="Arial"/>
          <w:sz w:val="20"/>
          <w:szCs w:val="20"/>
        </w:rPr>
        <w:t>Sobre la condena en costas</w:t>
      </w:r>
    </w:p>
    <w:p w14:paraId="3BF2C913" w14:textId="77777777" w:rsidR="00DB48F4" w:rsidRPr="00807C57" w:rsidRDefault="00DB48F4" w:rsidP="00EE29B1">
      <w:pPr>
        <w:jc w:val="both"/>
        <w:rPr>
          <w:rFonts w:ascii="Century Gothic" w:hAnsi="Century Gothic" w:cs="Arial"/>
          <w:sz w:val="20"/>
          <w:szCs w:val="20"/>
          <w:lang w:val="es-CO"/>
        </w:rPr>
      </w:pPr>
    </w:p>
    <w:p w14:paraId="6C18C1DB" w14:textId="77777777" w:rsidR="00807C57" w:rsidRPr="00807C57" w:rsidRDefault="00807C57" w:rsidP="000F7FFA">
      <w:pPr>
        <w:spacing w:line="360" w:lineRule="auto"/>
        <w:rPr>
          <w:rFonts w:ascii="Century Gothic" w:hAnsi="Century Gothic" w:cs="Arial"/>
          <w:b/>
          <w:sz w:val="24"/>
          <w:szCs w:val="24"/>
        </w:rPr>
      </w:pPr>
    </w:p>
    <w:p w14:paraId="0CD1D43D" w14:textId="77777777" w:rsidR="00807C57" w:rsidRPr="00807C57" w:rsidRDefault="00807C57" w:rsidP="000F7FFA">
      <w:pPr>
        <w:spacing w:line="360" w:lineRule="auto"/>
        <w:rPr>
          <w:rFonts w:ascii="Century Gothic" w:hAnsi="Century Gothic" w:cs="Arial"/>
          <w:b/>
          <w:sz w:val="24"/>
          <w:szCs w:val="24"/>
        </w:rPr>
      </w:pPr>
      <w:r w:rsidRPr="00807C57">
        <w:rPr>
          <w:rFonts w:ascii="Century Gothic" w:hAnsi="Century Gothic" w:cs="Arial"/>
          <w:b/>
          <w:sz w:val="24"/>
          <w:szCs w:val="24"/>
        </w:rPr>
        <w:t xml:space="preserve">2.1. Jurisdicción y competencia </w:t>
      </w:r>
    </w:p>
    <w:p w14:paraId="68C7EE5E" w14:textId="77777777" w:rsidR="00807C57" w:rsidRPr="00807C57" w:rsidRDefault="00807C57" w:rsidP="000F7FFA">
      <w:pPr>
        <w:spacing w:line="360" w:lineRule="auto"/>
        <w:rPr>
          <w:rFonts w:ascii="Century Gothic" w:hAnsi="Century Gothic" w:cs="Arial"/>
          <w:sz w:val="24"/>
          <w:szCs w:val="24"/>
        </w:rPr>
      </w:pPr>
    </w:p>
    <w:p w14:paraId="59106D8E" w14:textId="77777777" w:rsidR="00126CDE" w:rsidRDefault="00126CDE" w:rsidP="00ED5281">
      <w:pPr>
        <w:numPr>
          <w:ilvl w:val="0"/>
          <w:numId w:val="3"/>
        </w:numPr>
        <w:tabs>
          <w:tab w:val="left" w:pos="426"/>
        </w:tabs>
        <w:spacing w:line="360" w:lineRule="auto"/>
        <w:ind w:left="0" w:firstLine="0"/>
        <w:jc w:val="both"/>
        <w:rPr>
          <w:rFonts w:ascii="Century Gothic" w:hAnsi="Century Gothic" w:cs="Arial"/>
          <w:sz w:val="24"/>
          <w:szCs w:val="24"/>
        </w:rPr>
      </w:pPr>
      <w:r w:rsidRPr="00807C57">
        <w:rPr>
          <w:rFonts w:ascii="Century Gothic" w:hAnsi="Century Gothic" w:cs="Arial"/>
          <w:sz w:val="24"/>
          <w:szCs w:val="24"/>
        </w:rPr>
        <w:t xml:space="preserve">El presente asunto es de conocimiento de la </w:t>
      </w:r>
      <w:r w:rsidRPr="00D20EC5">
        <w:rPr>
          <w:rFonts w:ascii="Century Gothic" w:hAnsi="Century Gothic" w:cs="Arial"/>
          <w:b/>
          <w:sz w:val="24"/>
          <w:szCs w:val="24"/>
        </w:rPr>
        <w:t>jurisdicción de lo contencioso administrativo</w:t>
      </w:r>
      <w:r w:rsidRPr="00807C57">
        <w:rPr>
          <w:rFonts w:ascii="Century Gothic" w:hAnsi="Century Gothic" w:cs="Arial"/>
          <w:sz w:val="24"/>
          <w:szCs w:val="24"/>
        </w:rPr>
        <w:t xml:space="preserve"> por tratarse </w:t>
      </w:r>
      <w:r>
        <w:rPr>
          <w:rFonts w:ascii="Century Gothic" w:hAnsi="Century Gothic" w:cs="Arial"/>
          <w:sz w:val="24"/>
          <w:szCs w:val="24"/>
        </w:rPr>
        <w:t xml:space="preserve">de un proceso donde se pretende, a través de la acción </w:t>
      </w:r>
      <w:r w:rsidRPr="00562779">
        <w:rPr>
          <w:rFonts w:ascii="Century Gothic" w:hAnsi="Century Gothic" w:cs="Arial"/>
          <w:sz w:val="24"/>
          <w:szCs w:val="24"/>
        </w:rPr>
        <w:t>de nulidad y restablecimiento del derecho, la</w:t>
      </w:r>
      <w:r>
        <w:rPr>
          <w:rFonts w:ascii="Century Gothic" w:hAnsi="Century Gothic" w:cs="Arial"/>
          <w:sz w:val="24"/>
          <w:szCs w:val="24"/>
        </w:rPr>
        <w:t xml:space="preserve"> declaratoria de nulidad de la resolución que adjudicó un contrato y la nulidad del contrato celebrado por una entidad estatal</w:t>
      </w:r>
      <w:r>
        <w:rPr>
          <w:rStyle w:val="Refdenotaalpie"/>
          <w:rFonts w:ascii="Century Gothic" w:hAnsi="Century Gothic" w:cs="Arial"/>
          <w:sz w:val="24"/>
          <w:szCs w:val="24"/>
        </w:rPr>
        <w:footnoteReference w:id="16"/>
      </w:r>
      <w:r w:rsidRPr="00134171">
        <w:rPr>
          <w:rFonts w:ascii="Century Gothic" w:hAnsi="Century Gothic" w:cs="Arial"/>
          <w:sz w:val="24"/>
          <w:szCs w:val="24"/>
        </w:rPr>
        <w:t>.</w:t>
      </w:r>
    </w:p>
    <w:p w14:paraId="6647BF85" w14:textId="77777777" w:rsidR="00126CDE" w:rsidRPr="00126CDE" w:rsidRDefault="00126CDE" w:rsidP="00126CDE">
      <w:pPr>
        <w:tabs>
          <w:tab w:val="left" w:pos="426"/>
        </w:tabs>
        <w:spacing w:line="360" w:lineRule="auto"/>
        <w:jc w:val="both"/>
        <w:rPr>
          <w:rFonts w:ascii="Century Gothic" w:hAnsi="Century Gothic" w:cs="Arial"/>
          <w:sz w:val="24"/>
          <w:szCs w:val="24"/>
        </w:rPr>
      </w:pPr>
    </w:p>
    <w:p w14:paraId="698B3079" w14:textId="77777777" w:rsidR="00807C57" w:rsidRDefault="00807C57" w:rsidP="00694736">
      <w:pPr>
        <w:numPr>
          <w:ilvl w:val="0"/>
          <w:numId w:val="3"/>
        </w:numPr>
        <w:tabs>
          <w:tab w:val="left" w:pos="426"/>
        </w:tabs>
        <w:spacing w:line="360" w:lineRule="auto"/>
        <w:ind w:left="0" w:firstLine="0"/>
        <w:jc w:val="both"/>
        <w:rPr>
          <w:rFonts w:ascii="Century Gothic" w:hAnsi="Century Gothic" w:cs="Arial"/>
          <w:sz w:val="24"/>
          <w:szCs w:val="24"/>
        </w:rPr>
      </w:pPr>
      <w:r w:rsidRPr="00694736">
        <w:rPr>
          <w:rFonts w:ascii="Century Gothic" w:hAnsi="Century Gothic" w:cs="Arial"/>
          <w:sz w:val="24"/>
          <w:szCs w:val="24"/>
        </w:rPr>
        <w:t xml:space="preserve">El Consejo de Estado es </w:t>
      </w:r>
      <w:r w:rsidRPr="00694736">
        <w:rPr>
          <w:rFonts w:ascii="Century Gothic" w:hAnsi="Century Gothic" w:cs="Arial"/>
          <w:b/>
          <w:sz w:val="24"/>
          <w:szCs w:val="24"/>
        </w:rPr>
        <w:t>competente</w:t>
      </w:r>
      <w:r w:rsidRPr="00694736">
        <w:rPr>
          <w:rFonts w:ascii="Century Gothic" w:hAnsi="Century Gothic" w:cs="Arial"/>
          <w:sz w:val="24"/>
          <w:szCs w:val="24"/>
        </w:rPr>
        <w:t xml:space="preserve"> para conocer de los recursos de apelación interpuestos contra las sentencias dictadas por los Tribunales Administrativos en primera instancia, de conformidad con lo dispuesto por el artículo 129 del Código Contencioso Administrativo.</w:t>
      </w:r>
    </w:p>
    <w:p w14:paraId="1BCF8606" w14:textId="77777777" w:rsidR="00807C57" w:rsidRPr="00807C57" w:rsidRDefault="00807C57" w:rsidP="00694736">
      <w:pPr>
        <w:tabs>
          <w:tab w:val="left" w:pos="426"/>
        </w:tabs>
        <w:spacing w:line="360" w:lineRule="auto"/>
        <w:jc w:val="both"/>
        <w:rPr>
          <w:rFonts w:ascii="Century Gothic" w:hAnsi="Century Gothic" w:cs="Arial"/>
          <w:b/>
          <w:sz w:val="24"/>
          <w:szCs w:val="24"/>
        </w:rPr>
      </w:pPr>
    </w:p>
    <w:p w14:paraId="03555585" w14:textId="77777777" w:rsidR="00807C57" w:rsidRPr="00807C57" w:rsidRDefault="00807C57" w:rsidP="000F7FFA">
      <w:pPr>
        <w:spacing w:line="360" w:lineRule="auto"/>
        <w:jc w:val="both"/>
        <w:rPr>
          <w:rFonts w:ascii="Century Gothic" w:hAnsi="Century Gothic" w:cs="Arial"/>
          <w:b/>
          <w:sz w:val="24"/>
          <w:szCs w:val="24"/>
        </w:rPr>
      </w:pPr>
      <w:r w:rsidRPr="00807C57">
        <w:rPr>
          <w:rFonts w:ascii="Century Gothic" w:hAnsi="Century Gothic" w:cs="Arial"/>
          <w:b/>
          <w:sz w:val="24"/>
          <w:szCs w:val="24"/>
        </w:rPr>
        <w:t>2.2. Hechos probados</w:t>
      </w:r>
    </w:p>
    <w:p w14:paraId="7BBE91C6" w14:textId="77777777" w:rsidR="00807C57" w:rsidRPr="00807C57" w:rsidRDefault="00807C57" w:rsidP="000F7FFA">
      <w:pPr>
        <w:spacing w:line="360" w:lineRule="auto"/>
        <w:jc w:val="both"/>
        <w:rPr>
          <w:rFonts w:ascii="Century Gothic" w:hAnsi="Century Gothic" w:cs="Arial"/>
          <w:b/>
          <w:sz w:val="24"/>
          <w:szCs w:val="24"/>
        </w:rPr>
      </w:pPr>
    </w:p>
    <w:p w14:paraId="58EB5D8E" w14:textId="77777777" w:rsidR="00694736" w:rsidRDefault="00807C57" w:rsidP="00694736">
      <w:pPr>
        <w:numPr>
          <w:ilvl w:val="0"/>
          <w:numId w:val="3"/>
        </w:numPr>
        <w:tabs>
          <w:tab w:val="left" w:pos="426"/>
        </w:tabs>
        <w:spacing w:line="360" w:lineRule="auto"/>
        <w:ind w:left="0" w:firstLine="0"/>
        <w:jc w:val="both"/>
        <w:rPr>
          <w:rFonts w:ascii="Century Gothic" w:hAnsi="Century Gothic" w:cs="Arial"/>
          <w:sz w:val="24"/>
          <w:szCs w:val="24"/>
        </w:rPr>
      </w:pPr>
      <w:r w:rsidRPr="00807C57">
        <w:rPr>
          <w:rFonts w:ascii="Century Gothic" w:hAnsi="Century Gothic" w:cs="Arial"/>
          <w:sz w:val="24"/>
          <w:szCs w:val="24"/>
        </w:rPr>
        <w:lastRenderedPageBreak/>
        <w:t xml:space="preserve">En consideración a los </w:t>
      </w:r>
      <w:r w:rsidRPr="00807C57">
        <w:rPr>
          <w:rFonts w:ascii="Century Gothic" w:hAnsi="Century Gothic" w:cs="Arial"/>
          <w:b/>
          <w:sz w:val="24"/>
          <w:szCs w:val="24"/>
        </w:rPr>
        <w:t xml:space="preserve">medios de prueba </w:t>
      </w:r>
      <w:r w:rsidRPr="00807C57">
        <w:rPr>
          <w:rFonts w:ascii="Century Gothic" w:hAnsi="Century Gothic" w:cs="Arial"/>
          <w:sz w:val="24"/>
          <w:szCs w:val="24"/>
        </w:rPr>
        <w:t>regularmente aportados al proceso, se acreditaron los siguientes hechos relevantes:</w:t>
      </w:r>
    </w:p>
    <w:p w14:paraId="5870EE78" w14:textId="77777777" w:rsidR="00694736" w:rsidRDefault="00694736" w:rsidP="00694736">
      <w:pPr>
        <w:tabs>
          <w:tab w:val="left" w:pos="426"/>
        </w:tabs>
        <w:spacing w:line="360" w:lineRule="auto"/>
        <w:jc w:val="both"/>
        <w:rPr>
          <w:rFonts w:ascii="Century Gothic" w:hAnsi="Century Gothic" w:cs="Arial"/>
          <w:sz w:val="24"/>
          <w:szCs w:val="24"/>
        </w:rPr>
      </w:pPr>
    </w:p>
    <w:p w14:paraId="7F796248" w14:textId="77777777" w:rsidR="00C12AB4" w:rsidRDefault="00694736" w:rsidP="00694736">
      <w:pPr>
        <w:numPr>
          <w:ilvl w:val="0"/>
          <w:numId w:val="3"/>
        </w:numPr>
        <w:tabs>
          <w:tab w:val="left" w:pos="426"/>
        </w:tabs>
        <w:spacing w:line="360" w:lineRule="auto"/>
        <w:ind w:left="0" w:firstLine="0"/>
        <w:jc w:val="both"/>
        <w:rPr>
          <w:rFonts w:ascii="Century Gothic" w:hAnsi="Century Gothic" w:cs="Arial"/>
          <w:sz w:val="24"/>
          <w:szCs w:val="24"/>
        </w:rPr>
      </w:pPr>
      <w:r w:rsidRPr="00694736">
        <w:rPr>
          <w:rFonts w:ascii="Century Gothic" w:hAnsi="Century Gothic" w:cs="Arial"/>
          <w:sz w:val="24"/>
          <w:szCs w:val="24"/>
        </w:rPr>
        <w:t>Mediante Resolución 304 de 17 de junio de 2005, el Director de Sanidad de la Policía Nacional ordenó la apert</w:t>
      </w:r>
      <w:r w:rsidR="00E21D91">
        <w:rPr>
          <w:rFonts w:ascii="Century Gothic" w:hAnsi="Century Gothic" w:cs="Arial"/>
          <w:sz w:val="24"/>
          <w:szCs w:val="24"/>
        </w:rPr>
        <w:t xml:space="preserve">ura de la contratación directa </w:t>
      </w:r>
      <w:r w:rsidRPr="00694736">
        <w:rPr>
          <w:rFonts w:ascii="Century Gothic" w:hAnsi="Century Gothic" w:cs="Arial"/>
          <w:sz w:val="24"/>
          <w:szCs w:val="24"/>
        </w:rPr>
        <w:t>17 – DISAN – 2005, para la celebración de un contrato cuyo objeto era “</w:t>
      </w:r>
      <w:r w:rsidRPr="00A5288A">
        <w:rPr>
          <w:rFonts w:ascii="Century Gothic" w:hAnsi="Century Gothic" w:cs="Arial"/>
          <w:i/>
          <w:sz w:val="24"/>
          <w:szCs w:val="24"/>
        </w:rPr>
        <w:t>la prestación del servicio para la atención integral ambulatoria y hospitalaria del paciente con insuficiencia renal agua o crónica (…)</w:t>
      </w:r>
      <w:r w:rsidRPr="00694736">
        <w:rPr>
          <w:rFonts w:ascii="Century Gothic" w:hAnsi="Century Gothic" w:cs="Arial"/>
          <w:sz w:val="24"/>
          <w:szCs w:val="24"/>
        </w:rPr>
        <w:t>”</w:t>
      </w:r>
      <w:r>
        <w:rPr>
          <w:rStyle w:val="Refdenotaalpie"/>
          <w:rFonts w:ascii="Century Gothic" w:hAnsi="Century Gothic" w:cs="Arial"/>
          <w:sz w:val="24"/>
          <w:szCs w:val="24"/>
        </w:rPr>
        <w:footnoteReference w:id="17"/>
      </w:r>
      <w:r>
        <w:rPr>
          <w:rFonts w:ascii="Century Gothic" w:hAnsi="Century Gothic" w:cs="Arial"/>
          <w:sz w:val="24"/>
          <w:szCs w:val="24"/>
        </w:rPr>
        <w:t>.</w:t>
      </w:r>
    </w:p>
    <w:p w14:paraId="6EBC6B8D" w14:textId="77777777" w:rsidR="00694736" w:rsidRDefault="00694736" w:rsidP="00DC75FA">
      <w:pPr>
        <w:pStyle w:val="Prrafodelista"/>
        <w:tabs>
          <w:tab w:val="left" w:pos="426"/>
        </w:tabs>
        <w:ind w:left="0"/>
        <w:rPr>
          <w:rFonts w:ascii="Century Gothic" w:hAnsi="Century Gothic" w:cs="Arial"/>
          <w:sz w:val="24"/>
          <w:szCs w:val="24"/>
        </w:rPr>
      </w:pPr>
    </w:p>
    <w:p w14:paraId="4D76E2C1" w14:textId="77777777" w:rsidR="00694736" w:rsidRDefault="00694736" w:rsidP="00A5288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En los términos de referencia se indicó que el balance general constituía un documento de orden financiero no subsanable</w:t>
      </w:r>
      <w:r>
        <w:rPr>
          <w:rStyle w:val="Refdenotaalpie"/>
          <w:rFonts w:ascii="Century Gothic" w:hAnsi="Century Gothic" w:cs="Arial"/>
          <w:sz w:val="24"/>
          <w:szCs w:val="24"/>
        </w:rPr>
        <w:footnoteReference w:id="18"/>
      </w:r>
      <w:r>
        <w:rPr>
          <w:rFonts w:ascii="Century Gothic" w:hAnsi="Century Gothic" w:cs="Arial"/>
          <w:sz w:val="24"/>
          <w:szCs w:val="24"/>
        </w:rPr>
        <w:t>.</w:t>
      </w:r>
      <w:r w:rsidR="00A5288A">
        <w:rPr>
          <w:rFonts w:ascii="Century Gothic" w:hAnsi="Century Gothic" w:cs="Arial"/>
          <w:sz w:val="24"/>
          <w:szCs w:val="24"/>
        </w:rPr>
        <w:t xml:space="preserve"> E</w:t>
      </w:r>
      <w:r w:rsidR="00A5288A" w:rsidRPr="00A5288A">
        <w:rPr>
          <w:rFonts w:ascii="Century Gothic" w:hAnsi="Century Gothic" w:cs="Arial"/>
          <w:sz w:val="24"/>
          <w:szCs w:val="24"/>
        </w:rPr>
        <w:t xml:space="preserve">n </w:t>
      </w:r>
      <w:r w:rsidR="0083447A">
        <w:rPr>
          <w:rFonts w:ascii="Century Gothic" w:hAnsi="Century Gothic" w:cs="Arial"/>
          <w:sz w:val="24"/>
          <w:szCs w:val="24"/>
        </w:rPr>
        <w:t>dichos</w:t>
      </w:r>
      <w:r w:rsidR="00A5288A">
        <w:rPr>
          <w:rFonts w:ascii="Century Gothic" w:hAnsi="Century Gothic" w:cs="Arial"/>
          <w:sz w:val="24"/>
          <w:szCs w:val="24"/>
        </w:rPr>
        <w:t xml:space="preserve"> </w:t>
      </w:r>
      <w:r w:rsidR="00A5288A" w:rsidRPr="00A5288A">
        <w:rPr>
          <w:rFonts w:ascii="Century Gothic" w:hAnsi="Century Gothic" w:cs="Arial"/>
          <w:sz w:val="24"/>
          <w:szCs w:val="24"/>
        </w:rPr>
        <w:t xml:space="preserve">términos de referencia se establecieron criterios de calificación de los documentos financieros, asignándoles puntaje, es decir, estos tenían incidencia directa en los factores de comparación de las propuestas, razón por la cual se </w:t>
      </w:r>
      <w:r w:rsidR="00BB6170">
        <w:rPr>
          <w:rFonts w:ascii="Century Gothic" w:hAnsi="Century Gothic" w:cs="Arial"/>
          <w:sz w:val="24"/>
          <w:szCs w:val="24"/>
        </w:rPr>
        <w:t>señaló</w:t>
      </w:r>
      <w:r w:rsidR="00A5288A" w:rsidRPr="00A5288A">
        <w:rPr>
          <w:rFonts w:ascii="Century Gothic" w:hAnsi="Century Gothic" w:cs="Arial"/>
          <w:sz w:val="24"/>
          <w:szCs w:val="24"/>
        </w:rPr>
        <w:t xml:space="preserve"> </w:t>
      </w:r>
      <w:r w:rsidR="0083447A">
        <w:rPr>
          <w:rFonts w:ascii="Century Gothic" w:hAnsi="Century Gothic" w:cs="Arial"/>
          <w:sz w:val="24"/>
          <w:szCs w:val="24"/>
        </w:rPr>
        <w:t xml:space="preserve">que </w:t>
      </w:r>
      <w:r w:rsidR="00A5288A" w:rsidRPr="00A5288A">
        <w:rPr>
          <w:rFonts w:ascii="Century Gothic" w:hAnsi="Century Gothic" w:cs="Arial"/>
          <w:sz w:val="24"/>
          <w:szCs w:val="24"/>
        </w:rPr>
        <w:t>el</w:t>
      </w:r>
      <w:r w:rsidR="0083447A">
        <w:rPr>
          <w:rFonts w:ascii="Century Gothic" w:hAnsi="Century Gothic" w:cs="Arial"/>
          <w:sz w:val="24"/>
          <w:szCs w:val="24"/>
        </w:rPr>
        <w:t xml:space="preserve"> referido</w:t>
      </w:r>
      <w:r w:rsidR="00A5288A" w:rsidRPr="00A5288A">
        <w:rPr>
          <w:rFonts w:ascii="Century Gothic" w:hAnsi="Century Gothic" w:cs="Arial"/>
          <w:sz w:val="24"/>
          <w:szCs w:val="24"/>
        </w:rPr>
        <w:t xml:space="preserve"> documento financiero </w:t>
      </w:r>
      <w:r w:rsidR="0083447A">
        <w:rPr>
          <w:rFonts w:ascii="Century Gothic" w:hAnsi="Century Gothic" w:cs="Arial"/>
          <w:sz w:val="24"/>
          <w:szCs w:val="24"/>
        </w:rPr>
        <w:t xml:space="preserve">tenía el carácter de </w:t>
      </w:r>
      <w:r w:rsidR="00A5288A" w:rsidRPr="00A5288A">
        <w:rPr>
          <w:rFonts w:ascii="Century Gothic" w:hAnsi="Century Gothic" w:cs="Arial"/>
          <w:sz w:val="24"/>
          <w:szCs w:val="24"/>
        </w:rPr>
        <w:t>no subsanable.</w:t>
      </w:r>
    </w:p>
    <w:p w14:paraId="64E5DA8E" w14:textId="77777777" w:rsidR="00841C8A" w:rsidRDefault="00841C8A" w:rsidP="00841C8A">
      <w:pPr>
        <w:pStyle w:val="Prrafodelista"/>
        <w:rPr>
          <w:rFonts w:ascii="Century Gothic" w:hAnsi="Century Gothic" w:cs="Arial"/>
          <w:sz w:val="24"/>
          <w:szCs w:val="24"/>
        </w:rPr>
      </w:pPr>
    </w:p>
    <w:p w14:paraId="60FE6E9F" w14:textId="77777777" w:rsidR="00280303" w:rsidRPr="00987050" w:rsidRDefault="00A5288A" w:rsidP="00280303">
      <w:pPr>
        <w:numPr>
          <w:ilvl w:val="0"/>
          <w:numId w:val="3"/>
        </w:numPr>
        <w:tabs>
          <w:tab w:val="left" w:pos="426"/>
        </w:tabs>
        <w:spacing w:line="360" w:lineRule="auto"/>
        <w:ind w:left="0" w:firstLine="0"/>
        <w:jc w:val="both"/>
        <w:rPr>
          <w:rFonts w:ascii="Century Gothic" w:hAnsi="Century Gothic" w:cs="Arial"/>
          <w:sz w:val="24"/>
          <w:szCs w:val="24"/>
        </w:rPr>
      </w:pPr>
      <w:r w:rsidRPr="00A5288A">
        <w:rPr>
          <w:rFonts w:ascii="Century Gothic" w:hAnsi="Century Gothic" w:cs="Arial"/>
          <w:bCs/>
          <w:sz w:val="24"/>
          <w:szCs w:val="24"/>
          <w:lang w:val="es-CO"/>
        </w:rPr>
        <w:t>Una vez efectuado el cierre de la convocatoria, se presentaron los siguientes proponentes: i)</w:t>
      </w:r>
      <w:r w:rsidRPr="00A5288A">
        <w:rPr>
          <w:rFonts w:ascii="Century Gothic" w:hAnsi="Century Gothic" w:cs="Arial"/>
          <w:bCs/>
          <w:i/>
          <w:sz w:val="24"/>
          <w:szCs w:val="24"/>
          <w:lang w:val="es-CO"/>
        </w:rPr>
        <w:t xml:space="preserve"> </w:t>
      </w:r>
      <w:r w:rsidRPr="00A5288A">
        <w:rPr>
          <w:rFonts w:ascii="Century Gothic" w:hAnsi="Century Gothic" w:cs="Arial"/>
          <w:bCs/>
          <w:sz w:val="24"/>
          <w:szCs w:val="24"/>
          <w:lang w:val="es-CO"/>
        </w:rPr>
        <w:t xml:space="preserve">Fresenius Medical </w:t>
      </w:r>
      <w:proofErr w:type="spellStart"/>
      <w:r w:rsidRPr="00A5288A">
        <w:rPr>
          <w:rFonts w:ascii="Century Gothic" w:hAnsi="Century Gothic" w:cs="Arial"/>
          <w:bCs/>
          <w:sz w:val="24"/>
          <w:szCs w:val="24"/>
          <w:lang w:val="es-CO"/>
        </w:rPr>
        <w:t>Care</w:t>
      </w:r>
      <w:proofErr w:type="spellEnd"/>
      <w:r w:rsidRPr="00A5288A">
        <w:rPr>
          <w:rFonts w:ascii="Century Gothic" w:hAnsi="Century Gothic" w:cs="Arial"/>
          <w:bCs/>
          <w:sz w:val="24"/>
          <w:szCs w:val="24"/>
          <w:lang w:val="es-CO"/>
        </w:rPr>
        <w:t xml:space="preserve"> de Colombia y ii)</w:t>
      </w:r>
      <w:r w:rsidRPr="00A5288A">
        <w:rPr>
          <w:rFonts w:ascii="Century Gothic" w:hAnsi="Century Gothic" w:cs="Arial"/>
          <w:bCs/>
          <w:i/>
          <w:sz w:val="24"/>
          <w:szCs w:val="24"/>
          <w:lang w:val="es-CO"/>
        </w:rPr>
        <w:t xml:space="preserve"> </w:t>
      </w:r>
      <w:r w:rsidRPr="00A5288A">
        <w:rPr>
          <w:rFonts w:ascii="Century Gothic" w:hAnsi="Century Gothic" w:cs="Arial"/>
          <w:bCs/>
          <w:sz w:val="24"/>
          <w:szCs w:val="24"/>
          <w:lang w:val="es-CO"/>
        </w:rPr>
        <w:t>la</w:t>
      </w:r>
      <w:r w:rsidRPr="00A5288A">
        <w:rPr>
          <w:rFonts w:ascii="Century Gothic" w:hAnsi="Century Gothic" w:cs="Arial"/>
          <w:bCs/>
          <w:i/>
          <w:sz w:val="24"/>
          <w:szCs w:val="24"/>
          <w:lang w:val="es-CO"/>
        </w:rPr>
        <w:t xml:space="preserve"> </w:t>
      </w:r>
      <w:r w:rsidRPr="00A5288A">
        <w:rPr>
          <w:rFonts w:ascii="Century Gothic" w:hAnsi="Century Gothic" w:cs="Arial"/>
          <w:bCs/>
          <w:sz w:val="24"/>
          <w:szCs w:val="24"/>
          <w:lang w:val="es-CO"/>
        </w:rPr>
        <w:t>Unión Temporal RTS</w:t>
      </w:r>
      <w:r w:rsidRPr="00A5288A">
        <w:rPr>
          <w:rFonts w:ascii="Century Gothic" w:hAnsi="Century Gothic" w:cs="Arial"/>
          <w:bCs/>
          <w:sz w:val="24"/>
          <w:szCs w:val="24"/>
          <w:vertAlign w:val="superscript"/>
          <w:lang w:val="es-CO"/>
        </w:rPr>
        <w:footnoteReference w:id="19"/>
      </w:r>
      <w:r>
        <w:rPr>
          <w:rFonts w:ascii="Century Gothic" w:hAnsi="Century Gothic" w:cs="Arial"/>
          <w:bCs/>
          <w:sz w:val="24"/>
          <w:szCs w:val="24"/>
          <w:lang w:val="es-CO"/>
        </w:rPr>
        <w:t>.</w:t>
      </w:r>
    </w:p>
    <w:p w14:paraId="1BE6BF54" w14:textId="77777777" w:rsidR="00987050" w:rsidRDefault="00987050" w:rsidP="00987050">
      <w:pPr>
        <w:pStyle w:val="Prrafodelista"/>
        <w:rPr>
          <w:rFonts w:ascii="Century Gothic" w:hAnsi="Century Gothic" w:cs="Arial"/>
          <w:sz w:val="24"/>
          <w:szCs w:val="24"/>
        </w:rPr>
      </w:pPr>
    </w:p>
    <w:p w14:paraId="7E46ACC3" w14:textId="77777777" w:rsidR="00987050" w:rsidRPr="00987050" w:rsidRDefault="00E33A6F" w:rsidP="00280303">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bCs/>
          <w:sz w:val="24"/>
          <w:szCs w:val="24"/>
          <w:lang w:val="es-CO"/>
        </w:rPr>
        <w:t>L</w:t>
      </w:r>
      <w:r w:rsidR="00987050" w:rsidRPr="00987050">
        <w:rPr>
          <w:rFonts w:ascii="Century Gothic" w:hAnsi="Century Gothic" w:cs="Arial"/>
          <w:bCs/>
          <w:sz w:val="24"/>
          <w:szCs w:val="24"/>
          <w:lang w:val="es-CO"/>
        </w:rPr>
        <w:t>a primera evaluación jurídica, financiera, económica y técnica de las propuestas presentadas, arrojó como resultado que las firmas mencionadas cumplían los requisitos exigidos</w:t>
      </w:r>
      <w:r w:rsidR="00CA15E7">
        <w:rPr>
          <w:rStyle w:val="Refdenotaalpie"/>
          <w:rFonts w:ascii="Century Gothic" w:hAnsi="Century Gothic" w:cs="Arial"/>
          <w:bCs/>
          <w:sz w:val="24"/>
          <w:szCs w:val="24"/>
          <w:lang w:val="es-CO"/>
        </w:rPr>
        <w:footnoteReference w:id="20"/>
      </w:r>
      <w:r w:rsidR="00987050">
        <w:rPr>
          <w:rFonts w:ascii="Century Gothic" w:hAnsi="Century Gothic" w:cs="Arial"/>
          <w:bCs/>
          <w:sz w:val="24"/>
          <w:szCs w:val="24"/>
          <w:lang w:val="es-CO"/>
        </w:rPr>
        <w:t>.</w:t>
      </w:r>
    </w:p>
    <w:p w14:paraId="785EBE55" w14:textId="77777777" w:rsidR="00987050" w:rsidRDefault="00987050" w:rsidP="00987050">
      <w:pPr>
        <w:pStyle w:val="Prrafodelista"/>
        <w:rPr>
          <w:rFonts w:ascii="Century Gothic" w:hAnsi="Century Gothic" w:cs="Arial"/>
          <w:sz w:val="24"/>
          <w:szCs w:val="24"/>
        </w:rPr>
      </w:pPr>
    </w:p>
    <w:p w14:paraId="65B8A8B4" w14:textId="77777777" w:rsidR="00987050" w:rsidRDefault="00987050" w:rsidP="00987050">
      <w:pPr>
        <w:numPr>
          <w:ilvl w:val="0"/>
          <w:numId w:val="3"/>
        </w:numPr>
        <w:tabs>
          <w:tab w:val="left" w:pos="426"/>
        </w:tabs>
        <w:spacing w:line="360" w:lineRule="auto"/>
        <w:ind w:left="0" w:firstLine="0"/>
        <w:jc w:val="both"/>
        <w:rPr>
          <w:rFonts w:ascii="Century Gothic" w:hAnsi="Century Gothic" w:cs="Arial"/>
          <w:sz w:val="24"/>
          <w:szCs w:val="24"/>
        </w:rPr>
      </w:pPr>
      <w:r w:rsidRPr="00987050">
        <w:rPr>
          <w:rFonts w:ascii="Century Gothic" w:hAnsi="Century Gothic" w:cs="Arial"/>
          <w:sz w:val="24"/>
          <w:szCs w:val="24"/>
        </w:rPr>
        <w:t>Dentro del término del traslado de los informes de evaluación para que los oferentes presentaran observaciones, la sociedad Fresenius, entre otras consideraciones,</w:t>
      </w:r>
      <w:r w:rsidR="00E33A6F">
        <w:rPr>
          <w:rFonts w:ascii="Century Gothic" w:hAnsi="Century Gothic" w:cs="Arial"/>
          <w:sz w:val="24"/>
          <w:szCs w:val="24"/>
        </w:rPr>
        <w:t xml:space="preserve"> indicó </w:t>
      </w:r>
      <w:r>
        <w:rPr>
          <w:rFonts w:ascii="Century Gothic" w:hAnsi="Century Gothic" w:cs="Arial"/>
          <w:sz w:val="24"/>
          <w:szCs w:val="24"/>
        </w:rPr>
        <w:t>(se trascribe):</w:t>
      </w:r>
    </w:p>
    <w:p w14:paraId="782CFBE5" w14:textId="77777777" w:rsidR="00987050" w:rsidRDefault="00987050" w:rsidP="00987050">
      <w:pPr>
        <w:pStyle w:val="Prrafodelista"/>
        <w:rPr>
          <w:rFonts w:ascii="Century Gothic" w:hAnsi="Century Gothic" w:cs="Arial"/>
          <w:sz w:val="24"/>
          <w:szCs w:val="24"/>
        </w:rPr>
      </w:pPr>
    </w:p>
    <w:p w14:paraId="70C87FB7" w14:textId="77777777" w:rsidR="00987050" w:rsidRPr="00987050" w:rsidRDefault="00987050" w:rsidP="00987050">
      <w:pPr>
        <w:tabs>
          <w:tab w:val="left" w:pos="426"/>
        </w:tabs>
        <w:ind w:left="851" w:right="618"/>
        <w:jc w:val="both"/>
        <w:rPr>
          <w:rFonts w:ascii="Century Gothic" w:hAnsi="Century Gothic" w:cs="Arial"/>
          <w:i/>
        </w:rPr>
      </w:pPr>
      <w:r w:rsidRPr="00987050">
        <w:rPr>
          <w:rFonts w:ascii="Century Gothic" w:hAnsi="Century Gothic" w:cs="Arial"/>
          <w:i/>
        </w:rPr>
        <w:t>“de acuerdo con la exigencia de los términos de referencia, RTS LTDA presentó sus estados financieros con corte a 31 de diciembre de 2004, sobre el particular, encontramos que estos estados financieros no concuerdan con aquellos publicados y entregados por la Cámara de Com</w:t>
      </w:r>
      <w:r w:rsidR="00397490">
        <w:rPr>
          <w:rFonts w:ascii="Century Gothic" w:hAnsi="Century Gothic" w:cs="Arial"/>
          <w:i/>
        </w:rPr>
        <w:t>ercio de Cali, domicilio princip</w:t>
      </w:r>
      <w:r w:rsidRPr="00987050">
        <w:rPr>
          <w:rFonts w:ascii="Century Gothic" w:hAnsi="Century Gothic" w:cs="Arial"/>
          <w:i/>
        </w:rPr>
        <w:t xml:space="preserve">al de RTS, conforme el </w:t>
      </w:r>
      <w:r w:rsidRPr="00987050">
        <w:rPr>
          <w:rFonts w:ascii="Century Gothic" w:hAnsi="Century Gothic" w:cs="Arial"/>
          <w:i/>
        </w:rPr>
        <w:lastRenderedPageBreak/>
        <w:t>documento que se anexa. Siendo así, tenemos que podrían existir dos informes de estados financieros de la misma entidad para un mismo periodo, que estarían siendo utilizados públicamente. Uno como información oponible ante terceros en la Cámara de Comercio de Cali y otro en los procesos de contratación con el Estad</w:t>
      </w:r>
      <w:r>
        <w:rPr>
          <w:rFonts w:ascii="Century Gothic" w:hAnsi="Century Gothic" w:cs="Arial"/>
          <w:i/>
        </w:rPr>
        <w:t>o”</w:t>
      </w:r>
      <w:r>
        <w:rPr>
          <w:rStyle w:val="Refdenotaalpie"/>
          <w:rFonts w:ascii="Century Gothic" w:hAnsi="Century Gothic" w:cs="Arial"/>
          <w:i/>
        </w:rPr>
        <w:footnoteReference w:id="21"/>
      </w:r>
      <w:r w:rsidRPr="00987050">
        <w:rPr>
          <w:rFonts w:ascii="Century Gothic" w:hAnsi="Century Gothic" w:cs="Arial"/>
          <w:i/>
        </w:rPr>
        <w:t xml:space="preserve"> .  </w:t>
      </w:r>
    </w:p>
    <w:p w14:paraId="56D895AD" w14:textId="77777777" w:rsidR="00A5288A" w:rsidRPr="00A5288A" w:rsidRDefault="00A5288A" w:rsidP="00A5288A">
      <w:pPr>
        <w:tabs>
          <w:tab w:val="left" w:pos="426"/>
        </w:tabs>
        <w:spacing w:line="360" w:lineRule="auto"/>
        <w:jc w:val="both"/>
        <w:rPr>
          <w:rFonts w:ascii="Century Gothic" w:hAnsi="Century Gothic" w:cs="Arial"/>
          <w:sz w:val="24"/>
          <w:szCs w:val="24"/>
        </w:rPr>
      </w:pPr>
    </w:p>
    <w:p w14:paraId="4DF2F3F9" w14:textId="77777777" w:rsidR="00987050" w:rsidRPr="00987050" w:rsidRDefault="00987050" w:rsidP="00987050">
      <w:pPr>
        <w:numPr>
          <w:ilvl w:val="0"/>
          <w:numId w:val="3"/>
        </w:numPr>
        <w:tabs>
          <w:tab w:val="left" w:pos="426"/>
        </w:tabs>
        <w:spacing w:line="360" w:lineRule="auto"/>
        <w:ind w:left="0" w:firstLine="0"/>
        <w:jc w:val="both"/>
        <w:rPr>
          <w:rFonts w:ascii="Century Gothic" w:hAnsi="Century Gothic" w:cs="Arial"/>
          <w:sz w:val="24"/>
          <w:szCs w:val="24"/>
        </w:rPr>
      </w:pPr>
      <w:r w:rsidRPr="00987050">
        <w:rPr>
          <w:rFonts w:ascii="Century Gothic" w:hAnsi="Century Gothic" w:cs="Arial"/>
          <w:sz w:val="24"/>
          <w:szCs w:val="24"/>
        </w:rPr>
        <w:t xml:space="preserve">La Dirección de Sanidad, mediante oficio 1053 de 19 de julio de 2005, requirió a la </w:t>
      </w:r>
      <w:r>
        <w:rPr>
          <w:rFonts w:ascii="Century Gothic" w:hAnsi="Century Gothic" w:cs="Arial"/>
          <w:sz w:val="24"/>
          <w:szCs w:val="24"/>
        </w:rPr>
        <w:t>UT</w:t>
      </w:r>
      <w:r w:rsidRPr="00987050">
        <w:rPr>
          <w:rFonts w:ascii="Century Gothic" w:hAnsi="Century Gothic" w:cs="Arial"/>
          <w:sz w:val="24"/>
          <w:szCs w:val="24"/>
        </w:rPr>
        <w:t xml:space="preserve"> RTS para que remitiera el documento expedido por la Cámara de Comercio que reflejara las cifras del balance con corte a 31 de diciembre de 2004 y le pidió copia de la declaración de renta correspondiente al período fiscal 2004, acompañada de la conciliación entre la información contable y fiscal, debidamente suscrita por el contador que certificó los estados financieros</w:t>
      </w:r>
      <w:r>
        <w:rPr>
          <w:rStyle w:val="Refdenotaalpie"/>
          <w:rFonts w:ascii="Century Gothic" w:hAnsi="Century Gothic" w:cs="Arial"/>
          <w:sz w:val="24"/>
          <w:szCs w:val="24"/>
        </w:rPr>
        <w:footnoteReference w:id="22"/>
      </w:r>
      <w:r w:rsidRPr="00987050">
        <w:rPr>
          <w:rFonts w:ascii="Century Gothic" w:hAnsi="Century Gothic" w:cs="Arial"/>
          <w:sz w:val="24"/>
          <w:szCs w:val="24"/>
        </w:rPr>
        <w:t xml:space="preserve">. </w:t>
      </w:r>
    </w:p>
    <w:p w14:paraId="7C868766" w14:textId="77777777" w:rsidR="00987050" w:rsidRPr="00987050" w:rsidRDefault="00987050" w:rsidP="00987050">
      <w:pPr>
        <w:tabs>
          <w:tab w:val="left" w:pos="426"/>
        </w:tabs>
        <w:spacing w:line="360" w:lineRule="auto"/>
        <w:jc w:val="both"/>
        <w:rPr>
          <w:rFonts w:ascii="Century Gothic" w:hAnsi="Century Gothic" w:cs="Arial"/>
          <w:sz w:val="24"/>
          <w:szCs w:val="24"/>
        </w:rPr>
      </w:pPr>
    </w:p>
    <w:p w14:paraId="50053C21" w14:textId="77777777" w:rsidR="00DB48F4" w:rsidRDefault="00987050" w:rsidP="00DB48F4">
      <w:pPr>
        <w:numPr>
          <w:ilvl w:val="0"/>
          <w:numId w:val="3"/>
        </w:numPr>
        <w:tabs>
          <w:tab w:val="left" w:pos="426"/>
        </w:tabs>
        <w:spacing w:line="360" w:lineRule="auto"/>
        <w:ind w:left="0" w:firstLine="0"/>
        <w:jc w:val="both"/>
        <w:rPr>
          <w:rFonts w:ascii="Century Gothic" w:hAnsi="Century Gothic" w:cs="Arial"/>
          <w:sz w:val="24"/>
          <w:szCs w:val="24"/>
        </w:rPr>
      </w:pPr>
      <w:r w:rsidRPr="00987050">
        <w:rPr>
          <w:rFonts w:ascii="Century Gothic" w:hAnsi="Century Gothic" w:cs="Arial"/>
          <w:sz w:val="24"/>
          <w:szCs w:val="24"/>
        </w:rPr>
        <w:t xml:space="preserve">Como </w:t>
      </w:r>
      <w:r w:rsidR="008C4513">
        <w:rPr>
          <w:rFonts w:ascii="Century Gothic" w:hAnsi="Century Gothic" w:cs="Arial"/>
          <w:sz w:val="24"/>
          <w:szCs w:val="24"/>
        </w:rPr>
        <w:t>respuesta</w:t>
      </w:r>
      <w:r w:rsidRPr="00987050">
        <w:rPr>
          <w:rFonts w:ascii="Century Gothic" w:hAnsi="Century Gothic" w:cs="Arial"/>
          <w:sz w:val="24"/>
          <w:szCs w:val="24"/>
        </w:rPr>
        <w:t xml:space="preserve"> al requerimiento, mediante oficio del 21 de julio de 2005, la </w:t>
      </w:r>
      <w:r>
        <w:rPr>
          <w:rFonts w:ascii="Century Gothic" w:hAnsi="Century Gothic" w:cs="Arial"/>
          <w:sz w:val="24"/>
          <w:szCs w:val="24"/>
        </w:rPr>
        <w:t>UT</w:t>
      </w:r>
      <w:r w:rsidRPr="00987050">
        <w:rPr>
          <w:rFonts w:ascii="Century Gothic" w:hAnsi="Century Gothic" w:cs="Arial"/>
          <w:sz w:val="24"/>
          <w:szCs w:val="24"/>
        </w:rPr>
        <w:t xml:space="preserve"> RTS expresó que la Cámara de Comercio no expide certificaciones sobre estados f</w:t>
      </w:r>
      <w:r w:rsidR="00DB48F4">
        <w:rPr>
          <w:rFonts w:ascii="Century Gothic" w:hAnsi="Century Gothic" w:cs="Arial"/>
          <w:sz w:val="24"/>
          <w:szCs w:val="24"/>
        </w:rPr>
        <w:t>inancieros de sociedades y que “</w:t>
      </w:r>
      <w:r w:rsidRPr="00987050">
        <w:rPr>
          <w:rFonts w:ascii="Century Gothic" w:hAnsi="Century Gothic" w:cs="Arial"/>
          <w:i/>
          <w:sz w:val="24"/>
          <w:szCs w:val="24"/>
        </w:rPr>
        <w:t>a lo sumo, se podría expedir copia de (…) los estados financieros depositados por las sociedades en cumplimiento de otras obligaciones señaladas por la Superintendencia de Industria y Comercio</w:t>
      </w:r>
      <w:r w:rsidR="00DB48F4">
        <w:rPr>
          <w:rFonts w:ascii="Century Gothic" w:hAnsi="Century Gothic" w:cs="Arial"/>
          <w:sz w:val="24"/>
          <w:szCs w:val="24"/>
        </w:rPr>
        <w:t>”</w:t>
      </w:r>
      <w:r w:rsidR="00DB48F4">
        <w:rPr>
          <w:rStyle w:val="Refdenotaalpie"/>
          <w:rFonts w:ascii="Century Gothic" w:hAnsi="Century Gothic" w:cs="Arial"/>
          <w:sz w:val="24"/>
          <w:szCs w:val="24"/>
        </w:rPr>
        <w:footnoteReference w:id="23"/>
      </w:r>
      <w:r w:rsidRPr="00987050">
        <w:rPr>
          <w:rFonts w:ascii="Century Gothic" w:hAnsi="Century Gothic" w:cs="Arial"/>
          <w:sz w:val="24"/>
          <w:szCs w:val="24"/>
        </w:rPr>
        <w:t>, pero no allegó copia de esos estados financieros, sino que anexó el registro único empresarial y matrícula mercantil de las</w:t>
      </w:r>
      <w:r w:rsidR="00E42450">
        <w:rPr>
          <w:rFonts w:ascii="Century Gothic" w:hAnsi="Century Gothic" w:cs="Arial"/>
          <w:sz w:val="24"/>
          <w:szCs w:val="24"/>
        </w:rPr>
        <w:t xml:space="preserve"> sociedades que conformaron la Unión Temporal.</w:t>
      </w:r>
    </w:p>
    <w:p w14:paraId="73E0A35D" w14:textId="77777777" w:rsidR="00E42450" w:rsidRPr="00E42450" w:rsidRDefault="00E42450" w:rsidP="00E42450">
      <w:pPr>
        <w:tabs>
          <w:tab w:val="left" w:pos="426"/>
        </w:tabs>
        <w:spacing w:line="360" w:lineRule="auto"/>
        <w:jc w:val="both"/>
        <w:rPr>
          <w:rFonts w:ascii="Century Gothic" w:hAnsi="Century Gothic" w:cs="Arial"/>
          <w:sz w:val="24"/>
          <w:szCs w:val="24"/>
        </w:rPr>
      </w:pPr>
    </w:p>
    <w:p w14:paraId="0BE81DC6" w14:textId="77777777" w:rsidR="00841C8A" w:rsidRDefault="00BB2DE3" w:rsidP="000F7FFA">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El Comité Técnico, una vez verificados los documentos que aportó la UT RTS, señaló que “</w:t>
      </w:r>
      <w:r w:rsidRPr="00BB2DE3">
        <w:rPr>
          <w:rFonts w:ascii="Century Gothic" w:hAnsi="Century Gothic" w:cs="Arial"/>
          <w:i/>
          <w:sz w:val="24"/>
          <w:szCs w:val="24"/>
        </w:rPr>
        <w:t>efectivamente existen diferencias entre las cifras contenidas en el balance general con corte a diciembre 31 de 2004, incluido en la oferta y las cifras del balance que reposa en la Cámara de Comercio con corte a la misma fecha</w:t>
      </w:r>
      <w:r w:rsidR="00DC75FA">
        <w:rPr>
          <w:rFonts w:ascii="Century Gothic" w:hAnsi="Century Gothic" w:cs="Arial"/>
          <w:i/>
          <w:sz w:val="24"/>
          <w:szCs w:val="24"/>
        </w:rPr>
        <w:t xml:space="preserve"> (…) En virtud de lo anterior el comité económico conceptúa que la inconsistencia de la información presentada genera un rechazo total de la oferta (…)</w:t>
      </w:r>
      <w:r>
        <w:rPr>
          <w:rFonts w:ascii="Century Gothic" w:hAnsi="Century Gothic" w:cs="Arial"/>
          <w:sz w:val="24"/>
          <w:szCs w:val="24"/>
        </w:rPr>
        <w:t>”</w:t>
      </w:r>
      <w:r>
        <w:rPr>
          <w:rStyle w:val="Refdenotaalpie"/>
          <w:rFonts w:ascii="Century Gothic" w:hAnsi="Century Gothic" w:cs="Arial"/>
          <w:sz w:val="24"/>
          <w:szCs w:val="24"/>
        </w:rPr>
        <w:footnoteReference w:id="24"/>
      </w:r>
      <w:r>
        <w:rPr>
          <w:rFonts w:ascii="Century Gothic" w:hAnsi="Century Gothic" w:cs="Arial"/>
          <w:sz w:val="24"/>
          <w:szCs w:val="24"/>
        </w:rPr>
        <w:t>.</w:t>
      </w:r>
    </w:p>
    <w:p w14:paraId="62CAF97D" w14:textId="77777777" w:rsidR="00280303" w:rsidRDefault="00280303" w:rsidP="00987050">
      <w:pPr>
        <w:pStyle w:val="Prrafodelista"/>
        <w:ind w:left="0"/>
        <w:rPr>
          <w:rFonts w:ascii="Century Gothic" w:hAnsi="Century Gothic" w:cs="Arial"/>
          <w:sz w:val="24"/>
          <w:szCs w:val="24"/>
        </w:rPr>
      </w:pPr>
    </w:p>
    <w:p w14:paraId="1FD211F8" w14:textId="77777777" w:rsidR="00DB48F4" w:rsidRDefault="00DB48F4" w:rsidP="00DB48F4">
      <w:pPr>
        <w:numPr>
          <w:ilvl w:val="0"/>
          <w:numId w:val="3"/>
        </w:numPr>
        <w:tabs>
          <w:tab w:val="left" w:pos="426"/>
        </w:tabs>
        <w:spacing w:line="360" w:lineRule="auto"/>
        <w:ind w:left="0" w:firstLine="0"/>
        <w:jc w:val="both"/>
        <w:rPr>
          <w:rFonts w:ascii="Century Gothic" w:hAnsi="Century Gothic" w:cs="Arial"/>
          <w:sz w:val="24"/>
          <w:szCs w:val="24"/>
        </w:rPr>
      </w:pPr>
      <w:r w:rsidRPr="00DB48F4">
        <w:rPr>
          <w:rFonts w:ascii="Century Gothic" w:hAnsi="Century Gothic" w:cs="Arial"/>
          <w:sz w:val="24"/>
          <w:szCs w:val="24"/>
        </w:rPr>
        <w:t>La junta asesora para la contratación administrativa de la D</w:t>
      </w:r>
      <w:r w:rsidR="00272308">
        <w:rPr>
          <w:rFonts w:ascii="Century Gothic" w:hAnsi="Century Gothic" w:cs="Arial"/>
          <w:sz w:val="24"/>
          <w:szCs w:val="24"/>
        </w:rPr>
        <w:t>irección de Sanidad de la Policía Nacional, de  conformidad con el A</w:t>
      </w:r>
      <w:r w:rsidRPr="00DB48F4">
        <w:rPr>
          <w:rFonts w:ascii="Century Gothic" w:hAnsi="Century Gothic" w:cs="Arial"/>
          <w:sz w:val="24"/>
          <w:szCs w:val="24"/>
        </w:rPr>
        <w:t xml:space="preserve">cta 46 de 26 de julio de 2005, recomendó al ordenador del gasto adjudicar totalmente la </w:t>
      </w:r>
      <w:r w:rsidRPr="00DB48F4">
        <w:rPr>
          <w:rFonts w:ascii="Century Gothic" w:hAnsi="Century Gothic" w:cs="Arial"/>
          <w:sz w:val="24"/>
          <w:szCs w:val="24"/>
        </w:rPr>
        <w:lastRenderedPageBreak/>
        <w:t>contratación directa 017</w:t>
      </w:r>
      <w:r>
        <w:rPr>
          <w:rFonts w:ascii="Century Gothic" w:hAnsi="Century Gothic" w:cs="Arial"/>
          <w:sz w:val="24"/>
          <w:szCs w:val="24"/>
        </w:rPr>
        <w:t>—</w:t>
      </w:r>
      <w:r w:rsidRPr="00DB48F4">
        <w:rPr>
          <w:rFonts w:ascii="Century Gothic" w:hAnsi="Century Gothic" w:cs="Arial"/>
          <w:sz w:val="24"/>
          <w:szCs w:val="24"/>
        </w:rPr>
        <w:t>DISAN</w:t>
      </w:r>
      <w:r>
        <w:rPr>
          <w:rFonts w:ascii="Century Gothic" w:hAnsi="Century Gothic" w:cs="Arial"/>
          <w:sz w:val="24"/>
          <w:szCs w:val="24"/>
        </w:rPr>
        <w:t>-</w:t>
      </w:r>
      <w:r w:rsidRPr="00DB48F4">
        <w:rPr>
          <w:rFonts w:ascii="Century Gothic" w:hAnsi="Century Gothic" w:cs="Arial"/>
          <w:sz w:val="24"/>
          <w:szCs w:val="24"/>
        </w:rPr>
        <w:t xml:space="preserve">2005 a la firma Fresenius, por cumplir con los requisitos jurídicos, financieros y técnicos, y haber obtenido el mayor puntaje técnico y económico, de conformidad con las evaluaciones realizadas, </w:t>
      </w:r>
      <w:r w:rsidR="00E42450">
        <w:rPr>
          <w:rFonts w:ascii="Century Gothic" w:hAnsi="Century Gothic" w:cs="Arial"/>
          <w:sz w:val="24"/>
          <w:szCs w:val="24"/>
        </w:rPr>
        <w:t xml:space="preserve">recomendación que fue </w:t>
      </w:r>
      <w:r w:rsidR="002D18E4">
        <w:rPr>
          <w:rFonts w:ascii="Century Gothic" w:hAnsi="Century Gothic" w:cs="Arial"/>
          <w:sz w:val="24"/>
          <w:szCs w:val="24"/>
        </w:rPr>
        <w:t>posteriormente</w:t>
      </w:r>
      <w:r w:rsidR="00E42450">
        <w:rPr>
          <w:rFonts w:ascii="Century Gothic" w:hAnsi="Century Gothic" w:cs="Arial"/>
          <w:sz w:val="24"/>
          <w:szCs w:val="24"/>
        </w:rPr>
        <w:t xml:space="preserve"> acogida</w:t>
      </w:r>
      <w:r>
        <w:rPr>
          <w:rStyle w:val="Refdenotaalpie"/>
          <w:rFonts w:ascii="Century Gothic" w:hAnsi="Century Gothic" w:cs="Arial"/>
          <w:sz w:val="24"/>
          <w:szCs w:val="24"/>
        </w:rPr>
        <w:footnoteReference w:id="25"/>
      </w:r>
      <w:r w:rsidRPr="00DB48F4">
        <w:rPr>
          <w:rFonts w:ascii="Century Gothic" w:hAnsi="Century Gothic" w:cs="Arial"/>
          <w:sz w:val="24"/>
          <w:szCs w:val="24"/>
        </w:rPr>
        <w:t>.</w:t>
      </w:r>
    </w:p>
    <w:p w14:paraId="59081D9A" w14:textId="77777777" w:rsidR="00DB48F4" w:rsidRDefault="00DB48F4" w:rsidP="00DB48F4">
      <w:pPr>
        <w:pStyle w:val="Prrafodelista"/>
        <w:rPr>
          <w:rFonts w:ascii="Century Gothic" w:hAnsi="Century Gothic" w:cs="Arial"/>
          <w:sz w:val="24"/>
          <w:szCs w:val="24"/>
        </w:rPr>
      </w:pPr>
    </w:p>
    <w:p w14:paraId="276473DD" w14:textId="77777777" w:rsidR="00490062" w:rsidRPr="000C10F7" w:rsidRDefault="00280303" w:rsidP="000C10F7">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 xml:space="preserve">El contrato fue finalmente adjudicado a Fresenius Medical </w:t>
      </w:r>
      <w:proofErr w:type="spellStart"/>
      <w:r>
        <w:rPr>
          <w:rFonts w:ascii="Century Gothic" w:hAnsi="Century Gothic" w:cs="Arial"/>
          <w:sz w:val="24"/>
          <w:szCs w:val="24"/>
        </w:rPr>
        <w:t>Care</w:t>
      </w:r>
      <w:proofErr w:type="spellEnd"/>
      <w:r>
        <w:rPr>
          <w:rFonts w:ascii="Century Gothic" w:hAnsi="Century Gothic" w:cs="Arial"/>
          <w:sz w:val="24"/>
          <w:szCs w:val="24"/>
        </w:rPr>
        <w:t xml:space="preserve"> S.A. mediante Resolución 394 de 26 de julio de 2006</w:t>
      </w:r>
      <w:r w:rsidR="000C10F7">
        <w:rPr>
          <w:rFonts w:ascii="Century Gothic" w:hAnsi="Century Gothic" w:cs="Arial"/>
          <w:sz w:val="24"/>
          <w:szCs w:val="24"/>
        </w:rPr>
        <w:t xml:space="preserve"> y </w:t>
      </w:r>
      <w:r w:rsidR="003B505E">
        <w:rPr>
          <w:rFonts w:ascii="Century Gothic" w:hAnsi="Century Gothic" w:cs="Arial"/>
          <w:sz w:val="24"/>
          <w:szCs w:val="24"/>
        </w:rPr>
        <w:t>suscrito</w:t>
      </w:r>
      <w:r w:rsidR="00490062" w:rsidRPr="000C10F7">
        <w:rPr>
          <w:rFonts w:ascii="Century Gothic" w:hAnsi="Century Gothic" w:cs="Arial"/>
          <w:sz w:val="24"/>
          <w:szCs w:val="24"/>
        </w:rPr>
        <w:t xml:space="preserve"> el 1 de agosto de 2005</w:t>
      </w:r>
      <w:r w:rsidR="00490062" w:rsidRPr="006B68E8">
        <w:rPr>
          <w:rStyle w:val="Refdenotaalpie"/>
          <w:rFonts w:ascii="Century Gothic" w:hAnsi="Century Gothic" w:cs="Arial"/>
          <w:sz w:val="24"/>
          <w:szCs w:val="24"/>
        </w:rPr>
        <w:footnoteReference w:id="26"/>
      </w:r>
    </w:p>
    <w:p w14:paraId="53BDB3BC" w14:textId="77777777" w:rsidR="00490062" w:rsidRDefault="00490062" w:rsidP="00490062">
      <w:pPr>
        <w:pStyle w:val="Prrafodelista"/>
        <w:rPr>
          <w:rFonts w:ascii="Century Gothic" w:hAnsi="Century Gothic" w:cs="Arial"/>
          <w:sz w:val="24"/>
          <w:szCs w:val="24"/>
        </w:rPr>
      </w:pPr>
    </w:p>
    <w:p w14:paraId="2FA513F5" w14:textId="77777777" w:rsidR="00280303" w:rsidRPr="00280303" w:rsidRDefault="00280303" w:rsidP="00280303">
      <w:pPr>
        <w:numPr>
          <w:ilvl w:val="0"/>
          <w:numId w:val="3"/>
        </w:numPr>
        <w:tabs>
          <w:tab w:val="left" w:pos="426"/>
        </w:tabs>
        <w:spacing w:line="360" w:lineRule="auto"/>
        <w:ind w:left="0" w:firstLine="0"/>
        <w:jc w:val="both"/>
        <w:rPr>
          <w:rFonts w:ascii="Century Gothic" w:hAnsi="Century Gothic" w:cs="Arial"/>
          <w:sz w:val="24"/>
          <w:szCs w:val="24"/>
        </w:rPr>
      </w:pPr>
      <w:r>
        <w:rPr>
          <w:rFonts w:ascii="Century Gothic" w:hAnsi="Century Gothic" w:cs="Arial"/>
          <w:sz w:val="24"/>
          <w:szCs w:val="24"/>
        </w:rPr>
        <w:t>En el dictamen pericial practicado se concluyó que “</w:t>
      </w:r>
      <w:r w:rsidRPr="00EC7834">
        <w:rPr>
          <w:rFonts w:ascii="Century Gothic" w:hAnsi="Century Gothic" w:cs="Arial"/>
          <w:i/>
          <w:sz w:val="24"/>
          <w:szCs w:val="24"/>
        </w:rPr>
        <w:t xml:space="preserve">para la Dirección de Sanidad de la Policía Nacional y para los pacientes, la propuesta más conveniente fue la presentada por Fresenius Medical </w:t>
      </w:r>
      <w:proofErr w:type="spellStart"/>
      <w:r w:rsidRPr="00EC7834">
        <w:rPr>
          <w:rFonts w:ascii="Century Gothic" w:hAnsi="Century Gothic" w:cs="Arial"/>
          <w:i/>
          <w:sz w:val="24"/>
          <w:szCs w:val="24"/>
        </w:rPr>
        <w:t>Care</w:t>
      </w:r>
      <w:proofErr w:type="spellEnd"/>
      <w:r w:rsidRPr="00EC7834">
        <w:rPr>
          <w:rFonts w:ascii="Century Gothic" w:hAnsi="Century Gothic" w:cs="Arial"/>
          <w:i/>
          <w:sz w:val="24"/>
          <w:szCs w:val="24"/>
        </w:rPr>
        <w:t xml:space="preserve"> Colombia S.A. en razón a que cumplió con la totalidad de los requisitos jurídicos, económicos y técnicos exigidos en los términos de referencia. No se puede afirmar lo mismo de la propuesta de RTS Red Nacional de Servicios Renales UT en razón a que UT no ofertó para cada unidad renal, el perfil profesional requerido (…)</w:t>
      </w:r>
      <w:r>
        <w:rPr>
          <w:rFonts w:ascii="Century Gothic" w:hAnsi="Century Gothic" w:cs="Arial"/>
          <w:sz w:val="24"/>
          <w:szCs w:val="24"/>
        </w:rPr>
        <w:t>”</w:t>
      </w:r>
      <w:r>
        <w:rPr>
          <w:rStyle w:val="Refdenotaalpie"/>
          <w:rFonts w:ascii="Century Gothic" w:hAnsi="Century Gothic" w:cs="Arial"/>
          <w:sz w:val="24"/>
          <w:szCs w:val="24"/>
        </w:rPr>
        <w:footnoteReference w:id="27"/>
      </w:r>
      <w:r>
        <w:rPr>
          <w:rFonts w:ascii="Century Gothic" w:hAnsi="Century Gothic" w:cs="Arial"/>
          <w:sz w:val="24"/>
          <w:szCs w:val="24"/>
        </w:rPr>
        <w:t>.</w:t>
      </w:r>
    </w:p>
    <w:p w14:paraId="6AFB5D9E" w14:textId="77777777" w:rsidR="00807C57" w:rsidRPr="00807C57" w:rsidRDefault="00807C57" w:rsidP="000F7FFA">
      <w:pPr>
        <w:spacing w:line="360" w:lineRule="auto"/>
        <w:jc w:val="both"/>
        <w:rPr>
          <w:rFonts w:ascii="Century Gothic" w:hAnsi="Century Gothic" w:cs="Arial"/>
          <w:b/>
          <w:sz w:val="24"/>
          <w:szCs w:val="24"/>
        </w:rPr>
      </w:pPr>
    </w:p>
    <w:p w14:paraId="48435868" w14:textId="77777777" w:rsidR="00807C57" w:rsidRPr="00807C57" w:rsidRDefault="00807C57" w:rsidP="000F7FFA">
      <w:pPr>
        <w:spacing w:line="360" w:lineRule="auto"/>
        <w:jc w:val="both"/>
        <w:rPr>
          <w:rFonts w:ascii="Century Gothic" w:hAnsi="Century Gothic" w:cs="Arial"/>
          <w:b/>
          <w:sz w:val="24"/>
          <w:szCs w:val="24"/>
        </w:rPr>
      </w:pPr>
      <w:r w:rsidRPr="00807C57">
        <w:rPr>
          <w:rFonts w:ascii="Century Gothic" w:hAnsi="Century Gothic" w:cs="Arial"/>
          <w:b/>
          <w:sz w:val="24"/>
          <w:szCs w:val="24"/>
        </w:rPr>
        <w:t>2.3. Caso concreto</w:t>
      </w:r>
    </w:p>
    <w:p w14:paraId="5AA357BC" w14:textId="77777777" w:rsidR="00807C57" w:rsidRPr="00807C57" w:rsidRDefault="00807C57" w:rsidP="000F7FFA">
      <w:pPr>
        <w:spacing w:line="360" w:lineRule="auto"/>
        <w:jc w:val="both"/>
        <w:rPr>
          <w:rFonts w:ascii="Century Gothic" w:hAnsi="Century Gothic" w:cs="Arial"/>
          <w:sz w:val="24"/>
          <w:szCs w:val="24"/>
        </w:rPr>
      </w:pPr>
    </w:p>
    <w:p w14:paraId="4769ABDA" w14:textId="77777777" w:rsidR="003B505E" w:rsidRPr="003B505E" w:rsidRDefault="00807C57" w:rsidP="003B505E">
      <w:pPr>
        <w:numPr>
          <w:ilvl w:val="0"/>
          <w:numId w:val="3"/>
        </w:numPr>
        <w:tabs>
          <w:tab w:val="left" w:pos="426"/>
        </w:tabs>
        <w:spacing w:line="360" w:lineRule="auto"/>
        <w:ind w:left="0" w:firstLine="0"/>
        <w:jc w:val="both"/>
        <w:rPr>
          <w:rFonts w:ascii="Century Gothic" w:hAnsi="Century Gothic" w:cs="Arial"/>
          <w:sz w:val="24"/>
          <w:szCs w:val="24"/>
          <w:lang w:val="es-CO"/>
        </w:rPr>
      </w:pPr>
      <w:r w:rsidRPr="00807C57">
        <w:rPr>
          <w:rFonts w:ascii="Century Gothic" w:hAnsi="Century Gothic" w:cs="Arial"/>
          <w:sz w:val="24"/>
          <w:szCs w:val="24"/>
        </w:rPr>
        <w:t>En consideración a los hechos probados y a los motivos de la  apelación</w:t>
      </w:r>
      <w:r w:rsidRPr="00C443A6">
        <w:rPr>
          <w:rFonts w:ascii="Century Gothic" w:hAnsi="Century Gothic" w:cs="Arial"/>
          <w:sz w:val="24"/>
          <w:szCs w:val="24"/>
        </w:rPr>
        <w:t>, la Sala deberá establecer si</w:t>
      </w:r>
      <w:r w:rsidRPr="00C443A6">
        <w:rPr>
          <w:rFonts w:ascii="Century Gothic" w:hAnsi="Century Gothic" w:cs="Arial"/>
          <w:sz w:val="24"/>
          <w:szCs w:val="24"/>
          <w:lang w:val="es-CO"/>
        </w:rPr>
        <w:t xml:space="preserve"> </w:t>
      </w:r>
      <w:r w:rsidR="003B505E" w:rsidRPr="00C443A6">
        <w:rPr>
          <w:rFonts w:ascii="Century Gothic" w:hAnsi="Century Gothic" w:cs="Arial"/>
          <w:sz w:val="24"/>
          <w:szCs w:val="24"/>
          <w:lang w:val="es-CO"/>
        </w:rPr>
        <w:t xml:space="preserve">la Resolución </w:t>
      </w:r>
      <w:r w:rsidR="000B7EE6" w:rsidRPr="00C443A6">
        <w:rPr>
          <w:rFonts w:ascii="Century Gothic" w:hAnsi="Century Gothic" w:cs="Arial"/>
          <w:sz w:val="24"/>
          <w:szCs w:val="24"/>
          <w:lang w:val="es-CO"/>
        </w:rPr>
        <w:t>de la Dirección de Sanidad de la Policía Nacional</w:t>
      </w:r>
      <w:r w:rsidR="005A0F0A" w:rsidRPr="00C443A6">
        <w:rPr>
          <w:rFonts w:ascii="Century Gothic" w:hAnsi="Century Gothic" w:cs="Arial"/>
          <w:sz w:val="24"/>
          <w:szCs w:val="24"/>
          <w:lang w:val="es-CO"/>
        </w:rPr>
        <w:t>,</w:t>
      </w:r>
      <w:r w:rsidR="000B7EE6" w:rsidRPr="00C443A6">
        <w:rPr>
          <w:rFonts w:ascii="Century Gothic" w:hAnsi="Century Gothic" w:cs="Arial"/>
          <w:sz w:val="24"/>
          <w:szCs w:val="24"/>
          <w:lang w:val="es-CO"/>
        </w:rPr>
        <w:t xml:space="preserve"> en la </w:t>
      </w:r>
      <w:r w:rsidR="003B505E" w:rsidRPr="00C443A6">
        <w:rPr>
          <w:rFonts w:ascii="Century Gothic" w:hAnsi="Century Gothic" w:cs="Arial"/>
          <w:sz w:val="24"/>
          <w:szCs w:val="24"/>
          <w:lang w:val="es-CO"/>
        </w:rPr>
        <w:t>que se dejó de calificar la oferta de</w:t>
      </w:r>
      <w:r w:rsidR="003B505E">
        <w:rPr>
          <w:rFonts w:ascii="Century Gothic" w:hAnsi="Century Gothic" w:cs="Arial"/>
          <w:sz w:val="24"/>
          <w:szCs w:val="24"/>
          <w:lang w:val="es-CO"/>
        </w:rPr>
        <w:t xml:space="preserve"> la UT RTS</w:t>
      </w:r>
      <w:r w:rsidR="002D18E4">
        <w:rPr>
          <w:rFonts w:ascii="Century Gothic" w:hAnsi="Century Gothic" w:cs="Arial"/>
          <w:sz w:val="24"/>
          <w:szCs w:val="24"/>
          <w:lang w:val="es-CO"/>
        </w:rPr>
        <w:t>,</w:t>
      </w:r>
      <w:r w:rsidR="003B505E">
        <w:rPr>
          <w:rFonts w:ascii="Century Gothic" w:hAnsi="Century Gothic" w:cs="Arial"/>
          <w:sz w:val="24"/>
          <w:szCs w:val="24"/>
          <w:lang w:val="es-CO"/>
        </w:rPr>
        <w:t xml:space="preserve"> por la</w:t>
      </w:r>
      <w:r w:rsidR="005A0F0A">
        <w:rPr>
          <w:rFonts w:ascii="Century Gothic" w:hAnsi="Century Gothic" w:cs="Arial"/>
          <w:sz w:val="24"/>
          <w:szCs w:val="24"/>
          <w:lang w:val="es-CO"/>
        </w:rPr>
        <w:t>s</w:t>
      </w:r>
      <w:r w:rsidR="003B505E">
        <w:rPr>
          <w:rFonts w:ascii="Century Gothic" w:hAnsi="Century Gothic" w:cs="Arial"/>
          <w:sz w:val="24"/>
          <w:szCs w:val="24"/>
          <w:lang w:val="es-CO"/>
        </w:rPr>
        <w:t xml:space="preserve"> inconsistencias en la información</w:t>
      </w:r>
      <w:r w:rsidR="002D18E4">
        <w:rPr>
          <w:rFonts w:ascii="Century Gothic" w:hAnsi="Century Gothic" w:cs="Arial"/>
          <w:sz w:val="24"/>
          <w:szCs w:val="24"/>
          <w:lang w:val="es-CO"/>
        </w:rPr>
        <w:t>,</w:t>
      </w:r>
      <w:r w:rsidR="003B505E">
        <w:rPr>
          <w:rFonts w:ascii="Century Gothic" w:hAnsi="Century Gothic" w:cs="Arial"/>
          <w:sz w:val="24"/>
          <w:szCs w:val="24"/>
          <w:lang w:val="es-CO"/>
        </w:rPr>
        <w:t xml:space="preserve"> y </w:t>
      </w:r>
      <w:r w:rsidR="000B7EE6">
        <w:rPr>
          <w:rFonts w:ascii="Century Gothic" w:hAnsi="Century Gothic" w:cs="Arial"/>
          <w:sz w:val="24"/>
          <w:szCs w:val="24"/>
          <w:lang w:val="es-CO"/>
        </w:rPr>
        <w:t xml:space="preserve">se </w:t>
      </w:r>
      <w:r w:rsidR="003B505E">
        <w:rPr>
          <w:rFonts w:ascii="Century Gothic" w:hAnsi="Century Gothic" w:cs="Arial"/>
          <w:sz w:val="24"/>
          <w:szCs w:val="24"/>
          <w:lang w:val="es-CO"/>
        </w:rPr>
        <w:t xml:space="preserve">adjudicó el contrato a Fresenius Medical </w:t>
      </w:r>
      <w:proofErr w:type="spellStart"/>
      <w:r w:rsidR="003B505E">
        <w:rPr>
          <w:rFonts w:ascii="Century Gothic" w:hAnsi="Century Gothic" w:cs="Arial"/>
          <w:sz w:val="24"/>
          <w:szCs w:val="24"/>
          <w:lang w:val="es-CO"/>
        </w:rPr>
        <w:t>Care</w:t>
      </w:r>
      <w:proofErr w:type="spellEnd"/>
      <w:r w:rsidR="003B505E">
        <w:rPr>
          <w:rFonts w:ascii="Century Gothic" w:hAnsi="Century Gothic" w:cs="Arial"/>
          <w:sz w:val="24"/>
          <w:szCs w:val="24"/>
          <w:lang w:val="es-CO"/>
        </w:rPr>
        <w:t xml:space="preserve"> S.A.,</w:t>
      </w:r>
      <w:r w:rsidR="003B505E" w:rsidRPr="003B505E">
        <w:rPr>
          <w:rFonts w:ascii="Arial" w:eastAsia="Times New Roman" w:hAnsi="Arial" w:cs="Arial"/>
          <w:bCs/>
          <w:sz w:val="24"/>
          <w:szCs w:val="24"/>
          <w:lang w:val="es-CO" w:eastAsia="es-ES"/>
        </w:rPr>
        <w:t xml:space="preserve"> </w:t>
      </w:r>
      <w:r w:rsidR="003B505E">
        <w:rPr>
          <w:rFonts w:ascii="Century Gothic" w:hAnsi="Century Gothic" w:cs="Arial"/>
          <w:bCs/>
          <w:sz w:val="24"/>
          <w:szCs w:val="24"/>
          <w:lang w:val="es-CO"/>
        </w:rPr>
        <w:t>fue expedida</w:t>
      </w:r>
      <w:r w:rsidR="003B505E" w:rsidRPr="003B505E">
        <w:rPr>
          <w:rFonts w:ascii="Century Gothic" w:hAnsi="Century Gothic" w:cs="Arial"/>
          <w:bCs/>
          <w:sz w:val="24"/>
          <w:szCs w:val="24"/>
          <w:lang w:val="es-CO"/>
        </w:rPr>
        <w:t xml:space="preserve"> con falsa motivación </w:t>
      </w:r>
      <w:r w:rsidR="005A0F0A">
        <w:rPr>
          <w:rFonts w:ascii="Century Gothic" w:hAnsi="Century Gothic" w:cs="Arial"/>
          <w:bCs/>
          <w:sz w:val="24"/>
          <w:szCs w:val="24"/>
          <w:lang w:val="es-CO"/>
        </w:rPr>
        <w:t>por haber trasgredido</w:t>
      </w:r>
      <w:r w:rsidR="003B505E" w:rsidRPr="003B505E">
        <w:rPr>
          <w:rFonts w:ascii="Century Gothic" w:hAnsi="Century Gothic" w:cs="Arial"/>
          <w:bCs/>
          <w:sz w:val="24"/>
          <w:szCs w:val="24"/>
          <w:lang w:val="es-CO"/>
        </w:rPr>
        <w:t xml:space="preserve"> </w:t>
      </w:r>
      <w:r w:rsidR="003B505E">
        <w:rPr>
          <w:rFonts w:ascii="Century Gothic" w:hAnsi="Century Gothic" w:cs="Arial"/>
          <w:bCs/>
          <w:sz w:val="24"/>
          <w:szCs w:val="24"/>
          <w:lang w:val="es-CO"/>
        </w:rPr>
        <w:t>los términos de referencia</w:t>
      </w:r>
      <w:r w:rsidR="003B505E" w:rsidRPr="003B505E">
        <w:rPr>
          <w:rFonts w:ascii="Century Gothic" w:hAnsi="Century Gothic" w:cs="Arial"/>
          <w:bCs/>
          <w:sz w:val="24"/>
          <w:szCs w:val="24"/>
          <w:lang w:val="es-CO"/>
        </w:rPr>
        <w:t xml:space="preserve">, en lo </w:t>
      </w:r>
      <w:r w:rsidR="00B82281">
        <w:rPr>
          <w:rFonts w:ascii="Century Gothic" w:hAnsi="Century Gothic" w:cs="Arial"/>
          <w:bCs/>
          <w:sz w:val="24"/>
          <w:szCs w:val="24"/>
          <w:lang w:val="es-CO"/>
        </w:rPr>
        <w:t>relativo</w:t>
      </w:r>
      <w:r w:rsidR="003B505E" w:rsidRPr="003B505E">
        <w:rPr>
          <w:rFonts w:ascii="Century Gothic" w:hAnsi="Century Gothic" w:cs="Arial"/>
          <w:bCs/>
          <w:sz w:val="24"/>
          <w:szCs w:val="24"/>
          <w:lang w:val="es-CO"/>
        </w:rPr>
        <w:t xml:space="preserve"> a la exigencia de presentación de documentos de orden financiero no subsanables</w:t>
      </w:r>
      <w:r w:rsidR="003B505E">
        <w:rPr>
          <w:rFonts w:ascii="Century Gothic" w:hAnsi="Century Gothic" w:cs="Arial"/>
          <w:bCs/>
          <w:sz w:val="24"/>
          <w:szCs w:val="24"/>
          <w:lang w:val="es-CO"/>
        </w:rPr>
        <w:t>,</w:t>
      </w:r>
      <w:r w:rsidR="000B7EE6">
        <w:rPr>
          <w:rFonts w:ascii="Century Gothic" w:hAnsi="Century Gothic" w:cs="Arial"/>
          <w:sz w:val="24"/>
          <w:szCs w:val="24"/>
          <w:lang w:val="es-CO"/>
        </w:rPr>
        <w:t xml:space="preserve"> además de establecer si procede una </w:t>
      </w:r>
      <w:r w:rsidR="003B505E">
        <w:rPr>
          <w:rFonts w:ascii="Century Gothic" w:hAnsi="Century Gothic" w:cs="Arial"/>
          <w:sz w:val="24"/>
          <w:szCs w:val="24"/>
          <w:lang w:val="es-CO"/>
        </w:rPr>
        <w:t xml:space="preserve">eventual nulidad del contrato celebrado. </w:t>
      </w:r>
    </w:p>
    <w:p w14:paraId="3BF29AE5" w14:textId="77777777" w:rsidR="003B505E" w:rsidRDefault="003B505E" w:rsidP="003B505E">
      <w:pPr>
        <w:pStyle w:val="Prrafodelista"/>
        <w:rPr>
          <w:rFonts w:ascii="Century Gothic" w:hAnsi="Century Gothic" w:cs="Arial"/>
          <w:sz w:val="24"/>
          <w:szCs w:val="24"/>
          <w:lang w:val="es-CO"/>
        </w:rPr>
      </w:pPr>
    </w:p>
    <w:p w14:paraId="652D0EB8" w14:textId="77777777" w:rsidR="003B505E" w:rsidRDefault="005F2678" w:rsidP="005F2678">
      <w:pPr>
        <w:numPr>
          <w:ilvl w:val="0"/>
          <w:numId w:val="3"/>
        </w:numPr>
        <w:tabs>
          <w:tab w:val="left" w:pos="426"/>
        </w:tabs>
        <w:spacing w:line="360" w:lineRule="auto"/>
        <w:ind w:left="0" w:firstLine="0"/>
        <w:jc w:val="both"/>
        <w:rPr>
          <w:rFonts w:ascii="Century Gothic" w:hAnsi="Century Gothic" w:cs="Arial"/>
          <w:sz w:val="24"/>
          <w:szCs w:val="24"/>
          <w:lang w:val="es-CO"/>
        </w:rPr>
      </w:pPr>
      <w:r w:rsidRPr="005F2678">
        <w:rPr>
          <w:rFonts w:ascii="Century Gothic" w:hAnsi="Century Gothic" w:cs="Arial"/>
          <w:sz w:val="24"/>
          <w:szCs w:val="24"/>
          <w:lang w:val="es-CO"/>
        </w:rPr>
        <w:t xml:space="preserve">Para tal efecto, se deberá </w:t>
      </w:r>
      <w:r w:rsidR="00F7031A">
        <w:rPr>
          <w:rFonts w:ascii="Century Gothic" w:hAnsi="Century Gothic" w:cs="Arial"/>
          <w:sz w:val="24"/>
          <w:szCs w:val="24"/>
          <w:lang w:val="es-CO"/>
        </w:rPr>
        <w:t>establecer si, para el caso, la presentación del</w:t>
      </w:r>
      <w:r w:rsidRPr="005F2678">
        <w:rPr>
          <w:rFonts w:ascii="Century Gothic" w:hAnsi="Century Gothic" w:cs="Arial"/>
          <w:sz w:val="24"/>
          <w:szCs w:val="24"/>
          <w:lang w:val="es-CO"/>
        </w:rPr>
        <w:t xml:space="preserve"> balance general diferente al aprobado por el órgano social competente puede ten</w:t>
      </w:r>
      <w:r w:rsidR="00F7031A">
        <w:rPr>
          <w:rFonts w:ascii="Century Gothic" w:hAnsi="Century Gothic" w:cs="Arial"/>
          <w:sz w:val="24"/>
          <w:szCs w:val="24"/>
          <w:lang w:val="es-CO"/>
        </w:rPr>
        <w:t>erse como documento válido en el</w:t>
      </w:r>
      <w:r w:rsidRPr="005F2678">
        <w:rPr>
          <w:rFonts w:ascii="Century Gothic" w:hAnsi="Century Gothic" w:cs="Arial"/>
          <w:sz w:val="24"/>
          <w:szCs w:val="24"/>
          <w:lang w:val="es-CO"/>
        </w:rPr>
        <w:t xml:space="preserve"> pr</w:t>
      </w:r>
      <w:r w:rsidR="00F7031A">
        <w:rPr>
          <w:rFonts w:ascii="Century Gothic" w:hAnsi="Century Gothic" w:cs="Arial"/>
          <w:sz w:val="24"/>
          <w:szCs w:val="24"/>
          <w:lang w:val="es-CO"/>
        </w:rPr>
        <w:t>oceso de contratación.</w:t>
      </w:r>
    </w:p>
    <w:p w14:paraId="0C9A8648" w14:textId="77777777" w:rsidR="005F2678" w:rsidRDefault="005F2678" w:rsidP="005F2678">
      <w:pPr>
        <w:pStyle w:val="Prrafodelista"/>
        <w:rPr>
          <w:rFonts w:ascii="Century Gothic" w:hAnsi="Century Gothic" w:cs="Arial"/>
          <w:sz w:val="24"/>
          <w:szCs w:val="24"/>
          <w:lang w:val="es-CO"/>
        </w:rPr>
      </w:pPr>
    </w:p>
    <w:p w14:paraId="1F1E3F0A" w14:textId="77777777" w:rsidR="005F2678" w:rsidRDefault="005F2678" w:rsidP="005F2678">
      <w:pPr>
        <w:numPr>
          <w:ilvl w:val="0"/>
          <w:numId w:val="3"/>
        </w:numPr>
        <w:tabs>
          <w:tab w:val="left" w:pos="426"/>
        </w:tabs>
        <w:spacing w:line="360" w:lineRule="auto"/>
        <w:ind w:left="0" w:firstLine="0"/>
        <w:jc w:val="both"/>
        <w:rPr>
          <w:rFonts w:ascii="Century Gothic" w:hAnsi="Century Gothic" w:cs="Arial"/>
          <w:sz w:val="24"/>
          <w:szCs w:val="24"/>
          <w:lang w:val="es-CO"/>
        </w:rPr>
      </w:pPr>
      <w:r w:rsidRPr="005F2678">
        <w:rPr>
          <w:rFonts w:ascii="Century Gothic" w:hAnsi="Century Gothic" w:cs="Arial"/>
          <w:sz w:val="24"/>
          <w:szCs w:val="24"/>
          <w:lang w:val="es-CO"/>
        </w:rPr>
        <w:t xml:space="preserve">De conformidad con los hechos probados, la Sala encuentra que el documento presentado por la </w:t>
      </w:r>
      <w:r>
        <w:rPr>
          <w:rFonts w:ascii="Century Gothic" w:hAnsi="Century Gothic" w:cs="Arial"/>
          <w:sz w:val="24"/>
          <w:szCs w:val="24"/>
          <w:lang w:val="es-CO"/>
        </w:rPr>
        <w:t>UT</w:t>
      </w:r>
      <w:r w:rsidRPr="005F2678">
        <w:rPr>
          <w:rFonts w:ascii="Century Gothic" w:hAnsi="Century Gothic" w:cs="Arial"/>
          <w:sz w:val="24"/>
          <w:szCs w:val="24"/>
          <w:lang w:val="es-CO"/>
        </w:rPr>
        <w:t xml:space="preserve"> RTS como balance general </w:t>
      </w:r>
      <w:r w:rsidR="00B3693B">
        <w:rPr>
          <w:rFonts w:ascii="Century Gothic" w:hAnsi="Century Gothic" w:cs="Arial"/>
          <w:sz w:val="24"/>
          <w:szCs w:val="24"/>
          <w:lang w:val="es-CO"/>
        </w:rPr>
        <w:t>de la firma RTS Ltda. difería</w:t>
      </w:r>
      <w:r w:rsidRPr="005F2678">
        <w:rPr>
          <w:rFonts w:ascii="Century Gothic" w:hAnsi="Century Gothic" w:cs="Arial"/>
          <w:sz w:val="24"/>
          <w:szCs w:val="24"/>
          <w:lang w:val="es-CO"/>
        </w:rPr>
        <w:t xml:space="preserve"> del aprobado por el órgano social competente de la sociedad y, en tal sentido, sus cifras </w:t>
      </w:r>
      <w:r w:rsidR="00B3693B">
        <w:rPr>
          <w:rFonts w:ascii="Century Gothic" w:hAnsi="Century Gothic" w:cs="Arial"/>
          <w:sz w:val="24"/>
          <w:szCs w:val="24"/>
          <w:lang w:val="es-CO"/>
        </w:rPr>
        <w:t>no coincidían con las que reposaban</w:t>
      </w:r>
      <w:r w:rsidRPr="005F2678">
        <w:rPr>
          <w:rFonts w:ascii="Century Gothic" w:hAnsi="Century Gothic" w:cs="Arial"/>
          <w:sz w:val="24"/>
          <w:szCs w:val="24"/>
          <w:lang w:val="es-CO"/>
        </w:rPr>
        <w:t xml:space="preserve"> en la Cámara de Comercio.</w:t>
      </w:r>
    </w:p>
    <w:p w14:paraId="66653607" w14:textId="77777777" w:rsidR="003B505E" w:rsidRDefault="003B505E" w:rsidP="003B505E">
      <w:pPr>
        <w:pStyle w:val="Prrafodelista"/>
        <w:rPr>
          <w:rFonts w:ascii="Century Gothic" w:hAnsi="Century Gothic" w:cs="Arial"/>
          <w:sz w:val="24"/>
          <w:szCs w:val="24"/>
          <w:lang w:val="es-CO"/>
        </w:rPr>
      </w:pPr>
    </w:p>
    <w:p w14:paraId="53D68AC0" w14:textId="77777777" w:rsidR="005F2678" w:rsidRDefault="005F2678" w:rsidP="00BA668C">
      <w:pPr>
        <w:numPr>
          <w:ilvl w:val="0"/>
          <w:numId w:val="3"/>
        </w:numPr>
        <w:tabs>
          <w:tab w:val="left" w:pos="426"/>
        </w:tabs>
        <w:spacing w:line="360" w:lineRule="auto"/>
        <w:ind w:left="0" w:firstLine="0"/>
        <w:jc w:val="both"/>
        <w:rPr>
          <w:rFonts w:ascii="Century Gothic" w:hAnsi="Century Gothic" w:cs="Arial"/>
          <w:sz w:val="24"/>
          <w:szCs w:val="24"/>
          <w:lang w:val="es-CO"/>
        </w:rPr>
      </w:pPr>
      <w:r>
        <w:rPr>
          <w:rFonts w:ascii="Century Gothic" w:hAnsi="Century Gothic" w:cs="Arial"/>
          <w:sz w:val="24"/>
          <w:szCs w:val="24"/>
          <w:lang w:val="es-CO"/>
        </w:rPr>
        <w:t xml:space="preserve">Se tiene acreditado, además, que el requerimiento efectuado en los términos de referencia indicaba que el balance general con corte a 31 de diciembre de 2004 era un documento no subsanable. </w:t>
      </w:r>
    </w:p>
    <w:p w14:paraId="6895CA47" w14:textId="77777777" w:rsidR="005F2678" w:rsidRDefault="005F2678" w:rsidP="005F2678">
      <w:pPr>
        <w:pStyle w:val="Prrafodelista"/>
        <w:rPr>
          <w:rFonts w:ascii="Century Gothic" w:hAnsi="Century Gothic" w:cs="Arial"/>
          <w:sz w:val="24"/>
          <w:szCs w:val="24"/>
          <w:lang w:val="es-CO"/>
        </w:rPr>
      </w:pPr>
    </w:p>
    <w:p w14:paraId="557E0086" w14:textId="77777777" w:rsidR="00EC6794" w:rsidRDefault="00EC6794" w:rsidP="00EC6794">
      <w:pPr>
        <w:numPr>
          <w:ilvl w:val="0"/>
          <w:numId w:val="3"/>
        </w:numPr>
        <w:tabs>
          <w:tab w:val="left" w:pos="426"/>
        </w:tabs>
        <w:spacing w:line="360" w:lineRule="auto"/>
        <w:ind w:left="0" w:firstLine="0"/>
        <w:jc w:val="both"/>
        <w:rPr>
          <w:rFonts w:ascii="Century Gothic" w:hAnsi="Century Gothic" w:cs="Arial"/>
          <w:sz w:val="24"/>
          <w:szCs w:val="24"/>
          <w:lang w:val="es-CO"/>
        </w:rPr>
      </w:pPr>
      <w:r w:rsidRPr="00EC6794">
        <w:rPr>
          <w:rFonts w:ascii="Century Gothic" w:hAnsi="Century Gothic" w:cs="Arial"/>
          <w:sz w:val="24"/>
          <w:szCs w:val="24"/>
          <w:lang w:val="es-CO"/>
        </w:rPr>
        <w:t xml:space="preserve">Según lo estipulado en </w:t>
      </w:r>
      <w:r>
        <w:rPr>
          <w:rFonts w:ascii="Century Gothic" w:hAnsi="Century Gothic" w:cs="Arial"/>
          <w:sz w:val="24"/>
          <w:szCs w:val="24"/>
          <w:lang w:val="es-CO"/>
        </w:rPr>
        <w:t>los términos de referencia de la convocatoria</w:t>
      </w:r>
      <w:r w:rsidRPr="00EC6794">
        <w:rPr>
          <w:rFonts w:ascii="Century Gothic" w:hAnsi="Century Gothic" w:cs="Arial"/>
          <w:sz w:val="24"/>
          <w:szCs w:val="24"/>
          <w:lang w:val="es-CO"/>
        </w:rPr>
        <w:t>, se debía presentar el balance general con corte a 31 de diciembre de 2004, de acuerdo con las normas contables vigentes para la fecha del cierre.</w:t>
      </w:r>
      <w:r>
        <w:rPr>
          <w:rFonts w:ascii="Century Gothic" w:hAnsi="Century Gothic" w:cs="Arial"/>
          <w:sz w:val="24"/>
          <w:szCs w:val="24"/>
          <w:lang w:val="es-CO"/>
        </w:rPr>
        <w:t xml:space="preserve"> </w:t>
      </w:r>
      <w:bookmarkStart w:id="0" w:name="_Hlk32915508"/>
      <w:r w:rsidR="008C4513">
        <w:rPr>
          <w:rFonts w:ascii="Century Gothic" w:hAnsi="Century Gothic" w:cs="Arial"/>
          <w:sz w:val="24"/>
          <w:szCs w:val="24"/>
          <w:lang w:val="es-CO"/>
        </w:rPr>
        <w:t>L</w:t>
      </w:r>
      <w:r w:rsidRPr="00EC6794">
        <w:rPr>
          <w:rFonts w:ascii="Century Gothic" w:hAnsi="Century Gothic" w:cs="Arial"/>
          <w:sz w:val="24"/>
          <w:szCs w:val="24"/>
          <w:lang w:val="es-CO"/>
        </w:rPr>
        <w:t>as normas contables vigentes para la época estaban establecidas en varios artículos de la Ley 222 de 1995 y de la reglamentación de la contabilidad consagrada en el De</w:t>
      </w:r>
      <w:r w:rsidR="00B82281">
        <w:rPr>
          <w:rFonts w:ascii="Century Gothic" w:hAnsi="Century Gothic" w:cs="Arial"/>
          <w:sz w:val="24"/>
          <w:szCs w:val="24"/>
          <w:lang w:val="es-CO"/>
        </w:rPr>
        <w:t>creto 2649 de 1993, tal y como</w:t>
      </w:r>
      <w:r w:rsidRPr="00EC6794">
        <w:rPr>
          <w:rFonts w:ascii="Century Gothic" w:hAnsi="Century Gothic" w:cs="Arial"/>
          <w:sz w:val="24"/>
          <w:szCs w:val="24"/>
          <w:lang w:val="es-CO"/>
        </w:rPr>
        <w:t xml:space="preserve"> lo refirieron los apelantes.  </w:t>
      </w:r>
      <w:bookmarkEnd w:id="0"/>
    </w:p>
    <w:p w14:paraId="5DE702BF" w14:textId="77777777" w:rsidR="00402B4D" w:rsidRPr="00EC6794" w:rsidRDefault="00402B4D" w:rsidP="00402B4D">
      <w:pPr>
        <w:tabs>
          <w:tab w:val="left" w:pos="426"/>
        </w:tabs>
        <w:spacing w:line="360" w:lineRule="auto"/>
        <w:jc w:val="both"/>
        <w:rPr>
          <w:rFonts w:ascii="Century Gothic" w:hAnsi="Century Gothic" w:cs="Arial"/>
          <w:sz w:val="24"/>
          <w:szCs w:val="24"/>
          <w:lang w:val="es-CO"/>
        </w:rPr>
      </w:pPr>
    </w:p>
    <w:p w14:paraId="02615313" w14:textId="77777777" w:rsidR="00EC6794" w:rsidRPr="00EC6794" w:rsidRDefault="00EC6794" w:rsidP="00EC6794">
      <w:pPr>
        <w:numPr>
          <w:ilvl w:val="0"/>
          <w:numId w:val="3"/>
        </w:numPr>
        <w:tabs>
          <w:tab w:val="left" w:pos="426"/>
        </w:tabs>
        <w:spacing w:line="360" w:lineRule="auto"/>
        <w:ind w:left="0" w:firstLine="0"/>
        <w:jc w:val="both"/>
        <w:rPr>
          <w:rFonts w:ascii="Century Gothic" w:hAnsi="Century Gothic" w:cs="Arial"/>
          <w:sz w:val="24"/>
          <w:szCs w:val="24"/>
          <w:lang w:val="es-CO"/>
        </w:rPr>
      </w:pPr>
      <w:r w:rsidRPr="00EC6794">
        <w:rPr>
          <w:rFonts w:ascii="Century Gothic" w:hAnsi="Century Gothic" w:cs="Arial"/>
          <w:sz w:val="24"/>
          <w:szCs w:val="24"/>
          <w:lang w:val="es-CO"/>
        </w:rPr>
        <w:t xml:space="preserve">Las normas relevantes </w:t>
      </w:r>
      <w:r w:rsidR="00B82281">
        <w:rPr>
          <w:rFonts w:ascii="Century Gothic" w:hAnsi="Century Gothic" w:cs="Arial"/>
          <w:sz w:val="24"/>
          <w:szCs w:val="24"/>
          <w:lang w:val="es-CO"/>
        </w:rPr>
        <w:t xml:space="preserve">para el caso, </w:t>
      </w:r>
      <w:r w:rsidRPr="00EC6794">
        <w:rPr>
          <w:rFonts w:ascii="Century Gothic" w:hAnsi="Century Gothic" w:cs="Arial"/>
          <w:sz w:val="24"/>
          <w:szCs w:val="24"/>
          <w:lang w:val="es-CO"/>
        </w:rPr>
        <w:t>que r</w:t>
      </w:r>
      <w:r w:rsidR="008C4513">
        <w:rPr>
          <w:rFonts w:ascii="Century Gothic" w:hAnsi="Century Gothic" w:cs="Arial"/>
          <w:sz w:val="24"/>
          <w:szCs w:val="24"/>
          <w:lang w:val="es-CO"/>
        </w:rPr>
        <w:t>eferían</w:t>
      </w:r>
      <w:r w:rsidR="00B82281">
        <w:rPr>
          <w:rFonts w:ascii="Century Gothic" w:hAnsi="Century Gothic" w:cs="Arial"/>
          <w:sz w:val="24"/>
          <w:szCs w:val="24"/>
          <w:lang w:val="es-CO"/>
        </w:rPr>
        <w:t xml:space="preserve"> a</w:t>
      </w:r>
      <w:r w:rsidRPr="00EC6794">
        <w:rPr>
          <w:rFonts w:ascii="Century Gothic" w:hAnsi="Century Gothic" w:cs="Arial"/>
          <w:sz w:val="24"/>
          <w:szCs w:val="24"/>
          <w:lang w:val="es-CO"/>
        </w:rPr>
        <w:t xml:space="preserve"> los estados financieros de las empresas</w:t>
      </w:r>
      <w:r w:rsidR="00B82281">
        <w:rPr>
          <w:rFonts w:ascii="Century Gothic" w:hAnsi="Century Gothic" w:cs="Arial"/>
          <w:sz w:val="24"/>
          <w:szCs w:val="24"/>
          <w:lang w:val="es-CO"/>
        </w:rPr>
        <w:t>,</w:t>
      </w:r>
      <w:r w:rsidRPr="00EC6794">
        <w:rPr>
          <w:rFonts w:ascii="Century Gothic" w:hAnsi="Century Gothic" w:cs="Arial"/>
          <w:sz w:val="24"/>
          <w:szCs w:val="24"/>
          <w:lang w:val="es-CO"/>
        </w:rPr>
        <w:t xml:space="preserve"> </w:t>
      </w:r>
      <w:r w:rsidR="008C4513">
        <w:rPr>
          <w:rFonts w:ascii="Century Gothic" w:hAnsi="Century Gothic" w:cs="Arial"/>
          <w:sz w:val="24"/>
          <w:szCs w:val="24"/>
          <w:lang w:val="es-CO"/>
        </w:rPr>
        <w:t>eran</w:t>
      </w:r>
      <w:r w:rsidRPr="00EC6794">
        <w:rPr>
          <w:rFonts w:ascii="Century Gothic" w:hAnsi="Century Gothic" w:cs="Arial"/>
          <w:sz w:val="24"/>
          <w:szCs w:val="24"/>
          <w:lang w:val="es-CO"/>
        </w:rPr>
        <w:t xml:space="preserve"> las siguientes: </w:t>
      </w:r>
    </w:p>
    <w:p w14:paraId="6ABCB2C7" w14:textId="77777777" w:rsidR="00EC6794" w:rsidRPr="00402B4D" w:rsidRDefault="00EC6794" w:rsidP="00402B4D">
      <w:pPr>
        <w:tabs>
          <w:tab w:val="left" w:pos="426"/>
        </w:tabs>
        <w:ind w:left="851" w:right="618"/>
        <w:jc w:val="both"/>
        <w:rPr>
          <w:rFonts w:ascii="Century Gothic" w:hAnsi="Century Gothic" w:cs="Arial"/>
          <w:lang w:val="es-CO"/>
        </w:rPr>
      </w:pPr>
    </w:p>
    <w:p w14:paraId="642362F2" w14:textId="77777777" w:rsidR="00EC6794" w:rsidRDefault="00EC6794" w:rsidP="00402B4D">
      <w:pPr>
        <w:tabs>
          <w:tab w:val="left" w:pos="426"/>
        </w:tabs>
        <w:ind w:left="851" w:right="618"/>
        <w:jc w:val="both"/>
        <w:rPr>
          <w:rFonts w:ascii="Century Gothic" w:hAnsi="Century Gothic" w:cs="Arial"/>
          <w:i/>
          <w:lang w:val="es-CO"/>
        </w:rPr>
      </w:pPr>
      <w:r w:rsidRPr="000A7184">
        <w:rPr>
          <w:rFonts w:ascii="Century Gothic" w:hAnsi="Century Gothic" w:cs="Arial"/>
          <w:i/>
          <w:lang w:val="es-CO"/>
        </w:rPr>
        <w:t>“Art</w:t>
      </w:r>
      <w:r w:rsidR="00402B4D" w:rsidRPr="000A7184">
        <w:rPr>
          <w:rFonts w:ascii="Century Gothic" w:hAnsi="Century Gothic" w:cs="Arial"/>
          <w:i/>
          <w:lang w:val="es-CO"/>
        </w:rPr>
        <w:t>ículo 34 de la Ley 222 de 199</w:t>
      </w:r>
      <w:r w:rsidR="008C4513">
        <w:rPr>
          <w:rFonts w:ascii="Century Gothic" w:hAnsi="Century Gothic" w:cs="Arial"/>
          <w:i/>
          <w:lang w:val="es-CO"/>
        </w:rPr>
        <w:t>5</w:t>
      </w:r>
      <w:r w:rsidR="00402B4D" w:rsidRPr="000A7184">
        <w:rPr>
          <w:rFonts w:ascii="Century Gothic" w:hAnsi="Century Gothic" w:cs="Arial"/>
          <w:i/>
          <w:lang w:val="es-CO"/>
        </w:rPr>
        <w:t xml:space="preserve">. Obligación de preparar y difundir estados financieros. </w:t>
      </w:r>
      <w:r w:rsidRPr="000A7184">
        <w:rPr>
          <w:rFonts w:ascii="Century Gothic" w:hAnsi="Century Gothic" w:cs="Arial"/>
          <w:i/>
          <w:lang w:val="es-CO"/>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w:t>
      </w:r>
    </w:p>
    <w:p w14:paraId="3C97C8EA" w14:textId="77777777" w:rsidR="004D6191" w:rsidRDefault="004D6191" w:rsidP="00402B4D">
      <w:pPr>
        <w:tabs>
          <w:tab w:val="left" w:pos="426"/>
        </w:tabs>
        <w:ind w:left="851" w:right="618"/>
        <w:jc w:val="both"/>
        <w:rPr>
          <w:rFonts w:ascii="Century Gothic" w:hAnsi="Century Gothic" w:cs="Arial"/>
          <w:i/>
          <w:lang w:val="es-CO"/>
        </w:rPr>
      </w:pPr>
    </w:p>
    <w:p w14:paraId="26037B2C" w14:textId="77777777" w:rsidR="004D6191" w:rsidRPr="004D6191" w:rsidRDefault="004D6191" w:rsidP="004D6191">
      <w:pPr>
        <w:tabs>
          <w:tab w:val="left" w:pos="426"/>
        </w:tabs>
        <w:ind w:left="851" w:right="618"/>
        <w:jc w:val="both"/>
        <w:rPr>
          <w:rFonts w:ascii="Century Gothic" w:hAnsi="Century Gothic" w:cs="Arial"/>
          <w:i/>
        </w:rPr>
      </w:pPr>
      <w:r w:rsidRPr="004D6191">
        <w:rPr>
          <w:rFonts w:ascii="Century Gothic" w:hAnsi="Century Gothic" w:cs="Arial"/>
          <w:i/>
        </w:rPr>
        <w:t>“</w:t>
      </w:r>
      <w:r>
        <w:rPr>
          <w:rFonts w:ascii="Century Gothic" w:hAnsi="Century Gothic" w:cs="Arial"/>
          <w:i/>
        </w:rPr>
        <w:t>A</w:t>
      </w:r>
      <w:r w:rsidRPr="004D6191">
        <w:rPr>
          <w:rFonts w:ascii="Century Gothic" w:hAnsi="Century Gothic" w:cs="Arial"/>
          <w:i/>
        </w:rPr>
        <w:t>rtículo 35. Estados financieros consolidados. La matriz controlante, además de preparar y presentar estados financieros de propósito general individuales, deben preparar y 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w:t>
      </w:r>
    </w:p>
    <w:p w14:paraId="6E99095E" w14:textId="77777777" w:rsidR="004D6191" w:rsidRPr="004D6191" w:rsidRDefault="004D6191" w:rsidP="004D6191">
      <w:pPr>
        <w:tabs>
          <w:tab w:val="left" w:pos="426"/>
        </w:tabs>
        <w:ind w:left="851" w:right="618"/>
        <w:jc w:val="both"/>
        <w:rPr>
          <w:rFonts w:ascii="Century Gothic" w:hAnsi="Century Gothic" w:cs="Arial"/>
          <w:i/>
        </w:rPr>
      </w:pPr>
    </w:p>
    <w:p w14:paraId="000958CF" w14:textId="77777777" w:rsidR="004D6191" w:rsidRPr="004D6191" w:rsidRDefault="004D6191" w:rsidP="004D6191">
      <w:pPr>
        <w:tabs>
          <w:tab w:val="left" w:pos="426"/>
        </w:tabs>
        <w:ind w:left="851" w:right="618"/>
        <w:jc w:val="both"/>
        <w:rPr>
          <w:rFonts w:ascii="Century Gothic" w:hAnsi="Century Gothic" w:cs="Arial"/>
          <w:i/>
        </w:rPr>
      </w:pPr>
      <w:r w:rsidRPr="004D6191">
        <w:rPr>
          <w:rFonts w:ascii="Century Gothic" w:hAnsi="Century Gothic" w:cs="Arial"/>
          <w:i/>
        </w:rPr>
        <w:t>“Los estados financieros de propósito general consolidados deben ser sometidos a consideración de quien sea competente, para su aprobación o improbación.</w:t>
      </w:r>
    </w:p>
    <w:p w14:paraId="01A0A1D8" w14:textId="77777777" w:rsidR="004D6191" w:rsidRPr="004D6191" w:rsidRDefault="004D6191" w:rsidP="004D6191">
      <w:pPr>
        <w:tabs>
          <w:tab w:val="left" w:pos="426"/>
        </w:tabs>
        <w:ind w:left="851" w:right="618"/>
        <w:jc w:val="both"/>
        <w:rPr>
          <w:rFonts w:ascii="Century Gothic" w:hAnsi="Century Gothic" w:cs="Arial"/>
          <w:i/>
        </w:rPr>
      </w:pPr>
    </w:p>
    <w:p w14:paraId="0A6D8822" w14:textId="77777777" w:rsidR="004D6191" w:rsidRPr="004D6191" w:rsidRDefault="004D6191" w:rsidP="004D6191">
      <w:pPr>
        <w:tabs>
          <w:tab w:val="left" w:pos="426"/>
        </w:tabs>
        <w:ind w:left="851" w:right="618"/>
        <w:jc w:val="both"/>
        <w:rPr>
          <w:rFonts w:ascii="Century Gothic" w:hAnsi="Century Gothic" w:cs="Arial"/>
          <w:i/>
        </w:rPr>
      </w:pPr>
      <w:r w:rsidRPr="004D6191">
        <w:rPr>
          <w:rFonts w:ascii="Century Gothic" w:hAnsi="Century Gothic" w:cs="Arial"/>
          <w:i/>
        </w:rPr>
        <w:t>“Las inversiones en subordinadas deben contabilizarse en los libros de la matriz o controlante por el método de participación patrimonial.</w:t>
      </w:r>
    </w:p>
    <w:p w14:paraId="270C2503" w14:textId="77777777" w:rsidR="00EC6794" w:rsidRPr="000A7184" w:rsidRDefault="00EC6794" w:rsidP="00402B4D">
      <w:pPr>
        <w:tabs>
          <w:tab w:val="left" w:pos="426"/>
        </w:tabs>
        <w:ind w:left="851" w:right="618"/>
        <w:jc w:val="both"/>
        <w:rPr>
          <w:rFonts w:ascii="Century Gothic" w:hAnsi="Century Gothic" w:cs="Arial"/>
          <w:i/>
          <w:lang w:val="es-CO"/>
        </w:rPr>
      </w:pPr>
    </w:p>
    <w:p w14:paraId="17F4A3C3" w14:textId="77777777" w:rsidR="00EC6794" w:rsidRPr="000A7184" w:rsidRDefault="00EC6794" w:rsidP="00402B4D">
      <w:pPr>
        <w:tabs>
          <w:tab w:val="left" w:pos="426"/>
        </w:tabs>
        <w:ind w:left="851" w:right="618"/>
        <w:jc w:val="both"/>
        <w:rPr>
          <w:rFonts w:ascii="Century Gothic" w:hAnsi="Century Gothic" w:cs="Arial"/>
          <w:i/>
          <w:lang w:val="es-CO"/>
        </w:rPr>
      </w:pPr>
      <w:r w:rsidRPr="000A7184">
        <w:rPr>
          <w:rFonts w:ascii="Century Gothic" w:hAnsi="Century Gothic" w:cs="Arial"/>
          <w:i/>
          <w:lang w:val="es-CO"/>
        </w:rPr>
        <w:lastRenderedPageBreak/>
        <w:t>“</w:t>
      </w:r>
      <w:r w:rsidR="00402B4D" w:rsidRPr="000A7184">
        <w:rPr>
          <w:rFonts w:ascii="Century Gothic" w:hAnsi="Century Gothic" w:cs="Arial"/>
          <w:i/>
          <w:lang w:val="es-CO"/>
        </w:rPr>
        <w:t xml:space="preserve">Artículo 37. Estados Financieros Certificados. </w:t>
      </w:r>
      <w:r w:rsidRPr="000A7184">
        <w:rPr>
          <w:rFonts w:ascii="Century Gothic" w:hAnsi="Century Gothic" w:cs="Arial"/>
          <w:i/>
          <w:lang w:val="es-CO"/>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1F3B3A52" w14:textId="77777777" w:rsidR="00EC6794" w:rsidRPr="000A7184" w:rsidRDefault="00EC6794" w:rsidP="00402B4D">
      <w:pPr>
        <w:tabs>
          <w:tab w:val="left" w:pos="426"/>
        </w:tabs>
        <w:ind w:left="851" w:right="618"/>
        <w:jc w:val="both"/>
        <w:rPr>
          <w:rFonts w:ascii="Century Gothic" w:hAnsi="Century Gothic" w:cs="Arial"/>
          <w:i/>
          <w:lang w:val="es-CO"/>
        </w:rPr>
      </w:pPr>
    </w:p>
    <w:p w14:paraId="3E392465" w14:textId="77777777" w:rsidR="00EC6794" w:rsidRPr="000A7184" w:rsidRDefault="00EC6794" w:rsidP="00962B83">
      <w:pPr>
        <w:tabs>
          <w:tab w:val="left" w:pos="426"/>
        </w:tabs>
        <w:ind w:left="851" w:right="618"/>
        <w:jc w:val="both"/>
        <w:rPr>
          <w:rFonts w:ascii="Century Gothic" w:hAnsi="Century Gothic" w:cs="Arial"/>
          <w:i/>
          <w:lang w:val="es-CO"/>
        </w:rPr>
      </w:pPr>
      <w:r w:rsidRPr="000A7184">
        <w:rPr>
          <w:rFonts w:ascii="Century Gothic" w:hAnsi="Century Gothic" w:cs="Arial"/>
          <w:i/>
          <w:lang w:val="es-CO"/>
        </w:rPr>
        <w:t>“</w:t>
      </w:r>
      <w:r w:rsidR="00402B4D" w:rsidRPr="000A7184">
        <w:rPr>
          <w:rFonts w:ascii="Century Gothic" w:hAnsi="Century Gothic" w:cs="Arial"/>
          <w:i/>
          <w:lang w:val="es-CO"/>
        </w:rPr>
        <w:t xml:space="preserve">Artículo 39. Autenticidad de los estados financieros y de los dictámenes. </w:t>
      </w:r>
      <w:r w:rsidRPr="000A7184">
        <w:rPr>
          <w:rFonts w:ascii="Century Gothic" w:hAnsi="Century Gothic" w:cs="Arial"/>
          <w:i/>
          <w:lang w:val="es-CO"/>
        </w:rPr>
        <w:t>Salvo prueba en contrario, los estados financieros certificados y los dictámenes correspon</w:t>
      </w:r>
      <w:r w:rsidR="00962B83" w:rsidRPr="000A7184">
        <w:rPr>
          <w:rFonts w:ascii="Century Gothic" w:hAnsi="Century Gothic" w:cs="Arial"/>
          <w:i/>
          <w:lang w:val="es-CO"/>
        </w:rPr>
        <w:t>dientes se presumen auténticos.</w:t>
      </w:r>
    </w:p>
    <w:p w14:paraId="313610E8" w14:textId="77777777" w:rsidR="00962B83" w:rsidRPr="000A7184" w:rsidRDefault="00962B83" w:rsidP="00962B83">
      <w:pPr>
        <w:tabs>
          <w:tab w:val="left" w:pos="426"/>
        </w:tabs>
        <w:ind w:left="851" w:right="618"/>
        <w:jc w:val="both"/>
        <w:rPr>
          <w:rFonts w:ascii="Century Gothic" w:hAnsi="Century Gothic" w:cs="Arial"/>
          <w:i/>
          <w:lang w:val="es-CO"/>
        </w:rPr>
      </w:pPr>
    </w:p>
    <w:p w14:paraId="02336270" w14:textId="77777777" w:rsidR="00EC6794" w:rsidRPr="000A7184" w:rsidRDefault="00EC6794" w:rsidP="00402B4D">
      <w:pPr>
        <w:tabs>
          <w:tab w:val="left" w:pos="426"/>
        </w:tabs>
        <w:ind w:left="851" w:right="618"/>
        <w:jc w:val="both"/>
        <w:rPr>
          <w:rFonts w:ascii="Century Gothic" w:hAnsi="Century Gothic" w:cs="Arial"/>
          <w:i/>
          <w:lang w:val="es-CO"/>
        </w:rPr>
      </w:pPr>
      <w:r w:rsidRPr="000A7184">
        <w:rPr>
          <w:rFonts w:ascii="Century Gothic" w:hAnsi="Century Gothic" w:cs="Arial"/>
          <w:i/>
          <w:lang w:val="es-CO"/>
        </w:rPr>
        <w:t>“</w:t>
      </w:r>
      <w:r w:rsidR="00402B4D" w:rsidRPr="000A7184">
        <w:rPr>
          <w:rFonts w:ascii="Century Gothic" w:hAnsi="Century Gothic" w:cs="Arial"/>
          <w:i/>
          <w:lang w:val="es-CO"/>
        </w:rPr>
        <w:t>Artículo 41. Publicidad de los estados financieros</w:t>
      </w:r>
      <w:r w:rsidRPr="000A7184">
        <w:rPr>
          <w:rFonts w:ascii="Century Gothic" w:hAnsi="Century Gothic" w:cs="Arial"/>
          <w:i/>
          <w:lang w:val="es-CO"/>
        </w:rPr>
        <w:t>. Dentro del mes siguiente a la fecha en la cual sean aprobados, se depositará copia de los estados financieros de propósito general, junto con sus notas y el dictamen correspondiente, si lo hubiere, en la Cámara de Comercio del domicilio social. Esta expedirá copia de tales documentos a quienes lo soliciten y paguen los costos correspondientes.</w:t>
      </w:r>
    </w:p>
    <w:p w14:paraId="0854011D" w14:textId="77777777" w:rsidR="00EC6794" w:rsidRPr="000A7184" w:rsidRDefault="00EC6794" w:rsidP="00402B4D">
      <w:pPr>
        <w:tabs>
          <w:tab w:val="left" w:pos="426"/>
        </w:tabs>
        <w:ind w:left="851" w:right="618"/>
        <w:jc w:val="both"/>
        <w:rPr>
          <w:rFonts w:ascii="Century Gothic" w:hAnsi="Century Gothic" w:cs="Arial"/>
          <w:i/>
          <w:lang w:val="es-CO"/>
        </w:rPr>
      </w:pPr>
    </w:p>
    <w:p w14:paraId="19BB5F46" w14:textId="77777777" w:rsidR="00EC6794" w:rsidRPr="000A7184" w:rsidRDefault="00EC6794" w:rsidP="00402B4D">
      <w:pPr>
        <w:tabs>
          <w:tab w:val="left" w:pos="426"/>
        </w:tabs>
        <w:ind w:left="851" w:right="618"/>
        <w:jc w:val="both"/>
        <w:rPr>
          <w:rFonts w:ascii="Century Gothic" w:hAnsi="Century Gothic" w:cs="Arial"/>
          <w:i/>
          <w:lang w:val="es-CO"/>
        </w:rPr>
      </w:pPr>
      <w:r w:rsidRPr="000A7184">
        <w:rPr>
          <w:rFonts w:ascii="Century Gothic" w:hAnsi="Century Gothic" w:cs="Arial"/>
          <w:i/>
          <w:lang w:val="es-CO"/>
        </w:rPr>
        <w:t>“Sin embargo, las entidades gubernamentales que ejerzan la inspección, vigilancia o control podrán establecer casos en los cuales no se exija depósito o se requiera un medio de publicidad adicional. También podrán ordenar la publicidad de los estados financieros intermedios.</w:t>
      </w:r>
    </w:p>
    <w:p w14:paraId="4442D191" w14:textId="77777777" w:rsidR="00EC6794" w:rsidRPr="000A7184" w:rsidRDefault="00EC6794" w:rsidP="00402B4D">
      <w:pPr>
        <w:tabs>
          <w:tab w:val="left" w:pos="426"/>
        </w:tabs>
        <w:ind w:left="851" w:right="618"/>
        <w:jc w:val="both"/>
        <w:rPr>
          <w:rFonts w:ascii="Century Gothic" w:hAnsi="Century Gothic" w:cs="Arial"/>
          <w:i/>
          <w:lang w:val="es-CO"/>
        </w:rPr>
      </w:pPr>
    </w:p>
    <w:p w14:paraId="526E8DC4" w14:textId="77777777" w:rsidR="00787C87" w:rsidRPr="000A7184" w:rsidRDefault="00EC6794" w:rsidP="00402B4D">
      <w:pPr>
        <w:tabs>
          <w:tab w:val="left" w:pos="426"/>
        </w:tabs>
        <w:ind w:left="851" w:right="618"/>
        <w:jc w:val="both"/>
        <w:rPr>
          <w:rFonts w:ascii="Century Gothic" w:hAnsi="Century Gothic" w:cs="Arial"/>
          <w:i/>
          <w:lang w:val="es-CO"/>
        </w:rPr>
      </w:pPr>
      <w:r w:rsidRPr="000A7184">
        <w:rPr>
          <w:rFonts w:ascii="Century Gothic" w:hAnsi="Century Gothic" w:cs="Arial"/>
          <w:i/>
          <w:lang w:val="es-CO"/>
        </w:rPr>
        <w:t>“La Cámara de Comercio deberá conservar, por cualquier medio, los documentos mencionados en este artículo por el término de cinco años”.</w:t>
      </w:r>
    </w:p>
    <w:p w14:paraId="76417184" w14:textId="77777777" w:rsidR="00787C87" w:rsidRDefault="00787C87" w:rsidP="00787C87">
      <w:pPr>
        <w:pStyle w:val="Prrafodelista"/>
        <w:rPr>
          <w:rFonts w:ascii="Century Gothic" w:hAnsi="Century Gothic" w:cs="Arial"/>
          <w:sz w:val="24"/>
          <w:szCs w:val="24"/>
          <w:lang w:val="es-CO"/>
        </w:rPr>
      </w:pPr>
    </w:p>
    <w:p w14:paraId="47ACC293" w14:textId="77777777" w:rsidR="00402B4D" w:rsidRDefault="00402B4D" w:rsidP="00402B4D">
      <w:pPr>
        <w:numPr>
          <w:ilvl w:val="0"/>
          <w:numId w:val="3"/>
        </w:numPr>
        <w:tabs>
          <w:tab w:val="left" w:pos="426"/>
        </w:tabs>
        <w:spacing w:line="360" w:lineRule="auto"/>
        <w:ind w:left="0" w:firstLine="0"/>
        <w:jc w:val="both"/>
        <w:rPr>
          <w:rFonts w:ascii="Century Gothic" w:hAnsi="Century Gothic" w:cs="Arial"/>
          <w:sz w:val="24"/>
          <w:szCs w:val="24"/>
          <w:lang w:val="es-CO"/>
        </w:rPr>
      </w:pPr>
      <w:bookmarkStart w:id="1" w:name="_Hlk20318358"/>
      <w:r w:rsidRPr="00402B4D">
        <w:rPr>
          <w:rFonts w:ascii="Century Gothic" w:hAnsi="Century Gothic" w:cs="Arial"/>
          <w:sz w:val="24"/>
          <w:szCs w:val="24"/>
          <w:lang w:val="es-CO"/>
        </w:rPr>
        <w:t xml:space="preserve">Del análisis de las normas citadas se desprende el </w:t>
      </w:r>
      <w:bookmarkStart w:id="2" w:name="_Hlk20318312"/>
      <w:r w:rsidRPr="00402B4D">
        <w:rPr>
          <w:rFonts w:ascii="Century Gothic" w:hAnsi="Century Gothic" w:cs="Arial"/>
          <w:sz w:val="24"/>
          <w:szCs w:val="24"/>
          <w:lang w:val="es-CO"/>
        </w:rPr>
        <w:t>deber de las sociedades</w:t>
      </w:r>
      <w:bookmarkEnd w:id="2"/>
      <w:r w:rsidR="00EF566B">
        <w:rPr>
          <w:rFonts w:ascii="Century Gothic" w:hAnsi="Century Gothic" w:cs="Arial"/>
          <w:sz w:val="24"/>
          <w:szCs w:val="24"/>
          <w:lang w:val="es-CO"/>
        </w:rPr>
        <w:t>,</w:t>
      </w:r>
      <w:r w:rsidRPr="00402B4D">
        <w:rPr>
          <w:rFonts w:ascii="Century Gothic" w:hAnsi="Century Gothic" w:cs="Arial"/>
          <w:sz w:val="24"/>
          <w:szCs w:val="24"/>
          <w:lang w:val="es-CO"/>
        </w:rPr>
        <w:t xml:space="preserve"> con corte a 31 de diciembre de cada año, </w:t>
      </w:r>
      <w:r w:rsidR="00962B83">
        <w:rPr>
          <w:rFonts w:ascii="Century Gothic" w:hAnsi="Century Gothic" w:cs="Arial"/>
          <w:sz w:val="24"/>
          <w:szCs w:val="24"/>
          <w:lang w:val="es-CO"/>
        </w:rPr>
        <w:t xml:space="preserve">de </w:t>
      </w:r>
      <w:r w:rsidRPr="00402B4D">
        <w:rPr>
          <w:rFonts w:ascii="Century Gothic" w:hAnsi="Century Gothic" w:cs="Arial"/>
          <w:sz w:val="24"/>
          <w:szCs w:val="24"/>
          <w:lang w:val="es-CO"/>
        </w:rPr>
        <w:t xml:space="preserve">preparar y difundir sus estados financieros, entre ellos el balance general, debidamente certificados. Adicionalmente, el balance general debe someterse a la aprobación del órgano social competente y </w:t>
      </w:r>
      <w:r w:rsidR="00962B83">
        <w:rPr>
          <w:rFonts w:ascii="Century Gothic" w:hAnsi="Century Gothic" w:cs="Arial"/>
          <w:sz w:val="24"/>
          <w:szCs w:val="24"/>
          <w:lang w:val="es-CO"/>
        </w:rPr>
        <w:t>depositarse</w:t>
      </w:r>
      <w:r w:rsidRPr="00402B4D">
        <w:rPr>
          <w:rFonts w:ascii="Century Gothic" w:hAnsi="Century Gothic" w:cs="Arial"/>
          <w:sz w:val="24"/>
          <w:szCs w:val="24"/>
          <w:lang w:val="es-CO"/>
        </w:rPr>
        <w:t xml:space="preserve"> copia en la Cámara de Comercio del domicilio social. En el mismo sentido, </w:t>
      </w:r>
      <w:r>
        <w:rPr>
          <w:rFonts w:ascii="Century Gothic" w:hAnsi="Century Gothic" w:cs="Arial"/>
          <w:sz w:val="24"/>
          <w:szCs w:val="24"/>
          <w:lang w:val="es-CO"/>
        </w:rPr>
        <w:t>e</w:t>
      </w:r>
      <w:r w:rsidRPr="00402B4D">
        <w:rPr>
          <w:rFonts w:ascii="Century Gothic" w:hAnsi="Century Gothic" w:cs="Arial"/>
          <w:sz w:val="24"/>
          <w:szCs w:val="24"/>
          <w:lang w:val="es-CO"/>
        </w:rPr>
        <w:t>l balance certificado se presume auténtico, salvo que se demuestre lo contrario.</w:t>
      </w:r>
    </w:p>
    <w:bookmarkEnd w:id="1"/>
    <w:p w14:paraId="49B1515A" w14:textId="77777777" w:rsidR="00402B4D" w:rsidRPr="00402B4D" w:rsidRDefault="00402B4D" w:rsidP="00402B4D">
      <w:pPr>
        <w:tabs>
          <w:tab w:val="left" w:pos="426"/>
        </w:tabs>
        <w:spacing w:line="360" w:lineRule="auto"/>
        <w:jc w:val="both"/>
        <w:rPr>
          <w:rFonts w:ascii="Century Gothic" w:hAnsi="Century Gothic" w:cs="Arial"/>
          <w:sz w:val="24"/>
          <w:szCs w:val="24"/>
          <w:lang w:val="es-CO"/>
        </w:rPr>
      </w:pPr>
    </w:p>
    <w:p w14:paraId="328ABC44" w14:textId="77777777" w:rsidR="00402B4D" w:rsidRDefault="00402B4D" w:rsidP="00402B4D">
      <w:pPr>
        <w:numPr>
          <w:ilvl w:val="0"/>
          <w:numId w:val="3"/>
        </w:numPr>
        <w:tabs>
          <w:tab w:val="left" w:pos="426"/>
        </w:tabs>
        <w:spacing w:line="360" w:lineRule="auto"/>
        <w:ind w:left="0" w:firstLine="0"/>
        <w:jc w:val="both"/>
        <w:rPr>
          <w:rFonts w:ascii="Century Gothic" w:hAnsi="Century Gothic" w:cs="Arial"/>
          <w:sz w:val="24"/>
          <w:szCs w:val="24"/>
          <w:lang w:val="es-CO"/>
        </w:rPr>
      </w:pPr>
      <w:bookmarkStart w:id="3" w:name="_Hlk20318412"/>
      <w:r w:rsidRPr="00402B4D">
        <w:rPr>
          <w:rFonts w:ascii="Century Gothic" w:hAnsi="Century Gothic" w:cs="Arial"/>
          <w:sz w:val="24"/>
          <w:szCs w:val="24"/>
          <w:lang w:val="es-CO"/>
        </w:rPr>
        <w:t xml:space="preserve">Al analizar el caso concreto, se constata que el proponente </w:t>
      </w:r>
      <w:r>
        <w:rPr>
          <w:rFonts w:ascii="Century Gothic" w:hAnsi="Century Gothic" w:cs="Arial"/>
          <w:sz w:val="24"/>
          <w:szCs w:val="24"/>
          <w:lang w:val="es-CO"/>
        </w:rPr>
        <w:t>UT RTS</w:t>
      </w:r>
      <w:r w:rsidRPr="00402B4D">
        <w:rPr>
          <w:rFonts w:ascii="Century Gothic" w:hAnsi="Century Gothic" w:cs="Arial"/>
          <w:sz w:val="24"/>
          <w:szCs w:val="24"/>
          <w:lang w:val="es-CO"/>
        </w:rPr>
        <w:t xml:space="preserve"> no presentó el balance general aprobado por el órgano social con corte a 31 de diciembre de 2004, que cumpliera con todos los requisitos legales, ni alegó</w:t>
      </w:r>
      <w:r w:rsidR="00747374">
        <w:rPr>
          <w:rFonts w:ascii="Century Gothic" w:hAnsi="Century Gothic" w:cs="Arial"/>
          <w:sz w:val="24"/>
          <w:szCs w:val="24"/>
          <w:lang w:val="es-CO"/>
        </w:rPr>
        <w:t>,</w:t>
      </w:r>
      <w:r w:rsidRPr="00402B4D">
        <w:rPr>
          <w:rFonts w:ascii="Century Gothic" w:hAnsi="Century Gothic" w:cs="Arial"/>
          <w:sz w:val="24"/>
          <w:szCs w:val="24"/>
          <w:lang w:val="es-CO"/>
        </w:rPr>
        <w:t xml:space="preserve"> en momento alguno</w:t>
      </w:r>
      <w:r w:rsidR="00747374">
        <w:rPr>
          <w:rFonts w:ascii="Century Gothic" w:hAnsi="Century Gothic" w:cs="Arial"/>
          <w:sz w:val="24"/>
          <w:szCs w:val="24"/>
          <w:lang w:val="es-CO"/>
        </w:rPr>
        <w:t>,</w:t>
      </w:r>
      <w:r w:rsidRPr="00402B4D">
        <w:rPr>
          <w:rFonts w:ascii="Century Gothic" w:hAnsi="Century Gothic" w:cs="Arial"/>
          <w:sz w:val="24"/>
          <w:szCs w:val="24"/>
          <w:lang w:val="es-CO"/>
        </w:rPr>
        <w:t xml:space="preserve"> su intención a </w:t>
      </w:r>
      <w:r>
        <w:rPr>
          <w:rFonts w:ascii="Century Gothic" w:hAnsi="Century Gothic" w:cs="Arial"/>
          <w:sz w:val="24"/>
          <w:szCs w:val="24"/>
          <w:lang w:val="es-CO"/>
        </w:rPr>
        <w:t xml:space="preserve">aportar </w:t>
      </w:r>
      <w:r w:rsidRPr="00402B4D">
        <w:rPr>
          <w:rFonts w:ascii="Century Gothic" w:hAnsi="Century Gothic" w:cs="Arial"/>
          <w:sz w:val="24"/>
          <w:szCs w:val="24"/>
          <w:lang w:val="es-CO"/>
        </w:rPr>
        <w:t>dicho documento financiero</w:t>
      </w:r>
      <w:r>
        <w:rPr>
          <w:rFonts w:ascii="Century Gothic" w:hAnsi="Century Gothic" w:cs="Arial"/>
          <w:sz w:val="24"/>
          <w:szCs w:val="24"/>
          <w:lang w:val="es-CO"/>
        </w:rPr>
        <w:t xml:space="preserve"> que permitiera aclarar las diferencias que tuvieron origen en su comportamiento</w:t>
      </w:r>
      <w:r w:rsidRPr="00402B4D">
        <w:rPr>
          <w:rFonts w:ascii="Century Gothic" w:hAnsi="Century Gothic" w:cs="Arial"/>
          <w:sz w:val="24"/>
          <w:szCs w:val="24"/>
          <w:lang w:val="es-CO"/>
        </w:rPr>
        <w:t>.</w:t>
      </w:r>
    </w:p>
    <w:bookmarkEnd w:id="3"/>
    <w:p w14:paraId="0F655CFD" w14:textId="77777777" w:rsidR="00402B4D" w:rsidRDefault="00402B4D" w:rsidP="00402B4D">
      <w:pPr>
        <w:pStyle w:val="Prrafodelista"/>
        <w:rPr>
          <w:rFonts w:ascii="Century Gothic" w:hAnsi="Century Gothic" w:cs="Arial"/>
          <w:sz w:val="24"/>
          <w:szCs w:val="24"/>
          <w:lang w:val="es-CO"/>
        </w:rPr>
      </w:pPr>
    </w:p>
    <w:p w14:paraId="3EAD190C" w14:textId="77777777" w:rsidR="00402B4D" w:rsidRDefault="00402B4D" w:rsidP="00402B4D">
      <w:pPr>
        <w:numPr>
          <w:ilvl w:val="0"/>
          <w:numId w:val="3"/>
        </w:numPr>
        <w:tabs>
          <w:tab w:val="left" w:pos="426"/>
        </w:tabs>
        <w:spacing w:line="360" w:lineRule="auto"/>
        <w:ind w:left="0" w:firstLine="0"/>
        <w:jc w:val="both"/>
        <w:rPr>
          <w:rFonts w:ascii="Century Gothic" w:hAnsi="Century Gothic" w:cs="Arial"/>
          <w:sz w:val="24"/>
          <w:szCs w:val="24"/>
          <w:lang w:val="es-CO"/>
        </w:rPr>
      </w:pPr>
      <w:r w:rsidRPr="00987050">
        <w:rPr>
          <w:rFonts w:ascii="Century Gothic" w:hAnsi="Century Gothic" w:cs="Arial"/>
          <w:sz w:val="24"/>
          <w:szCs w:val="24"/>
          <w:lang w:val="es-CO"/>
        </w:rPr>
        <w:lastRenderedPageBreak/>
        <w:t xml:space="preserve">Como resultado de las observaciones presentadas por la firma Fresenius Medical </w:t>
      </w:r>
      <w:proofErr w:type="spellStart"/>
      <w:r w:rsidRPr="00987050">
        <w:rPr>
          <w:rFonts w:ascii="Century Gothic" w:hAnsi="Century Gothic" w:cs="Arial"/>
          <w:sz w:val="24"/>
          <w:szCs w:val="24"/>
          <w:lang w:val="es-CO"/>
        </w:rPr>
        <w:t>Care</w:t>
      </w:r>
      <w:proofErr w:type="spellEnd"/>
      <w:r w:rsidR="00962B83">
        <w:rPr>
          <w:rFonts w:ascii="Century Gothic" w:hAnsi="Century Gothic" w:cs="Arial"/>
          <w:sz w:val="24"/>
          <w:szCs w:val="24"/>
          <w:lang w:val="es-CO"/>
        </w:rPr>
        <w:t>,</w:t>
      </w:r>
      <w:r w:rsidRPr="00987050">
        <w:rPr>
          <w:rFonts w:ascii="Century Gothic" w:hAnsi="Century Gothic" w:cs="Arial"/>
          <w:sz w:val="24"/>
          <w:szCs w:val="24"/>
          <w:lang w:val="es-CO"/>
        </w:rPr>
        <w:t xml:space="preserve"> respecto de la evaluación financiera de RTS limitada, y ante las inquietudes derivadas de la diferencia en la información, la entidad requirió a la UT RTS para que remitiera la información pertinente expedida por la Cámara de Comercio donde se reflejaran las cifras del balance general con corte a 31 de diciembre de 2004</w:t>
      </w:r>
      <w:r>
        <w:rPr>
          <w:rStyle w:val="Refdenotaalpie"/>
          <w:rFonts w:ascii="Century Gothic" w:hAnsi="Century Gothic" w:cs="Arial"/>
          <w:sz w:val="24"/>
          <w:szCs w:val="24"/>
          <w:lang w:val="es-CO"/>
        </w:rPr>
        <w:footnoteReference w:id="28"/>
      </w:r>
      <w:r w:rsidR="0091526D">
        <w:rPr>
          <w:rFonts w:ascii="Century Gothic" w:hAnsi="Century Gothic" w:cs="Arial"/>
          <w:sz w:val="24"/>
          <w:szCs w:val="24"/>
          <w:lang w:val="es-CO"/>
        </w:rPr>
        <w:t>;</w:t>
      </w:r>
      <w:r w:rsidR="00962B83">
        <w:rPr>
          <w:rFonts w:ascii="Century Gothic" w:hAnsi="Century Gothic" w:cs="Arial"/>
          <w:sz w:val="24"/>
          <w:szCs w:val="24"/>
          <w:lang w:val="es-CO"/>
        </w:rPr>
        <w:t xml:space="preserve"> esto es, la entidad </w:t>
      </w:r>
      <w:r w:rsidRPr="00987050">
        <w:rPr>
          <w:rFonts w:ascii="Century Gothic" w:hAnsi="Century Gothic" w:cs="Arial"/>
          <w:sz w:val="24"/>
          <w:szCs w:val="24"/>
          <w:lang w:val="es-CO"/>
        </w:rPr>
        <w:t xml:space="preserve">cumplió con el deber de permitirle al oferente aclarar las dudas, sin embargo, luego de la </w:t>
      </w:r>
      <w:r w:rsidR="0091526D" w:rsidRPr="00987050">
        <w:rPr>
          <w:rFonts w:ascii="Century Gothic" w:hAnsi="Century Gothic" w:cs="Arial"/>
          <w:sz w:val="24"/>
          <w:szCs w:val="24"/>
          <w:lang w:val="es-CO"/>
        </w:rPr>
        <w:t>contestación</w:t>
      </w:r>
      <w:r w:rsidRPr="00987050">
        <w:rPr>
          <w:rFonts w:ascii="Century Gothic" w:hAnsi="Century Gothic" w:cs="Arial"/>
          <w:sz w:val="24"/>
          <w:szCs w:val="24"/>
          <w:lang w:val="es-CO"/>
        </w:rPr>
        <w:t xml:space="preserve"> al req</w:t>
      </w:r>
      <w:r w:rsidR="00962B83">
        <w:rPr>
          <w:rFonts w:ascii="Century Gothic" w:hAnsi="Century Gothic" w:cs="Arial"/>
          <w:sz w:val="24"/>
          <w:szCs w:val="24"/>
          <w:lang w:val="es-CO"/>
        </w:rPr>
        <w:t>uerimiento</w:t>
      </w:r>
      <w:r w:rsidR="004D6191">
        <w:rPr>
          <w:rFonts w:ascii="Century Gothic" w:hAnsi="Century Gothic" w:cs="Arial"/>
          <w:sz w:val="24"/>
          <w:szCs w:val="24"/>
          <w:lang w:val="es-CO"/>
        </w:rPr>
        <w:t>,</w:t>
      </w:r>
      <w:r w:rsidR="00962B83">
        <w:rPr>
          <w:rFonts w:ascii="Century Gothic" w:hAnsi="Century Gothic" w:cs="Arial"/>
          <w:sz w:val="24"/>
          <w:szCs w:val="24"/>
          <w:lang w:val="es-CO"/>
        </w:rPr>
        <w:t xml:space="preserve"> la</w:t>
      </w:r>
      <w:r w:rsidR="00A81080">
        <w:rPr>
          <w:rFonts w:ascii="Century Gothic" w:hAnsi="Century Gothic" w:cs="Arial"/>
          <w:sz w:val="24"/>
          <w:szCs w:val="24"/>
          <w:lang w:val="es-CO"/>
        </w:rPr>
        <w:t>s</w:t>
      </w:r>
      <w:r w:rsidR="00962B83">
        <w:rPr>
          <w:rFonts w:ascii="Century Gothic" w:hAnsi="Century Gothic" w:cs="Arial"/>
          <w:sz w:val="24"/>
          <w:szCs w:val="24"/>
          <w:lang w:val="es-CO"/>
        </w:rPr>
        <w:t xml:space="preserve"> </w:t>
      </w:r>
      <w:r w:rsidR="00696EBA">
        <w:rPr>
          <w:rFonts w:ascii="Century Gothic" w:hAnsi="Century Gothic" w:cs="Arial"/>
          <w:sz w:val="24"/>
          <w:szCs w:val="24"/>
          <w:lang w:val="es-CO"/>
        </w:rPr>
        <w:t>mismas</w:t>
      </w:r>
      <w:r w:rsidR="00962B83">
        <w:rPr>
          <w:rFonts w:ascii="Century Gothic" w:hAnsi="Century Gothic" w:cs="Arial"/>
          <w:sz w:val="24"/>
          <w:szCs w:val="24"/>
          <w:lang w:val="es-CO"/>
        </w:rPr>
        <w:t xml:space="preserve"> persistieron</w:t>
      </w:r>
      <w:r w:rsidR="00696EBA">
        <w:rPr>
          <w:rFonts w:ascii="Century Gothic" w:hAnsi="Century Gothic" w:cs="Arial"/>
          <w:sz w:val="24"/>
          <w:szCs w:val="24"/>
          <w:lang w:val="es-CO"/>
        </w:rPr>
        <w:t>,</w:t>
      </w:r>
      <w:r w:rsidR="00962B83">
        <w:rPr>
          <w:rFonts w:ascii="Century Gothic" w:hAnsi="Century Gothic" w:cs="Arial"/>
          <w:sz w:val="24"/>
          <w:szCs w:val="24"/>
          <w:lang w:val="es-CO"/>
        </w:rPr>
        <w:t xml:space="preserve"> pues la respuesta del oferente no se encaminó a aportar los balances definitivos de conformidad con las indicaciones de los términos de referencia. </w:t>
      </w:r>
    </w:p>
    <w:p w14:paraId="11A6B19C" w14:textId="77777777" w:rsidR="00402B4D" w:rsidRDefault="00402B4D" w:rsidP="00402B4D">
      <w:pPr>
        <w:pStyle w:val="Prrafodelista"/>
        <w:tabs>
          <w:tab w:val="left" w:pos="426"/>
        </w:tabs>
        <w:rPr>
          <w:rFonts w:ascii="Century Gothic" w:hAnsi="Century Gothic" w:cs="Arial"/>
          <w:sz w:val="24"/>
          <w:szCs w:val="24"/>
          <w:lang w:val="es-CO"/>
        </w:rPr>
      </w:pPr>
    </w:p>
    <w:p w14:paraId="42F875C1" w14:textId="77777777" w:rsidR="00402B4D" w:rsidRDefault="00402B4D" w:rsidP="00402B4D">
      <w:pPr>
        <w:numPr>
          <w:ilvl w:val="0"/>
          <w:numId w:val="3"/>
        </w:numPr>
        <w:tabs>
          <w:tab w:val="left" w:pos="426"/>
        </w:tabs>
        <w:spacing w:line="360" w:lineRule="auto"/>
        <w:ind w:left="0" w:firstLine="0"/>
        <w:jc w:val="both"/>
        <w:rPr>
          <w:rFonts w:ascii="Century Gothic" w:hAnsi="Century Gothic" w:cs="Arial"/>
          <w:sz w:val="24"/>
          <w:szCs w:val="24"/>
          <w:lang w:val="es-CO"/>
        </w:rPr>
      </w:pPr>
      <w:r w:rsidRPr="00962B83">
        <w:rPr>
          <w:rFonts w:ascii="Century Gothic" w:hAnsi="Century Gothic" w:cs="Arial"/>
          <w:sz w:val="24"/>
          <w:szCs w:val="24"/>
          <w:lang w:val="es-CO"/>
        </w:rPr>
        <w:t xml:space="preserve">La entidad entonces no se limitó a </w:t>
      </w:r>
      <w:r w:rsidR="00962B83" w:rsidRPr="00962B83">
        <w:rPr>
          <w:rFonts w:ascii="Century Gothic" w:hAnsi="Century Gothic" w:cs="Arial"/>
          <w:sz w:val="24"/>
          <w:szCs w:val="24"/>
          <w:lang w:val="es-CO"/>
        </w:rPr>
        <w:t xml:space="preserve">dejar de calificar la propuesta ante la inquietud que le fue presentada en la etapa de evaluación, por el contrario, requirió al oferente para que aclarara la información, por lo que, </w:t>
      </w:r>
      <w:r w:rsidR="00696EBA">
        <w:rPr>
          <w:rFonts w:ascii="Century Gothic" w:hAnsi="Century Gothic" w:cs="Arial"/>
          <w:sz w:val="24"/>
          <w:szCs w:val="24"/>
          <w:lang w:val="es-CO"/>
        </w:rPr>
        <w:t xml:space="preserve">lo </w:t>
      </w:r>
      <w:r w:rsidRPr="00962B83">
        <w:rPr>
          <w:rFonts w:ascii="Century Gothic" w:hAnsi="Century Gothic" w:cs="Arial"/>
          <w:sz w:val="24"/>
          <w:szCs w:val="24"/>
          <w:lang w:val="es-CO"/>
        </w:rPr>
        <w:t>que se calificó como meros “pantallazos” de la información, fue la misma que el oferente aportó como respuesta al requerimiento</w:t>
      </w:r>
      <w:r w:rsidRPr="00962B83">
        <w:rPr>
          <w:rStyle w:val="Refdenotaalpie"/>
          <w:rFonts w:ascii="Century Gothic" w:hAnsi="Century Gothic" w:cs="Arial"/>
          <w:sz w:val="24"/>
          <w:szCs w:val="24"/>
          <w:lang w:val="es-CO"/>
        </w:rPr>
        <w:footnoteReference w:id="29"/>
      </w:r>
      <w:r w:rsidR="00962B83" w:rsidRPr="00962B83">
        <w:rPr>
          <w:rFonts w:ascii="Century Gothic" w:hAnsi="Century Gothic" w:cs="Arial"/>
          <w:sz w:val="24"/>
          <w:szCs w:val="24"/>
          <w:lang w:val="es-CO"/>
        </w:rPr>
        <w:t>. S</w:t>
      </w:r>
      <w:r w:rsidRPr="00962B83">
        <w:rPr>
          <w:rFonts w:ascii="Century Gothic" w:hAnsi="Century Gothic" w:cs="Arial"/>
          <w:sz w:val="24"/>
          <w:szCs w:val="24"/>
          <w:lang w:val="es-CO"/>
        </w:rPr>
        <w:t>u</w:t>
      </w:r>
      <w:r>
        <w:rPr>
          <w:rFonts w:ascii="Century Gothic" w:hAnsi="Century Gothic" w:cs="Arial"/>
          <w:sz w:val="24"/>
          <w:szCs w:val="24"/>
          <w:lang w:val="es-CO"/>
        </w:rPr>
        <w:t xml:space="preserve"> comportamiento no permitió que se superara la dificultad de la entidad para evaluar las ofertas con información disímil, lo que, a todas luces, impedía que se cumpliera con el principio de selección objetiva.</w:t>
      </w:r>
    </w:p>
    <w:p w14:paraId="50CA3CE9" w14:textId="77777777" w:rsidR="00402B4D" w:rsidRPr="00402B4D" w:rsidRDefault="00402B4D" w:rsidP="00402B4D">
      <w:pPr>
        <w:tabs>
          <w:tab w:val="left" w:pos="426"/>
        </w:tabs>
        <w:spacing w:line="360" w:lineRule="auto"/>
        <w:jc w:val="both"/>
        <w:rPr>
          <w:rFonts w:ascii="Century Gothic" w:hAnsi="Century Gothic" w:cs="Arial"/>
          <w:sz w:val="24"/>
          <w:szCs w:val="24"/>
          <w:lang w:val="es-CO"/>
        </w:rPr>
      </w:pPr>
    </w:p>
    <w:p w14:paraId="798FA1A4" w14:textId="77777777" w:rsidR="00410DCA" w:rsidRPr="00CA43D9" w:rsidRDefault="00410DCA" w:rsidP="00410DCA">
      <w:pPr>
        <w:numPr>
          <w:ilvl w:val="0"/>
          <w:numId w:val="3"/>
        </w:numPr>
        <w:tabs>
          <w:tab w:val="left" w:pos="426"/>
        </w:tabs>
        <w:spacing w:line="360" w:lineRule="auto"/>
        <w:ind w:left="0" w:firstLine="0"/>
        <w:jc w:val="both"/>
        <w:rPr>
          <w:rFonts w:ascii="Century Gothic" w:hAnsi="Century Gothic" w:cs="Arial"/>
          <w:sz w:val="24"/>
          <w:szCs w:val="24"/>
          <w:lang w:val="es-CO"/>
        </w:rPr>
      </w:pPr>
      <w:bookmarkStart w:id="4" w:name="_Hlk20318519"/>
      <w:r w:rsidRPr="00CA43D9">
        <w:rPr>
          <w:rFonts w:ascii="Century Gothic" w:hAnsi="Century Gothic" w:cs="Arial"/>
          <w:sz w:val="24"/>
          <w:szCs w:val="24"/>
          <w:lang w:val="es-CO"/>
        </w:rPr>
        <w:t xml:space="preserve">La Sala encuentra probado que las reglas de selección contenidas en los pliegos (no demandados y que gozan de presunción </w:t>
      </w:r>
      <w:r w:rsidR="006117DD">
        <w:rPr>
          <w:rFonts w:ascii="Century Gothic" w:hAnsi="Century Gothic" w:cs="Arial"/>
          <w:sz w:val="24"/>
          <w:szCs w:val="24"/>
          <w:lang w:val="es-CO"/>
        </w:rPr>
        <w:t xml:space="preserve">de </w:t>
      </w:r>
      <w:r w:rsidRPr="00CA43D9">
        <w:rPr>
          <w:rFonts w:ascii="Century Gothic" w:hAnsi="Century Gothic" w:cs="Arial"/>
          <w:sz w:val="24"/>
          <w:szCs w:val="24"/>
          <w:lang w:val="es-CO"/>
        </w:rPr>
        <w:t>legalidad) fueron aplicadas debidamente o, lo que es lo mismo, el acto de adjudicación fue legal en la medida en que aplicó correctamente los términos de referencia, al no otorgar puntaje a la información contenida en el documento presentado como balance general, que contenía cifras diferentes a las aprobadas por el órgano social competente.</w:t>
      </w:r>
    </w:p>
    <w:bookmarkEnd w:id="4"/>
    <w:p w14:paraId="1638F91B" w14:textId="77777777" w:rsidR="00410DCA" w:rsidRPr="00CA43D9" w:rsidRDefault="00410DCA" w:rsidP="00410DCA">
      <w:pPr>
        <w:tabs>
          <w:tab w:val="left" w:pos="426"/>
        </w:tabs>
        <w:spacing w:line="360" w:lineRule="auto"/>
        <w:jc w:val="both"/>
        <w:rPr>
          <w:rFonts w:ascii="Century Gothic" w:hAnsi="Century Gothic" w:cs="Arial"/>
          <w:sz w:val="24"/>
          <w:szCs w:val="24"/>
          <w:lang w:val="es-CO"/>
        </w:rPr>
      </w:pPr>
    </w:p>
    <w:p w14:paraId="22B94346" w14:textId="77777777" w:rsidR="00410DCA" w:rsidRPr="00CA43D9" w:rsidRDefault="00410DCA" w:rsidP="00410DCA">
      <w:pPr>
        <w:numPr>
          <w:ilvl w:val="0"/>
          <w:numId w:val="3"/>
        </w:numPr>
        <w:tabs>
          <w:tab w:val="left" w:pos="426"/>
        </w:tabs>
        <w:spacing w:line="360" w:lineRule="auto"/>
        <w:ind w:left="0" w:firstLine="0"/>
        <w:jc w:val="both"/>
        <w:rPr>
          <w:rFonts w:ascii="Century Gothic" w:hAnsi="Century Gothic" w:cs="Arial"/>
          <w:sz w:val="24"/>
          <w:szCs w:val="24"/>
          <w:lang w:val="es-CO"/>
        </w:rPr>
      </w:pPr>
      <w:bookmarkStart w:id="5" w:name="_Hlk20318594"/>
      <w:r w:rsidRPr="00CA43D9">
        <w:rPr>
          <w:rFonts w:ascii="Century Gothic" w:hAnsi="Century Gothic" w:cs="Arial"/>
          <w:sz w:val="24"/>
          <w:szCs w:val="24"/>
          <w:lang w:val="es-CO"/>
        </w:rPr>
        <w:t xml:space="preserve">En vista de lo anterior, esta Sala </w:t>
      </w:r>
      <w:r w:rsidR="00CA43D9" w:rsidRPr="00CA43D9">
        <w:rPr>
          <w:rFonts w:ascii="Century Gothic" w:hAnsi="Century Gothic" w:cs="Arial"/>
          <w:sz w:val="24"/>
          <w:szCs w:val="24"/>
          <w:lang w:val="es-CO"/>
        </w:rPr>
        <w:t>concluye</w:t>
      </w:r>
      <w:r w:rsidRPr="00CA43D9">
        <w:rPr>
          <w:rFonts w:ascii="Century Gothic" w:hAnsi="Century Gothic" w:cs="Arial"/>
          <w:sz w:val="24"/>
          <w:szCs w:val="24"/>
          <w:lang w:val="es-CO"/>
        </w:rPr>
        <w:t xml:space="preserve"> que no se configuró ninguna causal de nulidad de la Resolución 394 de 2005, ni del contrato 07-7-20105 de 2005 y que la adjudicación se realizó de acuerdo con las reglas del proceso, sin que se haya advertido alguna causal de nulidad que obligara </w:t>
      </w:r>
      <w:r w:rsidRPr="00CA43D9">
        <w:rPr>
          <w:rFonts w:ascii="Century Gothic" w:hAnsi="Century Gothic" w:cs="Arial"/>
          <w:sz w:val="24"/>
          <w:szCs w:val="24"/>
          <w:lang w:val="es-CO"/>
        </w:rPr>
        <w:lastRenderedPageBreak/>
        <w:t xml:space="preserve">a su declaratoria de oficio, por lo que revocará la decisión adoptada por el Tribunal Administrativo de Cundinamarca en primera instancia. </w:t>
      </w:r>
    </w:p>
    <w:bookmarkEnd w:id="5"/>
    <w:p w14:paraId="38568C54" w14:textId="77777777" w:rsidR="00402B4D" w:rsidRDefault="007220C4" w:rsidP="00402B4D">
      <w:pPr>
        <w:pStyle w:val="Prrafodelista"/>
        <w:rPr>
          <w:rFonts w:ascii="Century Gothic" w:hAnsi="Century Gothic" w:cs="Arial"/>
          <w:sz w:val="24"/>
          <w:szCs w:val="24"/>
          <w:lang w:val="es-CO"/>
        </w:rPr>
      </w:pPr>
      <w:r>
        <w:rPr>
          <w:rFonts w:ascii="Century Gothic" w:hAnsi="Century Gothic" w:cs="Arial"/>
          <w:sz w:val="24"/>
          <w:szCs w:val="24"/>
          <w:lang w:val="es-CO"/>
        </w:rPr>
        <w:t xml:space="preserve"> </w:t>
      </w:r>
    </w:p>
    <w:p w14:paraId="6B523952" w14:textId="77777777" w:rsidR="00102D3D" w:rsidRPr="00B87606" w:rsidRDefault="007220C4" w:rsidP="005F2678">
      <w:pPr>
        <w:numPr>
          <w:ilvl w:val="0"/>
          <w:numId w:val="3"/>
        </w:numPr>
        <w:tabs>
          <w:tab w:val="left" w:pos="426"/>
        </w:tabs>
        <w:spacing w:line="360" w:lineRule="auto"/>
        <w:ind w:left="0" w:firstLine="0"/>
        <w:jc w:val="both"/>
        <w:rPr>
          <w:rFonts w:ascii="Century Gothic" w:hAnsi="Century Gothic" w:cs="Arial"/>
          <w:sz w:val="24"/>
          <w:szCs w:val="24"/>
          <w:lang w:val="es-CO"/>
        </w:rPr>
      </w:pPr>
      <w:r>
        <w:rPr>
          <w:rFonts w:ascii="Century Gothic" w:hAnsi="Century Gothic" w:cs="Arial"/>
          <w:sz w:val="24"/>
          <w:szCs w:val="24"/>
          <w:lang w:val="es-CO"/>
        </w:rPr>
        <w:t>Sin perjuicio de l</w:t>
      </w:r>
      <w:r w:rsidR="00410DCA" w:rsidRPr="00410DCA">
        <w:rPr>
          <w:rFonts w:ascii="Century Gothic" w:hAnsi="Century Gothic" w:cs="Arial"/>
          <w:sz w:val="24"/>
          <w:szCs w:val="24"/>
          <w:lang w:val="es-CO"/>
        </w:rPr>
        <w:t>as anteriores</w:t>
      </w:r>
      <w:r>
        <w:rPr>
          <w:rFonts w:ascii="Century Gothic" w:hAnsi="Century Gothic" w:cs="Arial"/>
          <w:sz w:val="24"/>
          <w:szCs w:val="24"/>
          <w:lang w:val="es-CO"/>
        </w:rPr>
        <w:t xml:space="preserve"> </w:t>
      </w:r>
      <w:r w:rsidRPr="00410DCA">
        <w:rPr>
          <w:rFonts w:ascii="Century Gothic" w:hAnsi="Century Gothic" w:cs="Arial"/>
          <w:sz w:val="24"/>
          <w:szCs w:val="24"/>
          <w:lang w:val="es-CO"/>
        </w:rPr>
        <w:t>consideraciones</w:t>
      </w:r>
      <w:r w:rsidR="00410DCA" w:rsidRPr="00410DCA">
        <w:rPr>
          <w:rFonts w:ascii="Century Gothic" w:hAnsi="Century Gothic" w:cs="Arial"/>
          <w:sz w:val="24"/>
          <w:szCs w:val="24"/>
          <w:lang w:val="es-CO"/>
        </w:rPr>
        <w:t xml:space="preserve">, </w:t>
      </w:r>
      <w:bookmarkStart w:id="6" w:name="_Hlk32916075"/>
      <w:r w:rsidR="00410DCA" w:rsidRPr="00410DCA">
        <w:rPr>
          <w:rFonts w:ascii="Century Gothic" w:hAnsi="Century Gothic" w:cs="Arial"/>
          <w:sz w:val="24"/>
          <w:szCs w:val="24"/>
          <w:lang w:val="es-CO"/>
        </w:rPr>
        <w:t xml:space="preserve">para la Sala resulta fundamental recordar </w:t>
      </w:r>
      <w:r w:rsidR="00C66974">
        <w:rPr>
          <w:rFonts w:ascii="Century Gothic" w:hAnsi="Century Gothic" w:cs="Arial"/>
          <w:sz w:val="24"/>
          <w:szCs w:val="24"/>
          <w:lang w:val="es-CO"/>
        </w:rPr>
        <w:t>l</w:t>
      </w:r>
      <w:r w:rsidR="00692D21" w:rsidRPr="00410DCA">
        <w:rPr>
          <w:rFonts w:ascii="Century Gothic" w:hAnsi="Century Gothic" w:cs="Arial"/>
          <w:sz w:val="24"/>
          <w:szCs w:val="24"/>
          <w:lang w:val="es-CO"/>
        </w:rPr>
        <w:t xml:space="preserve">a obligación </w:t>
      </w:r>
      <w:r w:rsidR="00C66974">
        <w:rPr>
          <w:rFonts w:ascii="Century Gothic" w:hAnsi="Century Gothic" w:cs="Arial"/>
          <w:sz w:val="24"/>
          <w:szCs w:val="24"/>
          <w:lang w:val="es-CO"/>
        </w:rPr>
        <w:t>de los proponentes inconformes con la decisión de adjudicaci</w:t>
      </w:r>
      <w:r w:rsidR="00495F6F">
        <w:rPr>
          <w:rFonts w:ascii="Century Gothic" w:hAnsi="Century Gothic" w:cs="Arial"/>
          <w:sz w:val="24"/>
          <w:szCs w:val="24"/>
          <w:lang w:val="es-CO"/>
        </w:rPr>
        <w:t>ón de una entidad</w:t>
      </w:r>
      <w:r w:rsidR="00C66974">
        <w:rPr>
          <w:rFonts w:ascii="Century Gothic" w:hAnsi="Century Gothic" w:cs="Arial"/>
          <w:sz w:val="24"/>
          <w:szCs w:val="24"/>
          <w:lang w:val="es-CO"/>
        </w:rPr>
        <w:t xml:space="preserve"> </w:t>
      </w:r>
      <w:r w:rsidR="00692D21" w:rsidRPr="00410DCA">
        <w:rPr>
          <w:rFonts w:ascii="Century Gothic" w:hAnsi="Century Gothic" w:cs="Arial"/>
          <w:sz w:val="24"/>
          <w:szCs w:val="24"/>
          <w:lang w:val="es-CO"/>
        </w:rPr>
        <w:t>de probar que</w:t>
      </w:r>
      <w:r w:rsidR="00C66974">
        <w:rPr>
          <w:rFonts w:ascii="Century Gothic" w:hAnsi="Century Gothic" w:cs="Arial"/>
          <w:sz w:val="24"/>
          <w:szCs w:val="24"/>
          <w:lang w:val="es-CO"/>
        </w:rPr>
        <w:t>, de haberse evaluado su propuesta, se hubiese</w:t>
      </w:r>
      <w:r w:rsidR="005F54BE">
        <w:rPr>
          <w:rFonts w:ascii="Century Gothic" w:hAnsi="Century Gothic" w:cs="Arial"/>
          <w:sz w:val="24"/>
          <w:szCs w:val="24"/>
          <w:lang w:val="es-CO"/>
        </w:rPr>
        <w:t>n</w:t>
      </w:r>
      <w:r w:rsidR="00C66974">
        <w:rPr>
          <w:rFonts w:ascii="Century Gothic" w:hAnsi="Century Gothic" w:cs="Arial"/>
          <w:sz w:val="24"/>
          <w:szCs w:val="24"/>
          <w:lang w:val="es-CO"/>
        </w:rPr>
        <w:t xml:space="preserve"> convertido en el proponente adjudicatario, pues esta conclusión no puede suponerse, ni se desprende</w:t>
      </w:r>
      <w:r>
        <w:rPr>
          <w:rFonts w:ascii="Century Gothic" w:hAnsi="Century Gothic" w:cs="Arial"/>
          <w:sz w:val="24"/>
          <w:szCs w:val="24"/>
          <w:lang w:val="es-CO"/>
        </w:rPr>
        <w:t>,</w:t>
      </w:r>
      <w:r w:rsidR="00C66974">
        <w:rPr>
          <w:rFonts w:ascii="Century Gothic" w:hAnsi="Century Gothic" w:cs="Arial"/>
          <w:sz w:val="24"/>
          <w:szCs w:val="24"/>
          <w:lang w:val="es-CO"/>
        </w:rPr>
        <w:t xml:space="preserve"> de manera automática</w:t>
      </w:r>
      <w:r w:rsidR="00495F6F">
        <w:rPr>
          <w:rFonts w:ascii="Century Gothic" w:hAnsi="Century Gothic" w:cs="Arial"/>
          <w:sz w:val="24"/>
          <w:szCs w:val="24"/>
          <w:lang w:val="es-CO"/>
        </w:rPr>
        <w:t>,</w:t>
      </w:r>
      <w:r w:rsidR="00C66974">
        <w:rPr>
          <w:rFonts w:ascii="Century Gothic" w:hAnsi="Century Gothic" w:cs="Arial"/>
          <w:sz w:val="24"/>
          <w:szCs w:val="24"/>
          <w:lang w:val="es-CO"/>
        </w:rPr>
        <w:t xml:space="preserve"> del error de una entidad de no evaluar su propuesta. De esta manera, una cosa es que la</w:t>
      </w:r>
      <w:r w:rsidR="00096544">
        <w:rPr>
          <w:rFonts w:ascii="Century Gothic" w:hAnsi="Century Gothic" w:cs="Arial"/>
          <w:sz w:val="24"/>
          <w:szCs w:val="24"/>
          <w:lang w:val="es-CO"/>
        </w:rPr>
        <w:t xml:space="preserve"> Administración deje de evaluar equivocadamente</w:t>
      </w:r>
      <w:r w:rsidR="00C66974">
        <w:rPr>
          <w:rFonts w:ascii="Century Gothic" w:hAnsi="Century Gothic" w:cs="Arial"/>
          <w:sz w:val="24"/>
          <w:szCs w:val="24"/>
          <w:lang w:val="es-CO"/>
        </w:rPr>
        <w:t xml:space="preserve"> una propuesta, y otra </w:t>
      </w:r>
      <w:r>
        <w:rPr>
          <w:rFonts w:ascii="Century Gothic" w:hAnsi="Century Gothic" w:cs="Arial"/>
          <w:sz w:val="24"/>
          <w:szCs w:val="24"/>
          <w:lang w:val="es-CO"/>
        </w:rPr>
        <w:t>que</w:t>
      </w:r>
      <w:r w:rsidR="00495F6F">
        <w:rPr>
          <w:rFonts w:ascii="Century Gothic" w:hAnsi="Century Gothic" w:cs="Arial"/>
          <w:sz w:val="24"/>
          <w:szCs w:val="24"/>
          <w:lang w:val="es-CO"/>
        </w:rPr>
        <w:t xml:space="preserve"> el afectado con esa decisión se hubiese convertido en el ganador del procedimiento contractual</w:t>
      </w:r>
      <w:r w:rsidR="00614A1A">
        <w:rPr>
          <w:rFonts w:ascii="Century Gothic" w:hAnsi="Century Gothic" w:cs="Arial"/>
          <w:sz w:val="24"/>
          <w:szCs w:val="24"/>
          <w:lang w:val="es-CO"/>
        </w:rPr>
        <w:t xml:space="preserve"> administrativo</w:t>
      </w:r>
      <w:r w:rsidR="00495F6F">
        <w:rPr>
          <w:rFonts w:ascii="Century Gothic" w:hAnsi="Century Gothic" w:cs="Arial"/>
          <w:sz w:val="24"/>
          <w:szCs w:val="24"/>
          <w:lang w:val="es-CO"/>
        </w:rPr>
        <w:t xml:space="preserve">. </w:t>
      </w:r>
    </w:p>
    <w:p w14:paraId="4C6DF194" w14:textId="77777777" w:rsidR="00102D3D" w:rsidRPr="00B87606" w:rsidRDefault="00102D3D" w:rsidP="00102D3D">
      <w:pPr>
        <w:pStyle w:val="Prrafodelista"/>
        <w:rPr>
          <w:rFonts w:ascii="Century Gothic" w:hAnsi="Century Gothic" w:cs="Arial"/>
          <w:sz w:val="24"/>
          <w:szCs w:val="24"/>
          <w:lang w:val="es-CO"/>
        </w:rPr>
      </w:pPr>
    </w:p>
    <w:p w14:paraId="30D99F19" w14:textId="77777777" w:rsidR="00C66974" w:rsidRPr="00B87606" w:rsidRDefault="00102D3D" w:rsidP="00C66974">
      <w:pPr>
        <w:numPr>
          <w:ilvl w:val="0"/>
          <w:numId w:val="3"/>
        </w:numPr>
        <w:tabs>
          <w:tab w:val="left" w:pos="426"/>
        </w:tabs>
        <w:spacing w:line="360" w:lineRule="auto"/>
        <w:ind w:left="0" w:firstLine="0"/>
        <w:jc w:val="both"/>
        <w:rPr>
          <w:rFonts w:ascii="Century Gothic" w:hAnsi="Century Gothic" w:cs="Arial"/>
          <w:sz w:val="24"/>
          <w:szCs w:val="24"/>
          <w:lang w:val="es-CO"/>
        </w:rPr>
      </w:pPr>
      <w:r w:rsidRPr="00B87606">
        <w:rPr>
          <w:rFonts w:ascii="Century Gothic" w:hAnsi="Century Gothic" w:cs="Arial"/>
          <w:sz w:val="24"/>
          <w:szCs w:val="24"/>
          <w:lang w:val="es-CO"/>
        </w:rPr>
        <w:t xml:space="preserve">De manera entonces que, si bien procede la reparación integral en sede precontractual cuando se ha ocasionado un daño originado en una acción u omisión de la Administración, diversos supuestos pueden tener lugar en sede precontractual, </w:t>
      </w:r>
      <w:r w:rsidR="00614A1A">
        <w:rPr>
          <w:rFonts w:ascii="Century Gothic" w:hAnsi="Century Gothic" w:cs="Arial"/>
          <w:sz w:val="24"/>
          <w:szCs w:val="24"/>
          <w:lang w:val="es-CO"/>
        </w:rPr>
        <w:t>toda vez que</w:t>
      </w:r>
      <w:r w:rsidRPr="00B87606">
        <w:rPr>
          <w:rFonts w:ascii="Century Gothic" w:hAnsi="Century Gothic" w:cs="Arial"/>
          <w:sz w:val="24"/>
          <w:szCs w:val="24"/>
          <w:lang w:val="es-CO"/>
        </w:rPr>
        <w:t>, entre otros eventos</w:t>
      </w:r>
      <w:r w:rsidRPr="004930C0">
        <w:rPr>
          <w:rFonts w:ascii="Century Gothic" w:hAnsi="Century Gothic" w:cs="Arial"/>
          <w:sz w:val="24"/>
          <w:szCs w:val="24"/>
          <w:lang w:val="es-CO"/>
        </w:rPr>
        <w:t xml:space="preserve">, </w:t>
      </w:r>
      <w:r w:rsidR="006453DB" w:rsidRPr="004930C0">
        <w:rPr>
          <w:rFonts w:ascii="Century Gothic" w:hAnsi="Century Gothic" w:cs="Arial"/>
          <w:sz w:val="24"/>
          <w:szCs w:val="24"/>
          <w:lang w:val="es-CO"/>
        </w:rPr>
        <w:t>un supuesto</w:t>
      </w:r>
      <w:r w:rsidRPr="004930C0">
        <w:rPr>
          <w:rFonts w:ascii="Century Gothic" w:hAnsi="Century Gothic" w:cs="Arial"/>
          <w:sz w:val="24"/>
          <w:szCs w:val="24"/>
          <w:lang w:val="es-CO"/>
        </w:rPr>
        <w:t xml:space="preserve"> se configura cuando se lesiona el derecho del proponente a que</w:t>
      </w:r>
      <w:r w:rsidRPr="00B87606">
        <w:rPr>
          <w:rFonts w:ascii="Century Gothic" w:hAnsi="Century Gothic" w:cs="Arial"/>
          <w:sz w:val="24"/>
          <w:szCs w:val="24"/>
          <w:lang w:val="es-CO"/>
        </w:rPr>
        <w:t xml:space="preserve"> su oferta sea valorada</w:t>
      </w:r>
      <w:r w:rsidRPr="00B87606">
        <w:rPr>
          <w:rStyle w:val="Refdenotaalpie"/>
          <w:rFonts w:ascii="Century Gothic" w:hAnsi="Century Gothic" w:cs="Arial"/>
          <w:sz w:val="24"/>
          <w:szCs w:val="24"/>
          <w:lang w:val="es-CO"/>
        </w:rPr>
        <w:footnoteReference w:id="30"/>
      </w:r>
      <w:r w:rsidR="00096544">
        <w:rPr>
          <w:rFonts w:ascii="Century Gothic" w:hAnsi="Century Gothic" w:cs="Arial"/>
          <w:sz w:val="24"/>
          <w:szCs w:val="24"/>
          <w:lang w:val="es-CO"/>
        </w:rPr>
        <w:t xml:space="preserve"> y otro</w:t>
      </w:r>
      <w:r w:rsidRPr="00B87606">
        <w:rPr>
          <w:rFonts w:ascii="Century Gothic" w:hAnsi="Century Gothic" w:cs="Arial"/>
          <w:sz w:val="24"/>
          <w:szCs w:val="24"/>
          <w:lang w:val="es-CO"/>
        </w:rPr>
        <w:t xml:space="preserve"> cuando se vulnera el derecho a ser adjudicatario</w:t>
      </w:r>
      <w:r w:rsidRPr="00B87606">
        <w:rPr>
          <w:rStyle w:val="Refdenotaalpie"/>
          <w:rFonts w:ascii="Century Gothic" w:hAnsi="Century Gothic" w:cs="Arial"/>
          <w:sz w:val="24"/>
          <w:szCs w:val="24"/>
          <w:lang w:val="es-CO"/>
        </w:rPr>
        <w:footnoteReference w:id="31"/>
      </w:r>
      <w:r w:rsidRPr="00B87606">
        <w:rPr>
          <w:rFonts w:ascii="Century Gothic" w:hAnsi="Century Gothic" w:cs="Arial"/>
          <w:sz w:val="24"/>
          <w:szCs w:val="24"/>
          <w:lang w:val="es-CO"/>
        </w:rPr>
        <w:t>.</w:t>
      </w:r>
    </w:p>
    <w:p w14:paraId="27B93DE0" w14:textId="77777777" w:rsidR="00102D3D" w:rsidRPr="00B87606" w:rsidRDefault="00102D3D" w:rsidP="00102D3D">
      <w:pPr>
        <w:tabs>
          <w:tab w:val="left" w:pos="426"/>
        </w:tabs>
        <w:spacing w:line="360" w:lineRule="auto"/>
        <w:jc w:val="both"/>
        <w:rPr>
          <w:rFonts w:ascii="Century Gothic" w:hAnsi="Century Gothic" w:cs="Arial"/>
          <w:sz w:val="24"/>
          <w:szCs w:val="24"/>
          <w:lang w:val="es-CO"/>
        </w:rPr>
      </w:pPr>
    </w:p>
    <w:p w14:paraId="08879245" w14:textId="77777777" w:rsidR="00B87606" w:rsidRPr="00B87606" w:rsidRDefault="00C66974" w:rsidP="00B87606">
      <w:pPr>
        <w:numPr>
          <w:ilvl w:val="0"/>
          <w:numId w:val="3"/>
        </w:numPr>
        <w:tabs>
          <w:tab w:val="left" w:pos="426"/>
        </w:tabs>
        <w:spacing w:line="360" w:lineRule="auto"/>
        <w:ind w:left="0" w:firstLine="0"/>
        <w:jc w:val="both"/>
        <w:rPr>
          <w:rFonts w:ascii="Century Gothic" w:hAnsi="Century Gothic" w:cs="Arial"/>
          <w:sz w:val="24"/>
          <w:szCs w:val="24"/>
          <w:lang w:val="es-CO"/>
        </w:rPr>
      </w:pPr>
      <w:r w:rsidRPr="00B87606">
        <w:rPr>
          <w:rFonts w:ascii="Century Gothic" w:hAnsi="Century Gothic" w:cs="Arial"/>
          <w:sz w:val="24"/>
          <w:szCs w:val="24"/>
          <w:lang w:val="es-CO"/>
        </w:rPr>
        <w:t xml:space="preserve">Por demás, la parte inconforme con la decisión de la entidad pública tiene que cumplir con su carga de probar el perjuicio </w:t>
      </w:r>
      <w:r w:rsidR="00495F6F" w:rsidRPr="00B87606">
        <w:rPr>
          <w:rFonts w:ascii="Century Gothic" w:hAnsi="Century Gothic" w:cs="Arial"/>
          <w:sz w:val="24"/>
          <w:szCs w:val="24"/>
          <w:lang w:val="es-CO"/>
        </w:rPr>
        <w:t>derivado</w:t>
      </w:r>
      <w:r w:rsidRPr="00B87606">
        <w:rPr>
          <w:rFonts w:ascii="Century Gothic" w:hAnsi="Century Gothic" w:cs="Arial"/>
          <w:sz w:val="24"/>
          <w:szCs w:val="24"/>
          <w:lang w:val="es-CO"/>
        </w:rPr>
        <w:t xml:space="preserve"> de la actividad de la Administración</w:t>
      </w:r>
      <w:r w:rsidR="0045252B" w:rsidRPr="00B87606">
        <w:rPr>
          <w:rStyle w:val="Refdenotaalpie"/>
          <w:rFonts w:ascii="Century Gothic" w:hAnsi="Century Gothic" w:cs="Arial"/>
          <w:sz w:val="24"/>
          <w:szCs w:val="24"/>
          <w:lang w:val="es-CO"/>
        </w:rPr>
        <w:footnoteReference w:id="32"/>
      </w:r>
      <w:r w:rsidR="004930C0">
        <w:rPr>
          <w:rFonts w:ascii="Century Gothic" w:hAnsi="Century Gothic" w:cs="Arial"/>
          <w:sz w:val="24"/>
          <w:szCs w:val="24"/>
          <w:lang w:val="es-CO"/>
        </w:rPr>
        <w:t xml:space="preserve"> (y no pretender que este </w:t>
      </w:r>
      <w:r w:rsidR="007104AF">
        <w:rPr>
          <w:rFonts w:ascii="Century Gothic" w:hAnsi="Century Gothic" w:cs="Arial"/>
          <w:sz w:val="24"/>
          <w:szCs w:val="24"/>
          <w:lang w:val="es-CO"/>
        </w:rPr>
        <w:t>corresponde</w:t>
      </w:r>
      <w:r w:rsidR="004930C0">
        <w:rPr>
          <w:rFonts w:ascii="Century Gothic" w:hAnsi="Century Gothic" w:cs="Arial"/>
          <w:sz w:val="24"/>
          <w:szCs w:val="24"/>
          <w:lang w:val="es-CO"/>
        </w:rPr>
        <w:t>, necesariamente, con la estimación razonada de la cuantía)</w:t>
      </w:r>
      <w:r w:rsidRPr="00B87606">
        <w:rPr>
          <w:rFonts w:ascii="Century Gothic" w:hAnsi="Century Gothic" w:cs="Arial"/>
          <w:sz w:val="24"/>
          <w:szCs w:val="24"/>
          <w:lang w:val="es-CO"/>
        </w:rPr>
        <w:t>, de manera que, la utilidad dejada de percibir tampo</w:t>
      </w:r>
      <w:r w:rsidR="007104AF">
        <w:rPr>
          <w:rFonts w:ascii="Century Gothic" w:hAnsi="Century Gothic" w:cs="Arial"/>
          <w:sz w:val="24"/>
          <w:szCs w:val="24"/>
          <w:lang w:val="es-CO"/>
        </w:rPr>
        <w:t>co puede entenderse que coincida</w:t>
      </w:r>
      <w:r w:rsidR="00495F6F" w:rsidRPr="00B87606">
        <w:rPr>
          <w:rFonts w:ascii="Century Gothic" w:hAnsi="Century Gothic" w:cs="Arial"/>
          <w:sz w:val="24"/>
          <w:szCs w:val="24"/>
          <w:lang w:val="es-CO"/>
        </w:rPr>
        <w:t>, como pretendió hacerlo el juez de primera instancia,</w:t>
      </w:r>
      <w:r w:rsidRPr="00B87606">
        <w:rPr>
          <w:rFonts w:ascii="Century Gothic" w:hAnsi="Century Gothic" w:cs="Arial"/>
          <w:sz w:val="24"/>
          <w:szCs w:val="24"/>
          <w:lang w:val="es-CO"/>
        </w:rPr>
        <w:t xml:space="preserve"> con el porcentaje de la suma asegurada en la garant</w:t>
      </w:r>
      <w:r w:rsidR="00102D3D" w:rsidRPr="00B87606">
        <w:rPr>
          <w:rFonts w:ascii="Century Gothic" w:hAnsi="Century Gothic" w:cs="Arial"/>
          <w:sz w:val="24"/>
          <w:szCs w:val="24"/>
          <w:lang w:val="es-CO"/>
        </w:rPr>
        <w:t>ía de seriedad de la ofer</w:t>
      </w:r>
      <w:r w:rsidR="00495F6F" w:rsidRPr="00B87606">
        <w:rPr>
          <w:rFonts w:ascii="Century Gothic" w:hAnsi="Century Gothic" w:cs="Arial"/>
          <w:sz w:val="24"/>
          <w:szCs w:val="24"/>
          <w:lang w:val="es-CO"/>
        </w:rPr>
        <w:t>ta</w:t>
      </w:r>
      <w:r w:rsidR="0087681C" w:rsidRPr="00B87606">
        <w:rPr>
          <w:rFonts w:ascii="Century Gothic" w:hAnsi="Century Gothic" w:cs="Arial"/>
          <w:sz w:val="24"/>
          <w:szCs w:val="24"/>
          <w:lang w:val="es-CO"/>
        </w:rPr>
        <w:t xml:space="preserve"> (lo que no contradice las consideraciones de la jurisprudencia citada sobre </w:t>
      </w:r>
      <w:r w:rsidR="0087681C" w:rsidRPr="00B87606">
        <w:rPr>
          <w:rFonts w:ascii="Century Gothic" w:hAnsi="Century Gothic" w:cs="Arial"/>
          <w:sz w:val="24"/>
          <w:szCs w:val="24"/>
          <w:lang w:val="es-CO"/>
        </w:rPr>
        <w:lastRenderedPageBreak/>
        <w:t xml:space="preserve">el </w:t>
      </w:r>
      <w:r w:rsidR="0087681C" w:rsidRPr="00B87606">
        <w:rPr>
          <w:rFonts w:ascii="Century Gothic" w:hAnsi="Century Gothic" w:cs="Arial"/>
          <w:i/>
          <w:sz w:val="24"/>
          <w:szCs w:val="24"/>
        </w:rPr>
        <w:t>arbitrio </w:t>
      </w:r>
      <w:proofErr w:type="spellStart"/>
      <w:r w:rsidR="0087681C" w:rsidRPr="00B87606">
        <w:rPr>
          <w:rFonts w:ascii="Century Gothic" w:hAnsi="Century Gothic" w:cs="Arial"/>
          <w:i/>
          <w:sz w:val="24"/>
          <w:szCs w:val="24"/>
        </w:rPr>
        <w:t>iudicis</w:t>
      </w:r>
      <w:proofErr w:type="spellEnd"/>
      <w:r w:rsidR="0087681C" w:rsidRPr="00B87606">
        <w:rPr>
          <w:rFonts w:ascii="Century Gothic" w:hAnsi="Century Gothic" w:cs="Arial"/>
          <w:sz w:val="24"/>
          <w:szCs w:val="24"/>
        </w:rPr>
        <w:t> y el principio de equidad)</w:t>
      </w:r>
      <w:r w:rsidR="007220C4" w:rsidRPr="00B87606">
        <w:rPr>
          <w:rFonts w:ascii="Century Gothic" w:hAnsi="Century Gothic" w:cs="Arial"/>
          <w:sz w:val="24"/>
          <w:szCs w:val="24"/>
          <w:lang w:val="es-CO"/>
        </w:rPr>
        <w:t xml:space="preserve">. </w:t>
      </w:r>
      <w:r w:rsidR="00B87606" w:rsidRPr="00B87606">
        <w:rPr>
          <w:rFonts w:ascii="Century Gothic" w:hAnsi="Century Gothic" w:cs="Arial"/>
          <w:sz w:val="24"/>
          <w:szCs w:val="24"/>
          <w:lang w:val="es-CO"/>
        </w:rPr>
        <w:t>Menos aún</w:t>
      </w:r>
      <w:r w:rsidR="00614A1A">
        <w:rPr>
          <w:rFonts w:ascii="Century Gothic" w:hAnsi="Century Gothic" w:cs="Arial"/>
          <w:sz w:val="24"/>
          <w:szCs w:val="24"/>
          <w:lang w:val="es-CO"/>
        </w:rPr>
        <w:t>,</w:t>
      </w:r>
      <w:r w:rsidR="00B87606" w:rsidRPr="00B87606">
        <w:rPr>
          <w:rFonts w:ascii="Century Gothic" w:hAnsi="Century Gothic" w:cs="Arial"/>
          <w:sz w:val="24"/>
          <w:szCs w:val="24"/>
          <w:lang w:val="es-CO"/>
        </w:rPr>
        <w:t xml:space="preserve"> que pueda acudirse al porcentaje de la garantía de seriedad de la oferta </w:t>
      </w:r>
      <w:r w:rsidR="005F54BE">
        <w:rPr>
          <w:rFonts w:ascii="Century Gothic" w:hAnsi="Century Gothic" w:cs="Arial"/>
          <w:sz w:val="24"/>
          <w:szCs w:val="24"/>
          <w:lang w:val="es-CO"/>
        </w:rPr>
        <w:t xml:space="preserve">para tratar de derivar de allí </w:t>
      </w:r>
      <w:r w:rsidR="00B87606" w:rsidRPr="00B87606">
        <w:rPr>
          <w:rFonts w:ascii="Century Gothic" w:hAnsi="Century Gothic" w:cs="Arial"/>
          <w:sz w:val="24"/>
          <w:szCs w:val="24"/>
          <w:lang w:val="es-CO"/>
        </w:rPr>
        <w:t xml:space="preserve">un </w:t>
      </w:r>
      <w:r w:rsidR="008C4513">
        <w:rPr>
          <w:rFonts w:ascii="Century Gothic" w:hAnsi="Century Gothic" w:cs="Arial"/>
          <w:sz w:val="24"/>
          <w:szCs w:val="24"/>
          <w:lang w:val="es-CO"/>
        </w:rPr>
        <w:t>referente</w:t>
      </w:r>
      <w:r w:rsidR="00B87606" w:rsidRPr="00B87606">
        <w:rPr>
          <w:rFonts w:ascii="Century Gothic" w:hAnsi="Century Gothic" w:cs="Arial"/>
          <w:sz w:val="24"/>
          <w:szCs w:val="24"/>
          <w:lang w:val="es-CO"/>
        </w:rPr>
        <w:t xml:space="preserve"> indemnizatorio en ausencia de prueba absoluta del perjuicio. </w:t>
      </w:r>
      <w:bookmarkEnd w:id="6"/>
    </w:p>
    <w:p w14:paraId="54031704" w14:textId="77777777" w:rsidR="00B87606" w:rsidRPr="00B87606" w:rsidRDefault="00B87606" w:rsidP="00B87606">
      <w:pPr>
        <w:tabs>
          <w:tab w:val="left" w:pos="426"/>
        </w:tabs>
        <w:spacing w:line="360" w:lineRule="auto"/>
        <w:jc w:val="both"/>
        <w:rPr>
          <w:rFonts w:ascii="Century Gothic" w:hAnsi="Century Gothic" w:cs="Arial"/>
          <w:b/>
          <w:sz w:val="24"/>
          <w:szCs w:val="24"/>
        </w:rPr>
      </w:pPr>
    </w:p>
    <w:p w14:paraId="1596C5E7" w14:textId="77777777" w:rsidR="00807C57" w:rsidRPr="00807C57" w:rsidRDefault="00807C57" w:rsidP="000F7FFA">
      <w:pPr>
        <w:spacing w:line="360" w:lineRule="auto"/>
        <w:jc w:val="both"/>
        <w:rPr>
          <w:rFonts w:ascii="Century Gothic" w:hAnsi="Century Gothic" w:cs="Arial"/>
          <w:b/>
          <w:sz w:val="24"/>
          <w:szCs w:val="24"/>
        </w:rPr>
      </w:pPr>
      <w:r w:rsidRPr="00807C57">
        <w:rPr>
          <w:rFonts w:ascii="Century Gothic" w:hAnsi="Century Gothic" w:cs="Arial"/>
          <w:b/>
          <w:sz w:val="24"/>
          <w:szCs w:val="24"/>
        </w:rPr>
        <w:t>2.5. Sobre la condena en costas</w:t>
      </w:r>
    </w:p>
    <w:p w14:paraId="5432F367" w14:textId="77777777" w:rsidR="00807C57" w:rsidRPr="00807C57" w:rsidRDefault="00807C57" w:rsidP="000F7FFA">
      <w:pPr>
        <w:spacing w:line="360" w:lineRule="auto"/>
        <w:jc w:val="both"/>
        <w:rPr>
          <w:rFonts w:ascii="Century Gothic" w:hAnsi="Century Gothic" w:cs="Arial"/>
          <w:sz w:val="24"/>
          <w:szCs w:val="24"/>
        </w:rPr>
      </w:pPr>
    </w:p>
    <w:p w14:paraId="41B09102" w14:textId="77777777" w:rsidR="004930C0" w:rsidRPr="00542C4B" w:rsidRDefault="00807C57" w:rsidP="004930C0">
      <w:pPr>
        <w:numPr>
          <w:ilvl w:val="0"/>
          <w:numId w:val="3"/>
        </w:numPr>
        <w:tabs>
          <w:tab w:val="left" w:pos="426"/>
        </w:tabs>
        <w:spacing w:line="360" w:lineRule="auto"/>
        <w:ind w:left="0" w:firstLine="0"/>
        <w:jc w:val="both"/>
        <w:rPr>
          <w:rFonts w:ascii="Century Gothic" w:hAnsi="Century Gothic" w:cs="Arial"/>
          <w:sz w:val="24"/>
          <w:szCs w:val="24"/>
        </w:rPr>
      </w:pPr>
      <w:r w:rsidRPr="00807C57">
        <w:rPr>
          <w:rFonts w:ascii="Century Gothic" w:hAnsi="Century Gothic" w:cs="Arial"/>
          <w:sz w:val="24"/>
          <w:szCs w:val="24"/>
        </w:rPr>
        <w:t>La Sala se abstendrá de condenar en costas pues no se configuran los supuestos del artículo 171 del Código Contencioso Administrativo requeridos.</w:t>
      </w:r>
    </w:p>
    <w:p w14:paraId="2DB7C45B" w14:textId="77777777" w:rsidR="00807C57" w:rsidRPr="00807C57" w:rsidRDefault="00807C57" w:rsidP="000F7FFA">
      <w:pPr>
        <w:spacing w:line="360" w:lineRule="auto"/>
        <w:jc w:val="center"/>
        <w:rPr>
          <w:rFonts w:ascii="Century Gothic" w:hAnsi="Century Gothic" w:cs="Arial"/>
          <w:b/>
          <w:sz w:val="24"/>
          <w:szCs w:val="24"/>
          <w:lang w:val="es-CO"/>
        </w:rPr>
      </w:pPr>
      <w:r w:rsidRPr="00807C57">
        <w:rPr>
          <w:rFonts w:ascii="Century Gothic" w:hAnsi="Century Gothic" w:cs="Arial"/>
          <w:b/>
          <w:sz w:val="24"/>
          <w:szCs w:val="24"/>
          <w:lang w:val="es-CO"/>
        </w:rPr>
        <w:t>3. DECISIÓN</w:t>
      </w:r>
    </w:p>
    <w:p w14:paraId="7DF4AD99" w14:textId="77777777" w:rsidR="00807C57" w:rsidRPr="00807C57" w:rsidRDefault="00807C57" w:rsidP="000F7FFA">
      <w:pPr>
        <w:spacing w:line="360" w:lineRule="auto"/>
        <w:jc w:val="both"/>
        <w:rPr>
          <w:rFonts w:ascii="Century Gothic" w:hAnsi="Century Gothic" w:cs="Arial"/>
          <w:sz w:val="24"/>
          <w:szCs w:val="24"/>
          <w:lang w:val="es-CO"/>
        </w:rPr>
      </w:pPr>
    </w:p>
    <w:p w14:paraId="2EB4BEEB" w14:textId="77777777" w:rsidR="004A7EC4" w:rsidRPr="00614A1A" w:rsidRDefault="00807C57" w:rsidP="000F7FFA">
      <w:pPr>
        <w:numPr>
          <w:ilvl w:val="0"/>
          <w:numId w:val="3"/>
        </w:numPr>
        <w:tabs>
          <w:tab w:val="left" w:pos="426"/>
        </w:tabs>
        <w:spacing w:line="360" w:lineRule="auto"/>
        <w:ind w:left="0" w:firstLine="0"/>
        <w:jc w:val="both"/>
        <w:rPr>
          <w:rFonts w:ascii="Century Gothic" w:hAnsi="Century Gothic" w:cs="Arial"/>
          <w:sz w:val="24"/>
          <w:szCs w:val="24"/>
        </w:rPr>
      </w:pPr>
      <w:r w:rsidRPr="00807C57">
        <w:rPr>
          <w:rFonts w:ascii="Century Gothic" w:hAnsi="Century Gothic" w:cs="Arial"/>
          <w:sz w:val="24"/>
          <w:szCs w:val="24"/>
        </w:rPr>
        <w:t xml:space="preserve">En mérito de lo expuesto, el Consejo de Estado, Sala de lo Contencioso Administrativo, Sección Tercera, Subsección B, administrando justicia en nombre de la República y por autoridad de la ley, </w:t>
      </w:r>
    </w:p>
    <w:p w14:paraId="670D0C6B" w14:textId="77777777" w:rsidR="004930C0" w:rsidRDefault="004930C0" w:rsidP="00542C4B">
      <w:pPr>
        <w:spacing w:line="360" w:lineRule="auto"/>
        <w:rPr>
          <w:rFonts w:ascii="Century Gothic" w:hAnsi="Century Gothic" w:cs="Arial"/>
          <w:b/>
          <w:sz w:val="24"/>
          <w:szCs w:val="24"/>
        </w:rPr>
      </w:pPr>
    </w:p>
    <w:p w14:paraId="7AA256E9" w14:textId="77777777" w:rsidR="00350272" w:rsidRDefault="00350272" w:rsidP="000F7FFA">
      <w:pPr>
        <w:spacing w:line="360" w:lineRule="auto"/>
        <w:jc w:val="center"/>
        <w:rPr>
          <w:rFonts w:ascii="Century Gothic" w:hAnsi="Century Gothic" w:cs="Arial"/>
          <w:b/>
          <w:sz w:val="24"/>
          <w:szCs w:val="24"/>
        </w:rPr>
      </w:pPr>
    </w:p>
    <w:p w14:paraId="40ED1404" w14:textId="77777777" w:rsidR="00807C57" w:rsidRPr="00807C57" w:rsidRDefault="00807C57" w:rsidP="000F7FFA">
      <w:pPr>
        <w:spacing w:line="360" w:lineRule="auto"/>
        <w:jc w:val="center"/>
        <w:rPr>
          <w:rFonts w:ascii="Century Gothic" w:hAnsi="Century Gothic" w:cs="Arial"/>
          <w:b/>
          <w:sz w:val="24"/>
          <w:szCs w:val="24"/>
        </w:rPr>
      </w:pPr>
      <w:r w:rsidRPr="00807C57">
        <w:rPr>
          <w:rFonts w:ascii="Century Gothic" w:hAnsi="Century Gothic" w:cs="Arial"/>
          <w:b/>
          <w:sz w:val="24"/>
          <w:szCs w:val="24"/>
        </w:rPr>
        <w:t>RESUELVE:</w:t>
      </w:r>
    </w:p>
    <w:p w14:paraId="6225C288" w14:textId="77777777" w:rsidR="00807C57" w:rsidRPr="00807C57" w:rsidRDefault="00807C57" w:rsidP="000F7FFA">
      <w:pPr>
        <w:spacing w:line="360" w:lineRule="auto"/>
        <w:jc w:val="center"/>
        <w:rPr>
          <w:rFonts w:ascii="Century Gothic" w:hAnsi="Century Gothic" w:cs="Arial"/>
          <w:b/>
          <w:sz w:val="24"/>
          <w:szCs w:val="24"/>
        </w:rPr>
      </w:pPr>
    </w:p>
    <w:p w14:paraId="5DA4B684" w14:textId="77777777" w:rsidR="005F2678" w:rsidRDefault="00807C57" w:rsidP="005F2678">
      <w:pPr>
        <w:spacing w:line="360" w:lineRule="auto"/>
        <w:jc w:val="both"/>
        <w:rPr>
          <w:rFonts w:ascii="Century Gothic" w:hAnsi="Century Gothic" w:cs="Arial"/>
          <w:sz w:val="24"/>
          <w:szCs w:val="24"/>
        </w:rPr>
      </w:pPr>
      <w:r w:rsidRPr="00807C57">
        <w:rPr>
          <w:rFonts w:ascii="Century Gothic" w:hAnsi="Century Gothic" w:cs="Arial"/>
          <w:b/>
          <w:sz w:val="24"/>
          <w:szCs w:val="24"/>
        </w:rPr>
        <w:t xml:space="preserve">PRIMERO: </w:t>
      </w:r>
      <w:r w:rsidR="005F2678">
        <w:rPr>
          <w:rFonts w:ascii="Century Gothic" w:hAnsi="Century Gothic" w:cs="Arial"/>
          <w:b/>
          <w:sz w:val="24"/>
          <w:szCs w:val="24"/>
        </w:rPr>
        <w:t xml:space="preserve">REVOCAR </w:t>
      </w:r>
      <w:r w:rsidR="005F2678" w:rsidRPr="005F2678">
        <w:rPr>
          <w:rFonts w:ascii="Century Gothic" w:hAnsi="Century Gothic" w:cs="Arial"/>
          <w:sz w:val="24"/>
          <w:szCs w:val="24"/>
        </w:rPr>
        <w:t xml:space="preserve">la sentencia de 17 de marzo de 2010 proferida por el Tribunal </w:t>
      </w:r>
      <w:r w:rsidR="001A7E66">
        <w:rPr>
          <w:rFonts w:ascii="Century Gothic" w:hAnsi="Century Gothic" w:cs="Arial"/>
          <w:sz w:val="24"/>
          <w:szCs w:val="24"/>
        </w:rPr>
        <w:t>A</w:t>
      </w:r>
      <w:r w:rsidR="006200C7">
        <w:rPr>
          <w:rFonts w:ascii="Century Gothic" w:hAnsi="Century Gothic" w:cs="Arial"/>
          <w:sz w:val="24"/>
          <w:szCs w:val="24"/>
        </w:rPr>
        <w:t xml:space="preserve">dministrativo de Cundinamarca. </w:t>
      </w:r>
    </w:p>
    <w:p w14:paraId="12FAE15D" w14:textId="77777777" w:rsidR="006200C7" w:rsidRDefault="006200C7" w:rsidP="005F2678">
      <w:pPr>
        <w:spacing w:line="360" w:lineRule="auto"/>
        <w:jc w:val="both"/>
        <w:rPr>
          <w:rFonts w:ascii="Century Gothic" w:hAnsi="Century Gothic" w:cs="Arial"/>
          <w:sz w:val="24"/>
          <w:szCs w:val="24"/>
        </w:rPr>
      </w:pPr>
    </w:p>
    <w:p w14:paraId="3DA4667B" w14:textId="77777777" w:rsidR="001A7E66" w:rsidRDefault="005F2678" w:rsidP="001A7E66">
      <w:pPr>
        <w:spacing w:line="360" w:lineRule="auto"/>
        <w:jc w:val="both"/>
        <w:rPr>
          <w:rFonts w:ascii="Century Gothic" w:hAnsi="Century Gothic" w:cs="Arial"/>
          <w:sz w:val="24"/>
          <w:szCs w:val="24"/>
        </w:rPr>
      </w:pPr>
      <w:r w:rsidRPr="005F2678">
        <w:rPr>
          <w:rFonts w:ascii="Century Gothic" w:hAnsi="Century Gothic" w:cs="Arial"/>
          <w:b/>
          <w:sz w:val="24"/>
          <w:szCs w:val="24"/>
        </w:rPr>
        <w:t xml:space="preserve">SEGUNDO: </w:t>
      </w:r>
      <w:r w:rsidR="001A7E66" w:rsidRPr="005F2678">
        <w:rPr>
          <w:rFonts w:ascii="Century Gothic" w:hAnsi="Century Gothic" w:cs="Arial"/>
          <w:b/>
          <w:sz w:val="24"/>
          <w:szCs w:val="24"/>
        </w:rPr>
        <w:t>NEGAR</w:t>
      </w:r>
      <w:r w:rsidR="001A7E66" w:rsidRPr="005F2678">
        <w:rPr>
          <w:rFonts w:ascii="Century Gothic" w:hAnsi="Century Gothic" w:cs="Arial"/>
          <w:sz w:val="24"/>
          <w:szCs w:val="24"/>
        </w:rPr>
        <w:t xml:space="preserve"> las pretensiones de la demanda. </w:t>
      </w:r>
    </w:p>
    <w:p w14:paraId="66FC5147" w14:textId="77777777" w:rsidR="00807C57" w:rsidRPr="00807C57" w:rsidRDefault="00807C57" w:rsidP="000F7FFA">
      <w:pPr>
        <w:spacing w:line="360" w:lineRule="auto"/>
        <w:jc w:val="both"/>
        <w:rPr>
          <w:rFonts w:ascii="Century Gothic" w:hAnsi="Century Gothic" w:cs="Arial"/>
          <w:b/>
          <w:sz w:val="24"/>
          <w:szCs w:val="24"/>
        </w:rPr>
      </w:pPr>
    </w:p>
    <w:p w14:paraId="78C6ED67" w14:textId="77777777" w:rsidR="001A7E66" w:rsidRPr="001A7E66" w:rsidRDefault="005F2678" w:rsidP="001A7E66">
      <w:pPr>
        <w:overflowPunct w:val="0"/>
        <w:autoSpaceDE w:val="0"/>
        <w:autoSpaceDN w:val="0"/>
        <w:adjustRightInd w:val="0"/>
        <w:spacing w:line="360" w:lineRule="auto"/>
        <w:jc w:val="both"/>
        <w:textAlignment w:val="baseline"/>
        <w:rPr>
          <w:rFonts w:ascii="Century Gothic" w:hAnsi="Century Gothic" w:cs="Arial"/>
          <w:bCs/>
          <w:sz w:val="24"/>
          <w:szCs w:val="24"/>
          <w:lang w:val="es-CO"/>
        </w:rPr>
      </w:pPr>
      <w:r>
        <w:rPr>
          <w:rFonts w:ascii="Century Gothic" w:hAnsi="Century Gothic" w:cs="Arial"/>
          <w:b/>
          <w:bCs/>
          <w:sz w:val="24"/>
          <w:szCs w:val="24"/>
          <w:lang w:val="es-CO"/>
        </w:rPr>
        <w:t>TERCERO</w:t>
      </w:r>
      <w:r w:rsidR="00807C57" w:rsidRPr="00807C57">
        <w:rPr>
          <w:rFonts w:ascii="Century Gothic" w:hAnsi="Century Gothic" w:cs="Arial"/>
          <w:b/>
          <w:bCs/>
          <w:sz w:val="24"/>
          <w:szCs w:val="24"/>
          <w:lang w:val="es-CO"/>
        </w:rPr>
        <w:t>:</w:t>
      </w:r>
      <w:r w:rsidR="00807C57" w:rsidRPr="00807C57">
        <w:rPr>
          <w:rFonts w:ascii="Century Gothic" w:hAnsi="Century Gothic" w:cs="Arial"/>
          <w:bCs/>
          <w:sz w:val="24"/>
          <w:szCs w:val="24"/>
          <w:lang w:val="es-CO"/>
        </w:rPr>
        <w:t xml:space="preserve"> </w:t>
      </w:r>
      <w:r w:rsidR="001A7E66">
        <w:rPr>
          <w:rFonts w:ascii="Century Gothic" w:hAnsi="Century Gothic" w:cs="Arial"/>
          <w:sz w:val="24"/>
          <w:szCs w:val="24"/>
        </w:rPr>
        <w:t xml:space="preserve">sin condena en costas. </w:t>
      </w:r>
    </w:p>
    <w:p w14:paraId="028E75BE" w14:textId="77777777" w:rsidR="001A7E66" w:rsidRDefault="001A7E66" w:rsidP="000F7FFA">
      <w:pPr>
        <w:overflowPunct w:val="0"/>
        <w:autoSpaceDE w:val="0"/>
        <w:autoSpaceDN w:val="0"/>
        <w:adjustRightInd w:val="0"/>
        <w:spacing w:line="360" w:lineRule="auto"/>
        <w:jc w:val="both"/>
        <w:textAlignment w:val="baseline"/>
        <w:rPr>
          <w:rFonts w:ascii="Century Gothic" w:hAnsi="Century Gothic" w:cs="Arial"/>
          <w:b/>
          <w:bCs/>
          <w:sz w:val="24"/>
          <w:szCs w:val="24"/>
          <w:lang w:val="es-CO"/>
        </w:rPr>
      </w:pPr>
    </w:p>
    <w:p w14:paraId="2E47AE1A" w14:textId="77777777" w:rsidR="00807C57" w:rsidRPr="00807C57" w:rsidRDefault="001A7E66" w:rsidP="000F7FFA">
      <w:pPr>
        <w:overflowPunct w:val="0"/>
        <w:autoSpaceDE w:val="0"/>
        <w:autoSpaceDN w:val="0"/>
        <w:adjustRightInd w:val="0"/>
        <w:spacing w:line="360" w:lineRule="auto"/>
        <w:jc w:val="both"/>
        <w:textAlignment w:val="baseline"/>
        <w:rPr>
          <w:rFonts w:ascii="Century Gothic" w:hAnsi="Century Gothic" w:cs="Arial"/>
          <w:sz w:val="24"/>
          <w:szCs w:val="24"/>
        </w:rPr>
      </w:pPr>
      <w:r w:rsidRPr="001A7E66">
        <w:rPr>
          <w:rFonts w:ascii="Century Gothic" w:hAnsi="Century Gothic" w:cs="Arial"/>
          <w:bCs/>
          <w:sz w:val="24"/>
          <w:szCs w:val="24"/>
          <w:lang w:val="es-CO"/>
        </w:rPr>
        <w:t>P</w:t>
      </w:r>
      <w:r w:rsidR="00807C57" w:rsidRPr="00807C57">
        <w:rPr>
          <w:rFonts w:ascii="Century Gothic" w:hAnsi="Century Gothic" w:cs="Arial"/>
          <w:bCs/>
          <w:sz w:val="24"/>
          <w:szCs w:val="24"/>
          <w:lang w:val="es-CO"/>
        </w:rPr>
        <w:t xml:space="preserve">or Secretaría, una vez de ejecutoriado este proveído, </w:t>
      </w:r>
      <w:r w:rsidR="00807C57" w:rsidRPr="00807C57">
        <w:rPr>
          <w:rFonts w:ascii="Century Gothic" w:hAnsi="Century Gothic" w:cs="Arial"/>
          <w:b/>
          <w:bCs/>
          <w:sz w:val="24"/>
          <w:szCs w:val="24"/>
          <w:lang w:val="es-CO"/>
        </w:rPr>
        <w:t xml:space="preserve">DEVUÉLVASE </w:t>
      </w:r>
      <w:r w:rsidR="00807C57" w:rsidRPr="00807C57">
        <w:rPr>
          <w:rFonts w:ascii="Century Gothic" w:hAnsi="Century Gothic" w:cs="Arial"/>
          <w:bCs/>
          <w:sz w:val="24"/>
          <w:szCs w:val="24"/>
          <w:lang w:val="es-CO"/>
        </w:rPr>
        <w:t>el expediente al Tribunal de origen.</w:t>
      </w:r>
    </w:p>
    <w:p w14:paraId="0EEED825" w14:textId="77777777" w:rsidR="00807C57" w:rsidRPr="00807C57" w:rsidRDefault="00807C57" w:rsidP="000F7FFA">
      <w:pPr>
        <w:spacing w:line="360" w:lineRule="auto"/>
        <w:jc w:val="center"/>
        <w:rPr>
          <w:rFonts w:ascii="Century Gothic" w:hAnsi="Century Gothic" w:cs="Arial"/>
          <w:sz w:val="24"/>
          <w:szCs w:val="24"/>
        </w:rPr>
      </w:pPr>
    </w:p>
    <w:p w14:paraId="7BE6AC80" w14:textId="77777777" w:rsidR="00807C57" w:rsidRPr="00807C57" w:rsidRDefault="00807C57" w:rsidP="000F7FFA">
      <w:pPr>
        <w:spacing w:line="360" w:lineRule="auto"/>
        <w:jc w:val="center"/>
        <w:rPr>
          <w:rFonts w:ascii="Century Gothic" w:hAnsi="Century Gothic" w:cs="Arial"/>
          <w:b/>
          <w:sz w:val="24"/>
          <w:szCs w:val="24"/>
        </w:rPr>
      </w:pPr>
      <w:r w:rsidRPr="00807C57">
        <w:rPr>
          <w:rFonts w:ascii="Century Gothic" w:hAnsi="Century Gothic" w:cs="Arial"/>
          <w:b/>
          <w:sz w:val="24"/>
          <w:szCs w:val="24"/>
        </w:rPr>
        <w:t>NOTIFÍQUESE Y CÚMPLASE</w:t>
      </w:r>
    </w:p>
    <w:p w14:paraId="5B749905" w14:textId="77777777" w:rsidR="00807C57" w:rsidRDefault="00807C57" w:rsidP="000F7FFA">
      <w:pPr>
        <w:spacing w:line="360" w:lineRule="auto"/>
        <w:jc w:val="both"/>
        <w:rPr>
          <w:rFonts w:ascii="Century Gothic" w:hAnsi="Century Gothic" w:cs="Arial"/>
          <w:sz w:val="24"/>
          <w:szCs w:val="24"/>
        </w:rPr>
      </w:pPr>
    </w:p>
    <w:p w14:paraId="231F2BA9" w14:textId="77777777" w:rsidR="00542C4B" w:rsidRPr="00807C57" w:rsidRDefault="00542C4B" w:rsidP="000F7FFA">
      <w:pPr>
        <w:spacing w:line="360" w:lineRule="auto"/>
        <w:jc w:val="both"/>
        <w:rPr>
          <w:rFonts w:ascii="Century Gothic" w:hAnsi="Century Gothic" w:cs="Arial"/>
          <w:sz w:val="24"/>
          <w:szCs w:val="24"/>
        </w:rPr>
      </w:pPr>
    </w:p>
    <w:p w14:paraId="7DDAB9DF" w14:textId="77777777" w:rsidR="00807C57" w:rsidRPr="00807C57" w:rsidRDefault="00807C57" w:rsidP="000F7FFA">
      <w:pPr>
        <w:spacing w:line="360" w:lineRule="auto"/>
        <w:jc w:val="both"/>
        <w:rPr>
          <w:rFonts w:ascii="Century Gothic" w:hAnsi="Century Gothic" w:cs="Arial"/>
          <w:sz w:val="24"/>
          <w:szCs w:val="24"/>
        </w:rPr>
      </w:pPr>
    </w:p>
    <w:p w14:paraId="4B19AB27" w14:textId="77777777" w:rsidR="00D17635" w:rsidRDefault="00542C4B" w:rsidP="000F7FFA">
      <w:pPr>
        <w:spacing w:line="360" w:lineRule="auto"/>
        <w:jc w:val="both"/>
        <w:rPr>
          <w:rFonts w:ascii="Century Gothic" w:hAnsi="Century Gothic" w:cs="Arial"/>
          <w:b/>
          <w:sz w:val="24"/>
          <w:szCs w:val="24"/>
        </w:rPr>
      </w:pPr>
      <w:r>
        <w:rPr>
          <w:rFonts w:ascii="Century Gothic" w:hAnsi="Century Gothic" w:cs="Arial"/>
          <w:b/>
          <w:sz w:val="24"/>
          <w:szCs w:val="24"/>
        </w:rPr>
        <w:t xml:space="preserve">ALIER EDUARDO HERNÁNDEZ ENRÍQUEZ               </w:t>
      </w:r>
      <w:r w:rsidRPr="00542C4B">
        <w:rPr>
          <w:rFonts w:ascii="Century Gothic" w:hAnsi="Century Gothic" w:cs="Arial"/>
          <w:b/>
          <w:sz w:val="24"/>
          <w:szCs w:val="24"/>
        </w:rPr>
        <w:t xml:space="preserve">EDGARDO VILLAMIL PORTILLA                                                                                        </w:t>
      </w:r>
    </w:p>
    <w:p w14:paraId="32C7DCD9" w14:textId="77777777" w:rsidR="00D17635" w:rsidRDefault="00D17635" w:rsidP="000F7FFA">
      <w:pPr>
        <w:spacing w:line="360" w:lineRule="auto"/>
        <w:jc w:val="both"/>
        <w:rPr>
          <w:rFonts w:ascii="Century Gothic" w:hAnsi="Century Gothic" w:cs="Arial"/>
          <w:b/>
          <w:sz w:val="24"/>
          <w:szCs w:val="24"/>
        </w:rPr>
      </w:pPr>
    </w:p>
    <w:p w14:paraId="387036F7" w14:textId="77777777" w:rsidR="004959A1" w:rsidRDefault="004959A1" w:rsidP="000F7FFA">
      <w:pPr>
        <w:spacing w:line="360" w:lineRule="auto"/>
        <w:jc w:val="both"/>
        <w:rPr>
          <w:rFonts w:ascii="Century Gothic" w:hAnsi="Century Gothic" w:cs="Arial"/>
          <w:b/>
          <w:sz w:val="24"/>
          <w:szCs w:val="24"/>
        </w:rPr>
      </w:pPr>
    </w:p>
    <w:p w14:paraId="43F97C2B" w14:textId="77777777" w:rsidR="00D17635" w:rsidRDefault="00D17635" w:rsidP="000F7FFA">
      <w:pPr>
        <w:spacing w:line="360" w:lineRule="auto"/>
        <w:jc w:val="both"/>
        <w:rPr>
          <w:rFonts w:ascii="Century Gothic" w:hAnsi="Century Gothic" w:cs="Arial"/>
          <w:b/>
          <w:sz w:val="24"/>
          <w:szCs w:val="24"/>
        </w:rPr>
      </w:pPr>
    </w:p>
    <w:p w14:paraId="551D60AD" w14:textId="77777777" w:rsidR="00807C57" w:rsidRPr="00807C57" w:rsidRDefault="00807C57" w:rsidP="00D17635">
      <w:pPr>
        <w:spacing w:line="360" w:lineRule="auto"/>
        <w:jc w:val="center"/>
        <w:rPr>
          <w:rFonts w:ascii="Century Gothic" w:hAnsi="Century Gothic" w:cs="Arial"/>
          <w:b/>
          <w:sz w:val="24"/>
          <w:szCs w:val="24"/>
        </w:rPr>
      </w:pPr>
      <w:r w:rsidRPr="00807C57">
        <w:rPr>
          <w:rFonts w:ascii="Century Gothic" w:hAnsi="Century Gothic" w:cs="Arial"/>
          <w:b/>
          <w:sz w:val="24"/>
          <w:szCs w:val="24"/>
        </w:rPr>
        <w:t>ALBERTO MONTAÑA PLATA</w:t>
      </w:r>
    </w:p>
    <w:p w14:paraId="6312ABA1" w14:textId="77777777" w:rsidR="00807C57" w:rsidRPr="00807C57" w:rsidRDefault="00807C57" w:rsidP="000F7FFA">
      <w:pPr>
        <w:spacing w:line="360" w:lineRule="auto"/>
        <w:rPr>
          <w:rFonts w:ascii="Century Gothic" w:hAnsi="Century Gothic"/>
          <w:sz w:val="20"/>
          <w:szCs w:val="20"/>
        </w:rPr>
      </w:pPr>
    </w:p>
    <w:p w14:paraId="5E4F3713" w14:textId="77777777" w:rsidR="00044FD4" w:rsidRPr="00807C57" w:rsidRDefault="00044FD4" w:rsidP="000F7FFA">
      <w:pPr>
        <w:spacing w:line="360" w:lineRule="auto"/>
        <w:rPr>
          <w:rFonts w:ascii="Century Gothic" w:hAnsi="Century Gothic"/>
        </w:rPr>
      </w:pPr>
    </w:p>
    <w:sectPr w:rsidR="00044FD4" w:rsidRPr="00807C57" w:rsidSect="000C130B">
      <w:footerReference w:type="first" r:id="rId11"/>
      <w:pgSz w:w="12242" w:h="18705" w:code="11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BE64E" w14:textId="77777777" w:rsidR="00A2442D" w:rsidRDefault="00A2442D">
      <w:r>
        <w:separator/>
      </w:r>
    </w:p>
  </w:endnote>
  <w:endnote w:type="continuationSeparator" w:id="0">
    <w:p w14:paraId="314A2BEB" w14:textId="77777777" w:rsidR="00A2442D" w:rsidRDefault="00A2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BFBA2" w14:textId="77777777" w:rsidR="00402B4D" w:rsidRPr="00A52A28" w:rsidRDefault="00402B4D" w:rsidP="00457D27">
    <w:pPr>
      <w:pStyle w:val="Piedepgina"/>
      <w:jc w:val="center"/>
      <w:rPr>
        <w:rFonts w:ascii="Century Gothic" w:hAnsi="Century Gothic"/>
        <w:color w:val="767171"/>
        <w:sz w:val="20"/>
        <w:szCs w:val="20"/>
      </w:rPr>
    </w:pPr>
    <w:r w:rsidRPr="00A52A28">
      <w:rPr>
        <w:rFonts w:ascii="Century Gothic" w:hAnsi="Century Gothic"/>
        <w:color w:val="767171"/>
        <w:sz w:val="20"/>
        <w:szCs w:val="20"/>
      </w:rPr>
      <w:t>Calle 12 No. 7-65 – Tel: (57-1) 350-6700 – Bogotá D.C. – Colombia</w:t>
    </w:r>
  </w:p>
  <w:p w14:paraId="0741491A" w14:textId="77777777" w:rsidR="00402B4D" w:rsidRPr="00A52A28" w:rsidRDefault="00402B4D" w:rsidP="00457D27">
    <w:pPr>
      <w:pStyle w:val="Piedepgina"/>
      <w:jc w:val="center"/>
      <w:rPr>
        <w:rFonts w:ascii="Century Gothic" w:hAnsi="Century Gothic"/>
        <w:color w:val="767171"/>
        <w:sz w:val="20"/>
        <w:szCs w:val="20"/>
      </w:rPr>
    </w:pPr>
    <w:r w:rsidRPr="00A52A28">
      <w:rPr>
        <w:rFonts w:ascii="Century Gothic" w:hAnsi="Century Gothic"/>
        <w:color w:val="767171"/>
        <w:sz w:val="20"/>
        <w:szCs w:val="20"/>
      </w:rPr>
      <w:t>www.consejodeestado.gov.co</w:t>
    </w:r>
  </w:p>
  <w:p w14:paraId="6E9E165A" w14:textId="77777777" w:rsidR="00402B4D" w:rsidRDefault="00402B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499FC" w14:textId="77777777" w:rsidR="00A2442D" w:rsidRDefault="00A2442D">
      <w:r>
        <w:separator/>
      </w:r>
    </w:p>
  </w:footnote>
  <w:footnote w:type="continuationSeparator" w:id="0">
    <w:p w14:paraId="7A20563C" w14:textId="77777777" w:rsidR="00A2442D" w:rsidRDefault="00A2442D">
      <w:r>
        <w:continuationSeparator/>
      </w:r>
    </w:p>
  </w:footnote>
  <w:footnote w:id="1">
    <w:p w14:paraId="31C621FE" w14:textId="77777777" w:rsidR="00402B4D" w:rsidRPr="00084AB9" w:rsidRDefault="00402B4D">
      <w:pPr>
        <w:pStyle w:val="Textonotapie"/>
        <w:rPr>
          <w:rFonts w:ascii="Century Gothic" w:hAnsi="Century Gothic"/>
          <w:lang w:val="es-CO"/>
        </w:rPr>
      </w:pPr>
      <w:r>
        <w:rPr>
          <w:rStyle w:val="Refdenotaalpie"/>
        </w:rPr>
        <w:footnoteRef/>
      </w:r>
      <w:r>
        <w:t xml:space="preserve"> </w:t>
      </w:r>
      <w:r w:rsidRPr="00B40307">
        <w:rPr>
          <w:rFonts w:ascii="Century Gothic" w:hAnsi="Century Gothic"/>
        </w:rPr>
        <w:t>Folio</w:t>
      </w:r>
      <w:r>
        <w:rPr>
          <w:rFonts w:ascii="Century Gothic" w:hAnsi="Century Gothic"/>
        </w:rPr>
        <w:t xml:space="preserve"> 199</w:t>
      </w:r>
      <w:r w:rsidRPr="00B40307">
        <w:rPr>
          <w:rFonts w:ascii="Century Gothic" w:hAnsi="Century Gothic"/>
        </w:rPr>
        <w:t xml:space="preserve"> del cuaderno 1.</w:t>
      </w:r>
    </w:p>
  </w:footnote>
  <w:footnote w:id="2">
    <w:p w14:paraId="1912E338" w14:textId="77777777" w:rsidR="00402B4D" w:rsidRPr="00B40307" w:rsidRDefault="00402B4D">
      <w:pPr>
        <w:pStyle w:val="Textonotapie"/>
        <w:rPr>
          <w:rFonts w:ascii="Century Gothic" w:hAnsi="Century Gothic"/>
          <w:lang w:val="es-CO"/>
        </w:rPr>
      </w:pPr>
      <w:r w:rsidRPr="00B40307">
        <w:rPr>
          <w:rStyle w:val="Refdenotaalpie"/>
          <w:rFonts w:ascii="Century Gothic" w:hAnsi="Century Gothic"/>
        </w:rPr>
        <w:footnoteRef/>
      </w:r>
      <w:r w:rsidRPr="00B40307">
        <w:rPr>
          <w:rFonts w:ascii="Century Gothic" w:hAnsi="Century Gothic"/>
        </w:rPr>
        <w:t xml:space="preserve"> Folios 200-203 del cuaderno 1.</w:t>
      </w:r>
    </w:p>
  </w:footnote>
  <w:footnote w:id="3">
    <w:p w14:paraId="04A39BF0" w14:textId="77777777" w:rsidR="00402B4D" w:rsidRPr="00B40307" w:rsidRDefault="00402B4D">
      <w:pPr>
        <w:pStyle w:val="Textonotapie"/>
        <w:rPr>
          <w:rFonts w:ascii="Century Gothic" w:hAnsi="Century Gothic"/>
          <w:lang w:val="es-CO"/>
        </w:rPr>
      </w:pPr>
      <w:r w:rsidRPr="00B40307">
        <w:rPr>
          <w:rStyle w:val="Refdenotaalpie"/>
          <w:rFonts w:ascii="Century Gothic" w:hAnsi="Century Gothic"/>
        </w:rPr>
        <w:footnoteRef/>
      </w:r>
      <w:r w:rsidRPr="00B40307">
        <w:rPr>
          <w:rFonts w:ascii="Century Gothic" w:hAnsi="Century Gothic"/>
        </w:rPr>
        <w:t xml:space="preserve"> Folio 206 del cuaderno 1.</w:t>
      </w:r>
    </w:p>
  </w:footnote>
  <w:footnote w:id="4">
    <w:p w14:paraId="13A1E955" w14:textId="77777777" w:rsidR="00402B4D" w:rsidRPr="00B40307" w:rsidRDefault="00402B4D">
      <w:pPr>
        <w:pStyle w:val="Textonotapie"/>
        <w:rPr>
          <w:rFonts w:ascii="Century Gothic" w:hAnsi="Century Gothic"/>
          <w:lang w:val="es-CO"/>
        </w:rPr>
      </w:pPr>
      <w:r w:rsidRPr="00B40307">
        <w:rPr>
          <w:rStyle w:val="Refdenotaalpie"/>
          <w:rFonts w:ascii="Century Gothic" w:hAnsi="Century Gothic"/>
        </w:rPr>
        <w:footnoteRef/>
      </w:r>
      <w:r w:rsidRPr="00B40307">
        <w:rPr>
          <w:rFonts w:ascii="Century Gothic" w:hAnsi="Century Gothic"/>
        </w:rPr>
        <w:t xml:space="preserve"> Folio 251 del cuaderno 1. </w:t>
      </w:r>
    </w:p>
  </w:footnote>
  <w:footnote w:id="5">
    <w:p w14:paraId="45811C9F" w14:textId="77777777" w:rsidR="00402B4D" w:rsidRPr="00B40307" w:rsidRDefault="00402B4D">
      <w:pPr>
        <w:pStyle w:val="Textonotapie"/>
        <w:rPr>
          <w:rFonts w:ascii="Century Gothic" w:hAnsi="Century Gothic"/>
          <w:lang w:val="es-CO"/>
        </w:rPr>
      </w:pPr>
      <w:r w:rsidRPr="00B40307">
        <w:rPr>
          <w:rStyle w:val="Refdenotaalpie"/>
          <w:rFonts w:ascii="Century Gothic" w:hAnsi="Century Gothic"/>
        </w:rPr>
        <w:footnoteRef/>
      </w:r>
      <w:r w:rsidRPr="00B40307">
        <w:rPr>
          <w:rFonts w:ascii="Century Gothic" w:hAnsi="Century Gothic"/>
        </w:rPr>
        <w:t xml:space="preserve"> </w:t>
      </w:r>
      <w:r w:rsidRPr="00B40307">
        <w:rPr>
          <w:rFonts w:ascii="Century Gothic" w:hAnsi="Century Gothic"/>
          <w:lang w:val="es-CO"/>
        </w:rPr>
        <w:t xml:space="preserve">Folio 259 del cuaderno 1. </w:t>
      </w:r>
    </w:p>
  </w:footnote>
  <w:footnote w:id="6">
    <w:p w14:paraId="0533E931" w14:textId="77777777" w:rsidR="00402B4D" w:rsidRPr="00B40307" w:rsidRDefault="00402B4D">
      <w:pPr>
        <w:pStyle w:val="Textonotapie"/>
        <w:rPr>
          <w:lang w:val="es-CO"/>
        </w:rPr>
      </w:pPr>
      <w:r w:rsidRPr="00B40307">
        <w:rPr>
          <w:rStyle w:val="Refdenotaalpie"/>
          <w:rFonts w:ascii="Century Gothic" w:hAnsi="Century Gothic"/>
        </w:rPr>
        <w:footnoteRef/>
      </w:r>
      <w:r w:rsidRPr="00B40307">
        <w:rPr>
          <w:rFonts w:ascii="Century Gothic" w:hAnsi="Century Gothic"/>
        </w:rPr>
        <w:t xml:space="preserve"> </w:t>
      </w:r>
      <w:r w:rsidRPr="00B40307">
        <w:rPr>
          <w:rFonts w:ascii="Century Gothic" w:hAnsi="Century Gothic"/>
          <w:lang w:val="es-CO"/>
        </w:rPr>
        <w:t>Folios 278-292 del cuaderno 1.</w:t>
      </w:r>
    </w:p>
  </w:footnote>
  <w:footnote w:id="7">
    <w:p w14:paraId="33859FB8" w14:textId="77777777" w:rsidR="00402B4D" w:rsidRPr="00FD4BA2" w:rsidRDefault="00402B4D">
      <w:pPr>
        <w:pStyle w:val="Textonotapie"/>
        <w:rPr>
          <w:rFonts w:ascii="Century Gothic" w:hAnsi="Century Gothic"/>
          <w:lang w:val="es-CO"/>
        </w:rPr>
      </w:pPr>
      <w:r w:rsidRPr="00FD4BA2">
        <w:rPr>
          <w:rStyle w:val="Refdenotaalpie"/>
          <w:rFonts w:ascii="Century Gothic" w:hAnsi="Century Gothic"/>
        </w:rPr>
        <w:footnoteRef/>
      </w:r>
      <w:r w:rsidRPr="00FD4BA2">
        <w:rPr>
          <w:rFonts w:ascii="Century Gothic" w:hAnsi="Century Gothic"/>
        </w:rPr>
        <w:t xml:space="preserve"> </w:t>
      </w:r>
      <w:r w:rsidRPr="00FD4BA2">
        <w:rPr>
          <w:rFonts w:ascii="Century Gothic" w:hAnsi="Century Gothic"/>
          <w:lang w:val="es-CO"/>
        </w:rPr>
        <w:t>Folios 304-314 del cuaderno 1.</w:t>
      </w:r>
    </w:p>
  </w:footnote>
  <w:footnote w:id="8">
    <w:p w14:paraId="284D220C" w14:textId="77777777" w:rsidR="00402B4D" w:rsidRPr="00FD4BA2" w:rsidRDefault="00402B4D">
      <w:pPr>
        <w:pStyle w:val="Textonotapie"/>
        <w:rPr>
          <w:rFonts w:ascii="Century Gothic" w:hAnsi="Century Gothic"/>
          <w:lang w:val="es-CO"/>
        </w:rPr>
      </w:pPr>
      <w:r w:rsidRPr="00FD4BA2">
        <w:rPr>
          <w:rStyle w:val="Refdenotaalpie"/>
          <w:rFonts w:ascii="Century Gothic" w:hAnsi="Century Gothic"/>
        </w:rPr>
        <w:footnoteRef/>
      </w:r>
      <w:r w:rsidRPr="00FD4BA2">
        <w:rPr>
          <w:rFonts w:ascii="Century Gothic" w:hAnsi="Century Gothic"/>
        </w:rPr>
        <w:t xml:space="preserve"> </w:t>
      </w:r>
      <w:r w:rsidRPr="00FD4BA2">
        <w:rPr>
          <w:rFonts w:ascii="Century Gothic" w:hAnsi="Century Gothic"/>
          <w:lang w:val="es-CO"/>
        </w:rPr>
        <w:t xml:space="preserve">Folios 506-516 del cuaderno del Consejo de Estado. </w:t>
      </w:r>
    </w:p>
  </w:footnote>
  <w:footnote w:id="9">
    <w:p w14:paraId="321FF5C9" w14:textId="77777777" w:rsidR="00402B4D" w:rsidRPr="00F75F9C" w:rsidRDefault="00402B4D">
      <w:pPr>
        <w:pStyle w:val="Textonotapie"/>
        <w:rPr>
          <w:rFonts w:ascii="Century Gothic" w:hAnsi="Century Gothic"/>
          <w:lang w:val="es-CO"/>
        </w:rPr>
      </w:pPr>
      <w:r w:rsidRPr="00F75F9C">
        <w:rPr>
          <w:rStyle w:val="Refdenotaalpie"/>
          <w:rFonts w:ascii="Century Gothic" w:hAnsi="Century Gothic"/>
        </w:rPr>
        <w:footnoteRef/>
      </w:r>
      <w:r w:rsidRPr="00F75F9C">
        <w:rPr>
          <w:rFonts w:ascii="Century Gothic" w:hAnsi="Century Gothic"/>
        </w:rPr>
        <w:t xml:space="preserve"> </w:t>
      </w:r>
      <w:r w:rsidRPr="00F75F9C">
        <w:rPr>
          <w:rFonts w:ascii="Century Gothic" w:hAnsi="Century Gothic"/>
          <w:lang w:val="es-CO"/>
        </w:rPr>
        <w:t xml:space="preserve">Folios 512 del cuaderno del Consejo de Estado. </w:t>
      </w:r>
    </w:p>
  </w:footnote>
  <w:footnote w:id="10">
    <w:p w14:paraId="0F24E82E" w14:textId="77777777" w:rsidR="00402B4D" w:rsidRPr="00186E19" w:rsidRDefault="00402B4D" w:rsidP="00D05141">
      <w:pPr>
        <w:pStyle w:val="Textonotapie"/>
        <w:rPr>
          <w:rFonts w:ascii="Century Gothic" w:hAnsi="Century Gothic"/>
        </w:rPr>
      </w:pPr>
      <w:r w:rsidRPr="00186E19">
        <w:rPr>
          <w:rStyle w:val="Refdenotaalpie"/>
          <w:rFonts w:ascii="Century Gothic" w:hAnsi="Century Gothic"/>
        </w:rPr>
        <w:footnoteRef/>
      </w:r>
      <w:r w:rsidRPr="00186E19">
        <w:rPr>
          <w:rFonts w:ascii="Century Gothic" w:hAnsi="Century Gothic"/>
        </w:rPr>
        <w:t xml:space="preserve"> Folios 518 y 519 del cuaderno del Consejo de Estado.</w:t>
      </w:r>
    </w:p>
  </w:footnote>
  <w:footnote w:id="11">
    <w:p w14:paraId="15EBDD1E" w14:textId="77777777" w:rsidR="00402B4D" w:rsidRPr="00186E19" w:rsidRDefault="00402B4D">
      <w:pPr>
        <w:pStyle w:val="Textonotapie"/>
        <w:rPr>
          <w:lang w:val="es-CO"/>
        </w:rPr>
      </w:pPr>
      <w:r w:rsidRPr="00186E19">
        <w:rPr>
          <w:rStyle w:val="Refdenotaalpie"/>
          <w:rFonts w:ascii="Century Gothic" w:hAnsi="Century Gothic"/>
        </w:rPr>
        <w:footnoteRef/>
      </w:r>
      <w:r w:rsidRPr="00186E19">
        <w:rPr>
          <w:rFonts w:ascii="Century Gothic" w:hAnsi="Century Gothic"/>
        </w:rPr>
        <w:t xml:space="preserve"> </w:t>
      </w:r>
      <w:r w:rsidR="00777EA4" w:rsidRPr="00186E19">
        <w:rPr>
          <w:rFonts w:ascii="Century Gothic" w:hAnsi="Century Gothic"/>
        </w:rPr>
        <w:t>Folios</w:t>
      </w:r>
      <w:r w:rsidR="00777EA4" w:rsidRPr="00186E19">
        <w:rPr>
          <w:rFonts w:ascii="Century Gothic" w:hAnsi="Century Gothic"/>
          <w:lang w:val="es-CO"/>
        </w:rPr>
        <w:t xml:space="preserve"> </w:t>
      </w:r>
      <w:r w:rsidRPr="00186E19">
        <w:rPr>
          <w:rFonts w:ascii="Century Gothic" w:hAnsi="Century Gothic"/>
          <w:lang w:val="es-CO"/>
        </w:rPr>
        <w:t xml:space="preserve">526-540 </w:t>
      </w:r>
      <w:r w:rsidRPr="00186E19">
        <w:rPr>
          <w:rFonts w:ascii="Century Gothic" w:hAnsi="Century Gothic"/>
        </w:rPr>
        <w:t>del cuaderno del Consejo de Estado.</w:t>
      </w:r>
    </w:p>
  </w:footnote>
  <w:footnote w:id="12">
    <w:p w14:paraId="148E886A" w14:textId="77777777" w:rsidR="00402B4D" w:rsidRPr="007D6CC6" w:rsidRDefault="00402B4D">
      <w:pPr>
        <w:pStyle w:val="Textonotapie"/>
        <w:rPr>
          <w:rFonts w:ascii="Century Gothic" w:hAnsi="Century Gothic"/>
          <w:lang w:val="es-CO"/>
        </w:rPr>
      </w:pPr>
      <w:r w:rsidRPr="007D6CC6">
        <w:rPr>
          <w:rStyle w:val="Refdenotaalpie"/>
          <w:rFonts w:ascii="Century Gothic" w:hAnsi="Century Gothic"/>
        </w:rPr>
        <w:footnoteRef/>
      </w:r>
      <w:r w:rsidRPr="007D6CC6">
        <w:rPr>
          <w:rFonts w:ascii="Century Gothic" w:hAnsi="Century Gothic"/>
        </w:rPr>
        <w:t xml:space="preserve"> Folios 549-566 del cuaderno del Consejo de Estado. </w:t>
      </w:r>
    </w:p>
  </w:footnote>
  <w:footnote w:id="13">
    <w:p w14:paraId="3B140D0B" w14:textId="77777777" w:rsidR="00402B4D" w:rsidRPr="007D6CC6" w:rsidRDefault="00402B4D">
      <w:pPr>
        <w:pStyle w:val="Textonotapie"/>
        <w:rPr>
          <w:rFonts w:ascii="Century Gothic" w:hAnsi="Century Gothic"/>
          <w:lang w:val="es-CO"/>
        </w:rPr>
      </w:pPr>
      <w:r w:rsidRPr="007D6CC6">
        <w:rPr>
          <w:rStyle w:val="Refdenotaalpie"/>
          <w:rFonts w:ascii="Century Gothic" w:hAnsi="Century Gothic"/>
        </w:rPr>
        <w:footnoteRef/>
      </w:r>
      <w:r w:rsidRPr="007D6CC6">
        <w:rPr>
          <w:rFonts w:ascii="Century Gothic" w:hAnsi="Century Gothic"/>
        </w:rPr>
        <w:t xml:space="preserve"> Folios </w:t>
      </w:r>
      <w:r w:rsidRPr="007D6CC6">
        <w:rPr>
          <w:rFonts w:ascii="Century Gothic" w:hAnsi="Century Gothic"/>
          <w:lang w:val="es-CO"/>
        </w:rPr>
        <w:t xml:space="preserve">568-585 del cuaderno del Consejo de Estado. </w:t>
      </w:r>
    </w:p>
  </w:footnote>
  <w:footnote w:id="14">
    <w:p w14:paraId="0B45443A" w14:textId="77777777" w:rsidR="00402B4D" w:rsidRPr="007D6CC6" w:rsidRDefault="00402B4D">
      <w:pPr>
        <w:pStyle w:val="Textonotapie"/>
        <w:rPr>
          <w:rFonts w:ascii="Century Gothic" w:hAnsi="Century Gothic"/>
          <w:lang w:val="es-CO"/>
        </w:rPr>
      </w:pPr>
      <w:r w:rsidRPr="007D6CC6">
        <w:rPr>
          <w:rStyle w:val="Refdenotaalpie"/>
          <w:rFonts w:ascii="Century Gothic" w:hAnsi="Century Gothic"/>
        </w:rPr>
        <w:footnoteRef/>
      </w:r>
      <w:r w:rsidRPr="007D6CC6">
        <w:rPr>
          <w:rFonts w:ascii="Century Gothic" w:hAnsi="Century Gothic"/>
        </w:rPr>
        <w:t xml:space="preserve"> </w:t>
      </w:r>
      <w:r w:rsidRPr="007D6CC6">
        <w:rPr>
          <w:rFonts w:ascii="Century Gothic" w:hAnsi="Century Gothic"/>
          <w:lang w:val="es-CO"/>
        </w:rPr>
        <w:t>Folios 587 y 588 del cuaderno del Consejo de Estado</w:t>
      </w:r>
    </w:p>
  </w:footnote>
  <w:footnote w:id="15">
    <w:p w14:paraId="7B5727C1" w14:textId="77777777" w:rsidR="007D6CC6" w:rsidRPr="007D6CC6" w:rsidRDefault="007D6CC6">
      <w:pPr>
        <w:pStyle w:val="Textonotapie"/>
        <w:rPr>
          <w:lang w:val="es-CO"/>
        </w:rPr>
      </w:pPr>
      <w:r w:rsidRPr="007D6CC6">
        <w:rPr>
          <w:rStyle w:val="Refdenotaalpie"/>
          <w:rFonts w:ascii="Century Gothic" w:hAnsi="Century Gothic"/>
        </w:rPr>
        <w:footnoteRef/>
      </w:r>
      <w:r w:rsidRPr="007D6CC6">
        <w:rPr>
          <w:rFonts w:ascii="Century Gothic" w:hAnsi="Century Gothic"/>
        </w:rPr>
        <w:t xml:space="preserve"> </w:t>
      </w:r>
      <w:r w:rsidRPr="007D6CC6">
        <w:rPr>
          <w:rFonts w:ascii="Century Gothic" w:hAnsi="Century Gothic"/>
          <w:lang w:val="es-CO"/>
        </w:rPr>
        <w:t>Folio 592 del cuaderno del Consejo de Estado.</w:t>
      </w:r>
    </w:p>
  </w:footnote>
  <w:footnote w:id="16">
    <w:p w14:paraId="599D0A47" w14:textId="77777777" w:rsidR="00402B4D" w:rsidRPr="00A52238" w:rsidRDefault="00402B4D" w:rsidP="00126CDE">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Artículo</w:t>
      </w:r>
      <w:r>
        <w:rPr>
          <w:rFonts w:ascii="Century Gothic" w:hAnsi="Century Gothic"/>
        </w:rPr>
        <w:t>s 75 de la Ley 80 de 1993 y 82 del Código Contencioso Administrativo.</w:t>
      </w:r>
    </w:p>
  </w:footnote>
  <w:footnote w:id="17">
    <w:p w14:paraId="78A026AC" w14:textId="77777777" w:rsidR="00402B4D" w:rsidRPr="00CA15E7" w:rsidRDefault="00402B4D">
      <w:pPr>
        <w:pStyle w:val="Textonotapie"/>
        <w:rPr>
          <w:rFonts w:ascii="Century Gothic" w:hAnsi="Century Gothic"/>
          <w:lang w:val="es-CO"/>
        </w:rPr>
      </w:pPr>
      <w:r w:rsidRPr="00CA15E7">
        <w:rPr>
          <w:rStyle w:val="Refdenotaalpie"/>
          <w:rFonts w:ascii="Century Gothic" w:hAnsi="Century Gothic"/>
        </w:rPr>
        <w:footnoteRef/>
      </w:r>
      <w:r w:rsidRPr="00CA15E7">
        <w:rPr>
          <w:rFonts w:ascii="Century Gothic" w:hAnsi="Century Gothic"/>
        </w:rPr>
        <w:t xml:space="preserve"> </w:t>
      </w:r>
      <w:r w:rsidRPr="00CA15E7">
        <w:rPr>
          <w:rFonts w:ascii="Century Gothic" w:hAnsi="Century Gothic"/>
          <w:lang w:val="es-CO"/>
        </w:rPr>
        <w:t>Folios 2172-1307 del cuaderno 8 de pruebas.</w:t>
      </w:r>
    </w:p>
  </w:footnote>
  <w:footnote w:id="18">
    <w:p w14:paraId="32F88F5E" w14:textId="77777777" w:rsidR="00402B4D" w:rsidRPr="00960651" w:rsidRDefault="00402B4D">
      <w:pPr>
        <w:pStyle w:val="Textonotapie"/>
        <w:rPr>
          <w:rFonts w:ascii="Century Gothic" w:hAnsi="Century Gothic"/>
          <w:lang w:val="es-CO"/>
        </w:rPr>
      </w:pPr>
      <w:r w:rsidRPr="00CA15E7">
        <w:rPr>
          <w:rStyle w:val="Refdenotaalpie"/>
          <w:rFonts w:ascii="Century Gothic" w:hAnsi="Century Gothic"/>
        </w:rPr>
        <w:footnoteRef/>
      </w:r>
      <w:r w:rsidRPr="00CA15E7">
        <w:rPr>
          <w:rFonts w:ascii="Century Gothic" w:hAnsi="Century Gothic"/>
        </w:rPr>
        <w:t xml:space="preserve"> </w:t>
      </w:r>
      <w:r w:rsidRPr="00CA15E7">
        <w:rPr>
          <w:rFonts w:ascii="Century Gothic" w:hAnsi="Century Gothic"/>
          <w:lang w:val="es-CO"/>
        </w:rPr>
        <w:t xml:space="preserve">Folio 1284 del cuaderno </w:t>
      </w:r>
      <w:r w:rsidRPr="00960651">
        <w:rPr>
          <w:rFonts w:ascii="Century Gothic" w:hAnsi="Century Gothic"/>
          <w:lang w:val="es-CO"/>
        </w:rPr>
        <w:t>8 de pruebas.</w:t>
      </w:r>
    </w:p>
  </w:footnote>
  <w:footnote w:id="19">
    <w:p w14:paraId="04A0DECC" w14:textId="77777777" w:rsidR="00402B4D" w:rsidRPr="00CA15E7" w:rsidRDefault="00402B4D" w:rsidP="00A5288A">
      <w:pPr>
        <w:pStyle w:val="Textonotapie"/>
        <w:rPr>
          <w:rFonts w:ascii="Century Gothic" w:hAnsi="Century Gothic" w:cs="Arial"/>
          <w:lang w:val="es-CO"/>
        </w:rPr>
      </w:pPr>
      <w:r w:rsidRPr="00960651">
        <w:rPr>
          <w:rStyle w:val="Refdenotaalpie"/>
          <w:rFonts w:ascii="Century Gothic" w:hAnsi="Century Gothic" w:cs="Arial"/>
        </w:rPr>
        <w:footnoteRef/>
      </w:r>
      <w:r w:rsidRPr="00960651">
        <w:rPr>
          <w:rFonts w:ascii="Century Gothic" w:hAnsi="Century Gothic" w:cs="Arial"/>
        </w:rPr>
        <w:t xml:space="preserve"> </w:t>
      </w:r>
      <w:r w:rsidRPr="00960651">
        <w:rPr>
          <w:rFonts w:ascii="Century Gothic" w:hAnsi="Century Gothic" w:cs="Arial"/>
          <w:lang w:val="es-CO"/>
        </w:rPr>
        <w:t xml:space="preserve">Folios 104 y ss. del cuaderno 3 y </w:t>
      </w:r>
      <w:r w:rsidRPr="00960651">
        <w:rPr>
          <w:rFonts w:ascii="Century Gothic" w:hAnsi="Century Gothic" w:cs="Arial"/>
          <w:bCs/>
        </w:rPr>
        <w:t>234 cuaderno 1.</w:t>
      </w:r>
    </w:p>
  </w:footnote>
  <w:footnote w:id="20">
    <w:p w14:paraId="2A8FDCD3" w14:textId="77777777" w:rsidR="00402B4D" w:rsidRPr="00CA15E7" w:rsidRDefault="00402B4D" w:rsidP="00CA15E7">
      <w:pPr>
        <w:pStyle w:val="Textonotapie"/>
        <w:jc w:val="both"/>
        <w:rPr>
          <w:rFonts w:ascii="Century Gothic" w:hAnsi="Century Gothic" w:cs="Arial"/>
          <w:lang w:val="es-CO"/>
        </w:rPr>
      </w:pPr>
      <w:r w:rsidRPr="00CA15E7">
        <w:rPr>
          <w:rStyle w:val="Refdenotaalpie"/>
          <w:rFonts w:ascii="Century Gothic" w:hAnsi="Century Gothic"/>
        </w:rPr>
        <w:footnoteRef/>
      </w:r>
      <w:r w:rsidRPr="00CA15E7">
        <w:rPr>
          <w:rFonts w:ascii="Century Gothic" w:hAnsi="Century Gothic"/>
        </w:rPr>
        <w:t xml:space="preserve"> </w:t>
      </w:r>
      <w:r w:rsidRPr="00CA15E7">
        <w:rPr>
          <w:rFonts w:ascii="Century Gothic" w:hAnsi="Century Gothic" w:cs="Arial"/>
        </w:rPr>
        <w:t>En lo que atañe a los requisitos jurídicos ambas proponentes cumplieron como co</w:t>
      </w:r>
      <w:r w:rsidR="00E21D91">
        <w:rPr>
          <w:rFonts w:ascii="Century Gothic" w:hAnsi="Century Gothic" w:cs="Arial"/>
        </w:rPr>
        <w:t>nsta en los informes. F</w:t>
      </w:r>
      <w:r w:rsidRPr="00CA15E7">
        <w:rPr>
          <w:rFonts w:ascii="Century Gothic" w:hAnsi="Century Gothic" w:cs="Arial"/>
        </w:rPr>
        <w:t xml:space="preserve">olios 1254-1260 del cuaderno 8. </w:t>
      </w:r>
    </w:p>
    <w:p w14:paraId="6C1764A4" w14:textId="77777777" w:rsidR="00402B4D" w:rsidRPr="00CA15E7" w:rsidRDefault="00402B4D">
      <w:pPr>
        <w:pStyle w:val="Textonotapie"/>
        <w:rPr>
          <w:lang w:val="es-CO"/>
        </w:rPr>
      </w:pPr>
    </w:p>
  </w:footnote>
  <w:footnote w:id="21">
    <w:p w14:paraId="587CC72F" w14:textId="77777777" w:rsidR="00402B4D" w:rsidRPr="00DB48F4" w:rsidRDefault="00402B4D">
      <w:pPr>
        <w:pStyle w:val="Textonotapie"/>
        <w:rPr>
          <w:rFonts w:ascii="Century Gothic" w:hAnsi="Century Gothic"/>
          <w:lang w:val="es-CO"/>
        </w:rPr>
      </w:pPr>
      <w:r w:rsidRPr="00DB48F4">
        <w:rPr>
          <w:rStyle w:val="Refdenotaalpie"/>
          <w:rFonts w:ascii="Century Gothic" w:hAnsi="Century Gothic"/>
        </w:rPr>
        <w:footnoteRef/>
      </w:r>
      <w:r w:rsidRPr="00DB48F4">
        <w:rPr>
          <w:rFonts w:ascii="Century Gothic" w:hAnsi="Century Gothic"/>
        </w:rPr>
        <w:t xml:space="preserve"> Folio 1207-1226 del cuaderno 8 de pruebas. </w:t>
      </w:r>
    </w:p>
  </w:footnote>
  <w:footnote w:id="22">
    <w:p w14:paraId="45F24D96" w14:textId="77777777" w:rsidR="00402B4D" w:rsidRPr="00DB48F4" w:rsidRDefault="00402B4D">
      <w:pPr>
        <w:pStyle w:val="Textonotapie"/>
        <w:rPr>
          <w:rFonts w:ascii="Century Gothic" w:hAnsi="Century Gothic"/>
          <w:lang w:val="es-CO"/>
        </w:rPr>
      </w:pPr>
      <w:r w:rsidRPr="00DB48F4">
        <w:rPr>
          <w:rStyle w:val="Refdenotaalpie"/>
          <w:rFonts w:ascii="Century Gothic" w:hAnsi="Century Gothic"/>
        </w:rPr>
        <w:footnoteRef/>
      </w:r>
      <w:r w:rsidRPr="00DB48F4">
        <w:rPr>
          <w:rFonts w:ascii="Century Gothic" w:hAnsi="Century Gothic"/>
        </w:rPr>
        <w:t xml:space="preserve"> </w:t>
      </w:r>
      <w:r w:rsidRPr="00DB48F4">
        <w:rPr>
          <w:rFonts w:ascii="Century Gothic" w:hAnsi="Century Gothic"/>
          <w:lang w:val="es-CO"/>
        </w:rPr>
        <w:t>Folio 1204 del cuaderno 8 de pruebas.</w:t>
      </w:r>
    </w:p>
  </w:footnote>
  <w:footnote w:id="23">
    <w:p w14:paraId="7B974277" w14:textId="77777777" w:rsidR="00402B4D" w:rsidRPr="00DB48F4" w:rsidRDefault="00402B4D">
      <w:pPr>
        <w:pStyle w:val="Textonotapie"/>
        <w:rPr>
          <w:rFonts w:ascii="Century Gothic" w:hAnsi="Century Gothic"/>
          <w:lang w:val="es-CO"/>
        </w:rPr>
      </w:pPr>
      <w:r w:rsidRPr="00DB48F4">
        <w:rPr>
          <w:rStyle w:val="Refdenotaalpie"/>
          <w:rFonts w:ascii="Century Gothic" w:hAnsi="Century Gothic"/>
        </w:rPr>
        <w:footnoteRef/>
      </w:r>
      <w:r w:rsidRPr="00DB48F4">
        <w:rPr>
          <w:rFonts w:ascii="Century Gothic" w:hAnsi="Century Gothic"/>
        </w:rPr>
        <w:t xml:space="preserve"> </w:t>
      </w:r>
      <w:r w:rsidRPr="00DB48F4">
        <w:rPr>
          <w:rFonts w:ascii="Century Gothic" w:hAnsi="Century Gothic"/>
          <w:lang w:val="es-CO"/>
        </w:rPr>
        <w:t>Folio 1119 del cuaderno 8 de pruebas</w:t>
      </w:r>
    </w:p>
  </w:footnote>
  <w:footnote w:id="24">
    <w:p w14:paraId="74DDBA4D" w14:textId="77777777" w:rsidR="00402B4D" w:rsidRPr="00CB50BE" w:rsidRDefault="00402B4D">
      <w:pPr>
        <w:pStyle w:val="Textonotapie"/>
        <w:rPr>
          <w:rFonts w:ascii="Century Gothic" w:hAnsi="Century Gothic"/>
          <w:lang w:val="es-CO"/>
        </w:rPr>
      </w:pPr>
      <w:r w:rsidRPr="00CB50BE">
        <w:rPr>
          <w:rStyle w:val="Refdenotaalpie"/>
          <w:rFonts w:ascii="Century Gothic" w:hAnsi="Century Gothic"/>
        </w:rPr>
        <w:footnoteRef/>
      </w:r>
      <w:r w:rsidRPr="00CB50BE">
        <w:rPr>
          <w:rFonts w:ascii="Century Gothic" w:hAnsi="Century Gothic"/>
        </w:rPr>
        <w:t xml:space="preserve"> </w:t>
      </w:r>
      <w:r w:rsidRPr="00CB50BE">
        <w:rPr>
          <w:rFonts w:ascii="Century Gothic" w:hAnsi="Century Gothic"/>
          <w:lang w:val="es-CO"/>
        </w:rPr>
        <w:t>Folios 79 y 80 del cuaderno 2 de pruebas.</w:t>
      </w:r>
    </w:p>
  </w:footnote>
  <w:footnote w:id="25">
    <w:p w14:paraId="79410B8A" w14:textId="77777777" w:rsidR="00402B4D" w:rsidRPr="00CB50BE" w:rsidRDefault="00402B4D">
      <w:pPr>
        <w:pStyle w:val="Textonotapie"/>
        <w:rPr>
          <w:rFonts w:ascii="Century Gothic" w:hAnsi="Century Gothic"/>
          <w:lang w:val="es-CO"/>
        </w:rPr>
      </w:pPr>
      <w:r w:rsidRPr="00CB50BE">
        <w:rPr>
          <w:rStyle w:val="Refdenotaalpie"/>
          <w:rFonts w:ascii="Century Gothic" w:hAnsi="Century Gothic"/>
        </w:rPr>
        <w:footnoteRef/>
      </w:r>
      <w:r w:rsidRPr="00CB50BE">
        <w:rPr>
          <w:rFonts w:ascii="Century Gothic" w:hAnsi="Century Gothic"/>
        </w:rPr>
        <w:t xml:space="preserve"> </w:t>
      </w:r>
      <w:r w:rsidRPr="00CB50BE">
        <w:rPr>
          <w:rFonts w:ascii="Century Gothic" w:hAnsi="Century Gothic" w:cs="Arial"/>
          <w:lang w:val="es-CO"/>
        </w:rPr>
        <w:t>Folio</w:t>
      </w:r>
      <w:r w:rsidRPr="00CB50BE">
        <w:rPr>
          <w:rFonts w:ascii="Century Gothic" w:hAnsi="Century Gothic" w:cs="Arial"/>
          <w:bCs/>
        </w:rPr>
        <w:t xml:space="preserve"> 247 del cuaderno 1.</w:t>
      </w:r>
    </w:p>
  </w:footnote>
  <w:footnote w:id="26">
    <w:p w14:paraId="4F6498CE" w14:textId="77777777" w:rsidR="00402B4D" w:rsidRPr="00CB50BE" w:rsidRDefault="00402B4D">
      <w:pPr>
        <w:pStyle w:val="Textonotapie"/>
        <w:rPr>
          <w:rFonts w:ascii="Century Gothic" w:hAnsi="Century Gothic"/>
          <w:lang w:val="es-CO"/>
        </w:rPr>
      </w:pPr>
      <w:r w:rsidRPr="006B68E8">
        <w:rPr>
          <w:rStyle w:val="Refdenotaalpie"/>
          <w:rFonts w:ascii="Century Gothic" w:hAnsi="Century Gothic"/>
        </w:rPr>
        <w:footnoteRef/>
      </w:r>
      <w:r w:rsidRPr="006B68E8">
        <w:rPr>
          <w:rFonts w:ascii="Century Gothic" w:hAnsi="Century Gothic"/>
        </w:rPr>
        <w:t xml:space="preserve"> </w:t>
      </w:r>
      <w:r w:rsidRPr="00CB50BE">
        <w:rPr>
          <w:rFonts w:ascii="Century Gothic" w:hAnsi="Century Gothic"/>
          <w:lang w:val="es-CO"/>
        </w:rPr>
        <w:t>Folios 232-249 del cuaderno 1</w:t>
      </w:r>
      <w:r w:rsidRPr="006B68E8">
        <w:rPr>
          <w:rFonts w:ascii="Century Gothic" w:hAnsi="Century Gothic"/>
          <w:lang w:val="es-CO"/>
        </w:rPr>
        <w:t>.</w:t>
      </w:r>
    </w:p>
  </w:footnote>
  <w:footnote w:id="27">
    <w:p w14:paraId="6146F16C" w14:textId="77777777" w:rsidR="00402B4D" w:rsidRPr="00280303" w:rsidRDefault="00402B4D" w:rsidP="00280303">
      <w:pPr>
        <w:pStyle w:val="Textonotapie"/>
        <w:rPr>
          <w:rFonts w:ascii="Century Gothic" w:hAnsi="Century Gothic"/>
          <w:lang w:val="es-CO"/>
        </w:rPr>
      </w:pPr>
      <w:r w:rsidRPr="00CB50BE">
        <w:rPr>
          <w:rStyle w:val="Refdenotaalpie"/>
          <w:rFonts w:ascii="Century Gothic" w:hAnsi="Century Gothic"/>
        </w:rPr>
        <w:footnoteRef/>
      </w:r>
      <w:r w:rsidRPr="00CB50BE">
        <w:rPr>
          <w:rFonts w:ascii="Century Gothic" w:hAnsi="Century Gothic"/>
        </w:rPr>
        <w:t xml:space="preserve"> </w:t>
      </w:r>
      <w:r w:rsidRPr="00CB50BE">
        <w:rPr>
          <w:rFonts w:ascii="Century Gothic" w:hAnsi="Century Gothic"/>
          <w:lang w:val="es-CO"/>
        </w:rPr>
        <w:t>Folios 344-347 del cuaderno 2 de pruebas.</w:t>
      </w:r>
    </w:p>
  </w:footnote>
  <w:footnote w:id="28">
    <w:p w14:paraId="79A8AD39" w14:textId="77777777" w:rsidR="00402B4D" w:rsidRPr="00806D78" w:rsidRDefault="00402B4D" w:rsidP="00402B4D">
      <w:pPr>
        <w:pStyle w:val="Textonotapie"/>
        <w:rPr>
          <w:rFonts w:ascii="Century Gothic" w:hAnsi="Century Gothic"/>
          <w:lang w:val="es-CO"/>
        </w:rPr>
      </w:pPr>
      <w:r w:rsidRPr="00806D78">
        <w:rPr>
          <w:rStyle w:val="Refdenotaalpie"/>
          <w:rFonts w:ascii="Century Gothic" w:hAnsi="Century Gothic"/>
        </w:rPr>
        <w:footnoteRef/>
      </w:r>
      <w:r w:rsidRPr="00806D78">
        <w:rPr>
          <w:rFonts w:ascii="Century Gothic" w:hAnsi="Century Gothic"/>
        </w:rPr>
        <w:t xml:space="preserve"> </w:t>
      </w:r>
      <w:r w:rsidRPr="00806D78">
        <w:rPr>
          <w:rFonts w:ascii="Century Gothic" w:hAnsi="Century Gothic"/>
          <w:lang w:val="es-CO"/>
        </w:rPr>
        <w:t>Folio 1204 del cuaderno de pruebas 8.</w:t>
      </w:r>
    </w:p>
  </w:footnote>
  <w:footnote w:id="29">
    <w:p w14:paraId="570A609D" w14:textId="77777777" w:rsidR="00402B4D" w:rsidRPr="00806D78" w:rsidRDefault="00402B4D" w:rsidP="00402B4D">
      <w:pPr>
        <w:pStyle w:val="Textonotapie"/>
        <w:rPr>
          <w:lang w:val="es-CO"/>
        </w:rPr>
      </w:pPr>
      <w:r w:rsidRPr="00806D78">
        <w:rPr>
          <w:rStyle w:val="Refdenotaalpie"/>
          <w:rFonts w:ascii="Century Gothic" w:hAnsi="Century Gothic"/>
        </w:rPr>
        <w:footnoteRef/>
      </w:r>
      <w:r w:rsidRPr="00806D78">
        <w:rPr>
          <w:rFonts w:ascii="Century Gothic" w:hAnsi="Century Gothic"/>
        </w:rPr>
        <w:t xml:space="preserve"> </w:t>
      </w:r>
      <w:r w:rsidRPr="00806D78">
        <w:rPr>
          <w:rFonts w:ascii="Century Gothic" w:hAnsi="Century Gothic"/>
          <w:lang w:val="es-CO"/>
        </w:rPr>
        <w:t>Folio 1114 del cuaderno de pruebas 8.</w:t>
      </w:r>
    </w:p>
  </w:footnote>
  <w:footnote w:id="30">
    <w:p w14:paraId="44293915" w14:textId="77777777" w:rsidR="00102D3D" w:rsidRPr="0087681C" w:rsidRDefault="00102D3D" w:rsidP="00B16016">
      <w:pPr>
        <w:pStyle w:val="Textonotapie"/>
        <w:jc w:val="both"/>
        <w:rPr>
          <w:rFonts w:ascii="Century Gothic" w:hAnsi="Century Gothic"/>
          <w:lang w:val="es-CO"/>
        </w:rPr>
      </w:pPr>
      <w:r w:rsidRPr="0087681C">
        <w:rPr>
          <w:rStyle w:val="Refdenotaalpie"/>
          <w:rFonts w:ascii="Century Gothic" w:hAnsi="Century Gothic"/>
        </w:rPr>
        <w:footnoteRef/>
      </w:r>
      <w:r w:rsidRPr="0087681C">
        <w:rPr>
          <w:rFonts w:ascii="Century Gothic" w:hAnsi="Century Gothic"/>
        </w:rPr>
        <w:t xml:space="preserve"> </w:t>
      </w:r>
      <w:r w:rsidRPr="0087681C">
        <w:rPr>
          <w:rFonts w:ascii="Century Gothic" w:hAnsi="Century Gothic"/>
          <w:lang w:val="es-CO"/>
        </w:rPr>
        <w:t>Consejo de Estado, Sala de lo Contencioso Administrativo, Sección Tercera, Sentencia de 12 de junio de 2014, exp. 21.324</w:t>
      </w:r>
      <w:r w:rsidR="0087681C">
        <w:rPr>
          <w:rFonts w:ascii="Century Gothic" w:hAnsi="Century Gothic"/>
          <w:lang w:val="es-CO"/>
        </w:rPr>
        <w:t>. Caso en el que, “</w:t>
      </w:r>
      <w:r w:rsidR="0087681C" w:rsidRPr="0087681C">
        <w:rPr>
          <w:rFonts w:ascii="Century Gothic" w:hAnsi="Century Gothic"/>
        </w:rPr>
        <w:t xml:space="preserve">con fundamento y apoyo en el </w:t>
      </w:r>
      <w:r w:rsidR="0087681C" w:rsidRPr="0087681C">
        <w:rPr>
          <w:rFonts w:ascii="Century Gothic" w:hAnsi="Century Gothic"/>
          <w:i/>
        </w:rPr>
        <w:t>arbitrio iudicis</w:t>
      </w:r>
      <w:r w:rsidR="0087681C" w:rsidRPr="0087681C">
        <w:rPr>
          <w:rFonts w:ascii="Century Gothic" w:hAnsi="Century Gothic"/>
        </w:rPr>
        <w:t> y el principio de equidad, confirmará la decisión de primera instancia de liquidar la indemnización de perjuicios en un diez por ciento (10%) del valor de la oferta presentada</w:t>
      </w:r>
      <w:r w:rsidR="0087681C">
        <w:rPr>
          <w:rFonts w:ascii="Century Gothic" w:hAnsi="Century Gothic"/>
        </w:rPr>
        <w:t xml:space="preserve">”. </w:t>
      </w:r>
    </w:p>
  </w:footnote>
  <w:footnote w:id="31">
    <w:p w14:paraId="7C7FB07E" w14:textId="77777777" w:rsidR="00102D3D" w:rsidRPr="0045252B" w:rsidRDefault="00102D3D" w:rsidP="00B16016">
      <w:pPr>
        <w:pStyle w:val="Textonotapie"/>
        <w:jc w:val="both"/>
        <w:rPr>
          <w:rFonts w:ascii="Century Gothic" w:hAnsi="Century Gothic"/>
          <w:lang w:val="es-CO"/>
        </w:rPr>
      </w:pPr>
      <w:r w:rsidRPr="0087681C">
        <w:rPr>
          <w:rStyle w:val="Refdenotaalpie"/>
          <w:rFonts w:ascii="Century Gothic" w:hAnsi="Century Gothic"/>
        </w:rPr>
        <w:footnoteRef/>
      </w:r>
      <w:r w:rsidRPr="0087681C">
        <w:rPr>
          <w:rFonts w:ascii="Century Gothic" w:hAnsi="Century Gothic"/>
        </w:rPr>
        <w:t xml:space="preserve"> </w:t>
      </w:r>
      <w:r w:rsidRPr="0087681C">
        <w:rPr>
          <w:rFonts w:ascii="Century Gothic" w:hAnsi="Century Gothic"/>
          <w:lang w:val="es-CO"/>
        </w:rPr>
        <w:t xml:space="preserve">Consejo de Estado, Sala de lo Contencioso Administrativo, Sección Tercera, Sentencia </w:t>
      </w:r>
      <w:r w:rsidRPr="0045252B">
        <w:rPr>
          <w:rFonts w:ascii="Century Gothic" w:hAnsi="Century Gothic"/>
          <w:lang w:val="es-CO"/>
        </w:rPr>
        <w:t>22 de mayo de 2013, exp. 24.560</w:t>
      </w:r>
      <w:r w:rsidR="00B16016">
        <w:rPr>
          <w:rFonts w:ascii="Century Gothic" w:hAnsi="Century Gothic"/>
          <w:lang w:val="es-CO"/>
        </w:rPr>
        <w:t>.</w:t>
      </w:r>
    </w:p>
  </w:footnote>
  <w:footnote w:id="32">
    <w:p w14:paraId="49A2D81F" w14:textId="77777777" w:rsidR="0045252B" w:rsidRPr="0045252B" w:rsidRDefault="0045252B" w:rsidP="00B16016">
      <w:pPr>
        <w:pStyle w:val="Textonotapie"/>
        <w:jc w:val="both"/>
        <w:rPr>
          <w:lang w:val="es-CO"/>
        </w:rPr>
      </w:pPr>
      <w:r w:rsidRPr="0045252B">
        <w:rPr>
          <w:rStyle w:val="Refdenotaalpie"/>
          <w:rFonts w:ascii="Century Gothic" w:hAnsi="Century Gothic"/>
        </w:rPr>
        <w:footnoteRef/>
      </w:r>
      <w:r w:rsidRPr="0045252B">
        <w:rPr>
          <w:rFonts w:ascii="Century Gothic" w:hAnsi="Century Gothic"/>
        </w:rPr>
        <w:t xml:space="preserve">  Artículo 177 del Código de Procedimiento Civil (artículo 167 del Código General del Proceso)</w:t>
      </w:r>
      <w:r w:rsidR="00B16016">
        <w:rPr>
          <w:rFonts w:ascii="Century Gothic" w:hAnsi="Century Gothic"/>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76E7"/>
    <w:multiLevelType w:val="hybridMultilevel"/>
    <w:tmpl w:val="BCD24EC0"/>
    <w:lvl w:ilvl="0" w:tplc="0C0A000F">
      <w:start w:val="1"/>
      <w:numFmt w:val="decimal"/>
      <w:lvlText w:val="%1."/>
      <w:lvlJc w:val="left"/>
      <w:pPr>
        <w:ind w:left="51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57"/>
    <w:rsid w:val="00001324"/>
    <w:rsid w:val="00006E81"/>
    <w:rsid w:val="00042163"/>
    <w:rsid w:val="00044FD4"/>
    <w:rsid w:val="000456BF"/>
    <w:rsid w:val="000704DE"/>
    <w:rsid w:val="00084AB9"/>
    <w:rsid w:val="000905D7"/>
    <w:rsid w:val="000962CE"/>
    <w:rsid w:val="000964A0"/>
    <w:rsid w:val="00096544"/>
    <w:rsid w:val="000A0D1F"/>
    <w:rsid w:val="000A7184"/>
    <w:rsid w:val="000B7EE6"/>
    <w:rsid w:val="000C10F7"/>
    <w:rsid w:val="000C130B"/>
    <w:rsid w:val="000C3583"/>
    <w:rsid w:val="000E7713"/>
    <w:rsid w:val="000F0D21"/>
    <w:rsid w:val="000F6D80"/>
    <w:rsid w:val="000F7FFA"/>
    <w:rsid w:val="00102D3D"/>
    <w:rsid w:val="001179F9"/>
    <w:rsid w:val="00126CDE"/>
    <w:rsid w:val="001317F3"/>
    <w:rsid w:val="00131FE5"/>
    <w:rsid w:val="00154706"/>
    <w:rsid w:val="00155826"/>
    <w:rsid w:val="0016546B"/>
    <w:rsid w:val="00176CB9"/>
    <w:rsid w:val="00177AFD"/>
    <w:rsid w:val="00186E19"/>
    <w:rsid w:val="001A7E66"/>
    <w:rsid w:val="001B1BC8"/>
    <w:rsid w:val="001B2977"/>
    <w:rsid w:val="001C0642"/>
    <w:rsid w:val="001C543B"/>
    <w:rsid w:val="001D673A"/>
    <w:rsid w:val="001E771F"/>
    <w:rsid w:val="001F325B"/>
    <w:rsid w:val="00200C84"/>
    <w:rsid w:val="002042A4"/>
    <w:rsid w:val="00217504"/>
    <w:rsid w:val="002327AE"/>
    <w:rsid w:val="002424D5"/>
    <w:rsid w:val="00252F83"/>
    <w:rsid w:val="00272308"/>
    <w:rsid w:val="0027331C"/>
    <w:rsid w:val="00276BE6"/>
    <w:rsid w:val="00280303"/>
    <w:rsid w:val="002953E4"/>
    <w:rsid w:val="0029664F"/>
    <w:rsid w:val="002A2BB3"/>
    <w:rsid w:val="002B17C3"/>
    <w:rsid w:val="002C4601"/>
    <w:rsid w:val="002D18E4"/>
    <w:rsid w:val="00312570"/>
    <w:rsid w:val="00343FF2"/>
    <w:rsid w:val="00350272"/>
    <w:rsid w:val="00372C29"/>
    <w:rsid w:val="003907ED"/>
    <w:rsid w:val="00392888"/>
    <w:rsid w:val="00397490"/>
    <w:rsid w:val="003A0BEF"/>
    <w:rsid w:val="003B505E"/>
    <w:rsid w:val="003B6EA3"/>
    <w:rsid w:val="003D5599"/>
    <w:rsid w:val="003F3124"/>
    <w:rsid w:val="003F7774"/>
    <w:rsid w:val="00402B4D"/>
    <w:rsid w:val="00410DCA"/>
    <w:rsid w:val="004159AF"/>
    <w:rsid w:val="00415D7E"/>
    <w:rsid w:val="0043029B"/>
    <w:rsid w:val="004357D0"/>
    <w:rsid w:val="00435EC0"/>
    <w:rsid w:val="00436041"/>
    <w:rsid w:val="0045189C"/>
    <w:rsid w:val="0045252B"/>
    <w:rsid w:val="00457D27"/>
    <w:rsid w:val="0046032C"/>
    <w:rsid w:val="00470C19"/>
    <w:rsid w:val="00473314"/>
    <w:rsid w:val="00481845"/>
    <w:rsid w:val="0048502F"/>
    <w:rsid w:val="00490062"/>
    <w:rsid w:val="004930C0"/>
    <w:rsid w:val="004959A1"/>
    <w:rsid w:val="00495F6F"/>
    <w:rsid w:val="004A7EC4"/>
    <w:rsid w:val="004C0684"/>
    <w:rsid w:val="004D6191"/>
    <w:rsid w:val="00517222"/>
    <w:rsid w:val="00520144"/>
    <w:rsid w:val="00527434"/>
    <w:rsid w:val="00533714"/>
    <w:rsid w:val="005354D3"/>
    <w:rsid w:val="00542C4B"/>
    <w:rsid w:val="0055643A"/>
    <w:rsid w:val="0055755C"/>
    <w:rsid w:val="00562779"/>
    <w:rsid w:val="00566DEF"/>
    <w:rsid w:val="00567CA3"/>
    <w:rsid w:val="00572A8A"/>
    <w:rsid w:val="00581A2D"/>
    <w:rsid w:val="00590A8B"/>
    <w:rsid w:val="005920DC"/>
    <w:rsid w:val="005A0F0A"/>
    <w:rsid w:val="005B06FB"/>
    <w:rsid w:val="005B6012"/>
    <w:rsid w:val="005E0B75"/>
    <w:rsid w:val="005E4D0D"/>
    <w:rsid w:val="005F2678"/>
    <w:rsid w:val="005F54BE"/>
    <w:rsid w:val="006117DD"/>
    <w:rsid w:val="00614A1A"/>
    <w:rsid w:val="006200C7"/>
    <w:rsid w:val="00623978"/>
    <w:rsid w:val="006453DB"/>
    <w:rsid w:val="00645B8E"/>
    <w:rsid w:val="00681A03"/>
    <w:rsid w:val="006903AE"/>
    <w:rsid w:val="00692161"/>
    <w:rsid w:val="00692D21"/>
    <w:rsid w:val="00694736"/>
    <w:rsid w:val="00696EBA"/>
    <w:rsid w:val="006B04E0"/>
    <w:rsid w:val="006B68E8"/>
    <w:rsid w:val="006B793E"/>
    <w:rsid w:val="006F38E9"/>
    <w:rsid w:val="007104AF"/>
    <w:rsid w:val="007220C4"/>
    <w:rsid w:val="00724835"/>
    <w:rsid w:val="0073090D"/>
    <w:rsid w:val="00747374"/>
    <w:rsid w:val="007510D6"/>
    <w:rsid w:val="00777EA4"/>
    <w:rsid w:val="00781B7B"/>
    <w:rsid w:val="00787C87"/>
    <w:rsid w:val="00796378"/>
    <w:rsid w:val="007A07D2"/>
    <w:rsid w:val="007A2D02"/>
    <w:rsid w:val="007A5E44"/>
    <w:rsid w:val="007A5E50"/>
    <w:rsid w:val="007B6E18"/>
    <w:rsid w:val="007B7BC1"/>
    <w:rsid w:val="007D6CC6"/>
    <w:rsid w:val="007E29C6"/>
    <w:rsid w:val="007E2EC6"/>
    <w:rsid w:val="007F14C6"/>
    <w:rsid w:val="007F759A"/>
    <w:rsid w:val="00806D78"/>
    <w:rsid w:val="00807C57"/>
    <w:rsid w:val="00817F22"/>
    <w:rsid w:val="0083447A"/>
    <w:rsid w:val="00837443"/>
    <w:rsid w:val="00837A22"/>
    <w:rsid w:val="00841C8A"/>
    <w:rsid w:val="00847DA2"/>
    <w:rsid w:val="008574C1"/>
    <w:rsid w:val="008763E1"/>
    <w:rsid w:val="0087681C"/>
    <w:rsid w:val="008822D6"/>
    <w:rsid w:val="008923CA"/>
    <w:rsid w:val="008A2169"/>
    <w:rsid w:val="008A381C"/>
    <w:rsid w:val="008B25BF"/>
    <w:rsid w:val="008C18B6"/>
    <w:rsid w:val="008C4513"/>
    <w:rsid w:val="008E228F"/>
    <w:rsid w:val="008E726B"/>
    <w:rsid w:val="008F0344"/>
    <w:rsid w:val="008F0DC2"/>
    <w:rsid w:val="008F2929"/>
    <w:rsid w:val="00906C95"/>
    <w:rsid w:val="0091526D"/>
    <w:rsid w:val="00960651"/>
    <w:rsid w:val="00961BF9"/>
    <w:rsid w:val="00962B83"/>
    <w:rsid w:val="00963508"/>
    <w:rsid w:val="0098104D"/>
    <w:rsid w:val="00987050"/>
    <w:rsid w:val="00993FB7"/>
    <w:rsid w:val="00996DF4"/>
    <w:rsid w:val="009A0727"/>
    <w:rsid w:val="009B1220"/>
    <w:rsid w:val="009C00CA"/>
    <w:rsid w:val="009D255B"/>
    <w:rsid w:val="009D3B74"/>
    <w:rsid w:val="009D405D"/>
    <w:rsid w:val="009D6525"/>
    <w:rsid w:val="009D69F1"/>
    <w:rsid w:val="00A043D3"/>
    <w:rsid w:val="00A06D03"/>
    <w:rsid w:val="00A2442D"/>
    <w:rsid w:val="00A40F61"/>
    <w:rsid w:val="00A5288A"/>
    <w:rsid w:val="00A539CE"/>
    <w:rsid w:val="00A6047C"/>
    <w:rsid w:val="00A715BA"/>
    <w:rsid w:val="00A81080"/>
    <w:rsid w:val="00A8472C"/>
    <w:rsid w:val="00A97116"/>
    <w:rsid w:val="00AA0E8C"/>
    <w:rsid w:val="00AD7196"/>
    <w:rsid w:val="00B1356D"/>
    <w:rsid w:val="00B16016"/>
    <w:rsid w:val="00B20583"/>
    <w:rsid w:val="00B217F3"/>
    <w:rsid w:val="00B3624B"/>
    <w:rsid w:val="00B3693B"/>
    <w:rsid w:val="00B40307"/>
    <w:rsid w:val="00B41A53"/>
    <w:rsid w:val="00B447C3"/>
    <w:rsid w:val="00B67CB8"/>
    <w:rsid w:val="00B70736"/>
    <w:rsid w:val="00B82281"/>
    <w:rsid w:val="00B85BE0"/>
    <w:rsid w:val="00B87606"/>
    <w:rsid w:val="00BA08E5"/>
    <w:rsid w:val="00BA1239"/>
    <w:rsid w:val="00BA668C"/>
    <w:rsid w:val="00BB2DE3"/>
    <w:rsid w:val="00BB59B5"/>
    <w:rsid w:val="00BB6170"/>
    <w:rsid w:val="00BD0CD4"/>
    <w:rsid w:val="00BE61DB"/>
    <w:rsid w:val="00BF7466"/>
    <w:rsid w:val="00C12AB4"/>
    <w:rsid w:val="00C12F75"/>
    <w:rsid w:val="00C30FC9"/>
    <w:rsid w:val="00C31E0F"/>
    <w:rsid w:val="00C443A6"/>
    <w:rsid w:val="00C56B0C"/>
    <w:rsid w:val="00C62E3C"/>
    <w:rsid w:val="00C634A9"/>
    <w:rsid w:val="00C66974"/>
    <w:rsid w:val="00C816F1"/>
    <w:rsid w:val="00C9023F"/>
    <w:rsid w:val="00C919CC"/>
    <w:rsid w:val="00CA15E7"/>
    <w:rsid w:val="00CA3650"/>
    <w:rsid w:val="00CA3FA4"/>
    <w:rsid w:val="00CA43D9"/>
    <w:rsid w:val="00CB22F4"/>
    <w:rsid w:val="00CB50BE"/>
    <w:rsid w:val="00CC0B4C"/>
    <w:rsid w:val="00CC1A86"/>
    <w:rsid w:val="00CD3263"/>
    <w:rsid w:val="00CF1FEE"/>
    <w:rsid w:val="00D05141"/>
    <w:rsid w:val="00D07DB4"/>
    <w:rsid w:val="00D17635"/>
    <w:rsid w:val="00D20EC5"/>
    <w:rsid w:val="00D265E2"/>
    <w:rsid w:val="00D5034E"/>
    <w:rsid w:val="00D51B8B"/>
    <w:rsid w:val="00D57B8F"/>
    <w:rsid w:val="00D65548"/>
    <w:rsid w:val="00D77498"/>
    <w:rsid w:val="00D777AE"/>
    <w:rsid w:val="00DA27B6"/>
    <w:rsid w:val="00DA7455"/>
    <w:rsid w:val="00DB48F4"/>
    <w:rsid w:val="00DC022D"/>
    <w:rsid w:val="00DC3326"/>
    <w:rsid w:val="00DC33D1"/>
    <w:rsid w:val="00DC75FA"/>
    <w:rsid w:val="00DD13B5"/>
    <w:rsid w:val="00DD4AB4"/>
    <w:rsid w:val="00DD6ED2"/>
    <w:rsid w:val="00DE74DA"/>
    <w:rsid w:val="00DF0C38"/>
    <w:rsid w:val="00DF15D1"/>
    <w:rsid w:val="00E10165"/>
    <w:rsid w:val="00E10625"/>
    <w:rsid w:val="00E14883"/>
    <w:rsid w:val="00E213D5"/>
    <w:rsid w:val="00E21D91"/>
    <w:rsid w:val="00E33A6F"/>
    <w:rsid w:val="00E42450"/>
    <w:rsid w:val="00E64821"/>
    <w:rsid w:val="00E80F45"/>
    <w:rsid w:val="00E80F5E"/>
    <w:rsid w:val="00E812C0"/>
    <w:rsid w:val="00EA09AC"/>
    <w:rsid w:val="00EA0E6C"/>
    <w:rsid w:val="00EC1392"/>
    <w:rsid w:val="00EC4CB5"/>
    <w:rsid w:val="00EC6565"/>
    <w:rsid w:val="00EC6794"/>
    <w:rsid w:val="00EC7834"/>
    <w:rsid w:val="00ED5281"/>
    <w:rsid w:val="00EE29B1"/>
    <w:rsid w:val="00EE325B"/>
    <w:rsid w:val="00EF566B"/>
    <w:rsid w:val="00F1081D"/>
    <w:rsid w:val="00F26F44"/>
    <w:rsid w:val="00F27225"/>
    <w:rsid w:val="00F32BF4"/>
    <w:rsid w:val="00F6749D"/>
    <w:rsid w:val="00F7031A"/>
    <w:rsid w:val="00F75F9C"/>
    <w:rsid w:val="00FA706B"/>
    <w:rsid w:val="00FB7476"/>
    <w:rsid w:val="00FD3A77"/>
    <w:rsid w:val="00FD4BA2"/>
    <w:rsid w:val="00FE5B92"/>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CC000"/>
  <w15:chartTrackingRefBased/>
  <w15:docId w15:val="{73404624-EE18-4E53-B369-C7810948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C57"/>
    <w:pPr>
      <w:tabs>
        <w:tab w:val="center" w:pos="4252"/>
        <w:tab w:val="right" w:pos="8504"/>
      </w:tabs>
    </w:pPr>
  </w:style>
  <w:style w:type="character" w:customStyle="1" w:styleId="EncabezadoCar">
    <w:name w:val="Encabezado Car"/>
    <w:link w:val="Encabezado"/>
    <w:uiPriority w:val="99"/>
    <w:rsid w:val="00807C57"/>
    <w:rPr>
      <w:sz w:val="22"/>
      <w:szCs w:val="22"/>
      <w:lang w:eastAsia="en-US"/>
    </w:rPr>
  </w:style>
  <w:style w:type="paragraph" w:styleId="Piedepgina">
    <w:name w:val="footer"/>
    <w:basedOn w:val="Normal"/>
    <w:link w:val="PiedepginaCar"/>
    <w:uiPriority w:val="99"/>
    <w:unhideWhenUsed/>
    <w:rsid w:val="00807C57"/>
    <w:pPr>
      <w:tabs>
        <w:tab w:val="center" w:pos="4252"/>
        <w:tab w:val="right" w:pos="8504"/>
      </w:tabs>
    </w:pPr>
  </w:style>
  <w:style w:type="character" w:customStyle="1" w:styleId="PiedepginaCar">
    <w:name w:val="Pie de página Car"/>
    <w:link w:val="Piedepgina"/>
    <w:uiPriority w:val="99"/>
    <w:rsid w:val="00807C57"/>
    <w:rPr>
      <w:sz w:val="22"/>
      <w:szCs w:val="22"/>
      <w:lang w:eastAsia="en-US"/>
    </w:rPr>
  </w:style>
  <w:style w:type="paragraph" w:styleId="Prrafodelista">
    <w:name w:val="List Paragraph"/>
    <w:basedOn w:val="Normal"/>
    <w:uiPriority w:val="34"/>
    <w:qFormat/>
    <w:rsid w:val="00837443"/>
    <w:pPr>
      <w:ind w:left="708"/>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A8472C"/>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uiPriority w:val="99"/>
    <w:rsid w:val="00A8472C"/>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unhideWhenUsed/>
    <w:qFormat/>
    <w:rsid w:val="00A8472C"/>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qFormat/>
    <w:locked/>
    <w:rsid w:val="00490062"/>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096544"/>
    <w:rPr>
      <w:rFonts w:ascii="Segoe UI" w:hAnsi="Segoe UI" w:cs="Segoe UI"/>
      <w:sz w:val="18"/>
      <w:szCs w:val="18"/>
    </w:rPr>
  </w:style>
  <w:style w:type="character" w:customStyle="1" w:styleId="TextodegloboCar">
    <w:name w:val="Texto de globo Car"/>
    <w:link w:val="Textodeglobo"/>
    <w:uiPriority w:val="99"/>
    <w:semiHidden/>
    <w:rsid w:val="00096544"/>
    <w:rPr>
      <w:rFonts w:ascii="Segoe UI" w:hAnsi="Segoe UI" w:cs="Segoe UI"/>
      <w:sz w:val="18"/>
      <w:szCs w:val="18"/>
      <w:lang w:eastAsia="en-US"/>
    </w:rPr>
  </w:style>
  <w:style w:type="paragraph" w:styleId="Lista">
    <w:name w:val="List"/>
    <w:basedOn w:val="Normal"/>
    <w:rsid w:val="00DA27B6"/>
    <w:pPr>
      <w:autoSpaceDE w:val="0"/>
      <w:autoSpaceDN w:val="0"/>
      <w:ind w:left="283" w:hanging="283"/>
    </w:pPr>
    <w:rPr>
      <w:rFonts w:ascii="Arial" w:eastAsia="Times New Roman" w:hAnsi="Arial" w:cs="Arial"/>
      <w:sz w:val="28"/>
      <w:szCs w:val="28"/>
      <w:lang w:val="es-ES_tradnl" w:eastAsia="es-ES"/>
    </w:rPr>
  </w:style>
  <w:style w:type="paragraph" w:styleId="Sinespaciado">
    <w:name w:val="No Spacing"/>
    <w:uiPriority w:val="1"/>
    <w:qFormat/>
    <w:rsid w:val="000C130B"/>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576F07-47CB-4CCD-B523-C2522BE1A43D}">
  <ds:schemaRefs>
    <ds:schemaRef ds:uri="http://schemas.openxmlformats.org/officeDocument/2006/bibliography"/>
  </ds:schemaRefs>
</ds:datastoreItem>
</file>

<file path=customXml/itemProps2.xml><?xml version="1.0" encoding="utf-8"?>
<ds:datastoreItem xmlns:ds="http://schemas.openxmlformats.org/officeDocument/2006/customXml" ds:itemID="{56E4A850-7087-4BFB-AC73-FCC3D3CB2FD0}">
  <ds:schemaRefs>
    <ds:schemaRef ds:uri="http://schemas.microsoft.com/sharepoint/v3/contenttype/forms"/>
  </ds:schemaRefs>
</ds:datastoreItem>
</file>

<file path=customXml/itemProps3.xml><?xml version="1.0" encoding="utf-8"?>
<ds:datastoreItem xmlns:ds="http://schemas.openxmlformats.org/officeDocument/2006/customXml" ds:itemID="{D0F53028-163E-4248-95CB-198AA88C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9BAC2-BCD0-4D9E-828C-0FFF025E411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5694</Words>
  <Characters>31318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ANTONIO ZAPATA GARCÍA</dc:creator>
  <cp:keywords/>
  <dc:description/>
  <cp:lastModifiedBy>Carlos Mario Castrillón Endo</cp:lastModifiedBy>
  <cp:revision>2</cp:revision>
  <cp:lastPrinted>2019-07-12T17:18:00Z</cp:lastPrinted>
  <dcterms:created xsi:type="dcterms:W3CDTF">2020-07-02T21:46:00Z</dcterms:created>
  <dcterms:modified xsi:type="dcterms:W3CDTF">2020-07-02T21:46:00Z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