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7CDE3" w14:textId="77777777" w:rsidR="00525FD3" w:rsidRPr="007806CC" w:rsidRDefault="00C00233" w:rsidP="00095161">
      <w:pPr>
        <w:pStyle w:val="Puesto"/>
        <w:jc w:val="both"/>
        <w:rPr>
          <w:szCs w:val="22"/>
        </w:rPr>
      </w:pPr>
      <w:r w:rsidRPr="00627991">
        <w:rPr>
          <w:szCs w:val="22"/>
        </w:rPr>
        <w:t xml:space="preserve">ACTOS PREVIOS </w:t>
      </w:r>
      <w:r w:rsidR="00980D04">
        <w:rPr>
          <w:szCs w:val="22"/>
        </w:rPr>
        <w:t>-</w:t>
      </w:r>
      <w:r w:rsidRPr="00627991">
        <w:rPr>
          <w:b w:val="0"/>
          <w:szCs w:val="22"/>
        </w:rPr>
        <w:t xml:space="preserve"> </w:t>
      </w:r>
      <w:r w:rsidR="001E6292" w:rsidRPr="00173179">
        <w:rPr>
          <w:szCs w:val="22"/>
        </w:rPr>
        <w:t>Celebración de contratos</w:t>
      </w:r>
      <w:r w:rsidR="001E6292">
        <w:rPr>
          <w:b w:val="0"/>
          <w:szCs w:val="22"/>
        </w:rPr>
        <w:t xml:space="preserve"> </w:t>
      </w:r>
      <w:r w:rsidR="00980D04">
        <w:rPr>
          <w:szCs w:val="22"/>
        </w:rPr>
        <w:t>-</w:t>
      </w:r>
      <w:r w:rsidR="001E6292" w:rsidRPr="00173179">
        <w:rPr>
          <w:szCs w:val="22"/>
        </w:rPr>
        <w:t xml:space="preserve"> N</w:t>
      </w:r>
      <w:r w:rsidR="00DA1A7B" w:rsidRPr="00173179">
        <w:rPr>
          <w:szCs w:val="22"/>
        </w:rPr>
        <w:t>ulidad</w:t>
      </w:r>
      <w:r w:rsidR="00173179">
        <w:rPr>
          <w:szCs w:val="22"/>
        </w:rPr>
        <w:t xml:space="preserve"> </w:t>
      </w:r>
      <w:r w:rsidR="00DA1A7B" w:rsidRPr="007806CC">
        <w:rPr>
          <w:szCs w:val="22"/>
        </w:rPr>
        <w:t>y restablecimiento del derecho</w:t>
      </w:r>
    </w:p>
    <w:p w14:paraId="7EF23223" w14:textId="77777777" w:rsidR="00DA1A7B" w:rsidRPr="00627991" w:rsidRDefault="00DA1A7B" w:rsidP="00095161">
      <w:pPr>
        <w:pStyle w:val="Puesto"/>
        <w:jc w:val="both"/>
        <w:rPr>
          <w:b w:val="0"/>
          <w:szCs w:val="22"/>
        </w:rPr>
      </w:pPr>
    </w:p>
    <w:p w14:paraId="2C7A5D28" w14:textId="77777777" w:rsidR="00DA1A7B" w:rsidRPr="00627991" w:rsidRDefault="00DA1A7B" w:rsidP="00095161">
      <w:pPr>
        <w:pStyle w:val="Puesto"/>
        <w:jc w:val="both"/>
        <w:rPr>
          <w:b w:val="0"/>
          <w:szCs w:val="22"/>
        </w:rPr>
      </w:pPr>
      <w:r w:rsidRPr="00627991">
        <w:rPr>
          <w:b w:val="0"/>
          <w:szCs w:val="22"/>
        </w:rPr>
        <w:t xml:space="preserve">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La interposición de estas acciones no interrumpirá el proceso licitatorio, ni la celebración y ejecución del contrato. Una vez celebrado éste, la ilegalidad de los actos previos solamente podrá invocarse como fundamento de nulidad absoluta del contrato. </w:t>
      </w:r>
    </w:p>
    <w:p w14:paraId="6D54857F" w14:textId="77777777" w:rsidR="00DA1A7B" w:rsidRPr="00627991" w:rsidRDefault="00DA1A7B" w:rsidP="00095161">
      <w:pPr>
        <w:pStyle w:val="Puesto"/>
        <w:jc w:val="both"/>
        <w:rPr>
          <w:b w:val="0"/>
          <w:szCs w:val="22"/>
        </w:rPr>
      </w:pPr>
    </w:p>
    <w:p w14:paraId="5E923B4B" w14:textId="77777777" w:rsidR="00DA1A7B" w:rsidRDefault="00173179" w:rsidP="00095161">
      <w:pPr>
        <w:pStyle w:val="Puesto"/>
        <w:jc w:val="both"/>
        <w:rPr>
          <w:szCs w:val="22"/>
        </w:rPr>
      </w:pPr>
      <w:r w:rsidRPr="00627991">
        <w:rPr>
          <w:szCs w:val="22"/>
        </w:rPr>
        <w:t xml:space="preserve">ACTOS PREVIOS </w:t>
      </w:r>
      <w:r w:rsidR="00980D04">
        <w:rPr>
          <w:szCs w:val="22"/>
        </w:rPr>
        <w:t>-</w:t>
      </w:r>
      <w:r w:rsidRPr="00627991">
        <w:rPr>
          <w:b w:val="0"/>
          <w:szCs w:val="22"/>
        </w:rPr>
        <w:t xml:space="preserve"> </w:t>
      </w:r>
      <w:r w:rsidRPr="00173179">
        <w:rPr>
          <w:szCs w:val="22"/>
        </w:rPr>
        <w:t>Celebración de contrat</w:t>
      </w:r>
      <w:r>
        <w:rPr>
          <w:szCs w:val="22"/>
        </w:rPr>
        <w:t xml:space="preserve">os </w:t>
      </w:r>
      <w:r w:rsidR="00980D04">
        <w:rPr>
          <w:szCs w:val="22"/>
        </w:rPr>
        <w:t>-</w:t>
      </w:r>
      <w:r>
        <w:rPr>
          <w:szCs w:val="22"/>
        </w:rPr>
        <w:t xml:space="preserve"> Hipótesis </w:t>
      </w:r>
    </w:p>
    <w:p w14:paraId="2AF9844A" w14:textId="77777777" w:rsidR="00173179" w:rsidRPr="00627991" w:rsidRDefault="00173179" w:rsidP="00095161">
      <w:pPr>
        <w:pStyle w:val="Puesto"/>
        <w:jc w:val="both"/>
        <w:rPr>
          <w:b w:val="0"/>
          <w:szCs w:val="22"/>
        </w:rPr>
      </w:pPr>
    </w:p>
    <w:p w14:paraId="4154CEC5" w14:textId="77777777" w:rsidR="00DA1A7B" w:rsidRPr="00173179" w:rsidRDefault="00DA1A7B" w:rsidP="00095161">
      <w:pPr>
        <w:tabs>
          <w:tab w:val="center" w:pos="1701"/>
          <w:tab w:val="right" w:pos="8838"/>
        </w:tabs>
        <w:overflowPunct w:val="0"/>
        <w:autoSpaceDE w:val="0"/>
        <w:autoSpaceDN w:val="0"/>
        <w:adjustRightInd w:val="0"/>
        <w:spacing w:line="240" w:lineRule="auto"/>
        <w:textAlignment w:val="baseline"/>
        <w:rPr>
          <w:sz w:val="22"/>
          <w:szCs w:val="22"/>
        </w:rPr>
      </w:pPr>
      <w:r w:rsidRPr="00627991">
        <w:rPr>
          <w:sz w:val="22"/>
          <w:szCs w:val="22"/>
        </w:rPr>
        <w:t xml:space="preserve">La primera hipótesis se refiere a aquellos casos en los cuales el contrato estatal no se ha celebrado aun para la fecha en que, dentro de los 30 días siguientes a la comunicación, notificación o publicación del correspondiente acto administrativo de adjudicación, se demanda ese acto administrativo previo en ejercicio de la acción de nulidad y restablecimiento del derecho, caso en el cual y sin mayor discusión se tiene que el interesado podrá pretender e incluso obtener tanto la declaratoria judicial de nulidad del aludido acto administrativo, como el restablecimiento de sus derechos, cuestión ésta que de ordinario se concreta en el reconocimiento de los perjuicios ocasionados por el acto nulo y la consiguiente condena para repararlos.  </w:t>
      </w:r>
      <w:r w:rsidRPr="00627991">
        <w:rPr>
          <w:sz w:val="22"/>
          <w:szCs w:val="22"/>
        </w:rPr>
        <w:tab/>
        <w:t>“Una segunda hipótesis dice relación con aquellos casos en los cuales hubiere transcurrido el término de 30 días sin que se hubiere celebrado el correspondiente contrato estatal pero igual sin que se hubiere formulado demanda contra el acto administrativo previo dentro de ese mismo término, cuestión que, como resulta apenas natural, da lugar a la configuración de la caducidad de la acción de nulidad y restablecimiento del derecho, lo cual priva definitivamente al interesado de la posibilidad de revivir ese plazo y/o de acudir en una nueva oportunidad ante la Jurisdicción en procura de obtener el reconocimiento de los derechos que le habrían sido desconocidos con la expedición del correspondiente acto administrativo.</w:t>
      </w:r>
      <w:r w:rsidRPr="00173179">
        <w:rPr>
          <w:sz w:val="22"/>
          <w:szCs w:val="22"/>
        </w:rPr>
        <w:t xml:space="preserve"> “La tercera hipótesis corresponderá a los eventos en los cuales la entidad estatal y el adjudicatario proceden a celebrar el contrato estatal antes de que expire el término de los 30 días siguientes a la notificación, comunicación o publicación del acto de adjudicación, según fuere el caso, sin que para esa fecha el proponente vencido hubiere ejercido la correspondiente acción de nulidad y restablecimiento del derecho en contra del acto previo, situación que si bien determina que el interesado ya no podrá ejercer la mencionada acción de nulidad y restablecimiento del derecho, la ley expresamente le dejó abierta la opción para ejercer válidamente la acción contractual, dentro de la cual deberá pretender la nulidad del contrato estatal y la declaratoria de ilegalidad de los actos previos, pretensión que –según ya se</w:t>
      </w:r>
      <w:r w:rsidRPr="00627991">
        <w:rPr>
          <w:rFonts w:cs="Arial"/>
          <w:sz w:val="22"/>
          <w:szCs w:val="22"/>
        </w:rPr>
        <w:t xml:space="preserve"> indicó– incluso servirá de fundamento para que prospere aquella de nulidad del contrato, con la anotación de que en estos casos y siempre que la acción contractual se ejerza dentro del mencionado término de 30 días, el interesado también estará legitimado para solicitar el restablecimiento de los derechos que le fueron desconocidos como resultado de la indebida adjudicación, puesto que resultaría ilógico y contrario a los más elementales conceptos de justicia y de equidad, que se asumiere que dicho interesado no pudiere ya formular pretensiones económicas o resarcitorias dentro de la acción contractual que será la única que en este caso tendrá a su disposición, aunque la ejerza dentro del plazo que inicialmente se le fijó para la acción de nulidad y restablecimiento del derecho cuya desaparición sobrevino por razón de la celebración del correspondiente contrato estatal.</w:t>
      </w:r>
    </w:p>
    <w:p w14:paraId="6D8D24C5" w14:textId="77777777" w:rsidR="00DA1A7B" w:rsidRPr="00173179" w:rsidRDefault="00DA1A7B" w:rsidP="00095161">
      <w:pPr>
        <w:tabs>
          <w:tab w:val="center" w:pos="1701"/>
          <w:tab w:val="right" w:pos="8838"/>
        </w:tabs>
        <w:overflowPunct w:val="0"/>
        <w:autoSpaceDE w:val="0"/>
        <w:autoSpaceDN w:val="0"/>
        <w:adjustRightInd w:val="0"/>
        <w:spacing w:line="240" w:lineRule="auto"/>
        <w:textAlignment w:val="baseline"/>
        <w:rPr>
          <w:rFonts w:cs="Arial"/>
          <w:b/>
          <w:sz w:val="22"/>
          <w:szCs w:val="22"/>
        </w:rPr>
      </w:pPr>
    </w:p>
    <w:p w14:paraId="5AC8852A" w14:textId="77777777" w:rsidR="00DA1A7B" w:rsidRPr="00173179" w:rsidRDefault="00980D04" w:rsidP="00095161">
      <w:pPr>
        <w:tabs>
          <w:tab w:val="center" w:pos="1701"/>
          <w:tab w:val="right" w:pos="8838"/>
        </w:tabs>
        <w:overflowPunct w:val="0"/>
        <w:autoSpaceDE w:val="0"/>
        <w:autoSpaceDN w:val="0"/>
        <w:adjustRightInd w:val="0"/>
        <w:spacing w:line="240" w:lineRule="auto"/>
        <w:textAlignment w:val="baseline"/>
        <w:rPr>
          <w:rFonts w:cs="Arial"/>
          <w:b/>
          <w:sz w:val="22"/>
          <w:szCs w:val="22"/>
        </w:rPr>
      </w:pPr>
      <w:r>
        <w:rPr>
          <w:rFonts w:cs="Arial"/>
          <w:b/>
          <w:sz w:val="22"/>
          <w:szCs w:val="22"/>
        </w:rPr>
        <w:t>INFORMACIÓN FINANCIERA -</w:t>
      </w:r>
      <w:r w:rsidR="00DA1A7B" w:rsidRPr="00173179">
        <w:rPr>
          <w:rFonts w:cs="Arial"/>
          <w:b/>
          <w:sz w:val="22"/>
          <w:szCs w:val="22"/>
        </w:rPr>
        <w:t xml:space="preserve"> Aspecto material </w:t>
      </w:r>
    </w:p>
    <w:p w14:paraId="59A96FCD" w14:textId="77777777" w:rsidR="00DA1A7B" w:rsidRPr="00627991" w:rsidRDefault="00DA1A7B" w:rsidP="00095161">
      <w:pPr>
        <w:tabs>
          <w:tab w:val="center" w:pos="1701"/>
          <w:tab w:val="right" w:pos="8838"/>
        </w:tabs>
        <w:overflowPunct w:val="0"/>
        <w:autoSpaceDE w:val="0"/>
        <w:autoSpaceDN w:val="0"/>
        <w:adjustRightInd w:val="0"/>
        <w:spacing w:line="240" w:lineRule="auto"/>
        <w:textAlignment w:val="baseline"/>
        <w:rPr>
          <w:rFonts w:cs="Arial"/>
          <w:sz w:val="22"/>
          <w:szCs w:val="22"/>
        </w:rPr>
      </w:pPr>
    </w:p>
    <w:p w14:paraId="5432F99E" w14:textId="77777777" w:rsidR="00DA1A7B" w:rsidRPr="00627991" w:rsidRDefault="00DA1A7B" w:rsidP="00095161">
      <w:pPr>
        <w:pStyle w:val="NormalWeb"/>
        <w:shd w:val="clear" w:color="auto" w:fill="FFFFFF"/>
        <w:spacing w:before="0" w:beforeAutospacing="0" w:after="0" w:afterAutospacing="0" w:line="240" w:lineRule="auto"/>
        <w:rPr>
          <w:rFonts w:cs="Arial"/>
          <w:color w:val="000000"/>
          <w:sz w:val="22"/>
          <w:szCs w:val="22"/>
        </w:rPr>
      </w:pPr>
      <w:r w:rsidRPr="00627991">
        <w:rPr>
          <w:rFonts w:cs="Arial"/>
          <w:color w:val="000000"/>
          <w:sz w:val="22"/>
          <w:szCs w:val="22"/>
        </w:rPr>
        <w:t xml:space="preserve">Los estados financieros dictaminados en los procesos de contratación revisten importancia por el contenido material de lo que ellos indican acerca del siguiente asunto: ¿De acuerdo con los indicadores definidos en el pliego de condiciones, el proponente tiene o no la capacidad financiera que se estima suficiente </w:t>
      </w:r>
      <w:r w:rsidRPr="00627991">
        <w:rPr>
          <w:rFonts w:cs="Arial"/>
          <w:i/>
          <w:color w:val="000000"/>
          <w:sz w:val="22"/>
          <w:szCs w:val="22"/>
        </w:rPr>
        <w:t xml:space="preserve">para poder cumplir con el contrato? </w:t>
      </w:r>
      <w:r w:rsidRPr="00627991">
        <w:rPr>
          <w:rFonts w:cs="Arial"/>
          <w:color w:val="000000"/>
          <w:sz w:val="22"/>
          <w:szCs w:val="22"/>
        </w:rPr>
        <w:t xml:space="preserve">y a todas luces el interrogante que se debe resolver con base en los estados financieros es material y de total relevancia para evaluar al proponente.  Teniendo en cuenta que es de la mayor importancia propender por una evaluación que permita estimar que el contratista está en condiciones de cumplir con el contrato, no se debe tomar a la ligera la calificación financiera, </w:t>
      </w:r>
      <w:r w:rsidRPr="00627991">
        <w:rPr>
          <w:rFonts w:cs="Arial"/>
          <w:color w:val="000000"/>
          <w:sz w:val="22"/>
          <w:szCs w:val="22"/>
        </w:rPr>
        <w:lastRenderedPageBreak/>
        <w:t>ni tampoco se puede aceptar que los estados financieros constituyan documentos sujetos a un simple chequeo formal.</w:t>
      </w:r>
    </w:p>
    <w:p w14:paraId="429EFCB0" w14:textId="77777777" w:rsidR="00DA1A7B" w:rsidRPr="00627991" w:rsidRDefault="00DA1A7B" w:rsidP="00095161">
      <w:pPr>
        <w:tabs>
          <w:tab w:val="center" w:pos="1701"/>
          <w:tab w:val="right" w:pos="8838"/>
        </w:tabs>
        <w:overflowPunct w:val="0"/>
        <w:autoSpaceDE w:val="0"/>
        <w:autoSpaceDN w:val="0"/>
        <w:adjustRightInd w:val="0"/>
        <w:spacing w:line="240" w:lineRule="auto"/>
        <w:textAlignment w:val="baseline"/>
        <w:rPr>
          <w:rFonts w:cs="Arial"/>
          <w:sz w:val="22"/>
          <w:szCs w:val="22"/>
        </w:rPr>
      </w:pPr>
    </w:p>
    <w:p w14:paraId="6850C10E" w14:textId="77777777" w:rsidR="000E38C4" w:rsidRPr="00627991" w:rsidRDefault="00DA1A7B" w:rsidP="00095161">
      <w:pPr>
        <w:pStyle w:val="Puesto"/>
        <w:jc w:val="both"/>
        <w:rPr>
          <w:b w:val="0"/>
          <w:szCs w:val="22"/>
        </w:rPr>
      </w:pPr>
      <w:r w:rsidRPr="00627991">
        <w:rPr>
          <w:szCs w:val="22"/>
        </w:rPr>
        <w:t xml:space="preserve">ESTADOS FINANCIEROS </w:t>
      </w:r>
      <w:r w:rsidR="00173179">
        <w:rPr>
          <w:szCs w:val="22"/>
        </w:rPr>
        <w:t>-</w:t>
      </w:r>
      <w:r w:rsidRPr="00627991">
        <w:rPr>
          <w:b w:val="0"/>
          <w:szCs w:val="22"/>
        </w:rPr>
        <w:t xml:space="preserve"> </w:t>
      </w:r>
      <w:r w:rsidR="00173179">
        <w:rPr>
          <w:szCs w:val="22"/>
        </w:rPr>
        <w:t>Libre competencia -</w:t>
      </w:r>
      <w:r w:rsidRPr="007806CC">
        <w:rPr>
          <w:szCs w:val="22"/>
        </w:rPr>
        <w:t xml:space="preserve"> Evaluación </w:t>
      </w:r>
      <w:r w:rsidR="00173179">
        <w:rPr>
          <w:szCs w:val="22"/>
        </w:rPr>
        <w:t xml:space="preserve">- Igualdad </w:t>
      </w:r>
      <w:r w:rsidRPr="007806CC">
        <w:rPr>
          <w:szCs w:val="22"/>
        </w:rPr>
        <w:t xml:space="preserve">de condiciones </w:t>
      </w:r>
      <w:r w:rsidR="00173179">
        <w:rPr>
          <w:szCs w:val="22"/>
        </w:rPr>
        <w:t>-</w:t>
      </w:r>
      <w:r w:rsidRPr="007806CC">
        <w:rPr>
          <w:szCs w:val="22"/>
        </w:rPr>
        <w:t xml:space="preserve"> Flexibilización de par</w:t>
      </w:r>
      <w:r w:rsidR="000E38C4" w:rsidRPr="007806CC">
        <w:rPr>
          <w:szCs w:val="22"/>
        </w:rPr>
        <w:t>á</w:t>
      </w:r>
      <w:r w:rsidRPr="007806CC">
        <w:rPr>
          <w:szCs w:val="22"/>
        </w:rPr>
        <w:t>metros</w:t>
      </w:r>
      <w:r w:rsidR="000E38C4" w:rsidRPr="007806CC">
        <w:rPr>
          <w:szCs w:val="22"/>
        </w:rPr>
        <w:t xml:space="preserve"> de evaluación financiera</w:t>
      </w:r>
    </w:p>
    <w:p w14:paraId="7D0B1D1C" w14:textId="77777777" w:rsidR="00DA1A7B" w:rsidRPr="00627991" w:rsidRDefault="00DA1A7B" w:rsidP="00095161">
      <w:pPr>
        <w:pStyle w:val="Puesto"/>
        <w:jc w:val="both"/>
        <w:rPr>
          <w:b w:val="0"/>
          <w:szCs w:val="22"/>
        </w:rPr>
      </w:pPr>
    </w:p>
    <w:p w14:paraId="2E68B202" w14:textId="77777777" w:rsidR="00DA1A7B" w:rsidRPr="00627991" w:rsidRDefault="00DA1A7B" w:rsidP="00095161">
      <w:pPr>
        <w:pStyle w:val="NormalWeb"/>
        <w:shd w:val="clear" w:color="auto" w:fill="FFFFFF"/>
        <w:spacing w:before="0" w:beforeAutospacing="0" w:after="0" w:afterAutospacing="0" w:line="240" w:lineRule="auto"/>
        <w:rPr>
          <w:rFonts w:cs="Arial"/>
          <w:color w:val="000000"/>
          <w:sz w:val="22"/>
          <w:szCs w:val="22"/>
        </w:rPr>
      </w:pPr>
      <w:r w:rsidRPr="00627991">
        <w:rPr>
          <w:rFonts w:cs="Arial"/>
          <w:color w:val="000000"/>
          <w:sz w:val="22"/>
          <w:szCs w:val="22"/>
        </w:rPr>
        <w:t xml:space="preserve">Desde la atalaya de la igualdad de acceso y de la protección a la libre competencia, todos los proponentes tienen derecho a ser evaluados bajo las mismas condiciones, tanto en el corte del ejercicio que se toma para establecer la comparación de sus estados financieros, como en la univocidad de los ítems con base en los cuales se calcula la capacidad financiera requerida. Esa consideración lleva a reprochar la flexibilización de los parámetros de evaluación financiera, en beneficio de uno u otro proponente. En el mismo sentido, se afirma la intangibilidad de los estados financieros que se presentan con la oferta, en protección del derecho a la competencia en igualdad de condiciones para todos los participantes. De lo anterior se concluye que el mecanismo de saneamiento de los documentos de información financiera no puede ser utilizado para modificar los indicadores de capacidad financiera que el proponente tenía a la fecha que determinaba el pliego de condiciones. </w:t>
      </w:r>
    </w:p>
    <w:p w14:paraId="0181D3DE" w14:textId="77777777" w:rsidR="000E38C4" w:rsidRPr="00627991" w:rsidRDefault="000E38C4" w:rsidP="00095161">
      <w:pPr>
        <w:pStyle w:val="NormalWeb"/>
        <w:shd w:val="clear" w:color="auto" w:fill="FFFFFF"/>
        <w:spacing w:before="0" w:beforeAutospacing="0" w:after="0" w:afterAutospacing="0" w:line="240" w:lineRule="auto"/>
        <w:rPr>
          <w:rFonts w:cs="Arial"/>
          <w:color w:val="000000"/>
          <w:sz w:val="22"/>
          <w:szCs w:val="22"/>
        </w:rPr>
      </w:pPr>
    </w:p>
    <w:p w14:paraId="6CA996A8" w14:textId="77777777" w:rsidR="000E38C4" w:rsidRPr="007806CC" w:rsidRDefault="00173179" w:rsidP="00095161">
      <w:pPr>
        <w:pStyle w:val="NormalWeb"/>
        <w:shd w:val="clear" w:color="auto" w:fill="FFFFFF"/>
        <w:spacing w:before="0" w:beforeAutospacing="0" w:after="0" w:afterAutospacing="0" w:line="240" w:lineRule="auto"/>
        <w:rPr>
          <w:rFonts w:cs="Arial"/>
          <w:b/>
          <w:color w:val="000000"/>
          <w:sz w:val="22"/>
          <w:szCs w:val="22"/>
        </w:rPr>
      </w:pPr>
      <w:r>
        <w:rPr>
          <w:rFonts w:cs="Arial"/>
          <w:b/>
          <w:color w:val="000000"/>
          <w:sz w:val="22"/>
          <w:szCs w:val="22"/>
        </w:rPr>
        <w:t>ACTO DE ADJUDICACIÓN - A</w:t>
      </w:r>
      <w:r w:rsidR="000E38C4" w:rsidRPr="007806CC">
        <w:rPr>
          <w:rFonts w:cs="Arial"/>
          <w:b/>
          <w:color w:val="000000"/>
          <w:sz w:val="22"/>
          <w:szCs w:val="22"/>
        </w:rPr>
        <w:t xml:space="preserve">nálisis de las correcciones </w:t>
      </w:r>
      <w:r>
        <w:rPr>
          <w:rFonts w:cs="Arial"/>
          <w:b/>
          <w:color w:val="000000"/>
          <w:sz w:val="22"/>
          <w:szCs w:val="22"/>
        </w:rPr>
        <w:t>- A</w:t>
      </w:r>
      <w:r w:rsidR="000E38C4" w:rsidRPr="007806CC">
        <w:rPr>
          <w:rFonts w:cs="Arial"/>
          <w:b/>
          <w:color w:val="000000"/>
          <w:sz w:val="22"/>
          <w:szCs w:val="22"/>
        </w:rPr>
        <w:t xml:space="preserve">justes de la información </w:t>
      </w:r>
    </w:p>
    <w:p w14:paraId="41058EE9" w14:textId="77777777" w:rsidR="007806CC" w:rsidRPr="00627991" w:rsidRDefault="007806CC" w:rsidP="00095161">
      <w:pPr>
        <w:pStyle w:val="NormalWeb"/>
        <w:shd w:val="clear" w:color="auto" w:fill="FFFFFF"/>
        <w:spacing w:before="0" w:beforeAutospacing="0" w:after="0" w:afterAutospacing="0" w:line="240" w:lineRule="auto"/>
        <w:rPr>
          <w:rFonts w:cs="Arial"/>
          <w:color w:val="000000"/>
          <w:sz w:val="22"/>
          <w:szCs w:val="22"/>
        </w:rPr>
      </w:pPr>
    </w:p>
    <w:p w14:paraId="0D486AF9" w14:textId="77777777" w:rsidR="000E38C4" w:rsidRPr="00627991" w:rsidRDefault="000E38C4" w:rsidP="00095161">
      <w:pPr>
        <w:pStyle w:val="NormalWeb"/>
        <w:shd w:val="clear" w:color="auto" w:fill="FFFFFF"/>
        <w:spacing w:before="0" w:beforeAutospacing="0" w:after="0" w:afterAutospacing="0" w:line="240" w:lineRule="auto"/>
        <w:rPr>
          <w:rFonts w:cs="Arial"/>
          <w:color w:val="000000"/>
          <w:sz w:val="22"/>
          <w:szCs w:val="22"/>
        </w:rPr>
      </w:pPr>
      <w:r w:rsidRPr="00627991">
        <w:rPr>
          <w:rFonts w:cs="Arial"/>
          <w:color w:val="000000"/>
          <w:sz w:val="22"/>
          <w:szCs w:val="22"/>
        </w:rPr>
        <w:t xml:space="preserve">Para la adecuada motivación del acto administrativo que define la adjudicación del contrato se exige el debido análisis de las correcciones o ajustes de la información financiera, para preservar las reglas de competencia del respectivo pliego de condiciones, lo cual es importante, especialmente cuando estos movimientos contables llevan a incrementar los ingresos, o a mejorar la liquidez que se ha presentado inicialmente. </w:t>
      </w:r>
    </w:p>
    <w:p w14:paraId="2E3C7C45" w14:textId="77777777" w:rsidR="000E38C4" w:rsidRPr="00627991" w:rsidRDefault="000E38C4" w:rsidP="00095161">
      <w:pPr>
        <w:pStyle w:val="NormalWeb"/>
        <w:shd w:val="clear" w:color="auto" w:fill="FFFFFF"/>
        <w:spacing w:before="0" w:beforeAutospacing="0" w:after="0" w:afterAutospacing="0" w:line="240" w:lineRule="auto"/>
        <w:rPr>
          <w:rFonts w:cs="Arial"/>
          <w:color w:val="000000"/>
          <w:sz w:val="22"/>
          <w:szCs w:val="22"/>
        </w:rPr>
      </w:pPr>
    </w:p>
    <w:p w14:paraId="6178242D" w14:textId="77777777" w:rsidR="000E38C4" w:rsidRPr="007806CC" w:rsidRDefault="000E38C4" w:rsidP="00095161">
      <w:pPr>
        <w:pStyle w:val="NormalWeb"/>
        <w:shd w:val="clear" w:color="auto" w:fill="FFFFFF"/>
        <w:spacing w:before="0" w:beforeAutospacing="0" w:after="0" w:afterAutospacing="0" w:line="240" w:lineRule="auto"/>
        <w:rPr>
          <w:rFonts w:cs="Arial"/>
          <w:b/>
          <w:color w:val="000000"/>
          <w:sz w:val="22"/>
          <w:szCs w:val="22"/>
        </w:rPr>
      </w:pPr>
      <w:r w:rsidRPr="00627991">
        <w:rPr>
          <w:rFonts w:cs="Arial"/>
          <w:b/>
          <w:color w:val="000000"/>
          <w:sz w:val="22"/>
          <w:szCs w:val="22"/>
        </w:rPr>
        <w:t xml:space="preserve">ESTADOS FINANCIEROS </w:t>
      </w:r>
      <w:r w:rsidR="00173179">
        <w:rPr>
          <w:rFonts w:cs="Arial"/>
          <w:b/>
          <w:color w:val="000000"/>
          <w:sz w:val="22"/>
          <w:szCs w:val="22"/>
        </w:rPr>
        <w:t>- R</w:t>
      </w:r>
      <w:r w:rsidR="00173179" w:rsidRPr="00627991">
        <w:rPr>
          <w:rFonts w:cs="Arial"/>
          <w:b/>
          <w:color w:val="000000"/>
          <w:sz w:val="22"/>
          <w:szCs w:val="22"/>
        </w:rPr>
        <w:t xml:space="preserve">egistro único de proponentes </w:t>
      </w:r>
      <w:r w:rsidR="00173179">
        <w:rPr>
          <w:rFonts w:cs="Arial"/>
          <w:b/>
          <w:color w:val="000000"/>
          <w:sz w:val="22"/>
          <w:szCs w:val="22"/>
        </w:rPr>
        <w:t>-</w:t>
      </w:r>
      <w:r w:rsidRPr="00627991">
        <w:rPr>
          <w:rFonts w:cs="Arial"/>
          <w:b/>
          <w:color w:val="000000"/>
          <w:sz w:val="22"/>
          <w:szCs w:val="22"/>
        </w:rPr>
        <w:t xml:space="preserve"> </w:t>
      </w:r>
      <w:r w:rsidR="00173179">
        <w:rPr>
          <w:rFonts w:cs="Arial"/>
          <w:b/>
          <w:color w:val="000000"/>
          <w:sz w:val="22"/>
          <w:szCs w:val="22"/>
        </w:rPr>
        <w:t>Concordancia -</w:t>
      </w:r>
      <w:r w:rsidRPr="007806CC">
        <w:rPr>
          <w:rFonts w:cs="Arial"/>
          <w:b/>
          <w:color w:val="000000"/>
          <w:sz w:val="22"/>
          <w:szCs w:val="22"/>
        </w:rPr>
        <w:t xml:space="preserve"> Análisis </w:t>
      </w:r>
      <w:r w:rsidR="00173179">
        <w:rPr>
          <w:rFonts w:cs="Arial"/>
          <w:b/>
          <w:color w:val="000000"/>
          <w:sz w:val="22"/>
          <w:szCs w:val="22"/>
        </w:rPr>
        <w:t>-</w:t>
      </w:r>
      <w:r w:rsidRPr="007806CC">
        <w:rPr>
          <w:rFonts w:cs="Arial"/>
          <w:b/>
          <w:color w:val="000000"/>
          <w:sz w:val="22"/>
          <w:szCs w:val="22"/>
        </w:rPr>
        <w:t xml:space="preserve"> Deber de la Administración </w:t>
      </w:r>
    </w:p>
    <w:p w14:paraId="5910CCA1" w14:textId="77777777" w:rsidR="000E38C4" w:rsidRPr="00627991" w:rsidRDefault="000E38C4" w:rsidP="00095161">
      <w:pPr>
        <w:pStyle w:val="NormalWeb"/>
        <w:shd w:val="clear" w:color="auto" w:fill="FFFFFF"/>
        <w:spacing w:before="0" w:beforeAutospacing="0" w:after="0" w:afterAutospacing="0" w:line="240" w:lineRule="auto"/>
        <w:rPr>
          <w:rFonts w:cs="Arial"/>
          <w:color w:val="000000"/>
          <w:sz w:val="22"/>
          <w:szCs w:val="22"/>
        </w:rPr>
      </w:pPr>
    </w:p>
    <w:p w14:paraId="7487271C" w14:textId="77777777" w:rsidR="000E38C4" w:rsidRPr="00627991" w:rsidRDefault="000E38C4" w:rsidP="00095161">
      <w:pPr>
        <w:pStyle w:val="NormalWeb"/>
        <w:shd w:val="clear" w:color="auto" w:fill="FFFFFF"/>
        <w:spacing w:before="0" w:beforeAutospacing="0" w:after="0" w:afterAutospacing="0" w:line="240" w:lineRule="auto"/>
        <w:rPr>
          <w:rFonts w:cs="Arial"/>
          <w:color w:val="000000"/>
          <w:sz w:val="22"/>
          <w:szCs w:val="22"/>
        </w:rPr>
      </w:pPr>
      <w:r w:rsidRPr="00627991">
        <w:rPr>
          <w:rFonts w:cs="Arial"/>
          <w:color w:val="000000"/>
          <w:sz w:val="22"/>
          <w:szCs w:val="22"/>
        </w:rPr>
        <w:t xml:space="preserve">El análisis de los estados financieros y su concordancia con las cifras acreditadas en el Registro Único de Proponentes – R.U.P.- se impone como un deber de la Administración, en aquellos casos en que ambos documentos obran como requisitos de la oferta, en orden a calificar los indicadores que habilitan a los oferentes, puesto que el acto administrativo de adjudicación tiene que fundarse en el cumplimiento material de los requisitos del pliego de condiciones. </w:t>
      </w:r>
    </w:p>
    <w:p w14:paraId="7FF44937" w14:textId="77777777" w:rsidR="000E38C4" w:rsidRPr="00627991" w:rsidRDefault="000E38C4" w:rsidP="00095161">
      <w:pPr>
        <w:pStyle w:val="NormalWeb"/>
        <w:shd w:val="clear" w:color="auto" w:fill="FFFFFF"/>
        <w:spacing w:before="0" w:beforeAutospacing="0" w:after="0" w:afterAutospacing="0" w:line="240" w:lineRule="auto"/>
        <w:rPr>
          <w:rFonts w:cs="Arial"/>
          <w:color w:val="000000"/>
          <w:sz w:val="22"/>
          <w:szCs w:val="22"/>
        </w:rPr>
      </w:pPr>
    </w:p>
    <w:p w14:paraId="59A9C07C" w14:textId="77777777" w:rsidR="000E38C4" w:rsidRPr="007806CC" w:rsidRDefault="000E38C4" w:rsidP="00095161">
      <w:pPr>
        <w:pStyle w:val="NormalWeb"/>
        <w:shd w:val="clear" w:color="auto" w:fill="FFFFFF"/>
        <w:spacing w:before="0" w:beforeAutospacing="0" w:after="0" w:afterAutospacing="0" w:line="240" w:lineRule="auto"/>
        <w:rPr>
          <w:rFonts w:cs="Arial"/>
          <w:b/>
          <w:color w:val="000000"/>
          <w:sz w:val="22"/>
          <w:szCs w:val="22"/>
        </w:rPr>
      </w:pPr>
      <w:r w:rsidRPr="00627991">
        <w:rPr>
          <w:rFonts w:cs="Arial"/>
          <w:b/>
          <w:color w:val="000000"/>
          <w:sz w:val="22"/>
          <w:szCs w:val="22"/>
        </w:rPr>
        <w:t xml:space="preserve">PRUEBA DOCUMENTAL </w:t>
      </w:r>
      <w:r w:rsidR="00173179">
        <w:rPr>
          <w:rFonts w:cs="Arial"/>
          <w:b/>
          <w:color w:val="000000"/>
          <w:sz w:val="22"/>
          <w:szCs w:val="22"/>
        </w:rPr>
        <w:t>-</w:t>
      </w:r>
      <w:r w:rsidRPr="00627991">
        <w:rPr>
          <w:rFonts w:cs="Arial"/>
          <w:b/>
          <w:color w:val="000000"/>
          <w:sz w:val="22"/>
          <w:szCs w:val="22"/>
        </w:rPr>
        <w:t xml:space="preserve"> </w:t>
      </w:r>
      <w:r w:rsidR="00173179">
        <w:rPr>
          <w:rFonts w:cs="Arial"/>
          <w:b/>
          <w:color w:val="000000"/>
          <w:sz w:val="22"/>
          <w:szCs w:val="22"/>
        </w:rPr>
        <w:t xml:space="preserve">Saneamiento - </w:t>
      </w:r>
      <w:r w:rsidRPr="007806CC">
        <w:rPr>
          <w:rFonts w:cs="Arial"/>
          <w:b/>
          <w:color w:val="000000"/>
          <w:sz w:val="22"/>
          <w:szCs w:val="22"/>
        </w:rPr>
        <w:t xml:space="preserve">Procedimiento previo a la contratación pública </w:t>
      </w:r>
    </w:p>
    <w:p w14:paraId="604A387A" w14:textId="77777777" w:rsidR="000E38C4" w:rsidRPr="00627991" w:rsidRDefault="000E38C4" w:rsidP="00095161">
      <w:pPr>
        <w:pStyle w:val="NormalWeb"/>
        <w:shd w:val="clear" w:color="auto" w:fill="FFFFFF"/>
        <w:spacing w:before="0" w:beforeAutospacing="0" w:after="0" w:afterAutospacing="0" w:line="240" w:lineRule="auto"/>
        <w:rPr>
          <w:rFonts w:cs="Arial"/>
          <w:color w:val="000000"/>
          <w:sz w:val="22"/>
          <w:szCs w:val="22"/>
        </w:rPr>
      </w:pPr>
    </w:p>
    <w:p w14:paraId="1A657B96" w14:textId="77777777" w:rsidR="000E38C4" w:rsidRPr="00627991" w:rsidRDefault="000E38C4" w:rsidP="00095161">
      <w:pPr>
        <w:widowControl w:val="0"/>
        <w:autoSpaceDE w:val="0"/>
        <w:autoSpaceDN w:val="0"/>
        <w:adjustRightInd w:val="0"/>
        <w:spacing w:line="240" w:lineRule="auto"/>
        <w:rPr>
          <w:rFonts w:cs="Arial"/>
          <w:sz w:val="22"/>
          <w:szCs w:val="22"/>
        </w:rPr>
      </w:pPr>
      <w:r w:rsidRPr="00627991">
        <w:rPr>
          <w:rFonts w:cs="Arial"/>
          <w:sz w:val="22"/>
          <w:szCs w:val="22"/>
        </w:rPr>
        <w:t>Es permitido establecer el saneamiento de la prueba documental allegada en el procedimiento previo a la contratación pública, en tanto se trate de la complementación de un requisito formal que no altere las condiciones de la competencia dentro del procedimiento de contratación pública.  Sin embargo, lo anterior no significa que la Administración pueda aceptar la modificación de los montos indicativos de la capacidad financiera en el curso del procedimiento de contratación, puesto que las cifras de los estados financieros reflejan factores materiales y de especial trascendencia en la evaluación de propuestas para adjudicar el contrato estatal.</w:t>
      </w:r>
    </w:p>
    <w:p w14:paraId="4242E61C" w14:textId="77777777" w:rsidR="000E38C4" w:rsidRPr="00627991" w:rsidRDefault="000E38C4" w:rsidP="00095161">
      <w:pPr>
        <w:pStyle w:val="NormalWeb"/>
        <w:shd w:val="clear" w:color="auto" w:fill="FFFFFF"/>
        <w:spacing w:before="0" w:beforeAutospacing="0" w:after="0" w:afterAutospacing="0" w:line="240" w:lineRule="auto"/>
        <w:rPr>
          <w:rFonts w:cs="Arial"/>
          <w:color w:val="000000"/>
          <w:sz w:val="22"/>
          <w:szCs w:val="22"/>
        </w:rPr>
      </w:pPr>
    </w:p>
    <w:p w14:paraId="1B8297FE" w14:textId="77777777" w:rsidR="000E38C4" w:rsidRDefault="00173179" w:rsidP="00095161">
      <w:pPr>
        <w:pStyle w:val="NormalWeb"/>
        <w:shd w:val="clear" w:color="auto" w:fill="FFFFFF"/>
        <w:spacing w:before="0" w:beforeAutospacing="0" w:after="0" w:afterAutospacing="0" w:line="240" w:lineRule="auto"/>
        <w:rPr>
          <w:rFonts w:cs="Arial"/>
          <w:color w:val="000000"/>
          <w:sz w:val="22"/>
          <w:szCs w:val="22"/>
        </w:rPr>
      </w:pPr>
      <w:r>
        <w:rPr>
          <w:rFonts w:cs="Arial"/>
          <w:b/>
          <w:bCs/>
          <w:color w:val="000000"/>
          <w:sz w:val="22"/>
          <w:szCs w:val="22"/>
        </w:rPr>
        <w:t>CAPACIDAD FINANCIERA -</w:t>
      </w:r>
      <w:r w:rsidR="00174FE3" w:rsidRPr="00627991">
        <w:rPr>
          <w:rFonts w:cs="Arial"/>
          <w:color w:val="000000"/>
          <w:sz w:val="22"/>
          <w:szCs w:val="22"/>
        </w:rPr>
        <w:t xml:space="preserve"> </w:t>
      </w:r>
      <w:r w:rsidR="00174FE3" w:rsidRPr="007806CC">
        <w:rPr>
          <w:rFonts w:cs="Arial"/>
          <w:b/>
          <w:color w:val="000000"/>
          <w:sz w:val="22"/>
          <w:szCs w:val="22"/>
        </w:rPr>
        <w:t>Requisito habilitante</w:t>
      </w:r>
      <w:r w:rsidR="00174FE3" w:rsidRPr="00627991">
        <w:rPr>
          <w:rFonts w:cs="Arial"/>
          <w:color w:val="000000"/>
          <w:sz w:val="22"/>
          <w:szCs w:val="22"/>
        </w:rPr>
        <w:t xml:space="preserve"> </w:t>
      </w:r>
    </w:p>
    <w:p w14:paraId="7C0D9A40" w14:textId="77777777" w:rsidR="007806CC" w:rsidRPr="00627991" w:rsidRDefault="007806CC" w:rsidP="00095161">
      <w:pPr>
        <w:pStyle w:val="NormalWeb"/>
        <w:shd w:val="clear" w:color="auto" w:fill="FFFFFF"/>
        <w:spacing w:before="0" w:beforeAutospacing="0" w:after="0" w:afterAutospacing="0" w:line="240" w:lineRule="auto"/>
        <w:rPr>
          <w:rFonts w:cs="Arial"/>
          <w:color w:val="000000"/>
          <w:sz w:val="22"/>
          <w:szCs w:val="22"/>
        </w:rPr>
      </w:pPr>
    </w:p>
    <w:p w14:paraId="30E3852F" w14:textId="77777777" w:rsidR="000E38C4" w:rsidRPr="00627991" w:rsidRDefault="00174FE3" w:rsidP="00095161">
      <w:pPr>
        <w:widowControl w:val="0"/>
        <w:autoSpaceDE w:val="0"/>
        <w:autoSpaceDN w:val="0"/>
        <w:adjustRightInd w:val="0"/>
        <w:spacing w:line="240" w:lineRule="auto"/>
        <w:rPr>
          <w:rFonts w:cs="Arial"/>
          <w:sz w:val="22"/>
          <w:szCs w:val="22"/>
        </w:rPr>
      </w:pPr>
      <w:r w:rsidRPr="00627991">
        <w:rPr>
          <w:rFonts w:cs="Arial"/>
          <w:sz w:val="22"/>
          <w:szCs w:val="22"/>
        </w:rPr>
        <w:t xml:space="preserve">La capacidad financiera es un requisito habilitante y bajo la Ley 80 de 1993 podía ser también un requisito de calificación para participar en el procedimiento de selección de </w:t>
      </w:r>
      <w:r w:rsidR="003C04F5" w:rsidRPr="00627991">
        <w:rPr>
          <w:rFonts w:cs="Arial"/>
          <w:sz w:val="22"/>
          <w:szCs w:val="22"/>
        </w:rPr>
        <w:t>contratistas, con</w:t>
      </w:r>
      <w:r w:rsidRPr="00627991">
        <w:rPr>
          <w:rFonts w:cs="Arial"/>
          <w:sz w:val="22"/>
          <w:szCs w:val="22"/>
        </w:rPr>
        <w:t xml:space="preserve"> el cual se busca asegurar que los proponentes tengan las </w:t>
      </w:r>
      <w:r w:rsidRPr="00627991">
        <w:rPr>
          <w:rFonts w:cs="Arial"/>
          <w:i/>
          <w:sz w:val="22"/>
          <w:szCs w:val="22"/>
        </w:rPr>
        <w:t>condiciones económicas requeridas para cumplir con el contrato</w:t>
      </w:r>
      <w:r w:rsidRPr="00627991">
        <w:rPr>
          <w:rFonts w:cs="Arial"/>
          <w:sz w:val="22"/>
          <w:szCs w:val="22"/>
        </w:rPr>
        <w:t xml:space="preserve">. De acuerdo con lo que se acaba de indicar, se hace notar que la capacidad financiera es una regla que busca asegurar el cometido del contrato estatal y, en tal medida, se enmarca como exigible, en desarrollo del numeral 3 del artículo 25 de la Ley 80 de 1993. </w:t>
      </w:r>
    </w:p>
    <w:p w14:paraId="23792056" w14:textId="77777777" w:rsidR="00174FE3" w:rsidRPr="00627991" w:rsidRDefault="00174FE3" w:rsidP="00095161">
      <w:pPr>
        <w:widowControl w:val="0"/>
        <w:autoSpaceDE w:val="0"/>
        <w:autoSpaceDN w:val="0"/>
        <w:adjustRightInd w:val="0"/>
        <w:spacing w:line="240" w:lineRule="auto"/>
        <w:rPr>
          <w:rFonts w:cs="Arial"/>
          <w:sz w:val="22"/>
          <w:szCs w:val="22"/>
        </w:rPr>
      </w:pPr>
    </w:p>
    <w:p w14:paraId="78DA48EC" w14:textId="4737CB83" w:rsidR="00174FE3" w:rsidRPr="00627991" w:rsidRDefault="003C04F5" w:rsidP="00095161">
      <w:pPr>
        <w:widowControl w:val="0"/>
        <w:autoSpaceDE w:val="0"/>
        <w:autoSpaceDN w:val="0"/>
        <w:adjustRightInd w:val="0"/>
        <w:spacing w:line="240" w:lineRule="auto"/>
        <w:rPr>
          <w:rFonts w:cs="Arial"/>
          <w:color w:val="000000"/>
          <w:sz w:val="22"/>
          <w:szCs w:val="22"/>
        </w:rPr>
      </w:pPr>
      <w:r>
        <w:rPr>
          <w:rFonts w:cs="Arial"/>
          <w:b/>
          <w:bCs/>
          <w:color w:val="000000"/>
          <w:sz w:val="22"/>
          <w:szCs w:val="22"/>
        </w:rPr>
        <w:t>SANEAMIE</w:t>
      </w:r>
      <w:r w:rsidR="006301A8">
        <w:rPr>
          <w:rFonts w:cs="Arial"/>
          <w:b/>
          <w:bCs/>
          <w:color w:val="000000"/>
          <w:sz w:val="22"/>
          <w:szCs w:val="22"/>
        </w:rPr>
        <w:t>N</w:t>
      </w:r>
      <w:r>
        <w:rPr>
          <w:rFonts w:cs="Arial"/>
          <w:b/>
          <w:bCs/>
          <w:color w:val="000000"/>
          <w:sz w:val="22"/>
          <w:szCs w:val="22"/>
        </w:rPr>
        <w:t>TO -</w:t>
      </w:r>
      <w:r w:rsidR="00174FE3" w:rsidRPr="00627991">
        <w:rPr>
          <w:rFonts w:cs="Arial"/>
          <w:b/>
          <w:bCs/>
          <w:color w:val="000000"/>
          <w:sz w:val="22"/>
          <w:szCs w:val="22"/>
        </w:rPr>
        <w:t xml:space="preserve"> </w:t>
      </w:r>
      <w:r w:rsidR="00174FE3" w:rsidRPr="007806CC">
        <w:rPr>
          <w:rFonts w:cs="Arial"/>
          <w:b/>
          <w:color w:val="000000"/>
          <w:sz w:val="22"/>
          <w:szCs w:val="22"/>
        </w:rPr>
        <w:t xml:space="preserve">Prueba </w:t>
      </w:r>
      <w:r>
        <w:rPr>
          <w:rFonts w:cs="Arial"/>
          <w:b/>
          <w:color w:val="000000"/>
          <w:sz w:val="22"/>
          <w:szCs w:val="22"/>
        </w:rPr>
        <w:t>documental -</w:t>
      </w:r>
      <w:r w:rsidR="00174FE3" w:rsidRPr="007806CC">
        <w:rPr>
          <w:rFonts w:cs="Arial"/>
          <w:b/>
          <w:color w:val="000000"/>
          <w:sz w:val="22"/>
          <w:szCs w:val="22"/>
        </w:rPr>
        <w:t xml:space="preserve"> No es posible sanear los factores financieros</w:t>
      </w:r>
    </w:p>
    <w:p w14:paraId="692C8316" w14:textId="77777777" w:rsidR="00174FE3" w:rsidRPr="00627991" w:rsidRDefault="00174FE3" w:rsidP="00095161">
      <w:pPr>
        <w:widowControl w:val="0"/>
        <w:autoSpaceDE w:val="0"/>
        <w:autoSpaceDN w:val="0"/>
        <w:adjustRightInd w:val="0"/>
        <w:spacing w:line="240" w:lineRule="auto"/>
        <w:rPr>
          <w:rFonts w:cs="Arial"/>
          <w:color w:val="000000"/>
          <w:sz w:val="22"/>
          <w:szCs w:val="22"/>
        </w:rPr>
      </w:pPr>
    </w:p>
    <w:p w14:paraId="6BADDED9" w14:textId="77777777" w:rsidR="00174FE3" w:rsidRPr="00627991" w:rsidRDefault="00174FE3" w:rsidP="00095161">
      <w:pPr>
        <w:widowControl w:val="0"/>
        <w:autoSpaceDE w:val="0"/>
        <w:autoSpaceDN w:val="0"/>
        <w:adjustRightInd w:val="0"/>
        <w:spacing w:line="240" w:lineRule="auto"/>
        <w:rPr>
          <w:rFonts w:cs="Arial"/>
          <w:sz w:val="22"/>
          <w:szCs w:val="22"/>
        </w:rPr>
      </w:pPr>
      <w:r w:rsidRPr="00627991">
        <w:rPr>
          <w:rFonts w:cs="Arial"/>
          <w:sz w:val="22"/>
          <w:szCs w:val="22"/>
        </w:rPr>
        <w:t xml:space="preserve">Es preciso tener en cuenta que en el procedimiento previo a la contratación es posible sanear la prueba documental, de acuerdo con lo que estableció el numeral 15 del artículo 25 de la Ley 80 de 1993, sin embargo, por esta vía no  se puede aceptar la modificación de los factores financieros que otorgan el derecho a participar en las propuestas de contratación, cuando tal modificación revela que, en realidad, no existía la capacidad financiera inicialmente acreditada para habilitar la propuesta y obtener la calificación correspondiente. </w:t>
      </w:r>
    </w:p>
    <w:p w14:paraId="084B0E57" w14:textId="77777777" w:rsidR="00173179" w:rsidRDefault="00173179" w:rsidP="00095161">
      <w:pPr>
        <w:widowControl w:val="0"/>
        <w:autoSpaceDE w:val="0"/>
        <w:autoSpaceDN w:val="0"/>
        <w:adjustRightInd w:val="0"/>
        <w:spacing w:line="240" w:lineRule="auto"/>
        <w:rPr>
          <w:rFonts w:cs="Arial"/>
          <w:b/>
          <w:bCs/>
          <w:color w:val="000000"/>
          <w:sz w:val="22"/>
          <w:szCs w:val="22"/>
        </w:rPr>
      </w:pPr>
    </w:p>
    <w:p w14:paraId="4271DB79" w14:textId="77777777" w:rsidR="00174FE3" w:rsidRPr="007806CC" w:rsidRDefault="00173179" w:rsidP="00095161">
      <w:pPr>
        <w:widowControl w:val="0"/>
        <w:autoSpaceDE w:val="0"/>
        <w:autoSpaceDN w:val="0"/>
        <w:adjustRightInd w:val="0"/>
        <w:spacing w:line="240" w:lineRule="auto"/>
        <w:rPr>
          <w:rFonts w:cs="Arial"/>
          <w:b/>
          <w:color w:val="000000"/>
          <w:sz w:val="22"/>
          <w:szCs w:val="22"/>
        </w:rPr>
      </w:pPr>
      <w:r>
        <w:rPr>
          <w:rFonts w:cs="Arial"/>
          <w:b/>
          <w:bCs/>
          <w:color w:val="000000"/>
          <w:sz w:val="22"/>
          <w:szCs w:val="22"/>
        </w:rPr>
        <w:t>ESTADOS FINANCIEROS -</w:t>
      </w:r>
      <w:r w:rsidR="00174FE3" w:rsidRPr="00627991">
        <w:rPr>
          <w:rFonts w:cs="Arial"/>
          <w:b/>
          <w:bCs/>
          <w:color w:val="000000"/>
          <w:sz w:val="22"/>
          <w:szCs w:val="22"/>
        </w:rPr>
        <w:t xml:space="preserve"> </w:t>
      </w:r>
      <w:r>
        <w:rPr>
          <w:rFonts w:cs="Arial"/>
          <w:b/>
          <w:bCs/>
          <w:color w:val="000000"/>
          <w:sz w:val="22"/>
          <w:szCs w:val="22"/>
        </w:rPr>
        <w:t xml:space="preserve">Dictamen - </w:t>
      </w:r>
      <w:r>
        <w:rPr>
          <w:rFonts w:cs="Arial"/>
          <w:b/>
          <w:color w:val="000000"/>
          <w:sz w:val="22"/>
          <w:szCs w:val="22"/>
        </w:rPr>
        <w:t xml:space="preserve">Requisito - Seguridad jurídica - </w:t>
      </w:r>
      <w:r w:rsidR="00174FE3" w:rsidRPr="007806CC">
        <w:rPr>
          <w:rFonts w:cs="Arial"/>
          <w:b/>
          <w:color w:val="000000"/>
          <w:sz w:val="22"/>
          <w:szCs w:val="22"/>
        </w:rPr>
        <w:t xml:space="preserve">Credibilidad en la información </w:t>
      </w:r>
    </w:p>
    <w:p w14:paraId="24FD8FD1" w14:textId="77777777" w:rsidR="00174FE3" w:rsidRPr="00627991" w:rsidRDefault="00174FE3" w:rsidP="00095161">
      <w:pPr>
        <w:widowControl w:val="0"/>
        <w:autoSpaceDE w:val="0"/>
        <w:autoSpaceDN w:val="0"/>
        <w:adjustRightInd w:val="0"/>
        <w:spacing w:line="240" w:lineRule="auto"/>
        <w:rPr>
          <w:rFonts w:cs="Arial"/>
          <w:color w:val="000000"/>
          <w:sz w:val="22"/>
          <w:szCs w:val="22"/>
        </w:rPr>
      </w:pPr>
    </w:p>
    <w:p w14:paraId="2E831D1E" w14:textId="77777777" w:rsidR="00174FE3" w:rsidRPr="00627991" w:rsidRDefault="00174FE3" w:rsidP="00095161">
      <w:pPr>
        <w:widowControl w:val="0"/>
        <w:autoSpaceDE w:val="0"/>
        <w:autoSpaceDN w:val="0"/>
        <w:adjustRightInd w:val="0"/>
        <w:spacing w:line="240" w:lineRule="auto"/>
        <w:rPr>
          <w:rFonts w:cs="Arial"/>
          <w:sz w:val="22"/>
          <w:szCs w:val="22"/>
        </w:rPr>
      </w:pPr>
      <w:r w:rsidRPr="00627991">
        <w:rPr>
          <w:rFonts w:cs="Arial"/>
          <w:sz w:val="22"/>
          <w:szCs w:val="22"/>
        </w:rPr>
        <w:t xml:space="preserve">El dictamen de los estados financieros es un requisito que le otorga seguridad y credibilidad a la información que los estados financieros revelan, en tanto proviene de un profesional en la disciplina contable y en la auditoria de la información financiera, a quien la Ley 43 de 1990 dotó de la potestad de otorgar fe pública y respecto del cual se exige su independencia. No sobra agregar que el dictamen constituye una opinión proveniente de un experto que se puede exigir respecto de los estados financieros de cualquier proponente, comerciante o no. </w:t>
      </w:r>
    </w:p>
    <w:p w14:paraId="7700D9B8" w14:textId="77777777" w:rsidR="004C239A" w:rsidRPr="00627991" w:rsidRDefault="004C239A" w:rsidP="00095161">
      <w:pPr>
        <w:widowControl w:val="0"/>
        <w:autoSpaceDE w:val="0"/>
        <w:autoSpaceDN w:val="0"/>
        <w:adjustRightInd w:val="0"/>
        <w:spacing w:line="240" w:lineRule="auto"/>
        <w:rPr>
          <w:rFonts w:cs="Arial"/>
          <w:sz w:val="22"/>
          <w:szCs w:val="22"/>
        </w:rPr>
      </w:pPr>
    </w:p>
    <w:p w14:paraId="76AD4F2B" w14:textId="77777777" w:rsidR="004C239A" w:rsidRDefault="004C239A" w:rsidP="00095161">
      <w:pPr>
        <w:widowControl w:val="0"/>
        <w:autoSpaceDE w:val="0"/>
        <w:autoSpaceDN w:val="0"/>
        <w:adjustRightInd w:val="0"/>
        <w:spacing w:line="240" w:lineRule="auto"/>
        <w:rPr>
          <w:rFonts w:cs="Arial"/>
        </w:rPr>
      </w:pPr>
    </w:p>
    <w:p w14:paraId="71C3110A" w14:textId="77777777" w:rsidR="00174FE3" w:rsidRDefault="00174FE3" w:rsidP="00174FE3">
      <w:pPr>
        <w:widowControl w:val="0"/>
        <w:autoSpaceDE w:val="0"/>
        <w:autoSpaceDN w:val="0"/>
        <w:adjustRightInd w:val="0"/>
        <w:rPr>
          <w:rFonts w:cs="Arial"/>
        </w:rPr>
      </w:pPr>
    </w:p>
    <w:p w14:paraId="6371A68A" w14:textId="77777777" w:rsidR="00C85395" w:rsidRPr="00F604CF" w:rsidRDefault="00C85395" w:rsidP="00F604CF">
      <w:pPr>
        <w:pStyle w:val="Puesto"/>
        <w:rPr>
          <w:sz w:val="24"/>
        </w:rPr>
      </w:pPr>
      <w:r w:rsidRPr="00F604CF">
        <w:rPr>
          <w:sz w:val="24"/>
        </w:rPr>
        <w:t>CONSEJO DE ESTADO</w:t>
      </w:r>
    </w:p>
    <w:p w14:paraId="1A0EEA5B" w14:textId="77777777" w:rsidR="00445AF0" w:rsidRPr="00F604CF" w:rsidRDefault="00445AF0" w:rsidP="00F604CF">
      <w:pPr>
        <w:pStyle w:val="Puesto"/>
        <w:rPr>
          <w:sz w:val="24"/>
        </w:rPr>
      </w:pPr>
    </w:p>
    <w:p w14:paraId="49415FF4" w14:textId="77777777" w:rsidR="00C85395" w:rsidRPr="00F604CF" w:rsidRDefault="00C85395" w:rsidP="00F604CF">
      <w:pPr>
        <w:pStyle w:val="Puesto"/>
        <w:rPr>
          <w:sz w:val="24"/>
        </w:rPr>
      </w:pPr>
      <w:r w:rsidRPr="00F604CF">
        <w:rPr>
          <w:sz w:val="24"/>
        </w:rPr>
        <w:t>SALA DE LO CONTENCIOSO ADMINISTRATIVO</w:t>
      </w:r>
    </w:p>
    <w:p w14:paraId="6C0AE4A3" w14:textId="77777777" w:rsidR="00445AF0" w:rsidRPr="00F604CF" w:rsidRDefault="00445AF0" w:rsidP="00F604CF">
      <w:pPr>
        <w:pStyle w:val="Puesto"/>
        <w:rPr>
          <w:sz w:val="24"/>
        </w:rPr>
      </w:pPr>
    </w:p>
    <w:p w14:paraId="78F2289D" w14:textId="77777777" w:rsidR="00525FD3" w:rsidRPr="00F604CF" w:rsidRDefault="000E6697" w:rsidP="00F604CF">
      <w:pPr>
        <w:pStyle w:val="Puesto"/>
        <w:rPr>
          <w:sz w:val="24"/>
        </w:rPr>
      </w:pPr>
      <w:r w:rsidRPr="00F604CF">
        <w:rPr>
          <w:sz w:val="24"/>
        </w:rPr>
        <w:t>SECCIÓ</w:t>
      </w:r>
      <w:r w:rsidR="00C85395" w:rsidRPr="00F604CF">
        <w:rPr>
          <w:sz w:val="24"/>
        </w:rPr>
        <w:t>N TERCERA</w:t>
      </w:r>
      <w:r w:rsidR="00525FD3" w:rsidRPr="00F604CF">
        <w:rPr>
          <w:sz w:val="24"/>
        </w:rPr>
        <w:t xml:space="preserve"> </w:t>
      </w:r>
    </w:p>
    <w:p w14:paraId="7D0D0259" w14:textId="77777777" w:rsidR="00525FD3" w:rsidRPr="00F604CF" w:rsidRDefault="00525FD3" w:rsidP="00F604CF">
      <w:pPr>
        <w:pStyle w:val="Puesto"/>
        <w:rPr>
          <w:sz w:val="24"/>
        </w:rPr>
      </w:pPr>
    </w:p>
    <w:p w14:paraId="771FFF26" w14:textId="77777777" w:rsidR="00C85395" w:rsidRPr="00F604CF" w:rsidRDefault="000E6697" w:rsidP="00F604CF">
      <w:pPr>
        <w:pStyle w:val="Puesto"/>
        <w:rPr>
          <w:sz w:val="24"/>
        </w:rPr>
      </w:pPr>
      <w:r w:rsidRPr="00F604CF">
        <w:rPr>
          <w:sz w:val="24"/>
        </w:rPr>
        <w:t>SUBSECCIÓ</w:t>
      </w:r>
      <w:r w:rsidR="009479F7" w:rsidRPr="00F604CF">
        <w:rPr>
          <w:sz w:val="24"/>
        </w:rPr>
        <w:t>N A</w:t>
      </w:r>
    </w:p>
    <w:p w14:paraId="218C4786" w14:textId="77777777" w:rsidR="00C85395" w:rsidRPr="00F604CF" w:rsidRDefault="00C85395" w:rsidP="00F604CF">
      <w:pPr>
        <w:pStyle w:val="Encabezado"/>
        <w:spacing w:line="240" w:lineRule="auto"/>
        <w:jc w:val="center"/>
        <w:rPr>
          <w:rFonts w:cs="Arial"/>
          <w:b/>
          <w:szCs w:val="24"/>
          <w:lang w:val="es-CO"/>
        </w:rPr>
      </w:pPr>
    </w:p>
    <w:p w14:paraId="1DA096C1" w14:textId="77777777" w:rsidR="00C85395" w:rsidRPr="00F604CF" w:rsidRDefault="00C85395" w:rsidP="00F604CF">
      <w:pPr>
        <w:pStyle w:val="Encabezado"/>
        <w:spacing w:line="240" w:lineRule="auto"/>
        <w:jc w:val="center"/>
        <w:rPr>
          <w:rFonts w:cs="Arial"/>
          <w:spacing w:val="-3"/>
          <w:szCs w:val="24"/>
          <w:lang w:val="es-CO"/>
        </w:rPr>
      </w:pPr>
      <w:r w:rsidRPr="00F604CF">
        <w:rPr>
          <w:rFonts w:cs="Arial"/>
          <w:b/>
          <w:szCs w:val="24"/>
          <w:lang w:val="es-CO"/>
        </w:rPr>
        <w:t>Consej</w:t>
      </w:r>
      <w:r w:rsidR="00F556DB" w:rsidRPr="00F604CF">
        <w:rPr>
          <w:rFonts w:cs="Arial"/>
          <w:b/>
          <w:szCs w:val="24"/>
          <w:lang w:val="es-CO"/>
        </w:rPr>
        <w:t>er</w:t>
      </w:r>
      <w:r w:rsidR="00961FDA" w:rsidRPr="00F604CF">
        <w:rPr>
          <w:rFonts w:cs="Arial"/>
          <w:b/>
          <w:szCs w:val="24"/>
          <w:lang w:val="es-CO"/>
        </w:rPr>
        <w:t>a</w:t>
      </w:r>
      <w:r w:rsidR="00F556DB" w:rsidRPr="00F604CF">
        <w:rPr>
          <w:rFonts w:cs="Arial"/>
          <w:b/>
          <w:szCs w:val="24"/>
          <w:lang w:val="es-CO"/>
        </w:rPr>
        <w:t xml:space="preserve"> </w:t>
      </w:r>
      <w:r w:rsidR="00525FD3" w:rsidRPr="00F604CF">
        <w:rPr>
          <w:rFonts w:cs="Arial"/>
          <w:b/>
          <w:szCs w:val="24"/>
          <w:lang w:val="es-CO"/>
        </w:rPr>
        <w:t>p</w:t>
      </w:r>
      <w:r w:rsidR="00F556DB" w:rsidRPr="00F604CF">
        <w:rPr>
          <w:rFonts w:cs="Arial"/>
          <w:b/>
          <w:szCs w:val="24"/>
          <w:lang w:val="es-CO"/>
        </w:rPr>
        <w:t>onente: MA</w:t>
      </w:r>
      <w:r w:rsidR="00961FDA" w:rsidRPr="00F604CF">
        <w:rPr>
          <w:rFonts w:cs="Arial"/>
          <w:b/>
          <w:szCs w:val="24"/>
          <w:lang w:val="es-CO"/>
        </w:rPr>
        <w:t>RTA NUBIA VELÁSQUEZ RICO</w:t>
      </w:r>
    </w:p>
    <w:p w14:paraId="34C430FF" w14:textId="77777777" w:rsidR="00ED77A2" w:rsidRPr="00F604CF" w:rsidRDefault="00ED77A2" w:rsidP="00F604CF">
      <w:pPr>
        <w:spacing w:line="240" w:lineRule="auto"/>
        <w:rPr>
          <w:rFonts w:cs="Arial"/>
        </w:rPr>
      </w:pPr>
    </w:p>
    <w:p w14:paraId="65987A08" w14:textId="77777777" w:rsidR="00F21484" w:rsidRPr="00F604CF" w:rsidRDefault="00F21484" w:rsidP="00F604CF">
      <w:pPr>
        <w:pStyle w:val="Saludo"/>
        <w:spacing w:line="240" w:lineRule="auto"/>
        <w:rPr>
          <w:rFonts w:cs="Arial"/>
        </w:rPr>
      </w:pPr>
      <w:r w:rsidRPr="00F604CF">
        <w:rPr>
          <w:rFonts w:cs="Arial"/>
        </w:rPr>
        <w:t>B</w:t>
      </w:r>
      <w:r w:rsidR="00025C7D" w:rsidRPr="00F604CF">
        <w:rPr>
          <w:rFonts w:cs="Arial"/>
        </w:rPr>
        <w:t>ogotá</w:t>
      </w:r>
      <w:r w:rsidR="00525FD3" w:rsidRPr="00F604CF">
        <w:rPr>
          <w:rFonts w:cs="Arial"/>
        </w:rPr>
        <w:t>,</w:t>
      </w:r>
      <w:r w:rsidR="00025C7D" w:rsidRPr="00F604CF">
        <w:rPr>
          <w:rFonts w:cs="Arial"/>
        </w:rPr>
        <w:t xml:space="preserve"> D.C.,</w:t>
      </w:r>
      <w:r w:rsidR="003C3165" w:rsidRPr="00F604CF">
        <w:rPr>
          <w:rFonts w:cs="Arial"/>
        </w:rPr>
        <w:t xml:space="preserve"> diez (10) de noviembre </w:t>
      </w:r>
      <w:r w:rsidR="00C6529F" w:rsidRPr="00F604CF">
        <w:rPr>
          <w:rFonts w:cs="Arial"/>
        </w:rPr>
        <w:t xml:space="preserve">de </w:t>
      </w:r>
      <w:r w:rsidR="003D2359" w:rsidRPr="00F604CF">
        <w:rPr>
          <w:rFonts w:cs="Arial"/>
        </w:rPr>
        <w:t xml:space="preserve">dos mil </w:t>
      </w:r>
      <w:r w:rsidR="00F773C8" w:rsidRPr="00F604CF">
        <w:rPr>
          <w:rFonts w:cs="Arial"/>
        </w:rPr>
        <w:t>diecis</w:t>
      </w:r>
      <w:r w:rsidR="00F720AB" w:rsidRPr="00F604CF">
        <w:rPr>
          <w:rFonts w:cs="Arial"/>
        </w:rPr>
        <w:t>iete</w:t>
      </w:r>
      <w:r w:rsidR="003D2359" w:rsidRPr="00F604CF">
        <w:rPr>
          <w:rFonts w:cs="Arial"/>
        </w:rPr>
        <w:t xml:space="preserve"> (201</w:t>
      </w:r>
      <w:r w:rsidR="00F720AB" w:rsidRPr="00F604CF">
        <w:rPr>
          <w:rFonts w:cs="Arial"/>
        </w:rPr>
        <w:t>7</w:t>
      </w:r>
      <w:r w:rsidR="003D2359" w:rsidRPr="00F604CF">
        <w:rPr>
          <w:rFonts w:cs="Arial"/>
        </w:rPr>
        <w:t>)</w:t>
      </w:r>
    </w:p>
    <w:p w14:paraId="258E651E" w14:textId="77777777" w:rsidR="0009687C" w:rsidRPr="00F604CF" w:rsidRDefault="0009687C" w:rsidP="00F604CF">
      <w:pPr>
        <w:spacing w:line="240" w:lineRule="auto"/>
        <w:rPr>
          <w:rFonts w:cs="Arial"/>
          <w:b/>
        </w:rPr>
      </w:pPr>
    </w:p>
    <w:p w14:paraId="62C9EC10" w14:textId="77777777" w:rsidR="00BA77BD" w:rsidRPr="00F604CF" w:rsidRDefault="0095680A" w:rsidP="00F604CF">
      <w:pPr>
        <w:widowControl w:val="0"/>
        <w:autoSpaceDE w:val="0"/>
        <w:autoSpaceDN w:val="0"/>
        <w:adjustRightInd w:val="0"/>
        <w:spacing w:line="240" w:lineRule="auto"/>
        <w:rPr>
          <w:rFonts w:cs="Arial"/>
          <w:b/>
        </w:rPr>
      </w:pPr>
      <w:r w:rsidRPr="00F604CF">
        <w:rPr>
          <w:rFonts w:cs="Arial"/>
          <w:b/>
        </w:rPr>
        <w:t>R</w:t>
      </w:r>
      <w:r w:rsidR="00525FD3" w:rsidRPr="00F604CF">
        <w:rPr>
          <w:rFonts w:cs="Arial"/>
          <w:b/>
        </w:rPr>
        <w:t>adicación número</w:t>
      </w:r>
      <w:r w:rsidRPr="00F604CF">
        <w:rPr>
          <w:rFonts w:cs="Arial"/>
          <w:b/>
        </w:rPr>
        <w:t xml:space="preserve">: </w:t>
      </w:r>
      <w:r w:rsidR="00E06D52" w:rsidRPr="00F604CF">
        <w:rPr>
          <w:rFonts w:cs="Arial"/>
          <w:b/>
        </w:rPr>
        <w:t>52001</w:t>
      </w:r>
      <w:r w:rsidR="00525FD3" w:rsidRPr="00F604CF">
        <w:rPr>
          <w:rFonts w:cs="Arial"/>
          <w:b/>
        </w:rPr>
        <w:t>-</w:t>
      </w:r>
      <w:r w:rsidR="00E06D52" w:rsidRPr="00F604CF">
        <w:rPr>
          <w:rFonts w:cs="Arial"/>
          <w:b/>
        </w:rPr>
        <w:t>23</w:t>
      </w:r>
      <w:r w:rsidR="00525FD3" w:rsidRPr="00F604CF">
        <w:rPr>
          <w:rFonts w:cs="Arial"/>
          <w:b/>
        </w:rPr>
        <w:t>-</w:t>
      </w:r>
      <w:r w:rsidR="00E06D52" w:rsidRPr="00F604CF">
        <w:rPr>
          <w:rFonts w:cs="Arial"/>
          <w:b/>
        </w:rPr>
        <w:t>31</w:t>
      </w:r>
      <w:r w:rsidR="00525FD3" w:rsidRPr="00F604CF">
        <w:rPr>
          <w:rFonts w:cs="Arial"/>
          <w:b/>
        </w:rPr>
        <w:t>-</w:t>
      </w:r>
      <w:r w:rsidR="00E06D52" w:rsidRPr="00F604CF">
        <w:rPr>
          <w:rFonts w:cs="Arial"/>
          <w:b/>
        </w:rPr>
        <w:t>000</w:t>
      </w:r>
      <w:r w:rsidR="00525FD3" w:rsidRPr="00F604CF">
        <w:rPr>
          <w:rFonts w:cs="Arial"/>
          <w:b/>
        </w:rPr>
        <w:t>-</w:t>
      </w:r>
      <w:r w:rsidR="00E06D52" w:rsidRPr="00F604CF">
        <w:rPr>
          <w:rFonts w:cs="Arial"/>
          <w:b/>
        </w:rPr>
        <w:t>2007</w:t>
      </w:r>
      <w:r w:rsidR="00525FD3" w:rsidRPr="00F604CF">
        <w:rPr>
          <w:rFonts w:cs="Arial"/>
          <w:b/>
        </w:rPr>
        <w:t>-</w:t>
      </w:r>
      <w:r w:rsidR="00E06D52" w:rsidRPr="00F604CF">
        <w:rPr>
          <w:rFonts w:cs="Arial"/>
          <w:b/>
        </w:rPr>
        <w:t>00509</w:t>
      </w:r>
      <w:r w:rsidR="00525FD3" w:rsidRPr="00F604CF">
        <w:rPr>
          <w:rFonts w:cs="Arial"/>
          <w:b/>
        </w:rPr>
        <w:t>-01</w:t>
      </w:r>
      <w:r w:rsidR="00E06D52" w:rsidRPr="00F604CF">
        <w:rPr>
          <w:rFonts w:cs="Arial"/>
          <w:b/>
        </w:rPr>
        <w:t>(53793)</w:t>
      </w:r>
    </w:p>
    <w:p w14:paraId="77721C8B" w14:textId="77777777" w:rsidR="0095680A" w:rsidRPr="00F604CF" w:rsidRDefault="0095680A" w:rsidP="00F604CF">
      <w:pPr>
        <w:widowControl w:val="0"/>
        <w:autoSpaceDE w:val="0"/>
        <w:autoSpaceDN w:val="0"/>
        <w:adjustRightInd w:val="0"/>
        <w:spacing w:line="240" w:lineRule="auto"/>
        <w:rPr>
          <w:rFonts w:cs="Arial"/>
          <w:b/>
        </w:rPr>
      </w:pPr>
    </w:p>
    <w:p w14:paraId="6FBDEE90" w14:textId="77777777" w:rsidR="00B06433" w:rsidRPr="00F604CF" w:rsidRDefault="00F604CF" w:rsidP="00F604CF">
      <w:pPr>
        <w:widowControl w:val="0"/>
        <w:tabs>
          <w:tab w:val="left" w:pos="5956"/>
        </w:tabs>
        <w:autoSpaceDE w:val="0"/>
        <w:autoSpaceDN w:val="0"/>
        <w:adjustRightInd w:val="0"/>
        <w:spacing w:line="240" w:lineRule="auto"/>
        <w:rPr>
          <w:rFonts w:cs="Arial"/>
          <w:b/>
        </w:rPr>
      </w:pPr>
      <w:r>
        <w:rPr>
          <w:rFonts w:cs="Arial"/>
          <w:b/>
        </w:rPr>
        <w:t>Actor</w:t>
      </w:r>
      <w:r w:rsidR="0095680A" w:rsidRPr="00F604CF">
        <w:rPr>
          <w:rFonts w:cs="Arial"/>
          <w:b/>
        </w:rPr>
        <w:t xml:space="preserve">: </w:t>
      </w:r>
      <w:r w:rsidR="00320EDC" w:rsidRPr="00F604CF">
        <w:rPr>
          <w:rFonts w:cs="Arial"/>
          <w:b/>
        </w:rPr>
        <w:t>RAMIRO RIVERA RAMÍREZ</w:t>
      </w:r>
      <w:r w:rsidR="0049622F" w:rsidRPr="00F604CF">
        <w:rPr>
          <w:rFonts w:cs="Arial"/>
          <w:b/>
        </w:rPr>
        <w:t xml:space="preserve"> </w:t>
      </w:r>
    </w:p>
    <w:p w14:paraId="64760412" w14:textId="77777777" w:rsidR="00501881" w:rsidRPr="00F604CF" w:rsidRDefault="00501881" w:rsidP="00F604CF">
      <w:pPr>
        <w:widowControl w:val="0"/>
        <w:autoSpaceDE w:val="0"/>
        <w:autoSpaceDN w:val="0"/>
        <w:adjustRightInd w:val="0"/>
        <w:spacing w:line="240" w:lineRule="auto"/>
        <w:rPr>
          <w:rFonts w:cs="Arial"/>
          <w:b/>
        </w:rPr>
      </w:pPr>
    </w:p>
    <w:p w14:paraId="1E8706D3" w14:textId="77777777" w:rsidR="00B06433" w:rsidRPr="00F604CF" w:rsidRDefault="00525FD3" w:rsidP="00F604CF">
      <w:pPr>
        <w:widowControl w:val="0"/>
        <w:autoSpaceDE w:val="0"/>
        <w:autoSpaceDN w:val="0"/>
        <w:adjustRightInd w:val="0"/>
        <w:spacing w:line="240" w:lineRule="auto"/>
        <w:rPr>
          <w:rFonts w:cs="Arial"/>
          <w:b/>
        </w:rPr>
      </w:pPr>
      <w:r w:rsidRPr="00F604CF">
        <w:rPr>
          <w:rFonts w:cs="Arial"/>
          <w:b/>
        </w:rPr>
        <w:t xml:space="preserve">Demandado: </w:t>
      </w:r>
      <w:r w:rsidR="00320EDC" w:rsidRPr="00F604CF">
        <w:rPr>
          <w:rFonts w:cs="Arial"/>
          <w:b/>
        </w:rPr>
        <w:t>DEPARTAMENTO DEL PUTUMAYO Y UNIÓN TEMPORAL CA</w:t>
      </w:r>
      <w:r w:rsidR="00267BD6" w:rsidRPr="00F604CF">
        <w:rPr>
          <w:rFonts w:cs="Arial"/>
          <w:b/>
        </w:rPr>
        <w:t>L</w:t>
      </w:r>
      <w:r w:rsidR="00320EDC" w:rsidRPr="00F604CF">
        <w:rPr>
          <w:rFonts w:cs="Arial"/>
          <w:b/>
        </w:rPr>
        <w:t>IMEÑO</w:t>
      </w:r>
    </w:p>
    <w:p w14:paraId="3D1D8FCA" w14:textId="77777777" w:rsidR="00501881" w:rsidRPr="00F604CF" w:rsidRDefault="00501881" w:rsidP="00F604CF">
      <w:pPr>
        <w:widowControl w:val="0"/>
        <w:autoSpaceDE w:val="0"/>
        <w:autoSpaceDN w:val="0"/>
        <w:adjustRightInd w:val="0"/>
        <w:spacing w:line="240" w:lineRule="auto"/>
        <w:rPr>
          <w:rFonts w:cs="Arial"/>
          <w:b/>
        </w:rPr>
      </w:pPr>
    </w:p>
    <w:p w14:paraId="322208A2" w14:textId="77777777" w:rsidR="00525FD3" w:rsidRPr="00F604CF" w:rsidRDefault="00525FD3" w:rsidP="00F604CF">
      <w:pPr>
        <w:widowControl w:val="0"/>
        <w:autoSpaceDE w:val="0"/>
        <w:autoSpaceDN w:val="0"/>
        <w:adjustRightInd w:val="0"/>
        <w:spacing w:line="240" w:lineRule="auto"/>
        <w:rPr>
          <w:rFonts w:cs="Arial"/>
          <w:b/>
        </w:rPr>
      </w:pPr>
    </w:p>
    <w:p w14:paraId="5EB1F6EE" w14:textId="77777777" w:rsidR="00525FD3" w:rsidRPr="00F604CF" w:rsidRDefault="00525FD3" w:rsidP="00F604CF">
      <w:pPr>
        <w:widowControl w:val="0"/>
        <w:autoSpaceDE w:val="0"/>
        <w:autoSpaceDN w:val="0"/>
        <w:adjustRightInd w:val="0"/>
        <w:spacing w:line="240" w:lineRule="auto"/>
        <w:rPr>
          <w:rFonts w:cs="Arial"/>
          <w:b/>
        </w:rPr>
      </w:pPr>
    </w:p>
    <w:p w14:paraId="6C5AFE9F" w14:textId="77777777" w:rsidR="00445AF0" w:rsidRPr="00F604CF" w:rsidRDefault="00525FD3" w:rsidP="00F604CF">
      <w:pPr>
        <w:widowControl w:val="0"/>
        <w:autoSpaceDE w:val="0"/>
        <w:autoSpaceDN w:val="0"/>
        <w:adjustRightInd w:val="0"/>
        <w:spacing w:line="240" w:lineRule="auto"/>
        <w:rPr>
          <w:rFonts w:cs="Arial"/>
          <w:b/>
        </w:rPr>
      </w:pPr>
      <w:r w:rsidRPr="00F604CF">
        <w:rPr>
          <w:rFonts w:cs="Arial"/>
          <w:b/>
        </w:rPr>
        <w:t xml:space="preserve">Referencia: APELACIÓN SENTENCIA – ACCIÓN DE CONTROVERSIAS CONTRACTUALES </w:t>
      </w:r>
    </w:p>
    <w:p w14:paraId="79E704C2" w14:textId="77777777" w:rsidR="00525FD3" w:rsidRPr="00F604CF" w:rsidRDefault="00525FD3" w:rsidP="00F604CF">
      <w:pPr>
        <w:widowControl w:val="0"/>
        <w:autoSpaceDE w:val="0"/>
        <w:autoSpaceDN w:val="0"/>
        <w:adjustRightInd w:val="0"/>
        <w:spacing w:line="240" w:lineRule="auto"/>
        <w:rPr>
          <w:rFonts w:cs="Arial"/>
          <w:b/>
        </w:rPr>
      </w:pPr>
    </w:p>
    <w:p w14:paraId="2EAE6F01" w14:textId="77777777" w:rsidR="00320EDC" w:rsidRPr="00F604CF" w:rsidRDefault="00320EDC" w:rsidP="00F604CF">
      <w:pPr>
        <w:widowControl w:val="0"/>
        <w:autoSpaceDE w:val="0"/>
        <w:autoSpaceDN w:val="0"/>
        <w:adjustRightInd w:val="0"/>
        <w:spacing w:line="240" w:lineRule="auto"/>
        <w:rPr>
          <w:rFonts w:cs="Arial"/>
          <w:b/>
        </w:rPr>
      </w:pPr>
    </w:p>
    <w:p w14:paraId="74E53BD2" w14:textId="77777777" w:rsidR="0004439E" w:rsidRPr="00F604CF" w:rsidRDefault="0004439E" w:rsidP="00F604CF">
      <w:pPr>
        <w:widowControl w:val="0"/>
        <w:autoSpaceDE w:val="0"/>
        <w:autoSpaceDN w:val="0"/>
        <w:adjustRightInd w:val="0"/>
        <w:spacing w:line="240" w:lineRule="auto"/>
        <w:rPr>
          <w:rFonts w:cs="Arial"/>
          <w:b/>
          <w:i/>
        </w:rPr>
      </w:pPr>
    </w:p>
    <w:p w14:paraId="1934EBEA" w14:textId="77777777" w:rsidR="00501881" w:rsidRPr="00F604CF" w:rsidRDefault="00BA77BD" w:rsidP="00F604CF">
      <w:pPr>
        <w:widowControl w:val="0"/>
        <w:autoSpaceDE w:val="0"/>
        <w:autoSpaceDN w:val="0"/>
        <w:adjustRightInd w:val="0"/>
        <w:spacing w:line="240" w:lineRule="auto"/>
        <w:rPr>
          <w:rFonts w:cs="Arial"/>
        </w:rPr>
      </w:pPr>
      <w:r w:rsidRPr="00F604CF">
        <w:rPr>
          <w:rFonts w:cs="Arial"/>
          <w:b/>
          <w:i/>
        </w:rPr>
        <w:t>T</w:t>
      </w:r>
      <w:r w:rsidR="00320EDC" w:rsidRPr="00F604CF">
        <w:rPr>
          <w:rFonts w:cs="Arial"/>
          <w:b/>
          <w:i/>
        </w:rPr>
        <w:t>emas</w:t>
      </w:r>
      <w:r w:rsidR="00D164CB" w:rsidRPr="00F604CF">
        <w:rPr>
          <w:rFonts w:cs="Arial"/>
          <w:i/>
        </w:rPr>
        <w:t xml:space="preserve">: </w:t>
      </w:r>
      <w:r w:rsidR="001601D0" w:rsidRPr="00F604CF">
        <w:rPr>
          <w:rFonts w:cs="Arial"/>
          <w:i/>
        </w:rPr>
        <w:t xml:space="preserve">ACTOS PRECONTRACTUALES – Caducidad de las pretensiones indemnizatorias cuando </w:t>
      </w:r>
      <w:r w:rsidR="00855D1A" w:rsidRPr="00F604CF">
        <w:rPr>
          <w:rFonts w:cs="Arial"/>
          <w:i/>
        </w:rPr>
        <w:t xml:space="preserve">la demanda se presentó por fuera del </w:t>
      </w:r>
      <w:r w:rsidR="001601D0" w:rsidRPr="00F604CF">
        <w:rPr>
          <w:rFonts w:cs="Arial"/>
          <w:i/>
        </w:rPr>
        <w:t xml:space="preserve">plazo </w:t>
      </w:r>
      <w:r w:rsidR="00855D1A" w:rsidRPr="00F604CF">
        <w:rPr>
          <w:rFonts w:cs="Arial"/>
          <w:i/>
        </w:rPr>
        <w:t xml:space="preserve">de 30 días </w:t>
      </w:r>
      <w:r w:rsidR="001601D0" w:rsidRPr="00F604CF">
        <w:rPr>
          <w:rFonts w:cs="Arial"/>
          <w:i/>
        </w:rPr>
        <w:t>fijado en el art</w:t>
      </w:r>
      <w:r w:rsidR="00B31979" w:rsidRPr="00F604CF">
        <w:rPr>
          <w:rFonts w:cs="Arial"/>
          <w:i/>
        </w:rPr>
        <w:t>í</w:t>
      </w:r>
      <w:r w:rsidR="001601D0" w:rsidRPr="00F604CF">
        <w:rPr>
          <w:rFonts w:cs="Arial"/>
          <w:i/>
        </w:rPr>
        <w:t>culo 87</w:t>
      </w:r>
      <w:r w:rsidR="00DC0D27" w:rsidRPr="00F604CF">
        <w:rPr>
          <w:rFonts w:cs="Arial"/>
          <w:i/>
        </w:rPr>
        <w:t xml:space="preserve"> </w:t>
      </w:r>
      <w:r w:rsidR="00855D1A" w:rsidRPr="00F604CF">
        <w:rPr>
          <w:rFonts w:cs="Arial"/>
          <w:i/>
        </w:rPr>
        <w:t xml:space="preserve">del </w:t>
      </w:r>
      <w:r w:rsidR="001601D0" w:rsidRPr="00F604CF">
        <w:rPr>
          <w:rFonts w:cs="Arial"/>
          <w:i/>
        </w:rPr>
        <w:t>C</w:t>
      </w:r>
      <w:r w:rsidR="00855D1A" w:rsidRPr="00F604CF">
        <w:rPr>
          <w:rFonts w:cs="Arial"/>
          <w:i/>
        </w:rPr>
        <w:t>.</w:t>
      </w:r>
      <w:r w:rsidR="001601D0" w:rsidRPr="00F604CF">
        <w:rPr>
          <w:rFonts w:cs="Arial"/>
          <w:i/>
        </w:rPr>
        <w:t>C</w:t>
      </w:r>
      <w:r w:rsidR="00855D1A" w:rsidRPr="00F604CF">
        <w:rPr>
          <w:rFonts w:cs="Arial"/>
          <w:i/>
        </w:rPr>
        <w:t>.</w:t>
      </w:r>
      <w:r w:rsidR="001601D0" w:rsidRPr="00F604CF">
        <w:rPr>
          <w:rFonts w:cs="Arial"/>
          <w:i/>
        </w:rPr>
        <w:t>A</w:t>
      </w:r>
      <w:r w:rsidR="00855D1A" w:rsidRPr="00F604CF">
        <w:rPr>
          <w:rFonts w:cs="Arial"/>
          <w:i/>
        </w:rPr>
        <w:t>.</w:t>
      </w:r>
      <w:r w:rsidR="00DC0D27" w:rsidRPr="00F604CF">
        <w:rPr>
          <w:rFonts w:cs="Arial"/>
          <w:i/>
        </w:rPr>
        <w:t xml:space="preserve"> /</w:t>
      </w:r>
      <w:r w:rsidR="001601D0" w:rsidRPr="00F604CF">
        <w:rPr>
          <w:rFonts w:cs="Arial"/>
          <w:i/>
        </w:rPr>
        <w:t xml:space="preserve"> </w:t>
      </w:r>
      <w:r w:rsidR="00DC0D27" w:rsidRPr="00F604CF">
        <w:rPr>
          <w:rFonts w:cs="Arial"/>
          <w:i/>
        </w:rPr>
        <w:t>REGLAS DEL PLIEGO DE CONDIC</w:t>
      </w:r>
      <w:r w:rsidR="00F733FC" w:rsidRPr="00F604CF">
        <w:rPr>
          <w:rFonts w:cs="Arial"/>
          <w:i/>
        </w:rPr>
        <w:t>I</w:t>
      </w:r>
      <w:r w:rsidR="00DC0D27" w:rsidRPr="00F604CF">
        <w:rPr>
          <w:rFonts w:cs="Arial"/>
          <w:i/>
        </w:rPr>
        <w:t xml:space="preserve">ONES </w:t>
      </w:r>
      <w:r w:rsidR="00EF5DE0" w:rsidRPr="00F604CF">
        <w:rPr>
          <w:rFonts w:cs="Arial"/>
          <w:i/>
        </w:rPr>
        <w:t>- rechazo de las propuestas por falta de los documentos relacionados con los estados financieros</w:t>
      </w:r>
      <w:r w:rsidR="001601D0" w:rsidRPr="00F604CF">
        <w:rPr>
          <w:rFonts w:cs="Arial"/>
          <w:i/>
        </w:rPr>
        <w:t xml:space="preserve"> –</w:t>
      </w:r>
      <w:r w:rsidR="00752581" w:rsidRPr="00F604CF">
        <w:rPr>
          <w:rFonts w:cs="Arial"/>
          <w:i/>
        </w:rPr>
        <w:t xml:space="preserve">SANEAMIENTO DE LA PRUEBA DOCUMENTAL - </w:t>
      </w:r>
      <w:r w:rsidR="00793141" w:rsidRPr="00F604CF">
        <w:rPr>
          <w:rFonts w:cs="Arial"/>
          <w:i/>
        </w:rPr>
        <w:t>no significa que</w:t>
      </w:r>
      <w:r w:rsidR="003D4D1F" w:rsidRPr="00F604CF">
        <w:rPr>
          <w:rFonts w:cs="Arial"/>
          <w:i/>
        </w:rPr>
        <w:t xml:space="preserve">, en el curso del procedimiento de contratación, </w:t>
      </w:r>
      <w:r w:rsidR="00B31979" w:rsidRPr="00F604CF">
        <w:rPr>
          <w:rFonts w:cs="Arial"/>
          <w:i/>
        </w:rPr>
        <w:t xml:space="preserve">se </w:t>
      </w:r>
      <w:r w:rsidR="00BD7287" w:rsidRPr="00F604CF">
        <w:rPr>
          <w:rFonts w:cs="Arial"/>
          <w:i/>
        </w:rPr>
        <w:t>deb</w:t>
      </w:r>
      <w:r w:rsidR="00793141" w:rsidRPr="00F604CF">
        <w:rPr>
          <w:rFonts w:cs="Arial"/>
          <w:i/>
        </w:rPr>
        <w:t>a</w:t>
      </w:r>
      <w:r w:rsidR="00BD7287" w:rsidRPr="00F604CF">
        <w:rPr>
          <w:rFonts w:cs="Arial"/>
          <w:i/>
        </w:rPr>
        <w:t xml:space="preserve"> aceptar </w:t>
      </w:r>
      <w:r w:rsidR="001601D0" w:rsidRPr="00F604CF">
        <w:rPr>
          <w:rFonts w:cs="Arial"/>
          <w:i/>
        </w:rPr>
        <w:t>la modificación de l</w:t>
      </w:r>
      <w:r w:rsidR="00DC0D27" w:rsidRPr="00F604CF">
        <w:rPr>
          <w:rFonts w:cs="Arial"/>
          <w:i/>
        </w:rPr>
        <w:t xml:space="preserve">os </w:t>
      </w:r>
      <w:r w:rsidR="00F733FC" w:rsidRPr="00F604CF">
        <w:rPr>
          <w:rFonts w:cs="Arial"/>
          <w:i/>
        </w:rPr>
        <w:t>valores indicativos de la capacidad financier</w:t>
      </w:r>
      <w:r w:rsidR="00793141" w:rsidRPr="00F604CF">
        <w:rPr>
          <w:rFonts w:cs="Arial"/>
          <w:i/>
        </w:rPr>
        <w:t>a</w:t>
      </w:r>
      <w:r w:rsidR="00F733FC" w:rsidRPr="00F604CF">
        <w:rPr>
          <w:rFonts w:cs="Arial"/>
          <w:i/>
        </w:rPr>
        <w:t xml:space="preserve"> </w:t>
      </w:r>
      <w:r w:rsidR="00DC0D27" w:rsidRPr="00F604CF">
        <w:rPr>
          <w:rFonts w:cs="Arial"/>
          <w:i/>
        </w:rPr>
        <w:t xml:space="preserve">/ CAPACIDAD FINANCIERA – es un requisito habilitante </w:t>
      </w:r>
      <w:r w:rsidR="00F733FC" w:rsidRPr="00F604CF">
        <w:rPr>
          <w:rFonts w:cs="Arial"/>
          <w:i/>
        </w:rPr>
        <w:t xml:space="preserve">que busca asegurar que los proponentes tengan las condiciones </w:t>
      </w:r>
      <w:r w:rsidR="00F733FC" w:rsidRPr="00F604CF">
        <w:rPr>
          <w:rFonts w:cs="Arial"/>
          <w:i/>
        </w:rPr>
        <w:lastRenderedPageBreak/>
        <w:t>económicas requeridas para cumplir con el contrato</w:t>
      </w:r>
      <w:r w:rsidR="00DC0D27" w:rsidRPr="00F604CF">
        <w:rPr>
          <w:rFonts w:cs="Arial"/>
          <w:i/>
        </w:rPr>
        <w:t xml:space="preserve"> / EVALUACIÓN </w:t>
      </w:r>
      <w:r w:rsidR="00EF5DE0" w:rsidRPr="00F604CF">
        <w:rPr>
          <w:rFonts w:cs="Arial"/>
          <w:i/>
        </w:rPr>
        <w:t xml:space="preserve">DE </w:t>
      </w:r>
      <w:r w:rsidR="00DC0D27" w:rsidRPr="00F604CF">
        <w:rPr>
          <w:rFonts w:cs="Arial"/>
          <w:i/>
        </w:rPr>
        <w:t xml:space="preserve">LOS ESTADOS FINANCIEROS Y EL REGISTRO </w:t>
      </w:r>
      <w:r w:rsidR="00635611" w:rsidRPr="00F604CF">
        <w:rPr>
          <w:rFonts w:cs="Arial"/>
          <w:i/>
        </w:rPr>
        <w:t>Ú</w:t>
      </w:r>
      <w:r w:rsidR="00DC0D27" w:rsidRPr="00F604CF">
        <w:rPr>
          <w:rFonts w:cs="Arial"/>
          <w:i/>
        </w:rPr>
        <w:t xml:space="preserve">NICO DE PROPONENTES – los soportes deben ser consistentes para asegurar la debida evaluación de la capacidad financiera / DICTAMEN DE LOS ESTADOS FINANCIEROS </w:t>
      </w:r>
      <w:r w:rsidR="00E61BFA" w:rsidRPr="00F604CF">
        <w:rPr>
          <w:rFonts w:cs="Arial"/>
          <w:i/>
        </w:rPr>
        <w:t xml:space="preserve">- </w:t>
      </w:r>
      <w:r w:rsidR="00DC0D27" w:rsidRPr="00F604CF">
        <w:rPr>
          <w:rFonts w:cs="Arial"/>
          <w:i/>
        </w:rPr>
        <w:t xml:space="preserve">el requisito se debe exigir en igualdad de circunstancias, con respecto a los estados de un mismo ejercicio, para todos los proponentes </w:t>
      </w:r>
    </w:p>
    <w:p w14:paraId="1E4B36F8" w14:textId="77777777" w:rsidR="00BA77BD" w:rsidRPr="00F604CF" w:rsidRDefault="00BA77BD" w:rsidP="00F604CF">
      <w:pPr>
        <w:widowControl w:val="0"/>
        <w:autoSpaceDE w:val="0"/>
        <w:autoSpaceDN w:val="0"/>
        <w:adjustRightInd w:val="0"/>
        <w:spacing w:line="240" w:lineRule="auto"/>
        <w:ind w:hanging="2124"/>
        <w:rPr>
          <w:rFonts w:cs="Arial"/>
        </w:rPr>
      </w:pPr>
    </w:p>
    <w:p w14:paraId="46887C18" w14:textId="77777777" w:rsidR="00525FD3" w:rsidRPr="00F604CF" w:rsidRDefault="00525FD3" w:rsidP="00F604CF">
      <w:pPr>
        <w:widowControl w:val="0"/>
        <w:autoSpaceDE w:val="0"/>
        <w:autoSpaceDN w:val="0"/>
        <w:adjustRightInd w:val="0"/>
        <w:spacing w:line="276" w:lineRule="auto"/>
        <w:rPr>
          <w:rFonts w:cs="Arial"/>
        </w:rPr>
      </w:pPr>
    </w:p>
    <w:p w14:paraId="7D0D80CD" w14:textId="77777777" w:rsidR="00F21484" w:rsidRPr="00F604CF" w:rsidRDefault="00F21484" w:rsidP="00F604CF">
      <w:pPr>
        <w:widowControl w:val="0"/>
        <w:autoSpaceDE w:val="0"/>
        <w:autoSpaceDN w:val="0"/>
        <w:adjustRightInd w:val="0"/>
        <w:spacing w:line="276" w:lineRule="auto"/>
        <w:rPr>
          <w:rFonts w:cs="Arial"/>
        </w:rPr>
      </w:pPr>
      <w:r w:rsidRPr="00F604CF">
        <w:rPr>
          <w:rFonts w:cs="Arial"/>
        </w:rPr>
        <w:t xml:space="preserve">Conoce la Sala </w:t>
      </w:r>
      <w:r w:rsidR="00C71714" w:rsidRPr="00F604CF">
        <w:rPr>
          <w:rFonts w:cs="Arial"/>
        </w:rPr>
        <w:t>el</w:t>
      </w:r>
      <w:r w:rsidR="00F53FED" w:rsidRPr="00F604CF">
        <w:rPr>
          <w:rFonts w:cs="Arial"/>
        </w:rPr>
        <w:t xml:space="preserve"> recurso de apelación presentado</w:t>
      </w:r>
      <w:r w:rsidR="00021148" w:rsidRPr="00F604CF">
        <w:rPr>
          <w:rFonts w:cs="Arial"/>
        </w:rPr>
        <w:t xml:space="preserve"> por la parte</w:t>
      </w:r>
      <w:r w:rsidR="00CB78ED" w:rsidRPr="00F604CF">
        <w:rPr>
          <w:rFonts w:cs="Arial"/>
        </w:rPr>
        <w:t xml:space="preserve"> demandante</w:t>
      </w:r>
      <w:r w:rsidR="00C71714" w:rsidRPr="00F604CF">
        <w:rPr>
          <w:rFonts w:cs="Arial"/>
        </w:rPr>
        <w:t xml:space="preserve"> </w:t>
      </w:r>
      <w:r w:rsidR="00F53FED" w:rsidRPr="00F604CF">
        <w:rPr>
          <w:rFonts w:cs="Arial"/>
        </w:rPr>
        <w:t>contra</w:t>
      </w:r>
      <w:r w:rsidR="00E875E6" w:rsidRPr="00F604CF">
        <w:rPr>
          <w:rFonts w:cs="Arial"/>
        </w:rPr>
        <w:t xml:space="preserve"> la sentencia proferida por </w:t>
      </w:r>
      <w:r w:rsidR="007E4317" w:rsidRPr="00F604CF">
        <w:rPr>
          <w:rFonts w:cs="Arial"/>
        </w:rPr>
        <w:t>el Tribunal</w:t>
      </w:r>
      <w:r w:rsidR="00501881" w:rsidRPr="00F604CF">
        <w:rPr>
          <w:rFonts w:cs="Arial"/>
        </w:rPr>
        <w:t xml:space="preserve"> </w:t>
      </w:r>
      <w:r w:rsidR="0034194B" w:rsidRPr="00F604CF">
        <w:rPr>
          <w:rFonts w:cs="Arial"/>
        </w:rPr>
        <w:t>Administrativo de Nariño</w:t>
      </w:r>
      <w:r w:rsidR="00346B74" w:rsidRPr="00F604CF">
        <w:rPr>
          <w:rFonts w:cs="Arial"/>
        </w:rPr>
        <w:t>,</w:t>
      </w:r>
      <w:r w:rsidR="005114BC" w:rsidRPr="00F604CF">
        <w:rPr>
          <w:rFonts w:cs="Arial"/>
        </w:rPr>
        <w:t xml:space="preserve"> </w:t>
      </w:r>
      <w:r w:rsidR="00686B83" w:rsidRPr="00F604CF">
        <w:rPr>
          <w:rFonts w:cs="Arial"/>
        </w:rPr>
        <w:t xml:space="preserve">Sección Tercera, el </w:t>
      </w:r>
      <w:r w:rsidR="0034194B" w:rsidRPr="00F604CF">
        <w:rPr>
          <w:rFonts w:cs="Arial"/>
        </w:rPr>
        <w:t>9 de mayo de 2014</w:t>
      </w:r>
      <w:r w:rsidR="00686B83" w:rsidRPr="00F604CF">
        <w:rPr>
          <w:rFonts w:cs="Arial"/>
        </w:rPr>
        <w:t>,</w:t>
      </w:r>
      <w:r w:rsidRPr="00F604CF">
        <w:rPr>
          <w:rFonts w:cs="Arial"/>
        </w:rPr>
        <w:t xml:space="preserve"> mediante la cual se d</w:t>
      </w:r>
      <w:r w:rsidR="0017785C" w:rsidRPr="00F604CF">
        <w:rPr>
          <w:rFonts w:cs="Arial"/>
        </w:rPr>
        <w:t>ecidió negar las súplicas de la demanda.</w:t>
      </w:r>
    </w:p>
    <w:p w14:paraId="0A1341BF" w14:textId="77777777" w:rsidR="00C71714" w:rsidRPr="00F604CF" w:rsidRDefault="00C71714" w:rsidP="00F604CF">
      <w:pPr>
        <w:pStyle w:val="Textoindependienteprimerasangra2"/>
        <w:spacing w:line="276" w:lineRule="auto"/>
        <w:ind w:left="0" w:firstLine="0"/>
        <w:rPr>
          <w:rFonts w:cs="Arial"/>
          <w:b/>
          <w:i/>
        </w:rPr>
      </w:pPr>
    </w:p>
    <w:p w14:paraId="1FCDE6E0" w14:textId="77777777" w:rsidR="00F21484" w:rsidRPr="006301A8" w:rsidRDefault="00F21484" w:rsidP="00F604CF">
      <w:pPr>
        <w:pStyle w:val="Lista"/>
        <w:ind w:left="0"/>
        <w:jc w:val="center"/>
        <w:rPr>
          <w:rFonts w:ascii="Arial" w:hAnsi="Arial" w:cs="Arial"/>
          <w:b/>
          <w:lang w:val="pt-BR"/>
        </w:rPr>
      </w:pPr>
      <w:r w:rsidRPr="006301A8">
        <w:rPr>
          <w:rFonts w:ascii="Arial" w:hAnsi="Arial" w:cs="Arial"/>
          <w:b/>
          <w:lang w:val="pt-BR"/>
        </w:rPr>
        <w:t>I.</w:t>
      </w:r>
      <w:r w:rsidR="00E759BE" w:rsidRPr="006301A8">
        <w:rPr>
          <w:rFonts w:ascii="Arial" w:hAnsi="Arial" w:cs="Arial"/>
          <w:b/>
          <w:lang w:val="pt-BR"/>
        </w:rPr>
        <w:tab/>
      </w:r>
      <w:r w:rsidRPr="006301A8">
        <w:rPr>
          <w:rFonts w:ascii="Arial" w:hAnsi="Arial" w:cs="Arial"/>
          <w:b/>
          <w:lang w:val="pt-BR"/>
        </w:rPr>
        <w:t>A N T E C E D E N T E S</w:t>
      </w:r>
    </w:p>
    <w:p w14:paraId="391ED27A" w14:textId="77777777" w:rsidR="00F00A7F" w:rsidRPr="006301A8" w:rsidRDefault="00F00A7F" w:rsidP="00F604CF">
      <w:pPr>
        <w:rPr>
          <w:rFonts w:cs="Arial"/>
          <w:b/>
          <w:lang w:val="pt-BR"/>
        </w:rPr>
      </w:pPr>
    </w:p>
    <w:p w14:paraId="6E7D6783" w14:textId="77777777" w:rsidR="00F21484" w:rsidRPr="00F604CF" w:rsidRDefault="00F21484" w:rsidP="00F604CF">
      <w:pPr>
        <w:pStyle w:val="Lista2"/>
        <w:ind w:left="0" w:firstLine="0"/>
        <w:rPr>
          <w:rFonts w:cs="Arial"/>
          <w:b/>
        </w:rPr>
      </w:pPr>
      <w:r w:rsidRPr="00F604CF">
        <w:rPr>
          <w:rFonts w:cs="Arial"/>
          <w:b/>
        </w:rPr>
        <w:t>1.</w:t>
      </w:r>
      <w:r w:rsidR="009D0836" w:rsidRPr="00F604CF">
        <w:rPr>
          <w:rFonts w:cs="Arial"/>
          <w:b/>
        </w:rPr>
        <w:t xml:space="preserve"> </w:t>
      </w:r>
      <w:r w:rsidRPr="00F604CF">
        <w:rPr>
          <w:rFonts w:cs="Arial"/>
          <w:b/>
        </w:rPr>
        <w:t>La demanda</w:t>
      </w:r>
    </w:p>
    <w:p w14:paraId="5BF8FA95" w14:textId="77777777" w:rsidR="00F21484" w:rsidRPr="00F604CF" w:rsidRDefault="00F21484" w:rsidP="00F604CF">
      <w:pPr>
        <w:widowControl w:val="0"/>
        <w:autoSpaceDE w:val="0"/>
        <w:autoSpaceDN w:val="0"/>
        <w:adjustRightInd w:val="0"/>
        <w:rPr>
          <w:rFonts w:cs="Arial"/>
        </w:rPr>
      </w:pPr>
    </w:p>
    <w:p w14:paraId="79B218D7" w14:textId="77777777" w:rsidR="003076F9" w:rsidRPr="00F604CF" w:rsidRDefault="00F21484" w:rsidP="00F604CF">
      <w:pPr>
        <w:pStyle w:val="Continuarlista2"/>
        <w:spacing w:after="0"/>
        <w:ind w:left="0"/>
        <w:rPr>
          <w:rFonts w:cs="Arial"/>
          <w:lang w:val="es-MX"/>
        </w:rPr>
      </w:pPr>
      <w:r w:rsidRPr="00F604CF">
        <w:rPr>
          <w:rFonts w:cs="Arial"/>
        </w:rPr>
        <w:t>M</w:t>
      </w:r>
      <w:r w:rsidR="00EA0EB1" w:rsidRPr="00F604CF">
        <w:rPr>
          <w:rFonts w:cs="Arial"/>
        </w:rPr>
        <w:t>ediante demanda presentada</w:t>
      </w:r>
      <w:r w:rsidR="00AA67A0" w:rsidRPr="00F604CF">
        <w:rPr>
          <w:rFonts w:cs="Arial"/>
        </w:rPr>
        <w:t xml:space="preserve"> </w:t>
      </w:r>
      <w:r w:rsidR="00FD5088" w:rsidRPr="00F604CF">
        <w:rPr>
          <w:rFonts w:cs="Arial"/>
        </w:rPr>
        <w:t xml:space="preserve">el </w:t>
      </w:r>
      <w:r w:rsidR="001B5940" w:rsidRPr="00F604CF">
        <w:rPr>
          <w:rFonts w:cs="Arial"/>
        </w:rPr>
        <w:t>4 de septiembre de 2007</w:t>
      </w:r>
      <w:r w:rsidR="001B5940" w:rsidRPr="00F604CF">
        <w:rPr>
          <w:rStyle w:val="Refdenotaalpie"/>
          <w:rFonts w:cs="Arial"/>
        </w:rPr>
        <w:footnoteReference w:id="1"/>
      </w:r>
      <w:r w:rsidR="003C3165" w:rsidRPr="00F604CF">
        <w:rPr>
          <w:rFonts w:cs="Arial"/>
        </w:rPr>
        <w:t>,</w:t>
      </w:r>
      <w:r w:rsidR="003A6F13" w:rsidRPr="00F604CF">
        <w:rPr>
          <w:rFonts w:cs="Arial"/>
        </w:rPr>
        <w:t xml:space="preserve"> el señor Ramiro Rivera Ramírez</w:t>
      </w:r>
      <w:r w:rsidR="00B27AFF" w:rsidRPr="00F604CF">
        <w:rPr>
          <w:rFonts w:cs="Arial"/>
        </w:rPr>
        <w:t xml:space="preserve">, </w:t>
      </w:r>
      <w:r w:rsidR="00F5352D" w:rsidRPr="00F604CF">
        <w:rPr>
          <w:rFonts w:cs="Arial"/>
        </w:rPr>
        <w:t xml:space="preserve">en ejercicio </w:t>
      </w:r>
      <w:r w:rsidR="00FD5088" w:rsidRPr="00F604CF">
        <w:rPr>
          <w:rFonts w:cs="Arial"/>
        </w:rPr>
        <w:t xml:space="preserve">de la acción </w:t>
      </w:r>
      <w:r w:rsidR="003A6F13" w:rsidRPr="00F604CF">
        <w:rPr>
          <w:rFonts w:cs="Arial"/>
        </w:rPr>
        <w:t>contractual</w:t>
      </w:r>
      <w:r w:rsidR="0002106D" w:rsidRPr="00F604CF">
        <w:rPr>
          <w:rFonts w:cs="Arial"/>
        </w:rPr>
        <w:t xml:space="preserve"> </w:t>
      </w:r>
      <w:r w:rsidR="00B17279" w:rsidRPr="00F604CF">
        <w:rPr>
          <w:rFonts w:cs="Arial"/>
        </w:rPr>
        <w:t xml:space="preserve">consagrada </w:t>
      </w:r>
      <w:r w:rsidR="00C61A15" w:rsidRPr="00F604CF">
        <w:rPr>
          <w:rFonts w:cs="Arial"/>
        </w:rPr>
        <w:t xml:space="preserve">en </w:t>
      </w:r>
      <w:r w:rsidR="00C6529F" w:rsidRPr="00F604CF">
        <w:rPr>
          <w:rFonts w:cs="Arial"/>
        </w:rPr>
        <w:t xml:space="preserve">el </w:t>
      </w:r>
      <w:r w:rsidR="007A0264" w:rsidRPr="00F604CF">
        <w:rPr>
          <w:rFonts w:cs="Arial"/>
        </w:rPr>
        <w:t xml:space="preserve">artículo 87 del Código Contencioso Administrativo, </w:t>
      </w:r>
      <w:r w:rsidRPr="00F604CF">
        <w:rPr>
          <w:rFonts w:cs="Arial"/>
        </w:rPr>
        <w:t>solicit</w:t>
      </w:r>
      <w:r w:rsidR="00AC64D6" w:rsidRPr="00F604CF">
        <w:rPr>
          <w:rFonts w:cs="Arial"/>
        </w:rPr>
        <w:t>ó</w:t>
      </w:r>
      <w:r w:rsidRPr="00F604CF">
        <w:rPr>
          <w:rFonts w:cs="Arial"/>
        </w:rPr>
        <w:t xml:space="preserve"> las siguientes declaraciones y condenas</w:t>
      </w:r>
      <w:r w:rsidR="00F5352D" w:rsidRPr="00F604CF">
        <w:rPr>
          <w:rFonts w:cs="Arial"/>
        </w:rPr>
        <w:t xml:space="preserve"> contra</w:t>
      </w:r>
      <w:r w:rsidR="004B723D" w:rsidRPr="00F604CF">
        <w:rPr>
          <w:rFonts w:cs="Arial"/>
        </w:rPr>
        <w:t xml:space="preserve"> </w:t>
      </w:r>
      <w:r w:rsidR="003A6F13" w:rsidRPr="00F604CF">
        <w:rPr>
          <w:rFonts w:cs="Arial"/>
        </w:rPr>
        <w:t xml:space="preserve">el departamento del Putumayo </w:t>
      </w:r>
      <w:r w:rsidR="000D029D" w:rsidRPr="00F604CF">
        <w:rPr>
          <w:rFonts w:cs="Arial"/>
        </w:rPr>
        <w:t>y los integrantes de la Unión Temporal Calimeño</w:t>
      </w:r>
      <w:r w:rsidR="0017785C" w:rsidRPr="00F604CF">
        <w:rPr>
          <w:rFonts w:cs="Arial"/>
        </w:rPr>
        <w:t>;</w:t>
      </w:r>
      <w:r w:rsidR="000D029D" w:rsidRPr="00F604CF">
        <w:rPr>
          <w:rFonts w:cs="Arial"/>
        </w:rPr>
        <w:t xml:space="preserve"> </w:t>
      </w:r>
      <w:r w:rsidR="0025584C" w:rsidRPr="00F604CF">
        <w:rPr>
          <w:rFonts w:cs="Arial"/>
        </w:rPr>
        <w:t xml:space="preserve">el </w:t>
      </w:r>
      <w:r w:rsidR="000D029D" w:rsidRPr="00F604CF">
        <w:rPr>
          <w:rFonts w:cs="Arial"/>
        </w:rPr>
        <w:t xml:space="preserve">señor Huber Ricardo Hoyos Daza, </w:t>
      </w:r>
      <w:r w:rsidR="0025584C" w:rsidRPr="00F604CF">
        <w:rPr>
          <w:rFonts w:cs="Arial"/>
        </w:rPr>
        <w:t xml:space="preserve">la sociedad </w:t>
      </w:r>
      <w:r w:rsidR="000D029D" w:rsidRPr="00F604CF">
        <w:rPr>
          <w:rFonts w:cs="Arial"/>
        </w:rPr>
        <w:t>Representaciones y Ediciones Eliber Ltda, representada legalmente por el señor Elibardo Bern</w:t>
      </w:r>
      <w:r w:rsidR="0025584C" w:rsidRPr="00F604CF">
        <w:rPr>
          <w:rFonts w:cs="Arial"/>
        </w:rPr>
        <w:t>a</w:t>
      </w:r>
      <w:r w:rsidR="000D029D" w:rsidRPr="00F604CF">
        <w:rPr>
          <w:rFonts w:cs="Arial"/>
        </w:rPr>
        <w:t xml:space="preserve">l Gómez, el señor Alexander Solarte Ordóñez </w:t>
      </w:r>
      <w:r w:rsidR="0025584C" w:rsidRPr="00F604CF">
        <w:rPr>
          <w:rFonts w:cs="Arial"/>
        </w:rPr>
        <w:t>y el señor Carlos Alberto Giraldo Caicedo</w:t>
      </w:r>
      <w:r w:rsidR="0016169C" w:rsidRPr="00F604CF">
        <w:rPr>
          <w:rFonts w:cs="Arial"/>
          <w:i/>
        </w:rPr>
        <w:t xml:space="preserve"> </w:t>
      </w:r>
      <w:r w:rsidR="0016169C" w:rsidRPr="00F604CF">
        <w:rPr>
          <w:rFonts w:cs="Arial"/>
        </w:rPr>
        <w:t>(se transcriben de manera textual</w:t>
      </w:r>
      <w:r w:rsidR="00272890" w:rsidRPr="00F604CF">
        <w:rPr>
          <w:rFonts w:cs="Arial"/>
        </w:rPr>
        <w:t>, incluso con errores):</w:t>
      </w:r>
      <w:r w:rsidR="00272890" w:rsidRPr="00F604CF">
        <w:rPr>
          <w:rFonts w:cs="Arial"/>
          <w:i/>
        </w:rPr>
        <w:t xml:space="preserve"> </w:t>
      </w:r>
      <w:r w:rsidR="008D4E6C" w:rsidRPr="00F604CF">
        <w:rPr>
          <w:rFonts w:cs="Arial"/>
        </w:rPr>
        <w:t xml:space="preserve"> </w:t>
      </w:r>
    </w:p>
    <w:p w14:paraId="406FF3D4" w14:textId="77777777" w:rsidR="009F3636" w:rsidRPr="00F604CF" w:rsidRDefault="00A15E12" w:rsidP="00F604CF">
      <w:pPr>
        <w:widowControl w:val="0"/>
        <w:autoSpaceDE w:val="0"/>
        <w:autoSpaceDN w:val="0"/>
        <w:adjustRightInd w:val="0"/>
        <w:rPr>
          <w:rFonts w:cs="Arial"/>
        </w:rPr>
      </w:pPr>
      <w:r w:rsidRPr="00F604CF">
        <w:rPr>
          <w:rFonts w:cs="Arial"/>
          <w:i/>
        </w:rPr>
        <w:t>“</w:t>
      </w:r>
    </w:p>
    <w:p w14:paraId="21E9F272" w14:textId="77777777" w:rsidR="009F3636" w:rsidRPr="00F604CF" w:rsidRDefault="009F3636" w:rsidP="00F604CF">
      <w:pPr>
        <w:widowControl w:val="0"/>
        <w:autoSpaceDE w:val="0"/>
        <w:autoSpaceDN w:val="0"/>
        <w:adjustRightInd w:val="0"/>
        <w:spacing w:line="276" w:lineRule="auto"/>
        <w:rPr>
          <w:rFonts w:cs="Arial"/>
          <w:i/>
        </w:rPr>
      </w:pPr>
      <w:r w:rsidRPr="00F604CF">
        <w:rPr>
          <w:rFonts w:cs="Arial"/>
          <w:i/>
        </w:rPr>
        <w:t>“Pretensión principal</w:t>
      </w:r>
    </w:p>
    <w:p w14:paraId="2706BE81" w14:textId="77777777" w:rsidR="009F3636" w:rsidRPr="00F604CF" w:rsidRDefault="009F3636" w:rsidP="00F604CF">
      <w:pPr>
        <w:widowControl w:val="0"/>
        <w:autoSpaceDE w:val="0"/>
        <w:autoSpaceDN w:val="0"/>
        <w:adjustRightInd w:val="0"/>
        <w:spacing w:line="276" w:lineRule="auto"/>
        <w:rPr>
          <w:rFonts w:cs="Arial"/>
          <w:i/>
        </w:rPr>
      </w:pPr>
    </w:p>
    <w:p w14:paraId="48C73274" w14:textId="77777777" w:rsidR="009F3636" w:rsidRPr="00F604CF" w:rsidRDefault="009F3636" w:rsidP="00F604CF">
      <w:pPr>
        <w:widowControl w:val="0"/>
        <w:autoSpaceDE w:val="0"/>
        <w:autoSpaceDN w:val="0"/>
        <w:adjustRightInd w:val="0"/>
        <w:spacing w:line="276" w:lineRule="auto"/>
        <w:rPr>
          <w:rFonts w:cs="Arial"/>
          <w:i/>
        </w:rPr>
      </w:pPr>
      <w:r w:rsidRPr="00F604CF">
        <w:rPr>
          <w:rFonts w:cs="Arial"/>
          <w:i/>
        </w:rPr>
        <w:t>“1º. Declarar la nulidad absoluta de la resolución 02 193 del 22 de septiembre de 2005 por medio del cual se adjudica un contrato, por haberse infringido las normas en que deberían fundarse, especialmente los artículos 23, 24, 25, 26, 29 y 30 de la Ley 80 de 1993.</w:t>
      </w:r>
    </w:p>
    <w:p w14:paraId="1CE772F2" w14:textId="77777777" w:rsidR="009F3636" w:rsidRPr="00F604CF" w:rsidRDefault="009F3636" w:rsidP="00F604CF">
      <w:pPr>
        <w:widowControl w:val="0"/>
        <w:autoSpaceDE w:val="0"/>
        <w:autoSpaceDN w:val="0"/>
        <w:adjustRightInd w:val="0"/>
        <w:spacing w:line="276" w:lineRule="auto"/>
        <w:rPr>
          <w:rFonts w:cs="Arial"/>
          <w:i/>
        </w:rPr>
      </w:pPr>
    </w:p>
    <w:p w14:paraId="7631697B" w14:textId="77777777" w:rsidR="009F3636" w:rsidRPr="00F604CF" w:rsidRDefault="009F3636" w:rsidP="00F604CF">
      <w:pPr>
        <w:widowControl w:val="0"/>
        <w:autoSpaceDE w:val="0"/>
        <w:autoSpaceDN w:val="0"/>
        <w:adjustRightInd w:val="0"/>
        <w:spacing w:line="276" w:lineRule="auto"/>
        <w:rPr>
          <w:rFonts w:cs="Arial"/>
          <w:i/>
        </w:rPr>
      </w:pPr>
      <w:r w:rsidRPr="00F604CF">
        <w:rPr>
          <w:rFonts w:cs="Arial"/>
          <w:i/>
        </w:rPr>
        <w:t>“Consecuencias de esta pretensión principal.</w:t>
      </w:r>
    </w:p>
    <w:p w14:paraId="60A87D08" w14:textId="77777777" w:rsidR="009F3636" w:rsidRPr="00F604CF" w:rsidRDefault="009F3636" w:rsidP="00F604CF">
      <w:pPr>
        <w:widowControl w:val="0"/>
        <w:autoSpaceDE w:val="0"/>
        <w:autoSpaceDN w:val="0"/>
        <w:adjustRightInd w:val="0"/>
        <w:spacing w:line="276" w:lineRule="auto"/>
        <w:rPr>
          <w:rFonts w:cs="Arial"/>
          <w:i/>
        </w:rPr>
      </w:pPr>
    </w:p>
    <w:p w14:paraId="3AD184BB" w14:textId="77777777" w:rsidR="009F3636" w:rsidRPr="00F604CF" w:rsidRDefault="009F3636" w:rsidP="00F604CF">
      <w:pPr>
        <w:widowControl w:val="0"/>
        <w:autoSpaceDE w:val="0"/>
        <w:autoSpaceDN w:val="0"/>
        <w:adjustRightInd w:val="0"/>
        <w:spacing w:line="276" w:lineRule="auto"/>
        <w:rPr>
          <w:rFonts w:cs="Arial"/>
          <w:i/>
        </w:rPr>
      </w:pPr>
      <w:r w:rsidRPr="00F604CF">
        <w:rPr>
          <w:rFonts w:cs="Arial"/>
          <w:i/>
        </w:rPr>
        <w:t>“1º Declarar la nulidad absoluta del contrato de suministro 153 del 31 de octubre de 2005 celebrado entre la Gobernación del Putumayo, y la Unión Temporal Calimeño por haberse declarado nulos los actos en que se fundamenten, que en este caso obedece a la resolución de adjudicación.</w:t>
      </w:r>
    </w:p>
    <w:p w14:paraId="12DDD832" w14:textId="77777777" w:rsidR="009F3636" w:rsidRPr="00F604CF" w:rsidRDefault="009F3636" w:rsidP="00F604CF">
      <w:pPr>
        <w:widowControl w:val="0"/>
        <w:autoSpaceDE w:val="0"/>
        <w:autoSpaceDN w:val="0"/>
        <w:adjustRightInd w:val="0"/>
        <w:spacing w:line="276" w:lineRule="auto"/>
        <w:rPr>
          <w:rFonts w:cs="Arial"/>
          <w:i/>
        </w:rPr>
      </w:pPr>
    </w:p>
    <w:p w14:paraId="63BBBCF8" w14:textId="77777777" w:rsidR="004A5749" w:rsidRPr="00F604CF" w:rsidRDefault="009F3636" w:rsidP="00F604CF">
      <w:pPr>
        <w:widowControl w:val="0"/>
        <w:autoSpaceDE w:val="0"/>
        <w:autoSpaceDN w:val="0"/>
        <w:adjustRightInd w:val="0"/>
        <w:spacing w:line="276" w:lineRule="auto"/>
        <w:rPr>
          <w:rFonts w:cs="Arial"/>
          <w:i/>
        </w:rPr>
      </w:pPr>
      <w:r w:rsidRPr="00F604CF">
        <w:rPr>
          <w:rFonts w:cs="Arial"/>
          <w:i/>
        </w:rPr>
        <w:t xml:space="preserve">“2º Condenar a la Gobernación del departamento de Putumayo, a pagar a título de lucro cesante, por pérdida de la oportunidad de suscribir </w:t>
      </w:r>
      <w:r w:rsidR="004A5749" w:rsidRPr="00F604CF">
        <w:rPr>
          <w:rFonts w:cs="Arial"/>
          <w:i/>
        </w:rPr>
        <w:t>el contrato, la suma de trescientos treinta y dos millones quinientos mil pesos ($332’500.000) que era la utilidad esperada con la celebración del contrato.</w:t>
      </w:r>
    </w:p>
    <w:p w14:paraId="344D68E3" w14:textId="77777777" w:rsidR="004A5749" w:rsidRPr="00F604CF" w:rsidRDefault="004A5749" w:rsidP="00F604CF">
      <w:pPr>
        <w:widowControl w:val="0"/>
        <w:autoSpaceDE w:val="0"/>
        <w:autoSpaceDN w:val="0"/>
        <w:adjustRightInd w:val="0"/>
        <w:spacing w:line="276" w:lineRule="auto"/>
        <w:rPr>
          <w:rFonts w:cs="Arial"/>
          <w:i/>
        </w:rPr>
      </w:pPr>
    </w:p>
    <w:p w14:paraId="18BD8A6F" w14:textId="77777777" w:rsidR="00356D1F" w:rsidRPr="00F604CF" w:rsidRDefault="004A5749" w:rsidP="00F604CF">
      <w:pPr>
        <w:widowControl w:val="0"/>
        <w:autoSpaceDE w:val="0"/>
        <w:autoSpaceDN w:val="0"/>
        <w:adjustRightInd w:val="0"/>
        <w:spacing w:line="276" w:lineRule="auto"/>
        <w:rPr>
          <w:rFonts w:cs="Arial"/>
          <w:i/>
        </w:rPr>
      </w:pPr>
      <w:r w:rsidRPr="00F604CF">
        <w:rPr>
          <w:rFonts w:cs="Arial"/>
          <w:i/>
        </w:rPr>
        <w:t>“3º Condenar en costas y agencias en derecho a la gobernación del departamento del Putumayo</w:t>
      </w:r>
      <w:r w:rsidR="00356D1F" w:rsidRPr="00F604CF">
        <w:rPr>
          <w:rFonts w:cs="Arial"/>
          <w:i/>
        </w:rPr>
        <w:t>, y a la UT Calimeño que con ocasión del proceso se lleguen a causar, así como cualquier otro daño que resulte probado dentro del proceso.</w:t>
      </w:r>
    </w:p>
    <w:p w14:paraId="3A74801E" w14:textId="77777777" w:rsidR="004A5749" w:rsidRPr="00F604CF" w:rsidRDefault="004A5749" w:rsidP="00F604CF">
      <w:pPr>
        <w:widowControl w:val="0"/>
        <w:autoSpaceDE w:val="0"/>
        <w:autoSpaceDN w:val="0"/>
        <w:adjustRightInd w:val="0"/>
        <w:spacing w:line="276" w:lineRule="auto"/>
        <w:rPr>
          <w:rFonts w:cs="Arial"/>
          <w:i/>
        </w:rPr>
      </w:pPr>
    </w:p>
    <w:p w14:paraId="2263D6CB" w14:textId="77777777" w:rsidR="00356D1F" w:rsidRPr="00F604CF" w:rsidRDefault="0025584C" w:rsidP="00F604CF">
      <w:pPr>
        <w:widowControl w:val="0"/>
        <w:autoSpaceDE w:val="0"/>
        <w:autoSpaceDN w:val="0"/>
        <w:adjustRightInd w:val="0"/>
        <w:spacing w:line="276" w:lineRule="auto"/>
        <w:rPr>
          <w:rFonts w:cs="Arial"/>
          <w:i/>
        </w:rPr>
      </w:pPr>
      <w:r w:rsidRPr="00F604CF">
        <w:rPr>
          <w:rFonts w:cs="Arial"/>
          <w:i/>
        </w:rPr>
        <w:t>“</w:t>
      </w:r>
      <w:r w:rsidR="00356D1F" w:rsidRPr="00F604CF">
        <w:rPr>
          <w:rFonts w:cs="Arial"/>
          <w:i/>
        </w:rPr>
        <w:t>PRIMERA PRETENSIÓN SUBSIDIARIA DE ESTA ÚNICA PRINCIPAL</w:t>
      </w:r>
    </w:p>
    <w:p w14:paraId="6B33DFB1" w14:textId="77777777" w:rsidR="00356D1F" w:rsidRPr="00F604CF" w:rsidRDefault="00356D1F" w:rsidP="00F604CF">
      <w:pPr>
        <w:widowControl w:val="0"/>
        <w:autoSpaceDE w:val="0"/>
        <w:autoSpaceDN w:val="0"/>
        <w:adjustRightInd w:val="0"/>
        <w:spacing w:line="276" w:lineRule="auto"/>
        <w:rPr>
          <w:rFonts w:cs="Arial"/>
          <w:i/>
        </w:rPr>
      </w:pPr>
    </w:p>
    <w:p w14:paraId="4019811D" w14:textId="77777777" w:rsidR="00356D1F" w:rsidRPr="00F604CF" w:rsidRDefault="0025584C" w:rsidP="00F604CF">
      <w:pPr>
        <w:widowControl w:val="0"/>
        <w:autoSpaceDE w:val="0"/>
        <w:autoSpaceDN w:val="0"/>
        <w:adjustRightInd w:val="0"/>
        <w:spacing w:line="276" w:lineRule="auto"/>
        <w:rPr>
          <w:rFonts w:cs="Arial"/>
          <w:i/>
        </w:rPr>
      </w:pPr>
      <w:r w:rsidRPr="00F604CF">
        <w:rPr>
          <w:rFonts w:cs="Arial"/>
          <w:i/>
        </w:rPr>
        <w:t>“</w:t>
      </w:r>
      <w:r w:rsidR="00356D1F" w:rsidRPr="00F604CF">
        <w:rPr>
          <w:rFonts w:cs="Arial"/>
          <w:i/>
        </w:rPr>
        <w:t>Declarar la nulidad absoluta de la resolución 02</w:t>
      </w:r>
      <w:r w:rsidR="002B180C" w:rsidRPr="00F604CF">
        <w:rPr>
          <w:rFonts w:cs="Arial"/>
          <w:i/>
        </w:rPr>
        <w:t xml:space="preserve"> </w:t>
      </w:r>
      <w:r w:rsidR="00356D1F" w:rsidRPr="00F604CF">
        <w:rPr>
          <w:rFonts w:cs="Arial"/>
          <w:i/>
        </w:rPr>
        <w:t>193 del 22 de septiembre del 2005 por medio de la cual se adjudica un contrato, por haberse expedido con abuso o desviación de poder-</w:t>
      </w:r>
    </w:p>
    <w:p w14:paraId="2D7AFA19" w14:textId="77777777" w:rsidR="00356D1F" w:rsidRPr="00F604CF" w:rsidRDefault="00356D1F" w:rsidP="00F604CF">
      <w:pPr>
        <w:widowControl w:val="0"/>
        <w:autoSpaceDE w:val="0"/>
        <w:autoSpaceDN w:val="0"/>
        <w:adjustRightInd w:val="0"/>
        <w:spacing w:line="276" w:lineRule="auto"/>
        <w:rPr>
          <w:rFonts w:cs="Arial"/>
          <w:i/>
        </w:rPr>
      </w:pPr>
    </w:p>
    <w:p w14:paraId="61D94C46" w14:textId="77777777" w:rsidR="00356D1F" w:rsidRPr="00F604CF" w:rsidRDefault="0025584C" w:rsidP="00F604CF">
      <w:pPr>
        <w:widowControl w:val="0"/>
        <w:autoSpaceDE w:val="0"/>
        <w:autoSpaceDN w:val="0"/>
        <w:adjustRightInd w:val="0"/>
        <w:spacing w:line="276" w:lineRule="auto"/>
        <w:rPr>
          <w:rFonts w:cs="Arial"/>
          <w:i/>
        </w:rPr>
      </w:pPr>
      <w:r w:rsidRPr="00F604CF">
        <w:rPr>
          <w:rFonts w:cs="Arial"/>
          <w:i/>
        </w:rPr>
        <w:t>“</w:t>
      </w:r>
      <w:r w:rsidR="00356D1F" w:rsidRPr="00F604CF">
        <w:rPr>
          <w:rFonts w:cs="Arial"/>
          <w:i/>
        </w:rPr>
        <w:t>Consecuencias de esta pretensión subsidiaria</w:t>
      </w:r>
    </w:p>
    <w:p w14:paraId="6850064C" w14:textId="77777777" w:rsidR="004A5749" w:rsidRPr="00F604CF" w:rsidRDefault="004A5749" w:rsidP="00F604CF">
      <w:pPr>
        <w:pStyle w:val="Textoindependienteprimerasangra2"/>
        <w:spacing w:line="276" w:lineRule="auto"/>
        <w:ind w:left="0" w:firstLine="0"/>
        <w:rPr>
          <w:rFonts w:cs="Arial"/>
          <w:i/>
        </w:rPr>
      </w:pPr>
    </w:p>
    <w:p w14:paraId="610E8EE3" w14:textId="77777777" w:rsidR="00356D1F" w:rsidRPr="00F604CF" w:rsidRDefault="0025584C" w:rsidP="00F604CF">
      <w:pPr>
        <w:widowControl w:val="0"/>
        <w:autoSpaceDE w:val="0"/>
        <w:autoSpaceDN w:val="0"/>
        <w:adjustRightInd w:val="0"/>
        <w:spacing w:line="276" w:lineRule="auto"/>
        <w:rPr>
          <w:rFonts w:cs="Arial"/>
          <w:i/>
        </w:rPr>
      </w:pPr>
      <w:r w:rsidRPr="00F604CF">
        <w:rPr>
          <w:rFonts w:cs="Arial"/>
          <w:i/>
        </w:rPr>
        <w:t>“</w:t>
      </w:r>
      <w:r w:rsidR="00356D1F" w:rsidRPr="00F604CF">
        <w:rPr>
          <w:rFonts w:cs="Arial"/>
          <w:i/>
        </w:rPr>
        <w:t>1º Declarar la nulidad absoluta del contrato de suministro 153 del 31 de octubre de 2005 celebrado entre la Gobernación del Putumayo, y la Unión Temporal Calimeño por haberse declarado nulos los actos en que se fundamenten, que en este caso obedece a la resolución de adjudicación.</w:t>
      </w:r>
    </w:p>
    <w:p w14:paraId="068C8F48" w14:textId="77777777" w:rsidR="00356D1F" w:rsidRPr="00F604CF" w:rsidRDefault="00356D1F" w:rsidP="00F604CF">
      <w:pPr>
        <w:widowControl w:val="0"/>
        <w:autoSpaceDE w:val="0"/>
        <w:autoSpaceDN w:val="0"/>
        <w:adjustRightInd w:val="0"/>
        <w:spacing w:line="276" w:lineRule="auto"/>
        <w:rPr>
          <w:rFonts w:cs="Arial"/>
          <w:i/>
        </w:rPr>
      </w:pPr>
    </w:p>
    <w:p w14:paraId="59617773" w14:textId="77777777" w:rsidR="00356D1F" w:rsidRPr="00F604CF" w:rsidRDefault="00356D1F" w:rsidP="00F604CF">
      <w:pPr>
        <w:widowControl w:val="0"/>
        <w:autoSpaceDE w:val="0"/>
        <w:autoSpaceDN w:val="0"/>
        <w:adjustRightInd w:val="0"/>
        <w:spacing w:line="276" w:lineRule="auto"/>
        <w:rPr>
          <w:rFonts w:cs="Arial"/>
          <w:i/>
        </w:rPr>
      </w:pPr>
      <w:r w:rsidRPr="00F604CF">
        <w:rPr>
          <w:rFonts w:cs="Arial"/>
          <w:i/>
        </w:rPr>
        <w:t>“2º Condenar a la Gobernación del departamento de Putumayo, a pagar a título de lucro cesante, por pérdida de la oportunidad de suscribir el contrato, la suma de trescientos treinta y dos millones quinientos mil pesos ($332’5000.000) que era la utilidad esperada con la celebración del contrato.</w:t>
      </w:r>
    </w:p>
    <w:p w14:paraId="0B305CC2" w14:textId="77777777" w:rsidR="00356D1F" w:rsidRPr="00F604CF" w:rsidRDefault="00356D1F" w:rsidP="00F604CF">
      <w:pPr>
        <w:widowControl w:val="0"/>
        <w:autoSpaceDE w:val="0"/>
        <w:autoSpaceDN w:val="0"/>
        <w:adjustRightInd w:val="0"/>
        <w:spacing w:line="276" w:lineRule="auto"/>
        <w:rPr>
          <w:rFonts w:cs="Arial"/>
          <w:i/>
        </w:rPr>
      </w:pPr>
    </w:p>
    <w:p w14:paraId="59633A1E" w14:textId="77777777" w:rsidR="00356D1F" w:rsidRPr="00F604CF" w:rsidRDefault="00356D1F" w:rsidP="00F604CF">
      <w:pPr>
        <w:widowControl w:val="0"/>
        <w:autoSpaceDE w:val="0"/>
        <w:autoSpaceDN w:val="0"/>
        <w:adjustRightInd w:val="0"/>
        <w:spacing w:line="276" w:lineRule="auto"/>
        <w:rPr>
          <w:rFonts w:cs="Arial"/>
          <w:i/>
        </w:rPr>
      </w:pPr>
      <w:r w:rsidRPr="00F604CF">
        <w:rPr>
          <w:rFonts w:cs="Arial"/>
          <w:i/>
        </w:rPr>
        <w:t>“3º Condenar en costas y agencias en derecho a la gobernación del departamento del Putumayo, y a la UT Calimeño que con ocasión del proceso se lleguen a causar, así como cualquier otro daño que resulte probado dentro del proceso.</w:t>
      </w:r>
    </w:p>
    <w:p w14:paraId="4EB98137" w14:textId="77777777" w:rsidR="00356D1F" w:rsidRPr="00F604CF" w:rsidRDefault="00356D1F" w:rsidP="00F604CF">
      <w:pPr>
        <w:pStyle w:val="Textoindependienteprimerasangra2"/>
        <w:spacing w:line="276" w:lineRule="auto"/>
        <w:ind w:left="0" w:firstLine="0"/>
        <w:rPr>
          <w:rFonts w:cs="Arial"/>
          <w:i/>
        </w:rPr>
      </w:pPr>
    </w:p>
    <w:p w14:paraId="3D9EFF89" w14:textId="77777777" w:rsidR="00CD7F4A" w:rsidRPr="00F604CF" w:rsidRDefault="00CD7F4A" w:rsidP="00F604CF">
      <w:pPr>
        <w:pStyle w:val="Textoindependienteprimerasangra2"/>
        <w:spacing w:line="276" w:lineRule="auto"/>
        <w:ind w:left="0" w:firstLine="0"/>
        <w:rPr>
          <w:rFonts w:cs="Arial"/>
          <w:i/>
        </w:rPr>
      </w:pPr>
      <w:r w:rsidRPr="00F604CF">
        <w:rPr>
          <w:rFonts w:cs="Arial"/>
          <w:i/>
        </w:rPr>
        <w:t>“SEGUNDA PRETENSI</w:t>
      </w:r>
      <w:r w:rsidR="00AC4E26" w:rsidRPr="00F604CF">
        <w:rPr>
          <w:rFonts w:cs="Arial"/>
          <w:i/>
        </w:rPr>
        <w:t>Ó</w:t>
      </w:r>
      <w:r w:rsidRPr="00F604CF">
        <w:rPr>
          <w:rFonts w:cs="Arial"/>
          <w:i/>
        </w:rPr>
        <w:t>N SUBSIDIARIA DE ESTA ÚNICA PRINCIPAL</w:t>
      </w:r>
    </w:p>
    <w:p w14:paraId="17BDFB78" w14:textId="77777777" w:rsidR="00224606" w:rsidRPr="00F604CF" w:rsidRDefault="00224606" w:rsidP="00F604CF">
      <w:pPr>
        <w:pStyle w:val="Textoindependienteprimerasangra2"/>
        <w:spacing w:line="276" w:lineRule="auto"/>
        <w:ind w:left="0" w:firstLine="0"/>
        <w:rPr>
          <w:rFonts w:cs="Arial"/>
          <w:i/>
        </w:rPr>
      </w:pPr>
    </w:p>
    <w:p w14:paraId="6E64F61E" w14:textId="77777777" w:rsidR="00B241BF" w:rsidRPr="00F604CF" w:rsidRDefault="0025584C" w:rsidP="00F604CF">
      <w:pPr>
        <w:widowControl w:val="0"/>
        <w:autoSpaceDE w:val="0"/>
        <w:autoSpaceDN w:val="0"/>
        <w:adjustRightInd w:val="0"/>
        <w:spacing w:line="276" w:lineRule="auto"/>
        <w:rPr>
          <w:rFonts w:cs="Arial"/>
          <w:i/>
        </w:rPr>
      </w:pPr>
      <w:r w:rsidRPr="00F604CF">
        <w:rPr>
          <w:rFonts w:cs="Arial"/>
          <w:i/>
        </w:rPr>
        <w:t>“</w:t>
      </w:r>
      <w:r w:rsidR="00B241BF" w:rsidRPr="00F604CF">
        <w:rPr>
          <w:rFonts w:cs="Arial"/>
          <w:i/>
        </w:rPr>
        <w:t>Declarar la nulidad absoluta de la resolución 02</w:t>
      </w:r>
      <w:r w:rsidR="002B180C" w:rsidRPr="00F604CF">
        <w:rPr>
          <w:rFonts w:cs="Arial"/>
          <w:i/>
        </w:rPr>
        <w:t xml:space="preserve"> </w:t>
      </w:r>
      <w:r w:rsidR="00B241BF" w:rsidRPr="00F604CF">
        <w:rPr>
          <w:rFonts w:cs="Arial"/>
          <w:i/>
        </w:rPr>
        <w:t>193 del 22 de septiembre del 2005 por medio de la cual se adjudica un contrato, por desconocimiento y vulneración de los pliegos de condiciones.</w:t>
      </w:r>
    </w:p>
    <w:p w14:paraId="3242E0B3" w14:textId="77777777" w:rsidR="00B241BF" w:rsidRPr="00F604CF" w:rsidRDefault="00B241BF" w:rsidP="00F604CF">
      <w:pPr>
        <w:widowControl w:val="0"/>
        <w:autoSpaceDE w:val="0"/>
        <w:autoSpaceDN w:val="0"/>
        <w:adjustRightInd w:val="0"/>
        <w:spacing w:line="276" w:lineRule="auto"/>
        <w:rPr>
          <w:rFonts w:cs="Arial"/>
          <w:i/>
        </w:rPr>
      </w:pPr>
    </w:p>
    <w:p w14:paraId="4AB2F9FC" w14:textId="77777777" w:rsidR="00B241BF" w:rsidRPr="00F604CF" w:rsidRDefault="0025584C" w:rsidP="00F604CF">
      <w:pPr>
        <w:widowControl w:val="0"/>
        <w:autoSpaceDE w:val="0"/>
        <w:autoSpaceDN w:val="0"/>
        <w:adjustRightInd w:val="0"/>
        <w:spacing w:line="276" w:lineRule="auto"/>
        <w:rPr>
          <w:rFonts w:cs="Arial"/>
        </w:rPr>
      </w:pPr>
      <w:r w:rsidRPr="00F604CF">
        <w:rPr>
          <w:rFonts w:cs="Arial"/>
          <w:i/>
        </w:rPr>
        <w:t>“</w:t>
      </w:r>
      <w:r w:rsidR="00B241BF" w:rsidRPr="00F604CF">
        <w:rPr>
          <w:rFonts w:cs="Arial"/>
          <w:i/>
        </w:rPr>
        <w:t>Consecuencias de esta pretensión subsidiaria:</w:t>
      </w:r>
      <w:r w:rsidR="00DA00F4" w:rsidRPr="00F604CF">
        <w:rPr>
          <w:rFonts w:cs="Arial"/>
          <w:i/>
        </w:rPr>
        <w:t xml:space="preserve"> </w:t>
      </w:r>
      <w:r w:rsidR="00B241BF" w:rsidRPr="00F604CF">
        <w:rPr>
          <w:rFonts w:cs="Arial"/>
        </w:rPr>
        <w:t>[se repiten las pretensiones de la primera subsidiaria]</w:t>
      </w:r>
      <w:r w:rsidR="00DA00F4" w:rsidRPr="00F604CF">
        <w:rPr>
          <w:rFonts w:cs="Arial"/>
        </w:rPr>
        <w:t xml:space="preserve"> (…)”</w:t>
      </w:r>
      <w:r w:rsidR="00DA00F4" w:rsidRPr="00F604CF">
        <w:rPr>
          <w:rStyle w:val="Refdenotaalpie"/>
          <w:rFonts w:cs="Arial"/>
        </w:rPr>
        <w:footnoteReference w:id="2"/>
      </w:r>
      <w:r w:rsidR="00E61BFA" w:rsidRPr="00F604CF">
        <w:rPr>
          <w:rFonts w:cs="Arial"/>
        </w:rPr>
        <w:t>.</w:t>
      </w:r>
    </w:p>
    <w:p w14:paraId="4F2D12E9" w14:textId="77777777" w:rsidR="00E61BFA" w:rsidRPr="00F604CF" w:rsidRDefault="00E61BFA" w:rsidP="00F604CF">
      <w:pPr>
        <w:widowControl w:val="0"/>
        <w:autoSpaceDE w:val="0"/>
        <w:autoSpaceDN w:val="0"/>
        <w:adjustRightInd w:val="0"/>
        <w:spacing w:line="276" w:lineRule="auto"/>
        <w:rPr>
          <w:rFonts w:cs="Arial"/>
        </w:rPr>
      </w:pPr>
    </w:p>
    <w:p w14:paraId="0F3B50BC" w14:textId="77777777" w:rsidR="00E61BFA" w:rsidRPr="00F604CF" w:rsidRDefault="00E61BFA" w:rsidP="00F604CF">
      <w:pPr>
        <w:widowControl w:val="0"/>
        <w:autoSpaceDE w:val="0"/>
        <w:autoSpaceDN w:val="0"/>
        <w:adjustRightInd w:val="0"/>
        <w:spacing w:line="276" w:lineRule="auto"/>
        <w:rPr>
          <w:rFonts w:cs="Arial"/>
        </w:rPr>
      </w:pPr>
    </w:p>
    <w:p w14:paraId="7194F8D6" w14:textId="77777777" w:rsidR="00E61BFA" w:rsidRPr="00F604CF" w:rsidRDefault="00E61BFA" w:rsidP="00F604CF">
      <w:pPr>
        <w:widowControl w:val="0"/>
        <w:autoSpaceDE w:val="0"/>
        <w:autoSpaceDN w:val="0"/>
        <w:adjustRightInd w:val="0"/>
        <w:spacing w:line="276" w:lineRule="auto"/>
        <w:rPr>
          <w:rFonts w:cs="Arial"/>
        </w:rPr>
      </w:pPr>
    </w:p>
    <w:p w14:paraId="7B1B20F3" w14:textId="77777777" w:rsidR="00E61BFA" w:rsidRPr="00F604CF" w:rsidRDefault="00E61BFA" w:rsidP="00F604CF">
      <w:pPr>
        <w:widowControl w:val="0"/>
        <w:autoSpaceDE w:val="0"/>
        <w:autoSpaceDN w:val="0"/>
        <w:adjustRightInd w:val="0"/>
        <w:spacing w:line="276" w:lineRule="auto"/>
        <w:rPr>
          <w:rFonts w:cs="Arial"/>
        </w:rPr>
      </w:pPr>
    </w:p>
    <w:p w14:paraId="5ACC0A2E" w14:textId="77777777" w:rsidR="00224606" w:rsidRPr="00F604CF" w:rsidRDefault="00224606" w:rsidP="00F604CF">
      <w:pPr>
        <w:pStyle w:val="Textoindependienteprimerasangra2"/>
        <w:spacing w:line="276" w:lineRule="auto"/>
        <w:ind w:left="0" w:firstLine="0"/>
        <w:rPr>
          <w:rFonts w:cs="Arial"/>
          <w:i/>
        </w:rPr>
      </w:pPr>
    </w:p>
    <w:p w14:paraId="60AF62F2" w14:textId="77777777" w:rsidR="00F21484" w:rsidRPr="00F604CF" w:rsidRDefault="00F21484" w:rsidP="00F604CF">
      <w:pPr>
        <w:pStyle w:val="Lista3"/>
        <w:ind w:left="0" w:firstLine="0"/>
        <w:rPr>
          <w:rFonts w:cs="Arial"/>
          <w:b/>
        </w:rPr>
      </w:pPr>
      <w:r w:rsidRPr="00F604CF">
        <w:rPr>
          <w:rFonts w:cs="Arial"/>
          <w:b/>
        </w:rPr>
        <w:t>2.</w:t>
      </w:r>
      <w:r w:rsidR="009D0836" w:rsidRPr="00F604CF">
        <w:rPr>
          <w:rFonts w:cs="Arial"/>
          <w:b/>
        </w:rPr>
        <w:t xml:space="preserve"> </w:t>
      </w:r>
      <w:r w:rsidRPr="00F604CF">
        <w:rPr>
          <w:rFonts w:cs="Arial"/>
          <w:b/>
        </w:rPr>
        <w:t>Los hechos</w:t>
      </w:r>
    </w:p>
    <w:p w14:paraId="4373CEC2" w14:textId="77777777" w:rsidR="005E0015" w:rsidRPr="00F604CF" w:rsidRDefault="005E0015" w:rsidP="00F604CF">
      <w:pPr>
        <w:widowControl w:val="0"/>
        <w:autoSpaceDE w:val="0"/>
        <w:autoSpaceDN w:val="0"/>
        <w:adjustRightInd w:val="0"/>
        <w:rPr>
          <w:rFonts w:cs="Arial"/>
          <w:lang w:val="es-MX"/>
        </w:rPr>
      </w:pPr>
    </w:p>
    <w:p w14:paraId="4CCFB115" w14:textId="77777777" w:rsidR="00D45ABC" w:rsidRPr="00F604CF" w:rsidRDefault="00D45ABC" w:rsidP="00F604CF">
      <w:pPr>
        <w:pStyle w:val="Textoindependiente"/>
        <w:rPr>
          <w:rFonts w:cs="Arial"/>
          <w:szCs w:val="24"/>
        </w:rPr>
      </w:pPr>
      <w:r w:rsidRPr="00F604CF">
        <w:rPr>
          <w:rFonts w:cs="Arial"/>
          <w:szCs w:val="24"/>
          <w:lang w:val="es-CO"/>
        </w:rPr>
        <w:t>E</w:t>
      </w:r>
      <w:r w:rsidRPr="00F604CF">
        <w:rPr>
          <w:rFonts w:cs="Arial"/>
          <w:szCs w:val="24"/>
        </w:rPr>
        <w:t>n el escrito de demanda</w:t>
      </w:r>
      <w:r w:rsidR="0091090E" w:rsidRPr="00F604CF">
        <w:rPr>
          <w:rFonts w:cs="Arial"/>
          <w:szCs w:val="24"/>
        </w:rPr>
        <w:t>,</w:t>
      </w:r>
      <w:r w:rsidR="00FD5088" w:rsidRPr="00F604CF">
        <w:rPr>
          <w:rFonts w:cs="Arial"/>
          <w:szCs w:val="24"/>
        </w:rPr>
        <w:t xml:space="preserve"> </w:t>
      </w:r>
      <w:r w:rsidRPr="00F604CF">
        <w:rPr>
          <w:rFonts w:cs="Arial"/>
          <w:szCs w:val="24"/>
        </w:rPr>
        <w:t>la parte actora narró los hechos</w:t>
      </w:r>
      <w:r w:rsidR="00224606" w:rsidRPr="00F604CF">
        <w:rPr>
          <w:rFonts w:cs="Arial"/>
          <w:szCs w:val="24"/>
        </w:rPr>
        <w:t xml:space="preserve"> que se resumen a continuación</w:t>
      </w:r>
      <w:r w:rsidRPr="00F604CF">
        <w:rPr>
          <w:rFonts w:cs="Arial"/>
          <w:szCs w:val="24"/>
        </w:rPr>
        <w:t>:</w:t>
      </w:r>
    </w:p>
    <w:p w14:paraId="56C94CD7" w14:textId="77777777" w:rsidR="00F82E49" w:rsidRPr="00F604CF" w:rsidRDefault="00F82E49" w:rsidP="00F604CF">
      <w:pPr>
        <w:pStyle w:val="Lista2"/>
        <w:ind w:left="0" w:firstLine="0"/>
        <w:rPr>
          <w:rFonts w:cs="Arial"/>
          <w:b/>
        </w:rPr>
      </w:pPr>
    </w:p>
    <w:p w14:paraId="0395C89F" w14:textId="77777777" w:rsidR="00730D07" w:rsidRPr="00F604CF" w:rsidRDefault="001422FF" w:rsidP="00F604CF">
      <w:pPr>
        <w:pStyle w:val="Lista2"/>
        <w:ind w:left="0" w:firstLine="0"/>
        <w:rPr>
          <w:rFonts w:cs="Arial"/>
        </w:rPr>
      </w:pPr>
      <w:r w:rsidRPr="00F604CF">
        <w:rPr>
          <w:rFonts w:cs="Arial"/>
          <w:b/>
        </w:rPr>
        <w:t xml:space="preserve">2.1. </w:t>
      </w:r>
      <w:r w:rsidR="00581290" w:rsidRPr="00F604CF">
        <w:rPr>
          <w:rFonts w:cs="Arial"/>
        </w:rPr>
        <w:t xml:space="preserve">La </w:t>
      </w:r>
      <w:r w:rsidR="00EA3C64" w:rsidRPr="00F604CF">
        <w:rPr>
          <w:rFonts w:cs="Arial"/>
        </w:rPr>
        <w:t>S</w:t>
      </w:r>
      <w:r w:rsidR="00581290" w:rsidRPr="00F604CF">
        <w:rPr>
          <w:rFonts w:cs="Arial"/>
        </w:rPr>
        <w:t xml:space="preserve">ecretaría de </w:t>
      </w:r>
      <w:r w:rsidR="00EA3C64" w:rsidRPr="00F604CF">
        <w:rPr>
          <w:rFonts w:cs="Arial"/>
        </w:rPr>
        <w:t>E</w:t>
      </w:r>
      <w:r w:rsidR="00581290" w:rsidRPr="00F604CF">
        <w:rPr>
          <w:rFonts w:cs="Arial"/>
        </w:rPr>
        <w:t xml:space="preserve">ducación y </w:t>
      </w:r>
      <w:r w:rsidR="00EA3C64" w:rsidRPr="00F604CF">
        <w:rPr>
          <w:rFonts w:cs="Arial"/>
        </w:rPr>
        <w:t>C</w:t>
      </w:r>
      <w:r w:rsidR="00581290" w:rsidRPr="00F604CF">
        <w:rPr>
          <w:rFonts w:cs="Arial"/>
        </w:rPr>
        <w:t xml:space="preserve">ultura </w:t>
      </w:r>
      <w:r w:rsidR="00515D1A" w:rsidRPr="00F604CF">
        <w:rPr>
          <w:rFonts w:cs="Arial"/>
        </w:rPr>
        <w:t xml:space="preserve">del Departamento de Putumayo adelantó la licitación pública </w:t>
      </w:r>
      <w:r w:rsidR="003E74FE" w:rsidRPr="00F604CF">
        <w:rPr>
          <w:rFonts w:cs="Arial"/>
        </w:rPr>
        <w:t xml:space="preserve">PTYO –SED – 003 </w:t>
      </w:r>
      <w:r w:rsidR="00DD17B5" w:rsidRPr="00F604CF">
        <w:rPr>
          <w:rFonts w:cs="Arial"/>
        </w:rPr>
        <w:t>de</w:t>
      </w:r>
      <w:r w:rsidR="003E74FE" w:rsidRPr="00F604CF">
        <w:rPr>
          <w:rFonts w:cs="Arial"/>
        </w:rPr>
        <w:t xml:space="preserve"> 2005, </w:t>
      </w:r>
      <w:r w:rsidR="003E71C0" w:rsidRPr="00F604CF">
        <w:rPr>
          <w:rFonts w:cs="Arial"/>
        </w:rPr>
        <w:t>de acuerdo con la Resolución de apertura No. 905 del 1º de agosto de 2005</w:t>
      </w:r>
      <w:r w:rsidR="003E71C0" w:rsidRPr="00F604CF">
        <w:rPr>
          <w:rStyle w:val="Refdenotaalpie"/>
          <w:rFonts w:cs="Arial"/>
        </w:rPr>
        <w:footnoteReference w:id="3"/>
      </w:r>
      <w:r w:rsidR="003E71C0" w:rsidRPr="00F604CF">
        <w:rPr>
          <w:rFonts w:cs="Arial"/>
        </w:rPr>
        <w:t xml:space="preserve">, </w:t>
      </w:r>
      <w:r w:rsidR="00515D1A" w:rsidRPr="00F604CF">
        <w:rPr>
          <w:rFonts w:cs="Arial"/>
        </w:rPr>
        <w:t xml:space="preserve">cuyo objeto fue la </w:t>
      </w:r>
      <w:r w:rsidR="00AC4E26" w:rsidRPr="00F604CF">
        <w:rPr>
          <w:rFonts w:cs="Arial"/>
        </w:rPr>
        <w:t>“</w:t>
      </w:r>
      <w:r w:rsidR="00515D1A" w:rsidRPr="00F604CF">
        <w:rPr>
          <w:rFonts w:cs="Arial"/>
          <w:i/>
        </w:rPr>
        <w:t>adquisición de textos escolares de las áreas básicas y fundamentales para las instituciones educativas del departamento del Putumayo</w:t>
      </w:r>
      <w:r w:rsidR="00AC4E26" w:rsidRPr="00F604CF">
        <w:rPr>
          <w:rFonts w:cs="Arial"/>
          <w:i/>
        </w:rPr>
        <w:t>”</w:t>
      </w:r>
      <w:r w:rsidR="00515D1A" w:rsidRPr="00F604CF">
        <w:rPr>
          <w:rFonts w:cs="Arial"/>
        </w:rPr>
        <w:t xml:space="preserve">, </w:t>
      </w:r>
      <w:r w:rsidR="003E74FE" w:rsidRPr="00F604CF">
        <w:rPr>
          <w:rFonts w:cs="Arial"/>
        </w:rPr>
        <w:t>la cual fue adjudicada mediante Resolución 02</w:t>
      </w:r>
      <w:r w:rsidR="002B180C" w:rsidRPr="00F604CF">
        <w:rPr>
          <w:rFonts w:cs="Arial"/>
        </w:rPr>
        <w:t xml:space="preserve"> </w:t>
      </w:r>
      <w:r w:rsidR="003E74FE" w:rsidRPr="00F604CF">
        <w:rPr>
          <w:rFonts w:cs="Arial"/>
        </w:rPr>
        <w:t>193 del 22 de septiembre de 2005</w:t>
      </w:r>
      <w:r w:rsidR="00730D07" w:rsidRPr="00F604CF">
        <w:rPr>
          <w:rFonts w:cs="Arial"/>
        </w:rPr>
        <w:t>, a favor de la Unión Temporal Calimeño, por la suma de $950’000.000.</w:t>
      </w:r>
    </w:p>
    <w:p w14:paraId="243E408C" w14:textId="77777777" w:rsidR="00730D07" w:rsidRPr="00F604CF" w:rsidRDefault="00730D07" w:rsidP="00F604CF">
      <w:pPr>
        <w:pStyle w:val="Lista2"/>
        <w:ind w:left="0" w:firstLine="0"/>
        <w:rPr>
          <w:rFonts w:cs="Arial"/>
        </w:rPr>
      </w:pPr>
    </w:p>
    <w:p w14:paraId="033F0AF6" w14:textId="77777777" w:rsidR="0056074F" w:rsidRPr="00F604CF" w:rsidRDefault="00730D07" w:rsidP="00F604CF">
      <w:pPr>
        <w:pStyle w:val="Lista2"/>
        <w:ind w:left="0" w:firstLine="0"/>
        <w:rPr>
          <w:rFonts w:cs="Arial"/>
        </w:rPr>
      </w:pPr>
      <w:r w:rsidRPr="00F604CF">
        <w:rPr>
          <w:rFonts w:cs="Arial"/>
          <w:b/>
        </w:rPr>
        <w:t xml:space="preserve">2.2. </w:t>
      </w:r>
      <w:r w:rsidR="00D33C50" w:rsidRPr="00F604CF">
        <w:rPr>
          <w:rFonts w:cs="Arial"/>
        </w:rPr>
        <w:t xml:space="preserve">El demandante narró que </w:t>
      </w:r>
      <w:r w:rsidRPr="00F604CF">
        <w:rPr>
          <w:rFonts w:cs="Arial"/>
        </w:rPr>
        <w:t xml:space="preserve">el 2 de septiembre de 2005, el </w:t>
      </w:r>
      <w:r w:rsidR="00352B9A" w:rsidRPr="00F604CF">
        <w:rPr>
          <w:rFonts w:cs="Arial"/>
        </w:rPr>
        <w:t xml:space="preserve">comité evaluador </w:t>
      </w:r>
      <w:r w:rsidRPr="00F604CF">
        <w:rPr>
          <w:rFonts w:cs="Arial"/>
        </w:rPr>
        <w:t xml:space="preserve">valoró las tres ofertas presentadas y </w:t>
      </w:r>
      <w:r w:rsidR="00900320" w:rsidRPr="00F604CF">
        <w:rPr>
          <w:rFonts w:cs="Arial"/>
        </w:rPr>
        <w:t>asignó el orden de elegibilidad, en primer lugar para la Unión Temporal Calimeño y en segund</w:t>
      </w:r>
      <w:r w:rsidR="0056074F" w:rsidRPr="00F604CF">
        <w:rPr>
          <w:rFonts w:cs="Arial"/>
        </w:rPr>
        <w:t>o</w:t>
      </w:r>
      <w:r w:rsidR="00900320" w:rsidRPr="00F604CF">
        <w:rPr>
          <w:rFonts w:cs="Arial"/>
        </w:rPr>
        <w:t xml:space="preserve"> lugar </w:t>
      </w:r>
      <w:r w:rsidR="00DD17B5" w:rsidRPr="00F604CF">
        <w:rPr>
          <w:rFonts w:cs="Arial"/>
        </w:rPr>
        <w:t>a</w:t>
      </w:r>
      <w:r w:rsidR="00900320" w:rsidRPr="00F604CF">
        <w:rPr>
          <w:rFonts w:cs="Arial"/>
        </w:rPr>
        <w:t xml:space="preserve"> la propuesta presentada por el señor Ramiro Rivera Ramírez, </w:t>
      </w:r>
      <w:r w:rsidR="0056074F" w:rsidRPr="00F604CF">
        <w:rPr>
          <w:rFonts w:cs="Arial"/>
        </w:rPr>
        <w:t>ahora demandante.</w:t>
      </w:r>
      <w:r w:rsidR="00DC600C" w:rsidRPr="00F604CF">
        <w:rPr>
          <w:rFonts w:cs="Arial"/>
        </w:rPr>
        <w:t xml:space="preserve"> La tercera propuest</w:t>
      </w:r>
      <w:r w:rsidR="00F45095" w:rsidRPr="00F604CF">
        <w:rPr>
          <w:rFonts w:cs="Arial"/>
        </w:rPr>
        <w:t>a no se calificó</w:t>
      </w:r>
      <w:r w:rsidR="00EA3C64" w:rsidRPr="00F604CF">
        <w:rPr>
          <w:rFonts w:cs="Arial"/>
        </w:rPr>
        <w:t>,</w:t>
      </w:r>
      <w:r w:rsidR="00F45095" w:rsidRPr="00F604CF">
        <w:rPr>
          <w:rFonts w:cs="Arial"/>
        </w:rPr>
        <w:t xml:space="preserve"> por no haber acreditado la experiencia mínima.</w:t>
      </w:r>
      <w:r w:rsidR="00DC600C" w:rsidRPr="00F604CF">
        <w:rPr>
          <w:rFonts w:cs="Arial"/>
        </w:rPr>
        <w:t xml:space="preserve"> </w:t>
      </w:r>
    </w:p>
    <w:p w14:paraId="24943983" w14:textId="77777777" w:rsidR="0056074F" w:rsidRPr="00F604CF" w:rsidRDefault="0056074F" w:rsidP="00F604CF">
      <w:pPr>
        <w:pStyle w:val="Lista2"/>
        <w:ind w:left="0" w:firstLine="0"/>
        <w:rPr>
          <w:rFonts w:cs="Arial"/>
          <w:b/>
        </w:rPr>
      </w:pPr>
    </w:p>
    <w:p w14:paraId="656F2EA2" w14:textId="77777777" w:rsidR="00871799" w:rsidRPr="00F604CF" w:rsidRDefault="00DD17B5" w:rsidP="00F604CF">
      <w:pPr>
        <w:pStyle w:val="Lista2"/>
        <w:ind w:left="0" w:firstLine="0"/>
        <w:rPr>
          <w:rFonts w:cs="Arial"/>
        </w:rPr>
      </w:pPr>
      <w:r w:rsidRPr="00F604CF">
        <w:rPr>
          <w:rFonts w:cs="Arial"/>
          <w:b/>
        </w:rPr>
        <w:t xml:space="preserve">2.3. </w:t>
      </w:r>
      <w:r w:rsidRPr="00F604CF">
        <w:rPr>
          <w:rFonts w:cs="Arial"/>
        </w:rPr>
        <w:t>E</w:t>
      </w:r>
      <w:r w:rsidR="0056074F" w:rsidRPr="00F604CF">
        <w:rPr>
          <w:rFonts w:cs="Arial"/>
        </w:rPr>
        <w:t xml:space="preserve">l demandante </w:t>
      </w:r>
      <w:r w:rsidR="00D33C50" w:rsidRPr="00F604CF">
        <w:rPr>
          <w:rFonts w:cs="Arial"/>
        </w:rPr>
        <w:t xml:space="preserve">indicó que </w:t>
      </w:r>
      <w:r w:rsidR="00900320" w:rsidRPr="00F604CF">
        <w:rPr>
          <w:rFonts w:cs="Arial"/>
        </w:rPr>
        <w:t>presentó observaciones</w:t>
      </w:r>
      <w:r w:rsidR="00F45095" w:rsidRPr="00F604CF">
        <w:rPr>
          <w:rFonts w:cs="Arial"/>
        </w:rPr>
        <w:t xml:space="preserve"> </w:t>
      </w:r>
      <w:r w:rsidR="002422FD" w:rsidRPr="00F604CF">
        <w:rPr>
          <w:rFonts w:cs="Arial"/>
        </w:rPr>
        <w:t xml:space="preserve">sobre la evaluación </w:t>
      </w:r>
      <w:r w:rsidR="00534101" w:rsidRPr="00F604CF">
        <w:rPr>
          <w:rFonts w:cs="Arial"/>
        </w:rPr>
        <w:t xml:space="preserve">de las propuestas, </w:t>
      </w:r>
      <w:r w:rsidR="00F45095" w:rsidRPr="00F604CF">
        <w:rPr>
          <w:rFonts w:cs="Arial"/>
        </w:rPr>
        <w:t xml:space="preserve">el 12 de septiembre de 2005, </w:t>
      </w:r>
      <w:r w:rsidR="00900320" w:rsidRPr="00F604CF">
        <w:rPr>
          <w:rFonts w:cs="Arial"/>
        </w:rPr>
        <w:t xml:space="preserve">advirtiendo que </w:t>
      </w:r>
      <w:r w:rsidR="0056074F" w:rsidRPr="00F604CF">
        <w:rPr>
          <w:rFonts w:cs="Arial"/>
        </w:rPr>
        <w:t xml:space="preserve">la </w:t>
      </w:r>
      <w:r w:rsidR="0004439E" w:rsidRPr="00F604CF">
        <w:rPr>
          <w:rFonts w:cs="Arial"/>
        </w:rPr>
        <w:t xml:space="preserve">oferta </w:t>
      </w:r>
      <w:r w:rsidR="00F21C22" w:rsidRPr="00F604CF">
        <w:rPr>
          <w:rFonts w:cs="Arial"/>
        </w:rPr>
        <w:t xml:space="preserve">de la </w:t>
      </w:r>
      <w:r w:rsidR="0056074F" w:rsidRPr="00F604CF">
        <w:rPr>
          <w:rFonts w:cs="Arial"/>
        </w:rPr>
        <w:t xml:space="preserve">Unión Temporal Calimeño </w:t>
      </w:r>
      <w:r w:rsidR="00F21C22" w:rsidRPr="00F604CF">
        <w:rPr>
          <w:rFonts w:cs="Arial"/>
        </w:rPr>
        <w:t>debi</w:t>
      </w:r>
      <w:r w:rsidR="00371599" w:rsidRPr="00F604CF">
        <w:rPr>
          <w:rFonts w:cs="Arial"/>
        </w:rPr>
        <w:t>ó</w:t>
      </w:r>
      <w:r w:rsidR="00F21C22" w:rsidRPr="00F604CF">
        <w:rPr>
          <w:rFonts w:cs="Arial"/>
        </w:rPr>
        <w:t xml:space="preserve"> ser rechazada de acuerdo con el pliego de condiciones</w:t>
      </w:r>
      <w:r w:rsidR="0004439E" w:rsidRPr="00F604CF">
        <w:rPr>
          <w:rFonts w:cs="Arial"/>
        </w:rPr>
        <w:t>.</w:t>
      </w:r>
      <w:r w:rsidR="00871799" w:rsidRPr="00F604CF">
        <w:rPr>
          <w:rFonts w:cs="Arial"/>
        </w:rPr>
        <w:t xml:space="preserve"> </w:t>
      </w:r>
    </w:p>
    <w:p w14:paraId="755CD7BD" w14:textId="77777777" w:rsidR="00871799" w:rsidRPr="00F604CF" w:rsidRDefault="00871799" w:rsidP="00F604CF">
      <w:pPr>
        <w:pStyle w:val="Lista2"/>
        <w:ind w:left="0" w:firstLine="0"/>
        <w:rPr>
          <w:rFonts w:cs="Arial"/>
        </w:rPr>
      </w:pPr>
    </w:p>
    <w:p w14:paraId="05CD542A" w14:textId="77777777" w:rsidR="0004439E" w:rsidRPr="00F604CF" w:rsidRDefault="0004439E" w:rsidP="00F604CF">
      <w:pPr>
        <w:pStyle w:val="Lista2"/>
        <w:ind w:left="0" w:firstLine="0"/>
        <w:rPr>
          <w:rFonts w:cs="Arial"/>
        </w:rPr>
      </w:pPr>
      <w:r w:rsidRPr="00F604CF">
        <w:rPr>
          <w:rFonts w:cs="Arial"/>
        </w:rPr>
        <w:t>Alegó que</w:t>
      </w:r>
      <w:r w:rsidR="00F21C22" w:rsidRPr="00F604CF">
        <w:rPr>
          <w:rFonts w:cs="Arial"/>
        </w:rPr>
        <w:t>, por el contrario</w:t>
      </w:r>
      <w:r w:rsidR="00DD6544" w:rsidRPr="00F604CF">
        <w:rPr>
          <w:rFonts w:cs="Arial"/>
        </w:rPr>
        <w:t xml:space="preserve">, a esa proponente se </w:t>
      </w:r>
      <w:r w:rsidR="00F21C22" w:rsidRPr="00F604CF">
        <w:rPr>
          <w:rFonts w:cs="Arial"/>
        </w:rPr>
        <w:t xml:space="preserve">le permitió allegar </w:t>
      </w:r>
      <w:r w:rsidR="00F0408E" w:rsidRPr="00F604CF">
        <w:rPr>
          <w:rFonts w:cs="Arial"/>
        </w:rPr>
        <w:t xml:space="preserve">cerca de </w:t>
      </w:r>
      <w:r w:rsidR="00F21C22" w:rsidRPr="00F604CF">
        <w:rPr>
          <w:rFonts w:cs="Arial"/>
        </w:rPr>
        <w:t>50 folios co</w:t>
      </w:r>
      <w:r w:rsidR="00DD6544" w:rsidRPr="00F604CF">
        <w:rPr>
          <w:rFonts w:cs="Arial"/>
        </w:rPr>
        <w:t>n la corrección de los distintos yerros cometidos en l</w:t>
      </w:r>
      <w:r w:rsidR="002422FD" w:rsidRPr="00F604CF">
        <w:rPr>
          <w:rFonts w:cs="Arial"/>
        </w:rPr>
        <w:t>os estados financieros y en los anexos con los que se acreditó la experiencia específica</w:t>
      </w:r>
      <w:r w:rsidRPr="00F604CF">
        <w:rPr>
          <w:rFonts w:cs="Arial"/>
        </w:rPr>
        <w:t>.</w:t>
      </w:r>
    </w:p>
    <w:p w14:paraId="31229551" w14:textId="77777777" w:rsidR="00871799" w:rsidRPr="00F604CF" w:rsidRDefault="00871799" w:rsidP="00F604CF">
      <w:pPr>
        <w:pStyle w:val="Lista2"/>
        <w:ind w:left="0" w:firstLine="0"/>
        <w:rPr>
          <w:rFonts w:cs="Arial"/>
        </w:rPr>
      </w:pPr>
    </w:p>
    <w:p w14:paraId="16C717E6" w14:textId="77777777" w:rsidR="00DD6544" w:rsidRPr="00F604CF" w:rsidRDefault="0004439E" w:rsidP="00F604CF">
      <w:pPr>
        <w:pStyle w:val="Lista2"/>
        <w:ind w:left="0" w:firstLine="0"/>
        <w:rPr>
          <w:rFonts w:cs="Arial"/>
        </w:rPr>
      </w:pPr>
      <w:r w:rsidRPr="00F604CF">
        <w:rPr>
          <w:rFonts w:cs="Arial"/>
        </w:rPr>
        <w:t>R</w:t>
      </w:r>
      <w:r w:rsidR="002F1DC1" w:rsidRPr="00F604CF">
        <w:rPr>
          <w:rFonts w:cs="Arial"/>
        </w:rPr>
        <w:t xml:space="preserve">eseñó que </w:t>
      </w:r>
      <w:r w:rsidR="003459B2" w:rsidRPr="00F604CF">
        <w:rPr>
          <w:rFonts w:cs="Arial"/>
        </w:rPr>
        <w:t>mediante la Resolución 02</w:t>
      </w:r>
      <w:r w:rsidR="002B180C" w:rsidRPr="00F604CF">
        <w:rPr>
          <w:rFonts w:cs="Arial"/>
        </w:rPr>
        <w:t xml:space="preserve"> </w:t>
      </w:r>
      <w:r w:rsidR="003459B2" w:rsidRPr="00F604CF">
        <w:rPr>
          <w:rFonts w:cs="Arial"/>
        </w:rPr>
        <w:t xml:space="preserve">193 la Secretaría Delegataria con funciones de Gobernador del Putumayo </w:t>
      </w:r>
      <w:r w:rsidR="00370D2C" w:rsidRPr="00F604CF">
        <w:rPr>
          <w:rFonts w:cs="Arial"/>
        </w:rPr>
        <w:t>desech</w:t>
      </w:r>
      <w:r w:rsidR="00F0408E" w:rsidRPr="00F604CF">
        <w:rPr>
          <w:rFonts w:cs="Arial"/>
        </w:rPr>
        <w:t>ó</w:t>
      </w:r>
      <w:r w:rsidR="00370D2C" w:rsidRPr="00F604CF">
        <w:rPr>
          <w:rFonts w:cs="Arial"/>
        </w:rPr>
        <w:t xml:space="preserve"> las observaciones del ahora demandante </w:t>
      </w:r>
      <w:r w:rsidR="003459B2" w:rsidRPr="00F604CF">
        <w:rPr>
          <w:rFonts w:cs="Arial"/>
        </w:rPr>
        <w:t>y</w:t>
      </w:r>
      <w:r w:rsidR="002422FD" w:rsidRPr="00F604CF">
        <w:rPr>
          <w:rFonts w:cs="Arial"/>
        </w:rPr>
        <w:t xml:space="preserve"> le </w:t>
      </w:r>
      <w:r w:rsidR="003459B2" w:rsidRPr="00F604CF">
        <w:rPr>
          <w:rFonts w:cs="Arial"/>
        </w:rPr>
        <w:t xml:space="preserve"> adjudicó el contrato a la Unión Temporal </w:t>
      </w:r>
      <w:r w:rsidR="005A4AC8" w:rsidRPr="00F604CF">
        <w:rPr>
          <w:rFonts w:cs="Arial"/>
        </w:rPr>
        <w:t xml:space="preserve">Calimeño, </w:t>
      </w:r>
      <w:r w:rsidR="00370D2C" w:rsidRPr="00F604CF">
        <w:rPr>
          <w:rFonts w:cs="Arial"/>
        </w:rPr>
        <w:t>el 22 de septiembre de 2005</w:t>
      </w:r>
      <w:r w:rsidR="002422FD" w:rsidRPr="00F604CF">
        <w:rPr>
          <w:rFonts w:cs="Arial"/>
        </w:rPr>
        <w:t>, en violación de la Ley 80 de 1993.</w:t>
      </w:r>
      <w:r w:rsidR="00DD6544" w:rsidRPr="00F604CF">
        <w:rPr>
          <w:rFonts w:cs="Arial"/>
        </w:rPr>
        <w:t xml:space="preserve"> </w:t>
      </w:r>
    </w:p>
    <w:p w14:paraId="6EEC935D" w14:textId="77777777" w:rsidR="00F21C22" w:rsidRPr="00F604CF" w:rsidRDefault="00F21C22" w:rsidP="00F604CF">
      <w:pPr>
        <w:pStyle w:val="Lista2"/>
        <w:ind w:left="0" w:firstLine="0"/>
        <w:rPr>
          <w:rFonts w:cs="Arial"/>
        </w:rPr>
      </w:pPr>
    </w:p>
    <w:p w14:paraId="04DE5B90" w14:textId="77777777" w:rsidR="00871799" w:rsidRPr="00F604CF" w:rsidRDefault="00DD6544" w:rsidP="00F604CF">
      <w:pPr>
        <w:pStyle w:val="Lista2"/>
        <w:ind w:left="0" w:firstLine="0"/>
        <w:rPr>
          <w:rFonts w:cs="Arial"/>
        </w:rPr>
      </w:pPr>
      <w:r w:rsidRPr="00F604CF">
        <w:rPr>
          <w:rFonts w:cs="Arial"/>
          <w:b/>
        </w:rPr>
        <w:t>2.</w:t>
      </w:r>
      <w:r w:rsidR="00395109" w:rsidRPr="00F604CF">
        <w:rPr>
          <w:rFonts w:cs="Arial"/>
          <w:b/>
        </w:rPr>
        <w:t>4</w:t>
      </w:r>
      <w:r w:rsidRPr="00F604CF">
        <w:rPr>
          <w:rFonts w:cs="Arial"/>
          <w:b/>
        </w:rPr>
        <w:t xml:space="preserve">. </w:t>
      </w:r>
      <w:r w:rsidR="005A4AC8" w:rsidRPr="00F604CF">
        <w:rPr>
          <w:rFonts w:cs="Arial"/>
        </w:rPr>
        <w:t>El demandante a</w:t>
      </w:r>
      <w:r w:rsidR="002422FD" w:rsidRPr="00F604CF">
        <w:rPr>
          <w:rFonts w:cs="Arial"/>
        </w:rPr>
        <w:t xml:space="preserve">firmó </w:t>
      </w:r>
      <w:r w:rsidR="00F21C22" w:rsidRPr="00F604CF">
        <w:rPr>
          <w:rFonts w:cs="Arial"/>
        </w:rPr>
        <w:t xml:space="preserve">que la entrega de la información </w:t>
      </w:r>
      <w:r w:rsidR="005A4AC8" w:rsidRPr="00F604CF">
        <w:rPr>
          <w:rFonts w:cs="Arial"/>
        </w:rPr>
        <w:t>por parte de la Unió</w:t>
      </w:r>
      <w:r w:rsidR="002422FD" w:rsidRPr="00F604CF">
        <w:rPr>
          <w:rFonts w:cs="Arial"/>
        </w:rPr>
        <w:t>n</w:t>
      </w:r>
      <w:r w:rsidR="005A4AC8" w:rsidRPr="00F604CF">
        <w:rPr>
          <w:rFonts w:cs="Arial"/>
        </w:rPr>
        <w:t xml:space="preserve"> Temporal Calimeño f</w:t>
      </w:r>
      <w:r w:rsidR="00F21C22" w:rsidRPr="00F604CF">
        <w:rPr>
          <w:rFonts w:cs="Arial"/>
        </w:rPr>
        <w:t>ue extemporánea</w:t>
      </w:r>
      <w:r w:rsidR="00EA3C64" w:rsidRPr="00F604CF">
        <w:rPr>
          <w:rFonts w:cs="Arial"/>
        </w:rPr>
        <w:t>,</w:t>
      </w:r>
      <w:r w:rsidR="00F21C22" w:rsidRPr="00F604CF">
        <w:rPr>
          <w:rFonts w:cs="Arial"/>
        </w:rPr>
        <w:t xml:space="preserve"> dado que</w:t>
      </w:r>
      <w:r w:rsidR="005A4AC8" w:rsidRPr="00F604CF">
        <w:rPr>
          <w:rFonts w:cs="Arial"/>
        </w:rPr>
        <w:t>, a pesar de la adenda que prorrogó el plazo</w:t>
      </w:r>
      <w:r w:rsidR="00F0408E" w:rsidRPr="00F604CF">
        <w:rPr>
          <w:rFonts w:cs="Arial"/>
        </w:rPr>
        <w:t xml:space="preserve"> para la adjudicación</w:t>
      </w:r>
      <w:r w:rsidR="005A4AC8" w:rsidRPr="00F604CF">
        <w:rPr>
          <w:rFonts w:cs="Arial"/>
        </w:rPr>
        <w:t xml:space="preserve">, </w:t>
      </w:r>
      <w:r w:rsidR="00F21C22" w:rsidRPr="00F604CF">
        <w:rPr>
          <w:rFonts w:cs="Arial"/>
        </w:rPr>
        <w:t>el acta de</w:t>
      </w:r>
      <w:r w:rsidR="004C6F4A" w:rsidRPr="00F604CF">
        <w:rPr>
          <w:rFonts w:cs="Arial"/>
        </w:rPr>
        <w:t xml:space="preserve"> </w:t>
      </w:r>
      <w:r w:rsidR="00F21C22" w:rsidRPr="00F604CF">
        <w:rPr>
          <w:rFonts w:cs="Arial"/>
        </w:rPr>
        <w:t xml:space="preserve">evaluación </w:t>
      </w:r>
      <w:r w:rsidR="00F0408E" w:rsidRPr="00F604CF">
        <w:rPr>
          <w:rFonts w:cs="Arial"/>
        </w:rPr>
        <w:t xml:space="preserve">se </w:t>
      </w:r>
      <w:r w:rsidR="002422FD" w:rsidRPr="00F604CF">
        <w:rPr>
          <w:rFonts w:cs="Arial"/>
        </w:rPr>
        <w:t xml:space="preserve">habría levantado </w:t>
      </w:r>
      <w:r w:rsidR="00F0408E" w:rsidRPr="00F604CF">
        <w:rPr>
          <w:rFonts w:cs="Arial"/>
        </w:rPr>
        <w:t xml:space="preserve">el </w:t>
      </w:r>
      <w:r w:rsidR="00F21C22" w:rsidRPr="00F604CF">
        <w:rPr>
          <w:rFonts w:cs="Arial"/>
        </w:rPr>
        <w:t>2 de septiembre de 20</w:t>
      </w:r>
      <w:r w:rsidR="004C6F4A" w:rsidRPr="00F604CF">
        <w:rPr>
          <w:rFonts w:cs="Arial"/>
        </w:rPr>
        <w:t>05</w:t>
      </w:r>
      <w:r w:rsidR="00871799" w:rsidRPr="00F604CF">
        <w:rPr>
          <w:rFonts w:cs="Arial"/>
        </w:rPr>
        <w:t xml:space="preserve">. </w:t>
      </w:r>
    </w:p>
    <w:p w14:paraId="616B51B1" w14:textId="77777777" w:rsidR="00871799" w:rsidRPr="00F604CF" w:rsidRDefault="00871799" w:rsidP="00F604CF">
      <w:pPr>
        <w:pStyle w:val="Lista2"/>
        <w:ind w:left="0" w:firstLine="0"/>
        <w:rPr>
          <w:rFonts w:cs="Arial"/>
        </w:rPr>
      </w:pPr>
    </w:p>
    <w:p w14:paraId="6D29DDD9" w14:textId="77777777" w:rsidR="00B84541" w:rsidRPr="00F604CF" w:rsidRDefault="00871799" w:rsidP="00F604CF">
      <w:pPr>
        <w:pStyle w:val="Lista2"/>
        <w:ind w:left="0" w:firstLine="0"/>
        <w:rPr>
          <w:rFonts w:cs="Arial"/>
        </w:rPr>
      </w:pPr>
      <w:r w:rsidRPr="00F604CF">
        <w:rPr>
          <w:rFonts w:cs="Arial"/>
        </w:rPr>
        <w:t xml:space="preserve">Advirtió que </w:t>
      </w:r>
      <w:r w:rsidR="004C6F4A" w:rsidRPr="00F604CF">
        <w:rPr>
          <w:rFonts w:cs="Arial"/>
        </w:rPr>
        <w:t>en uno de los documentos</w:t>
      </w:r>
      <w:r w:rsidRPr="00F604CF">
        <w:rPr>
          <w:rFonts w:cs="Arial"/>
        </w:rPr>
        <w:t xml:space="preserve"> adicionales allegados, </w:t>
      </w:r>
      <w:r w:rsidR="004C6F4A" w:rsidRPr="00F604CF">
        <w:rPr>
          <w:rFonts w:cs="Arial"/>
        </w:rPr>
        <w:t xml:space="preserve">suscrito por una contadora pública </w:t>
      </w:r>
      <w:r w:rsidR="001E3271" w:rsidRPr="00F604CF">
        <w:rPr>
          <w:rFonts w:cs="Arial"/>
        </w:rPr>
        <w:t xml:space="preserve">con fecha del 5 de septiembre de 2005, </w:t>
      </w:r>
      <w:r w:rsidR="004C6F4A" w:rsidRPr="00F604CF">
        <w:rPr>
          <w:rFonts w:cs="Arial"/>
        </w:rPr>
        <w:t>se certificó que se subsan</w:t>
      </w:r>
      <w:r w:rsidR="00603CD1" w:rsidRPr="00F604CF">
        <w:rPr>
          <w:rFonts w:cs="Arial"/>
        </w:rPr>
        <w:t>ó</w:t>
      </w:r>
      <w:r w:rsidR="004C6F4A" w:rsidRPr="00F604CF">
        <w:rPr>
          <w:rFonts w:cs="Arial"/>
        </w:rPr>
        <w:t xml:space="preserve"> un error en el </w:t>
      </w:r>
      <w:r w:rsidR="00635611" w:rsidRPr="00F604CF">
        <w:rPr>
          <w:rFonts w:cs="Arial"/>
        </w:rPr>
        <w:t>Registro Único de Proponentes</w:t>
      </w:r>
      <w:r w:rsidR="00635611" w:rsidRPr="00F604CF">
        <w:rPr>
          <w:rStyle w:val="Refdenotaalpie"/>
          <w:rFonts w:cs="Arial"/>
        </w:rPr>
        <w:footnoteReference w:id="4"/>
      </w:r>
      <w:r w:rsidR="00635611" w:rsidRPr="00F604CF">
        <w:rPr>
          <w:rFonts w:cs="Arial"/>
        </w:rPr>
        <w:t xml:space="preserve"> </w:t>
      </w:r>
      <w:r w:rsidR="002422FD" w:rsidRPr="00F604CF">
        <w:rPr>
          <w:rFonts w:cs="Arial"/>
        </w:rPr>
        <w:t xml:space="preserve">en esa fecha y adjuntó el certificado expedido ese mismo día. </w:t>
      </w:r>
    </w:p>
    <w:p w14:paraId="7A30B2E8" w14:textId="77777777" w:rsidR="00B84541" w:rsidRPr="00F604CF" w:rsidRDefault="00B84541" w:rsidP="00F604CF">
      <w:pPr>
        <w:pStyle w:val="Lista2"/>
        <w:ind w:left="0" w:firstLine="0"/>
        <w:rPr>
          <w:rFonts w:cs="Arial"/>
        </w:rPr>
      </w:pPr>
    </w:p>
    <w:p w14:paraId="394C6FD5" w14:textId="77777777" w:rsidR="00B84541" w:rsidRPr="00F604CF" w:rsidRDefault="002422FD" w:rsidP="00F604CF">
      <w:pPr>
        <w:pStyle w:val="Lista2"/>
        <w:ind w:left="0" w:firstLine="0"/>
        <w:rPr>
          <w:rFonts w:cs="Arial"/>
        </w:rPr>
      </w:pPr>
      <w:r w:rsidRPr="00F604CF">
        <w:rPr>
          <w:rFonts w:cs="Arial"/>
        </w:rPr>
        <w:t>C</w:t>
      </w:r>
      <w:r w:rsidR="005A4AC8" w:rsidRPr="00F604CF">
        <w:rPr>
          <w:rFonts w:cs="Arial"/>
        </w:rPr>
        <w:t>on base en esa certificación</w:t>
      </w:r>
      <w:r w:rsidR="00A52C0D" w:rsidRPr="00F604CF">
        <w:rPr>
          <w:rFonts w:cs="Arial"/>
        </w:rPr>
        <w:t xml:space="preserve">, el demandante </w:t>
      </w:r>
      <w:r w:rsidR="00603CD1" w:rsidRPr="00F604CF">
        <w:rPr>
          <w:rFonts w:cs="Arial"/>
        </w:rPr>
        <w:t>advirt</w:t>
      </w:r>
      <w:r w:rsidR="00A52C0D" w:rsidRPr="00F604CF">
        <w:rPr>
          <w:rFonts w:cs="Arial"/>
        </w:rPr>
        <w:t>ió</w:t>
      </w:r>
      <w:r w:rsidR="00603CD1" w:rsidRPr="00F604CF">
        <w:rPr>
          <w:rFonts w:cs="Arial"/>
        </w:rPr>
        <w:t xml:space="preserve"> que la Unión Temporal Calimeño no había subsanado la propuesta </w:t>
      </w:r>
      <w:r w:rsidR="00B84541" w:rsidRPr="00F604CF">
        <w:rPr>
          <w:rFonts w:cs="Arial"/>
        </w:rPr>
        <w:t>con anterioridad a la evaluación.</w:t>
      </w:r>
    </w:p>
    <w:p w14:paraId="446B1A77" w14:textId="77777777" w:rsidR="005A4AC8" w:rsidRPr="00F604CF" w:rsidRDefault="005A4AC8" w:rsidP="00F604CF">
      <w:pPr>
        <w:pStyle w:val="Lista2"/>
        <w:ind w:left="0" w:firstLine="0"/>
        <w:rPr>
          <w:rFonts w:cs="Arial"/>
        </w:rPr>
      </w:pPr>
    </w:p>
    <w:p w14:paraId="5BE32A22" w14:textId="77777777" w:rsidR="00803205" w:rsidRPr="00F604CF" w:rsidRDefault="00567B64" w:rsidP="00F604CF">
      <w:pPr>
        <w:pStyle w:val="Lista2"/>
        <w:ind w:left="0" w:firstLine="0"/>
        <w:rPr>
          <w:rFonts w:cs="Arial"/>
        </w:rPr>
      </w:pPr>
      <w:r w:rsidRPr="00F604CF">
        <w:rPr>
          <w:rFonts w:cs="Arial"/>
        </w:rPr>
        <w:t xml:space="preserve">Indicó que </w:t>
      </w:r>
      <w:r w:rsidR="00EA3C64" w:rsidRPr="00F604CF">
        <w:rPr>
          <w:rFonts w:cs="Arial"/>
        </w:rPr>
        <w:t>e</w:t>
      </w:r>
      <w:r w:rsidRPr="00F604CF">
        <w:rPr>
          <w:rFonts w:cs="Arial"/>
        </w:rPr>
        <w:t>sta sola circunstancia constituye un vicio que afecta la nulidad el acto de adjudicación</w:t>
      </w:r>
      <w:r w:rsidR="00803205" w:rsidRPr="00F604CF">
        <w:rPr>
          <w:rFonts w:cs="Arial"/>
        </w:rPr>
        <w:t>.</w:t>
      </w:r>
    </w:p>
    <w:p w14:paraId="34D45190" w14:textId="77777777" w:rsidR="000529E4" w:rsidRPr="00F604CF" w:rsidRDefault="000529E4" w:rsidP="00F604CF">
      <w:pPr>
        <w:pStyle w:val="Lista2"/>
        <w:ind w:left="0" w:firstLine="0"/>
        <w:rPr>
          <w:rFonts w:cs="Arial"/>
          <w:b/>
        </w:rPr>
      </w:pPr>
    </w:p>
    <w:p w14:paraId="5049DAC7" w14:textId="77777777" w:rsidR="00AA5134" w:rsidRPr="00F604CF" w:rsidRDefault="00370D2C" w:rsidP="00F604CF">
      <w:pPr>
        <w:pStyle w:val="Lista2"/>
        <w:ind w:left="0" w:firstLine="0"/>
        <w:rPr>
          <w:rFonts w:cs="Arial"/>
        </w:rPr>
      </w:pPr>
      <w:r w:rsidRPr="00F604CF">
        <w:rPr>
          <w:rFonts w:cs="Arial"/>
          <w:b/>
        </w:rPr>
        <w:t>2.</w:t>
      </w:r>
      <w:r w:rsidR="00395109" w:rsidRPr="00F604CF">
        <w:rPr>
          <w:rFonts w:cs="Arial"/>
          <w:b/>
        </w:rPr>
        <w:t>5</w:t>
      </w:r>
      <w:r w:rsidRPr="00F604CF">
        <w:rPr>
          <w:rFonts w:cs="Arial"/>
          <w:b/>
        </w:rPr>
        <w:t xml:space="preserve">. </w:t>
      </w:r>
      <w:r w:rsidR="00803205" w:rsidRPr="00F604CF">
        <w:rPr>
          <w:rFonts w:cs="Arial"/>
        </w:rPr>
        <w:t>Agregó que</w:t>
      </w:r>
      <w:r w:rsidR="000676D4" w:rsidRPr="00F604CF">
        <w:rPr>
          <w:rFonts w:cs="Arial"/>
        </w:rPr>
        <w:t>,</w:t>
      </w:r>
      <w:r w:rsidR="00803205" w:rsidRPr="00F604CF">
        <w:rPr>
          <w:rFonts w:cs="Arial"/>
        </w:rPr>
        <w:t xml:space="preserve"> </w:t>
      </w:r>
      <w:r w:rsidR="000529E4" w:rsidRPr="00F604CF">
        <w:rPr>
          <w:rFonts w:cs="Arial"/>
        </w:rPr>
        <w:t>de acuerdo con el punto 2.3.3.1. del pliego de condiciones</w:t>
      </w:r>
      <w:r w:rsidR="00EA3C64" w:rsidRPr="00F604CF">
        <w:rPr>
          <w:rFonts w:cs="Arial"/>
        </w:rPr>
        <w:t>,</w:t>
      </w:r>
      <w:r w:rsidR="000529E4" w:rsidRPr="00F604CF">
        <w:rPr>
          <w:rFonts w:cs="Arial"/>
        </w:rPr>
        <w:t xml:space="preserve"> los estados financieros debían entregarse con sus notas y debidamente certificados</w:t>
      </w:r>
      <w:r w:rsidR="001E3271" w:rsidRPr="00F604CF">
        <w:rPr>
          <w:rFonts w:cs="Arial"/>
        </w:rPr>
        <w:t xml:space="preserve"> y </w:t>
      </w:r>
      <w:r w:rsidR="00803205" w:rsidRPr="00F604CF">
        <w:rPr>
          <w:rFonts w:cs="Arial"/>
        </w:rPr>
        <w:t xml:space="preserve">dictaminados </w:t>
      </w:r>
      <w:r w:rsidR="002422FD" w:rsidRPr="00F604CF">
        <w:rPr>
          <w:rFonts w:cs="Arial"/>
        </w:rPr>
        <w:t xml:space="preserve">de conformidad con </w:t>
      </w:r>
      <w:r w:rsidR="00567B64" w:rsidRPr="00F604CF">
        <w:rPr>
          <w:rFonts w:cs="Arial"/>
        </w:rPr>
        <w:t>l</w:t>
      </w:r>
      <w:r w:rsidR="00803205" w:rsidRPr="00F604CF">
        <w:rPr>
          <w:rFonts w:cs="Arial"/>
        </w:rPr>
        <w:t>o que l</w:t>
      </w:r>
      <w:r w:rsidR="00567B64" w:rsidRPr="00F604CF">
        <w:rPr>
          <w:rFonts w:cs="Arial"/>
        </w:rPr>
        <w:t>a Ley 222 de 1995</w:t>
      </w:r>
      <w:r w:rsidR="00803205" w:rsidRPr="00F604CF">
        <w:rPr>
          <w:rFonts w:cs="Arial"/>
        </w:rPr>
        <w:t xml:space="preserve"> dispon</w:t>
      </w:r>
      <w:r w:rsidR="007270DE" w:rsidRPr="00F604CF">
        <w:rPr>
          <w:rFonts w:cs="Arial"/>
        </w:rPr>
        <w:t>ía</w:t>
      </w:r>
      <w:r w:rsidR="00567B64" w:rsidRPr="00F604CF">
        <w:rPr>
          <w:rFonts w:cs="Arial"/>
        </w:rPr>
        <w:t xml:space="preserve">, </w:t>
      </w:r>
      <w:r w:rsidR="002422FD" w:rsidRPr="00F604CF">
        <w:rPr>
          <w:rFonts w:cs="Arial"/>
        </w:rPr>
        <w:t>cosa que se desconoció</w:t>
      </w:r>
      <w:r w:rsidR="003768EF" w:rsidRPr="00F604CF">
        <w:rPr>
          <w:rFonts w:cs="Arial"/>
        </w:rPr>
        <w:t>,</w:t>
      </w:r>
      <w:r w:rsidR="002422FD" w:rsidRPr="00F604CF">
        <w:rPr>
          <w:rFonts w:cs="Arial"/>
        </w:rPr>
        <w:t xml:space="preserve"> </w:t>
      </w:r>
      <w:r w:rsidR="007270DE" w:rsidRPr="00F604CF">
        <w:rPr>
          <w:rFonts w:cs="Arial"/>
        </w:rPr>
        <w:t xml:space="preserve">dado que </w:t>
      </w:r>
      <w:r w:rsidR="00803205" w:rsidRPr="00F604CF">
        <w:rPr>
          <w:rFonts w:cs="Arial"/>
        </w:rPr>
        <w:t>se le permitió a la Uni</w:t>
      </w:r>
      <w:r w:rsidR="00267170" w:rsidRPr="00F604CF">
        <w:rPr>
          <w:rFonts w:cs="Arial"/>
        </w:rPr>
        <w:t>ó</w:t>
      </w:r>
      <w:r w:rsidR="00803205" w:rsidRPr="00F604CF">
        <w:rPr>
          <w:rFonts w:cs="Arial"/>
        </w:rPr>
        <w:t>n Temporal Calimeño</w:t>
      </w:r>
      <w:r w:rsidR="007270DE" w:rsidRPr="00F604CF">
        <w:rPr>
          <w:rFonts w:cs="Arial"/>
        </w:rPr>
        <w:t xml:space="preserve"> corregir los estados financieros</w:t>
      </w:r>
      <w:r w:rsidR="00134EAA" w:rsidRPr="00F604CF">
        <w:rPr>
          <w:rFonts w:cs="Arial"/>
        </w:rPr>
        <w:t xml:space="preserve"> y allegar </w:t>
      </w:r>
      <w:r w:rsidR="00A52C0D" w:rsidRPr="00F604CF">
        <w:rPr>
          <w:rFonts w:cs="Arial"/>
        </w:rPr>
        <w:t>la</w:t>
      </w:r>
      <w:r w:rsidR="00134EAA" w:rsidRPr="00F604CF">
        <w:rPr>
          <w:rFonts w:cs="Arial"/>
        </w:rPr>
        <w:t xml:space="preserve"> certificación y el dictamen correspondiente</w:t>
      </w:r>
      <w:r w:rsidR="00AA5134" w:rsidRPr="00F604CF">
        <w:rPr>
          <w:rFonts w:cs="Arial"/>
        </w:rPr>
        <w:t>. Por otra parte</w:t>
      </w:r>
      <w:r w:rsidR="003768EF" w:rsidRPr="00F604CF">
        <w:rPr>
          <w:rFonts w:cs="Arial"/>
        </w:rPr>
        <w:t>,</w:t>
      </w:r>
      <w:r w:rsidR="00AA5134" w:rsidRPr="00F604CF">
        <w:rPr>
          <w:rFonts w:cs="Arial"/>
        </w:rPr>
        <w:t xml:space="preserve"> observó </w:t>
      </w:r>
      <w:r w:rsidR="00A52C0D" w:rsidRPr="00F604CF">
        <w:rPr>
          <w:rFonts w:cs="Arial"/>
        </w:rPr>
        <w:t xml:space="preserve">el demandante </w:t>
      </w:r>
      <w:r w:rsidR="00AA5134" w:rsidRPr="00F604CF">
        <w:rPr>
          <w:rFonts w:cs="Arial"/>
        </w:rPr>
        <w:t xml:space="preserve">que </w:t>
      </w:r>
      <w:r w:rsidR="003E3031" w:rsidRPr="00F604CF">
        <w:rPr>
          <w:rFonts w:cs="Arial"/>
        </w:rPr>
        <w:t xml:space="preserve">también </w:t>
      </w:r>
      <w:r w:rsidR="00AA5134" w:rsidRPr="00F604CF">
        <w:rPr>
          <w:rFonts w:cs="Arial"/>
        </w:rPr>
        <w:t>se le permitió</w:t>
      </w:r>
      <w:r w:rsidR="003E3031" w:rsidRPr="00F604CF">
        <w:rPr>
          <w:rFonts w:cs="Arial"/>
        </w:rPr>
        <w:t xml:space="preserve"> a </w:t>
      </w:r>
      <w:r w:rsidR="002422FD" w:rsidRPr="00F604CF">
        <w:rPr>
          <w:rFonts w:cs="Arial"/>
        </w:rPr>
        <w:t xml:space="preserve">la Unión Temporal Calimeño </w:t>
      </w:r>
      <w:r w:rsidR="00803205" w:rsidRPr="00F604CF">
        <w:rPr>
          <w:rFonts w:cs="Arial"/>
        </w:rPr>
        <w:t xml:space="preserve">acreditar la </w:t>
      </w:r>
      <w:r w:rsidR="00267170" w:rsidRPr="00F604CF">
        <w:rPr>
          <w:rFonts w:cs="Arial"/>
        </w:rPr>
        <w:t xml:space="preserve">experiencia específica después de haber presentado la oferta, cuando lo ajustado al pliego de condiciones era asignarle cero puntos </w:t>
      </w:r>
      <w:r w:rsidR="00AA5134" w:rsidRPr="00F604CF">
        <w:rPr>
          <w:rFonts w:cs="Arial"/>
        </w:rPr>
        <w:t>a</w:t>
      </w:r>
      <w:r w:rsidR="00267170" w:rsidRPr="00F604CF">
        <w:rPr>
          <w:rFonts w:cs="Arial"/>
        </w:rPr>
        <w:t xml:space="preserve"> los respectivos contratos</w:t>
      </w:r>
      <w:r w:rsidR="00134EAA" w:rsidRPr="00F604CF">
        <w:rPr>
          <w:rFonts w:cs="Arial"/>
        </w:rPr>
        <w:t>, en el factor de experiencia</w:t>
      </w:r>
      <w:r w:rsidR="00267170" w:rsidRPr="00F604CF">
        <w:rPr>
          <w:rFonts w:cs="Arial"/>
        </w:rPr>
        <w:t xml:space="preserve">. </w:t>
      </w:r>
    </w:p>
    <w:p w14:paraId="3C5AD97D" w14:textId="77777777" w:rsidR="00AA5134" w:rsidRPr="00F604CF" w:rsidRDefault="00AA5134" w:rsidP="00F604CF">
      <w:pPr>
        <w:pStyle w:val="Lista2"/>
        <w:ind w:left="0" w:firstLine="0"/>
        <w:rPr>
          <w:rFonts w:cs="Arial"/>
        </w:rPr>
      </w:pPr>
    </w:p>
    <w:p w14:paraId="0456580C" w14:textId="77777777" w:rsidR="006610EB" w:rsidRPr="00F604CF" w:rsidRDefault="00AA5134" w:rsidP="00F604CF">
      <w:pPr>
        <w:pStyle w:val="Lista2"/>
        <w:ind w:left="0" w:firstLine="0"/>
        <w:rPr>
          <w:rFonts w:cs="Arial"/>
        </w:rPr>
      </w:pPr>
      <w:r w:rsidRPr="00F604CF">
        <w:rPr>
          <w:rFonts w:cs="Arial"/>
          <w:b/>
        </w:rPr>
        <w:t>2.</w:t>
      </w:r>
      <w:r w:rsidR="00395109" w:rsidRPr="00F604CF">
        <w:rPr>
          <w:rFonts w:cs="Arial"/>
          <w:b/>
        </w:rPr>
        <w:t>6</w:t>
      </w:r>
      <w:r w:rsidRPr="00F604CF">
        <w:rPr>
          <w:rFonts w:cs="Arial"/>
          <w:b/>
        </w:rPr>
        <w:t>.</w:t>
      </w:r>
      <w:r w:rsidRPr="00F604CF">
        <w:rPr>
          <w:rFonts w:cs="Arial"/>
        </w:rPr>
        <w:t xml:space="preserve"> </w:t>
      </w:r>
      <w:r w:rsidR="00267170" w:rsidRPr="00F604CF">
        <w:rPr>
          <w:rFonts w:cs="Arial"/>
        </w:rPr>
        <w:t>Agregó que las certificaciones de cumplimiento allegadas por la Unión Temporal Calimeño</w:t>
      </w:r>
      <w:r w:rsidR="009E5654" w:rsidRPr="00F604CF">
        <w:rPr>
          <w:rFonts w:cs="Arial"/>
        </w:rPr>
        <w:t>,</w:t>
      </w:r>
      <w:r w:rsidR="00267170" w:rsidRPr="00F604CF">
        <w:rPr>
          <w:rFonts w:cs="Arial"/>
        </w:rPr>
        <w:t xml:space="preserve"> no se</w:t>
      </w:r>
      <w:r w:rsidR="00271BE9" w:rsidRPr="00F604CF">
        <w:rPr>
          <w:rFonts w:cs="Arial"/>
        </w:rPr>
        <w:t xml:space="preserve"> </w:t>
      </w:r>
      <w:r w:rsidR="00267170" w:rsidRPr="00F604CF">
        <w:rPr>
          <w:rFonts w:cs="Arial"/>
        </w:rPr>
        <w:t>c</w:t>
      </w:r>
      <w:r w:rsidR="00271BE9" w:rsidRPr="00F604CF">
        <w:rPr>
          <w:rFonts w:cs="Arial"/>
        </w:rPr>
        <w:t>o</w:t>
      </w:r>
      <w:r w:rsidR="00267170" w:rsidRPr="00F604CF">
        <w:rPr>
          <w:rFonts w:cs="Arial"/>
        </w:rPr>
        <w:t>rrespond</w:t>
      </w:r>
      <w:r w:rsidRPr="00F604CF">
        <w:rPr>
          <w:rFonts w:cs="Arial"/>
        </w:rPr>
        <w:t>í</w:t>
      </w:r>
      <w:r w:rsidR="00267170" w:rsidRPr="00F604CF">
        <w:rPr>
          <w:rFonts w:cs="Arial"/>
        </w:rPr>
        <w:t>an con los valores de los contratos</w:t>
      </w:r>
      <w:r w:rsidRPr="00F604CF">
        <w:rPr>
          <w:rFonts w:cs="Arial"/>
        </w:rPr>
        <w:t xml:space="preserve"> y detalló </w:t>
      </w:r>
      <w:r w:rsidR="002422FD" w:rsidRPr="00F604CF">
        <w:rPr>
          <w:rFonts w:cs="Arial"/>
        </w:rPr>
        <w:t xml:space="preserve">múltiples </w:t>
      </w:r>
      <w:r w:rsidRPr="00F604CF">
        <w:rPr>
          <w:rFonts w:cs="Arial"/>
        </w:rPr>
        <w:t>inconsistencias</w:t>
      </w:r>
      <w:r w:rsidR="00C21A3B" w:rsidRPr="00F604CF">
        <w:rPr>
          <w:rFonts w:cs="Arial"/>
        </w:rPr>
        <w:t>.</w:t>
      </w:r>
      <w:r w:rsidR="00267170" w:rsidRPr="00F604CF">
        <w:rPr>
          <w:rFonts w:cs="Arial"/>
        </w:rPr>
        <w:t xml:space="preserve"> </w:t>
      </w:r>
    </w:p>
    <w:p w14:paraId="7F7C6A58" w14:textId="77777777" w:rsidR="006610EB" w:rsidRPr="00F604CF" w:rsidRDefault="006610EB" w:rsidP="00F604CF">
      <w:pPr>
        <w:pStyle w:val="Lista2"/>
        <w:ind w:left="0" w:firstLine="0"/>
        <w:rPr>
          <w:rFonts w:cs="Arial"/>
          <w:b/>
        </w:rPr>
      </w:pPr>
    </w:p>
    <w:p w14:paraId="6308B5B1" w14:textId="77777777" w:rsidR="006730A1" w:rsidRPr="00F604CF" w:rsidRDefault="00AA5134" w:rsidP="00F604CF">
      <w:pPr>
        <w:pStyle w:val="Lista2"/>
        <w:ind w:left="0" w:firstLine="0"/>
        <w:rPr>
          <w:rFonts w:cs="Arial"/>
        </w:rPr>
      </w:pPr>
      <w:r w:rsidRPr="00F604CF">
        <w:rPr>
          <w:rFonts w:cs="Arial"/>
          <w:b/>
        </w:rPr>
        <w:t>2.</w:t>
      </w:r>
      <w:r w:rsidR="00395109" w:rsidRPr="00F604CF">
        <w:rPr>
          <w:rFonts w:cs="Arial"/>
          <w:b/>
        </w:rPr>
        <w:t>7</w:t>
      </w:r>
      <w:r w:rsidRPr="00F604CF">
        <w:rPr>
          <w:rFonts w:cs="Arial"/>
          <w:b/>
        </w:rPr>
        <w:t xml:space="preserve">. </w:t>
      </w:r>
      <w:r w:rsidRPr="00F604CF">
        <w:rPr>
          <w:rFonts w:cs="Arial"/>
        </w:rPr>
        <w:t>A</w:t>
      </w:r>
      <w:r w:rsidR="006610EB" w:rsidRPr="00F604CF">
        <w:rPr>
          <w:rFonts w:cs="Arial"/>
        </w:rPr>
        <w:t xml:space="preserve">dvirtió </w:t>
      </w:r>
      <w:r w:rsidR="00057815" w:rsidRPr="00F604CF">
        <w:rPr>
          <w:rFonts w:cs="Arial"/>
        </w:rPr>
        <w:t xml:space="preserve">el </w:t>
      </w:r>
      <w:r w:rsidR="006610EB" w:rsidRPr="00F604CF">
        <w:rPr>
          <w:rFonts w:cs="Arial"/>
        </w:rPr>
        <w:t xml:space="preserve">demandante que </w:t>
      </w:r>
      <w:r w:rsidRPr="00F604CF">
        <w:rPr>
          <w:rFonts w:cs="Arial"/>
        </w:rPr>
        <w:t xml:space="preserve">Carlos </w:t>
      </w:r>
      <w:r w:rsidR="003E3031" w:rsidRPr="00F604CF">
        <w:rPr>
          <w:rFonts w:cs="Arial"/>
        </w:rPr>
        <w:t xml:space="preserve">Alfredo </w:t>
      </w:r>
      <w:r w:rsidRPr="00F604CF">
        <w:rPr>
          <w:rFonts w:cs="Arial"/>
        </w:rPr>
        <w:t xml:space="preserve">Giraldo, </w:t>
      </w:r>
      <w:r w:rsidR="006610EB" w:rsidRPr="00F604CF">
        <w:rPr>
          <w:rFonts w:cs="Arial"/>
        </w:rPr>
        <w:t xml:space="preserve">integrante </w:t>
      </w:r>
      <w:r w:rsidRPr="00F604CF">
        <w:rPr>
          <w:rFonts w:cs="Arial"/>
        </w:rPr>
        <w:t>de la Unión Temporal Calimeño</w:t>
      </w:r>
      <w:r w:rsidR="000676D4" w:rsidRPr="00F604CF">
        <w:rPr>
          <w:rFonts w:cs="Arial"/>
        </w:rPr>
        <w:t>,</w:t>
      </w:r>
      <w:r w:rsidRPr="00F604CF">
        <w:rPr>
          <w:rFonts w:cs="Arial"/>
        </w:rPr>
        <w:t xml:space="preserve"> </w:t>
      </w:r>
      <w:r w:rsidR="006610EB" w:rsidRPr="00F604CF">
        <w:rPr>
          <w:rFonts w:cs="Arial"/>
        </w:rPr>
        <w:t xml:space="preserve">no </w:t>
      </w:r>
      <w:r w:rsidR="002422FD" w:rsidRPr="00F604CF">
        <w:rPr>
          <w:rFonts w:cs="Arial"/>
        </w:rPr>
        <w:t xml:space="preserve">había </w:t>
      </w:r>
      <w:r w:rsidR="006610EB" w:rsidRPr="00F604CF">
        <w:rPr>
          <w:rFonts w:cs="Arial"/>
        </w:rPr>
        <w:t>diligenci</w:t>
      </w:r>
      <w:r w:rsidR="002422FD" w:rsidRPr="00F604CF">
        <w:rPr>
          <w:rFonts w:cs="Arial"/>
        </w:rPr>
        <w:t>ado</w:t>
      </w:r>
      <w:r w:rsidR="006610EB" w:rsidRPr="00F604CF">
        <w:rPr>
          <w:rFonts w:cs="Arial"/>
        </w:rPr>
        <w:t xml:space="preserve"> ni present</w:t>
      </w:r>
      <w:r w:rsidR="002422FD" w:rsidRPr="00F604CF">
        <w:rPr>
          <w:rFonts w:cs="Arial"/>
        </w:rPr>
        <w:t>ado</w:t>
      </w:r>
      <w:r w:rsidR="006610EB" w:rsidRPr="00F604CF">
        <w:rPr>
          <w:rFonts w:cs="Arial"/>
        </w:rPr>
        <w:t xml:space="preserve"> el formulario 3 con base en el cual se debía acreditar el </w:t>
      </w:r>
      <w:r w:rsidR="006610EB" w:rsidRPr="00F604CF">
        <w:rPr>
          <w:rFonts w:cs="Arial"/>
          <w:i/>
        </w:rPr>
        <w:t>K residual</w:t>
      </w:r>
      <w:r w:rsidR="006730A1" w:rsidRPr="00F604CF">
        <w:rPr>
          <w:rFonts w:cs="Arial"/>
        </w:rPr>
        <w:t>.</w:t>
      </w:r>
    </w:p>
    <w:p w14:paraId="602F2DBA" w14:textId="77777777" w:rsidR="006730A1" w:rsidRPr="00F604CF" w:rsidRDefault="006730A1" w:rsidP="00F604CF">
      <w:pPr>
        <w:pStyle w:val="Lista2"/>
        <w:ind w:left="0" w:firstLine="0"/>
        <w:rPr>
          <w:rFonts w:cs="Arial"/>
          <w:b/>
        </w:rPr>
      </w:pPr>
    </w:p>
    <w:p w14:paraId="0CFA1E07" w14:textId="77777777" w:rsidR="00057815" w:rsidRPr="00F604CF" w:rsidRDefault="00AA5134" w:rsidP="00F604CF">
      <w:pPr>
        <w:pStyle w:val="Lista2"/>
        <w:ind w:left="0" w:firstLine="0"/>
        <w:rPr>
          <w:rFonts w:cs="Arial"/>
        </w:rPr>
      </w:pPr>
      <w:r w:rsidRPr="00F604CF">
        <w:rPr>
          <w:rFonts w:cs="Arial"/>
          <w:b/>
        </w:rPr>
        <w:t>2.</w:t>
      </w:r>
      <w:r w:rsidR="00395109" w:rsidRPr="00F604CF">
        <w:rPr>
          <w:rFonts w:cs="Arial"/>
          <w:b/>
        </w:rPr>
        <w:t>8</w:t>
      </w:r>
      <w:r w:rsidRPr="00F604CF">
        <w:rPr>
          <w:rFonts w:cs="Arial"/>
          <w:b/>
        </w:rPr>
        <w:t xml:space="preserve">. </w:t>
      </w:r>
      <w:r w:rsidR="006730A1" w:rsidRPr="00F604CF">
        <w:rPr>
          <w:rFonts w:cs="Arial"/>
        </w:rPr>
        <w:t xml:space="preserve">Igualmente destacó que Huber Ricardo Hoyos, Carlos </w:t>
      </w:r>
      <w:r w:rsidR="0070601B" w:rsidRPr="00F604CF">
        <w:rPr>
          <w:rFonts w:cs="Arial"/>
        </w:rPr>
        <w:t xml:space="preserve">Alfredo </w:t>
      </w:r>
      <w:r w:rsidR="006730A1" w:rsidRPr="00F604CF">
        <w:rPr>
          <w:rFonts w:cs="Arial"/>
        </w:rPr>
        <w:t>Giraldo y Alexander Solarte</w:t>
      </w:r>
      <w:r w:rsidR="0070601B" w:rsidRPr="00F604CF">
        <w:rPr>
          <w:rFonts w:cs="Arial"/>
        </w:rPr>
        <w:t xml:space="preserve">, miembros de la </w:t>
      </w:r>
      <w:r w:rsidR="002422FD" w:rsidRPr="00F604CF">
        <w:rPr>
          <w:rFonts w:cs="Arial"/>
        </w:rPr>
        <w:t>U</w:t>
      </w:r>
      <w:r w:rsidR="0070601B" w:rsidRPr="00F604CF">
        <w:rPr>
          <w:rFonts w:cs="Arial"/>
        </w:rPr>
        <w:t xml:space="preserve">nión </w:t>
      </w:r>
      <w:r w:rsidR="002422FD" w:rsidRPr="00F604CF">
        <w:rPr>
          <w:rFonts w:cs="Arial"/>
        </w:rPr>
        <w:t>T</w:t>
      </w:r>
      <w:r w:rsidR="0070601B" w:rsidRPr="00F604CF">
        <w:rPr>
          <w:rFonts w:cs="Arial"/>
        </w:rPr>
        <w:t>emporal</w:t>
      </w:r>
      <w:r w:rsidR="002422FD" w:rsidRPr="00F604CF">
        <w:rPr>
          <w:rFonts w:cs="Arial"/>
        </w:rPr>
        <w:t xml:space="preserve"> Calimeño</w:t>
      </w:r>
      <w:r w:rsidR="0070601B" w:rsidRPr="00F604CF">
        <w:rPr>
          <w:rFonts w:cs="Arial"/>
        </w:rPr>
        <w:t>,</w:t>
      </w:r>
      <w:r w:rsidR="006730A1" w:rsidRPr="00F604CF">
        <w:rPr>
          <w:rFonts w:cs="Arial"/>
        </w:rPr>
        <w:t xml:space="preserve"> derivaban ingresos de su actividad como constructores de obras civiles, </w:t>
      </w:r>
      <w:r w:rsidR="002422FD" w:rsidRPr="00F604CF">
        <w:rPr>
          <w:rFonts w:cs="Arial"/>
        </w:rPr>
        <w:t>según se observaba de los estados financieros</w:t>
      </w:r>
      <w:r w:rsidR="000676D4" w:rsidRPr="00F604CF">
        <w:rPr>
          <w:rFonts w:cs="Arial"/>
        </w:rPr>
        <w:t>;</w:t>
      </w:r>
      <w:r w:rsidR="002422FD" w:rsidRPr="00F604CF">
        <w:rPr>
          <w:rFonts w:cs="Arial"/>
        </w:rPr>
        <w:t xml:space="preserve"> sin embargo, </w:t>
      </w:r>
      <w:r w:rsidR="004A0B60" w:rsidRPr="00F604CF">
        <w:rPr>
          <w:rFonts w:cs="Arial"/>
        </w:rPr>
        <w:t xml:space="preserve">apenas con un mes de antelación al proceso de selección, se reportaron ante el RUP como proveedores de textos escolares, lo cual no se tuvo en cuenta por parte de la entidad estatal al momento de evaluar la propuesta y adjudicar el contrato. </w:t>
      </w:r>
    </w:p>
    <w:p w14:paraId="725EA3C5" w14:textId="77777777" w:rsidR="00057815" w:rsidRPr="00F604CF" w:rsidRDefault="00057815" w:rsidP="00F604CF">
      <w:pPr>
        <w:pStyle w:val="Lista2"/>
        <w:ind w:left="0" w:firstLine="0"/>
        <w:rPr>
          <w:rFonts w:cs="Arial"/>
        </w:rPr>
      </w:pPr>
    </w:p>
    <w:p w14:paraId="33BDA35E" w14:textId="77777777" w:rsidR="00B200EC" w:rsidRPr="00F604CF" w:rsidRDefault="004A0B60" w:rsidP="00F604CF">
      <w:pPr>
        <w:pStyle w:val="Lista2"/>
        <w:ind w:left="0" w:firstLine="0"/>
        <w:rPr>
          <w:rFonts w:cs="Arial"/>
        </w:rPr>
      </w:pPr>
      <w:r w:rsidRPr="00F604CF">
        <w:rPr>
          <w:rFonts w:cs="Arial"/>
        </w:rPr>
        <w:t>Destacó el demandante que se viol</w:t>
      </w:r>
      <w:r w:rsidR="005E4F61" w:rsidRPr="00F604CF">
        <w:rPr>
          <w:rFonts w:cs="Arial"/>
        </w:rPr>
        <w:t>aron las normas del Decreto 393 de 2002  y el artículo 22 de la Ley 80 de 1993 sobre el R</w:t>
      </w:r>
      <w:r w:rsidR="00635611" w:rsidRPr="00F604CF">
        <w:rPr>
          <w:rFonts w:cs="Arial"/>
        </w:rPr>
        <w:t>.U.P.</w:t>
      </w:r>
      <w:r w:rsidR="00B200EC" w:rsidRPr="00F604CF">
        <w:rPr>
          <w:rFonts w:cs="Arial"/>
        </w:rPr>
        <w:t>, así como el Decreto 92 de 1998</w:t>
      </w:r>
      <w:r w:rsidR="000676D4" w:rsidRPr="00F604CF">
        <w:rPr>
          <w:rFonts w:cs="Arial"/>
        </w:rPr>
        <w:t>,</w:t>
      </w:r>
      <w:r w:rsidR="00B200EC" w:rsidRPr="00F604CF">
        <w:rPr>
          <w:rFonts w:cs="Arial"/>
        </w:rPr>
        <w:t xml:space="preserve"> en cuanto </w:t>
      </w:r>
      <w:r w:rsidR="0070601B" w:rsidRPr="00F604CF">
        <w:rPr>
          <w:rFonts w:cs="Arial"/>
        </w:rPr>
        <w:t xml:space="preserve">que </w:t>
      </w:r>
      <w:r w:rsidR="00776681" w:rsidRPr="00F604CF">
        <w:rPr>
          <w:rFonts w:cs="Arial"/>
        </w:rPr>
        <w:t xml:space="preserve">esa norma dispuso que </w:t>
      </w:r>
      <w:r w:rsidR="0070601B" w:rsidRPr="00F604CF">
        <w:rPr>
          <w:rFonts w:cs="Arial"/>
        </w:rPr>
        <w:t>un</w:t>
      </w:r>
      <w:r w:rsidR="00B200EC" w:rsidRPr="00F604CF">
        <w:rPr>
          <w:rFonts w:cs="Arial"/>
        </w:rPr>
        <w:t xml:space="preserve"> proponente solo podía clasificarse en las actividades </w:t>
      </w:r>
      <w:r w:rsidR="0070601B" w:rsidRPr="00F604CF">
        <w:rPr>
          <w:rFonts w:cs="Arial"/>
        </w:rPr>
        <w:t xml:space="preserve">en </w:t>
      </w:r>
      <w:r w:rsidR="00B200EC" w:rsidRPr="00F604CF">
        <w:rPr>
          <w:rFonts w:cs="Arial"/>
        </w:rPr>
        <w:t>que realmente t</w:t>
      </w:r>
      <w:r w:rsidR="0070601B" w:rsidRPr="00F604CF">
        <w:rPr>
          <w:rFonts w:cs="Arial"/>
        </w:rPr>
        <w:t xml:space="preserve">uviera </w:t>
      </w:r>
      <w:r w:rsidR="00B200EC" w:rsidRPr="00F604CF">
        <w:rPr>
          <w:rFonts w:cs="Arial"/>
        </w:rPr>
        <w:t xml:space="preserve">experiencia comprobada. </w:t>
      </w:r>
    </w:p>
    <w:p w14:paraId="0D312F15" w14:textId="77777777" w:rsidR="00B200EC" w:rsidRPr="00F604CF" w:rsidRDefault="00B200EC" w:rsidP="00F604CF">
      <w:pPr>
        <w:pStyle w:val="Lista2"/>
        <w:ind w:left="0" w:firstLine="0"/>
        <w:rPr>
          <w:rFonts w:cs="Arial"/>
          <w:b/>
        </w:rPr>
      </w:pPr>
    </w:p>
    <w:p w14:paraId="32E7FB9E" w14:textId="77777777" w:rsidR="001F2BD5" w:rsidRPr="00F604CF" w:rsidRDefault="00776681" w:rsidP="00F604CF">
      <w:pPr>
        <w:pStyle w:val="Lista2"/>
        <w:ind w:left="0" w:firstLine="0"/>
        <w:rPr>
          <w:rFonts w:cs="Arial"/>
        </w:rPr>
      </w:pPr>
      <w:r w:rsidRPr="00F604CF">
        <w:rPr>
          <w:rFonts w:cs="Arial"/>
          <w:b/>
        </w:rPr>
        <w:t>2.</w:t>
      </w:r>
      <w:r w:rsidR="00395109" w:rsidRPr="00F604CF">
        <w:rPr>
          <w:rFonts w:cs="Arial"/>
          <w:b/>
        </w:rPr>
        <w:t>9</w:t>
      </w:r>
      <w:r w:rsidRPr="00F604CF">
        <w:rPr>
          <w:rFonts w:cs="Arial"/>
          <w:b/>
        </w:rPr>
        <w:t xml:space="preserve">. </w:t>
      </w:r>
      <w:r w:rsidR="00B200EC" w:rsidRPr="00F604CF">
        <w:rPr>
          <w:rFonts w:cs="Arial"/>
        </w:rPr>
        <w:t xml:space="preserve">Afirmó </w:t>
      </w:r>
      <w:r w:rsidRPr="00F604CF">
        <w:rPr>
          <w:rFonts w:cs="Arial"/>
        </w:rPr>
        <w:t xml:space="preserve">el </w:t>
      </w:r>
      <w:r w:rsidR="00B200EC" w:rsidRPr="00F604CF">
        <w:rPr>
          <w:rFonts w:cs="Arial"/>
        </w:rPr>
        <w:t>demandante que salta a la vista la intención de favorecer a la U</w:t>
      </w:r>
      <w:r w:rsidRPr="00F604CF">
        <w:rPr>
          <w:rFonts w:cs="Arial"/>
        </w:rPr>
        <w:t xml:space="preserve">nión </w:t>
      </w:r>
      <w:r w:rsidR="00B200EC" w:rsidRPr="00F604CF">
        <w:rPr>
          <w:rFonts w:cs="Arial"/>
        </w:rPr>
        <w:t>T</w:t>
      </w:r>
      <w:r w:rsidRPr="00F604CF">
        <w:rPr>
          <w:rFonts w:cs="Arial"/>
        </w:rPr>
        <w:t xml:space="preserve">emporal </w:t>
      </w:r>
      <w:r w:rsidR="00B200EC" w:rsidRPr="00F604CF">
        <w:rPr>
          <w:rFonts w:cs="Arial"/>
        </w:rPr>
        <w:t xml:space="preserve">Calimeño, toda vez que, </w:t>
      </w:r>
      <w:r w:rsidRPr="00F604CF">
        <w:rPr>
          <w:rFonts w:cs="Arial"/>
        </w:rPr>
        <w:t xml:space="preserve">además de lo anterior, en </w:t>
      </w:r>
      <w:r w:rsidR="001F2BD5" w:rsidRPr="00F604CF">
        <w:rPr>
          <w:rFonts w:cs="Arial"/>
        </w:rPr>
        <w:t xml:space="preserve">la </w:t>
      </w:r>
      <w:r w:rsidRPr="00F604CF">
        <w:rPr>
          <w:rFonts w:cs="Arial"/>
        </w:rPr>
        <w:t>R</w:t>
      </w:r>
      <w:r w:rsidR="001F2BD5" w:rsidRPr="00F604CF">
        <w:rPr>
          <w:rFonts w:cs="Arial"/>
        </w:rPr>
        <w:t>esolución 02</w:t>
      </w:r>
      <w:r w:rsidR="002B180C" w:rsidRPr="00F604CF">
        <w:rPr>
          <w:rFonts w:cs="Arial"/>
        </w:rPr>
        <w:t xml:space="preserve"> </w:t>
      </w:r>
      <w:r w:rsidR="001F2BD5" w:rsidRPr="00F604CF">
        <w:rPr>
          <w:rFonts w:cs="Arial"/>
        </w:rPr>
        <w:t xml:space="preserve">193 de 22 de septiembre de 2005 se indicó que el </w:t>
      </w:r>
      <w:r w:rsidR="00B200EC" w:rsidRPr="00F604CF">
        <w:rPr>
          <w:rFonts w:cs="Arial"/>
        </w:rPr>
        <w:t xml:space="preserve">acta de evaluación </w:t>
      </w:r>
      <w:r w:rsidR="001F2BD5" w:rsidRPr="00F604CF">
        <w:rPr>
          <w:rFonts w:cs="Arial"/>
        </w:rPr>
        <w:t>era del 6 de septiembre, cuando</w:t>
      </w:r>
      <w:r w:rsidR="00FB216A" w:rsidRPr="00F604CF">
        <w:rPr>
          <w:rFonts w:cs="Arial"/>
        </w:rPr>
        <w:t xml:space="preserve">, según afirmó, </w:t>
      </w:r>
      <w:r w:rsidR="001F2BD5" w:rsidRPr="00F604CF">
        <w:rPr>
          <w:rFonts w:cs="Arial"/>
        </w:rPr>
        <w:t xml:space="preserve">la que se </w:t>
      </w:r>
      <w:r w:rsidR="00B200EC" w:rsidRPr="00F604CF">
        <w:rPr>
          <w:rFonts w:cs="Arial"/>
        </w:rPr>
        <w:t xml:space="preserve">publicó en la web </w:t>
      </w:r>
      <w:r w:rsidR="001F2BD5" w:rsidRPr="00F604CF">
        <w:rPr>
          <w:rFonts w:cs="Arial"/>
        </w:rPr>
        <w:t xml:space="preserve">era del 2 de septiembre de 2005. </w:t>
      </w:r>
    </w:p>
    <w:p w14:paraId="08AC9EB7" w14:textId="77777777" w:rsidR="00817FC5" w:rsidRPr="00F604CF" w:rsidRDefault="00817FC5" w:rsidP="00F604CF">
      <w:pPr>
        <w:pStyle w:val="Lista2"/>
        <w:ind w:left="0" w:firstLine="0"/>
        <w:rPr>
          <w:rFonts w:cs="Arial"/>
          <w:b/>
        </w:rPr>
      </w:pPr>
    </w:p>
    <w:p w14:paraId="61517C70" w14:textId="77777777" w:rsidR="00CE7B62" w:rsidRPr="00F604CF" w:rsidRDefault="00776681" w:rsidP="00F604CF">
      <w:pPr>
        <w:pStyle w:val="Lista2"/>
        <w:ind w:left="0" w:firstLine="0"/>
        <w:rPr>
          <w:rFonts w:cs="Arial"/>
        </w:rPr>
      </w:pPr>
      <w:r w:rsidRPr="00F604CF">
        <w:rPr>
          <w:rFonts w:cs="Arial"/>
          <w:b/>
        </w:rPr>
        <w:t>2.1</w:t>
      </w:r>
      <w:r w:rsidR="00395109" w:rsidRPr="00F604CF">
        <w:rPr>
          <w:rFonts w:cs="Arial"/>
          <w:b/>
        </w:rPr>
        <w:t>0</w:t>
      </w:r>
      <w:r w:rsidRPr="00F604CF">
        <w:rPr>
          <w:rFonts w:cs="Arial"/>
          <w:b/>
        </w:rPr>
        <w:t xml:space="preserve">. </w:t>
      </w:r>
      <w:r w:rsidR="00EB513F" w:rsidRPr="00F604CF">
        <w:rPr>
          <w:rFonts w:cs="Arial"/>
        </w:rPr>
        <w:t>El</w:t>
      </w:r>
      <w:r w:rsidR="00817FC5" w:rsidRPr="00F604CF">
        <w:rPr>
          <w:rFonts w:cs="Arial"/>
        </w:rPr>
        <w:t xml:space="preserve"> demandante hizo notar que las justificaciones del </w:t>
      </w:r>
      <w:r w:rsidR="00CE7B62" w:rsidRPr="00F604CF">
        <w:rPr>
          <w:rFonts w:cs="Arial"/>
        </w:rPr>
        <w:t xml:space="preserve">departamento </w:t>
      </w:r>
      <w:r w:rsidR="00817FC5" w:rsidRPr="00F604CF">
        <w:rPr>
          <w:rFonts w:cs="Arial"/>
        </w:rPr>
        <w:t xml:space="preserve">para rechazar sus observaciones </w:t>
      </w:r>
      <w:r w:rsidR="0070601B" w:rsidRPr="00F604CF">
        <w:rPr>
          <w:rFonts w:cs="Arial"/>
        </w:rPr>
        <w:t xml:space="preserve">carecieron </w:t>
      </w:r>
      <w:r w:rsidR="00817FC5" w:rsidRPr="00F604CF">
        <w:rPr>
          <w:rFonts w:cs="Arial"/>
        </w:rPr>
        <w:t xml:space="preserve">de sustento jurídico y </w:t>
      </w:r>
      <w:r w:rsidR="00395109" w:rsidRPr="00F604CF">
        <w:rPr>
          <w:rFonts w:cs="Arial"/>
        </w:rPr>
        <w:t>que</w:t>
      </w:r>
      <w:r w:rsidR="008E6AB3" w:rsidRPr="00F604CF">
        <w:rPr>
          <w:rFonts w:cs="Arial"/>
        </w:rPr>
        <w:t>, por ello,</w:t>
      </w:r>
      <w:r w:rsidR="00395109" w:rsidRPr="00F604CF">
        <w:rPr>
          <w:rFonts w:cs="Arial"/>
        </w:rPr>
        <w:t xml:space="preserve"> en</w:t>
      </w:r>
      <w:r w:rsidR="008E6AB3" w:rsidRPr="00F604CF">
        <w:rPr>
          <w:rFonts w:cs="Arial"/>
        </w:rPr>
        <w:t xml:space="preserve"> su momento tuvo que presentar </w:t>
      </w:r>
      <w:r w:rsidR="00395109" w:rsidRPr="00F604CF">
        <w:rPr>
          <w:rFonts w:cs="Arial"/>
        </w:rPr>
        <w:t xml:space="preserve">una </w:t>
      </w:r>
      <w:r w:rsidR="00393973" w:rsidRPr="00F604CF">
        <w:rPr>
          <w:rFonts w:cs="Arial"/>
        </w:rPr>
        <w:t xml:space="preserve">denuncia </w:t>
      </w:r>
      <w:r w:rsidR="00817FC5" w:rsidRPr="00F604CF">
        <w:rPr>
          <w:rFonts w:cs="Arial"/>
        </w:rPr>
        <w:t>penal por el pre</w:t>
      </w:r>
      <w:r w:rsidR="00CE7B62" w:rsidRPr="00F604CF">
        <w:rPr>
          <w:rFonts w:cs="Arial"/>
        </w:rPr>
        <w:t>sunto delito de prevaricato por acción</w:t>
      </w:r>
      <w:r w:rsidR="00776BEA" w:rsidRPr="00F604CF">
        <w:rPr>
          <w:rStyle w:val="Refdenotaalpie"/>
          <w:rFonts w:cs="Arial"/>
        </w:rPr>
        <w:footnoteReference w:id="5"/>
      </w:r>
      <w:r w:rsidR="00CE7B62" w:rsidRPr="00F604CF">
        <w:rPr>
          <w:rFonts w:cs="Arial"/>
        </w:rPr>
        <w:t xml:space="preserve">. </w:t>
      </w:r>
    </w:p>
    <w:p w14:paraId="0E1FCA1A" w14:textId="77777777" w:rsidR="00CE7B62" w:rsidRPr="00F604CF" w:rsidRDefault="00CE7B62" w:rsidP="00F604CF">
      <w:pPr>
        <w:pStyle w:val="Lista2"/>
        <w:ind w:left="0" w:firstLine="0"/>
        <w:rPr>
          <w:rFonts w:cs="Arial"/>
          <w:b/>
        </w:rPr>
      </w:pPr>
    </w:p>
    <w:p w14:paraId="7499131F" w14:textId="77777777" w:rsidR="00D54807" w:rsidRPr="00F604CF" w:rsidRDefault="00EB513F" w:rsidP="00F604CF">
      <w:pPr>
        <w:pStyle w:val="Lista2"/>
        <w:ind w:left="0" w:firstLine="0"/>
        <w:rPr>
          <w:rFonts w:cs="Arial"/>
        </w:rPr>
      </w:pPr>
      <w:r w:rsidRPr="00F604CF">
        <w:rPr>
          <w:rFonts w:cs="Arial"/>
          <w:b/>
        </w:rPr>
        <w:t>2.1</w:t>
      </w:r>
      <w:r w:rsidR="00395109" w:rsidRPr="00F604CF">
        <w:rPr>
          <w:rFonts w:cs="Arial"/>
          <w:b/>
        </w:rPr>
        <w:t>1</w:t>
      </w:r>
      <w:r w:rsidRPr="00F604CF">
        <w:rPr>
          <w:rFonts w:cs="Arial"/>
          <w:b/>
        </w:rPr>
        <w:t xml:space="preserve">. </w:t>
      </w:r>
      <w:r w:rsidR="00CE7B62" w:rsidRPr="00F604CF">
        <w:rPr>
          <w:rFonts w:cs="Arial"/>
        </w:rPr>
        <w:t xml:space="preserve">Observó que </w:t>
      </w:r>
      <w:r w:rsidR="00AF41F4" w:rsidRPr="00F604CF">
        <w:rPr>
          <w:rFonts w:cs="Arial"/>
        </w:rPr>
        <w:t xml:space="preserve">el cumplimiento de </w:t>
      </w:r>
      <w:r w:rsidR="00CE7B62" w:rsidRPr="00F604CF">
        <w:rPr>
          <w:rFonts w:cs="Arial"/>
        </w:rPr>
        <w:t xml:space="preserve">los indicadores financieros </w:t>
      </w:r>
      <w:r w:rsidR="00AF41F4" w:rsidRPr="00F604CF">
        <w:rPr>
          <w:rFonts w:cs="Arial"/>
        </w:rPr>
        <w:t xml:space="preserve">generaba puntaje, por ejemplo el capital de trabajo tenía asignado 100 puntos, de manera que era impropio indicar que no se podía rechazar la oferta con fundamento en el numeral </w:t>
      </w:r>
      <w:r w:rsidR="00D54807" w:rsidRPr="00F604CF">
        <w:rPr>
          <w:rFonts w:cs="Arial"/>
        </w:rPr>
        <w:t>15 del art</w:t>
      </w:r>
      <w:r w:rsidRPr="00F604CF">
        <w:rPr>
          <w:rFonts w:cs="Arial"/>
        </w:rPr>
        <w:t>í</w:t>
      </w:r>
      <w:r w:rsidR="00D54807" w:rsidRPr="00F604CF">
        <w:rPr>
          <w:rFonts w:cs="Arial"/>
        </w:rPr>
        <w:t>culo 25 de la Ley 80 de 1993, toda vez que las falencia</w:t>
      </w:r>
      <w:r w:rsidR="00AF41F4" w:rsidRPr="00F604CF">
        <w:rPr>
          <w:rFonts w:cs="Arial"/>
        </w:rPr>
        <w:t>s</w:t>
      </w:r>
      <w:r w:rsidR="00D54807" w:rsidRPr="00F604CF">
        <w:rPr>
          <w:rFonts w:cs="Arial"/>
        </w:rPr>
        <w:t xml:space="preserve"> de los estados financieros s</w:t>
      </w:r>
      <w:r w:rsidR="003768EF" w:rsidRPr="00F604CF">
        <w:rPr>
          <w:rFonts w:cs="Arial"/>
        </w:rPr>
        <w:t>í</w:t>
      </w:r>
      <w:r w:rsidR="00D54807" w:rsidRPr="00F604CF">
        <w:rPr>
          <w:rFonts w:cs="Arial"/>
        </w:rPr>
        <w:t xml:space="preserve"> ha</w:t>
      </w:r>
      <w:r w:rsidR="00393973" w:rsidRPr="00F604CF">
        <w:rPr>
          <w:rFonts w:cs="Arial"/>
        </w:rPr>
        <w:t>c</w:t>
      </w:r>
      <w:r w:rsidR="00D54807" w:rsidRPr="00F604CF">
        <w:rPr>
          <w:rFonts w:cs="Arial"/>
        </w:rPr>
        <w:t>ían imposible la asignación de punta</w:t>
      </w:r>
      <w:r w:rsidRPr="00F604CF">
        <w:rPr>
          <w:rFonts w:cs="Arial"/>
        </w:rPr>
        <w:t>je</w:t>
      </w:r>
      <w:r w:rsidR="00D54807" w:rsidRPr="00F604CF">
        <w:rPr>
          <w:rFonts w:cs="Arial"/>
        </w:rPr>
        <w:t xml:space="preserve">. </w:t>
      </w:r>
      <w:r w:rsidRPr="00F604CF">
        <w:rPr>
          <w:rFonts w:cs="Arial"/>
        </w:rPr>
        <w:t xml:space="preserve"> </w:t>
      </w:r>
      <w:r w:rsidR="00D54807" w:rsidRPr="00F604CF">
        <w:rPr>
          <w:rFonts w:cs="Arial"/>
        </w:rPr>
        <w:t>En ese orden de ideas</w:t>
      </w:r>
      <w:r w:rsidR="003768EF" w:rsidRPr="00F604CF">
        <w:rPr>
          <w:rFonts w:cs="Arial"/>
        </w:rPr>
        <w:t>,</w:t>
      </w:r>
      <w:r w:rsidR="00D54807" w:rsidRPr="00F604CF">
        <w:rPr>
          <w:rFonts w:cs="Arial"/>
        </w:rPr>
        <w:t xml:space="preserve"> destacó que no era aceptable que se hubiera requerido a la Unión temporal Calimeño para que entregara los estados financiero</w:t>
      </w:r>
      <w:r w:rsidRPr="00F604CF">
        <w:rPr>
          <w:rFonts w:cs="Arial"/>
        </w:rPr>
        <w:t>s</w:t>
      </w:r>
      <w:r w:rsidR="00D54807" w:rsidRPr="00F604CF">
        <w:rPr>
          <w:rFonts w:cs="Arial"/>
        </w:rPr>
        <w:t xml:space="preserve"> que no había allegado en </w:t>
      </w:r>
      <w:r w:rsidR="00FB216A" w:rsidRPr="00F604CF">
        <w:rPr>
          <w:rFonts w:cs="Arial"/>
        </w:rPr>
        <w:t xml:space="preserve">debida forma, en </w:t>
      </w:r>
      <w:r w:rsidR="00D54807" w:rsidRPr="00F604CF">
        <w:rPr>
          <w:rFonts w:cs="Arial"/>
        </w:rPr>
        <w:t xml:space="preserve">su oportunidad. </w:t>
      </w:r>
    </w:p>
    <w:p w14:paraId="2F7F77A3" w14:textId="77777777" w:rsidR="00D54807" w:rsidRPr="00F604CF" w:rsidRDefault="00D54807" w:rsidP="00F604CF">
      <w:pPr>
        <w:pStyle w:val="Lista2"/>
        <w:ind w:left="0" w:firstLine="0"/>
        <w:rPr>
          <w:rFonts w:cs="Arial"/>
          <w:b/>
        </w:rPr>
      </w:pPr>
    </w:p>
    <w:p w14:paraId="481D66EE" w14:textId="77777777" w:rsidR="000B46EA" w:rsidRPr="00F604CF" w:rsidRDefault="00EB513F" w:rsidP="00F604CF">
      <w:pPr>
        <w:pStyle w:val="Lista2"/>
        <w:ind w:left="0" w:firstLine="0"/>
        <w:rPr>
          <w:rFonts w:cs="Arial"/>
          <w:b/>
        </w:rPr>
      </w:pPr>
      <w:r w:rsidRPr="00F604CF">
        <w:rPr>
          <w:rFonts w:cs="Arial"/>
          <w:b/>
        </w:rPr>
        <w:t>2.1</w:t>
      </w:r>
      <w:r w:rsidR="00395109" w:rsidRPr="00F604CF">
        <w:rPr>
          <w:rFonts w:cs="Arial"/>
          <w:b/>
        </w:rPr>
        <w:t>2</w:t>
      </w:r>
      <w:r w:rsidRPr="00F604CF">
        <w:rPr>
          <w:rFonts w:cs="Arial"/>
          <w:b/>
        </w:rPr>
        <w:t xml:space="preserve">. </w:t>
      </w:r>
      <w:r w:rsidR="00BA57A7" w:rsidRPr="00F604CF">
        <w:rPr>
          <w:rFonts w:cs="Arial"/>
        </w:rPr>
        <w:t>De la misma manera</w:t>
      </w:r>
      <w:r w:rsidR="003768EF" w:rsidRPr="00F604CF">
        <w:rPr>
          <w:rFonts w:cs="Arial"/>
        </w:rPr>
        <w:t>,</w:t>
      </w:r>
      <w:r w:rsidR="00BA57A7" w:rsidRPr="00F604CF">
        <w:rPr>
          <w:rFonts w:cs="Arial"/>
        </w:rPr>
        <w:t xml:space="preserve"> </w:t>
      </w:r>
      <w:r w:rsidR="00393973" w:rsidRPr="00F604CF">
        <w:rPr>
          <w:rFonts w:cs="Arial"/>
        </w:rPr>
        <w:t xml:space="preserve">reafirmó </w:t>
      </w:r>
      <w:r w:rsidR="00BA57A7" w:rsidRPr="00F604CF">
        <w:rPr>
          <w:rFonts w:cs="Arial"/>
        </w:rPr>
        <w:t xml:space="preserve">el demandante que </w:t>
      </w:r>
      <w:r w:rsidRPr="00F604CF">
        <w:rPr>
          <w:rFonts w:cs="Arial"/>
        </w:rPr>
        <w:t xml:space="preserve">en la evaluación </w:t>
      </w:r>
      <w:r w:rsidR="00BA57A7" w:rsidRPr="00F604CF">
        <w:rPr>
          <w:rFonts w:cs="Arial"/>
        </w:rPr>
        <w:t xml:space="preserve">se le adjudicaron 180 puntos a la Unión Temporal Calimeño por concepto de experiencia, con base en los documentos contractuales que se le solicitaron por el comité de evaluación, </w:t>
      </w:r>
      <w:r w:rsidR="004C1783" w:rsidRPr="00F604CF">
        <w:rPr>
          <w:rFonts w:cs="Arial"/>
        </w:rPr>
        <w:t xml:space="preserve">supuestamente para subsanar incongruencias, </w:t>
      </w:r>
      <w:r w:rsidR="00BA57A7" w:rsidRPr="00F604CF">
        <w:rPr>
          <w:rFonts w:cs="Arial"/>
        </w:rPr>
        <w:t xml:space="preserve">cuando se </w:t>
      </w:r>
      <w:r w:rsidRPr="00F604CF">
        <w:rPr>
          <w:rFonts w:cs="Arial"/>
        </w:rPr>
        <w:t xml:space="preserve">le </w:t>
      </w:r>
      <w:r w:rsidR="00BA57A7" w:rsidRPr="00F604CF">
        <w:rPr>
          <w:rFonts w:cs="Arial"/>
        </w:rPr>
        <w:t>ha</w:t>
      </w:r>
      <w:r w:rsidRPr="00F604CF">
        <w:rPr>
          <w:rFonts w:cs="Arial"/>
        </w:rPr>
        <w:t xml:space="preserve"> </w:t>
      </w:r>
      <w:r w:rsidR="00BA57A7" w:rsidRPr="00F604CF">
        <w:rPr>
          <w:rFonts w:cs="Arial"/>
        </w:rPr>
        <w:t xml:space="preserve">debido asignar </w:t>
      </w:r>
      <w:r w:rsidR="003768EF" w:rsidRPr="00F604CF">
        <w:rPr>
          <w:rFonts w:cs="Arial"/>
        </w:rPr>
        <w:t xml:space="preserve">cero </w:t>
      </w:r>
      <w:r w:rsidR="00BA57A7" w:rsidRPr="00F604CF">
        <w:rPr>
          <w:rFonts w:cs="Arial"/>
        </w:rPr>
        <w:t>puntos</w:t>
      </w:r>
      <w:r w:rsidRPr="00F604CF">
        <w:rPr>
          <w:rFonts w:cs="Arial"/>
        </w:rPr>
        <w:t>, en los contratos respectivos</w:t>
      </w:r>
      <w:r w:rsidR="00BA57A7" w:rsidRPr="00F604CF">
        <w:rPr>
          <w:rFonts w:cs="Arial"/>
        </w:rPr>
        <w:t>.</w:t>
      </w:r>
    </w:p>
    <w:p w14:paraId="2B029393" w14:textId="77777777" w:rsidR="000B46EA" w:rsidRPr="00F604CF" w:rsidRDefault="000B46EA" w:rsidP="00F604CF">
      <w:pPr>
        <w:pStyle w:val="Lista2"/>
        <w:ind w:left="0" w:firstLine="0"/>
        <w:rPr>
          <w:rFonts w:cs="Arial"/>
          <w:b/>
        </w:rPr>
      </w:pPr>
    </w:p>
    <w:p w14:paraId="1CE44373" w14:textId="77777777" w:rsidR="000B46EA" w:rsidRPr="00F604CF" w:rsidRDefault="00EB513F" w:rsidP="00F604CF">
      <w:pPr>
        <w:pStyle w:val="Lista2"/>
        <w:ind w:left="0" w:firstLine="0"/>
        <w:rPr>
          <w:rFonts w:cs="Arial"/>
        </w:rPr>
      </w:pPr>
      <w:r w:rsidRPr="00F604CF">
        <w:rPr>
          <w:rFonts w:cs="Arial"/>
          <w:b/>
        </w:rPr>
        <w:t>2</w:t>
      </w:r>
      <w:r w:rsidR="00FB216A" w:rsidRPr="00F604CF">
        <w:rPr>
          <w:rFonts w:cs="Arial"/>
          <w:b/>
        </w:rPr>
        <w:t>.</w:t>
      </w:r>
      <w:r w:rsidRPr="00F604CF">
        <w:rPr>
          <w:rFonts w:cs="Arial"/>
          <w:b/>
        </w:rPr>
        <w:t>1</w:t>
      </w:r>
      <w:r w:rsidR="002B180C" w:rsidRPr="00F604CF">
        <w:rPr>
          <w:rFonts w:cs="Arial"/>
          <w:b/>
        </w:rPr>
        <w:t>3</w:t>
      </w:r>
      <w:r w:rsidR="00FB216A" w:rsidRPr="00F604CF">
        <w:rPr>
          <w:rFonts w:cs="Arial"/>
          <w:b/>
        </w:rPr>
        <w:t>.</w:t>
      </w:r>
      <w:r w:rsidRPr="00F604CF">
        <w:rPr>
          <w:rFonts w:cs="Arial"/>
          <w:b/>
        </w:rPr>
        <w:t xml:space="preserve"> </w:t>
      </w:r>
      <w:r w:rsidR="00393973" w:rsidRPr="00F604CF">
        <w:rPr>
          <w:rFonts w:cs="Arial"/>
        </w:rPr>
        <w:t xml:space="preserve">Reiteró </w:t>
      </w:r>
      <w:r w:rsidR="004C1783" w:rsidRPr="00F604CF">
        <w:rPr>
          <w:rFonts w:cs="Arial"/>
        </w:rPr>
        <w:t xml:space="preserve">que el único partícipe </w:t>
      </w:r>
      <w:r w:rsidR="006E255B" w:rsidRPr="00F604CF">
        <w:rPr>
          <w:rFonts w:cs="Arial"/>
        </w:rPr>
        <w:t xml:space="preserve">de la Unión Temporal Calimeño </w:t>
      </w:r>
      <w:r w:rsidR="004C1783" w:rsidRPr="00F604CF">
        <w:rPr>
          <w:rFonts w:cs="Arial"/>
        </w:rPr>
        <w:t xml:space="preserve">que acreditó experiencia fue la sociedad </w:t>
      </w:r>
      <w:r w:rsidR="00D93033" w:rsidRPr="00F604CF">
        <w:rPr>
          <w:rFonts w:cs="Arial"/>
        </w:rPr>
        <w:t>Representaciones y Edic</w:t>
      </w:r>
      <w:r w:rsidR="004B5D00" w:rsidRPr="00F604CF">
        <w:rPr>
          <w:rFonts w:cs="Arial"/>
        </w:rPr>
        <w:t>i</w:t>
      </w:r>
      <w:r w:rsidR="00D93033" w:rsidRPr="00F604CF">
        <w:rPr>
          <w:rFonts w:cs="Arial"/>
        </w:rPr>
        <w:t xml:space="preserve">ones </w:t>
      </w:r>
      <w:r w:rsidR="004C1783" w:rsidRPr="00F604CF">
        <w:rPr>
          <w:rFonts w:cs="Arial"/>
        </w:rPr>
        <w:t xml:space="preserve">Eliber Ltda, dado que los otros eran constructores de obra civil y que </w:t>
      </w:r>
      <w:r w:rsidR="00D93033" w:rsidRPr="00F604CF">
        <w:rPr>
          <w:rFonts w:cs="Arial"/>
        </w:rPr>
        <w:t xml:space="preserve">para fundar la calificación de la propuesta, </w:t>
      </w:r>
      <w:r w:rsidR="004C1783" w:rsidRPr="00F604CF">
        <w:rPr>
          <w:rFonts w:cs="Arial"/>
        </w:rPr>
        <w:t>la entidad estatal transfirió la experiencia de esa sociedad a los otros partícipes de la unión tempora</w:t>
      </w:r>
      <w:r w:rsidR="000B46EA" w:rsidRPr="00F604CF">
        <w:rPr>
          <w:rFonts w:cs="Arial"/>
        </w:rPr>
        <w:t xml:space="preserve">l, violando los requisitos del pliego de condiciones. </w:t>
      </w:r>
    </w:p>
    <w:p w14:paraId="7BFC4C78" w14:textId="77777777" w:rsidR="000B46EA" w:rsidRPr="00F604CF" w:rsidRDefault="000B46EA" w:rsidP="00F604CF">
      <w:pPr>
        <w:pStyle w:val="Lista2"/>
        <w:ind w:left="0" w:firstLine="0"/>
        <w:rPr>
          <w:rFonts w:cs="Arial"/>
          <w:b/>
        </w:rPr>
      </w:pPr>
    </w:p>
    <w:p w14:paraId="190E928E" w14:textId="77777777" w:rsidR="00F21484" w:rsidRPr="00F604CF" w:rsidRDefault="00CF51AB" w:rsidP="00F604CF">
      <w:pPr>
        <w:pStyle w:val="Lista3"/>
        <w:ind w:left="0" w:firstLine="0"/>
        <w:rPr>
          <w:rFonts w:cs="Arial"/>
          <w:b/>
        </w:rPr>
      </w:pPr>
      <w:r w:rsidRPr="00F604CF">
        <w:rPr>
          <w:rFonts w:cs="Arial"/>
          <w:b/>
        </w:rPr>
        <w:t>3</w:t>
      </w:r>
      <w:r w:rsidR="00F21484" w:rsidRPr="00F604CF">
        <w:rPr>
          <w:rFonts w:cs="Arial"/>
          <w:b/>
        </w:rPr>
        <w:t>.</w:t>
      </w:r>
      <w:r w:rsidR="00CE2A56" w:rsidRPr="00F604CF">
        <w:rPr>
          <w:rFonts w:cs="Arial"/>
          <w:b/>
        </w:rPr>
        <w:t xml:space="preserve"> </w:t>
      </w:r>
      <w:r w:rsidR="00F21484" w:rsidRPr="00F604CF">
        <w:rPr>
          <w:rFonts w:cs="Arial"/>
          <w:b/>
        </w:rPr>
        <w:t>Actuación procesal</w:t>
      </w:r>
    </w:p>
    <w:p w14:paraId="5F1907E8" w14:textId="77777777" w:rsidR="00F21484" w:rsidRPr="00F604CF" w:rsidRDefault="00F21484" w:rsidP="00F604CF">
      <w:pPr>
        <w:rPr>
          <w:rFonts w:cs="Arial"/>
          <w:bCs/>
          <w:iCs/>
        </w:rPr>
      </w:pPr>
    </w:p>
    <w:p w14:paraId="5E514392" w14:textId="77777777" w:rsidR="008A4E2E" w:rsidRPr="00F604CF" w:rsidRDefault="0069251B" w:rsidP="00F604CF">
      <w:pPr>
        <w:pStyle w:val="Lista4"/>
        <w:ind w:left="0" w:firstLine="0"/>
        <w:rPr>
          <w:rFonts w:cs="Arial"/>
        </w:rPr>
      </w:pPr>
      <w:r w:rsidRPr="00F604CF">
        <w:rPr>
          <w:rFonts w:cs="Arial"/>
          <w:b/>
        </w:rPr>
        <w:t>3</w:t>
      </w:r>
      <w:r w:rsidR="00265D85" w:rsidRPr="00F604CF">
        <w:rPr>
          <w:rFonts w:cs="Arial"/>
          <w:b/>
        </w:rPr>
        <w:t>.1.</w:t>
      </w:r>
      <w:r w:rsidR="00CE2A56" w:rsidRPr="00F604CF">
        <w:rPr>
          <w:rFonts w:cs="Arial"/>
          <w:b/>
        </w:rPr>
        <w:t xml:space="preserve"> </w:t>
      </w:r>
      <w:r w:rsidR="0098368A" w:rsidRPr="00F604CF">
        <w:rPr>
          <w:rFonts w:cs="Arial"/>
        </w:rPr>
        <w:t>E</w:t>
      </w:r>
      <w:r w:rsidR="00F21484" w:rsidRPr="00F604CF">
        <w:rPr>
          <w:rFonts w:cs="Arial"/>
        </w:rPr>
        <w:t>l Tribunal Administrativo de</w:t>
      </w:r>
      <w:r w:rsidR="000E2AD6" w:rsidRPr="00F604CF">
        <w:rPr>
          <w:rFonts w:cs="Arial"/>
        </w:rPr>
        <w:t xml:space="preserve"> </w:t>
      </w:r>
      <w:r w:rsidR="00F91783" w:rsidRPr="00F604CF">
        <w:rPr>
          <w:rFonts w:cs="Arial"/>
        </w:rPr>
        <w:t xml:space="preserve">Nariño </w:t>
      </w:r>
      <w:r w:rsidR="006D7845" w:rsidRPr="00F604CF">
        <w:rPr>
          <w:rFonts w:cs="Arial"/>
        </w:rPr>
        <w:t>ad</w:t>
      </w:r>
      <w:r w:rsidR="00885A4A" w:rsidRPr="00F604CF">
        <w:rPr>
          <w:rFonts w:cs="Arial"/>
        </w:rPr>
        <w:t xml:space="preserve">mitió la </w:t>
      </w:r>
      <w:r w:rsidR="0098368A" w:rsidRPr="00F604CF">
        <w:rPr>
          <w:rFonts w:cs="Arial"/>
        </w:rPr>
        <w:t xml:space="preserve">demanda </w:t>
      </w:r>
      <w:r w:rsidR="00CE5005" w:rsidRPr="00F604CF">
        <w:rPr>
          <w:rFonts w:cs="Arial"/>
        </w:rPr>
        <w:t>el</w:t>
      </w:r>
      <w:r w:rsidR="00F91783" w:rsidRPr="00F604CF">
        <w:rPr>
          <w:rFonts w:cs="Arial"/>
        </w:rPr>
        <w:t xml:space="preserve"> 21 de septiembre de 2007</w:t>
      </w:r>
      <w:r w:rsidR="00CE5005" w:rsidRPr="00F604CF">
        <w:rPr>
          <w:rFonts w:cs="Arial"/>
        </w:rPr>
        <w:t xml:space="preserve"> y</w:t>
      </w:r>
      <w:r w:rsidR="001F13F7" w:rsidRPr="00F604CF">
        <w:rPr>
          <w:rFonts w:cs="Arial"/>
        </w:rPr>
        <w:t xml:space="preserve"> ordenó la notificación personal de los señores Huber Ricardo Hoyos Daza, Elibardo Bern</w:t>
      </w:r>
      <w:r w:rsidR="00393973" w:rsidRPr="00F604CF">
        <w:rPr>
          <w:rFonts w:cs="Arial"/>
        </w:rPr>
        <w:t>a</w:t>
      </w:r>
      <w:r w:rsidR="001F13F7" w:rsidRPr="00F604CF">
        <w:rPr>
          <w:rFonts w:cs="Arial"/>
        </w:rPr>
        <w:t>l Gómez, Alexander Solarte y Carlos Al</w:t>
      </w:r>
      <w:r w:rsidR="00793DB2" w:rsidRPr="00F604CF">
        <w:rPr>
          <w:rFonts w:cs="Arial"/>
        </w:rPr>
        <w:t>fredo</w:t>
      </w:r>
      <w:r w:rsidR="001F13F7" w:rsidRPr="00F604CF">
        <w:rPr>
          <w:rFonts w:cs="Arial"/>
        </w:rPr>
        <w:t xml:space="preserve"> Giraldo, quienes participaron en la conformación de la Unión Temporal Calimeño. </w:t>
      </w:r>
      <w:r w:rsidR="005C1A20" w:rsidRPr="00F604CF">
        <w:rPr>
          <w:rFonts w:cs="Arial"/>
        </w:rPr>
        <w:t xml:space="preserve">Obran </w:t>
      </w:r>
      <w:r w:rsidR="00E46B0D" w:rsidRPr="00F604CF">
        <w:rPr>
          <w:rFonts w:cs="Arial"/>
        </w:rPr>
        <w:t xml:space="preserve">en </w:t>
      </w:r>
      <w:r w:rsidR="005C1A20" w:rsidRPr="00F604CF">
        <w:rPr>
          <w:rFonts w:cs="Arial"/>
        </w:rPr>
        <w:t>el expediente los avisos del artículo 315 del C</w:t>
      </w:r>
      <w:r w:rsidR="00E46B0D" w:rsidRPr="00F604CF">
        <w:rPr>
          <w:rFonts w:cs="Arial"/>
        </w:rPr>
        <w:t>.</w:t>
      </w:r>
      <w:r w:rsidR="005C1A20" w:rsidRPr="00F604CF">
        <w:rPr>
          <w:rFonts w:cs="Arial"/>
        </w:rPr>
        <w:t>P</w:t>
      </w:r>
      <w:r w:rsidR="00E46B0D" w:rsidRPr="00F604CF">
        <w:rPr>
          <w:rFonts w:cs="Arial"/>
        </w:rPr>
        <w:t>.</w:t>
      </w:r>
      <w:r w:rsidR="005C1A20" w:rsidRPr="00F604CF">
        <w:rPr>
          <w:rFonts w:cs="Arial"/>
        </w:rPr>
        <w:t>C</w:t>
      </w:r>
      <w:r w:rsidR="00E46B0D" w:rsidRPr="00F604CF">
        <w:rPr>
          <w:rFonts w:cs="Arial"/>
        </w:rPr>
        <w:t>.</w:t>
      </w:r>
      <w:r w:rsidR="005C1A20" w:rsidRPr="00F604CF">
        <w:rPr>
          <w:rFonts w:cs="Arial"/>
        </w:rPr>
        <w:t>, la notificación personal a</w:t>
      </w:r>
      <w:r w:rsidR="00CF093C" w:rsidRPr="00F604CF">
        <w:rPr>
          <w:rFonts w:cs="Arial"/>
        </w:rPr>
        <w:t xml:space="preserve"> los señores </w:t>
      </w:r>
      <w:r w:rsidR="000235A0" w:rsidRPr="00F604CF">
        <w:rPr>
          <w:rFonts w:cs="Arial"/>
        </w:rPr>
        <w:t>Huber Ricardo Hoyos Daza</w:t>
      </w:r>
      <w:r w:rsidR="000235A0" w:rsidRPr="00F604CF">
        <w:rPr>
          <w:rStyle w:val="Refdenotaalpie"/>
          <w:rFonts w:cs="Arial"/>
        </w:rPr>
        <w:footnoteReference w:id="6"/>
      </w:r>
      <w:r w:rsidR="000235A0" w:rsidRPr="00F604CF">
        <w:rPr>
          <w:rFonts w:cs="Arial"/>
        </w:rPr>
        <w:t xml:space="preserve">, </w:t>
      </w:r>
      <w:r w:rsidR="00CF093C" w:rsidRPr="00F604CF">
        <w:rPr>
          <w:rFonts w:cs="Arial"/>
        </w:rPr>
        <w:t>Carlos Giraldo Caicedo</w:t>
      </w:r>
      <w:r w:rsidR="00CF093C" w:rsidRPr="00F604CF">
        <w:rPr>
          <w:rStyle w:val="Refdenotaalpie"/>
          <w:rFonts w:cs="Arial"/>
        </w:rPr>
        <w:footnoteReference w:id="7"/>
      </w:r>
      <w:r w:rsidR="00AD7DCD" w:rsidRPr="00F604CF">
        <w:rPr>
          <w:rFonts w:cs="Arial"/>
        </w:rPr>
        <w:t>, Alexánder Solarte</w:t>
      </w:r>
      <w:r w:rsidR="00AD7DCD" w:rsidRPr="00F604CF">
        <w:rPr>
          <w:rStyle w:val="Refdenotaalpie"/>
          <w:rFonts w:cs="Arial"/>
        </w:rPr>
        <w:footnoteReference w:id="8"/>
      </w:r>
      <w:r w:rsidR="000235A0" w:rsidRPr="00F604CF">
        <w:rPr>
          <w:rFonts w:cs="Arial"/>
        </w:rPr>
        <w:t xml:space="preserve"> y del</w:t>
      </w:r>
      <w:r w:rsidR="005C1A20" w:rsidRPr="00F604CF">
        <w:rPr>
          <w:rFonts w:cs="Arial"/>
        </w:rPr>
        <w:t xml:space="preserve"> señor Elibardo Bern</w:t>
      </w:r>
      <w:r w:rsidR="004B5D00" w:rsidRPr="00F604CF">
        <w:rPr>
          <w:rFonts w:cs="Arial"/>
        </w:rPr>
        <w:t>a</w:t>
      </w:r>
      <w:r w:rsidR="005C1A20" w:rsidRPr="00F604CF">
        <w:rPr>
          <w:rFonts w:cs="Arial"/>
        </w:rPr>
        <w:t>l Gómez, como representante legal de Distribuciones Eliber Ltda</w:t>
      </w:r>
      <w:r w:rsidR="005C1A20" w:rsidRPr="00F604CF">
        <w:rPr>
          <w:rStyle w:val="Refdenotaalpie"/>
          <w:rFonts w:cs="Arial"/>
        </w:rPr>
        <w:footnoteReference w:id="9"/>
      </w:r>
      <w:r w:rsidR="000235A0" w:rsidRPr="00F604CF">
        <w:rPr>
          <w:rFonts w:cs="Arial"/>
        </w:rPr>
        <w:t>.</w:t>
      </w:r>
      <w:r w:rsidR="008A4E2E" w:rsidRPr="00F604CF">
        <w:rPr>
          <w:rFonts w:cs="Arial"/>
        </w:rPr>
        <w:t xml:space="preserve"> </w:t>
      </w:r>
      <w:r w:rsidR="00792CB9" w:rsidRPr="00F604CF">
        <w:rPr>
          <w:rFonts w:cs="Arial"/>
        </w:rPr>
        <w:t>De acuerdo con los documentos obrantes en el plenario</w:t>
      </w:r>
      <w:r w:rsidR="00E76946" w:rsidRPr="00F604CF">
        <w:rPr>
          <w:rFonts w:cs="Arial"/>
        </w:rPr>
        <w:t>, el representante de la Unión temporal Calimeño fue el señor Huber Ricardo Hoyos Daza</w:t>
      </w:r>
      <w:r w:rsidR="00E76946" w:rsidRPr="00F604CF">
        <w:rPr>
          <w:rStyle w:val="Refdenotaalpie"/>
          <w:rFonts w:cs="Arial"/>
        </w:rPr>
        <w:footnoteReference w:id="10"/>
      </w:r>
      <w:r w:rsidR="00E76946" w:rsidRPr="00F604CF">
        <w:rPr>
          <w:rFonts w:cs="Arial"/>
        </w:rPr>
        <w:t>.</w:t>
      </w:r>
    </w:p>
    <w:p w14:paraId="6E9A0E47" w14:textId="77777777" w:rsidR="008A4E2E" w:rsidRPr="00F604CF" w:rsidRDefault="008A4E2E" w:rsidP="00F604CF">
      <w:pPr>
        <w:pStyle w:val="Lista4"/>
        <w:ind w:left="0" w:firstLine="0"/>
        <w:rPr>
          <w:rFonts w:cs="Arial"/>
        </w:rPr>
      </w:pPr>
    </w:p>
    <w:p w14:paraId="2722BC9F" w14:textId="77777777" w:rsidR="001E24D2" w:rsidRPr="00F604CF" w:rsidRDefault="008A4E2E" w:rsidP="00F604CF">
      <w:pPr>
        <w:pStyle w:val="Lista4"/>
        <w:ind w:left="0" w:firstLine="0"/>
        <w:rPr>
          <w:rFonts w:cs="Arial"/>
        </w:rPr>
      </w:pPr>
      <w:r w:rsidRPr="00F604CF">
        <w:rPr>
          <w:rFonts w:cs="Arial"/>
          <w:b/>
        </w:rPr>
        <w:t>3.2.</w:t>
      </w:r>
      <w:r w:rsidRPr="00F604CF">
        <w:rPr>
          <w:rFonts w:cs="Arial"/>
        </w:rPr>
        <w:t xml:space="preserve"> EI</w:t>
      </w:r>
      <w:r w:rsidR="001E24D2" w:rsidRPr="00F604CF">
        <w:rPr>
          <w:rFonts w:cs="Arial"/>
        </w:rPr>
        <w:t xml:space="preserve"> departamento del </w:t>
      </w:r>
      <w:r w:rsidR="00200E09" w:rsidRPr="00F604CF">
        <w:rPr>
          <w:rFonts w:cs="Arial"/>
        </w:rPr>
        <w:t>P</w:t>
      </w:r>
      <w:r w:rsidR="001E24D2" w:rsidRPr="00F604CF">
        <w:rPr>
          <w:rFonts w:cs="Arial"/>
        </w:rPr>
        <w:t>utumayo y los integrantes de la unión temporal, con excepción de Alex</w:t>
      </w:r>
      <w:r w:rsidR="00395109" w:rsidRPr="00F604CF">
        <w:rPr>
          <w:rFonts w:cs="Arial"/>
        </w:rPr>
        <w:t>á</w:t>
      </w:r>
      <w:r w:rsidR="001E24D2" w:rsidRPr="00F604CF">
        <w:rPr>
          <w:rFonts w:cs="Arial"/>
        </w:rPr>
        <w:t xml:space="preserve">nder Solarte, otorgaron poder y sus respectivos apoderados dieron contestación a la demanda. </w:t>
      </w:r>
    </w:p>
    <w:p w14:paraId="7AAAD8EE" w14:textId="77777777" w:rsidR="00D23E28" w:rsidRPr="00F604CF" w:rsidRDefault="00D23E28" w:rsidP="00F604CF">
      <w:pPr>
        <w:pStyle w:val="Lista4"/>
        <w:ind w:left="0" w:firstLine="0"/>
        <w:rPr>
          <w:rFonts w:cs="Arial"/>
        </w:rPr>
      </w:pPr>
    </w:p>
    <w:p w14:paraId="07511302" w14:textId="77777777" w:rsidR="00D23E28" w:rsidRPr="00F604CF" w:rsidRDefault="00D23E28" w:rsidP="00F604CF">
      <w:pPr>
        <w:pStyle w:val="Lista4"/>
        <w:ind w:left="0" w:firstLine="0"/>
        <w:rPr>
          <w:rFonts w:cs="Arial"/>
        </w:rPr>
      </w:pPr>
      <w:r w:rsidRPr="00F604CF">
        <w:rPr>
          <w:rFonts w:cs="Arial"/>
          <w:b/>
        </w:rPr>
        <w:t>3.3.</w:t>
      </w:r>
      <w:r w:rsidRPr="00F604CF">
        <w:rPr>
          <w:rFonts w:cs="Arial"/>
        </w:rPr>
        <w:t xml:space="preserve"> </w:t>
      </w:r>
      <w:r w:rsidR="00200E09" w:rsidRPr="00F604CF">
        <w:rPr>
          <w:rFonts w:cs="Arial"/>
        </w:rPr>
        <w:t xml:space="preserve"> El Tribunal Administrativo de Nariño decretó las pruebas mediante auto de 18 de mayo de 2009</w:t>
      </w:r>
      <w:r w:rsidR="00200E09" w:rsidRPr="00F604CF">
        <w:rPr>
          <w:rStyle w:val="Refdenotaalpie"/>
          <w:rFonts w:cs="Arial"/>
        </w:rPr>
        <w:footnoteReference w:id="11"/>
      </w:r>
      <w:r w:rsidR="00200E09" w:rsidRPr="00F604CF">
        <w:rPr>
          <w:rFonts w:cs="Arial"/>
        </w:rPr>
        <w:t>.</w:t>
      </w:r>
    </w:p>
    <w:p w14:paraId="4C52E09C" w14:textId="77777777" w:rsidR="00200E09" w:rsidRPr="00F604CF" w:rsidRDefault="00200E09" w:rsidP="00F604CF">
      <w:pPr>
        <w:pStyle w:val="Lista4"/>
        <w:ind w:left="0" w:firstLine="0"/>
        <w:rPr>
          <w:rFonts w:cs="Arial"/>
        </w:rPr>
      </w:pPr>
    </w:p>
    <w:p w14:paraId="227F92F2" w14:textId="77777777" w:rsidR="00F21484" w:rsidRPr="00F604CF" w:rsidRDefault="0069251B" w:rsidP="00F604CF">
      <w:pPr>
        <w:pStyle w:val="Lista2"/>
        <w:ind w:left="0" w:firstLine="0"/>
        <w:rPr>
          <w:rFonts w:cs="Arial"/>
          <w:b/>
        </w:rPr>
      </w:pPr>
      <w:r w:rsidRPr="00F604CF">
        <w:rPr>
          <w:rFonts w:cs="Arial"/>
          <w:b/>
        </w:rPr>
        <w:t>3</w:t>
      </w:r>
      <w:r w:rsidR="0009687C" w:rsidRPr="00F604CF">
        <w:rPr>
          <w:rFonts w:cs="Arial"/>
          <w:b/>
        </w:rPr>
        <w:t>.</w:t>
      </w:r>
      <w:r w:rsidR="00395109" w:rsidRPr="00F604CF">
        <w:rPr>
          <w:rFonts w:cs="Arial"/>
          <w:b/>
        </w:rPr>
        <w:t>4</w:t>
      </w:r>
      <w:r w:rsidR="0009687C" w:rsidRPr="00F604CF">
        <w:rPr>
          <w:rFonts w:cs="Arial"/>
          <w:b/>
        </w:rPr>
        <w:t>.</w:t>
      </w:r>
      <w:r w:rsidR="006144E0" w:rsidRPr="00F604CF">
        <w:rPr>
          <w:rFonts w:cs="Arial"/>
          <w:b/>
        </w:rPr>
        <w:t xml:space="preserve"> </w:t>
      </w:r>
      <w:r w:rsidR="00F21484" w:rsidRPr="00F604CF">
        <w:rPr>
          <w:rFonts w:cs="Arial"/>
          <w:b/>
        </w:rPr>
        <w:t>Contestaci</w:t>
      </w:r>
      <w:r w:rsidR="00395109" w:rsidRPr="00F604CF">
        <w:rPr>
          <w:rFonts w:cs="Arial"/>
          <w:b/>
        </w:rPr>
        <w:t xml:space="preserve">ones a </w:t>
      </w:r>
      <w:r w:rsidR="00F21484" w:rsidRPr="00F604CF">
        <w:rPr>
          <w:rFonts w:cs="Arial"/>
          <w:b/>
        </w:rPr>
        <w:t>la demanda</w:t>
      </w:r>
    </w:p>
    <w:p w14:paraId="13351254" w14:textId="77777777" w:rsidR="000C5B00" w:rsidRPr="00F604CF" w:rsidRDefault="000C5B00" w:rsidP="00F604CF">
      <w:pPr>
        <w:pStyle w:val="Continuarlista2"/>
        <w:spacing w:after="0"/>
        <w:ind w:left="0"/>
        <w:rPr>
          <w:rFonts w:cs="Arial"/>
        </w:rPr>
      </w:pPr>
    </w:p>
    <w:p w14:paraId="760CCDC5" w14:textId="77777777" w:rsidR="00395109" w:rsidRPr="00F604CF" w:rsidRDefault="000C5B00" w:rsidP="00F604CF">
      <w:pPr>
        <w:pStyle w:val="Continuarlista2"/>
        <w:spacing w:after="0"/>
        <w:ind w:left="0"/>
        <w:rPr>
          <w:rFonts w:cs="Arial"/>
        </w:rPr>
      </w:pPr>
      <w:r w:rsidRPr="00F604CF">
        <w:rPr>
          <w:rFonts w:cs="Arial"/>
        </w:rPr>
        <w:t>E</w:t>
      </w:r>
      <w:r w:rsidR="004E12A3" w:rsidRPr="00F604CF">
        <w:rPr>
          <w:rFonts w:cs="Arial"/>
        </w:rPr>
        <w:t xml:space="preserve">l </w:t>
      </w:r>
      <w:r w:rsidR="004E12A3" w:rsidRPr="00F604CF">
        <w:rPr>
          <w:rFonts w:cs="Arial"/>
          <w:b/>
        </w:rPr>
        <w:t>departamento del Putumayo</w:t>
      </w:r>
      <w:r w:rsidR="004E12A3" w:rsidRPr="00F604CF">
        <w:rPr>
          <w:rFonts w:cs="Arial"/>
        </w:rPr>
        <w:t xml:space="preserve"> contestó la demanda reconociendo los hechos relacionados con la apertura de la licitación pública y la adjudicación</w:t>
      </w:r>
      <w:r w:rsidR="00395109" w:rsidRPr="00F604CF">
        <w:rPr>
          <w:rFonts w:cs="Arial"/>
        </w:rPr>
        <w:t>. E</w:t>
      </w:r>
      <w:r w:rsidR="004E12A3" w:rsidRPr="00F604CF">
        <w:rPr>
          <w:rFonts w:cs="Arial"/>
        </w:rPr>
        <w:t xml:space="preserve">n </w:t>
      </w:r>
      <w:r w:rsidR="0087150C" w:rsidRPr="00F604CF">
        <w:rPr>
          <w:rFonts w:cs="Arial"/>
        </w:rPr>
        <w:t xml:space="preserve">relación con </w:t>
      </w:r>
      <w:r w:rsidR="004E12A3" w:rsidRPr="00F604CF">
        <w:rPr>
          <w:rFonts w:cs="Arial"/>
        </w:rPr>
        <w:t xml:space="preserve">los demás hechos anotó que se atenía a lo que se probara. </w:t>
      </w:r>
      <w:r w:rsidR="0087150C" w:rsidRPr="00F604CF">
        <w:rPr>
          <w:rFonts w:cs="Arial"/>
        </w:rPr>
        <w:t xml:space="preserve">En los </w:t>
      </w:r>
      <w:r w:rsidR="004E12A3" w:rsidRPr="00F604CF">
        <w:rPr>
          <w:rFonts w:cs="Arial"/>
        </w:rPr>
        <w:t xml:space="preserve">argumentos de </w:t>
      </w:r>
      <w:r w:rsidR="0087150C" w:rsidRPr="00F604CF">
        <w:rPr>
          <w:rFonts w:cs="Arial"/>
        </w:rPr>
        <w:t>su</w:t>
      </w:r>
      <w:r w:rsidR="004E12A3" w:rsidRPr="00F604CF">
        <w:rPr>
          <w:rFonts w:cs="Arial"/>
        </w:rPr>
        <w:t xml:space="preserve"> defensa </w:t>
      </w:r>
      <w:r w:rsidR="0087150C" w:rsidRPr="00F604CF">
        <w:rPr>
          <w:rFonts w:cs="Arial"/>
        </w:rPr>
        <w:t xml:space="preserve">se destaca que el departamento </w:t>
      </w:r>
      <w:r w:rsidR="004E12A3" w:rsidRPr="00F604CF">
        <w:rPr>
          <w:rFonts w:cs="Arial"/>
        </w:rPr>
        <w:t xml:space="preserve">manifestó que </w:t>
      </w:r>
      <w:r w:rsidR="00832A8D" w:rsidRPr="00F604CF">
        <w:rPr>
          <w:rFonts w:cs="Arial"/>
        </w:rPr>
        <w:t xml:space="preserve">permitió subsanar los documentos financieros, teniendo en cuenta que el numeral 15 del artículo 25 de la Ley 80 de 1993 establece que las autoridades no exigirán formalidades o exigencias rituales. </w:t>
      </w:r>
    </w:p>
    <w:p w14:paraId="643EF3AD" w14:textId="77777777" w:rsidR="00395109" w:rsidRPr="00F604CF" w:rsidRDefault="00395109" w:rsidP="00F604CF">
      <w:pPr>
        <w:pStyle w:val="Continuarlista2"/>
        <w:spacing w:after="0"/>
        <w:ind w:left="0"/>
        <w:rPr>
          <w:rFonts w:cs="Arial"/>
        </w:rPr>
      </w:pPr>
    </w:p>
    <w:p w14:paraId="5E173074" w14:textId="77777777" w:rsidR="002663EE" w:rsidRPr="00F604CF" w:rsidRDefault="00395109" w:rsidP="00F604CF">
      <w:pPr>
        <w:pStyle w:val="Continuarlista2"/>
        <w:spacing w:after="0"/>
        <w:ind w:left="0"/>
        <w:rPr>
          <w:rFonts w:cs="Arial"/>
        </w:rPr>
      </w:pPr>
      <w:r w:rsidRPr="00F604CF">
        <w:rPr>
          <w:rFonts w:cs="Arial"/>
        </w:rPr>
        <w:t>E</w:t>
      </w:r>
      <w:r w:rsidR="00832A8D" w:rsidRPr="00F604CF">
        <w:rPr>
          <w:rFonts w:cs="Arial"/>
        </w:rPr>
        <w:t xml:space="preserve">l departamento presentó </w:t>
      </w:r>
      <w:r w:rsidRPr="00F604CF">
        <w:rPr>
          <w:rFonts w:cs="Arial"/>
        </w:rPr>
        <w:t xml:space="preserve">como </w:t>
      </w:r>
      <w:r w:rsidRPr="00F604CF">
        <w:rPr>
          <w:rFonts w:cs="Arial"/>
          <w:b/>
        </w:rPr>
        <w:t>excepción</w:t>
      </w:r>
      <w:r w:rsidRPr="00F604CF">
        <w:rPr>
          <w:rFonts w:cs="Arial"/>
        </w:rPr>
        <w:t xml:space="preserve">: </w:t>
      </w:r>
      <w:r w:rsidR="00832A8D" w:rsidRPr="00F604CF">
        <w:rPr>
          <w:rFonts w:cs="Arial"/>
        </w:rPr>
        <w:t>la</w:t>
      </w:r>
      <w:r w:rsidR="004355CC" w:rsidRPr="00F604CF">
        <w:rPr>
          <w:rFonts w:cs="Arial"/>
        </w:rPr>
        <w:t xml:space="preserve"> inexistencia de la nulidad, teniendo en cuenta que</w:t>
      </w:r>
      <w:r w:rsidR="0087150C" w:rsidRPr="00F604CF">
        <w:rPr>
          <w:rFonts w:cs="Arial"/>
        </w:rPr>
        <w:t xml:space="preserve">, en su criterio, </w:t>
      </w:r>
      <w:r w:rsidR="004355CC" w:rsidRPr="00F604CF">
        <w:rPr>
          <w:rFonts w:cs="Arial"/>
        </w:rPr>
        <w:t>la adjudicación y los demás actos se adelantaron con arreglo a la Ley 80 de 1993</w:t>
      </w:r>
      <w:r w:rsidR="004355CC" w:rsidRPr="00F604CF">
        <w:rPr>
          <w:rStyle w:val="Refdenotaalpie"/>
          <w:rFonts w:cs="Arial"/>
        </w:rPr>
        <w:footnoteReference w:id="12"/>
      </w:r>
      <w:r w:rsidR="002663EE" w:rsidRPr="00F604CF">
        <w:rPr>
          <w:rFonts w:cs="Arial"/>
        </w:rPr>
        <w:t>.</w:t>
      </w:r>
    </w:p>
    <w:p w14:paraId="3AAAAE9A" w14:textId="77777777" w:rsidR="002663EE" w:rsidRPr="00F604CF" w:rsidRDefault="002663EE" w:rsidP="00F604CF">
      <w:pPr>
        <w:pStyle w:val="Continuarlista2"/>
        <w:spacing w:after="0"/>
        <w:ind w:left="0"/>
        <w:rPr>
          <w:rFonts w:cs="Arial"/>
        </w:rPr>
      </w:pPr>
    </w:p>
    <w:p w14:paraId="40F92954" w14:textId="77777777" w:rsidR="00373DD8" w:rsidRPr="00F604CF" w:rsidRDefault="00352807" w:rsidP="00F604CF">
      <w:pPr>
        <w:pStyle w:val="Continuarlista2"/>
        <w:spacing w:after="0"/>
        <w:ind w:left="0"/>
        <w:rPr>
          <w:rFonts w:cs="Arial"/>
        </w:rPr>
      </w:pPr>
      <w:r w:rsidRPr="00F604CF">
        <w:rPr>
          <w:rFonts w:cs="Arial"/>
        </w:rPr>
        <w:t xml:space="preserve">El apoderado de los señores </w:t>
      </w:r>
      <w:r w:rsidRPr="00F604CF">
        <w:rPr>
          <w:rFonts w:cs="Arial"/>
          <w:b/>
        </w:rPr>
        <w:t>Huber Ricardo Hoyos y Carlos Alfredo Giraldo</w:t>
      </w:r>
      <w:r w:rsidRPr="00F604CF">
        <w:rPr>
          <w:rFonts w:cs="Arial"/>
        </w:rPr>
        <w:t xml:space="preserve"> </w:t>
      </w:r>
      <w:r w:rsidR="002663EE" w:rsidRPr="00F604CF">
        <w:rPr>
          <w:rFonts w:cs="Arial"/>
        </w:rPr>
        <w:t>indic</w:t>
      </w:r>
      <w:r w:rsidRPr="00F604CF">
        <w:rPr>
          <w:rFonts w:cs="Arial"/>
        </w:rPr>
        <w:t xml:space="preserve">ó, en la contestación de la demanda, </w:t>
      </w:r>
      <w:r w:rsidR="002663EE" w:rsidRPr="00F604CF">
        <w:rPr>
          <w:rFonts w:cs="Arial"/>
        </w:rPr>
        <w:t xml:space="preserve">que los hechos narrados en relación con la solicitud de información no eran correctos, que lo realmente sucedido fue que se les permitió subsanar la información financiera y la relativa a los contratos, dentro del plazo </w:t>
      </w:r>
      <w:r w:rsidR="00E46B0D" w:rsidRPr="00F604CF">
        <w:rPr>
          <w:rFonts w:cs="Arial"/>
        </w:rPr>
        <w:t>otorgado en</w:t>
      </w:r>
      <w:r w:rsidR="002663EE" w:rsidRPr="00F604CF">
        <w:rPr>
          <w:rFonts w:cs="Arial"/>
        </w:rPr>
        <w:t xml:space="preserve"> la adenda al pliego de condiciones</w:t>
      </w:r>
      <w:r w:rsidR="00E46B0D" w:rsidRPr="00F604CF">
        <w:rPr>
          <w:rFonts w:cs="Arial"/>
        </w:rPr>
        <w:t>,</w:t>
      </w:r>
      <w:r w:rsidR="002663EE" w:rsidRPr="00F604CF">
        <w:rPr>
          <w:rFonts w:cs="Arial"/>
        </w:rPr>
        <w:t xml:space="preserve"> </w:t>
      </w:r>
      <w:r w:rsidR="00AB4BE4" w:rsidRPr="00F604CF">
        <w:rPr>
          <w:rFonts w:cs="Arial"/>
        </w:rPr>
        <w:t xml:space="preserve">lo cual </w:t>
      </w:r>
      <w:r w:rsidR="002663EE" w:rsidRPr="00F604CF">
        <w:rPr>
          <w:rFonts w:cs="Arial"/>
        </w:rPr>
        <w:t xml:space="preserve">operó </w:t>
      </w:r>
      <w:r w:rsidR="0087150C" w:rsidRPr="00F604CF">
        <w:rPr>
          <w:rFonts w:cs="Arial"/>
        </w:rPr>
        <w:t xml:space="preserve">por igual </w:t>
      </w:r>
      <w:r w:rsidR="002663EE" w:rsidRPr="00F604CF">
        <w:rPr>
          <w:rFonts w:cs="Arial"/>
        </w:rPr>
        <w:t xml:space="preserve">para todas las partes proponentes. </w:t>
      </w:r>
      <w:r w:rsidRPr="00F604CF">
        <w:rPr>
          <w:rFonts w:cs="Arial"/>
        </w:rPr>
        <w:t xml:space="preserve">Expuso </w:t>
      </w:r>
      <w:r w:rsidR="00DF0763" w:rsidRPr="00F604CF">
        <w:rPr>
          <w:rFonts w:cs="Arial"/>
        </w:rPr>
        <w:t xml:space="preserve">que las correcciones fueron formales o sustanciales y que no se violó norma alguna. </w:t>
      </w:r>
    </w:p>
    <w:p w14:paraId="31B35E1F" w14:textId="77777777" w:rsidR="00373DD8" w:rsidRPr="00F604CF" w:rsidRDefault="00373DD8" w:rsidP="00F604CF">
      <w:pPr>
        <w:pStyle w:val="Continuarlista2"/>
        <w:spacing w:after="0"/>
        <w:ind w:left="0"/>
        <w:rPr>
          <w:rFonts w:cs="Arial"/>
        </w:rPr>
      </w:pPr>
    </w:p>
    <w:p w14:paraId="492EA699" w14:textId="77777777" w:rsidR="00492FB4" w:rsidRPr="00F604CF" w:rsidRDefault="00395109" w:rsidP="00F604CF">
      <w:pPr>
        <w:pStyle w:val="Continuarlista2"/>
        <w:spacing w:after="0"/>
        <w:ind w:left="0"/>
        <w:rPr>
          <w:rFonts w:cs="Arial"/>
        </w:rPr>
      </w:pPr>
      <w:r w:rsidRPr="00F604CF">
        <w:rPr>
          <w:rFonts w:cs="Arial"/>
        </w:rPr>
        <w:t>Ag</w:t>
      </w:r>
      <w:r w:rsidR="00492FB4" w:rsidRPr="00F604CF">
        <w:rPr>
          <w:rFonts w:cs="Arial"/>
        </w:rPr>
        <w:t>regó que el señor Ramiro Rivera</w:t>
      </w:r>
      <w:r w:rsidRPr="00F604CF">
        <w:rPr>
          <w:rFonts w:cs="Arial"/>
        </w:rPr>
        <w:t xml:space="preserve">, ahora demandante, </w:t>
      </w:r>
      <w:r w:rsidR="00492FB4" w:rsidRPr="00F604CF">
        <w:rPr>
          <w:rFonts w:cs="Arial"/>
        </w:rPr>
        <w:t>no allegó los estados financieros dictaminados y que fue requerido para ello, solicitud que no atendió</w:t>
      </w:r>
      <w:r w:rsidR="00E46B0D" w:rsidRPr="00F604CF">
        <w:rPr>
          <w:rFonts w:cs="Arial"/>
        </w:rPr>
        <w:t>,</w:t>
      </w:r>
      <w:r w:rsidR="00492FB4" w:rsidRPr="00F604CF">
        <w:rPr>
          <w:rFonts w:cs="Arial"/>
        </w:rPr>
        <w:t xml:space="preserve"> de </w:t>
      </w:r>
      <w:r w:rsidR="00373DD8" w:rsidRPr="00F604CF">
        <w:rPr>
          <w:rFonts w:cs="Arial"/>
        </w:rPr>
        <w:t xml:space="preserve">lo cual dejó constancia el comité evaluador, de </w:t>
      </w:r>
      <w:r w:rsidR="00492FB4" w:rsidRPr="00F604CF">
        <w:rPr>
          <w:rFonts w:cs="Arial"/>
        </w:rPr>
        <w:t xml:space="preserve">manera que no es cierto que su propuesta hubiera podido merecer la adjudicación del contrato. </w:t>
      </w:r>
    </w:p>
    <w:p w14:paraId="1DBA2588" w14:textId="77777777" w:rsidR="00373DD8" w:rsidRPr="00F604CF" w:rsidRDefault="00373DD8" w:rsidP="00F604CF">
      <w:pPr>
        <w:pStyle w:val="Continuarlista2"/>
        <w:spacing w:after="0"/>
        <w:ind w:left="0"/>
        <w:rPr>
          <w:rFonts w:cs="Arial"/>
        </w:rPr>
      </w:pPr>
    </w:p>
    <w:p w14:paraId="093EA61B" w14:textId="77777777" w:rsidR="008A4209" w:rsidRPr="00F604CF" w:rsidRDefault="00373DD8" w:rsidP="00F604CF">
      <w:pPr>
        <w:pStyle w:val="Continuarlista2"/>
        <w:spacing w:after="0"/>
        <w:ind w:left="0"/>
        <w:rPr>
          <w:rFonts w:cs="Arial"/>
        </w:rPr>
      </w:pPr>
      <w:r w:rsidRPr="00F604CF">
        <w:rPr>
          <w:rFonts w:cs="Arial"/>
        </w:rPr>
        <w:t xml:space="preserve">Como </w:t>
      </w:r>
      <w:r w:rsidRPr="00F604CF">
        <w:rPr>
          <w:rFonts w:cs="Arial"/>
          <w:b/>
        </w:rPr>
        <w:t>excepciones</w:t>
      </w:r>
      <w:r w:rsidR="00395109" w:rsidRPr="00F604CF">
        <w:rPr>
          <w:rFonts w:cs="Arial"/>
          <w:b/>
        </w:rPr>
        <w:t>,</w:t>
      </w:r>
      <w:r w:rsidRPr="00F604CF">
        <w:rPr>
          <w:rFonts w:cs="Arial"/>
        </w:rPr>
        <w:t xml:space="preserve"> </w:t>
      </w:r>
      <w:r w:rsidR="00395109" w:rsidRPr="00F604CF">
        <w:rPr>
          <w:rFonts w:cs="Arial"/>
        </w:rPr>
        <w:t xml:space="preserve">estos demandados </w:t>
      </w:r>
      <w:r w:rsidR="00E46B0D" w:rsidRPr="00F604CF">
        <w:rPr>
          <w:rFonts w:cs="Arial"/>
        </w:rPr>
        <w:t>formularon las siguientes</w:t>
      </w:r>
      <w:r w:rsidR="00352807" w:rsidRPr="00F604CF">
        <w:rPr>
          <w:rFonts w:cs="Arial"/>
        </w:rPr>
        <w:t>:</w:t>
      </w:r>
      <w:r w:rsidRPr="00F604CF">
        <w:rPr>
          <w:rFonts w:cs="Arial"/>
        </w:rPr>
        <w:t xml:space="preserve"> </w:t>
      </w:r>
      <w:r w:rsidR="008A4209" w:rsidRPr="00F604CF">
        <w:rPr>
          <w:rFonts w:cs="Arial"/>
          <w:b/>
        </w:rPr>
        <w:t>i)</w:t>
      </w:r>
      <w:r w:rsidR="008A4209" w:rsidRPr="00F604CF">
        <w:rPr>
          <w:rFonts w:cs="Arial"/>
        </w:rPr>
        <w:t xml:space="preserve"> </w:t>
      </w:r>
      <w:r w:rsidRPr="00F604CF">
        <w:rPr>
          <w:rFonts w:cs="Arial"/>
        </w:rPr>
        <w:t>la falta de legitimación pasiva</w:t>
      </w:r>
      <w:r w:rsidR="009951D8" w:rsidRPr="00F604CF">
        <w:rPr>
          <w:rFonts w:cs="Arial"/>
        </w:rPr>
        <w:t xml:space="preserve"> por parte de los miembros de la extinta Unión Te</w:t>
      </w:r>
      <w:r w:rsidR="0070287E" w:rsidRPr="00F604CF">
        <w:rPr>
          <w:rFonts w:cs="Arial"/>
        </w:rPr>
        <w:t>m</w:t>
      </w:r>
      <w:r w:rsidR="009951D8" w:rsidRPr="00F604CF">
        <w:rPr>
          <w:rFonts w:cs="Arial"/>
        </w:rPr>
        <w:t>poral Calimeño, dado que el contrato de compraventa ya había sido ejecutado mediante la entrega de los bienes y el pago del precio y que se encontraba debidamente liquidado</w:t>
      </w:r>
      <w:r w:rsidR="008A4209" w:rsidRPr="00F604CF">
        <w:rPr>
          <w:rFonts w:cs="Arial"/>
        </w:rPr>
        <w:t xml:space="preserve">; </w:t>
      </w:r>
      <w:r w:rsidR="008A4209" w:rsidRPr="00F604CF">
        <w:rPr>
          <w:rFonts w:cs="Arial"/>
          <w:b/>
        </w:rPr>
        <w:t>ii)</w:t>
      </w:r>
      <w:r w:rsidR="008A4209" w:rsidRPr="00F604CF">
        <w:rPr>
          <w:rFonts w:cs="Arial"/>
        </w:rPr>
        <w:t xml:space="preserve"> la inexistencia de la condición de la mejor propuesta y </w:t>
      </w:r>
      <w:r w:rsidR="008A4209" w:rsidRPr="00F604CF">
        <w:rPr>
          <w:rFonts w:cs="Arial"/>
          <w:b/>
        </w:rPr>
        <w:t>iii)</w:t>
      </w:r>
      <w:r w:rsidR="008A4209" w:rsidRPr="00F604CF">
        <w:rPr>
          <w:rFonts w:cs="Arial"/>
        </w:rPr>
        <w:t xml:space="preserve"> la ineptitud de la demanda, por cuanto estaba basada en hechos desordenados y permeada por toda suerte de valoraciones subjetivas</w:t>
      </w:r>
      <w:r w:rsidR="008A4209" w:rsidRPr="00F604CF">
        <w:rPr>
          <w:rStyle w:val="Refdenotaalpie"/>
          <w:rFonts w:cs="Arial"/>
        </w:rPr>
        <w:footnoteReference w:id="13"/>
      </w:r>
      <w:r w:rsidR="008A4209" w:rsidRPr="00F604CF">
        <w:rPr>
          <w:rFonts w:cs="Arial"/>
        </w:rPr>
        <w:t xml:space="preserve">. </w:t>
      </w:r>
    </w:p>
    <w:p w14:paraId="4377092A" w14:textId="77777777" w:rsidR="007B6D20" w:rsidRPr="00F604CF" w:rsidRDefault="007B6D20" w:rsidP="00F604CF">
      <w:pPr>
        <w:pStyle w:val="Continuarlista2"/>
        <w:spacing w:after="0"/>
        <w:ind w:left="0"/>
        <w:rPr>
          <w:rFonts w:cs="Arial"/>
        </w:rPr>
      </w:pPr>
    </w:p>
    <w:p w14:paraId="48A7624E" w14:textId="77777777" w:rsidR="00395109" w:rsidRPr="00F604CF" w:rsidRDefault="00BF5120" w:rsidP="00F604CF">
      <w:pPr>
        <w:pStyle w:val="Continuarlista2"/>
        <w:spacing w:after="0"/>
        <w:ind w:left="0"/>
        <w:rPr>
          <w:rFonts w:cs="Arial"/>
        </w:rPr>
      </w:pPr>
      <w:r w:rsidRPr="00F604CF">
        <w:rPr>
          <w:rFonts w:cs="Arial"/>
        </w:rPr>
        <w:t xml:space="preserve">El apoderado de </w:t>
      </w:r>
      <w:r w:rsidR="00395109" w:rsidRPr="00F604CF">
        <w:rPr>
          <w:rFonts w:cs="Arial"/>
          <w:b/>
        </w:rPr>
        <w:t xml:space="preserve">Representaciones y </w:t>
      </w:r>
      <w:r w:rsidR="00FF5642" w:rsidRPr="00F604CF">
        <w:rPr>
          <w:rFonts w:cs="Arial"/>
          <w:b/>
        </w:rPr>
        <w:t>E</w:t>
      </w:r>
      <w:r w:rsidR="00395109" w:rsidRPr="00F604CF">
        <w:rPr>
          <w:rFonts w:cs="Arial"/>
          <w:b/>
        </w:rPr>
        <w:t xml:space="preserve">diciones </w:t>
      </w:r>
      <w:r w:rsidRPr="00F604CF">
        <w:rPr>
          <w:rFonts w:cs="Arial"/>
          <w:b/>
        </w:rPr>
        <w:t>Eliber Limitada</w:t>
      </w:r>
      <w:r w:rsidRPr="00F604CF">
        <w:rPr>
          <w:rFonts w:cs="Arial"/>
        </w:rPr>
        <w:t xml:space="preserve"> </w:t>
      </w:r>
      <w:r w:rsidR="000D79F7" w:rsidRPr="00F604CF">
        <w:rPr>
          <w:rFonts w:cs="Arial"/>
        </w:rPr>
        <w:t>indicó</w:t>
      </w:r>
      <w:r w:rsidR="00352807" w:rsidRPr="00F604CF">
        <w:rPr>
          <w:rFonts w:cs="Arial"/>
        </w:rPr>
        <w:t xml:space="preserve">, en la contestación de la demanda, </w:t>
      </w:r>
      <w:r w:rsidR="000D79F7" w:rsidRPr="00F604CF">
        <w:rPr>
          <w:rFonts w:cs="Arial"/>
        </w:rPr>
        <w:t>que el término para evaluar las propuestas fue prorrogado hasta el 5 de septiembre de 2005</w:t>
      </w:r>
      <w:r w:rsidR="00677DC7" w:rsidRPr="00F604CF">
        <w:rPr>
          <w:rFonts w:cs="Arial"/>
        </w:rPr>
        <w:t xml:space="preserve"> y que la evaluación de las propuestas ocurrió el 6 de septiembre</w:t>
      </w:r>
      <w:r w:rsidR="00395109" w:rsidRPr="00F604CF">
        <w:rPr>
          <w:rFonts w:cs="Arial"/>
        </w:rPr>
        <w:t xml:space="preserve"> </w:t>
      </w:r>
      <w:r w:rsidR="00863260" w:rsidRPr="00F604CF">
        <w:rPr>
          <w:rFonts w:cs="Arial"/>
        </w:rPr>
        <w:t xml:space="preserve">de 2005. Agregó </w:t>
      </w:r>
      <w:r w:rsidR="00677DC7" w:rsidRPr="00F604CF">
        <w:rPr>
          <w:rFonts w:cs="Arial"/>
        </w:rPr>
        <w:t>que el señor Rivera Ramírez no presentó con su propuesta el formulario 4</w:t>
      </w:r>
      <w:r w:rsidR="000676D4" w:rsidRPr="00F604CF">
        <w:rPr>
          <w:rFonts w:cs="Arial"/>
        </w:rPr>
        <w:t>,</w:t>
      </w:r>
      <w:r w:rsidR="00677DC7" w:rsidRPr="00F604CF">
        <w:rPr>
          <w:rFonts w:cs="Arial"/>
        </w:rPr>
        <w:t xml:space="preserve"> de manera que no cumplió con los requisitos para </w:t>
      </w:r>
      <w:r w:rsidR="000034A4" w:rsidRPr="00F604CF">
        <w:rPr>
          <w:rFonts w:cs="Arial"/>
        </w:rPr>
        <w:t xml:space="preserve">reclamar </w:t>
      </w:r>
      <w:r w:rsidR="0070287E" w:rsidRPr="00F604CF">
        <w:rPr>
          <w:rFonts w:cs="Arial"/>
        </w:rPr>
        <w:t xml:space="preserve">un supuesto </w:t>
      </w:r>
      <w:r w:rsidR="000034A4" w:rsidRPr="00F604CF">
        <w:rPr>
          <w:rFonts w:cs="Arial"/>
        </w:rPr>
        <w:t xml:space="preserve">derecho a la </w:t>
      </w:r>
      <w:r w:rsidR="00677DC7" w:rsidRPr="00F604CF">
        <w:rPr>
          <w:rFonts w:cs="Arial"/>
        </w:rPr>
        <w:t>adjudicación</w:t>
      </w:r>
      <w:r w:rsidR="0070287E" w:rsidRPr="00F604CF">
        <w:rPr>
          <w:rFonts w:cs="Arial"/>
        </w:rPr>
        <w:t xml:space="preserve"> del contrato</w:t>
      </w:r>
      <w:r w:rsidR="000034A4" w:rsidRPr="00F604CF">
        <w:rPr>
          <w:rFonts w:cs="Arial"/>
        </w:rPr>
        <w:t xml:space="preserve">. </w:t>
      </w:r>
    </w:p>
    <w:p w14:paraId="58732034" w14:textId="77777777" w:rsidR="00395109" w:rsidRPr="00F604CF" w:rsidRDefault="00395109" w:rsidP="00F604CF">
      <w:pPr>
        <w:pStyle w:val="Continuarlista2"/>
        <w:spacing w:after="0"/>
        <w:ind w:left="0"/>
        <w:rPr>
          <w:rFonts w:cs="Arial"/>
        </w:rPr>
      </w:pPr>
    </w:p>
    <w:p w14:paraId="53A74ADF" w14:textId="77777777" w:rsidR="000034A4" w:rsidRPr="00F604CF" w:rsidRDefault="0070287E" w:rsidP="00F604CF">
      <w:pPr>
        <w:pStyle w:val="Continuarlista2"/>
        <w:spacing w:after="0"/>
        <w:ind w:left="0"/>
        <w:rPr>
          <w:rFonts w:cs="Arial"/>
        </w:rPr>
      </w:pPr>
      <w:r w:rsidRPr="00F604CF">
        <w:rPr>
          <w:rFonts w:cs="Arial"/>
        </w:rPr>
        <w:t xml:space="preserve">Esta </w:t>
      </w:r>
      <w:r w:rsidR="00395109" w:rsidRPr="00F604CF">
        <w:rPr>
          <w:rFonts w:cs="Arial"/>
        </w:rPr>
        <w:t>demandada presentó c</w:t>
      </w:r>
      <w:r w:rsidR="000034A4" w:rsidRPr="00F604CF">
        <w:rPr>
          <w:rFonts w:cs="Arial"/>
        </w:rPr>
        <w:t xml:space="preserve">omo </w:t>
      </w:r>
      <w:r w:rsidR="00BF5120" w:rsidRPr="00F604CF">
        <w:rPr>
          <w:rFonts w:cs="Arial"/>
          <w:b/>
        </w:rPr>
        <w:t>excepci</w:t>
      </w:r>
      <w:r w:rsidR="000034A4" w:rsidRPr="00F604CF">
        <w:rPr>
          <w:rFonts w:cs="Arial"/>
          <w:b/>
        </w:rPr>
        <w:t>o</w:t>
      </w:r>
      <w:r w:rsidR="00BF5120" w:rsidRPr="00F604CF">
        <w:rPr>
          <w:rFonts w:cs="Arial"/>
          <w:b/>
        </w:rPr>
        <w:t>nes</w:t>
      </w:r>
      <w:r w:rsidR="00BF5120" w:rsidRPr="00F604CF">
        <w:rPr>
          <w:rFonts w:cs="Arial"/>
        </w:rPr>
        <w:t xml:space="preserve"> </w:t>
      </w:r>
      <w:r w:rsidR="000034A4" w:rsidRPr="00F604CF">
        <w:rPr>
          <w:rFonts w:cs="Arial"/>
        </w:rPr>
        <w:t>las siguientes:</w:t>
      </w:r>
      <w:r w:rsidR="00BF5120" w:rsidRPr="00F604CF">
        <w:rPr>
          <w:rFonts w:cs="Arial"/>
        </w:rPr>
        <w:t xml:space="preserve"> </w:t>
      </w:r>
      <w:r w:rsidR="00BF5120" w:rsidRPr="00F604CF">
        <w:rPr>
          <w:rFonts w:cs="Arial"/>
          <w:b/>
        </w:rPr>
        <w:t>i)</w:t>
      </w:r>
      <w:r w:rsidR="000034A4" w:rsidRPr="00F604CF">
        <w:rPr>
          <w:rFonts w:cs="Arial"/>
        </w:rPr>
        <w:t xml:space="preserve"> </w:t>
      </w:r>
      <w:r w:rsidR="000D79F7" w:rsidRPr="00F604CF">
        <w:rPr>
          <w:rFonts w:cs="Arial"/>
        </w:rPr>
        <w:t>falta de inteligibilidad de los hechos de la demanda y violación de la ley procesal</w:t>
      </w:r>
      <w:r w:rsidR="00BE4E9C" w:rsidRPr="00F604CF">
        <w:rPr>
          <w:rFonts w:cs="Arial"/>
        </w:rPr>
        <w:t>,</w:t>
      </w:r>
      <w:r w:rsidR="000D79F7" w:rsidRPr="00F604CF">
        <w:rPr>
          <w:rFonts w:cs="Arial"/>
        </w:rPr>
        <w:t xml:space="preserve"> </w:t>
      </w:r>
      <w:r w:rsidR="00BE4E9C" w:rsidRPr="00F604CF">
        <w:rPr>
          <w:rFonts w:cs="Arial"/>
        </w:rPr>
        <w:t xml:space="preserve">a cual fundó en </w:t>
      </w:r>
      <w:r w:rsidR="000D79F7" w:rsidRPr="00F604CF">
        <w:rPr>
          <w:rFonts w:cs="Arial"/>
        </w:rPr>
        <w:t xml:space="preserve">presentación </w:t>
      </w:r>
      <w:r w:rsidR="00BE4E9C" w:rsidRPr="00F604CF">
        <w:rPr>
          <w:rFonts w:cs="Arial"/>
        </w:rPr>
        <w:t xml:space="preserve">difusa y </w:t>
      </w:r>
      <w:r w:rsidR="000034A4" w:rsidRPr="00F604CF">
        <w:rPr>
          <w:rFonts w:cs="Arial"/>
        </w:rPr>
        <w:t xml:space="preserve">no separada de </w:t>
      </w:r>
      <w:r w:rsidR="000D79F7" w:rsidRPr="00F604CF">
        <w:rPr>
          <w:rFonts w:cs="Arial"/>
        </w:rPr>
        <w:t>los hec</w:t>
      </w:r>
      <w:r w:rsidR="000034A4" w:rsidRPr="00F604CF">
        <w:rPr>
          <w:rFonts w:cs="Arial"/>
        </w:rPr>
        <w:t>h</w:t>
      </w:r>
      <w:r w:rsidR="000D79F7" w:rsidRPr="00F604CF">
        <w:rPr>
          <w:rFonts w:cs="Arial"/>
        </w:rPr>
        <w:t xml:space="preserve">os y </w:t>
      </w:r>
      <w:r w:rsidR="000D79F7" w:rsidRPr="00F604CF">
        <w:rPr>
          <w:rFonts w:cs="Arial"/>
          <w:b/>
        </w:rPr>
        <w:t xml:space="preserve">ii) </w:t>
      </w:r>
      <w:r w:rsidR="000D79F7" w:rsidRPr="00F604CF">
        <w:rPr>
          <w:rFonts w:cs="Arial"/>
        </w:rPr>
        <w:t xml:space="preserve"> la </w:t>
      </w:r>
      <w:r w:rsidR="00BF5120" w:rsidRPr="00F604CF">
        <w:rPr>
          <w:rFonts w:cs="Arial"/>
        </w:rPr>
        <w:t xml:space="preserve">falta de legitimación en la causa por pasiva, con fundamento </w:t>
      </w:r>
      <w:r w:rsidR="000034A4" w:rsidRPr="00F604CF">
        <w:rPr>
          <w:rFonts w:cs="Arial"/>
        </w:rPr>
        <w:t>en que el contrato ya se había cumplido para la fecha en que se presentó la demanda, de manera que no era pertinente la vinculación de los miembros de la Unión Temporal</w:t>
      </w:r>
      <w:r w:rsidR="00BE4E9C" w:rsidRPr="00F604CF">
        <w:rPr>
          <w:rFonts w:cs="Arial"/>
        </w:rPr>
        <w:t xml:space="preserve"> Calimeño</w:t>
      </w:r>
      <w:r w:rsidR="000034A4" w:rsidRPr="00F604CF">
        <w:rPr>
          <w:rFonts w:cs="Arial"/>
        </w:rPr>
        <w:t xml:space="preserve">. </w:t>
      </w:r>
    </w:p>
    <w:p w14:paraId="53F04100" w14:textId="77777777" w:rsidR="0070287E" w:rsidRPr="00F604CF" w:rsidRDefault="0070287E" w:rsidP="00F604CF">
      <w:pPr>
        <w:pStyle w:val="Continuarlista2"/>
        <w:spacing w:after="0"/>
        <w:ind w:left="0"/>
        <w:rPr>
          <w:rFonts w:cs="Arial"/>
        </w:rPr>
      </w:pPr>
    </w:p>
    <w:p w14:paraId="42FA7DBC" w14:textId="77777777" w:rsidR="00F21484" w:rsidRPr="00F604CF" w:rsidRDefault="0015263D" w:rsidP="00F604CF">
      <w:pPr>
        <w:pStyle w:val="Lista2"/>
        <w:ind w:left="0" w:firstLine="0"/>
        <w:rPr>
          <w:rFonts w:cs="Arial"/>
          <w:b/>
        </w:rPr>
      </w:pPr>
      <w:r w:rsidRPr="00F604CF">
        <w:rPr>
          <w:rFonts w:cs="Arial"/>
          <w:b/>
        </w:rPr>
        <w:t>4</w:t>
      </w:r>
      <w:r w:rsidR="0009687C" w:rsidRPr="00F604CF">
        <w:rPr>
          <w:rFonts w:cs="Arial"/>
          <w:b/>
        </w:rPr>
        <w:t>.</w:t>
      </w:r>
      <w:r w:rsidR="00077B4B" w:rsidRPr="00F604CF">
        <w:rPr>
          <w:rFonts w:cs="Arial"/>
          <w:b/>
        </w:rPr>
        <w:t xml:space="preserve"> </w:t>
      </w:r>
      <w:r w:rsidR="00F21484" w:rsidRPr="00F604CF">
        <w:rPr>
          <w:rFonts w:cs="Arial"/>
          <w:b/>
        </w:rPr>
        <w:t>La sentencia impugnada</w:t>
      </w:r>
    </w:p>
    <w:p w14:paraId="1EB65BE2" w14:textId="77777777" w:rsidR="00D550F9" w:rsidRPr="00F604CF" w:rsidRDefault="00D550F9" w:rsidP="00F604CF">
      <w:pPr>
        <w:numPr>
          <w:ilvl w:val="12"/>
          <w:numId w:val="0"/>
        </w:numPr>
        <w:rPr>
          <w:rFonts w:cs="Arial"/>
          <w:bCs/>
        </w:rPr>
      </w:pPr>
    </w:p>
    <w:p w14:paraId="54EFA49F" w14:textId="77777777" w:rsidR="00601771" w:rsidRPr="00F604CF" w:rsidRDefault="00D550F9" w:rsidP="00F604CF">
      <w:pPr>
        <w:pStyle w:val="Continuarlista2"/>
        <w:spacing w:after="0"/>
        <w:ind w:left="0"/>
        <w:rPr>
          <w:rFonts w:cs="Arial"/>
        </w:rPr>
      </w:pPr>
      <w:r w:rsidRPr="00F604CF">
        <w:rPr>
          <w:rFonts w:cs="Arial"/>
        </w:rPr>
        <w:t xml:space="preserve">El Tribunal </w:t>
      </w:r>
      <w:r w:rsidR="00C90583" w:rsidRPr="00F604CF">
        <w:rPr>
          <w:rFonts w:cs="Arial"/>
        </w:rPr>
        <w:t>Administrativo de</w:t>
      </w:r>
      <w:r w:rsidR="00601771" w:rsidRPr="00F604CF">
        <w:rPr>
          <w:rFonts w:cs="Arial"/>
        </w:rPr>
        <w:t xml:space="preserve"> Nariño </w:t>
      </w:r>
      <w:r w:rsidRPr="00F604CF">
        <w:rPr>
          <w:rFonts w:cs="Arial"/>
        </w:rPr>
        <w:t xml:space="preserve">profirió sentencia </w:t>
      </w:r>
      <w:r w:rsidR="00BE4E9C" w:rsidRPr="00F604CF">
        <w:rPr>
          <w:rFonts w:cs="Arial"/>
        </w:rPr>
        <w:t xml:space="preserve">de primera instancia </w:t>
      </w:r>
      <w:r w:rsidR="00276074" w:rsidRPr="00F604CF">
        <w:rPr>
          <w:rFonts w:cs="Arial"/>
        </w:rPr>
        <w:t>el</w:t>
      </w:r>
      <w:r w:rsidR="00460043" w:rsidRPr="00F604CF">
        <w:rPr>
          <w:rFonts w:cs="Arial"/>
        </w:rPr>
        <w:t xml:space="preserve"> </w:t>
      </w:r>
      <w:r w:rsidR="00601771" w:rsidRPr="00F604CF">
        <w:rPr>
          <w:rFonts w:cs="Arial"/>
        </w:rPr>
        <w:t xml:space="preserve">9 de mayo de 2014, </w:t>
      </w:r>
      <w:r w:rsidRPr="00F604CF">
        <w:rPr>
          <w:rFonts w:cs="Arial"/>
        </w:rPr>
        <w:t xml:space="preserve">en la cual </w:t>
      </w:r>
      <w:r w:rsidR="00601771" w:rsidRPr="00F604CF">
        <w:rPr>
          <w:rFonts w:cs="Arial"/>
        </w:rPr>
        <w:t>denegó las súplicas de la demanda</w:t>
      </w:r>
      <w:r w:rsidR="00BE4E9C" w:rsidRPr="00F604CF">
        <w:rPr>
          <w:rFonts w:cs="Arial"/>
        </w:rPr>
        <w:t>.</w:t>
      </w:r>
    </w:p>
    <w:p w14:paraId="088B5875" w14:textId="77777777" w:rsidR="00601771" w:rsidRPr="00F604CF" w:rsidRDefault="00601771" w:rsidP="00F604CF">
      <w:pPr>
        <w:pStyle w:val="Continuarlista2"/>
        <w:spacing w:after="0"/>
        <w:ind w:left="0"/>
        <w:rPr>
          <w:rFonts w:cs="Arial"/>
        </w:rPr>
      </w:pPr>
    </w:p>
    <w:p w14:paraId="64CD3B2C" w14:textId="77777777" w:rsidR="001942B6" w:rsidRPr="00F604CF" w:rsidRDefault="0094138F" w:rsidP="00F604CF">
      <w:pPr>
        <w:pStyle w:val="Continuarlista2"/>
        <w:spacing w:after="0"/>
        <w:ind w:left="0"/>
        <w:rPr>
          <w:rFonts w:cs="Arial"/>
          <w:lang w:val="es-MX"/>
        </w:rPr>
      </w:pPr>
      <w:r w:rsidRPr="00F604CF">
        <w:rPr>
          <w:rFonts w:cs="Arial"/>
        </w:rPr>
        <w:t>El</w:t>
      </w:r>
      <w:r w:rsidR="00D550F9" w:rsidRPr="00F604CF">
        <w:rPr>
          <w:rFonts w:cs="Arial"/>
          <w:lang w:val="es-MX"/>
        </w:rPr>
        <w:t xml:space="preserve"> Tribunal </w:t>
      </w:r>
      <w:r w:rsidR="00D550F9" w:rsidRPr="00F604CF">
        <w:rPr>
          <w:rFonts w:cs="Arial"/>
          <w:i/>
          <w:lang w:val="es-MX"/>
        </w:rPr>
        <w:t>a quo</w:t>
      </w:r>
      <w:r w:rsidR="00D550F9" w:rsidRPr="00F604CF">
        <w:rPr>
          <w:rFonts w:cs="Arial"/>
          <w:lang w:val="es-MX"/>
        </w:rPr>
        <w:t xml:space="preserve"> </w:t>
      </w:r>
      <w:r w:rsidRPr="00F604CF">
        <w:rPr>
          <w:rFonts w:cs="Arial"/>
          <w:lang w:val="es-MX"/>
        </w:rPr>
        <w:t>consideró que los actos administrativos estuvieron expedidos a la luz del principio de transparencia y de</w:t>
      </w:r>
      <w:r w:rsidR="00FF5642" w:rsidRPr="00F604CF">
        <w:rPr>
          <w:rFonts w:cs="Arial"/>
          <w:lang w:val="es-MX"/>
        </w:rPr>
        <w:t xml:space="preserve"> acuerdo con e</w:t>
      </w:r>
      <w:r w:rsidRPr="00F604CF">
        <w:rPr>
          <w:rFonts w:cs="Arial"/>
          <w:lang w:val="es-MX"/>
        </w:rPr>
        <w:t xml:space="preserve">l pliego de condiciones que rigió la licitación. </w:t>
      </w:r>
    </w:p>
    <w:p w14:paraId="3063E971" w14:textId="77777777" w:rsidR="001942B6" w:rsidRPr="00F604CF" w:rsidRDefault="001942B6" w:rsidP="00F604CF">
      <w:pPr>
        <w:pStyle w:val="Continuarlista2"/>
        <w:spacing w:after="0"/>
        <w:ind w:left="0"/>
        <w:rPr>
          <w:rFonts w:cs="Arial"/>
          <w:lang w:val="es-MX"/>
        </w:rPr>
      </w:pPr>
    </w:p>
    <w:p w14:paraId="03FF6175" w14:textId="77777777" w:rsidR="007B4BB3" w:rsidRPr="00F604CF" w:rsidRDefault="006E1B66" w:rsidP="00F604CF">
      <w:pPr>
        <w:pStyle w:val="Continuarlista2"/>
        <w:spacing w:after="0"/>
        <w:ind w:left="0"/>
        <w:rPr>
          <w:rFonts w:cs="Arial"/>
          <w:lang w:val="es-MX"/>
        </w:rPr>
      </w:pPr>
      <w:r w:rsidRPr="00F604CF">
        <w:rPr>
          <w:rFonts w:cs="Arial"/>
          <w:lang w:val="es-MX"/>
        </w:rPr>
        <w:t xml:space="preserve">El Tribunal </w:t>
      </w:r>
      <w:r w:rsidRPr="00F604CF">
        <w:rPr>
          <w:rFonts w:cs="Arial"/>
          <w:i/>
          <w:lang w:val="es-MX"/>
        </w:rPr>
        <w:t>a quo</w:t>
      </w:r>
      <w:r w:rsidRPr="00F604CF">
        <w:rPr>
          <w:rFonts w:cs="Arial"/>
          <w:lang w:val="es-MX"/>
        </w:rPr>
        <w:t xml:space="preserve"> observó que los requerimientos de información se habían hecho en tiempo y que se justificaban en que los </w:t>
      </w:r>
      <w:r w:rsidR="007B4BB3" w:rsidRPr="00F604CF">
        <w:rPr>
          <w:rFonts w:cs="Arial"/>
          <w:lang w:val="es-MX"/>
        </w:rPr>
        <w:t xml:space="preserve">balances </w:t>
      </w:r>
      <w:r w:rsidRPr="00F604CF">
        <w:rPr>
          <w:rFonts w:cs="Arial"/>
          <w:lang w:val="es-MX"/>
        </w:rPr>
        <w:t xml:space="preserve">presentaban errores, </w:t>
      </w:r>
      <w:r w:rsidRPr="00F604CF">
        <w:rPr>
          <w:rFonts w:cs="Arial"/>
          <w:i/>
          <w:lang w:val="es-MX"/>
        </w:rPr>
        <w:t>“como por ejemplo en el caso de CARLOS ALFREDO GIRLALDO CAICEDO, el mi</w:t>
      </w:r>
      <w:r w:rsidR="007B4BB3" w:rsidRPr="00F604CF">
        <w:rPr>
          <w:rFonts w:cs="Arial"/>
          <w:i/>
          <w:lang w:val="es-MX"/>
        </w:rPr>
        <w:t>s</w:t>
      </w:r>
      <w:r w:rsidRPr="00F604CF">
        <w:rPr>
          <w:rFonts w:cs="Arial"/>
          <w:i/>
          <w:lang w:val="es-MX"/>
        </w:rPr>
        <w:t>m</w:t>
      </w:r>
      <w:r w:rsidR="007B4BB3" w:rsidRPr="00F604CF">
        <w:rPr>
          <w:rFonts w:cs="Arial"/>
          <w:i/>
          <w:lang w:val="es-MX"/>
        </w:rPr>
        <w:t>o no había sido firmado, esta situación en nada varia la propuesta, pues era un documento que no conten</w:t>
      </w:r>
      <w:r w:rsidR="0070287E" w:rsidRPr="00F604CF">
        <w:rPr>
          <w:rFonts w:cs="Arial"/>
          <w:i/>
          <w:lang w:val="es-MX"/>
        </w:rPr>
        <w:t>í</w:t>
      </w:r>
      <w:r w:rsidR="007B4BB3" w:rsidRPr="00F604CF">
        <w:rPr>
          <w:rFonts w:cs="Arial"/>
          <w:i/>
          <w:lang w:val="es-MX"/>
        </w:rPr>
        <w:t>a la firma”</w:t>
      </w:r>
      <w:r w:rsidR="00FF5642" w:rsidRPr="00F604CF">
        <w:rPr>
          <w:rFonts w:cs="Arial"/>
          <w:i/>
          <w:lang w:val="es-MX"/>
        </w:rPr>
        <w:t>.</w:t>
      </w:r>
    </w:p>
    <w:p w14:paraId="774A6AF7" w14:textId="77777777" w:rsidR="007B4BB3" w:rsidRPr="00F604CF" w:rsidRDefault="007B4BB3" w:rsidP="00F604CF">
      <w:pPr>
        <w:pStyle w:val="Continuarlista2"/>
        <w:spacing w:after="0"/>
        <w:ind w:left="0"/>
        <w:rPr>
          <w:rFonts w:cs="Arial"/>
          <w:lang w:val="es-MX"/>
        </w:rPr>
      </w:pPr>
    </w:p>
    <w:p w14:paraId="7CF67F09" w14:textId="77777777" w:rsidR="008D7192" w:rsidRPr="00F604CF" w:rsidRDefault="00BE4E9C" w:rsidP="00F604CF">
      <w:pPr>
        <w:pStyle w:val="Continuarlista2"/>
        <w:spacing w:after="0"/>
        <w:ind w:left="0"/>
        <w:rPr>
          <w:rFonts w:cs="Arial"/>
          <w:lang w:val="es-MX"/>
        </w:rPr>
      </w:pPr>
      <w:r w:rsidRPr="00F604CF">
        <w:rPr>
          <w:rFonts w:cs="Arial"/>
          <w:lang w:val="es-MX"/>
        </w:rPr>
        <w:t>De acuerdo con el análisis del Tribunal, s</w:t>
      </w:r>
      <w:r w:rsidR="007B4BB3" w:rsidRPr="00F604CF">
        <w:rPr>
          <w:rFonts w:cs="Arial"/>
          <w:lang w:val="es-MX"/>
        </w:rPr>
        <w:t xml:space="preserve">ituación similar ocurrió con los estados financieros de </w:t>
      </w:r>
      <w:r w:rsidRPr="00F604CF">
        <w:rPr>
          <w:rFonts w:cs="Arial"/>
          <w:lang w:val="es-MX"/>
        </w:rPr>
        <w:t xml:space="preserve">Representaciones y Ediciones </w:t>
      </w:r>
      <w:r w:rsidR="007B4BB3" w:rsidRPr="00F604CF">
        <w:rPr>
          <w:rFonts w:cs="Arial"/>
          <w:lang w:val="es-MX"/>
        </w:rPr>
        <w:t>E</w:t>
      </w:r>
      <w:r w:rsidRPr="00F604CF">
        <w:rPr>
          <w:rFonts w:cs="Arial"/>
          <w:lang w:val="es-MX"/>
        </w:rPr>
        <w:t xml:space="preserve">liber </w:t>
      </w:r>
      <w:r w:rsidR="007B4BB3" w:rsidRPr="00F604CF">
        <w:rPr>
          <w:rFonts w:cs="Arial"/>
          <w:lang w:val="es-MX"/>
        </w:rPr>
        <w:t>Ltda</w:t>
      </w:r>
      <w:r w:rsidR="008D7192" w:rsidRPr="00F604CF">
        <w:rPr>
          <w:rFonts w:cs="Arial"/>
          <w:lang w:val="es-MX"/>
        </w:rPr>
        <w:t xml:space="preserve"> que</w:t>
      </w:r>
      <w:r w:rsidR="008051A8" w:rsidRPr="00F604CF">
        <w:rPr>
          <w:rFonts w:cs="Arial"/>
          <w:lang w:val="es-MX"/>
        </w:rPr>
        <w:t xml:space="preserve">, según afirmó, </w:t>
      </w:r>
      <w:r w:rsidR="008D7192" w:rsidRPr="00F604CF">
        <w:rPr>
          <w:rFonts w:cs="Arial"/>
          <w:lang w:val="es-MX"/>
        </w:rPr>
        <w:t>se allegaron con la certificación de que trata la Ley 222 de 1995, res</w:t>
      </w:r>
      <w:r w:rsidR="008051A8" w:rsidRPr="00F604CF">
        <w:rPr>
          <w:rFonts w:cs="Arial"/>
          <w:lang w:val="es-MX"/>
        </w:rPr>
        <w:t>p</w:t>
      </w:r>
      <w:r w:rsidR="008D7192" w:rsidRPr="00F604CF">
        <w:rPr>
          <w:rFonts w:cs="Arial"/>
          <w:lang w:val="es-MX"/>
        </w:rPr>
        <w:t xml:space="preserve">ecto de los cuales se </w:t>
      </w:r>
      <w:r w:rsidRPr="00F604CF">
        <w:rPr>
          <w:rFonts w:cs="Arial"/>
          <w:lang w:val="es-MX"/>
        </w:rPr>
        <w:t>solicit</w:t>
      </w:r>
      <w:r w:rsidR="008051A8" w:rsidRPr="00F604CF">
        <w:rPr>
          <w:rFonts w:cs="Arial"/>
          <w:lang w:val="es-MX"/>
        </w:rPr>
        <w:t xml:space="preserve">ó </w:t>
      </w:r>
      <w:r w:rsidRPr="00F604CF">
        <w:rPr>
          <w:rFonts w:cs="Arial"/>
          <w:lang w:val="es-MX"/>
        </w:rPr>
        <w:t xml:space="preserve">una </w:t>
      </w:r>
      <w:r w:rsidR="008D7192" w:rsidRPr="00F604CF">
        <w:rPr>
          <w:rFonts w:cs="Arial"/>
          <w:lang w:val="es-MX"/>
        </w:rPr>
        <w:t>discriminación de rubros, de conf</w:t>
      </w:r>
      <w:r w:rsidRPr="00F604CF">
        <w:rPr>
          <w:rFonts w:cs="Arial"/>
          <w:lang w:val="es-MX"/>
        </w:rPr>
        <w:t>or</w:t>
      </w:r>
      <w:r w:rsidR="008D7192" w:rsidRPr="00F604CF">
        <w:rPr>
          <w:rFonts w:cs="Arial"/>
          <w:lang w:val="es-MX"/>
        </w:rPr>
        <w:t>midad con lo que se indicaba en el pliego de condiciones.</w:t>
      </w:r>
    </w:p>
    <w:p w14:paraId="17747F79" w14:textId="77777777" w:rsidR="008D7192" w:rsidRPr="00F604CF" w:rsidRDefault="008D7192" w:rsidP="00F604CF">
      <w:pPr>
        <w:pStyle w:val="Continuarlista2"/>
        <w:spacing w:after="0"/>
        <w:ind w:left="0"/>
        <w:rPr>
          <w:rFonts w:cs="Arial"/>
          <w:lang w:val="es-MX"/>
        </w:rPr>
      </w:pPr>
    </w:p>
    <w:p w14:paraId="6B4AFA87" w14:textId="77777777" w:rsidR="00C63F16" w:rsidRPr="00F604CF" w:rsidRDefault="00643721" w:rsidP="00F604CF">
      <w:pPr>
        <w:pStyle w:val="Continuarlista2"/>
        <w:spacing w:after="0"/>
        <w:ind w:left="0"/>
        <w:rPr>
          <w:rFonts w:cs="Arial"/>
          <w:lang w:val="es-MX"/>
        </w:rPr>
      </w:pPr>
      <w:r w:rsidRPr="00F604CF">
        <w:rPr>
          <w:rFonts w:cs="Arial"/>
          <w:lang w:val="es-MX"/>
        </w:rPr>
        <w:t xml:space="preserve">El </w:t>
      </w:r>
      <w:r w:rsidR="008051A8" w:rsidRPr="00F604CF">
        <w:rPr>
          <w:rFonts w:cs="Arial"/>
          <w:lang w:val="es-MX"/>
        </w:rPr>
        <w:t>T</w:t>
      </w:r>
      <w:r w:rsidRPr="00F604CF">
        <w:rPr>
          <w:rFonts w:cs="Arial"/>
          <w:lang w:val="es-MX"/>
        </w:rPr>
        <w:t>ribunal concluyó que aunque los documentos faltantes se requer</w:t>
      </w:r>
      <w:r w:rsidR="008051A8" w:rsidRPr="00F604CF">
        <w:rPr>
          <w:rFonts w:cs="Arial"/>
          <w:lang w:val="es-MX"/>
        </w:rPr>
        <w:t>í</w:t>
      </w:r>
      <w:r w:rsidRPr="00F604CF">
        <w:rPr>
          <w:rFonts w:cs="Arial"/>
          <w:lang w:val="es-MX"/>
        </w:rPr>
        <w:t xml:space="preserve">an para comparar las ofertas, </w:t>
      </w:r>
      <w:r w:rsidRPr="00F604CF">
        <w:rPr>
          <w:rFonts w:cs="Arial"/>
          <w:i/>
          <w:lang w:val="es-MX"/>
        </w:rPr>
        <w:t>“adolec</w:t>
      </w:r>
      <w:r w:rsidR="00BE4E9C" w:rsidRPr="00F604CF">
        <w:rPr>
          <w:rFonts w:cs="Arial"/>
          <w:i/>
          <w:lang w:val="es-MX"/>
        </w:rPr>
        <w:t>í</w:t>
      </w:r>
      <w:r w:rsidRPr="00F604CF">
        <w:rPr>
          <w:rFonts w:cs="Arial"/>
          <w:i/>
          <w:lang w:val="es-MX"/>
        </w:rPr>
        <w:t>an de errores formales que no ten</w:t>
      </w:r>
      <w:r w:rsidR="00BE4E9C" w:rsidRPr="00F604CF">
        <w:rPr>
          <w:rFonts w:cs="Arial"/>
          <w:i/>
          <w:lang w:val="es-MX"/>
        </w:rPr>
        <w:t>í</w:t>
      </w:r>
      <w:r w:rsidRPr="00F604CF">
        <w:rPr>
          <w:rFonts w:cs="Arial"/>
          <w:i/>
          <w:lang w:val="es-MX"/>
        </w:rPr>
        <w:t>an la entidad suficiente para rechazar de plano la propuesta”</w:t>
      </w:r>
      <w:r w:rsidRPr="00F604CF">
        <w:rPr>
          <w:rStyle w:val="Refdenotaalpie"/>
          <w:rFonts w:cs="Arial"/>
          <w:i/>
          <w:lang w:val="es-MX"/>
        </w:rPr>
        <w:footnoteReference w:id="14"/>
      </w:r>
      <w:r w:rsidR="00C21A3B" w:rsidRPr="00F604CF">
        <w:rPr>
          <w:rFonts w:cs="Arial"/>
          <w:i/>
          <w:lang w:val="es-MX"/>
        </w:rPr>
        <w:t>.</w:t>
      </w:r>
    </w:p>
    <w:p w14:paraId="367A0860" w14:textId="77777777" w:rsidR="00C63F16" w:rsidRPr="00F604CF" w:rsidRDefault="00C63F16" w:rsidP="00F604CF">
      <w:pPr>
        <w:pStyle w:val="Continuarlista2"/>
        <w:spacing w:after="0"/>
        <w:ind w:left="0"/>
        <w:rPr>
          <w:rFonts w:cs="Arial"/>
          <w:lang w:val="es-MX"/>
        </w:rPr>
      </w:pPr>
    </w:p>
    <w:p w14:paraId="02A0241E" w14:textId="77777777" w:rsidR="00C63F16" w:rsidRPr="00F604CF" w:rsidRDefault="000D7D34" w:rsidP="00F604CF">
      <w:pPr>
        <w:pStyle w:val="Continuarlista2"/>
        <w:spacing w:after="0"/>
        <w:ind w:left="0"/>
        <w:rPr>
          <w:rFonts w:cs="Arial"/>
          <w:lang w:val="es-MX"/>
        </w:rPr>
      </w:pPr>
      <w:r w:rsidRPr="00F604CF">
        <w:rPr>
          <w:rFonts w:cs="Arial"/>
          <w:lang w:val="es-MX"/>
        </w:rPr>
        <w:t xml:space="preserve">En cuanto a los documentos solicitados para aclarar inconsistencias respecto de la experiencia, </w:t>
      </w:r>
      <w:r w:rsidR="00BE4E9C" w:rsidRPr="00F604CF">
        <w:rPr>
          <w:rFonts w:cs="Arial"/>
          <w:lang w:val="es-MX"/>
        </w:rPr>
        <w:t xml:space="preserve">el Tribunal </w:t>
      </w:r>
      <w:r w:rsidR="00BE4E9C" w:rsidRPr="00F604CF">
        <w:rPr>
          <w:rFonts w:cs="Arial"/>
          <w:i/>
          <w:lang w:val="es-MX"/>
        </w:rPr>
        <w:t>a quo</w:t>
      </w:r>
      <w:r w:rsidR="00BE4E9C" w:rsidRPr="00F604CF">
        <w:rPr>
          <w:rFonts w:cs="Arial"/>
          <w:lang w:val="es-MX"/>
        </w:rPr>
        <w:t xml:space="preserve"> </w:t>
      </w:r>
      <w:r w:rsidRPr="00F604CF">
        <w:rPr>
          <w:rFonts w:cs="Arial"/>
          <w:lang w:val="es-MX"/>
        </w:rPr>
        <w:t>observó que los errores en los valores de los contratos allegados fuero</w:t>
      </w:r>
      <w:r w:rsidR="00C63F16" w:rsidRPr="00F604CF">
        <w:rPr>
          <w:rFonts w:cs="Arial"/>
          <w:lang w:val="es-MX"/>
        </w:rPr>
        <w:t>n saneados</w:t>
      </w:r>
      <w:r w:rsidR="00BE4E9C" w:rsidRPr="00F604CF">
        <w:rPr>
          <w:rFonts w:cs="Arial"/>
          <w:lang w:val="es-MX"/>
        </w:rPr>
        <w:t>,</w:t>
      </w:r>
      <w:r w:rsidR="00C63F16" w:rsidRPr="00F604CF">
        <w:rPr>
          <w:rFonts w:cs="Arial"/>
          <w:lang w:val="es-MX"/>
        </w:rPr>
        <w:t xml:space="preserve"> mediante la certificación de las entidades contratantes</w:t>
      </w:r>
      <w:r w:rsidR="00BE4E9C" w:rsidRPr="00F604CF">
        <w:rPr>
          <w:rFonts w:cs="Arial"/>
          <w:lang w:val="es-MX"/>
        </w:rPr>
        <w:t xml:space="preserve">, según </w:t>
      </w:r>
      <w:r w:rsidR="00C63F16" w:rsidRPr="00F604CF">
        <w:rPr>
          <w:rFonts w:cs="Arial"/>
          <w:lang w:val="es-MX"/>
        </w:rPr>
        <w:t>obra en el plenario</w:t>
      </w:r>
      <w:r w:rsidR="00C63F16" w:rsidRPr="00F604CF">
        <w:rPr>
          <w:rStyle w:val="Refdenotaalpie"/>
          <w:rFonts w:cs="Arial"/>
          <w:lang w:val="es-MX"/>
        </w:rPr>
        <w:footnoteReference w:id="15"/>
      </w:r>
      <w:r w:rsidR="00C63F16" w:rsidRPr="00F604CF">
        <w:rPr>
          <w:rFonts w:cs="Arial"/>
          <w:lang w:val="es-MX"/>
        </w:rPr>
        <w:t>.</w:t>
      </w:r>
    </w:p>
    <w:p w14:paraId="54965330" w14:textId="77777777" w:rsidR="00C63F16" w:rsidRPr="00F604CF" w:rsidRDefault="00C63F16" w:rsidP="00F604CF">
      <w:pPr>
        <w:pStyle w:val="Continuarlista2"/>
        <w:spacing w:after="0"/>
        <w:ind w:left="0"/>
        <w:rPr>
          <w:rFonts w:cs="Arial"/>
          <w:lang w:val="es-MX"/>
        </w:rPr>
      </w:pPr>
    </w:p>
    <w:p w14:paraId="26022C70" w14:textId="77777777" w:rsidR="00B62A1C" w:rsidRPr="00F604CF" w:rsidRDefault="00C63F16" w:rsidP="00F604CF">
      <w:pPr>
        <w:pStyle w:val="Continuarlista2"/>
        <w:spacing w:after="0"/>
        <w:ind w:left="0"/>
        <w:rPr>
          <w:rFonts w:cs="Arial"/>
          <w:lang w:val="es-MX"/>
        </w:rPr>
      </w:pPr>
      <w:r w:rsidRPr="00F604CF">
        <w:rPr>
          <w:rFonts w:cs="Arial"/>
          <w:lang w:val="es-MX"/>
        </w:rPr>
        <w:t xml:space="preserve">Se agregó que </w:t>
      </w:r>
      <w:r w:rsidR="00BE4E9C" w:rsidRPr="00F604CF">
        <w:rPr>
          <w:rFonts w:cs="Arial"/>
          <w:lang w:val="es-MX"/>
        </w:rPr>
        <w:t xml:space="preserve">en materia de experiencia específica </w:t>
      </w:r>
      <w:r w:rsidRPr="00F604CF">
        <w:rPr>
          <w:rFonts w:cs="Arial"/>
          <w:lang w:val="es-MX"/>
        </w:rPr>
        <w:t xml:space="preserve">la adjudicataria obtuvo 180 puntos frente a los 200 puntos que logró la propuesta del demandante, de manera que no fue por estos documentos que se </w:t>
      </w:r>
      <w:r w:rsidR="000967C5" w:rsidRPr="00F604CF">
        <w:rPr>
          <w:rFonts w:cs="Arial"/>
          <w:lang w:val="es-MX"/>
        </w:rPr>
        <w:t xml:space="preserve">habría </w:t>
      </w:r>
      <w:r w:rsidRPr="00F604CF">
        <w:rPr>
          <w:rFonts w:cs="Arial"/>
          <w:lang w:val="es-MX"/>
        </w:rPr>
        <w:t>vulner</w:t>
      </w:r>
      <w:r w:rsidR="000967C5" w:rsidRPr="00F604CF">
        <w:rPr>
          <w:rFonts w:cs="Arial"/>
          <w:lang w:val="es-MX"/>
        </w:rPr>
        <w:t>ado</w:t>
      </w:r>
      <w:r w:rsidRPr="00F604CF">
        <w:rPr>
          <w:rFonts w:cs="Arial"/>
          <w:lang w:val="es-MX"/>
        </w:rPr>
        <w:t xml:space="preserve"> el puntaje </w:t>
      </w:r>
      <w:r w:rsidR="000967C5" w:rsidRPr="00F604CF">
        <w:rPr>
          <w:rFonts w:cs="Arial"/>
          <w:lang w:val="es-MX"/>
        </w:rPr>
        <w:t>a que tenía derecho el demandante</w:t>
      </w:r>
      <w:r w:rsidR="00B62A1C" w:rsidRPr="00F604CF">
        <w:rPr>
          <w:rFonts w:cs="Arial"/>
          <w:lang w:val="es-MX"/>
        </w:rPr>
        <w:t xml:space="preserve">. </w:t>
      </w:r>
    </w:p>
    <w:p w14:paraId="3C6F808E" w14:textId="77777777" w:rsidR="00B62A1C" w:rsidRPr="00F604CF" w:rsidRDefault="00B62A1C" w:rsidP="00F604CF">
      <w:pPr>
        <w:pStyle w:val="Continuarlista2"/>
        <w:spacing w:after="0"/>
        <w:ind w:left="0"/>
        <w:rPr>
          <w:rFonts w:cs="Arial"/>
          <w:lang w:val="es-MX"/>
        </w:rPr>
      </w:pPr>
    </w:p>
    <w:p w14:paraId="1CA3A673" w14:textId="77777777" w:rsidR="00D1271B" w:rsidRPr="00F604CF" w:rsidRDefault="007E3B3A" w:rsidP="00F604CF">
      <w:pPr>
        <w:pStyle w:val="Continuarlista2"/>
        <w:spacing w:after="0"/>
        <w:ind w:left="0"/>
        <w:rPr>
          <w:rFonts w:cs="Arial"/>
          <w:lang w:val="es-MX"/>
        </w:rPr>
      </w:pPr>
      <w:r w:rsidRPr="00F604CF">
        <w:rPr>
          <w:rFonts w:cs="Arial"/>
          <w:lang w:val="es-MX"/>
        </w:rPr>
        <w:t>E</w:t>
      </w:r>
      <w:r w:rsidR="00B62A1C" w:rsidRPr="00F604CF">
        <w:rPr>
          <w:rFonts w:cs="Arial"/>
          <w:lang w:val="es-MX"/>
        </w:rPr>
        <w:t xml:space="preserve">l Tribunal </w:t>
      </w:r>
      <w:r w:rsidRPr="00F604CF">
        <w:rPr>
          <w:rFonts w:cs="Arial"/>
          <w:lang w:val="es-MX"/>
        </w:rPr>
        <w:t xml:space="preserve">indicó </w:t>
      </w:r>
      <w:r w:rsidR="00B62A1C" w:rsidRPr="00F604CF">
        <w:rPr>
          <w:rFonts w:cs="Arial"/>
          <w:lang w:val="es-MX"/>
        </w:rPr>
        <w:t>que el demandante no había diligenciado el formulario 4 y que, en todo caso, no tenía derecho al mejor puntaje</w:t>
      </w:r>
      <w:r w:rsidR="00D1271B" w:rsidRPr="00F604CF">
        <w:rPr>
          <w:rFonts w:cs="Arial"/>
          <w:lang w:val="es-MX"/>
        </w:rPr>
        <w:t>, dado que las calificaciones de la Unión Temporal Calimeño habían sido correctamente otorgadas.</w:t>
      </w:r>
    </w:p>
    <w:p w14:paraId="4D353B9B" w14:textId="77777777" w:rsidR="00D1271B" w:rsidRPr="00F604CF" w:rsidRDefault="00D1271B" w:rsidP="00F604CF">
      <w:pPr>
        <w:pStyle w:val="Lista2"/>
        <w:ind w:left="0" w:firstLine="0"/>
        <w:rPr>
          <w:rFonts w:cs="Arial"/>
          <w:b/>
          <w:lang w:val="es-MX"/>
        </w:rPr>
      </w:pPr>
    </w:p>
    <w:p w14:paraId="0E3C7B22" w14:textId="77777777" w:rsidR="008F00B0" w:rsidRPr="00F604CF" w:rsidRDefault="00D1271B" w:rsidP="00F604CF">
      <w:pPr>
        <w:pStyle w:val="Lista2"/>
        <w:ind w:left="0" w:firstLine="0"/>
        <w:rPr>
          <w:rFonts w:cs="Arial"/>
          <w:lang w:val="es-MX"/>
        </w:rPr>
      </w:pPr>
      <w:r w:rsidRPr="00F604CF">
        <w:rPr>
          <w:rFonts w:cs="Arial"/>
          <w:lang w:val="es-MX"/>
        </w:rPr>
        <w:t xml:space="preserve">En cuanto a los requisitos de </w:t>
      </w:r>
      <w:r w:rsidR="008F00B0" w:rsidRPr="00F604CF">
        <w:rPr>
          <w:rFonts w:cs="Arial"/>
          <w:lang w:val="es-MX"/>
        </w:rPr>
        <w:t xml:space="preserve">los miembros de la Unión Temporal  Calimeño, como proveedores, </w:t>
      </w:r>
      <w:r w:rsidR="00A90896" w:rsidRPr="00F604CF">
        <w:rPr>
          <w:rFonts w:cs="Arial"/>
          <w:lang w:val="es-MX"/>
        </w:rPr>
        <w:t xml:space="preserve">el Tribunal </w:t>
      </w:r>
      <w:r w:rsidR="000967C5" w:rsidRPr="00F604CF">
        <w:rPr>
          <w:rFonts w:cs="Arial"/>
          <w:lang w:val="es-MX"/>
        </w:rPr>
        <w:t xml:space="preserve">apreció </w:t>
      </w:r>
      <w:r w:rsidR="008F00B0" w:rsidRPr="00F604CF">
        <w:rPr>
          <w:rFonts w:cs="Arial"/>
          <w:lang w:val="es-MX"/>
        </w:rPr>
        <w:t>que</w:t>
      </w:r>
      <w:r w:rsidR="00A76A62" w:rsidRPr="00F604CF">
        <w:rPr>
          <w:rFonts w:cs="Arial"/>
          <w:lang w:val="es-MX"/>
        </w:rPr>
        <w:t>,</w:t>
      </w:r>
      <w:r w:rsidR="008F00B0" w:rsidRPr="00F604CF">
        <w:rPr>
          <w:rFonts w:cs="Arial"/>
          <w:lang w:val="es-MX"/>
        </w:rPr>
        <w:t xml:space="preserve"> de acuerdo con los certificados de la C</w:t>
      </w:r>
      <w:r w:rsidR="00A90896" w:rsidRPr="00F604CF">
        <w:rPr>
          <w:rFonts w:cs="Arial"/>
          <w:lang w:val="es-MX"/>
        </w:rPr>
        <w:t>á</w:t>
      </w:r>
      <w:r w:rsidR="008F00B0" w:rsidRPr="00F604CF">
        <w:rPr>
          <w:rFonts w:cs="Arial"/>
          <w:lang w:val="es-MX"/>
        </w:rPr>
        <w:t>mara de Comercio</w:t>
      </w:r>
      <w:r w:rsidR="00A90896" w:rsidRPr="00F604CF">
        <w:rPr>
          <w:rFonts w:cs="Arial"/>
          <w:lang w:val="es-MX"/>
        </w:rPr>
        <w:t>,</w:t>
      </w:r>
      <w:r w:rsidR="008F00B0" w:rsidRPr="00F604CF">
        <w:rPr>
          <w:rFonts w:cs="Arial"/>
          <w:lang w:val="es-MX"/>
        </w:rPr>
        <w:t xml:space="preserve"> los integran</w:t>
      </w:r>
      <w:r w:rsidR="00A90896" w:rsidRPr="00F604CF">
        <w:rPr>
          <w:rFonts w:cs="Arial"/>
          <w:lang w:val="es-MX"/>
        </w:rPr>
        <w:t>t</w:t>
      </w:r>
      <w:r w:rsidR="008F00B0" w:rsidRPr="00F604CF">
        <w:rPr>
          <w:rFonts w:cs="Arial"/>
          <w:lang w:val="es-MX"/>
        </w:rPr>
        <w:t>es se registraron como proveedores de gestión educativ</w:t>
      </w:r>
      <w:r w:rsidR="00A90896" w:rsidRPr="00F604CF">
        <w:rPr>
          <w:rFonts w:cs="Arial"/>
          <w:lang w:val="es-MX"/>
        </w:rPr>
        <w:t>a</w:t>
      </w:r>
      <w:r w:rsidR="008F00B0" w:rsidRPr="00F604CF">
        <w:rPr>
          <w:rFonts w:cs="Arial"/>
          <w:lang w:val="es-MX"/>
        </w:rPr>
        <w:t xml:space="preserve"> y planeamiento de proyecci</w:t>
      </w:r>
      <w:r w:rsidR="00A90896" w:rsidRPr="00F604CF">
        <w:rPr>
          <w:rFonts w:cs="Arial"/>
          <w:lang w:val="es-MX"/>
        </w:rPr>
        <w:t>ón</w:t>
      </w:r>
      <w:r w:rsidR="008F00B0" w:rsidRPr="00F604CF">
        <w:rPr>
          <w:rFonts w:cs="Arial"/>
          <w:lang w:val="es-MX"/>
        </w:rPr>
        <w:t xml:space="preserve"> microeducati</w:t>
      </w:r>
      <w:r w:rsidR="00397F96" w:rsidRPr="00F604CF">
        <w:rPr>
          <w:rFonts w:cs="Arial"/>
          <w:lang w:val="es-MX"/>
        </w:rPr>
        <w:t>v</w:t>
      </w:r>
      <w:r w:rsidR="008F00B0" w:rsidRPr="00F604CF">
        <w:rPr>
          <w:rFonts w:cs="Arial"/>
          <w:lang w:val="es-MX"/>
        </w:rPr>
        <w:t>o</w:t>
      </w:r>
      <w:r w:rsidR="000967C5" w:rsidRPr="00F604CF">
        <w:rPr>
          <w:rFonts w:cs="Arial"/>
          <w:lang w:val="es-MX"/>
        </w:rPr>
        <w:t xml:space="preserve"> y que, </w:t>
      </w:r>
      <w:r w:rsidR="00A76A62" w:rsidRPr="00F604CF">
        <w:rPr>
          <w:rFonts w:cs="Arial"/>
          <w:lang w:val="es-MX"/>
        </w:rPr>
        <w:t xml:space="preserve">por </w:t>
      </w:r>
      <w:r w:rsidR="000967C5" w:rsidRPr="00F604CF">
        <w:rPr>
          <w:rFonts w:cs="Arial"/>
          <w:lang w:val="es-MX"/>
        </w:rPr>
        <w:t>tanto</w:t>
      </w:r>
      <w:r w:rsidR="00A76A62" w:rsidRPr="00F604CF">
        <w:rPr>
          <w:rFonts w:cs="Arial"/>
          <w:lang w:val="es-MX"/>
        </w:rPr>
        <w:t>,</w:t>
      </w:r>
      <w:r w:rsidR="000967C5" w:rsidRPr="00F604CF">
        <w:rPr>
          <w:rFonts w:cs="Arial"/>
          <w:lang w:val="es-MX"/>
        </w:rPr>
        <w:t xml:space="preserve"> la sociedad Representaciones y Ediciones </w:t>
      </w:r>
      <w:r w:rsidR="008F00B0" w:rsidRPr="00F604CF">
        <w:rPr>
          <w:rFonts w:cs="Arial"/>
          <w:lang w:val="es-MX"/>
        </w:rPr>
        <w:t xml:space="preserve">Eliber </w:t>
      </w:r>
      <w:r w:rsidR="00A90896" w:rsidRPr="00F604CF">
        <w:rPr>
          <w:rFonts w:cs="Arial"/>
          <w:lang w:val="es-MX"/>
        </w:rPr>
        <w:t>Ltda</w:t>
      </w:r>
      <w:r w:rsidR="000967C5" w:rsidRPr="00F604CF">
        <w:rPr>
          <w:rFonts w:cs="Arial"/>
          <w:lang w:val="es-MX"/>
        </w:rPr>
        <w:t xml:space="preserve">, como el señor </w:t>
      </w:r>
      <w:r w:rsidR="008F00B0" w:rsidRPr="00F604CF">
        <w:rPr>
          <w:rFonts w:cs="Arial"/>
          <w:lang w:val="es-MX"/>
        </w:rPr>
        <w:t xml:space="preserve">Carlos </w:t>
      </w:r>
      <w:r w:rsidR="000967C5" w:rsidRPr="00F604CF">
        <w:rPr>
          <w:rFonts w:cs="Arial"/>
          <w:lang w:val="es-MX"/>
        </w:rPr>
        <w:t xml:space="preserve">Alfredo </w:t>
      </w:r>
      <w:r w:rsidR="008F00B0" w:rsidRPr="00F604CF">
        <w:rPr>
          <w:rFonts w:cs="Arial"/>
          <w:lang w:val="es-MX"/>
        </w:rPr>
        <w:t>Giraldo</w:t>
      </w:r>
      <w:r w:rsidR="00397F96" w:rsidRPr="00F604CF">
        <w:rPr>
          <w:rFonts w:cs="Arial"/>
          <w:lang w:val="es-MX"/>
        </w:rPr>
        <w:t>,</w:t>
      </w:r>
      <w:r w:rsidR="008F00B0" w:rsidRPr="00F604CF">
        <w:rPr>
          <w:rFonts w:cs="Arial"/>
          <w:lang w:val="es-MX"/>
        </w:rPr>
        <w:t xml:space="preserve"> se encontraban dentro de la clasificación 3.10.</w:t>
      </w:r>
    </w:p>
    <w:p w14:paraId="414C8851" w14:textId="77777777" w:rsidR="00A90896" w:rsidRPr="00F604CF" w:rsidRDefault="00A90896" w:rsidP="00F604CF">
      <w:pPr>
        <w:pStyle w:val="Lista2"/>
        <w:ind w:left="0" w:firstLine="0"/>
        <w:rPr>
          <w:rFonts w:cs="Arial"/>
          <w:lang w:val="es-MX"/>
        </w:rPr>
      </w:pPr>
    </w:p>
    <w:p w14:paraId="30165169" w14:textId="77777777" w:rsidR="000967C5" w:rsidRPr="00F604CF" w:rsidRDefault="000967C5" w:rsidP="00F604CF">
      <w:pPr>
        <w:pStyle w:val="Lista2"/>
        <w:ind w:left="0" w:firstLine="0"/>
        <w:rPr>
          <w:rFonts w:cs="Arial"/>
          <w:lang w:val="es-MX"/>
        </w:rPr>
      </w:pPr>
      <w:r w:rsidRPr="00F604CF">
        <w:rPr>
          <w:rFonts w:cs="Arial"/>
          <w:lang w:val="es-MX"/>
        </w:rPr>
        <w:t xml:space="preserve">Con fundamento en lo expuesto, el Tribunal </w:t>
      </w:r>
      <w:r w:rsidRPr="00F604CF">
        <w:rPr>
          <w:rFonts w:cs="Arial"/>
          <w:i/>
          <w:lang w:val="es-MX"/>
        </w:rPr>
        <w:t>a quo</w:t>
      </w:r>
      <w:r w:rsidRPr="00F604CF">
        <w:rPr>
          <w:rFonts w:cs="Arial"/>
          <w:lang w:val="es-MX"/>
        </w:rPr>
        <w:t xml:space="preserve"> denegó las suplicas de la demanda.</w:t>
      </w:r>
    </w:p>
    <w:p w14:paraId="633DF5A5" w14:textId="77777777" w:rsidR="000967C5" w:rsidRPr="00F604CF" w:rsidRDefault="000967C5" w:rsidP="00F604CF">
      <w:pPr>
        <w:pStyle w:val="Lista2"/>
        <w:ind w:left="0" w:firstLine="0"/>
        <w:rPr>
          <w:rFonts w:cs="Arial"/>
          <w:lang w:val="es-MX"/>
        </w:rPr>
      </w:pPr>
    </w:p>
    <w:p w14:paraId="5B05A63D" w14:textId="77777777" w:rsidR="000E6697" w:rsidRPr="00F604CF" w:rsidRDefault="0069251B" w:rsidP="00F604CF">
      <w:pPr>
        <w:pStyle w:val="Lista2"/>
        <w:ind w:left="0" w:firstLine="0"/>
        <w:rPr>
          <w:rFonts w:cs="Arial"/>
          <w:b/>
          <w:lang w:val="es-MX"/>
        </w:rPr>
      </w:pPr>
      <w:r w:rsidRPr="00F604CF">
        <w:rPr>
          <w:rFonts w:cs="Arial"/>
          <w:b/>
          <w:lang w:val="es-MX"/>
        </w:rPr>
        <w:t>5</w:t>
      </w:r>
      <w:r w:rsidR="00C23021" w:rsidRPr="00F604CF">
        <w:rPr>
          <w:rFonts w:cs="Arial"/>
          <w:b/>
          <w:lang w:val="es-MX"/>
        </w:rPr>
        <w:t>.</w:t>
      </w:r>
      <w:r w:rsidR="00A25E83" w:rsidRPr="00F604CF">
        <w:rPr>
          <w:rFonts w:cs="Arial"/>
          <w:b/>
          <w:lang w:val="es-MX"/>
        </w:rPr>
        <w:t xml:space="preserve"> </w:t>
      </w:r>
      <w:r w:rsidR="00484F35" w:rsidRPr="00F604CF">
        <w:rPr>
          <w:rFonts w:cs="Arial"/>
          <w:b/>
          <w:lang w:val="es-MX"/>
        </w:rPr>
        <w:t>El</w:t>
      </w:r>
      <w:r w:rsidR="000E6697" w:rsidRPr="00F604CF">
        <w:rPr>
          <w:rFonts w:cs="Arial"/>
          <w:b/>
          <w:lang w:val="es-MX"/>
        </w:rPr>
        <w:t xml:space="preserve"> recurso de apelación</w:t>
      </w:r>
      <w:r w:rsidR="00F21484" w:rsidRPr="00F604CF">
        <w:rPr>
          <w:rFonts w:cs="Arial"/>
          <w:b/>
          <w:lang w:val="es-MX"/>
        </w:rPr>
        <w:t xml:space="preserve"> </w:t>
      </w:r>
    </w:p>
    <w:p w14:paraId="02C75033" w14:textId="77777777" w:rsidR="000967C5" w:rsidRPr="00F604CF" w:rsidRDefault="000967C5" w:rsidP="00F604CF">
      <w:pPr>
        <w:rPr>
          <w:rFonts w:cs="Arial"/>
          <w:bCs/>
          <w:lang w:val="es-MX"/>
        </w:rPr>
      </w:pPr>
    </w:p>
    <w:p w14:paraId="335C666E" w14:textId="77777777" w:rsidR="00F413C1" w:rsidRPr="00F604CF" w:rsidRDefault="00F413C1" w:rsidP="00F604CF">
      <w:pPr>
        <w:rPr>
          <w:rFonts w:cs="Arial"/>
          <w:bCs/>
          <w:lang w:val="es-MX"/>
        </w:rPr>
      </w:pPr>
      <w:r w:rsidRPr="00F604CF">
        <w:rPr>
          <w:rFonts w:cs="Arial"/>
          <w:bCs/>
          <w:lang w:val="es-MX"/>
        </w:rPr>
        <w:t xml:space="preserve">La parte demandante presentó y sustentó el recurso de apelación mediante escrito </w:t>
      </w:r>
      <w:r w:rsidR="000967C5" w:rsidRPr="00F604CF">
        <w:rPr>
          <w:rFonts w:cs="Arial"/>
          <w:bCs/>
          <w:lang w:val="es-MX"/>
        </w:rPr>
        <w:t xml:space="preserve">radicado </w:t>
      </w:r>
      <w:r w:rsidRPr="00F604CF">
        <w:rPr>
          <w:rFonts w:cs="Arial"/>
          <w:bCs/>
          <w:lang w:val="es-MX"/>
        </w:rPr>
        <w:t>el 3 de julio de 2014. Los motivos de inconformidad con el fallo apelado se expresaron de la siguiente forma</w:t>
      </w:r>
      <w:r w:rsidR="00CB510F" w:rsidRPr="00F604CF">
        <w:rPr>
          <w:rFonts w:cs="Arial"/>
          <w:bCs/>
          <w:lang w:val="es-MX"/>
        </w:rPr>
        <w:t xml:space="preserve"> (se transcribe </w:t>
      </w:r>
      <w:r w:rsidR="004E018B" w:rsidRPr="00F604CF">
        <w:rPr>
          <w:rFonts w:cs="Arial"/>
          <w:bCs/>
          <w:lang w:val="es-MX"/>
        </w:rPr>
        <w:t xml:space="preserve">de forma </w:t>
      </w:r>
      <w:r w:rsidR="00CB510F" w:rsidRPr="00F604CF">
        <w:rPr>
          <w:rFonts w:cs="Arial"/>
          <w:bCs/>
          <w:lang w:val="es-MX"/>
        </w:rPr>
        <w:t>literal, incluso con posibles errores)</w:t>
      </w:r>
      <w:r w:rsidRPr="00F604CF">
        <w:rPr>
          <w:rFonts w:cs="Arial"/>
          <w:bCs/>
          <w:lang w:val="es-MX"/>
        </w:rPr>
        <w:t>:</w:t>
      </w:r>
    </w:p>
    <w:p w14:paraId="7AD262C0" w14:textId="77777777" w:rsidR="00F413C1" w:rsidRPr="00F604CF" w:rsidRDefault="00F413C1" w:rsidP="00F604CF">
      <w:pPr>
        <w:spacing w:line="276" w:lineRule="auto"/>
        <w:rPr>
          <w:rFonts w:cs="Arial"/>
          <w:bCs/>
          <w:i/>
          <w:lang w:val="es-MX"/>
        </w:rPr>
      </w:pPr>
    </w:p>
    <w:p w14:paraId="742359F5" w14:textId="77777777" w:rsidR="00F413C1" w:rsidRPr="00F604CF" w:rsidRDefault="00CB510F" w:rsidP="00F604CF">
      <w:pPr>
        <w:spacing w:line="276" w:lineRule="auto"/>
        <w:rPr>
          <w:rFonts w:cs="Arial"/>
          <w:bCs/>
          <w:i/>
          <w:lang w:val="es-MX"/>
        </w:rPr>
      </w:pPr>
      <w:r w:rsidRPr="00F604CF">
        <w:rPr>
          <w:rFonts w:cs="Arial"/>
          <w:bCs/>
          <w:i/>
          <w:lang w:val="es-MX"/>
        </w:rPr>
        <w:t xml:space="preserve">“Primero: </w:t>
      </w:r>
      <w:r w:rsidR="00713328" w:rsidRPr="00F604CF">
        <w:rPr>
          <w:rFonts w:cs="Arial"/>
          <w:bCs/>
          <w:i/>
          <w:lang w:val="es-MX"/>
        </w:rPr>
        <w:t>El Ho</w:t>
      </w:r>
      <w:r w:rsidR="005C09E6" w:rsidRPr="00F604CF">
        <w:rPr>
          <w:rFonts w:cs="Arial"/>
          <w:bCs/>
          <w:i/>
          <w:lang w:val="es-MX"/>
        </w:rPr>
        <w:t>n</w:t>
      </w:r>
      <w:r w:rsidR="00713328" w:rsidRPr="00F604CF">
        <w:rPr>
          <w:rFonts w:cs="Arial"/>
          <w:bCs/>
          <w:i/>
          <w:lang w:val="es-MX"/>
        </w:rPr>
        <w:t>orable Tribunal manifiesta que el comité evaluador, s</w:t>
      </w:r>
      <w:r w:rsidR="000A161D" w:rsidRPr="00F604CF">
        <w:rPr>
          <w:rFonts w:cs="Arial"/>
          <w:bCs/>
          <w:i/>
          <w:lang w:val="es-MX"/>
        </w:rPr>
        <w:t>í</w:t>
      </w:r>
      <w:r w:rsidR="00713328" w:rsidRPr="00F604CF">
        <w:rPr>
          <w:rFonts w:cs="Arial"/>
          <w:bCs/>
          <w:i/>
          <w:lang w:val="es-MX"/>
        </w:rPr>
        <w:t xml:space="preserve"> tenía</w:t>
      </w:r>
      <w:r w:rsidR="00107902" w:rsidRPr="00F604CF">
        <w:rPr>
          <w:rFonts w:cs="Arial"/>
          <w:bCs/>
          <w:i/>
          <w:lang w:val="es-MX"/>
        </w:rPr>
        <w:t xml:space="preserve"> posibilidad para solicitar a la firma favorecida con la licitación que subsane</w:t>
      </w:r>
      <w:r w:rsidR="00713328" w:rsidRPr="00F604CF">
        <w:rPr>
          <w:rFonts w:cs="Arial"/>
          <w:bCs/>
          <w:i/>
          <w:lang w:val="es-MX"/>
        </w:rPr>
        <w:t xml:space="preserve"> </w:t>
      </w:r>
      <w:r w:rsidRPr="00F604CF">
        <w:rPr>
          <w:rFonts w:cs="Arial"/>
          <w:bCs/>
          <w:i/>
          <w:lang w:val="es-MX"/>
        </w:rPr>
        <w:t>(….)</w:t>
      </w:r>
      <w:r w:rsidR="00107902" w:rsidRPr="00F604CF">
        <w:rPr>
          <w:rFonts w:cs="Arial"/>
          <w:bCs/>
          <w:i/>
          <w:lang w:val="es-MX"/>
        </w:rPr>
        <w:t>.</w:t>
      </w:r>
      <w:r w:rsidRPr="00F604CF">
        <w:rPr>
          <w:rFonts w:cs="Arial"/>
          <w:bCs/>
          <w:i/>
          <w:lang w:val="es-MX"/>
        </w:rPr>
        <w:t xml:space="preserve"> Téngase muy en cuenta que la información financiera, s</w:t>
      </w:r>
      <w:r w:rsidR="000A161D" w:rsidRPr="00F604CF">
        <w:rPr>
          <w:rFonts w:cs="Arial"/>
          <w:bCs/>
          <w:i/>
          <w:lang w:val="es-MX"/>
        </w:rPr>
        <w:t>í</w:t>
      </w:r>
      <w:r w:rsidRPr="00F604CF">
        <w:rPr>
          <w:rFonts w:cs="Arial"/>
          <w:bCs/>
          <w:i/>
          <w:lang w:val="es-MX"/>
        </w:rPr>
        <w:t xml:space="preserve"> tenía capacidad para comparar ofertas, por consiguiente el omite evaluador no ten</w:t>
      </w:r>
      <w:r w:rsidR="00713328" w:rsidRPr="00F604CF">
        <w:rPr>
          <w:rFonts w:cs="Arial"/>
          <w:bCs/>
          <w:i/>
          <w:lang w:val="es-MX"/>
        </w:rPr>
        <w:t>í</w:t>
      </w:r>
      <w:r w:rsidRPr="00F604CF">
        <w:rPr>
          <w:rFonts w:cs="Arial"/>
          <w:bCs/>
          <w:i/>
          <w:lang w:val="es-MX"/>
        </w:rPr>
        <w:t xml:space="preserve">a obligación </w:t>
      </w:r>
      <w:r w:rsidR="00560C5E" w:rsidRPr="00F604CF">
        <w:rPr>
          <w:rFonts w:cs="Arial"/>
          <w:bCs/>
          <w:i/>
          <w:lang w:val="es-MX"/>
        </w:rPr>
        <w:t xml:space="preserve">de solicitarle al </w:t>
      </w:r>
      <w:r w:rsidRPr="00F604CF">
        <w:rPr>
          <w:rFonts w:cs="Arial"/>
          <w:bCs/>
          <w:i/>
          <w:lang w:val="es-MX"/>
        </w:rPr>
        <w:t>c</w:t>
      </w:r>
      <w:r w:rsidR="00560C5E" w:rsidRPr="00F604CF">
        <w:rPr>
          <w:rFonts w:cs="Arial"/>
          <w:bCs/>
          <w:i/>
          <w:lang w:val="es-MX"/>
        </w:rPr>
        <w:t>ontratista que subsane la oferta.// (….) los estados financieros son tan necesarios para la comparación de las ofertas que est</w:t>
      </w:r>
      <w:r w:rsidR="00713328" w:rsidRPr="00F604CF">
        <w:rPr>
          <w:rFonts w:cs="Arial"/>
          <w:bCs/>
          <w:i/>
          <w:lang w:val="es-MX"/>
        </w:rPr>
        <w:t>á</w:t>
      </w:r>
      <w:r w:rsidR="00560C5E" w:rsidRPr="00F604CF">
        <w:rPr>
          <w:rFonts w:cs="Arial"/>
          <w:bCs/>
          <w:i/>
          <w:lang w:val="es-MX"/>
        </w:rPr>
        <w:t>n inclu</w:t>
      </w:r>
      <w:r w:rsidR="00713328" w:rsidRPr="00F604CF">
        <w:rPr>
          <w:rFonts w:cs="Arial"/>
          <w:bCs/>
          <w:i/>
          <w:lang w:val="es-MX"/>
        </w:rPr>
        <w:t>i</w:t>
      </w:r>
      <w:r w:rsidR="00560C5E" w:rsidRPr="00F604CF">
        <w:rPr>
          <w:rFonts w:cs="Arial"/>
          <w:bCs/>
          <w:i/>
          <w:lang w:val="es-MX"/>
        </w:rPr>
        <w:t>dos dentro del acápite de evaluación de la propuestas</w:t>
      </w:r>
      <w:r w:rsidR="00713328" w:rsidRPr="00F604CF">
        <w:rPr>
          <w:rFonts w:cs="Arial"/>
          <w:bCs/>
          <w:i/>
          <w:lang w:val="es-MX"/>
        </w:rPr>
        <w:t xml:space="preserve"> con sendas cláusulas de rechazo (…)”</w:t>
      </w:r>
      <w:r w:rsidR="00560C5E" w:rsidRPr="00F604CF">
        <w:rPr>
          <w:rStyle w:val="Refdenotaalpie"/>
          <w:rFonts w:cs="Arial"/>
          <w:bCs/>
          <w:i/>
          <w:lang w:val="es-MX"/>
        </w:rPr>
        <w:footnoteReference w:id="16"/>
      </w:r>
      <w:r w:rsidR="00713328" w:rsidRPr="00F604CF">
        <w:rPr>
          <w:rFonts w:cs="Arial"/>
          <w:bCs/>
          <w:i/>
          <w:lang w:val="es-MX"/>
        </w:rPr>
        <w:t>.</w:t>
      </w:r>
    </w:p>
    <w:p w14:paraId="0B3EEFBD" w14:textId="77777777" w:rsidR="00713328" w:rsidRPr="00F604CF" w:rsidRDefault="00713328" w:rsidP="00F604CF">
      <w:pPr>
        <w:spacing w:line="276" w:lineRule="auto"/>
        <w:rPr>
          <w:rFonts w:cs="Arial"/>
          <w:bCs/>
          <w:i/>
          <w:lang w:val="es-MX"/>
        </w:rPr>
      </w:pPr>
    </w:p>
    <w:p w14:paraId="087FD026" w14:textId="77777777" w:rsidR="004108AC" w:rsidRPr="00F604CF" w:rsidRDefault="00107902" w:rsidP="00F604CF">
      <w:pPr>
        <w:spacing w:line="276" w:lineRule="auto"/>
        <w:rPr>
          <w:rFonts w:cs="Arial"/>
          <w:bCs/>
          <w:lang w:val="es-MX"/>
        </w:rPr>
      </w:pPr>
      <w:r w:rsidRPr="00F604CF">
        <w:rPr>
          <w:rFonts w:cs="Arial"/>
          <w:bCs/>
          <w:i/>
          <w:lang w:val="es-MX"/>
        </w:rPr>
        <w:t xml:space="preserve">“Segundo: (…) a simple vista pareciera que el oferente corrigió la oferta en el plazo estipulado, no obstante dentro de los documentos con los que corrige presenta uno expedido por un profesional de la contaduría pública </w:t>
      </w:r>
      <w:r w:rsidR="004108AC" w:rsidRPr="00F604CF">
        <w:rPr>
          <w:rFonts w:cs="Arial"/>
          <w:bCs/>
          <w:i/>
          <w:lang w:val="es-MX"/>
        </w:rPr>
        <w:t xml:space="preserve"> del día 5 de septiembre, es decir que realizó la subsanación después del plazo (</w:t>
      </w:r>
      <w:r w:rsidR="007E3B3A" w:rsidRPr="00F604CF">
        <w:rPr>
          <w:rFonts w:cs="Arial"/>
          <w:bCs/>
          <w:i/>
          <w:lang w:val="es-MX"/>
        </w:rPr>
        <w:t>..</w:t>
      </w:r>
      <w:r w:rsidR="004108AC" w:rsidRPr="00F604CF">
        <w:rPr>
          <w:rFonts w:cs="Arial"/>
          <w:bCs/>
          <w:i/>
          <w:lang w:val="es-MX"/>
        </w:rPr>
        <w:t>.).</w:t>
      </w:r>
    </w:p>
    <w:p w14:paraId="2A60F4E8" w14:textId="77777777" w:rsidR="004108AC" w:rsidRPr="00F604CF" w:rsidRDefault="004108AC" w:rsidP="00F604CF">
      <w:pPr>
        <w:spacing w:line="276" w:lineRule="auto"/>
        <w:rPr>
          <w:rFonts w:cs="Arial"/>
          <w:bCs/>
          <w:lang w:val="es-MX"/>
        </w:rPr>
      </w:pPr>
    </w:p>
    <w:p w14:paraId="64A03D79" w14:textId="77777777" w:rsidR="006E2C08" w:rsidRPr="00F604CF" w:rsidRDefault="004108AC" w:rsidP="00F604CF">
      <w:pPr>
        <w:spacing w:line="276" w:lineRule="auto"/>
        <w:rPr>
          <w:rFonts w:cs="Arial"/>
          <w:bCs/>
          <w:lang w:val="es-MX"/>
        </w:rPr>
      </w:pPr>
      <w:r w:rsidRPr="00F604CF">
        <w:rPr>
          <w:rFonts w:cs="Arial"/>
          <w:bCs/>
          <w:lang w:val="es-MX"/>
        </w:rPr>
        <w:t>“</w:t>
      </w:r>
      <w:r w:rsidRPr="00F604CF">
        <w:rPr>
          <w:rFonts w:cs="Arial"/>
          <w:bCs/>
          <w:i/>
          <w:lang w:val="es-MX"/>
        </w:rPr>
        <w:t>Tercero: Igual acontece con los documentos necesarios para la acreditación de la experiencia específica, que por tratarse de documentos necesarios para la comparación de ofertas, no podía subsanarse</w:t>
      </w:r>
      <w:r w:rsidR="006E2C08" w:rsidRPr="00F604CF">
        <w:rPr>
          <w:rFonts w:cs="Arial"/>
          <w:bCs/>
          <w:i/>
          <w:lang w:val="es-MX"/>
        </w:rPr>
        <w:t>, así lo dice el pliego de condiciones (…).</w:t>
      </w:r>
    </w:p>
    <w:p w14:paraId="726338F3" w14:textId="77777777" w:rsidR="006E2C08" w:rsidRPr="00F604CF" w:rsidRDefault="006E2C08" w:rsidP="00F604CF">
      <w:pPr>
        <w:spacing w:line="276" w:lineRule="auto"/>
        <w:rPr>
          <w:rFonts w:cs="Arial"/>
          <w:bCs/>
          <w:lang w:val="es-MX"/>
        </w:rPr>
      </w:pPr>
    </w:p>
    <w:p w14:paraId="638CB4FE" w14:textId="77777777" w:rsidR="000967C5" w:rsidRPr="00F604CF" w:rsidRDefault="006E2C08" w:rsidP="00F604CF">
      <w:pPr>
        <w:spacing w:line="276" w:lineRule="auto"/>
        <w:rPr>
          <w:rFonts w:cs="Arial"/>
          <w:bCs/>
          <w:lang w:val="es-MX"/>
        </w:rPr>
      </w:pPr>
      <w:r w:rsidRPr="00F604CF">
        <w:rPr>
          <w:rFonts w:cs="Arial"/>
          <w:bCs/>
          <w:lang w:val="es-MX"/>
        </w:rPr>
        <w:t>”</w:t>
      </w:r>
      <w:r w:rsidRPr="00F604CF">
        <w:rPr>
          <w:rFonts w:cs="Arial"/>
          <w:bCs/>
          <w:i/>
          <w:lang w:val="es-MX"/>
        </w:rPr>
        <w:t>Cuarto: Todos los cargos relacionados son el RUP, el Tribunal los desestimó d</w:t>
      </w:r>
      <w:r w:rsidR="00E83FEB" w:rsidRPr="00F604CF">
        <w:rPr>
          <w:rFonts w:cs="Arial"/>
          <w:bCs/>
          <w:i/>
          <w:lang w:val="es-MX"/>
        </w:rPr>
        <w:t>e</w:t>
      </w:r>
      <w:r w:rsidRPr="00F604CF">
        <w:rPr>
          <w:rFonts w:cs="Arial"/>
          <w:bCs/>
          <w:i/>
          <w:lang w:val="es-MX"/>
        </w:rPr>
        <w:t xml:space="preserve"> la manera más simple (…)”.</w:t>
      </w:r>
      <w:r w:rsidRPr="00F604CF">
        <w:rPr>
          <w:rFonts w:cs="Arial"/>
          <w:bCs/>
          <w:lang w:val="es-MX"/>
        </w:rPr>
        <w:t xml:space="preserve"> </w:t>
      </w:r>
    </w:p>
    <w:p w14:paraId="280851B6" w14:textId="77777777" w:rsidR="000967C5" w:rsidRPr="00F604CF" w:rsidRDefault="000967C5" w:rsidP="00F604CF">
      <w:pPr>
        <w:spacing w:line="276" w:lineRule="auto"/>
        <w:rPr>
          <w:rFonts w:cs="Arial"/>
          <w:bCs/>
          <w:lang w:val="es-MX"/>
        </w:rPr>
      </w:pPr>
    </w:p>
    <w:p w14:paraId="623379FF" w14:textId="77777777" w:rsidR="000967C5" w:rsidRPr="00F604CF" w:rsidRDefault="00E83FEB" w:rsidP="00F604CF">
      <w:pPr>
        <w:rPr>
          <w:rFonts w:cs="Arial"/>
          <w:bCs/>
          <w:lang w:val="es-MX"/>
        </w:rPr>
      </w:pPr>
      <w:r w:rsidRPr="00F604CF">
        <w:rPr>
          <w:rFonts w:cs="Arial"/>
          <w:bCs/>
          <w:lang w:val="es-MX"/>
        </w:rPr>
        <w:t>En este punto el apelante r</w:t>
      </w:r>
      <w:r w:rsidR="006E2C08" w:rsidRPr="00F604CF">
        <w:rPr>
          <w:rFonts w:cs="Arial"/>
          <w:bCs/>
          <w:lang w:val="es-MX"/>
        </w:rPr>
        <w:t>eiteró los argumentos de la demanda</w:t>
      </w:r>
      <w:r w:rsidR="008440C4" w:rsidRPr="00F604CF">
        <w:rPr>
          <w:rFonts w:cs="Arial"/>
          <w:bCs/>
          <w:lang w:val="es-MX"/>
        </w:rPr>
        <w:t xml:space="preserve">, en cuanto que algunos de los integrantes de la Unión Temporal no acreditaron el formulario 3 que era requisito indispensable para establecer el </w:t>
      </w:r>
      <w:r w:rsidR="004F003A" w:rsidRPr="00F604CF">
        <w:rPr>
          <w:rFonts w:cs="Arial"/>
          <w:bCs/>
          <w:lang w:val="es-MX"/>
        </w:rPr>
        <w:t xml:space="preserve">valor del </w:t>
      </w:r>
      <w:r w:rsidR="008440C4" w:rsidRPr="00F604CF">
        <w:rPr>
          <w:rFonts w:cs="Arial"/>
          <w:bCs/>
          <w:i/>
          <w:lang w:val="es-MX"/>
        </w:rPr>
        <w:t>K residual</w:t>
      </w:r>
      <w:r w:rsidR="008440C4" w:rsidRPr="00F604CF">
        <w:rPr>
          <w:rFonts w:cs="Arial"/>
          <w:bCs/>
          <w:lang w:val="es-MX"/>
        </w:rPr>
        <w:t xml:space="preserve"> igual o superior a 2622 SMMLV, de acuerdo con lo exigido por el numeral 1.23 del pliego</w:t>
      </w:r>
      <w:r w:rsidR="004F003A" w:rsidRPr="00F604CF">
        <w:rPr>
          <w:rFonts w:cs="Arial"/>
          <w:bCs/>
          <w:lang w:val="es-MX"/>
        </w:rPr>
        <w:t xml:space="preserve"> de condiciones</w:t>
      </w:r>
      <w:r w:rsidR="008440C4" w:rsidRPr="00F604CF">
        <w:rPr>
          <w:rFonts w:cs="Arial"/>
          <w:bCs/>
          <w:lang w:val="es-MX"/>
        </w:rPr>
        <w:t>, so pena de rechazo de la oferta respectiva</w:t>
      </w:r>
      <w:r w:rsidR="000967C5" w:rsidRPr="00F604CF">
        <w:rPr>
          <w:rFonts w:cs="Arial"/>
          <w:bCs/>
          <w:lang w:val="es-MX"/>
        </w:rPr>
        <w:t xml:space="preserve">. </w:t>
      </w:r>
    </w:p>
    <w:p w14:paraId="6BDC2565" w14:textId="77777777" w:rsidR="000967C5" w:rsidRPr="00F604CF" w:rsidRDefault="000967C5" w:rsidP="00F604CF">
      <w:pPr>
        <w:rPr>
          <w:rFonts w:cs="Arial"/>
          <w:bCs/>
          <w:lang w:val="es-MX"/>
        </w:rPr>
      </w:pPr>
    </w:p>
    <w:p w14:paraId="779373E5" w14:textId="77777777" w:rsidR="00C62761" w:rsidRPr="00F604CF" w:rsidRDefault="000967C5" w:rsidP="00F604CF">
      <w:pPr>
        <w:rPr>
          <w:rFonts w:cs="Arial"/>
          <w:bCs/>
          <w:lang w:val="es-MX"/>
        </w:rPr>
      </w:pPr>
      <w:r w:rsidRPr="00F604CF">
        <w:rPr>
          <w:rFonts w:cs="Arial"/>
          <w:bCs/>
          <w:lang w:val="es-MX"/>
        </w:rPr>
        <w:t>R</w:t>
      </w:r>
      <w:r w:rsidR="00507B46" w:rsidRPr="00F604CF">
        <w:rPr>
          <w:rFonts w:cs="Arial"/>
          <w:bCs/>
          <w:lang w:val="es-MX"/>
        </w:rPr>
        <w:t xml:space="preserve">eseñó </w:t>
      </w:r>
      <w:r w:rsidR="00E83FEB" w:rsidRPr="00F604CF">
        <w:rPr>
          <w:rFonts w:cs="Arial"/>
          <w:bCs/>
          <w:lang w:val="es-MX"/>
        </w:rPr>
        <w:t xml:space="preserve">que tres de </w:t>
      </w:r>
      <w:r w:rsidR="00507B46" w:rsidRPr="00F604CF">
        <w:rPr>
          <w:rFonts w:cs="Arial"/>
          <w:bCs/>
          <w:lang w:val="es-MX"/>
        </w:rPr>
        <w:t xml:space="preserve">los partícipes de la UT Calimeño, </w:t>
      </w:r>
      <w:r w:rsidR="00E83FEB" w:rsidRPr="00F604CF">
        <w:rPr>
          <w:rFonts w:cs="Arial"/>
          <w:bCs/>
          <w:lang w:val="es-MX"/>
        </w:rPr>
        <w:t>según los estados financieros eras con</w:t>
      </w:r>
      <w:r w:rsidR="00F76754" w:rsidRPr="00F604CF">
        <w:rPr>
          <w:rFonts w:cs="Arial"/>
          <w:bCs/>
          <w:lang w:val="es-MX"/>
        </w:rPr>
        <w:t>s</w:t>
      </w:r>
      <w:r w:rsidR="00E83FEB" w:rsidRPr="00F604CF">
        <w:rPr>
          <w:rFonts w:cs="Arial"/>
          <w:bCs/>
          <w:lang w:val="es-MX"/>
        </w:rPr>
        <w:t>tructores de obra civil pero en el R</w:t>
      </w:r>
      <w:r w:rsidR="00625402" w:rsidRPr="00F604CF">
        <w:rPr>
          <w:rFonts w:cs="Arial"/>
          <w:bCs/>
          <w:lang w:val="es-MX"/>
        </w:rPr>
        <w:t>.</w:t>
      </w:r>
      <w:r w:rsidR="00E83FEB" w:rsidRPr="00F604CF">
        <w:rPr>
          <w:rFonts w:cs="Arial"/>
          <w:bCs/>
          <w:lang w:val="es-MX"/>
        </w:rPr>
        <w:t>U</w:t>
      </w:r>
      <w:r w:rsidR="00625402" w:rsidRPr="00F604CF">
        <w:rPr>
          <w:rFonts w:cs="Arial"/>
          <w:bCs/>
          <w:lang w:val="es-MX"/>
        </w:rPr>
        <w:t>.</w:t>
      </w:r>
      <w:r w:rsidR="00E83FEB" w:rsidRPr="00F604CF">
        <w:rPr>
          <w:rFonts w:cs="Arial"/>
          <w:bCs/>
          <w:lang w:val="es-MX"/>
        </w:rPr>
        <w:t>P</w:t>
      </w:r>
      <w:r w:rsidR="00625402" w:rsidRPr="00F604CF">
        <w:rPr>
          <w:rFonts w:cs="Arial"/>
          <w:bCs/>
          <w:lang w:val="es-MX"/>
        </w:rPr>
        <w:t>.</w:t>
      </w:r>
      <w:r w:rsidR="00E83FEB" w:rsidRPr="00F604CF">
        <w:rPr>
          <w:rFonts w:cs="Arial"/>
          <w:bCs/>
          <w:lang w:val="es-MX"/>
        </w:rPr>
        <w:t xml:space="preserve"> se clasifica</w:t>
      </w:r>
      <w:r w:rsidR="00716D32" w:rsidRPr="00F604CF">
        <w:rPr>
          <w:rFonts w:cs="Arial"/>
          <w:bCs/>
          <w:lang w:val="es-MX"/>
        </w:rPr>
        <w:t>ron</w:t>
      </w:r>
      <w:r w:rsidR="00E83FEB" w:rsidRPr="00F604CF">
        <w:rPr>
          <w:rFonts w:cs="Arial"/>
          <w:bCs/>
          <w:lang w:val="es-MX"/>
        </w:rPr>
        <w:t xml:space="preserve"> como proveedores de textos escolares</w:t>
      </w:r>
      <w:r w:rsidR="00F76754" w:rsidRPr="00F604CF">
        <w:rPr>
          <w:rFonts w:cs="Arial"/>
          <w:bCs/>
          <w:lang w:val="es-MX"/>
        </w:rPr>
        <w:t>,</w:t>
      </w:r>
      <w:r w:rsidR="00716D32" w:rsidRPr="00F604CF">
        <w:rPr>
          <w:rFonts w:cs="Arial"/>
          <w:bCs/>
          <w:lang w:val="es-MX"/>
        </w:rPr>
        <w:t xml:space="preserve"> educativos y pedagógicos</w:t>
      </w:r>
      <w:r w:rsidR="00C62761" w:rsidRPr="00F604CF">
        <w:rPr>
          <w:rFonts w:cs="Arial"/>
          <w:bCs/>
          <w:lang w:val="es-MX"/>
        </w:rPr>
        <w:t>.</w:t>
      </w:r>
    </w:p>
    <w:p w14:paraId="6ED22115" w14:textId="77777777" w:rsidR="00C62761" w:rsidRPr="00F604CF" w:rsidRDefault="00C62761" w:rsidP="00F604CF">
      <w:pPr>
        <w:rPr>
          <w:rFonts w:cs="Arial"/>
          <w:bCs/>
          <w:lang w:val="es-MX"/>
        </w:rPr>
      </w:pPr>
    </w:p>
    <w:p w14:paraId="0E4C1D71" w14:textId="77777777" w:rsidR="000967C5" w:rsidRPr="00F604CF" w:rsidRDefault="00C62761" w:rsidP="00F604CF">
      <w:pPr>
        <w:rPr>
          <w:rFonts w:cs="Arial"/>
          <w:bCs/>
          <w:lang w:val="es-MX"/>
        </w:rPr>
      </w:pPr>
      <w:r w:rsidRPr="00F604CF">
        <w:rPr>
          <w:rFonts w:cs="Arial"/>
          <w:bCs/>
          <w:lang w:val="es-MX"/>
        </w:rPr>
        <w:t>Acerca de la prueba</w:t>
      </w:r>
      <w:r w:rsidR="000967C5" w:rsidRPr="00F604CF">
        <w:rPr>
          <w:rFonts w:cs="Arial"/>
          <w:bCs/>
          <w:lang w:val="es-MX"/>
        </w:rPr>
        <w:t xml:space="preserve"> </w:t>
      </w:r>
      <w:r w:rsidRPr="00F604CF">
        <w:rPr>
          <w:rFonts w:cs="Arial"/>
          <w:bCs/>
          <w:lang w:val="es-MX"/>
        </w:rPr>
        <w:t xml:space="preserve">allegada en el procedimiento de licitación, el apelante </w:t>
      </w:r>
      <w:r w:rsidR="000967C5" w:rsidRPr="00F604CF">
        <w:rPr>
          <w:rFonts w:cs="Arial"/>
          <w:bCs/>
          <w:lang w:val="es-MX"/>
        </w:rPr>
        <w:t>agregó</w:t>
      </w:r>
      <w:r w:rsidR="000A161D" w:rsidRPr="00F604CF">
        <w:rPr>
          <w:rFonts w:cs="Arial"/>
          <w:bCs/>
          <w:lang w:val="es-MX"/>
        </w:rPr>
        <w:t xml:space="preserve"> (se transcribe de forma literal, incluso con posibles errores)</w:t>
      </w:r>
      <w:r w:rsidR="000967C5" w:rsidRPr="00F604CF">
        <w:rPr>
          <w:rFonts w:cs="Arial"/>
          <w:bCs/>
          <w:lang w:val="es-MX"/>
        </w:rPr>
        <w:t>:</w:t>
      </w:r>
      <w:r w:rsidR="00F76754" w:rsidRPr="00F604CF">
        <w:rPr>
          <w:rFonts w:cs="Arial"/>
          <w:bCs/>
          <w:lang w:val="es-MX"/>
        </w:rPr>
        <w:t xml:space="preserve"> </w:t>
      </w:r>
    </w:p>
    <w:p w14:paraId="19122071" w14:textId="77777777" w:rsidR="000967C5" w:rsidRPr="00F604CF" w:rsidRDefault="000967C5" w:rsidP="00F604CF">
      <w:pPr>
        <w:spacing w:line="276" w:lineRule="auto"/>
        <w:rPr>
          <w:rFonts w:cs="Arial"/>
          <w:bCs/>
          <w:lang w:val="es-MX"/>
        </w:rPr>
      </w:pPr>
    </w:p>
    <w:p w14:paraId="67733EDA" w14:textId="77777777" w:rsidR="005863F8" w:rsidRPr="00F604CF" w:rsidRDefault="00F76754" w:rsidP="00F604CF">
      <w:pPr>
        <w:spacing w:line="276" w:lineRule="auto"/>
        <w:rPr>
          <w:rFonts w:cs="Arial"/>
          <w:bCs/>
          <w:i/>
          <w:lang w:val="es-MX"/>
        </w:rPr>
      </w:pPr>
      <w:r w:rsidRPr="00F604CF">
        <w:rPr>
          <w:rFonts w:cs="Arial"/>
          <w:bCs/>
          <w:i/>
          <w:lang w:val="es-MX"/>
        </w:rPr>
        <w:t>“</w:t>
      </w:r>
      <w:r w:rsidR="000967C5" w:rsidRPr="00F604CF">
        <w:rPr>
          <w:rFonts w:cs="Arial"/>
          <w:bCs/>
          <w:i/>
          <w:lang w:val="es-MX"/>
        </w:rPr>
        <w:t xml:space="preserve">(…) </w:t>
      </w:r>
      <w:r w:rsidRPr="00F604CF">
        <w:rPr>
          <w:rFonts w:cs="Arial"/>
          <w:bCs/>
          <w:i/>
          <w:u w:val="single"/>
          <w:lang w:val="es-MX"/>
        </w:rPr>
        <w:t>m</w:t>
      </w:r>
      <w:r w:rsidR="00507B46" w:rsidRPr="00F604CF">
        <w:rPr>
          <w:rFonts w:cs="Arial"/>
          <w:bCs/>
          <w:i/>
          <w:u w:val="single"/>
          <w:lang w:val="es-MX"/>
        </w:rPr>
        <w:t>á</w:t>
      </w:r>
      <w:r w:rsidRPr="00F604CF">
        <w:rPr>
          <w:rFonts w:cs="Arial"/>
          <w:bCs/>
          <w:i/>
          <w:u w:val="single"/>
          <w:lang w:val="es-MX"/>
        </w:rPr>
        <w:t xml:space="preserve">s sin embargo la entidad no tuvo en cuenta esta </w:t>
      </w:r>
      <w:r w:rsidR="00507B46" w:rsidRPr="00F604CF">
        <w:rPr>
          <w:rFonts w:cs="Arial"/>
          <w:bCs/>
          <w:i/>
          <w:u w:val="single"/>
          <w:lang w:val="es-MX"/>
        </w:rPr>
        <w:t>c</w:t>
      </w:r>
      <w:r w:rsidRPr="00F604CF">
        <w:rPr>
          <w:rFonts w:cs="Arial"/>
          <w:bCs/>
          <w:i/>
          <w:u w:val="single"/>
          <w:lang w:val="es-MX"/>
        </w:rPr>
        <w:t xml:space="preserve">ircunstancia y asumió por bien acreditada la capacidad de participación de la UT </w:t>
      </w:r>
      <w:r w:rsidR="00507B46" w:rsidRPr="00F604CF">
        <w:rPr>
          <w:rFonts w:cs="Arial"/>
          <w:bCs/>
          <w:i/>
          <w:u w:val="single"/>
          <w:lang w:val="es-MX"/>
        </w:rPr>
        <w:t xml:space="preserve"> (…) raya a la vista que es perjuria, quimera, falsa y apócrifa la información (…)</w:t>
      </w:r>
      <w:r w:rsidR="00507B46" w:rsidRPr="00F604CF">
        <w:rPr>
          <w:rFonts w:cs="Arial"/>
          <w:bCs/>
          <w:i/>
          <w:lang w:val="es-MX"/>
        </w:rPr>
        <w:t>.</w:t>
      </w:r>
      <w:r w:rsidR="00716D32" w:rsidRPr="00F604CF">
        <w:rPr>
          <w:rFonts w:cs="Arial"/>
          <w:bCs/>
          <w:i/>
          <w:lang w:val="es-MX"/>
        </w:rPr>
        <w:t xml:space="preserve"> // (…) estas circunstancias narradas son causales de nulidad de los contratos</w:t>
      </w:r>
      <w:r w:rsidR="005863F8" w:rsidRPr="00F604CF">
        <w:rPr>
          <w:rFonts w:cs="Arial"/>
          <w:bCs/>
          <w:i/>
          <w:lang w:val="es-MX"/>
        </w:rPr>
        <w:t>, pues denotan manipulación de documentos y también presunto fraude</w:t>
      </w:r>
      <w:r w:rsidR="00A210BA" w:rsidRPr="00F604CF">
        <w:rPr>
          <w:rFonts w:cs="Arial"/>
          <w:bCs/>
          <w:i/>
          <w:lang w:val="es-MX"/>
        </w:rPr>
        <w:t xml:space="preserve"> (…).</w:t>
      </w:r>
    </w:p>
    <w:p w14:paraId="4B3F2D0D" w14:textId="77777777" w:rsidR="005863F8" w:rsidRPr="00F604CF" w:rsidRDefault="005863F8" w:rsidP="00F604CF">
      <w:pPr>
        <w:spacing w:line="276" w:lineRule="auto"/>
        <w:rPr>
          <w:rFonts w:cs="Arial"/>
          <w:bCs/>
          <w:i/>
          <w:lang w:val="es-MX"/>
        </w:rPr>
      </w:pPr>
    </w:p>
    <w:p w14:paraId="51B02F3A" w14:textId="77777777" w:rsidR="00560C5E" w:rsidRPr="00F604CF" w:rsidRDefault="005C09E6" w:rsidP="00F604CF">
      <w:pPr>
        <w:spacing w:line="276" w:lineRule="auto"/>
        <w:rPr>
          <w:rFonts w:cs="Arial"/>
          <w:bCs/>
          <w:lang w:val="es-MX"/>
        </w:rPr>
      </w:pPr>
      <w:r w:rsidRPr="00F604CF">
        <w:rPr>
          <w:rFonts w:cs="Arial"/>
          <w:bCs/>
          <w:i/>
          <w:lang w:val="es-MX"/>
        </w:rPr>
        <w:t>“</w:t>
      </w:r>
      <w:r w:rsidR="005863F8" w:rsidRPr="00F604CF">
        <w:rPr>
          <w:rFonts w:cs="Arial"/>
          <w:bCs/>
          <w:i/>
          <w:lang w:val="es-MX"/>
        </w:rPr>
        <w:t xml:space="preserve">Quinto: Respecto de la oferta del señor RAMIRO RIVERA RAMÍREZ sí aparece en </w:t>
      </w:r>
      <w:r w:rsidR="00D650F7" w:rsidRPr="00F604CF">
        <w:rPr>
          <w:rFonts w:cs="Arial"/>
          <w:bCs/>
          <w:i/>
          <w:lang w:val="es-MX"/>
        </w:rPr>
        <w:t>el</w:t>
      </w:r>
      <w:r w:rsidR="005863F8" w:rsidRPr="00F604CF">
        <w:rPr>
          <w:rFonts w:cs="Arial"/>
          <w:bCs/>
          <w:i/>
          <w:lang w:val="es-MX"/>
        </w:rPr>
        <w:t xml:space="preserve"> plenario una prueba  que no fue valorada por el Honorable Tribunal</w:t>
      </w:r>
      <w:r w:rsidR="00503B80" w:rsidRPr="00F604CF">
        <w:rPr>
          <w:rFonts w:cs="Arial"/>
          <w:bCs/>
          <w:i/>
          <w:lang w:val="es-MX"/>
        </w:rPr>
        <w:t>, y con la que se acredita que la oferta de mi cliente si era la mejor (….). // No existe norma legal que obligue a las personas naturales tener Revisor Fiscal</w:t>
      </w:r>
      <w:r w:rsidR="00D650F7" w:rsidRPr="00F604CF">
        <w:rPr>
          <w:rFonts w:cs="Arial"/>
          <w:bCs/>
          <w:i/>
          <w:lang w:val="es-MX"/>
        </w:rPr>
        <w:t>, por lo que mi poderdante aportó con su oferta la opinión de un contador público independiente (….</w:t>
      </w:r>
      <w:r w:rsidR="00D650F7" w:rsidRPr="00F604CF">
        <w:rPr>
          <w:rFonts w:cs="Arial"/>
          <w:bCs/>
          <w:lang w:val="es-MX"/>
        </w:rPr>
        <w:t>)</w:t>
      </w:r>
      <w:r w:rsidR="00466AB1" w:rsidRPr="00F604CF">
        <w:rPr>
          <w:rFonts w:cs="Arial"/>
          <w:bCs/>
          <w:lang w:val="es-MX"/>
        </w:rPr>
        <w:t xml:space="preserve"> </w:t>
      </w:r>
      <w:r w:rsidR="00A2357B" w:rsidRPr="00F604CF">
        <w:rPr>
          <w:rFonts w:cs="Arial"/>
          <w:bCs/>
          <w:i/>
          <w:lang w:val="es-MX"/>
        </w:rPr>
        <w:t xml:space="preserve">y valorado en el acta de evaluación, adjudicándole un segundo lugar, </w:t>
      </w:r>
      <w:r w:rsidR="00A2357B" w:rsidRPr="00F604CF">
        <w:rPr>
          <w:rFonts w:cs="Arial"/>
          <w:bCs/>
          <w:lang w:val="es-MX"/>
        </w:rPr>
        <w:t>[lo que]</w:t>
      </w:r>
      <w:r w:rsidR="00A2357B" w:rsidRPr="00F604CF">
        <w:rPr>
          <w:rFonts w:cs="Arial"/>
          <w:bCs/>
          <w:i/>
          <w:lang w:val="es-MX"/>
        </w:rPr>
        <w:t xml:space="preserve"> deja sin base jurídica al Honorable Tribunal para afirmar como lo hizo, que la oferta del demandante ‘no era viable</w:t>
      </w:r>
      <w:r w:rsidR="009608F6" w:rsidRPr="00F604CF">
        <w:rPr>
          <w:rFonts w:cs="Arial"/>
          <w:bCs/>
          <w:i/>
          <w:lang w:val="es-MX"/>
        </w:rPr>
        <w:t>’</w:t>
      </w:r>
      <w:r w:rsidR="000967C5" w:rsidRPr="00F604CF">
        <w:rPr>
          <w:rFonts w:cs="Arial"/>
          <w:bCs/>
          <w:i/>
          <w:lang w:val="es-MX"/>
        </w:rPr>
        <w:t xml:space="preserve"> (…)</w:t>
      </w:r>
      <w:r w:rsidR="001F3321" w:rsidRPr="00F604CF">
        <w:rPr>
          <w:rFonts w:cs="Arial"/>
          <w:bCs/>
          <w:i/>
          <w:lang w:val="es-MX"/>
        </w:rPr>
        <w:t>”</w:t>
      </w:r>
      <w:r w:rsidR="000967C5" w:rsidRPr="00F604CF">
        <w:rPr>
          <w:rFonts w:cs="Arial"/>
          <w:bCs/>
          <w:i/>
          <w:lang w:val="es-MX"/>
        </w:rPr>
        <w:t>.</w:t>
      </w:r>
    </w:p>
    <w:p w14:paraId="6F10A64C" w14:textId="77777777" w:rsidR="00771917" w:rsidRPr="00F604CF" w:rsidRDefault="00771917" w:rsidP="00F604CF">
      <w:pPr>
        <w:rPr>
          <w:rFonts w:cs="Arial"/>
          <w:bCs/>
          <w:lang w:val="es-MX"/>
        </w:rPr>
      </w:pPr>
    </w:p>
    <w:p w14:paraId="6CC8B6D4" w14:textId="77777777" w:rsidR="00771917" w:rsidRPr="00F604CF" w:rsidRDefault="005F7E94" w:rsidP="00F604CF">
      <w:pPr>
        <w:rPr>
          <w:rFonts w:cs="Arial"/>
          <w:b/>
          <w:bCs/>
          <w:lang w:val="es-MX"/>
        </w:rPr>
      </w:pPr>
      <w:r w:rsidRPr="00F604CF">
        <w:rPr>
          <w:rFonts w:cs="Arial"/>
          <w:b/>
          <w:bCs/>
          <w:lang w:val="es-MX"/>
        </w:rPr>
        <w:t>6.</w:t>
      </w:r>
      <w:r w:rsidR="00B82FEE" w:rsidRPr="00F604CF">
        <w:rPr>
          <w:rFonts w:cs="Arial"/>
          <w:b/>
          <w:bCs/>
          <w:lang w:val="es-MX"/>
        </w:rPr>
        <w:t xml:space="preserve"> </w:t>
      </w:r>
      <w:r w:rsidR="007B4785" w:rsidRPr="00F604CF">
        <w:rPr>
          <w:rFonts w:cs="Arial"/>
          <w:b/>
          <w:bCs/>
          <w:lang w:val="es-MX"/>
        </w:rPr>
        <w:t>Alegatos en segunda instancia</w:t>
      </w:r>
    </w:p>
    <w:p w14:paraId="6B1AE1B8" w14:textId="77777777" w:rsidR="00166A56" w:rsidRPr="00F604CF" w:rsidRDefault="00166A56" w:rsidP="00F604CF">
      <w:pPr>
        <w:rPr>
          <w:rFonts w:cs="Arial"/>
          <w:bCs/>
          <w:lang w:val="es-MX"/>
        </w:rPr>
      </w:pPr>
    </w:p>
    <w:p w14:paraId="01522FAE" w14:textId="77777777" w:rsidR="00034C1E" w:rsidRPr="00F604CF" w:rsidRDefault="00034C1E" w:rsidP="00F604CF">
      <w:pPr>
        <w:rPr>
          <w:rFonts w:cs="Arial"/>
          <w:bCs/>
          <w:lang w:val="es-MX"/>
        </w:rPr>
      </w:pPr>
      <w:r w:rsidRPr="00F604CF">
        <w:rPr>
          <w:rFonts w:cs="Arial"/>
          <w:bCs/>
          <w:lang w:val="es-MX"/>
        </w:rPr>
        <w:t>En la oportunidad para alegar en segunda instancia, las partes guardaron silencio.</w:t>
      </w:r>
    </w:p>
    <w:p w14:paraId="48FBE5FA" w14:textId="77777777" w:rsidR="00840A0D" w:rsidRPr="00F604CF" w:rsidRDefault="00034C1E" w:rsidP="00F604CF">
      <w:pPr>
        <w:rPr>
          <w:rFonts w:cs="Arial"/>
          <w:b/>
          <w:bCs/>
          <w:lang w:val="es-MX"/>
        </w:rPr>
      </w:pPr>
      <w:r w:rsidRPr="00F604CF">
        <w:rPr>
          <w:rFonts w:cs="Arial"/>
          <w:b/>
          <w:bCs/>
          <w:lang w:val="es-MX"/>
        </w:rPr>
        <w:t>7. Concepto del</w:t>
      </w:r>
      <w:r w:rsidR="00166A56" w:rsidRPr="00F604CF">
        <w:rPr>
          <w:rFonts w:cs="Arial"/>
          <w:b/>
          <w:bCs/>
          <w:lang w:val="es-MX"/>
        </w:rPr>
        <w:t xml:space="preserve"> Ministerio Público </w:t>
      </w:r>
    </w:p>
    <w:p w14:paraId="02B27168" w14:textId="77777777" w:rsidR="00034C1E" w:rsidRPr="00F604CF" w:rsidRDefault="00034C1E" w:rsidP="00F604CF">
      <w:pPr>
        <w:rPr>
          <w:rFonts w:cs="Arial"/>
          <w:bCs/>
          <w:lang w:val="es-MX"/>
        </w:rPr>
      </w:pPr>
    </w:p>
    <w:p w14:paraId="12B54999" w14:textId="77777777" w:rsidR="00225056" w:rsidRPr="00F604CF" w:rsidRDefault="00034C1E" w:rsidP="00F604CF">
      <w:pPr>
        <w:rPr>
          <w:rFonts w:cs="Arial"/>
          <w:bCs/>
          <w:lang w:val="es-MX"/>
        </w:rPr>
      </w:pPr>
      <w:r w:rsidRPr="00F604CF">
        <w:rPr>
          <w:rFonts w:cs="Arial"/>
          <w:bCs/>
          <w:lang w:val="es-MX"/>
        </w:rPr>
        <w:t xml:space="preserve">Mediante concepto radicado el 25 de julio de 2015, </w:t>
      </w:r>
      <w:r w:rsidR="00C12F74" w:rsidRPr="00F604CF">
        <w:rPr>
          <w:rFonts w:cs="Arial"/>
          <w:bCs/>
          <w:lang w:val="es-MX"/>
        </w:rPr>
        <w:t>la Pro</w:t>
      </w:r>
      <w:r w:rsidR="00CB6580" w:rsidRPr="00F604CF">
        <w:rPr>
          <w:rFonts w:cs="Arial"/>
          <w:bCs/>
          <w:lang w:val="es-MX"/>
        </w:rPr>
        <w:t>c</w:t>
      </w:r>
      <w:r w:rsidR="00C12F74" w:rsidRPr="00F604CF">
        <w:rPr>
          <w:rFonts w:cs="Arial"/>
          <w:bCs/>
          <w:lang w:val="es-MX"/>
        </w:rPr>
        <w:t xml:space="preserve">uradora Cuarta  </w:t>
      </w:r>
      <w:r w:rsidR="00CB6580" w:rsidRPr="00F604CF">
        <w:rPr>
          <w:rFonts w:cs="Arial"/>
          <w:bCs/>
          <w:lang w:val="es-MX"/>
        </w:rPr>
        <w:t xml:space="preserve">delegada </w:t>
      </w:r>
      <w:r w:rsidR="00C12F74" w:rsidRPr="00F604CF">
        <w:rPr>
          <w:rFonts w:cs="Arial"/>
          <w:bCs/>
          <w:lang w:val="es-MX"/>
        </w:rPr>
        <w:t xml:space="preserve">ante el Consejo de Estado </w:t>
      </w:r>
      <w:r w:rsidR="000967C5" w:rsidRPr="00F604CF">
        <w:rPr>
          <w:rFonts w:cs="Arial"/>
          <w:bCs/>
          <w:lang w:val="es-MX"/>
        </w:rPr>
        <w:t xml:space="preserve">indicó </w:t>
      </w:r>
      <w:r w:rsidR="00C12F74" w:rsidRPr="00F604CF">
        <w:rPr>
          <w:rFonts w:cs="Arial"/>
          <w:bCs/>
          <w:lang w:val="es-MX"/>
        </w:rPr>
        <w:t>que la sentencia de primera instancia debe revocarse</w:t>
      </w:r>
      <w:r w:rsidR="00095B53" w:rsidRPr="00F604CF">
        <w:rPr>
          <w:rFonts w:cs="Arial"/>
          <w:bCs/>
          <w:lang w:val="es-MX"/>
        </w:rPr>
        <w:t xml:space="preserve"> y </w:t>
      </w:r>
      <w:r w:rsidR="00CB6580" w:rsidRPr="00F604CF">
        <w:rPr>
          <w:rFonts w:cs="Arial"/>
          <w:bCs/>
          <w:lang w:val="es-MX"/>
        </w:rPr>
        <w:t xml:space="preserve">que, </w:t>
      </w:r>
      <w:r w:rsidR="00095B53" w:rsidRPr="00F604CF">
        <w:rPr>
          <w:rFonts w:cs="Arial"/>
          <w:bCs/>
          <w:lang w:val="es-MX"/>
        </w:rPr>
        <w:t>en su lugar</w:t>
      </w:r>
      <w:r w:rsidR="00CB6580" w:rsidRPr="00F604CF">
        <w:rPr>
          <w:rFonts w:cs="Arial"/>
          <w:bCs/>
          <w:lang w:val="es-MX"/>
        </w:rPr>
        <w:t>,</w:t>
      </w:r>
      <w:r w:rsidR="00095B53" w:rsidRPr="00F604CF">
        <w:rPr>
          <w:rFonts w:cs="Arial"/>
          <w:bCs/>
          <w:lang w:val="es-MX"/>
        </w:rPr>
        <w:t xml:space="preserve"> </w:t>
      </w:r>
      <w:r w:rsidR="000967C5" w:rsidRPr="00F604CF">
        <w:rPr>
          <w:rFonts w:cs="Arial"/>
          <w:bCs/>
          <w:lang w:val="es-MX"/>
        </w:rPr>
        <w:t xml:space="preserve">resulta pertinente </w:t>
      </w:r>
      <w:r w:rsidR="00095B53" w:rsidRPr="00F604CF">
        <w:rPr>
          <w:rFonts w:cs="Arial"/>
          <w:bCs/>
          <w:lang w:val="es-MX"/>
        </w:rPr>
        <w:t>declarar la nulidad de la Resolución 02</w:t>
      </w:r>
      <w:r w:rsidR="002B180C" w:rsidRPr="00F604CF">
        <w:rPr>
          <w:rFonts w:cs="Arial"/>
          <w:bCs/>
          <w:lang w:val="es-MX"/>
        </w:rPr>
        <w:t xml:space="preserve"> </w:t>
      </w:r>
      <w:r w:rsidR="00095B53" w:rsidRPr="00F604CF">
        <w:rPr>
          <w:rFonts w:cs="Arial"/>
          <w:bCs/>
          <w:lang w:val="es-MX"/>
        </w:rPr>
        <w:t>193 del 22 de septiembre de 2005 y del Contrato 153 del 31 de oct</w:t>
      </w:r>
      <w:r w:rsidR="00CB6580" w:rsidRPr="00F604CF">
        <w:rPr>
          <w:rFonts w:cs="Arial"/>
          <w:bCs/>
          <w:lang w:val="es-MX"/>
        </w:rPr>
        <w:t xml:space="preserve">ubre </w:t>
      </w:r>
      <w:r w:rsidR="00095B53" w:rsidRPr="00F604CF">
        <w:rPr>
          <w:rFonts w:cs="Arial"/>
          <w:bCs/>
          <w:lang w:val="es-MX"/>
        </w:rPr>
        <w:t xml:space="preserve">de 2005, </w:t>
      </w:r>
      <w:r w:rsidR="007E3B3A" w:rsidRPr="00F604CF">
        <w:rPr>
          <w:rFonts w:cs="Arial"/>
          <w:bCs/>
          <w:lang w:val="es-MX"/>
        </w:rPr>
        <w:t xml:space="preserve">con fundamento en </w:t>
      </w:r>
      <w:r w:rsidR="00095B53" w:rsidRPr="00F604CF">
        <w:rPr>
          <w:rFonts w:cs="Arial"/>
          <w:bCs/>
          <w:lang w:val="es-MX"/>
        </w:rPr>
        <w:t>la causal 3 del artículo 44 de la Ley 80 de 1993</w:t>
      </w:r>
      <w:r w:rsidR="00466AB1" w:rsidRPr="00F604CF">
        <w:rPr>
          <w:rStyle w:val="Refdenotaalpie"/>
          <w:rFonts w:cs="Arial"/>
          <w:bCs/>
          <w:lang w:val="es-MX"/>
        </w:rPr>
        <w:footnoteReference w:id="17"/>
      </w:r>
      <w:r w:rsidR="00CB6580" w:rsidRPr="00F604CF">
        <w:rPr>
          <w:rFonts w:cs="Arial"/>
          <w:bCs/>
          <w:lang w:val="es-MX"/>
        </w:rPr>
        <w:t>, por no haber actuado el comité de evaluación de acuerdo con el pliego de condiciones y con la Ley 222 de 1995.</w:t>
      </w:r>
      <w:r w:rsidR="00C12F74" w:rsidRPr="00F604CF">
        <w:rPr>
          <w:rFonts w:cs="Arial"/>
          <w:bCs/>
          <w:lang w:val="es-MX"/>
        </w:rPr>
        <w:t xml:space="preserve"> </w:t>
      </w:r>
      <w:r w:rsidR="000967C5" w:rsidRPr="00F604CF">
        <w:rPr>
          <w:rFonts w:cs="Arial"/>
          <w:bCs/>
          <w:lang w:val="es-MX"/>
        </w:rPr>
        <w:t xml:space="preserve">La </w:t>
      </w:r>
      <w:r w:rsidR="000B0842" w:rsidRPr="00F604CF">
        <w:rPr>
          <w:rFonts w:cs="Arial"/>
          <w:bCs/>
          <w:lang w:val="es-MX"/>
        </w:rPr>
        <w:t>p</w:t>
      </w:r>
      <w:r w:rsidR="000967C5" w:rsidRPr="00F604CF">
        <w:rPr>
          <w:rFonts w:cs="Arial"/>
          <w:bCs/>
          <w:lang w:val="es-MX"/>
        </w:rPr>
        <w:t>rocurad</w:t>
      </w:r>
      <w:r w:rsidR="00225056" w:rsidRPr="00F604CF">
        <w:rPr>
          <w:rFonts w:cs="Arial"/>
          <w:bCs/>
          <w:lang w:val="es-MX"/>
        </w:rPr>
        <w:t xml:space="preserve">ora presentó un recuento de los documentos y </w:t>
      </w:r>
      <w:r w:rsidR="000967C5" w:rsidRPr="00F604CF">
        <w:rPr>
          <w:rFonts w:cs="Arial"/>
          <w:bCs/>
          <w:lang w:val="es-MX"/>
        </w:rPr>
        <w:t>llamó la atenci</w:t>
      </w:r>
      <w:r w:rsidR="00225056" w:rsidRPr="00F604CF">
        <w:rPr>
          <w:rFonts w:cs="Arial"/>
          <w:bCs/>
          <w:lang w:val="es-MX"/>
        </w:rPr>
        <w:t>ón sobre la</w:t>
      </w:r>
      <w:r w:rsidR="0029577B" w:rsidRPr="00F604CF">
        <w:rPr>
          <w:rFonts w:cs="Arial"/>
          <w:bCs/>
          <w:lang w:val="es-MX"/>
        </w:rPr>
        <w:t>s</w:t>
      </w:r>
      <w:r w:rsidR="00225056" w:rsidRPr="00F604CF">
        <w:rPr>
          <w:rFonts w:cs="Arial"/>
          <w:bCs/>
          <w:lang w:val="es-MX"/>
        </w:rPr>
        <w:t xml:space="preserve"> fecha</w:t>
      </w:r>
      <w:r w:rsidR="0029577B" w:rsidRPr="00F604CF">
        <w:rPr>
          <w:rFonts w:cs="Arial"/>
          <w:bCs/>
          <w:lang w:val="es-MX"/>
        </w:rPr>
        <w:t>s</w:t>
      </w:r>
      <w:r w:rsidR="00225056" w:rsidRPr="00F604CF">
        <w:rPr>
          <w:rFonts w:cs="Arial"/>
          <w:bCs/>
          <w:lang w:val="es-MX"/>
        </w:rPr>
        <w:t xml:space="preserve"> de las certificaciones de los estados financieros</w:t>
      </w:r>
      <w:r w:rsidR="0029577B" w:rsidRPr="00F604CF">
        <w:rPr>
          <w:rFonts w:cs="Arial"/>
          <w:bCs/>
          <w:lang w:val="es-MX"/>
        </w:rPr>
        <w:t xml:space="preserve"> y</w:t>
      </w:r>
      <w:r w:rsidR="00225056" w:rsidRPr="00F604CF">
        <w:rPr>
          <w:rFonts w:cs="Arial"/>
          <w:bCs/>
          <w:lang w:val="es-MX"/>
        </w:rPr>
        <w:t xml:space="preserve"> del </w:t>
      </w:r>
      <w:r w:rsidR="00635611" w:rsidRPr="00F604CF">
        <w:rPr>
          <w:rFonts w:cs="Arial"/>
          <w:bCs/>
          <w:lang w:val="es-MX"/>
        </w:rPr>
        <w:t>R.U.P.</w:t>
      </w:r>
      <w:r w:rsidR="00225056" w:rsidRPr="00F604CF">
        <w:rPr>
          <w:rFonts w:cs="Arial"/>
          <w:bCs/>
          <w:lang w:val="es-MX"/>
        </w:rPr>
        <w:t xml:space="preserve">, tramitados y allegados el 5 de septiembre de 2005, el mismo día en que se habrían presentado </w:t>
      </w:r>
      <w:r w:rsidR="000B0842" w:rsidRPr="00F604CF">
        <w:rPr>
          <w:rFonts w:cs="Arial"/>
          <w:bCs/>
          <w:lang w:val="es-MX"/>
        </w:rPr>
        <w:t xml:space="preserve">los documentos </w:t>
      </w:r>
      <w:r w:rsidR="00225056" w:rsidRPr="00F604CF">
        <w:rPr>
          <w:rFonts w:cs="Arial"/>
          <w:bCs/>
          <w:lang w:val="es-MX"/>
        </w:rPr>
        <w:t xml:space="preserve">al departamento y en el que se habrían realizado la evaluación y el acta correspondiente. </w:t>
      </w:r>
    </w:p>
    <w:p w14:paraId="4FD52982" w14:textId="77777777" w:rsidR="006A61F7" w:rsidRPr="00F604CF" w:rsidRDefault="006A61F7" w:rsidP="00F604CF">
      <w:pPr>
        <w:jc w:val="center"/>
        <w:rPr>
          <w:rFonts w:cs="Arial"/>
          <w:b/>
        </w:rPr>
      </w:pPr>
    </w:p>
    <w:p w14:paraId="3FA6302D" w14:textId="77777777" w:rsidR="00F21484" w:rsidRPr="006301A8" w:rsidRDefault="00F21484" w:rsidP="00F604CF">
      <w:pPr>
        <w:pStyle w:val="Lista"/>
        <w:ind w:left="0"/>
        <w:jc w:val="center"/>
        <w:rPr>
          <w:rFonts w:ascii="Arial" w:hAnsi="Arial" w:cs="Arial"/>
          <w:b/>
          <w:lang w:val="pt-BR"/>
        </w:rPr>
      </w:pPr>
      <w:r w:rsidRPr="006301A8">
        <w:rPr>
          <w:rFonts w:ascii="Arial" w:hAnsi="Arial" w:cs="Arial"/>
          <w:b/>
          <w:lang w:val="pt-BR"/>
        </w:rPr>
        <w:t>II.</w:t>
      </w:r>
      <w:r w:rsidR="00E759BE" w:rsidRPr="006301A8">
        <w:rPr>
          <w:rFonts w:ascii="Arial" w:hAnsi="Arial" w:cs="Arial"/>
          <w:b/>
          <w:lang w:val="pt-BR"/>
        </w:rPr>
        <w:tab/>
      </w:r>
      <w:r w:rsidRPr="006301A8">
        <w:rPr>
          <w:rFonts w:ascii="Arial" w:hAnsi="Arial" w:cs="Arial"/>
          <w:b/>
          <w:lang w:val="pt-BR"/>
        </w:rPr>
        <w:t>C O N S I D E R A C I O N E S</w:t>
      </w:r>
    </w:p>
    <w:p w14:paraId="659300EB" w14:textId="77777777" w:rsidR="00C23021" w:rsidRPr="006301A8" w:rsidRDefault="00C23021" w:rsidP="00F604CF">
      <w:pPr>
        <w:jc w:val="center"/>
        <w:rPr>
          <w:rFonts w:cs="Arial"/>
          <w:b/>
          <w:lang w:val="pt-BR"/>
        </w:rPr>
      </w:pPr>
    </w:p>
    <w:p w14:paraId="539717A7" w14:textId="77777777" w:rsidR="00ED77A2" w:rsidRPr="006301A8" w:rsidRDefault="00ED77A2" w:rsidP="00F604CF">
      <w:pPr>
        <w:rPr>
          <w:rFonts w:cs="Arial"/>
          <w:lang w:val="pt-BR"/>
        </w:rPr>
      </w:pPr>
    </w:p>
    <w:p w14:paraId="66734B2A" w14:textId="77777777" w:rsidR="000A161D" w:rsidRPr="00F604CF" w:rsidRDefault="0052529B" w:rsidP="00F604CF">
      <w:pPr>
        <w:widowControl w:val="0"/>
        <w:autoSpaceDE w:val="0"/>
        <w:autoSpaceDN w:val="0"/>
        <w:adjustRightInd w:val="0"/>
        <w:rPr>
          <w:rFonts w:cs="Arial"/>
        </w:rPr>
      </w:pPr>
      <w:r w:rsidRPr="00F604CF">
        <w:rPr>
          <w:rFonts w:cs="Arial"/>
        </w:rPr>
        <w:t xml:space="preserve">Para resolver la segunda instancia de la presente </w:t>
      </w:r>
      <w:r w:rsidRPr="00F604CF">
        <w:rPr>
          <w:rFonts w:cs="Arial"/>
          <w:i/>
        </w:rPr>
        <w:t>litis</w:t>
      </w:r>
      <w:r w:rsidR="00DD3E54" w:rsidRPr="00F604CF">
        <w:rPr>
          <w:rFonts w:cs="Arial"/>
        </w:rPr>
        <w:t>, se abordará</w:t>
      </w:r>
      <w:r w:rsidRPr="00F604CF">
        <w:rPr>
          <w:rFonts w:cs="Arial"/>
        </w:rPr>
        <w:t xml:space="preserve">n los siguientes temas: </w:t>
      </w:r>
      <w:r w:rsidR="00445973" w:rsidRPr="00F604CF">
        <w:rPr>
          <w:rFonts w:cs="Arial"/>
          <w:b/>
        </w:rPr>
        <w:t>1</w:t>
      </w:r>
      <w:r w:rsidR="00A50912" w:rsidRPr="00F604CF">
        <w:rPr>
          <w:rFonts w:cs="Arial"/>
          <w:b/>
        </w:rPr>
        <w:t>)</w:t>
      </w:r>
      <w:r w:rsidR="00F813EB" w:rsidRPr="00F604CF">
        <w:rPr>
          <w:rFonts w:cs="Arial"/>
          <w:b/>
        </w:rPr>
        <w:t xml:space="preserve"> </w:t>
      </w:r>
      <w:r w:rsidR="00BF3EF6" w:rsidRPr="00F604CF">
        <w:rPr>
          <w:rFonts w:cs="Arial"/>
        </w:rPr>
        <w:t xml:space="preserve">jurisdicción y </w:t>
      </w:r>
      <w:r w:rsidR="00CA1EB0" w:rsidRPr="00F604CF">
        <w:rPr>
          <w:rFonts w:cs="Arial"/>
        </w:rPr>
        <w:t>c</w:t>
      </w:r>
      <w:r w:rsidR="00DF40B5" w:rsidRPr="00F604CF">
        <w:rPr>
          <w:rFonts w:cs="Arial"/>
        </w:rPr>
        <w:t xml:space="preserve">ompetencia del Consejo de Estado; </w:t>
      </w:r>
      <w:r w:rsidR="00445973" w:rsidRPr="00F604CF">
        <w:rPr>
          <w:rFonts w:cs="Arial"/>
          <w:b/>
        </w:rPr>
        <w:t>2</w:t>
      </w:r>
      <w:r w:rsidR="00A50912" w:rsidRPr="00F604CF">
        <w:rPr>
          <w:rFonts w:cs="Arial"/>
          <w:b/>
        </w:rPr>
        <w:t>)</w:t>
      </w:r>
      <w:r w:rsidR="00E8149C" w:rsidRPr="00F604CF">
        <w:rPr>
          <w:rFonts w:cs="Arial"/>
        </w:rPr>
        <w:t xml:space="preserve"> </w:t>
      </w:r>
      <w:r w:rsidR="00CA1EB0" w:rsidRPr="00F604CF">
        <w:rPr>
          <w:rFonts w:cs="Arial"/>
        </w:rPr>
        <w:t>c</w:t>
      </w:r>
      <w:r w:rsidR="00E939A0" w:rsidRPr="00F604CF">
        <w:rPr>
          <w:rFonts w:cs="Arial"/>
        </w:rPr>
        <w:t>aducidad de la acción contractual</w:t>
      </w:r>
      <w:r w:rsidR="00A210BA" w:rsidRPr="00F604CF">
        <w:rPr>
          <w:rFonts w:cs="Arial"/>
        </w:rPr>
        <w:t xml:space="preserve"> contra los actos previos</w:t>
      </w:r>
      <w:r w:rsidR="00E939A0" w:rsidRPr="00F604CF">
        <w:rPr>
          <w:rFonts w:cs="Arial"/>
        </w:rPr>
        <w:t xml:space="preserve">; </w:t>
      </w:r>
      <w:r w:rsidR="00F8216E" w:rsidRPr="00F604CF">
        <w:rPr>
          <w:rFonts w:cs="Arial"/>
          <w:b/>
        </w:rPr>
        <w:t>3)</w:t>
      </w:r>
      <w:r w:rsidR="000F0248" w:rsidRPr="00F604CF">
        <w:rPr>
          <w:rFonts w:cs="Arial"/>
        </w:rPr>
        <w:t xml:space="preserve"> Importancia de los estados financieros en las licitaciones públicas y </w:t>
      </w:r>
      <w:r w:rsidR="009E5654" w:rsidRPr="00F604CF">
        <w:rPr>
          <w:rFonts w:cs="Arial"/>
        </w:rPr>
        <w:t xml:space="preserve">en </w:t>
      </w:r>
      <w:r w:rsidR="000F0248" w:rsidRPr="00F604CF">
        <w:rPr>
          <w:rFonts w:cs="Arial"/>
        </w:rPr>
        <w:t>otros procesos de selección de contratistas</w:t>
      </w:r>
      <w:r w:rsidR="00A56D75" w:rsidRPr="00F604CF">
        <w:rPr>
          <w:rFonts w:cs="Arial"/>
        </w:rPr>
        <w:t xml:space="preserve">; </w:t>
      </w:r>
      <w:r w:rsidR="00F8216E" w:rsidRPr="00F604CF">
        <w:rPr>
          <w:rFonts w:cs="Arial"/>
          <w:b/>
        </w:rPr>
        <w:t>5)</w:t>
      </w:r>
      <w:r w:rsidR="00A56D75" w:rsidRPr="00F604CF">
        <w:rPr>
          <w:rFonts w:cs="Arial"/>
        </w:rPr>
        <w:t xml:space="preserve"> </w:t>
      </w:r>
      <w:r w:rsidR="00F8216E" w:rsidRPr="00F604CF">
        <w:rPr>
          <w:rFonts w:cs="Arial"/>
        </w:rPr>
        <w:t>r</w:t>
      </w:r>
      <w:r w:rsidR="00A56D75" w:rsidRPr="00F604CF">
        <w:rPr>
          <w:rFonts w:cs="Arial"/>
        </w:rPr>
        <w:t>eglas del pliego de condiciones sobre el rechazo de las propuestas por falta de los documentos relacionados con los estados financieros</w:t>
      </w:r>
      <w:r w:rsidR="00F8216E" w:rsidRPr="00F604CF">
        <w:rPr>
          <w:rFonts w:cs="Arial"/>
        </w:rPr>
        <w:t xml:space="preserve">; </w:t>
      </w:r>
      <w:r w:rsidR="000F0248" w:rsidRPr="00F604CF">
        <w:rPr>
          <w:rFonts w:cs="Arial"/>
          <w:b/>
        </w:rPr>
        <w:t>6</w:t>
      </w:r>
      <w:r w:rsidR="00323EF6" w:rsidRPr="00F604CF">
        <w:rPr>
          <w:rFonts w:cs="Arial"/>
          <w:b/>
        </w:rPr>
        <w:t>)</w:t>
      </w:r>
      <w:r w:rsidR="00AF7F51" w:rsidRPr="00F604CF">
        <w:rPr>
          <w:rFonts w:cs="Arial"/>
        </w:rPr>
        <w:t xml:space="preserve"> </w:t>
      </w:r>
      <w:r w:rsidR="00E8149C" w:rsidRPr="00F604CF">
        <w:rPr>
          <w:rFonts w:cs="Arial"/>
        </w:rPr>
        <w:t xml:space="preserve">el </w:t>
      </w:r>
      <w:r w:rsidRPr="00F604CF">
        <w:rPr>
          <w:rFonts w:cs="Arial"/>
        </w:rPr>
        <w:t>caso concreto</w:t>
      </w:r>
      <w:r w:rsidR="00F511F0" w:rsidRPr="00F604CF">
        <w:rPr>
          <w:rFonts w:cs="Arial"/>
        </w:rPr>
        <w:t xml:space="preserve">; </w:t>
      </w:r>
      <w:r w:rsidR="000F0248" w:rsidRPr="00F604CF">
        <w:rPr>
          <w:rFonts w:cs="Arial"/>
          <w:b/>
        </w:rPr>
        <w:t>7)</w:t>
      </w:r>
      <w:r w:rsidR="000F0248" w:rsidRPr="00F604CF">
        <w:rPr>
          <w:rFonts w:cs="Arial"/>
        </w:rPr>
        <w:t xml:space="preserve"> </w:t>
      </w:r>
      <w:r w:rsidR="00F8216E" w:rsidRPr="00F604CF">
        <w:rPr>
          <w:rFonts w:cs="Arial"/>
        </w:rPr>
        <w:t>c</w:t>
      </w:r>
      <w:r w:rsidR="000F0248" w:rsidRPr="00F604CF">
        <w:rPr>
          <w:rFonts w:cs="Arial"/>
        </w:rPr>
        <w:t xml:space="preserve">onsecuencias de la nulidad del contrato y </w:t>
      </w:r>
      <w:r w:rsidR="000F0248" w:rsidRPr="00F604CF">
        <w:rPr>
          <w:rFonts w:cs="Arial"/>
          <w:b/>
        </w:rPr>
        <w:t>8</w:t>
      </w:r>
      <w:r w:rsidR="00FA2EC7" w:rsidRPr="00F604CF">
        <w:rPr>
          <w:rFonts w:cs="Arial"/>
          <w:b/>
        </w:rPr>
        <w:t>)</w:t>
      </w:r>
      <w:r w:rsidR="00A10418" w:rsidRPr="00F604CF">
        <w:rPr>
          <w:rFonts w:cs="Arial"/>
        </w:rPr>
        <w:t xml:space="preserve"> </w:t>
      </w:r>
      <w:r w:rsidR="00F810DD" w:rsidRPr="00F604CF">
        <w:rPr>
          <w:rFonts w:cs="Arial"/>
        </w:rPr>
        <w:t>costas</w:t>
      </w:r>
      <w:r w:rsidRPr="00F604CF">
        <w:rPr>
          <w:rFonts w:cs="Arial"/>
        </w:rPr>
        <w:t>.</w:t>
      </w:r>
    </w:p>
    <w:p w14:paraId="701780DE" w14:textId="77777777" w:rsidR="00117C54" w:rsidRPr="00F604CF" w:rsidRDefault="00CD461C" w:rsidP="00F604CF">
      <w:pPr>
        <w:rPr>
          <w:rFonts w:cs="Arial"/>
          <w:b/>
          <w:lang w:val="es-CO"/>
        </w:rPr>
      </w:pPr>
      <w:r w:rsidRPr="00F604CF">
        <w:rPr>
          <w:rFonts w:cs="Arial"/>
          <w:b/>
          <w:lang w:val="es-CO"/>
        </w:rPr>
        <w:t>1</w:t>
      </w:r>
      <w:r w:rsidR="00F971DB" w:rsidRPr="00F604CF">
        <w:rPr>
          <w:rFonts w:cs="Arial"/>
          <w:b/>
          <w:lang w:val="es-CO"/>
        </w:rPr>
        <w:t>.</w:t>
      </w:r>
      <w:r w:rsidR="002B5EAB" w:rsidRPr="00F604CF">
        <w:rPr>
          <w:rFonts w:cs="Arial"/>
          <w:b/>
          <w:lang w:val="es-CO"/>
        </w:rPr>
        <w:t xml:space="preserve"> </w:t>
      </w:r>
      <w:r w:rsidR="00F511F0" w:rsidRPr="00F604CF">
        <w:rPr>
          <w:rFonts w:cs="Arial"/>
          <w:b/>
          <w:lang w:val="es-CO"/>
        </w:rPr>
        <w:t>Jurisdicción y c</w:t>
      </w:r>
      <w:r w:rsidR="00C874B4" w:rsidRPr="00F604CF">
        <w:rPr>
          <w:rFonts w:cs="Arial"/>
          <w:b/>
          <w:lang w:val="es-CO"/>
        </w:rPr>
        <w:t>ompetencia del Consejo de Estado</w:t>
      </w:r>
    </w:p>
    <w:p w14:paraId="50B7B318" w14:textId="77777777" w:rsidR="00205871" w:rsidRPr="00F604CF" w:rsidRDefault="00205871" w:rsidP="00F604CF">
      <w:pPr>
        <w:rPr>
          <w:rFonts w:cs="Arial"/>
          <w:b/>
          <w:lang w:val="es-CO"/>
        </w:rPr>
      </w:pPr>
    </w:p>
    <w:p w14:paraId="325E6FAB" w14:textId="77777777" w:rsidR="00205871" w:rsidRPr="00F604CF" w:rsidRDefault="00F971DB" w:rsidP="00F604CF">
      <w:pPr>
        <w:rPr>
          <w:rFonts w:cs="Arial"/>
          <w:b/>
          <w:lang w:val="es-CO"/>
        </w:rPr>
      </w:pPr>
      <w:r w:rsidRPr="00F604CF">
        <w:rPr>
          <w:rFonts w:cs="Arial"/>
          <w:b/>
          <w:lang w:val="es-CO"/>
        </w:rPr>
        <w:t xml:space="preserve">1.1. </w:t>
      </w:r>
      <w:r w:rsidR="00205871" w:rsidRPr="00F604CF">
        <w:rPr>
          <w:rFonts w:cs="Arial"/>
          <w:b/>
          <w:lang w:val="es-CO"/>
        </w:rPr>
        <w:t xml:space="preserve">Jurisdicción </w:t>
      </w:r>
      <w:r w:rsidR="00F511F0" w:rsidRPr="00F604CF">
        <w:rPr>
          <w:rFonts w:cs="Arial"/>
          <w:b/>
          <w:lang w:val="es-CO"/>
        </w:rPr>
        <w:t>c</w:t>
      </w:r>
      <w:r w:rsidR="00205871" w:rsidRPr="00F604CF">
        <w:rPr>
          <w:rFonts w:cs="Arial"/>
          <w:b/>
          <w:lang w:val="es-CO"/>
        </w:rPr>
        <w:t>ompetente</w:t>
      </w:r>
    </w:p>
    <w:p w14:paraId="6BEEC5B1" w14:textId="77777777" w:rsidR="00A43131" w:rsidRPr="00F604CF" w:rsidRDefault="00A43131" w:rsidP="00F604CF">
      <w:pPr>
        <w:pStyle w:val="Textoindependiente"/>
        <w:autoSpaceDE/>
        <w:adjustRightInd/>
        <w:rPr>
          <w:rFonts w:cs="Arial"/>
          <w:szCs w:val="24"/>
          <w:lang w:val="es-CO"/>
        </w:rPr>
      </w:pPr>
    </w:p>
    <w:p w14:paraId="4222F795" w14:textId="77777777" w:rsidR="00FC1C91" w:rsidRPr="00F604CF" w:rsidRDefault="00FD7C79" w:rsidP="00F604CF">
      <w:pPr>
        <w:rPr>
          <w:rFonts w:cs="Arial"/>
        </w:rPr>
      </w:pPr>
      <w:r w:rsidRPr="00F604CF">
        <w:rPr>
          <w:rFonts w:cs="Arial"/>
        </w:rPr>
        <w:t xml:space="preserve">Con </w:t>
      </w:r>
      <w:r w:rsidR="0081321A" w:rsidRPr="00F604CF">
        <w:rPr>
          <w:rFonts w:cs="Arial"/>
        </w:rPr>
        <w:t xml:space="preserve">fundamento en el </w:t>
      </w:r>
      <w:r w:rsidRPr="00F604CF">
        <w:rPr>
          <w:rFonts w:cs="Arial"/>
        </w:rPr>
        <w:t xml:space="preserve">criterio orgánico que </w:t>
      </w:r>
      <w:r w:rsidR="001F0064" w:rsidRPr="00F604CF">
        <w:rPr>
          <w:rFonts w:cs="Arial"/>
        </w:rPr>
        <w:t>se a</w:t>
      </w:r>
      <w:r w:rsidR="00FC1C91" w:rsidRPr="00F604CF">
        <w:rPr>
          <w:rFonts w:cs="Arial"/>
        </w:rPr>
        <w:t>doptó en la Ley 80 de 1993</w:t>
      </w:r>
      <w:r w:rsidR="00CF1943" w:rsidRPr="00F604CF">
        <w:rPr>
          <w:rStyle w:val="Refdenotaalpie"/>
          <w:rFonts w:cs="Arial"/>
        </w:rPr>
        <w:footnoteReference w:id="18"/>
      </w:r>
      <w:r w:rsidR="00CF1943" w:rsidRPr="00F604CF">
        <w:rPr>
          <w:rFonts w:cs="Arial"/>
        </w:rPr>
        <w:t>, en concordancia con el artículo 82 del Código Contencioso Administrativo</w:t>
      </w:r>
      <w:r w:rsidR="00C045C1" w:rsidRPr="00F604CF">
        <w:rPr>
          <w:rStyle w:val="Refdenotaalpie"/>
          <w:rFonts w:cs="Arial"/>
        </w:rPr>
        <w:footnoteReference w:id="19"/>
      </w:r>
      <w:r w:rsidR="00BE1A29" w:rsidRPr="00F604CF">
        <w:rPr>
          <w:rFonts w:cs="Arial"/>
        </w:rPr>
        <w:t>,</w:t>
      </w:r>
      <w:r w:rsidR="001F0064" w:rsidRPr="00F604CF">
        <w:rPr>
          <w:rFonts w:cs="Arial"/>
        </w:rPr>
        <w:t xml:space="preserve"> </w:t>
      </w:r>
      <w:r w:rsidR="009951F0" w:rsidRPr="00F604CF">
        <w:rPr>
          <w:rFonts w:cs="Arial"/>
        </w:rPr>
        <w:t xml:space="preserve">siendo </w:t>
      </w:r>
      <w:r w:rsidR="00FC1C91" w:rsidRPr="00F604CF">
        <w:rPr>
          <w:rFonts w:cs="Arial"/>
        </w:rPr>
        <w:t xml:space="preserve">una de las partes </w:t>
      </w:r>
      <w:r w:rsidR="00BE1A29" w:rsidRPr="00F604CF">
        <w:rPr>
          <w:rFonts w:cs="Arial"/>
        </w:rPr>
        <w:t xml:space="preserve">de este proceso </w:t>
      </w:r>
      <w:r w:rsidR="00FC1C91" w:rsidRPr="00F604CF">
        <w:rPr>
          <w:rFonts w:cs="Arial"/>
        </w:rPr>
        <w:t xml:space="preserve">una </w:t>
      </w:r>
      <w:r w:rsidR="009951F0" w:rsidRPr="00F604CF">
        <w:rPr>
          <w:rFonts w:cs="Arial"/>
        </w:rPr>
        <w:t xml:space="preserve">entidad </w:t>
      </w:r>
      <w:r w:rsidR="00DA5C73" w:rsidRPr="00F604CF">
        <w:rPr>
          <w:rFonts w:cs="Arial"/>
        </w:rPr>
        <w:t>territorial, de carácter estatal</w:t>
      </w:r>
      <w:r w:rsidR="00BE1A29" w:rsidRPr="00F604CF">
        <w:rPr>
          <w:rStyle w:val="Refdenotaalpie"/>
          <w:rFonts w:cs="Arial"/>
        </w:rPr>
        <w:footnoteReference w:id="20"/>
      </w:r>
      <w:r w:rsidR="00BE1A29" w:rsidRPr="00F604CF">
        <w:rPr>
          <w:rFonts w:cs="Arial"/>
        </w:rPr>
        <w:t xml:space="preserve">, </w:t>
      </w:r>
      <w:r w:rsidR="0081321A" w:rsidRPr="00F604CF">
        <w:rPr>
          <w:rFonts w:cs="Arial"/>
        </w:rPr>
        <w:t>se confirma la competencia de la Jurisdicción de lo Contencioso Administrativo</w:t>
      </w:r>
      <w:r w:rsidR="00FC1C91" w:rsidRPr="00F604CF">
        <w:rPr>
          <w:rFonts w:cs="Arial"/>
        </w:rPr>
        <w:t>.</w:t>
      </w:r>
    </w:p>
    <w:p w14:paraId="5280F8B4" w14:textId="77777777" w:rsidR="00BC4C0A" w:rsidRPr="00F604CF" w:rsidRDefault="00BC4C0A" w:rsidP="00F604CF">
      <w:pPr>
        <w:rPr>
          <w:rFonts w:cs="Arial"/>
        </w:rPr>
      </w:pPr>
    </w:p>
    <w:p w14:paraId="38D1E89C" w14:textId="77777777" w:rsidR="00C874B4" w:rsidRPr="00F604CF" w:rsidRDefault="0029577B" w:rsidP="00F604CF">
      <w:pPr>
        <w:rPr>
          <w:rFonts w:cs="Arial"/>
          <w:b/>
          <w:color w:val="000000"/>
        </w:rPr>
      </w:pPr>
      <w:r w:rsidRPr="00F604CF">
        <w:rPr>
          <w:rFonts w:cs="Arial"/>
          <w:b/>
          <w:color w:val="000000"/>
        </w:rPr>
        <w:t>1</w:t>
      </w:r>
      <w:r w:rsidR="00483B19" w:rsidRPr="00F604CF">
        <w:rPr>
          <w:rFonts w:cs="Arial"/>
          <w:b/>
          <w:color w:val="000000"/>
        </w:rPr>
        <w:t xml:space="preserve">.2. </w:t>
      </w:r>
      <w:r w:rsidR="00C874B4" w:rsidRPr="00F604CF">
        <w:rPr>
          <w:rFonts w:cs="Arial"/>
          <w:b/>
          <w:color w:val="000000"/>
        </w:rPr>
        <w:t>Cuantía</w:t>
      </w:r>
    </w:p>
    <w:p w14:paraId="67D56CA1" w14:textId="77777777" w:rsidR="007A330C" w:rsidRPr="00F604CF" w:rsidRDefault="007A330C" w:rsidP="00F604CF">
      <w:pPr>
        <w:rPr>
          <w:rFonts w:cs="Arial"/>
          <w:color w:val="000000"/>
        </w:rPr>
      </w:pPr>
    </w:p>
    <w:p w14:paraId="01B55307" w14:textId="77777777" w:rsidR="00724307" w:rsidRPr="00F604CF" w:rsidRDefault="00724307" w:rsidP="00F604CF">
      <w:pPr>
        <w:rPr>
          <w:rFonts w:cs="Arial"/>
        </w:rPr>
      </w:pPr>
      <w:r w:rsidRPr="00F604CF">
        <w:rPr>
          <w:rFonts w:cs="Arial"/>
          <w:color w:val="000000"/>
        </w:rPr>
        <w:t>P</w:t>
      </w:r>
      <w:r w:rsidRPr="00F604CF">
        <w:rPr>
          <w:rFonts w:cs="Arial"/>
        </w:rPr>
        <w:t xml:space="preserve">recisa la Sala que le asiste competencia para conocer del presente proceso en segunda instancia, toda vez que la cuantía del litigio se </w:t>
      </w:r>
      <w:r w:rsidR="00305588" w:rsidRPr="00F604CF">
        <w:rPr>
          <w:rFonts w:cs="Arial"/>
        </w:rPr>
        <w:t xml:space="preserve">estimó en valor </w:t>
      </w:r>
      <w:r w:rsidR="000E7E4F" w:rsidRPr="00F604CF">
        <w:rPr>
          <w:rFonts w:cs="Arial"/>
        </w:rPr>
        <w:t xml:space="preserve">de </w:t>
      </w:r>
      <w:r w:rsidR="002D715C" w:rsidRPr="00F604CF">
        <w:rPr>
          <w:rFonts w:cs="Arial"/>
        </w:rPr>
        <w:t>$332’500.000</w:t>
      </w:r>
      <w:r w:rsidR="00B8467D" w:rsidRPr="00F604CF">
        <w:rPr>
          <w:rStyle w:val="Refdenotaalpie"/>
          <w:rFonts w:cs="Arial"/>
        </w:rPr>
        <w:footnoteReference w:id="21"/>
      </w:r>
      <w:r w:rsidR="00305588" w:rsidRPr="00F604CF">
        <w:rPr>
          <w:rFonts w:cs="Arial"/>
        </w:rPr>
        <w:t xml:space="preserve">, </w:t>
      </w:r>
      <w:r w:rsidR="000E7E4F" w:rsidRPr="00F604CF">
        <w:rPr>
          <w:rFonts w:cs="Arial"/>
        </w:rPr>
        <w:t xml:space="preserve">monto </w:t>
      </w:r>
      <w:r w:rsidRPr="00F604CF">
        <w:rPr>
          <w:rFonts w:cs="Arial"/>
        </w:rPr>
        <w:t xml:space="preserve">que resulta superior a </w:t>
      </w:r>
      <w:r w:rsidR="000E7E4F" w:rsidRPr="00F604CF">
        <w:rPr>
          <w:rFonts w:cs="Arial"/>
        </w:rPr>
        <w:t xml:space="preserve">la suma equivalente a </w:t>
      </w:r>
      <w:r w:rsidRPr="00F604CF">
        <w:rPr>
          <w:rFonts w:cs="Arial"/>
        </w:rPr>
        <w:t>500 S.M.L.M.V ($</w:t>
      </w:r>
      <w:r w:rsidR="00B8467D" w:rsidRPr="00F604CF">
        <w:rPr>
          <w:rFonts w:cs="Arial"/>
        </w:rPr>
        <w:t>4</w:t>
      </w:r>
      <w:r w:rsidR="000A2408" w:rsidRPr="00F604CF">
        <w:rPr>
          <w:rFonts w:cs="Arial"/>
        </w:rPr>
        <w:t>33.700</w:t>
      </w:r>
      <w:r w:rsidR="006A61F7" w:rsidRPr="00F604CF">
        <w:rPr>
          <w:rFonts w:cs="Arial"/>
        </w:rPr>
        <w:t xml:space="preserve"> </w:t>
      </w:r>
      <w:r w:rsidRPr="00F604CF">
        <w:rPr>
          <w:rFonts w:cs="Arial"/>
        </w:rPr>
        <w:t>x 500 = $</w:t>
      </w:r>
      <w:r w:rsidR="00B8467D" w:rsidRPr="00F604CF">
        <w:rPr>
          <w:rFonts w:cs="Arial"/>
        </w:rPr>
        <w:t>2</w:t>
      </w:r>
      <w:r w:rsidR="000A2408" w:rsidRPr="00F604CF">
        <w:rPr>
          <w:rFonts w:cs="Arial"/>
        </w:rPr>
        <w:t>16</w:t>
      </w:r>
      <w:r w:rsidR="00B8467D" w:rsidRPr="00F604CF">
        <w:rPr>
          <w:rFonts w:cs="Arial"/>
        </w:rPr>
        <w:t>’</w:t>
      </w:r>
      <w:r w:rsidR="000A2408" w:rsidRPr="00F604CF">
        <w:rPr>
          <w:rFonts w:cs="Arial"/>
        </w:rPr>
        <w:t>85</w:t>
      </w:r>
      <w:r w:rsidR="00B8467D" w:rsidRPr="00F604CF">
        <w:rPr>
          <w:rFonts w:cs="Arial"/>
        </w:rPr>
        <w:t>0.000</w:t>
      </w:r>
      <w:r w:rsidRPr="00F604CF">
        <w:rPr>
          <w:rFonts w:cs="Arial"/>
        </w:rPr>
        <w:t>)</w:t>
      </w:r>
      <w:r w:rsidRPr="00F604CF">
        <w:rPr>
          <w:rStyle w:val="Refdenotaalpie"/>
          <w:rFonts w:cs="Arial"/>
        </w:rPr>
        <w:footnoteReference w:id="22"/>
      </w:r>
      <w:r w:rsidRPr="00F604CF">
        <w:rPr>
          <w:rFonts w:cs="Arial"/>
        </w:rPr>
        <w:t xml:space="preserve">, exigida de conformidad con </w:t>
      </w:r>
      <w:r w:rsidR="00E43D0F" w:rsidRPr="00F604CF">
        <w:rPr>
          <w:rFonts w:cs="Arial"/>
        </w:rPr>
        <w:t xml:space="preserve">el </w:t>
      </w:r>
      <w:r w:rsidR="008770D0" w:rsidRPr="00F604CF">
        <w:rPr>
          <w:rFonts w:cs="Arial"/>
        </w:rPr>
        <w:t xml:space="preserve">artículo 198 de </w:t>
      </w:r>
      <w:r w:rsidRPr="00F604CF">
        <w:rPr>
          <w:rFonts w:cs="Arial"/>
        </w:rPr>
        <w:t xml:space="preserve">la Ley </w:t>
      </w:r>
      <w:r w:rsidR="00165427" w:rsidRPr="00F604CF">
        <w:rPr>
          <w:rFonts w:cs="Arial"/>
        </w:rPr>
        <w:t>1450</w:t>
      </w:r>
      <w:r w:rsidR="0068634C" w:rsidRPr="00F604CF">
        <w:rPr>
          <w:rFonts w:cs="Arial"/>
        </w:rPr>
        <w:t xml:space="preserve"> de 2011</w:t>
      </w:r>
      <w:r w:rsidR="007F6FA1" w:rsidRPr="00F604CF">
        <w:rPr>
          <w:rFonts w:cs="Arial"/>
        </w:rPr>
        <w:t xml:space="preserve"> -</w:t>
      </w:r>
      <w:r w:rsidR="0068634C" w:rsidRPr="00F604CF">
        <w:rPr>
          <w:rFonts w:cs="Arial"/>
        </w:rPr>
        <w:t xml:space="preserve">mediante la cual </w:t>
      </w:r>
      <w:r w:rsidR="008770D0" w:rsidRPr="00F604CF">
        <w:rPr>
          <w:rFonts w:cs="Arial"/>
        </w:rPr>
        <w:t>entraron a aplicarse las</w:t>
      </w:r>
      <w:r w:rsidR="0068634C" w:rsidRPr="00F604CF">
        <w:rPr>
          <w:rFonts w:cs="Arial"/>
        </w:rPr>
        <w:t xml:space="preserve"> cuantías </w:t>
      </w:r>
      <w:r w:rsidR="008770D0" w:rsidRPr="00F604CF">
        <w:rPr>
          <w:rFonts w:cs="Arial"/>
        </w:rPr>
        <w:t xml:space="preserve">establecidas en </w:t>
      </w:r>
      <w:r w:rsidR="007F6FA1" w:rsidRPr="00F604CF">
        <w:rPr>
          <w:rFonts w:cs="Arial"/>
        </w:rPr>
        <w:t>el C</w:t>
      </w:r>
      <w:r w:rsidR="0029577B" w:rsidRPr="00F604CF">
        <w:rPr>
          <w:rFonts w:cs="Arial"/>
        </w:rPr>
        <w:t>.</w:t>
      </w:r>
      <w:r w:rsidR="007F6FA1" w:rsidRPr="00F604CF">
        <w:rPr>
          <w:rFonts w:cs="Arial"/>
        </w:rPr>
        <w:t>P</w:t>
      </w:r>
      <w:r w:rsidR="0029577B" w:rsidRPr="00F604CF">
        <w:rPr>
          <w:rFonts w:cs="Arial"/>
        </w:rPr>
        <w:t>.</w:t>
      </w:r>
      <w:r w:rsidR="007F6FA1" w:rsidRPr="00F604CF">
        <w:rPr>
          <w:rFonts w:cs="Arial"/>
        </w:rPr>
        <w:t>A</w:t>
      </w:r>
      <w:r w:rsidR="0029577B" w:rsidRPr="00F604CF">
        <w:rPr>
          <w:rFonts w:cs="Arial"/>
        </w:rPr>
        <w:t>.</w:t>
      </w:r>
      <w:r w:rsidR="007F6FA1" w:rsidRPr="00F604CF">
        <w:rPr>
          <w:rFonts w:cs="Arial"/>
        </w:rPr>
        <w:t>C</w:t>
      </w:r>
      <w:r w:rsidR="0029577B" w:rsidRPr="00F604CF">
        <w:rPr>
          <w:rFonts w:cs="Arial"/>
        </w:rPr>
        <w:t>.</w:t>
      </w:r>
      <w:r w:rsidR="007F6FA1" w:rsidRPr="00F604CF">
        <w:rPr>
          <w:rFonts w:cs="Arial"/>
        </w:rPr>
        <w:t>A</w:t>
      </w:r>
      <w:r w:rsidR="0029577B" w:rsidRPr="00F604CF">
        <w:rPr>
          <w:rFonts w:cs="Arial"/>
        </w:rPr>
        <w:t>.</w:t>
      </w:r>
      <w:r w:rsidR="007F6FA1" w:rsidRPr="00F604CF">
        <w:rPr>
          <w:rFonts w:cs="Arial"/>
        </w:rPr>
        <w:t>-</w:t>
      </w:r>
      <w:r w:rsidR="00305588" w:rsidRPr="00F604CF">
        <w:rPr>
          <w:rFonts w:cs="Arial"/>
        </w:rPr>
        <w:t xml:space="preserve"> para que un proceso contractual tuviera vocación de doble instancia. </w:t>
      </w:r>
    </w:p>
    <w:p w14:paraId="243EF4A8" w14:textId="77777777" w:rsidR="00305588" w:rsidRPr="00F604CF" w:rsidRDefault="00305588" w:rsidP="00F604CF">
      <w:pPr>
        <w:rPr>
          <w:rFonts w:cs="Arial"/>
        </w:rPr>
      </w:pPr>
    </w:p>
    <w:p w14:paraId="1E3CA4F5" w14:textId="77777777" w:rsidR="0086309E" w:rsidRPr="00F604CF" w:rsidRDefault="0086309E" w:rsidP="00F604CF">
      <w:pPr>
        <w:spacing w:line="240" w:lineRule="auto"/>
        <w:rPr>
          <w:rFonts w:cs="Arial"/>
          <w:b/>
        </w:rPr>
      </w:pPr>
      <w:r w:rsidRPr="00F604CF">
        <w:rPr>
          <w:rFonts w:cs="Arial"/>
          <w:b/>
        </w:rPr>
        <w:t>2. Caducidad de la acción contractual contra los actos previos</w:t>
      </w:r>
    </w:p>
    <w:p w14:paraId="1790FFE8" w14:textId="77777777" w:rsidR="0086309E" w:rsidRPr="00F604CF" w:rsidRDefault="0086309E" w:rsidP="00F604CF">
      <w:pPr>
        <w:rPr>
          <w:rFonts w:cs="Arial"/>
          <w:b/>
        </w:rPr>
      </w:pPr>
    </w:p>
    <w:p w14:paraId="30B623E6" w14:textId="77777777" w:rsidR="0086309E" w:rsidRPr="00F604CF" w:rsidRDefault="0086309E" w:rsidP="00F604CF">
      <w:pPr>
        <w:tabs>
          <w:tab w:val="center" w:pos="4419"/>
          <w:tab w:val="right" w:pos="8838"/>
        </w:tabs>
        <w:overflowPunct w:val="0"/>
        <w:autoSpaceDE w:val="0"/>
        <w:autoSpaceDN w:val="0"/>
        <w:adjustRightInd w:val="0"/>
        <w:textAlignment w:val="baseline"/>
        <w:rPr>
          <w:rFonts w:cs="Arial"/>
        </w:rPr>
      </w:pPr>
      <w:r w:rsidRPr="00F604CF">
        <w:rPr>
          <w:rFonts w:cs="Arial"/>
        </w:rPr>
        <w:t>Con el propósito de verificar el presupuesto de oportunidad de la demanda, debe observarse el contenido normativo del artículo 87 del Código Contencioso Administrativo, aplicable en este proceso:</w:t>
      </w:r>
    </w:p>
    <w:p w14:paraId="568C065F" w14:textId="77777777" w:rsidR="0086309E" w:rsidRPr="00F604CF" w:rsidRDefault="0086309E" w:rsidP="00F604CF">
      <w:pPr>
        <w:tabs>
          <w:tab w:val="center" w:pos="4419"/>
          <w:tab w:val="right" w:pos="8838"/>
        </w:tabs>
        <w:overflowPunct w:val="0"/>
        <w:autoSpaceDE w:val="0"/>
        <w:autoSpaceDN w:val="0"/>
        <w:adjustRightInd w:val="0"/>
        <w:textAlignment w:val="baseline"/>
        <w:rPr>
          <w:rFonts w:cs="Arial"/>
        </w:rPr>
      </w:pPr>
    </w:p>
    <w:p w14:paraId="54DD3FDB" w14:textId="77777777" w:rsidR="0086309E" w:rsidRPr="00F604CF" w:rsidRDefault="0086309E" w:rsidP="00F604CF">
      <w:pPr>
        <w:pStyle w:val="NormalWeb"/>
        <w:shd w:val="clear" w:color="auto" w:fill="FFFFFF"/>
        <w:spacing w:before="0" w:beforeAutospacing="0" w:after="0" w:afterAutospacing="0" w:line="276" w:lineRule="auto"/>
        <w:rPr>
          <w:rFonts w:cs="Arial"/>
          <w:i/>
          <w:color w:val="000000"/>
        </w:rPr>
      </w:pPr>
      <w:r w:rsidRPr="00F604CF">
        <w:rPr>
          <w:rFonts w:cs="Arial"/>
          <w:bCs/>
          <w:i/>
          <w:color w:val="000000"/>
        </w:rPr>
        <w:t>“A</w:t>
      </w:r>
      <w:r w:rsidR="00130820" w:rsidRPr="00F604CF">
        <w:rPr>
          <w:rFonts w:cs="Arial"/>
          <w:bCs/>
          <w:i/>
          <w:color w:val="000000"/>
        </w:rPr>
        <w:t>rtículo</w:t>
      </w:r>
      <w:bookmarkStart w:id="0" w:name="87"/>
      <w:r w:rsidRPr="00F604CF">
        <w:rPr>
          <w:rFonts w:cs="Arial"/>
          <w:bCs/>
          <w:i/>
          <w:color w:val="000000"/>
        </w:rPr>
        <w:t> </w:t>
      </w:r>
      <w:bookmarkEnd w:id="0"/>
      <w:r w:rsidRPr="00F604CF">
        <w:rPr>
          <w:rFonts w:cs="Arial"/>
          <w:bCs/>
          <w:i/>
          <w:color w:val="000000"/>
        </w:rPr>
        <w:t>87.</w:t>
      </w:r>
      <w:r w:rsidRPr="00F604CF">
        <w:rPr>
          <w:rStyle w:val="apple-converted-space"/>
          <w:rFonts w:cs="Arial"/>
          <w:b/>
          <w:bCs/>
          <w:i/>
          <w:color w:val="000000"/>
        </w:rPr>
        <w:t> </w:t>
      </w:r>
      <w:r w:rsidRPr="00F604CF">
        <w:rPr>
          <w:rFonts w:cs="Arial"/>
          <w:i/>
          <w:color w:val="000000"/>
        </w:rPr>
        <w:t>De las controversias contractuales.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p>
    <w:p w14:paraId="46E78A20" w14:textId="77777777" w:rsidR="0086309E" w:rsidRPr="00F604CF" w:rsidRDefault="0086309E" w:rsidP="00F604CF">
      <w:pPr>
        <w:pStyle w:val="NormalWeb"/>
        <w:spacing w:before="0" w:beforeAutospacing="0" w:after="0" w:afterAutospacing="0" w:line="276" w:lineRule="auto"/>
        <w:rPr>
          <w:rFonts w:cs="Arial"/>
          <w:i/>
          <w:color w:val="000000"/>
          <w:shd w:val="clear" w:color="auto" w:fill="FFFFFF"/>
        </w:rPr>
      </w:pPr>
    </w:p>
    <w:p w14:paraId="3BAAD819" w14:textId="77777777" w:rsidR="0086309E" w:rsidRPr="00F604CF" w:rsidRDefault="0086309E" w:rsidP="00F604CF">
      <w:pPr>
        <w:pStyle w:val="NormalWeb"/>
        <w:spacing w:before="0" w:beforeAutospacing="0" w:after="0" w:afterAutospacing="0" w:line="276" w:lineRule="auto"/>
        <w:rPr>
          <w:rStyle w:val="apple-converted-space"/>
          <w:rFonts w:cs="Arial"/>
          <w:i/>
          <w:color w:val="000000"/>
          <w:shd w:val="clear" w:color="auto" w:fill="FFFFFF"/>
        </w:rPr>
      </w:pPr>
      <w:r w:rsidRPr="00F604CF">
        <w:rPr>
          <w:rFonts w:cs="Arial"/>
          <w:i/>
          <w:color w:val="000000"/>
          <w:shd w:val="clear" w:color="auto" w:fill="FFFFFF"/>
        </w:rPr>
        <w:t>“</w:t>
      </w:r>
      <w:bookmarkStart w:id="1" w:name="_Hlk25246175"/>
      <w:r w:rsidRPr="00F604CF">
        <w:rPr>
          <w:rFonts w:cs="Arial"/>
          <w:b/>
          <w:i/>
          <w:color w:val="000000"/>
          <w:shd w:val="clear" w:color="auto" w:fill="FFFFFF"/>
        </w:rPr>
        <w:t>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w:t>
      </w:r>
      <w:r w:rsidRPr="00F604CF">
        <w:rPr>
          <w:rFonts w:cs="Arial"/>
          <w:i/>
          <w:color w:val="000000"/>
          <w:shd w:val="clear" w:color="auto" w:fill="FFFFFF"/>
        </w:rPr>
        <w:t>. La interposición de estas acciones no interrumpirá el proceso licitatorio, ni la celebración y ejecución del contrato.</w:t>
      </w:r>
      <w:r w:rsidRPr="00F604CF">
        <w:rPr>
          <w:rStyle w:val="apple-converted-space"/>
          <w:rFonts w:cs="Arial"/>
          <w:i/>
          <w:color w:val="000000"/>
          <w:shd w:val="clear" w:color="auto" w:fill="FFFFFF"/>
        </w:rPr>
        <w:t> </w:t>
      </w:r>
      <w:r w:rsidRPr="00F604CF">
        <w:rPr>
          <w:rFonts w:cs="Arial"/>
          <w:i/>
          <w:color w:val="000000"/>
          <w:shd w:val="clear" w:color="auto" w:fill="FFFFFF"/>
        </w:rPr>
        <w:t>Una vez celebrado éste, la ilegalidad de los actos previos</w:t>
      </w:r>
      <w:r w:rsidRPr="00F604CF">
        <w:rPr>
          <w:rStyle w:val="apple-converted-space"/>
          <w:rFonts w:cs="Arial"/>
          <w:i/>
          <w:color w:val="000000"/>
          <w:shd w:val="clear" w:color="auto" w:fill="FFFFFF"/>
        </w:rPr>
        <w:t> </w:t>
      </w:r>
      <w:r w:rsidRPr="00F604CF">
        <w:rPr>
          <w:rFonts w:cs="Arial"/>
          <w:i/>
          <w:color w:val="000000"/>
          <w:shd w:val="clear" w:color="auto" w:fill="FFFFFF"/>
        </w:rPr>
        <w:t>solamente</w:t>
      </w:r>
      <w:r w:rsidRPr="00F604CF">
        <w:rPr>
          <w:rStyle w:val="apple-converted-space"/>
          <w:rFonts w:cs="Arial"/>
          <w:i/>
          <w:color w:val="000000"/>
          <w:shd w:val="clear" w:color="auto" w:fill="FFFFFF"/>
        </w:rPr>
        <w:t> </w:t>
      </w:r>
      <w:r w:rsidRPr="00F604CF">
        <w:rPr>
          <w:rFonts w:cs="Arial"/>
          <w:i/>
          <w:color w:val="000000"/>
          <w:shd w:val="clear" w:color="auto" w:fill="FFFFFF"/>
        </w:rPr>
        <w:t>podrá invocarse como fundamento de nulidad absoluta del contrato.</w:t>
      </w:r>
      <w:r w:rsidRPr="00F604CF">
        <w:rPr>
          <w:rStyle w:val="apple-converted-space"/>
          <w:rFonts w:cs="Arial"/>
          <w:i/>
          <w:color w:val="000000"/>
          <w:shd w:val="clear" w:color="auto" w:fill="FFFFFF"/>
        </w:rPr>
        <w:t> </w:t>
      </w:r>
    </w:p>
    <w:bookmarkEnd w:id="1"/>
    <w:p w14:paraId="24311532" w14:textId="77777777" w:rsidR="0086309E" w:rsidRPr="00F604CF" w:rsidRDefault="0086309E" w:rsidP="00F604CF">
      <w:pPr>
        <w:pStyle w:val="NormalWeb"/>
        <w:spacing w:before="0" w:beforeAutospacing="0" w:after="0" w:afterAutospacing="0" w:line="276" w:lineRule="auto"/>
        <w:rPr>
          <w:rFonts w:cs="Arial"/>
          <w:i/>
          <w:color w:val="000000"/>
          <w:shd w:val="clear" w:color="auto" w:fill="FFFFFF"/>
        </w:rPr>
      </w:pPr>
    </w:p>
    <w:p w14:paraId="0A06D80A" w14:textId="77777777" w:rsidR="0086309E" w:rsidRPr="00F604CF" w:rsidRDefault="0086309E" w:rsidP="00F604CF">
      <w:pPr>
        <w:pStyle w:val="NormalWeb"/>
        <w:spacing w:before="0" w:beforeAutospacing="0" w:after="0" w:afterAutospacing="0" w:line="276" w:lineRule="auto"/>
        <w:rPr>
          <w:rFonts w:cs="Arial"/>
          <w:i/>
          <w:color w:val="000000"/>
          <w:shd w:val="clear" w:color="auto" w:fill="FFFFFF"/>
        </w:rPr>
      </w:pPr>
      <w:r w:rsidRPr="00F604CF">
        <w:rPr>
          <w:rFonts w:cs="Arial"/>
          <w:i/>
          <w:color w:val="000000"/>
          <w:shd w:val="clear" w:color="auto" w:fill="FFFFFF"/>
        </w:rPr>
        <w:t>“El Ministerio Público o cualquier tercero que acredite un interés directo podrá pedir que se declare su nulidad absoluta. El juez administrativo queda facultado para declararla de oficio cuando esté plenamente demostrada en el proceso. En todo caso, dicha declaración sólo podrá hacerse siempre que en él intervengan las partes contratantes o sus causahabientes.</w:t>
      </w:r>
    </w:p>
    <w:p w14:paraId="439AA5F0" w14:textId="77777777" w:rsidR="0086309E" w:rsidRPr="00F604CF" w:rsidRDefault="0086309E" w:rsidP="00F604CF">
      <w:pPr>
        <w:pStyle w:val="NormalWeb"/>
        <w:spacing w:before="0" w:beforeAutospacing="0" w:after="0" w:afterAutospacing="0" w:line="276" w:lineRule="auto"/>
        <w:rPr>
          <w:rFonts w:cs="Arial"/>
          <w:i/>
          <w:color w:val="000000"/>
          <w:shd w:val="clear" w:color="auto" w:fill="FFFFFF"/>
        </w:rPr>
      </w:pPr>
    </w:p>
    <w:p w14:paraId="1EDCCBC5" w14:textId="77777777" w:rsidR="0086309E" w:rsidRPr="00F604CF" w:rsidRDefault="0086309E" w:rsidP="00F604CF">
      <w:pPr>
        <w:pStyle w:val="NormalWeb"/>
        <w:spacing w:before="0" w:beforeAutospacing="0" w:after="0" w:afterAutospacing="0" w:line="276" w:lineRule="auto"/>
        <w:rPr>
          <w:rFonts w:cs="Arial"/>
          <w:color w:val="000000"/>
          <w:shd w:val="clear" w:color="auto" w:fill="FFFFFF"/>
        </w:rPr>
      </w:pPr>
      <w:r w:rsidRPr="00F604CF">
        <w:rPr>
          <w:rFonts w:cs="Arial"/>
          <w:i/>
          <w:color w:val="000000"/>
          <w:shd w:val="clear" w:color="auto" w:fill="FFFFFF"/>
        </w:rPr>
        <w:t>“En los procesos ejecutivos derivados de condenas impuestas por la jurisdicción contencioso administrativa se aplicará la regulación del proceso ejecutivo singular de mayor cuantía contenida en el Código de Procedimiento Civil”</w:t>
      </w:r>
      <w:r w:rsidR="00EE5692" w:rsidRPr="00F604CF">
        <w:rPr>
          <w:rFonts w:cs="Arial"/>
          <w:i/>
          <w:color w:val="000000"/>
          <w:shd w:val="clear" w:color="auto" w:fill="FFFFFF"/>
        </w:rPr>
        <w:t xml:space="preserve"> </w:t>
      </w:r>
      <w:r w:rsidR="00EE5692" w:rsidRPr="00F604CF">
        <w:rPr>
          <w:rFonts w:cs="Arial"/>
          <w:color w:val="000000"/>
          <w:shd w:val="clear" w:color="auto" w:fill="FFFFFF"/>
        </w:rPr>
        <w:t>(la negrilla no es del texto)</w:t>
      </w:r>
      <w:r w:rsidRPr="00F604CF">
        <w:rPr>
          <w:rFonts w:cs="Arial"/>
          <w:color w:val="000000"/>
          <w:shd w:val="clear" w:color="auto" w:fill="FFFFFF"/>
        </w:rPr>
        <w:t>.</w:t>
      </w:r>
    </w:p>
    <w:p w14:paraId="17820768" w14:textId="77777777" w:rsidR="0086309E" w:rsidRPr="00F604CF" w:rsidRDefault="0086309E" w:rsidP="00F604CF">
      <w:pPr>
        <w:tabs>
          <w:tab w:val="center" w:pos="4419"/>
          <w:tab w:val="right" w:pos="8838"/>
        </w:tabs>
        <w:overflowPunct w:val="0"/>
        <w:autoSpaceDE w:val="0"/>
        <w:autoSpaceDN w:val="0"/>
        <w:adjustRightInd w:val="0"/>
        <w:textAlignment w:val="baseline"/>
        <w:rPr>
          <w:rFonts w:cs="Arial"/>
        </w:rPr>
      </w:pPr>
    </w:p>
    <w:p w14:paraId="7262D527" w14:textId="77777777" w:rsidR="0086309E" w:rsidRPr="00F604CF" w:rsidRDefault="0086309E" w:rsidP="00F604CF">
      <w:pPr>
        <w:tabs>
          <w:tab w:val="center" w:pos="4419"/>
          <w:tab w:val="right" w:pos="8838"/>
        </w:tabs>
        <w:overflowPunct w:val="0"/>
        <w:autoSpaceDE w:val="0"/>
        <w:autoSpaceDN w:val="0"/>
        <w:adjustRightInd w:val="0"/>
        <w:textAlignment w:val="baseline"/>
        <w:rPr>
          <w:rFonts w:cs="Arial"/>
        </w:rPr>
      </w:pPr>
      <w:r w:rsidRPr="00F604CF">
        <w:rPr>
          <w:rFonts w:cs="Arial"/>
        </w:rPr>
        <w:t xml:space="preserve">En relación con el artículo 87 del Código Contencioso Administrativo, la Sala reitera a continuación la </w:t>
      </w:r>
      <w:r w:rsidR="004C1221" w:rsidRPr="00F604CF">
        <w:rPr>
          <w:rFonts w:cs="Arial"/>
        </w:rPr>
        <w:t>j</w:t>
      </w:r>
      <w:r w:rsidRPr="00F604CF">
        <w:rPr>
          <w:rFonts w:cs="Arial"/>
        </w:rPr>
        <w:t>urisprudencia de la Subsección A</w:t>
      </w:r>
      <w:r w:rsidRPr="00F604CF">
        <w:rPr>
          <w:rStyle w:val="Refdenotaalpie"/>
          <w:rFonts w:cs="Arial"/>
        </w:rPr>
        <w:footnoteReference w:id="23"/>
      </w:r>
      <w:r w:rsidRPr="00F604CF">
        <w:rPr>
          <w:rFonts w:cs="Arial"/>
        </w:rPr>
        <w:t>, desarrollada en diversos fallos acerca de la acción contra los actos previos a la celebración del contrato estatal, en los cuales analizó la caducidad de la acción</w:t>
      </w:r>
      <w:r w:rsidRPr="00F604CF">
        <w:rPr>
          <w:rStyle w:val="Refdenotaalpie"/>
          <w:rFonts w:cs="Arial"/>
        </w:rPr>
        <w:footnoteReference w:id="24"/>
      </w:r>
      <w:r w:rsidRPr="00F604CF">
        <w:rPr>
          <w:rFonts w:cs="Arial"/>
        </w:rPr>
        <w:t>, con el siguiente fundamento:</w:t>
      </w:r>
    </w:p>
    <w:p w14:paraId="54983818" w14:textId="77777777" w:rsidR="0086309E" w:rsidRPr="00F604CF" w:rsidRDefault="0086309E" w:rsidP="00F604CF">
      <w:pPr>
        <w:tabs>
          <w:tab w:val="center" w:pos="4419"/>
          <w:tab w:val="right" w:pos="8838"/>
        </w:tabs>
        <w:overflowPunct w:val="0"/>
        <w:autoSpaceDE w:val="0"/>
        <w:autoSpaceDN w:val="0"/>
        <w:adjustRightInd w:val="0"/>
        <w:textAlignment w:val="baseline"/>
        <w:rPr>
          <w:rFonts w:cs="Arial"/>
        </w:rPr>
      </w:pPr>
    </w:p>
    <w:p w14:paraId="6EACE588" w14:textId="77777777" w:rsidR="0086309E" w:rsidRPr="00F604CF" w:rsidRDefault="0086309E" w:rsidP="00F604CF">
      <w:pPr>
        <w:tabs>
          <w:tab w:val="center" w:pos="4419"/>
          <w:tab w:val="right" w:pos="8838"/>
        </w:tabs>
        <w:overflowPunct w:val="0"/>
        <w:autoSpaceDE w:val="0"/>
        <w:autoSpaceDN w:val="0"/>
        <w:adjustRightInd w:val="0"/>
        <w:spacing w:line="276" w:lineRule="auto"/>
        <w:textAlignment w:val="baseline"/>
        <w:rPr>
          <w:rFonts w:cs="Arial"/>
          <w:i/>
        </w:rPr>
      </w:pPr>
      <w:r w:rsidRPr="00F604CF">
        <w:rPr>
          <w:rFonts w:cs="Arial"/>
          <w:i/>
        </w:rPr>
        <w:t>“Así pues, con el propósito de precisar el sentido lógico y razonable con el cual la jurisprudencia de la Sección Tercera ha reconocido la plenitud de los efectos que se derivan del texto consagrado en el comentado inciso 2º del artículo 87 del C.C.A. -norma aplicable exclusivamente a los procesos judiciales iniciados con posterioridad al 8 de julio de 1998, fecha de la publicación de la Ley 446 de julio 7 de 1998 y anteriores al 2 de julio de 2012, puesto que la presentación de demandas con posterioridad a la última fecha señalada se han de regir por las nuevas disposiciones consagradas en el artículo 164-2-c) de la Ley 1437- la Sala estima importante puntualizar las diversas hipótesis que se contemplan y regulan dentro de la norma legal en examen, en orden a clarificar la aplicación de los diversos términos de caducidad que en ella se consagran y aclarar así los efectos que se derivan de dicha disposición.</w:t>
      </w:r>
    </w:p>
    <w:p w14:paraId="79EE7310" w14:textId="77777777" w:rsidR="0086309E" w:rsidRPr="00F604CF" w:rsidRDefault="0086309E" w:rsidP="00F604CF">
      <w:pPr>
        <w:tabs>
          <w:tab w:val="center" w:pos="4419"/>
          <w:tab w:val="right" w:pos="8838"/>
        </w:tabs>
        <w:overflowPunct w:val="0"/>
        <w:autoSpaceDE w:val="0"/>
        <w:autoSpaceDN w:val="0"/>
        <w:adjustRightInd w:val="0"/>
        <w:spacing w:line="276" w:lineRule="auto"/>
        <w:textAlignment w:val="baseline"/>
        <w:rPr>
          <w:rFonts w:cs="Arial"/>
          <w:i/>
        </w:rPr>
      </w:pPr>
    </w:p>
    <w:p w14:paraId="4BC112F0" w14:textId="77777777" w:rsidR="0086309E" w:rsidRPr="00F604CF" w:rsidRDefault="0086309E" w:rsidP="00F604CF">
      <w:pPr>
        <w:numPr>
          <w:ilvl w:val="0"/>
          <w:numId w:val="18"/>
        </w:numPr>
        <w:tabs>
          <w:tab w:val="center" w:pos="1701"/>
          <w:tab w:val="right" w:pos="8838"/>
        </w:tabs>
        <w:overflowPunct w:val="0"/>
        <w:autoSpaceDE w:val="0"/>
        <w:autoSpaceDN w:val="0"/>
        <w:adjustRightInd w:val="0"/>
        <w:spacing w:line="276" w:lineRule="auto"/>
        <w:ind w:left="0" w:firstLine="0"/>
        <w:textAlignment w:val="baseline"/>
        <w:rPr>
          <w:rFonts w:cs="Arial"/>
          <w:i/>
        </w:rPr>
      </w:pPr>
      <w:bookmarkStart w:id="2" w:name="_Hlk25246243"/>
      <w:r w:rsidRPr="00F604CF">
        <w:rPr>
          <w:rFonts w:cs="Arial"/>
          <w:i/>
        </w:rPr>
        <w:t xml:space="preserve">“La </w:t>
      </w:r>
      <w:r w:rsidRPr="00F604CF">
        <w:rPr>
          <w:rFonts w:cs="Arial"/>
          <w:b/>
          <w:i/>
        </w:rPr>
        <w:t>primera hipótesis</w:t>
      </w:r>
      <w:r w:rsidRPr="00F604CF">
        <w:rPr>
          <w:rFonts w:cs="Arial"/>
          <w:i/>
        </w:rPr>
        <w:t xml:space="preserve"> se refiere a aquellos casos en los cuales </w:t>
      </w:r>
      <w:r w:rsidRPr="00F604CF">
        <w:rPr>
          <w:rFonts w:cs="Arial"/>
          <w:b/>
          <w:i/>
        </w:rPr>
        <w:t>el contrato estatal no se ha celebrado aun para la fecha en que, dentro de los 30 días</w:t>
      </w:r>
      <w:r w:rsidRPr="00F604CF">
        <w:rPr>
          <w:rFonts w:cs="Arial"/>
          <w:i/>
        </w:rPr>
        <w:t xml:space="preserve"> </w:t>
      </w:r>
      <w:r w:rsidRPr="00F604CF">
        <w:rPr>
          <w:rFonts w:cs="Arial"/>
          <w:b/>
          <w:i/>
        </w:rPr>
        <w:t>siguientes</w:t>
      </w:r>
      <w:r w:rsidRPr="00F604CF">
        <w:rPr>
          <w:rFonts w:cs="Arial"/>
          <w:i/>
        </w:rPr>
        <w:t xml:space="preserve"> a la comunicación, notificación o publicación del correspondiente acto administrativo de adjudicación, </w:t>
      </w:r>
      <w:r w:rsidRPr="00F604CF">
        <w:rPr>
          <w:rFonts w:cs="Arial"/>
          <w:b/>
          <w:i/>
        </w:rPr>
        <w:t>se demanda ese acto administrativo previo</w:t>
      </w:r>
      <w:r w:rsidRPr="00F604CF">
        <w:rPr>
          <w:rFonts w:cs="Arial"/>
          <w:i/>
        </w:rPr>
        <w:t xml:space="preserve"> en ejercicio de la acción de nulidad y restablecimiento del derecho, caso en el cual y sin mayor discusión se tiene que el interesado podrá pretender e incluso obtener tanto la declaratoria judicial de nulidad del aludido acto administrativo, como el restablecimiento de sus derechos, cuestión ésta que de ordinario se concreta en el reconocimiento de los perjuicios ocasionados por el acto nulo y la consiguiente condena para repararlos.  </w:t>
      </w:r>
    </w:p>
    <w:p w14:paraId="49007134" w14:textId="77777777" w:rsidR="0086309E" w:rsidRPr="00F604CF" w:rsidRDefault="0086309E" w:rsidP="00F604CF">
      <w:pPr>
        <w:tabs>
          <w:tab w:val="center" w:pos="4419"/>
          <w:tab w:val="right" w:pos="8838"/>
        </w:tabs>
        <w:overflowPunct w:val="0"/>
        <w:autoSpaceDE w:val="0"/>
        <w:autoSpaceDN w:val="0"/>
        <w:adjustRightInd w:val="0"/>
        <w:spacing w:line="276" w:lineRule="auto"/>
        <w:textAlignment w:val="baseline"/>
        <w:rPr>
          <w:rFonts w:cs="Arial"/>
          <w:b/>
          <w:i/>
        </w:rPr>
      </w:pPr>
    </w:p>
    <w:p w14:paraId="3103C6F0" w14:textId="77777777" w:rsidR="0086309E" w:rsidRPr="00F604CF" w:rsidRDefault="0086309E" w:rsidP="00F604CF">
      <w:pPr>
        <w:numPr>
          <w:ilvl w:val="0"/>
          <w:numId w:val="18"/>
        </w:numPr>
        <w:tabs>
          <w:tab w:val="center" w:pos="1701"/>
          <w:tab w:val="right" w:pos="8838"/>
        </w:tabs>
        <w:overflowPunct w:val="0"/>
        <w:autoSpaceDE w:val="0"/>
        <w:autoSpaceDN w:val="0"/>
        <w:adjustRightInd w:val="0"/>
        <w:spacing w:line="276" w:lineRule="auto"/>
        <w:ind w:left="0" w:firstLine="0"/>
        <w:textAlignment w:val="baseline"/>
        <w:rPr>
          <w:rFonts w:cs="Arial"/>
          <w:i/>
        </w:rPr>
      </w:pPr>
      <w:r w:rsidRPr="00F604CF">
        <w:rPr>
          <w:rFonts w:cs="Arial"/>
          <w:b/>
          <w:i/>
        </w:rPr>
        <w:t>“Una segunda</w:t>
      </w:r>
      <w:r w:rsidRPr="00F604CF">
        <w:rPr>
          <w:rFonts w:cs="Arial"/>
          <w:i/>
        </w:rPr>
        <w:t xml:space="preserve"> </w:t>
      </w:r>
      <w:r w:rsidRPr="00F604CF">
        <w:rPr>
          <w:rFonts w:cs="Arial"/>
          <w:b/>
          <w:i/>
        </w:rPr>
        <w:t xml:space="preserve">hipótesis </w:t>
      </w:r>
      <w:r w:rsidRPr="00F604CF">
        <w:rPr>
          <w:rFonts w:cs="Arial"/>
          <w:i/>
        </w:rPr>
        <w:t xml:space="preserve">dice relación con aquellos casos en los cuales hubiere </w:t>
      </w:r>
      <w:r w:rsidRPr="00F604CF">
        <w:rPr>
          <w:rFonts w:cs="Arial"/>
          <w:b/>
          <w:i/>
        </w:rPr>
        <w:t xml:space="preserve">transcurrido el término de 30 días sin que se hubiere celebrado el correspondiente contrato estatal pero igual sin que se hubiere formulado demanda </w:t>
      </w:r>
      <w:r w:rsidRPr="00F604CF">
        <w:rPr>
          <w:rFonts w:cs="Arial"/>
          <w:i/>
        </w:rPr>
        <w:t>contra el acto administrativo previo dentro de ese mismo término, cuestión que, como resulta apenas natural, da lugar a la configuración de la caducidad de la acción de nulidad y restablecimiento del derecho, lo cual priva definitivamente al interesado de la posibilidad de revivir ese plazo y/o de acudir en una nueva oportunidad ante la Jurisdicción en procura de obtener el reconocimiento de los derechos que le habrían sido desconocidos con la expedición del correspondiente acto administrativo.</w:t>
      </w:r>
    </w:p>
    <w:bookmarkEnd w:id="2"/>
    <w:p w14:paraId="78F3A001" w14:textId="77777777" w:rsidR="0086309E" w:rsidRPr="00F604CF" w:rsidRDefault="0086309E" w:rsidP="00F604CF">
      <w:pPr>
        <w:tabs>
          <w:tab w:val="center" w:pos="4419"/>
          <w:tab w:val="right" w:pos="8838"/>
        </w:tabs>
        <w:overflowPunct w:val="0"/>
        <w:autoSpaceDE w:val="0"/>
        <w:autoSpaceDN w:val="0"/>
        <w:adjustRightInd w:val="0"/>
        <w:spacing w:line="276" w:lineRule="auto"/>
        <w:textAlignment w:val="baseline"/>
        <w:rPr>
          <w:rFonts w:cs="Arial"/>
          <w:i/>
        </w:rPr>
      </w:pPr>
    </w:p>
    <w:p w14:paraId="354E36C2" w14:textId="77777777" w:rsidR="0086309E" w:rsidRPr="00F604CF" w:rsidRDefault="0086309E" w:rsidP="00F604CF">
      <w:pPr>
        <w:tabs>
          <w:tab w:val="center" w:pos="4419"/>
          <w:tab w:val="right" w:pos="8838"/>
        </w:tabs>
        <w:overflowPunct w:val="0"/>
        <w:autoSpaceDE w:val="0"/>
        <w:autoSpaceDN w:val="0"/>
        <w:adjustRightInd w:val="0"/>
        <w:spacing w:line="276" w:lineRule="auto"/>
        <w:textAlignment w:val="baseline"/>
        <w:rPr>
          <w:rFonts w:cs="Arial"/>
          <w:i/>
        </w:rPr>
      </w:pPr>
      <w:r w:rsidRPr="00F604CF">
        <w:rPr>
          <w:rFonts w:cs="Arial"/>
          <w:i/>
        </w:rPr>
        <w:t>“Así pues, si con posterioridad al vencimiento del aludido plazo de los 30 días se celebra el correspondiente contrato estatal, mal podría considerarse que quien dejó operar la caducidad administrativa para demandar el acto previo en ejercicio de la acción de nulidad y restablecimiento del derecho, pudiere encontrar entonces en la acción contractual una oportunidad nueva para demandar aquello que no cuestionó judicialmente dentro del plazo que la ley le estableció para ese propósito</w:t>
      </w:r>
      <w:r w:rsidRPr="00F604CF">
        <w:rPr>
          <w:rFonts w:cs="Arial"/>
          <w:i/>
          <w:vertAlign w:val="superscript"/>
        </w:rPr>
        <w:footnoteReference w:id="25"/>
      </w:r>
      <w:r w:rsidRPr="00F604CF">
        <w:rPr>
          <w:rFonts w:cs="Arial"/>
          <w:i/>
        </w:rPr>
        <w:t>.</w:t>
      </w:r>
    </w:p>
    <w:p w14:paraId="149775A3" w14:textId="77777777" w:rsidR="0086309E" w:rsidRPr="00F604CF" w:rsidRDefault="0086309E" w:rsidP="00F604CF">
      <w:pPr>
        <w:tabs>
          <w:tab w:val="center" w:pos="4419"/>
          <w:tab w:val="right" w:pos="8838"/>
        </w:tabs>
        <w:overflowPunct w:val="0"/>
        <w:autoSpaceDE w:val="0"/>
        <w:autoSpaceDN w:val="0"/>
        <w:adjustRightInd w:val="0"/>
        <w:spacing w:line="276" w:lineRule="auto"/>
        <w:textAlignment w:val="baseline"/>
        <w:rPr>
          <w:rFonts w:cs="Arial"/>
          <w:i/>
        </w:rPr>
      </w:pPr>
    </w:p>
    <w:p w14:paraId="1188BACB" w14:textId="77777777" w:rsidR="0086309E" w:rsidRPr="00F604CF" w:rsidRDefault="0086309E" w:rsidP="00F604CF">
      <w:pPr>
        <w:tabs>
          <w:tab w:val="center" w:pos="4419"/>
          <w:tab w:val="right" w:pos="8838"/>
        </w:tabs>
        <w:overflowPunct w:val="0"/>
        <w:autoSpaceDE w:val="0"/>
        <w:autoSpaceDN w:val="0"/>
        <w:adjustRightInd w:val="0"/>
        <w:spacing w:line="276" w:lineRule="auto"/>
        <w:textAlignment w:val="baseline"/>
        <w:rPr>
          <w:rFonts w:cs="Arial"/>
          <w:i/>
        </w:rPr>
      </w:pPr>
      <w:r w:rsidRPr="00F604CF">
        <w:rPr>
          <w:rFonts w:cs="Arial"/>
          <w:i/>
        </w:rPr>
        <w:t xml:space="preserve">“En consecuencia, la alternativa que le abre la ley para que pueda demandar la nulidad absoluta del contrato estatal con fundamento en, o como consecuencia de, la ilegalidad de los actos administrativos previos, si bien le permite elevar pretensiones para que dichos actos previos también sean judicialmente declarados nulos, lo cierto es que ya no podrá pretender y menos obtener resarcimientos o indemnizaciones de carácter económico o, lo que es lo mismo, el restablecimiento de sus derechos, puesto que en cuanto dicho interesado dejó operar la caducidad en relación con la acción de nulidad y restablecimiento del derecho, la oportunidad que tiene en esta nueva etapa para demandar esos mismos actos previos se encuentra limitada, como el propio texto de la ley lo determina, a reclamar la declaratoria de “… ilegalidad de los actos previos solamente como fundamento de [la] nulidad absoluta del contrato”. </w:t>
      </w:r>
    </w:p>
    <w:p w14:paraId="4572C9A6" w14:textId="77777777" w:rsidR="0086309E" w:rsidRPr="00F604CF" w:rsidRDefault="0086309E" w:rsidP="00F604CF">
      <w:pPr>
        <w:tabs>
          <w:tab w:val="center" w:pos="4419"/>
          <w:tab w:val="right" w:pos="8838"/>
        </w:tabs>
        <w:overflowPunct w:val="0"/>
        <w:autoSpaceDE w:val="0"/>
        <w:autoSpaceDN w:val="0"/>
        <w:adjustRightInd w:val="0"/>
        <w:spacing w:line="276" w:lineRule="auto"/>
        <w:textAlignment w:val="baseline"/>
        <w:rPr>
          <w:rFonts w:cs="Arial"/>
          <w:i/>
        </w:rPr>
      </w:pPr>
    </w:p>
    <w:p w14:paraId="5FAEBF38" w14:textId="77777777" w:rsidR="0086309E" w:rsidRPr="00F604CF" w:rsidRDefault="0086309E" w:rsidP="00F604CF">
      <w:pPr>
        <w:numPr>
          <w:ilvl w:val="0"/>
          <w:numId w:val="18"/>
        </w:numPr>
        <w:tabs>
          <w:tab w:val="center" w:pos="1701"/>
          <w:tab w:val="right" w:pos="8838"/>
        </w:tabs>
        <w:overflowPunct w:val="0"/>
        <w:autoSpaceDE w:val="0"/>
        <w:autoSpaceDN w:val="0"/>
        <w:adjustRightInd w:val="0"/>
        <w:spacing w:line="276" w:lineRule="auto"/>
        <w:ind w:left="0" w:firstLine="0"/>
        <w:textAlignment w:val="baseline"/>
        <w:rPr>
          <w:rFonts w:cs="Arial"/>
          <w:i/>
        </w:rPr>
      </w:pPr>
      <w:r w:rsidRPr="00F604CF">
        <w:rPr>
          <w:rFonts w:cs="Arial"/>
          <w:i/>
        </w:rPr>
        <w:t xml:space="preserve">“La </w:t>
      </w:r>
      <w:r w:rsidRPr="00F604CF">
        <w:rPr>
          <w:rFonts w:cs="Arial"/>
          <w:b/>
          <w:i/>
        </w:rPr>
        <w:t>tercera hipótesis</w:t>
      </w:r>
      <w:r w:rsidRPr="00F604CF">
        <w:rPr>
          <w:rFonts w:cs="Arial"/>
          <w:i/>
        </w:rPr>
        <w:t xml:space="preserve"> corresponderá a los eventos en los cuales la entidad estatal y el adjudicatario </w:t>
      </w:r>
      <w:r w:rsidRPr="00F604CF">
        <w:rPr>
          <w:rFonts w:cs="Arial"/>
          <w:b/>
          <w:i/>
        </w:rPr>
        <w:t>proceden a</w:t>
      </w:r>
      <w:r w:rsidRPr="00F604CF">
        <w:rPr>
          <w:rFonts w:cs="Arial"/>
          <w:i/>
        </w:rPr>
        <w:t xml:space="preserve"> </w:t>
      </w:r>
      <w:r w:rsidRPr="00F604CF">
        <w:rPr>
          <w:rFonts w:cs="Arial"/>
          <w:b/>
          <w:i/>
        </w:rPr>
        <w:t xml:space="preserve">celebrar el contrato estatal antes de que expire el término de los 30 días siguientes </w:t>
      </w:r>
      <w:r w:rsidRPr="00F604CF">
        <w:rPr>
          <w:rFonts w:cs="Arial"/>
          <w:i/>
        </w:rPr>
        <w:t>a la notificación, comunicación o publicación del acto de adjudicación, según fuere el caso</w:t>
      </w:r>
      <w:r w:rsidRPr="00F604CF">
        <w:rPr>
          <w:rFonts w:cs="Arial"/>
          <w:b/>
          <w:i/>
        </w:rPr>
        <w:t>, sin que para esa fecha el proponente vencido hubiere ejercido la correspondiente acción</w:t>
      </w:r>
      <w:r w:rsidRPr="00F604CF">
        <w:rPr>
          <w:rFonts w:cs="Arial"/>
          <w:i/>
        </w:rPr>
        <w:t xml:space="preserve"> de nulidad y restablecimiento del derecho en contra del acto previo, situación que si bien determina que el interesado ya no podrá ejercer la mencionada acción de nulidad y restablecimiento del derecho, la ley expresamente le dejó abierta la opción para ejercer válidamente la acción contractual, dentro de la cual deberá pretender la nulidad del contrato estatal y la declaratoria de ilegalidad de los actos previos</w:t>
      </w:r>
      <w:r w:rsidRPr="00F604CF">
        <w:rPr>
          <w:rFonts w:cs="Arial"/>
          <w:i/>
          <w:vertAlign w:val="superscript"/>
        </w:rPr>
        <w:footnoteReference w:id="26"/>
      </w:r>
      <w:r w:rsidRPr="00F604CF">
        <w:rPr>
          <w:rFonts w:cs="Arial"/>
          <w:i/>
        </w:rPr>
        <w:t>, pretensión que –según ya se indicó– incluso servirá de fundamento para que prospere aquella de nulidad del contrato, con la anotación de que en estos casos y siempre que la acción contractual se ejerza dentro del mencionado término de 30 días, el interesado también estará legitimado para solicitar el restablecimiento de los derechos que le fueron desconocidos como resultado de la indebida adjudicación, puesto que resultaría ilógico y contrario a los más elementales conceptos de justicia y de equidad, que se asumiere que dicho interesado no pudiere ya formular pretensiones económicas o resarcitorias dentro de la acción contractual que será la única que en este caso tendrá a su disposición, aunque la ejerza dentro del plazo que inicialmente se le fijó para la acción de nulidad y restablecimiento del derecho cuya desaparición sobrevino por razón de la celebración del correspondiente contrato estatal.</w:t>
      </w:r>
    </w:p>
    <w:p w14:paraId="4DEA9FFC" w14:textId="77777777" w:rsidR="0086309E" w:rsidRPr="00F604CF" w:rsidRDefault="0086309E" w:rsidP="00F604CF">
      <w:pPr>
        <w:tabs>
          <w:tab w:val="center" w:pos="284"/>
          <w:tab w:val="right" w:pos="8838"/>
        </w:tabs>
        <w:overflowPunct w:val="0"/>
        <w:autoSpaceDE w:val="0"/>
        <w:autoSpaceDN w:val="0"/>
        <w:adjustRightInd w:val="0"/>
        <w:spacing w:line="276" w:lineRule="auto"/>
        <w:textAlignment w:val="baseline"/>
        <w:rPr>
          <w:rFonts w:cs="Arial"/>
          <w:i/>
        </w:rPr>
      </w:pPr>
    </w:p>
    <w:p w14:paraId="3D085BD1" w14:textId="77777777" w:rsidR="0086309E" w:rsidRPr="00F604CF" w:rsidRDefault="0086309E" w:rsidP="00F604CF">
      <w:pPr>
        <w:tabs>
          <w:tab w:val="center" w:pos="284"/>
          <w:tab w:val="right" w:pos="8838"/>
        </w:tabs>
        <w:overflowPunct w:val="0"/>
        <w:autoSpaceDE w:val="0"/>
        <w:autoSpaceDN w:val="0"/>
        <w:adjustRightInd w:val="0"/>
        <w:spacing w:line="276" w:lineRule="auto"/>
        <w:textAlignment w:val="baseline"/>
        <w:rPr>
          <w:rFonts w:cs="Arial"/>
        </w:rPr>
      </w:pPr>
      <w:r w:rsidRPr="00F604CF">
        <w:rPr>
          <w:rFonts w:cs="Arial"/>
          <w:i/>
        </w:rPr>
        <w:t xml:space="preserve">“Ahora bien, si en el marco de esta tercera eventualidad </w:t>
      </w:r>
      <w:r w:rsidRPr="00F604CF">
        <w:rPr>
          <w:rFonts w:cs="Arial"/>
          <w:b/>
          <w:i/>
        </w:rPr>
        <w:t>se ejerce la correspondiente acción contractual con posterioridad al vencimiento de los mencionados 30 días siguientes a la notificación, comunicación o publicación del acto de adjudicación, según fuere el caso, necesariamente habrá de concluirse de nuevo que en este específico contexto las únicas pretensiones que podrían abrirse paso serán aquellas encaminadas a obtener las correspondientes declaratorias de nulidad del acto administrativo previo de adjudicación y la consiguiente o consecuencial nulidad absoluta del contrato, sin que resulte posible para el Juez de lo Contencioso Administrativo considerar y menos aún estimar las pretensiones económicas resarcitorias del restablecimiento del derecho por la no adjudicación del contrato estatal correspondient</w:t>
      </w:r>
      <w:r w:rsidRPr="00F604CF">
        <w:rPr>
          <w:rFonts w:cs="Arial"/>
          <w:i/>
        </w:rPr>
        <w:t>e</w:t>
      </w:r>
      <w:r w:rsidRPr="00F604CF">
        <w:rPr>
          <w:rFonts w:cs="Arial"/>
          <w:i/>
          <w:vertAlign w:val="superscript"/>
        </w:rPr>
        <w:footnoteReference w:id="27"/>
      </w:r>
      <w:r w:rsidRPr="00F604CF">
        <w:rPr>
          <w:rFonts w:cs="Arial"/>
          <w:i/>
        </w:rPr>
        <w:t>”</w:t>
      </w:r>
      <w:r w:rsidR="00923273" w:rsidRPr="00F604CF">
        <w:rPr>
          <w:rFonts w:cs="Arial"/>
          <w:i/>
        </w:rPr>
        <w:t xml:space="preserve"> (</w:t>
      </w:r>
      <w:r w:rsidR="00923273" w:rsidRPr="00F604CF">
        <w:rPr>
          <w:rFonts w:cs="Arial"/>
        </w:rPr>
        <w:t>se destaca en negrilla para el pro</w:t>
      </w:r>
      <w:r w:rsidR="00667CF5" w:rsidRPr="00F604CF">
        <w:rPr>
          <w:rFonts w:cs="Arial"/>
        </w:rPr>
        <w:t>p</w:t>
      </w:r>
      <w:r w:rsidR="00923273" w:rsidRPr="00F604CF">
        <w:rPr>
          <w:rFonts w:cs="Arial"/>
        </w:rPr>
        <w:t>ósito del análisis subsiguiente)</w:t>
      </w:r>
      <w:r w:rsidRPr="00F604CF">
        <w:rPr>
          <w:rFonts w:cs="Arial"/>
        </w:rPr>
        <w:t>.</w:t>
      </w:r>
    </w:p>
    <w:p w14:paraId="04B72F88" w14:textId="77777777" w:rsidR="0086309E" w:rsidRPr="00F604CF" w:rsidRDefault="0086309E" w:rsidP="00F604CF">
      <w:pPr>
        <w:spacing w:line="276" w:lineRule="auto"/>
        <w:rPr>
          <w:rFonts w:cs="Arial"/>
        </w:rPr>
      </w:pPr>
    </w:p>
    <w:p w14:paraId="02A71647" w14:textId="77777777" w:rsidR="00181FC7" w:rsidRPr="00F604CF" w:rsidRDefault="0086309E" w:rsidP="00F604CF">
      <w:pPr>
        <w:tabs>
          <w:tab w:val="center" w:pos="0"/>
          <w:tab w:val="right" w:pos="8838"/>
        </w:tabs>
        <w:overflowPunct w:val="0"/>
        <w:autoSpaceDE w:val="0"/>
        <w:autoSpaceDN w:val="0"/>
        <w:adjustRightInd w:val="0"/>
        <w:textAlignment w:val="baseline"/>
        <w:rPr>
          <w:rFonts w:cs="Arial"/>
        </w:rPr>
      </w:pPr>
      <w:r w:rsidRPr="00F604CF">
        <w:rPr>
          <w:rFonts w:cs="Arial"/>
          <w:lang w:val="es-ES_tradnl"/>
        </w:rPr>
        <w:t>Descendiendo al caso concreto</w:t>
      </w:r>
      <w:r w:rsidR="00AB367A" w:rsidRPr="00F604CF">
        <w:rPr>
          <w:rFonts w:cs="Arial"/>
          <w:lang w:val="es-ES_tradnl"/>
        </w:rPr>
        <w:t>,</w:t>
      </w:r>
      <w:r w:rsidRPr="00F604CF">
        <w:rPr>
          <w:rFonts w:cs="Arial"/>
          <w:lang w:val="es-ES_tradnl"/>
        </w:rPr>
        <w:t xml:space="preserve"> se tiene que la demanda que dio lugar al presente proceso se ubicó en la </w:t>
      </w:r>
      <w:r w:rsidRPr="00F604CF">
        <w:rPr>
          <w:rFonts w:cs="Arial"/>
          <w:b/>
          <w:lang w:val="es-ES_tradnl"/>
        </w:rPr>
        <w:t>tercera hipótesis</w:t>
      </w:r>
      <w:r w:rsidRPr="00F604CF">
        <w:rPr>
          <w:rFonts w:cs="Arial"/>
          <w:lang w:val="es-ES_tradnl"/>
        </w:rPr>
        <w:t xml:space="preserve"> planteada en esta providencia, como se detalla a continuación: l</w:t>
      </w:r>
      <w:r w:rsidRPr="00F604CF">
        <w:rPr>
          <w:rFonts w:cs="Arial"/>
        </w:rPr>
        <w:t xml:space="preserve">a acción contractual se ejerció el 4 de septiembre de 2007, </w:t>
      </w:r>
      <w:r w:rsidR="00130820" w:rsidRPr="00F604CF">
        <w:rPr>
          <w:rFonts w:cs="Arial"/>
        </w:rPr>
        <w:t xml:space="preserve">casi </w:t>
      </w:r>
      <w:r w:rsidRPr="00F604CF">
        <w:rPr>
          <w:rFonts w:cs="Arial"/>
        </w:rPr>
        <w:t xml:space="preserve">dos años después de la adjudicación del contrato </w:t>
      </w:r>
      <w:r w:rsidR="002277D2" w:rsidRPr="00F604CF">
        <w:rPr>
          <w:rFonts w:cs="Arial"/>
        </w:rPr>
        <w:t>realizada el 22 de septiembre de 2005</w:t>
      </w:r>
      <w:r w:rsidR="002277D2" w:rsidRPr="00F604CF">
        <w:rPr>
          <w:rStyle w:val="Refdenotaalpie"/>
          <w:rFonts w:cs="Arial"/>
        </w:rPr>
        <w:footnoteReference w:id="28"/>
      </w:r>
      <w:r w:rsidR="002277D2" w:rsidRPr="00F604CF">
        <w:rPr>
          <w:rFonts w:cs="Arial"/>
        </w:rPr>
        <w:t xml:space="preserve"> </w:t>
      </w:r>
      <w:r w:rsidRPr="00F604CF">
        <w:rPr>
          <w:rFonts w:cs="Arial"/>
        </w:rPr>
        <w:t xml:space="preserve">y, por supuesto, habiendo  vencido el término de los 30 días siguientes a la </w:t>
      </w:r>
      <w:r w:rsidR="00181FC7" w:rsidRPr="00F604CF">
        <w:rPr>
          <w:rFonts w:cs="Arial"/>
        </w:rPr>
        <w:t>fecha en que se le comunicó la adjudicación a</w:t>
      </w:r>
      <w:r w:rsidR="00130820" w:rsidRPr="00F604CF">
        <w:rPr>
          <w:rFonts w:cs="Arial"/>
        </w:rPr>
        <w:t xml:space="preserve"> la parte </w:t>
      </w:r>
      <w:r w:rsidR="00181FC7" w:rsidRPr="00F604CF">
        <w:rPr>
          <w:rFonts w:cs="Arial"/>
        </w:rPr>
        <w:t>ahora demandante</w:t>
      </w:r>
      <w:r w:rsidR="007C554D" w:rsidRPr="00F604CF">
        <w:rPr>
          <w:rFonts w:cs="Arial"/>
        </w:rPr>
        <w:t xml:space="preserve">, lo cual sucedió el 29 de septiembre de 2005, de </w:t>
      </w:r>
      <w:r w:rsidR="00D0285C" w:rsidRPr="00F604CF">
        <w:rPr>
          <w:rFonts w:cs="Arial"/>
        </w:rPr>
        <w:t xml:space="preserve">acuerdo con la publicación </w:t>
      </w:r>
      <w:r w:rsidR="000F02CB" w:rsidRPr="00F604CF">
        <w:rPr>
          <w:rFonts w:cs="Arial"/>
        </w:rPr>
        <w:t xml:space="preserve">del respectivo acto </w:t>
      </w:r>
      <w:r w:rsidR="00D0285C" w:rsidRPr="00F604CF">
        <w:rPr>
          <w:rFonts w:cs="Arial"/>
        </w:rPr>
        <w:t>en la página web</w:t>
      </w:r>
      <w:r w:rsidR="000F02CB" w:rsidRPr="00F604CF">
        <w:rPr>
          <w:rFonts w:cs="Arial"/>
        </w:rPr>
        <w:t xml:space="preserve"> de la entidad contratante</w:t>
      </w:r>
      <w:r w:rsidR="005452AF" w:rsidRPr="00F604CF">
        <w:rPr>
          <w:rFonts w:cs="Arial"/>
        </w:rPr>
        <w:t>.</w:t>
      </w:r>
    </w:p>
    <w:p w14:paraId="5F0E592A" w14:textId="77777777" w:rsidR="00181FC7" w:rsidRPr="00F604CF" w:rsidRDefault="00181FC7" w:rsidP="00F604CF">
      <w:pPr>
        <w:tabs>
          <w:tab w:val="center" w:pos="0"/>
          <w:tab w:val="right" w:pos="8838"/>
        </w:tabs>
        <w:overflowPunct w:val="0"/>
        <w:autoSpaceDE w:val="0"/>
        <w:autoSpaceDN w:val="0"/>
        <w:adjustRightInd w:val="0"/>
        <w:textAlignment w:val="baseline"/>
        <w:rPr>
          <w:rFonts w:cs="Arial"/>
        </w:rPr>
      </w:pPr>
    </w:p>
    <w:p w14:paraId="447F8304" w14:textId="77777777" w:rsidR="00D15D7A" w:rsidRPr="00F604CF" w:rsidRDefault="00181FC7" w:rsidP="00F604CF">
      <w:pPr>
        <w:tabs>
          <w:tab w:val="center" w:pos="0"/>
          <w:tab w:val="right" w:pos="8838"/>
        </w:tabs>
        <w:overflowPunct w:val="0"/>
        <w:autoSpaceDE w:val="0"/>
        <w:autoSpaceDN w:val="0"/>
        <w:adjustRightInd w:val="0"/>
        <w:textAlignment w:val="baseline"/>
        <w:rPr>
          <w:rFonts w:cs="Arial"/>
        </w:rPr>
      </w:pPr>
      <w:r w:rsidRPr="00F604CF">
        <w:rPr>
          <w:rFonts w:cs="Arial"/>
        </w:rPr>
        <w:t>Se a</w:t>
      </w:r>
      <w:r w:rsidR="000F02CB" w:rsidRPr="00F604CF">
        <w:rPr>
          <w:rFonts w:cs="Arial"/>
        </w:rPr>
        <w:t xml:space="preserve">grega </w:t>
      </w:r>
      <w:r w:rsidRPr="00F604CF">
        <w:rPr>
          <w:rFonts w:cs="Arial"/>
        </w:rPr>
        <w:t xml:space="preserve">que en la denuncia penal que se allegó con la demanda, </w:t>
      </w:r>
      <w:r w:rsidR="00667CF5" w:rsidRPr="00F604CF">
        <w:rPr>
          <w:rFonts w:cs="Arial"/>
        </w:rPr>
        <w:t>con sello de radicación ante la Fiscalía General de la Nación de 1</w:t>
      </w:r>
      <w:r w:rsidR="00FF6FDD" w:rsidRPr="00F604CF">
        <w:rPr>
          <w:rFonts w:cs="Arial"/>
        </w:rPr>
        <w:t>8</w:t>
      </w:r>
      <w:r w:rsidR="00667CF5" w:rsidRPr="00F604CF">
        <w:rPr>
          <w:rFonts w:cs="Arial"/>
        </w:rPr>
        <w:t xml:space="preserve"> de </w:t>
      </w:r>
      <w:r w:rsidR="00FF6FDD" w:rsidRPr="00F604CF">
        <w:rPr>
          <w:rFonts w:cs="Arial"/>
        </w:rPr>
        <w:t>noviembre de 2005</w:t>
      </w:r>
      <w:r w:rsidR="00FF6FDD" w:rsidRPr="00F604CF">
        <w:rPr>
          <w:rStyle w:val="Refdenotaalpie"/>
          <w:rFonts w:cs="Arial"/>
        </w:rPr>
        <w:footnoteReference w:id="29"/>
      </w:r>
      <w:r w:rsidR="00FF6FDD" w:rsidRPr="00F604CF">
        <w:rPr>
          <w:rFonts w:cs="Arial"/>
        </w:rPr>
        <w:t xml:space="preserve">, </w:t>
      </w:r>
      <w:r w:rsidRPr="00F604CF">
        <w:rPr>
          <w:rFonts w:cs="Arial"/>
        </w:rPr>
        <w:t xml:space="preserve">el demandante </w:t>
      </w:r>
      <w:r w:rsidR="00D0285C" w:rsidRPr="00F604CF">
        <w:rPr>
          <w:rFonts w:cs="Arial"/>
        </w:rPr>
        <w:t xml:space="preserve">afirmó </w:t>
      </w:r>
      <w:r w:rsidRPr="00F604CF">
        <w:rPr>
          <w:rFonts w:cs="Arial"/>
        </w:rPr>
        <w:t>que el 20 de septiembre fu</w:t>
      </w:r>
      <w:r w:rsidR="00824C7C" w:rsidRPr="00F604CF">
        <w:rPr>
          <w:rFonts w:cs="Arial"/>
        </w:rPr>
        <w:t>e</w:t>
      </w:r>
      <w:r w:rsidRPr="00F604CF">
        <w:rPr>
          <w:rFonts w:cs="Arial"/>
        </w:rPr>
        <w:t xml:space="preserve"> notificado </w:t>
      </w:r>
      <w:r w:rsidR="00824C7C" w:rsidRPr="00F604CF">
        <w:rPr>
          <w:rFonts w:cs="Arial"/>
        </w:rPr>
        <w:t>de una</w:t>
      </w:r>
      <w:r w:rsidRPr="00F604CF">
        <w:rPr>
          <w:rFonts w:cs="Arial"/>
        </w:rPr>
        <w:t xml:space="preserve"> </w:t>
      </w:r>
      <w:r w:rsidR="002B760A" w:rsidRPr="00F604CF">
        <w:rPr>
          <w:rFonts w:cs="Arial"/>
        </w:rPr>
        <w:t>r</w:t>
      </w:r>
      <w:r w:rsidRPr="00F604CF">
        <w:rPr>
          <w:rFonts w:cs="Arial"/>
        </w:rPr>
        <w:t xml:space="preserve">esolución </w:t>
      </w:r>
      <w:r w:rsidR="00824C7C" w:rsidRPr="00F604CF">
        <w:rPr>
          <w:rFonts w:cs="Arial"/>
        </w:rPr>
        <w:t xml:space="preserve">distinguida con el No. 2137 del 19 de septiembre, que se encontraba sin firma del Gobernador y que al parecer nunca </w:t>
      </w:r>
      <w:r w:rsidR="0075198B" w:rsidRPr="00F604CF">
        <w:rPr>
          <w:rFonts w:cs="Arial"/>
        </w:rPr>
        <w:t xml:space="preserve">le </w:t>
      </w:r>
      <w:r w:rsidR="00824C7C" w:rsidRPr="00F604CF">
        <w:rPr>
          <w:rFonts w:cs="Arial"/>
        </w:rPr>
        <w:t>fue notificada a la Unión Temporal Calimeño</w:t>
      </w:r>
      <w:r w:rsidR="00E06745" w:rsidRPr="00F604CF">
        <w:rPr>
          <w:rFonts w:cs="Arial"/>
        </w:rPr>
        <w:t xml:space="preserve">; empero </w:t>
      </w:r>
      <w:r w:rsidR="00201EF4" w:rsidRPr="00F604CF">
        <w:rPr>
          <w:rFonts w:cs="Arial"/>
        </w:rPr>
        <w:t xml:space="preserve">informó </w:t>
      </w:r>
      <w:r w:rsidR="000F02CB" w:rsidRPr="00F604CF">
        <w:rPr>
          <w:rFonts w:cs="Arial"/>
        </w:rPr>
        <w:t xml:space="preserve">que </w:t>
      </w:r>
      <w:r w:rsidR="00E06745" w:rsidRPr="00F604CF">
        <w:rPr>
          <w:rFonts w:cs="Arial"/>
        </w:rPr>
        <w:t xml:space="preserve">el </w:t>
      </w:r>
      <w:r w:rsidR="00824C7C" w:rsidRPr="00F604CF">
        <w:rPr>
          <w:rFonts w:cs="Arial"/>
        </w:rPr>
        <w:t>2</w:t>
      </w:r>
      <w:r w:rsidR="004E4C95" w:rsidRPr="00F604CF">
        <w:rPr>
          <w:rFonts w:cs="Arial"/>
        </w:rPr>
        <w:t>9</w:t>
      </w:r>
      <w:r w:rsidR="00824C7C" w:rsidRPr="00F604CF">
        <w:rPr>
          <w:rFonts w:cs="Arial"/>
        </w:rPr>
        <w:t xml:space="preserve"> de septiembre </w:t>
      </w:r>
      <w:r w:rsidR="004E4C95" w:rsidRPr="00F604CF">
        <w:rPr>
          <w:rFonts w:cs="Arial"/>
        </w:rPr>
        <w:t xml:space="preserve">de 2005 </w:t>
      </w:r>
      <w:r w:rsidR="00824C7C" w:rsidRPr="00F604CF">
        <w:rPr>
          <w:rFonts w:cs="Arial"/>
        </w:rPr>
        <w:t xml:space="preserve">se publicó en la </w:t>
      </w:r>
      <w:r w:rsidR="000F02CB" w:rsidRPr="00F604CF">
        <w:rPr>
          <w:rFonts w:cs="Arial"/>
        </w:rPr>
        <w:t>página w</w:t>
      </w:r>
      <w:r w:rsidR="00824C7C" w:rsidRPr="00F604CF">
        <w:rPr>
          <w:rFonts w:cs="Arial"/>
        </w:rPr>
        <w:t xml:space="preserve">eb </w:t>
      </w:r>
      <w:r w:rsidR="000F02CB" w:rsidRPr="00F604CF">
        <w:rPr>
          <w:rFonts w:cs="Arial"/>
        </w:rPr>
        <w:t xml:space="preserve">de la entidad estatal </w:t>
      </w:r>
      <w:r w:rsidR="00824C7C" w:rsidRPr="00F604CF">
        <w:rPr>
          <w:rFonts w:cs="Arial"/>
        </w:rPr>
        <w:t>la Resolución 02</w:t>
      </w:r>
      <w:r w:rsidR="002B180C" w:rsidRPr="00F604CF">
        <w:rPr>
          <w:rFonts w:cs="Arial"/>
        </w:rPr>
        <w:t xml:space="preserve"> </w:t>
      </w:r>
      <w:r w:rsidR="00824C7C" w:rsidRPr="00F604CF">
        <w:rPr>
          <w:rFonts w:cs="Arial"/>
        </w:rPr>
        <w:t xml:space="preserve">193 </w:t>
      </w:r>
      <w:r w:rsidR="004E4C95" w:rsidRPr="00F604CF">
        <w:rPr>
          <w:rFonts w:cs="Arial"/>
        </w:rPr>
        <w:t>de 22 de septiembre de 2005</w:t>
      </w:r>
      <w:r w:rsidR="00AB367A" w:rsidRPr="00F604CF">
        <w:rPr>
          <w:rFonts w:cs="Arial"/>
        </w:rPr>
        <w:t>,</w:t>
      </w:r>
      <w:r w:rsidR="004E4C95" w:rsidRPr="00F604CF">
        <w:rPr>
          <w:rFonts w:cs="Arial"/>
        </w:rPr>
        <w:t xml:space="preserve"> </w:t>
      </w:r>
      <w:r w:rsidR="00E06745" w:rsidRPr="00F604CF">
        <w:rPr>
          <w:rFonts w:cs="Arial"/>
        </w:rPr>
        <w:t xml:space="preserve">mediante la cual </w:t>
      </w:r>
      <w:r w:rsidR="00824C7C" w:rsidRPr="00F604CF">
        <w:rPr>
          <w:rFonts w:cs="Arial"/>
        </w:rPr>
        <w:t>se adjudic</w:t>
      </w:r>
      <w:r w:rsidR="00A44C95" w:rsidRPr="00F604CF">
        <w:rPr>
          <w:rFonts w:cs="Arial"/>
        </w:rPr>
        <w:t>ó</w:t>
      </w:r>
      <w:r w:rsidR="00E06745" w:rsidRPr="00F604CF">
        <w:rPr>
          <w:rFonts w:cs="Arial"/>
        </w:rPr>
        <w:t xml:space="preserve"> </w:t>
      </w:r>
      <w:r w:rsidR="00824C7C" w:rsidRPr="00F604CF">
        <w:rPr>
          <w:rFonts w:cs="Arial"/>
        </w:rPr>
        <w:t>el contrato a la Unión Temporal Calimeño</w:t>
      </w:r>
      <w:r w:rsidR="00E06745" w:rsidRPr="00F604CF">
        <w:rPr>
          <w:rFonts w:cs="Arial"/>
        </w:rPr>
        <w:t>, cuyo contenido</w:t>
      </w:r>
      <w:r w:rsidR="000F02CB" w:rsidRPr="00F604CF">
        <w:rPr>
          <w:rFonts w:cs="Arial"/>
        </w:rPr>
        <w:t xml:space="preserve">, según indicó, </w:t>
      </w:r>
      <w:r w:rsidR="00E06745" w:rsidRPr="00F604CF">
        <w:rPr>
          <w:rFonts w:cs="Arial"/>
        </w:rPr>
        <w:t xml:space="preserve">era igual al de la primera resolución pero se encontraba firmada por la </w:t>
      </w:r>
      <w:r w:rsidR="0066513D" w:rsidRPr="00F604CF">
        <w:rPr>
          <w:rFonts w:cs="Arial"/>
        </w:rPr>
        <w:t>d</w:t>
      </w:r>
      <w:r w:rsidR="00E06745" w:rsidRPr="00F604CF">
        <w:rPr>
          <w:rFonts w:cs="Arial"/>
        </w:rPr>
        <w:t>elegataria</w:t>
      </w:r>
      <w:r w:rsidR="000F02CB" w:rsidRPr="00F604CF">
        <w:rPr>
          <w:rFonts w:cs="Arial"/>
        </w:rPr>
        <w:t xml:space="preserve"> con funciones de Gobernador.</w:t>
      </w:r>
      <w:r w:rsidR="00E06745" w:rsidRPr="00F604CF">
        <w:rPr>
          <w:rFonts w:cs="Arial"/>
        </w:rPr>
        <w:t xml:space="preserve"> </w:t>
      </w:r>
      <w:r w:rsidR="00201EF4" w:rsidRPr="00F604CF">
        <w:rPr>
          <w:rFonts w:cs="Arial"/>
        </w:rPr>
        <w:t xml:space="preserve">Con base en </w:t>
      </w:r>
      <w:r w:rsidR="002B760A" w:rsidRPr="00F604CF">
        <w:rPr>
          <w:rFonts w:cs="Arial"/>
        </w:rPr>
        <w:t>lo anterior, se confirma que el demandante conoc</w:t>
      </w:r>
      <w:r w:rsidR="005452AF" w:rsidRPr="00F604CF">
        <w:rPr>
          <w:rFonts w:cs="Arial"/>
        </w:rPr>
        <w:t xml:space="preserve">ió en su oportunidad </w:t>
      </w:r>
      <w:r w:rsidR="002B760A" w:rsidRPr="00F604CF">
        <w:rPr>
          <w:rFonts w:cs="Arial"/>
        </w:rPr>
        <w:t xml:space="preserve">el contenido de la resolución de adjudicación en tanto le fue comunicado a través de la publicación en la </w:t>
      </w:r>
      <w:r w:rsidR="00201EF4" w:rsidRPr="00F604CF">
        <w:rPr>
          <w:rFonts w:cs="Arial"/>
        </w:rPr>
        <w:t xml:space="preserve">página </w:t>
      </w:r>
      <w:r w:rsidR="002B760A" w:rsidRPr="00F604CF">
        <w:rPr>
          <w:rFonts w:cs="Arial"/>
        </w:rPr>
        <w:t xml:space="preserve">web. </w:t>
      </w:r>
    </w:p>
    <w:p w14:paraId="6AD20A5D" w14:textId="77777777" w:rsidR="00D15D7A" w:rsidRPr="00F604CF" w:rsidRDefault="00D15D7A" w:rsidP="00F604CF">
      <w:pPr>
        <w:tabs>
          <w:tab w:val="center" w:pos="0"/>
          <w:tab w:val="right" w:pos="8838"/>
        </w:tabs>
        <w:overflowPunct w:val="0"/>
        <w:autoSpaceDE w:val="0"/>
        <w:autoSpaceDN w:val="0"/>
        <w:adjustRightInd w:val="0"/>
        <w:textAlignment w:val="baseline"/>
        <w:rPr>
          <w:rFonts w:cs="Arial"/>
        </w:rPr>
      </w:pPr>
    </w:p>
    <w:p w14:paraId="16E490CB" w14:textId="77777777" w:rsidR="004E4C95" w:rsidRPr="00F604CF" w:rsidRDefault="00E06745" w:rsidP="00F604CF">
      <w:pPr>
        <w:tabs>
          <w:tab w:val="center" w:pos="0"/>
          <w:tab w:val="right" w:pos="8838"/>
        </w:tabs>
        <w:overflowPunct w:val="0"/>
        <w:autoSpaceDE w:val="0"/>
        <w:autoSpaceDN w:val="0"/>
        <w:adjustRightInd w:val="0"/>
        <w:textAlignment w:val="baseline"/>
        <w:rPr>
          <w:rFonts w:cs="Arial"/>
        </w:rPr>
      </w:pPr>
      <w:r w:rsidRPr="00F604CF">
        <w:rPr>
          <w:rFonts w:cs="Arial"/>
        </w:rPr>
        <w:t xml:space="preserve">Así las cosas, </w:t>
      </w:r>
      <w:r w:rsidR="0075198B" w:rsidRPr="00F604CF">
        <w:rPr>
          <w:rFonts w:cs="Arial"/>
        </w:rPr>
        <w:t xml:space="preserve">contando el término de caducidad a partir del 29 </w:t>
      </w:r>
      <w:r w:rsidR="00D15D7A" w:rsidRPr="00F604CF">
        <w:rPr>
          <w:rFonts w:cs="Arial"/>
        </w:rPr>
        <w:t>de septiembre de 2005, fecha en que se entiende que le fue comunicada la Resolución 02</w:t>
      </w:r>
      <w:r w:rsidR="002B180C" w:rsidRPr="00F604CF">
        <w:rPr>
          <w:rFonts w:cs="Arial"/>
        </w:rPr>
        <w:t xml:space="preserve"> </w:t>
      </w:r>
      <w:r w:rsidR="00D15D7A" w:rsidRPr="00F604CF">
        <w:rPr>
          <w:rFonts w:cs="Arial"/>
        </w:rPr>
        <w:t>193</w:t>
      </w:r>
      <w:r w:rsidR="00D0285C" w:rsidRPr="00F604CF">
        <w:rPr>
          <w:rFonts w:cs="Arial"/>
        </w:rPr>
        <w:t xml:space="preserve"> al demandante</w:t>
      </w:r>
      <w:r w:rsidR="00D15D7A" w:rsidRPr="00F604CF">
        <w:rPr>
          <w:rFonts w:cs="Arial"/>
        </w:rPr>
        <w:t xml:space="preserve">, se tiene que concluir </w:t>
      </w:r>
      <w:r w:rsidR="005452AF" w:rsidRPr="00F604CF">
        <w:rPr>
          <w:rFonts w:cs="Arial"/>
        </w:rPr>
        <w:t xml:space="preserve">que el demandante </w:t>
      </w:r>
      <w:r w:rsidR="00D15D7A" w:rsidRPr="00F604CF">
        <w:rPr>
          <w:rFonts w:cs="Arial"/>
        </w:rPr>
        <w:t xml:space="preserve">presentó </w:t>
      </w:r>
      <w:r w:rsidR="005452AF" w:rsidRPr="00F604CF">
        <w:rPr>
          <w:rFonts w:cs="Arial"/>
        </w:rPr>
        <w:t>su</w:t>
      </w:r>
      <w:r w:rsidR="00D15D7A" w:rsidRPr="00F604CF">
        <w:rPr>
          <w:rFonts w:cs="Arial"/>
        </w:rPr>
        <w:t xml:space="preserve"> demanda </w:t>
      </w:r>
      <w:r w:rsidR="00A44C95" w:rsidRPr="00F604CF">
        <w:rPr>
          <w:rFonts w:cs="Arial"/>
        </w:rPr>
        <w:t xml:space="preserve">contra el referido acto </w:t>
      </w:r>
      <w:r w:rsidR="00A709E1" w:rsidRPr="00F604CF">
        <w:rPr>
          <w:rFonts w:cs="Arial"/>
        </w:rPr>
        <w:t xml:space="preserve">administrativo </w:t>
      </w:r>
      <w:r w:rsidR="004E4C95" w:rsidRPr="00F604CF">
        <w:rPr>
          <w:rFonts w:cs="Arial"/>
        </w:rPr>
        <w:t xml:space="preserve">habiendo operado el término de caducidad de 30 días, </w:t>
      </w:r>
      <w:r w:rsidR="003B5EB6" w:rsidRPr="00F604CF">
        <w:rPr>
          <w:rFonts w:cs="Arial"/>
        </w:rPr>
        <w:t xml:space="preserve">fijado en el artículo 87 del CCA, </w:t>
      </w:r>
      <w:r w:rsidR="004E4C95" w:rsidRPr="00F604CF">
        <w:rPr>
          <w:rFonts w:cs="Arial"/>
        </w:rPr>
        <w:t>aplicable para las pretensiones indemnizatorias</w:t>
      </w:r>
      <w:r w:rsidR="003B5EB6" w:rsidRPr="00F604CF">
        <w:rPr>
          <w:rFonts w:cs="Arial"/>
        </w:rPr>
        <w:t xml:space="preserve"> que </w:t>
      </w:r>
      <w:r w:rsidR="005452AF" w:rsidRPr="00F604CF">
        <w:rPr>
          <w:rFonts w:cs="Arial"/>
        </w:rPr>
        <w:t xml:space="preserve">se </w:t>
      </w:r>
      <w:r w:rsidR="003B5EB6" w:rsidRPr="00F604CF">
        <w:rPr>
          <w:rFonts w:cs="Arial"/>
        </w:rPr>
        <w:t>present</w:t>
      </w:r>
      <w:r w:rsidR="005452AF" w:rsidRPr="00F604CF">
        <w:rPr>
          <w:rFonts w:cs="Arial"/>
        </w:rPr>
        <w:t xml:space="preserve">aron en esa </w:t>
      </w:r>
      <w:r w:rsidR="003B5EB6" w:rsidRPr="00F604CF">
        <w:rPr>
          <w:rFonts w:cs="Arial"/>
        </w:rPr>
        <w:t>demanda</w:t>
      </w:r>
      <w:r w:rsidR="004E4C95" w:rsidRPr="00F604CF">
        <w:rPr>
          <w:rFonts w:cs="Arial"/>
        </w:rPr>
        <w:t>.</w:t>
      </w:r>
    </w:p>
    <w:p w14:paraId="59936ABA" w14:textId="77777777" w:rsidR="004E4C95" w:rsidRPr="00F604CF" w:rsidRDefault="004E4C95" w:rsidP="00F604CF">
      <w:pPr>
        <w:tabs>
          <w:tab w:val="center" w:pos="0"/>
          <w:tab w:val="right" w:pos="8838"/>
        </w:tabs>
        <w:overflowPunct w:val="0"/>
        <w:autoSpaceDE w:val="0"/>
        <w:autoSpaceDN w:val="0"/>
        <w:adjustRightInd w:val="0"/>
        <w:textAlignment w:val="baseline"/>
        <w:rPr>
          <w:rFonts w:cs="Arial"/>
        </w:rPr>
      </w:pPr>
    </w:p>
    <w:p w14:paraId="07723724" w14:textId="77777777" w:rsidR="00B50D16" w:rsidRPr="00F604CF" w:rsidRDefault="001938A4" w:rsidP="00F604CF">
      <w:pPr>
        <w:tabs>
          <w:tab w:val="center" w:pos="0"/>
          <w:tab w:val="right" w:pos="8838"/>
        </w:tabs>
        <w:overflowPunct w:val="0"/>
        <w:autoSpaceDE w:val="0"/>
        <w:autoSpaceDN w:val="0"/>
        <w:adjustRightInd w:val="0"/>
        <w:textAlignment w:val="baseline"/>
        <w:rPr>
          <w:rFonts w:cs="Arial"/>
        </w:rPr>
      </w:pPr>
      <w:r w:rsidRPr="00F604CF">
        <w:rPr>
          <w:rFonts w:cs="Arial"/>
        </w:rPr>
        <w:t xml:space="preserve">Sin </w:t>
      </w:r>
      <w:r w:rsidR="00D0285C" w:rsidRPr="00F604CF">
        <w:rPr>
          <w:rFonts w:cs="Arial"/>
        </w:rPr>
        <w:t>perjuicio de lo anterior, en este litigio</w:t>
      </w:r>
      <w:r w:rsidR="00DA06A4" w:rsidRPr="00F604CF">
        <w:rPr>
          <w:rFonts w:cs="Arial"/>
        </w:rPr>
        <w:t xml:space="preserve"> s</w:t>
      </w:r>
      <w:r w:rsidR="00E6796E" w:rsidRPr="00F604CF">
        <w:rPr>
          <w:rFonts w:cs="Arial"/>
        </w:rPr>
        <w:t>í</w:t>
      </w:r>
      <w:r w:rsidR="00DA06A4" w:rsidRPr="00F604CF">
        <w:rPr>
          <w:rFonts w:cs="Arial"/>
        </w:rPr>
        <w:t xml:space="preserve"> resulta procedente</w:t>
      </w:r>
      <w:r w:rsidR="00D0285C" w:rsidRPr="00F604CF">
        <w:rPr>
          <w:rFonts w:cs="Arial"/>
        </w:rPr>
        <w:t xml:space="preserve"> </w:t>
      </w:r>
      <w:r w:rsidR="003B5EB6" w:rsidRPr="00F604CF">
        <w:rPr>
          <w:rFonts w:cs="Arial"/>
        </w:rPr>
        <w:t xml:space="preserve">adelantar </w:t>
      </w:r>
      <w:r w:rsidRPr="00F604CF">
        <w:rPr>
          <w:rFonts w:cs="Arial"/>
        </w:rPr>
        <w:t>el estudio de las pretensiones de nulidad del acto de adjudicación</w:t>
      </w:r>
      <w:r w:rsidR="007225C2" w:rsidRPr="00F604CF">
        <w:rPr>
          <w:rFonts w:cs="Arial"/>
        </w:rPr>
        <w:t xml:space="preserve"> comunicado el 29 de septiembre de 2005</w:t>
      </w:r>
      <w:r w:rsidRPr="00F604CF">
        <w:rPr>
          <w:rFonts w:cs="Arial"/>
        </w:rPr>
        <w:t xml:space="preserve"> y de</w:t>
      </w:r>
      <w:r w:rsidR="00AF6487" w:rsidRPr="00F604CF">
        <w:rPr>
          <w:rFonts w:cs="Arial"/>
        </w:rPr>
        <w:t>l</w:t>
      </w:r>
      <w:r w:rsidRPr="00F604CF">
        <w:rPr>
          <w:rFonts w:cs="Arial"/>
        </w:rPr>
        <w:t xml:space="preserve"> contrato adjudicado, </w:t>
      </w:r>
      <w:r w:rsidR="00AF6487" w:rsidRPr="00F604CF">
        <w:rPr>
          <w:rFonts w:cs="Arial"/>
        </w:rPr>
        <w:t xml:space="preserve">toda vez que este último </w:t>
      </w:r>
      <w:r w:rsidRPr="00F604CF">
        <w:rPr>
          <w:rFonts w:cs="Arial"/>
        </w:rPr>
        <w:t xml:space="preserve">se suscribió </w:t>
      </w:r>
      <w:r w:rsidR="007225C2" w:rsidRPr="00F604CF">
        <w:rPr>
          <w:rFonts w:cs="Arial"/>
        </w:rPr>
        <w:t xml:space="preserve">dentro los 30 días siguientes, </w:t>
      </w:r>
      <w:r w:rsidRPr="00F604CF">
        <w:rPr>
          <w:rFonts w:cs="Arial"/>
        </w:rPr>
        <w:t>el 31 de octubre de 2005</w:t>
      </w:r>
      <w:r w:rsidR="00AF6487" w:rsidRPr="00F604CF">
        <w:rPr>
          <w:rFonts w:cs="Arial"/>
        </w:rPr>
        <w:t xml:space="preserve"> y que </w:t>
      </w:r>
      <w:r w:rsidR="007225C2" w:rsidRPr="00F604CF">
        <w:rPr>
          <w:rFonts w:cs="Arial"/>
        </w:rPr>
        <w:t xml:space="preserve">la demanda se presentó </w:t>
      </w:r>
      <w:r w:rsidR="003B5EB6" w:rsidRPr="00F604CF">
        <w:rPr>
          <w:rFonts w:cs="Arial"/>
        </w:rPr>
        <w:t xml:space="preserve">el 4 de septiembre de 2007, </w:t>
      </w:r>
      <w:r w:rsidR="007225C2" w:rsidRPr="00F604CF">
        <w:rPr>
          <w:rFonts w:cs="Arial"/>
        </w:rPr>
        <w:t xml:space="preserve">dentro de los dos años siguientes a la comunicación del acto de adjudicación, </w:t>
      </w:r>
      <w:r w:rsidR="00B50D16" w:rsidRPr="00F604CF">
        <w:rPr>
          <w:rFonts w:cs="Arial"/>
        </w:rPr>
        <w:t>es decir</w:t>
      </w:r>
      <w:r w:rsidR="003B5EB6" w:rsidRPr="00F604CF">
        <w:rPr>
          <w:rFonts w:cs="Arial"/>
        </w:rPr>
        <w:t>,</w:t>
      </w:r>
      <w:r w:rsidR="00B50D16" w:rsidRPr="00F604CF">
        <w:rPr>
          <w:rFonts w:cs="Arial"/>
        </w:rPr>
        <w:t xml:space="preserve"> en el plazo fijado para la acción contractual</w:t>
      </w:r>
      <w:r w:rsidR="00C9646E" w:rsidRPr="00F604CF">
        <w:rPr>
          <w:rFonts w:cs="Arial"/>
        </w:rPr>
        <w:t>,</w:t>
      </w:r>
      <w:r w:rsidR="00923273" w:rsidRPr="00F604CF">
        <w:rPr>
          <w:rFonts w:cs="Arial"/>
        </w:rPr>
        <w:t xml:space="preserve"> de conformidad con el artículo 136 del CCA</w:t>
      </w:r>
      <w:r w:rsidR="00B50D16" w:rsidRPr="00F604CF">
        <w:rPr>
          <w:rFonts w:cs="Arial"/>
        </w:rPr>
        <w:t xml:space="preserve">, para que el proponente no favorecido pudiera hacer valer las pretensiones de nulidad del acto de adjudicación y del contrato celebrado. </w:t>
      </w:r>
    </w:p>
    <w:p w14:paraId="43BA2430" w14:textId="77777777" w:rsidR="00B50D16" w:rsidRPr="00F604CF" w:rsidRDefault="00B50D16" w:rsidP="00F604CF">
      <w:pPr>
        <w:widowControl w:val="0"/>
        <w:autoSpaceDE w:val="0"/>
        <w:autoSpaceDN w:val="0"/>
        <w:adjustRightInd w:val="0"/>
        <w:rPr>
          <w:rFonts w:cs="Arial"/>
          <w:lang w:val="es-ES_tradnl"/>
        </w:rPr>
      </w:pPr>
    </w:p>
    <w:p w14:paraId="570B238C" w14:textId="77777777" w:rsidR="0086309E" w:rsidRPr="00F604CF" w:rsidRDefault="0086309E" w:rsidP="00F604CF">
      <w:pPr>
        <w:widowControl w:val="0"/>
        <w:autoSpaceDE w:val="0"/>
        <w:autoSpaceDN w:val="0"/>
        <w:adjustRightInd w:val="0"/>
        <w:rPr>
          <w:rFonts w:cs="Arial"/>
          <w:lang w:val="es-ES_tradnl"/>
        </w:rPr>
      </w:pPr>
      <w:r w:rsidRPr="00F604CF">
        <w:rPr>
          <w:rFonts w:cs="Arial"/>
          <w:lang w:val="es-ES_tradnl"/>
        </w:rPr>
        <w:t>Por otra parte, se observa que aun encontrándose frente a un apelante único, la ocurrencia de la caducidad de la acción tiene que ser declarada cuando así se establezca de las pruebas aportadas al proceso, toda vez que en tal evento el fallador no puede entrar a conocer de la pretensión, por razón del vencimiento del término que la ley establece para incoar</w:t>
      </w:r>
      <w:r w:rsidR="00F31E55" w:rsidRPr="00F604CF">
        <w:rPr>
          <w:rFonts w:cs="Arial"/>
          <w:lang w:val="es-ES_tradnl"/>
        </w:rPr>
        <w:t xml:space="preserve"> </w:t>
      </w:r>
      <w:r w:rsidRPr="00F604CF">
        <w:rPr>
          <w:rFonts w:cs="Arial"/>
          <w:lang w:val="es-ES_tradnl"/>
        </w:rPr>
        <w:t>la</w:t>
      </w:r>
      <w:r w:rsidR="00F31E55" w:rsidRPr="00F604CF">
        <w:rPr>
          <w:rFonts w:cs="Arial"/>
          <w:lang w:val="es-ES_tradnl"/>
        </w:rPr>
        <w:t xml:space="preserve"> demanda</w:t>
      </w:r>
      <w:r w:rsidRPr="00F604CF">
        <w:rPr>
          <w:rFonts w:cs="Arial"/>
          <w:lang w:val="es-ES_tradnl"/>
        </w:rPr>
        <w:t xml:space="preserve">. </w:t>
      </w:r>
    </w:p>
    <w:p w14:paraId="615F9117" w14:textId="77777777" w:rsidR="0086309E" w:rsidRPr="00F604CF" w:rsidRDefault="0086309E" w:rsidP="00F604CF">
      <w:pPr>
        <w:widowControl w:val="0"/>
        <w:autoSpaceDE w:val="0"/>
        <w:autoSpaceDN w:val="0"/>
        <w:adjustRightInd w:val="0"/>
        <w:rPr>
          <w:rFonts w:cs="Arial"/>
          <w:lang w:val="es-ES_tradnl"/>
        </w:rPr>
      </w:pPr>
    </w:p>
    <w:p w14:paraId="2A4E1A64" w14:textId="77777777" w:rsidR="0086309E" w:rsidRPr="00F604CF" w:rsidRDefault="0086309E" w:rsidP="00F604CF">
      <w:pPr>
        <w:widowControl w:val="0"/>
        <w:autoSpaceDE w:val="0"/>
        <w:autoSpaceDN w:val="0"/>
        <w:adjustRightInd w:val="0"/>
        <w:rPr>
          <w:rFonts w:cs="Arial"/>
          <w:lang w:val="es-ES_tradnl"/>
        </w:rPr>
      </w:pPr>
      <w:r w:rsidRPr="00F604CF">
        <w:rPr>
          <w:rFonts w:cs="Arial"/>
          <w:lang w:val="es-ES_tradnl"/>
        </w:rPr>
        <w:t xml:space="preserve">Se recuerda que ante la evidencia del vencimiento del término de caducidad de la acción se configura una excepción al principio de la </w:t>
      </w:r>
      <w:r w:rsidRPr="00F604CF">
        <w:rPr>
          <w:rFonts w:cs="Arial"/>
          <w:i/>
          <w:lang w:val="es-ES_tradnl"/>
        </w:rPr>
        <w:t>“no reformatio in pejus</w:t>
      </w:r>
      <w:r w:rsidRPr="00F604CF">
        <w:rPr>
          <w:rFonts w:cs="Arial"/>
          <w:lang w:val="es-ES_tradnl"/>
        </w:rPr>
        <w:t>”, de acuerdo con la jurisprudencia del Consejo de Estado que se pone de presente, a continuación</w:t>
      </w:r>
      <w:r w:rsidRPr="00F604CF">
        <w:rPr>
          <w:rStyle w:val="Refdenotaalpie"/>
          <w:rFonts w:cs="Arial"/>
          <w:lang w:val="es-ES_tradnl"/>
        </w:rPr>
        <w:footnoteReference w:id="30"/>
      </w:r>
      <w:r w:rsidRPr="00F604CF">
        <w:rPr>
          <w:rFonts w:cs="Arial"/>
          <w:lang w:val="es-ES_tradnl"/>
        </w:rPr>
        <w:t>:</w:t>
      </w:r>
    </w:p>
    <w:p w14:paraId="11572B8C" w14:textId="77777777" w:rsidR="00B51AE0" w:rsidRPr="00F604CF" w:rsidRDefault="00B51AE0" w:rsidP="00F604CF">
      <w:pPr>
        <w:shd w:val="clear" w:color="auto" w:fill="FFFFFF"/>
        <w:spacing w:line="276" w:lineRule="auto"/>
        <w:rPr>
          <w:rFonts w:cs="Arial"/>
          <w:i/>
          <w:color w:val="000000"/>
        </w:rPr>
      </w:pPr>
    </w:p>
    <w:p w14:paraId="582E5CB2" w14:textId="77777777" w:rsidR="0086309E" w:rsidRPr="00F604CF" w:rsidRDefault="0086309E" w:rsidP="00F604CF">
      <w:pPr>
        <w:shd w:val="clear" w:color="auto" w:fill="FFFFFF"/>
        <w:spacing w:line="276" w:lineRule="auto"/>
        <w:rPr>
          <w:rFonts w:cs="Arial"/>
          <w:i/>
          <w:color w:val="000000"/>
        </w:rPr>
      </w:pPr>
      <w:r w:rsidRPr="00F604CF">
        <w:rPr>
          <w:rFonts w:cs="Arial"/>
          <w:i/>
          <w:color w:val="000000"/>
        </w:rPr>
        <w:t xml:space="preserve">“La Sala observa que en este proceso la sentencia de primera instancia constituyó un fallo totalmente desfavorable a la parte demandante, como lo será también el fallo de segunda instancia -aunque con fundamento diverso- no obstante lo cual, resulta útil recordar la jurisprudencia del Consejo de Estado- que se reitera ahora- en relación con las excepciones al principio de la </w:t>
      </w:r>
      <w:r w:rsidR="004B5D00" w:rsidRPr="00F604CF">
        <w:rPr>
          <w:rFonts w:cs="Arial"/>
          <w:i/>
          <w:color w:val="000000"/>
        </w:rPr>
        <w:t>‘</w:t>
      </w:r>
      <w:r w:rsidRPr="00F604CF">
        <w:rPr>
          <w:rFonts w:cs="Arial"/>
          <w:i/>
          <w:color w:val="000000"/>
        </w:rPr>
        <w:t>non reformatio in pejus</w:t>
      </w:r>
      <w:r w:rsidR="004B5D00" w:rsidRPr="00F604CF">
        <w:rPr>
          <w:rFonts w:cs="Arial"/>
          <w:i/>
          <w:color w:val="000000"/>
        </w:rPr>
        <w:t>’</w:t>
      </w:r>
      <w:r w:rsidRPr="00F604CF">
        <w:rPr>
          <w:rFonts w:cs="Arial"/>
          <w:i/>
          <w:color w:val="000000"/>
        </w:rPr>
        <w:t>, frente a la ocurrencia de la caducidad de la acción, cuando ha sido advertida en la segunda instancia:</w:t>
      </w:r>
    </w:p>
    <w:p w14:paraId="05A6F368" w14:textId="77777777" w:rsidR="00B51AE0" w:rsidRPr="00F604CF" w:rsidRDefault="00B51AE0" w:rsidP="00F604CF">
      <w:pPr>
        <w:pStyle w:val="Textonotapie"/>
        <w:spacing w:line="276" w:lineRule="auto"/>
        <w:rPr>
          <w:rStyle w:val="apple-style-span"/>
          <w:rFonts w:cs="Arial"/>
          <w:i/>
          <w:color w:val="000000"/>
          <w:sz w:val="24"/>
          <w:szCs w:val="24"/>
        </w:rPr>
      </w:pPr>
    </w:p>
    <w:p w14:paraId="70D48EFB" w14:textId="77777777" w:rsidR="0086309E" w:rsidRPr="00F604CF" w:rsidRDefault="0086309E" w:rsidP="00F604CF">
      <w:pPr>
        <w:pStyle w:val="Textonotapie"/>
        <w:spacing w:line="276" w:lineRule="auto"/>
        <w:rPr>
          <w:rStyle w:val="apple-style-span"/>
          <w:rFonts w:cs="Arial"/>
          <w:i/>
          <w:color w:val="000000"/>
          <w:sz w:val="24"/>
          <w:szCs w:val="24"/>
        </w:rPr>
      </w:pPr>
      <w:r w:rsidRPr="00F604CF">
        <w:rPr>
          <w:rStyle w:val="apple-style-span"/>
          <w:rFonts w:cs="Arial"/>
          <w:i/>
          <w:color w:val="000000"/>
          <w:sz w:val="24"/>
          <w:szCs w:val="24"/>
        </w:rPr>
        <w:t xml:space="preserve">‘La Sección Tercera del Consejo de Estado en múltiples decisiones ha determinado la operancia del fenómeno jurídico procesal de la caducidad de la acción ejercida, así como también ha encontrado acreditada la existencia de la falta de legitimación en la causa –por activa o por pasiva– e incluso la ineptitud sustantiva de la demanda, casos en los cuales ha denegado las pretensiones de la demanda o se ha inhibido de fallar, según el caso, con independencia de si tales presupuestos o aspectos hubieren sido, o no, advertidos por el juez de primera instancia o por alguno de los sujetos procesales, incluido, claro está, aquel que hubiere impugnado la providencia del juez </w:t>
      </w:r>
      <w:r w:rsidRPr="00F604CF">
        <w:rPr>
          <w:rStyle w:val="apple-style-span"/>
          <w:rFonts w:cs="Arial"/>
          <w:i/>
          <w:iCs/>
          <w:color w:val="000000"/>
          <w:sz w:val="24"/>
          <w:szCs w:val="24"/>
        </w:rPr>
        <w:t>a quo</w:t>
      </w:r>
      <w:r w:rsidRPr="00F604CF">
        <w:rPr>
          <w:rStyle w:val="Refdenotaalpie"/>
          <w:rFonts w:cs="Arial"/>
          <w:i/>
          <w:iCs/>
          <w:color w:val="000000"/>
          <w:sz w:val="24"/>
          <w:szCs w:val="24"/>
        </w:rPr>
        <w:footnoteReference w:id="31"/>
      </w:r>
      <w:r w:rsidRPr="00F604CF">
        <w:rPr>
          <w:rStyle w:val="apple-style-span"/>
          <w:rFonts w:cs="Arial"/>
          <w:i/>
          <w:iCs/>
          <w:color w:val="000000"/>
          <w:sz w:val="24"/>
          <w:szCs w:val="24"/>
        </w:rPr>
        <w:t>”.</w:t>
      </w:r>
    </w:p>
    <w:p w14:paraId="257E27D9" w14:textId="77777777" w:rsidR="0086309E" w:rsidRPr="00F604CF" w:rsidRDefault="0086309E" w:rsidP="00F604CF">
      <w:pPr>
        <w:tabs>
          <w:tab w:val="center" w:pos="0"/>
          <w:tab w:val="right" w:pos="8838"/>
        </w:tabs>
        <w:overflowPunct w:val="0"/>
        <w:autoSpaceDE w:val="0"/>
        <w:autoSpaceDN w:val="0"/>
        <w:adjustRightInd w:val="0"/>
        <w:textAlignment w:val="baseline"/>
        <w:rPr>
          <w:rFonts w:cs="Arial"/>
        </w:rPr>
      </w:pPr>
    </w:p>
    <w:p w14:paraId="73CB82A0" w14:textId="77777777" w:rsidR="008B689B" w:rsidRPr="00F604CF" w:rsidRDefault="00C9646E" w:rsidP="00F604CF">
      <w:pPr>
        <w:tabs>
          <w:tab w:val="center" w:pos="0"/>
          <w:tab w:val="right" w:pos="8838"/>
        </w:tabs>
        <w:overflowPunct w:val="0"/>
        <w:autoSpaceDE w:val="0"/>
        <w:autoSpaceDN w:val="0"/>
        <w:adjustRightInd w:val="0"/>
        <w:textAlignment w:val="baseline"/>
        <w:rPr>
          <w:rFonts w:cs="Arial"/>
        </w:rPr>
      </w:pPr>
      <w:r w:rsidRPr="00F604CF">
        <w:rPr>
          <w:rFonts w:cs="Arial"/>
        </w:rPr>
        <w:t xml:space="preserve">Desde otra perspectiva, </w:t>
      </w:r>
      <w:r w:rsidR="00A709E1" w:rsidRPr="00F604CF">
        <w:rPr>
          <w:rFonts w:cs="Arial"/>
        </w:rPr>
        <w:t>a</w:t>
      </w:r>
      <w:r w:rsidR="0086309E" w:rsidRPr="00F604CF">
        <w:rPr>
          <w:rFonts w:cs="Arial"/>
        </w:rPr>
        <w:t xml:space="preserve"> juicio de la Sala, en este caso concreto no se puede desplegar un esfuerzo </w:t>
      </w:r>
      <w:r w:rsidR="00917E15" w:rsidRPr="00F604CF">
        <w:rPr>
          <w:rFonts w:cs="Arial"/>
        </w:rPr>
        <w:t>por la v</w:t>
      </w:r>
      <w:r w:rsidR="00A210BA" w:rsidRPr="00F604CF">
        <w:rPr>
          <w:rFonts w:cs="Arial"/>
        </w:rPr>
        <w:t>í</w:t>
      </w:r>
      <w:r w:rsidR="00917E15" w:rsidRPr="00F604CF">
        <w:rPr>
          <w:rFonts w:cs="Arial"/>
        </w:rPr>
        <w:t xml:space="preserve">a del principio </w:t>
      </w:r>
      <w:r w:rsidR="00917E15" w:rsidRPr="00F604CF">
        <w:rPr>
          <w:rFonts w:cs="Arial"/>
          <w:i/>
        </w:rPr>
        <w:t>iura novit curia</w:t>
      </w:r>
      <w:r w:rsidR="006F2294" w:rsidRPr="00F604CF">
        <w:rPr>
          <w:rFonts w:cs="Arial"/>
        </w:rPr>
        <w:t xml:space="preserve"> que se cita de manera preventiva -aunque descontextualizada- en la demanda</w:t>
      </w:r>
      <w:r w:rsidR="00917E15" w:rsidRPr="00F604CF">
        <w:rPr>
          <w:rFonts w:cs="Arial"/>
        </w:rPr>
        <w:t xml:space="preserve">, habida cuenta </w:t>
      </w:r>
      <w:r w:rsidR="0066513D" w:rsidRPr="00F604CF">
        <w:rPr>
          <w:rFonts w:cs="Arial"/>
        </w:rPr>
        <w:t xml:space="preserve">de </w:t>
      </w:r>
      <w:r w:rsidR="00917E15" w:rsidRPr="00F604CF">
        <w:rPr>
          <w:rFonts w:cs="Arial"/>
        </w:rPr>
        <w:t>que el demandante invocó la acción correcta</w:t>
      </w:r>
      <w:r w:rsidR="009B2403" w:rsidRPr="00F604CF">
        <w:rPr>
          <w:rFonts w:cs="Arial"/>
        </w:rPr>
        <w:t>, es decir</w:t>
      </w:r>
      <w:r w:rsidRPr="00F604CF">
        <w:rPr>
          <w:rFonts w:cs="Arial"/>
        </w:rPr>
        <w:t>,</w:t>
      </w:r>
      <w:r w:rsidR="009B2403" w:rsidRPr="00F604CF">
        <w:rPr>
          <w:rFonts w:cs="Arial"/>
        </w:rPr>
        <w:t xml:space="preserve"> la contractual incoada contra el acto de adjudicación y el contrato correspondiente, </w:t>
      </w:r>
      <w:r w:rsidR="00917E15" w:rsidRPr="00F604CF">
        <w:rPr>
          <w:rFonts w:cs="Arial"/>
        </w:rPr>
        <w:t xml:space="preserve">pero la entabló por fuera del término legal para </w:t>
      </w:r>
      <w:r w:rsidR="009B2403" w:rsidRPr="00F604CF">
        <w:rPr>
          <w:rFonts w:cs="Arial"/>
        </w:rPr>
        <w:t>discutir su derecho a la indemnización como proponente no favorecido</w:t>
      </w:r>
      <w:r w:rsidR="00FB15D7" w:rsidRPr="00F604CF">
        <w:rPr>
          <w:rFonts w:cs="Arial"/>
        </w:rPr>
        <w:t>,</w:t>
      </w:r>
      <w:r w:rsidR="009B2403" w:rsidRPr="00F604CF">
        <w:rPr>
          <w:rFonts w:cs="Arial"/>
        </w:rPr>
        <w:t xml:space="preserve"> </w:t>
      </w:r>
      <w:r w:rsidR="00917E15" w:rsidRPr="00F604CF">
        <w:rPr>
          <w:rFonts w:cs="Arial"/>
        </w:rPr>
        <w:t xml:space="preserve">habiendo dejado transcurrir casi dos años, a pesar de haber </w:t>
      </w:r>
      <w:r w:rsidR="00A709E1" w:rsidRPr="00F604CF">
        <w:rPr>
          <w:rFonts w:cs="Arial"/>
        </w:rPr>
        <w:t xml:space="preserve">tenido conocimiento de la adjudicación y de haber </w:t>
      </w:r>
      <w:r w:rsidR="00917E15" w:rsidRPr="00F604CF">
        <w:rPr>
          <w:rFonts w:cs="Arial"/>
        </w:rPr>
        <w:t xml:space="preserve">presentado la denuncia penal </w:t>
      </w:r>
      <w:r w:rsidR="00F125E7" w:rsidRPr="00F604CF">
        <w:rPr>
          <w:rFonts w:cs="Arial"/>
        </w:rPr>
        <w:t xml:space="preserve">ante la Fiscalía General de la Nación </w:t>
      </w:r>
      <w:r w:rsidR="008B689B" w:rsidRPr="00F604CF">
        <w:rPr>
          <w:rFonts w:cs="Arial"/>
        </w:rPr>
        <w:t xml:space="preserve">desde el 12 de noviembre de 2005, </w:t>
      </w:r>
      <w:r w:rsidR="00F91783" w:rsidRPr="00F604CF">
        <w:rPr>
          <w:rFonts w:cs="Arial"/>
        </w:rPr>
        <w:t xml:space="preserve">allegando a ella </w:t>
      </w:r>
      <w:r w:rsidR="00917E15" w:rsidRPr="00F604CF">
        <w:rPr>
          <w:rFonts w:cs="Arial"/>
        </w:rPr>
        <w:t>toda la información que requerí</w:t>
      </w:r>
      <w:r w:rsidR="008B689B" w:rsidRPr="00F604CF">
        <w:rPr>
          <w:rFonts w:cs="Arial"/>
        </w:rPr>
        <w:t xml:space="preserve">a para demandar ante la jurisdicción de lo contencioso administrativo. </w:t>
      </w:r>
    </w:p>
    <w:p w14:paraId="615F2950" w14:textId="77777777" w:rsidR="008B689B" w:rsidRPr="00F604CF" w:rsidRDefault="008B689B" w:rsidP="00F604CF">
      <w:pPr>
        <w:tabs>
          <w:tab w:val="center" w:pos="0"/>
          <w:tab w:val="right" w:pos="8838"/>
        </w:tabs>
        <w:overflowPunct w:val="0"/>
        <w:autoSpaceDE w:val="0"/>
        <w:autoSpaceDN w:val="0"/>
        <w:adjustRightInd w:val="0"/>
        <w:textAlignment w:val="baseline"/>
        <w:rPr>
          <w:rFonts w:cs="Arial"/>
        </w:rPr>
      </w:pPr>
    </w:p>
    <w:p w14:paraId="1AC0BF33" w14:textId="77777777" w:rsidR="0073714B" w:rsidRPr="00F604CF" w:rsidRDefault="008B689B" w:rsidP="00F604CF">
      <w:pPr>
        <w:tabs>
          <w:tab w:val="center" w:pos="0"/>
          <w:tab w:val="right" w:pos="8838"/>
        </w:tabs>
        <w:overflowPunct w:val="0"/>
        <w:autoSpaceDE w:val="0"/>
        <w:autoSpaceDN w:val="0"/>
        <w:adjustRightInd w:val="0"/>
        <w:textAlignment w:val="baseline"/>
        <w:rPr>
          <w:rFonts w:cs="Arial"/>
        </w:rPr>
      </w:pPr>
      <w:r w:rsidRPr="00F604CF">
        <w:rPr>
          <w:rFonts w:cs="Arial"/>
        </w:rPr>
        <w:t xml:space="preserve">Por ello, en el presente </w:t>
      </w:r>
      <w:r w:rsidR="0073714B" w:rsidRPr="00F604CF">
        <w:rPr>
          <w:rFonts w:cs="Arial"/>
        </w:rPr>
        <w:t>litigio</w:t>
      </w:r>
      <w:r w:rsidR="00581115" w:rsidRPr="00F604CF">
        <w:rPr>
          <w:rFonts w:cs="Arial"/>
        </w:rPr>
        <w:t xml:space="preserve">, en aras de preservar el debido proceso para ambas partes, </w:t>
      </w:r>
      <w:r w:rsidRPr="00F604CF">
        <w:rPr>
          <w:rFonts w:cs="Arial"/>
        </w:rPr>
        <w:t xml:space="preserve">únicamente </w:t>
      </w:r>
      <w:r w:rsidR="009B2403" w:rsidRPr="00F604CF">
        <w:rPr>
          <w:rFonts w:cs="Arial"/>
        </w:rPr>
        <w:t xml:space="preserve">procederá  el </w:t>
      </w:r>
      <w:r w:rsidRPr="00F604CF">
        <w:rPr>
          <w:rFonts w:cs="Arial"/>
        </w:rPr>
        <w:t>estudi</w:t>
      </w:r>
      <w:r w:rsidR="009B2403" w:rsidRPr="00F604CF">
        <w:rPr>
          <w:rFonts w:cs="Arial"/>
        </w:rPr>
        <w:t>o</w:t>
      </w:r>
      <w:r w:rsidR="007D772A" w:rsidRPr="00F604CF">
        <w:rPr>
          <w:rFonts w:cs="Arial"/>
        </w:rPr>
        <w:t xml:space="preserve"> </w:t>
      </w:r>
      <w:r w:rsidR="00FB15D7" w:rsidRPr="00F604CF">
        <w:rPr>
          <w:rFonts w:cs="Arial"/>
        </w:rPr>
        <w:t>de</w:t>
      </w:r>
      <w:r w:rsidRPr="00F604CF">
        <w:rPr>
          <w:rFonts w:cs="Arial"/>
        </w:rPr>
        <w:t xml:space="preserve"> las pretensiones de nulidad</w:t>
      </w:r>
      <w:r w:rsidR="00581115" w:rsidRPr="00F604CF">
        <w:rPr>
          <w:rFonts w:cs="Arial"/>
        </w:rPr>
        <w:t xml:space="preserve"> incoadas por la parte demandante</w:t>
      </w:r>
      <w:r w:rsidR="0073714B" w:rsidRPr="00F604CF">
        <w:rPr>
          <w:rFonts w:cs="Arial"/>
        </w:rPr>
        <w:t>, al paso que se declarará la caducidad de las pretensiones relacionadas con la indemnización de perjuicios.</w:t>
      </w:r>
    </w:p>
    <w:p w14:paraId="6F73D8E6" w14:textId="77777777" w:rsidR="00201EF4" w:rsidRPr="00F604CF" w:rsidRDefault="00201EF4" w:rsidP="00F604CF">
      <w:pPr>
        <w:tabs>
          <w:tab w:val="center" w:pos="0"/>
          <w:tab w:val="right" w:pos="8838"/>
        </w:tabs>
        <w:overflowPunct w:val="0"/>
        <w:autoSpaceDE w:val="0"/>
        <w:autoSpaceDN w:val="0"/>
        <w:adjustRightInd w:val="0"/>
        <w:textAlignment w:val="baseline"/>
        <w:rPr>
          <w:rFonts w:cs="Arial"/>
        </w:rPr>
      </w:pPr>
    </w:p>
    <w:p w14:paraId="4A54D36F" w14:textId="77777777" w:rsidR="006F5B7F" w:rsidRPr="00F604CF" w:rsidRDefault="00EC24DA" w:rsidP="00F604CF">
      <w:pPr>
        <w:spacing w:line="240" w:lineRule="auto"/>
        <w:rPr>
          <w:rFonts w:cs="Arial"/>
          <w:b/>
        </w:rPr>
      </w:pPr>
      <w:r w:rsidRPr="00F604CF">
        <w:rPr>
          <w:rFonts w:cs="Arial"/>
          <w:b/>
        </w:rPr>
        <w:t>4</w:t>
      </w:r>
      <w:r w:rsidR="00C268A5" w:rsidRPr="00F604CF">
        <w:rPr>
          <w:rFonts w:cs="Arial"/>
          <w:b/>
        </w:rPr>
        <w:t xml:space="preserve">. </w:t>
      </w:r>
      <w:r w:rsidR="006F5B7F" w:rsidRPr="00F604CF">
        <w:rPr>
          <w:rFonts w:cs="Arial"/>
          <w:b/>
        </w:rPr>
        <w:t>Importancia de los estados financieros en las licitaciones públicas y otros procesos de selección de c</w:t>
      </w:r>
      <w:r w:rsidR="00C268A5" w:rsidRPr="00F604CF">
        <w:rPr>
          <w:rFonts w:cs="Arial"/>
          <w:b/>
        </w:rPr>
        <w:t>o</w:t>
      </w:r>
      <w:r w:rsidR="006F5B7F" w:rsidRPr="00F604CF">
        <w:rPr>
          <w:rFonts w:cs="Arial"/>
          <w:b/>
        </w:rPr>
        <w:t>ntratistas</w:t>
      </w:r>
    </w:p>
    <w:p w14:paraId="3340281C" w14:textId="77777777" w:rsidR="006F5B7F" w:rsidRPr="00F604CF" w:rsidRDefault="006F5B7F" w:rsidP="00F604CF">
      <w:pPr>
        <w:spacing w:line="240" w:lineRule="auto"/>
        <w:rPr>
          <w:rFonts w:cs="Arial"/>
          <w:b/>
        </w:rPr>
      </w:pPr>
    </w:p>
    <w:p w14:paraId="3F4F8B65" w14:textId="77777777" w:rsidR="00890AE0" w:rsidRPr="00F604CF" w:rsidRDefault="0073714B" w:rsidP="00F604CF">
      <w:pPr>
        <w:rPr>
          <w:rFonts w:cs="Arial"/>
        </w:rPr>
      </w:pPr>
      <w:r w:rsidRPr="00F604CF">
        <w:rPr>
          <w:rFonts w:cs="Arial"/>
        </w:rPr>
        <w:t>Teniendo en cuenta que el Tribunal desat</w:t>
      </w:r>
      <w:r w:rsidR="00201EF4" w:rsidRPr="00F604CF">
        <w:rPr>
          <w:rFonts w:cs="Arial"/>
        </w:rPr>
        <w:t>ó</w:t>
      </w:r>
      <w:r w:rsidRPr="00F604CF">
        <w:rPr>
          <w:rFonts w:cs="Arial"/>
        </w:rPr>
        <w:t xml:space="preserve"> el litigio con </w:t>
      </w:r>
      <w:r w:rsidR="00201EF4" w:rsidRPr="00F604CF">
        <w:rPr>
          <w:rFonts w:cs="Arial"/>
        </w:rPr>
        <w:t xml:space="preserve">fundamento </w:t>
      </w:r>
      <w:r w:rsidRPr="00F604CF">
        <w:rPr>
          <w:rFonts w:cs="Arial"/>
        </w:rPr>
        <w:t xml:space="preserve">en la jurisprudencia </w:t>
      </w:r>
      <w:r w:rsidR="008D1B86" w:rsidRPr="00F604CF">
        <w:rPr>
          <w:rFonts w:cs="Arial"/>
        </w:rPr>
        <w:t>en torno del numeral 15 del artículo 25 de la Ley 80 de 1993</w:t>
      </w:r>
      <w:r w:rsidR="00C9646E" w:rsidRPr="00F604CF">
        <w:rPr>
          <w:rFonts w:cs="Arial"/>
        </w:rPr>
        <w:t>,</w:t>
      </w:r>
      <w:r w:rsidR="008D1B86" w:rsidRPr="00F604CF">
        <w:rPr>
          <w:rFonts w:cs="Arial"/>
        </w:rPr>
        <w:t xml:space="preserve"> </w:t>
      </w:r>
      <w:r w:rsidRPr="00F604CF">
        <w:rPr>
          <w:rFonts w:cs="Arial"/>
        </w:rPr>
        <w:t xml:space="preserve">relacionada con el derecho a subsanar los requisitos </w:t>
      </w:r>
      <w:r w:rsidR="00635AC1" w:rsidRPr="00F604CF">
        <w:rPr>
          <w:rFonts w:cs="Arial"/>
        </w:rPr>
        <w:t xml:space="preserve">formales de las propuestas, es importante advertir que tratándose de la disputa sobre </w:t>
      </w:r>
      <w:r w:rsidR="008D1B86" w:rsidRPr="00F604CF">
        <w:rPr>
          <w:rFonts w:cs="Arial"/>
        </w:rPr>
        <w:t xml:space="preserve">unos documentos que en últimas contenían una </w:t>
      </w:r>
      <w:r w:rsidR="00635AC1" w:rsidRPr="00F604CF">
        <w:rPr>
          <w:rFonts w:cs="Arial"/>
        </w:rPr>
        <w:t>modificación de los estados financieros</w:t>
      </w:r>
      <w:r w:rsidR="008D1B86" w:rsidRPr="00F604CF">
        <w:rPr>
          <w:rFonts w:cs="Arial"/>
        </w:rPr>
        <w:t xml:space="preserve"> con alcance sobre los puntajes asignados al proponente</w:t>
      </w:r>
      <w:r w:rsidR="00635AC1" w:rsidRPr="00F604CF">
        <w:rPr>
          <w:rFonts w:cs="Arial"/>
        </w:rPr>
        <w:t xml:space="preserve">, el asunto no podía ser </w:t>
      </w:r>
      <w:r w:rsidR="00D16960" w:rsidRPr="00F604CF">
        <w:rPr>
          <w:rFonts w:cs="Arial"/>
        </w:rPr>
        <w:t xml:space="preserve">solucionado </w:t>
      </w:r>
      <w:r w:rsidR="00635AC1" w:rsidRPr="00F604CF">
        <w:rPr>
          <w:rFonts w:cs="Arial"/>
        </w:rPr>
        <w:t>con fundamento en la</w:t>
      </w:r>
      <w:r w:rsidR="00890AE0" w:rsidRPr="00F604CF">
        <w:rPr>
          <w:rFonts w:cs="Arial"/>
        </w:rPr>
        <w:t xml:space="preserve"> citada </w:t>
      </w:r>
      <w:r w:rsidR="008D1B86" w:rsidRPr="00F604CF">
        <w:rPr>
          <w:rFonts w:cs="Arial"/>
        </w:rPr>
        <w:t>norma</w:t>
      </w:r>
      <w:r w:rsidR="00890AE0" w:rsidRPr="00F604CF">
        <w:rPr>
          <w:rFonts w:cs="Arial"/>
        </w:rPr>
        <w:t xml:space="preserve">. </w:t>
      </w:r>
    </w:p>
    <w:p w14:paraId="69A377A2" w14:textId="77777777" w:rsidR="00890AE0" w:rsidRPr="00F604CF" w:rsidRDefault="00890AE0" w:rsidP="00F604CF">
      <w:pPr>
        <w:rPr>
          <w:rFonts w:cs="Arial"/>
        </w:rPr>
      </w:pPr>
    </w:p>
    <w:p w14:paraId="3F3168CE" w14:textId="77777777" w:rsidR="00890AE0" w:rsidRPr="00F604CF" w:rsidRDefault="00890AE0" w:rsidP="00F604CF">
      <w:pPr>
        <w:rPr>
          <w:rFonts w:cs="Arial"/>
        </w:rPr>
      </w:pPr>
      <w:r w:rsidRPr="00F604CF">
        <w:rPr>
          <w:rFonts w:cs="Arial"/>
        </w:rPr>
        <w:t xml:space="preserve">Para contextualizar la importancia de </w:t>
      </w:r>
      <w:r w:rsidR="00D16960" w:rsidRPr="00F604CF">
        <w:rPr>
          <w:rFonts w:cs="Arial"/>
        </w:rPr>
        <w:t xml:space="preserve">analizar </w:t>
      </w:r>
      <w:r w:rsidR="00E6796E" w:rsidRPr="00F604CF">
        <w:rPr>
          <w:rFonts w:cs="Arial"/>
        </w:rPr>
        <w:t xml:space="preserve">el aspecto material de </w:t>
      </w:r>
      <w:r w:rsidRPr="00F604CF">
        <w:rPr>
          <w:rFonts w:cs="Arial"/>
        </w:rPr>
        <w:t>la información financiera, la Sala reitera la siguiente jurisprudencia</w:t>
      </w:r>
      <w:r w:rsidR="00550D54" w:rsidRPr="00F604CF">
        <w:rPr>
          <w:rFonts w:cs="Arial"/>
        </w:rPr>
        <w:t xml:space="preserve">, emanada </w:t>
      </w:r>
      <w:r w:rsidRPr="00F604CF">
        <w:rPr>
          <w:rFonts w:cs="Arial"/>
        </w:rPr>
        <w:t>de la</w:t>
      </w:r>
      <w:r w:rsidR="00E6796E" w:rsidRPr="00F604CF">
        <w:rPr>
          <w:rFonts w:cs="Arial"/>
        </w:rPr>
        <w:t>s</w:t>
      </w:r>
      <w:r w:rsidRPr="00F604CF">
        <w:rPr>
          <w:rFonts w:cs="Arial"/>
        </w:rPr>
        <w:t xml:space="preserve"> Subsecci</w:t>
      </w:r>
      <w:r w:rsidR="00E6796E" w:rsidRPr="00F604CF">
        <w:rPr>
          <w:rFonts w:cs="Arial"/>
        </w:rPr>
        <w:t xml:space="preserve">ones </w:t>
      </w:r>
      <w:r w:rsidRPr="00F604CF">
        <w:rPr>
          <w:rFonts w:cs="Arial"/>
        </w:rPr>
        <w:t xml:space="preserve">A </w:t>
      </w:r>
      <w:r w:rsidR="00E6796E" w:rsidRPr="00F604CF">
        <w:rPr>
          <w:rFonts w:cs="Arial"/>
        </w:rPr>
        <w:t xml:space="preserve">y C </w:t>
      </w:r>
      <w:r w:rsidRPr="00F604CF">
        <w:rPr>
          <w:rFonts w:cs="Arial"/>
        </w:rPr>
        <w:t>de la Sección Tercera del Consejo de Estado:</w:t>
      </w:r>
    </w:p>
    <w:p w14:paraId="658E7057" w14:textId="77777777" w:rsidR="00C268A5" w:rsidRPr="00F604CF" w:rsidRDefault="00A56D75" w:rsidP="00F604CF">
      <w:pPr>
        <w:shd w:val="clear" w:color="auto" w:fill="FFFFFF"/>
        <w:spacing w:line="276" w:lineRule="auto"/>
        <w:rPr>
          <w:rFonts w:cs="Arial"/>
          <w:bCs/>
          <w:i/>
          <w:color w:val="000000"/>
          <w:lang w:val="es-MX" w:eastAsia="es-MX"/>
        </w:rPr>
      </w:pPr>
      <w:r w:rsidRPr="00F604CF">
        <w:rPr>
          <w:rFonts w:cs="Arial"/>
          <w:bCs/>
          <w:i/>
          <w:color w:val="000000"/>
          <w:lang w:val="es-MX" w:eastAsia="es-MX"/>
        </w:rPr>
        <w:t>“</w:t>
      </w:r>
      <w:r w:rsidR="00C268A5" w:rsidRPr="00F604CF">
        <w:rPr>
          <w:rFonts w:cs="Arial"/>
          <w:bCs/>
          <w:i/>
          <w:color w:val="000000"/>
          <w:lang w:val="es-MX" w:eastAsia="es-MX"/>
        </w:rPr>
        <w:t>El Decreto 2649 de 1993, contentivo de las Normas de Contabilidad Generalmente Aceptadas en Colombia, se debe observar en la elaboración y presentación de los estados financieros cuando sean requeridos dentro de la actuación administrativa en la etapa de formación del contrato estatal, con independencia de la condición del proponente –persona natural o jurídica, comerciante o no- para efectos de la participación en los procedimientos administrativos de selección y adjudicación del contrato estatal, toda vez que se definió el siguiente ámbito de aplicación para las normas de contabilidad</w:t>
      </w:r>
      <w:r w:rsidR="00FE4876" w:rsidRPr="00F604CF">
        <w:rPr>
          <w:rFonts w:cs="Arial"/>
          <w:bCs/>
          <w:i/>
          <w:color w:val="000000"/>
          <w:lang w:val="es-MX" w:eastAsia="es-MX"/>
        </w:rPr>
        <w:t>: (…)</w:t>
      </w:r>
      <w:r w:rsidR="00C268A5" w:rsidRPr="00F604CF">
        <w:rPr>
          <w:rStyle w:val="Refdenotaalpie"/>
          <w:rFonts w:cs="Arial"/>
          <w:bCs/>
          <w:i/>
          <w:color w:val="000000"/>
          <w:lang w:val="es-MX" w:eastAsia="es-MX"/>
        </w:rPr>
        <w:footnoteReference w:id="32"/>
      </w:r>
      <w:r w:rsidR="00C268A5" w:rsidRPr="00F604CF">
        <w:rPr>
          <w:rFonts w:cs="Arial"/>
          <w:bCs/>
          <w:i/>
          <w:color w:val="000000"/>
          <w:lang w:val="es-MX" w:eastAsia="es-MX"/>
        </w:rPr>
        <w:t>:</w:t>
      </w:r>
    </w:p>
    <w:p w14:paraId="24789AB7" w14:textId="77777777" w:rsidR="006F5B7F" w:rsidRPr="00F604CF" w:rsidRDefault="00FE4876" w:rsidP="00F604CF">
      <w:pPr>
        <w:shd w:val="clear" w:color="auto" w:fill="FFFFFF"/>
        <w:spacing w:line="276" w:lineRule="auto"/>
        <w:rPr>
          <w:rFonts w:cs="Arial"/>
          <w:bCs/>
          <w:i/>
          <w:color w:val="000000"/>
          <w:lang w:val="es-MX" w:eastAsia="es-MX"/>
        </w:rPr>
      </w:pPr>
      <w:r w:rsidRPr="00F604CF">
        <w:rPr>
          <w:rFonts w:cs="Arial"/>
          <w:bCs/>
          <w:i/>
          <w:color w:val="000000"/>
          <w:lang w:val="es-MX" w:eastAsia="es-MX"/>
        </w:rPr>
        <w:t>“</w:t>
      </w:r>
      <w:r w:rsidR="006F5B7F" w:rsidRPr="00F604CF">
        <w:rPr>
          <w:rFonts w:cs="Arial"/>
          <w:bCs/>
          <w:i/>
          <w:color w:val="000000"/>
          <w:lang w:val="es-MX" w:eastAsia="es-MX"/>
        </w:rPr>
        <w:t>Las Normas de Contabilidad Generalmente Aceptadas en Colombia</w:t>
      </w:r>
      <w:r w:rsidR="006F5B7F" w:rsidRPr="00F604CF">
        <w:rPr>
          <w:rStyle w:val="Refdenotaalpie"/>
          <w:rFonts w:cs="Arial"/>
          <w:bCs/>
          <w:i/>
          <w:color w:val="000000"/>
          <w:lang w:val="es-MX" w:eastAsia="es-MX"/>
        </w:rPr>
        <w:footnoteReference w:id="33"/>
      </w:r>
      <w:r w:rsidR="006F5B7F" w:rsidRPr="00F604CF">
        <w:rPr>
          <w:rFonts w:cs="Arial"/>
          <w:bCs/>
          <w:i/>
          <w:color w:val="000000"/>
          <w:lang w:val="es-MX" w:eastAsia="es-MX"/>
        </w:rPr>
        <w:t xml:space="preserve"> constituyen un aporte importante para apoyar los principios de la contratación estatal establecidos en la Ley 80 de 1993, en aquellos casos en los cuales los estados financieros se requieran como medio idóneo para acreditar los requisitos o condiciones en los procedimientos de contratación, por cuanto bajo la égida del Decreto 2649 de 1993 los proponentes se encuentran sometidos a unas normas comunes de elaboración y revelación en sus estados financieros, lo cual obra en beneficio de los principios de transparencia, de selección objetiva y de igualdad de acceso en la contratación pública, toda vez que los estados financieros debidamente elaborados facilitan la comparabilidad de la información en ellos consignada sobre bases homogéneas y fidedignas, especialmente para los efectos concretos de establecer la capacidad financiera de los proponentes dentro de la contratación estatal</w:t>
      </w:r>
      <w:r w:rsidRPr="00F604CF">
        <w:rPr>
          <w:rFonts w:cs="Arial"/>
          <w:bCs/>
          <w:i/>
          <w:color w:val="000000"/>
          <w:lang w:val="es-MX" w:eastAsia="es-MX"/>
        </w:rPr>
        <w:t>”</w:t>
      </w:r>
      <w:r w:rsidR="006F5B7F" w:rsidRPr="00F604CF">
        <w:rPr>
          <w:rFonts w:cs="Arial"/>
          <w:bCs/>
          <w:i/>
          <w:color w:val="000000"/>
          <w:lang w:val="es-MX" w:eastAsia="es-MX"/>
        </w:rPr>
        <w:t>.</w:t>
      </w:r>
    </w:p>
    <w:p w14:paraId="41D4218B" w14:textId="77777777" w:rsidR="006F5B7F" w:rsidRPr="00F604CF" w:rsidRDefault="00FE4876" w:rsidP="00F604CF">
      <w:pPr>
        <w:shd w:val="clear" w:color="auto" w:fill="FFFFFF"/>
        <w:spacing w:line="276" w:lineRule="auto"/>
        <w:rPr>
          <w:rFonts w:cs="Arial"/>
          <w:bCs/>
          <w:i/>
          <w:color w:val="000000"/>
          <w:lang w:val="es-MX" w:eastAsia="es-MX"/>
        </w:rPr>
      </w:pPr>
      <w:r w:rsidRPr="00F604CF">
        <w:rPr>
          <w:rFonts w:cs="Arial"/>
          <w:bCs/>
          <w:i/>
          <w:color w:val="000000"/>
          <w:lang w:val="es-MX" w:eastAsia="es-MX"/>
        </w:rPr>
        <w:t>“</w:t>
      </w:r>
      <w:r w:rsidR="006F5B7F" w:rsidRPr="00F604CF">
        <w:rPr>
          <w:rFonts w:cs="Arial"/>
          <w:bCs/>
          <w:i/>
          <w:color w:val="000000"/>
          <w:lang w:val="es-MX" w:eastAsia="es-MX"/>
        </w:rPr>
        <w:t>La importancia que las normas de elaboración de los estados financieros tiene para el Estado, fue mencionada con ocasión del estudio de la constitucionalidad del artículo 43 de la Ley 222 de 1995</w:t>
      </w:r>
      <w:r w:rsidR="006F5B7F" w:rsidRPr="00F604CF">
        <w:rPr>
          <w:rStyle w:val="Refdenotaalpie"/>
          <w:rFonts w:cs="Arial"/>
          <w:bCs/>
          <w:i/>
          <w:color w:val="000000"/>
          <w:lang w:val="es-MX" w:eastAsia="es-MX"/>
        </w:rPr>
        <w:footnoteReference w:id="34"/>
      </w:r>
      <w:r w:rsidR="006F5B7F" w:rsidRPr="00F604CF">
        <w:rPr>
          <w:rFonts w:cs="Arial"/>
          <w:bCs/>
          <w:i/>
          <w:color w:val="000000"/>
          <w:lang w:val="es-MX" w:eastAsia="es-MX"/>
        </w:rPr>
        <w:t xml:space="preserve">, oportunidad en la cual la Corte Constitucional en sentencia </w:t>
      </w:r>
      <w:r w:rsidR="006F5B7F" w:rsidRPr="00F604CF">
        <w:rPr>
          <w:rFonts w:cs="Arial"/>
          <w:i/>
        </w:rPr>
        <w:t xml:space="preserve">C-996/2000, </w:t>
      </w:r>
      <w:r w:rsidR="006F5B7F" w:rsidRPr="00F604CF">
        <w:rPr>
          <w:rFonts w:cs="Arial"/>
          <w:bCs/>
          <w:i/>
          <w:color w:val="000000"/>
          <w:lang w:val="es-MX" w:eastAsia="es-MX"/>
        </w:rPr>
        <w:t>destacó la preminencia de los estados financieros para las funciones estatales de inspección, vigilancia y control así como para la determinación de las bases tributarias</w:t>
      </w:r>
      <w:r w:rsidR="006F5B7F" w:rsidRPr="00F604CF">
        <w:rPr>
          <w:rStyle w:val="Refdenotaalpie"/>
          <w:rFonts w:cs="Arial"/>
          <w:bCs/>
          <w:i/>
          <w:color w:val="000000"/>
          <w:lang w:val="es-MX" w:eastAsia="es-MX"/>
        </w:rPr>
        <w:footnoteReference w:id="35"/>
      </w:r>
      <w:r w:rsidR="006F5B7F" w:rsidRPr="00F604CF">
        <w:rPr>
          <w:rFonts w:cs="Arial"/>
          <w:bCs/>
          <w:i/>
          <w:color w:val="000000"/>
          <w:lang w:val="es-MX" w:eastAsia="es-MX"/>
        </w:rPr>
        <w:t>, a lo cual se agrega aquí que los estados financieros también resultan útiles para la Administración Pública como fuente de información técnicamente elaborada, fidedigna y comparable, para los propósitos de la contratación pública</w:t>
      </w:r>
      <w:r w:rsidR="00C268A5" w:rsidRPr="00F604CF">
        <w:rPr>
          <w:rFonts w:cs="Arial"/>
          <w:bCs/>
          <w:i/>
          <w:color w:val="000000"/>
          <w:lang w:val="es-MX" w:eastAsia="es-MX"/>
        </w:rPr>
        <w:t>”</w:t>
      </w:r>
      <w:r w:rsidR="00C268A5" w:rsidRPr="00F604CF">
        <w:rPr>
          <w:rStyle w:val="Refdenotaalpie"/>
          <w:rFonts w:cs="Arial"/>
          <w:bCs/>
          <w:i/>
          <w:color w:val="000000"/>
          <w:lang w:val="es-MX" w:eastAsia="es-MX"/>
        </w:rPr>
        <w:footnoteReference w:id="36"/>
      </w:r>
      <w:r w:rsidR="006F5B7F" w:rsidRPr="00F604CF">
        <w:rPr>
          <w:rFonts w:cs="Arial"/>
          <w:bCs/>
          <w:i/>
          <w:color w:val="000000"/>
          <w:lang w:val="es-MX" w:eastAsia="es-MX"/>
        </w:rPr>
        <w:t xml:space="preserve">. </w:t>
      </w:r>
    </w:p>
    <w:p w14:paraId="02179AC8" w14:textId="77777777" w:rsidR="00DC146C" w:rsidRPr="00F604CF" w:rsidRDefault="0059638B" w:rsidP="00F604CF">
      <w:pPr>
        <w:rPr>
          <w:rFonts w:cs="Arial"/>
        </w:rPr>
      </w:pPr>
      <w:r w:rsidRPr="00F604CF">
        <w:rPr>
          <w:rFonts w:cs="Arial"/>
        </w:rPr>
        <w:t>En el mismo sentido de la sentencia que se acaba de citar, r</w:t>
      </w:r>
      <w:r w:rsidR="00DC146C" w:rsidRPr="00F604CF">
        <w:rPr>
          <w:rFonts w:cs="Arial"/>
        </w:rPr>
        <w:t xml:space="preserve">eiterando la jurisprudencia </w:t>
      </w:r>
      <w:r w:rsidR="00452FE4" w:rsidRPr="00F604CF">
        <w:rPr>
          <w:rFonts w:cs="Arial"/>
        </w:rPr>
        <w:t xml:space="preserve">de la Subsección A, </w:t>
      </w:r>
      <w:r w:rsidR="00DC146C" w:rsidRPr="00F604CF">
        <w:rPr>
          <w:rFonts w:cs="Arial"/>
        </w:rPr>
        <w:t xml:space="preserve">la </w:t>
      </w:r>
      <w:r w:rsidR="00713A17" w:rsidRPr="00F604CF">
        <w:rPr>
          <w:rFonts w:cs="Arial"/>
        </w:rPr>
        <w:t>S</w:t>
      </w:r>
      <w:r w:rsidR="00DC146C" w:rsidRPr="00F604CF">
        <w:rPr>
          <w:rFonts w:cs="Arial"/>
        </w:rPr>
        <w:t>ubsecci</w:t>
      </w:r>
      <w:r w:rsidRPr="00F604CF">
        <w:rPr>
          <w:rFonts w:cs="Arial"/>
        </w:rPr>
        <w:t>ó</w:t>
      </w:r>
      <w:r w:rsidR="00DC146C" w:rsidRPr="00F604CF">
        <w:rPr>
          <w:rFonts w:cs="Arial"/>
        </w:rPr>
        <w:t>n C</w:t>
      </w:r>
      <w:r w:rsidR="00713A17" w:rsidRPr="00F604CF">
        <w:rPr>
          <w:rFonts w:cs="Arial"/>
        </w:rPr>
        <w:t xml:space="preserve"> de la Sección Tercera del Consejo de Estado</w:t>
      </w:r>
      <w:r w:rsidRPr="00F604CF">
        <w:rPr>
          <w:rFonts w:cs="Arial"/>
        </w:rPr>
        <w:t xml:space="preserve"> </w:t>
      </w:r>
      <w:r w:rsidR="00550D54" w:rsidRPr="00F604CF">
        <w:rPr>
          <w:rFonts w:cs="Arial"/>
        </w:rPr>
        <w:t xml:space="preserve">advirtió </w:t>
      </w:r>
      <w:r w:rsidRPr="00F604CF">
        <w:rPr>
          <w:rFonts w:cs="Arial"/>
        </w:rPr>
        <w:t>lo siguiente</w:t>
      </w:r>
      <w:r w:rsidR="00DC146C" w:rsidRPr="00F604CF">
        <w:rPr>
          <w:rStyle w:val="Refdenotaalpie"/>
          <w:rFonts w:cs="Arial"/>
        </w:rPr>
        <w:footnoteReference w:id="37"/>
      </w:r>
      <w:r w:rsidR="00713A17" w:rsidRPr="00F604CF">
        <w:rPr>
          <w:rFonts w:cs="Arial"/>
        </w:rPr>
        <w:t>:</w:t>
      </w:r>
    </w:p>
    <w:p w14:paraId="5E99907E" w14:textId="77777777" w:rsidR="00DC146C" w:rsidRPr="00F604CF" w:rsidRDefault="00DC146C" w:rsidP="00F604CF">
      <w:pPr>
        <w:tabs>
          <w:tab w:val="left" w:pos="567"/>
        </w:tabs>
        <w:spacing w:line="276" w:lineRule="auto"/>
        <w:rPr>
          <w:rFonts w:cs="Arial"/>
          <w:bCs/>
          <w:i/>
        </w:rPr>
      </w:pPr>
    </w:p>
    <w:p w14:paraId="44492790" w14:textId="77777777" w:rsidR="00DC146C" w:rsidRPr="00F604CF" w:rsidRDefault="00DC146C" w:rsidP="00F604CF">
      <w:pPr>
        <w:tabs>
          <w:tab w:val="left" w:pos="567"/>
        </w:tabs>
        <w:spacing w:line="276" w:lineRule="auto"/>
        <w:rPr>
          <w:rFonts w:cs="Arial"/>
          <w:bCs/>
          <w:i/>
        </w:rPr>
      </w:pPr>
      <w:r w:rsidRPr="00F604CF">
        <w:rPr>
          <w:rFonts w:cs="Arial"/>
          <w:bCs/>
          <w:i/>
        </w:rPr>
        <w:t>“En efecto, la presentación de estados financieros debidamente certificados o dictaminados en el curso de los procesos de contratación estatal no sólo le permite a la administración verificar el cumplimiento de los requisitos de capacidad financiera fijados en el pliego de condiciones, sino que también le permite realizar un ejercicio comparativo entre las diferentes propuestas teniendo como base fuentes de información contable totalmente fidedignas</w:t>
      </w:r>
      <w:r w:rsidRPr="00F604CF">
        <w:rPr>
          <w:rStyle w:val="Refdenotaalpie"/>
          <w:rFonts w:cs="Arial"/>
          <w:bCs/>
          <w:i/>
        </w:rPr>
        <w:footnoteReference w:id="38"/>
      </w:r>
      <w:r w:rsidRPr="00F604CF">
        <w:rPr>
          <w:rFonts w:cs="Arial"/>
          <w:bCs/>
          <w:i/>
        </w:rPr>
        <w:t xml:space="preserve">, lo que le permitirá seleccionar la propuesta que objetivamente es la más favorable a sus intereses. </w:t>
      </w:r>
    </w:p>
    <w:p w14:paraId="457F9E79" w14:textId="77777777" w:rsidR="00DC146C" w:rsidRPr="00F604CF" w:rsidRDefault="00DC146C" w:rsidP="00F604CF">
      <w:pPr>
        <w:tabs>
          <w:tab w:val="left" w:pos="567"/>
        </w:tabs>
        <w:spacing w:line="276" w:lineRule="auto"/>
        <w:rPr>
          <w:rFonts w:cs="Arial"/>
          <w:bCs/>
          <w:i/>
        </w:rPr>
      </w:pPr>
    </w:p>
    <w:p w14:paraId="4BEF55A8" w14:textId="77777777" w:rsidR="00DC146C" w:rsidRPr="00F604CF" w:rsidRDefault="00713A17" w:rsidP="00F604CF">
      <w:pPr>
        <w:tabs>
          <w:tab w:val="left" w:pos="567"/>
        </w:tabs>
        <w:spacing w:line="276" w:lineRule="auto"/>
        <w:rPr>
          <w:rFonts w:cs="Arial"/>
          <w:bCs/>
          <w:i/>
        </w:rPr>
      </w:pPr>
      <w:r w:rsidRPr="00F604CF">
        <w:rPr>
          <w:rFonts w:cs="Arial"/>
          <w:bCs/>
          <w:i/>
        </w:rPr>
        <w:t>“</w:t>
      </w:r>
      <w:r w:rsidR="00DC146C" w:rsidRPr="00F604CF">
        <w:rPr>
          <w:rFonts w:cs="Arial"/>
          <w:bCs/>
          <w:i/>
        </w:rPr>
        <w:t xml:space="preserve">Por su parte, el artículo 37 de la ley 222 de 1995 señala que los estados financieros certificados son aquellos que son elaborados por el representante legal de la entidad y el contador público, quienes declaran o certifican frente a los asociados o terceros que previamente han verificado la información contenida en ellos y que estos son producto de la información contenida en los respectivos libros de contabilidad.  </w:t>
      </w:r>
    </w:p>
    <w:p w14:paraId="37B5F5BC" w14:textId="77777777" w:rsidR="00DC146C" w:rsidRPr="00F604CF" w:rsidRDefault="00DC146C" w:rsidP="00F604CF">
      <w:pPr>
        <w:tabs>
          <w:tab w:val="left" w:pos="567"/>
        </w:tabs>
        <w:spacing w:line="276" w:lineRule="auto"/>
        <w:rPr>
          <w:rFonts w:cs="Arial"/>
          <w:bCs/>
          <w:i/>
          <w:color w:val="000000"/>
          <w:lang w:eastAsia="es-MX"/>
        </w:rPr>
      </w:pPr>
    </w:p>
    <w:p w14:paraId="5AA0EFC2" w14:textId="77777777" w:rsidR="00DC146C" w:rsidRPr="00F604CF" w:rsidRDefault="00713A17" w:rsidP="00F604CF">
      <w:pPr>
        <w:tabs>
          <w:tab w:val="left" w:pos="567"/>
        </w:tabs>
        <w:spacing w:line="276" w:lineRule="auto"/>
        <w:rPr>
          <w:rFonts w:cs="Arial"/>
          <w:bCs/>
          <w:i/>
          <w:color w:val="000000"/>
          <w:lang w:val="es-MX" w:eastAsia="es-MX"/>
        </w:rPr>
      </w:pPr>
      <w:r w:rsidRPr="00F604CF">
        <w:rPr>
          <w:rFonts w:cs="Arial"/>
          <w:bCs/>
          <w:i/>
          <w:color w:val="000000"/>
          <w:lang w:eastAsia="es-MX"/>
        </w:rPr>
        <w:t>“</w:t>
      </w:r>
      <w:r w:rsidR="00DC146C" w:rsidRPr="00F604CF">
        <w:rPr>
          <w:rFonts w:cs="Arial"/>
          <w:bCs/>
          <w:i/>
          <w:color w:val="000000"/>
          <w:lang w:eastAsia="es-MX"/>
        </w:rPr>
        <w:t xml:space="preserve">Pues bien, con todo lo expuesto </w:t>
      </w:r>
      <w:r w:rsidR="00DC146C" w:rsidRPr="00F604CF">
        <w:rPr>
          <w:rFonts w:cs="Arial"/>
          <w:bCs/>
          <w:i/>
          <w:color w:val="000000"/>
          <w:lang w:val="es-MX" w:eastAsia="es-MX"/>
        </w:rPr>
        <w:t>se tiene que la exigencia de llevar una contabilidad transparente y organizada, así como también la de aportar los estados financieros debidamente certificados o dictaminados en los casos que así lo exige la ley, no obedece a la intención caprichosa de imponer a los proponentes excesivos formalismos al interior de los procesos de selección, sino que es un desarrollo de los principios y normas generalmente aceptadas de contabilidad mediante los cuales se procura que las sociedades comerciales y en general todos los entes económicos mantengan una información clara, completa y fidedigna de su actividad económica.</w:t>
      </w:r>
    </w:p>
    <w:p w14:paraId="6B1AC3BC" w14:textId="77777777" w:rsidR="00DC146C" w:rsidRPr="00F604CF" w:rsidRDefault="00DC146C" w:rsidP="00F604CF">
      <w:pPr>
        <w:spacing w:line="276" w:lineRule="auto"/>
        <w:rPr>
          <w:rFonts w:cs="Arial"/>
          <w:bCs/>
          <w:i/>
          <w:color w:val="000000"/>
          <w:lang w:val="es-MX" w:eastAsia="es-MX"/>
        </w:rPr>
      </w:pPr>
    </w:p>
    <w:p w14:paraId="7CD3F077" w14:textId="77777777" w:rsidR="00DC146C" w:rsidRPr="00F604CF" w:rsidRDefault="00713A17" w:rsidP="00F604CF">
      <w:pPr>
        <w:spacing w:line="276" w:lineRule="auto"/>
        <w:rPr>
          <w:rFonts w:cs="Arial"/>
          <w:bCs/>
          <w:i/>
          <w:color w:val="000000"/>
          <w:lang w:val="es-MX" w:eastAsia="es-MX"/>
        </w:rPr>
      </w:pPr>
      <w:r w:rsidRPr="00F604CF">
        <w:rPr>
          <w:rFonts w:cs="Arial"/>
          <w:bCs/>
          <w:i/>
          <w:color w:val="000000"/>
          <w:lang w:val="es-MX" w:eastAsia="es-MX"/>
        </w:rPr>
        <w:t>“</w:t>
      </w:r>
      <w:r w:rsidR="00DC146C" w:rsidRPr="00F604CF">
        <w:rPr>
          <w:rFonts w:cs="Arial"/>
          <w:bCs/>
          <w:i/>
          <w:color w:val="000000"/>
          <w:lang w:val="es-MX" w:eastAsia="es-MX"/>
        </w:rPr>
        <w:t>Y es que el cumplimiento de las obligaciones en comento no es producto de una exigencia que accidentalmente quisiera imponer el legislador, sino que deviene de siglos enteros de decantación de las normas y principios que rigen la actividad contable, generadora de confianza pública, seguridad jurídica y sobre todo consolidadora de los principios de transparencia y buena fe en materia contable</w:t>
      </w:r>
      <w:r w:rsidR="002148EB" w:rsidRPr="00F604CF">
        <w:rPr>
          <w:rFonts w:cs="Arial"/>
          <w:bCs/>
          <w:i/>
          <w:color w:val="000000"/>
          <w:lang w:val="es-MX" w:eastAsia="es-MX"/>
        </w:rPr>
        <w:t>”</w:t>
      </w:r>
      <w:r w:rsidR="00DC146C" w:rsidRPr="00F604CF">
        <w:rPr>
          <w:rStyle w:val="Refdenotaalpie"/>
          <w:rFonts w:cs="Arial"/>
          <w:bCs/>
          <w:i/>
          <w:color w:val="000000"/>
          <w:lang w:val="es-MX" w:eastAsia="es-MX"/>
        </w:rPr>
        <w:footnoteReference w:id="39"/>
      </w:r>
      <w:r w:rsidR="00DC146C" w:rsidRPr="00F604CF">
        <w:rPr>
          <w:rFonts w:cs="Arial"/>
          <w:bCs/>
          <w:i/>
          <w:color w:val="000000"/>
          <w:lang w:val="es-MX" w:eastAsia="es-MX"/>
        </w:rPr>
        <w:t>.</w:t>
      </w:r>
    </w:p>
    <w:p w14:paraId="69BCF818" w14:textId="77777777" w:rsidR="00DC146C" w:rsidRPr="00F604CF" w:rsidRDefault="00DC146C" w:rsidP="00F604CF">
      <w:pPr>
        <w:rPr>
          <w:rFonts w:cs="Arial"/>
        </w:rPr>
      </w:pPr>
    </w:p>
    <w:p w14:paraId="11869C18" w14:textId="77777777" w:rsidR="00751C2F" w:rsidRPr="00F604CF" w:rsidRDefault="00751C2F" w:rsidP="00F604CF">
      <w:pPr>
        <w:rPr>
          <w:rFonts w:cs="Arial"/>
        </w:rPr>
      </w:pPr>
      <w:r w:rsidRPr="00F604CF">
        <w:rPr>
          <w:rFonts w:cs="Arial"/>
        </w:rPr>
        <w:t xml:space="preserve">Ahora bien, </w:t>
      </w:r>
      <w:r w:rsidR="00EF087D" w:rsidRPr="00F604CF">
        <w:rPr>
          <w:rFonts w:cs="Arial"/>
        </w:rPr>
        <w:t>l</w:t>
      </w:r>
      <w:r w:rsidRPr="00F604CF">
        <w:rPr>
          <w:rFonts w:cs="Arial"/>
        </w:rPr>
        <w:t>a Ley 222 de 1995 diferenció el alcance de los estados financieros certificados y de los dictaminados, a través de los cuales se con</w:t>
      </w:r>
      <w:r w:rsidR="00EF087D" w:rsidRPr="00F604CF">
        <w:rPr>
          <w:rFonts w:cs="Arial"/>
        </w:rPr>
        <w:t>solida</w:t>
      </w:r>
      <w:r w:rsidR="004E412D" w:rsidRPr="00F604CF">
        <w:rPr>
          <w:rFonts w:cs="Arial"/>
        </w:rPr>
        <w:t>n</w:t>
      </w:r>
      <w:r w:rsidR="00EF087D" w:rsidRPr="00F604CF">
        <w:rPr>
          <w:rFonts w:cs="Arial"/>
        </w:rPr>
        <w:t xml:space="preserve"> los mecanismos de protección y </w:t>
      </w:r>
      <w:r w:rsidRPr="00F604CF">
        <w:rPr>
          <w:rFonts w:cs="Arial"/>
        </w:rPr>
        <w:t>aseguramiento del contenido de la información financiera</w:t>
      </w:r>
      <w:r w:rsidR="00EF087D" w:rsidRPr="00F604CF">
        <w:rPr>
          <w:rFonts w:cs="Arial"/>
        </w:rPr>
        <w:t xml:space="preserve"> y de lo que ella revela</w:t>
      </w:r>
      <w:r w:rsidRPr="00F604CF">
        <w:rPr>
          <w:rFonts w:cs="Arial"/>
        </w:rPr>
        <w:t xml:space="preserve">, </w:t>
      </w:r>
      <w:r w:rsidR="00CD0D26" w:rsidRPr="00F604CF">
        <w:rPr>
          <w:rFonts w:cs="Arial"/>
        </w:rPr>
        <w:t>para el efecto de su prueba, así</w:t>
      </w:r>
      <w:r w:rsidRPr="00F604CF">
        <w:rPr>
          <w:rFonts w:cs="Arial"/>
        </w:rPr>
        <w:t>:</w:t>
      </w:r>
    </w:p>
    <w:p w14:paraId="741F035B" w14:textId="77777777" w:rsidR="00751C2F" w:rsidRPr="00F604CF" w:rsidRDefault="00751C2F" w:rsidP="00F604CF">
      <w:pPr>
        <w:spacing w:line="240" w:lineRule="auto"/>
        <w:rPr>
          <w:rFonts w:cs="Arial"/>
        </w:rPr>
      </w:pPr>
    </w:p>
    <w:p w14:paraId="64D0B490" w14:textId="77777777" w:rsidR="00751C2F" w:rsidRPr="00F604CF" w:rsidRDefault="00EF087D" w:rsidP="00F604CF">
      <w:pPr>
        <w:pStyle w:val="NormalWeb"/>
        <w:spacing w:before="0" w:beforeAutospacing="0" w:after="0" w:afterAutospacing="0" w:line="276" w:lineRule="auto"/>
        <w:rPr>
          <w:rFonts w:cs="Arial"/>
          <w:i/>
          <w:color w:val="000000"/>
        </w:rPr>
      </w:pPr>
      <w:r w:rsidRPr="00F604CF">
        <w:rPr>
          <w:rFonts w:cs="Arial"/>
          <w:bCs/>
          <w:i/>
          <w:color w:val="000000"/>
          <w:shd w:val="clear" w:color="auto" w:fill="FFFFFF"/>
        </w:rPr>
        <w:t>“</w:t>
      </w:r>
      <w:r w:rsidR="00751C2F" w:rsidRPr="00F604CF">
        <w:rPr>
          <w:rFonts w:cs="Arial"/>
          <w:bCs/>
          <w:i/>
          <w:color w:val="000000"/>
          <w:shd w:val="clear" w:color="auto" w:fill="FFFFFF"/>
        </w:rPr>
        <w:t xml:space="preserve">Artículo 37. </w:t>
      </w:r>
      <w:r w:rsidR="00DA06A4" w:rsidRPr="00F604CF">
        <w:rPr>
          <w:rFonts w:cs="Arial"/>
          <w:bCs/>
          <w:i/>
          <w:color w:val="000000"/>
          <w:shd w:val="clear" w:color="auto" w:fill="FFFFFF"/>
        </w:rPr>
        <w:t>Estados financieros certificados</w:t>
      </w:r>
      <w:r w:rsidR="00751C2F" w:rsidRPr="00F604CF">
        <w:rPr>
          <w:rFonts w:cs="Arial"/>
          <w:bCs/>
          <w:i/>
          <w:color w:val="000000"/>
          <w:shd w:val="clear" w:color="auto" w:fill="FFFFFF"/>
        </w:rPr>
        <w:t>.</w:t>
      </w:r>
      <w:r w:rsidR="00DA06A4" w:rsidRPr="00F604CF">
        <w:rPr>
          <w:rFonts w:cs="Arial"/>
          <w:bCs/>
          <w:i/>
          <w:color w:val="000000"/>
          <w:shd w:val="clear" w:color="auto" w:fill="FFFFFF"/>
        </w:rPr>
        <w:t xml:space="preserve"> </w:t>
      </w:r>
      <w:r w:rsidR="00751C2F" w:rsidRPr="00F604CF">
        <w:rPr>
          <w:rFonts w:cs="Arial"/>
          <w:i/>
          <w:color w:val="000000"/>
        </w:rPr>
        <w:t>El representante legal y el contador público bajo cuya responsabilidad se hubiesen preparado los estados financieros deberán certificar aquellos que se pongan a disposición de los asociados o de terceros. La certificación consiste en declarar que se han verificado previamente las afirmaciones contenidas en ellos, conforme al reglamento, y que las mismas se han tomado fielmente de los libros.</w:t>
      </w:r>
    </w:p>
    <w:p w14:paraId="35ABF7EB" w14:textId="77777777" w:rsidR="00751C2F" w:rsidRPr="00F604CF" w:rsidRDefault="00EF087D" w:rsidP="00F604CF">
      <w:pPr>
        <w:pStyle w:val="NormalWeb"/>
        <w:spacing w:before="0" w:beforeAutospacing="0" w:after="0" w:afterAutospacing="0" w:line="276" w:lineRule="auto"/>
        <w:rPr>
          <w:rFonts w:cs="Arial"/>
          <w:i/>
          <w:color w:val="000000"/>
        </w:rPr>
      </w:pPr>
      <w:r w:rsidRPr="00F604CF">
        <w:rPr>
          <w:rFonts w:cs="Arial"/>
          <w:bCs/>
          <w:i/>
          <w:color w:val="000000"/>
          <w:shd w:val="clear" w:color="auto" w:fill="FFFFFF"/>
        </w:rPr>
        <w:t>“</w:t>
      </w:r>
      <w:r w:rsidR="00751C2F" w:rsidRPr="00F604CF">
        <w:rPr>
          <w:rFonts w:cs="Arial"/>
          <w:bCs/>
          <w:i/>
          <w:color w:val="000000"/>
          <w:shd w:val="clear" w:color="auto" w:fill="FFFFFF"/>
        </w:rPr>
        <w:t xml:space="preserve">Artículo 38. </w:t>
      </w:r>
      <w:r w:rsidR="00DA06A4" w:rsidRPr="00F604CF">
        <w:rPr>
          <w:rFonts w:cs="Arial"/>
          <w:bCs/>
          <w:i/>
          <w:color w:val="000000"/>
          <w:shd w:val="clear" w:color="auto" w:fill="FFFFFF"/>
        </w:rPr>
        <w:t>Estados financieros dictaminados</w:t>
      </w:r>
      <w:r w:rsidR="00751C2F" w:rsidRPr="00F604CF">
        <w:rPr>
          <w:rFonts w:cs="Arial"/>
          <w:bCs/>
          <w:i/>
          <w:color w:val="000000"/>
          <w:shd w:val="clear" w:color="auto" w:fill="FFFFFF"/>
        </w:rPr>
        <w:t>.</w:t>
      </w:r>
      <w:r w:rsidR="00DA06A4" w:rsidRPr="00F604CF">
        <w:rPr>
          <w:rFonts w:cs="Arial"/>
          <w:bCs/>
          <w:i/>
          <w:color w:val="000000"/>
          <w:shd w:val="clear" w:color="auto" w:fill="FFFFFF"/>
        </w:rPr>
        <w:t xml:space="preserve"> </w:t>
      </w:r>
      <w:r w:rsidR="00751C2F" w:rsidRPr="00F604CF">
        <w:rPr>
          <w:rFonts w:cs="Arial"/>
          <w:i/>
          <w:color w:val="000000"/>
        </w:rPr>
        <w:t>Son dictaminados aquellos estados financieros certificados que se acompañen de la opinión profesional del revisor fiscal o, a falta de éste, del contador público independiente que los hubiere examinado de conformidad con las normas de auditoría generalmente aceptadas</w:t>
      </w:r>
      <w:r w:rsidR="00084464" w:rsidRPr="00F604CF">
        <w:rPr>
          <w:rFonts w:cs="Arial"/>
          <w:i/>
          <w:color w:val="000000"/>
        </w:rPr>
        <w:t>”</w:t>
      </w:r>
      <w:r w:rsidR="00751C2F" w:rsidRPr="00F604CF">
        <w:rPr>
          <w:rFonts w:cs="Arial"/>
          <w:i/>
          <w:color w:val="000000"/>
        </w:rPr>
        <w:t>.</w:t>
      </w:r>
    </w:p>
    <w:p w14:paraId="2152B2A9" w14:textId="77777777" w:rsidR="000A0BD3" w:rsidRPr="00F604CF" w:rsidRDefault="00751C2F" w:rsidP="00F604CF">
      <w:pPr>
        <w:pStyle w:val="NormalWeb"/>
        <w:shd w:val="clear" w:color="auto" w:fill="FFFFFF"/>
        <w:spacing w:before="0" w:beforeAutospacing="0" w:after="0" w:afterAutospacing="0"/>
        <w:rPr>
          <w:rFonts w:cs="Arial"/>
          <w:color w:val="000000"/>
        </w:rPr>
      </w:pPr>
      <w:r w:rsidRPr="00F604CF">
        <w:rPr>
          <w:rFonts w:cs="Arial"/>
          <w:color w:val="000000"/>
        </w:rPr>
        <w:t xml:space="preserve">Desde otro ángulo, </w:t>
      </w:r>
      <w:r w:rsidR="002E7331" w:rsidRPr="00F604CF">
        <w:rPr>
          <w:rFonts w:cs="Arial"/>
          <w:color w:val="000000"/>
        </w:rPr>
        <w:t xml:space="preserve">en lo </w:t>
      </w:r>
      <w:r w:rsidRPr="00F604CF">
        <w:rPr>
          <w:rFonts w:cs="Arial"/>
          <w:color w:val="000000"/>
        </w:rPr>
        <w:t xml:space="preserve">que interesa al caso en cuestión, </w:t>
      </w:r>
      <w:r w:rsidR="00CE3CE6" w:rsidRPr="00F604CF">
        <w:rPr>
          <w:rFonts w:cs="Arial"/>
          <w:color w:val="000000"/>
        </w:rPr>
        <w:t xml:space="preserve">aunque pareciera obvio, </w:t>
      </w:r>
      <w:r w:rsidRPr="00F604CF">
        <w:rPr>
          <w:rFonts w:cs="Arial"/>
          <w:color w:val="000000"/>
        </w:rPr>
        <w:t>los estados financieros dictaminados</w:t>
      </w:r>
      <w:r w:rsidR="00CE3CE6" w:rsidRPr="00F604CF">
        <w:rPr>
          <w:rFonts w:cs="Arial"/>
          <w:color w:val="000000"/>
        </w:rPr>
        <w:t xml:space="preserve"> en los procesos de contratación revisten importancia por el contenido material de lo que ellos </w:t>
      </w:r>
      <w:r w:rsidR="002E7331" w:rsidRPr="00F604CF">
        <w:rPr>
          <w:rFonts w:cs="Arial"/>
          <w:color w:val="000000"/>
        </w:rPr>
        <w:t>indican acerca de</w:t>
      </w:r>
      <w:r w:rsidR="00452FE4" w:rsidRPr="00F604CF">
        <w:rPr>
          <w:rFonts w:cs="Arial"/>
          <w:color w:val="000000"/>
        </w:rPr>
        <w:t>l siguiente asunto: ¿D</w:t>
      </w:r>
      <w:r w:rsidR="002E7331" w:rsidRPr="00F604CF">
        <w:rPr>
          <w:rFonts w:cs="Arial"/>
          <w:color w:val="000000"/>
        </w:rPr>
        <w:t>e acuerdo con los indicadores definidos</w:t>
      </w:r>
      <w:r w:rsidR="00452FE4" w:rsidRPr="00F604CF">
        <w:rPr>
          <w:rFonts w:cs="Arial"/>
          <w:color w:val="000000"/>
        </w:rPr>
        <w:t xml:space="preserve"> en el pliego de condiciones</w:t>
      </w:r>
      <w:r w:rsidR="002E7331" w:rsidRPr="00F604CF">
        <w:rPr>
          <w:rFonts w:cs="Arial"/>
          <w:color w:val="000000"/>
        </w:rPr>
        <w:t xml:space="preserve">, </w:t>
      </w:r>
      <w:r w:rsidR="00CE3CE6" w:rsidRPr="00F604CF">
        <w:rPr>
          <w:rFonts w:cs="Arial"/>
          <w:color w:val="000000"/>
        </w:rPr>
        <w:t xml:space="preserve">el proponente tiene </w:t>
      </w:r>
      <w:r w:rsidR="004E412D" w:rsidRPr="00F604CF">
        <w:rPr>
          <w:rFonts w:cs="Arial"/>
          <w:color w:val="000000"/>
        </w:rPr>
        <w:t xml:space="preserve">o no la </w:t>
      </w:r>
      <w:r w:rsidR="00CE3CE6" w:rsidRPr="00F604CF">
        <w:rPr>
          <w:rFonts w:cs="Arial"/>
          <w:color w:val="000000"/>
        </w:rPr>
        <w:t>c</w:t>
      </w:r>
      <w:r w:rsidR="000A0BD3" w:rsidRPr="00F604CF">
        <w:rPr>
          <w:rFonts w:cs="Arial"/>
          <w:color w:val="000000"/>
        </w:rPr>
        <w:t xml:space="preserve">apacidad </w:t>
      </w:r>
      <w:r w:rsidR="00CE3CE6" w:rsidRPr="00F604CF">
        <w:rPr>
          <w:rFonts w:cs="Arial"/>
          <w:color w:val="000000"/>
        </w:rPr>
        <w:t xml:space="preserve">financiera </w:t>
      </w:r>
      <w:r w:rsidR="002E7331" w:rsidRPr="00F604CF">
        <w:rPr>
          <w:rFonts w:cs="Arial"/>
          <w:color w:val="000000"/>
        </w:rPr>
        <w:t>que se estim</w:t>
      </w:r>
      <w:r w:rsidR="004E412D" w:rsidRPr="00F604CF">
        <w:rPr>
          <w:rFonts w:cs="Arial"/>
          <w:color w:val="000000"/>
        </w:rPr>
        <w:t>a</w:t>
      </w:r>
      <w:r w:rsidR="002E7331" w:rsidRPr="00F604CF">
        <w:rPr>
          <w:rFonts w:cs="Arial"/>
          <w:color w:val="000000"/>
        </w:rPr>
        <w:t xml:space="preserve"> suficiente </w:t>
      </w:r>
      <w:r w:rsidR="002E7331" w:rsidRPr="00F604CF">
        <w:rPr>
          <w:rFonts w:cs="Arial"/>
          <w:i/>
          <w:color w:val="000000"/>
        </w:rPr>
        <w:t xml:space="preserve">para </w:t>
      </w:r>
      <w:r w:rsidR="00CE3CE6" w:rsidRPr="00F604CF">
        <w:rPr>
          <w:rFonts w:cs="Arial"/>
          <w:i/>
          <w:color w:val="000000"/>
        </w:rPr>
        <w:t>poder cumplir con el contrato</w:t>
      </w:r>
      <w:r w:rsidR="0052114B" w:rsidRPr="00F604CF">
        <w:rPr>
          <w:rFonts w:cs="Arial"/>
          <w:i/>
          <w:color w:val="000000"/>
        </w:rPr>
        <w:t>?</w:t>
      </w:r>
      <w:r w:rsidR="00001F3F" w:rsidRPr="00F604CF">
        <w:rPr>
          <w:rFonts w:cs="Arial"/>
          <w:i/>
          <w:color w:val="000000"/>
        </w:rPr>
        <w:t xml:space="preserve"> </w:t>
      </w:r>
      <w:r w:rsidR="00001F3F" w:rsidRPr="00F604CF">
        <w:rPr>
          <w:rFonts w:cs="Arial"/>
          <w:color w:val="000000"/>
        </w:rPr>
        <w:t>y a</w:t>
      </w:r>
      <w:r w:rsidR="00B12CFB" w:rsidRPr="00F604CF">
        <w:rPr>
          <w:rFonts w:cs="Arial"/>
          <w:color w:val="000000"/>
        </w:rPr>
        <w:t xml:space="preserve"> todas luces el interrogante que se debe resolver con base en los estados financieros es material y de total relevancia para evaluar al proponente. </w:t>
      </w:r>
    </w:p>
    <w:p w14:paraId="7C9CD163" w14:textId="77777777" w:rsidR="00B51AE0" w:rsidRPr="00F604CF" w:rsidRDefault="00B51AE0" w:rsidP="00F604CF">
      <w:pPr>
        <w:pStyle w:val="NormalWeb"/>
        <w:shd w:val="clear" w:color="auto" w:fill="FFFFFF"/>
        <w:spacing w:before="0" w:beforeAutospacing="0" w:after="0" w:afterAutospacing="0"/>
        <w:rPr>
          <w:rFonts w:cs="Arial"/>
          <w:color w:val="000000"/>
        </w:rPr>
      </w:pPr>
    </w:p>
    <w:p w14:paraId="2719B48F" w14:textId="77777777" w:rsidR="00906AAF" w:rsidRPr="00F604CF" w:rsidRDefault="0052114B" w:rsidP="00F604CF">
      <w:pPr>
        <w:pStyle w:val="NormalWeb"/>
        <w:shd w:val="clear" w:color="auto" w:fill="FFFFFF"/>
        <w:spacing w:before="0" w:beforeAutospacing="0" w:after="0" w:afterAutospacing="0"/>
        <w:rPr>
          <w:rFonts w:cs="Arial"/>
          <w:color w:val="000000"/>
        </w:rPr>
      </w:pPr>
      <w:r w:rsidRPr="00F604CF">
        <w:rPr>
          <w:rFonts w:cs="Arial"/>
          <w:color w:val="000000"/>
        </w:rPr>
        <w:t xml:space="preserve">Teniendo en cuenta que es de la mayor importancia </w:t>
      </w:r>
      <w:r w:rsidR="00B12CFB" w:rsidRPr="00F604CF">
        <w:rPr>
          <w:rFonts w:cs="Arial"/>
          <w:color w:val="000000"/>
        </w:rPr>
        <w:t xml:space="preserve">propender por una evaluación que permita estimar que </w:t>
      </w:r>
      <w:r w:rsidRPr="00F604CF">
        <w:rPr>
          <w:rFonts w:cs="Arial"/>
          <w:color w:val="000000"/>
        </w:rPr>
        <w:t xml:space="preserve">el contratista </w:t>
      </w:r>
      <w:r w:rsidR="00B12CFB" w:rsidRPr="00F604CF">
        <w:rPr>
          <w:rFonts w:cs="Arial"/>
          <w:color w:val="000000"/>
        </w:rPr>
        <w:t xml:space="preserve">está en condiciones de </w:t>
      </w:r>
      <w:r w:rsidRPr="00F604CF">
        <w:rPr>
          <w:rFonts w:cs="Arial"/>
          <w:color w:val="000000"/>
        </w:rPr>
        <w:t xml:space="preserve">cumplir con el contrato, </w:t>
      </w:r>
      <w:r w:rsidR="00CE3CE6" w:rsidRPr="00F604CF">
        <w:rPr>
          <w:rFonts w:cs="Arial"/>
          <w:color w:val="000000"/>
        </w:rPr>
        <w:t xml:space="preserve">no se debe tomar a la ligera la calificación financiera, ni </w:t>
      </w:r>
      <w:r w:rsidR="004E412D" w:rsidRPr="00F604CF">
        <w:rPr>
          <w:rFonts w:cs="Arial"/>
          <w:color w:val="000000"/>
        </w:rPr>
        <w:t xml:space="preserve">tampoco se puede </w:t>
      </w:r>
      <w:r w:rsidRPr="00F604CF">
        <w:rPr>
          <w:rFonts w:cs="Arial"/>
          <w:color w:val="000000"/>
        </w:rPr>
        <w:t xml:space="preserve">aceptar </w:t>
      </w:r>
      <w:r w:rsidR="00CE3CE6" w:rsidRPr="00F604CF">
        <w:rPr>
          <w:rFonts w:cs="Arial"/>
          <w:color w:val="000000"/>
        </w:rPr>
        <w:t xml:space="preserve">que los estados financieros </w:t>
      </w:r>
      <w:r w:rsidR="000A0BD3" w:rsidRPr="00F604CF">
        <w:rPr>
          <w:rFonts w:cs="Arial"/>
          <w:color w:val="000000"/>
        </w:rPr>
        <w:t>constituy</w:t>
      </w:r>
      <w:r w:rsidRPr="00F604CF">
        <w:rPr>
          <w:rFonts w:cs="Arial"/>
          <w:color w:val="000000"/>
        </w:rPr>
        <w:t>a</w:t>
      </w:r>
      <w:r w:rsidR="000A0BD3" w:rsidRPr="00F604CF">
        <w:rPr>
          <w:rFonts w:cs="Arial"/>
          <w:color w:val="000000"/>
        </w:rPr>
        <w:t xml:space="preserve">n </w:t>
      </w:r>
      <w:r w:rsidR="00CE3CE6" w:rsidRPr="00F604CF">
        <w:rPr>
          <w:rFonts w:cs="Arial"/>
          <w:color w:val="000000"/>
        </w:rPr>
        <w:t xml:space="preserve">documentos </w:t>
      </w:r>
      <w:r w:rsidR="004E412D" w:rsidRPr="00F604CF">
        <w:rPr>
          <w:rFonts w:cs="Arial"/>
          <w:color w:val="000000"/>
        </w:rPr>
        <w:t xml:space="preserve">sujetos a </w:t>
      </w:r>
      <w:r w:rsidR="00906AAF" w:rsidRPr="00F604CF">
        <w:rPr>
          <w:rFonts w:cs="Arial"/>
          <w:color w:val="000000"/>
        </w:rPr>
        <w:t xml:space="preserve">un simple </w:t>
      </w:r>
      <w:r w:rsidR="00CE3CE6" w:rsidRPr="00F604CF">
        <w:rPr>
          <w:rFonts w:cs="Arial"/>
          <w:color w:val="000000"/>
        </w:rPr>
        <w:t>chequeo</w:t>
      </w:r>
      <w:r w:rsidR="004E412D" w:rsidRPr="00F604CF">
        <w:rPr>
          <w:rFonts w:cs="Arial"/>
          <w:color w:val="000000"/>
        </w:rPr>
        <w:t xml:space="preserve"> formal</w:t>
      </w:r>
      <w:r w:rsidR="00906AAF" w:rsidRPr="00F604CF">
        <w:rPr>
          <w:rFonts w:cs="Arial"/>
          <w:color w:val="000000"/>
        </w:rPr>
        <w:t>.</w:t>
      </w:r>
    </w:p>
    <w:p w14:paraId="20309384" w14:textId="77777777" w:rsidR="00B51AE0" w:rsidRPr="00F604CF" w:rsidRDefault="00B51AE0" w:rsidP="00F604CF">
      <w:pPr>
        <w:pStyle w:val="NormalWeb"/>
        <w:shd w:val="clear" w:color="auto" w:fill="FFFFFF"/>
        <w:spacing w:before="0" w:beforeAutospacing="0" w:after="0" w:afterAutospacing="0"/>
        <w:rPr>
          <w:rFonts w:cs="Arial"/>
          <w:color w:val="000000"/>
        </w:rPr>
      </w:pPr>
    </w:p>
    <w:p w14:paraId="0297DFF6" w14:textId="77777777" w:rsidR="00D83F01" w:rsidRPr="00F604CF" w:rsidRDefault="00CE3CE6" w:rsidP="00F604CF">
      <w:pPr>
        <w:pStyle w:val="NormalWeb"/>
        <w:shd w:val="clear" w:color="auto" w:fill="FFFFFF"/>
        <w:spacing w:before="0" w:beforeAutospacing="0" w:after="0" w:afterAutospacing="0"/>
        <w:rPr>
          <w:rFonts w:cs="Arial"/>
          <w:color w:val="000000"/>
        </w:rPr>
      </w:pPr>
      <w:r w:rsidRPr="00F604CF">
        <w:rPr>
          <w:rFonts w:cs="Arial"/>
          <w:color w:val="000000"/>
        </w:rPr>
        <w:t xml:space="preserve">Además, </w:t>
      </w:r>
      <w:r w:rsidR="00AA6D72" w:rsidRPr="00F604CF">
        <w:rPr>
          <w:rFonts w:cs="Arial"/>
          <w:color w:val="000000"/>
        </w:rPr>
        <w:t xml:space="preserve">desde la atalaya de la igualdad de acceso y de la protección a la libre competencia, </w:t>
      </w:r>
      <w:r w:rsidRPr="00F604CF">
        <w:rPr>
          <w:rFonts w:cs="Arial"/>
          <w:color w:val="000000"/>
        </w:rPr>
        <w:t xml:space="preserve">todos los proponentes </w:t>
      </w:r>
      <w:r w:rsidR="006018D5" w:rsidRPr="00F604CF">
        <w:rPr>
          <w:rFonts w:cs="Arial"/>
          <w:color w:val="000000"/>
        </w:rPr>
        <w:t>tienen derecho a ser evaluados bajo las mismas condiciones, tanto en el corte del ejercicio que se toma para establecer la comparación</w:t>
      </w:r>
      <w:r w:rsidR="00AA6D72" w:rsidRPr="00F604CF">
        <w:rPr>
          <w:rFonts w:cs="Arial"/>
          <w:color w:val="000000"/>
        </w:rPr>
        <w:t xml:space="preserve"> de </w:t>
      </w:r>
      <w:r w:rsidR="000B7639" w:rsidRPr="00F604CF">
        <w:rPr>
          <w:rFonts w:cs="Arial"/>
          <w:color w:val="000000"/>
        </w:rPr>
        <w:t xml:space="preserve">sus </w:t>
      </w:r>
      <w:r w:rsidR="00AA6D72" w:rsidRPr="00F604CF">
        <w:rPr>
          <w:rFonts w:cs="Arial"/>
          <w:color w:val="000000"/>
        </w:rPr>
        <w:t>estados financieros</w:t>
      </w:r>
      <w:r w:rsidR="006018D5" w:rsidRPr="00F604CF">
        <w:rPr>
          <w:rFonts w:cs="Arial"/>
          <w:color w:val="000000"/>
        </w:rPr>
        <w:t>, como en la univocidad de los ítems con base en los cuales se calcula la capacidad financiera</w:t>
      </w:r>
      <w:r w:rsidR="00AA6D72" w:rsidRPr="00F604CF">
        <w:rPr>
          <w:rFonts w:cs="Arial"/>
          <w:color w:val="000000"/>
        </w:rPr>
        <w:t xml:space="preserve"> requerida</w:t>
      </w:r>
      <w:r w:rsidR="00D83F01" w:rsidRPr="00F604CF">
        <w:rPr>
          <w:rFonts w:cs="Arial"/>
          <w:color w:val="000000"/>
        </w:rPr>
        <w:t>. Esa consideración lleva a reprochar la flexibilización de los parámetros de evaluación</w:t>
      </w:r>
      <w:r w:rsidR="009F1444" w:rsidRPr="00F604CF">
        <w:rPr>
          <w:rFonts w:cs="Arial"/>
          <w:color w:val="000000"/>
        </w:rPr>
        <w:t xml:space="preserve"> financiera</w:t>
      </w:r>
      <w:r w:rsidR="00D83F01" w:rsidRPr="00F604CF">
        <w:rPr>
          <w:rFonts w:cs="Arial"/>
          <w:color w:val="000000"/>
        </w:rPr>
        <w:t>, en beneficio de uno u otro proponente.</w:t>
      </w:r>
    </w:p>
    <w:p w14:paraId="17778BE7" w14:textId="77777777" w:rsidR="00B51AE0" w:rsidRPr="00F604CF" w:rsidRDefault="00B51AE0" w:rsidP="00F604CF">
      <w:pPr>
        <w:pStyle w:val="NormalWeb"/>
        <w:shd w:val="clear" w:color="auto" w:fill="FFFFFF"/>
        <w:spacing w:before="0" w:beforeAutospacing="0" w:after="0" w:afterAutospacing="0"/>
        <w:rPr>
          <w:rFonts w:cs="Arial"/>
          <w:color w:val="000000"/>
        </w:rPr>
      </w:pPr>
    </w:p>
    <w:p w14:paraId="603EE4DA" w14:textId="77777777" w:rsidR="006018D5" w:rsidRPr="00F604CF" w:rsidRDefault="000A0BD3" w:rsidP="00F604CF">
      <w:pPr>
        <w:pStyle w:val="NormalWeb"/>
        <w:shd w:val="clear" w:color="auto" w:fill="FFFFFF"/>
        <w:spacing w:before="0" w:beforeAutospacing="0" w:after="0" w:afterAutospacing="0"/>
        <w:rPr>
          <w:rFonts w:cs="Arial"/>
          <w:color w:val="000000"/>
        </w:rPr>
      </w:pPr>
      <w:r w:rsidRPr="00F604CF">
        <w:rPr>
          <w:rFonts w:cs="Arial"/>
          <w:color w:val="000000"/>
        </w:rPr>
        <w:t>En e</w:t>
      </w:r>
      <w:r w:rsidR="00906AAF" w:rsidRPr="00F604CF">
        <w:rPr>
          <w:rFonts w:cs="Arial"/>
          <w:color w:val="000000"/>
        </w:rPr>
        <w:t xml:space="preserve">l mismo </w:t>
      </w:r>
      <w:r w:rsidRPr="00F604CF">
        <w:rPr>
          <w:rFonts w:cs="Arial"/>
          <w:color w:val="000000"/>
        </w:rPr>
        <w:t>sentido</w:t>
      </w:r>
      <w:r w:rsidR="00906AAF" w:rsidRPr="00F604CF">
        <w:rPr>
          <w:rFonts w:cs="Arial"/>
          <w:color w:val="000000"/>
        </w:rPr>
        <w:t>,</w:t>
      </w:r>
      <w:r w:rsidRPr="00F604CF">
        <w:rPr>
          <w:rFonts w:cs="Arial"/>
          <w:color w:val="000000"/>
        </w:rPr>
        <w:t xml:space="preserve"> se </w:t>
      </w:r>
      <w:r w:rsidR="001316E4" w:rsidRPr="00F604CF">
        <w:rPr>
          <w:rFonts w:cs="Arial"/>
          <w:color w:val="000000"/>
        </w:rPr>
        <w:t xml:space="preserve">afirma </w:t>
      </w:r>
      <w:r w:rsidR="00AA6D72" w:rsidRPr="00F604CF">
        <w:rPr>
          <w:rFonts w:cs="Arial"/>
          <w:color w:val="000000"/>
        </w:rPr>
        <w:t xml:space="preserve">la </w:t>
      </w:r>
      <w:r w:rsidRPr="00F604CF">
        <w:rPr>
          <w:rFonts w:cs="Arial"/>
          <w:color w:val="000000"/>
        </w:rPr>
        <w:t>intangibilidad de los estados financieros que se presentan con la oferta, e</w:t>
      </w:r>
      <w:r w:rsidR="00CD0D26" w:rsidRPr="00F604CF">
        <w:rPr>
          <w:rFonts w:cs="Arial"/>
          <w:color w:val="000000"/>
        </w:rPr>
        <w:t xml:space="preserve">n protección del </w:t>
      </w:r>
      <w:r w:rsidR="006018D5" w:rsidRPr="00F604CF">
        <w:rPr>
          <w:rFonts w:cs="Arial"/>
          <w:color w:val="000000"/>
        </w:rPr>
        <w:t>derecho a la competencia en igualdad de condiciones</w:t>
      </w:r>
      <w:r w:rsidR="001316E4" w:rsidRPr="00F604CF">
        <w:rPr>
          <w:rFonts w:cs="Arial"/>
          <w:color w:val="000000"/>
        </w:rPr>
        <w:t xml:space="preserve"> para todos los participantes</w:t>
      </w:r>
      <w:r w:rsidR="006018D5" w:rsidRPr="00F604CF">
        <w:rPr>
          <w:rFonts w:cs="Arial"/>
          <w:color w:val="000000"/>
        </w:rPr>
        <w:t>.</w:t>
      </w:r>
    </w:p>
    <w:p w14:paraId="67DE580F" w14:textId="77777777" w:rsidR="00B51AE0" w:rsidRPr="00F604CF" w:rsidRDefault="00B51AE0" w:rsidP="00F604CF">
      <w:pPr>
        <w:pStyle w:val="NormalWeb"/>
        <w:shd w:val="clear" w:color="auto" w:fill="FFFFFF"/>
        <w:spacing w:before="0" w:beforeAutospacing="0" w:after="0" w:afterAutospacing="0"/>
        <w:rPr>
          <w:rFonts w:cs="Arial"/>
          <w:color w:val="000000"/>
        </w:rPr>
      </w:pPr>
    </w:p>
    <w:p w14:paraId="57E5219F" w14:textId="77777777" w:rsidR="009F1444" w:rsidRPr="00F604CF" w:rsidRDefault="001316E4" w:rsidP="00F604CF">
      <w:pPr>
        <w:pStyle w:val="NormalWeb"/>
        <w:shd w:val="clear" w:color="auto" w:fill="FFFFFF"/>
        <w:spacing w:before="0" w:beforeAutospacing="0" w:after="0" w:afterAutospacing="0"/>
        <w:rPr>
          <w:rFonts w:cs="Arial"/>
          <w:color w:val="000000"/>
        </w:rPr>
      </w:pPr>
      <w:r w:rsidRPr="00F604CF">
        <w:rPr>
          <w:rFonts w:cs="Arial"/>
          <w:color w:val="000000"/>
        </w:rPr>
        <w:t xml:space="preserve">De lo anterior se concluye </w:t>
      </w:r>
      <w:r w:rsidR="00AA6D72" w:rsidRPr="00F604CF">
        <w:rPr>
          <w:rFonts w:cs="Arial"/>
          <w:color w:val="000000"/>
        </w:rPr>
        <w:t xml:space="preserve">que </w:t>
      </w:r>
      <w:r w:rsidR="00121675" w:rsidRPr="00F604CF">
        <w:rPr>
          <w:rFonts w:cs="Arial"/>
          <w:color w:val="000000"/>
        </w:rPr>
        <w:t>el mecanismo de</w:t>
      </w:r>
      <w:r w:rsidR="004B5D00" w:rsidRPr="00F604CF">
        <w:rPr>
          <w:rFonts w:cs="Arial"/>
          <w:color w:val="000000"/>
        </w:rPr>
        <w:t xml:space="preserve"> saneamiento</w:t>
      </w:r>
      <w:r w:rsidR="00121675" w:rsidRPr="00F604CF">
        <w:rPr>
          <w:rFonts w:cs="Arial"/>
          <w:color w:val="000000"/>
        </w:rPr>
        <w:t xml:space="preserve"> </w:t>
      </w:r>
      <w:r w:rsidR="006018D5" w:rsidRPr="00F604CF">
        <w:rPr>
          <w:rFonts w:cs="Arial"/>
          <w:color w:val="000000"/>
        </w:rPr>
        <w:t xml:space="preserve">de los documentos </w:t>
      </w:r>
      <w:r w:rsidR="00AA6D72" w:rsidRPr="00F604CF">
        <w:rPr>
          <w:rFonts w:cs="Arial"/>
          <w:color w:val="000000"/>
        </w:rPr>
        <w:t xml:space="preserve">de información </w:t>
      </w:r>
      <w:r w:rsidR="006018D5" w:rsidRPr="00F604CF">
        <w:rPr>
          <w:rFonts w:cs="Arial"/>
          <w:color w:val="000000"/>
        </w:rPr>
        <w:t>financier</w:t>
      </w:r>
      <w:r w:rsidR="00121675" w:rsidRPr="00F604CF">
        <w:rPr>
          <w:rFonts w:cs="Arial"/>
          <w:color w:val="000000"/>
        </w:rPr>
        <w:t>a</w:t>
      </w:r>
      <w:r w:rsidR="006018D5" w:rsidRPr="00F604CF">
        <w:rPr>
          <w:rFonts w:cs="Arial"/>
          <w:color w:val="000000"/>
        </w:rPr>
        <w:t xml:space="preserve"> no puede ser utilizad</w:t>
      </w:r>
      <w:r w:rsidR="00121675" w:rsidRPr="00F604CF">
        <w:rPr>
          <w:rFonts w:cs="Arial"/>
          <w:color w:val="000000"/>
        </w:rPr>
        <w:t>o</w:t>
      </w:r>
      <w:r w:rsidR="006018D5" w:rsidRPr="00F604CF">
        <w:rPr>
          <w:rFonts w:cs="Arial"/>
          <w:color w:val="000000"/>
        </w:rPr>
        <w:t xml:space="preserve"> para modificar </w:t>
      </w:r>
      <w:r w:rsidR="00CD0D26" w:rsidRPr="00F604CF">
        <w:rPr>
          <w:rFonts w:cs="Arial"/>
          <w:color w:val="000000"/>
        </w:rPr>
        <w:t xml:space="preserve">los indicadores de capacidad financiera </w:t>
      </w:r>
      <w:r w:rsidR="006018D5" w:rsidRPr="00F604CF">
        <w:rPr>
          <w:rFonts w:cs="Arial"/>
          <w:color w:val="000000"/>
        </w:rPr>
        <w:t xml:space="preserve">que </w:t>
      </w:r>
      <w:r w:rsidRPr="00F604CF">
        <w:rPr>
          <w:rFonts w:cs="Arial"/>
          <w:color w:val="000000"/>
        </w:rPr>
        <w:t xml:space="preserve">el proponente tenía a la fecha que determinaba el pliego de condiciones. </w:t>
      </w:r>
    </w:p>
    <w:p w14:paraId="0C47B95D" w14:textId="77777777" w:rsidR="00B51AE0" w:rsidRPr="00F604CF" w:rsidRDefault="00B51AE0" w:rsidP="00F604CF">
      <w:pPr>
        <w:pStyle w:val="NormalWeb"/>
        <w:shd w:val="clear" w:color="auto" w:fill="FFFFFF"/>
        <w:spacing w:before="0" w:beforeAutospacing="0" w:after="0" w:afterAutospacing="0"/>
        <w:rPr>
          <w:rFonts w:cs="Arial"/>
          <w:color w:val="000000"/>
        </w:rPr>
      </w:pPr>
    </w:p>
    <w:p w14:paraId="369EEE24" w14:textId="77777777" w:rsidR="006018D5" w:rsidRPr="00F604CF" w:rsidRDefault="001316E4" w:rsidP="00F604CF">
      <w:pPr>
        <w:pStyle w:val="NormalWeb"/>
        <w:shd w:val="clear" w:color="auto" w:fill="FFFFFF"/>
        <w:spacing w:before="0" w:beforeAutospacing="0" w:after="0" w:afterAutospacing="0"/>
        <w:rPr>
          <w:rFonts w:cs="Arial"/>
          <w:color w:val="000000"/>
        </w:rPr>
      </w:pPr>
      <w:r w:rsidRPr="00F604CF">
        <w:rPr>
          <w:rFonts w:cs="Arial"/>
          <w:color w:val="000000"/>
        </w:rPr>
        <w:t xml:space="preserve">Por ello, </w:t>
      </w:r>
      <w:r w:rsidR="00E13AA2" w:rsidRPr="00F604CF">
        <w:rPr>
          <w:rFonts w:cs="Arial"/>
          <w:color w:val="000000"/>
        </w:rPr>
        <w:t xml:space="preserve">para la adecuada motivación del acto administrativo que define la adjudicación del contrato </w:t>
      </w:r>
      <w:r w:rsidRPr="00F604CF">
        <w:rPr>
          <w:rFonts w:cs="Arial"/>
          <w:color w:val="000000"/>
        </w:rPr>
        <w:t xml:space="preserve">se </w:t>
      </w:r>
      <w:r w:rsidR="00376171" w:rsidRPr="00F604CF">
        <w:rPr>
          <w:rFonts w:cs="Arial"/>
          <w:color w:val="000000"/>
        </w:rPr>
        <w:t>exige el debido análisis de las</w:t>
      </w:r>
      <w:r w:rsidR="006018D5" w:rsidRPr="00F604CF">
        <w:rPr>
          <w:rFonts w:cs="Arial"/>
          <w:color w:val="000000"/>
        </w:rPr>
        <w:t xml:space="preserve"> correcciones o ajustes </w:t>
      </w:r>
      <w:r w:rsidR="00376171" w:rsidRPr="00F604CF">
        <w:rPr>
          <w:rFonts w:cs="Arial"/>
          <w:color w:val="000000"/>
        </w:rPr>
        <w:t xml:space="preserve">de la información financiera, </w:t>
      </w:r>
      <w:r w:rsidR="004341D1" w:rsidRPr="00F604CF">
        <w:rPr>
          <w:rFonts w:cs="Arial"/>
          <w:color w:val="000000"/>
        </w:rPr>
        <w:t xml:space="preserve">para preservar las reglas de competencia del respectivo pliego de condiciones,  lo cual es importante, </w:t>
      </w:r>
      <w:r w:rsidR="000B7639" w:rsidRPr="00F604CF">
        <w:rPr>
          <w:rFonts w:cs="Arial"/>
          <w:color w:val="000000"/>
        </w:rPr>
        <w:t xml:space="preserve">especialmente </w:t>
      </w:r>
      <w:r w:rsidR="00376171" w:rsidRPr="00F604CF">
        <w:rPr>
          <w:rFonts w:cs="Arial"/>
          <w:color w:val="000000"/>
        </w:rPr>
        <w:t xml:space="preserve">cuando estos </w:t>
      </w:r>
      <w:r w:rsidR="000B7639" w:rsidRPr="00F604CF">
        <w:rPr>
          <w:rFonts w:cs="Arial"/>
          <w:color w:val="000000"/>
        </w:rPr>
        <w:t>movimientos contables l</w:t>
      </w:r>
      <w:r w:rsidR="00376171" w:rsidRPr="00F604CF">
        <w:rPr>
          <w:rFonts w:cs="Arial"/>
          <w:color w:val="000000"/>
        </w:rPr>
        <w:t xml:space="preserve">levan a </w:t>
      </w:r>
      <w:r w:rsidR="006018D5" w:rsidRPr="00F604CF">
        <w:rPr>
          <w:rFonts w:cs="Arial"/>
          <w:color w:val="000000"/>
        </w:rPr>
        <w:t xml:space="preserve">incrementar los ingresos, o </w:t>
      </w:r>
      <w:r w:rsidR="004341D1" w:rsidRPr="00F604CF">
        <w:rPr>
          <w:rFonts w:cs="Arial"/>
          <w:color w:val="000000"/>
        </w:rPr>
        <w:t xml:space="preserve">a </w:t>
      </w:r>
      <w:r w:rsidR="006018D5" w:rsidRPr="00F604CF">
        <w:rPr>
          <w:rFonts w:cs="Arial"/>
          <w:color w:val="000000"/>
        </w:rPr>
        <w:t xml:space="preserve">mejorar la liquidez </w:t>
      </w:r>
      <w:r w:rsidR="00376171" w:rsidRPr="00F604CF">
        <w:rPr>
          <w:rFonts w:cs="Arial"/>
          <w:color w:val="000000"/>
        </w:rPr>
        <w:t xml:space="preserve">que </w:t>
      </w:r>
      <w:r w:rsidR="006018D5" w:rsidRPr="00F604CF">
        <w:rPr>
          <w:rFonts w:cs="Arial"/>
          <w:color w:val="000000"/>
        </w:rPr>
        <w:t xml:space="preserve">se </w:t>
      </w:r>
      <w:r w:rsidR="00376171" w:rsidRPr="00F604CF">
        <w:rPr>
          <w:rFonts w:cs="Arial"/>
          <w:color w:val="000000"/>
        </w:rPr>
        <w:t xml:space="preserve">ha </w:t>
      </w:r>
      <w:r w:rsidR="004341D1" w:rsidRPr="00F604CF">
        <w:rPr>
          <w:rFonts w:cs="Arial"/>
          <w:color w:val="000000"/>
        </w:rPr>
        <w:t xml:space="preserve">presentado inicialmente. </w:t>
      </w:r>
    </w:p>
    <w:p w14:paraId="0A22AE41" w14:textId="77777777" w:rsidR="00B51AE0" w:rsidRPr="00F604CF" w:rsidRDefault="00B51AE0" w:rsidP="00F604CF">
      <w:pPr>
        <w:pStyle w:val="NormalWeb"/>
        <w:shd w:val="clear" w:color="auto" w:fill="FFFFFF"/>
        <w:spacing w:before="0" w:beforeAutospacing="0" w:after="0" w:afterAutospacing="0"/>
        <w:rPr>
          <w:rFonts w:cs="Arial"/>
          <w:color w:val="000000"/>
        </w:rPr>
      </w:pPr>
    </w:p>
    <w:p w14:paraId="6F83988D" w14:textId="77777777" w:rsidR="00CD0D26" w:rsidRPr="00F604CF" w:rsidRDefault="006018D5" w:rsidP="00F604CF">
      <w:pPr>
        <w:pStyle w:val="NormalWeb"/>
        <w:shd w:val="clear" w:color="auto" w:fill="FFFFFF"/>
        <w:spacing w:before="0" w:beforeAutospacing="0" w:after="0" w:afterAutospacing="0"/>
        <w:rPr>
          <w:rFonts w:cs="Arial"/>
          <w:color w:val="000000"/>
        </w:rPr>
      </w:pPr>
      <w:r w:rsidRPr="00F604CF">
        <w:rPr>
          <w:rFonts w:cs="Arial"/>
          <w:color w:val="000000"/>
        </w:rPr>
        <w:t xml:space="preserve">Por otra parte, el análisis de los estados financieros y su concordancia con las cifras </w:t>
      </w:r>
      <w:r w:rsidR="00121675" w:rsidRPr="00F604CF">
        <w:rPr>
          <w:rFonts w:cs="Arial"/>
          <w:color w:val="000000"/>
        </w:rPr>
        <w:t xml:space="preserve">acreditadas en </w:t>
      </w:r>
      <w:r w:rsidRPr="00F604CF">
        <w:rPr>
          <w:rFonts w:cs="Arial"/>
          <w:color w:val="000000"/>
        </w:rPr>
        <w:t xml:space="preserve">el Registro </w:t>
      </w:r>
      <w:r w:rsidR="00121675" w:rsidRPr="00F604CF">
        <w:rPr>
          <w:rFonts w:cs="Arial"/>
          <w:color w:val="000000"/>
        </w:rPr>
        <w:t>Ú</w:t>
      </w:r>
      <w:r w:rsidRPr="00F604CF">
        <w:rPr>
          <w:rFonts w:cs="Arial"/>
          <w:color w:val="000000"/>
        </w:rPr>
        <w:t>nico de P</w:t>
      </w:r>
      <w:r w:rsidR="00121675" w:rsidRPr="00F604CF">
        <w:rPr>
          <w:rFonts w:cs="Arial"/>
          <w:color w:val="000000"/>
        </w:rPr>
        <w:t>r</w:t>
      </w:r>
      <w:r w:rsidRPr="00F604CF">
        <w:rPr>
          <w:rFonts w:cs="Arial"/>
          <w:color w:val="000000"/>
        </w:rPr>
        <w:t xml:space="preserve">oponentes </w:t>
      </w:r>
      <w:r w:rsidR="00635611" w:rsidRPr="00F604CF">
        <w:rPr>
          <w:rFonts w:cs="Arial"/>
          <w:color w:val="000000"/>
        </w:rPr>
        <w:t xml:space="preserve">– R.U.P.- </w:t>
      </w:r>
      <w:r w:rsidRPr="00F604CF">
        <w:rPr>
          <w:rFonts w:cs="Arial"/>
          <w:color w:val="000000"/>
        </w:rPr>
        <w:t>se impone como un deber de la Administración</w:t>
      </w:r>
      <w:r w:rsidR="00121675" w:rsidRPr="00F604CF">
        <w:rPr>
          <w:rFonts w:cs="Arial"/>
          <w:color w:val="000000"/>
        </w:rPr>
        <w:t>,</w:t>
      </w:r>
      <w:r w:rsidRPr="00F604CF">
        <w:rPr>
          <w:rFonts w:cs="Arial"/>
          <w:color w:val="000000"/>
        </w:rPr>
        <w:t xml:space="preserve"> </w:t>
      </w:r>
      <w:r w:rsidR="00691181" w:rsidRPr="00F604CF">
        <w:rPr>
          <w:rFonts w:cs="Arial"/>
          <w:color w:val="000000"/>
        </w:rPr>
        <w:t xml:space="preserve">en aquellos casos en que </w:t>
      </w:r>
      <w:r w:rsidR="009F1444" w:rsidRPr="00F604CF">
        <w:rPr>
          <w:rFonts w:cs="Arial"/>
          <w:color w:val="000000"/>
        </w:rPr>
        <w:t xml:space="preserve">ambos documentos obran como requisitos de la oferta, </w:t>
      </w:r>
      <w:r w:rsidR="00CD0D26" w:rsidRPr="00F604CF">
        <w:rPr>
          <w:rFonts w:cs="Arial"/>
          <w:color w:val="000000"/>
        </w:rPr>
        <w:t xml:space="preserve">en orden a calificar </w:t>
      </w:r>
      <w:r w:rsidRPr="00F604CF">
        <w:rPr>
          <w:rFonts w:cs="Arial"/>
          <w:color w:val="000000"/>
        </w:rPr>
        <w:t xml:space="preserve">los indicadores que </w:t>
      </w:r>
      <w:r w:rsidR="000A0BD3" w:rsidRPr="00F604CF">
        <w:rPr>
          <w:rFonts w:cs="Arial"/>
          <w:color w:val="000000"/>
        </w:rPr>
        <w:t>habilitan a los oferentes, puesto que el acto administrativo de adjudicación tiene que fundarse en el cumplimiento material de los requisitos</w:t>
      </w:r>
      <w:r w:rsidR="00CD0D26" w:rsidRPr="00F604CF">
        <w:rPr>
          <w:rFonts w:cs="Arial"/>
          <w:color w:val="000000"/>
        </w:rPr>
        <w:t xml:space="preserve"> del pliego de condiciones</w:t>
      </w:r>
      <w:r w:rsidR="009B42BB" w:rsidRPr="00F604CF">
        <w:rPr>
          <w:rFonts w:cs="Arial"/>
          <w:color w:val="000000"/>
        </w:rPr>
        <w:t>.</w:t>
      </w:r>
      <w:r w:rsidR="000A0BD3" w:rsidRPr="00F604CF">
        <w:rPr>
          <w:rFonts w:cs="Arial"/>
          <w:color w:val="000000"/>
        </w:rPr>
        <w:t xml:space="preserve"> </w:t>
      </w:r>
    </w:p>
    <w:p w14:paraId="2680481E" w14:textId="77777777" w:rsidR="00B51AE0" w:rsidRPr="00F604CF" w:rsidRDefault="00B51AE0" w:rsidP="00F604CF">
      <w:pPr>
        <w:pStyle w:val="NormalWeb"/>
        <w:shd w:val="clear" w:color="auto" w:fill="FFFFFF"/>
        <w:spacing w:before="0" w:beforeAutospacing="0" w:after="0" w:afterAutospacing="0"/>
        <w:rPr>
          <w:rFonts w:cs="Arial"/>
          <w:color w:val="000000"/>
        </w:rPr>
      </w:pPr>
    </w:p>
    <w:p w14:paraId="225B7A25" w14:textId="77777777" w:rsidR="00E71CBF" w:rsidRPr="00F604CF" w:rsidRDefault="000A0BD3" w:rsidP="00F604CF">
      <w:pPr>
        <w:pStyle w:val="NormalWeb"/>
        <w:shd w:val="clear" w:color="auto" w:fill="FFFFFF"/>
        <w:spacing w:before="0" w:beforeAutospacing="0" w:after="0" w:afterAutospacing="0"/>
        <w:rPr>
          <w:rFonts w:cs="Arial"/>
          <w:color w:val="000000"/>
        </w:rPr>
      </w:pPr>
      <w:r w:rsidRPr="00F604CF">
        <w:rPr>
          <w:rFonts w:cs="Arial"/>
          <w:color w:val="000000"/>
        </w:rPr>
        <w:t xml:space="preserve">De la misma manera, no se debe reducir el análisis de la prueba </w:t>
      </w:r>
      <w:r w:rsidR="00D61C13" w:rsidRPr="00F604CF">
        <w:rPr>
          <w:rFonts w:cs="Arial"/>
          <w:color w:val="000000"/>
        </w:rPr>
        <w:t xml:space="preserve">en los estrados </w:t>
      </w:r>
      <w:r w:rsidRPr="00F604CF">
        <w:rPr>
          <w:rFonts w:cs="Arial"/>
          <w:color w:val="000000"/>
        </w:rPr>
        <w:t>judicial</w:t>
      </w:r>
      <w:r w:rsidR="00D61C13" w:rsidRPr="00F604CF">
        <w:rPr>
          <w:rFonts w:cs="Arial"/>
          <w:color w:val="000000"/>
        </w:rPr>
        <w:t>es</w:t>
      </w:r>
      <w:r w:rsidR="009B42BB" w:rsidRPr="00F604CF">
        <w:rPr>
          <w:rFonts w:cs="Arial"/>
          <w:color w:val="000000"/>
        </w:rPr>
        <w:t xml:space="preserve"> </w:t>
      </w:r>
      <w:r w:rsidR="00CD0D26" w:rsidRPr="00F604CF">
        <w:rPr>
          <w:rFonts w:cs="Arial"/>
          <w:color w:val="000000"/>
        </w:rPr>
        <w:t>al aspecto puramente formal</w:t>
      </w:r>
      <w:r w:rsidR="00D61C13" w:rsidRPr="00F604CF">
        <w:rPr>
          <w:rFonts w:cs="Arial"/>
          <w:color w:val="000000"/>
        </w:rPr>
        <w:t xml:space="preserve"> de los estados financieros</w:t>
      </w:r>
      <w:r w:rsidRPr="00F604CF">
        <w:rPr>
          <w:rFonts w:cs="Arial"/>
          <w:color w:val="000000"/>
        </w:rPr>
        <w:t xml:space="preserve">, </w:t>
      </w:r>
      <w:r w:rsidR="00CD0D26" w:rsidRPr="00F604CF">
        <w:rPr>
          <w:rFonts w:cs="Arial"/>
          <w:color w:val="000000"/>
        </w:rPr>
        <w:t xml:space="preserve">dado que la falta de correspondencia entre el contenido </w:t>
      </w:r>
      <w:r w:rsidR="00985C55" w:rsidRPr="00F604CF">
        <w:rPr>
          <w:rFonts w:cs="Arial"/>
          <w:color w:val="000000"/>
        </w:rPr>
        <w:t xml:space="preserve">de </w:t>
      </w:r>
      <w:r w:rsidR="00CD0D26" w:rsidRPr="00F604CF">
        <w:rPr>
          <w:rFonts w:cs="Arial"/>
          <w:color w:val="000000"/>
        </w:rPr>
        <w:t xml:space="preserve">los </w:t>
      </w:r>
      <w:r w:rsidR="00D61C13" w:rsidRPr="00F604CF">
        <w:rPr>
          <w:rFonts w:cs="Arial"/>
          <w:color w:val="000000"/>
        </w:rPr>
        <w:t xml:space="preserve">mismos </w:t>
      </w:r>
      <w:r w:rsidR="00CD0D26" w:rsidRPr="00F604CF">
        <w:rPr>
          <w:rFonts w:cs="Arial"/>
          <w:color w:val="000000"/>
        </w:rPr>
        <w:t xml:space="preserve">y </w:t>
      </w:r>
      <w:r w:rsidR="00D61C13" w:rsidRPr="00F604CF">
        <w:rPr>
          <w:rFonts w:cs="Arial"/>
          <w:color w:val="000000"/>
        </w:rPr>
        <w:t xml:space="preserve">el de los </w:t>
      </w:r>
      <w:r w:rsidR="00CD0D26" w:rsidRPr="00F604CF">
        <w:rPr>
          <w:rFonts w:cs="Arial"/>
          <w:color w:val="000000"/>
        </w:rPr>
        <w:t>dictámenes</w:t>
      </w:r>
      <w:r w:rsidR="00691181" w:rsidRPr="00F604CF">
        <w:rPr>
          <w:rFonts w:cs="Arial"/>
          <w:color w:val="000000"/>
        </w:rPr>
        <w:t>,</w:t>
      </w:r>
      <w:r w:rsidR="00CD0D26" w:rsidRPr="00F604CF">
        <w:rPr>
          <w:rFonts w:cs="Arial"/>
          <w:color w:val="000000"/>
        </w:rPr>
        <w:t xml:space="preserve"> </w:t>
      </w:r>
      <w:r w:rsidR="002369D8" w:rsidRPr="00F604CF">
        <w:rPr>
          <w:rFonts w:cs="Arial"/>
          <w:color w:val="000000"/>
        </w:rPr>
        <w:t>puede indicar e</w:t>
      </w:r>
      <w:r w:rsidR="00121675" w:rsidRPr="00F604CF">
        <w:rPr>
          <w:rFonts w:cs="Arial"/>
          <w:color w:val="000000"/>
        </w:rPr>
        <w:t xml:space="preserve">l </w:t>
      </w:r>
      <w:r w:rsidR="00E71CBF" w:rsidRPr="00F604CF">
        <w:rPr>
          <w:rFonts w:cs="Arial"/>
          <w:color w:val="000000"/>
        </w:rPr>
        <w:t>in</w:t>
      </w:r>
      <w:r w:rsidR="00CD0D26" w:rsidRPr="00F604CF">
        <w:rPr>
          <w:rFonts w:cs="Arial"/>
          <w:color w:val="000000"/>
        </w:rPr>
        <w:t xml:space="preserve">cumplimiento </w:t>
      </w:r>
      <w:r w:rsidR="00E71CBF" w:rsidRPr="00F604CF">
        <w:rPr>
          <w:rFonts w:cs="Arial"/>
          <w:color w:val="000000"/>
        </w:rPr>
        <w:t xml:space="preserve">material </w:t>
      </w:r>
      <w:r w:rsidR="00CD0D26" w:rsidRPr="00F604CF">
        <w:rPr>
          <w:rFonts w:cs="Arial"/>
          <w:color w:val="000000"/>
        </w:rPr>
        <w:t>del requisito</w:t>
      </w:r>
      <w:r w:rsidR="00E71CBF" w:rsidRPr="00F604CF">
        <w:rPr>
          <w:rFonts w:cs="Arial"/>
          <w:color w:val="000000"/>
        </w:rPr>
        <w:t xml:space="preserve"> correspondiente a los estado</w:t>
      </w:r>
      <w:r w:rsidR="00121675" w:rsidRPr="00F604CF">
        <w:rPr>
          <w:rFonts w:cs="Arial"/>
          <w:color w:val="000000"/>
        </w:rPr>
        <w:t>s</w:t>
      </w:r>
      <w:r w:rsidR="00E71CBF" w:rsidRPr="00F604CF">
        <w:rPr>
          <w:rFonts w:cs="Arial"/>
          <w:color w:val="000000"/>
        </w:rPr>
        <w:t xml:space="preserve"> financieros dictaminados.</w:t>
      </w:r>
    </w:p>
    <w:p w14:paraId="2A69AFB7" w14:textId="77777777" w:rsidR="00B51AE0" w:rsidRPr="00F604CF" w:rsidRDefault="00B51AE0" w:rsidP="00F604CF">
      <w:pPr>
        <w:pStyle w:val="NormalWeb"/>
        <w:shd w:val="clear" w:color="auto" w:fill="FFFFFF"/>
        <w:spacing w:before="0" w:beforeAutospacing="0" w:after="0" w:afterAutospacing="0"/>
        <w:rPr>
          <w:rFonts w:cs="Arial"/>
          <w:color w:val="000000"/>
        </w:rPr>
      </w:pPr>
    </w:p>
    <w:p w14:paraId="3386C3E4" w14:textId="77777777" w:rsidR="00793141" w:rsidRPr="00F604CF" w:rsidRDefault="00770008" w:rsidP="00F604CF">
      <w:pPr>
        <w:widowControl w:val="0"/>
        <w:autoSpaceDE w:val="0"/>
        <w:autoSpaceDN w:val="0"/>
        <w:adjustRightInd w:val="0"/>
        <w:spacing w:line="240" w:lineRule="auto"/>
        <w:rPr>
          <w:rFonts w:cs="Arial"/>
          <w:b/>
        </w:rPr>
      </w:pPr>
      <w:r w:rsidRPr="00F604CF">
        <w:rPr>
          <w:rFonts w:cs="Arial"/>
          <w:b/>
        </w:rPr>
        <w:t>5</w:t>
      </w:r>
      <w:r w:rsidR="00793141" w:rsidRPr="00F604CF">
        <w:rPr>
          <w:rFonts w:cs="Arial"/>
          <w:b/>
        </w:rPr>
        <w:t xml:space="preserve">. </w:t>
      </w:r>
      <w:r w:rsidR="00A56D75" w:rsidRPr="00F604CF">
        <w:rPr>
          <w:rFonts w:cs="Arial"/>
          <w:b/>
        </w:rPr>
        <w:t>Reglas del pliego de condiciones sobre el rechazo de las propuestas por falta de los documentos relacionados con los estados financieros</w:t>
      </w:r>
    </w:p>
    <w:p w14:paraId="5415D572" w14:textId="77777777" w:rsidR="00793141" w:rsidRPr="00F604CF" w:rsidRDefault="00793141" w:rsidP="00F604CF">
      <w:pPr>
        <w:widowControl w:val="0"/>
        <w:autoSpaceDE w:val="0"/>
        <w:autoSpaceDN w:val="0"/>
        <w:adjustRightInd w:val="0"/>
        <w:rPr>
          <w:rFonts w:cs="Arial"/>
        </w:rPr>
      </w:pPr>
    </w:p>
    <w:p w14:paraId="64AA6B86" w14:textId="77777777" w:rsidR="00793141" w:rsidRPr="00F604CF" w:rsidRDefault="00793141" w:rsidP="00F604CF">
      <w:pPr>
        <w:widowControl w:val="0"/>
        <w:autoSpaceDE w:val="0"/>
        <w:autoSpaceDN w:val="0"/>
        <w:adjustRightInd w:val="0"/>
        <w:rPr>
          <w:rFonts w:cs="Arial"/>
        </w:rPr>
      </w:pPr>
      <w:r w:rsidRPr="00F604CF">
        <w:rPr>
          <w:rFonts w:cs="Arial"/>
        </w:rPr>
        <w:t>Es permitido establecer el saneamiento de la prueba documental</w:t>
      </w:r>
      <w:r w:rsidR="00297A5B" w:rsidRPr="00F604CF">
        <w:rPr>
          <w:rFonts w:cs="Arial"/>
        </w:rPr>
        <w:t xml:space="preserve"> allegada en el procedimiento previo a la contratación pública</w:t>
      </w:r>
      <w:r w:rsidRPr="00F604CF">
        <w:rPr>
          <w:rFonts w:cs="Arial"/>
        </w:rPr>
        <w:t xml:space="preserve">, en tanto </w:t>
      </w:r>
      <w:r w:rsidR="003B58BA" w:rsidRPr="00F604CF">
        <w:rPr>
          <w:rFonts w:cs="Arial"/>
        </w:rPr>
        <w:t xml:space="preserve">se trate de </w:t>
      </w:r>
      <w:r w:rsidR="00E13AA2" w:rsidRPr="00F604CF">
        <w:rPr>
          <w:rFonts w:cs="Arial"/>
        </w:rPr>
        <w:t xml:space="preserve">la complementación de </w:t>
      </w:r>
      <w:r w:rsidRPr="00F604CF">
        <w:rPr>
          <w:rFonts w:cs="Arial"/>
        </w:rPr>
        <w:t>un requisito formal que no alter</w:t>
      </w:r>
      <w:r w:rsidR="00297A5B" w:rsidRPr="00F604CF">
        <w:rPr>
          <w:rFonts w:cs="Arial"/>
        </w:rPr>
        <w:t>e</w:t>
      </w:r>
      <w:r w:rsidRPr="00F604CF">
        <w:rPr>
          <w:rFonts w:cs="Arial"/>
        </w:rPr>
        <w:t xml:space="preserve"> las condiciones de la competencia dentro del proce</w:t>
      </w:r>
      <w:r w:rsidR="003B58BA" w:rsidRPr="00F604CF">
        <w:rPr>
          <w:rFonts w:cs="Arial"/>
        </w:rPr>
        <w:t xml:space="preserve">dimiento de </w:t>
      </w:r>
      <w:r w:rsidR="00691181" w:rsidRPr="00F604CF">
        <w:rPr>
          <w:rFonts w:cs="Arial"/>
        </w:rPr>
        <w:t>contratación pública</w:t>
      </w:r>
      <w:r w:rsidR="00001F3F" w:rsidRPr="00F604CF">
        <w:rPr>
          <w:rFonts w:cs="Arial"/>
        </w:rPr>
        <w:t>.</w:t>
      </w:r>
      <w:r w:rsidRPr="00F604CF">
        <w:rPr>
          <w:rFonts w:cs="Arial"/>
        </w:rPr>
        <w:t xml:space="preserve"> </w:t>
      </w:r>
    </w:p>
    <w:p w14:paraId="78EBF035" w14:textId="77777777" w:rsidR="00793141" w:rsidRPr="00F604CF" w:rsidRDefault="00793141" w:rsidP="00F604CF">
      <w:pPr>
        <w:widowControl w:val="0"/>
        <w:autoSpaceDE w:val="0"/>
        <w:autoSpaceDN w:val="0"/>
        <w:adjustRightInd w:val="0"/>
        <w:rPr>
          <w:rFonts w:cs="Arial"/>
        </w:rPr>
      </w:pPr>
    </w:p>
    <w:p w14:paraId="0E6B1D1D" w14:textId="77777777" w:rsidR="00793141" w:rsidRPr="00F604CF" w:rsidRDefault="00793141" w:rsidP="00F604CF">
      <w:pPr>
        <w:widowControl w:val="0"/>
        <w:autoSpaceDE w:val="0"/>
        <w:autoSpaceDN w:val="0"/>
        <w:adjustRightInd w:val="0"/>
        <w:rPr>
          <w:rFonts w:cs="Arial"/>
        </w:rPr>
      </w:pPr>
      <w:r w:rsidRPr="00F604CF">
        <w:rPr>
          <w:rFonts w:cs="Arial"/>
        </w:rPr>
        <w:t>Sin embargo</w:t>
      </w:r>
      <w:r w:rsidR="003B58BA" w:rsidRPr="00F604CF">
        <w:rPr>
          <w:rFonts w:cs="Arial"/>
        </w:rPr>
        <w:t>,</w:t>
      </w:r>
      <w:r w:rsidRPr="00F604CF">
        <w:rPr>
          <w:rFonts w:cs="Arial"/>
        </w:rPr>
        <w:t xml:space="preserve"> </w:t>
      </w:r>
      <w:r w:rsidR="00297A5B" w:rsidRPr="00F604CF">
        <w:rPr>
          <w:rFonts w:cs="Arial"/>
        </w:rPr>
        <w:t xml:space="preserve">lo anterior </w:t>
      </w:r>
      <w:r w:rsidRPr="00F604CF">
        <w:rPr>
          <w:rFonts w:cs="Arial"/>
        </w:rPr>
        <w:t xml:space="preserve">no significa que </w:t>
      </w:r>
      <w:r w:rsidR="00297A5B" w:rsidRPr="00F604CF">
        <w:rPr>
          <w:rFonts w:cs="Arial"/>
        </w:rPr>
        <w:t xml:space="preserve">la Administración </w:t>
      </w:r>
      <w:r w:rsidR="003B58BA" w:rsidRPr="00F604CF">
        <w:rPr>
          <w:rFonts w:cs="Arial"/>
        </w:rPr>
        <w:t xml:space="preserve">pueda </w:t>
      </w:r>
      <w:r w:rsidRPr="00F604CF">
        <w:rPr>
          <w:rFonts w:cs="Arial"/>
        </w:rPr>
        <w:t xml:space="preserve">aceptar la modificación de los </w:t>
      </w:r>
      <w:r w:rsidR="00297A5B" w:rsidRPr="00F604CF">
        <w:rPr>
          <w:rFonts w:cs="Arial"/>
        </w:rPr>
        <w:t xml:space="preserve">montos </w:t>
      </w:r>
      <w:r w:rsidRPr="00F604CF">
        <w:rPr>
          <w:rFonts w:cs="Arial"/>
        </w:rPr>
        <w:t>indicativos de la capacidad financiera en el curso del proce</w:t>
      </w:r>
      <w:r w:rsidR="003B58BA" w:rsidRPr="00F604CF">
        <w:rPr>
          <w:rFonts w:cs="Arial"/>
        </w:rPr>
        <w:t>dimiento d</w:t>
      </w:r>
      <w:r w:rsidR="00297A5B" w:rsidRPr="00F604CF">
        <w:rPr>
          <w:rFonts w:cs="Arial"/>
        </w:rPr>
        <w:t>e</w:t>
      </w:r>
      <w:r w:rsidR="003B58BA" w:rsidRPr="00F604CF">
        <w:rPr>
          <w:rFonts w:cs="Arial"/>
        </w:rPr>
        <w:t xml:space="preserve"> contratación, </w:t>
      </w:r>
      <w:r w:rsidRPr="00F604CF">
        <w:rPr>
          <w:rFonts w:cs="Arial"/>
        </w:rPr>
        <w:t xml:space="preserve">puesto que </w:t>
      </w:r>
      <w:r w:rsidR="00297A5B" w:rsidRPr="00F604CF">
        <w:rPr>
          <w:rFonts w:cs="Arial"/>
        </w:rPr>
        <w:t xml:space="preserve">las cifras de los estados financieros </w:t>
      </w:r>
      <w:r w:rsidR="00216EF2" w:rsidRPr="00F604CF">
        <w:rPr>
          <w:rFonts w:cs="Arial"/>
        </w:rPr>
        <w:t xml:space="preserve">reflejan </w:t>
      </w:r>
      <w:r w:rsidRPr="00F604CF">
        <w:rPr>
          <w:rFonts w:cs="Arial"/>
        </w:rPr>
        <w:t>factores materiales y de especial trascendencia en la evaluación</w:t>
      </w:r>
      <w:r w:rsidR="00297A5B" w:rsidRPr="00F604CF">
        <w:rPr>
          <w:rFonts w:cs="Arial"/>
        </w:rPr>
        <w:t xml:space="preserve"> de propuestas para adjudicar el contrato estatal.</w:t>
      </w:r>
    </w:p>
    <w:p w14:paraId="3E489EC1" w14:textId="77777777" w:rsidR="00793141" w:rsidRPr="00F604CF" w:rsidRDefault="00793141" w:rsidP="00F604CF">
      <w:pPr>
        <w:widowControl w:val="0"/>
        <w:autoSpaceDE w:val="0"/>
        <w:autoSpaceDN w:val="0"/>
        <w:adjustRightInd w:val="0"/>
        <w:rPr>
          <w:rFonts w:cs="Arial"/>
        </w:rPr>
      </w:pPr>
    </w:p>
    <w:p w14:paraId="02FF14F4" w14:textId="77777777" w:rsidR="00811F24" w:rsidRPr="00F604CF" w:rsidRDefault="00793141" w:rsidP="00F604CF">
      <w:pPr>
        <w:widowControl w:val="0"/>
        <w:autoSpaceDE w:val="0"/>
        <w:autoSpaceDN w:val="0"/>
        <w:adjustRightInd w:val="0"/>
        <w:rPr>
          <w:rFonts w:cs="Arial"/>
        </w:rPr>
      </w:pPr>
      <w:r w:rsidRPr="00F604CF">
        <w:rPr>
          <w:rFonts w:cs="Arial"/>
        </w:rPr>
        <w:t xml:space="preserve">La </w:t>
      </w:r>
      <w:r w:rsidR="00811F24" w:rsidRPr="00F604CF">
        <w:rPr>
          <w:rFonts w:cs="Arial"/>
        </w:rPr>
        <w:t xml:space="preserve">capacidad financiera </w:t>
      </w:r>
      <w:r w:rsidRPr="00F604CF">
        <w:rPr>
          <w:rFonts w:cs="Arial"/>
        </w:rPr>
        <w:t xml:space="preserve">es un requisito habilitante </w:t>
      </w:r>
      <w:r w:rsidR="00297A5B" w:rsidRPr="00F604CF">
        <w:rPr>
          <w:rFonts w:cs="Arial"/>
        </w:rPr>
        <w:t xml:space="preserve">y bajo la Ley 80 de 1993 podía ser también un requisito de calificación </w:t>
      </w:r>
      <w:r w:rsidRPr="00F604CF">
        <w:rPr>
          <w:rFonts w:cs="Arial"/>
        </w:rPr>
        <w:t>para participar en el procedimiento de selección de contratistas</w:t>
      </w:r>
      <w:r w:rsidR="002369D8" w:rsidRPr="00F604CF">
        <w:rPr>
          <w:rFonts w:cs="Arial"/>
        </w:rPr>
        <w:t xml:space="preserve">, </w:t>
      </w:r>
      <w:r w:rsidRPr="00F604CF">
        <w:rPr>
          <w:rFonts w:cs="Arial"/>
        </w:rPr>
        <w:t xml:space="preserve"> con el cual se busca asegurar que los proponentes tengan las </w:t>
      </w:r>
      <w:r w:rsidRPr="00F604CF">
        <w:rPr>
          <w:rFonts w:cs="Arial"/>
          <w:i/>
        </w:rPr>
        <w:t>condiciones económicas requeridas para cumplir con el contrato</w:t>
      </w:r>
      <w:r w:rsidR="00297A5B" w:rsidRPr="00F604CF">
        <w:rPr>
          <w:rFonts w:cs="Arial"/>
        </w:rPr>
        <w:t xml:space="preserve">. </w:t>
      </w:r>
    </w:p>
    <w:p w14:paraId="0ED38905" w14:textId="77777777" w:rsidR="00811F24" w:rsidRPr="00F604CF" w:rsidRDefault="00811F24" w:rsidP="00F604CF">
      <w:pPr>
        <w:widowControl w:val="0"/>
        <w:autoSpaceDE w:val="0"/>
        <w:autoSpaceDN w:val="0"/>
        <w:adjustRightInd w:val="0"/>
        <w:rPr>
          <w:rFonts w:cs="Arial"/>
        </w:rPr>
      </w:pPr>
    </w:p>
    <w:p w14:paraId="643C3705" w14:textId="77777777" w:rsidR="00A52A40" w:rsidRPr="00F604CF" w:rsidRDefault="00811F24" w:rsidP="00F604CF">
      <w:pPr>
        <w:widowControl w:val="0"/>
        <w:autoSpaceDE w:val="0"/>
        <w:autoSpaceDN w:val="0"/>
        <w:adjustRightInd w:val="0"/>
        <w:rPr>
          <w:rFonts w:cs="Arial"/>
        </w:rPr>
      </w:pPr>
      <w:r w:rsidRPr="00F604CF">
        <w:rPr>
          <w:rFonts w:cs="Arial"/>
        </w:rPr>
        <w:t>De acuerdo con lo que se acaba de indicar, s</w:t>
      </w:r>
      <w:r w:rsidR="00297A5B" w:rsidRPr="00F604CF">
        <w:rPr>
          <w:rFonts w:cs="Arial"/>
        </w:rPr>
        <w:t xml:space="preserve">e hace notar que la capacidad financiera es una </w:t>
      </w:r>
      <w:r w:rsidR="00164961" w:rsidRPr="00F604CF">
        <w:rPr>
          <w:rFonts w:cs="Arial"/>
        </w:rPr>
        <w:t xml:space="preserve">regla </w:t>
      </w:r>
      <w:r w:rsidR="00A52A40" w:rsidRPr="00F604CF">
        <w:rPr>
          <w:rFonts w:cs="Arial"/>
        </w:rPr>
        <w:t>que busca asegurar el cometido del contrato estatal y</w:t>
      </w:r>
      <w:r w:rsidR="00985C55" w:rsidRPr="00F604CF">
        <w:rPr>
          <w:rFonts w:cs="Arial"/>
        </w:rPr>
        <w:t>,</w:t>
      </w:r>
      <w:r w:rsidR="00A52A40" w:rsidRPr="00F604CF">
        <w:rPr>
          <w:rFonts w:cs="Arial"/>
        </w:rPr>
        <w:t xml:space="preserve"> en tal medida</w:t>
      </w:r>
      <w:r w:rsidR="00985C55" w:rsidRPr="00F604CF">
        <w:rPr>
          <w:rFonts w:cs="Arial"/>
        </w:rPr>
        <w:t>,</w:t>
      </w:r>
      <w:r w:rsidR="00A52A40" w:rsidRPr="00F604CF">
        <w:rPr>
          <w:rFonts w:cs="Arial"/>
        </w:rPr>
        <w:t xml:space="preserve"> se </w:t>
      </w:r>
      <w:r w:rsidR="00164961" w:rsidRPr="00F604CF">
        <w:rPr>
          <w:rFonts w:cs="Arial"/>
        </w:rPr>
        <w:t xml:space="preserve">enmarca </w:t>
      </w:r>
      <w:r w:rsidR="00A52A40" w:rsidRPr="00F604CF">
        <w:rPr>
          <w:rFonts w:cs="Arial"/>
        </w:rPr>
        <w:t xml:space="preserve">como exigible, </w:t>
      </w:r>
      <w:r w:rsidR="00216EF2" w:rsidRPr="00F604CF">
        <w:rPr>
          <w:rFonts w:cs="Arial"/>
        </w:rPr>
        <w:t xml:space="preserve">en desarrollo del </w:t>
      </w:r>
      <w:r w:rsidR="00164961" w:rsidRPr="00F604CF">
        <w:rPr>
          <w:rFonts w:cs="Arial"/>
        </w:rPr>
        <w:t>numeral 3 del artículo 25 de la Ley 80 de 1993</w:t>
      </w:r>
      <w:r w:rsidR="00164961" w:rsidRPr="00F604CF">
        <w:rPr>
          <w:rStyle w:val="Refdenotaalpie"/>
          <w:rFonts w:cs="Arial"/>
        </w:rPr>
        <w:footnoteReference w:id="40"/>
      </w:r>
      <w:r w:rsidR="00793141" w:rsidRPr="00F604CF">
        <w:rPr>
          <w:rFonts w:cs="Arial"/>
        </w:rPr>
        <w:t xml:space="preserve">. </w:t>
      </w:r>
    </w:p>
    <w:p w14:paraId="7517A01E" w14:textId="77777777" w:rsidR="00A52A40" w:rsidRPr="00F604CF" w:rsidRDefault="00A52A40" w:rsidP="00F604CF">
      <w:pPr>
        <w:widowControl w:val="0"/>
        <w:autoSpaceDE w:val="0"/>
        <w:autoSpaceDN w:val="0"/>
        <w:adjustRightInd w:val="0"/>
        <w:rPr>
          <w:rFonts w:cs="Arial"/>
        </w:rPr>
      </w:pPr>
    </w:p>
    <w:p w14:paraId="26668EEB" w14:textId="77777777" w:rsidR="004A293D" w:rsidRPr="00F604CF" w:rsidRDefault="00793141" w:rsidP="00F604CF">
      <w:pPr>
        <w:widowControl w:val="0"/>
        <w:autoSpaceDE w:val="0"/>
        <w:autoSpaceDN w:val="0"/>
        <w:adjustRightInd w:val="0"/>
        <w:rPr>
          <w:rFonts w:cs="Arial"/>
        </w:rPr>
      </w:pPr>
      <w:r w:rsidRPr="00F604CF">
        <w:rPr>
          <w:rFonts w:cs="Arial"/>
        </w:rPr>
        <w:t>Así</w:t>
      </w:r>
      <w:r w:rsidR="00A52A40" w:rsidRPr="00F604CF">
        <w:rPr>
          <w:rFonts w:cs="Arial"/>
        </w:rPr>
        <w:t>,</w:t>
      </w:r>
      <w:r w:rsidRPr="00F604CF">
        <w:rPr>
          <w:rFonts w:cs="Arial"/>
        </w:rPr>
        <w:t xml:space="preserve"> por ejemplo, </w:t>
      </w:r>
      <w:r w:rsidR="00A52A40" w:rsidRPr="00F604CF">
        <w:rPr>
          <w:rFonts w:cs="Arial"/>
        </w:rPr>
        <w:t xml:space="preserve">para </w:t>
      </w:r>
      <w:r w:rsidR="00D67915" w:rsidRPr="00F604CF">
        <w:rPr>
          <w:rFonts w:cs="Arial"/>
        </w:rPr>
        <w:t xml:space="preserve">cumplir con </w:t>
      </w:r>
      <w:r w:rsidR="00A52A40" w:rsidRPr="00F604CF">
        <w:rPr>
          <w:rFonts w:cs="Arial"/>
        </w:rPr>
        <w:t xml:space="preserve">un contrato de compraventa </w:t>
      </w:r>
      <w:r w:rsidRPr="00F604CF">
        <w:rPr>
          <w:rFonts w:cs="Arial"/>
        </w:rPr>
        <w:t xml:space="preserve">se requiere </w:t>
      </w:r>
      <w:r w:rsidR="00216EF2" w:rsidRPr="00F604CF">
        <w:rPr>
          <w:rFonts w:cs="Arial"/>
        </w:rPr>
        <w:t xml:space="preserve">de </w:t>
      </w:r>
      <w:r w:rsidRPr="00F604CF">
        <w:rPr>
          <w:rFonts w:cs="Arial"/>
        </w:rPr>
        <w:t xml:space="preserve">un capital de trabajo </w:t>
      </w:r>
      <w:r w:rsidR="00D67915" w:rsidRPr="00F604CF">
        <w:rPr>
          <w:rFonts w:cs="Arial"/>
        </w:rPr>
        <w:t xml:space="preserve">que permita </w:t>
      </w:r>
      <w:r w:rsidRPr="00F604CF">
        <w:rPr>
          <w:rFonts w:cs="Arial"/>
        </w:rPr>
        <w:t>financiar l</w:t>
      </w:r>
      <w:r w:rsidR="00D67915" w:rsidRPr="00F604CF">
        <w:rPr>
          <w:rFonts w:cs="Arial"/>
        </w:rPr>
        <w:t>as cuentas con lo</w:t>
      </w:r>
      <w:r w:rsidRPr="00F604CF">
        <w:rPr>
          <w:rFonts w:cs="Arial"/>
        </w:rPr>
        <w:t xml:space="preserve">s proveedores y poder cumplir con la entrega del bien que </w:t>
      </w:r>
      <w:r w:rsidR="003B58BA" w:rsidRPr="00F604CF">
        <w:rPr>
          <w:rFonts w:cs="Arial"/>
        </w:rPr>
        <w:t xml:space="preserve">el </w:t>
      </w:r>
      <w:r w:rsidR="008932D8" w:rsidRPr="00F604CF">
        <w:rPr>
          <w:rFonts w:cs="Arial"/>
        </w:rPr>
        <w:t>E</w:t>
      </w:r>
      <w:r w:rsidR="003B58BA" w:rsidRPr="00F604CF">
        <w:rPr>
          <w:rFonts w:cs="Arial"/>
        </w:rPr>
        <w:t xml:space="preserve">stado ha decidido adquirir. Si ese capital </w:t>
      </w:r>
      <w:r w:rsidR="00164961" w:rsidRPr="00F604CF">
        <w:rPr>
          <w:rFonts w:cs="Arial"/>
        </w:rPr>
        <w:t xml:space="preserve">de trabajo </w:t>
      </w:r>
      <w:r w:rsidR="003B58BA" w:rsidRPr="00F604CF">
        <w:rPr>
          <w:rFonts w:cs="Arial"/>
        </w:rPr>
        <w:t>mínimo se define y se establece en el pliego</w:t>
      </w:r>
      <w:r w:rsidR="008932D8" w:rsidRPr="00F604CF">
        <w:rPr>
          <w:rFonts w:cs="Arial"/>
        </w:rPr>
        <w:t xml:space="preserve"> de condiciones</w:t>
      </w:r>
      <w:r w:rsidR="003B58BA" w:rsidRPr="00F604CF">
        <w:rPr>
          <w:rFonts w:cs="Arial"/>
        </w:rPr>
        <w:t xml:space="preserve"> pero no se verifica </w:t>
      </w:r>
      <w:r w:rsidR="008932D8" w:rsidRPr="00F604CF">
        <w:rPr>
          <w:rFonts w:cs="Arial"/>
        </w:rPr>
        <w:t xml:space="preserve">de manera congruente </w:t>
      </w:r>
      <w:r w:rsidR="00164961" w:rsidRPr="00F604CF">
        <w:rPr>
          <w:rFonts w:cs="Arial"/>
        </w:rPr>
        <w:t>en la etapa de evaluación de las propuestas</w:t>
      </w:r>
      <w:r w:rsidR="00811F24" w:rsidRPr="00F604CF">
        <w:rPr>
          <w:rFonts w:cs="Arial"/>
        </w:rPr>
        <w:t xml:space="preserve"> y, p</w:t>
      </w:r>
      <w:r w:rsidR="00B06BA2" w:rsidRPr="00F604CF">
        <w:rPr>
          <w:rFonts w:cs="Arial"/>
        </w:rPr>
        <w:t>or</w:t>
      </w:r>
      <w:r w:rsidR="00164961" w:rsidRPr="00F604CF">
        <w:rPr>
          <w:rFonts w:cs="Arial"/>
        </w:rPr>
        <w:t xml:space="preserve"> el contrario</w:t>
      </w:r>
      <w:r w:rsidR="00B06BA2" w:rsidRPr="00F604CF">
        <w:rPr>
          <w:rFonts w:cs="Arial"/>
        </w:rPr>
        <w:t xml:space="preserve"> -haciendo caso omiso del contenido del pliego de condiciones- </w:t>
      </w:r>
      <w:r w:rsidR="00164961" w:rsidRPr="00F604CF">
        <w:rPr>
          <w:rFonts w:cs="Arial"/>
        </w:rPr>
        <w:t xml:space="preserve">se </w:t>
      </w:r>
      <w:r w:rsidR="00811F24" w:rsidRPr="00F604CF">
        <w:rPr>
          <w:rFonts w:cs="Arial"/>
        </w:rPr>
        <w:t xml:space="preserve">funda el acto de adjudicación en las cifras </w:t>
      </w:r>
      <w:r w:rsidR="00B06BA2" w:rsidRPr="00F604CF">
        <w:rPr>
          <w:rFonts w:cs="Arial"/>
        </w:rPr>
        <w:t>modifica</w:t>
      </w:r>
      <w:r w:rsidR="00811F24" w:rsidRPr="00F604CF">
        <w:rPr>
          <w:rFonts w:cs="Arial"/>
        </w:rPr>
        <w:t>das</w:t>
      </w:r>
      <w:r w:rsidR="00B06BA2" w:rsidRPr="00F604CF">
        <w:rPr>
          <w:rFonts w:cs="Arial"/>
        </w:rPr>
        <w:t xml:space="preserve"> </w:t>
      </w:r>
      <w:r w:rsidR="00811F24" w:rsidRPr="00F604CF">
        <w:rPr>
          <w:rFonts w:cs="Arial"/>
        </w:rPr>
        <w:t xml:space="preserve">o se dan por acreditados requisitos que no lo están, </w:t>
      </w:r>
      <w:r w:rsidR="00164961" w:rsidRPr="00F604CF">
        <w:rPr>
          <w:rFonts w:cs="Arial"/>
        </w:rPr>
        <w:t xml:space="preserve">se configura un caso típico de </w:t>
      </w:r>
      <w:r w:rsidR="00811F24" w:rsidRPr="00F604CF">
        <w:rPr>
          <w:rFonts w:cs="Arial"/>
        </w:rPr>
        <w:t xml:space="preserve">violación a </w:t>
      </w:r>
      <w:r w:rsidR="003B58BA" w:rsidRPr="00F604CF">
        <w:rPr>
          <w:rFonts w:cs="Arial"/>
        </w:rPr>
        <w:t>las reglas de la selección objetiva e inaplica</w:t>
      </w:r>
      <w:r w:rsidR="00164961" w:rsidRPr="00F604CF">
        <w:rPr>
          <w:rFonts w:cs="Arial"/>
        </w:rPr>
        <w:t>ción del</w:t>
      </w:r>
      <w:r w:rsidR="003B58BA" w:rsidRPr="00F604CF">
        <w:rPr>
          <w:rFonts w:cs="Arial"/>
        </w:rPr>
        <w:t xml:space="preserve"> pliego de</w:t>
      </w:r>
      <w:r w:rsidR="008932D8" w:rsidRPr="00F604CF">
        <w:rPr>
          <w:rFonts w:cs="Arial"/>
        </w:rPr>
        <w:t xml:space="preserve"> </w:t>
      </w:r>
      <w:r w:rsidR="003B58BA" w:rsidRPr="00F604CF">
        <w:rPr>
          <w:rFonts w:cs="Arial"/>
        </w:rPr>
        <w:t>condic</w:t>
      </w:r>
      <w:r w:rsidR="008932D8" w:rsidRPr="00F604CF">
        <w:rPr>
          <w:rFonts w:cs="Arial"/>
        </w:rPr>
        <w:t>i</w:t>
      </w:r>
      <w:r w:rsidR="003B58BA" w:rsidRPr="00F604CF">
        <w:rPr>
          <w:rFonts w:cs="Arial"/>
        </w:rPr>
        <w:t>ones</w:t>
      </w:r>
      <w:r w:rsidR="008932D8" w:rsidRPr="00F604CF">
        <w:rPr>
          <w:rFonts w:cs="Arial"/>
        </w:rPr>
        <w:t xml:space="preserve">. </w:t>
      </w:r>
    </w:p>
    <w:p w14:paraId="47859620" w14:textId="77777777" w:rsidR="004A293D" w:rsidRPr="00F604CF" w:rsidRDefault="004A293D" w:rsidP="00F604CF">
      <w:pPr>
        <w:widowControl w:val="0"/>
        <w:autoSpaceDE w:val="0"/>
        <w:autoSpaceDN w:val="0"/>
        <w:adjustRightInd w:val="0"/>
        <w:rPr>
          <w:rFonts w:cs="Arial"/>
        </w:rPr>
      </w:pPr>
    </w:p>
    <w:p w14:paraId="6ADD31C6" w14:textId="77777777" w:rsidR="00811F24" w:rsidRPr="00F604CF" w:rsidRDefault="008932D8" w:rsidP="00F604CF">
      <w:pPr>
        <w:widowControl w:val="0"/>
        <w:autoSpaceDE w:val="0"/>
        <w:autoSpaceDN w:val="0"/>
        <w:adjustRightInd w:val="0"/>
        <w:rPr>
          <w:rFonts w:cs="Arial"/>
        </w:rPr>
      </w:pPr>
      <w:r w:rsidRPr="00F604CF">
        <w:rPr>
          <w:rFonts w:cs="Arial"/>
        </w:rPr>
        <w:t>En ese supuesto</w:t>
      </w:r>
      <w:r w:rsidR="00985C55" w:rsidRPr="00F604CF">
        <w:rPr>
          <w:rFonts w:cs="Arial"/>
        </w:rPr>
        <w:t>,</w:t>
      </w:r>
      <w:r w:rsidRPr="00F604CF">
        <w:rPr>
          <w:rFonts w:cs="Arial"/>
        </w:rPr>
        <w:t xml:space="preserve"> </w:t>
      </w:r>
      <w:r w:rsidR="00B06BA2" w:rsidRPr="00F604CF">
        <w:rPr>
          <w:rFonts w:cs="Arial"/>
        </w:rPr>
        <w:t xml:space="preserve">la Administración </w:t>
      </w:r>
      <w:r w:rsidRPr="00F604CF">
        <w:rPr>
          <w:rFonts w:cs="Arial"/>
        </w:rPr>
        <w:t xml:space="preserve">incurre es </w:t>
      </w:r>
      <w:r w:rsidR="003B58BA" w:rsidRPr="00F604CF">
        <w:rPr>
          <w:rFonts w:cs="Arial"/>
        </w:rPr>
        <w:t>una falsa motivación</w:t>
      </w:r>
      <w:r w:rsidR="002B3111" w:rsidRPr="00F604CF">
        <w:rPr>
          <w:rStyle w:val="Refdenotaalpie"/>
          <w:rFonts w:cs="Arial"/>
        </w:rPr>
        <w:footnoteReference w:id="41"/>
      </w:r>
      <w:r w:rsidR="003B58BA" w:rsidRPr="00F604CF">
        <w:rPr>
          <w:rFonts w:cs="Arial"/>
        </w:rPr>
        <w:t xml:space="preserve"> y </w:t>
      </w:r>
      <w:r w:rsidRPr="00F604CF">
        <w:rPr>
          <w:rFonts w:cs="Arial"/>
        </w:rPr>
        <w:t xml:space="preserve">en </w:t>
      </w:r>
      <w:r w:rsidR="003B58BA" w:rsidRPr="00F604CF">
        <w:rPr>
          <w:rFonts w:cs="Arial"/>
        </w:rPr>
        <w:t xml:space="preserve">la violación </w:t>
      </w:r>
      <w:r w:rsidR="00811F24" w:rsidRPr="00F604CF">
        <w:rPr>
          <w:rFonts w:cs="Arial"/>
        </w:rPr>
        <w:t>de l</w:t>
      </w:r>
      <w:r w:rsidR="00770008" w:rsidRPr="00F604CF">
        <w:rPr>
          <w:rFonts w:cs="Arial"/>
        </w:rPr>
        <w:t xml:space="preserve">as reglas contenidas en los </w:t>
      </w:r>
      <w:r w:rsidR="00811F24" w:rsidRPr="00F604CF">
        <w:rPr>
          <w:rFonts w:cs="Arial"/>
        </w:rPr>
        <w:t>numerales 6 y 8 del  artículo 30 de la Ley 80 de 1993.</w:t>
      </w:r>
    </w:p>
    <w:p w14:paraId="42CB6534" w14:textId="77777777" w:rsidR="003B58BA" w:rsidRPr="00F604CF" w:rsidRDefault="003B58BA" w:rsidP="00F604CF">
      <w:pPr>
        <w:widowControl w:val="0"/>
        <w:autoSpaceDE w:val="0"/>
        <w:autoSpaceDN w:val="0"/>
        <w:adjustRightInd w:val="0"/>
        <w:rPr>
          <w:rFonts w:cs="Arial"/>
        </w:rPr>
      </w:pPr>
    </w:p>
    <w:p w14:paraId="0FF64181" w14:textId="77777777" w:rsidR="008932D8" w:rsidRPr="00F604CF" w:rsidRDefault="003B58BA" w:rsidP="00F604CF">
      <w:pPr>
        <w:widowControl w:val="0"/>
        <w:autoSpaceDE w:val="0"/>
        <w:autoSpaceDN w:val="0"/>
        <w:adjustRightInd w:val="0"/>
        <w:rPr>
          <w:rFonts w:cs="Arial"/>
        </w:rPr>
      </w:pPr>
      <w:r w:rsidRPr="00F604CF">
        <w:rPr>
          <w:rFonts w:cs="Arial"/>
        </w:rPr>
        <w:t xml:space="preserve">Por otra parte, </w:t>
      </w:r>
      <w:r w:rsidR="00793141" w:rsidRPr="00F604CF">
        <w:rPr>
          <w:rFonts w:cs="Arial"/>
        </w:rPr>
        <w:t>en protección del derecho a la libre competencia</w:t>
      </w:r>
      <w:r w:rsidR="00B626CC" w:rsidRPr="00F604CF">
        <w:rPr>
          <w:rStyle w:val="Refdenotaalpie"/>
          <w:rFonts w:cs="Arial"/>
        </w:rPr>
        <w:footnoteReference w:id="42"/>
      </w:r>
      <w:r w:rsidR="00B626CC" w:rsidRPr="00F604CF">
        <w:rPr>
          <w:rFonts w:cs="Arial"/>
        </w:rPr>
        <w:t xml:space="preserve"> </w:t>
      </w:r>
      <w:r w:rsidR="00793141" w:rsidRPr="00F604CF">
        <w:rPr>
          <w:rFonts w:cs="Arial"/>
        </w:rPr>
        <w:t xml:space="preserve">y </w:t>
      </w:r>
      <w:r w:rsidR="008932D8" w:rsidRPr="00F604CF">
        <w:rPr>
          <w:rFonts w:cs="Arial"/>
        </w:rPr>
        <w:t>de</w:t>
      </w:r>
      <w:r w:rsidR="00793141" w:rsidRPr="00F604CF">
        <w:rPr>
          <w:rFonts w:cs="Arial"/>
        </w:rPr>
        <w:t xml:space="preserve"> la igualdad de acceso </w:t>
      </w:r>
      <w:r w:rsidR="00B626CC" w:rsidRPr="00F604CF">
        <w:rPr>
          <w:rFonts w:cs="Arial"/>
        </w:rPr>
        <w:t xml:space="preserve">en la contratación, </w:t>
      </w:r>
      <w:r w:rsidR="00793141" w:rsidRPr="00F604CF">
        <w:rPr>
          <w:rFonts w:cs="Arial"/>
        </w:rPr>
        <w:t>la entidad estatal debe rechazar la modificación de los estados financieros que se realiza después de presentada la propuesta</w:t>
      </w:r>
      <w:r w:rsidR="00B06BA2" w:rsidRPr="00F604CF">
        <w:rPr>
          <w:rStyle w:val="Refdenotaalpie"/>
          <w:rFonts w:cs="Arial"/>
        </w:rPr>
        <w:footnoteReference w:id="43"/>
      </w:r>
      <w:r w:rsidR="00B626CC" w:rsidRPr="00F604CF">
        <w:rPr>
          <w:rFonts w:cs="Arial"/>
        </w:rPr>
        <w:t>, dado que constituye una práctica que desequilibra l</w:t>
      </w:r>
      <w:r w:rsidR="00CC77E9" w:rsidRPr="00F604CF">
        <w:rPr>
          <w:rFonts w:cs="Arial"/>
        </w:rPr>
        <w:t>a apreciación de l</w:t>
      </w:r>
      <w:r w:rsidR="00B626CC" w:rsidRPr="00F604CF">
        <w:rPr>
          <w:rFonts w:cs="Arial"/>
        </w:rPr>
        <w:t xml:space="preserve">os </w:t>
      </w:r>
      <w:r w:rsidR="00784BF1" w:rsidRPr="00F604CF">
        <w:rPr>
          <w:rFonts w:cs="Arial"/>
        </w:rPr>
        <w:t xml:space="preserve">indicadores con los que entraron a competir </w:t>
      </w:r>
      <w:r w:rsidR="00B626CC" w:rsidRPr="00F604CF">
        <w:rPr>
          <w:rFonts w:cs="Arial"/>
        </w:rPr>
        <w:t>unos y otros proponentes</w:t>
      </w:r>
      <w:r w:rsidRPr="00F604CF">
        <w:rPr>
          <w:rFonts w:cs="Arial"/>
        </w:rPr>
        <w:t xml:space="preserve">. </w:t>
      </w:r>
    </w:p>
    <w:p w14:paraId="753B9B85" w14:textId="77777777" w:rsidR="008932D8" w:rsidRPr="00F604CF" w:rsidRDefault="008932D8" w:rsidP="00F604CF">
      <w:pPr>
        <w:widowControl w:val="0"/>
        <w:autoSpaceDE w:val="0"/>
        <w:autoSpaceDN w:val="0"/>
        <w:adjustRightInd w:val="0"/>
        <w:rPr>
          <w:rFonts w:cs="Arial"/>
        </w:rPr>
      </w:pPr>
    </w:p>
    <w:p w14:paraId="0ACA3D39" w14:textId="77777777" w:rsidR="00164961" w:rsidRPr="00F604CF" w:rsidRDefault="003B58BA" w:rsidP="00F604CF">
      <w:pPr>
        <w:widowControl w:val="0"/>
        <w:autoSpaceDE w:val="0"/>
        <w:autoSpaceDN w:val="0"/>
        <w:adjustRightInd w:val="0"/>
        <w:rPr>
          <w:rFonts w:cs="Arial"/>
        </w:rPr>
      </w:pPr>
      <w:r w:rsidRPr="00F604CF">
        <w:rPr>
          <w:rFonts w:cs="Arial"/>
        </w:rPr>
        <w:t xml:space="preserve">Es preciso tener en cuenta que </w:t>
      </w:r>
      <w:r w:rsidR="00B626CC" w:rsidRPr="00F604CF">
        <w:rPr>
          <w:rFonts w:cs="Arial"/>
        </w:rPr>
        <w:t xml:space="preserve">en el procedimiento previo a la contratación es </w:t>
      </w:r>
      <w:r w:rsidR="008932D8" w:rsidRPr="00F604CF">
        <w:rPr>
          <w:rFonts w:cs="Arial"/>
        </w:rPr>
        <w:t>p</w:t>
      </w:r>
      <w:r w:rsidR="00784BF1" w:rsidRPr="00F604CF">
        <w:rPr>
          <w:rFonts w:cs="Arial"/>
        </w:rPr>
        <w:t xml:space="preserve">osible </w:t>
      </w:r>
      <w:r w:rsidRPr="00F604CF">
        <w:rPr>
          <w:rFonts w:cs="Arial"/>
        </w:rPr>
        <w:t>sanear</w:t>
      </w:r>
      <w:r w:rsidR="00793141" w:rsidRPr="00F604CF">
        <w:rPr>
          <w:rFonts w:cs="Arial"/>
        </w:rPr>
        <w:t xml:space="preserve"> </w:t>
      </w:r>
      <w:r w:rsidRPr="00F604CF">
        <w:rPr>
          <w:rFonts w:cs="Arial"/>
        </w:rPr>
        <w:t xml:space="preserve">la prueba documental, </w:t>
      </w:r>
      <w:r w:rsidR="002B3111" w:rsidRPr="00F604CF">
        <w:rPr>
          <w:rFonts w:cs="Arial"/>
        </w:rPr>
        <w:t>de acuerdo con lo que establec</w:t>
      </w:r>
      <w:r w:rsidR="00B626CC" w:rsidRPr="00F604CF">
        <w:rPr>
          <w:rFonts w:cs="Arial"/>
        </w:rPr>
        <w:t>ió</w:t>
      </w:r>
      <w:r w:rsidR="002B3111" w:rsidRPr="00F604CF">
        <w:rPr>
          <w:rFonts w:cs="Arial"/>
        </w:rPr>
        <w:t xml:space="preserve"> el numeral</w:t>
      </w:r>
      <w:r w:rsidR="00164961" w:rsidRPr="00F604CF">
        <w:rPr>
          <w:rFonts w:cs="Arial"/>
        </w:rPr>
        <w:t xml:space="preserve"> </w:t>
      </w:r>
      <w:r w:rsidR="002B3111" w:rsidRPr="00F604CF">
        <w:rPr>
          <w:rFonts w:cs="Arial"/>
        </w:rPr>
        <w:t>15 del art</w:t>
      </w:r>
      <w:r w:rsidR="004F1305" w:rsidRPr="00F604CF">
        <w:rPr>
          <w:rFonts w:cs="Arial"/>
        </w:rPr>
        <w:t>í</w:t>
      </w:r>
      <w:r w:rsidR="002B3111" w:rsidRPr="00F604CF">
        <w:rPr>
          <w:rFonts w:cs="Arial"/>
        </w:rPr>
        <w:t>culo 25 de la Ley 80 de 1993</w:t>
      </w:r>
      <w:r w:rsidR="002B3111" w:rsidRPr="00F604CF">
        <w:rPr>
          <w:rStyle w:val="Refdenotaalpie"/>
          <w:rFonts w:cs="Arial"/>
        </w:rPr>
        <w:footnoteReference w:id="44"/>
      </w:r>
      <w:r w:rsidR="002B3111" w:rsidRPr="00F604CF">
        <w:rPr>
          <w:rFonts w:cs="Arial"/>
        </w:rPr>
        <w:t xml:space="preserve">, sin embargo, </w:t>
      </w:r>
      <w:r w:rsidRPr="00F604CF">
        <w:rPr>
          <w:rFonts w:cs="Arial"/>
        </w:rPr>
        <w:t>por esta v</w:t>
      </w:r>
      <w:r w:rsidR="002B3111" w:rsidRPr="00F604CF">
        <w:rPr>
          <w:rFonts w:cs="Arial"/>
        </w:rPr>
        <w:t>í</w:t>
      </w:r>
      <w:r w:rsidRPr="00F604CF">
        <w:rPr>
          <w:rFonts w:cs="Arial"/>
        </w:rPr>
        <w:t xml:space="preserve">a no  </w:t>
      </w:r>
      <w:r w:rsidR="00784BF1" w:rsidRPr="00F604CF">
        <w:rPr>
          <w:rFonts w:cs="Arial"/>
        </w:rPr>
        <w:t xml:space="preserve">se puede </w:t>
      </w:r>
      <w:r w:rsidRPr="00F604CF">
        <w:rPr>
          <w:rFonts w:cs="Arial"/>
        </w:rPr>
        <w:t>acepta</w:t>
      </w:r>
      <w:r w:rsidR="008932D8" w:rsidRPr="00F604CF">
        <w:rPr>
          <w:rFonts w:cs="Arial"/>
        </w:rPr>
        <w:t>r</w:t>
      </w:r>
      <w:r w:rsidRPr="00F604CF">
        <w:rPr>
          <w:rFonts w:cs="Arial"/>
        </w:rPr>
        <w:t xml:space="preserve"> la modificación de los </w:t>
      </w:r>
      <w:r w:rsidR="008932D8" w:rsidRPr="00F604CF">
        <w:rPr>
          <w:rFonts w:cs="Arial"/>
        </w:rPr>
        <w:t xml:space="preserve">factores financieros </w:t>
      </w:r>
      <w:r w:rsidRPr="00F604CF">
        <w:rPr>
          <w:rFonts w:cs="Arial"/>
        </w:rPr>
        <w:t xml:space="preserve">que otorgan el derecho a participar </w:t>
      </w:r>
      <w:r w:rsidR="004F1305" w:rsidRPr="00F604CF">
        <w:rPr>
          <w:rFonts w:cs="Arial"/>
        </w:rPr>
        <w:t>en</w:t>
      </w:r>
      <w:r w:rsidR="00B626CC" w:rsidRPr="00F604CF">
        <w:rPr>
          <w:rFonts w:cs="Arial"/>
        </w:rPr>
        <w:t xml:space="preserve"> </w:t>
      </w:r>
      <w:r w:rsidR="008932D8" w:rsidRPr="00F604CF">
        <w:rPr>
          <w:rFonts w:cs="Arial"/>
        </w:rPr>
        <w:t>la</w:t>
      </w:r>
      <w:r w:rsidR="00CC77E9" w:rsidRPr="00F604CF">
        <w:rPr>
          <w:rFonts w:cs="Arial"/>
        </w:rPr>
        <w:t>s</w:t>
      </w:r>
      <w:r w:rsidR="008932D8" w:rsidRPr="00F604CF">
        <w:rPr>
          <w:rFonts w:cs="Arial"/>
        </w:rPr>
        <w:t xml:space="preserve"> propuesta</w:t>
      </w:r>
      <w:r w:rsidR="00CC77E9" w:rsidRPr="00F604CF">
        <w:rPr>
          <w:rFonts w:cs="Arial"/>
        </w:rPr>
        <w:t>s</w:t>
      </w:r>
      <w:r w:rsidR="00B626CC" w:rsidRPr="00F604CF">
        <w:rPr>
          <w:rFonts w:cs="Arial"/>
        </w:rPr>
        <w:t xml:space="preserve"> de contratación, </w:t>
      </w:r>
      <w:r w:rsidR="00164961" w:rsidRPr="00F604CF">
        <w:rPr>
          <w:rFonts w:cs="Arial"/>
        </w:rPr>
        <w:t>cuando tal modificación revela que</w:t>
      </w:r>
      <w:r w:rsidR="00CC77E9" w:rsidRPr="00F604CF">
        <w:rPr>
          <w:rFonts w:cs="Arial"/>
        </w:rPr>
        <w:t>,</w:t>
      </w:r>
      <w:r w:rsidR="00164961" w:rsidRPr="00F604CF">
        <w:rPr>
          <w:rFonts w:cs="Arial"/>
        </w:rPr>
        <w:t xml:space="preserve"> en realidad</w:t>
      </w:r>
      <w:r w:rsidR="00CC77E9" w:rsidRPr="00F604CF">
        <w:rPr>
          <w:rFonts w:cs="Arial"/>
        </w:rPr>
        <w:t>,</w:t>
      </w:r>
      <w:r w:rsidR="00164961" w:rsidRPr="00F604CF">
        <w:rPr>
          <w:rFonts w:cs="Arial"/>
        </w:rPr>
        <w:t xml:space="preserve"> no existía la capacidad financiera </w:t>
      </w:r>
      <w:r w:rsidR="00B626CC" w:rsidRPr="00F604CF">
        <w:rPr>
          <w:rFonts w:cs="Arial"/>
        </w:rPr>
        <w:t>inicial</w:t>
      </w:r>
      <w:r w:rsidR="00784BF1" w:rsidRPr="00F604CF">
        <w:rPr>
          <w:rFonts w:cs="Arial"/>
        </w:rPr>
        <w:t xml:space="preserve">mente </w:t>
      </w:r>
      <w:r w:rsidR="001D105C" w:rsidRPr="00F604CF">
        <w:rPr>
          <w:rFonts w:cs="Arial"/>
        </w:rPr>
        <w:t xml:space="preserve">acreditada </w:t>
      </w:r>
      <w:r w:rsidR="00164961" w:rsidRPr="00F604CF">
        <w:rPr>
          <w:rFonts w:cs="Arial"/>
        </w:rPr>
        <w:t>para habilitar</w:t>
      </w:r>
      <w:r w:rsidR="00B626CC" w:rsidRPr="00F604CF">
        <w:rPr>
          <w:rFonts w:cs="Arial"/>
        </w:rPr>
        <w:t xml:space="preserve"> la propuesta </w:t>
      </w:r>
      <w:r w:rsidR="00164961" w:rsidRPr="00F604CF">
        <w:rPr>
          <w:rFonts w:cs="Arial"/>
        </w:rPr>
        <w:t xml:space="preserve">y obtener la calificación correspondiente. </w:t>
      </w:r>
    </w:p>
    <w:p w14:paraId="0B9B6996" w14:textId="77777777" w:rsidR="00164961" w:rsidRPr="00F604CF" w:rsidRDefault="00164961" w:rsidP="00F604CF">
      <w:pPr>
        <w:widowControl w:val="0"/>
        <w:autoSpaceDE w:val="0"/>
        <w:autoSpaceDN w:val="0"/>
        <w:adjustRightInd w:val="0"/>
        <w:rPr>
          <w:rFonts w:cs="Arial"/>
        </w:rPr>
      </w:pPr>
    </w:p>
    <w:p w14:paraId="642E439B" w14:textId="77777777" w:rsidR="00E274F4" w:rsidRPr="00F604CF" w:rsidRDefault="008932D8" w:rsidP="00F604CF">
      <w:pPr>
        <w:widowControl w:val="0"/>
        <w:autoSpaceDE w:val="0"/>
        <w:autoSpaceDN w:val="0"/>
        <w:adjustRightInd w:val="0"/>
        <w:rPr>
          <w:rFonts w:cs="Arial"/>
        </w:rPr>
      </w:pPr>
      <w:r w:rsidRPr="00F604CF">
        <w:rPr>
          <w:rFonts w:cs="Arial"/>
        </w:rPr>
        <w:t>A</w:t>
      </w:r>
      <w:r w:rsidR="001D105C" w:rsidRPr="00F604CF">
        <w:rPr>
          <w:rFonts w:cs="Arial"/>
        </w:rPr>
        <w:t xml:space="preserve">dicionalmente, </w:t>
      </w:r>
      <w:r w:rsidR="00B626CC" w:rsidRPr="00F604CF">
        <w:rPr>
          <w:rFonts w:cs="Arial"/>
        </w:rPr>
        <w:t xml:space="preserve">en aquellos procedimientos en los que la evaluación se </w:t>
      </w:r>
      <w:r w:rsidR="00E274F4" w:rsidRPr="00F604CF">
        <w:rPr>
          <w:rFonts w:cs="Arial"/>
        </w:rPr>
        <w:t xml:space="preserve">determina </w:t>
      </w:r>
      <w:r w:rsidR="00B626CC" w:rsidRPr="00F604CF">
        <w:rPr>
          <w:rFonts w:cs="Arial"/>
        </w:rPr>
        <w:t xml:space="preserve">con base en los indicadores soportados </w:t>
      </w:r>
      <w:r w:rsidR="00E274F4" w:rsidRPr="00F604CF">
        <w:rPr>
          <w:rFonts w:cs="Arial"/>
        </w:rPr>
        <w:t>en</w:t>
      </w:r>
      <w:r w:rsidR="00B626CC" w:rsidRPr="00F604CF">
        <w:rPr>
          <w:rFonts w:cs="Arial"/>
        </w:rPr>
        <w:t xml:space="preserve"> los estados financieros y en el Registro Único de </w:t>
      </w:r>
      <w:r w:rsidR="00E274F4" w:rsidRPr="00F604CF">
        <w:rPr>
          <w:rFonts w:cs="Arial"/>
        </w:rPr>
        <w:t>P</w:t>
      </w:r>
      <w:r w:rsidR="00B626CC" w:rsidRPr="00F604CF">
        <w:rPr>
          <w:rFonts w:cs="Arial"/>
        </w:rPr>
        <w:t xml:space="preserve">roponentes, los soportes </w:t>
      </w:r>
      <w:r w:rsidR="00E274F4" w:rsidRPr="00F604CF">
        <w:rPr>
          <w:rFonts w:cs="Arial"/>
        </w:rPr>
        <w:t xml:space="preserve">correspondientes </w:t>
      </w:r>
      <w:r w:rsidR="00B626CC" w:rsidRPr="00F604CF">
        <w:rPr>
          <w:rFonts w:cs="Arial"/>
        </w:rPr>
        <w:t xml:space="preserve">deben ser consistentes </w:t>
      </w:r>
      <w:r w:rsidR="00AA5FD1" w:rsidRPr="00F604CF">
        <w:rPr>
          <w:rFonts w:cs="Arial"/>
        </w:rPr>
        <w:t xml:space="preserve">entre sí, </w:t>
      </w:r>
      <w:r w:rsidR="00B626CC" w:rsidRPr="00F604CF">
        <w:rPr>
          <w:rFonts w:cs="Arial"/>
        </w:rPr>
        <w:t>para asegurar</w:t>
      </w:r>
      <w:r w:rsidR="00793141" w:rsidRPr="00F604CF">
        <w:rPr>
          <w:rFonts w:cs="Arial"/>
        </w:rPr>
        <w:t xml:space="preserve"> la debida evaluación de la capacidad financiera</w:t>
      </w:r>
      <w:r w:rsidRPr="00F604CF">
        <w:rPr>
          <w:rFonts w:cs="Arial"/>
        </w:rPr>
        <w:t>.</w:t>
      </w:r>
      <w:r w:rsidR="00E274F4" w:rsidRPr="00F604CF">
        <w:rPr>
          <w:rFonts w:cs="Arial"/>
        </w:rPr>
        <w:t xml:space="preserve"> Es decir </w:t>
      </w:r>
      <w:r w:rsidR="00D820DD" w:rsidRPr="00F604CF">
        <w:rPr>
          <w:rFonts w:cs="Arial"/>
        </w:rPr>
        <w:t>que</w:t>
      </w:r>
      <w:r w:rsidR="00AE5D01" w:rsidRPr="00F604CF">
        <w:rPr>
          <w:rFonts w:cs="Arial"/>
        </w:rPr>
        <w:t>,</w:t>
      </w:r>
      <w:r w:rsidR="00D820DD" w:rsidRPr="00F604CF">
        <w:rPr>
          <w:rFonts w:cs="Arial"/>
        </w:rPr>
        <w:t xml:space="preserve"> habiendo exigido </w:t>
      </w:r>
      <w:r w:rsidR="00643B6E" w:rsidRPr="00F604CF">
        <w:rPr>
          <w:rFonts w:cs="Arial"/>
        </w:rPr>
        <w:t xml:space="preserve">en el pliego de condiciones todos los documentos a un </w:t>
      </w:r>
      <w:r w:rsidR="00D820DD" w:rsidRPr="00F604CF">
        <w:rPr>
          <w:rFonts w:cs="Arial"/>
        </w:rPr>
        <w:t>solo corte d</w:t>
      </w:r>
      <w:r w:rsidR="00643B6E" w:rsidRPr="00F604CF">
        <w:rPr>
          <w:rFonts w:cs="Arial"/>
        </w:rPr>
        <w:t>e</w:t>
      </w:r>
      <w:r w:rsidR="00D820DD" w:rsidRPr="00F604CF">
        <w:rPr>
          <w:rFonts w:cs="Arial"/>
        </w:rPr>
        <w:t xml:space="preserve"> ejercicio, </w:t>
      </w:r>
      <w:r w:rsidR="001D105C" w:rsidRPr="00F604CF">
        <w:rPr>
          <w:rFonts w:cs="Arial"/>
        </w:rPr>
        <w:t xml:space="preserve">resulta </w:t>
      </w:r>
      <w:r w:rsidR="00643B6E" w:rsidRPr="00F604CF">
        <w:rPr>
          <w:rFonts w:cs="Arial"/>
        </w:rPr>
        <w:t>pertinente</w:t>
      </w:r>
      <w:r w:rsidR="00E274F4" w:rsidRPr="00F604CF">
        <w:rPr>
          <w:rFonts w:cs="Arial"/>
        </w:rPr>
        <w:t xml:space="preserve"> verificar que no exista discordancia entre las cifras de los estados financieros y </w:t>
      </w:r>
      <w:r w:rsidR="00AE5D01" w:rsidRPr="00F604CF">
        <w:rPr>
          <w:rFonts w:cs="Arial"/>
        </w:rPr>
        <w:t>las d</w:t>
      </w:r>
      <w:r w:rsidR="00E274F4" w:rsidRPr="00F604CF">
        <w:rPr>
          <w:rFonts w:cs="Arial"/>
        </w:rPr>
        <w:t xml:space="preserve">el Registro Único de Proponentes, para </w:t>
      </w:r>
      <w:r w:rsidR="00AA5FD1" w:rsidRPr="00F604CF">
        <w:rPr>
          <w:rFonts w:cs="Arial"/>
        </w:rPr>
        <w:t xml:space="preserve">los </w:t>
      </w:r>
      <w:r w:rsidR="00E274F4" w:rsidRPr="00F604CF">
        <w:rPr>
          <w:rFonts w:cs="Arial"/>
        </w:rPr>
        <w:t xml:space="preserve">efectos de aplicar las fórmulas correspondientes. </w:t>
      </w:r>
    </w:p>
    <w:p w14:paraId="5DE48047" w14:textId="77777777" w:rsidR="008932D8" w:rsidRPr="00F604CF" w:rsidRDefault="008932D8" w:rsidP="00F604CF">
      <w:pPr>
        <w:widowControl w:val="0"/>
        <w:autoSpaceDE w:val="0"/>
        <w:autoSpaceDN w:val="0"/>
        <w:adjustRightInd w:val="0"/>
        <w:rPr>
          <w:rFonts w:cs="Arial"/>
        </w:rPr>
      </w:pPr>
    </w:p>
    <w:p w14:paraId="2219FE02" w14:textId="77777777" w:rsidR="000E0BC3" w:rsidRPr="00F604CF" w:rsidRDefault="00AE5D01" w:rsidP="00F604CF">
      <w:pPr>
        <w:widowControl w:val="0"/>
        <w:autoSpaceDE w:val="0"/>
        <w:autoSpaceDN w:val="0"/>
        <w:adjustRightInd w:val="0"/>
        <w:rPr>
          <w:rFonts w:cs="Arial"/>
        </w:rPr>
      </w:pPr>
      <w:r w:rsidRPr="00F604CF">
        <w:rPr>
          <w:rFonts w:cs="Arial"/>
        </w:rPr>
        <w:t>E</w:t>
      </w:r>
      <w:r w:rsidR="00D61C13" w:rsidRPr="00F604CF">
        <w:rPr>
          <w:rFonts w:cs="Arial"/>
        </w:rPr>
        <w:t xml:space="preserve">l dictamen de los estados financieros </w:t>
      </w:r>
      <w:r w:rsidR="00793141" w:rsidRPr="00F604CF">
        <w:rPr>
          <w:rFonts w:cs="Arial"/>
        </w:rPr>
        <w:t>e</w:t>
      </w:r>
      <w:r w:rsidR="008932D8" w:rsidRPr="00F604CF">
        <w:rPr>
          <w:rFonts w:cs="Arial"/>
        </w:rPr>
        <w:t>s</w:t>
      </w:r>
      <w:r w:rsidR="00793141" w:rsidRPr="00F604CF">
        <w:rPr>
          <w:rFonts w:cs="Arial"/>
        </w:rPr>
        <w:t xml:space="preserve"> </w:t>
      </w:r>
      <w:r w:rsidR="008932D8" w:rsidRPr="00F604CF">
        <w:rPr>
          <w:rFonts w:cs="Arial"/>
        </w:rPr>
        <w:t xml:space="preserve">un </w:t>
      </w:r>
      <w:r w:rsidR="00793141" w:rsidRPr="00F604CF">
        <w:rPr>
          <w:rFonts w:cs="Arial"/>
        </w:rPr>
        <w:t>requisito</w:t>
      </w:r>
      <w:r w:rsidR="008932D8" w:rsidRPr="00F604CF">
        <w:rPr>
          <w:rFonts w:cs="Arial"/>
        </w:rPr>
        <w:t xml:space="preserve"> que </w:t>
      </w:r>
      <w:r w:rsidRPr="00F604CF">
        <w:rPr>
          <w:rFonts w:cs="Arial"/>
        </w:rPr>
        <w:t xml:space="preserve">le </w:t>
      </w:r>
      <w:r w:rsidR="008932D8" w:rsidRPr="00F604CF">
        <w:rPr>
          <w:rFonts w:cs="Arial"/>
        </w:rPr>
        <w:t>otorga seguridad y credibilidad a l</w:t>
      </w:r>
      <w:r w:rsidRPr="00F604CF">
        <w:rPr>
          <w:rFonts w:cs="Arial"/>
        </w:rPr>
        <w:t xml:space="preserve">a información que </w:t>
      </w:r>
      <w:r w:rsidR="008932D8" w:rsidRPr="00F604CF">
        <w:rPr>
          <w:rFonts w:cs="Arial"/>
        </w:rPr>
        <w:t xml:space="preserve">los estados financieros revelan, </w:t>
      </w:r>
      <w:r w:rsidR="00E274F4" w:rsidRPr="00F604CF">
        <w:rPr>
          <w:rFonts w:cs="Arial"/>
        </w:rPr>
        <w:t xml:space="preserve">en tanto </w:t>
      </w:r>
      <w:r w:rsidR="008932D8" w:rsidRPr="00F604CF">
        <w:rPr>
          <w:rFonts w:cs="Arial"/>
        </w:rPr>
        <w:t xml:space="preserve">proviene de un profesional en la </w:t>
      </w:r>
      <w:r w:rsidRPr="00F604CF">
        <w:rPr>
          <w:rFonts w:cs="Arial"/>
        </w:rPr>
        <w:t xml:space="preserve">disciplina </w:t>
      </w:r>
      <w:r w:rsidR="008932D8" w:rsidRPr="00F604CF">
        <w:rPr>
          <w:rFonts w:cs="Arial"/>
        </w:rPr>
        <w:t>contable</w:t>
      </w:r>
      <w:r w:rsidR="000E0BC3" w:rsidRPr="00F604CF">
        <w:rPr>
          <w:rFonts w:cs="Arial"/>
        </w:rPr>
        <w:t xml:space="preserve"> y en la auditoria de la información financiera</w:t>
      </w:r>
      <w:r w:rsidR="008932D8" w:rsidRPr="00F604CF">
        <w:rPr>
          <w:rFonts w:cs="Arial"/>
        </w:rPr>
        <w:t>, a qu</w:t>
      </w:r>
      <w:r w:rsidR="00E274F4" w:rsidRPr="00F604CF">
        <w:rPr>
          <w:rFonts w:cs="Arial"/>
        </w:rPr>
        <w:t xml:space="preserve">ien </w:t>
      </w:r>
      <w:r w:rsidR="008932D8" w:rsidRPr="00F604CF">
        <w:rPr>
          <w:rFonts w:cs="Arial"/>
        </w:rPr>
        <w:t xml:space="preserve">la </w:t>
      </w:r>
      <w:r w:rsidR="00E274F4" w:rsidRPr="00F604CF">
        <w:rPr>
          <w:rFonts w:cs="Arial"/>
        </w:rPr>
        <w:t>L</w:t>
      </w:r>
      <w:r w:rsidR="008932D8" w:rsidRPr="00F604CF">
        <w:rPr>
          <w:rFonts w:cs="Arial"/>
        </w:rPr>
        <w:t xml:space="preserve">ey </w:t>
      </w:r>
      <w:r w:rsidR="00E274F4" w:rsidRPr="00F604CF">
        <w:rPr>
          <w:rFonts w:cs="Arial"/>
        </w:rPr>
        <w:t xml:space="preserve">43 de 1990 dotó </w:t>
      </w:r>
      <w:r w:rsidR="008932D8" w:rsidRPr="00F604CF">
        <w:rPr>
          <w:rFonts w:cs="Arial"/>
        </w:rPr>
        <w:t>de la potestad de oto</w:t>
      </w:r>
      <w:r w:rsidR="000E0BC3" w:rsidRPr="00F604CF">
        <w:rPr>
          <w:rFonts w:cs="Arial"/>
        </w:rPr>
        <w:t>rgar</w:t>
      </w:r>
      <w:r w:rsidR="008932D8" w:rsidRPr="00F604CF">
        <w:rPr>
          <w:rFonts w:cs="Arial"/>
        </w:rPr>
        <w:t xml:space="preserve"> f</w:t>
      </w:r>
      <w:r w:rsidR="001D105C" w:rsidRPr="00F604CF">
        <w:rPr>
          <w:rFonts w:cs="Arial"/>
        </w:rPr>
        <w:t>e</w:t>
      </w:r>
      <w:r w:rsidR="008932D8" w:rsidRPr="00F604CF">
        <w:rPr>
          <w:rFonts w:cs="Arial"/>
        </w:rPr>
        <w:t xml:space="preserve"> p</w:t>
      </w:r>
      <w:r w:rsidR="001D105C" w:rsidRPr="00F604CF">
        <w:rPr>
          <w:rFonts w:cs="Arial"/>
        </w:rPr>
        <w:t>ú</w:t>
      </w:r>
      <w:r w:rsidR="008932D8" w:rsidRPr="00F604CF">
        <w:rPr>
          <w:rFonts w:cs="Arial"/>
        </w:rPr>
        <w:t>blica</w:t>
      </w:r>
      <w:r w:rsidR="00E274F4" w:rsidRPr="00F604CF">
        <w:rPr>
          <w:rStyle w:val="Refdenotaalpie"/>
          <w:rFonts w:cs="Arial"/>
        </w:rPr>
        <w:footnoteReference w:id="45"/>
      </w:r>
      <w:r w:rsidR="008932D8" w:rsidRPr="00F604CF">
        <w:rPr>
          <w:rFonts w:cs="Arial"/>
        </w:rPr>
        <w:t xml:space="preserve"> y </w:t>
      </w:r>
      <w:r w:rsidR="00E274F4" w:rsidRPr="00F604CF">
        <w:rPr>
          <w:rFonts w:cs="Arial"/>
        </w:rPr>
        <w:t xml:space="preserve">respecto del cual </w:t>
      </w:r>
      <w:r w:rsidR="000E0BC3" w:rsidRPr="00F604CF">
        <w:rPr>
          <w:rFonts w:cs="Arial"/>
        </w:rPr>
        <w:t xml:space="preserve">se </w:t>
      </w:r>
      <w:r w:rsidR="00E274F4" w:rsidRPr="00F604CF">
        <w:rPr>
          <w:rFonts w:cs="Arial"/>
        </w:rPr>
        <w:t xml:space="preserve">exige su </w:t>
      </w:r>
      <w:r w:rsidR="000E0BC3" w:rsidRPr="00F604CF">
        <w:rPr>
          <w:rFonts w:cs="Arial"/>
        </w:rPr>
        <w:t>independencia</w:t>
      </w:r>
      <w:r w:rsidR="00E274F4" w:rsidRPr="00F604CF">
        <w:rPr>
          <w:rStyle w:val="Refdenotaalpie"/>
          <w:rFonts w:cs="Arial"/>
        </w:rPr>
        <w:footnoteReference w:id="46"/>
      </w:r>
      <w:r w:rsidR="00E274F4" w:rsidRPr="00F604CF">
        <w:rPr>
          <w:rFonts w:cs="Arial"/>
        </w:rPr>
        <w:t>.</w:t>
      </w:r>
      <w:r w:rsidR="000E0BC3" w:rsidRPr="00F604CF">
        <w:rPr>
          <w:rFonts w:cs="Arial"/>
        </w:rPr>
        <w:t xml:space="preserve"> No sobra agregar que el dictamen </w:t>
      </w:r>
      <w:r w:rsidR="001E3BD4" w:rsidRPr="00F604CF">
        <w:rPr>
          <w:rFonts w:cs="Arial"/>
        </w:rPr>
        <w:t xml:space="preserve">constituye </w:t>
      </w:r>
      <w:r w:rsidR="000E0BC3" w:rsidRPr="00F604CF">
        <w:rPr>
          <w:rFonts w:cs="Arial"/>
        </w:rPr>
        <w:t xml:space="preserve">una opinión </w:t>
      </w:r>
      <w:r w:rsidR="00BB2230" w:rsidRPr="00F604CF">
        <w:rPr>
          <w:rFonts w:cs="Arial"/>
        </w:rPr>
        <w:t xml:space="preserve">proveniente de un </w:t>
      </w:r>
      <w:r w:rsidR="000E0BC3" w:rsidRPr="00F604CF">
        <w:rPr>
          <w:rFonts w:cs="Arial"/>
        </w:rPr>
        <w:t>expert</w:t>
      </w:r>
      <w:r w:rsidR="00BB2230" w:rsidRPr="00F604CF">
        <w:rPr>
          <w:rFonts w:cs="Arial"/>
        </w:rPr>
        <w:t>o</w:t>
      </w:r>
      <w:r w:rsidR="000E0BC3" w:rsidRPr="00F604CF">
        <w:rPr>
          <w:rFonts w:cs="Arial"/>
        </w:rPr>
        <w:t xml:space="preserve"> que se puede exigir respecto de los estados financieros de cualquier proponente, comerciante o no</w:t>
      </w:r>
      <w:r w:rsidR="006816CE" w:rsidRPr="00F604CF">
        <w:rPr>
          <w:rStyle w:val="Refdenotaalpie"/>
          <w:rFonts w:cs="Arial"/>
        </w:rPr>
        <w:footnoteReference w:id="47"/>
      </w:r>
      <w:r w:rsidR="000E0BC3" w:rsidRPr="00F604CF">
        <w:rPr>
          <w:rFonts w:cs="Arial"/>
        </w:rPr>
        <w:t xml:space="preserve">. </w:t>
      </w:r>
    </w:p>
    <w:p w14:paraId="5A3260E0" w14:textId="77777777" w:rsidR="000E0BC3" w:rsidRPr="00F604CF" w:rsidRDefault="000E0BC3" w:rsidP="00F604CF">
      <w:pPr>
        <w:widowControl w:val="0"/>
        <w:autoSpaceDE w:val="0"/>
        <w:autoSpaceDN w:val="0"/>
        <w:adjustRightInd w:val="0"/>
        <w:rPr>
          <w:rFonts w:cs="Arial"/>
        </w:rPr>
      </w:pPr>
    </w:p>
    <w:p w14:paraId="59BB5C85" w14:textId="77777777" w:rsidR="00005C01" w:rsidRPr="00F604CF" w:rsidRDefault="000E0BC3" w:rsidP="00F604CF">
      <w:pPr>
        <w:widowControl w:val="0"/>
        <w:autoSpaceDE w:val="0"/>
        <w:autoSpaceDN w:val="0"/>
        <w:adjustRightInd w:val="0"/>
        <w:rPr>
          <w:rFonts w:cs="Arial"/>
        </w:rPr>
      </w:pPr>
      <w:r w:rsidRPr="00F604CF">
        <w:rPr>
          <w:rFonts w:cs="Arial"/>
        </w:rPr>
        <w:t>Hace varios años la Subsección A reseñó que todas los contratistas del Estado</w:t>
      </w:r>
      <w:r w:rsidR="001E3BD4" w:rsidRPr="00F604CF">
        <w:rPr>
          <w:rFonts w:cs="Arial"/>
        </w:rPr>
        <w:t>,</w:t>
      </w:r>
      <w:r w:rsidRPr="00F604CF">
        <w:rPr>
          <w:rFonts w:cs="Arial"/>
        </w:rPr>
        <w:t xml:space="preserve"> en la medida que </w:t>
      </w:r>
      <w:r w:rsidR="00166ADE" w:rsidRPr="00F604CF">
        <w:rPr>
          <w:rFonts w:cs="Arial"/>
        </w:rPr>
        <w:t xml:space="preserve">estén en el supuesto de </w:t>
      </w:r>
      <w:r w:rsidRPr="00F604CF">
        <w:rPr>
          <w:rFonts w:cs="Arial"/>
        </w:rPr>
        <w:t xml:space="preserve">probar una información contable </w:t>
      </w:r>
      <w:r w:rsidR="00166ADE" w:rsidRPr="00F604CF">
        <w:rPr>
          <w:rFonts w:cs="Arial"/>
        </w:rPr>
        <w:t xml:space="preserve">están obligados a la observancia de </w:t>
      </w:r>
      <w:r w:rsidRPr="00F604CF">
        <w:rPr>
          <w:rFonts w:cs="Arial"/>
        </w:rPr>
        <w:t xml:space="preserve">las normas de contabilidad generalmente aceptadas en Colombia y </w:t>
      </w:r>
      <w:r w:rsidR="00166ADE" w:rsidRPr="00F604CF">
        <w:rPr>
          <w:rFonts w:cs="Arial"/>
        </w:rPr>
        <w:t xml:space="preserve">recordó </w:t>
      </w:r>
      <w:r w:rsidRPr="00F604CF">
        <w:rPr>
          <w:rFonts w:cs="Arial"/>
        </w:rPr>
        <w:t>que esas normas son de obligatorio cumplimiento</w:t>
      </w:r>
      <w:r w:rsidR="00A06B10" w:rsidRPr="00F604CF">
        <w:rPr>
          <w:rStyle w:val="Refdenotaalpie"/>
          <w:rFonts w:cs="Arial"/>
        </w:rPr>
        <w:footnoteReference w:id="48"/>
      </w:r>
      <w:r w:rsidR="00166ADE" w:rsidRPr="00F604CF">
        <w:rPr>
          <w:rFonts w:cs="Arial"/>
        </w:rPr>
        <w:t>. De esta manera, las pruebas que acreditan la información contenida en los estados financieros, dentro de un procedimiento de contratación pública o en el juzgamiento de</w:t>
      </w:r>
      <w:r w:rsidR="00D61C13" w:rsidRPr="00F604CF">
        <w:rPr>
          <w:rFonts w:cs="Arial"/>
        </w:rPr>
        <w:t xml:space="preserve"> los</w:t>
      </w:r>
      <w:r w:rsidR="00166ADE" w:rsidRPr="00F604CF">
        <w:rPr>
          <w:rFonts w:cs="Arial"/>
        </w:rPr>
        <w:t xml:space="preserve"> mismos, </w:t>
      </w:r>
      <w:r w:rsidRPr="00F604CF">
        <w:rPr>
          <w:rFonts w:cs="Arial"/>
        </w:rPr>
        <w:t xml:space="preserve">deben ser evaluadas por la Administración </w:t>
      </w:r>
      <w:r w:rsidR="00166ADE" w:rsidRPr="00F604CF">
        <w:rPr>
          <w:rFonts w:cs="Arial"/>
        </w:rPr>
        <w:t>P</w:t>
      </w:r>
      <w:r w:rsidRPr="00F604CF">
        <w:rPr>
          <w:rFonts w:cs="Arial"/>
        </w:rPr>
        <w:t xml:space="preserve">ública </w:t>
      </w:r>
      <w:r w:rsidR="00166ADE" w:rsidRPr="00F604CF">
        <w:rPr>
          <w:rFonts w:cs="Arial"/>
        </w:rPr>
        <w:t>o por el juez competente</w:t>
      </w:r>
      <w:r w:rsidR="001E3BD4" w:rsidRPr="00F604CF">
        <w:rPr>
          <w:rFonts w:cs="Arial"/>
        </w:rPr>
        <w:t>,</w:t>
      </w:r>
      <w:r w:rsidR="00166ADE" w:rsidRPr="00F604CF">
        <w:rPr>
          <w:rFonts w:cs="Arial"/>
        </w:rPr>
        <w:t xml:space="preserve"> en su </w:t>
      </w:r>
      <w:r w:rsidR="00BB2230" w:rsidRPr="00F604CF">
        <w:rPr>
          <w:rFonts w:cs="Arial"/>
        </w:rPr>
        <w:t>c</w:t>
      </w:r>
      <w:r w:rsidR="00166ADE" w:rsidRPr="00F604CF">
        <w:rPr>
          <w:rFonts w:cs="Arial"/>
        </w:rPr>
        <w:t xml:space="preserve">aso, siguiendo las exigencias de las normas de contabilidad. </w:t>
      </w:r>
    </w:p>
    <w:p w14:paraId="03D950C8" w14:textId="77777777" w:rsidR="00005C01" w:rsidRPr="00F604CF" w:rsidRDefault="00005C01" w:rsidP="00F604CF">
      <w:pPr>
        <w:widowControl w:val="0"/>
        <w:autoSpaceDE w:val="0"/>
        <w:autoSpaceDN w:val="0"/>
        <w:adjustRightInd w:val="0"/>
        <w:rPr>
          <w:rFonts w:cs="Arial"/>
        </w:rPr>
      </w:pPr>
    </w:p>
    <w:p w14:paraId="42FCC2CD" w14:textId="77777777" w:rsidR="00166ADE" w:rsidRPr="00F604CF" w:rsidRDefault="00166ADE" w:rsidP="00F604CF">
      <w:pPr>
        <w:widowControl w:val="0"/>
        <w:autoSpaceDE w:val="0"/>
        <w:autoSpaceDN w:val="0"/>
        <w:adjustRightInd w:val="0"/>
        <w:rPr>
          <w:rFonts w:cs="Arial"/>
        </w:rPr>
      </w:pPr>
      <w:r w:rsidRPr="00F604CF">
        <w:rPr>
          <w:rFonts w:cs="Arial"/>
        </w:rPr>
        <w:t xml:space="preserve">Por ello, no hay lugar a </w:t>
      </w:r>
      <w:r w:rsidR="00005C01" w:rsidRPr="00F604CF">
        <w:rPr>
          <w:rFonts w:cs="Arial"/>
        </w:rPr>
        <w:t xml:space="preserve">estimar </w:t>
      </w:r>
      <w:r w:rsidRPr="00F604CF">
        <w:rPr>
          <w:rFonts w:cs="Arial"/>
        </w:rPr>
        <w:t xml:space="preserve">que </w:t>
      </w:r>
      <w:r w:rsidR="00005C01" w:rsidRPr="00F604CF">
        <w:rPr>
          <w:rFonts w:cs="Arial"/>
        </w:rPr>
        <w:t xml:space="preserve">se prueba </w:t>
      </w:r>
      <w:r w:rsidRPr="00F604CF">
        <w:rPr>
          <w:rFonts w:cs="Arial"/>
        </w:rPr>
        <w:t xml:space="preserve">lo mismo </w:t>
      </w:r>
      <w:r w:rsidR="00005C01" w:rsidRPr="00F604CF">
        <w:rPr>
          <w:rFonts w:cs="Arial"/>
        </w:rPr>
        <w:t xml:space="preserve">con </w:t>
      </w:r>
      <w:r w:rsidRPr="00F604CF">
        <w:rPr>
          <w:rFonts w:cs="Arial"/>
        </w:rPr>
        <w:t xml:space="preserve">un estado financiero que ha sido objeto de dictamen que otro que no goza de la credibilidad y aseguramiento de la información </w:t>
      </w:r>
      <w:r w:rsidR="00BB2230" w:rsidRPr="00F604CF">
        <w:rPr>
          <w:rFonts w:cs="Arial"/>
        </w:rPr>
        <w:t>dictaminada</w:t>
      </w:r>
      <w:r w:rsidR="001E3BD4" w:rsidRPr="00F604CF">
        <w:rPr>
          <w:rFonts w:cs="Arial"/>
        </w:rPr>
        <w:t>, en aquellos casos en que el pliego de condiciones ha exigido en forma explícita el requisito del dictamen.</w:t>
      </w:r>
      <w:r w:rsidR="00BB2230" w:rsidRPr="00F604CF">
        <w:rPr>
          <w:rFonts w:cs="Arial"/>
        </w:rPr>
        <w:t xml:space="preserve"> </w:t>
      </w:r>
    </w:p>
    <w:p w14:paraId="75CA0A83" w14:textId="77777777" w:rsidR="003D4D1F" w:rsidRPr="00F604CF" w:rsidRDefault="003D4D1F" w:rsidP="00F604CF">
      <w:pPr>
        <w:widowControl w:val="0"/>
        <w:autoSpaceDE w:val="0"/>
        <w:autoSpaceDN w:val="0"/>
        <w:adjustRightInd w:val="0"/>
        <w:rPr>
          <w:rFonts w:cs="Arial"/>
        </w:rPr>
      </w:pPr>
    </w:p>
    <w:p w14:paraId="63022DD6" w14:textId="77777777" w:rsidR="003D4D1F" w:rsidRPr="00F604CF" w:rsidRDefault="00521EF4" w:rsidP="00F604CF">
      <w:pPr>
        <w:widowControl w:val="0"/>
        <w:autoSpaceDE w:val="0"/>
        <w:autoSpaceDN w:val="0"/>
        <w:adjustRightInd w:val="0"/>
        <w:rPr>
          <w:rFonts w:cs="Arial"/>
        </w:rPr>
      </w:pPr>
      <w:r w:rsidRPr="00F604CF">
        <w:rPr>
          <w:rFonts w:cs="Arial"/>
        </w:rPr>
        <w:t xml:space="preserve">De manera concreta resulta pertinente observar que </w:t>
      </w:r>
      <w:r w:rsidR="003D4D1F" w:rsidRPr="00F604CF">
        <w:rPr>
          <w:rFonts w:cs="Arial"/>
        </w:rPr>
        <w:t xml:space="preserve">está permitido establecer el saneamiento de la prueba documental </w:t>
      </w:r>
      <w:r w:rsidRPr="00F604CF">
        <w:rPr>
          <w:rFonts w:cs="Arial"/>
        </w:rPr>
        <w:t xml:space="preserve">del dictamen, </w:t>
      </w:r>
      <w:r w:rsidR="003D4D1F" w:rsidRPr="00F604CF">
        <w:rPr>
          <w:rFonts w:cs="Arial"/>
        </w:rPr>
        <w:t xml:space="preserve">pero ello no significa que, en el curso del procedimiento de contratación, se deba aceptar la modificación de los </w:t>
      </w:r>
      <w:r w:rsidRPr="00F604CF">
        <w:rPr>
          <w:rFonts w:cs="Arial"/>
        </w:rPr>
        <w:t xml:space="preserve">mismos, cuando se alteran los </w:t>
      </w:r>
      <w:r w:rsidR="003D4D1F" w:rsidRPr="00F604CF">
        <w:rPr>
          <w:rFonts w:cs="Arial"/>
        </w:rPr>
        <w:t>valores indicativos de la capacidad financiera</w:t>
      </w:r>
      <w:r w:rsidRPr="00F604CF">
        <w:rPr>
          <w:rFonts w:cs="Arial"/>
        </w:rPr>
        <w:t>.</w:t>
      </w:r>
    </w:p>
    <w:p w14:paraId="65A55A75" w14:textId="77777777" w:rsidR="00225056" w:rsidRPr="00F604CF" w:rsidRDefault="00225056" w:rsidP="00F604CF">
      <w:pPr>
        <w:rPr>
          <w:rFonts w:cs="Arial"/>
          <w:b/>
        </w:rPr>
      </w:pPr>
    </w:p>
    <w:p w14:paraId="138C340A" w14:textId="77777777" w:rsidR="00AA419B" w:rsidRPr="00F604CF" w:rsidRDefault="00225056" w:rsidP="00F604CF">
      <w:pPr>
        <w:rPr>
          <w:rFonts w:cs="Arial"/>
          <w:b/>
        </w:rPr>
      </w:pPr>
      <w:r w:rsidRPr="00F604CF">
        <w:rPr>
          <w:rFonts w:cs="Arial"/>
          <w:b/>
        </w:rPr>
        <w:t>6</w:t>
      </w:r>
      <w:r w:rsidR="00BD4A77" w:rsidRPr="00F604CF">
        <w:rPr>
          <w:rFonts w:cs="Arial"/>
          <w:b/>
        </w:rPr>
        <w:t>. El caso concreto</w:t>
      </w:r>
    </w:p>
    <w:p w14:paraId="04B52EF1" w14:textId="77777777" w:rsidR="00EC24DA" w:rsidRPr="00F604CF" w:rsidRDefault="00EC24DA" w:rsidP="00F604CF">
      <w:pPr>
        <w:rPr>
          <w:rFonts w:cs="Arial"/>
          <w:b/>
        </w:rPr>
      </w:pPr>
    </w:p>
    <w:p w14:paraId="35D675B8" w14:textId="77777777" w:rsidR="00EC24DA" w:rsidRPr="00F604CF" w:rsidRDefault="00EC24DA" w:rsidP="00F604CF">
      <w:pPr>
        <w:rPr>
          <w:rFonts w:cs="Arial"/>
          <w:b/>
        </w:rPr>
      </w:pPr>
      <w:r w:rsidRPr="00F604CF">
        <w:rPr>
          <w:rFonts w:cs="Arial"/>
          <w:b/>
        </w:rPr>
        <w:t xml:space="preserve">6.1. Resumen del </w:t>
      </w:r>
      <w:r w:rsidR="00F94892" w:rsidRPr="00F604CF">
        <w:rPr>
          <w:rFonts w:cs="Arial"/>
          <w:b/>
        </w:rPr>
        <w:t>pliego de condiciones</w:t>
      </w:r>
    </w:p>
    <w:p w14:paraId="7F6EE716" w14:textId="77777777" w:rsidR="00EC24DA" w:rsidRPr="00F604CF" w:rsidRDefault="00EC24DA" w:rsidP="00F604CF">
      <w:pPr>
        <w:rPr>
          <w:rFonts w:cs="Arial"/>
        </w:rPr>
      </w:pPr>
    </w:p>
    <w:p w14:paraId="5CA42FA0" w14:textId="77777777" w:rsidR="00EC24DA" w:rsidRPr="00F604CF" w:rsidRDefault="00EC24DA" w:rsidP="00F604CF">
      <w:pPr>
        <w:rPr>
          <w:rFonts w:cs="Arial"/>
        </w:rPr>
      </w:pPr>
      <w:r w:rsidRPr="00F604CF">
        <w:rPr>
          <w:rFonts w:cs="Arial"/>
        </w:rPr>
        <w:t>A continuación se destacan algunos aspectos relevantes del pliego de condiciones de la licitación pública PTYO SED 003 2005</w:t>
      </w:r>
      <w:r w:rsidRPr="00F604CF">
        <w:rPr>
          <w:rStyle w:val="Refdenotaalpie"/>
          <w:rFonts w:cs="Arial"/>
        </w:rPr>
        <w:footnoteReference w:id="49"/>
      </w:r>
      <w:r w:rsidRPr="00F604CF">
        <w:rPr>
          <w:rFonts w:cs="Arial"/>
        </w:rPr>
        <w:t>:</w:t>
      </w:r>
    </w:p>
    <w:p w14:paraId="21C3F80D" w14:textId="77777777" w:rsidR="00EC24DA" w:rsidRPr="00F604CF" w:rsidRDefault="00EC24DA" w:rsidP="00F604CF">
      <w:pPr>
        <w:rPr>
          <w:rFonts w:cs="Arial"/>
        </w:rPr>
      </w:pPr>
    </w:p>
    <w:p w14:paraId="760FC5EA" w14:textId="77777777" w:rsidR="00EC24DA" w:rsidRPr="00F604CF" w:rsidRDefault="00EC24DA" w:rsidP="00F604CF">
      <w:pPr>
        <w:rPr>
          <w:rFonts w:cs="Arial"/>
        </w:rPr>
      </w:pPr>
      <w:r w:rsidRPr="00F604CF">
        <w:rPr>
          <w:rFonts w:cs="Arial"/>
        </w:rPr>
        <w:t>En cuanto al objeto, dado que el demandante identificó el contrato como un suministro, se debe corregir, advirtiendo que la naturaleza del mismo era la de una compraventa, de acuerdo con lo que se indicó</w:t>
      </w:r>
      <w:r w:rsidR="0039170F" w:rsidRPr="00F604CF">
        <w:rPr>
          <w:rFonts w:cs="Arial"/>
        </w:rPr>
        <w:t>,</w:t>
      </w:r>
      <w:r w:rsidRPr="00F604CF">
        <w:rPr>
          <w:rFonts w:cs="Arial"/>
        </w:rPr>
        <w:t xml:space="preserve"> en forma explícita, en el punto 1.5</w:t>
      </w:r>
      <w:r w:rsidRPr="00F604CF">
        <w:rPr>
          <w:rStyle w:val="Refdenotaalpie"/>
          <w:rFonts w:cs="Arial"/>
        </w:rPr>
        <w:footnoteReference w:id="50"/>
      </w:r>
      <w:r w:rsidRPr="00F604CF">
        <w:rPr>
          <w:rFonts w:cs="Arial"/>
        </w:rPr>
        <w:t xml:space="preserve"> del pliego de condiciones y con lo que se establece del título y </w:t>
      </w:r>
      <w:r w:rsidR="0039170F" w:rsidRPr="00F604CF">
        <w:rPr>
          <w:rFonts w:cs="Arial"/>
        </w:rPr>
        <w:t xml:space="preserve">del </w:t>
      </w:r>
      <w:r w:rsidRPr="00F604CF">
        <w:rPr>
          <w:rFonts w:cs="Arial"/>
        </w:rPr>
        <w:t xml:space="preserve">contenido del </w:t>
      </w:r>
      <w:r w:rsidR="0039170F" w:rsidRPr="00F604CF">
        <w:rPr>
          <w:rFonts w:cs="Arial"/>
        </w:rPr>
        <w:t>C</w:t>
      </w:r>
      <w:r w:rsidRPr="00F604CF">
        <w:rPr>
          <w:rFonts w:cs="Arial"/>
        </w:rPr>
        <w:t xml:space="preserve">ontrato 153 de 31 de octubre de 2005, </w:t>
      </w:r>
      <w:r w:rsidRPr="00F604CF">
        <w:rPr>
          <w:rFonts w:cs="Arial"/>
          <w:i/>
        </w:rPr>
        <w:t>“con formalidades plenas de compraventa”</w:t>
      </w:r>
      <w:r w:rsidRPr="00F604CF">
        <w:rPr>
          <w:rFonts w:cs="Arial"/>
        </w:rPr>
        <w:t xml:space="preserve"> que se allegó al plenario</w:t>
      </w:r>
      <w:r w:rsidRPr="00F604CF">
        <w:rPr>
          <w:rStyle w:val="Refdenotaalpie"/>
          <w:rFonts w:cs="Arial"/>
        </w:rPr>
        <w:footnoteReference w:id="51"/>
      </w:r>
      <w:r w:rsidRPr="00F604CF">
        <w:rPr>
          <w:rFonts w:cs="Arial"/>
        </w:rPr>
        <w:t>.</w:t>
      </w:r>
    </w:p>
    <w:p w14:paraId="56288EE1" w14:textId="77777777" w:rsidR="00EC24DA" w:rsidRPr="00F604CF" w:rsidRDefault="00EC24DA" w:rsidP="00F604CF">
      <w:pPr>
        <w:rPr>
          <w:rFonts w:cs="Arial"/>
        </w:rPr>
      </w:pPr>
    </w:p>
    <w:p w14:paraId="6CFE24BA" w14:textId="77777777" w:rsidR="00EC24DA" w:rsidRPr="00F604CF" w:rsidRDefault="00EC24DA" w:rsidP="00F604CF">
      <w:pPr>
        <w:rPr>
          <w:rFonts w:cs="Arial"/>
        </w:rPr>
      </w:pPr>
      <w:r w:rsidRPr="00F604CF">
        <w:rPr>
          <w:rFonts w:cs="Arial"/>
        </w:rPr>
        <w:t xml:space="preserve">Los factores de verificación y evaluación de las propuestas se determinaron en dos numerales, así: 2.1.1. </w:t>
      </w:r>
      <w:r w:rsidRPr="00F604CF">
        <w:rPr>
          <w:rFonts w:cs="Arial"/>
          <w:i/>
        </w:rPr>
        <w:t>“factores habilitadores</w:t>
      </w:r>
      <w:r w:rsidRPr="00F604CF">
        <w:rPr>
          <w:rFonts w:cs="Arial"/>
        </w:rPr>
        <w:t xml:space="preserve">”, conformados por los criterios de capacidad jurídica, capacidad financiera y experiencia, los cuales se calificaban con </w:t>
      </w:r>
      <w:r w:rsidRPr="00F604CF">
        <w:rPr>
          <w:rFonts w:cs="Arial"/>
          <w:i/>
        </w:rPr>
        <w:t>“cumple o no cumple”</w:t>
      </w:r>
      <w:r w:rsidRPr="00F604CF">
        <w:rPr>
          <w:rFonts w:cs="Arial"/>
        </w:rPr>
        <w:t xml:space="preserve"> y 2.1.2 correspondiente a los </w:t>
      </w:r>
      <w:r w:rsidRPr="00F604CF">
        <w:rPr>
          <w:rFonts w:cs="Arial"/>
          <w:i/>
        </w:rPr>
        <w:t>“factores de ponderación”</w:t>
      </w:r>
      <w:r w:rsidRPr="00F604CF">
        <w:rPr>
          <w:rFonts w:cs="Arial"/>
        </w:rPr>
        <w:t xml:space="preserve">, </w:t>
      </w:r>
      <w:r w:rsidR="0039170F" w:rsidRPr="00F604CF">
        <w:rPr>
          <w:rFonts w:cs="Arial"/>
        </w:rPr>
        <w:t xml:space="preserve">sujetos a la asignación de puntaje, </w:t>
      </w:r>
      <w:r w:rsidRPr="00F604CF">
        <w:rPr>
          <w:rFonts w:cs="Arial"/>
        </w:rPr>
        <w:t xml:space="preserve">sobre la base total de 1200 puntos, discriminados en aspectos económicos -conformados por el precio con 380 puntos y la capacidad financiera con 300 puntos-; </w:t>
      </w:r>
      <w:r w:rsidR="00C95C68" w:rsidRPr="00F604CF">
        <w:rPr>
          <w:rFonts w:cs="Arial"/>
        </w:rPr>
        <w:t>además de los aspectos relativos a</w:t>
      </w:r>
      <w:r w:rsidRPr="00F604CF">
        <w:rPr>
          <w:rFonts w:cs="Arial"/>
        </w:rPr>
        <w:t xml:space="preserve">l factor de experiencia específica que otorgaba 200 puntos, el cumplimiento de contratos anteriores con 100 puntos, los aspectos técnicos </w:t>
      </w:r>
      <w:r w:rsidR="00C95C68" w:rsidRPr="00F604CF">
        <w:rPr>
          <w:rFonts w:cs="Arial"/>
        </w:rPr>
        <w:t xml:space="preserve">con </w:t>
      </w:r>
      <w:r w:rsidRPr="00F604CF">
        <w:rPr>
          <w:rFonts w:cs="Arial"/>
        </w:rPr>
        <w:t xml:space="preserve">100 puntos y el factor de apoyo a la industria nacional con 120 puntos.  </w:t>
      </w:r>
    </w:p>
    <w:p w14:paraId="6CD3EF59" w14:textId="77777777" w:rsidR="00EC24DA" w:rsidRPr="00F604CF" w:rsidRDefault="00EC24DA" w:rsidP="00F604CF">
      <w:pPr>
        <w:rPr>
          <w:rFonts w:cs="Arial"/>
        </w:rPr>
      </w:pPr>
    </w:p>
    <w:p w14:paraId="19922C3C" w14:textId="77777777" w:rsidR="00EC24DA" w:rsidRPr="00F604CF" w:rsidRDefault="00EC24DA" w:rsidP="00F604CF">
      <w:pPr>
        <w:rPr>
          <w:rFonts w:cs="Arial"/>
        </w:rPr>
      </w:pPr>
      <w:r w:rsidRPr="00F604CF">
        <w:rPr>
          <w:rFonts w:cs="Arial"/>
        </w:rPr>
        <w:t>Nótese que la capacidad financiera tenía la doble condición de factor habilitante y factor de ponderación, lo cual era viable en la medida que la Ley 80 de 1993 no limitó los aspectos del proponente que podían otorgar puntaje.</w:t>
      </w:r>
    </w:p>
    <w:p w14:paraId="17B7B9DD" w14:textId="77777777" w:rsidR="00C95C68" w:rsidRPr="00F604CF" w:rsidRDefault="00C95C68" w:rsidP="00F604CF">
      <w:pPr>
        <w:rPr>
          <w:rFonts w:cs="Arial"/>
        </w:rPr>
      </w:pPr>
    </w:p>
    <w:p w14:paraId="7E62125F" w14:textId="77777777" w:rsidR="00EC24DA" w:rsidRPr="00F604CF" w:rsidRDefault="00EC24DA" w:rsidP="00F604CF">
      <w:pPr>
        <w:rPr>
          <w:rFonts w:cs="Arial"/>
        </w:rPr>
      </w:pPr>
      <w:r w:rsidRPr="00F604CF">
        <w:rPr>
          <w:rFonts w:cs="Arial"/>
        </w:rPr>
        <w:t xml:space="preserve">En los documentos y criterios de verificación financiera y evaluación económica </w:t>
      </w:r>
      <w:r w:rsidR="00C95C68" w:rsidRPr="00F604CF">
        <w:rPr>
          <w:rFonts w:cs="Arial"/>
        </w:rPr>
        <w:t xml:space="preserve">el pliego de condiciones </w:t>
      </w:r>
      <w:r w:rsidRPr="00F604CF">
        <w:rPr>
          <w:rFonts w:cs="Arial"/>
        </w:rPr>
        <w:t>fij</w:t>
      </w:r>
      <w:r w:rsidR="00C95C68" w:rsidRPr="00F604CF">
        <w:rPr>
          <w:rFonts w:cs="Arial"/>
        </w:rPr>
        <w:t xml:space="preserve">ó </w:t>
      </w:r>
      <w:r w:rsidRPr="00F604CF">
        <w:rPr>
          <w:rFonts w:cs="Arial"/>
        </w:rPr>
        <w:t>los siguientes</w:t>
      </w:r>
      <w:r w:rsidR="00B3369E" w:rsidRPr="00F604CF">
        <w:rPr>
          <w:rFonts w:cs="Arial"/>
        </w:rPr>
        <w:t xml:space="preserve"> (se transcribe de forma literal incluso con posibles errores)</w:t>
      </w:r>
      <w:r w:rsidRPr="00F604CF">
        <w:rPr>
          <w:rFonts w:cs="Arial"/>
        </w:rPr>
        <w:t>:</w:t>
      </w:r>
    </w:p>
    <w:p w14:paraId="1367C478" w14:textId="77777777" w:rsidR="00EC24DA" w:rsidRPr="00F604CF" w:rsidRDefault="00EC24DA" w:rsidP="00F604CF">
      <w:pPr>
        <w:spacing w:line="276" w:lineRule="auto"/>
        <w:rPr>
          <w:rFonts w:cs="Arial"/>
        </w:rPr>
      </w:pPr>
    </w:p>
    <w:p w14:paraId="0EE8F01C" w14:textId="77777777" w:rsidR="00EC24DA" w:rsidRPr="00F604CF" w:rsidRDefault="00EC24DA" w:rsidP="00F604CF">
      <w:pPr>
        <w:spacing w:line="276" w:lineRule="auto"/>
        <w:rPr>
          <w:rFonts w:cs="Arial"/>
          <w:i/>
        </w:rPr>
      </w:pPr>
      <w:r w:rsidRPr="00F604CF">
        <w:rPr>
          <w:rFonts w:cs="Arial"/>
          <w:i/>
        </w:rPr>
        <w:t>“2.3.3.1.1. (…) certificado de inscripción, clasificación y calificación en el Registro Único de Proponentes (…) este certificado debe haber sido expedido dentro de los dos (2) meses anteriores a la fecha de la presentación de la entrega de propuestas.</w:t>
      </w:r>
    </w:p>
    <w:p w14:paraId="195024B6" w14:textId="77777777" w:rsidR="00EC24DA" w:rsidRPr="00F604CF" w:rsidRDefault="00EC24DA" w:rsidP="00F604CF">
      <w:pPr>
        <w:spacing w:line="276" w:lineRule="auto"/>
        <w:rPr>
          <w:rFonts w:cs="Arial"/>
          <w:i/>
        </w:rPr>
      </w:pPr>
    </w:p>
    <w:p w14:paraId="329D18FC" w14:textId="77777777" w:rsidR="00EC24DA" w:rsidRPr="00F604CF" w:rsidRDefault="00EC24DA" w:rsidP="00F604CF">
      <w:pPr>
        <w:spacing w:line="276" w:lineRule="auto"/>
        <w:rPr>
          <w:rFonts w:cs="Arial"/>
          <w:i/>
        </w:rPr>
      </w:pPr>
      <w:r w:rsidRPr="00F604CF">
        <w:rPr>
          <w:rFonts w:cs="Arial"/>
          <w:i/>
        </w:rPr>
        <w:t>“El Proponente como persona natural o jurídica, y todos los miembros del consorcio o unión temporal, que vayan a proveer los bienes del presente proceso de selección, (…) deberán encontrarse registrados en el Registro Único de Proponentes de la Cámara de Comercio, de acuerdo con el artículo 22.4 de la Ley 80 de 1993 (…).</w:t>
      </w:r>
    </w:p>
    <w:p w14:paraId="4FD43E3B" w14:textId="77777777" w:rsidR="00EC24DA" w:rsidRPr="00F604CF" w:rsidRDefault="00EC24DA" w:rsidP="00F604CF">
      <w:pPr>
        <w:spacing w:line="276" w:lineRule="auto"/>
        <w:rPr>
          <w:rFonts w:cs="Arial"/>
          <w:i/>
        </w:rPr>
      </w:pPr>
    </w:p>
    <w:p w14:paraId="1C64509A" w14:textId="77777777" w:rsidR="00EC24DA" w:rsidRPr="00F604CF" w:rsidRDefault="00EC24DA" w:rsidP="00F604CF">
      <w:pPr>
        <w:spacing w:line="276" w:lineRule="auto"/>
        <w:rPr>
          <w:rFonts w:cs="Arial"/>
          <w:i/>
        </w:rPr>
      </w:pPr>
      <w:r w:rsidRPr="00F604CF">
        <w:rPr>
          <w:rFonts w:cs="Arial"/>
          <w:i/>
        </w:rPr>
        <w:t>“2.3.3.1.2. Estados Financieros</w:t>
      </w:r>
    </w:p>
    <w:p w14:paraId="4F74DE64" w14:textId="77777777" w:rsidR="00EC24DA" w:rsidRPr="00F604CF" w:rsidRDefault="00EC24DA" w:rsidP="00F604CF">
      <w:pPr>
        <w:spacing w:line="276" w:lineRule="auto"/>
        <w:rPr>
          <w:rFonts w:cs="Arial"/>
          <w:i/>
        </w:rPr>
      </w:pPr>
    </w:p>
    <w:p w14:paraId="51846FE1" w14:textId="77777777" w:rsidR="00EC24DA" w:rsidRPr="00F604CF" w:rsidRDefault="00EC24DA" w:rsidP="00F604CF">
      <w:pPr>
        <w:spacing w:line="276" w:lineRule="auto"/>
        <w:rPr>
          <w:rFonts w:cs="Arial"/>
          <w:i/>
        </w:rPr>
      </w:pPr>
      <w:r w:rsidRPr="00F604CF">
        <w:rPr>
          <w:rFonts w:cs="Arial"/>
          <w:i/>
        </w:rPr>
        <w:t>“Con el fin de verificar la capacidad financiera y patrimonial, los oferentes deberán presenta</w:t>
      </w:r>
      <w:r w:rsidR="00C95C68" w:rsidRPr="00F604CF">
        <w:rPr>
          <w:rFonts w:cs="Arial"/>
          <w:i/>
        </w:rPr>
        <w:t>r</w:t>
      </w:r>
      <w:r w:rsidRPr="00F604CF">
        <w:rPr>
          <w:rFonts w:cs="Arial"/>
          <w:i/>
        </w:rPr>
        <w:t xml:space="preserve"> los Estados Financieros, teniendo en cuenta los siguientes aspectos:</w:t>
      </w:r>
    </w:p>
    <w:p w14:paraId="60C4E480" w14:textId="77777777" w:rsidR="00EC24DA" w:rsidRPr="00F604CF" w:rsidRDefault="00EC24DA" w:rsidP="00F604CF">
      <w:pPr>
        <w:spacing w:line="276" w:lineRule="auto"/>
        <w:rPr>
          <w:rFonts w:cs="Arial"/>
          <w:i/>
        </w:rPr>
      </w:pPr>
    </w:p>
    <w:p w14:paraId="7C7EF390" w14:textId="77777777" w:rsidR="00EC24DA" w:rsidRPr="00F604CF" w:rsidRDefault="00EC24DA" w:rsidP="00F604CF">
      <w:pPr>
        <w:spacing w:line="276" w:lineRule="auto"/>
        <w:rPr>
          <w:rFonts w:cs="Arial"/>
          <w:i/>
        </w:rPr>
      </w:pPr>
      <w:r w:rsidRPr="00F604CF">
        <w:rPr>
          <w:rFonts w:cs="Arial"/>
          <w:i/>
        </w:rPr>
        <w:t>“2.3.3.1.2.1. Proponentes Nacionales.</w:t>
      </w:r>
    </w:p>
    <w:p w14:paraId="2D52DF30" w14:textId="77777777" w:rsidR="00EC24DA" w:rsidRPr="00F604CF" w:rsidRDefault="00EC24DA" w:rsidP="00F604CF">
      <w:pPr>
        <w:spacing w:line="276" w:lineRule="auto"/>
        <w:rPr>
          <w:rFonts w:cs="Arial"/>
          <w:i/>
        </w:rPr>
      </w:pPr>
    </w:p>
    <w:p w14:paraId="5F490249" w14:textId="77777777" w:rsidR="00EC24DA" w:rsidRPr="00F604CF" w:rsidRDefault="00EC24DA" w:rsidP="00F604CF">
      <w:pPr>
        <w:spacing w:line="276" w:lineRule="auto"/>
        <w:rPr>
          <w:rFonts w:cs="Arial"/>
          <w:i/>
        </w:rPr>
      </w:pPr>
      <w:r w:rsidRPr="00F604CF">
        <w:rPr>
          <w:rFonts w:cs="Arial"/>
          <w:i/>
        </w:rPr>
        <w:t>“Deberán presentar los siguientes documentos:</w:t>
      </w:r>
    </w:p>
    <w:p w14:paraId="0EE9A029" w14:textId="77777777" w:rsidR="00EC24DA" w:rsidRPr="00F604CF" w:rsidRDefault="00EC24DA" w:rsidP="00F604CF">
      <w:pPr>
        <w:spacing w:line="276" w:lineRule="auto"/>
        <w:rPr>
          <w:rFonts w:cs="Arial"/>
          <w:i/>
        </w:rPr>
      </w:pPr>
    </w:p>
    <w:p w14:paraId="33B1FF1D" w14:textId="77777777" w:rsidR="00EC24DA" w:rsidRPr="00F604CF" w:rsidRDefault="00EC24DA" w:rsidP="00F604CF">
      <w:pPr>
        <w:spacing w:line="276" w:lineRule="auto"/>
        <w:rPr>
          <w:rFonts w:cs="Arial"/>
          <w:i/>
        </w:rPr>
      </w:pPr>
      <w:r w:rsidRPr="00F604CF">
        <w:rPr>
          <w:rFonts w:cs="Arial"/>
          <w:i/>
        </w:rPr>
        <w:t>“(…).</w:t>
      </w:r>
    </w:p>
    <w:p w14:paraId="4E94DA8B" w14:textId="77777777" w:rsidR="00EC24DA" w:rsidRPr="00F604CF" w:rsidRDefault="00EC24DA" w:rsidP="00F604CF">
      <w:pPr>
        <w:spacing w:line="276" w:lineRule="auto"/>
        <w:rPr>
          <w:rFonts w:cs="Arial"/>
          <w:i/>
        </w:rPr>
      </w:pPr>
    </w:p>
    <w:p w14:paraId="3F90ECA0" w14:textId="77777777" w:rsidR="00EC24DA" w:rsidRPr="00F604CF" w:rsidRDefault="00EC24DA" w:rsidP="00F604CF">
      <w:pPr>
        <w:spacing w:line="276" w:lineRule="auto"/>
        <w:rPr>
          <w:rFonts w:cs="Arial"/>
          <w:i/>
        </w:rPr>
      </w:pPr>
      <w:r w:rsidRPr="00F604CF">
        <w:rPr>
          <w:rFonts w:cs="Arial"/>
          <w:i/>
        </w:rPr>
        <w:t>“b) Balance General y Estado de Resultados con corte a 31 de diciembre de 2004, debidamente certificados y dictaminados.</w:t>
      </w:r>
    </w:p>
    <w:p w14:paraId="35D27FB5" w14:textId="77777777" w:rsidR="00EC24DA" w:rsidRPr="00F604CF" w:rsidRDefault="00EC24DA" w:rsidP="00F604CF">
      <w:pPr>
        <w:spacing w:line="276" w:lineRule="auto"/>
        <w:rPr>
          <w:rFonts w:cs="Arial"/>
          <w:i/>
        </w:rPr>
      </w:pPr>
    </w:p>
    <w:p w14:paraId="677A0477" w14:textId="77777777" w:rsidR="00EC24DA" w:rsidRPr="00F604CF" w:rsidRDefault="00EC24DA" w:rsidP="00F604CF">
      <w:pPr>
        <w:spacing w:line="276" w:lineRule="auto"/>
        <w:rPr>
          <w:rFonts w:cs="Arial"/>
          <w:i/>
        </w:rPr>
      </w:pPr>
      <w:r w:rsidRPr="00F604CF">
        <w:rPr>
          <w:rFonts w:cs="Arial"/>
          <w:i/>
        </w:rPr>
        <w:t>“Los balances deben venir discriminados de la siguiente manera:</w:t>
      </w:r>
    </w:p>
    <w:p w14:paraId="4F0A2E88" w14:textId="77777777" w:rsidR="00EC24DA" w:rsidRPr="00F604CF" w:rsidRDefault="00EC24DA" w:rsidP="00F604CF">
      <w:pPr>
        <w:spacing w:line="276" w:lineRule="auto"/>
        <w:rPr>
          <w:rFonts w:cs="Arial"/>
          <w:i/>
        </w:rPr>
      </w:pPr>
    </w:p>
    <w:p w14:paraId="54A8076C" w14:textId="77777777" w:rsidR="00EC24DA" w:rsidRPr="00F604CF" w:rsidRDefault="00EC24DA" w:rsidP="00F604CF">
      <w:pPr>
        <w:spacing w:line="276" w:lineRule="auto"/>
        <w:rPr>
          <w:rFonts w:cs="Arial"/>
          <w:i/>
        </w:rPr>
      </w:pPr>
      <w:r w:rsidRPr="00F604CF">
        <w:rPr>
          <w:rFonts w:cs="Arial"/>
          <w:i/>
        </w:rPr>
        <w:t>“Activos: corriente, no corriente y total</w:t>
      </w:r>
    </w:p>
    <w:p w14:paraId="4D31A947" w14:textId="77777777" w:rsidR="00EC24DA" w:rsidRPr="00F604CF" w:rsidRDefault="00EC24DA" w:rsidP="00F604CF">
      <w:pPr>
        <w:spacing w:line="276" w:lineRule="auto"/>
        <w:rPr>
          <w:rFonts w:cs="Arial"/>
          <w:i/>
        </w:rPr>
      </w:pPr>
    </w:p>
    <w:p w14:paraId="0537E9FB" w14:textId="77777777" w:rsidR="00EC24DA" w:rsidRPr="00F604CF" w:rsidRDefault="00EC24DA" w:rsidP="00F604CF">
      <w:pPr>
        <w:spacing w:line="276" w:lineRule="auto"/>
        <w:rPr>
          <w:rFonts w:cs="Arial"/>
          <w:i/>
        </w:rPr>
      </w:pPr>
      <w:r w:rsidRPr="00F604CF">
        <w:rPr>
          <w:rFonts w:cs="Arial"/>
          <w:i/>
        </w:rPr>
        <w:t>“Pasivos: corriente, no corriente, total y patrimonio.</w:t>
      </w:r>
    </w:p>
    <w:p w14:paraId="4D17E5D9" w14:textId="77777777" w:rsidR="00EC24DA" w:rsidRPr="00F604CF" w:rsidRDefault="00EC24DA" w:rsidP="00F604CF">
      <w:pPr>
        <w:spacing w:line="276" w:lineRule="auto"/>
        <w:rPr>
          <w:rFonts w:cs="Arial"/>
          <w:i/>
        </w:rPr>
      </w:pPr>
    </w:p>
    <w:p w14:paraId="28D9A15B" w14:textId="77777777" w:rsidR="00EC24DA" w:rsidRPr="00F604CF" w:rsidRDefault="00EC24DA" w:rsidP="00F604CF">
      <w:pPr>
        <w:spacing w:line="276" w:lineRule="auto"/>
        <w:rPr>
          <w:rFonts w:cs="Arial"/>
          <w:i/>
        </w:rPr>
      </w:pPr>
      <w:r w:rsidRPr="00F604CF">
        <w:rPr>
          <w:rFonts w:cs="Arial"/>
          <w:i/>
        </w:rPr>
        <w:t>“(…).</w:t>
      </w:r>
    </w:p>
    <w:p w14:paraId="400FECA3" w14:textId="77777777" w:rsidR="00EC24DA" w:rsidRPr="00F604CF" w:rsidRDefault="00EC24DA" w:rsidP="00F604CF">
      <w:pPr>
        <w:spacing w:line="276" w:lineRule="auto"/>
        <w:rPr>
          <w:rFonts w:cs="Arial"/>
          <w:i/>
        </w:rPr>
      </w:pPr>
    </w:p>
    <w:p w14:paraId="3DF5F51E" w14:textId="77777777" w:rsidR="00EC24DA" w:rsidRPr="00F604CF" w:rsidRDefault="00EC24DA" w:rsidP="00F604CF">
      <w:pPr>
        <w:spacing w:line="276" w:lineRule="auto"/>
        <w:rPr>
          <w:rFonts w:cs="Arial"/>
          <w:i/>
        </w:rPr>
      </w:pPr>
      <w:r w:rsidRPr="00F604CF">
        <w:rPr>
          <w:rFonts w:cs="Arial"/>
          <w:i/>
        </w:rPr>
        <w:t>“d) Dictamen de Revisor Fiscal o a falta de este de Contador Público independiente”.</w:t>
      </w:r>
    </w:p>
    <w:p w14:paraId="1FC959D1" w14:textId="77777777" w:rsidR="00EC24DA" w:rsidRPr="00F604CF" w:rsidRDefault="00EC24DA" w:rsidP="00F604CF">
      <w:pPr>
        <w:rPr>
          <w:rFonts w:cs="Arial"/>
          <w:i/>
        </w:rPr>
      </w:pPr>
    </w:p>
    <w:p w14:paraId="0A875935" w14:textId="77777777" w:rsidR="00EC24DA" w:rsidRPr="00F604CF" w:rsidRDefault="00EC24DA" w:rsidP="00F604CF">
      <w:pPr>
        <w:rPr>
          <w:rFonts w:cs="Arial"/>
        </w:rPr>
      </w:pPr>
      <w:r w:rsidRPr="00F604CF">
        <w:rPr>
          <w:rFonts w:cs="Arial"/>
        </w:rPr>
        <w:t>Se agrega que en el punto 1.23 del pliego de condiciones se relacionaron las causales de rechazo de las propuestas, entre otras, las siguientes:</w:t>
      </w:r>
    </w:p>
    <w:p w14:paraId="0575F52A" w14:textId="77777777" w:rsidR="00EC24DA" w:rsidRPr="00F604CF" w:rsidRDefault="00EC24DA" w:rsidP="00F604CF">
      <w:pPr>
        <w:rPr>
          <w:rFonts w:cs="Arial"/>
        </w:rPr>
      </w:pPr>
    </w:p>
    <w:p w14:paraId="194AF47F" w14:textId="77777777" w:rsidR="00EC24DA" w:rsidRPr="00F604CF" w:rsidRDefault="00EC24DA" w:rsidP="00F604CF">
      <w:pPr>
        <w:rPr>
          <w:rFonts w:cs="Arial"/>
          <w:i/>
        </w:rPr>
      </w:pPr>
      <w:r w:rsidRPr="00F604CF">
        <w:rPr>
          <w:rFonts w:cs="Arial"/>
          <w:i/>
        </w:rPr>
        <w:t xml:space="preserve">“m) Estados Financieros: No presentar estados financieros de acuerdo con los artículos 37 y 38 de la Ley 222 de 1995 </w:t>
      </w:r>
      <w:r w:rsidRPr="00F604CF">
        <w:rPr>
          <w:rFonts w:cs="Arial"/>
        </w:rPr>
        <w:t>[certificados y dictaminados]</w:t>
      </w:r>
      <w:r w:rsidRPr="00F604CF">
        <w:rPr>
          <w:rFonts w:cs="Arial"/>
          <w:i/>
        </w:rPr>
        <w:t xml:space="preserve"> y con las condiciones indicadas en el numeral 2.3.3.1. del presente pliego de condiciones. Si el oferente no los adjunta en su oferta, su oferta será rechazada”.</w:t>
      </w:r>
    </w:p>
    <w:p w14:paraId="6B92745E" w14:textId="77777777" w:rsidR="00EC24DA" w:rsidRPr="00F604CF" w:rsidRDefault="00EC24DA" w:rsidP="00F604CF">
      <w:pPr>
        <w:rPr>
          <w:rFonts w:cs="Arial"/>
        </w:rPr>
      </w:pPr>
    </w:p>
    <w:p w14:paraId="6C8717E2" w14:textId="77777777" w:rsidR="00EC24DA" w:rsidRPr="00F604CF" w:rsidRDefault="00EC24DA" w:rsidP="00F604CF">
      <w:pPr>
        <w:pStyle w:val="Continuarlista2"/>
        <w:spacing w:after="0"/>
        <w:ind w:left="0"/>
        <w:rPr>
          <w:rFonts w:cs="Arial"/>
          <w:lang w:val="es-MX"/>
        </w:rPr>
      </w:pPr>
      <w:r w:rsidRPr="00F604CF">
        <w:rPr>
          <w:rFonts w:cs="Arial"/>
          <w:lang w:val="es-MX"/>
        </w:rPr>
        <w:t>De acuerdo con el punto 2.3.3.1.2.1 del pliego de condiciones</w:t>
      </w:r>
      <w:r w:rsidR="0018370A" w:rsidRPr="00F604CF">
        <w:rPr>
          <w:rFonts w:cs="Arial"/>
          <w:lang w:val="es-MX"/>
        </w:rPr>
        <w:t>,</w:t>
      </w:r>
      <w:r w:rsidR="003F03EB" w:rsidRPr="00F604CF">
        <w:rPr>
          <w:rFonts w:cs="Arial"/>
          <w:lang w:val="es-MX"/>
        </w:rPr>
        <w:t xml:space="preserve"> se desarrolló la posibilidad de solicitar documentos adicionales, </w:t>
      </w:r>
      <w:r w:rsidR="00345F4A" w:rsidRPr="00F604CF">
        <w:rPr>
          <w:rFonts w:cs="Arial"/>
          <w:lang w:val="es-MX"/>
        </w:rPr>
        <w:t xml:space="preserve">sin violar los principios de transparencia e igualdad, </w:t>
      </w:r>
      <w:r w:rsidR="003F03EB" w:rsidRPr="00F604CF">
        <w:rPr>
          <w:rFonts w:cs="Arial"/>
          <w:lang w:val="es-MX"/>
        </w:rPr>
        <w:t>en la siguiente forma</w:t>
      </w:r>
      <w:r w:rsidR="00B3369E" w:rsidRPr="00F604CF">
        <w:rPr>
          <w:rFonts w:cs="Arial"/>
          <w:lang w:val="es-MX"/>
        </w:rPr>
        <w:t xml:space="preserve"> (se transcribe </w:t>
      </w:r>
      <w:r w:rsidR="00740719" w:rsidRPr="00F604CF">
        <w:rPr>
          <w:rFonts w:cs="Arial"/>
          <w:lang w:val="es-MX"/>
        </w:rPr>
        <w:t xml:space="preserve">de forma </w:t>
      </w:r>
      <w:r w:rsidR="00B3369E" w:rsidRPr="00F604CF">
        <w:rPr>
          <w:rFonts w:cs="Arial"/>
          <w:lang w:val="es-MX"/>
        </w:rPr>
        <w:t>literal incluso con posibles errores)</w:t>
      </w:r>
      <w:r w:rsidR="003F03EB" w:rsidRPr="00F604CF">
        <w:rPr>
          <w:rFonts w:cs="Arial"/>
          <w:lang w:val="es-MX"/>
        </w:rPr>
        <w:t xml:space="preserve">: </w:t>
      </w:r>
    </w:p>
    <w:p w14:paraId="15AC1BEF" w14:textId="77777777" w:rsidR="00EC24DA" w:rsidRPr="00F604CF" w:rsidRDefault="00EC24DA" w:rsidP="00F604CF">
      <w:pPr>
        <w:pStyle w:val="Continuarlista2"/>
        <w:spacing w:after="0"/>
        <w:ind w:left="0"/>
        <w:rPr>
          <w:rFonts w:cs="Arial"/>
          <w:lang w:val="es-MX"/>
        </w:rPr>
      </w:pPr>
    </w:p>
    <w:p w14:paraId="06B869C8" w14:textId="77777777" w:rsidR="00EC24DA" w:rsidRPr="00F604CF" w:rsidRDefault="00EC24DA" w:rsidP="00F604CF">
      <w:pPr>
        <w:pStyle w:val="Continuarlista2"/>
        <w:spacing w:after="0" w:line="276" w:lineRule="auto"/>
        <w:ind w:left="0"/>
        <w:rPr>
          <w:rFonts w:cs="Arial"/>
          <w:i/>
          <w:lang w:val="es-MX"/>
        </w:rPr>
      </w:pPr>
      <w:r w:rsidRPr="00F604CF">
        <w:rPr>
          <w:rFonts w:cs="Arial"/>
          <w:i/>
          <w:lang w:val="es-MX"/>
        </w:rPr>
        <w:t>“Cuando el Comité Evaluador de las propuestas de la Secretar</w:t>
      </w:r>
      <w:r w:rsidR="007C059B" w:rsidRPr="00F604CF">
        <w:rPr>
          <w:rFonts w:cs="Arial"/>
          <w:i/>
          <w:lang w:val="es-MX"/>
        </w:rPr>
        <w:t>í</w:t>
      </w:r>
      <w:r w:rsidRPr="00F604CF">
        <w:rPr>
          <w:rFonts w:cs="Arial"/>
          <w:i/>
          <w:lang w:val="es-MX"/>
        </w:rPr>
        <w:t>a de Educación y Cultura Departamental del Putumayo en desarrollo de la verificación Financiera requiera confirmar la información adicional del proponente, podrá solicitar los documentos que considere necesarios para el esclarecimiento de la información, tales, como estados financieros de años anteriores, anexos específicos o cualquier otro soporte. Así mismo requerir las aclaraciones que considere necesarias, siempre que con ello no se violen los principios de igualdad y trasparencia en la contratación, sin que las aclaraciones o documentos que el proponente allegue a la solicitud, puedan modificar, adicionar o complementar la propuesta”.</w:t>
      </w:r>
    </w:p>
    <w:p w14:paraId="6BBEDBD8" w14:textId="77777777" w:rsidR="00EC24DA" w:rsidRPr="00F604CF" w:rsidRDefault="00EC24DA" w:rsidP="00F604CF">
      <w:pPr>
        <w:pStyle w:val="Continuarlista2"/>
        <w:spacing w:after="0"/>
        <w:ind w:left="0"/>
        <w:rPr>
          <w:rFonts w:cs="Arial"/>
          <w:lang w:val="es-MX"/>
        </w:rPr>
      </w:pPr>
    </w:p>
    <w:p w14:paraId="1404E488" w14:textId="77777777" w:rsidR="00C33002" w:rsidRPr="00F604CF" w:rsidRDefault="003B22CC" w:rsidP="00F604CF">
      <w:pPr>
        <w:pStyle w:val="Continuarlista2"/>
        <w:spacing w:after="0"/>
        <w:ind w:left="0"/>
        <w:rPr>
          <w:rFonts w:cs="Arial"/>
          <w:lang w:val="es-MX"/>
        </w:rPr>
      </w:pPr>
      <w:r w:rsidRPr="00F604CF">
        <w:rPr>
          <w:rFonts w:cs="Arial"/>
          <w:lang w:val="es-MX"/>
        </w:rPr>
        <w:t xml:space="preserve">Para el análisis probatorio </w:t>
      </w:r>
      <w:r w:rsidR="00344F25" w:rsidRPr="00F604CF">
        <w:rPr>
          <w:rFonts w:cs="Arial"/>
          <w:lang w:val="es-MX"/>
        </w:rPr>
        <w:t xml:space="preserve">que se desplegará </w:t>
      </w:r>
      <w:r w:rsidRPr="00F604CF">
        <w:rPr>
          <w:rFonts w:cs="Arial"/>
          <w:lang w:val="es-MX"/>
        </w:rPr>
        <w:t>en el presente caso resulta importante destacar</w:t>
      </w:r>
      <w:r w:rsidR="00344F25" w:rsidRPr="00F604CF">
        <w:rPr>
          <w:rFonts w:cs="Arial"/>
          <w:lang w:val="es-MX"/>
        </w:rPr>
        <w:t xml:space="preserve">, desde ahora, </w:t>
      </w:r>
      <w:r w:rsidRPr="00F604CF">
        <w:rPr>
          <w:rFonts w:cs="Arial"/>
          <w:lang w:val="es-MX"/>
        </w:rPr>
        <w:t>la</w:t>
      </w:r>
      <w:r w:rsidR="00F0072E" w:rsidRPr="00F604CF">
        <w:rPr>
          <w:rFonts w:cs="Arial"/>
          <w:lang w:val="es-MX"/>
        </w:rPr>
        <w:t>s</w:t>
      </w:r>
      <w:r w:rsidRPr="00F604CF">
        <w:rPr>
          <w:rFonts w:cs="Arial"/>
          <w:lang w:val="es-MX"/>
        </w:rPr>
        <w:t xml:space="preserve"> regla</w:t>
      </w:r>
      <w:r w:rsidR="00F0072E" w:rsidRPr="00F604CF">
        <w:rPr>
          <w:rFonts w:cs="Arial"/>
          <w:lang w:val="es-MX"/>
        </w:rPr>
        <w:t>s</w:t>
      </w:r>
      <w:r w:rsidRPr="00F604CF">
        <w:rPr>
          <w:rFonts w:cs="Arial"/>
          <w:lang w:val="es-MX"/>
        </w:rPr>
        <w:t xml:space="preserve"> que se fij</w:t>
      </w:r>
      <w:r w:rsidR="00F0072E" w:rsidRPr="00F604CF">
        <w:rPr>
          <w:rFonts w:cs="Arial"/>
          <w:lang w:val="es-MX"/>
        </w:rPr>
        <w:t>aron</w:t>
      </w:r>
      <w:r w:rsidRPr="00F604CF">
        <w:rPr>
          <w:rFonts w:cs="Arial"/>
          <w:lang w:val="es-MX"/>
        </w:rPr>
        <w:t xml:space="preserve"> </w:t>
      </w:r>
      <w:r w:rsidR="00F0072E" w:rsidRPr="00F604CF">
        <w:rPr>
          <w:rFonts w:cs="Arial"/>
          <w:lang w:val="es-MX"/>
        </w:rPr>
        <w:t>en el pliego d</w:t>
      </w:r>
      <w:r w:rsidR="009459A5" w:rsidRPr="00F604CF">
        <w:rPr>
          <w:rFonts w:cs="Arial"/>
          <w:lang w:val="es-MX"/>
        </w:rPr>
        <w:t>e</w:t>
      </w:r>
      <w:r w:rsidR="00F0072E" w:rsidRPr="00F604CF">
        <w:rPr>
          <w:rFonts w:cs="Arial"/>
          <w:lang w:val="es-MX"/>
        </w:rPr>
        <w:t xml:space="preserve"> condiciones </w:t>
      </w:r>
      <w:r w:rsidRPr="00F604CF">
        <w:rPr>
          <w:rFonts w:cs="Arial"/>
          <w:lang w:val="es-MX"/>
        </w:rPr>
        <w:t xml:space="preserve">para calificar </w:t>
      </w:r>
      <w:r w:rsidR="00C33002" w:rsidRPr="00F604CF">
        <w:rPr>
          <w:rFonts w:cs="Arial"/>
          <w:lang w:val="es-MX"/>
        </w:rPr>
        <w:t>el índice de liquidez</w:t>
      </w:r>
      <w:r w:rsidR="002374D7" w:rsidRPr="00F604CF">
        <w:rPr>
          <w:rFonts w:cs="Arial"/>
          <w:lang w:val="es-MX"/>
        </w:rPr>
        <w:t xml:space="preserve"> y el capital de trabajo</w:t>
      </w:r>
      <w:r w:rsidR="00C33002" w:rsidRPr="00F604CF">
        <w:rPr>
          <w:rFonts w:cs="Arial"/>
          <w:lang w:val="es-MX"/>
        </w:rPr>
        <w:t xml:space="preserve">, en relación con las propuestas presentadas por </w:t>
      </w:r>
      <w:r w:rsidR="00740719" w:rsidRPr="00F604CF">
        <w:rPr>
          <w:rFonts w:cs="Arial"/>
          <w:lang w:val="es-MX"/>
        </w:rPr>
        <w:t xml:space="preserve">las </w:t>
      </w:r>
      <w:r w:rsidR="00C33002" w:rsidRPr="00F604CF">
        <w:rPr>
          <w:rFonts w:cs="Arial"/>
          <w:lang w:val="es-MX"/>
        </w:rPr>
        <w:t>uniones temporales y consorcios</w:t>
      </w:r>
      <w:r w:rsidR="00EF60F9" w:rsidRPr="00F604CF">
        <w:rPr>
          <w:rFonts w:cs="Arial"/>
          <w:lang w:val="es-MX"/>
        </w:rPr>
        <w:t xml:space="preserve"> (se transcribe de forma literal incluso con posibles errores)</w:t>
      </w:r>
      <w:r w:rsidR="00C33002" w:rsidRPr="00F604CF">
        <w:rPr>
          <w:rFonts w:cs="Arial"/>
          <w:lang w:val="es-MX"/>
        </w:rPr>
        <w:t>:</w:t>
      </w:r>
    </w:p>
    <w:p w14:paraId="1AC00103" w14:textId="77777777" w:rsidR="00C33002" w:rsidRPr="00F604CF" w:rsidRDefault="00C33002" w:rsidP="00F604CF">
      <w:pPr>
        <w:pStyle w:val="Continuarlista2"/>
        <w:spacing w:after="0" w:line="276" w:lineRule="auto"/>
        <w:ind w:left="0"/>
        <w:rPr>
          <w:rFonts w:cs="Arial"/>
          <w:i/>
          <w:lang w:val="es-MX"/>
        </w:rPr>
      </w:pPr>
    </w:p>
    <w:p w14:paraId="52F38E21" w14:textId="77777777" w:rsidR="001D1CED" w:rsidRPr="00F604CF" w:rsidRDefault="00C33002" w:rsidP="00F604CF">
      <w:pPr>
        <w:pStyle w:val="Continuarlista2"/>
        <w:spacing w:after="0" w:line="276" w:lineRule="auto"/>
        <w:ind w:left="0"/>
        <w:rPr>
          <w:rFonts w:cs="Arial"/>
          <w:i/>
          <w:lang w:val="es-MX"/>
        </w:rPr>
      </w:pPr>
      <w:r w:rsidRPr="00F604CF">
        <w:rPr>
          <w:rFonts w:cs="Arial"/>
          <w:i/>
          <w:lang w:val="es-MX"/>
        </w:rPr>
        <w:t>“</w:t>
      </w:r>
      <w:r w:rsidR="001D1CED" w:rsidRPr="00F604CF">
        <w:rPr>
          <w:rFonts w:cs="Arial"/>
          <w:b/>
          <w:i/>
          <w:lang w:val="es-MX"/>
        </w:rPr>
        <w:t>2.3.3.2.2. Capacidad Financiera</w:t>
      </w:r>
    </w:p>
    <w:p w14:paraId="64A0711C" w14:textId="77777777" w:rsidR="001D1CED" w:rsidRPr="00F604CF" w:rsidRDefault="001D1CED" w:rsidP="00F604CF">
      <w:pPr>
        <w:pStyle w:val="Continuarlista2"/>
        <w:spacing w:after="0" w:line="276" w:lineRule="auto"/>
        <w:ind w:left="0"/>
        <w:rPr>
          <w:rFonts w:cs="Arial"/>
          <w:i/>
          <w:lang w:val="es-MX"/>
        </w:rPr>
      </w:pPr>
    </w:p>
    <w:p w14:paraId="7A20394D" w14:textId="77777777" w:rsidR="001D1CED" w:rsidRPr="00F604CF" w:rsidRDefault="001D1CED" w:rsidP="00F604CF">
      <w:pPr>
        <w:pStyle w:val="Continuarlista2"/>
        <w:spacing w:after="0" w:line="276" w:lineRule="auto"/>
        <w:ind w:left="0"/>
        <w:rPr>
          <w:rFonts w:cs="Arial"/>
          <w:i/>
          <w:lang w:val="es-MX"/>
        </w:rPr>
      </w:pPr>
      <w:r w:rsidRPr="00F604CF">
        <w:rPr>
          <w:rFonts w:cs="Arial"/>
          <w:i/>
          <w:lang w:val="es-MX"/>
        </w:rPr>
        <w:t>“</w:t>
      </w:r>
      <w:r w:rsidRPr="00F604CF">
        <w:rPr>
          <w:rFonts w:cs="Arial"/>
          <w:b/>
          <w:i/>
          <w:lang w:val="es-MX"/>
        </w:rPr>
        <w:t>2.3.3.2.2.1. Índice de liquidez (IL)</w:t>
      </w:r>
    </w:p>
    <w:p w14:paraId="41434206" w14:textId="77777777" w:rsidR="001D1CED" w:rsidRPr="00F604CF" w:rsidRDefault="001D1CED" w:rsidP="00F604CF">
      <w:pPr>
        <w:pStyle w:val="Continuarlista2"/>
        <w:spacing w:after="0" w:line="276" w:lineRule="auto"/>
        <w:ind w:left="0"/>
        <w:rPr>
          <w:rFonts w:cs="Arial"/>
          <w:i/>
          <w:lang w:val="es-MX"/>
        </w:rPr>
      </w:pPr>
    </w:p>
    <w:p w14:paraId="4C48AE2E" w14:textId="77777777" w:rsidR="002002F2" w:rsidRPr="00F604CF" w:rsidRDefault="001D1CED" w:rsidP="00F604CF">
      <w:pPr>
        <w:pStyle w:val="Continuarlista2"/>
        <w:spacing w:after="0" w:line="276" w:lineRule="auto"/>
        <w:ind w:left="0"/>
        <w:rPr>
          <w:rFonts w:cs="Arial"/>
          <w:i/>
          <w:lang w:val="es-MX"/>
        </w:rPr>
      </w:pPr>
      <w:r w:rsidRPr="00F604CF">
        <w:rPr>
          <w:rFonts w:cs="Arial"/>
          <w:i/>
          <w:lang w:val="es-MX"/>
        </w:rPr>
        <w:t>“</w:t>
      </w:r>
      <w:r w:rsidR="002002F2" w:rsidRPr="00F604CF">
        <w:rPr>
          <w:rFonts w:cs="Arial"/>
          <w:i/>
          <w:lang w:val="es-MX"/>
        </w:rPr>
        <w:t>La ponderación del índice de liquidez se hará sobre el máximo de 100 puntos, el cual es calculado de la siguiente manera:</w:t>
      </w:r>
    </w:p>
    <w:p w14:paraId="1B4EF7ED" w14:textId="77777777" w:rsidR="002002F2" w:rsidRPr="00F604CF" w:rsidRDefault="002002F2" w:rsidP="00F604CF">
      <w:pPr>
        <w:pStyle w:val="Continuarlista2"/>
        <w:spacing w:after="0" w:line="276" w:lineRule="auto"/>
        <w:ind w:left="0"/>
        <w:rPr>
          <w:rFonts w:cs="Arial"/>
          <w:i/>
          <w:lang w:val="es-MX"/>
        </w:rPr>
      </w:pPr>
    </w:p>
    <w:p w14:paraId="3F89F113" w14:textId="77777777" w:rsidR="002002F2" w:rsidRPr="00F604CF" w:rsidRDefault="002374D7" w:rsidP="00F604CF">
      <w:pPr>
        <w:pStyle w:val="Continuarlista2"/>
        <w:spacing w:after="0" w:line="276" w:lineRule="auto"/>
        <w:ind w:left="0"/>
        <w:rPr>
          <w:rFonts w:cs="Arial"/>
          <w:i/>
          <w:lang w:val="es-MX"/>
        </w:rPr>
      </w:pPr>
      <w:r w:rsidRPr="00F604CF">
        <w:rPr>
          <w:rFonts w:cs="Arial"/>
          <w:i/>
          <w:lang w:val="es-MX"/>
        </w:rPr>
        <w:t>“</w:t>
      </w:r>
      <w:r w:rsidR="002002F2" w:rsidRPr="00F604CF">
        <w:rPr>
          <w:rFonts w:cs="Arial"/>
          <w:b/>
          <w:i/>
          <w:lang w:val="es-MX"/>
        </w:rPr>
        <w:t>IL</w:t>
      </w:r>
      <w:r w:rsidR="002002F2" w:rsidRPr="00F604CF">
        <w:rPr>
          <w:rFonts w:cs="Arial"/>
          <w:i/>
          <w:lang w:val="es-MX"/>
        </w:rPr>
        <w:t xml:space="preserve"> = Activo Corriente / Pasivo Corriente</w:t>
      </w:r>
    </w:p>
    <w:p w14:paraId="29F245AA" w14:textId="77777777" w:rsidR="002002F2" w:rsidRPr="00F604CF" w:rsidRDefault="002002F2" w:rsidP="00F604CF">
      <w:pPr>
        <w:pStyle w:val="Continuarlista2"/>
        <w:spacing w:after="0" w:line="276" w:lineRule="auto"/>
        <w:ind w:left="0"/>
        <w:rPr>
          <w:rFonts w:cs="Arial"/>
          <w:i/>
          <w:lang w:val="es-MX"/>
        </w:rPr>
      </w:pPr>
    </w:p>
    <w:p w14:paraId="4E67437A" w14:textId="77777777" w:rsidR="001D1CED" w:rsidRPr="00F604CF" w:rsidRDefault="002374D7" w:rsidP="00F604CF">
      <w:pPr>
        <w:pStyle w:val="Continuarlista2"/>
        <w:spacing w:after="0" w:line="276" w:lineRule="auto"/>
        <w:ind w:left="0"/>
        <w:rPr>
          <w:rFonts w:cs="Arial"/>
          <w:i/>
          <w:lang w:val="es-MX"/>
        </w:rPr>
      </w:pPr>
      <w:r w:rsidRPr="00F604CF">
        <w:rPr>
          <w:rFonts w:cs="Arial"/>
          <w:i/>
          <w:lang w:val="es-MX"/>
        </w:rPr>
        <w:t>“</w:t>
      </w:r>
      <w:r w:rsidR="002002F2" w:rsidRPr="00F604CF">
        <w:rPr>
          <w:rFonts w:cs="Arial"/>
          <w:i/>
          <w:lang w:val="es-MX"/>
        </w:rPr>
        <w:t>Solamente serán habi</w:t>
      </w:r>
      <w:r w:rsidR="001D1CED" w:rsidRPr="00F604CF">
        <w:rPr>
          <w:rFonts w:cs="Arial"/>
          <w:i/>
          <w:lang w:val="es-MX"/>
        </w:rPr>
        <w:t>l</w:t>
      </w:r>
      <w:r w:rsidR="002002F2" w:rsidRPr="00F604CF">
        <w:rPr>
          <w:rFonts w:cs="Arial"/>
          <w:i/>
          <w:lang w:val="es-MX"/>
        </w:rPr>
        <w:t>itadas las ofertas que tengan un índice de liquidez mayor a tres (3), las dem</w:t>
      </w:r>
      <w:r w:rsidR="001D1CED" w:rsidRPr="00F604CF">
        <w:rPr>
          <w:rFonts w:cs="Arial"/>
          <w:i/>
          <w:lang w:val="es-MX"/>
        </w:rPr>
        <w:t>á</w:t>
      </w:r>
      <w:r w:rsidR="002002F2" w:rsidRPr="00F604CF">
        <w:rPr>
          <w:rFonts w:cs="Arial"/>
          <w:i/>
          <w:lang w:val="es-MX"/>
        </w:rPr>
        <w:t>s ofertas serán rechazadas. En el caso de los consorcios y uni</w:t>
      </w:r>
      <w:r w:rsidR="001D1CED" w:rsidRPr="00F604CF">
        <w:rPr>
          <w:rFonts w:cs="Arial"/>
          <w:i/>
          <w:lang w:val="es-MX"/>
        </w:rPr>
        <w:t>o</w:t>
      </w:r>
      <w:r w:rsidR="002002F2" w:rsidRPr="00F604CF">
        <w:rPr>
          <w:rFonts w:cs="Arial"/>
          <w:i/>
          <w:lang w:val="es-MX"/>
        </w:rPr>
        <w:t xml:space="preserve">nes temporales </w:t>
      </w:r>
      <w:r w:rsidR="001D1CED" w:rsidRPr="00F604CF">
        <w:rPr>
          <w:rFonts w:cs="Arial"/>
          <w:i/>
          <w:lang w:val="es-MX"/>
        </w:rPr>
        <w:t xml:space="preserve">el índice de </w:t>
      </w:r>
      <w:r w:rsidR="00F0072E" w:rsidRPr="00F604CF">
        <w:rPr>
          <w:rFonts w:cs="Arial"/>
          <w:i/>
          <w:lang w:val="es-MX"/>
        </w:rPr>
        <w:t>liquidez</w:t>
      </w:r>
      <w:r w:rsidR="001D1CED" w:rsidRPr="00F604CF">
        <w:rPr>
          <w:rFonts w:cs="Arial"/>
          <w:i/>
          <w:lang w:val="es-MX"/>
        </w:rPr>
        <w:t xml:space="preserve"> será el resultante de calcular el promedio de la sumatoria de los índices de liquidez de cada uno de los integrantes del consorcio o unión temporal (…)</w:t>
      </w:r>
      <w:r w:rsidRPr="00F604CF">
        <w:rPr>
          <w:rFonts w:cs="Arial"/>
          <w:i/>
          <w:lang w:val="es-MX"/>
        </w:rPr>
        <w:t>.</w:t>
      </w:r>
    </w:p>
    <w:p w14:paraId="6A948C6A" w14:textId="77777777" w:rsidR="002374D7" w:rsidRPr="00F604CF" w:rsidRDefault="002374D7" w:rsidP="00F604CF">
      <w:pPr>
        <w:pStyle w:val="Continuarlista2"/>
        <w:spacing w:after="0" w:line="276" w:lineRule="auto"/>
        <w:ind w:left="0"/>
        <w:rPr>
          <w:rFonts w:cs="Arial"/>
          <w:i/>
          <w:lang w:val="es-MX"/>
        </w:rPr>
      </w:pPr>
    </w:p>
    <w:p w14:paraId="5FDBAA54" w14:textId="77777777" w:rsidR="002374D7" w:rsidRPr="00F604CF" w:rsidRDefault="002374D7" w:rsidP="00F604CF">
      <w:pPr>
        <w:pStyle w:val="Continuarlista2"/>
        <w:spacing w:after="0" w:line="276" w:lineRule="auto"/>
        <w:ind w:left="0"/>
        <w:rPr>
          <w:rFonts w:cs="Arial"/>
          <w:i/>
          <w:lang w:val="es-MX"/>
        </w:rPr>
      </w:pPr>
      <w:r w:rsidRPr="00F604CF">
        <w:rPr>
          <w:rFonts w:cs="Arial"/>
          <w:i/>
          <w:lang w:val="es-MX"/>
        </w:rPr>
        <w:t>“(…).</w:t>
      </w:r>
    </w:p>
    <w:p w14:paraId="092240F8" w14:textId="77777777" w:rsidR="00F0072E" w:rsidRPr="00F604CF" w:rsidRDefault="00F0072E" w:rsidP="00F604CF">
      <w:pPr>
        <w:pStyle w:val="Continuarlista2"/>
        <w:spacing w:after="0" w:line="276" w:lineRule="auto"/>
        <w:ind w:left="0"/>
        <w:rPr>
          <w:rFonts w:cs="Arial"/>
          <w:i/>
          <w:lang w:val="es-MX"/>
        </w:rPr>
      </w:pPr>
    </w:p>
    <w:p w14:paraId="02232584" w14:textId="77777777" w:rsidR="00E172BF" w:rsidRPr="00F604CF" w:rsidRDefault="00F0072E" w:rsidP="00F604CF">
      <w:pPr>
        <w:pStyle w:val="Continuarlista2"/>
        <w:spacing w:after="0" w:line="276" w:lineRule="auto"/>
        <w:ind w:left="0"/>
        <w:rPr>
          <w:rFonts w:cs="Arial"/>
          <w:i/>
          <w:lang w:val="es-MX"/>
        </w:rPr>
      </w:pPr>
      <w:r w:rsidRPr="00F604CF">
        <w:rPr>
          <w:rFonts w:cs="Arial"/>
          <w:i/>
          <w:lang w:val="es-MX"/>
        </w:rPr>
        <w:t>“Las ofertas habilitadas se ponderarán de la siguiente manera</w:t>
      </w:r>
    </w:p>
    <w:p w14:paraId="1962EE01" w14:textId="77777777" w:rsidR="00E172BF" w:rsidRPr="00F604CF" w:rsidRDefault="00E172BF" w:rsidP="00F604CF">
      <w:pPr>
        <w:pStyle w:val="Continuarlista2"/>
        <w:spacing w:after="0" w:line="276" w:lineRule="auto"/>
        <w:ind w:left="0"/>
        <w:rPr>
          <w:rFonts w:cs="Arial"/>
          <w:i/>
          <w:lang w:val="es-MX"/>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2268"/>
      </w:tblGrid>
      <w:tr w:rsidR="00E172BF" w:rsidRPr="00F604CF" w14:paraId="6D30D64E" w14:textId="77777777" w:rsidTr="00EC6DFD">
        <w:tc>
          <w:tcPr>
            <w:tcW w:w="5211" w:type="dxa"/>
            <w:shd w:val="clear" w:color="auto" w:fill="auto"/>
          </w:tcPr>
          <w:p w14:paraId="035166EC" w14:textId="77777777" w:rsidR="00E172BF" w:rsidRPr="00F604CF" w:rsidRDefault="00E172BF" w:rsidP="00F604CF">
            <w:pPr>
              <w:pStyle w:val="Continuarlista2"/>
              <w:spacing w:after="0" w:line="276" w:lineRule="auto"/>
              <w:ind w:left="0"/>
              <w:jc w:val="left"/>
              <w:rPr>
                <w:rFonts w:cs="Arial"/>
                <w:b/>
                <w:i/>
                <w:lang w:val="es-MX"/>
              </w:rPr>
            </w:pPr>
            <w:r w:rsidRPr="00F604CF">
              <w:rPr>
                <w:rFonts w:cs="Arial"/>
                <w:b/>
                <w:i/>
                <w:lang w:val="es-MX"/>
              </w:rPr>
              <w:t>Indice de liquidez</w:t>
            </w:r>
          </w:p>
        </w:tc>
        <w:tc>
          <w:tcPr>
            <w:tcW w:w="2268" w:type="dxa"/>
            <w:shd w:val="clear" w:color="auto" w:fill="auto"/>
          </w:tcPr>
          <w:p w14:paraId="64E62BF2" w14:textId="77777777" w:rsidR="00E172BF" w:rsidRPr="00F604CF" w:rsidRDefault="00E172BF" w:rsidP="00F604CF">
            <w:pPr>
              <w:pStyle w:val="Continuarlista2"/>
              <w:spacing w:after="0" w:line="276" w:lineRule="auto"/>
              <w:ind w:left="0"/>
              <w:jc w:val="right"/>
              <w:rPr>
                <w:rFonts w:cs="Arial"/>
                <w:b/>
                <w:i/>
                <w:lang w:val="es-MX"/>
              </w:rPr>
            </w:pPr>
            <w:r w:rsidRPr="00F604CF">
              <w:rPr>
                <w:rFonts w:cs="Arial"/>
                <w:b/>
                <w:i/>
                <w:lang w:val="es-MX"/>
              </w:rPr>
              <w:t>Puntaje</w:t>
            </w:r>
          </w:p>
        </w:tc>
      </w:tr>
      <w:tr w:rsidR="00E172BF" w:rsidRPr="00F604CF" w14:paraId="4DC844B0" w14:textId="77777777" w:rsidTr="00EC6DFD">
        <w:tc>
          <w:tcPr>
            <w:tcW w:w="5211" w:type="dxa"/>
            <w:shd w:val="clear" w:color="auto" w:fill="auto"/>
          </w:tcPr>
          <w:p w14:paraId="059A54B1" w14:textId="77777777" w:rsidR="00E172BF" w:rsidRPr="00F604CF" w:rsidRDefault="00E172BF" w:rsidP="00F604CF">
            <w:pPr>
              <w:pStyle w:val="Continuarlista2"/>
              <w:spacing w:after="0" w:line="276" w:lineRule="auto"/>
              <w:ind w:left="0"/>
              <w:jc w:val="left"/>
              <w:rPr>
                <w:rFonts w:cs="Arial"/>
                <w:i/>
                <w:lang w:val="es-MX"/>
              </w:rPr>
            </w:pPr>
            <w:r w:rsidRPr="00F604CF">
              <w:rPr>
                <w:rFonts w:cs="Arial"/>
                <w:i/>
                <w:lang w:val="es-MX"/>
              </w:rPr>
              <w:t xml:space="preserve">Igual o superior a 3 e inferior a 4 </w:t>
            </w:r>
          </w:p>
        </w:tc>
        <w:tc>
          <w:tcPr>
            <w:tcW w:w="2268" w:type="dxa"/>
            <w:shd w:val="clear" w:color="auto" w:fill="auto"/>
          </w:tcPr>
          <w:p w14:paraId="0CAFC293" w14:textId="77777777" w:rsidR="00E172BF" w:rsidRPr="00F604CF" w:rsidRDefault="00E172BF" w:rsidP="00F604CF">
            <w:pPr>
              <w:pStyle w:val="Continuarlista2"/>
              <w:spacing w:after="0" w:line="276" w:lineRule="auto"/>
              <w:ind w:left="0"/>
              <w:jc w:val="right"/>
              <w:rPr>
                <w:rFonts w:cs="Arial"/>
                <w:i/>
                <w:lang w:val="es-MX"/>
              </w:rPr>
            </w:pPr>
            <w:r w:rsidRPr="00F604CF">
              <w:rPr>
                <w:rFonts w:cs="Arial"/>
                <w:i/>
                <w:lang w:val="es-MX"/>
              </w:rPr>
              <w:t>80</w:t>
            </w:r>
          </w:p>
        </w:tc>
      </w:tr>
      <w:tr w:rsidR="00E172BF" w:rsidRPr="00F604CF" w14:paraId="1DBF26C8" w14:textId="77777777" w:rsidTr="00EC6DFD">
        <w:tc>
          <w:tcPr>
            <w:tcW w:w="5211" w:type="dxa"/>
            <w:shd w:val="clear" w:color="auto" w:fill="auto"/>
          </w:tcPr>
          <w:p w14:paraId="16FFF220" w14:textId="77777777" w:rsidR="00E172BF" w:rsidRPr="00F604CF" w:rsidRDefault="00E172BF" w:rsidP="00F604CF">
            <w:pPr>
              <w:pStyle w:val="Continuarlista2"/>
              <w:spacing w:after="0" w:line="276" w:lineRule="auto"/>
              <w:ind w:left="0"/>
              <w:jc w:val="left"/>
              <w:rPr>
                <w:rFonts w:cs="Arial"/>
                <w:i/>
                <w:lang w:val="es-MX"/>
              </w:rPr>
            </w:pPr>
            <w:r w:rsidRPr="00F604CF">
              <w:rPr>
                <w:rFonts w:cs="Arial"/>
                <w:i/>
                <w:lang w:val="es-MX"/>
              </w:rPr>
              <w:t>Igual o superior a 4 e inferior a 4.</w:t>
            </w:r>
          </w:p>
        </w:tc>
        <w:tc>
          <w:tcPr>
            <w:tcW w:w="2268" w:type="dxa"/>
            <w:shd w:val="clear" w:color="auto" w:fill="auto"/>
          </w:tcPr>
          <w:p w14:paraId="73F87576" w14:textId="77777777" w:rsidR="00E172BF" w:rsidRPr="00F604CF" w:rsidRDefault="00E172BF" w:rsidP="00F604CF">
            <w:pPr>
              <w:pStyle w:val="Continuarlista2"/>
              <w:spacing w:after="0" w:line="276" w:lineRule="auto"/>
              <w:ind w:left="0"/>
              <w:jc w:val="right"/>
              <w:rPr>
                <w:rFonts w:cs="Arial"/>
                <w:i/>
                <w:lang w:val="es-MX"/>
              </w:rPr>
            </w:pPr>
            <w:r w:rsidRPr="00F604CF">
              <w:rPr>
                <w:rFonts w:cs="Arial"/>
                <w:i/>
                <w:lang w:val="es-MX"/>
              </w:rPr>
              <w:t>90</w:t>
            </w:r>
          </w:p>
        </w:tc>
      </w:tr>
      <w:tr w:rsidR="00E172BF" w:rsidRPr="00F604CF" w14:paraId="149CCCB4" w14:textId="77777777" w:rsidTr="00EC6DFD">
        <w:tc>
          <w:tcPr>
            <w:tcW w:w="5211" w:type="dxa"/>
            <w:shd w:val="clear" w:color="auto" w:fill="auto"/>
          </w:tcPr>
          <w:p w14:paraId="493F8452" w14:textId="77777777" w:rsidR="00E172BF" w:rsidRPr="00F604CF" w:rsidRDefault="00E172BF" w:rsidP="00F604CF">
            <w:pPr>
              <w:pStyle w:val="Continuarlista2"/>
              <w:spacing w:after="0" w:line="276" w:lineRule="auto"/>
              <w:ind w:left="0"/>
              <w:jc w:val="left"/>
              <w:rPr>
                <w:rFonts w:cs="Arial"/>
                <w:i/>
                <w:lang w:val="es-MX"/>
              </w:rPr>
            </w:pPr>
            <w:r w:rsidRPr="00F604CF">
              <w:rPr>
                <w:rFonts w:cs="Arial"/>
                <w:i/>
                <w:lang w:val="es-MX"/>
              </w:rPr>
              <w:t xml:space="preserve">Superior a 4.5 </w:t>
            </w:r>
          </w:p>
        </w:tc>
        <w:tc>
          <w:tcPr>
            <w:tcW w:w="2268" w:type="dxa"/>
            <w:shd w:val="clear" w:color="auto" w:fill="auto"/>
          </w:tcPr>
          <w:p w14:paraId="24C42A70" w14:textId="77777777" w:rsidR="00E172BF" w:rsidRPr="00F604CF" w:rsidRDefault="00E172BF" w:rsidP="00F604CF">
            <w:pPr>
              <w:pStyle w:val="Continuarlista2"/>
              <w:spacing w:after="0" w:line="276" w:lineRule="auto"/>
              <w:ind w:left="0"/>
              <w:jc w:val="right"/>
              <w:rPr>
                <w:rFonts w:cs="Arial"/>
                <w:i/>
                <w:lang w:val="es-MX"/>
              </w:rPr>
            </w:pPr>
            <w:r w:rsidRPr="00F604CF">
              <w:rPr>
                <w:rFonts w:cs="Arial"/>
                <w:i/>
                <w:lang w:val="es-MX"/>
              </w:rPr>
              <w:t>100</w:t>
            </w:r>
          </w:p>
        </w:tc>
      </w:tr>
    </w:tbl>
    <w:p w14:paraId="5E65C9D7" w14:textId="77777777" w:rsidR="00E172BF" w:rsidRPr="00F604CF" w:rsidRDefault="00E172BF" w:rsidP="00F604CF">
      <w:pPr>
        <w:pStyle w:val="Continuarlista2"/>
        <w:spacing w:after="0" w:line="276" w:lineRule="auto"/>
        <w:ind w:left="0"/>
        <w:rPr>
          <w:rFonts w:cs="Arial"/>
          <w:i/>
          <w:lang w:val="es-MX"/>
        </w:rPr>
      </w:pPr>
    </w:p>
    <w:p w14:paraId="01FD1CA5" w14:textId="77777777" w:rsidR="00F0072E" w:rsidRPr="00F604CF" w:rsidRDefault="00E172BF" w:rsidP="00F604CF">
      <w:pPr>
        <w:pStyle w:val="Continuarlista2"/>
        <w:spacing w:after="0" w:line="276" w:lineRule="auto"/>
        <w:ind w:left="0"/>
        <w:rPr>
          <w:rFonts w:cs="Arial"/>
          <w:i/>
          <w:lang w:val="es-MX"/>
        </w:rPr>
      </w:pPr>
      <w:r w:rsidRPr="00F604CF">
        <w:rPr>
          <w:rFonts w:cs="Arial"/>
          <w:i/>
          <w:lang w:val="es-MX"/>
        </w:rPr>
        <w:t>“(…)</w:t>
      </w:r>
      <w:r w:rsidR="00740719" w:rsidRPr="00F604CF">
        <w:rPr>
          <w:rFonts w:cs="Arial"/>
          <w:i/>
          <w:lang w:val="es-MX"/>
        </w:rPr>
        <w:t>.</w:t>
      </w:r>
      <w:r w:rsidR="00F0072E" w:rsidRPr="00F604CF">
        <w:rPr>
          <w:rFonts w:cs="Arial"/>
          <w:i/>
          <w:lang w:val="es-MX"/>
        </w:rPr>
        <w:t xml:space="preserve"> </w:t>
      </w:r>
    </w:p>
    <w:p w14:paraId="664089C1" w14:textId="77777777" w:rsidR="002002F2" w:rsidRPr="00F604CF" w:rsidRDefault="002002F2" w:rsidP="00F604CF">
      <w:pPr>
        <w:pStyle w:val="Continuarlista2"/>
        <w:spacing w:after="0" w:line="276" w:lineRule="auto"/>
        <w:ind w:left="0"/>
        <w:rPr>
          <w:rFonts w:cs="Arial"/>
          <w:i/>
          <w:lang w:val="es-MX"/>
        </w:rPr>
      </w:pPr>
    </w:p>
    <w:p w14:paraId="54F1AA93" w14:textId="77777777" w:rsidR="002374D7" w:rsidRPr="00F604CF" w:rsidRDefault="002374D7" w:rsidP="00F604CF">
      <w:pPr>
        <w:pStyle w:val="Continuarlista2"/>
        <w:spacing w:after="0" w:line="276" w:lineRule="auto"/>
        <w:ind w:left="0"/>
        <w:rPr>
          <w:rFonts w:cs="Arial"/>
          <w:i/>
          <w:lang w:val="es-MX"/>
        </w:rPr>
      </w:pPr>
      <w:r w:rsidRPr="00F604CF">
        <w:rPr>
          <w:rFonts w:cs="Arial"/>
          <w:i/>
          <w:lang w:val="es-MX"/>
        </w:rPr>
        <w:t>“</w:t>
      </w:r>
      <w:r w:rsidRPr="00F604CF">
        <w:rPr>
          <w:rFonts w:cs="Arial"/>
          <w:b/>
          <w:i/>
          <w:lang w:val="es-MX"/>
        </w:rPr>
        <w:t>2.3.3.2.2.3 Capital de Trabajo (CT)</w:t>
      </w:r>
    </w:p>
    <w:p w14:paraId="5629A4BD" w14:textId="77777777" w:rsidR="002374D7" w:rsidRPr="00F604CF" w:rsidRDefault="002374D7" w:rsidP="00F604CF">
      <w:pPr>
        <w:pStyle w:val="Continuarlista2"/>
        <w:spacing w:after="0" w:line="276" w:lineRule="auto"/>
        <w:ind w:left="0"/>
        <w:rPr>
          <w:rFonts w:cs="Arial"/>
          <w:i/>
          <w:lang w:val="es-MX"/>
        </w:rPr>
      </w:pPr>
    </w:p>
    <w:p w14:paraId="16A1D09D" w14:textId="77777777" w:rsidR="00C33002" w:rsidRPr="00F604CF" w:rsidRDefault="002374D7" w:rsidP="00F604CF">
      <w:pPr>
        <w:pStyle w:val="Continuarlista2"/>
        <w:spacing w:after="0" w:line="276" w:lineRule="auto"/>
        <w:ind w:left="0"/>
        <w:rPr>
          <w:rFonts w:cs="Arial"/>
          <w:i/>
          <w:lang w:val="es-MX"/>
        </w:rPr>
      </w:pPr>
      <w:r w:rsidRPr="00F604CF">
        <w:rPr>
          <w:rFonts w:cs="Arial"/>
          <w:i/>
          <w:lang w:val="es-MX"/>
        </w:rPr>
        <w:t>“</w:t>
      </w:r>
      <w:r w:rsidR="00C33002" w:rsidRPr="00F604CF">
        <w:rPr>
          <w:rFonts w:cs="Arial"/>
          <w:i/>
          <w:lang w:val="es-MX"/>
        </w:rPr>
        <w:t>La capacidad de trabajo se determina restando a los activos corrientes, los pasivos corrientes, reflejados en el balance general solicitado en el presente pliego de condiciones</w:t>
      </w:r>
      <w:r w:rsidR="00EF60F9" w:rsidRPr="00F604CF">
        <w:rPr>
          <w:rFonts w:cs="Arial"/>
          <w:i/>
          <w:lang w:val="es-MX"/>
        </w:rPr>
        <w:t>. Para el efecto se utilizará la siguiente fórmula:</w:t>
      </w:r>
    </w:p>
    <w:p w14:paraId="58CCC45E" w14:textId="77777777" w:rsidR="00EF60F9" w:rsidRPr="00F604CF" w:rsidRDefault="00EF60F9" w:rsidP="00F604CF">
      <w:pPr>
        <w:pStyle w:val="Continuarlista2"/>
        <w:spacing w:after="0" w:line="276" w:lineRule="auto"/>
        <w:ind w:left="0"/>
        <w:rPr>
          <w:rFonts w:cs="Arial"/>
          <w:i/>
          <w:lang w:val="es-MX"/>
        </w:rPr>
      </w:pPr>
    </w:p>
    <w:p w14:paraId="42961FDE" w14:textId="77777777" w:rsidR="00EF60F9" w:rsidRPr="00F604CF" w:rsidRDefault="00EF60F9" w:rsidP="00F604CF">
      <w:pPr>
        <w:pStyle w:val="Continuarlista2"/>
        <w:spacing w:after="0" w:line="276" w:lineRule="auto"/>
        <w:ind w:left="0"/>
        <w:rPr>
          <w:rFonts w:cs="Arial"/>
          <w:b/>
          <w:i/>
          <w:lang w:val="es-MX"/>
        </w:rPr>
      </w:pPr>
      <w:r w:rsidRPr="00F604CF">
        <w:rPr>
          <w:rFonts w:cs="Arial"/>
          <w:i/>
          <w:lang w:val="es-MX"/>
        </w:rPr>
        <w:t>“</w:t>
      </w:r>
      <w:r w:rsidRPr="00F604CF">
        <w:rPr>
          <w:rFonts w:cs="Arial"/>
          <w:b/>
          <w:i/>
          <w:lang w:val="es-MX"/>
        </w:rPr>
        <w:t>Capital de Trabajo = Activo corriente – Pasivo corriente</w:t>
      </w:r>
    </w:p>
    <w:p w14:paraId="145159B3" w14:textId="77777777" w:rsidR="00EF60F9" w:rsidRPr="00F604CF" w:rsidRDefault="00EF60F9" w:rsidP="00F604CF">
      <w:pPr>
        <w:pStyle w:val="Continuarlista2"/>
        <w:spacing w:after="0" w:line="276" w:lineRule="auto"/>
        <w:ind w:left="0"/>
        <w:rPr>
          <w:rFonts w:cs="Arial"/>
          <w:b/>
          <w:i/>
          <w:lang w:val="es-MX"/>
        </w:rPr>
      </w:pPr>
    </w:p>
    <w:p w14:paraId="0FEAD789" w14:textId="77777777" w:rsidR="007B1984" w:rsidRPr="00F604CF" w:rsidRDefault="00EF60F9" w:rsidP="00F604CF">
      <w:pPr>
        <w:pStyle w:val="Continuarlista2"/>
        <w:spacing w:after="0" w:line="276" w:lineRule="auto"/>
        <w:ind w:left="0"/>
        <w:rPr>
          <w:rFonts w:cs="Arial"/>
          <w:i/>
          <w:lang w:val="es-MX"/>
        </w:rPr>
      </w:pPr>
      <w:r w:rsidRPr="00F604CF">
        <w:rPr>
          <w:rFonts w:cs="Arial"/>
          <w:i/>
          <w:lang w:val="es-MX"/>
        </w:rPr>
        <w:t xml:space="preserve">“En el caso de los consorcios o uniones temporales el capital de trabajo se determinará con la </w:t>
      </w:r>
      <w:r w:rsidR="007B1984" w:rsidRPr="00F604CF">
        <w:rPr>
          <w:rFonts w:cs="Arial"/>
          <w:i/>
          <w:lang w:val="es-MX"/>
        </w:rPr>
        <w:t>sumatoria de los capitales de trabajo de cada uno de los integrantes del consorcio o unión temporal. (…)”</w:t>
      </w:r>
    </w:p>
    <w:p w14:paraId="3F5B5C64" w14:textId="77777777" w:rsidR="007B1984" w:rsidRPr="00F604CF" w:rsidRDefault="007B1984" w:rsidP="00F604CF">
      <w:pPr>
        <w:pStyle w:val="Continuarlista2"/>
        <w:spacing w:after="0" w:line="276" w:lineRule="auto"/>
        <w:ind w:left="0"/>
        <w:rPr>
          <w:rFonts w:cs="Arial"/>
          <w:i/>
          <w:lang w:val="es-MX"/>
        </w:rPr>
      </w:pPr>
    </w:p>
    <w:p w14:paraId="2EF435F5" w14:textId="77777777" w:rsidR="007B1984" w:rsidRPr="00F604CF" w:rsidRDefault="00344F25" w:rsidP="00F604CF">
      <w:pPr>
        <w:pStyle w:val="Continuarlista2"/>
        <w:spacing w:after="0" w:line="276" w:lineRule="auto"/>
        <w:ind w:left="0"/>
        <w:rPr>
          <w:rFonts w:cs="Arial"/>
          <w:i/>
          <w:lang w:val="es-MX"/>
        </w:rPr>
      </w:pPr>
      <w:r w:rsidRPr="00F604CF">
        <w:rPr>
          <w:rFonts w:cs="Arial"/>
          <w:i/>
          <w:lang w:val="es-MX"/>
        </w:rPr>
        <w:t>“</w:t>
      </w:r>
      <w:r w:rsidR="007B1984" w:rsidRPr="00F604CF">
        <w:rPr>
          <w:rFonts w:cs="Arial"/>
          <w:i/>
          <w:lang w:val="es-MX"/>
        </w:rPr>
        <w:t>(…)</w:t>
      </w:r>
      <w:r w:rsidRPr="00F604CF">
        <w:rPr>
          <w:rFonts w:cs="Arial"/>
          <w:i/>
          <w:lang w:val="es-MX"/>
        </w:rPr>
        <w:t>.</w:t>
      </w:r>
    </w:p>
    <w:p w14:paraId="69C6B25F" w14:textId="77777777" w:rsidR="007B1984" w:rsidRPr="00F604CF" w:rsidRDefault="007B1984" w:rsidP="00F604CF">
      <w:pPr>
        <w:pStyle w:val="Continuarlista2"/>
        <w:spacing w:after="0" w:line="276" w:lineRule="auto"/>
        <w:ind w:left="0"/>
        <w:rPr>
          <w:rFonts w:cs="Arial"/>
          <w:i/>
          <w:lang w:val="es-MX"/>
        </w:rPr>
      </w:pPr>
    </w:p>
    <w:p w14:paraId="06B5D376" w14:textId="77777777" w:rsidR="00A10D1F" w:rsidRPr="00F604CF" w:rsidRDefault="00344F25" w:rsidP="00F604CF">
      <w:pPr>
        <w:pStyle w:val="Continuarlista2"/>
        <w:spacing w:after="0" w:line="276" w:lineRule="auto"/>
        <w:ind w:left="0"/>
        <w:rPr>
          <w:rFonts w:cs="Arial"/>
          <w:i/>
          <w:lang w:val="es-MX"/>
        </w:rPr>
      </w:pPr>
      <w:r w:rsidRPr="00F604CF">
        <w:rPr>
          <w:rFonts w:cs="Arial"/>
          <w:i/>
          <w:lang w:val="es-MX"/>
        </w:rPr>
        <w:t>“</w:t>
      </w:r>
      <w:r w:rsidR="00A10D1F" w:rsidRPr="00F604CF">
        <w:rPr>
          <w:rFonts w:cs="Arial"/>
          <w:i/>
          <w:lang w:val="es-MX"/>
        </w:rPr>
        <w:t>Para efectuar la ponderación de las ofertas habilitadas se procederá de acuerdo con la siguiente tabla:</w:t>
      </w:r>
    </w:p>
    <w:p w14:paraId="087E0D65" w14:textId="77777777" w:rsidR="00A10D1F" w:rsidRPr="00F604CF" w:rsidRDefault="00A10D1F" w:rsidP="00F604CF">
      <w:pPr>
        <w:pStyle w:val="Continuarlista2"/>
        <w:spacing w:after="0" w:line="276" w:lineRule="auto"/>
        <w:ind w:left="0"/>
        <w:jc w:val="right"/>
        <w:rPr>
          <w:rFonts w:cs="Arial"/>
          <w:lang w:val="es-MX"/>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2268"/>
      </w:tblGrid>
      <w:tr w:rsidR="00A10D1F" w:rsidRPr="00F604CF" w14:paraId="7D911544" w14:textId="77777777" w:rsidTr="00EC6DFD">
        <w:tc>
          <w:tcPr>
            <w:tcW w:w="5211" w:type="dxa"/>
            <w:shd w:val="clear" w:color="auto" w:fill="auto"/>
          </w:tcPr>
          <w:p w14:paraId="66D47FA8" w14:textId="77777777" w:rsidR="00A10D1F" w:rsidRPr="00F604CF" w:rsidRDefault="00A10D1F" w:rsidP="00F604CF">
            <w:pPr>
              <w:pStyle w:val="Continuarlista2"/>
              <w:spacing w:after="0" w:line="276" w:lineRule="auto"/>
              <w:ind w:left="0"/>
              <w:jc w:val="left"/>
              <w:rPr>
                <w:rFonts w:cs="Arial"/>
                <w:b/>
                <w:i/>
                <w:lang w:val="es-MX"/>
              </w:rPr>
            </w:pPr>
            <w:r w:rsidRPr="00F604CF">
              <w:rPr>
                <w:rFonts w:cs="Arial"/>
                <w:b/>
                <w:i/>
                <w:lang w:val="es-MX"/>
              </w:rPr>
              <w:t>Capital de trabajo</w:t>
            </w:r>
          </w:p>
        </w:tc>
        <w:tc>
          <w:tcPr>
            <w:tcW w:w="2268" w:type="dxa"/>
            <w:shd w:val="clear" w:color="auto" w:fill="auto"/>
          </w:tcPr>
          <w:p w14:paraId="01323111" w14:textId="77777777" w:rsidR="00A10D1F" w:rsidRPr="00F604CF" w:rsidRDefault="00A10D1F" w:rsidP="00F604CF">
            <w:pPr>
              <w:pStyle w:val="Continuarlista2"/>
              <w:spacing w:after="0" w:line="276" w:lineRule="auto"/>
              <w:ind w:left="0"/>
              <w:jc w:val="right"/>
              <w:rPr>
                <w:rFonts w:cs="Arial"/>
                <w:b/>
                <w:i/>
                <w:lang w:val="es-MX"/>
              </w:rPr>
            </w:pPr>
            <w:r w:rsidRPr="00F604CF">
              <w:rPr>
                <w:rFonts w:cs="Arial"/>
                <w:b/>
                <w:i/>
                <w:lang w:val="es-MX"/>
              </w:rPr>
              <w:t>Puntaje</w:t>
            </w:r>
          </w:p>
        </w:tc>
      </w:tr>
      <w:tr w:rsidR="00A10D1F" w:rsidRPr="00F604CF" w14:paraId="5A8F8622" w14:textId="77777777" w:rsidTr="00EC6DFD">
        <w:tc>
          <w:tcPr>
            <w:tcW w:w="5211" w:type="dxa"/>
            <w:shd w:val="clear" w:color="auto" w:fill="auto"/>
          </w:tcPr>
          <w:p w14:paraId="41E9C578" w14:textId="77777777" w:rsidR="00A10D1F" w:rsidRPr="00F604CF" w:rsidRDefault="00A10D1F" w:rsidP="00F604CF">
            <w:pPr>
              <w:pStyle w:val="Continuarlista2"/>
              <w:spacing w:after="0" w:line="276" w:lineRule="auto"/>
              <w:ind w:left="0"/>
              <w:jc w:val="left"/>
              <w:rPr>
                <w:rFonts w:cs="Arial"/>
                <w:i/>
                <w:lang w:val="es-MX"/>
              </w:rPr>
            </w:pPr>
            <w:r w:rsidRPr="00F604CF">
              <w:rPr>
                <w:rFonts w:cs="Arial"/>
                <w:i/>
                <w:lang w:val="es-MX"/>
              </w:rPr>
              <w:t xml:space="preserve">Igual o superior al 25% e inferior al 30% </w:t>
            </w:r>
          </w:p>
        </w:tc>
        <w:tc>
          <w:tcPr>
            <w:tcW w:w="2268" w:type="dxa"/>
            <w:shd w:val="clear" w:color="auto" w:fill="auto"/>
          </w:tcPr>
          <w:p w14:paraId="40496409" w14:textId="77777777" w:rsidR="00A10D1F" w:rsidRPr="00F604CF" w:rsidRDefault="00A10D1F" w:rsidP="00F604CF">
            <w:pPr>
              <w:pStyle w:val="Continuarlista2"/>
              <w:spacing w:after="0" w:line="276" w:lineRule="auto"/>
              <w:ind w:left="0"/>
              <w:jc w:val="right"/>
              <w:rPr>
                <w:rFonts w:cs="Arial"/>
                <w:i/>
                <w:lang w:val="es-MX"/>
              </w:rPr>
            </w:pPr>
            <w:r w:rsidRPr="00F604CF">
              <w:rPr>
                <w:rFonts w:cs="Arial"/>
                <w:i/>
                <w:lang w:val="es-MX"/>
              </w:rPr>
              <w:t>80</w:t>
            </w:r>
          </w:p>
        </w:tc>
      </w:tr>
      <w:tr w:rsidR="00A10D1F" w:rsidRPr="00F604CF" w14:paraId="3DBCAC83" w14:textId="77777777" w:rsidTr="00EC6DFD">
        <w:tc>
          <w:tcPr>
            <w:tcW w:w="5211" w:type="dxa"/>
            <w:shd w:val="clear" w:color="auto" w:fill="auto"/>
          </w:tcPr>
          <w:p w14:paraId="4F19B086" w14:textId="77777777" w:rsidR="00A10D1F" w:rsidRPr="00F604CF" w:rsidRDefault="00A10D1F" w:rsidP="00F604CF">
            <w:pPr>
              <w:pStyle w:val="Continuarlista2"/>
              <w:spacing w:after="0" w:line="276" w:lineRule="auto"/>
              <w:ind w:left="0"/>
              <w:jc w:val="left"/>
              <w:rPr>
                <w:rFonts w:cs="Arial"/>
                <w:i/>
                <w:lang w:val="es-MX"/>
              </w:rPr>
            </w:pPr>
            <w:r w:rsidRPr="00F604CF">
              <w:rPr>
                <w:rFonts w:cs="Arial"/>
                <w:i/>
                <w:lang w:val="es-MX"/>
              </w:rPr>
              <w:t>Igual o superior al 30% en inferior al 40%</w:t>
            </w:r>
          </w:p>
        </w:tc>
        <w:tc>
          <w:tcPr>
            <w:tcW w:w="2268" w:type="dxa"/>
            <w:shd w:val="clear" w:color="auto" w:fill="auto"/>
          </w:tcPr>
          <w:p w14:paraId="2795ED48" w14:textId="77777777" w:rsidR="00A10D1F" w:rsidRPr="00F604CF" w:rsidRDefault="00344F25" w:rsidP="00F604CF">
            <w:pPr>
              <w:pStyle w:val="Continuarlista2"/>
              <w:spacing w:after="0" w:line="276" w:lineRule="auto"/>
              <w:ind w:left="0"/>
              <w:jc w:val="right"/>
              <w:rPr>
                <w:rFonts w:cs="Arial"/>
                <w:i/>
                <w:lang w:val="es-MX"/>
              </w:rPr>
            </w:pPr>
            <w:r w:rsidRPr="00F604CF">
              <w:rPr>
                <w:rFonts w:cs="Arial"/>
                <w:i/>
                <w:lang w:val="es-MX"/>
              </w:rPr>
              <w:t>90</w:t>
            </w:r>
          </w:p>
        </w:tc>
      </w:tr>
      <w:tr w:rsidR="00A10D1F" w:rsidRPr="00F604CF" w14:paraId="631C37F8" w14:textId="77777777" w:rsidTr="00EC6DFD">
        <w:tc>
          <w:tcPr>
            <w:tcW w:w="5211" w:type="dxa"/>
            <w:shd w:val="clear" w:color="auto" w:fill="auto"/>
          </w:tcPr>
          <w:p w14:paraId="0A32F0C4" w14:textId="77777777" w:rsidR="00A10D1F" w:rsidRPr="00F604CF" w:rsidRDefault="00A10D1F" w:rsidP="00F604CF">
            <w:pPr>
              <w:pStyle w:val="Continuarlista2"/>
              <w:spacing w:after="0" w:line="276" w:lineRule="auto"/>
              <w:ind w:left="0"/>
              <w:jc w:val="left"/>
              <w:rPr>
                <w:rFonts w:cs="Arial"/>
                <w:i/>
                <w:lang w:val="es-MX"/>
              </w:rPr>
            </w:pPr>
            <w:r w:rsidRPr="00F604CF">
              <w:rPr>
                <w:rFonts w:cs="Arial"/>
                <w:i/>
                <w:lang w:val="es-MX"/>
              </w:rPr>
              <w:t>Superior al 40%</w:t>
            </w:r>
          </w:p>
        </w:tc>
        <w:tc>
          <w:tcPr>
            <w:tcW w:w="2268" w:type="dxa"/>
            <w:shd w:val="clear" w:color="auto" w:fill="auto"/>
          </w:tcPr>
          <w:p w14:paraId="5F4B3424" w14:textId="77777777" w:rsidR="00A10D1F" w:rsidRPr="00F604CF" w:rsidRDefault="00344F25" w:rsidP="00F604CF">
            <w:pPr>
              <w:pStyle w:val="Continuarlista2"/>
              <w:spacing w:after="0" w:line="276" w:lineRule="auto"/>
              <w:ind w:left="0"/>
              <w:jc w:val="right"/>
              <w:rPr>
                <w:rFonts w:cs="Arial"/>
                <w:i/>
                <w:lang w:val="es-MX"/>
              </w:rPr>
            </w:pPr>
            <w:r w:rsidRPr="00F604CF">
              <w:rPr>
                <w:rFonts w:cs="Arial"/>
                <w:i/>
                <w:lang w:val="es-MX"/>
              </w:rPr>
              <w:t>100</w:t>
            </w:r>
          </w:p>
        </w:tc>
      </w:tr>
    </w:tbl>
    <w:p w14:paraId="4C9C1EB4" w14:textId="77777777" w:rsidR="00A10D1F" w:rsidRPr="00F604CF" w:rsidRDefault="00A10D1F" w:rsidP="00F604CF">
      <w:pPr>
        <w:pStyle w:val="Continuarlista2"/>
        <w:spacing w:after="0" w:line="276" w:lineRule="auto"/>
        <w:ind w:left="0"/>
        <w:jc w:val="right"/>
        <w:rPr>
          <w:rFonts w:cs="Arial"/>
          <w:lang w:val="es-MX"/>
        </w:rPr>
      </w:pPr>
      <w:r w:rsidRPr="00F604CF">
        <w:rPr>
          <w:rFonts w:cs="Arial"/>
          <w:lang w:val="es-MX"/>
        </w:rPr>
        <w:t xml:space="preserve"> </w:t>
      </w:r>
    </w:p>
    <w:p w14:paraId="1C52B1AA" w14:textId="77777777" w:rsidR="00EF60F9" w:rsidRPr="00F604CF" w:rsidRDefault="002374D7" w:rsidP="00F604CF">
      <w:pPr>
        <w:pStyle w:val="Continuarlista2"/>
        <w:spacing w:after="0" w:line="276" w:lineRule="auto"/>
        <w:ind w:left="0"/>
        <w:rPr>
          <w:rFonts w:cs="Arial"/>
          <w:i/>
          <w:lang w:val="es-MX"/>
        </w:rPr>
      </w:pPr>
      <w:r w:rsidRPr="00F604CF">
        <w:rPr>
          <w:rFonts w:cs="Arial"/>
          <w:i/>
          <w:lang w:val="es-MX"/>
        </w:rPr>
        <w:t>“</w:t>
      </w:r>
      <w:r w:rsidR="007B1984" w:rsidRPr="00F604CF">
        <w:rPr>
          <w:rFonts w:cs="Arial"/>
          <w:i/>
          <w:lang w:val="es-MX"/>
        </w:rPr>
        <w:t>Cuando el capital de trabajo que se acredite para el proceso de contratación sea menor al capital de trabajo requerido, la oferta será rechazada”</w:t>
      </w:r>
      <w:r w:rsidR="00E172BF" w:rsidRPr="00F604CF">
        <w:rPr>
          <w:rStyle w:val="Refdenotaalpie"/>
          <w:rFonts w:cs="Arial"/>
          <w:i/>
          <w:lang w:val="es-MX"/>
        </w:rPr>
        <w:footnoteReference w:id="52"/>
      </w:r>
      <w:r w:rsidR="007B1984" w:rsidRPr="00F604CF">
        <w:rPr>
          <w:rFonts w:cs="Arial"/>
          <w:i/>
          <w:lang w:val="es-MX"/>
        </w:rPr>
        <w:t xml:space="preserve">. </w:t>
      </w:r>
    </w:p>
    <w:p w14:paraId="2B768B2B" w14:textId="77777777" w:rsidR="00344F25" w:rsidRPr="00F604CF" w:rsidRDefault="00344F25" w:rsidP="00F604CF">
      <w:pPr>
        <w:pStyle w:val="Continuarlista2"/>
        <w:spacing w:after="0" w:line="276" w:lineRule="auto"/>
        <w:ind w:left="0"/>
        <w:rPr>
          <w:rFonts w:cs="Arial"/>
          <w:i/>
          <w:lang w:val="es-MX"/>
        </w:rPr>
      </w:pPr>
    </w:p>
    <w:p w14:paraId="7DC5C43D" w14:textId="77777777" w:rsidR="00A368D3" w:rsidRPr="00F604CF" w:rsidRDefault="0018370A" w:rsidP="00F604CF">
      <w:pPr>
        <w:pStyle w:val="Continuarlista2"/>
        <w:spacing w:after="0"/>
        <w:ind w:left="0"/>
        <w:rPr>
          <w:rFonts w:cs="Arial"/>
          <w:lang w:val="es-MX"/>
        </w:rPr>
      </w:pPr>
      <w:r w:rsidRPr="00F604CF">
        <w:rPr>
          <w:rFonts w:cs="Arial"/>
          <w:lang w:val="es-MX"/>
        </w:rPr>
        <w:t xml:space="preserve">Siguiendo el contenido de los </w:t>
      </w:r>
      <w:r w:rsidR="0087486D" w:rsidRPr="00F604CF">
        <w:rPr>
          <w:rFonts w:cs="Arial"/>
          <w:lang w:val="es-MX"/>
        </w:rPr>
        <w:t>apartes transcritos, s</w:t>
      </w:r>
      <w:r w:rsidR="00344F25" w:rsidRPr="00F604CF">
        <w:rPr>
          <w:rFonts w:cs="Arial"/>
          <w:lang w:val="es-MX"/>
        </w:rPr>
        <w:t xml:space="preserve">e observa que </w:t>
      </w:r>
      <w:r w:rsidR="00944480" w:rsidRPr="00F604CF">
        <w:rPr>
          <w:rFonts w:cs="Arial"/>
          <w:lang w:val="es-MX"/>
        </w:rPr>
        <w:t xml:space="preserve">los </w:t>
      </w:r>
      <w:r w:rsidR="00A351AC" w:rsidRPr="00F604CF">
        <w:rPr>
          <w:rFonts w:cs="Arial"/>
          <w:lang w:val="es-MX"/>
        </w:rPr>
        <w:t>índice</w:t>
      </w:r>
      <w:r w:rsidR="00944480" w:rsidRPr="00F604CF">
        <w:rPr>
          <w:rFonts w:cs="Arial"/>
          <w:lang w:val="es-MX"/>
        </w:rPr>
        <w:t>s</w:t>
      </w:r>
      <w:r w:rsidR="00A351AC" w:rsidRPr="00F604CF">
        <w:rPr>
          <w:rFonts w:cs="Arial"/>
          <w:lang w:val="es-MX"/>
        </w:rPr>
        <w:t xml:space="preserve"> de liquidez y </w:t>
      </w:r>
      <w:r w:rsidR="00944480" w:rsidRPr="00F604CF">
        <w:rPr>
          <w:rFonts w:cs="Arial"/>
          <w:lang w:val="es-MX"/>
        </w:rPr>
        <w:t xml:space="preserve">de </w:t>
      </w:r>
      <w:r w:rsidR="004C5B41" w:rsidRPr="00F604CF">
        <w:rPr>
          <w:rFonts w:cs="Arial"/>
          <w:lang w:val="es-MX"/>
        </w:rPr>
        <w:t>capital de trabajo de las uniones temporales se calificab</w:t>
      </w:r>
      <w:r w:rsidR="00A351AC" w:rsidRPr="00F604CF">
        <w:rPr>
          <w:rFonts w:cs="Arial"/>
          <w:lang w:val="es-MX"/>
        </w:rPr>
        <w:t>an con fundamento en las cifras de activo y pasivo corriente</w:t>
      </w:r>
      <w:r w:rsidR="00ED467E" w:rsidRPr="00F604CF">
        <w:rPr>
          <w:rFonts w:cs="Arial"/>
          <w:lang w:val="es-MX"/>
        </w:rPr>
        <w:t>. T</w:t>
      </w:r>
      <w:r w:rsidR="00A368D3" w:rsidRPr="00F604CF">
        <w:rPr>
          <w:rFonts w:cs="Arial"/>
          <w:lang w:val="es-MX"/>
        </w:rPr>
        <w:t xml:space="preserve">ratándose del índice de liquidez, se calculaba con base en el </w:t>
      </w:r>
      <w:r w:rsidR="00740719" w:rsidRPr="00F604CF">
        <w:rPr>
          <w:rFonts w:cs="Arial"/>
          <w:lang w:val="es-MX"/>
        </w:rPr>
        <w:t>promedio de l</w:t>
      </w:r>
      <w:r w:rsidR="00A03DAF" w:rsidRPr="00F604CF">
        <w:rPr>
          <w:rFonts w:cs="Arial"/>
          <w:lang w:val="es-MX"/>
        </w:rPr>
        <w:t>a sumatoria</w:t>
      </w:r>
      <w:r w:rsidR="00EC4644" w:rsidRPr="00F604CF">
        <w:rPr>
          <w:rFonts w:cs="Arial"/>
          <w:lang w:val="es-MX"/>
        </w:rPr>
        <w:t xml:space="preserve"> de los </w:t>
      </w:r>
      <w:r w:rsidR="0087486D" w:rsidRPr="00F604CF">
        <w:rPr>
          <w:rFonts w:cs="Arial"/>
          <w:lang w:val="es-MX"/>
        </w:rPr>
        <w:t xml:space="preserve">valores acreditados por los </w:t>
      </w:r>
      <w:r w:rsidR="00EC4644" w:rsidRPr="00F604CF">
        <w:rPr>
          <w:rFonts w:cs="Arial"/>
          <w:lang w:val="es-MX"/>
        </w:rPr>
        <w:t>miembros de la respectiva unión temporal</w:t>
      </w:r>
      <w:r w:rsidR="00944480" w:rsidRPr="00F604CF">
        <w:rPr>
          <w:rFonts w:cs="Arial"/>
          <w:lang w:val="es-MX"/>
        </w:rPr>
        <w:t xml:space="preserve"> </w:t>
      </w:r>
      <w:r w:rsidR="00A03DAF" w:rsidRPr="00F604CF">
        <w:rPr>
          <w:rFonts w:cs="Arial"/>
          <w:lang w:val="es-MX"/>
        </w:rPr>
        <w:t xml:space="preserve">y </w:t>
      </w:r>
      <w:r w:rsidR="00A368D3" w:rsidRPr="00F604CF">
        <w:rPr>
          <w:rFonts w:cs="Arial"/>
          <w:lang w:val="es-MX"/>
        </w:rPr>
        <w:t xml:space="preserve">para el indicador de capital de trabajo se </w:t>
      </w:r>
      <w:r w:rsidR="00ED467E" w:rsidRPr="00F604CF">
        <w:rPr>
          <w:rFonts w:cs="Arial"/>
          <w:lang w:val="es-MX"/>
        </w:rPr>
        <w:t xml:space="preserve">debía tener en cuenta </w:t>
      </w:r>
      <w:r w:rsidR="00A351AC" w:rsidRPr="00F604CF">
        <w:rPr>
          <w:rFonts w:cs="Arial"/>
          <w:lang w:val="es-MX"/>
        </w:rPr>
        <w:t xml:space="preserve">la </w:t>
      </w:r>
      <w:r w:rsidR="004C5B41" w:rsidRPr="00F604CF">
        <w:rPr>
          <w:rFonts w:cs="Arial"/>
          <w:lang w:val="es-MX"/>
        </w:rPr>
        <w:t xml:space="preserve">sumatoria de los </w:t>
      </w:r>
      <w:r w:rsidR="00E3074C" w:rsidRPr="00F604CF">
        <w:rPr>
          <w:rFonts w:cs="Arial"/>
          <w:lang w:val="es-MX"/>
        </w:rPr>
        <w:t xml:space="preserve">valores </w:t>
      </w:r>
      <w:r w:rsidR="00A351AC" w:rsidRPr="00F604CF">
        <w:rPr>
          <w:rFonts w:cs="Arial"/>
          <w:lang w:val="es-MX"/>
        </w:rPr>
        <w:t xml:space="preserve">acreditados de manera individual por </w:t>
      </w:r>
      <w:r w:rsidR="00E3074C" w:rsidRPr="00F604CF">
        <w:rPr>
          <w:rFonts w:cs="Arial"/>
          <w:lang w:val="es-MX"/>
        </w:rPr>
        <w:t>los distintos partícipes de la unión temporal</w:t>
      </w:r>
      <w:r w:rsidR="00A368D3" w:rsidRPr="00F604CF">
        <w:rPr>
          <w:rFonts w:cs="Arial"/>
          <w:lang w:val="es-MX"/>
        </w:rPr>
        <w:t>.</w:t>
      </w:r>
    </w:p>
    <w:p w14:paraId="27064D46" w14:textId="77777777" w:rsidR="0087486D" w:rsidRPr="00F604CF" w:rsidRDefault="00A368D3" w:rsidP="00F604CF">
      <w:pPr>
        <w:pStyle w:val="Continuarlista2"/>
        <w:spacing w:after="0"/>
        <w:ind w:left="0"/>
        <w:rPr>
          <w:rFonts w:cs="Arial"/>
          <w:lang w:val="es-MX"/>
        </w:rPr>
      </w:pPr>
      <w:r w:rsidRPr="00F604CF">
        <w:rPr>
          <w:rFonts w:cs="Arial"/>
          <w:lang w:val="es-MX"/>
        </w:rPr>
        <w:t xml:space="preserve"> </w:t>
      </w:r>
    </w:p>
    <w:p w14:paraId="37CF4CAC" w14:textId="77777777" w:rsidR="00E3074C" w:rsidRPr="00F604CF" w:rsidRDefault="0087486D" w:rsidP="00F604CF">
      <w:pPr>
        <w:pStyle w:val="Continuarlista2"/>
        <w:spacing w:after="0"/>
        <w:ind w:left="0"/>
        <w:rPr>
          <w:rFonts w:cs="Arial"/>
          <w:lang w:val="es-MX"/>
        </w:rPr>
      </w:pPr>
      <w:r w:rsidRPr="00F604CF">
        <w:rPr>
          <w:rFonts w:cs="Arial"/>
          <w:lang w:val="es-MX"/>
        </w:rPr>
        <w:t xml:space="preserve">Además, </w:t>
      </w:r>
      <w:r w:rsidR="00EC4644" w:rsidRPr="00F604CF">
        <w:rPr>
          <w:rFonts w:cs="Arial"/>
          <w:lang w:val="es-MX"/>
        </w:rPr>
        <w:t>en</w:t>
      </w:r>
      <w:r w:rsidR="00A03DAF" w:rsidRPr="00F604CF">
        <w:rPr>
          <w:rFonts w:cs="Arial"/>
          <w:lang w:val="es-MX"/>
        </w:rPr>
        <w:t xml:space="preserve"> </w:t>
      </w:r>
      <w:r w:rsidR="009455EE" w:rsidRPr="00F604CF">
        <w:rPr>
          <w:rFonts w:cs="Arial"/>
          <w:lang w:val="es-MX"/>
        </w:rPr>
        <w:t xml:space="preserve">relación con </w:t>
      </w:r>
      <w:r w:rsidR="00B976BB" w:rsidRPr="00F604CF">
        <w:rPr>
          <w:rFonts w:cs="Arial"/>
          <w:lang w:val="es-MX"/>
        </w:rPr>
        <w:t xml:space="preserve">los citados </w:t>
      </w:r>
      <w:r w:rsidR="009455EE" w:rsidRPr="00F604CF">
        <w:rPr>
          <w:rFonts w:cs="Arial"/>
          <w:lang w:val="es-MX"/>
        </w:rPr>
        <w:t xml:space="preserve">indicadores, la </w:t>
      </w:r>
      <w:r w:rsidR="00A03DAF" w:rsidRPr="00F604CF">
        <w:rPr>
          <w:rFonts w:cs="Arial"/>
          <w:lang w:val="es-MX"/>
        </w:rPr>
        <w:t xml:space="preserve">calificación mayor se asignaba </w:t>
      </w:r>
      <w:r w:rsidR="009455EE" w:rsidRPr="00F604CF">
        <w:rPr>
          <w:rFonts w:cs="Arial"/>
          <w:lang w:val="es-MX"/>
        </w:rPr>
        <w:t xml:space="preserve">con base en las cifras contenidas en los estados financieros, </w:t>
      </w:r>
      <w:r w:rsidR="00E3074C" w:rsidRPr="00F604CF">
        <w:rPr>
          <w:rFonts w:cs="Arial"/>
          <w:lang w:val="es-MX"/>
        </w:rPr>
        <w:t>pondera</w:t>
      </w:r>
      <w:r w:rsidR="00A03DAF" w:rsidRPr="00F604CF">
        <w:rPr>
          <w:rFonts w:cs="Arial"/>
          <w:lang w:val="es-MX"/>
        </w:rPr>
        <w:t>da</w:t>
      </w:r>
      <w:r w:rsidR="00E3074C" w:rsidRPr="00F604CF">
        <w:rPr>
          <w:rFonts w:cs="Arial"/>
          <w:lang w:val="es-MX"/>
        </w:rPr>
        <w:t xml:space="preserve"> en relación</w:t>
      </w:r>
      <w:r w:rsidR="001041A4" w:rsidRPr="00F604CF">
        <w:rPr>
          <w:rFonts w:cs="Arial"/>
          <w:lang w:val="es-MX"/>
        </w:rPr>
        <w:t xml:space="preserve"> con </w:t>
      </w:r>
      <w:r w:rsidR="00E3074C" w:rsidRPr="00F604CF">
        <w:rPr>
          <w:rFonts w:cs="Arial"/>
          <w:lang w:val="es-MX"/>
        </w:rPr>
        <w:t>la</w:t>
      </w:r>
      <w:r w:rsidR="001041A4" w:rsidRPr="00F604CF">
        <w:rPr>
          <w:rFonts w:cs="Arial"/>
          <w:lang w:val="es-MX"/>
        </w:rPr>
        <w:t>s</w:t>
      </w:r>
      <w:r w:rsidR="004C5B41" w:rsidRPr="00F604CF">
        <w:rPr>
          <w:rFonts w:cs="Arial"/>
          <w:lang w:val="es-MX"/>
        </w:rPr>
        <w:t xml:space="preserve"> distintas propuestas</w:t>
      </w:r>
      <w:r w:rsidR="001041A4" w:rsidRPr="00F604CF">
        <w:rPr>
          <w:rFonts w:cs="Arial"/>
          <w:lang w:val="es-MX"/>
        </w:rPr>
        <w:t xml:space="preserve"> habilitadas</w:t>
      </w:r>
      <w:r w:rsidR="00A03DAF" w:rsidRPr="00F604CF">
        <w:rPr>
          <w:rFonts w:cs="Arial"/>
          <w:lang w:val="es-MX"/>
        </w:rPr>
        <w:t xml:space="preserve">, </w:t>
      </w:r>
      <w:r w:rsidR="00B976BB" w:rsidRPr="00F604CF">
        <w:rPr>
          <w:rFonts w:cs="Arial"/>
          <w:lang w:val="es-MX"/>
        </w:rPr>
        <w:t xml:space="preserve">en la forma como se indicó en los </w:t>
      </w:r>
      <w:r w:rsidR="00A03DAF" w:rsidRPr="00F604CF">
        <w:rPr>
          <w:rFonts w:cs="Arial"/>
          <w:lang w:val="es-MX"/>
        </w:rPr>
        <w:t>cuadros transcritos</w:t>
      </w:r>
      <w:r w:rsidR="004C5B41" w:rsidRPr="00F604CF">
        <w:rPr>
          <w:rFonts w:cs="Arial"/>
          <w:lang w:val="es-MX"/>
        </w:rPr>
        <w:t xml:space="preserve">. </w:t>
      </w:r>
    </w:p>
    <w:p w14:paraId="26BD3EF3" w14:textId="77777777" w:rsidR="00944480" w:rsidRPr="00F604CF" w:rsidRDefault="00944480" w:rsidP="00F604CF">
      <w:pPr>
        <w:pStyle w:val="Continuarlista2"/>
        <w:spacing w:after="0"/>
        <w:ind w:left="0"/>
        <w:rPr>
          <w:rFonts w:cs="Arial"/>
          <w:lang w:val="es-MX"/>
        </w:rPr>
      </w:pPr>
    </w:p>
    <w:p w14:paraId="4524A94C" w14:textId="77777777" w:rsidR="00D03E70" w:rsidRPr="00F604CF" w:rsidRDefault="00D03E70" w:rsidP="00F604CF">
      <w:pPr>
        <w:pStyle w:val="Continuarlista2"/>
        <w:spacing w:after="0"/>
        <w:ind w:left="0"/>
        <w:rPr>
          <w:rFonts w:cs="Arial"/>
          <w:b/>
          <w:lang w:val="es-MX"/>
        </w:rPr>
      </w:pPr>
      <w:r w:rsidRPr="00F604CF">
        <w:rPr>
          <w:rFonts w:cs="Arial"/>
          <w:b/>
          <w:lang w:val="es-MX"/>
        </w:rPr>
        <w:t xml:space="preserve">6.2 Pruebas acerca del procedimiento utilizado en el caso </w:t>
      </w:r>
      <w:r w:rsidRPr="00F604CF">
        <w:rPr>
          <w:rFonts w:cs="Arial"/>
          <w:b/>
          <w:i/>
          <w:lang w:val="es-MX"/>
        </w:rPr>
        <w:t>sub lite</w:t>
      </w:r>
    </w:p>
    <w:p w14:paraId="2A7FAB37" w14:textId="77777777" w:rsidR="00D03E70" w:rsidRPr="00F604CF" w:rsidRDefault="00D03E70" w:rsidP="00F604CF">
      <w:pPr>
        <w:pStyle w:val="Continuarlista2"/>
        <w:spacing w:after="0"/>
        <w:ind w:left="0"/>
        <w:rPr>
          <w:rFonts w:cs="Arial"/>
          <w:lang w:val="es-MX"/>
        </w:rPr>
      </w:pPr>
    </w:p>
    <w:p w14:paraId="7ED83851" w14:textId="77777777" w:rsidR="00E246A1" w:rsidRPr="00F604CF" w:rsidRDefault="00EC24DA" w:rsidP="00F604CF">
      <w:pPr>
        <w:pStyle w:val="Continuarlista2"/>
        <w:spacing w:after="0"/>
        <w:ind w:left="0"/>
        <w:rPr>
          <w:rFonts w:cs="Arial"/>
          <w:lang w:val="es-MX"/>
        </w:rPr>
      </w:pPr>
      <w:r w:rsidRPr="00F604CF">
        <w:rPr>
          <w:rFonts w:cs="Arial"/>
          <w:lang w:val="es-MX"/>
        </w:rPr>
        <w:t>Se encuentra probado que la Unión Temporal Calimeño y el señor Ramiro Rivera Ramírez presentaron sus propuesta el 12 de agosto de 2005</w:t>
      </w:r>
      <w:r w:rsidRPr="00F604CF">
        <w:rPr>
          <w:rStyle w:val="Refdenotaalpie"/>
          <w:rFonts w:cs="Arial"/>
          <w:lang w:val="es-MX"/>
        </w:rPr>
        <w:footnoteReference w:id="53"/>
      </w:r>
      <w:r w:rsidR="00E246A1" w:rsidRPr="00F604CF">
        <w:rPr>
          <w:rFonts w:cs="Arial"/>
          <w:lang w:val="es-MX"/>
        </w:rPr>
        <w:t>.</w:t>
      </w:r>
    </w:p>
    <w:p w14:paraId="47F56560" w14:textId="77777777" w:rsidR="00EC24DA" w:rsidRPr="00F604CF" w:rsidRDefault="00EC24DA" w:rsidP="00F604CF">
      <w:pPr>
        <w:pStyle w:val="Continuarlista2"/>
        <w:spacing w:after="0"/>
        <w:ind w:left="0"/>
        <w:rPr>
          <w:rFonts w:cs="Arial"/>
          <w:lang w:val="es-MX"/>
        </w:rPr>
      </w:pPr>
      <w:r w:rsidRPr="00F604CF">
        <w:rPr>
          <w:rFonts w:cs="Arial"/>
          <w:lang w:val="es-MX"/>
        </w:rPr>
        <w:t xml:space="preserve"> </w:t>
      </w:r>
    </w:p>
    <w:p w14:paraId="2C3EE7B9" w14:textId="77777777" w:rsidR="00EC24DA" w:rsidRPr="00F604CF" w:rsidRDefault="00EC24DA" w:rsidP="00F604CF">
      <w:pPr>
        <w:rPr>
          <w:rFonts w:cs="Arial"/>
        </w:rPr>
      </w:pPr>
      <w:r w:rsidRPr="00F604CF">
        <w:rPr>
          <w:rFonts w:cs="Arial"/>
        </w:rPr>
        <w:t>Consta en el plenario que uno de los miembros del comité evaluador libró los oficios SED BS 061 de 29 de agosto de 2005, SED BS 068 y SED BS 069 de 31 de agosto de 2005, mediante los cuales solicitó a la Unión Temporal Calimeño allegar el dictamen de los estados fin</w:t>
      </w:r>
      <w:r w:rsidR="00D03E70" w:rsidRPr="00F604CF">
        <w:rPr>
          <w:rFonts w:cs="Arial"/>
        </w:rPr>
        <w:t>an</w:t>
      </w:r>
      <w:r w:rsidRPr="00F604CF">
        <w:rPr>
          <w:rFonts w:cs="Arial"/>
        </w:rPr>
        <w:t xml:space="preserve">cieros de </w:t>
      </w:r>
      <w:r w:rsidR="00D03E70" w:rsidRPr="00F604CF">
        <w:rPr>
          <w:rFonts w:cs="Arial"/>
        </w:rPr>
        <w:t xml:space="preserve">la sociedad </w:t>
      </w:r>
      <w:r w:rsidRPr="00F604CF">
        <w:rPr>
          <w:rFonts w:cs="Arial"/>
        </w:rPr>
        <w:t>Representaciones y Ediciones Eliber Ltda</w:t>
      </w:r>
      <w:r w:rsidR="002B292A" w:rsidRPr="00F604CF">
        <w:rPr>
          <w:rFonts w:cs="Arial"/>
        </w:rPr>
        <w:t xml:space="preserve"> y el balance de esa misma sociedad con las formalidades establecidas en el pliego de condiciones</w:t>
      </w:r>
      <w:r w:rsidR="00E246A1" w:rsidRPr="00F604CF">
        <w:rPr>
          <w:rFonts w:cs="Arial"/>
        </w:rPr>
        <w:t>,</w:t>
      </w:r>
      <w:r w:rsidR="002B292A" w:rsidRPr="00F604CF">
        <w:rPr>
          <w:rFonts w:cs="Arial"/>
        </w:rPr>
        <w:t xml:space="preserve"> en cuanto a la agrupación de las cifras de activo corriente y no corriente. Igualmente </w:t>
      </w:r>
      <w:r w:rsidR="00E246A1" w:rsidRPr="00F604CF">
        <w:rPr>
          <w:rFonts w:cs="Arial"/>
        </w:rPr>
        <w:t xml:space="preserve">se requirió </w:t>
      </w:r>
      <w:r w:rsidRPr="00F604CF">
        <w:rPr>
          <w:rFonts w:cs="Arial"/>
        </w:rPr>
        <w:t>el balance correspondiente a</w:t>
      </w:r>
      <w:r w:rsidR="0087486D" w:rsidRPr="00F604CF">
        <w:rPr>
          <w:rFonts w:cs="Arial"/>
        </w:rPr>
        <w:t xml:space="preserve">l señor </w:t>
      </w:r>
      <w:r w:rsidRPr="00F604CF">
        <w:rPr>
          <w:rFonts w:cs="Arial"/>
        </w:rPr>
        <w:t xml:space="preserve">Carlos Alfredo Giraldo debidamente firmado y, por otra parte, </w:t>
      </w:r>
      <w:r w:rsidR="00E246A1" w:rsidRPr="00F604CF">
        <w:rPr>
          <w:rFonts w:cs="Arial"/>
        </w:rPr>
        <w:t>se</w:t>
      </w:r>
      <w:r w:rsidRPr="00F604CF">
        <w:rPr>
          <w:rFonts w:cs="Arial"/>
        </w:rPr>
        <w:t xml:space="preserve"> solicitó entregar información sobre la participación de la sociedad </w:t>
      </w:r>
      <w:r w:rsidR="00E246A1" w:rsidRPr="00F604CF">
        <w:rPr>
          <w:rFonts w:cs="Arial"/>
        </w:rPr>
        <w:t xml:space="preserve">antes citada </w:t>
      </w:r>
      <w:r w:rsidRPr="00F604CF">
        <w:rPr>
          <w:rFonts w:cs="Arial"/>
        </w:rPr>
        <w:t>en una uni</w:t>
      </w:r>
      <w:r w:rsidR="00D03E70" w:rsidRPr="00F604CF">
        <w:rPr>
          <w:rFonts w:cs="Arial"/>
        </w:rPr>
        <w:t>ó</w:t>
      </w:r>
      <w:r w:rsidRPr="00F604CF">
        <w:rPr>
          <w:rFonts w:cs="Arial"/>
        </w:rPr>
        <w:t>n temporal</w:t>
      </w:r>
      <w:r w:rsidR="00D03E70" w:rsidRPr="00F604CF">
        <w:rPr>
          <w:rFonts w:cs="Arial"/>
        </w:rPr>
        <w:t>,</w:t>
      </w:r>
      <w:r w:rsidRPr="00F604CF">
        <w:rPr>
          <w:rFonts w:cs="Arial"/>
        </w:rPr>
        <w:t xml:space="preserve"> referida en uno de los contratos relacionados </w:t>
      </w:r>
      <w:r w:rsidR="00630871" w:rsidRPr="00F604CF">
        <w:rPr>
          <w:rFonts w:cs="Arial"/>
        </w:rPr>
        <w:t xml:space="preserve">con la </w:t>
      </w:r>
      <w:r w:rsidRPr="00F604CF">
        <w:rPr>
          <w:rFonts w:cs="Arial"/>
        </w:rPr>
        <w:t xml:space="preserve">experiencia y </w:t>
      </w:r>
      <w:r w:rsidR="00D03E70" w:rsidRPr="00F604CF">
        <w:rPr>
          <w:rFonts w:cs="Arial"/>
        </w:rPr>
        <w:t xml:space="preserve">la requirió para </w:t>
      </w:r>
      <w:r w:rsidRPr="00F604CF">
        <w:rPr>
          <w:rFonts w:cs="Arial"/>
        </w:rPr>
        <w:t xml:space="preserve">allegar </w:t>
      </w:r>
      <w:r w:rsidR="000B444F" w:rsidRPr="00F604CF">
        <w:rPr>
          <w:rFonts w:cs="Arial"/>
        </w:rPr>
        <w:t>otras</w:t>
      </w:r>
      <w:r w:rsidRPr="00F604CF">
        <w:rPr>
          <w:rFonts w:cs="Arial"/>
        </w:rPr>
        <w:t xml:space="preserve"> certificaciones de los contratos </w:t>
      </w:r>
      <w:r w:rsidR="000B444F" w:rsidRPr="00F604CF">
        <w:rPr>
          <w:rFonts w:cs="Arial"/>
        </w:rPr>
        <w:t xml:space="preserve">celebrados </w:t>
      </w:r>
      <w:r w:rsidRPr="00F604CF">
        <w:rPr>
          <w:rFonts w:cs="Arial"/>
        </w:rPr>
        <w:t>con el SECAB y el Ministerio de Educación.</w:t>
      </w:r>
    </w:p>
    <w:p w14:paraId="044C6181" w14:textId="77777777" w:rsidR="00E246A1" w:rsidRPr="00F604CF" w:rsidRDefault="00E246A1" w:rsidP="00F604CF">
      <w:pPr>
        <w:rPr>
          <w:rFonts w:cs="Arial"/>
        </w:rPr>
      </w:pPr>
    </w:p>
    <w:p w14:paraId="0145354F" w14:textId="77777777" w:rsidR="008C51DD" w:rsidRPr="00F604CF" w:rsidRDefault="00345F4A" w:rsidP="00F604CF">
      <w:pPr>
        <w:rPr>
          <w:rFonts w:cs="Arial"/>
        </w:rPr>
      </w:pPr>
      <w:r w:rsidRPr="00F604CF">
        <w:rPr>
          <w:rFonts w:cs="Arial"/>
        </w:rPr>
        <w:t xml:space="preserve">De la misma forma, </w:t>
      </w:r>
      <w:r w:rsidR="00EC24DA" w:rsidRPr="00F604CF">
        <w:rPr>
          <w:rFonts w:cs="Arial"/>
        </w:rPr>
        <w:t xml:space="preserve">se </w:t>
      </w:r>
      <w:r w:rsidR="00CC22F3" w:rsidRPr="00F604CF">
        <w:rPr>
          <w:rFonts w:cs="Arial"/>
        </w:rPr>
        <w:t>encuentra acreditado que la Unión Temporal Calimeñ</w:t>
      </w:r>
      <w:r w:rsidRPr="00F604CF">
        <w:rPr>
          <w:rFonts w:cs="Arial"/>
        </w:rPr>
        <w:t>o</w:t>
      </w:r>
      <w:r w:rsidR="00CC22F3" w:rsidRPr="00F604CF">
        <w:rPr>
          <w:rFonts w:cs="Arial"/>
        </w:rPr>
        <w:t xml:space="preserve"> atendi</w:t>
      </w:r>
      <w:r w:rsidR="000F3D51" w:rsidRPr="00F604CF">
        <w:rPr>
          <w:rFonts w:cs="Arial"/>
        </w:rPr>
        <w:t>ó</w:t>
      </w:r>
      <w:r w:rsidR="00CC22F3" w:rsidRPr="00F604CF">
        <w:rPr>
          <w:rFonts w:cs="Arial"/>
        </w:rPr>
        <w:t xml:space="preserve"> el requerimiento aportando nuevamente los estados financieros </w:t>
      </w:r>
      <w:r w:rsidR="000F3D51" w:rsidRPr="00F604CF">
        <w:rPr>
          <w:rFonts w:cs="Arial"/>
        </w:rPr>
        <w:t>de la sociedad Representaciones y Distribuciones Eliber L</w:t>
      </w:r>
      <w:r w:rsidRPr="00F604CF">
        <w:rPr>
          <w:rFonts w:cs="Arial"/>
        </w:rPr>
        <w:t>t</w:t>
      </w:r>
      <w:r w:rsidR="000F3D51" w:rsidRPr="00F604CF">
        <w:rPr>
          <w:rFonts w:cs="Arial"/>
        </w:rPr>
        <w:t xml:space="preserve">da </w:t>
      </w:r>
      <w:r w:rsidRPr="00F604CF">
        <w:rPr>
          <w:rFonts w:cs="Arial"/>
        </w:rPr>
        <w:t xml:space="preserve">con corte a </w:t>
      </w:r>
      <w:r w:rsidR="00CC22F3" w:rsidRPr="00F604CF">
        <w:rPr>
          <w:rFonts w:cs="Arial"/>
        </w:rPr>
        <w:t xml:space="preserve">31 de diciembre de 1994, bajo el formato de presentación que agrupaba las cuentas </w:t>
      </w:r>
      <w:r w:rsidR="008C51DD" w:rsidRPr="00F604CF">
        <w:rPr>
          <w:rFonts w:cs="Arial"/>
        </w:rPr>
        <w:t xml:space="preserve">de activos y pasivos </w:t>
      </w:r>
      <w:r w:rsidR="00CC22F3" w:rsidRPr="00F604CF">
        <w:rPr>
          <w:rFonts w:cs="Arial"/>
        </w:rPr>
        <w:t xml:space="preserve">en la forma fijada en el pliego </w:t>
      </w:r>
      <w:r w:rsidR="000F3D51" w:rsidRPr="00F604CF">
        <w:rPr>
          <w:rFonts w:cs="Arial"/>
        </w:rPr>
        <w:t xml:space="preserve">de condiciones </w:t>
      </w:r>
      <w:r w:rsidR="00CC22F3" w:rsidRPr="00F604CF">
        <w:rPr>
          <w:rFonts w:cs="Arial"/>
        </w:rPr>
        <w:t xml:space="preserve">y </w:t>
      </w:r>
      <w:r w:rsidRPr="00F604CF">
        <w:rPr>
          <w:rFonts w:cs="Arial"/>
        </w:rPr>
        <w:t xml:space="preserve">que, </w:t>
      </w:r>
      <w:r w:rsidR="00CC22F3" w:rsidRPr="00F604CF">
        <w:rPr>
          <w:rFonts w:cs="Arial"/>
        </w:rPr>
        <w:t xml:space="preserve">además, allegó nuevos estados financieros </w:t>
      </w:r>
      <w:r w:rsidR="000F3D51" w:rsidRPr="00F604CF">
        <w:rPr>
          <w:rFonts w:cs="Arial"/>
        </w:rPr>
        <w:t xml:space="preserve">con </w:t>
      </w:r>
      <w:r w:rsidR="00CC22F3" w:rsidRPr="00F604CF">
        <w:rPr>
          <w:rFonts w:cs="Arial"/>
        </w:rPr>
        <w:t xml:space="preserve">corte de 31 de mayo de 2005, </w:t>
      </w:r>
      <w:r w:rsidR="007C059B" w:rsidRPr="00F604CF">
        <w:rPr>
          <w:rFonts w:cs="Arial"/>
        </w:rPr>
        <w:t>e</w:t>
      </w:r>
      <w:r w:rsidR="00CC22F3" w:rsidRPr="00F604CF">
        <w:rPr>
          <w:rFonts w:cs="Arial"/>
        </w:rPr>
        <w:t xml:space="preserve">stos últimos con su dictamen </w:t>
      </w:r>
      <w:r w:rsidR="000F3D51" w:rsidRPr="00F604CF">
        <w:rPr>
          <w:rFonts w:cs="Arial"/>
        </w:rPr>
        <w:t xml:space="preserve">expedido por contador público independiente el 1º de agosto de 2005 y con </w:t>
      </w:r>
      <w:r w:rsidR="00CC22F3" w:rsidRPr="00F604CF">
        <w:rPr>
          <w:rFonts w:cs="Arial"/>
        </w:rPr>
        <w:t>certificación de la corrección de cifras</w:t>
      </w:r>
      <w:r w:rsidR="000F3D51" w:rsidRPr="00F604CF">
        <w:rPr>
          <w:rFonts w:cs="Arial"/>
        </w:rPr>
        <w:t xml:space="preserve"> suscrita por la contadora de la empresa</w:t>
      </w:r>
      <w:r w:rsidR="00D71D4F" w:rsidRPr="00F604CF">
        <w:rPr>
          <w:rFonts w:cs="Arial"/>
        </w:rPr>
        <w:t xml:space="preserve">. </w:t>
      </w:r>
    </w:p>
    <w:p w14:paraId="571AC7F4" w14:textId="77777777" w:rsidR="008C51DD" w:rsidRPr="00F604CF" w:rsidRDefault="008C51DD" w:rsidP="00F604CF">
      <w:pPr>
        <w:rPr>
          <w:rFonts w:cs="Arial"/>
        </w:rPr>
      </w:pPr>
    </w:p>
    <w:p w14:paraId="3975B495" w14:textId="77777777" w:rsidR="00EC24DA" w:rsidRPr="00F604CF" w:rsidRDefault="00D71D4F" w:rsidP="00F604CF">
      <w:pPr>
        <w:rPr>
          <w:rFonts w:cs="Arial"/>
        </w:rPr>
      </w:pPr>
      <w:r w:rsidRPr="00F604CF">
        <w:rPr>
          <w:rFonts w:cs="Arial"/>
        </w:rPr>
        <w:t>También se advierte que en esa oportunidad</w:t>
      </w:r>
      <w:r w:rsidR="008C51DD" w:rsidRPr="00F604CF">
        <w:rPr>
          <w:rFonts w:cs="Arial"/>
        </w:rPr>
        <w:t>, dentro del curso de la etapa de evaluación,</w:t>
      </w:r>
      <w:r w:rsidRPr="00F604CF">
        <w:rPr>
          <w:rFonts w:cs="Arial"/>
        </w:rPr>
        <w:t xml:space="preserve"> se</w:t>
      </w:r>
      <w:r w:rsidR="00165B92" w:rsidRPr="00F604CF">
        <w:rPr>
          <w:rFonts w:cs="Arial"/>
        </w:rPr>
        <w:t xml:space="preserve"> aportó </w:t>
      </w:r>
      <w:r w:rsidR="00CC22F3" w:rsidRPr="00F604CF">
        <w:rPr>
          <w:rFonts w:cs="Arial"/>
        </w:rPr>
        <w:t xml:space="preserve">un nuevo certificado de </w:t>
      </w:r>
      <w:r w:rsidR="00037820" w:rsidRPr="00F604CF">
        <w:rPr>
          <w:rFonts w:cs="Arial"/>
        </w:rPr>
        <w:t xml:space="preserve">Registro Único </w:t>
      </w:r>
      <w:r w:rsidR="00CC22F3" w:rsidRPr="00F604CF">
        <w:rPr>
          <w:rFonts w:cs="Arial"/>
        </w:rPr>
        <w:t xml:space="preserve">de </w:t>
      </w:r>
      <w:r w:rsidR="00037820" w:rsidRPr="00F604CF">
        <w:rPr>
          <w:rFonts w:cs="Arial"/>
        </w:rPr>
        <w:t>Pr</w:t>
      </w:r>
      <w:r w:rsidR="00CC22F3" w:rsidRPr="00F604CF">
        <w:rPr>
          <w:rFonts w:cs="Arial"/>
        </w:rPr>
        <w:t>oponentes</w:t>
      </w:r>
      <w:r w:rsidRPr="00F604CF">
        <w:rPr>
          <w:rFonts w:cs="Arial"/>
        </w:rPr>
        <w:t xml:space="preserve"> de la citada sociedad</w:t>
      </w:r>
      <w:r w:rsidR="00CC22F3" w:rsidRPr="00F604CF">
        <w:rPr>
          <w:rFonts w:cs="Arial"/>
        </w:rPr>
        <w:t xml:space="preserve">, </w:t>
      </w:r>
      <w:r w:rsidR="00EC24DA" w:rsidRPr="00F604CF">
        <w:rPr>
          <w:rFonts w:cs="Arial"/>
        </w:rPr>
        <w:t xml:space="preserve">expedido por la </w:t>
      </w:r>
      <w:r w:rsidR="000F3D51" w:rsidRPr="00F604CF">
        <w:rPr>
          <w:rFonts w:cs="Arial"/>
        </w:rPr>
        <w:t>C</w:t>
      </w:r>
      <w:r w:rsidR="00EC24DA" w:rsidRPr="00F604CF">
        <w:rPr>
          <w:rFonts w:cs="Arial"/>
        </w:rPr>
        <w:t xml:space="preserve">ámara de </w:t>
      </w:r>
      <w:r w:rsidR="000F3D51" w:rsidRPr="00F604CF">
        <w:rPr>
          <w:rFonts w:cs="Arial"/>
        </w:rPr>
        <w:t>C</w:t>
      </w:r>
      <w:r w:rsidR="00EC24DA" w:rsidRPr="00F604CF">
        <w:rPr>
          <w:rFonts w:cs="Arial"/>
        </w:rPr>
        <w:t xml:space="preserve">omercio </w:t>
      </w:r>
      <w:r w:rsidR="00CC22F3" w:rsidRPr="00F604CF">
        <w:rPr>
          <w:rFonts w:cs="Arial"/>
        </w:rPr>
        <w:t xml:space="preserve">de Bogotá, </w:t>
      </w:r>
      <w:r w:rsidR="00EC24DA" w:rsidRPr="00F604CF">
        <w:rPr>
          <w:rFonts w:cs="Arial"/>
        </w:rPr>
        <w:t>con fecha 5 de se</w:t>
      </w:r>
      <w:r w:rsidR="00CC22F3" w:rsidRPr="00F604CF">
        <w:rPr>
          <w:rFonts w:cs="Arial"/>
        </w:rPr>
        <w:t>p</w:t>
      </w:r>
      <w:r w:rsidR="00EC24DA" w:rsidRPr="00F604CF">
        <w:rPr>
          <w:rFonts w:cs="Arial"/>
        </w:rPr>
        <w:t>tiembre de 2005.</w:t>
      </w:r>
    </w:p>
    <w:p w14:paraId="739D8E5E" w14:textId="77777777" w:rsidR="00EC24DA" w:rsidRPr="00F604CF" w:rsidRDefault="00EC24DA" w:rsidP="00F604CF">
      <w:pPr>
        <w:widowControl w:val="0"/>
        <w:autoSpaceDE w:val="0"/>
        <w:autoSpaceDN w:val="0"/>
        <w:adjustRightInd w:val="0"/>
        <w:rPr>
          <w:rFonts w:cs="Arial"/>
        </w:rPr>
      </w:pPr>
    </w:p>
    <w:p w14:paraId="7E6BAEF8" w14:textId="77777777" w:rsidR="00444E3A" w:rsidRPr="00F604CF" w:rsidRDefault="00165B92" w:rsidP="00F604CF">
      <w:pPr>
        <w:rPr>
          <w:rFonts w:cs="Arial"/>
        </w:rPr>
      </w:pPr>
      <w:r w:rsidRPr="00F604CF">
        <w:rPr>
          <w:rFonts w:cs="Arial"/>
        </w:rPr>
        <w:t>Igualmente</w:t>
      </w:r>
      <w:r w:rsidR="00A20CD9" w:rsidRPr="00F604CF">
        <w:rPr>
          <w:rFonts w:cs="Arial"/>
        </w:rPr>
        <w:t>,</w:t>
      </w:r>
      <w:r w:rsidRPr="00F604CF">
        <w:rPr>
          <w:rFonts w:cs="Arial"/>
        </w:rPr>
        <w:t xml:space="preserve"> </w:t>
      </w:r>
      <w:r w:rsidR="005F14B4" w:rsidRPr="00F604CF">
        <w:rPr>
          <w:rFonts w:cs="Arial"/>
        </w:rPr>
        <w:t xml:space="preserve">obra </w:t>
      </w:r>
      <w:r w:rsidRPr="00F604CF">
        <w:rPr>
          <w:rFonts w:cs="Arial"/>
        </w:rPr>
        <w:t>en el expediente el acta de evaluación de propuestas sin fecha</w:t>
      </w:r>
      <w:r w:rsidR="00444E3A" w:rsidRPr="00F604CF">
        <w:rPr>
          <w:rFonts w:cs="Arial"/>
        </w:rPr>
        <w:t>, suscrita por los tres miembros del comité evaluador</w:t>
      </w:r>
      <w:r w:rsidR="00A20CD9" w:rsidRPr="00F604CF">
        <w:rPr>
          <w:rFonts w:cs="Arial"/>
        </w:rPr>
        <w:t>,</w:t>
      </w:r>
      <w:r w:rsidR="00444E3A" w:rsidRPr="00F604CF">
        <w:rPr>
          <w:rFonts w:cs="Arial"/>
        </w:rPr>
        <w:t xml:space="preserve"> en la cual se indicó que el orden de elegibilidad se conformó de la siguiente manera: Unión Temporal Calimeño</w:t>
      </w:r>
      <w:r w:rsidR="00D71D4F" w:rsidRPr="00F604CF">
        <w:rPr>
          <w:rFonts w:cs="Arial"/>
        </w:rPr>
        <w:t>:</w:t>
      </w:r>
      <w:r w:rsidR="00444E3A" w:rsidRPr="00F604CF">
        <w:rPr>
          <w:rFonts w:cs="Arial"/>
        </w:rPr>
        <w:t xml:space="preserve"> 1180 puntos y Ramiro Rivera Ram</w:t>
      </w:r>
      <w:r w:rsidR="006055B1" w:rsidRPr="00F604CF">
        <w:rPr>
          <w:rFonts w:cs="Arial"/>
        </w:rPr>
        <w:t>í</w:t>
      </w:r>
      <w:r w:rsidR="00444E3A" w:rsidRPr="00F604CF">
        <w:rPr>
          <w:rFonts w:cs="Arial"/>
        </w:rPr>
        <w:t>rez</w:t>
      </w:r>
      <w:r w:rsidR="00D71D4F" w:rsidRPr="00F604CF">
        <w:rPr>
          <w:rFonts w:cs="Arial"/>
        </w:rPr>
        <w:t>:</w:t>
      </w:r>
      <w:r w:rsidR="00444E3A" w:rsidRPr="00F604CF">
        <w:rPr>
          <w:rFonts w:cs="Arial"/>
        </w:rPr>
        <w:t xml:space="preserve"> 1050 puntos. </w:t>
      </w:r>
    </w:p>
    <w:p w14:paraId="042465FF" w14:textId="77777777" w:rsidR="00444E3A" w:rsidRPr="00F604CF" w:rsidRDefault="00444E3A" w:rsidP="00F604CF">
      <w:pPr>
        <w:rPr>
          <w:rFonts w:cs="Arial"/>
        </w:rPr>
      </w:pPr>
    </w:p>
    <w:p w14:paraId="03698B88" w14:textId="77777777" w:rsidR="00165B92" w:rsidRPr="00F604CF" w:rsidRDefault="005F14B4" w:rsidP="00F604CF">
      <w:pPr>
        <w:rPr>
          <w:rFonts w:cs="Arial"/>
        </w:rPr>
      </w:pPr>
      <w:r w:rsidRPr="00F604CF">
        <w:rPr>
          <w:rFonts w:cs="Arial"/>
        </w:rPr>
        <w:t xml:space="preserve">Se allegó con el acta citada </w:t>
      </w:r>
      <w:r w:rsidR="00165B92" w:rsidRPr="00F604CF">
        <w:rPr>
          <w:rFonts w:cs="Arial"/>
        </w:rPr>
        <w:t>la constancia secretarial del traslado a los oferentes, con fecha 6 de septiembre de 2005</w:t>
      </w:r>
      <w:r w:rsidRPr="00F604CF">
        <w:rPr>
          <w:rStyle w:val="Refdenotaalpie"/>
          <w:rFonts w:cs="Arial"/>
        </w:rPr>
        <w:footnoteReference w:id="54"/>
      </w:r>
      <w:r w:rsidR="00165B92" w:rsidRPr="00F604CF">
        <w:rPr>
          <w:rFonts w:cs="Arial"/>
        </w:rPr>
        <w:t>.</w:t>
      </w:r>
    </w:p>
    <w:p w14:paraId="031A941C" w14:textId="77777777" w:rsidR="00BD4A77" w:rsidRPr="00F604CF" w:rsidRDefault="00165B92" w:rsidP="00F604CF">
      <w:pPr>
        <w:rPr>
          <w:rFonts w:cs="Arial"/>
        </w:rPr>
      </w:pPr>
      <w:r w:rsidRPr="00F604CF">
        <w:rPr>
          <w:rFonts w:cs="Arial"/>
        </w:rPr>
        <w:t xml:space="preserve"> </w:t>
      </w:r>
    </w:p>
    <w:p w14:paraId="2DB0B663" w14:textId="77777777" w:rsidR="00EA4C9E" w:rsidRPr="00F604CF" w:rsidRDefault="005F14B4" w:rsidP="00F604CF">
      <w:pPr>
        <w:rPr>
          <w:rFonts w:cs="Arial"/>
        </w:rPr>
      </w:pPr>
      <w:r w:rsidRPr="00F604CF">
        <w:rPr>
          <w:rFonts w:cs="Arial"/>
        </w:rPr>
        <w:t xml:space="preserve">Por último, debe relacionarse la Resolución 02 193 de 22 de septiembre de 2005, mediante la cual se </w:t>
      </w:r>
      <w:r w:rsidR="00EA4C9E" w:rsidRPr="00F604CF">
        <w:rPr>
          <w:rFonts w:cs="Arial"/>
        </w:rPr>
        <w:t xml:space="preserve">hicieron constar las observaciones de las partes, las consideraciones del departamento </w:t>
      </w:r>
      <w:r w:rsidR="00D71D4F" w:rsidRPr="00F604CF">
        <w:rPr>
          <w:rFonts w:cs="Arial"/>
        </w:rPr>
        <w:t xml:space="preserve">de Putumayo sobre las mismas </w:t>
      </w:r>
      <w:r w:rsidR="00EA4C9E" w:rsidRPr="00F604CF">
        <w:rPr>
          <w:rFonts w:cs="Arial"/>
        </w:rPr>
        <w:t xml:space="preserve">y la </w:t>
      </w:r>
      <w:r w:rsidR="00D71D4F" w:rsidRPr="00F604CF">
        <w:rPr>
          <w:rFonts w:cs="Arial"/>
        </w:rPr>
        <w:t xml:space="preserve">decisión de </w:t>
      </w:r>
      <w:r w:rsidR="00EA4C9E" w:rsidRPr="00F604CF">
        <w:rPr>
          <w:rFonts w:cs="Arial"/>
        </w:rPr>
        <w:t xml:space="preserve">adjudicación del contrato a </w:t>
      </w:r>
      <w:r w:rsidR="00D71D4F" w:rsidRPr="00F604CF">
        <w:rPr>
          <w:rFonts w:cs="Arial"/>
        </w:rPr>
        <w:t xml:space="preserve">favor de </w:t>
      </w:r>
      <w:r w:rsidR="00EA4C9E" w:rsidRPr="00F604CF">
        <w:rPr>
          <w:rFonts w:cs="Arial"/>
        </w:rPr>
        <w:t>la Unión Temporal Calimeño.</w:t>
      </w:r>
    </w:p>
    <w:p w14:paraId="6F51C0FE" w14:textId="77777777" w:rsidR="00EA4C9E" w:rsidRPr="00F604CF" w:rsidRDefault="00EA4C9E" w:rsidP="00F604CF">
      <w:pPr>
        <w:rPr>
          <w:rFonts w:cs="Arial"/>
        </w:rPr>
      </w:pPr>
    </w:p>
    <w:p w14:paraId="2E65B6A0" w14:textId="77777777" w:rsidR="00EA4C9E" w:rsidRPr="00F604CF" w:rsidRDefault="00EA4C9E" w:rsidP="00F604CF">
      <w:pPr>
        <w:rPr>
          <w:rFonts w:cs="Arial"/>
        </w:rPr>
      </w:pPr>
      <w:r w:rsidRPr="00F604CF">
        <w:rPr>
          <w:rFonts w:cs="Arial"/>
        </w:rPr>
        <w:t xml:space="preserve">En la parte final de las consideraciones </w:t>
      </w:r>
      <w:r w:rsidR="00D71D4F" w:rsidRPr="00F604CF">
        <w:rPr>
          <w:rFonts w:cs="Arial"/>
        </w:rPr>
        <w:t xml:space="preserve">del aludido acto administrativo -ahora acusado de nulidad- </w:t>
      </w:r>
      <w:r w:rsidRPr="00F604CF">
        <w:rPr>
          <w:rFonts w:cs="Arial"/>
        </w:rPr>
        <w:t>se concluy</w:t>
      </w:r>
      <w:r w:rsidR="00D71D4F" w:rsidRPr="00F604CF">
        <w:rPr>
          <w:rFonts w:cs="Arial"/>
        </w:rPr>
        <w:t>ó</w:t>
      </w:r>
      <w:r w:rsidRPr="00F604CF">
        <w:rPr>
          <w:rFonts w:cs="Arial"/>
        </w:rPr>
        <w:t>:</w:t>
      </w:r>
    </w:p>
    <w:p w14:paraId="0F1BF6C3" w14:textId="77777777" w:rsidR="00AD00FE" w:rsidRPr="00F604CF" w:rsidRDefault="00AD00FE" w:rsidP="00F604CF">
      <w:pPr>
        <w:rPr>
          <w:rFonts w:cs="Arial"/>
        </w:rPr>
      </w:pPr>
    </w:p>
    <w:p w14:paraId="3ED65A20" w14:textId="77777777" w:rsidR="006055B1" w:rsidRPr="00F604CF" w:rsidRDefault="00EA4C9E" w:rsidP="00F604CF">
      <w:pPr>
        <w:spacing w:line="276" w:lineRule="auto"/>
        <w:rPr>
          <w:rFonts w:cs="Arial"/>
          <w:i/>
        </w:rPr>
      </w:pPr>
      <w:r w:rsidRPr="00F604CF">
        <w:rPr>
          <w:rFonts w:cs="Arial"/>
          <w:i/>
        </w:rPr>
        <w:t>“DADO QUE LAS MODIFICACIONES INTR</w:t>
      </w:r>
      <w:r w:rsidR="006055B1" w:rsidRPr="00F604CF">
        <w:rPr>
          <w:rFonts w:cs="Arial"/>
          <w:i/>
        </w:rPr>
        <w:t>O</w:t>
      </w:r>
      <w:r w:rsidRPr="00F604CF">
        <w:rPr>
          <w:rFonts w:cs="Arial"/>
          <w:i/>
        </w:rPr>
        <w:t>DUCIDA</w:t>
      </w:r>
      <w:r w:rsidR="00AD00FE" w:rsidRPr="00F604CF">
        <w:rPr>
          <w:rFonts w:cs="Arial"/>
          <w:i/>
        </w:rPr>
        <w:t>S</w:t>
      </w:r>
      <w:r w:rsidRPr="00F604CF">
        <w:rPr>
          <w:rFonts w:cs="Arial"/>
          <w:i/>
        </w:rPr>
        <w:t xml:space="preserve"> A LA EVALUACIÓN NO AFECTAN LA CALIFICACIÓN ESTA QUEDA COMO SE VERIFICÓ EN EL INFORME DE EVALUACIÓN”</w:t>
      </w:r>
      <w:r w:rsidRPr="00F604CF">
        <w:rPr>
          <w:rStyle w:val="Refdenotaalpie"/>
          <w:rFonts w:cs="Arial"/>
          <w:i/>
        </w:rPr>
        <w:footnoteReference w:id="55"/>
      </w:r>
      <w:r w:rsidR="006055B1" w:rsidRPr="00F604CF">
        <w:rPr>
          <w:rFonts w:cs="Arial"/>
          <w:i/>
        </w:rPr>
        <w:t>.</w:t>
      </w:r>
    </w:p>
    <w:p w14:paraId="404C5BCF" w14:textId="77777777" w:rsidR="006055B1" w:rsidRPr="00F604CF" w:rsidRDefault="006055B1" w:rsidP="00F604CF">
      <w:pPr>
        <w:rPr>
          <w:rFonts w:cs="Arial"/>
        </w:rPr>
      </w:pPr>
    </w:p>
    <w:p w14:paraId="4C6AFA67" w14:textId="77777777" w:rsidR="00E46F40" w:rsidRPr="00F604CF" w:rsidRDefault="006F2294" w:rsidP="00F604CF">
      <w:pPr>
        <w:rPr>
          <w:rFonts w:cs="Arial"/>
        </w:rPr>
      </w:pPr>
      <w:r w:rsidRPr="00F604CF">
        <w:rPr>
          <w:rFonts w:cs="Arial"/>
        </w:rPr>
        <w:t xml:space="preserve">De manera concreta, </w:t>
      </w:r>
      <w:r w:rsidR="00553998" w:rsidRPr="00F604CF">
        <w:rPr>
          <w:rFonts w:cs="Arial"/>
        </w:rPr>
        <w:t xml:space="preserve">se advierte que </w:t>
      </w:r>
      <w:r w:rsidR="00AD00FE" w:rsidRPr="00F604CF">
        <w:rPr>
          <w:rFonts w:cs="Arial"/>
        </w:rPr>
        <w:t xml:space="preserve">tanto </w:t>
      </w:r>
      <w:r w:rsidR="00BC26FE" w:rsidRPr="00F604CF">
        <w:rPr>
          <w:rFonts w:cs="Arial"/>
        </w:rPr>
        <w:t xml:space="preserve">el </w:t>
      </w:r>
      <w:r w:rsidR="00D22F1F" w:rsidRPr="00F604CF">
        <w:rPr>
          <w:rFonts w:cs="Arial"/>
        </w:rPr>
        <w:t xml:space="preserve">comité de </w:t>
      </w:r>
      <w:r w:rsidR="00AD00FE" w:rsidRPr="00F604CF">
        <w:rPr>
          <w:rFonts w:cs="Arial"/>
        </w:rPr>
        <w:t>evaluación como</w:t>
      </w:r>
      <w:r w:rsidR="00D22F1F" w:rsidRPr="00F604CF">
        <w:rPr>
          <w:rFonts w:cs="Arial"/>
        </w:rPr>
        <w:t xml:space="preserve"> la</w:t>
      </w:r>
      <w:r w:rsidR="00AD00FE" w:rsidRPr="00F604CF">
        <w:rPr>
          <w:rFonts w:cs="Arial"/>
        </w:rPr>
        <w:t xml:space="preserve"> secretaría delegada para la contratación</w:t>
      </w:r>
      <w:r w:rsidR="00D22F1F" w:rsidRPr="00F604CF">
        <w:rPr>
          <w:rFonts w:cs="Arial"/>
        </w:rPr>
        <w:t xml:space="preserve"> y, también, </w:t>
      </w:r>
      <w:r w:rsidR="003223D8" w:rsidRPr="00F604CF">
        <w:rPr>
          <w:rFonts w:cs="Arial"/>
        </w:rPr>
        <w:t xml:space="preserve">en su momento </w:t>
      </w:r>
      <w:r w:rsidR="00D22F1F" w:rsidRPr="00F604CF">
        <w:rPr>
          <w:rFonts w:cs="Arial"/>
        </w:rPr>
        <w:t xml:space="preserve">el </w:t>
      </w:r>
      <w:r w:rsidR="00BC26FE" w:rsidRPr="00F604CF">
        <w:rPr>
          <w:rFonts w:cs="Arial"/>
        </w:rPr>
        <w:t xml:space="preserve">Tribunal </w:t>
      </w:r>
      <w:r w:rsidR="008C60AE" w:rsidRPr="00F604CF">
        <w:rPr>
          <w:rFonts w:cs="Arial"/>
        </w:rPr>
        <w:t>a quo</w:t>
      </w:r>
      <w:r w:rsidR="00D22F1F" w:rsidRPr="00F604CF">
        <w:rPr>
          <w:rFonts w:cs="Arial"/>
        </w:rPr>
        <w:t xml:space="preserve">, </w:t>
      </w:r>
      <w:r w:rsidR="00BC26FE" w:rsidRPr="00F604CF">
        <w:rPr>
          <w:rFonts w:cs="Arial"/>
        </w:rPr>
        <w:t>pas</w:t>
      </w:r>
      <w:r w:rsidR="00D22F1F" w:rsidRPr="00F604CF">
        <w:rPr>
          <w:rFonts w:cs="Arial"/>
        </w:rPr>
        <w:t xml:space="preserve">aron </w:t>
      </w:r>
      <w:r w:rsidR="00BC26FE" w:rsidRPr="00F604CF">
        <w:rPr>
          <w:rFonts w:cs="Arial"/>
        </w:rPr>
        <w:t xml:space="preserve">por alto el contenido de la certificación suscrita </w:t>
      </w:r>
      <w:r w:rsidR="00E92775" w:rsidRPr="00F604CF">
        <w:rPr>
          <w:rFonts w:cs="Arial"/>
        </w:rPr>
        <w:t xml:space="preserve">el 5 de septiembre de 2005 </w:t>
      </w:r>
      <w:r w:rsidR="00BC26FE" w:rsidRPr="00F604CF">
        <w:rPr>
          <w:rFonts w:cs="Arial"/>
        </w:rPr>
        <w:t xml:space="preserve">por </w:t>
      </w:r>
      <w:r w:rsidR="00E92775" w:rsidRPr="00F604CF">
        <w:rPr>
          <w:rFonts w:cs="Arial"/>
        </w:rPr>
        <w:t xml:space="preserve">la señora Carmen T Barrios de Chaparro, </w:t>
      </w:r>
      <w:r w:rsidR="003223D8" w:rsidRPr="00F604CF">
        <w:rPr>
          <w:rFonts w:cs="Arial"/>
        </w:rPr>
        <w:t xml:space="preserve">mediante </w:t>
      </w:r>
      <w:r w:rsidR="00E92775" w:rsidRPr="00F604CF">
        <w:rPr>
          <w:rFonts w:cs="Arial"/>
        </w:rPr>
        <w:t xml:space="preserve">la </w:t>
      </w:r>
      <w:r w:rsidR="003223D8" w:rsidRPr="00F604CF">
        <w:rPr>
          <w:rFonts w:cs="Arial"/>
        </w:rPr>
        <w:t xml:space="preserve">cual, obrando como </w:t>
      </w:r>
      <w:r w:rsidR="00E92775" w:rsidRPr="00F604CF">
        <w:rPr>
          <w:rFonts w:cs="Arial"/>
        </w:rPr>
        <w:t xml:space="preserve">contadora pública de Representaciones y Ediciones Eliber Ltda, </w:t>
      </w:r>
      <w:r w:rsidR="009B42BB" w:rsidRPr="00F604CF">
        <w:rPr>
          <w:rFonts w:cs="Arial"/>
        </w:rPr>
        <w:t xml:space="preserve">sociedad </w:t>
      </w:r>
      <w:r w:rsidR="0072263C" w:rsidRPr="00F604CF">
        <w:rPr>
          <w:rFonts w:cs="Arial"/>
        </w:rPr>
        <w:t>partícipe del 45% de la Unión  Temporal Calimeño</w:t>
      </w:r>
      <w:r w:rsidR="003223D8" w:rsidRPr="00F604CF">
        <w:rPr>
          <w:rFonts w:cs="Arial"/>
        </w:rPr>
        <w:t xml:space="preserve"> indicó</w:t>
      </w:r>
      <w:r w:rsidR="00E46F40" w:rsidRPr="00F604CF">
        <w:rPr>
          <w:rFonts w:cs="Arial"/>
        </w:rPr>
        <w:t>:</w:t>
      </w:r>
    </w:p>
    <w:p w14:paraId="3F1511F7" w14:textId="77777777" w:rsidR="00553998" w:rsidRPr="00F604CF" w:rsidRDefault="009B42BB" w:rsidP="00F604CF">
      <w:pPr>
        <w:rPr>
          <w:rFonts w:cs="Arial"/>
        </w:rPr>
      </w:pPr>
      <w:r w:rsidRPr="00F604CF">
        <w:rPr>
          <w:rFonts w:cs="Arial"/>
        </w:rPr>
        <w:t xml:space="preserve"> </w:t>
      </w:r>
    </w:p>
    <w:p w14:paraId="265F14B0" w14:textId="77777777" w:rsidR="003223D8" w:rsidRPr="00F604CF" w:rsidRDefault="003223D8" w:rsidP="00F604CF">
      <w:pPr>
        <w:spacing w:line="276" w:lineRule="auto"/>
        <w:rPr>
          <w:rFonts w:cs="Arial"/>
          <w:i/>
        </w:rPr>
      </w:pPr>
      <w:r w:rsidRPr="00F604CF">
        <w:rPr>
          <w:rFonts w:cs="Arial"/>
          <w:i/>
        </w:rPr>
        <w:t>“Que el patrimonio neto a 31 de mayo de 2005 es de $147’563.000 y por error de inscripción en el formulario de renovación del registro de proponentes quedó $247’563.000. Para subsanar ese error se efectuó nuevamente la renovación del Registro de Proponentes”</w:t>
      </w:r>
      <w:r w:rsidRPr="00F604CF">
        <w:rPr>
          <w:rStyle w:val="Refdenotaalpie"/>
          <w:rFonts w:cs="Arial"/>
          <w:i/>
        </w:rPr>
        <w:footnoteReference w:id="56"/>
      </w:r>
      <w:r w:rsidR="00E46F40" w:rsidRPr="00F604CF">
        <w:rPr>
          <w:rFonts w:cs="Arial"/>
          <w:i/>
        </w:rPr>
        <w:t>.</w:t>
      </w:r>
    </w:p>
    <w:p w14:paraId="28A96341" w14:textId="77777777" w:rsidR="003223D8" w:rsidRPr="00F604CF" w:rsidRDefault="003223D8" w:rsidP="00F604CF">
      <w:pPr>
        <w:rPr>
          <w:rFonts w:cs="Arial"/>
        </w:rPr>
      </w:pPr>
    </w:p>
    <w:p w14:paraId="05517AC0" w14:textId="77777777" w:rsidR="00790EB3" w:rsidRPr="00F604CF" w:rsidRDefault="00D22F1F" w:rsidP="00F604CF">
      <w:pPr>
        <w:rPr>
          <w:rFonts w:cs="Arial"/>
        </w:rPr>
      </w:pPr>
      <w:r w:rsidRPr="00F604CF">
        <w:rPr>
          <w:rFonts w:cs="Arial"/>
        </w:rPr>
        <w:t>Es cierto que e</w:t>
      </w:r>
      <w:r w:rsidR="009B42BB" w:rsidRPr="00F604CF">
        <w:rPr>
          <w:rFonts w:cs="Arial"/>
        </w:rPr>
        <w:t xml:space="preserve">n relación con esa certificación llamaba la atención su fecha, pero </w:t>
      </w:r>
      <w:r w:rsidR="00755804" w:rsidRPr="00F604CF">
        <w:rPr>
          <w:rFonts w:cs="Arial"/>
        </w:rPr>
        <w:t xml:space="preserve">lo trascendente no era la </w:t>
      </w:r>
      <w:r w:rsidR="009B42BB" w:rsidRPr="00F604CF">
        <w:rPr>
          <w:rFonts w:cs="Arial"/>
        </w:rPr>
        <w:t xml:space="preserve">nueva </w:t>
      </w:r>
      <w:r w:rsidR="00755804" w:rsidRPr="00F604CF">
        <w:rPr>
          <w:rFonts w:cs="Arial"/>
        </w:rPr>
        <w:t xml:space="preserve">fecha en que se </w:t>
      </w:r>
      <w:r w:rsidR="009B42BB" w:rsidRPr="00F604CF">
        <w:rPr>
          <w:rFonts w:cs="Arial"/>
        </w:rPr>
        <w:t xml:space="preserve">extendió </w:t>
      </w:r>
      <w:r w:rsidR="0072263C" w:rsidRPr="00F604CF">
        <w:rPr>
          <w:rFonts w:cs="Arial"/>
        </w:rPr>
        <w:t xml:space="preserve">la certificación, </w:t>
      </w:r>
      <w:r w:rsidR="00755804" w:rsidRPr="00F604CF">
        <w:rPr>
          <w:rFonts w:cs="Arial"/>
        </w:rPr>
        <w:t xml:space="preserve">sino </w:t>
      </w:r>
      <w:r w:rsidR="0072263C" w:rsidRPr="00F604CF">
        <w:rPr>
          <w:rFonts w:cs="Arial"/>
        </w:rPr>
        <w:t>lo</w:t>
      </w:r>
      <w:r w:rsidR="00553998" w:rsidRPr="00F604CF">
        <w:rPr>
          <w:rFonts w:cs="Arial"/>
        </w:rPr>
        <w:t>s estados financieros a lo</w:t>
      </w:r>
      <w:r w:rsidR="003223D8" w:rsidRPr="00F604CF">
        <w:rPr>
          <w:rFonts w:cs="Arial"/>
        </w:rPr>
        <w:t>s</w:t>
      </w:r>
      <w:r w:rsidR="00553998" w:rsidRPr="00F604CF">
        <w:rPr>
          <w:rFonts w:cs="Arial"/>
        </w:rPr>
        <w:t xml:space="preserve"> que se refirió y lo </w:t>
      </w:r>
      <w:r w:rsidR="00755804" w:rsidRPr="00F604CF">
        <w:rPr>
          <w:rFonts w:cs="Arial"/>
        </w:rPr>
        <w:t xml:space="preserve">que esa profesional </w:t>
      </w:r>
      <w:r w:rsidR="009B42BB" w:rsidRPr="00F604CF">
        <w:rPr>
          <w:rFonts w:cs="Arial"/>
        </w:rPr>
        <w:t>informó</w:t>
      </w:r>
      <w:r w:rsidR="0072263C" w:rsidRPr="00F604CF">
        <w:rPr>
          <w:rFonts w:cs="Arial"/>
        </w:rPr>
        <w:t>, toda vez que puso de presente que la citada</w:t>
      </w:r>
      <w:r w:rsidR="008C60AE" w:rsidRPr="00F604CF">
        <w:rPr>
          <w:rFonts w:cs="Arial"/>
        </w:rPr>
        <w:t xml:space="preserve"> sociedad </w:t>
      </w:r>
      <w:r w:rsidR="00755804" w:rsidRPr="00F604CF">
        <w:rPr>
          <w:rFonts w:cs="Arial"/>
        </w:rPr>
        <w:t xml:space="preserve">había </w:t>
      </w:r>
      <w:r w:rsidR="0067509F" w:rsidRPr="00F604CF">
        <w:rPr>
          <w:rFonts w:cs="Arial"/>
        </w:rPr>
        <w:t xml:space="preserve">modificado </w:t>
      </w:r>
      <w:r w:rsidR="00755804" w:rsidRPr="00F604CF">
        <w:rPr>
          <w:rFonts w:cs="Arial"/>
        </w:rPr>
        <w:t xml:space="preserve">su patrimonio en $100’000.000, corrigiendo </w:t>
      </w:r>
      <w:r w:rsidR="008C60AE" w:rsidRPr="00F604CF">
        <w:rPr>
          <w:rFonts w:cs="Arial"/>
        </w:rPr>
        <w:t xml:space="preserve">en consecuencia los </w:t>
      </w:r>
      <w:r w:rsidR="00755804" w:rsidRPr="00F604CF">
        <w:rPr>
          <w:rFonts w:cs="Arial"/>
        </w:rPr>
        <w:t>estado</w:t>
      </w:r>
      <w:r w:rsidR="008C60AE" w:rsidRPr="00F604CF">
        <w:rPr>
          <w:rFonts w:cs="Arial"/>
        </w:rPr>
        <w:t>s</w:t>
      </w:r>
      <w:r w:rsidR="00755804" w:rsidRPr="00F604CF">
        <w:rPr>
          <w:rFonts w:cs="Arial"/>
        </w:rPr>
        <w:t xml:space="preserve"> financiero</w:t>
      </w:r>
      <w:r w:rsidR="008C60AE" w:rsidRPr="00F604CF">
        <w:rPr>
          <w:rFonts w:cs="Arial"/>
        </w:rPr>
        <w:t>s</w:t>
      </w:r>
      <w:r w:rsidR="00755804" w:rsidRPr="00F604CF">
        <w:rPr>
          <w:rFonts w:cs="Arial"/>
        </w:rPr>
        <w:t xml:space="preserve"> y el </w:t>
      </w:r>
      <w:r w:rsidR="00037820" w:rsidRPr="00F604CF">
        <w:rPr>
          <w:rFonts w:cs="Arial"/>
        </w:rPr>
        <w:t xml:space="preserve">R.U.P. </w:t>
      </w:r>
      <w:r w:rsidR="00754264" w:rsidRPr="00F604CF">
        <w:rPr>
          <w:rFonts w:cs="Arial"/>
        </w:rPr>
        <w:t>de la sociedad Representaciones y Edic</w:t>
      </w:r>
      <w:r w:rsidR="00037820" w:rsidRPr="00F604CF">
        <w:rPr>
          <w:rFonts w:cs="Arial"/>
        </w:rPr>
        <w:t>i</w:t>
      </w:r>
      <w:r w:rsidR="00754264" w:rsidRPr="00F604CF">
        <w:rPr>
          <w:rFonts w:cs="Arial"/>
        </w:rPr>
        <w:t>ones Eliber Ltda</w:t>
      </w:r>
      <w:r w:rsidR="002F4429" w:rsidRPr="00F604CF">
        <w:rPr>
          <w:rFonts w:cs="Arial"/>
        </w:rPr>
        <w:t xml:space="preserve">. Se hace notar que también se modificaron </w:t>
      </w:r>
      <w:r w:rsidR="00A0258E" w:rsidRPr="00F604CF">
        <w:rPr>
          <w:rFonts w:cs="Arial"/>
        </w:rPr>
        <w:t xml:space="preserve">las cifras de activo corriente </w:t>
      </w:r>
      <w:r w:rsidR="008F4EEF" w:rsidRPr="00F604CF">
        <w:rPr>
          <w:rFonts w:cs="Arial"/>
        </w:rPr>
        <w:t>de la referida sociedad, que era la mayor participante de la Unión Temporal Calimeño</w:t>
      </w:r>
      <w:r w:rsidR="002F4429" w:rsidRPr="00F604CF">
        <w:rPr>
          <w:rFonts w:cs="Arial"/>
        </w:rPr>
        <w:t xml:space="preserve">, con base en las cuales se </w:t>
      </w:r>
      <w:r w:rsidR="00755804" w:rsidRPr="00F604CF">
        <w:rPr>
          <w:rFonts w:cs="Arial"/>
        </w:rPr>
        <w:t xml:space="preserve">pretendía habilitar </w:t>
      </w:r>
      <w:r w:rsidR="009B42BB" w:rsidRPr="00F604CF">
        <w:rPr>
          <w:rFonts w:cs="Arial"/>
        </w:rPr>
        <w:t>la</w:t>
      </w:r>
      <w:r w:rsidR="00755804" w:rsidRPr="00F604CF">
        <w:rPr>
          <w:rFonts w:cs="Arial"/>
        </w:rPr>
        <w:t xml:space="preserve"> capacidad fina</w:t>
      </w:r>
      <w:r w:rsidR="00790EB3" w:rsidRPr="00F604CF">
        <w:rPr>
          <w:rFonts w:cs="Arial"/>
        </w:rPr>
        <w:t>n</w:t>
      </w:r>
      <w:r w:rsidR="00755804" w:rsidRPr="00F604CF">
        <w:rPr>
          <w:rFonts w:cs="Arial"/>
        </w:rPr>
        <w:t>c</w:t>
      </w:r>
      <w:r w:rsidR="00790EB3" w:rsidRPr="00F604CF">
        <w:rPr>
          <w:rFonts w:cs="Arial"/>
        </w:rPr>
        <w:t>i</w:t>
      </w:r>
      <w:r w:rsidR="00755804" w:rsidRPr="00F604CF">
        <w:rPr>
          <w:rFonts w:cs="Arial"/>
        </w:rPr>
        <w:t xml:space="preserve">era </w:t>
      </w:r>
      <w:r w:rsidR="00790EB3" w:rsidRPr="00F604CF">
        <w:rPr>
          <w:rFonts w:cs="Arial"/>
        </w:rPr>
        <w:t>para participar en la licitación PTYO -</w:t>
      </w:r>
      <w:r w:rsidR="00754264" w:rsidRPr="00F604CF">
        <w:rPr>
          <w:rFonts w:cs="Arial"/>
        </w:rPr>
        <w:t xml:space="preserve"> </w:t>
      </w:r>
      <w:r w:rsidR="00790EB3" w:rsidRPr="00F604CF">
        <w:rPr>
          <w:rFonts w:cs="Arial"/>
        </w:rPr>
        <w:t xml:space="preserve">003 </w:t>
      </w:r>
      <w:r w:rsidR="009B42BB" w:rsidRPr="00F604CF">
        <w:rPr>
          <w:rFonts w:cs="Arial"/>
        </w:rPr>
        <w:t>de</w:t>
      </w:r>
      <w:r w:rsidR="00790EB3" w:rsidRPr="00F604CF">
        <w:rPr>
          <w:rFonts w:cs="Arial"/>
        </w:rPr>
        <w:t xml:space="preserve"> 2005. </w:t>
      </w:r>
    </w:p>
    <w:p w14:paraId="21DECBD4" w14:textId="77777777" w:rsidR="00790EB3" w:rsidRPr="00F604CF" w:rsidRDefault="00790EB3" w:rsidP="00F604CF">
      <w:pPr>
        <w:rPr>
          <w:rFonts w:cs="Arial"/>
        </w:rPr>
      </w:pPr>
    </w:p>
    <w:p w14:paraId="7B3E40B4" w14:textId="77777777" w:rsidR="00D22F1F" w:rsidRPr="00F604CF" w:rsidRDefault="00637A51" w:rsidP="00F604CF">
      <w:pPr>
        <w:rPr>
          <w:rFonts w:cs="Arial"/>
        </w:rPr>
      </w:pPr>
      <w:r w:rsidRPr="00F604CF">
        <w:rPr>
          <w:rFonts w:cs="Arial"/>
        </w:rPr>
        <w:t xml:space="preserve">Para entender lo que la contadora pública certificó </w:t>
      </w:r>
      <w:r w:rsidR="008C60AE" w:rsidRPr="00F604CF">
        <w:rPr>
          <w:rFonts w:cs="Arial"/>
        </w:rPr>
        <w:t xml:space="preserve">y los </w:t>
      </w:r>
      <w:r w:rsidR="000E3095" w:rsidRPr="00F604CF">
        <w:rPr>
          <w:rFonts w:cs="Arial"/>
        </w:rPr>
        <w:t xml:space="preserve">asuntos que </w:t>
      </w:r>
      <w:r w:rsidR="008C60AE" w:rsidRPr="00F604CF">
        <w:rPr>
          <w:rFonts w:cs="Arial"/>
        </w:rPr>
        <w:t xml:space="preserve">el comité de </w:t>
      </w:r>
      <w:r w:rsidR="000E3095" w:rsidRPr="00F604CF">
        <w:rPr>
          <w:rFonts w:cs="Arial"/>
        </w:rPr>
        <w:t>evaluación pasó por alto o nunca conoció</w:t>
      </w:r>
      <w:r w:rsidR="00437F72" w:rsidRPr="00F604CF">
        <w:rPr>
          <w:rStyle w:val="Refdenotaalpie"/>
          <w:rFonts w:cs="Arial"/>
        </w:rPr>
        <w:footnoteReference w:id="57"/>
      </w:r>
      <w:r w:rsidR="000E3095" w:rsidRPr="00F604CF">
        <w:rPr>
          <w:rFonts w:cs="Arial"/>
        </w:rPr>
        <w:t xml:space="preserve">, deben </w:t>
      </w:r>
      <w:r w:rsidRPr="00F604CF">
        <w:rPr>
          <w:rFonts w:cs="Arial"/>
        </w:rPr>
        <w:t xml:space="preserve">compararse los estados financieros de 31 de diciembre de 2004, </w:t>
      </w:r>
      <w:r w:rsidR="002F59B8" w:rsidRPr="00F604CF">
        <w:rPr>
          <w:rFonts w:cs="Arial"/>
        </w:rPr>
        <w:t>que eran los que se debían tener en cuenta para la calificación de las ofertas</w:t>
      </w:r>
      <w:r w:rsidR="00754264" w:rsidRPr="00F604CF">
        <w:rPr>
          <w:rFonts w:cs="Arial"/>
        </w:rPr>
        <w:t>,</w:t>
      </w:r>
      <w:r w:rsidR="002F59B8" w:rsidRPr="00F604CF">
        <w:rPr>
          <w:rFonts w:cs="Arial"/>
        </w:rPr>
        <w:t xml:space="preserve"> de acuerdo con el numeral  2.3.3.1.2.1</w:t>
      </w:r>
      <w:r w:rsidR="007E3868" w:rsidRPr="00F604CF">
        <w:rPr>
          <w:rFonts w:cs="Arial"/>
        </w:rPr>
        <w:t xml:space="preserve"> </w:t>
      </w:r>
      <w:r w:rsidR="008C60AE" w:rsidRPr="00F604CF">
        <w:rPr>
          <w:rFonts w:cs="Arial"/>
        </w:rPr>
        <w:t>del pliego de condiciones</w:t>
      </w:r>
      <w:r w:rsidR="008C60AE" w:rsidRPr="00F604CF">
        <w:rPr>
          <w:rStyle w:val="Refdenotaalpie"/>
          <w:rFonts w:cs="Arial"/>
        </w:rPr>
        <w:footnoteReference w:id="58"/>
      </w:r>
      <w:r w:rsidR="0018370A" w:rsidRPr="00F604CF">
        <w:rPr>
          <w:rFonts w:cs="Arial"/>
        </w:rPr>
        <w:t>,</w:t>
      </w:r>
      <w:r w:rsidR="007E3868" w:rsidRPr="00F604CF">
        <w:rPr>
          <w:rFonts w:cs="Arial"/>
        </w:rPr>
        <w:t xml:space="preserve"> y los que la proponente allegó con corte a 31 de mayo de 2005, </w:t>
      </w:r>
      <w:r w:rsidR="00E27594" w:rsidRPr="00F604CF">
        <w:rPr>
          <w:rFonts w:cs="Arial"/>
        </w:rPr>
        <w:t xml:space="preserve">con la </w:t>
      </w:r>
      <w:r w:rsidR="007E3868" w:rsidRPr="00F604CF">
        <w:rPr>
          <w:rFonts w:cs="Arial"/>
        </w:rPr>
        <w:t xml:space="preserve">comunicación de septiembre </w:t>
      </w:r>
      <w:r w:rsidR="00E565C6" w:rsidRPr="00F604CF">
        <w:rPr>
          <w:rFonts w:cs="Arial"/>
        </w:rPr>
        <w:t xml:space="preserve">5 de 2005, </w:t>
      </w:r>
      <w:r w:rsidR="009B42BB" w:rsidRPr="00F604CF">
        <w:rPr>
          <w:rFonts w:cs="Arial"/>
        </w:rPr>
        <w:t>desbordando e</w:t>
      </w:r>
      <w:r w:rsidR="00E565C6" w:rsidRPr="00F604CF">
        <w:rPr>
          <w:rFonts w:cs="Arial"/>
        </w:rPr>
        <w:t xml:space="preserve">l requerimiento de 31 de agosto de 2005, en el cual se le </w:t>
      </w:r>
      <w:r w:rsidR="00E27594" w:rsidRPr="00F604CF">
        <w:rPr>
          <w:rFonts w:cs="Arial"/>
        </w:rPr>
        <w:t xml:space="preserve">había </w:t>
      </w:r>
      <w:r w:rsidR="00E565C6" w:rsidRPr="00F604CF">
        <w:rPr>
          <w:rFonts w:cs="Arial"/>
        </w:rPr>
        <w:t>solicit</w:t>
      </w:r>
      <w:r w:rsidR="00E27594" w:rsidRPr="00F604CF">
        <w:rPr>
          <w:rFonts w:cs="Arial"/>
        </w:rPr>
        <w:t xml:space="preserve">ado </w:t>
      </w:r>
      <w:r w:rsidR="009B42BB" w:rsidRPr="00F604CF">
        <w:rPr>
          <w:rFonts w:cs="Arial"/>
        </w:rPr>
        <w:t xml:space="preserve">únicamente </w:t>
      </w:r>
      <w:r w:rsidR="00C2059B" w:rsidRPr="00F604CF">
        <w:rPr>
          <w:rFonts w:cs="Arial"/>
        </w:rPr>
        <w:t xml:space="preserve">el dictamen de los estados financieros </w:t>
      </w:r>
      <w:r w:rsidR="009B42BB" w:rsidRPr="00F604CF">
        <w:rPr>
          <w:rFonts w:cs="Arial"/>
        </w:rPr>
        <w:t>ya allegados</w:t>
      </w:r>
      <w:r w:rsidR="00D22F1F" w:rsidRPr="00F604CF">
        <w:rPr>
          <w:rFonts w:cs="Arial"/>
        </w:rPr>
        <w:t xml:space="preserve"> y la discriminación de algunas cifras.</w:t>
      </w:r>
    </w:p>
    <w:p w14:paraId="1E453E8A" w14:textId="77777777" w:rsidR="000E3095" w:rsidRPr="00F604CF" w:rsidRDefault="000E3095" w:rsidP="00F604CF">
      <w:pPr>
        <w:rPr>
          <w:rFonts w:cs="Arial"/>
        </w:rPr>
      </w:pPr>
    </w:p>
    <w:p w14:paraId="617D056E" w14:textId="77777777" w:rsidR="00C2059B" w:rsidRPr="00F604CF" w:rsidRDefault="000E3095" w:rsidP="00F604CF">
      <w:pPr>
        <w:rPr>
          <w:rFonts w:cs="Arial"/>
        </w:rPr>
      </w:pPr>
      <w:r w:rsidRPr="00F604CF">
        <w:rPr>
          <w:rFonts w:cs="Arial"/>
        </w:rPr>
        <w:t>Las cifras de los antecitados estados financieros revelaban la siguiente variación:</w:t>
      </w:r>
    </w:p>
    <w:p w14:paraId="144629E0" w14:textId="77777777" w:rsidR="009F7368" w:rsidRPr="00F604CF" w:rsidRDefault="009F7368" w:rsidP="00F604CF">
      <w:pPr>
        <w:rPr>
          <w:rFonts w:cs="Arial"/>
        </w:rPr>
      </w:pPr>
    </w:p>
    <w:p w14:paraId="62C132D7" w14:textId="77777777" w:rsidR="009F7368" w:rsidRPr="00F604CF" w:rsidRDefault="009F7368" w:rsidP="00F604CF">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3150"/>
      </w:tblGrid>
      <w:tr w:rsidR="00BA683E" w:rsidRPr="00F604CF" w14:paraId="2B8323F5" w14:textId="77777777" w:rsidTr="00EC6DFD">
        <w:tc>
          <w:tcPr>
            <w:tcW w:w="2093" w:type="dxa"/>
            <w:shd w:val="clear" w:color="auto" w:fill="auto"/>
          </w:tcPr>
          <w:p w14:paraId="28C8525A" w14:textId="77777777" w:rsidR="00BA683E" w:rsidRPr="00F604CF" w:rsidRDefault="00BA683E" w:rsidP="00F604CF">
            <w:pPr>
              <w:rPr>
                <w:rFonts w:cs="Arial"/>
              </w:rPr>
            </w:pPr>
          </w:p>
        </w:tc>
        <w:tc>
          <w:tcPr>
            <w:tcW w:w="3402" w:type="dxa"/>
            <w:shd w:val="clear" w:color="auto" w:fill="auto"/>
          </w:tcPr>
          <w:p w14:paraId="280BFDEB" w14:textId="77777777" w:rsidR="00BA683E" w:rsidRPr="00F604CF" w:rsidRDefault="00275ABB" w:rsidP="00F604CF">
            <w:pPr>
              <w:jc w:val="right"/>
              <w:rPr>
                <w:rFonts w:cs="Arial"/>
              </w:rPr>
            </w:pPr>
            <w:r w:rsidRPr="00F604CF">
              <w:rPr>
                <w:rFonts w:cs="Arial"/>
              </w:rPr>
              <w:t>31 de diciembre de 2004</w:t>
            </w:r>
            <w:r w:rsidR="00E04291" w:rsidRPr="00F604CF">
              <w:rPr>
                <w:rStyle w:val="Refdenotaalpie"/>
                <w:rFonts w:cs="Arial"/>
              </w:rPr>
              <w:footnoteReference w:id="59"/>
            </w:r>
            <w:r w:rsidRPr="00F604CF">
              <w:rPr>
                <w:rFonts w:cs="Arial"/>
              </w:rPr>
              <w:t xml:space="preserve"> </w:t>
            </w:r>
          </w:p>
        </w:tc>
        <w:tc>
          <w:tcPr>
            <w:tcW w:w="3150" w:type="dxa"/>
            <w:shd w:val="clear" w:color="auto" w:fill="auto"/>
          </w:tcPr>
          <w:p w14:paraId="6F18F530" w14:textId="77777777" w:rsidR="00BA683E" w:rsidRPr="00F604CF" w:rsidRDefault="00ED110B" w:rsidP="00F604CF">
            <w:pPr>
              <w:jc w:val="right"/>
              <w:rPr>
                <w:rFonts w:cs="Arial"/>
              </w:rPr>
            </w:pPr>
            <w:r w:rsidRPr="00F604CF">
              <w:rPr>
                <w:rFonts w:cs="Arial"/>
              </w:rPr>
              <w:t>31 de mayo de 2005</w:t>
            </w:r>
            <w:r w:rsidR="00275ABB" w:rsidRPr="00F604CF">
              <w:rPr>
                <w:rStyle w:val="Refdenotaalpie"/>
                <w:rFonts w:cs="Arial"/>
              </w:rPr>
              <w:footnoteReference w:id="60"/>
            </w:r>
          </w:p>
        </w:tc>
      </w:tr>
      <w:tr w:rsidR="00BA683E" w:rsidRPr="00F604CF" w14:paraId="66780E77" w14:textId="77777777" w:rsidTr="00EC6DFD">
        <w:tc>
          <w:tcPr>
            <w:tcW w:w="2093" w:type="dxa"/>
            <w:shd w:val="clear" w:color="auto" w:fill="auto"/>
          </w:tcPr>
          <w:p w14:paraId="610728AC" w14:textId="77777777" w:rsidR="00BA683E" w:rsidRPr="00F604CF" w:rsidRDefault="00CA669F" w:rsidP="00F604CF">
            <w:pPr>
              <w:rPr>
                <w:rFonts w:cs="Arial"/>
              </w:rPr>
            </w:pPr>
            <w:r w:rsidRPr="00F604CF">
              <w:rPr>
                <w:rFonts w:cs="Arial"/>
              </w:rPr>
              <w:t>Resultados del ejercicio</w:t>
            </w:r>
          </w:p>
        </w:tc>
        <w:tc>
          <w:tcPr>
            <w:tcW w:w="3402" w:type="dxa"/>
            <w:shd w:val="clear" w:color="auto" w:fill="auto"/>
          </w:tcPr>
          <w:p w14:paraId="6AB030F0" w14:textId="77777777" w:rsidR="00BA683E" w:rsidRPr="00F604CF" w:rsidRDefault="00D22F1F" w:rsidP="00F604CF">
            <w:pPr>
              <w:jc w:val="right"/>
              <w:rPr>
                <w:rFonts w:cs="Arial"/>
              </w:rPr>
            </w:pPr>
            <w:r w:rsidRPr="00F604CF">
              <w:rPr>
                <w:rFonts w:cs="Arial"/>
              </w:rPr>
              <w:t>$</w:t>
            </w:r>
            <w:r w:rsidR="00CA669F" w:rsidRPr="00F604CF">
              <w:rPr>
                <w:rFonts w:cs="Arial"/>
              </w:rPr>
              <w:t>126’891.425</w:t>
            </w:r>
          </w:p>
        </w:tc>
        <w:tc>
          <w:tcPr>
            <w:tcW w:w="3150" w:type="dxa"/>
            <w:shd w:val="clear" w:color="auto" w:fill="auto"/>
          </w:tcPr>
          <w:p w14:paraId="04525AF5" w14:textId="77777777" w:rsidR="00BA683E" w:rsidRPr="00F604CF" w:rsidRDefault="00D22F1F" w:rsidP="00F604CF">
            <w:pPr>
              <w:jc w:val="right"/>
              <w:rPr>
                <w:rFonts w:cs="Arial"/>
              </w:rPr>
            </w:pPr>
            <w:r w:rsidRPr="00F604CF">
              <w:rPr>
                <w:rFonts w:cs="Arial"/>
              </w:rPr>
              <w:t>$</w:t>
            </w:r>
            <w:r w:rsidR="00ED110B" w:rsidRPr="00F604CF">
              <w:rPr>
                <w:rFonts w:cs="Arial"/>
              </w:rPr>
              <w:t>26’891.425</w:t>
            </w:r>
          </w:p>
        </w:tc>
      </w:tr>
      <w:tr w:rsidR="00ED110B" w:rsidRPr="00F604CF" w14:paraId="193BBA1E" w14:textId="77777777" w:rsidTr="00EC6DFD">
        <w:tc>
          <w:tcPr>
            <w:tcW w:w="2093" w:type="dxa"/>
            <w:shd w:val="clear" w:color="auto" w:fill="auto"/>
          </w:tcPr>
          <w:p w14:paraId="26CFE48B" w14:textId="77777777" w:rsidR="00ED110B" w:rsidRPr="00F604CF" w:rsidRDefault="00CA669F" w:rsidP="00F604CF">
            <w:pPr>
              <w:rPr>
                <w:rFonts w:cs="Arial"/>
              </w:rPr>
            </w:pPr>
            <w:r w:rsidRPr="00F604CF">
              <w:rPr>
                <w:rFonts w:cs="Arial"/>
              </w:rPr>
              <w:t xml:space="preserve">Total </w:t>
            </w:r>
            <w:r w:rsidR="00D22F1F" w:rsidRPr="00F604CF">
              <w:rPr>
                <w:rFonts w:cs="Arial"/>
              </w:rPr>
              <w:t>p</w:t>
            </w:r>
            <w:r w:rsidRPr="00F604CF">
              <w:rPr>
                <w:rFonts w:cs="Arial"/>
              </w:rPr>
              <w:t>atrimonio</w:t>
            </w:r>
          </w:p>
        </w:tc>
        <w:tc>
          <w:tcPr>
            <w:tcW w:w="3402" w:type="dxa"/>
            <w:shd w:val="clear" w:color="auto" w:fill="auto"/>
          </w:tcPr>
          <w:p w14:paraId="107F5EE6" w14:textId="77777777" w:rsidR="00ED110B" w:rsidRPr="00F604CF" w:rsidRDefault="00D22F1F" w:rsidP="00F604CF">
            <w:pPr>
              <w:jc w:val="right"/>
              <w:rPr>
                <w:rFonts w:cs="Arial"/>
              </w:rPr>
            </w:pPr>
            <w:r w:rsidRPr="00F604CF">
              <w:rPr>
                <w:rFonts w:cs="Arial"/>
              </w:rPr>
              <w:t>$</w:t>
            </w:r>
            <w:r w:rsidR="00CA669F" w:rsidRPr="00F604CF">
              <w:rPr>
                <w:rFonts w:cs="Arial"/>
              </w:rPr>
              <w:t>247</w:t>
            </w:r>
            <w:r w:rsidRPr="00F604CF">
              <w:rPr>
                <w:rFonts w:cs="Arial"/>
              </w:rPr>
              <w:t>’</w:t>
            </w:r>
            <w:r w:rsidR="00CA669F" w:rsidRPr="00F604CF">
              <w:rPr>
                <w:rFonts w:cs="Arial"/>
              </w:rPr>
              <w:t>563.310</w:t>
            </w:r>
          </w:p>
        </w:tc>
        <w:tc>
          <w:tcPr>
            <w:tcW w:w="3150" w:type="dxa"/>
            <w:shd w:val="clear" w:color="auto" w:fill="auto"/>
          </w:tcPr>
          <w:p w14:paraId="01684C17" w14:textId="77777777" w:rsidR="00ED110B" w:rsidRPr="00F604CF" w:rsidRDefault="00D22F1F" w:rsidP="00F604CF">
            <w:pPr>
              <w:jc w:val="right"/>
              <w:rPr>
                <w:rFonts w:cs="Arial"/>
              </w:rPr>
            </w:pPr>
            <w:r w:rsidRPr="00F604CF">
              <w:rPr>
                <w:rFonts w:cs="Arial"/>
              </w:rPr>
              <w:t>$</w:t>
            </w:r>
            <w:r w:rsidR="00275ABB" w:rsidRPr="00F604CF">
              <w:rPr>
                <w:rFonts w:cs="Arial"/>
              </w:rPr>
              <w:t>147’563.258</w:t>
            </w:r>
          </w:p>
        </w:tc>
      </w:tr>
    </w:tbl>
    <w:p w14:paraId="235FC760" w14:textId="77777777" w:rsidR="00C2059B" w:rsidRPr="00F604CF" w:rsidRDefault="00C2059B" w:rsidP="00F604CF">
      <w:pPr>
        <w:rPr>
          <w:rFonts w:cs="Arial"/>
        </w:rPr>
      </w:pPr>
    </w:p>
    <w:p w14:paraId="2C706EE0" w14:textId="77777777" w:rsidR="001A277D" w:rsidRPr="00F604CF" w:rsidRDefault="009B42BB" w:rsidP="00F604CF">
      <w:pPr>
        <w:rPr>
          <w:rFonts w:cs="Arial"/>
        </w:rPr>
      </w:pPr>
      <w:r w:rsidRPr="00F604CF">
        <w:rPr>
          <w:rFonts w:cs="Arial"/>
        </w:rPr>
        <w:t>Es</w:t>
      </w:r>
      <w:r w:rsidR="00D22F1F" w:rsidRPr="00F604CF">
        <w:rPr>
          <w:rFonts w:cs="Arial"/>
        </w:rPr>
        <w:t xml:space="preserve">e contenido de la </w:t>
      </w:r>
      <w:r w:rsidRPr="00F604CF">
        <w:rPr>
          <w:rFonts w:cs="Arial"/>
        </w:rPr>
        <w:t>certificación</w:t>
      </w:r>
      <w:r w:rsidR="00D22F1F" w:rsidRPr="00F604CF">
        <w:rPr>
          <w:rFonts w:cs="Arial"/>
        </w:rPr>
        <w:t>, que anunciaba un importante cambio,</w:t>
      </w:r>
      <w:r w:rsidRPr="00F604CF">
        <w:rPr>
          <w:rFonts w:cs="Arial"/>
        </w:rPr>
        <w:t xml:space="preserve"> ha debido trasladar la atención del Tribunal </w:t>
      </w:r>
      <w:r w:rsidRPr="00F604CF">
        <w:rPr>
          <w:rFonts w:cs="Arial"/>
          <w:i/>
        </w:rPr>
        <w:t>a quo</w:t>
      </w:r>
      <w:r w:rsidRPr="00F604CF">
        <w:rPr>
          <w:rFonts w:cs="Arial"/>
        </w:rPr>
        <w:t xml:space="preserve"> </w:t>
      </w:r>
      <w:r w:rsidR="00D22F1F" w:rsidRPr="00F604CF">
        <w:rPr>
          <w:rFonts w:cs="Arial"/>
        </w:rPr>
        <w:t>en orden a cotejar cuál era la fecha de corte de los estados financieros</w:t>
      </w:r>
      <w:r w:rsidR="001A277D" w:rsidRPr="00F604CF">
        <w:rPr>
          <w:rFonts w:cs="Arial"/>
        </w:rPr>
        <w:t xml:space="preserve"> requeridos de acuerdo con el pliego</w:t>
      </w:r>
      <w:r w:rsidR="000F6C67" w:rsidRPr="00F604CF">
        <w:rPr>
          <w:rFonts w:cs="Arial"/>
        </w:rPr>
        <w:t xml:space="preserve"> de condiciones</w:t>
      </w:r>
      <w:r w:rsidR="001A277D" w:rsidRPr="00F604CF">
        <w:rPr>
          <w:rFonts w:cs="Arial"/>
        </w:rPr>
        <w:t xml:space="preserve"> y cuáles estados financ</w:t>
      </w:r>
      <w:r w:rsidR="000F6C67" w:rsidRPr="00F604CF">
        <w:rPr>
          <w:rFonts w:cs="Arial"/>
        </w:rPr>
        <w:t>i</w:t>
      </w:r>
      <w:r w:rsidR="001A277D" w:rsidRPr="00F604CF">
        <w:rPr>
          <w:rFonts w:cs="Arial"/>
        </w:rPr>
        <w:t>eros gozaban del dictamen.</w:t>
      </w:r>
    </w:p>
    <w:p w14:paraId="705A6405" w14:textId="77777777" w:rsidR="000F6C67" w:rsidRPr="00F604CF" w:rsidRDefault="000F6C67" w:rsidP="00F604CF">
      <w:pPr>
        <w:rPr>
          <w:rFonts w:cs="Arial"/>
        </w:rPr>
      </w:pPr>
    </w:p>
    <w:p w14:paraId="56BC17CD" w14:textId="77777777" w:rsidR="00F14B4B" w:rsidRPr="00F604CF" w:rsidRDefault="001A277D" w:rsidP="00F604CF">
      <w:pPr>
        <w:rPr>
          <w:rFonts w:cs="Arial"/>
        </w:rPr>
      </w:pPr>
      <w:r w:rsidRPr="00F604CF">
        <w:rPr>
          <w:rFonts w:cs="Arial"/>
        </w:rPr>
        <w:t xml:space="preserve">Se observa </w:t>
      </w:r>
      <w:r w:rsidR="00553998" w:rsidRPr="00F604CF">
        <w:rPr>
          <w:rFonts w:cs="Arial"/>
        </w:rPr>
        <w:t xml:space="preserve">que </w:t>
      </w:r>
      <w:r w:rsidR="00A5062E" w:rsidRPr="00F604CF">
        <w:rPr>
          <w:rFonts w:cs="Arial"/>
        </w:rPr>
        <w:t xml:space="preserve">la sociedad Representaciones y Ediciones Eliber Limitada </w:t>
      </w:r>
      <w:r w:rsidR="00553998" w:rsidRPr="00F604CF">
        <w:rPr>
          <w:rFonts w:cs="Arial"/>
        </w:rPr>
        <w:t>no allegó un dictamen sobre los estados financieros requeridos en el pliego de condiciones, es decir</w:t>
      </w:r>
      <w:r w:rsidR="00754264" w:rsidRPr="00F604CF">
        <w:rPr>
          <w:rFonts w:cs="Arial"/>
        </w:rPr>
        <w:t>,</w:t>
      </w:r>
      <w:r w:rsidR="00553998" w:rsidRPr="00F604CF">
        <w:rPr>
          <w:rFonts w:cs="Arial"/>
        </w:rPr>
        <w:t xml:space="preserve"> los de corte a 31 de diciembre de 20</w:t>
      </w:r>
      <w:r w:rsidRPr="00F604CF">
        <w:rPr>
          <w:rFonts w:cs="Arial"/>
        </w:rPr>
        <w:t>0</w:t>
      </w:r>
      <w:r w:rsidR="00553998" w:rsidRPr="00F604CF">
        <w:rPr>
          <w:rFonts w:cs="Arial"/>
        </w:rPr>
        <w:t>4</w:t>
      </w:r>
      <w:r w:rsidR="00A5062E" w:rsidRPr="00F604CF">
        <w:rPr>
          <w:rStyle w:val="Refdenotaalpie"/>
          <w:rFonts w:cs="Arial"/>
        </w:rPr>
        <w:footnoteReference w:id="61"/>
      </w:r>
      <w:r w:rsidR="00553998" w:rsidRPr="00F604CF">
        <w:rPr>
          <w:rFonts w:cs="Arial"/>
        </w:rPr>
        <w:t xml:space="preserve">. </w:t>
      </w:r>
      <w:r w:rsidR="00F14B4B" w:rsidRPr="00F604CF">
        <w:rPr>
          <w:rFonts w:cs="Arial"/>
        </w:rPr>
        <w:t xml:space="preserve">Además, </w:t>
      </w:r>
      <w:r w:rsidRPr="00F604CF">
        <w:rPr>
          <w:rFonts w:cs="Arial"/>
        </w:rPr>
        <w:t xml:space="preserve">así como </w:t>
      </w:r>
      <w:r w:rsidR="00F14B4B" w:rsidRPr="00F604CF">
        <w:rPr>
          <w:rFonts w:cs="Arial"/>
        </w:rPr>
        <w:t>se adv</w:t>
      </w:r>
      <w:r w:rsidRPr="00F604CF">
        <w:rPr>
          <w:rFonts w:cs="Arial"/>
        </w:rPr>
        <w:t xml:space="preserve">ierte </w:t>
      </w:r>
      <w:r w:rsidR="00E04291" w:rsidRPr="00F604CF">
        <w:rPr>
          <w:rFonts w:cs="Arial"/>
        </w:rPr>
        <w:t xml:space="preserve">la diferencia en </w:t>
      </w:r>
      <w:r w:rsidRPr="00F604CF">
        <w:rPr>
          <w:rFonts w:cs="Arial"/>
        </w:rPr>
        <w:t xml:space="preserve">el patrimonio y </w:t>
      </w:r>
      <w:r w:rsidR="00F7516B" w:rsidRPr="00F604CF">
        <w:rPr>
          <w:rFonts w:cs="Arial"/>
        </w:rPr>
        <w:t xml:space="preserve">en </w:t>
      </w:r>
      <w:r w:rsidR="00E04291" w:rsidRPr="00F604CF">
        <w:rPr>
          <w:rFonts w:cs="Arial"/>
        </w:rPr>
        <w:t xml:space="preserve">los resultados arrojados por los dos estados financieros </w:t>
      </w:r>
      <w:r w:rsidRPr="00F604CF">
        <w:rPr>
          <w:rFonts w:cs="Arial"/>
        </w:rPr>
        <w:t xml:space="preserve">(diciembre de 2004 y mayo de 2005), salta a la vista </w:t>
      </w:r>
      <w:r w:rsidR="005E62AA" w:rsidRPr="00F604CF">
        <w:rPr>
          <w:rFonts w:cs="Arial"/>
        </w:rPr>
        <w:t>l</w:t>
      </w:r>
      <w:r w:rsidRPr="00F604CF">
        <w:rPr>
          <w:rFonts w:cs="Arial"/>
        </w:rPr>
        <w:t xml:space="preserve">a modificación de los </w:t>
      </w:r>
      <w:r w:rsidR="008578EC" w:rsidRPr="00F604CF">
        <w:rPr>
          <w:rFonts w:cs="Arial"/>
        </w:rPr>
        <w:t xml:space="preserve">activos </w:t>
      </w:r>
      <w:r w:rsidRPr="00F604CF">
        <w:rPr>
          <w:rFonts w:cs="Arial"/>
        </w:rPr>
        <w:t>e</w:t>
      </w:r>
      <w:r w:rsidR="008578EC" w:rsidRPr="00F604CF">
        <w:rPr>
          <w:rFonts w:cs="Arial"/>
        </w:rPr>
        <w:t xml:space="preserve"> </w:t>
      </w:r>
      <w:r w:rsidR="00E04291" w:rsidRPr="00F604CF">
        <w:rPr>
          <w:rFonts w:cs="Arial"/>
        </w:rPr>
        <w:t>ingresos</w:t>
      </w:r>
      <w:r w:rsidR="008578EC" w:rsidRPr="00F604CF">
        <w:rPr>
          <w:rFonts w:cs="Arial"/>
        </w:rPr>
        <w:t xml:space="preserve">, </w:t>
      </w:r>
      <w:r w:rsidR="005E62AA" w:rsidRPr="00F604CF">
        <w:rPr>
          <w:rFonts w:cs="Arial"/>
        </w:rPr>
        <w:t xml:space="preserve">que </w:t>
      </w:r>
      <w:r w:rsidRPr="00F604CF">
        <w:rPr>
          <w:rFonts w:cs="Arial"/>
        </w:rPr>
        <w:t xml:space="preserve">eran determinantes </w:t>
      </w:r>
      <w:r w:rsidR="000F6C67" w:rsidRPr="00F604CF">
        <w:rPr>
          <w:rFonts w:cs="Arial"/>
        </w:rPr>
        <w:t>en</w:t>
      </w:r>
      <w:r w:rsidR="005E62AA" w:rsidRPr="00F604CF">
        <w:rPr>
          <w:rFonts w:cs="Arial"/>
        </w:rPr>
        <w:t xml:space="preserve"> las f</w:t>
      </w:r>
      <w:r w:rsidR="000F6C67" w:rsidRPr="00F604CF">
        <w:rPr>
          <w:rFonts w:cs="Arial"/>
        </w:rPr>
        <w:t>ó</w:t>
      </w:r>
      <w:r w:rsidR="005E62AA" w:rsidRPr="00F604CF">
        <w:rPr>
          <w:rFonts w:cs="Arial"/>
        </w:rPr>
        <w:t>rmulas de capacidad financiera</w:t>
      </w:r>
      <w:r w:rsidR="00F14B4B" w:rsidRPr="00F604CF">
        <w:rPr>
          <w:rFonts w:cs="Arial"/>
        </w:rPr>
        <w:t xml:space="preserve"> dentro del procedimiento de licitación pública.</w:t>
      </w:r>
      <w:r w:rsidR="005E62AA" w:rsidRPr="00F604CF">
        <w:rPr>
          <w:rFonts w:cs="Arial"/>
        </w:rPr>
        <w:t xml:space="preserve"> </w:t>
      </w:r>
    </w:p>
    <w:p w14:paraId="08E9FF00" w14:textId="77777777" w:rsidR="00F14B4B" w:rsidRPr="00F604CF" w:rsidRDefault="00F14B4B" w:rsidP="00F604CF">
      <w:pPr>
        <w:rPr>
          <w:rFonts w:cs="Arial"/>
        </w:rPr>
      </w:pPr>
    </w:p>
    <w:p w14:paraId="13E84937" w14:textId="77777777" w:rsidR="00E04291" w:rsidRPr="00F604CF" w:rsidRDefault="00F14B4B" w:rsidP="00F604CF">
      <w:pPr>
        <w:rPr>
          <w:rFonts w:cs="Arial"/>
        </w:rPr>
      </w:pPr>
      <w:r w:rsidRPr="00F604CF">
        <w:rPr>
          <w:rFonts w:cs="Arial"/>
        </w:rPr>
        <w:t>De acuerdo con las pr</w:t>
      </w:r>
      <w:r w:rsidR="001A277D" w:rsidRPr="00F604CF">
        <w:rPr>
          <w:rFonts w:cs="Arial"/>
        </w:rPr>
        <w:t>u</w:t>
      </w:r>
      <w:r w:rsidRPr="00F604CF">
        <w:rPr>
          <w:rFonts w:cs="Arial"/>
        </w:rPr>
        <w:t>ebas allegadas al proceso, l</w:t>
      </w:r>
      <w:r w:rsidR="005E62AA" w:rsidRPr="00F604CF">
        <w:rPr>
          <w:rFonts w:cs="Arial"/>
        </w:rPr>
        <w:t xml:space="preserve">os cambios introducidos </w:t>
      </w:r>
      <w:r w:rsidR="00F7516B" w:rsidRPr="00F604CF">
        <w:rPr>
          <w:rFonts w:cs="Arial"/>
        </w:rPr>
        <w:t>en la información financiera de es</w:t>
      </w:r>
      <w:r w:rsidR="008D35CB" w:rsidRPr="00F604CF">
        <w:rPr>
          <w:rFonts w:cs="Arial"/>
        </w:rPr>
        <w:t>t</w:t>
      </w:r>
      <w:r w:rsidR="00F7516B" w:rsidRPr="00F604CF">
        <w:rPr>
          <w:rFonts w:cs="Arial"/>
        </w:rPr>
        <w:t xml:space="preserve">a sociedad fueron </w:t>
      </w:r>
      <w:r w:rsidR="005E62AA" w:rsidRPr="00F604CF">
        <w:rPr>
          <w:rFonts w:cs="Arial"/>
        </w:rPr>
        <w:t xml:space="preserve">del siguiente orden: </w:t>
      </w:r>
    </w:p>
    <w:p w14:paraId="514D8EE2" w14:textId="77777777" w:rsidR="008578EC" w:rsidRPr="00F604CF" w:rsidRDefault="008578EC" w:rsidP="00F604CF">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2"/>
        <w:gridCol w:w="2882"/>
      </w:tblGrid>
      <w:tr w:rsidR="0013770B" w:rsidRPr="00F604CF" w14:paraId="6FD57E8F" w14:textId="77777777" w:rsidTr="00EC6DFD">
        <w:tc>
          <w:tcPr>
            <w:tcW w:w="2881" w:type="dxa"/>
            <w:shd w:val="clear" w:color="auto" w:fill="auto"/>
          </w:tcPr>
          <w:p w14:paraId="276F4E04" w14:textId="77777777" w:rsidR="0013770B" w:rsidRPr="00F604CF" w:rsidRDefault="0013770B" w:rsidP="00F604CF">
            <w:pPr>
              <w:rPr>
                <w:rFonts w:cs="Arial"/>
              </w:rPr>
            </w:pPr>
          </w:p>
        </w:tc>
        <w:tc>
          <w:tcPr>
            <w:tcW w:w="2882" w:type="dxa"/>
            <w:shd w:val="clear" w:color="auto" w:fill="auto"/>
          </w:tcPr>
          <w:p w14:paraId="7410C817" w14:textId="77777777" w:rsidR="0013770B" w:rsidRPr="00F604CF" w:rsidRDefault="0013770B" w:rsidP="00F604CF">
            <w:pPr>
              <w:rPr>
                <w:rFonts w:cs="Arial"/>
              </w:rPr>
            </w:pPr>
            <w:r w:rsidRPr="00F604CF">
              <w:rPr>
                <w:rFonts w:cs="Arial"/>
              </w:rPr>
              <w:t>31 de diciembre de 200</w:t>
            </w:r>
            <w:r w:rsidR="002E3CFC" w:rsidRPr="00F604CF">
              <w:rPr>
                <w:rFonts w:cs="Arial"/>
              </w:rPr>
              <w:t>4</w:t>
            </w:r>
            <w:r w:rsidR="001A277D" w:rsidRPr="00F604CF">
              <w:rPr>
                <w:rFonts w:cs="Arial"/>
              </w:rPr>
              <w:t xml:space="preserve"> (sin dictamen) </w:t>
            </w:r>
            <w:r w:rsidR="000F6C67" w:rsidRPr="00F604CF">
              <w:rPr>
                <w:rFonts w:cs="Arial"/>
              </w:rPr>
              <w:t>– cifras en pesos</w:t>
            </w:r>
          </w:p>
        </w:tc>
        <w:tc>
          <w:tcPr>
            <w:tcW w:w="2882" w:type="dxa"/>
            <w:shd w:val="clear" w:color="auto" w:fill="auto"/>
          </w:tcPr>
          <w:p w14:paraId="42D915FD" w14:textId="77777777" w:rsidR="0013770B" w:rsidRPr="00F604CF" w:rsidRDefault="0013770B" w:rsidP="00F604CF">
            <w:pPr>
              <w:rPr>
                <w:rFonts w:cs="Arial"/>
              </w:rPr>
            </w:pPr>
            <w:r w:rsidRPr="00F604CF">
              <w:rPr>
                <w:rFonts w:cs="Arial"/>
              </w:rPr>
              <w:t>31 de mayo de 2005</w:t>
            </w:r>
            <w:r w:rsidRPr="00F604CF">
              <w:rPr>
                <w:rStyle w:val="Refdenotaalpie"/>
                <w:rFonts w:cs="Arial"/>
              </w:rPr>
              <w:footnoteReference w:id="62"/>
            </w:r>
          </w:p>
          <w:p w14:paraId="1D2D59AA" w14:textId="77777777" w:rsidR="001A277D" w:rsidRPr="00F604CF" w:rsidRDefault="001A277D" w:rsidP="00F604CF">
            <w:pPr>
              <w:rPr>
                <w:rFonts w:cs="Arial"/>
              </w:rPr>
            </w:pPr>
            <w:r w:rsidRPr="00F604CF">
              <w:rPr>
                <w:rFonts w:cs="Arial"/>
              </w:rPr>
              <w:t>(con dictamen)</w:t>
            </w:r>
            <w:r w:rsidR="000F6C67" w:rsidRPr="00F604CF">
              <w:rPr>
                <w:rFonts w:cs="Arial"/>
              </w:rPr>
              <w:t xml:space="preserve"> – cifras en pesos</w:t>
            </w:r>
          </w:p>
        </w:tc>
      </w:tr>
      <w:tr w:rsidR="008578EC" w:rsidRPr="00F604CF" w14:paraId="0409D65E" w14:textId="77777777" w:rsidTr="00EC6DFD">
        <w:tc>
          <w:tcPr>
            <w:tcW w:w="2881" w:type="dxa"/>
            <w:shd w:val="clear" w:color="auto" w:fill="auto"/>
          </w:tcPr>
          <w:p w14:paraId="6C652FCE" w14:textId="77777777" w:rsidR="008578EC" w:rsidRPr="00F604CF" w:rsidRDefault="008578EC" w:rsidP="00F604CF">
            <w:pPr>
              <w:rPr>
                <w:rFonts w:cs="Arial"/>
                <w:b/>
              </w:rPr>
            </w:pPr>
            <w:r w:rsidRPr="00F604CF">
              <w:rPr>
                <w:rFonts w:cs="Arial"/>
                <w:b/>
              </w:rPr>
              <w:t>Activo Corriente</w:t>
            </w:r>
            <w:r w:rsidRPr="00F604CF">
              <w:rPr>
                <w:rStyle w:val="Refdenotaalpie"/>
                <w:rFonts w:cs="Arial"/>
                <w:b/>
              </w:rPr>
              <w:footnoteReference w:id="63"/>
            </w:r>
          </w:p>
        </w:tc>
        <w:tc>
          <w:tcPr>
            <w:tcW w:w="2882" w:type="dxa"/>
            <w:shd w:val="clear" w:color="auto" w:fill="auto"/>
          </w:tcPr>
          <w:p w14:paraId="00E7D56B" w14:textId="77777777" w:rsidR="008578EC" w:rsidRPr="00F604CF" w:rsidRDefault="008578EC" w:rsidP="00F604CF">
            <w:pPr>
              <w:jc w:val="right"/>
              <w:rPr>
                <w:rFonts w:cs="Arial"/>
                <w:b/>
              </w:rPr>
            </w:pPr>
            <w:r w:rsidRPr="00F604CF">
              <w:rPr>
                <w:rFonts w:cs="Arial"/>
                <w:b/>
              </w:rPr>
              <w:t>670’905.067,23</w:t>
            </w:r>
          </w:p>
        </w:tc>
        <w:tc>
          <w:tcPr>
            <w:tcW w:w="2882" w:type="dxa"/>
            <w:shd w:val="clear" w:color="auto" w:fill="auto"/>
          </w:tcPr>
          <w:p w14:paraId="58F32CC8" w14:textId="77777777" w:rsidR="008578EC" w:rsidRPr="00F604CF" w:rsidRDefault="008578EC" w:rsidP="00F604CF">
            <w:pPr>
              <w:jc w:val="right"/>
              <w:rPr>
                <w:rFonts w:cs="Arial"/>
                <w:b/>
              </w:rPr>
            </w:pPr>
            <w:r w:rsidRPr="00F604CF">
              <w:rPr>
                <w:rFonts w:cs="Arial"/>
                <w:b/>
              </w:rPr>
              <w:t>570’904.115,23</w:t>
            </w:r>
          </w:p>
        </w:tc>
      </w:tr>
      <w:tr w:rsidR="0013770B" w:rsidRPr="00F604CF" w14:paraId="065F4227" w14:textId="77777777" w:rsidTr="00EC6DFD">
        <w:tc>
          <w:tcPr>
            <w:tcW w:w="2881" w:type="dxa"/>
            <w:shd w:val="clear" w:color="auto" w:fill="auto"/>
          </w:tcPr>
          <w:p w14:paraId="08718DB2" w14:textId="77777777" w:rsidR="0013770B" w:rsidRPr="00F604CF" w:rsidRDefault="002E3CFC" w:rsidP="00F604CF">
            <w:pPr>
              <w:rPr>
                <w:rFonts w:cs="Arial"/>
                <w:b/>
              </w:rPr>
            </w:pPr>
            <w:r w:rsidRPr="00F604CF">
              <w:rPr>
                <w:rFonts w:cs="Arial"/>
                <w:b/>
              </w:rPr>
              <w:t>Ingresos operacionales</w:t>
            </w:r>
          </w:p>
        </w:tc>
        <w:tc>
          <w:tcPr>
            <w:tcW w:w="2882" w:type="dxa"/>
            <w:shd w:val="clear" w:color="auto" w:fill="auto"/>
          </w:tcPr>
          <w:p w14:paraId="0755AC53" w14:textId="77777777" w:rsidR="0013770B" w:rsidRPr="00F604CF" w:rsidRDefault="002E3CFC" w:rsidP="00F604CF">
            <w:pPr>
              <w:jc w:val="right"/>
              <w:rPr>
                <w:rFonts w:cs="Arial"/>
                <w:b/>
              </w:rPr>
            </w:pPr>
            <w:r w:rsidRPr="00F604CF">
              <w:rPr>
                <w:rFonts w:cs="Arial"/>
                <w:b/>
              </w:rPr>
              <w:t>728’517.752</w:t>
            </w:r>
            <w:r w:rsidR="00D1384D" w:rsidRPr="00F604CF">
              <w:rPr>
                <w:rFonts w:cs="Arial"/>
                <w:b/>
              </w:rPr>
              <w:t>,00</w:t>
            </w:r>
          </w:p>
        </w:tc>
        <w:tc>
          <w:tcPr>
            <w:tcW w:w="2882" w:type="dxa"/>
            <w:shd w:val="clear" w:color="auto" w:fill="auto"/>
          </w:tcPr>
          <w:p w14:paraId="7CC0AAA4" w14:textId="77777777" w:rsidR="0013770B" w:rsidRPr="00F604CF" w:rsidRDefault="0013770B" w:rsidP="00F604CF">
            <w:pPr>
              <w:jc w:val="right"/>
              <w:rPr>
                <w:rFonts w:cs="Arial"/>
                <w:b/>
              </w:rPr>
            </w:pPr>
            <w:r w:rsidRPr="00F604CF">
              <w:rPr>
                <w:rFonts w:cs="Arial"/>
                <w:b/>
              </w:rPr>
              <w:t>647’605.789,19</w:t>
            </w:r>
          </w:p>
        </w:tc>
      </w:tr>
      <w:tr w:rsidR="002E3CFC" w:rsidRPr="00F604CF" w14:paraId="475CB481" w14:textId="77777777" w:rsidTr="00EC6DFD">
        <w:tc>
          <w:tcPr>
            <w:tcW w:w="2881" w:type="dxa"/>
            <w:shd w:val="clear" w:color="auto" w:fill="auto"/>
          </w:tcPr>
          <w:p w14:paraId="0F798D4A" w14:textId="77777777" w:rsidR="002E3CFC" w:rsidRPr="00F604CF" w:rsidRDefault="002E3CFC" w:rsidP="00F604CF">
            <w:pPr>
              <w:rPr>
                <w:rFonts w:cs="Arial"/>
                <w:b/>
              </w:rPr>
            </w:pPr>
            <w:r w:rsidRPr="00F604CF">
              <w:rPr>
                <w:rFonts w:cs="Arial"/>
                <w:b/>
              </w:rPr>
              <w:t>Costo de ventas</w:t>
            </w:r>
          </w:p>
        </w:tc>
        <w:tc>
          <w:tcPr>
            <w:tcW w:w="2882" w:type="dxa"/>
            <w:shd w:val="clear" w:color="auto" w:fill="auto"/>
          </w:tcPr>
          <w:p w14:paraId="452E0F6C" w14:textId="77777777" w:rsidR="002E3CFC" w:rsidRPr="00F604CF" w:rsidRDefault="00D1384D" w:rsidP="00F604CF">
            <w:pPr>
              <w:jc w:val="right"/>
              <w:rPr>
                <w:rFonts w:cs="Arial"/>
                <w:b/>
              </w:rPr>
            </w:pPr>
            <w:r w:rsidRPr="00F604CF">
              <w:rPr>
                <w:rFonts w:cs="Arial"/>
                <w:b/>
              </w:rPr>
              <w:t>-351.663.347,00</w:t>
            </w:r>
          </w:p>
        </w:tc>
        <w:tc>
          <w:tcPr>
            <w:tcW w:w="2882" w:type="dxa"/>
            <w:shd w:val="clear" w:color="auto" w:fill="auto"/>
          </w:tcPr>
          <w:p w14:paraId="13127D46" w14:textId="77777777" w:rsidR="002E3CFC" w:rsidRPr="00F604CF" w:rsidRDefault="000C6511" w:rsidP="00F604CF">
            <w:pPr>
              <w:jc w:val="right"/>
              <w:rPr>
                <w:rFonts w:cs="Arial"/>
                <w:b/>
              </w:rPr>
            </w:pPr>
            <w:r w:rsidRPr="00F604CF">
              <w:rPr>
                <w:rFonts w:cs="Arial"/>
                <w:b/>
              </w:rPr>
              <w:t>-251.662.901,57</w:t>
            </w:r>
          </w:p>
        </w:tc>
      </w:tr>
      <w:tr w:rsidR="002E3CFC" w:rsidRPr="00F604CF" w14:paraId="46E4F51A" w14:textId="77777777" w:rsidTr="00EC6DFD">
        <w:tc>
          <w:tcPr>
            <w:tcW w:w="2881" w:type="dxa"/>
            <w:shd w:val="clear" w:color="auto" w:fill="auto"/>
          </w:tcPr>
          <w:p w14:paraId="4A859D0B" w14:textId="77777777" w:rsidR="002E3CFC" w:rsidRPr="00F604CF" w:rsidRDefault="002E3CFC" w:rsidP="00F604CF">
            <w:pPr>
              <w:rPr>
                <w:rFonts w:cs="Arial"/>
              </w:rPr>
            </w:pPr>
            <w:r w:rsidRPr="00F604CF">
              <w:rPr>
                <w:rFonts w:cs="Arial"/>
              </w:rPr>
              <w:t>Utilidad Bruta</w:t>
            </w:r>
          </w:p>
        </w:tc>
        <w:tc>
          <w:tcPr>
            <w:tcW w:w="2882" w:type="dxa"/>
            <w:shd w:val="clear" w:color="auto" w:fill="auto"/>
          </w:tcPr>
          <w:p w14:paraId="02E68338" w14:textId="77777777" w:rsidR="002E3CFC" w:rsidRPr="00F604CF" w:rsidRDefault="00D1384D" w:rsidP="00F604CF">
            <w:pPr>
              <w:jc w:val="right"/>
              <w:rPr>
                <w:rFonts w:cs="Arial"/>
              </w:rPr>
            </w:pPr>
            <w:r w:rsidRPr="00F604CF">
              <w:rPr>
                <w:rFonts w:cs="Arial"/>
              </w:rPr>
              <w:t>376´854.405,00</w:t>
            </w:r>
          </w:p>
        </w:tc>
        <w:tc>
          <w:tcPr>
            <w:tcW w:w="2882" w:type="dxa"/>
            <w:shd w:val="clear" w:color="auto" w:fill="auto"/>
          </w:tcPr>
          <w:p w14:paraId="6044B51D" w14:textId="77777777" w:rsidR="002E3CFC" w:rsidRPr="00F604CF" w:rsidRDefault="000C6511" w:rsidP="00F604CF">
            <w:pPr>
              <w:jc w:val="right"/>
              <w:rPr>
                <w:rFonts w:cs="Arial"/>
              </w:rPr>
            </w:pPr>
            <w:r w:rsidRPr="00F604CF">
              <w:rPr>
                <w:rFonts w:cs="Arial"/>
              </w:rPr>
              <w:t>286’942.886,62</w:t>
            </w:r>
          </w:p>
        </w:tc>
      </w:tr>
      <w:tr w:rsidR="002E3CFC" w:rsidRPr="00F604CF" w14:paraId="482227CF" w14:textId="77777777" w:rsidTr="00EC6DFD">
        <w:tc>
          <w:tcPr>
            <w:tcW w:w="2881" w:type="dxa"/>
            <w:shd w:val="clear" w:color="auto" w:fill="auto"/>
          </w:tcPr>
          <w:p w14:paraId="589BAF93" w14:textId="77777777" w:rsidR="002E3CFC" w:rsidRPr="00F604CF" w:rsidRDefault="008C087F" w:rsidP="00F604CF">
            <w:pPr>
              <w:rPr>
                <w:rFonts w:cs="Arial"/>
              </w:rPr>
            </w:pPr>
            <w:r w:rsidRPr="00F604CF">
              <w:rPr>
                <w:rFonts w:cs="Arial"/>
              </w:rPr>
              <w:t>Gastos Operacionales</w:t>
            </w:r>
          </w:p>
        </w:tc>
        <w:tc>
          <w:tcPr>
            <w:tcW w:w="2882" w:type="dxa"/>
            <w:shd w:val="clear" w:color="auto" w:fill="auto"/>
          </w:tcPr>
          <w:p w14:paraId="67AB7F07" w14:textId="77777777" w:rsidR="002E3CFC" w:rsidRPr="00F604CF" w:rsidRDefault="004743AB" w:rsidP="00F604CF">
            <w:pPr>
              <w:jc w:val="right"/>
              <w:rPr>
                <w:rFonts w:cs="Arial"/>
              </w:rPr>
            </w:pPr>
            <w:r w:rsidRPr="00F604CF">
              <w:rPr>
                <w:rFonts w:cs="Arial"/>
              </w:rPr>
              <w:t>-243.836.052,00</w:t>
            </w:r>
          </w:p>
        </w:tc>
        <w:tc>
          <w:tcPr>
            <w:tcW w:w="2882" w:type="dxa"/>
            <w:shd w:val="clear" w:color="auto" w:fill="auto"/>
          </w:tcPr>
          <w:p w14:paraId="39352D93" w14:textId="77777777" w:rsidR="002E3CFC" w:rsidRPr="00F604CF" w:rsidRDefault="000C6511" w:rsidP="00F604CF">
            <w:pPr>
              <w:jc w:val="right"/>
              <w:rPr>
                <w:rFonts w:cs="Arial"/>
              </w:rPr>
            </w:pPr>
            <w:r w:rsidRPr="00F604CF">
              <w:rPr>
                <w:rFonts w:cs="Arial"/>
              </w:rPr>
              <w:t>-248.177.459,02</w:t>
            </w:r>
          </w:p>
        </w:tc>
      </w:tr>
      <w:tr w:rsidR="008C087F" w:rsidRPr="00F604CF" w14:paraId="21E5D8B2" w14:textId="77777777" w:rsidTr="00EC6DFD">
        <w:tc>
          <w:tcPr>
            <w:tcW w:w="2881" w:type="dxa"/>
            <w:shd w:val="clear" w:color="auto" w:fill="auto"/>
          </w:tcPr>
          <w:p w14:paraId="615E0E02" w14:textId="77777777" w:rsidR="008C087F" w:rsidRPr="00F604CF" w:rsidRDefault="008C087F" w:rsidP="00F604CF">
            <w:pPr>
              <w:rPr>
                <w:rFonts w:cs="Arial"/>
              </w:rPr>
            </w:pPr>
            <w:r w:rsidRPr="00F604CF">
              <w:rPr>
                <w:rFonts w:cs="Arial"/>
              </w:rPr>
              <w:t>Utilidad Operacional</w:t>
            </w:r>
          </w:p>
        </w:tc>
        <w:tc>
          <w:tcPr>
            <w:tcW w:w="2882" w:type="dxa"/>
            <w:shd w:val="clear" w:color="auto" w:fill="auto"/>
          </w:tcPr>
          <w:p w14:paraId="704C4C73" w14:textId="77777777" w:rsidR="008C087F" w:rsidRPr="00F604CF" w:rsidRDefault="004743AB" w:rsidP="00F604CF">
            <w:pPr>
              <w:jc w:val="right"/>
              <w:rPr>
                <w:rFonts w:cs="Arial"/>
              </w:rPr>
            </w:pPr>
            <w:r w:rsidRPr="00F604CF">
              <w:rPr>
                <w:rFonts w:cs="Arial"/>
              </w:rPr>
              <w:t>133’018.353,00</w:t>
            </w:r>
          </w:p>
        </w:tc>
        <w:tc>
          <w:tcPr>
            <w:tcW w:w="2882" w:type="dxa"/>
            <w:shd w:val="clear" w:color="auto" w:fill="auto"/>
          </w:tcPr>
          <w:p w14:paraId="3A1DBCEE" w14:textId="77777777" w:rsidR="008C087F" w:rsidRPr="00F604CF" w:rsidRDefault="000C6511" w:rsidP="00F604CF">
            <w:pPr>
              <w:jc w:val="right"/>
              <w:rPr>
                <w:rFonts w:cs="Arial"/>
              </w:rPr>
            </w:pPr>
            <w:r w:rsidRPr="00F604CF">
              <w:rPr>
                <w:rFonts w:cs="Arial"/>
              </w:rPr>
              <w:t>47’765.427,00</w:t>
            </w:r>
          </w:p>
        </w:tc>
      </w:tr>
      <w:tr w:rsidR="008C087F" w:rsidRPr="00F604CF" w14:paraId="124091E4" w14:textId="77777777" w:rsidTr="00EC6DFD">
        <w:tc>
          <w:tcPr>
            <w:tcW w:w="2881" w:type="dxa"/>
            <w:shd w:val="clear" w:color="auto" w:fill="auto"/>
          </w:tcPr>
          <w:p w14:paraId="09B6DD2A" w14:textId="77777777" w:rsidR="008C087F" w:rsidRPr="00F604CF" w:rsidRDefault="008C087F" w:rsidP="00F604CF">
            <w:pPr>
              <w:rPr>
                <w:rFonts w:cs="Arial"/>
              </w:rPr>
            </w:pPr>
            <w:r w:rsidRPr="00F604CF">
              <w:rPr>
                <w:rFonts w:cs="Arial"/>
              </w:rPr>
              <w:t>Ingresos no operacionales</w:t>
            </w:r>
          </w:p>
        </w:tc>
        <w:tc>
          <w:tcPr>
            <w:tcW w:w="2882" w:type="dxa"/>
            <w:shd w:val="clear" w:color="auto" w:fill="auto"/>
          </w:tcPr>
          <w:p w14:paraId="474F4616" w14:textId="77777777" w:rsidR="008C087F" w:rsidRPr="00F604CF" w:rsidRDefault="004743AB" w:rsidP="00F604CF">
            <w:pPr>
              <w:jc w:val="right"/>
              <w:rPr>
                <w:rFonts w:cs="Arial"/>
              </w:rPr>
            </w:pPr>
            <w:r w:rsidRPr="00F604CF">
              <w:rPr>
                <w:rFonts w:cs="Arial"/>
              </w:rPr>
              <w:t>26.960,39</w:t>
            </w:r>
          </w:p>
        </w:tc>
        <w:tc>
          <w:tcPr>
            <w:tcW w:w="2882" w:type="dxa"/>
            <w:shd w:val="clear" w:color="auto" w:fill="auto"/>
          </w:tcPr>
          <w:p w14:paraId="47408BD0" w14:textId="77777777" w:rsidR="008C087F" w:rsidRPr="00F604CF" w:rsidRDefault="00D1384D" w:rsidP="00F604CF">
            <w:pPr>
              <w:jc w:val="right"/>
              <w:rPr>
                <w:rFonts w:cs="Arial"/>
              </w:rPr>
            </w:pPr>
            <w:r w:rsidRPr="00F604CF">
              <w:rPr>
                <w:rFonts w:cs="Arial"/>
              </w:rPr>
              <w:t>27.220,19</w:t>
            </w:r>
          </w:p>
        </w:tc>
      </w:tr>
      <w:tr w:rsidR="008C087F" w:rsidRPr="00F604CF" w14:paraId="0DBD4636" w14:textId="77777777" w:rsidTr="00EC6DFD">
        <w:tc>
          <w:tcPr>
            <w:tcW w:w="2881" w:type="dxa"/>
            <w:shd w:val="clear" w:color="auto" w:fill="auto"/>
          </w:tcPr>
          <w:p w14:paraId="52299DCF" w14:textId="77777777" w:rsidR="008C087F" w:rsidRPr="00F604CF" w:rsidRDefault="008C087F" w:rsidP="00F604CF">
            <w:pPr>
              <w:rPr>
                <w:rFonts w:cs="Arial"/>
              </w:rPr>
            </w:pPr>
            <w:r w:rsidRPr="00F604CF">
              <w:rPr>
                <w:rFonts w:cs="Arial"/>
              </w:rPr>
              <w:t>Gastos no operacionales</w:t>
            </w:r>
          </w:p>
        </w:tc>
        <w:tc>
          <w:tcPr>
            <w:tcW w:w="2882" w:type="dxa"/>
            <w:shd w:val="clear" w:color="auto" w:fill="auto"/>
          </w:tcPr>
          <w:p w14:paraId="21980111" w14:textId="77777777" w:rsidR="008C087F" w:rsidRPr="00F604CF" w:rsidRDefault="004743AB" w:rsidP="00F604CF">
            <w:pPr>
              <w:jc w:val="right"/>
              <w:rPr>
                <w:rFonts w:cs="Arial"/>
              </w:rPr>
            </w:pPr>
            <w:r w:rsidRPr="00F604CF">
              <w:rPr>
                <w:rFonts w:cs="Arial"/>
              </w:rPr>
              <w:t>-25’215.320,39</w:t>
            </w:r>
          </w:p>
        </w:tc>
        <w:tc>
          <w:tcPr>
            <w:tcW w:w="2882" w:type="dxa"/>
            <w:shd w:val="clear" w:color="auto" w:fill="auto"/>
          </w:tcPr>
          <w:p w14:paraId="5F6DAE1C" w14:textId="77777777" w:rsidR="008C087F" w:rsidRPr="00F604CF" w:rsidRDefault="00D1384D" w:rsidP="00F604CF">
            <w:pPr>
              <w:jc w:val="right"/>
              <w:rPr>
                <w:rFonts w:cs="Arial"/>
              </w:rPr>
            </w:pPr>
            <w:r w:rsidRPr="00F604CF">
              <w:rPr>
                <w:rFonts w:cs="Arial"/>
              </w:rPr>
              <w:t>-22’435.975,19</w:t>
            </w:r>
          </w:p>
        </w:tc>
      </w:tr>
      <w:tr w:rsidR="008C087F" w:rsidRPr="00F604CF" w14:paraId="7A7584CF" w14:textId="77777777" w:rsidTr="00EC6DFD">
        <w:tc>
          <w:tcPr>
            <w:tcW w:w="2881" w:type="dxa"/>
            <w:shd w:val="clear" w:color="auto" w:fill="auto"/>
          </w:tcPr>
          <w:p w14:paraId="313B3785" w14:textId="77777777" w:rsidR="008C087F" w:rsidRPr="00F604CF" w:rsidRDefault="008C087F" w:rsidP="00F604CF">
            <w:pPr>
              <w:rPr>
                <w:rFonts w:cs="Arial"/>
              </w:rPr>
            </w:pPr>
            <w:r w:rsidRPr="00F604CF">
              <w:rPr>
                <w:rFonts w:cs="Arial"/>
              </w:rPr>
              <w:t>Utilidad antes de ajustes</w:t>
            </w:r>
          </w:p>
        </w:tc>
        <w:tc>
          <w:tcPr>
            <w:tcW w:w="2882" w:type="dxa"/>
            <w:shd w:val="clear" w:color="auto" w:fill="auto"/>
          </w:tcPr>
          <w:p w14:paraId="47CDC21B" w14:textId="77777777" w:rsidR="008C087F" w:rsidRPr="00F604CF" w:rsidRDefault="004743AB" w:rsidP="00F604CF">
            <w:pPr>
              <w:jc w:val="right"/>
              <w:rPr>
                <w:rFonts w:cs="Arial"/>
              </w:rPr>
            </w:pPr>
            <w:r w:rsidRPr="00F604CF">
              <w:rPr>
                <w:rFonts w:cs="Arial"/>
              </w:rPr>
              <w:t>107</w:t>
            </w:r>
            <w:r w:rsidR="00AF6EEA" w:rsidRPr="00F604CF">
              <w:rPr>
                <w:rFonts w:cs="Arial"/>
              </w:rPr>
              <w:t>’</w:t>
            </w:r>
            <w:r w:rsidRPr="00F604CF">
              <w:rPr>
                <w:rFonts w:cs="Arial"/>
              </w:rPr>
              <w:t>829.993,00</w:t>
            </w:r>
          </w:p>
        </w:tc>
        <w:tc>
          <w:tcPr>
            <w:tcW w:w="2882" w:type="dxa"/>
            <w:shd w:val="clear" w:color="auto" w:fill="auto"/>
          </w:tcPr>
          <w:p w14:paraId="3B9C6904" w14:textId="77777777" w:rsidR="008C087F" w:rsidRPr="00F604CF" w:rsidRDefault="00D1384D" w:rsidP="00F604CF">
            <w:pPr>
              <w:jc w:val="right"/>
              <w:rPr>
                <w:rFonts w:cs="Arial"/>
              </w:rPr>
            </w:pPr>
            <w:r w:rsidRPr="00F604CF">
              <w:rPr>
                <w:rFonts w:cs="Arial"/>
              </w:rPr>
              <w:t>26</w:t>
            </w:r>
            <w:r w:rsidR="00AF6EEA" w:rsidRPr="00F604CF">
              <w:rPr>
                <w:rFonts w:cs="Arial"/>
              </w:rPr>
              <w:t>’</w:t>
            </w:r>
            <w:r w:rsidRPr="00F604CF">
              <w:rPr>
                <w:rFonts w:cs="Arial"/>
              </w:rPr>
              <w:t>358.672,00</w:t>
            </w:r>
          </w:p>
        </w:tc>
      </w:tr>
      <w:tr w:rsidR="008C087F" w:rsidRPr="00F604CF" w14:paraId="42ADE8C5" w14:textId="77777777" w:rsidTr="00EC6DFD">
        <w:tc>
          <w:tcPr>
            <w:tcW w:w="2881" w:type="dxa"/>
            <w:shd w:val="clear" w:color="auto" w:fill="auto"/>
          </w:tcPr>
          <w:p w14:paraId="0974E88C" w14:textId="77777777" w:rsidR="008C087F" w:rsidRPr="00F604CF" w:rsidRDefault="008C087F" w:rsidP="00F604CF">
            <w:pPr>
              <w:rPr>
                <w:rFonts w:cs="Arial"/>
              </w:rPr>
            </w:pPr>
            <w:r w:rsidRPr="00F604CF">
              <w:rPr>
                <w:rFonts w:cs="Arial"/>
              </w:rPr>
              <w:t>Ajustes</w:t>
            </w:r>
          </w:p>
        </w:tc>
        <w:tc>
          <w:tcPr>
            <w:tcW w:w="2882" w:type="dxa"/>
            <w:shd w:val="clear" w:color="auto" w:fill="auto"/>
          </w:tcPr>
          <w:p w14:paraId="6509F356" w14:textId="77777777" w:rsidR="008C087F" w:rsidRPr="00F604CF" w:rsidRDefault="004743AB" w:rsidP="00F604CF">
            <w:pPr>
              <w:jc w:val="right"/>
              <w:rPr>
                <w:rFonts w:cs="Arial"/>
              </w:rPr>
            </w:pPr>
            <w:r w:rsidRPr="00F604CF">
              <w:rPr>
                <w:rFonts w:cs="Arial"/>
              </w:rPr>
              <w:t>19</w:t>
            </w:r>
            <w:r w:rsidR="00AF6EEA" w:rsidRPr="00F604CF">
              <w:rPr>
                <w:rFonts w:cs="Arial"/>
              </w:rPr>
              <w:t>’</w:t>
            </w:r>
            <w:r w:rsidRPr="00F604CF">
              <w:rPr>
                <w:rFonts w:cs="Arial"/>
              </w:rPr>
              <w:t>061.432,00</w:t>
            </w:r>
          </w:p>
        </w:tc>
        <w:tc>
          <w:tcPr>
            <w:tcW w:w="2882" w:type="dxa"/>
            <w:shd w:val="clear" w:color="auto" w:fill="auto"/>
          </w:tcPr>
          <w:p w14:paraId="49C91816" w14:textId="77777777" w:rsidR="008C087F" w:rsidRPr="00F604CF" w:rsidRDefault="00D1384D" w:rsidP="00F604CF">
            <w:pPr>
              <w:jc w:val="right"/>
              <w:rPr>
                <w:rFonts w:cs="Arial"/>
              </w:rPr>
            </w:pPr>
            <w:r w:rsidRPr="00F604CF">
              <w:rPr>
                <w:rFonts w:cs="Arial"/>
              </w:rPr>
              <w:t>1</w:t>
            </w:r>
            <w:r w:rsidR="00AF6EEA" w:rsidRPr="00F604CF">
              <w:rPr>
                <w:rFonts w:cs="Arial"/>
              </w:rPr>
              <w:t>’</w:t>
            </w:r>
            <w:r w:rsidRPr="00F604CF">
              <w:rPr>
                <w:rFonts w:cs="Arial"/>
              </w:rPr>
              <w:t>534.753,00</w:t>
            </w:r>
          </w:p>
        </w:tc>
      </w:tr>
      <w:tr w:rsidR="008C087F" w:rsidRPr="00F604CF" w14:paraId="6961F077" w14:textId="77777777" w:rsidTr="00EC6DFD">
        <w:tc>
          <w:tcPr>
            <w:tcW w:w="2881" w:type="dxa"/>
            <w:shd w:val="clear" w:color="auto" w:fill="auto"/>
          </w:tcPr>
          <w:p w14:paraId="24C7B32C" w14:textId="77777777" w:rsidR="008C087F" w:rsidRPr="00F604CF" w:rsidRDefault="008C087F" w:rsidP="00F604CF">
            <w:pPr>
              <w:rPr>
                <w:rFonts w:cs="Arial"/>
                <w:b/>
              </w:rPr>
            </w:pPr>
            <w:r w:rsidRPr="00F604CF">
              <w:rPr>
                <w:rFonts w:cs="Arial"/>
                <w:b/>
              </w:rPr>
              <w:t xml:space="preserve">Utilidad </w:t>
            </w:r>
            <w:r w:rsidR="00B24967" w:rsidRPr="00F604CF">
              <w:rPr>
                <w:rFonts w:cs="Arial"/>
                <w:b/>
              </w:rPr>
              <w:t>n</w:t>
            </w:r>
            <w:r w:rsidRPr="00F604CF">
              <w:rPr>
                <w:rFonts w:cs="Arial"/>
                <w:b/>
              </w:rPr>
              <w:t>eta</w:t>
            </w:r>
          </w:p>
        </w:tc>
        <w:tc>
          <w:tcPr>
            <w:tcW w:w="2882" w:type="dxa"/>
            <w:shd w:val="clear" w:color="auto" w:fill="auto"/>
          </w:tcPr>
          <w:p w14:paraId="1C315E27" w14:textId="77777777" w:rsidR="008C087F" w:rsidRPr="00F604CF" w:rsidRDefault="00AF6EEA" w:rsidP="00F604CF">
            <w:pPr>
              <w:jc w:val="right"/>
              <w:rPr>
                <w:rFonts w:cs="Arial"/>
                <w:b/>
              </w:rPr>
            </w:pPr>
            <w:r w:rsidRPr="00F604CF">
              <w:rPr>
                <w:rFonts w:cs="Arial"/>
                <w:b/>
              </w:rPr>
              <w:t>126’891.425,00</w:t>
            </w:r>
          </w:p>
        </w:tc>
        <w:tc>
          <w:tcPr>
            <w:tcW w:w="2882" w:type="dxa"/>
            <w:shd w:val="clear" w:color="auto" w:fill="auto"/>
          </w:tcPr>
          <w:p w14:paraId="2CF5B65E" w14:textId="77777777" w:rsidR="008C087F" w:rsidRPr="00F604CF" w:rsidRDefault="008C087F" w:rsidP="00F604CF">
            <w:pPr>
              <w:jc w:val="right"/>
              <w:rPr>
                <w:rFonts w:cs="Arial"/>
                <w:b/>
              </w:rPr>
            </w:pPr>
            <w:r w:rsidRPr="00F604CF">
              <w:rPr>
                <w:rFonts w:cs="Arial"/>
                <w:b/>
              </w:rPr>
              <w:t>26’891.425</w:t>
            </w:r>
            <w:r w:rsidR="000C6511" w:rsidRPr="00F604CF">
              <w:rPr>
                <w:rFonts w:cs="Arial"/>
                <w:b/>
              </w:rPr>
              <w:t>,00</w:t>
            </w:r>
          </w:p>
        </w:tc>
      </w:tr>
    </w:tbl>
    <w:p w14:paraId="6D52E789" w14:textId="77777777" w:rsidR="00E04291" w:rsidRPr="00F604CF" w:rsidRDefault="00E04291" w:rsidP="00F604CF">
      <w:pPr>
        <w:rPr>
          <w:rFonts w:cs="Arial"/>
        </w:rPr>
      </w:pPr>
    </w:p>
    <w:p w14:paraId="20895899" w14:textId="77777777" w:rsidR="00F14B4B" w:rsidRPr="00F604CF" w:rsidRDefault="001A277D" w:rsidP="00F604CF">
      <w:pPr>
        <w:rPr>
          <w:rFonts w:cs="Arial"/>
        </w:rPr>
      </w:pPr>
      <w:r w:rsidRPr="00F604CF">
        <w:rPr>
          <w:rFonts w:cs="Arial"/>
        </w:rPr>
        <w:t xml:space="preserve">Aunque los movimientos contables </w:t>
      </w:r>
      <w:r w:rsidR="00D269C2" w:rsidRPr="00F604CF">
        <w:rPr>
          <w:rFonts w:cs="Arial"/>
        </w:rPr>
        <w:t xml:space="preserve">relacionados </w:t>
      </w:r>
      <w:r w:rsidRPr="00F604CF">
        <w:rPr>
          <w:rFonts w:cs="Arial"/>
        </w:rPr>
        <w:t>pueden tener una o varias explicaciones</w:t>
      </w:r>
      <w:r w:rsidRPr="00F604CF">
        <w:rPr>
          <w:rStyle w:val="Refdenotaalpie"/>
          <w:rFonts w:cs="Arial"/>
        </w:rPr>
        <w:footnoteReference w:id="64"/>
      </w:r>
      <w:r w:rsidRPr="00F604CF">
        <w:rPr>
          <w:rFonts w:cs="Arial"/>
        </w:rPr>
        <w:t>, e</w:t>
      </w:r>
      <w:r w:rsidR="005D2038" w:rsidRPr="00F604CF">
        <w:rPr>
          <w:rFonts w:cs="Arial"/>
        </w:rPr>
        <w:t>s de la mayor importancia advertir</w:t>
      </w:r>
      <w:r w:rsidR="00B24967" w:rsidRPr="00F604CF">
        <w:rPr>
          <w:rFonts w:cs="Arial"/>
        </w:rPr>
        <w:t xml:space="preserve"> que los estados financieros de 31 de diciembre de 2004 </w:t>
      </w:r>
      <w:r w:rsidR="006A0CE0" w:rsidRPr="00F604CF">
        <w:rPr>
          <w:rFonts w:cs="Arial"/>
        </w:rPr>
        <w:t xml:space="preserve">de la sociedad </w:t>
      </w:r>
      <w:r w:rsidR="00F14B4B" w:rsidRPr="00F604CF">
        <w:rPr>
          <w:rFonts w:cs="Arial"/>
        </w:rPr>
        <w:t xml:space="preserve">Representaciones y Ediciones </w:t>
      </w:r>
      <w:r w:rsidR="006A0CE0" w:rsidRPr="00F604CF">
        <w:rPr>
          <w:rFonts w:cs="Arial"/>
        </w:rPr>
        <w:t xml:space="preserve">Eliber Ltda </w:t>
      </w:r>
      <w:r w:rsidR="00B24967" w:rsidRPr="00F604CF">
        <w:rPr>
          <w:rFonts w:cs="Arial"/>
        </w:rPr>
        <w:t>no conta</w:t>
      </w:r>
      <w:r w:rsidR="00741D17" w:rsidRPr="00F604CF">
        <w:rPr>
          <w:rFonts w:cs="Arial"/>
        </w:rPr>
        <w:t xml:space="preserve">ron </w:t>
      </w:r>
      <w:r w:rsidR="00B24967" w:rsidRPr="00F604CF">
        <w:rPr>
          <w:rFonts w:cs="Arial"/>
        </w:rPr>
        <w:t xml:space="preserve">con </w:t>
      </w:r>
      <w:r w:rsidR="00D269C2" w:rsidRPr="00F604CF">
        <w:rPr>
          <w:rFonts w:cs="Arial"/>
        </w:rPr>
        <w:t>un</w:t>
      </w:r>
      <w:r w:rsidR="00B24967" w:rsidRPr="00F604CF">
        <w:rPr>
          <w:rFonts w:cs="Arial"/>
        </w:rPr>
        <w:t xml:space="preserve"> dictamen de</w:t>
      </w:r>
      <w:r w:rsidR="00741D17" w:rsidRPr="00F604CF">
        <w:rPr>
          <w:rFonts w:cs="Arial"/>
        </w:rPr>
        <w:t xml:space="preserve"> contador público independiente ni de</w:t>
      </w:r>
      <w:r w:rsidR="00B24967" w:rsidRPr="00F604CF">
        <w:rPr>
          <w:rFonts w:cs="Arial"/>
        </w:rPr>
        <w:t xml:space="preserve"> revisor fiscal, ni siquiera </w:t>
      </w:r>
      <w:r w:rsidR="005E62AA" w:rsidRPr="00F604CF">
        <w:rPr>
          <w:rFonts w:cs="Arial"/>
        </w:rPr>
        <w:t xml:space="preserve">en </w:t>
      </w:r>
      <w:r w:rsidR="00D269C2" w:rsidRPr="00F604CF">
        <w:rPr>
          <w:rFonts w:cs="Arial"/>
        </w:rPr>
        <w:t xml:space="preserve">el momento en que fueron </w:t>
      </w:r>
      <w:r w:rsidR="00B24967" w:rsidRPr="00F604CF">
        <w:rPr>
          <w:rFonts w:cs="Arial"/>
        </w:rPr>
        <w:t xml:space="preserve">allegados con </w:t>
      </w:r>
      <w:r w:rsidR="00D269C2" w:rsidRPr="00F604CF">
        <w:rPr>
          <w:rFonts w:cs="Arial"/>
        </w:rPr>
        <w:t xml:space="preserve">la </w:t>
      </w:r>
      <w:r w:rsidR="00B24967" w:rsidRPr="00F604CF">
        <w:rPr>
          <w:rFonts w:cs="Arial"/>
        </w:rPr>
        <w:t>comunicación de 31 de agosto de 2005</w:t>
      </w:r>
      <w:r w:rsidR="00B24967" w:rsidRPr="00F604CF">
        <w:rPr>
          <w:rStyle w:val="Refdenotaalpie"/>
          <w:rFonts w:cs="Arial"/>
        </w:rPr>
        <w:footnoteReference w:id="65"/>
      </w:r>
      <w:r w:rsidR="005E62AA" w:rsidRPr="00F604CF">
        <w:rPr>
          <w:rFonts w:cs="Arial"/>
        </w:rPr>
        <w:t xml:space="preserve">. </w:t>
      </w:r>
      <w:r w:rsidR="00B24967" w:rsidRPr="00F604CF">
        <w:rPr>
          <w:rFonts w:cs="Arial"/>
        </w:rPr>
        <w:t xml:space="preserve"> </w:t>
      </w:r>
    </w:p>
    <w:p w14:paraId="5018B9BA" w14:textId="77777777" w:rsidR="00F14B4B" w:rsidRPr="00F604CF" w:rsidRDefault="00F14B4B" w:rsidP="00F604CF">
      <w:pPr>
        <w:rPr>
          <w:rFonts w:cs="Arial"/>
        </w:rPr>
      </w:pPr>
    </w:p>
    <w:p w14:paraId="5F99EDBC" w14:textId="77777777" w:rsidR="00E72717" w:rsidRPr="00F604CF" w:rsidRDefault="005E62AA" w:rsidP="00F604CF">
      <w:pPr>
        <w:rPr>
          <w:rFonts w:cs="Arial"/>
        </w:rPr>
      </w:pPr>
      <w:r w:rsidRPr="00F604CF">
        <w:rPr>
          <w:rFonts w:cs="Arial"/>
        </w:rPr>
        <w:t>L</w:t>
      </w:r>
      <w:r w:rsidR="006A0CE0" w:rsidRPr="00F604CF">
        <w:rPr>
          <w:rFonts w:cs="Arial"/>
        </w:rPr>
        <w:t xml:space="preserve">o que esa partícipe </w:t>
      </w:r>
      <w:r w:rsidR="00D269C2" w:rsidRPr="00F604CF">
        <w:rPr>
          <w:rFonts w:cs="Arial"/>
        </w:rPr>
        <w:t xml:space="preserve">de la Unión Temporal Calimeño </w:t>
      </w:r>
      <w:r w:rsidR="006A0CE0" w:rsidRPr="00F604CF">
        <w:rPr>
          <w:rFonts w:cs="Arial"/>
        </w:rPr>
        <w:t xml:space="preserve">decidió </w:t>
      </w:r>
      <w:r w:rsidR="00D269C2" w:rsidRPr="00F604CF">
        <w:rPr>
          <w:rFonts w:cs="Arial"/>
        </w:rPr>
        <w:t>informar</w:t>
      </w:r>
      <w:r w:rsidR="008D35CB" w:rsidRPr="00F604CF">
        <w:rPr>
          <w:rFonts w:cs="Arial"/>
        </w:rPr>
        <w:t>,</w:t>
      </w:r>
      <w:r w:rsidR="00D269C2" w:rsidRPr="00F604CF">
        <w:rPr>
          <w:rFonts w:cs="Arial"/>
        </w:rPr>
        <w:t xml:space="preserve"> </w:t>
      </w:r>
      <w:r w:rsidRPr="00F604CF">
        <w:rPr>
          <w:rFonts w:cs="Arial"/>
        </w:rPr>
        <w:t xml:space="preserve">cuando fue requerida para aportar el dictamen, </w:t>
      </w:r>
      <w:r w:rsidR="00D269C2" w:rsidRPr="00F604CF">
        <w:rPr>
          <w:rFonts w:cs="Arial"/>
        </w:rPr>
        <w:t xml:space="preserve">consistió en </w:t>
      </w:r>
      <w:r w:rsidR="00E620C2" w:rsidRPr="00F604CF">
        <w:rPr>
          <w:rFonts w:cs="Arial"/>
        </w:rPr>
        <w:t xml:space="preserve">allegar </w:t>
      </w:r>
      <w:r w:rsidR="006A0CE0" w:rsidRPr="00F604CF">
        <w:rPr>
          <w:rFonts w:cs="Arial"/>
        </w:rPr>
        <w:t xml:space="preserve">nuevos estados financieros, </w:t>
      </w:r>
      <w:r w:rsidR="00F14B4B" w:rsidRPr="00F604CF">
        <w:rPr>
          <w:rFonts w:cs="Arial"/>
        </w:rPr>
        <w:t xml:space="preserve">respecto de los cuales </w:t>
      </w:r>
      <w:r w:rsidR="00E72717" w:rsidRPr="00F604CF">
        <w:rPr>
          <w:rFonts w:cs="Arial"/>
        </w:rPr>
        <w:t xml:space="preserve">certificó cambios y solo logró presentar </w:t>
      </w:r>
      <w:r w:rsidR="006A0CE0" w:rsidRPr="00F604CF">
        <w:rPr>
          <w:rFonts w:cs="Arial"/>
        </w:rPr>
        <w:t xml:space="preserve">un </w:t>
      </w:r>
      <w:r w:rsidR="00E43BE8" w:rsidRPr="00F604CF">
        <w:rPr>
          <w:rFonts w:cs="Arial"/>
        </w:rPr>
        <w:t xml:space="preserve">dictamen </w:t>
      </w:r>
      <w:r w:rsidR="006A0CE0" w:rsidRPr="00F604CF">
        <w:rPr>
          <w:rFonts w:cs="Arial"/>
        </w:rPr>
        <w:t xml:space="preserve">en relación con las cifras a </w:t>
      </w:r>
      <w:r w:rsidR="00E43BE8" w:rsidRPr="00F604CF">
        <w:rPr>
          <w:rFonts w:cs="Arial"/>
        </w:rPr>
        <w:t xml:space="preserve">31 de mayo de 2005, emitido por el </w:t>
      </w:r>
      <w:r w:rsidR="00051EE1" w:rsidRPr="00F604CF">
        <w:rPr>
          <w:rFonts w:cs="Arial"/>
        </w:rPr>
        <w:t xml:space="preserve">contador público independiente </w:t>
      </w:r>
      <w:r w:rsidR="00E43BE8" w:rsidRPr="00F604CF">
        <w:rPr>
          <w:rFonts w:cs="Arial"/>
        </w:rPr>
        <w:t>John Dixon Cano, firmado con fecha 1º de agosto de 2005</w:t>
      </w:r>
      <w:r w:rsidR="00E43BE8" w:rsidRPr="00F604CF">
        <w:rPr>
          <w:rStyle w:val="Refdenotaalpie"/>
          <w:rFonts w:cs="Arial"/>
        </w:rPr>
        <w:footnoteReference w:id="66"/>
      </w:r>
      <w:r w:rsidR="00741D17" w:rsidRPr="00F604CF">
        <w:rPr>
          <w:rFonts w:cs="Arial"/>
        </w:rPr>
        <w:t xml:space="preserve">. </w:t>
      </w:r>
    </w:p>
    <w:p w14:paraId="2F4224FB" w14:textId="77777777" w:rsidR="00E72717" w:rsidRPr="00F604CF" w:rsidRDefault="00E72717" w:rsidP="00F604CF">
      <w:pPr>
        <w:rPr>
          <w:rFonts w:cs="Arial"/>
        </w:rPr>
      </w:pPr>
    </w:p>
    <w:p w14:paraId="1791894D" w14:textId="77777777" w:rsidR="00F14B4B" w:rsidRPr="00F604CF" w:rsidRDefault="00F14B4B" w:rsidP="00F604CF">
      <w:pPr>
        <w:rPr>
          <w:rFonts w:cs="Arial"/>
        </w:rPr>
      </w:pPr>
      <w:r w:rsidRPr="00F604CF">
        <w:rPr>
          <w:rFonts w:cs="Arial"/>
        </w:rPr>
        <w:t>Dadas las evidentes diferencias entre el contenido de l</w:t>
      </w:r>
      <w:r w:rsidR="00E72717" w:rsidRPr="00F604CF">
        <w:rPr>
          <w:rFonts w:cs="Arial"/>
        </w:rPr>
        <w:t>os</w:t>
      </w:r>
      <w:r w:rsidRPr="00F604CF">
        <w:rPr>
          <w:rFonts w:cs="Arial"/>
        </w:rPr>
        <w:t xml:space="preserve"> estados financieros dictaminados y los que se </w:t>
      </w:r>
      <w:r w:rsidR="00E72717" w:rsidRPr="00F604CF">
        <w:rPr>
          <w:rFonts w:cs="Arial"/>
        </w:rPr>
        <w:t xml:space="preserve">habían </w:t>
      </w:r>
      <w:r w:rsidRPr="00F604CF">
        <w:rPr>
          <w:rFonts w:cs="Arial"/>
        </w:rPr>
        <w:t>allega</w:t>
      </w:r>
      <w:r w:rsidR="00E72717" w:rsidRPr="00F604CF">
        <w:rPr>
          <w:rFonts w:cs="Arial"/>
        </w:rPr>
        <w:t>do</w:t>
      </w:r>
      <w:r w:rsidRPr="00F604CF">
        <w:rPr>
          <w:rFonts w:cs="Arial"/>
        </w:rPr>
        <w:t xml:space="preserve"> con corte a 31 de diciembre de 200</w:t>
      </w:r>
      <w:r w:rsidR="00E72717" w:rsidRPr="00F604CF">
        <w:rPr>
          <w:rFonts w:cs="Arial"/>
        </w:rPr>
        <w:t>4</w:t>
      </w:r>
      <w:r w:rsidRPr="00F604CF">
        <w:rPr>
          <w:rFonts w:cs="Arial"/>
        </w:rPr>
        <w:t xml:space="preserve">, se </w:t>
      </w:r>
      <w:r w:rsidR="00E72717" w:rsidRPr="00F604CF">
        <w:rPr>
          <w:rFonts w:cs="Arial"/>
        </w:rPr>
        <w:t>puede concluir que existió, por lo menos</w:t>
      </w:r>
      <w:r w:rsidR="00495F8F" w:rsidRPr="00F604CF">
        <w:rPr>
          <w:rFonts w:cs="Arial"/>
        </w:rPr>
        <w:t>,</w:t>
      </w:r>
      <w:r w:rsidR="00E72717" w:rsidRPr="00F604CF">
        <w:rPr>
          <w:rFonts w:cs="Arial"/>
        </w:rPr>
        <w:t xml:space="preserve"> un </w:t>
      </w:r>
      <w:r w:rsidRPr="00F604CF">
        <w:rPr>
          <w:rFonts w:cs="Arial"/>
        </w:rPr>
        <w:t>error</w:t>
      </w:r>
      <w:r w:rsidR="00E72717" w:rsidRPr="00F604CF">
        <w:rPr>
          <w:rFonts w:cs="Arial"/>
        </w:rPr>
        <w:t>,</w:t>
      </w:r>
      <w:r w:rsidRPr="00F604CF">
        <w:rPr>
          <w:rFonts w:cs="Arial"/>
        </w:rPr>
        <w:t xml:space="preserve"> al considerar que la Unión Temporal Calimeño había cumplido con el requisito </w:t>
      </w:r>
      <w:r w:rsidR="00E620C2" w:rsidRPr="00F604CF">
        <w:rPr>
          <w:rFonts w:cs="Arial"/>
        </w:rPr>
        <w:t>exigido en el pliego de condiciones.</w:t>
      </w:r>
      <w:r w:rsidRPr="00F604CF">
        <w:rPr>
          <w:rFonts w:cs="Arial"/>
        </w:rPr>
        <w:t xml:space="preserve"> </w:t>
      </w:r>
    </w:p>
    <w:p w14:paraId="454D19D3" w14:textId="77777777" w:rsidR="005D2038" w:rsidRPr="00F604CF" w:rsidRDefault="005D2038" w:rsidP="00F604CF">
      <w:pPr>
        <w:rPr>
          <w:rFonts w:cs="Arial"/>
        </w:rPr>
      </w:pPr>
    </w:p>
    <w:p w14:paraId="39E49F1A" w14:textId="77777777" w:rsidR="005E62AA" w:rsidRPr="00F604CF" w:rsidRDefault="00E72717" w:rsidP="00F604CF">
      <w:pPr>
        <w:rPr>
          <w:rFonts w:cs="Arial"/>
        </w:rPr>
      </w:pPr>
      <w:r w:rsidRPr="00F604CF">
        <w:rPr>
          <w:rFonts w:cs="Arial"/>
        </w:rPr>
        <w:t xml:space="preserve">En efecto, </w:t>
      </w:r>
      <w:r w:rsidR="00741D17" w:rsidRPr="00F604CF">
        <w:rPr>
          <w:rFonts w:cs="Arial"/>
        </w:rPr>
        <w:t>l</w:t>
      </w:r>
      <w:r w:rsidR="00E7224A" w:rsidRPr="00F604CF">
        <w:rPr>
          <w:rFonts w:cs="Arial"/>
        </w:rPr>
        <w:t xml:space="preserve">os estados financieros a 31 de diciembre de 2004, correspondientes a la sociedad miembro de la </w:t>
      </w:r>
      <w:r w:rsidR="00741D17" w:rsidRPr="00F604CF">
        <w:rPr>
          <w:rFonts w:cs="Arial"/>
        </w:rPr>
        <w:t>Unión Temporal Calimeño</w:t>
      </w:r>
      <w:r w:rsidR="00E7224A" w:rsidRPr="00F604CF">
        <w:rPr>
          <w:rFonts w:cs="Arial"/>
        </w:rPr>
        <w:t xml:space="preserve">, </w:t>
      </w:r>
      <w:r w:rsidR="00741D17" w:rsidRPr="00F604CF">
        <w:rPr>
          <w:rFonts w:cs="Arial"/>
        </w:rPr>
        <w:t xml:space="preserve">no </w:t>
      </w:r>
      <w:r w:rsidR="005E62AA" w:rsidRPr="00F604CF">
        <w:rPr>
          <w:rFonts w:cs="Arial"/>
        </w:rPr>
        <w:t>cumpl</w:t>
      </w:r>
      <w:r w:rsidR="00E620C2" w:rsidRPr="00F604CF">
        <w:rPr>
          <w:rFonts w:cs="Arial"/>
        </w:rPr>
        <w:t xml:space="preserve">ieron </w:t>
      </w:r>
      <w:r w:rsidR="00741D17" w:rsidRPr="00F604CF">
        <w:rPr>
          <w:rFonts w:cs="Arial"/>
        </w:rPr>
        <w:t>con los requ</w:t>
      </w:r>
      <w:r w:rsidR="00495F8F" w:rsidRPr="00F604CF">
        <w:rPr>
          <w:rFonts w:cs="Arial"/>
        </w:rPr>
        <w:t>isitos</w:t>
      </w:r>
      <w:r w:rsidR="00741D17" w:rsidRPr="00F604CF">
        <w:rPr>
          <w:rFonts w:cs="Arial"/>
        </w:rPr>
        <w:t xml:space="preserve"> del pliego de condiciones, </w:t>
      </w:r>
      <w:r w:rsidR="00821ACA" w:rsidRPr="00F604CF">
        <w:rPr>
          <w:rFonts w:cs="Arial"/>
        </w:rPr>
        <w:t xml:space="preserve">toda vez que no </w:t>
      </w:r>
      <w:r w:rsidR="00E7224A" w:rsidRPr="00F604CF">
        <w:rPr>
          <w:rFonts w:cs="Arial"/>
        </w:rPr>
        <w:t xml:space="preserve">se subsanó el </w:t>
      </w:r>
      <w:r w:rsidR="00E620C2" w:rsidRPr="00F604CF">
        <w:rPr>
          <w:rFonts w:cs="Arial"/>
        </w:rPr>
        <w:t xml:space="preserve">requerimiento con la presentación del </w:t>
      </w:r>
      <w:r w:rsidR="00821ACA" w:rsidRPr="00F604CF">
        <w:rPr>
          <w:rFonts w:cs="Arial"/>
        </w:rPr>
        <w:t xml:space="preserve">dictamen </w:t>
      </w:r>
      <w:r w:rsidR="00E620C2" w:rsidRPr="00F604CF">
        <w:rPr>
          <w:rFonts w:cs="Arial"/>
        </w:rPr>
        <w:t>correspondiente.</w:t>
      </w:r>
      <w:r w:rsidRPr="00F604CF">
        <w:rPr>
          <w:rFonts w:cs="Arial"/>
        </w:rPr>
        <w:t xml:space="preserve"> Por el </w:t>
      </w:r>
      <w:r w:rsidR="00E7224A" w:rsidRPr="00F604CF">
        <w:rPr>
          <w:rFonts w:cs="Arial"/>
        </w:rPr>
        <w:t xml:space="preserve">contrario, se allegaron nuevos estados financieros en los cuales </w:t>
      </w:r>
      <w:r w:rsidR="00DC53D6" w:rsidRPr="00F604CF">
        <w:rPr>
          <w:rFonts w:cs="Arial"/>
        </w:rPr>
        <w:t xml:space="preserve">las cifras </w:t>
      </w:r>
      <w:r w:rsidR="005E62AA" w:rsidRPr="00F604CF">
        <w:rPr>
          <w:rFonts w:cs="Arial"/>
        </w:rPr>
        <w:t xml:space="preserve">base </w:t>
      </w:r>
      <w:r w:rsidR="00DC53D6" w:rsidRPr="00F604CF">
        <w:rPr>
          <w:rFonts w:cs="Arial"/>
        </w:rPr>
        <w:t xml:space="preserve">de </w:t>
      </w:r>
      <w:r w:rsidR="005E62AA" w:rsidRPr="00F604CF">
        <w:rPr>
          <w:rFonts w:cs="Arial"/>
        </w:rPr>
        <w:t xml:space="preserve">la </w:t>
      </w:r>
      <w:r w:rsidR="00DC53D6" w:rsidRPr="00F604CF">
        <w:rPr>
          <w:rFonts w:cs="Arial"/>
        </w:rPr>
        <w:t>calificación se redu</w:t>
      </w:r>
      <w:r w:rsidR="00FE00DC" w:rsidRPr="00F604CF">
        <w:rPr>
          <w:rFonts w:cs="Arial"/>
        </w:rPr>
        <w:t>c</w:t>
      </w:r>
      <w:r w:rsidR="005E62AA" w:rsidRPr="00F604CF">
        <w:rPr>
          <w:rFonts w:cs="Arial"/>
        </w:rPr>
        <w:t>ían, lo que no fue advertido</w:t>
      </w:r>
      <w:r w:rsidR="00103F98" w:rsidRPr="00F604CF">
        <w:rPr>
          <w:rFonts w:cs="Arial"/>
        </w:rPr>
        <w:t>, o ni si</w:t>
      </w:r>
      <w:r w:rsidR="00794047" w:rsidRPr="00F604CF">
        <w:rPr>
          <w:rFonts w:cs="Arial"/>
        </w:rPr>
        <w:t>q</w:t>
      </w:r>
      <w:r w:rsidR="00103F98" w:rsidRPr="00F604CF">
        <w:rPr>
          <w:rFonts w:cs="Arial"/>
        </w:rPr>
        <w:t>uiera conocido</w:t>
      </w:r>
      <w:r w:rsidR="00352B9A" w:rsidRPr="00F604CF">
        <w:rPr>
          <w:rFonts w:cs="Arial"/>
        </w:rPr>
        <w:t>,</w:t>
      </w:r>
      <w:r w:rsidR="00103F98" w:rsidRPr="00F604CF">
        <w:rPr>
          <w:rFonts w:cs="Arial"/>
        </w:rPr>
        <w:t xml:space="preserve"> </w:t>
      </w:r>
      <w:r w:rsidR="005E62AA" w:rsidRPr="00F604CF">
        <w:rPr>
          <w:rFonts w:cs="Arial"/>
        </w:rPr>
        <w:t xml:space="preserve">por el </w:t>
      </w:r>
      <w:r w:rsidR="00352B9A" w:rsidRPr="00F604CF">
        <w:rPr>
          <w:rFonts w:cs="Arial"/>
        </w:rPr>
        <w:t>comité de evaluación</w:t>
      </w:r>
      <w:r w:rsidR="005E62AA" w:rsidRPr="00F604CF">
        <w:rPr>
          <w:rFonts w:cs="Arial"/>
        </w:rPr>
        <w:t>.</w:t>
      </w:r>
    </w:p>
    <w:p w14:paraId="12B86E0F" w14:textId="77777777" w:rsidR="00741D17" w:rsidRPr="00F604CF" w:rsidRDefault="00741D17" w:rsidP="00F604CF">
      <w:pPr>
        <w:rPr>
          <w:rFonts w:cs="Arial"/>
        </w:rPr>
      </w:pPr>
    </w:p>
    <w:p w14:paraId="4862DF1C" w14:textId="77777777" w:rsidR="002247DF" w:rsidRPr="00F604CF" w:rsidRDefault="00FE00DC" w:rsidP="00F604CF">
      <w:pPr>
        <w:rPr>
          <w:rFonts w:cs="Arial"/>
        </w:rPr>
      </w:pPr>
      <w:r w:rsidRPr="00F604CF">
        <w:rPr>
          <w:rFonts w:cs="Arial"/>
        </w:rPr>
        <w:t xml:space="preserve">Es de la mayor importancia agregar que </w:t>
      </w:r>
      <w:r w:rsidR="00B638FA" w:rsidRPr="00F604CF">
        <w:rPr>
          <w:rFonts w:cs="Arial"/>
        </w:rPr>
        <w:t>en el informe de evaluación sin fecha</w:t>
      </w:r>
      <w:r w:rsidR="00821ACA" w:rsidRPr="00F604CF">
        <w:rPr>
          <w:rStyle w:val="Refdenotaalpie"/>
          <w:rFonts w:cs="Arial"/>
        </w:rPr>
        <w:footnoteReference w:id="67"/>
      </w:r>
      <w:r w:rsidR="00B638FA" w:rsidRPr="00F604CF">
        <w:rPr>
          <w:rFonts w:cs="Arial"/>
        </w:rPr>
        <w:t xml:space="preserve">, que se </w:t>
      </w:r>
      <w:r w:rsidR="00103F98" w:rsidRPr="00F604CF">
        <w:rPr>
          <w:rFonts w:cs="Arial"/>
        </w:rPr>
        <w:t xml:space="preserve">mantuvo en firme </w:t>
      </w:r>
      <w:r w:rsidR="00B638FA" w:rsidRPr="00F604CF">
        <w:rPr>
          <w:rFonts w:cs="Arial"/>
        </w:rPr>
        <w:t xml:space="preserve">como </w:t>
      </w:r>
      <w:r w:rsidR="005E62AA" w:rsidRPr="00F604CF">
        <w:rPr>
          <w:rFonts w:cs="Arial"/>
        </w:rPr>
        <w:t xml:space="preserve">soporte </w:t>
      </w:r>
      <w:r w:rsidR="00B638FA" w:rsidRPr="00F604CF">
        <w:rPr>
          <w:rFonts w:cs="Arial"/>
        </w:rPr>
        <w:t>del acto de adjudicación</w:t>
      </w:r>
      <w:r w:rsidR="005E62AA" w:rsidRPr="00F604CF">
        <w:rPr>
          <w:rFonts w:cs="Arial"/>
        </w:rPr>
        <w:t xml:space="preserve"> del contrato</w:t>
      </w:r>
      <w:r w:rsidR="00B638FA" w:rsidRPr="00F604CF">
        <w:rPr>
          <w:rFonts w:cs="Arial"/>
        </w:rPr>
        <w:t xml:space="preserve">, el activo corriente de la sociedad </w:t>
      </w:r>
      <w:r w:rsidRPr="00F604CF">
        <w:rPr>
          <w:rFonts w:cs="Arial"/>
        </w:rPr>
        <w:t xml:space="preserve">Representaciones y Ediciones </w:t>
      </w:r>
      <w:r w:rsidR="00B638FA" w:rsidRPr="00F604CF">
        <w:rPr>
          <w:rFonts w:cs="Arial"/>
        </w:rPr>
        <w:t>Eliber Ltda se relacionó por la suma de $670’905.067</w:t>
      </w:r>
      <w:r w:rsidR="00744C43" w:rsidRPr="00F604CF">
        <w:rPr>
          <w:rFonts w:cs="Arial"/>
        </w:rPr>
        <w:t>, con base en el estado financiero de 31 de diciembre de 2004 no dictaminado, lo cual le permitió calcular un capital de</w:t>
      </w:r>
      <w:r w:rsidR="00D03AB9" w:rsidRPr="00F604CF">
        <w:rPr>
          <w:rFonts w:cs="Arial"/>
        </w:rPr>
        <w:t xml:space="preserve"> trabajo por la suma de $402’279.755,58 (activo corriente/ pasivo corriente) y lograr el puntaje máximo de 100 puntos </w:t>
      </w:r>
      <w:r w:rsidRPr="00F604CF">
        <w:rPr>
          <w:rFonts w:cs="Arial"/>
        </w:rPr>
        <w:t>para la propuesta de Unión Temporal Calimeño</w:t>
      </w:r>
      <w:r w:rsidR="002247DF" w:rsidRPr="00F604CF">
        <w:rPr>
          <w:rFonts w:cs="Arial"/>
        </w:rPr>
        <w:t>,</w:t>
      </w:r>
      <w:r w:rsidRPr="00F604CF">
        <w:rPr>
          <w:rFonts w:cs="Arial"/>
        </w:rPr>
        <w:t xml:space="preserve"> </w:t>
      </w:r>
      <w:r w:rsidR="002247DF" w:rsidRPr="00F604CF">
        <w:rPr>
          <w:rFonts w:cs="Arial"/>
        </w:rPr>
        <w:t xml:space="preserve">en materia de capacidad </w:t>
      </w:r>
      <w:r w:rsidR="00D03AB9" w:rsidRPr="00F604CF">
        <w:rPr>
          <w:rFonts w:cs="Arial"/>
        </w:rPr>
        <w:t>financiera</w:t>
      </w:r>
      <w:r w:rsidR="002247DF" w:rsidRPr="00F604CF">
        <w:rPr>
          <w:rFonts w:cs="Arial"/>
        </w:rPr>
        <w:t>.</w:t>
      </w:r>
    </w:p>
    <w:p w14:paraId="14160EB7" w14:textId="77777777" w:rsidR="002247DF" w:rsidRPr="00F604CF" w:rsidRDefault="002247DF" w:rsidP="00F604CF">
      <w:pPr>
        <w:rPr>
          <w:rFonts w:cs="Arial"/>
        </w:rPr>
      </w:pPr>
    </w:p>
    <w:p w14:paraId="2D3F3848" w14:textId="77777777" w:rsidR="00E72717" w:rsidRPr="00F604CF" w:rsidRDefault="00446070" w:rsidP="00F604CF">
      <w:pPr>
        <w:rPr>
          <w:rFonts w:cs="Arial"/>
        </w:rPr>
      </w:pPr>
      <w:r w:rsidRPr="00F604CF">
        <w:rPr>
          <w:rFonts w:cs="Arial"/>
        </w:rPr>
        <w:t>E</w:t>
      </w:r>
      <w:r w:rsidR="002247DF" w:rsidRPr="00F604CF">
        <w:rPr>
          <w:rFonts w:cs="Arial"/>
        </w:rPr>
        <w:t xml:space="preserve">s evidente que el </w:t>
      </w:r>
      <w:r w:rsidR="00103F98" w:rsidRPr="00F604CF">
        <w:rPr>
          <w:rFonts w:cs="Arial"/>
        </w:rPr>
        <w:t xml:space="preserve">acto de adjudicación </w:t>
      </w:r>
      <w:r w:rsidR="002247DF" w:rsidRPr="00F604CF">
        <w:rPr>
          <w:rFonts w:cs="Arial"/>
        </w:rPr>
        <w:t xml:space="preserve">no debió adoptar las cifras de los estados financieros de la </w:t>
      </w:r>
      <w:r w:rsidR="005171E0" w:rsidRPr="00F604CF">
        <w:rPr>
          <w:rFonts w:cs="Arial"/>
        </w:rPr>
        <w:t xml:space="preserve">sociedad Representaciones y Ediciones Eliber Ltda </w:t>
      </w:r>
      <w:r w:rsidR="002247DF" w:rsidRPr="00F604CF">
        <w:rPr>
          <w:rFonts w:cs="Arial"/>
        </w:rPr>
        <w:t xml:space="preserve">a 31 de diciembre de 2004, </w:t>
      </w:r>
      <w:r w:rsidR="00E72717" w:rsidRPr="00F604CF">
        <w:rPr>
          <w:rFonts w:cs="Arial"/>
        </w:rPr>
        <w:t xml:space="preserve">para efectos de la habilitación y calificación, </w:t>
      </w:r>
      <w:r w:rsidR="005171E0" w:rsidRPr="00F604CF">
        <w:rPr>
          <w:rFonts w:cs="Arial"/>
        </w:rPr>
        <w:t xml:space="preserve">toda vez que la proponente no cumplió con allegar el dictamen y, por el contrario, </w:t>
      </w:r>
      <w:r w:rsidRPr="00F604CF">
        <w:rPr>
          <w:rFonts w:cs="Arial"/>
        </w:rPr>
        <w:t xml:space="preserve">la contadora pública de la citada sociedad </w:t>
      </w:r>
      <w:r w:rsidR="005171E0" w:rsidRPr="00F604CF">
        <w:rPr>
          <w:rFonts w:cs="Arial"/>
        </w:rPr>
        <w:t xml:space="preserve">certificó que había corregido las cifras de esos estados financieros a mayo 31 de 2005, disminuyendo en una suma </w:t>
      </w:r>
      <w:r w:rsidR="00D1712E" w:rsidRPr="00F604CF">
        <w:rPr>
          <w:rFonts w:cs="Arial"/>
        </w:rPr>
        <w:t xml:space="preserve">cercana a los </w:t>
      </w:r>
      <w:r w:rsidR="005171E0" w:rsidRPr="00F604CF">
        <w:rPr>
          <w:rFonts w:cs="Arial"/>
        </w:rPr>
        <w:t xml:space="preserve">$100’000.000 </w:t>
      </w:r>
      <w:r w:rsidR="00D1712E" w:rsidRPr="00F604CF">
        <w:rPr>
          <w:rFonts w:cs="Arial"/>
        </w:rPr>
        <w:t xml:space="preserve">el </w:t>
      </w:r>
      <w:r w:rsidRPr="00F604CF">
        <w:rPr>
          <w:rFonts w:cs="Arial"/>
        </w:rPr>
        <w:t xml:space="preserve">patrimonio, </w:t>
      </w:r>
      <w:r w:rsidR="005C42D9" w:rsidRPr="00F604CF">
        <w:rPr>
          <w:rFonts w:cs="Arial"/>
        </w:rPr>
        <w:t xml:space="preserve">con origen en una reducción similar del </w:t>
      </w:r>
      <w:r w:rsidR="00D1712E" w:rsidRPr="00F604CF">
        <w:rPr>
          <w:rFonts w:cs="Arial"/>
        </w:rPr>
        <w:t xml:space="preserve">activo corriente de la sociedad, lo cual implicaba que su indicador de capital de trabajo (activo corriente/pasivo corriente) </w:t>
      </w:r>
      <w:r w:rsidR="004445F6" w:rsidRPr="00F604CF">
        <w:rPr>
          <w:rFonts w:cs="Arial"/>
        </w:rPr>
        <w:t xml:space="preserve">era inferior al que se obtenía con base en los estados financieros </w:t>
      </w:r>
      <w:r w:rsidR="005C42D9" w:rsidRPr="00F604CF">
        <w:rPr>
          <w:rFonts w:cs="Arial"/>
        </w:rPr>
        <w:t>que inicialmente había aportado</w:t>
      </w:r>
      <w:r w:rsidR="00E72717" w:rsidRPr="00F604CF">
        <w:rPr>
          <w:rFonts w:cs="Arial"/>
        </w:rPr>
        <w:t>.</w:t>
      </w:r>
    </w:p>
    <w:p w14:paraId="6D5EE5AA" w14:textId="77777777" w:rsidR="00D03AB9" w:rsidRPr="00F604CF" w:rsidRDefault="00D03AB9" w:rsidP="00F604CF">
      <w:pPr>
        <w:rPr>
          <w:rFonts w:cs="Arial"/>
        </w:rPr>
      </w:pPr>
    </w:p>
    <w:p w14:paraId="6C9D9DD8" w14:textId="77777777" w:rsidR="0006376E" w:rsidRPr="00F604CF" w:rsidRDefault="004445F6" w:rsidP="00F604CF">
      <w:pPr>
        <w:rPr>
          <w:rFonts w:cs="Arial"/>
        </w:rPr>
      </w:pPr>
      <w:r w:rsidRPr="00F604CF">
        <w:rPr>
          <w:rFonts w:cs="Arial"/>
        </w:rPr>
        <w:t xml:space="preserve">Así las cosas, </w:t>
      </w:r>
      <w:r w:rsidR="00E72717" w:rsidRPr="00F604CF">
        <w:rPr>
          <w:rFonts w:cs="Arial"/>
        </w:rPr>
        <w:t xml:space="preserve">no habiéndose cumplido el requerimiento para subsanar los estados financieros con corte a 31 de mayo de 2004, </w:t>
      </w:r>
      <w:r w:rsidRPr="00F604CF">
        <w:rPr>
          <w:rFonts w:cs="Arial"/>
        </w:rPr>
        <w:t>la sociedad Representaciones y Ediciones Eliber Ltda debi</w:t>
      </w:r>
      <w:r w:rsidR="00E72717" w:rsidRPr="00F604CF">
        <w:rPr>
          <w:rFonts w:cs="Arial"/>
        </w:rPr>
        <w:t>ó ser</w:t>
      </w:r>
      <w:r w:rsidRPr="00F604CF">
        <w:rPr>
          <w:rFonts w:cs="Arial"/>
        </w:rPr>
        <w:t xml:space="preserve"> calificad</w:t>
      </w:r>
      <w:r w:rsidR="00E72717" w:rsidRPr="00F604CF">
        <w:rPr>
          <w:rFonts w:cs="Arial"/>
        </w:rPr>
        <w:t>a</w:t>
      </w:r>
      <w:r w:rsidRPr="00F604CF">
        <w:rPr>
          <w:rFonts w:cs="Arial"/>
        </w:rPr>
        <w:t xml:space="preserve"> con NO CUMPLE, por falta de dictamen</w:t>
      </w:r>
      <w:r w:rsidR="00E72717" w:rsidRPr="00F604CF">
        <w:rPr>
          <w:rFonts w:cs="Arial"/>
        </w:rPr>
        <w:t xml:space="preserve">. </w:t>
      </w:r>
    </w:p>
    <w:p w14:paraId="75BD67AB" w14:textId="77777777" w:rsidR="0006376E" w:rsidRPr="00F604CF" w:rsidRDefault="0006376E" w:rsidP="00F604CF">
      <w:pPr>
        <w:rPr>
          <w:rFonts w:cs="Arial"/>
        </w:rPr>
      </w:pPr>
    </w:p>
    <w:p w14:paraId="7E3F033A" w14:textId="77777777" w:rsidR="002F50A8" w:rsidRPr="00F604CF" w:rsidRDefault="00E72717" w:rsidP="00F604CF">
      <w:pPr>
        <w:rPr>
          <w:rFonts w:cs="Arial"/>
        </w:rPr>
      </w:pPr>
      <w:r w:rsidRPr="00F604CF">
        <w:rPr>
          <w:rFonts w:cs="Arial"/>
        </w:rPr>
        <w:t xml:space="preserve">Dado que la capacidad financiera otorgaba puntaje, </w:t>
      </w:r>
      <w:r w:rsidR="00354B5D" w:rsidRPr="00F604CF">
        <w:rPr>
          <w:rFonts w:cs="Arial"/>
        </w:rPr>
        <w:t xml:space="preserve">se puede </w:t>
      </w:r>
      <w:r w:rsidR="00DE3520" w:rsidRPr="00F604CF">
        <w:rPr>
          <w:rFonts w:cs="Arial"/>
        </w:rPr>
        <w:t>precisar que al excluir la</w:t>
      </w:r>
      <w:r w:rsidR="008C4954" w:rsidRPr="00F604CF">
        <w:rPr>
          <w:rFonts w:cs="Arial"/>
        </w:rPr>
        <w:t>s cifras de los balances de la Sociedad Representaciones y Ediciones Eliber Ltda de la</w:t>
      </w:r>
      <w:r w:rsidR="00F32D74" w:rsidRPr="00F604CF">
        <w:rPr>
          <w:rFonts w:cs="Arial"/>
        </w:rPr>
        <w:t xml:space="preserve"> sumatoria de la</w:t>
      </w:r>
      <w:r w:rsidR="008C4954" w:rsidRPr="00F604CF">
        <w:rPr>
          <w:rFonts w:cs="Arial"/>
        </w:rPr>
        <w:t xml:space="preserve"> Unión Temporal Calimeño, la propuesta ya no </w:t>
      </w:r>
      <w:r w:rsidR="00F32D74" w:rsidRPr="00F604CF">
        <w:rPr>
          <w:rFonts w:cs="Arial"/>
        </w:rPr>
        <w:t xml:space="preserve">lograba </w:t>
      </w:r>
      <w:r w:rsidR="001B2E2C" w:rsidRPr="00F604CF">
        <w:rPr>
          <w:rFonts w:cs="Arial"/>
        </w:rPr>
        <w:t>los 300 puntos de capacidad financiera que se le asignaron</w:t>
      </w:r>
      <w:r w:rsidR="005C42D9" w:rsidRPr="00F604CF">
        <w:rPr>
          <w:rFonts w:cs="Arial"/>
        </w:rPr>
        <w:t xml:space="preserve"> por parte del comité de evaluación</w:t>
      </w:r>
      <w:r w:rsidR="00354B5D" w:rsidRPr="00F604CF">
        <w:rPr>
          <w:rFonts w:cs="Arial"/>
        </w:rPr>
        <w:t xml:space="preserve">, por cuanto </w:t>
      </w:r>
      <w:r w:rsidR="002F50A8" w:rsidRPr="00F604CF">
        <w:rPr>
          <w:rFonts w:cs="Arial"/>
        </w:rPr>
        <w:t xml:space="preserve">la referida </w:t>
      </w:r>
      <w:r w:rsidR="00F32D74" w:rsidRPr="00F604CF">
        <w:rPr>
          <w:rFonts w:cs="Arial"/>
        </w:rPr>
        <w:t xml:space="preserve">sociedad aportaba </w:t>
      </w:r>
      <w:r w:rsidR="00423564" w:rsidRPr="00F604CF">
        <w:rPr>
          <w:rFonts w:cs="Arial"/>
        </w:rPr>
        <w:t xml:space="preserve">el 48.25% </w:t>
      </w:r>
      <w:r w:rsidR="00C14385" w:rsidRPr="00F604CF">
        <w:rPr>
          <w:rFonts w:cs="Arial"/>
        </w:rPr>
        <w:t>de la sumatoria de capital de trabajo de la referida unión temporal</w:t>
      </w:r>
      <w:r w:rsidR="00423564" w:rsidRPr="00F604CF">
        <w:rPr>
          <w:rFonts w:cs="Arial"/>
        </w:rPr>
        <w:t xml:space="preserve">, de acuerdo con las cifras que aparecen en el acta del </w:t>
      </w:r>
      <w:r w:rsidR="00721A54" w:rsidRPr="00F604CF">
        <w:rPr>
          <w:rFonts w:cs="Arial"/>
        </w:rPr>
        <w:t>comité de evaluación</w:t>
      </w:r>
      <w:r w:rsidR="002F50A8" w:rsidRPr="00F604CF">
        <w:rPr>
          <w:rStyle w:val="Refdenotaalpie"/>
          <w:rFonts w:cs="Arial"/>
        </w:rPr>
        <w:footnoteReference w:id="68"/>
      </w:r>
      <w:r w:rsidR="00721A54" w:rsidRPr="00F604CF">
        <w:rPr>
          <w:rFonts w:cs="Arial"/>
        </w:rPr>
        <w:t xml:space="preserve">. </w:t>
      </w:r>
    </w:p>
    <w:p w14:paraId="526BCEDE" w14:textId="77777777" w:rsidR="002F50A8" w:rsidRPr="00F604CF" w:rsidRDefault="002F50A8" w:rsidP="00F604CF">
      <w:pPr>
        <w:rPr>
          <w:rFonts w:cs="Arial"/>
        </w:rPr>
      </w:pPr>
    </w:p>
    <w:p w14:paraId="0CEBEBCD" w14:textId="77777777" w:rsidR="002F50A8" w:rsidRPr="00F604CF" w:rsidRDefault="00721A54" w:rsidP="00F604CF">
      <w:pPr>
        <w:rPr>
          <w:rFonts w:cs="Arial"/>
        </w:rPr>
      </w:pPr>
      <w:r w:rsidRPr="00F604CF">
        <w:rPr>
          <w:rFonts w:cs="Arial"/>
        </w:rPr>
        <w:t>Se hace notar que</w:t>
      </w:r>
      <w:r w:rsidR="004924BC" w:rsidRPr="00F604CF">
        <w:rPr>
          <w:rFonts w:cs="Arial"/>
        </w:rPr>
        <w:t>,</w:t>
      </w:r>
      <w:r w:rsidRPr="00F604CF">
        <w:rPr>
          <w:rFonts w:cs="Arial"/>
        </w:rPr>
        <w:t xml:space="preserve"> en ese evento, la propuesta no lograba el puntaje más alto</w:t>
      </w:r>
      <w:r w:rsidR="008C5DD9" w:rsidRPr="00F604CF">
        <w:rPr>
          <w:rFonts w:cs="Arial"/>
        </w:rPr>
        <w:t>. P</w:t>
      </w:r>
      <w:r w:rsidR="00A230DA" w:rsidRPr="00F604CF">
        <w:rPr>
          <w:rFonts w:cs="Arial"/>
        </w:rPr>
        <w:t xml:space="preserve">or otra parte, se agrega que </w:t>
      </w:r>
      <w:r w:rsidR="002F50A8" w:rsidRPr="00F604CF">
        <w:rPr>
          <w:rFonts w:cs="Arial"/>
        </w:rPr>
        <w:t>no es necesario</w:t>
      </w:r>
      <w:r w:rsidRPr="00F604CF">
        <w:rPr>
          <w:rFonts w:cs="Arial"/>
        </w:rPr>
        <w:t xml:space="preserve"> acudir a estudiar los </w:t>
      </w:r>
      <w:r w:rsidR="008C5DD9" w:rsidRPr="00F604CF">
        <w:rPr>
          <w:rFonts w:cs="Arial"/>
        </w:rPr>
        <w:t xml:space="preserve">estados financieros de los </w:t>
      </w:r>
      <w:r w:rsidRPr="00F604CF">
        <w:rPr>
          <w:rFonts w:cs="Arial"/>
        </w:rPr>
        <w:t>otros partícipes</w:t>
      </w:r>
      <w:r w:rsidR="00A230DA" w:rsidRPr="00F604CF">
        <w:rPr>
          <w:rFonts w:cs="Arial"/>
        </w:rPr>
        <w:t xml:space="preserve">, para recalificar el puesto que le hubiera correspondido a la Unión Temporal Calimeño, </w:t>
      </w:r>
      <w:r w:rsidRPr="00F604CF">
        <w:rPr>
          <w:rFonts w:cs="Arial"/>
        </w:rPr>
        <w:t>teniendo en cuenta que</w:t>
      </w:r>
      <w:r w:rsidR="004924BC" w:rsidRPr="00F604CF">
        <w:rPr>
          <w:rFonts w:cs="Arial"/>
        </w:rPr>
        <w:t>,</w:t>
      </w:r>
      <w:r w:rsidRPr="00F604CF">
        <w:rPr>
          <w:rFonts w:cs="Arial"/>
        </w:rPr>
        <w:t xml:space="preserve"> en </w:t>
      </w:r>
      <w:r w:rsidR="008C5DD9" w:rsidRPr="00F604CF">
        <w:rPr>
          <w:rFonts w:cs="Arial"/>
        </w:rPr>
        <w:t>todo caso</w:t>
      </w:r>
      <w:r w:rsidR="004924BC" w:rsidRPr="00F604CF">
        <w:rPr>
          <w:rFonts w:cs="Arial"/>
        </w:rPr>
        <w:t>,</w:t>
      </w:r>
      <w:r w:rsidR="008C5DD9" w:rsidRPr="00F604CF">
        <w:rPr>
          <w:rFonts w:cs="Arial"/>
        </w:rPr>
        <w:t xml:space="preserve"> no sería el primero teniendo en cuenta que </w:t>
      </w:r>
      <w:r w:rsidRPr="00F604CF">
        <w:rPr>
          <w:rFonts w:cs="Arial"/>
        </w:rPr>
        <w:t xml:space="preserve">no se cumplió con el dictamen </w:t>
      </w:r>
      <w:r w:rsidR="008C5DD9" w:rsidRPr="00F604CF">
        <w:rPr>
          <w:rFonts w:cs="Arial"/>
        </w:rPr>
        <w:t xml:space="preserve">de los estados financieros </w:t>
      </w:r>
      <w:r w:rsidR="002F50A8" w:rsidRPr="00F604CF">
        <w:rPr>
          <w:rFonts w:cs="Arial"/>
        </w:rPr>
        <w:t>a 31 de diciembre de 200</w:t>
      </w:r>
      <w:r w:rsidR="00A230DA" w:rsidRPr="00F604CF">
        <w:rPr>
          <w:rFonts w:cs="Arial"/>
        </w:rPr>
        <w:t xml:space="preserve">4, </w:t>
      </w:r>
      <w:r w:rsidR="002F50A8" w:rsidRPr="00F604CF">
        <w:rPr>
          <w:rFonts w:cs="Arial"/>
        </w:rPr>
        <w:t>para uno de los p</w:t>
      </w:r>
      <w:r w:rsidR="00A230DA" w:rsidRPr="00F604CF">
        <w:rPr>
          <w:rFonts w:cs="Arial"/>
        </w:rPr>
        <w:t>artícipes</w:t>
      </w:r>
      <w:r w:rsidR="002F50A8" w:rsidRPr="00F604CF">
        <w:rPr>
          <w:rFonts w:cs="Arial"/>
        </w:rPr>
        <w:t xml:space="preserve">, lo cual descalificaba la propuesta. </w:t>
      </w:r>
    </w:p>
    <w:p w14:paraId="51C1C015" w14:textId="77777777" w:rsidR="00F94892" w:rsidRPr="00F604CF" w:rsidRDefault="00F94892" w:rsidP="00F604CF">
      <w:pPr>
        <w:rPr>
          <w:rFonts w:cs="Arial"/>
        </w:rPr>
      </w:pPr>
    </w:p>
    <w:p w14:paraId="10F2D0B4" w14:textId="77777777" w:rsidR="00032105" w:rsidRPr="00F604CF" w:rsidRDefault="00446070" w:rsidP="00F604CF">
      <w:pPr>
        <w:rPr>
          <w:rFonts w:cs="Arial"/>
        </w:rPr>
      </w:pPr>
      <w:r w:rsidRPr="00F604CF">
        <w:rPr>
          <w:rFonts w:cs="Arial"/>
        </w:rPr>
        <w:t xml:space="preserve">Se observa que </w:t>
      </w:r>
      <w:r w:rsidR="00620851" w:rsidRPr="00F604CF">
        <w:rPr>
          <w:rFonts w:cs="Arial"/>
        </w:rPr>
        <w:t xml:space="preserve">la </w:t>
      </w:r>
      <w:r w:rsidR="00354B5D" w:rsidRPr="00F604CF">
        <w:rPr>
          <w:rFonts w:cs="Arial"/>
        </w:rPr>
        <w:t xml:space="preserve">corrección certificada por la contadora pública indicaba que los activos eran inferiores a los inicialmente reportados, asunto de importancia material, dado que, </w:t>
      </w:r>
      <w:r w:rsidR="00EB523A" w:rsidRPr="00F604CF">
        <w:rPr>
          <w:rFonts w:cs="Arial"/>
        </w:rPr>
        <w:t xml:space="preserve">por otra parte, </w:t>
      </w:r>
      <w:r w:rsidR="00354B5D" w:rsidRPr="00F604CF">
        <w:rPr>
          <w:rFonts w:cs="Arial"/>
        </w:rPr>
        <w:t xml:space="preserve">según los cálculos en que se fundó el comité de evaluación, la sociedad Representaciones y Ediciones Eliber Ltda </w:t>
      </w:r>
      <w:r w:rsidR="00620851" w:rsidRPr="00F604CF">
        <w:rPr>
          <w:rFonts w:cs="Arial"/>
        </w:rPr>
        <w:t xml:space="preserve">aportaba </w:t>
      </w:r>
      <w:r w:rsidR="00032105" w:rsidRPr="00F604CF">
        <w:rPr>
          <w:rFonts w:cs="Arial"/>
        </w:rPr>
        <w:t>a la propuesta de la Unión Temporal Calimeño la experiencia específica requerida en el pliego de condiciones.</w:t>
      </w:r>
    </w:p>
    <w:p w14:paraId="4E3D5285" w14:textId="77777777" w:rsidR="003134C9" w:rsidRPr="00F604CF" w:rsidRDefault="003134C9" w:rsidP="00F604CF">
      <w:pPr>
        <w:rPr>
          <w:rFonts w:cs="Arial"/>
        </w:rPr>
      </w:pPr>
    </w:p>
    <w:p w14:paraId="21939CF3" w14:textId="77777777" w:rsidR="00740803" w:rsidRPr="00F604CF" w:rsidRDefault="003134C9" w:rsidP="00F604CF">
      <w:pPr>
        <w:rPr>
          <w:rFonts w:cs="Arial"/>
        </w:rPr>
      </w:pPr>
      <w:r w:rsidRPr="00F604CF">
        <w:rPr>
          <w:rFonts w:cs="Arial"/>
        </w:rPr>
        <w:t>S</w:t>
      </w:r>
      <w:r w:rsidR="00B31A7E" w:rsidRPr="00F604CF">
        <w:rPr>
          <w:rFonts w:cs="Arial"/>
        </w:rPr>
        <w:t xml:space="preserve">e puede agregar que de acuerdo con el pliego de condiciones el </w:t>
      </w:r>
      <w:r w:rsidR="008A6AAF" w:rsidRPr="00F604CF">
        <w:rPr>
          <w:rFonts w:cs="Arial"/>
        </w:rPr>
        <w:t xml:space="preserve">índice de liquidez acreditado debía ser igual o superior a 3 y </w:t>
      </w:r>
      <w:r w:rsidR="00A52A2B" w:rsidRPr="00F604CF">
        <w:rPr>
          <w:rFonts w:cs="Arial"/>
        </w:rPr>
        <w:t xml:space="preserve">que </w:t>
      </w:r>
      <w:r w:rsidR="005E62AA" w:rsidRPr="00F604CF">
        <w:rPr>
          <w:rFonts w:cs="Arial"/>
        </w:rPr>
        <w:t xml:space="preserve">allí se dispuso que </w:t>
      </w:r>
      <w:r w:rsidR="008A6AAF" w:rsidRPr="00F604CF">
        <w:rPr>
          <w:rFonts w:cs="Arial"/>
        </w:rPr>
        <w:t>“</w:t>
      </w:r>
      <w:r w:rsidR="008A6AAF" w:rsidRPr="00F604CF">
        <w:rPr>
          <w:rFonts w:cs="Arial"/>
          <w:i/>
        </w:rPr>
        <w:t>las demás propuestas serán rechazadas”</w:t>
      </w:r>
      <w:r w:rsidR="005E62AA" w:rsidRPr="00F604CF">
        <w:rPr>
          <w:rFonts w:cs="Arial"/>
        </w:rPr>
        <w:t>. Por ello, también</w:t>
      </w:r>
      <w:r w:rsidR="00F14B4B" w:rsidRPr="00F604CF">
        <w:rPr>
          <w:rFonts w:cs="Arial"/>
        </w:rPr>
        <w:t xml:space="preserve"> en la verificación del cumplimiento de</w:t>
      </w:r>
      <w:r w:rsidR="00354B5D" w:rsidRPr="00F604CF">
        <w:rPr>
          <w:rFonts w:cs="Arial"/>
        </w:rPr>
        <w:t>l</w:t>
      </w:r>
      <w:r w:rsidR="00F14B4B" w:rsidRPr="00F604CF">
        <w:rPr>
          <w:rFonts w:cs="Arial"/>
        </w:rPr>
        <w:t xml:space="preserve"> factor </w:t>
      </w:r>
      <w:r w:rsidR="00354B5D" w:rsidRPr="00F604CF">
        <w:rPr>
          <w:rFonts w:cs="Arial"/>
        </w:rPr>
        <w:t xml:space="preserve">de liquidez </w:t>
      </w:r>
      <w:r w:rsidR="005E62AA" w:rsidRPr="00F604CF">
        <w:rPr>
          <w:rFonts w:cs="Arial"/>
        </w:rPr>
        <w:t xml:space="preserve">se ha debido </w:t>
      </w:r>
      <w:r w:rsidR="0006376E" w:rsidRPr="00F604CF">
        <w:rPr>
          <w:rFonts w:cs="Arial"/>
        </w:rPr>
        <w:t xml:space="preserve">concluir </w:t>
      </w:r>
      <w:r w:rsidR="00032105" w:rsidRPr="00F604CF">
        <w:rPr>
          <w:rFonts w:cs="Arial"/>
        </w:rPr>
        <w:t xml:space="preserve">que se estaba allegando información que denotaba una </w:t>
      </w:r>
      <w:r w:rsidR="0006376E" w:rsidRPr="00F604CF">
        <w:rPr>
          <w:rFonts w:cs="Arial"/>
        </w:rPr>
        <w:t xml:space="preserve">modificación </w:t>
      </w:r>
      <w:r w:rsidR="00032105" w:rsidRPr="00F604CF">
        <w:rPr>
          <w:rFonts w:cs="Arial"/>
        </w:rPr>
        <w:t xml:space="preserve">de importancia </w:t>
      </w:r>
      <w:r w:rsidR="008C5DD9" w:rsidRPr="00F604CF">
        <w:rPr>
          <w:rFonts w:cs="Arial"/>
        </w:rPr>
        <w:t xml:space="preserve">en la </w:t>
      </w:r>
      <w:r w:rsidR="0006376E" w:rsidRPr="00F604CF">
        <w:rPr>
          <w:rFonts w:cs="Arial"/>
        </w:rPr>
        <w:t xml:space="preserve">evaluación de </w:t>
      </w:r>
      <w:r w:rsidR="00652C6A" w:rsidRPr="00F604CF">
        <w:rPr>
          <w:rFonts w:cs="Arial"/>
        </w:rPr>
        <w:t xml:space="preserve">la propuesta de </w:t>
      </w:r>
      <w:r w:rsidR="0006376E" w:rsidRPr="00F604CF">
        <w:rPr>
          <w:rFonts w:cs="Arial"/>
        </w:rPr>
        <w:t xml:space="preserve">la </w:t>
      </w:r>
      <w:r w:rsidR="00652C6A" w:rsidRPr="00F604CF">
        <w:rPr>
          <w:rFonts w:cs="Arial"/>
        </w:rPr>
        <w:t xml:space="preserve">Unión Temporal Calimeño, teniendo en cuenta que el índice correspondiente a la sociedad </w:t>
      </w:r>
      <w:r w:rsidR="00740803" w:rsidRPr="00F604CF">
        <w:rPr>
          <w:rFonts w:cs="Arial"/>
        </w:rPr>
        <w:t>Representaciones y Ediciones Eliber Ltda</w:t>
      </w:r>
      <w:r w:rsidR="005F6F6D" w:rsidRPr="00F604CF">
        <w:rPr>
          <w:rFonts w:cs="Arial"/>
        </w:rPr>
        <w:t xml:space="preserve">,  en caso de haber sido procedente la calificación de la propuesta, </w:t>
      </w:r>
      <w:r w:rsidR="00F14B4B" w:rsidRPr="00F604CF">
        <w:rPr>
          <w:rFonts w:cs="Arial"/>
        </w:rPr>
        <w:t>re</w:t>
      </w:r>
      <w:r w:rsidR="005F6F6D" w:rsidRPr="00F604CF">
        <w:rPr>
          <w:rFonts w:cs="Arial"/>
        </w:rPr>
        <w:t>s</w:t>
      </w:r>
      <w:r w:rsidR="00F14B4B" w:rsidRPr="00F604CF">
        <w:rPr>
          <w:rFonts w:cs="Arial"/>
        </w:rPr>
        <w:t xml:space="preserve">ultaba ser </w:t>
      </w:r>
      <w:r w:rsidR="00740803" w:rsidRPr="00F604CF">
        <w:rPr>
          <w:rFonts w:cs="Arial"/>
        </w:rPr>
        <w:t>de cero puntos, en tanto las cifras de los estados financieros a 31 de mayo de 2004 no habían cumplido con el requisito del dictamen.</w:t>
      </w:r>
    </w:p>
    <w:p w14:paraId="36F8C795" w14:textId="77777777" w:rsidR="00740803" w:rsidRPr="00F604CF" w:rsidRDefault="00740803" w:rsidP="00F604CF">
      <w:pPr>
        <w:rPr>
          <w:rFonts w:cs="Arial"/>
        </w:rPr>
      </w:pPr>
    </w:p>
    <w:p w14:paraId="010D668A" w14:textId="77777777" w:rsidR="00094AAF" w:rsidRPr="00F604CF" w:rsidRDefault="00740803" w:rsidP="00F604CF">
      <w:pPr>
        <w:rPr>
          <w:rFonts w:cs="Arial"/>
        </w:rPr>
      </w:pPr>
      <w:r w:rsidRPr="00F604CF">
        <w:rPr>
          <w:rFonts w:cs="Arial"/>
        </w:rPr>
        <w:t xml:space="preserve">De acuerdo con lo antes expuesto, procede </w:t>
      </w:r>
      <w:r w:rsidR="009C68DC" w:rsidRPr="00F604CF">
        <w:rPr>
          <w:rFonts w:cs="Arial"/>
        </w:rPr>
        <w:t xml:space="preserve">revocar la sentencia de primera instancia y, en su lugar, se </w:t>
      </w:r>
      <w:r w:rsidRPr="00F604CF">
        <w:rPr>
          <w:rFonts w:cs="Arial"/>
        </w:rPr>
        <w:t>a</w:t>
      </w:r>
      <w:r w:rsidR="009C68DC" w:rsidRPr="00F604CF">
        <w:rPr>
          <w:rFonts w:cs="Arial"/>
        </w:rPr>
        <w:t xml:space="preserve">ccederá a declarar la nulidad de la </w:t>
      </w:r>
      <w:r w:rsidRPr="00F604CF">
        <w:rPr>
          <w:rFonts w:cs="Arial"/>
        </w:rPr>
        <w:t xml:space="preserve"> Resolución </w:t>
      </w:r>
      <w:r w:rsidR="009C68DC" w:rsidRPr="00F604CF">
        <w:rPr>
          <w:rFonts w:cs="Arial"/>
        </w:rPr>
        <w:t>02</w:t>
      </w:r>
      <w:r w:rsidR="002B180C" w:rsidRPr="00F604CF">
        <w:rPr>
          <w:rFonts w:cs="Arial"/>
        </w:rPr>
        <w:t xml:space="preserve"> </w:t>
      </w:r>
      <w:r w:rsidR="009C68DC" w:rsidRPr="00F604CF">
        <w:rPr>
          <w:rFonts w:cs="Arial"/>
        </w:rPr>
        <w:t xml:space="preserve">193 </w:t>
      </w:r>
      <w:r w:rsidRPr="00F604CF">
        <w:rPr>
          <w:rFonts w:cs="Arial"/>
        </w:rPr>
        <w:t xml:space="preserve">de </w:t>
      </w:r>
      <w:r w:rsidR="009C68DC" w:rsidRPr="00F604CF">
        <w:rPr>
          <w:rFonts w:cs="Arial"/>
        </w:rPr>
        <w:t xml:space="preserve">22 de septiembre de </w:t>
      </w:r>
      <w:r w:rsidRPr="00F604CF">
        <w:rPr>
          <w:rFonts w:cs="Arial"/>
        </w:rPr>
        <w:t>2005 y</w:t>
      </w:r>
      <w:r w:rsidR="005E62AA" w:rsidRPr="00F604CF">
        <w:rPr>
          <w:rFonts w:cs="Arial"/>
        </w:rPr>
        <w:t xml:space="preserve">, como consecuencia, </w:t>
      </w:r>
      <w:r w:rsidRPr="00F604CF">
        <w:rPr>
          <w:rFonts w:cs="Arial"/>
        </w:rPr>
        <w:t xml:space="preserve">la </w:t>
      </w:r>
      <w:r w:rsidR="0006376E" w:rsidRPr="00F604CF">
        <w:rPr>
          <w:rFonts w:cs="Arial"/>
        </w:rPr>
        <w:t xml:space="preserve">nulidad </w:t>
      </w:r>
      <w:r w:rsidRPr="00F604CF">
        <w:rPr>
          <w:rFonts w:cs="Arial"/>
        </w:rPr>
        <w:t xml:space="preserve">del </w:t>
      </w:r>
      <w:r w:rsidR="0006376E" w:rsidRPr="00F604CF">
        <w:rPr>
          <w:rFonts w:cs="Arial"/>
        </w:rPr>
        <w:t>C</w:t>
      </w:r>
      <w:r w:rsidRPr="00F604CF">
        <w:rPr>
          <w:rFonts w:cs="Arial"/>
        </w:rPr>
        <w:t xml:space="preserve">ontrato </w:t>
      </w:r>
      <w:r w:rsidR="00094AAF" w:rsidRPr="00F604CF">
        <w:rPr>
          <w:rFonts w:cs="Arial"/>
        </w:rPr>
        <w:t xml:space="preserve">153 de </w:t>
      </w:r>
      <w:r w:rsidRPr="00F604CF">
        <w:rPr>
          <w:rFonts w:cs="Arial"/>
        </w:rPr>
        <w:t>31 de octubre de 2005</w:t>
      </w:r>
      <w:r w:rsidR="00094AAF" w:rsidRPr="00F604CF">
        <w:rPr>
          <w:rFonts w:cs="Arial"/>
        </w:rPr>
        <w:t>.</w:t>
      </w:r>
    </w:p>
    <w:p w14:paraId="7A237394" w14:textId="77777777" w:rsidR="0028598A" w:rsidRPr="00F604CF" w:rsidRDefault="0028598A" w:rsidP="00F604CF">
      <w:pPr>
        <w:pStyle w:val="Lista2"/>
        <w:ind w:left="0" w:firstLine="0"/>
        <w:rPr>
          <w:rFonts w:cs="Arial"/>
          <w:b/>
        </w:rPr>
      </w:pPr>
    </w:p>
    <w:p w14:paraId="3D15DE7E" w14:textId="77777777" w:rsidR="00F94892" w:rsidRPr="00F604CF" w:rsidRDefault="00810A9D" w:rsidP="00F604CF">
      <w:pPr>
        <w:pStyle w:val="Lista2"/>
        <w:spacing w:line="240" w:lineRule="auto"/>
        <w:ind w:left="0" w:firstLine="0"/>
        <w:rPr>
          <w:rFonts w:cs="Arial"/>
          <w:b/>
        </w:rPr>
      </w:pPr>
      <w:r w:rsidRPr="00F604CF">
        <w:rPr>
          <w:rFonts w:cs="Arial"/>
          <w:b/>
        </w:rPr>
        <w:t xml:space="preserve">6.3. </w:t>
      </w:r>
      <w:r w:rsidR="00F94892" w:rsidRPr="00F604CF">
        <w:rPr>
          <w:rFonts w:cs="Arial"/>
          <w:b/>
        </w:rPr>
        <w:t>Conclusiones sobre el supuesto saneamiento de los estados financieros</w:t>
      </w:r>
    </w:p>
    <w:p w14:paraId="0B05522E" w14:textId="77777777" w:rsidR="00F94892" w:rsidRPr="00F604CF" w:rsidRDefault="00F94892" w:rsidP="00F604CF">
      <w:pPr>
        <w:pStyle w:val="Lista2"/>
        <w:ind w:left="0" w:firstLine="0"/>
        <w:rPr>
          <w:rFonts w:cs="Arial"/>
          <w:b/>
        </w:rPr>
      </w:pPr>
    </w:p>
    <w:p w14:paraId="662E7059" w14:textId="77777777" w:rsidR="00FC2D82" w:rsidRPr="00F604CF" w:rsidRDefault="00F94892" w:rsidP="00F604CF">
      <w:pPr>
        <w:rPr>
          <w:rFonts w:cs="Arial"/>
        </w:rPr>
      </w:pPr>
      <w:r w:rsidRPr="00F604CF">
        <w:rPr>
          <w:rFonts w:cs="Arial"/>
        </w:rPr>
        <w:t>Aunque el argumento del demandante puede parecer débil, el análisis de los hechos sobre los que fundó su recurso de apelación lleva a la Sala a encontrar elementos de juicio suficientes para establecer el error en la evaluación de las propuestas</w:t>
      </w:r>
      <w:r w:rsidR="00090FD3" w:rsidRPr="00F604CF">
        <w:rPr>
          <w:rFonts w:cs="Arial"/>
        </w:rPr>
        <w:t xml:space="preserve"> y la ilegalidad de la adjudicación contenida en el acto administrativo acusado</w:t>
      </w:r>
      <w:r w:rsidRPr="00F604CF">
        <w:rPr>
          <w:rFonts w:cs="Arial"/>
        </w:rPr>
        <w:t xml:space="preserve">. </w:t>
      </w:r>
    </w:p>
    <w:p w14:paraId="1E98E4AB" w14:textId="77777777" w:rsidR="00FC2D82" w:rsidRPr="00F604CF" w:rsidRDefault="00FC2D82" w:rsidP="00F604CF">
      <w:pPr>
        <w:rPr>
          <w:rFonts w:cs="Arial"/>
        </w:rPr>
      </w:pPr>
    </w:p>
    <w:p w14:paraId="6A8941E5" w14:textId="77777777" w:rsidR="00F94892" w:rsidRPr="00F604CF" w:rsidRDefault="00C778FC" w:rsidP="00F604CF">
      <w:pPr>
        <w:rPr>
          <w:rFonts w:cs="Arial"/>
        </w:rPr>
      </w:pPr>
      <w:r w:rsidRPr="00F604CF">
        <w:rPr>
          <w:rFonts w:cs="Arial"/>
        </w:rPr>
        <w:t>N</w:t>
      </w:r>
      <w:r w:rsidR="00F94892" w:rsidRPr="00F604CF">
        <w:rPr>
          <w:rFonts w:cs="Arial"/>
        </w:rPr>
        <w:t xml:space="preserve">o se puede calificar </w:t>
      </w:r>
      <w:r w:rsidRPr="00F604CF">
        <w:rPr>
          <w:rFonts w:cs="Arial"/>
        </w:rPr>
        <w:t xml:space="preserve">en este proceso </w:t>
      </w:r>
      <w:r w:rsidR="00F94892" w:rsidRPr="00F604CF">
        <w:rPr>
          <w:rFonts w:cs="Arial"/>
        </w:rPr>
        <w:t>si hubo o no intención dolosa</w:t>
      </w:r>
      <w:r w:rsidR="008D4D1C" w:rsidRPr="00F604CF">
        <w:rPr>
          <w:rStyle w:val="Refdenotaalpie"/>
          <w:rFonts w:cs="Arial"/>
        </w:rPr>
        <w:footnoteReference w:id="69"/>
      </w:r>
      <w:r w:rsidR="00F94892" w:rsidRPr="00F604CF">
        <w:rPr>
          <w:rFonts w:cs="Arial"/>
        </w:rPr>
        <w:t xml:space="preserve"> en los requerimientos</w:t>
      </w:r>
      <w:r w:rsidR="005F6F6D" w:rsidRPr="00F604CF">
        <w:rPr>
          <w:rFonts w:cs="Arial"/>
        </w:rPr>
        <w:t>, en las</w:t>
      </w:r>
      <w:r w:rsidR="00F94892" w:rsidRPr="00F604CF">
        <w:rPr>
          <w:rFonts w:cs="Arial"/>
        </w:rPr>
        <w:t xml:space="preserve"> evaluaciones</w:t>
      </w:r>
      <w:r w:rsidR="005F6F6D" w:rsidRPr="00F604CF">
        <w:rPr>
          <w:rFonts w:cs="Arial"/>
        </w:rPr>
        <w:t xml:space="preserve"> o en la adjudicación</w:t>
      </w:r>
      <w:r w:rsidR="00F94892" w:rsidRPr="00F604CF">
        <w:rPr>
          <w:rFonts w:cs="Arial"/>
        </w:rPr>
        <w:t xml:space="preserve">, lo cierto es que </w:t>
      </w:r>
      <w:r w:rsidR="00090FD3" w:rsidRPr="00F604CF">
        <w:rPr>
          <w:rFonts w:cs="Arial"/>
        </w:rPr>
        <w:t xml:space="preserve">el acto administrativo de </w:t>
      </w:r>
      <w:r w:rsidR="00F94892" w:rsidRPr="00F604CF">
        <w:rPr>
          <w:rFonts w:cs="Arial"/>
        </w:rPr>
        <w:t xml:space="preserve">adjudicación </w:t>
      </w:r>
      <w:r w:rsidR="00090FD3" w:rsidRPr="00F604CF">
        <w:rPr>
          <w:rFonts w:cs="Arial"/>
        </w:rPr>
        <w:t xml:space="preserve">del contrato </w:t>
      </w:r>
      <w:r w:rsidR="00F94892" w:rsidRPr="00F604CF">
        <w:rPr>
          <w:rFonts w:cs="Arial"/>
        </w:rPr>
        <w:t>se realizó desconociendo el pliego de condiciones y los requisitos fijados en el mismo</w:t>
      </w:r>
      <w:r w:rsidR="00966496" w:rsidRPr="00F604CF">
        <w:rPr>
          <w:rFonts w:cs="Arial"/>
        </w:rPr>
        <w:t>.</w:t>
      </w:r>
      <w:r w:rsidR="00F94892" w:rsidRPr="00F604CF">
        <w:rPr>
          <w:rFonts w:cs="Arial"/>
        </w:rPr>
        <w:t xml:space="preserve"> </w:t>
      </w:r>
    </w:p>
    <w:p w14:paraId="2EB1DCDD" w14:textId="77777777" w:rsidR="00F94892" w:rsidRPr="00F604CF" w:rsidRDefault="00F94892" w:rsidP="00F604CF">
      <w:pPr>
        <w:rPr>
          <w:rFonts w:cs="Arial"/>
        </w:rPr>
      </w:pPr>
    </w:p>
    <w:p w14:paraId="7872C89F" w14:textId="77777777" w:rsidR="00F94892" w:rsidRPr="00F604CF" w:rsidRDefault="00F94892" w:rsidP="00F604CF">
      <w:pPr>
        <w:rPr>
          <w:rFonts w:cs="Arial"/>
        </w:rPr>
      </w:pPr>
      <w:r w:rsidRPr="00F604CF">
        <w:rPr>
          <w:rFonts w:cs="Arial"/>
        </w:rPr>
        <w:t xml:space="preserve">En </w:t>
      </w:r>
      <w:r w:rsidR="00090FD3" w:rsidRPr="00F604CF">
        <w:rPr>
          <w:rFonts w:cs="Arial"/>
        </w:rPr>
        <w:t xml:space="preserve">casos </w:t>
      </w:r>
      <w:r w:rsidRPr="00F604CF">
        <w:rPr>
          <w:rFonts w:cs="Arial"/>
        </w:rPr>
        <w:t xml:space="preserve">como el presente se impone para esta Sala el deber de declarar la nulidad del acto de adjudicación por la violación </w:t>
      </w:r>
      <w:r w:rsidR="00C778FC" w:rsidRPr="00F604CF">
        <w:rPr>
          <w:rFonts w:cs="Arial"/>
        </w:rPr>
        <w:t>del</w:t>
      </w:r>
      <w:r w:rsidRPr="00F604CF">
        <w:rPr>
          <w:rFonts w:cs="Arial"/>
        </w:rPr>
        <w:t xml:space="preserve"> pliego de condiciones y de los artículos 24, 25 y 30 de la Ley 80 de 1993</w:t>
      </w:r>
      <w:r w:rsidR="00FC2D82" w:rsidRPr="00F604CF">
        <w:rPr>
          <w:rFonts w:cs="Arial"/>
        </w:rPr>
        <w:t xml:space="preserve">, con fundamento en las pruebas antes descritas, las cuales </w:t>
      </w:r>
      <w:r w:rsidR="00D92672" w:rsidRPr="00F604CF">
        <w:rPr>
          <w:rFonts w:cs="Arial"/>
        </w:rPr>
        <w:t xml:space="preserve">llevan a advertir </w:t>
      </w:r>
      <w:r w:rsidR="0014619D" w:rsidRPr="00F604CF">
        <w:rPr>
          <w:rFonts w:cs="Arial"/>
        </w:rPr>
        <w:t xml:space="preserve">la ausencia del requisito correspondiente al dictamen de los estados financieros y las </w:t>
      </w:r>
      <w:r w:rsidRPr="00F604CF">
        <w:rPr>
          <w:rFonts w:cs="Arial"/>
        </w:rPr>
        <w:t xml:space="preserve">modificaciones al </w:t>
      </w:r>
      <w:r w:rsidR="00037820" w:rsidRPr="00F604CF">
        <w:rPr>
          <w:rFonts w:cs="Arial"/>
        </w:rPr>
        <w:t>R.U.P.</w:t>
      </w:r>
      <w:r w:rsidRPr="00F604CF">
        <w:rPr>
          <w:rFonts w:cs="Arial"/>
        </w:rPr>
        <w:t xml:space="preserve"> y a los estados financieros de </w:t>
      </w:r>
      <w:r w:rsidR="009A2A8E" w:rsidRPr="00F604CF">
        <w:rPr>
          <w:rFonts w:cs="Arial"/>
        </w:rPr>
        <w:t xml:space="preserve">una de las </w:t>
      </w:r>
      <w:r w:rsidRPr="00F604CF">
        <w:rPr>
          <w:rFonts w:cs="Arial"/>
        </w:rPr>
        <w:t>partícipes de la Unión Temporal Calimeño</w:t>
      </w:r>
      <w:r w:rsidR="0014619D" w:rsidRPr="00F604CF">
        <w:rPr>
          <w:rFonts w:cs="Arial"/>
        </w:rPr>
        <w:t xml:space="preserve">, en materia de los factores </w:t>
      </w:r>
      <w:r w:rsidRPr="00F604CF">
        <w:rPr>
          <w:rFonts w:cs="Arial"/>
        </w:rPr>
        <w:t>montos económicos que eran esenciales para determinar la habilitación y calificación de la propuesta que resultó adjudicataria.</w:t>
      </w:r>
    </w:p>
    <w:p w14:paraId="668780C2" w14:textId="77777777" w:rsidR="00F94892" w:rsidRPr="00F604CF" w:rsidRDefault="00F94892" w:rsidP="00F604CF">
      <w:pPr>
        <w:rPr>
          <w:rFonts w:cs="Arial"/>
        </w:rPr>
      </w:pPr>
    </w:p>
    <w:p w14:paraId="77637C33" w14:textId="77777777" w:rsidR="00F94892" w:rsidRPr="00F604CF" w:rsidRDefault="0014619D" w:rsidP="00F604CF">
      <w:pPr>
        <w:rPr>
          <w:rFonts w:cs="Arial"/>
        </w:rPr>
      </w:pPr>
      <w:r w:rsidRPr="00F604CF">
        <w:rPr>
          <w:rFonts w:cs="Arial"/>
        </w:rPr>
        <w:t xml:space="preserve">Con </w:t>
      </w:r>
      <w:r w:rsidR="009A2A8E" w:rsidRPr="00F604CF">
        <w:rPr>
          <w:rFonts w:cs="Arial"/>
        </w:rPr>
        <w:t xml:space="preserve">base en </w:t>
      </w:r>
      <w:r w:rsidRPr="00F604CF">
        <w:rPr>
          <w:rFonts w:cs="Arial"/>
        </w:rPr>
        <w:t xml:space="preserve">el análisis de las pruebas, se </w:t>
      </w:r>
      <w:r w:rsidR="00F94892" w:rsidRPr="00F604CF">
        <w:rPr>
          <w:rFonts w:cs="Arial"/>
        </w:rPr>
        <w:t xml:space="preserve">hace notar que  tales modificaciones se introdujeron por la Unión Temporal Calimeño desbordando el requerimiento que hizo el comité de evaluación y que, por </w:t>
      </w:r>
      <w:r w:rsidR="00B62E3B" w:rsidRPr="00F604CF">
        <w:rPr>
          <w:rFonts w:cs="Arial"/>
        </w:rPr>
        <w:t>su</w:t>
      </w:r>
      <w:r w:rsidR="00F94892" w:rsidRPr="00F604CF">
        <w:rPr>
          <w:rFonts w:cs="Arial"/>
        </w:rPr>
        <w:t xml:space="preserve"> parte, e</w:t>
      </w:r>
      <w:r w:rsidR="00AC50BE" w:rsidRPr="00F604CF">
        <w:rPr>
          <w:rFonts w:cs="Arial"/>
        </w:rPr>
        <w:t>se</w:t>
      </w:r>
      <w:r w:rsidR="00F94892" w:rsidRPr="00F604CF">
        <w:rPr>
          <w:rFonts w:cs="Arial"/>
        </w:rPr>
        <w:t xml:space="preserve"> comité ignoró </w:t>
      </w:r>
      <w:r w:rsidR="00AC50BE" w:rsidRPr="00F604CF">
        <w:rPr>
          <w:rFonts w:cs="Arial"/>
        </w:rPr>
        <w:t xml:space="preserve">o desconoció </w:t>
      </w:r>
      <w:r w:rsidR="00F94892" w:rsidRPr="00F604CF">
        <w:rPr>
          <w:rFonts w:cs="Arial"/>
        </w:rPr>
        <w:t>los límites de su propia solicitud de información y</w:t>
      </w:r>
      <w:r w:rsidR="00FD3E07" w:rsidRPr="00F604CF">
        <w:rPr>
          <w:rFonts w:cs="Arial"/>
        </w:rPr>
        <w:t>,</w:t>
      </w:r>
      <w:r w:rsidR="00F94892" w:rsidRPr="00F604CF">
        <w:rPr>
          <w:rFonts w:cs="Arial"/>
        </w:rPr>
        <w:t xml:space="preserve"> </w:t>
      </w:r>
      <w:r w:rsidR="00AC50BE" w:rsidRPr="00F604CF">
        <w:rPr>
          <w:rFonts w:cs="Arial"/>
        </w:rPr>
        <w:t xml:space="preserve">de la misma forma, </w:t>
      </w:r>
      <w:r w:rsidR="005F6C35" w:rsidRPr="00F604CF">
        <w:rPr>
          <w:rFonts w:cs="Arial"/>
        </w:rPr>
        <w:t xml:space="preserve">la </w:t>
      </w:r>
      <w:r w:rsidR="00D92672" w:rsidRPr="00F604CF">
        <w:rPr>
          <w:rFonts w:cs="Arial"/>
        </w:rPr>
        <w:t>S</w:t>
      </w:r>
      <w:r w:rsidR="00AC50BE" w:rsidRPr="00F604CF">
        <w:rPr>
          <w:rFonts w:cs="Arial"/>
        </w:rPr>
        <w:t>ecretari</w:t>
      </w:r>
      <w:r w:rsidR="005F6C35" w:rsidRPr="00F604CF">
        <w:rPr>
          <w:rFonts w:cs="Arial"/>
        </w:rPr>
        <w:t xml:space="preserve">a </w:t>
      </w:r>
      <w:r w:rsidR="00D92672" w:rsidRPr="00F604CF">
        <w:rPr>
          <w:rFonts w:cs="Arial"/>
        </w:rPr>
        <w:t>D</w:t>
      </w:r>
      <w:r w:rsidR="005F6C35" w:rsidRPr="00F604CF">
        <w:rPr>
          <w:rFonts w:cs="Arial"/>
        </w:rPr>
        <w:t xml:space="preserve">elegataria </w:t>
      </w:r>
      <w:r w:rsidR="00D92672" w:rsidRPr="00F604CF">
        <w:rPr>
          <w:rFonts w:cs="Arial"/>
        </w:rPr>
        <w:t>con funciones del Gobernador de P</w:t>
      </w:r>
      <w:r w:rsidR="004B5D00" w:rsidRPr="00F604CF">
        <w:rPr>
          <w:rFonts w:cs="Arial"/>
        </w:rPr>
        <w:t>u</w:t>
      </w:r>
      <w:r w:rsidR="00D92672" w:rsidRPr="00F604CF">
        <w:rPr>
          <w:rFonts w:cs="Arial"/>
        </w:rPr>
        <w:t xml:space="preserve">tumayo </w:t>
      </w:r>
      <w:r w:rsidR="005F6C35" w:rsidRPr="00F604CF">
        <w:rPr>
          <w:rFonts w:cs="Arial"/>
        </w:rPr>
        <w:t xml:space="preserve">expidió un acto administrativo de adjudicación que se fundó en un puntaje equivocado para la propuesta de </w:t>
      </w:r>
      <w:r w:rsidR="00B62E3B" w:rsidRPr="00F604CF">
        <w:rPr>
          <w:rFonts w:cs="Arial"/>
        </w:rPr>
        <w:t>la Unión Temporal Calimeño</w:t>
      </w:r>
      <w:r w:rsidR="005F6C35" w:rsidRPr="00F604CF">
        <w:rPr>
          <w:rFonts w:cs="Arial"/>
        </w:rPr>
        <w:t xml:space="preserve">, toda vez que correspondía a </w:t>
      </w:r>
      <w:r w:rsidR="00F94892" w:rsidRPr="00F604CF">
        <w:rPr>
          <w:rFonts w:cs="Arial"/>
        </w:rPr>
        <w:t xml:space="preserve">los estados financieros que no cumplían con el dictamen requerido </w:t>
      </w:r>
      <w:r w:rsidR="00D21DE5" w:rsidRPr="00F604CF">
        <w:rPr>
          <w:rFonts w:cs="Arial"/>
        </w:rPr>
        <w:t xml:space="preserve">en el pliego de condiciones, los cuales, </w:t>
      </w:r>
      <w:r w:rsidR="00F94892" w:rsidRPr="00F604CF">
        <w:rPr>
          <w:rFonts w:cs="Arial"/>
        </w:rPr>
        <w:t>además</w:t>
      </w:r>
      <w:r w:rsidR="00D21DE5" w:rsidRPr="00F604CF">
        <w:rPr>
          <w:rFonts w:cs="Arial"/>
        </w:rPr>
        <w:t>,</w:t>
      </w:r>
      <w:r w:rsidR="00F94892" w:rsidRPr="00F604CF">
        <w:rPr>
          <w:rFonts w:cs="Arial"/>
        </w:rPr>
        <w:t xml:space="preserve"> fueron modificados, según lo certificó la propia contadora pública de la sociedad </w:t>
      </w:r>
      <w:r w:rsidR="00BC301A" w:rsidRPr="00F604CF">
        <w:rPr>
          <w:rFonts w:cs="Arial"/>
        </w:rPr>
        <w:t xml:space="preserve">Representaciones y Ediciones Eleber Ltda, </w:t>
      </w:r>
      <w:r w:rsidR="00F94892" w:rsidRPr="00F604CF">
        <w:rPr>
          <w:rFonts w:cs="Arial"/>
        </w:rPr>
        <w:t>en los documentos que presentó al departamento, cuyo contenido no fue analizado</w:t>
      </w:r>
      <w:r w:rsidR="00222B09" w:rsidRPr="00F604CF">
        <w:rPr>
          <w:rFonts w:cs="Arial"/>
        </w:rPr>
        <w:t xml:space="preserve"> en forma correcta</w:t>
      </w:r>
      <w:r w:rsidR="00F94892" w:rsidRPr="00F604CF">
        <w:rPr>
          <w:rFonts w:cs="Arial"/>
        </w:rPr>
        <w:t xml:space="preserve">, para efectos de la evaluación de la propuesta y </w:t>
      </w:r>
      <w:r w:rsidR="00B62E3B" w:rsidRPr="00F604CF">
        <w:rPr>
          <w:rFonts w:cs="Arial"/>
        </w:rPr>
        <w:t xml:space="preserve">de </w:t>
      </w:r>
      <w:r w:rsidR="00F94892" w:rsidRPr="00F604CF">
        <w:rPr>
          <w:rFonts w:cs="Arial"/>
        </w:rPr>
        <w:t xml:space="preserve">la adjudicación del contrato. </w:t>
      </w:r>
    </w:p>
    <w:p w14:paraId="3EA095AE" w14:textId="77777777" w:rsidR="00F94892" w:rsidRPr="00F604CF" w:rsidRDefault="00F94892" w:rsidP="00F604CF">
      <w:pPr>
        <w:rPr>
          <w:rFonts w:cs="Arial"/>
        </w:rPr>
      </w:pPr>
    </w:p>
    <w:p w14:paraId="319B1671" w14:textId="77777777" w:rsidR="00B62E3B" w:rsidRPr="00F604CF" w:rsidRDefault="00B62E3B" w:rsidP="00F604CF">
      <w:pPr>
        <w:rPr>
          <w:rFonts w:cs="Arial"/>
        </w:rPr>
      </w:pPr>
      <w:r w:rsidRPr="00F604CF">
        <w:rPr>
          <w:rFonts w:cs="Arial"/>
        </w:rPr>
        <w:t xml:space="preserve">Por tanto, se desvirtúa la motivación de la </w:t>
      </w:r>
      <w:r w:rsidR="00D92672" w:rsidRPr="00F604CF">
        <w:rPr>
          <w:rFonts w:cs="Arial"/>
        </w:rPr>
        <w:t>R</w:t>
      </w:r>
      <w:r w:rsidRPr="00F604CF">
        <w:rPr>
          <w:rFonts w:cs="Arial"/>
        </w:rPr>
        <w:t xml:space="preserve">esolución 02 193 de 2005, teniendo en cuenta que las modificaciones introducidas por Unión Temporal Calimeño </w:t>
      </w:r>
      <w:r w:rsidR="00222B09" w:rsidRPr="00F604CF">
        <w:rPr>
          <w:rFonts w:cs="Arial"/>
        </w:rPr>
        <w:t>S</w:t>
      </w:r>
      <w:r w:rsidR="00BC301A" w:rsidRPr="00F604CF">
        <w:rPr>
          <w:rFonts w:cs="Arial"/>
        </w:rPr>
        <w:t>Í</w:t>
      </w:r>
      <w:r w:rsidR="00222B09" w:rsidRPr="00F604CF">
        <w:rPr>
          <w:rFonts w:cs="Arial"/>
        </w:rPr>
        <w:t xml:space="preserve"> </w:t>
      </w:r>
      <w:r w:rsidRPr="00F604CF">
        <w:rPr>
          <w:rFonts w:cs="Arial"/>
        </w:rPr>
        <w:t>afectaba</w:t>
      </w:r>
      <w:r w:rsidR="00222B09" w:rsidRPr="00F604CF">
        <w:rPr>
          <w:rFonts w:cs="Arial"/>
        </w:rPr>
        <w:t>n</w:t>
      </w:r>
      <w:r w:rsidRPr="00F604CF">
        <w:rPr>
          <w:rFonts w:cs="Arial"/>
        </w:rPr>
        <w:t xml:space="preserve"> la calificación contenida en el informe de evaluación</w:t>
      </w:r>
      <w:r w:rsidR="00966496" w:rsidRPr="00F604CF">
        <w:rPr>
          <w:rFonts w:cs="Arial"/>
        </w:rPr>
        <w:t>, además de que evidenciaban la falta del dictamen respecto de los estados financieros inicialmente presentados</w:t>
      </w:r>
      <w:r w:rsidRPr="00F604CF">
        <w:rPr>
          <w:rFonts w:cs="Arial"/>
        </w:rPr>
        <w:t xml:space="preserve"> y</w:t>
      </w:r>
      <w:r w:rsidR="00BC301A" w:rsidRPr="00F604CF">
        <w:rPr>
          <w:rFonts w:cs="Arial"/>
        </w:rPr>
        <w:t>,</w:t>
      </w:r>
      <w:r w:rsidRPr="00F604CF">
        <w:rPr>
          <w:rFonts w:cs="Arial"/>
        </w:rPr>
        <w:t xml:space="preserve"> como consecuencia de ello, el contrato no podía ser adjudicado a la referida Unión Temporal.</w:t>
      </w:r>
    </w:p>
    <w:p w14:paraId="25B8CBE9" w14:textId="77777777" w:rsidR="00B62E3B" w:rsidRPr="00F604CF" w:rsidRDefault="00B62E3B" w:rsidP="00F604CF">
      <w:pPr>
        <w:pStyle w:val="Lista2"/>
        <w:ind w:left="0" w:firstLine="0"/>
        <w:rPr>
          <w:rFonts w:cs="Arial"/>
          <w:b/>
        </w:rPr>
      </w:pPr>
    </w:p>
    <w:p w14:paraId="3D7381D6" w14:textId="77777777" w:rsidR="00D03AB9" w:rsidRPr="00F604CF" w:rsidRDefault="00810A9D" w:rsidP="00F604CF">
      <w:pPr>
        <w:pStyle w:val="Lista2"/>
        <w:ind w:left="0" w:firstLine="0"/>
        <w:rPr>
          <w:rFonts w:cs="Arial"/>
          <w:b/>
        </w:rPr>
      </w:pPr>
      <w:r w:rsidRPr="00F604CF">
        <w:rPr>
          <w:rFonts w:cs="Arial"/>
          <w:b/>
        </w:rPr>
        <w:t>6.4.</w:t>
      </w:r>
      <w:r w:rsidR="00DB104E" w:rsidRPr="00F604CF">
        <w:rPr>
          <w:rFonts w:cs="Arial"/>
          <w:b/>
        </w:rPr>
        <w:t xml:space="preserve"> La fecha del </w:t>
      </w:r>
      <w:r w:rsidR="00037820" w:rsidRPr="00F604CF">
        <w:rPr>
          <w:rFonts w:cs="Arial"/>
          <w:b/>
        </w:rPr>
        <w:t>Registro Único de Proponentes</w:t>
      </w:r>
    </w:p>
    <w:p w14:paraId="1348C091" w14:textId="77777777" w:rsidR="00DB104E" w:rsidRPr="00F604CF" w:rsidRDefault="00DB104E" w:rsidP="00F604CF">
      <w:pPr>
        <w:pStyle w:val="Lista2"/>
        <w:ind w:left="0" w:firstLine="0"/>
        <w:rPr>
          <w:rFonts w:cs="Arial"/>
          <w:b/>
        </w:rPr>
      </w:pPr>
    </w:p>
    <w:p w14:paraId="69103BA3" w14:textId="77777777" w:rsidR="00094AAF" w:rsidRPr="00F604CF" w:rsidRDefault="00DB104E" w:rsidP="00F604CF">
      <w:pPr>
        <w:pStyle w:val="Lista2"/>
        <w:ind w:left="0" w:firstLine="0"/>
        <w:rPr>
          <w:rFonts w:cs="Arial"/>
        </w:rPr>
      </w:pPr>
      <w:r w:rsidRPr="00F604CF">
        <w:rPr>
          <w:rFonts w:cs="Arial"/>
        </w:rPr>
        <w:t>Es cierto que la fecha de</w:t>
      </w:r>
      <w:r w:rsidR="00BD7E08" w:rsidRPr="00F604CF">
        <w:rPr>
          <w:rFonts w:cs="Arial"/>
        </w:rPr>
        <w:t xml:space="preserve"> certificado del R.U.P. </w:t>
      </w:r>
      <w:r w:rsidRPr="00F604CF">
        <w:rPr>
          <w:rFonts w:cs="Arial"/>
        </w:rPr>
        <w:t xml:space="preserve">que </w:t>
      </w:r>
      <w:r w:rsidR="00094AAF" w:rsidRPr="00F604CF">
        <w:rPr>
          <w:rFonts w:cs="Arial"/>
        </w:rPr>
        <w:t xml:space="preserve">se </w:t>
      </w:r>
      <w:r w:rsidRPr="00F604CF">
        <w:rPr>
          <w:rFonts w:cs="Arial"/>
        </w:rPr>
        <w:t xml:space="preserve">allegó </w:t>
      </w:r>
      <w:r w:rsidR="00094AAF" w:rsidRPr="00F604CF">
        <w:rPr>
          <w:rFonts w:cs="Arial"/>
        </w:rPr>
        <w:t xml:space="preserve">con los documentos aportados por </w:t>
      </w:r>
      <w:r w:rsidRPr="00F604CF">
        <w:rPr>
          <w:rFonts w:cs="Arial"/>
        </w:rPr>
        <w:t xml:space="preserve">la Unión Temporal Calimeño, </w:t>
      </w:r>
      <w:r w:rsidR="00094AAF" w:rsidRPr="00F604CF">
        <w:rPr>
          <w:rFonts w:cs="Arial"/>
        </w:rPr>
        <w:t xml:space="preserve">en relación con </w:t>
      </w:r>
      <w:r w:rsidRPr="00F604CF">
        <w:rPr>
          <w:rFonts w:cs="Arial"/>
        </w:rPr>
        <w:t>la sociedad Representaciones y Edic</w:t>
      </w:r>
      <w:r w:rsidR="00265F8F" w:rsidRPr="00F604CF">
        <w:rPr>
          <w:rFonts w:cs="Arial"/>
        </w:rPr>
        <w:t>i</w:t>
      </w:r>
      <w:r w:rsidRPr="00F604CF">
        <w:rPr>
          <w:rFonts w:cs="Arial"/>
        </w:rPr>
        <w:t>ones Eliber Ltda, correspondió al 5 de septiembre de 2005</w:t>
      </w:r>
      <w:r w:rsidR="00C310DA" w:rsidRPr="00F604CF">
        <w:rPr>
          <w:rFonts w:cs="Arial"/>
        </w:rPr>
        <w:t xml:space="preserve">. </w:t>
      </w:r>
    </w:p>
    <w:p w14:paraId="2ECCC890" w14:textId="77777777" w:rsidR="00094AAF" w:rsidRPr="00F604CF" w:rsidRDefault="00094AAF" w:rsidP="00F604CF">
      <w:pPr>
        <w:pStyle w:val="Lista2"/>
        <w:ind w:left="0" w:firstLine="0"/>
        <w:rPr>
          <w:rFonts w:cs="Arial"/>
        </w:rPr>
      </w:pPr>
    </w:p>
    <w:p w14:paraId="013708D2" w14:textId="77777777" w:rsidR="00026A02" w:rsidRPr="00F604CF" w:rsidRDefault="00C310DA" w:rsidP="00F604CF">
      <w:pPr>
        <w:pStyle w:val="Lista2"/>
        <w:ind w:left="0" w:firstLine="0"/>
        <w:rPr>
          <w:rFonts w:cs="Arial"/>
          <w:i/>
        </w:rPr>
      </w:pPr>
      <w:r w:rsidRPr="00F604CF">
        <w:rPr>
          <w:rFonts w:cs="Arial"/>
        </w:rPr>
        <w:t xml:space="preserve">Se hace notar que ese certificado </w:t>
      </w:r>
      <w:r w:rsidR="00665842" w:rsidRPr="00F604CF">
        <w:rPr>
          <w:rFonts w:cs="Arial"/>
        </w:rPr>
        <w:t xml:space="preserve">se apartaba de los requerimientos del pliego de condiciones, en el cual se exigió un registro expedido </w:t>
      </w:r>
      <w:r w:rsidR="00665842" w:rsidRPr="00F604CF">
        <w:rPr>
          <w:rFonts w:cs="Arial"/>
          <w:i/>
        </w:rPr>
        <w:t>“dentro de los dos meses anteriores a la fecha de la presentación de entrega de las propuestas”</w:t>
      </w:r>
      <w:r w:rsidR="00717B4B" w:rsidRPr="00F604CF">
        <w:rPr>
          <w:rStyle w:val="Refdenotaalpie"/>
          <w:rFonts w:cs="Arial"/>
          <w:i/>
        </w:rPr>
        <w:footnoteReference w:id="70"/>
      </w:r>
      <w:r w:rsidR="00832C8C" w:rsidRPr="00F604CF">
        <w:rPr>
          <w:rFonts w:cs="Arial"/>
          <w:i/>
        </w:rPr>
        <w:t>.</w:t>
      </w:r>
      <w:r w:rsidR="0087295D" w:rsidRPr="00F604CF">
        <w:rPr>
          <w:rFonts w:cs="Arial"/>
          <w:i/>
        </w:rPr>
        <w:t xml:space="preserve"> </w:t>
      </w:r>
    </w:p>
    <w:p w14:paraId="3759FEDC" w14:textId="77777777" w:rsidR="00026A02" w:rsidRPr="00F604CF" w:rsidRDefault="00026A02" w:rsidP="00F604CF">
      <w:pPr>
        <w:pStyle w:val="Lista2"/>
        <w:ind w:left="0" w:firstLine="0"/>
        <w:rPr>
          <w:rFonts w:cs="Arial"/>
          <w:i/>
        </w:rPr>
      </w:pPr>
    </w:p>
    <w:p w14:paraId="12931BF6" w14:textId="77777777" w:rsidR="00026A02" w:rsidRPr="00F604CF" w:rsidRDefault="0087295D" w:rsidP="00F604CF">
      <w:pPr>
        <w:pStyle w:val="Lista2"/>
        <w:ind w:left="0" w:firstLine="0"/>
        <w:rPr>
          <w:rFonts w:cs="Arial"/>
        </w:rPr>
      </w:pPr>
      <w:r w:rsidRPr="00F604CF">
        <w:rPr>
          <w:rFonts w:cs="Arial"/>
        </w:rPr>
        <w:t xml:space="preserve">Este tipo de requisitos tiene el sentido de exigir que los proponentes tengan </w:t>
      </w:r>
      <w:r w:rsidR="00536734" w:rsidRPr="00F604CF">
        <w:rPr>
          <w:rFonts w:cs="Arial"/>
        </w:rPr>
        <w:t xml:space="preserve">una experiencia vigente </w:t>
      </w:r>
      <w:r w:rsidRPr="00F604CF">
        <w:rPr>
          <w:rFonts w:cs="Arial"/>
        </w:rPr>
        <w:t xml:space="preserve">en la actividad de que trata el contrato y, precisamente, </w:t>
      </w:r>
      <w:r w:rsidR="00026A02" w:rsidRPr="00F604CF">
        <w:rPr>
          <w:rFonts w:cs="Arial"/>
        </w:rPr>
        <w:t xml:space="preserve">con ellos se </w:t>
      </w:r>
      <w:r w:rsidRPr="00F604CF">
        <w:rPr>
          <w:rFonts w:cs="Arial"/>
        </w:rPr>
        <w:t xml:space="preserve">busca evitar la creación de proponentes </w:t>
      </w:r>
      <w:r w:rsidRPr="00F604CF">
        <w:rPr>
          <w:rFonts w:cs="Arial"/>
          <w:i/>
        </w:rPr>
        <w:t>ad hoc</w:t>
      </w:r>
      <w:r w:rsidRPr="00F604CF">
        <w:rPr>
          <w:rFonts w:cs="Arial"/>
        </w:rPr>
        <w:t xml:space="preserve"> o la modificación </w:t>
      </w:r>
      <w:r w:rsidR="00536734" w:rsidRPr="00F604CF">
        <w:rPr>
          <w:rFonts w:cs="Arial"/>
        </w:rPr>
        <w:t xml:space="preserve">en el curso del proceso </w:t>
      </w:r>
      <w:r w:rsidR="00392FE9" w:rsidRPr="00F604CF">
        <w:rPr>
          <w:rFonts w:cs="Arial"/>
        </w:rPr>
        <w:t>pre</w:t>
      </w:r>
      <w:r w:rsidR="00536734" w:rsidRPr="00F604CF">
        <w:rPr>
          <w:rFonts w:cs="Arial"/>
        </w:rPr>
        <w:t xml:space="preserve">contractual </w:t>
      </w:r>
      <w:r w:rsidR="00215943" w:rsidRPr="00F604CF">
        <w:rPr>
          <w:rFonts w:cs="Arial"/>
        </w:rPr>
        <w:t xml:space="preserve">con nuevos </w:t>
      </w:r>
      <w:r w:rsidRPr="00F604CF">
        <w:rPr>
          <w:rFonts w:cs="Arial"/>
        </w:rPr>
        <w:t>registros en R</w:t>
      </w:r>
      <w:r w:rsidR="00215943" w:rsidRPr="00F604CF">
        <w:rPr>
          <w:rFonts w:cs="Arial"/>
        </w:rPr>
        <w:t>.</w:t>
      </w:r>
      <w:r w:rsidRPr="00F604CF">
        <w:rPr>
          <w:rFonts w:cs="Arial"/>
        </w:rPr>
        <w:t>U</w:t>
      </w:r>
      <w:r w:rsidR="00215943" w:rsidRPr="00F604CF">
        <w:rPr>
          <w:rFonts w:cs="Arial"/>
        </w:rPr>
        <w:t>.</w:t>
      </w:r>
      <w:r w:rsidRPr="00F604CF">
        <w:rPr>
          <w:rFonts w:cs="Arial"/>
        </w:rPr>
        <w:t>P</w:t>
      </w:r>
      <w:r w:rsidR="00215943" w:rsidRPr="00F604CF">
        <w:rPr>
          <w:rFonts w:cs="Arial"/>
        </w:rPr>
        <w:t>.</w:t>
      </w:r>
      <w:r w:rsidR="00536734" w:rsidRPr="00F604CF">
        <w:rPr>
          <w:rFonts w:cs="Arial"/>
        </w:rPr>
        <w:t>, utilizada, a veces</w:t>
      </w:r>
      <w:r w:rsidR="00FD0BCB" w:rsidRPr="00F604CF">
        <w:rPr>
          <w:rFonts w:cs="Arial"/>
        </w:rPr>
        <w:t>,</w:t>
      </w:r>
      <w:r w:rsidR="00536734" w:rsidRPr="00F604CF">
        <w:rPr>
          <w:rFonts w:cs="Arial"/>
        </w:rPr>
        <w:t xml:space="preserve"> </w:t>
      </w:r>
      <w:r w:rsidRPr="00F604CF">
        <w:rPr>
          <w:rFonts w:cs="Arial"/>
        </w:rPr>
        <w:t xml:space="preserve">para </w:t>
      </w:r>
      <w:r w:rsidR="00FD0BCB" w:rsidRPr="00F604CF">
        <w:rPr>
          <w:rFonts w:cs="Arial"/>
        </w:rPr>
        <w:t xml:space="preserve">buscar la </w:t>
      </w:r>
      <w:r w:rsidR="00026A02" w:rsidRPr="00F604CF">
        <w:rPr>
          <w:rFonts w:cs="Arial"/>
        </w:rPr>
        <w:t>clasifica</w:t>
      </w:r>
      <w:r w:rsidR="00FD0BCB" w:rsidRPr="00F604CF">
        <w:rPr>
          <w:rFonts w:cs="Arial"/>
        </w:rPr>
        <w:t xml:space="preserve">ción de </w:t>
      </w:r>
      <w:r w:rsidR="00026A02" w:rsidRPr="00F604CF">
        <w:rPr>
          <w:rFonts w:cs="Arial"/>
        </w:rPr>
        <w:t xml:space="preserve">una empresa que tradicionalmente </w:t>
      </w:r>
      <w:r w:rsidR="00536734" w:rsidRPr="00F604CF">
        <w:rPr>
          <w:rFonts w:cs="Arial"/>
        </w:rPr>
        <w:t xml:space="preserve">no </w:t>
      </w:r>
      <w:r w:rsidR="00026A02" w:rsidRPr="00F604CF">
        <w:rPr>
          <w:rFonts w:cs="Arial"/>
        </w:rPr>
        <w:t xml:space="preserve">se ha desempeñado en el suministro de </w:t>
      </w:r>
      <w:r w:rsidR="00FD0BCB" w:rsidRPr="00F604CF">
        <w:rPr>
          <w:rFonts w:cs="Arial"/>
        </w:rPr>
        <w:t xml:space="preserve">los </w:t>
      </w:r>
      <w:r w:rsidR="00026A02" w:rsidRPr="00F604CF">
        <w:rPr>
          <w:rFonts w:cs="Arial"/>
        </w:rPr>
        <w:t>bienes y servicios que el Estado requiere adquirir</w:t>
      </w:r>
      <w:r w:rsidR="00FD0BCB" w:rsidRPr="00F604CF">
        <w:rPr>
          <w:rFonts w:cs="Arial"/>
        </w:rPr>
        <w:t xml:space="preserve"> o </w:t>
      </w:r>
      <w:r w:rsidR="00215943" w:rsidRPr="00F604CF">
        <w:rPr>
          <w:rFonts w:cs="Arial"/>
        </w:rPr>
        <w:t xml:space="preserve">la mejora de aquella propuesta </w:t>
      </w:r>
      <w:r w:rsidR="00FD0BCB" w:rsidRPr="00F604CF">
        <w:rPr>
          <w:rFonts w:cs="Arial"/>
        </w:rPr>
        <w:t>que no alcanzaba los requisitos financieros en la oportunidad que el pliego de condiciones fijó como regla de competencia entre los distintos participantes en la licitación pública.</w:t>
      </w:r>
      <w:r w:rsidR="00026A02" w:rsidRPr="00F604CF">
        <w:rPr>
          <w:rFonts w:cs="Arial"/>
        </w:rPr>
        <w:t xml:space="preserve"> </w:t>
      </w:r>
    </w:p>
    <w:p w14:paraId="30A469BC" w14:textId="77777777" w:rsidR="00026A02" w:rsidRPr="00F604CF" w:rsidRDefault="00026A02" w:rsidP="00F604CF">
      <w:pPr>
        <w:pStyle w:val="Lista2"/>
        <w:ind w:left="0" w:firstLine="0"/>
        <w:rPr>
          <w:rFonts w:cs="Arial"/>
        </w:rPr>
      </w:pPr>
    </w:p>
    <w:p w14:paraId="2E792212" w14:textId="77777777" w:rsidR="003F1ED9" w:rsidRPr="00F604CF" w:rsidRDefault="00832C8C" w:rsidP="00F604CF">
      <w:pPr>
        <w:pStyle w:val="Lista2"/>
        <w:ind w:left="0" w:firstLine="0"/>
        <w:rPr>
          <w:rFonts w:cs="Arial"/>
        </w:rPr>
      </w:pPr>
      <w:r w:rsidRPr="00F604CF">
        <w:rPr>
          <w:rFonts w:cs="Arial"/>
        </w:rPr>
        <w:t>T</w:t>
      </w:r>
      <w:r w:rsidR="005E62AA" w:rsidRPr="00F604CF">
        <w:rPr>
          <w:rFonts w:cs="Arial"/>
        </w:rPr>
        <w:t xml:space="preserve">eniendo como referente que </w:t>
      </w:r>
      <w:r w:rsidR="00E426D6" w:rsidRPr="00F604CF">
        <w:rPr>
          <w:rFonts w:cs="Arial"/>
        </w:rPr>
        <w:t>la propuesta de Unión Temporal Calimeño se presentó el 12 de agosto de 2005</w:t>
      </w:r>
      <w:r w:rsidR="00E426D6" w:rsidRPr="00F604CF">
        <w:rPr>
          <w:rStyle w:val="Refdenotaalpie"/>
          <w:rFonts w:cs="Arial"/>
        </w:rPr>
        <w:footnoteReference w:id="71"/>
      </w:r>
      <w:r w:rsidRPr="00F604CF">
        <w:rPr>
          <w:rFonts w:cs="Arial"/>
        </w:rPr>
        <w:t>,</w:t>
      </w:r>
      <w:r w:rsidR="00BA13BE" w:rsidRPr="00F604CF">
        <w:rPr>
          <w:rFonts w:cs="Arial"/>
        </w:rPr>
        <w:t xml:space="preserve"> se debió acreditar un registro </w:t>
      </w:r>
      <w:r w:rsidR="00F527FF" w:rsidRPr="00F604CF">
        <w:rPr>
          <w:rFonts w:cs="Arial"/>
        </w:rPr>
        <w:t xml:space="preserve">expedido entre el </w:t>
      </w:r>
      <w:r w:rsidR="00BA13BE" w:rsidRPr="00F604CF">
        <w:rPr>
          <w:rFonts w:cs="Arial"/>
        </w:rPr>
        <w:t>12 de junio de 2005</w:t>
      </w:r>
      <w:r w:rsidR="00F527FF" w:rsidRPr="00F604CF">
        <w:rPr>
          <w:rFonts w:cs="Arial"/>
        </w:rPr>
        <w:t xml:space="preserve"> y el 12 de agosto de 2005</w:t>
      </w:r>
      <w:r w:rsidR="00D8430C" w:rsidRPr="00F604CF">
        <w:rPr>
          <w:rFonts w:cs="Arial"/>
        </w:rPr>
        <w:t>,</w:t>
      </w:r>
      <w:r w:rsidR="00BA13BE" w:rsidRPr="00F604CF">
        <w:rPr>
          <w:rFonts w:cs="Arial"/>
        </w:rPr>
        <w:t xml:space="preserve"> </w:t>
      </w:r>
      <w:r w:rsidR="003F1ED9" w:rsidRPr="00F604CF">
        <w:rPr>
          <w:rFonts w:cs="Arial"/>
        </w:rPr>
        <w:t>en observancia del siguiente requisito:</w:t>
      </w:r>
    </w:p>
    <w:p w14:paraId="781CDF08" w14:textId="77777777" w:rsidR="003F1ED9" w:rsidRPr="00F604CF" w:rsidRDefault="003F1ED9" w:rsidP="00F604CF">
      <w:pPr>
        <w:pStyle w:val="Lista2"/>
        <w:ind w:left="0" w:firstLine="0"/>
        <w:rPr>
          <w:rFonts w:cs="Arial"/>
        </w:rPr>
      </w:pPr>
    </w:p>
    <w:p w14:paraId="06A53596" w14:textId="77777777" w:rsidR="008A2E70" w:rsidRPr="00F604CF" w:rsidRDefault="003F1ED9" w:rsidP="00F604CF">
      <w:pPr>
        <w:pStyle w:val="Lista2"/>
        <w:spacing w:line="276" w:lineRule="auto"/>
        <w:ind w:left="0" w:firstLine="0"/>
        <w:rPr>
          <w:rFonts w:cs="Arial"/>
          <w:b/>
          <w:i/>
        </w:rPr>
      </w:pPr>
      <w:r w:rsidRPr="00F604CF">
        <w:rPr>
          <w:rFonts w:cs="Arial"/>
          <w:i/>
        </w:rPr>
        <w:t>“</w:t>
      </w:r>
      <w:r w:rsidR="008A2E70" w:rsidRPr="00F604CF">
        <w:rPr>
          <w:rFonts w:cs="Arial"/>
          <w:b/>
          <w:i/>
        </w:rPr>
        <w:t>2.3.3.1. Documentos de contenido financiero objeto de verificación</w:t>
      </w:r>
    </w:p>
    <w:p w14:paraId="0B0582C1" w14:textId="77777777" w:rsidR="00536734" w:rsidRPr="00F604CF" w:rsidRDefault="00536734" w:rsidP="00F604CF">
      <w:pPr>
        <w:pStyle w:val="Lista2"/>
        <w:spacing w:line="276" w:lineRule="auto"/>
        <w:ind w:left="0" w:firstLine="0"/>
        <w:rPr>
          <w:rFonts w:cs="Arial"/>
          <w:b/>
          <w:i/>
        </w:rPr>
      </w:pPr>
    </w:p>
    <w:p w14:paraId="6D75CF9F" w14:textId="77777777" w:rsidR="008A2E70" w:rsidRPr="00F604CF" w:rsidRDefault="00536734" w:rsidP="00F604CF">
      <w:pPr>
        <w:pStyle w:val="Lista2"/>
        <w:spacing w:line="276" w:lineRule="auto"/>
        <w:ind w:left="0" w:firstLine="0"/>
        <w:rPr>
          <w:rFonts w:cs="Arial"/>
          <w:b/>
          <w:i/>
        </w:rPr>
      </w:pPr>
      <w:r w:rsidRPr="00F604CF">
        <w:rPr>
          <w:rFonts w:cs="Arial"/>
          <w:i/>
        </w:rPr>
        <w:t>“</w:t>
      </w:r>
      <w:r w:rsidR="008A2E70" w:rsidRPr="00F604CF">
        <w:rPr>
          <w:rFonts w:cs="Arial"/>
          <w:b/>
          <w:i/>
        </w:rPr>
        <w:t>2.3.3.1.1. Certificado de Inscripción, Clasificación y Calificación en el Registro Único de Proponentes</w:t>
      </w:r>
    </w:p>
    <w:p w14:paraId="5BAAF8BA" w14:textId="77777777" w:rsidR="00536734" w:rsidRPr="00F604CF" w:rsidRDefault="00536734" w:rsidP="00F604CF">
      <w:pPr>
        <w:pStyle w:val="Lista2"/>
        <w:spacing w:line="276" w:lineRule="auto"/>
        <w:ind w:left="0" w:firstLine="0"/>
        <w:rPr>
          <w:rFonts w:cs="Arial"/>
          <w:i/>
        </w:rPr>
      </w:pPr>
    </w:p>
    <w:p w14:paraId="4914DC0D" w14:textId="77777777" w:rsidR="003F1ED9" w:rsidRPr="00F604CF" w:rsidRDefault="00536734" w:rsidP="00F604CF">
      <w:pPr>
        <w:pStyle w:val="Lista2"/>
        <w:spacing w:line="276" w:lineRule="auto"/>
        <w:ind w:left="0" w:firstLine="0"/>
        <w:rPr>
          <w:rFonts w:cs="Arial"/>
          <w:i/>
        </w:rPr>
      </w:pPr>
      <w:r w:rsidRPr="00F604CF">
        <w:rPr>
          <w:rFonts w:cs="Arial"/>
          <w:i/>
        </w:rPr>
        <w:t>“</w:t>
      </w:r>
      <w:r w:rsidR="003F1ED9" w:rsidRPr="00F604CF">
        <w:rPr>
          <w:rFonts w:cs="Arial"/>
          <w:i/>
        </w:rPr>
        <w:t>El proponente deberá presentar con su propuesta el Certificado de Inscripción, Clasificación y Calificación en el Registro Único de Proponentes, expedido por la respectiva Cámara de Comercio. Este certificado debe haber sido expedido dentro de los dos (2</w:t>
      </w:r>
      <w:r w:rsidRPr="00F604CF">
        <w:rPr>
          <w:rFonts w:cs="Arial"/>
          <w:i/>
        </w:rPr>
        <w:t>)</w:t>
      </w:r>
      <w:r w:rsidR="003F1ED9" w:rsidRPr="00F604CF">
        <w:rPr>
          <w:rFonts w:cs="Arial"/>
          <w:i/>
        </w:rPr>
        <w:t xml:space="preserve"> meses anteriores a la fecha de la entrega de las propuestas.</w:t>
      </w:r>
    </w:p>
    <w:p w14:paraId="404AA874" w14:textId="77777777" w:rsidR="003F1ED9" w:rsidRPr="00F604CF" w:rsidRDefault="003F1ED9" w:rsidP="00F604CF">
      <w:pPr>
        <w:pStyle w:val="Lista2"/>
        <w:spacing w:line="276" w:lineRule="auto"/>
        <w:ind w:left="0" w:firstLine="0"/>
        <w:rPr>
          <w:rFonts w:cs="Arial"/>
          <w:i/>
        </w:rPr>
      </w:pPr>
    </w:p>
    <w:p w14:paraId="0B2D39CB" w14:textId="77777777" w:rsidR="00BA13BE" w:rsidRPr="00F604CF" w:rsidRDefault="00536734" w:rsidP="00F604CF">
      <w:pPr>
        <w:pStyle w:val="Lista2"/>
        <w:spacing w:line="276" w:lineRule="auto"/>
        <w:ind w:left="0" w:firstLine="0"/>
        <w:rPr>
          <w:rFonts w:cs="Arial"/>
        </w:rPr>
      </w:pPr>
      <w:r w:rsidRPr="00F604CF">
        <w:rPr>
          <w:rFonts w:cs="Arial"/>
          <w:i/>
        </w:rPr>
        <w:t>“</w:t>
      </w:r>
      <w:r w:rsidR="003F1ED9" w:rsidRPr="00F604CF">
        <w:rPr>
          <w:rFonts w:cs="Arial"/>
          <w:i/>
        </w:rPr>
        <w:t>El proponente como persona natural o jurídica, y todos los miembros del consor</w:t>
      </w:r>
      <w:r w:rsidR="008A2E70" w:rsidRPr="00F604CF">
        <w:rPr>
          <w:rFonts w:cs="Arial"/>
          <w:i/>
        </w:rPr>
        <w:t>c</w:t>
      </w:r>
      <w:r w:rsidR="003F1ED9" w:rsidRPr="00F604CF">
        <w:rPr>
          <w:rFonts w:cs="Arial"/>
          <w:i/>
        </w:rPr>
        <w:t xml:space="preserve">io o unión temporal, que vayan a proveer los bienes objeto del presente proceso de selección, trátese </w:t>
      </w:r>
      <w:r w:rsidR="00B23076" w:rsidRPr="00F604CF">
        <w:rPr>
          <w:rFonts w:cs="Arial"/>
          <w:i/>
        </w:rPr>
        <w:t xml:space="preserve">de personas naturales y/o personas jurídicas nacionales o extranjeros con domicilio o sucursal en Colombia, deberán encontrarse registrados en el Registro </w:t>
      </w:r>
      <w:r w:rsidR="008A2E70" w:rsidRPr="00F604CF">
        <w:rPr>
          <w:rFonts w:cs="Arial"/>
          <w:i/>
        </w:rPr>
        <w:t>Ú</w:t>
      </w:r>
      <w:r w:rsidR="00B23076" w:rsidRPr="00F604CF">
        <w:rPr>
          <w:rFonts w:cs="Arial"/>
          <w:i/>
        </w:rPr>
        <w:t>nico de Proponentes de la Cámara de Comercio, de acuerdo con el artículo 22.4 de la Ley 80 de 1</w:t>
      </w:r>
      <w:r w:rsidR="008A2E70" w:rsidRPr="00F604CF">
        <w:rPr>
          <w:rFonts w:cs="Arial"/>
          <w:i/>
        </w:rPr>
        <w:t>993. (…)”</w:t>
      </w:r>
    </w:p>
    <w:p w14:paraId="610ED771" w14:textId="77777777" w:rsidR="00F14B4B" w:rsidRPr="00F604CF" w:rsidRDefault="00F14B4B" w:rsidP="00F604CF">
      <w:pPr>
        <w:pStyle w:val="Lista2"/>
        <w:ind w:left="0" w:firstLine="0"/>
        <w:rPr>
          <w:rFonts w:cs="Arial"/>
        </w:rPr>
      </w:pPr>
    </w:p>
    <w:p w14:paraId="116BFAD2" w14:textId="77777777" w:rsidR="00706421" w:rsidRPr="00F604CF" w:rsidRDefault="0026736F" w:rsidP="00F604CF">
      <w:pPr>
        <w:pStyle w:val="Lista2"/>
        <w:ind w:left="0" w:firstLine="0"/>
        <w:rPr>
          <w:rFonts w:cs="Arial"/>
        </w:rPr>
      </w:pPr>
      <w:r w:rsidRPr="00F604CF">
        <w:rPr>
          <w:rFonts w:cs="Arial"/>
        </w:rPr>
        <w:t xml:space="preserve">Por tanto, el certificado del RUP expedido por la Cámara de Comercio el 5 de septiembre de 2005 no cumplía el requisito temporal exigido en el pliego, además de que reflejaba una modificación de las cifras </w:t>
      </w:r>
      <w:r w:rsidR="0046044E" w:rsidRPr="00F604CF">
        <w:rPr>
          <w:rFonts w:cs="Arial"/>
        </w:rPr>
        <w:t xml:space="preserve">que fue </w:t>
      </w:r>
      <w:r w:rsidRPr="00F604CF">
        <w:rPr>
          <w:rFonts w:cs="Arial"/>
        </w:rPr>
        <w:t>realizada en el curso del procedimiento precontractual</w:t>
      </w:r>
      <w:r w:rsidR="0046044E" w:rsidRPr="00F604CF">
        <w:rPr>
          <w:rFonts w:cs="Arial"/>
        </w:rPr>
        <w:t xml:space="preserve"> y que, por haberse aceptado, constituyó una ruptura de la igualdad de acceso </w:t>
      </w:r>
      <w:r w:rsidR="005C35B2" w:rsidRPr="00F604CF">
        <w:rPr>
          <w:rFonts w:cs="Arial"/>
        </w:rPr>
        <w:t xml:space="preserve">de los distintos proponentes, </w:t>
      </w:r>
      <w:r w:rsidR="0046044E" w:rsidRPr="00F604CF">
        <w:rPr>
          <w:rFonts w:cs="Arial"/>
        </w:rPr>
        <w:t>para competir bajo las mismas reglas</w:t>
      </w:r>
      <w:r w:rsidR="00706421" w:rsidRPr="00F604CF">
        <w:rPr>
          <w:rFonts w:cs="Arial"/>
        </w:rPr>
        <w:t xml:space="preserve">. </w:t>
      </w:r>
    </w:p>
    <w:p w14:paraId="76820BEC" w14:textId="77777777" w:rsidR="0026736F" w:rsidRPr="00F604CF" w:rsidRDefault="0026736F" w:rsidP="00F604CF">
      <w:pPr>
        <w:pStyle w:val="Lista2"/>
        <w:ind w:left="0" w:firstLine="0"/>
        <w:rPr>
          <w:rFonts w:cs="Arial"/>
        </w:rPr>
      </w:pPr>
    </w:p>
    <w:p w14:paraId="7610616E" w14:textId="77777777" w:rsidR="00A21AB9" w:rsidRPr="00F604CF" w:rsidRDefault="00E426D6" w:rsidP="00F604CF">
      <w:pPr>
        <w:pStyle w:val="Lista2"/>
        <w:ind w:left="0" w:firstLine="0"/>
        <w:rPr>
          <w:rFonts w:cs="Arial"/>
        </w:rPr>
      </w:pPr>
      <w:r w:rsidRPr="00F604CF">
        <w:rPr>
          <w:rFonts w:cs="Arial"/>
        </w:rPr>
        <w:t xml:space="preserve">Por otra parte, </w:t>
      </w:r>
      <w:r w:rsidR="00F527FF" w:rsidRPr="00F604CF">
        <w:rPr>
          <w:rFonts w:cs="Arial"/>
        </w:rPr>
        <w:t xml:space="preserve">se evidencia </w:t>
      </w:r>
      <w:r w:rsidR="00265F8F" w:rsidRPr="00F604CF">
        <w:rPr>
          <w:rFonts w:cs="Arial"/>
        </w:rPr>
        <w:t xml:space="preserve">que </w:t>
      </w:r>
      <w:r w:rsidR="00F83D8C" w:rsidRPr="00F604CF">
        <w:rPr>
          <w:rFonts w:cs="Arial"/>
        </w:rPr>
        <w:t xml:space="preserve">tanto </w:t>
      </w:r>
      <w:r w:rsidR="002363B5" w:rsidRPr="00F604CF">
        <w:rPr>
          <w:rFonts w:cs="Arial"/>
        </w:rPr>
        <w:t xml:space="preserve">ese certificado </w:t>
      </w:r>
      <w:r w:rsidR="003D6BC9" w:rsidRPr="00F604CF">
        <w:rPr>
          <w:rFonts w:cs="Arial"/>
        </w:rPr>
        <w:t xml:space="preserve">de 5 de septiembre </w:t>
      </w:r>
      <w:r w:rsidRPr="00F604CF">
        <w:rPr>
          <w:rFonts w:cs="Arial"/>
        </w:rPr>
        <w:t xml:space="preserve">de 2005, </w:t>
      </w:r>
      <w:r w:rsidR="00F83D8C" w:rsidRPr="00F604CF">
        <w:rPr>
          <w:rFonts w:cs="Arial"/>
        </w:rPr>
        <w:t xml:space="preserve">como el </w:t>
      </w:r>
      <w:r w:rsidR="009E3765" w:rsidRPr="00F604CF">
        <w:rPr>
          <w:rFonts w:cs="Arial"/>
        </w:rPr>
        <w:t xml:space="preserve">que inicialmente se </w:t>
      </w:r>
      <w:r w:rsidR="00265F8F" w:rsidRPr="00F604CF">
        <w:rPr>
          <w:rFonts w:cs="Arial"/>
        </w:rPr>
        <w:t>all</w:t>
      </w:r>
      <w:r w:rsidR="002363B5" w:rsidRPr="00F604CF">
        <w:rPr>
          <w:rFonts w:cs="Arial"/>
        </w:rPr>
        <w:t>e</w:t>
      </w:r>
      <w:r w:rsidR="00265F8F" w:rsidRPr="00F604CF">
        <w:rPr>
          <w:rFonts w:cs="Arial"/>
        </w:rPr>
        <w:t>g</w:t>
      </w:r>
      <w:r w:rsidR="009E3765" w:rsidRPr="00F604CF">
        <w:rPr>
          <w:rFonts w:cs="Arial"/>
        </w:rPr>
        <w:t xml:space="preserve">ó </w:t>
      </w:r>
      <w:r w:rsidR="00265F8F" w:rsidRPr="00F604CF">
        <w:rPr>
          <w:rFonts w:cs="Arial"/>
        </w:rPr>
        <w:t xml:space="preserve">con la propuesta, de </w:t>
      </w:r>
      <w:r w:rsidR="002363B5" w:rsidRPr="00F604CF">
        <w:rPr>
          <w:rFonts w:cs="Arial"/>
        </w:rPr>
        <w:t xml:space="preserve">9 </w:t>
      </w:r>
      <w:r w:rsidR="00265F8F" w:rsidRPr="00F604CF">
        <w:rPr>
          <w:rFonts w:cs="Arial"/>
        </w:rPr>
        <w:t xml:space="preserve">de </w:t>
      </w:r>
      <w:r w:rsidR="002363B5" w:rsidRPr="00F604CF">
        <w:rPr>
          <w:rFonts w:cs="Arial"/>
        </w:rPr>
        <w:t xml:space="preserve">agosto </w:t>
      </w:r>
      <w:r w:rsidR="00265F8F" w:rsidRPr="00F604CF">
        <w:rPr>
          <w:rFonts w:cs="Arial"/>
        </w:rPr>
        <w:t>de 2005</w:t>
      </w:r>
      <w:r w:rsidR="002363B5" w:rsidRPr="00F604CF">
        <w:rPr>
          <w:rStyle w:val="Refdenotaalpie"/>
          <w:rFonts w:cs="Arial"/>
        </w:rPr>
        <w:footnoteReference w:id="72"/>
      </w:r>
      <w:r w:rsidR="00265F8F" w:rsidRPr="00F604CF">
        <w:rPr>
          <w:rFonts w:cs="Arial"/>
        </w:rPr>
        <w:t xml:space="preserve">, </w:t>
      </w:r>
      <w:r w:rsidR="00F83D8C" w:rsidRPr="00F604CF">
        <w:rPr>
          <w:rFonts w:cs="Arial"/>
        </w:rPr>
        <w:t xml:space="preserve">no </w:t>
      </w:r>
      <w:r w:rsidR="003D6BC9" w:rsidRPr="00F604CF">
        <w:rPr>
          <w:rFonts w:cs="Arial"/>
        </w:rPr>
        <w:t xml:space="preserve">se tuvieron en cuenta para la </w:t>
      </w:r>
      <w:r w:rsidR="00F83D8C" w:rsidRPr="00F604CF">
        <w:rPr>
          <w:rFonts w:cs="Arial"/>
        </w:rPr>
        <w:t xml:space="preserve">evaluación y </w:t>
      </w:r>
      <w:r w:rsidR="003D6BC9" w:rsidRPr="00F604CF">
        <w:rPr>
          <w:rFonts w:cs="Arial"/>
        </w:rPr>
        <w:t xml:space="preserve">calificación, toda vez que </w:t>
      </w:r>
      <w:r w:rsidRPr="00F604CF">
        <w:rPr>
          <w:rFonts w:cs="Arial"/>
        </w:rPr>
        <w:t xml:space="preserve">en ellos se </w:t>
      </w:r>
      <w:r w:rsidR="003D6BC9" w:rsidRPr="00F604CF">
        <w:rPr>
          <w:rFonts w:cs="Arial"/>
        </w:rPr>
        <w:t xml:space="preserve">indicaba un activo corriente de $570’904.000, cifra inferior a la que se tomó </w:t>
      </w:r>
      <w:r w:rsidR="00F14B4B" w:rsidRPr="00F604CF">
        <w:rPr>
          <w:rFonts w:cs="Arial"/>
        </w:rPr>
        <w:t>en el acta de</w:t>
      </w:r>
      <w:r w:rsidR="003D6BC9" w:rsidRPr="00F604CF">
        <w:rPr>
          <w:rFonts w:cs="Arial"/>
        </w:rPr>
        <w:t xml:space="preserve"> evaluación</w:t>
      </w:r>
      <w:r w:rsidR="009E3765" w:rsidRPr="00F604CF">
        <w:rPr>
          <w:rFonts w:cs="Arial"/>
        </w:rPr>
        <w:t>,</w:t>
      </w:r>
      <w:r w:rsidR="00362353" w:rsidRPr="00F604CF">
        <w:rPr>
          <w:rFonts w:cs="Arial"/>
        </w:rPr>
        <w:t xml:space="preserve"> que fue </w:t>
      </w:r>
      <w:r w:rsidR="00F14B4B" w:rsidRPr="00F604CF">
        <w:rPr>
          <w:rFonts w:cs="Arial"/>
        </w:rPr>
        <w:t xml:space="preserve">la suma </w:t>
      </w:r>
      <w:r w:rsidR="00362353" w:rsidRPr="00F604CF">
        <w:rPr>
          <w:rFonts w:cs="Arial"/>
        </w:rPr>
        <w:t xml:space="preserve">de </w:t>
      </w:r>
      <w:r w:rsidR="003D6BC9" w:rsidRPr="00F604CF">
        <w:rPr>
          <w:rFonts w:cs="Arial"/>
        </w:rPr>
        <w:t xml:space="preserve">$670’905.067, </w:t>
      </w:r>
      <w:r w:rsidR="009E3765" w:rsidRPr="00F604CF">
        <w:rPr>
          <w:rFonts w:cs="Arial"/>
        </w:rPr>
        <w:t xml:space="preserve">al parecer, </w:t>
      </w:r>
      <w:r w:rsidR="003D6BC9" w:rsidRPr="00F604CF">
        <w:rPr>
          <w:rFonts w:cs="Arial"/>
        </w:rPr>
        <w:t>con base en el estado financiero de 31 de diciembre de 2004</w:t>
      </w:r>
      <w:r w:rsidR="009E3765" w:rsidRPr="00F604CF">
        <w:rPr>
          <w:rFonts w:cs="Arial"/>
        </w:rPr>
        <w:t xml:space="preserve">, el cual no fue objeto de </w:t>
      </w:r>
      <w:r w:rsidR="003D6BC9" w:rsidRPr="00F604CF">
        <w:rPr>
          <w:rFonts w:cs="Arial"/>
        </w:rPr>
        <w:t>dictam</w:t>
      </w:r>
      <w:r w:rsidR="009E3765" w:rsidRPr="00F604CF">
        <w:rPr>
          <w:rFonts w:cs="Arial"/>
        </w:rPr>
        <w:t>en de contador público independiente</w:t>
      </w:r>
      <w:r w:rsidR="00E00E47" w:rsidRPr="00F604CF">
        <w:rPr>
          <w:rFonts w:cs="Arial"/>
        </w:rPr>
        <w:t xml:space="preserve">. </w:t>
      </w:r>
    </w:p>
    <w:p w14:paraId="6D76AD2C" w14:textId="77777777" w:rsidR="00A21AB9" w:rsidRPr="00F604CF" w:rsidRDefault="00A21AB9" w:rsidP="00F604CF">
      <w:pPr>
        <w:pStyle w:val="Lista2"/>
        <w:ind w:left="0" w:firstLine="0"/>
        <w:rPr>
          <w:rFonts w:cs="Arial"/>
        </w:rPr>
      </w:pPr>
    </w:p>
    <w:p w14:paraId="7CDE66B1" w14:textId="77777777" w:rsidR="00E00E47" w:rsidRPr="00F604CF" w:rsidRDefault="00E00E47" w:rsidP="00F604CF">
      <w:pPr>
        <w:pStyle w:val="Lista2"/>
        <w:ind w:left="0" w:firstLine="0"/>
        <w:rPr>
          <w:rFonts w:cs="Arial"/>
        </w:rPr>
      </w:pPr>
      <w:r w:rsidRPr="00F604CF">
        <w:rPr>
          <w:rFonts w:cs="Arial"/>
        </w:rPr>
        <w:t>Así las cosas, el a</w:t>
      </w:r>
      <w:r w:rsidR="00D8430C" w:rsidRPr="00F604CF">
        <w:rPr>
          <w:rFonts w:cs="Arial"/>
        </w:rPr>
        <w:t xml:space="preserve">nálisis </w:t>
      </w:r>
      <w:r w:rsidRPr="00F604CF">
        <w:rPr>
          <w:rFonts w:cs="Arial"/>
        </w:rPr>
        <w:t xml:space="preserve">del </w:t>
      </w:r>
      <w:r w:rsidR="00D8430C" w:rsidRPr="00F604CF">
        <w:rPr>
          <w:rFonts w:cs="Arial"/>
        </w:rPr>
        <w:t xml:space="preserve">nuevo </w:t>
      </w:r>
      <w:r w:rsidR="00BD7E08" w:rsidRPr="00F604CF">
        <w:rPr>
          <w:rFonts w:cs="Arial"/>
        </w:rPr>
        <w:t>certificado del R.U.P.</w:t>
      </w:r>
      <w:r w:rsidRPr="00F604CF">
        <w:rPr>
          <w:rFonts w:cs="Arial"/>
        </w:rPr>
        <w:t xml:space="preserve"> no </w:t>
      </w:r>
      <w:r w:rsidR="007A4E09" w:rsidRPr="00F604CF">
        <w:rPr>
          <w:rFonts w:cs="Arial"/>
        </w:rPr>
        <w:t xml:space="preserve">correspondió a </w:t>
      </w:r>
      <w:r w:rsidR="00D8430C" w:rsidRPr="00F604CF">
        <w:rPr>
          <w:rFonts w:cs="Arial"/>
        </w:rPr>
        <w:t xml:space="preserve">un asunto </w:t>
      </w:r>
      <w:r w:rsidRPr="00F604CF">
        <w:rPr>
          <w:rFonts w:cs="Arial"/>
        </w:rPr>
        <w:t xml:space="preserve">meramente formal, toda vez que su contenido </w:t>
      </w:r>
      <w:r w:rsidR="00A21AB9" w:rsidRPr="00F604CF">
        <w:rPr>
          <w:rFonts w:cs="Arial"/>
        </w:rPr>
        <w:t>material era diferente del que a</w:t>
      </w:r>
      <w:r w:rsidR="002B180C" w:rsidRPr="00F604CF">
        <w:rPr>
          <w:rFonts w:cs="Arial"/>
        </w:rPr>
        <w:t xml:space="preserve">cogió </w:t>
      </w:r>
      <w:r w:rsidR="00A21AB9" w:rsidRPr="00F604CF">
        <w:rPr>
          <w:rFonts w:cs="Arial"/>
        </w:rPr>
        <w:t xml:space="preserve">el </w:t>
      </w:r>
      <w:r w:rsidR="002B180C" w:rsidRPr="00F604CF">
        <w:rPr>
          <w:rFonts w:cs="Arial"/>
        </w:rPr>
        <w:t xml:space="preserve">comité de evaluación </w:t>
      </w:r>
      <w:r w:rsidR="00A21AB9" w:rsidRPr="00F604CF">
        <w:rPr>
          <w:rFonts w:cs="Arial"/>
        </w:rPr>
        <w:t>y</w:t>
      </w:r>
      <w:r w:rsidR="002B180C" w:rsidRPr="00F604CF">
        <w:rPr>
          <w:rFonts w:cs="Arial"/>
        </w:rPr>
        <w:t>,</w:t>
      </w:r>
      <w:r w:rsidR="00A21AB9" w:rsidRPr="00F604CF">
        <w:rPr>
          <w:rFonts w:cs="Arial"/>
        </w:rPr>
        <w:t xml:space="preserve"> </w:t>
      </w:r>
      <w:r w:rsidR="00F83D8C" w:rsidRPr="00F604CF">
        <w:rPr>
          <w:rFonts w:cs="Arial"/>
        </w:rPr>
        <w:t>resulta</w:t>
      </w:r>
      <w:r w:rsidR="007A4E09" w:rsidRPr="00F604CF">
        <w:rPr>
          <w:rFonts w:cs="Arial"/>
        </w:rPr>
        <w:t>ba</w:t>
      </w:r>
      <w:r w:rsidR="002B180C" w:rsidRPr="00F604CF">
        <w:rPr>
          <w:rFonts w:cs="Arial"/>
        </w:rPr>
        <w:t xml:space="preserve"> </w:t>
      </w:r>
      <w:r w:rsidR="00B227DE" w:rsidRPr="00F604CF">
        <w:rPr>
          <w:rFonts w:cs="Arial"/>
        </w:rPr>
        <w:t xml:space="preserve">cierto </w:t>
      </w:r>
      <w:r w:rsidR="002B180C" w:rsidRPr="00F604CF">
        <w:rPr>
          <w:rFonts w:cs="Arial"/>
        </w:rPr>
        <w:t xml:space="preserve">que </w:t>
      </w:r>
      <w:r w:rsidR="00F83D8C" w:rsidRPr="00F604CF">
        <w:rPr>
          <w:rFonts w:cs="Arial"/>
        </w:rPr>
        <w:t xml:space="preserve">la </w:t>
      </w:r>
      <w:r w:rsidR="00A21AB9" w:rsidRPr="00F604CF">
        <w:rPr>
          <w:rFonts w:cs="Arial"/>
        </w:rPr>
        <w:t xml:space="preserve">diferencia </w:t>
      </w:r>
      <w:r w:rsidR="00F83D8C" w:rsidRPr="00F604CF">
        <w:rPr>
          <w:rFonts w:cs="Arial"/>
        </w:rPr>
        <w:t xml:space="preserve">en los valores </w:t>
      </w:r>
      <w:r w:rsidRPr="00F604CF">
        <w:rPr>
          <w:rFonts w:cs="Arial"/>
        </w:rPr>
        <w:t>s</w:t>
      </w:r>
      <w:r w:rsidR="00A21AB9" w:rsidRPr="00F604CF">
        <w:rPr>
          <w:rFonts w:cs="Arial"/>
        </w:rPr>
        <w:t>í</w:t>
      </w:r>
      <w:r w:rsidRPr="00F604CF">
        <w:rPr>
          <w:rFonts w:cs="Arial"/>
        </w:rPr>
        <w:t xml:space="preserve"> incid</w:t>
      </w:r>
      <w:r w:rsidR="007A4E09" w:rsidRPr="00F604CF">
        <w:rPr>
          <w:rFonts w:cs="Arial"/>
        </w:rPr>
        <w:t>ía</w:t>
      </w:r>
      <w:r w:rsidRPr="00F604CF">
        <w:rPr>
          <w:rFonts w:cs="Arial"/>
        </w:rPr>
        <w:t xml:space="preserve"> en la calificación que</w:t>
      </w:r>
      <w:r w:rsidR="00AC50BE" w:rsidRPr="00F604CF">
        <w:rPr>
          <w:rFonts w:cs="Arial"/>
        </w:rPr>
        <w:t>,</w:t>
      </w:r>
      <w:r w:rsidRPr="00F604CF">
        <w:rPr>
          <w:rFonts w:cs="Arial"/>
        </w:rPr>
        <w:t xml:space="preserve"> en forma errada</w:t>
      </w:r>
      <w:r w:rsidR="00AC50BE" w:rsidRPr="00F604CF">
        <w:rPr>
          <w:rFonts w:cs="Arial"/>
        </w:rPr>
        <w:t>,</w:t>
      </w:r>
      <w:r w:rsidRPr="00F604CF">
        <w:rPr>
          <w:rFonts w:cs="Arial"/>
        </w:rPr>
        <w:t xml:space="preserve"> se le asignó a Unión Temporal Calimeño</w:t>
      </w:r>
      <w:r w:rsidR="007A4E09" w:rsidRPr="00F604CF">
        <w:rPr>
          <w:rFonts w:cs="Arial"/>
        </w:rPr>
        <w:t xml:space="preserve"> y </w:t>
      </w:r>
      <w:r w:rsidR="00B227DE" w:rsidRPr="00F604CF">
        <w:rPr>
          <w:rFonts w:cs="Arial"/>
        </w:rPr>
        <w:t xml:space="preserve">que </w:t>
      </w:r>
      <w:r w:rsidR="007A4E09" w:rsidRPr="00F604CF">
        <w:rPr>
          <w:rFonts w:cs="Arial"/>
        </w:rPr>
        <w:t>se decidió mantener en el acto de adjudicación</w:t>
      </w:r>
      <w:r w:rsidRPr="00F604CF">
        <w:rPr>
          <w:rFonts w:cs="Arial"/>
        </w:rPr>
        <w:t>.</w:t>
      </w:r>
    </w:p>
    <w:p w14:paraId="7B16A249" w14:textId="77777777" w:rsidR="003D6BC9" w:rsidRPr="00F604CF" w:rsidRDefault="003D6BC9" w:rsidP="00F604CF">
      <w:pPr>
        <w:pStyle w:val="Lista2"/>
        <w:ind w:left="0" w:firstLine="0"/>
        <w:rPr>
          <w:rFonts w:cs="Arial"/>
        </w:rPr>
      </w:pPr>
    </w:p>
    <w:p w14:paraId="2E5CD2D1" w14:textId="77777777" w:rsidR="00A21AB9" w:rsidRPr="00F604CF" w:rsidRDefault="00A21AB9" w:rsidP="00F604CF">
      <w:pPr>
        <w:pStyle w:val="Lista2"/>
        <w:ind w:left="0" w:firstLine="0"/>
        <w:rPr>
          <w:rFonts w:cs="Arial"/>
        </w:rPr>
      </w:pPr>
      <w:r w:rsidRPr="00F604CF">
        <w:rPr>
          <w:rFonts w:cs="Arial"/>
        </w:rPr>
        <w:t xml:space="preserve">Por ello, se reafirma la procedencia de la nulidad </w:t>
      </w:r>
      <w:r w:rsidR="0059599D" w:rsidRPr="00F604CF">
        <w:rPr>
          <w:rFonts w:cs="Arial"/>
        </w:rPr>
        <w:t>pretendida</w:t>
      </w:r>
      <w:r w:rsidRPr="00F604CF">
        <w:rPr>
          <w:rFonts w:cs="Arial"/>
        </w:rPr>
        <w:t xml:space="preserve"> por la parte deman</w:t>
      </w:r>
      <w:r w:rsidR="000D751E" w:rsidRPr="00F604CF">
        <w:rPr>
          <w:rFonts w:cs="Arial"/>
        </w:rPr>
        <w:t>dan</w:t>
      </w:r>
      <w:r w:rsidRPr="00F604CF">
        <w:rPr>
          <w:rFonts w:cs="Arial"/>
        </w:rPr>
        <w:t xml:space="preserve">te, en relación con el acto </w:t>
      </w:r>
      <w:r w:rsidR="00810A9D" w:rsidRPr="00F604CF">
        <w:rPr>
          <w:rFonts w:cs="Arial"/>
        </w:rPr>
        <w:t xml:space="preserve">administrativo </w:t>
      </w:r>
      <w:r w:rsidRPr="00F604CF">
        <w:rPr>
          <w:rFonts w:cs="Arial"/>
        </w:rPr>
        <w:t xml:space="preserve">de adjudicación y con el contrato </w:t>
      </w:r>
      <w:r w:rsidR="00AC50BE" w:rsidRPr="00F604CF">
        <w:rPr>
          <w:rFonts w:cs="Arial"/>
        </w:rPr>
        <w:t xml:space="preserve">de compraventa </w:t>
      </w:r>
      <w:r w:rsidRPr="00F604CF">
        <w:rPr>
          <w:rFonts w:cs="Arial"/>
        </w:rPr>
        <w:t>cor</w:t>
      </w:r>
      <w:r w:rsidR="009E3765" w:rsidRPr="00F604CF">
        <w:rPr>
          <w:rFonts w:cs="Arial"/>
        </w:rPr>
        <w:t>r</w:t>
      </w:r>
      <w:r w:rsidRPr="00F604CF">
        <w:rPr>
          <w:rFonts w:cs="Arial"/>
        </w:rPr>
        <w:t>esp</w:t>
      </w:r>
      <w:r w:rsidR="000D751E" w:rsidRPr="00F604CF">
        <w:rPr>
          <w:rFonts w:cs="Arial"/>
        </w:rPr>
        <w:t>o</w:t>
      </w:r>
      <w:r w:rsidRPr="00F604CF">
        <w:rPr>
          <w:rFonts w:cs="Arial"/>
        </w:rPr>
        <w:t>ndiente.</w:t>
      </w:r>
    </w:p>
    <w:p w14:paraId="3A105EFD" w14:textId="77777777" w:rsidR="00A21AB9" w:rsidRPr="00F604CF" w:rsidRDefault="00A21AB9" w:rsidP="00F604CF">
      <w:pPr>
        <w:pStyle w:val="Lista2"/>
        <w:ind w:left="0" w:firstLine="0"/>
        <w:rPr>
          <w:rFonts w:cs="Arial"/>
        </w:rPr>
      </w:pPr>
    </w:p>
    <w:p w14:paraId="2118D931" w14:textId="77777777" w:rsidR="00E00E47" w:rsidRPr="00F604CF" w:rsidRDefault="00810A9D" w:rsidP="00F604CF">
      <w:pPr>
        <w:pStyle w:val="Lista2"/>
        <w:spacing w:line="240" w:lineRule="auto"/>
        <w:ind w:left="0" w:firstLine="0"/>
        <w:rPr>
          <w:rFonts w:cs="Arial"/>
          <w:b/>
        </w:rPr>
      </w:pPr>
      <w:r w:rsidRPr="00F604CF">
        <w:rPr>
          <w:rFonts w:cs="Arial"/>
          <w:b/>
        </w:rPr>
        <w:t xml:space="preserve">6.5. </w:t>
      </w:r>
      <w:r w:rsidR="00EE4A6A" w:rsidRPr="00F604CF">
        <w:rPr>
          <w:rFonts w:cs="Arial"/>
          <w:b/>
        </w:rPr>
        <w:t xml:space="preserve">La actividad acreditada por los miembros de la </w:t>
      </w:r>
      <w:r w:rsidR="000D751E" w:rsidRPr="00F604CF">
        <w:rPr>
          <w:rFonts w:cs="Arial"/>
          <w:b/>
        </w:rPr>
        <w:t>Unión Temporal Calimeño</w:t>
      </w:r>
    </w:p>
    <w:p w14:paraId="5150F901" w14:textId="77777777" w:rsidR="00EE4A6A" w:rsidRPr="00F604CF" w:rsidRDefault="00EE4A6A" w:rsidP="00F604CF">
      <w:pPr>
        <w:pStyle w:val="Lista2"/>
        <w:ind w:left="0" w:firstLine="0"/>
        <w:rPr>
          <w:rFonts w:cs="Arial"/>
          <w:b/>
        </w:rPr>
      </w:pPr>
    </w:p>
    <w:p w14:paraId="2A6D6ACA" w14:textId="77777777" w:rsidR="00EE4A6A" w:rsidRPr="00F604CF" w:rsidRDefault="00EE4A6A" w:rsidP="00F604CF">
      <w:pPr>
        <w:pStyle w:val="Lista2"/>
        <w:ind w:left="0" w:firstLine="0"/>
        <w:rPr>
          <w:rFonts w:cs="Arial"/>
        </w:rPr>
      </w:pPr>
      <w:r w:rsidRPr="00F604CF">
        <w:rPr>
          <w:rFonts w:cs="Arial"/>
        </w:rPr>
        <w:t xml:space="preserve">La Sala advierte que el Tribunal </w:t>
      </w:r>
      <w:r w:rsidRPr="00F604CF">
        <w:rPr>
          <w:rFonts w:cs="Arial"/>
          <w:i/>
        </w:rPr>
        <w:t>a quo</w:t>
      </w:r>
      <w:r w:rsidRPr="00F604CF">
        <w:rPr>
          <w:rFonts w:cs="Arial"/>
        </w:rPr>
        <w:t xml:space="preserve"> </w:t>
      </w:r>
      <w:r w:rsidR="000C77C2" w:rsidRPr="00F604CF">
        <w:rPr>
          <w:rFonts w:cs="Arial"/>
        </w:rPr>
        <w:t xml:space="preserve">dejó de realizar </w:t>
      </w:r>
      <w:r w:rsidRPr="00F604CF">
        <w:rPr>
          <w:rFonts w:cs="Arial"/>
        </w:rPr>
        <w:t>un análisis acerca de la actividad que debía ser acreditada por los partícipes de la Unión Temporal</w:t>
      </w:r>
      <w:r w:rsidR="007B6A7C" w:rsidRPr="00F604CF">
        <w:rPr>
          <w:rFonts w:cs="Arial"/>
        </w:rPr>
        <w:t xml:space="preserve"> Ca</w:t>
      </w:r>
      <w:r w:rsidR="00067025" w:rsidRPr="00F604CF">
        <w:rPr>
          <w:rFonts w:cs="Arial"/>
        </w:rPr>
        <w:t>l</w:t>
      </w:r>
      <w:r w:rsidR="007B6A7C" w:rsidRPr="00F604CF">
        <w:rPr>
          <w:rFonts w:cs="Arial"/>
        </w:rPr>
        <w:t>imeño</w:t>
      </w:r>
      <w:r w:rsidR="000C77C2" w:rsidRPr="00F604CF">
        <w:rPr>
          <w:rFonts w:cs="Arial"/>
        </w:rPr>
        <w:t>,</w:t>
      </w:r>
      <w:r w:rsidRPr="00F604CF">
        <w:rPr>
          <w:rFonts w:cs="Arial"/>
        </w:rPr>
        <w:t xml:space="preserve"> toda vez que el pliego de condiciones</w:t>
      </w:r>
      <w:r w:rsidR="009E3765" w:rsidRPr="00F604CF">
        <w:rPr>
          <w:rFonts w:cs="Arial"/>
        </w:rPr>
        <w:t>,</w:t>
      </w:r>
      <w:r w:rsidRPr="00F604CF">
        <w:rPr>
          <w:rFonts w:cs="Arial"/>
        </w:rPr>
        <w:t xml:space="preserve"> </w:t>
      </w:r>
      <w:r w:rsidR="009E3765" w:rsidRPr="00F604CF">
        <w:rPr>
          <w:rFonts w:cs="Arial"/>
        </w:rPr>
        <w:t xml:space="preserve">en efecto, </w:t>
      </w:r>
      <w:r w:rsidRPr="00F604CF">
        <w:rPr>
          <w:rFonts w:cs="Arial"/>
        </w:rPr>
        <w:t>disp</w:t>
      </w:r>
      <w:r w:rsidR="009E3765" w:rsidRPr="00F604CF">
        <w:rPr>
          <w:rFonts w:cs="Arial"/>
        </w:rPr>
        <w:t xml:space="preserve">onía un requisito del siguiente orden: </w:t>
      </w:r>
    </w:p>
    <w:p w14:paraId="42A68F8A" w14:textId="77777777" w:rsidR="00EE4A6A" w:rsidRPr="00F604CF" w:rsidRDefault="00EE4A6A" w:rsidP="00F604CF">
      <w:pPr>
        <w:pStyle w:val="Lista2"/>
        <w:ind w:left="0" w:firstLine="0"/>
        <w:rPr>
          <w:rFonts w:cs="Arial"/>
          <w:b/>
        </w:rPr>
      </w:pPr>
    </w:p>
    <w:p w14:paraId="0ADD77E7" w14:textId="77777777" w:rsidR="00203658" w:rsidRPr="00F604CF" w:rsidRDefault="00AA54AD" w:rsidP="00F604CF">
      <w:pPr>
        <w:pStyle w:val="Lista2"/>
        <w:spacing w:line="276" w:lineRule="auto"/>
        <w:ind w:left="0" w:firstLine="0"/>
        <w:rPr>
          <w:rFonts w:cs="Arial"/>
          <w:i/>
        </w:rPr>
      </w:pPr>
      <w:r w:rsidRPr="00F604CF">
        <w:rPr>
          <w:rFonts w:cs="Arial"/>
          <w:i/>
        </w:rPr>
        <w:t>“</w:t>
      </w:r>
      <w:r w:rsidR="00203658" w:rsidRPr="00F604CF">
        <w:rPr>
          <w:rFonts w:cs="Arial"/>
          <w:i/>
        </w:rPr>
        <w:t>3.2. PARTICIPANTES</w:t>
      </w:r>
    </w:p>
    <w:p w14:paraId="6D4D996E" w14:textId="77777777" w:rsidR="00203658" w:rsidRPr="00F604CF" w:rsidRDefault="00203658" w:rsidP="00F604CF">
      <w:pPr>
        <w:pStyle w:val="Lista2"/>
        <w:spacing w:line="276" w:lineRule="auto"/>
        <w:ind w:left="0" w:firstLine="0"/>
        <w:rPr>
          <w:rFonts w:cs="Arial"/>
          <w:i/>
        </w:rPr>
      </w:pPr>
    </w:p>
    <w:p w14:paraId="5503F9DC" w14:textId="77777777" w:rsidR="00E30828" w:rsidRPr="00F604CF" w:rsidRDefault="007A4E09" w:rsidP="00F604CF">
      <w:pPr>
        <w:pStyle w:val="Lista2"/>
        <w:spacing w:line="276" w:lineRule="auto"/>
        <w:ind w:left="0" w:firstLine="0"/>
        <w:rPr>
          <w:rFonts w:cs="Arial"/>
          <w:i/>
        </w:rPr>
      </w:pPr>
      <w:r w:rsidRPr="00F604CF">
        <w:rPr>
          <w:rFonts w:cs="Arial"/>
          <w:i/>
        </w:rPr>
        <w:t>“</w:t>
      </w:r>
      <w:r w:rsidR="00203658" w:rsidRPr="00F604CF">
        <w:rPr>
          <w:rFonts w:cs="Arial"/>
          <w:i/>
        </w:rPr>
        <w:t xml:space="preserve">En el presente proceso podrán participar personas naturales o jurídicas, nacionales o extranjeras individualmente, en consorcio o en unión temporal, que hayan adquirido y retirado el presente pliego de condiciones </w:t>
      </w:r>
      <w:r w:rsidR="00DA6B9D" w:rsidRPr="00F604CF">
        <w:rPr>
          <w:rFonts w:cs="Arial"/>
          <w:i/>
        </w:rPr>
        <w:t>y que a la fecha de presentación de la propuesta, se encuentren debidamente inscritas, calificadas y clasificadas en el Registro Único de proponentes de la Cámara de Comercio respectiva, en la actividad 3 (proveedor),  Especialidad 10 y grupo 3</w:t>
      </w:r>
      <w:r w:rsidR="005D3144" w:rsidRPr="00F604CF">
        <w:rPr>
          <w:rStyle w:val="Refdenotaalpie"/>
          <w:rFonts w:cs="Arial"/>
          <w:i/>
        </w:rPr>
        <w:footnoteReference w:id="73"/>
      </w:r>
      <w:r w:rsidR="00FD5F95" w:rsidRPr="00F604CF">
        <w:rPr>
          <w:rFonts w:cs="Arial"/>
          <w:i/>
        </w:rPr>
        <w:t>”</w:t>
      </w:r>
      <w:r w:rsidR="00E30828" w:rsidRPr="00F604CF">
        <w:rPr>
          <w:rFonts w:cs="Arial"/>
          <w:i/>
        </w:rPr>
        <w:t>.</w:t>
      </w:r>
    </w:p>
    <w:p w14:paraId="14955227" w14:textId="77777777" w:rsidR="00E30828" w:rsidRPr="00F604CF" w:rsidRDefault="00E30828" w:rsidP="00F604CF">
      <w:pPr>
        <w:pStyle w:val="Lista2"/>
        <w:spacing w:line="276" w:lineRule="auto"/>
        <w:ind w:left="0" w:firstLine="0"/>
        <w:rPr>
          <w:rFonts w:cs="Arial"/>
          <w:i/>
        </w:rPr>
      </w:pPr>
    </w:p>
    <w:p w14:paraId="3F7D64DB" w14:textId="77777777" w:rsidR="009A7F2C" w:rsidRPr="00F604CF" w:rsidRDefault="009A7F2C" w:rsidP="00F604CF">
      <w:pPr>
        <w:pStyle w:val="Lista2"/>
        <w:ind w:left="0" w:firstLine="0"/>
        <w:rPr>
          <w:rFonts w:cs="Arial"/>
        </w:rPr>
      </w:pPr>
    </w:p>
    <w:p w14:paraId="4892F25C" w14:textId="77777777" w:rsidR="009A7F2C" w:rsidRPr="00F604CF" w:rsidRDefault="009A7F2C" w:rsidP="00F604CF">
      <w:pPr>
        <w:pStyle w:val="Lista2"/>
        <w:ind w:left="0" w:firstLine="0"/>
        <w:rPr>
          <w:rFonts w:cs="Arial"/>
        </w:rPr>
      </w:pPr>
      <w:r w:rsidRPr="00F604CF">
        <w:rPr>
          <w:rFonts w:cs="Arial"/>
        </w:rPr>
        <w:t xml:space="preserve">De la anterior regla se infiere que el requisito de inscripción y clasificación </w:t>
      </w:r>
      <w:r w:rsidR="00BD7E08" w:rsidRPr="00F604CF">
        <w:rPr>
          <w:rFonts w:cs="Arial"/>
        </w:rPr>
        <w:t xml:space="preserve">en el </w:t>
      </w:r>
      <w:r w:rsidRPr="00F604CF">
        <w:rPr>
          <w:rFonts w:cs="Arial"/>
        </w:rPr>
        <w:t>Registro Único de Proponentes se exigió para todos y cada uno de los miembros de la Unión Temporal.</w:t>
      </w:r>
    </w:p>
    <w:p w14:paraId="4868943B" w14:textId="77777777" w:rsidR="009A7F2C" w:rsidRPr="00F604CF" w:rsidRDefault="009A7F2C" w:rsidP="00F604CF">
      <w:pPr>
        <w:pStyle w:val="Lista2"/>
        <w:ind w:left="0" w:firstLine="0"/>
        <w:rPr>
          <w:rFonts w:cs="Arial"/>
        </w:rPr>
      </w:pPr>
    </w:p>
    <w:p w14:paraId="6F0B68FB" w14:textId="77777777" w:rsidR="0074372D" w:rsidRPr="00F604CF" w:rsidRDefault="00F71570" w:rsidP="00F604CF">
      <w:pPr>
        <w:pStyle w:val="Lista2"/>
        <w:ind w:left="0" w:firstLine="0"/>
        <w:rPr>
          <w:rFonts w:cs="Arial"/>
        </w:rPr>
      </w:pPr>
      <w:r w:rsidRPr="00F604CF">
        <w:rPr>
          <w:rFonts w:cs="Arial"/>
        </w:rPr>
        <w:t>No obstante, analizado el acervo probatorio se concluye que e</w:t>
      </w:r>
      <w:r w:rsidR="00E30828" w:rsidRPr="00F604CF">
        <w:rPr>
          <w:rFonts w:cs="Arial"/>
        </w:rPr>
        <w:t xml:space="preserve">l argumento del apelante no </w:t>
      </w:r>
      <w:r w:rsidR="002732C1" w:rsidRPr="00F604CF">
        <w:rPr>
          <w:rFonts w:cs="Arial"/>
        </w:rPr>
        <w:t>resultó probado</w:t>
      </w:r>
      <w:r w:rsidR="00E30828" w:rsidRPr="00F604CF">
        <w:rPr>
          <w:rFonts w:cs="Arial"/>
        </w:rPr>
        <w:t xml:space="preserve">, toda vez que aunque la experiencia de las </w:t>
      </w:r>
      <w:r w:rsidR="00296B39" w:rsidRPr="00F604CF">
        <w:rPr>
          <w:rFonts w:cs="Arial"/>
        </w:rPr>
        <w:t xml:space="preserve">tres </w:t>
      </w:r>
      <w:r w:rsidR="00E30828" w:rsidRPr="00F604CF">
        <w:rPr>
          <w:rFonts w:cs="Arial"/>
        </w:rPr>
        <w:t xml:space="preserve">personas naturales que hicieron parte de la </w:t>
      </w:r>
      <w:r w:rsidRPr="00F604CF">
        <w:rPr>
          <w:rFonts w:cs="Arial"/>
        </w:rPr>
        <w:t>U</w:t>
      </w:r>
      <w:r w:rsidR="00E30828" w:rsidRPr="00F604CF">
        <w:rPr>
          <w:rFonts w:cs="Arial"/>
        </w:rPr>
        <w:t xml:space="preserve">nión Temporal Calimeño </w:t>
      </w:r>
      <w:r w:rsidR="009002CE" w:rsidRPr="00F604CF">
        <w:rPr>
          <w:rFonts w:cs="Arial"/>
        </w:rPr>
        <w:t>se acredit</w:t>
      </w:r>
      <w:r w:rsidR="006850EF" w:rsidRPr="00F604CF">
        <w:rPr>
          <w:rFonts w:cs="Arial"/>
        </w:rPr>
        <w:t>ó</w:t>
      </w:r>
      <w:r w:rsidR="009002CE" w:rsidRPr="00F604CF">
        <w:rPr>
          <w:rFonts w:cs="Arial"/>
        </w:rPr>
        <w:t xml:space="preserve"> </w:t>
      </w:r>
      <w:r w:rsidR="00C23827" w:rsidRPr="00F604CF">
        <w:rPr>
          <w:rFonts w:cs="Arial"/>
        </w:rPr>
        <w:t xml:space="preserve">frente a la Cámara de Comercio con contratos en el </w:t>
      </w:r>
      <w:r w:rsidR="009002CE" w:rsidRPr="00F604CF">
        <w:rPr>
          <w:rFonts w:cs="Arial"/>
        </w:rPr>
        <w:t xml:space="preserve">sector de </w:t>
      </w:r>
      <w:r w:rsidR="0037640A" w:rsidRPr="00F604CF">
        <w:rPr>
          <w:rFonts w:cs="Arial"/>
        </w:rPr>
        <w:t xml:space="preserve">la </w:t>
      </w:r>
      <w:r w:rsidR="009002CE" w:rsidRPr="00F604CF">
        <w:rPr>
          <w:rFonts w:cs="Arial"/>
        </w:rPr>
        <w:t xml:space="preserve">construcción </w:t>
      </w:r>
      <w:r w:rsidR="00D078AA" w:rsidRPr="00F604CF">
        <w:rPr>
          <w:rFonts w:cs="Arial"/>
        </w:rPr>
        <w:t>-</w:t>
      </w:r>
      <w:r w:rsidR="009002CE" w:rsidRPr="00F604CF">
        <w:rPr>
          <w:rFonts w:cs="Arial"/>
        </w:rPr>
        <w:t xml:space="preserve">según aparece en los certificados del </w:t>
      </w:r>
      <w:r w:rsidR="00BD7E08" w:rsidRPr="00F604CF">
        <w:rPr>
          <w:rFonts w:cs="Arial"/>
        </w:rPr>
        <w:t xml:space="preserve">R.U.P. </w:t>
      </w:r>
      <w:r w:rsidR="00D078AA" w:rsidRPr="00F604CF">
        <w:rPr>
          <w:rFonts w:cs="Arial"/>
        </w:rPr>
        <w:t>-</w:t>
      </w:r>
      <w:r w:rsidR="009002CE" w:rsidRPr="00F604CF">
        <w:rPr>
          <w:rFonts w:cs="Arial"/>
        </w:rPr>
        <w:t xml:space="preserve"> esas personas s</w:t>
      </w:r>
      <w:r w:rsidR="0074372D" w:rsidRPr="00F604CF">
        <w:rPr>
          <w:rFonts w:cs="Arial"/>
        </w:rPr>
        <w:t>í</w:t>
      </w:r>
      <w:r w:rsidR="009002CE" w:rsidRPr="00F604CF">
        <w:rPr>
          <w:rFonts w:cs="Arial"/>
        </w:rPr>
        <w:t xml:space="preserve"> se habían clasificado e inscrito</w:t>
      </w:r>
      <w:r w:rsidR="000D751E" w:rsidRPr="00F604CF">
        <w:rPr>
          <w:rFonts w:cs="Arial"/>
        </w:rPr>
        <w:t>, también,</w:t>
      </w:r>
      <w:r w:rsidR="009002CE" w:rsidRPr="00F604CF">
        <w:rPr>
          <w:rFonts w:cs="Arial"/>
        </w:rPr>
        <w:t xml:space="preserve"> como proveedores </w:t>
      </w:r>
      <w:r w:rsidR="006850EF" w:rsidRPr="00F604CF">
        <w:rPr>
          <w:rFonts w:cs="Arial"/>
        </w:rPr>
        <w:t>en la especialidad 10, grupo 3, referida a los productos editoriales</w:t>
      </w:r>
      <w:r w:rsidR="009C68DA" w:rsidRPr="00F604CF">
        <w:rPr>
          <w:rFonts w:cs="Arial"/>
        </w:rPr>
        <w:t xml:space="preserve">, aunque no </w:t>
      </w:r>
      <w:r w:rsidR="00D078AA" w:rsidRPr="00F604CF">
        <w:rPr>
          <w:rFonts w:cs="Arial"/>
        </w:rPr>
        <w:t xml:space="preserve">se </w:t>
      </w:r>
      <w:r w:rsidR="007A2101" w:rsidRPr="00F604CF">
        <w:rPr>
          <w:rFonts w:cs="Arial"/>
        </w:rPr>
        <w:t>indic</w:t>
      </w:r>
      <w:r w:rsidR="00D078AA" w:rsidRPr="00F604CF">
        <w:rPr>
          <w:rFonts w:cs="Arial"/>
        </w:rPr>
        <w:t xml:space="preserve">ó </w:t>
      </w:r>
      <w:r w:rsidR="009C68DA" w:rsidRPr="00F604CF">
        <w:rPr>
          <w:rFonts w:cs="Arial"/>
        </w:rPr>
        <w:t xml:space="preserve">la fecha en que se actualizó el </w:t>
      </w:r>
      <w:r w:rsidR="00BF4AC8" w:rsidRPr="00F604CF">
        <w:rPr>
          <w:rFonts w:cs="Arial"/>
        </w:rPr>
        <w:t xml:space="preserve">R.U.P. de esos </w:t>
      </w:r>
      <w:r w:rsidR="00D078AA" w:rsidRPr="00F604CF">
        <w:rPr>
          <w:rFonts w:cs="Arial"/>
        </w:rPr>
        <w:t xml:space="preserve">proponentes </w:t>
      </w:r>
      <w:r w:rsidR="00BF4AC8" w:rsidRPr="00F604CF">
        <w:rPr>
          <w:rFonts w:cs="Arial"/>
        </w:rPr>
        <w:t xml:space="preserve">ni la fecha en que se incluyó la </w:t>
      </w:r>
      <w:r w:rsidR="009C68DA" w:rsidRPr="00F604CF">
        <w:rPr>
          <w:rFonts w:cs="Arial"/>
        </w:rPr>
        <w:t>clasificación</w:t>
      </w:r>
      <w:r w:rsidR="00BF4AC8" w:rsidRPr="00F604CF">
        <w:rPr>
          <w:rFonts w:cs="Arial"/>
        </w:rPr>
        <w:t xml:space="preserve"> es el grupo de proveedores en el sector editorial</w:t>
      </w:r>
      <w:r w:rsidR="009C68DA" w:rsidRPr="00F604CF">
        <w:rPr>
          <w:rFonts w:cs="Arial"/>
        </w:rPr>
        <w:t xml:space="preserve">. </w:t>
      </w:r>
    </w:p>
    <w:p w14:paraId="23C76550" w14:textId="77777777" w:rsidR="0074372D" w:rsidRPr="00F604CF" w:rsidRDefault="0074372D" w:rsidP="00F604CF">
      <w:pPr>
        <w:pStyle w:val="Lista2"/>
        <w:ind w:left="0" w:firstLine="0"/>
        <w:rPr>
          <w:rFonts w:cs="Arial"/>
        </w:rPr>
      </w:pPr>
    </w:p>
    <w:p w14:paraId="338678EB" w14:textId="77777777" w:rsidR="006850EF" w:rsidRPr="00F604CF" w:rsidRDefault="007A2101" w:rsidP="00F604CF">
      <w:pPr>
        <w:pStyle w:val="Lista2"/>
        <w:ind w:left="0" w:firstLine="0"/>
        <w:rPr>
          <w:rFonts w:cs="Arial"/>
        </w:rPr>
      </w:pPr>
      <w:r w:rsidRPr="00F604CF">
        <w:rPr>
          <w:rFonts w:cs="Arial"/>
        </w:rPr>
        <w:t>Como la falta de experiencia de uno o algunos de los integrantes de la unión temporal</w:t>
      </w:r>
      <w:r w:rsidR="0074372D" w:rsidRPr="00F604CF">
        <w:rPr>
          <w:rFonts w:cs="Arial"/>
        </w:rPr>
        <w:t xml:space="preserve"> no era causal de rechazo</w:t>
      </w:r>
      <w:r w:rsidRPr="00F604CF">
        <w:rPr>
          <w:rFonts w:cs="Arial"/>
        </w:rPr>
        <w:t xml:space="preserve">, tenía que aceptarse que </w:t>
      </w:r>
      <w:r w:rsidR="003304AA" w:rsidRPr="00F604CF">
        <w:rPr>
          <w:rFonts w:cs="Arial"/>
        </w:rPr>
        <w:t xml:space="preserve">la propuesta podía calificarse </w:t>
      </w:r>
      <w:r w:rsidR="0074372D" w:rsidRPr="00F604CF">
        <w:rPr>
          <w:rFonts w:cs="Arial"/>
        </w:rPr>
        <w:t xml:space="preserve">con base en la experiencia de uno solo, siempre y cuando </w:t>
      </w:r>
      <w:r w:rsidR="003304AA" w:rsidRPr="00F604CF">
        <w:rPr>
          <w:rFonts w:cs="Arial"/>
        </w:rPr>
        <w:t xml:space="preserve">todos y cada uno acreditaran la </w:t>
      </w:r>
      <w:r w:rsidRPr="00F604CF">
        <w:rPr>
          <w:rFonts w:cs="Arial"/>
        </w:rPr>
        <w:t>inscri</w:t>
      </w:r>
      <w:r w:rsidR="003304AA" w:rsidRPr="00F604CF">
        <w:rPr>
          <w:rFonts w:cs="Arial"/>
        </w:rPr>
        <w:t>pción</w:t>
      </w:r>
      <w:r w:rsidRPr="00F604CF">
        <w:rPr>
          <w:rFonts w:cs="Arial"/>
        </w:rPr>
        <w:t xml:space="preserve"> en </w:t>
      </w:r>
      <w:r w:rsidR="0074372D" w:rsidRPr="00F604CF">
        <w:rPr>
          <w:rFonts w:cs="Arial"/>
        </w:rPr>
        <w:t>la</w:t>
      </w:r>
      <w:r w:rsidRPr="00F604CF">
        <w:rPr>
          <w:rFonts w:cs="Arial"/>
        </w:rPr>
        <w:t xml:space="preserve"> categoría</w:t>
      </w:r>
      <w:r w:rsidR="0074372D" w:rsidRPr="00F604CF">
        <w:rPr>
          <w:rFonts w:cs="Arial"/>
        </w:rPr>
        <w:t xml:space="preserve"> la especialidad 10, grupo 3</w:t>
      </w:r>
      <w:r w:rsidRPr="00F604CF">
        <w:rPr>
          <w:rFonts w:cs="Arial"/>
        </w:rPr>
        <w:t xml:space="preserve">. </w:t>
      </w:r>
    </w:p>
    <w:p w14:paraId="48D99474" w14:textId="77777777" w:rsidR="00D078AA" w:rsidRPr="00F604CF" w:rsidRDefault="00D078AA" w:rsidP="00F604CF">
      <w:pPr>
        <w:pStyle w:val="Lista2"/>
        <w:ind w:left="0" w:firstLine="0"/>
        <w:rPr>
          <w:rFonts w:cs="Arial"/>
        </w:rPr>
      </w:pPr>
    </w:p>
    <w:p w14:paraId="5E21121C" w14:textId="77777777" w:rsidR="00BD385B" w:rsidRPr="00F604CF" w:rsidRDefault="002732C1" w:rsidP="00F604CF">
      <w:pPr>
        <w:pStyle w:val="Lista2"/>
        <w:ind w:left="0" w:firstLine="0"/>
        <w:rPr>
          <w:rFonts w:cs="Arial"/>
        </w:rPr>
      </w:pPr>
      <w:r w:rsidRPr="00F604CF">
        <w:rPr>
          <w:rFonts w:cs="Arial"/>
        </w:rPr>
        <w:t>S</w:t>
      </w:r>
      <w:r w:rsidR="003902B4" w:rsidRPr="00F604CF">
        <w:rPr>
          <w:rFonts w:cs="Arial"/>
        </w:rPr>
        <w:t xml:space="preserve">e </w:t>
      </w:r>
      <w:r w:rsidR="00FD741F" w:rsidRPr="00F604CF">
        <w:rPr>
          <w:rFonts w:cs="Arial"/>
        </w:rPr>
        <w:t xml:space="preserve">reitera </w:t>
      </w:r>
      <w:r w:rsidR="0037640A" w:rsidRPr="00F604CF">
        <w:rPr>
          <w:rFonts w:cs="Arial"/>
        </w:rPr>
        <w:t xml:space="preserve">que los certificados </w:t>
      </w:r>
      <w:r w:rsidR="00E51E65" w:rsidRPr="00F604CF">
        <w:rPr>
          <w:rFonts w:cs="Arial"/>
        </w:rPr>
        <w:t>de</w:t>
      </w:r>
      <w:r w:rsidR="00D078AA" w:rsidRPr="00F604CF">
        <w:rPr>
          <w:rFonts w:cs="Arial"/>
        </w:rPr>
        <w:t>l</w:t>
      </w:r>
      <w:r w:rsidR="00E51E65" w:rsidRPr="00F604CF">
        <w:rPr>
          <w:rFonts w:cs="Arial"/>
        </w:rPr>
        <w:t xml:space="preserve"> </w:t>
      </w:r>
      <w:r w:rsidR="00D078AA" w:rsidRPr="00F604CF">
        <w:rPr>
          <w:rFonts w:cs="Arial"/>
        </w:rPr>
        <w:t>Registro Único de Proponentes –RUP-</w:t>
      </w:r>
      <w:r w:rsidR="00A43D93" w:rsidRPr="00F604CF">
        <w:rPr>
          <w:rFonts w:cs="Arial"/>
        </w:rPr>
        <w:t xml:space="preserve"> </w:t>
      </w:r>
      <w:r w:rsidR="00E51E65" w:rsidRPr="00F604CF">
        <w:rPr>
          <w:rFonts w:cs="Arial"/>
        </w:rPr>
        <w:t xml:space="preserve">que </w:t>
      </w:r>
      <w:r w:rsidR="00067025" w:rsidRPr="00F604CF">
        <w:rPr>
          <w:rFonts w:cs="Arial"/>
        </w:rPr>
        <w:t xml:space="preserve">inicialmente </w:t>
      </w:r>
      <w:r w:rsidR="0037640A" w:rsidRPr="00F604CF">
        <w:rPr>
          <w:rFonts w:cs="Arial"/>
        </w:rPr>
        <w:t>allega</w:t>
      </w:r>
      <w:r w:rsidR="00E51E65" w:rsidRPr="00F604CF">
        <w:rPr>
          <w:rFonts w:cs="Arial"/>
        </w:rPr>
        <w:t xml:space="preserve">ron los miembros de la Unión Temporal Calimeño </w:t>
      </w:r>
      <w:r w:rsidR="0037640A" w:rsidRPr="00F604CF">
        <w:rPr>
          <w:rFonts w:cs="Arial"/>
        </w:rPr>
        <w:t xml:space="preserve">fueron </w:t>
      </w:r>
      <w:r w:rsidR="003902B4" w:rsidRPr="00F604CF">
        <w:rPr>
          <w:rFonts w:cs="Arial"/>
        </w:rPr>
        <w:t>expedidos el</w:t>
      </w:r>
      <w:r w:rsidR="0037640A" w:rsidRPr="00F604CF">
        <w:rPr>
          <w:rFonts w:cs="Arial"/>
        </w:rPr>
        <w:t xml:space="preserve"> </w:t>
      </w:r>
      <w:r w:rsidR="00E95776" w:rsidRPr="00F604CF">
        <w:rPr>
          <w:rFonts w:cs="Arial"/>
        </w:rPr>
        <w:t xml:space="preserve">9 y el </w:t>
      </w:r>
      <w:r w:rsidR="0037640A" w:rsidRPr="00F604CF">
        <w:rPr>
          <w:rFonts w:cs="Arial"/>
        </w:rPr>
        <w:t>12 de agosto de 2005</w:t>
      </w:r>
      <w:r w:rsidR="007A5D7D" w:rsidRPr="00F604CF">
        <w:rPr>
          <w:rStyle w:val="Refdenotaalpie"/>
          <w:rFonts w:cs="Arial"/>
        </w:rPr>
        <w:footnoteReference w:id="74"/>
      </w:r>
      <w:r w:rsidR="0037640A" w:rsidRPr="00F604CF">
        <w:rPr>
          <w:rFonts w:cs="Arial"/>
        </w:rPr>
        <w:t>, pe</w:t>
      </w:r>
      <w:r w:rsidR="00067025" w:rsidRPr="00F604CF">
        <w:rPr>
          <w:rFonts w:cs="Arial"/>
        </w:rPr>
        <w:t xml:space="preserve">ro luego, </w:t>
      </w:r>
      <w:r w:rsidR="00094C09" w:rsidRPr="00F604CF">
        <w:rPr>
          <w:rFonts w:cs="Arial"/>
        </w:rPr>
        <w:t>para el caso de la sociedad Representaciones y Ediciones Eliber Ltda</w:t>
      </w:r>
      <w:r w:rsidR="00BD385B" w:rsidRPr="00F604CF">
        <w:rPr>
          <w:rFonts w:cs="Arial"/>
        </w:rPr>
        <w:t xml:space="preserve">, se presentaron nuevos certificados con variaciones de importancia en las cifras destinadas a servir como base de la calificación financiera. </w:t>
      </w:r>
    </w:p>
    <w:p w14:paraId="35C0B28F" w14:textId="77777777" w:rsidR="000D751E" w:rsidRPr="00F604CF" w:rsidRDefault="000D751E" w:rsidP="00F604CF">
      <w:pPr>
        <w:pStyle w:val="Lista2"/>
        <w:ind w:left="0" w:firstLine="0"/>
        <w:rPr>
          <w:rFonts w:cs="Arial"/>
        </w:rPr>
      </w:pPr>
    </w:p>
    <w:p w14:paraId="3C8EF17D" w14:textId="77777777" w:rsidR="00FD741F" w:rsidRPr="00F604CF" w:rsidRDefault="00296B39" w:rsidP="00F604CF">
      <w:pPr>
        <w:pStyle w:val="Lista2"/>
        <w:ind w:left="0" w:firstLine="0"/>
        <w:rPr>
          <w:rFonts w:cs="Arial"/>
        </w:rPr>
      </w:pPr>
      <w:r w:rsidRPr="00F604CF">
        <w:rPr>
          <w:rFonts w:cs="Arial"/>
        </w:rPr>
        <w:t>Sin embargo</w:t>
      </w:r>
      <w:r w:rsidR="00620E08" w:rsidRPr="00F604CF">
        <w:rPr>
          <w:rFonts w:cs="Arial"/>
        </w:rPr>
        <w:t>,</w:t>
      </w:r>
      <w:r w:rsidRPr="00F604CF">
        <w:rPr>
          <w:rFonts w:cs="Arial"/>
        </w:rPr>
        <w:t xml:space="preserve"> de la prueba de </w:t>
      </w:r>
      <w:r w:rsidR="003304AA" w:rsidRPr="00F604CF">
        <w:rPr>
          <w:rFonts w:cs="Arial"/>
        </w:rPr>
        <w:t xml:space="preserve">los primeros </w:t>
      </w:r>
      <w:r w:rsidR="00E95776" w:rsidRPr="00F604CF">
        <w:rPr>
          <w:rFonts w:cs="Arial"/>
        </w:rPr>
        <w:t xml:space="preserve">certificados </w:t>
      </w:r>
      <w:r w:rsidR="003304AA" w:rsidRPr="00F604CF">
        <w:rPr>
          <w:rFonts w:cs="Arial"/>
        </w:rPr>
        <w:t xml:space="preserve">que fueron aportados </w:t>
      </w:r>
      <w:r w:rsidR="00DD0888" w:rsidRPr="00F604CF">
        <w:rPr>
          <w:rFonts w:cs="Arial"/>
        </w:rPr>
        <w:t xml:space="preserve">con la presentación de la propuesta </w:t>
      </w:r>
      <w:r w:rsidR="003304AA" w:rsidRPr="00F604CF">
        <w:rPr>
          <w:rFonts w:cs="Arial"/>
        </w:rPr>
        <w:t xml:space="preserve">no </w:t>
      </w:r>
      <w:r w:rsidR="00E95776" w:rsidRPr="00F604CF">
        <w:rPr>
          <w:rFonts w:cs="Arial"/>
        </w:rPr>
        <w:t xml:space="preserve">puede inferirse la fecha </w:t>
      </w:r>
      <w:r w:rsidRPr="00F604CF">
        <w:rPr>
          <w:rFonts w:cs="Arial"/>
        </w:rPr>
        <w:t xml:space="preserve">en que </w:t>
      </w:r>
      <w:r w:rsidR="000D751E" w:rsidRPr="00F604CF">
        <w:rPr>
          <w:rFonts w:cs="Arial"/>
        </w:rPr>
        <w:t xml:space="preserve">las personas naturales </w:t>
      </w:r>
      <w:r w:rsidRPr="00F604CF">
        <w:rPr>
          <w:rFonts w:cs="Arial"/>
        </w:rPr>
        <w:t xml:space="preserve">miembros de la Unión Temporal Calimeño </w:t>
      </w:r>
      <w:r w:rsidR="00E95776" w:rsidRPr="00F604CF">
        <w:rPr>
          <w:rFonts w:cs="Arial"/>
        </w:rPr>
        <w:t xml:space="preserve">realizaron </w:t>
      </w:r>
      <w:r w:rsidRPr="00F604CF">
        <w:rPr>
          <w:rFonts w:cs="Arial"/>
        </w:rPr>
        <w:t>la</w:t>
      </w:r>
      <w:r w:rsidR="00E95776" w:rsidRPr="00F604CF">
        <w:rPr>
          <w:rFonts w:cs="Arial"/>
        </w:rPr>
        <w:t xml:space="preserve"> actualiza</w:t>
      </w:r>
      <w:r w:rsidRPr="00F604CF">
        <w:rPr>
          <w:rFonts w:cs="Arial"/>
        </w:rPr>
        <w:t xml:space="preserve">ción </w:t>
      </w:r>
      <w:r w:rsidR="000D751E" w:rsidRPr="00F604CF">
        <w:rPr>
          <w:rFonts w:cs="Arial"/>
        </w:rPr>
        <w:t xml:space="preserve">y modificación </w:t>
      </w:r>
      <w:r w:rsidRPr="00F604CF">
        <w:rPr>
          <w:rFonts w:cs="Arial"/>
        </w:rPr>
        <w:t xml:space="preserve">del </w:t>
      </w:r>
      <w:r w:rsidR="00E95776" w:rsidRPr="00F604CF">
        <w:rPr>
          <w:rFonts w:cs="Arial"/>
        </w:rPr>
        <w:t>RUP</w:t>
      </w:r>
      <w:r w:rsidR="002732C1" w:rsidRPr="00F604CF">
        <w:rPr>
          <w:rFonts w:cs="Arial"/>
        </w:rPr>
        <w:t xml:space="preserve"> </w:t>
      </w:r>
      <w:r w:rsidRPr="00F604CF">
        <w:rPr>
          <w:rFonts w:cs="Arial"/>
        </w:rPr>
        <w:t xml:space="preserve">para clasificarse como proveedores en </w:t>
      </w:r>
      <w:r w:rsidR="002732C1" w:rsidRPr="00F604CF">
        <w:rPr>
          <w:rFonts w:cs="Arial"/>
        </w:rPr>
        <w:t>la actividad editorial</w:t>
      </w:r>
      <w:r w:rsidR="00BD385B" w:rsidRPr="00F604CF">
        <w:rPr>
          <w:rFonts w:cs="Arial"/>
        </w:rPr>
        <w:t xml:space="preserve">, toda vez que </w:t>
      </w:r>
      <w:r w:rsidR="00641E88" w:rsidRPr="00F604CF">
        <w:rPr>
          <w:rFonts w:cs="Arial"/>
        </w:rPr>
        <w:t xml:space="preserve">esos certificados no presentan un registro cronológico de las modificaciones de datos. </w:t>
      </w:r>
    </w:p>
    <w:p w14:paraId="52D32492" w14:textId="77777777" w:rsidR="00FD741F" w:rsidRPr="00F604CF" w:rsidRDefault="00FD741F" w:rsidP="00F604CF">
      <w:pPr>
        <w:pStyle w:val="Lista2"/>
        <w:ind w:left="0" w:firstLine="0"/>
        <w:rPr>
          <w:rFonts w:cs="Arial"/>
        </w:rPr>
      </w:pPr>
    </w:p>
    <w:p w14:paraId="092EDEEB" w14:textId="77777777" w:rsidR="00FF4064" w:rsidRPr="00F604CF" w:rsidRDefault="00641E88" w:rsidP="00F604CF">
      <w:pPr>
        <w:pStyle w:val="Lista2"/>
        <w:ind w:left="0" w:firstLine="0"/>
        <w:rPr>
          <w:rFonts w:cs="Arial"/>
        </w:rPr>
      </w:pPr>
      <w:r w:rsidRPr="00F604CF">
        <w:rPr>
          <w:rFonts w:cs="Arial"/>
        </w:rPr>
        <w:t xml:space="preserve">También se observa que en el curso del proceso precontractual </w:t>
      </w:r>
      <w:r w:rsidR="00FD741F" w:rsidRPr="00F604CF">
        <w:rPr>
          <w:rFonts w:cs="Arial"/>
        </w:rPr>
        <w:t xml:space="preserve">los señores </w:t>
      </w:r>
      <w:r w:rsidR="00BD385B" w:rsidRPr="00F604CF">
        <w:rPr>
          <w:rFonts w:cs="Arial"/>
        </w:rPr>
        <w:t>Huber Ricardo Hoyos y Alexánder Solarte Ordoñez presentaron nuevos estados fina</w:t>
      </w:r>
      <w:r w:rsidR="00FF4064" w:rsidRPr="00F604CF">
        <w:rPr>
          <w:rFonts w:cs="Arial"/>
        </w:rPr>
        <w:t>n</w:t>
      </w:r>
      <w:r w:rsidR="00BD385B" w:rsidRPr="00F604CF">
        <w:rPr>
          <w:rFonts w:cs="Arial"/>
        </w:rPr>
        <w:t>cieros</w:t>
      </w:r>
      <w:r w:rsidR="00FF4064" w:rsidRPr="00F604CF">
        <w:rPr>
          <w:rFonts w:cs="Arial"/>
        </w:rPr>
        <w:t>, con corte al 31 de julio de 2005</w:t>
      </w:r>
      <w:r w:rsidR="00403F3A" w:rsidRPr="00F604CF">
        <w:rPr>
          <w:rStyle w:val="Refdenotaalpie"/>
          <w:rFonts w:cs="Arial"/>
        </w:rPr>
        <w:footnoteReference w:id="75"/>
      </w:r>
      <w:r w:rsidR="00FF4064" w:rsidRPr="00F604CF">
        <w:rPr>
          <w:rFonts w:cs="Arial"/>
        </w:rPr>
        <w:t>, pero no modificaron los certificados del R</w:t>
      </w:r>
      <w:r w:rsidR="005C35B2" w:rsidRPr="00F604CF">
        <w:rPr>
          <w:rFonts w:cs="Arial"/>
        </w:rPr>
        <w:t>.</w:t>
      </w:r>
      <w:r w:rsidR="00FF4064" w:rsidRPr="00F604CF">
        <w:rPr>
          <w:rFonts w:cs="Arial"/>
        </w:rPr>
        <w:t>U</w:t>
      </w:r>
      <w:r w:rsidR="005C35B2" w:rsidRPr="00F604CF">
        <w:rPr>
          <w:rFonts w:cs="Arial"/>
        </w:rPr>
        <w:t>.</w:t>
      </w:r>
      <w:r w:rsidR="00FF4064" w:rsidRPr="00F604CF">
        <w:rPr>
          <w:rFonts w:cs="Arial"/>
        </w:rPr>
        <w:t>P</w:t>
      </w:r>
      <w:r w:rsidR="005C35B2" w:rsidRPr="00F604CF">
        <w:rPr>
          <w:rFonts w:cs="Arial"/>
        </w:rPr>
        <w:t>.</w:t>
      </w:r>
      <w:r w:rsidRPr="00F604CF">
        <w:rPr>
          <w:rFonts w:cs="Arial"/>
        </w:rPr>
        <w:t xml:space="preserve"> que adjuntaron con la propuesta inicial</w:t>
      </w:r>
      <w:r w:rsidR="00FD741F" w:rsidRPr="00F604CF">
        <w:rPr>
          <w:rFonts w:cs="Arial"/>
        </w:rPr>
        <w:t>, de manera que</w:t>
      </w:r>
      <w:r w:rsidR="005C35B2" w:rsidRPr="00F604CF">
        <w:rPr>
          <w:rFonts w:cs="Arial"/>
        </w:rPr>
        <w:t>, para el asunto que ahora se examina, debe aceptarse que</w:t>
      </w:r>
      <w:r w:rsidR="00FD741F" w:rsidRPr="00F604CF">
        <w:rPr>
          <w:rFonts w:cs="Arial"/>
        </w:rPr>
        <w:t xml:space="preserve"> estaban inscritos en la especialidad 10, grupo 3 para </w:t>
      </w:r>
      <w:r w:rsidR="00AE7D77" w:rsidRPr="00F604CF">
        <w:rPr>
          <w:rFonts w:cs="Arial"/>
        </w:rPr>
        <w:t xml:space="preserve">la fecha en que </w:t>
      </w:r>
      <w:r w:rsidR="00FD741F" w:rsidRPr="00F604CF">
        <w:rPr>
          <w:rFonts w:cs="Arial"/>
        </w:rPr>
        <w:t>presentaron la propuesta.</w:t>
      </w:r>
    </w:p>
    <w:p w14:paraId="662A83BB" w14:textId="77777777" w:rsidR="00E51E65" w:rsidRPr="00F604CF" w:rsidRDefault="00E51E65" w:rsidP="00F604CF">
      <w:pPr>
        <w:pStyle w:val="Lista2"/>
        <w:ind w:left="0" w:firstLine="0"/>
        <w:rPr>
          <w:rFonts w:cs="Arial"/>
        </w:rPr>
      </w:pPr>
    </w:p>
    <w:p w14:paraId="080C9D24" w14:textId="77777777" w:rsidR="008F6264" w:rsidRPr="00F604CF" w:rsidRDefault="008F6264" w:rsidP="00F604CF">
      <w:pPr>
        <w:pStyle w:val="Lista2"/>
        <w:ind w:left="0" w:firstLine="0"/>
        <w:rPr>
          <w:rFonts w:cs="Arial"/>
        </w:rPr>
      </w:pPr>
      <w:r w:rsidRPr="00F604CF">
        <w:rPr>
          <w:rFonts w:cs="Arial"/>
        </w:rPr>
        <w:t xml:space="preserve">Ahora bien, en relación con la experiencia específica, </w:t>
      </w:r>
      <w:r w:rsidR="00403F3A" w:rsidRPr="00F604CF">
        <w:rPr>
          <w:rFonts w:cs="Arial"/>
        </w:rPr>
        <w:t>en el pliego d</w:t>
      </w:r>
      <w:r w:rsidR="00FD741F" w:rsidRPr="00F604CF">
        <w:rPr>
          <w:rFonts w:cs="Arial"/>
        </w:rPr>
        <w:t>e</w:t>
      </w:r>
      <w:r w:rsidR="00403F3A" w:rsidRPr="00F604CF">
        <w:rPr>
          <w:rFonts w:cs="Arial"/>
        </w:rPr>
        <w:t xml:space="preserve"> condiciones </w:t>
      </w:r>
      <w:r w:rsidRPr="00F604CF">
        <w:rPr>
          <w:rFonts w:cs="Arial"/>
        </w:rPr>
        <w:t xml:space="preserve">no se exigió que todos y cada uno de los miembros de la unión temporal tuvieran que acreditarla. </w:t>
      </w:r>
      <w:r w:rsidR="00FD741F" w:rsidRPr="00F604CF">
        <w:rPr>
          <w:rFonts w:cs="Arial"/>
        </w:rPr>
        <w:t xml:space="preserve">El factor de calificación se </w:t>
      </w:r>
      <w:r w:rsidRPr="00F604CF">
        <w:rPr>
          <w:rFonts w:cs="Arial"/>
        </w:rPr>
        <w:t xml:space="preserve">estableció </w:t>
      </w:r>
      <w:r w:rsidR="00A43D93" w:rsidRPr="00F604CF">
        <w:rPr>
          <w:rFonts w:cs="Arial"/>
        </w:rPr>
        <w:t xml:space="preserve">con fundamento en </w:t>
      </w:r>
      <w:r w:rsidRPr="00F604CF">
        <w:rPr>
          <w:rFonts w:cs="Arial"/>
        </w:rPr>
        <w:t>la sumatoria de los contratos</w:t>
      </w:r>
      <w:r w:rsidR="00AE7D77" w:rsidRPr="00F604CF">
        <w:rPr>
          <w:rFonts w:cs="Arial"/>
        </w:rPr>
        <w:t xml:space="preserve"> acreditados por los distintos miembros, </w:t>
      </w:r>
      <w:r w:rsidRPr="00F604CF">
        <w:rPr>
          <w:rFonts w:cs="Arial"/>
        </w:rPr>
        <w:t xml:space="preserve">de la siguiente forma: </w:t>
      </w:r>
    </w:p>
    <w:p w14:paraId="66F51962" w14:textId="77777777" w:rsidR="008F6264" w:rsidRPr="00F604CF" w:rsidRDefault="008F6264" w:rsidP="00F604CF">
      <w:pPr>
        <w:pStyle w:val="Lista2"/>
        <w:ind w:left="0" w:firstLine="0"/>
        <w:rPr>
          <w:rFonts w:cs="Arial"/>
        </w:rPr>
      </w:pPr>
    </w:p>
    <w:p w14:paraId="63DBC45A" w14:textId="77777777" w:rsidR="00403F3A" w:rsidRPr="00F604CF" w:rsidRDefault="00641E88" w:rsidP="00F604CF">
      <w:pPr>
        <w:pStyle w:val="Lista2"/>
        <w:spacing w:line="276" w:lineRule="auto"/>
        <w:ind w:left="0" w:firstLine="0"/>
        <w:rPr>
          <w:rFonts w:cs="Arial"/>
          <w:i/>
        </w:rPr>
      </w:pPr>
      <w:r w:rsidRPr="00F604CF">
        <w:rPr>
          <w:rFonts w:cs="Arial"/>
          <w:i/>
        </w:rPr>
        <w:t xml:space="preserve">“En el caso de consorcios o </w:t>
      </w:r>
      <w:r w:rsidR="00403F3A" w:rsidRPr="00F604CF">
        <w:rPr>
          <w:rFonts w:cs="Arial"/>
          <w:i/>
        </w:rPr>
        <w:t>uniones temporales, la experiencia se determinará mediante la sumatoria de los contratos ejecutados de todos los integrantes del consorcio o unión temporal, que cumplan con las condiciones establecidas en el presente numeral”</w:t>
      </w:r>
      <w:r w:rsidR="00A43D93" w:rsidRPr="00F604CF">
        <w:rPr>
          <w:rStyle w:val="Refdenotaalpie"/>
          <w:rFonts w:cs="Arial"/>
          <w:i/>
        </w:rPr>
        <w:footnoteReference w:id="76"/>
      </w:r>
      <w:r w:rsidR="00403F3A" w:rsidRPr="00F604CF">
        <w:rPr>
          <w:rFonts w:cs="Arial"/>
          <w:i/>
        </w:rPr>
        <w:t>.</w:t>
      </w:r>
    </w:p>
    <w:p w14:paraId="0108A54A" w14:textId="77777777" w:rsidR="00403F3A" w:rsidRPr="00F604CF" w:rsidRDefault="00403F3A" w:rsidP="00F604CF">
      <w:pPr>
        <w:pStyle w:val="Lista2"/>
        <w:ind w:left="0" w:firstLine="0"/>
        <w:rPr>
          <w:rFonts w:cs="Arial"/>
        </w:rPr>
      </w:pPr>
    </w:p>
    <w:p w14:paraId="43B9AD46" w14:textId="77777777" w:rsidR="00886F1A" w:rsidRPr="00F604CF" w:rsidRDefault="00E51E65" w:rsidP="00F604CF">
      <w:pPr>
        <w:pStyle w:val="Lista2"/>
        <w:ind w:left="0" w:firstLine="0"/>
        <w:rPr>
          <w:rFonts w:cs="Arial"/>
        </w:rPr>
      </w:pPr>
      <w:r w:rsidRPr="00F604CF">
        <w:rPr>
          <w:rFonts w:cs="Arial"/>
        </w:rPr>
        <w:t xml:space="preserve">Como conclusión, </w:t>
      </w:r>
      <w:r w:rsidR="00620E08" w:rsidRPr="00F604CF">
        <w:rPr>
          <w:rFonts w:cs="Arial"/>
        </w:rPr>
        <w:t xml:space="preserve">teniendo en cuenta que </w:t>
      </w:r>
      <w:r w:rsidRPr="00F604CF">
        <w:rPr>
          <w:rFonts w:cs="Arial"/>
        </w:rPr>
        <w:t>la sociedad Representaciones y Ediciones Eliber Ltda</w:t>
      </w:r>
      <w:r w:rsidR="00FF4064" w:rsidRPr="00F604CF">
        <w:rPr>
          <w:rFonts w:cs="Arial"/>
        </w:rPr>
        <w:t xml:space="preserve"> SÍ </w:t>
      </w:r>
      <w:r w:rsidRPr="00F604CF">
        <w:rPr>
          <w:rFonts w:cs="Arial"/>
        </w:rPr>
        <w:t>acreditó la antigüedad y la experiencia en el sector</w:t>
      </w:r>
      <w:r w:rsidR="00296FED" w:rsidRPr="00F604CF">
        <w:rPr>
          <w:rFonts w:cs="Arial"/>
        </w:rPr>
        <w:t xml:space="preserve"> editorial</w:t>
      </w:r>
      <w:r w:rsidR="00886F1A" w:rsidRPr="00F604CF">
        <w:rPr>
          <w:rStyle w:val="Refdenotaalpie"/>
          <w:rFonts w:cs="Arial"/>
        </w:rPr>
        <w:footnoteReference w:id="77"/>
      </w:r>
      <w:r w:rsidRPr="00F604CF">
        <w:rPr>
          <w:rFonts w:cs="Arial"/>
        </w:rPr>
        <w:t xml:space="preserve">, </w:t>
      </w:r>
      <w:r w:rsidR="00886F1A" w:rsidRPr="00F604CF">
        <w:rPr>
          <w:rFonts w:cs="Arial"/>
        </w:rPr>
        <w:t>se rechazan los argumentos del apelante</w:t>
      </w:r>
      <w:r w:rsidR="00C81636" w:rsidRPr="00F604CF">
        <w:rPr>
          <w:rFonts w:cs="Arial"/>
        </w:rPr>
        <w:t xml:space="preserve"> en torno de la</w:t>
      </w:r>
      <w:r w:rsidR="00A43D93" w:rsidRPr="00F604CF">
        <w:rPr>
          <w:rFonts w:cs="Arial"/>
        </w:rPr>
        <w:t xml:space="preserve">s supuestas falencias en el requisito de la </w:t>
      </w:r>
      <w:r w:rsidR="00C81636" w:rsidRPr="00F604CF">
        <w:rPr>
          <w:rFonts w:cs="Arial"/>
        </w:rPr>
        <w:t>experiencia que acreditó la Unión Temporal Calimeño</w:t>
      </w:r>
      <w:r w:rsidR="00886F1A" w:rsidRPr="00F604CF">
        <w:rPr>
          <w:rFonts w:cs="Arial"/>
        </w:rPr>
        <w:t xml:space="preserve">. </w:t>
      </w:r>
    </w:p>
    <w:p w14:paraId="45392268" w14:textId="77777777" w:rsidR="00296FED" w:rsidRPr="00F604CF" w:rsidRDefault="00296FED" w:rsidP="00F604CF">
      <w:pPr>
        <w:pStyle w:val="Lista2"/>
        <w:ind w:left="0" w:firstLine="0"/>
        <w:rPr>
          <w:rFonts w:cs="Arial"/>
          <w:b/>
        </w:rPr>
      </w:pPr>
    </w:p>
    <w:p w14:paraId="3BE9DC21" w14:textId="77777777" w:rsidR="004E26B1" w:rsidRPr="00F604CF" w:rsidRDefault="000F0248" w:rsidP="00F604CF">
      <w:pPr>
        <w:pStyle w:val="Lista2"/>
        <w:ind w:left="0" w:firstLine="0"/>
        <w:rPr>
          <w:rFonts w:cs="Arial"/>
          <w:b/>
        </w:rPr>
      </w:pPr>
      <w:r w:rsidRPr="00F604CF">
        <w:rPr>
          <w:rFonts w:cs="Arial"/>
          <w:b/>
        </w:rPr>
        <w:t xml:space="preserve">6.6. </w:t>
      </w:r>
      <w:r w:rsidR="004E26B1" w:rsidRPr="00F604CF">
        <w:rPr>
          <w:rFonts w:cs="Arial"/>
          <w:b/>
        </w:rPr>
        <w:t>Saneamiento de los documentos de experiencia específica</w:t>
      </w:r>
    </w:p>
    <w:p w14:paraId="15AEAA7E" w14:textId="77777777" w:rsidR="004E26B1" w:rsidRPr="00F604CF" w:rsidRDefault="004E26B1" w:rsidP="00F604CF">
      <w:pPr>
        <w:pStyle w:val="Lista2"/>
        <w:ind w:left="0" w:firstLine="0"/>
        <w:rPr>
          <w:rFonts w:cs="Arial"/>
          <w:b/>
        </w:rPr>
      </w:pPr>
    </w:p>
    <w:p w14:paraId="68CF68B5" w14:textId="77777777" w:rsidR="00F11492" w:rsidRPr="00F604CF" w:rsidRDefault="00F11492" w:rsidP="00F604CF">
      <w:pPr>
        <w:pStyle w:val="Lista2"/>
        <w:ind w:left="0" w:firstLine="0"/>
        <w:rPr>
          <w:rFonts w:cs="Arial"/>
        </w:rPr>
      </w:pPr>
      <w:r w:rsidRPr="00F604CF">
        <w:rPr>
          <w:rFonts w:cs="Arial"/>
        </w:rPr>
        <w:t>Mediante comunicación de 31 de agosto</w:t>
      </w:r>
      <w:r w:rsidR="00691163" w:rsidRPr="00F604CF">
        <w:rPr>
          <w:rFonts w:cs="Arial"/>
        </w:rPr>
        <w:t xml:space="preserve"> </w:t>
      </w:r>
      <w:r w:rsidR="0001291A" w:rsidRPr="00F604CF">
        <w:rPr>
          <w:rFonts w:cs="Arial"/>
        </w:rPr>
        <w:t xml:space="preserve">de 2005, </w:t>
      </w:r>
      <w:r w:rsidR="00691163" w:rsidRPr="00F604CF">
        <w:rPr>
          <w:rFonts w:cs="Arial"/>
        </w:rPr>
        <w:t>suscrita por uno de los miembros del comité evaluador</w:t>
      </w:r>
      <w:r w:rsidRPr="00F604CF">
        <w:rPr>
          <w:rFonts w:cs="Arial"/>
        </w:rPr>
        <w:t xml:space="preserve">, </w:t>
      </w:r>
      <w:r w:rsidR="00620E08" w:rsidRPr="00F604CF">
        <w:rPr>
          <w:rFonts w:cs="Arial"/>
        </w:rPr>
        <w:t>se</w:t>
      </w:r>
      <w:r w:rsidRPr="00F604CF">
        <w:rPr>
          <w:rFonts w:cs="Arial"/>
        </w:rPr>
        <w:t xml:space="preserve"> </w:t>
      </w:r>
      <w:r w:rsidR="00691163" w:rsidRPr="00F604CF">
        <w:rPr>
          <w:rFonts w:cs="Arial"/>
        </w:rPr>
        <w:t xml:space="preserve">citó al representante de Unión Temporal Calimeño, </w:t>
      </w:r>
      <w:r w:rsidR="001E338B" w:rsidRPr="00F604CF">
        <w:rPr>
          <w:rFonts w:cs="Arial"/>
        </w:rPr>
        <w:t xml:space="preserve">en la siguiente forma (se transcribe </w:t>
      </w:r>
      <w:r w:rsidR="0001291A" w:rsidRPr="00F604CF">
        <w:rPr>
          <w:rFonts w:cs="Arial"/>
        </w:rPr>
        <w:t>textualmente</w:t>
      </w:r>
      <w:r w:rsidR="001E338B" w:rsidRPr="00F604CF">
        <w:rPr>
          <w:rFonts w:cs="Arial"/>
        </w:rPr>
        <w:t>, incluso con posibles errores)</w:t>
      </w:r>
      <w:r w:rsidR="00691163" w:rsidRPr="00F604CF">
        <w:rPr>
          <w:rFonts w:cs="Arial"/>
        </w:rPr>
        <w:t xml:space="preserve">: </w:t>
      </w:r>
    </w:p>
    <w:p w14:paraId="77F0C5C9" w14:textId="77777777" w:rsidR="00691163" w:rsidRPr="00F604CF" w:rsidRDefault="00691163" w:rsidP="00F604CF">
      <w:pPr>
        <w:pStyle w:val="Lista2"/>
        <w:spacing w:line="276" w:lineRule="auto"/>
        <w:ind w:left="0" w:firstLine="0"/>
        <w:rPr>
          <w:rFonts w:cs="Arial"/>
        </w:rPr>
      </w:pPr>
    </w:p>
    <w:p w14:paraId="6AE0AEA5" w14:textId="77777777" w:rsidR="00691163" w:rsidRPr="00F604CF" w:rsidRDefault="00F11492" w:rsidP="00F604CF">
      <w:pPr>
        <w:pStyle w:val="Lista2"/>
        <w:spacing w:line="276" w:lineRule="auto"/>
        <w:ind w:left="0" w:firstLine="0"/>
        <w:rPr>
          <w:rFonts w:cs="Arial"/>
          <w:i/>
        </w:rPr>
      </w:pPr>
      <w:r w:rsidRPr="00F604CF">
        <w:rPr>
          <w:rFonts w:cs="Arial"/>
          <w:i/>
        </w:rPr>
        <w:t>“</w:t>
      </w:r>
      <w:r w:rsidR="00691163" w:rsidRPr="00F604CF">
        <w:rPr>
          <w:rFonts w:cs="Arial"/>
          <w:i/>
        </w:rPr>
        <w:t>CITARLO, a fin de que se sirvan ACLARAR</w:t>
      </w:r>
      <w:r w:rsidRPr="00F604CF">
        <w:rPr>
          <w:rFonts w:cs="Arial"/>
          <w:i/>
        </w:rPr>
        <w:t xml:space="preserve"> la acreditación de experiencia en relación con los contrato 085 de 2004 suscrito entre la unión temporal ELIBER –INDUSTRIAS DIDÁCTICAS URANTÍA LTDA, el que se encuentra acreditado con valores no concordantes</w:t>
      </w:r>
      <w:r w:rsidR="00C857A4" w:rsidRPr="00F604CF">
        <w:rPr>
          <w:rFonts w:cs="Arial"/>
          <w:i/>
        </w:rPr>
        <w:t xml:space="preserve"> entre el contrato y su certificación; además deberá acreditar el porcentaje de participación de ELIBER LTDA en la unión temporal para efectos de determinar el porcentaje de experiencia, 002 suscrito entre la secretar</w:t>
      </w:r>
      <w:r w:rsidR="004240A5" w:rsidRPr="00F604CF">
        <w:rPr>
          <w:rFonts w:cs="Arial"/>
          <w:i/>
        </w:rPr>
        <w:t>í</w:t>
      </w:r>
      <w:r w:rsidR="00C857A4" w:rsidRPr="00F604CF">
        <w:rPr>
          <w:rFonts w:cs="Arial"/>
          <w:i/>
        </w:rPr>
        <w:t xml:space="preserve">a ejecutiva del Convenio Andrés Bello SECAB y ELIBER LTDA, por </w:t>
      </w:r>
      <w:r w:rsidR="004240A5" w:rsidRPr="00F604CF">
        <w:rPr>
          <w:rFonts w:cs="Arial"/>
          <w:i/>
        </w:rPr>
        <w:t>n</w:t>
      </w:r>
      <w:r w:rsidR="00C857A4" w:rsidRPr="00F604CF">
        <w:rPr>
          <w:rFonts w:cs="Arial"/>
          <w:i/>
        </w:rPr>
        <w:t>o concordar el valor</w:t>
      </w:r>
      <w:r w:rsidR="00691163" w:rsidRPr="00F604CF">
        <w:rPr>
          <w:rFonts w:cs="Arial"/>
          <w:i/>
        </w:rPr>
        <w:t xml:space="preserve"> del contrato con la certificación de cumplimiento”</w:t>
      </w:r>
      <w:r w:rsidR="001E338B" w:rsidRPr="00F604CF">
        <w:rPr>
          <w:rStyle w:val="Refdenotaalpie"/>
          <w:rFonts w:cs="Arial"/>
          <w:i/>
        </w:rPr>
        <w:footnoteReference w:id="78"/>
      </w:r>
      <w:r w:rsidR="00296FED" w:rsidRPr="00F604CF">
        <w:rPr>
          <w:rFonts w:cs="Arial"/>
          <w:i/>
        </w:rPr>
        <w:t>.</w:t>
      </w:r>
    </w:p>
    <w:p w14:paraId="4898EF3F" w14:textId="77777777" w:rsidR="00691163" w:rsidRPr="00F604CF" w:rsidRDefault="00691163" w:rsidP="00F604CF">
      <w:pPr>
        <w:pStyle w:val="Lista2"/>
        <w:ind w:left="0" w:firstLine="0"/>
        <w:rPr>
          <w:rFonts w:cs="Arial"/>
          <w:b/>
        </w:rPr>
      </w:pPr>
    </w:p>
    <w:p w14:paraId="2E1F0EBE" w14:textId="77777777" w:rsidR="00DC2FAA" w:rsidRPr="00F604CF" w:rsidRDefault="000026B9" w:rsidP="00F604CF">
      <w:pPr>
        <w:pStyle w:val="Lista2"/>
        <w:ind w:left="0" w:firstLine="0"/>
        <w:rPr>
          <w:rFonts w:cs="Arial"/>
        </w:rPr>
      </w:pPr>
      <w:r w:rsidRPr="00F604CF">
        <w:rPr>
          <w:rFonts w:cs="Arial"/>
        </w:rPr>
        <w:t xml:space="preserve">Mediante comunicación de 1º de septiembre de 2005 la </w:t>
      </w:r>
      <w:r w:rsidR="00694ECA" w:rsidRPr="00F604CF">
        <w:rPr>
          <w:rFonts w:cs="Arial"/>
        </w:rPr>
        <w:t>Unión Temporal Calimeño</w:t>
      </w:r>
      <w:r w:rsidR="00D44FDA" w:rsidRPr="00F604CF">
        <w:rPr>
          <w:rFonts w:cs="Arial"/>
        </w:rPr>
        <w:t>,</w:t>
      </w:r>
      <w:r w:rsidR="00694ECA" w:rsidRPr="00F604CF">
        <w:rPr>
          <w:rFonts w:cs="Arial"/>
        </w:rPr>
        <w:t xml:space="preserve"> </w:t>
      </w:r>
      <w:r w:rsidR="003A6ABF" w:rsidRPr="00F604CF">
        <w:rPr>
          <w:rFonts w:cs="Arial"/>
        </w:rPr>
        <w:t>obrando dentro del plazo fijado en el adendo modificatorio No. 1 de 29 de agosto de 2005</w:t>
      </w:r>
      <w:r w:rsidR="003A6ABF" w:rsidRPr="00F604CF">
        <w:rPr>
          <w:rStyle w:val="Refdenotaalpie"/>
          <w:rFonts w:cs="Arial"/>
        </w:rPr>
        <w:footnoteReference w:id="79"/>
      </w:r>
      <w:r w:rsidR="00D44FDA" w:rsidRPr="00F604CF">
        <w:rPr>
          <w:rFonts w:cs="Arial"/>
        </w:rPr>
        <w:t xml:space="preserve">, </w:t>
      </w:r>
      <w:r w:rsidR="0058237D" w:rsidRPr="00F604CF">
        <w:rPr>
          <w:rFonts w:cs="Arial"/>
        </w:rPr>
        <w:t xml:space="preserve">presentó: </w:t>
      </w:r>
      <w:r w:rsidR="002642AE" w:rsidRPr="00F604CF">
        <w:rPr>
          <w:rFonts w:cs="Arial"/>
          <w:b/>
        </w:rPr>
        <w:t>i)</w:t>
      </w:r>
      <w:r w:rsidR="002642AE" w:rsidRPr="00F604CF">
        <w:rPr>
          <w:rFonts w:cs="Arial"/>
        </w:rPr>
        <w:t xml:space="preserve"> </w:t>
      </w:r>
      <w:r w:rsidR="00694ECA" w:rsidRPr="00F604CF">
        <w:rPr>
          <w:rFonts w:cs="Arial"/>
        </w:rPr>
        <w:t>un documento contentivo del acuerdo de Unión Temporal celebrada con Industrias Didácticas Urant</w:t>
      </w:r>
      <w:r w:rsidR="004B5D00" w:rsidRPr="00F604CF">
        <w:rPr>
          <w:rFonts w:cs="Arial"/>
        </w:rPr>
        <w:t>í</w:t>
      </w:r>
      <w:r w:rsidR="00694ECA" w:rsidRPr="00F604CF">
        <w:rPr>
          <w:rFonts w:cs="Arial"/>
        </w:rPr>
        <w:t xml:space="preserve">a Ltda, en el cual se acreditó que </w:t>
      </w:r>
      <w:r w:rsidR="002642AE" w:rsidRPr="00F604CF">
        <w:rPr>
          <w:rFonts w:cs="Arial"/>
        </w:rPr>
        <w:t xml:space="preserve">Representaciones y Ediciones </w:t>
      </w:r>
      <w:r w:rsidR="00694ECA" w:rsidRPr="00F604CF">
        <w:rPr>
          <w:rFonts w:cs="Arial"/>
        </w:rPr>
        <w:t>El</w:t>
      </w:r>
      <w:r w:rsidR="002642AE" w:rsidRPr="00F604CF">
        <w:rPr>
          <w:rFonts w:cs="Arial"/>
        </w:rPr>
        <w:t>i</w:t>
      </w:r>
      <w:r w:rsidR="00694ECA" w:rsidRPr="00F604CF">
        <w:rPr>
          <w:rFonts w:cs="Arial"/>
        </w:rPr>
        <w:t>ber Ltda tenía el 38% de participación</w:t>
      </w:r>
      <w:r w:rsidR="00694ECA" w:rsidRPr="00F604CF">
        <w:rPr>
          <w:rStyle w:val="Refdenotaalpie"/>
          <w:rFonts w:cs="Arial"/>
        </w:rPr>
        <w:footnoteReference w:id="80"/>
      </w:r>
      <w:r w:rsidR="00313B27" w:rsidRPr="00F604CF">
        <w:rPr>
          <w:rFonts w:cs="Arial"/>
        </w:rPr>
        <w:t xml:space="preserve"> en esa unión temporal</w:t>
      </w:r>
      <w:r w:rsidR="002642AE" w:rsidRPr="00F604CF">
        <w:rPr>
          <w:rFonts w:cs="Arial"/>
        </w:rPr>
        <w:t xml:space="preserve"> y </w:t>
      </w:r>
      <w:r w:rsidR="002642AE" w:rsidRPr="00F604CF">
        <w:rPr>
          <w:rFonts w:cs="Arial"/>
          <w:b/>
        </w:rPr>
        <w:t>ii)</w:t>
      </w:r>
      <w:r w:rsidR="002642AE" w:rsidRPr="00F604CF">
        <w:rPr>
          <w:rFonts w:cs="Arial"/>
        </w:rPr>
        <w:t xml:space="preserve"> una certificación </w:t>
      </w:r>
      <w:r w:rsidR="0058237D" w:rsidRPr="00F604CF">
        <w:rPr>
          <w:rFonts w:cs="Arial"/>
        </w:rPr>
        <w:t>15 de agosto de 2005</w:t>
      </w:r>
      <w:r w:rsidR="0001291A" w:rsidRPr="00F604CF">
        <w:rPr>
          <w:rFonts w:cs="Arial"/>
        </w:rPr>
        <w:t>,</w:t>
      </w:r>
      <w:r w:rsidR="0058237D" w:rsidRPr="00F604CF">
        <w:rPr>
          <w:rFonts w:cs="Arial"/>
        </w:rPr>
        <w:t xml:space="preserve"> expedida por la </w:t>
      </w:r>
      <w:r w:rsidR="0001291A" w:rsidRPr="00F604CF">
        <w:rPr>
          <w:rFonts w:cs="Arial"/>
        </w:rPr>
        <w:t>S</w:t>
      </w:r>
      <w:r w:rsidR="0058237D" w:rsidRPr="00F604CF">
        <w:rPr>
          <w:rFonts w:cs="Arial"/>
        </w:rPr>
        <w:t xml:space="preserve">ubdirectora de </w:t>
      </w:r>
      <w:r w:rsidR="0001291A" w:rsidRPr="00F604CF">
        <w:rPr>
          <w:rFonts w:cs="Arial"/>
        </w:rPr>
        <w:t>P</w:t>
      </w:r>
      <w:r w:rsidR="0058237D" w:rsidRPr="00F604CF">
        <w:rPr>
          <w:rFonts w:cs="Arial"/>
        </w:rPr>
        <w:t xml:space="preserve">oblaciones del Ministerio de Educación, en la cual </w:t>
      </w:r>
      <w:r w:rsidR="0001291A" w:rsidRPr="00F604CF">
        <w:rPr>
          <w:rFonts w:cs="Arial"/>
        </w:rPr>
        <w:t xml:space="preserve">se precisaron </w:t>
      </w:r>
      <w:r w:rsidR="0040742A" w:rsidRPr="00F604CF">
        <w:rPr>
          <w:rFonts w:cs="Arial"/>
        </w:rPr>
        <w:t>los números y valores de los contratos 002/04 suscrito por la SECAB dentro del convenio 125/01</w:t>
      </w:r>
      <w:r w:rsidR="004240A5" w:rsidRPr="00F604CF">
        <w:rPr>
          <w:rFonts w:cs="Arial"/>
        </w:rPr>
        <w:t>,</w:t>
      </w:r>
      <w:r w:rsidR="0040742A" w:rsidRPr="00F604CF">
        <w:rPr>
          <w:rFonts w:cs="Arial"/>
        </w:rPr>
        <w:t xml:space="preserve"> y 085 de 2004</w:t>
      </w:r>
      <w:r w:rsidR="00202754" w:rsidRPr="00F604CF">
        <w:rPr>
          <w:rFonts w:cs="Arial"/>
        </w:rPr>
        <w:t>,</w:t>
      </w:r>
      <w:r w:rsidR="0040742A" w:rsidRPr="00F604CF">
        <w:rPr>
          <w:rFonts w:cs="Arial"/>
        </w:rPr>
        <w:t xml:space="preserve"> suscrito entre el citado Ministerio </w:t>
      </w:r>
      <w:r w:rsidR="00313B27" w:rsidRPr="00F604CF">
        <w:rPr>
          <w:rFonts w:cs="Arial"/>
        </w:rPr>
        <w:t xml:space="preserve">de Educación </w:t>
      </w:r>
      <w:r w:rsidR="0040742A" w:rsidRPr="00F604CF">
        <w:rPr>
          <w:rFonts w:cs="Arial"/>
        </w:rPr>
        <w:t xml:space="preserve">y la </w:t>
      </w:r>
      <w:r w:rsidR="00DC2FAA" w:rsidRPr="00F604CF">
        <w:rPr>
          <w:rFonts w:cs="Arial"/>
        </w:rPr>
        <w:t>Unión Temporal integrada por Representaciones y Ediciones Eliber Ltda e Industrias Didácticas Urant</w:t>
      </w:r>
      <w:r w:rsidR="004B5D00" w:rsidRPr="00F604CF">
        <w:rPr>
          <w:rFonts w:cs="Arial"/>
        </w:rPr>
        <w:t>í</w:t>
      </w:r>
      <w:r w:rsidR="00DC2FAA" w:rsidRPr="00F604CF">
        <w:rPr>
          <w:rFonts w:cs="Arial"/>
        </w:rPr>
        <w:t>a Ltda.</w:t>
      </w:r>
    </w:p>
    <w:p w14:paraId="7885541B" w14:textId="77777777" w:rsidR="00DC2FAA" w:rsidRPr="00F604CF" w:rsidRDefault="00DC2FAA" w:rsidP="00F604CF">
      <w:pPr>
        <w:pStyle w:val="Lista2"/>
        <w:ind w:left="0" w:firstLine="0"/>
        <w:rPr>
          <w:rFonts w:cs="Arial"/>
        </w:rPr>
      </w:pPr>
    </w:p>
    <w:p w14:paraId="2DF87BC8" w14:textId="77777777" w:rsidR="00313B27" w:rsidRPr="00F604CF" w:rsidRDefault="00F8358D" w:rsidP="00F604CF">
      <w:pPr>
        <w:pStyle w:val="Lista2"/>
        <w:ind w:left="0" w:firstLine="0"/>
        <w:rPr>
          <w:rFonts w:cs="Arial"/>
        </w:rPr>
      </w:pPr>
      <w:r w:rsidRPr="00F604CF">
        <w:rPr>
          <w:rFonts w:cs="Arial"/>
        </w:rPr>
        <w:t xml:space="preserve">Por ello, en cuanto se refiere al saneamiento de las certificaciones de experiencia, se encuentra debidamente aplicado el numeral 15 del artículo 25 de la </w:t>
      </w:r>
      <w:r w:rsidR="00313B27" w:rsidRPr="00F604CF">
        <w:rPr>
          <w:rFonts w:cs="Arial"/>
        </w:rPr>
        <w:t>L</w:t>
      </w:r>
      <w:r w:rsidRPr="00F604CF">
        <w:rPr>
          <w:rFonts w:cs="Arial"/>
        </w:rPr>
        <w:t xml:space="preserve">ey 80 de 1993, </w:t>
      </w:r>
      <w:r w:rsidR="00482742" w:rsidRPr="00F604CF">
        <w:rPr>
          <w:rFonts w:cs="Arial"/>
        </w:rPr>
        <w:t xml:space="preserve">toda vez </w:t>
      </w:r>
      <w:r w:rsidRPr="00F604CF">
        <w:rPr>
          <w:rFonts w:cs="Arial"/>
        </w:rPr>
        <w:t xml:space="preserve">que </w:t>
      </w:r>
      <w:r w:rsidR="0037325E" w:rsidRPr="00F604CF">
        <w:rPr>
          <w:rFonts w:cs="Arial"/>
        </w:rPr>
        <w:t xml:space="preserve">no era procedente el rechazo de </w:t>
      </w:r>
      <w:r w:rsidR="00FE0D49" w:rsidRPr="00F604CF">
        <w:rPr>
          <w:rFonts w:cs="Arial"/>
        </w:rPr>
        <w:t xml:space="preserve">plano de </w:t>
      </w:r>
      <w:r w:rsidR="0037325E" w:rsidRPr="00F604CF">
        <w:rPr>
          <w:rFonts w:cs="Arial"/>
        </w:rPr>
        <w:t>la</w:t>
      </w:r>
      <w:r w:rsidR="00FE0D49" w:rsidRPr="00F604CF">
        <w:rPr>
          <w:rFonts w:cs="Arial"/>
        </w:rPr>
        <w:t>s</w:t>
      </w:r>
      <w:r w:rsidR="0037325E" w:rsidRPr="00F604CF">
        <w:rPr>
          <w:rFonts w:cs="Arial"/>
        </w:rPr>
        <w:t xml:space="preserve"> </w:t>
      </w:r>
      <w:r w:rsidR="00FE0D49" w:rsidRPr="00F604CF">
        <w:rPr>
          <w:rFonts w:cs="Arial"/>
        </w:rPr>
        <w:t xml:space="preserve">propuestas por el solo hecho de la </w:t>
      </w:r>
      <w:r w:rsidR="0037325E" w:rsidRPr="00F604CF">
        <w:rPr>
          <w:rFonts w:cs="Arial"/>
        </w:rPr>
        <w:t>falta de consistencia o de claridad entre los contratos y las certificaciones allegadas.</w:t>
      </w:r>
      <w:r w:rsidR="00A02D94" w:rsidRPr="00F604CF">
        <w:rPr>
          <w:rFonts w:cs="Arial"/>
        </w:rPr>
        <w:t xml:space="preserve"> </w:t>
      </w:r>
      <w:r w:rsidR="00FE0D49" w:rsidRPr="00F604CF">
        <w:rPr>
          <w:rFonts w:cs="Arial"/>
        </w:rPr>
        <w:t>Lo pertinente era pedir las aclaraciones, como en efecto se realizó.</w:t>
      </w:r>
    </w:p>
    <w:p w14:paraId="30B177C1" w14:textId="77777777" w:rsidR="00313B27" w:rsidRPr="00F604CF" w:rsidRDefault="00313B27" w:rsidP="00F604CF">
      <w:pPr>
        <w:pStyle w:val="Lista2"/>
        <w:ind w:left="0" w:firstLine="0"/>
        <w:rPr>
          <w:rFonts w:cs="Arial"/>
        </w:rPr>
      </w:pPr>
    </w:p>
    <w:p w14:paraId="234C079F" w14:textId="77777777" w:rsidR="00313B27" w:rsidRPr="00F604CF" w:rsidRDefault="00A02D94" w:rsidP="00F604CF">
      <w:pPr>
        <w:pStyle w:val="Lista2"/>
        <w:ind w:left="0" w:firstLine="0"/>
        <w:rPr>
          <w:rFonts w:cs="Arial"/>
        </w:rPr>
      </w:pPr>
      <w:r w:rsidRPr="00F604CF">
        <w:rPr>
          <w:rFonts w:cs="Arial"/>
        </w:rPr>
        <w:t xml:space="preserve">Se hace constar que tanto el contrato 002 de </w:t>
      </w:r>
      <w:r w:rsidR="008C1A1C" w:rsidRPr="00F604CF">
        <w:rPr>
          <w:rFonts w:cs="Arial"/>
        </w:rPr>
        <w:t xml:space="preserve">2004 como el contrato </w:t>
      </w:r>
      <w:r w:rsidRPr="00F604CF">
        <w:rPr>
          <w:rFonts w:cs="Arial"/>
        </w:rPr>
        <w:t xml:space="preserve">085 de 2004 </w:t>
      </w:r>
      <w:r w:rsidR="006C4B4E" w:rsidRPr="00F604CF">
        <w:rPr>
          <w:rFonts w:cs="Arial"/>
        </w:rPr>
        <w:t xml:space="preserve">se encontraban </w:t>
      </w:r>
      <w:r w:rsidR="00D44FDA" w:rsidRPr="00F604CF">
        <w:rPr>
          <w:rFonts w:cs="Arial"/>
        </w:rPr>
        <w:t xml:space="preserve">dentro de </w:t>
      </w:r>
      <w:r w:rsidRPr="00F604CF">
        <w:rPr>
          <w:rFonts w:cs="Arial"/>
        </w:rPr>
        <w:t xml:space="preserve">los documentos aportados </w:t>
      </w:r>
      <w:r w:rsidR="00FB4C60" w:rsidRPr="00F604CF">
        <w:rPr>
          <w:rFonts w:cs="Arial"/>
        </w:rPr>
        <w:t>con</w:t>
      </w:r>
      <w:r w:rsidRPr="00F604CF">
        <w:rPr>
          <w:rFonts w:cs="Arial"/>
        </w:rPr>
        <w:t xml:space="preserve"> la propuesta</w:t>
      </w:r>
      <w:r w:rsidRPr="00F604CF">
        <w:rPr>
          <w:rStyle w:val="Refdenotaalpie"/>
          <w:rFonts w:cs="Arial"/>
        </w:rPr>
        <w:footnoteReference w:id="81"/>
      </w:r>
      <w:r w:rsidR="008C2AA9" w:rsidRPr="00F604CF">
        <w:rPr>
          <w:rFonts w:cs="Arial"/>
        </w:rPr>
        <w:t xml:space="preserve">, aunque </w:t>
      </w:r>
      <w:r w:rsidR="00FB4C60" w:rsidRPr="00F604CF">
        <w:rPr>
          <w:rFonts w:cs="Arial"/>
        </w:rPr>
        <w:t xml:space="preserve">sus </w:t>
      </w:r>
      <w:r w:rsidR="008C2AA9" w:rsidRPr="00F604CF">
        <w:rPr>
          <w:rFonts w:cs="Arial"/>
        </w:rPr>
        <w:t xml:space="preserve">valores </w:t>
      </w:r>
      <w:r w:rsidR="00FB4C60" w:rsidRPr="00F604CF">
        <w:rPr>
          <w:rFonts w:cs="Arial"/>
        </w:rPr>
        <w:t>no coincid</w:t>
      </w:r>
      <w:r w:rsidR="00D44FDA" w:rsidRPr="00F604CF">
        <w:rPr>
          <w:rFonts w:cs="Arial"/>
        </w:rPr>
        <w:t xml:space="preserve">ieran </w:t>
      </w:r>
      <w:r w:rsidR="00FB4C60" w:rsidRPr="00F604CF">
        <w:rPr>
          <w:rFonts w:cs="Arial"/>
        </w:rPr>
        <w:t xml:space="preserve">con los </w:t>
      </w:r>
      <w:r w:rsidR="008C2AA9" w:rsidRPr="00F604CF">
        <w:rPr>
          <w:rFonts w:cs="Arial"/>
        </w:rPr>
        <w:t>de la certificación de agosto 11 de 2005</w:t>
      </w:r>
      <w:r w:rsidR="00FB4C60" w:rsidRPr="00F604CF">
        <w:rPr>
          <w:rFonts w:cs="Arial"/>
        </w:rPr>
        <w:t>.</w:t>
      </w:r>
      <w:r w:rsidR="001D4C7E" w:rsidRPr="00F604CF">
        <w:rPr>
          <w:rFonts w:cs="Arial"/>
        </w:rPr>
        <w:t xml:space="preserve"> </w:t>
      </w:r>
      <w:r w:rsidR="006C4B4E" w:rsidRPr="00F604CF">
        <w:rPr>
          <w:rFonts w:cs="Arial"/>
        </w:rPr>
        <w:t xml:space="preserve">Además, </w:t>
      </w:r>
      <w:r w:rsidR="00313B27" w:rsidRPr="00F604CF">
        <w:rPr>
          <w:rFonts w:cs="Arial"/>
        </w:rPr>
        <w:t>s</w:t>
      </w:r>
      <w:r w:rsidR="001D4C7E" w:rsidRPr="00F604CF">
        <w:rPr>
          <w:rFonts w:cs="Arial"/>
        </w:rPr>
        <w:t xml:space="preserve">e precisa que en el acta de evaluación se tomó el menor de </w:t>
      </w:r>
      <w:r w:rsidR="005003D2" w:rsidRPr="00F604CF">
        <w:rPr>
          <w:rFonts w:cs="Arial"/>
        </w:rPr>
        <w:t xml:space="preserve">cada uno de los </w:t>
      </w:r>
      <w:r w:rsidR="001D4C7E" w:rsidRPr="00F604CF">
        <w:rPr>
          <w:rFonts w:cs="Arial"/>
        </w:rPr>
        <w:t>valores</w:t>
      </w:r>
      <w:r w:rsidR="00FB4C60" w:rsidRPr="00F604CF">
        <w:rPr>
          <w:rFonts w:cs="Arial"/>
        </w:rPr>
        <w:t xml:space="preserve">, así: </w:t>
      </w:r>
      <w:r w:rsidR="005003D2" w:rsidRPr="00F604CF">
        <w:rPr>
          <w:rFonts w:cs="Arial"/>
        </w:rPr>
        <w:t>Contrato 085 de 2004: $61’475.431 (38%</w:t>
      </w:r>
      <w:r w:rsidR="00202754" w:rsidRPr="00F604CF">
        <w:rPr>
          <w:rFonts w:cs="Arial"/>
        </w:rPr>
        <w:t xml:space="preserve"> del valor total</w:t>
      </w:r>
      <w:r w:rsidR="005003D2" w:rsidRPr="00F604CF">
        <w:rPr>
          <w:rFonts w:cs="Arial"/>
        </w:rPr>
        <w:t xml:space="preserve">) y </w:t>
      </w:r>
      <w:r w:rsidR="001D4C7E" w:rsidRPr="00F604CF">
        <w:rPr>
          <w:rFonts w:cs="Arial"/>
        </w:rPr>
        <w:t>Contrato 002 de 2004:</w:t>
      </w:r>
      <w:r w:rsidR="00455F76" w:rsidRPr="00F604CF">
        <w:rPr>
          <w:rFonts w:cs="Arial"/>
        </w:rPr>
        <w:t xml:space="preserve"> </w:t>
      </w:r>
      <w:r w:rsidR="001D4C7E" w:rsidRPr="00F604CF">
        <w:rPr>
          <w:rFonts w:cs="Arial"/>
        </w:rPr>
        <w:t>$159</w:t>
      </w:r>
      <w:r w:rsidR="00EA12F4" w:rsidRPr="00F604CF">
        <w:rPr>
          <w:rFonts w:cs="Arial"/>
        </w:rPr>
        <w:t>’</w:t>
      </w:r>
      <w:r w:rsidR="001D4C7E" w:rsidRPr="00F604CF">
        <w:rPr>
          <w:rFonts w:cs="Arial"/>
        </w:rPr>
        <w:t>452.700</w:t>
      </w:r>
      <w:r w:rsidR="00FB4C60" w:rsidRPr="00F604CF">
        <w:rPr>
          <w:rStyle w:val="Refdenotaalpie"/>
          <w:rFonts w:cs="Arial"/>
        </w:rPr>
        <w:footnoteReference w:id="82"/>
      </w:r>
      <w:r w:rsidR="00455F76" w:rsidRPr="00F604CF">
        <w:rPr>
          <w:rFonts w:cs="Arial"/>
        </w:rPr>
        <w:t xml:space="preserve">. </w:t>
      </w:r>
    </w:p>
    <w:p w14:paraId="36CD36CE" w14:textId="77777777" w:rsidR="00313B27" w:rsidRPr="00F604CF" w:rsidRDefault="00313B27" w:rsidP="00F604CF">
      <w:pPr>
        <w:pStyle w:val="Lista2"/>
        <w:ind w:left="0" w:firstLine="0"/>
        <w:rPr>
          <w:rFonts w:cs="Arial"/>
        </w:rPr>
      </w:pPr>
    </w:p>
    <w:p w14:paraId="79BC40B8" w14:textId="77777777" w:rsidR="00455F76" w:rsidRPr="00F604CF" w:rsidRDefault="00455F76" w:rsidP="00F604CF">
      <w:pPr>
        <w:pStyle w:val="Lista2"/>
        <w:ind w:left="0" w:firstLine="0"/>
        <w:rPr>
          <w:rFonts w:cs="Arial"/>
        </w:rPr>
      </w:pPr>
      <w:r w:rsidRPr="00F604CF">
        <w:rPr>
          <w:rFonts w:cs="Arial"/>
        </w:rPr>
        <w:t>Finalmente</w:t>
      </w:r>
      <w:r w:rsidR="00AE575B" w:rsidRPr="00F604CF">
        <w:rPr>
          <w:rFonts w:cs="Arial"/>
        </w:rPr>
        <w:t>,</w:t>
      </w:r>
      <w:r w:rsidRPr="00F604CF">
        <w:rPr>
          <w:rFonts w:cs="Arial"/>
        </w:rPr>
        <w:t xml:space="preserve"> </w:t>
      </w:r>
      <w:r w:rsidR="00482742" w:rsidRPr="00F604CF">
        <w:rPr>
          <w:rFonts w:cs="Arial"/>
        </w:rPr>
        <w:t xml:space="preserve">en este aspecto </w:t>
      </w:r>
      <w:r w:rsidRPr="00F604CF">
        <w:rPr>
          <w:rFonts w:cs="Arial"/>
        </w:rPr>
        <w:t>se a</w:t>
      </w:r>
      <w:r w:rsidR="00AE575B" w:rsidRPr="00F604CF">
        <w:rPr>
          <w:rFonts w:cs="Arial"/>
        </w:rPr>
        <w:t xml:space="preserve">compaña la observación del </w:t>
      </w:r>
      <w:r w:rsidR="00FB4C60" w:rsidRPr="00F604CF">
        <w:rPr>
          <w:rFonts w:cs="Arial"/>
        </w:rPr>
        <w:t>T</w:t>
      </w:r>
      <w:r w:rsidR="00AE575B" w:rsidRPr="00F604CF">
        <w:rPr>
          <w:rFonts w:cs="Arial"/>
        </w:rPr>
        <w:t xml:space="preserve">ribunal en </w:t>
      </w:r>
      <w:r w:rsidR="00826072" w:rsidRPr="00F604CF">
        <w:rPr>
          <w:rFonts w:cs="Arial"/>
        </w:rPr>
        <w:t xml:space="preserve">cuanto a que </w:t>
      </w:r>
      <w:r w:rsidRPr="00F604CF">
        <w:rPr>
          <w:rFonts w:cs="Arial"/>
        </w:rPr>
        <w:t xml:space="preserve">el mayor puntaje en </w:t>
      </w:r>
      <w:r w:rsidR="00EA12F4" w:rsidRPr="00F604CF">
        <w:rPr>
          <w:rFonts w:cs="Arial"/>
        </w:rPr>
        <w:t xml:space="preserve">el factor de </w:t>
      </w:r>
      <w:r w:rsidRPr="00F604CF">
        <w:rPr>
          <w:rFonts w:cs="Arial"/>
        </w:rPr>
        <w:t>experiencia no fue el asignado a la Unión Temporal Calimeño</w:t>
      </w:r>
      <w:r w:rsidR="00482742" w:rsidRPr="00F604CF">
        <w:rPr>
          <w:rFonts w:cs="Arial"/>
        </w:rPr>
        <w:t xml:space="preserve">, </w:t>
      </w:r>
      <w:r w:rsidR="00EA12F4" w:rsidRPr="00F604CF">
        <w:rPr>
          <w:rFonts w:cs="Arial"/>
        </w:rPr>
        <w:t xml:space="preserve">dado que </w:t>
      </w:r>
      <w:r w:rsidR="00482742" w:rsidRPr="00F604CF">
        <w:rPr>
          <w:rFonts w:cs="Arial"/>
        </w:rPr>
        <w:t>el puntaje m</w:t>
      </w:r>
      <w:r w:rsidR="00965171" w:rsidRPr="00F604CF">
        <w:rPr>
          <w:rFonts w:cs="Arial"/>
        </w:rPr>
        <w:t>ás alto</w:t>
      </w:r>
      <w:r w:rsidR="00482742" w:rsidRPr="00F604CF">
        <w:rPr>
          <w:rFonts w:cs="Arial"/>
        </w:rPr>
        <w:t xml:space="preserve">, de  200 puntos, se le </w:t>
      </w:r>
      <w:r w:rsidR="00965171" w:rsidRPr="00F604CF">
        <w:rPr>
          <w:rFonts w:cs="Arial"/>
        </w:rPr>
        <w:t xml:space="preserve">otorgó </w:t>
      </w:r>
      <w:r w:rsidR="00482742" w:rsidRPr="00F604CF">
        <w:rPr>
          <w:rFonts w:cs="Arial"/>
        </w:rPr>
        <w:t>a la propuesta de Ramiro Rivera</w:t>
      </w:r>
      <w:r w:rsidR="00482742" w:rsidRPr="00F604CF">
        <w:rPr>
          <w:rStyle w:val="Refdenotaalpie"/>
          <w:rFonts w:cs="Arial"/>
        </w:rPr>
        <w:footnoteReference w:id="83"/>
      </w:r>
      <w:r w:rsidRPr="00F604CF">
        <w:rPr>
          <w:rFonts w:cs="Arial"/>
        </w:rPr>
        <w:t>.</w:t>
      </w:r>
    </w:p>
    <w:p w14:paraId="460BC269" w14:textId="77777777" w:rsidR="00313B27" w:rsidRPr="00F604CF" w:rsidRDefault="00313B27" w:rsidP="00F604CF">
      <w:pPr>
        <w:pStyle w:val="Lista2"/>
        <w:ind w:left="0" w:firstLine="0"/>
        <w:rPr>
          <w:rFonts w:cs="Arial"/>
          <w:b/>
        </w:rPr>
      </w:pPr>
    </w:p>
    <w:p w14:paraId="4C2E21D1" w14:textId="77777777" w:rsidR="00455F76" w:rsidRPr="00F604CF" w:rsidRDefault="000F0248" w:rsidP="00F604CF">
      <w:pPr>
        <w:pStyle w:val="Lista2"/>
        <w:ind w:left="0" w:firstLine="0"/>
        <w:rPr>
          <w:rFonts w:cs="Arial"/>
          <w:b/>
        </w:rPr>
      </w:pPr>
      <w:r w:rsidRPr="00F604CF">
        <w:rPr>
          <w:rFonts w:cs="Arial"/>
          <w:b/>
        </w:rPr>
        <w:t xml:space="preserve">6.7. </w:t>
      </w:r>
      <w:r w:rsidR="00455F76" w:rsidRPr="00F604CF">
        <w:rPr>
          <w:rFonts w:cs="Arial"/>
          <w:b/>
        </w:rPr>
        <w:t xml:space="preserve">Anotaciones sobre la </w:t>
      </w:r>
      <w:r w:rsidR="00826072" w:rsidRPr="00F604CF">
        <w:rPr>
          <w:rFonts w:cs="Arial"/>
          <w:b/>
        </w:rPr>
        <w:t xml:space="preserve">prueba de la </w:t>
      </w:r>
      <w:r w:rsidR="00455F76" w:rsidRPr="00F604CF">
        <w:rPr>
          <w:rFonts w:cs="Arial"/>
          <w:b/>
        </w:rPr>
        <w:t>mejor propuesta</w:t>
      </w:r>
    </w:p>
    <w:p w14:paraId="20D42971" w14:textId="77777777" w:rsidR="00455F76" w:rsidRPr="00F604CF" w:rsidRDefault="00455F76" w:rsidP="00F604CF">
      <w:pPr>
        <w:pStyle w:val="Lista2"/>
        <w:ind w:left="0" w:firstLine="0"/>
        <w:rPr>
          <w:rFonts w:cs="Arial"/>
          <w:b/>
        </w:rPr>
      </w:pPr>
    </w:p>
    <w:p w14:paraId="064697B7" w14:textId="77777777" w:rsidR="00C90215" w:rsidRPr="00F604CF" w:rsidRDefault="00313B27" w:rsidP="00F604CF">
      <w:pPr>
        <w:pStyle w:val="Lista2"/>
        <w:ind w:left="0" w:firstLine="0"/>
        <w:rPr>
          <w:rFonts w:cs="Arial"/>
        </w:rPr>
      </w:pPr>
      <w:r w:rsidRPr="00F604CF">
        <w:rPr>
          <w:rFonts w:cs="Arial"/>
        </w:rPr>
        <w:t xml:space="preserve">Aunque las pretensiones indemnizatorias no proceden en este </w:t>
      </w:r>
      <w:r w:rsidR="00EA12F4" w:rsidRPr="00F604CF">
        <w:rPr>
          <w:rFonts w:cs="Arial"/>
        </w:rPr>
        <w:t>caso, t</w:t>
      </w:r>
      <w:r w:rsidRPr="00F604CF">
        <w:rPr>
          <w:rFonts w:cs="Arial"/>
        </w:rPr>
        <w:t xml:space="preserve">eniendo en cuenta que la demanda se presentó habiendo operado la caducidad de 30 días que fijaba el artículo 87 del CCA, es útil advertir que </w:t>
      </w:r>
      <w:r w:rsidR="00455F76" w:rsidRPr="00F604CF">
        <w:rPr>
          <w:rFonts w:cs="Arial"/>
        </w:rPr>
        <w:t xml:space="preserve">lo indicado por el Tribunal </w:t>
      </w:r>
      <w:r w:rsidR="00455F76" w:rsidRPr="00F604CF">
        <w:rPr>
          <w:rFonts w:cs="Arial"/>
          <w:i/>
        </w:rPr>
        <w:t>a quo</w:t>
      </w:r>
      <w:r w:rsidR="00826072" w:rsidRPr="00F604CF">
        <w:rPr>
          <w:rFonts w:cs="Arial"/>
        </w:rPr>
        <w:t>,</w:t>
      </w:r>
      <w:r w:rsidR="001D7684" w:rsidRPr="00F604CF">
        <w:rPr>
          <w:rFonts w:cs="Arial"/>
        </w:rPr>
        <w:t xml:space="preserve"> </w:t>
      </w:r>
      <w:r w:rsidR="00EA12F4" w:rsidRPr="00F604CF">
        <w:rPr>
          <w:rFonts w:cs="Arial"/>
        </w:rPr>
        <w:t xml:space="preserve">en torno de </w:t>
      </w:r>
      <w:r w:rsidR="00826072" w:rsidRPr="00F604CF">
        <w:rPr>
          <w:rFonts w:cs="Arial"/>
        </w:rPr>
        <w:t xml:space="preserve">la falta de prueba </w:t>
      </w:r>
      <w:r w:rsidR="00C03A93" w:rsidRPr="00F604CF">
        <w:rPr>
          <w:rFonts w:cs="Arial"/>
        </w:rPr>
        <w:t>a cargo del demandante, en el aspecto de que su propuesta era la mejor</w:t>
      </w:r>
      <w:r w:rsidR="00826072" w:rsidRPr="00F604CF">
        <w:rPr>
          <w:rFonts w:cs="Arial"/>
        </w:rPr>
        <w:t xml:space="preserve">, resulta </w:t>
      </w:r>
      <w:r w:rsidR="001D7684" w:rsidRPr="00F604CF">
        <w:rPr>
          <w:rFonts w:cs="Arial"/>
        </w:rPr>
        <w:t>correcto</w:t>
      </w:r>
      <w:r w:rsidR="009C0823" w:rsidRPr="00F604CF">
        <w:rPr>
          <w:rFonts w:cs="Arial"/>
        </w:rPr>
        <w:t xml:space="preserve">. </w:t>
      </w:r>
    </w:p>
    <w:p w14:paraId="5D36FBC7" w14:textId="77777777" w:rsidR="00C90215" w:rsidRPr="00F604CF" w:rsidRDefault="00C90215" w:rsidP="00F604CF">
      <w:pPr>
        <w:pStyle w:val="Lista2"/>
        <w:ind w:left="0" w:firstLine="0"/>
        <w:rPr>
          <w:rFonts w:cs="Arial"/>
        </w:rPr>
      </w:pPr>
    </w:p>
    <w:p w14:paraId="2165F941" w14:textId="77777777" w:rsidR="001D7684" w:rsidRPr="00F604CF" w:rsidRDefault="009C0823" w:rsidP="00F604CF">
      <w:pPr>
        <w:pStyle w:val="Lista2"/>
        <w:ind w:left="0" w:firstLine="0"/>
        <w:rPr>
          <w:rFonts w:cs="Arial"/>
        </w:rPr>
      </w:pPr>
      <w:r w:rsidRPr="00F604CF">
        <w:rPr>
          <w:rFonts w:cs="Arial"/>
        </w:rPr>
        <w:t xml:space="preserve">Lo anterior, </w:t>
      </w:r>
      <w:r w:rsidR="00455F76" w:rsidRPr="00F604CF">
        <w:rPr>
          <w:rFonts w:cs="Arial"/>
        </w:rPr>
        <w:t xml:space="preserve">dado que el demandante no acreditó que hubiera </w:t>
      </w:r>
      <w:r w:rsidR="00826072" w:rsidRPr="00F604CF">
        <w:rPr>
          <w:rFonts w:cs="Arial"/>
        </w:rPr>
        <w:t xml:space="preserve">logrado el mejor puntaje. </w:t>
      </w:r>
    </w:p>
    <w:p w14:paraId="60180508" w14:textId="77777777" w:rsidR="001D7684" w:rsidRPr="00F604CF" w:rsidRDefault="001D7684" w:rsidP="00F604CF">
      <w:pPr>
        <w:pStyle w:val="Lista2"/>
        <w:ind w:left="0" w:firstLine="0"/>
        <w:rPr>
          <w:rFonts w:cs="Arial"/>
        </w:rPr>
      </w:pPr>
    </w:p>
    <w:p w14:paraId="1485FC9E" w14:textId="77777777" w:rsidR="00AE575B" w:rsidRPr="00F604CF" w:rsidRDefault="00455F76" w:rsidP="00F604CF">
      <w:pPr>
        <w:pStyle w:val="Lista2"/>
        <w:ind w:left="0" w:firstLine="0"/>
        <w:rPr>
          <w:rFonts w:cs="Arial"/>
        </w:rPr>
      </w:pPr>
      <w:r w:rsidRPr="00F604CF">
        <w:rPr>
          <w:rFonts w:cs="Arial"/>
        </w:rPr>
        <w:t xml:space="preserve">Se especifica que en el </w:t>
      </w:r>
      <w:r w:rsidR="00050AFF" w:rsidRPr="00F604CF">
        <w:rPr>
          <w:rFonts w:cs="Arial"/>
        </w:rPr>
        <w:t xml:space="preserve">punto de </w:t>
      </w:r>
      <w:r w:rsidR="001D7684" w:rsidRPr="00F604CF">
        <w:rPr>
          <w:rFonts w:cs="Arial"/>
        </w:rPr>
        <w:t>“</w:t>
      </w:r>
      <w:r w:rsidR="001D7684" w:rsidRPr="00F604CF">
        <w:rPr>
          <w:rFonts w:cs="Arial"/>
          <w:i/>
        </w:rPr>
        <w:t>CUMPLIMIENTO DE CONTRATOS ANTERIORES”</w:t>
      </w:r>
      <w:r w:rsidR="001D7684" w:rsidRPr="00F604CF">
        <w:rPr>
          <w:rFonts w:cs="Arial"/>
        </w:rPr>
        <w:t xml:space="preserve"> la propuesta de</w:t>
      </w:r>
      <w:r w:rsidR="00AE575B" w:rsidRPr="00F604CF">
        <w:rPr>
          <w:rFonts w:cs="Arial"/>
        </w:rPr>
        <w:t xml:space="preserve">l </w:t>
      </w:r>
      <w:r w:rsidR="001D7684" w:rsidRPr="00F604CF">
        <w:rPr>
          <w:rFonts w:cs="Arial"/>
        </w:rPr>
        <w:t xml:space="preserve">demandante </w:t>
      </w:r>
      <w:r w:rsidR="00050AFF" w:rsidRPr="00F604CF">
        <w:rPr>
          <w:rFonts w:cs="Arial"/>
        </w:rPr>
        <w:t>fue calificad</w:t>
      </w:r>
      <w:r w:rsidR="00AE575B" w:rsidRPr="00F604CF">
        <w:rPr>
          <w:rFonts w:cs="Arial"/>
        </w:rPr>
        <w:t>a</w:t>
      </w:r>
      <w:r w:rsidR="00050AFF" w:rsidRPr="00F604CF">
        <w:rPr>
          <w:rFonts w:cs="Arial"/>
        </w:rPr>
        <w:t xml:space="preserve"> c</w:t>
      </w:r>
      <w:r w:rsidR="00544384" w:rsidRPr="00F604CF">
        <w:rPr>
          <w:rFonts w:cs="Arial"/>
        </w:rPr>
        <w:t>o</w:t>
      </w:r>
      <w:r w:rsidR="00050AFF" w:rsidRPr="00F604CF">
        <w:rPr>
          <w:rFonts w:cs="Arial"/>
        </w:rPr>
        <w:t xml:space="preserve">n 0 puntos, por </w:t>
      </w:r>
      <w:r w:rsidR="001D7684" w:rsidRPr="00F604CF">
        <w:rPr>
          <w:rFonts w:cs="Arial"/>
        </w:rPr>
        <w:t xml:space="preserve">cuanto no allegó </w:t>
      </w:r>
      <w:r w:rsidR="00050AFF" w:rsidRPr="00F604CF">
        <w:rPr>
          <w:rFonts w:cs="Arial"/>
        </w:rPr>
        <w:t>el formulario 4</w:t>
      </w:r>
      <w:r w:rsidR="00544384" w:rsidRPr="00F604CF">
        <w:rPr>
          <w:rFonts w:cs="Arial"/>
        </w:rPr>
        <w:t xml:space="preserve"> – Informe sobre contratos anteriores</w:t>
      </w:r>
      <w:r w:rsidR="001D7684" w:rsidRPr="00F604CF">
        <w:rPr>
          <w:rFonts w:cs="Arial"/>
        </w:rPr>
        <w:t xml:space="preserve">. </w:t>
      </w:r>
    </w:p>
    <w:p w14:paraId="733904C6" w14:textId="77777777" w:rsidR="00AE575B" w:rsidRPr="00F604CF" w:rsidRDefault="00AE575B" w:rsidP="00F604CF">
      <w:pPr>
        <w:pStyle w:val="Lista2"/>
        <w:ind w:left="0" w:firstLine="0"/>
        <w:rPr>
          <w:rFonts w:cs="Arial"/>
        </w:rPr>
      </w:pPr>
    </w:p>
    <w:p w14:paraId="6D7915CA" w14:textId="77777777" w:rsidR="00450D11" w:rsidRPr="00F604CF" w:rsidRDefault="001D7684" w:rsidP="00F604CF">
      <w:pPr>
        <w:pStyle w:val="Lista2"/>
        <w:ind w:left="0" w:firstLine="0"/>
        <w:rPr>
          <w:rFonts w:cs="Arial"/>
        </w:rPr>
      </w:pPr>
      <w:r w:rsidRPr="00F604CF">
        <w:rPr>
          <w:rFonts w:cs="Arial"/>
        </w:rPr>
        <w:t xml:space="preserve">Se agrega a ello que la falta de ese formulario implicó </w:t>
      </w:r>
      <w:r w:rsidR="00050AFF" w:rsidRPr="00F604CF">
        <w:rPr>
          <w:rFonts w:cs="Arial"/>
        </w:rPr>
        <w:t>que no se cubrió el aspecto relacionado con el ámbito temporal de la declaraci</w:t>
      </w:r>
      <w:r w:rsidR="00544384" w:rsidRPr="00F604CF">
        <w:rPr>
          <w:rFonts w:cs="Arial"/>
        </w:rPr>
        <w:t xml:space="preserve">ón que dejó de allegar, según </w:t>
      </w:r>
      <w:r w:rsidR="00AE575B" w:rsidRPr="00F604CF">
        <w:rPr>
          <w:rFonts w:cs="Arial"/>
        </w:rPr>
        <w:t>se</w:t>
      </w:r>
      <w:r w:rsidR="00544384" w:rsidRPr="00F604CF">
        <w:rPr>
          <w:rFonts w:cs="Arial"/>
        </w:rPr>
        <w:t xml:space="preserve"> hizo constar en los considerandos de la </w:t>
      </w:r>
      <w:r w:rsidRPr="00F604CF">
        <w:rPr>
          <w:rFonts w:cs="Arial"/>
        </w:rPr>
        <w:t>R</w:t>
      </w:r>
      <w:r w:rsidR="00544384" w:rsidRPr="00F604CF">
        <w:rPr>
          <w:rFonts w:cs="Arial"/>
        </w:rPr>
        <w:t>esolución 02</w:t>
      </w:r>
      <w:r w:rsidR="002B180C" w:rsidRPr="00F604CF">
        <w:rPr>
          <w:rFonts w:cs="Arial"/>
        </w:rPr>
        <w:t xml:space="preserve"> </w:t>
      </w:r>
      <w:r w:rsidR="00544384" w:rsidRPr="00F604CF">
        <w:rPr>
          <w:rFonts w:cs="Arial"/>
        </w:rPr>
        <w:t>193 de 22 de septiembre de 2005</w:t>
      </w:r>
      <w:r w:rsidR="00450D11" w:rsidRPr="00F604CF">
        <w:rPr>
          <w:rFonts w:cs="Arial"/>
        </w:rPr>
        <w:t>.</w:t>
      </w:r>
    </w:p>
    <w:p w14:paraId="5945DBF2" w14:textId="77777777" w:rsidR="00450D11" w:rsidRPr="00F604CF" w:rsidRDefault="00450D11" w:rsidP="00F604CF">
      <w:pPr>
        <w:pStyle w:val="Lista2"/>
        <w:ind w:left="0" w:firstLine="0"/>
        <w:rPr>
          <w:rFonts w:cs="Arial"/>
        </w:rPr>
      </w:pPr>
    </w:p>
    <w:p w14:paraId="6813AC9A" w14:textId="77777777" w:rsidR="00C03A93" w:rsidRPr="00F604CF" w:rsidRDefault="00450D11" w:rsidP="00F604CF">
      <w:pPr>
        <w:pStyle w:val="Lista2"/>
        <w:ind w:left="0" w:firstLine="0"/>
        <w:rPr>
          <w:rFonts w:cs="Arial"/>
        </w:rPr>
      </w:pPr>
      <w:r w:rsidRPr="00F604CF">
        <w:rPr>
          <w:rFonts w:cs="Arial"/>
        </w:rPr>
        <w:t xml:space="preserve">Sobre este </w:t>
      </w:r>
      <w:r w:rsidR="00544384" w:rsidRPr="00F604CF">
        <w:rPr>
          <w:rFonts w:cs="Arial"/>
        </w:rPr>
        <w:t>aspecto</w:t>
      </w:r>
      <w:r w:rsidR="00965171" w:rsidRPr="00F604CF">
        <w:rPr>
          <w:rFonts w:cs="Arial"/>
        </w:rPr>
        <w:t>,</w:t>
      </w:r>
      <w:r w:rsidR="00544384" w:rsidRPr="00F604CF">
        <w:rPr>
          <w:rFonts w:cs="Arial"/>
        </w:rPr>
        <w:t xml:space="preserve"> </w:t>
      </w:r>
      <w:r w:rsidRPr="00F604CF">
        <w:rPr>
          <w:rFonts w:cs="Arial"/>
        </w:rPr>
        <w:t xml:space="preserve">la sociedad demandante no allegó </w:t>
      </w:r>
      <w:r w:rsidR="00544384" w:rsidRPr="00F604CF">
        <w:rPr>
          <w:rFonts w:cs="Arial"/>
        </w:rPr>
        <w:t xml:space="preserve">prueba </w:t>
      </w:r>
      <w:r w:rsidR="001D7684" w:rsidRPr="00F604CF">
        <w:rPr>
          <w:rFonts w:cs="Arial"/>
        </w:rPr>
        <w:t xml:space="preserve">en orden a </w:t>
      </w:r>
      <w:r w:rsidR="00544384" w:rsidRPr="00F604CF">
        <w:rPr>
          <w:rFonts w:cs="Arial"/>
        </w:rPr>
        <w:t>desvirtuar l</w:t>
      </w:r>
      <w:r w:rsidRPr="00F604CF">
        <w:rPr>
          <w:rFonts w:cs="Arial"/>
        </w:rPr>
        <w:t xml:space="preserve">o considerado en la </w:t>
      </w:r>
      <w:r w:rsidR="00C03A93" w:rsidRPr="00F604CF">
        <w:rPr>
          <w:rFonts w:cs="Arial"/>
        </w:rPr>
        <w:t xml:space="preserve">citada </w:t>
      </w:r>
      <w:r w:rsidRPr="00F604CF">
        <w:rPr>
          <w:rFonts w:cs="Arial"/>
        </w:rPr>
        <w:t>Resolución</w:t>
      </w:r>
      <w:r w:rsidR="00C03A93" w:rsidRPr="00F604CF">
        <w:rPr>
          <w:rFonts w:cs="Arial"/>
        </w:rPr>
        <w:t>.</w:t>
      </w:r>
    </w:p>
    <w:p w14:paraId="55D17A0B" w14:textId="77777777" w:rsidR="00450D11" w:rsidRPr="00F604CF" w:rsidRDefault="00450D11" w:rsidP="00F604CF">
      <w:pPr>
        <w:pStyle w:val="Lista2"/>
        <w:ind w:left="0" w:firstLine="0"/>
        <w:rPr>
          <w:rFonts w:cs="Arial"/>
        </w:rPr>
      </w:pPr>
    </w:p>
    <w:p w14:paraId="6043D9A0" w14:textId="77777777" w:rsidR="00530809" w:rsidRPr="00F604CF" w:rsidRDefault="00454467" w:rsidP="00F604CF">
      <w:pPr>
        <w:pStyle w:val="Lista2"/>
        <w:ind w:left="0" w:firstLine="0"/>
        <w:rPr>
          <w:rFonts w:cs="Arial"/>
        </w:rPr>
      </w:pPr>
      <w:r w:rsidRPr="00F604CF">
        <w:rPr>
          <w:rFonts w:cs="Arial"/>
        </w:rPr>
        <w:t xml:space="preserve">Por otra parte, </w:t>
      </w:r>
      <w:r w:rsidR="00450D11" w:rsidRPr="00F604CF">
        <w:rPr>
          <w:rFonts w:cs="Arial"/>
        </w:rPr>
        <w:t xml:space="preserve">los argumentos de la apelante en relación con la </w:t>
      </w:r>
      <w:r w:rsidR="00B36CD9" w:rsidRPr="00F604CF">
        <w:rPr>
          <w:rFonts w:cs="Arial"/>
        </w:rPr>
        <w:t xml:space="preserve">justificación por la </w:t>
      </w:r>
      <w:r w:rsidR="00450D11" w:rsidRPr="00F604CF">
        <w:rPr>
          <w:rFonts w:cs="Arial"/>
        </w:rPr>
        <w:t>falta del formulario 4 no tienen pertinencia con el asunto en cuestión</w:t>
      </w:r>
      <w:r w:rsidR="00AE575B" w:rsidRPr="00F604CF">
        <w:rPr>
          <w:rFonts w:cs="Arial"/>
        </w:rPr>
        <w:t>, t</w:t>
      </w:r>
      <w:r w:rsidR="00450D11" w:rsidRPr="00F604CF">
        <w:rPr>
          <w:rFonts w:cs="Arial"/>
        </w:rPr>
        <w:t>oda vez que afirmó que</w:t>
      </w:r>
      <w:r w:rsidR="004F5D93" w:rsidRPr="00F604CF">
        <w:rPr>
          <w:rFonts w:cs="Arial"/>
        </w:rPr>
        <w:t>,</w:t>
      </w:r>
      <w:r w:rsidR="00450D11" w:rsidRPr="00F604CF">
        <w:rPr>
          <w:rFonts w:cs="Arial"/>
        </w:rPr>
        <w:t xml:space="preserve"> por tratarse de una persona natural</w:t>
      </w:r>
      <w:r w:rsidR="004F5D93" w:rsidRPr="00F604CF">
        <w:rPr>
          <w:rFonts w:cs="Arial"/>
        </w:rPr>
        <w:t>,</w:t>
      </w:r>
      <w:r w:rsidR="00450D11" w:rsidRPr="00F604CF">
        <w:rPr>
          <w:rFonts w:cs="Arial"/>
        </w:rPr>
        <w:t xml:space="preserve"> no estaba obligado a tener revisor fiscal</w:t>
      </w:r>
      <w:r w:rsidR="00530809" w:rsidRPr="00F604CF">
        <w:rPr>
          <w:rFonts w:cs="Arial"/>
        </w:rPr>
        <w:t>, aspecto que era cierto pero que no lo relevaba del requisito de</w:t>
      </w:r>
      <w:r w:rsidR="00200272" w:rsidRPr="00F604CF">
        <w:rPr>
          <w:rFonts w:cs="Arial"/>
        </w:rPr>
        <w:t xml:space="preserve"> acreditar un </w:t>
      </w:r>
      <w:r w:rsidR="00530809" w:rsidRPr="00F604CF">
        <w:rPr>
          <w:rFonts w:cs="Arial"/>
        </w:rPr>
        <w:t>dictamen de sus estados financieros suscrito por contador público independiente</w:t>
      </w:r>
      <w:r w:rsidR="00A639A9" w:rsidRPr="00F604CF">
        <w:rPr>
          <w:rFonts w:cs="Arial"/>
        </w:rPr>
        <w:t>,</w:t>
      </w:r>
      <w:r w:rsidR="00C03A93" w:rsidRPr="00F604CF">
        <w:rPr>
          <w:rFonts w:cs="Arial"/>
        </w:rPr>
        <w:t xml:space="preserve"> como lo exigió el pliego de condiciones</w:t>
      </w:r>
      <w:r w:rsidR="00530809" w:rsidRPr="00F604CF">
        <w:rPr>
          <w:rFonts w:cs="Arial"/>
        </w:rPr>
        <w:t xml:space="preserve"> </w:t>
      </w:r>
      <w:r w:rsidR="00C03A93" w:rsidRPr="00F604CF">
        <w:rPr>
          <w:rFonts w:cs="Arial"/>
        </w:rPr>
        <w:t xml:space="preserve">en concordancia con el artículo 38 de la Ley 222 de 1995, </w:t>
      </w:r>
      <w:r w:rsidR="00530809" w:rsidRPr="00F604CF">
        <w:rPr>
          <w:rFonts w:cs="Arial"/>
        </w:rPr>
        <w:t xml:space="preserve">el cual tampoco </w:t>
      </w:r>
      <w:r w:rsidR="00200272" w:rsidRPr="00F604CF">
        <w:rPr>
          <w:rFonts w:cs="Arial"/>
        </w:rPr>
        <w:t xml:space="preserve">presentó con la propuesta, ni </w:t>
      </w:r>
      <w:r w:rsidR="000C77C2" w:rsidRPr="00F604CF">
        <w:rPr>
          <w:rFonts w:cs="Arial"/>
        </w:rPr>
        <w:t>en forma posterior</w:t>
      </w:r>
      <w:r w:rsidR="004F5D93" w:rsidRPr="00F604CF">
        <w:rPr>
          <w:rStyle w:val="Refdenotaalpie"/>
          <w:rFonts w:cs="Arial"/>
        </w:rPr>
        <w:footnoteReference w:id="84"/>
      </w:r>
      <w:r w:rsidR="00530809" w:rsidRPr="00F604CF">
        <w:rPr>
          <w:rFonts w:cs="Arial"/>
        </w:rPr>
        <w:t>.</w:t>
      </w:r>
    </w:p>
    <w:p w14:paraId="2600C2F7" w14:textId="77777777" w:rsidR="00694ECA" w:rsidRPr="00F604CF" w:rsidRDefault="00694ECA" w:rsidP="00F604CF">
      <w:pPr>
        <w:pStyle w:val="Lista2"/>
        <w:ind w:left="0" w:firstLine="0"/>
        <w:rPr>
          <w:rFonts w:cs="Arial"/>
          <w:b/>
        </w:rPr>
      </w:pPr>
    </w:p>
    <w:p w14:paraId="06445088" w14:textId="77777777" w:rsidR="002F2A17" w:rsidRPr="00F604CF" w:rsidRDefault="000F0248" w:rsidP="00F604CF">
      <w:pPr>
        <w:pStyle w:val="Lista2"/>
        <w:ind w:left="0" w:firstLine="0"/>
        <w:rPr>
          <w:rFonts w:cs="Arial"/>
          <w:b/>
        </w:rPr>
      </w:pPr>
      <w:r w:rsidRPr="00F604CF">
        <w:rPr>
          <w:rFonts w:cs="Arial"/>
          <w:b/>
        </w:rPr>
        <w:t>7</w:t>
      </w:r>
      <w:r w:rsidR="002B180C" w:rsidRPr="00F604CF">
        <w:rPr>
          <w:rFonts w:cs="Arial"/>
          <w:b/>
        </w:rPr>
        <w:t xml:space="preserve">. </w:t>
      </w:r>
      <w:r w:rsidR="002F2A17" w:rsidRPr="00F604CF">
        <w:rPr>
          <w:rFonts w:cs="Arial"/>
          <w:b/>
        </w:rPr>
        <w:t>Consecuencias de la nulidad del contrato</w:t>
      </w:r>
    </w:p>
    <w:p w14:paraId="05D219DF" w14:textId="77777777" w:rsidR="002F2A17" w:rsidRPr="00F604CF" w:rsidRDefault="002F2A17" w:rsidP="00F604CF">
      <w:pPr>
        <w:pStyle w:val="Lista2"/>
        <w:ind w:left="0" w:firstLine="0"/>
        <w:rPr>
          <w:rFonts w:cs="Arial"/>
        </w:rPr>
      </w:pPr>
    </w:p>
    <w:p w14:paraId="683736C8" w14:textId="77777777" w:rsidR="00B84541" w:rsidRPr="00F604CF" w:rsidRDefault="002F2A17" w:rsidP="00F604CF">
      <w:pPr>
        <w:pStyle w:val="Lista2"/>
        <w:ind w:left="0" w:firstLine="0"/>
        <w:rPr>
          <w:rFonts w:cs="Arial"/>
        </w:rPr>
      </w:pPr>
      <w:r w:rsidRPr="00F604CF">
        <w:rPr>
          <w:rFonts w:cs="Arial"/>
        </w:rPr>
        <w:t xml:space="preserve">Obra en el expediente la </w:t>
      </w:r>
      <w:r w:rsidR="000C77C2" w:rsidRPr="00F604CF">
        <w:rPr>
          <w:rFonts w:cs="Arial"/>
        </w:rPr>
        <w:t xml:space="preserve">prueba </w:t>
      </w:r>
      <w:r w:rsidRPr="00F604CF">
        <w:rPr>
          <w:rFonts w:cs="Arial"/>
        </w:rPr>
        <w:t xml:space="preserve">de que el </w:t>
      </w:r>
      <w:r w:rsidR="00C62761" w:rsidRPr="00F604CF">
        <w:rPr>
          <w:rFonts w:cs="Arial"/>
        </w:rPr>
        <w:t>C</w:t>
      </w:r>
      <w:r w:rsidRPr="00F604CF">
        <w:rPr>
          <w:rFonts w:cs="Arial"/>
        </w:rPr>
        <w:t xml:space="preserve">ontrato de </w:t>
      </w:r>
      <w:r w:rsidR="00C62761" w:rsidRPr="00F604CF">
        <w:rPr>
          <w:rFonts w:cs="Arial"/>
        </w:rPr>
        <w:t>C</w:t>
      </w:r>
      <w:r w:rsidRPr="00F604CF">
        <w:rPr>
          <w:rFonts w:cs="Arial"/>
        </w:rPr>
        <w:t xml:space="preserve">ompraventa </w:t>
      </w:r>
      <w:r w:rsidR="00C62761" w:rsidRPr="00F604CF">
        <w:rPr>
          <w:rFonts w:cs="Arial"/>
        </w:rPr>
        <w:t xml:space="preserve">No. </w:t>
      </w:r>
      <w:r w:rsidRPr="00F604CF">
        <w:rPr>
          <w:rFonts w:cs="Arial"/>
        </w:rPr>
        <w:t>153 de 31 de octubre de 2005 fue ejecutado en un 100% y liquidado con saldo en ceros</w:t>
      </w:r>
      <w:r w:rsidR="00B84541" w:rsidRPr="00F604CF">
        <w:rPr>
          <w:rFonts w:cs="Arial"/>
        </w:rPr>
        <w:t>.</w:t>
      </w:r>
    </w:p>
    <w:p w14:paraId="293D8E65" w14:textId="77777777" w:rsidR="00B84541" w:rsidRPr="00F604CF" w:rsidRDefault="00B84541" w:rsidP="00F604CF">
      <w:pPr>
        <w:pStyle w:val="Lista2"/>
        <w:ind w:left="0" w:firstLine="0"/>
        <w:rPr>
          <w:rFonts w:cs="Arial"/>
        </w:rPr>
      </w:pPr>
    </w:p>
    <w:p w14:paraId="398C7635" w14:textId="77777777" w:rsidR="000C77C2" w:rsidRPr="00F604CF" w:rsidRDefault="00B84541" w:rsidP="00F604CF">
      <w:pPr>
        <w:pStyle w:val="Lista2"/>
        <w:ind w:left="0" w:firstLine="0"/>
        <w:rPr>
          <w:rFonts w:cs="Arial"/>
        </w:rPr>
      </w:pPr>
      <w:r w:rsidRPr="00F604CF">
        <w:rPr>
          <w:rFonts w:cs="Arial"/>
        </w:rPr>
        <w:t xml:space="preserve">Lo anterior se establece </w:t>
      </w:r>
      <w:r w:rsidR="009B157D" w:rsidRPr="00F604CF">
        <w:rPr>
          <w:rFonts w:cs="Arial"/>
        </w:rPr>
        <w:t xml:space="preserve">de acuerdo con la constancia de cumplimiento que expidió el </w:t>
      </w:r>
      <w:r w:rsidR="007E75C0" w:rsidRPr="00F604CF">
        <w:rPr>
          <w:rFonts w:cs="Arial"/>
        </w:rPr>
        <w:t>Secretario de Educación y Cultura</w:t>
      </w:r>
      <w:r w:rsidR="009B157D" w:rsidRPr="00F604CF">
        <w:rPr>
          <w:rFonts w:cs="Arial"/>
        </w:rPr>
        <w:t xml:space="preserve"> </w:t>
      </w:r>
      <w:r w:rsidR="007E75C0" w:rsidRPr="00F604CF">
        <w:rPr>
          <w:rFonts w:cs="Arial"/>
        </w:rPr>
        <w:t xml:space="preserve">del </w:t>
      </w:r>
      <w:r w:rsidR="009B157D" w:rsidRPr="00F604CF">
        <w:rPr>
          <w:rFonts w:cs="Arial"/>
        </w:rPr>
        <w:t>departament</w:t>
      </w:r>
      <w:r w:rsidR="007E75C0" w:rsidRPr="00F604CF">
        <w:rPr>
          <w:rFonts w:cs="Arial"/>
        </w:rPr>
        <w:t>o</w:t>
      </w:r>
      <w:r w:rsidR="009B157D" w:rsidRPr="00F604CF">
        <w:rPr>
          <w:rStyle w:val="Refdenotaalpie"/>
          <w:rFonts w:cs="Arial"/>
        </w:rPr>
        <w:footnoteReference w:id="85"/>
      </w:r>
      <w:r w:rsidR="009B157D" w:rsidRPr="00F604CF">
        <w:rPr>
          <w:rFonts w:cs="Arial"/>
        </w:rPr>
        <w:t xml:space="preserve"> y con el acta de liquidación de 30 de diciembre de 2005</w:t>
      </w:r>
      <w:r w:rsidR="009B157D" w:rsidRPr="00F604CF">
        <w:rPr>
          <w:rStyle w:val="Refdenotaalpie"/>
          <w:rFonts w:cs="Arial"/>
        </w:rPr>
        <w:footnoteReference w:id="86"/>
      </w:r>
      <w:r w:rsidR="003E1A71" w:rsidRPr="00F604CF">
        <w:rPr>
          <w:rFonts w:cs="Arial"/>
        </w:rPr>
        <w:t xml:space="preserve">. </w:t>
      </w:r>
    </w:p>
    <w:p w14:paraId="5C9FADF6" w14:textId="77777777" w:rsidR="000C77C2" w:rsidRPr="00F604CF" w:rsidRDefault="000C77C2" w:rsidP="00F604CF">
      <w:pPr>
        <w:pStyle w:val="Lista2"/>
        <w:ind w:left="0" w:firstLine="0"/>
        <w:rPr>
          <w:rFonts w:cs="Arial"/>
        </w:rPr>
      </w:pPr>
    </w:p>
    <w:p w14:paraId="74E1A6FB" w14:textId="77777777" w:rsidR="00470608" w:rsidRPr="00F604CF" w:rsidRDefault="003E1A71" w:rsidP="00F604CF">
      <w:pPr>
        <w:pStyle w:val="Lista2"/>
        <w:ind w:left="0" w:firstLine="0"/>
        <w:rPr>
          <w:rFonts w:cs="Arial"/>
        </w:rPr>
      </w:pPr>
      <w:r w:rsidRPr="00F604CF">
        <w:rPr>
          <w:rFonts w:cs="Arial"/>
        </w:rPr>
        <w:t>Por ello,</w:t>
      </w:r>
      <w:r w:rsidR="002F2A17" w:rsidRPr="00F604CF">
        <w:rPr>
          <w:rFonts w:cs="Arial"/>
        </w:rPr>
        <w:t xml:space="preserve"> se entiende que no </w:t>
      </w:r>
      <w:r w:rsidRPr="00F604CF">
        <w:rPr>
          <w:rFonts w:cs="Arial"/>
        </w:rPr>
        <w:t xml:space="preserve">hay lugar a </w:t>
      </w:r>
      <w:r w:rsidR="007E75C0" w:rsidRPr="00F604CF">
        <w:rPr>
          <w:rFonts w:cs="Arial"/>
        </w:rPr>
        <w:t xml:space="preserve">imponer </w:t>
      </w:r>
      <w:r w:rsidR="00470608" w:rsidRPr="00F604CF">
        <w:rPr>
          <w:rFonts w:cs="Arial"/>
        </w:rPr>
        <w:t>prestaciones derivadas de la declaratoria de nulidad que se adoptará e</w:t>
      </w:r>
      <w:r w:rsidRPr="00F604CF">
        <w:rPr>
          <w:rFonts w:cs="Arial"/>
        </w:rPr>
        <w:t>n</w:t>
      </w:r>
      <w:r w:rsidR="00470608" w:rsidRPr="00F604CF">
        <w:rPr>
          <w:rFonts w:cs="Arial"/>
        </w:rPr>
        <w:t xml:space="preserve"> esta providencia. </w:t>
      </w:r>
    </w:p>
    <w:p w14:paraId="0FCFEB9D" w14:textId="77777777" w:rsidR="00470608" w:rsidRPr="00F604CF" w:rsidRDefault="00470608" w:rsidP="00F604CF">
      <w:pPr>
        <w:pStyle w:val="Lista2"/>
        <w:ind w:left="0" w:firstLine="0"/>
        <w:rPr>
          <w:rFonts w:cs="Arial"/>
          <w:b/>
        </w:rPr>
      </w:pPr>
    </w:p>
    <w:p w14:paraId="368EA666" w14:textId="77777777" w:rsidR="00CF76FD" w:rsidRPr="00F604CF" w:rsidRDefault="000F0248" w:rsidP="00F604CF">
      <w:pPr>
        <w:pStyle w:val="Lista2"/>
        <w:ind w:left="0" w:firstLine="0"/>
        <w:rPr>
          <w:rFonts w:cs="Arial"/>
          <w:b/>
        </w:rPr>
      </w:pPr>
      <w:r w:rsidRPr="00F604CF">
        <w:rPr>
          <w:rFonts w:cs="Arial"/>
          <w:b/>
        </w:rPr>
        <w:t>8</w:t>
      </w:r>
      <w:r w:rsidR="007A7EDE" w:rsidRPr="00F604CF">
        <w:rPr>
          <w:rFonts w:cs="Arial"/>
          <w:b/>
        </w:rPr>
        <w:t>.</w:t>
      </w:r>
      <w:r w:rsidR="00965171" w:rsidRPr="00F604CF">
        <w:rPr>
          <w:rFonts w:cs="Arial"/>
          <w:b/>
        </w:rPr>
        <w:t xml:space="preserve"> </w:t>
      </w:r>
      <w:r w:rsidR="001C6D0F" w:rsidRPr="00F604CF">
        <w:rPr>
          <w:rFonts w:cs="Arial"/>
          <w:b/>
        </w:rPr>
        <w:t>Costas</w:t>
      </w:r>
    </w:p>
    <w:p w14:paraId="19927205" w14:textId="77777777" w:rsidR="0007265F" w:rsidRPr="00F604CF" w:rsidRDefault="0007265F" w:rsidP="00F604CF">
      <w:pPr>
        <w:rPr>
          <w:rFonts w:cs="Arial"/>
        </w:rPr>
      </w:pPr>
    </w:p>
    <w:p w14:paraId="222CF0ED" w14:textId="77777777" w:rsidR="00CF76FD" w:rsidRPr="00F604CF" w:rsidRDefault="00CF76FD" w:rsidP="00F604CF">
      <w:pPr>
        <w:pStyle w:val="Continuarlista2"/>
        <w:spacing w:after="0"/>
        <w:ind w:left="0"/>
        <w:rPr>
          <w:rFonts w:cs="Arial"/>
        </w:rPr>
      </w:pPr>
      <w:r w:rsidRPr="00F604CF">
        <w:rPr>
          <w:rFonts w:cs="Arial"/>
        </w:rPr>
        <w:t xml:space="preserve">Habida cuenta </w:t>
      </w:r>
      <w:r w:rsidR="00F96235" w:rsidRPr="00F604CF">
        <w:rPr>
          <w:rFonts w:cs="Arial"/>
        </w:rPr>
        <w:t xml:space="preserve">de </w:t>
      </w:r>
      <w:r w:rsidRPr="00F604CF">
        <w:rPr>
          <w:rFonts w:cs="Arial"/>
        </w:rPr>
        <w:t xml:space="preserve">que para el </w:t>
      </w:r>
      <w:r w:rsidR="00F96235" w:rsidRPr="00F604CF">
        <w:rPr>
          <w:rFonts w:cs="Arial"/>
        </w:rPr>
        <w:t xml:space="preserve">presente proceso tiene lugar la aplicación del </w:t>
      </w:r>
      <w:r w:rsidR="005D4B0D" w:rsidRPr="00F604CF">
        <w:rPr>
          <w:rFonts w:cs="Arial"/>
        </w:rPr>
        <w:t>artículo 55 de la L</w:t>
      </w:r>
      <w:r w:rsidRPr="00F604CF">
        <w:rPr>
          <w:rFonts w:cs="Arial"/>
        </w:rPr>
        <w:t>ey 446 de 1998</w:t>
      </w:r>
      <w:r w:rsidR="00F96235" w:rsidRPr="00F604CF">
        <w:rPr>
          <w:rFonts w:cs="Arial"/>
        </w:rPr>
        <w:t xml:space="preserve">, según el </w:t>
      </w:r>
      <w:r w:rsidR="00FE2865" w:rsidRPr="00F604CF">
        <w:rPr>
          <w:rFonts w:cs="Arial"/>
        </w:rPr>
        <w:t xml:space="preserve">cual </w:t>
      </w:r>
      <w:r w:rsidRPr="00F604CF">
        <w:rPr>
          <w:rFonts w:cs="Arial"/>
        </w:rPr>
        <w:t xml:space="preserve">sólo hay lugar a la </w:t>
      </w:r>
      <w:r w:rsidR="002A04DF" w:rsidRPr="00F604CF">
        <w:rPr>
          <w:rFonts w:cs="Arial"/>
        </w:rPr>
        <w:t xml:space="preserve">condena en </w:t>
      </w:r>
      <w:r w:rsidRPr="00F604CF">
        <w:rPr>
          <w:rFonts w:cs="Arial"/>
        </w:rPr>
        <w:t xml:space="preserve">costas </w:t>
      </w:r>
      <w:r w:rsidR="00F96235" w:rsidRPr="00F604CF">
        <w:rPr>
          <w:rFonts w:cs="Arial"/>
        </w:rPr>
        <w:t xml:space="preserve">de acuerdo con la conducta de las partes y </w:t>
      </w:r>
      <w:r w:rsidR="002A04DF" w:rsidRPr="00F604CF">
        <w:rPr>
          <w:rFonts w:cs="Arial"/>
        </w:rPr>
        <w:t xml:space="preserve">en el </w:t>
      </w:r>
      <w:r w:rsidR="002A04DF" w:rsidRPr="00F604CF">
        <w:rPr>
          <w:rFonts w:cs="Arial"/>
          <w:i/>
        </w:rPr>
        <w:t>sub lite</w:t>
      </w:r>
      <w:r w:rsidR="002A04DF" w:rsidRPr="00F604CF">
        <w:rPr>
          <w:rFonts w:cs="Arial"/>
        </w:rPr>
        <w:t xml:space="preserve"> </w:t>
      </w:r>
      <w:r w:rsidR="00FE2865" w:rsidRPr="00F604CF">
        <w:rPr>
          <w:rFonts w:cs="Arial"/>
        </w:rPr>
        <w:t xml:space="preserve">no </w:t>
      </w:r>
      <w:r w:rsidR="00FB6EB7" w:rsidRPr="00F604CF">
        <w:rPr>
          <w:rFonts w:cs="Arial"/>
        </w:rPr>
        <w:t xml:space="preserve"> </w:t>
      </w:r>
      <w:r w:rsidR="00FE2865" w:rsidRPr="00F604CF">
        <w:rPr>
          <w:rFonts w:cs="Arial"/>
        </w:rPr>
        <w:t xml:space="preserve">se </w:t>
      </w:r>
      <w:r w:rsidR="00FB6EB7" w:rsidRPr="00F604CF">
        <w:rPr>
          <w:rFonts w:cs="Arial"/>
        </w:rPr>
        <w:t xml:space="preserve"> </w:t>
      </w:r>
      <w:r w:rsidR="00FE2865" w:rsidRPr="00F604CF">
        <w:rPr>
          <w:rFonts w:cs="Arial"/>
        </w:rPr>
        <w:t xml:space="preserve">advierte obrar temerario </w:t>
      </w:r>
      <w:r w:rsidR="002A04DF" w:rsidRPr="00F604CF">
        <w:rPr>
          <w:rFonts w:cs="Arial"/>
        </w:rPr>
        <w:t>de alguna de ellas</w:t>
      </w:r>
      <w:r w:rsidR="00FE2865" w:rsidRPr="00F604CF">
        <w:rPr>
          <w:rFonts w:cs="Arial"/>
        </w:rPr>
        <w:t xml:space="preserve">, se </w:t>
      </w:r>
      <w:r w:rsidR="004151E6" w:rsidRPr="00F604CF">
        <w:rPr>
          <w:rFonts w:cs="Arial"/>
        </w:rPr>
        <w:t xml:space="preserve">tiene que </w:t>
      </w:r>
      <w:r w:rsidR="00FE2865" w:rsidRPr="00F604CF">
        <w:rPr>
          <w:rFonts w:cs="Arial"/>
        </w:rPr>
        <w:t>conclu</w:t>
      </w:r>
      <w:r w:rsidR="002A04DF" w:rsidRPr="00F604CF">
        <w:rPr>
          <w:rFonts w:cs="Arial"/>
        </w:rPr>
        <w:t xml:space="preserve">ir </w:t>
      </w:r>
      <w:r w:rsidR="00FE2865" w:rsidRPr="00F604CF">
        <w:rPr>
          <w:rFonts w:cs="Arial"/>
        </w:rPr>
        <w:t xml:space="preserve">que en este </w:t>
      </w:r>
      <w:r w:rsidR="002A04DF" w:rsidRPr="00F604CF">
        <w:rPr>
          <w:rFonts w:cs="Arial"/>
        </w:rPr>
        <w:t xml:space="preserve">caso no hay lugar a </w:t>
      </w:r>
      <w:r w:rsidRPr="00F604CF">
        <w:rPr>
          <w:rFonts w:cs="Arial"/>
        </w:rPr>
        <w:t>imponer</w:t>
      </w:r>
      <w:r w:rsidR="00FE2865" w:rsidRPr="00F604CF">
        <w:rPr>
          <w:rFonts w:cs="Arial"/>
        </w:rPr>
        <w:t xml:space="preserve"> costas. </w:t>
      </w:r>
    </w:p>
    <w:p w14:paraId="31237609" w14:textId="77777777" w:rsidR="00B35501" w:rsidRPr="00F604CF" w:rsidRDefault="00B35501" w:rsidP="00F604CF">
      <w:pPr>
        <w:pStyle w:val="Textoindependiente22"/>
        <w:numPr>
          <w:ilvl w:val="12"/>
          <w:numId w:val="0"/>
        </w:numPr>
        <w:overflowPunct/>
        <w:autoSpaceDE/>
        <w:autoSpaceDN/>
        <w:adjustRightInd/>
        <w:textAlignment w:val="auto"/>
        <w:rPr>
          <w:rFonts w:cs="Arial"/>
          <w:szCs w:val="24"/>
        </w:rPr>
      </w:pPr>
    </w:p>
    <w:p w14:paraId="38740B1D" w14:textId="77777777" w:rsidR="002D4371" w:rsidRPr="00F604CF" w:rsidRDefault="002D4371" w:rsidP="00F604CF">
      <w:pPr>
        <w:pStyle w:val="Textoindependiente22"/>
        <w:numPr>
          <w:ilvl w:val="12"/>
          <w:numId w:val="0"/>
        </w:numPr>
        <w:overflowPunct/>
        <w:autoSpaceDE/>
        <w:autoSpaceDN/>
        <w:adjustRightInd/>
        <w:textAlignment w:val="auto"/>
        <w:rPr>
          <w:rFonts w:cs="Arial"/>
          <w:szCs w:val="24"/>
        </w:rPr>
      </w:pPr>
      <w:r w:rsidRPr="00F604CF">
        <w:rPr>
          <w:rFonts w:cs="Arial"/>
          <w:szCs w:val="24"/>
        </w:rPr>
        <w:t>En mérito de lo expuesto, el Consejo de Estado, en Sala de lo Contencioso Administrativo, Sección Tercera,</w:t>
      </w:r>
      <w:r w:rsidR="00AD4DBE" w:rsidRPr="00F604CF">
        <w:rPr>
          <w:rFonts w:cs="Arial"/>
          <w:szCs w:val="24"/>
        </w:rPr>
        <w:t xml:space="preserve"> Subsección A,</w:t>
      </w:r>
      <w:r w:rsidRPr="00F604CF">
        <w:rPr>
          <w:rFonts w:cs="Arial"/>
          <w:szCs w:val="24"/>
        </w:rPr>
        <w:t xml:space="preserve"> administrando justicia en nombre de la República de Colombia y por autoridad de la ley,</w:t>
      </w:r>
    </w:p>
    <w:p w14:paraId="56DB3B30" w14:textId="77777777" w:rsidR="008F2EA9" w:rsidRPr="00F604CF" w:rsidRDefault="008F2EA9" w:rsidP="00F604CF">
      <w:pPr>
        <w:rPr>
          <w:rFonts w:cs="Arial"/>
        </w:rPr>
      </w:pPr>
    </w:p>
    <w:p w14:paraId="337A909B" w14:textId="77777777" w:rsidR="00EA2611" w:rsidRPr="00F604CF" w:rsidRDefault="00EA2611" w:rsidP="00F604CF">
      <w:pPr>
        <w:pStyle w:val="Ttulo5"/>
        <w:rPr>
          <w:rFonts w:cs="Arial"/>
          <w:bCs/>
          <w:sz w:val="24"/>
          <w:szCs w:val="24"/>
        </w:rPr>
      </w:pPr>
      <w:r w:rsidRPr="00F604CF">
        <w:rPr>
          <w:rFonts w:cs="Arial"/>
          <w:bCs/>
          <w:sz w:val="24"/>
          <w:szCs w:val="24"/>
        </w:rPr>
        <w:t>F A L L A</w:t>
      </w:r>
    </w:p>
    <w:p w14:paraId="000A60EE" w14:textId="77777777" w:rsidR="00EA2611" w:rsidRPr="00F604CF" w:rsidRDefault="00EA2611" w:rsidP="00F604CF">
      <w:pPr>
        <w:widowControl w:val="0"/>
        <w:autoSpaceDE w:val="0"/>
        <w:autoSpaceDN w:val="0"/>
        <w:adjustRightInd w:val="0"/>
        <w:rPr>
          <w:rFonts w:cs="Arial"/>
          <w:b/>
        </w:rPr>
      </w:pPr>
    </w:p>
    <w:p w14:paraId="29353D0A" w14:textId="77777777" w:rsidR="00FF3503" w:rsidRPr="00F604CF" w:rsidRDefault="00EA2611" w:rsidP="00F604CF">
      <w:pPr>
        <w:widowControl w:val="0"/>
        <w:autoSpaceDE w:val="0"/>
        <w:autoSpaceDN w:val="0"/>
        <w:adjustRightInd w:val="0"/>
        <w:rPr>
          <w:rFonts w:cs="Arial"/>
          <w:lang w:val="es-CO"/>
        </w:rPr>
      </w:pPr>
      <w:r w:rsidRPr="00F604CF">
        <w:rPr>
          <w:rFonts w:cs="Arial"/>
          <w:b/>
        </w:rPr>
        <w:t>PRIMERO</w:t>
      </w:r>
      <w:r w:rsidR="00121D61" w:rsidRPr="00F604CF">
        <w:rPr>
          <w:rFonts w:cs="Arial"/>
          <w:b/>
        </w:rPr>
        <w:t>:</w:t>
      </w:r>
      <w:r w:rsidRPr="00F604CF">
        <w:rPr>
          <w:rFonts w:cs="Arial"/>
          <w:b/>
        </w:rPr>
        <w:t xml:space="preserve"> </w:t>
      </w:r>
      <w:r w:rsidR="00826072" w:rsidRPr="00F604CF">
        <w:rPr>
          <w:rFonts w:cs="Arial"/>
          <w:b/>
        </w:rPr>
        <w:t xml:space="preserve">REVOCAR </w:t>
      </w:r>
      <w:r w:rsidRPr="00F604CF">
        <w:rPr>
          <w:rFonts w:cs="Arial"/>
          <w:lang w:val="es-CO"/>
        </w:rPr>
        <w:t>la sentencia</w:t>
      </w:r>
      <w:r w:rsidR="00121D61" w:rsidRPr="00F604CF">
        <w:rPr>
          <w:rFonts w:cs="Arial"/>
          <w:lang w:val="es-CO"/>
        </w:rPr>
        <w:t xml:space="preserve"> proferida por el Tribunal Administrativo de </w:t>
      </w:r>
      <w:r w:rsidR="00FF3503" w:rsidRPr="00F604CF">
        <w:rPr>
          <w:rFonts w:cs="Arial"/>
          <w:lang w:val="es-CO"/>
        </w:rPr>
        <w:t>Nariño</w:t>
      </w:r>
      <w:r w:rsidR="00D164CB" w:rsidRPr="00F604CF">
        <w:rPr>
          <w:rFonts w:cs="Arial"/>
          <w:lang w:val="es-CO"/>
        </w:rPr>
        <w:t xml:space="preserve">, el </w:t>
      </w:r>
      <w:r w:rsidR="00FF3503" w:rsidRPr="00F604CF">
        <w:rPr>
          <w:rFonts w:cs="Arial"/>
          <w:lang w:val="es-CO"/>
        </w:rPr>
        <w:t xml:space="preserve">9 de mayo de </w:t>
      </w:r>
      <w:r w:rsidR="00D164CB" w:rsidRPr="00F604CF">
        <w:rPr>
          <w:rFonts w:cs="Arial"/>
          <w:lang w:val="es-CO"/>
        </w:rPr>
        <w:t>2014</w:t>
      </w:r>
      <w:r w:rsidR="004240A5" w:rsidRPr="00F604CF">
        <w:rPr>
          <w:rFonts w:cs="Arial"/>
          <w:lang w:val="es-CO"/>
        </w:rPr>
        <w:t>,</w:t>
      </w:r>
      <w:r w:rsidR="00FF3503" w:rsidRPr="00F604CF">
        <w:rPr>
          <w:rFonts w:cs="Arial"/>
          <w:lang w:val="es-CO"/>
        </w:rPr>
        <w:t xml:space="preserve"> y en su lugar se dispone:</w:t>
      </w:r>
    </w:p>
    <w:p w14:paraId="7A737369" w14:textId="77777777" w:rsidR="00497CAF" w:rsidRPr="00F604CF" w:rsidRDefault="00497CAF" w:rsidP="00F604CF">
      <w:pPr>
        <w:widowControl w:val="0"/>
        <w:autoSpaceDE w:val="0"/>
        <w:autoSpaceDN w:val="0"/>
        <w:adjustRightInd w:val="0"/>
        <w:rPr>
          <w:rFonts w:cs="Arial"/>
        </w:rPr>
      </w:pPr>
    </w:p>
    <w:p w14:paraId="3A1F7543" w14:textId="77777777" w:rsidR="00FF3503" w:rsidRPr="00F604CF" w:rsidRDefault="00FF3503" w:rsidP="00F604CF">
      <w:pPr>
        <w:widowControl w:val="0"/>
        <w:autoSpaceDE w:val="0"/>
        <w:autoSpaceDN w:val="0"/>
        <w:adjustRightInd w:val="0"/>
        <w:rPr>
          <w:rFonts w:cs="Arial"/>
        </w:rPr>
      </w:pPr>
      <w:r w:rsidRPr="00F604CF">
        <w:rPr>
          <w:rFonts w:cs="Arial"/>
        </w:rPr>
        <w:t>1º. Declarar la nulidad de la Resolución 02 193 del 22 de septiembre de 2005</w:t>
      </w:r>
      <w:r w:rsidR="004240A5" w:rsidRPr="00F604CF">
        <w:rPr>
          <w:rFonts w:cs="Arial"/>
        </w:rPr>
        <w:t>,</w:t>
      </w:r>
      <w:r w:rsidRPr="00F604CF">
        <w:rPr>
          <w:rFonts w:cs="Arial"/>
        </w:rPr>
        <w:t xml:space="preserve"> por medio del cual se adjudicó un contrato a la Unión Temporal Calimeño</w:t>
      </w:r>
      <w:r w:rsidR="00497CAF" w:rsidRPr="00F604CF">
        <w:rPr>
          <w:rFonts w:cs="Arial"/>
        </w:rPr>
        <w:t>, por las razones expuestas en la parte motiva de esta providencia</w:t>
      </w:r>
      <w:r w:rsidRPr="00F604CF">
        <w:rPr>
          <w:rFonts w:cs="Arial"/>
        </w:rPr>
        <w:t>.</w:t>
      </w:r>
    </w:p>
    <w:p w14:paraId="63E25764" w14:textId="77777777" w:rsidR="00FF3503" w:rsidRPr="00F604CF" w:rsidRDefault="00FF3503" w:rsidP="00F604CF">
      <w:pPr>
        <w:widowControl w:val="0"/>
        <w:autoSpaceDE w:val="0"/>
        <w:autoSpaceDN w:val="0"/>
        <w:adjustRightInd w:val="0"/>
        <w:rPr>
          <w:rFonts w:cs="Arial"/>
        </w:rPr>
      </w:pPr>
    </w:p>
    <w:p w14:paraId="7D3F7F2D" w14:textId="77777777" w:rsidR="00FF3503" w:rsidRPr="00F604CF" w:rsidRDefault="00FF3503" w:rsidP="00F604CF">
      <w:pPr>
        <w:widowControl w:val="0"/>
        <w:autoSpaceDE w:val="0"/>
        <w:autoSpaceDN w:val="0"/>
        <w:adjustRightInd w:val="0"/>
        <w:rPr>
          <w:rFonts w:cs="Arial"/>
        </w:rPr>
      </w:pPr>
      <w:r w:rsidRPr="00F604CF">
        <w:rPr>
          <w:rFonts w:cs="Arial"/>
        </w:rPr>
        <w:t>2º Declarar la nulidad absoluta del contrato de compraventa 153 del 31 de octubre de 2005 celebrado entre el departamento del Putumayo y la Unión Temporal Calimeño</w:t>
      </w:r>
      <w:r w:rsidR="00497CAF" w:rsidRPr="00F604CF">
        <w:rPr>
          <w:rFonts w:cs="Arial"/>
        </w:rPr>
        <w:t>, por las razones expuestas en la parte motiva de esta providencia</w:t>
      </w:r>
      <w:r w:rsidRPr="00F604CF">
        <w:rPr>
          <w:rFonts w:cs="Arial"/>
        </w:rPr>
        <w:t>.</w:t>
      </w:r>
    </w:p>
    <w:p w14:paraId="07FED81D" w14:textId="77777777" w:rsidR="00FF3503" w:rsidRPr="00F604CF" w:rsidRDefault="00FF3503" w:rsidP="00F604CF">
      <w:pPr>
        <w:widowControl w:val="0"/>
        <w:autoSpaceDE w:val="0"/>
        <w:autoSpaceDN w:val="0"/>
        <w:adjustRightInd w:val="0"/>
        <w:rPr>
          <w:rFonts w:cs="Arial"/>
        </w:rPr>
      </w:pPr>
    </w:p>
    <w:p w14:paraId="56B58043" w14:textId="77777777" w:rsidR="00FF3503" w:rsidRPr="00F604CF" w:rsidRDefault="00FF3503" w:rsidP="00F604CF">
      <w:pPr>
        <w:widowControl w:val="0"/>
        <w:autoSpaceDE w:val="0"/>
        <w:autoSpaceDN w:val="0"/>
        <w:adjustRightInd w:val="0"/>
        <w:rPr>
          <w:rFonts w:cs="Arial"/>
        </w:rPr>
      </w:pPr>
      <w:r w:rsidRPr="00F604CF">
        <w:rPr>
          <w:rFonts w:cs="Arial"/>
        </w:rPr>
        <w:t>3º Declarar la caducidad de las pretensiones indemnizatorias incoadas en la demanda.</w:t>
      </w:r>
    </w:p>
    <w:p w14:paraId="0C067F3B" w14:textId="77777777" w:rsidR="00FF3503" w:rsidRPr="00F604CF" w:rsidRDefault="00FF3503" w:rsidP="00F604CF">
      <w:pPr>
        <w:widowControl w:val="0"/>
        <w:autoSpaceDE w:val="0"/>
        <w:autoSpaceDN w:val="0"/>
        <w:adjustRightInd w:val="0"/>
        <w:rPr>
          <w:rFonts w:cs="Arial"/>
        </w:rPr>
      </w:pPr>
      <w:r w:rsidRPr="00F604CF">
        <w:rPr>
          <w:rFonts w:cs="Arial"/>
        </w:rPr>
        <w:t xml:space="preserve"> </w:t>
      </w:r>
    </w:p>
    <w:p w14:paraId="704BBBB2" w14:textId="77777777" w:rsidR="00FF3503" w:rsidRPr="00F604CF" w:rsidRDefault="00FF3503" w:rsidP="00F604CF">
      <w:pPr>
        <w:widowControl w:val="0"/>
        <w:autoSpaceDE w:val="0"/>
        <w:autoSpaceDN w:val="0"/>
        <w:adjustRightInd w:val="0"/>
        <w:rPr>
          <w:rFonts w:cs="Arial"/>
        </w:rPr>
      </w:pPr>
      <w:r w:rsidRPr="00F604CF">
        <w:rPr>
          <w:rFonts w:cs="Arial"/>
        </w:rPr>
        <w:t>4º Denegar las demás pretensiones de la demanda</w:t>
      </w:r>
      <w:r w:rsidR="00707139" w:rsidRPr="00F604CF">
        <w:rPr>
          <w:rFonts w:cs="Arial"/>
        </w:rPr>
        <w:t>.</w:t>
      </w:r>
    </w:p>
    <w:p w14:paraId="246C7D86" w14:textId="77777777" w:rsidR="00B84541" w:rsidRPr="00F604CF" w:rsidRDefault="00B84541" w:rsidP="00F604CF">
      <w:pPr>
        <w:widowControl w:val="0"/>
        <w:autoSpaceDE w:val="0"/>
        <w:autoSpaceDN w:val="0"/>
        <w:adjustRightInd w:val="0"/>
        <w:rPr>
          <w:rFonts w:cs="Arial"/>
        </w:rPr>
      </w:pPr>
    </w:p>
    <w:p w14:paraId="711839D8" w14:textId="77777777" w:rsidR="00EA2611" w:rsidRPr="00F604CF" w:rsidRDefault="004B4921" w:rsidP="00F604CF">
      <w:pPr>
        <w:widowControl w:val="0"/>
        <w:autoSpaceDE w:val="0"/>
        <w:autoSpaceDN w:val="0"/>
        <w:adjustRightInd w:val="0"/>
        <w:rPr>
          <w:rFonts w:cs="Arial"/>
        </w:rPr>
      </w:pPr>
      <w:r w:rsidRPr="00F604CF">
        <w:rPr>
          <w:rFonts w:cs="Arial"/>
          <w:b/>
        </w:rPr>
        <w:t>SEGUNDO</w:t>
      </w:r>
      <w:r w:rsidR="00EA2611" w:rsidRPr="00F604CF">
        <w:rPr>
          <w:rFonts w:cs="Arial"/>
          <w:b/>
        </w:rPr>
        <w:t xml:space="preserve">: </w:t>
      </w:r>
      <w:r w:rsidR="00EA2611" w:rsidRPr="00F604CF">
        <w:rPr>
          <w:rFonts w:cs="Arial"/>
        </w:rPr>
        <w:t>Sin condena en costas.</w:t>
      </w:r>
    </w:p>
    <w:p w14:paraId="49700E33" w14:textId="77777777" w:rsidR="008723A4" w:rsidRPr="00F604CF" w:rsidRDefault="008723A4" w:rsidP="00F604CF">
      <w:pPr>
        <w:widowControl w:val="0"/>
        <w:autoSpaceDE w:val="0"/>
        <w:autoSpaceDN w:val="0"/>
        <w:adjustRightInd w:val="0"/>
        <w:rPr>
          <w:rFonts w:cs="Arial"/>
        </w:rPr>
      </w:pPr>
    </w:p>
    <w:p w14:paraId="6ADDA8BF" w14:textId="77777777" w:rsidR="00EA2611" w:rsidRPr="00F604CF" w:rsidRDefault="004B4921" w:rsidP="00F604CF">
      <w:pPr>
        <w:widowControl w:val="0"/>
        <w:autoSpaceDE w:val="0"/>
        <w:autoSpaceDN w:val="0"/>
        <w:adjustRightInd w:val="0"/>
        <w:rPr>
          <w:rFonts w:cs="Arial"/>
        </w:rPr>
      </w:pPr>
      <w:r w:rsidRPr="00F604CF">
        <w:rPr>
          <w:rFonts w:cs="Arial"/>
          <w:b/>
        </w:rPr>
        <w:t>TERCERO</w:t>
      </w:r>
      <w:r w:rsidR="00EA2611" w:rsidRPr="00F604CF">
        <w:rPr>
          <w:rFonts w:cs="Arial"/>
          <w:b/>
        </w:rPr>
        <w:t xml:space="preserve">: </w:t>
      </w:r>
      <w:r w:rsidR="00EA2611" w:rsidRPr="00F604CF">
        <w:rPr>
          <w:rFonts w:cs="Arial"/>
        </w:rPr>
        <w:t>En firme esta providencia, devuélvase el expediente al Tribunal de origen.</w:t>
      </w:r>
    </w:p>
    <w:p w14:paraId="549F88A5" w14:textId="77777777" w:rsidR="00EA2611" w:rsidRPr="00F604CF" w:rsidRDefault="00EA2611" w:rsidP="00F604CF">
      <w:pPr>
        <w:spacing w:line="240" w:lineRule="auto"/>
        <w:jc w:val="center"/>
        <w:rPr>
          <w:rFonts w:cs="Arial"/>
          <w:b/>
          <w:bCs/>
          <w:noProof/>
        </w:rPr>
      </w:pPr>
    </w:p>
    <w:p w14:paraId="0749F318" w14:textId="77777777" w:rsidR="004240A5" w:rsidRPr="00F604CF" w:rsidRDefault="004240A5" w:rsidP="00F604CF">
      <w:pPr>
        <w:spacing w:line="240" w:lineRule="auto"/>
        <w:jc w:val="center"/>
        <w:rPr>
          <w:rFonts w:cs="Arial"/>
          <w:b/>
          <w:bCs/>
          <w:noProof/>
        </w:rPr>
      </w:pPr>
    </w:p>
    <w:p w14:paraId="3AFF8855" w14:textId="77777777" w:rsidR="00B51AE0" w:rsidRPr="00F604CF" w:rsidRDefault="00B51AE0" w:rsidP="00F604CF">
      <w:pPr>
        <w:spacing w:line="240" w:lineRule="auto"/>
        <w:jc w:val="center"/>
        <w:rPr>
          <w:rFonts w:cs="Arial"/>
          <w:b/>
          <w:bCs/>
          <w:noProof/>
        </w:rPr>
      </w:pPr>
    </w:p>
    <w:p w14:paraId="781DE996" w14:textId="77777777" w:rsidR="00B51AE0" w:rsidRPr="00F604CF" w:rsidRDefault="00B51AE0" w:rsidP="00F604CF">
      <w:pPr>
        <w:spacing w:line="240" w:lineRule="auto"/>
        <w:jc w:val="center"/>
        <w:rPr>
          <w:rFonts w:cs="Arial"/>
          <w:b/>
          <w:bCs/>
          <w:noProof/>
        </w:rPr>
      </w:pPr>
    </w:p>
    <w:p w14:paraId="2E970EFD" w14:textId="77777777" w:rsidR="00EA2611" w:rsidRPr="00F604CF" w:rsidRDefault="00EA2611" w:rsidP="00F604CF">
      <w:pPr>
        <w:spacing w:line="240" w:lineRule="auto"/>
        <w:jc w:val="center"/>
        <w:rPr>
          <w:rFonts w:cs="Arial"/>
          <w:b/>
          <w:bCs/>
          <w:noProof/>
        </w:rPr>
      </w:pPr>
      <w:r w:rsidRPr="00F604CF">
        <w:rPr>
          <w:rFonts w:cs="Arial"/>
          <w:b/>
          <w:bCs/>
          <w:noProof/>
        </w:rPr>
        <w:t>CÓPIESE, NOTIFÍQUESE Y CÚMPLASE</w:t>
      </w:r>
    </w:p>
    <w:p w14:paraId="7426BE2C" w14:textId="77777777" w:rsidR="00707139" w:rsidRPr="00F604CF" w:rsidRDefault="00707139" w:rsidP="00F604CF">
      <w:pPr>
        <w:spacing w:line="240" w:lineRule="auto"/>
        <w:jc w:val="center"/>
        <w:rPr>
          <w:rFonts w:cs="Arial"/>
        </w:rPr>
      </w:pPr>
    </w:p>
    <w:p w14:paraId="0D5A9C04" w14:textId="77777777" w:rsidR="00EA2611" w:rsidRPr="00F604CF" w:rsidRDefault="00EA2611" w:rsidP="00F604CF">
      <w:pPr>
        <w:spacing w:line="240" w:lineRule="auto"/>
        <w:jc w:val="center"/>
        <w:rPr>
          <w:rFonts w:cs="Arial"/>
        </w:rPr>
      </w:pPr>
    </w:p>
    <w:p w14:paraId="68200D02" w14:textId="77777777" w:rsidR="00CC4B8A" w:rsidRPr="00F604CF" w:rsidRDefault="00CC4B8A" w:rsidP="00F604CF">
      <w:pPr>
        <w:spacing w:line="240" w:lineRule="auto"/>
        <w:jc w:val="center"/>
        <w:rPr>
          <w:rFonts w:cs="Arial"/>
        </w:rPr>
      </w:pPr>
    </w:p>
    <w:p w14:paraId="309FF17A" w14:textId="77777777" w:rsidR="00EA2611" w:rsidRPr="00F604CF" w:rsidRDefault="00EA2611" w:rsidP="00F604CF">
      <w:pPr>
        <w:spacing w:line="240" w:lineRule="auto"/>
        <w:jc w:val="center"/>
        <w:rPr>
          <w:rFonts w:cs="Arial"/>
        </w:rPr>
      </w:pPr>
    </w:p>
    <w:p w14:paraId="02FF9071" w14:textId="77777777" w:rsidR="00EA2611" w:rsidRPr="00F604CF" w:rsidRDefault="001F48D2" w:rsidP="00F604CF">
      <w:pPr>
        <w:widowControl w:val="0"/>
        <w:autoSpaceDE w:val="0"/>
        <w:autoSpaceDN w:val="0"/>
        <w:adjustRightInd w:val="0"/>
        <w:spacing w:line="240" w:lineRule="auto"/>
        <w:jc w:val="center"/>
        <w:rPr>
          <w:rFonts w:cs="Arial"/>
          <w:b/>
        </w:rPr>
      </w:pPr>
      <w:r w:rsidRPr="00F604CF">
        <w:rPr>
          <w:rFonts w:cs="Arial"/>
          <w:b/>
          <w:lang w:val="es-CO"/>
        </w:rPr>
        <w:t>MARTA NUBIA VELÁSQUEZ RICO</w:t>
      </w:r>
    </w:p>
    <w:p w14:paraId="2154FE98" w14:textId="77777777" w:rsidR="00B56C55" w:rsidRPr="00F604CF" w:rsidRDefault="00B56C55" w:rsidP="00F604CF">
      <w:pPr>
        <w:widowControl w:val="0"/>
        <w:autoSpaceDE w:val="0"/>
        <w:autoSpaceDN w:val="0"/>
        <w:adjustRightInd w:val="0"/>
        <w:spacing w:line="240" w:lineRule="auto"/>
        <w:jc w:val="center"/>
        <w:rPr>
          <w:rFonts w:cs="Arial"/>
          <w:b/>
        </w:rPr>
      </w:pPr>
    </w:p>
    <w:p w14:paraId="54B7C1E5" w14:textId="77777777" w:rsidR="00707139" w:rsidRPr="00F604CF" w:rsidRDefault="00707139" w:rsidP="00F604CF">
      <w:pPr>
        <w:widowControl w:val="0"/>
        <w:autoSpaceDE w:val="0"/>
        <w:autoSpaceDN w:val="0"/>
        <w:adjustRightInd w:val="0"/>
        <w:spacing w:line="240" w:lineRule="auto"/>
        <w:jc w:val="center"/>
        <w:rPr>
          <w:rFonts w:cs="Arial"/>
          <w:b/>
        </w:rPr>
      </w:pPr>
    </w:p>
    <w:p w14:paraId="28965345" w14:textId="77777777" w:rsidR="00707139" w:rsidRPr="00F604CF" w:rsidRDefault="00707139" w:rsidP="00F604CF">
      <w:pPr>
        <w:widowControl w:val="0"/>
        <w:autoSpaceDE w:val="0"/>
        <w:autoSpaceDN w:val="0"/>
        <w:adjustRightInd w:val="0"/>
        <w:spacing w:line="240" w:lineRule="auto"/>
        <w:jc w:val="center"/>
        <w:rPr>
          <w:rFonts w:cs="Arial"/>
          <w:b/>
        </w:rPr>
      </w:pPr>
    </w:p>
    <w:p w14:paraId="2A05592E" w14:textId="77777777" w:rsidR="00CC4B8A" w:rsidRPr="00F604CF" w:rsidRDefault="00CC4B8A" w:rsidP="00F604CF">
      <w:pPr>
        <w:widowControl w:val="0"/>
        <w:autoSpaceDE w:val="0"/>
        <w:autoSpaceDN w:val="0"/>
        <w:adjustRightInd w:val="0"/>
        <w:spacing w:line="240" w:lineRule="auto"/>
        <w:jc w:val="center"/>
        <w:rPr>
          <w:rFonts w:cs="Arial"/>
          <w:b/>
        </w:rPr>
      </w:pPr>
    </w:p>
    <w:p w14:paraId="2A3B0EC2" w14:textId="77777777" w:rsidR="00EA2611" w:rsidRPr="00F604CF" w:rsidRDefault="00EA2611" w:rsidP="00F604CF">
      <w:pPr>
        <w:widowControl w:val="0"/>
        <w:autoSpaceDE w:val="0"/>
        <w:autoSpaceDN w:val="0"/>
        <w:adjustRightInd w:val="0"/>
        <w:spacing w:line="240" w:lineRule="auto"/>
        <w:jc w:val="center"/>
        <w:rPr>
          <w:rFonts w:cs="Arial"/>
          <w:b/>
        </w:rPr>
      </w:pPr>
      <w:r w:rsidRPr="00F604CF">
        <w:rPr>
          <w:rFonts w:cs="Arial"/>
          <w:b/>
        </w:rPr>
        <w:t>CARLOS ALBERTO ZAMBRANO BARRERA</w:t>
      </w:r>
    </w:p>
    <w:sectPr w:rsidR="00EA2611" w:rsidRPr="00F604CF" w:rsidSect="009C4D87">
      <w:headerReference w:type="even" r:id="rId11"/>
      <w:headerReference w:type="default" r:id="rId12"/>
      <w:footerReference w:type="even" r:id="rId13"/>
      <w:footerReference w:type="default" r:id="rId14"/>
      <w:pgSz w:w="12242" w:h="18722" w:code="120"/>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DE087" w14:textId="77777777" w:rsidR="001E6292" w:rsidRDefault="001E6292" w:rsidP="00C85395">
      <w:r>
        <w:separator/>
      </w:r>
    </w:p>
  </w:endnote>
  <w:endnote w:type="continuationSeparator" w:id="0">
    <w:p w14:paraId="23660FE5" w14:textId="77777777" w:rsidR="001E6292" w:rsidRDefault="001E6292" w:rsidP="00C8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2E47F" w14:textId="77777777" w:rsidR="001E6292" w:rsidRDefault="001E6292" w:rsidP="006434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948D4A" w14:textId="77777777" w:rsidR="001E6292" w:rsidRDefault="001E6292" w:rsidP="0064345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C6588" w14:textId="77777777" w:rsidR="001E6292" w:rsidRDefault="001E6292" w:rsidP="0064345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1E22C" w14:textId="77777777" w:rsidR="001E6292" w:rsidRDefault="001E6292" w:rsidP="00C85395">
      <w:r>
        <w:separator/>
      </w:r>
    </w:p>
  </w:footnote>
  <w:footnote w:type="continuationSeparator" w:id="0">
    <w:p w14:paraId="36BDB861" w14:textId="77777777" w:rsidR="001E6292" w:rsidRDefault="001E6292" w:rsidP="00C85395">
      <w:r>
        <w:continuationSeparator/>
      </w:r>
    </w:p>
  </w:footnote>
  <w:footnote w:id="1">
    <w:p w14:paraId="53B01B40" w14:textId="77777777" w:rsidR="001E6292" w:rsidRPr="001B5940" w:rsidRDefault="001E6292">
      <w:pPr>
        <w:pStyle w:val="Textonotapie"/>
        <w:rPr>
          <w:lang w:val="es-CO"/>
        </w:rPr>
      </w:pPr>
      <w:r>
        <w:rPr>
          <w:rStyle w:val="Refdenotaalpie"/>
        </w:rPr>
        <w:footnoteRef/>
      </w:r>
      <w:r>
        <w:t xml:space="preserve"> Carátula de presentación personal y folio 311, cuaderno 1.</w:t>
      </w:r>
      <w:r>
        <w:rPr>
          <w:lang w:val="es-CO"/>
        </w:rPr>
        <w:t xml:space="preserve"> </w:t>
      </w:r>
    </w:p>
  </w:footnote>
  <w:footnote w:id="2">
    <w:p w14:paraId="261259CB" w14:textId="77777777" w:rsidR="001E6292" w:rsidRPr="00DA00F4" w:rsidRDefault="001E6292">
      <w:pPr>
        <w:pStyle w:val="Textonotapie"/>
        <w:rPr>
          <w:lang w:val="es-CO"/>
        </w:rPr>
      </w:pPr>
      <w:r>
        <w:rPr>
          <w:rStyle w:val="Refdenotaalpie"/>
        </w:rPr>
        <w:footnoteRef/>
      </w:r>
      <w:r>
        <w:t xml:space="preserve"> </w:t>
      </w:r>
      <w:r>
        <w:rPr>
          <w:lang w:val="es-CO"/>
        </w:rPr>
        <w:t>Folios 22 y 23, cuaderno 1.</w:t>
      </w:r>
    </w:p>
  </w:footnote>
  <w:footnote w:id="3">
    <w:p w14:paraId="290B77AC" w14:textId="77777777" w:rsidR="001E6292" w:rsidRPr="003E71C0" w:rsidRDefault="001E6292">
      <w:pPr>
        <w:pStyle w:val="Textonotapie"/>
        <w:rPr>
          <w:lang w:val="es-CO"/>
        </w:rPr>
      </w:pPr>
      <w:r>
        <w:rPr>
          <w:rStyle w:val="Refdenotaalpie"/>
        </w:rPr>
        <w:footnoteRef/>
      </w:r>
      <w:r>
        <w:t xml:space="preserve"> </w:t>
      </w:r>
      <w:r>
        <w:rPr>
          <w:lang w:val="es-CO"/>
        </w:rPr>
        <w:t>Folios 96 y 97 cuaderno 1.</w:t>
      </w:r>
    </w:p>
  </w:footnote>
  <w:footnote w:id="4">
    <w:p w14:paraId="37FABA6E" w14:textId="77777777" w:rsidR="001E6292" w:rsidRPr="00635611" w:rsidRDefault="001E6292">
      <w:pPr>
        <w:pStyle w:val="Textonotapie"/>
        <w:rPr>
          <w:lang w:val="es-CO"/>
        </w:rPr>
      </w:pPr>
      <w:r>
        <w:rPr>
          <w:rStyle w:val="Refdenotaalpie"/>
        </w:rPr>
        <w:footnoteRef/>
      </w:r>
      <w:r>
        <w:t xml:space="preserve"> </w:t>
      </w:r>
      <w:r>
        <w:rPr>
          <w:lang w:val="es-CO"/>
        </w:rPr>
        <w:t>En adelante se podrá denominar R.U.P.</w:t>
      </w:r>
    </w:p>
  </w:footnote>
  <w:footnote w:id="5">
    <w:p w14:paraId="28CEE99A" w14:textId="77777777" w:rsidR="001E6292" w:rsidRPr="00776BEA" w:rsidRDefault="001E6292" w:rsidP="006B2B87">
      <w:pPr>
        <w:pStyle w:val="Textonotapie"/>
        <w:spacing w:line="240" w:lineRule="auto"/>
        <w:rPr>
          <w:lang w:val="es-CO"/>
        </w:rPr>
      </w:pPr>
      <w:r>
        <w:rPr>
          <w:rStyle w:val="Refdenotaalpie"/>
        </w:rPr>
        <w:footnoteRef/>
      </w:r>
      <w:r>
        <w:t xml:space="preserve"> </w:t>
      </w:r>
      <w:r>
        <w:rPr>
          <w:lang w:val="es-CO"/>
        </w:rPr>
        <w:t xml:space="preserve">Denuncia penal presentada el 18 de noviembre de 2005, obrante en los folios 261 a 270, cuaderno 1. </w:t>
      </w:r>
    </w:p>
  </w:footnote>
  <w:footnote w:id="6">
    <w:p w14:paraId="24E4720B" w14:textId="77777777" w:rsidR="001E6292" w:rsidRPr="000235A0" w:rsidRDefault="001E6292">
      <w:pPr>
        <w:pStyle w:val="Textonotapie"/>
        <w:rPr>
          <w:lang w:val="es-CO"/>
        </w:rPr>
      </w:pPr>
      <w:r>
        <w:rPr>
          <w:rStyle w:val="Refdenotaalpie"/>
        </w:rPr>
        <w:footnoteRef/>
      </w:r>
      <w:r>
        <w:t xml:space="preserve"> </w:t>
      </w:r>
      <w:r>
        <w:rPr>
          <w:lang w:val="es-CO"/>
        </w:rPr>
        <w:t>Folio 334, cuaderno 1.</w:t>
      </w:r>
    </w:p>
  </w:footnote>
  <w:footnote w:id="7">
    <w:p w14:paraId="6AF7D334" w14:textId="77777777" w:rsidR="001E6292" w:rsidRPr="00CF093C" w:rsidRDefault="001E6292">
      <w:pPr>
        <w:pStyle w:val="Textonotapie"/>
        <w:rPr>
          <w:lang w:val="es-CO"/>
        </w:rPr>
      </w:pPr>
      <w:r>
        <w:rPr>
          <w:rStyle w:val="Refdenotaalpie"/>
        </w:rPr>
        <w:footnoteRef/>
      </w:r>
      <w:r>
        <w:t xml:space="preserve"> </w:t>
      </w:r>
      <w:r>
        <w:rPr>
          <w:lang w:val="es-CO"/>
        </w:rPr>
        <w:t xml:space="preserve">Folio 323, cuaderno 1. </w:t>
      </w:r>
    </w:p>
  </w:footnote>
  <w:footnote w:id="8">
    <w:p w14:paraId="406E6F79" w14:textId="77777777" w:rsidR="001E6292" w:rsidRPr="00AD7DCD" w:rsidRDefault="001E6292">
      <w:pPr>
        <w:pStyle w:val="Textonotapie"/>
        <w:rPr>
          <w:lang w:val="es-CO"/>
        </w:rPr>
      </w:pPr>
      <w:r>
        <w:rPr>
          <w:rStyle w:val="Refdenotaalpie"/>
        </w:rPr>
        <w:footnoteRef/>
      </w:r>
      <w:r>
        <w:t xml:space="preserve"> </w:t>
      </w:r>
      <w:r>
        <w:rPr>
          <w:lang w:val="es-CO"/>
        </w:rPr>
        <w:t>Folios 388, 394 y 395, cuaderno 1.</w:t>
      </w:r>
    </w:p>
  </w:footnote>
  <w:footnote w:id="9">
    <w:p w14:paraId="67B738EA" w14:textId="77777777" w:rsidR="001E6292" w:rsidRDefault="001E6292" w:rsidP="004B5D00">
      <w:pPr>
        <w:pStyle w:val="Textonotapie"/>
        <w:spacing w:line="240" w:lineRule="auto"/>
        <w:rPr>
          <w:lang w:val="es-CO"/>
        </w:rPr>
      </w:pPr>
      <w:r>
        <w:rPr>
          <w:rStyle w:val="Refdenotaalpie"/>
        </w:rPr>
        <w:footnoteRef/>
      </w:r>
      <w:r>
        <w:t xml:space="preserve"> </w:t>
      </w:r>
      <w:r>
        <w:rPr>
          <w:lang w:val="es-CO"/>
        </w:rPr>
        <w:t>Folio 319 cuaderno 1. Según el certificado expedido por la Cámara de Comercio, el nombre completo de esta sociedad  era Representaciones y Ediciones Eliber Ltda.</w:t>
      </w:r>
    </w:p>
    <w:p w14:paraId="7B0F5F8B" w14:textId="77777777" w:rsidR="001E6292" w:rsidRPr="005C1A20" w:rsidRDefault="001E6292" w:rsidP="004B5D00">
      <w:pPr>
        <w:pStyle w:val="Textonotapie"/>
        <w:spacing w:line="240" w:lineRule="auto"/>
        <w:rPr>
          <w:lang w:val="es-CO"/>
        </w:rPr>
      </w:pPr>
    </w:p>
  </w:footnote>
  <w:footnote w:id="10">
    <w:p w14:paraId="17D13EFA" w14:textId="77777777" w:rsidR="001E6292" w:rsidRPr="00E76946" w:rsidRDefault="001E6292">
      <w:pPr>
        <w:pStyle w:val="Textonotapie"/>
        <w:rPr>
          <w:lang w:val="es-CO"/>
        </w:rPr>
      </w:pPr>
      <w:r>
        <w:rPr>
          <w:rStyle w:val="Refdenotaalpie"/>
        </w:rPr>
        <w:footnoteRef/>
      </w:r>
      <w:r>
        <w:t xml:space="preserve"> </w:t>
      </w:r>
      <w:r>
        <w:rPr>
          <w:lang w:val="es-CO"/>
        </w:rPr>
        <w:t xml:space="preserve">Folios 255 a 260, cuaderno 1. </w:t>
      </w:r>
    </w:p>
  </w:footnote>
  <w:footnote w:id="11">
    <w:p w14:paraId="5169AA73" w14:textId="77777777" w:rsidR="001E6292" w:rsidRPr="00200E09" w:rsidRDefault="001E6292">
      <w:pPr>
        <w:pStyle w:val="Textonotapie"/>
        <w:rPr>
          <w:lang w:val="es-CO"/>
        </w:rPr>
      </w:pPr>
      <w:r>
        <w:rPr>
          <w:rStyle w:val="Refdenotaalpie"/>
        </w:rPr>
        <w:footnoteRef/>
      </w:r>
      <w:r>
        <w:t xml:space="preserve"> </w:t>
      </w:r>
      <w:r>
        <w:rPr>
          <w:lang w:val="es-CO"/>
        </w:rPr>
        <w:t>Folio 406, cuaderno 1.</w:t>
      </w:r>
    </w:p>
  </w:footnote>
  <w:footnote w:id="12">
    <w:p w14:paraId="5DBCEF5E" w14:textId="77777777" w:rsidR="001E6292" w:rsidRPr="004355CC" w:rsidRDefault="001E6292">
      <w:pPr>
        <w:pStyle w:val="Textonotapie"/>
        <w:rPr>
          <w:lang w:val="es-CO"/>
        </w:rPr>
      </w:pPr>
      <w:r>
        <w:rPr>
          <w:rStyle w:val="Refdenotaalpie"/>
        </w:rPr>
        <w:footnoteRef/>
      </w:r>
      <w:r>
        <w:t xml:space="preserve"> </w:t>
      </w:r>
      <w:r>
        <w:rPr>
          <w:lang w:val="es-CO"/>
        </w:rPr>
        <w:t>Folios 439 a 445, cuaderno 1.</w:t>
      </w:r>
    </w:p>
  </w:footnote>
  <w:footnote w:id="13">
    <w:p w14:paraId="3437D113" w14:textId="77777777" w:rsidR="001E6292" w:rsidRPr="008A4209" w:rsidRDefault="001E6292">
      <w:pPr>
        <w:pStyle w:val="Textonotapie"/>
        <w:rPr>
          <w:lang w:val="es-CO"/>
        </w:rPr>
      </w:pPr>
      <w:r>
        <w:rPr>
          <w:rStyle w:val="Refdenotaalpie"/>
        </w:rPr>
        <w:footnoteRef/>
      </w:r>
      <w:r>
        <w:t xml:space="preserve"> </w:t>
      </w:r>
      <w:r>
        <w:rPr>
          <w:lang w:val="es-CO"/>
        </w:rPr>
        <w:t xml:space="preserve">Folios 371 a 381, cuaderno 1. </w:t>
      </w:r>
    </w:p>
  </w:footnote>
  <w:footnote w:id="14">
    <w:p w14:paraId="5C5C9D44" w14:textId="77777777" w:rsidR="001E6292" w:rsidRPr="00643721" w:rsidRDefault="001E6292">
      <w:pPr>
        <w:pStyle w:val="Textonotapie"/>
        <w:rPr>
          <w:lang w:val="es-CO"/>
        </w:rPr>
      </w:pPr>
      <w:r>
        <w:rPr>
          <w:rStyle w:val="Refdenotaalpie"/>
        </w:rPr>
        <w:footnoteRef/>
      </w:r>
      <w:r>
        <w:t xml:space="preserve"> </w:t>
      </w:r>
      <w:r>
        <w:rPr>
          <w:lang w:val="es-CO"/>
        </w:rPr>
        <w:t>Folios 524, cuaderno principal segunda instancia.</w:t>
      </w:r>
    </w:p>
  </w:footnote>
  <w:footnote w:id="15">
    <w:p w14:paraId="680A31F6" w14:textId="77777777" w:rsidR="001E6292" w:rsidRPr="00C63F16" w:rsidRDefault="001E6292">
      <w:pPr>
        <w:pStyle w:val="Textonotapie"/>
        <w:rPr>
          <w:lang w:val="es-CO"/>
        </w:rPr>
      </w:pPr>
      <w:r>
        <w:rPr>
          <w:rStyle w:val="Refdenotaalpie"/>
        </w:rPr>
        <w:footnoteRef/>
      </w:r>
      <w:r>
        <w:t xml:space="preserve"> Se refirió a la certificación que obra en el f</w:t>
      </w:r>
      <w:r>
        <w:rPr>
          <w:lang w:val="es-CO"/>
        </w:rPr>
        <w:t>olio 182, cuaderno 1.</w:t>
      </w:r>
    </w:p>
  </w:footnote>
  <w:footnote w:id="16">
    <w:p w14:paraId="6A2B98A9" w14:textId="77777777" w:rsidR="001E6292" w:rsidRPr="00560C5E" w:rsidRDefault="001E6292">
      <w:pPr>
        <w:pStyle w:val="Textonotapie"/>
        <w:rPr>
          <w:lang w:val="es-CO"/>
        </w:rPr>
      </w:pPr>
      <w:r>
        <w:rPr>
          <w:rStyle w:val="Refdenotaalpie"/>
        </w:rPr>
        <w:footnoteRef/>
      </w:r>
      <w:r>
        <w:t xml:space="preserve"> </w:t>
      </w:r>
      <w:r>
        <w:rPr>
          <w:lang w:val="es-CO"/>
        </w:rPr>
        <w:t>Folio 573, cuaderno principal segunda instancia.</w:t>
      </w:r>
    </w:p>
  </w:footnote>
  <w:footnote w:id="17">
    <w:p w14:paraId="258C739F" w14:textId="77777777" w:rsidR="001E6292" w:rsidRPr="00466AB1" w:rsidRDefault="001E6292">
      <w:pPr>
        <w:pStyle w:val="Textonotapie"/>
        <w:rPr>
          <w:lang w:val="es-CO"/>
        </w:rPr>
      </w:pPr>
      <w:r>
        <w:rPr>
          <w:rStyle w:val="Refdenotaalpie"/>
        </w:rPr>
        <w:footnoteRef/>
      </w:r>
      <w:r>
        <w:t xml:space="preserve"> </w:t>
      </w:r>
      <w:r>
        <w:rPr>
          <w:lang w:val="es-CO"/>
        </w:rPr>
        <w:t>Abuso o desviación de poder.</w:t>
      </w:r>
    </w:p>
  </w:footnote>
  <w:footnote w:id="18">
    <w:p w14:paraId="183C67A4" w14:textId="77777777" w:rsidR="001E6292" w:rsidRPr="004163E2" w:rsidRDefault="001E6292">
      <w:pPr>
        <w:pStyle w:val="Textonotapie"/>
        <w:rPr>
          <w:lang w:val="es-CO"/>
        </w:rPr>
      </w:pPr>
      <w:r w:rsidRPr="004163E2">
        <w:rPr>
          <w:rStyle w:val="Refdenotaalpie"/>
        </w:rPr>
        <w:footnoteRef/>
      </w:r>
      <w:r w:rsidRPr="004163E2">
        <w:t xml:space="preserve"> </w:t>
      </w:r>
      <w:r w:rsidRPr="004163E2">
        <w:rPr>
          <w:lang w:val="es-CO"/>
        </w:rPr>
        <w:t>Artículos 2 y 75.</w:t>
      </w:r>
    </w:p>
  </w:footnote>
  <w:footnote w:id="19">
    <w:p w14:paraId="6060BFFD" w14:textId="77777777" w:rsidR="001E6292" w:rsidRPr="004163E2" w:rsidRDefault="001E6292" w:rsidP="007C3B64">
      <w:pPr>
        <w:pStyle w:val="Textonotapie"/>
        <w:spacing w:line="240" w:lineRule="auto"/>
        <w:rPr>
          <w:lang w:val="es-CO"/>
        </w:rPr>
      </w:pPr>
      <w:r w:rsidRPr="004163E2">
        <w:rPr>
          <w:rStyle w:val="Refdenotaalpie"/>
        </w:rPr>
        <w:footnoteRef/>
      </w:r>
      <w:r w:rsidRPr="004163E2">
        <w:t xml:space="preserve"> El criterio orgánico</w:t>
      </w:r>
      <w:r>
        <w:t xml:space="preserve">, vigente para la fecha de presentación de la demanda en este proceso, </w:t>
      </w:r>
      <w:r w:rsidRPr="004163E2">
        <w:t xml:space="preserve">se refiere a la asignación de jurisdicción competente para conocer de las controversias contractuales con base en naturaleza de entidad pública de una de las partes del contrato, de acuerdo con la enumeración del artículo 2º de la Ley 80 de 1993. Este criterio fue corroborado como regla general de la determinación de la jurisdicción competente, de acuerdo con las modificaciones introducidas por el artículo 30 de </w:t>
      </w:r>
      <w:r w:rsidRPr="004163E2">
        <w:rPr>
          <w:lang w:val="es-CO"/>
        </w:rPr>
        <w:t>la Ley 446 de 1998, la cual entró a regir el 8 de julio de 1998</w:t>
      </w:r>
      <w:r>
        <w:rPr>
          <w:lang w:val="es-CO"/>
        </w:rPr>
        <w:t>.</w:t>
      </w:r>
    </w:p>
  </w:footnote>
  <w:footnote w:id="20">
    <w:p w14:paraId="7AB23CB3" w14:textId="77777777" w:rsidR="001E6292" w:rsidRPr="00DA5C73" w:rsidRDefault="001E6292" w:rsidP="00DA5C73">
      <w:pPr>
        <w:pStyle w:val="NormalWeb"/>
        <w:shd w:val="clear" w:color="auto" w:fill="FFFFFF"/>
        <w:spacing w:line="240" w:lineRule="auto"/>
        <w:rPr>
          <w:rFonts w:cs="Arial"/>
          <w:i/>
          <w:color w:val="000000"/>
          <w:sz w:val="20"/>
          <w:szCs w:val="20"/>
        </w:rPr>
      </w:pPr>
      <w:r w:rsidRPr="004163E2">
        <w:rPr>
          <w:rStyle w:val="Refdenotaalpie"/>
        </w:rPr>
        <w:footnoteRef/>
      </w:r>
      <w:r w:rsidRPr="008F604A">
        <w:rPr>
          <w:rFonts w:cs="Arial"/>
          <w:bCs/>
          <w:i/>
          <w:color w:val="000000"/>
          <w:sz w:val="20"/>
          <w:szCs w:val="20"/>
        </w:rPr>
        <w:t>Ley 80 de 1993</w:t>
      </w:r>
      <w:r>
        <w:rPr>
          <w:rFonts w:cs="Arial"/>
          <w:bCs/>
          <w:i/>
          <w:color w:val="000000"/>
          <w:sz w:val="20"/>
          <w:szCs w:val="20"/>
        </w:rPr>
        <w:t>.</w:t>
      </w:r>
      <w:r w:rsidRPr="008F604A">
        <w:rPr>
          <w:rFonts w:cs="Arial"/>
          <w:bCs/>
          <w:i/>
          <w:color w:val="000000"/>
          <w:sz w:val="20"/>
          <w:szCs w:val="20"/>
        </w:rPr>
        <w:t xml:space="preserve"> </w:t>
      </w:r>
      <w:r>
        <w:rPr>
          <w:rFonts w:cs="Arial"/>
          <w:bCs/>
          <w:i/>
          <w:color w:val="000000"/>
          <w:sz w:val="20"/>
          <w:szCs w:val="20"/>
        </w:rPr>
        <w:t>“</w:t>
      </w:r>
      <w:r w:rsidRPr="008F604A">
        <w:rPr>
          <w:rFonts w:cs="Arial"/>
          <w:bCs/>
          <w:i/>
          <w:color w:val="000000"/>
          <w:sz w:val="20"/>
          <w:szCs w:val="20"/>
        </w:rPr>
        <w:t>Artículo</w:t>
      </w:r>
      <w:r>
        <w:rPr>
          <w:rFonts w:cs="Arial"/>
          <w:bCs/>
          <w:i/>
          <w:color w:val="000000"/>
          <w:sz w:val="20"/>
          <w:szCs w:val="20"/>
        </w:rPr>
        <w:t xml:space="preserve"> </w:t>
      </w:r>
      <w:r w:rsidRPr="008F604A">
        <w:rPr>
          <w:rFonts w:cs="Arial"/>
          <w:bCs/>
          <w:i/>
          <w:color w:val="000000"/>
          <w:sz w:val="20"/>
          <w:szCs w:val="20"/>
        </w:rPr>
        <w:t>2º.-</w:t>
      </w:r>
      <w:r w:rsidRPr="00DA5C73">
        <w:rPr>
          <w:rFonts w:cs="Arial"/>
          <w:b/>
          <w:bCs/>
          <w:i/>
          <w:color w:val="000000"/>
          <w:sz w:val="20"/>
          <w:szCs w:val="20"/>
        </w:rPr>
        <w:t> </w:t>
      </w:r>
      <w:r w:rsidRPr="00DA5C73">
        <w:rPr>
          <w:rFonts w:cs="Arial"/>
          <w:i/>
          <w:iCs/>
          <w:color w:val="000000"/>
          <w:sz w:val="20"/>
          <w:szCs w:val="20"/>
        </w:rPr>
        <w:t>De la Definición de Entidades, Servidores y Servicios Públicos</w:t>
      </w:r>
      <w:r w:rsidRPr="00DA5C73">
        <w:rPr>
          <w:rFonts w:cs="Arial"/>
          <w:i/>
          <w:color w:val="000000"/>
          <w:sz w:val="20"/>
          <w:szCs w:val="20"/>
        </w:rPr>
        <w:t>. Para los solos efectos de esta Ley:</w:t>
      </w:r>
    </w:p>
    <w:p w14:paraId="22CF9F88" w14:textId="77777777" w:rsidR="001E6292" w:rsidRPr="00DA5C73" w:rsidRDefault="001E6292" w:rsidP="00DA5C73">
      <w:pPr>
        <w:shd w:val="clear" w:color="auto" w:fill="FFFFFF"/>
        <w:spacing w:before="100" w:beforeAutospacing="1" w:after="100" w:afterAutospacing="1" w:line="240" w:lineRule="auto"/>
        <w:jc w:val="left"/>
        <w:rPr>
          <w:rFonts w:cs="Arial"/>
          <w:b/>
          <w:bCs/>
          <w:i/>
          <w:color w:val="000000"/>
          <w:sz w:val="20"/>
          <w:szCs w:val="20"/>
        </w:rPr>
      </w:pPr>
      <w:r w:rsidRPr="00DA5C73">
        <w:rPr>
          <w:rFonts w:cs="Arial"/>
          <w:bCs/>
          <w:i/>
          <w:color w:val="000000"/>
          <w:sz w:val="20"/>
          <w:szCs w:val="20"/>
        </w:rPr>
        <w:t>“</w:t>
      </w:r>
      <w:r w:rsidRPr="00DA5C73">
        <w:rPr>
          <w:rFonts w:cs="Arial"/>
          <w:b/>
          <w:bCs/>
          <w:i/>
          <w:color w:val="000000"/>
          <w:sz w:val="20"/>
          <w:szCs w:val="20"/>
        </w:rPr>
        <w:t>1o. Se denominan entidades estatales:</w:t>
      </w:r>
    </w:p>
    <w:p w14:paraId="1227EBAB" w14:textId="77777777" w:rsidR="001E6292" w:rsidRPr="004163E2" w:rsidRDefault="001E6292" w:rsidP="008F604A">
      <w:pPr>
        <w:shd w:val="clear" w:color="auto" w:fill="FFFFFF"/>
        <w:spacing w:before="100" w:beforeAutospacing="1" w:after="100" w:afterAutospacing="1" w:line="240" w:lineRule="auto"/>
        <w:rPr>
          <w:lang w:val="es-CO"/>
        </w:rPr>
      </w:pPr>
      <w:r w:rsidRPr="00DA5C73">
        <w:rPr>
          <w:rFonts w:cs="Arial"/>
          <w:i/>
          <w:color w:val="000000"/>
          <w:sz w:val="20"/>
          <w:szCs w:val="20"/>
        </w:rPr>
        <w:t xml:space="preserve">“a) La Nación, las regiones, </w:t>
      </w:r>
      <w:r w:rsidRPr="00DA5C73">
        <w:rPr>
          <w:rFonts w:cs="Arial"/>
          <w:b/>
          <w:i/>
          <w:color w:val="000000"/>
          <w:sz w:val="20"/>
          <w:szCs w:val="20"/>
        </w:rPr>
        <w:t>los departamentos</w:t>
      </w:r>
      <w:r w:rsidRPr="00DA5C73">
        <w:rPr>
          <w:rFonts w:cs="Arial"/>
          <w:i/>
          <w:color w:val="000000"/>
          <w:sz w:val="20"/>
          <w:szCs w:val="20"/>
        </w:rPr>
        <w:t>,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r>
        <w:rPr>
          <w:rFonts w:cs="Arial"/>
          <w:i/>
          <w:color w:val="000000"/>
          <w:sz w:val="20"/>
          <w:szCs w:val="20"/>
        </w:rPr>
        <w:t xml:space="preserve"> </w:t>
      </w:r>
      <w:r w:rsidRPr="00DA5C73">
        <w:rPr>
          <w:rFonts w:cs="Arial"/>
          <w:color w:val="000000"/>
          <w:sz w:val="20"/>
          <w:szCs w:val="20"/>
        </w:rPr>
        <w:t>(la negrilla no es del texto).</w:t>
      </w:r>
      <w:r>
        <w:rPr>
          <w:rFonts w:cs="Arial"/>
          <w:i/>
          <w:color w:val="000000"/>
          <w:sz w:val="20"/>
          <w:szCs w:val="20"/>
        </w:rPr>
        <w:t xml:space="preserve"> </w:t>
      </w:r>
    </w:p>
  </w:footnote>
  <w:footnote w:id="21">
    <w:p w14:paraId="2088A8A2" w14:textId="77777777" w:rsidR="001E6292" w:rsidRPr="004163E2" w:rsidRDefault="001E6292" w:rsidP="000B0842">
      <w:pPr>
        <w:pStyle w:val="Textonotapie"/>
        <w:rPr>
          <w:lang w:val="es-CO"/>
        </w:rPr>
      </w:pPr>
      <w:r w:rsidRPr="004163E2">
        <w:rPr>
          <w:rStyle w:val="Refdenotaalpie"/>
        </w:rPr>
        <w:footnoteRef/>
      </w:r>
      <w:r w:rsidRPr="004163E2">
        <w:t xml:space="preserve"> Folio 3</w:t>
      </w:r>
      <w:r>
        <w:t>3</w:t>
      </w:r>
      <w:r w:rsidRPr="004163E2">
        <w:t>, cuaderno 1.</w:t>
      </w:r>
    </w:p>
  </w:footnote>
  <w:footnote w:id="22">
    <w:p w14:paraId="35BA1A75" w14:textId="77777777" w:rsidR="001E6292" w:rsidRPr="004163E2" w:rsidRDefault="001E6292" w:rsidP="000B0842">
      <w:pPr>
        <w:pStyle w:val="Textonotapie"/>
        <w:spacing w:line="240" w:lineRule="auto"/>
      </w:pPr>
      <w:r w:rsidRPr="004163E2">
        <w:rPr>
          <w:rStyle w:val="Refdenotaalpie"/>
        </w:rPr>
        <w:footnoteRef/>
      </w:r>
      <w:r w:rsidRPr="004163E2">
        <w:t xml:space="preserve"> De acuerdo con el salario mínimo mensual legal vigente para el año 20</w:t>
      </w:r>
      <w:r>
        <w:t>07</w:t>
      </w:r>
      <w:r w:rsidRPr="004163E2">
        <w:t xml:space="preserve">, toda vez que la demanda se presentó el </w:t>
      </w:r>
      <w:r>
        <w:t>4</w:t>
      </w:r>
      <w:r w:rsidRPr="004163E2">
        <w:t xml:space="preserve"> de </w:t>
      </w:r>
      <w:r>
        <w:t xml:space="preserve">septiembre </w:t>
      </w:r>
      <w:r w:rsidRPr="004163E2">
        <w:t>de 20</w:t>
      </w:r>
      <w:r>
        <w:t>07</w:t>
      </w:r>
      <w:r w:rsidRPr="004163E2">
        <w:t xml:space="preserve"> y el recurso de apelación se interpuso el </w:t>
      </w:r>
      <w:r>
        <w:t>3</w:t>
      </w:r>
      <w:r w:rsidRPr="004163E2">
        <w:t xml:space="preserve"> de </w:t>
      </w:r>
      <w:r>
        <w:t xml:space="preserve">julio </w:t>
      </w:r>
      <w:r w:rsidRPr="004163E2">
        <w:t xml:space="preserve">de 2014, en vigencia de lo dispuesto en la Ley 1450 de 2011 (folio </w:t>
      </w:r>
      <w:r>
        <w:t>556</w:t>
      </w:r>
      <w:r w:rsidRPr="004163E2">
        <w:t>, cuaderno principal</w:t>
      </w:r>
      <w:r>
        <w:t>, segunda instancia</w:t>
      </w:r>
      <w:r w:rsidRPr="004163E2">
        <w:t>).</w:t>
      </w:r>
    </w:p>
    <w:p w14:paraId="3F95B88B" w14:textId="77777777" w:rsidR="001E6292" w:rsidRPr="004163E2" w:rsidRDefault="001E6292" w:rsidP="00724307">
      <w:pPr>
        <w:pStyle w:val="Textonotapie"/>
        <w:spacing w:line="240" w:lineRule="auto"/>
        <w:rPr>
          <w:lang w:val="es-CO"/>
        </w:rPr>
      </w:pPr>
    </w:p>
  </w:footnote>
  <w:footnote w:id="23">
    <w:p w14:paraId="6DD5959E" w14:textId="77777777" w:rsidR="001E6292" w:rsidRDefault="001E6292" w:rsidP="0086309E">
      <w:pPr>
        <w:autoSpaceDE w:val="0"/>
        <w:autoSpaceDN w:val="0"/>
        <w:adjustRightInd w:val="0"/>
        <w:spacing w:line="240" w:lineRule="auto"/>
        <w:rPr>
          <w:lang w:val="es-CO"/>
        </w:rPr>
      </w:pPr>
      <w:r w:rsidRPr="00AD62DE">
        <w:rPr>
          <w:rStyle w:val="Refdenotaalpie"/>
          <w:rFonts w:cs="Arial"/>
          <w:sz w:val="20"/>
          <w:szCs w:val="20"/>
        </w:rPr>
        <w:footnoteRef/>
      </w:r>
      <w:r w:rsidRPr="00AD62DE">
        <w:rPr>
          <w:rFonts w:cs="Arial"/>
          <w:sz w:val="20"/>
          <w:szCs w:val="20"/>
        </w:rPr>
        <w:t xml:space="preserve"> </w:t>
      </w:r>
      <w:r w:rsidRPr="00AD62DE">
        <w:rPr>
          <w:rFonts w:cs="Arial"/>
          <w:sz w:val="20"/>
          <w:szCs w:val="20"/>
          <w:lang w:val="es-CO"/>
        </w:rPr>
        <w:t xml:space="preserve">También acogida por las otras Subsecciones de la Sección Tercera del Consejo de Estado en cuanto al plazo de 30 días para incoar las acción contra los actos previos en vigencia del artículo 87 del Código Contencioso Administrativo, por ejemplo, en las siguientes providencias: </w:t>
      </w:r>
      <w:r w:rsidRPr="00AD62DE">
        <w:rPr>
          <w:rFonts w:cs="Arial"/>
          <w:b/>
          <w:sz w:val="20"/>
          <w:szCs w:val="20"/>
          <w:lang w:val="es-CO"/>
        </w:rPr>
        <w:t>1.</w:t>
      </w:r>
      <w:r w:rsidRPr="00AD62DE">
        <w:rPr>
          <w:rFonts w:cs="Arial"/>
          <w:sz w:val="20"/>
          <w:szCs w:val="20"/>
          <w:lang w:val="es-CO"/>
        </w:rPr>
        <w:t xml:space="preserve"> </w:t>
      </w:r>
      <w:r w:rsidRPr="00AD62DE">
        <w:rPr>
          <w:rFonts w:cs="Arial"/>
          <w:bCs/>
          <w:sz w:val="20"/>
          <w:szCs w:val="20"/>
        </w:rPr>
        <w:t>Subsecci</w:t>
      </w:r>
      <w:r>
        <w:rPr>
          <w:rFonts w:cs="Arial"/>
          <w:bCs/>
          <w:sz w:val="20"/>
          <w:szCs w:val="20"/>
        </w:rPr>
        <w:t>ó</w:t>
      </w:r>
      <w:r w:rsidRPr="00AD62DE">
        <w:rPr>
          <w:rFonts w:cs="Arial"/>
          <w:bCs/>
          <w:sz w:val="20"/>
          <w:szCs w:val="20"/>
        </w:rPr>
        <w:t xml:space="preserve">n B, Consejero Ponente: Ramiro De Jesus Pazos Guerrero, </w:t>
      </w:r>
      <w:r>
        <w:rPr>
          <w:rFonts w:cs="Arial"/>
          <w:bCs/>
          <w:sz w:val="20"/>
          <w:szCs w:val="20"/>
        </w:rPr>
        <w:t>s</w:t>
      </w:r>
      <w:r w:rsidRPr="00AD62DE">
        <w:rPr>
          <w:rFonts w:cs="Arial"/>
          <w:bCs/>
          <w:sz w:val="20"/>
          <w:szCs w:val="20"/>
        </w:rPr>
        <w:t xml:space="preserve">entencia </w:t>
      </w:r>
      <w:r>
        <w:rPr>
          <w:rFonts w:cs="Arial"/>
          <w:bCs/>
          <w:sz w:val="20"/>
          <w:szCs w:val="20"/>
        </w:rPr>
        <w:t>d</w:t>
      </w:r>
      <w:r w:rsidRPr="00AD62DE">
        <w:rPr>
          <w:rFonts w:cs="Arial"/>
          <w:bCs/>
          <w:sz w:val="20"/>
          <w:szCs w:val="20"/>
        </w:rPr>
        <w:t xml:space="preserve">e </w:t>
      </w:r>
      <w:r w:rsidRPr="00AD62DE">
        <w:rPr>
          <w:rFonts w:cs="Arial"/>
          <w:sz w:val="20"/>
          <w:szCs w:val="20"/>
        </w:rPr>
        <w:t xml:space="preserve">27 </w:t>
      </w:r>
      <w:r>
        <w:rPr>
          <w:rFonts w:cs="Arial"/>
          <w:sz w:val="20"/>
          <w:szCs w:val="20"/>
        </w:rPr>
        <w:t>d</w:t>
      </w:r>
      <w:r w:rsidRPr="00AD62DE">
        <w:rPr>
          <w:rFonts w:cs="Arial"/>
          <w:sz w:val="20"/>
          <w:szCs w:val="20"/>
        </w:rPr>
        <w:t xml:space="preserve">e </w:t>
      </w:r>
      <w:r>
        <w:rPr>
          <w:rFonts w:cs="Arial"/>
          <w:sz w:val="20"/>
          <w:szCs w:val="20"/>
        </w:rPr>
        <w:t>m</w:t>
      </w:r>
      <w:r w:rsidRPr="00AD62DE">
        <w:rPr>
          <w:rFonts w:cs="Arial"/>
          <w:sz w:val="20"/>
          <w:szCs w:val="20"/>
        </w:rPr>
        <w:t xml:space="preserve">arzo </w:t>
      </w:r>
      <w:r>
        <w:rPr>
          <w:rFonts w:cs="Arial"/>
          <w:sz w:val="20"/>
          <w:szCs w:val="20"/>
        </w:rPr>
        <w:t>d</w:t>
      </w:r>
      <w:r w:rsidRPr="00AD62DE">
        <w:rPr>
          <w:rFonts w:cs="Arial"/>
          <w:sz w:val="20"/>
          <w:szCs w:val="20"/>
        </w:rPr>
        <w:t>e 2014</w:t>
      </w:r>
      <w:r>
        <w:rPr>
          <w:rFonts w:cs="Arial"/>
          <w:sz w:val="20"/>
          <w:szCs w:val="20"/>
        </w:rPr>
        <w:t>, r</w:t>
      </w:r>
      <w:r w:rsidRPr="00AD62DE">
        <w:rPr>
          <w:rFonts w:cs="Arial"/>
          <w:bCs/>
          <w:sz w:val="20"/>
          <w:szCs w:val="20"/>
        </w:rPr>
        <w:t xml:space="preserve">adicación: 20001-23-31-000-1999-00784-01(27453), </w:t>
      </w:r>
      <w:r>
        <w:rPr>
          <w:rFonts w:cs="Arial"/>
          <w:bCs/>
          <w:sz w:val="20"/>
          <w:szCs w:val="20"/>
        </w:rPr>
        <w:t>a</w:t>
      </w:r>
      <w:r w:rsidRPr="00AD62DE">
        <w:rPr>
          <w:rFonts w:cs="Arial"/>
          <w:bCs/>
          <w:sz w:val="20"/>
          <w:szCs w:val="20"/>
        </w:rPr>
        <w:t xml:space="preserve">ctor: Cooperativa </w:t>
      </w:r>
      <w:r>
        <w:rPr>
          <w:rFonts w:cs="Arial"/>
          <w:bCs/>
          <w:sz w:val="20"/>
          <w:szCs w:val="20"/>
        </w:rPr>
        <w:t>d</w:t>
      </w:r>
      <w:r w:rsidRPr="00AD62DE">
        <w:rPr>
          <w:rFonts w:cs="Arial"/>
          <w:bCs/>
          <w:sz w:val="20"/>
          <w:szCs w:val="20"/>
        </w:rPr>
        <w:t xml:space="preserve">e Trabajo Asociado </w:t>
      </w:r>
      <w:r>
        <w:rPr>
          <w:rFonts w:cs="Arial"/>
          <w:bCs/>
          <w:sz w:val="20"/>
          <w:szCs w:val="20"/>
        </w:rPr>
        <w:t>d</w:t>
      </w:r>
      <w:r w:rsidRPr="00AD62DE">
        <w:rPr>
          <w:rFonts w:cs="Arial"/>
          <w:bCs/>
          <w:sz w:val="20"/>
          <w:szCs w:val="20"/>
        </w:rPr>
        <w:t xml:space="preserve">e Casacara Cootasca, </w:t>
      </w:r>
      <w:r>
        <w:rPr>
          <w:rFonts w:cs="Arial"/>
          <w:bCs/>
          <w:sz w:val="20"/>
          <w:szCs w:val="20"/>
        </w:rPr>
        <w:t>d</w:t>
      </w:r>
      <w:r w:rsidRPr="00AD62DE">
        <w:rPr>
          <w:rFonts w:cs="Arial"/>
          <w:bCs/>
          <w:sz w:val="20"/>
          <w:szCs w:val="20"/>
        </w:rPr>
        <w:t xml:space="preserve">emandado: Instituto Nacional </w:t>
      </w:r>
      <w:r>
        <w:rPr>
          <w:rFonts w:cs="Arial"/>
          <w:bCs/>
          <w:sz w:val="20"/>
          <w:szCs w:val="20"/>
        </w:rPr>
        <w:t>d</w:t>
      </w:r>
      <w:r w:rsidRPr="00AD62DE">
        <w:rPr>
          <w:rFonts w:cs="Arial"/>
          <w:bCs/>
          <w:sz w:val="20"/>
          <w:szCs w:val="20"/>
        </w:rPr>
        <w:t>e V</w:t>
      </w:r>
      <w:r>
        <w:rPr>
          <w:rFonts w:cs="Arial"/>
          <w:bCs/>
          <w:sz w:val="20"/>
          <w:szCs w:val="20"/>
        </w:rPr>
        <w:t>í</w:t>
      </w:r>
      <w:r w:rsidRPr="00AD62DE">
        <w:rPr>
          <w:rFonts w:cs="Arial"/>
          <w:bCs/>
          <w:sz w:val="20"/>
          <w:szCs w:val="20"/>
        </w:rPr>
        <w:t>as – Inv</w:t>
      </w:r>
      <w:r>
        <w:rPr>
          <w:rFonts w:cs="Arial"/>
          <w:bCs/>
          <w:sz w:val="20"/>
          <w:szCs w:val="20"/>
        </w:rPr>
        <w:t>í</w:t>
      </w:r>
      <w:r w:rsidRPr="00AD62DE">
        <w:rPr>
          <w:rFonts w:cs="Arial"/>
          <w:bCs/>
          <w:sz w:val="20"/>
          <w:szCs w:val="20"/>
        </w:rPr>
        <w:t xml:space="preserve">as, </w:t>
      </w:r>
      <w:r>
        <w:rPr>
          <w:rFonts w:cs="Arial"/>
          <w:bCs/>
          <w:sz w:val="20"/>
          <w:szCs w:val="20"/>
        </w:rPr>
        <w:t>r</w:t>
      </w:r>
      <w:r w:rsidRPr="00AD62DE">
        <w:rPr>
          <w:rFonts w:cs="Arial"/>
          <w:bCs/>
          <w:sz w:val="20"/>
          <w:szCs w:val="20"/>
        </w:rPr>
        <w:t xml:space="preserve">eferencia: </w:t>
      </w:r>
      <w:r>
        <w:rPr>
          <w:rFonts w:cs="Arial"/>
          <w:bCs/>
          <w:sz w:val="20"/>
          <w:szCs w:val="20"/>
        </w:rPr>
        <w:t>a</w:t>
      </w:r>
      <w:r w:rsidRPr="00AD62DE">
        <w:rPr>
          <w:rFonts w:cs="Arial"/>
          <w:bCs/>
          <w:sz w:val="20"/>
          <w:szCs w:val="20"/>
        </w:rPr>
        <w:t>cci</w:t>
      </w:r>
      <w:r>
        <w:rPr>
          <w:rFonts w:cs="Arial"/>
          <w:bCs/>
          <w:sz w:val="20"/>
          <w:szCs w:val="20"/>
        </w:rPr>
        <w:t>ó</w:t>
      </w:r>
      <w:r w:rsidRPr="00AD62DE">
        <w:rPr>
          <w:rFonts w:cs="Arial"/>
          <w:bCs/>
          <w:sz w:val="20"/>
          <w:szCs w:val="20"/>
        </w:rPr>
        <w:t xml:space="preserve">n </w:t>
      </w:r>
      <w:r>
        <w:rPr>
          <w:rFonts w:cs="Arial"/>
          <w:bCs/>
          <w:sz w:val="20"/>
          <w:szCs w:val="20"/>
        </w:rPr>
        <w:t>d</w:t>
      </w:r>
      <w:r w:rsidRPr="00AD62DE">
        <w:rPr>
          <w:rFonts w:cs="Arial"/>
          <w:bCs/>
          <w:sz w:val="20"/>
          <w:szCs w:val="20"/>
        </w:rPr>
        <w:t xml:space="preserve">e </w:t>
      </w:r>
      <w:r>
        <w:rPr>
          <w:rFonts w:cs="Arial"/>
          <w:bCs/>
          <w:sz w:val="20"/>
          <w:szCs w:val="20"/>
        </w:rPr>
        <w:t>c</w:t>
      </w:r>
      <w:r w:rsidRPr="00AD62DE">
        <w:rPr>
          <w:rFonts w:cs="Arial"/>
          <w:bCs/>
          <w:sz w:val="20"/>
          <w:szCs w:val="20"/>
        </w:rPr>
        <w:t xml:space="preserve">ontroversias </w:t>
      </w:r>
      <w:r>
        <w:rPr>
          <w:rFonts w:cs="Arial"/>
          <w:bCs/>
          <w:sz w:val="20"/>
          <w:szCs w:val="20"/>
        </w:rPr>
        <w:t>c</w:t>
      </w:r>
      <w:r w:rsidRPr="00AD62DE">
        <w:rPr>
          <w:rFonts w:cs="Arial"/>
          <w:bCs/>
          <w:sz w:val="20"/>
          <w:szCs w:val="20"/>
        </w:rPr>
        <w:t>ontractuales (Apelaci</w:t>
      </w:r>
      <w:r>
        <w:rPr>
          <w:rFonts w:cs="Arial"/>
          <w:bCs/>
          <w:sz w:val="20"/>
          <w:szCs w:val="20"/>
        </w:rPr>
        <w:t>ó</w:t>
      </w:r>
      <w:r w:rsidRPr="00AD62DE">
        <w:rPr>
          <w:rFonts w:cs="Arial"/>
          <w:bCs/>
          <w:sz w:val="20"/>
          <w:szCs w:val="20"/>
        </w:rPr>
        <w:t xml:space="preserve">n Sentencia); </w:t>
      </w:r>
      <w:r w:rsidRPr="00AD62DE">
        <w:rPr>
          <w:rFonts w:cs="Arial"/>
          <w:b/>
          <w:bCs/>
          <w:sz w:val="20"/>
          <w:szCs w:val="20"/>
        </w:rPr>
        <w:t>2.</w:t>
      </w:r>
      <w:r w:rsidRPr="00AD62DE">
        <w:rPr>
          <w:rFonts w:cs="Arial"/>
          <w:bCs/>
          <w:sz w:val="20"/>
          <w:szCs w:val="20"/>
        </w:rPr>
        <w:t xml:space="preserve"> Subsecci</w:t>
      </w:r>
      <w:r>
        <w:rPr>
          <w:rFonts w:cs="Arial"/>
          <w:bCs/>
          <w:sz w:val="20"/>
          <w:szCs w:val="20"/>
        </w:rPr>
        <w:t>ó</w:t>
      </w:r>
      <w:r w:rsidRPr="00AD62DE">
        <w:rPr>
          <w:rFonts w:cs="Arial"/>
          <w:bCs/>
          <w:sz w:val="20"/>
          <w:szCs w:val="20"/>
        </w:rPr>
        <w:t>n C, Consejera Ponente: Olga M</w:t>
      </w:r>
      <w:r>
        <w:rPr>
          <w:rFonts w:cs="Arial"/>
          <w:bCs/>
          <w:sz w:val="20"/>
          <w:szCs w:val="20"/>
        </w:rPr>
        <w:t>é</w:t>
      </w:r>
      <w:r w:rsidRPr="00AD62DE">
        <w:rPr>
          <w:rFonts w:cs="Arial"/>
          <w:bCs/>
          <w:sz w:val="20"/>
          <w:szCs w:val="20"/>
        </w:rPr>
        <w:t xml:space="preserve">lida Valle </w:t>
      </w:r>
      <w:r>
        <w:rPr>
          <w:rFonts w:cs="Arial"/>
          <w:bCs/>
          <w:sz w:val="20"/>
          <w:szCs w:val="20"/>
        </w:rPr>
        <w:t>d</w:t>
      </w:r>
      <w:r w:rsidRPr="00AD62DE">
        <w:rPr>
          <w:rFonts w:cs="Arial"/>
          <w:bCs/>
          <w:sz w:val="20"/>
          <w:szCs w:val="20"/>
        </w:rPr>
        <w:t xml:space="preserve">e De La Hoz, </w:t>
      </w:r>
      <w:r>
        <w:rPr>
          <w:rFonts w:cs="Arial"/>
          <w:bCs/>
          <w:sz w:val="20"/>
          <w:szCs w:val="20"/>
        </w:rPr>
        <w:t xml:space="preserve">sentencia de </w:t>
      </w:r>
      <w:r w:rsidRPr="00AD62DE">
        <w:rPr>
          <w:rFonts w:cs="Arial"/>
          <w:sz w:val="20"/>
          <w:szCs w:val="20"/>
        </w:rPr>
        <w:t xml:space="preserve">10 </w:t>
      </w:r>
      <w:r>
        <w:rPr>
          <w:rFonts w:cs="Arial"/>
          <w:sz w:val="20"/>
          <w:szCs w:val="20"/>
        </w:rPr>
        <w:t>d</w:t>
      </w:r>
      <w:r w:rsidRPr="00AD62DE">
        <w:rPr>
          <w:rFonts w:cs="Arial"/>
          <w:sz w:val="20"/>
          <w:szCs w:val="20"/>
        </w:rPr>
        <w:t xml:space="preserve">e </w:t>
      </w:r>
      <w:r>
        <w:rPr>
          <w:rFonts w:cs="Arial"/>
          <w:sz w:val="20"/>
          <w:szCs w:val="20"/>
        </w:rPr>
        <w:t>s</w:t>
      </w:r>
      <w:r w:rsidRPr="00AD62DE">
        <w:rPr>
          <w:rFonts w:cs="Arial"/>
          <w:sz w:val="20"/>
          <w:szCs w:val="20"/>
        </w:rPr>
        <w:t xml:space="preserve">eptiembre </w:t>
      </w:r>
      <w:r>
        <w:rPr>
          <w:rFonts w:cs="Arial"/>
          <w:sz w:val="20"/>
          <w:szCs w:val="20"/>
        </w:rPr>
        <w:t>d</w:t>
      </w:r>
      <w:r w:rsidRPr="00AD62DE">
        <w:rPr>
          <w:rFonts w:cs="Arial"/>
          <w:sz w:val="20"/>
          <w:szCs w:val="20"/>
        </w:rPr>
        <w:t xml:space="preserve">e 2014, </w:t>
      </w:r>
      <w:r>
        <w:rPr>
          <w:rFonts w:cs="Arial"/>
          <w:sz w:val="20"/>
          <w:szCs w:val="20"/>
        </w:rPr>
        <w:t>r</w:t>
      </w:r>
      <w:r w:rsidRPr="00AD62DE">
        <w:rPr>
          <w:rFonts w:cs="Arial"/>
          <w:bCs/>
          <w:sz w:val="20"/>
          <w:szCs w:val="20"/>
        </w:rPr>
        <w:t xml:space="preserve">adicación: 25000-23-26-000-2000-01305-01(27203), </w:t>
      </w:r>
      <w:r>
        <w:rPr>
          <w:rFonts w:cs="Arial"/>
          <w:bCs/>
          <w:sz w:val="20"/>
          <w:szCs w:val="20"/>
        </w:rPr>
        <w:t>a</w:t>
      </w:r>
      <w:r w:rsidRPr="00AD62DE">
        <w:rPr>
          <w:rFonts w:cs="Arial"/>
          <w:bCs/>
          <w:sz w:val="20"/>
          <w:szCs w:val="20"/>
        </w:rPr>
        <w:t>ctor: Seguridad El Pent</w:t>
      </w:r>
      <w:r>
        <w:rPr>
          <w:rFonts w:cs="Arial"/>
          <w:bCs/>
          <w:sz w:val="20"/>
          <w:szCs w:val="20"/>
        </w:rPr>
        <w:t>á</w:t>
      </w:r>
      <w:r w:rsidRPr="00AD62DE">
        <w:rPr>
          <w:rFonts w:cs="Arial"/>
          <w:bCs/>
          <w:sz w:val="20"/>
          <w:szCs w:val="20"/>
        </w:rPr>
        <w:t xml:space="preserve">gono Colombiano Ltda. - Sepecol Ltda., </w:t>
      </w:r>
      <w:r>
        <w:rPr>
          <w:rFonts w:cs="Arial"/>
          <w:bCs/>
          <w:sz w:val="20"/>
          <w:szCs w:val="20"/>
        </w:rPr>
        <w:t>d</w:t>
      </w:r>
      <w:r w:rsidRPr="00AD62DE">
        <w:rPr>
          <w:rFonts w:cs="Arial"/>
          <w:bCs/>
          <w:sz w:val="20"/>
          <w:szCs w:val="20"/>
        </w:rPr>
        <w:t xml:space="preserve">emandado: Instituto Colombiano </w:t>
      </w:r>
      <w:r>
        <w:rPr>
          <w:rFonts w:cs="Arial"/>
          <w:bCs/>
          <w:sz w:val="20"/>
          <w:szCs w:val="20"/>
        </w:rPr>
        <w:t>d</w:t>
      </w:r>
      <w:r w:rsidRPr="00AD62DE">
        <w:rPr>
          <w:rFonts w:cs="Arial"/>
          <w:bCs/>
          <w:sz w:val="20"/>
          <w:szCs w:val="20"/>
        </w:rPr>
        <w:t xml:space="preserve">e Bienestar Familiar </w:t>
      </w:r>
      <w:r>
        <w:rPr>
          <w:rFonts w:cs="Arial"/>
          <w:bCs/>
          <w:sz w:val="20"/>
          <w:szCs w:val="20"/>
        </w:rPr>
        <w:t>y</w:t>
      </w:r>
      <w:r w:rsidRPr="00AD62DE">
        <w:rPr>
          <w:rFonts w:cs="Arial"/>
          <w:bCs/>
          <w:sz w:val="20"/>
          <w:szCs w:val="20"/>
        </w:rPr>
        <w:t xml:space="preserve"> </w:t>
      </w:r>
      <w:r>
        <w:rPr>
          <w:rFonts w:cs="Arial"/>
          <w:bCs/>
          <w:sz w:val="20"/>
          <w:szCs w:val="20"/>
        </w:rPr>
        <w:t>o</w:t>
      </w:r>
      <w:r w:rsidRPr="00AD62DE">
        <w:rPr>
          <w:rFonts w:cs="Arial"/>
          <w:bCs/>
          <w:sz w:val="20"/>
          <w:szCs w:val="20"/>
        </w:rPr>
        <w:t xml:space="preserve">tros, </w:t>
      </w:r>
      <w:r>
        <w:rPr>
          <w:rFonts w:cs="Arial"/>
          <w:bCs/>
          <w:sz w:val="20"/>
          <w:szCs w:val="20"/>
        </w:rPr>
        <w:t>r</w:t>
      </w:r>
      <w:r w:rsidRPr="00AD62DE">
        <w:rPr>
          <w:rFonts w:cs="Arial"/>
          <w:bCs/>
          <w:sz w:val="20"/>
          <w:szCs w:val="20"/>
        </w:rPr>
        <w:t xml:space="preserve">eferencia: </w:t>
      </w:r>
      <w:r>
        <w:rPr>
          <w:rFonts w:cs="Arial"/>
          <w:bCs/>
          <w:sz w:val="20"/>
          <w:szCs w:val="20"/>
        </w:rPr>
        <w:t>a</w:t>
      </w:r>
      <w:r w:rsidRPr="00AD62DE">
        <w:rPr>
          <w:rFonts w:cs="Arial"/>
          <w:bCs/>
          <w:sz w:val="20"/>
          <w:szCs w:val="20"/>
        </w:rPr>
        <w:t>pelaci</w:t>
      </w:r>
      <w:r>
        <w:rPr>
          <w:rFonts w:cs="Arial"/>
          <w:bCs/>
          <w:sz w:val="20"/>
          <w:szCs w:val="20"/>
        </w:rPr>
        <w:t>ó</w:t>
      </w:r>
      <w:r w:rsidRPr="00AD62DE">
        <w:rPr>
          <w:rFonts w:cs="Arial"/>
          <w:bCs/>
          <w:sz w:val="20"/>
          <w:szCs w:val="20"/>
        </w:rPr>
        <w:t xml:space="preserve">n </w:t>
      </w:r>
      <w:r>
        <w:rPr>
          <w:rFonts w:cs="Arial"/>
          <w:bCs/>
          <w:sz w:val="20"/>
          <w:szCs w:val="20"/>
        </w:rPr>
        <w:t>s</w:t>
      </w:r>
      <w:r w:rsidRPr="00AD62DE">
        <w:rPr>
          <w:rFonts w:cs="Arial"/>
          <w:bCs/>
          <w:sz w:val="20"/>
          <w:szCs w:val="20"/>
        </w:rPr>
        <w:t xml:space="preserve">entencia - </w:t>
      </w:r>
      <w:r>
        <w:rPr>
          <w:rFonts w:cs="Arial"/>
          <w:bCs/>
          <w:sz w:val="20"/>
          <w:szCs w:val="20"/>
        </w:rPr>
        <w:t>a</w:t>
      </w:r>
      <w:r w:rsidRPr="00AD62DE">
        <w:rPr>
          <w:rFonts w:cs="Arial"/>
          <w:bCs/>
          <w:sz w:val="20"/>
          <w:szCs w:val="20"/>
        </w:rPr>
        <w:t>cci</w:t>
      </w:r>
      <w:r>
        <w:rPr>
          <w:rFonts w:cs="Arial"/>
          <w:bCs/>
          <w:sz w:val="20"/>
          <w:szCs w:val="20"/>
        </w:rPr>
        <w:t>ó</w:t>
      </w:r>
      <w:r w:rsidRPr="00AD62DE">
        <w:rPr>
          <w:rFonts w:cs="Arial"/>
          <w:bCs/>
          <w:sz w:val="20"/>
          <w:szCs w:val="20"/>
        </w:rPr>
        <w:t xml:space="preserve">n </w:t>
      </w:r>
      <w:r>
        <w:rPr>
          <w:rFonts w:cs="Arial"/>
          <w:bCs/>
          <w:sz w:val="20"/>
          <w:szCs w:val="20"/>
        </w:rPr>
        <w:t>d</w:t>
      </w:r>
      <w:r w:rsidRPr="00AD62DE">
        <w:rPr>
          <w:rFonts w:cs="Arial"/>
          <w:bCs/>
          <w:sz w:val="20"/>
          <w:szCs w:val="20"/>
        </w:rPr>
        <w:t xml:space="preserve">e </w:t>
      </w:r>
      <w:r>
        <w:rPr>
          <w:rFonts w:cs="Arial"/>
          <w:bCs/>
          <w:sz w:val="20"/>
          <w:szCs w:val="20"/>
        </w:rPr>
        <w:t>n</w:t>
      </w:r>
      <w:r w:rsidRPr="00AD62DE">
        <w:rPr>
          <w:rFonts w:cs="Arial"/>
          <w:bCs/>
          <w:sz w:val="20"/>
          <w:szCs w:val="20"/>
        </w:rPr>
        <w:t xml:space="preserve">ulidad </w:t>
      </w:r>
      <w:r>
        <w:rPr>
          <w:rFonts w:cs="Arial"/>
          <w:bCs/>
          <w:sz w:val="20"/>
          <w:szCs w:val="20"/>
        </w:rPr>
        <w:t>y</w:t>
      </w:r>
      <w:r w:rsidRPr="00AD62DE">
        <w:rPr>
          <w:rFonts w:cs="Arial"/>
          <w:bCs/>
          <w:sz w:val="20"/>
          <w:szCs w:val="20"/>
        </w:rPr>
        <w:t xml:space="preserve"> </w:t>
      </w:r>
      <w:r>
        <w:rPr>
          <w:rFonts w:cs="Arial"/>
          <w:bCs/>
          <w:sz w:val="20"/>
          <w:szCs w:val="20"/>
        </w:rPr>
        <w:t>r</w:t>
      </w:r>
      <w:r w:rsidRPr="00AD62DE">
        <w:rPr>
          <w:rFonts w:cs="Arial"/>
          <w:bCs/>
          <w:sz w:val="20"/>
          <w:szCs w:val="20"/>
        </w:rPr>
        <w:t xml:space="preserve">establecimiento </w:t>
      </w:r>
      <w:r>
        <w:rPr>
          <w:rFonts w:cs="Arial"/>
          <w:bCs/>
          <w:sz w:val="20"/>
          <w:szCs w:val="20"/>
        </w:rPr>
        <w:t>d</w:t>
      </w:r>
      <w:r w:rsidRPr="00AD62DE">
        <w:rPr>
          <w:rFonts w:cs="Arial"/>
          <w:bCs/>
          <w:sz w:val="20"/>
          <w:szCs w:val="20"/>
        </w:rPr>
        <w:t xml:space="preserve">el </w:t>
      </w:r>
      <w:r>
        <w:rPr>
          <w:rFonts w:cs="Arial"/>
          <w:bCs/>
          <w:sz w:val="20"/>
          <w:szCs w:val="20"/>
        </w:rPr>
        <w:t>d</w:t>
      </w:r>
      <w:r w:rsidRPr="00AD62DE">
        <w:rPr>
          <w:rFonts w:cs="Arial"/>
          <w:bCs/>
          <w:sz w:val="20"/>
          <w:szCs w:val="20"/>
        </w:rPr>
        <w:t>erecho</w:t>
      </w:r>
      <w:r>
        <w:rPr>
          <w:rFonts w:cs="Arial"/>
          <w:bCs/>
          <w:sz w:val="20"/>
          <w:szCs w:val="20"/>
        </w:rPr>
        <w:t>.</w:t>
      </w:r>
    </w:p>
    <w:p w14:paraId="35D9C888" w14:textId="77777777" w:rsidR="001E6292" w:rsidRPr="00372C5F" w:rsidRDefault="001E6292" w:rsidP="0086309E">
      <w:pPr>
        <w:pStyle w:val="Textonotapie"/>
        <w:rPr>
          <w:lang w:val="es-CO"/>
        </w:rPr>
      </w:pPr>
    </w:p>
  </w:footnote>
  <w:footnote w:id="24">
    <w:p w14:paraId="7EEEE63D" w14:textId="77777777" w:rsidR="001E6292" w:rsidRPr="002F06B2" w:rsidRDefault="001E6292" w:rsidP="0086309E">
      <w:pPr>
        <w:spacing w:line="240" w:lineRule="auto"/>
        <w:rPr>
          <w:rFonts w:cs="Arial"/>
          <w:sz w:val="20"/>
          <w:szCs w:val="20"/>
        </w:rPr>
      </w:pPr>
      <w:r w:rsidRPr="002F06B2">
        <w:rPr>
          <w:rStyle w:val="Refdenotaalpie"/>
          <w:rFonts w:cs="Arial"/>
          <w:sz w:val="20"/>
          <w:szCs w:val="20"/>
        </w:rPr>
        <w:footnoteRef/>
      </w:r>
      <w:r w:rsidRPr="002F06B2">
        <w:rPr>
          <w:rFonts w:cs="Arial"/>
          <w:sz w:val="20"/>
          <w:szCs w:val="20"/>
        </w:rPr>
        <w:t xml:space="preserve"> Consejo de Estado, Sala de lo Contencioso Administrativo, Sección Tercera, Subsección A, Consejero Ponente: Mauricio Fajardo Gómez, jurisprudencia reiterada en las siguientes sentencias: </w:t>
      </w:r>
      <w:r w:rsidRPr="002F06B2">
        <w:rPr>
          <w:rFonts w:cs="Arial"/>
          <w:b/>
          <w:sz w:val="20"/>
          <w:szCs w:val="20"/>
        </w:rPr>
        <w:t>1</w:t>
      </w:r>
      <w:r w:rsidRPr="002F06B2">
        <w:rPr>
          <w:rFonts w:cs="Arial"/>
          <w:sz w:val="20"/>
          <w:szCs w:val="20"/>
        </w:rPr>
        <w:t xml:space="preserve"> Sentencia de 12 de febrero de 2014, radicación 250002326000200137701, expediente 32721, actor Integrantes Unión temporal Bogotá Móvil, demandado Fondo de Educación y Seguridad Vial Fondatt, acción contractual. </w:t>
      </w:r>
      <w:r w:rsidRPr="002F06B2">
        <w:rPr>
          <w:rFonts w:cs="Arial"/>
          <w:b/>
          <w:sz w:val="20"/>
          <w:szCs w:val="20"/>
        </w:rPr>
        <w:t>2.</w:t>
      </w:r>
      <w:r w:rsidRPr="002F06B2">
        <w:rPr>
          <w:rFonts w:cs="Arial"/>
          <w:sz w:val="20"/>
          <w:szCs w:val="20"/>
        </w:rPr>
        <w:t xml:space="preserve"> Sentencia de 12 de febrero de 2014, radicación: 250002326000200102922, expediente 31753, actor Insetel Ltda., demandado: Municipio de Purificación, acción: nulidad y restablecimiento del derecho; </w:t>
      </w:r>
      <w:r w:rsidRPr="002F06B2">
        <w:rPr>
          <w:rFonts w:cs="Arial"/>
          <w:b/>
          <w:sz w:val="20"/>
          <w:szCs w:val="20"/>
        </w:rPr>
        <w:t>3.</w:t>
      </w:r>
      <w:r w:rsidRPr="002F06B2">
        <w:rPr>
          <w:rFonts w:cs="Arial"/>
          <w:sz w:val="20"/>
          <w:szCs w:val="20"/>
        </w:rPr>
        <w:t xml:space="preserve"> Sentencia de enero 29 de 2014, radicación 250002326000 2001 02053 01, expediente 30250, actor Consorcio FAB, demandado Fondo Rotatorio de la Fuerza Aérea, acción contractual; </w:t>
      </w:r>
      <w:r w:rsidRPr="002F06B2">
        <w:rPr>
          <w:rFonts w:cs="Arial"/>
          <w:b/>
          <w:sz w:val="20"/>
          <w:szCs w:val="20"/>
        </w:rPr>
        <w:t>4</w:t>
      </w:r>
      <w:r w:rsidRPr="002F06B2">
        <w:rPr>
          <w:rFonts w:cs="Arial"/>
          <w:sz w:val="20"/>
          <w:szCs w:val="20"/>
        </w:rPr>
        <w:t xml:space="preserve">. Sentencia de noviembre 13 de 2013, radicación 25000232600020010292201, expediente 28479, actor: Unión Temporal de Servicios Eléctricos, demandado: Fondo de Educación y Seguridad Vial Fondatt; </w:t>
      </w:r>
      <w:r w:rsidRPr="002F06B2">
        <w:rPr>
          <w:rFonts w:cs="Arial"/>
          <w:b/>
          <w:sz w:val="20"/>
          <w:szCs w:val="20"/>
        </w:rPr>
        <w:t>5.</w:t>
      </w:r>
      <w:r w:rsidRPr="002F06B2">
        <w:rPr>
          <w:rFonts w:cs="Arial"/>
          <w:sz w:val="20"/>
          <w:szCs w:val="20"/>
        </w:rPr>
        <w:t xml:space="preserve"> sentencia de noviembre 13 de 2013, radicación 2500023260019990219701, expediente 25646, actor Ciarquelet Ltda., demandado Distrito Capital Departamento Administrativo de Acción Comunal Distrital y </w:t>
      </w:r>
      <w:r w:rsidRPr="002F06B2">
        <w:rPr>
          <w:rFonts w:cs="Arial"/>
          <w:sz w:val="20"/>
          <w:szCs w:val="20"/>
          <w:lang w:val="es-CO"/>
        </w:rPr>
        <w:t>o</w:t>
      </w:r>
      <w:r w:rsidRPr="002F06B2">
        <w:rPr>
          <w:rFonts w:cs="Arial"/>
          <w:sz w:val="20"/>
          <w:szCs w:val="20"/>
        </w:rPr>
        <w:t>tro</w:t>
      </w:r>
      <w:r>
        <w:rPr>
          <w:rFonts w:cs="Arial"/>
          <w:sz w:val="20"/>
          <w:szCs w:val="20"/>
        </w:rPr>
        <w:t>.</w:t>
      </w:r>
      <w:r w:rsidRPr="002F06B2">
        <w:rPr>
          <w:rFonts w:cs="Arial"/>
          <w:sz w:val="20"/>
          <w:szCs w:val="20"/>
        </w:rPr>
        <w:t xml:space="preserve"> Igualmente</w:t>
      </w:r>
      <w:r>
        <w:rPr>
          <w:rFonts w:cs="Arial"/>
          <w:sz w:val="20"/>
          <w:szCs w:val="20"/>
        </w:rPr>
        <w:t>, continuando con la línea mencionada, los otros consejeros de la misma Subsección A han reiterado las tesis sobre la oportunidad para presentar la demanda contra los actos previos, según se observa, por ejemplo, en las siguientes providencias</w:t>
      </w:r>
      <w:r w:rsidRPr="002F06B2">
        <w:rPr>
          <w:rFonts w:cs="Arial"/>
          <w:sz w:val="20"/>
          <w:szCs w:val="20"/>
        </w:rPr>
        <w:t xml:space="preserve">: </w:t>
      </w:r>
      <w:r w:rsidRPr="00C61066">
        <w:rPr>
          <w:rFonts w:cs="Arial"/>
          <w:b/>
          <w:sz w:val="20"/>
          <w:szCs w:val="20"/>
        </w:rPr>
        <w:t>6.</w:t>
      </w:r>
      <w:r w:rsidRPr="00C61066">
        <w:rPr>
          <w:rFonts w:cs="Arial"/>
          <w:sz w:val="20"/>
          <w:szCs w:val="20"/>
        </w:rPr>
        <w:t xml:space="preserve"> Sentencia de 9 de julio de 2014, Consejero Ponente: Carlos Alberto Zambrano Barrera,</w:t>
      </w:r>
      <w:r>
        <w:rPr>
          <w:rFonts w:cs="Arial"/>
          <w:sz w:val="20"/>
          <w:szCs w:val="20"/>
        </w:rPr>
        <w:t xml:space="preserve"> </w:t>
      </w:r>
      <w:r w:rsidRPr="00C61066">
        <w:rPr>
          <w:rFonts w:cs="Arial"/>
          <w:sz w:val="20"/>
          <w:szCs w:val="20"/>
        </w:rPr>
        <w:t>r</w:t>
      </w:r>
      <w:r w:rsidRPr="00C61066">
        <w:rPr>
          <w:rFonts w:cs="Arial"/>
          <w:bCs/>
          <w:sz w:val="20"/>
          <w:szCs w:val="20"/>
        </w:rPr>
        <w:t>adicación: 250002326000200001205</w:t>
      </w:r>
      <w:r w:rsidRPr="00C61066">
        <w:rPr>
          <w:rFonts w:cs="Arial"/>
          <w:sz w:val="20"/>
          <w:szCs w:val="20"/>
        </w:rPr>
        <w:t>-01,</w:t>
      </w:r>
      <w:r>
        <w:rPr>
          <w:rFonts w:cs="Arial"/>
          <w:sz w:val="20"/>
          <w:szCs w:val="20"/>
        </w:rPr>
        <w:t xml:space="preserve"> </w:t>
      </w:r>
      <w:r w:rsidRPr="00C61066">
        <w:rPr>
          <w:rFonts w:cs="Arial"/>
          <w:sz w:val="20"/>
          <w:szCs w:val="20"/>
        </w:rPr>
        <w:t>e</w:t>
      </w:r>
      <w:r w:rsidRPr="00C61066">
        <w:rPr>
          <w:rFonts w:cs="Arial"/>
          <w:bCs/>
          <w:sz w:val="20"/>
          <w:szCs w:val="20"/>
        </w:rPr>
        <w:t xml:space="preserve">xpediente: 27.883, </w:t>
      </w:r>
      <w:r w:rsidRPr="00C61066">
        <w:rPr>
          <w:rFonts w:cs="Arial"/>
          <w:sz w:val="20"/>
          <w:szCs w:val="20"/>
        </w:rPr>
        <w:t>Demandante: Reimpodiesel S.A., Demandado:</w:t>
      </w:r>
      <w:r>
        <w:rPr>
          <w:rFonts w:cs="Arial"/>
          <w:sz w:val="20"/>
          <w:szCs w:val="20"/>
        </w:rPr>
        <w:t xml:space="preserve"> </w:t>
      </w:r>
      <w:r w:rsidRPr="00C61066">
        <w:rPr>
          <w:rFonts w:cs="Arial"/>
          <w:sz w:val="20"/>
          <w:szCs w:val="20"/>
        </w:rPr>
        <w:t xml:space="preserve">Instituto de Desarrollo Urbano –IDU- , </w:t>
      </w:r>
      <w:r w:rsidRPr="00C61066">
        <w:rPr>
          <w:rFonts w:cs="Arial"/>
          <w:bCs/>
          <w:sz w:val="20"/>
          <w:szCs w:val="20"/>
        </w:rPr>
        <w:t>naturaleza: nulidad y restablecimiento del derecho</w:t>
      </w:r>
      <w:r>
        <w:rPr>
          <w:rFonts w:cs="Arial"/>
          <w:bCs/>
          <w:sz w:val="20"/>
          <w:szCs w:val="20"/>
        </w:rPr>
        <w:t xml:space="preserve">; </w:t>
      </w:r>
      <w:r w:rsidRPr="00C61066">
        <w:rPr>
          <w:rFonts w:cs="Arial"/>
          <w:b/>
          <w:bCs/>
          <w:sz w:val="20"/>
          <w:szCs w:val="20"/>
        </w:rPr>
        <w:t>7.</w:t>
      </w:r>
      <w:r>
        <w:rPr>
          <w:rFonts w:cs="Arial"/>
          <w:bCs/>
          <w:sz w:val="20"/>
          <w:szCs w:val="20"/>
        </w:rPr>
        <w:t xml:space="preserve"> </w:t>
      </w:r>
      <w:r w:rsidRPr="002F06B2">
        <w:rPr>
          <w:rFonts w:cs="Arial"/>
          <w:sz w:val="20"/>
          <w:szCs w:val="20"/>
        </w:rPr>
        <w:t xml:space="preserve">sentencia 23 de </w:t>
      </w:r>
      <w:r>
        <w:rPr>
          <w:rFonts w:cs="Arial"/>
          <w:sz w:val="20"/>
          <w:szCs w:val="20"/>
        </w:rPr>
        <w:t>s</w:t>
      </w:r>
      <w:r w:rsidRPr="002F06B2">
        <w:rPr>
          <w:rFonts w:cs="Arial"/>
          <w:sz w:val="20"/>
          <w:szCs w:val="20"/>
        </w:rPr>
        <w:t>eptiembre de 2015.</w:t>
      </w:r>
      <w:r w:rsidRPr="002F06B2">
        <w:rPr>
          <w:rFonts w:eastAsia="Batang" w:cs="Arial"/>
          <w:bCs/>
          <w:sz w:val="20"/>
          <w:szCs w:val="20"/>
          <w:lang w:val="es-ES_tradnl"/>
        </w:rPr>
        <w:t xml:space="preserve">, </w:t>
      </w:r>
      <w:r w:rsidRPr="002F06B2">
        <w:rPr>
          <w:rFonts w:cs="Arial"/>
          <w:sz w:val="20"/>
          <w:szCs w:val="20"/>
        </w:rPr>
        <w:t xml:space="preserve">Consejero Ponente (E): Hernán Andrade Rincón, radicación: 25000233100020020100101 (39327), actor: Cooperativa de Trabajo Servicio de Vigilancia y Seguridad Privada Cooseguridad, demandado:  Bogotá D.C. Secretaría de Educación. </w:t>
      </w:r>
      <w:r w:rsidRPr="00C460BA">
        <w:rPr>
          <w:rFonts w:cs="Arial"/>
          <w:b/>
          <w:sz w:val="20"/>
          <w:szCs w:val="20"/>
        </w:rPr>
        <w:t>8.</w:t>
      </w:r>
      <w:r w:rsidRPr="00C460BA">
        <w:rPr>
          <w:rFonts w:cs="Arial"/>
          <w:sz w:val="20"/>
          <w:szCs w:val="20"/>
        </w:rPr>
        <w:t xml:space="preserve"> </w:t>
      </w:r>
      <w:r w:rsidRPr="00362D1E">
        <w:rPr>
          <w:rFonts w:cs="Arial"/>
          <w:sz w:val="20"/>
          <w:szCs w:val="20"/>
        </w:rPr>
        <w:t xml:space="preserve">Consejo de Estado, Sala de lo Contencioso Administrativo. Sección Tercera – Subsección A, </w:t>
      </w:r>
      <w:r w:rsidRPr="00362D1E">
        <w:rPr>
          <w:rFonts w:cs="Arial"/>
          <w:sz w:val="20"/>
          <w:szCs w:val="20"/>
          <w:lang w:val="es-CO"/>
        </w:rPr>
        <w:t>sentencia de 24 de mayo de 2017, radicación</w:t>
      </w:r>
      <w:r w:rsidRPr="00362D1E">
        <w:rPr>
          <w:rFonts w:cs="Arial"/>
          <w:sz w:val="20"/>
          <w:szCs w:val="20"/>
        </w:rPr>
        <w:t>: 25000232600020090098901 (48388), actor: Instituto Colombiano Agropecuario – ICA, demandado: Qumram Asociados Ltda, acción: reparación directa</w:t>
      </w:r>
      <w:r>
        <w:rPr>
          <w:rFonts w:cs="Arial"/>
          <w:sz w:val="20"/>
          <w:szCs w:val="20"/>
        </w:rPr>
        <w:t xml:space="preserve">. </w:t>
      </w:r>
      <w:r w:rsidRPr="00D84D1A">
        <w:rPr>
          <w:rFonts w:cs="Arial"/>
          <w:b/>
          <w:sz w:val="20"/>
          <w:szCs w:val="20"/>
        </w:rPr>
        <w:t>9.</w:t>
      </w:r>
      <w:r w:rsidRPr="00362D1E">
        <w:rPr>
          <w:rFonts w:cs="Arial"/>
          <w:b/>
          <w:sz w:val="20"/>
          <w:szCs w:val="20"/>
        </w:rPr>
        <w:t xml:space="preserve"> </w:t>
      </w:r>
      <w:r w:rsidRPr="00362D1E">
        <w:rPr>
          <w:rFonts w:cs="Arial"/>
          <w:sz w:val="20"/>
          <w:szCs w:val="20"/>
        </w:rPr>
        <w:t xml:space="preserve">Consejo de Estado, Sala de lo Contencioso Administrativo. Sección Tercera – Subsección A, </w:t>
      </w:r>
      <w:r w:rsidRPr="00362D1E">
        <w:rPr>
          <w:rFonts w:cs="Arial"/>
          <w:sz w:val="20"/>
          <w:szCs w:val="20"/>
          <w:lang w:val="es-CO"/>
        </w:rPr>
        <w:t xml:space="preserve">sentencia de 6 de julio de 2017, </w:t>
      </w:r>
      <w:r w:rsidRPr="00362D1E">
        <w:rPr>
          <w:rFonts w:cs="Arial"/>
          <w:sz w:val="20"/>
          <w:szCs w:val="20"/>
        </w:rPr>
        <w:t>radicación: 250002342600020110066501 (52498), actor: Traing Trabajos de Ingeniería Ltda., demandado: Corporación Autónoma Regional del Rio Grande de la Magdalena – Cormagdalena, acción: nulidad y restablecimiento del derecho</w:t>
      </w:r>
      <w:r>
        <w:rPr>
          <w:rFonts w:cs="Arial"/>
          <w:sz w:val="20"/>
          <w:szCs w:val="20"/>
        </w:rPr>
        <w:t>.</w:t>
      </w:r>
    </w:p>
    <w:p w14:paraId="2E03B463" w14:textId="77777777" w:rsidR="001E6292" w:rsidRPr="00973043" w:rsidRDefault="001E6292" w:rsidP="0086309E">
      <w:pPr>
        <w:pStyle w:val="Textonotapie"/>
        <w:spacing w:line="240" w:lineRule="auto"/>
      </w:pPr>
    </w:p>
  </w:footnote>
  <w:footnote w:id="25">
    <w:p w14:paraId="5F2C081D" w14:textId="77777777" w:rsidR="001E6292" w:rsidRPr="003B418D" w:rsidRDefault="001E6292" w:rsidP="0086309E">
      <w:pPr>
        <w:pStyle w:val="Textonotapie"/>
        <w:spacing w:line="240" w:lineRule="auto"/>
        <w:rPr>
          <w:i/>
        </w:rPr>
      </w:pPr>
      <w:r w:rsidRPr="009A4FF3">
        <w:rPr>
          <w:rStyle w:val="Refdenotaalpie"/>
        </w:rPr>
        <w:footnoteRef/>
      </w:r>
      <w:r w:rsidRPr="009A4FF3">
        <w:t xml:space="preserve"> </w:t>
      </w:r>
      <w:r w:rsidRPr="00F615B0">
        <w:rPr>
          <w:lang w:val="es-MX"/>
        </w:rPr>
        <w:t xml:space="preserve">Cita original de la sentencia: </w:t>
      </w:r>
      <w:r w:rsidRPr="00F615B0">
        <w:rPr>
          <w:i/>
          <w:lang w:val="es-MX"/>
        </w:rPr>
        <w:t>“</w:t>
      </w:r>
      <w:r w:rsidRPr="00F615B0">
        <w:rPr>
          <w:i/>
        </w:rPr>
        <w:t xml:space="preserve">Se acude aquí tanto a la interpretación gramatical como sistemática del texto del artículo 87 del Código Contencioso Administrativo modificado por la Ley 446 de 1998, de conformidad con las reglas de interpretación de los artículos 27 y 30 del Código Civil, para lo cual se emplea una técnica de hermenéutica jurídica conocida como la reducción al absurdo, puesto que evidentemente si la interpretación fuera la contraria, se llegaría a la consecuencia de que el término de 30 días fijado en la norma no tendría ningún </w:t>
      </w:r>
      <w:r w:rsidRPr="003B418D">
        <w:rPr>
          <w:i/>
        </w:rPr>
        <w:t>alcance y que su vencimiento no conllevaría ningún efecto -puesto que estaría subsumido en el término general de 2 años- con lo cual se llegaría al absurdo de una disposición legal sin sentido u objeto, cuestión que resultaría contraria al principio de interpretación normativa, reiteradamente aplicado por la jurisprudencia del Consejo de Estado, del efecto útil de la norma</w:t>
      </w:r>
      <w:r w:rsidRPr="003B418D">
        <w:rPr>
          <w:i/>
          <w:lang w:val="es-MX"/>
        </w:rPr>
        <w:t>”.</w:t>
      </w:r>
      <w:r w:rsidRPr="003B418D">
        <w:rPr>
          <w:i/>
        </w:rPr>
        <w:t xml:space="preserve"> </w:t>
      </w:r>
    </w:p>
    <w:p w14:paraId="37402BAF" w14:textId="77777777" w:rsidR="001E6292" w:rsidRPr="003B418D" w:rsidRDefault="001E6292" w:rsidP="0086309E">
      <w:pPr>
        <w:pStyle w:val="Textonotapie"/>
        <w:spacing w:line="240" w:lineRule="auto"/>
      </w:pPr>
    </w:p>
  </w:footnote>
  <w:footnote w:id="26">
    <w:p w14:paraId="33D8A8AC" w14:textId="77777777" w:rsidR="001E6292" w:rsidRPr="003B418D" w:rsidRDefault="001E6292" w:rsidP="0086309E">
      <w:pPr>
        <w:pStyle w:val="Textonotapie"/>
        <w:spacing w:line="240" w:lineRule="auto"/>
        <w:rPr>
          <w:i/>
          <w:lang w:val="es-MX"/>
        </w:rPr>
      </w:pPr>
      <w:r w:rsidRPr="003B418D">
        <w:rPr>
          <w:rStyle w:val="Refdenotaalpie"/>
        </w:rPr>
        <w:footnoteRef/>
      </w:r>
      <w:r w:rsidRPr="003B418D">
        <w:t xml:space="preserve"> </w:t>
      </w:r>
      <w:r w:rsidRPr="003B418D">
        <w:rPr>
          <w:lang w:val="es-MX"/>
        </w:rPr>
        <w:t>Cita original de la sentencia: “</w:t>
      </w:r>
      <w:r w:rsidRPr="003B418D">
        <w:rPr>
          <w:i/>
        </w:rPr>
        <w:t>De acuerdo con la sentencia C-712 de 2005 se advirtió que la posibilidad de demandar en forma separada los actos precontractuales cesa a partir de la celebración del contrato respectivo, interpretación en la cual se siguió la jurisprudencia del Consejo de Estado en auto de 13 de diciembre de 2001, expediente 19.777 y que se ha respetado en diversos pronunciamientos de la Sección Tercera de esta Corporación, según se relacionó anteriormente en el cuadro resumen de jurisprudencia</w:t>
      </w:r>
      <w:r w:rsidRPr="003B418D">
        <w:rPr>
          <w:i/>
          <w:lang w:val="es-MX"/>
        </w:rPr>
        <w:t>”</w:t>
      </w:r>
      <w:r>
        <w:rPr>
          <w:i/>
          <w:lang w:val="es-MX"/>
        </w:rPr>
        <w:t>.</w:t>
      </w:r>
    </w:p>
    <w:p w14:paraId="19CBAEFF" w14:textId="77777777" w:rsidR="001E6292" w:rsidRPr="003B418D" w:rsidRDefault="001E6292" w:rsidP="0086309E">
      <w:pPr>
        <w:pStyle w:val="Textonotapie"/>
        <w:rPr>
          <w:i/>
        </w:rPr>
      </w:pPr>
    </w:p>
  </w:footnote>
  <w:footnote w:id="27">
    <w:p w14:paraId="36051E51" w14:textId="77777777" w:rsidR="001E6292" w:rsidRPr="005A7DF4" w:rsidRDefault="001E6292" w:rsidP="0086309E">
      <w:pPr>
        <w:pStyle w:val="Textonotapie"/>
        <w:spacing w:line="240" w:lineRule="auto"/>
        <w:rPr>
          <w:lang w:val="es-MX"/>
        </w:rPr>
      </w:pPr>
      <w:r w:rsidRPr="005A7DF4">
        <w:rPr>
          <w:rStyle w:val="Refdenotaalpie"/>
        </w:rPr>
        <w:footnoteRef/>
      </w:r>
      <w:r w:rsidRPr="005A7DF4">
        <w:t xml:space="preserve"> </w:t>
      </w:r>
      <w:r w:rsidRPr="005A7DF4">
        <w:rPr>
          <w:lang w:val="es-MX"/>
        </w:rPr>
        <w:t xml:space="preserve">Cita original de la sentencia: </w:t>
      </w:r>
      <w:r w:rsidRPr="005A7DF4">
        <w:rPr>
          <w:i/>
          <w:lang w:val="es-MX"/>
        </w:rPr>
        <w:t>“</w:t>
      </w:r>
      <w:r w:rsidRPr="005A7DF4">
        <w:rPr>
          <w:i/>
        </w:rPr>
        <w:t>Esta conclusión se apoya también con un argumento a contrario sensu, que se utiliza para cuidarse de no extender la consecuencia de la norma a casos no previstos en ella, como sería la de permitir a la acción que se incoa después de vencido el término de 30 días un alcance distinto del establecido explícitamente en la parte final del párrafo segundo del artículo 87, cual es el de obtener la nulidad del contrato celebrado; en este sentido, el argumento que soporta la hipótesis consiste en señalar que la norma dispone que antes del vencimiento del término de los 30 días sí no se ha celebrado el contrato, procede demandar el acto en forma separada con el objeto de obtener su nulidad o la nulidad y el restablecimiento del derecho y en sentido contrario una vez vencido el término mencionado sólo procede la impugnación conjunta de ambos actos y con el objeto exclusivo de la declaratoria de nulidad del contrato, lo cual excluye el restablecimiento del derecho no impetrado oportunamente</w:t>
      </w:r>
      <w:r w:rsidRPr="005A7DF4">
        <w:rPr>
          <w:lang w:val="es-MX"/>
        </w:rPr>
        <w:t>”</w:t>
      </w:r>
      <w:r>
        <w:rPr>
          <w:lang w:val="es-MX"/>
        </w:rPr>
        <w:t>.</w:t>
      </w:r>
    </w:p>
    <w:p w14:paraId="7D68CD4F" w14:textId="77777777" w:rsidR="001E6292" w:rsidRPr="005A7DF4" w:rsidRDefault="001E6292" w:rsidP="0086309E">
      <w:pPr>
        <w:pStyle w:val="Textonotapie"/>
        <w:spacing w:line="240" w:lineRule="auto"/>
      </w:pPr>
    </w:p>
  </w:footnote>
  <w:footnote w:id="28">
    <w:p w14:paraId="38993F45" w14:textId="77777777" w:rsidR="001E6292" w:rsidRPr="002277D2" w:rsidRDefault="001E6292">
      <w:pPr>
        <w:pStyle w:val="Textonotapie"/>
        <w:rPr>
          <w:lang w:val="es-CO"/>
        </w:rPr>
      </w:pPr>
      <w:r>
        <w:rPr>
          <w:rStyle w:val="Refdenotaalpie"/>
        </w:rPr>
        <w:footnoteRef/>
      </w:r>
      <w:r>
        <w:t xml:space="preserve"> </w:t>
      </w:r>
      <w:r>
        <w:rPr>
          <w:lang w:val="es-CO"/>
        </w:rPr>
        <w:t>Folio 205 a 234, cuaderno 1.</w:t>
      </w:r>
    </w:p>
  </w:footnote>
  <w:footnote w:id="29">
    <w:p w14:paraId="6A1CFF5F" w14:textId="77777777" w:rsidR="001E6292" w:rsidRPr="00FF6FDD" w:rsidRDefault="001E6292">
      <w:pPr>
        <w:pStyle w:val="Textonotapie"/>
        <w:rPr>
          <w:lang w:val="es-CO"/>
        </w:rPr>
      </w:pPr>
      <w:r>
        <w:rPr>
          <w:rStyle w:val="Refdenotaalpie"/>
        </w:rPr>
        <w:footnoteRef/>
      </w:r>
      <w:r>
        <w:t xml:space="preserve"> </w:t>
      </w:r>
      <w:r>
        <w:rPr>
          <w:lang w:val="es-CO"/>
        </w:rPr>
        <w:t>Folio 194, cuaderno 1.</w:t>
      </w:r>
    </w:p>
  </w:footnote>
  <w:footnote w:id="30">
    <w:p w14:paraId="757DE063" w14:textId="77777777" w:rsidR="001E6292" w:rsidRDefault="001E6292" w:rsidP="0086309E">
      <w:pPr>
        <w:pStyle w:val="Textonotapie"/>
        <w:spacing w:line="240" w:lineRule="auto"/>
        <w:rPr>
          <w:rFonts w:cs="Arial"/>
        </w:rPr>
      </w:pPr>
      <w:r>
        <w:rPr>
          <w:rStyle w:val="Refdenotaalpie"/>
        </w:rPr>
        <w:footnoteRef/>
      </w:r>
      <w:r>
        <w:t xml:space="preserve"> </w:t>
      </w:r>
      <w:r w:rsidRPr="00973043">
        <w:t xml:space="preserve">Consejo de Estado, Sala de lo Contencioso Administrativo, Sección Tercera, Subsección A, Consejero Ponente: Mauricio Fajardo Gómez, </w:t>
      </w:r>
      <w:r>
        <w:t>s</w:t>
      </w:r>
      <w:r w:rsidRPr="00973043">
        <w:rPr>
          <w:rFonts w:cs="Arial"/>
        </w:rPr>
        <w:t>entencia de 12 de febrero de 2014, radicación 250002326000200137701, expediente 32721, actor Integrantes Unión temporal Bogotá Móvil, demandado Fondo de Educación y Seguridad Vial Fondatt, acción contractual.</w:t>
      </w:r>
    </w:p>
    <w:p w14:paraId="79161FFC" w14:textId="77777777" w:rsidR="001E6292" w:rsidRPr="00721208" w:rsidRDefault="001E6292" w:rsidP="0086309E">
      <w:pPr>
        <w:pStyle w:val="Textonotapie"/>
        <w:spacing w:line="240" w:lineRule="auto"/>
      </w:pPr>
    </w:p>
  </w:footnote>
  <w:footnote w:id="31">
    <w:p w14:paraId="60D607A6" w14:textId="77777777" w:rsidR="001E6292" w:rsidRPr="00B51B5E" w:rsidRDefault="001E6292" w:rsidP="0086309E">
      <w:pPr>
        <w:pStyle w:val="Puesto"/>
        <w:jc w:val="both"/>
      </w:pPr>
      <w:r w:rsidRPr="00721208">
        <w:rPr>
          <w:rStyle w:val="Refdenotaalpie"/>
          <w:b w:val="0"/>
          <w:sz w:val="20"/>
          <w:szCs w:val="20"/>
        </w:rPr>
        <w:footnoteRef/>
      </w:r>
      <w:r w:rsidRPr="00721208">
        <w:rPr>
          <w:b w:val="0"/>
          <w:sz w:val="20"/>
          <w:szCs w:val="20"/>
        </w:rPr>
        <w:t xml:space="preserve"> Consejo de Estado, Sala de lo Contencioso Administrativo, Sección Tercera, Subsección A,</w:t>
      </w:r>
      <w:r w:rsidRPr="00721208">
        <w:rPr>
          <w:b w:val="0"/>
          <w:sz w:val="20"/>
          <w:szCs w:val="20"/>
          <w:lang w:val="es-ES"/>
        </w:rPr>
        <w:t xml:space="preserve"> </w:t>
      </w:r>
      <w:r>
        <w:rPr>
          <w:b w:val="0"/>
          <w:sz w:val="20"/>
          <w:szCs w:val="20"/>
          <w:lang w:val="es-ES"/>
        </w:rPr>
        <w:t xml:space="preserve">Consejero Ponente: Mauricio Fajardo Gómez, </w:t>
      </w:r>
      <w:r w:rsidRPr="00721208">
        <w:rPr>
          <w:b w:val="0"/>
          <w:sz w:val="20"/>
          <w:szCs w:val="20"/>
          <w:lang w:val="es-ES"/>
        </w:rPr>
        <w:t xml:space="preserve">sentencia de </w:t>
      </w:r>
      <w:r w:rsidRPr="00721208">
        <w:rPr>
          <w:b w:val="0"/>
          <w:sz w:val="20"/>
          <w:szCs w:val="20"/>
        </w:rPr>
        <w:t>13 de febrero de 2013, r</w:t>
      </w:r>
      <w:r w:rsidRPr="00721208">
        <w:rPr>
          <w:b w:val="0"/>
          <w:bCs w:val="0"/>
          <w:sz w:val="20"/>
          <w:szCs w:val="20"/>
        </w:rPr>
        <w:t>adicación número: 50001-23-31-000-1999-00165-01(25310), actor: Ana</w:t>
      </w:r>
      <w:r>
        <w:rPr>
          <w:b w:val="0"/>
          <w:bCs w:val="0"/>
          <w:sz w:val="20"/>
          <w:szCs w:val="20"/>
        </w:rPr>
        <w:t>t</w:t>
      </w:r>
      <w:r w:rsidRPr="00721208">
        <w:rPr>
          <w:b w:val="0"/>
          <w:bCs w:val="0"/>
          <w:sz w:val="20"/>
          <w:szCs w:val="20"/>
        </w:rPr>
        <w:t>ilde Ortiz de Bernal, demandado: Nación - Ministerio de Defensa - Ejercito Nacional, referencia: apelación sentencia - acción de reparación directa</w:t>
      </w:r>
      <w:r>
        <w:rPr>
          <w:b w:val="0"/>
          <w:bCs w:val="0"/>
          <w:sz w:val="20"/>
          <w:szCs w:val="20"/>
        </w:rPr>
        <w:t>.</w:t>
      </w:r>
    </w:p>
  </w:footnote>
  <w:footnote w:id="32">
    <w:p w14:paraId="0DF043F3" w14:textId="77777777" w:rsidR="001E6292" w:rsidRPr="00C268A5" w:rsidRDefault="001E6292" w:rsidP="00C268A5">
      <w:pPr>
        <w:shd w:val="clear" w:color="auto" w:fill="FFFFFF"/>
        <w:spacing w:line="240" w:lineRule="auto"/>
        <w:rPr>
          <w:rFonts w:cs="Arial"/>
          <w:i/>
          <w:color w:val="000000"/>
          <w:sz w:val="20"/>
          <w:szCs w:val="20"/>
          <w:lang w:val="es-MX" w:eastAsia="es-MX"/>
        </w:rPr>
      </w:pPr>
      <w:r w:rsidRPr="00C268A5">
        <w:rPr>
          <w:rStyle w:val="Refdenotaalpie"/>
          <w:sz w:val="20"/>
          <w:szCs w:val="20"/>
        </w:rPr>
        <w:footnoteRef/>
      </w:r>
      <w:r w:rsidRPr="00C268A5">
        <w:rPr>
          <w:sz w:val="20"/>
          <w:szCs w:val="20"/>
        </w:rPr>
        <w:t xml:space="preserve"> </w:t>
      </w:r>
      <w:r>
        <w:rPr>
          <w:sz w:val="20"/>
          <w:szCs w:val="20"/>
        </w:rPr>
        <w:t>Cita original de la sentencia</w:t>
      </w:r>
      <w:r w:rsidRPr="00FB15D7">
        <w:rPr>
          <w:sz w:val="20"/>
          <w:szCs w:val="20"/>
        </w:rPr>
        <w:t>:</w:t>
      </w:r>
      <w:r w:rsidRPr="00FB15D7">
        <w:rPr>
          <w:rFonts w:cs="Arial"/>
          <w:bCs/>
          <w:i/>
          <w:color w:val="000000"/>
          <w:sz w:val="20"/>
          <w:szCs w:val="20"/>
          <w:lang w:val="es-MX" w:eastAsia="es-MX"/>
        </w:rPr>
        <w:t>“ARTICULO 2o.</w:t>
      </w:r>
      <w:r w:rsidRPr="00C268A5">
        <w:rPr>
          <w:rFonts w:cs="Arial"/>
          <w:i/>
          <w:color w:val="000000"/>
          <w:sz w:val="20"/>
          <w:szCs w:val="20"/>
          <w:lang w:val="es-MX" w:eastAsia="es-MX"/>
        </w:rPr>
        <w:t> AMBITO DE APLICACIÓN. El presente decreto debe ser aplicado por todas las personas que de acuerdo con la Ley estén obligadas a llevar contabilidad.</w:t>
      </w:r>
    </w:p>
    <w:p w14:paraId="556B702E" w14:textId="77777777" w:rsidR="001E6292" w:rsidRDefault="001E6292" w:rsidP="00C268A5">
      <w:pPr>
        <w:shd w:val="clear" w:color="auto" w:fill="FFFFFF"/>
        <w:spacing w:line="240" w:lineRule="auto"/>
        <w:rPr>
          <w:rFonts w:cs="Arial"/>
          <w:b/>
          <w:i/>
          <w:color w:val="000000"/>
          <w:sz w:val="20"/>
          <w:szCs w:val="20"/>
          <w:lang w:val="es-MX" w:eastAsia="es-MX"/>
        </w:rPr>
      </w:pPr>
    </w:p>
    <w:p w14:paraId="15BB89AD" w14:textId="77777777" w:rsidR="001E6292" w:rsidRPr="00D16960" w:rsidRDefault="001E6292" w:rsidP="00C268A5">
      <w:pPr>
        <w:shd w:val="clear" w:color="auto" w:fill="FFFFFF"/>
        <w:spacing w:line="240" w:lineRule="auto"/>
        <w:rPr>
          <w:rFonts w:cs="Arial"/>
          <w:b/>
          <w:color w:val="000000"/>
          <w:sz w:val="20"/>
          <w:szCs w:val="20"/>
          <w:lang w:val="es-MX" w:eastAsia="es-MX"/>
        </w:rPr>
      </w:pPr>
      <w:r w:rsidRPr="00D16960">
        <w:rPr>
          <w:rFonts w:cs="Arial"/>
          <w:i/>
          <w:color w:val="000000"/>
          <w:sz w:val="20"/>
          <w:szCs w:val="20"/>
          <w:lang w:val="es-MX" w:eastAsia="es-MX"/>
        </w:rPr>
        <w:t>“</w:t>
      </w:r>
      <w:r w:rsidRPr="00C268A5">
        <w:rPr>
          <w:rFonts w:cs="Arial"/>
          <w:b/>
          <w:i/>
          <w:color w:val="000000"/>
          <w:sz w:val="20"/>
          <w:szCs w:val="20"/>
          <w:lang w:val="es-MX" w:eastAsia="es-MX"/>
        </w:rPr>
        <w:t>Su aplicación es necesaria también para quienes sin estar obligados a llevar contabilidad, pretendan hacerla valer como prueba</w:t>
      </w:r>
      <w:r w:rsidRPr="00C268A5">
        <w:rPr>
          <w:rFonts w:cs="Arial"/>
          <w:i/>
          <w:color w:val="000000"/>
          <w:sz w:val="20"/>
          <w:szCs w:val="20"/>
          <w:lang w:val="es-MX" w:eastAsia="es-MX"/>
        </w:rPr>
        <w:t>”</w:t>
      </w:r>
      <w:r>
        <w:rPr>
          <w:rFonts w:cs="Arial"/>
          <w:i/>
          <w:color w:val="000000"/>
          <w:sz w:val="20"/>
          <w:szCs w:val="20"/>
          <w:lang w:val="es-MX" w:eastAsia="es-MX"/>
        </w:rPr>
        <w:t xml:space="preserve"> </w:t>
      </w:r>
      <w:r w:rsidRPr="00152DBB">
        <w:rPr>
          <w:rFonts w:cs="Arial"/>
          <w:color w:val="000000"/>
          <w:sz w:val="20"/>
          <w:szCs w:val="20"/>
          <w:lang w:val="es-MX" w:eastAsia="es-MX"/>
        </w:rPr>
        <w:t>(l</w:t>
      </w:r>
      <w:r w:rsidRPr="00D16960">
        <w:rPr>
          <w:rFonts w:cs="Arial"/>
          <w:color w:val="000000"/>
          <w:sz w:val="20"/>
          <w:szCs w:val="20"/>
          <w:lang w:val="es-MX" w:eastAsia="es-MX"/>
        </w:rPr>
        <w:t>a negrilla no es del texto).</w:t>
      </w:r>
    </w:p>
    <w:p w14:paraId="569D7A14" w14:textId="77777777" w:rsidR="001E6292" w:rsidRPr="00C268A5" w:rsidRDefault="001E6292">
      <w:pPr>
        <w:pStyle w:val="Textonotapie"/>
        <w:rPr>
          <w:lang w:val="es-MX"/>
        </w:rPr>
      </w:pPr>
    </w:p>
  </w:footnote>
  <w:footnote w:id="33">
    <w:p w14:paraId="72612F00" w14:textId="77777777" w:rsidR="001E6292" w:rsidRDefault="001E6292" w:rsidP="006F5B7F">
      <w:pPr>
        <w:pStyle w:val="Textonotapie"/>
        <w:spacing w:line="240" w:lineRule="auto"/>
        <w:rPr>
          <w:rFonts w:cs="Arial"/>
          <w:i/>
          <w:color w:val="000000"/>
        </w:rPr>
      </w:pPr>
      <w:r w:rsidRPr="0066513D">
        <w:rPr>
          <w:rStyle w:val="Refdenotaalpie"/>
          <w:rFonts w:cs="Arial"/>
        </w:rPr>
        <w:footnoteRef/>
      </w:r>
      <w:r w:rsidRPr="0066513D">
        <w:rPr>
          <w:rFonts w:cs="Arial"/>
          <w:vertAlign w:val="superscript"/>
        </w:rPr>
        <w:t xml:space="preserve"> </w:t>
      </w:r>
      <w:r>
        <w:rPr>
          <w:rFonts w:cs="Arial"/>
        </w:rPr>
        <w:t>Cita original de la sentencia: “</w:t>
      </w:r>
      <w:r w:rsidRPr="00D16960">
        <w:rPr>
          <w:rFonts w:cs="Arial"/>
          <w:i/>
          <w:lang w:val="es-CO"/>
        </w:rPr>
        <w:t xml:space="preserve">Con la expedición de la Ley 1314 de 2009 se adoptaron </w:t>
      </w:r>
      <w:r w:rsidRPr="00D16960">
        <w:rPr>
          <w:rFonts w:cs="Arial"/>
          <w:i/>
          <w:color w:val="000000"/>
        </w:rPr>
        <w:t xml:space="preserve">los principios y normas de contabilidad, </w:t>
      </w:r>
      <w:r w:rsidRPr="00EC5DB0">
        <w:rPr>
          <w:rFonts w:cs="Arial"/>
          <w:i/>
          <w:color w:val="000000"/>
          <w:u w:val="single"/>
        </w:rPr>
        <w:t>d</w:t>
      </w:r>
      <w:r w:rsidRPr="00D16960">
        <w:rPr>
          <w:rFonts w:cs="Arial"/>
          <w:i/>
          <w:color w:val="000000"/>
          <w:u w:val="single"/>
        </w:rPr>
        <w:t>e información financiera y de aseguramiento de información</w:t>
      </w:r>
      <w:r w:rsidRPr="00D16960">
        <w:rPr>
          <w:rFonts w:cs="Arial"/>
          <w:i/>
          <w:color w:val="000000"/>
        </w:rPr>
        <w:t xml:space="preserve"> aceptados en Colombia y se dispuso </w:t>
      </w:r>
      <w:r w:rsidRPr="00D16960">
        <w:rPr>
          <w:rFonts w:cs="Arial"/>
          <w:i/>
          <w:lang w:val="es-CO"/>
        </w:rPr>
        <w:t xml:space="preserve">el tránsito hacia las Normas Internacionales de Información Financiera, (NIIF), </w:t>
      </w:r>
      <w:r w:rsidRPr="00D16960">
        <w:rPr>
          <w:rFonts w:cs="Arial"/>
          <w:i/>
          <w:color w:val="000000"/>
        </w:rPr>
        <w:t>así como se señalaron las autoridades competentes, el procedimiento para su expedición y la determinación de las entidades responsables de vigilar su cumplimiento</w:t>
      </w:r>
      <w:r>
        <w:rPr>
          <w:rFonts w:cs="Arial"/>
          <w:i/>
          <w:color w:val="000000"/>
        </w:rPr>
        <w:t>”</w:t>
      </w:r>
      <w:r w:rsidRPr="00D16960">
        <w:rPr>
          <w:rFonts w:cs="Arial"/>
          <w:i/>
          <w:color w:val="000000"/>
        </w:rPr>
        <w:t>.</w:t>
      </w:r>
    </w:p>
    <w:p w14:paraId="1554F5C2" w14:textId="77777777" w:rsidR="001E6292" w:rsidRPr="00D16960" w:rsidRDefault="001E6292" w:rsidP="006F5B7F">
      <w:pPr>
        <w:pStyle w:val="Textonotapie"/>
        <w:spacing w:line="240" w:lineRule="auto"/>
        <w:rPr>
          <w:rFonts w:cs="Arial"/>
          <w:i/>
          <w:lang w:val="es-CO"/>
        </w:rPr>
      </w:pPr>
    </w:p>
  </w:footnote>
  <w:footnote w:id="34">
    <w:p w14:paraId="7764D689" w14:textId="77777777" w:rsidR="001E6292" w:rsidRPr="00D16960" w:rsidRDefault="001E6292" w:rsidP="006F5B7F">
      <w:pPr>
        <w:pStyle w:val="Textonotapie"/>
        <w:spacing w:line="240" w:lineRule="auto"/>
        <w:rPr>
          <w:rFonts w:cs="Arial"/>
          <w:i/>
          <w:lang w:val="es-CO"/>
        </w:rPr>
      </w:pPr>
      <w:r w:rsidRPr="00D16960">
        <w:rPr>
          <w:rStyle w:val="Refdenotaalpie"/>
          <w:rFonts w:cs="Arial"/>
        </w:rPr>
        <w:footnoteRef/>
      </w:r>
      <w:r w:rsidRPr="00D16960">
        <w:rPr>
          <w:rFonts w:cs="Arial"/>
        </w:rPr>
        <w:t xml:space="preserve"> </w:t>
      </w:r>
      <w:r>
        <w:rPr>
          <w:rFonts w:cs="Arial"/>
        </w:rPr>
        <w:t>Cita original de la sentencia: “</w:t>
      </w:r>
      <w:r w:rsidRPr="00152DBB">
        <w:rPr>
          <w:rFonts w:cs="Arial"/>
          <w:i/>
          <w:lang w:val="es-CO"/>
        </w:rPr>
        <w:t>Responsabilidad penal de quienes ‘ordenen, toleren, hagan o encubran falsedades en los estados financieros o en sus notas’</w:t>
      </w:r>
      <w:r>
        <w:rPr>
          <w:rFonts w:cs="Arial"/>
          <w:i/>
          <w:lang w:val="es-CO"/>
        </w:rPr>
        <w:t xml:space="preserve"> </w:t>
      </w:r>
      <w:r w:rsidRPr="00152DBB">
        <w:rPr>
          <w:rFonts w:cs="Arial"/>
          <w:i/>
          <w:lang w:val="es-CO"/>
        </w:rPr>
        <w:t>”.</w:t>
      </w:r>
    </w:p>
    <w:p w14:paraId="72873569" w14:textId="77777777" w:rsidR="001E6292" w:rsidRPr="00D16960" w:rsidRDefault="001E6292" w:rsidP="006F5B7F">
      <w:pPr>
        <w:pStyle w:val="Textonotapie"/>
        <w:spacing w:line="240" w:lineRule="auto"/>
        <w:rPr>
          <w:rFonts w:cs="Arial"/>
          <w:lang w:val="es-CO"/>
        </w:rPr>
      </w:pPr>
    </w:p>
  </w:footnote>
  <w:footnote w:id="35">
    <w:p w14:paraId="4818EFDC" w14:textId="77777777" w:rsidR="001E6292" w:rsidRPr="0059638B" w:rsidRDefault="001E6292" w:rsidP="006F5B7F">
      <w:pPr>
        <w:pStyle w:val="Textonotapie"/>
        <w:spacing w:line="240" w:lineRule="auto"/>
      </w:pPr>
      <w:r w:rsidRPr="0066513D">
        <w:rPr>
          <w:rStyle w:val="Refdenotaalpie"/>
        </w:rPr>
        <w:footnoteRef/>
      </w:r>
      <w:r w:rsidRPr="0059638B">
        <w:rPr>
          <w:i/>
        </w:rPr>
        <w:t xml:space="preserve"> </w:t>
      </w:r>
      <w:r w:rsidRPr="0059638B">
        <w:t>Cita original de la sentencia:</w:t>
      </w:r>
      <w:r w:rsidRPr="0059638B">
        <w:rPr>
          <w:i/>
        </w:rPr>
        <w:t xml:space="preserve"> “</w:t>
      </w:r>
      <w:r w:rsidRPr="0059638B">
        <w:rPr>
          <w:rFonts w:cs="Arial"/>
          <w:bCs/>
          <w:color w:val="000000"/>
          <w:lang w:val="es-MX" w:eastAsia="es-MX"/>
        </w:rPr>
        <w:t xml:space="preserve">Corte Constitucional, sentencia </w:t>
      </w:r>
      <w:r w:rsidRPr="0059638B">
        <w:t>C-996/2000</w:t>
      </w:r>
      <w:r w:rsidRPr="0059638B">
        <w:rPr>
          <w:i/>
        </w:rPr>
        <w:t xml:space="preserve"> “La existencia y la importancia de éstos ha sido justificada de manera diversa: i) son los estados financieros los instrumentos contables a través de los cuales se pueden determinar la utilidad o pérdida obtenida en desarrollo del objeto social de la empresa; ii) permiten establecer la situación financiera de la sociedad, tanto para sus propios socios, como terceros que no tienen acceso, inversionistas, </w:t>
      </w:r>
      <w:r w:rsidRPr="0059638B">
        <w:rPr>
          <w:b/>
          <w:i/>
        </w:rPr>
        <w:t xml:space="preserve">y el propio Estado a fin de cumplir su función de inspección, vigilancia y control, y desde luego para establecer la base tributaria de las sociedades </w:t>
      </w:r>
      <w:r w:rsidRPr="0059638B">
        <w:t>(</w:t>
      </w:r>
      <w:r>
        <w:t>l</w:t>
      </w:r>
      <w:r w:rsidRPr="0059638B">
        <w:t>a negrilla no es del texto)”.</w:t>
      </w:r>
    </w:p>
    <w:p w14:paraId="7FB6A85B" w14:textId="77777777" w:rsidR="001E6292" w:rsidRPr="0059638B" w:rsidRDefault="001E6292" w:rsidP="006F5B7F">
      <w:pPr>
        <w:pStyle w:val="Textonotapie"/>
        <w:spacing w:line="240" w:lineRule="auto"/>
        <w:rPr>
          <w:lang w:val="es-CO"/>
        </w:rPr>
      </w:pPr>
    </w:p>
  </w:footnote>
  <w:footnote w:id="36">
    <w:p w14:paraId="1D65984E" w14:textId="77777777" w:rsidR="001E6292" w:rsidRPr="0059638B" w:rsidRDefault="001E6292" w:rsidP="00DC146C">
      <w:pPr>
        <w:pStyle w:val="Puesto"/>
        <w:jc w:val="both"/>
        <w:rPr>
          <w:b w:val="0"/>
          <w:sz w:val="20"/>
          <w:szCs w:val="20"/>
        </w:rPr>
      </w:pPr>
      <w:r w:rsidRPr="0066513D">
        <w:rPr>
          <w:rStyle w:val="Refdenotaalpie"/>
          <w:b w:val="0"/>
          <w:sz w:val="20"/>
          <w:szCs w:val="20"/>
        </w:rPr>
        <w:footnoteRef/>
      </w:r>
      <w:r w:rsidRPr="0066513D">
        <w:rPr>
          <w:b w:val="0"/>
          <w:sz w:val="20"/>
          <w:szCs w:val="20"/>
        </w:rPr>
        <w:t xml:space="preserve"> </w:t>
      </w:r>
      <w:r w:rsidRPr="0059638B">
        <w:rPr>
          <w:b w:val="0"/>
          <w:sz w:val="20"/>
          <w:szCs w:val="20"/>
        </w:rPr>
        <w:t xml:space="preserve">Consejo de Estado, Sala de lo Contencioso Administrativo, Sección Tercera – Subsección A, </w:t>
      </w:r>
      <w:r w:rsidRPr="0059638B">
        <w:rPr>
          <w:b w:val="0"/>
          <w:sz w:val="20"/>
          <w:szCs w:val="20"/>
          <w:lang w:val="es-CO"/>
        </w:rPr>
        <w:t xml:space="preserve">Consejero Ponente: Mauricio Fajardo Gómez, </w:t>
      </w:r>
      <w:r>
        <w:rPr>
          <w:b w:val="0"/>
          <w:sz w:val="20"/>
          <w:szCs w:val="20"/>
          <w:lang w:val="es-CO"/>
        </w:rPr>
        <w:t xml:space="preserve">sentencia de </w:t>
      </w:r>
      <w:r w:rsidRPr="0059638B">
        <w:rPr>
          <w:b w:val="0"/>
          <w:sz w:val="20"/>
          <w:szCs w:val="20"/>
          <w:lang w:val="es-CO"/>
        </w:rPr>
        <w:t>e</w:t>
      </w:r>
      <w:r w:rsidRPr="0059638B">
        <w:rPr>
          <w:b w:val="0"/>
          <w:sz w:val="20"/>
          <w:szCs w:val="20"/>
        </w:rPr>
        <w:t xml:space="preserve">nero 29 de 2014, </w:t>
      </w:r>
      <w:r>
        <w:rPr>
          <w:b w:val="0"/>
          <w:sz w:val="20"/>
          <w:szCs w:val="20"/>
        </w:rPr>
        <w:t xml:space="preserve">radicación: </w:t>
      </w:r>
      <w:r w:rsidRPr="0059638B">
        <w:rPr>
          <w:b w:val="0"/>
          <w:sz w:val="20"/>
          <w:szCs w:val="20"/>
        </w:rPr>
        <w:t>25000232600020010205301(30250),</w:t>
      </w:r>
      <w:r>
        <w:rPr>
          <w:b w:val="0"/>
          <w:sz w:val="20"/>
          <w:szCs w:val="20"/>
        </w:rPr>
        <w:t xml:space="preserve"> </w:t>
      </w:r>
      <w:r w:rsidRPr="0059638B">
        <w:rPr>
          <w:b w:val="0"/>
          <w:sz w:val="20"/>
          <w:szCs w:val="20"/>
        </w:rPr>
        <w:t>Consorcio FAB, demandado: Fondo Rotatorio de la Fuerza Aérea.</w:t>
      </w:r>
    </w:p>
    <w:p w14:paraId="5D90BBE1" w14:textId="77777777" w:rsidR="001E6292" w:rsidRPr="0059638B" w:rsidRDefault="001E6292" w:rsidP="002B70AF">
      <w:pPr>
        <w:pStyle w:val="Puesto"/>
        <w:jc w:val="both"/>
        <w:rPr>
          <w:sz w:val="20"/>
          <w:szCs w:val="20"/>
          <w:lang w:val="es-MX"/>
        </w:rPr>
      </w:pPr>
    </w:p>
  </w:footnote>
  <w:footnote w:id="37">
    <w:p w14:paraId="148494E3" w14:textId="77777777" w:rsidR="001E6292" w:rsidRDefault="001E6292" w:rsidP="002B70AF">
      <w:pPr>
        <w:suppressAutoHyphens/>
        <w:spacing w:line="240" w:lineRule="auto"/>
        <w:rPr>
          <w:rFonts w:cs="Arial"/>
          <w:sz w:val="20"/>
          <w:szCs w:val="20"/>
        </w:rPr>
      </w:pPr>
      <w:r w:rsidRPr="0059638B">
        <w:rPr>
          <w:rStyle w:val="Refdenotaalpie"/>
          <w:sz w:val="20"/>
          <w:szCs w:val="20"/>
        </w:rPr>
        <w:footnoteRef/>
      </w:r>
      <w:r w:rsidRPr="0059638B">
        <w:rPr>
          <w:sz w:val="20"/>
          <w:szCs w:val="20"/>
        </w:rPr>
        <w:t xml:space="preserve"> </w:t>
      </w:r>
      <w:r w:rsidRPr="002B70AF">
        <w:rPr>
          <w:sz w:val="20"/>
          <w:szCs w:val="20"/>
        </w:rPr>
        <w:t>Consejo de Estado, Sala de lo Contencioso Administrativo,</w:t>
      </w:r>
      <w:r>
        <w:rPr>
          <w:sz w:val="20"/>
          <w:szCs w:val="20"/>
        </w:rPr>
        <w:t xml:space="preserve"> </w:t>
      </w:r>
      <w:r w:rsidRPr="002B70AF">
        <w:rPr>
          <w:sz w:val="20"/>
          <w:szCs w:val="20"/>
        </w:rPr>
        <w:t>Sección Tercera – Subsección</w:t>
      </w:r>
      <w:r w:rsidRPr="002B70AF">
        <w:rPr>
          <w:rFonts w:cs="Arial"/>
          <w:sz w:val="20"/>
          <w:szCs w:val="20"/>
        </w:rPr>
        <w:t xml:space="preserve"> </w:t>
      </w:r>
      <w:r>
        <w:rPr>
          <w:rFonts w:cs="Arial"/>
          <w:sz w:val="20"/>
          <w:szCs w:val="20"/>
        </w:rPr>
        <w:t xml:space="preserve">C, </w:t>
      </w:r>
      <w:r w:rsidRPr="002B70AF">
        <w:rPr>
          <w:rFonts w:cs="Arial"/>
          <w:sz w:val="20"/>
          <w:szCs w:val="20"/>
        </w:rPr>
        <w:t xml:space="preserve">Consejero Ponente: </w:t>
      </w:r>
      <w:r w:rsidRPr="002B70AF">
        <w:rPr>
          <w:rFonts w:cs="Arial"/>
          <w:bCs/>
          <w:spacing w:val="-3"/>
          <w:sz w:val="20"/>
          <w:szCs w:val="20"/>
        </w:rPr>
        <w:t xml:space="preserve">Jaime Orlando Santofimio Gamboa, sentencia de 15 de octubre de 2015, </w:t>
      </w:r>
      <w:r>
        <w:rPr>
          <w:rFonts w:cs="Arial"/>
          <w:bCs/>
          <w:spacing w:val="-3"/>
          <w:sz w:val="20"/>
          <w:szCs w:val="20"/>
        </w:rPr>
        <w:t>r</w:t>
      </w:r>
      <w:r w:rsidRPr="002B70AF">
        <w:rPr>
          <w:rFonts w:cs="Arial"/>
          <w:sz w:val="20"/>
          <w:szCs w:val="20"/>
        </w:rPr>
        <w:t xml:space="preserve">adicación número: 05001233100020020245001(42170), Actor: Dissantamaría S.A. y Mercado Todo S.A.,  </w:t>
      </w:r>
      <w:r>
        <w:rPr>
          <w:rFonts w:cs="Arial"/>
          <w:sz w:val="20"/>
          <w:szCs w:val="20"/>
        </w:rPr>
        <w:t>d</w:t>
      </w:r>
      <w:r w:rsidRPr="002B70AF">
        <w:rPr>
          <w:rFonts w:cs="Arial"/>
          <w:sz w:val="20"/>
          <w:szCs w:val="20"/>
        </w:rPr>
        <w:t>emandados: Departamento de Antioquia y Grupo Litoral S.A., asunto: acción contractual (sentencia)</w:t>
      </w:r>
      <w:r>
        <w:rPr>
          <w:rFonts w:cs="Arial"/>
          <w:sz w:val="20"/>
          <w:szCs w:val="20"/>
        </w:rPr>
        <w:t>.</w:t>
      </w:r>
    </w:p>
    <w:p w14:paraId="3D507C64" w14:textId="77777777" w:rsidR="001E6292" w:rsidRPr="00DC146C" w:rsidRDefault="001E6292" w:rsidP="002B70AF">
      <w:pPr>
        <w:suppressAutoHyphens/>
        <w:spacing w:line="240" w:lineRule="auto"/>
        <w:rPr>
          <w:lang w:val="es-MX"/>
        </w:rPr>
      </w:pPr>
    </w:p>
  </w:footnote>
  <w:footnote w:id="38">
    <w:p w14:paraId="53C0DD72" w14:textId="77777777" w:rsidR="001E6292" w:rsidRPr="003A46EE" w:rsidRDefault="001E6292" w:rsidP="002B70AF">
      <w:pPr>
        <w:pStyle w:val="Textonotapie"/>
        <w:spacing w:line="240" w:lineRule="auto"/>
        <w:rPr>
          <w:lang w:val="es-CO"/>
        </w:rPr>
      </w:pPr>
      <w:r>
        <w:rPr>
          <w:rStyle w:val="Refdenotaalpie"/>
        </w:rPr>
        <w:footnoteRef/>
      </w:r>
      <w:r>
        <w:t xml:space="preserve"> Cita original de la sentencia: </w:t>
      </w:r>
      <w:r w:rsidRPr="002B70AF">
        <w:rPr>
          <w:i/>
        </w:rPr>
        <w:t>“</w:t>
      </w:r>
      <w:r w:rsidRPr="002B70AF">
        <w:rPr>
          <w:i/>
          <w:lang w:val="es-CO"/>
        </w:rPr>
        <w:t>Consejo de Estado, Sala de lo Contencioso Administrativo, Sección Tercera, Subsección A, Sentencia del 29 de enero de 2014, Exp. 30.250”</w:t>
      </w:r>
      <w:r>
        <w:rPr>
          <w:lang w:val="es-CO"/>
        </w:rPr>
        <w:t xml:space="preserve">. </w:t>
      </w:r>
    </w:p>
  </w:footnote>
  <w:footnote w:id="39">
    <w:p w14:paraId="28FC4571" w14:textId="77777777" w:rsidR="001E6292" w:rsidRPr="00784B24" w:rsidRDefault="001E6292" w:rsidP="00B84D5D">
      <w:pPr>
        <w:spacing w:line="240" w:lineRule="auto"/>
        <w:rPr>
          <w:rFonts w:cs="Arial"/>
          <w:color w:val="000000"/>
          <w:sz w:val="20"/>
          <w:szCs w:val="20"/>
        </w:rPr>
      </w:pPr>
      <w:r>
        <w:rPr>
          <w:rStyle w:val="Refdenotaalpie"/>
        </w:rPr>
        <w:footnoteRef/>
      </w:r>
      <w:r>
        <w:t xml:space="preserve"> </w:t>
      </w:r>
      <w:r w:rsidRPr="00654218">
        <w:rPr>
          <w:sz w:val="20"/>
          <w:szCs w:val="20"/>
        </w:rPr>
        <w:t>La sentencia citada, se refiere a la siguiente providencia: Consejo de Estado, Sal</w:t>
      </w:r>
      <w:r w:rsidRPr="00B84D5D">
        <w:rPr>
          <w:sz w:val="20"/>
          <w:szCs w:val="20"/>
        </w:rPr>
        <w:t xml:space="preserve">a de lo Contencioso Administrativo, Sección Tercera, Subsección C, </w:t>
      </w:r>
      <w:r>
        <w:rPr>
          <w:sz w:val="20"/>
          <w:szCs w:val="20"/>
        </w:rPr>
        <w:t>a</w:t>
      </w:r>
      <w:r w:rsidRPr="00B84D5D">
        <w:rPr>
          <w:sz w:val="20"/>
          <w:szCs w:val="20"/>
        </w:rPr>
        <w:t xml:space="preserve">uto de 3 de diciembre de 2014, </w:t>
      </w:r>
      <w:r>
        <w:rPr>
          <w:sz w:val="20"/>
          <w:szCs w:val="20"/>
        </w:rPr>
        <w:t xml:space="preserve">radicación: </w:t>
      </w:r>
      <w:r w:rsidRPr="00784B24">
        <w:rPr>
          <w:rFonts w:cs="Arial"/>
          <w:color w:val="000000"/>
          <w:sz w:val="20"/>
          <w:szCs w:val="20"/>
        </w:rPr>
        <w:t>68001-23-31-000-1995-10574-01</w:t>
      </w:r>
      <w:r>
        <w:rPr>
          <w:rFonts w:cs="Arial"/>
          <w:color w:val="000000"/>
          <w:sz w:val="20"/>
          <w:szCs w:val="20"/>
        </w:rPr>
        <w:t xml:space="preserve"> (e</w:t>
      </w:r>
      <w:r w:rsidRPr="00B84D5D">
        <w:rPr>
          <w:sz w:val="20"/>
          <w:szCs w:val="20"/>
        </w:rPr>
        <w:t>xp</w:t>
      </w:r>
      <w:r>
        <w:rPr>
          <w:sz w:val="20"/>
          <w:szCs w:val="20"/>
        </w:rPr>
        <w:t>ediente</w:t>
      </w:r>
      <w:r w:rsidRPr="00B84D5D">
        <w:rPr>
          <w:sz w:val="20"/>
          <w:szCs w:val="20"/>
        </w:rPr>
        <w:t>. 47.929</w:t>
      </w:r>
      <w:r>
        <w:rPr>
          <w:sz w:val="20"/>
          <w:szCs w:val="20"/>
        </w:rPr>
        <w:t>)</w:t>
      </w:r>
      <w:r w:rsidRPr="00B84D5D">
        <w:rPr>
          <w:sz w:val="20"/>
          <w:szCs w:val="20"/>
        </w:rPr>
        <w:t>,</w:t>
      </w:r>
      <w:r w:rsidRPr="00B84D5D">
        <w:rPr>
          <w:rFonts w:cs="Arial"/>
          <w:color w:val="000000"/>
          <w:sz w:val="20"/>
          <w:szCs w:val="20"/>
        </w:rPr>
        <w:t xml:space="preserve"> </w:t>
      </w:r>
      <w:r w:rsidRPr="00784B24">
        <w:rPr>
          <w:rFonts w:cs="Arial"/>
          <w:color w:val="000000"/>
          <w:sz w:val="20"/>
          <w:szCs w:val="20"/>
        </w:rPr>
        <w:t>Consejero Ponente:</w:t>
      </w:r>
      <w:r w:rsidRPr="00B84D5D">
        <w:rPr>
          <w:rFonts w:cs="Arial"/>
          <w:color w:val="000000"/>
          <w:sz w:val="20"/>
          <w:szCs w:val="20"/>
        </w:rPr>
        <w:t xml:space="preserve"> </w:t>
      </w:r>
      <w:r w:rsidRPr="00784B24">
        <w:rPr>
          <w:rFonts w:cs="Arial"/>
          <w:bCs/>
          <w:color w:val="000000"/>
          <w:sz w:val="20"/>
          <w:szCs w:val="20"/>
        </w:rPr>
        <w:t>Jaime Orlando Santofimio Gamboa</w:t>
      </w:r>
      <w:r w:rsidRPr="00B84D5D">
        <w:rPr>
          <w:rFonts w:cs="Arial"/>
          <w:bCs/>
          <w:color w:val="000000"/>
          <w:sz w:val="20"/>
          <w:szCs w:val="20"/>
        </w:rPr>
        <w:t xml:space="preserve">, </w:t>
      </w:r>
      <w:r>
        <w:rPr>
          <w:rFonts w:cs="Arial"/>
          <w:bCs/>
          <w:color w:val="000000"/>
          <w:sz w:val="20"/>
          <w:szCs w:val="20"/>
        </w:rPr>
        <w:t>a</w:t>
      </w:r>
      <w:r w:rsidRPr="00784B24">
        <w:rPr>
          <w:rFonts w:cs="Arial"/>
          <w:color w:val="000000"/>
          <w:sz w:val="20"/>
          <w:szCs w:val="20"/>
        </w:rPr>
        <w:t>ctor: Hernando Ortiz Cala</w:t>
      </w:r>
      <w:r w:rsidRPr="00B84D5D">
        <w:rPr>
          <w:rFonts w:cs="Arial"/>
          <w:color w:val="000000"/>
          <w:sz w:val="20"/>
          <w:szCs w:val="20"/>
        </w:rPr>
        <w:t>, d</w:t>
      </w:r>
      <w:r w:rsidRPr="00784B24">
        <w:rPr>
          <w:rFonts w:cs="Arial"/>
          <w:color w:val="000000"/>
          <w:sz w:val="20"/>
          <w:szCs w:val="20"/>
        </w:rPr>
        <w:t>emandado: Empresas Públicas de Bucaramanga</w:t>
      </w:r>
      <w:r w:rsidRPr="00B84D5D">
        <w:rPr>
          <w:rFonts w:cs="Arial"/>
          <w:color w:val="000000"/>
          <w:sz w:val="20"/>
          <w:szCs w:val="20"/>
        </w:rPr>
        <w:t>, a</w:t>
      </w:r>
      <w:r w:rsidRPr="00784B24">
        <w:rPr>
          <w:rFonts w:cs="Arial"/>
          <w:color w:val="000000"/>
          <w:sz w:val="20"/>
          <w:szCs w:val="20"/>
        </w:rPr>
        <w:t>cción: Contractual</w:t>
      </w:r>
      <w:r>
        <w:rPr>
          <w:rFonts w:cs="Arial"/>
          <w:color w:val="000000"/>
          <w:sz w:val="20"/>
          <w:szCs w:val="20"/>
        </w:rPr>
        <w:t>.</w:t>
      </w:r>
    </w:p>
    <w:p w14:paraId="7100D085" w14:textId="77777777" w:rsidR="001E6292" w:rsidRPr="00084464" w:rsidRDefault="001E6292" w:rsidP="00DA06A4">
      <w:pPr>
        <w:pStyle w:val="Textonotapie"/>
        <w:spacing w:line="240" w:lineRule="auto"/>
        <w:rPr>
          <w:i/>
        </w:rPr>
      </w:pPr>
      <w:r w:rsidRPr="00084464">
        <w:rPr>
          <w:i/>
        </w:rPr>
        <w:t xml:space="preserve">. </w:t>
      </w:r>
    </w:p>
  </w:footnote>
  <w:footnote w:id="40">
    <w:p w14:paraId="474C81AA" w14:textId="77777777" w:rsidR="001E6292" w:rsidRDefault="001E6292" w:rsidP="00164961">
      <w:pPr>
        <w:pStyle w:val="Textonotapie"/>
        <w:spacing w:line="240" w:lineRule="auto"/>
        <w:rPr>
          <w:rFonts w:cs="Arial"/>
          <w:i/>
          <w:color w:val="000000"/>
          <w:shd w:val="clear" w:color="auto" w:fill="FFFFFF"/>
        </w:rPr>
      </w:pPr>
      <w:r>
        <w:rPr>
          <w:rStyle w:val="Refdenotaalpie"/>
        </w:rPr>
        <w:footnoteRef/>
      </w:r>
      <w:r>
        <w:t xml:space="preserve"> “</w:t>
      </w:r>
      <w:r w:rsidRPr="00164961">
        <w:rPr>
          <w:i/>
        </w:rPr>
        <w:t>Artículo 25</w:t>
      </w:r>
      <w:r>
        <w:rPr>
          <w:i/>
        </w:rPr>
        <w:t>. Del Principio de Economía</w:t>
      </w:r>
      <w:r w:rsidRPr="00164961">
        <w:rPr>
          <w:i/>
        </w:rPr>
        <w:t xml:space="preserve"> (…)</w:t>
      </w:r>
      <w:r>
        <w:rPr>
          <w:i/>
        </w:rPr>
        <w:t>.</w:t>
      </w:r>
      <w:r w:rsidRPr="00164961">
        <w:rPr>
          <w:i/>
        </w:rPr>
        <w:t xml:space="preserve"> </w:t>
      </w:r>
      <w:r w:rsidRPr="00164961">
        <w:rPr>
          <w:rFonts w:cs="Arial"/>
          <w:i/>
          <w:color w:val="000000"/>
          <w:shd w:val="clear" w:color="auto" w:fill="FFFFFF"/>
        </w:rPr>
        <w:t>3o. Se tendrán en consideración que las reglas y procedimientos constituyen mecanismos de la actividad contractual que buscan servir a los fines estatales, a la adecuada, contínua y eficiente prestación de los servicios públicos y a la protección y garantía de los derechos de los administrados</w:t>
      </w:r>
      <w:r>
        <w:rPr>
          <w:rFonts w:cs="Arial"/>
          <w:i/>
          <w:color w:val="000000"/>
          <w:shd w:val="clear" w:color="auto" w:fill="FFFFFF"/>
        </w:rPr>
        <w:t>”</w:t>
      </w:r>
      <w:r w:rsidRPr="00164961">
        <w:rPr>
          <w:rFonts w:cs="Arial"/>
          <w:i/>
          <w:color w:val="000000"/>
          <w:shd w:val="clear" w:color="auto" w:fill="FFFFFF"/>
        </w:rPr>
        <w:t>.</w:t>
      </w:r>
    </w:p>
    <w:p w14:paraId="5D1740A1" w14:textId="77777777" w:rsidR="001E6292" w:rsidRPr="00164961" w:rsidRDefault="001E6292" w:rsidP="00164961">
      <w:pPr>
        <w:pStyle w:val="Textonotapie"/>
        <w:spacing w:line="240" w:lineRule="auto"/>
        <w:rPr>
          <w:i/>
          <w:lang w:val="es-MX"/>
        </w:rPr>
      </w:pPr>
    </w:p>
  </w:footnote>
  <w:footnote w:id="41">
    <w:p w14:paraId="60175394" w14:textId="77777777" w:rsidR="001E6292" w:rsidRDefault="001E6292" w:rsidP="002B3111">
      <w:pPr>
        <w:pStyle w:val="Textonotapie"/>
        <w:spacing w:line="240" w:lineRule="auto"/>
        <w:rPr>
          <w:rFonts w:cs="Arial"/>
          <w:color w:val="000000"/>
          <w:shd w:val="clear" w:color="auto" w:fill="FFFFFF"/>
        </w:rPr>
      </w:pPr>
      <w:r>
        <w:rPr>
          <w:rStyle w:val="Refdenotaalpie"/>
        </w:rPr>
        <w:footnoteRef/>
      </w:r>
      <w:r w:rsidRPr="002B3111">
        <w:t xml:space="preserve"> </w:t>
      </w:r>
      <w:r>
        <w:t>“</w:t>
      </w:r>
      <w:r w:rsidRPr="00CC77E9">
        <w:rPr>
          <w:rFonts w:cs="Arial"/>
          <w:bCs/>
          <w:i/>
          <w:color w:val="000000"/>
          <w:shd w:val="clear" w:color="auto" w:fill="FFFFFF"/>
        </w:rPr>
        <w:t>Artículo 24.</w:t>
      </w:r>
      <w:r>
        <w:rPr>
          <w:rFonts w:cs="Arial"/>
          <w:bCs/>
          <w:i/>
          <w:color w:val="000000"/>
          <w:shd w:val="clear" w:color="auto" w:fill="FFFFFF"/>
        </w:rPr>
        <w:t xml:space="preserve"> </w:t>
      </w:r>
      <w:r w:rsidRPr="00CC77E9">
        <w:rPr>
          <w:rFonts w:cs="Arial"/>
          <w:i/>
          <w:iCs/>
          <w:color w:val="000000"/>
          <w:shd w:val="clear" w:color="auto" w:fill="FFFFFF"/>
        </w:rPr>
        <w:t>Del principio de Transparencia</w:t>
      </w:r>
      <w:r w:rsidRPr="00CC77E9">
        <w:rPr>
          <w:rFonts w:cs="Arial"/>
          <w:i/>
          <w:color w:val="000000"/>
          <w:shd w:val="clear" w:color="auto" w:fill="FFFFFF"/>
        </w:rPr>
        <w:t>. En virtud de este principio: (…)</w:t>
      </w:r>
      <w:r>
        <w:rPr>
          <w:rFonts w:cs="Arial"/>
          <w:i/>
          <w:color w:val="000000"/>
          <w:shd w:val="clear" w:color="auto" w:fill="FFFFFF"/>
        </w:rPr>
        <w:t>.</w:t>
      </w:r>
      <w:r w:rsidRPr="00CC77E9">
        <w:rPr>
          <w:rFonts w:cs="Arial"/>
          <w:i/>
          <w:color w:val="000000"/>
          <w:shd w:val="clear" w:color="auto" w:fill="FFFFFF"/>
        </w:rPr>
        <w:t xml:space="preserve"> 7o. Los actos administrativos que se expidan en la actividad contractual con ocasión de ella, salvo los de mero trámite, </w:t>
      </w:r>
      <w:r w:rsidRPr="00CC77E9">
        <w:rPr>
          <w:rFonts w:cs="Arial"/>
          <w:b/>
          <w:i/>
          <w:color w:val="000000"/>
          <w:shd w:val="clear" w:color="auto" w:fill="FFFFFF"/>
        </w:rPr>
        <w:t>se motivarán en forma detallada y precisa</w:t>
      </w:r>
      <w:r w:rsidRPr="00CC77E9">
        <w:rPr>
          <w:rFonts w:cs="Arial"/>
          <w:i/>
          <w:color w:val="000000"/>
          <w:shd w:val="clear" w:color="auto" w:fill="FFFFFF"/>
        </w:rPr>
        <w:t xml:space="preserve"> e igualmente lo serán los informes de evaluación, el acto de adjudicación y la declaratoria de desierto del proceso de escogencia</w:t>
      </w:r>
      <w:r w:rsidRPr="00D67915">
        <w:rPr>
          <w:rFonts w:cs="Arial"/>
          <w:color w:val="000000"/>
          <w:shd w:val="clear" w:color="auto" w:fill="FFFFFF"/>
        </w:rPr>
        <w:t>”</w:t>
      </w:r>
      <w:r>
        <w:rPr>
          <w:rFonts w:cs="Arial"/>
          <w:color w:val="000000"/>
          <w:shd w:val="clear" w:color="auto" w:fill="FFFFFF"/>
        </w:rPr>
        <w:t xml:space="preserve"> (la negrilla no es del texto).</w:t>
      </w:r>
    </w:p>
    <w:p w14:paraId="79EE2E9A" w14:textId="77777777" w:rsidR="001E6292" w:rsidRPr="002B3111" w:rsidRDefault="001E6292" w:rsidP="002B3111">
      <w:pPr>
        <w:pStyle w:val="Textonotapie"/>
        <w:spacing w:line="240" w:lineRule="auto"/>
        <w:rPr>
          <w:lang w:val="es-MX"/>
        </w:rPr>
      </w:pPr>
    </w:p>
  </w:footnote>
  <w:footnote w:id="42">
    <w:p w14:paraId="417EC1FB" w14:textId="77777777" w:rsidR="001E6292" w:rsidRDefault="001E6292" w:rsidP="00B626CC">
      <w:pPr>
        <w:pStyle w:val="Textonotapie"/>
        <w:spacing w:line="240" w:lineRule="auto"/>
        <w:rPr>
          <w:rFonts w:cs="Arial"/>
          <w:i/>
          <w:color w:val="000000"/>
          <w:shd w:val="clear" w:color="auto" w:fill="FFFFFF"/>
        </w:rPr>
      </w:pPr>
      <w:r>
        <w:rPr>
          <w:rStyle w:val="Refdenotaalpie"/>
        </w:rPr>
        <w:footnoteRef/>
      </w:r>
      <w:r>
        <w:t xml:space="preserve"> </w:t>
      </w:r>
      <w:bookmarkStart w:id="3" w:name="46"/>
      <w:r w:rsidRPr="00CC77E9">
        <w:t>Decreto 2153 de 1992.</w:t>
      </w:r>
      <w:r w:rsidRPr="00B626CC">
        <w:rPr>
          <w:i/>
        </w:rPr>
        <w:t xml:space="preserve"> </w:t>
      </w:r>
      <w:r>
        <w:rPr>
          <w:i/>
        </w:rPr>
        <w:t>“</w:t>
      </w:r>
      <w:r w:rsidRPr="00CC77E9">
        <w:rPr>
          <w:rFonts w:cs="Arial"/>
          <w:bCs/>
          <w:i/>
          <w:color w:val="000000"/>
          <w:shd w:val="clear" w:color="auto" w:fill="FFFFFF"/>
        </w:rPr>
        <w:t>Artículo 46. Prohibición.</w:t>
      </w:r>
      <w:bookmarkEnd w:id="3"/>
      <w:r w:rsidRPr="00B626CC">
        <w:rPr>
          <w:rFonts w:cs="Arial"/>
          <w:i/>
          <w:color w:val="000000"/>
          <w:shd w:val="clear" w:color="auto" w:fill="FFFFFF"/>
        </w:rPr>
        <w:t> En los términos de la Ley 155 de 1959 y del presente Decreto están prohibidas las conductas que afecten la libre competencia en los mercados, las cuales, en los términos del Código Civil, se consideran de objeto ilícito</w:t>
      </w:r>
      <w:r>
        <w:rPr>
          <w:rFonts w:cs="Arial"/>
          <w:i/>
          <w:color w:val="000000"/>
          <w:shd w:val="clear" w:color="auto" w:fill="FFFFFF"/>
        </w:rPr>
        <w:t>”</w:t>
      </w:r>
      <w:r w:rsidRPr="00B626CC">
        <w:rPr>
          <w:rFonts w:cs="Arial"/>
          <w:i/>
          <w:color w:val="000000"/>
          <w:shd w:val="clear" w:color="auto" w:fill="FFFFFF"/>
        </w:rPr>
        <w:t>.</w:t>
      </w:r>
    </w:p>
    <w:p w14:paraId="36E493B9" w14:textId="77777777" w:rsidR="001E6292" w:rsidRPr="00B626CC" w:rsidRDefault="001E6292" w:rsidP="00B626CC">
      <w:pPr>
        <w:pStyle w:val="Textonotapie"/>
        <w:spacing w:line="240" w:lineRule="auto"/>
        <w:rPr>
          <w:i/>
          <w:lang w:val="es-MX"/>
        </w:rPr>
      </w:pPr>
    </w:p>
  </w:footnote>
  <w:footnote w:id="43">
    <w:p w14:paraId="7A03FC5E" w14:textId="77777777" w:rsidR="001E6292" w:rsidRPr="00297A5B" w:rsidRDefault="001E6292" w:rsidP="00B626CC">
      <w:pPr>
        <w:pStyle w:val="Textonotapie"/>
        <w:spacing w:line="240" w:lineRule="auto"/>
        <w:rPr>
          <w:rFonts w:cs="Arial"/>
          <w:color w:val="000000"/>
          <w:shd w:val="clear" w:color="auto" w:fill="FFFFFF"/>
        </w:rPr>
      </w:pPr>
      <w:r w:rsidRPr="00B626CC">
        <w:rPr>
          <w:rStyle w:val="Refdenotaalpie"/>
          <w:i/>
        </w:rPr>
        <w:footnoteRef/>
      </w:r>
      <w:r>
        <w:t xml:space="preserve"> </w:t>
      </w:r>
      <w:r w:rsidRPr="00B06BA2">
        <w:t>Ley 80 de 1993</w:t>
      </w:r>
      <w:r>
        <w:t>.</w:t>
      </w:r>
      <w:r w:rsidRPr="00B06BA2">
        <w:t xml:space="preserve"> </w:t>
      </w:r>
      <w:r w:rsidRPr="00AA5FD1">
        <w:rPr>
          <w:i/>
        </w:rPr>
        <w:t>“Artículo 30</w:t>
      </w:r>
      <w:r>
        <w:rPr>
          <w:i/>
        </w:rPr>
        <w:t xml:space="preserve">. </w:t>
      </w:r>
      <w:r w:rsidRPr="00AA5FD1">
        <w:rPr>
          <w:rFonts w:cs="Arial"/>
          <w:i/>
          <w:color w:val="000000"/>
          <w:shd w:val="clear" w:color="auto" w:fill="FFFFFF"/>
        </w:rPr>
        <w:t>De la Estructura de los Procedimientos de Selección. La licitación se efectuará conforme a las siguientes reglas:</w:t>
      </w:r>
      <w:r w:rsidRPr="00AA5FD1">
        <w:rPr>
          <w:i/>
        </w:rPr>
        <w:t xml:space="preserve"> </w:t>
      </w:r>
      <w:r w:rsidRPr="00AA5FD1">
        <w:rPr>
          <w:rFonts w:cs="Arial"/>
          <w:i/>
          <w:color w:val="000000"/>
          <w:shd w:val="clear" w:color="auto" w:fill="FFFFFF"/>
        </w:rPr>
        <w:t xml:space="preserve">6o. Las propuestas deben referirse y sujetarse a todos y cada uno de los puntos contenidos en el pliego de condiciones. Los proponentes pueden presentar alternativas y excepciones técnicas o económicas </w:t>
      </w:r>
      <w:r w:rsidRPr="00AA5FD1">
        <w:rPr>
          <w:rFonts w:cs="Arial"/>
          <w:b/>
          <w:i/>
          <w:color w:val="000000"/>
          <w:shd w:val="clear" w:color="auto" w:fill="FFFFFF"/>
        </w:rPr>
        <w:t>siempre y cuando ellas nos signifiquen condicionamientos para la adjudicación</w:t>
      </w:r>
      <w:r w:rsidRPr="00AA5FD1">
        <w:rPr>
          <w:rFonts w:cs="Arial"/>
          <w:i/>
          <w:color w:val="000000"/>
          <w:shd w:val="clear" w:color="auto" w:fill="FFFFFF"/>
        </w:rPr>
        <w:t>.</w:t>
      </w:r>
      <w:r w:rsidRPr="00AA5FD1">
        <w:rPr>
          <w:i/>
        </w:rPr>
        <w:t xml:space="preserve"> (…). </w:t>
      </w:r>
      <w:r w:rsidRPr="00AA5FD1">
        <w:rPr>
          <w:rFonts w:cs="Arial"/>
          <w:i/>
          <w:color w:val="000000"/>
          <w:shd w:val="clear" w:color="auto" w:fill="FFFFFF"/>
        </w:rPr>
        <w:t xml:space="preserve">8o. Los informes de evaluación de las propuestas permanecerán en la secretaría de la entidad por un término de cinco (5) días hábiles para que los oferentes presenten las observaciones que estimen pertinentes. </w:t>
      </w:r>
      <w:r w:rsidRPr="00AA5FD1">
        <w:rPr>
          <w:rFonts w:cs="Arial"/>
          <w:b/>
          <w:i/>
          <w:color w:val="000000"/>
          <w:shd w:val="clear" w:color="auto" w:fill="FFFFFF"/>
        </w:rPr>
        <w:t>En ejercicio de esta facultad, los oferentes no podrán completar, adicionar, modificar o mejorar sus propuestas. (…)</w:t>
      </w:r>
      <w:r w:rsidRPr="00AA5FD1">
        <w:rPr>
          <w:rFonts w:cs="Arial"/>
          <w:i/>
          <w:color w:val="000000"/>
          <w:shd w:val="clear" w:color="auto" w:fill="FFFFFF"/>
        </w:rPr>
        <w:t>.</w:t>
      </w:r>
      <w:r w:rsidRPr="00AA5FD1">
        <w:rPr>
          <w:rFonts w:cs="Arial"/>
          <w:b/>
          <w:i/>
          <w:color w:val="000000"/>
          <w:shd w:val="clear" w:color="auto" w:fill="FFFFFF"/>
        </w:rPr>
        <w:t xml:space="preserve"> </w:t>
      </w:r>
      <w:r w:rsidRPr="00AA5FD1">
        <w:rPr>
          <w:rFonts w:cs="Arial"/>
          <w:b/>
          <w:bCs/>
          <w:i/>
          <w:color w:val="000000"/>
          <w:shd w:val="clear" w:color="auto" w:fill="FFFFFF"/>
        </w:rPr>
        <w:t>Parágrafo.-</w:t>
      </w:r>
      <w:r w:rsidRPr="00AA5FD1">
        <w:rPr>
          <w:rFonts w:cs="Arial"/>
          <w:i/>
          <w:color w:val="000000"/>
          <w:shd w:val="clear" w:color="auto" w:fill="FFFFFF"/>
        </w:rPr>
        <w:t xml:space="preserve"> Para los efectos de la presente ley se entiende por licitación pública el procedimiento mediante el cual la entidad estatal formula públicamente una convocatoria para que, </w:t>
      </w:r>
      <w:r w:rsidRPr="00AA5FD1">
        <w:rPr>
          <w:rFonts w:cs="Arial"/>
          <w:b/>
          <w:i/>
          <w:color w:val="000000"/>
          <w:shd w:val="clear" w:color="auto" w:fill="FFFFFF"/>
        </w:rPr>
        <w:t>en igualdad de oportunidades</w:t>
      </w:r>
      <w:r w:rsidRPr="00AA5FD1">
        <w:rPr>
          <w:rFonts w:cs="Arial"/>
          <w:i/>
          <w:color w:val="000000"/>
          <w:shd w:val="clear" w:color="auto" w:fill="FFFFFF"/>
        </w:rPr>
        <w:t>, los interesados presenten sus ofertas y seleccione entre ellas la más favorable</w:t>
      </w:r>
      <w:r w:rsidRPr="00297A5B">
        <w:rPr>
          <w:rFonts w:cs="Arial"/>
          <w:b/>
          <w:i/>
          <w:color w:val="000000"/>
          <w:shd w:val="clear" w:color="auto" w:fill="FFFFFF"/>
        </w:rPr>
        <w:t xml:space="preserve"> </w:t>
      </w:r>
      <w:r w:rsidRPr="00297A5B">
        <w:rPr>
          <w:rFonts w:cs="Arial"/>
          <w:color w:val="000000"/>
          <w:shd w:val="clear" w:color="auto" w:fill="FFFFFF"/>
        </w:rPr>
        <w:t>(la negrilla no es del texto).</w:t>
      </w:r>
    </w:p>
    <w:p w14:paraId="05F58C07" w14:textId="77777777" w:rsidR="001E6292" w:rsidRPr="00B06BA2" w:rsidRDefault="001E6292" w:rsidP="00B06BA2">
      <w:pPr>
        <w:pStyle w:val="Textonotapie"/>
        <w:spacing w:line="240" w:lineRule="auto"/>
        <w:rPr>
          <w:lang w:val="es-MX"/>
        </w:rPr>
      </w:pPr>
    </w:p>
  </w:footnote>
  <w:footnote w:id="44">
    <w:p w14:paraId="38098EFB" w14:textId="77777777" w:rsidR="001E6292" w:rsidRDefault="001E6292" w:rsidP="002B3111">
      <w:pPr>
        <w:pStyle w:val="NormalWeb"/>
        <w:spacing w:before="0" w:beforeAutospacing="0" w:after="0" w:afterAutospacing="0" w:line="240" w:lineRule="auto"/>
        <w:rPr>
          <w:rFonts w:cs="Arial"/>
          <w:i/>
          <w:color w:val="000000"/>
          <w:sz w:val="20"/>
          <w:szCs w:val="20"/>
          <w:shd w:val="clear" w:color="auto" w:fill="FFFFFF"/>
          <w:lang w:val="es-MX" w:eastAsia="es-MX"/>
        </w:rPr>
      </w:pPr>
      <w:r w:rsidRPr="002B3111">
        <w:rPr>
          <w:rStyle w:val="Refdenotaalpie"/>
          <w:sz w:val="20"/>
          <w:szCs w:val="20"/>
        </w:rPr>
        <w:footnoteRef/>
      </w:r>
      <w:r w:rsidRPr="002B3111">
        <w:rPr>
          <w:sz w:val="20"/>
          <w:szCs w:val="20"/>
        </w:rPr>
        <w:t xml:space="preserve"> </w:t>
      </w:r>
      <w:r w:rsidRPr="002B3111">
        <w:rPr>
          <w:i/>
          <w:sz w:val="20"/>
          <w:szCs w:val="20"/>
        </w:rPr>
        <w:t>Ley 80 de 1993</w:t>
      </w:r>
      <w:r>
        <w:rPr>
          <w:i/>
          <w:sz w:val="20"/>
          <w:szCs w:val="20"/>
        </w:rPr>
        <w:t>. “</w:t>
      </w:r>
      <w:r w:rsidRPr="002B3111">
        <w:rPr>
          <w:i/>
          <w:sz w:val="20"/>
          <w:szCs w:val="20"/>
        </w:rPr>
        <w:t>Artículo 25.</w:t>
      </w:r>
      <w:r w:rsidRPr="002B3111">
        <w:rPr>
          <w:rFonts w:cs="Arial"/>
          <w:i/>
          <w:iCs/>
          <w:color w:val="000000"/>
          <w:sz w:val="20"/>
          <w:szCs w:val="20"/>
          <w:shd w:val="clear" w:color="auto" w:fill="FFFFFF"/>
        </w:rPr>
        <w:t xml:space="preserve"> Del Principio de Economía. </w:t>
      </w:r>
      <w:r w:rsidRPr="002B3111">
        <w:rPr>
          <w:rFonts w:cs="Arial"/>
          <w:i/>
          <w:color w:val="000000"/>
          <w:sz w:val="20"/>
          <w:szCs w:val="20"/>
          <w:shd w:val="clear" w:color="auto" w:fill="FFFFFF"/>
        </w:rPr>
        <w:t>En virtud de este principio:  </w:t>
      </w:r>
      <w:r w:rsidRPr="002B3111">
        <w:rPr>
          <w:i/>
          <w:sz w:val="20"/>
          <w:szCs w:val="20"/>
        </w:rPr>
        <w:t xml:space="preserve"> (…) 1</w:t>
      </w:r>
      <w:r w:rsidRPr="002B3111">
        <w:rPr>
          <w:rFonts w:cs="Arial"/>
          <w:i/>
          <w:color w:val="000000"/>
          <w:sz w:val="20"/>
          <w:szCs w:val="20"/>
          <w:shd w:val="clear" w:color="auto" w:fill="FFFFFF"/>
          <w:lang w:val="es-MX" w:eastAsia="es-MX"/>
        </w:rPr>
        <w:t>5. Las autoridades no exigirán sellos, autenticaciones, documentos originales o autenticados, reconocimientos de firmas, traducciones oficiales, ni cualquier otra clase de formalidades o exigencias rituales, salvo cuando en forma perentoria y expresa lo exijan leyes especiales.</w:t>
      </w:r>
    </w:p>
    <w:p w14:paraId="61BF13FD" w14:textId="77777777" w:rsidR="001E6292" w:rsidRPr="002B3111" w:rsidRDefault="001E6292" w:rsidP="002B3111">
      <w:pPr>
        <w:pStyle w:val="NormalWeb"/>
        <w:spacing w:before="0" w:beforeAutospacing="0" w:after="0" w:afterAutospacing="0" w:line="240" w:lineRule="auto"/>
        <w:rPr>
          <w:rFonts w:cs="Arial"/>
          <w:i/>
          <w:color w:val="000000"/>
          <w:sz w:val="20"/>
          <w:szCs w:val="20"/>
          <w:shd w:val="clear" w:color="auto" w:fill="FFFFFF"/>
          <w:lang w:val="es-MX" w:eastAsia="es-MX"/>
        </w:rPr>
      </w:pPr>
    </w:p>
    <w:p w14:paraId="7A6EC4D2" w14:textId="77777777" w:rsidR="001E6292" w:rsidRPr="002B3111" w:rsidRDefault="001E6292" w:rsidP="00297A5B">
      <w:pPr>
        <w:shd w:val="clear" w:color="auto" w:fill="FFFFFF"/>
        <w:spacing w:line="240" w:lineRule="auto"/>
        <w:rPr>
          <w:lang w:val="es-MX"/>
        </w:rPr>
      </w:pPr>
      <w:r>
        <w:rPr>
          <w:rFonts w:cs="Arial"/>
          <w:i/>
          <w:color w:val="000000"/>
          <w:sz w:val="20"/>
          <w:szCs w:val="20"/>
          <w:lang w:val="es-MX" w:eastAsia="es-MX"/>
        </w:rPr>
        <w:t>“</w:t>
      </w:r>
      <w:r w:rsidRPr="002B3111">
        <w:rPr>
          <w:rFonts w:cs="Arial"/>
          <w:i/>
          <w:color w:val="000000"/>
          <w:sz w:val="20"/>
          <w:szCs w:val="20"/>
          <w:lang w:val="es-MX" w:eastAsia="es-MX"/>
        </w:rPr>
        <w:t xml:space="preserve">La ausencia de requisitos o la falta de documentos referentes a la futura contratación o al proponente, </w:t>
      </w:r>
      <w:r w:rsidRPr="002B3111">
        <w:rPr>
          <w:rFonts w:cs="Arial"/>
          <w:b/>
          <w:i/>
          <w:color w:val="000000"/>
          <w:sz w:val="20"/>
          <w:szCs w:val="20"/>
          <w:lang w:val="es-MX" w:eastAsia="es-MX"/>
        </w:rPr>
        <w:t>no necesarios para la comparación de propuestas</w:t>
      </w:r>
      <w:r w:rsidRPr="002B3111">
        <w:rPr>
          <w:rFonts w:cs="Arial"/>
          <w:i/>
          <w:color w:val="000000"/>
          <w:sz w:val="20"/>
          <w:szCs w:val="20"/>
          <w:lang w:val="es-MX" w:eastAsia="es-MX"/>
        </w:rPr>
        <w:t>, no servirá de título suficiente para el rechazo de los ofrecimientos hechos</w:t>
      </w:r>
      <w:r>
        <w:rPr>
          <w:rFonts w:cs="Arial"/>
          <w:i/>
          <w:color w:val="000000"/>
          <w:sz w:val="20"/>
          <w:szCs w:val="20"/>
          <w:lang w:val="es-MX" w:eastAsia="es-MX"/>
        </w:rPr>
        <w:t xml:space="preserve">” </w:t>
      </w:r>
      <w:r w:rsidRPr="002B3111">
        <w:rPr>
          <w:rFonts w:cs="Arial"/>
          <w:color w:val="000000"/>
          <w:sz w:val="20"/>
          <w:szCs w:val="20"/>
          <w:lang w:val="es-MX" w:eastAsia="es-MX"/>
        </w:rPr>
        <w:t>(la negrilla no es del texto)</w:t>
      </w:r>
      <w:r w:rsidRPr="002B3111">
        <w:rPr>
          <w:rFonts w:cs="Arial"/>
          <w:i/>
          <w:color w:val="000000"/>
          <w:sz w:val="20"/>
          <w:szCs w:val="20"/>
          <w:lang w:val="es-MX" w:eastAsia="es-MX"/>
        </w:rPr>
        <w:t>.</w:t>
      </w:r>
    </w:p>
  </w:footnote>
  <w:footnote w:id="45">
    <w:p w14:paraId="0681AC6C" w14:textId="77777777" w:rsidR="001E6292" w:rsidRDefault="001E6292" w:rsidP="00E274F4">
      <w:pPr>
        <w:pStyle w:val="Textonotapie"/>
        <w:spacing w:line="240" w:lineRule="auto"/>
        <w:rPr>
          <w:rFonts w:cs="Arial"/>
          <w:i/>
          <w:shd w:val="clear" w:color="auto" w:fill="FFFFFF"/>
        </w:rPr>
      </w:pPr>
      <w:r>
        <w:rPr>
          <w:rStyle w:val="Refdenotaalpie"/>
        </w:rPr>
        <w:footnoteRef/>
      </w:r>
      <w:r>
        <w:t xml:space="preserve"> </w:t>
      </w:r>
      <w:r w:rsidRPr="00E274F4">
        <w:rPr>
          <w:i/>
        </w:rPr>
        <w:t>Ley 43 de 1990. “</w:t>
      </w:r>
      <w:r w:rsidRPr="00E274F4">
        <w:rPr>
          <w:rFonts w:cs="Arial"/>
          <w:bCs/>
          <w:i/>
        </w:rPr>
        <w:t>Artículo 1. Del Contador Público.</w:t>
      </w:r>
      <w:r w:rsidRPr="00E274F4">
        <w:rPr>
          <w:rFonts w:cs="Arial"/>
          <w:i/>
          <w:shd w:val="clear" w:color="auto" w:fill="FFFFFF"/>
        </w:rPr>
        <w:t> Se entiende por Contador Público la persona natural que, mediante la inscripción que acredite su competencia profesional en los términos de la presente, está facultada para dar fe pública de hechos propios del ámbito de su profesión, dictaminar sobre estados financieros, realizar las demás actividades relacionadas con la ciencia contable en general”.</w:t>
      </w:r>
    </w:p>
    <w:p w14:paraId="37C04FBA" w14:textId="77777777" w:rsidR="001E6292" w:rsidRPr="00E274F4" w:rsidRDefault="001E6292" w:rsidP="00E274F4">
      <w:pPr>
        <w:pStyle w:val="Textonotapie"/>
        <w:spacing w:line="240" w:lineRule="auto"/>
        <w:rPr>
          <w:i/>
          <w:lang w:val="es-MX"/>
        </w:rPr>
      </w:pPr>
    </w:p>
  </w:footnote>
  <w:footnote w:id="46">
    <w:p w14:paraId="67BF57A7" w14:textId="77777777" w:rsidR="001E6292" w:rsidRPr="00E274F4" w:rsidRDefault="001E6292" w:rsidP="00E274F4">
      <w:pPr>
        <w:pStyle w:val="Textonotapie"/>
        <w:spacing w:line="240" w:lineRule="auto"/>
        <w:rPr>
          <w:lang w:val="es-MX"/>
        </w:rPr>
      </w:pPr>
      <w:r w:rsidRPr="00E274F4">
        <w:rPr>
          <w:rStyle w:val="Refdenotaalpie"/>
          <w:i/>
        </w:rPr>
        <w:footnoteRef/>
      </w:r>
      <w:r w:rsidRPr="00E274F4">
        <w:rPr>
          <w:i/>
        </w:rPr>
        <w:t xml:space="preserve"> Ley 43 de 1990. “</w:t>
      </w:r>
      <w:r w:rsidRPr="00E274F4">
        <w:rPr>
          <w:rFonts w:cs="Arial"/>
          <w:bCs/>
          <w:i/>
        </w:rPr>
        <w:t>Artículo 2. De Las Actividades Relacionadas con la Ciencia Contable En General.</w:t>
      </w:r>
      <w:r w:rsidRPr="00E274F4">
        <w:rPr>
          <w:rFonts w:cs="Arial"/>
          <w:i/>
          <w:shd w:val="clear" w:color="auto" w:fill="FFFFFF"/>
        </w:rPr>
        <w:t> Para los efectos de esta ley, se entienden por actividades relacionadas con la ciencia contable en general todas aquellas que implican organización, revisión y control de contabilidades, certificaciones y dictámenes sobre estados financieros, certificaciones que se expidan con fundamento en libros de contabilidad, revisoría fiscal, prestación de servicios de auditoría, así como todas aquellas actividades conexas con la naturaleza de la función profesional de Contador Público, tales como : la asesoría tributaria, la asesoría gerencial, en aspectos contables y similares</w:t>
      </w:r>
      <w:r>
        <w:rPr>
          <w:rFonts w:cs="Arial"/>
          <w:i/>
          <w:shd w:val="clear" w:color="auto" w:fill="FFFFFF"/>
        </w:rPr>
        <w:t>”</w:t>
      </w:r>
      <w:r w:rsidRPr="00E274F4">
        <w:rPr>
          <w:rFonts w:cs="Arial"/>
          <w:shd w:val="clear" w:color="auto" w:fill="FFFFFF"/>
        </w:rPr>
        <w:t>.</w:t>
      </w:r>
    </w:p>
  </w:footnote>
  <w:footnote w:id="47">
    <w:p w14:paraId="32928DA4" w14:textId="77777777" w:rsidR="001E6292" w:rsidRPr="006816CE" w:rsidRDefault="001E6292" w:rsidP="006816CE">
      <w:pPr>
        <w:pStyle w:val="NormalWeb"/>
        <w:shd w:val="clear" w:color="auto" w:fill="FFFFFF"/>
        <w:spacing w:line="240" w:lineRule="auto"/>
        <w:rPr>
          <w:rFonts w:cs="Arial"/>
          <w:i/>
          <w:color w:val="000000"/>
          <w:sz w:val="20"/>
          <w:szCs w:val="20"/>
          <w:shd w:val="clear" w:color="auto" w:fill="FFFFFF"/>
          <w:lang w:val="es-MX" w:eastAsia="es-MX"/>
        </w:rPr>
      </w:pPr>
      <w:r>
        <w:rPr>
          <w:rStyle w:val="Refdenotaalpie"/>
        </w:rPr>
        <w:footnoteRef/>
      </w:r>
      <w:r>
        <w:t xml:space="preserve"> </w:t>
      </w:r>
      <w:r w:rsidRPr="006816CE">
        <w:rPr>
          <w:i/>
          <w:sz w:val="20"/>
          <w:szCs w:val="20"/>
        </w:rPr>
        <w:t xml:space="preserve">Decreto 2649 de 2993. </w:t>
      </w:r>
      <w:r>
        <w:rPr>
          <w:i/>
          <w:sz w:val="20"/>
          <w:szCs w:val="20"/>
        </w:rPr>
        <w:t>“</w:t>
      </w:r>
      <w:r w:rsidRPr="006816CE">
        <w:rPr>
          <w:rFonts w:cs="Arial"/>
          <w:bCs/>
          <w:i/>
          <w:color w:val="000000"/>
          <w:sz w:val="20"/>
          <w:szCs w:val="20"/>
          <w:shd w:val="clear" w:color="auto" w:fill="FFFFFF"/>
          <w:lang w:val="es-MX" w:eastAsia="es-MX"/>
        </w:rPr>
        <w:t>Artículo 1o.</w:t>
      </w:r>
      <w:r w:rsidRPr="006816CE">
        <w:rPr>
          <w:rFonts w:cs="Arial"/>
          <w:i/>
          <w:color w:val="000000"/>
          <w:sz w:val="20"/>
          <w:szCs w:val="20"/>
          <w:shd w:val="clear" w:color="auto" w:fill="FFFFFF"/>
          <w:lang w:val="es-MX" w:eastAsia="es-MX"/>
        </w:rPr>
        <w:t> D</w:t>
      </w:r>
      <w:r>
        <w:rPr>
          <w:rFonts w:cs="Arial"/>
          <w:i/>
          <w:color w:val="000000"/>
          <w:sz w:val="20"/>
          <w:szCs w:val="20"/>
          <w:shd w:val="clear" w:color="auto" w:fill="FFFFFF"/>
          <w:lang w:val="es-MX" w:eastAsia="es-MX"/>
        </w:rPr>
        <w:t>efinición</w:t>
      </w:r>
      <w:r w:rsidRPr="006816CE">
        <w:rPr>
          <w:rFonts w:cs="Arial"/>
          <w:i/>
          <w:color w:val="000000"/>
          <w:sz w:val="20"/>
          <w:szCs w:val="20"/>
          <w:shd w:val="clear" w:color="auto" w:fill="FFFFFF"/>
          <w:lang w:val="es-MX" w:eastAsia="es-MX"/>
        </w:rPr>
        <w:t>. De conformidad con el artículo 6º de la ley 43 de 1990, se entiende por principios o normas de contabilidad generalmente aceptados en Colombia, el conjunto de conceptos básicos y de reglas que deben ser observados al registrar e informar contablemente sobre los asuntos y actividades de personas naturales o jurídicas. Apoyándose en ellos, la contabilidad permite identificar, medir, clasificar, registrar, interpretar, analizar, evaluar e informar, las operaciones de un ente económico, en forma clara, completa y fidedigna.</w:t>
      </w:r>
    </w:p>
    <w:p w14:paraId="3B509C9A" w14:textId="77777777" w:rsidR="001E6292" w:rsidRDefault="001E6292" w:rsidP="00521EF4">
      <w:pPr>
        <w:shd w:val="clear" w:color="auto" w:fill="FFFFFF"/>
        <w:spacing w:line="240" w:lineRule="auto"/>
        <w:rPr>
          <w:rFonts w:cs="Arial"/>
          <w:i/>
          <w:color w:val="000000"/>
          <w:sz w:val="20"/>
          <w:szCs w:val="20"/>
          <w:shd w:val="clear" w:color="auto" w:fill="FFFFFF"/>
          <w:lang w:val="es-MX" w:eastAsia="es-MX"/>
        </w:rPr>
      </w:pPr>
      <w:r>
        <w:rPr>
          <w:rFonts w:cs="Arial"/>
          <w:bCs/>
          <w:i/>
          <w:color w:val="000000"/>
          <w:sz w:val="20"/>
          <w:szCs w:val="20"/>
          <w:shd w:val="clear" w:color="auto" w:fill="FFFFFF"/>
          <w:lang w:val="es-MX" w:eastAsia="es-MX"/>
        </w:rPr>
        <w:t>“</w:t>
      </w:r>
      <w:r w:rsidRPr="006816CE">
        <w:rPr>
          <w:rFonts w:cs="Arial"/>
          <w:bCs/>
          <w:i/>
          <w:color w:val="000000"/>
          <w:sz w:val="20"/>
          <w:szCs w:val="20"/>
          <w:shd w:val="clear" w:color="auto" w:fill="FFFFFF"/>
          <w:lang w:val="es-MX" w:eastAsia="es-MX"/>
        </w:rPr>
        <w:t>Artículo 2o.</w:t>
      </w:r>
      <w:r w:rsidRPr="006816CE">
        <w:rPr>
          <w:rFonts w:cs="Arial"/>
          <w:i/>
          <w:color w:val="000000"/>
          <w:sz w:val="20"/>
          <w:szCs w:val="20"/>
          <w:shd w:val="clear" w:color="auto" w:fill="FFFFFF"/>
          <w:lang w:val="es-MX" w:eastAsia="es-MX"/>
        </w:rPr>
        <w:t> </w:t>
      </w:r>
      <w:r>
        <w:rPr>
          <w:rFonts w:cs="Arial"/>
          <w:i/>
          <w:color w:val="000000"/>
          <w:sz w:val="20"/>
          <w:szCs w:val="20"/>
          <w:shd w:val="clear" w:color="auto" w:fill="FFFFFF"/>
          <w:lang w:val="es-MX" w:eastAsia="es-MX"/>
        </w:rPr>
        <w:t>Ámbito de aplicación</w:t>
      </w:r>
      <w:r w:rsidRPr="006816CE">
        <w:rPr>
          <w:rFonts w:cs="Arial"/>
          <w:i/>
          <w:color w:val="000000"/>
          <w:sz w:val="20"/>
          <w:szCs w:val="20"/>
          <w:shd w:val="clear" w:color="auto" w:fill="FFFFFF"/>
          <w:lang w:val="es-MX" w:eastAsia="es-MX"/>
        </w:rPr>
        <w:t>. El presente decreto debe ser aplicado por todas las personas que de acuerdo con la Ley estén obligadas a llevar contabilidad.</w:t>
      </w:r>
    </w:p>
    <w:p w14:paraId="1E94997D" w14:textId="77777777" w:rsidR="001E6292" w:rsidRPr="006816CE" w:rsidRDefault="001E6292" w:rsidP="00521EF4">
      <w:pPr>
        <w:shd w:val="clear" w:color="auto" w:fill="FFFFFF"/>
        <w:spacing w:line="240" w:lineRule="auto"/>
        <w:rPr>
          <w:rFonts w:cs="Arial"/>
          <w:i/>
          <w:color w:val="000000"/>
          <w:sz w:val="20"/>
          <w:szCs w:val="20"/>
          <w:shd w:val="clear" w:color="auto" w:fill="FFFFFF"/>
          <w:lang w:val="es-MX" w:eastAsia="es-MX"/>
        </w:rPr>
      </w:pPr>
    </w:p>
    <w:p w14:paraId="45D10635" w14:textId="77777777" w:rsidR="001E6292" w:rsidRPr="006816CE" w:rsidRDefault="001E6292" w:rsidP="00521EF4">
      <w:pPr>
        <w:shd w:val="clear" w:color="auto" w:fill="FFFFFF"/>
        <w:spacing w:line="240" w:lineRule="auto"/>
        <w:rPr>
          <w:rFonts w:cs="Arial"/>
          <w:i/>
          <w:color w:val="000000"/>
          <w:sz w:val="20"/>
          <w:szCs w:val="20"/>
          <w:shd w:val="clear" w:color="auto" w:fill="FFFFFF"/>
          <w:lang w:val="es-MX" w:eastAsia="es-MX"/>
        </w:rPr>
      </w:pPr>
      <w:r w:rsidRPr="006816CE">
        <w:rPr>
          <w:rFonts w:cs="Arial"/>
          <w:i/>
          <w:color w:val="000000"/>
          <w:sz w:val="20"/>
          <w:szCs w:val="20"/>
          <w:shd w:val="clear" w:color="auto" w:fill="FFFFFF"/>
          <w:lang w:val="es-MX" w:eastAsia="es-MX"/>
        </w:rPr>
        <w:t>“</w:t>
      </w:r>
      <w:r w:rsidRPr="006816CE">
        <w:rPr>
          <w:rFonts w:cs="Arial"/>
          <w:b/>
          <w:i/>
          <w:color w:val="000000"/>
          <w:sz w:val="20"/>
          <w:szCs w:val="20"/>
          <w:shd w:val="clear" w:color="auto" w:fill="FFFFFF"/>
          <w:lang w:val="es-MX" w:eastAsia="es-MX"/>
        </w:rPr>
        <w:t>Su aplicación es necesaria también para quienes sin estar obligados a llevar contabilidad, pretendan hacerla valer como prueba</w:t>
      </w:r>
      <w:r>
        <w:rPr>
          <w:rFonts w:cs="Arial"/>
          <w:i/>
          <w:color w:val="000000"/>
          <w:sz w:val="20"/>
          <w:szCs w:val="20"/>
          <w:shd w:val="clear" w:color="auto" w:fill="FFFFFF"/>
          <w:lang w:val="es-MX" w:eastAsia="es-MX"/>
        </w:rPr>
        <w:t xml:space="preserve">” </w:t>
      </w:r>
      <w:r w:rsidRPr="006816CE">
        <w:rPr>
          <w:rFonts w:cs="Arial"/>
          <w:color w:val="000000"/>
          <w:sz w:val="20"/>
          <w:szCs w:val="20"/>
          <w:shd w:val="clear" w:color="auto" w:fill="FFFFFF"/>
          <w:lang w:val="es-MX" w:eastAsia="es-MX"/>
        </w:rPr>
        <w:t>(la negrilla no es del texto)</w:t>
      </w:r>
      <w:r>
        <w:rPr>
          <w:rFonts w:cs="Arial"/>
          <w:color w:val="000000"/>
          <w:sz w:val="20"/>
          <w:szCs w:val="20"/>
          <w:shd w:val="clear" w:color="auto" w:fill="FFFFFF"/>
          <w:lang w:val="es-MX" w:eastAsia="es-MX"/>
        </w:rPr>
        <w:t>.</w:t>
      </w:r>
      <w:r w:rsidRPr="006816CE">
        <w:rPr>
          <w:rFonts w:cs="Arial"/>
          <w:color w:val="000000"/>
          <w:sz w:val="20"/>
          <w:szCs w:val="20"/>
          <w:shd w:val="clear" w:color="auto" w:fill="FFFFFF"/>
          <w:lang w:val="es-MX" w:eastAsia="es-MX"/>
        </w:rPr>
        <w:t xml:space="preserve"> </w:t>
      </w:r>
    </w:p>
    <w:p w14:paraId="7EE80920" w14:textId="77777777" w:rsidR="001E6292" w:rsidRPr="006816CE" w:rsidRDefault="001E6292" w:rsidP="00521EF4">
      <w:pPr>
        <w:pStyle w:val="Textonotapie"/>
        <w:spacing w:line="240" w:lineRule="auto"/>
        <w:rPr>
          <w:i/>
          <w:lang w:val="es-MX"/>
        </w:rPr>
      </w:pPr>
    </w:p>
  </w:footnote>
  <w:footnote w:id="48">
    <w:p w14:paraId="26B303B7" w14:textId="77777777" w:rsidR="001E6292" w:rsidRDefault="001E6292" w:rsidP="00521EF4">
      <w:pPr>
        <w:pStyle w:val="Textonotapie"/>
        <w:spacing w:line="240" w:lineRule="auto"/>
        <w:rPr>
          <w:rFonts w:cs="Arial"/>
        </w:rPr>
      </w:pPr>
      <w:r>
        <w:rPr>
          <w:rStyle w:val="Refdenotaalpie"/>
        </w:rPr>
        <w:footnoteRef/>
      </w:r>
      <w:r>
        <w:t xml:space="preserve"> </w:t>
      </w:r>
      <w:r w:rsidRPr="002F06B2">
        <w:rPr>
          <w:rFonts w:cs="Arial"/>
        </w:rPr>
        <w:t xml:space="preserve">Sentencia de enero 29 de 2014, radicación 250002326000 2001 02053 01, expediente 30250, actor Consorcio FAB, demandado Fondo Rotatorio de la Fuerza Aérea, acción </w:t>
      </w:r>
      <w:r>
        <w:rPr>
          <w:rFonts w:cs="Arial"/>
        </w:rPr>
        <w:t>contractual.</w:t>
      </w:r>
    </w:p>
    <w:p w14:paraId="3CA25D52" w14:textId="77777777" w:rsidR="001E6292" w:rsidRPr="00A06B10" w:rsidRDefault="001E6292" w:rsidP="00521EF4">
      <w:pPr>
        <w:pStyle w:val="Textonotapie"/>
        <w:spacing w:line="240" w:lineRule="auto"/>
        <w:rPr>
          <w:lang w:val="es-CO"/>
        </w:rPr>
      </w:pPr>
    </w:p>
  </w:footnote>
  <w:footnote w:id="49">
    <w:p w14:paraId="3BE2E476" w14:textId="77777777" w:rsidR="001E6292" w:rsidRPr="00A6551B" w:rsidRDefault="001E6292" w:rsidP="00EC24DA">
      <w:pPr>
        <w:pStyle w:val="Textonotapie"/>
        <w:rPr>
          <w:lang w:val="es-CO"/>
        </w:rPr>
      </w:pPr>
      <w:r>
        <w:rPr>
          <w:rStyle w:val="Refdenotaalpie"/>
        </w:rPr>
        <w:footnoteRef/>
      </w:r>
      <w:r>
        <w:t xml:space="preserve"> </w:t>
      </w:r>
      <w:r>
        <w:rPr>
          <w:lang w:val="es-CO"/>
        </w:rPr>
        <w:t>Folios 42 a 95. Cuaderno 1.</w:t>
      </w:r>
    </w:p>
  </w:footnote>
  <w:footnote w:id="50">
    <w:p w14:paraId="0A635C43" w14:textId="77777777" w:rsidR="001E6292" w:rsidRPr="000E05A4" w:rsidRDefault="001E6292" w:rsidP="00EC24DA">
      <w:pPr>
        <w:pStyle w:val="Textonotapie"/>
        <w:rPr>
          <w:lang w:val="es-CO"/>
        </w:rPr>
      </w:pPr>
      <w:r>
        <w:rPr>
          <w:rStyle w:val="Refdenotaalpie"/>
        </w:rPr>
        <w:footnoteRef/>
      </w:r>
      <w:r>
        <w:t xml:space="preserve"> </w:t>
      </w:r>
      <w:r>
        <w:rPr>
          <w:lang w:val="es-CO"/>
        </w:rPr>
        <w:t>Folio 49, cuaderno 1.</w:t>
      </w:r>
    </w:p>
  </w:footnote>
  <w:footnote w:id="51">
    <w:p w14:paraId="20D71E34" w14:textId="77777777" w:rsidR="001E6292" w:rsidRPr="005F1137" w:rsidRDefault="001E6292" w:rsidP="00EC24DA">
      <w:pPr>
        <w:pStyle w:val="Textonotapie"/>
        <w:rPr>
          <w:lang w:val="es-CO"/>
        </w:rPr>
      </w:pPr>
      <w:r>
        <w:rPr>
          <w:rStyle w:val="Refdenotaalpie"/>
        </w:rPr>
        <w:footnoteRef/>
      </w:r>
      <w:r>
        <w:t xml:space="preserve"> </w:t>
      </w:r>
      <w:r>
        <w:rPr>
          <w:lang w:val="es-CO"/>
        </w:rPr>
        <w:t>Folio 93, cuaderno 2.</w:t>
      </w:r>
    </w:p>
  </w:footnote>
  <w:footnote w:id="52">
    <w:p w14:paraId="77AE7CA4" w14:textId="77777777" w:rsidR="001E6292" w:rsidRPr="00E172BF" w:rsidRDefault="001E6292">
      <w:pPr>
        <w:pStyle w:val="Textonotapie"/>
        <w:rPr>
          <w:lang w:val="es-CO"/>
        </w:rPr>
      </w:pPr>
      <w:r>
        <w:rPr>
          <w:rStyle w:val="Refdenotaalpie"/>
        </w:rPr>
        <w:footnoteRef/>
      </w:r>
      <w:r>
        <w:t xml:space="preserve"> </w:t>
      </w:r>
      <w:r>
        <w:rPr>
          <w:lang w:val="es-CO"/>
        </w:rPr>
        <w:t>Folios 88, 89 y 90, cuaderno 1.</w:t>
      </w:r>
    </w:p>
  </w:footnote>
  <w:footnote w:id="53">
    <w:p w14:paraId="7BF091EA" w14:textId="77777777" w:rsidR="001E6292" w:rsidRPr="000E7101" w:rsidRDefault="001E6292" w:rsidP="00EC24DA">
      <w:pPr>
        <w:pStyle w:val="Textonotapie"/>
        <w:rPr>
          <w:lang w:val="es-CO"/>
        </w:rPr>
      </w:pPr>
      <w:r>
        <w:rPr>
          <w:rStyle w:val="Refdenotaalpie"/>
        </w:rPr>
        <w:footnoteRef/>
      </w:r>
      <w:r>
        <w:t xml:space="preserve"> </w:t>
      </w:r>
      <w:r>
        <w:rPr>
          <w:lang w:val="es-CO"/>
        </w:rPr>
        <w:t>Folios 297 y 624, cuaderno 2.</w:t>
      </w:r>
    </w:p>
  </w:footnote>
  <w:footnote w:id="54">
    <w:p w14:paraId="571AC567" w14:textId="77777777" w:rsidR="001E6292" w:rsidRPr="005F14B4" w:rsidRDefault="001E6292">
      <w:pPr>
        <w:pStyle w:val="Textonotapie"/>
        <w:rPr>
          <w:lang w:val="es-CO"/>
        </w:rPr>
      </w:pPr>
      <w:r>
        <w:rPr>
          <w:rStyle w:val="Refdenotaalpie"/>
        </w:rPr>
        <w:footnoteRef/>
      </w:r>
      <w:r>
        <w:t xml:space="preserve"> </w:t>
      </w:r>
      <w:r>
        <w:rPr>
          <w:lang w:val="es-CO"/>
        </w:rPr>
        <w:t>Folio 1, cuaderno 2.</w:t>
      </w:r>
    </w:p>
  </w:footnote>
  <w:footnote w:id="55">
    <w:p w14:paraId="3913E2F3" w14:textId="77777777" w:rsidR="001E6292" w:rsidRPr="00EA4C9E" w:rsidRDefault="001E6292">
      <w:pPr>
        <w:pStyle w:val="Textonotapie"/>
        <w:rPr>
          <w:lang w:val="es-CO"/>
        </w:rPr>
      </w:pPr>
      <w:r>
        <w:rPr>
          <w:rStyle w:val="Refdenotaalpie"/>
        </w:rPr>
        <w:footnoteRef/>
      </w:r>
      <w:r>
        <w:t xml:space="preserve"> Página 13 de la resolución 02 193, obrante al folio </w:t>
      </w:r>
      <w:r>
        <w:rPr>
          <w:lang w:val="es-CO"/>
        </w:rPr>
        <w:t xml:space="preserve">217, cuaderno 1. </w:t>
      </w:r>
    </w:p>
  </w:footnote>
  <w:footnote w:id="56">
    <w:p w14:paraId="4AF658A5" w14:textId="77777777" w:rsidR="001E6292" w:rsidRPr="0067509F" w:rsidRDefault="001E6292" w:rsidP="003223D8">
      <w:pPr>
        <w:pStyle w:val="Textonotapie"/>
        <w:rPr>
          <w:lang w:val="es-CO"/>
        </w:rPr>
      </w:pPr>
      <w:r>
        <w:rPr>
          <w:rStyle w:val="Refdenotaalpie"/>
        </w:rPr>
        <w:footnoteRef/>
      </w:r>
      <w:r>
        <w:t xml:space="preserve"> </w:t>
      </w:r>
      <w:r>
        <w:rPr>
          <w:lang w:val="es-CO"/>
        </w:rPr>
        <w:t>Folio 53, cuaderno 2.</w:t>
      </w:r>
    </w:p>
  </w:footnote>
  <w:footnote w:id="57">
    <w:p w14:paraId="67B3A002" w14:textId="77777777" w:rsidR="001E6292" w:rsidRDefault="001E6292" w:rsidP="00383854">
      <w:pPr>
        <w:pStyle w:val="Textonotapie"/>
        <w:spacing w:line="240" w:lineRule="auto"/>
        <w:rPr>
          <w:lang w:val="es-CO"/>
        </w:rPr>
      </w:pPr>
      <w:r>
        <w:rPr>
          <w:rStyle w:val="Refdenotaalpie"/>
        </w:rPr>
        <w:footnoteRef/>
      </w:r>
      <w:r>
        <w:t xml:space="preserve"> </w:t>
      </w:r>
      <w:r>
        <w:rPr>
          <w:lang w:val="es-CO"/>
        </w:rPr>
        <w:t>En los testimonios de los señores Ignacio Padilla Carlosama y Manuel Erira Sotelo, quienes fueron miembros del comité de evaluación, no aparece referencia concreta a los documentos de modificación de los estados financieros, (folios 448 a 451, cuaderno 1).</w:t>
      </w:r>
    </w:p>
    <w:p w14:paraId="710E6668" w14:textId="77777777" w:rsidR="001E6292" w:rsidRPr="00437F72" w:rsidRDefault="001E6292" w:rsidP="00383854">
      <w:pPr>
        <w:pStyle w:val="Textonotapie"/>
        <w:spacing w:line="240" w:lineRule="auto"/>
        <w:rPr>
          <w:lang w:val="es-CO"/>
        </w:rPr>
      </w:pPr>
      <w:r>
        <w:rPr>
          <w:lang w:val="es-CO"/>
        </w:rPr>
        <w:t xml:space="preserve">  </w:t>
      </w:r>
    </w:p>
  </w:footnote>
  <w:footnote w:id="58">
    <w:p w14:paraId="507BA362" w14:textId="77777777" w:rsidR="001E6292" w:rsidRDefault="001E6292" w:rsidP="000E3095">
      <w:pPr>
        <w:pStyle w:val="Textonotapie"/>
        <w:spacing w:line="240" w:lineRule="auto"/>
        <w:rPr>
          <w:rFonts w:cs="Arial"/>
        </w:rPr>
      </w:pPr>
      <w:r>
        <w:rPr>
          <w:rStyle w:val="Refdenotaalpie"/>
        </w:rPr>
        <w:footnoteRef/>
      </w:r>
      <w:r>
        <w:t xml:space="preserve"> Correspondiente a </w:t>
      </w:r>
      <w:r>
        <w:rPr>
          <w:rFonts w:cs="Arial"/>
        </w:rPr>
        <w:t xml:space="preserve">los </w:t>
      </w:r>
      <w:r w:rsidRPr="00383854">
        <w:rPr>
          <w:rFonts w:cs="Arial"/>
          <w:i/>
        </w:rPr>
        <w:t>“documentos y criterios de verificación financiera y evaluación económica, cumplimiento y experiencia”</w:t>
      </w:r>
      <w:r>
        <w:rPr>
          <w:rFonts w:cs="Arial"/>
        </w:rPr>
        <w:t>, folios 480 a 484, cuaderno 3.</w:t>
      </w:r>
    </w:p>
    <w:p w14:paraId="3237CD54" w14:textId="77777777" w:rsidR="001E6292" w:rsidRPr="008C60AE" w:rsidRDefault="001E6292" w:rsidP="000E3095">
      <w:pPr>
        <w:pStyle w:val="Textonotapie"/>
        <w:spacing w:line="240" w:lineRule="auto"/>
        <w:rPr>
          <w:lang w:val="es-CO"/>
        </w:rPr>
      </w:pPr>
    </w:p>
  </w:footnote>
  <w:footnote w:id="59">
    <w:p w14:paraId="21CCEA7B" w14:textId="77777777" w:rsidR="001E6292" w:rsidRPr="00E04291" w:rsidRDefault="001E6292">
      <w:pPr>
        <w:pStyle w:val="Textonotapie"/>
        <w:rPr>
          <w:lang w:val="es-CO"/>
        </w:rPr>
      </w:pPr>
      <w:r>
        <w:rPr>
          <w:rStyle w:val="Refdenotaalpie"/>
        </w:rPr>
        <w:footnoteRef/>
      </w:r>
      <w:r>
        <w:t xml:space="preserve"> </w:t>
      </w:r>
      <w:r>
        <w:rPr>
          <w:lang w:val="es-CO"/>
        </w:rPr>
        <w:t>Folio 273, cuaderno 2</w:t>
      </w:r>
    </w:p>
  </w:footnote>
  <w:footnote w:id="60">
    <w:p w14:paraId="4D4C37CA" w14:textId="77777777" w:rsidR="001E6292" w:rsidRPr="00275ABB" w:rsidRDefault="001E6292">
      <w:pPr>
        <w:pStyle w:val="Textonotapie"/>
        <w:rPr>
          <w:lang w:val="es-CO"/>
        </w:rPr>
      </w:pPr>
      <w:r>
        <w:rPr>
          <w:rStyle w:val="Refdenotaalpie"/>
        </w:rPr>
        <w:footnoteRef/>
      </w:r>
      <w:r>
        <w:t xml:space="preserve"> </w:t>
      </w:r>
      <w:r>
        <w:rPr>
          <w:lang w:val="es-CO"/>
        </w:rPr>
        <w:t>Folio 46, cuaderno 2.</w:t>
      </w:r>
    </w:p>
  </w:footnote>
  <w:footnote w:id="61">
    <w:p w14:paraId="000528B0" w14:textId="77777777" w:rsidR="001E6292" w:rsidRPr="00A5062E" w:rsidRDefault="001E6292" w:rsidP="005211D7">
      <w:pPr>
        <w:pStyle w:val="Textonotapie"/>
        <w:spacing w:line="240" w:lineRule="auto"/>
        <w:rPr>
          <w:lang w:val="es-CO"/>
        </w:rPr>
      </w:pPr>
      <w:r>
        <w:rPr>
          <w:rStyle w:val="Refdenotaalpie"/>
        </w:rPr>
        <w:footnoteRef/>
      </w:r>
      <w:r>
        <w:t xml:space="preserve"> Folios 466 a 476, cuaderno 2. Los estados financieros se allegaron con certificación del representante legal y de la contadora de la empresa, pero sin dictamen de contador público independiente.</w:t>
      </w:r>
    </w:p>
  </w:footnote>
  <w:footnote w:id="62">
    <w:p w14:paraId="60F6956B" w14:textId="77777777" w:rsidR="001E6292" w:rsidRPr="0013770B" w:rsidRDefault="001E6292">
      <w:pPr>
        <w:pStyle w:val="Textonotapie"/>
        <w:rPr>
          <w:lang w:val="es-CO"/>
        </w:rPr>
      </w:pPr>
      <w:r>
        <w:rPr>
          <w:rStyle w:val="Refdenotaalpie"/>
        </w:rPr>
        <w:footnoteRef/>
      </w:r>
      <w:r>
        <w:t xml:space="preserve"> </w:t>
      </w:r>
      <w:r>
        <w:rPr>
          <w:lang w:val="es-CO"/>
        </w:rPr>
        <w:t>Folio 48, cuaderno 2</w:t>
      </w:r>
    </w:p>
  </w:footnote>
  <w:footnote w:id="63">
    <w:p w14:paraId="6ECF0D86" w14:textId="77777777" w:rsidR="001E6292" w:rsidRDefault="001E6292" w:rsidP="001A277D">
      <w:pPr>
        <w:pStyle w:val="Textonotapie"/>
        <w:spacing w:line="240" w:lineRule="auto"/>
        <w:rPr>
          <w:lang w:val="es-CO"/>
        </w:rPr>
      </w:pPr>
      <w:r>
        <w:rPr>
          <w:rStyle w:val="Refdenotaalpie"/>
        </w:rPr>
        <w:footnoteRef/>
      </w:r>
      <w:r>
        <w:t xml:space="preserve"> </w:t>
      </w:r>
      <w:r>
        <w:rPr>
          <w:lang w:val="es-CO"/>
        </w:rPr>
        <w:t>Folios 47 vs 273, cuaderno 2. La diferencia se encuentra en la cifra de inventario --mercancías no fabricadas-. que a 31 de diciembre de 1994 se registró por $491’708.345 y a 31 de mayo de 2005 se registró por $391’708.000.</w:t>
      </w:r>
    </w:p>
    <w:p w14:paraId="1846CBB6" w14:textId="77777777" w:rsidR="001E6292" w:rsidRPr="008578EC" w:rsidRDefault="001E6292" w:rsidP="001A277D">
      <w:pPr>
        <w:pStyle w:val="Textonotapie"/>
        <w:spacing w:line="240" w:lineRule="auto"/>
        <w:rPr>
          <w:lang w:val="es-CO"/>
        </w:rPr>
      </w:pPr>
    </w:p>
  </w:footnote>
  <w:footnote w:id="64">
    <w:p w14:paraId="6F01CCAC" w14:textId="77777777" w:rsidR="001E6292" w:rsidRDefault="001E6292" w:rsidP="00E72717">
      <w:pPr>
        <w:pStyle w:val="Textonotapie"/>
        <w:spacing w:line="240" w:lineRule="auto"/>
      </w:pPr>
      <w:r>
        <w:rPr>
          <w:rStyle w:val="Refdenotaalpie"/>
        </w:rPr>
        <w:footnoteRef/>
      </w:r>
      <w:r>
        <w:t xml:space="preserve"> El supuesto error que se había cometido en la elaboración de los estados financieros es una de las razones de las modificaciones, si se tiene en cuenta la certificación suscrita por la contadora pública, dado que, al parecer, inicialmente presentó un valor de patrimonio superior al que se debía reflejar en los respectivos estados financieros.</w:t>
      </w:r>
    </w:p>
    <w:p w14:paraId="3315CE3B" w14:textId="77777777" w:rsidR="001E6292" w:rsidRPr="001A277D" w:rsidRDefault="001E6292">
      <w:pPr>
        <w:pStyle w:val="Textonotapie"/>
        <w:rPr>
          <w:lang w:val="es-MX"/>
        </w:rPr>
      </w:pPr>
    </w:p>
  </w:footnote>
  <w:footnote w:id="65">
    <w:p w14:paraId="66958F10" w14:textId="77777777" w:rsidR="001E6292" w:rsidRPr="00B24967" w:rsidRDefault="001E6292">
      <w:pPr>
        <w:pStyle w:val="Textonotapie"/>
        <w:rPr>
          <w:lang w:val="es-CO"/>
        </w:rPr>
      </w:pPr>
      <w:r>
        <w:rPr>
          <w:rStyle w:val="Refdenotaalpie"/>
        </w:rPr>
        <w:footnoteRef/>
      </w:r>
      <w:r>
        <w:t xml:space="preserve"> </w:t>
      </w:r>
      <w:r>
        <w:rPr>
          <w:lang w:val="es-CO"/>
        </w:rPr>
        <w:t>Folios 272 a 277 cuaderno 2.</w:t>
      </w:r>
    </w:p>
  </w:footnote>
  <w:footnote w:id="66">
    <w:p w14:paraId="129E4CA8" w14:textId="77777777" w:rsidR="001E6292" w:rsidRPr="00E43BE8" w:rsidRDefault="001E6292">
      <w:pPr>
        <w:pStyle w:val="Textonotapie"/>
        <w:rPr>
          <w:lang w:val="es-CO"/>
        </w:rPr>
      </w:pPr>
      <w:r>
        <w:rPr>
          <w:rStyle w:val="Refdenotaalpie"/>
        </w:rPr>
        <w:footnoteRef/>
      </w:r>
      <w:r>
        <w:t xml:space="preserve"> </w:t>
      </w:r>
      <w:r>
        <w:rPr>
          <w:lang w:val="es-CO"/>
        </w:rPr>
        <w:t>Folio 61 cuaderno 1.</w:t>
      </w:r>
    </w:p>
  </w:footnote>
  <w:footnote w:id="67">
    <w:p w14:paraId="5DEF7576" w14:textId="77777777" w:rsidR="001E6292" w:rsidRPr="00821ACA" w:rsidRDefault="001E6292">
      <w:pPr>
        <w:pStyle w:val="Textonotapie"/>
        <w:rPr>
          <w:lang w:val="es-CO"/>
        </w:rPr>
      </w:pPr>
      <w:r>
        <w:rPr>
          <w:rStyle w:val="Refdenotaalpie"/>
        </w:rPr>
        <w:footnoteRef/>
      </w:r>
      <w:r>
        <w:t xml:space="preserve"> </w:t>
      </w:r>
      <w:r>
        <w:rPr>
          <w:lang w:val="es-CO"/>
        </w:rPr>
        <w:t>Según la constancia secretarial este informe seria de 6 de septiembre de 2005, folios 1 a 8, cuaderno 2.</w:t>
      </w:r>
    </w:p>
  </w:footnote>
  <w:footnote w:id="68">
    <w:p w14:paraId="467A250E" w14:textId="77777777" w:rsidR="001E6292" w:rsidRPr="002F50A8" w:rsidRDefault="001E6292">
      <w:pPr>
        <w:pStyle w:val="Textonotapie"/>
        <w:rPr>
          <w:lang w:val="es-CO"/>
        </w:rPr>
      </w:pPr>
      <w:r>
        <w:rPr>
          <w:rStyle w:val="Refdenotaalpie"/>
        </w:rPr>
        <w:footnoteRef/>
      </w:r>
      <w:r>
        <w:t xml:space="preserve"> </w:t>
      </w:r>
      <w:r>
        <w:rPr>
          <w:lang w:val="es-CO"/>
        </w:rPr>
        <w:t>Folio 4, cuaderno 2.</w:t>
      </w:r>
    </w:p>
  </w:footnote>
  <w:footnote w:id="69">
    <w:p w14:paraId="56EC6739" w14:textId="77777777" w:rsidR="001E6292" w:rsidRPr="008D4D1C" w:rsidRDefault="001E6292" w:rsidP="003B22CC">
      <w:pPr>
        <w:pStyle w:val="Textonotapie"/>
        <w:spacing w:line="240" w:lineRule="auto"/>
        <w:rPr>
          <w:lang w:val="es-CO"/>
        </w:rPr>
      </w:pPr>
      <w:r w:rsidRPr="004924BC">
        <w:rPr>
          <w:rStyle w:val="Refdenotaalpie"/>
        </w:rPr>
        <w:footnoteRef/>
      </w:r>
      <w:r w:rsidRPr="004924BC">
        <w:t xml:space="preserve"> De acuerdo con lo que obra en el plenario, el demandante presentó denuncia penal en relación con los hechos en el sub lite, por lo cual se asume que el asunto fue investigado por las autoridades competentes.</w:t>
      </w:r>
      <w:r>
        <w:t xml:space="preserve"> </w:t>
      </w:r>
    </w:p>
  </w:footnote>
  <w:footnote w:id="70">
    <w:p w14:paraId="4640C714" w14:textId="77777777" w:rsidR="001E6292" w:rsidRPr="00717B4B" w:rsidRDefault="001E6292">
      <w:pPr>
        <w:pStyle w:val="Textonotapie"/>
        <w:rPr>
          <w:lang w:val="es-CO"/>
        </w:rPr>
      </w:pPr>
      <w:r>
        <w:rPr>
          <w:rStyle w:val="Refdenotaalpie"/>
        </w:rPr>
        <w:footnoteRef/>
      </w:r>
      <w:r>
        <w:t xml:space="preserve"> </w:t>
      </w:r>
      <w:r>
        <w:rPr>
          <w:lang w:val="es-CO"/>
        </w:rPr>
        <w:t>Punto 2.3.3.1.1., folio 480 cuaderno 2.</w:t>
      </w:r>
    </w:p>
  </w:footnote>
  <w:footnote w:id="71">
    <w:p w14:paraId="3E222E25" w14:textId="77777777" w:rsidR="001E6292" w:rsidRPr="00E426D6" w:rsidRDefault="001E6292">
      <w:pPr>
        <w:pStyle w:val="Textonotapie"/>
        <w:rPr>
          <w:lang w:val="es-CO"/>
        </w:rPr>
      </w:pPr>
      <w:r>
        <w:rPr>
          <w:rStyle w:val="Refdenotaalpie"/>
        </w:rPr>
        <w:footnoteRef/>
      </w:r>
      <w:r>
        <w:t xml:space="preserve"> </w:t>
      </w:r>
      <w:r>
        <w:rPr>
          <w:lang w:val="es-CO"/>
        </w:rPr>
        <w:t>Folio 297, cuaderno 2.</w:t>
      </w:r>
    </w:p>
  </w:footnote>
  <w:footnote w:id="72">
    <w:p w14:paraId="40512027" w14:textId="77777777" w:rsidR="001E6292" w:rsidRPr="002363B5" w:rsidRDefault="001E6292">
      <w:pPr>
        <w:pStyle w:val="Textonotapie"/>
        <w:rPr>
          <w:lang w:val="es-CO"/>
        </w:rPr>
      </w:pPr>
      <w:r>
        <w:rPr>
          <w:rStyle w:val="Refdenotaalpie"/>
        </w:rPr>
        <w:footnoteRef/>
      </w:r>
      <w:r>
        <w:t xml:space="preserve"> </w:t>
      </w:r>
      <w:r>
        <w:rPr>
          <w:lang w:val="es-CO"/>
        </w:rPr>
        <w:t xml:space="preserve">Folios 313 a 315, cuaderno 2. </w:t>
      </w:r>
    </w:p>
  </w:footnote>
  <w:footnote w:id="73">
    <w:p w14:paraId="034B426D" w14:textId="77777777" w:rsidR="001E6292" w:rsidRDefault="001E6292" w:rsidP="00C23827">
      <w:pPr>
        <w:pStyle w:val="Textonotapie"/>
        <w:spacing w:line="240" w:lineRule="auto"/>
        <w:rPr>
          <w:lang w:val="es-CO"/>
        </w:rPr>
      </w:pPr>
      <w:r>
        <w:rPr>
          <w:rStyle w:val="Refdenotaalpie"/>
        </w:rPr>
        <w:footnoteRef/>
      </w:r>
      <w:r>
        <w:t xml:space="preserve"> </w:t>
      </w:r>
      <w:r>
        <w:rPr>
          <w:lang w:val="es-CO"/>
        </w:rPr>
        <w:t xml:space="preserve">Grupo 3: </w:t>
      </w:r>
      <w:r w:rsidRPr="00296FED">
        <w:rPr>
          <w:i/>
          <w:lang w:val="es-CO"/>
        </w:rPr>
        <w:t>“Productos editoriales de la prensa o de otras industrias gráficas, textos manuscritos o mecanografiados y planos”,</w:t>
      </w:r>
      <w:r>
        <w:rPr>
          <w:lang w:val="es-CO"/>
        </w:rPr>
        <w:t xml:space="preserve"> según certificado de Representaciones y Ediciones Eliber ltda, folio 56, cuaderno 2 y folio 446, cuaderno 3. </w:t>
      </w:r>
    </w:p>
    <w:p w14:paraId="7940034C" w14:textId="77777777" w:rsidR="001E6292" w:rsidRPr="005D3144" w:rsidRDefault="001E6292" w:rsidP="00C23827">
      <w:pPr>
        <w:pStyle w:val="Textonotapie"/>
        <w:spacing w:line="240" w:lineRule="auto"/>
        <w:rPr>
          <w:lang w:val="es-CO"/>
        </w:rPr>
      </w:pPr>
    </w:p>
  </w:footnote>
  <w:footnote w:id="74">
    <w:p w14:paraId="27CB6131" w14:textId="77777777" w:rsidR="001E6292" w:rsidRPr="007A5D7D" w:rsidRDefault="001E6292">
      <w:pPr>
        <w:pStyle w:val="Textonotapie"/>
        <w:rPr>
          <w:lang w:val="es-CO"/>
        </w:rPr>
      </w:pPr>
      <w:r>
        <w:rPr>
          <w:rStyle w:val="Refdenotaalpie"/>
        </w:rPr>
        <w:footnoteRef/>
      </w:r>
      <w:r>
        <w:t xml:space="preserve"> </w:t>
      </w:r>
      <w:r>
        <w:rPr>
          <w:lang w:val="es-CO"/>
        </w:rPr>
        <w:t>Folios 302 a 307, cuaderno 3.</w:t>
      </w:r>
    </w:p>
  </w:footnote>
  <w:footnote w:id="75">
    <w:p w14:paraId="405C5278" w14:textId="77777777" w:rsidR="001E6292" w:rsidRPr="00403F3A" w:rsidRDefault="001E6292">
      <w:pPr>
        <w:pStyle w:val="Textonotapie"/>
        <w:rPr>
          <w:lang w:val="es-CO"/>
        </w:rPr>
      </w:pPr>
      <w:r>
        <w:rPr>
          <w:rStyle w:val="Refdenotaalpie"/>
        </w:rPr>
        <w:footnoteRef/>
      </w:r>
      <w:r>
        <w:t xml:space="preserve"> </w:t>
      </w:r>
      <w:r>
        <w:rPr>
          <w:lang w:val="es-CO"/>
        </w:rPr>
        <w:t>Folios 14 a 45, cuaderno 2-</w:t>
      </w:r>
    </w:p>
  </w:footnote>
  <w:footnote w:id="76">
    <w:p w14:paraId="30D48BE1" w14:textId="77777777" w:rsidR="001E6292" w:rsidRPr="00A43D93" w:rsidRDefault="001E6292">
      <w:pPr>
        <w:pStyle w:val="Textonotapie"/>
        <w:rPr>
          <w:lang w:val="es-CO"/>
        </w:rPr>
      </w:pPr>
      <w:r>
        <w:rPr>
          <w:rStyle w:val="Refdenotaalpie"/>
        </w:rPr>
        <w:footnoteRef/>
      </w:r>
      <w:r>
        <w:t xml:space="preserve"> </w:t>
      </w:r>
      <w:r>
        <w:rPr>
          <w:lang w:val="es-CO"/>
        </w:rPr>
        <w:t>Folio 92, cuaderno 1.</w:t>
      </w:r>
    </w:p>
  </w:footnote>
  <w:footnote w:id="77">
    <w:p w14:paraId="6506F8C0" w14:textId="77777777" w:rsidR="001E6292" w:rsidRPr="00886F1A" w:rsidRDefault="001E6292">
      <w:pPr>
        <w:pStyle w:val="Textonotapie"/>
        <w:rPr>
          <w:lang w:val="es-CO"/>
        </w:rPr>
      </w:pPr>
      <w:r>
        <w:rPr>
          <w:rStyle w:val="Refdenotaalpie"/>
        </w:rPr>
        <w:footnoteRef/>
      </w:r>
      <w:r>
        <w:t xml:space="preserve"> </w:t>
      </w:r>
      <w:r>
        <w:rPr>
          <w:lang w:val="es-CO"/>
        </w:rPr>
        <w:t>Certificado expedido por la Cámara de Comercio de Bogotá, folios 54 a 59, cuaderno 2.</w:t>
      </w:r>
    </w:p>
  </w:footnote>
  <w:footnote w:id="78">
    <w:p w14:paraId="5781B890" w14:textId="77777777" w:rsidR="001E6292" w:rsidRPr="001E338B" w:rsidRDefault="001E6292" w:rsidP="000026B9">
      <w:pPr>
        <w:pStyle w:val="Textonotapie"/>
        <w:tabs>
          <w:tab w:val="left" w:pos="851"/>
        </w:tabs>
        <w:rPr>
          <w:lang w:val="es-CO"/>
        </w:rPr>
      </w:pPr>
      <w:r>
        <w:rPr>
          <w:rStyle w:val="Refdenotaalpie"/>
        </w:rPr>
        <w:footnoteRef/>
      </w:r>
      <w:r>
        <w:t xml:space="preserve"> </w:t>
      </w:r>
      <w:r>
        <w:rPr>
          <w:lang w:val="es-CO"/>
        </w:rPr>
        <w:t>Folio 108, cuaderno 1.</w:t>
      </w:r>
    </w:p>
  </w:footnote>
  <w:footnote w:id="79">
    <w:p w14:paraId="26924BD9" w14:textId="77777777" w:rsidR="001E6292" w:rsidRPr="00F11492" w:rsidRDefault="001E6292" w:rsidP="003A6ABF">
      <w:pPr>
        <w:pStyle w:val="Textonotapie"/>
        <w:rPr>
          <w:lang w:val="es-CO"/>
        </w:rPr>
      </w:pPr>
      <w:r>
        <w:rPr>
          <w:rStyle w:val="Refdenotaalpie"/>
        </w:rPr>
        <w:footnoteRef/>
      </w:r>
      <w:r>
        <w:t xml:space="preserve"> </w:t>
      </w:r>
      <w:r>
        <w:rPr>
          <w:lang w:val="es-CO"/>
        </w:rPr>
        <w:t>Folio 106, cuaderno 1.</w:t>
      </w:r>
    </w:p>
  </w:footnote>
  <w:footnote w:id="80">
    <w:p w14:paraId="55748E03" w14:textId="77777777" w:rsidR="001E6292" w:rsidRPr="00694ECA" w:rsidRDefault="001E6292">
      <w:pPr>
        <w:pStyle w:val="Textonotapie"/>
        <w:rPr>
          <w:lang w:val="es-CO"/>
        </w:rPr>
      </w:pPr>
      <w:r>
        <w:rPr>
          <w:rStyle w:val="Refdenotaalpie"/>
        </w:rPr>
        <w:footnoteRef/>
      </w:r>
      <w:r>
        <w:t xml:space="preserve"> </w:t>
      </w:r>
      <w:r>
        <w:rPr>
          <w:lang w:val="es-CO"/>
        </w:rPr>
        <w:t xml:space="preserve">Folio 67, cuaderno 1. </w:t>
      </w:r>
    </w:p>
  </w:footnote>
  <w:footnote w:id="81">
    <w:p w14:paraId="7378DC2F" w14:textId="77777777" w:rsidR="001E6292" w:rsidRPr="00A02D94" w:rsidRDefault="001E6292">
      <w:pPr>
        <w:pStyle w:val="Textonotapie"/>
        <w:rPr>
          <w:lang w:val="es-CO"/>
        </w:rPr>
      </w:pPr>
      <w:r>
        <w:rPr>
          <w:rStyle w:val="Refdenotaalpie"/>
        </w:rPr>
        <w:footnoteRef/>
      </w:r>
      <w:r>
        <w:t xml:space="preserve"> </w:t>
      </w:r>
      <w:r>
        <w:rPr>
          <w:lang w:val="es-CO"/>
        </w:rPr>
        <w:t xml:space="preserve">Folio 528 a 531 y 545 a 547, cuaderno 1. </w:t>
      </w:r>
    </w:p>
  </w:footnote>
  <w:footnote w:id="82">
    <w:p w14:paraId="7EA3E1C5" w14:textId="77777777" w:rsidR="001E6292" w:rsidRPr="00FB4C60" w:rsidRDefault="001E6292">
      <w:pPr>
        <w:pStyle w:val="Textonotapie"/>
        <w:rPr>
          <w:lang w:val="es-CO"/>
        </w:rPr>
      </w:pPr>
      <w:r>
        <w:rPr>
          <w:rStyle w:val="Refdenotaalpie"/>
        </w:rPr>
        <w:footnoteRef/>
      </w:r>
      <w:r>
        <w:t xml:space="preserve"> </w:t>
      </w:r>
      <w:r>
        <w:rPr>
          <w:lang w:val="es-CO"/>
        </w:rPr>
        <w:t>Cuadro obrante en el folio 5, cuaderno 2.</w:t>
      </w:r>
    </w:p>
  </w:footnote>
  <w:footnote w:id="83">
    <w:p w14:paraId="70193594" w14:textId="77777777" w:rsidR="001E6292" w:rsidRPr="00482742" w:rsidRDefault="001E6292">
      <w:pPr>
        <w:pStyle w:val="Textonotapie"/>
        <w:rPr>
          <w:lang w:val="es-CO"/>
        </w:rPr>
      </w:pPr>
      <w:r>
        <w:rPr>
          <w:rStyle w:val="Refdenotaalpie"/>
        </w:rPr>
        <w:footnoteRef/>
      </w:r>
      <w:r>
        <w:t xml:space="preserve"> </w:t>
      </w:r>
      <w:r>
        <w:rPr>
          <w:lang w:val="es-CO"/>
        </w:rPr>
        <w:t>Folio 7, cuaderno 2.</w:t>
      </w:r>
    </w:p>
  </w:footnote>
  <w:footnote w:id="84">
    <w:p w14:paraId="12296814" w14:textId="77777777" w:rsidR="001E6292" w:rsidRDefault="001E6292" w:rsidP="007213BC">
      <w:pPr>
        <w:pStyle w:val="Textonotapie"/>
        <w:spacing w:line="240" w:lineRule="auto"/>
        <w:rPr>
          <w:lang w:val="es-CO"/>
        </w:rPr>
      </w:pPr>
      <w:r>
        <w:rPr>
          <w:rStyle w:val="Refdenotaalpie"/>
        </w:rPr>
        <w:footnoteRef/>
      </w:r>
      <w:r>
        <w:t xml:space="preserve"> </w:t>
      </w:r>
      <w:r>
        <w:rPr>
          <w:lang w:val="es-CO"/>
        </w:rPr>
        <w:t>De acuerdo con los documentos obrantes en el plenario, el demandante solo allegó estados financieros certificados por  su contador público y no aportó el dictamen de que trata el artículo 38 de la Ley 222 de 1995 (folios 699 a 702, cuaderno 2).</w:t>
      </w:r>
    </w:p>
    <w:p w14:paraId="598A7DBD" w14:textId="77777777" w:rsidR="001E6292" w:rsidRPr="004F5D93" w:rsidRDefault="001E6292" w:rsidP="007213BC">
      <w:pPr>
        <w:pStyle w:val="Textonotapie"/>
        <w:spacing w:line="240" w:lineRule="auto"/>
        <w:rPr>
          <w:lang w:val="es-CO"/>
        </w:rPr>
      </w:pPr>
    </w:p>
  </w:footnote>
  <w:footnote w:id="85">
    <w:p w14:paraId="31069786" w14:textId="77777777" w:rsidR="001E6292" w:rsidRPr="009B157D" w:rsidRDefault="001E6292">
      <w:pPr>
        <w:pStyle w:val="Textonotapie"/>
        <w:rPr>
          <w:lang w:val="es-CO"/>
        </w:rPr>
      </w:pPr>
      <w:r>
        <w:rPr>
          <w:rStyle w:val="Refdenotaalpie"/>
        </w:rPr>
        <w:footnoteRef/>
      </w:r>
      <w:r>
        <w:t xml:space="preserve"> </w:t>
      </w:r>
      <w:r>
        <w:rPr>
          <w:lang w:val="es-CO"/>
        </w:rPr>
        <w:t>Folio 79, cuaderno 2.</w:t>
      </w:r>
    </w:p>
  </w:footnote>
  <w:footnote w:id="86">
    <w:p w14:paraId="64EFBDAE" w14:textId="77777777" w:rsidR="001E6292" w:rsidRPr="009B157D" w:rsidRDefault="001E6292">
      <w:pPr>
        <w:pStyle w:val="Textonotapie"/>
        <w:rPr>
          <w:lang w:val="es-CO"/>
        </w:rPr>
      </w:pPr>
      <w:r>
        <w:rPr>
          <w:rStyle w:val="Refdenotaalpie"/>
        </w:rPr>
        <w:footnoteRef/>
      </w:r>
      <w:r>
        <w:t xml:space="preserve"> </w:t>
      </w:r>
      <w:r>
        <w:rPr>
          <w:lang w:val="es-CO"/>
        </w:rPr>
        <w:t>Folios 77 y 78 cuaderno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E7A19" w14:textId="77777777" w:rsidR="001E6292" w:rsidRDefault="001E6292" w:rsidP="006434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4EE646" w14:textId="77777777" w:rsidR="001E6292" w:rsidRDefault="001E6292" w:rsidP="0064345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196F3" w14:textId="77777777" w:rsidR="001E6292" w:rsidRDefault="001E6292" w:rsidP="00643457">
    <w:pPr>
      <w:widowControl w:val="0"/>
      <w:autoSpaceDE w:val="0"/>
      <w:autoSpaceDN w:val="0"/>
      <w:adjustRightInd w:val="0"/>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00547"/>
    <w:multiLevelType w:val="hybridMultilevel"/>
    <w:tmpl w:val="7EA8965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1" w15:restartNumberingAfterBreak="0">
    <w:nsid w:val="06947C2B"/>
    <w:multiLevelType w:val="hybridMultilevel"/>
    <w:tmpl w:val="B95C99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737DCE"/>
    <w:multiLevelType w:val="hybridMultilevel"/>
    <w:tmpl w:val="5972CD9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0C281A55"/>
    <w:multiLevelType w:val="hybridMultilevel"/>
    <w:tmpl w:val="BB6E18A4"/>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4"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F724E"/>
    <w:multiLevelType w:val="hybridMultilevel"/>
    <w:tmpl w:val="0BB8EEF4"/>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8582982"/>
    <w:multiLevelType w:val="hybridMultilevel"/>
    <w:tmpl w:val="3D9C1894"/>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7" w15:restartNumberingAfterBreak="0">
    <w:nsid w:val="19ED53C0"/>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D89442E"/>
    <w:multiLevelType w:val="hybridMultilevel"/>
    <w:tmpl w:val="9D3453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261E49"/>
    <w:multiLevelType w:val="hybridMultilevel"/>
    <w:tmpl w:val="75D4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645DF7"/>
    <w:multiLevelType w:val="hybridMultilevel"/>
    <w:tmpl w:val="1AD0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2" w15:restartNumberingAfterBreak="0">
    <w:nsid w:val="28447A58"/>
    <w:multiLevelType w:val="hybridMultilevel"/>
    <w:tmpl w:val="C040F5C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3" w15:restartNumberingAfterBreak="0">
    <w:nsid w:val="293E771A"/>
    <w:multiLevelType w:val="hybridMultilevel"/>
    <w:tmpl w:val="D92CFBF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4"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D17B47"/>
    <w:multiLevelType w:val="hybridMultilevel"/>
    <w:tmpl w:val="93BAAAF8"/>
    <w:lvl w:ilvl="0" w:tplc="9364FE8C">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8" w15:restartNumberingAfterBreak="0">
    <w:nsid w:val="3BA44302"/>
    <w:multiLevelType w:val="multilevel"/>
    <w:tmpl w:val="DFA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785D89"/>
    <w:multiLevelType w:val="hybridMultilevel"/>
    <w:tmpl w:val="4E22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E283DC0"/>
    <w:multiLevelType w:val="hybridMultilevel"/>
    <w:tmpl w:val="41E8CD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 w15:restartNumberingAfterBreak="0">
    <w:nsid w:val="49BF63DC"/>
    <w:multiLevelType w:val="hybridMultilevel"/>
    <w:tmpl w:val="4456E6B6"/>
    <w:lvl w:ilvl="0" w:tplc="83829AFE">
      <w:start w:val="1"/>
      <w:numFmt w:val="lowerRoman"/>
      <w:lvlText w:val="%1)"/>
      <w:lvlJc w:val="left"/>
      <w:pPr>
        <w:ind w:left="4123"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A596EEA"/>
    <w:multiLevelType w:val="hybridMultilevel"/>
    <w:tmpl w:val="AABA1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B890B2A"/>
    <w:multiLevelType w:val="hybridMultilevel"/>
    <w:tmpl w:val="F4B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F45CF7"/>
    <w:multiLevelType w:val="hybridMultilevel"/>
    <w:tmpl w:val="00981258"/>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7027534"/>
    <w:multiLevelType w:val="hybridMultilevel"/>
    <w:tmpl w:val="1ABE5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num w:numId="1">
    <w:abstractNumId w:val="15"/>
  </w:num>
  <w:num w:numId="2">
    <w:abstractNumId w:val="27"/>
  </w:num>
  <w:num w:numId="3">
    <w:abstractNumId w:val="25"/>
  </w:num>
  <w:num w:numId="4">
    <w:abstractNumId w:val="11"/>
  </w:num>
  <w:num w:numId="5">
    <w:abstractNumId w:val="14"/>
  </w:num>
  <w:num w:numId="6">
    <w:abstractNumId w:val="4"/>
  </w:num>
  <w:num w:numId="7">
    <w:abstractNumId w:val="26"/>
  </w:num>
  <w:num w:numId="8">
    <w:abstractNumId w:val="5"/>
  </w:num>
  <w:num w:numId="9">
    <w:abstractNumId w:val="29"/>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8"/>
  </w:num>
  <w:num w:numId="12">
    <w:abstractNumId w:val="9"/>
  </w:num>
  <w:num w:numId="13">
    <w:abstractNumId w:val="5"/>
  </w:num>
  <w:num w:numId="14">
    <w:abstractNumId w:val="24"/>
  </w:num>
  <w:num w:numId="15">
    <w:abstractNumId w:val="3"/>
  </w:num>
  <w:num w:numId="16">
    <w:abstractNumId w:val="12"/>
  </w:num>
  <w:num w:numId="17">
    <w:abstractNumId w:val="7"/>
  </w:num>
  <w:num w:numId="18">
    <w:abstractNumId w:val="16"/>
  </w:num>
  <w:num w:numId="19">
    <w:abstractNumId w:val="23"/>
  </w:num>
  <w:num w:numId="20">
    <w:abstractNumId w:val="28"/>
  </w:num>
  <w:num w:numId="21">
    <w:abstractNumId w:val="19"/>
  </w:num>
  <w:num w:numId="22">
    <w:abstractNumId w:val="1"/>
  </w:num>
  <w:num w:numId="23">
    <w:abstractNumId w:val="20"/>
  </w:num>
  <w:num w:numId="24">
    <w:abstractNumId w:val="2"/>
  </w:num>
  <w:num w:numId="25">
    <w:abstractNumId w:val="6"/>
  </w:num>
  <w:num w:numId="26">
    <w:abstractNumId w:val="8"/>
  </w:num>
  <w:num w:numId="27">
    <w:abstractNumId w:val="17"/>
  </w:num>
  <w:num w:numId="28">
    <w:abstractNumId w:val="13"/>
  </w:num>
  <w:num w:numId="29">
    <w:abstractNumId w:val="10"/>
  </w:num>
  <w:num w:numId="30">
    <w:abstractNumId w:val="0"/>
  </w:num>
  <w:num w:numId="31">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defaultTabStop w:val="708"/>
  <w:hyphenationZone w:val="425"/>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395"/>
    <w:rsid w:val="000004FE"/>
    <w:rsid w:val="0000071A"/>
    <w:rsid w:val="0000092F"/>
    <w:rsid w:val="00000F07"/>
    <w:rsid w:val="000012E0"/>
    <w:rsid w:val="00001679"/>
    <w:rsid w:val="0000193E"/>
    <w:rsid w:val="00001C09"/>
    <w:rsid w:val="00001C23"/>
    <w:rsid w:val="00001F3F"/>
    <w:rsid w:val="00001F90"/>
    <w:rsid w:val="000026B9"/>
    <w:rsid w:val="00002764"/>
    <w:rsid w:val="00002B44"/>
    <w:rsid w:val="00002E38"/>
    <w:rsid w:val="00003330"/>
    <w:rsid w:val="000034A4"/>
    <w:rsid w:val="00003649"/>
    <w:rsid w:val="000036B8"/>
    <w:rsid w:val="000039FF"/>
    <w:rsid w:val="00003C06"/>
    <w:rsid w:val="00003C47"/>
    <w:rsid w:val="000041F0"/>
    <w:rsid w:val="00004616"/>
    <w:rsid w:val="000049E1"/>
    <w:rsid w:val="0000511F"/>
    <w:rsid w:val="00005C01"/>
    <w:rsid w:val="00006466"/>
    <w:rsid w:val="00006BE4"/>
    <w:rsid w:val="000072F1"/>
    <w:rsid w:val="00007347"/>
    <w:rsid w:val="00007C4A"/>
    <w:rsid w:val="00007CAE"/>
    <w:rsid w:val="00010098"/>
    <w:rsid w:val="00010466"/>
    <w:rsid w:val="000104E1"/>
    <w:rsid w:val="0001067B"/>
    <w:rsid w:val="000107A5"/>
    <w:rsid w:val="00010DB5"/>
    <w:rsid w:val="0001291A"/>
    <w:rsid w:val="00012DB3"/>
    <w:rsid w:val="00013046"/>
    <w:rsid w:val="00013063"/>
    <w:rsid w:val="00013615"/>
    <w:rsid w:val="00013C26"/>
    <w:rsid w:val="00013E02"/>
    <w:rsid w:val="00013EC4"/>
    <w:rsid w:val="00014013"/>
    <w:rsid w:val="000141F8"/>
    <w:rsid w:val="00014595"/>
    <w:rsid w:val="000148A2"/>
    <w:rsid w:val="0001495C"/>
    <w:rsid w:val="000150BD"/>
    <w:rsid w:val="000151C6"/>
    <w:rsid w:val="000152A8"/>
    <w:rsid w:val="0001539B"/>
    <w:rsid w:val="0001540B"/>
    <w:rsid w:val="000155C2"/>
    <w:rsid w:val="000157B7"/>
    <w:rsid w:val="00015C11"/>
    <w:rsid w:val="00016B27"/>
    <w:rsid w:val="00016B62"/>
    <w:rsid w:val="0001706A"/>
    <w:rsid w:val="000170A9"/>
    <w:rsid w:val="00017F4B"/>
    <w:rsid w:val="000203FE"/>
    <w:rsid w:val="00020AE9"/>
    <w:rsid w:val="00020F82"/>
    <w:rsid w:val="0002106D"/>
    <w:rsid w:val="00021148"/>
    <w:rsid w:val="00021342"/>
    <w:rsid w:val="00021A58"/>
    <w:rsid w:val="000223BC"/>
    <w:rsid w:val="0002287B"/>
    <w:rsid w:val="0002326F"/>
    <w:rsid w:val="000232F7"/>
    <w:rsid w:val="0002353C"/>
    <w:rsid w:val="000235A0"/>
    <w:rsid w:val="00023675"/>
    <w:rsid w:val="00023933"/>
    <w:rsid w:val="00024457"/>
    <w:rsid w:val="000247CD"/>
    <w:rsid w:val="00024915"/>
    <w:rsid w:val="0002571A"/>
    <w:rsid w:val="00025A21"/>
    <w:rsid w:val="00025C0C"/>
    <w:rsid w:val="00025C7D"/>
    <w:rsid w:val="000260FB"/>
    <w:rsid w:val="000262BF"/>
    <w:rsid w:val="000263A9"/>
    <w:rsid w:val="000264FE"/>
    <w:rsid w:val="000266CE"/>
    <w:rsid w:val="00026A02"/>
    <w:rsid w:val="00027837"/>
    <w:rsid w:val="00027A49"/>
    <w:rsid w:val="0003004D"/>
    <w:rsid w:val="00030283"/>
    <w:rsid w:val="000302C0"/>
    <w:rsid w:val="00030B1A"/>
    <w:rsid w:val="00030C95"/>
    <w:rsid w:val="00031536"/>
    <w:rsid w:val="00031646"/>
    <w:rsid w:val="0003177A"/>
    <w:rsid w:val="00031F50"/>
    <w:rsid w:val="00031F62"/>
    <w:rsid w:val="000320EB"/>
    <w:rsid w:val="00032105"/>
    <w:rsid w:val="000321D5"/>
    <w:rsid w:val="000323EA"/>
    <w:rsid w:val="00032C85"/>
    <w:rsid w:val="0003316F"/>
    <w:rsid w:val="00033185"/>
    <w:rsid w:val="0003359B"/>
    <w:rsid w:val="000335CC"/>
    <w:rsid w:val="0003362F"/>
    <w:rsid w:val="00033A87"/>
    <w:rsid w:val="00033E47"/>
    <w:rsid w:val="00033E59"/>
    <w:rsid w:val="00034270"/>
    <w:rsid w:val="00034796"/>
    <w:rsid w:val="00034C1E"/>
    <w:rsid w:val="000353CD"/>
    <w:rsid w:val="00035DEC"/>
    <w:rsid w:val="0003632B"/>
    <w:rsid w:val="0003635B"/>
    <w:rsid w:val="000363FD"/>
    <w:rsid w:val="00036F1E"/>
    <w:rsid w:val="00037820"/>
    <w:rsid w:val="000400F3"/>
    <w:rsid w:val="00040808"/>
    <w:rsid w:val="00040A0A"/>
    <w:rsid w:val="00040E5C"/>
    <w:rsid w:val="00041150"/>
    <w:rsid w:val="00041167"/>
    <w:rsid w:val="000411C9"/>
    <w:rsid w:val="00041BC1"/>
    <w:rsid w:val="00041D8F"/>
    <w:rsid w:val="00042364"/>
    <w:rsid w:val="0004266C"/>
    <w:rsid w:val="00042AFC"/>
    <w:rsid w:val="000433D8"/>
    <w:rsid w:val="000439A7"/>
    <w:rsid w:val="00043C20"/>
    <w:rsid w:val="000442CE"/>
    <w:rsid w:val="00044360"/>
    <w:rsid w:val="0004439E"/>
    <w:rsid w:val="00044ABB"/>
    <w:rsid w:val="00044F75"/>
    <w:rsid w:val="0004539B"/>
    <w:rsid w:val="00045C62"/>
    <w:rsid w:val="00045C63"/>
    <w:rsid w:val="00045DCF"/>
    <w:rsid w:val="00045FCB"/>
    <w:rsid w:val="000460C4"/>
    <w:rsid w:val="0004636C"/>
    <w:rsid w:val="0004675A"/>
    <w:rsid w:val="00047466"/>
    <w:rsid w:val="00047AFA"/>
    <w:rsid w:val="00050A3E"/>
    <w:rsid w:val="00050AFF"/>
    <w:rsid w:val="00050CA0"/>
    <w:rsid w:val="00050E71"/>
    <w:rsid w:val="00050EC2"/>
    <w:rsid w:val="00051050"/>
    <w:rsid w:val="0005134F"/>
    <w:rsid w:val="0005135E"/>
    <w:rsid w:val="000519A7"/>
    <w:rsid w:val="00051B2B"/>
    <w:rsid w:val="00051EE1"/>
    <w:rsid w:val="000527C6"/>
    <w:rsid w:val="000529E4"/>
    <w:rsid w:val="00052B55"/>
    <w:rsid w:val="00053041"/>
    <w:rsid w:val="00053778"/>
    <w:rsid w:val="0005395F"/>
    <w:rsid w:val="00054130"/>
    <w:rsid w:val="0005420C"/>
    <w:rsid w:val="00054863"/>
    <w:rsid w:val="00054E45"/>
    <w:rsid w:val="00055411"/>
    <w:rsid w:val="00055614"/>
    <w:rsid w:val="00055A2C"/>
    <w:rsid w:val="00056023"/>
    <w:rsid w:val="00056F8F"/>
    <w:rsid w:val="000570EE"/>
    <w:rsid w:val="0005739B"/>
    <w:rsid w:val="00057514"/>
    <w:rsid w:val="00057815"/>
    <w:rsid w:val="00060093"/>
    <w:rsid w:val="0006047E"/>
    <w:rsid w:val="0006071E"/>
    <w:rsid w:val="00060962"/>
    <w:rsid w:val="00060A10"/>
    <w:rsid w:val="00060D51"/>
    <w:rsid w:val="00061160"/>
    <w:rsid w:val="00061169"/>
    <w:rsid w:val="00061758"/>
    <w:rsid w:val="000617DF"/>
    <w:rsid w:val="000619AB"/>
    <w:rsid w:val="00062A8C"/>
    <w:rsid w:val="00062AE2"/>
    <w:rsid w:val="00062BC0"/>
    <w:rsid w:val="00062EC8"/>
    <w:rsid w:val="0006314A"/>
    <w:rsid w:val="00063601"/>
    <w:rsid w:val="0006376E"/>
    <w:rsid w:val="00063833"/>
    <w:rsid w:val="00063FDB"/>
    <w:rsid w:val="00064173"/>
    <w:rsid w:val="000641E1"/>
    <w:rsid w:val="00064582"/>
    <w:rsid w:val="0006488A"/>
    <w:rsid w:val="00064D83"/>
    <w:rsid w:val="00064FE5"/>
    <w:rsid w:val="000657C5"/>
    <w:rsid w:val="00065E78"/>
    <w:rsid w:val="00066448"/>
    <w:rsid w:val="00067025"/>
    <w:rsid w:val="000676D4"/>
    <w:rsid w:val="00067941"/>
    <w:rsid w:val="000701BA"/>
    <w:rsid w:val="000705E6"/>
    <w:rsid w:val="000708AE"/>
    <w:rsid w:val="00070FC0"/>
    <w:rsid w:val="00071336"/>
    <w:rsid w:val="000719A5"/>
    <w:rsid w:val="00071BC7"/>
    <w:rsid w:val="00071DAB"/>
    <w:rsid w:val="000722F8"/>
    <w:rsid w:val="0007265F"/>
    <w:rsid w:val="00073360"/>
    <w:rsid w:val="0007367B"/>
    <w:rsid w:val="000739F5"/>
    <w:rsid w:val="00073C49"/>
    <w:rsid w:val="00073D9C"/>
    <w:rsid w:val="00073DB3"/>
    <w:rsid w:val="000745CE"/>
    <w:rsid w:val="00074C0F"/>
    <w:rsid w:val="00074C56"/>
    <w:rsid w:val="0007558A"/>
    <w:rsid w:val="00075779"/>
    <w:rsid w:val="00075DF6"/>
    <w:rsid w:val="0007608D"/>
    <w:rsid w:val="00076631"/>
    <w:rsid w:val="0007667D"/>
    <w:rsid w:val="00076AFF"/>
    <w:rsid w:val="000775AE"/>
    <w:rsid w:val="0007792C"/>
    <w:rsid w:val="00077B4B"/>
    <w:rsid w:val="00077B7D"/>
    <w:rsid w:val="00077DF1"/>
    <w:rsid w:val="00077E42"/>
    <w:rsid w:val="00077F0F"/>
    <w:rsid w:val="00080157"/>
    <w:rsid w:val="0008074F"/>
    <w:rsid w:val="000813E9"/>
    <w:rsid w:val="00081E4F"/>
    <w:rsid w:val="00081F74"/>
    <w:rsid w:val="00082852"/>
    <w:rsid w:val="00082D93"/>
    <w:rsid w:val="00082FB7"/>
    <w:rsid w:val="0008343C"/>
    <w:rsid w:val="00083AEA"/>
    <w:rsid w:val="00083BB5"/>
    <w:rsid w:val="00083C1D"/>
    <w:rsid w:val="00084000"/>
    <w:rsid w:val="000843C9"/>
    <w:rsid w:val="00084419"/>
    <w:rsid w:val="0008441D"/>
    <w:rsid w:val="00084464"/>
    <w:rsid w:val="00084943"/>
    <w:rsid w:val="0008509A"/>
    <w:rsid w:val="00085283"/>
    <w:rsid w:val="00085297"/>
    <w:rsid w:val="00085443"/>
    <w:rsid w:val="000865D7"/>
    <w:rsid w:val="00086ABF"/>
    <w:rsid w:val="00086D58"/>
    <w:rsid w:val="0008752D"/>
    <w:rsid w:val="0008798C"/>
    <w:rsid w:val="00087A3E"/>
    <w:rsid w:val="00087B20"/>
    <w:rsid w:val="00087B3A"/>
    <w:rsid w:val="00087C29"/>
    <w:rsid w:val="0009017C"/>
    <w:rsid w:val="000902CC"/>
    <w:rsid w:val="000903DB"/>
    <w:rsid w:val="0009054D"/>
    <w:rsid w:val="0009060F"/>
    <w:rsid w:val="00090865"/>
    <w:rsid w:val="00090A63"/>
    <w:rsid w:val="00090C49"/>
    <w:rsid w:val="00090F3F"/>
    <w:rsid w:val="00090FD3"/>
    <w:rsid w:val="00091462"/>
    <w:rsid w:val="00091D93"/>
    <w:rsid w:val="000923E9"/>
    <w:rsid w:val="00092A06"/>
    <w:rsid w:val="00093234"/>
    <w:rsid w:val="000935A8"/>
    <w:rsid w:val="000935E8"/>
    <w:rsid w:val="00093655"/>
    <w:rsid w:val="00093953"/>
    <w:rsid w:val="00093CE2"/>
    <w:rsid w:val="00093FAE"/>
    <w:rsid w:val="0009429B"/>
    <w:rsid w:val="000946D8"/>
    <w:rsid w:val="00094990"/>
    <w:rsid w:val="000949AA"/>
    <w:rsid w:val="00094AAF"/>
    <w:rsid w:val="00094C09"/>
    <w:rsid w:val="00095161"/>
    <w:rsid w:val="000954D9"/>
    <w:rsid w:val="000958F8"/>
    <w:rsid w:val="00095914"/>
    <w:rsid w:val="00095B53"/>
    <w:rsid w:val="00095DC4"/>
    <w:rsid w:val="00095DE2"/>
    <w:rsid w:val="00096035"/>
    <w:rsid w:val="0009606A"/>
    <w:rsid w:val="0009634B"/>
    <w:rsid w:val="000964A2"/>
    <w:rsid w:val="000967C5"/>
    <w:rsid w:val="0009687C"/>
    <w:rsid w:val="00097392"/>
    <w:rsid w:val="00097454"/>
    <w:rsid w:val="00097E28"/>
    <w:rsid w:val="00097FFE"/>
    <w:rsid w:val="000A024C"/>
    <w:rsid w:val="000A0632"/>
    <w:rsid w:val="000A0BD3"/>
    <w:rsid w:val="000A10EB"/>
    <w:rsid w:val="000A15C5"/>
    <w:rsid w:val="000A161D"/>
    <w:rsid w:val="000A1C44"/>
    <w:rsid w:val="000A2287"/>
    <w:rsid w:val="000A2408"/>
    <w:rsid w:val="000A263C"/>
    <w:rsid w:val="000A2EF8"/>
    <w:rsid w:val="000A2F71"/>
    <w:rsid w:val="000A2F9E"/>
    <w:rsid w:val="000A3282"/>
    <w:rsid w:val="000A344C"/>
    <w:rsid w:val="000A3D13"/>
    <w:rsid w:val="000A3F4D"/>
    <w:rsid w:val="000A43A4"/>
    <w:rsid w:val="000A44F7"/>
    <w:rsid w:val="000A4AC6"/>
    <w:rsid w:val="000A551F"/>
    <w:rsid w:val="000A5AB6"/>
    <w:rsid w:val="000A5CC8"/>
    <w:rsid w:val="000A5F64"/>
    <w:rsid w:val="000A6106"/>
    <w:rsid w:val="000A6819"/>
    <w:rsid w:val="000A6CEC"/>
    <w:rsid w:val="000A6E70"/>
    <w:rsid w:val="000A700C"/>
    <w:rsid w:val="000A7800"/>
    <w:rsid w:val="000A79D1"/>
    <w:rsid w:val="000A7A9C"/>
    <w:rsid w:val="000A7F66"/>
    <w:rsid w:val="000B00FB"/>
    <w:rsid w:val="000B0842"/>
    <w:rsid w:val="000B0BFA"/>
    <w:rsid w:val="000B1216"/>
    <w:rsid w:val="000B194A"/>
    <w:rsid w:val="000B1BC1"/>
    <w:rsid w:val="000B1E8C"/>
    <w:rsid w:val="000B2B5A"/>
    <w:rsid w:val="000B3002"/>
    <w:rsid w:val="000B3773"/>
    <w:rsid w:val="000B380C"/>
    <w:rsid w:val="000B393A"/>
    <w:rsid w:val="000B3964"/>
    <w:rsid w:val="000B3DED"/>
    <w:rsid w:val="000B42EC"/>
    <w:rsid w:val="000B444F"/>
    <w:rsid w:val="000B4594"/>
    <w:rsid w:val="000B45E5"/>
    <w:rsid w:val="000B46EA"/>
    <w:rsid w:val="000B48A9"/>
    <w:rsid w:val="000B4DDE"/>
    <w:rsid w:val="000B572D"/>
    <w:rsid w:val="000B5AC9"/>
    <w:rsid w:val="000B5B53"/>
    <w:rsid w:val="000B5BD6"/>
    <w:rsid w:val="000B5D70"/>
    <w:rsid w:val="000B5DB0"/>
    <w:rsid w:val="000B5F09"/>
    <w:rsid w:val="000B60B3"/>
    <w:rsid w:val="000B6230"/>
    <w:rsid w:val="000B6431"/>
    <w:rsid w:val="000B697D"/>
    <w:rsid w:val="000B6FE1"/>
    <w:rsid w:val="000B7639"/>
    <w:rsid w:val="000B7705"/>
    <w:rsid w:val="000B7709"/>
    <w:rsid w:val="000B771B"/>
    <w:rsid w:val="000C0124"/>
    <w:rsid w:val="000C0E6F"/>
    <w:rsid w:val="000C160D"/>
    <w:rsid w:val="000C1611"/>
    <w:rsid w:val="000C189E"/>
    <w:rsid w:val="000C1CDB"/>
    <w:rsid w:val="000C1EB8"/>
    <w:rsid w:val="000C2328"/>
    <w:rsid w:val="000C26D8"/>
    <w:rsid w:val="000C2852"/>
    <w:rsid w:val="000C29B5"/>
    <w:rsid w:val="000C3490"/>
    <w:rsid w:val="000C3C31"/>
    <w:rsid w:val="000C4289"/>
    <w:rsid w:val="000C4728"/>
    <w:rsid w:val="000C4C7A"/>
    <w:rsid w:val="000C55C9"/>
    <w:rsid w:val="000C5B00"/>
    <w:rsid w:val="000C62FD"/>
    <w:rsid w:val="000C6511"/>
    <w:rsid w:val="000C6608"/>
    <w:rsid w:val="000C6624"/>
    <w:rsid w:val="000C695F"/>
    <w:rsid w:val="000C7086"/>
    <w:rsid w:val="000C74FA"/>
    <w:rsid w:val="000C77C2"/>
    <w:rsid w:val="000C7A5D"/>
    <w:rsid w:val="000C7AAF"/>
    <w:rsid w:val="000C7D37"/>
    <w:rsid w:val="000C7F42"/>
    <w:rsid w:val="000C7FA2"/>
    <w:rsid w:val="000D029D"/>
    <w:rsid w:val="000D094E"/>
    <w:rsid w:val="000D099B"/>
    <w:rsid w:val="000D0AB6"/>
    <w:rsid w:val="000D0BCC"/>
    <w:rsid w:val="000D12CC"/>
    <w:rsid w:val="000D13B1"/>
    <w:rsid w:val="000D1F94"/>
    <w:rsid w:val="000D24AB"/>
    <w:rsid w:val="000D25BF"/>
    <w:rsid w:val="000D271B"/>
    <w:rsid w:val="000D27BB"/>
    <w:rsid w:val="000D2B72"/>
    <w:rsid w:val="000D2D7B"/>
    <w:rsid w:val="000D2E0D"/>
    <w:rsid w:val="000D30CA"/>
    <w:rsid w:val="000D32C3"/>
    <w:rsid w:val="000D331B"/>
    <w:rsid w:val="000D36F4"/>
    <w:rsid w:val="000D3769"/>
    <w:rsid w:val="000D3852"/>
    <w:rsid w:val="000D39E6"/>
    <w:rsid w:val="000D4125"/>
    <w:rsid w:val="000D44D5"/>
    <w:rsid w:val="000D47FA"/>
    <w:rsid w:val="000D4DED"/>
    <w:rsid w:val="000D501B"/>
    <w:rsid w:val="000D5033"/>
    <w:rsid w:val="000D58B1"/>
    <w:rsid w:val="000D6865"/>
    <w:rsid w:val="000D69A6"/>
    <w:rsid w:val="000D71C9"/>
    <w:rsid w:val="000D71E3"/>
    <w:rsid w:val="000D7488"/>
    <w:rsid w:val="000D7509"/>
    <w:rsid w:val="000D751E"/>
    <w:rsid w:val="000D79F7"/>
    <w:rsid w:val="000D7D34"/>
    <w:rsid w:val="000D7E4D"/>
    <w:rsid w:val="000E05A4"/>
    <w:rsid w:val="000E0BC3"/>
    <w:rsid w:val="000E0D85"/>
    <w:rsid w:val="000E17DE"/>
    <w:rsid w:val="000E1A1B"/>
    <w:rsid w:val="000E1F75"/>
    <w:rsid w:val="000E20DD"/>
    <w:rsid w:val="000E2AD6"/>
    <w:rsid w:val="000E2CB1"/>
    <w:rsid w:val="000E2CF7"/>
    <w:rsid w:val="000E2E7F"/>
    <w:rsid w:val="000E3095"/>
    <w:rsid w:val="000E325E"/>
    <w:rsid w:val="000E3283"/>
    <w:rsid w:val="000E334F"/>
    <w:rsid w:val="000E353A"/>
    <w:rsid w:val="000E35AE"/>
    <w:rsid w:val="000E363C"/>
    <w:rsid w:val="000E38C4"/>
    <w:rsid w:val="000E3BA3"/>
    <w:rsid w:val="000E3FCB"/>
    <w:rsid w:val="000E41A9"/>
    <w:rsid w:val="000E4216"/>
    <w:rsid w:val="000E426D"/>
    <w:rsid w:val="000E4364"/>
    <w:rsid w:val="000E4683"/>
    <w:rsid w:val="000E4DCC"/>
    <w:rsid w:val="000E4E92"/>
    <w:rsid w:val="000E52CC"/>
    <w:rsid w:val="000E61D2"/>
    <w:rsid w:val="000E658D"/>
    <w:rsid w:val="000E6697"/>
    <w:rsid w:val="000E6AEE"/>
    <w:rsid w:val="000E6C2F"/>
    <w:rsid w:val="000E7101"/>
    <w:rsid w:val="000E76A0"/>
    <w:rsid w:val="000E7986"/>
    <w:rsid w:val="000E7E4F"/>
    <w:rsid w:val="000F0248"/>
    <w:rsid w:val="000F02CB"/>
    <w:rsid w:val="000F03E0"/>
    <w:rsid w:val="000F05E1"/>
    <w:rsid w:val="000F0A20"/>
    <w:rsid w:val="000F0C2F"/>
    <w:rsid w:val="000F0C94"/>
    <w:rsid w:val="000F180A"/>
    <w:rsid w:val="000F22FF"/>
    <w:rsid w:val="000F2554"/>
    <w:rsid w:val="000F265A"/>
    <w:rsid w:val="000F26E1"/>
    <w:rsid w:val="000F2F49"/>
    <w:rsid w:val="000F3037"/>
    <w:rsid w:val="000F3104"/>
    <w:rsid w:val="000F34A9"/>
    <w:rsid w:val="000F3716"/>
    <w:rsid w:val="000F3BDF"/>
    <w:rsid w:val="000F3D51"/>
    <w:rsid w:val="000F3DF5"/>
    <w:rsid w:val="000F48E0"/>
    <w:rsid w:val="000F494D"/>
    <w:rsid w:val="000F55D2"/>
    <w:rsid w:val="000F59B3"/>
    <w:rsid w:val="000F5B4E"/>
    <w:rsid w:val="000F61E7"/>
    <w:rsid w:val="000F6382"/>
    <w:rsid w:val="000F65E7"/>
    <w:rsid w:val="000F668A"/>
    <w:rsid w:val="000F6C67"/>
    <w:rsid w:val="000F7158"/>
    <w:rsid w:val="000F7BB7"/>
    <w:rsid w:val="000F7F26"/>
    <w:rsid w:val="001002CF"/>
    <w:rsid w:val="00100AD0"/>
    <w:rsid w:val="00100AD9"/>
    <w:rsid w:val="00100C07"/>
    <w:rsid w:val="00100E68"/>
    <w:rsid w:val="001011E1"/>
    <w:rsid w:val="001011E7"/>
    <w:rsid w:val="0010130B"/>
    <w:rsid w:val="00101519"/>
    <w:rsid w:val="00101534"/>
    <w:rsid w:val="0010169B"/>
    <w:rsid w:val="001017D8"/>
    <w:rsid w:val="00101FD2"/>
    <w:rsid w:val="0010218A"/>
    <w:rsid w:val="00102224"/>
    <w:rsid w:val="00102685"/>
    <w:rsid w:val="00102749"/>
    <w:rsid w:val="00102AE8"/>
    <w:rsid w:val="00102D36"/>
    <w:rsid w:val="0010300A"/>
    <w:rsid w:val="001031B3"/>
    <w:rsid w:val="001031B7"/>
    <w:rsid w:val="001036A6"/>
    <w:rsid w:val="00103A87"/>
    <w:rsid w:val="00103DD6"/>
    <w:rsid w:val="00103E88"/>
    <w:rsid w:val="00103ED3"/>
    <w:rsid w:val="00103EEF"/>
    <w:rsid w:val="00103F98"/>
    <w:rsid w:val="001041A4"/>
    <w:rsid w:val="001048BA"/>
    <w:rsid w:val="0010497F"/>
    <w:rsid w:val="00104C98"/>
    <w:rsid w:val="00104DE5"/>
    <w:rsid w:val="00105016"/>
    <w:rsid w:val="0010526A"/>
    <w:rsid w:val="001055E6"/>
    <w:rsid w:val="0010587D"/>
    <w:rsid w:val="00105AB1"/>
    <w:rsid w:val="00105C2B"/>
    <w:rsid w:val="00106711"/>
    <w:rsid w:val="00106C75"/>
    <w:rsid w:val="00106CCD"/>
    <w:rsid w:val="0010721D"/>
    <w:rsid w:val="001072BE"/>
    <w:rsid w:val="00107852"/>
    <w:rsid w:val="00107902"/>
    <w:rsid w:val="00107FB9"/>
    <w:rsid w:val="0011056D"/>
    <w:rsid w:val="00110674"/>
    <w:rsid w:val="00110A2F"/>
    <w:rsid w:val="00110AF3"/>
    <w:rsid w:val="00110C75"/>
    <w:rsid w:val="0011113C"/>
    <w:rsid w:val="00111357"/>
    <w:rsid w:val="0011156B"/>
    <w:rsid w:val="001116E5"/>
    <w:rsid w:val="001118A8"/>
    <w:rsid w:val="00111F1F"/>
    <w:rsid w:val="0011227D"/>
    <w:rsid w:val="001126A8"/>
    <w:rsid w:val="001127A4"/>
    <w:rsid w:val="001128E0"/>
    <w:rsid w:val="001128FC"/>
    <w:rsid w:val="001136F7"/>
    <w:rsid w:val="0011390B"/>
    <w:rsid w:val="00113E4F"/>
    <w:rsid w:val="00113F61"/>
    <w:rsid w:val="001141DE"/>
    <w:rsid w:val="00114348"/>
    <w:rsid w:val="001143E9"/>
    <w:rsid w:val="0011467E"/>
    <w:rsid w:val="001146DB"/>
    <w:rsid w:val="00114BD0"/>
    <w:rsid w:val="00114CA2"/>
    <w:rsid w:val="00115037"/>
    <w:rsid w:val="00115723"/>
    <w:rsid w:val="001158A2"/>
    <w:rsid w:val="001160A0"/>
    <w:rsid w:val="0011628F"/>
    <w:rsid w:val="001168FB"/>
    <w:rsid w:val="00116C60"/>
    <w:rsid w:val="00116CBD"/>
    <w:rsid w:val="00117245"/>
    <w:rsid w:val="0011743F"/>
    <w:rsid w:val="00117A4A"/>
    <w:rsid w:val="00117B56"/>
    <w:rsid w:val="00117B6F"/>
    <w:rsid w:val="00117C54"/>
    <w:rsid w:val="00117F62"/>
    <w:rsid w:val="0012007F"/>
    <w:rsid w:val="001201FB"/>
    <w:rsid w:val="00120249"/>
    <w:rsid w:val="0012045C"/>
    <w:rsid w:val="001204EE"/>
    <w:rsid w:val="00120654"/>
    <w:rsid w:val="001206FC"/>
    <w:rsid w:val="00120A14"/>
    <w:rsid w:val="00120E8F"/>
    <w:rsid w:val="00120EA7"/>
    <w:rsid w:val="00120EDB"/>
    <w:rsid w:val="00120F4B"/>
    <w:rsid w:val="0012136D"/>
    <w:rsid w:val="00121675"/>
    <w:rsid w:val="001216ED"/>
    <w:rsid w:val="00121D61"/>
    <w:rsid w:val="001223FA"/>
    <w:rsid w:val="00122629"/>
    <w:rsid w:val="001226C2"/>
    <w:rsid w:val="001229B1"/>
    <w:rsid w:val="00122C4F"/>
    <w:rsid w:val="00122FBE"/>
    <w:rsid w:val="00123510"/>
    <w:rsid w:val="001235E1"/>
    <w:rsid w:val="001239DC"/>
    <w:rsid w:val="001239F4"/>
    <w:rsid w:val="00123C45"/>
    <w:rsid w:val="00123D2C"/>
    <w:rsid w:val="00123E03"/>
    <w:rsid w:val="00124221"/>
    <w:rsid w:val="0012473C"/>
    <w:rsid w:val="00124B07"/>
    <w:rsid w:val="00124BCC"/>
    <w:rsid w:val="00124FC9"/>
    <w:rsid w:val="001250FD"/>
    <w:rsid w:val="00125331"/>
    <w:rsid w:val="00125551"/>
    <w:rsid w:val="0012558D"/>
    <w:rsid w:val="00125C69"/>
    <w:rsid w:val="001263EB"/>
    <w:rsid w:val="0012681B"/>
    <w:rsid w:val="00126933"/>
    <w:rsid w:val="00126E97"/>
    <w:rsid w:val="00126EFE"/>
    <w:rsid w:val="00127103"/>
    <w:rsid w:val="001273CB"/>
    <w:rsid w:val="00127748"/>
    <w:rsid w:val="00127B3D"/>
    <w:rsid w:val="00127E59"/>
    <w:rsid w:val="001300DC"/>
    <w:rsid w:val="001302AE"/>
    <w:rsid w:val="001306FC"/>
    <w:rsid w:val="00130820"/>
    <w:rsid w:val="00130EAA"/>
    <w:rsid w:val="00130FC6"/>
    <w:rsid w:val="001312C9"/>
    <w:rsid w:val="00131311"/>
    <w:rsid w:val="0013144C"/>
    <w:rsid w:val="0013154C"/>
    <w:rsid w:val="001316E4"/>
    <w:rsid w:val="001316F1"/>
    <w:rsid w:val="0013204A"/>
    <w:rsid w:val="00132875"/>
    <w:rsid w:val="001329D5"/>
    <w:rsid w:val="00132A98"/>
    <w:rsid w:val="00132BAD"/>
    <w:rsid w:val="0013334F"/>
    <w:rsid w:val="00133490"/>
    <w:rsid w:val="00134B7A"/>
    <w:rsid w:val="00134EAA"/>
    <w:rsid w:val="00135CC1"/>
    <w:rsid w:val="00135EF2"/>
    <w:rsid w:val="001361E1"/>
    <w:rsid w:val="00136487"/>
    <w:rsid w:val="001365E1"/>
    <w:rsid w:val="0013679B"/>
    <w:rsid w:val="0013687B"/>
    <w:rsid w:val="00136A61"/>
    <w:rsid w:val="00136E74"/>
    <w:rsid w:val="001371BA"/>
    <w:rsid w:val="00137347"/>
    <w:rsid w:val="0013754B"/>
    <w:rsid w:val="00137611"/>
    <w:rsid w:val="0013770B"/>
    <w:rsid w:val="00137A36"/>
    <w:rsid w:val="00137C26"/>
    <w:rsid w:val="00137C2E"/>
    <w:rsid w:val="00140307"/>
    <w:rsid w:val="0014059F"/>
    <w:rsid w:val="001407A0"/>
    <w:rsid w:val="00140D45"/>
    <w:rsid w:val="00141037"/>
    <w:rsid w:val="001414A3"/>
    <w:rsid w:val="001415A6"/>
    <w:rsid w:val="001416DF"/>
    <w:rsid w:val="00142212"/>
    <w:rsid w:val="001422FF"/>
    <w:rsid w:val="0014233F"/>
    <w:rsid w:val="00143263"/>
    <w:rsid w:val="00143396"/>
    <w:rsid w:val="00143B6E"/>
    <w:rsid w:val="00143CB4"/>
    <w:rsid w:val="00143D0D"/>
    <w:rsid w:val="00143DEC"/>
    <w:rsid w:val="00143E4D"/>
    <w:rsid w:val="00143E64"/>
    <w:rsid w:val="001449DF"/>
    <w:rsid w:val="00144D5C"/>
    <w:rsid w:val="00145AB1"/>
    <w:rsid w:val="00145CF9"/>
    <w:rsid w:val="0014619D"/>
    <w:rsid w:val="00146202"/>
    <w:rsid w:val="0014688F"/>
    <w:rsid w:val="00146993"/>
    <w:rsid w:val="00146AFC"/>
    <w:rsid w:val="00146C5F"/>
    <w:rsid w:val="001473F6"/>
    <w:rsid w:val="00147456"/>
    <w:rsid w:val="00147CA9"/>
    <w:rsid w:val="00147F6D"/>
    <w:rsid w:val="00147F79"/>
    <w:rsid w:val="0015002B"/>
    <w:rsid w:val="00150215"/>
    <w:rsid w:val="001502AE"/>
    <w:rsid w:val="001504CA"/>
    <w:rsid w:val="00150B9F"/>
    <w:rsid w:val="00150BC8"/>
    <w:rsid w:val="00150D74"/>
    <w:rsid w:val="00150FB5"/>
    <w:rsid w:val="00150FBA"/>
    <w:rsid w:val="00151664"/>
    <w:rsid w:val="001522F3"/>
    <w:rsid w:val="001524DF"/>
    <w:rsid w:val="0015263D"/>
    <w:rsid w:val="00152DBB"/>
    <w:rsid w:val="00152DDD"/>
    <w:rsid w:val="00152F97"/>
    <w:rsid w:val="00153240"/>
    <w:rsid w:val="001535AA"/>
    <w:rsid w:val="001539DF"/>
    <w:rsid w:val="00153A2E"/>
    <w:rsid w:val="00153B22"/>
    <w:rsid w:val="00153CED"/>
    <w:rsid w:val="001540C2"/>
    <w:rsid w:val="00154172"/>
    <w:rsid w:val="0015437A"/>
    <w:rsid w:val="001547E1"/>
    <w:rsid w:val="00154F12"/>
    <w:rsid w:val="00155274"/>
    <w:rsid w:val="00155915"/>
    <w:rsid w:val="00155D82"/>
    <w:rsid w:val="0015683C"/>
    <w:rsid w:val="00156D10"/>
    <w:rsid w:val="001571FF"/>
    <w:rsid w:val="0015721D"/>
    <w:rsid w:val="00157224"/>
    <w:rsid w:val="0015741E"/>
    <w:rsid w:val="001579E6"/>
    <w:rsid w:val="00157AEB"/>
    <w:rsid w:val="00157F93"/>
    <w:rsid w:val="001601D0"/>
    <w:rsid w:val="00160378"/>
    <w:rsid w:val="001603D6"/>
    <w:rsid w:val="0016169C"/>
    <w:rsid w:val="001617DC"/>
    <w:rsid w:val="001617E5"/>
    <w:rsid w:val="00161891"/>
    <w:rsid w:val="00161AF9"/>
    <w:rsid w:val="00161C02"/>
    <w:rsid w:val="0016213E"/>
    <w:rsid w:val="001621B3"/>
    <w:rsid w:val="00162248"/>
    <w:rsid w:val="001629CA"/>
    <w:rsid w:val="00162B64"/>
    <w:rsid w:val="0016305C"/>
    <w:rsid w:val="001631E3"/>
    <w:rsid w:val="0016353A"/>
    <w:rsid w:val="00163E82"/>
    <w:rsid w:val="00163FD6"/>
    <w:rsid w:val="0016412E"/>
    <w:rsid w:val="001642C0"/>
    <w:rsid w:val="001642D5"/>
    <w:rsid w:val="00164819"/>
    <w:rsid w:val="00164872"/>
    <w:rsid w:val="00164961"/>
    <w:rsid w:val="00164C0A"/>
    <w:rsid w:val="00164F12"/>
    <w:rsid w:val="00165085"/>
    <w:rsid w:val="00165427"/>
    <w:rsid w:val="0016561E"/>
    <w:rsid w:val="00165A48"/>
    <w:rsid w:val="00165B92"/>
    <w:rsid w:val="00166260"/>
    <w:rsid w:val="0016681E"/>
    <w:rsid w:val="00166A56"/>
    <w:rsid w:val="00166ADE"/>
    <w:rsid w:val="00167243"/>
    <w:rsid w:val="001674C0"/>
    <w:rsid w:val="0016750F"/>
    <w:rsid w:val="00167F39"/>
    <w:rsid w:val="001702DD"/>
    <w:rsid w:val="00170494"/>
    <w:rsid w:val="00170A0B"/>
    <w:rsid w:val="00170BDE"/>
    <w:rsid w:val="001711CC"/>
    <w:rsid w:val="0017137C"/>
    <w:rsid w:val="00171503"/>
    <w:rsid w:val="001718D9"/>
    <w:rsid w:val="00171AD6"/>
    <w:rsid w:val="00171E82"/>
    <w:rsid w:val="00171F50"/>
    <w:rsid w:val="001721EC"/>
    <w:rsid w:val="00172414"/>
    <w:rsid w:val="00172746"/>
    <w:rsid w:val="00172979"/>
    <w:rsid w:val="00172F16"/>
    <w:rsid w:val="00173179"/>
    <w:rsid w:val="00173A1D"/>
    <w:rsid w:val="00173DD1"/>
    <w:rsid w:val="00174312"/>
    <w:rsid w:val="001749C7"/>
    <w:rsid w:val="00174FE3"/>
    <w:rsid w:val="00175220"/>
    <w:rsid w:val="0017535F"/>
    <w:rsid w:val="001753C3"/>
    <w:rsid w:val="001758E1"/>
    <w:rsid w:val="00175A7E"/>
    <w:rsid w:val="00175E8E"/>
    <w:rsid w:val="00176100"/>
    <w:rsid w:val="00176402"/>
    <w:rsid w:val="00176469"/>
    <w:rsid w:val="001767F3"/>
    <w:rsid w:val="00176B30"/>
    <w:rsid w:val="00176E12"/>
    <w:rsid w:val="00177780"/>
    <w:rsid w:val="0017785C"/>
    <w:rsid w:val="00177B46"/>
    <w:rsid w:val="00177DB2"/>
    <w:rsid w:val="0018002C"/>
    <w:rsid w:val="00180EA4"/>
    <w:rsid w:val="00181451"/>
    <w:rsid w:val="00181F73"/>
    <w:rsid w:val="00181F94"/>
    <w:rsid w:val="00181FC7"/>
    <w:rsid w:val="00182253"/>
    <w:rsid w:val="001826B1"/>
    <w:rsid w:val="00182860"/>
    <w:rsid w:val="00182930"/>
    <w:rsid w:val="00182E44"/>
    <w:rsid w:val="0018328F"/>
    <w:rsid w:val="00183325"/>
    <w:rsid w:val="0018370A"/>
    <w:rsid w:val="00183754"/>
    <w:rsid w:val="00183B36"/>
    <w:rsid w:val="00183B89"/>
    <w:rsid w:val="001840AD"/>
    <w:rsid w:val="00184268"/>
    <w:rsid w:val="00184384"/>
    <w:rsid w:val="001843EA"/>
    <w:rsid w:val="00184BCB"/>
    <w:rsid w:val="00184F7D"/>
    <w:rsid w:val="001852A9"/>
    <w:rsid w:val="00185455"/>
    <w:rsid w:val="00185DF2"/>
    <w:rsid w:val="00186AC5"/>
    <w:rsid w:val="00186F26"/>
    <w:rsid w:val="00186F53"/>
    <w:rsid w:val="00186FCD"/>
    <w:rsid w:val="00187208"/>
    <w:rsid w:val="0018721E"/>
    <w:rsid w:val="00187254"/>
    <w:rsid w:val="0018754D"/>
    <w:rsid w:val="00187564"/>
    <w:rsid w:val="00190095"/>
    <w:rsid w:val="001900B1"/>
    <w:rsid w:val="001905C0"/>
    <w:rsid w:val="00190B67"/>
    <w:rsid w:val="00190BBE"/>
    <w:rsid w:val="00190BDA"/>
    <w:rsid w:val="00190D9C"/>
    <w:rsid w:val="00191284"/>
    <w:rsid w:val="00191329"/>
    <w:rsid w:val="00191445"/>
    <w:rsid w:val="00191712"/>
    <w:rsid w:val="0019190A"/>
    <w:rsid w:val="00191C4E"/>
    <w:rsid w:val="00192133"/>
    <w:rsid w:val="0019265A"/>
    <w:rsid w:val="00192934"/>
    <w:rsid w:val="001931C4"/>
    <w:rsid w:val="00193652"/>
    <w:rsid w:val="001937A3"/>
    <w:rsid w:val="001938A4"/>
    <w:rsid w:val="001942B6"/>
    <w:rsid w:val="001946DE"/>
    <w:rsid w:val="00194AAF"/>
    <w:rsid w:val="001957C6"/>
    <w:rsid w:val="001957C8"/>
    <w:rsid w:val="00195920"/>
    <w:rsid w:val="001959D7"/>
    <w:rsid w:val="00195F15"/>
    <w:rsid w:val="001960DA"/>
    <w:rsid w:val="00196B97"/>
    <w:rsid w:val="00196EE5"/>
    <w:rsid w:val="00197000"/>
    <w:rsid w:val="0019721F"/>
    <w:rsid w:val="00197FE9"/>
    <w:rsid w:val="001A021B"/>
    <w:rsid w:val="001A0DD9"/>
    <w:rsid w:val="001A1538"/>
    <w:rsid w:val="001A1942"/>
    <w:rsid w:val="001A2474"/>
    <w:rsid w:val="001A2665"/>
    <w:rsid w:val="001A277D"/>
    <w:rsid w:val="001A3250"/>
    <w:rsid w:val="001A332C"/>
    <w:rsid w:val="001A3504"/>
    <w:rsid w:val="001A3A5F"/>
    <w:rsid w:val="001A3F9A"/>
    <w:rsid w:val="001A4082"/>
    <w:rsid w:val="001A41AC"/>
    <w:rsid w:val="001A45EE"/>
    <w:rsid w:val="001A52B2"/>
    <w:rsid w:val="001A5C66"/>
    <w:rsid w:val="001A5D20"/>
    <w:rsid w:val="001A604A"/>
    <w:rsid w:val="001A73A4"/>
    <w:rsid w:val="001A77F6"/>
    <w:rsid w:val="001B08DC"/>
    <w:rsid w:val="001B09CA"/>
    <w:rsid w:val="001B0F84"/>
    <w:rsid w:val="001B1497"/>
    <w:rsid w:val="001B15F6"/>
    <w:rsid w:val="001B1C4A"/>
    <w:rsid w:val="001B1D26"/>
    <w:rsid w:val="001B22E6"/>
    <w:rsid w:val="001B26A4"/>
    <w:rsid w:val="001B26CD"/>
    <w:rsid w:val="001B28D2"/>
    <w:rsid w:val="001B2E2C"/>
    <w:rsid w:val="001B2F11"/>
    <w:rsid w:val="001B3038"/>
    <w:rsid w:val="001B332A"/>
    <w:rsid w:val="001B3436"/>
    <w:rsid w:val="001B36E3"/>
    <w:rsid w:val="001B3D0C"/>
    <w:rsid w:val="001B4C5E"/>
    <w:rsid w:val="001B5156"/>
    <w:rsid w:val="001B523A"/>
    <w:rsid w:val="001B54C5"/>
    <w:rsid w:val="001B5940"/>
    <w:rsid w:val="001B5E36"/>
    <w:rsid w:val="001B60FB"/>
    <w:rsid w:val="001B6109"/>
    <w:rsid w:val="001B6A1E"/>
    <w:rsid w:val="001B7012"/>
    <w:rsid w:val="001B7AEB"/>
    <w:rsid w:val="001C08EB"/>
    <w:rsid w:val="001C0F3C"/>
    <w:rsid w:val="001C10C6"/>
    <w:rsid w:val="001C11DD"/>
    <w:rsid w:val="001C1419"/>
    <w:rsid w:val="001C1747"/>
    <w:rsid w:val="001C181C"/>
    <w:rsid w:val="001C1BD5"/>
    <w:rsid w:val="001C2A4B"/>
    <w:rsid w:val="001C2C4F"/>
    <w:rsid w:val="001C2C99"/>
    <w:rsid w:val="001C3642"/>
    <w:rsid w:val="001C3851"/>
    <w:rsid w:val="001C3D43"/>
    <w:rsid w:val="001C42F0"/>
    <w:rsid w:val="001C47A1"/>
    <w:rsid w:val="001C4863"/>
    <w:rsid w:val="001C49E3"/>
    <w:rsid w:val="001C5898"/>
    <w:rsid w:val="001C59EF"/>
    <w:rsid w:val="001C5E87"/>
    <w:rsid w:val="001C6080"/>
    <w:rsid w:val="001C654A"/>
    <w:rsid w:val="001C69E1"/>
    <w:rsid w:val="001C6D0F"/>
    <w:rsid w:val="001C7217"/>
    <w:rsid w:val="001C795F"/>
    <w:rsid w:val="001D01DA"/>
    <w:rsid w:val="001D01E0"/>
    <w:rsid w:val="001D04B3"/>
    <w:rsid w:val="001D07EF"/>
    <w:rsid w:val="001D0C8C"/>
    <w:rsid w:val="001D0D8E"/>
    <w:rsid w:val="001D105C"/>
    <w:rsid w:val="001D10FB"/>
    <w:rsid w:val="001D11D4"/>
    <w:rsid w:val="001D11ED"/>
    <w:rsid w:val="001D176C"/>
    <w:rsid w:val="001D1CED"/>
    <w:rsid w:val="001D1D8A"/>
    <w:rsid w:val="001D1E1B"/>
    <w:rsid w:val="001D22F7"/>
    <w:rsid w:val="001D29F0"/>
    <w:rsid w:val="001D2F1E"/>
    <w:rsid w:val="001D3038"/>
    <w:rsid w:val="001D3569"/>
    <w:rsid w:val="001D370C"/>
    <w:rsid w:val="001D3841"/>
    <w:rsid w:val="001D3A14"/>
    <w:rsid w:val="001D3DEB"/>
    <w:rsid w:val="001D3EBA"/>
    <w:rsid w:val="001D41B1"/>
    <w:rsid w:val="001D45B7"/>
    <w:rsid w:val="001D469F"/>
    <w:rsid w:val="001D4C7E"/>
    <w:rsid w:val="001D4F2A"/>
    <w:rsid w:val="001D52E5"/>
    <w:rsid w:val="001D5BBA"/>
    <w:rsid w:val="001D6366"/>
    <w:rsid w:val="001D6B91"/>
    <w:rsid w:val="001D6FE4"/>
    <w:rsid w:val="001D735C"/>
    <w:rsid w:val="001D7684"/>
    <w:rsid w:val="001D7B51"/>
    <w:rsid w:val="001D7E33"/>
    <w:rsid w:val="001E0457"/>
    <w:rsid w:val="001E056A"/>
    <w:rsid w:val="001E0757"/>
    <w:rsid w:val="001E13FB"/>
    <w:rsid w:val="001E24D2"/>
    <w:rsid w:val="001E26A9"/>
    <w:rsid w:val="001E2A0B"/>
    <w:rsid w:val="001E2CCD"/>
    <w:rsid w:val="001E3271"/>
    <w:rsid w:val="001E32C6"/>
    <w:rsid w:val="001E338B"/>
    <w:rsid w:val="001E3B25"/>
    <w:rsid w:val="001E3BD4"/>
    <w:rsid w:val="001E4055"/>
    <w:rsid w:val="001E4547"/>
    <w:rsid w:val="001E4FCD"/>
    <w:rsid w:val="001E55A2"/>
    <w:rsid w:val="001E5619"/>
    <w:rsid w:val="001E5708"/>
    <w:rsid w:val="001E57FC"/>
    <w:rsid w:val="001E5BA6"/>
    <w:rsid w:val="001E5E54"/>
    <w:rsid w:val="001E6292"/>
    <w:rsid w:val="001E643F"/>
    <w:rsid w:val="001E6A84"/>
    <w:rsid w:val="001E7059"/>
    <w:rsid w:val="001E7166"/>
    <w:rsid w:val="001E71EC"/>
    <w:rsid w:val="001E730E"/>
    <w:rsid w:val="001E739D"/>
    <w:rsid w:val="001E742E"/>
    <w:rsid w:val="001E7632"/>
    <w:rsid w:val="001E78C1"/>
    <w:rsid w:val="001E7A1C"/>
    <w:rsid w:val="001E7B8F"/>
    <w:rsid w:val="001E7E8B"/>
    <w:rsid w:val="001E7F63"/>
    <w:rsid w:val="001F0064"/>
    <w:rsid w:val="001F02F1"/>
    <w:rsid w:val="001F0525"/>
    <w:rsid w:val="001F05AB"/>
    <w:rsid w:val="001F0996"/>
    <w:rsid w:val="001F09F2"/>
    <w:rsid w:val="001F0D0F"/>
    <w:rsid w:val="001F0F10"/>
    <w:rsid w:val="001F1071"/>
    <w:rsid w:val="001F13F7"/>
    <w:rsid w:val="001F17DB"/>
    <w:rsid w:val="001F1B6A"/>
    <w:rsid w:val="001F278D"/>
    <w:rsid w:val="001F2BD5"/>
    <w:rsid w:val="001F2F82"/>
    <w:rsid w:val="001F3321"/>
    <w:rsid w:val="001F3870"/>
    <w:rsid w:val="001F3B44"/>
    <w:rsid w:val="001F4484"/>
    <w:rsid w:val="001F4664"/>
    <w:rsid w:val="001F48D2"/>
    <w:rsid w:val="001F495C"/>
    <w:rsid w:val="001F4A51"/>
    <w:rsid w:val="001F4BD7"/>
    <w:rsid w:val="001F5566"/>
    <w:rsid w:val="001F57DC"/>
    <w:rsid w:val="001F597A"/>
    <w:rsid w:val="001F5AA1"/>
    <w:rsid w:val="001F5B83"/>
    <w:rsid w:val="001F652C"/>
    <w:rsid w:val="001F6597"/>
    <w:rsid w:val="001F6B09"/>
    <w:rsid w:val="001F72C1"/>
    <w:rsid w:val="001F75A8"/>
    <w:rsid w:val="002001B2"/>
    <w:rsid w:val="00200272"/>
    <w:rsid w:val="002002F2"/>
    <w:rsid w:val="0020045A"/>
    <w:rsid w:val="00200792"/>
    <w:rsid w:val="00200C9E"/>
    <w:rsid w:val="00200D1D"/>
    <w:rsid w:val="00200E09"/>
    <w:rsid w:val="00200F34"/>
    <w:rsid w:val="0020130B"/>
    <w:rsid w:val="00201352"/>
    <w:rsid w:val="0020160A"/>
    <w:rsid w:val="00201851"/>
    <w:rsid w:val="00201AF5"/>
    <w:rsid w:val="00201B92"/>
    <w:rsid w:val="00201EF4"/>
    <w:rsid w:val="00202244"/>
    <w:rsid w:val="002024E9"/>
    <w:rsid w:val="002025B2"/>
    <w:rsid w:val="00202754"/>
    <w:rsid w:val="002028B9"/>
    <w:rsid w:val="00202E63"/>
    <w:rsid w:val="00202E7C"/>
    <w:rsid w:val="002031E2"/>
    <w:rsid w:val="00203279"/>
    <w:rsid w:val="002034FF"/>
    <w:rsid w:val="00203658"/>
    <w:rsid w:val="002037DD"/>
    <w:rsid w:val="00204316"/>
    <w:rsid w:val="00204534"/>
    <w:rsid w:val="00204628"/>
    <w:rsid w:val="00204921"/>
    <w:rsid w:val="0020506A"/>
    <w:rsid w:val="002052CB"/>
    <w:rsid w:val="0020578A"/>
    <w:rsid w:val="00205871"/>
    <w:rsid w:val="00205B0C"/>
    <w:rsid w:val="00205D5C"/>
    <w:rsid w:val="00206350"/>
    <w:rsid w:val="00206DCB"/>
    <w:rsid w:val="002105D1"/>
    <w:rsid w:val="002106E1"/>
    <w:rsid w:val="00210801"/>
    <w:rsid w:val="00210A27"/>
    <w:rsid w:val="00211073"/>
    <w:rsid w:val="0021125D"/>
    <w:rsid w:val="002114CA"/>
    <w:rsid w:val="002116A2"/>
    <w:rsid w:val="00212A33"/>
    <w:rsid w:val="00212D7A"/>
    <w:rsid w:val="00213686"/>
    <w:rsid w:val="00213F54"/>
    <w:rsid w:val="002148EB"/>
    <w:rsid w:val="00214B0C"/>
    <w:rsid w:val="00215026"/>
    <w:rsid w:val="00215250"/>
    <w:rsid w:val="0021540C"/>
    <w:rsid w:val="0021593F"/>
    <w:rsid w:val="00215943"/>
    <w:rsid w:val="00215B17"/>
    <w:rsid w:val="00215C15"/>
    <w:rsid w:val="002163F4"/>
    <w:rsid w:val="002168EA"/>
    <w:rsid w:val="00216962"/>
    <w:rsid w:val="00216E20"/>
    <w:rsid w:val="00216EF2"/>
    <w:rsid w:val="00217BA1"/>
    <w:rsid w:val="0022009C"/>
    <w:rsid w:val="002200AD"/>
    <w:rsid w:val="002203AE"/>
    <w:rsid w:val="002204A4"/>
    <w:rsid w:val="00220976"/>
    <w:rsid w:val="00220BA7"/>
    <w:rsid w:val="00220DE1"/>
    <w:rsid w:val="00221732"/>
    <w:rsid w:val="00221A92"/>
    <w:rsid w:val="00221DCA"/>
    <w:rsid w:val="00221E02"/>
    <w:rsid w:val="002227B4"/>
    <w:rsid w:val="00222B09"/>
    <w:rsid w:val="00223036"/>
    <w:rsid w:val="00223AB3"/>
    <w:rsid w:val="00223F9C"/>
    <w:rsid w:val="00224546"/>
    <w:rsid w:val="00224606"/>
    <w:rsid w:val="002247DF"/>
    <w:rsid w:val="00225056"/>
    <w:rsid w:val="00225217"/>
    <w:rsid w:val="0022528E"/>
    <w:rsid w:val="002255C6"/>
    <w:rsid w:val="002256F7"/>
    <w:rsid w:val="002261AE"/>
    <w:rsid w:val="00226410"/>
    <w:rsid w:val="00226495"/>
    <w:rsid w:val="002265BE"/>
    <w:rsid w:val="002266BC"/>
    <w:rsid w:val="00226776"/>
    <w:rsid w:val="00226B31"/>
    <w:rsid w:val="002272ED"/>
    <w:rsid w:val="0022743B"/>
    <w:rsid w:val="002275C2"/>
    <w:rsid w:val="002276F5"/>
    <w:rsid w:val="002277D2"/>
    <w:rsid w:val="002277E4"/>
    <w:rsid w:val="00227C2C"/>
    <w:rsid w:val="00227DAF"/>
    <w:rsid w:val="002302F7"/>
    <w:rsid w:val="002302F9"/>
    <w:rsid w:val="0023051E"/>
    <w:rsid w:val="002307B9"/>
    <w:rsid w:val="00231315"/>
    <w:rsid w:val="00231799"/>
    <w:rsid w:val="0023220D"/>
    <w:rsid w:val="002324A0"/>
    <w:rsid w:val="0023287D"/>
    <w:rsid w:val="002329C2"/>
    <w:rsid w:val="00232BD9"/>
    <w:rsid w:val="00232DE0"/>
    <w:rsid w:val="0023311E"/>
    <w:rsid w:val="002332F2"/>
    <w:rsid w:val="00233346"/>
    <w:rsid w:val="00233A07"/>
    <w:rsid w:val="002342B7"/>
    <w:rsid w:val="00234489"/>
    <w:rsid w:val="00234644"/>
    <w:rsid w:val="002348DC"/>
    <w:rsid w:val="00235167"/>
    <w:rsid w:val="00235279"/>
    <w:rsid w:val="0023538B"/>
    <w:rsid w:val="0023539B"/>
    <w:rsid w:val="002357C4"/>
    <w:rsid w:val="00235F3E"/>
    <w:rsid w:val="00236353"/>
    <w:rsid w:val="002363B5"/>
    <w:rsid w:val="00236684"/>
    <w:rsid w:val="002369BE"/>
    <w:rsid w:val="002369D8"/>
    <w:rsid w:val="00236B13"/>
    <w:rsid w:val="00236B7D"/>
    <w:rsid w:val="002374D7"/>
    <w:rsid w:val="00237896"/>
    <w:rsid w:val="002403DB"/>
    <w:rsid w:val="0024050D"/>
    <w:rsid w:val="002406D6"/>
    <w:rsid w:val="00240752"/>
    <w:rsid w:val="00240DAF"/>
    <w:rsid w:val="00240E5A"/>
    <w:rsid w:val="00241255"/>
    <w:rsid w:val="0024164C"/>
    <w:rsid w:val="0024168A"/>
    <w:rsid w:val="0024190F"/>
    <w:rsid w:val="002420FF"/>
    <w:rsid w:val="002422FD"/>
    <w:rsid w:val="002423FD"/>
    <w:rsid w:val="002424FE"/>
    <w:rsid w:val="002426F4"/>
    <w:rsid w:val="00242D65"/>
    <w:rsid w:val="00243105"/>
    <w:rsid w:val="002432E8"/>
    <w:rsid w:val="002436C7"/>
    <w:rsid w:val="00243C72"/>
    <w:rsid w:val="00243F2B"/>
    <w:rsid w:val="002446B5"/>
    <w:rsid w:val="00245C45"/>
    <w:rsid w:val="00245DAE"/>
    <w:rsid w:val="0024630C"/>
    <w:rsid w:val="00246749"/>
    <w:rsid w:val="00246BDB"/>
    <w:rsid w:val="00247FE6"/>
    <w:rsid w:val="00250035"/>
    <w:rsid w:val="002504A7"/>
    <w:rsid w:val="0025054B"/>
    <w:rsid w:val="0025072E"/>
    <w:rsid w:val="002507D5"/>
    <w:rsid w:val="00250D86"/>
    <w:rsid w:val="00251132"/>
    <w:rsid w:val="00251351"/>
    <w:rsid w:val="00251826"/>
    <w:rsid w:val="00251B6D"/>
    <w:rsid w:val="00251DAB"/>
    <w:rsid w:val="00251F74"/>
    <w:rsid w:val="00252101"/>
    <w:rsid w:val="002522C2"/>
    <w:rsid w:val="002523D2"/>
    <w:rsid w:val="00252527"/>
    <w:rsid w:val="00252B5E"/>
    <w:rsid w:val="00252BA5"/>
    <w:rsid w:val="00252BC4"/>
    <w:rsid w:val="0025303C"/>
    <w:rsid w:val="002532CD"/>
    <w:rsid w:val="002537E4"/>
    <w:rsid w:val="00253A56"/>
    <w:rsid w:val="00253AB7"/>
    <w:rsid w:val="00253E4C"/>
    <w:rsid w:val="0025419D"/>
    <w:rsid w:val="00254286"/>
    <w:rsid w:val="002542F6"/>
    <w:rsid w:val="00254A92"/>
    <w:rsid w:val="00254BB6"/>
    <w:rsid w:val="00254FF7"/>
    <w:rsid w:val="002552CF"/>
    <w:rsid w:val="0025532D"/>
    <w:rsid w:val="0025584C"/>
    <w:rsid w:val="002558C1"/>
    <w:rsid w:val="00255ED6"/>
    <w:rsid w:val="0025686C"/>
    <w:rsid w:val="00256BC5"/>
    <w:rsid w:val="002571B8"/>
    <w:rsid w:val="00257805"/>
    <w:rsid w:val="00257B4D"/>
    <w:rsid w:val="00257CD1"/>
    <w:rsid w:val="00257CDE"/>
    <w:rsid w:val="00257E22"/>
    <w:rsid w:val="00257F1A"/>
    <w:rsid w:val="00260B71"/>
    <w:rsid w:val="00260EC7"/>
    <w:rsid w:val="00262450"/>
    <w:rsid w:val="002625B1"/>
    <w:rsid w:val="0026267C"/>
    <w:rsid w:val="002629D6"/>
    <w:rsid w:val="00262A62"/>
    <w:rsid w:val="00262C70"/>
    <w:rsid w:val="00262FB9"/>
    <w:rsid w:val="002636B7"/>
    <w:rsid w:val="002639F9"/>
    <w:rsid w:val="00263CBC"/>
    <w:rsid w:val="00263F56"/>
    <w:rsid w:val="00263F5E"/>
    <w:rsid w:val="00263FA2"/>
    <w:rsid w:val="002642AE"/>
    <w:rsid w:val="002643F7"/>
    <w:rsid w:val="002647C3"/>
    <w:rsid w:val="00264DF5"/>
    <w:rsid w:val="002652D6"/>
    <w:rsid w:val="0026563D"/>
    <w:rsid w:val="002657BA"/>
    <w:rsid w:val="00265AB0"/>
    <w:rsid w:val="00265D85"/>
    <w:rsid w:val="00265F8F"/>
    <w:rsid w:val="00266100"/>
    <w:rsid w:val="002661CD"/>
    <w:rsid w:val="002661EC"/>
    <w:rsid w:val="0026623F"/>
    <w:rsid w:val="002663EE"/>
    <w:rsid w:val="00266472"/>
    <w:rsid w:val="002665F3"/>
    <w:rsid w:val="00266A3D"/>
    <w:rsid w:val="00266CB6"/>
    <w:rsid w:val="00267029"/>
    <w:rsid w:val="00267170"/>
    <w:rsid w:val="0026736F"/>
    <w:rsid w:val="00267437"/>
    <w:rsid w:val="00267BD6"/>
    <w:rsid w:val="0027012B"/>
    <w:rsid w:val="0027040D"/>
    <w:rsid w:val="00270A3D"/>
    <w:rsid w:val="00271675"/>
    <w:rsid w:val="00271AC8"/>
    <w:rsid w:val="00271BE9"/>
    <w:rsid w:val="00271F00"/>
    <w:rsid w:val="0027215F"/>
    <w:rsid w:val="00272594"/>
    <w:rsid w:val="00272890"/>
    <w:rsid w:val="002728AF"/>
    <w:rsid w:val="002732C1"/>
    <w:rsid w:val="00273A64"/>
    <w:rsid w:val="00273C8B"/>
    <w:rsid w:val="00273EC6"/>
    <w:rsid w:val="00274A86"/>
    <w:rsid w:val="00274BD0"/>
    <w:rsid w:val="00275125"/>
    <w:rsid w:val="002752EE"/>
    <w:rsid w:val="002753DC"/>
    <w:rsid w:val="002756BE"/>
    <w:rsid w:val="00275819"/>
    <w:rsid w:val="00275A30"/>
    <w:rsid w:val="00275A73"/>
    <w:rsid w:val="00275ABB"/>
    <w:rsid w:val="00275E16"/>
    <w:rsid w:val="00276074"/>
    <w:rsid w:val="002767D6"/>
    <w:rsid w:val="00277145"/>
    <w:rsid w:val="002800AE"/>
    <w:rsid w:val="00280108"/>
    <w:rsid w:val="002801A0"/>
    <w:rsid w:val="002804FA"/>
    <w:rsid w:val="00280A5B"/>
    <w:rsid w:val="00280BBE"/>
    <w:rsid w:val="00280C95"/>
    <w:rsid w:val="00280F23"/>
    <w:rsid w:val="00281262"/>
    <w:rsid w:val="002812AE"/>
    <w:rsid w:val="002812FE"/>
    <w:rsid w:val="00281CE6"/>
    <w:rsid w:val="00281FE6"/>
    <w:rsid w:val="00283192"/>
    <w:rsid w:val="00283254"/>
    <w:rsid w:val="002837F2"/>
    <w:rsid w:val="00283A2B"/>
    <w:rsid w:val="00284571"/>
    <w:rsid w:val="0028487F"/>
    <w:rsid w:val="00284B77"/>
    <w:rsid w:val="00284E7D"/>
    <w:rsid w:val="00285144"/>
    <w:rsid w:val="00285331"/>
    <w:rsid w:val="002854DE"/>
    <w:rsid w:val="0028580D"/>
    <w:rsid w:val="0028598A"/>
    <w:rsid w:val="00285A0C"/>
    <w:rsid w:val="002862F4"/>
    <w:rsid w:val="00286525"/>
    <w:rsid w:val="00286DC0"/>
    <w:rsid w:val="002878B7"/>
    <w:rsid w:val="00290523"/>
    <w:rsid w:val="00290AE9"/>
    <w:rsid w:val="00290C4F"/>
    <w:rsid w:val="00290EAA"/>
    <w:rsid w:val="002912B8"/>
    <w:rsid w:val="00291C94"/>
    <w:rsid w:val="00292500"/>
    <w:rsid w:val="00292C17"/>
    <w:rsid w:val="00292E39"/>
    <w:rsid w:val="00293449"/>
    <w:rsid w:val="00293488"/>
    <w:rsid w:val="00293661"/>
    <w:rsid w:val="00293EA2"/>
    <w:rsid w:val="00294062"/>
    <w:rsid w:val="0029411C"/>
    <w:rsid w:val="00294644"/>
    <w:rsid w:val="002949F2"/>
    <w:rsid w:val="002951D3"/>
    <w:rsid w:val="002956BD"/>
    <w:rsid w:val="0029577B"/>
    <w:rsid w:val="00295DBC"/>
    <w:rsid w:val="00295FFC"/>
    <w:rsid w:val="002966C1"/>
    <w:rsid w:val="00296B39"/>
    <w:rsid w:val="00296E03"/>
    <w:rsid w:val="00296FED"/>
    <w:rsid w:val="0029712D"/>
    <w:rsid w:val="0029732D"/>
    <w:rsid w:val="0029772C"/>
    <w:rsid w:val="002977A9"/>
    <w:rsid w:val="00297A5B"/>
    <w:rsid w:val="00297F59"/>
    <w:rsid w:val="00297F73"/>
    <w:rsid w:val="00297FF0"/>
    <w:rsid w:val="002A014F"/>
    <w:rsid w:val="002A04DF"/>
    <w:rsid w:val="002A094E"/>
    <w:rsid w:val="002A0D0B"/>
    <w:rsid w:val="002A0DC8"/>
    <w:rsid w:val="002A0F75"/>
    <w:rsid w:val="002A10CB"/>
    <w:rsid w:val="002A1626"/>
    <w:rsid w:val="002A1A21"/>
    <w:rsid w:val="002A1E9F"/>
    <w:rsid w:val="002A20E0"/>
    <w:rsid w:val="002A2123"/>
    <w:rsid w:val="002A216E"/>
    <w:rsid w:val="002A249C"/>
    <w:rsid w:val="002A3299"/>
    <w:rsid w:val="002A351A"/>
    <w:rsid w:val="002A39E7"/>
    <w:rsid w:val="002A40F4"/>
    <w:rsid w:val="002A4433"/>
    <w:rsid w:val="002A452D"/>
    <w:rsid w:val="002A477D"/>
    <w:rsid w:val="002A496D"/>
    <w:rsid w:val="002A4AED"/>
    <w:rsid w:val="002A4C62"/>
    <w:rsid w:val="002A4E97"/>
    <w:rsid w:val="002A5CCC"/>
    <w:rsid w:val="002A5DA1"/>
    <w:rsid w:val="002A5DA2"/>
    <w:rsid w:val="002A5F66"/>
    <w:rsid w:val="002A5FB0"/>
    <w:rsid w:val="002A6236"/>
    <w:rsid w:val="002A6841"/>
    <w:rsid w:val="002A69BD"/>
    <w:rsid w:val="002A6D09"/>
    <w:rsid w:val="002A7168"/>
    <w:rsid w:val="002A747D"/>
    <w:rsid w:val="002A76A7"/>
    <w:rsid w:val="002A78D6"/>
    <w:rsid w:val="002A7AB1"/>
    <w:rsid w:val="002A7E8A"/>
    <w:rsid w:val="002A7F9B"/>
    <w:rsid w:val="002B042F"/>
    <w:rsid w:val="002B0CBE"/>
    <w:rsid w:val="002B0D30"/>
    <w:rsid w:val="002B13A9"/>
    <w:rsid w:val="002B142B"/>
    <w:rsid w:val="002B1792"/>
    <w:rsid w:val="002B180C"/>
    <w:rsid w:val="002B18FC"/>
    <w:rsid w:val="002B212D"/>
    <w:rsid w:val="002B24C8"/>
    <w:rsid w:val="002B292A"/>
    <w:rsid w:val="002B2D32"/>
    <w:rsid w:val="002B2E2B"/>
    <w:rsid w:val="002B3111"/>
    <w:rsid w:val="002B32EC"/>
    <w:rsid w:val="002B35E5"/>
    <w:rsid w:val="002B4081"/>
    <w:rsid w:val="002B42E0"/>
    <w:rsid w:val="002B44F3"/>
    <w:rsid w:val="002B48EA"/>
    <w:rsid w:val="002B4FE1"/>
    <w:rsid w:val="002B5548"/>
    <w:rsid w:val="002B5767"/>
    <w:rsid w:val="002B58EC"/>
    <w:rsid w:val="002B5979"/>
    <w:rsid w:val="002B5AF6"/>
    <w:rsid w:val="002B5B51"/>
    <w:rsid w:val="002B5E75"/>
    <w:rsid w:val="002B5EAB"/>
    <w:rsid w:val="002B5F3D"/>
    <w:rsid w:val="002B6248"/>
    <w:rsid w:val="002B64D4"/>
    <w:rsid w:val="002B6536"/>
    <w:rsid w:val="002B6579"/>
    <w:rsid w:val="002B6A76"/>
    <w:rsid w:val="002B6A96"/>
    <w:rsid w:val="002B6B08"/>
    <w:rsid w:val="002B70AF"/>
    <w:rsid w:val="002B749B"/>
    <w:rsid w:val="002B760A"/>
    <w:rsid w:val="002B7E65"/>
    <w:rsid w:val="002B7F95"/>
    <w:rsid w:val="002C0328"/>
    <w:rsid w:val="002C0C14"/>
    <w:rsid w:val="002C0CA0"/>
    <w:rsid w:val="002C109F"/>
    <w:rsid w:val="002C11EE"/>
    <w:rsid w:val="002C1221"/>
    <w:rsid w:val="002C12CA"/>
    <w:rsid w:val="002C1DCF"/>
    <w:rsid w:val="002C24E6"/>
    <w:rsid w:val="002C254E"/>
    <w:rsid w:val="002C256F"/>
    <w:rsid w:val="002C284C"/>
    <w:rsid w:val="002C30EE"/>
    <w:rsid w:val="002C329E"/>
    <w:rsid w:val="002C336C"/>
    <w:rsid w:val="002C35E4"/>
    <w:rsid w:val="002C37C1"/>
    <w:rsid w:val="002C3C8F"/>
    <w:rsid w:val="002C3F82"/>
    <w:rsid w:val="002C428D"/>
    <w:rsid w:val="002C45D0"/>
    <w:rsid w:val="002C4749"/>
    <w:rsid w:val="002C492B"/>
    <w:rsid w:val="002C4B26"/>
    <w:rsid w:val="002C4DFB"/>
    <w:rsid w:val="002C4E93"/>
    <w:rsid w:val="002C4FD7"/>
    <w:rsid w:val="002C4FE8"/>
    <w:rsid w:val="002C520F"/>
    <w:rsid w:val="002C5418"/>
    <w:rsid w:val="002C544D"/>
    <w:rsid w:val="002C5DA3"/>
    <w:rsid w:val="002C6EA1"/>
    <w:rsid w:val="002C75F0"/>
    <w:rsid w:val="002C774C"/>
    <w:rsid w:val="002C798C"/>
    <w:rsid w:val="002C7C7E"/>
    <w:rsid w:val="002C7C95"/>
    <w:rsid w:val="002C7E38"/>
    <w:rsid w:val="002D06C7"/>
    <w:rsid w:val="002D0DAD"/>
    <w:rsid w:val="002D0DB5"/>
    <w:rsid w:val="002D15F1"/>
    <w:rsid w:val="002D1D9B"/>
    <w:rsid w:val="002D1F5D"/>
    <w:rsid w:val="002D2A78"/>
    <w:rsid w:val="002D31E4"/>
    <w:rsid w:val="002D339F"/>
    <w:rsid w:val="002D41DE"/>
    <w:rsid w:val="002D423B"/>
    <w:rsid w:val="002D4371"/>
    <w:rsid w:val="002D494C"/>
    <w:rsid w:val="002D55BA"/>
    <w:rsid w:val="002D5E88"/>
    <w:rsid w:val="002D6703"/>
    <w:rsid w:val="002D6D54"/>
    <w:rsid w:val="002D6EAA"/>
    <w:rsid w:val="002D715C"/>
    <w:rsid w:val="002D7265"/>
    <w:rsid w:val="002E012E"/>
    <w:rsid w:val="002E0228"/>
    <w:rsid w:val="002E07A2"/>
    <w:rsid w:val="002E08CD"/>
    <w:rsid w:val="002E0E48"/>
    <w:rsid w:val="002E133B"/>
    <w:rsid w:val="002E22D0"/>
    <w:rsid w:val="002E23F5"/>
    <w:rsid w:val="002E2418"/>
    <w:rsid w:val="002E244E"/>
    <w:rsid w:val="002E2935"/>
    <w:rsid w:val="002E29BD"/>
    <w:rsid w:val="002E2F53"/>
    <w:rsid w:val="002E3228"/>
    <w:rsid w:val="002E37B1"/>
    <w:rsid w:val="002E3CFC"/>
    <w:rsid w:val="002E43E0"/>
    <w:rsid w:val="002E454F"/>
    <w:rsid w:val="002E50D4"/>
    <w:rsid w:val="002E52D3"/>
    <w:rsid w:val="002E5983"/>
    <w:rsid w:val="002E5CBD"/>
    <w:rsid w:val="002E6029"/>
    <w:rsid w:val="002E6392"/>
    <w:rsid w:val="002E64C5"/>
    <w:rsid w:val="002E68CF"/>
    <w:rsid w:val="002E6DFF"/>
    <w:rsid w:val="002E6F6B"/>
    <w:rsid w:val="002E7086"/>
    <w:rsid w:val="002E7331"/>
    <w:rsid w:val="002E784C"/>
    <w:rsid w:val="002E798D"/>
    <w:rsid w:val="002F04F2"/>
    <w:rsid w:val="002F07A8"/>
    <w:rsid w:val="002F07B2"/>
    <w:rsid w:val="002F0AFA"/>
    <w:rsid w:val="002F0F27"/>
    <w:rsid w:val="002F10B7"/>
    <w:rsid w:val="002F139B"/>
    <w:rsid w:val="002F1DC1"/>
    <w:rsid w:val="002F1EE5"/>
    <w:rsid w:val="002F2165"/>
    <w:rsid w:val="002F2309"/>
    <w:rsid w:val="002F2A17"/>
    <w:rsid w:val="002F2CB7"/>
    <w:rsid w:val="002F2D8B"/>
    <w:rsid w:val="002F2EDC"/>
    <w:rsid w:val="002F2F89"/>
    <w:rsid w:val="002F3115"/>
    <w:rsid w:val="002F34A7"/>
    <w:rsid w:val="002F3D1B"/>
    <w:rsid w:val="002F42B5"/>
    <w:rsid w:val="002F4429"/>
    <w:rsid w:val="002F4A61"/>
    <w:rsid w:val="002F4A73"/>
    <w:rsid w:val="002F50A8"/>
    <w:rsid w:val="002F513A"/>
    <w:rsid w:val="002F5868"/>
    <w:rsid w:val="002F59B8"/>
    <w:rsid w:val="002F59D3"/>
    <w:rsid w:val="002F5A66"/>
    <w:rsid w:val="002F5EA5"/>
    <w:rsid w:val="002F6165"/>
    <w:rsid w:val="002F61F3"/>
    <w:rsid w:val="002F6FA4"/>
    <w:rsid w:val="002F720A"/>
    <w:rsid w:val="002F7320"/>
    <w:rsid w:val="002F79A2"/>
    <w:rsid w:val="002F79B0"/>
    <w:rsid w:val="002F7A71"/>
    <w:rsid w:val="002F7BBA"/>
    <w:rsid w:val="002F7D0C"/>
    <w:rsid w:val="003002F1"/>
    <w:rsid w:val="003006D5"/>
    <w:rsid w:val="00300761"/>
    <w:rsid w:val="00300893"/>
    <w:rsid w:val="00300B5A"/>
    <w:rsid w:val="003013CA"/>
    <w:rsid w:val="003013DC"/>
    <w:rsid w:val="00301814"/>
    <w:rsid w:val="00301A21"/>
    <w:rsid w:val="00302139"/>
    <w:rsid w:val="003021D8"/>
    <w:rsid w:val="00302582"/>
    <w:rsid w:val="003028EA"/>
    <w:rsid w:val="00302A0B"/>
    <w:rsid w:val="00302A9A"/>
    <w:rsid w:val="00302BC7"/>
    <w:rsid w:val="00302CA8"/>
    <w:rsid w:val="00302E4A"/>
    <w:rsid w:val="00302E6C"/>
    <w:rsid w:val="00303092"/>
    <w:rsid w:val="003034A0"/>
    <w:rsid w:val="00303592"/>
    <w:rsid w:val="003036CF"/>
    <w:rsid w:val="003036E6"/>
    <w:rsid w:val="00303965"/>
    <w:rsid w:val="003039D9"/>
    <w:rsid w:val="00303E1A"/>
    <w:rsid w:val="0030485C"/>
    <w:rsid w:val="00304F03"/>
    <w:rsid w:val="00304FB2"/>
    <w:rsid w:val="00305567"/>
    <w:rsid w:val="00305588"/>
    <w:rsid w:val="00305689"/>
    <w:rsid w:val="003057D3"/>
    <w:rsid w:val="003058B0"/>
    <w:rsid w:val="003067FF"/>
    <w:rsid w:val="0030684A"/>
    <w:rsid w:val="0030685B"/>
    <w:rsid w:val="0030696C"/>
    <w:rsid w:val="003073E8"/>
    <w:rsid w:val="00307674"/>
    <w:rsid w:val="003076F9"/>
    <w:rsid w:val="00307DC8"/>
    <w:rsid w:val="00307FCC"/>
    <w:rsid w:val="003117AC"/>
    <w:rsid w:val="003117BE"/>
    <w:rsid w:val="003117FE"/>
    <w:rsid w:val="00312187"/>
    <w:rsid w:val="0031298C"/>
    <w:rsid w:val="00312A7A"/>
    <w:rsid w:val="00312D07"/>
    <w:rsid w:val="00312E2A"/>
    <w:rsid w:val="003134C9"/>
    <w:rsid w:val="00313735"/>
    <w:rsid w:val="00313B27"/>
    <w:rsid w:val="00313DA5"/>
    <w:rsid w:val="00313EC4"/>
    <w:rsid w:val="00314376"/>
    <w:rsid w:val="00314C04"/>
    <w:rsid w:val="00314C3A"/>
    <w:rsid w:val="00314D45"/>
    <w:rsid w:val="00315316"/>
    <w:rsid w:val="003155F2"/>
    <w:rsid w:val="00315645"/>
    <w:rsid w:val="00315CBF"/>
    <w:rsid w:val="0031657D"/>
    <w:rsid w:val="00316628"/>
    <w:rsid w:val="00316713"/>
    <w:rsid w:val="00317346"/>
    <w:rsid w:val="00317E32"/>
    <w:rsid w:val="003200BE"/>
    <w:rsid w:val="00320451"/>
    <w:rsid w:val="00320862"/>
    <w:rsid w:val="00320998"/>
    <w:rsid w:val="00320A42"/>
    <w:rsid w:val="00320EDC"/>
    <w:rsid w:val="00321512"/>
    <w:rsid w:val="00321DB8"/>
    <w:rsid w:val="00322199"/>
    <w:rsid w:val="003223D8"/>
    <w:rsid w:val="003225A7"/>
    <w:rsid w:val="00322EB1"/>
    <w:rsid w:val="00322F6B"/>
    <w:rsid w:val="00323032"/>
    <w:rsid w:val="003231D6"/>
    <w:rsid w:val="00323369"/>
    <w:rsid w:val="00323492"/>
    <w:rsid w:val="00323DE4"/>
    <w:rsid w:val="00323EF6"/>
    <w:rsid w:val="00324961"/>
    <w:rsid w:val="0032511B"/>
    <w:rsid w:val="003255C6"/>
    <w:rsid w:val="003256DB"/>
    <w:rsid w:val="00325EE5"/>
    <w:rsid w:val="003263A9"/>
    <w:rsid w:val="003269EA"/>
    <w:rsid w:val="00326B68"/>
    <w:rsid w:val="00326BF6"/>
    <w:rsid w:val="0032714E"/>
    <w:rsid w:val="00327181"/>
    <w:rsid w:val="003274AC"/>
    <w:rsid w:val="003300B2"/>
    <w:rsid w:val="00330134"/>
    <w:rsid w:val="003301C9"/>
    <w:rsid w:val="003301CF"/>
    <w:rsid w:val="003301D9"/>
    <w:rsid w:val="003304AA"/>
    <w:rsid w:val="003306B0"/>
    <w:rsid w:val="0033132A"/>
    <w:rsid w:val="003315CD"/>
    <w:rsid w:val="00331FA5"/>
    <w:rsid w:val="003320FA"/>
    <w:rsid w:val="00332CAF"/>
    <w:rsid w:val="00332D87"/>
    <w:rsid w:val="00332DCC"/>
    <w:rsid w:val="0033319E"/>
    <w:rsid w:val="00333536"/>
    <w:rsid w:val="0033354E"/>
    <w:rsid w:val="00333578"/>
    <w:rsid w:val="003335B9"/>
    <w:rsid w:val="00333EDE"/>
    <w:rsid w:val="00334E06"/>
    <w:rsid w:val="00334E6C"/>
    <w:rsid w:val="00334F5C"/>
    <w:rsid w:val="0033510A"/>
    <w:rsid w:val="003353E9"/>
    <w:rsid w:val="00335B9F"/>
    <w:rsid w:val="00335FED"/>
    <w:rsid w:val="0033603F"/>
    <w:rsid w:val="003360F4"/>
    <w:rsid w:val="00336183"/>
    <w:rsid w:val="00336A59"/>
    <w:rsid w:val="00336C78"/>
    <w:rsid w:val="00336F21"/>
    <w:rsid w:val="00336F89"/>
    <w:rsid w:val="0033755D"/>
    <w:rsid w:val="00337B19"/>
    <w:rsid w:val="00340049"/>
    <w:rsid w:val="00340286"/>
    <w:rsid w:val="00340754"/>
    <w:rsid w:val="00340CAB"/>
    <w:rsid w:val="0034161F"/>
    <w:rsid w:val="0034194B"/>
    <w:rsid w:val="0034197D"/>
    <w:rsid w:val="00341A9C"/>
    <w:rsid w:val="00341BC4"/>
    <w:rsid w:val="00341DA2"/>
    <w:rsid w:val="00341EFB"/>
    <w:rsid w:val="00341FAC"/>
    <w:rsid w:val="0034274C"/>
    <w:rsid w:val="00342976"/>
    <w:rsid w:val="00342D98"/>
    <w:rsid w:val="0034305A"/>
    <w:rsid w:val="00343824"/>
    <w:rsid w:val="00343C66"/>
    <w:rsid w:val="003441BC"/>
    <w:rsid w:val="00344507"/>
    <w:rsid w:val="00344797"/>
    <w:rsid w:val="00344AF4"/>
    <w:rsid w:val="00344BA0"/>
    <w:rsid w:val="00344F25"/>
    <w:rsid w:val="0034590A"/>
    <w:rsid w:val="0034598C"/>
    <w:rsid w:val="003459B2"/>
    <w:rsid w:val="00345F4A"/>
    <w:rsid w:val="003460F6"/>
    <w:rsid w:val="003462E7"/>
    <w:rsid w:val="00346464"/>
    <w:rsid w:val="0034695C"/>
    <w:rsid w:val="00346B74"/>
    <w:rsid w:val="00346E8A"/>
    <w:rsid w:val="00346F7D"/>
    <w:rsid w:val="00346FF5"/>
    <w:rsid w:val="0034765D"/>
    <w:rsid w:val="003501D4"/>
    <w:rsid w:val="00350314"/>
    <w:rsid w:val="00350430"/>
    <w:rsid w:val="0035060B"/>
    <w:rsid w:val="0035084D"/>
    <w:rsid w:val="003509F2"/>
    <w:rsid w:val="00350D2D"/>
    <w:rsid w:val="00350E83"/>
    <w:rsid w:val="00350FAB"/>
    <w:rsid w:val="00351577"/>
    <w:rsid w:val="003518DB"/>
    <w:rsid w:val="0035202F"/>
    <w:rsid w:val="0035212A"/>
    <w:rsid w:val="00352389"/>
    <w:rsid w:val="003525C9"/>
    <w:rsid w:val="003526AF"/>
    <w:rsid w:val="003527DF"/>
    <w:rsid w:val="00352807"/>
    <w:rsid w:val="00352B9A"/>
    <w:rsid w:val="00352D19"/>
    <w:rsid w:val="00353572"/>
    <w:rsid w:val="00353CBA"/>
    <w:rsid w:val="00353E99"/>
    <w:rsid w:val="003540F3"/>
    <w:rsid w:val="00354389"/>
    <w:rsid w:val="00354B5D"/>
    <w:rsid w:val="003550AA"/>
    <w:rsid w:val="00355664"/>
    <w:rsid w:val="0035574F"/>
    <w:rsid w:val="003557A8"/>
    <w:rsid w:val="003557AC"/>
    <w:rsid w:val="00356D1F"/>
    <w:rsid w:val="00356EAD"/>
    <w:rsid w:val="0035706D"/>
    <w:rsid w:val="00357082"/>
    <w:rsid w:val="003576E2"/>
    <w:rsid w:val="00357777"/>
    <w:rsid w:val="003578A6"/>
    <w:rsid w:val="003579E1"/>
    <w:rsid w:val="00357AC2"/>
    <w:rsid w:val="0036009F"/>
    <w:rsid w:val="0036024B"/>
    <w:rsid w:val="003607B3"/>
    <w:rsid w:val="00360DDE"/>
    <w:rsid w:val="003615A0"/>
    <w:rsid w:val="0036194C"/>
    <w:rsid w:val="00361F13"/>
    <w:rsid w:val="00362353"/>
    <w:rsid w:val="0036264B"/>
    <w:rsid w:val="00362735"/>
    <w:rsid w:val="00362925"/>
    <w:rsid w:val="003636A7"/>
    <w:rsid w:val="003636F5"/>
    <w:rsid w:val="00363908"/>
    <w:rsid w:val="00364520"/>
    <w:rsid w:val="0036502C"/>
    <w:rsid w:val="0036514F"/>
    <w:rsid w:val="003651FD"/>
    <w:rsid w:val="003654DD"/>
    <w:rsid w:val="00365738"/>
    <w:rsid w:val="00365E02"/>
    <w:rsid w:val="00365F95"/>
    <w:rsid w:val="00366431"/>
    <w:rsid w:val="00366AB8"/>
    <w:rsid w:val="00366DEC"/>
    <w:rsid w:val="0036705C"/>
    <w:rsid w:val="00367535"/>
    <w:rsid w:val="00367B03"/>
    <w:rsid w:val="00370132"/>
    <w:rsid w:val="003708C7"/>
    <w:rsid w:val="00370C14"/>
    <w:rsid w:val="00370D2C"/>
    <w:rsid w:val="00371089"/>
    <w:rsid w:val="00371599"/>
    <w:rsid w:val="0037159A"/>
    <w:rsid w:val="00371CA4"/>
    <w:rsid w:val="00372635"/>
    <w:rsid w:val="003728AB"/>
    <w:rsid w:val="003728FC"/>
    <w:rsid w:val="00372D1F"/>
    <w:rsid w:val="0037325E"/>
    <w:rsid w:val="0037352E"/>
    <w:rsid w:val="00373820"/>
    <w:rsid w:val="00373D62"/>
    <w:rsid w:val="00373DD8"/>
    <w:rsid w:val="00373F22"/>
    <w:rsid w:val="00374161"/>
    <w:rsid w:val="0037467B"/>
    <w:rsid w:val="00374689"/>
    <w:rsid w:val="003749C4"/>
    <w:rsid w:val="003756FA"/>
    <w:rsid w:val="00375BCB"/>
    <w:rsid w:val="00376171"/>
    <w:rsid w:val="0037640A"/>
    <w:rsid w:val="003768EF"/>
    <w:rsid w:val="00376B13"/>
    <w:rsid w:val="00376F4A"/>
    <w:rsid w:val="003773AC"/>
    <w:rsid w:val="003773C4"/>
    <w:rsid w:val="00377656"/>
    <w:rsid w:val="00377B26"/>
    <w:rsid w:val="003802C8"/>
    <w:rsid w:val="00380430"/>
    <w:rsid w:val="0038069C"/>
    <w:rsid w:val="00380755"/>
    <w:rsid w:val="003815D5"/>
    <w:rsid w:val="00381878"/>
    <w:rsid w:val="003818DC"/>
    <w:rsid w:val="00381AD6"/>
    <w:rsid w:val="00381CA6"/>
    <w:rsid w:val="003821E2"/>
    <w:rsid w:val="003827BD"/>
    <w:rsid w:val="003829B7"/>
    <w:rsid w:val="003829E8"/>
    <w:rsid w:val="00383012"/>
    <w:rsid w:val="00383080"/>
    <w:rsid w:val="003834BA"/>
    <w:rsid w:val="003835F9"/>
    <w:rsid w:val="00383854"/>
    <w:rsid w:val="00383C34"/>
    <w:rsid w:val="00384468"/>
    <w:rsid w:val="003846CB"/>
    <w:rsid w:val="00384B85"/>
    <w:rsid w:val="00384C72"/>
    <w:rsid w:val="00385448"/>
    <w:rsid w:val="00385741"/>
    <w:rsid w:val="0038585C"/>
    <w:rsid w:val="003858FC"/>
    <w:rsid w:val="00385A78"/>
    <w:rsid w:val="00385BCA"/>
    <w:rsid w:val="00385E41"/>
    <w:rsid w:val="00385E4A"/>
    <w:rsid w:val="00385F63"/>
    <w:rsid w:val="00386006"/>
    <w:rsid w:val="003865B6"/>
    <w:rsid w:val="00386991"/>
    <w:rsid w:val="00386A3E"/>
    <w:rsid w:val="00386C14"/>
    <w:rsid w:val="00386CE1"/>
    <w:rsid w:val="00387033"/>
    <w:rsid w:val="00387114"/>
    <w:rsid w:val="00387367"/>
    <w:rsid w:val="00387748"/>
    <w:rsid w:val="0039006A"/>
    <w:rsid w:val="003902B4"/>
    <w:rsid w:val="00390CE7"/>
    <w:rsid w:val="0039170F"/>
    <w:rsid w:val="00391B14"/>
    <w:rsid w:val="00391B76"/>
    <w:rsid w:val="00391EDE"/>
    <w:rsid w:val="0039201C"/>
    <w:rsid w:val="00392CA5"/>
    <w:rsid w:val="00392CF9"/>
    <w:rsid w:val="00392FE9"/>
    <w:rsid w:val="00393040"/>
    <w:rsid w:val="00393203"/>
    <w:rsid w:val="00393973"/>
    <w:rsid w:val="003939D6"/>
    <w:rsid w:val="00393B17"/>
    <w:rsid w:val="0039413F"/>
    <w:rsid w:val="00394284"/>
    <w:rsid w:val="00394839"/>
    <w:rsid w:val="00395109"/>
    <w:rsid w:val="00395AAC"/>
    <w:rsid w:val="00395CBD"/>
    <w:rsid w:val="003961BA"/>
    <w:rsid w:val="00396226"/>
    <w:rsid w:val="00396CFF"/>
    <w:rsid w:val="00396D0A"/>
    <w:rsid w:val="00396D6A"/>
    <w:rsid w:val="00396E27"/>
    <w:rsid w:val="00396F5E"/>
    <w:rsid w:val="003975DC"/>
    <w:rsid w:val="00397D10"/>
    <w:rsid w:val="00397EAC"/>
    <w:rsid w:val="00397F26"/>
    <w:rsid w:val="00397F52"/>
    <w:rsid w:val="00397F96"/>
    <w:rsid w:val="003A00AA"/>
    <w:rsid w:val="003A06A2"/>
    <w:rsid w:val="003A0767"/>
    <w:rsid w:val="003A0C0C"/>
    <w:rsid w:val="003A1EA2"/>
    <w:rsid w:val="003A2786"/>
    <w:rsid w:val="003A2C38"/>
    <w:rsid w:val="003A2C6A"/>
    <w:rsid w:val="003A2D52"/>
    <w:rsid w:val="003A3003"/>
    <w:rsid w:val="003A3104"/>
    <w:rsid w:val="003A3111"/>
    <w:rsid w:val="003A3408"/>
    <w:rsid w:val="003A36EB"/>
    <w:rsid w:val="003A3955"/>
    <w:rsid w:val="003A411D"/>
    <w:rsid w:val="003A4362"/>
    <w:rsid w:val="003A4979"/>
    <w:rsid w:val="003A54A2"/>
    <w:rsid w:val="003A559E"/>
    <w:rsid w:val="003A6108"/>
    <w:rsid w:val="003A66C0"/>
    <w:rsid w:val="003A6ABF"/>
    <w:rsid w:val="003A6C61"/>
    <w:rsid w:val="003A6F13"/>
    <w:rsid w:val="003A7311"/>
    <w:rsid w:val="003A745F"/>
    <w:rsid w:val="003A746B"/>
    <w:rsid w:val="003A76A2"/>
    <w:rsid w:val="003B00EE"/>
    <w:rsid w:val="003B01C0"/>
    <w:rsid w:val="003B0D5D"/>
    <w:rsid w:val="003B1033"/>
    <w:rsid w:val="003B10EC"/>
    <w:rsid w:val="003B1291"/>
    <w:rsid w:val="003B1347"/>
    <w:rsid w:val="003B148D"/>
    <w:rsid w:val="003B1977"/>
    <w:rsid w:val="003B1C58"/>
    <w:rsid w:val="003B22CC"/>
    <w:rsid w:val="003B2738"/>
    <w:rsid w:val="003B2A11"/>
    <w:rsid w:val="003B2A8F"/>
    <w:rsid w:val="003B2E34"/>
    <w:rsid w:val="003B34A9"/>
    <w:rsid w:val="003B3931"/>
    <w:rsid w:val="003B3AC7"/>
    <w:rsid w:val="003B3F95"/>
    <w:rsid w:val="003B42B5"/>
    <w:rsid w:val="003B4551"/>
    <w:rsid w:val="003B4B46"/>
    <w:rsid w:val="003B4F61"/>
    <w:rsid w:val="003B58BA"/>
    <w:rsid w:val="003B5EB6"/>
    <w:rsid w:val="003B60A8"/>
    <w:rsid w:val="003B61E5"/>
    <w:rsid w:val="003B669A"/>
    <w:rsid w:val="003B67FC"/>
    <w:rsid w:val="003B7984"/>
    <w:rsid w:val="003B7AC4"/>
    <w:rsid w:val="003B7B8A"/>
    <w:rsid w:val="003C00AD"/>
    <w:rsid w:val="003C02F8"/>
    <w:rsid w:val="003C04F5"/>
    <w:rsid w:val="003C057F"/>
    <w:rsid w:val="003C0A5D"/>
    <w:rsid w:val="003C0A9F"/>
    <w:rsid w:val="003C13A4"/>
    <w:rsid w:val="003C1975"/>
    <w:rsid w:val="003C1C06"/>
    <w:rsid w:val="003C1C6E"/>
    <w:rsid w:val="003C1CCD"/>
    <w:rsid w:val="003C1FB0"/>
    <w:rsid w:val="003C2299"/>
    <w:rsid w:val="003C2652"/>
    <w:rsid w:val="003C2B0F"/>
    <w:rsid w:val="003C2C8E"/>
    <w:rsid w:val="003C2E5E"/>
    <w:rsid w:val="003C3165"/>
    <w:rsid w:val="003C32EF"/>
    <w:rsid w:val="003C3C76"/>
    <w:rsid w:val="003C400E"/>
    <w:rsid w:val="003C40F2"/>
    <w:rsid w:val="003C4224"/>
    <w:rsid w:val="003C4435"/>
    <w:rsid w:val="003C49BF"/>
    <w:rsid w:val="003C4ABB"/>
    <w:rsid w:val="003C519C"/>
    <w:rsid w:val="003C584C"/>
    <w:rsid w:val="003C5A32"/>
    <w:rsid w:val="003C6067"/>
    <w:rsid w:val="003C6089"/>
    <w:rsid w:val="003C632F"/>
    <w:rsid w:val="003C63FD"/>
    <w:rsid w:val="003C6495"/>
    <w:rsid w:val="003C69EF"/>
    <w:rsid w:val="003C6AE4"/>
    <w:rsid w:val="003C6D0A"/>
    <w:rsid w:val="003C6F0A"/>
    <w:rsid w:val="003D0428"/>
    <w:rsid w:val="003D07F9"/>
    <w:rsid w:val="003D08D1"/>
    <w:rsid w:val="003D15F7"/>
    <w:rsid w:val="003D178D"/>
    <w:rsid w:val="003D1863"/>
    <w:rsid w:val="003D1CAD"/>
    <w:rsid w:val="003D1E49"/>
    <w:rsid w:val="003D1F91"/>
    <w:rsid w:val="003D2359"/>
    <w:rsid w:val="003D279C"/>
    <w:rsid w:val="003D283B"/>
    <w:rsid w:val="003D28BE"/>
    <w:rsid w:val="003D2E6B"/>
    <w:rsid w:val="003D2FD5"/>
    <w:rsid w:val="003D3074"/>
    <w:rsid w:val="003D3385"/>
    <w:rsid w:val="003D3670"/>
    <w:rsid w:val="003D36B0"/>
    <w:rsid w:val="003D3945"/>
    <w:rsid w:val="003D3AB4"/>
    <w:rsid w:val="003D3B07"/>
    <w:rsid w:val="003D3C09"/>
    <w:rsid w:val="003D4403"/>
    <w:rsid w:val="003D4D1F"/>
    <w:rsid w:val="003D5398"/>
    <w:rsid w:val="003D5599"/>
    <w:rsid w:val="003D5654"/>
    <w:rsid w:val="003D5E15"/>
    <w:rsid w:val="003D5F05"/>
    <w:rsid w:val="003D61BE"/>
    <w:rsid w:val="003D6258"/>
    <w:rsid w:val="003D6383"/>
    <w:rsid w:val="003D6625"/>
    <w:rsid w:val="003D6731"/>
    <w:rsid w:val="003D682A"/>
    <w:rsid w:val="003D69A1"/>
    <w:rsid w:val="003D6BC9"/>
    <w:rsid w:val="003D72B4"/>
    <w:rsid w:val="003D7C66"/>
    <w:rsid w:val="003D7F77"/>
    <w:rsid w:val="003E027E"/>
    <w:rsid w:val="003E02DC"/>
    <w:rsid w:val="003E0421"/>
    <w:rsid w:val="003E05AF"/>
    <w:rsid w:val="003E0B80"/>
    <w:rsid w:val="003E0CD2"/>
    <w:rsid w:val="003E0E40"/>
    <w:rsid w:val="003E1A71"/>
    <w:rsid w:val="003E1E71"/>
    <w:rsid w:val="003E209B"/>
    <w:rsid w:val="003E25A3"/>
    <w:rsid w:val="003E2ADF"/>
    <w:rsid w:val="003E2FA8"/>
    <w:rsid w:val="003E3029"/>
    <w:rsid w:val="003E3031"/>
    <w:rsid w:val="003E31D4"/>
    <w:rsid w:val="003E343D"/>
    <w:rsid w:val="003E37A2"/>
    <w:rsid w:val="003E38F6"/>
    <w:rsid w:val="003E3D5C"/>
    <w:rsid w:val="003E44B8"/>
    <w:rsid w:val="003E4910"/>
    <w:rsid w:val="003E51BD"/>
    <w:rsid w:val="003E55F2"/>
    <w:rsid w:val="003E5890"/>
    <w:rsid w:val="003E598A"/>
    <w:rsid w:val="003E5D5F"/>
    <w:rsid w:val="003E5EE1"/>
    <w:rsid w:val="003E609D"/>
    <w:rsid w:val="003E60F8"/>
    <w:rsid w:val="003E60FC"/>
    <w:rsid w:val="003E637A"/>
    <w:rsid w:val="003E661E"/>
    <w:rsid w:val="003E66EA"/>
    <w:rsid w:val="003E6A14"/>
    <w:rsid w:val="003E6CE9"/>
    <w:rsid w:val="003E71C0"/>
    <w:rsid w:val="003E73B5"/>
    <w:rsid w:val="003E74FE"/>
    <w:rsid w:val="003E768F"/>
    <w:rsid w:val="003E7C5E"/>
    <w:rsid w:val="003F0297"/>
    <w:rsid w:val="003F02C4"/>
    <w:rsid w:val="003F03EB"/>
    <w:rsid w:val="003F0457"/>
    <w:rsid w:val="003F0746"/>
    <w:rsid w:val="003F0E64"/>
    <w:rsid w:val="003F104A"/>
    <w:rsid w:val="003F1D1C"/>
    <w:rsid w:val="003F1ED9"/>
    <w:rsid w:val="003F2208"/>
    <w:rsid w:val="003F22B5"/>
    <w:rsid w:val="003F2643"/>
    <w:rsid w:val="003F2F8B"/>
    <w:rsid w:val="003F45A4"/>
    <w:rsid w:val="003F505D"/>
    <w:rsid w:val="003F56B8"/>
    <w:rsid w:val="003F5857"/>
    <w:rsid w:val="003F5D88"/>
    <w:rsid w:val="003F5DA9"/>
    <w:rsid w:val="003F6130"/>
    <w:rsid w:val="003F63C9"/>
    <w:rsid w:val="003F6D43"/>
    <w:rsid w:val="003F78B7"/>
    <w:rsid w:val="003F79BD"/>
    <w:rsid w:val="003F7BB3"/>
    <w:rsid w:val="004003C1"/>
    <w:rsid w:val="00400836"/>
    <w:rsid w:val="00400B67"/>
    <w:rsid w:val="00401953"/>
    <w:rsid w:val="00401E91"/>
    <w:rsid w:val="004028FC"/>
    <w:rsid w:val="00402D19"/>
    <w:rsid w:val="00402DE6"/>
    <w:rsid w:val="00402E8C"/>
    <w:rsid w:val="00402F72"/>
    <w:rsid w:val="004030A0"/>
    <w:rsid w:val="00403212"/>
    <w:rsid w:val="0040329A"/>
    <w:rsid w:val="004033DC"/>
    <w:rsid w:val="00403752"/>
    <w:rsid w:val="004039DF"/>
    <w:rsid w:val="00403D31"/>
    <w:rsid w:val="00403D69"/>
    <w:rsid w:val="00403E0A"/>
    <w:rsid w:val="00403F3A"/>
    <w:rsid w:val="004041CA"/>
    <w:rsid w:val="0040433E"/>
    <w:rsid w:val="00404542"/>
    <w:rsid w:val="00404B3E"/>
    <w:rsid w:val="00404EC6"/>
    <w:rsid w:val="00405244"/>
    <w:rsid w:val="004052A3"/>
    <w:rsid w:val="0040545B"/>
    <w:rsid w:val="00405499"/>
    <w:rsid w:val="0040564C"/>
    <w:rsid w:val="004056BB"/>
    <w:rsid w:val="00405A0B"/>
    <w:rsid w:val="00405C53"/>
    <w:rsid w:val="0040605D"/>
    <w:rsid w:val="004062CC"/>
    <w:rsid w:val="00406883"/>
    <w:rsid w:val="00406B37"/>
    <w:rsid w:val="004071F0"/>
    <w:rsid w:val="0040728D"/>
    <w:rsid w:val="00407346"/>
    <w:rsid w:val="0040742A"/>
    <w:rsid w:val="00407934"/>
    <w:rsid w:val="00407E75"/>
    <w:rsid w:val="00407EA2"/>
    <w:rsid w:val="004105D1"/>
    <w:rsid w:val="004108AC"/>
    <w:rsid w:val="00410D24"/>
    <w:rsid w:val="004111B9"/>
    <w:rsid w:val="00411BD1"/>
    <w:rsid w:val="00411D06"/>
    <w:rsid w:val="00411DC3"/>
    <w:rsid w:val="00412182"/>
    <w:rsid w:val="004122F4"/>
    <w:rsid w:val="004128E3"/>
    <w:rsid w:val="004129E2"/>
    <w:rsid w:val="00412E02"/>
    <w:rsid w:val="00414361"/>
    <w:rsid w:val="00414521"/>
    <w:rsid w:val="004145B2"/>
    <w:rsid w:val="00414640"/>
    <w:rsid w:val="00414DAB"/>
    <w:rsid w:val="004151E6"/>
    <w:rsid w:val="00415FE3"/>
    <w:rsid w:val="004163E2"/>
    <w:rsid w:val="004164D9"/>
    <w:rsid w:val="00416729"/>
    <w:rsid w:val="00416B59"/>
    <w:rsid w:val="00416BC1"/>
    <w:rsid w:val="00416FA1"/>
    <w:rsid w:val="00416FBB"/>
    <w:rsid w:val="00417396"/>
    <w:rsid w:val="004175E4"/>
    <w:rsid w:val="004177F3"/>
    <w:rsid w:val="00420024"/>
    <w:rsid w:val="004204F5"/>
    <w:rsid w:val="00420581"/>
    <w:rsid w:val="00420A36"/>
    <w:rsid w:val="00420EE2"/>
    <w:rsid w:val="004210D7"/>
    <w:rsid w:val="0042116F"/>
    <w:rsid w:val="0042193F"/>
    <w:rsid w:val="004219B0"/>
    <w:rsid w:val="00421EA7"/>
    <w:rsid w:val="00422545"/>
    <w:rsid w:val="004226E0"/>
    <w:rsid w:val="00422752"/>
    <w:rsid w:val="00422B0C"/>
    <w:rsid w:val="00422CD1"/>
    <w:rsid w:val="00422D28"/>
    <w:rsid w:val="00422F2A"/>
    <w:rsid w:val="00423564"/>
    <w:rsid w:val="004236A8"/>
    <w:rsid w:val="004239F6"/>
    <w:rsid w:val="00423DF6"/>
    <w:rsid w:val="00423EC8"/>
    <w:rsid w:val="004240A5"/>
    <w:rsid w:val="00424634"/>
    <w:rsid w:val="004250D8"/>
    <w:rsid w:val="0042541A"/>
    <w:rsid w:val="004254CB"/>
    <w:rsid w:val="004259E2"/>
    <w:rsid w:val="00425FB1"/>
    <w:rsid w:val="00426165"/>
    <w:rsid w:val="004264FC"/>
    <w:rsid w:val="0042654B"/>
    <w:rsid w:val="004267BF"/>
    <w:rsid w:val="004269CA"/>
    <w:rsid w:val="00426AC4"/>
    <w:rsid w:val="00426D1C"/>
    <w:rsid w:val="00426D7F"/>
    <w:rsid w:val="00426E70"/>
    <w:rsid w:val="00427509"/>
    <w:rsid w:val="00427A4A"/>
    <w:rsid w:val="00427E85"/>
    <w:rsid w:val="004300C8"/>
    <w:rsid w:val="00430650"/>
    <w:rsid w:val="00430A90"/>
    <w:rsid w:val="004318E7"/>
    <w:rsid w:val="00431A3B"/>
    <w:rsid w:val="00431DC9"/>
    <w:rsid w:val="004323C6"/>
    <w:rsid w:val="0043258F"/>
    <w:rsid w:val="00432602"/>
    <w:rsid w:val="00432816"/>
    <w:rsid w:val="004328F9"/>
    <w:rsid w:val="00432DEA"/>
    <w:rsid w:val="0043338F"/>
    <w:rsid w:val="004333F8"/>
    <w:rsid w:val="004337E4"/>
    <w:rsid w:val="004337F0"/>
    <w:rsid w:val="0043399D"/>
    <w:rsid w:val="00433FD9"/>
    <w:rsid w:val="004340CC"/>
    <w:rsid w:val="004341D1"/>
    <w:rsid w:val="0043453E"/>
    <w:rsid w:val="004345D5"/>
    <w:rsid w:val="00434DE1"/>
    <w:rsid w:val="00434FB7"/>
    <w:rsid w:val="00435553"/>
    <w:rsid w:val="004355CC"/>
    <w:rsid w:val="00435C78"/>
    <w:rsid w:val="00436400"/>
    <w:rsid w:val="004378B3"/>
    <w:rsid w:val="00437958"/>
    <w:rsid w:val="00437D73"/>
    <w:rsid w:val="00437F72"/>
    <w:rsid w:val="00440786"/>
    <w:rsid w:val="004407B2"/>
    <w:rsid w:val="004408BD"/>
    <w:rsid w:val="00440D49"/>
    <w:rsid w:val="00441125"/>
    <w:rsid w:val="00441A8C"/>
    <w:rsid w:val="00441C05"/>
    <w:rsid w:val="00441C82"/>
    <w:rsid w:val="00442344"/>
    <w:rsid w:val="00442483"/>
    <w:rsid w:val="004425FA"/>
    <w:rsid w:val="00443966"/>
    <w:rsid w:val="00443B39"/>
    <w:rsid w:val="00443CF5"/>
    <w:rsid w:val="004442A0"/>
    <w:rsid w:val="004445F6"/>
    <w:rsid w:val="004449A2"/>
    <w:rsid w:val="00444E3A"/>
    <w:rsid w:val="00445009"/>
    <w:rsid w:val="0044564D"/>
    <w:rsid w:val="00445973"/>
    <w:rsid w:val="00445A76"/>
    <w:rsid w:val="00445AF0"/>
    <w:rsid w:val="00445DF3"/>
    <w:rsid w:val="00445E0C"/>
    <w:rsid w:val="00446070"/>
    <w:rsid w:val="004462F0"/>
    <w:rsid w:val="00446339"/>
    <w:rsid w:val="0044654D"/>
    <w:rsid w:val="0044672C"/>
    <w:rsid w:val="00446834"/>
    <w:rsid w:val="00446E91"/>
    <w:rsid w:val="00446F74"/>
    <w:rsid w:val="004474F8"/>
    <w:rsid w:val="00447922"/>
    <w:rsid w:val="004479A4"/>
    <w:rsid w:val="004479AF"/>
    <w:rsid w:val="004502E7"/>
    <w:rsid w:val="00450339"/>
    <w:rsid w:val="0045050A"/>
    <w:rsid w:val="00450A50"/>
    <w:rsid w:val="00450D11"/>
    <w:rsid w:val="0045101C"/>
    <w:rsid w:val="00451469"/>
    <w:rsid w:val="00451E9C"/>
    <w:rsid w:val="00452085"/>
    <w:rsid w:val="00452461"/>
    <w:rsid w:val="00452CCF"/>
    <w:rsid w:val="00452FE4"/>
    <w:rsid w:val="004532D7"/>
    <w:rsid w:val="004533EA"/>
    <w:rsid w:val="0045365B"/>
    <w:rsid w:val="004537FA"/>
    <w:rsid w:val="00453BEE"/>
    <w:rsid w:val="00454467"/>
    <w:rsid w:val="00454A42"/>
    <w:rsid w:val="00455F76"/>
    <w:rsid w:val="00456344"/>
    <w:rsid w:val="0045671B"/>
    <w:rsid w:val="00456969"/>
    <w:rsid w:val="00456E50"/>
    <w:rsid w:val="00457612"/>
    <w:rsid w:val="00457AD3"/>
    <w:rsid w:val="00457BF0"/>
    <w:rsid w:val="00460043"/>
    <w:rsid w:val="0046044E"/>
    <w:rsid w:val="00460860"/>
    <w:rsid w:val="00460A20"/>
    <w:rsid w:val="00460D69"/>
    <w:rsid w:val="004610E9"/>
    <w:rsid w:val="0046111E"/>
    <w:rsid w:val="00461308"/>
    <w:rsid w:val="00461326"/>
    <w:rsid w:val="00461893"/>
    <w:rsid w:val="00461F2A"/>
    <w:rsid w:val="00461F8B"/>
    <w:rsid w:val="00462282"/>
    <w:rsid w:val="0046266B"/>
    <w:rsid w:val="00462B0A"/>
    <w:rsid w:val="0046340E"/>
    <w:rsid w:val="004645BE"/>
    <w:rsid w:val="00464C91"/>
    <w:rsid w:val="00464E7A"/>
    <w:rsid w:val="00464FFC"/>
    <w:rsid w:val="0046527B"/>
    <w:rsid w:val="00465653"/>
    <w:rsid w:val="00465D91"/>
    <w:rsid w:val="0046630C"/>
    <w:rsid w:val="00466AB1"/>
    <w:rsid w:val="00466B86"/>
    <w:rsid w:val="00466C21"/>
    <w:rsid w:val="00466D73"/>
    <w:rsid w:val="004672FB"/>
    <w:rsid w:val="00467A8C"/>
    <w:rsid w:val="00467BCD"/>
    <w:rsid w:val="00470608"/>
    <w:rsid w:val="004707A9"/>
    <w:rsid w:val="00471353"/>
    <w:rsid w:val="004713A8"/>
    <w:rsid w:val="0047153F"/>
    <w:rsid w:val="00471727"/>
    <w:rsid w:val="0047180E"/>
    <w:rsid w:val="004718F8"/>
    <w:rsid w:val="00471959"/>
    <w:rsid w:val="00471D30"/>
    <w:rsid w:val="00471FF3"/>
    <w:rsid w:val="00472393"/>
    <w:rsid w:val="00472C38"/>
    <w:rsid w:val="00472EB7"/>
    <w:rsid w:val="00473008"/>
    <w:rsid w:val="004731B8"/>
    <w:rsid w:val="00473353"/>
    <w:rsid w:val="00473431"/>
    <w:rsid w:val="00473596"/>
    <w:rsid w:val="00473617"/>
    <w:rsid w:val="00473CC9"/>
    <w:rsid w:val="00473F85"/>
    <w:rsid w:val="0047431E"/>
    <w:rsid w:val="00474381"/>
    <w:rsid w:val="004743AB"/>
    <w:rsid w:val="00474545"/>
    <w:rsid w:val="00474858"/>
    <w:rsid w:val="00474CBA"/>
    <w:rsid w:val="0047541B"/>
    <w:rsid w:val="004757C0"/>
    <w:rsid w:val="00475823"/>
    <w:rsid w:val="004759F2"/>
    <w:rsid w:val="00475FE0"/>
    <w:rsid w:val="004760FF"/>
    <w:rsid w:val="0047617F"/>
    <w:rsid w:val="00476915"/>
    <w:rsid w:val="00477472"/>
    <w:rsid w:val="00477595"/>
    <w:rsid w:val="004776E0"/>
    <w:rsid w:val="004800C2"/>
    <w:rsid w:val="0048042B"/>
    <w:rsid w:val="00480828"/>
    <w:rsid w:val="0048082C"/>
    <w:rsid w:val="004808DE"/>
    <w:rsid w:val="00481155"/>
    <w:rsid w:val="00481E5E"/>
    <w:rsid w:val="00481EDD"/>
    <w:rsid w:val="004821C2"/>
    <w:rsid w:val="00482642"/>
    <w:rsid w:val="00482742"/>
    <w:rsid w:val="00482EFA"/>
    <w:rsid w:val="004832D9"/>
    <w:rsid w:val="00483B19"/>
    <w:rsid w:val="00483DE5"/>
    <w:rsid w:val="00483E29"/>
    <w:rsid w:val="00483F76"/>
    <w:rsid w:val="00484746"/>
    <w:rsid w:val="0048477B"/>
    <w:rsid w:val="00484ECA"/>
    <w:rsid w:val="00484F35"/>
    <w:rsid w:val="00485139"/>
    <w:rsid w:val="004852EB"/>
    <w:rsid w:val="004854D4"/>
    <w:rsid w:val="004857EA"/>
    <w:rsid w:val="0048581E"/>
    <w:rsid w:val="00485832"/>
    <w:rsid w:val="004858D1"/>
    <w:rsid w:val="0048590A"/>
    <w:rsid w:val="00485CB0"/>
    <w:rsid w:val="004860AE"/>
    <w:rsid w:val="0048662D"/>
    <w:rsid w:val="00486729"/>
    <w:rsid w:val="0048692D"/>
    <w:rsid w:val="00486DBD"/>
    <w:rsid w:val="0048739B"/>
    <w:rsid w:val="0048739F"/>
    <w:rsid w:val="00487F07"/>
    <w:rsid w:val="00490589"/>
    <w:rsid w:val="004909A1"/>
    <w:rsid w:val="0049112F"/>
    <w:rsid w:val="004913FE"/>
    <w:rsid w:val="0049176E"/>
    <w:rsid w:val="004918D7"/>
    <w:rsid w:val="004921C4"/>
    <w:rsid w:val="004924BC"/>
    <w:rsid w:val="00492FB4"/>
    <w:rsid w:val="0049385E"/>
    <w:rsid w:val="00493A1E"/>
    <w:rsid w:val="00493A61"/>
    <w:rsid w:val="00493C80"/>
    <w:rsid w:val="00493EA9"/>
    <w:rsid w:val="00494029"/>
    <w:rsid w:val="00494813"/>
    <w:rsid w:val="00495722"/>
    <w:rsid w:val="004959E1"/>
    <w:rsid w:val="00495BAC"/>
    <w:rsid w:val="00495F8F"/>
    <w:rsid w:val="004960F5"/>
    <w:rsid w:val="0049622F"/>
    <w:rsid w:val="0049624D"/>
    <w:rsid w:val="00496BC1"/>
    <w:rsid w:val="00496DDF"/>
    <w:rsid w:val="004970DB"/>
    <w:rsid w:val="004970DC"/>
    <w:rsid w:val="00497934"/>
    <w:rsid w:val="00497AAB"/>
    <w:rsid w:val="00497CAF"/>
    <w:rsid w:val="00497EB1"/>
    <w:rsid w:val="004A0066"/>
    <w:rsid w:val="004A0B60"/>
    <w:rsid w:val="004A0DE8"/>
    <w:rsid w:val="004A1FAE"/>
    <w:rsid w:val="004A293D"/>
    <w:rsid w:val="004A30D9"/>
    <w:rsid w:val="004A3226"/>
    <w:rsid w:val="004A3DFF"/>
    <w:rsid w:val="004A3E8A"/>
    <w:rsid w:val="004A43F5"/>
    <w:rsid w:val="004A46AC"/>
    <w:rsid w:val="004A4896"/>
    <w:rsid w:val="004A4973"/>
    <w:rsid w:val="004A49A0"/>
    <w:rsid w:val="004A4B61"/>
    <w:rsid w:val="004A50B6"/>
    <w:rsid w:val="004A5749"/>
    <w:rsid w:val="004A5E7D"/>
    <w:rsid w:val="004A6623"/>
    <w:rsid w:val="004A67AB"/>
    <w:rsid w:val="004A6802"/>
    <w:rsid w:val="004A6EE8"/>
    <w:rsid w:val="004A71EC"/>
    <w:rsid w:val="004A7E65"/>
    <w:rsid w:val="004B00CD"/>
    <w:rsid w:val="004B05FC"/>
    <w:rsid w:val="004B0AEE"/>
    <w:rsid w:val="004B0CD5"/>
    <w:rsid w:val="004B0CDF"/>
    <w:rsid w:val="004B10D9"/>
    <w:rsid w:val="004B195F"/>
    <w:rsid w:val="004B19DD"/>
    <w:rsid w:val="004B19FB"/>
    <w:rsid w:val="004B1C4D"/>
    <w:rsid w:val="004B245F"/>
    <w:rsid w:val="004B25F6"/>
    <w:rsid w:val="004B287C"/>
    <w:rsid w:val="004B2E84"/>
    <w:rsid w:val="004B3A33"/>
    <w:rsid w:val="004B3F63"/>
    <w:rsid w:val="004B41DF"/>
    <w:rsid w:val="004B41F5"/>
    <w:rsid w:val="004B47B4"/>
    <w:rsid w:val="004B4921"/>
    <w:rsid w:val="004B4ED7"/>
    <w:rsid w:val="004B5048"/>
    <w:rsid w:val="004B5834"/>
    <w:rsid w:val="004B596A"/>
    <w:rsid w:val="004B5BD1"/>
    <w:rsid w:val="004B5C0F"/>
    <w:rsid w:val="004B5D00"/>
    <w:rsid w:val="004B5DD7"/>
    <w:rsid w:val="004B6191"/>
    <w:rsid w:val="004B717B"/>
    <w:rsid w:val="004B723D"/>
    <w:rsid w:val="004B729C"/>
    <w:rsid w:val="004B75E0"/>
    <w:rsid w:val="004B7705"/>
    <w:rsid w:val="004B78ED"/>
    <w:rsid w:val="004B7968"/>
    <w:rsid w:val="004C027B"/>
    <w:rsid w:val="004C06E9"/>
    <w:rsid w:val="004C0766"/>
    <w:rsid w:val="004C098C"/>
    <w:rsid w:val="004C0EF0"/>
    <w:rsid w:val="004C1221"/>
    <w:rsid w:val="004C13F7"/>
    <w:rsid w:val="004C1783"/>
    <w:rsid w:val="004C1F31"/>
    <w:rsid w:val="004C21CC"/>
    <w:rsid w:val="004C239A"/>
    <w:rsid w:val="004C2939"/>
    <w:rsid w:val="004C2E8C"/>
    <w:rsid w:val="004C3F58"/>
    <w:rsid w:val="004C4383"/>
    <w:rsid w:val="004C47A3"/>
    <w:rsid w:val="004C5078"/>
    <w:rsid w:val="004C5447"/>
    <w:rsid w:val="004C5AD5"/>
    <w:rsid w:val="004C5B41"/>
    <w:rsid w:val="004C5FF5"/>
    <w:rsid w:val="004C61C6"/>
    <w:rsid w:val="004C64BB"/>
    <w:rsid w:val="004C683D"/>
    <w:rsid w:val="004C6C95"/>
    <w:rsid w:val="004C6EED"/>
    <w:rsid w:val="004C6F4A"/>
    <w:rsid w:val="004C704B"/>
    <w:rsid w:val="004C71B7"/>
    <w:rsid w:val="004C72AE"/>
    <w:rsid w:val="004C73F1"/>
    <w:rsid w:val="004C762D"/>
    <w:rsid w:val="004C7E06"/>
    <w:rsid w:val="004C7F19"/>
    <w:rsid w:val="004D038A"/>
    <w:rsid w:val="004D07CD"/>
    <w:rsid w:val="004D0CFF"/>
    <w:rsid w:val="004D101F"/>
    <w:rsid w:val="004D113B"/>
    <w:rsid w:val="004D13EE"/>
    <w:rsid w:val="004D1AD5"/>
    <w:rsid w:val="004D1B24"/>
    <w:rsid w:val="004D1E96"/>
    <w:rsid w:val="004D2045"/>
    <w:rsid w:val="004D2855"/>
    <w:rsid w:val="004D2BAE"/>
    <w:rsid w:val="004D3300"/>
    <w:rsid w:val="004D36D2"/>
    <w:rsid w:val="004D3965"/>
    <w:rsid w:val="004D3A1C"/>
    <w:rsid w:val="004D3D4B"/>
    <w:rsid w:val="004D3E47"/>
    <w:rsid w:val="004D3F1C"/>
    <w:rsid w:val="004D440D"/>
    <w:rsid w:val="004D460E"/>
    <w:rsid w:val="004D4F8B"/>
    <w:rsid w:val="004D5238"/>
    <w:rsid w:val="004D54F8"/>
    <w:rsid w:val="004D5589"/>
    <w:rsid w:val="004D56AA"/>
    <w:rsid w:val="004D6118"/>
    <w:rsid w:val="004D6498"/>
    <w:rsid w:val="004D7779"/>
    <w:rsid w:val="004D7BE9"/>
    <w:rsid w:val="004E0042"/>
    <w:rsid w:val="004E018B"/>
    <w:rsid w:val="004E041F"/>
    <w:rsid w:val="004E0476"/>
    <w:rsid w:val="004E0AF9"/>
    <w:rsid w:val="004E0FC2"/>
    <w:rsid w:val="004E12A3"/>
    <w:rsid w:val="004E136C"/>
    <w:rsid w:val="004E138D"/>
    <w:rsid w:val="004E1694"/>
    <w:rsid w:val="004E1A86"/>
    <w:rsid w:val="004E1FF5"/>
    <w:rsid w:val="004E20E1"/>
    <w:rsid w:val="004E26B1"/>
    <w:rsid w:val="004E2853"/>
    <w:rsid w:val="004E2A15"/>
    <w:rsid w:val="004E3C01"/>
    <w:rsid w:val="004E3C71"/>
    <w:rsid w:val="004E3D35"/>
    <w:rsid w:val="004E412D"/>
    <w:rsid w:val="004E43BE"/>
    <w:rsid w:val="004E4416"/>
    <w:rsid w:val="004E44D6"/>
    <w:rsid w:val="004E47BA"/>
    <w:rsid w:val="004E47ED"/>
    <w:rsid w:val="004E4A38"/>
    <w:rsid w:val="004E4C95"/>
    <w:rsid w:val="004E5006"/>
    <w:rsid w:val="004E53A4"/>
    <w:rsid w:val="004E5838"/>
    <w:rsid w:val="004E5BC2"/>
    <w:rsid w:val="004E5BFC"/>
    <w:rsid w:val="004E5C0A"/>
    <w:rsid w:val="004E5D24"/>
    <w:rsid w:val="004E5E3B"/>
    <w:rsid w:val="004E5E98"/>
    <w:rsid w:val="004E6304"/>
    <w:rsid w:val="004E64F3"/>
    <w:rsid w:val="004E6704"/>
    <w:rsid w:val="004E6C4A"/>
    <w:rsid w:val="004E6E35"/>
    <w:rsid w:val="004E6FE1"/>
    <w:rsid w:val="004E703B"/>
    <w:rsid w:val="004E73A8"/>
    <w:rsid w:val="004E76A4"/>
    <w:rsid w:val="004E7C85"/>
    <w:rsid w:val="004F003A"/>
    <w:rsid w:val="004F0657"/>
    <w:rsid w:val="004F0988"/>
    <w:rsid w:val="004F1305"/>
    <w:rsid w:val="004F1469"/>
    <w:rsid w:val="004F24C0"/>
    <w:rsid w:val="004F27CB"/>
    <w:rsid w:val="004F2953"/>
    <w:rsid w:val="004F2CEA"/>
    <w:rsid w:val="004F30EB"/>
    <w:rsid w:val="004F3227"/>
    <w:rsid w:val="004F3296"/>
    <w:rsid w:val="004F381C"/>
    <w:rsid w:val="004F3C9F"/>
    <w:rsid w:val="004F3CAB"/>
    <w:rsid w:val="004F3F46"/>
    <w:rsid w:val="004F404D"/>
    <w:rsid w:val="004F44CC"/>
    <w:rsid w:val="004F4DE2"/>
    <w:rsid w:val="004F4EDB"/>
    <w:rsid w:val="004F585B"/>
    <w:rsid w:val="004F5AB7"/>
    <w:rsid w:val="004F5BF0"/>
    <w:rsid w:val="004F5D93"/>
    <w:rsid w:val="004F5F0D"/>
    <w:rsid w:val="004F5FC7"/>
    <w:rsid w:val="004F60D6"/>
    <w:rsid w:val="004F64C2"/>
    <w:rsid w:val="004F64ED"/>
    <w:rsid w:val="004F6644"/>
    <w:rsid w:val="004F6C7A"/>
    <w:rsid w:val="004F703F"/>
    <w:rsid w:val="004F7174"/>
    <w:rsid w:val="004F7530"/>
    <w:rsid w:val="004F7BA8"/>
    <w:rsid w:val="004F7CCD"/>
    <w:rsid w:val="005003D2"/>
    <w:rsid w:val="005009AF"/>
    <w:rsid w:val="00500A13"/>
    <w:rsid w:val="005016BD"/>
    <w:rsid w:val="00501881"/>
    <w:rsid w:val="00501903"/>
    <w:rsid w:val="00501E0D"/>
    <w:rsid w:val="005020E5"/>
    <w:rsid w:val="00502211"/>
    <w:rsid w:val="00502232"/>
    <w:rsid w:val="0050266A"/>
    <w:rsid w:val="005026E3"/>
    <w:rsid w:val="00502800"/>
    <w:rsid w:val="00502C21"/>
    <w:rsid w:val="00502CE5"/>
    <w:rsid w:val="00502D19"/>
    <w:rsid w:val="0050351D"/>
    <w:rsid w:val="00503B1A"/>
    <w:rsid w:val="00503B80"/>
    <w:rsid w:val="00503E4D"/>
    <w:rsid w:val="005043FD"/>
    <w:rsid w:val="0050480C"/>
    <w:rsid w:val="0050497D"/>
    <w:rsid w:val="00505206"/>
    <w:rsid w:val="005054AD"/>
    <w:rsid w:val="00505DD5"/>
    <w:rsid w:val="00505E80"/>
    <w:rsid w:val="0050635E"/>
    <w:rsid w:val="005064F7"/>
    <w:rsid w:val="005065F1"/>
    <w:rsid w:val="00506A0A"/>
    <w:rsid w:val="00506AFC"/>
    <w:rsid w:val="00506C39"/>
    <w:rsid w:val="00506DDD"/>
    <w:rsid w:val="00507B46"/>
    <w:rsid w:val="00507C18"/>
    <w:rsid w:val="005104DA"/>
    <w:rsid w:val="0051097A"/>
    <w:rsid w:val="00510B76"/>
    <w:rsid w:val="00510C80"/>
    <w:rsid w:val="00510E13"/>
    <w:rsid w:val="00510E80"/>
    <w:rsid w:val="005110F0"/>
    <w:rsid w:val="005114BC"/>
    <w:rsid w:val="005116D5"/>
    <w:rsid w:val="00511CA4"/>
    <w:rsid w:val="00511F18"/>
    <w:rsid w:val="005121E3"/>
    <w:rsid w:val="0051229D"/>
    <w:rsid w:val="00512605"/>
    <w:rsid w:val="00512666"/>
    <w:rsid w:val="00512715"/>
    <w:rsid w:val="00512B04"/>
    <w:rsid w:val="00513A11"/>
    <w:rsid w:val="00513A60"/>
    <w:rsid w:val="00513B67"/>
    <w:rsid w:val="0051426B"/>
    <w:rsid w:val="0051448B"/>
    <w:rsid w:val="00514688"/>
    <w:rsid w:val="00514901"/>
    <w:rsid w:val="005149C3"/>
    <w:rsid w:val="00514ABC"/>
    <w:rsid w:val="00514E96"/>
    <w:rsid w:val="00514EF4"/>
    <w:rsid w:val="0051505B"/>
    <w:rsid w:val="00515BB9"/>
    <w:rsid w:val="00515C6F"/>
    <w:rsid w:val="00515D1A"/>
    <w:rsid w:val="0051656F"/>
    <w:rsid w:val="00516799"/>
    <w:rsid w:val="005171E0"/>
    <w:rsid w:val="005171E3"/>
    <w:rsid w:val="005173D2"/>
    <w:rsid w:val="005174D1"/>
    <w:rsid w:val="005179C9"/>
    <w:rsid w:val="00517CAC"/>
    <w:rsid w:val="00517FC4"/>
    <w:rsid w:val="00520076"/>
    <w:rsid w:val="00520B31"/>
    <w:rsid w:val="0052114B"/>
    <w:rsid w:val="005211D7"/>
    <w:rsid w:val="00521475"/>
    <w:rsid w:val="00521EF4"/>
    <w:rsid w:val="005220B2"/>
    <w:rsid w:val="005220F8"/>
    <w:rsid w:val="005221BC"/>
    <w:rsid w:val="0052220F"/>
    <w:rsid w:val="005228E8"/>
    <w:rsid w:val="005229F9"/>
    <w:rsid w:val="00522D29"/>
    <w:rsid w:val="00522E69"/>
    <w:rsid w:val="00522E81"/>
    <w:rsid w:val="00522F45"/>
    <w:rsid w:val="0052386F"/>
    <w:rsid w:val="00523B2D"/>
    <w:rsid w:val="00523CAA"/>
    <w:rsid w:val="005243F4"/>
    <w:rsid w:val="00524545"/>
    <w:rsid w:val="00524928"/>
    <w:rsid w:val="005249F9"/>
    <w:rsid w:val="00524A73"/>
    <w:rsid w:val="00524DAF"/>
    <w:rsid w:val="00524FA6"/>
    <w:rsid w:val="0052500E"/>
    <w:rsid w:val="0052509D"/>
    <w:rsid w:val="0052529B"/>
    <w:rsid w:val="00525368"/>
    <w:rsid w:val="00525395"/>
    <w:rsid w:val="005258BD"/>
    <w:rsid w:val="0052591F"/>
    <w:rsid w:val="00525A5F"/>
    <w:rsid w:val="00525FD3"/>
    <w:rsid w:val="00526286"/>
    <w:rsid w:val="0052692F"/>
    <w:rsid w:val="005269B3"/>
    <w:rsid w:val="005269B7"/>
    <w:rsid w:val="00526BB8"/>
    <w:rsid w:val="00526E68"/>
    <w:rsid w:val="0052717D"/>
    <w:rsid w:val="00527221"/>
    <w:rsid w:val="0052735B"/>
    <w:rsid w:val="00527382"/>
    <w:rsid w:val="005273B9"/>
    <w:rsid w:val="005273C1"/>
    <w:rsid w:val="00527B79"/>
    <w:rsid w:val="00527BF9"/>
    <w:rsid w:val="00527D66"/>
    <w:rsid w:val="00527EC6"/>
    <w:rsid w:val="00527EE6"/>
    <w:rsid w:val="00527F03"/>
    <w:rsid w:val="00527F13"/>
    <w:rsid w:val="00527F5A"/>
    <w:rsid w:val="0053022B"/>
    <w:rsid w:val="00530285"/>
    <w:rsid w:val="00530809"/>
    <w:rsid w:val="00530D4B"/>
    <w:rsid w:val="00530E44"/>
    <w:rsid w:val="0053176B"/>
    <w:rsid w:val="00531AC9"/>
    <w:rsid w:val="00531B91"/>
    <w:rsid w:val="00532390"/>
    <w:rsid w:val="0053257C"/>
    <w:rsid w:val="0053285C"/>
    <w:rsid w:val="00532936"/>
    <w:rsid w:val="00532B4A"/>
    <w:rsid w:val="005333B8"/>
    <w:rsid w:val="00533A58"/>
    <w:rsid w:val="00534101"/>
    <w:rsid w:val="00534978"/>
    <w:rsid w:val="005349B2"/>
    <w:rsid w:val="00534A88"/>
    <w:rsid w:val="00534D4A"/>
    <w:rsid w:val="0053534C"/>
    <w:rsid w:val="005357BA"/>
    <w:rsid w:val="00536734"/>
    <w:rsid w:val="00536950"/>
    <w:rsid w:val="005369BF"/>
    <w:rsid w:val="00536E00"/>
    <w:rsid w:val="005371F7"/>
    <w:rsid w:val="005377F2"/>
    <w:rsid w:val="005378C7"/>
    <w:rsid w:val="00537E80"/>
    <w:rsid w:val="00540340"/>
    <w:rsid w:val="005405BF"/>
    <w:rsid w:val="00540610"/>
    <w:rsid w:val="0054082A"/>
    <w:rsid w:val="00540B98"/>
    <w:rsid w:val="00540CB9"/>
    <w:rsid w:val="00540E9D"/>
    <w:rsid w:val="00541B1F"/>
    <w:rsid w:val="0054244D"/>
    <w:rsid w:val="00542950"/>
    <w:rsid w:val="00542A89"/>
    <w:rsid w:val="005431B3"/>
    <w:rsid w:val="0054354F"/>
    <w:rsid w:val="00543619"/>
    <w:rsid w:val="00543624"/>
    <w:rsid w:val="00543A71"/>
    <w:rsid w:val="00543CB5"/>
    <w:rsid w:val="00544273"/>
    <w:rsid w:val="0054431B"/>
    <w:rsid w:val="00544384"/>
    <w:rsid w:val="005445E9"/>
    <w:rsid w:val="00544750"/>
    <w:rsid w:val="00544DA9"/>
    <w:rsid w:val="00545091"/>
    <w:rsid w:val="005452AF"/>
    <w:rsid w:val="00545CC1"/>
    <w:rsid w:val="00545E71"/>
    <w:rsid w:val="005463BF"/>
    <w:rsid w:val="0054678C"/>
    <w:rsid w:val="00546B5E"/>
    <w:rsid w:val="005472AF"/>
    <w:rsid w:val="005472FC"/>
    <w:rsid w:val="0054734B"/>
    <w:rsid w:val="005478C9"/>
    <w:rsid w:val="005478D9"/>
    <w:rsid w:val="0054793A"/>
    <w:rsid w:val="00547A0D"/>
    <w:rsid w:val="0055034E"/>
    <w:rsid w:val="00550CED"/>
    <w:rsid w:val="00550D54"/>
    <w:rsid w:val="005514B5"/>
    <w:rsid w:val="00551580"/>
    <w:rsid w:val="00551649"/>
    <w:rsid w:val="00552016"/>
    <w:rsid w:val="005525B1"/>
    <w:rsid w:val="00552C81"/>
    <w:rsid w:val="00552EDD"/>
    <w:rsid w:val="005533D8"/>
    <w:rsid w:val="005535E3"/>
    <w:rsid w:val="00553998"/>
    <w:rsid w:val="00554026"/>
    <w:rsid w:val="00554A38"/>
    <w:rsid w:val="00555051"/>
    <w:rsid w:val="0055519F"/>
    <w:rsid w:val="005551EE"/>
    <w:rsid w:val="00555A1F"/>
    <w:rsid w:val="00556047"/>
    <w:rsid w:val="005561EB"/>
    <w:rsid w:val="00556858"/>
    <w:rsid w:val="00556AFA"/>
    <w:rsid w:val="00556E36"/>
    <w:rsid w:val="00557D18"/>
    <w:rsid w:val="00560485"/>
    <w:rsid w:val="00560568"/>
    <w:rsid w:val="00560595"/>
    <w:rsid w:val="00560606"/>
    <w:rsid w:val="00560701"/>
    <w:rsid w:val="0056074F"/>
    <w:rsid w:val="00560C5E"/>
    <w:rsid w:val="00560E4B"/>
    <w:rsid w:val="00561378"/>
    <w:rsid w:val="0056182E"/>
    <w:rsid w:val="00561947"/>
    <w:rsid w:val="00561B8A"/>
    <w:rsid w:val="00561E71"/>
    <w:rsid w:val="00561E93"/>
    <w:rsid w:val="00562528"/>
    <w:rsid w:val="00562C32"/>
    <w:rsid w:val="00562E55"/>
    <w:rsid w:val="00563351"/>
    <w:rsid w:val="00563446"/>
    <w:rsid w:val="0056352B"/>
    <w:rsid w:val="00564ACF"/>
    <w:rsid w:val="00564DB8"/>
    <w:rsid w:val="00564E67"/>
    <w:rsid w:val="00565175"/>
    <w:rsid w:val="00565312"/>
    <w:rsid w:val="005654F4"/>
    <w:rsid w:val="00566293"/>
    <w:rsid w:val="00566E31"/>
    <w:rsid w:val="00566FCB"/>
    <w:rsid w:val="005671BA"/>
    <w:rsid w:val="00567342"/>
    <w:rsid w:val="00567504"/>
    <w:rsid w:val="0056773E"/>
    <w:rsid w:val="00567871"/>
    <w:rsid w:val="00567B64"/>
    <w:rsid w:val="00567C87"/>
    <w:rsid w:val="00567DA6"/>
    <w:rsid w:val="005702F9"/>
    <w:rsid w:val="00570A0C"/>
    <w:rsid w:val="005711BE"/>
    <w:rsid w:val="005714EE"/>
    <w:rsid w:val="005715D5"/>
    <w:rsid w:val="00571D58"/>
    <w:rsid w:val="00571E3C"/>
    <w:rsid w:val="005720D1"/>
    <w:rsid w:val="00572248"/>
    <w:rsid w:val="00572585"/>
    <w:rsid w:val="0057263C"/>
    <w:rsid w:val="0057277F"/>
    <w:rsid w:val="00572AE3"/>
    <w:rsid w:val="00572C0C"/>
    <w:rsid w:val="00572CA4"/>
    <w:rsid w:val="0057326B"/>
    <w:rsid w:val="005740EE"/>
    <w:rsid w:val="00574163"/>
    <w:rsid w:val="00574271"/>
    <w:rsid w:val="0057430B"/>
    <w:rsid w:val="0057439C"/>
    <w:rsid w:val="0057449A"/>
    <w:rsid w:val="005746D6"/>
    <w:rsid w:val="00574990"/>
    <w:rsid w:val="00574995"/>
    <w:rsid w:val="00574EA9"/>
    <w:rsid w:val="00575954"/>
    <w:rsid w:val="00575A4C"/>
    <w:rsid w:val="00575AC1"/>
    <w:rsid w:val="0057611F"/>
    <w:rsid w:val="0057634F"/>
    <w:rsid w:val="0057694D"/>
    <w:rsid w:val="00576CB9"/>
    <w:rsid w:val="00577369"/>
    <w:rsid w:val="00577651"/>
    <w:rsid w:val="00577653"/>
    <w:rsid w:val="005777E9"/>
    <w:rsid w:val="005807EC"/>
    <w:rsid w:val="00580D0D"/>
    <w:rsid w:val="00581115"/>
    <w:rsid w:val="00581290"/>
    <w:rsid w:val="00581454"/>
    <w:rsid w:val="00581F99"/>
    <w:rsid w:val="0058216F"/>
    <w:rsid w:val="005821CB"/>
    <w:rsid w:val="00582283"/>
    <w:rsid w:val="0058237D"/>
    <w:rsid w:val="00582A7C"/>
    <w:rsid w:val="00583180"/>
    <w:rsid w:val="00583231"/>
    <w:rsid w:val="00583697"/>
    <w:rsid w:val="00583744"/>
    <w:rsid w:val="005837C0"/>
    <w:rsid w:val="00584341"/>
    <w:rsid w:val="005845CD"/>
    <w:rsid w:val="00584FB8"/>
    <w:rsid w:val="00585561"/>
    <w:rsid w:val="005859F0"/>
    <w:rsid w:val="00585B61"/>
    <w:rsid w:val="005863F8"/>
    <w:rsid w:val="00586FD6"/>
    <w:rsid w:val="005870BD"/>
    <w:rsid w:val="005870E7"/>
    <w:rsid w:val="0058758F"/>
    <w:rsid w:val="00587CE9"/>
    <w:rsid w:val="00587EAB"/>
    <w:rsid w:val="005902AE"/>
    <w:rsid w:val="005906DD"/>
    <w:rsid w:val="00590BB9"/>
    <w:rsid w:val="00590BBB"/>
    <w:rsid w:val="00590C87"/>
    <w:rsid w:val="00590DF3"/>
    <w:rsid w:val="00590FB6"/>
    <w:rsid w:val="00591908"/>
    <w:rsid w:val="00591F55"/>
    <w:rsid w:val="00592028"/>
    <w:rsid w:val="00592036"/>
    <w:rsid w:val="00592038"/>
    <w:rsid w:val="0059261F"/>
    <w:rsid w:val="00592980"/>
    <w:rsid w:val="00592BAD"/>
    <w:rsid w:val="00593096"/>
    <w:rsid w:val="00593208"/>
    <w:rsid w:val="00593472"/>
    <w:rsid w:val="0059365F"/>
    <w:rsid w:val="00593EA3"/>
    <w:rsid w:val="00594872"/>
    <w:rsid w:val="00594A0E"/>
    <w:rsid w:val="0059599D"/>
    <w:rsid w:val="00595E09"/>
    <w:rsid w:val="0059638B"/>
    <w:rsid w:val="005963F7"/>
    <w:rsid w:val="005969DB"/>
    <w:rsid w:val="00596E02"/>
    <w:rsid w:val="005975A2"/>
    <w:rsid w:val="00597628"/>
    <w:rsid w:val="005977CF"/>
    <w:rsid w:val="005979FF"/>
    <w:rsid w:val="005A01F7"/>
    <w:rsid w:val="005A036C"/>
    <w:rsid w:val="005A074A"/>
    <w:rsid w:val="005A079E"/>
    <w:rsid w:val="005A08D2"/>
    <w:rsid w:val="005A0AA4"/>
    <w:rsid w:val="005A0F8E"/>
    <w:rsid w:val="005A11EF"/>
    <w:rsid w:val="005A179D"/>
    <w:rsid w:val="005A1CD6"/>
    <w:rsid w:val="005A29A0"/>
    <w:rsid w:val="005A2BFC"/>
    <w:rsid w:val="005A327B"/>
    <w:rsid w:val="005A3C81"/>
    <w:rsid w:val="005A3E3C"/>
    <w:rsid w:val="005A4225"/>
    <w:rsid w:val="005A4AC8"/>
    <w:rsid w:val="005A4E9A"/>
    <w:rsid w:val="005A514A"/>
    <w:rsid w:val="005A5197"/>
    <w:rsid w:val="005A5C5C"/>
    <w:rsid w:val="005A6612"/>
    <w:rsid w:val="005A670B"/>
    <w:rsid w:val="005A6716"/>
    <w:rsid w:val="005A6895"/>
    <w:rsid w:val="005A693C"/>
    <w:rsid w:val="005A6C56"/>
    <w:rsid w:val="005A75E6"/>
    <w:rsid w:val="005A7732"/>
    <w:rsid w:val="005A7A7A"/>
    <w:rsid w:val="005B00CF"/>
    <w:rsid w:val="005B071D"/>
    <w:rsid w:val="005B0C6C"/>
    <w:rsid w:val="005B0D46"/>
    <w:rsid w:val="005B0F94"/>
    <w:rsid w:val="005B1816"/>
    <w:rsid w:val="005B1882"/>
    <w:rsid w:val="005B1962"/>
    <w:rsid w:val="005B1AE1"/>
    <w:rsid w:val="005B1C11"/>
    <w:rsid w:val="005B1F35"/>
    <w:rsid w:val="005B1F6E"/>
    <w:rsid w:val="005B2046"/>
    <w:rsid w:val="005B2077"/>
    <w:rsid w:val="005B217E"/>
    <w:rsid w:val="005B24D5"/>
    <w:rsid w:val="005B2597"/>
    <w:rsid w:val="005B2892"/>
    <w:rsid w:val="005B2B9F"/>
    <w:rsid w:val="005B313E"/>
    <w:rsid w:val="005B328B"/>
    <w:rsid w:val="005B35BA"/>
    <w:rsid w:val="005B3B75"/>
    <w:rsid w:val="005B3C70"/>
    <w:rsid w:val="005B3D81"/>
    <w:rsid w:val="005B441D"/>
    <w:rsid w:val="005B4D2B"/>
    <w:rsid w:val="005B5013"/>
    <w:rsid w:val="005B532B"/>
    <w:rsid w:val="005B5429"/>
    <w:rsid w:val="005B5707"/>
    <w:rsid w:val="005B5750"/>
    <w:rsid w:val="005B5A36"/>
    <w:rsid w:val="005B5A37"/>
    <w:rsid w:val="005B5A71"/>
    <w:rsid w:val="005B5BAA"/>
    <w:rsid w:val="005B5C3F"/>
    <w:rsid w:val="005B5CC8"/>
    <w:rsid w:val="005B5F01"/>
    <w:rsid w:val="005B5FDA"/>
    <w:rsid w:val="005B6291"/>
    <w:rsid w:val="005B6425"/>
    <w:rsid w:val="005B65F0"/>
    <w:rsid w:val="005B67BC"/>
    <w:rsid w:val="005B6AB5"/>
    <w:rsid w:val="005B76F2"/>
    <w:rsid w:val="005B7A0E"/>
    <w:rsid w:val="005B7B3B"/>
    <w:rsid w:val="005B7B41"/>
    <w:rsid w:val="005C03A3"/>
    <w:rsid w:val="005C03E7"/>
    <w:rsid w:val="005C09E6"/>
    <w:rsid w:val="005C0C13"/>
    <w:rsid w:val="005C109F"/>
    <w:rsid w:val="005C11E3"/>
    <w:rsid w:val="005C14D2"/>
    <w:rsid w:val="005C1602"/>
    <w:rsid w:val="005C1722"/>
    <w:rsid w:val="005C1921"/>
    <w:rsid w:val="005C197B"/>
    <w:rsid w:val="005C1A20"/>
    <w:rsid w:val="005C1AC2"/>
    <w:rsid w:val="005C1C12"/>
    <w:rsid w:val="005C1DED"/>
    <w:rsid w:val="005C2766"/>
    <w:rsid w:val="005C29DE"/>
    <w:rsid w:val="005C2CDA"/>
    <w:rsid w:val="005C2EC1"/>
    <w:rsid w:val="005C306B"/>
    <w:rsid w:val="005C32C4"/>
    <w:rsid w:val="005C35B2"/>
    <w:rsid w:val="005C3887"/>
    <w:rsid w:val="005C38AE"/>
    <w:rsid w:val="005C42D9"/>
    <w:rsid w:val="005C4420"/>
    <w:rsid w:val="005C4608"/>
    <w:rsid w:val="005C4930"/>
    <w:rsid w:val="005C55BE"/>
    <w:rsid w:val="005C5750"/>
    <w:rsid w:val="005C596D"/>
    <w:rsid w:val="005C5B55"/>
    <w:rsid w:val="005C5C10"/>
    <w:rsid w:val="005C5F45"/>
    <w:rsid w:val="005C5F78"/>
    <w:rsid w:val="005C66E5"/>
    <w:rsid w:val="005C68CB"/>
    <w:rsid w:val="005C69F3"/>
    <w:rsid w:val="005C6A33"/>
    <w:rsid w:val="005C6ACF"/>
    <w:rsid w:val="005C6C9C"/>
    <w:rsid w:val="005C6CB3"/>
    <w:rsid w:val="005C704D"/>
    <w:rsid w:val="005C707E"/>
    <w:rsid w:val="005C70F2"/>
    <w:rsid w:val="005C7722"/>
    <w:rsid w:val="005C7F3D"/>
    <w:rsid w:val="005D011C"/>
    <w:rsid w:val="005D05CB"/>
    <w:rsid w:val="005D117A"/>
    <w:rsid w:val="005D16E2"/>
    <w:rsid w:val="005D1F62"/>
    <w:rsid w:val="005D2038"/>
    <w:rsid w:val="005D2211"/>
    <w:rsid w:val="005D2567"/>
    <w:rsid w:val="005D287C"/>
    <w:rsid w:val="005D3144"/>
    <w:rsid w:val="005D4085"/>
    <w:rsid w:val="005D4305"/>
    <w:rsid w:val="005D4B0D"/>
    <w:rsid w:val="005D4F00"/>
    <w:rsid w:val="005D5D8C"/>
    <w:rsid w:val="005D6C55"/>
    <w:rsid w:val="005D6EBE"/>
    <w:rsid w:val="005D6F26"/>
    <w:rsid w:val="005D7052"/>
    <w:rsid w:val="005D791C"/>
    <w:rsid w:val="005D7CD4"/>
    <w:rsid w:val="005E0015"/>
    <w:rsid w:val="005E04D2"/>
    <w:rsid w:val="005E09F5"/>
    <w:rsid w:val="005E0ABA"/>
    <w:rsid w:val="005E13D9"/>
    <w:rsid w:val="005E1592"/>
    <w:rsid w:val="005E15F5"/>
    <w:rsid w:val="005E1B87"/>
    <w:rsid w:val="005E1FDA"/>
    <w:rsid w:val="005E249F"/>
    <w:rsid w:val="005E299B"/>
    <w:rsid w:val="005E33C9"/>
    <w:rsid w:val="005E3769"/>
    <w:rsid w:val="005E376E"/>
    <w:rsid w:val="005E37AB"/>
    <w:rsid w:val="005E39B4"/>
    <w:rsid w:val="005E3BB9"/>
    <w:rsid w:val="005E3C01"/>
    <w:rsid w:val="005E3E37"/>
    <w:rsid w:val="005E3E56"/>
    <w:rsid w:val="005E409B"/>
    <w:rsid w:val="005E41C8"/>
    <w:rsid w:val="005E4F61"/>
    <w:rsid w:val="005E5103"/>
    <w:rsid w:val="005E5199"/>
    <w:rsid w:val="005E52F7"/>
    <w:rsid w:val="005E559D"/>
    <w:rsid w:val="005E5647"/>
    <w:rsid w:val="005E595C"/>
    <w:rsid w:val="005E5BDE"/>
    <w:rsid w:val="005E5F3F"/>
    <w:rsid w:val="005E612E"/>
    <w:rsid w:val="005E616B"/>
    <w:rsid w:val="005E62AA"/>
    <w:rsid w:val="005E634C"/>
    <w:rsid w:val="005E65FE"/>
    <w:rsid w:val="005E69F5"/>
    <w:rsid w:val="005E6C38"/>
    <w:rsid w:val="005E6D56"/>
    <w:rsid w:val="005E6EA6"/>
    <w:rsid w:val="005E6FD2"/>
    <w:rsid w:val="005E709B"/>
    <w:rsid w:val="005E71B2"/>
    <w:rsid w:val="005E7744"/>
    <w:rsid w:val="005E7CB8"/>
    <w:rsid w:val="005E7ED1"/>
    <w:rsid w:val="005E7EDF"/>
    <w:rsid w:val="005F0023"/>
    <w:rsid w:val="005F02F3"/>
    <w:rsid w:val="005F099D"/>
    <w:rsid w:val="005F1137"/>
    <w:rsid w:val="005F14B4"/>
    <w:rsid w:val="005F15F7"/>
    <w:rsid w:val="005F1698"/>
    <w:rsid w:val="005F1773"/>
    <w:rsid w:val="005F193F"/>
    <w:rsid w:val="005F1E5F"/>
    <w:rsid w:val="005F1FA5"/>
    <w:rsid w:val="005F20C7"/>
    <w:rsid w:val="005F24ED"/>
    <w:rsid w:val="005F2B2F"/>
    <w:rsid w:val="005F2C0A"/>
    <w:rsid w:val="005F2DB8"/>
    <w:rsid w:val="005F2DE7"/>
    <w:rsid w:val="005F3065"/>
    <w:rsid w:val="005F30DA"/>
    <w:rsid w:val="005F3562"/>
    <w:rsid w:val="005F36CB"/>
    <w:rsid w:val="005F37E5"/>
    <w:rsid w:val="005F3CBB"/>
    <w:rsid w:val="005F3CF4"/>
    <w:rsid w:val="005F41E1"/>
    <w:rsid w:val="005F4984"/>
    <w:rsid w:val="005F4BD5"/>
    <w:rsid w:val="005F4C89"/>
    <w:rsid w:val="005F4F42"/>
    <w:rsid w:val="005F4F50"/>
    <w:rsid w:val="005F508F"/>
    <w:rsid w:val="005F585A"/>
    <w:rsid w:val="005F6058"/>
    <w:rsid w:val="005F64B0"/>
    <w:rsid w:val="005F6578"/>
    <w:rsid w:val="005F69EA"/>
    <w:rsid w:val="005F6C35"/>
    <w:rsid w:val="005F6F6D"/>
    <w:rsid w:val="005F729F"/>
    <w:rsid w:val="005F791C"/>
    <w:rsid w:val="005F7D19"/>
    <w:rsid w:val="005F7E94"/>
    <w:rsid w:val="005F7F46"/>
    <w:rsid w:val="006001C2"/>
    <w:rsid w:val="006003F3"/>
    <w:rsid w:val="0060086E"/>
    <w:rsid w:val="006011CB"/>
    <w:rsid w:val="00601771"/>
    <w:rsid w:val="0060188E"/>
    <w:rsid w:val="006018D5"/>
    <w:rsid w:val="00601A76"/>
    <w:rsid w:val="00601BB2"/>
    <w:rsid w:val="00601D05"/>
    <w:rsid w:val="00601D07"/>
    <w:rsid w:val="00601DF5"/>
    <w:rsid w:val="00601DF8"/>
    <w:rsid w:val="00601F25"/>
    <w:rsid w:val="00602070"/>
    <w:rsid w:val="006022A8"/>
    <w:rsid w:val="006023A5"/>
    <w:rsid w:val="006023AA"/>
    <w:rsid w:val="00602C06"/>
    <w:rsid w:val="00602D1B"/>
    <w:rsid w:val="00602F73"/>
    <w:rsid w:val="0060326B"/>
    <w:rsid w:val="00603688"/>
    <w:rsid w:val="006039AB"/>
    <w:rsid w:val="00603B26"/>
    <w:rsid w:val="00603CD1"/>
    <w:rsid w:val="00603D67"/>
    <w:rsid w:val="00604478"/>
    <w:rsid w:val="00604539"/>
    <w:rsid w:val="00604A77"/>
    <w:rsid w:val="00604BC9"/>
    <w:rsid w:val="006052B9"/>
    <w:rsid w:val="00605319"/>
    <w:rsid w:val="006054E1"/>
    <w:rsid w:val="00605564"/>
    <w:rsid w:val="0060558C"/>
    <w:rsid w:val="006055B1"/>
    <w:rsid w:val="0060597F"/>
    <w:rsid w:val="00605AB5"/>
    <w:rsid w:val="006069D8"/>
    <w:rsid w:val="00606B72"/>
    <w:rsid w:val="00606E77"/>
    <w:rsid w:val="006073D0"/>
    <w:rsid w:val="0060786A"/>
    <w:rsid w:val="00607E59"/>
    <w:rsid w:val="00607E85"/>
    <w:rsid w:val="00610094"/>
    <w:rsid w:val="006103A9"/>
    <w:rsid w:val="00610487"/>
    <w:rsid w:val="0061051E"/>
    <w:rsid w:val="006112D1"/>
    <w:rsid w:val="0061152A"/>
    <w:rsid w:val="006118F7"/>
    <w:rsid w:val="00611AA3"/>
    <w:rsid w:val="00611E8C"/>
    <w:rsid w:val="00611FD8"/>
    <w:rsid w:val="006126C4"/>
    <w:rsid w:val="006134F7"/>
    <w:rsid w:val="00613C19"/>
    <w:rsid w:val="006144E0"/>
    <w:rsid w:val="006145CA"/>
    <w:rsid w:val="006149DF"/>
    <w:rsid w:val="00614CC1"/>
    <w:rsid w:val="00614CCC"/>
    <w:rsid w:val="00614CED"/>
    <w:rsid w:val="00614E7A"/>
    <w:rsid w:val="00615081"/>
    <w:rsid w:val="00615298"/>
    <w:rsid w:val="00615805"/>
    <w:rsid w:val="00615AB4"/>
    <w:rsid w:val="00616060"/>
    <w:rsid w:val="00616542"/>
    <w:rsid w:val="00616A1C"/>
    <w:rsid w:val="00616F53"/>
    <w:rsid w:val="00617159"/>
    <w:rsid w:val="0062005A"/>
    <w:rsid w:val="00620092"/>
    <w:rsid w:val="00620150"/>
    <w:rsid w:val="00620307"/>
    <w:rsid w:val="00620366"/>
    <w:rsid w:val="0062046F"/>
    <w:rsid w:val="00620851"/>
    <w:rsid w:val="00620933"/>
    <w:rsid w:val="00620A51"/>
    <w:rsid w:val="00620AA4"/>
    <w:rsid w:val="00620CE4"/>
    <w:rsid w:val="00620DC9"/>
    <w:rsid w:val="00620E08"/>
    <w:rsid w:val="006213A7"/>
    <w:rsid w:val="0062143C"/>
    <w:rsid w:val="006217F3"/>
    <w:rsid w:val="00621C7A"/>
    <w:rsid w:val="006221C6"/>
    <w:rsid w:val="00622891"/>
    <w:rsid w:val="00622B3E"/>
    <w:rsid w:val="0062320A"/>
    <w:rsid w:val="006238BB"/>
    <w:rsid w:val="00624545"/>
    <w:rsid w:val="00624830"/>
    <w:rsid w:val="006248E0"/>
    <w:rsid w:val="00624B00"/>
    <w:rsid w:val="00624D3B"/>
    <w:rsid w:val="00624E1F"/>
    <w:rsid w:val="006252DC"/>
    <w:rsid w:val="00625402"/>
    <w:rsid w:val="0062541F"/>
    <w:rsid w:val="0062588A"/>
    <w:rsid w:val="00625BA7"/>
    <w:rsid w:val="00625EBB"/>
    <w:rsid w:val="00625ED9"/>
    <w:rsid w:val="00626059"/>
    <w:rsid w:val="006270DA"/>
    <w:rsid w:val="00627269"/>
    <w:rsid w:val="00627659"/>
    <w:rsid w:val="00627991"/>
    <w:rsid w:val="00627D80"/>
    <w:rsid w:val="00627FA8"/>
    <w:rsid w:val="006301A8"/>
    <w:rsid w:val="0063059B"/>
    <w:rsid w:val="00630871"/>
    <w:rsid w:val="006311A7"/>
    <w:rsid w:val="006316A4"/>
    <w:rsid w:val="00631A8A"/>
    <w:rsid w:val="00631DE4"/>
    <w:rsid w:val="0063210E"/>
    <w:rsid w:val="006323F5"/>
    <w:rsid w:val="006324D8"/>
    <w:rsid w:val="00632580"/>
    <w:rsid w:val="00632F00"/>
    <w:rsid w:val="00632F04"/>
    <w:rsid w:val="0063301E"/>
    <w:rsid w:val="00633106"/>
    <w:rsid w:val="00633813"/>
    <w:rsid w:val="006338C3"/>
    <w:rsid w:val="00633AF1"/>
    <w:rsid w:val="006344E5"/>
    <w:rsid w:val="0063497A"/>
    <w:rsid w:val="00634C6E"/>
    <w:rsid w:val="00635611"/>
    <w:rsid w:val="00635AA9"/>
    <w:rsid w:val="00635AC1"/>
    <w:rsid w:val="00635B65"/>
    <w:rsid w:val="00635F72"/>
    <w:rsid w:val="006364B2"/>
    <w:rsid w:val="006369B3"/>
    <w:rsid w:val="00636ABD"/>
    <w:rsid w:val="0063714C"/>
    <w:rsid w:val="00637A51"/>
    <w:rsid w:val="00637A6B"/>
    <w:rsid w:val="00637CEB"/>
    <w:rsid w:val="006404A2"/>
    <w:rsid w:val="00640D79"/>
    <w:rsid w:val="006413E7"/>
    <w:rsid w:val="00641421"/>
    <w:rsid w:val="00641545"/>
    <w:rsid w:val="00641A19"/>
    <w:rsid w:val="00641E88"/>
    <w:rsid w:val="00642114"/>
    <w:rsid w:val="0064263D"/>
    <w:rsid w:val="0064307B"/>
    <w:rsid w:val="00643457"/>
    <w:rsid w:val="00643721"/>
    <w:rsid w:val="006438D5"/>
    <w:rsid w:val="00643971"/>
    <w:rsid w:val="00643A63"/>
    <w:rsid w:val="00643B6E"/>
    <w:rsid w:val="00644A66"/>
    <w:rsid w:val="00644D3A"/>
    <w:rsid w:val="00645849"/>
    <w:rsid w:val="0064591E"/>
    <w:rsid w:val="00645B24"/>
    <w:rsid w:val="00645CD9"/>
    <w:rsid w:val="00645DDE"/>
    <w:rsid w:val="00646187"/>
    <w:rsid w:val="006467ED"/>
    <w:rsid w:val="0064722C"/>
    <w:rsid w:val="006477F8"/>
    <w:rsid w:val="00647B34"/>
    <w:rsid w:val="00647CF0"/>
    <w:rsid w:val="00647D8B"/>
    <w:rsid w:val="00647EB7"/>
    <w:rsid w:val="00647FFE"/>
    <w:rsid w:val="00650993"/>
    <w:rsid w:val="00650CFF"/>
    <w:rsid w:val="00650DE7"/>
    <w:rsid w:val="006510BB"/>
    <w:rsid w:val="006513B2"/>
    <w:rsid w:val="0065147D"/>
    <w:rsid w:val="006515AE"/>
    <w:rsid w:val="006517D9"/>
    <w:rsid w:val="00651A4B"/>
    <w:rsid w:val="00651B45"/>
    <w:rsid w:val="00651D72"/>
    <w:rsid w:val="006520F6"/>
    <w:rsid w:val="006523E9"/>
    <w:rsid w:val="00652676"/>
    <w:rsid w:val="00652BDA"/>
    <w:rsid w:val="00652C6A"/>
    <w:rsid w:val="00652E25"/>
    <w:rsid w:val="006531EA"/>
    <w:rsid w:val="00653209"/>
    <w:rsid w:val="00653664"/>
    <w:rsid w:val="006538E5"/>
    <w:rsid w:val="00653E55"/>
    <w:rsid w:val="00654218"/>
    <w:rsid w:val="00654256"/>
    <w:rsid w:val="0065433E"/>
    <w:rsid w:val="006547DA"/>
    <w:rsid w:val="00654EC5"/>
    <w:rsid w:val="006553F7"/>
    <w:rsid w:val="0065605F"/>
    <w:rsid w:val="0065649E"/>
    <w:rsid w:val="00656E06"/>
    <w:rsid w:val="00656FFD"/>
    <w:rsid w:val="006572DC"/>
    <w:rsid w:val="00657413"/>
    <w:rsid w:val="00657650"/>
    <w:rsid w:val="00657A30"/>
    <w:rsid w:val="00657FA9"/>
    <w:rsid w:val="006603C3"/>
    <w:rsid w:val="00660B62"/>
    <w:rsid w:val="00660BF0"/>
    <w:rsid w:val="00660C52"/>
    <w:rsid w:val="00660F40"/>
    <w:rsid w:val="006610EB"/>
    <w:rsid w:val="00661C22"/>
    <w:rsid w:val="00661C74"/>
    <w:rsid w:val="0066224C"/>
    <w:rsid w:val="00663011"/>
    <w:rsid w:val="00663695"/>
    <w:rsid w:val="0066395B"/>
    <w:rsid w:val="0066396D"/>
    <w:rsid w:val="00663A5A"/>
    <w:rsid w:val="00663ECF"/>
    <w:rsid w:val="00663F03"/>
    <w:rsid w:val="00663F07"/>
    <w:rsid w:val="00664055"/>
    <w:rsid w:val="00664B5A"/>
    <w:rsid w:val="00664DEB"/>
    <w:rsid w:val="00664E85"/>
    <w:rsid w:val="0066513D"/>
    <w:rsid w:val="006655CA"/>
    <w:rsid w:val="00665842"/>
    <w:rsid w:val="006658C6"/>
    <w:rsid w:val="00665ADB"/>
    <w:rsid w:val="006665F1"/>
    <w:rsid w:val="006678F3"/>
    <w:rsid w:val="00667994"/>
    <w:rsid w:val="00667B47"/>
    <w:rsid w:val="00667CF5"/>
    <w:rsid w:val="00670171"/>
    <w:rsid w:val="006710F9"/>
    <w:rsid w:val="006722D5"/>
    <w:rsid w:val="0067260F"/>
    <w:rsid w:val="00672648"/>
    <w:rsid w:val="00672707"/>
    <w:rsid w:val="006730A1"/>
    <w:rsid w:val="00673979"/>
    <w:rsid w:val="00673BC7"/>
    <w:rsid w:val="00673DDA"/>
    <w:rsid w:val="00674359"/>
    <w:rsid w:val="00674694"/>
    <w:rsid w:val="006746FD"/>
    <w:rsid w:val="00674826"/>
    <w:rsid w:val="0067509F"/>
    <w:rsid w:val="00675B44"/>
    <w:rsid w:val="00675C10"/>
    <w:rsid w:val="00675C90"/>
    <w:rsid w:val="00675D8B"/>
    <w:rsid w:val="006763BD"/>
    <w:rsid w:val="006767A8"/>
    <w:rsid w:val="00676950"/>
    <w:rsid w:val="00676AFC"/>
    <w:rsid w:val="00676BA7"/>
    <w:rsid w:val="006770A4"/>
    <w:rsid w:val="006776D6"/>
    <w:rsid w:val="00677DC7"/>
    <w:rsid w:val="00677F25"/>
    <w:rsid w:val="006802F8"/>
    <w:rsid w:val="00680380"/>
    <w:rsid w:val="00680831"/>
    <w:rsid w:val="00680ABE"/>
    <w:rsid w:val="00680ECB"/>
    <w:rsid w:val="006816AB"/>
    <w:rsid w:val="006816CE"/>
    <w:rsid w:val="00681758"/>
    <w:rsid w:val="0068178A"/>
    <w:rsid w:val="00681CC8"/>
    <w:rsid w:val="00681CD6"/>
    <w:rsid w:val="00681D34"/>
    <w:rsid w:val="00681F1B"/>
    <w:rsid w:val="00682115"/>
    <w:rsid w:val="006821A8"/>
    <w:rsid w:val="00682228"/>
    <w:rsid w:val="00682333"/>
    <w:rsid w:val="006823D2"/>
    <w:rsid w:val="006823ED"/>
    <w:rsid w:val="006823F8"/>
    <w:rsid w:val="006827AB"/>
    <w:rsid w:val="00682C69"/>
    <w:rsid w:val="00682CCB"/>
    <w:rsid w:val="00683108"/>
    <w:rsid w:val="00683214"/>
    <w:rsid w:val="006832DE"/>
    <w:rsid w:val="0068394C"/>
    <w:rsid w:val="00683B49"/>
    <w:rsid w:val="00684135"/>
    <w:rsid w:val="00684570"/>
    <w:rsid w:val="00684D74"/>
    <w:rsid w:val="006850EF"/>
    <w:rsid w:val="006851D6"/>
    <w:rsid w:val="0068628B"/>
    <w:rsid w:val="0068634C"/>
    <w:rsid w:val="006863DF"/>
    <w:rsid w:val="00686B83"/>
    <w:rsid w:val="0068765F"/>
    <w:rsid w:val="006879FC"/>
    <w:rsid w:val="00687CC8"/>
    <w:rsid w:val="00687EEB"/>
    <w:rsid w:val="00690057"/>
    <w:rsid w:val="0069031E"/>
    <w:rsid w:val="006903F6"/>
    <w:rsid w:val="0069071B"/>
    <w:rsid w:val="00690A75"/>
    <w:rsid w:val="00691163"/>
    <w:rsid w:val="00691181"/>
    <w:rsid w:val="00691568"/>
    <w:rsid w:val="00691682"/>
    <w:rsid w:val="00691816"/>
    <w:rsid w:val="0069184A"/>
    <w:rsid w:val="0069251B"/>
    <w:rsid w:val="00693088"/>
    <w:rsid w:val="00693480"/>
    <w:rsid w:val="006934D4"/>
    <w:rsid w:val="006938D2"/>
    <w:rsid w:val="00693A93"/>
    <w:rsid w:val="0069453B"/>
    <w:rsid w:val="006948BA"/>
    <w:rsid w:val="0069499B"/>
    <w:rsid w:val="006949D3"/>
    <w:rsid w:val="00694A89"/>
    <w:rsid w:val="00694AB8"/>
    <w:rsid w:val="00694CAE"/>
    <w:rsid w:val="00694ECA"/>
    <w:rsid w:val="00694F08"/>
    <w:rsid w:val="00694F89"/>
    <w:rsid w:val="00695400"/>
    <w:rsid w:val="006957B7"/>
    <w:rsid w:val="00695838"/>
    <w:rsid w:val="0069636C"/>
    <w:rsid w:val="00696370"/>
    <w:rsid w:val="00696703"/>
    <w:rsid w:val="00696806"/>
    <w:rsid w:val="006969CD"/>
    <w:rsid w:val="00696D73"/>
    <w:rsid w:val="00697225"/>
    <w:rsid w:val="006A087D"/>
    <w:rsid w:val="006A0B8D"/>
    <w:rsid w:val="006A0CE0"/>
    <w:rsid w:val="006A117B"/>
    <w:rsid w:val="006A153D"/>
    <w:rsid w:val="006A16C1"/>
    <w:rsid w:val="006A17E4"/>
    <w:rsid w:val="006A189C"/>
    <w:rsid w:val="006A18A3"/>
    <w:rsid w:val="006A18B8"/>
    <w:rsid w:val="006A1A9C"/>
    <w:rsid w:val="006A1D4A"/>
    <w:rsid w:val="006A24A2"/>
    <w:rsid w:val="006A2B1E"/>
    <w:rsid w:val="006A2E97"/>
    <w:rsid w:val="006A2FAC"/>
    <w:rsid w:val="006A32F8"/>
    <w:rsid w:val="006A3823"/>
    <w:rsid w:val="006A452A"/>
    <w:rsid w:val="006A4887"/>
    <w:rsid w:val="006A49F1"/>
    <w:rsid w:val="006A4B3F"/>
    <w:rsid w:val="006A4CAA"/>
    <w:rsid w:val="006A4D70"/>
    <w:rsid w:val="006A551E"/>
    <w:rsid w:val="006A5712"/>
    <w:rsid w:val="006A5A57"/>
    <w:rsid w:val="006A5AF6"/>
    <w:rsid w:val="006A5B9E"/>
    <w:rsid w:val="006A6101"/>
    <w:rsid w:val="006A61F7"/>
    <w:rsid w:val="006A6357"/>
    <w:rsid w:val="006A6442"/>
    <w:rsid w:val="006A6B66"/>
    <w:rsid w:val="006A77EA"/>
    <w:rsid w:val="006A7F33"/>
    <w:rsid w:val="006B0164"/>
    <w:rsid w:val="006B0A2A"/>
    <w:rsid w:val="006B0BA6"/>
    <w:rsid w:val="006B153B"/>
    <w:rsid w:val="006B1903"/>
    <w:rsid w:val="006B1989"/>
    <w:rsid w:val="006B1AD7"/>
    <w:rsid w:val="006B2004"/>
    <w:rsid w:val="006B26B6"/>
    <w:rsid w:val="006B26C4"/>
    <w:rsid w:val="006B289F"/>
    <w:rsid w:val="006B2B87"/>
    <w:rsid w:val="006B2C66"/>
    <w:rsid w:val="006B325D"/>
    <w:rsid w:val="006B3552"/>
    <w:rsid w:val="006B391C"/>
    <w:rsid w:val="006B3AFC"/>
    <w:rsid w:val="006B40F4"/>
    <w:rsid w:val="006B44F9"/>
    <w:rsid w:val="006B4607"/>
    <w:rsid w:val="006B4B4F"/>
    <w:rsid w:val="006B4BD9"/>
    <w:rsid w:val="006B4FD9"/>
    <w:rsid w:val="006B54A1"/>
    <w:rsid w:val="006B5B35"/>
    <w:rsid w:val="006B5D84"/>
    <w:rsid w:val="006B5E08"/>
    <w:rsid w:val="006B6234"/>
    <w:rsid w:val="006B6D7D"/>
    <w:rsid w:val="006B7495"/>
    <w:rsid w:val="006B7ADE"/>
    <w:rsid w:val="006C04E3"/>
    <w:rsid w:val="006C0521"/>
    <w:rsid w:val="006C0901"/>
    <w:rsid w:val="006C0CCC"/>
    <w:rsid w:val="006C1380"/>
    <w:rsid w:val="006C1AAC"/>
    <w:rsid w:val="006C1F59"/>
    <w:rsid w:val="006C2416"/>
    <w:rsid w:val="006C2515"/>
    <w:rsid w:val="006C3426"/>
    <w:rsid w:val="006C3ED3"/>
    <w:rsid w:val="006C4372"/>
    <w:rsid w:val="006C4508"/>
    <w:rsid w:val="006C4B4E"/>
    <w:rsid w:val="006C4B97"/>
    <w:rsid w:val="006C5039"/>
    <w:rsid w:val="006C567E"/>
    <w:rsid w:val="006C59A7"/>
    <w:rsid w:val="006C5B24"/>
    <w:rsid w:val="006C5C74"/>
    <w:rsid w:val="006C643A"/>
    <w:rsid w:val="006C655B"/>
    <w:rsid w:val="006C6928"/>
    <w:rsid w:val="006C6C09"/>
    <w:rsid w:val="006C6E74"/>
    <w:rsid w:val="006C71F5"/>
    <w:rsid w:val="006C73BC"/>
    <w:rsid w:val="006C7407"/>
    <w:rsid w:val="006C7447"/>
    <w:rsid w:val="006C74F9"/>
    <w:rsid w:val="006C7652"/>
    <w:rsid w:val="006C780F"/>
    <w:rsid w:val="006C7E46"/>
    <w:rsid w:val="006C7EDE"/>
    <w:rsid w:val="006C7FCE"/>
    <w:rsid w:val="006D16F5"/>
    <w:rsid w:val="006D1826"/>
    <w:rsid w:val="006D1F96"/>
    <w:rsid w:val="006D211D"/>
    <w:rsid w:val="006D2492"/>
    <w:rsid w:val="006D2A89"/>
    <w:rsid w:val="006D2C28"/>
    <w:rsid w:val="006D2E8D"/>
    <w:rsid w:val="006D34C9"/>
    <w:rsid w:val="006D38BE"/>
    <w:rsid w:val="006D38E6"/>
    <w:rsid w:val="006D3F6C"/>
    <w:rsid w:val="006D42F4"/>
    <w:rsid w:val="006D5136"/>
    <w:rsid w:val="006D5C59"/>
    <w:rsid w:val="006D6665"/>
    <w:rsid w:val="006D68B9"/>
    <w:rsid w:val="006D69DF"/>
    <w:rsid w:val="006D736A"/>
    <w:rsid w:val="006D765F"/>
    <w:rsid w:val="006D7845"/>
    <w:rsid w:val="006E051B"/>
    <w:rsid w:val="006E07DA"/>
    <w:rsid w:val="006E0F08"/>
    <w:rsid w:val="006E0F9A"/>
    <w:rsid w:val="006E1484"/>
    <w:rsid w:val="006E1781"/>
    <w:rsid w:val="006E195D"/>
    <w:rsid w:val="006E1B66"/>
    <w:rsid w:val="006E1DB3"/>
    <w:rsid w:val="006E1F2D"/>
    <w:rsid w:val="006E255B"/>
    <w:rsid w:val="006E2650"/>
    <w:rsid w:val="006E2C08"/>
    <w:rsid w:val="006E2E13"/>
    <w:rsid w:val="006E3350"/>
    <w:rsid w:val="006E33B0"/>
    <w:rsid w:val="006E36DB"/>
    <w:rsid w:val="006E3D11"/>
    <w:rsid w:val="006E405D"/>
    <w:rsid w:val="006E4368"/>
    <w:rsid w:val="006E4369"/>
    <w:rsid w:val="006E4440"/>
    <w:rsid w:val="006E4C15"/>
    <w:rsid w:val="006E5912"/>
    <w:rsid w:val="006E607D"/>
    <w:rsid w:val="006E6102"/>
    <w:rsid w:val="006E632C"/>
    <w:rsid w:val="006E6580"/>
    <w:rsid w:val="006E68DA"/>
    <w:rsid w:val="006E6A31"/>
    <w:rsid w:val="006E6FD2"/>
    <w:rsid w:val="006E7440"/>
    <w:rsid w:val="006E7F5D"/>
    <w:rsid w:val="006F0203"/>
    <w:rsid w:val="006F04AE"/>
    <w:rsid w:val="006F06B1"/>
    <w:rsid w:val="006F0954"/>
    <w:rsid w:val="006F14E8"/>
    <w:rsid w:val="006F16CD"/>
    <w:rsid w:val="006F17E1"/>
    <w:rsid w:val="006F1E5F"/>
    <w:rsid w:val="006F2045"/>
    <w:rsid w:val="006F2294"/>
    <w:rsid w:val="006F27C6"/>
    <w:rsid w:val="006F2810"/>
    <w:rsid w:val="006F3501"/>
    <w:rsid w:val="006F37A1"/>
    <w:rsid w:val="006F3E0D"/>
    <w:rsid w:val="006F3EC8"/>
    <w:rsid w:val="006F40A8"/>
    <w:rsid w:val="006F4820"/>
    <w:rsid w:val="006F4DA6"/>
    <w:rsid w:val="006F522F"/>
    <w:rsid w:val="006F5355"/>
    <w:rsid w:val="006F5381"/>
    <w:rsid w:val="006F58F6"/>
    <w:rsid w:val="006F5977"/>
    <w:rsid w:val="006F5B7F"/>
    <w:rsid w:val="006F5DD1"/>
    <w:rsid w:val="006F62FC"/>
    <w:rsid w:val="006F77AD"/>
    <w:rsid w:val="006F79EE"/>
    <w:rsid w:val="006F7C9B"/>
    <w:rsid w:val="006F7FB9"/>
    <w:rsid w:val="007001D5"/>
    <w:rsid w:val="007006F1"/>
    <w:rsid w:val="00700A70"/>
    <w:rsid w:val="00700DD4"/>
    <w:rsid w:val="0070148B"/>
    <w:rsid w:val="0070287E"/>
    <w:rsid w:val="00702A93"/>
    <w:rsid w:val="0070398D"/>
    <w:rsid w:val="00703CAF"/>
    <w:rsid w:val="00703E2D"/>
    <w:rsid w:val="0070454C"/>
    <w:rsid w:val="0070474A"/>
    <w:rsid w:val="0070527E"/>
    <w:rsid w:val="00705999"/>
    <w:rsid w:val="00705C19"/>
    <w:rsid w:val="0070601B"/>
    <w:rsid w:val="00706032"/>
    <w:rsid w:val="007062CE"/>
    <w:rsid w:val="00706366"/>
    <w:rsid w:val="00706368"/>
    <w:rsid w:val="00706421"/>
    <w:rsid w:val="00706ACD"/>
    <w:rsid w:val="00706DCB"/>
    <w:rsid w:val="00707139"/>
    <w:rsid w:val="00707220"/>
    <w:rsid w:val="00707243"/>
    <w:rsid w:val="00711019"/>
    <w:rsid w:val="0071114E"/>
    <w:rsid w:val="0071123B"/>
    <w:rsid w:val="0071145C"/>
    <w:rsid w:val="0071176E"/>
    <w:rsid w:val="0071193A"/>
    <w:rsid w:val="00711CAF"/>
    <w:rsid w:val="00711FFC"/>
    <w:rsid w:val="00712680"/>
    <w:rsid w:val="007126A5"/>
    <w:rsid w:val="007127A5"/>
    <w:rsid w:val="00713328"/>
    <w:rsid w:val="007134A1"/>
    <w:rsid w:val="00713968"/>
    <w:rsid w:val="00713A17"/>
    <w:rsid w:val="007141BD"/>
    <w:rsid w:val="0071457A"/>
    <w:rsid w:val="00714706"/>
    <w:rsid w:val="0071472C"/>
    <w:rsid w:val="00714813"/>
    <w:rsid w:val="00714EC6"/>
    <w:rsid w:val="007159AB"/>
    <w:rsid w:val="007159CB"/>
    <w:rsid w:val="00715B46"/>
    <w:rsid w:val="00715DD7"/>
    <w:rsid w:val="0071682C"/>
    <w:rsid w:val="00716D32"/>
    <w:rsid w:val="00716F1D"/>
    <w:rsid w:val="0071715E"/>
    <w:rsid w:val="00717688"/>
    <w:rsid w:val="00717B4B"/>
    <w:rsid w:val="00717B6E"/>
    <w:rsid w:val="00717C78"/>
    <w:rsid w:val="007200F7"/>
    <w:rsid w:val="00720FDC"/>
    <w:rsid w:val="007213BC"/>
    <w:rsid w:val="00721684"/>
    <w:rsid w:val="00721762"/>
    <w:rsid w:val="0072176F"/>
    <w:rsid w:val="007219EE"/>
    <w:rsid w:val="00721A40"/>
    <w:rsid w:val="00721A54"/>
    <w:rsid w:val="00721A74"/>
    <w:rsid w:val="007222BC"/>
    <w:rsid w:val="0072253B"/>
    <w:rsid w:val="007225C2"/>
    <w:rsid w:val="0072263C"/>
    <w:rsid w:val="007229B8"/>
    <w:rsid w:val="00723389"/>
    <w:rsid w:val="00723C2E"/>
    <w:rsid w:val="00723EF9"/>
    <w:rsid w:val="00724307"/>
    <w:rsid w:val="007247C9"/>
    <w:rsid w:val="00724A7D"/>
    <w:rsid w:val="007255DF"/>
    <w:rsid w:val="0072567B"/>
    <w:rsid w:val="0072570E"/>
    <w:rsid w:val="00725F5D"/>
    <w:rsid w:val="00726172"/>
    <w:rsid w:val="00726753"/>
    <w:rsid w:val="00726F87"/>
    <w:rsid w:val="007270DE"/>
    <w:rsid w:val="00727197"/>
    <w:rsid w:val="00727390"/>
    <w:rsid w:val="0072777D"/>
    <w:rsid w:val="00727CD1"/>
    <w:rsid w:val="00727D4D"/>
    <w:rsid w:val="0073012B"/>
    <w:rsid w:val="00730301"/>
    <w:rsid w:val="00730462"/>
    <w:rsid w:val="0073051A"/>
    <w:rsid w:val="0073053F"/>
    <w:rsid w:val="00730702"/>
    <w:rsid w:val="00730B7E"/>
    <w:rsid w:val="00730C38"/>
    <w:rsid w:val="00730C5B"/>
    <w:rsid w:val="00730D07"/>
    <w:rsid w:val="00731239"/>
    <w:rsid w:val="007315ED"/>
    <w:rsid w:val="00731653"/>
    <w:rsid w:val="007318E5"/>
    <w:rsid w:val="00731AB5"/>
    <w:rsid w:val="0073288C"/>
    <w:rsid w:val="00732BA4"/>
    <w:rsid w:val="00732FC2"/>
    <w:rsid w:val="007337C5"/>
    <w:rsid w:val="00733A59"/>
    <w:rsid w:val="0073400F"/>
    <w:rsid w:val="00734265"/>
    <w:rsid w:val="007343D8"/>
    <w:rsid w:val="00735103"/>
    <w:rsid w:val="0073556E"/>
    <w:rsid w:val="0073558C"/>
    <w:rsid w:val="0073584C"/>
    <w:rsid w:val="00736498"/>
    <w:rsid w:val="00736587"/>
    <w:rsid w:val="007366F1"/>
    <w:rsid w:val="00736AC2"/>
    <w:rsid w:val="00736DA1"/>
    <w:rsid w:val="0073714B"/>
    <w:rsid w:val="00737BFA"/>
    <w:rsid w:val="00737ED0"/>
    <w:rsid w:val="007400BB"/>
    <w:rsid w:val="00740719"/>
    <w:rsid w:val="00740803"/>
    <w:rsid w:val="0074095D"/>
    <w:rsid w:val="00740A52"/>
    <w:rsid w:val="00740D0A"/>
    <w:rsid w:val="00740D86"/>
    <w:rsid w:val="00741091"/>
    <w:rsid w:val="007416D9"/>
    <w:rsid w:val="00741713"/>
    <w:rsid w:val="00741D17"/>
    <w:rsid w:val="00741D9F"/>
    <w:rsid w:val="00741FFD"/>
    <w:rsid w:val="0074242A"/>
    <w:rsid w:val="0074248D"/>
    <w:rsid w:val="00742E08"/>
    <w:rsid w:val="00742E7C"/>
    <w:rsid w:val="00742FD6"/>
    <w:rsid w:val="0074332E"/>
    <w:rsid w:val="0074337C"/>
    <w:rsid w:val="0074372D"/>
    <w:rsid w:val="007441D6"/>
    <w:rsid w:val="00744274"/>
    <w:rsid w:val="0074461B"/>
    <w:rsid w:val="007448FB"/>
    <w:rsid w:val="0074490E"/>
    <w:rsid w:val="00744930"/>
    <w:rsid w:val="00744C43"/>
    <w:rsid w:val="00744E0E"/>
    <w:rsid w:val="00744F8F"/>
    <w:rsid w:val="00745108"/>
    <w:rsid w:val="007454FE"/>
    <w:rsid w:val="00745C76"/>
    <w:rsid w:val="00745E7A"/>
    <w:rsid w:val="0074692B"/>
    <w:rsid w:val="00746EE0"/>
    <w:rsid w:val="00746FD4"/>
    <w:rsid w:val="00747761"/>
    <w:rsid w:val="00747CB1"/>
    <w:rsid w:val="00750679"/>
    <w:rsid w:val="0075073C"/>
    <w:rsid w:val="00750828"/>
    <w:rsid w:val="00750AEA"/>
    <w:rsid w:val="00750E67"/>
    <w:rsid w:val="00750EDC"/>
    <w:rsid w:val="0075198B"/>
    <w:rsid w:val="00751B7F"/>
    <w:rsid w:val="00751C2F"/>
    <w:rsid w:val="00751D35"/>
    <w:rsid w:val="007523D5"/>
    <w:rsid w:val="00752581"/>
    <w:rsid w:val="007528AF"/>
    <w:rsid w:val="00752B49"/>
    <w:rsid w:val="00752D2C"/>
    <w:rsid w:val="00752DAB"/>
    <w:rsid w:val="00753E9C"/>
    <w:rsid w:val="00754264"/>
    <w:rsid w:val="007544F4"/>
    <w:rsid w:val="00755022"/>
    <w:rsid w:val="00755183"/>
    <w:rsid w:val="0075571C"/>
    <w:rsid w:val="00755804"/>
    <w:rsid w:val="007559B0"/>
    <w:rsid w:val="00755B2D"/>
    <w:rsid w:val="00756027"/>
    <w:rsid w:val="007562A9"/>
    <w:rsid w:val="007562E9"/>
    <w:rsid w:val="00756326"/>
    <w:rsid w:val="00756491"/>
    <w:rsid w:val="00756698"/>
    <w:rsid w:val="00756ABC"/>
    <w:rsid w:val="007577F5"/>
    <w:rsid w:val="00757A5E"/>
    <w:rsid w:val="0076011B"/>
    <w:rsid w:val="0076081B"/>
    <w:rsid w:val="00760D2F"/>
    <w:rsid w:val="00761999"/>
    <w:rsid w:val="00761A7B"/>
    <w:rsid w:val="00761C0D"/>
    <w:rsid w:val="00761CCC"/>
    <w:rsid w:val="00761D13"/>
    <w:rsid w:val="00762220"/>
    <w:rsid w:val="00762490"/>
    <w:rsid w:val="00762768"/>
    <w:rsid w:val="007629A8"/>
    <w:rsid w:val="00762B2D"/>
    <w:rsid w:val="00763010"/>
    <w:rsid w:val="00763814"/>
    <w:rsid w:val="0076476E"/>
    <w:rsid w:val="007648D0"/>
    <w:rsid w:val="007652ED"/>
    <w:rsid w:val="0076533F"/>
    <w:rsid w:val="00765470"/>
    <w:rsid w:val="00765689"/>
    <w:rsid w:val="00765A1A"/>
    <w:rsid w:val="00765CF4"/>
    <w:rsid w:val="00765D51"/>
    <w:rsid w:val="00765DC4"/>
    <w:rsid w:val="00765F6E"/>
    <w:rsid w:val="007662A6"/>
    <w:rsid w:val="00766B81"/>
    <w:rsid w:val="00766BC4"/>
    <w:rsid w:val="00767231"/>
    <w:rsid w:val="00767925"/>
    <w:rsid w:val="00767BD1"/>
    <w:rsid w:val="00770008"/>
    <w:rsid w:val="007707C5"/>
    <w:rsid w:val="00770A92"/>
    <w:rsid w:val="00770DC0"/>
    <w:rsid w:val="00770F0B"/>
    <w:rsid w:val="00770F3C"/>
    <w:rsid w:val="00771331"/>
    <w:rsid w:val="00771917"/>
    <w:rsid w:val="00771FA0"/>
    <w:rsid w:val="007722F4"/>
    <w:rsid w:val="0077299C"/>
    <w:rsid w:val="00772AC2"/>
    <w:rsid w:val="00773817"/>
    <w:rsid w:val="00773856"/>
    <w:rsid w:val="00773FFD"/>
    <w:rsid w:val="0077434A"/>
    <w:rsid w:val="00774802"/>
    <w:rsid w:val="00774869"/>
    <w:rsid w:val="00775A4F"/>
    <w:rsid w:val="00775B45"/>
    <w:rsid w:val="00775E12"/>
    <w:rsid w:val="00776037"/>
    <w:rsid w:val="007762A6"/>
    <w:rsid w:val="00776390"/>
    <w:rsid w:val="00776681"/>
    <w:rsid w:val="007767A1"/>
    <w:rsid w:val="007768D1"/>
    <w:rsid w:val="00776BEA"/>
    <w:rsid w:val="00777040"/>
    <w:rsid w:val="007772AA"/>
    <w:rsid w:val="00777C6E"/>
    <w:rsid w:val="00777EA9"/>
    <w:rsid w:val="00777FFD"/>
    <w:rsid w:val="0078021A"/>
    <w:rsid w:val="0078048C"/>
    <w:rsid w:val="0078049E"/>
    <w:rsid w:val="007806CC"/>
    <w:rsid w:val="00780BE8"/>
    <w:rsid w:val="00780C72"/>
    <w:rsid w:val="00781015"/>
    <w:rsid w:val="00781F10"/>
    <w:rsid w:val="0078251C"/>
    <w:rsid w:val="007826BD"/>
    <w:rsid w:val="00782D13"/>
    <w:rsid w:val="00782F6C"/>
    <w:rsid w:val="0078302D"/>
    <w:rsid w:val="00783065"/>
    <w:rsid w:val="00783488"/>
    <w:rsid w:val="007834A4"/>
    <w:rsid w:val="007838A3"/>
    <w:rsid w:val="00783A58"/>
    <w:rsid w:val="00783E4E"/>
    <w:rsid w:val="0078400A"/>
    <w:rsid w:val="0078427A"/>
    <w:rsid w:val="0078435F"/>
    <w:rsid w:val="00784BF1"/>
    <w:rsid w:val="00784CEE"/>
    <w:rsid w:val="00784D65"/>
    <w:rsid w:val="00784EB4"/>
    <w:rsid w:val="007850B1"/>
    <w:rsid w:val="007854B9"/>
    <w:rsid w:val="00785567"/>
    <w:rsid w:val="007857A3"/>
    <w:rsid w:val="00785909"/>
    <w:rsid w:val="00785CCB"/>
    <w:rsid w:val="00785F06"/>
    <w:rsid w:val="007861E1"/>
    <w:rsid w:val="007862DD"/>
    <w:rsid w:val="007868E9"/>
    <w:rsid w:val="007870C8"/>
    <w:rsid w:val="007871AB"/>
    <w:rsid w:val="00787431"/>
    <w:rsid w:val="007875D0"/>
    <w:rsid w:val="00787B6C"/>
    <w:rsid w:val="00790169"/>
    <w:rsid w:val="0079020B"/>
    <w:rsid w:val="007908A3"/>
    <w:rsid w:val="00790B7A"/>
    <w:rsid w:val="00790EA6"/>
    <w:rsid w:val="00790EB3"/>
    <w:rsid w:val="00790F8F"/>
    <w:rsid w:val="00791076"/>
    <w:rsid w:val="007911BA"/>
    <w:rsid w:val="007914E0"/>
    <w:rsid w:val="00791549"/>
    <w:rsid w:val="00791729"/>
    <w:rsid w:val="007921EA"/>
    <w:rsid w:val="007922C7"/>
    <w:rsid w:val="007922EE"/>
    <w:rsid w:val="0079266A"/>
    <w:rsid w:val="007928B4"/>
    <w:rsid w:val="00792B5B"/>
    <w:rsid w:val="00792CB9"/>
    <w:rsid w:val="00792CC3"/>
    <w:rsid w:val="00792E5B"/>
    <w:rsid w:val="00793141"/>
    <w:rsid w:val="00793575"/>
    <w:rsid w:val="007939DB"/>
    <w:rsid w:val="00793A09"/>
    <w:rsid w:val="00793DB2"/>
    <w:rsid w:val="00794047"/>
    <w:rsid w:val="007940F3"/>
    <w:rsid w:val="007940F7"/>
    <w:rsid w:val="00794AED"/>
    <w:rsid w:val="00794B38"/>
    <w:rsid w:val="00794D4E"/>
    <w:rsid w:val="0079526E"/>
    <w:rsid w:val="00795348"/>
    <w:rsid w:val="00795C54"/>
    <w:rsid w:val="00795CC2"/>
    <w:rsid w:val="007962B6"/>
    <w:rsid w:val="007968FD"/>
    <w:rsid w:val="00796E33"/>
    <w:rsid w:val="0079706D"/>
    <w:rsid w:val="0079739C"/>
    <w:rsid w:val="007975D2"/>
    <w:rsid w:val="00797C17"/>
    <w:rsid w:val="00797C49"/>
    <w:rsid w:val="00797DE5"/>
    <w:rsid w:val="00797FD7"/>
    <w:rsid w:val="007A0224"/>
    <w:rsid w:val="007A0264"/>
    <w:rsid w:val="007A030C"/>
    <w:rsid w:val="007A05B9"/>
    <w:rsid w:val="007A16C4"/>
    <w:rsid w:val="007A1A09"/>
    <w:rsid w:val="007A1B12"/>
    <w:rsid w:val="007A1E1B"/>
    <w:rsid w:val="007A1E98"/>
    <w:rsid w:val="007A1EF9"/>
    <w:rsid w:val="007A1F63"/>
    <w:rsid w:val="007A20F9"/>
    <w:rsid w:val="007A2101"/>
    <w:rsid w:val="007A2358"/>
    <w:rsid w:val="007A23BF"/>
    <w:rsid w:val="007A2462"/>
    <w:rsid w:val="007A25B2"/>
    <w:rsid w:val="007A274B"/>
    <w:rsid w:val="007A2D1A"/>
    <w:rsid w:val="007A330C"/>
    <w:rsid w:val="007A332C"/>
    <w:rsid w:val="007A33E0"/>
    <w:rsid w:val="007A3A2E"/>
    <w:rsid w:val="007A3A6A"/>
    <w:rsid w:val="007A3CEA"/>
    <w:rsid w:val="007A3D46"/>
    <w:rsid w:val="007A3F48"/>
    <w:rsid w:val="007A4246"/>
    <w:rsid w:val="007A45A5"/>
    <w:rsid w:val="007A4E09"/>
    <w:rsid w:val="007A50E1"/>
    <w:rsid w:val="007A5126"/>
    <w:rsid w:val="007A52C2"/>
    <w:rsid w:val="007A53D8"/>
    <w:rsid w:val="007A5D7D"/>
    <w:rsid w:val="007A5E1A"/>
    <w:rsid w:val="007A62C9"/>
    <w:rsid w:val="007A65B3"/>
    <w:rsid w:val="007A6BA3"/>
    <w:rsid w:val="007A6C8D"/>
    <w:rsid w:val="007A6CB2"/>
    <w:rsid w:val="007A7C17"/>
    <w:rsid w:val="007A7EDE"/>
    <w:rsid w:val="007A7FCD"/>
    <w:rsid w:val="007B0A94"/>
    <w:rsid w:val="007B0B28"/>
    <w:rsid w:val="007B0D07"/>
    <w:rsid w:val="007B0FB0"/>
    <w:rsid w:val="007B0FEB"/>
    <w:rsid w:val="007B11B4"/>
    <w:rsid w:val="007B141B"/>
    <w:rsid w:val="007B196B"/>
    <w:rsid w:val="007B1984"/>
    <w:rsid w:val="007B1CB3"/>
    <w:rsid w:val="007B2008"/>
    <w:rsid w:val="007B217B"/>
    <w:rsid w:val="007B2316"/>
    <w:rsid w:val="007B25B2"/>
    <w:rsid w:val="007B3311"/>
    <w:rsid w:val="007B338C"/>
    <w:rsid w:val="007B352B"/>
    <w:rsid w:val="007B39DB"/>
    <w:rsid w:val="007B3B39"/>
    <w:rsid w:val="007B3B61"/>
    <w:rsid w:val="007B3B9E"/>
    <w:rsid w:val="007B3E04"/>
    <w:rsid w:val="007B3EBC"/>
    <w:rsid w:val="007B3F68"/>
    <w:rsid w:val="007B413E"/>
    <w:rsid w:val="007B4785"/>
    <w:rsid w:val="007B4837"/>
    <w:rsid w:val="007B4BB3"/>
    <w:rsid w:val="007B4C4F"/>
    <w:rsid w:val="007B525E"/>
    <w:rsid w:val="007B55BC"/>
    <w:rsid w:val="007B58D0"/>
    <w:rsid w:val="007B5F41"/>
    <w:rsid w:val="007B61B8"/>
    <w:rsid w:val="007B61EE"/>
    <w:rsid w:val="007B6331"/>
    <w:rsid w:val="007B669A"/>
    <w:rsid w:val="007B6A27"/>
    <w:rsid w:val="007B6A7C"/>
    <w:rsid w:val="007B6AC3"/>
    <w:rsid w:val="007B6B69"/>
    <w:rsid w:val="007B6D20"/>
    <w:rsid w:val="007B7145"/>
    <w:rsid w:val="007B73F9"/>
    <w:rsid w:val="007B77F8"/>
    <w:rsid w:val="007B78BC"/>
    <w:rsid w:val="007B78D4"/>
    <w:rsid w:val="007C00F2"/>
    <w:rsid w:val="007C045B"/>
    <w:rsid w:val="007C0518"/>
    <w:rsid w:val="007C059B"/>
    <w:rsid w:val="007C074E"/>
    <w:rsid w:val="007C08EF"/>
    <w:rsid w:val="007C0A00"/>
    <w:rsid w:val="007C0D5A"/>
    <w:rsid w:val="007C100E"/>
    <w:rsid w:val="007C11A3"/>
    <w:rsid w:val="007C1332"/>
    <w:rsid w:val="007C1398"/>
    <w:rsid w:val="007C161F"/>
    <w:rsid w:val="007C166F"/>
    <w:rsid w:val="007C1D05"/>
    <w:rsid w:val="007C2207"/>
    <w:rsid w:val="007C22F1"/>
    <w:rsid w:val="007C2AB4"/>
    <w:rsid w:val="007C3395"/>
    <w:rsid w:val="007C3B64"/>
    <w:rsid w:val="007C40F2"/>
    <w:rsid w:val="007C45A5"/>
    <w:rsid w:val="007C49BB"/>
    <w:rsid w:val="007C4C0C"/>
    <w:rsid w:val="007C4C39"/>
    <w:rsid w:val="007C554D"/>
    <w:rsid w:val="007C5623"/>
    <w:rsid w:val="007C65FE"/>
    <w:rsid w:val="007C6828"/>
    <w:rsid w:val="007C6CD4"/>
    <w:rsid w:val="007D039D"/>
    <w:rsid w:val="007D0B01"/>
    <w:rsid w:val="007D0B11"/>
    <w:rsid w:val="007D120D"/>
    <w:rsid w:val="007D1531"/>
    <w:rsid w:val="007D153F"/>
    <w:rsid w:val="007D1CAC"/>
    <w:rsid w:val="007D1D04"/>
    <w:rsid w:val="007D2083"/>
    <w:rsid w:val="007D2271"/>
    <w:rsid w:val="007D2366"/>
    <w:rsid w:val="007D2BE5"/>
    <w:rsid w:val="007D2C3D"/>
    <w:rsid w:val="007D2F34"/>
    <w:rsid w:val="007D3637"/>
    <w:rsid w:val="007D382F"/>
    <w:rsid w:val="007D3847"/>
    <w:rsid w:val="007D4EDB"/>
    <w:rsid w:val="007D5364"/>
    <w:rsid w:val="007D54DA"/>
    <w:rsid w:val="007D560E"/>
    <w:rsid w:val="007D56CB"/>
    <w:rsid w:val="007D5C60"/>
    <w:rsid w:val="007D638B"/>
    <w:rsid w:val="007D6C82"/>
    <w:rsid w:val="007D6D4D"/>
    <w:rsid w:val="007D772A"/>
    <w:rsid w:val="007D787C"/>
    <w:rsid w:val="007E00AA"/>
    <w:rsid w:val="007E05C6"/>
    <w:rsid w:val="007E06D5"/>
    <w:rsid w:val="007E0B27"/>
    <w:rsid w:val="007E0B49"/>
    <w:rsid w:val="007E12D5"/>
    <w:rsid w:val="007E1719"/>
    <w:rsid w:val="007E184C"/>
    <w:rsid w:val="007E1A71"/>
    <w:rsid w:val="007E1E5F"/>
    <w:rsid w:val="007E21AF"/>
    <w:rsid w:val="007E2258"/>
    <w:rsid w:val="007E2762"/>
    <w:rsid w:val="007E2FA5"/>
    <w:rsid w:val="007E319A"/>
    <w:rsid w:val="007E3252"/>
    <w:rsid w:val="007E3868"/>
    <w:rsid w:val="007E3929"/>
    <w:rsid w:val="007E39B3"/>
    <w:rsid w:val="007E3B3A"/>
    <w:rsid w:val="007E40B3"/>
    <w:rsid w:val="007E4317"/>
    <w:rsid w:val="007E46A8"/>
    <w:rsid w:val="007E475A"/>
    <w:rsid w:val="007E5C7E"/>
    <w:rsid w:val="007E604B"/>
    <w:rsid w:val="007E62B0"/>
    <w:rsid w:val="007E6394"/>
    <w:rsid w:val="007E6851"/>
    <w:rsid w:val="007E68B4"/>
    <w:rsid w:val="007E7249"/>
    <w:rsid w:val="007E727D"/>
    <w:rsid w:val="007E7366"/>
    <w:rsid w:val="007E73F6"/>
    <w:rsid w:val="007E7418"/>
    <w:rsid w:val="007E75C0"/>
    <w:rsid w:val="007E7783"/>
    <w:rsid w:val="007E79AE"/>
    <w:rsid w:val="007E79BC"/>
    <w:rsid w:val="007E7D01"/>
    <w:rsid w:val="007F0011"/>
    <w:rsid w:val="007F0702"/>
    <w:rsid w:val="007F0D0D"/>
    <w:rsid w:val="007F1365"/>
    <w:rsid w:val="007F168A"/>
    <w:rsid w:val="007F176C"/>
    <w:rsid w:val="007F23EA"/>
    <w:rsid w:val="007F25A5"/>
    <w:rsid w:val="007F2A4A"/>
    <w:rsid w:val="007F2A7C"/>
    <w:rsid w:val="007F3124"/>
    <w:rsid w:val="007F365E"/>
    <w:rsid w:val="007F4119"/>
    <w:rsid w:val="007F4473"/>
    <w:rsid w:val="007F46A1"/>
    <w:rsid w:val="007F48D6"/>
    <w:rsid w:val="007F4ADC"/>
    <w:rsid w:val="007F4B78"/>
    <w:rsid w:val="007F585B"/>
    <w:rsid w:val="007F600F"/>
    <w:rsid w:val="007F6217"/>
    <w:rsid w:val="007F62C3"/>
    <w:rsid w:val="007F65FB"/>
    <w:rsid w:val="007F673E"/>
    <w:rsid w:val="007F6848"/>
    <w:rsid w:val="007F6C11"/>
    <w:rsid w:val="007F6D4B"/>
    <w:rsid w:val="007F6FA1"/>
    <w:rsid w:val="007F6FA6"/>
    <w:rsid w:val="007F723B"/>
    <w:rsid w:val="007F7ACF"/>
    <w:rsid w:val="007F7B1F"/>
    <w:rsid w:val="00800305"/>
    <w:rsid w:val="008006F9"/>
    <w:rsid w:val="00800724"/>
    <w:rsid w:val="00800A70"/>
    <w:rsid w:val="00801036"/>
    <w:rsid w:val="00801243"/>
    <w:rsid w:val="0080151B"/>
    <w:rsid w:val="00801B70"/>
    <w:rsid w:val="00801E41"/>
    <w:rsid w:val="00802DAC"/>
    <w:rsid w:val="00803205"/>
    <w:rsid w:val="00803680"/>
    <w:rsid w:val="00803683"/>
    <w:rsid w:val="00803C7D"/>
    <w:rsid w:val="00803FB2"/>
    <w:rsid w:val="00803FFA"/>
    <w:rsid w:val="0080449C"/>
    <w:rsid w:val="0080485B"/>
    <w:rsid w:val="0080489D"/>
    <w:rsid w:val="00804D16"/>
    <w:rsid w:val="008051A8"/>
    <w:rsid w:val="00805203"/>
    <w:rsid w:val="0080540F"/>
    <w:rsid w:val="00805448"/>
    <w:rsid w:val="00805481"/>
    <w:rsid w:val="00805812"/>
    <w:rsid w:val="00805893"/>
    <w:rsid w:val="00805D43"/>
    <w:rsid w:val="0080602D"/>
    <w:rsid w:val="008063F7"/>
    <w:rsid w:val="0080697B"/>
    <w:rsid w:val="008069D9"/>
    <w:rsid w:val="00806A6C"/>
    <w:rsid w:val="00806C74"/>
    <w:rsid w:val="00806FFB"/>
    <w:rsid w:val="00807029"/>
    <w:rsid w:val="008073FF"/>
    <w:rsid w:val="00807646"/>
    <w:rsid w:val="00810424"/>
    <w:rsid w:val="00810624"/>
    <w:rsid w:val="00810A9D"/>
    <w:rsid w:val="00810E49"/>
    <w:rsid w:val="00811580"/>
    <w:rsid w:val="008115B7"/>
    <w:rsid w:val="00811664"/>
    <w:rsid w:val="00811715"/>
    <w:rsid w:val="008117D3"/>
    <w:rsid w:val="008117E7"/>
    <w:rsid w:val="0081188A"/>
    <w:rsid w:val="00811963"/>
    <w:rsid w:val="00811A7E"/>
    <w:rsid w:val="00811ECF"/>
    <w:rsid w:val="00811F24"/>
    <w:rsid w:val="0081205A"/>
    <w:rsid w:val="00812B35"/>
    <w:rsid w:val="00812BCB"/>
    <w:rsid w:val="00812D0F"/>
    <w:rsid w:val="00813165"/>
    <w:rsid w:val="0081321A"/>
    <w:rsid w:val="00813380"/>
    <w:rsid w:val="00813484"/>
    <w:rsid w:val="00813619"/>
    <w:rsid w:val="00813BF2"/>
    <w:rsid w:val="00813BFC"/>
    <w:rsid w:val="00813C65"/>
    <w:rsid w:val="008145BA"/>
    <w:rsid w:val="00814D65"/>
    <w:rsid w:val="00814E8B"/>
    <w:rsid w:val="008154D6"/>
    <w:rsid w:val="00815E22"/>
    <w:rsid w:val="0081633F"/>
    <w:rsid w:val="008168B7"/>
    <w:rsid w:val="008168C7"/>
    <w:rsid w:val="00816EE6"/>
    <w:rsid w:val="008170EC"/>
    <w:rsid w:val="0081729C"/>
    <w:rsid w:val="00817476"/>
    <w:rsid w:val="00817C73"/>
    <w:rsid w:val="00817E6C"/>
    <w:rsid w:val="00817FC5"/>
    <w:rsid w:val="00820109"/>
    <w:rsid w:val="00820D8C"/>
    <w:rsid w:val="0082178B"/>
    <w:rsid w:val="00821ACA"/>
    <w:rsid w:val="00821C07"/>
    <w:rsid w:val="00821F60"/>
    <w:rsid w:val="008221DF"/>
    <w:rsid w:val="0082229C"/>
    <w:rsid w:val="00822994"/>
    <w:rsid w:val="00822B54"/>
    <w:rsid w:val="008236E5"/>
    <w:rsid w:val="008248B0"/>
    <w:rsid w:val="00824A74"/>
    <w:rsid w:val="00824C7C"/>
    <w:rsid w:val="00825475"/>
    <w:rsid w:val="00825824"/>
    <w:rsid w:val="00825A26"/>
    <w:rsid w:val="00825E83"/>
    <w:rsid w:val="00826072"/>
    <w:rsid w:val="00826FBD"/>
    <w:rsid w:val="0082732F"/>
    <w:rsid w:val="00827899"/>
    <w:rsid w:val="008278D4"/>
    <w:rsid w:val="00827A08"/>
    <w:rsid w:val="00827A41"/>
    <w:rsid w:val="00827BA1"/>
    <w:rsid w:val="00827D03"/>
    <w:rsid w:val="00827D28"/>
    <w:rsid w:val="00827FBC"/>
    <w:rsid w:val="008301C1"/>
    <w:rsid w:val="008301DB"/>
    <w:rsid w:val="0083024A"/>
    <w:rsid w:val="008308C4"/>
    <w:rsid w:val="008321AA"/>
    <w:rsid w:val="0083229F"/>
    <w:rsid w:val="008325B6"/>
    <w:rsid w:val="00832A8D"/>
    <w:rsid w:val="00832C8C"/>
    <w:rsid w:val="00833220"/>
    <w:rsid w:val="00833361"/>
    <w:rsid w:val="00833809"/>
    <w:rsid w:val="00833BE6"/>
    <w:rsid w:val="00833CBD"/>
    <w:rsid w:val="008341D9"/>
    <w:rsid w:val="008348D0"/>
    <w:rsid w:val="00834BF3"/>
    <w:rsid w:val="00835228"/>
    <w:rsid w:val="00835586"/>
    <w:rsid w:val="008355A8"/>
    <w:rsid w:val="0083566A"/>
    <w:rsid w:val="00835921"/>
    <w:rsid w:val="00835BF2"/>
    <w:rsid w:val="00835C93"/>
    <w:rsid w:val="00835DC2"/>
    <w:rsid w:val="008361FD"/>
    <w:rsid w:val="00836578"/>
    <w:rsid w:val="00836CC1"/>
    <w:rsid w:val="00836CD7"/>
    <w:rsid w:val="00837A87"/>
    <w:rsid w:val="00840160"/>
    <w:rsid w:val="008405BB"/>
    <w:rsid w:val="0084083E"/>
    <w:rsid w:val="00840A0D"/>
    <w:rsid w:val="00840AAD"/>
    <w:rsid w:val="00840E3E"/>
    <w:rsid w:val="00841482"/>
    <w:rsid w:val="008417EC"/>
    <w:rsid w:val="00841922"/>
    <w:rsid w:val="00841C3D"/>
    <w:rsid w:val="00841CBB"/>
    <w:rsid w:val="008420A7"/>
    <w:rsid w:val="00843058"/>
    <w:rsid w:val="008431B1"/>
    <w:rsid w:val="0084329E"/>
    <w:rsid w:val="008435B1"/>
    <w:rsid w:val="008435EC"/>
    <w:rsid w:val="008438A7"/>
    <w:rsid w:val="008440C4"/>
    <w:rsid w:val="00844258"/>
    <w:rsid w:val="0084426A"/>
    <w:rsid w:val="00844897"/>
    <w:rsid w:val="00844AAA"/>
    <w:rsid w:val="00844E0D"/>
    <w:rsid w:val="00844FAA"/>
    <w:rsid w:val="0084523B"/>
    <w:rsid w:val="0084555D"/>
    <w:rsid w:val="00845CB5"/>
    <w:rsid w:val="00845E5C"/>
    <w:rsid w:val="008462BA"/>
    <w:rsid w:val="0084646F"/>
    <w:rsid w:val="00847056"/>
    <w:rsid w:val="0084720E"/>
    <w:rsid w:val="00847D60"/>
    <w:rsid w:val="00850264"/>
    <w:rsid w:val="00850648"/>
    <w:rsid w:val="008506F9"/>
    <w:rsid w:val="00850C11"/>
    <w:rsid w:val="00850FF1"/>
    <w:rsid w:val="008511BE"/>
    <w:rsid w:val="008512EE"/>
    <w:rsid w:val="008517EF"/>
    <w:rsid w:val="008518B0"/>
    <w:rsid w:val="008519C5"/>
    <w:rsid w:val="00851D0D"/>
    <w:rsid w:val="00851E28"/>
    <w:rsid w:val="00852782"/>
    <w:rsid w:val="00853002"/>
    <w:rsid w:val="008535C7"/>
    <w:rsid w:val="00853716"/>
    <w:rsid w:val="00853961"/>
    <w:rsid w:val="008539F4"/>
    <w:rsid w:val="00853C94"/>
    <w:rsid w:val="00853CCA"/>
    <w:rsid w:val="00853D66"/>
    <w:rsid w:val="0085432E"/>
    <w:rsid w:val="008543E8"/>
    <w:rsid w:val="00854DBC"/>
    <w:rsid w:val="00855254"/>
    <w:rsid w:val="008556A8"/>
    <w:rsid w:val="00855C1B"/>
    <w:rsid w:val="00855D1A"/>
    <w:rsid w:val="00855F32"/>
    <w:rsid w:val="00856441"/>
    <w:rsid w:val="00856570"/>
    <w:rsid w:val="00856CB6"/>
    <w:rsid w:val="00856EB8"/>
    <w:rsid w:val="00856F57"/>
    <w:rsid w:val="00857758"/>
    <w:rsid w:val="008578EC"/>
    <w:rsid w:val="00857CB7"/>
    <w:rsid w:val="00860496"/>
    <w:rsid w:val="0086055D"/>
    <w:rsid w:val="008609D2"/>
    <w:rsid w:val="00860D5A"/>
    <w:rsid w:val="00860FF7"/>
    <w:rsid w:val="008620D8"/>
    <w:rsid w:val="0086309E"/>
    <w:rsid w:val="00863260"/>
    <w:rsid w:val="00863552"/>
    <w:rsid w:val="008635C4"/>
    <w:rsid w:val="008638CF"/>
    <w:rsid w:val="00863C73"/>
    <w:rsid w:val="00863D08"/>
    <w:rsid w:val="00863DF4"/>
    <w:rsid w:val="008641C7"/>
    <w:rsid w:val="00864467"/>
    <w:rsid w:val="00864789"/>
    <w:rsid w:val="00864AE3"/>
    <w:rsid w:val="00865CCA"/>
    <w:rsid w:val="0086611F"/>
    <w:rsid w:val="0086649B"/>
    <w:rsid w:val="00866680"/>
    <w:rsid w:val="00867C00"/>
    <w:rsid w:val="00867F1A"/>
    <w:rsid w:val="008702C8"/>
    <w:rsid w:val="0087045C"/>
    <w:rsid w:val="008704AE"/>
    <w:rsid w:val="00870516"/>
    <w:rsid w:val="008705C5"/>
    <w:rsid w:val="00870ED8"/>
    <w:rsid w:val="0087150C"/>
    <w:rsid w:val="00871799"/>
    <w:rsid w:val="00871F2E"/>
    <w:rsid w:val="00872095"/>
    <w:rsid w:val="008720D3"/>
    <w:rsid w:val="00872349"/>
    <w:rsid w:val="008723A4"/>
    <w:rsid w:val="0087295D"/>
    <w:rsid w:val="00872C1B"/>
    <w:rsid w:val="00873151"/>
    <w:rsid w:val="008733E6"/>
    <w:rsid w:val="008741C3"/>
    <w:rsid w:val="0087471D"/>
    <w:rsid w:val="00874796"/>
    <w:rsid w:val="008747D7"/>
    <w:rsid w:val="008747EC"/>
    <w:rsid w:val="0087486D"/>
    <w:rsid w:val="00875F93"/>
    <w:rsid w:val="008768A4"/>
    <w:rsid w:val="00876917"/>
    <w:rsid w:val="00876C7F"/>
    <w:rsid w:val="00876D61"/>
    <w:rsid w:val="00876F7E"/>
    <w:rsid w:val="0087708A"/>
    <w:rsid w:val="008770D0"/>
    <w:rsid w:val="00877376"/>
    <w:rsid w:val="00877443"/>
    <w:rsid w:val="008779FC"/>
    <w:rsid w:val="00877EFB"/>
    <w:rsid w:val="0088008C"/>
    <w:rsid w:val="00880B1C"/>
    <w:rsid w:val="00880EA2"/>
    <w:rsid w:val="00882012"/>
    <w:rsid w:val="00882136"/>
    <w:rsid w:val="008828BD"/>
    <w:rsid w:val="00882D51"/>
    <w:rsid w:val="00882DA6"/>
    <w:rsid w:val="00882FD7"/>
    <w:rsid w:val="00883990"/>
    <w:rsid w:val="00883CE1"/>
    <w:rsid w:val="0088424B"/>
    <w:rsid w:val="0088442A"/>
    <w:rsid w:val="0088444B"/>
    <w:rsid w:val="008848C7"/>
    <w:rsid w:val="00884A11"/>
    <w:rsid w:val="00884A23"/>
    <w:rsid w:val="00884C5B"/>
    <w:rsid w:val="008856FC"/>
    <w:rsid w:val="00885781"/>
    <w:rsid w:val="00885A4A"/>
    <w:rsid w:val="00885AE0"/>
    <w:rsid w:val="00885B39"/>
    <w:rsid w:val="00885D27"/>
    <w:rsid w:val="00885FCF"/>
    <w:rsid w:val="00886064"/>
    <w:rsid w:val="008862A5"/>
    <w:rsid w:val="0088648E"/>
    <w:rsid w:val="00886542"/>
    <w:rsid w:val="008867DF"/>
    <w:rsid w:val="008869FA"/>
    <w:rsid w:val="00886F1A"/>
    <w:rsid w:val="0088721D"/>
    <w:rsid w:val="008873E2"/>
    <w:rsid w:val="00887429"/>
    <w:rsid w:val="0088761C"/>
    <w:rsid w:val="00887B80"/>
    <w:rsid w:val="00887FEB"/>
    <w:rsid w:val="00890062"/>
    <w:rsid w:val="008901DA"/>
    <w:rsid w:val="008906ED"/>
    <w:rsid w:val="0089082A"/>
    <w:rsid w:val="00890AE0"/>
    <w:rsid w:val="008910E0"/>
    <w:rsid w:val="0089123E"/>
    <w:rsid w:val="008917EA"/>
    <w:rsid w:val="00891878"/>
    <w:rsid w:val="00891D37"/>
    <w:rsid w:val="0089281D"/>
    <w:rsid w:val="00892A84"/>
    <w:rsid w:val="00892C9A"/>
    <w:rsid w:val="008932D8"/>
    <w:rsid w:val="00893914"/>
    <w:rsid w:val="0089424A"/>
    <w:rsid w:val="008943CD"/>
    <w:rsid w:val="00894759"/>
    <w:rsid w:val="0089484C"/>
    <w:rsid w:val="00894B32"/>
    <w:rsid w:val="00894BFE"/>
    <w:rsid w:val="00894E5B"/>
    <w:rsid w:val="008951E1"/>
    <w:rsid w:val="008954B2"/>
    <w:rsid w:val="00895977"/>
    <w:rsid w:val="00895B24"/>
    <w:rsid w:val="00895B30"/>
    <w:rsid w:val="00895F3B"/>
    <w:rsid w:val="0089648F"/>
    <w:rsid w:val="0089671B"/>
    <w:rsid w:val="00896C68"/>
    <w:rsid w:val="008978B4"/>
    <w:rsid w:val="008A0308"/>
    <w:rsid w:val="008A048D"/>
    <w:rsid w:val="008A06E5"/>
    <w:rsid w:val="008A0B0A"/>
    <w:rsid w:val="008A0EAA"/>
    <w:rsid w:val="008A0EDF"/>
    <w:rsid w:val="008A0FC6"/>
    <w:rsid w:val="008A1200"/>
    <w:rsid w:val="008A229A"/>
    <w:rsid w:val="008A23F4"/>
    <w:rsid w:val="008A24D8"/>
    <w:rsid w:val="008A2556"/>
    <w:rsid w:val="008A25F0"/>
    <w:rsid w:val="008A2C14"/>
    <w:rsid w:val="008A2E70"/>
    <w:rsid w:val="008A2F0A"/>
    <w:rsid w:val="008A31B0"/>
    <w:rsid w:val="008A328B"/>
    <w:rsid w:val="008A3C56"/>
    <w:rsid w:val="008A4209"/>
    <w:rsid w:val="008A4461"/>
    <w:rsid w:val="008A480B"/>
    <w:rsid w:val="008A4AD4"/>
    <w:rsid w:val="008A4D34"/>
    <w:rsid w:val="008A4DFC"/>
    <w:rsid w:val="008A4E2E"/>
    <w:rsid w:val="008A5271"/>
    <w:rsid w:val="008A528A"/>
    <w:rsid w:val="008A5647"/>
    <w:rsid w:val="008A59F2"/>
    <w:rsid w:val="008A5A9E"/>
    <w:rsid w:val="008A5EA8"/>
    <w:rsid w:val="008A608D"/>
    <w:rsid w:val="008A68B0"/>
    <w:rsid w:val="008A6964"/>
    <w:rsid w:val="008A6AA0"/>
    <w:rsid w:val="008A6AAF"/>
    <w:rsid w:val="008A6C60"/>
    <w:rsid w:val="008A6EC1"/>
    <w:rsid w:val="008A7852"/>
    <w:rsid w:val="008A7A7F"/>
    <w:rsid w:val="008A7D2A"/>
    <w:rsid w:val="008B0331"/>
    <w:rsid w:val="008B03BA"/>
    <w:rsid w:val="008B05A7"/>
    <w:rsid w:val="008B08F9"/>
    <w:rsid w:val="008B0B7D"/>
    <w:rsid w:val="008B0D97"/>
    <w:rsid w:val="008B0E4F"/>
    <w:rsid w:val="008B1989"/>
    <w:rsid w:val="008B1EFF"/>
    <w:rsid w:val="008B277D"/>
    <w:rsid w:val="008B2827"/>
    <w:rsid w:val="008B2B9E"/>
    <w:rsid w:val="008B2DC1"/>
    <w:rsid w:val="008B2EC5"/>
    <w:rsid w:val="008B2F20"/>
    <w:rsid w:val="008B33A5"/>
    <w:rsid w:val="008B35EC"/>
    <w:rsid w:val="008B3602"/>
    <w:rsid w:val="008B3807"/>
    <w:rsid w:val="008B3C30"/>
    <w:rsid w:val="008B4033"/>
    <w:rsid w:val="008B4051"/>
    <w:rsid w:val="008B42D3"/>
    <w:rsid w:val="008B4520"/>
    <w:rsid w:val="008B4888"/>
    <w:rsid w:val="008B48B5"/>
    <w:rsid w:val="008B48EF"/>
    <w:rsid w:val="008B525F"/>
    <w:rsid w:val="008B5FF9"/>
    <w:rsid w:val="008B6206"/>
    <w:rsid w:val="008B6838"/>
    <w:rsid w:val="008B689B"/>
    <w:rsid w:val="008B692B"/>
    <w:rsid w:val="008B6A19"/>
    <w:rsid w:val="008B6D1E"/>
    <w:rsid w:val="008B743E"/>
    <w:rsid w:val="008B75B2"/>
    <w:rsid w:val="008B7E4C"/>
    <w:rsid w:val="008B7FC2"/>
    <w:rsid w:val="008C0045"/>
    <w:rsid w:val="008C05B1"/>
    <w:rsid w:val="008C087F"/>
    <w:rsid w:val="008C08B2"/>
    <w:rsid w:val="008C0BE7"/>
    <w:rsid w:val="008C0C6B"/>
    <w:rsid w:val="008C10E6"/>
    <w:rsid w:val="008C1A1C"/>
    <w:rsid w:val="008C1B95"/>
    <w:rsid w:val="008C2107"/>
    <w:rsid w:val="008C254A"/>
    <w:rsid w:val="008C26B1"/>
    <w:rsid w:val="008C2AA9"/>
    <w:rsid w:val="008C2B22"/>
    <w:rsid w:val="008C3414"/>
    <w:rsid w:val="008C3726"/>
    <w:rsid w:val="008C4479"/>
    <w:rsid w:val="008C466B"/>
    <w:rsid w:val="008C4954"/>
    <w:rsid w:val="008C4ABA"/>
    <w:rsid w:val="008C4D1C"/>
    <w:rsid w:val="008C4F9A"/>
    <w:rsid w:val="008C51DD"/>
    <w:rsid w:val="008C567A"/>
    <w:rsid w:val="008C5A2F"/>
    <w:rsid w:val="008C5DD9"/>
    <w:rsid w:val="008C5F24"/>
    <w:rsid w:val="008C60AE"/>
    <w:rsid w:val="008C6693"/>
    <w:rsid w:val="008C699A"/>
    <w:rsid w:val="008C6B82"/>
    <w:rsid w:val="008C6F2F"/>
    <w:rsid w:val="008C6F5B"/>
    <w:rsid w:val="008C70F4"/>
    <w:rsid w:val="008C7909"/>
    <w:rsid w:val="008C7968"/>
    <w:rsid w:val="008C7AB1"/>
    <w:rsid w:val="008C7AB7"/>
    <w:rsid w:val="008C7C5F"/>
    <w:rsid w:val="008D0A63"/>
    <w:rsid w:val="008D0EFE"/>
    <w:rsid w:val="008D11B7"/>
    <w:rsid w:val="008D142B"/>
    <w:rsid w:val="008D18E6"/>
    <w:rsid w:val="008D1A5C"/>
    <w:rsid w:val="008D1B86"/>
    <w:rsid w:val="008D1D9A"/>
    <w:rsid w:val="008D1E1D"/>
    <w:rsid w:val="008D2212"/>
    <w:rsid w:val="008D25A6"/>
    <w:rsid w:val="008D2C95"/>
    <w:rsid w:val="008D32BE"/>
    <w:rsid w:val="008D32F6"/>
    <w:rsid w:val="008D34C2"/>
    <w:rsid w:val="008D35CB"/>
    <w:rsid w:val="008D3A9E"/>
    <w:rsid w:val="008D3C0E"/>
    <w:rsid w:val="008D3E15"/>
    <w:rsid w:val="008D3E7B"/>
    <w:rsid w:val="008D3E99"/>
    <w:rsid w:val="008D450A"/>
    <w:rsid w:val="008D4583"/>
    <w:rsid w:val="008D4656"/>
    <w:rsid w:val="008D487E"/>
    <w:rsid w:val="008D48A8"/>
    <w:rsid w:val="008D48AC"/>
    <w:rsid w:val="008D4A87"/>
    <w:rsid w:val="008D4AE7"/>
    <w:rsid w:val="008D4C96"/>
    <w:rsid w:val="008D4D1C"/>
    <w:rsid w:val="008D4E6C"/>
    <w:rsid w:val="008D4F01"/>
    <w:rsid w:val="008D5203"/>
    <w:rsid w:val="008D54BE"/>
    <w:rsid w:val="008D58C8"/>
    <w:rsid w:val="008D5EE5"/>
    <w:rsid w:val="008D60C7"/>
    <w:rsid w:val="008D6267"/>
    <w:rsid w:val="008D6471"/>
    <w:rsid w:val="008D6CDE"/>
    <w:rsid w:val="008D7192"/>
    <w:rsid w:val="008D777A"/>
    <w:rsid w:val="008D79C4"/>
    <w:rsid w:val="008D7B69"/>
    <w:rsid w:val="008D7CBE"/>
    <w:rsid w:val="008D7D8E"/>
    <w:rsid w:val="008D7ED7"/>
    <w:rsid w:val="008E063F"/>
    <w:rsid w:val="008E08FB"/>
    <w:rsid w:val="008E098E"/>
    <w:rsid w:val="008E0995"/>
    <w:rsid w:val="008E0BAF"/>
    <w:rsid w:val="008E0CFD"/>
    <w:rsid w:val="008E1105"/>
    <w:rsid w:val="008E1B41"/>
    <w:rsid w:val="008E1BA8"/>
    <w:rsid w:val="008E1BD8"/>
    <w:rsid w:val="008E3204"/>
    <w:rsid w:val="008E34CE"/>
    <w:rsid w:val="008E3518"/>
    <w:rsid w:val="008E3BC5"/>
    <w:rsid w:val="008E4153"/>
    <w:rsid w:val="008E5331"/>
    <w:rsid w:val="008E55E9"/>
    <w:rsid w:val="008E56F2"/>
    <w:rsid w:val="008E57E9"/>
    <w:rsid w:val="008E595B"/>
    <w:rsid w:val="008E5D0C"/>
    <w:rsid w:val="008E619B"/>
    <w:rsid w:val="008E6253"/>
    <w:rsid w:val="008E66E5"/>
    <w:rsid w:val="008E6AB3"/>
    <w:rsid w:val="008E6ED1"/>
    <w:rsid w:val="008E711E"/>
    <w:rsid w:val="008E7D7B"/>
    <w:rsid w:val="008F00B0"/>
    <w:rsid w:val="008F09A8"/>
    <w:rsid w:val="008F0E1A"/>
    <w:rsid w:val="008F0FD4"/>
    <w:rsid w:val="008F12D8"/>
    <w:rsid w:val="008F12E3"/>
    <w:rsid w:val="008F13FA"/>
    <w:rsid w:val="008F164B"/>
    <w:rsid w:val="008F1A6E"/>
    <w:rsid w:val="008F1D9F"/>
    <w:rsid w:val="008F2333"/>
    <w:rsid w:val="008F234F"/>
    <w:rsid w:val="008F2644"/>
    <w:rsid w:val="008F2813"/>
    <w:rsid w:val="008F292E"/>
    <w:rsid w:val="008F2935"/>
    <w:rsid w:val="008F2E5B"/>
    <w:rsid w:val="008F2EA9"/>
    <w:rsid w:val="008F310F"/>
    <w:rsid w:val="008F3904"/>
    <w:rsid w:val="008F3AB8"/>
    <w:rsid w:val="008F47A3"/>
    <w:rsid w:val="008F4D08"/>
    <w:rsid w:val="008F4D40"/>
    <w:rsid w:val="008F4EEF"/>
    <w:rsid w:val="008F504C"/>
    <w:rsid w:val="008F54DE"/>
    <w:rsid w:val="008F5638"/>
    <w:rsid w:val="008F56CB"/>
    <w:rsid w:val="008F5D1A"/>
    <w:rsid w:val="008F5E45"/>
    <w:rsid w:val="008F5E92"/>
    <w:rsid w:val="008F604A"/>
    <w:rsid w:val="008F60AA"/>
    <w:rsid w:val="008F60E4"/>
    <w:rsid w:val="008F6264"/>
    <w:rsid w:val="008F635E"/>
    <w:rsid w:val="008F6A1B"/>
    <w:rsid w:val="008F6A39"/>
    <w:rsid w:val="008F6EB6"/>
    <w:rsid w:val="008F7D30"/>
    <w:rsid w:val="009002CE"/>
    <w:rsid w:val="009002EC"/>
    <w:rsid w:val="00900320"/>
    <w:rsid w:val="009006DC"/>
    <w:rsid w:val="009008AE"/>
    <w:rsid w:val="00900913"/>
    <w:rsid w:val="00900A8E"/>
    <w:rsid w:val="00900C39"/>
    <w:rsid w:val="0090122D"/>
    <w:rsid w:val="0090155D"/>
    <w:rsid w:val="0090169C"/>
    <w:rsid w:val="00901945"/>
    <w:rsid w:val="00901A1D"/>
    <w:rsid w:val="00901A4D"/>
    <w:rsid w:val="00901D16"/>
    <w:rsid w:val="0090258A"/>
    <w:rsid w:val="009025AF"/>
    <w:rsid w:val="00902696"/>
    <w:rsid w:val="009034F0"/>
    <w:rsid w:val="00903537"/>
    <w:rsid w:val="00903784"/>
    <w:rsid w:val="00903827"/>
    <w:rsid w:val="00903974"/>
    <w:rsid w:val="00903A0B"/>
    <w:rsid w:val="00904101"/>
    <w:rsid w:val="00904910"/>
    <w:rsid w:val="00904BBC"/>
    <w:rsid w:val="00904CF0"/>
    <w:rsid w:val="00904DCD"/>
    <w:rsid w:val="00905BDA"/>
    <w:rsid w:val="00905C28"/>
    <w:rsid w:val="00905E82"/>
    <w:rsid w:val="009060C9"/>
    <w:rsid w:val="0090634D"/>
    <w:rsid w:val="00906AAF"/>
    <w:rsid w:val="00906B25"/>
    <w:rsid w:val="00906FBE"/>
    <w:rsid w:val="0090701A"/>
    <w:rsid w:val="009070F3"/>
    <w:rsid w:val="009072E9"/>
    <w:rsid w:val="0090782C"/>
    <w:rsid w:val="00907985"/>
    <w:rsid w:val="00910107"/>
    <w:rsid w:val="0091034A"/>
    <w:rsid w:val="0091089B"/>
    <w:rsid w:val="0091090E"/>
    <w:rsid w:val="009109C6"/>
    <w:rsid w:val="00911192"/>
    <w:rsid w:val="0091143C"/>
    <w:rsid w:val="009115C4"/>
    <w:rsid w:val="009115DD"/>
    <w:rsid w:val="0091197C"/>
    <w:rsid w:val="009119A3"/>
    <w:rsid w:val="009121AF"/>
    <w:rsid w:val="00912B35"/>
    <w:rsid w:val="00912DAE"/>
    <w:rsid w:val="00913365"/>
    <w:rsid w:val="009138AB"/>
    <w:rsid w:val="00914197"/>
    <w:rsid w:val="009142F1"/>
    <w:rsid w:val="009151D3"/>
    <w:rsid w:val="009155CE"/>
    <w:rsid w:val="00915866"/>
    <w:rsid w:val="0091597B"/>
    <w:rsid w:val="00915AC0"/>
    <w:rsid w:val="00916031"/>
    <w:rsid w:val="009163AD"/>
    <w:rsid w:val="009169FB"/>
    <w:rsid w:val="00916B68"/>
    <w:rsid w:val="00916DA1"/>
    <w:rsid w:val="00917351"/>
    <w:rsid w:val="00917941"/>
    <w:rsid w:val="00917E15"/>
    <w:rsid w:val="00917F35"/>
    <w:rsid w:val="00917FFC"/>
    <w:rsid w:val="0092007C"/>
    <w:rsid w:val="00920284"/>
    <w:rsid w:val="009202DD"/>
    <w:rsid w:val="00920C00"/>
    <w:rsid w:val="00920ED7"/>
    <w:rsid w:val="00921097"/>
    <w:rsid w:val="0092109D"/>
    <w:rsid w:val="00921432"/>
    <w:rsid w:val="00921946"/>
    <w:rsid w:val="00921A9E"/>
    <w:rsid w:val="00921CED"/>
    <w:rsid w:val="00921D4C"/>
    <w:rsid w:val="0092225E"/>
    <w:rsid w:val="00922ADD"/>
    <w:rsid w:val="00922BB7"/>
    <w:rsid w:val="0092314A"/>
    <w:rsid w:val="00923273"/>
    <w:rsid w:val="009233F7"/>
    <w:rsid w:val="0092372A"/>
    <w:rsid w:val="00923DFA"/>
    <w:rsid w:val="00923E80"/>
    <w:rsid w:val="00923F62"/>
    <w:rsid w:val="00924384"/>
    <w:rsid w:val="00924A16"/>
    <w:rsid w:val="00924B50"/>
    <w:rsid w:val="00924F9C"/>
    <w:rsid w:val="00925488"/>
    <w:rsid w:val="009255A4"/>
    <w:rsid w:val="00925D8E"/>
    <w:rsid w:val="009260F9"/>
    <w:rsid w:val="009262C6"/>
    <w:rsid w:val="009262CC"/>
    <w:rsid w:val="00926354"/>
    <w:rsid w:val="00926557"/>
    <w:rsid w:val="009265BB"/>
    <w:rsid w:val="00926E65"/>
    <w:rsid w:val="00926F25"/>
    <w:rsid w:val="00926F4F"/>
    <w:rsid w:val="0092719F"/>
    <w:rsid w:val="00927BE0"/>
    <w:rsid w:val="00927FD1"/>
    <w:rsid w:val="00930497"/>
    <w:rsid w:val="00930629"/>
    <w:rsid w:val="00930E3E"/>
    <w:rsid w:val="009312C3"/>
    <w:rsid w:val="009313E3"/>
    <w:rsid w:val="00931AF9"/>
    <w:rsid w:val="00932800"/>
    <w:rsid w:val="00932A59"/>
    <w:rsid w:val="00932BA8"/>
    <w:rsid w:val="009337C1"/>
    <w:rsid w:val="009339E5"/>
    <w:rsid w:val="00933DFA"/>
    <w:rsid w:val="00933F29"/>
    <w:rsid w:val="0093445F"/>
    <w:rsid w:val="0093460D"/>
    <w:rsid w:val="0093471F"/>
    <w:rsid w:val="009347F4"/>
    <w:rsid w:val="00934B6A"/>
    <w:rsid w:val="00934C7B"/>
    <w:rsid w:val="0093535C"/>
    <w:rsid w:val="009356DD"/>
    <w:rsid w:val="00935892"/>
    <w:rsid w:val="00935F7A"/>
    <w:rsid w:val="009364EB"/>
    <w:rsid w:val="0093699B"/>
    <w:rsid w:val="009374F0"/>
    <w:rsid w:val="0093786C"/>
    <w:rsid w:val="00937CC0"/>
    <w:rsid w:val="00940022"/>
    <w:rsid w:val="009406C7"/>
    <w:rsid w:val="009407FD"/>
    <w:rsid w:val="00940C0D"/>
    <w:rsid w:val="0094138F"/>
    <w:rsid w:val="00941962"/>
    <w:rsid w:val="00941B33"/>
    <w:rsid w:val="00941C3F"/>
    <w:rsid w:val="00941EAD"/>
    <w:rsid w:val="00941EF0"/>
    <w:rsid w:val="00942421"/>
    <w:rsid w:val="00942482"/>
    <w:rsid w:val="009424FB"/>
    <w:rsid w:val="009426F3"/>
    <w:rsid w:val="00942AD4"/>
    <w:rsid w:val="00942FDF"/>
    <w:rsid w:val="00943181"/>
    <w:rsid w:val="00943601"/>
    <w:rsid w:val="009437FA"/>
    <w:rsid w:val="0094382E"/>
    <w:rsid w:val="009438EE"/>
    <w:rsid w:val="00943EDA"/>
    <w:rsid w:val="00944480"/>
    <w:rsid w:val="00944723"/>
    <w:rsid w:val="0094487E"/>
    <w:rsid w:val="00944AB1"/>
    <w:rsid w:val="00944E95"/>
    <w:rsid w:val="009450B2"/>
    <w:rsid w:val="009451E4"/>
    <w:rsid w:val="0094555B"/>
    <w:rsid w:val="009455EE"/>
    <w:rsid w:val="009459A5"/>
    <w:rsid w:val="009465C9"/>
    <w:rsid w:val="00946A3B"/>
    <w:rsid w:val="00946B9D"/>
    <w:rsid w:val="009470DF"/>
    <w:rsid w:val="00947571"/>
    <w:rsid w:val="009477AC"/>
    <w:rsid w:val="009479F7"/>
    <w:rsid w:val="00947A9D"/>
    <w:rsid w:val="00950963"/>
    <w:rsid w:val="00950C9B"/>
    <w:rsid w:val="00950CD5"/>
    <w:rsid w:val="00951350"/>
    <w:rsid w:val="00951388"/>
    <w:rsid w:val="00951472"/>
    <w:rsid w:val="0095216D"/>
    <w:rsid w:val="00952896"/>
    <w:rsid w:val="009529D7"/>
    <w:rsid w:val="00952A71"/>
    <w:rsid w:val="00953F45"/>
    <w:rsid w:val="009540A3"/>
    <w:rsid w:val="009542D6"/>
    <w:rsid w:val="00954957"/>
    <w:rsid w:val="00954A4F"/>
    <w:rsid w:val="009552CC"/>
    <w:rsid w:val="009559C8"/>
    <w:rsid w:val="00955C3B"/>
    <w:rsid w:val="00955CBA"/>
    <w:rsid w:val="0095656E"/>
    <w:rsid w:val="009565FA"/>
    <w:rsid w:val="0095680A"/>
    <w:rsid w:val="00956CBA"/>
    <w:rsid w:val="009572F3"/>
    <w:rsid w:val="0095733D"/>
    <w:rsid w:val="009574C8"/>
    <w:rsid w:val="009578AD"/>
    <w:rsid w:val="00957AE8"/>
    <w:rsid w:val="00957F2A"/>
    <w:rsid w:val="00957F3C"/>
    <w:rsid w:val="00960012"/>
    <w:rsid w:val="0096023D"/>
    <w:rsid w:val="009608F6"/>
    <w:rsid w:val="00960A76"/>
    <w:rsid w:val="00960C6A"/>
    <w:rsid w:val="00960DF9"/>
    <w:rsid w:val="00960EB0"/>
    <w:rsid w:val="00960F3F"/>
    <w:rsid w:val="009611CD"/>
    <w:rsid w:val="009612E9"/>
    <w:rsid w:val="009615E3"/>
    <w:rsid w:val="009616B8"/>
    <w:rsid w:val="009618FE"/>
    <w:rsid w:val="00961FDA"/>
    <w:rsid w:val="009620A8"/>
    <w:rsid w:val="009622A6"/>
    <w:rsid w:val="00962520"/>
    <w:rsid w:val="009629A7"/>
    <w:rsid w:val="00962CA5"/>
    <w:rsid w:val="00962E12"/>
    <w:rsid w:val="00963207"/>
    <w:rsid w:val="00963AF0"/>
    <w:rsid w:val="00963C7C"/>
    <w:rsid w:val="009640D7"/>
    <w:rsid w:val="00964D70"/>
    <w:rsid w:val="00965171"/>
    <w:rsid w:val="009657C2"/>
    <w:rsid w:val="00965AC3"/>
    <w:rsid w:val="009661F8"/>
    <w:rsid w:val="00966496"/>
    <w:rsid w:val="009667FE"/>
    <w:rsid w:val="009669C2"/>
    <w:rsid w:val="00966D8C"/>
    <w:rsid w:val="00966FF0"/>
    <w:rsid w:val="00967BE7"/>
    <w:rsid w:val="00967D70"/>
    <w:rsid w:val="00967F30"/>
    <w:rsid w:val="00967F73"/>
    <w:rsid w:val="00967FE3"/>
    <w:rsid w:val="0097018E"/>
    <w:rsid w:val="0097047A"/>
    <w:rsid w:val="00970766"/>
    <w:rsid w:val="00970B58"/>
    <w:rsid w:val="0097111B"/>
    <w:rsid w:val="00971435"/>
    <w:rsid w:val="0097179D"/>
    <w:rsid w:val="00971B5A"/>
    <w:rsid w:val="00972368"/>
    <w:rsid w:val="009723C6"/>
    <w:rsid w:val="00972CD9"/>
    <w:rsid w:val="00972F57"/>
    <w:rsid w:val="0097306E"/>
    <w:rsid w:val="0097306F"/>
    <w:rsid w:val="0097308F"/>
    <w:rsid w:val="0097355E"/>
    <w:rsid w:val="0097390C"/>
    <w:rsid w:val="00973AE0"/>
    <w:rsid w:val="00973D06"/>
    <w:rsid w:val="00973DE9"/>
    <w:rsid w:val="0097409A"/>
    <w:rsid w:val="0097492B"/>
    <w:rsid w:val="009749D2"/>
    <w:rsid w:val="00974DF7"/>
    <w:rsid w:val="00974E68"/>
    <w:rsid w:val="009755CF"/>
    <w:rsid w:val="00975741"/>
    <w:rsid w:val="009757B8"/>
    <w:rsid w:val="00975976"/>
    <w:rsid w:val="0097630E"/>
    <w:rsid w:val="00976BF6"/>
    <w:rsid w:val="00976C76"/>
    <w:rsid w:val="00976F90"/>
    <w:rsid w:val="00977710"/>
    <w:rsid w:val="00977BF2"/>
    <w:rsid w:val="00977E68"/>
    <w:rsid w:val="00977ECF"/>
    <w:rsid w:val="00977EFB"/>
    <w:rsid w:val="00980747"/>
    <w:rsid w:val="00980D04"/>
    <w:rsid w:val="00980D7C"/>
    <w:rsid w:val="009812F7"/>
    <w:rsid w:val="009818C5"/>
    <w:rsid w:val="0098196E"/>
    <w:rsid w:val="00981C4D"/>
    <w:rsid w:val="009822F9"/>
    <w:rsid w:val="009823E2"/>
    <w:rsid w:val="009824C4"/>
    <w:rsid w:val="00982615"/>
    <w:rsid w:val="00982634"/>
    <w:rsid w:val="00982BCC"/>
    <w:rsid w:val="0098368A"/>
    <w:rsid w:val="009848AA"/>
    <w:rsid w:val="00984C54"/>
    <w:rsid w:val="00984F29"/>
    <w:rsid w:val="00985270"/>
    <w:rsid w:val="00985377"/>
    <w:rsid w:val="0098574A"/>
    <w:rsid w:val="009858FF"/>
    <w:rsid w:val="0098592E"/>
    <w:rsid w:val="00985A33"/>
    <w:rsid w:val="00985C55"/>
    <w:rsid w:val="00985DA9"/>
    <w:rsid w:val="009861C4"/>
    <w:rsid w:val="0098623F"/>
    <w:rsid w:val="009866CB"/>
    <w:rsid w:val="00986B73"/>
    <w:rsid w:val="00986FF0"/>
    <w:rsid w:val="009874E5"/>
    <w:rsid w:val="0098786B"/>
    <w:rsid w:val="00987881"/>
    <w:rsid w:val="00987AEE"/>
    <w:rsid w:val="00987CAD"/>
    <w:rsid w:val="0099063B"/>
    <w:rsid w:val="00990B32"/>
    <w:rsid w:val="0099102F"/>
    <w:rsid w:val="0099126E"/>
    <w:rsid w:val="0099188D"/>
    <w:rsid w:val="009918D1"/>
    <w:rsid w:val="00992273"/>
    <w:rsid w:val="00992ACA"/>
    <w:rsid w:val="00992F4A"/>
    <w:rsid w:val="0099301C"/>
    <w:rsid w:val="00993046"/>
    <w:rsid w:val="0099367F"/>
    <w:rsid w:val="009936F4"/>
    <w:rsid w:val="00993C18"/>
    <w:rsid w:val="00993C94"/>
    <w:rsid w:val="00994761"/>
    <w:rsid w:val="00994968"/>
    <w:rsid w:val="00994A15"/>
    <w:rsid w:val="00994AD0"/>
    <w:rsid w:val="009951D8"/>
    <w:rsid w:val="009951F0"/>
    <w:rsid w:val="009952E5"/>
    <w:rsid w:val="009954FD"/>
    <w:rsid w:val="00995B43"/>
    <w:rsid w:val="00995D4B"/>
    <w:rsid w:val="0099612A"/>
    <w:rsid w:val="0099682D"/>
    <w:rsid w:val="00997BF7"/>
    <w:rsid w:val="00997C6B"/>
    <w:rsid w:val="00997C92"/>
    <w:rsid w:val="00997F46"/>
    <w:rsid w:val="00997FE1"/>
    <w:rsid w:val="009A0012"/>
    <w:rsid w:val="009A02B4"/>
    <w:rsid w:val="009A05E8"/>
    <w:rsid w:val="009A090D"/>
    <w:rsid w:val="009A15C9"/>
    <w:rsid w:val="009A1CF9"/>
    <w:rsid w:val="009A2401"/>
    <w:rsid w:val="009A25E1"/>
    <w:rsid w:val="009A26E2"/>
    <w:rsid w:val="009A274F"/>
    <w:rsid w:val="009A280B"/>
    <w:rsid w:val="009A2A8E"/>
    <w:rsid w:val="009A2AD5"/>
    <w:rsid w:val="009A2BD1"/>
    <w:rsid w:val="009A30FA"/>
    <w:rsid w:val="009A3250"/>
    <w:rsid w:val="009A366D"/>
    <w:rsid w:val="009A367E"/>
    <w:rsid w:val="009A3FFD"/>
    <w:rsid w:val="009A4042"/>
    <w:rsid w:val="009A41D3"/>
    <w:rsid w:val="009A479F"/>
    <w:rsid w:val="009A4DB0"/>
    <w:rsid w:val="009A4E28"/>
    <w:rsid w:val="009A4E46"/>
    <w:rsid w:val="009A5AD2"/>
    <w:rsid w:val="009A5B50"/>
    <w:rsid w:val="009A60E5"/>
    <w:rsid w:val="009A663B"/>
    <w:rsid w:val="009A6A46"/>
    <w:rsid w:val="009A6B54"/>
    <w:rsid w:val="009A6B91"/>
    <w:rsid w:val="009A6D72"/>
    <w:rsid w:val="009A70E8"/>
    <w:rsid w:val="009A7138"/>
    <w:rsid w:val="009A7257"/>
    <w:rsid w:val="009A7A0D"/>
    <w:rsid w:val="009A7EBE"/>
    <w:rsid w:val="009A7F2C"/>
    <w:rsid w:val="009B055A"/>
    <w:rsid w:val="009B0743"/>
    <w:rsid w:val="009B0814"/>
    <w:rsid w:val="009B106F"/>
    <w:rsid w:val="009B142D"/>
    <w:rsid w:val="009B157D"/>
    <w:rsid w:val="009B1B3F"/>
    <w:rsid w:val="009B2364"/>
    <w:rsid w:val="009B2403"/>
    <w:rsid w:val="009B2516"/>
    <w:rsid w:val="009B315C"/>
    <w:rsid w:val="009B356F"/>
    <w:rsid w:val="009B42BB"/>
    <w:rsid w:val="009B49FC"/>
    <w:rsid w:val="009B4B03"/>
    <w:rsid w:val="009B4F08"/>
    <w:rsid w:val="009B5FAF"/>
    <w:rsid w:val="009B618F"/>
    <w:rsid w:val="009B67D1"/>
    <w:rsid w:val="009B681A"/>
    <w:rsid w:val="009B70C0"/>
    <w:rsid w:val="009B75F0"/>
    <w:rsid w:val="009C0180"/>
    <w:rsid w:val="009C026B"/>
    <w:rsid w:val="009C0387"/>
    <w:rsid w:val="009C0630"/>
    <w:rsid w:val="009C0823"/>
    <w:rsid w:val="009C0915"/>
    <w:rsid w:val="009C0AA3"/>
    <w:rsid w:val="009C142F"/>
    <w:rsid w:val="009C16DA"/>
    <w:rsid w:val="009C1707"/>
    <w:rsid w:val="009C18B9"/>
    <w:rsid w:val="009C1C05"/>
    <w:rsid w:val="009C31BA"/>
    <w:rsid w:val="009C34C8"/>
    <w:rsid w:val="009C36D7"/>
    <w:rsid w:val="009C3722"/>
    <w:rsid w:val="009C4D87"/>
    <w:rsid w:val="009C4EC5"/>
    <w:rsid w:val="009C5061"/>
    <w:rsid w:val="009C5B27"/>
    <w:rsid w:val="009C5EFF"/>
    <w:rsid w:val="009C611F"/>
    <w:rsid w:val="009C640F"/>
    <w:rsid w:val="009C68DA"/>
    <w:rsid w:val="009C68DC"/>
    <w:rsid w:val="009C6F6E"/>
    <w:rsid w:val="009C71C3"/>
    <w:rsid w:val="009C7477"/>
    <w:rsid w:val="009C7E1A"/>
    <w:rsid w:val="009D05EB"/>
    <w:rsid w:val="009D06B4"/>
    <w:rsid w:val="009D0836"/>
    <w:rsid w:val="009D0F27"/>
    <w:rsid w:val="009D0F31"/>
    <w:rsid w:val="009D102B"/>
    <w:rsid w:val="009D120B"/>
    <w:rsid w:val="009D14E8"/>
    <w:rsid w:val="009D1633"/>
    <w:rsid w:val="009D1818"/>
    <w:rsid w:val="009D19F8"/>
    <w:rsid w:val="009D1A98"/>
    <w:rsid w:val="009D205B"/>
    <w:rsid w:val="009D2947"/>
    <w:rsid w:val="009D2A60"/>
    <w:rsid w:val="009D2CB7"/>
    <w:rsid w:val="009D2EBA"/>
    <w:rsid w:val="009D35D3"/>
    <w:rsid w:val="009D3A3A"/>
    <w:rsid w:val="009D4524"/>
    <w:rsid w:val="009D46D5"/>
    <w:rsid w:val="009D4AD8"/>
    <w:rsid w:val="009D5817"/>
    <w:rsid w:val="009D5A8F"/>
    <w:rsid w:val="009D5BFD"/>
    <w:rsid w:val="009D66A1"/>
    <w:rsid w:val="009D6830"/>
    <w:rsid w:val="009D6B05"/>
    <w:rsid w:val="009D7414"/>
    <w:rsid w:val="009D7836"/>
    <w:rsid w:val="009D7841"/>
    <w:rsid w:val="009D7E34"/>
    <w:rsid w:val="009E1B0A"/>
    <w:rsid w:val="009E1E3C"/>
    <w:rsid w:val="009E24F0"/>
    <w:rsid w:val="009E252F"/>
    <w:rsid w:val="009E2A37"/>
    <w:rsid w:val="009E2CF8"/>
    <w:rsid w:val="009E2D20"/>
    <w:rsid w:val="009E2FD2"/>
    <w:rsid w:val="009E32C2"/>
    <w:rsid w:val="009E358C"/>
    <w:rsid w:val="009E36F9"/>
    <w:rsid w:val="009E3765"/>
    <w:rsid w:val="009E3A7D"/>
    <w:rsid w:val="009E3AD1"/>
    <w:rsid w:val="009E3B49"/>
    <w:rsid w:val="009E3E34"/>
    <w:rsid w:val="009E4AE3"/>
    <w:rsid w:val="009E4B5C"/>
    <w:rsid w:val="009E4BF8"/>
    <w:rsid w:val="009E4E38"/>
    <w:rsid w:val="009E516A"/>
    <w:rsid w:val="009E5654"/>
    <w:rsid w:val="009E57B9"/>
    <w:rsid w:val="009E5B2F"/>
    <w:rsid w:val="009E5C74"/>
    <w:rsid w:val="009E6653"/>
    <w:rsid w:val="009E69FC"/>
    <w:rsid w:val="009E6EEE"/>
    <w:rsid w:val="009E7A62"/>
    <w:rsid w:val="009E7F7F"/>
    <w:rsid w:val="009F03DD"/>
    <w:rsid w:val="009F0687"/>
    <w:rsid w:val="009F072F"/>
    <w:rsid w:val="009F0786"/>
    <w:rsid w:val="009F1444"/>
    <w:rsid w:val="009F1CBA"/>
    <w:rsid w:val="009F267C"/>
    <w:rsid w:val="009F28D6"/>
    <w:rsid w:val="009F2BFE"/>
    <w:rsid w:val="009F2C0B"/>
    <w:rsid w:val="009F2CDD"/>
    <w:rsid w:val="009F2E3F"/>
    <w:rsid w:val="009F2E8D"/>
    <w:rsid w:val="009F3122"/>
    <w:rsid w:val="009F3636"/>
    <w:rsid w:val="009F3D3D"/>
    <w:rsid w:val="009F4549"/>
    <w:rsid w:val="009F48DE"/>
    <w:rsid w:val="009F4A80"/>
    <w:rsid w:val="009F4EB9"/>
    <w:rsid w:val="009F5339"/>
    <w:rsid w:val="009F54C7"/>
    <w:rsid w:val="009F5A4E"/>
    <w:rsid w:val="009F5AC5"/>
    <w:rsid w:val="009F6209"/>
    <w:rsid w:val="009F6A22"/>
    <w:rsid w:val="009F7368"/>
    <w:rsid w:val="009F73AA"/>
    <w:rsid w:val="009F7E65"/>
    <w:rsid w:val="00A0081B"/>
    <w:rsid w:val="00A00A3E"/>
    <w:rsid w:val="00A00B72"/>
    <w:rsid w:val="00A00FDA"/>
    <w:rsid w:val="00A01FF6"/>
    <w:rsid w:val="00A0228D"/>
    <w:rsid w:val="00A0258E"/>
    <w:rsid w:val="00A02636"/>
    <w:rsid w:val="00A02C85"/>
    <w:rsid w:val="00A02D0F"/>
    <w:rsid w:val="00A02D94"/>
    <w:rsid w:val="00A02E32"/>
    <w:rsid w:val="00A03090"/>
    <w:rsid w:val="00A03260"/>
    <w:rsid w:val="00A033DF"/>
    <w:rsid w:val="00A039B9"/>
    <w:rsid w:val="00A03DAF"/>
    <w:rsid w:val="00A041D8"/>
    <w:rsid w:val="00A0486E"/>
    <w:rsid w:val="00A05239"/>
    <w:rsid w:val="00A055DD"/>
    <w:rsid w:val="00A060E1"/>
    <w:rsid w:val="00A06475"/>
    <w:rsid w:val="00A064AC"/>
    <w:rsid w:val="00A068DA"/>
    <w:rsid w:val="00A06B10"/>
    <w:rsid w:val="00A06D06"/>
    <w:rsid w:val="00A077CA"/>
    <w:rsid w:val="00A07D52"/>
    <w:rsid w:val="00A07E5A"/>
    <w:rsid w:val="00A10418"/>
    <w:rsid w:val="00A106E3"/>
    <w:rsid w:val="00A107FF"/>
    <w:rsid w:val="00A10ACC"/>
    <w:rsid w:val="00A10CCB"/>
    <w:rsid w:val="00A10D1F"/>
    <w:rsid w:val="00A11170"/>
    <w:rsid w:val="00A1166E"/>
    <w:rsid w:val="00A11693"/>
    <w:rsid w:val="00A11A69"/>
    <w:rsid w:val="00A123F8"/>
    <w:rsid w:val="00A1258B"/>
    <w:rsid w:val="00A12A47"/>
    <w:rsid w:val="00A12D6F"/>
    <w:rsid w:val="00A12D9B"/>
    <w:rsid w:val="00A12DA4"/>
    <w:rsid w:val="00A12E02"/>
    <w:rsid w:val="00A12E7E"/>
    <w:rsid w:val="00A12EE5"/>
    <w:rsid w:val="00A13124"/>
    <w:rsid w:val="00A13148"/>
    <w:rsid w:val="00A13193"/>
    <w:rsid w:val="00A13381"/>
    <w:rsid w:val="00A1338F"/>
    <w:rsid w:val="00A13566"/>
    <w:rsid w:val="00A13761"/>
    <w:rsid w:val="00A13E15"/>
    <w:rsid w:val="00A13FC8"/>
    <w:rsid w:val="00A14173"/>
    <w:rsid w:val="00A145C9"/>
    <w:rsid w:val="00A14748"/>
    <w:rsid w:val="00A14892"/>
    <w:rsid w:val="00A15E12"/>
    <w:rsid w:val="00A15F2E"/>
    <w:rsid w:val="00A16119"/>
    <w:rsid w:val="00A16135"/>
    <w:rsid w:val="00A17099"/>
    <w:rsid w:val="00A171BD"/>
    <w:rsid w:val="00A174C2"/>
    <w:rsid w:val="00A17572"/>
    <w:rsid w:val="00A17826"/>
    <w:rsid w:val="00A179CD"/>
    <w:rsid w:val="00A17E98"/>
    <w:rsid w:val="00A20048"/>
    <w:rsid w:val="00A2053E"/>
    <w:rsid w:val="00A20CD9"/>
    <w:rsid w:val="00A20D95"/>
    <w:rsid w:val="00A210BA"/>
    <w:rsid w:val="00A2162C"/>
    <w:rsid w:val="00A21AB9"/>
    <w:rsid w:val="00A22349"/>
    <w:rsid w:val="00A224DC"/>
    <w:rsid w:val="00A225D4"/>
    <w:rsid w:val="00A23031"/>
    <w:rsid w:val="00A230DA"/>
    <w:rsid w:val="00A2357B"/>
    <w:rsid w:val="00A2362C"/>
    <w:rsid w:val="00A23BF7"/>
    <w:rsid w:val="00A23F79"/>
    <w:rsid w:val="00A2423A"/>
    <w:rsid w:val="00A24972"/>
    <w:rsid w:val="00A254E9"/>
    <w:rsid w:val="00A25554"/>
    <w:rsid w:val="00A258C2"/>
    <w:rsid w:val="00A25B5A"/>
    <w:rsid w:val="00A25D2C"/>
    <w:rsid w:val="00A25E83"/>
    <w:rsid w:val="00A26CA2"/>
    <w:rsid w:val="00A2701E"/>
    <w:rsid w:val="00A272E8"/>
    <w:rsid w:val="00A27689"/>
    <w:rsid w:val="00A27F4B"/>
    <w:rsid w:val="00A3018E"/>
    <w:rsid w:val="00A30302"/>
    <w:rsid w:val="00A30444"/>
    <w:rsid w:val="00A307E4"/>
    <w:rsid w:val="00A30CE5"/>
    <w:rsid w:val="00A30D83"/>
    <w:rsid w:val="00A30E64"/>
    <w:rsid w:val="00A314F2"/>
    <w:rsid w:val="00A31522"/>
    <w:rsid w:val="00A3159F"/>
    <w:rsid w:val="00A31E85"/>
    <w:rsid w:val="00A31F9E"/>
    <w:rsid w:val="00A32199"/>
    <w:rsid w:val="00A323E8"/>
    <w:rsid w:val="00A324BD"/>
    <w:rsid w:val="00A32AF1"/>
    <w:rsid w:val="00A32E09"/>
    <w:rsid w:val="00A32F64"/>
    <w:rsid w:val="00A3352B"/>
    <w:rsid w:val="00A34416"/>
    <w:rsid w:val="00A34598"/>
    <w:rsid w:val="00A34A3A"/>
    <w:rsid w:val="00A351AC"/>
    <w:rsid w:val="00A351BB"/>
    <w:rsid w:val="00A3557E"/>
    <w:rsid w:val="00A355EF"/>
    <w:rsid w:val="00A3576A"/>
    <w:rsid w:val="00A358B3"/>
    <w:rsid w:val="00A35A8B"/>
    <w:rsid w:val="00A35D46"/>
    <w:rsid w:val="00A36078"/>
    <w:rsid w:val="00A3609B"/>
    <w:rsid w:val="00A3631A"/>
    <w:rsid w:val="00A36486"/>
    <w:rsid w:val="00A364B8"/>
    <w:rsid w:val="00A36875"/>
    <w:rsid w:val="00A368D3"/>
    <w:rsid w:val="00A36B05"/>
    <w:rsid w:val="00A36C9D"/>
    <w:rsid w:val="00A36D2E"/>
    <w:rsid w:val="00A37132"/>
    <w:rsid w:val="00A377EA"/>
    <w:rsid w:val="00A37B80"/>
    <w:rsid w:val="00A37CCE"/>
    <w:rsid w:val="00A37F6F"/>
    <w:rsid w:val="00A40346"/>
    <w:rsid w:val="00A40377"/>
    <w:rsid w:val="00A403E0"/>
    <w:rsid w:val="00A406A3"/>
    <w:rsid w:val="00A40A9B"/>
    <w:rsid w:val="00A40C92"/>
    <w:rsid w:val="00A40D65"/>
    <w:rsid w:val="00A41AE7"/>
    <w:rsid w:val="00A41C82"/>
    <w:rsid w:val="00A420D8"/>
    <w:rsid w:val="00A42A42"/>
    <w:rsid w:val="00A42BD7"/>
    <w:rsid w:val="00A42E16"/>
    <w:rsid w:val="00A43131"/>
    <w:rsid w:val="00A433E0"/>
    <w:rsid w:val="00A4346C"/>
    <w:rsid w:val="00A43895"/>
    <w:rsid w:val="00A43898"/>
    <w:rsid w:val="00A43BAA"/>
    <w:rsid w:val="00A43D93"/>
    <w:rsid w:val="00A44123"/>
    <w:rsid w:val="00A443AB"/>
    <w:rsid w:val="00A44AAE"/>
    <w:rsid w:val="00A44C95"/>
    <w:rsid w:val="00A44F2D"/>
    <w:rsid w:val="00A453E0"/>
    <w:rsid w:val="00A45AD1"/>
    <w:rsid w:val="00A46604"/>
    <w:rsid w:val="00A46799"/>
    <w:rsid w:val="00A46C4C"/>
    <w:rsid w:val="00A47866"/>
    <w:rsid w:val="00A47B83"/>
    <w:rsid w:val="00A47BD8"/>
    <w:rsid w:val="00A47D03"/>
    <w:rsid w:val="00A505AE"/>
    <w:rsid w:val="00A5062E"/>
    <w:rsid w:val="00A506E6"/>
    <w:rsid w:val="00A50912"/>
    <w:rsid w:val="00A509DC"/>
    <w:rsid w:val="00A50BE3"/>
    <w:rsid w:val="00A50DE1"/>
    <w:rsid w:val="00A50F0F"/>
    <w:rsid w:val="00A51173"/>
    <w:rsid w:val="00A5146E"/>
    <w:rsid w:val="00A5152B"/>
    <w:rsid w:val="00A51F51"/>
    <w:rsid w:val="00A51FF4"/>
    <w:rsid w:val="00A5298C"/>
    <w:rsid w:val="00A52A2B"/>
    <w:rsid w:val="00A52A40"/>
    <w:rsid w:val="00A52BEA"/>
    <w:rsid w:val="00A52C0D"/>
    <w:rsid w:val="00A5328C"/>
    <w:rsid w:val="00A5372C"/>
    <w:rsid w:val="00A538C9"/>
    <w:rsid w:val="00A539C4"/>
    <w:rsid w:val="00A53A4D"/>
    <w:rsid w:val="00A53CBA"/>
    <w:rsid w:val="00A53E3D"/>
    <w:rsid w:val="00A543A1"/>
    <w:rsid w:val="00A54640"/>
    <w:rsid w:val="00A54711"/>
    <w:rsid w:val="00A54923"/>
    <w:rsid w:val="00A54A81"/>
    <w:rsid w:val="00A54CAE"/>
    <w:rsid w:val="00A54ED7"/>
    <w:rsid w:val="00A554A9"/>
    <w:rsid w:val="00A5586C"/>
    <w:rsid w:val="00A55A6A"/>
    <w:rsid w:val="00A560A5"/>
    <w:rsid w:val="00A569FA"/>
    <w:rsid w:val="00A56D75"/>
    <w:rsid w:val="00A56EDB"/>
    <w:rsid w:val="00A60268"/>
    <w:rsid w:val="00A602C9"/>
    <w:rsid w:val="00A605ED"/>
    <w:rsid w:val="00A60701"/>
    <w:rsid w:val="00A60BDE"/>
    <w:rsid w:val="00A61006"/>
    <w:rsid w:val="00A6101C"/>
    <w:rsid w:val="00A61337"/>
    <w:rsid w:val="00A6139A"/>
    <w:rsid w:val="00A617A9"/>
    <w:rsid w:val="00A6196E"/>
    <w:rsid w:val="00A61BD7"/>
    <w:rsid w:val="00A61CA7"/>
    <w:rsid w:val="00A61CD5"/>
    <w:rsid w:val="00A621F0"/>
    <w:rsid w:val="00A6239D"/>
    <w:rsid w:val="00A6255C"/>
    <w:rsid w:val="00A625EB"/>
    <w:rsid w:val="00A6278E"/>
    <w:rsid w:val="00A62EFC"/>
    <w:rsid w:val="00A62F38"/>
    <w:rsid w:val="00A63096"/>
    <w:rsid w:val="00A630E2"/>
    <w:rsid w:val="00A633B8"/>
    <w:rsid w:val="00A63529"/>
    <w:rsid w:val="00A637A1"/>
    <w:rsid w:val="00A639A9"/>
    <w:rsid w:val="00A63F62"/>
    <w:rsid w:val="00A64343"/>
    <w:rsid w:val="00A6464B"/>
    <w:rsid w:val="00A6470E"/>
    <w:rsid w:val="00A649DB"/>
    <w:rsid w:val="00A64ADC"/>
    <w:rsid w:val="00A64E81"/>
    <w:rsid w:val="00A651AB"/>
    <w:rsid w:val="00A6551B"/>
    <w:rsid w:val="00A65794"/>
    <w:rsid w:val="00A65BC9"/>
    <w:rsid w:val="00A6603F"/>
    <w:rsid w:val="00A6616D"/>
    <w:rsid w:val="00A66577"/>
    <w:rsid w:val="00A665F2"/>
    <w:rsid w:val="00A667D7"/>
    <w:rsid w:val="00A67C23"/>
    <w:rsid w:val="00A67CC1"/>
    <w:rsid w:val="00A67D52"/>
    <w:rsid w:val="00A7090B"/>
    <w:rsid w:val="00A709E1"/>
    <w:rsid w:val="00A70D48"/>
    <w:rsid w:val="00A71D26"/>
    <w:rsid w:val="00A71E5F"/>
    <w:rsid w:val="00A720E9"/>
    <w:rsid w:val="00A72430"/>
    <w:rsid w:val="00A72AA6"/>
    <w:rsid w:val="00A72AE0"/>
    <w:rsid w:val="00A731CB"/>
    <w:rsid w:val="00A7341D"/>
    <w:rsid w:val="00A73EB1"/>
    <w:rsid w:val="00A74653"/>
    <w:rsid w:val="00A748D8"/>
    <w:rsid w:val="00A750BA"/>
    <w:rsid w:val="00A752CE"/>
    <w:rsid w:val="00A757C5"/>
    <w:rsid w:val="00A75A8B"/>
    <w:rsid w:val="00A766C4"/>
    <w:rsid w:val="00A768F0"/>
    <w:rsid w:val="00A7690B"/>
    <w:rsid w:val="00A76941"/>
    <w:rsid w:val="00A76A62"/>
    <w:rsid w:val="00A76D29"/>
    <w:rsid w:val="00A76DF1"/>
    <w:rsid w:val="00A778A1"/>
    <w:rsid w:val="00A779D0"/>
    <w:rsid w:val="00A80747"/>
    <w:rsid w:val="00A807F2"/>
    <w:rsid w:val="00A80990"/>
    <w:rsid w:val="00A809F9"/>
    <w:rsid w:val="00A8135A"/>
    <w:rsid w:val="00A81980"/>
    <w:rsid w:val="00A81AE9"/>
    <w:rsid w:val="00A824C5"/>
    <w:rsid w:val="00A827B7"/>
    <w:rsid w:val="00A8299E"/>
    <w:rsid w:val="00A829D5"/>
    <w:rsid w:val="00A82A0C"/>
    <w:rsid w:val="00A82CA2"/>
    <w:rsid w:val="00A82D4A"/>
    <w:rsid w:val="00A8319E"/>
    <w:rsid w:val="00A83524"/>
    <w:rsid w:val="00A838FB"/>
    <w:rsid w:val="00A83A98"/>
    <w:rsid w:val="00A83C1F"/>
    <w:rsid w:val="00A84290"/>
    <w:rsid w:val="00A848DB"/>
    <w:rsid w:val="00A84B26"/>
    <w:rsid w:val="00A854D3"/>
    <w:rsid w:val="00A8559A"/>
    <w:rsid w:val="00A85719"/>
    <w:rsid w:val="00A85854"/>
    <w:rsid w:val="00A85A19"/>
    <w:rsid w:val="00A86BF5"/>
    <w:rsid w:val="00A86EC0"/>
    <w:rsid w:val="00A877A0"/>
    <w:rsid w:val="00A87E2B"/>
    <w:rsid w:val="00A90448"/>
    <w:rsid w:val="00A905B6"/>
    <w:rsid w:val="00A90896"/>
    <w:rsid w:val="00A9096C"/>
    <w:rsid w:val="00A90AF3"/>
    <w:rsid w:val="00A90F95"/>
    <w:rsid w:val="00A912B5"/>
    <w:rsid w:val="00A914F8"/>
    <w:rsid w:val="00A91826"/>
    <w:rsid w:val="00A919D8"/>
    <w:rsid w:val="00A91A0D"/>
    <w:rsid w:val="00A92499"/>
    <w:rsid w:val="00A925E9"/>
    <w:rsid w:val="00A93797"/>
    <w:rsid w:val="00A94114"/>
    <w:rsid w:val="00A9440E"/>
    <w:rsid w:val="00A94653"/>
    <w:rsid w:val="00A947C9"/>
    <w:rsid w:val="00A948B2"/>
    <w:rsid w:val="00A94B57"/>
    <w:rsid w:val="00A95647"/>
    <w:rsid w:val="00A95991"/>
    <w:rsid w:val="00A95AD2"/>
    <w:rsid w:val="00A95BFE"/>
    <w:rsid w:val="00A95C65"/>
    <w:rsid w:val="00A96685"/>
    <w:rsid w:val="00A967BA"/>
    <w:rsid w:val="00A969FB"/>
    <w:rsid w:val="00A97615"/>
    <w:rsid w:val="00A97A96"/>
    <w:rsid w:val="00A97BEB"/>
    <w:rsid w:val="00A97E70"/>
    <w:rsid w:val="00A97FBD"/>
    <w:rsid w:val="00AA0BA6"/>
    <w:rsid w:val="00AA0C81"/>
    <w:rsid w:val="00AA0DBD"/>
    <w:rsid w:val="00AA0F1C"/>
    <w:rsid w:val="00AA1149"/>
    <w:rsid w:val="00AA14D3"/>
    <w:rsid w:val="00AA1F14"/>
    <w:rsid w:val="00AA2041"/>
    <w:rsid w:val="00AA2407"/>
    <w:rsid w:val="00AA2EC8"/>
    <w:rsid w:val="00AA3457"/>
    <w:rsid w:val="00AA39D8"/>
    <w:rsid w:val="00AA3B8F"/>
    <w:rsid w:val="00AA3D05"/>
    <w:rsid w:val="00AA3EBA"/>
    <w:rsid w:val="00AA3F85"/>
    <w:rsid w:val="00AA419B"/>
    <w:rsid w:val="00AA45BF"/>
    <w:rsid w:val="00AA4748"/>
    <w:rsid w:val="00AA4ACC"/>
    <w:rsid w:val="00AA5074"/>
    <w:rsid w:val="00AA5134"/>
    <w:rsid w:val="00AA5342"/>
    <w:rsid w:val="00AA54AD"/>
    <w:rsid w:val="00AA54F5"/>
    <w:rsid w:val="00AA550A"/>
    <w:rsid w:val="00AA5972"/>
    <w:rsid w:val="00AA5C99"/>
    <w:rsid w:val="00AA5D97"/>
    <w:rsid w:val="00AA5FD1"/>
    <w:rsid w:val="00AA65E3"/>
    <w:rsid w:val="00AA66F1"/>
    <w:rsid w:val="00AA67A0"/>
    <w:rsid w:val="00AA6803"/>
    <w:rsid w:val="00AA6A25"/>
    <w:rsid w:val="00AA6BD2"/>
    <w:rsid w:val="00AA6CC3"/>
    <w:rsid w:val="00AA6D72"/>
    <w:rsid w:val="00AA6E65"/>
    <w:rsid w:val="00AA7201"/>
    <w:rsid w:val="00AA79E6"/>
    <w:rsid w:val="00AA7A75"/>
    <w:rsid w:val="00AA7BB0"/>
    <w:rsid w:val="00AA7ECA"/>
    <w:rsid w:val="00AB00B4"/>
    <w:rsid w:val="00AB0384"/>
    <w:rsid w:val="00AB0E1C"/>
    <w:rsid w:val="00AB0E50"/>
    <w:rsid w:val="00AB1027"/>
    <w:rsid w:val="00AB1262"/>
    <w:rsid w:val="00AB1C78"/>
    <w:rsid w:val="00AB2C4D"/>
    <w:rsid w:val="00AB2F1E"/>
    <w:rsid w:val="00AB3522"/>
    <w:rsid w:val="00AB35D0"/>
    <w:rsid w:val="00AB367A"/>
    <w:rsid w:val="00AB36AE"/>
    <w:rsid w:val="00AB372B"/>
    <w:rsid w:val="00AB3BF4"/>
    <w:rsid w:val="00AB4BE4"/>
    <w:rsid w:val="00AB4F52"/>
    <w:rsid w:val="00AB5445"/>
    <w:rsid w:val="00AB5614"/>
    <w:rsid w:val="00AB56D7"/>
    <w:rsid w:val="00AB5854"/>
    <w:rsid w:val="00AB5A67"/>
    <w:rsid w:val="00AB61C3"/>
    <w:rsid w:val="00AB65AD"/>
    <w:rsid w:val="00AB6C88"/>
    <w:rsid w:val="00AB6D47"/>
    <w:rsid w:val="00AB70EE"/>
    <w:rsid w:val="00AB7942"/>
    <w:rsid w:val="00AB7E4C"/>
    <w:rsid w:val="00AC00F6"/>
    <w:rsid w:val="00AC0260"/>
    <w:rsid w:val="00AC061A"/>
    <w:rsid w:val="00AC0866"/>
    <w:rsid w:val="00AC0D50"/>
    <w:rsid w:val="00AC0F8A"/>
    <w:rsid w:val="00AC13BB"/>
    <w:rsid w:val="00AC13D3"/>
    <w:rsid w:val="00AC1829"/>
    <w:rsid w:val="00AC1D7F"/>
    <w:rsid w:val="00AC1EC3"/>
    <w:rsid w:val="00AC28CC"/>
    <w:rsid w:val="00AC2B6A"/>
    <w:rsid w:val="00AC2D68"/>
    <w:rsid w:val="00AC30A1"/>
    <w:rsid w:val="00AC317C"/>
    <w:rsid w:val="00AC3891"/>
    <w:rsid w:val="00AC3900"/>
    <w:rsid w:val="00AC3AAE"/>
    <w:rsid w:val="00AC3C21"/>
    <w:rsid w:val="00AC45B0"/>
    <w:rsid w:val="00AC4903"/>
    <w:rsid w:val="00AC4A22"/>
    <w:rsid w:val="00AC4A9F"/>
    <w:rsid w:val="00AC4AD3"/>
    <w:rsid w:val="00AC4DBF"/>
    <w:rsid w:val="00AC4E26"/>
    <w:rsid w:val="00AC50BE"/>
    <w:rsid w:val="00AC52BC"/>
    <w:rsid w:val="00AC54BF"/>
    <w:rsid w:val="00AC596F"/>
    <w:rsid w:val="00AC5ADC"/>
    <w:rsid w:val="00AC5F8D"/>
    <w:rsid w:val="00AC6209"/>
    <w:rsid w:val="00AC64D6"/>
    <w:rsid w:val="00AC6513"/>
    <w:rsid w:val="00AC6645"/>
    <w:rsid w:val="00AC6AD1"/>
    <w:rsid w:val="00AC6E15"/>
    <w:rsid w:val="00AC6F9A"/>
    <w:rsid w:val="00AC706E"/>
    <w:rsid w:val="00AC7142"/>
    <w:rsid w:val="00AC78E6"/>
    <w:rsid w:val="00AD00FE"/>
    <w:rsid w:val="00AD102F"/>
    <w:rsid w:val="00AD12E8"/>
    <w:rsid w:val="00AD151B"/>
    <w:rsid w:val="00AD175A"/>
    <w:rsid w:val="00AD193B"/>
    <w:rsid w:val="00AD1B13"/>
    <w:rsid w:val="00AD1BB2"/>
    <w:rsid w:val="00AD20DF"/>
    <w:rsid w:val="00AD2296"/>
    <w:rsid w:val="00AD287F"/>
    <w:rsid w:val="00AD2B5A"/>
    <w:rsid w:val="00AD333C"/>
    <w:rsid w:val="00AD3D58"/>
    <w:rsid w:val="00AD3FD1"/>
    <w:rsid w:val="00AD40C5"/>
    <w:rsid w:val="00AD4311"/>
    <w:rsid w:val="00AD47D8"/>
    <w:rsid w:val="00AD4D82"/>
    <w:rsid w:val="00AD4DBE"/>
    <w:rsid w:val="00AD519B"/>
    <w:rsid w:val="00AD5294"/>
    <w:rsid w:val="00AD5569"/>
    <w:rsid w:val="00AD56E2"/>
    <w:rsid w:val="00AD5890"/>
    <w:rsid w:val="00AD5A9D"/>
    <w:rsid w:val="00AD5BC5"/>
    <w:rsid w:val="00AD5D74"/>
    <w:rsid w:val="00AD5DB8"/>
    <w:rsid w:val="00AD6196"/>
    <w:rsid w:val="00AD63D0"/>
    <w:rsid w:val="00AD688F"/>
    <w:rsid w:val="00AD693C"/>
    <w:rsid w:val="00AD69F4"/>
    <w:rsid w:val="00AD6E13"/>
    <w:rsid w:val="00AD76CA"/>
    <w:rsid w:val="00AD7DCD"/>
    <w:rsid w:val="00AD7E95"/>
    <w:rsid w:val="00AD7EEC"/>
    <w:rsid w:val="00AE01EC"/>
    <w:rsid w:val="00AE065C"/>
    <w:rsid w:val="00AE0CC9"/>
    <w:rsid w:val="00AE1B40"/>
    <w:rsid w:val="00AE1C9F"/>
    <w:rsid w:val="00AE2327"/>
    <w:rsid w:val="00AE2348"/>
    <w:rsid w:val="00AE2715"/>
    <w:rsid w:val="00AE2760"/>
    <w:rsid w:val="00AE2BEE"/>
    <w:rsid w:val="00AE2E18"/>
    <w:rsid w:val="00AE3873"/>
    <w:rsid w:val="00AE3D24"/>
    <w:rsid w:val="00AE3F2A"/>
    <w:rsid w:val="00AE4417"/>
    <w:rsid w:val="00AE4421"/>
    <w:rsid w:val="00AE51B8"/>
    <w:rsid w:val="00AE5355"/>
    <w:rsid w:val="00AE5573"/>
    <w:rsid w:val="00AE569D"/>
    <w:rsid w:val="00AE572F"/>
    <w:rsid w:val="00AE575B"/>
    <w:rsid w:val="00AE577A"/>
    <w:rsid w:val="00AE5C4E"/>
    <w:rsid w:val="00AE5D01"/>
    <w:rsid w:val="00AE67EC"/>
    <w:rsid w:val="00AE6B4A"/>
    <w:rsid w:val="00AE6BD2"/>
    <w:rsid w:val="00AE763E"/>
    <w:rsid w:val="00AE7D77"/>
    <w:rsid w:val="00AE7DDA"/>
    <w:rsid w:val="00AE7F8F"/>
    <w:rsid w:val="00AF02AA"/>
    <w:rsid w:val="00AF034F"/>
    <w:rsid w:val="00AF0CE7"/>
    <w:rsid w:val="00AF0F34"/>
    <w:rsid w:val="00AF13F9"/>
    <w:rsid w:val="00AF146F"/>
    <w:rsid w:val="00AF1889"/>
    <w:rsid w:val="00AF1941"/>
    <w:rsid w:val="00AF1CD2"/>
    <w:rsid w:val="00AF1E7A"/>
    <w:rsid w:val="00AF1F91"/>
    <w:rsid w:val="00AF2437"/>
    <w:rsid w:val="00AF2A92"/>
    <w:rsid w:val="00AF2AC4"/>
    <w:rsid w:val="00AF2F71"/>
    <w:rsid w:val="00AF3116"/>
    <w:rsid w:val="00AF3479"/>
    <w:rsid w:val="00AF358D"/>
    <w:rsid w:val="00AF3CA2"/>
    <w:rsid w:val="00AF3EFE"/>
    <w:rsid w:val="00AF4007"/>
    <w:rsid w:val="00AF406E"/>
    <w:rsid w:val="00AF40D7"/>
    <w:rsid w:val="00AF41F4"/>
    <w:rsid w:val="00AF4274"/>
    <w:rsid w:val="00AF5550"/>
    <w:rsid w:val="00AF5755"/>
    <w:rsid w:val="00AF5B68"/>
    <w:rsid w:val="00AF5E48"/>
    <w:rsid w:val="00AF6487"/>
    <w:rsid w:val="00AF6AB1"/>
    <w:rsid w:val="00AF6EEA"/>
    <w:rsid w:val="00AF714C"/>
    <w:rsid w:val="00AF788F"/>
    <w:rsid w:val="00AF795C"/>
    <w:rsid w:val="00AF7F51"/>
    <w:rsid w:val="00B00134"/>
    <w:rsid w:val="00B002F3"/>
    <w:rsid w:val="00B003E2"/>
    <w:rsid w:val="00B01C90"/>
    <w:rsid w:val="00B01D31"/>
    <w:rsid w:val="00B02021"/>
    <w:rsid w:val="00B02311"/>
    <w:rsid w:val="00B0281D"/>
    <w:rsid w:val="00B02BC3"/>
    <w:rsid w:val="00B02E35"/>
    <w:rsid w:val="00B02EE9"/>
    <w:rsid w:val="00B02F5B"/>
    <w:rsid w:val="00B0344E"/>
    <w:rsid w:val="00B03B8C"/>
    <w:rsid w:val="00B03C88"/>
    <w:rsid w:val="00B04115"/>
    <w:rsid w:val="00B04421"/>
    <w:rsid w:val="00B045B4"/>
    <w:rsid w:val="00B046B4"/>
    <w:rsid w:val="00B04A7A"/>
    <w:rsid w:val="00B04EFB"/>
    <w:rsid w:val="00B04FF9"/>
    <w:rsid w:val="00B0518C"/>
    <w:rsid w:val="00B051D9"/>
    <w:rsid w:val="00B0539B"/>
    <w:rsid w:val="00B05577"/>
    <w:rsid w:val="00B059DA"/>
    <w:rsid w:val="00B059F7"/>
    <w:rsid w:val="00B05C9D"/>
    <w:rsid w:val="00B05DB5"/>
    <w:rsid w:val="00B06433"/>
    <w:rsid w:val="00B06BA2"/>
    <w:rsid w:val="00B06D49"/>
    <w:rsid w:val="00B06F4A"/>
    <w:rsid w:val="00B07261"/>
    <w:rsid w:val="00B07467"/>
    <w:rsid w:val="00B10427"/>
    <w:rsid w:val="00B11D3F"/>
    <w:rsid w:val="00B126F7"/>
    <w:rsid w:val="00B12CFB"/>
    <w:rsid w:val="00B140CE"/>
    <w:rsid w:val="00B143A4"/>
    <w:rsid w:val="00B14550"/>
    <w:rsid w:val="00B147C3"/>
    <w:rsid w:val="00B15876"/>
    <w:rsid w:val="00B15A06"/>
    <w:rsid w:val="00B1602A"/>
    <w:rsid w:val="00B1616D"/>
    <w:rsid w:val="00B16211"/>
    <w:rsid w:val="00B164FC"/>
    <w:rsid w:val="00B1659A"/>
    <w:rsid w:val="00B16996"/>
    <w:rsid w:val="00B16A9B"/>
    <w:rsid w:val="00B16B17"/>
    <w:rsid w:val="00B16CB2"/>
    <w:rsid w:val="00B17279"/>
    <w:rsid w:val="00B172A3"/>
    <w:rsid w:val="00B1733A"/>
    <w:rsid w:val="00B1759E"/>
    <w:rsid w:val="00B176B8"/>
    <w:rsid w:val="00B1784C"/>
    <w:rsid w:val="00B179AF"/>
    <w:rsid w:val="00B17A8A"/>
    <w:rsid w:val="00B17BA2"/>
    <w:rsid w:val="00B17CF4"/>
    <w:rsid w:val="00B17DF6"/>
    <w:rsid w:val="00B17E7F"/>
    <w:rsid w:val="00B200EC"/>
    <w:rsid w:val="00B20BE0"/>
    <w:rsid w:val="00B21067"/>
    <w:rsid w:val="00B21262"/>
    <w:rsid w:val="00B21DA9"/>
    <w:rsid w:val="00B21F22"/>
    <w:rsid w:val="00B226C2"/>
    <w:rsid w:val="00B2270A"/>
    <w:rsid w:val="00B227DE"/>
    <w:rsid w:val="00B23076"/>
    <w:rsid w:val="00B233BE"/>
    <w:rsid w:val="00B233E6"/>
    <w:rsid w:val="00B23617"/>
    <w:rsid w:val="00B241BF"/>
    <w:rsid w:val="00B24967"/>
    <w:rsid w:val="00B24C4A"/>
    <w:rsid w:val="00B250AF"/>
    <w:rsid w:val="00B25162"/>
    <w:rsid w:val="00B25426"/>
    <w:rsid w:val="00B25AA2"/>
    <w:rsid w:val="00B25B82"/>
    <w:rsid w:val="00B25C9D"/>
    <w:rsid w:val="00B25CEE"/>
    <w:rsid w:val="00B2612E"/>
    <w:rsid w:val="00B26265"/>
    <w:rsid w:val="00B26427"/>
    <w:rsid w:val="00B27308"/>
    <w:rsid w:val="00B27352"/>
    <w:rsid w:val="00B2768F"/>
    <w:rsid w:val="00B27AFF"/>
    <w:rsid w:val="00B27DD6"/>
    <w:rsid w:val="00B30256"/>
    <w:rsid w:val="00B304E2"/>
    <w:rsid w:val="00B30861"/>
    <w:rsid w:val="00B311AF"/>
    <w:rsid w:val="00B31754"/>
    <w:rsid w:val="00B31979"/>
    <w:rsid w:val="00B319C9"/>
    <w:rsid w:val="00B31A7E"/>
    <w:rsid w:val="00B31FC9"/>
    <w:rsid w:val="00B32235"/>
    <w:rsid w:val="00B3260B"/>
    <w:rsid w:val="00B328A1"/>
    <w:rsid w:val="00B32AEA"/>
    <w:rsid w:val="00B3328F"/>
    <w:rsid w:val="00B3369E"/>
    <w:rsid w:val="00B3387E"/>
    <w:rsid w:val="00B3415C"/>
    <w:rsid w:val="00B347B3"/>
    <w:rsid w:val="00B34845"/>
    <w:rsid w:val="00B34EF4"/>
    <w:rsid w:val="00B351C7"/>
    <w:rsid w:val="00B35501"/>
    <w:rsid w:val="00B3577B"/>
    <w:rsid w:val="00B359AD"/>
    <w:rsid w:val="00B36710"/>
    <w:rsid w:val="00B36CD9"/>
    <w:rsid w:val="00B37866"/>
    <w:rsid w:val="00B3790F"/>
    <w:rsid w:val="00B37950"/>
    <w:rsid w:val="00B37B58"/>
    <w:rsid w:val="00B37E14"/>
    <w:rsid w:val="00B37F29"/>
    <w:rsid w:val="00B400DF"/>
    <w:rsid w:val="00B4013E"/>
    <w:rsid w:val="00B4026E"/>
    <w:rsid w:val="00B40F37"/>
    <w:rsid w:val="00B4124B"/>
    <w:rsid w:val="00B4168E"/>
    <w:rsid w:val="00B41B04"/>
    <w:rsid w:val="00B41BD2"/>
    <w:rsid w:val="00B41C3B"/>
    <w:rsid w:val="00B41DFB"/>
    <w:rsid w:val="00B4203C"/>
    <w:rsid w:val="00B420BB"/>
    <w:rsid w:val="00B423C0"/>
    <w:rsid w:val="00B42BD9"/>
    <w:rsid w:val="00B4362D"/>
    <w:rsid w:val="00B43686"/>
    <w:rsid w:val="00B43B84"/>
    <w:rsid w:val="00B448E8"/>
    <w:rsid w:val="00B44C49"/>
    <w:rsid w:val="00B44C79"/>
    <w:rsid w:val="00B44CC4"/>
    <w:rsid w:val="00B44DCD"/>
    <w:rsid w:val="00B44F4A"/>
    <w:rsid w:val="00B45190"/>
    <w:rsid w:val="00B45A78"/>
    <w:rsid w:val="00B45A7C"/>
    <w:rsid w:val="00B45B16"/>
    <w:rsid w:val="00B45E14"/>
    <w:rsid w:val="00B46415"/>
    <w:rsid w:val="00B464AF"/>
    <w:rsid w:val="00B46A48"/>
    <w:rsid w:val="00B46BCE"/>
    <w:rsid w:val="00B46D5B"/>
    <w:rsid w:val="00B46F88"/>
    <w:rsid w:val="00B4705D"/>
    <w:rsid w:val="00B478D7"/>
    <w:rsid w:val="00B47BD8"/>
    <w:rsid w:val="00B500CE"/>
    <w:rsid w:val="00B5026B"/>
    <w:rsid w:val="00B50380"/>
    <w:rsid w:val="00B50D16"/>
    <w:rsid w:val="00B51305"/>
    <w:rsid w:val="00B51AE0"/>
    <w:rsid w:val="00B51BE5"/>
    <w:rsid w:val="00B51DE9"/>
    <w:rsid w:val="00B51E5E"/>
    <w:rsid w:val="00B51F48"/>
    <w:rsid w:val="00B520BD"/>
    <w:rsid w:val="00B524B6"/>
    <w:rsid w:val="00B5287C"/>
    <w:rsid w:val="00B52A45"/>
    <w:rsid w:val="00B52C93"/>
    <w:rsid w:val="00B53BF7"/>
    <w:rsid w:val="00B53EBD"/>
    <w:rsid w:val="00B5401D"/>
    <w:rsid w:val="00B54024"/>
    <w:rsid w:val="00B54151"/>
    <w:rsid w:val="00B547B3"/>
    <w:rsid w:val="00B547D8"/>
    <w:rsid w:val="00B54C28"/>
    <w:rsid w:val="00B54E6E"/>
    <w:rsid w:val="00B55D75"/>
    <w:rsid w:val="00B55DBF"/>
    <w:rsid w:val="00B56259"/>
    <w:rsid w:val="00B56C55"/>
    <w:rsid w:val="00B5719A"/>
    <w:rsid w:val="00B5728B"/>
    <w:rsid w:val="00B57479"/>
    <w:rsid w:val="00B57CE2"/>
    <w:rsid w:val="00B57CF0"/>
    <w:rsid w:val="00B57E79"/>
    <w:rsid w:val="00B57F84"/>
    <w:rsid w:val="00B57FEA"/>
    <w:rsid w:val="00B6061D"/>
    <w:rsid w:val="00B615B5"/>
    <w:rsid w:val="00B616D6"/>
    <w:rsid w:val="00B61842"/>
    <w:rsid w:val="00B62153"/>
    <w:rsid w:val="00B62654"/>
    <w:rsid w:val="00B626CC"/>
    <w:rsid w:val="00B62A1C"/>
    <w:rsid w:val="00B62E3B"/>
    <w:rsid w:val="00B63089"/>
    <w:rsid w:val="00B63212"/>
    <w:rsid w:val="00B638FA"/>
    <w:rsid w:val="00B6390D"/>
    <w:rsid w:val="00B63ED8"/>
    <w:rsid w:val="00B641EB"/>
    <w:rsid w:val="00B6487A"/>
    <w:rsid w:val="00B64A51"/>
    <w:rsid w:val="00B64B92"/>
    <w:rsid w:val="00B64CDC"/>
    <w:rsid w:val="00B65306"/>
    <w:rsid w:val="00B653D9"/>
    <w:rsid w:val="00B654C1"/>
    <w:rsid w:val="00B655B4"/>
    <w:rsid w:val="00B657B6"/>
    <w:rsid w:val="00B66049"/>
    <w:rsid w:val="00B66066"/>
    <w:rsid w:val="00B66073"/>
    <w:rsid w:val="00B660B2"/>
    <w:rsid w:val="00B6640B"/>
    <w:rsid w:val="00B66643"/>
    <w:rsid w:val="00B66BCD"/>
    <w:rsid w:val="00B66C39"/>
    <w:rsid w:val="00B6765D"/>
    <w:rsid w:val="00B6797E"/>
    <w:rsid w:val="00B679EC"/>
    <w:rsid w:val="00B67BA1"/>
    <w:rsid w:val="00B67DA1"/>
    <w:rsid w:val="00B67E7D"/>
    <w:rsid w:val="00B70411"/>
    <w:rsid w:val="00B7045F"/>
    <w:rsid w:val="00B705A4"/>
    <w:rsid w:val="00B70D13"/>
    <w:rsid w:val="00B70EF5"/>
    <w:rsid w:val="00B7171D"/>
    <w:rsid w:val="00B71782"/>
    <w:rsid w:val="00B71DE5"/>
    <w:rsid w:val="00B71FD7"/>
    <w:rsid w:val="00B720D6"/>
    <w:rsid w:val="00B721AF"/>
    <w:rsid w:val="00B72305"/>
    <w:rsid w:val="00B726B9"/>
    <w:rsid w:val="00B72994"/>
    <w:rsid w:val="00B72E37"/>
    <w:rsid w:val="00B72F3B"/>
    <w:rsid w:val="00B7326B"/>
    <w:rsid w:val="00B73A31"/>
    <w:rsid w:val="00B73A7F"/>
    <w:rsid w:val="00B73E86"/>
    <w:rsid w:val="00B740C1"/>
    <w:rsid w:val="00B742B6"/>
    <w:rsid w:val="00B743E6"/>
    <w:rsid w:val="00B750D9"/>
    <w:rsid w:val="00B7516E"/>
    <w:rsid w:val="00B7529B"/>
    <w:rsid w:val="00B75542"/>
    <w:rsid w:val="00B7591D"/>
    <w:rsid w:val="00B75959"/>
    <w:rsid w:val="00B75ACC"/>
    <w:rsid w:val="00B7607C"/>
    <w:rsid w:val="00B765D2"/>
    <w:rsid w:val="00B77076"/>
    <w:rsid w:val="00B77319"/>
    <w:rsid w:val="00B774A4"/>
    <w:rsid w:val="00B77ABA"/>
    <w:rsid w:val="00B77B8C"/>
    <w:rsid w:val="00B77BEC"/>
    <w:rsid w:val="00B80502"/>
    <w:rsid w:val="00B80C34"/>
    <w:rsid w:val="00B80C36"/>
    <w:rsid w:val="00B80C45"/>
    <w:rsid w:val="00B80EBF"/>
    <w:rsid w:val="00B811A4"/>
    <w:rsid w:val="00B81580"/>
    <w:rsid w:val="00B817BF"/>
    <w:rsid w:val="00B81C84"/>
    <w:rsid w:val="00B81D4B"/>
    <w:rsid w:val="00B820EB"/>
    <w:rsid w:val="00B82202"/>
    <w:rsid w:val="00B825EC"/>
    <w:rsid w:val="00B82A0F"/>
    <w:rsid w:val="00B82FEE"/>
    <w:rsid w:val="00B831C4"/>
    <w:rsid w:val="00B833A2"/>
    <w:rsid w:val="00B83402"/>
    <w:rsid w:val="00B8384A"/>
    <w:rsid w:val="00B839C8"/>
    <w:rsid w:val="00B83D14"/>
    <w:rsid w:val="00B83DC2"/>
    <w:rsid w:val="00B84360"/>
    <w:rsid w:val="00B84541"/>
    <w:rsid w:val="00B84583"/>
    <w:rsid w:val="00B845B8"/>
    <w:rsid w:val="00B84659"/>
    <w:rsid w:val="00B8467D"/>
    <w:rsid w:val="00B8484F"/>
    <w:rsid w:val="00B84B45"/>
    <w:rsid w:val="00B84D5D"/>
    <w:rsid w:val="00B850E1"/>
    <w:rsid w:val="00B85AA4"/>
    <w:rsid w:val="00B85E43"/>
    <w:rsid w:val="00B85E58"/>
    <w:rsid w:val="00B863EE"/>
    <w:rsid w:val="00B8641C"/>
    <w:rsid w:val="00B868B1"/>
    <w:rsid w:val="00B86B46"/>
    <w:rsid w:val="00B86E4C"/>
    <w:rsid w:val="00B87333"/>
    <w:rsid w:val="00B8777B"/>
    <w:rsid w:val="00B87F7D"/>
    <w:rsid w:val="00B90C87"/>
    <w:rsid w:val="00B9114E"/>
    <w:rsid w:val="00B9131E"/>
    <w:rsid w:val="00B9133C"/>
    <w:rsid w:val="00B91D63"/>
    <w:rsid w:val="00B920A3"/>
    <w:rsid w:val="00B922D1"/>
    <w:rsid w:val="00B92F3A"/>
    <w:rsid w:val="00B930ED"/>
    <w:rsid w:val="00B931E1"/>
    <w:rsid w:val="00B935A0"/>
    <w:rsid w:val="00B93952"/>
    <w:rsid w:val="00B93A00"/>
    <w:rsid w:val="00B93E2B"/>
    <w:rsid w:val="00B94232"/>
    <w:rsid w:val="00B94739"/>
    <w:rsid w:val="00B947B7"/>
    <w:rsid w:val="00B94D63"/>
    <w:rsid w:val="00B9511A"/>
    <w:rsid w:val="00B9521D"/>
    <w:rsid w:val="00B96484"/>
    <w:rsid w:val="00B96F3A"/>
    <w:rsid w:val="00B97448"/>
    <w:rsid w:val="00B976BB"/>
    <w:rsid w:val="00B97AB8"/>
    <w:rsid w:val="00BA0048"/>
    <w:rsid w:val="00BA0296"/>
    <w:rsid w:val="00BA0AB0"/>
    <w:rsid w:val="00BA0E2A"/>
    <w:rsid w:val="00BA13BE"/>
    <w:rsid w:val="00BA194B"/>
    <w:rsid w:val="00BA1990"/>
    <w:rsid w:val="00BA1DB2"/>
    <w:rsid w:val="00BA1FFF"/>
    <w:rsid w:val="00BA218C"/>
    <w:rsid w:val="00BA289C"/>
    <w:rsid w:val="00BA2A50"/>
    <w:rsid w:val="00BA2FB1"/>
    <w:rsid w:val="00BA307F"/>
    <w:rsid w:val="00BA3B30"/>
    <w:rsid w:val="00BA3B3F"/>
    <w:rsid w:val="00BA3C1A"/>
    <w:rsid w:val="00BA3F93"/>
    <w:rsid w:val="00BA49ED"/>
    <w:rsid w:val="00BA4BFF"/>
    <w:rsid w:val="00BA4C89"/>
    <w:rsid w:val="00BA5444"/>
    <w:rsid w:val="00BA54B5"/>
    <w:rsid w:val="00BA57A7"/>
    <w:rsid w:val="00BA5890"/>
    <w:rsid w:val="00BA5CF6"/>
    <w:rsid w:val="00BA6144"/>
    <w:rsid w:val="00BA683E"/>
    <w:rsid w:val="00BA6887"/>
    <w:rsid w:val="00BA6C9E"/>
    <w:rsid w:val="00BA6D32"/>
    <w:rsid w:val="00BA6EF7"/>
    <w:rsid w:val="00BA6F01"/>
    <w:rsid w:val="00BA77BD"/>
    <w:rsid w:val="00BA7A72"/>
    <w:rsid w:val="00BB0521"/>
    <w:rsid w:val="00BB077B"/>
    <w:rsid w:val="00BB089A"/>
    <w:rsid w:val="00BB092C"/>
    <w:rsid w:val="00BB0995"/>
    <w:rsid w:val="00BB0DF2"/>
    <w:rsid w:val="00BB0FF0"/>
    <w:rsid w:val="00BB13AB"/>
    <w:rsid w:val="00BB1F14"/>
    <w:rsid w:val="00BB21BC"/>
    <w:rsid w:val="00BB2230"/>
    <w:rsid w:val="00BB3075"/>
    <w:rsid w:val="00BB3146"/>
    <w:rsid w:val="00BB34E9"/>
    <w:rsid w:val="00BB37A1"/>
    <w:rsid w:val="00BB3E9F"/>
    <w:rsid w:val="00BB4205"/>
    <w:rsid w:val="00BB42FE"/>
    <w:rsid w:val="00BB45F0"/>
    <w:rsid w:val="00BB4639"/>
    <w:rsid w:val="00BB4DB9"/>
    <w:rsid w:val="00BB505A"/>
    <w:rsid w:val="00BB5AC0"/>
    <w:rsid w:val="00BB5DE0"/>
    <w:rsid w:val="00BB600E"/>
    <w:rsid w:val="00BB64AD"/>
    <w:rsid w:val="00BB659C"/>
    <w:rsid w:val="00BB6697"/>
    <w:rsid w:val="00BB67AC"/>
    <w:rsid w:val="00BB6985"/>
    <w:rsid w:val="00BB7383"/>
    <w:rsid w:val="00BB7A0B"/>
    <w:rsid w:val="00BC0091"/>
    <w:rsid w:val="00BC0312"/>
    <w:rsid w:val="00BC0B50"/>
    <w:rsid w:val="00BC0CF7"/>
    <w:rsid w:val="00BC0EC4"/>
    <w:rsid w:val="00BC1110"/>
    <w:rsid w:val="00BC1A46"/>
    <w:rsid w:val="00BC1F64"/>
    <w:rsid w:val="00BC20B9"/>
    <w:rsid w:val="00BC26FE"/>
    <w:rsid w:val="00BC2930"/>
    <w:rsid w:val="00BC2B8B"/>
    <w:rsid w:val="00BC2BC7"/>
    <w:rsid w:val="00BC300F"/>
    <w:rsid w:val="00BC301A"/>
    <w:rsid w:val="00BC329B"/>
    <w:rsid w:val="00BC37C0"/>
    <w:rsid w:val="00BC3A6B"/>
    <w:rsid w:val="00BC4149"/>
    <w:rsid w:val="00BC429F"/>
    <w:rsid w:val="00BC44A5"/>
    <w:rsid w:val="00BC4576"/>
    <w:rsid w:val="00BC46B5"/>
    <w:rsid w:val="00BC4C0A"/>
    <w:rsid w:val="00BC4EF6"/>
    <w:rsid w:val="00BC5092"/>
    <w:rsid w:val="00BC5493"/>
    <w:rsid w:val="00BC597A"/>
    <w:rsid w:val="00BC6D07"/>
    <w:rsid w:val="00BC72BA"/>
    <w:rsid w:val="00BC759A"/>
    <w:rsid w:val="00BC78EC"/>
    <w:rsid w:val="00BC7A07"/>
    <w:rsid w:val="00BC7B0E"/>
    <w:rsid w:val="00BC7D56"/>
    <w:rsid w:val="00BD024A"/>
    <w:rsid w:val="00BD031A"/>
    <w:rsid w:val="00BD09B8"/>
    <w:rsid w:val="00BD0FE7"/>
    <w:rsid w:val="00BD1216"/>
    <w:rsid w:val="00BD1570"/>
    <w:rsid w:val="00BD1CBB"/>
    <w:rsid w:val="00BD1E53"/>
    <w:rsid w:val="00BD2142"/>
    <w:rsid w:val="00BD2270"/>
    <w:rsid w:val="00BD23F5"/>
    <w:rsid w:val="00BD2873"/>
    <w:rsid w:val="00BD2892"/>
    <w:rsid w:val="00BD2B77"/>
    <w:rsid w:val="00BD2C79"/>
    <w:rsid w:val="00BD3675"/>
    <w:rsid w:val="00BD3729"/>
    <w:rsid w:val="00BD379C"/>
    <w:rsid w:val="00BD385B"/>
    <w:rsid w:val="00BD3A1C"/>
    <w:rsid w:val="00BD4730"/>
    <w:rsid w:val="00BD485E"/>
    <w:rsid w:val="00BD4A76"/>
    <w:rsid w:val="00BD4A77"/>
    <w:rsid w:val="00BD4C06"/>
    <w:rsid w:val="00BD534F"/>
    <w:rsid w:val="00BD5491"/>
    <w:rsid w:val="00BD562C"/>
    <w:rsid w:val="00BD56C8"/>
    <w:rsid w:val="00BD56D1"/>
    <w:rsid w:val="00BD57D3"/>
    <w:rsid w:val="00BD57E2"/>
    <w:rsid w:val="00BD6F70"/>
    <w:rsid w:val="00BD7287"/>
    <w:rsid w:val="00BD748C"/>
    <w:rsid w:val="00BD75A8"/>
    <w:rsid w:val="00BD782D"/>
    <w:rsid w:val="00BD7876"/>
    <w:rsid w:val="00BD7995"/>
    <w:rsid w:val="00BD7C53"/>
    <w:rsid w:val="00BD7E08"/>
    <w:rsid w:val="00BE0084"/>
    <w:rsid w:val="00BE04D3"/>
    <w:rsid w:val="00BE0B5E"/>
    <w:rsid w:val="00BE0E48"/>
    <w:rsid w:val="00BE103E"/>
    <w:rsid w:val="00BE171D"/>
    <w:rsid w:val="00BE1A29"/>
    <w:rsid w:val="00BE1CD9"/>
    <w:rsid w:val="00BE1D6E"/>
    <w:rsid w:val="00BE2759"/>
    <w:rsid w:val="00BE2EDE"/>
    <w:rsid w:val="00BE3091"/>
    <w:rsid w:val="00BE33C6"/>
    <w:rsid w:val="00BE362C"/>
    <w:rsid w:val="00BE364C"/>
    <w:rsid w:val="00BE38AA"/>
    <w:rsid w:val="00BE3947"/>
    <w:rsid w:val="00BE3F1E"/>
    <w:rsid w:val="00BE4740"/>
    <w:rsid w:val="00BE4E64"/>
    <w:rsid w:val="00BE4E9C"/>
    <w:rsid w:val="00BE5AA2"/>
    <w:rsid w:val="00BE5AF0"/>
    <w:rsid w:val="00BE67C2"/>
    <w:rsid w:val="00BE68EB"/>
    <w:rsid w:val="00BE6FE8"/>
    <w:rsid w:val="00BE7333"/>
    <w:rsid w:val="00BE73D1"/>
    <w:rsid w:val="00BE7588"/>
    <w:rsid w:val="00BE78E3"/>
    <w:rsid w:val="00BE793C"/>
    <w:rsid w:val="00BE7AA6"/>
    <w:rsid w:val="00BE7E1E"/>
    <w:rsid w:val="00BE7FA3"/>
    <w:rsid w:val="00BF00C8"/>
    <w:rsid w:val="00BF0435"/>
    <w:rsid w:val="00BF0B5E"/>
    <w:rsid w:val="00BF0B91"/>
    <w:rsid w:val="00BF0F57"/>
    <w:rsid w:val="00BF1182"/>
    <w:rsid w:val="00BF1502"/>
    <w:rsid w:val="00BF1F0C"/>
    <w:rsid w:val="00BF2197"/>
    <w:rsid w:val="00BF2334"/>
    <w:rsid w:val="00BF2564"/>
    <w:rsid w:val="00BF2842"/>
    <w:rsid w:val="00BF2925"/>
    <w:rsid w:val="00BF349C"/>
    <w:rsid w:val="00BF3E21"/>
    <w:rsid w:val="00BF3EEF"/>
    <w:rsid w:val="00BF3EF6"/>
    <w:rsid w:val="00BF44E8"/>
    <w:rsid w:val="00BF45D7"/>
    <w:rsid w:val="00BF464C"/>
    <w:rsid w:val="00BF4852"/>
    <w:rsid w:val="00BF4903"/>
    <w:rsid w:val="00BF4AA1"/>
    <w:rsid w:val="00BF4AC8"/>
    <w:rsid w:val="00BF5120"/>
    <w:rsid w:val="00BF5C59"/>
    <w:rsid w:val="00BF5F44"/>
    <w:rsid w:val="00BF603B"/>
    <w:rsid w:val="00BF6A77"/>
    <w:rsid w:val="00BF6E64"/>
    <w:rsid w:val="00BF70C1"/>
    <w:rsid w:val="00BF7197"/>
    <w:rsid w:val="00BF71CB"/>
    <w:rsid w:val="00BF72A8"/>
    <w:rsid w:val="00BF72CB"/>
    <w:rsid w:val="00BF7A62"/>
    <w:rsid w:val="00C00233"/>
    <w:rsid w:val="00C00FEE"/>
    <w:rsid w:val="00C016CC"/>
    <w:rsid w:val="00C017AE"/>
    <w:rsid w:val="00C017BB"/>
    <w:rsid w:val="00C021DE"/>
    <w:rsid w:val="00C02379"/>
    <w:rsid w:val="00C023DA"/>
    <w:rsid w:val="00C0262D"/>
    <w:rsid w:val="00C0290E"/>
    <w:rsid w:val="00C02C88"/>
    <w:rsid w:val="00C02FC8"/>
    <w:rsid w:val="00C0389F"/>
    <w:rsid w:val="00C03A93"/>
    <w:rsid w:val="00C0407D"/>
    <w:rsid w:val="00C045C1"/>
    <w:rsid w:val="00C045C9"/>
    <w:rsid w:val="00C04A89"/>
    <w:rsid w:val="00C04A96"/>
    <w:rsid w:val="00C04C22"/>
    <w:rsid w:val="00C04C98"/>
    <w:rsid w:val="00C05477"/>
    <w:rsid w:val="00C05573"/>
    <w:rsid w:val="00C05661"/>
    <w:rsid w:val="00C05758"/>
    <w:rsid w:val="00C05C0E"/>
    <w:rsid w:val="00C060E8"/>
    <w:rsid w:val="00C06160"/>
    <w:rsid w:val="00C06543"/>
    <w:rsid w:val="00C06B28"/>
    <w:rsid w:val="00C06D84"/>
    <w:rsid w:val="00C06E43"/>
    <w:rsid w:val="00C07133"/>
    <w:rsid w:val="00C07D73"/>
    <w:rsid w:val="00C1059A"/>
    <w:rsid w:val="00C105B8"/>
    <w:rsid w:val="00C105CE"/>
    <w:rsid w:val="00C10772"/>
    <w:rsid w:val="00C109CA"/>
    <w:rsid w:val="00C10C2D"/>
    <w:rsid w:val="00C11444"/>
    <w:rsid w:val="00C11C72"/>
    <w:rsid w:val="00C12134"/>
    <w:rsid w:val="00C123DD"/>
    <w:rsid w:val="00C1240F"/>
    <w:rsid w:val="00C12A41"/>
    <w:rsid w:val="00C12BF6"/>
    <w:rsid w:val="00C12F74"/>
    <w:rsid w:val="00C12F78"/>
    <w:rsid w:val="00C13016"/>
    <w:rsid w:val="00C13236"/>
    <w:rsid w:val="00C139F1"/>
    <w:rsid w:val="00C13F37"/>
    <w:rsid w:val="00C1429E"/>
    <w:rsid w:val="00C14385"/>
    <w:rsid w:val="00C1443F"/>
    <w:rsid w:val="00C1495C"/>
    <w:rsid w:val="00C14D22"/>
    <w:rsid w:val="00C14F52"/>
    <w:rsid w:val="00C15267"/>
    <w:rsid w:val="00C15596"/>
    <w:rsid w:val="00C156FE"/>
    <w:rsid w:val="00C1583F"/>
    <w:rsid w:val="00C15C95"/>
    <w:rsid w:val="00C16260"/>
    <w:rsid w:val="00C1672E"/>
    <w:rsid w:val="00C16789"/>
    <w:rsid w:val="00C170B1"/>
    <w:rsid w:val="00C171E0"/>
    <w:rsid w:val="00C171FE"/>
    <w:rsid w:val="00C172D3"/>
    <w:rsid w:val="00C172E5"/>
    <w:rsid w:val="00C17318"/>
    <w:rsid w:val="00C174F0"/>
    <w:rsid w:val="00C176ED"/>
    <w:rsid w:val="00C17DB5"/>
    <w:rsid w:val="00C17E0A"/>
    <w:rsid w:val="00C200BD"/>
    <w:rsid w:val="00C20128"/>
    <w:rsid w:val="00C2059B"/>
    <w:rsid w:val="00C21A3B"/>
    <w:rsid w:val="00C22027"/>
    <w:rsid w:val="00C23021"/>
    <w:rsid w:val="00C233A9"/>
    <w:rsid w:val="00C23822"/>
    <w:rsid w:val="00C23827"/>
    <w:rsid w:val="00C238AC"/>
    <w:rsid w:val="00C24356"/>
    <w:rsid w:val="00C24B43"/>
    <w:rsid w:val="00C24B97"/>
    <w:rsid w:val="00C24C24"/>
    <w:rsid w:val="00C24D99"/>
    <w:rsid w:val="00C255E7"/>
    <w:rsid w:val="00C258A1"/>
    <w:rsid w:val="00C25AAF"/>
    <w:rsid w:val="00C25CA1"/>
    <w:rsid w:val="00C25DA7"/>
    <w:rsid w:val="00C268A5"/>
    <w:rsid w:val="00C26B8F"/>
    <w:rsid w:val="00C26EE6"/>
    <w:rsid w:val="00C26F45"/>
    <w:rsid w:val="00C27311"/>
    <w:rsid w:val="00C27317"/>
    <w:rsid w:val="00C27542"/>
    <w:rsid w:val="00C27BBA"/>
    <w:rsid w:val="00C27F59"/>
    <w:rsid w:val="00C27FE7"/>
    <w:rsid w:val="00C30211"/>
    <w:rsid w:val="00C30228"/>
    <w:rsid w:val="00C30B0F"/>
    <w:rsid w:val="00C30D32"/>
    <w:rsid w:val="00C30DF3"/>
    <w:rsid w:val="00C30F98"/>
    <w:rsid w:val="00C310DA"/>
    <w:rsid w:val="00C3135C"/>
    <w:rsid w:val="00C31B32"/>
    <w:rsid w:val="00C327FD"/>
    <w:rsid w:val="00C32B00"/>
    <w:rsid w:val="00C32FD1"/>
    <w:rsid w:val="00C32FF8"/>
    <w:rsid w:val="00C33002"/>
    <w:rsid w:val="00C332A3"/>
    <w:rsid w:val="00C33526"/>
    <w:rsid w:val="00C335DF"/>
    <w:rsid w:val="00C33699"/>
    <w:rsid w:val="00C33E0C"/>
    <w:rsid w:val="00C33EA3"/>
    <w:rsid w:val="00C34C23"/>
    <w:rsid w:val="00C355F6"/>
    <w:rsid w:val="00C35BFE"/>
    <w:rsid w:val="00C36356"/>
    <w:rsid w:val="00C369B5"/>
    <w:rsid w:val="00C36DC0"/>
    <w:rsid w:val="00C376BD"/>
    <w:rsid w:val="00C37AFE"/>
    <w:rsid w:val="00C37D8D"/>
    <w:rsid w:val="00C37EB2"/>
    <w:rsid w:val="00C37F5A"/>
    <w:rsid w:val="00C401B2"/>
    <w:rsid w:val="00C406F3"/>
    <w:rsid w:val="00C407D1"/>
    <w:rsid w:val="00C410B6"/>
    <w:rsid w:val="00C4119D"/>
    <w:rsid w:val="00C4122A"/>
    <w:rsid w:val="00C41F98"/>
    <w:rsid w:val="00C4201E"/>
    <w:rsid w:val="00C428A2"/>
    <w:rsid w:val="00C42A9F"/>
    <w:rsid w:val="00C42B8C"/>
    <w:rsid w:val="00C42C21"/>
    <w:rsid w:val="00C43112"/>
    <w:rsid w:val="00C432A4"/>
    <w:rsid w:val="00C43CE6"/>
    <w:rsid w:val="00C44863"/>
    <w:rsid w:val="00C44CEC"/>
    <w:rsid w:val="00C45201"/>
    <w:rsid w:val="00C4545D"/>
    <w:rsid w:val="00C45896"/>
    <w:rsid w:val="00C459A8"/>
    <w:rsid w:val="00C45B1A"/>
    <w:rsid w:val="00C460BA"/>
    <w:rsid w:val="00C46280"/>
    <w:rsid w:val="00C46289"/>
    <w:rsid w:val="00C46532"/>
    <w:rsid w:val="00C467A0"/>
    <w:rsid w:val="00C46879"/>
    <w:rsid w:val="00C469D5"/>
    <w:rsid w:val="00C46F8D"/>
    <w:rsid w:val="00C471B1"/>
    <w:rsid w:val="00C47D02"/>
    <w:rsid w:val="00C47F12"/>
    <w:rsid w:val="00C50162"/>
    <w:rsid w:val="00C50236"/>
    <w:rsid w:val="00C508FC"/>
    <w:rsid w:val="00C51909"/>
    <w:rsid w:val="00C519DF"/>
    <w:rsid w:val="00C51AF1"/>
    <w:rsid w:val="00C51CD7"/>
    <w:rsid w:val="00C51D12"/>
    <w:rsid w:val="00C51DEE"/>
    <w:rsid w:val="00C521E3"/>
    <w:rsid w:val="00C52422"/>
    <w:rsid w:val="00C52776"/>
    <w:rsid w:val="00C53418"/>
    <w:rsid w:val="00C53C60"/>
    <w:rsid w:val="00C54127"/>
    <w:rsid w:val="00C543BD"/>
    <w:rsid w:val="00C54422"/>
    <w:rsid w:val="00C548D8"/>
    <w:rsid w:val="00C54A56"/>
    <w:rsid w:val="00C550FC"/>
    <w:rsid w:val="00C552FF"/>
    <w:rsid w:val="00C558D2"/>
    <w:rsid w:val="00C567F2"/>
    <w:rsid w:val="00C56CEC"/>
    <w:rsid w:val="00C56CF1"/>
    <w:rsid w:val="00C56D81"/>
    <w:rsid w:val="00C56E5E"/>
    <w:rsid w:val="00C56FC0"/>
    <w:rsid w:val="00C575C0"/>
    <w:rsid w:val="00C6113E"/>
    <w:rsid w:val="00C61251"/>
    <w:rsid w:val="00C61390"/>
    <w:rsid w:val="00C6186F"/>
    <w:rsid w:val="00C61876"/>
    <w:rsid w:val="00C61936"/>
    <w:rsid w:val="00C61956"/>
    <w:rsid w:val="00C61A15"/>
    <w:rsid w:val="00C61A9C"/>
    <w:rsid w:val="00C61E82"/>
    <w:rsid w:val="00C6209C"/>
    <w:rsid w:val="00C622D5"/>
    <w:rsid w:val="00C6249C"/>
    <w:rsid w:val="00C62536"/>
    <w:rsid w:val="00C625D4"/>
    <w:rsid w:val="00C62761"/>
    <w:rsid w:val="00C62A62"/>
    <w:rsid w:val="00C62D6E"/>
    <w:rsid w:val="00C62E57"/>
    <w:rsid w:val="00C62EE4"/>
    <w:rsid w:val="00C63945"/>
    <w:rsid w:val="00C63F16"/>
    <w:rsid w:val="00C6499D"/>
    <w:rsid w:val="00C64B59"/>
    <w:rsid w:val="00C651FF"/>
    <w:rsid w:val="00C6529F"/>
    <w:rsid w:val="00C65509"/>
    <w:rsid w:val="00C65D72"/>
    <w:rsid w:val="00C65F0E"/>
    <w:rsid w:val="00C65F4B"/>
    <w:rsid w:val="00C66202"/>
    <w:rsid w:val="00C664F9"/>
    <w:rsid w:val="00C665B6"/>
    <w:rsid w:val="00C6667B"/>
    <w:rsid w:val="00C6668E"/>
    <w:rsid w:val="00C667BC"/>
    <w:rsid w:val="00C66849"/>
    <w:rsid w:val="00C66FE0"/>
    <w:rsid w:val="00C675FB"/>
    <w:rsid w:val="00C67648"/>
    <w:rsid w:val="00C67C03"/>
    <w:rsid w:val="00C709A4"/>
    <w:rsid w:val="00C70C9D"/>
    <w:rsid w:val="00C70EA8"/>
    <w:rsid w:val="00C7107A"/>
    <w:rsid w:val="00C715F0"/>
    <w:rsid w:val="00C71714"/>
    <w:rsid w:val="00C717A1"/>
    <w:rsid w:val="00C72353"/>
    <w:rsid w:val="00C72423"/>
    <w:rsid w:val="00C7256E"/>
    <w:rsid w:val="00C72910"/>
    <w:rsid w:val="00C72A55"/>
    <w:rsid w:val="00C72C1A"/>
    <w:rsid w:val="00C73353"/>
    <w:rsid w:val="00C734F9"/>
    <w:rsid w:val="00C7355D"/>
    <w:rsid w:val="00C739B9"/>
    <w:rsid w:val="00C7441B"/>
    <w:rsid w:val="00C74B22"/>
    <w:rsid w:val="00C75268"/>
    <w:rsid w:val="00C75319"/>
    <w:rsid w:val="00C7569E"/>
    <w:rsid w:val="00C7611A"/>
    <w:rsid w:val="00C7651D"/>
    <w:rsid w:val="00C776B6"/>
    <w:rsid w:val="00C77886"/>
    <w:rsid w:val="00C778FC"/>
    <w:rsid w:val="00C77C5F"/>
    <w:rsid w:val="00C8016B"/>
    <w:rsid w:val="00C807DD"/>
    <w:rsid w:val="00C80C3F"/>
    <w:rsid w:val="00C80C44"/>
    <w:rsid w:val="00C80D13"/>
    <w:rsid w:val="00C80FF8"/>
    <w:rsid w:val="00C810AB"/>
    <w:rsid w:val="00C81636"/>
    <w:rsid w:val="00C818DA"/>
    <w:rsid w:val="00C81C86"/>
    <w:rsid w:val="00C81D11"/>
    <w:rsid w:val="00C81F08"/>
    <w:rsid w:val="00C8342C"/>
    <w:rsid w:val="00C84061"/>
    <w:rsid w:val="00C8432B"/>
    <w:rsid w:val="00C845ED"/>
    <w:rsid w:val="00C84D90"/>
    <w:rsid w:val="00C850E1"/>
    <w:rsid w:val="00C8524F"/>
    <w:rsid w:val="00C85395"/>
    <w:rsid w:val="00C854AB"/>
    <w:rsid w:val="00C857A4"/>
    <w:rsid w:val="00C8608C"/>
    <w:rsid w:val="00C8630C"/>
    <w:rsid w:val="00C86543"/>
    <w:rsid w:val="00C86844"/>
    <w:rsid w:val="00C869CB"/>
    <w:rsid w:val="00C86BAC"/>
    <w:rsid w:val="00C87002"/>
    <w:rsid w:val="00C874B4"/>
    <w:rsid w:val="00C8781B"/>
    <w:rsid w:val="00C87887"/>
    <w:rsid w:val="00C87E5D"/>
    <w:rsid w:val="00C90215"/>
    <w:rsid w:val="00C902A2"/>
    <w:rsid w:val="00C90332"/>
    <w:rsid w:val="00C90583"/>
    <w:rsid w:val="00C906B5"/>
    <w:rsid w:val="00C90C3E"/>
    <w:rsid w:val="00C91C0F"/>
    <w:rsid w:val="00C920A2"/>
    <w:rsid w:val="00C924F0"/>
    <w:rsid w:val="00C924F2"/>
    <w:rsid w:val="00C931A2"/>
    <w:rsid w:val="00C9336F"/>
    <w:rsid w:val="00C93DFD"/>
    <w:rsid w:val="00C940F8"/>
    <w:rsid w:val="00C94172"/>
    <w:rsid w:val="00C945C7"/>
    <w:rsid w:val="00C94C1D"/>
    <w:rsid w:val="00C94CE6"/>
    <w:rsid w:val="00C94CF4"/>
    <w:rsid w:val="00C9568F"/>
    <w:rsid w:val="00C95BB6"/>
    <w:rsid w:val="00C95C68"/>
    <w:rsid w:val="00C95DB1"/>
    <w:rsid w:val="00C95F1E"/>
    <w:rsid w:val="00C95F45"/>
    <w:rsid w:val="00C9646E"/>
    <w:rsid w:val="00C96836"/>
    <w:rsid w:val="00C969E0"/>
    <w:rsid w:val="00C96B5E"/>
    <w:rsid w:val="00C96C6A"/>
    <w:rsid w:val="00C971B9"/>
    <w:rsid w:val="00C9721A"/>
    <w:rsid w:val="00C97AE8"/>
    <w:rsid w:val="00CA00D2"/>
    <w:rsid w:val="00CA08EC"/>
    <w:rsid w:val="00CA09CD"/>
    <w:rsid w:val="00CA0BB8"/>
    <w:rsid w:val="00CA0CF7"/>
    <w:rsid w:val="00CA18D3"/>
    <w:rsid w:val="00CA1C2A"/>
    <w:rsid w:val="00CA1EB0"/>
    <w:rsid w:val="00CA2196"/>
    <w:rsid w:val="00CA2227"/>
    <w:rsid w:val="00CA2580"/>
    <w:rsid w:val="00CA2F00"/>
    <w:rsid w:val="00CA3381"/>
    <w:rsid w:val="00CA3469"/>
    <w:rsid w:val="00CA380B"/>
    <w:rsid w:val="00CA3E4C"/>
    <w:rsid w:val="00CA4181"/>
    <w:rsid w:val="00CA462B"/>
    <w:rsid w:val="00CA4DFF"/>
    <w:rsid w:val="00CA505D"/>
    <w:rsid w:val="00CA5188"/>
    <w:rsid w:val="00CA5487"/>
    <w:rsid w:val="00CA6044"/>
    <w:rsid w:val="00CA669F"/>
    <w:rsid w:val="00CA7654"/>
    <w:rsid w:val="00CA7A16"/>
    <w:rsid w:val="00CA7A52"/>
    <w:rsid w:val="00CB02BC"/>
    <w:rsid w:val="00CB0A90"/>
    <w:rsid w:val="00CB0B82"/>
    <w:rsid w:val="00CB0F07"/>
    <w:rsid w:val="00CB1066"/>
    <w:rsid w:val="00CB15FD"/>
    <w:rsid w:val="00CB1730"/>
    <w:rsid w:val="00CB190B"/>
    <w:rsid w:val="00CB2251"/>
    <w:rsid w:val="00CB2794"/>
    <w:rsid w:val="00CB2C7B"/>
    <w:rsid w:val="00CB3478"/>
    <w:rsid w:val="00CB370D"/>
    <w:rsid w:val="00CB3C74"/>
    <w:rsid w:val="00CB43BD"/>
    <w:rsid w:val="00CB4F0E"/>
    <w:rsid w:val="00CB4F9F"/>
    <w:rsid w:val="00CB50E0"/>
    <w:rsid w:val="00CB510F"/>
    <w:rsid w:val="00CB5348"/>
    <w:rsid w:val="00CB5E7A"/>
    <w:rsid w:val="00CB6523"/>
    <w:rsid w:val="00CB6580"/>
    <w:rsid w:val="00CB6638"/>
    <w:rsid w:val="00CB6E1D"/>
    <w:rsid w:val="00CB6F60"/>
    <w:rsid w:val="00CB7169"/>
    <w:rsid w:val="00CB78ED"/>
    <w:rsid w:val="00CB791E"/>
    <w:rsid w:val="00CC013C"/>
    <w:rsid w:val="00CC0855"/>
    <w:rsid w:val="00CC0F02"/>
    <w:rsid w:val="00CC19FA"/>
    <w:rsid w:val="00CC1EFA"/>
    <w:rsid w:val="00CC2127"/>
    <w:rsid w:val="00CC22F3"/>
    <w:rsid w:val="00CC2563"/>
    <w:rsid w:val="00CC2D1C"/>
    <w:rsid w:val="00CC3933"/>
    <w:rsid w:val="00CC3AE2"/>
    <w:rsid w:val="00CC3C4B"/>
    <w:rsid w:val="00CC3D6E"/>
    <w:rsid w:val="00CC3F6F"/>
    <w:rsid w:val="00CC4910"/>
    <w:rsid w:val="00CC4B8A"/>
    <w:rsid w:val="00CC4E7F"/>
    <w:rsid w:val="00CC510B"/>
    <w:rsid w:val="00CC53EF"/>
    <w:rsid w:val="00CC5486"/>
    <w:rsid w:val="00CC5A42"/>
    <w:rsid w:val="00CC5F0E"/>
    <w:rsid w:val="00CC64E7"/>
    <w:rsid w:val="00CC676D"/>
    <w:rsid w:val="00CC6901"/>
    <w:rsid w:val="00CC6C05"/>
    <w:rsid w:val="00CC72CE"/>
    <w:rsid w:val="00CC76E3"/>
    <w:rsid w:val="00CC77E9"/>
    <w:rsid w:val="00CC7A01"/>
    <w:rsid w:val="00CC7A5F"/>
    <w:rsid w:val="00CC7DEB"/>
    <w:rsid w:val="00CD04A7"/>
    <w:rsid w:val="00CD07B8"/>
    <w:rsid w:val="00CD0844"/>
    <w:rsid w:val="00CD0932"/>
    <w:rsid w:val="00CD0D26"/>
    <w:rsid w:val="00CD1359"/>
    <w:rsid w:val="00CD1708"/>
    <w:rsid w:val="00CD1892"/>
    <w:rsid w:val="00CD1F03"/>
    <w:rsid w:val="00CD200A"/>
    <w:rsid w:val="00CD256B"/>
    <w:rsid w:val="00CD2724"/>
    <w:rsid w:val="00CD27CC"/>
    <w:rsid w:val="00CD292E"/>
    <w:rsid w:val="00CD2EF7"/>
    <w:rsid w:val="00CD2FE9"/>
    <w:rsid w:val="00CD336C"/>
    <w:rsid w:val="00CD4030"/>
    <w:rsid w:val="00CD419C"/>
    <w:rsid w:val="00CD461C"/>
    <w:rsid w:val="00CD4680"/>
    <w:rsid w:val="00CD4798"/>
    <w:rsid w:val="00CD49AC"/>
    <w:rsid w:val="00CD4ABF"/>
    <w:rsid w:val="00CD4B41"/>
    <w:rsid w:val="00CD4F4C"/>
    <w:rsid w:val="00CD5693"/>
    <w:rsid w:val="00CD590E"/>
    <w:rsid w:val="00CD5B28"/>
    <w:rsid w:val="00CD5F12"/>
    <w:rsid w:val="00CD6154"/>
    <w:rsid w:val="00CD620F"/>
    <w:rsid w:val="00CD6721"/>
    <w:rsid w:val="00CD69C8"/>
    <w:rsid w:val="00CD6AEC"/>
    <w:rsid w:val="00CD6CFD"/>
    <w:rsid w:val="00CD6D0A"/>
    <w:rsid w:val="00CD7D57"/>
    <w:rsid w:val="00CD7F20"/>
    <w:rsid w:val="00CD7F4A"/>
    <w:rsid w:val="00CE1600"/>
    <w:rsid w:val="00CE1711"/>
    <w:rsid w:val="00CE1F6C"/>
    <w:rsid w:val="00CE279E"/>
    <w:rsid w:val="00CE27E4"/>
    <w:rsid w:val="00CE28D6"/>
    <w:rsid w:val="00CE2A05"/>
    <w:rsid w:val="00CE2A56"/>
    <w:rsid w:val="00CE393F"/>
    <w:rsid w:val="00CE3A70"/>
    <w:rsid w:val="00CE3CE6"/>
    <w:rsid w:val="00CE3D31"/>
    <w:rsid w:val="00CE403B"/>
    <w:rsid w:val="00CE45BA"/>
    <w:rsid w:val="00CE5005"/>
    <w:rsid w:val="00CE53C4"/>
    <w:rsid w:val="00CE54E0"/>
    <w:rsid w:val="00CE54E1"/>
    <w:rsid w:val="00CE5782"/>
    <w:rsid w:val="00CE58FA"/>
    <w:rsid w:val="00CE5952"/>
    <w:rsid w:val="00CE59CD"/>
    <w:rsid w:val="00CE5F51"/>
    <w:rsid w:val="00CE5FDA"/>
    <w:rsid w:val="00CE66C8"/>
    <w:rsid w:val="00CE6DD2"/>
    <w:rsid w:val="00CE76FA"/>
    <w:rsid w:val="00CE7847"/>
    <w:rsid w:val="00CE7889"/>
    <w:rsid w:val="00CE7B62"/>
    <w:rsid w:val="00CE7EAC"/>
    <w:rsid w:val="00CF0047"/>
    <w:rsid w:val="00CF0303"/>
    <w:rsid w:val="00CF046D"/>
    <w:rsid w:val="00CF0675"/>
    <w:rsid w:val="00CF06B3"/>
    <w:rsid w:val="00CF093C"/>
    <w:rsid w:val="00CF101F"/>
    <w:rsid w:val="00CF11BE"/>
    <w:rsid w:val="00CF1310"/>
    <w:rsid w:val="00CF16F5"/>
    <w:rsid w:val="00CF1943"/>
    <w:rsid w:val="00CF2B2B"/>
    <w:rsid w:val="00CF3030"/>
    <w:rsid w:val="00CF31DA"/>
    <w:rsid w:val="00CF3B2E"/>
    <w:rsid w:val="00CF40DB"/>
    <w:rsid w:val="00CF42B4"/>
    <w:rsid w:val="00CF4384"/>
    <w:rsid w:val="00CF4478"/>
    <w:rsid w:val="00CF44F9"/>
    <w:rsid w:val="00CF4B33"/>
    <w:rsid w:val="00CF4BD5"/>
    <w:rsid w:val="00CF51AB"/>
    <w:rsid w:val="00CF56BC"/>
    <w:rsid w:val="00CF5DE2"/>
    <w:rsid w:val="00CF65F3"/>
    <w:rsid w:val="00CF6B59"/>
    <w:rsid w:val="00CF70E8"/>
    <w:rsid w:val="00CF76FD"/>
    <w:rsid w:val="00CF77A1"/>
    <w:rsid w:val="00CF7E2C"/>
    <w:rsid w:val="00D001C4"/>
    <w:rsid w:val="00D002DD"/>
    <w:rsid w:val="00D0045E"/>
    <w:rsid w:val="00D00478"/>
    <w:rsid w:val="00D005C3"/>
    <w:rsid w:val="00D00911"/>
    <w:rsid w:val="00D00A78"/>
    <w:rsid w:val="00D01151"/>
    <w:rsid w:val="00D012B4"/>
    <w:rsid w:val="00D01476"/>
    <w:rsid w:val="00D01627"/>
    <w:rsid w:val="00D01665"/>
    <w:rsid w:val="00D01C27"/>
    <w:rsid w:val="00D0285C"/>
    <w:rsid w:val="00D02898"/>
    <w:rsid w:val="00D02C74"/>
    <w:rsid w:val="00D03AB9"/>
    <w:rsid w:val="00D03C09"/>
    <w:rsid w:val="00D03D3D"/>
    <w:rsid w:val="00D03E70"/>
    <w:rsid w:val="00D03EC6"/>
    <w:rsid w:val="00D046C3"/>
    <w:rsid w:val="00D05AEF"/>
    <w:rsid w:val="00D05B72"/>
    <w:rsid w:val="00D06201"/>
    <w:rsid w:val="00D063AC"/>
    <w:rsid w:val="00D0645D"/>
    <w:rsid w:val="00D06746"/>
    <w:rsid w:val="00D06A78"/>
    <w:rsid w:val="00D06A91"/>
    <w:rsid w:val="00D06FC3"/>
    <w:rsid w:val="00D071B2"/>
    <w:rsid w:val="00D07561"/>
    <w:rsid w:val="00D078AA"/>
    <w:rsid w:val="00D078F9"/>
    <w:rsid w:val="00D07DB4"/>
    <w:rsid w:val="00D07ED3"/>
    <w:rsid w:val="00D10258"/>
    <w:rsid w:val="00D104E0"/>
    <w:rsid w:val="00D10530"/>
    <w:rsid w:val="00D10A17"/>
    <w:rsid w:val="00D10A24"/>
    <w:rsid w:val="00D10D1B"/>
    <w:rsid w:val="00D119CF"/>
    <w:rsid w:val="00D11B39"/>
    <w:rsid w:val="00D11C4E"/>
    <w:rsid w:val="00D11C84"/>
    <w:rsid w:val="00D12059"/>
    <w:rsid w:val="00D1209D"/>
    <w:rsid w:val="00D12172"/>
    <w:rsid w:val="00D125E5"/>
    <w:rsid w:val="00D1271B"/>
    <w:rsid w:val="00D12C2C"/>
    <w:rsid w:val="00D1308D"/>
    <w:rsid w:val="00D137FD"/>
    <w:rsid w:val="00D1384D"/>
    <w:rsid w:val="00D1408D"/>
    <w:rsid w:val="00D14239"/>
    <w:rsid w:val="00D148D4"/>
    <w:rsid w:val="00D14E0D"/>
    <w:rsid w:val="00D152B5"/>
    <w:rsid w:val="00D15D58"/>
    <w:rsid w:val="00D15D7A"/>
    <w:rsid w:val="00D15F59"/>
    <w:rsid w:val="00D15FCB"/>
    <w:rsid w:val="00D164CB"/>
    <w:rsid w:val="00D165F4"/>
    <w:rsid w:val="00D16940"/>
    <w:rsid w:val="00D16960"/>
    <w:rsid w:val="00D1712E"/>
    <w:rsid w:val="00D1716D"/>
    <w:rsid w:val="00D178D3"/>
    <w:rsid w:val="00D17B48"/>
    <w:rsid w:val="00D202A8"/>
    <w:rsid w:val="00D206FC"/>
    <w:rsid w:val="00D208F7"/>
    <w:rsid w:val="00D2092D"/>
    <w:rsid w:val="00D20DE3"/>
    <w:rsid w:val="00D210C6"/>
    <w:rsid w:val="00D2125C"/>
    <w:rsid w:val="00D21845"/>
    <w:rsid w:val="00D21D1F"/>
    <w:rsid w:val="00D21DE5"/>
    <w:rsid w:val="00D2248D"/>
    <w:rsid w:val="00D2295B"/>
    <w:rsid w:val="00D22F0C"/>
    <w:rsid w:val="00D22F1F"/>
    <w:rsid w:val="00D23163"/>
    <w:rsid w:val="00D233FD"/>
    <w:rsid w:val="00D235D3"/>
    <w:rsid w:val="00D23E28"/>
    <w:rsid w:val="00D240BC"/>
    <w:rsid w:val="00D247B7"/>
    <w:rsid w:val="00D24ADA"/>
    <w:rsid w:val="00D24E34"/>
    <w:rsid w:val="00D2506C"/>
    <w:rsid w:val="00D25462"/>
    <w:rsid w:val="00D25B08"/>
    <w:rsid w:val="00D2611B"/>
    <w:rsid w:val="00D269C2"/>
    <w:rsid w:val="00D26AFB"/>
    <w:rsid w:val="00D26C56"/>
    <w:rsid w:val="00D26EB7"/>
    <w:rsid w:val="00D276E8"/>
    <w:rsid w:val="00D2787E"/>
    <w:rsid w:val="00D27BB0"/>
    <w:rsid w:val="00D27D5D"/>
    <w:rsid w:val="00D302C2"/>
    <w:rsid w:val="00D3031D"/>
    <w:rsid w:val="00D30407"/>
    <w:rsid w:val="00D30C3C"/>
    <w:rsid w:val="00D30E08"/>
    <w:rsid w:val="00D31283"/>
    <w:rsid w:val="00D312D3"/>
    <w:rsid w:val="00D31DA6"/>
    <w:rsid w:val="00D322AB"/>
    <w:rsid w:val="00D327E7"/>
    <w:rsid w:val="00D3288A"/>
    <w:rsid w:val="00D3299A"/>
    <w:rsid w:val="00D32D41"/>
    <w:rsid w:val="00D33234"/>
    <w:rsid w:val="00D336DB"/>
    <w:rsid w:val="00D339F2"/>
    <w:rsid w:val="00D33C50"/>
    <w:rsid w:val="00D33E6C"/>
    <w:rsid w:val="00D34301"/>
    <w:rsid w:val="00D34338"/>
    <w:rsid w:val="00D3477B"/>
    <w:rsid w:val="00D35476"/>
    <w:rsid w:val="00D355E3"/>
    <w:rsid w:val="00D35BB7"/>
    <w:rsid w:val="00D360A8"/>
    <w:rsid w:val="00D3620E"/>
    <w:rsid w:val="00D363DE"/>
    <w:rsid w:val="00D3653D"/>
    <w:rsid w:val="00D36E6C"/>
    <w:rsid w:val="00D37186"/>
    <w:rsid w:val="00D371DF"/>
    <w:rsid w:val="00D37741"/>
    <w:rsid w:val="00D4011A"/>
    <w:rsid w:val="00D404CD"/>
    <w:rsid w:val="00D4101C"/>
    <w:rsid w:val="00D41218"/>
    <w:rsid w:val="00D414E8"/>
    <w:rsid w:val="00D41B85"/>
    <w:rsid w:val="00D41C54"/>
    <w:rsid w:val="00D41EBD"/>
    <w:rsid w:val="00D42562"/>
    <w:rsid w:val="00D42F40"/>
    <w:rsid w:val="00D43162"/>
    <w:rsid w:val="00D4343B"/>
    <w:rsid w:val="00D43617"/>
    <w:rsid w:val="00D43652"/>
    <w:rsid w:val="00D436A4"/>
    <w:rsid w:val="00D43935"/>
    <w:rsid w:val="00D43AE4"/>
    <w:rsid w:val="00D44056"/>
    <w:rsid w:val="00D440B4"/>
    <w:rsid w:val="00D44207"/>
    <w:rsid w:val="00D44948"/>
    <w:rsid w:val="00D44B87"/>
    <w:rsid w:val="00D44FDA"/>
    <w:rsid w:val="00D45019"/>
    <w:rsid w:val="00D4522C"/>
    <w:rsid w:val="00D45595"/>
    <w:rsid w:val="00D4562D"/>
    <w:rsid w:val="00D45945"/>
    <w:rsid w:val="00D45ABC"/>
    <w:rsid w:val="00D45B0F"/>
    <w:rsid w:val="00D45B65"/>
    <w:rsid w:val="00D461BC"/>
    <w:rsid w:val="00D46289"/>
    <w:rsid w:val="00D46743"/>
    <w:rsid w:val="00D46AA4"/>
    <w:rsid w:val="00D4761B"/>
    <w:rsid w:val="00D47CBE"/>
    <w:rsid w:val="00D50682"/>
    <w:rsid w:val="00D50970"/>
    <w:rsid w:val="00D509DE"/>
    <w:rsid w:val="00D50A49"/>
    <w:rsid w:val="00D512D4"/>
    <w:rsid w:val="00D51386"/>
    <w:rsid w:val="00D51749"/>
    <w:rsid w:val="00D5184E"/>
    <w:rsid w:val="00D51ABC"/>
    <w:rsid w:val="00D51ADA"/>
    <w:rsid w:val="00D51E0B"/>
    <w:rsid w:val="00D522A8"/>
    <w:rsid w:val="00D52501"/>
    <w:rsid w:val="00D52632"/>
    <w:rsid w:val="00D52987"/>
    <w:rsid w:val="00D52FE5"/>
    <w:rsid w:val="00D53410"/>
    <w:rsid w:val="00D53BC2"/>
    <w:rsid w:val="00D53CDB"/>
    <w:rsid w:val="00D53DA3"/>
    <w:rsid w:val="00D53E21"/>
    <w:rsid w:val="00D53F1B"/>
    <w:rsid w:val="00D53F42"/>
    <w:rsid w:val="00D54136"/>
    <w:rsid w:val="00D54807"/>
    <w:rsid w:val="00D54835"/>
    <w:rsid w:val="00D54BD4"/>
    <w:rsid w:val="00D550F9"/>
    <w:rsid w:val="00D55D06"/>
    <w:rsid w:val="00D56298"/>
    <w:rsid w:val="00D563A2"/>
    <w:rsid w:val="00D56892"/>
    <w:rsid w:val="00D577DF"/>
    <w:rsid w:val="00D57D66"/>
    <w:rsid w:val="00D60259"/>
    <w:rsid w:val="00D607B7"/>
    <w:rsid w:val="00D60AA7"/>
    <w:rsid w:val="00D60B38"/>
    <w:rsid w:val="00D60BAA"/>
    <w:rsid w:val="00D61385"/>
    <w:rsid w:val="00D61640"/>
    <w:rsid w:val="00D61715"/>
    <w:rsid w:val="00D61788"/>
    <w:rsid w:val="00D61865"/>
    <w:rsid w:val="00D61896"/>
    <w:rsid w:val="00D61C13"/>
    <w:rsid w:val="00D61CBC"/>
    <w:rsid w:val="00D623A4"/>
    <w:rsid w:val="00D62C09"/>
    <w:rsid w:val="00D634CB"/>
    <w:rsid w:val="00D63FD6"/>
    <w:rsid w:val="00D6417B"/>
    <w:rsid w:val="00D641E6"/>
    <w:rsid w:val="00D6465C"/>
    <w:rsid w:val="00D64D84"/>
    <w:rsid w:val="00D650F7"/>
    <w:rsid w:val="00D651A9"/>
    <w:rsid w:val="00D65406"/>
    <w:rsid w:val="00D65A6E"/>
    <w:rsid w:val="00D65BDF"/>
    <w:rsid w:val="00D6606D"/>
    <w:rsid w:val="00D667AD"/>
    <w:rsid w:val="00D66BE9"/>
    <w:rsid w:val="00D67045"/>
    <w:rsid w:val="00D6723F"/>
    <w:rsid w:val="00D672F0"/>
    <w:rsid w:val="00D67590"/>
    <w:rsid w:val="00D6786E"/>
    <w:rsid w:val="00D67915"/>
    <w:rsid w:val="00D67ADD"/>
    <w:rsid w:val="00D67DE1"/>
    <w:rsid w:val="00D704CB"/>
    <w:rsid w:val="00D7050B"/>
    <w:rsid w:val="00D70853"/>
    <w:rsid w:val="00D708D0"/>
    <w:rsid w:val="00D711B6"/>
    <w:rsid w:val="00D71401"/>
    <w:rsid w:val="00D716C7"/>
    <w:rsid w:val="00D71990"/>
    <w:rsid w:val="00D71AE5"/>
    <w:rsid w:val="00D71BEB"/>
    <w:rsid w:val="00D71CBC"/>
    <w:rsid w:val="00D71D4F"/>
    <w:rsid w:val="00D71DCE"/>
    <w:rsid w:val="00D72008"/>
    <w:rsid w:val="00D7203C"/>
    <w:rsid w:val="00D72256"/>
    <w:rsid w:val="00D72315"/>
    <w:rsid w:val="00D72533"/>
    <w:rsid w:val="00D72ABD"/>
    <w:rsid w:val="00D72BED"/>
    <w:rsid w:val="00D72C2C"/>
    <w:rsid w:val="00D732FE"/>
    <w:rsid w:val="00D73570"/>
    <w:rsid w:val="00D7418D"/>
    <w:rsid w:val="00D7442C"/>
    <w:rsid w:val="00D74652"/>
    <w:rsid w:val="00D74834"/>
    <w:rsid w:val="00D7502B"/>
    <w:rsid w:val="00D75292"/>
    <w:rsid w:val="00D752E7"/>
    <w:rsid w:val="00D7552B"/>
    <w:rsid w:val="00D75582"/>
    <w:rsid w:val="00D756ED"/>
    <w:rsid w:val="00D7589B"/>
    <w:rsid w:val="00D75AC2"/>
    <w:rsid w:val="00D76116"/>
    <w:rsid w:val="00D76432"/>
    <w:rsid w:val="00D766A4"/>
    <w:rsid w:val="00D7671E"/>
    <w:rsid w:val="00D76A3E"/>
    <w:rsid w:val="00D804A5"/>
    <w:rsid w:val="00D80FB9"/>
    <w:rsid w:val="00D8115A"/>
    <w:rsid w:val="00D811FB"/>
    <w:rsid w:val="00D81276"/>
    <w:rsid w:val="00D8136A"/>
    <w:rsid w:val="00D8148F"/>
    <w:rsid w:val="00D81807"/>
    <w:rsid w:val="00D81D81"/>
    <w:rsid w:val="00D81DA1"/>
    <w:rsid w:val="00D81EFA"/>
    <w:rsid w:val="00D820DD"/>
    <w:rsid w:val="00D82486"/>
    <w:rsid w:val="00D82818"/>
    <w:rsid w:val="00D82B55"/>
    <w:rsid w:val="00D83148"/>
    <w:rsid w:val="00D833DE"/>
    <w:rsid w:val="00D83725"/>
    <w:rsid w:val="00D8398F"/>
    <w:rsid w:val="00D83DAE"/>
    <w:rsid w:val="00D83F01"/>
    <w:rsid w:val="00D83FF9"/>
    <w:rsid w:val="00D8430C"/>
    <w:rsid w:val="00D84432"/>
    <w:rsid w:val="00D84D1A"/>
    <w:rsid w:val="00D84D60"/>
    <w:rsid w:val="00D85337"/>
    <w:rsid w:val="00D853ED"/>
    <w:rsid w:val="00D85E16"/>
    <w:rsid w:val="00D86386"/>
    <w:rsid w:val="00D864A6"/>
    <w:rsid w:val="00D86AC9"/>
    <w:rsid w:val="00D86C93"/>
    <w:rsid w:val="00D8702A"/>
    <w:rsid w:val="00D87032"/>
    <w:rsid w:val="00D87078"/>
    <w:rsid w:val="00D87088"/>
    <w:rsid w:val="00D87459"/>
    <w:rsid w:val="00D87616"/>
    <w:rsid w:val="00D8769A"/>
    <w:rsid w:val="00D876CD"/>
    <w:rsid w:val="00D87934"/>
    <w:rsid w:val="00D87B9E"/>
    <w:rsid w:val="00D90494"/>
    <w:rsid w:val="00D90567"/>
    <w:rsid w:val="00D907EF"/>
    <w:rsid w:val="00D90834"/>
    <w:rsid w:val="00D90ACC"/>
    <w:rsid w:val="00D90C09"/>
    <w:rsid w:val="00D90C29"/>
    <w:rsid w:val="00D90CE7"/>
    <w:rsid w:val="00D90EAA"/>
    <w:rsid w:val="00D91189"/>
    <w:rsid w:val="00D925AA"/>
    <w:rsid w:val="00D92672"/>
    <w:rsid w:val="00D92AA2"/>
    <w:rsid w:val="00D92DB9"/>
    <w:rsid w:val="00D92F1A"/>
    <w:rsid w:val="00D92F40"/>
    <w:rsid w:val="00D93033"/>
    <w:rsid w:val="00D93D7D"/>
    <w:rsid w:val="00D941F0"/>
    <w:rsid w:val="00D943A4"/>
    <w:rsid w:val="00D94C0B"/>
    <w:rsid w:val="00D95034"/>
    <w:rsid w:val="00D952A6"/>
    <w:rsid w:val="00D953F3"/>
    <w:rsid w:val="00D955D9"/>
    <w:rsid w:val="00D9568F"/>
    <w:rsid w:val="00D95ADE"/>
    <w:rsid w:val="00D95B78"/>
    <w:rsid w:val="00D97394"/>
    <w:rsid w:val="00D973ED"/>
    <w:rsid w:val="00D977DE"/>
    <w:rsid w:val="00D97B9D"/>
    <w:rsid w:val="00DA0016"/>
    <w:rsid w:val="00DA00F4"/>
    <w:rsid w:val="00DA06A4"/>
    <w:rsid w:val="00DA08B5"/>
    <w:rsid w:val="00DA0CC8"/>
    <w:rsid w:val="00DA1A7B"/>
    <w:rsid w:val="00DA1C9A"/>
    <w:rsid w:val="00DA1F03"/>
    <w:rsid w:val="00DA1F7D"/>
    <w:rsid w:val="00DA25D3"/>
    <w:rsid w:val="00DA2AB1"/>
    <w:rsid w:val="00DA3495"/>
    <w:rsid w:val="00DA3D5F"/>
    <w:rsid w:val="00DA4013"/>
    <w:rsid w:val="00DA41F7"/>
    <w:rsid w:val="00DA437F"/>
    <w:rsid w:val="00DA4F55"/>
    <w:rsid w:val="00DA5276"/>
    <w:rsid w:val="00DA53A8"/>
    <w:rsid w:val="00DA543E"/>
    <w:rsid w:val="00DA54F5"/>
    <w:rsid w:val="00DA568E"/>
    <w:rsid w:val="00DA5699"/>
    <w:rsid w:val="00DA5AB6"/>
    <w:rsid w:val="00DA5B39"/>
    <w:rsid w:val="00DA5C73"/>
    <w:rsid w:val="00DA5CDE"/>
    <w:rsid w:val="00DA5EEC"/>
    <w:rsid w:val="00DA653E"/>
    <w:rsid w:val="00DA6564"/>
    <w:rsid w:val="00DA6659"/>
    <w:rsid w:val="00DA6B9D"/>
    <w:rsid w:val="00DA6E96"/>
    <w:rsid w:val="00DA7160"/>
    <w:rsid w:val="00DA72A6"/>
    <w:rsid w:val="00DA7530"/>
    <w:rsid w:val="00DA758D"/>
    <w:rsid w:val="00DA7754"/>
    <w:rsid w:val="00DA7979"/>
    <w:rsid w:val="00DA7ED2"/>
    <w:rsid w:val="00DB015D"/>
    <w:rsid w:val="00DB030A"/>
    <w:rsid w:val="00DB0A6B"/>
    <w:rsid w:val="00DB0B04"/>
    <w:rsid w:val="00DB0F5E"/>
    <w:rsid w:val="00DB104E"/>
    <w:rsid w:val="00DB141E"/>
    <w:rsid w:val="00DB1A74"/>
    <w:rsid w:val="00DB1AE7"/>
    <w:rsid w:val="00DB1E3C"/>
    <w:rsid w:val="00DB1E93"/>
    <w:rsid w:val="00DB2098"/>
    <w:rsid w:val="00DB2154"/>
    <w:rsid w:val="00DB27AE"/>
    <w:rsid w:val="00DB2A33"/>
    <w:rsid w:val="00DB2C9A"/>
    <w:rsid w:val="00DB2E06"/>
    <w:rsid w:val="00DB2FB5"/>
    <w:rsid w:val="00DB2FCD"/>
    <w:rsid w:val="00DB35BB"/>
    <w:rsid w:val="00DB37C6"/>
    <w:rsid w:val="00DB3C15"/>
    <w:rsid w:val="00DB3D89"/>
    <w:rsid w:val="00DB40D0"/>
    <w:rsid w:val="00DB4D94"/>
    <w:rsid w:val="00DB50AC"/>
    <w:rsid w:val="00DB54DF"/>
    <w:rsid w:val="00DB560F"/>
    <w:rsid w:val="00DB6019"/>
    <w:rsid w:val="00DB617F"/>
    <w:rsid w:val="00DB685E"/>
    <w:rsid w:val="00DB6D38"/>
    <w:rsid w:val="00DB78BD"/>
    <w:rsid w:val="00DC049D"/>
    <w:rsid w:val="00DC0933"/>
    <w:rsid w:val="00DC0A97"/>
    <w:rsid w:val="00DC0B94"/>
    <w:rsid w:val="00DC0D27"/>
    <w:rsid w:val="00DC146C"/>
    <w:rsid w:val="00DC14DC"/>
    <w:rsid w:val="00DC1726"/>
    <w:rsid w:val="00DC2515"/>
    <w:rsid w:val="00DC2528"/>
    <w:rsid w:val="00DC26B4"/>
    <w:rsid w:val="00DC2BC6"/>
    <w:rsid w:val="00DC2EB9"/>
    <w:rsid w:val="00DC2FA5"/>
    <w:rsid w:val="00DC2FAA"/>
    <w:rsid w:val="00DC3205"/>
    <w:rsid w:val="00DC3235"/>
    <w:rsid w:val="00DC3346"/>
    <w:rsid w:val="00DC3377"/>
    <w:rsid w:val="00DC34AF"/>
    <w:rsid w:val="00DC3519"/>
    <w:rsid w:val="00DC385D"/>
    <w:rsid w:val="00DC3A6B"/>
    <w:rsid w:val="00DC3DA6"/>
    <w:rsid w:val="00DC403D"/>
    <w:rsid w:val="00DC4882"/>
    <w:rsid w:val="00DC5324"/>
    <w:rsid w:val="00DC53D6"/>
    <w:rsid w:val="00DC5743"/>
    <w:rsid w:val="00DC575B"/>
    <w:rsid w:val="00DC5892"/>
    <w:rsid w:val="00DC600C"/>
    <w:rsid w:val="00DC6072"/>
    <w:rsid w:val="00DC61A4"/>
    <w:rsid w:val="00DC641E"/>
    <w:rsid w:val="00DC6C2C"/>
    <w:rsid w:val="00DC6D48"/>
    <w:rsid w:val="00DC7ECD"/>
    <w:rsid w:val="00DD00A3"/>
    <w:rsid w:val="00DD070A"/>
    <w:rsid w:val="00DD086F"/>
    <w:rsid w:val="00DD0880"/>
    <w:rsid w:val="00DD0888"/>
    <w:rsid w:val="00DD13F7"/>
    <w:rsid w:val="00DD17B5"/>
    <w:rsid w:val="00DD1F00"/>
    <w:rsid w:val="00DD214C"/>
    <w:rsid w:val="00DD2969"/>
    <w:rsid w:val="00DD2A87"/>
    <w:rsid w:val="00DD2B15"/>
    <w:rsid w:val="00DD2B4D"/>
    <w:rsid w:val="00DD2D30"/>
    <w:rsid w:val="00DD2EBC"/>
    <w:rsid w:val="00DD2F37"/>
    <w:rsid w:val="00DD3D85"/>
    <w:rsid w:val="00DD3E54"/>
    <w:rsid w:val="00DD42B7"/>
    <w:rsid w:val="00DD4F20"/>
    <w:rsid w:val="00DD550A"/>
    <w:rsid w:val="00DD560C"/>
    <w:rsid w:val="00DD5F9B"/>
    <w:rsid w:val="00DD5FF5"/>
    <w:rsid w:val="00DD60ED"/>
    <w:rsid w:val="00DD6544"/>
    <w:rsid w:val="00DD693C"/>
    <w:rsid w:val="00DD6B36"/>
    <w:rsid w:val="00DD723B"/>
    <w:rsid w:val="00DD72AC"/>
    <w:rsid w:val="00DD7335"/>
    <w:rsid w:val="00DD7E7E"/>
    <w:rsid w:val="00DE0B15"/>
    <w:rsid w:val="00DE0BE8"/>
    <w:rsid w:val="00DE0CAD"/>
    <w:rsid w:val="00DE119E"/>
    <w:rsid w:val="00DE181C"/>
    <w:rsid w:val="00DE1BF2"/>
    <w:rsid w:val="00DE1D43"/>
    <w:rsid w:val="00DE27A4"/>
    <w:rsid w:val="00DE27C1"/>
    <w:rsid w:val="00DE287B"/>
    <w:rsid w:val="00DE2CAE"/>
    <w:rsid w:val="00DE2D15"/>
    <w:rsid w:val="00DE318B"/>
    <w:rsid w:val="00DE31B4"/>
    <w:rsid w:val="00DE3502"/>
    <w:rsid w:val="00DE3520"/>
    <w:rsid w:val="00DE3878"/>
    <w:rsid w:val="00DE3E21"/>
    <w:rsid w:val="00DE3E88"/>
    <w:rsid w:val="00DE3F88"/>
    <w:rsid w:val="00DE3FE7"/>
    <w:rsid w:val="00DE42B2"/>
    <w:rsid w:val="00DE4951"/>
    <w:rsid w:val="00DE4B7C"/>
    <w:rsid w:val="00DE544D"/>
    <w:rsid w:val="00DE59B3"/>
    <w:rsid w:val="00DE5B48"/>
    <w:rsid w:val="00DE70B7"/>
    <w:rsid w:val="00DF0763"/>
    <w:rsid w:val="00DF0788"/>
    <w:rsid w:val="00DF08E4"/>
    <w:rsid w:val="00DF09F9"/>
    <w:rsid w:val="00DF0D46"/>
    <w:rsid w:val="00DF1365"/>
    <w:rsid w:val="00DF16E7"/>
    <w:rsid w:val="00DF2193"/>
    <w:rsid w:val="00DF2492"/>
    <w:rsid w:val="00DF2B16"/>
    <w:rsid w:val="00DF2B9E"/>
    <w:rsid w:val="00DF2D10"/>
    <w:rsid w:val="00DF2E47"/>
    <w:rsid w:val="00DF3006"/>
    <w:rsid w:val="00DF31B0"/>
    <w:rsid w:val="00DF4031"/>
    <w:rsid w:val="00DF40B5"/>
    <w:rsid w:val="00DF4F51"/>
    <w:rsid w:val="00DF6A3E"/>
    <w:rsid w:val="00DF6AE8"/>
    <w:rsid w:val="00DF6BD5"/>
    <w:rsid w:val="00DF6CE0"/>
    <w:rsid w:val="00DF6E80"/>
    <w:rsid w:val="00DF7CDA"/>
    <w:rsid w:val="00E00AAD"/>
    <w:rsid w:val="00E00E47"/>
    <w:rsid w:val="00E00E90"/>
    <w:rsid w:val="00E00EF1"/>
    <w:rsid w:val="00E01743"/>
    <w:rsid w:val="00E01B74"/>
    <w:rsid w:val="00E01EA6"/>
    <w:rsid w:val="00E020C0"/>
    <w:rsid w:val="00E021CF"/>
    <w:rsid w:val="00E024F1"/>
    <w:rsid w:val="00E02BC7"/>
    <w:rsid w:val="00E02D0E"/>
    <w:rsid w:val="00E0345B"/>
    <w:rsid w:val="00E038F1"/>
    <w:rsid w:val="00E03B8C"/>
    <w:rsid w:val="00E040C1"/>
    <w:rsid w:val="00E04144"/>
    <w:rsid w:val="00E04291"/>
    <w:rsid w:val="00E04B6C"/>
    <w:rsid w:val="00E04BE8"/>
    <w:rsid w:val="00E04D00"/>
    <w:rsid w:val="00E05181"/>
    <w:rsid w:val="00E051C2"/>
    <w:rsid w:val="00E056CD"/>
    <w:rsid w:val="00E057C8"/>
    <w:rsid w:val="00E06381"/>
    <w:rsid w:val="00E06745"/>
    <w:rsid w:val="00E068AD"/>
    <w:rsid w:val="00E06C03"/>
    <w:rsid w:val="00E06C1E"/>
    <w:rsid w:val="00E06D52"/>
    <w:rsid w:val="00E06E5B"/>
    <w:rsid w:val="00E06EAC"/>
    <w:rsid w:val="00E07A4A"/>
    <w:rsid w:val="00E07AF6"/>
    <w:rsid w:val="00E07D1C"/>
    <w:rsid w:val="00E100E3"/>
    <w:rsid w:val="00E10167"/>
    <w:rsid w:val="00E101F3"/>
    <w:rsid w:val="00E10394"/>
    <w:rsid w:val="00E10B40"/>
    <w:rsid w:val="00E10E45"/>
    <w:rsid w:val="00E10F44"/>
    <w:rsid w:val="00E10FBA"/>
    <w:rsid w:val="00E11007"/>
    <w:rsid w:val="00E11055"/>
    <w:rsid w:val="00E112F7"/>
    <w:rsid w:val="00E11493"/>
    <w:rsid w:val="00E117EB"/>
    <w:rsid w:val="00E119E1"/>
    <w:rsid w:val="00E11A33"/>
    <w:rsid w:val="00E123F0"/>
    <w:rsid w:val="00E12FAB"/>
    <w:rsid w:val="00E1395F"/>
    <w:rsid w:val="00E13AA2"/>
    <w:rsid w:val="00E13B2F"/>
    <w:rsid w:val="00E13E5F"/>
    <w:rsid w:val="00E14129"/>
    <w:rsid w:val="00E14476"/>
    <w:rsid w:val="00E14586"/>
    <w:rsid w:val="00E14794"/>
    <w:rsid w:val="00E15D1E"/>
    <w:rsid w:val="00E16378"/>
    <w:rsid w:val="00E16538"/>
    <w:rsid w:val="00E165DE"/>
    <w:rsid w:val="00E16CB1"/>
    <w:rsid w:val="00E172BF"/>
    <w:rsid w:val="00E177C8"/>
    <w:rsid w:val="00E177E0"/>
    <w:rsid w:val="00E17BAF"/>
    <w:rsid w:val="00E17D49"/>
    <w:rsid w:val="00E17D81"/>
    <w:rsid w:val="00E2028F"/>
    <w:rsid w:val="00E20BB9"/>
    <w:rsid w:val="00E20C99"/>
    <w:rsid w:val="00E20D8A"/>
    <w:rsid w:val="00E20E19"/>
    <w:rsid w:val="00E211A4"/>
    <w:rsid w:val="00E215D8"/>
    <w:rsid w:val="00E218CA"/>
    <w:rsid w:val="00E21C1C"/>
    <w:rsid w:val="00E220FF"/>
    <w:rsid w:val="00E2211A"/>
    <w:rsid w:val="00E22527"/>
    <w:rsid w:val="00E22747"/>
    <w:rsid w:val="00E22900"/>
    <w:rsid w:val="00E22C17"/>
    <w:rsid w:val="00E23152"/>
    <w:rsid w:val="00E23259"/>
    <w:rsid w:val="00E23508"/>
    <w:rsid w:val="00E236C4"/>
    <w:rsid w:val="00E23B48"/>
    <w:rsid w:val="00E23CA9"/>
    <w:rsid w:val="00E24157"/>
    <w:rsid w:val="00E24226"/>
    <w:rsid w:val="00E246A1"/>
    <w:rsid w:val="00E24F0F"/>
    <w:rsid w:val="00E259C5"/>
    <w:rsid w:val="00E25B48"/>
    <w:rsid w:val="00E25FAA"/>
    <w:rsid w:val="00E26ACE"/>
    <w:rsid w:val="00E27368"/>
    <w:rsid w:val="00E274F4"/>
    <w:rsid w:val="00E27594"/>
    <w:rsid w:val="00E27608"/>
    <w:rsid w:val="00E27753"/>
    <w:rsid w:val="00E27898"/>
    <w:rsid w:val="00E27A87"/>
    <w:rsid w:val="00E3006A"/>
    <w:rsid w:val="00E30213"/>
    <w:rsid w:val="00E302BB"/>
    <w:rsid w:val="00E30587"/>
    <w:rsid w:val="00E30708"/>
    <w:rsid w:val="00E3074C"/>
    <w:rsid w:val="00E30828"/>
    <w:rsid w:val="00E30D6E"/>
    <w:rsid w:val="00E30E09"/>
    <w:rsid w:val="00E314D2"/>
    <w:rsid w:val="00E31A21"/>
    <w:rsid w:val="00E31EBB"/>
    <w:rsid w:val="00E323E2"/>
    <w:rsid w:val="00E3287D"/>
    <w:rsid w:val="00E32C35"/>
    <w:rsid w:val="00E33045"/>
    <w:rsid w:val="00E33373"/>
    <w:rsid w:val="00E336F7"/>
    <w:rsid w:val="00E33973"/>
    <w:rsid w:val="00E33A83"/>
    <w:rsid w:val="00E33E42"/>
    <w:rsid w:val="00E3413B"/>
    <w:rsid w:val="00E3471B"/>
    <w:rsid w:val="00E3491A"/>
    <w:rsid w:val="00E34AED"/>
    <w:rsid w:val="00E34C5B"/>
    <w:rsid w:val="00E35615"/>
    <w:rsid w:val="00E36106"/>
    <w:rsid w:val="00E3626D"/>
    <w:rsid w:val="00E36512"/>
    <w:rsid w:val="00E36658"/>
    <w:rsid w:val="00E36BBC"/>
    <w:rsid w:val="00E3705B"/>
    <w:rsid w:val="00E371BB"/>
    <w:rsid w:val="00E37594"/>
    <w:rsid w:val="00E375A5"/>
    <w:rsid w:val="00E37792"/>
    <w:rsid w:val="00E377D5"/>
    <w:rsid w:val="00E37867"/>
    <w:rsid w:val="00E37F26"/>
    <w:rsid w:val="00E37F9A"/>
    <w:rsid w:val="00E4087C"/>
    <w:rsid w:val="00E4093D"/>
    <w:rsid w:val="00E40E31"/>
    <w:rsid w:val="00E4166F"/>
    <w:rsid w:val="00E41DE5"/>
    <w:rsid w:val="00E426D6"/>
    <w:rsid w:val="00E4299E"/>
    <w:rsid w:val="00E42C70"/>
    <w:rsid w:val="00E430D1"/>
    <w:rsid w:val="00E4322A"/>
    <w:rsid w:val="00E4385F"/>
    <w:rsid w:val="00E43BE8"/>
    <w:rsid w:val="00E43D0F"/>
    <w:rsid w:val="00E44544"/>
    <w:rsid w:val="00E44CC7"/>
    <w:rsid w:val="00E44F0C"/>
    <w:rsid w:val="00E44FDC"/>
    <w:rsid w:val="00E45325"/>
    <w:rsid w:val="00E4537E"/>
    <w:rsid w:val="00E4592D"/>
    <w:rsid w:val="00E45C87"/>
    <w:rsid w:val="00E46700"/>
    <w:rsid w:val="00E46712"/>
    <w:rsid w:val="00E4688F"/>
    <w:rsid w:val="00E46B0D"/>
    <w:rsid w:val="00E46DD5"/>
    <w:rsid w:val="00E46F40"/>
    <w:rsid w:val="00E477FD"/>
    <w:rsid w:val="00E47DD3"/>
    <w:rsid w:val="00E5008F"/>
    <w:rsid w:val="00E50557"/>
    <w:rsid w:val="00E513C9"/>
    <w:rsid w:val="00E51E1B"/>
    <w:rsid w:val="00E51E65"/>
    <w:rsid w:val="00E522AC"/>
    <w:rsid w:val="00E5296F"/>
    <w:rsid w:val="00E53545"/>
    <w:rsid w:val="00E5414A"/>
    <w:rsid w:val="00E54450"/>
    <w:rsid w:val="00E54FE9"/>
    <w:rsid w:val="00E550ED"/>
    <w:rsid w:val="00E5513B"/>
    <w:rsid w:val="00E5521E"/>
    <w:rsid w:val="00E55444"/>
    <w:rsid w:val="00E55D2D"/>
    <w:rsid w:val="00E562B6"/>
    <w:rsid w:val="00E565C6"/>
    <w:rsid w:val="00E566F4"/>
    <w:rsid w:val="00E566FD"/>
    <w:rsid w:val="00E56755"/>
    <w:rsid w:val="00E569C8"/>
    <w:rsid w:val="00E56FCB"/>
    <w:rsid w:val="00E56FFE"/>
    <w:rsid w:val="00E5706F"/>
    <w:rsid w:val="00E57389"/>
    <w:rsid w:val="00E576C6"/>
    <w:rsid w:val="00E60461"/>
    <w:rsid w:val="00E60487"/>
    <w:rsid w:val="00E60858"/>
    <w:rsid w:val="00E608E5"/>
    <w:rsid w:val="00E61BB2"/>
    <w:rsid w:val="00E61BC7"/>
    <w:rsid w:val="00E61BFA"/>
    <w:rsid w:val="00E620C2"/>
    <w:rsid w:val="00E62142"/>
    <w:rsid w:val="00E6222F"/>
    <w:rsid w:val="00E625DE"/>
    <w:rsid w:val="00E632C0"/>
    <w:rsid w:val="00E635C6"/>
    <w:rsid w:val="00E63A15"/>
    <w:rsid w:val="00E63E80"/>
    <w:rsid w:val="00E63F8F"/>
    <w:rsid w:val="00E640F3"/>
    <w:rsid w:val="00E64255"/>
    <w:rsid w:val="00E643ED"/>
    <w:rsid w:val="00E64588"/>
    <w:rsid w:val="00E64EC6"/>
    <w:rsid w:val="00E64FC2"/>
    <w:rsid w:val="00E651A8"/>
    <w:rsid w:val="00E655C5"/>
    <w:rsid w:val="00E65D30"/>
    <w:rsid w:val="00E65DB0"/>
    <w:rsid w:val="00E65EB4"/>
    <w:rsid w:val="00E66299"/>
    <w:rsid w:val="00E66673"/>
    <w:rsid w:val="00E67280"/>
    <w:rsid w:val="00E67570"/>
    <w:rsid w:val="00E678C9"/>
    <w:rsid w:val="00E6796E"/>
    <w:rsid w:val="00E67B35"/>
    <w:rsid w:val="00E70030"/>
    <w:rsid w:val="00E70484"/>
    <w:rsid w:val="00E7091E"/>
    <w:rsid w:val="00E710F5"/>
    <w:rsid w:val="00E71131"/>
    <w:rsid w:val="00E714FD"/>
    <w:rsid w:val="00E717F8"/>
    <w:rsid w:val="00E718E0"/>
    <w:rsid w:val="00E71CAF"/>
    <w:rsid w:val="00E71CBF"/>
    <w:rsid w:val="00E71F35"/>
    <w:rsid w:val="00E7224A"/>
    <w:rsid w:val="00E7236A"/>
    <w:rsid w:val="00E72584"/>
    <w:rsid w:val="00E72717"/>
    <w:rsid w:val="00E728C4"/>
    <w:rsid w:val="00E730A9"/>
    <w:rsid w:val="00E73832"/>
    <w:rsid w:val="00E7398E"/>
    <w:rsid w:val="00E73DEA"/>
    <w:rsid w:val="00E73F52"/>
    <w:rsid w:val="00E74526"/>
    <w:rsid w:val="00E75283"/>
    <w:rsid w:val="00E752C9"/>
    <w:rsid w:val="00E7531A"/>
    <w:rsid w:val="00E7557C"/>
    <w:rsid w:val="00E75909"/>
    <w:rsid w:val="00E759BE"/>
    <w:rsid w:val="00E75E82"/>
    <w:rsid w:val="00E75FEB"/>
    <w:rsid w:val="00E76553"/>
    <w:rsid w:val="00E76615"/>
    <w:rsid w:val="00E76803"/>
    <w:rsid w:val="00E76946"/>
    <w:rsid w:val="00E77A8B"/>
    <w:rsid w:val="00E800C2"/>
    <w:rsid w:val="00E8039D"/>
    <w:rsid w:val="00E804C6"/>
    <w:rsid w:val="00E8061F"/>
    <w:rsid w:val="00E80783"/>
    <w:rsid w:val="00E809E1"/>
    <w:rsid w:val="00E8149C"/>
    <w:rsid w:val="00E8161D"/>
    <w:rsid w:val="00E8227B"/>
    <w:rsid w:val="00E827B5"/>
    <w:rsid w:val="00E832B4"/>
    <w:rsid w:val="00E8348B"/>
    <w:rsid w:val="00E83B39"/>
    <w:rsid w:val="00E83EB7"/>
    <w:rsid w:val="00E83FEB"/>
    <w:rsid w:val="00E8408B"/>
    <w:rsid w:val="00E84152"/>
    <w:rsid w:val="00E84FE1"/>
    <w:rsid w:val="00E8504A"/>
    <w:rsid w:val="00E850F6"/>
    <w:rsid w:val="00E857BF"/>
    <w:rsid w:val="00E85BF2"/>
    <w:rsid w:val="00E85EC3"/>
    <w:rsid w:val="00E862D7"/>
    <w:rsid w:val="00E863A9"/>
    <w:rsid w:val="00E86E9C"/>
    <w:rsid w:val="00E86F81"/>
    <w:rsid w:val="00E87356"/>
    <w:rsid w:val="00E8751A"/>
    <w:rsid w:val="00E875E6"/>
    <w:rsid w:val="00E87794"/>
    <w:rsid w:val="00E8782F"/>
    <w:rsid w:val="00E87FAE"/>
    <w:rsid w:val="00E90115"/>
    <w:rsid w:val="00E90234"/>
    <w:rsid w:val="00E90537"/>
    <w:rsid w:val="00E90730"/>
    <w:rsid w:val="00E90FDB"/>
    <w:rsid w:val="00E9121A"/>
    <w:rsid w:val="00E91945"/>
    <w:rsid w:val="00E91D83"/>
    <w:rsid w:val="00E921E7"/>
    <w:rsid w:val="00E9260B"/>
    <w:rsid w:val="00E92775"/>
    <w:rsid w:val="00E928A7"/>
    <w:rsid w:val="00E92D40"/>
    <w:rsid w:val="00E92FB4"/>
    <w:rsid w:val="00E9353C"/>
    <w:rsid w:val="00E936F5"/>
    <w:rsid w:val="00E939A0"/>
    <w:rsid w:val="00E93D8F"/>
    <w:rsid w:val="00E93FA0"/>
    <w:rsid w:val="00E9418D"/>
    <w:rsid w:val="00E94469"/>
    <w:rsid w:val="00E946C3"/>
    <w:rsid w:val="00E94B00"/>
    <w:rsid w:val="00E94F4E"/>
    <w:rsid w:val="00E956A1"/>
    <w:rsid w:val="00E95776"/>
    <w:rsid w:val="00E95A5F"/>
    <w:rsid w:val="00E95DD2"/>
    <w:rsid w:val="00E96569"/>
    <w:rsid w:val="00E966F5"/>
    <w:rsid w:val="00E96ACF"/>
    <w:rsid w:val="00E9722C"/>
    <w:rsid w:val="00E97C35"/>
    <w:rsid w:val="00E97D54"/>
    <w:rsid w:val="00EA038B"/>
    <w:rsid w:val="00EA0A6D"/>
    <w:rsid w:val="00EA0EB1"/>
    <w:rsid w:val="00EA12F4"/>
    <w:rsid w:val="00EA148C"/>
    <w:rsid w:val="00EA19C4"/>
    <w:rsid w:val="00EA1F23"/>
    <w:rsid w:val="00EA24BE"/>
    <w:rsid w:val="00EA2611"/>
    <w:rsid w:val="00EA285A"/>
    <w:rsid w:val="00EA29FD"/>
    <w:rsid w:val="00EA2A08"/>
    <w:rsid w:val="00EA2F02"/>
    <w:rsid w:val="00EA3113"/>
    <w:rsid w:val="00EA33E0"/>
    <w:rsid w:val="00EA363B"/>
    <w:rsid w:val="00EA3960"/>
    <w:rsid w:val="00EA3A5A"/>
    <w:rsid w:val="00EA3C64"/>
    <w:rsid w:val="00EA4226"/>
    <w:rsid w:val="00EA4236"/>
    <w:rsid w:val="00EA46CD"/>
    <w:rsid w:val="00EA4ADC"/>
    <w:rsid w:val="00EA4B61"/>
    <w:rsid w:val="00EA4B84"/>
    <w:rsid w:val="00EA4C9E"/>
    <w:rsid w:val="00EA4FA9"/>
    <w:rsid w:val="00EA501B"/>
    <w:rsid w:val="00EA52C7"/>
    <w:rsid w:val="00EA5882"/>
    <w:rsid w:val="00EA5953"/>
    <w:rsid w:val="00EA68D8"/>
    <w:rsid w:val="00EA6A98"/>
    <w:rsid w:val="00EB02DB"/>
    <w:rsid w:val="00EB0334"/>
    <w:rsid w:val="00EB0BBF"/>
    <w:rsid w:val="00EB11A6"/>
    <w:rsid w:val="00EB1443"/>
    <w:rsid w:val="00EB1ACE"/>
    <w:rsid w:val="00EB1B3E"/>
    <w:rsid w:val="00EB20F5"/>
    <w:rsid w:val="00EB24C5"/>
    <w:rsid w:val="00EB2502"/>
    <w:rsid w:val="00EB2710"/>
    <w:rsid w:val="00EB2C46"/>
    <w:rsid w:val="00EB3DC9"/>
    <w:rsid w:val="00EB448B"/>
    <w:rsid w:val="00EB4510"/>
    <w:rsid w:val="00EB513F"/>
    <w:rsid w:val="00EB523A"/>
    <w:rsid w:val="00EB5972"/>
    <w:rsid w:val="00EB5D4C"/>
    <w:rsid w:val="00EB736A"/>
    <w:rsid w:val="00EC0AFE"/>
    <w:rsid w:val="00EC0C4A"/>
    <w:rsid w:val="00EC0E87"/>
    <w:rsid w:val="00EC187C"/>
    <w:rsid w:val="00EC1F2F"/>
    <w:rsid w:val="00EC226E"/>
    <w:rsid w:val="00EC24DA"/>
    <w:rsid w:val="00EC26FC"/>
    <w:rsid w:val="00EC294E"/>
    <w:rsid w:val="00EC3479"/>
    <w:rsid w:val="00EC36AC"/>
    <w:rsid w:val="00EC37E2"/>
    <w:rsid w:val="00EC382A"/>
    <w:rsid w:val="00EC39A6"/>
    <w:rsid w:val="00EC3A0F"/>
    <w:rsid w:val="00EC4168"/>
    <w:rsid w:val="00EC4212"/>
    <w:rsid w:val="00EC43C5"/>
    <w:rsid w:val="00EC45F7"/>
    <w:rsid w:val="00EC4644"/>
    <w:rsid w:val="00EC4986"/>
    <w:rsid w:val="00EC4DEB"/>
    <w:rsid w:val="00EC4F17"/>
    <w:rsid w:val="00EC504A"/>
    <w:rsid w:val="00EC5083"/>
    <w:rsid w:val="00EC5DB0"/>
    <w:rsid w:val="00EC60DD"/>
    <w:rsid w:val="00EC69F1"/>
    <w:rsid w:val="00EC6AEA"/>
    <w:rsid w:val="00EC6DFD"/>
    <w:rsid w:val="00EC70C7"/>
    <w:rsid w:val="00EC729E"/>
    <w:rsid w:val="00EC72E4"/>
    <w:rsid w:val="00EC75B4"/>
    <w:rsid w:val="00ED0160"/>
    <w:rsid w:val="00ED03AF"/>
    <w:rsid w:val="00ED03BB"/>
    <w:rsid w:val="00ED05B8"/>
    <w:rsid w:val="00ED06D7"/>
    <w:rsid w:val="00ED08EF"/>
    <w:rsid w:val="00ED0E1D"/>
    <w:rsid w:val="00ED110B"/>
    <w:rsid w:val="00ED13A5"/>
    <w:rsid w:val="00ED13AC"/>
    <w:rsid w:val="00ED13FC"/>
    <w:rsid w:val="00ED1571"/>
    <w:rsid w:val="00ED164D"/>
    <w:rsid w:val="00ED1A31"/>
    <w:rsid w:val="00ED1C06"/>
    <w:rsid w:val="00ED1D82"/>
    <w:rsid w:val="00ED1D86"/>
    <w:rsid w:val="00ED1DF3"/>
    <w:rsid w:val="00ED2BFA"/>
    <w:rsid w:val="00ED2FDA"/>
    <w:rsid w:val="00ED3AD9"/>
    <w:rsid w:val="00ED3C21"/>
    <w:rsid w:val="00ED3D80"/>
    <w:rsid w:val="00ED3EDA"/>
    <w:rsid w:val="00ED4051"/>
    <w:rsid w:val="00ED433B"/>
    <w:rsid w:val="00ED467E"/>
    <w:rsid w:val="00ED48BE"/>
    <w:rsid w:val="00ED4F33"/>
    <w:rsid w:val="00ED5008"/>
    <w:rsid w:val="00ED552B"/>
    <w:rsid w:val="00ED5723"/>
    <w:rsid w:val="00ED5C2C"/>
    <w:rsid w:val="00ED5FB4"/>
    <w:rsid w:val="00ED68FD"/>
    <w:rsid w:val="00ED6957"/>
    <w:rsid w:val="00ED69E3"/>
    <w:rsid w:val="00ED6BEF"/>
    <w:rsid w:val="00ED6D3F"/>
    <w:rsid w:val="00ED7518"/>
    <w:rsid w:val="00ED776E"/>
    <w:rsid w:val="00ED77A2"/>
    <w:rsid w:val="00EE02C7"/>
    <w:rsid w:val="00EE051F"/>
    <w:rsid w:val="00EE0C88"/>
    <w:rsid w:val="00EE0CAA"/>
    <w:rsid w:val="00EE1096"/>
    <w:rsid w:val="00EE14D8"/>
    <w:rsid w:val="00EE16D3"/>
    <w:rsid w:val="00EE20F3"/>
    <w:rsid w:val="00EE2B7E"/>
    <w:rsid w:val="00EE2C4F"/>
    <w:rsid w:val="00EE368E"/>
    <w:rsid w:val="00EE38A0"/>
    <w:rsid w:val="00EE3AB2"/>
    <w:rsid w:val="00EE4168"/>
    <w:rsid w:val="00EE4344"/>
    <w:rsid w:val="00EE457B"/>
    <w:rsid w:val="00EE491E"/>
    <w:rsid w:val="00EE4A6A"/>
    <w:rsid w:val="00EE4EFD"/>
    <w:rsid w:val="00EE4F79"/>
    <w:rsid w:val="00EE509E"/>
    <w:rsid w:val="00EE5194"/>
    <w:rsid w:val="00EE5424"/>
    <w:rsid w:val="00EE5652"/>
    <w:rsid w:val="00EE5692"/>
    <w:rsid w:val="00EE5A01"/>
    <w:rsid w:val="00EE5FBB"/>
    <w:rsid w:val="00EE6122"/>
    <w:rsid w:val="00EE63FD"/>
    <w:rsid w:val="00EE6461"/>
    <w:rsid w:val="00EE651A"/>
    <w:rsid w:val="00EE66BA"/>
    <w:rsid w:val="00EE6CCA"/>
    <w:rsid w:val="00EE6DC1"/>
    <w:rsid w:val="00EE703A"/>
    <w:rsid w:val="00EE7852"/>
    <w:rsid w:val="00EE7F14"/>
    <w:rsid w:val="00EF0138"/>
    <w:rsid w:val="00EF013D"/>
    <w:rsid w:val="00EF0198"/>
    <w:rsid w:val="00EF087D"/>
    <w:rsid w:val="00EF0E69"/>
    <w:rsid w:val="00EF149D"/>
    <w:rsid w:val="00EF15AD"/>
    <w:rsid w:val="00EF17A5"/>
    <w:rsid w:val="00EF18B4"/>
    <w:rsid w:val="00EF1B22"/>
    <w:rsid w:val="00EF1F43"/>
    <w:rsid w:val="00EF34A8"/>
    <w:rsid w:val="00EF35AA"/>
    <w:rsid w:val="00EF39AB"/>
    <w:rsid w:val="00EF3D8B"/>
    <w:rsid w:val="00EF3DBE"/>
    <w:rsid w:val="00EF425B"/>
    <w:rsid w:val="00EF43C5"/>
    <w:rsid w:val="00EF4751"/>
    <w:rsid w:val="00EF47F3"/>
    <w:rsid w:val="00EF4C02"/>
    <w:rsid w:val="00EF50EF"/>
    <w:rsid w:val="00EF5281"/>
    <w:rsid w:val="00EF5640"/>
    <w:rsid w:val="00EF5BD3"/>
    <w:rsid w:val="00EF5DE0"/>
    <w:rsid w:val="00EF60F9"/>
    <w:rsid w:val="00EF6B09"/>
    <w:rsid w:val="00EF6B94"/>
    <w:rsid w:val="00EF7318"/>
    <w:rsid w:val="00EF7344"/>
    <w:rsid w:val="00EF7472"/>
    <w:rsid w:val="00EF7D3F"/>
    <w:rsid w:val="00EF7F59"/>
    <w:rsid w:val="00F0011A"/>
    <w:rsid w:val="00F0028F"/>
    <w:rsid w:val="00F006C6"/>
    <w:rsid w:val="00F0072E"/>
    <w:rsid w:val="00F00732"/>
    <w:rsid w:val="00F00A7F"/>
    <w:rsid w:val="00F00B55"/>
    <w:rsid w:val="00F00C50"/>
    <w:rsid w:val="00F00D63"/>
    <w:rsid w:val="00F0138F"/>
    <w:rsid w:val="00F017AA"/>
    <w:rsid w:val="00F0181F"/>
    <w:rsid w:val="00F0183B"/>
    <w:rsid w:val="00F019AD"/>
    <w:rsid w:val="00F019E6"/>
    <w:rsid w:val="00F01D8C"/>
    <w:rsid w:val="00F01E81"/>
    <w:rsid w:val="00F020AB"/>
    <w:rsid w:val="00F027C1"/>
    <w:rsid w:val="00F02D08"/>
    <w:rsid w:val="00F03153"/>
    <w:rsid w:val="00F0358D"/>
    <w:rsid w:val="00F03793"/>
    <w:rsid w:val="00F03CC3"/>
    <w:rsid w:val="00F03DC2"/>
    <w:rsid w:val="00F0408E"/>
    <w:rsid w:val="00F042D3"/>
    <w:rsid w:val="00F0440E"/>
    <w:rsid w:val="00F04777"/>
    <w:rsid w:val="00F04AC0"/>
    <w:rsid w:val="00F04BDF"/>
    <w:rsid w:val="00F050CE"/>
    <w:rsid w:val="00F0537B"/>
    <w:rsid w:val="00F0537E"/>
    <w:rsid w:val="00F064D2"/>
    <w:rsid w:val="00F06557"/>
    <w:rsid w:val="00F06733"/>
    <w:rsid w:val="00F06BDE"/>
    <w:rsid w:val="00F06E54"/>
    <w:rsid w:val="00F0748C"/>
    <w:rsid w:val="00F075C0"/>
    <w:rsid w:val="00F0768A"/>
    <w:rsid w:val="00F07B71"/>
    <w:rsid w:val="00F07D2B"/>
    <w:rsid w:val="00F07E24"/>
    <w:rsid w:val="00F07E68"/>
    <w:rsid w:val="00F100BC"/>
    <w:rsid w:val="00F10421"/>
    <w:rsid w:val="00F105AD"/>
    <w:rsid w:val="00F106A9"/>
    <w:rsid w:val="00F10920"/>
    <w:rsid w:val="00F10E82"/>
    <w:rsid w:val="00F10F16"/>
    <w:rsid w:val="00F112C3"/>
    <w:rsid w:val="00F11492"/>
    <w:rsid w:val="00F11F08"/>
    <w:rsid w:val="00F12140"/>
    <w:rsid w:val="00F12230"/>
    <w:rsid w:val="00F125A4"/>
    <w:rsid w:val="00F125E7"/>
    <w:rsid w:val="00F12724"/>
    <w:rsid w:val="00F1276E"/>
    <w:rsid w:val="00F127C6"/>
    <w:rsid w:val="00F12F37"/>
    <w:rsid w:val="00F130A4"/>
    <w:rsid w:val="00F133CD"/>
    <w:rsid w:val="00F13892"/>
    <w:rsid w:val="00F1391E"/>
    <w:rsid w:val="00F13974"/>
    <w:rsid w:val="00F13A73"/>
    <w:rsid w:val="00F13C84"/>
    <w:rsid w:val="00F1409C"/>
    <w:rsid w:val="00F14B4B"/>
    <w:rsid w:val="00F14D29"/>
    <w:rsid w:val="00F1524D"/>
    <w:rsid w:val="00F1588C"/>
    <w:rsid w:val="00F15B8B"/>
    <w:rsid w:val="00F15D91"/>
    <w:rsid w:val="00F15DBF"/>
    <w:rsid w:val="00F15FE0"/>
    <w:rsid w:val="00F160F3"/>
    <w:rsid w:val="00F16231"/>
    <w:rsid w:val="00F163C4"/>
    <w:rsid w:val="00F16740"/>
    <w:rsid w:val="00F16CBC"/>
    <w:rsid w:val="00F17792"/>
    <w:rsid w:val="00F17A93"/>
    <w:rsid w:val="00F17CD8"/>
    <w:rsid w:val="00F17D5C"/>
    <w:rsid w:val="00F17D87"/>
    <w:rsid w:val="00F17F85"/>
    <w:rsid w:val="00F202D1"/>
    <w:rsid w:val="00F20527"/>
    <w:rsid w:val="00F20760"/>
    <w:rsid w:val="00F2082B"/>
    <w:rsid w:val="00F20860"/>
    <w:rsid w:val="00F20C1B"/>
    <w:rsid w:val="00F21177"/>
    <w:rsid w:val="00F212BB"/>
    <w:rsid w:val="00F21484"/>
    <w:rsid w:val="00F21667"/>
    <w:rsid w:val="00F216BA"/>
    <w:rsid w:val="00F21C22"/>
    <w:rsid w:val="00F21CFE"/>
    <w:rsid w:val="00F21D7B"/>
    <w:rsid w:val="00F2220C"/>
    <w:rsid w:val="00F22217"/>
    <w:rsid w:val="00F227B1"/>
    <w:rsid w:val="00F235BA"/>
    <w:rsid w:val="00F2376B"/>
    <w:rsid w:val="00F23D20"/>
    <w:rsid w:val="00F24105"/>
    <w:rsid w:val="00F247A1"/>
    <w:rsid w:val="00F24A0B"/>
    <w:rsid w:val="00F24C92"/>
    <w:rsid w:val="00F24E6A"/>
    <w:rsid w:val="00F25AAA"/>
    <w:rsid w:val="00F25C04"/>
    <w:rsid w:val="00F25EFD"/>
    <w:rsid w:val="00F26187"/>
    <w:rsid w:val="00F26482"/>
    <w:rsid w:val="00F26DE6"/>
    <w:rsid w:val="00F27068"/>
    <w:rsid w:val="00F271CC"/>
    <w:rsid w:val="00F27562"/>
    <w:rsid w:val="00F276CB"/>
    <w:rsid w:val="00F27936"/>
    <w:rsid w:val="00F27DA4"/>
    <w:rsid w:val="00F27F36"/>
    <w:rsid w:val="00F30437"/>
    <w:rsid w:val="00F31596"/>
    <w:rsid w:val="00F316E4"/>
    <w:rsid w:val="00F31C21"/>
    <w:rsid w:val="00F31D39"/>
    <w:rsid w:val="00F31E55"/>
    <w:rsid w:val="00F31F35"/>
    <w:rsid w:val="00F320B2"/>
    <w:rsid w:val="00F3214C"/>
    <w:rsid w:val="00F3295C"/>
    <w:rsid w:val="00F32A10"/>
    <w:rsid w:val="00F32C88"/>
    <w:rsid w:val="00F32D74"/>
    <w:rsid w:val="00F32E2A"/>
    <w:rsid w:val="00F32ED0"/>
    <w:rsid w:val="00F3349F"/>
    <w:rsid w:val="00F336CC"/>
    <w:rsid w:val="00F3388E"/>
    <w:rsid w:val="00F33F46"/>
    <w:rsid w:val="00F3448A"/>
    <w:rsid w:val="00F346AC"/>
    <w:rsid w:val="00F3489D"/>
    <w:rsid w:val="00F34DCB"/>
    <w:rsid w:val="00F350B2"/>
    <w:rsid w:val="00F3517E"/>
    <w:rsid w:val="00F356E9"/>
    <w:rsid w:val="00F35810"/>
    <w:rsid w:val="00F3656B"/>
    <w:rsid w:val="00F365AE"/>
    <w:rsid w:val="00F367C4"/>
    <w:rsid w:val="00F36A64"/>
    <w:rsid w:val="00F36AC1"/>
    <w:rsid w:val="00F36CF8"/>
    <w:rsid w:val="00F370AF"/>
    <w:rsid w:val="00F372CE"/>
    <w:rsid w:val="00F37490"/>
    <w:rsid w:val="00F37547"/>
    <w:rsid w:val="00F3764A"/>
    <w:rsid w:val="00F377CB"/>
    <w:rsid w:val="00F404F0"/>
    <w:rsid w:val="00F4086D"/>
    <w:rsid w:val="00F40A82"/>
    <w:rsid w:val="00F40EEA"/>
    <w:rsid w:val="00F40F57"/>
    <w:rsid w:val="00F410D0"/>
    <w:rsid w:val="00F413C1"/>
    <w:rsid w:val="00F41606"/>
    <w:rsid w:val="00F41F98"/>
    <w:rsid w:val="00F42111"/>
    <w:rsid w:val="00F4278D"/>
    <w:rsid w:val="00F428F2"/>
    <w:rsid w:val="00F4293C"/>
    <w:rsid w:val="00F437B5"/>
    <w:rsid w:val="00F43902"/>
    <w:rsid w:val="00F43908"/>
    <w:rsid w:val="00F43A2F"/>
    <w:rsid w:val="00F43A74"/>
    <w:rsid w:val="00F43B0F"/>
    <w:rsid w:val="00F44032"/>
    <w:rsid w:val="00F44CCB"/>
    <w:rsid w:val="00F45095"/>
    <w:rsid w:val="00F452CC"/>
    <w:rsid w:val="00F455B6"/>
    <w:rsid w:val="00F45B67"/>
    <w:rsid w:val="00F45E63"/>
    <w:rsid w:val="00F461C3"/>
    <w:rsid w:val="00F46B5D"/>
    <w:rsid w:val="00F4727F"/>
    <w:rsid w:val="00F47C1E"/>
    <w:rsid w:val="00F47CB8"/>
    <w:rsid w:val="00F47EA4"/>
    <w:rsid w:val="00F50042"/>
    <w:rsid w:val="00F50461"/>
    <w:rsid w:val="00F5087A"/>
    <w:rsid w:val="00F50D0C"/>
    <w:rsid w:val="00F50F0B"/>
    <w:rsid w:val="00F511F0"/>
    <w:rsid w:val="00F51372"/>
    <w:rsid w:val="00F51ABB"/>
    <w:rsid w:val="00F51B41"/>
    <w:rsid w:val="00F51D8E"/>
    <w:rsid w:val="00F5226F"/>
    <w:rsid w:val="00F5263D"/>
    <w:rsid w:val="00F526EA"/>
    <w:rsid w:val="00F527FF"/>
    <w:rsid w:val="00F52A53"/>
    <w:rsid w:val="00F5300D"/>
    <w:rsid w:val="00F53188"/>
    <w:rsid w:val="00F533BE"/>
    <w:rsid w:val="00F53424"/>
    <w:rsid w:val="00F53523"/>
    <w:rsid w:val="00F5352D"/>
    <w:rsid w:val="00F539BF"/>
    <w:rsid w:val="00F53CD4"/>
    <w:rsid w:val="00F53D8C"/>
    <w:rsid w:val="00F53E65"/>
    <w:rsid w:val="00F53FED"/>
    <w:rsid w:val="00F545D5"/>
    <w:rsid w:val="00F5477F"/>
    <w:rsid w:val="00F556DB"/>
    <w:rsid w:val="00F55E0B"/>
    <w:rsid w:val="00F560FD"/>
    <w:rsid w:val="00F5620C"/>
    <w:rsid w:val="00F5645B"/>
    <w:rsid w:val="00F5672A"/>
    <w:rsid w:val="00F568A1"/>
    <w:rsid w:val="00F56BF1"/>
    <w:rsid w:val="00F57323"/>
    <w:rsid w:val="00F57787"/>
    <w:rsid w:val="00F57CAA"/>
    <w:rsid w:val="00F604CF"/>
    <w:rsid w:val="00F608C6"/>
    <w:rsid w:val="00F60EA8"/>
    <w:rsid w:val="00F616C1"/>
    <w:rsid w:val="00F618AC"/>
    <w:rsid w:val="00F621ED"/>
    <w:rsid w:val="00F622A1"/>
    <w:rsid w:val="00F622DF"/>
    <w:rsid w:val="00F62432"/>
    <w:rsid w:val="00F6275A"/>
    <w:rsid w:val="00F6299C"/>
    <w:rsid w:val="00F62A9B"/>
    <w:rsid w:val="00F62CED"/>
    <w:rsid w:val="00F6324B"/>
    <w:rsid w:val="00F63758"/>
    <w:rsid w:val="00F63BC6"/>
    <w:rsid w:val="00F64138"/>
    <w:rsid w:val="00F64316"/>
    <w:rsid w:val="00F64730"/>
    <w:rsid w:val="00F64DDC"/>
    <w:rsid w:val="00F65244"/>
    <w:rsid w:val="00F65597"/>
    <w:rsid w:val="00F657AC"/>
    <w:rsid w:val="00F65A6F"/>
    <w:rsid w:val="00F65BAF"/>
    <w:rsid w:val="00F66497"/>
    <w:rsid w:val="00F665CB"/>
    <w:rsid w:val="00F66979"/>
    <w:rsid w:val="00F66A85"/>
    <w:rsid w:val="00F66B64"/>
    <w:rsid w:val="00F66F21"/>
    <w:rsid w:val="00F67265"/>
    <w:rsid w:val="00F67419"/>
    <w:rsid w:val="00F67997"/>
    <w:rsid w:val="00F702E5"/>
    <w:rsid w:val="00F709A4"/>
    <w:rsid w:val="00F70AB5"/>
    <w:rsid w:val="00F70D42"/>
    <w:rsid w:val="00F7117C"/>
    <w:rsid w:val="00F71487"/>
    <w:rsid w:val="00F71570"/>
    <w:rsid w:val="00F71CD9"/>
    <w:rsid w:val="00F72007"/>
    <w:rsid w:val="00F72021"/>
    <w:rsid w:val="00F720AB"/>
    <w:rsid w:val="00F72534"/>
    <w:rsid w:val="00F72CF3"/>
    <w:rsid w:val="00F72E18"/>
    <w:rsid w:val="00F733FC"/>
    <w:rsid w:val="00F73538"/>
    <w:rsid w:val="00F73E3D"/>
    <w:rsid w:val="00F73EFB"/>
    <w:rsid w:val="00F7404D"/>
    <w:rsid w:val="00F740D2"/>
    <w:rsid w:val="00F7425C"/>
    <w:rsid w:val="00F74577"/>
    <w:rsid w:val="00F74F73"/>
    <w:rsid w:val="00F75052"/>
    <w:rsid w:val="00F7516B"/>
    <w:rsid w:val="00F754BD"/>
    <w:rsid w:val="00F754DA"/>
    <w:rsid w:val="00F75C3B"/>
    <w:rsid w:val="00F76319"/>
    <w:rsid w:val="00F76754"/>
    <w:rsid w:val="00F7684E"/>
    <w:rsid w:val="00F76F69"/>
    <w:rsid w:val="00F773C8"/>
    <w:rsid w:val="00F774B1"/>
    <w:rsid w:val="00F777F3"/>
    <w:rsid w:val="00F779C8"/>
    <w:rsid w:val="00F77A8A"/>
    <w:rsid w:val="00F77DCC"/>
    <w:rsid w:val="00F80CF2"/>
    <w:rsid w:val="00F80D7F"/>
    <w:rsid w:val="00F810DD"/>
    <w:rsid w:val="00F813EB"/>
    <w:rsid w:val="00F8153A"/>
    <w:rsid w:val="00F81556"/>
    <w:rsid w:val="00F81EB2"/>
    <w:rsid w:val="00F8216E"/>
    <w:rsid w:val="00F82E49"/>
    <w:rsid w:val="00F82F8C"/>
    <w:rsid w:val="00F832F1"/>
    <w:rsid w:val="00F8358D"/>
    <w:rsid w:val="00F83C8D"/>
    <w:rsid w:val="00F83D8C"/>
    <w:rsid w:val="00F84576"/>
    <w:rsid w:val="00F84FA4"/>
    <w:rsid w:val="00F85011"/>
    <w:rsid w:val="00F8520D"/>
    <w:rsid w:val="00F855A8"/>
    <w:rsid w:val="00F856C7"/>
    <w:rsid w:val="00F85977"/>
    <w:rsid w:val="00F85D97"/>
    <w:rsid w:val="00F86316"/>
    <w:rsid w:val="00F866E6"/>
    <w:rsid w:val="00F8684A"/>
    <w:rsid w:val="00F868AF"/>
    <w:rsid w:val="00F86C23"/>
    <w:rsid w:val="00F87022"/>
    <w:rsid w:val="00F87343"/>
    <w:rsid w:val="00F87383"/>
    <w:rsid w:val="00F873DC"/>
    <w:rsid w:val="00F87706"/>
    <w:rsid w:val="00F87E27"/>
    <w:rsid w:val="00F901AB"/>
    <w:rsid w:val="00F90790"/>
    <w:rsid w:val="00F90BF5"/>
    <w:rsid w:val="00F90F19"/>
    <w:rsid w:val="00F91783"/>
    <w:rsid w:val="00F91B00"/>
    <w:rsid w:val="00F91E45"/>
    <w:rsid w:val="00F92084"/>
    <w:rsid w:val="00F9256F"/>
    <w:rsid w:val="00F92E6B"/>
    <w:rsid w:val="00F930DF"/>
    <w:rsid w:val="00F93B15"/>
    <w:rsid w:val="00F93EFD"/>
    <w:rsid w:val="00F9477C"/>
    <w:rsid w:val="00F94892"/>
    <w:rsid w:val="00F9493E"/>
    <w:rsid w:val="00F949E7"/>
    <w:rsid w:val="00F94F23"/>
    <w:rsid w:val="00F95131"/>
    <w:rsid w:val="00F9527D"/>
    <w:rsid w:val="00F95428"/>
    <w:rsid w:val="00F954B0"/>
    <w:rsid w:val="00F95753"/>
    <w:rsid w:val="00F95905"/>
    <w:rsid w:val="00F95CC7"/>
    <w:rsid w:val="00F95FC2"/>
    <w:rsid w:val="00F961D3"/>
    <w:rsid w:val="00F96235"/>
    <w:rsid w:val="00F962E8"/>
    <w:rsid w:val="00F96559"/>
    <w:rsid w:val="00F968C8"/>
    <w:rsid w:val="00F96959"/>
    <w:rsid w:val="00F970D8"/>
    <w:rsid w:val="00F971DB"/>
    <w:rsid w:val="00F971E0"/>
    <w:rsid w:val="00F9723E"/>
    <w:rsid w:val="00F9788F"/>
    <w:rsid w:val="00F97DD3"/>
    <w:rsid w:val="00F97DEF"/>
    <w:rsid w:val="00F97E23"/>
    <w:rsid w:val="00F97F79"/>
    <w:rsid w:val="00FA0870"/>
    <w:rsid w:val="00FA0B13"/>
    <w:rsid w:val="00FA1C42"/>
    <w:rsid w:val="00FA1C68"/>
    <w:rsid w:val="00FA1CE9"/>
    <w:rsid w:val="00FA1E79"/>
    <w:rsid w:val="00FA223B"/>
    <w:rsid w:val="00FA24CE"/>
    <w:rsid w:val="00FA2556"/>
    <w:rsid w:val="00FA2625"/>
    <w:rsid w:val="00FA288C"/>
    <w:rsid w:val="00FA2A08"/>
    <w:rsid w:val="00FA2EC7"/>
    <w:rsid w:val="00FA303C"/>
    <w:rsid w:val="00FA3445"/>
    <w:rsid w:val="00FA36BA"/>
    <w:rsid w:val="00FA3FB6"/>
    <w:rsid w:val="00FA4048"/>
    <w:rsid w:val="00FA5011"/>
    <w:rsid w:val="00FA545F"/>
    <w:rsid w:val="00FA56A2"/>
    <w:rsid w:val="00FA57B9"/>
    <w:rsid w:val="00FA587B"/>
    <w:rsid w:val="00FA5A5D"/>
    <w:rsid w:val="00FA5B5A"/>
    <w:rsid w:val="00FA5F69"/>
    <w:rsid w:val="00FA66BD"/>
    <w:rsid w:val="00FA66F1"/>
    <w:rsid w:val="00FA6EC9"/>
    <w:rsid w:val="00FA6EE8"/>
    <w:rsid w:val="00FA6FA5"/>
    <w:rsid w:val="00FA727B"/>
    <w:rsid w:val="00FA7C43"/>
    <w:rsid w:val="00FB040D"/>
    <w:rsid w:val="00FB0549"/>
    <w:rsid w:val="00FB05AE"/>
    <w:rsid w:val="00FB08F3"/>
    <w:rsid w:val="00FB095D"/>
    <w:rsid w:val="00FB0C05"/>
    <w:rsid w:val="00FB0D60"/>
    <w:rsid w:val="00FB0EAA"/>
    <w:rsid w:val="00FB1191"/>
    <w:rsid w:val="00FB127E"/>
    <w:rsid w:val="00FB15D7"/>
    <w:rsid w:val="00FB18CA"/>
    <w:rsid w:val="00FB1A9B"/>
    <w:rsid w:val="00FB1D17"/>
    <w:rsid w:val="00FB20DC"/>
    <w:rsid w:val="00FB20F4"/>
    <w:rsid w:val="00FB216A"/>
    <w:rsid w:val="00FB23C7"/>
    <w:rsid w:val="00FB2E10"/>
    <w:rsid w:val="00FB31B3"/>
    <w:rsid w:val="00FB336A"/>
    <w:rsid w:val="00FB3520"/>
    <w:rsid w:val="00FB37B8"/>
    <w:rsid w:val="00FB3DAE"/>
    <w:rsid w:val="00FB3DB2"/>
    <w:rsid w:val="00FB4187"/>
    <w:rsid w:val="00FB4240"/>
    <w:rsid w:val="00FB48F3"/>
    <w:rsid w:val="00FB4B10"/>
    <w:rsid w:val="00FB4C60"/>
    <w:rsid w:val="00FB4C64"/>
    <w:rsid w:val="00FB4D57"/>
    <w:rsid w:val="00FB4DC5"/>
    <w:rsid w:val="00FB4E50"/>
    <w:rsid w:val="00FB5003"/>
    <w:rsid w:val="00FB53C9"/>
    <w:rsid w:val="00FB5841"/>
    <w:rsid w:val="00FB6952"/>
    <w:rsid w:val="00FB699F"/>
    <w:rsid w:val="00FB6AD8"/>
    <w:rsid w:val="00FB6EB7"/>
    <w:rsid w:val="00FB70DB"/>
    <w:rsid w:val="00FB7170"/>
    <w:rsid w:val="00FB73E5"/>
    <w:rsid w:val="00FB7445"/>
    <w:rsid w:val="00FB7447"/>
    <w:rsid w:val="00FB75BC"/>
    <w:rsid w:val="00FB7AAF"/>
    <w:rsid w:val="00FB7EDC"/>
    <w:rsid w:val="00FC0D75"/>
    <w:rsid w:val="00FC1205"/>
    <w:rsid w:val="00FC1928"/>
    <w:rsid w:val="00FC192D"/>
    <w:rsid w:val="00FC1C91"/>
    <w:rsid w:val="00FC2817"/>
    <w:rsid w:val="00FC28F0"/>
    <w:rsid w:val="00FC2D82"/>
    <w:rsid w:val="00FC2EE7"/>
    <w:rsid w:val="00FC3574"/>
    <w:rsid w:val="00FC3ADF"/>
    <w:rsid w:val="00FC3D63"/>
    <w:rsid w:val="00FC3D85"/>
    <w:rsid w:val="00FC3E97"/>
    <w:rsid w:val="00FC3F76"/>
    <w:rsid w:val="00FC3FBF"/>
    <w:rsid w:val="00FC4D3E"/>
    <w:rsid w:val="00FC4DDA"/>
    <w:rsid w:val="00FC534C"/>
    <w:rsid w:val="00FC5C11"/>
    <w:rsid w:val="00FC5F3E"/>
    <w:rsid w:val="00FC603D"/>
    <w:rsid w:val="00FC6E28"/>
    <w:rsid w:val="00FC7178"/>
    <w:rsid w:val="00FC7867"/>
    <w:rsid w:val="00FC7E2A"/>
    <w:rsid w:val="00FC7F88"/>
    <w:rsid w:val="00FD0113"/>
    <w:rsid w:val="00FD0148"/>
    <w:rsid w:val="00FD0168"/>
    <w:rsid w:val="00FD0598"/>
    <w:rsid w:val="00FD062D"/>
    <w:rsid w:val="00FD0A3A"/>
    <w:rsid w:val="00FD0B27"/>
    <w:rsid w:val="00FD0BCB"/>
    <w:rsid w:val="00FD11E5"/>
    <w:rsid w:val="00FD14B4"/>
    <w:rsid w:val="00FD15F4"/>
    <w:rsid w:val="00FD1E8D"/>
    <w:rsid w:val="00FD249A"/>
    <w:rsid w:val="00FD2CC7"/>
    <w:rsid w:val="00FD324B"/>
    <w:rsid w:val="00FD3455"/>
    <w:rsid w:val="00FD3858"/>
    <w:rsid w:val="00FD3A95"/>
    <w:rsid w:val="00FD3DDB"/>
    <w:rsid w:val="00FD3E07"/>
    <w:rsid w:val="00FD4223"/>
    <w:rsid w:val="00FD44FB"/>
    <w:rsid w:val="00FD478D"/>
    <w:rsid w:val="00FD47A4"/>
    <w:rsid w:val="00FD5088"/>
    <w:rsid w:val="00FD50B8"/>
    <w:rsid w:val="00FD568E"/>
    <w:rsid w:val="00FD5984"/>
    <w:rsid w:val="00FD5B49"/>
    <w:rsid w:val="00FD5CE1"/>
    <w:rsid w:val="00FD5F95"/>
    <w:rsid w:val="00FD6AD6"/>
    <w:rsid w:val="00FD6D41"/>
    <w:rsid w:val="00FD6E92"/>
    <w:rsid w:val="00FD7189"/>
    <w:rsid w:val="00FD72EE"/>
    <w:rsid w:val="00FD741F"/>
    <w:rsid w:val="00FD76C4"/>
    <w:rsid w:val="00FD7C79"/>
    <w:rsid w:val="00FE00DC"/>
    <w:rsid w:val="00FE0C8A"/>
    <w:rsid w:val="00FE0D49"/>
    <w:rsid w:val="00FE17F0"/>
    <w:rsid w:val="00FE22D4"/>
    <w:rsid w:val="00FE22E6"/>
    <w:rsid w:val="00FE2865"/>
    <w:rsid w:val="00FE2BAB"/>
    <w:rsid w:val="00FE2DFE"/>
    <w:rsid w:val="00FE3128"/>
    <w:rsid w:val="00FE3C33"/>
    <w:rsid w:val="00FE3E93"/>
    <w:rsid w:val="00FE42DF"/>
    <w:rsid w:val="00FE444C"/>
    <w:rsid w:val="00FE4876"/>
    <w:rsid w:val="00FE490F"/>
    <w:rsid w:val="00FE494F"/>
    <w:rsid w:val="00FE5761"/>
    <w:rsid w:val="00FE5EA8"/>
    <w:rsid w:val="00FE6103"/>
    <w:rsid w:val="00FE618D"/>
    <w:rsid w:val="00FE648A"/>
    <w:rsid w:val="00FE64F0"/>
    <w:rsid w:val="00FE6757"/>
    <w:rsid w:val="00FE6978"/>
    <w:rsid w:val="00FE698D"/>
    <w:rsid w:val="00FE737F"/>
    <w:rsid w:val="00FF068E"/>
    <w:rsid w:val="00FF0BE2"/>
    <w:rsid w:val="00FF0C0B"/>
    <w:rsid w:val="00FF0F68"/>
    <w:rsid w:val="00FF1242"/>
    <w:rsid w:val="00FF131E"/>
    <w:rsid w:val="00FF14B2"/>
    <w:rsid w:val="00FF15EF"/>
    <w:rsid w:val="00FF1634"/>
    <w:rsid w:val="00FF1985"/>
    <w:rsid w:val="00FF1E67"/>
    <w:rsid w:val="00FF1F63"/>
    <w:rsid w:val="00FF276D"/>
    <w:rsid w:val="00FF27DC"/>
    <w:rsid w:val="00FF27E5"/>
    <w:rsid w:val="00FF2D5A"/>
    <w:rsid w:val="00FF2EFB"/>
    <w:rsid w:val="00FF3250"/>
    <w:rsid w:val="00FF3328"/>
    <w:rsid w:val="00FF3426"/>
    <w:rsid w:val="00FF34C4"/>
    <w:rsid w:val="00FF3503"/>
    <w:rsid w:val="00FF3AA9"/>
    <w:rsid w:val="00FF3F99"/>
    <w:rsid w:val="00FF4064"/>
    <w:rsid w:val="00FF474C"/>
    <w:rsid w:val="00FF49F0"/>
    <w:rsid w:val="00FF49F4"/>
    <w:rsid w:val="00FF4C3A"/>
    <w:rsid w:val="00FF4E9A"/>
    <w:rsid w:val="00FF50A4"/>
    <w:rsid w:val="00FF5232"/>
    <w:rsid w:val="00FF550D"/>
    <w:rsid w:val="00FF5642"/>
    <w:rsid w:val="00FF573E"/>
    <w:rsid w:val="00FF576B"/>
    <w:rsid w:val="00FF5A26"/>
    <w:rsid w:val="00FF5AD7"/>
    <w:rsid w:val="00FF5EBF"/>
    <w:rsid w:val="00FF652A"/>
    <w:rsid w:val="00FF6598"/>
    <w:rsid w:val="00FF659D"/>
    <w:rsid w:val="00FF66F1"/>
    <w:rsid w:val="00FF6ABB"/>
    <w:rsid w:val="00FF6B04"/>
    <w:rsid w:val="00FF6E1E"/>
    <w:rsid w:val="00FF6FDD"/>
    <w:rsid w:val="00FF7440"/>
    <w:rsid w:val="00FF7979"/>
    <w:rsid w:val="00FF79EA"/>
    <w:rsid w:val="00FF7AD8"/>
    <w:rsid w:val="00FF7C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6FD19328"/>
  <w15:docId w15:val="{D734ED74-F7C2-4FB2-9B4B-FB6E01FE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2BF"/>
    <w:pPr>
      <w:spacing w:line="360" w:lineRule="auto"/>
      <w:jc w:val="both"/>
    </w:pPr>
    <w:rPr>
      <w:rFonts w:ascii="Arial" w:hAnsi="Arial" w:cs="Times New Roman"/>
      <w:sz w:val="24"/>
      <w:szCs w:val="24"/>
      <w:lang w:val="es-ES" w:eastAsia="es-ES"/>
    </w:rPr>
  </w:style>
  <w:style w:type="paragraph" w:styleId="Ttulo1">
    <w:name w:val="heading 1"/>
    <w:basedOn w:val="Normal"/>
    <w:next w:val="Normal"/>
    <w:link w:val="Ttulo1Car"/>
    <w:uiPriority w:val="9"/>
    <w:qFormat/>
    <w:rsid w:val="00C85395"/>
    <w:pPr>
      <w:keepNext/>
      <w:spacing w:before="240" w:after="60"/>
      <w:outlineLvl w:val="0"/>
    </w:pPr>
    <w:rPr>
      <w:rFonts w:ascii="Cambria" w:hAnsi="Cambria"/>
      <w:b/>
      <w:kern w:val="32"/>
      <w:sz w:val="32"/>
      <w:szCs w:val="20"/>
    </w:rPr>
  </w:style>
  <w:style w:type="paragraph" w:styleId="Ttulo2">
    <w:name w:val="heading 2"/>
    <w:basedOn w:val="Normal"/>
    <w:next w:val="Normal"/>
    <w:link w:val="Ttulo2Car"/>
    <w:uiPriority w:val="9"/>
    <w:semiHidden/>
    <w:unhideWhenUsed/>
    <w:qFormat/>
    <w:rsid w:val="00B84D5D"/>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qFormat/>
    <w:rsid w:val="00C85395"/>
    <w:pPr>
      <w:keepNext/>
      <w:spacing w:before="240" w:after="60"/>
      <w:outlineLvl w:val="2"/>
    </w:pPr>
    <w:rPr>
      <w:b/>
      <w:sz w:val="26"/>
      <w:szCs w:val="20"/>
    </w:rPr>
  </w:style>
  <w:style w:type="paragraph" w:styleId="Ttulo5">
    <w:name w:val="heading 5"/>
    <w:basedOn w:val="Normal"/>
    <w:next w:val="Normal"/>
    <w:link w:val="Ttulo5Car"/>
    <w:uiPriority w:val="9"/>
    <w:qFormat/>
    <w:rsid w:val="00C85395"/>
    <w:pPr>
      <w:keepNext/>
      <w:jc w:val="center"/>
      <w:outlineLvl w:val="4"/>
    </w:pPr>
    <w:rPr>
      <w:b/>
      <w:sz w:val="20"/>
      <w:szCs w:val="20"/>
    </w:rPr>
  </w:style>
  <w:style w:type="paragraph" w:styleId="Ttulo6">
    <w:name w:val="heading 6"/>
    <w:basedOn w:val="Normal"/>
    <w:next w:val="Normal"/>
    <w:link w:val="Ttulo6Car"/>
    <w:uiPriority w:val="9"/>
    <w:qFormat/>
    <w:rsid w:val="00C85395"/>
    <w:pPr>
      <w:spacing w:before="240" w:after="60"/>
      <w:outlineLvl w:val="5"/>
    </w:pPr>
    <w:rPr>
      <w:rFonts w:ascii="Calibri" w:hAnsi="Calibri"/>
      <w:b/>
      <w:sz w:val="20"/>
      <w:szCs w:val="20"/>
    </w:rPr>
  </w:style>
  <w:style w:type="paragraph" w:styleId="Ttulo7">
    <w:name w:val="heading 7"/>
    <w:basedOn w:val="Normal"/>
    <w:next w:val="Normal"/>
    <w:link w:val="Ttulo7Car"/>
    <w:uiPriority w:val="9"/>
    <w:qFormat/>
    <w:rsid w:val="00C85395"/>
    <w:pPr>
      <w:spacing w:before="240" w:after="60"/>
      <w:outlineLvl w:val="6"/>
    </w:pPr>
    <w:rPr>
      <w:szCs w:val="20"/>
    </w:rPr>
  </w:style>
  <w:style w:type="paragraph" w:styleId="Ttulo9">
    <w:name w:val="heading 9"/>
    <w:basedOn w:val="Normal"/>
    <w:next w:val="Normal"/>
    <w:link w:val="Ttulo9Car"/>
    <w:uiPriority w:val="9"/>
    <w:qFormat/>
    <w:rsid w:val="00C85395"/>
    <w:pPr>
      <w:spacing w:before="240" w:after="6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5395"/>
    <w:rPr>
      <w:rFonts w:ascii="Cambria" w:hAnsi="Cambria"/>
      <w:b/>
      <w:kern w:val="32"/>
      <w:sz w:val="32"/>
      <w:lang w:eastAsia="es-ES"/>
    </w:rPr>
  </w:style>
  <w:style w:type="character" w:customStyle="1" w:styleId="Ttulo3Car">
    <w:name w:val="Título 3 Car"/>
    <w:link w:val="Ttulo3"/>
    <w:uiPriority w:val="9"/>
    <w:locked/>
    <w:rsid w:val="00C85395"/>
    <w:rPr>
      <w:rFonts w:ascii="Arial" w:hAnsi="Arial"/>
      <w:b/>
      <w:sz w:val="26"/>
      <w:lang w:eastAsia="es-ES"/>
    </w:rPr>
  </w:style>
  <w:style w:type="character" w:customStyle="1" w:styleId="Ttulo5Car">
    <w:name w:val="Título 5 Car"/>
    <w:link w:val="Ttulo5"/>
    <w:uiPriority w:val="9"/>
    <w:locked/>
    <w:rsid w:val="00C85395"/>
    <w:rPr>
      <w:rFonts w:ascii="Arial" w:hAnsi="Arial"/>
      <w:b/>
      <w:lang w:eastAsia="es-ES"/>
    </w:rPr>
  </w:style>
  <w:style w:type="character" w:customStyle="1" w:styleId="Ttulo6Car">
    <w:name w:val="Título 6 Car"/>
    <w:link w:val="Ttulo6"/>
    <w:uiPriority w:val="9"/>
    <w:locked/>
    <w:rsid w:val="00C85395"/>
    <w:rPr>
      <w:rFonts w:ascii="Calibri" w:hAnsi="Calibri"/>
      <w:b/>
      <w:lang w:eastAsia="es-ES"/>
    </w:rPr>
  </w:style>
  <w:style w:type="character" w:customStyle="1" w:styleId="Ttulo7Car">
    <w:name w:val="Título 7 Car"/>
    <w:link w:val="Ttulo7"/>
    <w:uiPriority w:val="9"/>
    <w:locked/>
    <w:rsid w:val="00C85395"/>
    <w:rPr>
      <w:rFonts w:ascii="Arial" w:hAnsi="Arial"/>
      <w:sz w:val="24"/>
      <w:lang w:eastAsia="es-ES"/>
    </w:rPr>
  </w:style>
  <w:style w:type="character" w:customStyle="1" w:styleId="Ttulo9Car">
    <w:name w:val="Título 9 Car"/>
    <w:link w:val="Ttulo9"/>
    <w:uiPriority w:val="9"/>
    <w:locked/>
    <w:rsid w:val="00C85395"/>
    <w:rPr>
      <w:rFonts w:ascii="Arial" w:hAnsi="Arial"/>
      <w:lang w:eastAsia="es-ES"/>
    </w:rPr>
  </w:style>
  <w:style w:type="paragraph" w:styleId="Textoindependiente2">
    <w:name w:val="Body Text 2"/>
    <w:basedOn w:val="Normal"/>
    <w:link w:val="Textoindependiente2Car"/>
    <w:uiPriority w:val="99"/>
    <w:semiHidden/>
    <w:rsid w:val="00C85395"/>
    <w:pPr>
      <w:spacing w:after="120"/>
      <w:ind w:left="283"/>
    </w:pPr>
    <w:rPr>
      <w:szCs w:val="20"/>
    </w:rPr>
  </w:style>
  <w:style w:type="character" w:customStyle="1" w:styleId="Textoindependiente2Car">
    <w:name w:val="Texto independiente 2 Car"/>
    <w:link w:val="Textoindependiente2"/>
    <w:uiPriority w:val="99"/>
    <w:semiHidden/>
    <w:locked/>
    <w:rsid w:val="00C85395"/>
    <w:rPr>
      <w:rFonts w:ascii="Arial" w:hAnsi="Arial"/>
      <w:sz w:val="24"/>
      <w:lang w:eastAsia="es-ES"/>
    </w:rPr>
  </w:style>
  <w:style w:type="paragraph" w:customStyle="1" w:styleId="Textoindependiente21">
    <w:name w:val="Texto independiente 21"/>
    <w:basedOn w:val="Normal"/>
    <w:rsid w:val="00C85395"/>
    <w:pPr>
      <w:tabs>
        <w:tab w:val="left" w:pos="3969"/>
      </w:tabs>
      <w:overflowPunct w:val="0"/>
      <w:autoSpaceDE w:val="0"/>
      <w:autoSpaceDN w:val="0"/>
      <w:adjustRightInd w:val="0"/>
      <w:textAlignment w:val="baseline"/>
    </w:pPr>
    <w:rPr>
      <w:rFonts w:cs="Arial"/>
      <w:i/>
      <w:iCs/>
      <w:sz w:val="26"/>
      <w:szCs w:val="26"/>
      <w:lang w:val="es-ES_tradnl"/>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qFormat/>
    <w:rsid w:val="00C85395"/>
    <w:rPr>
      <w:vertAlign w:val="superscript"/>
    </w:rPr>
  </w:style>
  <w:style w:type="paragraph" w:styleId="Textoindependiente">
    <w:name w:val="Body Text"/>
    <w:aliases w:val="Texto independiente Car Car Car"/>
    <w:basedOn w:val="Normal"/>
    <w:link w:val="TextoindependienteCar"/>
    <w:rsid w:val="00C85395"/>
    <w:pPr>
      <w:autoSpaceDE w:val="0"/>
      <w:autoSpaceDN w:val="0"/>
      <w:adjustRightInd w:val="0"/>
    </w:pPr>
    <w:rPr>
      <w:szCs w:val="20"/>
      <w:lang w:val="es-ES_tradnl"/>
    </w:rPr>
  </w:style>
  <w:style w:type="paragraph" w:styleId="NormalWeb">
    <w:name w:val="Normal (Web)"/>
    <w:basedOn w:val="Normal"/>
    <w:uiPriority w:val="99"/>
    <w:rsid w:val="00C85395"/>
    <w:pPr>
      <w:spacing w:before="100" w:beforeAutospacing="1" w:after="100" w:afterAutospacing="1"/>
    </w:pPr>
  </w:style>
  <w:style w:type="paragraph" w:styleId="Textoindependiente3">
    <w:name w:val="Body Text 3"/>
    <w:basedOn w:val="Normal"/>
    <w:link w:val="Textoindependiente3Car"/>
    <w:uiPriority w:val="99"/>
    <w:rsid w:val="00F0748C"/>
    <w:pPr>
      <w:overflowPunct w:val="0"/>
      <w:autoSpaceDE w:val="0"/>
      <w:autoSpaceDN w:val="0"/>
      <w:adjustRightInd w:val="0"/>
      <w:textAlignment w:val="baseline"/>
    </w:pPr>
    <w:rPr>
      <w:sz w:val="20"/>
      <w:szCs w:val="20"/>
    </w:rPr>
  </w:style>
  <w:style w:type="character" w:customStyle="1" w:styleId="Textoindependiente3Car">
    <w:name w:val="Texto independiente 3 Car"/>
    <w:link w:val="Textoindependiente3"/>
    <w:uiPriority w:val="99"/>
    <w:locked/>
    <w:rsid w:val="00C85395"/>
    <w:rPr>
      <w:rFonts w:ascii="Arial" w:hAnsi="Arial"/>
      <w:lang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locked/>
    <w:rsid w:val="00C85395"/>
    <w:rPr>
      <w:rFonts w:ascii="Arial" w:hAnsi="Arial"/>
      <w:sz w:val="20"/>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C85395"/>
    <w:rPr>
      <w:sz w:val="20"/>
      <w:szCs w:val="20"/>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uiPriority w:val="99"/>
    <w:rsid w:val="00D7442C"/>
    <w:rPr>
      <w:rFonts w:ascii="Arial" w:hAnsi="Arial" w:cs="Times New Roman"/>
      <w:lang w:val="es-ES"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D7442C"/>
    <w:rPr>
      <w:rFonts w:ascii="Arial" w:hAnsi="Arial"/>
    </w:rPr>
  </w:style>
  <w:style w:type="paragraph" w:styleId="Encabezado">
    <w:name w:val="header"/>
    <w:basedOn w:val="Normal"/>
    <w:link w:val="EncabezadoCar"/>
    <w:uiPriority w:val="99"/>
    <w:rsid w:val="00C85395"/>
    <w:pPr>
      <w:tabs>
        <w:tab w:val="center" w:pos="4419"/>
        <w:tab w:val="right" w:pos="8838"/>
      </w:tabs>
      <w:overflowPunct w:val="0"/>
      <w:autoSpaceDE w:val="0"/>
      <w:autoSpaceDN w:val="0"/>
      <w:adjustRightInd w:val="0"/>
      <w:textAlignment w:val="baseline"/>
    </w:pPr>
    <w:rPr>
      <w:szCs w:val="20"/>
      <w:lang w:val="es-ES_tradnl"/>
    </w:rPr>
  </w:style>
  <w:style w:type="character" w:customStyle="1" w:styleId="EncabezadoCar">
    <w:name w:val="Encabezado Car"/>
    <w:link w:val="Encabezado"/>
    <w:uiPriority w:val="99"/>
    <w:locked/>
    <w:rsid w:val="00C85395"/>
    <w:rPr>
      <w:rFonts w:ascii="Arial" w:hAnsi="Arial"/>
      <w:sz w:val="24"/>
      <w:lang w:val="es-ES_tradnl" w:eastAsia="es-ES"/>
    </w:rPr>
  </w:style>
  <w:style w:type="character" w:customStyle="1" w:styleId="TextoindependienteCar">
    <w:name w:val="Texto independiente Car"/>
    <w:aliases w:val="Texto independiente Car Car Car Car2"/>
    <w:link w:val="Textoindependiente"/>
    <w:locked/>
    <w:rsid w:val="00C85395"/>
    <w:rPr>
      <w:rFonts w:ascii="Arial" w:hAnsi="Arial"/>
      <w:sz w:val="24"/>
      <w:lang w:val="es-ES_tradnl" w:eastAsia="es-ES"/>
    </w:rPr>
  </w:style>
  <w:style w:type="paragraph" w:styleId="Piedepgina">
    <w:name w:val="footer"/>
    <w:basedOn w:val="Normal"/>
    <w:link w:val="PiedepginaCar"/>
    <w:uiPriority w:val="99"/>
    <w:rsid w:val="00C85395"/>
    <w:pPr>
      <w:tabs>
        <w:tab w:val="center" w:pos="4252"/>
        <w:tab w:val="right" w:pos="8504"/>
      </w:tabs>
    </w:pPr>
    <w:rPr>
      <w:szCs w:val="20"/>
    </w:rPr>
  </w:style>
  <w:style w:type="character" w:customStyle="1" w:styleId="PiedepginaCar">
    <w:name w:val="Pie de página Car"/>
    <w:link w:val="Piedepgina"/>
    <w:uiPriority w:val="99"/>
    <w:locked/>
    <w:rsid w:val="00C85395"/>
    <w:rPr>
      <w:rFonts w:ascii="Arial" w:hAnsi="Arial"/>
      <w:sz w:val="24"/>
      <w:lang w:eastAsia="es-ES"/>
    </w:rPr>
  </w:style>
  <w:style w:type="character" w:styleId="Nmerodepgina">
    <w:name w:val="page number"/>
    <w:rsid w:val="00C85395"/>
  </w:style>
  <w:style w:type="paragraph" w:styleId="Textodebloque">
    <w:name w:val="Block Text"/>
    <w:basedOn w:val="Normal"/>
    <w:uiPriority w:val="99"/>
    <w:rsid w:val="00C8539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3" w:right="567"/>
    </w:pPr>
    <w:rPr>
      <w:rFonts w:ascii="Century Gothic" w:hAnsi="Century Gothic" w:cs="Century Gothic"/>
      <w:sz w:val="22"/>
      <w:szCs w:val="22"/>
    </w:rPr>
  </w:style>
  <w:style w:type="paragraph" w:customStyle="1" w:styleId="Estilo">
    <w:name w:val="Estilo"/>
    <w:rsid w:val="00C85395"/>
    <w:pPr>
      <w:widowControl w:val="0"/>
      <w:autoSpaceDE w:val="0"/>
      <w:autoSpaceDN w:val="0"/>
      <w:adjustRightInd w:val="0"/>
      <w:spacing w:line="360" w:lineRule="auto"/>
      <w:jc w:val="both"/>
    </w:pPr>
    <w:rPr>
      <w:rFonts w:ascii="Arial" w:hAnsi="Arial" w:cs="Arial"/>
      <w:sz w:val="24"/>
      <w:szCs w:val="24"/>
      <w:lang w:val="es-ES" w:eastAsia="es-ES"/>
    </w:rPr>
  </w:style>
  <w:style w:type="paragraph" w:customStyle="1" w:styleId="Textoindependiente22">
    <w:name w:val="Texto independiente 22"/>
    <w:basedOn w:val="Normal"/>
    <w:rsid w:val="00C85395"/>
    <w:pPr>
      <w:overflowPunct w:val="0"/>
      <w:autoSpaceDE w:val="0"/>
      <w:autoSpaceDN w:val="0"/>
      <w:adjustRightInd w:val="0"/>
      <w:ind w:firstLine="1418"/>
      <w:textAlignment w:val="baseline"/>
    </w:pPr>
    <w:rPr>
      <w:szCs w:val="20"/>
    </w:rPr>
  </w:style>
  <w:style w:type="paragraph" w:customStyle="1" w:styleId="CUERPO">
    <w:name w:val="CUERPO"/>
    <w:rsid w:val="00C85395"/>
    <w:pPr>
      <w:spacing w:before="144" w:after="144" w:line="360" w:lineRule="auto"/>
      <w:ind w:firstLine="360"/>
      <w:jc w:val="both"/>
    </w:pPr>
    <w:rPr>
      <w:rFonts w:ascii="Arial" w:hAnsi="Arial" w:cs="Times New Roman"/>
    </w:rPr>
  </w:style>
  <w:style w:type="paragraph" w:customStyle="1" w:styleId="Textodebloque1">
    <w:name w:val="Texto de bloque1"/>
    <w:basedOn w:val="Normal"/>
    <w:qFormat/>
    <w:rsid w:val="00C85395"/>
    <w:pPr>
      <w:overflowPunct w:val="0"/>
      <w:autoSpaceDE w:val="0"/>
      <w:autoSpaceDN w:val="0"/>
      <w:adjustRightInd w:val="0"/>
      <w:ind w:left="851" w:right="851" w:firstLine="567"/>
      <w:textAlignment w:val="baseline"/>
    </w:pPr>
    <w:rPr>
      <w:rFonts w:ascii="Century Gothic" w:hAnsi="Century Gothic" w:cs="Arial"/>
      <w:sz w:val="22"/>
    </w:rPr>
  </w:style>
  <w:style w:type="paragraph" w:customStyle="1" w:styleId="Sangra3detindependiente1">
    <w:name w:val="Sangría 3 de t. independiente1"/>
    <w:basedOn w:val="Normal"/>
    <w:rsid w:val="00C85395"/>
    <w:pPr>
      <w:overflowPunct w:val="0"/>
      <w:autoSpaceDE w:val="0"/>
      <w:autoSpaceDN w:val="0"/>
      <w:adjustRightInd w:val="0"/>
      <w:ind w:firstLine="540"/>
      <w:textAlignment w:val="baseline"/>
    </w:pPr>
    <w:rPr>
      <w:b/>
      <w:szCs w:val="20"/>
    </w:rPr>
  </w:style>
  <w:style w:type="paragraph" w:customStyle="1" w:styleId="BodyText21">
    <w:name w:val="Body Text 21"/>
    <w:basedOn w:val="Normal"/>
    <w:rsid w:val="00C85395"/>
    <w:pPr>
      <w:overflowPunct w:val="0"/>
      <w:autoSpaceDE w:val="0"/>
      <w:autoSpaceDN w:val="0"/>
      <w:adjustRightInd w:val="0"/>
      <w:ind w:left="1418"/>
      <w:textAlignment w:val="baseline"/>
    </w:pPr>
    <w:rPr>
      <w:szCs w:val="20"/>
    </w:rPr>
  </w:style>
  <w:style w:type="paragraph" w:styleId="Sangra3detindependiente">
    <w:name w:val="Body Text Indent 3"/>
    <w:basedOn w:val="Normal"/>
    <w:link w:val="Sangra3detindependienteCar"/>
    <w:uiPriority w:val="99"/>
    <w:rsid w:val="00C85395"/>
    <w:pPr>
      <w:overflowPunct w:val="0"/>
      <w:autoSpaceDE w:val="0"/>
      <w:autoSpaceDN w:val="0"/>
      <w:adjustRightInd w:val="0"/>
      <w:spacing w:after="120"/>
      <w:ind w:left="283"/>
      <w:textAlignment w:val="baseline"/>
    </w:pPr>
    <w:rPr>
      <w:sz w:val="16"/>
      <w:szCs w:val="20"/>
    </w:rPr>
  </w:style>
  <w:style w:type="character" w:customStyle="1" w:styleId="Sangra3detindependienteCar">
    <w:name w:val="Sangría 3 de t. independiente Car"/>
    <w:link w:val="Sangra3detindependiente"/>
    <w:uiPriority w:val="99"/>
    <w:locked/>
    <w:rsid w:val="00C85395"/>
    <w:rPr>
      <w:rFonts w:ascii="Arial" w:hAnsi="Arial"/>
      <w:sz w:val="16"/>
      <w:lang w:eastAsia="es-ES"/>
    </w:rPr>
  </w:style>
  <w:style w:type="paragraph" w:customStyle="1" w:styleId="Textonormal">
    <w:name w:val="Texto normal"/>
    <w:basedOn w:val="Normal"/>
    <w:rsid w:val="00C85395"/>
    <w:pPr>
      <w:spacing w:line="360" w:lineRule="atLeast"/>
    </w:pPr>
    <w:rPr>
      <w:szCs w:val="20"/>
    </w:rPr>
  </w:style>
  <w:style w:type="paragraph" w:customStyle="1" w:styleId="tesis">
    <w:name w:val="tesis"/>
    <w:basedOn w:val="Cuerpotexto"/>
    <w:rsid w:val="00C85395"/>
    <w:pPr>
      <w:spacing w:before="0" w:after="170"/>
      <w:ind w:left="567" w:right="0" w:firstLine="0"/>
    </w:pPr>
    <w:rPr>
      <w:b/>
      <w:color w:val="auto"/>
    </w:rPr>
  </w:style>
  <w:style w:type="paragraph" w:customStyle="1" w:styleId="Cuerpotexto">
    <w:name w:val="Cuerpo texto"/>
    <w:rsid w:val="00C85395"/>
    <w:pPr>
      <w:overflowPunct w:val="0"/>
      <w:autoSpaceDE w:val="0"/>
      <w:autoSpaceDN w:val="0"/>
      <w:adjustRightInd w:val="0"/>
      <w:spacing w:before="1" w:after="171" w:line="360" w:lineRule="auto"/>
      <w:ind w:left="1" w:right="1" w:firstLine="397"/>
      <w:jc w:val="both"/>
      <w:textAlignment w:val="baseline"/>
    </w:pPr>
    <w:rPr>
      <w:rFonts w:ascii="Times New Roman" w:hAnsi="Times New Roman" w:cs="Times New Roman"/>
      <w:color w:val="000000"/>
      <w:sz w:val="22"/>
      <w:lang w:val="es-ES_tradnl" w:eastAsia="es-ES"/>
    </w:rPr>
  </w:style>
  <w:style w:type="character" w:customStyle="1" w:styleId="TextonotapieCarCarCar">
    <w:name w:val="Texto nota pie Car Car Car"/>
    <w:aliases w:val="Texto nota pie Car1 Car Car"/>
    <w:rsid w:val="00C85395"/>
    <w:rPr>
      <w:lang w:val="es-CO" w:eastAsia="es-ES"/>
    </w:rPr>
  </w:style>
  <w:style w:type="paragraph" w:styleId="Textonotaalfinal">
    <w:name w:val="endnote text"/>
    <w:basedOn w:val="Normal"/>
    <w:link w:val="TextonotaalfinalCar"/>
    <w:uiPriority w:val="99"/>
    <w:unhideWhenUsed/>
    <w:rsid w:val="00C85395"/>
    <w:rPr>
      <w:sz w:val="20"/>
      <w:szCs w:val="20"/>
    </w:rPr>
  </w:style>
  <w:style w:type="character" w:customStyle="1" w:styleId="TextonotaalfinalCar">
    <w:name w:val="Texto nota al final Car"/>
    <w:link w:val="Textonotaalfinal"/>
    <w:uiPriority w:val="99"/>
    <w:locked/>
    <w:rsid w:val="00C85395"/>
    <w:rPr>
      <w:rFonts w:ascii="Arial" w:hAnsi="Arial"/>
      <w:sz w:val="20"/>
      <w:lang w:eastAsia="es-ES"/>
    </w:rPr>
  </w:style>
  <w:style w:type="paragraph" w:customStyle="1" w:styleId="BodyText22">
    <w:name w:val="Body Text 22"/>
    <w:basedOn w:val="Normal"/>
    <w:rsid w:val="00C85395"/>
    <w:pPr>
      <w:autoSpaceDE w:val="0"/>
      <w:autoSpaceDN w:val="0"/>
      <w:adjustRightInd w:val="0"/>
      <w:ind w:firstLine="708"/>
    </w:pPr>
    <w:rPr>
      <w:rFonts w:ascii="Century Gothic" w:hAnsi="Century Gothic"/>
      <w:sz w:val="22"/>
      <w:szCs w:val="22"/>
    </w:rPr>
  </w:style>
  <w:style w:type="character" w:customStyle="1" w:styleId="TextoindependienteCarCarCarCar">
    <w:name w:val="Texto independiente Car Car Car Car"/>
    <w:aliases w:val="Texto independiente Car Car Car1"/>
    <w:rsid w:val="00C85395"/>
    <w:rPr>
      <w:rFonts w:ascii="Arial" w:hAnsi="Arial"/>
      <w:sz w:val="24"/>
      <w:lang w:val="es-ES_tradnl" w:eastAsia="es-ES"/>
    </w:rPr>
  </w:style>
  <w:style w:type="character" w:styleId="Hipervnculo">
    <w:name w:val="Hyperlink"/>
    <w:uiPriority w:val="99"/>
    <w:rsid w:val="00C85395"/>
    <w:rPr>
      <w:rFonts w:ascii="Arial" w:hAnsi="Arial"/>
      <w:color w:val="auto"/>
      <w:sz w:val="18"/>
      <w:u w:val="none"/>
      <w:effect w:val="none"/>
    </w:rPr>
  </w:style>
  <w:style w:type="character" w:customStyle="1" w:styleId="CarCar10">
    <w:name w:val="Car Car10"/>
    <w:rsid w:val="00C85395"/>
    <w:rPr>
      <w:rFonts w:ascii="Arial" w:hAnsi="Arial"/>
      <w:b/>
      <w:sz w:val="26"/>
      <w:lang w:eastAsia="es-ES"/>
    </w:rPr>
  </w:style>
  <w:style w:type="paragraph" w:customStyle="1" w:styleId="BodyText28">
    <w:name w:val="Body Text 28"/>
    <w:basedOn w:val="Normal"/>
    <w:rsid w:val="00C8539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textAlignment w:val="baseline"/>
    </w:pPr>
    <w:rPr>
      <w:spacing w:val="-2"/>
      <w:sz w:val="22"/>
      <w:szCs w:val="20"/>
      <w:lang w:val="es-CO"/>
    </w:rPr>
  </w:style>
  <w:style w:type="character" w:customStyle="1" w:styleId="TextoindependienteCarCarCarCarCar">
    <w:name w:val="Texto independiente Car Car Car Car Car"/>
    <w:rsid w:val="00C85395"/>
    <w:rPr>
      <w:rFonts w:ascii="Arial" w:hAnsi="Arial"/>
      <w:sz w:val="24"/>
      <w:lang w:val="es-ES_tradnl" w:eastAsia="es-ES"/>
    </w:rPr>
  </w:style>
  <w:style w:type="character" w:customStyle="1" w:styleId="CarCar11">
    <w:name w:val="Car Car11"/>
    <w:rsid w:val="00C85395"/>
    <w:rPr>
      <w:rFonts w:ascii="Arial" w:hAnsi="Arial"/>
      <w:b/>
      <w:sz w:val="26"/>
      <w:lang w:val="es-ES" w:eastAsia="es-ES"/>
    </w:rPr>
  </w:style>
  <w:style w:type="paragraph" w:styleId="Sangradetextonormal">
    <w:name w:val="Body Text Indent"/>
    <w:basedOn w:val="Normal"/>
    <w:link w:val="SangradetextonormalCar"/>
    <w:uiPriority w:val="99"/>
    <w:rsid w:val="00C85395"/>
    <w:pPr>
      <w:spacing w:after="120"/>
      <w:ind w:left="283"/>
    </w:pPr>
    <w:rPr>
      <w:rFonts w:ascii="Times New Roman" w:hAnsi="Times New Roman"/>
      <w:szCs w:val="20"/>
    </w:rPr>
  </w:style>
  <w:style w:type="character" w:customStyle="1" w:styleId="SangradetextonormalCar">
    <w:name w:val="Sangría de texto normal Car"/>
    <w:link w:val="Sangradetextonormal"/>
    <w:uiPriority w:val="99"/>
    <w:locked/>
    <w:rsid w:val="00C85395"/>
    <w:rPr>
      <w:rFonts w:ascii="Times New Roman" w:hAnsi="Times New Roman"/>
      <w:sz w:val="24"/>
      <w:lang w:eastAsia="es-ES"/>
    </w:rPr>
  </w:style>
  <w:style w:type="paragraph" w:styleId="Sangra2detindependiente">
    <w:name w:val="Body Text Indent 2"/>
    <w:basedOn w:val="Normal"/>
    <w:link w:val="Sangra2detindependienteCar"/>
    <w:uiPriority w:val="99"/>
    <w:rsid w:val="00C85395"/>
    <w:pPr>
      <w:spacing w:after="120" w:line="480" w:lineRule="auto"/>
      <w:ind w:left="283"/>
    </w:pPr>
    <w:rPr>
      <w:rFonts w:ascii="Times New Roman" w:hAnsi="Times New Roman"/>
      <w:szCs w:val="20"/>
    </w:rPr>
  </w:style>
  <w:style w:type="character" w:customStyle="1" w:styleId="Sangra2detindependienteCar">
    <w:name w:val="Sangría 2 de t. independiente Car"/>
    <w:link w:val="Sangra2detindependiente"/>
    <w:uiPriority w:val="99"/>
    <w:locked/>
    <w:rsid w:val="00C85395"/>
    <w:rPr>
      <w:rFonts w:ascii="Times New Roman" w:hAnsi="Times New Roman"/>
      <w:sz w:val="24"/>
      <w:lang w:eastAsia="es-ES"/>
    </w:rPr>
  </w:style>
  <w:style w:type="paragraph" w:customStyle="1" w:styleId="Sangra3detindependiente11">
    <w:name w:val="Sangría 3 de t. independiente11"/>
    <w:basedOn w:val="Normal"/>
    <w:rsid w:val="00C85395"/>
    <w:pPr>
      <w:overflowPunct w:val="0"/>
      <w:autoSpaceDE w:val="0"/>
      <w:autoSpaceDN w:val="0"/>
      <w:adjustRightInd w:val="0"/>
      <w:ind w:firstLine="709"/>
      <w:textAlignment w:val="baseline"/>
    </w:pPr>
    <w:rPr>
      <w:szCs w:val="20"/>
    </w:rPr>
  </w:style>
  <w:style w:type="paragraph" w:customStyle="1" w:styleId="Sangra2detindependiente1">
    <w:name w:val="Sangría 2 de t. independiente1"/>
    <w:basedOn w:val="Normal"/>
    <w:rsid w:val="00C85395"/>
    <w:pPr>
      <w:overflowPunct w:val="0"/>
      <w:autoSpaceDE w:val="0"/>
      <w:autoSpaceDN w:val="0"/>
      <w:adjustRightInd w:val="0"/>
      <w:ind w:left="1418"/>
      <w:textAlignment w:val="baseline"/>
    </w:pPr>
    <w:rPr>
      <w:szCs w:val="20"/>
    </w:rPr>
  </w:style>
  <w:style w:type="paragraph" w:customStyle="1" w:styleId="03Cuerpo">
    <w:name w:val="03Cuerpo"/>
    <w:rsid w:val="00C85395"/>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C85395"/>
    <w:pPr>
      <w:widowControl w:val="0"/>
      <w:adjustRightInd w:val="0"/>
      <w:spacing w:line="360" w:lineRule="atLeast"/>
      <w:ind w:left="708"/>
      <w:textAlignment w:val="baseline"/>
    </w:pPr>
    <w:rPr>
      <w:rFonts w:ascii="Times New Roman" w:hAnsi="Times New Roman"/>
    </w:rPr>
  </w:style>
  <w:style w:type="paragraph" w:styleId="Lista">
    <w:name w:val="List"/>
    <w:basedOn w:val="Normal"/>
    <w:uiPriority w:val="99"/>
    <w:rsid w:val="00C85395"/>
    <w:pPr>
      <w:widowControl w:val="0"/>
      <w:adjustRightInd w:val="0"/>
      <w:spacing w:line="360" w:lineRule="atLeast"/>
      <w:ind w:left="283" w:hanging="283"/>
      <w:textAlignment w:val="baseline"/>
    </w:pPr>
    <w:rPr>
      <w:rFonts w:ascii="Times New Roman" w:hAnsi="Times New Roman"/>
    </w:rPr>
  </w:style>
  <w:style w:type="paragraph" w:styleId="Continuarlista">
    <w:name w:val="List Continue"/>
    <w:basedOn w:val="Normal"/>
    <w:uiPriority w:val="99"/>
    <w:rsid w:val="00C85395"/>
    <w:pPr>
      <w:widowControl w:val="0"/>
      <w:adjustRightInd w:val="0"/>
      <w:spacing w:after="120" w:line="360" w:lineRule="atLeast"/>
      <w:ind w:left="283"/>
      <w:textAlignment w:val="baseline"/>
    </w:pPr>
    <w:rPr>
      <w:rFonts w:ascii="Times New Roman" w:hAnsi="Times New Roman"/>
    </w:rPr>
  </w:style>
  <w:style w:type="character" w:styleId="Hipervnculovisitado">
    <w:name w:val="FollowedHyperlink"/>
    <w:uiPriority w:val="99"/>
    <w:rsid w:val="00C85395"/>
    <w:rPr>
      <w:color w:val="800080"/>
      <w:u w:val="single"/>
    </w:rPr>
  </w:style>
  <w:style w:type="character" w:customStyle="1" w:styleId="CarCar13">
    <w:name w:val="Car Car13"/>
    <w:rsid w:val="00C85395"/>
    <w:rPr>
      <w:rFonts w:ascii="Arial" w:hAnsi="Arial"/>
      <w:sz w:val="24"/>
      <w:lang w:val="es-ES_tradnl" w:eastAsia="es-ES"/>
    </w:rPr>
  </w:style>
  <w:style w:type="paragraph" w:customStyle="1" w:styleId="07Resaltado">
    <w:name w:val="07Resaltado"/>
    <w:basedOn w:val="Normal"/>
    <w:rsid w:val="00C85395"/>
    <w:pPr>
      <w:overflowPunct w:val="0"/>
      <w:autoSpaceDE w:val="0"/>
      <w:autoSpaceDN w:val="0"/>
      <w:adjustRightInd w:val="0"/>
      <w:spacing w:line="240" w:lineRule="atLeast"/>
      <w:ind w:left="454" w:right="454"/>
      <w:textAlignment w:val="baseline"/>
    </w:pPr>
    <w:rPr>
      <w:rFonts w:ascii="Book Antiqua" w:hAnsi="Book Antiqua"/>
      <w:i/>
      <w:sz w:val="22"/>
      <w:szCs w:val="20"/>
      <w:lang w:val="es-ES_tradnl"/>
    </w:rPr>
  </w:style>
  <w:style w:type="paragraph" w:styleId="Prrafodelista">
    <w:name w:val="List Paragraph"/>
    <w:basedOn w:val="Normal"/>
    <w:uiPriority w:val="34"/>
    <w:qFormat/>
    <w:rsid w:val="00C85395"/>
    <w:pPr>
      <w:ind w:left="708"/>
    </w:pPr>
  </w:style>
  <w:style w:type="character" w:customStyle="1" w:styleId="TextoindependienteCarCarCarCar1">
    <w:name w:val="Texto independiente Car Car Car Car1"/>
    <w:aliases w:val="Texto independiente Car Car Car2"/>
    <w:rsid w:val="007D56CB"/>
    <w:rPr>
      <w:rFonts w:ascii="Arial" w:hAnsi="Arial"/>
      <w:sz w:val="24"/>
      <w:lang w:val="es-ES_tradnl" w:eastAsia="es-ES"/>
    </w:rPr>
  </w:style>
  <w:style w:type="paragraph" w:styleId="Textosinformato">
    <w:name w:val="Plain Text"/>
    <w:basedOn w:val="Normal"/>
    <w:link w:val="TextosinformatoCar"/>
    <w:uiPriority w:val="99"/>
    <w:rsid w:val="006E5912"/>
    <w:rPr>
      <w:rFonts w:ascii="Courier New" w:hAnsi="Courier New"/>
      <w:sz w:val="20"/>
      <w:szCs w:val="20"/>
    </w:rPr>
  </w:style>
  <w:style w:type="character" w:customStyle="1" w:styleId="TextosinformatoCar">
    <w:name w:val="Texto sin formato Car"/>
    <w:link w:val="Textosinformato"/>
    <w:uiPriority w:val="99"/>
    <w:semiHidden/>
    <w:locked/>
    <w:rsid w:val="00D7442C"/>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21484"/>
    <w:rPr>
      <w:lang w:val="es-ES" w:eastAsia="es-ES"/>
    </w:rPr>
  </w:style>
  <w:style w:type="table" w:styleId="Tablaconcuadrcula">
    <w:name w:val="Table Grid"/>
    <w:basedOn w:val="Tablanormal"/>
    <w:uiPriority w:val="59"/>
    <w:rsid w:val="000D27B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14D8"/>
    <w:pPr>
      <w:spacing w:line="240" w:lineRule="auto"/>
    </w:pPr>
    <w:rPr>
      <w:rFonts w:ascii="Tahoma" w:hAnsi="Tahoma"/>
      <w:sz w:val="16"/>
      <w:szCs w:val="20"/>
    </w:rPr>
  </w:style>
  <w:style w:type="character" w:customStyle="1" w:styleId="TextodegloboCar">
    <w:name w:val="Texto de globo Car"/>
    <w:link w:val="Textodeglobo"/>
    <w:uiPriority w:val="99"/>
    <w:semiHidden/>
    <w:locked/>
    <w:rsid w:val="00EE14D8"/>
    <w:rPr>
      <w:rFonts w:ascii="Tahoma" w:hAnsi="Tahoma"/>
      <w:sz w:val="16"/>
      <w:lang w:val="es-ES" w:eastAsia="es-ES"/>
    </w:rPr>
  </w:style>
  <w:style w:type="paragraph" w:customStyle="1" w:styleId="Style11">
    <w:name w:val="Style11"/>
    <w:basedOn w:val="Normal"/>
    <w:rsid w:val="00D56298"/>
    <w:pPr>
      <w:widowControl w:val="0"/>
      <w:autoSpaceDE w:val="0"/>
      <w:autoSpaceDN w:val="0"/>
      <w:adjustRightInd w:val="0"/>
      <w:spacing w:line="230" w:lineRule="exact"/>
      <w:ind w:firstLine="264"/>
    </w:pPr>
  </w:style>
  <w:style w:type="character" w:customStyle="1" w:styleId="FontStyle92">
    <w:name w:val="Font Style92"/>
    <w:rsid w:val="00D56298"/>
    <w:rPr>
      <w:rFonts w:ascii="Times New Roman" w:hAnsi="Times New Roman"/>
      <w:sz w:val="18"/>
    </w:rPr>
  </w:style>
  <w:style w:type="paragraph" w:customStyle="1" w:styleId="Textodebloque2">
    <w:name w:val="Texto de bloque2"/>
    <w:basedOn w:val="Normal"/>
    <w:rsid w:val="00182253"/>
    <w:pPr>
      <w:overflowPunct w:val="0"/>
      <w:autoSpaceDE w:val="0"/>
      <w:autoSpaceDN w:val="0"/>
      <w:adjustRightInd w:val="0"/>
      <w:spacing w:line="240" w:lineRule="auto"/>
      <w:ind w:left="576" w:right="576"/>
      <w:textAlignment w:val="baseline"/>
    </w:pPr>
    <w:rPr>
      <w:i/>
      <w:sz w:val="20"/>
      <w:szCs w:val="20"/>
      <w:lang w:val="es-ES_tradnl"/>
    </w:rPr>
  </w:style>
  <w:style w:type="paragraph" w:customStyle="1" w:styleId="Sangra2detindependiente2">
    <w:name w:val="Sangría 2 de t. independiente2"/>
    <w:basedOn w:val="Normal"/>
    <w:rsid w:val="00CF76FD"/>
    <w:pPr>
      <w:overflowPunct w:val="0"/>
      <w:autoSpaceDE w:val="0"/>
      <w:autoSpaceDN w:val="0"/>
      <w:adjustRightInd w:val="0"/>
      <w:spacing w:line="240" w:lineRule="auto"/>
      <w:ind w:left="1418"/>
      <w:textAlignment w:val="baseline"/>
    </w:pPr>
    <w:rPr>
      <w:szCs w:val="20"/>
    </w:rPr>
  </w:style>
  <w:style w:type="character" w:customStyle="1" w:styleId="textonavy1">
    <w:name w:val="texto_navy1"/>
    <w:rsid w:val="004800C2"/>
    <w:rPr>
      <w:color w:val="000080"/>
    </w:rPr>
  </w:style>
  <w:style w:type="paragraph" w:customStyle="1" w:styleId="Enconsecueencia">
    <w:name w:val="En consecueencia"/>
    <w:basedOn w:val="Normal"/>
    <w:rsid w:val="001C6080"/>
    <w:pPr>
      <w:tabs>
        <w:tab w:val="left" w:pos="1276"/>
      </w:tabs>
      <w:spacing w:line="240" w:lineRule="auto"/>
    </w:pPr>
    <w:rPr>
      <w:sz w:val="22"/>
      <w:szCs w:val="20"/>
      <w:lang w:val="es-ES_tradnl"/>
    </w:rPr>
  </w:style>
  <w:style w:type="paragraph" w:customStyle="1" w:styleId="Ed">
    <w:name w:val="Ed"/>
    <w:basedOn w:val="Normal"/>
    <w:rsid w:val="00F00B55"/>
    <w:pPr>
      <w:overflowPunct w:val="0"/>
      <w:autoSpaceDE w:val="0"/>
      <w:autoSpaceDN w:val="0"/>
      <w:adjustRightInd w:val="0"/>
      <w:spacing w:line="480" w:lineRule="auto"/>
      <w:textAlignment w:val="baseline"/>
    </w:pPr>
    <w:rPr>
      <w:szCs w:val="20"/>
      <w:lang w:val="es-ES_tradnl" w:eastAsia="es-CO"/>
    </w:rPr>
  </w:style>
  <w:style w:type="character" w:styleId="Textoennegrita">
    <w:name w:val="Strong"/>
    <w:uiPriority w:val="22"/>
    <w:qFormat/>
    <w:rsid w:val="00915AC0"/>
    <w:rPr>
      <w:b/>
    </w:rPr>
  </w:style>
  <w:style w:type="character" w:customStyle="1" w:styleId="apple-converted-space">
    <w:name w:val="apple-converted-space"/>
    <w:rsid w:val="00CD1359"/>
  </w:style>
  <w:style w:type="paragraph" w:customStyle="1" w:styleId="Default">
    <w:name w:val="Default"/>
    <w:uiPriority w:val="99"/>
    <w:rsid w:val="00117B6F"/>
    <w:pPr>
      <w:autoSpaceDE w:val="0"/>
      <w:autoSpaceDN w:val="0"/>
      <w:adjustRightInd w:val="0"/>
    </w:pPr>
    <w:rPr>
      <w:rFonts w:ascii="NJICAK+Arial" w:hAnsi="NJICAK+Arial" w:cs="NJICAK+Arial"/>
      <w:color w:val="000000"/>
      <w:sz w:val="24"/>
      <w:szCs w:val="24"/>
      <w:lang w:val="es-CO" w:eastAsia="es-CO"/>
    </w:rPr>
  </w:style>
  <w:style w:type="character" w:customStyle="1" w:styleId="t132">
    <w:name w:val="t132"/>
    <w:basedOn w:val="Fuentedeprrafopredeter"/>
    <w:rsid w:val="00D95B78"/>
  </w:style>
  <w:style w:type="character" w:customStyle="1" w:styleId="toctoggle">
    <w:name w:val="toctoggle"/>
    <w:basedOn w:val="Fuentedeprrafopredeter"/>
    <w:rsid w:val="00D95B78"/>
  </w:style>
  <w:style w:type="character" w:customStyle="1" w:styleId="t125">
    <w:name w:val="t125"/>
    <w:basedOn w:val="Fuentedeprrafopredeter"/>
    <w:rsid w:val="00F25C04"/>
  </w:style>
  <w:style w:type="paragraph" w:customStyle="1" w:styleId="parrafo-division">
    <w:name w:val="parrafo-division"/>
    <w:basedOn w:val="Normal"/>
    <w:rsid w:val="00747CB1"/>
    <w:pPr>
      <w:spacing w:before="100" w:beforeAutospacing="1" w:after="100" w:afterAutospacing="1" w:line="240" w:lineRule="auto"/>
      <w:jc w:val="left"/>
    </w:pPr>
    <w:rPr>
      <w:rFonts w:ascii="Times New Roman" w:hAnsi="Times New Roman"/>
    </w:rPr>
  </w:style>
  <w:style w:type="character" w:customStyle="1" w:styleId="textonavy">
    <w:name w:val="texto_navy"/>
    <w:basedOn w:val="Fuentedeprrafopredeter"/>
    <w:rsid w:val="00850264"/>
  </w:style>
  <w:style w:type="paragraph" w:customStyle="1" w:styleId="Textoindependiente23">
    <w:name w:val="Texto independiente 23"/>
    <w:basedOn w:val="Normal"/>
    <w:rsid w:val="000F05E1"/>
    <w:pPr>
      <w:overflowPunct w:val="0"/>
      <w:autoSpaceDE w:val="0"/>
      <w:autoSpaceDN w:val="0"/>
      <w:adjustRightInd w:val="0"/>
      <w:ind w:firstLine="1418"/>
      <w:textAlignment w:val="baseline"/>
    </w:pPr>
    <w:rPr>
      <w:szCs w:val="20"/>
      <w:lang w:val="es-CO"/>
    </w:rPr>
  </w:style>
  <w:style w:type="paragraph" w:customStyle="1" w:styleId="Textoindependiente24">
    <w:name w:val="Texto independiente 24"/>
    <w:basedOn w:val="Normal"/>
    <w:rsid w:val="00C81F08"/>
    <w:pPr>
      <w:overflowPunct w:val="0"/>
      <w:autoSpaceDE w:val="0"/>
      <w:autoSpaceDN w:val="0"/>
      <w:adjustRightInd w:val="0"/>
      <w:spacing w:line="480" w:lineRule="auto"/>
      <w:textAlignment w:val="baseline"/>
    </w:pPr>
    <w:rPr>
      <w:szCs w:val="20"/>
    </w:rPr>
  </w:style>
  <w:style w:type="paragraph" w:customStyle="1" w:styleId="Puesto">
    <w:name w:val="Puesto"/>
    <w:basedOn w:val="Normal"/>
    <w:link w:val="PuestoCar"/>
    <w:qFormat/>
    <w:rsid w:val="00D210C6"/>
    <w:pPr>
      <w:spacing w:line="240" w:lineRule="auto"/>
      <w:jc w:val="center"/>
    </w:pPr>
    <w:rPr>
      <w:rFonts w:eastAsia="Batang" w:cs="Arial"/>
      <w:b/>
      <w:bCs/>
      <w:sz w:val="22"/>
      <w:lang w:val="es-ES_tradnl"/>
    </w:rPr>
  </w:style>
  <w:style w:type="character" w:customStyle="1" w:styleId="PuestoCar">
    <w:name w:val="Puesto Car"/>
    <w:link w:val="Puesto"/>
    <w:rsid w:val="00D210C6"/>
    <w:rPr>
      <w:rFonts w:ascii="Arial" w:eastAsia="Batang" w:hAnsi="Arial" w:cs="Arial"/>
      <w:b/>
      <w:bCs/>
      <w:sz w:val="22"/>
      <w:szCs w:val="24"/>
      <w:lang w:val="es-ES_tradnl"/>
    </w:rPr>
  </w:style>
  <w:style w:type="paragraph" w:customStyle="1" w:styleId="Textoindependiente25">
    <w:name w:val="Texto independiente 25"/>
    <w:basedOn w:val="Normal"/>
    <w:rsid w:val="001235E1"/>
    <w:pPr>
      <w:overflowPunct w:val="0"/>
      <w:autoSpaceDE w:val="0"/>
      <w:autoSpaceDN w:val="0"/>
      <w:adjustRightInd w:val="0"/>
      <w:ind w:firstLine="710"/>
      <w:textAlignment w:val="baseline"/>
    </w:pPr>
    <w:rPr>
      <w:szCs w:val="20"/>
      <w:lang w:val="es-CO"/>
    </w:rPr>
  </w:style>
  <w:style w:type="paragraph" w:customStyle="1" w:styleId="textocaja">
    <w:name w:val="textocaja"/>
    <w:basedOn w:val="Normal"/>
    <w:rsid w:val="00C61876"/>
    <w:pPr>
      <w:spacing w:before="100" w:beforeAutospacing="1" w:after="100" w:afterAutospacing="1" w:line="240" w:lineRule="auto"/>
      <w:jc w:val="left"/>
    </w:pPr>
    <w:rPr>
      <w:rFonts w:ascii="Times New Roman" w:hAnsi="Times New Roman"/>
    </w:rPr>
  </w:style>
  <w:style w:type="paragraph" w:customStyle="1" w:styleId="Textoindependiente26">
    <w:name w:val="Texto independiente 26"/>
    <w:basedOn w:val="Normal"/>
    <w:rsid w:val="008462BA"/>
    <w:pPr>
      <w:overflowPunct w:val="0"/>
      <w:autoSpaceDE w:val="0"/>
      <w:autoSpaceDN w:val="0"/>
      <w:adjustRightInd w:val="0"/>
      <w:spacing w:line="240" w:lineRule="auto"/>
      <w:jc w:val="left"/>
      <w:textAlignment w:val="baseline"/>
    </w:pPr>
    <w:rPr>
      <w:i/>
      <w:sz w:val="22"/>
      <w:szCs w:val="20"/>
      <w:lang w:val="es-CO"/>
    </w:rPr>
  </w:style>
  <w:style w:type="paragraph" w:styleId="Lista2">
    <w:name w:val="List 2"/>
    <w:basedOn w:val="Normal"/>
    <w:uiPriority w:val="99"/>
    <w:unhideWhenUsed/>
    <w:rsid w:val="00E759BE"/>
    <w:pPr>
      <w:ind w:left="566" w:hanging="283"/>
      <w:contextualSpacing/>
    </w:pPr>
  </w:style>
  <w:style w:type="paragraph" w:styleId="Lista3">
    <w:name w:val="List 3"/>
    <w:basedOn w:val="Normal"/>
    <w:uiPriority w:val="99"/>
    <w:unhideWhenUsed/>
    <w:rsid w:val="00E759BE"/>
    <w:pPr>
      <w:ind w:left="849" w:hanging="283"/>
      <w:contextualSpacing/>
    </w:pPr>
  </w:style>
  <w:style w:type="paragraph" w:styleId="Lista4">
    <w:name w:val="List 4"/>
    <w:basedOn w:val="Normal"/>
    <w:uiPriority w:val="99"/>
    <w:unhideWhenUsed/>
    <w:rsid w:val="00E759BE"/>
    <w:pPr>
      <w:ind w:left="1132" w:hanging="283"/>
      <w:contextualSpacing/>
    </w:pPr>
  </w:style>
  <w:style w:type="paragraph" w:styleId="Lista5">
    <w:name w:val="List 5"/>
    <w:basedOn w:val="Normal"/>
    <w:uiPriority w:val="99"/>
    <w:unhideWhenUsed/>
    <w:rsid w:val="00E759BE"/>
    <w:pPr>
      <w:ind w:left="1415" w:hanging="283"/>
      <w:contextualSpacing/>
    </w:pPr>
  </w:style>
  <w:style w:type="paragraph" w:styleId="Saludo">
    <w:name w:val="Salutation"/>
    <w:basedOn w:val="Normal"/>
    <w:next w:val="Normal"/>
    <w:link w:val="SaludoCar"/>
    <w:uiPriority w:val="99"/>
    <w:unhideWhenUsed/>
    <w:rsid w:val="00E759BE"/>
  </w:style>
  <w:style w:type="character" w:customStyle="1" w:styleId="SaludoCar">
    <w:name w:val="Saludo Car"/>
    <w:link w:val="Saludo"/>
    <w:uiPriority w:val="99"/>
    <w:rsid w:val="00E759BE"/>
    <w:rPr>
      <w:rFonts w:ascii="Arial" w:hAnsi="Arial" w:cs="Times New Roman"/>
      <w:sz w:val="24"/>
      <w:szCs w:val="24"/>
    </w:rPr>
  </w:style>
  <w:style w:type="paragraph" w:styleId="Continuarlista2">
    <w:name w:val="List Continue 2"/>
    <w:basedOn w:val="Normal"/>
    <w:uiPriority w:val="99"/>
    <w:unhideWhenUsed/>
    <w:rsid w:val="00E759BE"/>
    <w:pPr>
      <w:spacing w:after="120"/>
      <w:ind w:left="566"/>
      <w:contextualSpacing/>
    </w:pPr>
  </w:style>
  <w:style w:type="paragraph" w:styleId="Continuarlista3">
    <w:name w:val="List Continue 3"/>
    <w:basedOn w:val="Normal"/>
    <w:uiPriority w:val="99"/>
    <w:unhideWhenUsed/>
    <w:rsid w:val="00E759BE"/>
    <w:pPr>
      <w:spacing w:after="120"/>
      <w:ind w:left="849"/>
      <w:contextualSpacing/>
    </w:pPr>
  </w:style>
  <w:style w:type="paragraph" w:styleId="Textoindependienteprimerasangra2">
    <w:name w:val="Body Text First Indent 2"/>
    <w:basedOn w:val="Sangradetextonormal"/>
    <w:link w:val="Textoindependienteprimerasangra2Car"/>
    <w:uiPriority w:val="99"/>
    <w:unhideWhenUsed/>
    <w:rsid w:val="00E759BE"/>
    <w:pPr>
      <w:spacing w:after="0"/>
      <w:ind w:left="360" w:firstLine="360"/>
    </w:pPr>
    <w:rPr>
      <w:rFonts w:ascii="Arial" w:hAnsi="Arial"/>
      <w:szCs w:val="24"/>
    </w:rPr>
  </w:style>
  <w:style w:type="character" w:customStyle="1" w:styleId="Textoindependienteprimerasangra2Car">
    <w:name w:val="Texto independiente primera sangría 2 Car"/>
    <w:link w:val="Textoindependienteprimerasangra2"/>
    <w:uiPriority w:val="99"/>
    <w:rsid w:val="00E759BE"/>
    <w:rPr>
      <w:rFonts w:ascii="Arial" w:hAnsi="Arial" w:cs="Times New Roman"/>
      <w:sz w:val="24"/>
      <w:szCs w:val="24"/>
      <w:lang w:eastAsia="es-ES"/>
    </w:rPr>
  </w:style>
  <w:style w:type="paragraph" w:customStyle="1" w:styleId="Cuadrculamedia1-nfasis21">
    <w:name w:val="Cuadrícula media 1 - Énfasis 21"/>
    <w:basedOn w:val="Normal"/>
    <w:qFormat/>
    <w:rsid w:val="00A307E4"/>
    <w:pPr>
      <w:spacing w:line="240" w:lineRule="auto"/>
      <w:ind w:left="851" w:right="851"/>
      <w:contextualSpacing/>
    </w:pPr>
    <w:rPr>
      <w:rFonts w:ascii="Century Gothic" w:eastAsia="Calibri" w:hAnsi="Century Gothic"/>
      <w:sz w:val="22"/>
      <w:szCs w:val="22"/>
      <w:lang w:val="es-ES_tradnl" w:eastAsia="en-US"/>
    </w:rPr>
  </w:style>
  <w:style w:type="paragraph" w:customStyle="1" w:styleId="western">
    <w:name w:val="western"/>
    <w:basedOn w:val="Normal"/>
    <w:rsid w:val="006A1D4A"/>
    <w:pPr>
      <w:spacing w:before="100" w:beforeAutospacing="1" w:after="100" w:afterAutospacing="1" w:line="240" w:lineRule="auto"/>
      <w:jc w:val="left"/>
    </w:pPr>
    <w:rPr>
      <w:rFonts w:ascii="Times New Roman" w:hAnsi="Times New Roman"/>
    </w:rPr>
  </w:style>
  <w:style w:type="character" w:styleId="Refdenotaalfinal">
    <w:name w:val="endnote reference"/>
    <w:uiPriority w:val="99"/>
    <w:semiHidden/>
    <w:unhideWhenUsed/>
    <w:rsid w:val="00AE2715"/>
    <w:rPr>
      <w:vertAlign w:val="superscript"/>
    </w:rPr>
  </w:style>
  <w:style w:type="character" w:styleId="nfasis">
    <w:name w:val="Emphasis"/>
    <w:uiPriority w:val="20"/>
    <w:qFormat/>
    <w:rsid w:val="00AF1F91"/>
    <w:rPr>
      <w:i/>
      <w:iCs/>
    </w:rPr>
  </w:style>
  <w:style w:type="character" w:customStyle="1" w:styleId="auto-style27">
    <w:name w:val="auto-style27"/>
    <w:basedOn w:val="Fuentedeprrafopredeter"/>
    <w:rsid w:val="00C72910"/>
  </w:style>
  <w:style w:type="character" w:customStyle="1" w:styleId="apple-style-span">
    <w:name w:val="apple-style-span"/>
    <w:uiPriority w:val="99"/>
    <w:rsid w:val="0086309E"/>
  </w:style>
  <w:style w:type="character" w:customStyle="1" w:styleId="Ttulo2Car">
    <w:name w:val="Título 2 Car"/>
    <w:link w:val="Ttulo2"/>
    <w:uiPriority w:val="9"/>
    <w:semiHidden/>
    <w:rsid w:val="00B84D5D"/>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6344">
      <w:bodyDiv w:val="1"/>
      <w:marLeft w:val="0"/>
      <w:marRight w:val="0"/>
      <w:marTop w:val="0"/>
      <w:marBottom w:val="0"/>
      <w:divBdr>
        <w:top w:val="none" w:sz="0" w:space="0" w:color="auto"/>
        <w:left w:val="none" w:sz="0" w:space="0" w:color="auto"/>
        <w:bottom w:val="none" w:sz="0" w:space="0" w:color="auto"/>
        <w:right w:val="none" w:sz="0" w:space="0" w:color="auto"/>
      </w:divBdr>
      <w:divsChild>
        <w:div w:id="353653285">
          <w:marLeft w:val="0"/>
          <w:marRight w:val="0"/>
          <w:marTop w:val="0"/>
          <w:marBottom w:val="0"/>
          <w:divBdr>
            <w:top w:val="none" w:sz="0" w:space="0" w:color="auto"/>
            <w:left w:val="none" w:sz="0" w:space="0" w:color="auto"/>
            <w:bottom w:val="none" w:sz="0" w:space="0" w:color="auto"/>
            <w:right w:val="none" w:sz="0" w:space="0" w:color="auto"/>
          </w:divBdr>
          <w:divsChild>
            <w:div w:id="5176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8093">
      <w:bodyDiv w:val="1"/>
      <w:marLeft w:val="0"/>
      <w:marRight w:val="0"/>
      <w:marTop w:val="0"/>
      <w:marBottom w:val="0"/>
      <w:divBdr>
        <w:top w:val="none" w:sz="0" w:space="0" w:color="auto"/>
        <w:left w:val="none" w:sz="0" w:space="0" w:color="auto"/>
        <w:bottom w:val="none" w:sz="0" w:space="0" w:color="auto"/>
        <w:right w:val="none" w:sz="0" w:space="0" w:color="auto"/>
      </w:divBdr>
    </w:div>
    <w:div w:id="150223386">
      <w:bodyDiv w:val="1"/>
      <w:marLeft w:val="0"/>
      <w:marRight w:val="0"/>
      <w:marTop w:val="0"/>
      <w:marBottom w:val="0"/>
      <w:divBdr>
        <w:top w:val="none" w:sz="0" w:space="0" w:color="auto"/>
        <w:left w:val="none" w:sz="0" w:space="0" w:color="auto"/>
        <w:bottom w:val="none" w:sz="0" w:space="0" w:color="auto"/>
        <w:right w:val="none" w:sz="0" w:space="0" w:color="auto"/>
      </w:divBdr>
    </w:div>
    <w:div w:id="172259857">
      <w:bodyDiv w:val="1"/>
      <w:marLeft w:val="0"/>
      <w:marRight w:val="0"/>
      <w:marTop w:val="0"/>
      <w:marBottom w:val="0"/>
      <w:divBdr>
        <w:top w:val="none" w:sz="0" w:space="0" w:color="auto"/>
        <w:left w:val="none" w:sz="0" w:space="0" w:color="auto"/>
        <w:bottom w:val="none" w:sz="0" w:space="0" w:color="auto"/>
        <w:right w:val="none" w:sz="0" w:space="0" w:color="auto"/>
      </w:divBdr>
    </w:div>
    <w:div w:id="238834487">
      <w:bodyDiv w:val="1"/>
      <w:marLeft w:val="0"/>
      <w:marRight w:val="0"/>
      <w:marTop w:val="0"/>
      <w:marBottom w:val="0"/>
      <w:divBdr>
        <w:top w:val="none" w:sz="0" w:space="0" w:color="auto"/>
        <w:left w:val="none" w:sz="0" w:space="0" w:color="auto"/>
        <w:bottom w:val="none" w:sz="0" w:space="0" w:color="auto"/>
        <w:right w:val="none" w:sz="0" w:space="0" w:color="auto"/>
      </w:divBdr>
    </w:div>
    <w:div w:id="262806578">
      <w:bodyDiv w:val="1"/>
      <w:marLeft w:val="0"/>
      <w:marRight w:val="0"/>
      <w:marTop w:val="0"/>
      <w:marBottom w:val="0"/>
      <w:divBdr>
        <w:top w:val="none" w:sz="0" w:space="0" w:color="auto"/>
        <w:left w:val="none" w:sz="0" w:space="0" w:color="auto"/>
        <w:bottom w:val="none" w:sz="0" w:space="0" w:color="auto"/>
        <w:right w:val="none" w:sz="0" w:space="0" w:color="auto"/>
      </w:divBdr>
    </w:div>
    <w:div w:id="264268354">
      <w:bodyDiv w:val="1"/>
      <w:marLeft w:val="0"/>
      <w:marRight w:val="0"/>
      <w:marTop w:val="0"/>
      <w:marBottom w:val="0"/>
      <w:divBdr>
        <w:top w:val="none" w:sz="0" w:space="0" w:color="auto"/>
        <w:left w:val="none" w:sz="0" w:space="0" w:color="auto"/>
        <w:bottom w:val="none" w:sz="0" w:space="0" w:color="auto"/>
        <w:right w:val="none" w:sz="0" w:space="0" w:color="auto"/>
      </w:divBdr>
    </w:div>
    <w:div w:id="286012431">
      <w:bodyDiv w:val="1"/>
      <w:marLeft w:val="0"/>
      <w:marRight w:val="0"/>
      <w:marTop w:val="0"/>
      <w:marBottom w:val="0"/>
      <w:divBdr>
        <w:top w:val="none" w:sz="0" w:space="0" w:color="auto"/>
        <w:left w:val="none" w:sz="0" w:space="0" w:color="auto"/>
        <w:bottom w:val="none" w:sz="0" w:space="0" w:color="auto"/>
        <w:right w:val="none" w:sz="0" w:space="0" w:color="auto"/>
      </w:divBdr>
      <w:divsChild>
        <w:div w:id="1122305107">
          <w:marLeft w:val="0"/>
          <w:marRight w:val="0"/>
          <w:marTop w:val="300"/>
          <w:marBottom w:val="300"/>
          <w:divBdr>
            <w:top w:val="none" w:sz="0" w:space="0" w:color="auto"/>
            <w:left w:val="none" w:sz="0" w:space="0" w:color="auto"/>
            <w:bottom w:val="none" w:sz="0" w:space="0" w:color="auto"/>
            <w:right w:val="none" w:sz="0" w:space="0" w:color="auto"/>
          </w:divBdr>
        </w:div>
        <w:div w:id="1204555232">
          <w:marLeft w:val="0"/>
          <w:marRight w:val="0"/>
          <w:marTop w:val="300"/>
          <w:marBottom w:val="300"/>
          <w:divBdr>
            <w:top w:val="none" w:sz="0" w:space="0" w:color="auto"/>
            <w:left w:val="none" w:sz="0" w:space="0" w:color="auto"/>
            <w:bottom w:val="none" w:sz="0" w:space="0" w:color="auto"/>
            <w:right w:val="none" w:sz="0" w:space="0" w:color="auto"/>
          </w:divBdr>
        </w:div>
        <w:div w:id="1283614969">
          <w:marLeft w:val="0"/>
          <w:marRight w:val="0"/>
          <w:marTop w:val="0"/>
          <w:marBottom w:val="150"/>
          <w:divBdr>
            <w:top w:val="none" w:sz="0" w:space="0" w:color="auto"/>
            <w:left w:val="none" w:sz="0" w:space="0" w:color="auto"/>
            <w:bottom w:val="none" w:sz="0" w:space="0" w:color="auto"/>
            <w:right w:val="none" w:sz="0" w:space="0" w:color="auto"/>
          </w:divBdr>
        </w:div>
        <w:div w:id="1772973511">
          <w:marLeft w:val="0"/>
          <w:marRight w:val="0"/>
          <w:marTop w:val="0"/>
          <w:marBottom w:val="150"/>
          <w:divBdr>
            <w:top w:val="none" w:sz="0" w:space="0" w:color="auto"/>
            <w:left w:val="none" w:sz="0" w:space="0" w:color="auto"/>
            <w:bottom w:val="none" w:sz="0" w:space="0" w:color="auto"/>
            <w:right w:val="none" w:sz="0" w:space="0" w:color="auto"/>
          </w:divBdr>
        </w:div>
      </w:divsChild>
    </w:div>
    <w:div w:id="306863218">
      <w:bodyDiv w:val="1"/>
      <w:marLeft w:val="0"/>
      <w:marRight w:val="0"/>
      <w:marTop w:val="0"/>
      <w:marBottom w:val="0"/>
      <w:divBdr>
        <w:top w:val="none" w:sz="0" w:space="0" w:color="auto"/>
        <w:left w:val="none" w:sz="0" w:space="0" w:color="auto"/>
        <w:bottom w:val="none" w:sz="0" w:space="0" w:color="auto"/>
        <w:right w:val="none" w:sz="0" w:space="0" w:color="auto"/>
      </w:divBdr>
    </w:div>
    <w:div w:id="352539975">
      <w:bodyDiv w:val="1"/>
      <w:marLeft w:val="0"/>
      <w:marRight w:val="0"/>
      <w:marTop w:val="0"/>
      <w:marBottom w:val="0"/>
      <w:divBdr>
        <w:top w:val="none" w:sz="0" w:space="0" w:color="auto"/>
        <w:left w:val="none" w:sz="0" w:space="0" w:color="auto"/>
        <w:bottom w:val="none" w:sz="0" w:space="0" w:color="auto"/>
        <w:right w:val="none" w:sz="0" w:space="0" w:color="auto"/>
      </w:divBdr>
    </w:div>
    <w:div w:id="353195991">
      <w:bodyDiv w:val="1"/>
      <w:marLeft w:val="0"/>
      <w:marRight w:val="0"/>
      <w:marTop w:val="0"/>
      <w:marBottom w:val="0"/>
      <w:divBdr>
        <w:top w:val="none" w:sz="0" w:space="0" w:color="auto"/>
        <w:left w:val="none" w:sz="0" w:space="0" w:color="auto"/>
        <w:bottom w:val="none" w:sz="0" w:space="0" w:color="auto"/>
        <w:right w:val="none" w:sz="0" w:space="0" w:color="auto"/>
      </w:divBdr>
      <w:divsChild>
        <w:div w:id="637879158">
          <w:marLeft w:val="0"/>
          <w:marRight w:val="0"/>
          <w:marTop w:val="0"/>
          <w:marBottom w:val="0"/>
          <w:divBdr>
            <w:top w:val="none" w:sz="0" w:space="0" w:color="auto"/>
            <w:left w:val="none" w:sz="0" w:space="0" w:color="auto"/>
            <w:bottom w:val="none" w:sz="0" w:space="0" w:color="auto"/>
            <w:right w:val="none" w:sz="0" w:space="0" w:color="auto"/>
          </w:divBdr>
          <w:divsChild>
            <w:div w:id="979075062">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922761311">
          <w:marLeft w:val="0"/>
          <w:marRight w:val="0"/>
          <w:marTop w:val="0"/>
          <w:marBottom w:val="0"/>
          <w:divBdr>
            <w:top w:val="none" w:sz="0" w:space="0" w:color="auto"/>
            <w:left w:val="none" w:sz="0" w:space="0" w:color="auto"/>
            <w:bottom w:val="none" w:sz="0" w:space="0" w:color="auto"/>
            <w:right w:val="none" w:sz="0" w:space="0" w:color="auto"/>
          </w:divBdr>
          <w:divsChild>
            <w:div w:id="5631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7863">
      <w:bodyDiv w:val="1"/>
      <w:marLeft w:val="0"/>
      <w:marRight w:val="0"/>
      <w:marTop w:val="0"/>
      <w:marBottom w:val="0"/>
      <w:divBdr>
        <w:top w:val="none" w:sz="0" w:space="0" w:color="auto"/>
        <w:left w:val="none" w:sz="0" w:space="0" w:color="auto"/>
        <w:bottom w:val="none" w:sz="0" w:space="0" w:color="auto"/>
        <w:right w:val="none" w:sz="0" w:space="0" w:color="auto"/>
      </w:divBdr>
    </w:div>
    <w:div w:id="410079744">
      <w:bodyDiv w:val="1"/>
      <w:marLeft w:val="0"/>
      <w:marRight w:val="0"/>
      <w:marTop w:val="0"/>
      <w:marBottom w:val="0"/>
      <w:divBdr>
        <w:top w:val="none" w:sz="0" w:space="0" w:color="auto"/>
        <w:left w:val="none" w:sz="0" w:space="0" w:color="auto"/>
        <w:bottom w:val="none" w:sz="0" w:space="0" w:color="auto"/>
        <w:right w:val="none" w:sz="0" w:space="0" w:color="auto"/>
      </w:divBdr>
    </w:div>
    <w:div w:id="450173775">
      <w:bodyDiv w:val="1"/>
      <w:marLeft w:val="0"/>
      <w:marRight w:val="0"/>
      <w:marTop w:val="0"/>
      <w:marBottom w:val="0"/>
      <w:divBdr>
        <w:top w:val="none" w:sz="0" w:space="0" w:color="auto"/>
        <w:left w:val="none" w:sz="0" w:space="0" w:color="auto"/>
        <w:bottom w:val="none" w:sz="0" w:space="0" w:color="auto"/>
        <w:right w:val="none" w:sz="0" w:space="0" w:color="auto"/>
      </w:divBdr>
    </w:div>
    <w:div w:id="477918723">
      <w:bodyDiv w:val="1"/>
      <w:marLeft w:val="0"/>
      <w:marRight w:val="0"/>
      <w:marTop w:val="0"/>
      <w:marBottom w:val="0"/>
      <w:divBdr>
        <w:top w:val="none" w:sz="0" w:space="0" w:color="auto"/>
        <w:left w:val="none" w:sz="0" w:space="0" w:color="auto"/>
        <w:bottom w:val="none" w:sz="0" w:space="0" w:color="auto"/>
        <w:right w:val="none" w:sz="0" w:space="0" w:color="auto"/>
      </w:divBdr>
    </w:div>
    <w:div w:id="506096148">
      <w:bodyDiv w:val="1"/>
      <w:marLeft w:val="0"/>
      <w:marRight w:val="0"/>
      <w:marTop w:val="0"/>
      <w:marBottom w:val="0"/>
      <w:divBdr>
        <w:top w:val="none" w:sz="0" w:space="0" w:color="auto"/>
        <w:left w:val="none" w:sz="0" w:space="0" w:color="auto"/>
        <w:bottom w:val="none" w:sz="0" w:space="0" w:color="auto"/>
        <w:right w:val="none" w:sz="0" w:space="0" w:color="auto"/>
      </w:divBdr>
    </w:div>
    <w:div w:id="530609917">
      <w:bodyDiv w:val="1"/>
      <w:marLeft w:val="0"/>
      <w:marRight w:val="0"/>
      <w:marTop w:val="0"/>
      <w:marBottom w:val="0"/>
      <w:divBdr>
        <w:top w:val="none" w:sz="0" w:space="0" w:color="auto"/>
        <w:left w:val="none" w:sz="0" w:space="0" w:color="auto"/>
        <w:bottom w:val="none" w:sz="0" w:space="0" w:color="auto"/>
        <w:right w:val="none" w:sz="0" w:space="0" w:color="auto"/>
      </w:divBdr>
      <w:divsChild>
        <w:div w:id="2045863400">
          <w:marLeft w:val="0"/>
          <w:marRight w:val="0"/>
          <w:marTop w:val="0"/>
          <w:marBottom w:val="0"/>
          <w:divBdr>
            <w:top w:val="none" w:sz="0" w:space="0" w:color="auto"/>
            <w:left w:val="none" w:sz="0" w:space="0" w:color="auto"/>
            <w:bottom w:val="none" w:sz="0" w:space="0" w:color="auto"/>
            <w:right w:val="none" w:sz="0" w:space="0" w:color="auto"/>
          </w:divBdr>
          <w:divsChild>
            <w:div w:id="10902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1706">
      <w:bodyDiv w:val="1"/>
      <w:marLeft w:val="0"/>
      <w:marRight w:val="0"/>
      <w:marTop w:val="0"/>
      <w:marBottom w:val="0"/>
      <w:divBdr>
        <w:top w:val="none" w:sz="0" w:space="0" w:color="auto"/>
        <w:left w:val="none" w:sz="0" w:space="0" w:color="auto"/>
        <w:bottom w:val="none" w:sz="0" w:space="0" w:color="auto"/>
        <w:right w:val="none" w:sz="0" w:space="0" w:color="auto"/>
      </w:divBdr>
    </w:div>
    <w:div w:id="681974007">
      <w:bodyDiv w:val="1"/>
      <w:marLeft w:val="0"/>
      <w:marRight w:val="0"/>
      <w:marTop w:val="0"/>
      <w:marBottom w:val="0"/>
      <w:divBdr>
        <w:top w:val="none" w:sz="0" w:space="0" w:color="auto"/>
        <w:left w:val="none" w:sz="0" w:space="0" w:color="auto"/>
        <w:bottom w:val="none" w:sz="0" w:space="0" w:color="auto"/>
        <w:right w:val="none" w:sz="0" w:space="0" w:color="auto"/>
      </w:divBdr>
    </w:div>
    <w:div w:id="703140749">
      <w:bodyDiv w:val="1"/>
      <w:marLeft w:val="0"/>
      <w:marRight w:val="0"/>
      <w:marTop w:val="0"/>
      <w:marBottom w:val="0"/>
      <w:divBdr>
        <w:top w:val="none" w:sz="0" w:space="0" w:color="auto"/>
        <w:left w:val="none" w:sz="0" w:space="0" w:color="auto"/>
        <w:bottom w:val="none" w:sz="0" w:space="0" w:color="auto"/>
        <w:right w:val="none" w:sz="0" w:space="0" w:color="auto"/>
      </w:divBdr>
    </w:div>
    <w:div w:id="721712255">
      <w:bodyDiv w:val="1"/>
      <w:marLeft w:val="0"/>
      <w:marRight w:val="0"/>
      <w:marTop w:val="0"/>
      <w:marBottom w:val="0"/>
      <w:divBdr>
        <w:top w:val="none" w:sz="0" w:space="0" w:color="auto"/>
        <w:left w:val="none" w:sz="0" w:space="0" w:color="auto"/>
        <w:bottom w:val="none" w:sz="0" w:space="0" w:color="auto"/>
        <w:right w:val="none" w:sz="0" w:space="0" w:color="auto"/>
      </w:divBdr>
    </w:div>
    <w:div w:id="758258528">
      <w:bodyDiv w:val="1"/>
      <w:marLeft w:val="0"/>
      <w:marRight w:val="0"/>
      <w:marTop w:val="0"/>
      <w:marBottom w:val="0"/>
      <w:divBdr>
        <w:top w:val="none" w:sz="0" w:space="0" w:color="auto"/>
        <w:left w:val="none" w:sz="0" w:space="0" w:color="auto"/>
        <w:bottom w:val="none" w:sz="0" w:space="0" w:color="auto"/>
        <w:right w:val="none" w:sz="0" w:space="0" w:color="auto"/>
      </w:divBdr>
    </w:div>
    <w:div w:id="805052469">
      <w:bodyDiv w:val="1"/>
      <w:marLeft w:val="0"/>
      <w:marRight w:val="0"/>
      <w:marTop w:val="0"/>
      <w:marBottom w:val="0"/>
      <w:divBdr>
        <w:top w:val="none" w:sz="0" w:space="0" w:color="auto"/>
        <w:left w:val="none" w:sz="0" w:space="0" w:color="auto"/>
        <w:bottom w:val="none" w:sz="0" w:space="0" w:color="auto"/>
        <w:right w:val="none" w:sz="0" w:space="0" w:color="auto"/>
      </w:divBdr>
    </w:div>
    <w:div w:id="805512102">
      <w:bodyDiv w:val="1"/>
      <w:marLeft w:val="0"/>
      <w:marRight w:val="0"/>
      <w:marTop w:val="0"/>
      <w:marBottom w:val="0"/>
      <w:divBdr>
        <w:top w:val="none" w:sz="0" w:space="0" w:color="auto"/>
        <w:left w:val="none" w:sz="0" w:space="0" w:color="auto"/>
        <w:bottom w:val="none" w:sz="0" w:space="0" w:color="auto"/>
        <w:right w:val="none" w:sz="0" w:space="0" w:color="auto"/>
      </w:divBdr>
      <w:divsChild>
        <w:div w:id="156045468">
          <w:marLeft w:val="0"/>
          <w:marRight w:val="0"/>
          <w:marTop w:val="0"/>
          <w:marBottom w:val="150"/>
          <w:divBdr>
            <w:top w:val="none" w:sz="0" w:space="0" w:color="auto"/>
            <w:left w:val="none" w:sz="0" w:space="0" w:color="auto"/>
            <w:bottom w:val="none" w:sz="0" w:space="0" w:color="auto"/>
            <w:right w:val="none" w:sz="0" w:space="0" w:color="auto"/>
          </w:divBdr>
        </w:div>
        <w:div w:id="1511214518">
          <w:marLeft w:val="0"/>
          <w:marRight w:val="0"/>
          <w:marTop w:val="0"/>
          <w:marBottom w:val="150"/>
          <w:divBdr>
            <w:top w:val="none" w:sz="0" w:space="0" w:color="auto"/>
            <w:left w:val="none" w:sz="0" w:space="0" w:color="auto"/>
            <w:bottom w:val="none" w:sz="0" w:space="0" w:color="auto"/>
            <w:right w:val="none" w:sz="0" w:space="0" w:color="auto"/>
          </w:divBdr>
        </w:div>
        <w:div w:id="1525558565">
          <w:marLeft w:val="0"/>
          <w:marRight w:val="0"/>
          <w:marTop w:val="0"/>
          <w:marBottom w:val="150"/>
          <w:divBdr>
            <w:top w:val="none" w:sz="0" w:space="0" w:color="auto"/>
            <w:left w:val="none" w:sz="0" w:space="0" w:color="auto"/>
            <w:bottom w:val="none" w:sz="0" w:space="0" w:color="auto"/>
            <w:right w:val="none" w:sz="0" w:space="0" w:color="auto"/>
          </w:divBdr>
        </w:div>
      </w:divsChild>
    </w:div>
    <w:div w:id="869994694">
      <w:bodyDiv w:val="1"/>
      <w:marLeft w:val="0"/>
      <w:marRight w:val="0"/>
      <w:marTop w:val="0"/>
      <w:marBottom w:val="0"/>
      <w:divBdr>
        <w:top w:val="none" w:sz="0" w:space="0" w:color="auto"/>
        <w:left w:val="none" w:sz="0" w:space="0" w:color="auto"/>
        <w:bottom w:val="none" w:sz="0" w:space="0" w:color="auto"/>
        <w:right w:val="none" w:sz="0" w:space="0" w:color="auto"/>
      </w:divBdr>
    </w:div>
    <w:div w:id="929582115">
      <w:bodyDiv w:val="1"/>
      <w:marLeft w:val="0"/>
      <w:marRight w:val="0"/>
      <w:marTop w:val="0"/>
      <w:marBottom w:val="0"/>
      <w:divBdr>
        <w:top w:val="none" w:sz="0" w:space="0" w:color="auto"/>
        <w:left w:val="none" w:sz="0" w:space="0" w:color="auto"/>
        <w:bottom w:val="none" w:sz="0" w:space="0" w:color="auto"/>
        <w:right w:val="none" w:sz="0" w:space="0" w:color="auto"/>
      </w:divBdr>
    </w:div>
    <w:div w:id="940726732">
      <w:marLeft w:val="0"/>
      <w:marRight w:val="0"/>
      <w:marTop w:val="0"/>
      <w:marBottom w:val="0"/>
      <w:divBdr>
        <w:top w:val="none" w:sz="0" w:space="0" w:color="auto"/>
        <w:left w:val="none" w:sz="0" w:space="0" w:color="auto"/>
        <w:bottom w:val="none" w:sz="0" w:space="0" w:color="auto"/>
        <w:right w:val="none" w:sz="0" w:space="0" w:color="auto"/>
      </w:divBdr>
    </w:div>
    <w:div w:id="940726733">
      <w:marLeft w:val="150"/>
      <w:marRight w:val="150"/>
      <w:marTop w:val="150"/>
      <w:marBottom w:val="150"/>
      <w:divBdr>
        <w:top w:val="none" w:sz="0" w:space="0" w:color="auto"/>
        <w:left w:val="none" w:sz="0" w:space="0" w:color="auto"/>
        <w:bottom w:val="none" w:sz="0" w:space="0" w:color="auto"/>
        <w:right w:val="none" w:sz="0" w:space="0" w:color="auto"/>
      </w:divBdr>
      <w:divsChild>
        <w:div w:id="940726737">
          <w:marLeft w:val="0"/>
          <w:marRight w:val="0"/>
          <w:marTop w:val="0"/>
          <w:marBottom w:val="0"/>
          <w:divBdr>
            <w:top w:val="none" w:sz="0" w:space="0" w:color="auto"/>
            <w:left w:val="none" w:sz="0" w:space="0" w:color="auto"/>
            <w:bottom w:val="none" w:sz="0" w:space="0" w:color="auto"/>
            <w:right w:val="none" w:sz="0" w:space="0" w:color="auto"/>
          </w:divBdr>
        </w:div>
        <w:div w:id="940726743">
          <w:marLeft w:val="0"/>
          <w:marRight w:val="0"/>
          <w:marTop w:val="0"/>
          <w:marBottom w:val="0"/>
          <w:divBdr>
            <w:top w:val="none" w:sz="0" w:space="0" w:color="auto"/>
            <w:left w:val="none" w:sz="0" w:space="0" w:color="auto"/>
            <w:bottom w:val="none" w:sz="0" w:space="0" w:color="auto"/>
            <w:right w:val="none" w:sz="0" w:space="0" w:color="auto"/>
          </w:divBdr>
        </w:div>
        <w:div w:id="940726744">
          <w:marLeft w:val="0"/>
          <w:marRight w:val="0"/>
          <w:marTop w:val="0"/>
          <w:marBottom w:val="0"/>
          <w:divBdr>
            <w:top w:val="none" w:sz="0" w:space="0" w:color="auto"/>
            <w:left w:val="none" w:sz="0" w:space="0" w:color="auto"/>
            <w:bottom w:val="none" w:sz="0" w:space="0" w:color="auto"/>
            <w:right w:val="none" w:sz="0" w:space="0" w:color="auto"/>
          </w:divBdr>
        </w:div>
        <w:div w:id="940726749">
          <w:marLeft w:val="0"/>
          <w:marRight w:val="0"/>
          <w:marTop w:val="0"/>
          <w:marBottom w:val="0"/>
          <w:divBdr>
            <w:top w:val="none" w:sz="0" w:space="0" w:color="auto"/>
            <w:left w:val="none" w:sz="0" w:space="0" w:color="auto"/>
            <w:bottom w:val="none" w:sz="0" w:space="0" w:color="auto"/>
            <w:right w:val="none" w:sz="0" w:space="0" w:color="auto"/>
          </w:divBdr>
        </w:div>
        <w:div w:id="940726751">
          <w:marLeft w:val="0"/>
          <w:marRight w:val="0"/>
          <w:marTop w:val="0"/>
          <w:marBottom w:val="0"/>
          <w:divBdr>
            <w:top w:val="none" w:sz="0" w:space="0" w:color="auto"/>
            <w:left w:val="none" w:sz="0" w:space="0" w:color="auto"/>
            <w:bottom w:val="none" w:sz="0" w:space="0" w:color="auto"/>
            <w:right w:val="none" w:sz="0" w:space="0" w:color="auto"/>
          </w:divBdr>
        </w:div>
        <w:div w:id="940726753">
          <w:marLeft w:val="0"/>
          <w:marRight w:val="0"/>
          <w:marTop w:val="0"/>
          <w:marBottom w:val="0"/>
          <w:divBdr>
            <w:top w:val="none" w:sz="0" w:space="0" w:color="auto"/>
            <w:left w:val="none" w:sz="0" w:space="0" w:color="auto"/>
            <w:bottom w:val="none" w:sz="0" w:space="0" w:color="auto"/>
            <w:right w:val="none" w:sz="0" w:space="0" w:color="auto"/>
          </w:divBdr>
        </w:div>
        <w:div w:id="940726756">
          <w:marLeft w:val="0"/>
          <w:marRight w:val="0"/>
          <w:marTop w:val="0"/>
          <w:marBottom w:val="0"/>
          <w:divBdr>
            <w:top w:val="none" w:sz="0" w:space="0" w:color="auto"/>
            <w:left w:val="none" w:sz="0" w:space="0" w:color="auto"/>
            <w:bottom w:val="none" w:sz="0" w:space="0" w:color="auto"/>
            <w:right w:val="none" w:sz="0" w:space="0" w:color="auto"/>
          </w:divBdr>
        </w:div>
      </w:divsChild>
    </w:div>
    <w:div w:id="940726735">
      <w:marLeft w:val="0"/>
      <w:marRight w:val="0"/>
      <w:marTop w:val="0"/>
      <w:marBottom w:val="0"/>
      <w:divBdr>
        <w:top w:val="none" w:sz="0" w:space="0" w:color="auto"/>
        <w:left w:val="none" w:sz="0" w:space="0" w:color="auto"/>
        <w:bottom w:val="none" w:sz="0" w:space="0" w:color="auto"/>
        <w:right w:val="none" w:sz="0" w:space="0" w:color="auto"/>
      </w:divBdr>
      <w:divsChild>
        <w:div w:id="940726742">
          <w:marLeft w:val="0"/>
          <w:marRight w:val="0"/>
          <w:marTop w:val="0"/>
          <w:marBottom w:val="0"/>
          <w:divBdr>
            <w:top w:val="none" w:sz="0" w:space="0" w:color="auto"/>
            <w:left w:val="none" w:sz="0" w:space="0" w:color="auto"/>
            <w:bottom w:val="none" w:sz="0" w:space="0" w:color="auto"/>
            <w:right w:val="none" w:sz="0" w:space="0" w:color="auto"/>
          </w:divBdr>
          <w:divsChild>
            <w:div w:id="940726734">
              <w:marLeft w:val="0"/>
              <w:marRight w:val="0"/>
              <w:marTop w:val="0"/>
              <w:marBottom w:val="0"/>
              <w:divBdr>
                <w:top w:val="none" w:sz="0" w:space="0" w:color="auto"/>
                <w:left w:val="none" w:sz="0" w:space="0" w:color="auto"/>
                <w:bottom w:val="none" w:sz="0" w:space="0" w:color="auto"/>
                <w:right w:val="none" w:sz="0" w:space="0" w:color="auto"/>
              </w:divBdr>
              <w:divsChild>
                <w:div w:id="94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36">
      <w:marLeft w:val="0"/>
      <w:marRight w:val="0"/>
      <w:marTop w:val="0"/>
      <w:marBottom w:val="0"/>
      <w:divBdr>
        <w:top w:val="none" w:sz="0" w:space="0" w:color="auto"/>
        <w:left w:val="none" w:sz="0" w:space="0" w:color="auto"/>
        <w:bottom w:val="none" w:sz="0" w:space="0" w:color="auto"/>
        <w:right w:val="none" w:sz="0" w:space="0" w:color="auto"/>
      </w:divBdr>
    </w:div>
    <w:div w:id="940726738">
      <w:marLeft w:val="0"/>
      <w:marRight w:val="0"/>
      <w:marTop w:val="0"/>
      <w:marBottom w:val="0"/>
      <w:divBdr>
        <w:top w:val="none" w:sz="0" w:space="0" w:color="auto"/>
        <w:left w:val="none" w:sz="0" w:space="0" w:color="auto"/>
        <w:bottom w:val="none" w:sz="0" w:space="0" w:color="auto"/>
        <w:right w:val="none" w:sz="0" w:space="0" w:color="auto"/>
      </w:divBdr>
    </w:div>
    <w:div w:id="940726739">
      <w:marLeft w:val="0"/>
      <w:marRight w:val="0"/>
      <w:marTop w:val="0"/>
      <w:marBottom w:val="0"/>
      <w:divBdr>
        <w:top w:val="none" w:sz="0" w:space="0" w:color="auto"/>
        <w:left w:val="none" w:sz="0" w:space="0" w:color="auto"/>
        <w:bottom w:val="none" w:sz="0" w:space="0" w:color="auto"/>
        <w:right w:val="none" w:sz="0" w:space="0" w:color="auto"/>
      </w:divBdr>
    </w:div>
    <w:div w:id="940726741">
      <w:marLeft w:val="0"/>
      <w:marRight w:val="0"/>
      <w:marTop w:val="0"/>
      <w:marBottom w:val="0"/>
      <w:divBdr>
        <w:top w:val="none" w:sz="0" w:space="0" w:color="auto"/>
        <w:left w:val="none" w:sz="0" w:space="0" w:color="auto"/>
        <w:bottom w:val="none" w:sz="0" w:space="0" w:color="auto"/>
        <w:right w:val="none" w:sz="0" w:space="0" w:color="auto"/>
      </w:divBdr>
    </w:div>
    <w:div w:id="940726746">
      <w:marLeft w:val="0"/>
      <w:marRight w:val="0"/>
      <w:marTop w:val="0"/>
      <w:marBottom w:val="0"/>
      <w:divBdr>
        <w:top w:val="none" w:sz="0" w:space="0" w:color="auto"/>
        <w:left w:val="none" w:sz="0" w:space="0" w:color="auto"/>
        <w:bottom w:val="none" w:sz="0" w:space="0" w:color="auto"/>
        <w:right w:val="none" w:sz="0" w:space="0" w:color="auto"/>
      </w:divBdr>
    </w:div>
    <w:div w:id="940726747">
      <w:marLeft w:val="0"/>
      <w:marRight w:val="0"/>
      <w:marTop w:val="0"/>
      <w:marBottom w:val="0"/>
      <w:divBdr>
        <w:top w:val="none" w:sz="0" w:space="0" w:color="auto"/>
        <w:left w:val="none" w:sz="0" w:space="0" w:color="auto"/>
        <w:bottom w:val="none" w:sz="0" w:space="0" w:color="auto"/>
        <w:right w:val="none" w:sz="0" w:space="0" w:color="auto"/>
      </w:divBdr>
    </w:div>
    <w:div w:id="940726748">
      <w:marLeft w:val="0"/>
      <w:marRight w:val="0"/>
      <w:marTop w:val="0"/>
      <w:marBottom w:val="0"/>
      <w:divBdr>
        <w:top w:val="none" w:sz="0" w:space="0" w:color="auto"/>
        <w:left w:val="none" w:sz="0" w:space="0" w:color="auto"/>
        <w:bottom w:val="none" w:sz="0" w:space="0" w:color="auto"/>
        <w:right w:val="none" w:sz="0" w:space="0" w:color="auto"/>
      </w:divBdr>
    </w:div>
    <w:div w:id="940726750">
      <w:marLeft w:val="0"/>
      <w:marRight w:val="0"/>
      <w:marTop w:val="0"/>
      <w:marBottom w:val="0"/>
      <w:divBdr>
        <w:top w:val="none" w:sz="0" w:space="0" w:color="auto"/>
        <w:left w:val="none" w:sz="0" w:space="0" w:color="auto"/>
        <w:bottom w:val="none" w:sz="0" w:space="0" w:color="auto"/>
        <w:right w:val="none" w:sz="0" w:space="0" w:color="auto"/>
      </w:divBdr>
    </w:div>
    <w:div w:id="940726752">
      <w:marLeft w:val="0"/>
      <w:marRight w:val="0"/>
      <w:marTop w:val="0"/>
      <w:marBottom w:val="0"/>
      <w:divBdr>
        <w:top w:val="none" w:sz="0" w:space="0" w:color="auto"/>
        <w:left w:val="none" w:sz="0" w:space="0" w:color="auto"/>
        <w:bottom w:val="none" w:sz="0" w:space="0" w:color="auto"/>
        <w:right w:val="none" w:sz="0" w:space="0" w:color="auto"/>
      </w:divBdr>
      <w:divsChild>
        <w:div w:id="940726740">
          <w:marLeft w:val="0"/>
          <w:marRight w:val="0"/>
          <w:marTop w:val="0"/>
          <w:marBottom w:val="0"/>
          <w:divBdr>
            <w:top w:val="none" w:sz="0" w:space="0" w:color="auto"/>
            <w:left w:val="none" w:sz="0" w:space="0" w:color="auto"/>
            <w:bottom w:val="none" w:sz="0" w:space="0" w:color="auto"/>
            <w:right w:val="none" w:sz="0" w:space="0" w:color="auto"/>
          </w:divBdr>
          <w:divsChild>
            <w:div w:id="940726755">
              <w:marLeft w:val="0"/>
              <w:marRight w:val="0"/>
              <w:marTop w:val="0"/>
              <w:marBottom w:val="0"/>
              <w:divBdr>
                <w:top w:val="none" w:sz="0" w:space="0" w:color="auto"/>
                <w:left w:val="none" w:sz="0" w:space="0" w:color="auto"/>
                <w:bottom w:val="none" w:sz="0" w:space="0" w:color="auto"/>
                <w:right w:val="none" w:sz="0" w:space="0" w:color="auto"/>
              </w:divBdr>
              <w:divsChild>
                <w:div w:id="940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54">
      <w:marLeft w:val="0"/>
      <w:marRight w:val="0"/>
      <w:marTop w:val="0"/>
      <w:marBottom w:val="0"/>
      <w:divBdr>
        <w:top w:val="none" w:sz="0" w:space="0" w:color="auto"/>
        <w:left w:val="none" w:sz="0" w:space="0" w:color="auto"/>
        <w:bottom w:val="none" w:sz="0" w:space="0" w:color="auto"/>
        <w:right w:val="none" w:sz="0" w:space="0" w:color="auto"/>
      </w:divBdr>
    </w:div>
    <w:div w:id="940726758">
      <w:marLeft w:val="0"/>
      <w:marRight w:val="0"/>
      <w:marTop w:val="0"/>
      <w:marBottom w:val="0"/>
      <w:divBdr>
        <w:top w:val="none" w:sz="0" w:space="0" w:color="auto"/>
        <w:left w:val="none" w:sz="0" w:space="0" w:color="auto"/>
        <w:bottom w:val="none" w:sz="0" w:space="0" w:color="auto"/>
        <w:right w:val="none" w:sz="0" w:space="0" w:color="auto"/>
      </w:divBdr>
    </w:div>
    <w:div w:id="940726778">
      <w:marLeft w:val="0"/>
      <w:marRight w:val="0"/>
      <w:marTop w:val="0"/>
      <w:marBottom w:val="0"/>
      <w:divBdr>
        <w:top w:val="none" w:sz="0" w:space="0" w:color="auto"/>
        <w:left w:val="none" w:sz="0" w:space="0" w:color="auto"/>
        <w:bottom w:val="none" w:sz="0" w:space="0" w:color="auto"/>
        <w:right w:val="none" w:sz="0" w:space="0" w:color="auto"/>
      </w:divBdr>
    </w:div>
    <w:div w:id="940726779">
      <w:marLeft w:val="0"/>
      <w:marRight w:val="0"/>
      <w:marTop w:val="0"/>
      <w:marBottom w:val="0"/>
      <w:divBdr>
        <w:top w:val="none" w:sz="0" w:space="0" w:color="auto"/>
        <w:left w:val="none" w:sz="0" w:space="0" w:color="auto"/>
        <w:bottom w:val="none" w:sz="0" w:space="0" w:color="auto"/>
        <w:right w:val="none" w:sz="0" w:space="0" w:color="auto"/>
      </w:divBdr>
      <w:divsChild>
        <w:div w:id="940726795">
          <w:marLeft w:val="0"/>
          <w:marRight w:val="0"/>
          <w:marTop w:val="0"/>
          <w:marBottom w:val="0"/>
          <w:divBdr>
            <w:top w:val="none" w:sz="0" w:space="0" w:color="auto"/>
            <w:left w:val="none" w:sz="0" w:space="0" w:color="auto"/>
            <w:bottom w:val="none" w:sz="0" w:space="0" w:color="auto"/>
            <w:right w:val="none" w:sz="0" w:space="0" w:color="auto"/>
          </w:divBdr>
          <w:divsChild>
            <w:div w:id="9407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785">
      <w:marLeft w:val="0"/>
      <w:marRight w:val="0"/>
      <w:marTop w:val="0"/>
      <w:marBottom w:val="0"/>
      <w:divBdr>
        <w:top w:val="none" w:sz="0" w:space="0" w:color="auto"/>
        <w:left w:val="none" w:sz="0" w:space="0" w:color="auto"/>
        <w:bottom w:val="none" w:sz="0" w:space="0" w:color="auto"/>
        <w:right w:val="none" w:sz="0" w:space="0" w:color="auto"/>
      </w:divBdr>
      <w:divsChild>
        <w:div w:id="940726784">
          <w:marLeft w:val="0"/>
          <w:marRight w:val="0"/>
          <w:marTop w:val="0"/>
          <w:marBottom w:val="0"/>
          <w:divBdr>
            <w:top w:val="none" w:sz="0" w:space="0" w:color="auto"/>
            <w:left w:val="none" w:sz="0" w:space="0" w:color="auto"/>
            <w:bottom w:val="none" w:sz="0" w:space="0" w:color="auto"/>
            <w:right w:val="none" w:sz="0" w:space="0" w:color="auto"/>
          </w:divBdr>
          <w:divsChild>
            <w:div w:id="940726759">
              <w:marLeft w:val="0"/>
              <w:marRight w:val="0"/>
              <w:marTop w:val="0"/>
              <w:marBottom w:val="0"/>
              <w:divBdr>
                <w:top w:val="none" w:sz="0" w:space="0" w:color="auto"/>
                <w:left w:val="none" w:sz="0" w:space="0" w:color="auto"/>
                <w:bottom w:val="none" w:sz="0" w:space="0" w:color="auto"/>
                <w:right w:val="none" w:sz="0" w:space="0" w:color="auto"/>
              </w:divBdr>
              <w:divsChild>
                <w:div w:id="940726773">
                  <w:marLeft w:val="0"/>
                  <w:marRight w:val="0"/>
                  <w:marTop w:val="0"/>
                  <w:marBottom w:val="0"/>
                  <w:divBdr>
                    <w:top w:val="none" w:sz="0" w:space="0" w:color="auto"/>
                    <w:left w:val="none" w:sz="0" w:space="0" w:color="auto"/>
                    <w:bottom w:val="none" w:sz="0" w:space="0" w:color="auto"/>
                    <w:right w:val="none" w:sz="0" w:space="0" w:color="auto"/>
                  </w:divBdr>
                  <w:divsChild>
                    <w:div w:id="940726788">
                      <w:marLeft w:val="0"/>
                      <w:marRight w:val="0"/>
                      <w:marTop w:val="0"/>
                      <w:marBottom w:val="0"/>
                      <w:divBdr>
                        <w:top w:val="none" w:sz="0" w:space="0" w:color="auto"/>
                        <w:left w:val="none" w:sz="0" w:space="0" w:color="auto"/>
                        <w:bottom w:val="none" w:sz="0" w:space="0" w:color="auto"/>
                        <w:right w:val="none" w:sz="0" w:space="0" w:color="auto"/>
                      </w:divBdr>
                      <w:divsChild>
                        <w:div w:id="940726787">
                          <w:marLeft w:val="0"/>
                          <w:marRight w:val="0"/>
                          <w:marTop w:val="0"/>
                          <w:marBottom w:val="0"/>
                          <w:divBdr>
                            <w:top w:val="none" w:sz="0" w:space="0" w:color="auto"/>
                            <w:left w:val="none" w:sz="0" w:space="0" w:color="auto"/>
                            <w:bottom w:val="none" w:sz="0" w:space="0" w:color="auto"/>
                            <w:right w:val="none" w:sz="0" w:space="0" w:color="auto"/>
                          </w:divBdr>
                          <w:divsChild>
                            <w:div w:id="940726790">
                              <w:marLeft w:val="0"/>
                              <w:marRight w:val="0"/>
                              <w:marTop w:val="0"/>
                              <w:marBottom w:val="0"/>
                              <w:divBdr>
                                <w:top w:val="none" w:sz="0" w:space="0" w:color="auto"/>
                                <w:left w:val="none" w:sz="0" w:space="0" w:color="auto"/>
                                <w:bottom w:val="none" w:sz="0" w:space="0" w:color="auto"/>
                                <w:right w:val="none" w:sz="0" w:space="0" w:color="auto"/>
                              </w:divBdr>
                              <w:divsChild>
                                <w:div w:id="940726781">
                                  <w:marLeft w:val="0"/>
                                  <w:marRight w:val="0"/>
                                  <w:marTop w:val="0"/>
                                  <w:marBottom w:val="0"/>
                                  <w:divBdr>
                                    <w:top w:val="none" w:sz="0" w:space="0" w:color="auto"/>
                                    <w:left w:val="none" w:sz="0" w:space="0" w:color="auto"/>
                                    <w:bottom w:val="none" w:sz="0" w:space="0" w:color="auto"/>
                                    <w:right w:val="none" w:sz="0" w:space="0" w:color="auto"/>
                                  </w:divBdr>
                                  <w:divsChild>
                                    <w:div w:id="940726760">
                                      <w:marLeft w:val="0"/>
                                      <w:marRight w:val="0"/>
                                      <w:marTop w:val="0"/>
                                      <w:marBottom w:val="0"/>
                                      <w:divBdr>
                                        <w:top w:val="none" w:sz="0" w:space="0" w:color="auto"/>
                                        <w:left w:val="none" w:sz="0" w:space="0" w:color="auto"/>
                                        <w:bottom w:val="none" w:sz="0" w:space="0" w:color="auto"/>
                                        <w:right w:val="none" w:sz="0" w:space="0" w:color="auto"/>
                                      </w:divBdr>
                                      <w:divsChild>
                                        <w:div w:id="940726729">
                                          <w:marLeft w:val="0"/>
                                          <w:marRight w:val="0"/>
                                          <w:marTop w:val="0"/>
                                          <w:marBottom w:val="0"/>
                                          <w:divBdr>
                                            <w:top w:val="none" w:sz="0" w:space="0" w:color="auto"/>
                                            <w:left w:val="none" w:sz="0" w:space="0" w:color="auto"/>
                                            <w:bottom w:val="none" w:sz="0" w:space="0" w:color="auto"/>
                                            <w:right w:val="none" w:sz="0" w:space="0" w:color="auto"/>
                                          </w:divBdr>
                                          <w:divsChild>
                                            <w:div w:id="940726725">
                                              <w:marLeft w:val="0"/>
                                              <w:marRight w:val="0"/>
                                              <w:marTop w:val="0"/>
                                              <w:marBottom w:val="0"/>
                                              <w:divBdr>
                                                <w:top w:val="none" w:sz="0" w:space="0" w:color="auto"/>
                                                <w:left w:val="none" w:sz="0" w:space="0" w:color="auto"/>
                                                <w:bottom w:val="none" w:sz="0" w:space="0" w:color="auto"/>
                                                <w:right w:val="none" w:sz="0" w:space="0" w:color="auto"/>
                                              </w:divBdr>
                                              <w:divsChild>
                                                <w:div w:id="940726724">
                                                  <w:marLeft w:val="0"/>
                                                  <w:marRight w:val="0"/>
                                                  <w:marTop w:val="0"/>
                                                  <w:marBottom w:val="0"/>
                                                  <w:divBdr>
                                                    <w:top w:val="none" w:sz="0" w:space="0" w:color="auto"/>
                                                    <w:left w:val="none" w:sz="0" w:space="0" w:color="auto"/>
                                                    <w:bottom w:val="none" w:sz="0" w:space="0" w:color="auto"/>
                                                    <w:right w:val="none" w:sz="0" w:space="0" w:color="auto"/>
                                                  </w:divBdr>
                                                  <w:divsChild>
                                                    <w:div w:id="940726765">
                                                      <w:marLeft w:val="0"/>
                                                      <w:marRight w:val="0"/>
                                                      <w:marTop w:val="0"/>
                                                      <w:marBottom w:val="0"/>
                                                      <w:divBdr>
                                                        <w:top w:val="none" w:sz="0" w:space="0" w:color="auto"/>
                                                        <w:left w:val="none" w:sz="0" w:space="0" w:color="auto"/>
                                                        <w:bottom w:val="none" w:sz="0" w:space="0" w:color="auto"/>
                                                        <w:right w:val="none" w:sz="0" w:space="0" w:color="auto"/>
                                                      </w:divBdr>
                                                      <w:divsChild>
                                                        <w:div w:id="940726726">
                                                          <w:marLeft w:val="0"/>
                                                          <w:marRight w:val="0"/>
                                                          <w:marTop w:val="0"/>
                                                          <w:marBottom w:val="0"/>
                                                          <w:divBdr>
                                                            <w:top w:val="none" w:sz="0" w:space="0" w:color="auto"/>
                                                            <w:left w:val="none" w:sz="0" w:space="0" w:color="auto"/>
                                                            <w:bottom w:val="none" w:sz="0" w:space="0" w:color="auto"/>
                                                            <w:right w:val="none" w:sz="0" w:space="0" w:color="auto"/>
                                                          </w:divBdr>
                                                        </w:div>
                                                        <w:div w:id="940726727">
                                                          <w:marLeft w:val="0"/>
                                                          <w:marRight w:val="0"/>
                                                          <w:marTop w:val="0"/>
                                                          <w:marBottom w:val="0"/>
                                                          <w:divBdr>
                                                            <w:top w:val="none" w:sz="0" w:space="0" w:color="auto"/>
                                                            <w:left w:val="none" w:sz="0" w:space="0" w:color="auto"/>
                                                            <w:bottom w:val="none" w:sz="0" w:space="0" w:color="auto"/>
                                                            <w:right w:val="none" w:sz="0" w:space="0" w:color="auto"/>
                                                          </w:divBdr>
                                                        </w:div>
                                                        <w:div w:id="940726728">
                                                          <w:marLeft w:val="0"/>
                                                          <w:marRight w:val="0"/>
                                                          <w:marTop w:val="0"/>
                                                          <w:marBottom w:val="0"/>
                                                          <w:divBdr>
                                                            <w:top w:val="none" w:sz="0" w:space="0" w:color="auto"/>
                                                            <w:left w:val="none" w:sz="0" w:space="0" w:color="auto"/>
                                                            <w:bottom w:val="none" w:sz="0" w:space="0" w:color="auto"/>
                                                            <w:right w:val="none" w:sz="0" w:space="0" w:color="auto"/>
                                                          </w:divBdr>
                                                        </w:div>
                                                        <w:div w:id="940726730">
                                                          <w:marLeft w:val="0"/>
                                                          <w:marRight w:val="0"/>
                                                          <w:marTop w:val="0"/>
                                                          <w:marBottom w:val="0"/>
                                                          <w:divBdr>
                                                            <w:top w:val="none" w:sz="0" w:space="0" w:color="auto"/>
                                                            <w:left w:val="none" w:sz="0" w:space="0" w:color="auto"/>
                                                            <w:bottom w:val="none" w:sz="0" w:space="0" w:color="auto"/>
                                                            <w:right w:val="none" w:sz="0" w:space="0" w:color="auto"/>
                                                          </w:divBdr>
                                                        </w:div>
                                                        <w:div w:id="940726731">
                                                          <w:marLeft w:val="0"/>
                                                          <w:marRight w:val="0"/>
                                                          <w:marTop w:val="0"/>
                                                          <w:marBottom w:val="0"/>
                                                          <w:divBdr>
                                                            <w:top w:val="none" w:sz="0" w:space="0" w:color="auto"/>
                                                            <w:left w:val="none" w:sz="0" w:space="0" w:color="auto"/>
                                                            <w:bottom w:val="none" w:sz="0" w:space="0" w:color="auto"/>
                                                            <w:right w:val="none" w:sz="0" w:space="0" w:color="auto"/>
                                                          </w:divBdr>
                                                        </w:div>
                                                        <w:div w:id="940726761">
                                                          <w:marLeft w:val="0"/>
                                                          <w:marRight w:val="0"/>
                                                          <w:marTop w:val="0"/>
                                                          <w:marBottom w:val="0"/>
                                                          <w:divBdr>
                                                            <w:top w:val="none" w:sz="0" w:space="0" w:color="auto"/>
                                                            <w:left w:val="none" w:sz="0" w:space="0" w:color="auto"/>
                                                            <w:bottom w:val="none" w:sz="0" w:space="0" w:color="auto"/>
                                                            <w:right w:val="none" w:sz="0" w:space="0" w:color="auto"/>
                                                          </w:divBdr>
                                                        </w:div>
                                                        <w:div w:id="940726762">
                                                          <w:marLeft w:val="0"/>
                                                          <w:marRight w:val="0"/>
                                                          <w:marTop w:val="0"/>
                                                          <w:marBottom w:val="0"/>
                                                          <w:divBdr>
                                                            <w:top w:val="none" w:sz="0" w:space="0" w:color="auto"/>
                                                            <w:left w:val="none" w:sz="0" w:space="0" w:color="auto"/>
                                                            <w:bottom w:val="none" w:sz="0" w:space="0" w:color="auto"/>
                                                            <w:right w:val="none" w:sz="0" w:space="0" w:color="auto"/>
                                                          </w:divBdr>
                                                        </w:div>
                                                        <w:div w:id="940726763">
                                                          <w:marLeft w:val="0"/>
                                                          <w:marRight w:val="0"/>
                                                          <w:marTop w:val="0"/>
                                                          <w:marBottom w:val="0"/>
                                                          <w:divBdr>
                                                            <w:top w:val="none" w:sz="0" w:space="0" w:color="auto"/>
                                                            <w:left w:val="none" w:sz="0" w:space="0" w:color="auto"/>
                                                            <w:bottom w:val="none" w:sz="0" w:space="0" w:color="auto"/>
                                                            <w:right w:val="none" w:sz="0" w:space="0" w:color="auto"/>
                                                          </w:divBdr>
                                                        </w:div>
                                                        <w:div w:id="940726764">
                                                          <w:marLeft w:val="0"/>
                                                          <w:marRight w:val="0"/>
                                                          <w:marTop w:val="0"/>
                                                          <w:marBottom w:val="0"/>
                                                          <w:divBdr>
                                                            <w:top w:val="none" w:sz="0" w:space="0" w:color="auto"/>
                                                            <w:left w:val="none" w:sz="0" w:space="0" w:color="auto"/>
                                                            <w:bottom w:val="none" w:sz="0" w:space="0" w:color="auto"/>
                                                            <w:right w:val="none" w:sz="0" w:space="0" w:color="auto"/>
                                                          </w:divBdr>
                                                        </w:div>
                                                        <w:div w:id="940726766">
                                                          <w:marLeft w:val="0"/>
                                                          <w:marRight w:val="0"/>
                                                          <w:marTop w:val="0"/>
                                                          <w:marBottom w:val="0"/>
                                                          <w:divBdr>
                                                            <w:top w:val="none" w:sz="0" w:space="0" w:color="auto"/>
                                                            <w:left w:val="none" w:sz="0" w:space="0" w:color="auto"/>
                                                            <w:bottom w:val="none" w:sz="0" w:space="0" w:color="auto"/>
                                                            <w:right w:val="none" w:sz="0" w:space="0" w:color="auto"/>
                                                          </w:divBdr>
                                                        </w:div>
                                                        <w:div w:id="940726767">
                                                          <w:marLeft w:val="0"/>
                                                          <w:marRight w:val="0"/>
                                                          <w:marTop w:val="0"/>
                                                          <w:marBottom w:val="0"/>
                                                          <w:divBdr>
                                                            <w:top w:val="none" w:sz="0" w:space="0" w:color="auto"/>
                                                            <w:left w:val="none" w:sz="0" w:space="0" w:color="auto"/>
                                                            <w:bottom w:val="none" w:sz="0" w:space="0" w:color="auto"/>
                                                            <w:right w:val="none" w:sz="0" w:space="0" w:color="auto"/>
                                                          </w:divBdr>
                                                        </w:div>
                                                        <w:div w:id="940726768">
                                                          <w:marLeft w:val="0"/>
                                                          <w:marRight w:val="0"/>
                                                          <w:marTop w:val="0"/>
                                                          <w:marBottom w:val="0"/>
                                                          <w:divBdr>
                                                            <w:top w:val="none" w:sz="0" w:space="0" w:color="auto"/>
                                                            <w:left w:val="none" w:sz="0" w:space="0" w:color="auto"/>
                                                            <w:bottom w:val="none" w:sz="0" w:space="0" w:color="auto"/>
                                                            <w:right w:val="none" w:sz="0" w:space="0" w:color="auto"/>
                                                          </w:divBdr>
                                                        </w:div>
                                                        <w:div w:id="940726769">
                                                          <w:marLeft w:val="0"/>
                                                          <w:marRight w:val="0"/>
                                                          <w:marTop w:val="0"/>
                                                          <w:marBottom w:val="0"/>
                                                          <w:divBdr>
                                                            <w:top w:val="none" w:sz="0" w:space="0" w:color="auto"/>
                                                            <w:left w:val="none" w:sz="0" w:space="0" w:color="auto"/>
                                                            <w:bottom w:val="none" w:sz="0" w:space="0" w:color="auto"/>
                                                            <w:right w:val="none" w:sz="0" w:space="0" w:color="auto"/>
                                                          </w:divBdr>
                                                        </w:div>
                                                        <w:div w:id="940726770">
                                                          <w:marLeft w:val="0"/>
                                                          <w:marRight w:val="0"/>
                                                          <w:marTop w:val="0"/>
                                                          <w:marBottom w:val="0"/>
                                                          <w:divBdr>
                                                            <w:top w:val="none" w:sz="0" w:space="0" w:color="auto"/>
                                                            <w:left w:val="none" w:sz="0" w:space="0" w:color="auto"/>
                                                            <w:bottom w:val="none" w:sz="0" w:space="0" w:color="auto"/>
                                                            <w:right w:val="none" w:sz="0" w:space="0" w:color="auto"/>
                                                          </w:divBdr>
                                                        </w:div>
                                                        <w:div w:id="940726772">
                                                          <w:marLeft w:val="0"/>
                                                          <w:marRight w:val="0"/>
                                                          <w:marTop w:val="0"/>
                                                          <w:marBottom w:val="0"/>
                                                          <w:divBdr>
                                                            <w:top w:val="none" w:sz="0" w:space="0" w:color="auto"/>
                                                            <w:left w:val="none" w:sz="0" w:space="0" w:color="auto"/>
                                                            <w:bottom w:val="none" w:sz="0" w:space="0" w:color="auto"/>
                                                            <w:right w:val="none" w:sz="0" w:space="0" w:color="auto"/>
                                                          </w:divBdr>
                                                        </w:div>
                                                        <w:div w:id="940726774">
                                                          <w:marLeft w:val="0"/>
                                                          <w:marRight w:val="0"/>
                                                          <w:marTop w:val="0"/>
                                                          <w:marBottom w:val="0"/>
                                                          <w:divBdr>
                                                            <w:top w:val="none" w:sz="0" w:space="0" w:color="auto"/>
                                                            <w:left w:val="none" w:sz="0" w:space="0" w:color="auto"/>
                                                            <w:bottom w:val="none" w:sz="0" w:space="0" w:color="auto"/>
                                                            <w:right w:val="none" w:sz="0" w:space="0" w:color="auto"/>
                                                          </w:divBdr>
                                                        </w:div>
                                                        <w:div w:id="940726775">
                                                          <w:marLeft w:val="0"/>
                                                          <w:marRight w:val="0"/>
                                                          <w:marTop w:val="0"/>
                                                          <w:marBottom w:val="0"/>
                                                          <w:divBdr>
                                                            <w:top w:val="none" w:sz="0" w:space="0" w:color="auto"/>
                                                            <w:left w:val="none" w:sz="0" w:space="0" w:color="auto"/>
                                                            <w:bottom w:val="none" w:sz="0" w:space="0" w:color="auto"/>
                                                            <w:right w:val="none" w:sz="0" w:space="0" w:color="auto"/>
                                                          </w:divBdr>
                                                        </w:div>
                                                        <w:div w:id="940726776">
                                                          <w:marLeft w:val="0"/>
                                                          <w:marRight w:val="0"/>
                                                          <w:marTop w:val="0"/>
                                                          <w:marBottom w:val="0"/>
                                                          <w:divBdr>
                                                            <w:top w:val="none" w:sz="0" w:space="0" w:color="auto"/>
                                                            <w:left w:val="none" w:sz="0" w:space="0" w:color="auto"/>
                                                            <w:bottom w:val="none" w:sz="0" w:space="0" w:color="auto"/>
                                                            <w:right w:val="none" w:sz="0" w:space="0" w:color="auto"/>
                                                          </w:divBdr>
                                                        </w:div>
                                                        <w:div w:id="940726777">
                                                          <w:marLeft w:val="0"/>
                                                          <w:marRight w:val="0"/>
                                                          <w:marTop w:val="0"/>
                                                          <w:marBottom w:val="0"/>
                                                          <w:divBdr>
                                                            <w:top w:val="none" w:sz="0" w:space="0" w:color="auto"/>
                                                            <w:left w:val="none" w:sz="0" w:space="0" w:color="auto"/>
                                                            <w:bottom w:val="none" w:sz="0" w:space="0" w:color="auto"/>
                                                            <w:right w:val="none" w:sz="0" w:space="0" w:color="auto"/>
                                                          </w:divBdr>
                                                        </w:div>
                                                        <w:div w:id="940726780">
                                                          <w:marLeft w:val="0"/>
                                                          <w:marRight w:val="0"/>
                                                          <w:marTop w:val="0"/>
                                                          <w:marBottom w:val="0"/>
                                                          <w:divBdr>
                                                            <w:top w:val="none" w:sz="0" w:space="0" w:color="auto"/>
                                                            <w:left w:val="none" w:sz="0" w:space="0" w:color="auto"/>
                                                            <w:bottom w:val="none" w:sz="0" w:space="0" w:color="auto"/>
                                                            <w:right w:val="none" w:sz="0" w:space="0" w:color="auto"/>
                                                          </w:divBdr>
                                                        </w:div>
                                                        <w:div w:id="940726782">
                                                          <w:marLeft w:val="0"/>
                                                          <w:marRight w:val="0"/>
                                                          <w:marTop w:val="0"/>
                                                          <w:marBottom w:val="0"/>
                                                          <w:divBdr>
                                                            <w:top w:val="none" w:sz="0" w:space="0" w:color="auto"/>
                                                            <w:left w:val="none" w:sz="0" w:space="0" w:color="auto"/>
                                                            <w:bottom w:val="none" w:sz="0" w:space="0" w:color="auto"/>
                                                            <w:right w:val="none" w:sz="0" w:space="0" w:color="auto"/>
                                                          </w:divBdr>
                                                        </w:div>
                                                        <w:div w:id="940726783">
                                                          <w:marLeft w:val="0"/>
                                                          <w:marRight w:val="0"/>
                                                          <w:marTop w:val="0"/>
                                                          <w:marBottom w:val="0"/>
                                                          <w:divBdr>
                                                            <w:top w:val="none" w:sz="0" w:space="0" w:color="auto"/>
                                                            <w:left w:val="none" w:sz="0" w:space="0" w:color="auto"/>
                                                            <w:bottom w:val="none" w:sz="0" w:space="0" w:color="auto"/>
                                                            <w:right w:val="none" w:sz="0" w:space="0" w:color="auto"/>
                                                          </w:divBdr>
                                                        </w:div>
                                                        <w:div w:id="940726786">
                                                          <w:marLeft w:val="0"/>
                                                          <w:marRight w:val="0"/>
                                                          <w:marTop w:val="0"/>
                                                          <w:marBottom w:val="0"/>
                                                          <w:divBdr>
                                                            <w:top w:val="none" w:sz="0" w:space="0" w:color="auto"/>
                                                            <w:left w:val="none" w:sz="0" w:space="0" w:color="auto"/>
                                                            <w:bottom w:val="none" w:sz="0" w:space="0" w:color="auto"/>
                                                            <w:right w:val="none" w:sz="0" w:space="0" w:color="auto"/>
                                                          </w:divBdr>
                                                        </w:div>
                                                        <w:div w:id="940726789">
                                                          <w:marLeft w:val="0"/>
                                                          <w:marRight w:val="0"/>
                                                          <w:marTop w:val="0"/>
                                                          <w:marBottom w:val="0"/>
                                                          <w:divBdr>
                                                            <w:top w:val="none" w:sz="0" w:space="0" w:color="auto"/>
                                                            <w:left w:val="none" w:sz="0" w:space="0" w:color="auto"/>
                                                            <w:bottom w:val="none" w:sz="0" w:space="0" w:color="auto"/>
                                                            <w:right w:val="none" w:sz="0" w:space="0" w:color="auto"/>
                                                          </w:divBdr>
                                                        </w:div>
                                                        <w:div w:id="940726791">
                                                          <w:marLeft w:val="0"/>
                                                          <w:marRight w:val="0"/>
                                                          <w:marTop w:val="0"/>
                                                          <w:marBottom w:val="0"/>
                                                          <w:divBdr>
                                                            <w:top w:val="none" w:sz="0" w:space="0" w:color="auto"/>
                                                            <w:left w:val="none" w:sz="0" w:space="0" w:color="auto"/>
                                                            <w:bottom w:val="none" w:sz="0" w:space="0" w:color="auto"/>
                                                            <w:right w:val="none" w:sz="0" w:space="0" w:color="auto"/>
                                                          </w:divBdr>
                                                        </w:div>
                                                        <w:div w:id="940726792">
                                                          <w:marLeft w:val="0"/>
                                                          <w:marRight w:val="0"/>
                                                          <w:marTop w:val="0"/>
                                                          <w:marBottom w:val="0"/>
                                                          <w:divBdr>
                                                            <w:top w:val="none" w:sz="0" w:space="0" w:color="auto"/>
                                                            <w:left w:val="none" w:sz="0" w:space="0" w:color="auto"/>
                                                            <w:bottom w:val="none" w:sz="0" w:space="0" w:color="auto"/>
                                                            <w:right w:val="none" w:sz="0" w:space="0" w:color="auto"/>
                                                          </w:divBdr>
                                                        </w:div>
                                                        <w:div w:id="940726793">
                                                          <w:marLeft w:val="0"/>
                                                          <w:marRight w:val="0"/>
                                                          <w:marTop w:val="0"/>
                                                          <w:marBottom w:val="0"/>
                                                          <w:divBdr>
                                                            <w:top w:val="none" w:sz="0" w:space="0" w:color="auto"/>
                                                            <w:left w:val="none" w:sz="0" w:space="0" w:color="auto"/>
                                                            <w:bottom w:val="none" w:sz="0" w:space="0" w:color="auto"/>
                                                            <w:right w:val="none" w:sz="0" w:space="0" w:color="auto"/>
                                                          </w:divBdr>
                                                        </w:div>
                                                        <w:div w:id="940726794">
                                                          <w:marLeft w:val="0"/>
                                                          <w:marRight w:val="0"/>
                                                          <w:marTop w:val="0"/>
                                                          <w:marBottom w:val="0"/>
                                                          <w:divBdr>
                                                            <w:top w:val="none" w:sz="0" w:space="0" w:color="auto"/>
                                                            <w:left w:val="none" w:sz="0" w:space="0" w:color="auto"/>
                                                            <w:bottom w:val="none" w:sz="0" w:space="0" w:color="auto"/>
                                                            <w:right w:val="none" w:sz="0" w:space="0" w:color="auto"/>
                                                          </w:divBdr>
                                                        </w:div>
                                                        <w:div w:id="940726796">
                                                          <w:marLeft w:val="0"/>
                                                          <w:marRight w:val="0"/>
                                                          <w:marTop w:val="0"/>
                                                          <w:marBottom w:val="0"/>
                                                          <w:divBdr>
                                                            <w:top w:val="none" w:sz="0" w:space="0" w:color="auto"/>
                                                            <w:left w:val="none" w:sz="0" w:space="0" w:color="auto"/>
                                                            <w:bottom w:val="none" w:sz="0" w:space="0" w:color="auto"/>
                                                            <w:right w:val="none" w:sz="0" w:space="0" w:color="auto"/>
                                                          </w:divBdr>
                                                        </w:div>
                                                        <w:div w:id="940726797">
                                                          <w:marLeft w:val="0"/>
                                                          <w:marRight w:val="0"/>
                                                          <w:marTop w:val="0"/>
                                                          <w:marBottom w:val="0"/>
                                                          <w:divBdr>
                                                            <w:top w:val="none" w:sz="0" w:space="0" w:color="auto"/>
                                                            <w:left w:val="none" w:sz="0" w:space="0" w:color="auto"/>
                                                            <w:bottom w:val="none" w:sz="0" w:space="0" w:color="auto"/>
                                                            <w:right w:val="none" w:sz="0" w:space="0" w:color="auto"/>
                                                          </w:divBdr>
                                                        </w:div>
                                                        <w:div w:id="940726798">
                                                          <w:marLeft w:val="0"/>
                                                          <w:marRight w:val="0"/>
                                                          <w:marTop w:val="0"/>
                                                          <w:marBottom w:val="0"/>
                                                          <w:divBdr>
                                                            <w:top w:val="none" w:sz="0" w:space="0" w:color="auto"/>
                                                            <w:left w:val="none" w:sz="0" w:space="0" w:color="auto"/>
                                                            <w:bottom w:val="none" w:sz="0" w:space="0" w:color="auto"/>
                                                            <w:right w:val="none" w:sz="0" w:space="0" w:color="auto"/>
                                                          </w:divBdr>
                                                        </w:div>
                                                        <w:div w:id="940726799">
                                                          <w:marLeft w:val="0"/>
                                                          <w:marRight w:val="0"/>
                                                          <w:marTop w:val="0"/>
                                                          <w:marBottom w:val="0"/>
                                                          <w:divBdr>
                                                            <w:top w:val="none" w:sz="0" w:space="0" w:color="auto"/>
                                                            <w:left w:val="none" w:sz="0" w:space="0" w:color="auto"/>
                                                            <w:bottom w:val="none" w:sz="0" w:space="0" w:color="auto"/>
                                                            <w:right w:val="none" w:sz="0" w:space="0" w:color="auto"/>
                                                          </w:divBdr>
                                                        </w:div>
                                                        <w:div w:id="940726800">
                                                          <w:marLeft w:val="0"/>
                                                          <w:marRight w:val="0"/>
                                                          <w:marTop w:val="0"/>
                                                          <w:marBottom w:val="0"/>
                                                          <w:divBdr>
                                                            <w:top w:val="none" w:sz="0" w:space="0" w:color="auto"/>
                                                            <w:left w:val="none" w:sz="0" w:space="0" w:color="auto"/>
                                                            <w:bottom w:val="none" w:sz="0" w:space="0" w:color="auto"/>
                                                            <w:right w:val="none" w:sz="0" w:space="0" w:color="auto"/>
                                                          </w:divBdr>
                                                        </w:div>
                                                        <w:div w:id="940726801">
                                                          <w:marLeft w:val="0"/>
                                                          <w:marRight w:val="0"/>
                                                          <w:marTop w:val="0"/>
                                                          <w:marBottom w:val="0"/>
                                                          <w:divBdr>
                                                            <w:top w:val="none" w:sz="0" w:space="0" w:color="auto"/>
                                                            <w:left w:val="none" w:sz="0" w:space="0" w:color="auto"/>
                                                            <w:bottom w:val="none" w:sz="0" w:space="0" w:color="auto"/>
                                                            <w:right w:val="none" w:sz="0" w:space="0" w:color="auto"/>
                                                          </w:divBdr>
                                                        </w:div>
                                                        <w:div w:id="940726802">
                                                          <w:marLeft w:val="0"/>
                                                          <w:marRight w:val="0"/>
                                                          <w:marTop w:val="0"/>
                                                          <w:marBottom w:val="0"/>
                                                          <w:divBdr>
                                                            <w:top w:val="none" w:sz="0" w:space="0" w:color="auto"/>
                                                            <w:left w:val="none" w:sz="0" w:space="0" w:color="auto"/>
                                                            <w:bottom w:val="none" w:sz="0" w:space="0" w:color="auto"/>
                                                            <w:right w:val="none" w:sz="0" w:space="0" w:color="auto"/>
                                                          </w:divBdr>
                                                        </w:div>
                                                        <w:div w:id="940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2368161">
      <w:bodyDiv w:val="1"/>
      <w:marLeft w:val="0"/>
      <w:marRight w:val="0"/>
      <w:marTop w:val="0"/>
      <w:marBottom w:val="0"/>
      <w:divBdr>
        <w:top w:val="none" w:sz="0" w:space="0" w:color="auto"/>
        <w:left w:val="none" w:sz="0" w:space="0" w:color="auto"/>
        <w:bottom w:val="none" w:sz="0" w:space="0" w:color="auto"/>
        <w:right w:val="none" w:sz="0" w:space="0" w:color="auto"/>
      </w:divBdr>
    </w:div>
    <w:div w:id="1051613409">
      <w:bodyDiv w:val="1"/>
      <w:marLeft w:val="0"/>
      <w:marRight w:val="0"/>
      <w:marTop w:val="0"/>
      <w:marBottom w:val="0"/>
      <w:divBdr>
        <w:top w:val="none" w:sz="0" w:space="0" w:color="auto"/>
        <w:left w:val="none" w:sz="0" w:space="0" w:color="auto"/>
        <w:bottom w:val="none" w:sz="0" w:space="0" w:color="auto"/>
        <w:right w:val="none" w:sz="0" w:space="0" w:color="auto"/>
      </w:divBdr>
    </w:div>
    <w:div w:id="1071973567">
      <w:bodyDiv w:val="1"/>
      <w:marLeft w:val="0"/>
      <w:marRight w:val="0"/>
      <w:marTop w:val="0"/>
      <w:marBottom w:val="0"/>
      <w:divBdr>
        <w:top w:val="none" w:sz="0" w:space="0" w:color="auto"/>
        <w:left w:val="none" w:sz="0" w:space="0" w:color="auto"/>
        <w:bottom w:val="none" w:sz="0" w:space="0" w:color="auto"/>
        <w:right w:val="none" w:sz="0" w:space="0" w:color="auto"/>
      </w:divBdr>
    </w:div>
    <w:div w:id="1111321302">
      <w:bodyDiv w:val="1"/>
      <w:marLeft w:val="0"/>
      <w:marRight w:val="0"/>
      <w:marTop w:val="0"/>
      <w:marBottom w:val="0"/>
      <w:divBdr>
        <w:top w:val="none" w:sz="0" w:space="0" w:color="auto"/>
        <w:left w:val="none" w:sz="0" w:space="0" w:color="auto"/>
        <w:bottom w:val="none" w:sz="0" w:space="0" w:color="auto"/>
        <w:right w:val="none" w:sz="0" w:space="0" w:color="auto"/>
      </w:divBdr>
    </w:div>
    <w:div w:id="1115753327">
      <w:bodyDiv w:val="1"/>
      <w:marLeft w:val="0"/>
      <w:marRight w:val="0"/>
      <w:marTop w:val="0"/>
      <w:marBottom w:val="0"/>
      <w:divBdr>
        <w:top w:val="none" w:sz="0" w:space="0" w:color="auto"/>
        <w:left w:val="none" w:sz="0" w:space="0" w:color="auto"/>
        <w:bottom w:val="none" w:sz="0" w:space="0" w:color="auto"/>
        <w:right w:val="none" w:sz="0" w:space="0" w:color="auto"/>
      </w:divBdr>
    </w:div>
    <w:div w:id="1125319317">
      <w:bodyDiv w:val="1"/>
      <w:marLeft w:val="0"/>
      <w:marRight w:val="0"/>
      <w:marTop w:val="0"/>
      <w:marBottom w:val="0"/>
      <w:divBdr>
        <w:top w:val="none" w:sz="0" w:space="0" w:color="auto"/>
        <w:left w:val="none" w:sz="0" w:space="0" w:color="auto"/>
        <w:bottom w:val="none" w:sz="0" w:space="0" w:color="auto"/>
        <w:right w:val="none" w:sz="0" w:space="0" w:color="auto"/>
      </w:divBdr>
    </w:div>
    <w:div w:id="1215119306">
      <w:bodyDiv w:val="1"/>
      <w:marLeft w:val="0"/>
      <w:marRight w:val="0"/>
      <w:marTop w:val="0"/>
      <w:marBottom w:val="0"/>
      <w:divBdr>
        <w:top w:val="none" w:sz="0" w:space="0" w:color="auto"/>
        <w:left w:val="none" w:sz="0" w:space="0" w:color="auto"/>
        <w:bottom w:val="none" w:sz="0" w:space="0" w:color="auto"/>
        <w:right w:val="none" w:sz="0" w:space="0" w:color="auto"/>
      </w:divBdr>
    </w:div>
    <w:div w:id="1232160553">
      <w:bodyDiv w:val="1"/>
      <w:marLeft w:val="0"/>
      <w:marRight w:val="0"/>
      <w:marTop w:val="0"/>
      <w:marBottom w:val="0"/>
      <w:divBdr>
        <w:top w:val="none" w:sz="0" w:space="0" w:color="auto"/>
        <w:left w:val="none" w:sz="0" w:space="0" w:color="auto"/>
        <w:bottom w:val="none" w:sz="0" w:space="0" w:color="auto"/>
        <w:right w:val="none" w:sz="0" w:space="0" w:color="auto"/>
      </w:divBdr>
    </w:div>
    <w:div w:id="1302154183">
      <w:bodyDiv w:val="1"/>
      <w:marLeft w:val="0"/>
      <w:marRight w:val="0"/>
      <w:marTop w:val="0"/>
      <w:marBottom w:val="0"/>
      <w:divBdr>
        <w:top w:val="none" w:sz="0" w:space="0" w:color="auto"/>
        <w:left w:val="none" w:sz="0" w:space="0" w:color="auto"/>
        <w:bottom w:val="none" w:sz="0" w:space="0" w:color="auto"/>
        <w:right w:val="none" w:sz="0" w:space="0" w:color="auto"/>
      </w:divBdr>
    </w:div>
    <w:div w:id="1406955147">
      <w:bodyDiv w:val="1"/>
      <w:marLeft w:val="0"/>
      <w:marRight w:val="0"/>
      <w:marTop w:val="0"/>
      <w:marBottom w:val="0"/>
      <w:divBdr>
        <w:top w:val="none" w:sz="0" w:space="0" w:color="auto"/>
        <w:left w:val="none" w:sz="0" w:space="0" w:color="auto"/>
        <w:bottom w:val="none" w:sz="0" w:space="0" w:color="auto"/>
        <w:right w:val="none" w:sz="0" w:space="0" w:color="auto"/>
      </w:divBdr>
    </w:div>
    <w:div w:id="1418751971">
      <w:bodyDiv w:val="1"/>
      <w:marLeft w:val="0"/>
      <w:marRight w:val="0"/>
      <w:marTop w:val="0"/>
      <w:marBottom w:val="0"/>
      <w:divBdr>
        <w:top w:val="none" w:sz="0" w:space="0" w:color="auto"/>
        <w:left w:val="none" w:sz="0" w:space="0" w:color="auto"/>
        <w:bottom w:val="none" w:sz="0" w:space="0" w:color="auto"/>
        <w:right w:val="none" w:sz="0" w:space="0" w:color="auto"/>
      </w:divBdr>
    </w:div>
    <w:div w:id="1429159594">
      <w:bodyDiv w:val="1"/>
      <w:marLeft w:val="0"/>
      <w:marRight w:val="0"/>
      <w:marTop w:val="0"/>
      <w:marBottom w:val="0"/>
      <w:divBdr>
        <w:top w:val="none" w:sz="0" w:space="0" w:color="auto"/>
        <w:left w:val="none" w:sz="0" w:space="0" w:color="auto"/>
        <w:bottom w:val="none" w:sz="0" w:space="0" w:color="auto"/>
        <w:right w:val="none" w:sz="0" w:space="0" w:color="auto"/>
      </w:divBdr>
    </w:div>
    <w:div w:id="1429934891">
      <w:bodyDiv w:val="1"/>
      <w:marLeft w:val="0"/>
      <w:marRight w:val="0"/>
      <w:marTop w:val="0"/>
      <w:marBottom w:val="0"/>
      <w:divBdr>
        <w:top w:val="none" w:sz="0" w:space="0" w:color="auto"/>
        <w:left w:val="none" w:sz="0" w:space="0" w:color="auto"/>
        <w:bottom w:val="none" w:sz="0" w:space="0" w:color="auto"/>
        <w:right w:val="none" w:sz="0" w:space="0" w:color="auto"/>
      </w:divBdr>
    </w:div>
    <w:div w:id="1431701508">
      <w:bodyDiv w:val="1"/>
      <w:marLeft w:val="0"/>
      <w:marRight w:val="0"/>
      <w:marTop w:val="0"/>
      <w:marBottom w:val="0"/>
      <w:divBdr>
        <w:top w:val="none" w:sz="0" w:space="0" w:color="auto"/>
        <w:left w:val="none" w:sz="0" w:space="0" w:color="auto"/>
        <w:bottom w:val="none" w:sz="0" w:space="0" w:color="auto"/>
        <w:right w:val="none" w:sz="0" w:space="0" w:color="auto"/>
      </w:divBdr>
    </w:div>
    <w:div w:id="1443764315">
      <w:bodyDiv w:val="1"/>
      <w:marLeft w:val="0"/>
      <w:marRight w:val="0"/>
      <w:marTop w:val="0"/>
      <w:marBottom w:val="0"/>
      <w:divBdr>
        <w:top w:val="none" w:sz="0" w:space="0" w:color="auto"/>
        <w:left w:val="none" w:sz="0" w:space="0" w:color="auto"/>
        <w:bottom w:val="none" w:sz="0" w:space="0" w:color="auto"/>
        <w:right w:val="none" w:sz="0" w:space="0" w:color="auto"/>
      </w:divBdr>
    </w:div>
    <w:div w:id="1493183159">
      <w:bodyDiv w:val="1"/>
      <w:marLeft w:val="0"/>
      <w:marRight w:val="0"/>
      <w:marTop w:val="0"/>
      <w:marBottom w:val="0"/>
      <w:divBdr>
        <w:top w:val="none" w:sz="0" w:space="0" w:color="auto"/>
        <w:left w:val="none" w:sz="0" w:space="0" w:color="auto"/>
        <w:bottom w:val="none" w:sz="0" w:space="0" w:color="auto"/>
        <w:right w:val="none" w:sz="0" w:space="0" w:color="auto"/>
      </w:divBdr>
    </w:div>
    <w:div w:id="1509059072">
      <w:bodyDiv w:val="1"/>
      <w:marLeft w:val="0"/>
      <w:marRight w:val="0"/>
      <w:marTop w:val="0"/>
      <w:marBottom w:val="0"/>
      <w:divBdr>
        <w:top w:val="none" w:sz="0" w:space="0" w:color="auto"/>
        <w:left w:val="none" w:sz="0" w:space="0" w:color="auto"/>
        <w:bottom w:val="none" w:sz="0" w:space="0" w:color="auto"/>
        <w:right w:val="none" w:sz="0" w:space="0" w:color="auto"/>
      </w:divBdr>
    </w:div>
    <w:div w:id="1593080909">
      <w:bodyDiv w:val="1"/>
      <w:marLeft w:val="0"/>
      <w:marRight w:val="0"/>
      <w:marTop w:val="0"/>
      <w:marBottom w:val="0"/>
      <w:divBdr>
        <w:top w:val="none" w:sz="0" w:space="0" w:color="auto"/>
        <w:left w:val="none" w:sz="0" w:space="0" w:color="auto"/>
        <w:bottom w:val="none" w:sz="0" w:space="0" w:color="auto"/>
        <w:right w:val="none" w:sz="0" w:space="0" w:color="auto"/>
      </w:divBdr>
    </w:div>
    <w:div w:id="1604996715">
      <w:bodyDiv w:val="1"/>
      <w:marLeft w:val="0"/>
      <w:marRight w:val="0"/>
      <w:marTop w:val="0"/>
      <w:marBottom w:val="0"/>
      <w:divBdr>
        <w:top w:val="none" w:sz="0" w:space="0" w:color="auto"/>
        <w:left w:val="none" w:sz="0" w:space="0" w:color="auto"/>
        <w:bottom w:val="none" w:sz="0" w:space="0" w:color="auto"/>
        <w:right w:val="none" w:sz="0" w:space="0" w:color="auto"/>
      </w:divBdr>
    </w:div>
    <w:div w:id="1667127492">
      <w:bodyDiv w:val="1"/>
      <w:marLeft w:val="0"/>
      <w:marRight w:val="0"/>
      <w:marTop w:val="0"/>
      <w:marBottom w:val="0"/>
      <w:divBdr>
        <w:top w:val="none" w:sz="0" w:space="0" w:color="auto"/>
        <w:left w:val="none" w:sz="0" w:space="0" w:color="auto"/>
        <w:bottom w:val="none" w:sz="0" w:space="0" w:color="auto"/>
        <w:right w:val="none" w:sz="0" w:space="0" w:color="auto"/>
      </w:divBdr>
    </w:div>
    <w:div w:id="1678268436">
      <w:bodyDiv w:val="1"/>
      <w:marLeft w:val="0"/>
      <w:marRight w:val="0"/>
      <w:marTop w:val="0"/>
      <w:marBottom w:val="0"/>
      <w:divBdr>
        <w:top w:val="none" w:sz="0" w:space="0" w:color="auto"/>
        <w:left w:val="none" w:sz="0" w:space="0" w:color="auto"/>
        <w:bottom w:val="none" w:sz="0" w:space="0" w:color="auto"/>
        <w:right w:val="none" w:sz="0" w:space="0" w:color="auto"/>
      </w:divBdr>
    </w:div>
    <w:div w:id="1710760959">
      <w:bodyDiv w:val="1"/>
      <w:marLeft w:val="0"/>
      <w:marRight w:val="0"/>
      <w:marTop w:val="0"/>
      <w:marBottom w:val="0"/>
      <w:divBdr>
        <w:top w:val="none" w:sz="0" w:space="0" w:color="auto"/>
        <w:left w:val="none" w:sz="0" w:space="0" w:color="auto"/>
        <w:bottom w:val="none" w:sz="0" w:space="0" w:color="auto"/>
        <w:right w:val="none" w:sz="0" w:space="0" w:color="auto"/>
      </w:divBdr>
    </w:div>
    <w:div w:id="1720322706">
      <w:bodyDiv w:val="1"/>
      <w:marLeft w:val="0"/>
      <w:marRight w:val="0"/>
      <w:marTop w:val="0"/>
      <w:marBottom w:val="0"/>
      <w:divBdr>
        <w:top w:val="none" w:sz="0" w:space="0" w:color="auto"/>
        <w:left w:val="none" w:sz="0" w:space="0" w:color="auto"/>
        <w:bottom w:val="none" w:sz="0" w:space="0" w:color="auto"/>
        <w:right w:val="none" w:sz="0" w:space="0" w:color="auto"/>
      </w:divBdr>
    </w:div>
    <w:div w:id="1766878599">
      <w:bodyDiv w:val="1"/>
      <w:marLeft w:val="0"/>
      <w:marRight w:val="0"/>
      <w:marTop w:val="0"/>
      <w:marBottom w:val="0"/>
      <w:divBdr>
        <w:top w:val="none" w:sz="0" w:space="0" w:color="auto"/>
        <w:left w:val="none" w:sz="0" w:space="0" w:color="auto"/>
        <w:bottom w:val="none" w:sz="0" w:space="0" w:color="auto"/>
        <w:right w:val="none" w:sz="0" w:space="0" w:color="auto"/>
      </w:divBdr>
    </w:div>
    <w:div w:id="1780832622">
      <w:bodyDiv w:val="1"/>
      <w:marLeft w:val="0"/>
      <w:marRight w:val="0"/>
      <w:marTop w:val="0"/>
      <w:marBottom w:val="0"/>
      <w:divBdr>
        <w:top w:val="none" w:sz="0" w:space="0" w:color="auto"/>
        <w:left w:val="none" w:sz="0" w:space="0" w:color="auto"/>
        <w:bottom w:val="none" w:sz="0" w:space="0" w:color="auto"/>
        <w:right w:val="none" w:sz="0" w:space="0" w:color="auto"/>
      </w:divBdr>
    </w:div>
    <w:div w:id="1830515931">
      <w:bodyDiv w:val="1"/>
      <w:marLeft w:val="0"/>
      <w:marRight w:val="0"/>
      <w:marTop w:val="0"/>
      <w:marBottom w:val="0"/>
      <w:divBdr>
        <w:top w:val="none" w:sz="0" w:space="0" w:color="auto"/>
        <w:left w:val="none" w:sz="0" w:space="0" w:color="auto"/>
        <w:bottom w:val="none" w:sz="0" w:space="0" w:color="auto"/>
        <w:right w:val="none" w:sz="0" w:space="0" w:color="auto"/>
      </w:divBdr>
    </w:div>
    <w:div w:id="1860117632">
      <w:bodyDiv w:val="1"/>
      <w:marLeft w:val="0"/>
      <w:marRight w:val="0"/>
      <w:marTop w:val="0"/>
      <w:marBottom w:val="0"/>
      <w:divBdr>
        <w:top w:val="none" w:sz="0" w:space="0" w:color="auto"/>
        <w:left w:val="none" w:sz="0" w:space="0" w:color="auto"/>
        <w:bottom w:val="none" w:sz="0" w:space="0" w:color="auto"/>
        <w:right w:val="none" w:sz="0" w:space="0" w:color="auto"/>
      </w:divBdr>
    </w:div>
    <w:div w:id="1883134409">
      <w:bodyDiv w:val="1"/>
      <w:marLeft w:val="0"/>
      <w:marRight w:val="0"/>
      <w:marTop w:val="0"/>
      <w:marBottom w:val="0"/>
      <w:divBdr>
        <w:top w:val="none" w:sz="0" w:space="0" w:color="auto"/>
        <w:left w:val="none" w:sz="0" w:space="0" w:color="auto"/>
        <w:bottom w:val="none" w:sz="0" w:space="0" w:color="auto"/>
        <w:right w:val="none" w:sz="0" w:space="0" w:color="auto"/>
      </w:divBdr>
    </w:div>
    <w:div w:id="1929925056">
      <w:bodyDiv w:val="1"/>
      <w:marLeft w:val="0"/>
      <w:marRight w:val="0"/>
      <w:marTop w:val="0"/>
      <w:marBottom w:val="0"/>
      <w:divBdr>
        <w:top w:val="none" w:sz="0" w:space="0" w:color="auto"/>
        <w:left w:val="none" w:sz="0" w:space="0" w:color="auto"/>
        <w:bottom w:val="none" w:sz="0" w:space="0" w:color="auto"/>
        <w:right w:val="none" w:sz="0" w:space="0" w:color="auto"/>
      </w:divBdr>
    </w:div>
    <w:div w:id="1956642875">
      <w:bodyDiv w:val="1"/>
      <w:marLeft w:val="0"/>
      <w:marRight w:val="0"/>
      <w:marTop w:val="0"/>
      <w:marBottom w:val="0"/>
      <w:divBdr>
        <w:top w:val="none" w:sz="0" w:space="0" w:color="auto"/>
        <w:left w:val="none" w:sz="0" w:space="0" w:color="auto"/>
        <w:bottom w:val="none" w:sz="0" w:space="0" w:color="auto"/>
        <w:right w:val="none" w:sz="0" w:space="0" w:color="auto"/>
      </w:divBdr>
    </w:div>
    <w:div w:id="1984197253">
      <w:bodyDiv w:val="1"/>
      <w:marLeft w:val="0"/>
      <w:marRight w:val="0"/>
      <w:marTop w:val="0"/>
      <w:marBottom w:val="0"/>
      <w:divBdr>
        <w:top w:val="none" w:sz="0" w:space="0" w:color="auto"/>
        <w:left w:val="none" w:sz="0" w:space="0" w:color="auto"/>
        <w:bottom w:val="none" w:sz="0" w:space="0" w:color="auto"/>
        <w:right w:val="none" w:sz="0" w:space="0" w:color="auto"/>
      </w:divBdr>
    </w:div>
    <w:div w:id="1998417428">
      <w:bodyDiv w:val="1"/>
      <w:marLeft w:val="0"/>
      <w:marRight w:val="0"/>
      <w:marTop w:val="0"/>
      <w:marBottom w:val="0"/>
      <w:divBdr>
        <w:top w:val="none" w:sz="0" w:space="0" w:color="auto"/>
        <w:left w:val="none" w:sz="0" w:space="0" w:color="auto"/>
        <w:bottom w:val="none" w:sz="0" w:space="0" w:color="auto"/>
        <w:right w:val="none" w:sz="0" w:space="0" w:color="auto"/>
      </w:divBdr>
    </w:div>
    <w:div w:id="2023508164">
      <w:bodyDiv w:val="1"/>
      <w:marLeft w:val="0"/>
      <w:marRight w:val="0"/>
      <w:marTop w:val="0"/>
      <w:marBottom w:val="0"/>
      <w:divBdr>
        <w:top w:val="none" w:sz="0" w:space="0" w:color="auto"/>
        <w:left w:val="none" w:sz="0" w:space="0" w:color="auto"/>
        <w:bottom w:val="none" w:sz="0" w:space="0" w:color="auto"/>
        <w:right w:val="none" w:sz="0" w:space="0" w:color="auto"/>
      </w:divBdr>
    </w:div>
    <w:div w:id="2051875067">
      <w:bodyDiv w:val="1"/>
      <w:marLeft w:val="0"/>
      <w:marRight w:val="0"/>
      <w:marTop w:val="0"/>
      <w:marBottom w:val="0"/>
      <w:divBdr>
        <w:top w:val="none" w:sz="0" w:space="0" w:color="auto"/>
        <w:left w:val="none" w:sz="0" w:space="0" w:color="auto"/>
        <w:bottom w:val="none" w:sz="0" w:space="0" w:color="auto"/>
        <w:right w:val="none" w:sz="0" w:space="0" w:color="auto"/>
      </w:divBdr>
    </w:div>
    <w:div w:id="2053266528">
      <w:bodyDiv w:val="1"/>
      <w:marLeft w:val="0"/>
      <w:marRight w:val="0"/>
      <w:marTop w:val="0"/>
      <w:marBottom w:val="0"/>
      <w:divBdr>
        <w:top w:val="none" w:sz="0" w:space="0" w:color="auto"/>
        <w:left w:val="none" w:sz="0" w:space="0" w:color="auto"/>
        <w:bottom w:val="none" w:sz="0" w:space="0" w:color="auto"/>
        <w:right w:val="none" w:sz="0" w:space="0" w:color="auto"/>
      </w:divBdr>
    </w:div>
    <w:div w:id="2111851986">
      <w:bodyDiv w:val="1"/>
      <w:marLeft w:val="0"/>
      <w:marRight w:val="0"/>
      <w:marTop w:val="0"/>
      <w:marBottom w:val="0"/>
      <w:divBdr>
        <w:top w:val="none" w:sz="0" w:space="0" w:color="auto"/>
        <w:left w:val="none" w:sz="0" w:space="0" w:color="auto"/>
        <w:bottom w:val="none" w:sz="0" w:space="0" w:color="auto"/>
        <w:right w:val="none" w:sz="0" w:space="0" w:color="auto"/>
      </w:divBdr>
    </w:div>
    <w:div w:id="2118132632">
      <w:bodyDiv w:val="1"/>
      <w:marLeft w:val="0"/>
      <w:marRight w:val="0"/>
      <w:marTop w:val="0"/>
      <w:marBottom w:val="0"/>
      <w:divBdr>
        <w:top w:val="none" w:sz="0" w:space="0" w:color="auto"/>
        <w:left w:val="none" w:sz="0" w:space="0" w:color="auto"/>
        <w:bottom w:val="none" w:sz="0" w:space="0" w:color="auto"/>
        <w:right w:val="none" w:sz="0" w:space="0" w:color="auto"/>
      </w:divBdr>
    </w:div>
    <w:div w:id="21469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80AE1-83EC-4F6A-8AE6-C37FF5749887}">
  <ds:schemaRefs>
    <ds:schemaRef ds:uri="http://schemas.openxmlformats.org/officeDocument/2006/bibliography"/>
  </ds:schemaRefs>
</ds:datastoreItem>
</file>

<file path=customXml/itemProps2.xml><?xml version="1.0" encoding="utf-8"?>
<ds:datastoreItem xmlns:ds="http://schemas.openxmlformats.org/officeDocument/2006/customXml" ds:itemID="{C48A03C3-29A9-44BC-AEF0-AD9F706FEF43}">
  <ds:schemaRefs>
    <ds:schemaRef ds:uri="http://schemas.microsoft.com/sharepoint/v3/contenttype/forms"/>
  </ds:schemaRefs>
</ds:datastoreItem>
</file>

<file path=customXml/itemProps3.xml><?xml version="1.0" encoding="utf-8"?>
<ds:datastoreItem xmlns:ds="http://schemas.openxmlformats.org/officeDocument/2006/customXml" ds:itemID="{9FC120A1-CC00-4344-B722-7769FE9AA1E9}">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a6cb9e4b-f1d1-4245-83ec-6cad768d538a"/>
    <ds:schemaRef ds:uri="9d85dbaf-23eb-4e57-a637-93dcacc8b1a1"/>
    <ds:schemaRef ds:uri="http://www.w3.org/XML/1998/namespace"/>
    <ds:schemaRef ds:uri="http://purl.org/dc/dcmitype/"/>
  </ds:schemaRefs>
</ds:datastoreItem>
</file>

<file path=customXml/itemProps4.xml><?xml version="1.0" encoding="utf-8"?>
<ds:datastoreItem xmlns:ds="http://schemas.openxmlformats.org/officeDocument/2006/customXml" ds:itemID="{5CF13F1F-1809-4FA9-9D98-DE387DBE3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15445</Words>
  <Characters>84949</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CONSEJO DE ESTADO</vt:lpstr>
    </vt:vector>
  </TitlesOfParts>
  <Company>Toshiba</Company>
  <LinksUpToDate>false</LinksUpToDate>
  <CharactersWithSpaces>100194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Usuario Autorizado</dc:creator>
  <cp:keywords/>
  <cp:lastModifiedBy>Carlos Mario</cp:lastModifiedBy>
  <cp:revision>2</cp:revision>
  <cp:lastPrinted>2017-11-16T14:08:00Z</cp:lastPrinted>
  <dcterms:created xsi:type="dcterms:W3CDTF">2020-11-03T15:15:00Z</dcterms:created>
  <dcterms:modified xsi:type="dcterms:W3CDTF">2020-11-03T15:15:00Z</dcterms:modified>
</cp:coreProperties>
</file>