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D561D" w14:textId="345FB8F4" w:rsidR="005D15BF" w:rsidRDefault="005D15BF" w:rsidP="00587550">
      <w:pPr>
        <w:widowControl w:val="0"/>
        <w:autoSpaceDE w:val="0"/>
        <w:autoSpaceDN w:val="0"/>
        <w:adjustRightInd w:val="0"/>
        <w:spacing w:after="120"/>
        <w:jc w:val="both"/>
        <w:rPr>
          <w:rFonts w:ascii="Arial" w:hAnsi="Arial"/>
          <w:b/>
          <w:szCs w:val="22"/>
        </w:rPr>
      </w:pPr>
      <w:r w:rsidRPr="00FF7C18">
        <w:rPr>
          <w:rFonts w:ascii="Arial" w:hAnsi="Arial"/>
          <w:b/>
          <w:sz w:val="22"/>
          <w:szCs w:val="22"/>
        </w:rPr>
        <w:t xml:space="preserve">CADUCIDAD DE LA ACCIÓN </w:t>
      </w:r>
      <w:r w:rsidR="00FF7C18" w:rsidRPr="00FF7C18">
        <w:rPr>
          <w:rFonts w:ascii="Arial" w:hAnsi="Arial"/>
          <w:b/>
          <w:sz w:val="22"/>
          <w:szCs w:val="22"/>
        </w:rPr>
        <w:t xml:space="preserve">– </w:t>
      </w:r>
      <w:r w:rsidRPr="00FF7C18">
        <w:rPr>
          <w:rFonts w:ascii="Arial" w:hAnsi="Arial"/>
          <w:b/>
          <w:sz w:val="22"/>
          <w:szCs w:val="22"/>
        </w:rPr>
        <w:t>Concepto</w:t>
      </w:r>
      <w:r w:rsidR="00587550">
        <w:rPr>
          <w:rFonts w:ascii="Arial" w:hAnsi="Arial"/>
          <w:b/>
          <w:sz w:val="22"/>
          <w:szCs w:val="22"/>
        </w:rPr>
        <w:t>.</w:t>
      </w:r>
    </w:p>
    <w:p w14:paraId="6DD2DF70" w14:textId="568B69AE" w:rsidR="005D15BF" w:rsidRPr="00587550" w:rsidRDefault="005D15BF" w:rsidP="00587550">
      <w:pPr>
        <w:pStyle w:val="Textoindependiente21"/>
        <w:spacing w:after="120" w:line="240" w:lineRule="auto"/>
        <w:ind w:firstLine="0"/>
        <w:contextualSpacing/>
        <w:rPr>
          <w:rFonts w:ascii="Arial" w:hAnsi="Arial" w:cs="Arial"/>
          <w:sz w:val="20"/>
        </w:rPr>
      </w:pPr>
      <w:r w:rsidRPr="00587550">
        <w:rPr>
          <w:rFonts w:ascii="Arial" w:hAnsi="Arial" w:cs="Arial"/>
          <w:sz w:val="20"/>
        </w:rPr>
        <w:t>La caducidad es un fenómeno previsto por el legislador, fundamentado en la seguridad jurídica que debe imperar en el ordenamiento legal, que tiene por finalidad evitar que situaciones frente a las cuales existe controversia permanezcan en el tiempo sin que sean definidas por un juez con competencia para ello. Es la sanción que consagra la ley por la falta de ejercicio oportuno del derecho de acción, por lo que, una vez excedidos los plazos preclusivos para acudir a la jurisdicción, se ve extinguido el derecho que le asiste a toda persona para solicitar que le sea resuelto un conflicto por el aparato jurisdiccional del poder público.</w:t>
      </w:r>
    </w:p>
    <w:p w14:paraId="3D621160" w14:textId="77777777" w:rsidR="00587550" w:rsidRPr="00FF7C18" w:rsidRDefault="00587550" w:rsidP="00587550">
      <w:pPr>
        <w:pStyle w:val="Textoindependiente21"/>
        <w:spacing w:after="120" w:line="240" w:lineRule="auto"/>
        <w:ind w:firstLine="0"/>
        <w:contextualSpacing/>
        <w:rPr>
          <w:rFonts w:ascii="Arial" w:hAnsi="Arial"/>
          <w:b/>
          <w:szCs w:val="22"/>
        </w:rPr>
      </w:pPr>
    </w:p>
    <w:p w14:paraId="3F8AA674" w14:textId="28AFB994" w:rsidR="009573CC" w:rsidRDefault="009573CC" w:rsidP="00587550">
      <w:pPr>
        <w:pStyle w:val="Textoindependiente21"/>
        <w:spacing w:after="120" w:line="240" w:lineRule="auto"/>
        <w:ind w:firstLine="0"/>
        <w:contextualSpacing/>
        <w:rPr>
          <w:rFonts w:ascii="Arial" w:hAnsi="Arial" w:cs="Arial"/>
          <w:b/>
          <w:szCs w:val="22"/>
        </w:rPr>
      </w:pPr>
      <w:r w:rsidRPr="00FF7C18">
        <w:rPr>
          <w:rFonts w:ascii="Arial" w:hAnsi="Arial" w:cs="Arial"/>
          <w:b/>
          <w:szCs w:val="22"/>
        </w:rPr>
        <w:t xml:space="preserve">CONTROVERSIAS CONTRACTUALES – </w:t>
      </w:r>
      <w:r w:rsidR="00FF7C18" w:rsidRPr="00FF7C18">
        <w:rPr>
          <w:rFonts w:ascii="Arial" w:hAnsi="Arial" w:cs="Arial"/>
          <w:b/>
          <w:szCs w:val="22"/>
        </w:rPr>
        <w:t xml:space="preserve">Caducidad – </w:t>
      </w:r>
      <w:r w:rsidRPr="00FF7C18">
        <w:rPr>
          <w:rFonts w:ascii="Arial" w:hAnsi="Arial" w:cs="Arial"/>
          <w:b/>
          <w:szCs w:val="22"/>
        </w:rPr>
        <w:t>Modo de aplicación</w:t>
      </w:r>
      <w:r w:rsidR="00587550">
        <w:rPr>
          <w:rFonts w:ascii="Arial" w:hAnsi="Arial" w:cs="Arial"/>
          <w:b/>
          <w:szCs w:val="22"/>
        </w:rPr>
        <w:t>.</w:t>
      </w:r>
    </w:p>
    <w:p w14:paraId="34960085" w14:textId="77777777" w:rsidR="00FF09A6" w:rsidRDefault="00FF09A6" w:rsidP="00587550">
      <w:pPr>
        <w:pStyle w:val="Textoindependiente21"/>
        <w:spacing w:after="120" w:line="240" w:lineRule="auto"/>
        <w:ind w:firstLine="0"/>
        <w:contextualSpacing/>
        <w:rPr>
          <w:rFonts w:ascii="Arial" w:hAnsi="Arial" w:cs="Arial"/>
          <w:sz w:val="20"/>
        </w:rPr>
      </w:pPr>
    </w:p>
    <w:p w14:paraId="6A33A515" w14:textId="7376EE04" w:rsidR="009573CC" w:rsidRPr="00FF7C18" w:rsidRDefault="009573CC" w:rsidP="00587550">
      <w:pPr>
        <w:pStyle w:val="Textoindependiente21"/>
        <w:spacing w:after="120" w:line="240" w:lineRule="auto"/>
        <w:ind w:firstLine="0"/>
        <w:contextualSpacing/>
        <w:rPr>
          <w:rFonts w:ascii="Arial" w:hAnsi="Arial" w:cs="Arial"/>
          <w:sz w:val="20"/>
        </w:rPr>
      </w:pPr>
      <w:r w:rsidRPr="00FF7C18">
        <w:rPr>
          <w:rFonts w:ascii="Arial" w:hAnsi="Arial" w:cs="Arial"/>
          <w:sz w:val="20"/>
        </w:rPr>
        <w:t xml:space="preserve">En los casos de controversias surgidas de un contrato celebrado por una entidad pública, en los términos del artículo 141 del CPACA, el cómputo de la caducidad se efectúa conforme al tipo de contrato y a las previsiones acordadas en relación con su liquidación, como lo contempla el literal j del numeral 2 del artículo 164 </w:t>
      </w:r>
      <w:proofErr w:type="spellStart"/>
      <w:r w:rsidRPr="00FF7C18">
        <w:rPr>
          <w:rFonts w:ascii="Arial" w:hAnsi="Arial" w:cs="Arial"/>
          <w:i/>
          <w:sz w:val="20"/>
        </w:rPr>
        <w:t>ibídem</w:t>
      </w:r>
      <w:proofErr w:type="spellEnd"/>
      <w:r w:rsidRPr="00FF7C18">
        <w:rPr>
          <w:rFonts w:ascii="Arial" w:hAnsi="Arial" w:cs="Arial"/>
          <w:sz w:val="20"/>
        </w:rPr>
        <w:t>.</w:t>
      </w:r>
    </w:p>
    <w:p w14:paraId="05875A78" w14:textId="5A5118EE" w:rsidR="0047286B" w:rsidRPr="00FF7C18" w:rsidRDefault="009573CC" w:rsidP="00587550">
      <w:pPr>
        <w:widowControl w:val="0"/>
        <w:autoSpaceDE w:val="0"/>
        <w:autoSpaceDN w:val="0"/>
        <w:adjustRightInd w:val="0"/>
        <w:spacing w:after="120"/>
        <w:jc w:val="both"/>
        <w:rPr>
          <w:rFonts w:ascii="Arial" w:hAnsi="Arial" w:cs="Arial"/>
          <w:b/>
          <w:sz w:val="20"/>
          <w:szCs w:val="20"/>
        </w:rPr>
      </w:pPr>
      <w:r w:rsidRPr="00FF7C18">
        <w:rPr>
          <w:rFonts w:ascii="Arial" w:hAnsi="Arial" w:cs="Arial"/>
          <w:sz w:val="20"/>
          <w:szCs w:val="20"/>
        </w:rPr>
        <w:t>Así, cuando se trata de un contrato en el cual las partes estipulan un plazo para su liquidación –como el caso del contrato 52 de 2011, cuyas controversias se han sometido a juicio– y ésta no se efectúa bilateral ni unilateralmente, el término de caducidad comienza a correr a partir del vencimiento del plazo convencionalmente pactado para surtir la liquidación bilateral más dos meses que prevé la ley para que la entidad pública efectúe la liquidación unilateralmente, si no se logra aquella otra.</w:t>
      </w:r>
    </w:p>
    <w:p w14:paraId="1186CB96" w14:textId="77777777" w:rsidR="009573CC" w:rsidRPr="00FF7C18" w:rsidRDefault="009573CC" w:rsidP="009573CC">
      <w:pPr>
        <w:widowControl w:val="0"/>
        <w:autoSpaceDE w:val="0"/>
        <w:autoSpaceDN w:val="0"/>
        <w:adjustRightInd w:val="0"/>
        <w:jc w:val="center"/>
        <w:rPr>
          <w:rFonts w:ascii="Arial" w:hAnsi="Arial"/>
          <w:b/>
          <w:sz w:val="20"/>
          <w:szCs w:val="20"/>
        </w:rPr>
      </w:pPr>
    </w:p>
    <w:p w14:paraId="22B2CECF" w14:textId="5B23BFF1" w:rsidR="005931A6" w:rsidRPr="0047286B" w:rsidRDefault="005931A6" w:rsidP="005059D9">
      <w:pPr>
        <w:widowControl w:val="0"/>
        <w:autoSpaceDE w:val="0"/>
        <w:autoSpaceDN w:val="0"/>
        <w:adjustRightInd w:val="0"/>
        <w:jc w:val="center"/>
        <w:rPr>
          <w:rFonts w:ascii="Arial" w:hAnsi="Arial"/>
          <w:b/>
          <w:szCs w:val="22"/>
        </w:rPr>
      </w:pPr>
      <w:r w:rsidRPr="0047286B">
        <w:rPr>
          <w:rFonts w:ascii="Arial" w:hAnsi="Arial"/>
          <w:b/>
          <w:szCs w:val="22"/>
        </w:rPr>
        <w:t>CONSEJO DE ESTADO</w:t>
      </w:r>
    </w:p>
    <w:p w14:paraId="732B0540" w14:textId="77777777" w:rsidR="0047286B" w:rsidRDefault="0047286B" w:rsidP="005059D9">
      <w:pPr>
        <w:widowControl w:val="0"/>
        <w:autoSpaceDE w:val="0"/>
        <w:autoSpaceDN w:val="0"/>
        <w:adjustRightInd w:val="0"/>
        <w:jc w:val="center"/>
        <w:rPr>
          <w:rFonts w:ascii="Arial" w:hAnsi="Arial"/>
          <w:b/>
          <w:szCs w:val="22"/>
        </w:rPr>
      </w:pPr>
    </w:p>
    <w:p w14:paraId="40B4A980" w14:textId="4388D39D" w:rsidR="005931A6" w:rsidRPr="0047286B" w:rsidRDefault="005931A6" w:rsidP="005059D9">
      <w:pPr>
        <w:widowControl w:val="0"/>
        <w:autoSpaceDE w:val="0"/>
        <w:autoSpaceDN w:val="0"/>
        <w:adjustRightInd w:val="0"/>
        <w:jc w:val="center"/>
        <w:rPr>
          <w:rFonts w:ascii="Arial" w:hAnsi="Arial"/>
          <w:b/>
          <w:szCs w:val="22"/>
        </w:rPr>
      </w:pPr>
      <w:r w:rsidRPr="0047286B">
        <w:rPr>
          <w:rFonts w:ascii="Arial" w:hAnsi="Arial"/>
          <w:b/>
          <w:szCs w:val="22"/>
        </w:rPr>
        <w:t>SALA DE LO CONTENCIOSO ADMINISTRATIVO</w:t>
      </w:r>
    </w:p>
    <w:p w14:paraId="33EDA1A7" w14:textId="77777777" w:rsidR="0047286B" w:rsidRDefault="0047286B" w:rsidP="005059D9">
      <w:pPr>
        <w:widowControl w:val="0"/>
        <w:autoSpaceDE w:val="0"/>
        <w:autoSpaceDN w:val="0"/>
        <w:adjustRightInd w:val="0"/>
        <w:jc w:val="center"/>
        <w:rPr>
          <w:rFonts w:ascii="Arial" w:hAnsi="Arial"/>
          <w:b/>
          <w:szCs w:val="22"/>
          <w:lang w:val="es-ES_tradnl"/>
        </w:rPr>
      </w:pPr>
    </w:p>
    <w:p w14:paraId="2B975F16" w14:textId="77777777" w:rsidR="0047286B" w:rsidRDefault="005931A6" w:rsidP="005059D9">
      <w:pPr>
        <w:widowControl w:val="0"/>
        <w:autoSpaceDE w:val="0"/>
        <w:autoSpaceDN w:val="0"/>
        <w:adjustRightInd w:val="0"/>
        <w:jc w:val="center"/>
        <w:rPr>
          <w:rFonts w:ascii="Arial" w:hAnsi="Arial"/>
          <w:b/>
          <w:szCs w:val="22"/>
          <w:lang w:val="es-ES_tradnl"/>
        </w:rPr>
      </w:pPr>
      <w:r w:rsidRPr="0047286B">
        <w:rPr>
          <w:rFonts w:ascii="Arial" w:hAnsi="Arial"/>
          <w:b/>
          <w:szCs w:val="22"/>
          <w:lang w:val="es-ES_tradnl"/>
        </w:rPr>
        <w:t>SECCIÓN TERCERA</w:t>
      </w:r>
    </w:p>
    <w:p w14:paraId="2E03ED67" w14:textId="77777777" w:rsidR="0047286B" w:rsidRDefault="0047286B" w:rsidP="005059D9">
      <w:pPr>
        <w:widowControl w:val="0"/>
        <w:autoSpaceDE w:val="0"/>
        <w:autoSpaceDN w:val="0"/>
        <w:adjustRightInd w:val="0"/>
        <w:jc w:val="center"/>
        <w:rPr>
          <w:rFonts w:ascii="Arial" w:hAnsi="Arial"/>
          <w:b/>
          <w:szCs w:val="22"/>
        </w:rPr>
      </w:pPr>
    </w:p>
    <w:p w14:paraId="6DD76638" w14:textId="7E67307E" w:rsidR="005931A6" w:rsidRPr="0047286B" w:rsidRDefault="005931A6" w:rsidP="005059D9">
      <w:pPr>
        <w:widowControl w:val="0"/>
        <w:autoSpaceDE w:val="0"/>
        <w:autoSpaceDN w:val="0"/>
        <w:adjustRightInd w:val="0"/>
        <w:jc w:val="center"/>
        <w:rPr>
          <w:rFonts w:ascii="Arial" w:hAnsi="Arial"/>
          <w:b/>
          <w:szCs w:val="22"/>
        </w:rPr>
      </w:pPr>
      <w:r w:rsidRPr="0047286B">
        <w:rPr>
          <w:rFonts w:ascii="Arial" w:hAnsi="Arial"/>
          <w:b/>
          <w:szCs w:val="22"/>
        </w:rPr>
        <w:t>SUBSECCIÓN A</w:t>
      </w:r>
    </w:p>
    <w:p w14:paraId="70342375" w14:textId="77777777" w:rsidR="0047286B" w:rsidRDefault="0047286B" w:rsidP="005059D9">
      <w:pPr>
        <w:widowControl w:val="0"/>
        <w:autoSpaceDE w:val="0"/>
        <w:autoSpaceDN w:val="0"/>
        <w:adjustRightInd w:val="0"/>
        <w:jc w:val="center"/>
        <w:rPr>
          <w:rFonts w:ascii="Arial" w:hAnsi="Arial"/>
          <w:b/>
          <w:szCs w:val="22"/>
        </w:rPr>
      </w:pPr>
    </w:p>
    <w:p w14:paraId="7B79608F" w14:textId="0FEDB381" w:rsidR="005931A6" w:rsidRPr="0047286B" w:rsidRDefault="0047286B" w:rsidP="005059D9">
      <w:pPr>
        <w:widowControl w:val="0"/>
        <w:autoSpaceDE w:val="0"/>
        <w:autoSpaceDN w:val="0"/>
        <w:adjustRightInd w:val="0"/>
        <w:jc w:val="center"/>
        <w:rPr>
          <w:rFonts w:ascii="Arial" w:hAnsi="Arial"/>
          <w:b/>
          <w:szCs w:val="22"/>
        </w:rPr>
      </w:pPr>
      <w:r w:rsidRPr="0047286B">
        <w:rPr>
          <w:rFonts w:ascii="Arial" w:hAnsi="Arial"/>
          <w:b/>
          <w:szCs w:val="22"/>
        </w:rPr>
        <w:t>Consejero ponente</w:t>
      </w:r>
      <w:r w:rsidR="005931A6" w:rsidRPr="0047286B">
        <w:rPr>
          <w:rFonts w:ascii="Arial" w:hAnsi="Arial"/>
          <w:b/>
          <w:szCs w:val="22"/>
        </w:rPr>
        <w:t>: CARLOS ALBERTO ZAMBRANO BARRERA</w:t>
      </w:r>
    </w:p>
    <w:p w14:paraId="7A7A55A4" w14:textId="77777777" w:rsidR="005931A6" w:rsidRPr="0047286B" w:rsidRDefault="005931A6" w:rsidP="005059D9">
      <w:pPr>
        <w:widowControl w:val="0"/>
        <w:autoSpaceDE w:val="0"/>
        <w:autoSpaceDN w:val="0"/>
        <w:adjustRightInd w:val="0"/>
        <w:jc w:val="center"/>
        <w:rPr>
          <w:rFonts w:ascii="Arial" w:hAnsi="Arial"/>
          <w:b/>
          <w:szCs w:val="22"/>
        </w:rPr>
      </w:pPr>
    </w:p>
    <w:p w14:paraId="423472FB" w14:textId="3CFA211C" w:rsidR="005931A6" w:rsidRPr="0047286B" w:rsidRDefault="00886FAF" w:rsidP="005059D9">
      <w:pPr>
        <w:widowControl w:val="0"/>
        <w:autoSpaceDE w:val="0"/>
        <w:autoSpaceDN w:val="0"/>
        <w:adjustRightInd w:val="0"/>
        <w:rPr>
          <w:rFonts w:ascii="Arial" w:hAnsi="Arial"/>
          <w:szCs w:val="22"/>
        </w:rPr>
      </w:pPr>
      <w:r w:rsidRPr="0047286B">
        <w:rPr>
          <w:rFonts w:ascii="Arial" w:hAnsi="Arial"/>
          <w:szCs w:val="22"/>
        </w:rPr>
        <w:t xml:space="preserve">Bogotá, D.C., </w:t>
      </w:r>
      <w:r w:rsidR="00C51E46" w:rsidRPr="0047286B">
        <w:rPr>
          <w:rFonts w:ascii="Arial" w:hAnsi="Arial"/>
          <w:szCs w:val="22"/>
        </w:rPr>
        <w:t xml:space="preserve">veintiocho (28) </w:t>
      </w:r>
      <w:r w:rsidRPr="0047286B">
        <w:rPr>
          <w:rFonts w:ascii="Arial" w:hAnsi="Arial"/>
          <w:szCs w:val="22"/>
        </w:rPr>
        <w:t>de agosto d</w:t>
      </w:r>
      <w:r w:rsidR="005931A6" w:rsidRPr="0047286B">
        <w:rPr>
          <w:rFonts w:ascii="Arial" w:hAnsi="Arial"/>
          <w:szCs w:val="22"/>
        </w:rPr>
        <w:t>e dos mil diecinueve (2019)</w:t>
      </w:r>
    </w:p>
    <w:p w14:paraId="712BF181" w14:textId="77777777" w:rsidR="005931A6" w:rsidRPr="0047286B" w:rsidRDefault="005931A6" w:rsidP="005059D9">
      <w:pPr>
        <w:widowControl w:val="0"/>
        <w:autoSpaceDE w:val="0"/>
        <w:autoSpaceDN w:val="0"/>
        <w:adjustRightInd w:val="0"/>
        <w:rPr>
          <w:rFonts w:ascii="Arial" w:hAnsi="Arial"/>
          <w:b/>
          <w:szCs w:val="22"/>
        </w:rPr>
      </w:pPr>
    </w:p>
    <w:p w14:paraId="3DDCD866" w14:textId="0ABB26EE" w:rsidR="005931A6" w:rsidRPr="0047286B" w:rsidRDefault="005931A6" w:rsidP="005059D9">
      <w:pPr>
        <w:widowControl w:val="0"/>
        <w:autoSpaceDE w:val="0"/>
        <w:autoSpaceDN w:val="0"/>
        <w:adjustRightInd w:val="0"/>
        <w:rPr>
          <w:rFonts w:ascii="Arial" w:hAnsi="Arial"/>
          <w:b/>
          <w:szCs w:val="22"/>
        </w:rPr>
      </w:pPr>
      <w:r w:rsidRPr="0047286B">
        <w:rPr>
          <w:rFonts w:ascii="Arial" w:hAnsi="Arial"/>
          <w:b/>
          <w:szCs w:val="22"/>
        </w:rPr>
        <w:t>Radicación</w:t>
      </w:r>
      <w:r w:rsidR="0047286B">
        <w:rPr>
          <w:rFonts w:ascii="Arial" w:hAnsi="Arial"/>
          <w:b/>
          <w:szCs w:val="22"/>
        </w:rPr>
        <w:t xml:space="preserve"> número</w:t>
      </w:r>
      <w:r w:rsidRPr="0047286B">
        <w:rPr>
          <w:rFonts w:ascii="Arial" w:hAnsi="Arial"/>
          <w:b/>
          <w:szCs w:val="22"/>
        </w:rPr>
        <w:t>:</w:t>
      </w:r>
      <w:r w:rsidR="0047286B">
        <w:rPr>
          <w:rFonts w:ascii="Arial" w:hAnsi="Arial"/>
          <w:b/>
          <w:szCs w:val="22"/>
        </w:rPr>
        <w:t xml:space="preserve"> </w:t>
      </w:r>
      <w:r w:rsidR="00CA0F43" w:rsidRPr="0047286B">
        <w:rPr>
          <w:rFonts w:ascii="Arial" w:hAnsi="Arial"/>
          <w:b/>
          <w:szCs w:val="22"/>
        </w:rPr>
        <w:t>50001</w:t>
      </w:r>
      <w:r w:rsidR="00163247" w:rsidRPr="0047286B">
        <w:rPr>
          <w:rFonts w:ascii="Arial" w:hAnsi="Arial"/>
          <w:b/>
          <w:szCs w:val="22"/>
        </w:rPr>
        <w:t>-23-</w:t>
      </w:r>
      <w:r w:rsidR="00CA0F43" w:rsidRPr="0047286B">
        <w:rPr>
          <w:rFonts w:ascii="Arial" w:hAnsi="Arial"/>
          <w:b/>
          <w:szCs w:val="22"/>
        </w:rPr>
        <w:t>33-000-2017</w:t>
      </w:r>
      <w:r w:rsidRPr="0047286B">
        <w:rPr>
          <w:rFonts w:ascii="Arial" w:hAnsi="Arial"/>
          <w:b/>
          <w:bCs/>
          <w:szCs w:val="22"/>
        </w:rPr>
        <w:t>-</w:t>
      </w:r>
      <w:r w:rsidR="00CA0F43" w:rsidRPr="0047286B">
        <w:rPr>
          <w:rFonts w:ascii="Arial" w:hAnsi="Arial"/>
          <w:b/>
          <w:bCs/>
          <w:szCs w:val="22"/>
        </w:rPr>
        <w:t>00420</w:t>
      </w:r>
      <w:r w:rsidRPr="0047286B">
        <w:rPr>
          <w:rFonts w:ascii="Arial" w:hAnsi="Arial"/>
          <w:b/>
          <w:bCs/>
          <w:szCs w:val="22"/>
        </w:rPr>
        <w:t xml:space="preserve">-01 </w:t>
      </w:r>
      <w:r w:rsidRPr="0047286B">
        <w:rPr>
          <w:rFonts w:ascii="Arial" w:hAnsi="Arial"/>
          <w:b/>
          <w:szCs w:val="22"/>
        </w:rPr>
        <w:t>(</w:t>
      </w:r>
      <w:r w:rsidR="00CA0F43" w:rsidRPr="0047286B">
        <w:rPr>
          <w:rFonts w:ascii="Arial" w:hAnsi="Arial"/>
          <w:b/>
          <w:szCs w:val="22"/>
        </w:rPr>
        <w:t>64494</w:t>
      </w:r>
      <w:r w:rsidRPr="0047286B">
        <w:rPr>
          <w:rFonts w:ascii="Arial" w:hAnsi="Arial"/>
          <w:b/>
          <w:bCs/>
          <w:szCs w:val="22"/>
        </w:rPr>
        <w:t>)</w:t>
      </w:r>
    </w:p>
    <w:p w14:paraId="13A4B4F0" w14:textId="77777777" w:rsidR="0047286B" w:rsidRDefault="0047286B" w:rsidP="005059D9">
      <w:pPr>
        <w:widowControl w:val="0"/>
        <w:autoSpaceDE w:val="0"/>
        <w:autoSpaceDN w:val="0"/>
        <w:adjustRightInd w:val="0"/>
        <w:rPr>
          <w:rFonts w:ascii="Arial" w:hAnsi="Arial"/>
          <w:b/>
          <w:szCs w:val="22"/>
        </w:rPr>
      </w:pPr>
    </w:p>
    <w:p w14:paraId="5C66A8AE" w14:textId="0BE963C2" w:rsidR="005931A6" w:rsidRPr="0047286B" w:rsidRDefault="005931A6" w:rsidP="005059D9">
      <w:pPr>
        <w:widowControl w:val="0"/>
        <w:autoSpaceDE w:val="0"/>
        <w:autoSpaceDN w:val="0"/>
        <w:adjustRightInd w:val="0"/>
        <w:rPr>
          <w:rFonts w:ascii="Arial" w:hAnsi="Arial"/>
          <w:b/>
          <w:szCs w:val="22"/>
        </w:rPr>
      </w:pPr>
      <w:r w:rsidRPr="0047286B">
        <w:rPr>
          <w:rFonts w:ascii="Arial" w:hAnsi="Arial"/>
          <w:b/>
          <w:szCs w:val="22"/>
        </w:rPr>
        <w:t>Actor:</w:t>
      </w:r>
      <w:r w:rsidR="0047286B">
        <w:rPr>
          <w:rFonts w:ascii="Arial" w:hAnsi="Arial"/>
          <w:b/>
          <w:szCs w:val="22"/>
        </w:rPr>
        <w:t xml:space="preserve"> </w:t>
      </w:r>
      <w:r w:rsidR="0047286B" w:rsidRPr="0047286B">
        <w:rPr>
          <w:rFonts w:ascii="Arial" w:hAnsi="Arial"/>
          <w:b/>
          <w:szCs w:val="22"/>
        </w:rPr>
        <w:t>AGENCIA PARA LA INFRAESTRUCTURA DEL META</w:t>
      </w:r>
    </w:p>
    <w:p w14:paraId="0C45DD68" w14:textId="77777777" w:rsidR="0047286B" w:rsidRDefault="0047286B" w:rsidP="005059D9">
      <w:pPr>
        <w:widowControl w:val="0"/>
        <w:autoSpaceDE w:val="0"/>
        <w:autoSpaceDN w:val="0"/>
        <w:adjustRightInd w:val="0"/>
        <w:rPr>
          <w:rFonts w:ascii="Arial" w:hAnsi="Arial"/>
          <w:b/>
          <w:szCs w:val="22"/>
        </w:rPr>
      </w:pPr>
    </w:p>
    <w:p w14:paraId="6961FD11" w14:textId="2195D62A" w:rsidR="005931A6" w:rsidRPr="0047286B" w:rsidRDefault="005931A6" w:rsidP="005059D9">
      <w:pPr>
        <w:widowControl w:val="0"/>
        <w:autoSpaceDE w:val="0"/>
        <w:autoSpaceDN w:val="0"/>
        <w:adjustRightInd w:val="0"/>
        <w:rPr>
          <w:rFonts w:ascii="Arial" w:hAnsi="Arial"/>
          <w:b/>
          <w:szCs w:val="22"/>
        </w:rPr>
      </w:pPr>
      <w:r w:rsidRPr="0047286B">
        <w:rPr>
          <w:rFonts w:ascii="Arial" w:hAnsi="Arial"/>
          <w:b/>
          <w:szCs w:val="22"/>
        </w:rPr>
        <w:t xml:space="preserve">Demandado: </w:t>
      </w:r>
      <w:r w:rsidR="0047286B" w:rsidRPr="0047286B">
        <w:rPr>
          <w:rFonts w:ascii="Arial" w:hAnsi="Arial" w:cs="Arial"/>
          <w:b/>
          <w:szCs w:val="22"/>
        </w:rPr>
        <w:t xml:space="preserve">UNIVERSIDAD DE CUNDINAMARCA – UDEC </w:t>
      </w:r>
    </w:p>
    <w:p w14:paraId="411CE0D0" w14:textId="7F1D1D07" w:rsidR="0047286B" w:rsidRDefault="0047286B" w:rsidP="005059D9">
      <w:pPr>
        <w:widowControl w:val="0"/>
        <w:autoSpaceDE w:val="0"/>
        <w:autoSpaceDN w:val="0"/>
        <w:adjustRightInd w:val="0"/>
        <w:rPr>
          <w:rFonts w:ascii="Arial" w:hAnsi="Arial"/>
          <w:b/>
          <w:szCs w:val="22"/>
        </w:rPr>
      </w:pPr>
    </w:p>
    <w:p w14:paraId="1AEF8291" w14:textId="7170B33D" w:rsidR="0047286B" w:rsidRDefault="0047286B" w:rsidP="005059D9">
      <w:pPr>
        <w:widowControl w:val="0"/>
        <w:autoSpaceDE w:val="0"/>
        <w:autoSpaceDN w:val="0"/>
        <w:adjustRightInd w:val="0"/>
        <w:rPr>
          <w:rFonts w:ascii="Arial" w:hAnsi="Arial"/>
          <w:b/>
          <w:szCs w:val="22"/>
        </w:rPr>
      </w:pPr>
    </w:p>
    <w:p w14:paraId="0B991EB4" w14:textId="77777777" w:rsidR="0047286B" w:rsidRDefault="0047286B" w:rsidP="005059D9">
      <w:pPr>
        <w:widowControl w:val="0"/>
        <w:autoSpaceDE w:val="0"/>
        <w:autoSpaceDN w:val="0"/>
        <w:adjustRightInd w:val="0"/>
        <w:rPr>
          <w:rFonts w:ascii="Arial" w:hAnsi="Arial"/>
          <w:b/>
          <w:szCs w:val="22"/>
        </w:rPr>
      </w:pPr>
    </w:p>
    <w:p w14:paraId="6F36578E" w14:textId="0D8D41AC" w:rsidR="005931A6" w:rsidRPr="0047286B" w:rsidRDefault="0047286B" w:rsidP="005059D9">
      <w:pPr>
        <w:widowControl w:val="0"/>
        <w:autoSpaceDE w:val="0"/>
        <w:autoSpaceDN w:val="0"/>
        <w:adjustRightInd w:val="0"/>
        <w:rPr>
          <w:rFonts w:ascii="Arial" w:hAnsi="Arial"/>
          <w:b/>
          <w:bCs/>
          <w:szCs w:val="22"/>
        </w:rPr>
      </w:pPr>
      <w:r>
        <w:rPr>
          <w:rFonts w:ascii="Arial" w:hAnsi="Arial"/>
          <w:b/>
          <w:szCs w:val="22"/>
        </w:rPr>
        <w:t>Referencia</w:t>
      </w:r>
      <w:r w:rsidR="005931A6" w:rsidRPr="0047286B">
        <w:rPr>
          <w:rFonts w:ascii="Arial" w:hAnsi="Arial"/>
          <w:b/>
          <w:szCs w:val="22"/>
        </w:rPr>
        <w:t>:</w:t>
      </w:r>
      <w:r>
        <w:rPr>
          <w:rFonts w:ascii="Arial" w:hAnsi="Arial"/>
          <w:b/>
          <w:szCs w:val="22"/>
        </w:rPr>
        <w:t xml:space="preserve"> </w:t>
      </w:r>
      <w:r w:rsidRPr="0047286B">
        <w:rPr>
          <w:rFonts w:ascii="Arial" w:hAnsi="Arial"/>
          <w:b/>
          <w:bCs/>
          <w:szCs w:val="22"/>
        </w:rPr>
        <w:t>CONTROVERSIAS CONTRACTUALES</w:t>
      </w:r>
    </w:p>
    <w:p w14:paraId="12C9CF63" w14:textId="77777777" w:rsidR="005931A6" w:rsidRPr="00712CD1" w:rsidRDefault="005931A6" w:rsidP="005931A6">
      <w:pPr>
        <w:spacing w:line="360" w:lineRule="auto"/>
        <w:jc w:val="both"/>
        <w:rPr>
          <w:rFonts w:ascii="Century Gothic" w:hAnsi="Century Gothic" w:cs="Tahoma"/>
          <w:b/>
          <w:sz w:val="22"/>
          <w:szCs w:val="22"/>
        </w:rPr>
      </w:pPr>
    </w:p>
    <w:p w14:paraId="383F9DCB" w14:textId="1CFB9C7F" w:rsidR="005931A6" w:rsidRDefault="005931A6" w:rsidP="005B43A6">
      <w:pPr>
        <w:spacing w:line="360" w:lineRule="auto"/>
        <w:jc w:val="both"/>
        <w:rPr>
          <w:rFonts w:ascii="Century Gothic" w:hAnsi="Century Gothic" w:cs="Tahoma"/>
          <w:sz w:val="22"/>
          <w:szCs w:val="22"/>
        </w:rPr>
      </w:pPr>
      <w:r w:rsidRPr="00712CD1">
        <w:rPr>
          <w:rFonts w:ascii="Century Gothic" w:hAnsi="Century Gothic" w:cs="Tahoma"/>
          <w:sz w:val="22"/>
          <w:szCs w:val="22"/>
        </w:rPr>
        <w:t xml:space="preserve">Se decide el recurso de apelación interpuesto por </w:t>
      </w:r>
      <w:r w:rsidR="005B43A6">
        <w:rPr>
          <w:rFonts w:ascii="Century Gothic" w:hAnsi="Century Gothic" w:cs="Tahoma"/>
          <w:sz w:val="22"/>
          <w:szCs w:val="22"/>
        </w:rPr>
        <w:t xml:space="preserve">la parte demandante contra </w:t>
      </w:r>
      <w:r w:rsidR="00420165">
        <w:rPr>
          <w:rFonts w:ascii="Century Gothic" w:hAnsi="Century Gothic" w:cs="Tahoma"/>
          <w:sz w:val="22"/>
          <w:szCs w:val="22"/>
        </w:rPr>
        <w:t>el</w:t>
      </w:r>
      <w:r w:rsidR="00163247">
        <w:rPr>
          <w:rFonts w:ascii="Century Gothic" w:hAnsi="Century Gothic" w:cs="Tahoma"/>
          <w:sz w:val="22"/>
          <w:szCs w:val="22"/>
        </w:rPr>
        <w:t xml:space="preserve"> </w:t>
      </w:r>
      <w:r w:rsidR="005B43A6">
        <w:rPr>
          <w:rFonts w:ascii="Century Gothic" w:hAnsi="Century Gothic" w:cs="Tahoma"/>
          <w:sz w:val="22"/>
          <w:szCs w:val="22"/>
        </w:rPr>
        <w:t xml:space="preserve">auto del </w:t>
      </w:r>
      <w:r w:rsidR="00420165">
        <w:rPr>
          <w:rFonts w:ascii="Century Gothic" w:hAnsi="Century Gothic" w:cs="Tahoma"/>
          <w:sz w:val="22"/>
          <w:szCs w:val="22"/>
        </w:rPr>
        <w:t>19</w:t>
      </w:r>
      <w:r w:rsidR="005B43A6">
        <w:rPr>
          <w:rFonts w:ascii="Century Gothic" w:hAnsi="Century Gothic" w:cs="Tahoma"/>
          <w:sz w:val="22"/>
          <w:szCs w:val="22"/>
        </w:rPr>
        <w:t xml:space="preserve"> de </w:t>
      </w:r>
      <w:r w:rsidR="00420165">
        <w:rPr>
          <w:rFonts w:ascii="Century Gothic" w:hAnsi="Century Gothic" w:cs="Tahoma"/>
          <w:sz w:val="22"/>
          <w:szCs w:val="22"/>
        </w:rPr>
        <w:t xml:space="preserve">julio </w:t>
      </w:r>
      <w:r w:rsidR="005B43A6">
        <w:rPr>
          <w:rFonts w:ascii="Century Gothic" w:hAnsi="Century Gothic" w:cs="Tahoma"/>
          <w:sz w:val="22"/>
          <w:szCs w:val="22"/>
        </w:rPr>
        <w:t xml:space="preserve">de 2019, mediante </w:t>
      </w:r>
      <w:r w:rsidR="00420165">
        <w:rPr>
          <w:rFonts w:ascii="Century Gothic" w:hAnsi="Century Gothic" w:cs="Tahoma"/>
          <w:sz w:val="22"/>
          <w:szCs w:val="22"/>
        </w:rPr>
        <w:t xml:space="preserve">el </w:t>
      </w:r>
      <w:r w:rsidR="005B43A6">
        <w:rPr>
          <w:rFonts w:ascii="Century Gothic" w:hAnsi="Century Gothic" w:cs="Tahoma"/>
          <w:sz w:val="22"/>
          <w:szCs w:val="22"/>
        </w:rPr>
        <w:t>cual</w:t>
      </w:r>
      <w:r w:rsidR="00420165">
        <w:rPr>
          <w:rFonts w:ascii="Century Gothic" w:hAnsi="Century Gothic" w:cs="Tahoma"/>
          <w:sz w:val="22"/>
          <w:szCs w:val="22"/>
        </w:rPr>
        <w:t xml:space="preserve"> </w:t>
      </w:r>
      <w:r w:rsidR="005B43A6">
        <w:rPr>
          <w:rFonts w:ascii="Century Gothic" w:hAnsi="Century Gothic" w:cs="Tahoma"/>
          <w:sz w:val="22"/>
          <w:szCs w:val="22"/>
        </w:rPr>
        <w:t>el Tribunal Administrativo de</w:t>
      </w:r>
      <w:r w:rsidR="00420165">
        <w:rPr>
          <w:rFonts w:ascii="Century Gothic" w:hAnsi="Century Gothic" w:cs="Tahoma"/>
          <w:sz w:val="22"/>
          <w:szCs w:val="22"/>
        </w:rPr>
        <w:t xml:space="preserve">l Meta </w:t>
      </w:r>
      <w:r w:rsidR="007043CF">
        <w:rPr>
          <w:rFonts w:ascii="Century Gothic" w:hAnsi="Century Gothic" w:cs="Tahoma"/>
          <w:sz w:val="22"/>
          <w:szCs w:val="22"/>
        </w:rPr>
        <w:t>d</w:t>
      </w:r>
      <w:r w:rsidR="00420165">
        <w:rPr>
          <w:rFonts w:ascii="Century Gothic" w:hAnsi="Century Gothic" w:cs="Tahoma"/>
          <w:sz w:val="22"/>
          <w:szCs w:val="22"/>
        </w:rPr>
        <w:t>eclaró la caducidad de la acción y dio por terminado el proceso</w:t>
      </w:r>
      <w:r w:rsidR="005B43A6">
        <w:rPr>
          <w:rFonts w:ascii="Century Gothic" w:hAnsi="Century Gothic" w:cs="Tahoma"/>
          <w:sz w:val="22"/>
          <w:szCs w:val="22"/>
        </w:rPr>
        <w:t xml:space="preserve">. </w:t>
      </w:r>
    </w:p>
    <w:p w14:paraId="619474D2" w14:textId="77777777" w:rsidR="005B43A6" w:rsidRPr="00712CD1" w:rsidRDefault="005B43A6" w:rsidP="005B43A6">
      <w:pPr>
        <w:spacing w:line="360" w:lineRule="auto"/>
        <w:jc w:val="both"/>
        <w:rPr>
          <w:rFonts w:ascii="Century Gothic" w:hAnsi="Century Gothic" w:cs="Tahoma"/>
          <w:b/>
          <w:sz w:val="22"/>
          <w:szCs w:val="22"/>
        </w:rPr>
      </w:pPr>
    </w:p>
    <w:p w14:paraId="7B955507" w14:textId="77777777" w:rsidR="005931A6" w:rsidRDefault="005931A6" w:rsidP="005931A6">
      <w:pPr>
        <w:spacing w:line="360" w:lineRule="auto"/>
        <w:jc w:val="center"/>
        <w:rPr>
          <w:rFonts w:ascii="Century Gothic" w:hAnsi="Century Gothic" w:cs="Tahoma"/>
          <w:b/>
          <w:sz w:val="22"/>
          <w:szCs w:val="22"/>
        </w:rPr>
      </w:pPr>
      <w:r w:rsidRPr="00712CD1">
        <w:rPr>
          <w:rFonts w:ascii="Century Gothic" w:hAnsi="Century Gothic" w:cs="Tahoma"/>
          <w:b/>
          <w:sz w:val="22"/>
          <w:szCs w:val="22"/>
        </w:rPr>
        <w:t>ANTECEDENTES:</w:t>
      </w:r>
    </w:p>
    <w:p w14:paraId="66E9613F" w14:textId="77777777" w:rsidR="00820DAE" w:rsidRPr="00712CD1" w:rsidRDefault="00820DAE" w:rsidP="005931A6">
      <w:pPr>
        <w:spacing w:line="360" w:lineRule="auto"/>
        <w:jc w:val="center"/>
        <w:rPr>
          <w:rFonts w:ascii="Century Gothic" w:hAnsi="Century Gothic" w:cs="Tahoma"/>
          <w:b/>
          <w:sz w:val="22"/>
          <w:szCs w:val="22"/>
        </w:rPr>
      </w:pPr>
    </w:p>
    <w:p w14:paraId="2AEBD70B" w14:textId="4DC60596" w:rsidR="005931A6" w:rsidRPr="00712CD1" w:rsidRDefault="00C154B2" w:rsidP="005931A6">
      <w:pPr>
        <w:spacing w:line="360" w:lineRule="auto"/>
        <w:jc w:val="both"/>
        <w:rPr>
          <w:rFonts w:ascii="Century Gothic" w:hAnsi="Century Gothic"/>
          <w:b/>
          <w:iCs/>
          <w:sz w:val="22"/>
          <w:szCs w:val="22"/>
        </w:rPr>
      </w:pPr>
      <w:r w:rsidRPr="00C154B2">
        <w:rPr>
          <w:rFonts w:ascii="Century Gothic" w:hAnsi="Century Gothic" w:cs="Tahoma"/>
          <w:b/>
          <w:sz w:val="22"/>
          <w:szCs w:val="22"/>
        </w:rPr>
        <w:t xml:space="preserve">1. </w:t>
      </w:r>
      <w:r w:rsidR="005931A6" w:rsidRPr="00712CD1">
        <w:rPr>
          <w:rFonts w:ascii="Century Gothic" w:hAnsi="Century Gothic" w:cs="Tahoma"/>
          <w:sz w:val="22"/>
          <w:szCs w:val="22"/>
        </w:rPr>
        <w:t xml:space="preserve"> </w:t>
      </w:r>
      <w:r w:rsidR="005931A6" w:rsidRPr="00712CD1">
        <w:rPr>
          <w:rFonts w:ascii="Century Gothic" w:hAnsi="Century Gothic"/>
          <w:b/>
          <w:iCs/>
          <w:sz w:val="22"/>
          <w:szCs w:val="22"/>
        </w:rPr>
        <w:t>La demanda.</w:t>
      </w:r>
    </w:p>
    <w:p w14:paraId="34A5913F" w14:textId="77777777" w:rsidR="005931A6" w:rsidRPr="00712CD1" w:rsidRDefault="005931A6" w:rsidP="005931A6">
      <w:pPr>
        <w:widowControl w:val="0"/>
        <w:spacing w:line="360" w:lineRule="auto"/>
        <w:ind w:left="720"/>
        <w:jc w:val="both"/>
        <w:rPr>
          <w:rFonts w:ascii="Century Gothic" w:hAnsi="Century Gothic"/>
          <w:b/>
          <w:iCs/>
          <w:sz w:val="22"/>
          <w:szCs w:val="22"/>
        </w:rPr>
      </w:pPr>
    </w:p>
    <w:p w14:paraId="05B2F517" w14:textId="2DCA6959" w:rsidR="008C1CF7" w:rsidRPr="008C1CF7" w:rsidRDefault="00163886" w:rsidP="005931A6">
      <w:pPr>
        <w:spacing w:line="360" w:lineRule="auto"/>
        <w:jc w:val="both"/>
        <w:rPr>
          <w:rFonts w:ascii="Century Gothic" w:hAnsi="Century Gothic" w:cs="Tahoma"/>
          <w:sz w:val="22"/>
          <w:szCs w:val="22"/>
        </w:rPr>
      </w:pPr>
      <w:r w:rsidRPr="008C1CF7">
        <w:rPr>
          <w:rFonts w:ascii="Century Gothic" w:hAnsi="Century Gothic" w:cs="Tahoma"/>
          <w:sz w:val="22"/>
          <w:szCs w:val="22"/>
        </w:rPr>
        <w:lastRenderedPageBreak/>
        <w:t xml:space="preserve">El </w:t>
      </w:r>
      <w:r w:rsidR="008C1CF7" w:rsidRPr="008C1CF7">
        <w:rPr>
          <w:rFonts w:ascii="Century Gothic" w:hAnsi="Century Gothic" w:cs="Tahoma"/>
          <w:sz w:val="22"/>
          <w:szCs w:val="22"/>
        </w:rPr>
        <w:t>4</w:t>
      </w:r>
      <w:r w:rsidR="005B43A6" w:rsidRPr="008C1CF7">
        <w:rPr>
          <w:rFonts w:ascii="Century Gothic" w:hAnsi="Century Gothic" w:cs="Tahoma"/>
          <w:sz w:val="22"/>
          <w:szCs w:val="22"/>
        </w:rPr>
        <w:t xml:space="preserve"> </w:t>
      </w:r>
      <w:r w:rsidR="005931A6" w:rsidRPr="008C1CF7">
        <w:rPr>
          <w:rFonts w:ascii="Century Gothic" w:hAnsi="Century Gothic" w:cs="Tahoma"/>
          <w:sz w:val="22"/>
          <w:szCs w:val="22"/>
        </w:rPr>
        <w:t xml:space="preserve">de </w:t>
      </w:r>
      <w:r w:rsidR="008C1CF7" w:rsidRPr="008C1CF7">
        <w:rPr>
          <w:rFonts w:ascii="Century Gothic" w:hAnsi="Century Gothic" w:cs="Tahoma"/>
          <w:sz w:val="22"/>
          <w:szCs w:val="22"/>
        </w:rPr>
        <w:t xml:space="preserve">agosto </w:t>
      </w:r>
      <w:r w:rsidR="00D40BB3" w:rsidRPr="008C1CF7">
        <w:rPr>
          <w:rFonts w:ascii="Century Gothic" w:hAnsi="Century Gothic" w:cs="Tahoma"/>
          <w:sz w:val="22"/>
          <w:szCs w:val="22"/>
        </w:rPr>
        <w:t xml:space="preserve">de </w:t>
      </w:r>
      <w:r w:rsidR="008C1CF7" w:rsidRPr="008C1CF7">
        <w:rPr>
          <w:rFonts w:ascii="Century Gothic" w:hAnsi="Century Gothic" w:cs="Tahoma"/>
          <w:sz w:val="22"/>
          <w:szCs w:val="22"/>
        </w:rPr>
        <w:t>2017</w:t>
      </w:r>
      <w:r w:rsidR="005931A6" w:rsidRPr="008C1CF7">
        <w:rPr>
          <w:rFonts w:ascii="Century Gothic" w:hAnsi="Century Gothic" w:cs="Tahoma"/>
          <w:sz w:val="22"/>
          <w:szCs w:val="22"/>
        </w:rPr>
        <w:t xml:space="preserve">, </w:t>
      </w:r>
      <w:r w:rsidR="008C1CF7" w:rsidRPr="008C1CF7">
        <w:rPr>
          <w:rFonts w:ascii="Century Gothic" w:hAnsi="Century Gothic" w:cs="Tahoma"/>
          <w:sz w:val="22"/>
          <w:szCs w:val="22"/>
        </w:rPr>
        <w:t>la Agencia para la Infraestructura del Meta</w:t>
      </w:r>
      <w:r w:rsidR="008C1CF7">
        <w:rPr>
          <w:rFonts w:ascii="Century Gothic" w:hAnsi="Century Gothic" w:cs="Tahoma"/>
          <w:sz w:val="22"/>
          <w:szCs w:val="22"/>
        </w:rPr>
        <w:t xml:space="preserve"> interpuso demanda, en ejercicio de la acción de controversias contractuales y por conducto de apoderado, contra la Universidad de Cundinamarca – UDEC, con el fin de que se declare </w:t>
      </w:r>
      <w:r w:rsidR="00B63A4F">
        <w:rPr>
          <w:rFonts w:ascii="Century Gothic" w:hAnsi="Century Gothic" w:cs="Tahoma"/>
          <w:sz w:val="22"/>
          <w:szCs w:val="22"/>
        </w:rPr>
        <w:t xml:space="preserve">que ésta incumplió </w:t>
      </w:r>
      <w:r w:rsidR="008C1CF7">
        <w:rPr>
          <w:rFonts w:ascii="Century Gothic" w:hAnsi="Century Gothic" w:cs="Tahoma"/>
          <w:sz w:val="22"/>
          <w:szCs w:val="22"/>
        </w:rPr>
        <w:t xml:space="preserve">el contrato 52 de 2011, se </w:t>
      </w:r>
      <w:r w:rsidR="00B63A4F">
        <w:rPr>
          <w:rFonts w:ascii="Century Gothic" w:hAnsi="Century Gothic" w:cs="Tahoma"/>
          <w:sz w:val="22"/>
          <w:szCs w:val="22"/>
        </w:rPr>
        <w:t xml:space="preserve">le </w:t>
      </w:r>
      <w:r w:rsidR="008C1CF7">
        <w:rPr>
          <w:rFonts w:ascii="Century Gothic" w:hAnsi="Century Gothic" w:cs="Tahoma"/>
          <w:sz w:val="22"/>
          <w:szCs w:val="22"/>
        </w:rPr>
        <w:t>obligue a pagar la cláusula penal pactada, se liquide el contrato y se declare a la demandante a paz y salvo en sus obligaciones (</w:t>
      </w:r>
      <w:proofErr w:type="spellStart"/>
      <w:r w:rsidR="008C1CF7">
        <w:rPr>
          <w:rFonts w:ascii="Century Gothic" w:hAnsi="Century Gothic" w:cs="Tahoma"/>
          <w:sz w:val="22"/>
          <w:szCs w:val="22"/>
        </w:rPr>
        <w:t>fls</w:t>
      </w:r>
      <w:proofErr w:type="spellEnd"/>
      <w:r w:rsidR="008C1CF7">
        <w:rPr>
          <w:rFonts w:ascii="Century Gothic" w:hAnsi="Century Gothic" w:cs="Tahoma"/>
          <w:sz w:val="22"/>
          <w:szCs w:val="22"/>
        </w:rPr>
        <w:t xml:space="preserve">. 2 a 7 C. </w:t>
      </w:r>
      <w:r w:rsidR="007A48D7">
        <w:rPr>
          <w:rFonts w:ascii="Century Gothic" w:hAnsi="Century Gothic" w:cs="Tahoma"/>
          <w:sz w:val="22"/>
          <w:szCs w:val="22"/>
        </w:rPr>
        <w:t>1)</w:t>
      </w:r>
      <w:r w:rsidR="008C1CF7">
        <w:rPr>
          <w:rFonts w:ascii="Century Gothic" w:hAnsi="Century Gothic" w:cs="Tahoma"/>
          <w:sz w:val="22"/>
          <w:szCs w:val="22"/>
        </w:rPr>
        <w:t xml:space="preserve">. </w:t>
      </w:r>
    </w:p>
    <w:p w14:paraId="25F70CEF" w14:textId="77777777" w:rsidR="00B42905" w:rsidRDefault="00B42905" w:rsidP="005931A6">
      <w:pPr>
        <w:spacing w:line="360" w:lineRule="auto"/>
        <w:jc w:val="both"/>
        <w:rPr>
          <w:rFonts w:ascii="Century Gothic" w:hAnsi="Century Gothic" w:cs="Tahoma"/>
          <w:sz w:val="22"/>
          <w:szCs w:val="22"/>
        </w:rPr>
      </w:pPr>
    </w:p>
    <w:p w14:paraId="73E32E22" w14:textId="36CB9062" w:rsidR="00C4646B" w:rsidRPr="00C4646B" w:rsidRDefault="00C154B2" w:rsidP="005931A6">
      <w:pPr>
        <w:spacing w:line="360" w:lineRule="auto"/>
        <w:jc w:val="both"/>
        <w:rPr>
          <w:rFonts w:ascii="Century Gothic" w:hAnsi="Century Gothic" w:cs="Tahoma"/>
          <w:b/>
          <w:sz w:val="22"/>
          <w:szCs w:val="22"/>
        </w:rPr>
      </w:pPr>
      <w:r>
        <w:rPr>
          <w:rFonts w:ascii="Century Gothic" w:hAnsi="Century Gothic" w:cs="Tahoma"/>
          <w:b/>
          <w:sz w:val="22"/>
          <w:szCs w:val="22"/>
        </w:rPr>
        <w:t xml:space="preserve">2. </w:t>
      </w:r>
      <w:r w:rsidR="00B06567">
        <w:rPr>
          <w:rFonts w:ascii="Century Gothic" w:hAnsi="Century Gothic" w:cs="Tahoma"/>
          <w:b/>
          <w:sz w:val="22"/>
          <w:szCs w:val="22"/>
        </w:rPr>
        <w:t>Providencia</w:t>
      </w:r>
      <w:r w:rsidR="00420165">
        <w:rPr>
          <w:rFonts w:ascii="Century Gothic" w:hAnsi="Century Gothic" w:cs="Tahoma"/>
          <w:b/>
          <w:sz w:val="22"/>
          <w:szCs w:val="22"/>
        </w:rPr>
        <w:t xml:space="preserve"> apelada</w:t>
      </w:r>
      <w:r w:rsidR="00C4646B" w:rsidRPr="00C4646B">
        <w:rPr>
          <w:rFonts w:ascii="Century Gothic" w:hAnsi="Century Gothic" w:cs="Tahoma"/>
          <w:b/>
          <w:sz w:val="22"/>
          <w:szCs w:val="22"/>
        </w:rPr>
        <w:t>.</w:t>
      </w:r>
    </w:p>
    <w:p w14:paraId="6D6DC5C9" w14:textId="77777777" w:rsidR="00C4646B" w:rsidRDefault="00C4646B" w:rsidP="005931A6">
      <w:pPr>
        <w:spacing w:line="360" w:lineRule="auto"/>
        <w:jc w:val="both"/>
        <w:rPr>
          <w:rFonts w:ascii="Century Gothic" w:hAnsi="Century Gothic" w:cs="Tahoma"/>
          <w:sz w:val="22"/>
          <w:szCs w:val="22"/>
        </w:rPr>
      </w:pPr>
    </w:p>
    <w:p w14:paraId="20CAB1F9" w14:textId="717C5B76" w:rsidR="006906A1" w:rsidRDefault="007C6138" w:rsidP="006906A1">
      <w:pPr>
        <w:spacing w:line="360" w:lineRule="auto"/>
        <w:jc w:val="both"/>
        <w:rPr>
          <w:rFonts w:ascii="Century Gothic" w:hAnsi="Century Gothic" w:cs="Tahoma"/>
          <w:sz w:val="22"/>
          <w:szCs w:val="22"/>
        </w:rPr>
      </w:pPr>
      <w:r>
        <w:rPr>
          <w:rFonts w:ascii="Century Gothic" w:hAnsi="Century Gothic" w:cs="Tahoma"/>
          <w:sz w:val="22"/>
          <w:szCs w:val="22"/>
        </w:rPr>
        <w:t xml:space="preserve">Mediante </w:t>
      </w:r>
      <w:r w:rsidR="00420165">
        <w:rPr>
          <w:rFonts w:ascii="Century Gothic" w:hAnsi="Century Gothic" w:cs="Tahoma"/>
          <w:sz w:val="22"/>
          <w:szCs w:val="22"/>
        </w:rPr>
        <w:t>auto del 19 de julio de 2019</w:t>
      </w:r>
      <w:r>
        <w:rPr>
          <w:rFonts w:ascii="Century Gothic" w:hAnsi="Century Gothic" w:cs="Tahoma"/>
          <w:sz w:val="22"/>
          <w:szCs w:val="22"/>
        </w:rPr>
        <w:t>, el Tribunal Administrativo de</w:t>
      </w:r>
      <w:r w:rsidR="00420165">
        <w:rPr>
          <w:rFonts w:ascii="Century Gothic" w:hAnsi="Century Gothic" w:cs="Tahoma"/>
          <w:sz w:val="22"/>
          <w:szCs w:val="22"/>
        </w:rPr>
        <w:t>l Meta declaró la caducidad de la acción y dio por terminado el proceso</w:t>
      </w:r>
      <w:r w:rsidR="006906A1">
        <w:rPr>
          <w:rFonts w:ascii="Century Gothic" w:hAnsi="Century Gothic" w:cs="Tahoma"/>
          <w:sz w:val="22"/>
          <w:szCs w:val="22"/>
        </w:rPr>
        <w:t xml:space="preserve">. </w:t>
      </w:r>
    </w:p>
    <w:p w14:paraId="335B5DE8" w14:textId="77777777" w:rsidR="006906A1" w:rsidRDefault="006906A1" w:rsidP="005931A6">
      <w:pPr>
        <w:spacing w:line="360" w:lineRule="auto"/>
        <w:jc w:val="both"/>
        <w:rPr>
          <w:rFonts w:ascii="Century Gothic" w:hAnsi="Century Gothic" w:cs="Tahoma"/>
          <w:sz w:val="22"/>
          <w:szCs w:val="22"/>
        </w:rPr>
      </w:pPr>
    </w:p>
    <w:p w14:paraId="4ACDB753" w14:textId="6853062D" w:rsidR="00420165" w:rsidRDefault="00420165" w:rsidP="005931A6">
      <w:pPr>
        <w:spacing w:line="360" w:lineRule="auto"/>
        <w:jc w:val="both"/>
        <w:rPr>
          <w:rFonts w:ascii="Century Gothic" w:hAnsi="Century Gothic" w:cs="Tahoma"/>
          <w:sz w:val="22"/>
          <w:szCs w:val="22"/>
        </w:rPr>
      </w:pPr>
      <w:r>
        <w:rPr>
          <w:rFonts w:ascii="Century Gothic" w:hAnsi="Century Gothic" w:cs="Tahoma"/>
          <w:sz w:val="22"/>
          <w:szCs w:val="22"/>
        </w:rPr>
        <w:t>Como fundamento de su decisión, consideró el a quo que</w:t>
      </w:r>
      <w:r w:rsidR="00B63A4F">
        <w:rPr>
          <w:rFonts w:ascii="Century Gothic" w:hAnsi="Century Gothic" w:cs="Tahoma"/>
          <w:sz w:val="22"/>
          <w:szCs w:val="22"/>
        </w:rPr>
        <w:t>, cuando los contratos requiera</w:t>
      </w:r>
      <w:r>
        <w:rPr>
          <w:rFonts w:ascii="Century Gothic" w:hAnsi="Century Gothic" w:cs="Tahoma"/>
          <w:sz w:val="22"/>
          <w:szCs w:val="22"/>
        </w:rPr>
        <w:t xml:space="preserve">n liquidación y </w:t>
      </w:r>
      <w:r w:rsidR="00B63A4F">
        <w:rPr>
          <w:rFonts w:ascii="Century Gothic" w:hAnsi="Century Gothic" w:cs="Tahoma"/>
          <w:sz w:val="22"/>
          <w:szCs w:val="22"/>
        </w:rPr>
        <w:t>é</w:t>
      </w:r>
      <w:r>
        <w:rPr>
          <w:rFonts w:ascii="Century Gothic" w:hAnsi="Century Gothic" w:cs="Tahoma"/>
          <w:sz w:val="22"/>
          <w:szCs w:val="22"/>
        </w:rPr>
        <w:t xml:space="preserve">sta no se </w:t>
      </w:r>
      <w:r w:rsidR="00B63A4F">
        <w:rPr>
          <w:rFonts w:ascii="Century Gothic" w:hAnsi="Century Gothic" w:cs="Tahoma"/>
          <w:sz w:val="22"/>
          <w:szCs w:val="22"/>
        </w:rPr>
        <w:t xml:space="preserve">haga </w:t>
      </w:r>
      <w:r>
        <w:rPr>
          <w:rFonts w:ascii="Century Gothic" w:hAnsi="Century Gothic" w:cs="Tahoma"/>
          <w:sz w:val="22"/>
          <w:szCs w:val="22"/>
        </w:rPr>
        <w:t>bilateral ni unilateralmente, la caducidad debe contarse “</w:t>
      </w:r>
      <w:r w:rsidRPr="007043CF">
        <w:rPr>
          <w:rFonts w:ascii="Century Gothic" w:hAnsi="Century Gothic" w:cs="Tahoma"/>
          <w:i/>
          <w:sz w:val="22"/>
          <w:szCs w:val="22"/>
        </w:rPr>
        <w:t>una vez cumplido el término de dos (2) meses contados a partir del vencimiento del plazo convenido para hacerlo bilateralmente o, en su defecto, del tér</w:t>
      </w:r>
      <w:r w:rsidR="004126BB" w:rsidRPr="007043CF">
        <w:rPr>
          <w:rFonts w:ascii="Century Gothic" w:hAnsi="Century Gothic" w:cs="Tahoma"/>
          <w:i/>
          <w:sz w:val="22"/>
          <w:szCs w:val="22"/>
        </w:rPr>
        <w:t>mino de los cuatro (4) meses siguientes a la terminación del contrato</w:t>
      </w:r>
      <w:r w:rsidR="004126BB">
        <w:rPr>
          <w:rFonts w:ascii="Century Gothic" w:hAnsi="Century Gothic" w:cs="Tahoma"/>
          <w:sz w:val="22"/>
          <w:szCs w:val="22"/>
        </w:rPr>
        <w:t>”; en este caso, dijo</w:t>
      </w:r>
      <w:r w:rsidR="007043CF">
        <w:rPr>
          <w:rFonts w:ascii="Century Gothic" w:hAnsi="Century Gothic" w:cs="Tahoma"/>
          <w:sz w:val="22"/>
          <w:szCs w:val="22"/>
        </w:rPr>
        <w:t xml:space="preserve"> el tribunal</w:t>
      </w:r>
      <w:r w:rsidR="004126BB">
        <w:rPr>
          <w:rFonts w:ascii="Century Gothic" w:hAnsi="Century Gothic" w:cs="Tahoma"/>
          <w:sz w:val="22"/>
          <w:szCs w:val="22"/>
        </w:rPr>
        <w:t xml:space="preserve">, el plazo de ejecución contractual finalizó el 21 de octubre de 2014 y los </w:t>
      </w:r>
      <w:r w:rsidR="00B63A4F">
        <w:rPr>
          <w:rFonts w:ascii="Century Gothic" w:hAnsi="Century Gothic" w:cs="Tahoma"/>
          <w:sz w:val="22"/>
          <w:szCs w:val="22"/>
        </w:rPr>
        <w:t>términos (</w:t>
      </w:r>
      <w:r w:rsidR="004126BB">
        <w:rPr>
          <w:rFonts w:ascii="Century Gothic" w:hAnsi="Century Gothic" w:cs="Tahoma"/>
          <w:sz w:val="22"/>
          <w:szCs w:val="22"/>
        </w:rPr>
        <w:t xml:space="preserve">seis meses </w:t>
      </w:r>
      <w:r w:rsidR="00B63A4F">
        <w:rPr>
          <w:rFonts w:ascii="Century Gothic" w:hAnsi="Century Gothic" w:cs="Tahoma"/>
          <w:sz w:val="22"/>
          <w:szCs w:val="22"/>
        </w:rPr>
        <w:t xml:space="preserve">en total) </w:t>
      </w:r>
      <w:r w:rsidR="004126BB">
        <w:rPr>
          <w:rFonts w:ascii="Century Gothic" w:hAnsi="Century Gothic" w:cs="Tahoma"/>
          <w:sz w:val="22"/>
          <w:szCs w:val="22"/>
        </w:rPr>
        <w:t>para efectuar la liquidación</w:t>
      </w:r>
      <w:r w:rsidR="007043CF">
        <w:rPr>
          <w:rFonts w:ascii="Century Gothic" w:hAnsi="Century Gothic" w:cs="Tahoma"/>
          <w:sz w:val="22"/>
          <w:szCs w:val="22"/>
        </w:rPr>
        <w:t xml:space="preserve"> </w:t>
      </w:r>
      <w:r w:rsidR="00B63A4F">
        <w:rPr>
          <w:rFonts w:ascii="Century Gothic" w:hAnsi="Century Gothic" w:cs="Tahoma"/>
          <w:sz w:val="22"/>
          <w:szCs w:val="22"/>
        </w:rPr>
        <w:t>(</w:t>
      </w:r>
      <w:r w:rsidR="007043CF">
        <w:rPr>
          <w:rFonts w:ascii="Century Gothic" w:hAnsi="Century Gothic" w:cs="Tahoma"/>
          <w:sz w:val="22"/>
          <w:szCs w:val="22"/>
        </w:rPr>
        <w:t xml:space="preserve">bilateral </w:t>
      </w:r>
      <w:r w:rsidR="00B63A4F">
        <w:rPr>
          <w:rFonts w:ascii="Century Gothic" w:hAnsi="Century Gothic" w:cs="Tahoma"/>
          <w:sz w:val="22"/>
          <w:szCs w:val="22"/>
        </w:rPr>
        <w:t>o, en su defecto,</w:t>
      </w:r>
      <w:r w:rsidR="007043CF">
        <w:rPr>
          <w:rFonts w:ascii="Century Gothic" w:hAnsi="Century Gothic" w:cs="Tahoma"/>
          <w:sz w:val="22"/>
          <w:szCs w:val="22"/>
        </w:rPr>
        <w:t xml:space="preserve"> unilateralmente</w:t>
      </w:r>
      <w:r w:rsidR="00B63A4F">
        <w:rPr>
          <w:rFonts w:ascii="Century Gothic" w:hAnsi="Century Gothic" w:cs="Tahoma"/>
          <w:sz w:val="22"/>
          <w:szCs w:val="22"/>
        </w:rPr>
        <w:t>)</w:t>
      </w:r>
      <w:r w:rsidR="004126BB">
        <w:rPr>
          <w:rFonts w:ascii="Century Gothic" w:hAnsi="Century Gothic" w:cs="Tahoma"/>
          <w:sz w:val="22"/>
          <w:szCs w:val="22"/>
        </w:rPr>
        <w:t xml:space="preserve"> fenecieron el 21 de abril de 2015, razón por la cual</w:t>
      </w:r>
      <w:r w:rsidR="007043CF">
        <w:rPr>
          <w:rFonts w:ascii="Century Gothic" w:hAnsi="Century Gothic" w:cs="Tahoma"/>
          <w:sz w:val="22"/>
          <w:szCs w:val="22"/>
        </w:rPr>
        <w:t xml:space="preserve"> concluyó que</w:t>
      </w:r>
      <w:r w:rsidR="004126BB">
        <w:rPr>
          <w:rFonts w:ascii="Century Gothic" w:hAnsi="Century Gothic" w:cs="Tahoma"/>
          <w:sz w:val="22"/>
          <w:szCs w:val="22"/>
        </w:rPr>
        <w:t xml:space="preserve"> el demandante tenía hasta el  21 de abril de 2017, p</w:t>
      </w:r>
      <w:r w:rsidR="00B63A4F">
        <w:rPr>
          <w:rFonts w:ascii="Century Gothic" w:hAnsi="Century Gothic" w:cs="Tahoma"/>
          <w:sz w:val="22"/>
          <w:szCs w:val="22"/>
        </w:rPr>
        <w:t>ara presentar la demanda. Como esto se</w:t>
      </w:r>
      <w:r w:rsidR="004126BB">
        <w:rPr>
          <w:rFonts w:ascii="Century Gothic" w:hAnsi="Century Gothic" w:cs="Tahoma"/>
          <w:sz w:val="22"/>
          <w:szCs w:val="22"/>
        </w:rPr>
        <w:t xml:space="preserve"> hizo </w:t>
      </w:r>
      <w:r w:rsidR="00B63A4F">
        <w:rPr>
          <w:rFonts w:ascii="Century Gothic" w:hAnsi="Century Gothic" w:cs="Tahoma"/>
          <w:sz w:val="22"/>
          <w:szCs w:val="22"/>
        </w:rPr>
        <w:t xml:space="preserve">el </w:t>
      </w:r>
      <w:r w:rsidR="004126BB">
        <w:rPr>
          <w:rFonts w:ascii="Century Gothic" w:hAnsi="Century Gothic" w:cs="Tahoma"/>
          <w:sz w:val="22"/>
          <w:szCs w:val="22"/>
        </w:rPr>
        <w:t>8 de agosto de es</w:t>
      </w:r>
      <w:r w:rsidR="00B63A4F">
        <w:rPr>
          <w:rFonts w:ascii="Century Gothic" w:hAnsi="Century Gothic" w:cs="Tahoma"/>
          <w:sz w:val="22"/>
          <w:szCs w:val="22"/>
        </w:rPr>
        <w:t>t</w:t>
      </w:r>
      <w:r w:rsidR="004126BB">
        <w:rPr>
          <w:rFonts w:ascii="Century Gothic" w:hAnsi="Century Gothic" w:cs="Tahoma"/>
          <w:sz w:val="22"/>
          <w:szCs w:val="22"/>
        </w:rPr>
        <w:t xml:space="preserve">e </w:t>
      </w:r>
      <w:r w:rsidR="00B63A4F">
        <w:rPr>
          <w:rFonts w:ascii="Century Gothic" w:hAnsi="Century Gothic" w:cs="Tahoma"/>
          <w:sz w:val="22"/>
          <w:szCs w:val="22"/>
        </w:rPr>
        <w:t xml:space="preserve">último </w:t>
      </w:r>
      <w:r w:rsidR="004126BB">
        <w:rPr>
          <w:rFonts w:ascii="Century Gothic" w:hAnsi="Century Gothic" w:cs="Tahoma"/>
          <w:sz w:val="22"/>
          <w:szCs w:val="22"/>
        </w:rPr>
        <w:t>año, estimó</w:t>
      </w:r>
      <w:r w:rsidR="007043CF">
        <w:rPr>
          <w:rFonts w:ascii="Century Gothic" w:hAnsi="Century Gothic" w:cs="Tahoma"/>
          <w:sz w:val="22"/>
          <w:szCs w:val="22"/>
        </w:rPr>
        <w:t xml:space="preserve"> el a quo</w:t>
      </w:r>
      <w:r w:rsidR="004126BB">
        <w:rPr>
          <w:rFonts w:ascii="Century Gothic" w:hAnsi="Century Gothic" w:cs="Tahoma"/>
          <w:sz w:val="22"/>
          <w:szCs w:val="22"/>
        </w:rPr>
        <w:t xml:space="preserve"> que </w:t>
      </w:r>
      <w:r w:rsidR="007043CF">
        <w:rPr>
          <w:rFonts w:ascii="Century Gothic" w:hAnsi="Century Gothic" w:cs="Tahoma"/>
          <w:sz w:val="22"/>
          <w:szCs w:val="22"/>
        </w:rPr>
        <w:t xml:space="preserve">la demanda </w:t>
      </w:r>
      <w:r w:rsidR="00B63A4F">
        <w:rPr>
          <w:rFonts w:ascii="Century Gothic" w:hAnsi="Century Gothic" w:cs="Tahoma"/>
          <w:sz w:val="22"/>
          <w:szCs w:val="22"/>
        </w:rPr>
        <w:t>fue radicada por</w:t>
      </w:r>
      <w:r w:rsidR="004126BB">
        <w:rPr>
          <w:rFonts w:ascii="Century Gothic" w:hAnsi="Century Gothic" w:cs="Tahoma"/>
          <w:sz w:val="22"/>
          <w:szCs w:val="22"/>
        </w:rPr>
        <w:t xml:space="preserve"> fuera del término que consagra la ley (</w:t>
      </w:r>
      <w:proofErr w:type="spellStart"/>
      <w:r w:rsidR="004126BB">
        <w:rPr>
          <w:rFonts w:ascii="Century Gothic" w:hAnsi="Century Gothic" w:cs="Tahoma"/>
          <w:sz w:val="22"/>
          <w:szCs w:val="22"/>
        </w:rPr>
        <w:t>fls</w:t>
      </w:r>
      <w:proofErr w:type="spellEnd"/>
      <w:r w:rsidR="004126BB">
        <w:rPr>
          <w:rFonts w:ascii="Century Gothic" w:hAnsi="Century Gothic" w:cs="Tahoma"/>
          <w:sz w:val="22"/>
          <w:szCs w:val="22"/>
        </w:rPr>
        <w:t xml:space="preserve">. 222 a 225 C. </w:t>
      </w:r>
      <w:proofErr w:type="spellStart"/>
      <w:r w:rsidR="004126BB">
        <w:rPr>
          <w:rFonts w:ascii="Century Gothic" w:hAnsi="Century Gothic" w:cs="Tahoma"/>
          <w:sz w:val="22"/>
          <w:szCs w:val="22"/>
        </w:rPr>
        <w:t>Ppal</w:t>
      </w:r>
      <w:proofErr w:type="spellEnd"/>
      <w:r w:rsidR="004126BB">
        <w:rPr>
          <w:rFonts w:ascii="Century Gothic" w:hAnsi="Century Gothic" w:cs="Tahoma"/>
          <w:sz w:val="22"/>
          <w:szCs w:val="22"/>
        </w:rPr>
        <w:t>).</w:t>
      </w:r>
    </w:p>
    <w:p w14:paraId="50FED5ED" w14:textId="77777777" w:rsidR="00420165" w:rsidRDefault="00420165" w:rsidP="005931A6">
      <w:pPr>
        <w:spacing w:line="360" w:lineRule="auto"/>
        <w:jc w:val="both"/>
        <w:rPr>
          <w:rFonts w:ascii="Century Gothic" w:hAnsi="Century Gothic" w:cs="Tahoma"/>
          <w:sz w:val="22"/>
          <w:szCs w:val="22"/>
        </w:rPr>
      </w:pPr>
    </w:p>
    <w:p w14:paraId="4518EDB2" w14:textId="04684E84" w:rsidR="005931A6" w:rsidRPr="00712CD1" w:rsidRDefault="00C154B2" w:rsidP="005931A6">
      <w:pPr>
        <w:spacing w:line="360" w:lineRule="auto"/>
        <w:jc w:val="both"/>
        <w:rPr>
          <w:rFonts w:ascii="Century Gothic" w:hAnsi="Century Gothic"/>
          <w:b/>
          <w:sz w:val="22"/>
          <w:szCs w:val="22"/>
          <w:lang w:val="es-ES_tradnl"/>
        </w:rPr>
      </w:pPr>
      <w:r>
        <w:rPr>
          <w:rFonts w:ascii="Century Gothic" w:hAnsi="Century Gothic"/>
          <w:b/>
          <w:sz w:val="22"/>
          <w:szCs w:val="22"/>
          <w:lang w:val="es-ES_tradnl"/>
        </w:rPr>
        <w:t xml:space="preserve">3. </w:t>
      </w:r>
      <w:r w:rsidR="005931A6" w:rsidRPr="00712CD1">
        <w:rPr>
          <w:rFonts w:ascii="Century Gothic" w:hAnsi="Century Gothic"/>
          <w:b/>
          <w:sz w:val="22"/>
          <w:szCs w:val="22"/>
          <w:lang w:val="es-ES_tradnl"/>
        </w:rPr>
        <w:t>Recurso de apelación.</w:t>
      </w:r>
    </w:p>
    <w:p w14:paraId="68639563" w14:textId="77777777" w:rsidR="005931A6" w:rsidRPr="00712CD1" w:rsidRDefault="005931A6" w:rsidP="005931A6">
      <w:pPr>
        <w:spacing w:line="360" w:lineRule="auto"/>
        <w:jc w:val="both"/>
        <w:rPr>
          <w:rFonts w:ascii="Century Gothic" w:hAnsi="Century Gothic"/>
          <w:b/>
          <w:sz w:val="22"/>
          <w:szCs w:val="22"/>
          <w:lang w:val="es-ES_tradnl"/>
        </w:rPr>
      </w:pPr>
    </w:p>
    <w:p w14:paraId="576BC810" w14:textId="0802649D" w:rsidR="003221BF" w:rsidRDefault="00F04F5E" w:rsidP="00674D50">
      <w:pPr>
        <w:spacing w:line="360" w:lineRule="auto"/>
        <w:jc w:val="both"/>
        <w:rPr>
          <w:rFonts w:ascii="Century Gothic" w:hAnsi="Century Gothic"/>
          <w:sz w:val="22"/>
          <w:szCs w:val="22"/>
          <w:lang w:val="es-ES_tradnl"/>
        </w:rPr>
      </w:pPr>
      <w:r w:rsidRPr="00F04F5E">
        <w:rPr>
          <w:rFonts w:ascii="Century Gothic" w:hAnsi="Century Gothic"/>
          <w:sz w:val="22"/>
          <w:szCs w:val="22"/>
          <w:lang w:val="es-ES_tradnl"/>
        </w:rPr>
        <w:t xml:space="preserve">El apoderado de </w:t>
      </w:r>
      <w:r w:rsidR="007A48D7">
        <w:rPr>
          <w:rFonts w:ascii="Century Gothic" w:hAnsi="Century Gothic"/>
          <w:sz w:val="22"/>
          <w:szCs w:val="22"/>
          <w:lang w:val="es-ES_tradnl"/>
        </w:rPr>
        <w:t>la parte demandante aseguró que, según el informe de la interventoría y teniendo en cuenta las prórrogas y suspensiones contractuales, la fecha de vencimiento del contrato fue el 5 de diciembre de 2014</w:t>
      </w:r>
      <w:r w:rsidR="00B63A4F">
        <w:rPr>
          <w:rFonts w:ascii="Century Gothic" w:hAnsi="Century Gothic"/>
          <w:sz w:val="22"/>
          <w:szCs w:val="22"/>
          <w:lang w:val="es-ES_tradnl"/>
        </w:rPr>
        <w:t xml:space="preserve"> y</w:t>
      </w:r>
      <w:r w:rsidR="007A48D7">
        <w:rPr>
          <w:rFonts w:ascii="Century Gothic" w:hAnsi="Century Gothic"/>
          <w:sz w:val="22"/>
          <w:szCs w:val="22"/>
          <w:lang w:val="es-ES_tradnl"/>
        </w:rPr>
        <w:t xml:space="preserve">, por tanto, </w:t>
      </w:r>
      <w:r w:rsidR="005D20AA">
        <w:rPr>
          <w:rFonts w:ascii="Century Gothic" w:hAnsi="Century Gothic"/>
          <w:sz w:val="22"/>
          <w:szCs w:val="22"/>
          <w:lang w:val="es-ES_tradnl"/>
        </w:rPr>
        <w:t>el término para la liquidación bilateral (4 meses) venció el 5 de abril de 2015, el plazo para la liquidación unilateral (2 mese</w:t>
      </w:r>
      <w:r w:rsidR="009B5D4A">
        <w:rPr>
          <w:rFonts w:ascii="Century Gothic" w:hAnsi="Century Gothic"/>
          <w:sz w:val="22"/>
          <w:szCs w:val="22"/>
          <w:lang w:val="es-ES_tradnl"/>
        </w:rPr>
        <w:t>s</w:t>
      </w:r>
      <w:r w:rsidR="005D20AA">
        <w:rPr>
          <w:rFonts w:ascii="Century Gothic" w:hAnsi="Century Gothic"/>
          <w:sz w:val="22"/>
          <w:szCs w:val="22"/>
          <w:lang w:val="es-ES_tradnl"/>
        </w:rPr>
        <w:t>) finalizó el 5 de junio de 2015</w:t>
      </w:r>
      <w:r w:rsidR="009B5D4A">
        <w:rPr>
          <w:rFonts w:ascii="Century Gothic" w:hAnsi="Century Gothic"/>
          <w:sz w:val="22"/>
          <w:szCs w:val="22"/>
          <w:lang w:val="es-ES_tradnl"/>
        </w:rPr>
        <w:t xml:space="preserve"> y</w:t>
      </w:r>
      <w:r w:rsidR="005D20AA">
        <w:rPr>
          <w:rFonts w:ascii="Century Gothic" w:hAnsi="Century Gothic"/>
          <w:sz w:val="22"/>
          <w:szCs w:val="22"/>
          <w:lang w:val="es-ES_tradnl"/>
        </w:rPr>
        <w:t>, en consecuencia,</w:t>
      </w:r>
      <w:r w:rsidR="009B5D4A">
        <w:rPr>
          <w:rFonts w:ascii="Century Gothic" w:hAnsi="Century Gothic"/>
          <w:sz w:val="22"/>
          <w:szCs w:val="22"/>
          <w:lang w:val="es-ES_tradnl"/>
        </w:rPr>
        <w:t xml:space="preserve"> el período de </w:t>
      </w:r>
      <w:r w:rsidR="005D20AA">
        <w:rPr>
          <w:rFonts w:ascii="Century Gothic" w:hAnsi="Century Gothic"/>
          <w:sz w:val="22"/>
          <w:szCs w:val="22"/>
          <w:lang w:val="es-ES_tradnl"/>
        </w:rPr>
        <w:t xml:space="preserve">caducidad de la acción se extendió hasta el </w:t>
      </w:r>
      <w:r w:rsidR="009B5D4A">
        <w:rPr>
          <w:rFonts w:ascii="Century Gothic" w:hAnsi="Century Gothic"/>
          <w:sz w:val="22"/>
          <w:szCs w:val="22"/>
          <w:lang w:val="es-ES_tradnl"/>
        </w:rPr>
        <w:t>5 de junio de 2017; sin emba</w:t>
      </w:r>
      <w:r w:rsidR="00B63A4F">
        <w:rPr>
          <w:rFonts w:ascii="Century Gothic" w:hAnsi="Century Gothic"/>
          <w:sz w:val="22"/>
          <w:szCs w:val="22"/>
          <w:lang w:val="es-ES_tradnl"/>
        </w:rPr>
        <w:t>rgo,</w:t>
      </w:r>
      <w:r w:rsidR="005D20AA">
        <w:rPr>
          <w:rFonts w:ascii="Century Gothic" w:hAnsi="Century Gothic"/>
          <w:sz w:val="22"/>
          <w:szCs w:val="22"/>
          <w:lang w:val="es-ES_tradnl"/>
        </w:rPr>
        <w:t xml:space="preserve"> </w:t>
      </w:r>
      <w:r w:rsidR="009B5D4A">
        <w:rPr>
          <w:rFonts w:ascii="Century Gothic" w:hAnsi="Century Gothic"/>
          <w:sz w:val="22"/>
          <w:szCs w:val="22"/>
          <w:lang w:val="es-ES_tradnl"/>
        </w:rPr>
        <w:t xml:space="preserve">como </w:t>
      </w:r>
      <w:r w:rsidR="005D20AA">
        <w:rPr>
          <w:rFonts w:ascii="Century Gothic" w:hAnsi="Century Gothic"/>
          <w:sz w:val="22"/>
          <w:szCs w:val="22"/>
          <w:lang w:val="es-ES_tradnl"/>
        </w:rPr>
        <w:t>es</w:t>
      </w:r>
      <w:r w:rsidR="00B63A4F">
        <w:rPr>
          <w:rFonts w:ascii="Century Gothic" w:hAnsi="Century Gothic"/>
          <w:sz w:val="22"/>
          <w:szCs w:val="22"/>
          <w:lang w:val="es-ES_tradnl"/>
        </w:rPr>
        <w:t>t</w:t>
      </w:r>
      <w:r w:rsidR="005D20AA">
        <w:rPr>
          <w:rFonts w:ascii="Century Gothic" w:hAnsi="Century Gothic"/>
          <w:sz w:val="22"/>
          <w:szCs w:val="22"/>
          <w:lang w:val="es-ES_tradnl"/>
        </w:rPr>
        <w:t xml:space="preserve">e mismo día </w:t>
      </w:r>
      <w:r w:rsidR="00B63A4F">
        <w:rPr>
          <w:rFonts w:ascii="Century Gothic" w:hAnsi="Century Gothic"/>
          <w:sz w:val="22"/>
          <w:szCs w:val="22"/>
          <w:lang w:val="es-ES_tradnl"/>
        </w:rPr>
        <w:t xml:space="preserve">se </w:t>
      </w:r>
      <w:r w:rsidR="005D20AA">
        <w:rPr>
          <w:rFonts w:ascii="Century Gothic" w:hAnsi="Century Gothic"/>
          <w:sz w:val="22"/>
          <w:szCs w:val="22"/>
          <w:lang w:val="es-ES_tradnl"/>
        </w:rPr>
        <w:t>presentó solicitud de conciliación</w:t>
      </w:r>
      <w:r w:rsidR="009B5D4A">
        <w:rPr>
          <w:rFonts w:ascii="Century Gothic" w:hAnsi="Century Gothic"/>
          <w:sz w:val="22"/>
          <w:szCs w:val="22"/>
          <w:lang w:val="es-ES_tradnl"/>
        </w:rPr>
        <w:t>, el aludido término extintivo se suspendió por un día y se reanudó el 4 de agosto de 2017, cuando se expidió la constancia de falta de ánimo conciliatorio, razón por la cual</w:t>
      </w:r>
      <w:r w:rsidR="00B63A4F">
        <w:rPr>
          <w:rFonts w:ascii="Century Gothic" w:hAnsi="Century Gothic"/>
          <w:sz w:val="22"/>
          <w:szCs w:val="22"/>
          <w:lang w:val="es-ES_tradnl"/>
        </w:rPr>
        <w:t>,</w:t>
      </w:r>
      <w:r w:rsidR="009B5D4A">
        <w:rPr>
          <w:rFonts w:ascii="Century Gothic" w:hAnsi="Century Gothic"/>
          <w:sz w:val="22"/>
          <w:szCs w:val="22"/>
          <w:lang w:val="es-ES_tradnl"/>
        </w:rPr>
        <w:t xml:space="preserve"> concluyó</w:t>
      </w:r>
      <w:r w:rsidR="00B63A4F">
        <w:rPr>
          <w:rFonts w:ascii="Century Gothic" w:hAnsi="Century Gothic"/>
          <w:sz w:val="22"/>
          <w:szCs w:val="22"/>
          <w:lang w:val="es-ES_tradnl"/>
        </w:rPr>
        <w:t>,</w:t>
      </w:r>
      <w:r w:rsidR="009B5D4A">
        <w:rPr>
          <w:rFonts w:ascii="Century Gothic" w:hAnsi="Century Gothic"/>
          <w:sz w:val="22"/>
          <w:szCs w:val="22"/>
          <w:lang w:val="es-ES_tradnl"/>
        </w:rPr>
        <w:t xml:space="preserve"> la demanda que radicó el 4 de agosto de 2017 </w:t>
      </w:r>
      <w:r w:rsidR="00B63A4F">
        <w:rPr>
          <w:rFonts w:ascii="Century Gothic" w:hAnsi="Century Gothic"/>
          <w:sz w:val="22"/>
          <w:szCs w:val="22"/>
          <w:lang w:val="es-ES_tradnl"/>
        </w:rPr>
        <w:t>se presentó en tiempo</w:t>
      </w:r>
      <w:r w:rsidR="009B5D4A">
        <w:rPr>
          <w:rFonts w:ascii="Century Gothic" w:hAnsi="Century Gothic"/>
          <w:sz w:val="22"/>
          <w:szCs w:val="22"/>
          <w:lang w:val="es-ES_tradnl"/>
        </w:rPr>
        <w:t xml:space="preserve"> </w:t>
      </w:r>
      <w:r w:rsidR="00F4715F">
        <w:rPr>
          <w:rFonts w:ascii="Century Gothic" w:hAnsi="Century Gothic"/>
          <w:sz w:val="22"/>
          <w:szCs w:val="22"/>
          <w:lang w:val="es-ES_tradnl"/>
        </w:rPr>
        <w:t xml:space="preserve">(CD audiencia inicial, min </w:t>
      </w:r>
      <w:r>
        <w:rPr>
          <w:rFonts w:ascii="Century Gothic" w:hAnsi="Century Gothic"/>
          <w:sz w:val="22"/>
          <w:szCs w:val="22"/>
          <w:lang w:val="es-ES_tradnl"/>
        </w:rPr>
        <w:t>18</w:t>
      </w:r>
      <w:r w:rsidR="009B5D4A">
        <w:rPr>
          <w:rFonts w:ascii="Century Gothic" w:hAnsi="Century Gothic"/>
          <w:sz w:val="22"/>
          <w:szCs w:val="22"/>
          <w:lang w:val="es-ES_tradnl"/>
        </w:rPr>
        <w:t>:</w:t>
      </w:r>
      <w:r>
        <w:rPr>
          <w:rFonts w:ascii="Century Gothic" w:hAnsi="Century Gothic"/>
          <w:sz w:val="22"/>
          <w:szCs w:val="22"/>
          <w:lang w:val="es-ES_tradnl"/>
        </w:rPr>
        <w:t>20</w:t>
      </w:r>
      <w:r w:rsidR="00F4715F">
        <w:rPr>
          <w:rFonts w:ascii="Century Gothic" w:hAnsi="Century Gothic"/>
          <w:sz w:val="22"/>
          <w:szCs w:val="22"/>
          <w:lang w:val="es-ES_tradnl"/>
        </w:rPr>
        <w:t>)</w:t>
      </w:r>
      <w:r w:rsidR="009B5D4A">
        <w:rPr>
          <w:rFonts w:ascii="Century Gothic" w:hAnsi="Century Gothic"/>
          <w:sz w:val="22"/>
          <w:szCs w:val="22"/>
          <w:lang w:val="es-ES_tradnl"/>
        </w:rPr>
        <w:t>.</w:t>
      </w:r>
    </w:p>
    <w:p w14:paraId="429651E8" w14:textId="77777777" w:rsidR="00EF36D9" w:rsidRDefault="00EF36D9" w:rsidP="00EF36D9">
      <w:pPr>
        <w:spacing w:line="360" w:lineRule="auto"/>
        <w:jc w:val="both"/>
        <w:rPr>
          <w:rFonts w:ascii="Century Gothic" w:hAnsi="Century Gothic"/>
          <w:sz w:val="22"/>
          <w:szCs w:val="22"/>
          <w:lang w:val="es-ES_tradnl"/>
        </w:rPr>
      </w:pPr>
    </w:p>
    <w:p w14:paraId="7AD0D5BE" w14:textId="352E6AD3" w:rsidR="005931A6" w:rsidRPr="00712CD1" w:rsidRDefault="00C154B2" w:rsidP="00674D50">
      <w:pPr>
        <w:spacing w:line="360" w:lineRule="auto"/>
        <w:jc w:val="both"/>
        <w:rPr>
          <w:rFonts w:ascii="Century Gothic" w:hAnsi="Century Gothic"/>
          <w:sz w:val="22"/>
          <w:szCs w:val="22"/>
        </w:rPr>
      </w:pPr>
      <w:r w:rsidRPr="00C154B2">
        <w:rPr>
          <w:rFonts w:ascii="Century Gothic" w:hAnsi="Century Gothic"/>
          <w:b/>
          <w:sz w:val="22"/>
          <w:szCs w:val="22"/>
          <w:lang w:val="es-ES_tradnl"/>
        </w:rPr>
        <w:t xml:space="preserve">4. </w:t>
      </w:r>
      <w:r w:rsidR="009B5D4A" w:rsidRPr="009B5D4A">
        <w:rPr>
          <w:rFonts w:ascii="Century Gothic" w:hAnsi="Century Gothic"/>
          <w:sz w:val="22"/>
          <w:szCs w:val="22"/>
          <w:lang w:val="es-ES_tradnl"/>
        </w:rPr>
        <w:t>E</w:t>
      </w:r>
      <w:r w:rsidR="00674D50">
        <w:rPr>
          <w:rFonts w:ascii="Century Gothic" w:hAnsi="Century Gothic"/>
          <w:sz w:val="22"/>
          <w:szCs w:val="22"/>
          <w:lang w:val="es-ES_tradnl"/>
        </w:rPr>
        <w:t xml:space="preserve">l </w:t>
      </w:r>
      <w:r w:rsidR="00AD2E2A">
        <w:rPr>
          <w:rFonts w:ascii="Century Gothic" w:hAnsi="Century Gothic"/>
          <w:sz w:val="22"/>
          <w:szCs w:val="22"/>
          <w:lang w:val="es-ES_tradnl"/>
        </w:rPr>
        <w:t>t</w:t>
      </w:r>
      <w:r w:rsidR="00674D50">
        <w:rPr>
          <w:rFonts w:ascii="Century Gothic" w:hAnsi="Century Gothic"/>
          <w:sz w:val="22"/>
          <w:szCs w:val="22"/>
          <w:lang w:val="es-ES_tradnl"/>
        </w:rPr>
        <w:t xml:space="preserve">ribunal concedió el recurso de apelación </w:t>
      </w:r>
      <w:r w:rsidR="009B5D4A">
        <w:rPr>
          <w:rFonts w:ascii="Century Gothic" w:hAnsi="Century Gothic"/>
          <w:sz w:val="22"/>
          <w:szCs w:val="22"/>
          <w:lang w:val="es-ES_tradnl"/>
        </w:rPr>
        <w:t xml:space="preserve">en el trámite de la audiencia </w:t>
      </w:r>
      <w:r w:rsidR="005931A6" w:rsidRPr="00712CD1">
        <w:rPr>
          <w:rFonts w:ascii="Century Gothic" w:hAnsi="Century Gothic"/>
          <w:sz w:val="22"/>
          <w:szCs w:val="22"/>
        </w:rPr>
        <w:t>(</w:t>
      </w:r>
      <w:proofErr w:type="spellStart"/>
      <w:r w:rsidR="005931A6" w:rsidRPr="00712CD1">
        <w:rPr>
          <w:rFonts w:ascii="Century Gothic" w:hAnsi="Century Gothic"/>
          <w:sz w:val="22"/>
          <w:szCs w:val="22"/>
        </w:rPr>
        <w:t>fl</w:t>
      </w:r>
      <w:proofErr w:type="spellEnd"/>
      <w:r w:rsidR="005931A6" w:rsidRPr="00712CD1">
        <w:rPr>
          <w:rFonts w:ascii="Century Gothic" w:hAnsi="Century Gothic"/>
          <w:sz w:val="22"/>
          <w:szCs w:val="22"/>
        </w:rPr>
        <w:t xml:space="preserve">. </w:t>
      </w:r>
      <w:r w:rsidR="00674D50">
        <w:rPr>
          <w:rFonts w:ascii="Century Gothic" w:hAnsi="Century Gothic"/>
          <w:sz w:val="22"/>
          <w:szCs w:val="22"/>
        </w:rPr>
        <w:t xml:space="preserve">160 </w:t>
      </w:r>
      <w:r w:rsidR="005931A6" w:rsidRPr="00712CD1">
        <w:rPr>
          <w:rFonts w:ascii="Century Gothic" w:hAnsi="Century Gothic"/>
          <w:sz w:val="22"/>
          <w:szCs w:val="22"/>
        </w:rPr>
        <w:t xml:space="preserve">C. </w:t>
      </w:r>
      <w:proofErr w:type="spellStart"/>
      <w:r w:rsidR="005931A6" w:rsidRPr="00712CD1">
        <w:rPr>
          <w:rFonts w:ascii="Century Gothic" w:hAnsi="Century Gothic"/>
          <w:sz w:val="22"/>
          <w:szCs w:val="22"/>
        </w:rPr>
        <w:t>Ppal</w:t>
      </w:r>
      <w:proofErr w:type="spellEnd"/>
      <w:r w:rsidR="005931A6" w:rsidRPr="00712CD1">
        <w:rPr>
          <w:rFonts w:ascii="Century Gothic" w:hAnsi="Century Gothic"/>
          <w:sz w:val="22"/>
          <w:szCs w:val="22"/>
        </w:rPr>
        <w:t>).</w:t>
      </w:r>
    </w:p>
    <w:p w14:paraId="38A4DB33" w14:textId="77777777" w:rsidR="005931A6" w:rsidRPr="00712CD1" w:rsidRDefault="005931A6" w:rsidP="005931A6">
      <w:pPr>
        <w:spacing w:line="360" w:lineRule="auto"/>
        <w:jc w:val="both"/>
        <w:rPr>
          <w:rFonts w:ascii="Century Gothic" w:hAnsi="Century Gothic"/>
          <w:sz w:val="22"/>
          <w:szCs w:val="22"/>
        </w:rPr>
      </w:pPr>
    </w:p>
    <w:p w14:paraId="277A1310" w14:textId="77777777" w:rsidR="005931A6" w:rsidRPr="00712CD1" w:rsidRDefault="005931A6" w:rsidP="005931A6">
      <w:pPr>
        <w:pStyle w:val="Ttulo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Century Gothic" w:hAnsi="Century Gothic"/>
          <w:caps/>
          <w:sz w:val="22"/>
          <w:szCs w:val="22"/>
        </w:rPr>
      </w:pPr>
      <w:r w:rsidRPr="00712CD1">
        <w:rPr>
          <w:rFonts w:ascii="Century Gothic" w:hAnsi="Century Gothic"/>
          <w:caps/>
          <w:sz w:val="22"/>
          <w:szCs w:val="22"/>
        </w:rPr>
        <w:t>CONSIDERACIONES:</w:t>
      </w:r>
    </w:p>
    <w:p w14:paraId="113A16FF" w14:textId="77777777" w:rsidR="005931A6" w:rsidRPr="00712CD1" w:rsidRDefault="005931A6" w:rsidP="005931A6">
      <w:pPr>
        <w:pStyle w:val="Sangra3detindependiente1"/>
        <w:tabs>
          <w:tab w:val="left" w:pos="8789"/>
        </w:tabs>
        <w:ind w:right="20" w:firstLine="0"/>
        <w:rPr>
          <w:szCs w:val="22"/>
        </w:rPr>
      </w:pPr>
    </w:p>
    <w:p w14:paraId="59AC2CEB" w14:textId="613FAF0B" w:rsidR="00CB2BEE" w:rsidRPr="00CB2BEE" w:rsidRDefault="00CB2BEE" w:rsidP="005931A6">
      <w:pPr>
        <w:pStyle w:val="Sangra3detindependiente1"/>
        <w:tabs>
          <w:tab w:val="left" w:pos="8789"/>
        </w:tabs>
        <w:ind w:right="20" w:firstLine="0"/>
        <w:rPr>
          <w:b/>
          <w:szCs w:val="22"/>
        </w:rPr>
      </w:pPr>
      <w:r>
        <w:rPr>
          <w:b/>
          <w:szCs w:val="22"/>
        </w:rPr>
        <w:t xml:space="preserve">1. </w:t>
      </w:r>
      <w:r w:rsidRPr="00CB2BEE">
        <w:rPr>
          <w:b/>
          <w:szCs w:val="22"/>
        </w:rPr>
        <w:t>Competencia y procedencia del recurso</w:t>
      </w:r>
      <w:r>
        <w:rPr>
          <w:b/>
          <w:szCs w:val="22"/>
        </w:rPr>
        <w:t>.</w:t>
      </w:r>
    </w:p>
    <w:p w14:paraId="3D441C1F" w14:textId="77777777" w:rsidR="00CB2BEE" w:rsidRDefault="00CB2BEE" w:rsidP="005931A6">
      <w:pPr>
        <w:pStyle w:val="Sangra3detindependiente1"/>
        <w:tabs>
          <w:tab w:val="left" w:pos="8789"/>
        </w:tabs>
        <w:ind w:right="20" w:firstLine="0"/>
        <w:rPr>
          <w:szCs w:val="22"/>
        </w:rPr>
      </w:pPr>
    </w:p>
    <w:p w14:paraId="7C90E15E" w14:textId="132559C6" w:rsidR="005931A6" w:rsidRPr="0046016F" w:rsidRDefault="005931A6" w:rsidP="005931A6">
      <w:pPr>
        <w:pStyle w:val="Sangra3detindependiente1"/>
        <w:tabs>
          <w:tab w:val="left" w:pos="8789"/>
        </w:tabs>
        <w:ind w:right="20" w:firstLine="0"/>
        <w:rPr>
          <w:szCs w:val="22"/>
          <w:lang w:val="es-ES"/>
        </w:rPr>
      </w:pPr>
      <w:r w:rsidRPr="00712CD1">
        <w:rPr>
          <w:szCs w:val="22"/>
        </w:rPr>
        <w:t xml:space="preserve">Esta </w:t>
      </w:r>
      <w:r w:rsidR="00AD2E2A">
        <w:rPr>
          <w:szCs w:val="22"/>
        </w:rPr>
        <w:t>c</w:t>
      </w:r>
      <w:r w:rsidRPr="00712CD1">
        <w:rPr>
          <w:szCs w:val="22"/>
        </w:rPr>
        <w:t xml:space="preserve">orporación es competente para resolver </w:t>
      </w:r>
      <w:r w:rsidRPr="00712CD1">
        <w:rPr>
          <w:szCs w:val="22"/>
          <w:lang w:val="es-CO"/>
        </w:rPr>
        <w:t xml:space="preserve">el recurso de apelación interpuesto por </w:t>
      </w:r>
      <w:r w:rsidR="00684C96">
        <w:rPr>
          <w:szCs w:val="22"/>
          <w:lang w:val="es-CO"/>
        </w:rPr>
        <w:t>la parte actora</w:t>
      </w:r>
      <w:r w:rsidR="00624301" w:rsidRPr="00712CD1">
        <w:rPr>
          <w:szCs w:val="22"/>
          <w:lang w:val="es-CO"/>
        </w:rPr>
        <w:t xml:space="preserve"> </w:t>
      </w:r>
      <w:r w:rsidRPr="00712CD1">
        <w:rPr>
          <w:szCs w:val="22"/>
          <w:lang w:val="es-CO"/>
        </w:rPr>
        <w:t xml:space="preserve">contra </w:t>
      </w:r>
      <w:r w:rsidR="007043CF">
        <w:rPr>
          <w:szCs w:val="22"/>
          <w:lang w:val="es-CO"/>
        </w:rPr>
        <w:t xml:space="preserve">el auto </w:t>
      </w:r>
      <w:r w:rsidR="00232278" w:rsidRPr="00232278">
        <w:rPr>
          <w:szCs w:val="22"/>
          <w:lang w:val="es-ES"/>
        </w:rPr>
        <w:t>del 19 de julio de 2019, mediante el cual el Tribunal Administrativo del Meta</w:t>
      </w:r>
      <w:r w:rsidR="007043CF">
        <w:rPr>
          <w:szCs w:val="22"/>
          <w:lang w:val="es-ES"/>
        </w:rPr>
        <w:t xml:space="preserve"> </w:t>
      </w:r>
      <w:r w:rsidR="00232278" w:rsidRPr="00232278">
        <w:rPr>
          <w:szCs w:val="22"/>
          <w:lang w:val="es-ES"/>
        </w:rPr>
        <w:t>declaró la caducidad de la acción y</w:t>
      </w:r>
      <w:r w:rsidR="007043CF">
        <w:rPr>
          <w:szCs w:val="22"/>
          <w:lang w:val="es-ES"/>
        </w:rPr>
        <w:t xml:space="preserve"> </w:t>
      </w:r>
      <w:r w:rsidR="00232278" w:rsidRPr="00232278">
        <w:rPr>
          <w:szCs w:val="22"/>
          <w:lang w:val="es-ES"/>
        </w:rPr>
        <w:t>dio por terminado el proceso</w:t>
      </w:r>
      <w:r w:rsidR="00232278">
        <w:rPr>
          <w:szCs w:val="22"/>
          <w:lang w:val="es-ES"/>
        </w:rPr>
        <w:t>,</w:t>
      </w:r>
      <w:r w:rsidRPr="00712CD1">
        <w:rPr>
          <w:szCs w:val="22"/>
          <w:lang w:val="es-CO"/>
        </w:rPr>
        <w:t xml:space="preserve"> </w:t>
      </w:r>
      <w:r w:rsidRPr="00712CD1">
        <w:rPr>
          <w:szCs w:val="22"/>
        </w:rPr>
        <w:t xml:space="preserve">toda vez que </w:t>
      </w:r>
      <w:r w:rsidR="007043CF">
        <w:rPr>
          <w:szCs w:val="22"/>
        </w:rPr>
        <w:t>el</w:t>
      </w:r>
      <w:r w:rsidR="00232278">
        <w:rPr>
          <w:szCs w:val="22"/>
        </w:rPr>
        <w:t xml:space="preserve"> mismo es </w:t>
      </w:r>
      <w:r w:rsidR="00624301" w:rsidRPr="00712CD1">
        <w:rPr>
          <w:szCs w:val="22"/>
        </w:rPr>
        <w:t>apelable</w:t>
      </w:r>
      <w:r w:rsidR="00232278">
        <w:rPr>
          <w:szCs w:val="22"/>
        </w:rPr>
        <w:t xml:space="preserve"> </w:t>
      </w:r>
      <w:r w:rsidR="00AD2E2A">
        <w:rPr>
          <w:szCs w:val="22"/>
        </w:rPr>
        <w:t>conforme a</w:t>
      </w:r>
      <w:r w:rsidR="00232278">
        <w:rPr>
          <w:szCs w:val="22"/>
        </w:rPr>
        <w:t>l</w:t>
      </w:r>
      <w:r w:rsidR="00AD2E2A">
        <w:rPr>
          <w:szCs w:val="22"/>
        </w:rPr>
        <w:t xml:space="preserve"> </w:t>
      </w:r>
      <w:r w:rsidR="00B63A4F">
        <w:rPr>
          <w:szCs w:val="22"/>
        </w:rPr>
        <w:t xml:space="preserve"> inciso final del </w:t>
      </w:r>
      <w:r w:rsidR="00AD2E2A">
        <w:rPr>
          <w:szCs w:val="22"/>
        </w:rPr>
        <w:t>numeral</w:t>
      </w:r>
      <w:r w:rsidR="00232278">
        <w:rPr>
          <w:szCs w:val="22"/>
        </w:rPr>
        <w:t xml:space="preserve"> </w:t>
      </w:r>
      <w:r w:rsidR="00B63A4F">
        <w:rPr>
          <w:szCs w:val="22"/>
        </w:rPr>
        <w:t>6 del artículo 180 y al numeral 3</w:t>
      </w:r>
      <w:r w:rsidR="00AD2E2A">
        <w:rPr>
          <w:szCs w:val="22"/>
        </w:rPr>
        <w:t xml:space="preserve"> </w:t>
      </w:r>
      <w:r w:rsidR="00624301" w:rsidRPr="00712CD1">
        <w:rPr>
          <w:szCs w:val="22"/>
        </w:rPr>
        <w:t xml:space="preserve">del artículo </w:t>
      </w:r>
      <w:r w:rsidR="0046016F">
        <w:rPr>
          <w:szCs w:val="22"/>
        </w:rPr>
        <w:t>243</w:t>
      </w:r>
      <w:r w:rsidRPr="00712CD1">
        <w:rPr>
          <w:rStyle w:val="Refdenotaalpie"/>
          <w:szCs w:val="22"/>
        </w:rPr>
        <w:footnoteReference w:id="1"/>
      </w:r>
      <w:r w:rsidRPr="00712CD1">
        <w:rPr>
          <w:szCs w:val="22"/>
        </w:rPr>
        <w:t xml:space="preserve"> </w:t>
      </w:r>
      <w:r w:rsidR="0046016F">
        <w:rPr>
          <w:szCs w:val="22"/>
        </w:rPr>
        <w:t xml:space="preserve">del CPACA y porque </w:t>
      </w:r>
      <w:r w:rsidRPr="00712CD1">
        <w:rPr>
          <w:szCs w:val="22"/>
        </w:rPr>
        <w:t xml:space="preserve">el proceso dentro del cual </w:t>
      </w:r>
      <w:r w:rsidR="00232278">
        <w:rPr>
          <w:szCs w:val="22"/>
        </w:rPr>
        <w:t xml:space="preserve">fue proferido </w:t>
      </w:r>
      <w:r w:rsidRPr="00712CD1">
        <w:rPr>
          <w:szCs w:val="22"/>
        </w:rPr>
        <w:t xml:space="preserve">es de doble instancia, </w:t>
      </w:r>
      <w:r w:rsidR="00B63A4F">
        <w:rPr>
          <w:szCs w:val="22"/>
        </w:rPr>
        <w:t>según</w:t>
      </w:r>
      <w:r w:rsidR="00232278">
        <w:rPr>
          <w:szCs w:val="22"/>
        </w:rPr>
        <w:t xml:space="preserve"> el </w:t>
      </w:r>
      <w:r w:rsidR="00E6755D" w:rsidRPr="00712CD1">
        <w:rPr>
          <w:szCs w:val="22"/>
        </w:rPr>
        <w:t xml:space="preserve">numeral </w:t>
      </w:r>
      <w:r w:rsidR="00232278">
        <w:rPr>
          <w:szCs w:val="22"/>
        </w:rPr>
        <w:t>5</w:t>
      </w:r>
      <w:r w:rsidRPr="00712CD1">
        <w:rPr>
          <w:szCs w:val="22"/>
        </w:rPr>
        <w:t xml:space="preserve"> del artículo 152 </w:t>
      </w:r>
      <w:r w:rsidRPr="00712CD1">
        <w:rPr>
          <w:i/>
          <w:szCs w:val="22"/>
        </w:rPr>
        <w:t>ibídem</w:t>
      </w:r>
      <w:r w:rsidRPr="00712CD1">
        <w:rPr>
          <w:rStyle w:val="Refdenotaalpie"/>
          <w:szCs w:val="22"/>
        </w:rPr>
        <w:footnoteReference w:id="2"/>
      </w:r>
      <w:r w:rsidRPr="00712CD1">
        <w:rPr>
          <w:szCs w:val="22"/>
        </w:rPr>
        <w:t>.</w:t>
      </w:r>
    </w:p>
    <w:p w14:paraId="5D22BDD8" w14:textId="77777777" w:rsidR="005931A6" w:rsidRPr="00712CD1" w:rsidRDefault="005931A6" w:rsidP="005931A6">
      <w:pPr>
        <w:pStyle w:val="Sangra3detindependiente1"/>
        <w:tabs>
          <w:tab w:val="left" w:pos="8789"/>
        </w:tabs>
        <w:ind w:right="20" w:firstLine="0"/>
        <w:rPr>
          <w:szCs w:val="22"/>
        </w:rPr>
      </w:pPr>
    </w:p>
    <w:p w14:paraId="18D9FA7D" w14:textId="7BCF22B1" w:rsidR="005931A6" w:rsidRPr="00712CD1" w:rsidRDefault="005931A6" w:rsidP="005931A6">
      <w:pPr>
        <w:pStyle w:val="Sangra3detindependiente1"/>
        <w:tabs>
          <w:tab w:val="left" w:pos="8789"/>
        </w:tabs>
        <w:ind w:right="20" w:firstLine="0"/>
        <w:rPr>
          <w:rFonts w:cs="Tahoma"/>
          <w:szCs w:val="22"/>
        </w:rPr>
      </w:pPr>
      <w:r w:rsidRPr="00712CD1">
        <w:rPr>
          <w:szCs w:val="22"/>
        </w:rPr>
        <w:t>De otro lado, el recurso de apelación interpu</w:t>
      </w:r>
      <w:r w:rsidR="00820708">
        <w:rPr>
          <w:szCs w:val="22"/>
        </w:rPr>
        <w:t xml:space="preserve">esto por la parte </w:t>
      </w:r>
      <w:r w:rsidR="00232278">
        <w:rPr>
          <w:szCs w:val="22"/>
        </w:rPr>
        <w:t>demandante</w:t>
      </w:r>
      <w:r w:rsidR="00820708">
        <w:rPr>
          <w:szCs w:val="22"/>
        </w:rPr>
        <w:t xml:space="preserve"> </w:t>
      </w:r>
      <w:r w:rsidR="00E6755D" w:rsidRPr="00712CD1">
        <w:rPr>
          <w:rFonts w:cs="Tahoma"/>
          <w:szCs w:val="22"/>
        </w:rPr>
        <w:t xml:space="preserve">fue sustentando </w:t>
      </w:r>
      <w:r w:rsidR="00684C96">
        <w:rPr>
          <w:rFonts w:cs="Tahoma"/>
          <w:szCs w:val="22"/>
        </w:rPr>
        <w:t xml:space="preserve">oportunamente, esto es, dentro </w:t>
      </w:r>
      <w:r w:rsidR="00232278">
        <w:rPr>
          <w:rFonts w:cs="Tahoma"/>
          <w:szCs w:val="22"/>
        </w:rPr>
        <w:t>en el trámite de la audiencia inicial</w:t>
      </w:r>
      <w:r w:rsidR="00684C96">
        <w:rPr>
          <w:rFonts w:cs="Tahoma"/>
          <w:szCs w:val="22"/>
        </w:rPr>
        <w:t xml:space="preserve">, como lo </w:t>
      </w:r>
      <w:r w:rsidR="00820708">
        <w:rPr>
          <w:rFonts w:cs="Tahoma"/>
          <w:szCs w:val="22"/>
        </w:rPr>
        <w:t>exige</w:t>
      </w:r>
      <w:r w:rsidR="00684C96">
        <w:rPr>
          <w:rFonts w:cs="Tahoma"/>
          <w:szCs w:val="22"/>
        </w:rPr>
        <w:t xml:space="preserve"> el</w:t>
      </w:r>
      <w:r w:rsidR="007D21DB">
        <w:rPr>
          <w:rFonts w:cs="Tahoma"/>
          <w:szCs w:val="22"/>
        </w:rPr>
        <w:t xml:space="preserve"> numeral </w:t>
      </w:r>
      <w:r w:rsidR="00232278">
        <w:rPr>
          <w:rFonts w:cs="Tahoma"/>
          <w:szCs w:val="22"/>
        </w:rPr>
        <w:t>1</w:t>
      </w:r>
      <w:r w:rsidR="007D21DB">
        <w:rPr>
          <w:rFonts w:cs="Tahoma"/>
          <w:szCs w:val="22"/>
        </w:rPr>
        <w:t xml:space="preserve"> del</w:t>
      </w:r>
      <w:r w:rsidR="00684C96">
        <w:rPr>
          <w:rFonts w:cs="Tahoma"/>
          <w:szCs w:val="22"/>
        </w:rPr>
        <w:t xml:space="preserve"> artículo </w:t>
      </w:r>
      <w:r w:rsidRPr="00712CD1">
        <w:rPr>
          <w:rFonts w:cs="Tahoma"/>
          <w:szCs w:val="22"/>
        </w:rPr>
        <w:t>244</w:t>
      </w:r>
      <w:r w:rsidRPr="00712CD1">
        <w:rPr>
          <w:rStyle w:val="Refdenotaalpie"/>
          <w:rFonts w:cs="Tahoma"/>
          <w:szCs w:val="22"/>
        </w:rPr>
        <w:footnoteReference w:id="3"/>
      </w:r>
      <w:r w:rsidRPr="00712CD1">
        <w:rPr>
          <w:rFonts w:cs="Tahoma"/>
          <w:szCs w:val="22"/>
        </w:rPr>
        <w:t xml:space="preserve"> </w:t>
      </w:r>
      <w:r w:rsidRPr="00712CD1">
        <w:rPr>
          <w:rFonts w:cs="Tahoma"/>
          <w:i/>
          <w:szCs w:val="22"/>
        </w:rPr>
        <w:t>ibídem</w:t>
      </w:r>
      <w:r w:rsidRPr="00712CD1">
        <w:rPr>
          <w:rFonts w:cs="Tahoma"/>
          <w:szCs w:val="22"/>
        </w:rPr>
        <w:t>.</w:t>
      </w:r>
    </w:p>
    <w:p w14:paraId="7D6B39EA" w14:textId="77777777" w:rsidR="005931A6" w:rsidRPr="00712CD1" w:rsidRDefault="005931A6" w:rsidP="005931A6">
      <w:pPr>
        <w:pStyle w:val="Sangra3detindependiente1"/>
        <w:tabs>
          <w:tab w:val="left" w:pos="1100"/>
        </w:tabs>
        <w:ind w:right="20" w:firstLine="0"/>
        <w:rPr>
          <w:szCs w:val="22"/>
        </w:rPr>
      </w:pPr>
    </w:p>
    <w:p w14:paraId="2D340C72" w14:textId="03FEF428" w:rsidR="00CB2BEE" w:rsidRPr="009B0BBE" w:rsidRDefault="00820DAE" w:rsidP="00CB2BEE">
      <w:pPr>
        <w:overflowPunct w:val="0"/>
        <w:autoSpaceDE w:val="0"/>
        <w:autoSpaceDN w:val="0"/>
        <w:adjustRightInd w:val="0"/>
        <w:spacing w:line="360" w:lineRule="auto"/>
        <w:jc w:val="both"/>
        <w:rPr>
          <w:rFonts w:ascii="Century Gothic" w:hAnsi="Century Gothic" w:cs="Arial"/>
          <w:b/>
          <w:sz w:val="22"/>
        </w:rPr>
      </w:pPr>
      <w:r>
        <w:rPr>
          <w:rFonts w:ascii="Century Gothic" w:hAnsi="Century Gothic" w:cs="Arial"/>
          <w:b/>
          <w:sz w:val="22"/>
        </w:rPr>
        <w:t>2</w:t>
      </w:r>
      <w:r w:rsidR="00CB2BEE" w:rsidRPr="009B0BBE">
        <w:rPr>
          <w:rFonts w:ascii="Century Gothic" w:hAnsi="Century Gothic" w:cs="Arial"/>
          <w:b/>
          <w:sz w:val="22"/>
        </w:rPr>
        <w:t>. Caducidad de la acción.</w:t>
      </w:r>
    </w:p>
    <w:p w14:paraId="40CE4D47" w14:textId="77777777" w:rsidR="00CB2BEE" w:rsidRPr="001358FF" w:rsidRDefault="00CB2BEE" w:rsidP="00CB2BEE">
      <w:pPr>
        <w:spacing w:line="360" w:lineRule="auto"/>
        <w:rPr>
          <w:rFonts w:ascii="Century Gothic" w:hAnsi="Century Gothic" w:cs="Arial"/>
          <w:sz w:val="22"/>
          <w:szCs w:val="22"/>
        </w:rPr>
      </w:pPr>
    </w:p>
    <w:p w14:paraId="45776ACB" w14:textId="77777777" w:rsidR="00CB2BEE" w:rsidRPr="00EA3E1A" w:rsidRDefault="00CB2BEE" w:rsidP="00CB2BEE">
      <w:pPr>
        <w:pStyle w:val="Textoindependiente21"/>
        <w:spacing w:after="0"/>
        <w:ind w:firstLine="0"/>
        <w:contextualSpacing/>
        <w:rPr>
          <w:rFonts w:cs="Arial"/>
          <w:szCs w:val="22"/>
        </w:rPr>
      </w:pPr>
      <w:r w:rsidRPr="00EA3E1A">
        <w:rPr>
          <w:rFonts w:cs="Arial"/>
          <w:szCs w:val="22"/>
        </w:rPr>
        <w:lastRenderedPageBreak/>
        <w:t xml:space="preserve">La caducidad es un fenómeno previsto por el legislador, fundamentado en la seguridad jurídica que debe imperar en el ordenamiento legal, que tiene por finalidad evitar que situaciones frente a las cuales existe controversia permanezcan en el tiempo sin que sean definidas por un juez con competencia para ello. Es la sanción que consagra la ley por la falta de ejercicio oportuno del derecho de acción, </w:t>
      </w:r>
      <w:r>
        <w:rPr>
          <w:rFonts w:cs="Arial"/>
          <w:szCs w:val="22"/>
        </w:rPr>
        <w:t>por lo que,</w:t>
      </w:r>
      <w:r w:rsidRPr="00EA3E1A">
        <w:rPr>
          <w:rFonts w:cs="Arial"/>
          <w:szCs w:val="22"/>
        </w:rPr>
        <w:t xml:space="preserve"> una vez excedidos los plazos preclusivos para acudir a la jurisdicción, se ve extinguido el derecho que le asiste a toda persona para solicitar que le sea resuelto un conflicto por el aparato jurisdiccional del poder público</w:t>
      </w:r>
      <w:r w:rsidRPr="00EA3E1A">
        <w:rPr>
          <w:rStyle w:val="Refdenotaalpie"/>
          <w:rFonts w:cs="Arial"/>
          <w:szCs w:val="22"/>
        </w:rPr>
        <w:footnoteReference w:id="4"/>
      </w:r>
      <w:r>
        <w:rPr>
          <w:rFonts w:cs="Arial"/>
          <w:szCs w:val="22"/>
        </w:rPr>
        <w:t>.</w:t>
      </w:r>
    </w:p>
    <w:p w14:paraId="1148CAF6" w14:textId="77777777" w:rsidR="00CB2BEE" w:rsidRDefault="00CB2BEE" w:rsidP="00CB2BEE">
      <w:pPr>
        <w:pStyle w:val="Textoindependiente21"/>
        <w:spacing w:after="0"/>
        <w:ind w:firstLine="0"/>
        <w:contextualSpacing/>
        <w:rPr>
          <w:rFonts w:cs="Arial"/>
          <w:szCs w:val="22"/>
        </w:rPr>
      </w:pPr>
    </w:p>
    <w:p w14:paraId="0564A60C" w14:textId="46AB3F8E" w:rsidR="00CB2BEE" w:rsidRPr="009573CC" w:rsidRDefault="00CB2BEE" w:rsidP="00CB2BEE">
      <w:pPr>
        <w:pStyle w:val="Textoindependiente21"/>
        <w:spacing w:after="0"/>
        <w:ind w:firstLine="0"/>
        <w:contextualSpacing/>
        <w:rPr>
          <w:rFonts w:cs="Arial"/>
          <w:szCs w:val="22"/>
        </w:rPr>
      </w:pPr>
      <w:r w:rsidRPr="009573CC">
        <w:rPr>
          <w:rFonts w:cs="Arial"/>
          <w:szCs w:val="22"/>
        </w:rPr>
        <w:t>En los casos de controversias surgidas de un contrato celebrado por una entidad pública, en los términos del artículo 141 del CPACA, el cómputo de la caducidad se efectúa conforme al tipo de contrato y a la</w:t>
      </w:r>
      <w:r w:rsidR="008943DB" w:rsidRPr="009573CC">
        <w:rPr>
          <w:rFonts w:cs="Arial"/>
          <w:szCs w:val="22"/>
        </w:rPr>
        <w:t xml:space="preserve">s previsiones acordadas en relación con </w:t>
      </w:r>
      <w:r w:rsidR="00AD2E2A" w:rsidRPr="009573CC">
        <w:rPr>
          <w:rFonts w:cs="Arial"/>
          <w:szCs w:val="22"/>
        </w:rPr>
        <w:t>su</w:t>
      </w:r>
      <w:r w:rsidR="008943DB" w:rsidRPr="009573CC">
        <w:rPr>
          <w:rFonts w:cs="Arial"/>
          <w:szCs w:val="22"/>
        </w:rPr>
        <w:t xml:space="preserve"> </w:t>
      </w:r>
      <w:r w:rsidR="00C6017F" w:rsidRPr="009573CC">
        <w:rPr>
          <w:rFonts w:cs="Arial"/>
          <w:szCs w:val="22"/>
        </w:rPr>
        <w:t xml:space="preserve">liquidación, </w:t>
      </w:r>
      <w:r w:rsidR="00B63A4F" w:rsidRPr="009573CC">
        <w:rPr>
          <w:rFonts w:cs="Arial"/>
          <w:szCs w:val="22"/>
        </w:rPr>
        <w:t xml:space="preserve">como lo contempla el literal j del </w:t>
      </w:r>
      <w:r w:rsidR="00C6017F" w:rsidRPr="009573CC">
        <w:rPr>
          <w:rFonts w:cs="Arial"/>
          <w:szCs w:val="22"/>
        </w:rPr>
        <w:t xml:space="preserve">numeral 2 del artículo 164 </w:t>
      </w:r>
      <w:r w:rsidR="00C6017F" w:rsidRPr="009573CC">
        <w:rPr>
          <w:rFonts w:cs="Arial"/>
          <w:i/>
          <w:szCs w:val="22"/>
        </w:rPr>
        <w:t>ibídem</w:t>
      </w:r>
      <w:r w:rsidR="00C6017F" w:rsidRPr="009573CC">
        <w:rPr>
          <w:rFonts w:cs="Arial"/>
          <w:szCs w:val="22"/>
        </w:rPr>
        <w:t>.</w:t>
      </w:r>
    </w:p>
    <w:p w14:paraId="08F90C26" w14:textId="77777777" w:rsidR="00CB2BEE" w:rsidRPr="009573CC" w:rsidRDefault="00CB2BEE" w:rsidP="00CB2BEE">
      <w:pPr>
        <w:pStyle w:val="Textoindependiente21"/>
        <w:spacing w:after="0"/>
        <w:ind w:firstLine="0"/>
        <w:contextualSpacing/>
        <w:rPr>
          <w:rFonts w:cs="Arial"/>
          <w:szCs w:val="22"/>
        </w:rPr>
      </w:pPr>
    </w:p>
    <w:p w14:paraId="5553CACC" w14:textId="6A58A0C0" w:rsidR="00CB2BEE" w:rsidRDefault="00CB2BEE" w:rsidP="00CB2BEE">
      <w:pPr>
        <w:pStyle w:val="Textoindependiente21"/>
        <w:spacing w:after="0"/>
        <w:ind w:firstLine="0"/>
        <w:contextualSpacing/>
        <w:rPr>
          <w:rFonts w:cs="Arial"/>
          <w:szCs w:val="22"/>
        </w:rPr>
      </w:pPr>
      <w:r w:rsidRPr="009573CC">
        <w:rPr>
          <w:rFonts w:cs="Arial"/>
          <w:szCs w:val="22"/>
        </w:rPr>
        <w:t xml:space="preserve">Así, cuando se trata de un contrato </w:t>
      </w:r>
      <w:r w:rsidR="008943DB" w:rsidRPr="009573CC">
        <w:rPr>
          <w:rFonts w:cs="Arial"/>
          <w:szCs w:val="22"/>
        </w:rPr>
        <w:t>en el cual las partes estipula</w:t>
      </w:r>
      <w:r w:rsidR="004213FA" w:rsidRPr="009573CC">
        <w:rPr>
          <w:rFonts w:cs="Arial"/>
          <w:szCs w:val="22"/>
        </w:rPr>
        <w:t>n un plazo para su liquidación –</w:t>
      </w:r>
      <w:r w:rsidR="008943DB" w:rsidRPr="009573CC">
        <w:rPr>
          <w:rFonts w:cs="Arial"/>
          <w:szCs w:val="22"/>
        </w:rPr>
        <w:t>como</w:t>
      </w:r>
      <w:r w:rsidR="004213FA" w:rsidRPr="009573CC">
        <w:rPr>
          <w:rFonts w:cs="Arial"/>
          <w:szCs w:val="22"/>
        </w:rPr>
        <w:t xml:space="preserve"> el caso del contrato </w:t>
      </w:r>
      <w:r w:rsidR="008274F9" w:rsidRPr="009573CC">
        <w:rPr>
          <w:rFonts w:cs="Arial"/>
          <w:szCs w:val="22"/>
        </w:rPr>
        <w:t>52 de 2011</w:t>
      </w:r>
      <w:r w:rsidR="00AD2E2A" w:rsidRPr="009573CC">
        <w:rPr>
          <w:rFonts w:cs="Arial"/>
          <w:szCs w:val="22"/>
        </w:rPr>
        <w:t>,</w:t>
      </w:r>
      <w:r w:rsidR="004213FA" w:rsidRPr="009573CC">
        <w:rPr>
          <w:rFonts w:cs="Arial"/>
          <w:szCs w:val="22"/>
        </w:rPr>
        <w:t xml:space="preserve"> cuyas controversias </w:t>
      </w:r>
      <w:r w:rsidR="00B63A4F" w:rsidRPr="009573CC">
        <w:rPr>
          <w:rFonts w:cs="Arial"/>
          <w:szCs w:val="22"/>
        </w:rPr>
        <w:t xml:space="preserve">se han sometido </w:t>
      </w:r>
      <w:r w:rsidR="008274F9" w:rsidRPr="009573CC">
        <w:rPr>
          <w:rFonts w:cs="Arial"/>
          <w:szCs w:val="22"/>
        </w:rPr>
        <w:t>a juicio</w:t>
      </w:r>
      <w:r w:rsidR="004213FA" w:rsidRPr="009573CC">
        <w:rPr>
          <w:rFonts w:cs="Arial"/>
          <w:szCs w:val="22"/>
        </w:rPr>
        <w:t xml:space="preserve">– </w:t>
      </w:r>
      <w:r w:rsidR="008943DB" w:rsidRPr="009573CC">
        <w:rPr>
          <w:rFonts w:cs="Arial"/>
          <w:szCs w:val="22"/>
        </w:rPr>
        <w:t xml:space="preserve">y </w:t>
      </w:r>
      <w:r w:rsidR="00286BF7" w:rsidRPr="009573CC">
        <w:rPr>
          <w:rFonts w:cs="Arial"/>
          <w:szCs w:val="22"/>
        </w:rPr>
        <w:t xml:space="preserve">ésta </w:t>
      </w:r>
      <w:r w:rsidR="008943DB" w:rsidRPr="009573CC">
        <w:rPr>
          <w:rFonts w:cs="Arial"/>
          <w:szCs w:val="22"/>
        </w:rPr>
        <w:t>no se efectúa bilateral ni unilateralmente, el término de caducidad comienza a correr a partir de</w:t>
      </w:r>
      <w:r w:rsidR="00886FAF" w:rsidRPr="009573CC">
        <w:rPr>
          <w:rFonts w:cs="Arial"/>
          <w:szCs w:val="22"/>
        </w:rPr>
        <w:t xml:space="preserve">l vencimiento del plazo convencionalmente pactado para surtir la liquidación bilateral más dos meses </w:t>
      </w:r>
      <w:r w:rsidR="008274F9" w:rsidRPr="009573CC">
        <w:rPr>
          <w:rFonts w:cs="Arial"/>
          <w:szCs w:val="22"/>
        </w:rPr>
        <w:t xml:space="preserve">que prevé la </w:t>
      </w:r>
      <w:r w:rsidR="00886FAF" w:rsidRPr="009573CC">
        <w:rPr>
          <w:rFonts w:cs="Arial"/>
          <w:szCs w:val="22"/>
        </w:rPr>
        <w:t xml:space="preserve">ley para </w:t>
      </w:r>
      <w:r w:rsidR="008274F9" w:rsidRPr="009573CC">
        <w:rPr>
          <w:rFonts w:cs="Arial"/>
          <w:szCs w:val="22"/>
        </w:rPr>
        <w:t xml:space="preserve">que la entidad pública efectúe </w:t>
      </w:r>
      <w:r w:rsidR="00886FAF" w:rsidRPr="009573CC">
        <w:rPr>
          <w:rFonts w:cs="Arial"/>
          <w:szCs w:val="22"/>
        </w:rPr>
        <w:t>la liquidación unilateral</w:t>
      </w:r>
      <w:r w:rsidR="008274F9" w:rsidRPr="009573CC">
        <w:rPr>
          <w:rFonts w:cs="Arial"/>
          <w:szCs w:val="22"/>
        </w:rPr>
        <w:t>mente</w:t>
      </w:r>
      <w:r w:rsidR="00B63A4F" w:rsidRPr="009573CC">
        <w:rPr>
          <w:rFonts w:cs="Arial"/>
          <w:szCs w:val="22"/>
        </w:rPr>
        <w:t>, si no se logra aquella otra.</w:t>
      </w:r>
    </w:p>
    <w:p w14:paraId="7BA7F155" w14:textId="77777777" w:rsidR="00286BF7" w:rsidRDefault="00286BF7" w:rsidP="00CB2BEE">
      <w:pPr>
        <w:pStyle w:val="Textoindependiente21"/>
        <w:spacing w:after="0"/>
        <w:ind w:firstLine="0"/>
        <w:contextualSpacing/>
        <w:rPr>
          <w:rFonts w:cs="Arial"/>
          <w:szCs w:val="22"/>
        </w:rPr>
      </w:pPr>
    </w:p>
    <w:p w14:paraId="530A8CB7" w14:textId="50B7CFC8" w:rsidR="00D02681" w:rsidRDefault="00FC287B" w:rsidP="00CB2BEE">
      <w:pPr>
        <w:pStyle w:val="Textoindependiente21"/>
        <w:spacing w:after="0"/>
        <w:ind w:firstLine="0"/>
        <w:contextualSpacing/>
        <w:rPr>
          <w:rFonts w:cs="Arial"/>
          <w:szCs w:val="22"/>
        </w:rPr>
      </w:pPr>
      <w:r>
        <w:rPr>
          <w:rFonts w:cs="Arial"/>
          <w:szCs w:val="22"/>
        </w:rPr>
        <w:t xml:space="preserve">Por tanto, como el </w:t>
      </w:r>
      <w:r w:rsidR="001C20BA">
        <w:rPr>
          <w:rFonts w:cs="Arial"/>
          <w:szCs w:val="22"/>
        </w:rPr>
        <w:t>contrato</w:t>
      </w:r>
      <w:r w:rsidR="00C154B2">
        <w:rPr>
          <w:rFonts w:cs="Arial"/>
          <w:szCs w:val="22"/>
        </w:rPr>
        <w:t xml:space="preserve"> </w:t>
      </w:r>
      <w:r w:rsidR="00EE44A3">
        <w:rPr>
          <w:rFonts w:cs="Arial"/>
          <w:szCs w:val="22"/>
        </w:rPr>
        <w:t>mencionado</w:t>
      </w:r>
      <w:r w:rsidR="00684783">
        <w:rPr>
          <w:rFonts w:cs="Arial"/>
          <w:szCs w:val="22"/>
        </w:rPr>
        <w:t xml:space="preserve"> venció el 5 de</w:t>
      </w:r>
      <w:r w:rsidR="001C20BA">
        <w:rPr>
          <w:rFonts w:cs="Arial"/>
          <w:szCs w:val="22"/>
        </w:rPr>
        <w:t xml:space="preserve"> </w:t>
      </w:r>
      <w:r w:rsidR="00684783">
        <w:rPr>
          <w:rFonts w:cs="Arial"/>
          <w:szCs w:val="22"/>
        </w:rPr>
        <w:t xml:space="preserve">diciembre </w:t>
      </w:r>
      <w:r w:rsidR="001C20BA">
        <w:rPr>
          <w:rFonts w:cs="Arial"/>
          <w:szCs w:val="22"/>
        </w:rPr>
        <w:t>de 2014</w:t>
      </w:r>
      <w:r w:rsidR="00684783">
        <w:rPr>
          <w:rStyle w:val="Refdenotaalpie"/>
          <w:rFonts w:cs="Arial"/>
          <w:szCs w:val="22"/>
        </w:rPr>
        <w:footnoteReference w:id="5"/>
      </w:r>
      <w:r w:rsidR="001C20BA">
        <w:rPr>
          <w:rFonts w:cs="Arial"/>
          <w:szCs w:val="22"/>
        </w:rPr>
        <w:t xml:space="preserve">, los cuatro meses </w:t>
      </w:r>
      <w:r w:rsidR="00886FAF">
        <w:rPr>
          <w:rFonts w:cs="Arial"/>
          <w:szCs w:val="22"/>
        </w:rPr>
        <w:t xml:space="preserve">que las partes convinieron </w:t>
      </w:r>
      <w:r w:rsidR="001C20BA">
        <w:rPr>
          <w:rFonts w:cs="Arial"/>
          <w:szCs w:val="22"/>
        </w:rPr>
        <w:t>para liquidar</w:t>
      </w:r>
      <w:r w:rsidR="00AD2E2A">
        <w:rPr>
          <w:rFonts w:cs="Arial"/>
          <w:szCs w:val="22"/>
        </w:rPr>
        <w:t>lo</w:t>
      </w:r>
      <w:r w:rsidR="001C20BA">
        <w:rPr>
          <w:rFonts w:cs="Arial"/>
          <w:szCs w:val="22"/>
        </w:rPr>
        <w:t xml:space="preserve"> bilateralmente</w:t>
      </w:r>
      <w:r w:rsidR="00684783">
        <w:rPr>
          <w:rStyle w:val="Refdenotaalpie"/>
          <w:rFonts w:cs="Arial"/>
          <w:szCs w:val="22"/>
        </w:rPr>
        <w:footnoteReference w:id="6"/>
      </w:r>
      <w:r w:rsidR="00886FAF">
        <w:rPr>
          <w:rFonts w:cs="Arial"/>
          <w:szCs w:val="22"/>
        </w:rPr>
        <w:t xml:space="preserve"> </w:t>
      </w:r>
      <w:r w:rsidR="001C20BA">
        <w:rPr>
          <w:rFonts w:cs="Arial"/>
          <w:szCs w:val="22"/>
        </w:rPr>
        <w:t xml:space="preserve">y los dos meses </w:t>
      </w:r>
      <w:r w:rsidR="00BA0518">
        <w:rPr>
          <w:rFonts w:cs="Arial"/>
          <w:szCs w:val="22"/>
        </w:rPr>
        <w:t>adicionales</w:t>
      </w:r>
      <w:r w:rsidR="001C20BA">
        <w:rPr>
          <w:rFonts w:cs="Arial"/>
          <w:szCs w:val="22"/>
        </w:rPr>
        <w:t xml:space="preserve"> </w:t>
      </w:r>
      <w:r w:rsidR="00684783">
        <w:rPr>
          <w:rFonts w:cs="Arial"/>
          <w:szCs w:val="22"/>
        </w:rPr>
        <w:t xml:space="preserve">que prevé la ley </w:t>
      </w:r>
      <w:r w:rsidR="001C20BA">
        <w:rPr>
          <w:rFonts w:cs="Arial"/>
          <w:szCs w:val="22"/>
        </w:rPr>
        <w:t xml:space="preserve">para hacerlo unilateralmente corrieron entre el </w:t>
      </w:r>
      <w:r w:rsidR="00684783">
        <w:rPr>
          <w:rFonts w:cs="Arial"/>
          <w:szCs w:val="22"/>
        </w:rPr>
        <w:t>6</w:t>
      </w:r>
      <w:r w:rsidR="001C20BA">
        <w:rPr>
          <w:rFonts w:cs="Arial"/>
          <w:szCs w:val="22"/>
        </w:rPr>
        <w:t xml:space="preserve"> de </w:t>
      </w:r>
      <w:r w:rsidR="00684783">
        <w:rPr>
          <w:rFonts w:cs="Arial"/>
          <w:szCs w:val="22"/>
        </w:rPr>
        <w:t xml:space="preserve">diciembre de 2015 </w:t>
      </w:r>
      <w:r w:rsidR="001C20BA">
        <w:rPr>
          <w:rFonts w:cs="Arial"/>
          <w:szCs w:val="22"/>
        </w:rPr>
        <w:t xml:space="preserve">y el </w:t>
      </w:r>
      <w:r w:rsidR="00684783">
        <w:rPr>
          <w:rFonts w:cs="Arial"/>
          <w:szCs w:val="22"/>
        </w:rPr>
        <w:t>6</w:t>
      </w:r>
      <w:r w:rsidR="001C20BA">
        <w:rPr>
          <w:rFonts w:cs="Arial"/>
          <w:szCs w:val="22"/>
        </w:rPr>
        <w:t xml:space="preserve"> de </w:t>
      </w:r>
      <w:r w:rsidR="00684783">
        <w:rPr>
          <w:rFonts w:cs="Arial"/>
          <w:szCs w:val="22"/>
        </w:rPr>
        <w:t xml:space="preserve">junio </w:t>
      </w:r>
      <w:r w:rsidR="00AD2E2A">
        <w:rPr>
          <w:rFonts w:cs="Arial"/>
          <w:szCs w:val="22"/>
        </w:rPr>
        <w:t>de ese año; en consecuencia,</w:t>
      </w:r>
      <w:r w:rsidR="001C20BA">
        <w:rPr>
          <w:rFonts w:cs="Arial"/>
          <w:szCs w:val="22"/>
        </w:rPr>
        <w:t xml:space="preserve"> el término de dos años de la acción de controversias contractuales venci</w:t>
      </w:r>
      <w:r w:rsidR="00AD2E2A">
        <w:rPr>
          <w:rFonts w:cs="Arial"/>
          <w:szCs w:val="22"/>
        </w:rPr>
        <w:t>ó</w:t>
      </w:r>
      <w:r w:rsidR="001C20BA">
        <w:rPr>
          <w:rFonts w:cs="Arial"/>
          <w:szCs w:val="22"/>
        </w:rPr>
        <w:t xml:space="preserve"> el </w:t>
      </w:r>
      <w:r w:rsidR="00684783">
        <w:rPr>
          <w:rFonts w:cs="Arial"/>
          <w:szCs w:val="22"/>
        </w:rPr>
        <w:t>6</w:t>
      </w:r>
      <w:r w:rsidR="00AA0D1D">
        <w:rPr>
          <w:rFonts w:cs="Arial"/>
          <w:szCs w:val="22"/>
        </w:rPr>
        <w:t xml:space="preserve"> de </w:t>
      </w:r>
      <w:r w:rsidR="00684783">
        <w:rPr>
          <w:rFonts w:cs="Arial"/>
          <w:szCs w:val="22"/>
        </w:rPr>
        <w:t xml:space="preserve">junio </w:t>
      </w:r>
      <w:r w:rsidR="00AD2E2A">
        <w:rPr>
          <w:rFonts w:cs="Arial"/>
          <w:szCs w:val="22"/>
        </w:rPr>
        <w:t xml:space="preserve">de </w:t>
      </w:r>
      <w:r w:rsidR="00684783">
        <w:rPr>
          <w:rFonts w:cs="Arial"/>
          <w:szCs w:val="22"/>
        </w:rPr>
        <w:t>2017</w:t>
      </w:r>
      <w:r w:rsidR="00AD2E2A">
        <w:rPr>
          <w:rFonts w:cs="Arial"/>
          <w:szCs w:val="22"/>
        </w:rPr>
        <w:t xml:space="preserve">, pero, como </w:t>
      </w:r>
      <w:r w:rsidR="00553400">
        <w:rPr>
          <w:rFonts w:cs="Arial"/>
          <w:szCs w:val="22"/>
        </w:rPr>
        <w:t>e</w:t>
      </w:r>
      <w:r w:rsidR="00684783">
        <w:rPr>
          <w:rFonts w:cs="Arial"/>
          <w:szCs w:val="22"/>
        </w:rPr>
        <w:t>l 5</w:t>
      </w:r>
      <w:r w:rsidR="00BA0518">
        <w:rPr>
          <w:rFonts w:cs="Arial"/>
          <w:szCs w:val="22"/>
        </w:rPr>
        <w:t xml:space="preserve"> de </w:t>
      </w:r>
      <w:r w:rsidR="00684783">
        <w:rPr>
          <w:rFonts w:cs="Arial"/>
          <w:szCs w:val="22"/>
        </w:rPr>
        <w:t>junio de 2017</w:t>
      </w:r>
      <w:r w:rsidR="00BA0518">
        <w:rPr>
          <w:rFonts w:cs="Arial"/>
          <w:szCs w:val="22"/>
        </w:rPr>
        <w:t xml:space="preserve"> se solicitó conciliar</w:t>
      </w:r>
      <w:r w:rsidR="00B63A4F">
        <w:rPr>
          <w:rStyle w:val="Refdenotaalpie"/>
          <w:rFonts w:cs="Arial"/>
          <w:szCs w:val="22"/>
        </w:rPr>
        <w:footnoteReference w:id="7"/>
      </w:r>
      <w:r w:rsidR="00684783">
        <w:rPr>
          <w:rFonts w:cs="Arial"/>
          <w:szCs w:val="22"/>
        </w:rPr>
        <w:t xml:space="preserve"> (faltando un día para </w:t>
      </w:r>
      <w:r w:rsidR="001E48B2">
        <w:rPr>
          <w:rFonts w:cs="Arial"/>
          <w:szCs w:val="22"/>
        </w:rPr>
        <w:t xml:space="preserve">que venciera el </w:t>
      </w:r>
      <w:r w:rsidR="00241EB1">
        <w:rPr>
          <w:rFonts w:cs="Arial"/>
          <w:szCs w:val="22"/>
        </w:rPr>
        <w:t xml:space="preserve">aludido </w:t>
      </w:r>
      <w:r w:rsidR="001E48B2">
        <w:rPr>
          <w:rFonts w:cs="Arial"/>
          <w:szCs w:val="22"/>
        </w:rPr>
        <w:t>término extintivo)</w:t>
      </w:r>
      <w:r w:rsidR="00BA0518">
        <w:rPr>
          <w:rFonts w:cs="Arial"/>
          <w:szCs w:val="22"/>
        </w:rPr>
        <w:t xml:space="preserve"> </w:t>
      </w:r>
      <w:r w:rsidR="00553400">
        <w:rPr>
          <w:rFonts w:cs="Arial"/>
          <w:szCs w:val="22"/>
        </w:rPr>
        <w:t xml:space="preserve">y la constancia de </w:t>
      </w:r>
      <w:r w:rsidR="00AD2E2A">
        <w:rPr>
          <w:rFonts w:cs="Arial"/>
          <w:szCs w:val="22"/>
        </w:rPr>
        <w:t xml:space="preserve">que </w:t>
      </w:r>
      <w:r w:rsidR="00BA0518">
        <w:rPr>
          <w:rFonts w:cs="Arial"/>
          <w:szCs w:val="22"/>
        </w:rPr>
        <w:t xml:space="preserve">tal </w:t>
      </w:r>
      <w:r w:rsidR="00553400">
        <w:rPr>
          <w:rFonts w:cs="Arial"/>
          <w:szCs w:val="22"/>
        </w:rPr>
        <w:t>procedimiento</w:t>
      </w:r>
      <w:r w:rsidR="00BA0518">
        <w:rPr>
          <w:rFonts w:cs="Arial"/>
          <w:szCs w:val="22"/>
        </w:rPr>
        <w:t xml:space="preserve"> </w:t>
      </w:r>
      <w:r w:rsidR="00AD2E2A">
        <w:rPr>
          <w:rFonts w:cs="Arial"/>
          <w:szCs w:val="22"/>
        </w:rPr>
        <w:t xml:space="preserve">resultó fallido se </w:t>
      </w:r>
      <w:r w:rsidR="00BA0518">
        <w:rPr>
          <w:rFonts w:cs="Arial"/>
          <w:szCs w:val="22"/>
        </w:rPr>
        <w:t>ex</w:t>
      </w:r>
      <w:r w:rsidR="00886FAF">
        <w:rPr>
          <w:rFonts w:cs="Arial"/>
          <w:szCs w:val="22"/>
        </w:rPr>
        <w:t xml:space="preserve">pidió el </w:t>
      </w:r>
      <w:r w:rsidR="00684783">
        <w:rPr>
          <w:rFonts w:cs="Arial"/>
          <w:szCs w:val="22"/>
        </w:rPr>
        <w:t>4</w:t>
      </w:r>
      <w:r w:rsidR="00886FAF">
        <w:rPr>
          <w:rFonts w:cs="Arial"/>
          <w:szCs w:val="22"/>
        </w:rPr>
        <w:t xml:space="preserve"> de </w:t>
      </w:r>
      <w:r w:rsidR="00684783">
        <w:rPr>
          <w:rFonts w:cs="Arial"/>
          <w:szCs w:val="22"/>
        </w:rPr>
        <w:t>agosto de 2017</w:t>
      </w:r>
      <w:r w:rsidR="001E48B2">
        <w:rPr>
          <w:rStyle w:val="Refdenotaalpie"/>
          <w:rFonts w:cs="Arial"/>
          <w:szCs w:val="22"/>
        </w:rPr>
        <w:footnoteReference w:id="8"/>
      </w:r>
      <w:r w:rsidR="00886FAF">
        <w:rPr>
          <w:rFonts w:cs="Arial"/>
          <w:szCs w:val="22"/>
        </w:rPr>
        <w:t xml:space="preserve">, </w:t>
      </w:r>
      <w:r w:rsidR="00553400">
        <w:rPr>
          <w:rFonts w:cs="Arial"/>
          <w:szCs w:val="22"/>
        </w:rPr>
        <w:t xml:space="preserve">el plazo para demandar se </w:t>
      </w:r>
      <w:r w:rsidR="00553400">
        <w:rPr>
          <w:rFonts w:cs="Arial"/>
          <w:szCs w:val="22"/>
        </w:rPr>
        <w:lastRenderedPageBreak/>
        <w:t>extendió hasta el</w:t>
      </w:r>
      <w:r w:rsidR="00A75C53">
        <w:rPr>
          <w:rFonts w:cs="Arial"/>
          <w:szCs w:val="22"/>
        </w:rPr>
        <w:t xml:space="preserve"> </w:t>
      </w:r>
      <w:r w:rsidR="00684783">
        <w:rPr>
          <w:rFonts w:cs="Arial"/>
          <w:szCs w:val="22"/>
        </w:rPr>
        <w:t>5</w:t>
      </w:r>
      <w:r w:rsidR="00A75C53">
        <w:rPr>
          <w:rFonts w:cs="Arial"/>
          <w:szCs w:val="22"/>
        </w:rPr>
        <w:t xml:space="preserve"> de </w:t>
      </w:r>
      <w:r w:rsidR="00684783">
        <w:rPr>
          <w:rFonts w:cs="Arial"/>
          <w:szCs w:val="22"/>
        </w:rPr>
        <w:t xml:space="preserve">agosto </w:t>
      </w:r>
      <w:r w:rsidR="00A75C53">
        <w:rPr>
          <w:rFonts w:cs="Arial"/>
          <w:szCs w:val="22"/>
        </w:rPr>
        <w:t>de 2017</w:t>
      </w:r>
      <w:r w:rsidR="00886FAF">
        <w:rPr>
          <w:rFonts w:cs="Arial"/>
          <w:szCs w:val="22"/>
        </w:rPr>
        <w:t>.</w:t>
      </w:r>
      <w:r w:rsidR="00553400">
        <w:rPr>
          <w:rFonts w:cs="Arial"/>
          <w:szCs w:val="22"/>
        </w:rPr>
        <w:t xml:space="preserve"> Como la demanda se presentó el </w:t>
      </w:r>
      <w:r w:rsidR="001E48B2">
        <w:rPr>
          <w:rFonts w:cs="Arial"/>
          <w:szCs w:val="22"/>
        </w:rPr>
        <w:t>4</w:t>
      </w:r>
      <w:r w:rsidR="00553400">
        <w:rPr>
          <w:rFonts w:cs="Arial"/>
          <w:szCs w:val="22"/>
        </w:rPr>
        <w:t xml:space="preserve"> de </w:t>
      </w:r>
      <w:r w:rsidR="001E48B2">
        <w:rPr>
          <w:rFonts w:cs="Arial"/>
          <w:szCs w:val="22"/>
        </w:rPr>
        <w:t>agosto de 2017</w:t>
      </w:r>
      <w:r w:rsidR="001E48B2">
        <w:rPr>
          <w:rStyle w:val="Refdenotaalpie"/>
          <w:rFonts w:cs="Arial"/>
          <w:szCs w:val="22"/>
        </w:rPr>
        <w:footnoteReference w:id="9"/>
      </w:r>
      <w:r w:rsidR="00553400">
        <w:rPr>
          <w:rFonts w:cs="Arial"/>
          <w:szCs w:val="22"/>
        </w:rPr>
        <w:t xml:space="preserve">, es evidente que </w:t>
      </w:r>
      <w:r w:rsidR="001E48B2">
        <w:rPr>
          <w:rFonts w:cs="Arial"/>
          <w:szCs w:val="22"/>
        </w:rPr>
        <w:t>ello se hizo en término</w:t>
      </w:r>
      <w:r w:rsidR="00553400">
        <w:rPr>
          <w:rFonts w:cs="Arial"/>
          <w:szCs w:val="22"/>
        </w:rPr>
        <w:t>.</w:t>
      </w:r>
    </w:p>
    <w:p w14:paraId="7BF18ECB" w14:textId="77777777" w:rsidR="00AA0D1D" w:rsidRDefault="00AA0D1D" w:rsidP="00CB2BEE">
      <w:pPr>
        <w:pStyle w:val="Textoindependiente21"/>
        <w:spacing w:after="0"/>
        <w:ind w:firstLine="0"/>
        <w:contextualSpacing/>
        <w:rPr>
          <w:rFonts w:cs="Arial"/>
          <w:szCs w:val="22"/>
        </w:rPr>
      </w:pPr>
    </w:p>
    <w:p w14:paraId="05B9EF1D" w14:textId="77777777" w:rsidR="00241EB1" w:rsidRDefault="00241EB1" w:rsidP="00CB2BEE">
      <w:pPr>
        <w:pStyle w:val="Textoindependiente21"/>
        <w:spacing w:after="0"/>
        <w:ind w:firstLine="0"/>
        <w:contextualSpacing/>
        <w:rPr>
          <w:rFonts w:cs="Arial"/>
          <w:szCs w:val="22"/>
        </w:rPr>
      </w:pPr>
    </w:p>
    <w:p w14:paraId="225DD808" w14:textId="77777777" w:rsidR="005931A6" w:rsidRPr="00712CD1" w:rsidRDefault="005931A6" w:rsidP="005931A6">
      <w:pPr>
        <w:pStyle w:val="Textoindependiente"/>
        <w:spacing w:line="360" w:lineRule="auto"/>
        <w:rPr>
          <w:szCs w:val="22"/>
        </w:rPr>
      </w:pPr>
      <w:r w:rsidRPr="00712CD1">
        <w:rPr>
          <w:szCs w:val="22"/>
          <w:lang w:val="es-CO"/>
        </w:rPr>
        <w:t>En mérito de lo expuesto, se</w:t>
      </w:r>
      <w:r w:rsidRPr="00712CD1">
        <w:rPr>
          <w:szCs w:val="22"/>
        </w:rPr>
        <w:t xml:space="preserve"> </w:t>
      </w:r>
    </w:p>
    <w:p w14:paraId="05355E16" w14:textId="77777777" w:rsidR="005931A6" w:rsidRPr="00712CD1" w:rsidRDefault="005931A6" w:rsidP="005931A6">
      <w:pPr>
        <w:pStyle w:val="Textoindependiente"/>
        <w:spacing w:line="360" w:lineRule="auto"/>
        <w:rPr>
          <w:szCs w:val="22"/>
        </w:rPr>
      </w:pPr>
    </w:p>
    <w:p w14:paraId="6B6727CA" w14:textId="77777777" w:rsidR="005931A6" w:rsidRPr="00712CD1" w:rsidRDefault="005931A6" w:rsidP="005931A6">
      <w:pPr>
        <w:pStyle w:val="Textoindependiente"/>
        <w:spacing w:line="360" w:lineRule="auto"/>
        <w:jc w:val="center"/>
        <w:rPr>
          <w:rFonts w:cs="Tahoma"/>
          <w:b/>
          <w:szCs w:val="22"/>
          <w:lang w:val="es-CO"/>
        </w:rPr>
      </w:pPr>
      <w:r w:rsidRPr="00712CD1">
        <w:rPr>
          <w:rFonts w:cs="Tahoma"/>
          <w:b/>
          <w:szCs w:val="22"/>
          <w:lang w:val="es-CO"/>
        </w:rPr>
        <w:t>RESUELVE:</w:t>
      </w:r>
    </w:p>
    <w:p w14:paraId="6F6E5A41" w14:textId="77777777" w:rsidR="005931A6" w:rsidRPr="00712CD1" w:rsidRDefault="005931A6" w:rsidP="005931A6">
      <w:pPr>
        <w:pStyle w:val="Textoindependiente"/>
        <w:spacing w:line="360" w:lineRule="auto"/>
        <w:jc w:val="center"/>
        <w:rPr>
          <w:rFonts w:cs="Tahoma"/>
          <w:b/>
          <w:szCs w:val="22"/>
          <w:lang w:val="es-CO"/>
        </w:rPr>
      </w:pPr>
    </w:p>
    <w:p w14:paraId="32CC0E4B" w14:textId="676AAA35" w:rsidR="007043CF" w:rsidRDefault="005931A6" w:rsidP="007043CF">
      <w:pPr>
        <w:spacing w:line="360" w:lineRule="auto"/>
        <w:jc w:val="both"/>
        <w:rPr>
          <w:rFonts w:ascii="Century Gothic" w:hAnsi="Century Gothic" w:cs="Tahoma"/>
          <w:sz w:val="22"/>
          <w:szCs w:val="22"/>
        </w:rPr>
      </w:pPr>
      <w:r w:rsidRPr="00712CD1">
        <w:rPr>
          <w:rFonts w:ascii="Century Gothic" w:hAnsi="Century Gothic" w:cs="Tahoma"/>
          <w:b/>
          <w:sz w:val="22"/>
          <w:szCs w:val="22"/>
        </w:rPr>
        <w:t xml:space="preserve">PRIMERO: </w:t>
      </w:r>
      <w:r w:rsidR="007043CF">
        <w:rPr>
          <w:rFonts w:ascii="Century Gothic" w:hAnsi="Century Gothic" w:cs="Tahoma"/>
          <w:b/>
          <w:sz w:val="22"/>
          <w:szCs w:val="22"/>
        </w:rPr>
        <w:t xml:space="preserve">REVÓCASE </w:t>
      </w:r>
      <w:r w:rsidR="00F03FA3">
        <w:rPr>
          <w:rFonts w:ascii="Century Gothic" w:hAnsi="Century Gothic" w:cs="Tahoma"/>
          <w:b/>
          <w:sz w:val="22"/>
          <w:szCs w:val="22"/>
        </w:rPr>
        <w:t xml:space="preserve"> </w:t>
      </w:r>
      <w:r w:rsidR="007043CF">
        <w:rPr>
          <w:rFonts w:ascii="Century Gothic" w:hAnsi="Century Gothic" w:cs="Tahoma"/>
          <w:sz w:val="22"/>
          <w:szCs w:val="22"/>
        </w:rPr>
        <w:t>el auto del 19 de julio de 2019, mediante el cual el Tribunal Administrativo del Meta  declaró la caducidad de la acción y dio por terminado el proceso.</w:t>
      </w:r>
    </w:p>
    <w:p w14:paraId="6C9F4D2C" w14:textId="77777777" w:rsidR="005931A6" w:rsidRPr="00712CD1" w:rsidRDefault="005931A6" w:rsidP="005931A6">
      <w:pPr>
        <w:tabs>
          <w:tab w:val="left" w:pos="6900"/>
        </w:tabs>
        <w:spacing w:line="360" w:lineRule="auto"/>
        <w:jc w:val="both"/>
        <w:rPr>
          <w:rFonts w:ascii="Century Gothic" w:hAnsi="Century Gothic" w:cs="Tahoma"/>
          <w:b/>
          <w:sz w:val="22"/>
          <w:szCs w:val="22"/>
        </w:rPr>
      </w:pPr>
    </w:p>
    <w:p w14:paraId="36608BF1" w14:textId="4DC03829" w:rsidR="005931A6" w:rsidRDefault="005931A6" w:rsidP="005931A6">
      <w:pPr>
        <w:spacing w:line="360" w:lineRule="auto"/>
        <w:jc w:val="both"/>
        <w:rPr>
          <w:rFonts w:ascii="Century Gothic" w:hAnsi="Century Gothic" w:cs="Arial"/>
          <w:sz w:val="22"/>
          <w:szCs w:val="22"/>
        </w:rPr>
      </w:pPr>
      <w:r w:rsidRPr="00712CD1">
        <w:rPr>
          <w:rFonts w:ascii="Century Gothic" w:hAnsi="Century Gothic"/>
          <w:b/>
          <w:bCs/>
          <w:sz w:val="22"/>
          <w:szCs w:val="22"/>
        </w:rPr>
        <w:t>SEGUNDO:</w:t>
      </w:r>
      <w:r w:rsidRPr="00712CD1">
        <w:rPr>
          <w:rFonts w:ascii="Century Gothic" w:hAnsi="Century Gothic"/>
          <w:bCs/>
          <w:sz w:val="22"/>
          <w:szCs w:val="22"/>
        </w:rPr>
        <w:t xml:space="preserve"> En firme esta providencia,</w:t>
      </w:r>
      <w:r w:rsidRPr="00712CD1">
        <w:rPr>
          <w:rFonts w:ascii="Century Gothic" w:hAnsi="Century Gothic"/>
          <w:b/>
          <w:bCs/>
          <w:sz w:val="22"/>
          <w:szCs w:val="22"/>
        </w:rPr>
        <w:t xml:space="preserve"> DEVUÉLVASE</w:t>
      </w:r>
      <w:r w:rsidRPr="00712CD1">
        <w:rPr>
          <w:rFonts w:ascii="Century Gothic" w:hAnsi="Century Gothic"/>
          <w:bCs/>
          <w:sz w:val="22"/>
          <w:szCs w:val="22"/>
        </w:rPr>
        <w:t xml:space="preserve"> el expediente al </w:t>
      </w:r>
      <w:r w:rsidR="00AD2E2A">
        <w:rPr>
          <w:rFonts w:ascii="Century Gothic" w:hAnsi="Century Gothic"/>
          <w:bCs/>
          <w:sz w:val="22"/>
          <w:szCs w:val="22"/>
        </w:rPr>
        <w:t>t</w:t>
      </w:r>
      <w:r w:rsidRPr="00712CD1">
        <w:rPr>
          <w:rFonts w:ascii="Century Gothic" w:hAnsi="Century Gothic"/>
          <w:bCs/>
          <w:sz w:val="22"/>
          <w:szCs w:val="22"/>
        </w:rPr>
        <w:t>ribunal de origen, para lo de su cargo</w:t>
      </w:r>
      <w:r w:rsidRPr="00712CD1">
        <w:rPr>
          <w:rFonts w:ascii="Century Gothic" w:hAnsi="Century Gothic" w:cs="Arial"/>
          <w:sz w:val="22"/>
          <w:szCs w:val="22"/>
        </w:rPr>
        <w:t>.</w:t>
      </w:r>
    </w:p>
    <w:p w14:paraId="0210B243" w14:textId="77777777" w:rsidR="007043CF" w:rsidRDefault="007043CF" w:rsidP="005931A6">
      <w:pPr>
        <w:spacing w:line="360" w:lineRule="auto"/>
        <w:jc w:val="both"/>
        <w:rPr>
          <w:rFonts w:ascii="Century Gothic" w:hAnsi="Century Gothic" w:cs="Arial"/>
          <w:sz w:val="22"/>
          <w:szCs w:val="22"/>
        </w:rPr>
      </w:pPr>
    </w:p>
    <w:p w14:paraId="113B2DE3" w14:textId="77777777" w:rsidR="00241EB1" w:rsidRPr="00712CD1" w:rsidRDefault="00241EB1" w:rsidP="005931A6">
      <w:pPr>
        <w:spacing w:line="360" w:lineRule="auto"/>
        <w:jc w:val="both"/>
        <w:rPr>
          <w:rFonts w:ascii="Century Gothic" w:hAnsi="Century Gothic" w:cs="Arial"/>
          <w:sz w:val="22"/>
          <w:szCs w:val="22"/>
        </w:rPr>
      </w:pPr>
    </w:p>
    <w:p w14:paraId="6E68E715" w14:textId="77777777" w:rsidR="005931A6" w:rsidRPr="00712CD1" w:rsidRDefault="005931A6" w:rsidP="005931A6">
      <w:pPr>
        <w:tabs>
          <w:tab w:val="left" w:pos="2880"/>
        </w:tabs>
        <w:spacing w:line="360" w:lineRule="auto"/>
        <w:jc w:val="both"/>
        <w:rPr>
          <w:rFonts w:ascii="Century Gothic" w:hAnsi="Century Gothic" w:cs="Tahoma"/>
          <w:b/>
          <w:sz w:val="22"/>
          <w:szCs w:val="22"/>
        </w:rPr>
      </w:pPr>
      <w:r w:rsidRPr="00712CD1">
        <w:rPr>
          <w:rFonts w:ascii="Century Gothic" w:hAnsi="Century Gothic"/>
          <w:bCs/>
          <w:sz w:val="22"/>
          <w:szCs w:val="22"/>
        </w:rPr>
        <w:tab/>
      </w:r>
      <w:r w:rsidRPr="00712CD1">
        <w:rPr>
          <w:rFonts w:ascii="Century Gothic" w:hAnsi="Century Gothic" w:cs="Tahoma"/>
          <w:b/>
          <w:sz w:val="22"/>
          <w:szCs w:val="22"/>
        </w:rPr>
        <w:t>NOTIFÍQUESE Y CÚMPLASE</w:t>
      </w:r>
    </w:p>
    <w:p w14:paraId="5CC1AE15" w14:textId="77777777" w:rsidR="005931A6" w:rsidRDefault="005931A6" w:rsidP="00712CD1">
      <w:pPr>
        <w:spacing w:line="360" w:lineRule="auto"/>
        <w:rPr>
          <w:rFonts w:ascii="Century Gothic" w:hAnsi="Century Gothic" w:cs="Tahoma"/>
          <w:b/>
          <w:sz w:val="22"/>
          <w:szCs w:val="22"/>
        </w:rPr>
      </w:pPr>
    </w:p>
    <w:p w14:paraId="7E9A2C64" w14:textId="77777777" w:rsidR="00AD2E2A" w:rsidRDefault="00AD2E2A" w:rsidP="00712CD1">
      <w:pPr>
        <w:spacing w:line="360" w:lineRule="auto"/>
        <w:rPr>
          <w:rFonts w:ascii="Century Gothic" w:hAnsi="Century Gothic" w:cs="Tahoma"/>
          <w:b/>
          <w:sz w:val="22"/>
          <w:szCs w:val="22"/>
        </w:rPr>
      </w:pPr>
    </w:p>
    <w:p w14:paraId="2096C8DF" w14:textId="611CBCCC" w:rsidR="004261AC" w:rsidRDefault="005931A6" w:rsidP="0073198E">
      <w:pPr>
        <w:tabs>
          <w:tab w:val="center" w:pos="4419"/>
          <w:tab w:val="left" w:pos="7163"/>
        </w:tabs>
        <w:spacing w:line="360" w:lineRule="auto"/>
        <w:rPr>
          <w:rFonts w:ascii="Century Gothic" w:hAnsi="Century Gothic"/>
          <w:sz w:val="22"/>
          <w:szCs w:val="22"/>
        </w:rPr>
      </w:pPr>
      <w:r w:rsidRPr="00712CD1">
        <w:rPr>
          <w:rFonts w:ascii="Century Gothic" w:hAnsi="Century Gothic"/>
          <w:b/>
          <w:sz w:val="22"/>
          <w:szCs w:val="22"/>
        </w:rPr>
        <w:tab/>
        <w:t>CARLOS ALBERTO ZAMBRANO BARRERA</w:t>
      </w:r>
    </w:p>
    <w:p w14:paraId="582D5EB8" w14:textId="5F97B05A" w:rsidR="004261AC" w:rsidRPr="004261AC" w:rsidRDefault="004261AC">
      <w:pPr>
        <w:rPr>
          <w:rFonts w:ascii="Century Gothic" w:hAnsi="Century Gothic"/>
          <w:color w:val="767171" w:themeColor="background2" w:themeShade="80"/>
          <w:sz w:val="14"/>
          <w:szCs w:val="22"/>
        </w:rPr>
      </w:pPr>
      <w:r w:rsidRPr="004261AC">
        <w:rPr>
          <w:rFonts w:ascii="Century Gothic" w:hAnsi="Century Gothic"/>
          <w:color w:val="767171" w:themeColor="background2" w:themeShade="80"/>
          <w:sz w:val="14"/>
          <w:szCs w:val="22"/>
        </w:rPr>
        <w:t>JSVA</w:t>
      </w:r>
    </w:p>
    <w:sectPr w:rsidR="004261AC" w:rsidRPr="004261AC" w:rsidSect="005059D9">
      <w:headerReference w:type="even" r:id="rId9"/>
      <w:pgSz w:w="12240" w:h="18720" w:code="120"/>
      <w:pgMar w:top="1701" w:right="1701" w:bottom="1701" w:left="1701" w:header="1418"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87133" w14:textId="77777777" w:rsidR="00E66780" w:rsidRDefault="00E66780" w:rsidP="005931A6">
      <w:r>
        <w:separator/>
      </w:r>
    </w:p>
  </w:endnote>
  <w:endnote w:type="continuationSeparator" w:id="0">
    <w:p w14:paraId="70C6B9E3" w14:textId="77777777" w:rsidR="00E66780" w:rsidRDefault="00E66780" w:rsidP="0059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A9BDF" w14:textId="77777777" w:rsidR="00E66780" w:rsidRDefault="00E66780" w:rsidP="005931A6">
      <w:r>
        <w:separator/>
      </w:r>
    </w:p>
  </w:footnote>
  <w:footnote w:type="continuationSeparator" w:id="0">
    <w:p w14:paraId="13D547A0" w14:textId="77777777" w:rsidR="00E66780" w:rsidRDefault="00E66780" w:rsidP="005931A6">
      <w:r>
        <w:continuationSeparator/>
      </w:r>
    </w:p>
  </w:footnote>
  <w:footnote w:id="1">
    <w:p w14:paraId="28E59585" w14:textId="24B36B0F" w:rsidR="00684C96" w:rsidRPr="00F03FA3" w:rsidRDefault="005931A6" w:rsidP="00684C96">
      <w:pPr>
        <w:pStyle w:val="Textonotapie"/>
        <w:jc w:val="both"/>
        <w:rPr>
          <w:rFonts w:ascii="Century Gothic" w:hAnsi="Century Gothic"/>
          <w:i/>
          <w:sz w:val="18"/>
          <w:szCs w:val="18"/>
          <w:lang w:val="es-CO"/>
        </w:rPr>
      </w:pPr>
      <w:r w:rsidRPr="00F03FA3">
        <w:rPr>
          <w:rStyle w:val="Refdenotaalpie"/>
          <w:rFonts w:ascii="Century Gothic" w:hAnsi="Century Gothic"/>
          <w:sz w:val="18"/>
          <w:szCs w:val="18"/>
        </w:rPr>
        <w:footnoteRef/>
      </w:r>
      <w:r w:rsidRPr="00F03FA3">
        <w:rPr>
          <w:rFonts w:ascii="Century Gothic" w:hAnsi="Century Gothic"/>
          <w:sz w:val="18"/>
          <w:szCs w:val="18"/>
        </w:rPr>
        <w:t xml:space="preserve"> “</w:t>
      </w:r>
      <w:r w:rsidR="00684C96" w:rsidRPr="00F03FA3">
        <w:rPr>
          <w:rFonts w:ascii="Century Gothic" w:hAnsi="Century Gothic"/>
          <w:b/>
          <w:bCs/>
          <w:i/>
          <w:iCs/>
          <w:sz w:val="18"/>
          <w:szCs w:val="18"/>
          <w:lang w:val="es-CO"/>
        </w:rPr>
        <w:t>Apelación</w:t>
      </w:r>
      <w:r w:rsidR="00684C96" w:rsidRPr="00F03FA3">
        <w:rPr>
          <w:rFonts w:ascii="Century Gothic" w:hAnsi="Century Gothic"/>
          <w:b/>
          <w:bCs/>
          <w:i/>
          <w:sz w:val="18"/>
          <w:szCs w:val="18"/>
          <w:lang w:val="es-CO"/>
        </w:rPr>
        <w:t>.</w:t>
      </w:r>
      <w:r w:rsidR="005D15BF">
        <w:rPr>
          <w:rFonts w:ascii="Century Gothic" w:hAnsi="Century Gothic"/>
          <w:i/>
          <w:sz w:val="18"/>
          <w:szCs w:val="18"/>
          <w:lang w:val="es-CO"/>
        </w:rPr>
        <w:t xml:space="preserve"> </w:t>
      </w:r>
      <w:r w:rsidR="00684C96" w:rsidRPr="00F03FA3">
        <w:rPr>
          <w:rFonts w:ascii="Century Gothic" w:hAnsi="Century Gothic"/>
          <w:i/>
          <w:sz w:val="18"/>
          <w:szCs w:val="18"/>
          <w:lang w:val="es-CO"/>
        </w:rPr>
        <w:t>Son apelables las sentencias de primera instancia de los Tribunales y de los Jueces. También serán apelables los siguientes autos proferidos en la misma instancia</w:t>
      </w:r>
      <w:r w:rsidR="005D15BF">
        <w:rPr>
          <w:rFonts w:ascii="Century Gothic" w:hAnsi="Century Gothic"/>
          <w:i/>
          <w:sz w:val="18"/>
          <w:szCs w:val="18"/>
          <w:lang w:val="es-CO"/>
        </w:rPr>
        <w:t xml:space="preserve"> </w:t>
      </w:r>
      <w:r w:rsidR="00684C96" w:rsidRPr="00F03FA3">
        <w:rPr>
          <w:rFonts w:ascii="Century Gothic" w:hAnsi="Century Gothic"/>
          <w:i/>
          <w:sz w:val="18"/>
          <w:szCs w:val="18"/>
          <w:lang w:val="es-CO"/>
        </w:rPr>
        <w:t>por los jueces administrativos:</w:t>
      </w:r>
    </w:p>
    <w:p w14:paraId="73D11633" w14:textId="39FAA59D" w:rsidR="00AD2E2A" w:rsidRDefault="00232278" w:rsidP="0046016F">
      <w:pPr>
        <w:pStyle w:val="Textonotapie"/>
        <w:jc w:val="both"/>
        <w:rPr>
          <w:rFonts w:ascii="Century Gothic" w:hAnsi="Century Gothic"/>
          <w:sz w:val="18"/>
          <w:szCs w:val="18"/>
        </w:rPr>
      </w:pPr>
      <w:r>
        <w:rPr>
          <w:rFonts w:ascii="Century Gothic" w:hAnsi="Century Gothic"/>
          <w:sz w:val="18"/>
          <w:szCs w:val="18"/>
        </w:rPr>
        <w:t xml:space="preserve"> </w:t>
      </w:r>
      <w:r w:rsidR="00AD2E2A">
        <w:rPr>
          <w:rFonts w:ascii="Century Gothic" w:hAnsi="Century Gothic"/>
          <w:sz w:val="18"/>
          <w:szCs w:val="18"/>
        </w:rPr>
        <w:t>“(…)</w:t>
      </w:r>
    </w:p>
    <w:p w14:paraId="28BA8F66" w14:textId="20D1C021" w:rsidR="00AD2E2A" w:rsidRPr="00AD2E2A" w:rsidRDefault="00AD2E2A" w:rsidP="0046016F">
      <w:pPr>
        <w:pStyle w:val="Textonotapie"/>
        <w:jc w:val="both"/>
        <w:rPr>
          <w:rFonts w:ascii="Century Gothic" w:hAnsi="Century Gothic"/>
          <w:sz w:val="18"/>
          <w:szCs w:val="18"/>
        </w:rPr>
      </w:pPr>
      <w:r>
        <w:rPr>
          <w:rFonts w:ascii="Century Gothic" w:hAnsi="Century Gothic"/>
          <w:sz w:val="18"/>
          <w:szCs w:val="18"/>
        </w:rPr>
        <w:t>“</w:t>
      </w:r>
      <w:r w:rsidR="00232278" w:rsidRPr="00232278">
        <w:rPr>
          <w:rFonts w:ascii="Century Gothic" w:hAnsi="Century Gothic"/>
          <w:sz w:val="18"/>
          <w:szCs w:val="18"/>
        </w:rPr>
        <w:t>3.</w:t>
      </w:r>
      <w:r w:rsidR="005D15BF">
        <w:rPr>
          <w:rFonts w:ascii="Century Gothic" w:hAnsi="Century Gothic"/>
          <w:sz w:val="18"/>
          <w:szCs w:val="18"/>
        </w:rPr>
        <w:t xml:space="preserve"> </w:t>
      </w:r>
      <w:r w:rsidR="00232278" w:rsidRPr="00232278">
        <w:rPr>
          <w:rFonts w:ascii="Century Gothic" w:hAnsi="Century Gothic"/>
          <w:sz w:val="18"/>
          <w:szCs w:val="18"/>
        </w:rPr>
        <w:t>El que ponga fin al proceso</w:t>
      </w:r>
      <w:r>
        <w:rPr>
          <w:rFonts w:ascii="Century Gothic" w:hAnsi="Century Gothic"/>
          <w:sz w:val="18"/>
          <w:szCs w:val="18"/>
        </w:rPr>
        <w:t>”</w:t>
      </w:r>
      <w:r w:rsidRPr="00AD2E2A">
        <w:rPr>
          <w:rFonts w:ascii="Century Gothic" w:hAnsi="Century Gothic"/>
          <w:sz w:val="18"/>
          <w:szCs w:val="18"/>
        </w:rPr>
        <w:t>.</w:t>
      </w:r>
    </w:p>
  </w:footnote>
  <w:footnote w:id="2">
    <w:p w14:paraId="755D996F" w14:textId="44345996" w:rsidR="00E6755D" w:rsidRPr="00F03FA3" w:rsidRDefault="005931A6" w:rsidP="00E6755D">
      <w:pPr>
        <w:pStyle w:val="Textonotapie"/>
        <w:jc w:val="both"/>
        <w:rPr>
          <w:rFonts w:ascii="Century Gothic" w:hAnsi="Century Gothic"/>
          <w:i/>
          <w:sz w:val="18"/>
          <w:szCs w:val="18"/>
          <w:lang w:val="es-ES_tradnl"/>
        </w:rPr>
      </w:pPr>
      <w:r w:rsidRPr="00F03FA3">
        <w:rPr>
          <w:rStyle w:val="Refdenotaalpie"/>
          <w:rFonts w:ascii="Century Gothic" w:hAnsi="Century Gothic"/>
          <w:sz w:val="18"/>
          <w:szCs w:val="18"/>
        </w:rPr>
        <w:footnoteRef/>
      </w:r>
      <w:r w:rsidRPr="00F03FA3">
        <w:rPr>
          <w:rFonts w:ascii="Century Gothic" w:hAnsi="Century Gothic"/>
          <w:sz w:val="18"/>
          <w:szCs w:val="18"/>
        </w:rPr>
        <w:t xml:space="preserve"> “</w:t>
      </w:r>
      <w:r w:rsidR="00E6755D" w:rsidRPr="00F03FA3">
        <w:rPr>
          <w:rFonts w:ascii="Century Gothic" w:hAnsi="Century Gothic"/>
          <w:b/>
          <w:bCs/>
          <w:i/>
          <w:sz w:val="18"/>
          <w:szCs w:val="18"/>
          <w:lang w:val="es-ES_tradnl"/>
        </w:rPr>
        <w:t>Artículo 152.</w:t>
      </w:r>
      <w:r w:rsidR="005D15BF">
        <w:rPr>
          <w:rFonts w:ascii="Century Gothic" w:hAnsi="Century Gothic"/>
          <w:b/>
          <w:bCs/>
          <w:i/>
          <w:sz w:val="18"/>
          <w:szCs w:val="18"/>
          <w:lang w:val="es-ES_tradnl"/>
        </w:rPr>
        <w:t xml:space="preserve"> </w:t>
      </w:r>
      <w:r w:rsidR="00E6755D" w:rsidRPr="00F03FA3">
        <w:rPr>
          <w:rFonts w:ascii="Century Gothic" w:hAnsi="Century Gothic"/>
          <w:b/>
          <w:bCs/>
          <w:i/>
          <w:iCs/>
          <w:sz w:val="18"/>
          <w:szCs w:val="18"/>
          <w:lang w:val="es-ES_tradnl"/>
        </w:rPr>
        <w:t>Competencia de los tribunales administrativos en primera instancia.</w:t>
      </w:r>
      <w:r w:rsidR="005D15BF">
        <w:rPr>
          <w:rFonts w:ascii="Century Gothic" w:hAnsi="Century Gothic"/>
          <w:i/>
          <w:iCs/>
          <w:sz w:val="18"/>
          <w:szCs w:val="18"/>
          <w:lang w:val="es-ES_tradnl"/>
        </w:rPr>
        <w:t xml:space="preserve"> </w:t>
      </w:r>
      <w:r w:rsidR="00E6755D" w:rsidRPr="00F03FA3">
        <w:rPr>
          <w:rFonts w:ascii="Century Gothic" w:hAnsi="Century Gothic"/>
          <w:i/>
          <w:sz w:val="18"/>
          <w:szCs w:val="18"/>
          <w:lang w:val="es-ES_tradnl"/>
        </w:rPr>
        <w:t>Los Tribunales Administrativos conocerán en primera instancia de los siguientes asuntos:</w:t>
      </w:r>
    </w:p>
    <w:p w14:paraId="22D43D13" w14:textId="77777777" w:rsidR="00E6755D" w:rsidRPr="00F03FA3" w:rsidRDefault="00E6755D" w:rsidP="00E6755D">
      <w:pPr>
        <w:pStyle w:val="Textonotapie"/>
        <w:jc w:val="both"/>
        <w:rPr>
          <w:rFonts w:ascii="Century Gothic" w:hAnsi="Century Gothic"/>
          <w:i/>
          <w:sz w:val="18"/>
          <w:szCs w:val="18"/>
          <w:lang w:val="es-ES_tradnl"/>
        </w:rPr>
      </w:pPr>
      <w:r w:rsidRPr="00F03FA3">
        <w:rPr>
          <w:rFonts w:ascii="Century Gothic" w:hAnsi="Century Gothic"/>
          <w:i/>
          <w:sz w:val="18"/>
          <w:szCs w:val="18"/>
          <w:lang w:val="es-ES_tradnl"/>
        </w:rPr>
        <w:t>“(…)</w:t>
      </w:r>
    </w:p>
    <w:p w14:paraId="4C894CA6" w14:textId="5E1E0122" w:rsidR="005931A6" w:rsidRPr="00232278" w:rsidRDefault="00E6755D" w:rsidP="005931A6">
      <w:pPr>
        <w:pStyle w:val="Textonotapie"/>
        <w:jc w:val="both"/>
        <w:rPr>
          <w:rFonts w:ascii="Century Gothic" w:hAnsi="Century Gothic"/>
          <w:i/>
          <w:sz w:val="18"/>
          <w:szCs w:val="18"/>
          <w:lang w:val="es-ES_tradnl"/>
        </w:rPr>
      </w:pPr>
      <w:r w:rsidRPr="00F03FA3">
        <w:rPr>
          <w:rFonts w:ascii="Century Gothic" w:hAnsi="Century Gothic"/>
          <w:i/>
          <w:sz w:val="18"/>
          <w:szCs w:val="18"/>
          <w:lang w:val="es-ES_tradnl"/>
        </w:rPr>
        <w:t>“</w:t>
      </w:r>
      <w:r w:rsidR="00232278" w:rsidRPr="00232278">
        <w:rPr>
          <w:rFonts w:ascii="Century Gothic" w:hAnsi="Century Gothic"/>
          <w:i/>
          <w:sz w:val="18"/>
          <w:szCs w:val="18"/>
        </w:rPr>
        <w:t>5. De los relativos a los contratos, cualquiera que sea su régimen, en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exceda de quinientos (500) salarios mín</w:t>
      </w:r>
      <w:r w:rsidR="00232278">
        <w:rPr>
          <w:rFonts w:ascii="Century Gothic" w:hAnsi="Century Gothic"/>
          <w:i/>
          <w:sz w:val="18"/>
          <w:szCs w:val="18"/>
        </w:rPr>
        <w:t>imos legales mensuales vigentes</w:t>
      </w:r>
      <w:r w:rsidR="005931A6" w:rsidRPr="00F03FA3">
        <w:rPr>
          <w:rFonts w:ascii="Century Gothic" w:hAnsi="Century Gothic"/>
          <w:i/>
          <w:sz w:val="18"/>
          <w:szCs w:val="18"/>
        </w:rPr>
        <w:t>”.</w:t>
      </w:r>
    </w:p>
    <w:p w14:paraId="4A4E6222" w14:textId="4075F6F8" w:rsidR="005931A6" w:rsidRPr="00F03FA3" w:rsidRDefault="005931A6" w:rsidP="005931A6">
      <w:pPr>
        <w:pStyle w:val="Textonotapie"/>
        <w:jc w:val="both"/>
        <w:rPr>
          <w:rFonts w:ascii="Century Gothic" w:hAnsi="Century Gothic"/>
          <w:sz w:val="18"/>
          <w:szCs w:val="18"/>
        </w:rPr>
      </w:pPr>
      <w:r w:rsidRPr="00F03FA3">
        <w:rPr>
          <w:rFonts w:ascii="Century Gothic" w:hAnsi="Century Gothic"/>
          <w:sz w:val="18"/>
          <w:szCs w:val="18"/>
        </w:rPr>
        <w:t xml:space="preserve">Revisada la demanda, se observa que la pretensión mayor individualmente considerada fue estimada en </w:t>
      </w:r>
      <w:r w:rsidRPr="00F03FA3">
        <w:rPr>
          <w:rFonts w:ascii="Century Gothic" w:hAnsi="Century Gothic"/>
          <w:sz w:val="18"/>
          <w:szCs w:val="18"/>
          <w:lang w:val="es-CO"/>
        </w:rPr>
        <w:t>$</w:t>
      </w:r>
      <w:r w:rsidR="00232278">
        <w:rPr>
          <w:rFonts w:ascii="Century Gothic" w:hAnsi="Century Gothic"/>
          <w:sz w:val="18"/>
          <w:szCs w:val="18"/>
          <w:lang w:val="es-CO"/>
        </w:rPr>
        <w:t>835</w:t>
      </w:r>
      <w:r w:rsidR="00684C96" w:rsidRPr="00F03FA3">
        <w:rPr>
          <w:rFonts w:ascii="Century Gothic" w:hAnsi="Century Gothic"/>
          <w:sz w:val="18"/>
          <w:szCs w:val="18"/>
          <w:lang w:val="es-CO"/>
        </w:rPr>
        <w:t>’</w:t>
      </w:r>
      <w:r w:rsidR="00232278">
        <w:rPr>
          <w:rFonts w:ascii="Century Gothic" w:hAnsi="Century Gothic"/>
          <w:sz w:val="18"/>
          <w:szCs w:val="18"/>
          <w:lang w:val="es-CO"/>
        </w:rPr>
        <w:t>496</w:t>
      </w:r>
      <w:r w:rsidR="00684C96" w:rsidRPr="00F03FA3">
        <w:rPr>
          <w:rFonts w:ascii="Century Gothic" w:hAnsi="Century Gothic"/>
          <w:sz w:val="18"/>
          <w:szCs w:val="18"/>
          <w:lang w:val="es-CO"/>
        </w:rPr>
        <w:t>.</w:t>
      </w:r>
      <w:r w:rsidR="00232278">
        <w:rPr>
          <w:rFonts w:ascii="Century Gothic" w:hAnsi="Century Gothic"/>
          <w:sz w:val="18"/>
          <w:szCs w:val="18"/>
          <w:lang w:val="es-CO"/>
        </w:rPr>
        <w:t>969</w:t>
      </w:r>
      <w:r w:rsidR="00E6755D" w:rsidRPr="00F03FA3">
        <w:rPr>
          <w:rFonts w:ascii="Century Gothic" w:hAnsi="Century Gothic"/>
          <w:sz w:val="18"/>
          <w:szCs w:val="18"/>
        </w:rPr>
        <w:t xml:space="preserve"> (fl. </w:t>
      </w:r>
      <w:r w:rsidR="00232278">
        <w:rPr>
          <w:rFonts w:ascii="Century Gothic" w:hAnsi="Century Gothic"/>
          <w:sz w:val="18"/>
          <w:szCs w:val="18"/>
        </w:rPr>
        <w:t>6</w:t>
      </w:r>
      <w:r w:rsidR="00E6755D" w:rsidRPr="00F03FA3">
        <w:rPr>
          <w:rFonts w:ascii="Century Gothic" w:hAnsi="Century Gothic"/>
          <w:sz w:val="18"/>
          <w:szCs w:val="18"/>
        </w:rPr>
        <w:t xml:space="preserve"> C. 1</w:t>
      </w:r>
      <w:r w:rsidRPr="00F03FA3">
        <w:rPr>
          <w:rFonts w:ascii="Century Gothic" w:hAnsi="Century Gothic"/>
          <w:sz w:val="18"/>
          <w:szCs w:val="18"/>
        </w:rPr>
        <w:t>), suma que supera ostensiblemente los 500 salarios mínimos mensuales legales vi</w:t>
      </w:r>
      <w:r w:rsidR="00E6755D" w:rsidRPr="00F03FA3">
        <w:rPr>
          <w:rFonts w:ascii="Century Gothic" w:hAnsi="Century Gothic"/>
          <w:sz w:val="18"/>
          <w:szCs w:val="18"/>
        </w:rPr>
        <w:t xml:space="preserve">gentes exigidos por el numeral </w:t>
      </w:r>
      <w:r w:rsidR="00232278">
        <w:rPr>
          <w:rFonts w:ascii="Century Gothic" w:hAnsi="Century Gothic"/>
          <w:sz w:val="18"/>
          <w:szCs w:val="18"/>
        </w:rPr>
        <w:t>5</w:t>
      </w:r>
      <w:r w:rsidRPr="00F03FA3">
        <w:rPr>
          <w:rFonts w:ascii="Century Gothic" w:hAnsi="Century Gothic"/>
          <w:sz w:val="18"/>
          <w:szCs w:val="18"/>
        </w:rPr>
        <w:t xml:space="preserve"> del referido artículo 152 para que un proceso sea de doble instancia, los cuales, para la fecha de presentación de la demanda de la referencia (</w:t>
      </w:r>
      <w:r w:rsidR="00232278">
        <w:rPr>
          <w:rFonts w:ascii="Century Gothic" w:hAnsi="Century Gothic"/>
          <w:sz w:val="18"/>
          <w:szCs w:val="18"/>
          <w:lang w:val="es-CO"/>
        </w:rPr>
        <w:t>2017</w:t>
      </w:r>
      <w:r w:rsidRPr="00F03FA3">
        <w:rPr>
          <w:rFonts w:ascii="Century Gothic" w:hAnsi="Century Gothic"/>
          <w:sz w:val="18"/>
          <w:szCs w:val="18"/>
        </w:rPr>
        <w:t xml:space="preserve">), sumaban un total de </w:t>
      </w:r>
      <w:r w:rsidR="00684C96" w:rsidRPr="00F03FA3">
        <w:rPr>
          <w:rFonts w:ascii="Century Gothic" w:hAnsi="Century Gothic"/>
          <w:sz w:val="18"/>
          <w:szCs w:val="18"/>
        </w:rPr>
        <w:t>$3</w:t>
      </w:r>
      <w:r w:rsidR="00232278">
        <w:rPr>
          <w:rFonts w:ascii="Century Gothic" w:hAnsi="Century Gothic"/>
          <w:sz w:val="18"/>
          <w:szCs w:val="18"/>
        </w:rPr>
        <w:t>68</w:t>
      </w:r>
      <w:r w:rsidRPr="00F03FA3">
        <w:rPr>
          <w:rFonts w:ascii="Century Gothic" w:hAnsi="Century Gothic"/>
          <w:sz w:val="18"/>
          <w:szCs w:val="18"/>
        </w:rPr>
        <w:t>’</w:t>
      </w:r>
      <w:r w:rsidR="00232278">
        <w:rPr>
          <w:rFonts w:ascii="Century Gothic" w:hAnsi="Century Gothic"/>
          <w:sz w:val="18"/>
          <w:szCs w:val="18"/>
        </w:rPr>
        <w:t>858</w:t>
      </w:r>
      <w:r w:rsidRPr="00F03FA3">
        <w:rPr>
          <w:rFonts w:ascii="Century Gothic" w:hAnsi="Century Gothic"/>
          <w:sz w:val="18"/>
          <w:szCs w:val="18"/>
        </w:rPr>
        <w:t>.</w:t>
      </w:r>
      <w:r w:rsidR="00232278">
        <w:rPr>
          <w:rFonts w:ascii="Century Gothic" w:hAnsi="Century Gothic"/>
          <w:sz w:val="18"/>
          <w:szCs w:val="18"/>
        </w:rPr>
        <w:t>5</w:t>
      </w:r>
      <w:r w:rsidRPr="00F03FA3">
        <w:rPr>
          <w:rFonts w:ascii="Century Gothic" w:hAnsi="Century Gothic"/>
          <w:sz w:val="18"/>
          <w:szCs w:val="18"/>
        </w:rPr>
        <w:t>00, teniendo en cuenta</w:t>
      </w:r>
      <w:r w:rsidR="00241EB1">
        <w:rPr>
          <w:rFonts w:ascii="Century Gothic" w:hAnsi="Century Gothic"/>
          <w:sz w:val="18"/>
          <w:szCs w:val="18"/>
        </w:rPr>
        <w:t xml:space="preserve"> que</w:t>
      </w:r>
      <w:r w:rsidRPr="00F03FA3">
        <w:rPr>
          <w:rFonts w:ascii="Century Gothic" w:hAnsi="Century Gothic"/>
          <w:sz w:val="18"/>
          <w:szCs w:val="18"/>
        </w:rPr>
        <w:t xml:space="preserve"> el salario mínimo men</w:t>
      </w:r>
      <w:r w:rsidR="00241EB1">
        <w:rPr>
          <w:rFonts w:ascii="Century Gothic" w:hAnsi="Century Gothic"/>
          <w:sz w:val="18"/>
          <w:szCs w:val="18"/>
        </w:rPr>
        <w:t>sual legal vigente para  ese año era de</w:t>
      </w:r>
      <w:r w:rsidRPr="00F03FA3">
        <w:rPr>
          <w:rFonts w:ascii="Century Gothic" w:hAnsi="Century Gothic"/>
          <w:sz w:val="18"/>
          <w:szCs w:val="18"/>
        </w:rPr>
        <w:t xml:space="preserve"> $</w:t>
      </w:r>
      <w:r w:rsidR="00232278">
        <w:rPr>
          <w:rFonts w:ascii="Century Gothic" w:hAnsi="Century Gothic"/>
          <w:sz w:val="18"/>
          <w:szCs w:val="18"/>
        </w:rPr>
        <w:t>737</w:t>
      </w:r>
      <w:r w:rsidR="00E6755D" w:rsidRPr="00F03FA3">
        <w:rPr>
          <w:rFonts w:ascii="Century Gothic" w:hAnsi="Century Gothic"/>
          <w:sz w:val="18"/>
          <w:szCs w:val="18"/>
        </w:rPr>
        <w:t>.</w:t>
      </w:r>
      <w:r w:rsidR="00232278">
        <w:rPr>
          <w:rFonts w:ascii="Century Gothic" w:hAnsi="Century Gothic"/>
          <w:sz w:val="18"/>
          <w:szCs w:val="18"/>
        </w:rPr>
        <w:t>717</w:t>
      </w:r>
      <w:r w:rsidRPr="00F03FA3">
        <w:rPr>
          <w:rFonts w:ascii="Century Gothic" w:hAnsi="Century Gothic"/>
          <w:sz w:val="18"/>
          <w:szCs w:val="18"/>
        </w:rPr>
        <w:t>.</w:t>
      </w:r>
    </w:p>
  </w:footnote>
  <w:footnote w:id="3">
    <w:p w14:paraId="3C17866C" w14:textId="16187E64" w:rsidR="00E6755D" w:rsidRDefault="005931A6" w:rsidP="00E6755D">
      <w:pPr>
        <w:pStyle w:val="Textonotapie"/>
        <w:jc w:val="both"/>
        <w:rPr>
          <w:rFonts w:ascii="Century Gothic" w:hAnsi="Century Gothic"/>
          <w:i/>
          <w:iCs/>
          <w:sz w:val="18"/>
          <w:szCs w:val="18"/>
          <w:lang w:val="es-ES_tradnl"/>
        </w:rPr>
      </w:pPr>
      <w:r w:rsidRPr="00F03FA3">
        <w:rPr>
          <w:rStyle w:val="Refdenotaalpie"/>
          <w:rFonts w:ascii="Century Gothic" w:hAnsi="Century Gothic"/>
          <w:sz w:val="18"/>
          <w:szCs w:val="18"/>
        </w:rPr>
        <w:footnoteRef/>
      </w:r>
      <w:r w:rsidRPr="00F03FA3">
        <w:rPr>
          <w:rFonts w:ascii="Century Gothic" w:hAnsi="Century Gothic"/>
          <w:sz w:val="18"/>
          <w:szCs w:val="18"/>
        </w:rPr>
        <w:t xml:space="preserve"> </w:t>
      </w:r>
      <w:r w:rsidRPr="00F03FA3">
        <w:rPr>
          <w:rFonts w:ascii="Century Gothic" w:hAnsi="Century Gothic"/>
          <w:i/>
          <w:iCs/>
          <w:sz w:val="18"/>
          <w:szCs w:val="18"/>
          <w:lang w:val="es-CO"/>
        </w:rPr>
        <w:t> “</w:t>
      </w:r>
      <w:r w:rsidR="00E6755D" w:rsidRPr="00F03FA3">
        <w:rPr>
          <w:rFonts w:ascii="Century Gothic" w:hAnsi="Century Gothic"/>
          <w:b/>
          <w:bCs/>
          <w:i/>
          <w:iCs/>
          <w:sz w:val="18"/>
          <w:szCs w:val="18"/>
          <w:lang w:val="es-ES_tradnl"/>
        </w:rPr>
        <w:t>Artículo</w:t>
      </w:r>
      <w:r w:rsidR="005D15BF">
        <w:rPr>
          <w:rFonts w:ascii="Century Gothic" w:hAnsi="Century Gothic"/>
          <w:i/>
          <w:iCs/>
          <w:sz w:val="18"/>
          <w:szCs w:val="18"/>
          <w:lang w:val="es-ES_tradnl"/>
        </w:rPr>
        <w:t xml:space="preserve"> </w:t>
      </w:r>
      <w:r w:rsidR="00E6755D" w:rsidRPr="00F03FA3">
        <w:rPr>
          <w:rFonts w:ascii="Century Gothic" w:hAnsi="Century Gothic"/>
          <w:b/>
          <w:bCs/>
          <w:i/>
          <w:iCs/>
          <w:sz w:val="18"/>
          <w:szCs w:val="18"/>
          <w:lang w:val="es-ES_tradnl"/>
        </w:rPr>
        <w:t>244.</w:t>
      </w:r>
      <w:r w:rsidR="005D15BF">
        <w:rPr>
          <w:rFonts w:ascii="Century Gothic" w:hAnsi="Century Gothic"/>
          <w:b/>
          <w:bCs/>
          <w:i/>
          <w:iCs/>
          <w:sz w:val="18"/>
          <w:szCs w:val="18"/>
          <w:lang w:val="es-ES_tradnl"/>
        </w:rPr>
        <w:t xml:space="preserve"> </w:t>
      </w:r>
      <w:r w:rsidR="00E6755D" w:rsidRPr="00F03FA3">
        <w:rPr>
          <w:rFonts w:ascii="Century Gothic" w:hAnsi="Century Gothic"/>
          <w:b/>
          <w:bCs/>
          <w:i/>
          <w:iCs/>
          <w:sz w:val="18"/>
          <w:szCs w:val="18"/>
          <w:lang w:val="es-ES_tradnl"/>
        </w:rPr>
        <w:t>Trámite del recurso de apelación contra autos.</w:t>
      </w:r>
      <w:r w:rsidR="005D15BF">
        <w:rPr>
          <w:rFonts w:ascii="Century Gothic" w:hAnsi="Century Gothic"/>
          <w:i/>
          <w:iCs/>
          <w:sz w:val="18"/>
          <w:szCs w:val="18"/>
          <w:lang w:val="es-ES_tradnl"/>
        </w:rPr>
        <w:t xml:space="preserve"> </w:t>
      </w:r>
      <w:r w:rsidR="00E6755D" w:rsidRPr="00F03FA3">
        <w:rPr>
          <w:rFonts w:ascii="Century Gothic" w:hAnsi="Century Gothic"/>
          <w:i/>
          <w:iCs/>
          <w:sz w:val="18"/>
          <w:szCs w:val="18"/>
          <w:lang w:val="es-ES_tradnl"/>
        </w:rPr>
        <w:t>La interposición y decisión del recurso de apelación contra autos se sujetará a las siguientes reglas:</w:t>
      </w:r>
    </w:p>
    <w:p w14:paraId="6D8CAF6E" w14:textId="185EFBD9" w:rsidR="005931A6" w:rsidRPr="00F03FA3" w:rsidRDefault="00AD2E2A" w:rsidP="00232278">
      <w:pPr>
        <w:pStyle w:val="Textonotapie"/>
        <w:jc w:val="both"/>
        <w:rPr>
          <w:rFonts w:ascii="Century Gothic" w:hAnsi="Century Gothic"/>
          <w:i/>
          <w:iCs/>
          <w:sz w:val="18"/>
          <w:szCs w:val="18"/>
          <w:lang w:val="es-ES_tradnl"/>
        </w:rPr>
      </w:pPr>
      <w:r w:rsidRPr="00232278">
        <w:rPr>
          <w:rFonts w:ascii="Century Gothic" w:hAnsi="Century Gothic"/>
          <w:i/>
          <w:iCs/>
          <w:sz w:val="18"/>
          <w:szCs w:val="18"/>
          <w:lang w:val="es-ES_tradnl"/>
        </w:rPr>
        <w:t>“</w:t>
      </w:r>
      <w:r w:rsidR="00232278" w:rsidRPr="00232278">
        <w:rPr>
          <w:rFonts w:ascii="Century Gothic" w:hAnsi="Century Gothic"/>
          <w:i/>
          <w:iCs/>
          <w:sz w:val="18"/>
          <w:szCs w:val="18"/>
        </w:rPr>
        <w:t>1. Si el auto se profiere en audiencia, la apelación deberá interponerse y sustentarse oralmente en el transcurso de la misma. De inmediato el juez dará traslado del recurso a los demás sujetos procesales con el fin de que se pronuncien y a continuación procederá a resolver si lo concede o lo niega, de todo lo cual quedará constancia en el acta</w:t>
      </w:r>
      <w:r w:rsidR="00E6755D" w:rsidRPr="00F03FA3">
        <w:rPr>
          <w:rFonts w:ascii="Century Gothic" w:hAnsi="Century Gothic"/>
          <w:i/>
          <w:iCs/>
          <w:sz w:val="18"/>
          <w:szCs w:val="18"/>
          <w:lang w:val="es-ES_tradnl"/>
        </w:rPr>
        <w:t>”</w:t>
      </w:r>
      <w:r w:rsidR="005931A6" w:rsidRPr="00F03FA3">
        <w:rPr>
          <w:rFonts w:ascii="Century Gothic" w:hAnsi="Century Gothic"/>
          <w:sz w:val="18"/>
          <w:szCs w:val="18"/>
          <w:lang w:val="es-CO"/>
        </w:rPr>
        <w:t>.</w:t>
      </w:r>
    </w:p>
  </w:footnote>
  <w:footnote w:id="4">
    <w:p w14:paraId="7D1275C3" w14:textId="77777777" w:rsidR="00CB2BEE" w:rsidRPr="00F03FA3" w:rsidRDefault="00CB2BEE" w:rsidP="00CB2BEE">
      <w:pPr>
        <w:pStyle w:val="Textonotapie"/>
        <w:jc w:val="both"/>
        <w:rPr>
          <w:rFonts w:ascii="Century Gothic" w:hAnsi="Century Gothic"/>
          <w:sz w:val="18"/>
          <w:szCs w:val="18"/>
        </w:rPr>
      </w:pPr>
      <w:r w:rsidRPr="00F03FA3">
        <w:rPr>
          <w:rStyle w:val="Refdenotaalpie"/>
          <w:rFonts w:ascii="Century Gothic" w:hAnsi="Century Gothic"/>
          <w:sz w:val="18"/>
          <w:szCs w:val="18"/>
        </w:rPr>
        <w:footnoteRef/>
      </w:r>
      <w:r w:rsidRPr="00F03FA3">
        <w:rPr>
          <w:rFonts w:ascii="Century Gothic" w:hAnsi="Century Gothic"/>
          <w:sz w:val="18"/>
          <w:szCs w:val="18"/>
        </w:rPr>
        <w:t xml:space="preserve"> “(…) </w:t>
      </w:r>
      <w:r w:rsidRPr="007043CF">
        <w:rPr>
          <w:rFonts w:ascii="Century Gothic" w:hAnsi="Century Gothic"/>
          <w:i/>
          <w:sz w:val="18"/>
          <w:szCs w:val="18"/>
        </w:rPr>
        <w:t>durante la marcha del proceso son innumerables las ocasiones en que corresponde a la parte ejercitar determinado acto, cuya omisión le traerá la pérdida de una oportunidad procesal; (sic) es lo que se denomina cargas procesales</w:t>
      </w:r>
      <w:r w:rsidRPr="00F03FA3">
        <w:rPr>
          <w:rFonts w:ascii="Century Gothic" w:hAnsi="Century Gothic"/>
          <w:sz w:val="18"/>
          <w:szCs w:val="18"/>
        </w:rPr>
        <w:t>” (DEVIS ECHANDÍA, Hernando: “</w:t>
      </w:r>
      <w:r w:rsidRPr="007043CF">
        <w:rPr>
          <w:rFonts w:ascii="Century Gothic" w:hAnsi="Century Gothic"/>
          <w:i/>
          <w:sz w:val="18"/>
          <w:szCs w:val="18"/>
        </w:rPr>
        <w:t>Teoría General del Proceso</w:t>
      </w:r>
      <w:r w:rsidRPr="00F03FA3">
        <w:rPr>
          <w:rFonts w:ascii="Century Gothic" w:hAnsi="Century Gothic"/>
          <w:sz w:val="18"/>
          <w:szCs w:val="18"/>
        </w:rPr>
        <w:t xml:space="preserve">”, Ed. Universidad Editores, Buenos Aires, pág. 44). </w:t>
      </w:r>
    </w:p>
  </w:footnote>
  <w:footnote w:id="5">
    <w:p w14:paraId="253FD538" w14:textId="748C17DF" w:rsidR="00684783" w:rsidRPr="002473FA" w:rsidRDefault="00684783" w:rsidP="002473FA">
      <w:pPr>
        <w:pStyle w:val="Textonotapie"/>
        <w:jc w:val="both"/>
        <w:rPr>
          <w:rFonts w:ascii="Century Gothic" w:hAnsi="Century Gothic"/>
          <w:sz w:val="18"/>
        </w:rPr>
      </w:pPr>
      <w:r w:rsidRPr="002473FA">
        <w:rPr>
          <w:rStyle w:val="Refdenotaalpie"/>
          <w:rFonts w:ascii="Century Gothic" w:hAnsi="Century Gothic"/>
          <w:sz w:val="18"/>
        </w:rPr>
        <w:footnoteRef/>
      </w:r>
      <w:r w:rsidRPr="002473FA">
        <w:rPr>
          <w:rFonts w:ascii="Century Gothic" w:hAnsi="Century Gothic"/>
          <w:sz w:val="18"/>
        </w:rPr>
        <w:t xml:space="preserve"> Como está expresado en la prórroga </w:t>
      </w:r>
      <w:r w:rsidR="00B63A4F">
        <w:rPr>
          <w:rFonts w:ascii="Century Gothic" w:hAnsi="Century Gothic"/>
          <w:sz w:val="18"/>
        </w:rPr>
        <w:t>que obra</w:t>
      </w:r>
      <w:r w:rsidRPr="002473FA">
        <w:rPr>
          <w:rFonts w:ascii="Century Gothic" w:hAnsi="Century Gothic"/>
          <w:sz w:val="18"/>
        </w:rPr>
        <w:t xml:space="preserve"> a fls. 119 y 120 C.</w:t>
      </w:r>
      <w:r w:rsidR="001E48B2" w:rsidRPr="002473FA">
        <w:rPr>
          <w:rFonts w:ascii="Century Gothic" w:hAnsi="Century Gothic"/>
          <w:sz w:val="18"/>
        </w:rPr>
        <w:t xml:space="preserve"> </w:t>
      </w:r>
      <w:r w:rsidRPr="002473FA">
        <w:rPr>
          <w:rFonts w:ascii="Century Gothic" w:hAnsi="Century Gothic"/>
          <w:sz w:val="18"/>
        </w:rPr>
        <w:t>1.</w:t>
      </w:r>
    </w:p>
  </w:footnote>
  <w:footnote w:id="6">
    <w:p w14:paraId="4CD1C065" w14:textId="5AE3DF29" w:rsidR="00684783" w:rsidRPr="002473FA" w:rsidRDefault="00684783" w:rsidP="002473FA">
      <w:pPr>
        <w:pStyle w:val="Textonotapie"/>
        <w:jc w:val="both"/>
        <w:rPr>
          <w:rFonts w:ascii="Century Gothic" w:hAnsi="Century Gothic"/>
          <w:sz w:val="18"/>
        </w:rPr>
      </w:pPr>
      <w:r w:rsidRPr="002473FA">
        <w:rPr>
          <w:rStyle w:val="Refdenotaalpie"/>
          <w:rFonts w:ascii="Century Gothic" w:hAnsi="Century Gothic"/>
          <w:sz w:val="18"/>
        </w:rPr>
        <w:footnoteRef/>
      </w:r>
      <w:r w:rsidRPr="002473FA">
        <w:rPr>
          <w:rFonts w:ascii="Century Gothic" w:hAnsi="Century Gothic"/>
          <w:sz w:val="18"/>
        </w:rPr>
        <w:t xml:space="preserve"> Numeral 9 del contrato visible a fl. 87 C. 1.</w:t>
      </w:r>
    </w:p>
  </w:footnote>
  <w:footnote w:id="7">
    <w:p w14:paraId="36AB14C8" w14:textId="3E88A07E" w:rsidR="00B63A4F" w:rsidRPr="00B63A4F" w:rsidRDefault="00B63A4F">
      <w:pPr>
        <w:pStyle w:val="Textonotapie"/>
      </w:pPr>
      <w:r>
        <w:rPr>
          <w:rStyle w:val="Refdenotaalpie"/>
        </w:rPr>
        <w:footnoteRef/>
      </w:r>
      <w:r>
        <w:t xml:space="preserve"> </w:t>
      </w:r>
      <w:r w:rsidRPr="002473FA">
        <w:rPr>
          <w:rFonts w:ascii="Century Gothic" w:hAnsi="Century Gothic"/>
          <w:sz w:val="18"/>
          <w:lang w:val="es-CO"/>
        </w:rPr>
        <w:t>Como se puede advertir en la constancia proferida por la Procuraduría 48 Judicial II para Asuntos Administrativos obrante a fl. 131 C. 1.</w:t>
      </w:r>
    </w:p>
  </w:footnote>
  <w:footnote w:id="8">
    <w:p w14:paraId="4AFB4949" w14:textId="20BF5CAC" w:rsidR="001E48B2" w:rsidRPr="002473FA" w:rsidRDefault="001E48B2" w:rsidP="002473FA">
      <w:pPr>
        <w:pStyle w:val="Textonotapie"/>
        <w:jc w:val="both"/>
        <w:rPr>
          <w:rFonts w:ascii="Century Gothic" w:hAnsi="Century Gothic"/>
          <w:sz w:val="18"/>
          <w:lang w:val="es-CO"/>
        </w:rPr>
      </w:pPr>
      <w:r w:rsidRPr="002473FA">
        <w:rPr>
          <w:rStyle w:val="Refdenotaalpie"/>
          <w:rFonts w:ascii="Century Gothic" w:hAnsi="Century Gothic"/>
          <w:sz w:val="18"/>
        </w:rPr>
        <w:footnoteRef/>
      </w:r>
      <w:r w:rsidRPr="002473FA">
        <w:rPr>
          <w:rFonts w:ascii="Century Gothic" w:hAnsi="Century Gothic"/>
          <w:sz w:val="18"/>
        </w:rPr>
        <w:t xml:space="preserve"> </w:t>
      </w:r>
      <w:r w:rsidR="00B63A4F" w:rsidRPr="00B63A4F">
        <w:rPr>
          <w:rFonts w:ascii="Century Gothic" w:hAnsi="Century Gothic"/>
          <w:i/>
          <w:sz w:val="18"/>
        </w:rPr>
        <w:t>Ibídem</w:t>
      </w:r>
      <w:r w:rsidRPr="002473FA">
        <w:rPr>
          <w:rFonts w:ascii="Century Gothic" w:hAnsi="Century Gothic"/>
          <w:sz w:val="18"/>
          <w:lang w:val="es-CO"/>
        </w:rPr>
        <w:t>.</w:t>
      </w:r>
    </w:p>
  </w:footnote>
  <w:footnote w:id="9">
    <w:p w14:paraId="2AFDD9AD" w14:textId="76B31EF7" w:rsidR="001E48B2" w:rsidRPr="001E48B2" w:rsidRDefault="001E48B2" w:rsidP="002473FA">
      <w:pPr>
        <w:pStyle w:val="Textonotapie"/>
        <w:jc w:val="both"/>
      </w:pPr>
      <w:r w:rsidRPr="002473FA">
        <w:rPr>
          <w:rStyle w:val="Refdenotaalpie"/>
          <w:rFonts w:ascii="Century Gothic" w:hAnsi="Century Gothic"/>
          <w:sz w:val="18"/>
        </w:rPr>
        <w:footnoteRef/>
      </w:r>
      <w:r w:rsidRPr="002473FA">
        <w:rPr>
          <w:rFonts w:ascii="Century Gothic" w:hAnsi="Century Gothic"/>
          <w:sz w:val="18"/>
        </w:rPr>
        <w:t xml:space="preserve"> </w:t>
      </w:r>
      <w:r w:rsidR="00B63A4F">
        <w:rPr>
          <w:rFonts w:ascii="Century Gothic" w:hAnsi="Century Gothic"/>
          <w:sz w:val="18"/>
        </w:rPr>
        <w:t>S</w:t>
      </w:r>
      <w:r w:rsidRPr="002473FA">
        <w:rPr>
          <w:rFonts w:ascii="Century Gothic" w:hAnsi="Century Gothic"/>
          <w:sz w:val="18"/>
        </w:rPr>
        <w:t>ello de recibido obrante a fl. 2. C. 1.</w:t>
      </w:r>
      <w:r w:rsidRPr="002473FA">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043F3" w14:textId="77777777" w:rsidR="00A3424D" w:rsidRDefault="00FC532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0BA468" w14:textId="77777777" w:rsidR="00A3424D" w:rsidRDefault="00E66780">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1A6"/>
    <w:rsid w:val="0004578A"/>
    <w:rsid w:val="00047C49"/>
    <w:rsid w:val="0006079D"/>
    <w:rsid w:val="00086057"/>
    <w:rsid w:val="000865BE"/>
    <w:rsid w:val="000952D7"/>
    <w:rsid w:val="000A1C3B"/>
    <w:rsid w:val="000A29AD"/>
    <w:rsid w:val="000C1BDA"/>
    <w:rsid w:val="000C229D"/>
    <w:rsid w:val="000E1B84"/>
    <w:rsid w:val="0011331A"/>
    <w:rsid w:val="001332E0"/>
    <w:rsid w:val="001526E8"/>
    <w:rsid w:val="00163247"/>
    <w:rsid w:val="00163886"/>
    <w:rsid w:val="00164ECF"/>
    <w:rsid w:val="0017100E"/>
    <w:rsid w:val="001717C9"/>
    <w:rsid w:val="001B069D"/>
    <w:rsid w:val="001C20BA"/>
    <w:rsid w:val="001C3522"/>
    <w:rsid w:val="001E0CF5"/>
    <w:rsid w:val="001E0DC9"/>
    <w:rsid w:val="001E48B2"/>
    <w:rsid w:val="001F6B34"/>
    <w:rsid w:val="002224F4"/>
    <w:rsid w:val="00232278"/>
    <w:rsid w:val="00234B48"/>
    <w:rsid w:val="00241EB1"/>
    <w:rsid w:val="002473FA"/>
    <w:rsid w:val="002564F7"/>
    <w:rsid w:val="00272B50"/>
    <w:rsid w:val="002733B7"/>
    <w:rsid w:val="00286BF7"/>
    <w:rsid w:val="002A61A1"/>
    <w:rsid w:val="002B0BD9"/>
    <w:rsid w:val="002B36BA"/>
    <w:rsid w:val="002C3511"/>
    <w:rsid w:val="002F44AC"/>
    <w:rsid w:val="00312B71"/>
    <w:rsid w:val="00320714"/>
    <w:rsid w:val="003221BF"/>
    <w:rsid w:val="00333464"/>
    <w:rsid w:val="00351048"/>
    <w:rsid w:val="003956CB"/>
    <w:rsid w:val="003D07E0"/>
    <w:rsid w:val="003D420F"/>
    <w:rsid w:val="00407B10"/>
    <w:rsid w:val="004126BB"/>
    <w:rsid w:val="00420165"/>
    <w:rsid w:val="004213FA"/>
    <w:rsid w:val="004261AC"/>
    <w:rsid w:val="00430392"/>
    <w:rsid w:val="0044546C"/>
    <w:rsid w:val="0046016F"/>
    <w:rsid w:val="0047286B"/>
    <w:rsid w:val="00482D3E"/>
    <w:rsid w:val="004A0ABB"/>
    <w:rsid w:val="004C75B2"/>
    <w:rsid w:val="004D7CFA"/>
    <w:rsid w:val="004E107E"/>
    <w:rsid w:val="004F5997"/>
    <w:rsid w:val="005059D9"/>
    <w:rsid w:val="00527C67"/>
    <w:rsid w:val="00553400"/>
    <w:rsid w:val="00587550"/>
    <w:rsid w:val="005931A6"/>
    <w:rsid w:val="00594891"/>
    <w:rsid w:val="005B43A6"/>
    <w:rsid w:val="005D15BF"/>
    <w:rsid w:val="005D20AA"/>
    <w:rsid w:val="005D6965"/>
    <w:rsid w:val="005F7371"/>
    <w:rsid w:val="00624301"/>
    <w:rsid w:val="00630CA1"/>
    <w:rsid w:val="0067206A"/>
    <w:rsid w:val="00674D50"/>
    <w:rsid w:val="00684783"/>
    <w:rsid w:val="00684C96"/>
    <w:rsid w:val="006906A1"/>
    <w:rsid w:val="006B2998"/>
    <w:rsid w:val="006C6B51"/>
    <w:rsid w:val="006C7378"/>
    <w:rsid w:val="006C79DD"/>
    <w:rsid w:val="006E7276"/>
    <w:rsid w:val="007043CF"/>
    <w:rsid w:val="00712CD1"/>
    <w:rsid w:val="007261CB"/>
    <w:rsid w:val="0073198E"/>
    <w:rsid w:val="00731F3E"/>
    <w:rsid w:val="007356F3"/>
    <w:rsid w:val="0073759E"/>
    <w:rsid w:val="0076134C"/>
    <w:rsid w:val="00776FE3"/>
    <w:rsid w:val="007A48D7"/>
    <w:rsid w:val="007B56FE"/>
    <w:rsid w:val="007C6138"/>
    <w:rsid w:val="007D21DB"/>
    <w:rsid w:val="00820708"/>
    <w:rsid w:val="00820DAE"/>
    <w:rsid w:val="008274F9"/>
    <w:rsid w:val="0084074C"/>
    <w:rsid w:val="00854A04"/>
    <w:rsid w:val="0087042E"/>
    <w:rsid w:val="00871526"/>
    <w:rsid w:val="00873287"/>
    <w:rsid w:val="00886FAF"/>
    <w:rsid w:val="0089042D"/>
    <w:rsid w:val="008943DB"/>
    <w:rsid w:val="008A00E9"/>
    <w:rsid w:val="008C1CF7"/>
    <w:rsid w:val="008D1B73"/>
    <w:rsid w:val="00907024"/>
    <w:rsid w:val="009573CC"/>
    <w:rsid w:val="00986BB8"/>
    <w:rsid w:val="009A5813"/>
    <w:rsid w:val="009B5D4A"/>
    <w:rsid w:val="009D3BAB"/>
    <w:rsid w:val="009D7B90"/>
    <w:rsid w:val="009E3277"/>
    <w:rsid w:val="00A10C17"/>
    <w:rsid w:val="00A179B6"/>
    <w:rsid w:val="00A75C53"/>
    <w:rsid w:val="00AA0D1D"/>
    <w:rsid w:val="00AD2E2A"/>
    <w:rsid w:val="00AD3346"/>
    <w:rsid w:val="00AE3CCA"/>
    <w:rsid w:val="00AF1AFB"/>
    <w:rsid w:val="00B06567"/>
    <w:rsid w:val="00B16426"/>
    <w:rsid w:val="00B42905"/>
    <w:rsid w:val="00B42ED9"/>
    <w:rsid w:val="00B552DB"/>
    <w:rsid w:val="00B63A4F"/>
    <w:rsid w:val="00B7414E"/>
    <w:rsid w:val="00B81190"/>
    <w:rsid w:val="00BA0518"/>
    <w:rsid w:val="00BC65AA"/>
    <w:rsid w:val="00C13C7E"/>
    <w:rsid w:val="00C154B2"/>
    <w:rsid w:val="00C31853"/>
    <w:rsid w:val="00C4646B"/>
    <w:rsid w:val="00C47EFF"/>
    <w:rsid w:val="00C51E46"/>
    <w:rsid w:val="00C5691C"/>
    <w:rsid w:val="00C6017F"/>
    <w:rsid w:val="00C61F23"/>
    <w:rsid w:val="00C916F6"/>
    <w:rsid w:val="00C94568"/>
    <w:rsid w:val="00CA0F43"/>
    <w:rsid w:val="00CB2BEE"/>
    <w:rsid w:val="00CB3790"/>
    <w:rsid w:val="00D02681"/>
    <w:rsid w:val="00D033B0"/>
    <w:rsid w:val="00D057B6"/>
    <w:rsid w:val="00D3120B"/>
    <w:rsid w:val="00D349F8"/>
    <w:rsid w:val="00D40BB3"/>
    <w:rsid w:val="00D5259E"/>
    <w:rsid w:val="00DD00A7"/>
    <w:rsid w:val="00E66780"/>
    <w:rsid w:val="00E6703F"/>
    <w:rsid w:val="00E6755D"/>
    <w:rsid w:val="00E92579"/>
    <w:rsid w:val="00EE44A3"/>
    <w:rsid w:val="00EF36D9"/>
    <w:rsid w:val="00F03FA3"/>
    <w:rsid w:val="00F04F5E"/>
    <w:rsid w:val="00F15C59"/>
    <w:rsid w:val="00F35187"/>
    <w:rsid w:val="00F36023"/>
    <w:rsid w:val="00F4715F"/>
    <w:rsid w:val="00F50B71"/>
    <w:rsid w:val="00F6514E"/>
    <w:rsid w:val="00F97100"/>
    <w:rsid w:val="00FB0777"/>
    <w:rsid w:val="00FC0D64"/>
    <w:rsid w:val="00FC287B"/>
    <w:rsid w:val="00FC3E1F"/>
    <w:rsid w:val="00FC5322"/>
    <w:rsid w:val="00FE2F6B"/>
    <w:rsid w:val="00FF09A6"/>
    <w:rsid w:val="00FF7C1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5C1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1A6"/>
    <w:rPr>
      <w:rFonts w:ascii="Times New Roman" w:eastAsia="Times New Roman" w:hAnsi="Times New Roman" w:cs="Times New Roman"/>
      <w:lang w:val="es-ES" w:eastAsia="es-ES"/>
    </w:rPr>
  </w:style>
  <w:style w:type="paragraph" w:styleId="Ttulo1">
    <w:name w:val="heading 1"/>
    <w:basedOn w:val="Normal"/>
    <w:next w:val="Normal"/>
    <w:link w:val="Ttulo1Car"/>
    <w:uiPriority w:val="9"/>
    <w:qFormat/>
    <w:rsid w:val="005931A6"/>
    <w:pPr>
      <w:keepNext/>
      <w:overflowPunct w:val="0"/>
      <w:autoSpaceDE w:val="0"/>
      <w:autoSpaceDN w:val="0"/>
      <w:adjustRightInd w:val="0"/>
      <w:ind w:right="-283"/>
      <w:jc w:val="both"/>
      <w:textAlignment w:val="baseline"/>
      <w:outlineLvl w:val="0"/>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31A6"/>
    <w:rPr>
      <w:rFonts w:ascii="Arial" w:eastAsia="Times New Roman" w:hAnsi="Arial" w:cs="Times New Roman"/>
      <w:b/>
      <w:szCs w:val="20"/>
      <w:lang w:eastAsia="es-ES"/>
    </w:rPr>
  </w:style>
  <w:style w:type="character" w:styleId="Nmerodepgina">
    <w:name w:val="page number"/>
    <w:basedOn w:val="Fuentedeprrafopredeter"/>
    <w:rsid w:val="005931A6"/>
  </w:style>
  <w:style w:type="paragraph" w:styleId="Encabezado">
    <w:name w:val="header"/>
    <w:basedOn w:val="Normal"/>
    <w:link w:val="EncabezadoCar"/>
    <w:rsid w:val="005931A6"/>
    <w:pPr>
      <w:tabs>
        <w:tab w:val="center" w:pos="4252"/>
        <w:tab w:val="right" w:pos="8504"/>
      </w:tabs>
      <w:overflowPunct w:val="0"/>
      <w:autoSpaceDE w:val="0"/>
      <w:autoSpaceDN w:val="0"/>
      <w:adjustRightInd w:val="0"/>
      <w:textAlignment w:val="baseline"/>
    </w:pPr>
    <w:rPr>
      <w:rFonts w:ascii="Courier New" w:hAnsi="Courier New"/>
      <w:i/>
      <w:szCs w:val="20"/>
      <w:lang w:val="es-ES_tradnl"/>
    </w:rPr>
  </w:style>
  <w:style w:type="character" w:customStyle="1" w:styleId="EncabezadoCar">
    <w:name w:val="Encabezado Car"/>
    <w:basedOn w:val="Fuentedeprrafopredeter"/>
    <w:link w:val="Encabezado"/>
    <w:rsid w:val="005931A6"/>
    <w:rPr>
      <w:rFonts w:ascii="Courier New" w:eastAsia="Times New Roman" w:hAnsi="Courier New" w:cs="Times New Roman"/>
      <w:i/>
      <w:szCs w:val="20"/>
      <w:lang w:eastAsia="es-ES"/>
    </w:rPr>
  </w:style>
  <w:style w:type="paragraph" w:styleId="Textoindependiente">
    <w:name w:val="Body Text"/>
    <w:basedOn w:val="Normal"/>
    <w:link w:val="TextoindependienteCar"/>
    <w:rsid w:val="005931A6"/>
    <w:pPr>
      <w:ind w:right="20"/>
      <w:jc w:val="both"/>
    </w:pPr>
    <w:rPr>
      <w:rFonts w:ascii="Century Gothic" w:hAnsi="Century Gothic"/>
      <w:sz w:val="22"/>
    </w:rPr>
  </w:style>
  <w:style w:type="character" w:customStyle="1" w:styleId="TextoindependienteCar">
    <w:name w:val="Texto independiente Car"/>
    <w:basedOn w:val="Fuentedeprrafopredeter"/>
    <w:link w:val="Textoindependiente"/>
    <w:rsid w:val="005931A6"/>
    <w:rPr>
      <w:rFonts w:ascii="Century Gothic" w:eastAsia="Times New Roman" w:hAnsi="Century Gothic" w:cs="Times New Roman"/>
      <w:sz w:val="22"/>
      <w:lang w:val="es-ES" w:eastAsia="es-ES"/>
    </w:rPr>
  </w:style>
  <w:style w:type="paragraph" w:styleId="Textonotapie">
    <w:name w:val="footnote text"/>
    <w:aliases w:val="MI NOTA PIE DE PÁGINA (TEXTO),Footnote Text Char Char Char Char Char,Footnote Text Char Char Char Char,Footnote reference,FA Fu,Footnote Text Cha,Footnote Text Char Char Char,FA Fußnotentext,FA Fuﬂnotentext, C,C,ft,FA,FA Fu Car Car,F"/>
    <w:basedOn w:val="Normal"/>
    <w:link w:val="TextonotapieCar1"/>
    <w:qFormat/>
    <w:rsid w:val="005931A6"/>
    <w:rPr>
      <w:sz w:val="20"/>
      <w:szCs w:val="20"/>
    </w:rPr>
  </w:style>
  <w:style w:type="character" w:customStyle="1" w:styleId="TextonotapieCar">
    <w:name w:val="Texto nota pie Car"/>
    <w:basedOn w:val="Fuentedeprrafopredeter"/>
    <w:uiPriority w:val="99"/>
    <w:semiHidden/>
    <w:rsid w:val="005931A6"/>
    <w:rPr>
      <w:rFonts w:ascii="Times New Roman" w:eastAsia="Times New Roman" w:hAnsi="Times New Roman" w:cs="Times New Roman"/>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qFormat/>
    <w:rsid w:val="005931A6"/>
    <w:rPr>
      <w:vertAlign w:val="superscript"/>
    </w:rPr>
  </w:style>
  <w:style w:type="character" w:customStyle="1" w:styleId="TextonotapieCar1">
    <w:name w:val="Texto nota pie Car1"/>
    <w:aliases w:val="MI NOTA PIE DE PÁGINA (TEXTO) Car,Footnote Text Char Char Char Char Char Car,Footnote Text Char Char Char Char Car,Footnote reference Car,FA Fu Car,Footnote Text Cha Car,Footnote Text Char Char Char Car,FA Fußnotentext Car, C Car"/>
    <w:link w:val="Textonotapie"/>
    <w:qFormat/>
    <w:rsid w:val="005931A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931A6"/>
    <w:pPr>
      <w:tabs>
        <w:tab w:val="center" w:pos="4252"/>
        <w:tab w:val="right" w:pos="8504"/>
      </w:tabs>
    </w:pPr>
  </w:style>
  <w:style w:type="character" w:customStyle="1" w:styleId="PiedepginaCar">
    <w:name w:val="Pie de página Car"/>
    <w:basedOn w:val="Fuentedeprrafopredeter"/>
    <w:link w:val="Piedepgina"/>
    <w:uiPriority w:val="99"/>
    <w:rsid w:val="005931A6"/>
    <w:rPr>
      <w:rFonts w:ascii="Times New Roman" w:eastAsia="Times New Roman" w:hAnsi="Times New Roman" w:cs="Times New Roman"/>
      <w:lang w:val="es-ES" w:eastAsia="es-ES"/>
    </w:rPr>
  </w:style>
  <w:style w:type="paragraph" w:customStyle="1" w:styleId="Sangra3detindependiente1">
    <w:name w:val="Sangría 3 de t. independiente1"/>
    <w:basedOn w:val="Normal"/>
    <w:rsid w:val="005931A6"/>
    <w:pPr>
      <w:overflowPunct w:val="0"/>
      <w:autoSpaceDE w:val="0"/>
      <w:autoSpaceDN w:val="0"/>
      <w:adjustRightInd w:val="0"/>
      <w:spacing w:line="360" w:lineRule="auto"/>
      <w:ind w:firstLine="709"/>
      <w:jc w:val="both"/>
      <w:textAlignment w:val="baseline"/>
    </w:pPr>
    <w:rPr>
      <w:rFonts w:ascii="Century Gothic" w:hAnsi="Century Gothic"/>
      <w:sz w:val="22"/>
      <w:szCs w:val="20"/>
      <w:lang w:val="es-ES_tradnl"/>
    </w:rPr>
  </w:style>
  <w:style w:type="paragraph" w:styleId="NormalWeb">
    <w:name w:val="Normal (Web)"/>
    <w:basedOn w:val="Normal"/>
    <w:uiPriority w:val="99"/>
    <w:semiHidden/>
    <w:unhideWhenUsed/>
    <w:rsid w:val="00624301"/>
  </w:style>
  <w:style w:type="paragraph" w:customStyle="1" w:styleId="Textoindependiente21">
    <w:name w:val="Texto independiente 21"/>
    <w:basedOn w:val="Normal"/>
    <w:rsid w:val="00CB2BEE"/>
    <w:pPr>
      <w:overflowPunct w:val="0"/>
      <w:autoSpaceDE w:val="0"/>
      <w:autoSpaceDN w:val="0"/>
      <w:adjustRightInd w:val="0"/>
      <w:spacing w:after="220" w:line="360" w:lineRule="auto"/>
      <w:ind w:firstLine="708"/>
      <w:jc w:val="both"/>
    </w:pPr>
    <w:rPr>
      <w:rFonts w:ascii="Century Gothic" w:hAnsi="Century Gothic"/>
      <w:sz w:val="22"/>
      <w:szCs w:val="20"/>
      <w:lang w:val="es-ES_tradnl"/>
    </w:rPr>
  </w:style>
  <w:style w:type="paragraph" w:styleId="Prrafodelista">
    <w:name w:val="List Paragraph"/>
    <w:basedOn w:val="Normal"/>
    <w:uiPriority w:val="34"/>
    <w:qFormat/>
    <w:rsid w:val="00C154B2"/>
    <w:pPr>
      <w:ind w:left="720"/>
      <w:contextualSpacing/>
    </w:pPr>
  </w:style>
  <w:style w:type="paragraph" w:styleId="Textodeglobo">
    <w:name w:val="Balloon Text"/>
    <w:basedOn w:val="Normal"/>
    <w:link w:val="TextodegloboCar"/>
    <w:uiPriority w:val="99"/>
    <w:semiHidden/>
    <w:unhideWhenUsed/>
    <w:rsid w:val="00630C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0CA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81488">
      <w:bodyDiv w:val="1"/>
      <w:marLeft w:val="0"/>
      <w:marRight w:val="0"/>
      <w:marTop w:val="0"/>
      <w:marBottom w:val="0"/>
      <w:divBdr>
        <w:top w:val="none" w:sz="0" w:space="0" w:color="auto"/>
        <w:left w:val="none" w:sz="0" w:space="0" w:color="auto"/>
        <w:bottom w:val="none" w:sz="0" w:space="0" w:color="auto"/>
        <w:right w:val="none" w:sz="0" w:space="0" w:color="auto"/>
      </w:divBdr>
    </w:div>
    <w:div w:id="72120621">
      <w:bodyDiv w:val="1"/>
      <w:marLeft w:val="0"/>
      <w:marRight w:val="0"/>
      <w:marTop w:val="0"/>
      <w:marBottom w:val="0"/>
      <w:divBdr>
        <w:top w:val="none" w:sz="0" w:space="0" w:color="auto"/>
        <w:left w:val="none" w:sz="0" w:space="0" w:color="auto"/>
        <w:bottom w:val="none" w:sz="0" w:space="0" w:color="auto"/>
        <w:right w:val="none" w:sz="0" w:space="0" w:color="auto"/>
      </w:divBdr>
    </w:div>
    <w:div w:id="95444313">
      <w:bodyDiv w:val="1"/>
      <w:marLeft w:val="0"/>
      <w:marRight w:val="0"/>
      <w:marTop w:val="0"/>
      <w:marBottom w:val="0"/>
      <w:divBdr>
        <w:top w:val="none" w:sz="0" w:space="0" w:color="auto"/>
        <w:left w:val="none" w:sz="0" w:space="0" w:color="auto"/>
        <w:bottom w:val="none" w:sz="0" w:space="0" w:color="auto"/>
        <w:right w:val="none" w:sz="0" w:space="0" w:color="auto"/>
      </w:divBdr>
    </w:div>
    <w:div w:id="452141264">
      <w:bodyDiv w:val="1"/>
      <w:marLeft w:val="0"/>
      <w:marRight w:val="0"/>
      <w:marTop w:val="0"/>
      <w:marBottom w:val="0"/>
      <w:divBdr>
        <w:top w:val="none" w:sz="0" w:space="0" w:color="auto"/>
        <w:left w:val="none" w:sz="0" w:space="0" w:color="auto"/>
        <w:bottom w:val="none" w:sz="0" w:space="0" w:color="auto"/>
        <w:right w:val="none" w:sz="0" w:space="0" w:color="auto"/>
      </w:divBdr>
    </w:div>
    <w:div w:id="454980681">
      <w:bodyDiv w:val="1"/>
      <w:marLeft w:val="0"/>
      <w:marRight w:val="0"/>
      <w:marTop w:val="0"/>
      <w:marBottom w:val="0"/>
      <w:divBdr>
        <w:top w:val="none" w:sz="0" w:space="0" w:color="auto"/>
        <w:left w:val="none" w:sz="0" w:space="0" w:color="auto"/>
        <w:bottom w:val="none" w:sz="0" w:space="0" w:color="auto"/>
        <w:right w:val="none" w:sz="0" w:space="0" w:color="auto"/>
      </w:divBdr>
    </w:div>
    <w:div w:id="528299847">
      <w:bodyDiv w:val="1"/>
      <w:marLeft w:val="0"/>
      <w:marRight w:val="0"/>
      <w:marTop w:val="0"/>
      <w:marBottom w:val="0"/>
      <w:divBdr>
        <w:top w:val="none" w:sz="0" w:space="0" w:color="auto"/>
        <w:left w:val="none" w:sz="0" w:space="0" w:color="auto"/>
        <w:bottom w:val="none" w:sz="0" w:space="0" w:color="auto"/>
        <w:right w:val="none" w:sz="0" w:space="0" w:color="auto"/>
      </w:divBdr>
    </w:div>
    <w:div w:id="529144717">
      <w:bodyDiv w:val="1"/>
      <w:marLeft w:val="0"/>
      <w:marRight w:val="0"/>
      <w:marTop w:val="0"/>
      <w:marBottom w:val="0"/>
      <w:divBdr>
        <w:top w:val="none" w:sz="0" w:space="0" w:color="auto"/>
        <w:left w:val="none" w:sz="0" w:space="0" w:color="auto"/>
        <w:bottom w:val="none" w:sz="0" w:space="0" w:color="auto"/>
        <w:right w:val="none" w:sz="0" w:space="0" w:color="auto"/>
      </w:divBdr>
    </w:div>
    <w:div w:id="575210322">
      <w:bodyDiv w:val="1"/>
      <w:marLeft w:val="0"/>
      <w:marRight w:val="0"/>
      <w:marTop w:val="0"/>
      <w:marBottom w:val="0"/>
      <w:divBdr>
        <w:top w:val="none" w:sz="0" w:space="0" w:color="auto"/>
        <w:left w:val="none" w:sz="0" w:space="0" w:color="auto"/>
        <w:bottom w:val="none" w:sz="0" w:space="0" w:color="auto"/>
        <w:right w:val="none" w:sz="0" w:space="0" w:color="auto"/>
      </w:divBdr>
    </w:div>
    <w:div w:id="737752852">
      <w:bodyDiv w:val="1"/>
      <w:marLeft w:val="0"/>
      <w:marRight w:val="0"/>
      <w:marTop w:val="0"/>
      <w:marBottom w:val="0"/>
      <w:divBdr>
        <w:top w:val="none" w:sz="0" w:space="0" w:color="auto"/>
        <w:left w:val="none" w:sz="0" w:space="0" w:color="auto"/>
        <w:bottom w:val="none" w:sz="0" w:space="0" w:color="auto"/>
        <w:right w:val="none" w:sz="0" w:space="0" w:color="auto"/>
      </w:divBdr>
    </w:div>
    <w:div w:id="1116827388">
      <w:bodyDiv w:val="1"/>
      <w:marLeft w:val="0"/>
      <w:marRight w:val="0"/>
      <w:marTop w:val="0"/>
      <w:marBottom w:val="0"/>
      <w:divBdr>
        <w:top w:val="none" w:sz="0" w:space="0" w:color="auto"/>
        <w:left w:val="none" w:sz="0" w:space="0" w:color="auto"/>
        <w:bottom w:val="none" w:sz="0" w:space="0" w:color="auto"/>
        <w:right w:val="none" w:sz="0" w:space="0" w:color="auto"/>
      </w:divBdr>
    </w:div>
    <w:div w:id="1351223279">
      <w:bodyDiv w:val="1"/>
      <w:marLeft w:val="0"/>
      <w:marRight w:val="0"/>
      <w:marTop w:val="0"/>
      <w:marBottom w:val="0"/>
      <w:divBdr>
        <w:top w:val="none" w:sz="0" w:space="0" w:color="auto"/>
        <w:left w:val="none" w:sz="0" w:space="0" w:color="auto"/>
        <w:bottom w:val="none" w:sz="0" w:space="0" w:color="auto"/>
        <w:right w:val="none" w:sz="0" w:space="0" w:color="auto"/>
      </w:divBdr>
    </w:div>
    <w:div w:id="1522891927">
      <w:bodyDiv w:val="1"/>
      <w:marLeft w:val="0"/>
      <w:marRight w:val="0"/>
      <w:marTop w:val="0"/>
      <w:marBottom w:val="0"/>
      <w:divBdr>
        <w:top w:val="none" w:sz="0" w:space="0" w:color="auto"/>
        <w:left w:val="none" w:sz="0" w:space="0" w:color="auto"/>
        <w:bottom w:val="none" w:sz="0" w:space="0" w:color="auto"/>
        <w:right w:val="none" w:sz="0" w:space="0" w:color="auto"/>
      </w:divBdr>
    </w:div>
    <w:div w:id="1596674653">
      <w:bodyDiv w:val="1"/>
      <w:marLeft w:val="0"/>
      <w:marRight w:val="0"/>
      <w:marTop w:val="0"/>
      <w:marBottom w:val="0"/>
      <w:divBdr>
        <w:top w:val="none" w:sz="0" w:space="0" w:color="auto"/>
        <w:left w:val="none" w:sz="0" w:space="0" w:color="auto"/>
        <w:bottom w:val="none" w:sz="0" w:space="0" w:color="auto"/>
        <w:right w:val="none" w:sz="0" w:space="0" w:color="auto"/>
      </w:divBdr>
    </w:div>
    <w:div w:id="1600259725">
      <w:bodyDiv w:val="1"/>
      <w:marLeft w:val="0"/>
      <w:marRight w:val="0"/>
      <w:marTop w:val="0"/>
      <w:marBottom w:val="0"/>
      <w:divBdr>
        <w:top w:val="none" w:sz="0" w:space="0" w:color="auto"/>
        <w:left w:val="none" w:sz="0" w:space="0" w:color="auto"/>
        <w:bottom w:val="none" w:sz="0" w:space="0" w:color="auto"/>
        <w:right w:val="none" w:sz="0" w:space="0" w:color="auto"/>
      </w:divBdr>
    </w:div>
    <w:div w:id="1607229967">
      <w:bodyDiv w:val="1"/>
      <w:marLeft w:val="0"/>
      <w:marRight w:val="0"/>
      <w:marTop w:val="0"/>
      <w:marBottom w:val="0"/>
      <w:divBdr>
        <w:top w:val="none" w:sz="0" w:space="0" w:color="auto"/>
        <w:left w:val="none" w:sz="0" w:space="0" w:color="auto"/>
        <w:bottom w:val="none" w:sz="0" w:space="0" w:color="auto"/>
        <w:right w:val="none" w:sz="0" w:space="0" w:color="auto"/>
      </w:divBdr>
    </w:div>
    <w:div w:id="1678843691">
      <w:bodyDiv w:val="1"/>
      <w:marLeft w:val="0"/>
      <w:marRight w:val="0"/>
      <w:marTop w:val="0"/>
      <w:marBottom w:val="0"/>
      <w:divBdr>
        <w:top w:val="none" w:sz="0" w:space="0" w:color="auto"/>
        <w:left w:val="none" w:sz="0" w:space="0" w:color="auto"/>
        <w:bottom w:val="none" w:sz="0" w:space="0" w:color="auto"/>
        <w:right w:val="none" w:sz="0" w:space="0" w:color="auto"/>
      </w:divBdr>
    </w:div>
    <w:div w:id="1714622986">
      <w:bodyDiv w:val="1"/>
      <w:marLeft w:val="0"/>
      <w:marRight w:val="0"/>
      <w:marTop w:val="0"/>
      <w:marBottom w:val="0"/>
      <w:divBdr>
        <w:top w:val="none" w:sz="0" w:space="0" w:color="auto"/>
        <w:left w:val="none" w:sz="0" w:space="0" w:color="auto"/>
        <w:bottom w:val="none" w:sz="0" w:space="0" w:color="auto"/>
        <w:right w:val="none" w:sz="0" w:space="0" w:color="auto"/>
      </w:divBdr>
    </w:div>
    <w:div w:id="1931766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B690A7D-1EB6-4B6A-8433-505BE1B6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BD977-3156-43BB-B16E-68D4053FB140}">
  <ds:schemaRefs>
    <ds:schemaRef ds:uri="http://schemas.microsoft.com/sharepoint/v3/contenttype/forms"/>
  </ds:schemaRefs>
</ds:datastoreItem>
</file>

<file path=customXml/itemProps3.xml><?xml version="1.0" encoding="utf-8"?>
<ds:datastoreItem xmlns:ds="http://schemas.openxmlformats.org/officeDocument/2006/customXml" ds:itemID="{B396F32C-C0BF-4BCE-BB6F-63F8828F239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1264</Words>
  <Characters>6956</Characters>
  <Application>Microsoft Office Word</Application>
  <DocSecurity>0</DocSecurity>
  <Lines>57</Lines>
  <Paragraphs>16</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CONSIDERACIONES:</vt:lpstr>
    </vt:vector>
  </TitlesOfParts>
  <Company>Hewlett-Packard Company</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Manuela Mantilla Pacheco</cp:lastModifiedBy>
  <cp:revision>5</cp:revision>
  <cp:lastPrinted>2019-08-20T22:52:00Z</cp:lastPrinted>
  <dcterms:created xsi:type="dcterms:W3CDTF">2020-11-30T13:55:00Z</dcterms:created>
  <dcterms:modified xsi:type="dcterms:W3CDTF">2020-12-01T12:10:00Z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