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7CB" w:rsidRPr="00282C48" w:rsidRDefault="007A47CB" w:rsidP="000E1CE3">
      <w:pPr>
        <w:spacing w:line="240" w:lineRule="auto"/>
        <w:rPr>
          <w:rFonts w:cs="Arial"/>
          <w:b/>
          <w:sz w:val="22"/>
          <w:szCs w:val="22"/>
        </w:rPr>
      </w:pPr>
    </w:p>
    <w:p w:rsidR="00114F68" w:rsidRPr="00282C48" w:rsidRDefault="00282C48" w:rsidP="000E1CE3">
      <w:pPr>
        <w:spacing w:line="240" w:lineRule="auto"/>
        <w:rPr>
          <w:rFonts w:cs="Arial"/>
          <w:b/>
          <w:sz w:val="22"/>
          <w:szCs w:val="22"/>
        </w:rPr>
      </w:pPr>
      <w:r w:rsidRPr="00282C48">
        <w:rPr>
          <w:rFonts w:cs="Arial"/>
          <w:b/>
          <w:sz w:val="22"/>
          <w:szCs w:val="22"/>
        </w:rPr>
        <w:t xml:space="preserve">CAPACIDAD FINANCIERA – K – Registro único de proponentes – Requisito habilitante </w:t>
      </w:r>
    </w:p>
    <w:p w:rsidR="00114F68" w:rsidRPr="00282C48" w:rsidRDefault="00114F68" w:rsidP="000E1CE3">
      <w:pPr>
        <w:spacing w:line="240" w:lineRule="auto"/>
        <w:rPr>
          <w:rFonts w:cs="Arial"/>
          <w:b/>
          <w:sz w:val="22"/>
          <w:szCs w:val="22"/>
        </w:rPr>
      </w:pPr>
    </w:p>
    <w:p w:rsidR="00282C48" w:rsidRPr="00282C48" w:rsidRDefault="00114F68" w:rsidP="000E1CE3">
      <w:pPr>
        <w:widowControl w:val="0"/>
        <w:adjustRightInd w:val="0"/>
        <w:spacing w:line="240" w:lineRule="auto"/>
        <w:textAlignment w:val="baseline"/>
        <w:rPr>
          <w:rFonts w:cs="Arial"/>
          <w:sz w:val="20"/>
          <w:szCs w:val="20"/>
        </w:rPr>
      </w:pPr>
      <w:r w:rsidRPr="00282C48">
        <w:rPr>
          <w:rFonts w:cs="Arial"/>
          <w:sz w:val="20"/>
          <w:szCs w:val="20"/>
        </w:rPr>
        <w:t xml:space="preserve">El Registro Único de Proponentes se erigió inicialmente como prueba válida de la calificación de la capacidad máxima de contratación (conocida como K), la cual se debía establecer por él mismo solicitante -con fundamento en un sistema de </w:t>
      </w:r>
      <w:proofErr w:type="spellStart"/>
      <w:r w:rsidRPr="00282C48">
        <w:rPr>
          <w:rFonts w:cs="Arial"/>
          <w:sz w:val="20"/>
          <w:szCs w:val="20"/>
        </w:rPr>
        <w:t>autodeclaración</w:t>
      </w:r>
      <w:proofErr w:type="spellEnd"/>
      <w:r w:rsidRPr="00282C48">
        <w:rPr>
          <w:rFonts w:cs="Arial"/>
          <w:sz w:val="20"/>
          <w:szCs w:val="20"/>
        </w:rPr>
        <w:t xml:space="preserve"> </w:t>
      </w:r>
    </w:p>
    <w:p w:rsidR="00282C48" w:rsidRPr="00282C48" w:rsidRDefault="00114F68" w:rsidP="000E1CE3">
      <w:pPr>
        <w:widowControl w:val="0"/>
        <w:adjustRightInd w:val="0"/>
        <w:spacing w:line="240" w:lineRule="auto"/>
        <w:textAlignment w:val="baseline"/>
        <w:rPr>
          <w:rFonts w:cs="Arial"/>
          <w:sz w:val="20"/>
          <w:szCs w:val="20"/>
        </w:rPr>
      </w:pPr>
      <w:r w:rsidRPr="00282C48">
        <w:rPr>
          <w:rFonts w:cs="Arial"/>
          <w:sz w:val="20"/>
          <w:szCs w:val="20"/>
        </w:rPr>
        <w:t>De acuerdo con la Ley 80, la capacidad máxima de contratación (K) fue establecida como un requisito de habilitación para contratar, esto es que se definió una fórmula con arreglo a la cual el solicitante calculaba los puntajes de calificación y capacidad de contratación en las distintas actividad</w:t>
      </w:r>
      <w:r w:rsidR="00282C48" w:rsidRPr="00282C48">
        <w:rPr>
          <w:rFonts w:cs="Arial"/>
          <w:sz w:val="20"/>
          <w:szCs w:val="20"/>
        </w:rPr>
        <w:t xml:space="preserve">es que eran objeto del </w:t>
      </w:r>
      <w:proofErr w:type="gramStart"/>
      <w:r w:rsidR="00282C48" w:rsidRPr="00282C48">
        <w:rPr>
          <w:rFonts w:cs="Arial"/>
          <w:sz w:val="20"/>
          <w:szCs w:val="20"/>
        </w:rPr>
        <w:t xml:space="preserve">registro </w:t>
      </w:r>
      <w:r w:rsidRPr="00282C48">
        <w:rPr>
          <w:rFonts w:cs="Arial"/>
          <w:sz w:val="20"/>
          <w:szCs w:val="20"/>
        </w:rPr>
        <w:t xml:space="preserve"> tratándose</w:t>
      </w:r>
      <w:proofErr w:type="gramEnd"/>
      <w:r w:rsidRPr="00282C48">
        <w:rPr>
          <w:rFonts w:cs="Arial"/>
          <w:sz w:val="20"/>
          <w:szCs w:val="20"/>
        </w:rPr>
        <w:t xml:space="preserve"> de los procedimientos de contratación estatal en el cual era exigible el Registro Único de Proponentes en vigencia de la Ley 80 de 1993</w:t>
      </w:r>
    </w:p>
    <w:p w:rsidR="00282C48" w:rsidRPr="00282C48" w:rsidRDefault="00282C48" w:rsidP="000E1CE3">
      <w:pPr>
        <w:widowControl w:val="0"/>
        <w:adjustRightInd w:val="0"/>
        <w:spacing w:line="240" w:lineRule="auto"/>
        <w:textAlignment w:val="baseline"/>
        <w:rPr>
          <w:rFonts w:cs="Arial"/>
          <w:sz w:val="20"/>
          <w:szCs w:val="20"/>
        </w:rPr>
      </w:pPr>
      <w:r w:rsidRPr="00282C48">
        <w:rPr>
          <w:rFonts w:cs="Arial"/>
          <w:sz w:val="20"/>
          <w:szCs w:val="20"/>
        </w:rPr>
        <w:t xml:space="preserve">[…] </w:t>
      </w:r>
      <w:r w:rsidR="00114F68" w:rsidRPr="00282C48">
        <w:rPr>
          <w:rFonts w:cs="Arial"/>
          <w:sz w:val="20"/>
          <w:szCs w:val="20"/>
        </w:rPr>
        <w:t>El certificado del Registro Único de Proponentes se erigió como “plena prueba” de las circunstancias sometidas al mismo, además de que se estableció que en el procedimiento de contratación no se pueden solicitar de nuevo los mismos documentos verificados por las Cáma</w:t>
      </w:r>
      <w:r w:rsidRPr="00282C48">
        <w:rPr>
          <w:rFonts w:cs="Arial"/>
          <w:sz w:val="20"/>
          <w:szCs w:val="20"/>
        </w:rPr>
        <w:t xml:space="preserve">ras de Comercio. </w:t>
      </w:r>
    </w:p>
    <w:p w:rsidR="00114F68" w:rsidRPr="00282C48" w:rsidRDefault="00282C48" w:rsidP="000E1CE3">
      <w:pPr>
        <w:widowControl w:val="0"/>
        <w:adjustRightInd w:val="0"/>
        <w:spacing w:line="240" w:lineRule="auto"/>
        <w:textAlignment w:val="baseline"/>
        <w:rPr>
          <w:rFonts w:cs="Arial"/>
          <w:sz w:val="20"/>
          <w:szCs w:val="20"/>
        </w:rPr>
      </w:pPr>
      <w:r w:rsidRPr="00282C48">
        <w:rPr>
          <w:rFonts w:cs="Arial"/>
          <w:sz w:val="20"/>
          <w:szCs w:val="20"/>
        </w:rPr>
        <w:t xml:space="preserve">A </w:t>
      </w:r>
      <w:r w:rsidR="00114F68" w:rsidRPr="00282C48">
        <w:rPr>
          <w:rFonts w:cs="Arial"/>
          <w:sz w:val="20"/>
          <w:szCs w:val="20"/>
        </w:rPr>
        <w:t>partir de la Ley 1150 de 20</w:t>
      </w:r>
      <w:r w:rsidRPr="00282C48">
        <w:rPr>
          <w:rFonts w:cs="Arial"/>
          <w:sz w:val="20"/>
          <w:szCs w:val="20"/>
        </w:rPr>
        <w:t>0</w:t>
      </w:r>
      <w:r w:rsidR="00114F68" w:rsidRPr="00282C48">
        <w:rPr>
          <w:rFonts w:cs="Arial"/>
          <w:sz w:val="20"/>
          <w:szCs w:val="20"/>
        </w:rPr>
        <w:t>7, la capacidad financiera sólo puede constituirse como un requisito de habilitación, para participar en el proceso de contratación y se eliminó la posibilidad para exigirla como factor para asignar puntaje, tal como se estableció claramente en el artículo 5º ya citado.</w:t>
      </w:r>
    </w:p>
    <w:p w:rsidR="007A47CB" w:rsidRPr="00241FAC" w:rsidRDefault="007A47CB" w:rsidP="000E1CE3">
      <w:pPr>
        <w:spacing w:line="240" w:lineRule="auto"/>
        <w:rPr>
          <w:rFonts w:cs="Arial"/>
          <w:b/>
        </w:rPr>
      </w:pPr>
    </w:p>
    <w:p w:rsidR="00114F68" w:rsidRPr="00282C48" w:rsidRDefault="00282C48" w:rsidP="000E1CE3">
      <w:pPr>
        <w:spacing w:line="240" w:lineRule="auto"/>
        <w:rPr>
          <w:rFonts w:cs="Arial"/>
          <w:b/>
          <w:sz w:val="22"/>
          <w:szCs w:val="22"/>
        </w:rPr>
      </w:pPr>
      <w:r w:rsidRPr="00282C48">
        <w:rPr>
          <w:rFonts w:cs="Arial"/>
          <w:b/>
          <w:sz w:val="22"/>
          <w:szCs w:val="22"/>
        </w:rPr>
        <w:t>ESTADOS FINANCIEROS – Suscritos – Contador – Revisor fiscal – Representante legal – Idoneidad</w:t>
      </w:r>
    </w:p>
    <w:p w:rsidR="00114F68" w:rsidRPr="00241FAC" w:rsidRDefault="00114F68" w:rsidP="000E1CE3">
      <w:pPr>
        <w:spacing w:line="240" w:lineRule="auto"/>
        <w:rPr>
          <w:rFonts w:cs="Arial"/>
          <w:b/>
        </w:rPr>
      </w:pPr>
    </w:p>
    <w:p w:rsidR="00114F68" w:rsidRPr="00241FAC" w:rsidRDefault="00114F68" w:rsidP="000E1CE3">
      <w:pPr>
        <w:spacing w:line="240" w:lineRule="auto"/>
        <w:rPr>
          <w:rFonts w:cs="Arial"/>
          <w:b/>
        </w:rPr>
      </w:pPr>
      <w:r w:rsidRPr="00282C48">
        <w:rPr>
          <w:rFonts w:eastAsia="Batang" w:cs="Arial"/>
          <w:bCs/>
          <w:sz w:val="20"/>
          <w:szCs w:val="20"/>
          <w:lang w:val="es-ES_tradnl"/>
        </w:rPr>
        <w:t>La exigencia de estados financieros certificados con la firma del representante legal, del contador público -y la del Revisor Fiscal en su caso-, constituye un requisito idóneo para acreditar debidamente las condiciones financieras del proponente en aquellos casos en los cuales la entidad estatal contratante decide exigir la presentación de estados financieros para los efectos de la contratación pública , por las siguientes razones: i) La delegación para otorgar fe pública contable acerca de los aspectos definidos en la ley en relación con los estados financieros radica en cabeza del Contador Público de acuerdo con la Ley 43 de 1990  y ii) El Decreto 2649 de 1993 , estableció un contenido específico para la certificación de los estados financieros, aspecto que se consagró a nivel legal acompañado de una presunción de autenticidad, de acuerdo con la Ley 222 d</w:t>
      </w:r>
      <w:r w:rsidR="00282C48">
        <w:rPr>
          <w:rFonts w:eastAsia="Batang" w:cs="Arial"/>
          <w:bCs/>
          <w:sz w:val="20"/>
          <w:szCs w:val="20"/>
          <w:lang w:val="es-ES_tradnl"/>
        </w:rPr>
        <w:t xml:space="preserve">e 1995 , en cuanto dispuso que: </w:t>
      </w:r>
      <w:r w:rsidRPr="00282C48">
        <w:rPr>
          <w:rFonts w:eastAsia="Batang" w:cs="Arial"/>
          <w:bCs/>
          <w:sz w:val="20"/>
          <w:szCs w:val="20"/>
          <w:lang w:val="es-ES_tradnl"/>
        </w:rPr>
        <w:t>La certificación consiste en declarar que se han verificado previamente las afirmac</w:t>
      </w:r>
      <w:r w:rsidR="00312656" w:rsidRPr="00282C48">
        <w:rPr>
          <w:rFonts w:eastAsia="Batang" w:cs="Arial"/>
          <w:bCs/>
          <w:sz w:val="20"/>
          <w:szCs w:val="20"/>
          <w:lang w:val="es-ES_tradnl"/>
        </w:rPr>
        <w:t xml:space="preserve">iones contenidas en los mismos estados financieros </w:t>
      </w:r>
      <w:r w:rsidRPr="00282C48">
        <w:rPr>
          <w:rFonts w:eastAsia="Batang" w:cs="Arial"/>
          <w:bCs/>
          <w:sz w:val="20"/>
          <w:szCs w:val="20"/>
          <w:lang w:val="es-ES_tradnl"/>
        </w:rPr>
        <w:t>conforme al reglamento, y que las mismas se han t</w:t>
      </w:r>
      <w:r w:rsidR="00282C48">
        <w:rPr>
          <w:rFonts w:eastAsia="Batang" w:cs="Arial"/>
          <w:bCs/>
          <w:sz w:val="20"/>
          <w:szCs w:val="20"/>
          <w:lang w:val="es-ES_tradnl"/>
        </w:rPr>
        <w:t xml:space="preserve">omado fielmente de los libros. </w:t>
      </w:r>
    </w:p>
    <w:p w:rsidR="000E1CE3" w:rsidRDefault="000E1CE3" w:rsidP="000E1CE3">
      <w:pPr>
        <w:spacing w:line="240" w:lineRule="auto"/>
        <w:rPr>
          <w:rFonts w:eastAsia="Batang" w:cs="Arial"/>
          <w:b/>
          <w:bCs/>
          <w:lang w:val="es-ES_tradnl"/>
        </w:rPr>
      </w:pPr>
    </w:p>
    <w:p w:rsidR="00282C48" w:rsidRPr="00282C48" w:rsidRDefault="00282C48" w:rsidP="000E1CE3">
      <w:pPr>
        <w:spacing w:line="240" w:lineRule="auto"/>
        <w:rPr>
          <w:rFonts w:eastAsia="Batang" w:cs="Arial"/>
          <w:b/>
          <w:bCs/>
          <w:sz w:val="22"/>
          <w:szCs w:val="22"/>
          <w:lang w:val="es-ES_tradnl"/>
        </w:rPr>
      </w:pPr>
      <w:bookmarkStart w:id="0" w:name="_GoBack"/>
      <w:r w:rsidRPr="00282C48">
        <w:rPr>
          <w:rFonts w:eastAsia="Batang" w:cs="Arial"/>
          <w:b/>
          <w:bCs/>
          <w:sz w:val="22"/>
          <w:szCs w:val="22"/>
          <w:lang w:val="es-ES_tradnl"/>
        </w:rPr>
        <w:t xml:space="preserve">LIBROS DE CONTABILIDAD – Prevalencia </w:t>
      </w:r>
    </w:p>
    <w:bookmarkEnd w:id="0"/>
    <w:p w:rsidR="00282C48" w:rsidRPr="00241FAC" w:rsidRDefault="00282C48" w:rsidP="000E1CE3">
      <w:pPr>
        <w:spacing w:line="240" w:lineRule="auto"/>
        <w:rPr>
          <w:rFonts w:cs="Arial"/>
        </w:rPr>
      </w:pPr>
    </w:p>
    <w:p w:rsidR="00282C48" w:rsidRPr="00282C48" w:rsidRDefault="000E1CE3" w:rsidP="000E1CE3">
      <w:pPr>
        <w:spacing w:line="240" w:lineRule="auto"/>
        <w:rPr>
          <w:rFonts w:cs="Arial"/>
          <w:sz w:val="20"/>
          <w:szCs w:val="20"/>
        </w:rPr>
      </w:pPr>
      <w:r w:rsidRPr="00282C48">
        <w:rPr>
          <w:rFonts w:cs="Arial"/>
          <w:sz w:val="20"/>
          <w:szCs w:val="20"/>
        </w:rPr>
        <w:t xml:space="preserve">La prevalencia de los libros de contabilidad a que hace referencia el artículo 775 del Estatuto Tributario, no resulta ser una regla aplicable en el caso concreto y, por el contrario, se encuentra que en relación con la Licitación Pública No. 01 de 2000 procedió la aplicación de facultad-deber de verificación de la información para medir la capacidad financiera, de acuerdo con las disposiciones del artículo 22.3 de la Ley 80 de 1993 y el Decreto 92 de 1998. </w:t>
      </w:r>
    </w:p>
    <w:p w:rsidR="005B5CB1" w:rsidRPr="00282C48" w:rsidRDefault="00282C48" w:rsidP="000E1CE3">
      <w:pPr>
        <w:spacing w:line="240" w:lineRule="auto"/>
        <w:rPr>
          <w:rFonts w:cs="Arial"/>
          <w:sz w:val="20"/>
          <w:szCs w:val="20"/>
        </w:rPr>
      </w:pPr>
      <w:r w:rsidRPr="00282C48">
        <w:rPr>
          <w:rFonts w:cs="Arial"/>
          <w:sz w:val="20"/>
          <w:szCs w:val="20"/>
        </w:rPr>
        <w:t>L</w:t>
      </w:r>
      <w:r w:rsidR="000E1CE3" w:rsidRPr="00282C48">
        <w:rPr>
          <w:rFonts w:cs="Arial"/>
          <w:sz w:val="20"/>
          <w:szCs w:val="20"/>
        </w:rPr>
        <w:t xml:space="preserve">a prevalencia de la prueba contable en el procedimiento de selección del contratista no tenía cabida en este caso concreto por las falencias de la misma, no sólo frente a la normativa del Estatuto Tributario impropiamente invocado, sino especialmente por razón de </w:t>
      </w:r>
      <w:proofErr w:type="spellStart"/>
      <w:r w:rsidR="000E1CE3" w:rsidRPr="00282C48">
        <w:rPr>
          <w:rFonts w:cs="Arial"/>
          <w:sz w:val="20"/>
          <w:szCs w:val="20"/>
        </w:rPr>
        <w:t>de</w:t>
      </w:r>
      <w:proofErr w:type="spellEnd"/>
      <w:r w:rsidR="000E1CE3" w:rsidRPr="00282C48">
        <w:rPr>
          <w:rFonts w:cs="Arial"/>
          <w:sz w:val="20"/>
          <w:szCs w:val="20"/>
        </w:rPr>
        <w:t xml:space="preserve"> las reglas de la contabilidad del comerciante, aplicables a la sociedad comercial que hizo parte de la Unión Temporal </w:t>
      </w:r>
      <w:proofErr w:type="spellStart"/>
      <w:r w:rsidR="000E1CE3" w:rsidRPr="00282C48">
        <w:rPr>
          <w:rFonts w:cs="Arial"/>
          <w:sz w:val="20"/>
          <w:szCs w:val="20"/>
        </w:rPr>
        <w:t>Construobras</w:t>
      </w:r>
      <w:proofErr w:type="spellEnd"/>
      <w:r w:rsidR="000E1CE3" w:rsidRPr="00282C48">
        <w:rPr>
          <w:rFonts w:cs="Arial"/>
          <w:sz w:val="20"/>
          <w:szCs w:val="20"/>
        </w:rPr>
        <w:t>, contenidas en el Código de Comercio, en el ar</w:t>
      </w:r>
      <w:r w:rsidRPr="00282C48">
        <w:rPr>
          <w:rFonts w:cs="Arial"/>
          <w:sz w:val="20"/>
          <w:szCs w:val="20"/>
        </w:rPr>
        <w:t xml:space="preserve">tículo 37 de la Ley 222 de 1995. </w:t>
      </w:r>
    </w:p>
    <w:p w:rsidR="00E22F76" w:rsidRPr="00241FAC" w:rsidRDefault="00E22F76" w:rsidP="000E1CE3">
      <w:pPr>
        <w:spacing w:line="240" w:lineRule="auto"/>
        <w:rPr>
          <w:rFonts w:cs="Arial"/>
          <w:b/>
        </w:rPr>
      </w:pPr>
    </w:p>
    <w:p w:rsidR="001251CA" w:rsidRPr="00241FAC" w:rsidRDefault="001251CA" w:rsidP="000E1CE3">
      <w:pPr>
        <w:spacing w:line="240" w:lineRule="auto"/>
        <w:jc w:val="center"/>
        <w:rPr>
          <w:rFonts w:cs="Arial"/>
          <w:b/>
        </w:rPr>
      </w:pPr>
      <w:r w:rsidRPr="00241FAC">
        <w:rPr>
          <w:rFonts w:cs="Arial"/>
          <w:b/>
        </w:rPr>
        <w:t>CONSEJO DE ESTADO</w:t>
      </w:r>
    </w:p>
    <w:p w:rsidR="001251CA" w:rsidRPr="00241FAC" w:rsidRDefault="001251CA" w:rsidP="000E1CE3">
      <w:pPr>
        <w:spacing w:line="240" w:lineRule="auto"/>
        <w:jc w:val="center"/>
        <w:rPr>
          <w:rFonts w:cs="Arial"/>
          <w:b/>
        </w:rPr>
      </w:pPr>
    </w:p>
    <w:p w:rsidR="001251CA" w:rsidRPr="00241FAC" w:rsidRDefault="001251CA" w:rsidP="000E1CE3">
      <w:pPr>
        <w:spacing w:line="240" w:lineRule="auto"/>
        <w:jc w:val="center"/>
        <w:rPr>
          <w:rFonts w:cs="Arial"/>
          <w:b/>
        </w:rPr>
      </w:pPr>
      <w:r w:rsidRPr="00241FAC">
        <w:rPr>
          <w:rFonts w:cs="Arial"/>
          <w:b/>
        </w:rPr>
        <w:t>SALA DE LO CONTENCIOSO ADMINISTRATIVO</w:t>
      </w:r>
    </w:p>
    <w:p w:rsidR="001251CA" w:rsidRPr="00241FAC" w:rsidRDefault="001251CA" w:rsidP="000E1CE3">
      <w:pPr>
        <w:spacing w:line="240" w:lineRule="auto"/>
        <w:jc w:val="center"/>
        <w:rPr>
          <w:rFonts w:cs="Arial"/>
          <w:b/>
        </w:rPr>
      </w:pPr>
    </w:p>
    <w:p w:rsidR="001251CA" w:rsidRPr="00241FAC" w:rsidRDefault="00761057" w:rsidP="000E1CE3">
      <w:pPr>
        <w:spacing w:line="240" w:lineRule="auto"/>
        <w:jc w:val="center"/>
        <w:rPr>
          <w:rFonts w:cs="Arial"/>
          <w:b/>
        </w:rPr>
      </w:pPr>
      <w:r w:rsidRPr="00241FAC">
        <w:rPr>
          <w:rFonts w:cs="Arial"/>
          <w:b/>
        </w:rPr>
        <w:t>SECCIO</w:t>
      </w:r>
      <w:r w:rsidR="001251CA" w:rsidRPr="00241FAC">
        <w:rPr>
          <w:rFonts w:cs="Arial"/>
          <w:b/>
        </w:rPr>
        <w:t>N TERCERA</w:t>
      </w:r>
    </w:p>
    <w:p w:rsidR="001251CA" w:rsidRPr="00241FAC" w:rsidRDefault="001251CA" w:rsidP="000E1CE3">
      <w:pPr>
        <w:spacing w:line="240" w:lineRule="auto"/>
        <w:jc w:val="center"/>
        <w:rPr>
          <w:rFonts w:cs="Arial"/>
          <w:b/>
        </w:rPr>
      </w:pPr>
    </w:p>
    <w:p w:rsidR="001251CA" w:rsidRPr="00241FAC" w:rsidRDefault="001251CA" w:rsidP="000E1CE3">
      <w:pPr>
        <w:spacing w:line="240" w:lineRule="auto"/>
        <w:jc w:val="center"/>
        <w:rPr>
          <w:rFonts w:cs="Arial"/>
          <w:b/>
        </w:rPr>
      </w:pPr>
      <w:r w:rsidRPr="00241FAC">
        <w:rPr>
          <w:rFonts w:cs="Arial"/>
          <w:b/>
        </w:rPr>
        <w:t>SUBSECCI</w:t>
      </w:r>
      <w:r w:rsidR="00761057" w:rsidRPr="00241FAC">
        <w:rPr>
          <w:rFonts w:cs="Arial"/>
          <w:b/>
        </w:rPr>
        <w:t>O</w:t>
      </w:r>
      <w:r w:rsidRPr="00241FAC">
        <w:rPr>
          <w:rFonts w:cs="Arial"/>
          <w:b/>
        </w:rPr>
        <w:t>N A</w:t>
      </w:r>
    </w:p>
    <w:p w:rsidR="001251CA" w:rsidRPr="00241FAC" w:rsidRDefault="001251CA" w:rsidP="000E1CE3">
      <w:pPr>
        <w:spacing w:line="240" w:lineRule="auto"/>
        <w:jc w:val="center"/>
        <w:rPr>
          <w:rFonts w:cs="Arial"/>
          <w:b/>
        </w:rPr>
      </w:pPr>
    </w:p>
    <w:p w:rsidR="001251CA" w:rsidRPr="00241FAC" w:rsidRDefault="001251CA" w:rsidP="000E1CE3">
      <w:pPr>
        <w:spacing w:line="240" w:lineRule="auto"/>
        <w:jc w:val="center"/>
        <w:rPr>
          <w:rFonts w:cs="Arial"/>
          <w:b/>
        </w:rPr>
      </w:pPr>
      <w:r w:rsidRPr="00241FAC">
        <w:rPr>
          <w:rFonts w:cs="Arial"/>
          <w:b/>
        </w:rPr>
        <w:t>Consej</w:t>
      </w:r>
      <w:r w:rsidR="00761057" w:rsidRPr="00241FAC">
        <w:rPr>
          <w:rFonts w:cs="Arial"/>
          <w:b/>
        </w:rPr>
        <w:t>ero ponente: MAURICIO FAJARDO GO</w:t>
      </w:r>
      <w:r w:rsidRPr="00241FAC">
        <w:rPr>
          <w:rFonts w:cs="Arial"/>
          <w:b/>
        </w:rPr>
        <w:t>MEZ</w:t>
      </w:r>
    </w:p>
    <w:p w:rsidR="001251CA" w:rsidRPr="00241FAC" w:rsidRDefault="001251CA" w:rsidP="000E1CE3">
      <w:pPr>
        <w:spacing w:line="240" w:lineRule="auto"/>
        <w:rPr>
          <w:rFonts w:cs="Arial"/>
          <w:b/>
        </w:rPr>
      </w:pPr>
    </w:p>
    <w:p w:rsidR="001251CA" w:rsidRPr="00241FAC" w:rsidRDefault="001251CA" w:rsidP="000E1CE3">
      <w:pPr>
        <w:spacing w:line="240" w:lineRule="auto"/>
        <w:rPr>
          <w:rFonts w:cs="Arial"/>
        </w:rPr>
      </w:pPr>
      <w:r w:rsidRPr="00241FAC">
        <w:rPr>
          <w:rFonts w:cs="Arial"/>
        </w:rPr>
        <w:t>Bogotá</w:t>
      </w:r>
      <w:r w:rsidR="00761057" w:rsidRPr="00241FAC">
        <w:rPr>
          <w:rFonts w:cs="Arial"/>
        </w:rPr>
        <w:t>,</w:t>
      </w:r>
      <w:r w:rsidRPr="00241FAC">
        <w:rPr>
          <w:rFonts w:cs="Arial"/>
        </w:rPr>
        <w:t xml:space="preserve"> D.C., doce (12) de febrero de dos mil catorce (2014)</w:t>
      </w:r>
    </w:p>
    <w:p w:rsidR="001251CA" w:rsidRPr="00241FAC" w:rsidRDefault="001251CA" w:rsidP="000E1CE3">
      <w:pPr>
        <w:spacing w:line="240" w:lineRule="auto"/>
        <w:rPr>
          <w:rFonts w:cs="Arial"/>
          <w:b/>
        </w:rPr>
      </w:pPr>
    </w:p>
    <w:p w:rsidR="001251CA" w:rsidRPr="00241FAC" w:rsidRDefault="00761057" w:rsidP="000E1CE3">
      <w:pPr>
        <w:spacing w:line="240" w:lineRule="auto"/>
        <w:rPr>
          <w:rFonts w:cs="Arial"/>
          <w:b/>
        </w:rPr>
      </w:pPr>
      <w:r w:rsidRPr="00241FAC">
        <w:rPr>
          <w:rFonts w:cs="Arial"/>
          <w:b/>
        </w:rPr>
        <w:t>R</w:t>
      </w:r>
      <w:r w:rsidR="00DD508A" w:rsidRPr="00241FAC">
        <w:rPr>
          <w:rFonts w:cs="Arial"/>
          <w:b/>
        </w:rPr>
        <w:t>adicación número</w:t>
      </w:r>
      <w:r w:rsidRPr="00241FAC">
        <w:rPr>
          <w:rFonts w:cs="Arial"/>
          <w:b/>
        </w:rPr>
        <w:t xml:space="preserve">: </w:t>
      </w:r>
      <w:r w:rsidR="001251CA" w:rsidRPr="00241FAC">
        <w:rPr>
          <w:rFonts w:cs="Arial"/>
          <w:b/>
        </w:rPr>
        <w:t>73001</w:t>
      </w:r>
      <w:r w:rsidRPr="00241FAC">
        <w:rPr>
          <w:rFonts w:cs="Arial"/>
          <w:b/>
        </w:rPr>
        <w:t>-</w:t>
      </w:r>
      <w:r w:rsidR="001251CA" w:rsidRPr="00241FAC">
        <w:rPr>
          <w:rFonts w:cs="Arial"/>
          <w:b/>
        </w:rPr>
        <w:t>23</w:t>
      </w:r>
      <w:r w:rsidRPr="00241FAC">
        <w:rPr>
          <w:rFonts w:cs="Arial"/>
          <w:b/>
        </w:rPr>
        <w:t>-</w:t>
      </w:r>
      <w:r w:rsidR="001251CA" w:rsidRPr="00241FAC">
        <w:rPr>
          <w:rFonts w:cs="Arial"/>
          <w:b/>
        </w:rPr>
        <w:t>31</w:t>
      </w:r>
      <w:r w:rsidRPr="00241FAC">
        <w:rPr>
          <w:rFonts w:cs="Arial"/>
          <w:b/>
        </w:rPr>
        <w:t>-</w:t>
      </w:r>
      <w:r w:rsidR="001251CA" w:rsidRPr="00241FAC">
        <w:rPr>
          <w:rFonts w:cs="Arial"/>
          <w:b/>
        </w:rPr>
        <w:t>000</w:t>
      </w:r>
      <w:r w:rsidRPr="00241FAC">
        <w:rPr>
          <w:rFonts w:cs="Arial"/>
          <w:b/>
        </w:rPr>
        <w:t>-</w:t>
      </w:r>
      <w:r w:rsidR="001251CA" w:rsidRPr="00241FAC">
        <w:rPr>
          <w:rFonts w:cs="Arial"/>
          <w:b/>
        </w:rPr>
        <w:t>2000</w:t>
      </w:r>
      <w:r w:rsidRPr="00241FAC">
        <w:rPr>
          <w:rFonts w:cs="Arial"/>
          <w:b/>
        </w:rPr>
        <w:t>-</w:t>
      </w:r>
      <w:r w:rsidR="001251CA" w:rsidRPr="00241FAC">
        <w:rPr>
          <w:rFonts w:cs="Arial"/>
          <w:b/>
        </w:rPr>
        <w:t>03414</w:t>
      </w:r>
      <w:r w:rsidRPr="00241FAC">
        <w:rPr>
          <w:rFonts w:cs="Arial"/>
          <w:b/>
        </w:rPr>
        <w:t>-</w:t>
      </w:r>
      <w:r w:rsidR="001251CA" w:rsidRPr="00241FAC">
        <w:rPr>
          <w:rFonts w:cs="Arial"/>
          <w:b/>
        </w:rPr>
        <w:t>01</w:t>
      </w:r>
      <w:r w:rsidRPr="00241FAC">
        <w:rPr>
          <w:rFonts w:cs="Arial"/>
          <w:b/>
        </w:rPr>
        <w:t>(31753)</w:t>
      </w:r>
    </w:p>
    <w:p w:rsidR="001251CA" w:rsidRPr="00241FAC" w:rsidRDefault="001251CA" w:rsidP="000E1CE3">
      <w:pPr>
        <w:spacing w:line="240" w:lineRule="auto"/>
        <w:rPr>
          <w:rFonts w:cs="Arial"/>
          <w:b/>
        </w:rPr>
      </w:pPr>
    </w:p>
    <w:p w:rsidR="001251CA" w:rsidRPr="00241FAC" w:rsidRDefault="001251CA" w:rsidP="000E1CE3">
      <w:pPr>
        <w:spacing w:line="240" w:lineRule="auto"/>
        <w:rPr>
          <w:rFonts w:cs="Arial"/>
          <w:b/>
        </w:rPr>
      </w:pPr>
      <w:r w:rsidRPr="00241FAC">
        <w:rPr>
          <w:rFonts w:cs="Arial"/>
          <w:b/>
        </w:rPr>
        <w:t>A</w:t>
      </w:r>
      <w:r w:rsidR="00DD508A" w:rsidRPr="00241FAC">
        <w:rPr>
          <w:rFonts w:cs="Arial"/>
          <w:b/>
        </w:rPr>
        <w:t>ctor</w:t>
      </w:r>
      <w:r w:rsidR="00761057" w:rsidRPr="00241FAC">
        <w:rPr>
          <w:rFonts w:cs="Arial"/>
          <w:b/>
        </w:rPr>
        <w:t xml:space="preserve">: </w:t>
      </w:r>
      <w:r w:rsidRPr="00241FAC">
        <w:rPr>
          <w:rFonts w:cs="Arial"/>
          <w:b/>
        </w:rPr>
        <w:t>INSETEL L</w:t>
      </w:r>
      <w:r w:rsidR="00DD508A" w:rsidRPr="00241FAC">
        <w:rPr>
          <w:rFonts w:cs="Arial"/>
          <w:b/>
        </w:rPr>
        <w:t>IMITADA Y O</w:t>
      </w:r>
      <w:r w:rsidRPr="00241FAC">
        <w:rPr>
          <w:rFonts w:cs="Arial"/>
          <w:b/>
        </w:rPr>
        <w:t>TROS</w:t>
      </w:r>
    </w:p>
    <w:p w:rsidR="001251CA" w:rsidRPr="00241FAC" w:rsidRDefault="001251CA" w:rsidP="000E1CE3">
      <w:pPr>
        <w:spacing w:line="240" w:lineRule="auto"/>
        <w:rPr>
          <w:rFonts w:cs="Arial"/>
          <w:b/>
        </w:rPr>
      </w:pPr>
    </w:p>
    <w:p w:rsidR="001251CA" w:rsidRPr="00241FAC" w:rsidRDefault="00761057" w:rsidP="000E1CE3">
      <w:pPr>
        <w:spacing w:line="240" w:lineRule="auto"/>
        <w:rPr>
          <w:rFonts w:cs="Arial"/>
          <w:b/>
        </w:rPr>
      </w:pPr>
      <w:r w:rsidRPr="00241FAC">
        <w:rPr>
          <w:rFonts w:cs="Arial"/>
          <w:b/>
        </w:rPr>
        <w:t>D</w:t>
      </w:r>
      <w:r w:rsidR="00DD508A" w:rsidRPr="00241FAC">
        <w:rPr>
          <w:rFonts w:cs="Arial"/>
          <w:b/>
        </w:rPr>
        <w:t>emandado</w:t>
      </w:r>
      <w:r w:rsidRPr="00241FAC">
        <w:rPr>
          <w:rFonts w:cs="Arial"/>
          <w:b/>
        </w:rPr>
        <w:t xml:space="preserve">: </w:t>
      </w:r>
      <w:r w:rsidR="001251CA" w:rsidRPr="00241FAC">
        <w:rPr>
          <w:rFonts w:cs="Arial"/>
          <w:b/>
        </w:rPr>
        <w:t>MUNICIPIO DE PURIFICACION</w:t>
      </w:r>
    </w:p>
    <w:p w:rsidR="001251CA" w:rsidRPr="00241FAC" w:rsidRDefault="001251CA" w:rsidP="000E1CE3">
      <w:pPr>
        <w:spacing w:line="240" w:lineRule="auto"/>
        <w:rPr>
          <w:rFonts w:cs="Arial"/>
          <w:b/>
        </w:rPr>
      </w:pPr>
    </w:p>
    <w:p w:rsidR="001251CA" w:rsidRPr="00241FAC" w:rsidRDefault="001251CA" w:rsidP="000E1CE3">
      <w:pPr>
        <w:spacing w:line="240" w:lineRule="auto"/>
        <w:rPr>
          <w:rFonts w:cs="Arial"/>
          <w:b/>
        </w:rPr>
      </w:pPr>
    </w:p>
    <w:p w:rsidR="001251CA" w:rsidRPr="00241FAC" w:rsidRDefault="001251CA" w:rsidP="000E1CE3">
      <w:pPr>
        <w:spacing w:line="240" w:lineRule="auto"/>
        <w:rPr>
          <w:rFonts w:cs="Arial"/>
          <w:b/>
        </w:rPr>
      </w:pPr>
    </w:p>
    <w:p w:rsidR="001251CA" w:rsidRPr="00241FAC" w:rsidRDefault="00761057" w:rsidP="000E1CE3">
      <w:pPr>
        <w:spacing w:line="240" w:lineRule="auto"/>
        <w:rPr>
          <w:rFonts w:cs="Arial"/>
          <w:b/>
        </w:rPr>
      </w:pPr>
      <w:r w:rsidRPr="00241FAC">
        <w:rPr>
          <w:rFonts w:cs="Arial"/>
          <w:b/>
        </w:rPr>
        <w:t>R</w:t>
      </w:r>
      <w:r w:rsidR="00DD508A" w:rsidRPr="00241FAC">
        <w:rPr>
          <w:rFonts w:cs="Arial"/>
          <w:b/>
        </w:rPr>
        <w:t>eferencia</w:t>
      </w:r>
      <w:r w:rsidRPr="00241FAC">
        <w:rPr>
          <w:rFonts w:cs="Arial"/>
          <w:b/>
        </w:rPr>
        <w:t xml:space="preserve">: </w:t>
      </w:r>
      <w:r w:rsidR="00DD508A" w:rsidRPr="00241FAC">
        <w:rPr>
          <w:rFonts w:cs="Arial"/>
          <w:b/>
        </w:rPr>
        <w:t xml:space="preserve">APELACION SENTENCIA </w:t>
      </w:r>
      <w:r w:rsidR="005B5CB1" w:rsidRPr="00241FAC">
        <w:rPr>
          <w:rFonts w:cs="Arial"/>
          <w:b/>
        </w:rPr>
        <w:t>-</w:t>
      </w:r>
      <w:r w:rsidR="00DD508A" w:rsidRPr="00241FAC">
        <w:rPr>
          <w:rFonts w:cs="Arial"/>
          <w:b/>
        </w:rPr>
        <w:t xml:space="preserve"> ACCION DE NULIDAD Y RESTABLECIMIENTO DEL DERECHO</w:t>
      </w:r>
    </w:p>
    <w:p w:rsidR="00ED77A2" w:rsidRPr="00241FAC" w:rsidRDefault="00ED77A2" w:rsidP="000E1CE3">
      <w:pPr>
        <w:spacing w:line="240" w:lineRule="auto"/>
        <w:rPr>
          <w:rFonts w:cs="Arial"/>
          <w:b/>
        </w:rPr>
      </w:pPr>
    </w:p>
    <w:p w:rsidR="001251CA" w:rsidRPr="00241FAC" w:rsidRDefault="001251CA" w:rsidP="000E1CE3">
      <w:pPr>
        <w:spacing w:line="240" w:lineRule="auto"/>
        <w:rPr>
          <w:rFonts w:cs="Arial"/>
          <w:b/>
        </w:rPr>
      </w:pPr>
    </w:p>
    <w:p w:rsidR="00F21484" w:rsidRPr="00241FAC" w:rsidRDefault="00F21484" w:rsidP="001251CA">
      <w:pPr>
        <w:widowControl w:val="0"/>
        <w:autoSpaceDE w:val="0"/>
        <w:autoSpaceDN w:val="0"/>
        <w:adjustRightInd w:val="0"/>
        <w:spacing w:line="240" w:lineRule="auto"/>
        <w:ind w:left="2124" w:hanging="2124"/>
        <w:rPr>
          <w:rFonts w:cs="Arial"/>
        </w:rPr>
      </w:pPr>
    </w:p>
    <w:p w:rsidR="00F21484" w:rsidRPr="00241FAC" w:rsidRDefault="00F21484" w:rsidP="00E759BE">
      <w:pPr>
        <w:pStyle w:val="Textoindependiente"/>
        <w:rPr>
          <w:rFonts w:cs="Arial"/>
          <w:szCs w:val="24"/>
        </w:rPr>
      </w:pPr>
      <w:r w:rsidRPr="00241FAC">
        <w:rPr>
          <w:rFonts w:cs="Arial"/>
          <w:szCs w:val="24"/>
        </w:rPr>
        <w:t xml:space="preserve">Conoce la Sala </w:t>
      </w:r>
      <w:r w:rsidR="00C71714" w:rsidRPr="00241FAC">
        <w:rPr>
          <w:rFonts w:cs="Arial"/>
          <w:szCs w:val="24"/>
        </w:rPr>
        <w:t>el</w:t>
      </w:r>
      <w:r w:rsidR="00F53FED" w:rsidRPr="00241FAC">
        <w:rPr>
          <w:rFonts w:cs="Arial"/>
          <w:szCs w:val="24"/>
        </w:rPr>
        <w:t xml:space="preserve"> recurso de apelación presentado</w:t>
      </w:r>
      <w:r w:rsidR="00021148" w:rsidRPr="00241FAC">
        <w:rPr>
          <w:rFonts w:cs="Arial"/>
          <w:szCs w:val="24"/>
        </w:rPr>
        <w:t xml:space="preserve"> por la parte</w:t>
      </w:r>
      <w:r w:rsidR="00C71714" w:rsidRPr="00241FAC">
        <w:rPr>
          <w:rFonts w:cs="Arial"/>
          <w:szCs w:val="24"/>
        </w:rPr>
        <w:t xml:space="preserve"> demandante </w:t>
      </w:r>
      <w:r w:rsidR="00F53FED" w:rsidRPr="00241FAC">
        <w:rPr>
          <w:rFonts w:cs="Arial"/>
          <w:szCs w:val="24"/>
        </w:rPr>
        <w:t>contra</w:t>
      </w:r>
      <w:r w:rsidR="00E875E6" w:rsidRPr="00241FAC">
        <w:rPr>
          <w:rFonts w:cs="Arial"/>
          <w:szCs w:val="24"/>
        </w:rPr>
        <w:t xml:space="preserve"> la sentencia proferida por </w:t>
      </w:r>
      <w:r w:rsidR="007E4317" w:rsidRPr="00241FAC">
        <w:rPr>
          <w:rFonts w:cs="Arial"/>
          <w:szCs w:val="24"/>
        </w:rPr>
        <w:t>el Tribunal Administrativo de</w:t>
      </w:r>
      <w:r w:rsidR="00B25CEE" w:rsidRPr="00241FAC">
        <w:rPr>
          <w:rFonts w:cs="Arial"/>
          <w:szCs w:val="24"/>
        </w:rPr>
        <w:t>l Tolima</w:t>
      </w:r>
      <w:r w:rsidR="00346B74" w:rsidRPr="00241FAC">
        <w:rPr>
          <w:rFonts w:cs="Arial"/>
          <w:szCs w:val="24"/>
        </w:rPr>
        <w:t>,</w:t>
      </w:r>
      <w:r w:rsidR="005114BC" w:rsidRPr="00241FAC">
        <w:rPr>
          <w:rFonts w:cs="Arial"/>
          <w:szCs w:val="24"/>
        </w:rPr>
        <w:t xml:space="preserve"> </w:t>
      </w:r>
      <w:r w:rsidR="00E875E6" w:rsidRPr="00241FAC">
        <w:rPr>
          <w:rFonts w:cs="Arial"/>
          <w:szCs w:val="24"/>
        </w:rPr>
        <w:t xml:space="preserve">el </w:t>
      </w:r>
      <w:r w:rsidR="005114BC" w:rsidRPr="00241FAC">
        <w:rPr>
          <w:rFonts w:cs="Arial"/>
          <w:szCs w:val="24"/>
        </w:rPr>
        <w:t>dieci</w:t>
      </w:r>
      <w:r w:rsidR="00346B74" w:rsidRPr="00241FAC">
        <w:rPr>
          <w:rFonts w:cs="Arial"/>
          <w:szCs w:val="24"/>
        </w:rPr>
        <w:t xml:space="preserve">ocho </w:t>
      </w:r>
      <w:r w:rsidR="00A15E12" w:rsidRPr="00241FAC">
        <w:rPr>
          <w:rFonts w:cs="Arial"/>
          <w:szCs w:val="24"/>
        </w:rPr>
        <w:t>(</w:t>
      </w:r>
      <w:r w:rsidR="005114BC" w:rsidRPr="00241FAC">
        <w:rPr>
          <w:rFonts w:cs="Arial"/>
          <w:szCs w:val="24"/>
        </w:rPr>
        <w:t>1</w:t>
      </w:r>
      <w:r w:rsidR="00346B74" w:rsidRPr="00241FAC">
        <w:rPr>
          <w:rFonts w:cs="Arial"/>
          <w:szCs w:val="24"/>
        </w:rPr>
        <w:t>8</w:t>
      </w:r>
      <w:r w:rsidR="00A15E12" w:rsidRPr="00241FAC">
        <w:rPr>
          <w:rFonts w:cs="Arial"/>
          <w:szCs w:val="24"/>
        </w:rPr>
        <w:t xml:space="preserve">) </w:t>
      </w:r>
      <w:r w:rsidR="00E875E6" w:rsidRPr="00241FAC">
        <w:rPr>
          <w:rFonts w:cs="Arial"/>
          <w:szCs w:val="24"/>
        </w:rPr>
        <w:t xml:space="preserve">de </w:t>
      </w:r>
      <w:r w:rsidR="005114BC" w:rsidRPr="00241FAC">
        <w:rPr>
          <w:rFonts w:cs="Arial"/>
          <w:szCs w:val="24"/>
        </w:rPr>
        <w:t>julio</w:t>
      </w:r>
      <w:r w:rsidR="00346B74" w:rsidRPr="00241FAC">
        <w:rPr>
          <w:rFonts w:cs="Arial"/>
          <w:szCs w:val="24"/>
        </w:rPr>
        <w:t xml:space="preserve"> </w:t>
      </w:r>
      <w:r w:rsidR="00C75319" w:rsidRPr="00241FAC">
        <w:rPr>
          <w:rFonts w:cs="Arial"/>
          <w:szCs w:val="24"/>
        </w:rPr>
        <w:t xml:space="preserve">de </w:t>
      </w:r>
      <w:r w:rsidR="00346B74" w:rsidRPr="00241FAC">
        <w:rPr>
          <w:rFonts w:cs="Arial"/>
          <w:szCs w:val="24"/>
        </w:rPr>
        <w:t>dos mil c</w:t>
      </w:r>
      <w:r w:rsidR="005114BC" w:rsidRPr="00241FAC">
        <w:rPr>
          <w:rFonts w:cs="Arial"/>
          <w:szCs w:val="24"/>
        </w:rPr>
        <w:t>inco</w:t>
      </w:r>
      <w:r w:rsidR="00BD3675" w:rsidRPr="00241FAC">
        <w:rPr>
          <w:rFonts w:cs="Arial"/>
          <w:szCs w:val="24"/>
        </w:rPr>
        <w:t xml:space="preserve"> (</w:t>
      </w:r>
      <w:r w:rsidR="00312E2A" w:rsidRPr="00241FAC">
        <w:rPr>
          <w:rFonts w:cs="Arial"/>
          <w:szCs w:val="24"/>
        </w:rPr>
        <w:t>200</w:t>
      </w:r>
      <w:r w:rsidR="005114BC" w:rsidRPr="00241FAC">
        <w:rPr>
          <w:rFonts w:cs="Arial"/>
          <w:szCs w:val="24"/>
        </w:rPr>
        <w:t>5</w:t>
      </w:r>
      <w:r w:rsidR="00E875E6" w:rsidRPr="00241FAC">
        <w:rPr>
          <w:rFonts w:cs="Arial"/>
          <w:szCs w:val="24"/>
        </w:rPr>
        <w:t>)</w:t>
      </w:r>
      <w:r w:rsidRPr="00241FAC">
        <w:rPr>
          <w:rFonts w:cs="Arial"/>
          <w:szCs w:val="24"/>
        </w:rPr>
        <w:t>, mediante la cual se dispuso:</w:t>
      </w:r>
    </w:p>
    <w:p w:rsidR="00C71714" w:rsidRPr="00241FAC" w:rsidRDefault="00C71714" w:rsidP="00E759BE">
      <w:pPr>
        <w:pStyle w:val="Textoindependienteprimerasangra2"/>
        <w:rPr>
          <w:rFonts w:cs="Arial"/>
          <w:b/>
          <w:i/>
        </w:rPr>
      </w:pPr>
    </w:p>
    <w:p w:rsidR="00557D18" w:rsidRPr="00241FAC" w:rsidRDefault="00312E2A" w:rsidP="00E759BE">
      <w:pPr>
        <w:pStyle w:val="Textoindependienteprimerasangra2"/>
        <w:rPr>
          <w:rFonts w:cs="Arial"/>
          <w:i/>
        </w:rPr>
      </w:pPr>
      <w:r w:rsidRPr="00241FAC">
        <w:rPr>
          <w:rFonts w:cs="Arial"/>
          <w:b/>
          <w:i/>
        </w:rPr>
        <w:t>“</w:t>
      </w:r>
      <w:r w:rsidR="005114BC" w:rsidRPr="00241FAC">
        <w:rPr>
          <w:rFonts w:cs="Arial"/>
          <w:i/>
        </w:rPr>
        <w:t xml:space="preserve">Negar </w:t>
      </w:r>
      <w:r w:rsidRPr="00241FAC">
        <w:rPr>
          <w:rFonts w:cs="Arial"/>
          <w:i/>
        </w:rPr>
        <w:t>las pretensiones de la demanda.</w:t>
      </w:r>
      <w:r w:rsidR="005114BC" w:rsidRPr="00241FAC">
        <w:rPr>
          <w:rFonts w:cs="Arial"/>
          <w:i/>
        </w:rPr>
        <w:t>”</w:t>
      </w:r>
    </w:p>
    <w:p w:rsidR="00ED77A2" w:rsidRPr="00241FAC" w:rsidRDefault="00ED77A2" w:rsidP="0059763E">
      <w:pPr>
        <w:widowControl w:val="0"/>
        <w:autoSpaceDE w:val="0"/>
        <w:autoSpaceDN w:val="0"/>
        <w:adjustRightInd w:val="0"/>
        <w:ind w:right="360"/>
        <w:rPr>
          <w:rFonts w:cs="Arial"/>
          <w:b/>
        </w:rPr>
      </w:pPr>
    </w:p>
    <w:p w:rsidR="00F21484" w:rsidRPr="00241FAC" w:rsidRDefault="00F21484" w:rsidP="00F82E49">
      <w:pPr>
        <w:pStyle w:val="Lista"/>
        <w:jc w:val="center"/>
        <w:rPr>
          <w:rFonts w:ascii="Arial" w:hAnsi="Arial" w:cs="Arial"/>
          <w:b/>
        </w:rPr>
      </w:pPr>
      <w:r w:rsidRPr="00241FAC">
        <w:rPr>
          <w:rFonts w:ascii="Arial" w:hAnsi="Arial" w:cs="Arial"/>
          <w:b/>
        </w:rPr>
        <w:t>I.</w:t>
      </w:r>
      <w:r w:rsidR="00E759BE" w:rsidRPr="00241FAC">
        <w:rPr>
          <w:rFonts w:ascii="Arial" w:hAnsi="Arial" w:cs="Arial"/>
          <w:b/>
        </w:rPr>
        <w:tab/>
      </w:r>
      <w:r w:rsidRPr="00241FAC">
        <w:rPr>
          <w:rFonts w:ascii="Arial" w:hAnsi="Arial" w:cs="Arial"/>
          <w:b/>
        </w:rPr>
        <w:t>A N T E C E D E N T E S</w:t>
      </w:r>
    </w:p>
    <w:p w:rsidR="00F00A7F" w:rsidRPr="00241FAC" w:rsidRDefault="00F00A7F" w:rsidP="00F21484">
      <w:pPr>
        <w:rPr>
          <w:rFonts w:cs="Arial"/>
          <w:b/>
        </w:rPr>
      </w:pPr>
    </w:p>
    <w:p w:rsidR="00F21484" w:rsidRPr="00241FAC" w:rsidRDefault="00F21484" w:rsidP="00F82E49">
      <w:pPr>
        <w:pStyle w:val="Lista2"/>
        <w:ind w:left="0" w:firstLine="0"/>
        <w:rPr>
          <w:rFonts w:cs="Arial"/>
          <w:b/>
        </w:rPr>
      </w:pPr>
      <w:r w:rsidRPr="00241FAC">
        <w:rPr>
          <w:rFonts w:cs="Arial"/>
          <w:b/>
        </w:rPr>
        <w:t>1.</w:t>
      </w:r>
      <w:r w:rsidR="00E759BE" w:rsidRPr="00241FAC">
        <w:rPr>
          <w:rFonts w:cs="Arial"/>
          <w:b/>
        </w:rPr>
        <w:tab/>
      </w:r>
      <w:r w:rsidRPr="00241FAC">
        <w:rPr>
          <w:rFonts w:cs="Arial"/>
          <w:b/>
        </w:rPr>
        <w:t>La demanda</w:t>
      </w:r>
      <w:r w:rsidR="00D46743" w:rsidRPr="00241FAC">
        <w:rPr>
          <w:rFonts w:cs="Arial"/>
          <w:b/>
        </w:rPr>
        <w:t>.</w:t>
      </w:r>
    </w:p>
    <w:p w:rsidR="00F21484" w:rsidRPr="00241FAC" w:rsidRDefault="00F21484" w:rsidP="00F21484">
      <w:pPr>
        <w:widowControl w:val="0"/>
        <w:autoSpaceDE w:val="0"/>
        <w:autoSpaceDN w:val="0"/>
        <w:adjustRightInd w:val="0"/>
        <w:rPr>
          <w:rFonts w:cs="Arial"/>
        </w:rPr>
      </w:pPr>
    </w:p>
    <w:p w:rsidR="003076F9" w:rsidRPr="00241FAC" w:rsidRDefault="00F21484" w:rsidP="002001B2">
      <w:pPr>
        <w:pStyle w:val="Continuarlista2"/>
        <w:ind w:left="0"/>
        <w:rPr>
          <w:rFonts w:cs="Arial"/>
          <w:i/>
          <w:lang w:val="es-MX"/>
        </w:rPr>
      </w:pPr>
      <w:r w:rsidRPr="00241FAC">
        <w:rPr>
          <w:rFonts w:cs="Arial"/>
        </w:rPr>
        <w:t>M</w:t>
      </w:r>
      <w:r w:rsidR="00EA0EB1" w:rsidRPr="00241FAC">
        <w:rPr>
          <w:rFonts w:cs="Arial"/>
        </w:rPr>
        <w:t>ediante demanda presentada</w:t>
      </w:r>
      <w:r w:rsidR="00AA67A0" w:rsidRPr="00241FAC">
        <w:rPr>
          <w:rFonts w:cs="Arial"/>
        </w:rPr>
        <w:t xml:space="preserve"> </w:t>
      </w:r>
      <w:r w:rsidR="00FD5088" w:rsidRPr="00241FAC">
        <w:rPr>
          <w:rFonts w:cs="Arial"/>
        </w:rPr>
        <w:t xml:space="preserve">el </w:t>
      </w:r>
      <w:r w:rsidR="00107852" w:rsidRPr="00241FAC">
        <w:rPr>
          <w:rFonts w:cs="Arial"/>
        </w:rPr>
        <w:t>1</w:t>
      </w:r>
      <w:r w:rsidR="00FA2625" w:rsidRPr="00241FAC">
        <w:rPr>
          <w:rFonts w:cs="Arial"/>
        </w:rPr>
        <w:t>4</w:t>
      </w:r>
      <w:r w:rsidR="00693480" w:rsidRPr="00241FAC">
        <w:rPr>
          <w:rFonts w:cs="Arial"/>
        </w:rPr>
        <w:t xml:space="preserve"> </w:t>
      </w:r>
      <w:r w:rsidR="00FD5088" w:rsidRPr="00241FAC">
        <w:rPr>
          <w:rFonts w:cs="Arial"/>
        </w:rPr>
        <w:t xml:space="preserve">de </w:t>
      </w:r>
      <w:r w:rsidR="00107852" w:rsidRPr="00241FAC">
        <w:rPr>
          <w:rFonts w:cs="Arial"/>
        </w:rPr>
        <w:t xml:space="preserve">noviembre </w:t>
      </w:r>
      <w:r w:rsidR="00FD5088" w:rsidRPr="00241FAC">
        <w:rPr>
          <w:rFonts w:cs="Arial"/>
        </w:rPr>
        <w:t xml:space="preserve">de </w:t>
      </w:r>
      <w:r w:rsidR="00693480" w:rsidRPr="00241FAC">
        <w:rPr>
          <w:rFonts w:cs="Arial"/>
        </w:rPr>
        <w:t>20</w:t>
      </w:r>
      <w:r w:rsidR="00107852" w:rsidRPr="00241FAC">
        <w:rPr>
          <w:rFonts w:cs="Arial"/>
        </w:rPr>
        <w:t>00</w:t>
      </w:r>
      <w:r w:rsidR="004D2045" w:rsidRPr="00241FAC">
        <w:rPr>
          <w:rFonts w:cs="Arial"/>
        </w:rPr>
        <w:t xml:space="preserve">, </w:t>
      </w:r>
      <w:r w:rsidR="00107852" w:rsidRPr="00241FAC">
        <w:rPr>
          <w:rFonts w:cs="Arial"/>
        </w:rPr>
        <w:t xml:space="preserve">la sociedad </w:t>
      </w:r>
      <w:proofErr w:type="spellStart"/>
      <w:r w:rsidR="00107852" w:rsidRPr="00241FAC">
        <w:rPr>
          <w:rFonts w:cs="Arial"/>
        </w:rPr>
        <w:t>Insetel</w:t>
      </w:r>
      <w:proofErr w:type="spellEnd"/>
      <w:r w:rsidR="00107852" w:rsidRPr="00241FAC">
        <w:rPr>
          <w:rFonts w:cs="Arial"/>
        </w:rPr>
        <w:t xml:space="preserve"> Ltda</w:t>
      </w:r>
      <w:r w:rsidR="005020E5" w:rsidRPr="00241FAC">
        <w:rPr>
          <w:rFonts w:cs="Arial"/>
        </w:rPr>
        <w:t>.</w:t>
      </w:r>
      <w:r w:rsidR="00E5706F" w:rsidRPr="00241FAC">
        <w:rPr>
          <w:rFonts w:cs="Arial"/>
        </w:rPr>
        <w:t>,</w:t>
      </w:r>
      <w:r w:rsidR="005C4930" w:rsidRPr="00241FAC">
        <w:rPr>
          <w:rFonts w:cs="Arial"/>
        </w:rPr>
        <w:t xml:space="preserve"> los señores Augusto Rafael Torres Suárez y Germán Gaitán Rodríguez,</w:t>
      </w:r>
      <w:r w:rsidR="00E5706F" w:rsidRPr="00241FAC">
        <w:rPr>
          <w:rFonts w:cs="Arial"/>
        </w:rPr>
        <w:t xml:space="preserve"> </w:t>
      </w:r>
      <w:r w:rsidR="00F5352D" w:rsidRPr="00241FAC">
        <w:rPr>
          <w:rFonts w:cs="Arial"/>
        </w:rPr>
        <w:t xml:space="preserve">en ejercicio </w:t>
      </w:r>
      <w:r w:rsidR="00FD5088" w:rsidRPr="00241FAC">
        <w:rPr>
          <w:rFonts w:cs="Arial"/>
        </w:rPr>
        <w:t xml:space="preserve">de la acción </w:t>
      </w:r>
      <w:r w:rsidR="00E5706F" w:rsidRPr="00241FAC">
        <w:rPr>
          <w:rFonts w:cs="Arial"/>
        </w:rPr>
        <w:t>de nulidad y restablecimiento del</w:t>
      </w:r>
      <w:r w:rsidR="00FE17F0" w:rsidRPr="00241FAC">
        <w:rPr>
          <w:rFonts w:cs="Arial"/>
        </w:rPr>
        <w:t xml:space="preserve"> derecho</w:t>
      </w:r>
      <w:r w:rsidR="00021148" w:rsidRPr="00241FAC">
        <w:rPr>
          <w:rFonts w:cs="Arial"/>
        </w:rPr>
        <w:t xml:space="preserve">, </w:t>
      </w:r>
      <w:r w:rsidRPr="00241FAC">
        <w:rPr>
          <w:rFonts w:cs="Arial"/>
        </w:rPr>
        <w:t>solicit</w:t>
      </w:r>
      <w:r w:rsidR="005020E5" w:rsidRPr="00241FAC">
        <w:rPr>
          <w:rFonts w:cs="Arial"/>
        </w:rPr>
        <w:t>aron</w:t>
      </w:r>
      <w:r w:rsidRPr="00241FAC">
        <w:rPr>
          <w:rFonts w:cs="Arial"/>
        </w:rPr>
        <w:t xml:space="preserve"> las siguientes declaraciones y condenas</w:t>
      </w:r>
      <w:r w:rsidR="00F5352D" w:rsidRPr="00241FAC">
        <w:rPr>
          <w:rFonts w:cs="Arial"/>
        </w:rPr>
        <w:t xml:space="preserve"> contra</w:t>
      </w:r>
      <w:r w:rsidR="003F104A" w:rsidRPr="00241FAC">
        <w:rPr>
          <w:rFonts w:cs="Arial"/>
        </w:rPr>
        <w:t xml:space="preserve"> </w:t>
      </w:r>
      <w:r w:rsidR="004B723D" w:rsidRPr="00241FAC">
        <w:rPr>
          <w:rFonts w:cs="Arial"/>
        </w:rPr>
        <w:t xml:space="preserve">el </w:t>
      </w:r>
      <w:r w:rsidR="00FE17F0" w:rsidRPr="00241FAC">
        <w:rPr>
          <w:rFonts w:cs="Arial"/>
        </w:rPr>
        <w:t>Municipio de Purificación</w:t>
      </w:r>
      <w:r w:rsidR="003076F9" w:rsidRPr="00241FAC">
        <w:rPr>
          <w:rStyle w:val="Refdenotaalpie"/>
          <w:rFonts w:cs="Arial"/>
          <w:i/>
          <w:lang w:val="es-MX"/>
        </w:rPr>
        <w:footnoteReference w:id="1"/>
      </w:r>
      <w:r w:rsidR="00F00A7F" w:rsidRPr="00241FAC">
        <w:rPr>
          <w:rFonts w:cs="Arial"/>
          <w:i/>
          <w:lang w:val="es-MX"/>
        </w:rPr>
        <w:t>:</w:t>
      </w:r>
    </w:p>
    <w:p w:rsidR="00346F7D" w:rsidRPr="00241FAC" w:rsidRDefault="00A15E12" w:rsidP="0056773E">
      <w:pPr>
        <w:pStyle w:val="Textoindependienteprimerasangra2"/>
        <w:spacing w:line="240" w:lineRule="auto"/>
        <w:ind w:left="567" w:right="567" w:firstLine="0"/>
        <w:rPr>
          <w:rFonts w:cs="Arial"/>
          <w:i/>
        </w:rPr>
      </w:pPr>
      <w:r w:rsidRPr="00241FAC">
        <w:rPr>
          <w:rFonts w:cs="Arial"/>
          <w:i/>
        </w:rPr>
        <w:t>“</w:t>
      </w:r>
      <w:r w:rsidR="0056773E" w:rsidRPr="00241FAC">
        <w:rPr>
          <w:rFonts w:cs="Arial"/>
          <w:b/>
          <w:i/>
        </w:rPr>
        <w:t>P</w:t>
      </w:r>
      <w:r w:rsidR="00346F7D" w:rsidRPr="00241FAC">
        <w:rPr>
          <w:rFonts w:cs="Arial"/>
          <w:b/>
          <w:i/>
        </w:rPr>
        <w:t>rimera</w:t>
      </w:r>
      <w:r w:rsidR="0056773E" w:rsidRPr="00241FAC">
        <w:rPr>
          <w:rFonts w:cs="Arial"/>
          <w:b/>
          <w:i/>
        </w:rPr>
        <w:t>:</w:t>
      </w:r>
      <w:r w:rsidR="0056773E" w:rsidRPr="00241FAC">
        <w:rPr>
          <w:rFonts w:cs="Arial"/>
          <w:i/>
        </w:rPr>
        <w:t xml:space="preserve"> Que se declaren nulos los actos administrativos contenidos en la Resolución No. 285 del 28 de septiembre de 2.000 y en el acta de adjudicación de la misma fecha proferidos </w:t>
      </w:r>
      <w:r w:rsidR="00346F7D" w:rsidRPr="00241FAC">
        <w:rPr>
          <w:rFonts w:cs="Arial"/>
          <w:i/>
        </w:rPr>
        <w:t>por el Alcalde Municipal de Purificación, Tolima, por medio de los cuales se adjudicó la Licitación Pública Nacional No. 001 de 2.000, cuyo objeto es la Construcción de la Primera Etapa del Parque Recreacional del Municipio de Purificación, al consorcio denominado LUIS E. GÓMEZ Y OTRO.</w:t>
      </w:r>
    </w:p>
    <w:p w:rsidR="00346F7D" w:rsidRPr="00241FAC" w:rsidRDefault="00346F7D" w:rsidP="0056773E">
      <w:pPr>
        <w:pStyle w:val="Textoindependienteprimerasangra2"/>
        <w:spacing w:line="240" w:lineRule="auto"/>
        <w:ind w:left="567" w:right="567" w:firstLine="0"/>
        <w:rPr>
          <w:rFonts w:cs="Arial"/>
          <w:i/>
        </w:rPr>
      </w:pPr>
    </w:p>
    <w:p w:rsidR="002F1EE5" w:rsidRPr="00241FAC" w:rsidRDefault="00346F7D" w:rsidP="0056773E">
      <w:pPr>
        <w:pStyle w:val="Textoindependienteprimerasangra2"/>
        <w:spacing w:line="240" w:lineRule="auto"/>
        <w:ind w:left="567" w:right="567" w:firstLine="0"/>
        <w:rPr>
          <w:rFonts w:cs="Arial"/>
          <w:i/>
        </w:rPr>
      </w:pPr>
      <w:r w:rsidRPr="00241FAC">
        <w:rPr>
          <w:rFonts w:cs="Arial"/>
          <w:b/>
          <w:i/>
        </w:rPr>
        <w:t>Segunda:</w:t>
      </w:r>
      <w:r w:rsidR="006B26B6" w:rsidRPr="00241FAC">
        <w:rPr>
          <w:rFonts w:cs="Arial"/>
          <w:i/>
        </w:rPr>
        <w:t xml:space="preserve"> Que consecuencialmente con la anterior declaración, se disponga el restablecimiento del derecho de los integrantes de la sociedad INSETEL LTDA y de los señores GERMÁN GAITÁN RODRÍGUEZ y RAFAEL TORRE</w:t>
      </w:r>
      <w:r w:rsidR="009F48DE" w:rsidRPr="00241FAC">
        <w:rPr>
          <w:rFonts w:cs="Arial"/>
          <w:i/>
        </w:rPr>
        <w:t>S</w:t>
      </w:r>
      <w:r w:rsidR="006B26B6" w:rsidRPr="00241FAC">
        <w:rPr>
          <w:rFonts w:cs="Arial"/>
          <w:i/>
        </w:rPr>
        <w:t xml:space="preserve"> SUÁREZ, quienes presentaron propuesta conjunta para la Licitación Pública Nacional No. 001 de 2.000 bajo la conformación de una Unión Temporal </w:t>
      </w:r>
      <w:r w:rsidR="002F1EE5" w:rsidRPr="00241FAC">
        <w:rPr>
          <w:rFonts w:cs="Arial"/>
          <w:i/>
        </w:rPr>
        <w:t>denominada UNION TEMPORAL CONSTRUOBRAS, condenando a la entidad pública demandada al pago de los conceptos de ADMINISTRACION, UTILIDAD E IMPREVISTOS establecidos en su propuesta, habida cuenta de que su propuesta estaba consti</w:t>
      </w:r>
      <w:r w:rsidR="00A22349" w:rsidRPr="00241FAC">
        <w:rPr>
          <w:rFonts w:cs="Arial"/>
          <w:i/>
        </w:rPr>
        <w:t>t</w:t>
      </w:r>
      <w:r w:rsidR="002F1EE5" w:rsidRPr="00241FAC">
        <w:rPr>
          <w:rFonts w:cs="Arial"/>
          <w:i/>
        </w:rPr>
        <w:t>u</w:t>
      </w:r>
      <w:r w:rsidR="00A22349" w:rsidRPr="00241FAC">
        <w:rPr>
          <w:rFonts w:cs="Arial"/>
          <w:i/>
        </w:rPr>
        <w:t>i</w:t>
      </w:r>
      <w:r w:rsidR="002F1EE5" w:rsidRPr="00241FAC">
        <w:rPr>
          <w:rFonts w:cs="Arial"/>
          <w:i/>
        </w:rPr>
        <w:t>da como la mejor en los términos del pliego de condiciones.</w:t>
      </w:r>
    </w:p>
    <w:p w:rsidR="002F1EE5" w:rsidRPr="00241FAC" w:rsidRDefault="002F1EE5" w:rsidP="0056773E">
      <w:pPr>
        <w:pStyle w:val="Textoindependienteprimerasangra2"/>
        <w:spacing w:line="240" w:lineRule="auto"/>
        <w:ind w:left="567" w:right="567" w:firstLine="0"/>
        <w:rPr>
          <w:rFonts w:cs="Arial"/>
          <w:i/>
        </w:rPr>
      </w:pPr>
    </w:p>
    <w:p w:rsidR="00A36B05" w:rsidRPr="00241FAC" w:rsidRDefault="00A36B05" w:rsidP="0056773E">
      <w:pPr>
        <w:pStyle w:val="Textoindependienteprimerasangra2"/>
        <w:spacing w:line="240" w:lineRule="auto"/>
        <w:ind w:left="567" w:right="567" w:firstLine="0"/>
        <w:rPr>
          <w:rFonts w:cs="Arial"/>
          <w:i/>
        </w:rPr>
      </w:pPr>
      <w:r w:rsidRPr="00241FAC">
        <w:rPr>
          <w:rFonts w:cs="Arial"/>
          <w:b/>
          <w:i/>
        </w:rPr>
        <w:t>Tercera:</w:t>
      </w:r>
      <w:r w:rsidRPr="00241FAC">
        <w:rPr>
          <w:rFonts w:cs="Arial"/>
          <w:i/>
        </w:rPr>
        <w:t xml:space="preserve"> Que el valor de la condena de que trata el anterior numeral sea indexado de conformidad con los parámetros jurisprudenciales establecidos por el </w:t>
      </w:r>
      <w:r w:rsidR="009F48DE" w:rsidRPr="00241FAC">
        <w:rPr>
          <w:rFonts w:cs="Arial"/>
          <w:i/>
        </w:rPr>
        <w:t>H</w:t>
      </w:r>
      <w:r w:rsidRPr="00241FAC">
        <w:rPr>
          <w:rFonts w:cs="Arial"/>
          <w:i/>
        </w:rPr>
        <w:t>onorable Consejo de Estado.</w:t>
      </w:r>
      <w:r w:rsidR="006B26B6" w:rsidRPr="00241FAC">
        <w:rPr>
          <w:rFonts w:cs="Arial"/>
          <w:i/>
        </w:rPr>
        <w:t xml:space="preserve"> </w:t>
      </w:r>
    </w:p>
    <w:p w:rsidR="00A36B05" w:rsidRPr="00241FAC" w:rsidRDefault="00A36B05" w:rsidP="0056773E">
      <w:pPr>
        <w:pStyle w:val="Textoindependienteprimerasangra2"/>
        <w:spacing w:line="240" w:lineRule="auto"/>
        <w:ind w:left="567" w:right="567" w:firstLine="0"/>
        <w:rPr>
          <w:rFonts w:cs="Arial"/>
          <w:i/>
        </w:rPr>
      </w:pPr>
    </w:p>
    <w:p w:rsidR="00A36B05" w:rsidRPr="00241FAC" w:rsidRDefault="00A36B05" w:rsidP="0056773E">
      <w:pPr>
        <w:pStyle w:val="Textoindependienteprimerasangra2"/>
        <w:spacing w:line="240" w:lineRule="auto"/>
        <w:ind w:left="567" w:right="567" w:firstLine="0"/>
        <w:rPr>
          <w:rFonts w:cs="Arial"/>
          <w:i/>
        </w:rPr>
      </w:pPr>
      <w:r w:rsidRPr="00241FAC">
        <w:rPr>
          <w:rFonts w:cs="Arial"/>
          <w:b/>
          <w:i/>
        </w:rPr>
        <w:t>Cuarta:</w:t>
      </w:r>
      <w:r w:rsidRPr="00241FAC">
        <w:rPr>
          <w:rFonts w:cs="Arial"/>
          <w:i/>
        </w:rPr>
        <w:t xml:space="preserve"> Condenar a título de lucro cesante, el pago de los intereses legales sobre el valor de condena de que trata el numeral segundo de las pretensiones.</w:t>
      </w:r>
    </w:p>
    <w:p w:rsidR="00A36B05" w:rsidRPr="00241FAC" w:rsidRDefault="00A36B05" w:rsidP="0056773E">
      <w:pPr>
        <w:pStyle w:val="Textoindependienteprimerasangra2"/>
        <w:spacing w:line="240" w:lineRule="auto"/>
        <w:ind w:left="567" w:right="567" w:firstLine="0"/>
        <w:rPr>
          <w:rFonts w:cs="Arial"/>
          <w:i/>
        </w:rPr>
      </w:pPr>
    </w:p>
    <w:p w:rsidR="00A36B05" w:rsidRPr="00241FAC" w:rsidRDefault="00A36B05" w:rsidP="0056773E">
      <w:pPr>
        <w:pStyle w:val="Textoindependienteprimerasangra2"/>
        <w:spacing w:line="240" w:lineRule="auto"/>
        <w:ind w:left="567" w:right="567" w:firstLine="0"/>
        <w:rPr>
          <w:rFonts w:cs="Arial"/>
          <w:i/>
        </w:rPr>
      </w:pPr>
      <w:r w:rsidRPr="00241FAC">
        <w:rPr>
          <w:rFonts w:cs="Arial"/>
          <w:b/>
          <w:i/>
        </w:rPr>
        <w:t>Quinta:</w:t>
      </w:r>
      <w:r w:rsidRPr="00241FAC">
        <w:rPr>
          <w:rFonts w:cs="Arial"/>
          <w:i/>
        </w:rPr>
        <w:t xml:space="preserve"> Que la sentencia sea cumplida dentro del término previsto por el artículo 176 y 177 del Código Contencioso Administrativo.</w:t>
      </w:r>
    </w:p>
    <w:p w:rsidR="00A36B05" w:rsidRPr="00241FAC" w:rsidRDefault="00A36B05" w:rsidP="0056773E">
      <w:pPr>
        <w:pStyle w:val="Textoindependienteprimerasangra2"/>
        <w:spacing w:line="240" w:lineRule="auto"/>
        <w:ind w:left="567" w:right="567" w:firstLine="0"/>
        <w:rPr>
          <w:rFonts w:cs="Arial"/>
          <w:i/>
        </w:rPr>
      </w:pPr>
    </w:p>
    <w:p w:rsidR="00A22349" w:rsidRPr="00241FAC" w:rsidRDefault="00A36B05" w:rsidP="0056773E">
      <w:pPr>
        <w:pStyle w:val="Textoindependienteprimerasangra2"/>
        <w:spacing w:line="240" w:lineRule="auto"/>
        <w:ind w:left="567" w:right="567" w:firstLine="0"/>
        <w:rPr>
          <w:rFonts w:cs="Arial"/>
          <w:i/>
        </w:rPr>
      </w:pPr>
      <w:r w:rsidRPr="00241FAC">
        <w:rPr>
          <w:rFonts w:cs="Arial"/>
          <w:b/>
          <w:i/>
        </w:rPr>
        <w:t>Sexta:</w:t>
      </w:r>
      <w:r w:rsidRPr="00241FAC">
        <w:rPr>
          <w:rFonts w:cs="Arial"/>
          <w:i/>
        </w:rPr>
        <w:t xml:space="preserve"> Que sea condenada en costas la entidad pública demandada</w:t>
      </w:r>
      <w:r w:rsidR="00A22349" w:rsidRPr="00241FAC">
        <w:rPr>
          <w:rFonts w:cs="Arial"/>
          <w:i/>
        </w:rPr>
        <w:t xml:space="preserve"> en los términos de la ley 446 de 1998</w:t>
      </w:r>
      <w:r w:rsidR="00D51749" w:rsidRPr="00241FAC">
        <w:rPr>
          <w:rFonts w:cs="Arial"/>
          <w:i/>
        </w:rPr>
        <w:t>.</w:t>
      </w:r>
      <w:r w:rsidR="00A22349" w:rsidRPr="00241FAC">
        <w:rPr>
          <w:rFonts w:cs="Arial"/>
          <w:i/>
        </w:rPr>
        <w:t>”</w:t>
      </w:r>
    </w:p>
    <w:p w:rsidR="008D48AC" w:rsidRPr="00241FAC" w:rsidRDefault="008D48AC" w:rsidP="00A15E12">
      <w:pPr>
        <w:spacing w:line="240" w:lineRule="auto"/>
        <w:ind w:left="567" w:right="567"/>
        <w:contextualSpacing/>
        <w:rPr>
          <w:rFonts w:cs="Arial"/>
          <w:i/>
        </w:rPr>
      </w:pPr>
    </w:p>
    <w:p w:rsidR="00F21484" w:rsidRPr="00241FAC" w:rsidRDefault="00F21484" w:rsidP="0090169C">
      <w:pPr>
        <w:pStyle w:val="Lista3"/>
        <w:ind w:left="0" w:firstLine="0"/>
        <w:rPr>
          <w:rFonts w:cs="Arial"/>
          <w:b/>
        </w:rPr>
      </w:pPr>
      <w:r w:rsidRPr="00241FAC">
        <w:rPr>
          <w:rFonts w:cs="Arial"/>
          <w:b/>
        </w:rPr>
        <w:t>2.</w:t>
      </w:r>
      <w:r w:rsidR="00E759BE" w:rsidRPr="00241FAC">
        <w:rPr>
          <w:rFonts w:cs="Arial"/>
          <w:b/>
        </w:rPr>
        <w:tab/>
      </w:r>
      <w:r w:rsidRPr="00241FAC">
        <w:rPr>
          <w:rFonts w:cs="Arial"/>
          <w:b/>
        </w:rPr>
        <w:t>Los hechos</w:t>
      </w:r>
      <w:r w:rsidR="00841C3D" w:rsidRPr="00241FAC">
        <w:rPr>
          <w:rFonts w:cs="Arial"/>
          <w:b/>
        </w:rPr>
        <w:t>.</w:t>
      </w:r>
    </w:p>
    <w:p w:rsidR="005E0015" w:rsidRPr="00241FAC" w:rsidRDefault="005E0015" w:rsidP="0090169C">
      <w:pPr>
        <w:widowControl w:val="0"/>
        <w:autoSpaceDE w:val="0"/>
        <w:autoSpaceDN w:val="0"/>
        <w:adjustRightInd w:val="0"/>
        <w:rPr>
          <w:rFonts w:cs="Arial"/>
          <w:lang w:val="es-MX"/>
        </w:rPr>
      </w:pPr>
    </w:p>
    <w:p w:rsidR="00D45ABC" w:rsidRPr="00241FAC" w:rsidRDefault="00D45ABC" w:rsidP="0090169C">
      <w:pPr>
        <w:pStyle w:val="Textoindependiente"/>
        <w:rPr>
          <w:rFonts w:cs="Arial"/>
          <w:szCs w:val="24"/>
        </w:rPr>
      </w:pPr>
      <w:r w:rsidRPr="00241FAC">
        <w:rPr>
          <w:rFonts w:cs="Arial"/>
          <w:szCs w:val="24"/>
          <w:lang w:val="es-CO"/>
        </w:rPr>
        <w:t>E</w:t>
      </w:r>
      <w:r w:rsidRPr="00241FAC">
        <w:rPr>
          <w:rFonts w:cs="Arial"/>
          <w:szCs w:val="24"/>
        </w:rPr>
        <w:t>n el escrito de demanda</w:t>
      </w:r>
      <w:r w:rsidR="004E6E35" w:rsidRPr="00241FAC">
        <w:rPr>
          <w:rFonts w:cs="Arial"/>
          <w:szCs w:val="24"/>
        </w:rPr>
        <w:t>,</w:t>
      </w:r>
      <w:r w:rsidR="00FD5088" w:rsidRPr="00241FAC">
        <w:rPr>
          <w:rFonts w:cs="Arial"/>
          <w:szCs w:val="24"/>
        </w:rPr>
        <w:t xml:space="preserve"> </w:t>
      </w:r>
      <w:r w:rsidRPr="00241FAC">
        <w:rPr>
          <w:rFonts w:cs="Arial"/>
          <w:szCs w:val="24"/>
        </w:rPr>
        <w:t>la parte actora narró los siguientes hechos:</w:t>
      </w:r>
    </w:p>
    <w:p w:rsidR="00F82E49" w:rsidRPr="00241FAC" w:rsidRDefault="00F82E49" w:rsidP="0090169C">
      <w:pPr>
        <w:pStyle w:val="Lista2"/>
        <w:ind w:left="0" w:firstLine="0"/>
        <w:rPr>
          <w:rFonts w:cs="Arial"/>
          <w:b/>
        </w:rPr>
      </w:pPr>
    </w:p>
    <w:p w:rsidR="00F82E49" w:rsidRPr="00241FAC" w:rsidRDefault="00E956A1" w:rsidP="0090169C">
      <w:pPr>
        <w:pStyle w:val="Lista2"/>
        <w:ind w:left="0" w:firstLine="0"/>
        <w:rPr>
          <w:rFonts w:cs="Arial"/>
          <w:b/>
        </w:rPr>
      </w:pPr>
      <w:r w:rsidRPr="00241FAC">
        <w:rPr>
          <w:rFonts w:cs="Arial"/>
          <w:b/>
        </w:rPr>
        <w:t>2.1.</w:t>
      </w:r>
      <w:r w:rsidRPr="00241FAC">
        <w:rPr>
          <w:rFonts w:cs="Arial"/>
        </w:rPr>
        <w:tab/>
      </w:r>
      <w:r w:rsidR="00D51749" w:rsidRPr="00241FAC">
        <w:rPr>
          <w:rFonts w:cs="Arial"/>
        </w:rPr>
        <w:t>Mediante Resolución No. 0209 del 21 de junio de 2000</w:t>
      </w:r>
      <w:r w:rsidR="007A1E98" w:rsidRPr="00241FAC">
        <w:rPr>
          <w:rFonts w:cs="Arial"/>
        </w:rPr>
        <w:t>,</w:t>
      </w:r>
      <w:r w:rsidR="00D51749" w:rsidRPr="00241FAC">
        <w:rPr>
          <w:rFonts w:cs="Arial"/>
        </w:rPr>
        <w:t xml:space="preserve"> la Alcaldía Municipal de Purificación </w:t>
      </w:r>
      <w:r w:rsidR="00B73A7F" w:rsidRPr="00241FAC">
        <w:rPr>
          <w:rFonts w:cs="Arial"/>
        </w:rPr>
        <w:t xml:space="preserve">–Departamento del Tolima- </w:t>
      </w:r>
      <w:r w:rsidR="00D51749" w:rsidRPr="00241FAC">
        <w:rPr>
          <w:rFonts w:cs="Arial"/>
        </w:rPr>
        <w:t>dispuso la apertura de la Licitación Pública No. 01</w:t>
      </w:r>
      <w:r w:rsidR="00807029" w:rsidRPr="00241FAC">
        <w:rPr>
          <w:rFonts w:cs="Arial"/>
        </w:rPr>
        <w:t xml:space="preserve">, </w:t>
      </w:r>
      <w:r w:rsidR="00C238AC" w:rsidRPr="00241FAC">
        <w:rPr>
          <w:rFonts w:cs="Arial"/>
        </w:rPr>
        <w:t xml:space="preserve">con el objeto de contratar las </w:t>
      </w:r>
      <w:r w:rsidR="00807029" w:rsidRPr="00241FAC">
        <w:rPr>
          <w:rFonts w:cs="Arial"/>
        </w:rPr>
        <w:t xml:space="preserve">obras correspondientes a la </w:t>
      </w:r>
      <w:r w:rsidR="00807029" w:rsidRPr="00241FAC">
        <w:rPr>
          <w:rFonts w:cs="Arial"/>
          <w:i/>
        </w:rPr>
        <w:t>“Primera Etapa del Parque Recreacional del Municipio de Purificación</w:t>
      </w:r>
      <w:r w:rsidR="0037352E" w:rsidRPr="00241FAC">
        <w:rPr>
          <w:rFonts w:cs="Arial"/>
          <w:i/>
        </w:rPr>
        <w:t>”</w:t>
      </w:r>
      <w:r w:rsidR="00C238AC" w:rsidRPr="00241FAC">
        <w:rPr>
          <w:rFonts w:cs="Arial"/>
        </w:rPr>
        <w:t>.</w:t>
      </w:r>
    </w:p>
    <w:p w:rsidR="005020E5" w:rsidRPr="00241FAC" w:rsidRDefault="005020E5" w:rsidP="0090169C">
      <w:pPr>
        <w:pStyle w:val="Lista2"/>
        <w:ind w:left="0" w:firstLine="0"/>
        <w:rPr>
          <w:rFonts w:cs="Arial"/>
          <w:b/>
        </w:rPr>
      </w:pPr>
    </w:p>
    <w:p w:rsidR="008D0A63" w:rsidRPr="00241FAC" w:rsidRDefault="00E956A1" w:rsidP="0090169C">
      <w:pPr>
        <w:pStyle w:val="Lista2"/>
        <w:ind w:left="0" w:firstLine="0"/>
        <w:rPr>
          <w:rFonts w:cs="Arial"/>
        </w:rPr>
      </w:pPr>
      <w:r w:rsidRPr="00241FAC">
        <w:rPr>
          <w:rFonts w:cs="Arial"/>
          <w:b/>
        </w:rPr>
        <w:t>2.2.</w:t>
      </w:r>
      <w:r w:rsidRPr="00241FAC">
        <w:rPr>
          <w:rFonts w:cs="Arial"/>
        </w:rPr>
        <w:tab/>
      </w:r>
      <w:r w:rsidR="001702DD" w:rsidRPr="00241FAC">
        <w:rPr>
          <w:rFonts w:cs="Arial"/>
        </w:rPr>
        <w:t>Se presentaron</w:t>
      </w:r>
      <w:r w:rsidR="00C238AC" w:rsidRPr="00241FAC">
        <w:rPr>
          <w:rFonts w:cs="Arial"/>
        </w:rPr>
        <w:t xml:space="preserve"> al </w:t>
      </w:r>
      <w:r w:rsidR="007A1E98" w:rsidRPr="00241FAC">
        <w:rPr>
          <w:rFonts w:cs="Arial"/>
        </w:rPr>
        <w:t>procedimiento de licitación</w:t>
      </w:r>
      <w:r w:rsidR="00C238AC" w:rsidRPr="00241FAC">
        <w:rPr>
          <w:rFonts w:cs="Arial"/>
        </w:rPr>
        <w:t xml:space="preserve"> cuatro </w:t>
      </w:r>
      <w:r w:rsidR="00195F15" w:rsidRPr="00241FAC">
        <w:rPr>
          <w:rFonts w:cs="Arial"/>
        </w:rPr>
        <w:t>(</w:t>
      </w:r>
      <w:r w:rsidR="00C238AC" w:rsidRPr="00241FAC">
        <w:rPr>
          <w:rFonts w:cs="Arial"/>
        </w:rPr>
        <w:t>4</w:t>
      </w:r>
      <w:r w:rsidR="00195F15" w:rsidRPr="00241FAC">
        <w:rPr>
          <w:rFonts w:cs="Arial"/>
        </w:rPr>
        <w:t>)</w:t>
      </w:r>
      <w:r w:rsidR="001702DD" w:rsidRPr="00241FAC">
        <w:rPr>
          <w:rFonts w:cs="Arial"/>
        </w:rPr>
        <w:t xml:space="preserve"> propuestas, entre ellas la de</w:t>
      </w:r>
      <w:r w:rsidR="00C238AC" w:rsidRPr="00241FAC">
        <w:rPr>
          <w:rFonts w:cs="Arial"/>
        </w:rPr>
        <w:t xml:space="preserve"> la Unión Temporal Construobras, integrada por los ahora demandantes, </w:t>
      </w:r>
      <w:r w:rsidR="005020E5" w:rsidRPr="00241FAC">
        <w:rPr>
          <w:rFonts w:cs="Arial"/>
        </w:rPr>
        <w:t xml:space="preserve">los señores Augusto Rafael Torres Suárez, Germán Gaitán Rodríguez y </w:t>
      </w:r>
      <w:r w:rsidR="00FA288C" w:rsidRPr="00241FAC">
        <w:rPr>
          <w:rFonts w:cs="Arial"/>
        </w:rPr>
        <w:t xml:space="preserve">la sociedad </w:t>
      </w:r>
      <w:proofErr w:type="spellStart"/>
      <w:r w:rsidR="00FA288C" w:rsidRPr="00241FAC">
        <w:rPr>
          <w:rFonts w:cs="Arial"/>
        </w:rPr>
        <w:t>Insetel</w:t>
      </w:r>
      <w:proofErr w:type="spellEnd"/>
      <w:r w:rsidR="00FA288C" w:rsidRPr="00241FAC">
        <w:rPr>
          <w:rFonts w:cs="Arial"/>
        </w:rPr>
        <w:t xml:space="preserve"> Ltda</w:t>
      </w:r>
      <w:r w:rsidR="005020E5" w:rsidRPr="00241FAC">
        <w:rPr>
          <w:rFonts w:cs="Arial"/>
        </w:rPr>
        <w:t>.</w:t>
      </w:r>
      <w:r w:rsidR="00FA288C" w:rsidRPr="00241FAC">
        <w:rPr>
          <w:rFonts w:cs="Arial"/>
        </w:rPr>
        <w:t xml:space="preserve">, </w:t>
      </w:r>
      <w:r w:rsidR="009F48DE" w:rsidRPr="00241FAC">
        <w:rPr>
          <w:rFonts w:cs="Arial"/>
        </w:rPr>
        <w:t xml:space="preserve">cuya oferta </w:t>
      </w:r>
      <w:r w:rsidR="001702DD" w:rsidRPr="00241FAC">
        <w:rPr>
          <w:rFonts w:cs="Arial"/>
        </w:rPr>
        <w:t xml:space="preserve">obtuvo en la calificación inicial </w:t>
      </w:r>
      <w:r w:rsidR="00FA288C" w:rsidRPr="00241FAC">
        <w:rPr>
          <w:rFonts w:cs="Arial"/>
        </w:rPr>
        <w:t xml:space="preserve">realizada por el Comité Evaluador </w:t>
      </w:r>
      <w:r w:rsidR="001702DD" w:rsidRPr="00241FAC">
        <w:rPr>
          <w:rFonts w:cs="Arial"/>
        </w:rPr>
        <w:t xml:space="preserve">el </w:t>
      </w:r>
      <w:r w:rsidR="00FA288C" w:rsidRPr="00241FAC">
        <w:rPr>
          <w:rFonts w:cs="Arial"/>
        </w:rPr>
        <w:t xml:space="preserve">segundo </w:t>
      </w:r>
      <w:r w:rsidR="001702DD" w:rsidRPr="00241FAC">
        <w:rPr>
          <w:rFonts w:cs="Arial"/>
        </w:rPr>
        <w:t>puntaje más alto</w:t>
      </w:r>
      <w:r w:rsidR="007A1E98" w:rsidRPr="00241FAC">
        <w:rPr>
          <w:rFonts w:cs="Arial"/>
        </w:rPr>
        <w:t>,</w:t>
      </w:r>
      <w:r w:rsidR="001702DD" w:rsidRPr="00241FAC">
        <w:rPr>
          <w:rFonts w:cs="Arial"/>
        </w:rPr>
        <w:t xml:space="preserve"> por un total de </w:t>
      </w:r>
      <w:r w:rsidR="00FA288C" w:rsidRPr="00241FAC">
        <w:rPr>
          <w:rFonts w:cs="Arial"/>
        </w:rPr>
        <w:t>752, 9 puntos</w:t>
      </w:r>
      <w:r w:rsidR="00195F15" w:rsidRPr="00241FAC">
        <w:rPr>
          <w:rFonts w:cs="Arial"/>
        </w:rPr>
        <w:t>;</w:t>
      </w:r>
      <w:r w:rsidR="001702DD" w:rsidRPr="00241FAC">
        <w:rPr>
          <w:rFonts w:cs="Arial"/>
        </w:rPr>
        <w:t xml:space="preserve"> no obstante, con ocasión de las observaciones formuladas por </w:t>
      </w:r>
      <w:r w:rsidR="000D13B1" w:rsidRPr="00241FAC">
        <w:rPr>
          <w:rFonts w:cs="Arial"/>
        </w:rPr>
        <w:t xml:space="preserve">la misma Unión Temporal Construobras y por </w:t>
      </w:r>
      <w:r w:rsidR="00B73A7F" w:rsidRPr="00241FAC">
        <w:rPr>
          <w:rFonts w:cs="Arial"/>
        </w:rPr>
        <w:t xml:space="preserve">los </w:t>
      </w:r>
      <w:r w:rsidR="000D13B1" w:rsidRPr="00241FAC">
        <w:rPr>
          <w:rFonts w:cs="Arial"/>
        </w:rPr>
        <w:t>otros proponentes</w:t>
      </w:r>
      <w:r w:rsidR="001702DD" w:rsidRPr="00241FAC">
        <w:rPr>
          <w:rFonts w:cs="Arial"/>
        </w:rPr>
        <w:t xml:space="preserve">, el </w:t>
      </w:r>
      <w:r w:rsidR="000D13B1" w:rsidRPr="00241FAC">
        <w:rPr>
          <w:rFonts w:cs="Arial"/>
        </w:rPr>
        <w:t>Municipio de Purific</w:t>
      </w:r>
      <w:r w:rsidR="00790B7A" w:rsidRPr="00241FAC">
        <w:rPr>
          <w:rFonts w:cs="Arial"/>
        </w:rPr>
        <w:t xml:space="preserve">ación </w:t>
      </w:r>
      <w:r w:rsidR="003615A0" w:rsidRPr="00241FAC">
        <w:rPr>
          <w:rFonts w:cs="Arial"/>
        </w:rPr>
        <w:t xml:space="preserve">revisó y </w:t>
      </w:r>
      <w:r w:rsidR="00790B7A" w:rsidRPr="00241FAC">
        <w:rPr>
          <w:rFonts w:cs="Arial"/>
        </w:rPr>
        <w:t>modificó los puntajes asignados a todos los proponentes, como resultado de lo cual</w:t>
      </w:r>
      <w:r w:rsidR="009F48DE" w:rsidRPr="00241FAC">
        <w:rPr>
          <w:rFonts w:cs="Arial"/>
        </w:rPr>
        <w:t>,</w:t>
      </w:r>
      <w:r w:rsidR="00790B7A" w:rsidRPr="00241FAC">
        <w:rPr>
          <w:rFonts w:cs="Arial"/>
        </w:rPr>
        <w:t xml:space="preserve"> en la calificación final </w:t>
      </w:r>
      <w:r w:rsidR="0037352E" w:rsidRPr="00241FAC">
        <w:rPr>
          <w:rFonts w:cs="Arial"/>
        </w:rPr>
        <w:t>de la Licitación Pública No. 01</w:t>
      </w:r>
      <w:r w:rsidR="009F48DE" w:rsidRPr="00241FAC">
        <w:rPr>
          <w:rFonts w:cs="Arial"/>
        </w:rPr>
        <w:t xml:space="preserve"> de 2000,</w:t>
      </w:r>
      <w:r w:rsidR="0037352E" w:rsidRPr="00241FAC">
        <w:rPr>
          <w:rFonts w:cs="Arial"/>
        </w:rPr>
        <w:t xml:space="preserve"> </w:t>
      </w:r>
      <w:r w:rsidR="00790B7A" w:rsidRPr="00241FAC">
        <w:rPr>
          <w:rFonts w:cs="Arial"/>
        </w:rPr>
        <w:t xml:space="preserve">la Unión Temporal Construobras obtuvo 664,9 puntos, </w:t>
      </w:r>
      <w:r w:rsidR="008D0A63" w:rsidRPr="00241FAC">
        <w:rPr>
          <w:rFonts w:cs="Arial"/>
        </w:rPr>
        <w:t>quedando ubicada en el tercer lugar</w:t>
      </w:r>
      <w:r w:rsidR="003834BA" w:rsidRPr="00241FAC">
        <w:rPr>
          <w:rFonts w:cs="Arial"/>
        </w:rPr>
        <w:t xml:space="preserve"> de calificación</w:t>
      </w:r>
      <w:r w:rsidR="008D0A63" w:rsidRPr="00241FAC">
        <w:rPr>
          <w:rFonts w:cs="Arial"/>
        </w:rPr>
        <w:t>.</w:t>
      </w:r>
    </w:p>
    <w:p w:rsidR="008D0A63" w:rsidRPr="00241FAC" w:rsidRDefault="008D0A63" w:rsidP="0090169C">
      <w:pPr>
        <w:pStyle w:val="Lista2"/>
        <w:ind w:left="0" w:firstLine="0"/>
        <w:rPr>
          <w:rFonts w:cs="Arial"/>
          <w:b/>
        </w:rPr>
      </w:pPr>
    </w:p>
    <w:p w:rsidR="004F3CAB" w:rsidRPr="00241FAC" w:rsidRDefault="003615A0" w:rsidP="0090169C">
      <w:pPr>
        <w:pStyle w:val="Lista2"/>
        <w:ind w:left="0" w:firstLine="0"/>
        <w:rPr>
          <w:rFonts w:cs="Arial"/>
        </w:rPr>
      </w:pPr>
      <w:r w:rsidRPr="00241FAC">
        <w:rPr>
          <w:rFonts w:cs="Arial"/>
          <w:b/>
        </w:rPr>
        <w:t>2.3.</w:t>
      </w:r>
      <w:r w:rsidR="00627659" w:rsidRPr="00241FAC">
        <w:rPr>
          <w:rFonts w:cs="Arial"/>
        </w:rPr>
        <w:tab/>
      </w:r>
      <w:r w:rsidRPr="00241FAC">
        <w:rPr>
          <w:rFonts w:cs="Arial"/>
        </w:rPr>
        <w:t>Mediante Resolución No.</w:t>
      </w:r>
      <w:r w:rsidR="0037352E" w:rsidRPr="00241FAC">
        <w:rPr>
          <w:rFonts w:cs="Arial"/>
        </w:rPr>
        <w:t xml:space="preserve"> </w:t>
      </w:r>
      <w:r w:rsidR="008D0A63" w:rsidRPr="00241FAC">
        <w:rPr>
          <w:rFonts w:cs="Arial"/>
        </w:rPr>
        <w:t xml:space="preserve">285 </w:t>
      </w:r>
      <w:r w:rsidRPr="00241FAC">
        <w:rPr>
          <w:rFonts w:cs="Arial"/>
        </w:rPr>
        <w:t xml:space="preserve">de </w:t>
      </w:r>
      <w:r w:rsidR="008D0A63" w:rsidRPr="00241FAC">
        <w:rPr>
          <w:rFonts w:cs="Arial"/>
        </w:rPr>
        <w:t>28 de septiembre de 2000</w:t>
      </w:r>
      <w:r w:rsidRPr="00241FAC">
        <w:rPr>
          <w:rFonts w:cs="Arial"/>
        </w:rPr>
        <w:t xml:space="preserve">, expedida por </w:t>
      </w:r>
      <w:r w:rsidR="008D0A63" w:rsidRPr="00241FAC">
        <w:rPr>
          <w:rFonts w:cs="Arial"/>
        </w:rPr>
        <w:t>el Alcalde Municipal de Purificación</w:t>
      </w:r>
      <w:r w:rsidR="000302C0" w:rsidRPr="00241FAC">
        <w:rPr>
          <w:rFonts w:cs="Arial"/>
        </w:rPr>
        <w:t>, se</w:t>
      </w:r>
      <w:r w:rsidRPr="00241FAC">
        <w:rPr>
          <w:rFonts w:cs="Arial"/>
        </w:rPr>
        <w:t xml:space="preserve"> adjudicó el </w:t>
      </w:r>
      <w:r w:rsidR="00627659" w:rsidRPr="00241FAC">
        <w:rPr>
          <w:rFonts w:cs="Arial"/>
        </w:rPr>
        <w:t>contrato</w:t>
      </w:r>
      <w:r w:rsidR="008D0A63" w:rsidRPr="00241FAC">
        <w:rPr>
          <w:rFonts w:cs="Arial"/>
        </w:rPr>
        <w:t xml:space="preserve"> </w:t>
      </w:r>
      <w:r w:rsidR="00903784" w:rsidRPr="00241FAC">
        <w:rPr>
          <w:rFonts w:cs="Arial"/>
        </w:rPr>
        <w:t xml:space="preserve">de obra correspondiente a la </w:t>
      </w:r>
      <w:r w:rsidR="00903784" w:rsidRPr="00241FAC">
        <w:rPr>
          <w:rFonts w:cs="Arial"/>
          <w:i/>
        </w:rPr>
        <w:t>“Primera Etapa del Parque Recreacional del Municipio de Purificación</w:t>
      </w:r>
      <w:r w:rsidR="0037352E" w:rsidRPr="00241FAC">
        <w:rPr>
          <w:rFonts w:cs="Arial"/>
          <w:i/>
        </w:rPr>
        <w:t>”</w:t>
      </w:r>
      <w:r w:rsidR="00903784" w:rsidRPr="00241FAC">
        <w:rPr>
          <w:rFonts w:cs="Arial"/>
        </w:rPr>
        <w:t xml:space="preserve"> </w:t>
      </w:r>
      <w:r w:rsidR="008D0A63" w:rsidRPr="00241FAC">
        <w:rPr>
          <w:rFonts w:cs="Arial"/>
        </w:rPr>
        <w:t>al Consorcio Luis E. G</w:t>
      </w:r>
      <w:r w:rsidR="00FB1191" w:rsidRPr="00241FAC">
        <w:rPr>
          <w:rFonts w:cs="Arial"/>
        </w:rPr>
        <w:t>ó</w:t>
      </w:r>
      <w:r w:rsidR="008D0A63" w:rsidRPr="00241FAC">
        <w:rPr>
          <w:rFonts w:cs="Arial"/>
        </w:rPr>
        <w:t>mez y otro, cuya propuesta resultó ser la ganadora</w:t>
      </w:r>
      <w:r w:rsidR="004F3CAB" w:rsidRPr="00241FAC">
        <w:rPr>
          <w:rFonts w:cs="Arial"/>
        </w:rPr>
        <w:t xml:space="preserve">, con un puntaje de 714 puntos </w:t>
      </w:r>
      <w:r w:rsidR="00B73A7F" w:rsidRPr="00241FAC">
        <w:rPr>
          <w:rFonts w:cs="Arial"/>
        </w:rPr>
        <w:t xml:space="preserve">de acuerdo con </w:t>
      </w:r>
      <w:r w:rsidR="004F3CAB" w:rsidRPr="00241FAC">
        <w:rPr>
          <w:rFonts w:cs="Arial"/>
        </w:rPr>
        <w:t xml:space="preserve">la </w:t>
      </w:r>
      <w:r w:rsidR="003834BA" w:rsidRPr="00241FAC">
        <w:rPr>
          <w:rFonts w:cs="Arial"/>
        </w:rPr>
        <w:t xml:space="preserve">evaluación final de </w:t>
      </w:r>
      <w:r w:rsidR="00B73A7F" w:rsidRPr="00241FAC">
        <w:rPr>
          <w:rFonts w:cs="Arial"/>
        </w:rPr>
        <w:t xml:space="preserve">las </w:t>
      </w:r>
      <w:r w:rsidR="003834BA" w:rsidRPr="00241FAC">
        <w:rPr>
          <w:rFonts w:cs="Arial"/>
        </w:rPr>
        <w:t>propuestas</w:t>
      </w:r>
      <w:r w:rsidR="004F3CAB" w:rsidRPr="00241FAC">
        <w:rPr>
          <w:rFonts w:cs="Arial"/>
        </w:rPr>
        <w:t>.</w:t>
      </w:r>
    </w:p>
    <w:p w:rsidR="00F82E49" w:rsidRPr="00241FAC" w:rsidRDefault="00F82E49" w:rsidP="0090169C">
      <w:pPr>
        <w:pStyle w:val="Lista2"/>
        <w:ind w:left="0" w:firstLine="0"/>
        <w:rPr>
          <w:rFonts w:cs="Arial"/>
          <w:b/>
          <w:lang w:val="es-MX"/>
        </w:rPr>
      </w:pPr>
    </w:p>
    <w:p w:rsidR="00B07467" w:rsidRPr="00241FAC" w:rsidRDefault="00E956A1" w:rsidP="0090169C">
      <w:pPr>
        <w:pStyle w:val="Lista2"/>
        <w:ind w:left="0" w:firstLine="0"/>
        <w:rPr>
          <w:rFonts w:cs="Arial"/>
          <w:lang w:val="es-MX"/>
        </w:rPr>
      </w:pPr>
      <w:r w:rsidRPr="00241FAC">
        <w:rPr>
          <w:rFonts w:cs="Arial"/>
          <w:b/>
          <w:lang w:val="es-MX"/>
        </w:rPr>
        <w:lastRenderedPageBreak/>
        <w:t>2.</w:t>
      </w:r>
      <w:r w:rsidR="00F21667" w:rsidRPr="00241FAC">
        <w:rPr>
          <w:rFonts w:cs="Arial"/>
          <w:b/>
          <w:lang w:val="es-MX"/>
        </w:rPr>
        <w:t>4</w:t>
      </w:r>
      <w:r w:rsidRPr="00241FAC">
        <w:rPr>
          <w:rFonts w:cs="Arial"/>
          <w:b/>
          <w:lang w:val="es-MX"/>
        </w:rPr>
        <w:t>.</w:t>
      </w:r>
      <w:r w:rsidRPr="00241FAC">
        <w:rPr>
          <w:rFonts w:cs="Arial"/>
          <w:lang w:val="es-MX"/>
        </w:rPr>
        <w:tab/>
      </w:r>
      <w:r w:rsidR="00FB7445" w:rsidRPr="00241FAC">
        <w:rPr>
          <w:rFonts w:cs="Arial"/>
          <w:lang w:val="es-MX"/>
        </w:rPr>
        <w:t>A juicio de</w:t>
      </w:r>
      <w:r w:rsidR="003834BA" w:rsidRPr="00241FAC">
        <w:rPr>
          <w:rFonts w:cs="Arial"/>
          <w:lang w:val="es-MX"/>
        </w:rPr>
        <w:t xml:space="preserve"> la parte </w:t>
      </w:r>
      <w:r w:rsidR="00FB7445" w:rsidRPr="00241FAC">
        <w:rPr>
          <w:rFonts w:cs="Arial"/>
          <w:lang w:val="es-MX"/>
        </w:rPr>
        <w:t>demandante</w:t>
      </w:r>
      <w:r w:rsidR="00B73A7F" w:rsidRPr="00241FAC">
        <w:rPr>
          <w:rFonts w:cs="Arial"/>
          <w:lang w:val="es-MX"/>
        </w:rPr>
        <w:t>,</w:t>
      </w:r>
      <w:r w:rsidR="00FB7445" w:rsidRPr="00241FAC">
        <w:rPr>
          <w:rFonts w:cs="Arial"/>
          <w:lang w:val="es-MX"/>
        </w:rPr>
        <w:t xml:space="preserve"> </w:t>
      </w:r>
      <w:r w:rsidR="004918D7" w:rsidRPr="00241FAC">
        <w:rPr>
          <w:rFonts w:cs="Arial"/>
          <w:lang w:val="es-MX"/>
        </w:rPr>
        <w:t xml:space="preserve">en </w:t>
      </w:r>
      <w:r w:rsidR="00FB7445" w:rsidRPr="00241FAC">
        <w:rPr>
          <w:rFonts w:cs="Arial"/>
          <w:lang w:val="es-MX"/>
        </w:rPr>
        <w:t>l</w:t>
      </w:r>
      <w:r w:rsidR="00302A9A" w:rsidRPr="00241FAC">
        <w:rPr>
          <w:rFonts w:cs="Arial"/>
          <w:lang w:val="es-MX"/>
        </w:rPr>
        <w:t xml:space="preserve">a decisión de </w:t>
      </w:r>
      <w:r w:rsidR="003834BA" w:rsidRPr="00241FAC">
        <w:rPr>
          <w:rFonts w:cs="Arial"/>
          <w:lang w:val="es-MX"/>
        </w:rPr>
        <w:t xml:space="preserve">adjudicación </w:t>
      </w:r>
      <w:r w:rsidR="004918D7" w:rsidRPr="00241FAC">
        <w:rPr>
          <w:rFonts w:cs="Arial"/>
          <w:lang w:val="es-MX"/>
        </w:rPr>
        <w:t xml:space="preserve">el Municipio de Purificación incurrió en notables inconsistencias y errores </w:t>
      </w:r>
      <w:r w:rsidR="00170BDE" w:rsidRPr="00241FAC">
        <w:rPr>
          <w:rFonts w:cs="Arial"/>
          <w:lang w:val="es-MX"/>
        </w:rPr>
        <w:t xml:space="preserve">por razón de </w:t>
      </w:r>
      <w:r w:rsidR="004918D7" w:rsidRPr="00241FAC">
        <w:rPr>
          <w:rFonts w:cs="Arial"/>
          <w:lang w:val="es-MX"/>
        </w:rPr>
        <w:t xml:space="preserve">la </w:t>
      </w:r>
      <w:r w:rsidR="00170BDE" w:rsidRPr="00241FAC">
        <w:rPr>
          <w:rFonts w:cs="Arial"/>
          <w:lang w:val="es-MX"/>
        </w:rPr>
        <w:t xml:space="preserve">evaluación </w:t>
      </w:r>
      <w:r w:rsidR="004918D7" w:rsidRPr="00241FAC">
        <w:rPr>
          <w:rFonts w:cs="Arial"/>
          <w:lang w:val="es-MX"/>
        </w:rPr>
        <w:t xml:space="preserve">de las propuestas, </w:t>
      </w:r>
      <w:r w:rsidR="005B3C70" w:rsidRPr="00241FAC">
        <w:rPr>
          <w:rFonts w:cs="Arial"/>
          <w:lang w:val="es-MX"/>
        </w:rPr>
        <w:t xml:space="preserve">tanto en </w:t>
      </w:r>
      <w:r w:rsidR="004A30D9" w:rsidRPr="00241FAC">
        <w:rPr>
          <w:rFonts w:cs="Arial"/>
          <w:lang w:val="es-MX"/>
        </w:rPr>
        <w:t xml:space="preserve">relación con </w:t>
      </w:r>
      <w:r w:rsidR="005B3C70" w:rsidRPr="00241FAC">
        <w:rPr>
          <w:rFonts w:cs="Arial"/>
          <w:lang w:val="es-MX"/>
        </w:rPr>
        <w:t xml:space="preserve">la </w:t>
      </w:r>
      <w:r w:rsidR="004A30D9" w:rsidRPr="00241FAC">
        <w:rPr>
          <w:rFonts w:cs="Arial"/>
          <w:lang w:val="es-MX"/>
        </w:rPr>
        <w:t xml:space="preserve">propuesta </w:t>
      </w:r>
      <w:r w:rsidR="005B3C70" w:rsidRPr="00241FAC">
        <w:rPr>
          <w:rFonts w:cs="Arial"/>
          <w:lang w:val="es-MX"/>
        </w:rPr>
        <w:t xml:space="preserve">del Consorcio Luis E. Gómez </w:t>
      </w:r>
      <w:r w:rsidR="00903784" w:rsidRPr="00241FAC">
        <w:rPr>
          <w:rFonts w:cs="Arial"/>
          <w:lang w:val="es-MX"/>
        </w:rPr>
        <w:t xml:space="preserve">y otro, </w:t>
      </w:r>
      <w:r w:rsidR="004A30D9" w:rsidRPr="00241FAC">
        <w:rPr>
          <w:rFonts w:cs="Arial"/>
          <w:lang w:val="es-MX"/>
        </w:rPr>
        <w:t>c</w:t>
      </w:r>
      <w:r w:rsidR="005B3C70" w:rsidRPr="00241FAC">
        <w:rPr>
          <w:rFonts w:cs="Arial"/>
          <w:lang w:val="es-MX"/>
        </w:rPr>
        <w:t xml:space="preserve">omo </w:t>
      </w:r>
      <w:r w:rsidR="00C66FE0" w:rsidRPr="00241FAC">
        <w:rPr>
          <w:rFonts w:cs="Arial"/>
          <w:lang w:val="es-MX"/>
        </w:rPr>
        <w:t xml:space="preserve">también </w:t>
      </w:r>
      <w:r w:rsidR="005B3C70" w:rsidRPr="00241FAC">
        <w:rPr>
          <w:rFonts w:cs="Arial"/>
          <w:lang w:val="es-MX"/>
        </w:rPr>
        <w:t xml:space="preserve">en la </w:t>
      </w:r>
      <w:r w:rsidR="00C66FE0" w:rsidRPr="00241FAC">
        <w:rPr>
          <w:rFonts w:cs="Arial"/>
          <w:lang w:val="es-MX"/>
        </w:rPr>
        <w:t xml:space="preserve">calificación de la </w:t>
      </w:r>
      <w:r w:rsidR="004A30D9" w:rsidRPr="00241FAC">
        <w:rPr>
          <w:rFonts w:cs="Arial"/>
          <w:lang w:val="es-MX"/>
        </w:rPr>
        <w:t xml:space="preserve">propuesta </w:t>
      </w:r>
      <w:r w:rsidR="00B07467" w:rsidRPr="00241FAC">
        <w:rPr>
          <w:rFonts w:cs="Arial"/>
          <w:lang w:val="es-MX"/>
        </w:rPr>
        <w:t xml:space="preserve">presentada por </w:t>
      </w:r>
      <w:r w:rsidR="005B3C70" w:rsidRPr="00241FAC">
        <w:rPr>
          <w:rFonts w:cs="Arial"/>
          <w:lang w:val="es-MX"/>
        </w:rPr>
        <w:t xml:space="preserve">la Unión Temporal </w:t>
      </w:r>
      <w:proofErr w:type="spellStart"/>
      <w:r w:rsidR="005B3C70" w:rsidRPr="00241FAC">
        <w:rPr>
          <w:rFonts w:cs="Arial"/>
          <w:lang w:val="es-MX"/>
        </w:rPr>
        <w:t>Construobras</w:t>
      </w:r>
      <w:proofErr w:type="spellEnd"/>
      <w:r w:rsidR="005B3C70" w:rsidRPr="00241FAC">
        <w:rPr>
          <w:rFonts w:cs="Arial"/>
          <w:lang w:val="es-MX"/>
        </w:rPr>
        <w:t xml:space="preserve">, </w:t>
      </w:r>
      <w:r w:rsidR="00B07467" w:rsidRPr="00241FAC">
        <w:rPr>
          <w:rFonts w:cs="Arial"/>
          <w:lang w:val="es-MX"/>
        </w:rPr>
        <w:t>los cuales llevaron a una calificación errada y</w:t>
      </w:r>
      <w:r w:rsidR="00170BDE" w:rsidRPr="00241FAC">
        <w:rPr>
          <w:rFonts w:cs="Arial"/>
          <w:lang w:val="es-MX"/>
        </w:rPr>
        <w:t>,</w:t>
      </w:r>
      <w:r w:rsidR="00B07467" w:rsidRPr="00241FAC">
        <w:rPr>
          <w:rFonts w:cs="Arial"/>
          <w:lang w:val="es-MX"/>
        </w:rPr>
        <w:t xml:space="preserve"> por lo tanto</w:t>
      </w:r>
      <w:r w:rsidR="00170BDE" w:rsidRPr="00241FAC">
        <w:rPr>
          <w:rFonts w:cs="Arial"/>
          <w:lang w:val="es-MX"/>
        </w:rPr>
        <w:t>,</w:t>
      </w:r>
      <w:r w:rsidR="00B07467" w:rsidRPr="00241FAC">
        <w:rPr>
          <w:rFonts w:cs="Arial"/>
          <w:lang w:val="es-MX"/>
        </w:rPr>
        <w:t xml:space="preserve"> subjetiva de los siguientes factores de ponderación:</w:t>
      </w:r>
      <w:r w:rsidR="004918D7" w:rsidRPr="00241FAC">
        <w:rPr>
          <w:rFonts w:cs="Arial"/>
          <w:lang w:val="es-MX"/>
        </w:rPr>
        <w:t xml:space="preserve"> </w:t>
      </w:r>
    </w:p>
    <w:p w:rsidR="00B07467" w:rsidRPr="00241FAC" w:rsidRDefault="00B07467" w:rsidP="0090169C">
      <w:pPr>
        <w:pStyle w:val="Lista2"/>
        <w:ind w:left="0" w:firstLine="0"/>
        <w:rPr>
          <w:rFonts w:cs="Arial"/>
          <w:lang w:val="es-MX"/>
        </w:rPr>
      </w:pPr>
    </w:p>
    <w:p w:rsidR="003E66EA" w:rsidRPr="00241FAC" w:rsidRDefault="004918D7" w:rsidP="0090169C">
      <w:pPr>
        <w:pStyle w:val="Lista2"/>
        <w:ind w:left="0" w:firstLine="0"/>
        <w:rPr>
          <w:rFonts w:cs="Arial"/>
          <w:lang w:val="es-MX"/>
        </w:rPr>
      </w:pPr>
      <w:r w:rsidRPr="00241FAC">
        <w:rPr>
          <w:rFonts w:cs="Arial"/>
          <w:b/>
          <w:lang w:val="es-MX"/>
        </w:rPr>
        <w:t>i)</w:t>
      </w:r>
      <w:r w:rsidRPr="00241FAC">
        <w:rPr>
          <w:rFonts w:cs="Arial"/>
          <w:lang w:val="es-MX"/>
        </w:rPr>
        <w:t xml:space="preserve"> </w:t>
      </w:r>
      <w:r w:rsidR="00B07467" w:rsidRPr="00241FAC">
        <w:rPr>
          <w:rFonts w:cs="Arial"/>
          <w:lang w:val="es-MX"/>
        </w:rPr>
        <w:t>N</w:t>
      </w:r>
      <w:r w:rsidR="008A0FC6" w:rsidRPr="00241FAC">
        <w:rPr>
          <w:rFonts w:cs="Arial"/>
          <w:lang w:val="es-MX"/>
        </w:rPr>
        <w:t xml:space="preserve">ivel 5, </w:t>
      </w:r>
      <w:r w:rsidRPr="00241FAC">
        <w:rPr>
          <w:rFonts w:cs="Arial"/>
          <w:lang w:val="es-MX"/>
        </w:rPr>
        <w:t>experiencia del personal</w:t>
      </w:r>
      <w:r w:rsidR="00B07467" w:rsidRPr="00241FAC">
        <w:rPr>
          <w:rFonts w:cs="Arial"/>
          <w:lang w:val="es-MX"/>
        </w:rPr>
        <w:t xml:space="preserve">. En este factor </w:t>
      </w:r>
      <w:r w:rsidR="005B3C70" w:rsidRPr="00241FAC">
        <w:rPr>
          <w:rFonts w:cs="Arial"/>
          <w:lang w:val="es-MX"/>
        </w:rPr>
        <w:t xml:space="preserve">la propuesta de la Unión Temporal </w:t>
      </w:r>
      <w:proofErr w:type="spellStart"/>
      <w:r w:rsidR="005B3C70" w:rsidRPr="00241FAC">
        <w:rPr>
          <w:rFonts w:cs="Arial"/>
          <w:lang w:val="es-MX"/>
        </w:rPr>
        <w:t>Construobras</w:t>
      </w:r>
      <w:proofErr w:type="spellEnd"/>
      <w:r w:rsidR="005B3C70" w:rsidRPr="00241FAC">
        <w:rPr>
          <w:rFonts w:cs="Arial"/>
          <w:lang w:val="es-MX"/>
        </w:rPr>
        <w:t xml:space="preserve"> recibió </w:t>
      </w:r>
      <w:r w:rsidR="003E66EA" w:rsidRPr="00241FAC">
        <w:rPr>
          <w:rFonts w:cs="Arial"/>
          <w:lang w:val="es-MX"/>
        </w:rPr>
        <w:t>5</w:t>
      </w:r>
      <w:r w:rsidR="005B3C70" w:rsidRPr="00241FAC">
        <w:rPr>
          <w:rFonts w:cs="Arial"/>
          <w:lang w:val="es-MX"/>
        </w:rPr>
        <w:t>4 puntos</w:t>
      </w:r>
      <w:r w:rsidR="007A1E98" w:rsidRPr="00241FAC">
        <w:rPr>
          <w:rFonts w:cs="Arial"/>
          <w:lang w:val="es-MX"/>
        </w:rPr>
        <w:t xml:space="preserve">, cuando </w:t>
      </w:r>
      <w:r w:rsidR="005B3C70" w:rsidRPr="00241FAC">
        <w:rPr>
          <w:rFonts w:cs="Arial"/>
          <w:lang w:val="es-MX"/>
        </w:rPr>
        <w:t xml:space="preserve">lo correcto </w:t>
      </w:r>
      <w:r w:rsidR="007A1E98" w:rsidRPr="00241FAC">
        <w:rPr>
          <w:rFonts w:cs="Arial"/>
          <w:lang w:val="es-MX"/>
        </w:rPr>
        <w:t xml:space="preserve">era </w:t>
      </w:r>
      <w:r w:rsidR="003E66EA" w:rsidRPr="00241FAC">
        <w:rPr>
          <w:rFonts w:cs="Arial"/>
          <w:lang w:val="es-MX"/>
        </w:rPr>
        <w:t>84</w:t>
      </w:r>
      <w:r w:rsidR="005B3C70" w:rsidRPr="00241FAC">
        <w:rPr>
          <w:rFonts w:cs="Arial"/>
          <w:lang w:val="es-MX"/>
        </w:rPr>
        <w:t xml:space="preserve"> puntos</w:t>
      </w:r>
      <w:r w:rsidR="003E66EA" w:rsidRPr="00241FAC">
        <w:rPr>
          <w:rFonts w:cs="Arial"/>
          <w:lang w:val="es-MX"/>
        </w:rPr>
        <w:t>, de acuerdo con los documentos aportados y la fórmula reseñada</w:t>
      </w:r>
      <w:r w:rsidR="005B3C70" w:rsidRPr="00241FAC">
        <w:rPr>
          <w:rFonts w:cs="Arial"/>
          <w:lang w:val="es-MX"/>
        </w:rPr>
        <w:t>;</w:t>
      </w:r>
      <w:r w:rsidRPr="00241FAC">
        <w:rPr>
          <w:rFonts w:cs="Arial"/>
          <w:lang w:val="es-MX"/>
        </w:rPr>
        <w:t xml:space="preserve"> </w:t>
      </w:r>
    </w:p>
    <w:p w:rsidR="003E66EA" w:rsidRPr="00241FAC" w:rsidRDefault="003E66EA" w:rsidP="0090169C">
      <w:pPr>
        <w:pStyle w:val="Lista2"/>
        <w:ind w:left="0" w:firstLine="0"/>
        <w:rPr>
          <w:rFonts w:cs="Arial"/>
          <w:b/>
          <w:lang w:val="es-MX"/>
        </w:rPr>
      </w:pPr>
    </w:p>
    <w:p w:rsidR="002E52D3" w:rsidRPr="00241FAC" w:rsidRDefault="004918D7" w:rsidP="0090169C">
      <w:pPr>
        <w:pStyle w:val="Lista2"/>
        <w:ind w:left="0" w:firstLine="0"/>
        <w:rPr>
          <w:rFonts w:cs="Arial"/>
          <w:lang w:val="es-MX"/>
        </w:rPr>
      </w:pPr>
      <w:r w:rsidRPr="00241FAC">
        <w:rPr>
          <w:rFonts w:cs="Arial"/>
          <w:b/>
          <w:lang w:val="es-MX"/>
        </w:rPr>
        <w:t>ii)</w:t>
      </w:r>
      <w:r w:rsidRPr="00241FAC">
        <w:rPr>
          <w:rFonts w:cs="Arial"/>
          <w:lang w:val="es-MX"/>
        </w:rPr>
        <w:t xml:space="preserve"> </w:t>
      </w:r>
      <w:r w:rsidR="003E66EA" w:rsidRPr="00241FAC">
        <w:rPr>
          <w:rFonts w:cs="Arial"/>
          <w:lang w:val="es-MX"/>
        </w:rPr>
        <w:t>N</w:t>
      </w:r>
      <w:r w:rsidR="009D14E8" w:rsidRPr="00241FAC">
        <w:rPr>
          <w:rFonts w:cs="Arial"/>
          <w:lang w:val="es-MX"/>
        </w:rPr>
        <w:t xml:space="preserve">ivel 2, </w:t>
      </w:r>
      <w:r w:rsidRPr="00241FAC">
        <w:rPr>
          <w:rFonts w:cs="Arial"/>
          <w:lang w:val="es-MX"/>
        </w:rPr>
        <w:t>programación de obra</w:t>
      </w:r>
      <w:r w:rsidR="00903784" w:rsidRPr="00241FAC">
        <w:rPr>
          <w:rFonts w:cs="Arial"/>
          <w:lang w:val="es-MX"/>
        </w:rPr>
        <w:t>.</w:t>
      </w:r>
      <w:r w:rsidR="003E66EA" w:rsidRPr="00241FAC">
        <w:rPr>
          <w:rFonts w:cs="Arial"/>
          <w:lang w:val="es-MX"/>
        </w:rPr>
        <w:t xml:space="preserve"> En éste ítem </w:t>
      </w:r>
      <w:r w:rsidR="005B3C70" w:rsidRPr="00241FAC">
        <w:rPr>
          <w:rFonts w:cs="Arial"/>
          <w:lang w:val="es-MX"/>
        </w:rPr>
        <w:t xml:space="preserve">se </w:t>
      </w:r>
      <w:r w:rsidR="003E66EA" w:rsidRPr="00241FAC">
        <w:rPr>
          <w:rFonts w:cs="Arial"/>
          <w:lang w:val="es-MX"/>
        </w:rPr>
        <w:t xml:space="preserve">le </w:t>
      </w:r>
      <w:r w:rsidR="00882136" w:rsidRPr="00241FAC">
        <w:rPr>
          <w:rFonts w:cs="Arial"/>
          <w:lang w:val="es-MX"/>
        </w:rPr>
        <w:t>asign</w:t>
      </w:r>
      <w:r w:rsidR="00BF1F0C" w:rsidRPr="00241FAC">
        <w:rPr>
          <w:rFonts w:cs="Arial"/>
          <w:lang w:val="es-MX"/>
        </w:rPr>
        <w:t>aron</w:t>
      </w:r>
      <w:r w:rsidR="00882136" w:rsidRPr="00241FAC">
        <w:rPr>
          <w:rFonts w:cs="Arial"/>
          <w:lang w:val="es-MX"/>
        </w:rPr>
        <w:t xml:space="preserve"> </w:t>
      </w:r>
      <w:r w:rsidR="00084000" w:rsidRPr="00241FAC">
        <w:rPr>
          <w:rFonts w:cs="Arial"/>
          <w:lang w:val="es-MX"/>
        </w:rPr>
        <w:t>230</w:t>
      </w:r>
      <w:r w:rsidR="00882136" w:rsidRPr="00241FAC">
        <w:rPr>
          <w:rFonts w:cs="Arial"/>
          <w:lang w:val="es-MX"/>
        </w:rPr>
        <w:t xml:space="preserve"> puntos </w:t>
      </w:r>
      <w:r w:rsidR="005B3C70" w:rsidRPr="00241FAC">
        <w:rPr>
          <w:rFonts w:cs="Arial"/>
          <w:lang w:val="es-MX"/>
        </w:rPr>
        <w:t>al Consorc</w:t>
      </w:r>
      <w:r w:rsidR="00882136" w:rsidRPr="00241FAC">
        <w:rPr>
          <w:rFonts w:cs="Arial"/>
          <w:lang w:val="es-MX"/>
        </w:rPr>
        <w:t>i</w:t>
      </w:r>
      <w:r w:rsidR="005B3C70" w:rsidRPr="00241FAC">
        <w:rPr>
          <w:rFonts w:cs="Arial"/>
          <w:lang w:val="es-MX"/>
        </w:rPr>
        <w:t>o Luis E. Gómez y otro</w:t>
      </w:r>
      <w:r w:rsidR="00882136" w:rsidRPr="00241FAC">
        <w:rPr>
          <w:rFonts w:cs="Arial"/>
          <w:lang w:val="es-MX"/>
        </w:rPr>
        <w:t xml:space="preserve">, cuando ha debido ser de </w:t>
      </w:r>
      <w:r w:rsidR="003E66EA" w:rsidRPr="00241FAC">
        <w:rPr>
          <w:rFonts w:cs="Arial"/>
          <w:lang w:val="es-MX"/>
        </w:rPr>
        <w:t xml:space="preserve">solamente </w:t>
      </w:r>
      <w:r w:rsidR="00084000" w:rsidRPr="00241FAC">
        <w:rPr>
          <w:rFonts w:cs="Arial"/>
          <w:lang w:val="es-MX"/>
        </w:rPr>
        <w:t>120</w:t>
      </w:r>
      <w:r w:rsidR="00882136" w:rsidRPr="00241FAC">
        <w:rPr>
          <w:rFonts w:cs="Arial"/>
          <w:lang w:val="es-MX"/>
        </w:rPr>
        <w:t xml:space="preserve"> puntos, p</w:t>
      </w:r>
      <w:r w:rsidR="003E66EA" w:rsidRPr="00241FAC">
        <w:rPr>
          <w:rFonts w:cs="Arial"/>
          <w:lang w:val="es-MX"/>
        </w:rPr>
        <w:t xml:space="preserve">uesto que </w:t>
      </w:r>
      <w:r w:rsidR="00882136" w:rsidRPr="00241FAC">
        <w:rPr>
          <w:rFonts w:cs="Arial"/>
          <w:lang w:val="es-MX"/>
        </w:rPr>
        <w:t xml:space="preserve">en </w:t>
      </w:r>
      <w:r w:rsidR="00084000" w:rsidRPr="00241FAC">
        <w:rPr>
          <w:rFonts w:cs="Arial"/>
          <w:lang w:val="es-MX"/>
        </w:rPr>
        <w:t xml:space="preserve">la </w:t>
      </w:r>
      <w:r w:rsidR="00882136" w:rsidRPr="00241FAC">
        <w:rPr>
          <w:rFonts w:cs="Arial"/>
          <w:lang w:val="es-MX"/>
        </w:rPr>
        <w:t xml:space="preserve">propuesta </w:t>
      </w:r>
      <w:r w:rsidR="003E66EA" w:rsidRPr="00241FAC">
        <w:rPr>
          <w:rFonts w:cs="Arial"/>
          <w:lang w:val="es-MX"/>
        </w:rPr>
        <w:t xml:space="preserve">del citado Consorcio </w:t>
      </w:r>
      <w:r w:rsidR="00882136" w:rsidRPr="00241FAC">
        <w:rPr>
          <w:rFonts w:cs="Arial"/>
          <w:lang w:val="es-MX"/>
        </w:rPr>
        <w:t xml:space="preserve">no </w:t>
      </w:r>
      <w:r w:rsidR="00084000" w:rsidRPr="00241FAC">
        <w:rPr>
          <w:rFonts w:cs="Arial"/>
          <w:lang w:val="es-MX"/>
        </w:rPr>
        <w:t xml:space="preserve">se </w:t>
      </w:r>
      <w:r w:rsidR="00882136" w:rsidRPr="00241FAC">
        <w:rPr>
          <w:rFonts w:cs="Arial"/>
          <w:lang w:val="es-MX"/>
        </w:rPr>
        <w:t xml:space="preserve">indicó en ninguna barra del </w:t>
      </w:r>
      <w:r w:rsidR="00882136" w:rsidRPr="00241FAC">
        <w:rPr>
          <w:rFonts w:cs="Arial"/>
          <w:i/>
          <w:lang w:val="es-MX"/>
        </w:rPr>
        <w:t>Diagrama de G</w:t>
      </w:r>
      <w:r w:rsidR="00C66FE0" w:rsidRPr="00241FAC">
        <w:rPr>
          <w:rFonts w:cs="Arial"/>
          <w:i/>
          <w:lang w:val="es-MX"/>
        </w:rPr>
        <w:t>antt</w:t>
      </w:r>
      <w:r w:rsidR="00882136" w:rsidRPr="00241FAC">
        <w:rPr>
          <w:rFonts w:cs="Arial"/>
          <w:lang w:val="es-MX"/>
        </w:rPr>
        <w:t xml:space="preserve"> </w:t>
      </w:r>
      <w:r w:rsidR="00E84152" w:rsidRPr="00241FAC">
        <w:rPr>
          <w:rFonts w:cs="Arial"/>
          <w:lang w:val="es-MX"/>
        </w:rPr>
        <w:t>el</w:t>
      </w:r>
      <w:r w:rsidR="00882136" w:rsidRPr="00241FAC">
        <w:rPr>
          <w:rFonts w:cs="Arial"/>
          <w:lang w:val="es-MX"/>
        </w:rPr>
        <w:t xml:space="preserve"> porcentajes de ejecuci</w:t>
      </w:r>
      <w:r w:rsidR="00084000" w:rsidRPr="00241FAC">
        <w:rPr>
          <w:rFonts w:cs="Arial"/>
          <w:lang w:val="es-MX"/>
        </w:rPr>
        <w:t xml:space="preserve">ón de obra en cada actividad; </w:t>
      </w:r>
    </w:p>
    <w:p w:rsidR="00903784" w:rsidRPr="00241FAC" w:rsidRDefault="00903784" w:rsidP="0090169C">
      <w:pPr>
        <w:pStyle w:val="Lista2"/>
        <w:ind w:left="0" w:firstLine="0"/>
        <w:rPr>
          <w:rFonts w:cs="Arial"/>
          <w:lang w:val="es-MX"/>
        </w:rPr>
      </w:pPr>
    </w:p>
    <w:p w:rsidR="002E52D3" w:rsidRPr="00241FAC" w:rsidRDefault="004918D7" w:rsidP="0090169C">
      <w:pPr>
        <w:pStyle w:val="Lista2"/>
        <w:ind w:left="0" w:firstLine="0"/>
        <w:rPr>
          <w:rFonts w:cs="Arial"/>
          <w:lang w:val="es-MX"/>
        </w:rPr>
      </w:pPr>
      <w:r w:rsidRPr="00241FAC">
        <w:rPr>
          <w:rFonts w:cs="Arial"/>
          <w:b/>
          <w:lang w:val="es-MX"/>
        </w:rPr>
        <w:t>iii)</w:t>
      </w:r>
      <w:r w:rsidRPr="00241FAC">
        <w:rPr>
          <w:rFonts w:cs="Arial"/>
          <w:lang w:val="es-MX"/>
        </w:rPr>
        <w:t xml:space="preserve"> </w:t>
      </w:r>
      <w:r w:rsidR="002E52D3" w:rsidRPr="00241FAC">
        <w:rPr>
          <w:rFonts w:cs="Arial"/>
          <w:lang w:val="es-MX"/>
        </w:rPr>
        <w:t>N</w:t>
      </w:r>
      <w:r w:rsidR="008A0FC6" w:rsidRPr="00241FAC">
        <w:rPr>
          <w:rFonts w:cs="Arial"/>
          <w:lang w:val="es-MX"/>
        </w:rPr>
        <w:t xml:space="preserve">ivel 3, </w:t>
      </w:r>
      <w:r w:rsidR="009D14E8" w:rsidRPr="00241FAC">
        <w:rPr>
          <w:rFonts w:cs="Arial"/>
          <w:lang w:val="es-MX"/>
        </w:rPr>
        <w:t>flujo de desembolso</w:t>
      </w:r>
      <w:r w:rsidR="002E52D3" w:rsidRPr="00241FAC">
        <w:rPr>
          <w:rFonts w:cs="Arial"/>
          <w:lang w:val="es-MX"/>
        </w:rPr>
        <w:t xml:space="preserve">. En este ítem </w:t>
      </w:r>
      <w:r w:rsidR="00084000" w:rsidRPr="00241FAC">
        <w:rPr>
          <w:rFonts w:cs="Arial"/>
          <w:lang w:val="es-MX"/>
        </w:rPr>
        <w:t>se asignó un</w:t>
      </w:r>
      <w:r w:rsidR="00E84152" w:rsidRPr="00241FAC">
        <w:rPr>
          <w:rFonts w:cs="Arial"/>
          <w:lang w:val="es-MX"/>
        </w:rPr>
        <w:t>a calificación</w:t>
      </w:r>
      <w:r w:rsidR="00084000" w:rsidRPr="00241FAC">
        <w:rPr>
          <w:rFonts w:cs="Arial"/>
          <w:lang w:val="es-MX"/>
        </w:rPr>
        <w:t xml:space="preserve"> de 50 puntos al Consorcio Luis E. Gómez y otro, cuando ha debido ser </w:t>
      </w:r>
      <w:r w:rsidR="002E52D3" w:rsidRPr="00241FAC">
        <w:rPr>
          <w:rFonts w:cs="Arial"/>
          <w:lang w:val="es-MX"/>
        </w:rPr>
        <w:t xml:space="preserve">sólo </w:t>
      </w:r>
      <w:r w:rsidR="00084000" w:rsidRPr="00241FAC">
        <w:rPr>
          <w:rFonts w:cs="Arial"/>
          <w:lang w:val="es-MX"/>
        </w:rPr>
        <w:t xml:space="preserve">de </w:t>
      </w:r>
      <w:r w:rsidR="001128E0" w:rsidRPr="00241FAC">
        <w:rPr>
          <w:rFonts w:cs="Arial"/>
          <w:lang w:val="es-MX"/>
        </w:rPr>
        <w:t>28,4</w:t>
      </w:r>
      <w:r w:rsidR="00084000" w:rsidRPr="00241FAC">
        <w:rPr>
          <w:rFonts w:cs="Arial"/>
          <w:lang w:val="es-MX"/>
        </w:rPr>
        <w:t xml:space="preserve"> puntos</w:t>
      </w:r>
      <w:r w:rsidR="001128E0" w:rsidRPr="00241FAC">
        <w:rPr>
          <w:rFonts w:cs="Arial"/>
          <w:lang w:val="es-MX"/>
        </w:rPr>
        <w:t xml:space="preserve">, </w:t>
      </w:r>
      <w:r w:rsidR="00903784" w:rsidRPr="00241FAC">
        <w:rPr>
          <w:rFonts w:cs="Arial"/>
          <w:lang w:val="es-MX"/>
        </w:rPr>
        <w:t xml:space="preserve">teniendo en cuenta </w:t>
      </w:r>
      <w:r w:rsidR="001128E0" w:rsidRPr="00241FAC">
        <w:rPr>
          <w:rFonts w:cs="Arial"/>
          <w:lang w:val="es-MX"/>
        </w:rPr>
        <w:t xml:space="preserve">las correcciones del </w:t>
      </w:r>
      <w:r w:rsidR="00C66FE0" w:rsidRPr="00241FAC">
        <w:rPr>
          <w:rFonts w:cs="Arial"/>
          <w:i/>
          <w:lang w:val="es-MX"/>
        </w:rPr>
        <w:t>D</w:t>
      </w:r>
      <w:r w:rsidR="001128E0" w:rsidRPr="00241FAC">
        <w:rPr>
          <w:rFonts w:cs="Arial"/>
          <w:i/>
          <w:lang w:val="es-MX"/>
        </w:rPr>
        <w:t>iagrama de G</w:t>
      </w:r>
      <w:r w:rsidR="00C66FE0" w:rsidRPr="00241FAC">
        <w:rPr>
          <w:rFonts w:cs="Arial"/>
          <w:i/>
          <w:lang w:val="es-MX"/>
        </w:rPr>
        <w:t>antt</w:t>
      </w:r>
      <w:r w:rsidR="001128E0" w:rsidRPr="00241FAC">
        <w:rPr>
          <w:rFonts w:cs="Arial"/>
          <w:lang w:val="es-MX"/>
        </w:rPr>
        <w:t xml:space="preserve"> que fueron expuestas por la Unión Temporal </w:t>
      </w:r>
      <w:proofErr w:type="spellStart"/>
      <w:r w:rsidR="001128E0" w:rsidRPr="00241FAC">
        <w:rPr>
          <w:rFonts w:cs="Arial"/>
          <w:lang w:val="es-MX"/>
        </w:rPr>
        <w:t>Construobras</w:t>
      </w:r>
      <w:proofErr w:type="spellEnd"/>
      <w:r w:rsidR="008A0FC6" w:rsidRPr="00241FAC">
        <w:rPr>
          <w:rFonts w:cs="Arial"/>
          <w:lang w:val="es-MX"/>
        </w:rPr>
        <w:t>;</w:t>
      </w:r>
      <w:r w:rsidR="009D14E8" w:rsidRPr="00241FAC">
        <w:rPr>
          <w:rFonts w:cs="Arial"/>
          <w:lang w:val="es-MX"/>
        </w:rPr>
        <w:t xml:space="preserve"> </w:t>
      </w:r>
    </w:p>
    <w:p w:rsidR="002E52D3" w:rsidRPr="00241FAC" w:rsidRDefault="002E52D3" w:rsidP="0090169C">
      <w:pPr>
        <w:pStyle w:val="Lista2"/>
        <w:ind w:left="0" w:firstLine="0"/>
        <w:rPr>
          <w:rFonts w:cs="Arial"/>
          <w:lang w:val="es-MX"/>
        </w:rPr>
      </w:pPr>
    </w:p>
    <w:p w:rsidR="00D81EFA" w:rsidRPr="00241FAC" w:rsidRDefault="009D14E8" w:rsidP="0090169C">
      <w:pPr>
        <w:pStyle w:val="Lista2"/>
        <w:ind w:left="0" w:firstLine="0"/>
        <w:rPr>
          <w:rFonts w:cs="Arial"/>
          <w:lang w:val="es-MX"/>
        </w:rPr>
      </w:pPr>
      <w:r w:rsidRPr="00241FAC">
        <w:rPr>
          <w:rFonts w:cs="Arial"/>
          <w:b/>
          <w:lang w:val="es-MX"/>
        </w:rPr>
        <w:t>iv)</w:t>
      </w:r>
      <w:r w:rsidRPr="00241FAC">
        <w:rPr>
          <w:rFonts w:cs="Arial"/>
          <w:lang w:val="es-MX"/>
        </w:rPr>
        <w:t xml:space="preserve"> </w:t>
      </w:r>
      <w:r w:rsidR="00903784" w:rsidRPr="00241FAC">
        <w:rPr>
          <w:rFonts w:cs="Arial"/>
          <w:lang w:val="es-MX"/>
        </w:rPr>
        <w:t>N</w:t>
      </w:r>
      <w:r w:rsidR="008A0FC6" w:rsidRPr="00241FAC">
        <w:rPr>
          <w:rFonts w:cs="Arial"/>
          <w:lang w:val="es-MX"/>
        </w:rPr>
        <w:t xml:space="preserve">ivel 7, </w:t>
      </w:r>
      <w:r w:rsidRPr="00241FAC">
        <w:rPr>
          <w:rFonts w:cs="Arial"/>
          <w:lang w:val="es-MX"/>
        </w:rPr>
        <w:t>capacidad financiera</w:t>
      </w:r>
      <w:r w:rsidR="002E52D3" w:rsidRPr="00241FAC">
        <w:rPr>
          <w:rFonts w:cs="Arial"/>
          <w:lang w:val="es-MX"/>
        </w:rPr>
        <w:t xml:space="preserve">. En este factor </w:t>
      </w:r>
      <w:r w:rsidR="001128E0" w:rsidRPr="00241FAC">
        <w:rPr>
          <w:rFonts w:cs="Arial"/>
          <w:lang w:val="es-MX"/>
        </w:rPr>
        <w:t xml:space="preserve">la Unión Temporal </w:t>
      </w:r>
      <w:proofErr w:type="spellStart"/>
      <w:r w:rsidR="001128E0" w:rsidRPr="00241FAC">
        <w:rPr>
          <w:rFonts w:cs="Arial"/>
          <w:lang w:val="es-MX"/>
        </w:rPr>
        <w:t>Constr</w:t>
      </w:r>
      <w:r w:rsidR="005B1882" w:rsidRPr="00241FAC">
        <w:rPr>
          <w:rFonts w:cs="Arial"/>
          <w:lang w:val="es-MX"/>
        </w:rPr>
        <w:t>u</w:t>
      </w:r>
      <w:r w:rsidR="001128E0" w:rsidRPr="00241FAC">
        <w:rPr>
          <w:rFonts w:cs="Arial"/>
          <w:lang w:val="es-MX"/>
        </w:rPr>
        <w:t>obras</w:t>
      </w:r>
      <w:proofErr w:type="spellEnd"/>
      <w:r w:rsidR="001128E0" w:rsidRPr="00241FAC">
        <w:rPr>
          <w:rFonts w:cs="Arial"/>
          <w:lang w:val="es-MX"/>
        </w:rPr>
        <w:t xml:space="preserve"> no obtuvo puntaje debido a que </w:t>
      </w:r>
      <w:r w:rsidR="005B1882" w:rsidRPr="00241FAC">
        <w:rPr>
          <w:rFonts w:cs="Arial"/>
          <w:lang w:val="es-MX"/>
        </w:rPr>
        <w:t>el Comit</w:t>
      </w:r>
      <w:r w:rsidR="00A00FDA" w:rsidRPr="00241FAC">
        <w:rPr>
          <w:rFonts w:cs="Arial"/>
          <w:lang w:val="es-MX"/>
        </w:rPr>
        <w:t>é</w:t>
      </w:r>
      <w:r w:rsidR="005B1882" w:rsidRPr="00241FAC">
        <w:rPr>
          <w:rFonts w:cs="Arial"/>
          <w:lang w:val="es-MX"/>
        </w:rPr>
        <w:t xml:space="preserve"> </w:t>
      </w:r>
      <w:r w:rsidR="00A00FDA" w:rsidRPr="00241FAC">
        <w:rPr>
          <w:rFonts w:cs="Arial"/>
          <w:lang w:val="es-MX"/>
        </w:rPr>
        <w:t xml:space="preserve">Evaluador hizo constar </w:t>
      </w:r>
      <w:r w:rsidR="00C66FE0" w:rsidRPr="00241FAC">
        <w:rPr>
          <w:rFonts w:cs="Arial"/>
          <w:lang w:val="es-MX"/>
        </w:rPr>
        <w:t xml:space="preserve">una </w:t>
      </w:r>
      <w:r w:rsidR="00A00FDA" w:rsidRPr="00241FAC">
        <w:rPr>
          <w:rFonts w:cs="Arial"/>
          <w:i/>
          <w:lang w:val="es-MX"/>
        </w:rPr>
        <w:t>“i</w:t>
      </w:r>
      <w:r w:rsidR="005B1882" w:rsidRPr="00241FAC">
        <w:rPr>
          <w:rFonts w:cs="Arial"/>
          <w:i/>
          <w:lang w:val="es-MX"/>
        </w:rPr>
        <w:t>nconsi</w:t>
      </w:r>
      <w:r w:rsidR="003527DF" w:rsidRPr="00241FAC">
        <w:rPr>
          <w:rFonts w:cs="Arial"/>
          <w:i/>
          <w:lang w:val="es-MX"/>
        </w:rPr>
        <w:t>s</w:t>
      </w:r>
      <w:r w:rsidR="005B1882" w:rsidRPr="00241FAC">
        <w:rPr>
          <w:rFonts w:cs="Arial"/>
          <w:i/>
          <w:lang w:val="es-MX"/>
        </w:rPr>
        <w:t>tencia</w:t>
      </w:r>
      <w:r w:rsidR="00A00FDA" w:rsidRPr="00241FAC">
        <w:rPr>
          <w:rFonts w:cs="Arial"/>
          <w:i/>
          <w:lang w:val="es-MX"/>
        </w:rPr>
        <w:t xml:space="preserve"> (diferencia)”</w:t>
      </w:r>
      <w:r w:rsidR="00A00FDA" w:rsidRPr="00241FAC">
        <w:rPr>
          <w:rFonts w:cs="Arial"/>
          <w:lang w:val="es-MX"/>
        </w:rPr>
        <w:t xml:space="preserve"> </w:t>
      </w:r>
      <w:r w:rsidR="005B1882" w:rsidRPr="00241FAC">
        <w:rPr>
          <w:rFonts w:cs="Arial"/>
          <w:lang w:val="es-MX"/>
        </w:rPr>
        <w:t xml:space="preserve">entre los valores de la </w:t>
      </w:r>
      <w:r w:rsidR="002E52D3" w:rsidRPr="00241FAC">
        <w:rPr>
          <w:rFonts w:cs="Arial"/>
          <w:lang w:val="es-MX"/>
        </w:rPr>
        <w:t>D</w:t>
      </w:r>
      <w:r w:rsidR="005B1882" w:rsidRPr="00241FAC">
        <w:rPr>
          <w:rFonts w:cs="Arial"/>
          <w:lang w:val="es-MX"/>
        </w:rPr>
        <w:t xml:space="preserve">eclaración de </w:t>
      </w:r>
      <w:r w:rsidR="002E52D3" w:rsidRPr="00241FAC">
        <w:rPr>
          <w:rFonts w:cs="Arial"/>
          <w:lang w:val="es-MX"/>
        </w:rPr>
        <w:t>R</w:t>
      </w:r>
      <w:r w:rsidR="005B1882" w:rsidRPr="00241FAC">
        <w:rPr>
          <w:rFonts w:cs="Arial"/>
          <w:lang w:val="es-MX"/>
        </w:rPr>
        <w:t xml:space="preserve">enta y el Balance General a 31 de diciembre de 1999, </w:t>
      </w:r>
      <w:r w:rsidR="002E52D3" w:rsidRPr="00241FAC">
        <w:rPr>
          <w:rFonts w:cs="Arial"/>
          <w:lang w:val="es-MX"/>
        </w:rPr>
        <w:t xml:space="preserve">presentados por </w:t>
      </w:r>
      <w:r w:rsidR="00B46D5B" w:rsidRPr="00241FAC">
        <w:rPr>
          <w:rFonts w:cs="Arial"/>
          <w:lang w:val="es-MX"/>
        </w:rPr>
        <w:t xml:space="preserve">la sociedad </w:t>
      </w:r>
      <w:proofErr w:type="spellStart"/>
      <w:r w:rsidR="00B46D5B" w:rsidRPr="00241FAC">
        <w:rPr>
          <w:rFonts w:cs="Arial"/>
          <w:lang w:val="es-MX"/>
        </w:rPr>
        <w:t>Insetel</w:t>
      </w:r>
      <w:proofErr w:type="spellEnd"/>
      <w:r w:rsidR="00B46D5B" w:rsidRPr="00241FAC">
        <w:rPr>
          <w:rFonts w:cs="Arial"/>
          <w:lang w:val="es-MX"/>
        </w:rPr>
        <w:t xml:space="preserve"> Ltda., integrante de la Unión Temporal </w:t>
      </w:r>
      <w:proofErr w:type="spellStart"/>
      <w:r w:rsidR="00B46D5B" w:rsidRPr="00241FAC">
        <w:rPr>
          <w:rFonts w:cs="Arial"/>
          <w:lang w:val="es-MX"/>
        </w:rPr>
        <w:t>Co</w:t>
      </w:r>
      <w:r w:rsidR="007A33E0" w:rsidRPr="00241FAC">
        <w:rPr>
          <w:rFonts w:cs="Arial"/>
          <w:lang w:val="es-MX"/>
        </w:rPr>
        <w:t>n</w:t>
      </w:r>
      <w:r w:rsidR="00B46D5B" w:rsidRPr="00241FAC">
        <w:rPr>
          <w:rFonts w:cs="Arial"/>
          <w:lang w:val="es-MX"/>
        </w:rPr>
        <w:t>struobras</w:t>
      </w:r>
      <w:proofErr w:type="spellEnd"/>
      <w:r w:rsidR="00B46D5B" w:rsidRPr="00241FAC">
        <w:rPr>
          <w:rFonts w:cs="Arial"/>
          <w:lang w:val="es-MX"/>
        </w:rPr>
        <w:t xml:space="preserve">, </w:t>
      </w:r>
      <w:r w:rsidR="004F3CAB" w:rsidRPr="00241FAC">
        <w:rPr>
          <w:rFonts w:cs="Arial"/>
          <w:lang w:val="es-MX"/>
        </w:rPr>
        <w:t>no obstante lo cual</w:t>
      </w:r>
      <w:r w:rsidR="00B46D5B" w:rsidRPr="00241FAC">
        <w:rPr>
          <w:rFonts w:cs="Arial"/>
          <w:lang w:val="es-MX"/>
        </w:rPr>
        <w:t>, según narr</w:t>
      </w:r>
      <w:r w:rsidR="00E84152" w:rsidRPr="00241FAC">
        <w:rPr>
          <w:rFonts w:cs="Arial"/>
          <w:lang w:val="es-MX"/>
        </w:rPr>
        <w:t>ó</w:t>
      </w:r>
      <w:r w:rsidR="00B46D5B" w:rsidRPr="00241FAC">
        <w:rPr>
          <w:rFonts w:cs="Arial"/>
          <w:lang w:val="es-MX"/>
        </w:rPr>
        <w:t xml:space="preserve"> la parte actora, </w:t>
      </w:r>
      <w:r w:rsidR="00A34598" w:rsidRPr="00241FAC">
        <w:rPr>
          <w:rFonts w:cs="Arial"/>
          <w:lang w:val="es-MX"/>
        </w:rPr>
        <w:t xml:space="preserve">el Municipio </w:t>
      </w:r>
      <w:r w:rsidR="005B1882" w:rsidRPr="00241FAC">
        <w:rPr>
          <w:rFonts w:cs="Arial"/>
          <w:lang w:val="es-MX"/>
        </w:rPr>
        <w:t xml:space="preserve">no explicó en </w:t>
      </w:r>
      <w:r w:rsidR="00E84152" w:rsidRPr="00241FAC">
        <w:rPr>
          <w:rFonts w:cs="Arial"/>
          <w:lang w:val="es-MX"/>
        </w:rPr>
        <w:t>m</w:t>
      </w:r>
      <w:r w:rsidR="005B1882" w:rsidRPr="00241FAC">
        <w:rPr>
          <w:rFonts w:cs="Arial"/>
          <w:lang w:val="es-MX"/>
        </w:rPr>
        <w:t xml:space="preserve">omento </w:t>
      </w:r>
      <w:r w:rsidR="00E84152" w:rsidRPr="00241FAC">
        <w:rPr>
          <w:rFonts w:cs="Arial"/>
          <w:lang w:val="es-MX"/>
        </w:rPr>
        <w:t>alguno en qué</w:t>
      </w:r>
      <w:r w:rsidR="005B1882" w:rsidRPr="00241FAC">
        <w:rPr>
          <w:rFonts w:cs="Arial"/>
          <w:lang w:val="es-MX"/>
        </w:rPr>
        <w:t xml:space="preserve"> cons</w:t>
      </w:r>
      <w:r w:rsidR="00A00FDA" w:rsidRPr="00241FAC">
        <w:rPr>
          <w:rFonts w:cs="Arial"/>
          <w:lang w:val="es-MX"/>
        </w:rPr>
        <w:t>istieron la</w:t>
      </w:r>
      <w:r w:rsidR="003D2359" w:rsidRPr="00241FAC">
        <w:rPr>
          <w:rFonts w:cs="Arial"/>
          <w:lang w:val="es-MX"/>
        </w:rPr>
        <w:t>s</w:t>
      </w:r>
      <w:r w:rsidR="00A00FDA" w:rsidRPr="00241FAC">
        <w:rPr>
          <w:rFonts w:cs="Arial"/>
          <w:lang w:val="es-MX"/>
        </w:rPr>
        <w:t xml:space="preserve"> supuestas </w:t>
      </w:r>
      <w:r w:rsidR="005B1882" w:rsidRPr="00241FAC">
        <w:rPr>
          <w:rFonts w:cs="Arial"/>
          <w:lang w:val="es-MX"/>
        </w:rPr>
        <w:t>inconsistencias</w:t>
      </w:r>
      <w:r w:rsidR="00A00FDA" w:rsidRPr="00241FAC">
        <w:rPr>
          <w:rFonts w:cs="Arial"/>
          <w:lang w:val="es-MX"/>
        </w:rPr>
        <w:t xml:space="preserve"> </w:t>
      </w:r>
      <w:r w:rsidR="00AC45B0" w:rsidRPr="00241FAC">
        <w:rPr>
          <w:rFonts w:cs="Arial"/>
          <w:lang w:val="es-MX"/>
        </w:rPr>
        <w:t>ni</w:t>
      </w:r>
      <w:r w:rsidR="00A00FDA" w:rsidRPr="00241FAC">
        <w:rPr>
          <w:rFonts w:cs="Arial"/>
          <w:lang w:val="es-MX"/>
        </w:rPr>
        <w:t xml:space="preserve"> </w:t>
      </w:r>
      <w:r w:rsidR="00B46D5B" w:rsidRPr="00241FAC">
        <w:rPr>
          <w:rFonts w:cs="Arial"/>
          <w:lang w:val="es-MX"/>
        </w:rPr>
        <w:t>le</w:t>
      </w:r>
      <w:r w:rsidR="00A00FDA" w:rsidRPr="00241FAC">
        <w:rPr>
          <w:rFonts w:cs="Arial"/>
          <w:lang w:val="es-MX"/>
        </w:rPr>
        <w:t xml:space="preserve"> solicit</w:t>
      </w:r>
      <w:r w:rsidR="00A34598" w:rsidRPr="00241FAC">
        <w:rPr>
          <w:rFonts w:cs="Arial"/>
          <w:lang w:val="es-MX"/>
        </w:rPr>
        <w:t>ó</w:t>
      </w:r>
      <w:r w:rsidR="00A00FDA" w:rsidRPr="00241FAC">
        <w:rPr>
          <w:rFonts w:cs="Arial"/>
          <w:lang w:val="es-MX"/>
        </w:rPr>
        <w:t xml:space="preserve"> aclaraciones a los miembros de la Unión Temporal </w:t>
      </w:r>
      <w:proofErr w:type="spellStart"/>
      <w:r w:rsidR="00AC45B0" w:rsidRPr="00241FAC">
        <w:rPr>
          <w:rFonts w:cs="Arial"/>
          <w:lang w:val="es-MX"/>
        </w:rPr>
        <w:t>Construobras</w:t>
      </w:r>
      <w:proofErr w:type="spellEnd"/>
      <w:r w:rsidR="0064722C" w:rsidRPr="00241FAC">
        <w:rPr>
          <w:rFonts w:cs="Arial"/>
          <w:lang w:val="es-MX"/>
        </w:rPr>
        <w:t xml:space="preserve">. A juicio del demandante, </w:t>
      </w:r>
      <w:r w:rsidR="00065E78" w:rsidRPr="00241FAC">
        <w:rPr>
          <w:rFonts w:cs="Arial"/>
          <w:lang w:val="es-MX"/>
        </w:rPr>
        <w:t xml:space="preserve">el Municipio de Purificación </w:t>
      </w:r>
      <w:r w:rsidR="00A34598" w:rsidRPr="00241FAC">
        <w:rPr>
          <w:rFonts w:cs="Arial"/>
          <w:lang w:val="es-MX"/>
        </w:rPr>
        <w:t>le</w:t>
      </w:r>
      <w:r w:rsidR="00AC45B0" w:rsidRPr="00241FAC">
        <w:rPr>
          <w:rFonts w:cs="Arial"/>
          <w:lang w:val="es-MX"/>
        </w:rPr>
        <w:t xml:space="preserve"> ha</w:t>
      </w:r>
      <w:r w:rsidR="0007608D" w:rsidRPr="00241FAC">
        <w:rPr>
          <w:rFonts w:cs="Arial"/>
          <w:lang w:val="es-MX"/>
        </w:rPr>
        <w:t xml:space="preserve"> debido </w:t>
      </w:r>
      <w:r w:rsidR="00065E78" w:rsidRPr="00241FAC">
        <w:rPr>
          <w:rFonts w:cs="Arial"/>
          <w:lang w:val="es-MX"/>
        </w:rPr>
        <w:t xml:space="preserve">asignar </w:t>
      </w:r>
      <w:r w:rsidR="00A34598" w:rsidRPr="00241FAC">
        <w:rPr>
          <w:rFonts w:cs="Arial"/>
          <w:lang w:val="es-MX"/>
        </w:rPr>
        <w:t xml:space="preserve">los </w:t>
      </w:r>
      <w:r w:rsidR="00AC45B0" w:rsidRPr="00241FAC">
        <w:rPr>
          <w:rFonts w:cs="Arial"/>
          <w:lang w:val="es-MX"/>
        </w:rPr>
        <w:t xml:space="preserve">200 puntos </w:t>
      </w:r>
      <w:r w:rsidR="00A34598" w:rsidRPr="00241FAC">
        <w:rPr>
          <w:rFonts w:cs="Arial"/>
          <w:lang w:val="es-MX"/>
        </w:rPr>
        <w:t>posibles</w:t>
      </w:r>
      <w:r w:rsidR="0064722C" w:rsidRPr="00241FAC">
        <w:rPr>
          <w:rFonts w:cs="Arial"/>
          <w:lang w:val="es-MX"/>
        </w:rPr>
        <w:t xml:space="preserve"> en este ítem</w:t>
      </w:r>
      <w:r w:rsidR="00A34598" w:rsidRPr="00241FAC">
        <w:rPr>
          <w:rFonts w:cs="Arial"/>
          <w:lang w:val="es-MX"/>
        </w:rPr>
        <w:t xml:space="preserve">, </w:t>
      </w:r>
      <w:r w:rsidR="00AC45B0" w:rsidRPr="00241FAC">
        <w:rPr>
          <w:rFonts w:cs="Arial"/>
          <w:lang w:val="es-MX"/>
        </w:rPr>
        <w:t xml:space="preserve">de </w:t>
      </w:r>
      <w:r w:rsidR="00A34598" w:rsidRPr="00241FAC">
        <w:rPr>
          <w:rFonts w:cs="Arial"/>
          <w:lang w:val="es-MX"/>
        </w:rPr>
        <w:t xml:space="preserve">conformidad con </w:t>
      </w:r>
      <w:r w:rsidR="00D81EFA" w:rsidRPr="00241FAC">
        <w:rPr>
          <w:rFonts w:cs="Arial"/>
          <w:lang w:val="es-MX"/>
        </w:rPr>
        <w:t xml:space="preserve">el capital de trabajo </w:t>
      </w:r>
      <w:r w:rsidR="00A34598" w:rsidRPr="00241FAC">
        <w:rPr>
          <w:rFonts w:cs="Arial"/>
          <w:lang w:val="es-MX"/>
        </w:rPr>
        <w:t xml:space="preserve">que fue </w:t>
      </w:r>
      <w:r w:rsidR="00D81EFA" w:rsidRPr="00241FAC">
        <w:rPr>
          <w:rFonts w:cs="Arial"/>
          <w:lang w:val="es-MX"/>
        </w:rPr>
        <w:t xml:space="preserve">acreditado con base en </w:t>
      </w:r>
      <w:r w:rsidR="00A34598" w:rsidRPr="00241FAC">
        <w:rPr>
          <w:rFonts w:cs="Arial"/>
          <w:lang w:val="es-MX"/>
        </w:rPr>
        <w:t>los estados de B</w:t>
      </w:r>
      <w:r w:rsidR="00D81EFA" w:rsidRPr="00241FAC">
        <w:rPr>
          <w:rFonts w:cs="Arial"/>
          <w:lang w:val="es-MX"/>
        </w:rPr>
        <w:t xml:space="preserve">alance </w:t>
      </w:r>
      <w:r w:rsidR="00A34598" w:rsidRPr="00241FAC">
        <w:rPr>
          <w:rFonts w:cs="Arial"/>
          <w:lang w:val="es-MX"/>
        </w:rPr>
        <w:t>G</w:t>
      </w:r>
      <w:r w:rsidR="00D81EFA" w:rsidRPr="00241FAC">
        <w:rPr>
          <w:rFonts w:cs="Arial"/>
          <w:lang w:val="es-MX"/>
        </w:rPr>
        <w:t>eneral</w:t>
      </w:r>
      <w:r w:rsidR="00F37490" w:rsidRPr="00241FAC">
        <w:rPr>
          <w:rFonts w:cs="Arial"/>
          <w:lang w:val="es-MX"/>
        </w:rPr>
        <w:t xml:space="preserve"> de sus integrantes</w:t>
      </w:r>
      <w:r w:rsidR="00D81EFA" w:rsidRPr="00241FAC">
        <w:rPr>
          <w:rFonts w:cs="Arial"/>
          <w:lang w:val="es-MX"/>
        </w:rPr>
        <w:t xml:space="preserve">, </w:t>
      </w:r>
      <w:r w:rsidR="003527DF" w:rsidRPr="00241FAC">
        <w:rPr>
          <w:rFonts w:cs="Arial"/>
          <w:lang w:val="es-MX"/>
        </w:rPr>
        <w:t xml:space="preserve">los cuales debían tenerse como información prevalente </w:t>
      </w:r>
      <w:r w:rsidR="004A30D9" w:rsidRPr="00241FAC">
        <w:rPr>
          <w:rFonts w:cs="Arial"/>
          <w:lang w:val="es-MX"/>
        </w:rPr>
        <w:t xml:space="preserve">para </w:t>
      </w:r>
      <w:r w:rsidR="00D81EFA" w:rsidRPr="00241FAC">
        <w:rPr>
          <w:rFonts w:cs="Arial"/>
          <w:lang w:val="es-MX"/>
        </w:rPr>
        <w:t xml:space="preserve">la calificación de </w:t>
      </w:r>
      <w:r w:rsidR="004A30D9" w:rsidRPr="00241FAC">
        <w:rPr>
          <w:rFonts w:cs="Arial"/>
          <w:lang w:val="es-MX"/>
        </w:rPr>
        <w:t>la capacidad financiera</w:t>
      </w:r>
      <w:r w:rsidR="003527DF" w:rsidRPr="00241FAC">
        <w:rPr>
          <w:rFonts w:cs="Arial"/>
          <w:lang w:val="es-MX"/>
        </w:rPr>
        <w:t xml:space="preserve">, según lo previsto en el </w:t>
      </w:r>
      <w:r w:rsidR="00D81EFA" w:rsidRPr="00241FAC">
        <w:rPr>
          <w:rFonts w:cs="Arial"/>
          <w:lang w:val="es-MX"/>
        </w:rPr>
        <w:t xml:space="preserve">Pliego de Condiciones. </w:t>
      </w:r>
    </w:p>
    <w:p w:rsidR="00AC45B0" w:rsidRPr="00241FAC" w:rsidRDefault="00AC45B0" w:rsidP="0090169C">
      <w:pPr>
        <w:pStyle w:val="Continuarlista2"/>
        <w:ind w:left="0"/>
        <w:rPr>
          <w:rFonts w:cs="Arial"/>
          <w:b/>
        </w:rPr>
      </w:pPr>
    </w:p>
    <w:p w:rsidR="0007558A" w:rsidRPr="00241FAC" w:rsidRDefault="0007558A" w:rsidP="0090169C">
      <w:pPr>
        <w:pStyle w:val="Continuarlista2"/>
        <w:ind w:left="0"/>
        <w:rPr>
          <w:rFonts w:cs="Arial"/>
        </w:rPr>
      </w:pPr>
      <w:r w:rsidRPr="00241FAC">
        <w:rPr>
          <w:rFonts w:cs="Arial"/>
          <w:b/>
        </w:rPr>
        <w:t>2.5.</w:t>
      </w:r>
      <w:r w:rsidRPr="00241FAC">
        <w:rPr>
          <w:rFonts w:cs="Arial"/>
        </w:rPr>
        <w:tab/>
        <w:t xml:space="preserve">La falta de documentos del Consorcio Luis E. Gómez y otro estaba calificada como causal de rechazo en el numeral 8º del Capítulo 1 y el numeral 2º del Capítulo </w:t>
      </w:r>
      <w:r w:rsidRPr="00241FAC">
        <w:rPr>
          <w:rFonts w:cs="Arial"/>
        </w:rPr>
        <w:lastRenderedPageBreak/>
        <w:t xml:space="preserve">3 del Pliego de Condiciones, </w:t>
      </w:r>
      <w:r w:rsidR="00CA4181" w:rsidRPr="00241FAC">
        <w:rPr>
          <w:rFonts w:cs="Arial"/>
        </w:rPr>
        <w:t>por</w:t>
      </w:r>
      <w:r w:rsidRPr="00241FAC">
        <w:rPr>
          <w:rFonts w:cs="Arial"/>
        </w:rPr>
        <w:t xml:space="preserve"> lo cual</w:t>
      </w:r>
      <w:r w:rsidR="00CA4181" w:rsidRPr="00241FAC">
        <w:rPr>
          <w:rFonts w:cs="Arial"/>
        </w:rPr>
        <w:t>,</w:t>
      </w:r>
      <w:r w:rsidRPr="00241FAC">
        <w:rPr>
          <w:rFonts w:cs="Arial"/>
        </w:rPr>
        <w:t xml:space="preserve"> al reconocerle puntaje</w:t>
      </w:r>
      <w:r w:rsidR="00CA4181" w:rsidRPr="00241FAC">
        <w:rPr>
          <w:rFonts w:cs="Arial"/>
        </w:rPr>
        <w:t>,</w:t>
      </w:r>
      <w:r w:rsidRPr="00241FAC">
        <w:rPr>
          <w:rFonts w:cs="Arial"/>
        </w:rPr>
        <w:t xml:space="preserve"> </w:t>
      </w:r>
      <w:r w:rsidR="00F37490" w:rsidRPr="00241FAC">
        <w:rPr>
          <w:rFonts w:cs="Arial"/>
        </w:rPr>
        <w:t xml:space="preserve">el Municipio </w:t>
      </w:r>
      <w:r w:rsidRPr="00241FAC">
        <w:rPr>
          <w:rFonts w:cs="Arial"/>
        </w:rPr>
        <w:t xml:space="preserve">favoreció injustamente a la propuesta que </w:t>
      </w:r>
      <w:r w:rsidR="00CA4181" w:rsidRPr="00241FAC">
        <w:rPr>
          <w:rFonts w:cs="Arial"/>
        </w:rPr>
        <w:t xml:space="preserve">finalmente designó como </w:t>
      </w:r>
      <w:r w:rsidRPr="00241FAC">
        <w:rPr>
          <w:rFonts w:cs="Arial"/>
        </w:rPr>
        <w:t>ganadora</w:t>
      </w:r>
      <w:r w:rsidR="00F37490" w:rsidRPr="00241FAC">
        <w:rPr>
          <w:rFonts w:cs="Arial"/>
        </w:rPr>
        <w:t>.</w:t>
      </w:r>
    </w:p>
    <w:p w:rsidR="00F37490" w:rsidRPr="00241FAC" w:rsidRDefault="00F37490" w:rsidP="0090169C">
      <w:pPr>
        <w:pStyle w:val="Continuarlista2"/>
        <w:ind w:left="0"/>
        <w:rPr>
          <w:rFonts w:cs="Arial"/>
          <w:b/>
        </w:rPr>
      </w:pPr>
    </w:p>
    <w:p w:rsidR="0007558A" w:rsidRPr="00241FAC" w:rsidRDefault="001F0525" w:rsidP="0090169C">
      <w:pPr>
        <w:pStyle w:val="Continuarlista2"/>
        <w:ind w:left="0"/>
        <w:rPr>
          <w:rFonts w:cs="Arial"/>
        </w:rPr>
      </w:pPr>
      <w:r w:rsidRPr="00241FAC">
        <w:rPr>
          <w:rFonts w:cs="Arial"/>
          <w:b/>
        </w:rPr>
        <w:t>2.</w:t>
      </w:r>
      <w:r w:rsidR="0007558A" w:rsidRPr="00241FAC">
        <w:rPr>
          <w:rFonts w:cs="Arial"/>
          <w:b/>
        </w:rPr>
        <w:t>6</w:t>
      </w:r>
      <w:r w:rsidRPr="00241FAC">
        <w:rPr>
          <w:rFonts w:cs="Arial"/>
          <w:b/>
        </w:rPr>
        <w:t>.</w:t>
      </w:r>
      <w:r w:rsidRPr="00241FAC">
        <w:rPr>
          <w:rFonts w:cs="Arial"/>
        </w:rPr>
        <w:t xml:space="preserve"> </w:t>
      </w:r>
      <w:r w:rsidR="000E2AD6" w:rsidRPr="00241FAC">
        <w:rPr>
          <w:rFonts w:cs="Arial"/>
        </w:rPr>
        <w:t>Según afirmó la parte demandante,</w:t>
      </w:r>
      <w:r w:rsidR="00611E8C" w:rsidRPr="00241FAC">
        <w:rPr>
          <w:rFonts w:cs="Arial"/>
        </w:rPr>
        <w:t xml:space="preserve"> </w:t>
      </w:r>
      <w:r w:rsidR="000E2AD6" w:rsidRPr="00241FAC">
        <w:rPr>
          <w:rFonts w:cs="Arial"/>
        </w:rPr>
        <w:t>d</w:t>
      </w:r>
      <w:r w:rsidR="005E3E56" w:rsidRPr="00241FAC">
        <w:rPr>
          <w:rFonts w:cs="Arial"/>
        </w:rPr>
        <w:t xml:space="preserve">e haberse omitido el proceder subjetivo del Comité de Evaluación y </w:t>
      </w:r>
      <w:r w:rsidR="00F37490" w:rsidRPr="00241FAC">
        <w:rPr>
          <w:rFonts w:cs="Arial"/>
        </w:rPr>
        <w:t xml:space="preserve">si se </w:t>
      </w:r>
      <w:r w:rsidR="005E3E56" w:rsidRPr="00241FAC">
        <w:rPr>
          <w:rFonts w:cs="Arial"/>
        </w:rPr>
        <w:t>h</w:t>
      </w:r>
      <w:r w:rsidR="00F37490" w:rsidRPr="00241FAC">
        <w:rPr>
          <w:rFonts w:cs="Arial"/>
        </w:rPr>
        <w:t>ubiera</w:t>
      </w:r>
      <w:r w:rsidR="005E709B" w:rsidRPr="00241FAC">
        <w:rPr>
          <w:rFonts w:cs="Arial"/>
        </w:rPr>
        <w:t>n aplicado</w:t>
      </w:r>
      <w:r w:rsidR="005E3E56" w:rsidRPr="00241FAC">
        <w:rPr>
          <w:rFonts w:cs="Arial"/>
        </w:rPr>
        <w:t xml:space="preserve"> las reglas de selección del Pliego de Condiciones</w:t>
      </w:r>
      <w:r w:rsidR="00DA4013" w:rsidRPr="00241FAC">
        <w:rPr>
          <w:rFonts w:cs="Arial"/>
        </w:rPr>
        <w:t>,</w:t>
      </w:r>
      <w:r w:rsidR="005E3E56" w:rsidRPr="00241FAC">
        <w:rPr>
          <w:rFonts w:cs="Arial"/>
        </w:rPr>
        <w:t xml:space="preserve"> </w:t>
      </w:r>
      <w:r w:rsidR="007F7ACF" w:rsidRPr="00241FAC">
        <w:rPr>
          <w:rFonts w:cs="Arial"/>
        </w:rPr>
        <w:t xml:space="preserve">su propuesta habría alcanzado el primer lugar y el contrato se habría celebrado con </w:t>
      </w:r>
      <w:r w:rsidR="00CA4181" w:rsidRPr="00241FAC">
        <w:rPr>
          <w:rFonts w:cs="Arial"/>
        </w:rPr>
        <w:t xml:space="preserve">la </w:t>
      </w:r>
      <w:r w:rsidR="007F7ACF" w:rsidRPr="00241FAC">
        <w:rPr>
          <w:rFonts w:cs="Arial"/>
        </w:rPr>
        <w:t>Unión Temporal Construobras, lo cual</w:t>
      </w:r>
      <w:r w:rsidR="000E2AD6" w:rsidRPr="00241FAC">
        <w:rPr>
          <w:rFonts w:cs="Arial"/>
        </w:rPr>
        <w:t>,</w:t>
      </w:r>
      <w:r w:rsidR="007F7ACF" w:rsidRPr="00241FAC">
        <w:rPr>
          <w:rFonts w:cs="Arial"/>
        </w:rPr>
        <w:t xml:space="preserve"> por no haberse realizado</w:t>
      </w:r>
      <w:r w:rsidR="000E2AD6" w:rsidRPr="00241FAC">
        <w:rPr>
          <w:rFonts w:cs="Arial"/>
        </w:rPr>
        <w:t>,</w:t>
      </w:r>
      <w:r w:rsidR="007F7ACF" w:rsidRPr="00241FAC">
        <w:rPr>
          <w:rFonts w:cs="Arial"/>
        </w:rPr>
        <w:t xml:space="preserve"> l</w:t>
      </w:r>
      <w:r w:rsidR="0007558A" w:rsidRPr="00241FAC">
        <w:rPr>
          <w:rFonts w:cs="Arial"/>
        </w:rPr>
        <w:t xml:space="preserve">o privó de las ganancias esperadas en la ejecución del </w:t>
      </w:r>
      <w:r w:rsidR="00DA4013" w:rsidRPr="00241FAC">
        <w:rPr>
          <w:rFonts w:cs="Arial"/>
        </w:rPr>
        <w:t>mismo</w:t>
      </w:r>
      <w:r w:rsidR="0007558A" w:rsidRPr="00241FAC">
        <w:rPr>
          <w:rFonts w:cs="Arial"/>
        </w:rPr>
        <w:t>.</w:t>
      </w:r>
    </w:p>
    <w:p w:rsidR="0007558A" w:rsidRPr="00241FAC" w:rsidRDefault="0007558A" w:rsidP="0090169C">
      <w:pPr>
        <w:pStyle w:val="Continuarlista2"/>
        <w:ind w:left="0"/>
        <w:rPr>
          <w:rFonts w:cs="Arial"/>
        </w:rPr>
      </w:pPr>
    </w:p>
    <w:p w:rsidR="001F0525" w:rsidRPr="00241FAC" w:rsidRDefault="001F0525" w:rsidP="0090169C">
      <w:pPr>
        <w:pStyle w:val="Continuarlista2"/>
        <w:ind w:left="0"/>
        <w:rPr>
          <w:rFonts w:cs="Arial"/>
        </w:rPr>
      </w:pPr>
      <w:r w:rsidRPr="00241FAC">
        <w:rPr>
          <w:rFonts w:cs="Arial"/>
          <w:b/>
        </w:rPr>
        <w:t>2.</w:t>
      </w:r>
      <w:r w:rsidR="000E2AD6" w:rsidRPr="00241FAC">
        <w:rPr>
          <w:rFonts w:cs="Arial"/>
          <w:b/>
        </w:rPr>
        <w:t>7</w:t>
      </w:r>
      <w:r w:rsidRPr="00241FAC">
        <w:rPr>
          <w:rFonts w:cs="Arial"/>
          <w:b/>
        </w:rPr>
        <w:t xml:space="preserve">. </w:t>
      </w:r>
      <w:r w:rsidRPr="00241FAC">
        <w:rPr>
          <w:rFonts w:cs="Arial"/>
        </w:rPr>
        <w:t xml:space="preserve">La propuesta económica de la Unión Temporal Construobras fue </w:t>
      </w:r>
      <w:r w:rsidR="00EC5083" w:rsidRPr="00241FAC">
        <w:rPr>
          <w:rFonts w:cs="Arial"/>
        </w:rPr>
        <w:t xml:space="preserve">presentada por la suma </w:t>
      </w:r>
      <w:r w:rsidRPr="00241FAC">
        <w:rPr>
          <w:rFonts w:cs="Arial"/>
        </w:rPr>
        <w:t>de $846’354.549</w:t>
      </w:r>
      <w:r w:rsidR="00DA4013" w:rsidRPr="00241FAC">
        <w:rPr>
          <w:rFonts w:cs="Arial"/>
        </w:rPr>
        <w:t>,</w:t>
      </w:r>
      <w:r w:rsidR="00EC5083" w:rsidRPr="00241FAC">
        <w:rPr>
          <w:rFonts w:cs="Arial"/>
        </w:rPr>
        <w:t xml:space="preserve"> con un </w:t>
      </w:r>
      <w:r w:rsidRPr="00241FAC">
        <w:rPr>
          <w:rFonts w:cs="Arial"/>
        </w:rPr>
        <w:t>A.I.U.</w:t>
      </w:r>
      <w:r w:rsidR="005E709B" w:rsidRPr="00241FAC">
        <w:rPr>
          <w:rFonts w:cs="Arial"/>
        </w:rPr>
        <w:t>,</w:t>
      </w:r>
      <w:r w:rsidRPr="00241FAC">
        <w:rPr>
          <w:rFonts w:cs="Arial"/>
        </w:rPr>
        <w:t xml:space="preserve"> </w:t>
      </w:r>
      <w:r w:rsidR="00DA4013" w:rsidRPr="00241FAC">
        <w:rPr>
          <w:rFonts w:cs="Arial"/>
        </w:rPr>
        <w:t>d</w:t>
      </w:r>
      <w:r w:rsidR="00101519" w:rsidRPr="00241FAC">
        <w:rPr>
          <w:rFonts w:cs="Arial"/>
        </w:rPr>
        <w:t>e 17% del valor total de la misma.</w:t>
      </w:r>
    </w:p>
    <w:p w:rsidR="00F37490" w:rsidRPr="00241FAC" w:rsidRDefault="00F37490" w:rsidP="0090169C">
      <w:pPr>
        <w:pStyle w:val="Continuarlista2"/>
        <w:ind w:left="0"/>
        <w:rPr>
          <w:rFonts w:cs="Arial"/>
        </w:rPr>
      </w:pPr>
    </w:p>
    <w:p w:rsidR="003D178D" w:rsidRPr="00241FAC" w:rsidRDefault="003D178D" w:rsidP="0090169C">
      <w:pPr>
        <w:pStyle w:val="Continuarlista2"/>
        <w:ind w:left="0"/>
        <w:rPr>
          <w:rFonts w:cs="Arial"/>
          <w:b/>
        </w:rPr>
      </w:pPr>
      <w:r w:rsidRPr="00241FAC">
        <w:rPr>
          <w:rFonts w:cs="Arial"/>
          <w:b/>
        </w:rPr>
        <w:t>3. Concepto de violación</w:t>
      </w:r>
    </w:p>
    <w:p w:rsidR="000E2AD6" w:rsidRPr="00241FAC" w:rsidRDefault="000E2AD6" w:rsidP="0090169C">
      <w:pPr>
        <w:pStyle w:val="Continuarlista2"/>
        <w:ind w:left="0"/>
        <w:rPr>
          <w:rFonts w:cs="Arial"/>
        </w:rPr>
      </w:pPr>
    </w:p>
    <w:p w:rsidR="00CA6044" w:rsidRPr="00241FAC" w:rsidRDefault="000E2AD6" w:rsidP="0090169C">
      <w:pPr>
        <w:pStyle w:val="Continuarlista2"/>
        <w:ind w:left="0"/>
        <w:rPr>
          <w:rFonts w:cs="Arial"/>
        </w:rPr>
      </w:pPr>
      <w:r w:rsidRPr="00241FAC">
        <w:rPr>
          <w:rFonts w:cs="Arial"/>
        </w:rPr>
        <w:t>La parte demandante i</w:t>
      </w:r>
      <w:r w:rsidR="006323F5" w:rsidRPr="00241FAC">
        <w:rPr>
          <w:rFonts w:cs="Arial"/>
        </w:rPr>
        <w:t>nvocó como normas violadas los artículos 1, 2,</w:t>
      </w:r>
      <w:r w:rsidR="007C08EF" w:rsidRPr="00241FAC">
        <w:rPr>
          <w:rFonts w:cs="Arial"/>
        </w:rPr>
        <w:t xml:space="preserve"> </w:t>
      </w:r>
      <w:r w:rsidR="006323F5" w:rsidRPr="00241FAC">
        <w:rPr>
          <w:rFonts w:cs="Arial"/>
        </w:rPr>
        <w:t>25,</w:t>
      </w:r>
      <w:r w:rsidR="007C08EF" w:rsidRPr="00241FAC">
        <w:rPr>
          <w:rFonts w:cs="Arial"/>
        </w:rPr>
        <w:t xml:space="preserve"> </w:t>
      </w:r>
      <w:r w:rsidR="006323F5" w:rsidRPr="00241FAC">
        <w:rPr>
          <w:rFonts w:cs="Arial"/>
        </w:rPr>
        <w:t>29,</w:t>
      </w:r>
      <w:r w:rsidR="007C08EF" w:rsidRPr="00241FAC">
        <w:rPr>
          <w:rFonts w:cs="Arial"/>
        </w:rPr>
        <w:t xml:space="preserve"> </w:t>
      </w:r>
      <w:r w:rsidR="006323F5" w:rsidRPr="00241FAC">
        <w:rPr>
          <w:rFonts w:cs="Arial"/>
        </w:rPr>
        <w:t>53,</w:t>
      </w:r>
      <w:r w:rsidR="007C08EF" w:rsidRPr="00241FAC">
        <w:rPr>
          <w:rFonts w:cs="Arial"/>
        </w:rPr>
        <w:t xml:space="preserve"> </w:t>
      </w:r>
      <w:r w:rsidR="006323F5" w:rsidRPr="00241FAC">
        <w:rPr>
          <w:rFonts w:cs="Arial"/>
        </w:rPr>
        <w:t>90, 123,</w:t>
      </w:r>
      <w:r w:rsidR="007C08EF" w:rsidRPr="00241FAC">
        <w:rPr>
          <w:rFonts w:cs="Arial"/>
        </w:rPr>
        <w:t xml:space="preserve"> </w:t>
      </w:r>
      <w:r w:rsidR="006323F5" w:rsidRPr="00241FAC">
        <w:rPr>
          <w:rFonts w:cs="Arial"/>
        </w:rPr>
        <w:t>209,</w:t>
      </w:r>
      <w:r w:rsidR="007C08EF" w:rsidRPr="00241FAC">
        <w:rPr>
          <w:rFonts w:cs="Arial"/>
        </w:rPr>
        <w:t xml:space="preserve"> </w:t>
      </w:r>
      <w:r w:rsidR="006323F5" w:rsidRPr="00241FAC">
        <w:rPr>
          <w:rFonts w:cs="Arial"/>
        </w:rPr>
        <w:t>273 y 333 de</w:t>
      </w:r>
      <w:r w:rsidR="007C08EF" w:rsidRPr="00241FAC">
        <w:rPr>
          <w:rFonts w:cs="Arial"/>
        </w:rPr>
        <w:t xml:space="preserve"> </w:t>
      </w:r>
      <w:r w:rsidR="006323F5" w:rsidRPr="00241FAC">
        <w:rPr>
          <w:rFonts w:cs="Arial"/>
        </w:rPr>
        <w:t>la Constitución Política; los artículos 2,</w:t>
      </w:r>
      <w:r w:rsidR="007C08EF" w:rsidRPr="00241FAC">
        <w:rPr>
          <w:rFonts w:cs="Arial"/>
        </w:rPr>
        <w:t xml:space="preserve"> </w:t>
      </w:r>
      <w:r w:rsidR="006323F5" w:rsidRPr="00241FAC">
        <w:rPr>
          <w:rFonts w:cs="Arial"/>
        </w:rPr>
        <w:t>3,</w:t>
      </w:r>
      <w:r w:rsidR="007C08EF" w:rsidRPr="00241FAC">
        <w:rPr>
          <w:rFonts w:cs="Arial"/>
        </w:rPr>
        <w:t xml:space="preserve"> </w:t>
      </w:r>
      <w:r w:rsidR="006323F5" w:rsidRPr="00241FAC">
        <w:rPr>
          <w:rFonts w:cs="Arial"/>
        </w:rPr>
        <w:t>9,</w:t>
      </w:r>
      <w:r w:rsidR="007C08EF" w:rsidRPr="00241FAC">
        <w:rPr>
          <w:rFonts w:cs="Arial"/>
        </w:rPr>
        <w:t xml:space="preserve"> </w:t>
      </w:r>
      <w:r w:rsidR="006323F5" w:rsidRPr="00241FAC">
        <w:rPr>
          <w:rFonts w:cs="Arial"/>
        </w:rPr>
        <w:t>17,</w:t>
      </w:r>
      <w:r w:rsidR="007C08EF" w:rsidRPr="00241FAC">
        <w:rPr>
          <w:rFonts w:cs="Arial"/>
        </w:rPr>
        <w:t xml:space="preserve"> </w:t>
      </w:r>
      <w:r w:rsidR="006323F5" w:rsidRPr="00241FAC">
        <w:rPr>
          <w:rFonts w:cs="Arial"/>
        </w:rPr>
        <w:t xml:space="preserve">76 y 85 del Código Contencioso Administrativo; </w:t>
      </w:r>
      <w:r w:rsidR="007C08EF" w:rsidRPr="00241FAC">
        <w:rPr>
          <w:rFonts w:cs="Arial"/>
        </w:rPr>
        <w:t xml:space="preserve">los artículos </w:t>
      </w:r>
      <w:r w:rsidR="00517FC4" w:rsidRPr="00241FAC">
        <w:rPr>
          <w:rFonts w:cs="Arial"/>
        </w:rPr>
        <w:t>5, 24, numerales 5,</w:t>
      </w:r>
      <w:r w:rsidR="007C08EF" w:rsidRPr="00241FAC">
        <w:rPr>
          <w:rFonts w:cs="Arial"/>
        </w:rPr>
        <w:t xml:space="preserve"> </w:t>
      </w:r>
      <w:r w:rsidR="00517FC4" w:rsidRPr="00241FAC">
        <w:rPr>
          <w:rFonts w:cs="Arial"/>
        </w:rPr>
        <w:t>7</w:t>
      </w:r>
      <w:r w:rsidR="007C08EF" w:rsidRPr="00241FAC">
        <w:rPr>
          <w:rFonts w:cs="Arial"/>
        </w:rPr>
        <w:t xml:space="preserve"> </w:t>
      </w:r>
      <w:r w:rsidR="00517FC4" w:rsidRPr="00241FAC">
        <w:rPr>
          <w:rFonts w:cs="Arial"/>
        </w:rPr>
        <w:t>y 8; 25, numerales1, 2 y 3; 26, numerales 1,</w:t>
      </w:r>
      <w:r w:rsidR="007C08EF" w:rsidRPr="00241FAC">
        <w:rPr>
          <w:rFonts w:cs="Arial"/>
        </w:rPr>
        <w:t xml:space="preserve"> </w:t>
      </w:r>
      <w:r w:rsidR="00517FC4" w:rsidRPr="00241FAC">
        <w:rPr>
          <w:rFonts w:cs="Arial"/>
        </w:rPr>
        <w:t>2,</w:t>
      </w:r>
      <w:r w:rsidR="007C08EF" w:rsidRPr="00241FAC">
        <w:rPr>
          <w:rFonts w:cs="Arial"/>
        </w:rPr>
        <w:t xml:space="preserve"> </w:t>
      </w:r>
      <w:r w:rsidR="00517FC4" w:rsidRPr="00241FAC">
        <w:rPr>
          <w:rFonts w:cs="Arial"/>
        </w:rPr>
        <w:t>3;</w:t>
      </w:r>
      <w:r w:rsidR="007C08EF" w:rsidRPr="00241FAC">
        <w:rPr>
          <w:rFonts w:cs="Arial"/>
        </w:rPr>
        <w:t xml:space="preserve"> </w:t>
      </w:r>
      <w:r w:rsidR="00517FC4" w:rsidRPr="00241FAC">
        <w:rPr>
          <w:rFonts w:cs="Arial"/>
        </w:rPr>
        <w:t>28, 29</w:t>
      </w:r>
      <w:r w:rsidR="001055E6" w:rsidRPr="00241FAC">
        <w:rPr>
          <w:rFonts w:cs="Arial"/>
        </w:rPr>
        <w:t>;</w:t>
      </w:r>
      <w:r w:rsidR="00517FC4" w:rsidRPr="00241FAC">
        <w:rPr>
          <w:rFonts w:cs="Arial"/>
        </w:rPr>
        <w:t xml:space="preserve"> </w:t>
      </w:r>
      <w:r w:rsidR="00F37490" w:rsidRPr="00241FAC">
        <w:rPr>
          <w:rFonts w:cs="Arial"/>
        </w:rPr>
        <w:t>numerales 2 y 9</w:t>
      </w:r>
      <w:r w:rsidR="001055E6" w:rsidRPr="00241FAC">
        <w:rPr>
          <w:rFonts w:cs="Arial"/>
        </w:rPr>
        <w:t xml:space="preserve"> del artículo 30 de la Ley 80 de 1993; así como </w:t>
      </w:r>
      <w:r w:rsidR="007C08EF" w:rsidRPr="00241FAC">
        <w:rPr>
          <w:rFonts w:cs="Arial"/>
        </w:rPr>
        <w:t xml:space="preserve">el Decreto </w:t>
      </w:r>
      <w:r w:rsidR="00EC5083" w:rsidRPr="00241FAC">
        <w:rPr>
          <w:rFonts w:cs="Arial"/>
        </w:rPr>
        <w:t xml:space="preserve">Reglamentario </w:t>
      </w:r>
      <w:r w:rsidR="007C08EF" w:rsidRPr="00241FAC">
        <w:rPr>
          <w:rFonts w:cs="Arial"/>
        </w:rPr>
        <w:t>287 de 1996</w:t>
      </w:r>
      <w:r w:rsidR="001055E6" w:rsidRPr="00241FAC">
        <w:rPr>
          <w:rFonts w:cs="Arial"/>
        </w:rPr>
        <w:t xml:space="preserve"> en sus </w:t>
      </w:r>
      <w:r w:rsidR="00CA6044" w:rsidRPr="00241FAC">
        <w:rPr>
          <w:rFonts w:cs="Arial"/>
        </w:rPr>
        <w:t>artículos 1 y 2</w:t>
      </w:r>
      <w:r w:rsidR="00763010" w:rsidRPr="00241FAC">
        <w:rPr>
          <w:rStyle w:val="Refdenotaalpie"/>
          <w:rFonts w:cs="Arial"/>
        </w:rPr>
        <w:footnoteReference w:id="2"/>
      </w:r>
      <w:r w:rsidR="00CA6044" w:rsidRPr="00241FAC">
        <w:rPr>
          <w:rFonts w:cs="Arial"/>
        </w:rPr>
        <w:t>.</w:t>
      </w:r>
    </w:p>
    <w:p w:rsidR="000E2AD6" w:rsidRPr="00241FAC" w:rsidRDefault="000E2AD6" w:rsidP="0090169C">
      <w:pPr>
        <w:pStyle w:val="Continuarlista2"/>
        <w:ind w:left="0"/>
        <w:rPr>
          <w:rFonts w:cs="Arial"/>
        </w:rPr>
      </w:pPr>
    </w:p>
    <w:p w:rsidR="00CA6044" w:rsidRPr="00241FAC" w:rsidRDefault="00CA6044" w:rsidP="0090169C">
      <w:pPr>
        <w:pStyle w:val="Continuarlista2"/>
        <w:ind w:left="0"/>
        <w:rPr>
          <w:rFonts w:cs="Arial"/>
        </w:rPr>
      </w:pPr>
      <w:r w:rsidRPr="00241FAC">
        <w:rPr>
          <w:rFonts w:cs="Arial"/>
        </w:rPr>
        <w:t xml:space="preserve">Finalmente </w:t>
      </w:r>
      <w:r w:rsidR="000E2AD6" w:rsidRPr="00241FAC">
        <w:rPr>
          <w:rFonts w:cs="Arial"/>
        </w:rPr>
        <w:t xml:space="preserve">señaló como normas </w:t>
      </w:r>
      <w:r w:rsidRPr="00241FAC">
        <w:rPr>
          <w:rFonts w:cs="Arial"/>
        </w:rPr>
        <w:t>violadas las reglas de los Capítulos II y III del Pliego de Condiciones de la Licitación Pública No. 01 de 2000.</w:t>
      </w:r>
    </w:p>
    <w:p w:rsidR="0090169C" w:rsidRPr="00241FAC" w:rsidRDefault="0090169C" w:rsidP="0090169C">
      <w:pPr>
        <w:pStyle w:val="Lista3"/>
        <w:ind w:left="0" w:firstLine="0"/>
        <w:rPr>
          <w:rFonts w:cs="Arial"/>
        </w:rPr>
      </w:pPr>
    </w:p>
    <w:p w:rsidR="00F21484" w:rsidRPr="00241FAC" w:rsidRDefault="0015263D" w:rsidP="0090169C">
      <w:pPr>
        <w:pStyle w:val="Lista3"/>
        <w:ind w:left="0" w:firstLine="0"/>
        <w:rPr>
          <w:rFonts w:cs="Arial"/>
          <w:b/>
        </w:rPr>
      </w:pPr>
      <w:r w:rsidRPr="00241FAC">
        <w:rPr>
          <w:rFonts w:cs="Arial"/>
          <w:b/>
        </w:rPr>
        <w:t>4</w:t>
      </w:r>
      <w:r w:rsidR="00F21484" w:rsidRPr="00241FAC">
        <w:rPr>
          <w:rFonts w:cs="Arial"/>
          <w:b/>
        </w:rPr>
        <w:t>.</w:t>
      </w:r>
      <w:r w:rsidR="00E759BE" w:rsidRPr="00241FAC">
        <w:rPr>
          <w:rFonts w:cs="Arial"/>
          <w:b/>
        </w:rPr>
        <w:tab/>
      </w:r>
      <w:r w:rsidR="00F21484" w:rsidRPr="00241FAC">
        <w:rPr>
          <w:rFonts w:cs="Arial"/>
          <w:b/>
        </w:rPr>
        <w:t>Actuación procesal</w:t>
      </w:r>
      <w:r w:rsidR="005173D2" w:rsidRPr="00241FAC">
        <w:rPr>
          <w:rFonts w:cs="Arial"/>
          <w:b/>
        </w:rPr>
        <w:t>.</w:t>
      </w:r>
    </w:p>
    <w:p w:rsidR="00F21484" w:rsidRPr="00241FAC" w:rsidRDefault="00F21484" w:rsidP="0090169C">
      <w:pPr>
        <w:rPr>
          <w:rFonts w:cs="Arial"/>
          <w:bCs/>
          <w:iCs/>
        </w:rPr>
      </w:pPr>
    </w:p>
    <w:p w:rsidR="00F21484" w:rsidRPr="00241FAC" w:rsidRDefault="0015263D" w:rsidP="0090169C">
      <w:pPr>
        <w:pStyle w:val="Lista4"/>
        <w:ind w:left="0" w:firstLine="0"/>
        <w:rPr>
          <w:rFonts w:cs="Arial"/>
        </w:rPr>
      </w:pPr>
      <w:r w:rsidRPr="00241FAC">
        <w:rPr>
          <w:rFonts w:cs="Arial"/>
          <w:b/>
        </w:rPr>
        <w:t>4</w:t>
      </w:r>
      <w:r w:rsidR="00265D85" w:rsidRPr="00241FAC">
        <w:rPr>
          <w:rFonts w:cs="Arial"/>
          <w:b/>
        </w:rPr>
        <w:t>.1.</w:t>
      </w:r>
      <w:r w:rsidR="00E759BE" w:rsidRPr="00241FAC">
        <w:rPr>
          <w:rFonts w:cs="Arial"/>
          <w:b/>
        </w:rPr>
        <w:tab/>
      </w:r>
      <w:r w:rsidR="00F21484" w:rsidRPr="00241FAC">
        <w:rPr>
          <w:rFonts w:cs="Arial"/>
        </w:rPr>
        <w:t>El Tribunal Administrativo de</w:t>
      </w:r>
      <w:r w:rsidR="000E2AD6" w:rsidRPr="00241FAC">
        <w:rPr>
          <w:rFonts w:cs="Arial"/>
        </w:rPr>
        <w:t>l Tolima</w:t>
      </w:r>
      <w:r w:rsidR="00E759BE" w:rsidRPr="00241FAC">
        <w:rPr>
          <w:rFonts w:cs="Arial"/>
        </w:rPr>
        <w:t xml:space="preserve"> </w:t>
      </w:r>
      <w:r w:rsidR="006D7845" w:rsidRPr="00241FAC">
        <w:rPr>
          <w:rFonts w:cs="Arial"/>
        </w:rPr>
        <w:t>ad</w:t>
      </w:r>
      <w:r w:rsidR="00885A4A" w:rsidRPr="00241FAC">
        <w:rPr>
          <w:rFonts w:cs="Arial"/>
        </w:rPr>
        <w:t>mitió la demanda por auto de</w:t>
      </w:r>
      <w:r w:rsidR="00E759BE" w:rsidRPr="00241FAC">
        <w:rPr>
          <w:rFonts w:cs="Arial"/>
        </w:rPr>
        <w:t xml:space="preserve"> </w:t>
      </w:r>
      <w:r w:rsidR="00E65EB4" w:rsidRPr="00241FAC">
        <w:rPr>
          <w:rFonts w:cs="Arial"/>
        </w:rPr>
        <w:t xml:space="preserve">27 </w:t>
      </w:r>
      <w:r w:rsidR="00E759BE" w:rsidRPr="00241FAC">
        <w:rPr>
          <w:rFonts w:cs="Arial"/>
        </w:rPr>
        <w:t xml:space="preserve">de </w:t>
      </w:r>
      <w:r w:rsidR="00E65EB4" w:rsidRPr="00241FAC">
        <w:rPr>
          <w:rFonts w:cs="Arial"/>
        </w:rPr>
        <w:t xml:space="preserve">noviembre </w:t>
      </w:r>
      <w:r w:rsidR="00E759BE" w:rsidRPr="00241FAC">
        <w:rPr>
          <w:rFonts w:cs="Arial"/>
        </w:rPr>
        <w:t>de 20</w:t>
      </w:r>
      <w:r w:rsidR="00E65EB4" w:rsidRPr="00241FAC">
        <w:rPr>
          <w:rFonts w:cs="Arial"/>
        </w:rPr>
        <w:t>00</w:t>
      </w:r>
      <w:r w:rsidR="00E759BE" w:rsidRPr="00241FAC">
        <w:rPr>
          <w:rFonts w:cs="Arial"/>
        </w:rPr>
        <w:t xml:space="preserve">, en el cual ordenó </w:t>
      </w:r>
      <w:r w:rsidR="00E65EB4" w:rsidRPr="00241FAC">
        <w:rPr>
          <w:rFonts w:cs="Arial"/>
        </w:rPr>
        <w:t>tener como demand</w:t>
      </w:r>
      <w:r w:rsidR="00D3031D" w:rsidRPr="00241FAC">
        <w:rPr>
          <w:rFonts w:cs="Arial"/>
        </w:rPr>
        <w:t>ado</w:t>
      </w:r>
      <w:r w:rsidR="00E65EB4" w:rsidRPr="00241FAC">
        <w:rPr>
          <w:rFonts w:cs="Arial"/>
        </w:rPr>
        <w:t xml:space="preserve"> al Consorcio Luis </w:t>
      </w:r>
      <w:r w:rsidR="00DC6D48" w:rsidRPr="00241FAC">
        <w:rPr>
          <w:rFonts w:cs="Arial"/>
        </w:rPr>
        <w:t xml:space="preserve">E. </w:t>
      </w:r>
      <w:r w:rsidR="00E65EB4" w:rsidRPr="00241FAC">
        <w:rPr>
          <w:rFonts w:cs="Arial"/>
        </w:rPr>
        <w:lastRenderedPageBreak/>
        <w:t xml:space="preserve">Gómez y otro, por razón de su interés jurídico en el proceso, así como </w:t>
      </w:r>
      <w:r w:rsidR="00D3031D" w:rsidRPr="00241FAC">
        <w:rPr>
          <w:rFonts w:cs="Arial"/>
        </w:rPr>
        <w:t>dispuso</w:t>
      </w:r>
      <w:r w:rsidR="00E65EB4" w:rsidRPr="00241FAC">
        <w:rPr>
          <w:rFonts w:cs="Arial"/>
        </w:rPr>
        <w:t xml:space="preserve"> su notificación.</w:t>
      </w:r>
      <w:r w:rsidR="00E759BE" w:rsidRPr="00241FAC">
        <w:rPr>
          <w:rFonts w:cs="Arial"/>
        </w:rPr>
        <w:t xml:space="preserve"> </w:t>
      </w:r>
      <w:r w:rsidR="00F21484" w:rsidRPr="00241FAC">
        <w:rPr>
          <w:rFonts w:cs="Arial"/>
        </w:rPr>
        <w:t>(</w:t>
      </w:r>
      <w:r w:rsidR="00787B6C" w:rsidRPr="00241FAC">
        <w:rPr>
          <w:rFonts w:cs="Arial"/>
        </w:rPr>
        <w:t>f</w:t>
      </w:r>
      <w:r w:rsidR="00F21484" w:rsidRPr="00241FAC">
        <w:rPr>
          <w:rFonts w:cs="Arial"/>
        </w:rPr>
        <w:t>olio</w:t>
      </w:r>
      <w:r w:rsidR="00E65EB4" w:rsidRPr="00241FAC">
        <w:rPr>
          <w:rFonts w:cs="Arial"/>
        </w:rPr>
        <w:t xml:space="preserve"> 88</w:t>
      </w:r>
      <w:r w:rsidR="00E47DD3" w:rsidRPr="00241FAC">
        <w:rPr>
          <w:rFonts w:cs="Arial"/>
        </w:rPr>
        <w:t xml:space="preserve">, </w:t>
      </w:r>
      <w:r w:rsidR="00F21484" w:rsidRPr="00241FAC">
        <w:rPr>
          <w:rFonts w:cs="Arial"/>
        </w:rPr>
        <w:t xml:space="preserve">cuaderno </w:t>
      </w:r>
      <w:r w:rsidR="00E47DD3" w:rsidRPr="00241FAC">
        <w:rPr>
          <w:rFonts w:cs="Arial"/>
        </w:rPr>
        <w:t>1</w:t>
      </w:r>
      <w:r w:rsidR="00F21484" w:rsidRPr="00241FAC">
        <w:rPr>
          <w:rFonts w:cs="Arial"/>
        </w:rPr>
        <w:t xml:space="preserve">). </w:t>
      </w:r>
    </w:p>
    <w:p w:rsidR="0090169C" w:rsidRPr="00241FAC" w:rsidRDefault="0090169C" w:rsidP="0090169C">
      <w:pPr>
        <w:pStyle w:val="Lista5"/>
        <w:ind w:left="0" w:firstLine="0"/>
        <w:rPr>
          <w:rFonts w:cs="Arial"/>
          <w:b/>
        </w:rPr>
      </w:pPr>
    </w:p>
    <w:p w:rsidR="007B3F68" w:rsidRPr="00241FAC" w:rsidRDefault="0015263D" w:rsidP="0090169C">
      <w:pPr>
        <w:pStyle w:val="Lista5"/>
        <w:ind w:left="0" w:firstLine="0"/>
        <w:rPr>
          <w:rFonts w:cs="Arial"/>
        </w:rPr>
      </w:pPr>
      <w:r w:rsidRPr="00241FAC">
        <w:rPr>
          <w:rFonts w:cs="Arial"/>
          <w:b/>
        </w:rPr>
        <w:t>4</w:t>
      </w:r>
      <w:r w:rsidR="00C10C2D" w:rsidRPr="00241FAC">
        <w:rPr>
          <w:rFonts w:cs="Arial"/>
          <w:b/>
        </w:rPr>
        <w:t>.</w:t>
      </w:r>
      <w:r w:rsidR="00236684" w:rsidRPr="00241FAC">
        <w:rPr>
          <w:rFonts w:cs="Arial"/>
          <w:b/>
        </w:rPr>
        <w:t>2</w:t>
      </w:r>
      <w:r w:rsidR="003301D9" w:rsidRPr="00241FAC">
        <w:rPr>
          <w:rFonts w:cs="Arial"/>
          <w:b/>
        </w:rPr>
        <w:t>.</w:t>
      </w:r>
      <w:r w:rsidR="003301D9" w:rsidRPr="00241FAC">
        <w:rPr>
          <w:rFonts w:cs="Arial"/>
        </w:rPr>
        <w:tab/>
      </w:r>
      <w:r w:rsidR="003A76A2" w:rsidRPr="00241FAC">
        <w:rPr>
          <w:rFonts w:cs="Arial"/>
        </w:rPr>
        <w:t xml:space="preserve">El Consorcio Luis E. Gómez </w:t>
      </w:r>
      <w:r w:rsidR="0007608D" w:rsidRPr="00241FAC">
        <w:rPr>
          <w:rFonts w:cs="Arial"/>
        </w:rPr>
        <w:t>y otro</w:t>
      </w:r>
      <w:r w:rsidR="00DC6D48" w:rsidRPr="00241FAC">
        <w:rPr>
          <w:rFonts w:cs="Arial"/>
        </w:rPr>
        <w:t>,</w:t>
      </w:r>
      <w:r w:rsidR="0007608D" w:rsidRPr="00241FAC">
        <w:rPr>
          <w:rFonts w:cs="Arial"/>
        </w:rPr>
        <w:t xml:space="preserve"> </w:t>
      </w:r>
      <w:r w:rsidR="003C0A9F" w:rsidRPr="00241FAC">
        <w:rPr>
          <w:rFonts w:cs="Arial"/>
        </w:rPr>
        <w:t>fue notificado personalmente a través de su representante legal el 20 de agosto de 2002 (folio 117, cuaderno 1)</w:t>
      </w:r>
      <w:r w:rsidR="00D3031D" w:rsidRPr="00241FAC">
        <w:rPr>
          <w:rFonts w:cs="Arial"/>
        </w:rPr>
        <w:t>.</w:t>
      </w:r>
    </w:p>
    <w:p w:rsidR="003C0A9F" w:rsidRPr="00241FAC" w:rsidRDefault="003C0A9F" w:rsidP="00F21484">
      <w:pPr>
        <w:rPr>
          <w:rFonts w:cs="Arial"/>
          <w:b/>
          <w:bCs/>
          <w:iCs/>
        </w:rPr>
      </w:pPr>
    </w:p>
    <w:p w:rsidR="00F21484" w:rsidRPr="00241FAC" w:rsidRDefault="0015263D" w:rsidP="00F21484">
      <w:pPr>
        <w:rPr>
          <w:rFonts w:cs="Arial"/>
          <w:bCs/>
          <w:iCs/>
        </w:rPr>
      </w:pPr>
      <w:r w:rsidRPr="00241FAC">
        <w:rPr>
          <w:rFonts w:cs="Arial"/>
          <w:b/>
          <w:bCs/>
          <w:iCs/>
        </w:rPr>
        <w:t>4</w:t>
      </w:r>
      <w:r w:rsidR="003E4910" w:rsidRPr="00241FAC">
        <w:rPr>
          <w:rFonts w:cs="Arial"/>
          <w:b/>
          <w:bCs/>
          <w:iCs/>
        </w:rPr>
        <w:t>.</w:t>
      </w:r>
      <w:r w:rsidR="0090169C" w:rsidRPr="00241FAC">
        <w:rPr>
          <w:rFonts w:cs="Arial"/>
          <w:b/>
          <w:bCs/>
          <w:iCs/>
        </w:rPr>
        <w:t>3</w:t>
      </w:r>
      <w:r w:rsidR="003E4910" w:rsidRPr="00241FAC">
        <w:rPr>
          <w:rFonts w:cs="Arial"/>
          <w:b/>
          <w:bCs/>
          <w:iCs/>
        </w:rPr>
        <w:t>.</w:t>
      </w:r>
      <w:r w:rsidR="00AD7E95" w:rsidRPr="00241FAC">
        <w:rPr>
          <w:rFonts w:cs="Arial"/>
          <w:bCs/>
          <w:iCs/>
        </w:rPr>
        <w:tab/>
      </w:r>
      <w:r w:rsidR="003E4910" w:rsidRPr="00241FAC">
        <w:rPr>
          <w:rFonts w:cs="Arial"/>
          <w:bCs/>
          <w:iCs/>
        </w:rPr>
        <w:t xml:space="preserve"> </w:t>
      </w:r>
      <w:r w:rsidR="00DE5B48" w:rsidRPr="00241FAC">
        <w:rPr>
          <w:rFonts w:cs="Arial"/>
          <w:bCs/>
          <w:iCs/>
        </w:rPr>
        <w:t xml:space="preserve">El Tribunal Administrativo del Tolima decretó las pruebas </w:t>
      </w:r>
      <w:r w:rsidR="001D0D8E" w:rsidRPr="00241FAC">
        <w:rPr>
          <w:rFonts w:cs="Arial"/>
          <w:bCs/>
          <w:iCs/>
        </w:rPr>
        <w:t xml:space="preserve">solicitadas, tanto las </w:t>
      </w:r>
      <w:r w:rsidR="00DE5B48" w:rsidRPr="00241FAC">
        <w:rPr>
          <w:rFonts w:cs="Arial"/>
          <w:bCs/>
          <w:iCs/>
        </w:rPr>
        <w:t>docume</w:t>
      </w:r>
      <w:r w:rsidR="001D0D8E" w:rsidRPr="00241FAC">
        <w:rPr>
          <w:rFonts w:cs="Arial"/>
          <w:bCs/>
          <w:iCs/>
        </w:rPr>
        <w:t>n</w:t>
      </w:r>
      <w:r w:rsidR="00DE5B48" w:rsidRPr="00241FAC">
        <w:rPr>
          <w:rFonts w:cs="Arial"/>
          <w:bCs/>
          <w:iCs/>
        </w:rPr>
        <w:t xml:space="preserve">tales </w:t>
      </w:r>
      <w:r w:rsidR="001D0D8E" w:rsidRPr="00241FAC">
        <w:rPr>
          <w:rFonts w:cs="Arial"/>
          <w:bCs/>
          <w:iCs/>
        </w:rPr>
        <w:t xml:space="preserve">como </w:t>
      </w:r>
      <w:r w:rsidR="00DE5B48" w:rsidRPr="00241FAC">
        <w:rPr>
          <w:rFonts w:cs="Arial"/>
          <w:bCs/>
          <w:iCs/>
        </w:rPr>
        <w:t>el dictamen pericial</w:t>
      </w:r>
      <w:r w:rsidR="001D0D8E" w:rsidRPr="00241FAC">
        <w:rPr>
          <w:rFonts w:cs="Arial"/>
          <w:bCs/>
          <w:iCs/>
        </w:rPr>
        <w:t xml:space="preserve">, </w:t>
      </w:r>
      <w:r w:rsidR="006D7845" w:rsidRPr="00241FAC">
        <w:rPr>
          <w:rFonts w:cs="Arial"/>
          <w:bCs/>
          <w:iCs/>
        </w:rPr>
        <w:t xml:space="preserve">mediante </w:t>
      </w:r>
      <w:r w:rsidR="00350314" w:rsidRPr="00241FAC">
        <w:rPr>
          <w:rFonts w:cs="Arial"/>
          <w:bCs/>
          <w:iCs/>
        </w:rPr>
        <w:t xml:space="preserve">auto </w:t>
      </w:r>
      <w:r w:rsidR="00705C19" w:rsidRPr="00241FAC">
        <w:rPr>
          <w:rFonts w:cs="Arial"/>
          <w:bCs/>
          <w:iCs/>
        </w:rPr>
        <w:t>de</w:t>
      </w:r>
      <w:r w:rsidR="003E4910" w:rsidRPr="00241FAC">
        <w:rPr>
          <w:rFonts w:cs="Arial"/>
          <w:bCs/>
          <w:iCs/>
        </w:rPr>
        <w:t xml:space="preserve"> </w:t>
      </w:r>
      <w:r w:rsidR="001D0D8E" w:rsidRPr="00241FAC">
        <w:rPr>
          <w:rFonts w:cs="Arial"/>
          <w:bCs/>
          <w:iCs/>
        </w:rPr>
        <w:t>15 de mayo de 2003</w:t>
      </w:r>
      <w:r w:rsidR="00AA6803" w:rsidRPr="00241FAC">
        <w:rPr>
          <w:rFonts w:cs="Arial"/>
          <w:bCs/>
          <w:iCs/>
        </w:rPr>
        <w:t xml:space="preserve"> </w:t>
      </w:r>
      <w:r w:rsidR="00F21484" w:rsidRPr="00241FAC">
        <w:rPr>
          <w:rFonts w:cs="Arial"/>
          <w:bCs/>
          <w:iCs/>
        </w:rPr>
        <w:t>(</w:t>
      </w:r>
      <w:r w:rsidR="0090169C" w:rsidRPr="00241FAC">
        <w:rPr>
          <w:rFonts w:cs="Arial"/>
          <w:bCs/>
          <w:iCs/>
        </w:rPr>
        <w:t>f</w:t>
      </w:r>
      <w:r w:rsidR="00F21484" w:rsidRPr="00241FAC">
        <w:rPr>
          <w:rFonts w:cs="Arial"/>
          <w:bCs/>
          <w:iCs/>
        </w:rPr>
        <w:t>olio</w:t>
      </w:r>
      <w:r w:rsidR="003E4910" w:rsidRPr="00241FAC">
        <w:rPr>
          <w:rFonts w:cs="Arial"/>
          <w:bCs/>
          <w:iCs/>
        </w:rPr>
        <w:t xml:space="preserve"> </w:t>
      </w:r>
      <w:r w:rsidR="001D0D8E" w:rsidRPr="00241FAC">
        <w:rPr>
          <w:rFonts w:cs="Arial"/>
          <w:bCs/>
          <w:iCs/>
        </w:rPr>
        <w:t>145</w:t>
      </w:r>
      <w:r w:rsidR="0090169C" w:rsidRPr="00241FAC">
        <w:rPr>
          <w:rFonts w:cs="Arial"/>
          <w:bCs/>
          <w:iCs/>
        </w:rPr>
        <w:t>,</w:t>
      </w:r>
      <w:r w:rsidR="00F21484" w:rsidRPr="00241FAC">
        <w:rPr>
          <w:rFonts w:cs="Arial"/>
          <w:bCs/>
          <w:iCs/>
        </w:rPr>
        <w:t xml:space="preserve"> cuaderno</w:t>
      </w:r>
      <w:r w:rsidR="001D0D8E" w:rsidRPr="00241FAC">
        <w:rPr>
          <w:rFonts w:cs="Arial"/>
          <w:bCs/>
          <w:iCs/>
        </w:rPr>
        <w:t>1</w:t>
      </w:r>
      <w:r w:rsidR="00F21484" w:rsidRPr="00241FAC">
        <w:rPr>
          <w:rFonts w:cs="Arial"/>
          <w:bCs/>
          <w:iCs/>
        </w:rPr>
        <w:t xml:space="preserve">). </w:t>
      </w:r>
    </w:p>
    <w:p w:rsidR="00265D85" w:rsidRPr="00241FAC" w:rsidRDefault="00265D85" w:rsidP="00F21484">
      <w:pPr>
        <w:rPr>
          <w:rFonts w:cs="Arial"/>
          <w:bCs/>
          <w:iCs/>
        </w:rPr>
      </w:pPr>
    </w:p>
    <w:p w:rsidR="00F21484" w:rsidRPr="00241FAC" w:rsidRDefault="0015263D" w:rsidP="0090169C">
      <w:pPr>
        <w:pStyle w:val="Lista2"/>
        <w:ind w:left="0" w:firstLine="0"/>
        <w:rPr>
          <w:rFonts w:cs="Arial"/>
          <w:b/>
        </w:rPr>
      </w:pPr>
      <w:r w:rsidRPr="00241FAC">
        <w:rPr>
          <w:rFonts w:cs="Arial"/>
          <w:b/>
        </w:rPr>
        <w:t>4</w:t>
      </w:r>
      <w:r w:rsidR="0009687C" w:rsidRPr="00241FAC">
        <w:rPr>
          <w:rFonts w:cs="Arial"/>
          <w:b/>
        </w:rPr>
        <w:t>.</w:t>
      </w:r>
      <w:r w:rsidR="00B17CF4" w:rsidRPr="00241FAC">
        <w:rPr>
          <w:rFonts w:cs="Arial"/>
          <w:b/>
        </w:rPr>
        <w:t>4</w:t>
      </w:r>
      <w:r w:rsidR="0009687C" w:rsidRPr="00241FAC">
        <w:rPr>
          <w:rFonts w:cs="Arial"/>
          <w:b/>
        </w:rPr>
        <w:t>.</w:t>
      </w:r>
      <w:r w:rsidR="00E759BE" w:rsidRPr="00241FAC">
        <w:rPr>
          <w:rFonts w:cs="Arial"/>
          <w:b/>
        </w:rPr>
        <w:tab/>
      </w:r>
      <w:r w:rsidR="00F21484" w:rsidRPr="00241FAC">
        <w:rPr>
          <w:rFonts w:cs="Arial"/>
          <w:b/>
        </w:rPr>
        <w:t>Contestación de la demanda</w:t>
      </w:r>
      <w:r w:rsidR="005173D2" w:rsidRPr="00241FAC">
        <w:rPr>
          <w:rFonts w:cs="Arial"/>
          <w:b/>
        </w:rPr>
        <w:t>.</w:t>
      </w:r>
    </w:p>
    <w:p w:rsidR="00F21484" w:rsidRPr="00241FAC" w:rsidRDefault="00F21484" w:rsidP="00F21484">
      <w:pPr>
        <w:rPr>
          <w:rFonts w:cs="Arial"/>
          <w:b/>
          <w:bCs/>
          <w:iCs/>
        </w:rPr>
      </w:pPr>
    </w:p>
    <w:p w:rsidR="002F59D3" w:rsidRPr="00241FAC" w:rsidRDefault="00435553" w:rsidP="0090169C">
      <w:pPr>
        <w:pStyle w:val="Continuarlista2"/>
        <w:ind w:left="0"/>
        <w:rPr>
          <w:rFonts w:cs="Arial"/>
        </w:rPr>
      </w:pPr>
      <w:r w:rsidRPr="00241FAC">
        <w:rPr>
          <w:rFonts w:cs="Arial"/>
        </w:rPr>
        <w:t xml:space="preserve">En la contestación </w:t>
      </w:r>
      <w:r w:rsidR="00216962" w:rsidRPr="00241FAC">
        <w:rPr>
          <w:rFonts w:cs="Arial"/>
        </w:rPr>
        <w:t>de</w:t>
      </w:r>
      <w:r w:rsidRPr="00241FAC">
        <w:rPr>
          <w:rFonts w:cs="Arial"/>
        </w:rPr>
        <w:t xml:space="preserve"> la demanda </w:t>
      </w:r>
      <w:r w:rsidR="0090169C" w:rsidRPr="00241FAC">
        <w:rPr>
          <w:rFonts w:cs="Arial"/>
        </w:rPr>
        <w:t xml:space="preserve">el </w:t>
      </w:r>
      <w:r w:rsidR="001D0D8E" w:rsidRPr="00241FAC">
        <w:rPr>
          <w:rFonts w:cs="Arial"/>
        </w:rPr>
        <w:t>Municipio de Purificación</w:t>
      </w:r>
      <w:r w:rsidR="009F072F" w:rsidRPr="00241FAC">
        <w:rPr>
          <w:rFonts w:cs="Arial"/>
        </w:rPr>
        <w:t xml:space="preserve"> aceptó los hechos relacionados con el desarrollo de la </w:t>
      </w:r>
      <w:r w:rsidR="00DC6D48" w:rsidRPr="00241FAC">
        <w:rPr>
          <w:rFonts w:cs="Arial"/>
        </w:rPr>
        <w:t>L</w:t>
      </w:r>
      <w:r w:rsidR="009F072F" w:rsidRPr="00241FAC">
        <w:rPr>
          <w:rFonts w:cs="Arial"/>
        </w:rPr>
        <w:t xml:space="preserve">icitación </w:t>
      </w:r>
      <w:r w:rsidR="00DC6D48" w:rsidRPr="00241FAC">
        <w:rPr>
          <w:rFonts w:cs="Arial"/>
        </w:rPr>
        <w:t>P</w:t>
      </w:r>
      <w:r w:rsidR="0016213E" w:rsidRPr="00241FAC">
        <w:rPr>
          <w:rFonts w:cs="Arial"/>
        </w:rPr>
        <w:t>ú</w:t>
      </w:r>
      <w:r w:rsidR="009F072F" w:rsidRPr="00241FAC">
        <w:rPr>
          <w:rFonts w:cs="Arial"/>
        </w:rPr>
        <w:t>blica</w:t>
      </w:r>
      <w:r w:rsidR="00DC6D48" w:rsidRPr="00241FAC">
        <w:rPr>
          <w:rFonts w:cs="Arial"/>
        </w:rPr>
        <w:t xml:space="preserve"> No. 01 y</w:t>
      </w:r>
      <w:r w:rsidR="001158A2" w:rsidRPr="00241FAC">
        <w:rPr>
          <w:rFonts w:cs="Arial"/>
        </w:rPr>
        <w:t xml:space="preserve"> advirtió</w:t>
      </w:r>
      <w:r w:rsidR="00114BD0" w:rsidRPr="00241FAC">
        <w:rPr>
          <w:rFonts w:cs="Arial"/>
        </w:rPr>
        <w:t xml:space="preserve"> </w:t>
      </w:r>
      <w:r w:rsidR="00DC6D48" w:rsidRPr="00241FAC">
        <w:rPr>
          <w:rFonts w:cs="Arial"/>
        </w:rPr>
        <w:t xml:space="preserve">que </w:t>
      </w:r>
      <w:r w:rsidR="001158A2" w:rsidRPr="00241FAC">
        <w:rPr>
          <w:rFonts w:cs="Arial"/>
        </w:rPr>
        <w:t>la Unión Temporal Construobras no consti</w:t>
      </w:r>
      <w:r w:rsidR="0007608D" w:rsidRPr="00241FAC">
        <w:rPr>
          <w:rFonts w:cs="Arial"/>
        </w:rPr>
        <w:t>t</w:t>
      </w:r>
      <w:r w:rsidR="001158A2" w:rsidRPr="00241FAC">
        <w:rPr>
          <w:rFonts w:cs="Arial"/>
        </w:rPr>
        <w:t xml:space="preserve">uyó la póliza de seriedad de la oferta por el </w:t>
      </w:r>
      <w:r w:rsidR="00B45A78" w:rsidRPr="00241FAC">
        <w:rPr>
          <w:rFonts w:cs="Arial"/>
        </w:rPr>
        <w:t xml:space="preserve">plazo </w:t>
      </w:r>
      <w:r w:rsidR="001158A2" w:rsidRPr="00241FAC">
        <w:rPr>
          <w:rFonts w:cs="Arial"/>
        </w:rPr>
        <w:t xml:space="preserve">requerido; </w:t>
      </w:r>
      <w:r w:rsidR="00835DC2" w:rsidRPr="00241FAC">
        <w:rPr>
          <w:rFonts w:cs="Arial"/>
        </w:rPr>
        <w:t xml:space="preserve">la experiencia acreditada </w:t>
      </w:r>
      <w:r w:rsidR="00114BD0" w:rsidRPr="00241FAC">
        <w:rPr>
          <w:rFonts w:cs="Arial"/>
        </w:rPr>
        <w:t xml:space="preserve">por la Unión Temporal Construobras </w:t>
      </w:r>
      <w:r w:rsidR="00835DC2" w:rsidRPr="00241FAC">
        <w:rPr>
          <w:rFonts w:cs="Arial"/>
        </w:rPr>
        <w:t xml:space="preserve">fue debidamente calificada; </w:t>
      </w:r>
      <w:r w:rsidR="00216962" w:rsidRPr="00241FAC">
        <w:rPr>
          <w:rFonts w:cs="Arial"/>
        </w:rPr>
        <w:t xml:space="preserve">de acuerdo con </w:t>
      </w:r>
      <w:r w:rsidR="00130EAA" w:rsidRPr="00241FAC">
        <w:rPr>
          <w:rFonts w:cs="Arial"/>
        </w:rPr>
        <w:t xml:space="preserve">la información </w:t>
      </w:r>
      <w:r w:rsidR="00114BD0" w:rsidRPr="00241FAC">
        <w:rPr>
          <w:rFonts w:cs="Arial"/>
        </w:rPr>
        <w:t xml:space="preserve">presentada </w:t>
      </w:r>
      <w:r w:rsidR="00216962" w:rsidRPr="00241FAC">
        <w:rPr>
          <w:rFonts w:cs="Arial"/>
        </w:rPr>
        <w:t xml:space="preserve">por </w:t>
      </w:r>
      <w:r w:rsidR="00835DC2" w:rsidRPr="00241FAC">
        <w:rPr>
          <w:rFonts w:cs="Arial"/>
        </w:rPr>
        <w:t xml:space="preserve">la </w:t>
      </w:r>
      <w:r w:rsidR="00A54A81" w:rsidRPr="00241FAC">
        <w:rPr>
          <w:rFonts w:cs="Arial"/>
        </w:rPr>
        <w:t xml:space="preserve">Unión Temporal </w:t>
      </w:r>
      <w:r w:rsidR="00A72AA6" w:rsidRPr="00241FAC">
        <w:rPr>
          <w:rFonts w:cs="Arial"/>
        </w:rPr>
        <w:t>C</w:t>
      </w:r>
      <w:r w:rsidR="00B45A78" w:rsidRPr="00241FAC">
        <w:rPr>
          <w:rFonts w:cs="Arial"/>
        </w:rPr>
        <w:t>onstruobras</w:t>
      </w:r>
      <w:r w:rsidR="00216962" w:rsidRPr="00241FAC">
        <w:rPr>
          <w:rFonts w:cs="Arial"/>
        </w:rPr>
        <w:t xml:space="preserve">, esta proponente </w:t>
      </w:r>
      <w:r w:rsidR="00130EAA" w:rsidRPr="00241FAC">
        <w:rPr>
          <w:rFonts w:cs="Arial"/>
        </w:rPr>
        <w:t xml:space="preserve">realmente </w:t>
      </w:r>
      <w:r w:rsidR="00A54A81" w:rsidRPr="00241FAC">
        <w:rPr>
          <w:rFonts w:cs="Arial"/>
        </w:rPr>
        <w:t xml:space="preserve">no cumplía con la solidez </w:t>
      </w:r>
      <w:r w:rsidR="00835DC2" w:rsidRPr="00241FAC">
        <w:rPr>
          <w:rFonts w:cs="Arial"/>
        </w:rPr>
        <w:t xml:space="preserve">financiera </w:t>
      </w:r>
      <w:r w:rsidR="00A54A81" w:rsidRPr="00241FAC">
        <w:rPr>
          <w:rFonts w:cs="Arial"/>
        </w:rPr>
        <w:t>requerida</w:t>
      </w:r>
      <w:r w:rsidR="00130EAA" w:rsidRPr="00241FAC">
        <w:rPr>
          <w:rFonts w:cs="Arial"/>
        </w:rPr>
        <w:t xml:space="preserve"> para ejecutar el contrato</w:t>
      </w:r>
      <w:r w:rsidR="00A54A81" w:rsidRPr="00241FAC">
        <w:rPr>
          <w:rFonts w:cs="Arial"/>
        </w:rPr>
        <w:t xml:space="preserve">; el puntaje asignado a los tiempos de programación de obra </w:t>
      </w:r>
      <w:r w:rsidR="00114BD0" w:rsidRPr="00241FAC">
        <w:rPr>
          <w:rFonts w:cs="Arial"/>
        </w:rPr>
        <w:t xml:space="preserve">de </w:t>
      </w:r>
      <w:r w:rsidR="00B45A78" w:rsidRPr="00241FAC">
        <w:rPr>
          <w:rFonts w:cs="Arial"/>
        </w:rPr>
        <w:t xml:space="preserve">la Unión Temporal Construobras </w:t>
      </w:r>
      <w:r w:rsidR="00114BD0" w:rsidRPr="00241FAC">
        <w:rPr>
          <w:rFonts w:cs="Arial"/>
        </w:rPr>
        <w:t xml:space="preserve">correspondió a que </w:t>
      </w:r>
      <w:r w:rsidR="00A54A81" w:rsidRPr="00241FAC">
        <w:rPr>
          <w:rFonts w:cs="Arial"/>
        </w:rPr>
        <w:t xml:space="preserve">no </w:t>
      </w:r>
      <w:r w:rsidR="00A72AA6" w:rsidRPr="00241FAC">
        <w:rPr>
          <w:rFonts w:cs="Arial"/>
        </w:rPr>
        <w:t xml:space="preserve">incluyó </w:t>
      </w:r>
      <w:r w:rsidR="002F720A" w:rsidRPr="00241FAC">
        <w:rPr>
          <w:rFonts w:cs="Arial"/>
        </w:rPr>
        <w:t>tiempos de holgura en la ruta crítica</w:t>
      </w:r>
      <w:r w:rsidR="00B45A78" w:rsidRPr="00241FAC">
        <w:rPr>
          <w:rFonts w:cs="Arial"/>
        </w:rPr>
        <w:t xml:space="preserve"> </w:t>
      </w:r>
      <w:r w:rsidR="00E30587" w:rsidRPr="00241FAC">
        <w:rPr>
          <w:rFonts w:cs="Arial"/>
        </w:rPr>
        <w:t>frente al diagrama de Gantt</w:t>
      </w:r>
      <w:r w:rsidR="002F720A" w:rsidRPr="00241FAC">
        <w:rPr>
          <w:rFonts w:cs="Arial"/>
        </w:rPr>
        <w:t xml:space="preserve"> presentado por la </w:t>
      </w:r>
      <w:r w:rsidR="00A72AA6" w:rsidRPr="00241FAC">
        <w:rPr>
          <w:rFonts w:cs="Arial"/>
        </w:rPr>
        <w:t xml:space="preserve">misma </w:t>
      </w:r>
      <w:r w:rsidR="002F720A" w:rsidRPr="00241FAC">
        <w:rPr>
          <w:rFonts w:cs="Arial"/>
        </w:rPr>
        <w:t xml:space="preserve">Unión </w:t>
      </w:r>
      <w:r w:rsidR="00130EAA" w:rsidRPr="00241FAC">
        <w:rPr>
          <w:rFonts w:cs="Arial"/>
        </w:rPr>
        <w:t>T</w:t>
      </w:r>
      <w:r w:rsidR="002F720A" w:rsidRPr="00241FAC">
        <w:rPr>
          <w:rFonts w:cs="Arial"/>
        </w:rPr>
        <w:t xml:space="preserve">emporal. </w:t>
      </w:r>
    </w:p>
    <w:p w:rsidR="002F59D3" w:rsidRPr="00241FAC" w:rsidRDefault="002F59D3" w:rsidP="0090169C">
      <w:pPr>
        <w:pStyle w:val="Continuarlista2"/>
        <w:ind w:left="0"/>
        <w:rPr>
          <w:rFonts w:cs="Arial"/>
        </w:rPr>
      </w:pPr>
    </w:p>
    <w:p w:rsidR="00B45A78" w:rsidRPr="00241FAC" w:rsidRDefault="002F720A" w:rsidP="0090169C">
      <w:pPr>
        <w:pStyle w:val="Continuarlista2"/>
        <w:ind w:left="0"/>
        <w:rPr>
          <w:rFonts w:cs="Arial"/>
        </w:rPr>
      </w:pPr>
      <w:r w:rsidRPr="00241FAC">
        <w:rPr>
          <w:rFonts w:cs="Arial"/>
        </w:rPr>
        <w:t xml:space="preserve">Igualmente </w:t>
      </w:r>
      <w:r w:rsidR="00796E33" w:rsidRPr="00241FAC">
        <w:rPr>
          <w:rFonts w:cs="Arial"/>
        </w:rPr>
        <w:t xml:space="preserve">el Municipio de Purificación </w:t>
      </w:r>
      <w:r w:rsidR="005E709B" w:rsidRPr="00241FAC">
        <w:rPr>
          <w:rFonts w:cs="Arial"/>
        </w:rPr>
        <w:t xml:space="preserve">sostuvo </w:t>
      </w:r>
      <w:r w:rsidR="00835DC2" w:rsidRPr="00241FAC">
        <w:rPr>
          <w:rFonts w:cs="Arial"/>
        </w:rPr>
        <w:t xml:space="preserve">que </w:t>
      </w:r>
      <w:r w:rsidR="00F41F98" w:rsidRPr="00241FAC">
        <w:rPr>
          <w:rFonts w:cs="Arial"/>
        </w:rPr>
        <w:t>aunque el Consorcio Luis E. Gómez y otro</w:t>
      </w:r>
      <w:r w:rsidR="00481155" w:rsidRPr="00241FAC">
        <w:rPr>
          <w:rFonts w:cs="Arial"/>
        </w:rPr>
        <w:t>,</w:t>
      </w:r>
      <w:r w:rsidR="00F41F98" w:rsidRPr="00241FAC">
        <w:rPr>
          <w:rFonts w:cs="Arial"/>
        </w:rPr>
        <w:t xml:space="preserve"> presentó un </w:t>
      </w:r>
      <w:r w:rsidR="00796E33" w:rsidRPr="00241FAC">
        <w:rPr>
          <w:rFonts w:cs="Arial"/>
          <w:i/>
        </w:rPr>
        <w:t>“</w:t>
      </w:r>
      <w:r w:rsidR="00F41F98" w:rsidRPr="00241FAC">
        <w:rPr>
          <w:rFonts w:cs="Arial"/>
          <w:i/>
        </w:rPr>
        <w:t>oficio</w:t>
      </w:r>
      <w:r w:rsidR="00796E33" w:rsidRPr="00241FAC">
        <w:rPr>
          <w:rFonts w:cs="Arial"/>
          <w:i/>
        </w:rPr>
        <w:t>”</w:t>
      </w:r>
      <w:r w:rsidR="00796E33" w:rsidRPr="00241FAC">
        <w:rPr>
          <w:rFonts w:cs="Arial"/>
        </w:rPr>
        <w:t xml:space="preserve"> </w:t>
      </w:r>
      <w:r w:rsidR="00F41F98" w:rsidRPr="00241FAC">
        <w:rPr>
          <w:rFonts w:cs="Arial"/>
        </w:rPr>
        <w:t>titulado Cronograma de Activi</w:t>
      </w:r>
      <w:r w:rsidR="00835DC2" w:rsidRPr="00241FAC">
        <w:rPr>
          <w:rFonts w:cs="Arial"/>
        </w:rPr>
        <w:t>d</w:t>
      </w:r>
      <w:r w:rsidR="00F41F98" w:rsidRPr="00241FAC">
        <w:rPr>
          <w:rFonts w:cs="Arial"/>
        </w:rPr>
        <w:t xml:space="preserve">ades, </w:t>
      </w:r>
      <w:r w:rsidR="007E68B4" w:rsidRPr="00241FAC">
        <w:rPr>
          <w:rFonts w:cs="Arial"/>
        </w:rPr>
        <w:t xml:space="preserve">en el cual </w:t>
      </w:r>
      <w:r w:rsidR="00F41F98" w:rsidRPr="00241FAC">
        <w:rPr>
          <w:rFonts w:cs="Arial"/>
        </w:rPr>
        <w:t>la información s</w:t>
      </w:r>
      <w:r w:rsidR="00130EAA" w:rsidRPr="00241FAC">
        <w:rPr>
          <w:rFonts w:cs="Arial"/>
        </w:rPr>
        <w:t>í</w:t>
      </w:r>
      <w:r w:rsidR="00F41F98" w:rsidRPr="00241FAC">
        <w:rPr>
          <w:rFonts w:cs="Arial"/>
        </w:rPr>
        <w:t xml:space="preserve"> </w:t>
      </w:r>
      <w:r w:rsidR="00835DC2" w:rsidRPr="00241FAC">
        <w:rPr>
          <w:rFonts w:cs="Arial"/>
        </w:rPr>
        <w:t xml:space="preserve">estaba </w:t>
      </w:r>
      <w:r w:rsidR="00F41F98" w:rsidRPr="00241FAC">
        <w:rPr>
          <w:rFonts w:cs="Arial"/>
        </w:rPr>
        <w:t xml:space="preserve">detallada </w:t>
      </w:r>
      <w:r w:rsidR="00130EAA" w:rsidRPr="00241FAC">
        <w:rPr>
          <w:rFonts w:cs="Arial"/>
        </w:rPr>
        <w:t xml:space="preserve">-y </w:t>
      </w:r>
      <w:r w:rsidR="00F41F98" w:rsidRPr="00241FAC">
        <w:rPr>
          <w:rFonts w:cs="Arial"/>
        </w:rPr>
        <w:t>con mucha mayor precisi</w:t>
      </w:r>
      <w:r w:rsidR="00835DC2" w:rsidRPr="00241FAC">
        <w:rPr>
          <w:rFonts w:cs="Arial"/>
        </w:rPr>
        <w:t>ó</w:t>
      </w:r>
      <w:r w:rsidR="00F41F98" w:rsidRPr="00241FAC">
        <w:rPr>
          <w:rFonts w:cs="Arial"/>
        </w:rPr>
        <w:t>n</w:t>
      </w:r>
      <w:r w:rsidR="00130EAA" w:rsidRPr="00241FAC">
        <w:rPr>
          <w:rFonts w:cs="Arial"/>
        </w:rPr>
        <w:t>-</w:t>
      </w:r>
      <w:r w:rsidR="00F41F98" w:rsidRPr="00241FAC">
        <w:rPr>
          <w:rFonts w:cs="Arial"/>
        </w:rPr>
        <w:t xml:space="preserve"> </w:t>
      </w:r>
      <w:r w:rsidR="007E68B4" w:rsidRPr="00241FAC">
        <w:rPr>
          <w:rFonts w:cs="Arial"/>
        </w:rPr>
        <w:t xml:space="preserve">que </w:t>
      </w:r>
      <w:r w:rsidR="00F41F98" w:rsidRPr="00241FAC">
        <w:rPr>
          <w:rFonts w:cs="Arial"/>
        </w:rPr>
        <w:t>en el Diagrama de Gan</w:t>
      </w:r>
      <w:r w:rsidR="00835DC2" w:rsidRPr="00241FAC">
        <w:rPr>
          <w:rFonts w:cs="Arial"/>
        </w:rPr>
        <w:t>tt</w:t>
      </w:r>
      <w:r w:rsidR="007E68B4" w:rsidRPr="00241FAC">
        <w:rPr>
          <w:rFonts w:cs="Arial"/>
        </w:rPr>
        <w:t>.</w:t>
      </w:r>
    </w:p>
    <w:p w:rsidR="00481155" w:rsidRPr="00241FAC" w:rsidRDefault="00481155" w:rsidP="0090169C">
      <w:pPr>
        <w:pStyle w:val="Continuarlista2"/>
        <w:ind w:left="0"/>
        <w:rPr>
          <w:rFonts w:cs="Arial"/>
        </w:rPr>
      </w:pPr>
    </w:p>
    <w:p w:rsidR="009723C6" w:rsidRPr="00241FAC" w:rsidRDefault="00796E33" w:rsidP="00C86844">
      <w:pPr>
        <w:pStyle w:val="Lista5"/>
        <w:ind w:left="0" w:firstLine="0"/>
        <w:rPr>
          <w:rFonts w:cs="Arial"/>
        </w:rPr>
      </w:pPr>
      <w:r w:rsidRPr="00241FAC">
        <w:rPr>
          <w:rFonts w:cs="Arial"/>
        </w:rPr>
        <w:t xml:space="preserve">Por su parte, </w:t>
      </w:r>
      <w:r w:rsidR="0042193F" w:rsidRPr="00241FAC">
        <w:rPr>
          <w:rFonts w:cs="Arial"/>
        </w:rPr>
        <w:t>el Consorcio Lui</w:t>
      </w:r>
      <w:r w:rsidR="0007608D" w:rsidRPr="00241FAC">
        <w:rPr>
          <w:rFonts w:cs="Arial"/>
        </w:rPr>
        <w:t>s</w:t>
      </w:r>
      <w:r w:rsidR="0042193F" w:rsidRPr="00241FAC">
        <w:rPr>
          <w:rFonts w:cs="Arial"/>
        </w:rPr>
        <w:t xml:space="preserve"> E. Gómez y otro, </w:t>
      </w:r>
      <w:r w:rsidRPr="00241FAC">
        <w:rPr>
          <w:rFonts w:cs="Arial"/>
        </w:rPr>
        <w:t xml:space="preserve">en la contestación a la demanda </w:t>
      </w:r>
      <w:r w:rsidR="0042193F" w:rsidRPr="00241FAC">
        <w:rPr>
          <w:rFonts w:cs="Arial"/>
        </w:rPr>
        <w:t>puso de presente que e</w:t>
      </w:r>
      <w:r w:rsidR="00C94CE6" w:rsidRPr="00241FAC">
        <w:rPr>
          <w:rFonts w:cs="Arial"/>
        </w:rPr>
        <w:t xml:space="preserve">l ingeniero Carlos Fernando Córdoba </w:t>
      </w:r>
      <w:r w:rsidR="005E709B" w:rsidRPr="00241FAC">
        <w:rPr>
          <w:rFonts w:cs="Arial"/>
        </w:rPr>
        <w:t>A</w:t>
      </w:r>
      <w:r w:rsidR="00C94CE6" w:rsidRPr="00241FAC">
        <w:rPr>
          <w:rFonts w:cs="Arial"/>
        </w:rPr>
        <w:t>vil</w:t>
      </w:r>
      <w:r w:rsidR="005E709B" w:rsidRPr="00241FAC">
        <w:rPr>
          <w:rFonts w:cs="Arial"/>
        </w:rPr>
        <w:t>és</w:t>
      </w:r>
      <w:r w:rsidR="00C94CE6" w:rsidRPr="00241FAC">
        <w:rPr>
          <w:rFonts w:cs="Arial"/>
        </w:rPr>
        <w:t>, asumi</w:t>
      </w:r>
      <w:r w:rsidR="0042193F" w:rsidRPr="00241FAC">
        <w:rPr>
          <w:rFonts w:cs="Arial"/>
        </w:rPr>
        <w:t>ó</w:t>
      </w:r>
      <w:r w:rsidR="00C94CE6" w:rsidRPr="00241FAC">
        <w:rPr>
          <w:rFonts w:cs="Arial"/>
        </w:rPr>
        <w:t xml:space="preserve"> la defensa del </w:t>
      </w:r>
      <w:r w:rsidR="007D2C3D" w:rsidRPr="00241FAC">
        <w:rPr>
          <w:rFonts w:cs="Arial"/>
        </w:rPr>
        <w:t xml:space="preserve">citado </w:t>
      </w:r>
      <w:r w:rsidR="0042193F" w:rsidRPr="00241FAC">
        <w:rPr>
          <w:rFonts w:cs="Arial"/>
        </w:rPr>
        <w:t>c</w:t>
      </w:r>
      <w:r w:rsidR="00C94CE6" w:rsidRPr="00241FAC">
        <w:rPr>
          <w:rFonts w:cs="Arial"/>
        </w:rPr>
        <w:t xml:space="preserve">onsorcio </w:t>
      </w:r>
      <w:r w:rsidR="0042193F" w:rsidRPr="00241FAC">
        <w:rPr>
          <w:rFonts w:cs="Arial"/>
        </w:rPr>
        <w:t xml:space="preserve">ante la muerte violenta del </w:t>
      </w:r>
      <w:r w:rsidR="007E68B4" w:rsidRPr="00241FAC">
        <w:rPr>
          <w:rFonts w:cs="Arial"/>
        </w:rPr>
        <w:t xml:space="preserve">anterior representante legal, </w:t>
      </w:r>
      <w:r w:rsidR="0042193F" w:rsidRPr="00241FAC">
        <w:rPr>
          <w:rFonts w:cs="Arial"/>
        </w:rPr>
        <w:t xml:space="preserve">ingeniero Luis Eduardo Gómez Reinoso, </w:t>
      </w:r>
      <w:r w:rsidR="00D76A3E" w:rsidRPr="00241FAC">
        <w:rPr>
          <w:rFonts w:cs="Arial"/>
        </w:rPr>
        <w:t>según fue reconocido por el Municipio de Purificación en la ejecución del respectivo contrato</w:t>
      </w:r>
      <w:r w:rsidR="002F59D3" w:rsidRPr="00241FAC">
        <w:rPr>
          <w:rFonts w:cs="Arial"/>
        </w:rPr>
        <w:t xml:space="preserve">; </w:t>
      </w:r>
      <w:r w:rsidR="007A65B3" w:rsidRPr="00241FAC">
        <w:rPr>
          <w:rFonts w:cs="Arial"/>
        </w:rPr>
        <w:t xml:space="preserve">así las cosas, </w:t>
      </w:r>
      <w:r w:rsidR="002F59D3" w:rsidRPr="00241FAC">
        <w:rPr>
          <w:rFonts w:cs="Arial"/>
        </w:rPr>
        <w:t xml:space="preserve">el ingeniero Córdoba </w:t>
      </w:r>
      <w:r w:rsidR="005E709B" w:rsidRPr="00241FAC">
        <w:rPr>
          <w:rFonts w:cs="Arial"/>
        </w:rPr>
        <w:t>Avilés</w:t>
      </w:r>
      <w:r w:rsidR="002F59D3" w:rsidRPr="00241FAC">
        <w:rPr>
          <w:rFonts w:cs="Arial"/>
        </w:rPr>
        <w:t xml:space="preserve">, reconocido por la entidad contratante, procedió a constituir </w:t>
      </w:r>
      <w:r w:rsidR="00C86844" w:rsidRPr="00241FAC">
        <w:rPr>
          <w:rFonts w:cs="Arial"/>
        </w:rPr>
        <w:t>apoderado judicial</w:t>
      </w:r>
      <w:r w:rsidR="007B3B9E" w:rsidRPr="00241FAC">
        <w:rPr>
          <w:rFonts w:cs="Arial"/>
        </w:rPr>
        <w:t xml:space="preserve"> el cual </w:t>
      </w:r>
      <w:r w:rsidR="00C86844" w:rsidRPr="00241FAC">
        <w:rPr>
          <w:rFonts w:cs="Arial"/>
        </w:rPr>
        <w:t xml:space="preserve">se hizo parte en el proceso con poder otorgado el 27 de febrero de 2003 (folio 123, cuaderno 1), oportunidad en la cual presentó </w:t>
      </w:r>
      <w:r w:rsidR="00D76A3E" w:rsidRPr="00241FAC">
        <w:rPr>
          <w:rFonts w:cs="Arial"/>
        </w:rPr>
        <w:t xml:space="preserve">además </w:t>
      </w:r>
      <w:r w:rsidR="00C86844" w:rsidRPr="00241FAC">
        <w:rPr>
          <w:rFonts w:cs="Arial"/>
        </w:rPr>
        <w:t xml:space="preserve">el </w:t>
      </w:r>
      <w:r w:rsidR="000400F3" w:rsidRPr="00241FAC">
        <w:rPr>
          <w:rFonts w:cs="Arial"/>
        </w:rPr>
        <w:t>“</w:t>
      </w:r>
      <w:r w:rsidR="00C86844" w:rsidRPr="00241FAC">
        <w:rPr>
          <w:rFonts w:cs="Arial"/>
        </w:rPr>
        <w:t xml:space="preserve">documento </w:t>
      </w:r>
      <w:r w:rsidR="007B3B9E" w:rsidRPr="00241FAC">
        <w:rPr>
          <w:rFonts w:cs="Arial"/>
        </w:rPr>
        <w:t>constitutivo</w:t>
      </w:r>
      <w:r w:rsidR="000400F3" w:rsidRPr="00241FAC">
        <w:rPr>
          <w:rFonts w:cs="Arial"/>
        </w:rPr>
        <w:t>”</w:t>
      </w:r>
      <w:r w:rsidR="007B3B9E" w:rsidRPr="00241FAC">
        <w:rPr>
          <w:rFonts w:cs="Arial"/>
        </w:rPr>
        <w:t xml:space="preserve"> del </w:t>
      </w:r>
      <w:r w:rsidR="00C86844" w:rsidRPr="00241FAC">
        <w:rPr>
          <w:rFonts w:cs="Arial"/>
        </w:rPr>
        <w:t xml:space="preserve">Consorcio </w:t>
      </w:r>
      <w:r w:rsidR="007B3B9E" w:rsidRPr="00241FAC">
        <w:rPr>
          <w:rFonts w:cs="Arial"/>
        </w:rPr>
        <w:t xml:space="preserve">mencionado, </w:t>
      </w:r>
      <w:r w:rsidR="00C86844" w:rsidRPr="00241FAC">
        <w:rPr>
          <w:rFonts w:cs="Arial"/>
        </w:rPr>
        <w:t xml:space="preserve">de fecha 25 de agosto de </w:t>
      </w:r>
      <w:r w:rsidR="00C86844" w:rsidRPr="00241FAC">
        <w:rPr>
          <w:rFonts w:cs="Arial"/>
        </w:rPr>
        <w:lastRenderedPageBreak/>
        <w:t xml:space="preserve">2000, suscrito por Carlos Fernando Córdoba </w:t>
      </w:r>
      <w:r w:rsidR="005E709B" w:rsidRPr="00241FAC">
        <w:rPr>
          <w:rFonts w:cs="Arial"/>
        </w:rPr>
        <w:t>Avilés</w:t>
      </w:r>
      <w:r w:rsidR="00C86844" w:rsidRPr="00241FAC">
        <w:rPr>
          <w:rFonts w:cs="Arial"/>
        </w:rPr>
        <w:t xml:space="preserve"> y Luis Eduardo Gómez Reinoso, </w:t>
      </w:r>
      <w:r w:rsidR="007A65B3" w:rsidRPr="00241FAC">
        <w:rPr>
          <w:rFonts w:cs="Arial"/>
        </w:rPr>
        <w:t>e</w:t>
      </w:r>
      <w:r w:rsidR="00C86844" w:rsidRPr="00241FAC">
        <w:rPr>
          <w:rFonts w:cs="Arial"/>
        </w:rPr>
        <w:t xml:space="preserve"> </w:t>
      </w:r>
      <w:r w:rsidR="007B3B9E" w:rsidRPr="00241FAC">
        <w:rPr>
          <w:rFonts w:cs="Arial"/>
        </w:rPr>
        <w:t xml:space="preserve">invocó </w:t>
      </w:r>
      <w:r w:rsidR="00C86844" w:rsidRPr="00241FAC">
        <w:rPr>
          <w:rFonts w:cs="Arial"/>
        </w:rPr>
        <w:t xml:space="preserve">la Resolución No. </w:t>
      </w:r>
      <w:r w:rsidR="007B3B9E" w:rsidRPr="00241FAC">
        <w:rPr>
          <w:rFonts w:cs="Arial"/>
        </w:rPr>
        <w:t>0</w:t>
      </w:r>
      <w:r w:rsidR="00C86844" w:rsidRPr="00241FAC">
        <w:rPr>
          <w:rFonts w:cs="Arial"/>
        </w:rPr>
        <w:t xml:space="preserve">82 de 20 de marzo de 2001, mediante la cual la Alcaldía del Municipio de Purificación, habiendo sido informada del fallecimiento del ingeniero Luis E. Gómez Reinoso, representante legal inicial y obrando de acuerdo con la solicitud del único </w:t>
      </w:r>
      <w:r w:rsidR="00567DA6" w:rsidRPr="00241FAC">
        <w:rPr>
          <w:rFonts w:cs="Arial"/>
        </w:rPr>
        <w:t xml:space="preserve">integrante del </w:t>
      </w:r>
      <w:r w:rsidR="000400F3" w:rsidRPr="00241FAC">
        <w:rPr>
          <w:rFonts w:cs="Arial"/>
        </w:rPr>
        <w:t>C</w:t>
      </w:r>
      <w:r w:rsidR="00C86844" w:rsidRPr="00241FAC">
        <w:rPr>
          <w:rFonts w:cs="Arial"/>
        </w:rPr>
        <w:t>onsorci</w:t>
      </w:r>
      <w:r w:rsidR="00567DA6" w:rsidRPr="00241FAC">
        <w:rPr>
          <w:rFonts w:cs="Arial"/>
        </w:rPr>
        <w:t>o</w:t>
      </w:r>
      <w:r w:rsidR="00C86844" w:rsidRPr="00241FAC">
        <w:rPr>
          <w:rFonts w:cs="Arial"/>
        </w:rPr>
        <w:t xml:space="preserve">, resolvió reconocer </w:t>
      </w:r>
      <w:r w:rsidR="009723C6" w:rsidRPr="00241FAC">
        <w:rPr>
          <w:rFonts w:cs="Arial"/>
        </w:rPr>
        <w:t xml:space="preserve">al ingeniero Carlos </w:t>
      </w:r>
      <w:r w:rsidR="007B3B9E" w:rsidRPr="00241FAC">
        <w:rPr>
          <w:rFonts w:cs="Arial"/>
        </w:rPr>
        <w:t xml:space="preserve">Fernando </w:t>
      </w:r>
      <w:proofErr w:type="spellStart"/>
      <w:r w:rsidR="009723C6" w:rsidRPr="00241FAC">
        <w:rPr>
          <w:rFonts w:cs="Arial"/>
        </w:rPr>
        <w:t>Cordoba</w:t>
      </w:r>
      <w:proofErr w:type="spellEnd"/>
      <w:r w:rsidR="009723C6" w:rsidRPr="00241FAC">
        <w:rPr>
          <w:rFonts w:cs="Arial"/>
        </w:rPr>
        <w:t xml:space="preserve"> </w:t>
      </w:r>
      <w:r w:rsidR="005E709B" w:rsidRPr="00241FAC">
        <w:rPr>
          <w:rFonts w:cs="Arial"/>
        </w:rPr>
        <w:t>Avilés</w:t>
      </w:r>
      <w:r w:rsidR="009723C6" w:rsidRPr="00241FAC">
        <w:rPr>
          <w:rFonts w:cs="Arial"/>
        </w:rPr>
        <w:t xml:space="preserve">, para efectos de la ejecución del </w:t>
      </w:r>
      <w:r w:rsidR="000400F3" w:rsidRPr="00241FAC">
        <w:rPr>
          <w:rFonts w:cs="Arial"/>
        </w:rPr>
        <w:t>C</w:t>
      </w:r>
      <w:r w:rsidR="009723C6" w:rsidRPr="00241FAC">
        <w:rPr>
          <w:rFonts w:cs="Arial"/>
        </w:rPr>
        <w:t xml:space="preserve">ontrato </w:t>
      </w:r>
      <w:r w:rsidR="00C86844" w:rsidRPr="00241FAC">
        <w:rPr>
          <w:rFonts w:cs="Arial"/>
        </w:rPr>
        <w:t>No. 176 de 2000</w:t>
      </w:r>
      <w:r w:rsidR="001749C7" w:rsidRPr="00241FAC">
        <w:rPr>
          <w:rFonts w:cs="Arial"/>
        </w:rPr>
        <w:t xml:space="preserve">, </w:t>
      </w:r>
      <w:r w:rsidR="009723C6" w:rsidRPr="00241FAC">
        <w:rPr>
          <w:rFonts w:cs="Arial"/>
        </w:rPr>
        <w:t xml:space="preserve">correspondiente a la construcción de la </w:t>
      </w:r>
      <w:r w:rsidR="00567DA6" w:rsidRPr="00241FAC">
        <w:rPr>
          <w:rFonts w:cs="Arial"/>
        </w:rPr>
        <w:t>P</w:t>
      </w:r>
      <w:r w:rsidR="009723C6" w:rsidRPr="00241FAC">
        <w:rPr>
          <w:rFonts w:cs="Arial"/>
        </w:rPr>
        <w:t xml:space="preserve">rimera </w:t>
      </w:r>
      <w:r w:rsidR="00567DA6" w:rsidRPr="00241FAC">
        <w:rPr>
          <w:rFonts w:cs="Arial"/>
        </w:rPr>
        <w:t>E</w:t>
      </w:r>
      <w:r w:rsidR="009723C6" w:rsidRPr="00241FAC">
        <w:rPr>
          <w:rFonts w:cs="Arial"/>
        </w:rPr>
        <w:t xml:space="preserve">tapa del </w:t>
      </w:r>
      <w:r w:rsidR="00567DA6" w:rsidRPr="00241FAC">
        <w:rPr>
          <w:rFonts w:cs="Arial"/>
        </w:rPr>
        <w:t>P</w:t>
      </w:r>
      <w:r w:rsidR="009723C6" w:rsidRPr="00241FAC">
        <w:rPr>
          <w:rFonts w:cs="Arial"/>
        </w:rPr>
        <w:t xml:space="preserve">arque </w:t>
      </w:r>
      <w:r w:rsidR="00567DA6" w:rsidRPr="00241FAC">
        <w:rPr>
          <w:rFonts w:cs="Arial"/>
        </w:rPr>
        <w:t>R</w:t>
      </w:r>
      <w:r w:rsidR="009723C6" w:rsidRPr="00241FAC">
        <w:rPr>
          <w:rFonts w:cs="Arial"/>
        </w:rPr>
        <w:t>ecreacional del Municipio de Purificación, según se lee en la citada Resolución.</w:t>
      </w:r>
    </w:p>
    <w:p w:rsidR="009723C6" w:rsidRPr="00241FAC" w:rsidRDefault="009723C6" w:rsidP="00F11F08">
      <w:pPr>
        <w:pStyle w:val="Continuarlista2"/>
        <w:ind w:left="0"/>
        <w:rPr>
          <w:rFonts w:cs="Arial"/>
        </w:rPr>
      </w:pPr>
    </w:p>
    <w:p w:rsidR="004C3F58" w:rsidRPr="00241FAC" w:rsidRDefault="007A65B3" w:rsidP="00AA6BD2">
      <w:pPr>
        <w:pStyle w:val="Continuarlista2"/>
        <w:ind w:left="0"/>
        <w:rPr>
          <w:rFonts w:cs="Arial"/>
        </w:rPr>
      </w:pPr>
      <w:r w:rsidRPr="00241FAC">
        <w:rPr>
          <w:rFonts w:cs="Arial"/>
        </w:rPr>
        <w:t xml:space="preserve">En relación con la </w:t>
      </w:r>
      <w:r w:rsidR="001749C7" w:rsidRPr="00241FAC">
        <w:rPr>
          <w:rFonts w:cs="Arial"/>
        </w:rPr>
        <w:t xml:space="preserve">demanda, </w:t>
      </w:r>
      <w:r w:rsidRPr="00241FAC">
        <w:rPr>
          <w:rFonts w:cs="Arial"/>
        </w:rPr>
        <w:t xml:space="preserve">observó </w:t>
      </w:r>
      <w:r w:rsidR="00BA49ED" w:rsidRPr="00241FAC">
        <w:rPr>
          <w:rFonts w:cs="Arial"/>
        </w:rPr>
        <w:t xml:space="preserve">que </w:t>
      </w:r>
      <w:r w:rsidR="00B64CDC" w:rsidRPr="00241FAC">
        <w:rPr>
          <w:rFonts w:cs="Arial"/>
        </w:rPr>
        <w:t xml:space="preserve">las </w:t>
      </w:r>
      <w:r w:rsidR="00FB4187" w:rsidRPr="00241FAC">
        <w:rPr>
          <w:rFonts w:cs="Arial"/>
        </w:rPr>
        <w:t xml:space="preserve">imputaciones de la </w:t>
      </w:r>
      <w:r w:rsidR="000400F3" w:rsidRPr="00241FAC">
        <w:rPr>
          <w:rFonts w:cs="Arial"/>
        </w:rPr>
        <w:t>misma</w:t>
      </w:r>
      <w:r w:rsidR="00FB4187" w:rsidRPr="00241FAC">
        <w:rPr>
          <w:rFonts w:cs="Arial"/>
        </w:rPr>
        <w:t xml:space="preserve"> se </w:t>
      </w:r>
      <w:r w:rsidR="007B3B9E" w:rsidRPr="00241FAC">
        <w:rPr>
          <w:rFonts w:cs="Arial"/>
        </w:rPr>
        <w:t xml:space="preserve">concentraban </w:t>
      </w:r>
      <w:r w:rsidR="00FB4187" w:rsidRPr="00241FAC">
        <w:rPr>
          <w:rFonts w:cs="Arial"/>
        </w:rPr>
        <w:t>en dos puntos</w:t>
      </w:r>
      <w:r w:rsidR="007B3B9E" w:rsidRPr="00241FAC">
        <w:rPr>
          <w:rFonts w:cs="Arial"/>
        </w:rPr>
        <w:t>, acerca de los cuales present</w:t>
      </w:r>
      <w:r w:rsidR="00B27352" w:rsidRPr="00241FAC">
        <w:rPr>
          <w:rFonts w:cs="Arial"/>
        </w:rPr>
        <w:t xml:space="preserve">ó </w:t>
      </w:r>
      <w:r w:rsidR="007B3B9E" w:rsidRPr="00241FAC">
        <w:rPr>
          <w:rFonts w:cs="Arial"/>
        </w:rPr>
        <w:t>su defensa así</w:t>
      </w:r>
      <w:r w:rsidR="00B27352" w:rsidRPr="00241FAC">
        <w:rPr>
          <w:rFonts w:cs="Arial"/>
        </w:rPr>
        <w:t>:</w:t>
      </w:r>
      <w:r w:rsidR="0060086E" w:rsidRPr="00241FAC">
        <w:rPr>
          <w:rFonts w:cs="Arial"/>
        </w:rPr>
        <w:t xml:space="preserve"> </w:t>
      </w:r>
      <w:r w:rsidR="00FB4187" w:rsidRPr="00241FAC">
        <w:rPr>
          <w:rFonts w:cs="Arial"/>
          <w:b/>
        </w:rPr>
        <w:t>i)</w:t>
      </w:r>
      <w:r w:rsidR="00FB4187" w:rsidRPr="00241FAC">
        <w:rPr>
          <w:rFonts w:cs="Arial"/>
        </w:rPr>
        <w:t xml:space="preserve"> </w:t>
      </w:r>
      <w:r w:rsidR="002F61F3" w:rsidRPr="00241FAC">
        <w:rPr>
          <w:rFonts w:cs="Arial"/>
        </w:rPr>
        <w:t xml:space="preserve">La calificación de cero puntos en la capacidad financiera </w:t>
      </w:r>
      <w:r w:rsidR="00B27352" w:rsidRPr="00241FAC">
        <w:rPr>
          <w:rFonts w:cs="Arial"/>
        </w:rPr>
        <w:t xml:space="preserve">obedeció a </w:t>
      </w:r>
      <w:r w:rsidR="002F61F3" w:rsidRPr="00241FAC">
        <w:rPr>
          <w:rFonts w:cs="Arial"/>
        </w:rPr>
        <w:t>las in</w:t>
      </w:r>
      <w:r w:rsidR="00B64CDC" w:rsidRPr="00241FAC">
        <w:rPr>
          <w:rFonts w:cs="Arial"/>
        </w:rPr>
        <w:t xml:space="preserve">consistencias </w:t>
      </w:r>
      <w:r w:rsidR="006B1989" w:rsidRPr="00241FAC">
        <w:rPr>
          <w:rFonts w:cs="Arial"/>
        </w:rPr>
        <w:t xml:space="preserve">en la información que fue presentada por </w:t>
      </w:r>
      <w:r w:rsidR="00B64CDC" w:rsidRPr="00241FAC">
        <w:rPr>
          <w:rFonts w:cs="Arial"/>
        </w:rPr>
        <w:t xml:space="preserve">la Unión Temporal Construobras, </w:t>
      </w:r>
      <w:r w:rsidR="00B27352" w:rsidRPr="00241FAC">
        <w:rPr>
          <w:rFonts w:cs="Arial"/>
        </w:rPr>
        <w:t xml:space="preserve">cuyas cifras </w:t>
      </w:r>
      <w:r w:rsidR="00B64CDC" w:rsidRPr="00241FAC">
        <w:rPr>
          <w:rFonts w:cs="Arial"/>
        </w:rPr>
        <w:t>hacían presagiar una total iliquidez</w:t>
      </w:r>
      <w:r w:rsidR="00481EDD" w:rsidRPr="00241FAC">
        <w:rPr>
          <w:rFonts w:cs="Arial"/>
        </w:rPr>
        <w:t xml:space="preserve"> y, </w:t>
      </w:r>
      <w:r w:rsidR="002F61F3" w:rsidRPr="00241FAC">
        <w:rPr>
          <w:rFonts w:cs="Arial"/>
          <w:b/>
        </w:rPr>
        <w:t>ii)</w:t>
      </w:r>
      <w:r w:rsidR="002F61F3" w:rsidRPr="00241FAC">
        <w:rPr>
          <w:rFonts w:cs="Arial"/>
        </w:rPr>
        <w:t xml:space="preserve"> </w:t>
      </w:r>
      <w:r w:rsidR="000C4C7A" w:rsidRPr="00241FAC">
        <w:rPr>
          <w:rFonts w:cs="Arial"/>
        </w:rPr>
        <w:t xml:space="preserve">La no exclusión del </w:t>
      </w:r>
      <w:r w:rsidR="00481EDD" w:rsidRPr="00241FAC">
        <w:rPr>
          <w:rFonts w:cs="Arial"/>
        </w:rPr>
        <w:t xml:space="preserve">Consorcio Luis E. Gómez y otro, </w:t>
      </w:r>
      <w:r w:rsidR="00B27352" w:rsidRPr="00241FAC">
        <w:rPr>
          <w:rFonts w:cs="Arial"/>
        </w:rPr>
        <w:t xml:space="preserve">fue totalmente ajustada al Pliego de condiciones </w:t>
      </w:r>
      <w:r w:rsidR="001F5566" w:rsidRPr="00241FAC">
        <w:rPr>
          <w:rFonts w:cs="Arial"/>
        </w:rPr>
        <w:t xml:space="preserve">puesto que </w:t>
      </w:r>
      <w:r w:rsidR="00481EDD" w:rsidRPr="00241FAC">
        <w:rPr>
          <w:rFonts w:cs="Arial"/>
        </w:rPr>
        <w:t xml:space="preserve">su </w:t>
      </w:r>
      <w:r w:rsidR="003D1E49" w:rsidRPr="00241FAC">
        <w:rPr>
          <w:rFonts w:cs="Arial"/>
        </w:rPr>
        <w:t xml:space="preserve">propuesta </w:t>
      </w:r>
      <w:r w:rsidR="00A7090B" w:rsidRPr="00241FAC">
        <w:rPr>
          <w:rFonts w:cs="Arial"/>
        </w:rPr>
        <w:t>fue calificad</w:t>
      </w:r>
      <w:r w:rsidR="003D1E49" w:rsidRPr="00241FAC">
        <w:rPr>
          <w:rFonts w:cs="Arial"/>
        </w:rPr>
        <w:t>a</w:t>
      </w:r>
      <w:r w:rsidR="00A7090B" w:rsidRPr="00241FAC">
        <w:rPr>
          <w:rFonts w:cs="Arial"/>
        </w:rPr>
        <w:t xml:space="preserve"> con cero puntos </w:t>
      </w:r>
      <w:r w:rsidR="005D05CB" w:rsidRPr="00241FAC">
        <w:rPr>
          <w:rFonts w:cs="Arial"/>
        </w:rPr>
        <w:t xml:space="preserve">en el ítem relacionado con </w:t>
      </w:r>
      <w:r w:rsidR="00A7090B" w:rsidRPr="00241FAC">
        <w:rPr>
          <w:rFonts w:cs="Arial"/>
        </w:rPr>
        <w:t>el cronograma</w:t>
      </w:r>
      <w:r w:rsidR="006B1989" w:rsidRPr="00241FAC">
        <w:rPr>
          <w:rFonts w:cs="Arial"/>
        </w:rPr>
        <w:t xml:space="preserve">, no con 110 puntos como afirmó el demandante y, </w:t>
      </w:r>
      <w:r w:rsidR="00A7090B" w:rsidRPr="00241FAC">
        <w:rPr>
          <w:rFonts w:cs="Arial"/>
        </w:rPr>
        <w:t>con el mismo rigor</w:t>
      </w:r>
      <w:r w:rsidR="006B1989" w:rsidRPr="00241FAC">
        <w:rPr>
          <w:rFonts w:cs="Arial"/>
        </w:rPr>
        <w:t>,</w:t>
      </w:r>
      <w:r w:rsidR="00A7090B" w:rsidRPr="00241FAC">
        <w:rPr>
          <w:rFonts w:cs="Arial"/>
        </w:rPr>
        <w:t xml:space="preserve"> </w:t>
      </w:r>
      <w:r w:rsidR="00AA6BD2" w:rsidRPr="00241FAC">
        <w:rPr>
          <w:rFonts w:cs="Arial"/>
        </w:rPr>
        <w:t xml:space="preserve">el Comité Evaluador </w:t>
      </w:r>
      <w:r w:rsidR="00A7090B" w:rsidRPr="00241FAC">
        <w:rPr>
          <w:rFonts w:cs="Arial"/>
        </w:rPr>
        <w:t xml:space="preserve">advirtió que la </w:t>
      </w:r>
      <w:r w:rsidR="005C6A33" w:rsidRPr="00241FAC">
        <w:rPr>
          <w:rFonts w:cs="Arial"/>
        </w:rPr>
        <w:t xml:space="preserve">demás </w:t>
      </w:r>
      <w:r w:rsidR="00A7090B" w:rsidRPr="00241FAC">
        <w:rPr>
          <w:rFonts w:cs="Arial"/>
        </w:rPr>
        <w:t xml:space="preserve">información </w:t>
      </w:r>
      <w:r w:rsidR="005C6A33" w:rsidRPr="00241FAC">
        <w:rPr>
          <w:rFonts w:cs="Arial"/>
        </w:rPr>
        <w:t xml:space="preserve">se </w:t>
      </w:r>
      <w:r w:rsidR="00A7090B" w:rsidRPr="00241FAC">
        <w:rPr>
          <w:rFonts w:cs="Arial"/>
        </w:rPr>
        <w:t xml:space="preserve">encontraba contenida y con mayor especificidad en </w:t>
      </w:r>
      <w:r w:rsidR="00926557" w:rsidRPr="00241FAC">
        <w:rPr>
          <w:rFonts w:cs="Arial"/>
        </w:rPr>
        <w:t>los documentos presentados</w:t>
      </w:r>
      <w:r w:rsidR="005D05CB" w:rsidRPr="00241FAC">
        <w:rPr>
          <w:rFonts w:cs="Arial"/>
        </w:rPr>
        <w:t>, p</w:t>
      </w:r>
      <w:r w:rsidR="005C6A33" w:rsidRPr="00241FAC">
        <w:rPr>
          <w:rFonts w:cs="Arial"/>
        </w:rPr>
        <w:t xml:space="preserve">or lo cual le </w:t>
      </w:r>
      <w:r w:rsidR="005D05CB" w:rsidRPr="00241FAC">
        <w:rPr>
          <w:rFonts w:cs="Arial"/>
        </w:rPr>
        <w:t>asign</w:t>
      </w:r>
      <w:r w:rsidR="005C6A33" w:rsidRPr="00241FAC">
        <w:rPr>
          <w:rFonts w:cs="Arial"/>
        </w:rPr>
        <w:t xml:space="preserve">ó correctamente </w:t>
      </w:r>
      <w:r w:rsidR="005D05CB" w:rsidRPr="00241FAC">
        <w:rPr>
          <w:rFonts w:cs="Arial"/>
        </w:rPr>
        <w:t>los otros puntajes</w:t>
      </w:r>
      <w:r w:rsidR="00926557" w:rsidRPr="00241FAC">
        <w:rPr>
          <w:rFonts w:cs="Arial"/>
        </w:rPr>
        <w:t xml:space="preserve">, por manera que </w:t>
      </w:r>
      <w:r w:rsidR="00DA2AB1" w:rsidRPr="00241FAC">
        <w:rPr>
          <w:rFonts w:cs="Arial"/>
        </w:rPr>
        <w:t>no hubo favorecimiento</w:t>
      </w:r>
      <w:r w:rsidR="00926557" w:rsidRPr="00241FAC">
        <w:rPr>
          <w:rFonts w:cs="Arial"/>
        </w:rPr>
        <w:t xml:space="preserve"> alguno</w:t>
      </w:r>
      <w:r w:rsidR="00DA2AB1" w:rsidRPr="00241FAC">
        <w:rPr>
          <w:rFonts w:cs="Arial"/>
        </w:rPr>
        <w:t>.</w:t>
      </w:r>
      <w:r w:rsidR="003D1E49" w:rsidRPr="00241FAC">
        <w:rPr>
          <w:rFonts w:cs="Arial"/>
        </w:rPr>
        <w:t xml:space="preserve"> </w:t>
      </w:r>
    </w:p>
    <w:p w:rsidR="000400F3" w:rsidRPr="00241FAC" w:rsidRDefault="000400F3" w:rsidP="00AA6BD2">
      <w:pPr>
        <w:pStyle w:val="Continuarlista2"/>
        <w:ind w:left="0"/>
        <w:rPr>
          <w:rFonts w:cs="Arial"/>
        </w:rPr>
      </w:pPr>
    </w:p>
    <w:p w:rsidR="00B21F22" w:rsidRPr="00241FAC" w:rsidRDefault="003D1E49" w:rsidP="00AA6BD2">
      <w:pPr>
        <w:pStyle w:val="Continuarlista2"/>
        <w:ind w:left="0"/>
        <w:rPr>
          <w:rFonts w:cs="Arial"/>
        </w:rPr>
      </w:pPr>
      <w:r w:rsidRPr="00241FAC">
        <w:rPr>
          <w:rFonts w:cs="Arial"/>
        </w:rPr>
        <w:t>Finalmente</w:t>
      </w:r>
      <w:r w:rsidR="00D436A4" w:rsidRPr="00241FAC">
        <w:rPr>
          <w:rFonts w:cs="Arial"/>
        </w:rPr>
        <w:t>,</w:t>
      </w:r>
      <w:r w:rsidRPr="00241FAC">
        <w:rPr>
          <w:rFonts w:cs="Arial"/>
        </w:rPr>
        <w:t xml:space="preserve"> </w:t>
      </w:r>
      <w:r w:rsidR="0060086E" w:rsidRPr="00241FAC">
        <w:rPr>
          <w:rFonts w:cs="Arial"/>
        </w:rPr>
        <w:t xml:space="preserve">manifestó </w:t>
      </w:r>
      <w:r w:rsidRPr="00241FAC">
        <w:rPr>
          <w:rFonts w:cs="Arial"/>
        </w:rPr>
        <w:t xml:space="preserve">que la parte demandante ha debido concentrarse en demostrar que su propuesta era la mejor, para lo cual ha debido </w:t>
      </w:r>
      <w:r w:rsidR="00B21F22" w:rsidRPr="00241FAC">
        <w:rPr>
          <w:rFonts w:cs="Arial"/>
        </w:rPr>
        <w:t xml:space="preserve">aclarar que no </w:t>
      </w:r>
      <w:r w:rsidR="0060086E" w:rsidRPr="00241FAC">
        <w:rPr>
          <w:rFonts w:cs="Arial"/>
        </w:rPr>
        <w:t>hubo es</w:t>
      </w:r>
      <w:r w:rsidR="003D2359" w:rsidRPr="00241FAC">
        <w:rPr>
          <w:rFonts w:cs="Arial"/>
        </w:rPr>
        <w:t>g</w:t>
      </w:r>
      <w:r w:rsidR="0060086E" w:rsidRPr="00241FAC">
        <w:rPr>
          <w:rFonts w:cs="Arial"/>
        </w:rPr>
        <w:t xml:space="preserve">uince </w:t>
      </w:r>
      <w:r w:rsidR="000400F3" w:rsidRPr="00241FAC">
        <w:rPr>
          <w:rFonts w:cs="Arial"/>
        </w:rPr>
        <w:t xml:space="preserve">alguno </w:t>
      </w:r>
      <w:r w:rsidR="0060086E" w:rsidRPr="00241FAC">
        <w:rPr>
          <w:rFonts w:cs="Arial"/>
        </w:rPr>
        <w:t xml:space="preserve">en la información financiera, en lugar de </w:t>
      </w:r>
      <w:r w:rsidR="00B21F22" w:rsidRPr="00241FAC">
        <w:rPr>
          <w:rFonts w:cs="Arial"/>
        </w:rPr>
        <w:t>descalifica</w:t>
      </w:r>
      <w:r w:rsidR="0060086E" w:rsidRPr="00241FAC">
        <w:rPr>
          <w:rFonts w:cs="Arial"/>
        </w:rPr>
        <w:t>r l</w:t>
      </w:r>
      <w:r w:rsidR="00CF3030" w:rsidRPr="00241FAC">
        <w:rPr>
          <w:rFonts w:cs="Arial"/>
        </w:rPr>
        <w:t>a</w:t>
      </w:r>
      <w:r w:rsidR="0060086E" w:rsidRPr="00241FAC">
        <w:rPr>
          <w:rFonts w:cs="Arial"/>
        </w:rPr>
        <w:t xml:space="preserve"> propuesta del Consorcio </w:t>
      </w:r>
      <w:r w:rsidR="00B21F22" w:rsidRPr="00241FAC">
        <w:rPr>
          <w:rFonts w:cs="Arial"/>
        </w:rPr>
        <w:t>por un aspecto formal</w:t>
      </w:r>
      <w:r w:rsidR="0060086E" w:rsidRPr="00241FAC">
        <w:rPr>
          <w:rFonts w:cs="Arial"/>
        </w:rPr>
        <w:t xml:space="preserve"> y de poco puntaje</w:t>
      </w:r>
      <w:r w:rsidR="00B21F22" w:rsidRPr="00241FAC">
        <w:rPr>
          <w:rFonts w:cs="Arial"/>
        </w:rPr>
        <w:t>, puesto que las falencias en los documentos no esenciales para la comparación de ofertas no constitu</w:t>
      </w:r>
      <w:r w:rsidR="00926557" w:rsidRPr="00241FAC">
        <w:rPr>
          <w:rFonts w:cs="Arial"/>
        </w:rPr>
        <w:t>yen</w:t>
      </w:r>
      <w:r w:rsidR="00B21F22" w:rsidRPr="00241FAC">
        <w:rPr>
          <w:rFonts w:cs="Arial"/>
        </w:rPr>
        <w:t xml:space="preserve"> ca</w:t>
      </w:r>
      <w:r w:rsidR="0060086E" w:rsidRPr="00241FAC">
        <w:rPr>
          <w:rFonts w:cs="Arial"/>
        </w:rPr>
        <w:t>u</w:t>
      </w:r>
      <w:r w:rsidR="00B21F22" w:rsidRPr="00241FAC">
        <w:rPr>
          <w:rFonts w:cs="Arial"/>
        </w:rPr>
        <w:t xml:space="preserve">sal de rechazo, </w:t>
      </w:r>
      <w:r w:rsidR="008702C8" w:rsidRPr="00241FAC">
        <w:rPr>
          <w:rFonts w:cs="Arial"/>
        </w:rPr>
        <w:t xml:space="preserve">tal </w:t>
      </w:r>
      <w:r w:rsidR="00B21F22" w:rsidRPr="00241FAC">
        <w:rPr>
          <w:rFonts w:cs="Arial"/>
        </w:rPr>
        <w:t>como lo ha establecido la jurisprudencia del Consejo de Estado.</w:t>
      </w:r>
    </w:p>
    <w:p w:rsidR="004B75E0" w:rsidRPr="00241FAC" w:rsidRDefault="004B75E0" w:rsidP="00F11F08">
      <w:pPr>
        <w:pStyle w:val="Continuarlista2"/>
        <w:ind w:left="0"/>
        <w:rPr>
          <w:rFonts w:cs="Arial"/>
        </w:rPr>
      </w:pPr>
    </w:p>
    <w:p w:rsidR="00F21484" w:rsidRPr="00241FAC" w:rsidRDefault="0015263D" w:rsidP="00F11F08">
      <w:pPr>
        <w:pStyle w:val="Lista3"/>
        <w:ind w:left="0" w:firstLine="0"/>
        <w:rPr>
          <w:rFonts w:cs="Arial"/>
          <w:b/>
        </w:rPr>
      </w:pPr>
      <w:r w:rsidRPr="00241FAC">
        <w:rPr>
          <w:rFonts w:cs="Arial"/>
          <w:b/>
        </w:rPr>
        <w:t>4</w:t>
      </w:r>
      <w:r w:rsidR="0009687C" w:rsidRPr="00241FAC">
        <w:rPr>
          <w:rFonts w:cs="Arial"/>
          <w:b/>
        </w:rPr>
        <w:t>.</w:t>
      </w:r>
      <w:r w:rsidR="00B17CF4" w:rsidRPr="00241FAC">
        <w:rPr>
          <w:rFonts w:cs="Arial"/>
          <w:b/>
        </w:rPr>
        <w:t>5</w:t>
      </w:r>
      <w:r w:rsidR="0009687C" w:rsidRPr="00241FAC">
        <w:rPr>
          <w:rFonts w:cs="Arial"/>
          <w:b/>
        </w:rPr>
        <w:t>.</w:t>
      </w:r>
      <w:r w:rsidR="00E759BE" w:rsidRPr="00241FAC">
        <w:rPr>
          <w:rFonts w:cs="Arial"/>
          <w:b/>
        </w:rPr>
        <w:tab/>
      </w:r>
      <w:r w:rsidR="00F21484" w:rsidRPr="00241FAC">
        <w:rPr>
          <w:rFonts w:cs="Arial"/>
          <w:b/>
        </w:rPr>
        <w:t>Alegatos de conclusión y concepto del Ministerio Público</w:t>
      </w:r>
      <w:r w:rsidR="005173D2" w:rsidRPr="00241FAC">
        <w:rPr>
          <w:rFonts w:cs="Arial"/>
          <w:b/>
        </w:rPr>
        <w:t>.</w:t>
      </w:r>
    </w:p>
    <w:p w:rsidR="00F21484" w:rsidRPr="00241FAC" w:rsidRDefault="00F21484" w:rsidP="00F21484">
      <w:pPr>
        <w:rPr>
          <w:rFonts w:cs="Arial"/>
          <w:bCs/>
          <w:iCs/>
        </w:rPr>
      </w:pPr>
    </w:p>
    <w:p w:rsidR="001F3B44" w:rsidRPr="00241FAC" w:rsidRDefault="00644A66" w:rsidP="00727390">
      <w:pPr>
        <w:pStyle w:val="Continuarlista3"/>
        <w:ind w:left="0"/>
        <w:rPr>
          <w:rFonts w:cs="Arial"/>
        </w:rPr>
      </w:pPr>
      <w:r w:rsidRPr="00241FAC">
        <w:rPr>
          <w:rFonts w:cs="Arial"/>
        </w:rPr>
        <w:t>En la primera instancia</w:t>
      </w:r>
      <w:r w:rsidR="00C71714" w:rsidRPr="00241FAC">
        <w:rPr>
          <w:rFonts w:cs="Arial"/>
        </w:rPr>
        <w:t xml:space="preserve"> </w:t>
      </w:r>
      <w:r w:rsidR="00CF3030" w:rsidRPr="00241FAC">
        <w:rPr>
          <w:rFonts w:cs="Arial"/>
        </w:rPr>
        <w:t>la parte demandante</w:t>
      </w:r>
      <w:r w:rsidR="005B5C3F" w:rsidRPr="00241FAC">
        <w:rPr>
          <w:rFonts w:cs="Arial"/>
        </w:rPr>
        <w:t xml:space="preserve"> </w:t>
      </w:r>
      <w:r w:rsidR="00C71714" w:rsidRPr="00241FAC">
        <w:rPr>
          <w:rFonts w:cs="Arial"/>
        </w:rPr>
        <w:t xml:space="preserve">presentó sus alegatos </w:t>
      </w:r>
      <w:r w:rsidR="004E6FE1" w:rsidRPr="00241FAC">
        <w:rPr>
          <w:rFonts w:cs="Arial"/>
        </w:rPr>
        <w:t>de conclusión</w:t>
      </w:r>
      <w:r w:rsidR="003F45A4" w:rsidRPr="00241FAC">
        <w:rPr>
          <w:rFonts w:cs="Arial"/>
        </w:rPr>
        <w:t xml:space="preserve">, en los cuales manifestó que las pruebas corroboraron </w:t>
      </w:r>
      <w:r w:rsidR="00CF3030" w:rsidRPr="00241FAC">
        <w:rPr>
          <w:rFonts w:cs="Arial"/>
        </w:rPr>
        <w:t xml:space="preserve">los siguientes aspectos: </w:t>
      </w:r>
      <w:r w:rsidR="00604539" w:rsidRPr="00241FAC">
        <w:rPr>
          <w:rFonts w:cs="Arial"/>
          <w:b/>
        </w:rPr>
        <w:t>i)</w:t>
      </w:r>
      <w:r w:rsidR="00604539" w:rsidRPr="00241FAC">
        <w:rPr>
          <w:rFonts w:cs="Arial"/>
        </w:rPr>
        <w:t xml:space="preserve"> </w:t>
      </w:r>
      <w:r w:rsidR="003F45A4" w:rsidRPr="00241FAC">
        <w:rPr>
          <w:rFonts w:cs="Arial"/>
        </w:rPr>
        <w:t>la no presentación de</w:t>
      </w:r>
      <w:r w:rsidR="004C3F58" w:rsidRPr="00241FAC">
        <w:rPr>
          <w:rFonts w:cs="Arial"/>
        </w:rPr>
        <w:t xml:space="preserve"> los </w:t>
      </w:r>
      <w:r w:rsidR="003F45A4" w:rsidRPr="00241FAC">
        <w:rPr>
          <w:rFonts w:cs="Arial"/>
        </w:rPr>
        <w:t>Diagrama</w:t>
      </w:r>
      <w:r w:rsidR="004C3F58" w:rsidRPr="00241FAC">
        <w:rPr>
          <w:rFonts w:cs="Arial"/>
        </w:rPr>
        <w:t>s</w:t>
      </w:r>
      <w:r w:rsidR="003F45A4" w:rsidRPr="00241FAC">
        <w:rPr>
          <w:rFonts w:cs="Arial"/>
        </w:rPr>
        <w:t xml:space="preserve"> CPM y GAN</w:t>
      </w:r>
      <w:r w:rsidR="00CF3030" w:rsidRPr="00241FAC">
        <w:rPr>
          <w:rFonts w:cs="Arial"/>
        </w:rPr>
        <w:t>T</w:t>
      </w:r>
      <w:r w:rsidR="003F45A4" w:rsidRPr="00241FAC">
        <w:rPr>
          <w:rFonts w:cs="Arial"/>
        </w:rPr>
        <w:t>T, por parte del Consorcio Luis E</w:t>
      </w:r>
      <w:r w:rsidR="004A46AC" w:rsidRPr="00241FAC">
        <w:rPr>
          <w:rFonts w:cs="Arial"/>
        </w:rPr>
        <w:t xml:space="preserve">. Gómez y Otro, </w:t>
      </w:r>
      <w:r w:rsidR="004C3F58" w:rsidRPr="00241FAC">
        <w:rPr>
          <w:rFonts w:cs="Arial"/>
        </w:rPr>
        <w:t xml:space="preserve">circunstancia que </w:t>
      </w:r>
      <w:r w:rsidR="004A46AC" w:rsidRPr="00241FAC">
        <w:rPr>
          <w:rFonts w:cs="Arial"/>
        </w:rPr>
        <w:t xml:space="preserve">pasó por alto el </w:t>
      </w:r>
      <w:r w:rsidR="00604539" w:rsidRPr="00241FAC">
        <w:rPr>
          <w:rFonts w:cs="Arial"/>
        </w:rPr>
        <w:t>C</w:t>
      </w:r>
      <w:r w:rsidR="004A46AC" w:rsidRPr="00241FAC">
        <w:rPr>
          <w:rFonts w:cs="Arial"/>
        </w:rPr>
        <w:t xml:space="preserve">omité </w:t>
      </w:r>
      <w:r w:rsidR="00604539" w:rsidRPr="00241FAC">
        <w:rPr>
          <w:rFonts w:cs="Arial"/>
        </w:rPr>
        <w:t>E</w:t>
      </w:r>
      <w:r w:rsidR="004A46AC" w:rsidRPr="00241FAC">
        <w:rPr>
          <w:rFonts w:cs="Arial"/>
        </w:rPr>
        <w:t xml:space="preserve">valuador, además de que en la prueba pericial </w:t>
      </w:r>
      <w:r w:rsidR="004C3F58" w:rsidRPr="00241FAC">
        <w:rPr>
          <w:rFonts w:cs="Arial"/>
        </w:rPr>
        <w:t xml:space="preserve">dentro del proceso </w:t>
      </w:r>
      <w:r w:rsidR="004A46AC" w:rsidRPr="00241FAC">
        <w:rPr>
          <w:rFonts w:cs="Arial"/>
        </w:rPr>
        <w:t>se estableció que esa información era necesaria</w:t>
      </w:r>
      <w:r w:rsidR="00604539" w:rsidRPr="00241FAC">
        <w:rPr>
          <w:rFonts w:cs="Arial"/>
        </w:rPr>
        <w:t xml:space="preserve"> para evaluar en nivel 3 </w:t>
      </w:r>
      <w:r w:rsidR="000400F3" w:rsidRPr="00241FAC">
        <w:rPr>
          <w:rFonts w:cs="Arial"/>
        </w:rPr>
        <w:t xml:space="preserve">el </w:t>
      </w:r>
      <w:r w:rsidR="00604539" w:rsidRPr="00241FAC">
        <w:rPr>
          <w:rFonts w:cs="Arial"/>
        </w:rPr>
        <w:t xml:space="preserve">flujo de desembolsos y </w:t>
      </w:r>
      <w:r w:rsidR="00604539" w:rsidRPr="00241FAC">
        <w:rPr>
          <w:rFonts w:cs="Arial"/>
          <w:b/>
        </w:rPr>
        <w:t>ii)</w:t>
      </w:r>
      <w:r w:rsidR="00604539" w:rsidRPr="00241FAC">
        <w:rPr>
          <w:rFonts w:cs="Arial"/>
        </w:rPr>
        <w:t xml:space="preserve"> </w:t>
      </w:r>
      <w:r w:rsidR="00DC34AF" w:rsidRPr="00241FAC">
        <w:rPr>
          <w:rFonts w:cs="Arial"/>
        </w:rPr>
        <w:t xml:space="preserve">la Unión Temporal Construobras acreditó un capital de trabajo superior a $250’000.000 </w:t>
      </w:r>
      <w:r w:rsidR="00A36D2E" w:rsidRPr="00241FAC">
        <w:rPr>
          <w:rFonts w:cs="Arial"/>
        </w:rPr>
        <w:t xml:space="preserve">de acuerdo con </w:t>
      </w:r>
      <w:r w:rsidR="00A36D2E" w:rsidRPr="00241FAC">
        <w:rPr>
          <w:rFonts w:cs="Arial"/>
        </w:rPr>
        <w:lastRenderedPageBreak/>
        <w:t>los balances aportados</w:t>
      </w:r>
      <w:r w:rsidR="007E79BC" w:rsidRPr="00241FAC">
        <w:rPr>
          <w:rFonts w:cs="Arial"/>
        </w:rPr>
        <w:t xml:space="preserve"> y el </w:t>
      </w:r>
      <w:r w:rsidR="00D322AB" w:rsidRPr="00241FAC">
        <w:rPr>
          <w:rFonts w:cs="Arial"/>
        </w:rPr>
        <w:t xml:space="preserve">dictamen </w:t>
      </w:r>
      <w:r w:rsidR="007E79BC" w:rsidRPr="00241FAC">
        <w:rPr>
          <w:rFonts w:cs="Arial"/>
        </w:rPr>
        <w:t>practicado</w:t>
      </w:r>
      <w:r w:rsidR="00B6765D" w:rsidRPr="00241FAC">
        <w:rPr>
          <w:rFonts w:cs="Arial"/>
        </w:rPr>
        <w:t xml:space="preserve"> y, por lo tanto,</w:t>
      </w:r>
      <w:r w:rsidR="00A36D2E" w:rsidRPr="00241FAC">
        <w:rPr>
          <w:rFonts w:cs="Arial"/>
        </w:rPr>
        <w:t xml:space="preserve"> se le ha debido asignar </w:t>
      </w:r>
      <w:r w:rsidR="00AF4274" w:rsidRPr="00241FAC">
        <w:rPr>
          <w:rFonts w:cs="Arial"/>
        </w:rPr>
        <w:t xml:space="preserve">la calificación </w:t>
      </w:r>
      <w:r w:rsidR="00A36D2E" w:rsidRPr="00241FAC">
        <w:rPr>
          <w:rFonts w:cs="Arial"/>
        </w:rPr>
        <w:t>de 130 puntos</w:t>
      </w:r>
      <w:r w:rsidR="00D322AB" w:rsidRPr="00241FAC">
        <w:rPr>
          <w:rFonts w:cs="Arial"/>
        </w:rPr>
        <w:t xml:space="preserve">, con base en </w:t>
      </w:r>
      <w:r w:rsidR="00AF4274" w:rsidRPr="00241FAC">
        <w:rPr>
          <w:rFonts w:cs="Arial"/>
        </w:rPr>
        <w:t xml:space="preserve">la </w:t>
      </w:r>
      <w:r w:rsidR="00D322AB" w:rsidRPr="00241FAC">
        <w:rPr>
          <w:rFonts w:cs="Arial"/>
        </w:rPr>
        <w:t xml:space="preserve">cual </w:t>
      </w:r>
      <w:r w:rsidR="007C22F1" w:rsidRPr="00241FAC">
        <w:rPr>
          <w:rFonts w:cs="Arial"/>
        </w:rPr>
        <w:t>habría alcanzado el primer lugar</w:t>
      </w:r>
      <w:r w:rsidR="00344AF4" w:rsidRPr="00241FAC">
        <w:rPr>
          <w:rFonts w:cs="Arial"/>
        </w:rPr>
        <w:t xml:space="preserve"> en la Licitación Pública No. 01 de 2000</w:t>
      </w:r>
      <w:r w:rsidR="001F3B44" w:rsidRPr="00241FAC">
        <w:rPr>
          <w:rFonts w:cs="Arial"/>
        </w:rPr>
        <w:t>.</w:t>
      </w:r>
    </w:p>
    <w:p w:rsidR="008A6C60" w:rsidRPr="00241FAC" w:rsidRDefault="008A6C60" w:rsidP="00727390">
      <w:pPr>
        <w:pStyle w:val="Continuarlista3"/>
        <w:ind w:left="0"/>
        <w:rPr>
          <w:rFonts w:cs="Arial"/>
        </w:rPr>
      </w:pPr>
    </w:p>
    <w:p w:rsidR="00562E55" w:rsidRPr="00241FAC" w:rsidRDefault="008C10E6" w:rsidP="00F11F08">
      <w:pPr>
        <w:rPr>
          <w:rFonts w:cs="Arial"/>
        </w:rPr>
      </w:pPr>
      <w:r w:rsidRPr="00241FAC">
        <w:rPr>
          <w:rFonts w:cs="Arial"/>
        </w:rPr>
        <w:t xml:space="preserve">El Municipio de Purificación, </w:t>
      </w:r>
      <w:r w:rsidR="008B7FC2" w:rsidRPr="00241FAC">
        <w:rPr>
          <w:rFonts w:cs="Arial"/>
        </w:rPr>
        <w:t>obrando como parte demandada</w:t>
      </w:r>
      <w:r w:rsidR="00AF4274" w:rsidRPr="00241FAC">
        <w:rPr>
          <w:rFonts w:cs="Arial"/>
        </w:rPr>
        <w:t>,</w:t>
      </w:r>
      <w:r w:rsidR="008B7FC2" w:rsidRPr="00241FAC">
        <w:rPr>
          <w:rFonts w:cs="Arial"/>
        </w:rPr>
        <w:t xml:space="preserve"> presentó alegatos con los siguientes argumentos: </w:t>
      </w:r>
      <w:r w:rsidR="00544750" w:rsidRPr="00241FAC">
        <w:rPr>
          <w:rFonts w:cs="Arial"/>
          <w:b/>
        </w:rPr>
        <w:t>i)</w:t>
      </w:r>
      <w:r w:rsidR="00544750" w:rsidRPr="00241FAC">
        <w:rPr>
          <w:rFonts w:cs="Arial"/>
        </w:rPr>
        <w:t xml:space="preserve"> D</w:t>
      </w:r>
      <w:r w:rsidR="00793A09" w:rsidRPr="00241FAC">
        <w:rPr>
          <w:rFonts w:cs="Arial"/>
        </w:rPr>
        <w:t>e</w:t>
      </w:r>
      <w:r w:rsidRPr="00241FAC">
        <w:rPr>
          <w:rFonts w:cs="Arial"/>
        </w:rPr>
        <w:t xml:space="preserve"> acuerdo con las pruebas, el nivel </w:t>
      </w:r>
      <w:r w:rsidR="001F5566" w:rsidRPr="00241FAC">
        <w:rPr>
          <w:rFonts w:cs="Arial"/>
        </w:rPr>
        <w:t>2,</w:t>
      </w:r>
      <w:r w:rsidRPr="00241FAC">
        <w:rPr>
          <w:rFonts w:cs="Arial"/>
        </w:rPr>
        <w:t xml:space="preserve"> relativo al porcentaje de ejecución</w:t>
      </w:r>
      <w:r w:rsidR="00AF4274" w:rsidRPr="00241FAC">
        <w:rPr>
          <w:rFonts w:cs="Arial"/>
        </w:rPr>
        <w:t>,</w:t>
      </w:r>
      <w:r w:rsidRPr="00241FAC">
        <w:rPr>
          <w:rFonts w:cs="Arial"/>
        </w:rPr>
        <w:t xml:space="preserve"> se calificó con cero puntos para la propuesta del Consorcio Luis E. Gómez</w:t>
      </w:r>
      <w:r w:rsidR="00F87343" w:rsidRPr="00241FAC">
        <w:rPr>
          <w:rFonts w:cs="Arial"/>
        </w:rPr>
        <w:t xml:space="preserve"> y </w:t>
      </w:r>
      <w:r w:rsidR="00B6765D" w:rsidRPr="00241FAC">
        <w:rPr>
          <w:rFonts w:cs="Arial"/>
        </w:rPr>
        <w:t xml:space="preserve">otro y </w:t>
      </w:r>
      <w:r w:rsidR="001F3B44" w:rsidRPr="00241FAC">
        <w:rPr>
          <w:rFonts w:cs="Arial"/>
        </w:rPr>
        <w:t>n</w:t>
      </w:r>
      <w:r w:rsidR="00B6765D" w:rsidRPr="00241FAC">
        <w:rPr>
          <w:rFonts w:cs="Arial"/>
        </w:rPr>
        <w:t>o</w:t>
      </w:r>
      <w:r w:rsidR="00F87343" w:rsidRPr="00241FAC">
        <w:rPr>
          <w:rFonts w:cs="Arial"/>
        </w:rPr>
        <w:t xml:space="preserve"> con 110 </w:t>
      </w:r>
      <w:r w:rsidR="00B6765D" w:rsidRPr="00241FAC">
        <w:rPr>
          <w:rFonts w:cs="Arial"/>
        </w:rPr>
        <w:t xml:space="preserve">puntos </w:t>
      </w:r>
      <w:r w:rsidR="00F87343" w:rsidRPr="00241FAC">
        <w:rPr>
          <w:rFonts w:cs="Arial"/>
        </w:rPr>
        <w:t>como señaló el demandante</w:t>
      </w:r>
      <w:r w:rsidR="00AD688F" w:rsidRPr="00241FAC">
        <w:rPr>
          <w:rFonts w:cs="Arial"/>
        </w:rPr>
        <w:t>;</w:t>
      </w:r>
      <w:r w:rsidR="00F87343" w:rsidRPr="00241FAC">
        <w:rPr>
          <w:rFonts w:cs="Arial"/>
        </w:rPr>
        <w:t xml:space="preserve"> </w:t>
      </w:r>
      <w:r w:rsidR="00544750" w:rsidRPr="00241FAC">
        <w:rPr>
          <w:rFonts w:cs="Arial"/>
          <w:b/>
        </w:rPr>
        <w:t>ii)</w:t>
      </w:r>
      <w:r w:rsidR="00544750" w:rsidRPr="00241FAC">
        <w:rPr>
          <w:rFonts w:cs="Arial"/>
        </w:rPr>
        <w:t xml:space="preserve"> En </w:t>
      </w:r>
      <w:r w:rsidR="00C521E3" w:rsidRPr="00241FAC">
        <w:rPr>
          <w:rFonts w:cs="Arial"/>
        </w:rPr>
        <w:t xml:space="preserve">relación con </w:t>
      </w:r>
      <w:r w:rsidR="00F87343" w:rsidRPr="00241FAC">
        <w:rPr>
          <w:rFonts w:cs="Arial"/>
        </w:rPr>
        <w:t xml:space="preserve">la prueba pericial </w:t>
      </w:r>
      <w:r w:rsidR="00B6765D" w:rsidRPr="00241FAC">
        <w:rPr>
          <w:rFonts w:cs="Arial"/>
        </w:rPr>
        <w:t xml:space="preserve">practicada en el proceso, la entidad demandada </w:t>
      </w:r>
      <w:r w:rsidR="00C521E3" w:rsidRPr="00241FAC">
        <w:rPr>
          <w:rFonts w:cs="Arial"/>
        </w:rPr>
        <w:t xml:space="preserve">recordó que no se logró la posesión de un perito contable por lo cual el dictamen provino únicamente del perito ingeniero, el cual </w:t>
      </w:r>
      <w:r w:rsidR="0089281D" w:rsidRPr="00241FAC">
        <w:rPr>
          <w:rFonts w:cs="Arial"/>
        </w:rPr>
        <w:t xml:space="preserve">incurrió en una falla sustancial </w:t>
      </w:r>
      <w:r w:rsidR="00344AF4" w:rsidRPr="00241FAC">
        <w:rPr>
          <w:rFonts w:cs="Arial"/>
        </w:rPr>
        <w:t xml:space="preserve">por </w:t>
      </w:r>
      <w:r w:rsidR="0089281D" w:rsidRPr="00241FAC">
        <w:rPr>
          <w:rFonts w:cs="Arial"/>
        </w:rPr>
        <w:t xml:space="preserve">cuanto tomó la información </w:t>
      </w:r>
      <w:r w:rsidR="00344AF4" w:rsidRPr="00241FAC">
        <w:rPr>
          <w:rFonts w:cs="Arial"/>
        </w:rPr>
        <w:t>financiera sin importar si fue presentad</w:t>
      </w:r>
      <w:r w:rsidR="00C521E3" w:rsidRPr="00241FAC">
        <w:rPr>
          <w:rFonts w:cs="Arial"/>
        </w:rPr>
        <w:t>a</w:t>
      </w:r>
      <w:r w:rsidR="00344AF4" w:rsidRPr="00241FAC">
        <w:rPr>
          <w:rFonts w:cs="Arial"/>
        </w:rPr>
        <w:t xml:space="preserve"> en debida forma, tal como </w:t>
      </w:r>
      <w:r w:rsidR="00C521E3" w:rsidRPr="00241FAC">
        <w:rPr>
          <w:rFonts w:cs="Arial"/>
        </w:rPr>
        <w:t xml:space="preserve">indicó </w:t>
      </w:r>
      <w:r w:rsidR="00344AF4" w:rsidRPr="00241FAC">
        <w:rPr>
          <w:rFonts w:cs="Arial"/>
        </w:rPr>
        <w:t>en la aclaración del dictamen</w:t>
      </w:r>
      <w:r w:rsidR="00AD688F" w:rsidRPr="00241FAC">
        <w:rPr>
          <w:rFonts w:cs="Arial"/>
        </w:rPr>
        <w:t xml:space="preserve">, así: </w:t>
      </w:r>
      <w:r w:rsidR="00010466" w:rsidRPr="00241FAC">
        <w:rPr>
          <w:rFonts w:cs="Arial"/>
          <w:i/>
        </w:rPr>
        <w:t xml:space="preserve">“Cuando realicé la calificación de acuerdo a lo </w:t>
      </w:r>
      <w:r w:rsidR="00AD688F" w:rsidRPr="00241FAC">
        <w:rPr>
          <w:rFonts w:cs="Arial"/>
          <w:i/>
        </w:rPr>
        <w:t>s</w:t>
      </w:r>
      <w:r w:rsidR="00010466" w:rsidRPr="00241FAC">
        <w:rPr>
          <w:rFonts w:cs="Arial"/>
          <w:i/>
        </w:rPr>
        <w:t>olicitado por la pericia,</w:t>
      </w:r>
      <w:r w:rsidR="00AD688F" w:rsidRPr="00241FAC">
        <w:rPr>
          <w:rFonts w:cs="Arial"/>
          <w:i/>
        </w:rPr>
        <w:t xml:space="preserve"> tomé a todas las partes que intervinieron en la convocatoria, </w:t>
      </w:r>
      <w:r w:rsidR="0069636C" w:rsidRPr="00241FAC">
        <w:rPr>
          <w:rFonts w:cs="Arial"/>
          <w:i/>
        </w:rPr>
        <w:t>estuvieran estos o no con o sin la totalidad de los documentos exigidos”</w:t>
      </w:r>
      <w:r w:rsidR="00344AF4" w:rsidRPr="00241FAC">
        <w:rPr>
          <w:rFonts w:cs="Arial"/>
          <w:i/>
        </w:rPr>
        <w:t>;</w:t>
      </w:r>
      <w:r w:rsidR="00544750" w:rsidRPr="00241FAC">
        <w:rPr>
          <w:rFonts w:cs="Arial"/>
        </w:rPr>
        <w:t xml:space="preserve"> </w:t>
      </w:r>
      <w:r w:rsidR="00544750" w:rsidRPr="00241FAC">
        <w:rPr>
          <w:rFonts w:cs="Arial"/>
          <w:b/>
        </w:rPr>
        <w:t>iii)</w:t>
      </w:r>
      <w:r w:rsidR="00544750" w:rsidRPr="00241FAC">
        <w:rPr>
          <w:rFonts w:cs="Arial"/>
        </w:rPr>
        <w:t xml:space="preserve"> </w:t>
      </w:r>
      <w:r w:rsidR="00793A09" w:rsidRPr="00241FAC">
        <w:rPr>
          <w:rFonts w:cs="Arial"/>
        </w:rPr>
        <w:t xml:space="preserve">el Comité Evaluador fue integrado por un equipo interdisciplinario </w:t>
      </w:r>
      <w:r w:rsidR="00F00C50" w:rsidRPr="00241FAC">
        <w:rPr>
          <w:rFonts w:cs="Arial"/>
        </w:rPr>
        <w:t xml:space="preserve">constituido por </w:t>
      </w:r>
      <w:r w:rsidR="00592036" w:rsidRPr="00241FAC">
        <w:rPr>
          <w:rFonts w:cs="Arial"/>
        </w:rPr>
        <w:t xml:space="preserve">un ingeniero, un abogado, un financiero y una Contadora Pública, el cual </w:t>
      </w:r>
      <w:r w:rsidR="00793A09" w:rsidRPr="00241FAC">
        <w:rPr>
          <w:rFonts w:cs="Arial"/>
        </w:rPr>
        <w:t>evalúo las propuestas</w:t>
      </w:r>
      <w:r w:rsidR="00592036" w:rsidRPr="00241FAC">
        <w:rPr>
          <w:rFonts w:cs="Arial"/>
        </w:rPr>
        <w:t xml:space="preserve"> con la mayor transparencia y atendiendo todas las observaciones, de suerte que la calificación final </w:t>
      </w:r>
      <w:r w:rsidR="007A20F9" w:rsidRPr="00241FAC">
        <w:rPr>
          <w:rFonts w:cs="Arial"/>
        </w:rPr>
        <w:t xml:space="preserve">quedó </w:t>
      </w:r>
      <w:r w:rsidR="00592036" w:rsidRPr="00241FAC">
        <w:rPr>
          <w:rFonts w:cs="Arial"/>
        </w:rPr>
        <w:t xml:space="preserve">debidamente soportada </w:t>
      </w:r>
      <w:r w:rsidR="007A20F9" w:rsidRPr="00241FAC">
        <w:rPr>
          <w:rFonts w:cs="Arial"/>
        </w:rPr>
        <w:t>en e</w:t>
      </w:r>
      <w:r w:rsidR="00F00C50" w:rsidRPr="00241FAC">
        <w:rPr>
          <w:rFonts w:cs="Arial"/>
        </w:rPr>
        <w:t>ste</w:t>
      </w:r>
      <w:r w:rsidR="007A20F9" w:rsidRPr="00241FAC">
        <w:rPr>
          <w:rFonts w:cs="Arial"/>
        </w:rPr>
        <w:t xml:space="preserve"> proceso </w:t>
      </w:r>
      <w:r w:rsidR="00AF4274" w:rsidRPr="00241FAC">
        <w:rPr>
          <w:rFonts w:cs="Arial"/>
        </w:rPr>
        <w:t xml:space="preserve">con apoyo en </w:t>
      </w:r>
      <w:r w:rsidR="00793A09" w:rsidRPr="00241FAC">
        <w:rPr>
          <w:rFonts w:cs="Arial"/>
        </w:rPr>
        <w:t xml:space="preserve">prueba </w:t>
      </w:r>
      <w:r w:rsidR="00592036" w:rsidRPr="00241FAC">
        <w:rPr>
          <w:rFonts w:cs="Arial"/>
        </w:rPr>
        <w:t xml:space="preserve">suficiente </w:t>
      </w:r>
      <w:r w:rsidR="001F3B44" w:rsidRPr="00241FAC">
        <w:rPr>
          <w:rFonts w:cs="Arial"/>
        </w:rPr>
        <w:t>de las observaciones y consideraciones realizadas</w:t>
      </w:r>
      <w:r w:rsidR="00544750" w:rsidRPr="00241FAC">
        <w:rPr>
          <w:rFonts w:cs="Arial"/>
        </w:rPr>
        <w:t xml:space="preserve"> </w:t>
      </w:r>
      <w:r w:rsidR="00D322AB" w:rsidRPr="00241FAC">
        <w:rPr>
          <w:rFonts w:cs="Arial"/>
        </w:rPr>
        <w:t xml:space="preserve">y, </w:t>
      </w:r>
      <w:r w:rsidR="00544750" w:rsidRPr="00241FAC">
        <w:rPr>
          <w:rFonts w:cs="Arial"/>
          <w:b/>
        </w:rPr>
        <w:t xml:space="preserve">iv) </w:t>
      </w:r>
      <w:r w:rsidR="00F00C50" w:rsidRPr="00241FAC">
        <w:rPr>
          <w:rFonts w:cs="Arial"/>
        </w:rPr>
        <w:t>s</w:t>
      </w:r>
      <w:r w:rsidR="007A20F9" w:rsidRPr="00241FAC">
        <w:rPr>
          <w:rFonts w:cs="Arial"/>
        </w:rPr>
        <w:t xml:space="preserve">olicitó </w:t>
      </w:r>
      <w:r w:rsidR="00A82CA2" w:rsidRPr="00241FAC">
        <w:rPr>
          <w:rFonts w:cs="Arial"/>
        </w:rPr>
        <w:t xml:space="preserve">aplicar el Decreto 1584 de 1994, reglamentario de la contratación estatal de </w:t>
      </w:r>
      <w:r w:rsidR="00562E55" w:rsidRPr="00241FAC">
        <w:rPr>
          <w:rFonts w:cs="Arial"/>
        </w:rPr>
        <w:t xml:space="preserve">acuerdo </w:t>
      </w:r>
      <w:r w:rsidR="00A82CA2" w:rsidRPr="00241FAC">
        <w:rPr>
          <w:rFonts w:cs="Arial"/>
        </w:rPr>
        <w:t>con el cual la capacidad financiera se establec</w:t>
      </w:r>
      <w:r w:rsidR="00562E55" w:rsidRPr="00241FAC">
        <w:rPr>
          <w:rFonts w:cs="Arial"/>
        </w:rPr>
        <w:t>ía con base en la última declaración de renta y el último balance comercial, sobre lo cual no se pronunció el perito por tratarse de un punto en derecho.</w:t>
      </w:r>
    </w:p>
    <w:p w:rsidR="00562E55" w:rsidRPr="00241FAC" w:rsidRDefault="00562E55" w:rsidP="00F11F08">
      <w:pPr>
        <w:rPr>
          <w:rFonts w:cs="Arial"/>
        </w:rPr>
      </w:pPr>
    </w:p>
    <w:p w:rsidR="008B7FC2" w:rsidRPr="00241FAC" w:rsidRDefault="008B7FC2" w:rsidP="00F11F08">
      <w:pPr>
        <w:rPr>
          <w:rFonts w:cs="Arial"/>
        </w:rPr>
      </w:pPr>
      <w:r w:rsidRPr="00241FAC">
        <w:rPr>
          <w:rFonts w:cs="Arial"/>
        </w:rPr>
        <w:t xml:space="preserve">El Consorcio Luis E. Gómez y otro y el </w:t>
      </w:r>
      <w:r w:rsidR="00727390" w:rsidRPr="00241FAC">
        <w:rPr>
          <w:rFonts w:cs="Arial"/>
        </w:rPr>
        <w:t xml:space="preserve">Ministerio </w:t>
      </w:r>
      <w:r w:rsidRPr="00241FAC">
        <w:rPr>
          <w:rFonts w:cs="Arial"/>
        </w:rPr>
        <w:t>Público guardaron silencio en esta oportunidad.</w:t>
      </w:r>
    </w:p>
    <w:p w:rsidR="00727390" w:rsidRPr="00241FAC" w:rsidRDefault="00727390" w:rsidP="00F11F08">
      <w:pPr>
        <w:rPr>
          <w:rFonts w:cs="Arial"/>
        </w:rPr>
      </w:pPr>
    </w:p>
    <w:p w:rsidR="00F21484" w:rsidRPr="00241FAC" w:rsidRDefault="0015263D" w:rsidP="00F11F08">
      <w:pPr>
        <w:pStyle w:val="Lista2"/>
        <w:ind w:left="0" w:firstLine="0"/>
        <w:rPr>
          <w:rFonts w:cs="Arial"/>
          <w:b/>
        </w:rPr>
      </w:pPr>
      <w:r w:rsidRPr="00241FAC">
        <w:rPr>
          <w:rFonts w:cs="Arial"/>
          <w:b/>
        </w:rPr>
        <w:t>4</w:t>
      </w:r>
      <w:r w:rsidR="0009687C" w:rsidRPr="00241FAC">
        <w:rPr>
          <w:rFonts w:cs="Arial"/>
          <w:b/>
        </w:rPr>
        <w:t>.</w:t>
      </w:r>
      <w:r w:rsidR="00B17CF4" w:rsidRPr="00241FAC">
        <w:rPr>
          <w:rFonts w:cs="Arial"/>
          <w:b/>
        </w:rPr>
        <w:t>6</w:t>
      </w:r>
      <w:r w:rsidR="00F21484" w:rsidRPr="00241FAC">
        <w:rPr>
          <w:rFonts w:cs="Arial"/>
          <w:b/>
        </w:rPr>
        <w:t>.</w:t>
      </w:r>
      <w:r w:rsidR="00E759BE" w:rsidRPr="00241FAC">
        <w:rPr>
          <w:rFonts w:cs="Arial"/>
          <w:b/>
        </w:rPr>
        <w:tab/>
      </w:r>
      <w:r w:rsidR="00F21484" w:rsidRPr="00241FAC">
        <w:rPr>
          <w:rFonts w:cs="Arial"/>
          <w:b/>
        </w:rPr>
        <w:t>La sentencia impugnada</w:t>
      </w:r>
      <w:r w:rsidR="005173D2" w:rsidRPr="00241FAC">
        <w:rPr>
          <w:rFonts w:cs="Arial"/>
          <w:b/>
        </w:rPr>
        <w:t>.</w:t>
      </w:r>
    </w:p>
    <w:p w:rsidR="00D550F9" w:rsidRPr="00241FAC" w:rsidRDefault="00D550F9" w:rsidP="00D550F9">
      <w:pPr>
        <w:numPr>
          <w:ilvl w:val="12"/>
          <w:numId w:val="0"/>
        </w:numPr>
        <w:rPr>
          <w:rFonts w:cs="Arial"/>
          <w:bCs/>
        </w:rPr>
      </w:pPr>
    </w:p>
    <w:p w:rsidR="00D550F9" w:rsidRPr="00241FAC" w:rsidRDefault="00D550F9" w:rsidP="00F11F08">
      <w:pPr>
        <w:pStyle w:val="Continuarlista2"/>
        <w:ind w:left="0"/>
        <w:rPr>
          <w:rFonts w:cs="Arial"/>
        </w:rPr>
      </w:pPr>
      <w:r w:rsidRPr="00241FAC">
        <w:rPr>
          <w:rFonts w:cs="Arial"/>
        </w:rPr>
        <w:t xml:space="preserve">El Tribunal </w:t>
      </w:r>
      <w:r w:rsidR="00C90583" w:rsidRPr="00241FAC">
        <w:rPr>
          <w:rFonts w:cs="Arial"/>
        </w:rPr>
        <w:t>Administrativo de</w:t>
      </w:r>
      <w:r w:rsidR="00276074" w:rsidRPr="00241FAC">
        <w:rPr>
          <w:rFonts w:cs="Arial"/>
        </w:rPr>
        <w:t>l Tolima</w:t>
      </w:r>
      <w:r w:rsidR="00C90583" w:rsidRPr="00241FAC">
        <w:rPr>
          <w:rFonts w:cs="Arial"/>
        </w:rPr>
        <w:t xml:space="preserve"> </w:t>
      </w:r>
      <w:r w:rsidRPr="00241FAC">
        <w:rPr>
          <w:rFonts w:cs="Arial"/>
        </w:rPr>
        <w:t xml:space="preserve">profirió sentencia </w:t>
      </w:r>
      <w:r w:rsidR="00276074" w:rsidRPr="00241FAC">
        <w:rPr>
          <w:rFonts w:cs="Arial"/>
        </w:rPr>
        <w:t>el dieciocho (18) de julio de dos mil cinco (2005),</w:t>
      </w:r>
      <w:r w:rsidR="00D65BDF" w:rsidRPr="00241FAC">
        <w:rPr>
          <w:rFonts w:cs="Arial"/>
        </w:rPr>
        <w:t xml:space="preserve"> </w:t>
      </w:r>
      <w:r w:rsidRPr="00241FAC">
        <w:rPr>
          <w:rFonts w:cs="Arial"/>
        </w:rPr>
        <w:t xml:space="preserve">en la cual denegó las pretensiones de la demanda, según se lee en la parte resolutiva de </w:t>
      </w:r>
      <w:r w:rsidR="002D55BA" w:rsidRPr="00241FAC">
        <w:rPr>
          <w:rFonts w:cs="Arial"/>
        </w:rPr>
        <w:t>la</w:t>
      </w:r>
      <w:r w:rsidRPr="00241FAC">
        <w:rPr>
          <w:rFonts w:cs="Arial"/>
        </w:rPr>
        <w:t xml:space="preserve"> decisión, tal como se citó al inicio de esta providencia. </w:t>
      </w:r>
    </w:p>
    <w:p w:rsidR="00D07561" w:rsidRPr="00241FAC" w:rsidRDefault="00D07561" w:rsidP="00E759BE">
      <w:pPr>
        <w:pStyle w:val="Continuarlista2"/>
        <w:rPr>
          <w:rFonts w:cs="Arial"/>
          <w:lang w:val="es-MX"/>
        </w:rPr>
      </w:pPr>
    </w:p>
    <w:p w:rsidR="00D550F9" w:rsidRPr="00241FAC" w:rsidRDefault="00D550F9" w:rsidP="00D07561">
      <w:pPr>
        <w:pStyle w:val="Continuarlista2"/>
        <w:ind w:left="0"/>
        <w:rPr>
          <w:rFonts w:cs="Arial"/>
          <w:lang w:val="es-MX"/>
        </w:rPr>
      </w:pPr>
      <w:r w:rsidRPr="00241FAC">
        <w:rPr>
          <w:rFonts w:cs="Arial"/>
          <w:lang w:val="es-MX"/>
        </w:rPr>
        <w:t xml:space="preserve">El Tribunal </w:t>
      </w:r>
      <w:r w:rsidRPr="00241FAC">
        <w:rPr>
          <w:rFonts w:cs="Arial"/>
          <w:i/>
          <w:lang w:val="es-MX"/>
        </w:rPr>
        <w:t>a quo</w:t>
      </w:r>
      <w:r w:rsidRPr="00241FAC">
        <w:rPr>
          <w:rFonts w:cs="Arial"/>
          <w:lang w:val="es-MX"/>
        </w:rPr>
        <w:t xml:space="preserve"> apoyó su decisión en las siguientes consideraciones:</w:t>
      </w:r>
    </w:p>
    <w:p w:rsidR="006C73BC" w:rsidRPr="00241FAC" w:rsidRDefault="006C73BC" w:rsidP="000B5D70">
      <w:pPr>
        <w:widowControl w:val="0"/>
        <w:autoSpaceDE w:val="0"/>
        <w:autoSpaceDN w:val="0"/>
        <w:adjustRightInd w:val="0"/>
        <w:rPr>
          <w:rFonts w:cs="Arial"/>
          <w:bCs/>
          <w:lang w:val="es-MX"/>
        </w:rPr>
      </w:pPr>
    </w:p>
    <w:p w:rsidR="00727390" w:rsidRPr="00241FAC" w:rsidRDefault="006C73BC" w:rsidP="00727390">
      <w:pPr>
        <w:widowControl w:val="0"/>
        <w:autoSpaceDE w:val="0"/>
        <w:autoSpaceDN w:val="0"/>
        <w:adjustRightInd w:val="0"/>
        <w:spacing w:line="240" w:lineRule="auto"/>
        <w:ind w:left="851" w:right="476"/>
        <w:rPr>
          <w:rFonts w:cs="Arial"/>
          <w:bCs/>
          <w:i/>
          <w:lang w:val="es-MX"/>
        </w:rPr>
      </w:pPr>
      <w:r w:rsidRPr="00241FAC">
        <w:rPr>
          <w:rFonts w:cs="Arial"/>
          <w:bCs/>
          <w:i/>
          <w:lang w:val="es-MX"/>
        </w:rPr>
        <w:t>“</w:t>
      </w:r>
      <w:r w:rsidR="0061152A" w:rsidRPr="00241FAC">
        <w:rPr>
          <w:rFonts w:cs="Arial"/>
          <w:bCs/>
          <w:i/>
          <w:lang w:val="es-MX"/>
        </w:rPr>
        <w:t>En el caso presente no transcurrieron los treinta d</w:t>
      </w:r>
      <w:r w:rsidR="008154D6" w:rsidRPr="00241FAC">
        <w:rPr>
          <w:rFonts w:cs="Arial"/>
          <w:bCs/>
          <w:i/>
          <w:lang w:val="es-MX"/>
        </w:rPr>
        <w:t>í</w:t>
      </w:r>
      <w:r w:rsidR="0061152A" w:rsidRPr="00241FAC">
        <w:rPr>
          <w:rFonts w:cs="Arial"/>
          <w:bCs/>
          <w:i/>
          <w:lang w:val="es-MX"/>
        </w:rPr>
        <w:t>as para que se configurara la caducidad, razón por la cual la acci</w:t>
      </w:r>
      <w:r w:rsidR="008154D6" w:rsidRPr="00241FAC">
        <w:rPr>
          <w:rFonts w:cs="Arial"/>
          <w:bCs/>
          <w:i/>
          <w:lang w:val="es-MX"/>
        </w:rPr>
        <w:t>ó</w:t>
      </w:r>
      <w:r w:rsidR="0061152A" w:rsidRPr="00241FAC">
        <w:rPr>
          <w:rFonts w:cs="Arial"/>
          <w:bCs/>
          <w:i/>
          <w:lang w:val="es-MX"/>
        </w:rPr>
        <w:t>n es procedente.</w:t>
      </w:r>
    </w:p>
    <w:p w:rsidR="0061152A" w:rsidRPr="00241FAC" w:rsidRDefault="0061152A" w:rsidP="00727390">
      <w:pPr>
        <w:widowControl w:val="0"/>
        <w:autoSpaceDE w:val="0"/>
        <w:autoSpaceDN w:val="0"/>
        <w:adjustRightInd w:val="0"/>
        <w:spacing w:line="240" w:lineRule="auto"/>
        <w:ind w:left="851" w:right="476"/>
        <w:rPr>
          <w:rFonts w:cs="Arial"/>
          <w:bCs/>
          <w:i/>
          <w:lang w:val="es-MX"/>
        </w:rPr>
      </w:pPr>
    </w:p>
    <w:p w:rsidR="00727390" w:rsidRPr="00241FAC" w:rsidRDefault="0061152A" w:rsidP="00727390">
      <w:pPr>
        <w:widowControl w:val="0"/>
        <w:autoSpaceDE w:val="0"/>
        <w:autoSpaceDN w:val="0"/>
        <w:adjustRightInd w:val="0"/>
        <w:spacing w:line="240" w:lineRule="auto"/>
        <w:ind w:left="851" w:right="476"/>
        <w:rPr>
          <w:rFonts w:cs="Arial"/>
          <w:bCs/>
          <w:i/>
          <w:lang w:val="es-MX"/>
        </w:rPr>
      </w:pPr>
      <w:r w:rsidRPr="00241FAC">
        <w:rPr>
          <w:rFonts w:cs="Arial"/>
          <w:bCs/>
          <w:i/>
          <w:lang w:val="es-MX"/>
        </w:rPr>
        <w:t>(…)</w:t>
      </w:r>
    </w:p>
    <w:p w:rsidR="00611E8C" w:rsidRPr="00241FAC" w:rsidRDefault="00611E8C" w:rsidP="00727390">
      <w:pPr>
        <w:widowControl w:val="0"/>
        <w:autoSpaceDE w:val="0"/>
        <w:autoSpaceDN w:val="0"/>
        <w:adjustRightInd w:val="0"/>
        <w:spacing w:line="240" w:lineRule="auto"/>
        <w:ind w:left="851" w:right="476"/>
        <w:rPr>
          <w:rFonts w:cs="Arial"/>
          <w:bCs/>
          <w:i/>
          <w:lang w:val="es-MX"/>
        </w:rPr>
      </w:pPr>
    </w:p>
    <w:p w:rsidR="008154D6" w:rsidRPr="00241FAC" w:rsidRDefault="00D977DE" w:rsidP="00727390">
      <w:pPr>
        <w:widowControl w:val="0"/>
        <w:autoSpaceDE w:val="0"/>
        <w:autoSpaceDN w:val="0"/>
        <w:adjustRightInd w:val="0"/>
        <w:spacing w:line="240" w:lineRule="auto"/>
        <w:ind w:left="851" w:right="476"/>
        <w:rPr>
          <w:rFonts w:cs="Arial"/>
          <w:bCs/>
          <w:i/>
          <w:lang w:val="es-MX"/>
        </w:rPr>
      </w:pPr>
      <w:r w:rsidRPr="00241FAC">
        <w:rPr>
          <w:rFonts w:cs="Arial"/>
          <w:bCs/>
          <w:i/>
          <w:lang w:val="es-MX"/>
        </w:rPr>
        <w:t>El CPM y GAN</w:t>
      </w:r>
      <w:r w:rsidR="005975A2" w:rsidRPr="00241FAC">
        <w:rPr>
          <w:rFonts w:cs="Arial"/>
          <w:bCs/>
          <w:i/>
          <w:lang w:val="es-MX"/>
        </w:rPr>
        <w:t>N</w:t>
      </w:r>
      <w:r w:rsidRPr="00241FAC">
        <w:rPr>
          <w:rFonts w:cs="Arial"/>
          <w:bCs/>
          <w:i/>
          <w:lang w:val="es-MX"/>
        </w:rPr>
        <w:t>T</w:t>
      </w:r>
      <w:r w:rsidR="007A33E0" w:rsidRPr="00241FAC">
        <w:rPr>
          <w:rFonts w:cs="Arial"/>
          <w:bCs/>
          <w:i/>
          <w:lang w:val="es-MX"/>
        </w:rPr>
        <w:t xml:space="preserve"> </w:t>
      </w:r>
      <w:r w:rsidR="00F00C50" w:rsidRPr="00241FAC">
        <w:rPr>
          <w:rFonts w:cs="Arial"/>
          <w:bCs/>
          <w:lang w:val="es-MX"/>
        </w:rPr>
        <w:t>(sic)</w:t>
      </w:r>
      <w:r w:rsidRPr="00241FAC">
        <w:rPr>
          <w:rFonts w:cs="Arial"/>
          <w:bCs/>
          <w:i/>
          <w:lang w:val="es-MX"/>
        </w:rPr>
        <w:t xml:space="preserve"> fue presentado de manera incompleta por la mayoría de los proponentes (programa de trabajo y flujo de desembolsos)</w:t>
      </w:r>
      <w:r w:rsidR="008154D6" w:rsidRPr="00241FAC">
        <w:rPr>
          <w:rFonts w:cs="Arial"/>
          <w:bCs/>
          <w:i/>
          <w:lang w:val="es-MX"/>
        </w:rPr>
        <w:t>, por lo cual en estricto sentido sí se presentaron esos documentos exigidos aunque no fuera de manera completa, lo cual no constituía propiamente una causal de rechazo, en este sentido, razones por la que este cargo no prospera</w:t>
      </w:r>
      <w:r w:rsidR="00F00C50" w:rsidRPr="00241FAC">
        <w:rPr>
          <w:rFonts w:cs="Arial"/>
          <w:bCs/>
          <w:i/>
          <w:lang w:val="es-MX"/>
        </w:rPr>
        <w:t>.</w:t>
      </w:r>
    </w:p>
    <w:p w:rsidR="00727390" w:rsidRPr="00241FAC" w:rsidRDefault="00727390" w:rsidP="00727390">
      <w:pPr>
        <w:widowControl w:val="0"/>
        <w:autoSpaceDE w:val="0"/>
        <w:autoSpaceDN w:val="0"/>
        <w:adjustRightInd w:val="0"/>
        <w:spacing w:line="240" w:lineRule="auto"/>
        <w:ind w:left="851" w:right="476"/>
        <w:rPr>
          <w:rFonts w:cs="Arial"/>
          <w:bCs/>
          <w:i/>
          <w:lang w:val="es-MX"/>
        </w:rPr>
      </w:pPr>
    </w:p>
    <w:p w:rsidR="000012E0" w:rsidRPr="00241FAC" w:rsidRDefault="000012E0" w:rsidP="0008343C">
      <w:pPr>
        <w:widowControl w:val="0"/>
        <w:autoSpaceDE w:val="0"/>
        <w:autoSpaceDN w:val="0"/>
        <w:adjustRightInd w:val="0"/>
        <w:spacing w:line="240" w:lineRule="auto"/>
        <w:ind w:left="851" w:right="476"/>
        <w:rPr>
          <w:rFonts w:cs="Arial"/>
          <w:bCs/>
          <w:i/>
          <w:lang w:val="es-MX"/>
        </w:rPr>
      </w:pPr>
      <w:r w:rsidRPr="00241FAC">
        <w:rPr>
          <w:rFonts w:cs="Arial"/>
          <w:bCs/>
          <w:i/>
          <w:lang w:val="es-MX"/>
        </w:rPr>
        <w:t>En cuanto (</w:t>
      </w:r>
      <w:r w:rsidR="008512EE" w:rsidRPr="00241FAC">
        <w:rPr>
          <w:rFonts w:cs="Arial"/>
          <w:bCs/>
          <w:i/>
          <w:lang w:val="es-MX"/>
        </w:rPr>
        <w:t>…</w:t>
      </w:r>
      <w:r w:rsidRPr="00241FAC">
        <w:rPr>
          <w:rFonts w:cs="Arial"/>
          <w:bCs/>
          <w:i/>
          <w:lang w:val="es-MX"/>
        </w:rPr>
        <w:t>) al ítem 24 Programación de obras, Nivel II</w:t>
      </w:r>
      <w:r w:rsidR="008512EE" w:rsidRPr="00241FAC">
        <w:rPr>
          <w:rFonts w:cs="Arial"/>
          <w:bCs/>
          <w:i/>
          <w:lang w:val="es-MX"/>
        </w:rPr>
        <w:t xml:space="preserve"> (</w:t>
      </w:r>
      <w:r w:rsidRPr="00241FAC">
        <w:rPr>
          <w:rFonts w:cs="Arial"/>
          <w:bCs/>
          <w:i/>
          <w:lang w:val="es-MX"/>
        </w:rPr>
        <w:t>…</w:t>
      </w:r>
      <w:r w:rsidR="008512EE" w:rsidRPr="00241FAC">
        <w:rPr>
          <w:rFonts w:cs="Arial"/>
          <w:bCs/>
          <w:i/>
          <w:lang w:val="es-MX"/>
        </w:rPr>
        <w:t xml:space="preserve">) </w:t>
      </w:r>
      <w:r w:rsidRPr="00241FAC">
        <w:rPr>
          <w:rFonts w:cs="Arial"/>
          <w:bCs/>
          <w:i/>
          <w:lang w:val="es-MX"/>
        </w:rPr>
        <w:t xml:space="preserve">lo que argumenta el accionante </w:t>
      </w:r>
      <w:r w:rsidR="008512EE" w:rsidRPr="00241FAC">
        <w:rPr>
          <w:rFonts w:cs="Arial"/>
          <w:bCs/>
          <w:i/>
          <w:lang w:val="es-MX"/>
        </w:rPr>
        <w:t>(</w:t>
      </w:r>
      <w:r w:rsidRPr="00241FAC">
        <w:rPr>
          <w:rFonts w:cs="Arial"/>
          <w:bCs/>
          <w:i/>
          <w:lang w:val="es-MX"/>
        </w:rPr>
        <w:t>…</w:t>
      </w:r>
      <w:r w:rsidR="008512EE" w:rsidRPr="00241FAC">
        <w:rPr>
          <w:rFonts w:cs="Arial"/>
          <w:bCs/>
          <w:i/>
          <w:lang w:val="es-MX"/>
        </w:rPr>
        <w:t xml:space="preserve">) </w:t>
      </w:r>
      <w:r w:rsidRPr="00241FAC">
        <w:rPr>
          <w:rFonts w:cs="Arial"/>
          <w:bCs/>
          <w:i/>
          <w:lang w:val="es-MX"/>
        </w:rPr>
        <w:t>ya se encuentra satisfecho</w:t>
      </w:r>
      <w:r w:rsidR="005975A2" w:rsidRPr="00241FAC">
        <w:rPr>
          <w:rFonts w:cs="Arial"/>
          <w:bCs/>
          <w:i/>
          <w:lang w:val="es-MX"/>
        </w:rPr>
        <w:t>,</w:t>
      </w:r>
      <w:r w:rsidRPr="00241FAC">
        <w:rPr>
          <w:rFonts w:cs="Arial"/>
          <w:bCs/>
          <w:i/>
          <w:lang w:val="es-MX"/>
        </w:rPr>
        <w:t xml:space="preserve"> pues se eval</w:t>
      </w:r>
      <w:r w:rsidR="007B141B" w:rsidRPr="00241FAC">
        <w:rPr>
          <w:rFonts w:cs="Arial"/>
          <w:bCs/>
          <w:i/>
          <w:lang w:val="es-MX"/>
        </w:rPr>
        <w:t>uó</w:t>
      </w:r>
      <w:r w:rsidRPr="00241FAC">
        <w:rPr>
          <w:rFonts w:cs="Arial"/>
          <w:bCs/>
          <w:i/>
          <w:lang w:val="es-MX"/>
        </w:rPr>
        <w:t xml:space="preserve"> con cero (…).</w:t>
      </w:r>
    </w:p>
    <w:p w:rsidR="000012E0" w:rsidRPr="00241FAC" w:rsidRDefault="000012E0" w:rsidP="0008343C">
      <w:pPr>
        <w:widowControl w:val="0"/>
        <w:autoSpaceDE w:val="0"/>
        <w:autoSpaceDN w:val="0"/>
        <w:adjustRightInd w:val="0"/>
        <w:spacing w:line="240" w:lineRule="auto"/>
        <w:ind w:left="851" w:right="476"/>
        <w:rPr>
          <w:rFonts w:cs="Arial"/>
          <w:bCs/>
          <w:i/>
          <w:lang w:val="es-MX"/>
        </w:rPr>
      </w:pPr>
    </w:p>
    <w:p w:rsidR="00450A50" w:rsidRPr="00241FAC" w:rsidRDefault="007B141B" w:rsidP="0008343C">
      <w:pPr>
        <w:widowControl w:val="0"/>
        <w:autoSpaceDE w:val="0"/>
        <w:autoSpaceDN w:val="0"/>
        <w:adjustRightInd w:val="0"/>
        <w:spacing w:line="240" w:lineRule="auto"/>
        <w:ind w:left="851" w:right="476"/>
        <w:rPr>
          <w:rFonts w:cs="Arial"/>
          <w:bCs/>
          <w:i/>
          <w:lang w:val="es-MX"/>
        </w:rPr>
      </w:pPr>
      <w:r w:rsidRPr="00241FAC">
        <w:rPr>
          <w:rFonts w:cs="Arial"/>
          <w:bCs/>
          <w:i/>
          <w:lang w:val="es-MX"/>
        </w:rPr>
        <w:t xml:space="preserve">Del mismo modo ha de señalarse que no obstante no </w:t>
      </w:r>
      <w:r w:rsidR="00450A50" w:rsidRPr="00241FAC">
        <w:rPr>
          <w:rFonts w:cs="Arial"/>
          <w:bCs/>
          <w:i/>
          <w:lang w:val="es-MX"/>
        </w:rPr>
        <w:t>obran en el proceso los folios 889 y</w:t>
      </w:r>
      <w:r w:rsidRPr="00241FAC">
        <w:rPr>
          <w:rFonts w:cs="Arial"/>
          <w:bCs/>
          <w:i/>
          <w:lang w:val="es-MX"/>
        </w:rPr>
        <w:t xml:space="preserve"> </w:t>
      </w:r>
      <w:r w:rsidR="00450A50" w:rsidRPr="00241FAC">
        <w:rPr>
          <w:rFonts w:cs="Arial"/>
          <w:bCs/>
          <w:i/>
          <w:lang w:val="es-MX"/>
        </w:rPr>
        <w:t>sigui</w:t>
      </w:r>
      <w:r w:rsidRPr="00241FAC">
        <w:rPr>
          <w:rFonts w:cs="Arial"/>
          <w:bCs/>
          <w:i/>
          <w:lang w:val="es-MX"/>
        </w:rPr>
        <w:t>e</w:t>
      </w:r>
      <w:r w:rsidR="00450A50" w:rsidRPr="00241FAC">
        <w:rPr>
          <w:rFonts w:cs="Arial"/>
          <w:bCs/>
          <w:i/>
          <w:lang w:val="es-MX"/>
        </w:rPr>
        <w:t>ntes de la propuesta presentada por el Consorcio LUIS E</w:t>
      </w:r>
      <w:r w:rsidR="003D36B0" w:rsidRPr="00241FAC">
        <w:rPr>
          <w:rFonts w:cs="Arial"/>
          <w:bCs/>
          <w:i/>
          <w:lang w:val="es-MX"/>
        </w:rPr>
        <w:t>.</w:t>
      </w:r>
      <w:r w:rsidR="00450A50" w:rsidRPr="00241FAC">
        <w:rPr>
          <w:rFonts w:cs="Arial"/>
          <w:bCs/>
          <w:i/>
          <w:lang w:val="es-MX"/>
        </w:rPr>
        <w:t xml:space="preserve"> GOMEZ y otro, ha de considerarse que sí se presentaron los diagramas en bar</w:t>
      </w:r>
      <w:r w:rsidRPr="00241FAC">
        <w:rPr>
          <w:rFonts w:cs="Arial"/>
          <w:bCs/>
          <w:i/>
          <w:lang w:val="es-MX"/>
        </w:rPr>
        <w:t>r</w:t>
      </w:r>
      <w:r w:rsidR="00450A50" w:rsidRPr="00241FAC">
        <w:rPr>
          <w:rFonts w:cs="Arial"/>
          <w:bCs/>
          <w:i/>
          <w:lang w:val="es-MX"/>
        </w:rPr>
        <w:t xml:space="preserve">as, tal y como se indica al folio 74 cuaderno </w:t>
      </w:r>
      <w:r w:rsidRPr="00241FAC">
        <w:rPr>
          <w:rFonts w:cs="Arial"/>
          <w:bCs/>
          <w:i/>
          <w:lang w:val="es-MX"/>
        </w:rPr>
        <w:t>y</w:t>
      </w:r>
      <w:r w:rsidR="00450A50" w:rsidRPr="00241FAC">
        <w:rPr>
          <w:rFonts w:cs="Arial"/>
          <w:bCs/>
          <w:i/>
          <w:lang w:val="es-MX"/>
        </w:rPr>
        <w:t xml:space="preserve"> como lo reconoce el mismo accionante (…)</w:t>
      </w:r>
      <w:r w:rsidR="008512EE" w:rsidRPr="00241FAC">
        <w:rPr>
          <w:rFonts w:cs="Arial"/>
          <w:bCs/>
          <w:i/>
          <w:lang w:val="es-MX"/>
        </w:rPr>
        <w:t>.</w:t>
      </w:r>
    </w:p>
    <w:p w:rsidR="00450A50" w:rsidRPr="00241FAC" w:rsidRDefault="00450A50" w:rsidP="0008343C">
      <w:pPr>
        <w:widowControl w:val="0"/>
        <w:autoSpaceDE w:val="0"/>
        <w:autoSpaceDN w:val="0"/>
        <w:adjustRightInd w:val="0"/>
        <w:spacing w:line="240" w:lineRule="auto"/>
        <w:ind w:left="851" w:right="476"/>
        <w:rPr>
          <w:rFonts w:cs="Arial"/>
          <w:bCs/>
          <w:i/>
          <w:lang w:val="es-MX"/>
        </w:rPr>
      </w:pPr>
    </w:p>
    <w:p w:rsidR="00EF5BD3" w:rsidRPr="00241FAC" w:rsidRDefault="00EF5BD3" w:rsidP="0008343C">
      <w:pPr>
        <w:widowControl w:val="0"/>
        <w:autoSpaceDE w:val="0"/>
        <w:autoSpaceDN w:val="0"/>
        <w:adjustRightInd w:val="0"/>
        <w:spacing w:line="240" w:lineRule="auto"/>
        <w:ind w:left="851" w:right="476"/>
        <w:rPr>
          <w:rFonts w:cs="Arial"/>
          <w:bCs/>
          <w:i/>
          <w:lang w:val="es-MX"/>
        </w:rPr>
      </w:pPr>
      <w:r w:rsidRPr="00241FAC">
        <w:rPr>
          <w:rFonts w:cs="Arial"/>
          <w:bCs/>
          <w:i/>
          <w:lang w:val="es-MX"/>
        </w:rPr>
        <w:t>(…)</w:t>
      </w:r>
    </w:p>
    <w:p w:rsidR="00EF5BD3" w:rsidRPr="00241FAC" w:rsidRDefault="00EF5BD3" w:rsidP="0008343C">
      <w:pPr>
        <w:widowControl w:val="0"/>
        <w:autoSpaceDE w:val="0"/>
        <w:autoSpaceDN w:val="0"/>
        <w:adjustRightInd w:val="0"/>
        <w:spacing w:line="240" w:lineRule="auto"/>
        <w:ind w:left="851" w:right="476"/>
        <w:rPr>
          <w:rFonts w:cs="Arial"/>
          <w:bCs/>
          <w:i/>
          <w:lang w:val="es-MX"/>
        </w:rPr>
      </w:pPr>
    </w:p>
    <w:p w:rsidR="002A4C62" w:rsidRPr="00241FAC" w:rsidRDefault="00432816" w:rsidP="0008343C">
      <w:pPr>
        <w:widowControl w:val="0"/>
        <w:autoSpaceDE w:val="0"/>
        <w:autoSpaceDN w:val="0"/>
        <w:adjustRightInd w:val="0"/>
        <w:spacing w:line="240" w:lineRule="auto"/>
        <w:ind w:left="851" w:right="476"/>
        <w:rPr>
          <w:rFonts w:cs="Arial"/>
          <w:bCs/>
          <w:i/>
          <w:lang w:val="es-MX"/>
        </w:rPr>
      </w:pPr>
      <w:r w:rsidRPr="00241FAC">
        <w:rPr>
          <w:rFonts w:cs="Arial"/>
          <w:bCs/>
          <w:i/>
          <w:lang w:val="es-MX"/>
        </w:rPr>
        <w:t xml:space="preserve">De lo expresado </w:t>
      </w:r>
      <w:r w:rsidR="007B141B" w:rsidRPr="00241FAC">
        <w:rPr>
          <w:rFonts w:cs="Arial"/>
          <w:bCs/>
          <w:i/>
          <w:lang w:val="es-MX"/>
        </w:rPr>
        <w:t>anteriormente y de la evaluación financiera de las propuestas, se concluye que la entidad tuvo en cuenta no s</w:t>
      </w:r>
      <w:r w:rsidR="00AF4274" w:rsidRPr="00241FAC">
        <w:rPr>
          <w:rFonts w:cs="Arial"/>
          <w:bCs/>
          <w:i/>
          <w:lang w:val="es-MX"/>
        </w:rPr>
        <w:t>ó</w:t>
      </w:r>
      <w:r w:rsidR="007B141B" w:rsidRPr="00241FAC">
        <w:rPr>
          <w:rFonts w:cs="Arial"/>
          <w:bCs/>
          <w:i/>
          <w:lang w:val="es-MX"/>
        </w:rPr>
        <w:t>lo los balances presentados por los propon</w:t>
      </w:r>
      <w:r w:rsidR="002A4C62" w:rsidRPr="00241FAC">
        <w:rPr>
          <w:rFonts w:cs="Arial"/>
          <w:bCs/>
          <w:i/>
          <w:lang w:val="es-MX"/>
        </w:rPr>
        <w:t>en</w:t>
      </w:r>
      <w:r w:rsidR="007B141B" w:rsidRPr="00241FAC">
        <w:rPr>
          <w:rFonts w:cs="Arial"/>
          <w:bCs/>
          <w:i/>
          <w:lang w:val="es-MX"/>
        </w:rPr>
        <w:t>tes, sin</w:t>
      </w:r>
      <w:r w:rsidR="002A4C62" w:rsidRPr="00241FAC">
        <w:rPr>
          <w:rFonts w:cs="Arial"/>
          <w:bCs/>
          <w:i/>
          <w:lang w:val="es-MX"/>
        </w:rPr>
        <w:t>o además las declaraciones de renta, para lo cual estaba facultada legalmente y aq</w:t>
      </w:r>
      <w:r w:rsidR="008A2556" w:rsidRPr="00241FAC">
        <w:rPr>
          <w:rFonts w:cs="Arial"/>
          <w:bCs/>
          <w:i/>
          <w:lang w:val="es-MX"/>
        </w:rPr>
        <w:t>ue</w:t>
      </w:r>
      <w:r w:rsidR="002A4C62" w:rsidRPr="00241FAC">
        <w:rPr>
          <w:rFonts w:cs="Arial"/>
          <w:bCs/>
          <w:i/>
          <w:lang w:val="es-MX"/>
        </w:rPr>
        <w:t xml:space="preserve">lla que presentó inconsistencia entre los balances y la declaración de renta fue calificada con cero. </w:t>
      </w:r>
    </w:p>
    <w:p w:rsidR="002A4C62" w:rsidRPr="00241FAC" w:rsidRDefault="002A4C62" w:rsidP="0008343C">
      <w:pPr>
        <w:widowControl w:val="0"/>
        <w:autoSpaceDE w:val="0"/>
        <w:autoSpaceDN w:val="0"/>
        <w:adjustRightInd w:val="0"/>
        <w:spacing w:line="240" w:lineRule="auto"/>
        <w:ind w:left="851" w:right="476"/>
        <w:rPr>
          <w:rFonts w:cs="Arial"/>
          <w:bCs/>
          <w:i/>
          <w:lang w:val="es-MX"/>
        </w:rPr>
      </w:pPr>
    </w:p>
    <w:p w:rsidR="006E33B0" w:rsidRPr="00241FAC" w:rsidRDefault="002A4C62" w:rsidP="0008343C">
      <w:pPr>
        <w:widowControl w:val="0"/>
        <w:autoSpaceDE w:val="0"/>
        <w:autoSpaceDN w:val="0"/>
        <w:adjustRightInd w:val="0"/>
        <w:spacing w:line="240" w:lineRule="auto"/>
        <w:ind w:left="851" w:right="476"/>
        <w:rPr>
          <w:rFonts w:cs="Arial"/>
          <w:bCs/>
          <w:i/>
          <w:lang w:val="es-MX"/>
        </w:rPr>
      </w:pPr>
      <w:r w:rsidRPr="00241FAC">
        <w:rPr>
          <w:rFonts w:cs="Arial"/>
          <w:bCs/>
          <w:i/>
          <w:lang w:val="es-MX"/>
        </w:rPr>
        <w:t>En razón a las inconsistencias presentadas y al no haberse anexado notas a los Estados Fi</w:t>
      </w:r>
      <w:r w:rsidR="00615805" w:rsidRPr="00241FAC">
        <w:rPr>
          <w:rFonts w:cs="Arial"/>
          <w:bCs/>
          <w:i/>
          <w:lang w:val="es-MX"/>
        </w:rPr>
        <w:t>nan</w:t>
      </w:r>
      <w:r w:rsidRPr="00241FAC">
        <w:rPr>
          <w:rFonts w:cs="Arial"/>
          <w:bCs/>
          <w:i/>
          <w:lang w:val="es-MX"/>
        </w:rPr>
        <w:t>cieros, el comit</w:t>
      </w:r>
      <w:r w:rsidR="00615805" w:rsidRPr="00241FAC">
        <w:rPr>
          <w:rFonts w:cs="Arial"/>
          <w:bCs/>
          <w:i/>
          <w:lang w:val="es-MX"/>
        </w:rPr>
        <w:t xml:space="preserve">é </w:t>
      </w:r>
      <w:r w:rsidRPr="00241FAC">
        <w:rPr>
          <w:rFonts w:cs="Arial"/>
          <w:bCs/>
          <w:i/>
          <w:lang w:val="es-MX"/>
        </w:rPr>
        <w:t xml:space="preserve">evaluador </w:t>
      </w:r>
      <w:r w:rsidR="00615805" w:rsidRPr="00241FAC">
        <w:rPr>
          <w:rFonts w:cs="Arial"/>
          <w:bCs/>
          <w:i/>
          <w:lang w:val="es-MX"/>
        </w:rPr>
        <w:t xml:space="preserve">tomó como base para analizar la capacidad financiera lo reflejado en la declaración de renta </w:t>
      </w:r>
      <w:r w:rsidR="0055519F" w:rsidRPr="00241FAC">
        <w:rPr>
          <w:rFonts w:cs="Arial"/>
          <w:bCs/>
          <w:i/>
          <w:lang w:val="es-MX"/>
        </w:rPr>
        <w:t xml:space="preserve">y como consecuencia de ello determinó el capital de trabajo, de conformidad con el contenido del numeral 29 de los términos de referencia (folio 27 de los mismos), en el cual se señala que el capital de trabajo equivalente a activo corriente </w:t>
      </w:r>
      <w:r w:rsidR="0036264B" w:rsidRPr="00241FAC">
        <w:rPr>
          <w:rFonts w:cs="Arial"/>
          <w:bCs/>
          <w:i/>
          <w:lang w:val="es-MX"/>
        </w:rPr>
        <w:t>– [menos]</w:t>
      </w:r>
      <w:r w:rsidR="0055519F" w:rsidRPr="00241FAC">
        <w:rPr>
          <w:rFonts w:cs="Arial"/>
          <w:bCs/>
          <w:i/>
          <w:lang w:val="es-MX"/>
        </w:rPr>
        <w:t xml:space="preserve"> pasivo corriente y deberá </w:t>
      </w:r>
      <w:r w:rsidR="00AD5BC5" w:rsidRPr="00241FAC">
        <w:rPr>
          <w:rFonts w:cs="Arial"/>
          <w:bCs/>
          <w:i/>
          <w:lang w:val="es-MX"/>
        </w:rPr>
        <w:t xml:space="preserve">ser mayor a doscientos cincuenta millones ($250’000.000) y que </w:t>
      </w:r>
      <w:r w:rsidR="00615805" w:rsidRPr="00241FAC">
        <w:rPr>
          <w:rFonts w:cs="Arial"/>
          <w:bCs/>
          <w:i/>
          <w:lang w:val="es-MX"/>
        </w:rPr>
        <w:t xml:space="preserve">la propuesta </w:t>
      </w:r>
      <w:r w:rsidR="006E33B0" w:rsidRPr="00241FAC">
        <w:rPr>
          <w:rFonts w:cs="Arial"/>
          <w:bCs/>
          <w:i/>
          <w:lang w:val="es-MX"/>
        </w:rPr>
        <w:t xml:space="preserve">que </w:t>
      </w:r>
      <w:r w:rsidR="00615805" w:rsidRPr="00241FAC">
        <w:rPr>
          <w:rFonts w:cs="Arial"/>
          <w:bCs/>
          <w:i/>
          <w:lang w:val="es-MX"/>
        </w:rPr>
        <w:t>no cumplía e</w:t>
      </w:r>
      <w:r w:rsidR="00AD5BC5" w:rsidRPr="00241FAC">
        <w:rPr>
          <w:rFonts w:cs="Arial"/>
          <w:bCs/>
          <w:i/>
          <w:lang w:val="es-MX"/>
        </w:rPr>
        <w:t>s</w:t>
      </w:r>
      <w:r w:rsidR="00615805" w:rsidRPr="00241FAC">
        <w:rPr>
          <w:rFonts w:cs="Arial"/>
          <w:bCs/>
          <w:i/>
          <w:lang w:val="es-MX"/>
        </w:rPr>
        <w:t xml:space="preserve">ta condición </w:t>
      </w:r>
      <w:r w:rsidR="006E33B0" w:rsidRPr="00241FAC">
        <w:rPr>
          <w:rFonts w:cs="Arial"/>
          <w:bCs/>
          <w:i/>
          <w:lang w:val="es-MX"/>
        </w:rPr>
        <w:t>obtendrá cero (0) puntos (….) Realiza</w:t>
      </w:r>
      <w:r w:rsidR="005043FD" w:rsidRPr="00241FAC">
        <w:rPr>
          <w:rFonts w:cs="Arial"/>
          <w:bCs/>
          <w:i/>
          <w:lang w:val="es-MX"/>
        </w:rPr>
        <w:t>d</w:t>
      </w:r>
      <w:r w:rsidR="006E33B0" w:rsidRPr="00241FAC">
        <w:rPr>
          <w:rFonts w:cs="Arial"/>
          <w:bCs/>
          <w:i/>
          <w:lang w:val="es-MX"/>
        </w:rPr>
        <w:t>as las operaciones correspondientes y atendidas las declaraciones de renta de los socios, el total del capital de trabajo sumó $207’648.700, lo cual resulta menor a la suma exigida en los términos de tal manera que obtuvo cero en la calificación.</w:t>
      </w:r>
    </w:p>
    <w:p w:rsidR="006E33B0" w:rsidRPr="00241FAC" w:rsidRDefault="006E33B0" w:rsidP="0008343C">
      <w:pPr>
        <w:widowControl w:val="0"/>
        <w:autoSpaceDE w:val="0"/>
        <w:autoSpaceDN w:val="0"/>
        <w:adjustRightInd w:val="0"/>
        <w:spacing w:line="240" w:lineRule="auto"/>
        <w:ind w:left="851" w:right="476"/>
        <w:rPr>
          <w:rFonts w:cs="Arial"/>
          <w:bCs/>
          <w:i/>
          <w:lang w:val="es-MX"/>
        </w:rPr>
      </w:pPr>
    </w:p>
    <w:p w:rsidR="006E33B0" w:rsidRPr="00241FAC" w:rsidRDefault="006E33B0" w:rsidP="0008343C">
      <w:pPr>
        <w:widowControl w:val="0"/>
        <w:autoSpaceDE w:val="0"/>
        <w:autoSpaceDN w:val="0"/>
        <w:adjustRightInd w:val="0"/>
        <w:spacing w:line="240" w:lineRule="auto"/>
        <w:ind w:left="851" w:right="476"/>
        <w:rPr>
          <w:rFonts w:cs="Arial"/>
          <w:bCs/>
          <w:i/>
          <w:lang w:val="es-MX"/>
        </w:rPr>
      </w:pPr>
      <w:r w:rsidRPr="00241FAC">
        <w:rPr>
          <w:rFonts w:cs="Arial"/>
          <w:bCs/>
          <w:i/>
          <w:lang w:val="es-MX"/>
        </w:rPr>
        <w:t>(…)</w:t>
      </w:r>
    </w:p>
    <w:p w:rsidR="002D55BA" w:rsidRPr="00241FAC" w:rsidRDefault="002D55BA" w:rsidP="0008343C">
      <w:pPr>
        <w:widowControl w:val="0"/>
        <w:autoSpaceDE w:val="0"/>
        <w:autoSpaceDN w:val="0"/>
        <w:adjustRightInd w:val="0"/>
        <w:spacing w:line="240" w:lineRule="auto"/>
        <w:ind w:left="851" w:right="476"/>
        <w:rPr>
          <w:rFonts w:cs="Arial"/>
          <w:bCs/>
          <w:i/>
          <w:lang w:val="es-MX"/>
        </w:rPr>
      </w:pPr>
    </w:p>
    <w:p w:rsidR="006E33B0" w:rsidRPr="00241FAC" w:rsidRDefault="00BF5F44" w:rsidP="0008343C">
      <w:pPr>
        <w:widowControl w:val="0"/>
        <w:autoSpaceDE w:val="0"/>
        <w:autoSpaceDN w:val="0"/>
        <w:adjustRightInd w:val="0"/>
        <w:spacing w:line="240" w:lineRule="auto"/>
        <w:ind w:left="851" w:right="476"/>
        <w:rPr>
          <w:rFonts w:cs="Arial"/>
          <w:bCs/>
          <w:i/>
          <w:lang w:val="es-MX"/>
        </w:rPr>
      </w:pPr>
      <w:r w:rsidRPr="00241FAC">
        <w:rPr>
          <w:rFonts w:cs="Arial"/>
          <w:bCs/>
          <w:i/>
          <w:lang w:val="es-MX"/>
        </w:rPr>
        <w:t>El quinto cargo está dirigido contra la calificación obtenid</w:t>
      </w:r>
      <w:r w:rsidR="008B2EC5" w:rsidRPr="00241FAC">
        <w:rPr>
          <w:rFonts w:cs="Arial"/>
          <w:bCs/>
          <w:i/>
          <w:lang w:val="es-MX"/>
        </w:rPr>
        <w:t>a</w:t>
      </w:r>
      <w:r w:rsidRPr="00241FAC">
        <w:rPr>
          <w:rFonts w:cs="Arial"/>
          <w:bCs/>
          <w:i/>
          <w:lang w:val="es-MX"/>
        </w:rPr>
        <w:t xml:space="preserve"> por experiencia, sin que se sustente claramente por parte del accionante el motivo de inconformidad. (…)</w:t>
      </w:r>
      <w:r w:rsidR="0043338F" w:rsidRPr="00241FAC">
        <w:rPr>
          <w:rFonts w:cs="Arial"/>
          <w:bCs/>
          <w:i/>
          <w:lang w:val="es-MX"/>
        </w:rPr>
        <w:t xml:space="preserve"> Sobre este cuestionamiento ha de atenderse las explicaciones que sobre el particular profirió la entidad contratante al resolver las observaciones formuladas en su momento por el actor (…) la experiencia debe acreditarse mediante </w:t>
      </w:r>
      <w:r w:rsidR="0043338F" w:rsidRPr="00241FAC">
        <w:rPr>
          <w:rFonts w:cs="Arial"/>
          <w:bCs/>
          <w:i/>
          <w:lang w:val="es-MX"/>
        </w:rPr>
        <w:lastRenderedPageBreak/>
        <w:t>certificaciones,</w:t>
      </w:r>
      <w:r w:rsidR="00EF5BD3" w:rsidRPr="00241FAC">
        <w:rPr>
          <w:rFonts w:cs="Arial"/>
          <w:bCs/>
          <w:i/>
          <w:lang w:val="es-MX"/>
        </w:rPr>
        <w:t xml:space="preserve"> de tal forma que quienes no la presentaron no podrán reclamar puntaje por este concepto. Lo anterior, por cuanto, v</w:t>
      </w:r>
      <w:r w:rsidR="005A0F8E" w:rsidRPr="00241FAC">
        <w:rPr>
          <w:rFonts w:cs="Arial"/>
          <w:bCs/>
          <w:i/>
          <w:lang w:val="es-MX"/>
        </w:rPr>
        <w:t>erificados los términos de referencia así se exige demostrar la experiencia y en las hojas de vida que hacen parte de la propuesta se encuentra falta de las certificaciones respectivas, razón por la cual este cargo no prospera</w:t>
      </w:r>
      <w:r w:rsidR="008B2EC5" w:rsidRPr="00241FAC">
        <w:rPr>
          <w:rFonts w:cs="Arial"/>
          <w:bCs/>
          <w:i/>
          <w:lang w:val="es-MX"/>
        </w:rPr>
        <w:t>.</w:t>
      </w:r>
    </w:p>
    <w:p w:rsidR="005043FD" w:rsidRPr="00241FAC" w:rsidRDefault="005043FD" w:rsidP="0008343C">
      <w:pPr>
        <w:widowControl w:val="0"/>
        <w:autoSpaceDE w:val="0"/>
        <w:autoSpaceDN w:val="0"/>
        <w:adjustRightInd w:val="0"/>
        <w:spacing w:line="240" w:lineRule="auto"/>
        <w:ind w:left="851" w:right="476"/>
        <w:rPr>
          <w:rFonts w:cs="Arial"/>
          <w:bCs/>
          <w:i/>
          <w:lang w:val="es-MX"/>
        </w:rPr>
      </w:pPr>
    </w:p>
    <w:p w:rsidR="00404EC6" w:rsidRPr="00241FAC" w:rsidRDefault="00404EC6" w:rsidP="0008343C">
      <w:pPr>
        <w:widowControl w:val="0"/>
        <w:autoSpaceDE w:val="0"/>
        <w:autoSpaceDN w:val="0"/>
        <w:adjustRightInd w:val="0"/>
        <w:spacing w:line="240" w:lineRule="auto"/>
        <w:ind w:left="851" w:right="476"/>
        <w:rPr>
          <w:rFonts w:cs="Arial"/>
          <w:bCs/>
          <w:i/>
          <w:lang w:val="es-MX"/>
        </w:rPr>
      </w:pPr>
      <w:r w:rsidRPr="00241FAC">
        <w:rPr>
          <w:rFonts w:cs="Arial"/>
          <w:bCs/>
          <w:i/>
          <w:lang w:val="es-MX"/>
        </w:rPr>
        <w:t>(…)</w:t>
      </w:r>
    </w:p>
    <w:p w:rsidR="00404EC6" w:rsidRPr="00241FAC" w:rsidRDefault="00404EC6" w:rsidP="0008343C">
      <w:pPr>
        <w:widowControl w:val="0"/>
        <w:autoSpaceDE w:val="0"/>
        <w:autoSpaceDN w:val="0"/>
        <w:adjustRightInd w:val="0"/>
        <w:spacing w:line="240" w:lineRule="auto"/>
        <w:ind w:left="851" w:right="476"/>
        <w:rPr>
          <w:rFonts w:cs="Arial"/>
          <w:bCs/>
          <w:i/>
          <w:lang w:val="es-MX"/>
        </w:rPr>
      </w:pPr>
    </w:p>
    <w:p w:rsidR="005043FD" w:rsidRPr="00241FAC" w:rsidRDefault="005043FD" w:rsidP="0008343C">
      <w:pPr>
        <w:widowControl w:val="0"/>
        <w:autoSpaceDE w:val="0"/>
        <w:autoSpaceDN w:val="0"/>
        <w:adjustRightInd w:val="0"/>
        <w:spacing w:line="240" w:lineRule="auto"/>
        <w:ind w:left="851" w:right="476"/>
        <w:rPr>
          <w:rFonts w:cs="Arial"/>
          <w:bCs/>
          <w:i/>
          <w:lang w:val="es-MX"/>
        </w:rPr>
      </w:pPr>
      <w:r w:rsidRPr="00241FAC">
        <w:rPr>
          <w:rFonts w:cs="Arial"/>
          <w:bCs/>
          <w:i/>
          <w:lang w:val="es-MX"/>
        </w:rPr>
        <w:t>Finalmente, ha de señalarse que no se demostró que la propuesta presentada por el contratista fuera la m</w:t>
      </w:r>
      <w:r w:rsidR="00173A1D" w:rsidRPr="00241FAC">
        <w:rPr>
          <w:rFonts w:cs="Arial"/>
          <w:bCs/>
          <w:i/>
          <w:lang w:val="es-MX"/>
        </w:rPr>
        <w:t>á</w:t>
      </w:r>
      <w:r w:rsidRPr="00241FAC">
        <w:rPr>
          <w:rFonts w:cs="Arial"/>
          <w:bCs/>
          <w:i/>
          <w:lang w:val="es-MX"/>
        </w:rPr>
        <w:t>s favorable para la entidad y por ello obtener el derecho a la adjudicación del contrato</w:t>
      </w:r>
      <w:r w:rsidR="00404EC6" w:rsidRPr="00241FAC">
        <w:rPr>
          <w:rFonts w:cs="Arial"/>
          <w:bCs/>
          <w:i/>
          <w:lang w:val="es-MX"/>
        </w:rPr>
        <w:t>.</w:t>
      </w:r>
    </w:p>
    <w:p w:rsidR="005A0F8E" w:rsidRPr="00241FAC" w:rsidRDefault="005A0F8E" w:rsidP="0008343C">
      <w:pPr>
        <w:widowControl w:val="0"/>
        <w:autoSpaceDE w:val="0"/>
        <w:autoSpaceDN w:val="0"/>
        <w:adjustRightInd w:val="0"/>
        <w:spacing w:line="240" w:lineRule="auto"/>
        <w:ind w:left="851" w:right="476"/>
        <w:rPr>
          <w:rFonts w:cs="Arial"/>
          <w:bCs/>
          <w:i/>
          <w:lang w:val="es-MX"/>
        </w:rPr>
      </w:pPr>
    </w:p>
    <w:p w:rsidR="008A2556" w:rsidRPr="00241FAC" w:rsidRDefault="008A2556" w:rsidP="0008343C">
      <w:pPr>
        <w:widowControl w:val="0"/>
        <w:autoSpaceDE w:val="0"/>
        <w:autoSpaceDN w:val="0"/>
        <w:adjustRightInd w:val="0"/>
        <w:spacing w:line="240" w:lineRule="auto"/>
        <w:ind w:left="851" w:right="476"/>
        <w:rPr>
          <w:rFonts w:cs="Arial"/>
          <w:bCs/>
          <w:i/>
          <w:lang w:val="es-MX"/>
        </w:rPr>
      </w:pPr>
      <w:r w:rsidRPr="00241FAC">
        <w:rPr>
          <w:rFonts w:cs="Arial"/>
          <w:bCs/>
          <w:i/>
          <w:lang w:val="es-MX"/>
        </w:rPr>
        <w:t>(…)</w:t>
      </w:r>
    </w:p>
    <w:p w:rsidR="008A2556" w:rsidRPr="00241FAC" w:rsidRDefault="008A2556" w:rsidP="0008343C">
      <w:pPr>
        <w:widowControl w:val="0"/>
        <w:autoSpaceDE w:val="0"/>
        <w:autoSpaceDN w:val="0"/>
        <w:adjustRightInd w:val="0"/>
        <w:spacing w:line="240" w:lineRule="auto"/>
        <w:ind w:left="851" w:right="476"/>
        <w:rPr>
          <w:rFonts w:cs="Arial"/>
          <w:bCs/>
          <w:i/>
          <w:lang w:val="es-MX"/>
        </w:rPr>
      </w:pPr>
    </w:p>
    <w:p w:rsidR="008A2556" w:rsidRPr="00241FAC" w:rsidRDefault="00BB089A" w:rsidP="00F95905">
      <w:pPr>
        <w:widowControl w:val="0"/>
        <w:autoSpaceDE w:val="0"/>
        <w:autoSpaceDN w:val="0"/>
        <w:adjustRightInd w:val="0"/>
        <w:spacing w:line="240" w:lineRule="auto"/>
        <w:ind w:left="851" w:right="476"/>
        <w:rPr>
          <w:rFonts w:cs="Arial"/>
          <w:bCs/>
          <w:i/>
          <w:lang w:val="es-MX"/>
        </w:rPr>
      </w:pPr>
      <w:r w:rsidRPr="00241FAC">
        <w:rPr>
          <w:rFonts w:cs="Arial"/>
          <w:bCs/>
          <w:i/>
          <w:lang w:val="es-MX"/>
        </w:rPr>
        <w:t>No comparte tampoco el análisis que realiza el perito sobre la calificación de los factores 2 y 3 (</w:t>
      </w:r>
      <w:r w:rsidR="00F95905" w:rsidRPr="00241FAC">
        <w:rPr>
          <w:rFonts w:cs="Arial"/>
          <w:bCs/>
          <w:i/>
          <w:lang w:val="es-MX"/>
        </w:rPr>
        <w:t>folio 5 del dictamen</w:t>
      </w:r>
      <w:r w:rsidRPr="00241FAC">
        <w:rPr>
          <w:rFonts w:cs="Arial"/>
          <w:bCs/>
          <w:i/>
          <w:lang w:val="es-MX"/>
        </w:rPr>
        <w:t>)</w:t>
      </w:r>
      <w:r w:rsidR="00F95905" w:rsidRPr="00241FAC">
        <w:rPr>
          <w:rFonts w:cs="Arial"/>
          <w:bCs/>
          <w:i/>
          <w:lang w:val="es-MX"/>
        </w:rPr>
        <w:t xml:space="preserve"> porque parte de la concepción, equivocada, que No se presentó el Diagrama CPM y GANNT (sic), olvidando </w:t>
      </w:r>
      <w:r w:rsidRPr="00241FAC">
        <w:rPr>
          <w:rFonts w:cs="Arial"/>
          <w:bCs/>
          <w:i/>
          <w:lang w:val="es-MX"/>
        </w:rPr>
        <w:t>que como ya se dijo anteriormente existen documentos en los que se demuestra su existencia</w:t>
      </w:r>
      <w:r w:rsidR="00F95905" w:rsidRPr="00241FAC">
        <w:rPr>
          <w:rFonts w:cs="Arial"/>
          <w:bCs/>
          <w:i/>
          <w:lang w:val="es-MX"/>
        </w:rPr>
        <w:t>, así como lo afirmado por el mismo demandante.</w:t>
      </w:r>
    </w:p>
    <w:p w:rsidR="008A2556" w:rsidRPr="00241FAC" w:rsidRDefault="008A2556" w:rsidP="0008343C">
      <w:pPr>
        <w:widowControl w:val="0"/>
        <w:autoSpaceDE w:val="0"/>
        <w:autoSpaceDN w:val="0"/>
        <w:adjustRightInd w:val="0"/>
        <w:spacing w:line="240" w:lineRule="auto"/>
        <w:ind w:left="851" w:right="476"/>
        <w:rPr>
          <w:rFonts w:cs="Arial"/>
          <w:bCs/>
          <w:i/>
          <w:lang w:val="es-MX"/>
        </w:rPr>
      </w:pPr>
    </w:p>
    <w:p w:rsidR="00404EC6" w:rsidRPr="00241FAC" w:rsidRDefault="008A2556" w:rsidP="0008343C">
      <w:pPr>
        <w:widowControl w:val="0"/>
        <w:autoSpaceDE w:val="0"/>
        <w:autoSpaceDN w:val="0"/>
        <w:adjustRightInd w:val="0"/>
        <w:spacing w:line="240" w:lineRule="auto"/>
        <w:ind w:left="851" w:right="476"/>
        <w:rPr>
          <w:rFonts w:cs="Arial"/>
          <w:bCs/>
          <w:i/>
          <w:lang w:val="es-MX"/>
        </w:rPr>
      </w:pPr>
      <w:r w:rsidRPr="00241FAC">
        <w:rPr>
          <w:rFonts w:cs="Arial"/>
          <w:bCs/>
          <w:i/>
          <w:lang w:val="es-MX"/>
        </w:rPr>
        <w:t>Como quiera</w:t>
      </w:r>
      <w:r w:rsidR="00F95905" w:rsidRPr="00241FAC">
        <w:rPr>
          <w:rFonts w:cs="Arial"/>
          <w:bCs/>
          <w:i/>
          <w:lang w:val="es-MX"/>
        </w:rPr>
        <w:t xml:space="preserve"> (sic) </w:t>
      </w:r>
      <w:r w:rsidRPr="00241FAC">
        <w:rPr>
          <w:rFonts w:cs="Arial"/>
          <w:bCs/>
          <w:i/>
          <w:lang w:val="es-MX"/>
        </w:rPr>
        <w:t>que no hay lugar a realizar análisis alguno sobre perjuicios</w:t>
      </w:r>
      <w:r w:rsidR="00404EC6" w:rsidRPr="00241FAC">
        <w:rPr>
          <w:rFonts w:cs="Arial"/>
          <w:bCs/>
          <w:i/>
          <w:lang w:val="es-MX"/>
        </w:rPr>
        <w:t>, se abstiene la Sala de realizar cuestionamientos a lo planteado en este tema por el perito.”</w:t>
      </w:r>
    </w:p>
    <w:p w:rsidR="008A2556" w:rsidRPr="00241FAC" w:rsidRDefault="008A2556" w:rsidP="0008343C">
      <w:pPr>
        <w:widowControl w:val="0"/>
        <w:autoSpaceDE w:val="0"/>
        <w:autoSpaceDN w:val="0"/>
        <w:adjustRightInd w:val="0"/>
        <w:spacing w:line="240" w:lineRule="auto"/>
        <w:ind w:left="851" w:right="476"/>
        <w:rPr>
          <w:rFonts w:cs="Arial"/>
          <w:bCs/>
          <w:i/>
          <w:lang w:val="es-MX"/>
        </w:rPr>
      </w:pPr>
      <w:r w:rsidRPr="00241FAC">
        <w:rPr>
          <w:rFonts w:cs="Arial"/>
          <w:bCs/>
          <w:i/>
          <w:lang w:val="es-MX"/>
        </w:rPr>
        <w:t xml:space="preserve"> </w:t>
      </w:r>
    </w:p>
    <w:p w:rsidR="000E6697" w:rsidRPr="00241FAC" w:rsidRDefault="0015263D" w:rsidP="00C56CF1">
      <w:pPr>
        <w:pStyle w:val="Lista2"/>
        <w:ind w:left="0" w:firstLine="0"/>
        <w:rPr>
          <w:rFonts w:cs="Arial"/>
          <w:b/>
          <w:lang w:val="es-MX"/>
        </w:rPr>
      </w:pPr>
      <w:r w:rsidRPr="00241FAC">
        <w:rPr>
          <w:rFonts w:cs="Arial"/>
          <w:b/>
          <w:lang w:val="es-MX"/>
        </w:rPr>
        <w:t>4</w:t>
      </w:r>
      <w:r w:rsidR="00C23021" w:rsidRPr="00241FAC">
        <w:rPr>
          <w:rFonts w:cs="Arial"/>
          <w:b/>
          <w:lang w:val="es-MX"/>
        </w:rPr>
        <w:t>.</w:t>
      </w:r>
      <w:r w:rsidR="00C56CF1" w:rsidRPr="00241FAC">
        <w:rPr>
          <w:rFonts w:cs="Arial"/>
          <w:b/>
          <w:lang w:val="es-MX"/>
        </w:rPr>
        <w:t>7</w:t>
      </w:r>
      <w:r w:rsidR="00C23021" w:rsidRPr="00241FAC">
        <w:rPr>
          <w:rFonts w:cs="Arial"/>
          <w:b/>
          <w:lang w:val="es-MX"/>
        </w:rPr>
        <w:t>.</w:t>
      </w:r>
      <w:r w:rsidR="00C23021" w:rsidRPr="00241FAC">
        <w:rPr>
          <w:rFonts w:cs="Arial"/>
          <w:b/>
          <w:lang w:val="es-MX"/>
        </w:rPr>
        <w:tab/>
      </w:r>
      <w:r w:rsidR="00484F35" w:rsidRPr="00241FAC">
        <w:rPr>
          <w:rFonts w:cs="Arial"/>
          <w:b/>
          <w:lang w:val="es-MX"/>
        </w:rPr>
        <w:t>El</w:t>
      </w:r>
      <w:r w:rsidR="000E6697" w:rsidRPr="00241FAC">
        <w:rPr>
          <w:rFonts w:cs="Arial"/>
          <w:b/>
          <w:lang w:val="es-MX"/>
        </w:rPr>
        <w:t xml:space="preserve"> recurso de apelación.</w:t>
      </w:r>
      <w:r w:rsidR="00F21484" w:rsidRPr="00241FAC">
        <w:rPr>
          <w:rFonts w:cs="Arial"/>
          <w:b/>
          <w:lang w:val="es-MX"/>
        </w:rPr>
        <w:t xml:space="preserve"> </w:t>
      </w:r>
    </w:p>
    <w:p w:rsidR="00751B7F" w:rsidRPr="00241FAC" w:rsidRDefault="00751B7F" w:rsidP="00F21484">
      <w:pPr>
        <w:rPr>
          <w:rFonts w:cs="Arial"/>
          <w:bCs/>
          <w:lang w:val="es-MX"/>
        </w:rPr>
      </w:pPr>
    </w:p>
    <w:p w:rsidR="00DD2969" w:rsidRPr="00241FAC" w:rsidRDefault="00D70853" w:rsidP="00E759BE">
      <w:pPr>
        <w:pStyle w:val="Textoindependiente"/>
        <w:rPr>
          <w:rFonts w:cs="Arial"/>
          <w:szCs w:val="24"/>
        </w:rPr>
      </w:pPr>
      <w:r w:rsidRPr="00241FAC">
        <w:rPr>
          <w:rFonts w:cs="Arial"/>
          <w:szCs w:val="24"/>
        </w:rPr>
        <w:t xml:space="preserve">La parte </w:t>
      </w:r>
      <w:r w:rsidR="00E84FE1" w:rsidRPr="00241FAC">
        <w:rPr>
          <w:rFonts w:cs="Arial"/>
          <w:szCs w:val="24"/>
        </w:rPr>
        <w:t xml:space="preserve">demandante </w:t>
      </w:r>
      <w:r w:rsidR="00033A87" w:rsidRPr="00241FAC">
        <w:rPr>
          <w:rFonts w:cs="Arial"/>
          <w:szCs w:val="24"/>
        </w:rPr>
        <w:t>impugn</w:t>
      </w:r>
      <w:r w:rsidR="00E84FE1" w:rsidRPr="00241FAC">
        <w:rPr>
          <w:rFonts w:cs="Arial"/>
          <w:szCs w:val="24"/>
        </w:rPr>
        <w:t>ó</w:t>
      </w:r>
      <w:r w:rsidR="00033A87" w:rsidRPr="00241FAC">
        <w:rPr>
          <w:rFonts w:cs="Arial"/>
          <w:szCs w:val="24"/>
        </w:rPr>
        <w:t xml:space="preserve"> la </w:t>
      </w:r>
      <w:r w:rsidR="00DA568E" w:rsidRPr="00241FAC">
        <w:rPr>
          <w:rFonts w:cs="Arial"/>
          <w:szCs w:val="24"/>
        </w:rPr>
        <w:t>sentencia de primera instancia</w:t>
      </w:r>
      <w:r w:rsidR="00C56CF1" w:rsidRPr="00241FAC">
        <w:rPr>
          <w:rFonts w:cs="Arial"/>
          <w:szCs w:val="24"/>
        </w:rPr>
        <w:t xml:space="preserve"> </w:t>
      </w:r>
      <w:r w:rsidR="00DD2969" w:rsidRPr="00241FAC">
        <w:rPr>
          <w:rFonts w:cs="Arial"/>
          <w:szCs w:val="24"/>
        </w:rPr>
        <w:t xml:space="preserve">el </w:t>
      </w:r>
      <w:r w:rsidR="00173A1D" w:rsidRPr="00241FAC">
        <w:rPr>
          <w:rFonts w:cs="Arial"/>
          <w:szCs w:val="24"/>
        </w:rPr>
        <w:t>27 de julio de 2005</w:t>
      </w:r>
      <w:r w:rsidR="00DD2969" w:rsidRPr="00241FAC">
        <w:rPr>
          <w:rFonts w:cs="Arial"/>
          <w:szCs w:val="24"/>
        </w:rPr>
        <w:t xml:space="preserve"> </w:t>
      </w:r>
      <w:r w:rsidR="00C56CF1" w:rsidRPr="00241FAC">
        <w:rPr>
          <w:rFonts w:cs="Arial"/>
          <w:szCs w:val="24"/>
        </w:rPr>
        <w:t>y</w:t>
      </w:r>
      <w:r w:rsidR="00033A87" w:rsidRPr="00241FAC">
        <w:rPr>
          <w:rFonts w:cs="Arial"/>
          <w:szCs w:val="24"/>
        </w:rPr>
        <w:t xml:space="preserve"> sustent</w:t>
      </w:r>
      <w:r w:rsidR="00C56CF1" w:rsidRPr="00241FAC">
        <w:rPr>
          <w:rFonts w:cs="Arial"/>
          <w:szCs w:val="24"/>
        </w:rPr>
        <w:t>ó</w:t>
      </w:r>
      <w:r w:rsidR="00033A87" w:rsidRPr="00241FAC">
        <w:rPr>
          <w:rFonts w:cs="Arial"/>
          <w:szCs w:val="24"/>
        </w:rPr>
        <w:t xml:space="preserve"> su recurso dentro de</w:t>
      </w:r>
      <w:r w:rsidR="00EC0E87" w:rsidRPr="00241FAC">
        <w:rPr>
          <w:rFonts w:cs="Arial"/>
          <w:szCs w:val="24"/>
        </w:rPr>
        <w:t>l</w:t>
      </w:r>
      <w:r w:rsidR="00033A87" w:rsidRPr="00241FAC">
        <w:rPr>
          <w:rFonts w:cs="Arial"/>
          <w:szCs w:val="24"/>
        </w:rPr>
        <w:t xml:space="preserve"> término procesal previsto para el efecto</w:t>
      </w:r>
      <w:r w:rsidR="00DD2969" w:rsidRPr="00241FAC">
        <w:rPr>
          <w:rFonts w:cs="Arial"/>
          <w:szCs w:val="24"/>
        </w:rPr>
        <w:t>.</w:t>
      </w:r>
    </w:p>
    <w:p w:rsidR="00E84FE1" w:rsidRPr="00241FAC" w:rsidRDefault="00E84FE1" w:rsidP="00E759BE">
      <w:pPr>
        <w:pStyle w:val="Textoindependiente"/>
        <w:rPr>
          <w:rFonts w:cs="Arial"/>
          <w:i/>
          <w:szCs w:val="24"/>
        </w:rPr>
      </w:pPr>
    </w:p>
    <w:p w:rsidR="00D206FC" w:rsidRPr="00241FAC" w:rsidRDefault="00DD2969" w:rsidP="00484F35">
      <w:pPr>
        <w:pStyle w:val="Lista2"/>
        <w:ind w:left="0" w:firstLine="0"/>
        <w:rPr>
          <w:rFonts w:cs="Arial"/>
          <w:lang w:val="es-MX"/>
        </w:rPr>
      </w:pPr>
      <w:r w:rsidRPr="00241FAC">
        <w:rPr>
          <w:rFonts w:cs="Arial"/>
          <w:lang w:val="es-MX"/>
        </w:rPr>
        <w:t>En la sustentación respectiva</w:t>
      </w:r>
      <w:r w:rsidR="00D206FC" w:rsidRPr="00241FAC">
        <w:rPr>
          <w:rFonts w:cs="Arial"/>
          <w:lang w:val="es-MX"/>
        </w:rPr>
        <w:t xml:space="preserve">, reiterada idénticamente en </w:t>
      </w:r>
      <w:r w:rsidR="00AF4274" w:rsidRPr="00241FAC">
        <w:rPr>
          <w:rFonts w:cs="Arial"/>
          <w:lang w:val="es-MX"/>
        </w:rPr>
        <w:t>los</w:t>
      </w:r>
      <w:r w:rsidR="00D206FC" w:rsidRPr="00241FAC">
        <w:rPr>
          <w:rFonts w:cs="Arial"/>
          <w:lang w:val="es-MX"/>
        </w:rPr>
        <w:t xml:space="preserve"> alegato</w:t>
      </w:r>
      <w:r w:rsidR="00AF4274" w:rsidRPr="00241FAC">
        <w:rPr>
          <w:rFonts w:cs="Arial"/>
          <w:lang w:val="es-MX"/>
        </w:rPr>
        <w:t>s</w:t>
      </w:r>
      <w:r w:rsidR="00D206FC" w:rsidRPr="00241FAC">
        <w:rPr>
          <w:rFonts w:cs="Arial"/>
          <w:lang w:val="es-MX"/>
        </w:rPr>
        <w:t xml:space="preserve"> de conclusión, la parte actora solicitó la revocatoria de la sentencia de primera instancia con fundamento en los siguientes puntos:</w:t>
      </w:r>
    </w:p>
    <w:p w:rsidR="006D1826" w:rsidRPr="00241FAC" w:rsidRDefault="006D1826" w:rsidP="00484F35">
      <w:pPr>
        <w:pStyle w:val="Lista2"/>
        <w:ind w:left="0" w:firstLine="0"/>
        <w:rPr>
          <w:rFonts w:cs="Arial"/>
          <w:lang w:val="es-MX"/>
        </w:rPr>
      </w:pPr>
    </w:p>
    <w:p w:rsidR="00132A98" w:rsidRPr="00241FAC" w:rsidRDefault="00F539BF" w:rsidP="00484F35">
      <w:pPr>
        <w:pStyle w:val="Lista2"/>
        <w:ind w:left="0" w:firstLine="0"/>
        <w:rPr>
          <w:rFonts w:cs="Arial"/>
          <w:lang w:val="es-MX"/>
        </w:rPr>
      </w:pPr>
      <w:r w:rsidRPr="00241FAC">
        <w:rPr>
          <w:rFonts w:cs="Arial"/>
          <w:b/>
          <w:lang w:val="es-MX"/>
        </w:rPr>
        <w:t xml:space="preserve"> i)</w:t>
      </w:r>
      <w:r w:rsidRPr="00241FAC">
        <w:rPr>
          <w:rFonts w:cs="Arial"/>
          <w:lang w:val="es-MX"/>
        </w:rPr>
        <w:t xml:space="preserve"> </w:t>
      </w:r>
      <w:r w:rsidR="007F0011" w:rsidRPr="00241FAC">
        <w:rPr>
          <w:rFonts w:cs="Arial"/>
          <w:lang w:val="es-MX"/>
        </w:rPr>
        <w:t>L</w:t>
      </w:r>
      <w:r w:rsidRPr="00241FAC">
        <w:rPr>
          <w:rFonts w:cs="Arial"/>
          <w:lang w:val="es-MX"/>
        </w:rPr>
        <w:t xml:space="preserve">a falta de </w:t>
      </w:r>
      <w:r w:rsidR="007F0011" w:rsidRPr="00241FAC">
        <w:rPr>
          <w:rFonts w:cs="Arial"/>
          <w:i/>
          <w:lang w:val="es-MX"/>
        </w:rPr>
        <w:t>“</w:t>
      </w:r>
      <w:r w:rsidRPr="00241FAC">
        <w:rPr>
          <w:rFonts w:cs="Arial"/>
          <w:i/>
          <w:lang w:val="es-MX"/>
        </w:rPr>
        <w:t>cronograma</w:t>
      </w:r>
      <w:r w:rsidR="00DA5276" w:rsidRPr="00241FAC">
        <w:rPr>
          <w:rFonts w:cs="Arial"/>
          <w:i/>
          <w:lang w:val="es-MX"/>
        </w:rPr>
        <w:t>-DIAGRAMA CPM GAN</w:t>
      </w:r>
      <w:r w:rsidR="00D70853" w:rsidRPr="00241FAC">
        <w:rPr>
          <w:rFonts w:cs="Arial"/>
          <w:i/>
          <w:lang w:val="es-MX"/>
        </w:rPr>
        <w:t>T</w:t>
      </w:r>
      <w:r w:rsidR="00DA5276" w:rsidRPr="00241FAC">
        <w:rPr>
          <w:rFonts w:cs="Arial"/>
          <w:i/>
          <w:lang w:val="es-MX"/>
        </w:rPr>
        <w:t>T</w:t>
      </w:r>
      <w:r w:rsidR="007F0011" w:rsidRPr="00241FAC">
        <w:rPr>
          <w:rFonts w:cs="Arial"/>
          <w:i/>
          <w:lang w:val="es-MX"/>
        </w:rPr>
        <w:t>”</w:t>
      </w:r>
      <w:r w:rsidR="00DA5276" w:rsidRPr="00241FAC">
        <w:rPr>
          <w:rFonts w:cs="Arial"/>
          <w:lang w:val="es-MX"/>
        </w:rPr>
        <w:t xml:space="preserve"> </w:t>
      </w:r>
      <w:r w:rsidR="00D864A6" w:rsidRPr="00241FAC">
        <w:rPr>
          <w:rFonts w:cs="Arial"/>
          <w:lang w:val="es-MX"/>
        </w:rPr>
        <w:t>quedó probad</w:t>
      </w:r>
      <w:r w:rsidR="007D54DA" w:rsidRPr="00241FAC">
        <w:rPr>
          <w:rFonts w:cs="Arial"/>
          <w:lang w:val="es-MX"/>
        </w:rPr>
        <w:t>a</w:t>
      </w:r>
      <w:r w:rsidR="00D864A6" w:rsidRPr="00241FAC">
        <w:rPr>
          <w:rFonts w:cs="Arial"/>
          <w:lang w:val="es-MX"/>
        </w:rPr>
        <w:t xml:space="preserve"> puesto que </w:t>
      </w:r>
      <w:r w:rsidR="00DA5276" w:rsidRPr="00241FAC">
        <w:rPr>
          <w:rFonts w:cs="Arial"/>
          <w:lang w:val="es-MX"/>
        </w:rPr>
        <w:t>no obra en el proceso</w:t>
      </w:r>
      <w:r w:rsidR="007F0011" w:rsidRPr="00241FAC">
        <w:rPr>
          <w:rFonts w:cs="Arial"/>
          <w:lang w:val="es-MX"/>
        </w:rPr>
        <w:t xml:space="preserve"> tal diagrama</w:t>
      </w:r>
      <w:r w:rsidR="00DA5276" w:rsidRPr="00241FAC">
        <w:rPr>
          <w:rFonts w:cs="Arial"/>
          <w:lang w:val="es-MX"/>
        </w:rPr>
        <w:t xml:space="preserve">, habiéndose recibido la totalidad de los documentos de la licitación </w:t>
      </w:r>
      <w:r w:rsidR="00D864A6" w:rsidRPr="00241FAC">
        <w:rPr>
          <w:rFonts w:cs="Arial"/>
          <w:lang w:val="es-MX"/>
        </w:rPr>
        <w:t>y siendo punto objetivo de calificación</w:t>
      </w:r>
      <w:r w:rsidR="007D54DA" w:rsidRPr="00241FAC">
        <w:rPr>
          <w:rFonts w:cs="Arial"/>
          <w:lang w:val="es-MX"/>
        </w:rPr>
        <w:t>,</w:t>
      </w:r>
      <w:r w:rsidR="0069636C" w:rsidRPr="00241FAC">
        <w:rPr>
          <w:rFonts w:cs="Arial"/>
          <w:lang w:val="es-MX"/>
        </w:rPr>
        <w:t xml:space="preserve"> </w:t>
      </w:r>
      <w:r w:rsidR="007D54DA" w:rsidRPr="00241FAC">
        <w:rPr>
          <w:rFonts w:cs="Arial"/>
          <w:lang w:val="es-MX"/>
        </w:rPr>
        <w:t>por lo cual</w:t>
      </w:r>
      <w:r w:rsidR="00D864A6" w:rsidRPr="00241FAC">
        <w:rPr>
          <w:rFonts w:cs="Arial"/>
          <w:lang w:val="es-MX"/>
        </w:rPr>
        <w:t xml:space="preserve"> debe</w:t>
      </w:r>
      <w:r w:rsidR="008B2EC5" w:rsidRPr="00241FAC">
        <w:rPr>
          <w:rFonts w:cs="Arial"/>
          <w:lang w:val="es-MX"/>
        </w:rPr>
        <w:t>,</w:t>
      </w:r>
      <w:r w:rsidR="00D864A6" w:rsidRPr="00241FAC">
        <w:rPr>
          <w:rFonts w:cs="Arial"/>
          <w:lang w:val="es-MX"/>
        </w:rPr>
        <w:t xml:space="preserve"> </w:t>
      </w:r>
      <w:r w:rsidR="007F0011" w:rsidRPr="00241FAC">
        <w:rPr>
          <w:rFonts w:cs="Arial"/>
          <w:lang w:val="es-MX"/>
        </w:rPr>
        <w:t xml:space="preserve">de acuerdo con </w:t>
      </w:r>
      <w:r w:rsidR="00D864A6" w:rsidRPr="00241FAC">
        <w:rPr>
          <w:rFonts w:cs="Arial"/>
          <w:lang w:val="es-MX"/>
        </w:rPr>
        <w:t>el capítulo 1</w:t>
      </w:r>
      <w:r w:rsidR="007F0011" w:rsidRPr="00241FAC">
        <w:rPr>
          <w:rFonts w:cs="Arial"/>
          <w:lang w:val="es-MX"/>
        </w:rPr>
        <w:t>,</w:t>
      </w:r>
      <w:r w:rsidR="00D864A6" w:rsidRPr="00241FAC">
        <w:rPr>
          <w:rFonts w:cs="Arial"/>
          <w:lang w:val="es-MX"/>
        </w:rPr>
        <w:t xml:space="preserve"> numeral 8, del Pliego de Condiciones</w:t>
      </w:r>
      <w:r w:rsidR="008B2EC5" w:rsidRPr="00241FAC">
        <w:rPr>
          <w:rFonts w:cs="Arial"/>
          <w:lang w:val="es-MX"/>
        </w:rPr>
        <w:t>,</w:t>
      </w:r>
      <w:r w:rsidR="007F0011" w:rsidRPr="00241FAC">
        <w:rPr>
          <w:rFonts w:cs="Arial"/>
          <w:lang w:val="es-MX"/>
        </w:rPr>
        <w:t xml:space="preserve"> ser tomado como </w:t>
      </w:r>
      <w:r w:rsidR="00D864A6" w:rsidRPr="00241FAC">
        <w:rPr>
          <w:rFonts w:cs="Arial"/>
          <w:lang w:val="es-MX"/>
        </w:rPr>
        <w:t>ca</w:t>
      </w:r>
      <w:r w:rsidR="007D54DA" w:rsidRPr="00241FAC">
        <w:rPr>
          <w:rFonts w:cs="Arial"/>
          <w:lang w:val="es-MX"/>
        </w:rPr>
        <w:t>u</w:t>
      </w:r>
      <w:r w:rsidR="00D864A6" w:rsidRPr="00241FAC">
        <w:rPr>
          <w:rFonts w:cs="Arial"/>
          <w:lang w:val="es-MX"/>
        </w:rPr>
        <w:t xml:space="preserve">sal de rechazo </w:t>
      </w:r>
      <w:r w:rsidR="007F0011" w:rsidRPr="00241FAC">
        <w:rPr>
          <w:rFonts w:cs="Arial"/>
          <w:lang w:val="es-MX"/>
        </w:rPr>
        <w:t xml:space="preserve">de la propuesta, </w:t>
      </w:r>
      <w:r w:rsidR="007D54DA" w:rsidRPr="00241FAC">
        <w:rPr>
          <w:rFonts w:cs="Arial"/>
          <w:lang w:val="es-MX"/>
        </w:rPr>
        <w:t xml:space="preserve">por </w:t>
      </w:r>
      <w:r w:rsidR="00D864A6" w:rsidRPr="00241FAC">
        <w:rPr>
          <w:rFonts w:cs="Arial"/>
          <w:lang w:val="es-MX"/>
        </w:rPr>
        <w:t xml:space="preserve">la falta de los cuadros anexos y demás documentos exigidos en el </w:t>
      </w:r>
      <w:r w:rsidR="007F0011" w:rsidRPr="00241FAC">
        <w:rPr>
          <w:rFonts w:cs="Arial"/>
          <w:lang w:val="es-MX"/>
        </w:rPr>
        <w:t>P</w:t>
      </w:r>
      <w:r w:rsidR="00132A98" w:rsidRPr="00241FAC">
        <w:rPr>
          <w:rFonts w:cs="Arial"/>
          <w:lang w:val="es-MX"/>
        </w:rPr>
        <w:t>liego</w:t>
      </w:r>
      <w:r w:rsidR="007F0011" w:rsidRPr="00241FAC">
        <w:rPr>
          <w:rFonts w:cs="Arial"/>
          <w:lang w:val="es-MX"/>
        </w:rPr>
        <w:t xml:space="preserve"> de Condiciones</w:t>
      </w:r>
      <w:r w:rsidR="00132A98" w:rsidRPr="00241FAC">
        <w:rPr>
          <w:rFonts w:cs="Arial"/>
          <w:lang w:val="es-MX"/>
        </w:rPr>
        <w:t>.</w:t>
      </w:r>
    </w:p>
    <w:p w:rsidR="006D1826" w:rsidRPr="00241FAC" w:rsidRDefault="006D1826" w:rsidP="00484F35">
      <w:pPr>
        <w:pStyle w:val="Lista2"/>
        <w:ind w:left="0" w:firstLine="0"/>
        <w:rPr>
          <w:rFonts w:cs="Arial"/>
          <w:lang w:val="es-MX"/>
        </w:rPr>
      </w:pPr>
    </w:p>
    <w:p w:rsidR="00342976" w:rsidRPr="00241FAC" w:rsidRDefault="00132A98" w:rsidP="00484F35">
      <w:pPr>
        <w:pStyle w:val="Lista2"/>
        <w:ind w:left="0" w:firstLine="0"/>
        <w:rPr>
          <w:rFonts w:cs="Arial"/>
          <w:i/>
          <w:lang w:val="es-MX"/>
        </w:rPr>
      </w:pPr>
      <w:r w:rsidRPr="00241FAC">
        <w:rPr>
          <w:rFonts w:cs="Arial"/>
          <w:b/>
          <w:lang w:val="es-MX"/>
        </w:rPr>
        <w:t>ii)</w:t>
      </w:r>
      <w:r w:rsidRPr="00241FAC">
        <w:rPr>
          <w:rFonts w:cs="Arial"/>
          <w:lang w:val="es-MX"/>
        </w:rPr>
        <w:t xml:space="preserve"> </w:t>
      </w:r>
      <w:r w:rsidR="00342976" w:rsidRPr="00241FAC">
        <w:rPr>
          <w:rFonts w:cs="Arial"/>
          <w:lang w:val="es-MX"/>
        </w:rPr>
        <w:t>P</w:t>
      </w:r>
      <w:r w:rsidR="00251B6D" w:rsidRPr="00241FAC">
        <w:rPr>
          <w:rFonts w:cs="Arial"/>
          <w:lang w:val="es-MX"/>
        </w:rPr>
        <w:t xml:space="preserve">rocede la </w:t>
      </w:r>
      <w:r w:rsidRPr="00241FAC">
        <w:rPr>
          <w:rFonts w:cs="Arial"/>
          <w:lang w:val="es-MX"/>
        </w:rPr>
        <w:t xml:space="preserve">nulidad </w:t>
      </w:r>
      <w:r w:rsidR="0069636C" w:rsidRPr="00241FAC">
        <w:rPr>
          <w:rFonts w:cs="Arial"/>
          <w:lang w:val="es-MX"/>
        </w:rPr>
        <w:t>de</w:t>
      </w:r>
      <w:r w:rsidR="007914E0" w:rsidRPr="00241FAC">
        <w:rPr>
          <w:rFonts w:cs="Arial"/>
          <w:lang w:val="es-MX"/>
        </w:rPr>
        <w:t xml:space="preserve">l acto administrativo de </w:t>
      </w:r>
      <w:r w:rsidR="0069636C" w:rsidRPr="00241FAC">
        <w:rPr>
          <w:rFonts w:cs="Arial"/>
          <w:lang w:val="es-MX"/>
        </w:rPr>
        <w:t>adjudicación</w:t>
      </w:r>
      <w:r w:rsidR="007914E0" w:rsidRPr="00241FAC">
        <w:rPr>
          <w:rFonts w:cs="Arial"/>
          <w:lang w:val="es-MX"/>
        </w:rPr>
        <w:t xml:space="preserve">, con fundamento en </w:t>
      </w:r>
      <w:r w:rsidR="0069636C" w:rsidRPr="00241FAC">
        <w:rPr>
          <w:rFonts w:cs="Arial"/>
          <w:lang w:val="es-MX"/>
        </w:rPr>
        <w:t>la</w:t>
      </w:r>
      <w:r w:rsidRPr="00241FAC">
        <w:rPr>
          <w:rFonts w:cs="Arial"/>
          <w:lang w:val="es-MX"/>
        </w:rPr>
        <w:t xml:space="preserve"> indebida calificación de la capacidad financiera</w:t>
      </w:r>
      <w:r w:rsidR="007914E0" w:rsidRPr="00241FAC">
        <w:rPr>
          <w:rFonts w:cs="Arial"/>
          <w:lang w:val="es-MX"/>
        </w:rPr>
        <w:t xml:space="preserve"> de la Unión Temporal </w:t>
      </w:r>
      <w:proofErr w:type="spellStart"/>
      <w:r w:rsidR="007914E0" w:rsidRPr="00241FAC">
        <w:rPr>
          <w:rFonts w:cs="Arial"/>
          <w:lang w:val="es-MX"/>
        </w:rPr>
        <w:t>Construobras</w:t>
      </w:r>
      <w:proofErr w:type="spellEnd"/>
      <w:r w:rsidR="00FC7E2A" w:rsidRPr="00241FAC">
        <w:rPr>
          <w:rFonts w:cs="Arial"/>
          <w:lang w:val="es-MX"/>
        </w:rPr>
        <w:t xml:space="preserve">, </w:t>
      </w:r>
      <w:r w:rsidR="00251B6D" w:rsidRPr="00241FAC">
        <w:rPr>
          <w:rFonts w:cs="Arial"/>
          <w:lang w:val="es-MX"/>
        </w:rPr>
        <w:t xml:space="preserve">puesto que fue </w:t>
      </w:r>
      <w:r w:rsidR="007A6C8D" w:rsidRPr="00241FAC">
        <w:rPr>
          <w:rFonts w:cs="Arial"/>
          <w:lang w:val="es-MX"/>
        </w:rPr>
        <w:t xml:space="preserve">incorrecta la </w:t>
      </w:r>
      <w:r w:rsidR="00251B6D" w:rsidRPr="00241FAC">
        <w:rPr>
          <w:rFonts w:cs="Arial"/>
          <w:lang w:val="es-MX"/>
        </w:rPr>
        <w:t xml:space="preserve">apreciación </w:t>
      </w:r>
      <w:r w:rsidR="007A6C8D" w:rsidRPr="00241FAC">
        <w:rPr>
          <w:rFonts w:cs="Arial"/>
          <w:lang w:val="es-MX"/>
        </w:rPr>
        <w:t xml:space="preserve">del Tribunal </w:t>
      </w:r>
      <w:r w:rsidR="007A6C8D" w:rsidRPr="00241FAC">
        <w:rPr>
          <w:rFonts w:cs="Arial"/>
          <w:i/>
          <w:lang w:val="es-MX"/>
        </w:rPr>
        <w:t>a</w:t>
      </w:r>
      <w:r w:rsidR="00251B6D" w:rsidRPr="00241FAC">
        <w:rPr>
          <w:rFonts w:cs="Arial"/>
          <w:i/>
          <w:lang w:val="es-MX"/>
        </w:rPr>
        <w:t xml:space="preserve"> quo</w:t>
      </w:r>
      <w:r w:rsidR="007A6C8D" w:rsidRPr="00241FAC">
        <w:rPr>
          <w:rFonts w:cs="Arial"/>
          <w:lang w:val="es-MX"/>
        </w:rPr>
        <w:t xml:space="preserve"> </w:t>
      </w:r>
      <w:r w:rsidR="00251B6D" w:rsidRPr="00241FAC">
        <w:rPr>
          <w:rFonts w:cs="Arial"/>
          <w:lang w:val="es-MX"/>
        </w:rPr>
        <w:t xml:space="preserve">al </w:t>
      </w:r>
      <w:r w:rsidR="007A6C8D" w:rsidRPr="00241FAC">
        <w:rPr>
          <w:rFonts w:cs="Arial"/>
          <w:lang w:val="es-MX"/>
        </w:rPr>
        <w:t xml:space="preserve">dar prevalencia a la </w:t>
      </w:r>
      <w:r w:rsidR="007A6C8D" w:rsidRPr="00241FAC">
        <w:rPr>
          <w:rFonts w:cs="Arial"/>
          <w:lang w:val="es-MX"/>
        </w:rPr>
        <w:lastRenderedPageBreak/>
        <w:t xml:space="preserve">información </w:t>
      </w:r>
      <w:r w:rsidR="007914E0" w:rsidRPr="00241FAC">
        <w:rPr>
          <w:rFonts w:cs="Arial"/>
          <w:lang w:val="es-MX"/>
        </w:rPr>
        <w:t xml:space="preserve">contenida en </w:t>
      </w:r>
      <w:r w:rsidR="007A6C8D" w:rsidRPr="00241FAC">
        <w:rPr>
          <w:rFonts w:cs="Arial"/>
          <w:lang w:val="es-MX"/>
        </w:rPr>
        <w:t xml:space="preserve">la </w:t>
      </w:r>
      <w:r w:rsidR="007914E0" w:rsidRPr="00241FAC">
        <w:rPr>
          <w:rFonts w:cs="Arial"/>
          <w:lang w:val="es-MX"/>
        </w:rPr>
        <w:t>D</w:t>
      </w:r>
      <w:r w:rsidR="007A6C8D" w:rsidRPr="00241FAC">
        <w:rPr>
          <w:rFonts w:cs="Arial"/>
          <w:lang w:val="es-MX"/>
        </w:rPr>
        <w:t xml:space="preserve">eclaración de </w:t>
      </w:r>
      <w:r w:rsidR="007914E0" w:rsidRPr="00241FAC">
        <w:rPr>
          <w:rFonts w:cs="Arial"/>
          <w:lang w:val="es-MX"/>
        </w:rPr>
        <w:t>R</w:t>
      </w:r>
      <w:r w:rsidR="007A6C8D" w:rsidRPr="00241FAC">
        <w:rPr>
          <w:rFonts w:cs="Arial"/>
          <w:lang w:val="es-MX"/>
        </w:rPr>
        <w:t xml:space="preserve">enta por las siguientes razones: </w:t>
      </w:r>
      <w:r w:rsidR="005654F4" w:rsidRPr="00241FAC">
        <w:rPr>
          <w:rFonts w:cs="Arial"/>
          <w:lang w:val="es-MX"/>
        </w:rPr>
        <w:t>e</w:t>
      </w:r>
      <w:r w:rsidRPr="00241FAC">
        <w:rPr>
          <w:rFonts w:cs="Arial"/>
          <w:lang w:val="es-MX"/>
        </w:rPr>
        <w:t xml:space="preserve">l Pliego de </w:t>
      </w:r>
      <w:r w:rsidR="009A366D" w:rsidRPr="00241FAC">
        <w:rPr>
          <w:rFonts w:cs="Arial"/>
          <w:lang w:val="es-MX"/>
        </w:rPr>
        <w:t>C</w:t>
      </w:r>
      <w:r w:rsidRPr="00241FAC">
        <w:rPr>
          <w:rFonts w:cs="Arial"/>
          <w:lang w:val="es-MX"/>
        </w:rPr>
        <w:t xml:space="preserve">ondiciones exigía </w:t>
      </w:r>
      <w:r w:rsidR="007914E0" w:rsidRPr="00241FAC">
        <w:rPr>
          <w:rFonts w:cs="Arial"/>
          <w:lang w:val="es-MX"/>
        </w:rPr>
        <w:t xml:space="preserve">tanto los </w:t>
      </w:r>
      <w:r w:rsidRPr="00241FAC">
        <w:rPr>
          <w:rFonts w:cs="Arial"/>
          <w:lang w:val="es-MX"/>
        </w:rPr>
        <w:t>balance</w:t>
      </w:r>
      <w:r w:rsidR="007914E0" w:rsidRPr="00241FAC">
        <w:rPr>
          <w:rFonts w:cs="Arial"/>
          <w:lang w:val="es-MX"/>
        </w:rPr>
        <w:t xml:space="preserve">s como </w:t>
      </w:r>
      <w:r w:rsidRPr="00241FAC">
        <w:rPr>
          <w:rFonts w:cs="Arial"/>
          <w:lang w:val="es-MX"/>
        </w:rPr>
        <w:t>las declaraciones de renta</w:t>
      </w:r>
      <w:r w:rsidR="007914E0" w:rsidRPr="00241FAC">
        <w:rPr>
          <w:rFonts w:cs="Arial"/>
          <w:lang w:val="es-MX"/>
        </w:rPr>
        <w:t>;</w:t>
      </w:r>
      <w:r w:rsidRPr="00241FAC">
        <w:rPr>
          <w:rFonts w:cs="Arial"/>
          <w:lang w:val="es-MX"/>
        </w:rPr>
        <w:t xml:space="preserve"> sin embargo</w:t>
      </w:r>
      <w:r w:rsidR="007914E0" w:rsidRPr="00241FAC">
        <w:rPr>
          <w:rFonts w:cs="Arial"/>
          <w:lang w:val="es-MX"/>
        </w:rPr>
        <w:t>,</w:t>
      </w:r>
      <w:r w:rsidRPr="00241FAC">
        <w:rPr>
          <w:rFonts w:cs="Arial"/>
          <w:lang w:val="es-MX"/>
        </w:rPr>
        <w:t xml:space="preserve"> en el ítem de calificación se </w:t>
      </w:r>
      <w:r w:rsidR="00817476" w:rsidRPr="00241FAC">
        <w:rPr>
          <w:rFonts w:cs="Arial"/>
          <w:lang w:val="es-MX"/>
        </w:rPr>
        <w:t xml:space="preserve">indicó que </w:t>
      </w:r>
      <w:r w:rsidR="00A82D4A" w:rsidRPr="00241FAC">
        <w:rPr>
          <w:rFonts w:cs="Arial"/>
          <w:lang w:val="es-MX"/>
        </w:rPr>
        <w:t xml:space="preserve">el capital de trabajo </w:t>
      </w:r>
      <w:r w:rsidR="00817476" w:rsidRPr="00241FAC">
        <w:rPr>
          <w:rFonts w:cs="Arial"/>
          <w:lang w:val="es-MX"/>
        </w:rPr>
        <w:t xml:space="preserve">se </w:t>
      </w:r>
      <w:r w:rsidR="00D70853" w:rsidRPr="00241FAC">
        <w:rPr>
          <w:rFonts w:cs="Arial"/>
          <w:lang w:val="es-MX"/>
        </w:rPr>
        <w:t>establec</w:t>
      </w:r>
      <w:r w:rsidR="007914E0" w:rsidRPr="00241FAC">
        <w:rPr>
          <w:rFonts w:cs="Arial"/>
          <w:lang w:val="es-MX"/>
        </w:rPr>
        <w:t>ería</w:t>
      </w:r>
      <w:r w:rsidR="00D70853" w:rsidRPr="00241FAC">
        <w:rPr>
          <w:rFonts w:cs="Arial"/>
          <w:lang w:val="es-MX"/>
        </w:rPr>
        <w:t xml:space="preserve"> </w:t>
      </w:r>
      <w:r w:rsidR="00817476" w:rsidRPr="00241FAC">
        <w:rPr>
          <w:rFonts w:cs="Arial"/>
          <w:i/>
          <w:lang w:val="es-MX"/>
        </w:rPr>
        <w:t>“con base en el balance general exigido”</w:t>
      </w:r>
      <w:r w:rsidR="009A366D" w:rsidRPr="00241FAC">
        <w:rPr>
          <w:rFonts w:cs="Arial"/>
          <w:i/>
          <w:lang w:val="es-MX"/>
        </w:rPr>
        <w:t>,</w:t>
      </w:r>
      <w:r w:rsidR="009A366D" w:rsidRPr="00241FAC">
        <w:rPr>
          <w:rFonts w:cs="Arial"/>
          <w:lang w:val="es-MX"/>
        </w:rPr>
        <w:t xml:space="preserve"> por lo cual no procedía revisar la </w:t>
      </w:r>
      <w:r w:rsidR="007914E0" w:rsidRPr="00241FAC">
        <w:rPr>
          <w:rFonts w:cs="Arial"/>
          <w:lang w:val="es-MX"/>
        </w:rPr>
        <w:t xml:space="preserve">respectiva </w:t>
      </w:r>
      <w:r w:rsidR="009A366D" w:rsidRPr="00241FAC">
        <w:rPr>
          <w:rFonts w:cs="Arial"/>
          <w:lang w:val="es-MX"/>
        </w:rPr>
        <w:t>declaración de renta para los efectos de este requisito</w:t>
      </w:r>
      <w:r w:rsidR="00251B6D" w:rsidRPr="00241FAC">
        <w:rPr>
          <w:rFonts w:cs="Arial"/>
          <w:lang w:val="es-MX"/>
        </w:rPr>
        <w:t>;</w:t>
      </w:r>
      <w:r w:rsidR="00817476" w:rsidRPr="00241FAC">
        <w:rPr>
          <w:rFonts w:cs="Arial"/>
          <w:lang w:val="es-MX"/>
        </w:rPr>
        <w:t xml:space="preserve"> el Comi</w:t>
      </w:r>
      <w:r w:rsidR="00D51386" w:rsidRPr="00241FAC">
        <w:rPr>
          <w:rFonts w:cs="Arial"/>
          <w:lang w:val="es-MX"/>
        </w:rPr>
        <w:t>té</w:t>
      </w:r>
      <w:r w:rsidR="00817476" w:rsidRPr="00241FAC">
        <w:rPr>
          <w:rFonts w:cs="Arial"/>
          <w:lang w:val="es-MX"/>
        </w:rPr>
        <w:t xml:space="preserve"> </w:t>
      </w:r>
      <w:r w:rsidR="009A4DB0" w:rsidRPr="00241FAC">
        <w:rPr>
          <w:rFonts w:cs="Arial"/>
          <w:lang w:val="es-MX"/>
        </w:rPr>
        <w:t>E</w:t>
      </w:r>
      <w:r w:rsidR="00817476" w:rsidRPr="00241FAC">
        <w:rPr>
          <w:rFonts w:cs="Arial"/>
          <w:lang w:val="es-MX"/>
        </w:rPr>
        <w:t xml:space="preserve">valuador al no dar aplicación a la metodología establecida en el </w:t>
      </w:r>
      <w:r w:rsidR="009A366D" w:rsidRPr="00241FAC">
        <w:rPr>
          <w:rFonts w:cs="Arial"/>
          <w:lang w:val="es-MX"/>
        </w:rPr>
        <w:t>P</w:t>
      </w:r>
      <w:r w:rsidR="00817476" w:rsidRPr="00241FAC">
        <w:rPr>
          <w:rFonts w:cs="Arial"/>
          <w:lang w:val="es-MX"/>
        </w:rPr>
        <w:t>liego</w:t>
      </w:r>
      <w:r w:rsidR="009A366D" w:rsidRPr="00241FAC">
        <w:rPr>
          <w:rFonts w:cs="Arial"/>
          <w:lang w:val="es-MX"/>
        </w:rPr>
        <w:t xml:space="preserve"> de Condiciones</w:t>
      </w:r>
      <w:r w:rsidR="00817476" w:rsidRPr="00241FAC">
        <w:rPr>
          <w:rFonts w:cs="Arial"/>
          <w:lang w:val="es-MX"/>
        </w:rPr>
        <w:t xml:space="preserve"> viol</w:t>
      </w:r>
      <w:r w:rsidR="009A366D" w:rsidRPr="00241FAC">
        <w:rPr>
          <w:rFonts w:cs="Arial"/>
          <w:lang w:val="es-MX"/>
        </w:rPr>
        <w:t>ó</w:t>
      </w:r>
      <w:r w:rsidR="00817476" w:rsidRPr="00241FAC">
        <w:rPr>
          <w:rFonts w:cs="Arial"/>
          <w:lang w:val="es-MX"/>
        </w:rPr>
        <w:t xml:space="preserve"> el artículo 25 No. 2 de la Ley 80 de 199</w:t>
      </w:r>
      <w:r w:rsidR="00365E02" w:rsidRPr="00241FAC">
        <w:rPr>
          <w:rFonts w:cs="Arial"/>
          <w:lang w:val="es-MX"/>
        </w:rPr>
        <w:t>3</w:t>
      </w:r>
      <w:r w:rsidR="00BB67AC" w:rsidRPr="00241FAC">
        <w:rPr>
          <w:rFonts w:cs="Arial"/>
          <w:lang w:val="es-MX"/>
        </w:rPr>
        <w:t xml:space="preserve"> y, </w:t>
      </w:r>
      <w:r w:rsidR="009A4DB0" w:rsidRPr="00241FAC">
        <w:rPr>
          <w:rFonts w:cs="Arial"/>
          <w:lang w:val="es-MX"/>
        </w:rPr>
        <w:t>por el contrario</w:t>
      </w:r>
      <w:r w:rsidR="00BB67AC" w:rsidRPr="00241FAC">
        <w:rPr>
          <w:rFonts w:cs="Arial"/>
          <w:lang w:val="es-MX"/>
        </w:rPr>
        <w:t>,</w:t>
      </w:r>
      <w:r w:rsidR="009A4DB0" w:rsidRPr="00241FAC">
        <w:rPr>
          <w:rFonts w:cs="Arial"/>
          <w:lang w:val="es-MX"/>
        </w:rPr>
        <w:t xml:space="preserve"> </w:t>
      </w:r>
      <w:r w:rsidR="00365E02" w:rsidRPr="00241FAC">
        <w:rPr>
          <w:rFonts w:cs="Arial"/>
          <w:lang w:val="es-MX"/>
        </w:rPr>
        <w:t xml:space="preserve">ha debido aplicar el artículo 775 del </w:t>
      </w:r>
      <w:r w:rsidR="008705C5" w:rsidRPr="00241FAC">
        <w:rPr>
          <w:rFonts w:cs="Arial"/>
          <w:lang w:val="es-MX"/>
        </w:rPr>
        <w:t>E</w:t>
      </w:r>
      <w:r w:rsidR="00365E02" w:rsidRPr="00241FAC">
        <w:rPr>
          <w:rFonts w:cs="Arial"/>
          <w:lang w:val="es-MX"/>
        </w:rPr>
        <w:t xml:space="preserve">statuto </w:t>
      </w:r>
      <w:r w:rsidR="008705C5" w:rsidRPr="00241FAC">
        <w:rPr>
          <w:rFonts w:cs="Arial"/>
          <w:lang w:val="es-MX"/>
        </w:rPr>
        <w:t>T</w:t>
      </w:r>
      <w:r w:rsidR="00365E02" w:rsidRPr="00241FAC">
        <w:rPr>
          <w:rFonts w:cs="Arial"/>
          <w:lang w:val="es-MX"/>
        </w:rPr>
        <w:t xml:space="preserve">ributario en cuanto </w:t>
      </w:r>
      <w:r w:rsidR="00D62C09" w:rsidRPr="00241FAC">
        <w:rPr>
          <w:rFonts w:cs="Arial"/>
          <w:lang w:val="es-MX"/>
        </w:rPr>
        <w:t xml:space="preserve">dispone </w:t>
      </w:r>
      <w:r w:rsidR="00C80D13" w:rsidRPr="00241FAC">
        <w:rPr>
          <w:rFonts w:cs="Arial"/>
          <w:lang w:val="es-MX"/>
        </w:rPr>
        <w:t xml:space="preserve">claramente </w:t>
      </w:r>
      <w:r w:rsidR="00D62C09" w:rsidRPr="00241FAC">
        <w:rPr>
          <w:rFonts w:cs="Arial"/>
          <w:lang w:val="es-MX"/>
        </w:rPr>
        <w:t xml:space="preserve">que </w:t>
      </w:r>
      <w:r w:rsidR="00365E02" w:rsidRPr="00241FAC">
        <w:rPr>
          <w:rFonts w:cs="Arial"/>
          <w:lang w:val="es-MX"/>
        </w:rPr>
        <w:t>en caso de desacuerdo entre la declaración de renta y los asientos de contabilidad de un mismo contribuyente, prevalecen estos</w:t>
      </w:r>
      <w:r w:rsidR="00BB67AC" w:rsidRPr="00241FAC">
        <w:rPr>
          <w:rFonts w:cs="Arial"/>
          <w:lang w:val="es-MX"/>
        </w:rPr>
        <w:t xml:space="preserve"> últimos</w:t>
      </w:r>
      <w:r w:rsidR="00365E02" w:rsidRPr="00241FAC">
        <w:rPr>
          <w:rFonts w:cs="Arial"/>
          <w:lang w:val="es-MX"/>
        </w:rPr>
        <w:t xml:space="preserve">, </w:t>
      </w:r>
      <w:r w:rsidR="00C80D13" w:rsidRPr="00241FAC">
        <w:rPr>
          <w:rFonts w:cs="Arial"/>
          <w:lang w:val="es-MX"/>
        </w:rPr>
        <w:t xml:space="preserve">lo que </w:t>
      </w:r>
      <w:r w:rsidR="009A4DB0" w:rsidRPr="00241FAC">
        <w:rPr>
          <w:rFonts w:cs="Arial"/>
          <w:lang w:val="es-MX"/>
        </w:rPr>
        <w:t xml:space="preserve">tampoco </w:t>
      </w:r>
      <w:r w:rsidR="00C80D13" w:rsidRPr="00241FAC">
        <w:rPr>
          <w:rFonts w:cs="Arial"/>
          <w:lang w:val="es-MX"/>
        </w:rPr>
        <w:t xml:space="preserve">se tuvo en cuenta por el Tribunal </w:t>
      </w:r>
      <w:r w:rsidR="00C80D13" w:rsidRPr="00241FAC">
        <w:rPr>
          <w:rFonts w:cs="Arial"/>
          <w:i/>
          <w:lang w:val="es-MX"/>
        </w:rPr>
        <w:t>a quo</w:t>
      </w:r>
      <w:r w:rsidR="00BB67AC" w:rsidRPr="00241FAC">
        <w:rPr>
          <w:rFonts w:cs="Arial"/>
          <w:i/>
          <w:lang w:val="es-MX"/>
        </w:rPr>
        <w:t>.</w:t>
      </w:r>
    </w:p>
    <w:p w:rsidR="00342976" w:rsidRPr="00241FAC" w:rsidRDefault="00342976" w:rsidP="00484F35">
      <w:pPr>
        <w:pStyle w:val="Lista2"/>
        <w:ind w:left="0" w:firstLine="0"/>
        <w:rPr>
          <w:rFonts w:cs="Arial"/>
          <w:lang w:val="es-MX"/>
        </w:rPr>
      </w:pPr>
    </w:p>
    <w:p w:rsidR="000F3BDF" w:rsidRPr="00241FAC" w:rsidRDefault="00BB67AC" w:rsidP="00484F35">
      <w:pPr>
        <w:pStyle w:val="Lista2"/>
        <w:ind w:left="0" w:firstLine="0"/>
        <w:rPr>
          <w:rFonts w:cs="Arial"/>
          <w:lang w:val="es-MX"/>
        </w:rPr>
      </w:pPr>
      <w:r w:rsidRPr="00241FAC">
        <w:rPr>
          <w:rFonts w:cs="Arial"/>
          <w:lang w:val="es-MX"/>
        </w:rPr>
        <w:t>F</w:t>
      </w:r>
      <w:r w:rsidR="00522E69" w:rsidRPr="00241FAC">
        <w:rPr>
          <w:rFonts w:cs="Arial"/>
          <w:lang w:val="es-MX"/>
        </w:rPr>
        <w:t>inalmente</w:t>
      </w:r>
      <w:r w:rsidRPr="00241FAC">
        <w:rPr>
          <w:rFonts w:cs="Arial"/>
          <w:lang w:val="es-MX"/>
        </w:rPr>
        <w:t xml:space="preserve">, en relación con la información financiera, el actor </w:t>
      </w:r>
      <w:r w:rsidR="00522E69" w:rsidRPr="00241FAC">
        <w:rPr>
          <w:rFonts w:cs="Arial"/>
          <w:lang w:val="es-MX"/>
        </w:rPr>
        <w:t xml:space="preserve">manifestó que </w:t>
      </w:r>
      <w:r w:rsidRPr="00241FAC">
        <w:rPr>
          <w:rFonts w:cs="Arial"/>
          <w:lang w:val="es-MX"/>
        </w:rPr>
        <w:t xml:space="preserve">el Tribunal </w:t>
      </w:r>
      <w:r w:rsidRPr="00241FAC">
        <w:rPr>
          <w:rFonts w:cs="Arial"/>
          <w:i/>
          <w:lang w:val="es-MX"/>
        </w:rPr>
        <w:t>a quo</w:t>
      </w:r>
      <w:r w:rsidRPr="00241FAC">
        <w:rPr>
          <w:rFonts w:cs="Arial"/>
          <w:lang w:val="es-MX"/>
        </w:rPr>
        <w:t xml:space="preserve"> </w:t>
      </w:r>
      <w:r w:rsidR="00C80D13" w:rsidRPr="00241FAC">
        <w:rPr>
          <w:rFonts w:cs="Arial"/>
          <w:lang w:val="es-MX"/>
        </w:rPr>
        <w:t xml:space="preserve">ha debido aplicar el </w:t>
      </w:r>
      <w:r w:rsidR="00D62C09" w:rsidRPr="00241FAC">
        <w:rPr>
          <w:rFonts w:cs="Arial"/>
          <w:lang w:val="es-MX"/>
        </w:rPr>
        <w:t xml:space="preserve">Decreto 2649 de 1993 y </w:t>
      </w:r>
      <w:r w:rsidRPr="00241FAC">
        <w:rPr>
          <w:rFonts w:cs="Arial"/>
          <w:lang w:val="es-MX"/>
        </w:rPr>
        <w:t>a</w:t>
      </w:r>
      <w:r w:rsidR="00D62C09" w:rsidRPr="00241FAC">
        <w:rPr>
          <w:rFonts w:cs="Arial"/>
          <w:lang w:val="es-MX"/>
        </w:rPr>
        <w:t>l art</w:t>
      </w:r>
      <w:r w:rsidR="000F3BDF" w:rsidRPr="00241FAC">
        <w:rPr>
          <w:rFonts w:cs="Arial"/>
          <w:lang w:val="es-MX"/>
        </w:rPr>
        <w:t>í</w:t>
      </w:r>
      <w:r w:rsidR="00D62C09" w:rsidRPr="00241FAC">
        <w:rPr>
          <w:rFonts w:cs="Arial"/>
          <w:lang w:val="es-MX"/>
        </w:rPr>
        <w:t>culo 48 del Código de Comercio</w:t>
      </w:r>
      <w:r w:rsidR="005654F4" w:rsidRPr="00241FAC">
        <w:rPr>
          <w:rFonts w:cs="Arial"/>
          <w:lang w:val="es-MX"/>
        </w:rPr>
        <w:t>,</w:t>
      </w:r>
      <w:r w:rsidR="00D62C09" w:rsidRPr="00241FAC">
        <w:rPr>
          <w:rFonts w:cs="Arial"/>
          <w:lang w:val="es-MX"/>
        </w:rPr>
        <w:t xml:space="preserve"> </w:t>
      </w:r>
      <w:r w:rsidR="00C80D13" w:rsidRPr="00241FAC">
        <w:rPr>
          <w:rFonts w:cs="Arial"/>
          <w:lang w:val="es-MX"/>
        </w:rPr>
        <w:t xml:space="preserve">toda vez que </w:t>
      </w:r>
      <w:r w:rsidR="00D62C09" w:rsidRPr="00241FAC">
        <w:rPr>
          <w:rFonts w:cs="Arial"/>
          <w:lang w:val="es-MX"/>
        </w:rPr>
        <w:t>l</w:t>
      </w:r>
      <w:r w:rsidR="000F3BDF" w:rsidRPr="00241FAC">
        <w:rPr>
          <w:rFonts w:cs="Arial"/>
          <w:lang w:val="es-MX"/>
        </w:rPr>
        <w:t>os</w:t>
      </w:r>
      <w:r w:rsidR="00D62C09" w:rsidRPr="00241FAC">
        <w:rPr>
          <w:rFonts w:cs="Arial"/>
          <w:lang w:val="es-MX"/>
        </w:rPr>
        <w:t xml:space="preserve"> estados financieros deben ser elaborados con funda</w:t>
      </w:r>
      <w:r w:rsidR="000F3BDF" w:rsidRPr="00241FAC">
        <w:rPr>
          <w:rFonts w:cs="Arial"/>
          <w:lang w:val="es-MX"/>
        </w:rPr>
        <w:t>m</w:t>
      </w:r>
      <w:r w:rsidR="00D62C09" w:rsidRPr="00241FAC">
        <w:rPr>
          <w:rFonts w:cs="Arial"/>
          <w:lang w:val="es-MX"/>
        </w:rPr>
        <w:t xml:space="preserve">ento en los libros </w:t>
      </w:r>
      <w:r w:rsidR="00522E69" w:rsidRPr="00241FAC">
        <w:rPr>
          <w:rFonts w:cs="Arial"/>
          <w:lang w:val="es-MX"/>
        </w:rPr>
        <w:t xml:space="preserve">de contabilidad </w:t>
      </w:r>
      <w:r w:rsidR="00D404CD" w:rsidRPr="00241FAC">
        <w:rPr>
          <w:rFonts w:cs="Arial"/>
          <w:lang w:val="es-MX"/>
        </w:rPr>
        <w:t xml:space="preserve">y que de conformidad con la </w:t>
      </w:r>
      <w:r w:rsidR="007A33E0" w:rsidRPr="00241FAC">
        <w:rPr>
          <w:rFonts w:cs="Arial"/>
          <w:lang w:val="es-MX"/>
        </w:rPr>
        <w:t>Fe</w:t>
      </w:r>
      <w:r w:rsidR="00D404CD" w:rsidRPr="00241FAC">
        <w:rPr>
          <w:rFonts w:cs="Arial"/>
          <w:lang w:val="es-MX"/>
        </w:rPr>
        <w:t xml:space="preserve"> Pública otorgada </w:t>
      </w:r>
      <w:r w:rsidR="00522E69" w:rsidRPr="00241FAC">
        <w:rPr>
          <w:rFonts w:cs="Arial"/>
          <w:lang w:val="es-MX"/>
        </w:rPr>
        <w:t xml:space="preserve">al Contador Público </w:t>
      </w:r>
      <w:r w:rsidR="00D404CD" w:rsidRPr="00241FAC">
        <w:rPr>
          <w:rFonts w:cs="Arial"/>
          <w:lang w:val="es-MX"/>
        </w:rPr>
        <w:t xml:space="preserve">por </w:t>
      </w:r>
      <w:r w:rsidR="000F3BDF" w:rsidRPr="00241FAC">
        <w:rPr>
          <w:rFonts w:cs="Arial"/>
          <w:lang w:val="es-MX"/>
        </w:rPr>
        <w:t>la Ley 43 de 1990</w:t>
      </w:r>
      <w:r w:rsidR="005654F4" w:rsidRPr="00241FAC">
        <w:rPr>
          <w:rFonts w:cs="Arial"/>
          <w:lang w:val="es-MX"/>
        </w:rPr>
        <w:t>,</w:t>
      </w:r>
      <w:r w:rsidR="00342976" w:rsidRPr="00241FAC">
        <w:rPr>
          <w:rFonts w:cs="Arial"/>
          <w:lang w:val="es-MX"/>
        </w:rPr>
        <w:t xml:space="preserve"> el Tribuna</w:t>
      </w:r>
      <w:r w:rsidR="005654F4" w:rsidRPr="00241FAC">
        <w:rPr>
          <w:rFonts w:cs="Arial"/>
          <w:lang w:val="es-MX"/>
        </w:rPr>
        <w:t>l</w:t>
      </w:r>
      <w:r w:rsidR="00342976" w:rsidRPr="00241FAC">
        <w:rPr>
          <w:rFonts w:cs="Arial"/>
          <w:lang w:val="es-MX"/>
        </w:rPr>
        <w:t xml:space="preserve"> </w:t>
      </w:r>
      <w:r w:rsidR="00342976" w:rsidRPr="00241FAC">
        <w:rPr>
          <w:rFonts w:cs="Arial"/>
          <w:i/>
          <w:lang w:val="es-MX"/>
        </w:rPr>
        <w:t>a quo</w:t>
      </w:r>
      <w:r w:rsidR="00342976" w:rsidRPr="00241FAC">
        <w:rPr>
          <w:rFonts w:cs="Arial"/>
          <w:lang w:val="es-MX"/>
        </w:rPr>
        <w:t xml:space="preserve"> </w:t>
      </w:r>
      <w:r w:rsidR="0054793A" w:rsidRPr="00241FAC">
        <w:rPr>
          <w:rFonts w:cs="Arial"/>
          <w:lang w:val="es-MX"/>
        </w:rPr>
        <w:t xml:space="preserve">debió </w:t>
      </w:r>
      <w:r w:rsidR="009B75F0" w:rsidRPr="00241FAC">
        <w:rPr>
          <w:rFonts w:cs="Arial"/>
          <w:lang w:val="es-MX"/>
        </w:rPr>
        <w:t xml:space="preserve">reconocer como ciertas </w:t>
      </w:r>
      <w:r w:rsidR="000F3BDF" w:rsidRPr="00241FAC">
        <w:rPr>
          <w:rFonts w:cs="Arial"/>
          <w:lang w:val="es-MX"/>
        </w:rPr>
        <w:t xml:space="preserve">las cifras </w:t>
      </w:r>
      <w:r w:rsidR="00342976" w:rsidRPr="00241FAC">
        <w:rPr>
          <w:rFonts w:cs="Arial"/>
          <w:lang w:val="es-MX"/>
        </w:rPr>
        <w:t xml:space="preserve">presentadas </w:t>
      </w:r>
      <w:r w:rsidR="000F3BDF" w:rsidRPr="00241FAC">
        <w:rPr>
          <w:rFonts w:cs="Arial"/>
          <w:lang w:val="es-MX"/>
        </w:rPr>
        <w:t>en los balances</w:t>
      </w:r>
      <w:r w:rsidR="00522E69" w:rsidRPr="00241FAC">
        <w:rPr>
          <w:rFonts w:cs="Arial"/>
          <w:lang w:val="es-MX"/>
        </w:rPr>
        <w:t xml:space="preserve"> suscritos por Contador Público</w:t>
      </w:r>
      <w:r w:rsidR="000F3BDF" w:rsidRPr="00241FAC">
        <w:rPr>
          <w:rFonts w:cs="Arial"/>
          <w:lang w:val="es-MX"/>
        </w:rPr>
        <w:t>.</w:t>
      </w:r>
    </w:p>
    <w:p w:rsidR="00D206FC" w:rsidRPr="00241FAC" w:rsidRDefault="00D206FC" w:rsidP="00484F35">
      <w:pPr>
        <w:pStyle w:val="Lista2"/>
        <w:ind w:left="0" w:firstLine="0"/>
        <w:rPr>
          <w:rFonts w:cs="Arial"/>
          <w:lang w:val="es-MX"/>
        </w:rPr>
      </w:pPr>
    </w:p>
    <w:p w:rsidR="00F31596" w:rsidRPr="00241FAC" w:rsidRDefault="00FC7E2A" w:rsidP="00484F35">
      <w:pPr>
        <w:pStyle w:val="Lista2"/>
        <w:ind w:left="0" w:firstLine="0"/>
        <w:rPr>
          <w:rFonts w:cs="Arial"/>
          <w:lang w:val="es-MX"/>
        </w:rPr>
      </w:pPr>
      <w:r w:rsidRPr="00241FAC">
        <w:rPr>
          <w:rFonts w:cs="Arial"/>
          <w:b/>
          <w:lang w:val="es-MX"/>
        </w:rPr>
        <w:t>iii)</w:t>
      </w:r>
      <w:r w:rsidRPr="00241FAC">
        <w:rPr>
          <w:rFonts w:cs="Arial"/>
          <w:lang w:val="es-MX"/>
        </w:rPr>
        <w:t xml:space="preserve"> </w:t>
      </w:r>
      <w:r w:rsidR="00342976" w:rsidRPr="00241FAC">
        <w:rPr>
          <w:rFonts w:cs="Arial"/>
          <w:lang w:val="es-MX"/>
        </w:rPr>
        <w:t>Por razón de</w:t>
      </w:r>
      <w:r w:rsidRPr="00241FAC">
        <w:rPr>
          <w:rFonts w:cs="Arial"/>
          <w:lang w:val="es-MX"/>
        </w:rPr>
        <w:t xml:space="preserve"> los 130 puntos faltantes</w:t>
      </w:r>
      <w:r w:rsidR="007A6C8D" w:rsidRPr="00241FAC">
        <w:rPr>
          <w:rFonts w:cs="Arial"/>
          <w:lang w:val="es-MX"/>
        </w:rPr>
        <w:t xml:space="preserve"> </w:t>
      </w:r>
      <w:r w:rsidR="00342976" w:rsidRPr="00241FAC">
        <w:rPr>
          <w:rFonts w:cs="Arial"/>
          <w:lang w:val="es-MX"/>
        </w:rPr>
        <w:t>-</w:t>
      </w:r>
      <w:r w:rsidR="007A6C8D" w:rsidRPr="00241FAC">
        <w:rPr>
          <w:rFonts w:cs="Arial"/>
          <w:lang w:val="es-MX"/>
        </w:rPr>
        <w:t>por concepto de capacidad financ</w:t>
      </w:r>
      <w:r w:rsidR="007D54DA" w:rsidRPr="00241FAC">
        <w:rPr>
          <w:rFonts w:cs="Arial"/>
          <w:lang w:val="es-MX"/>
        </w:rPr>
        <w:t>i</w:t>
      </w:r>
      <w:r w:rsidR="007A6C8D" w:rsidRPr="00241FAC">
        <w:rPr>
          <w:rFonts w:cs="Arial"/>
          <w:lang w:val="es-MX"/>
        </w:rPr>
        <w:t>era</w:t>
      </w:r>
      <w:r w:rsidR="00342976" w:rsidRPr="00241FAC">
        <w:rPr>
          <w:rFonts w:cs="Arial"/>
          <w:lang w:val="es-MX"/>
        </w:rPr>
        <w:t>-</w:t>
      </w:r>
      <w:r w:rsidR="007A6C8D" w:rsidRPr="00241FAC">
        <w:rPr>
          <w:rFonts w:cs="Arial"/>
          <w:lang w:val="es-MX"/>
        </w:rPr>
        <w:t xml:space="preserve"> el Tribunal </w:t>
      </w:r>
      <w:r w:rsidR="009B75F0" w:rsidRPr="00241FAC">
        <w:rPr>
          <w:rFonts w:cs="Arial"/>
          <w:i/>
          <w:lang w:val="es-MX"/>
        </w:rPr>
        <w:t xml:space="preserve">a quo </w:t>
      </w:r>
      <w:r w:rsidR="007A6C8D" w:rsidRPr="00241FAC">
        <w:rPr>
          <w:rFonts w:cs="Arial"/>
          <w:lang w:val="es-MX"/>
        </w:rPr>
        <w:t xml:space="preserve">debió </w:t>
      </w:r>
      <w:r w:rsidR="0054793A" w:rsidRPr="00241FAC">
        <w:rPr>
          <w:rFonts w:cs="Arial"/>
          <w:lang w:val="es-MX"/>
        </w:rPr>
        <w:t xml:space="preserve">establecer </w:t>
      </w:r>
      <w:r w:rsidR="007A6C8D" w:rsidRPr="00241FAC">
        <w:rPr>
          <w:rFonts w:cs="Arial"/>
          <w:lang w:val="es-MX"/>
        </w:rPr>
        <w:t>que el</w:t>
      </w:r>
      <w:r w:rsidR="006D1826" w:rsidRPr="00241FAC">
        <w:rPr>
          <w:rFonts w:cs="Arial"/>
          <w:lang w:val="es-MX"/>
        </w:rPr>
        <w:t xml:space="preserve"> </w:t>
      </w:r>
      <w:r w:rsidR="007A6C8D" w:rsidRPr="00241FAC">
        <w:rPr>
          <w:rFonts w:cs="Arial"/>
          <w:lang w:val="es-MX"/>
        </w:rPr>
        <w:t xml:space="preserve">puntaje total de la Unión </w:t>
      </w:r>
      <w:r w:rsidR="007D54DA" w:rsidRPr="00241FAC">
        <w:rPr>
          <w:rFonts w:cs="Arial"/>
          <w:lang w:val="es-MX"/>
        </w:rPr>
        <w:t>T</w:t>
      </w:r>
      <w:r w:rsidR="007A6C8D" w:rsidRPr="00241FAC">
        <w:rPr>
          <w:rFonts w:cs="Arial"/>
          <w:lang w:val="es-MX"/>
        </w:rPr>
        <w:t>emporal</w:t>
      </w:r>
      <w:r w:rsidR="0054793A" w:rsidRPr="00241FAC">
        <w:rPr>
          <w:rFonts w:cs="Arial"/>
          <w:lang w:val="es-MX"/>
        </w:rPr>
        <w:t xml:space="preserve"> </w:t>
      </w:r>
      <w:proofErr w:type="spellStart"/>
      <w:r w:rsidR="0054793A" w:rsidRPr="00241FAC">
        <w:rPr>
          <w:rFonts w:cs="Arial"/>
          <w:lang w:val="es-MX"/>
        </w:rPr>
        <w:t>Construobras</w:t>
      </w:r>
      <w:proofErr w:type="spellEnd"/>
      <w:r w:rsidR="007A6C8D" w:rsidRPr="00241FAC">
        <w:rPr>
          <w:rFonts w:cs="Arial"/>
          <w:lang w:val="es-MX"/>
        </w:rPr>
        <w:t xml:space="preserve"> resultaba ser de 882,09 </w:t>
      </w:r>
      <w:r w:rsidR="005F7F46" w:rsidRPr="00241FAC">
        <w:rPr>
          <w:rFonts w:cs="Arial"/>
          <w:lang w:val="es-MX"/>
        </w:rPr>
        <w:t>puntos y, por lo tanto,</w:t>
      </w:r>
      <w:r w:rsidR="0097047A" w:rsidRPr="00241FAC">
        <w:rPr>
          <w:rFonts w:cs="Arial"/>
          <w:lang w:val="es-MX"/>
        </w:rPr>
        <w:t xml:space="preserve"> </w:t>
      </w:r>
      <w:r w:rsidR="006D1826" w:rsidRPr="00241FAC">
        <w:rPr>
          <w:rFonts w:cs="Arial"/>
          <w:lang w:val="es-MX"/>
        </w:rPr>
        <w:t xml:space="preserve">la Unión Temporal </w:t>
      </w:r>
      <w:proofErr w:type="spellStart"/>
      <w:r w:rsidR="006D1826" w:rsidRPr="00241FAC">
        <w:rPr>
          <w:rFonts w:cs="Arial"/>
          <w:lang w:val="es-MX"/>
        </w:rPr>
        <w:t>Co</w:t>
      </w:r>
      <w:r w:rsidR="0097047A" w:rsidRPr="00241FAC">
        <w:rPr>
          <w:rFonts w:cs="Arial"/>
          <w:lang w:val="es-MX"/>
        </w:rPr>
        <w:t>n</w:t>
      </w:r>
      <w:r w:rsidR="006D1826" w:rsidRPr="00241FAC">
        <w:rPr>
          <w:rFonts w:cs="Arial"/>
          <w:lang w:val="es-MX"/>
        </w:rPr>
        <w:t>struobras</w:t>
      </w:r>
      <w:proofErr w:type="spellEnd"/>
      <w:r w:rsidR="006D1826" w:rsidRPr="00241FAC">
        <w:rPr>
          <w:rFonts w:cs="Arial"/>
          <w:lang w:val="es-MX"/>
        </w:rPr>
        <w:t xml:space="preserve"> </w:t>
      </w:r>
      <w:r w:rsidR="0097047A" w:rsidRPr="00241FAC">
        <w:rPr>
          <w:rFonts w:cs="Arial"/>
          <w:lang w:val="es-MX"/>
        </w:rPr>
        <w:t xml:space="preserve">sí probó </w:t>
      </w:r>
      <w:r w:rsidR="00F31596" w:rsidRPr="00241FAC">
        <w:rPr>
          <w:rFonts w:cs="Arial"/>
          <w:lang w:val="es-MX"/>
        </w:rPr>
        <w:t xml:space="preserve">en este proceso </w:t>
      </w:r>
      <w:r w:rsidR="0097047A" w:rsidRPr="00241FAC">
        <w:rPr>
          <w:rFonts w:cs="Arial"/>
          <w:lang w:val="es-MX"/>
        </w:rPr>
        <w:t xml:space="preserve">que </w:t>
      </w:r>
      <w:r w:rsidR="006D1826" w:rsidRPr="00241FAC">
        <w:rPr>
          <w:rFonts w:cs="Arial"/>
          <w:lang w:val="es-MX"/>
        </w:rPr>
        <w:t>presentó la mejor propuesta y</w:t>
      </w:r>
      <w:r w:rsidR="005F7F46" w:rsidRPr="00241FAC">
        <w:rPr>
          <w:rFonts w:cs="Arial"/>
          <w:lang w:val="es-MX"/>
        </w:rPr>
        <w:t xml:space="preserve"> </w:t>
      </w:r>
      <w:r w:rsidR="006D1826" w:rsidRPr="00241FAC">
        <w:rPr>
          <w:rFonts w:cs="Arial"/>
          <w:lang w:val="es-MX"/>
        </w:rPr>
        <w:t>tenía derecho a</w:t>
      </w:r>
      <w:r w:rsidR="005F7F46" w:rsidRPr="00241FAC">
        <w:rPr>
          <w:rFonts w:cs="Arial"/>
          <w:lang w:val="es-MX"/>
        </w:rPr>
        <w:t xml:space="preserve">l </w:t>
      </w:r>
      <w:r w:rsidR="006D1826" w:rsidRPr="00241FAC">
        <w:rPr>
          <w:rFonts w:cs="Arial"/>
          <w:lang w:val="es-MX"/>
        </w:rPr>
        <w:t>resarci</w:t>
      </w:r>
      <w:r w:rsidR="009B75F0" w:rsidRPr="00241FAC">
        <w:rPr>
          <w:rFonts w:cs="Arial"/>
          <w:lang w:val="es-MX"/>
        </w:rPr>
        <w:t>miento d</w:t>
      </w:r>
      <w:r w:rsidR="006D1826" w:rsidRPr="00241FAC">
        <w:rPr>
          <w:rFonts w:cs="Arial"/>
          <w:lang w:val="es-MX"/>
        </w:rPr>
        <w:t>el daño antijurídico causado</w:t>
      </w:r>
      <w:r w:rsidR="005F7F46" w:rsidRPr="00241FAC">
        <w:rPr>
          <w:rFonts w:cs="Arial"/>
          <w:lang w:val="es-MX"/>
        </w:rPr>
        <w:t xml:space="preserve"> por el acto de adjudicación</w:t>
      </w:r>
      <w:r w:rsidR="00F31596" w:rsidRPr="00241FAC">
        <w:rPr>
          <w:rFonts w:cs="Arial"/>
          <w:lang w:val="es-MX"/>
        </w:rPr>
        <w:t>.</w:t>
      </w:r>
    </w:p>
    <w:p w:rsidR="00FC7E2A" w:rsidRPr="00241FAC" w:rsidRDefault="00FC7E2A" w:rsidP="00484F35">
      <w:pPr>
        <w:pStyle w:val="Lista2"/>
        <w:ind w:left="0" w:firstLine="0"/>
        <w:rPr>
          <w:rFonts w:cs="Arial"/>
          <w:lang w:val="es-MX"/>
        </w:rPr>
      </w:pPr>
    </w:p>
    <w:p w:rsidR="00882DA6" w:rsidRPr="00241FAC" w:rsidRDefault="00C80D13" w:rsidP="00484F35">
      <w:pPr>
        <w:rPr>
          <w:rFonts w:cs="Arial"/>
          <w:lang w:val="es-MX"/>
        </w:rPr>
      </w:pPr>
      <w:r w:rsidRPr="00241FAC">
        <w:rPr>
          <w:rFonts w:cs="Arial"/>
          <w:bCs/>
          <w:lang w:val="es-MX"/>
        </w:rPr>
        <w:t xml:space="preserve">Los demandados y el </w:t>
      </w:r>
      <w:r w:rsidR="00473431" w:rsidRPr="00241FAC">
        <w:rPr>
          <w:rFonts w:cs="Arial"/>
          <w:bCs/>
          <w:lang w:val="es-MX"/>
        </w:rPr>
        <w:t xml:space="preserve">Ministerio </w:t>
      </w:r>
      <w:r w:rsidR="00484F35" w:rsidRPr="00241FAC">
        <w:rPr>
          <w:rFonts w:cs="Arial"/>
          <w:bCs/>
          <w:lang w:val="es-MX"/>
        </w:rPr>
        <w:t>Público guard</w:t>
      </w:r>
      <w:r w:rsidRPr="00241FAC">
        <w:rPr>
          <w:rFonts w:cs="Arial"/>
          <w:bCs/>
          <w:lang w:val="es-MX"/>
        </w:rPr>
        <w:t>aron</w:t>
      </w:r>
      <w:r w:rsidR="00484F35" w:rsidRPr="00241FAC">
        <w:rPr>
          <w:rFonts w:cs="Arial"/>
          <w:bCs/>
          <w:lang w:val="es-MX"/>
        </w:rPr>
        <w:t xml:space="preserve"> silencio en su oportunidad.</w:t>
      </w:r>
    </w:p>
    <w:p w:rsidR="00C23021" w:rsidRPr="00241FAC" w:rsidRDefault="00C23021" w:rsidP="00F21484">
      <w:pPr>
        <w:jc w:val="center"/>
        <w:rPr>
          <w:rFonts w:cs="Arial"/>
          <w:b/>
        </w:rPr>
      </w:pPr>
    </w:p>
    <w:p w:rsidR="00ED77A2" w:rsidRPr="00241FAC" w:rsidRDefault="00ED77A2" w:rsidP="00F21484">
      <w:pPr>
        <w:jc w:val="center"/>
        <w:rPr>
          <w:rFonts w:cs="Arial"/>
          <w:b/>
        </w:rPr>
      </w:pPr>
    </w:p>
    <w:p w:rsidR="00F21484" w:rsidRPr="00241FAC" w:rsidRDefault="00F21484" w:rsidP="00E84FE1">
      <w:pPr>
        <w:pStyle w:val="Lista"/>
        <w:jc w:val="center"/>
        <w:rPr>
          <w:rFonts w:ascii="Arial" w:hAnsi="Arial" w:cs="Arial"/>
          <w:b/>
        </w:rPr>
      </w:pPr>
      <w:r w:rsidRPr="00241FAC">
        <w:rPr>
          <w:rFonts w:ascii="Arial" w:hAnsi="Arial" w:cs="Arial"/>
          <w:b/>
        </w:rPr>
        <w:t>II.</w:t>
      </w:r>
      <w:r w:rsidR="00E759BE" w:rsidRPr="00241FAC">
        <w:rPr>
          <w:rFonts w:ascii="Arial" w:hAnsi="Arial" w:cs="Arial"/>
          <w:b/>
        </w:rPr>
        <w:tab/>
      </w:r>
      <w:r w:rsidRPr="00241FAC">
        <w:rPr>
          <w:rFonts w:ascii="Arial" w:hAnsi="Arial" w:cs="Arial"/>
          <w:b/>
        </w:rPr>
        <w:t>C O N S I D E R A C I O N E S</w:t>
      </w:r>
    </w:p>
    <w:p w:rsidR="00C23021" w:rsidRPr="00241FAC" w:rsidRDefault="00C23021" w:rsidP="00050CA0">
      <w:pPr>
        <w:jc w:val="center"/>
        <w:rPr>
          <w:rFonts w:cs="Arial"/>
          <w:b/>
        </w:rPr>
      </w:pPr>
    </w:p>
    <w:p w:rsidR="00ED77A2" w:rsidRPr="00241FAC" w:rsidRDefault="00ED77A2" w:rsidP="00050CA0">
      <w:pPr>
        <w:jc w:val="center"/>
        <w:rPr>
          <w:rFonts w:cs="Arial"/>
          <w:b/>
        </w:rPr>
      </w:pPr>
    </w:p>
    <w:p w:rsidR="0052529B" w:rsidRPr="00241FAC" w:rsidRDefault="0052529B" w:rsidP="005C2766">
      <w:pPr>
        <w:pStyle w:val="Lista"/>
        <w:spacing w:line="360" w:lineRule="auto"/>
        <w:ind w:left="0" w:firstLine="0"/>
        <w:rPr>
          <w:rFonts w:ascii="Arial" w:hAnsi="Arial" w:cs="Arial"/>
        </w:rPr>
      </w:pPr>
      <w:r w:rsidRPr="00241FAC">
        <w:rPr>
          <w:rFonts w:ascii="Arial" w:hAnsi="Arial" w:cs="Arial"/>
        </w:rPr>
        <w:t xml:space="preserve">Para resolver la segunda instancia de la presente </w:t>
      </w:r>
      <w:proofErr w:type="spellStart"/>
      <w:r w:rsidRPr="00241FAC">
        <w:rPr>
          <w:rFonts w:ascii="Arial" w:hAnsi="Arial" w:cs="Arial"/>
          <w:i/>
        </w:rPr>
        <w:t>litis</w:t>
      </w:r>
      <w:proofErr w:type="spellEnd"/>
      <w:r w:rsidR="00DD3E54" w:rsidRPr="00241FAC">
        <w:rPr>
          <w:rFonts w:ascii="Arial" w:hAnsi="Arial" w:cs="Arial"/>
        </w:rPr>
        <w:t>, se abordará</w:t>
      </w:r>
      <w:r w:rsidRPr="00241FAC">
        <w:rPr>
          <w:rFonts w:ascii="Arial" w:hAnsi="Arial" w:cs="Arial"/>
        </w:rPr>
        <w:t xml:space="preserve">n los siguientes temas: </w:t>
      </w:r>
      <w:r w:rsidR="00445973" w:rsidRPr="00241FAC">
        <w:rPr>
          <w:rFonts w:ascii="Arial" w:hAnsi="Arial" w:cs="Arial"/>
          <w:b/>
        </w:rPr>
        <w:t>1</w:t>
      </w:r>
      <w:r w:rsidR="00A50912" w:rsidRPr="00241FAC">
        <w:rPr>
          <w:rFonts w:ascii="Arial" w:hAnsi="Arial" w:cs="Arial"/>
          <w:b/>
        </w:rPr>
        <w:t>)</w:t>
      </w:r>
      <w:r w:rsidR="00F813EB" w:rsidRPr="00241FAC">
        <w:rPr>
          <w:rFonts w:ascii="Arial" w:hAnsi="Arial" w:cs="Arial"/>
        </w:rPr>
        <w:t xml:space="preserve"> </w:t>
      </w:r>
      <w:r w:rsidR="00CA1EB0" w:rsidRPr="00241FAC">
        <w:rPr>
          <w:rFonts w:ascii="Arial" w:hAnsi="Arial" w:cs="Arial"/>
        </w:rPr>
        <w:t>c</w:t>
      </w:r>
      <w:r w:rsidR="00DF40B5" w:rsidRPr="00241FAC">
        <w:rPr>
          <w:rFonts w:ascii="Arial" w:hAnsi="Arial" w:cs="Arial"/>
        </w:rPr>
        <w:t xml:space="preserve">ompetencia del Consejo de Estado; </w:t>
      </w:r>
      <w:r w:rsidR="00445973" w:rsidRPr="00241FAC">
        <w:rPr>
          <w:rFonts w:ascii="Arial" w:hAnsi="Arial" w:cs="Arial"/>
          <w:b/>
        </w:rPr>
        <w:t>2</w:t>
      </w:r>
      <w:r w:rsidR="00A50912" w:rsidRPr="00241FAC">
        <w:rPr>
          <w:rFonts w:ascii="Arial" w:hAnsi="Arial" w:cs="Arial"/>
          <w:b/>
        </w:rPr>
        <w:t>)</w:t>
      </w:r>
      <w:r w:rsidR="00E8149C" w:rsidRPr="00241FAC">
        <w:rPr>
          <w:rFonts w:ascii="Arial" w:hAnsi="Arial" w:cs="Arial"/>
        </w:rPr>
        <w:t xml:space="preserve"> </w:t>
      </w:r>
      <w:r w:rsidR="00CA1EB0" w:rsidRPr="00241FAC">
        <w:rPr>
          <w:rFonts w:ascii="Arial" w:hAnsi="Arial" w:cs="Arial"/>
        </w:rPr>
        <w:t>c</w:t>
      </w:r>
      <w:r w:rsidR="00E939A0" w:rsidRPr="00241FAC">
        <w:rPr>
          <w:rFonts w:ascii="Arial" w:hAnsi="Arial" w:cs="Arial"/>
        </w:rPr>
        <w:t xml:space="preserve">aducidad de la acción contractual respecto del acto administrativo de adjudicación del contrato estatal; </w:t>
      </w:r>
      <w:r w:rsidR="00E939A0" w:rsidRPr="00241FAC">
        <w:rPr>
          <w:rFonts w:ascii="Arial" w:hAnsi="Arial" w:cs="Arial"/>
          <w:b/>
        </w:rPr>
        <w:t>3</w:t>
      </w:r>
      <w:r w:rsidR="007F365E" w:rsidRPr="00241FAC">
        <w:rPr>
          <w:rFonts w:ascii="Arial" w:hAnsi="Arial" w:cs="Arial"/>
          <w:b/>
        </w:rPr>
        <w:t>)</w:t>
      </w:r>
      <w:r w:rsidR="00E939A0" w:rsidRPr="00241FAC">
        <w:rPr>
          <w:rFonts w:ascii="Arial" w:hAnsi="Arial" w:cs="Arial"/>
        </w:rPr>
        <w:t xml:space="preserve"> </w:t>
      </w:r>
      <w:r w:rsidR="001206FC" w:rsidRPr="00241FAC">
        <w:rPr>
          <w:rFonts w:ascii="Arial" w:hAnsi="Arial" w:cs="Arial"/>
        </w:rPr>
        <w:t>v</w:t>
      </w:r>
      <w:r w:rsidR="00BB600E" w:rsidRPr="00241FAC">
        <w:rPr>
          <w:rFonts w:ascii="Arial" w:hAnsi="Arial" w:cs="Arial"/>
        </w:rPr>
        <w:t>inculación del Consorcio adjudicatario de la Licitación Pública en el presente proceso judicial;</w:t>
      </w:r>
      <w:r w:rsidR="00E939A0" w:rsidRPr="00241FAC">
        <w:rPr>
          <w:rFonts w:ascii="Arial" w:hAnsi="Arial" w:cs="Arial"/>
        </w:rPr>
        <w:t xml:space="preserve"> </w:t>
      </w:r>
      <w:r w:rsidR="00E939A0" w:rsidRPr="00241FAC">
        <w:rPr>
          <w:rFonts w:ascii="Arial" w:hAnsi="Arial" w:cs="Arial"/>
          <w:b/>
        </w:rPr>
        <w:t>4)</w:t>
      </w:r>
      <w:r w:rsidR="001E5BA6" w:rsidRPr="00241FAC">
        <w:rPr>
          <w:rFonts w:ascii="Arial" w:hAnsi="Arial" w:cs="Arial"/>
          <w:bCs/>
          <w:color w:val="000000"/>
        </w:rPr>
        <w:t xml:space="preserve"> </w:t>
      </w:r>
      <w:r w:rsidR="00CA1EB0" w:rsidRPr="00241FAC">
        <w:rPr>
          <w:rFonts w:ascii="Arial" w:hAnsi="Arial" w:cs="Arial"/>
          <w:color w:val="000000"/>
        </w:rPr>
        <w:t xml:space="preserve">pruebas aportadas al proceso; </w:t>
      </w:r>
      <w:r w:rsidR="00CA1EB0" w:rsidRPr="00241FAC">
        <w:rPr>
          <w:rFonts w:ascii="Arial" w:hAnsi="Arial" w:cs="Arial"/>
          <w:b/>
          <w:color w:val="000000"/>
        </w:rPr>
        <w:t>5)</w:t>
      </w:r>
      <w:r w:rsidR="00CA1EB0" w:rsidRPr="00241FAC">
        <w:rPr>
          <w:rFonts w:ascii="Arial" w:hAnsi="Arial" w:cs="Arial"/>
          <w:color w:val="000000"/>
        </w:rPr>
        <w:t xml:space="preserve"> </w:t>
      </w:r>
      <w:r w:rsidR="00CB02BC" w:rsidRPr="00241FAC">
        <w:rPr>
          <w:rFonts w:ascii="Arial" w:hAnsi="Arial" w:cs="Arial"/>
          <w:color w:val="000000"/>
        </w:rPr>
        <w:t>p</w:t>
      </w:r>
      <w:r w:rsidR="00BE0084" w:rsidRPr="00241FAC">
        <w:rPr>
          <w:rStyle w:val="Textoennegrita"/>
          <w:rFonts w:ascii="Arial" w:hAnsi="Arial" w:cs="Arial"/>
          <w:b w:val="0"/>
          <w:color w:val="000000"/>
        </w:rPr>
        <w:t xml:space="preserve">rueba de la capacidad financiera con base en </w:t>
      </w:r>
      <w:r w:rsidR="00BE0084" w:rsidRPr="00241FAC">
        <w:rPr>
          <w:rStyle w:val="Textoennegrita"/>
          <w:rFonts w:ascii="Arial" w:hAnsi="Arial" w:cs="Arial"/>
          <w:b w:val="0"/>
          <w:color w:val="000000"/>
        </w:rPr>
        <w:lastRenderedPageBreak/>
        <w:t>el Registro Único de Proponentes</w:t>
      </w:r>
      <w:r w:rsidR="00DB2C9A" w:rsidRPr="00241FAC">
        <w:rPr>
          <w:rStyle w:val="Textoennegrita"/>
          <w:rFonts w:ascii="Arial" w:hAnsi="Arial" w:cs="Arial"/>
          <w:color w:val="000000"/>
        </w:rPr>
        <w:t>;</w:t>
      </w:r>
      <w:r w:rsidR="00BE0084" w:rsidRPr="00241FAC">
        <w:rPr>
          <w:rStyle w:val="Textoennegrita"/>
          <w:rFonts w:ascii="Arial" w:hAnsi="Arial" w:cs="Arial"/>
          <w:color w:val="000000"/>
        </w:rPr>
        <w:t xml:space="preserve"> </w:t>
      </w:r>
      <w:r w:rsidR="00DB2C9A" w:rsidRPr="00241FAC">
        <w:rPr>
          <w:rStyle w:val="Textoennegrita"/>
          <w:rFonts w:ascii="Arial" w:hAnsi="Arial" w:cs="Arial"/>
          <w:color w:val="000000"/>
        </w:rPr>
        <w:t xml:space="preserve">6) </w:t>
      </w:r>
      <w:r w:rsidR="005C2766" w:rsidRPr="00241FAC">
        <w:rPr>
          <w:rStyle w:val="Textoennegrita"/>
          <w:rFonts w:ascii="Arial" w:hAnsi="Arial" w:cs="Arial"/>
          <w:color w:val="000000"/>
        </w:rPr>
        <w:t>c</w:t>
      </w:r>
      <w:r w:rsidR="005C2766" w:rsidRPr="00241FAC">
        <w:rPr>
          <w:rFonts w:ascii="Arial" w:hAnsi="Arial" w:cs="Arial"/>
        </w:rPr>
        <w:t xml:space="preserve">onciliación entre la información contable y fiscal; </w:t>
      </w:r>
      <w:r w:rsidR="005C2766" w:rsidRPr="00241FAC">
        <w:rPr>
          <w:rFonts w:ascii="Arial" w:hAnsi="Arial" w:cs="Arial"/>
          <w:b/>
        </w:rPr>
        <w:t>7</w:t>
      </w:r>
      <w:r w:rsidR="00AF7F51" w:rsidRPr="00241FAC">
        <w:rPr>
          <w:rFonts w:ascii="Arial" w:hAnsi="Arial" w:cs="Arial"/>
          <w:b/>
        </w:rPr>
        <w:t>)</w:t>
      </w:r>
      <w:r w:rsidR="00AF7F51" w:rsidRPr="00241FAC">
        <w:rPr>
          <w:rFonts w:ascii="Arial" w:hAnsi="Arial" w:cs="Arial"/>
        </w:rPr>
        <w:t xml:space="preserve"> </w:t>
      </w:r>
      <w:r w:rsidR="00E8149C" w:rsidRPr="00241FAC">
        <w:rPr>
          <w:rFonts w:ascii="Arial" w:hAnsi="Arial" w:cs="Arial"/>
        </w:rPr>
        <w:t xml:space="preserve">el </w:t>
      </w:r>
      <w:r w:rsidRPr="00241FAC">
        <w:rPr>
          <w:rFonts w:ascii="Arial" w:hAnsi="Arial" w:cs="Arial"/>
        </w:rPr>
        <w:t>caso concreto</w:t>
      </w:r>
      <w:r w:rsidR="00F810DD" w:rsidRPr="00241FAC">
        <w:rPr>
          <w:rFonts w:ascii="Arial" w:hAnsi="Arial" w:cs="Arial"/>
        </w:rPr>
        <w:t xml:space="preserve"> y </w:t>
      </w:r>
      <w:r w:rsidR="005C2766" w:rsidRPr="00241FAC">
        <w:rPr>
          <w:rFonts w:ascii="Arial" w:hAnsi="Arial" w:cs="Arial"/>
          <w:b/>
        </w:rPr>
        <w:t>8</w:t>
      </w:r>
      <w:r w:rsidR="00FA2EC7" w:rsidRPr="00241FAC">
        <w:rPr>
          <w:rFonts w:ascii="Arial" w:hAnsi="Arial" w:cs="Arial"/>
          <w:b/>
        </w:rPr>
        <w:t>)</w:t>
      </w:r>
      <w:r w:rsidR="00A10418" w:rsidRPr="00241FAC">
        <w:rPr>
          <w:rFonts w:ascii="Arial" w:hAnsi="Arial" w:cs="Arial"/>
        </w:rPr>
        <w:t xml:space="preserve"> </w:t>
      </w:r>
      <w:r w:rsidR="00F810DD" w:rsidRPr="00241FAC">
        <w:rPr>
          <w:rFonts w:ascii="Arial" w:hAnsi="Arial" w:cs="Arial"/>
        </w:rPr>
        <w:t>costas</w:t>
      </w:r>
      <w:r w:rsidRPr="00241FAC">
        <w:rPr>
          <w:rFonts w:ascii="Arial" w:hAnsi="Arial" w:cs="Arial"/>
        </w:rPr>
        <w:t>.</w:t>
      </w:r>
    </w:p>
    <w:p w:rsidR="00C874B4" w:rsidRPr="00241FAC" w:rsidRDefault="00C874B4" w:rsidP="00050CA0">
      <w:pPr>
        <w:pStyle w:val="NormalWeb"/>
        <w:spacing w:before="0" w:beforeAutospacing="0" w:after="0" w:afterAutospacing="0"/>
        <w:rPr>
          <w:rFonts w:cs="Arial"/>
        </w:rPr>
      </w:pPr>
    </w:p>
    <w:p w:rsidR="00117C54" w:rsidRPr="00241FAC" w:rsidRDefault="00CD461C" w:rsidP="00CD461C">
      <w:pPr>
        <w:rPr>
          <w:rFonts w:cs="Arial"/>
          <w:b/>
          <w:lang w:val="es-CO"/>
        </w:rPr>
      </w:pPr>
      <w:r w:rsidRPr="00241FAC">
        <w:rPr>
          <w:rFonts w:cs="Arial"/>
          <w:b/>
          <w:lang w:val="es-CO"/>
        </w:rPr>
        <w:t>1-</w:t>
      </w:r>
      <w:r w:rsidRPr="00241FAC">
        <w:rPr>
          <w:rFonts w:cs="Arial"/>
          <w:b/>
          <w:lang w:val="es-CO"/>
        </w:rPr>
        <w:tab/>
      </w:r>
      <w:r w:rsidR="00C874B4" w:rsidRPr="00241FAC">
        <w:rPr>
          <w:rFonts w:cs="Arial"/>
          <w:b/>
          <w:lang w:val="es-CO"/>
        </w:rPr>
        <w:t>Competencia del Consejo de Estado</w:t>
      </w:r>
      <w:r w:rsidR="00117C54" w:rsidRPr="00241FAC">
        <w:rPr>
          <w:rFonts w:cs="Arial"/>
          <w:b/>
          <w:lang w:val="es-CO"/>
        </w:rPr>
        <w:t>.</w:t>
      </w:r>
    </w:p>
    <w:p w:rsidR="00205871" w:rsidRPr="00241FAC" w:rsidRDefault="00205871" w:rsidP="00117C54">
      <w:pPr>
        <w:rPr>
          <w:rFonts w:cs="Arial"/>
          <w:b/>
          <w:lang w:val="es-CO"/>
        </w:rPr>
      </w:pPr>
    </w:p>
    <w:p w:rsidR="00205871" w:rsidRPr="00241FAC" w:rsidRDefault="00205871" w:rsidP="00205871">
      <w:pPr>
        <w:pStyle w:val="Prrafodelista"/>
        <w:numPr>
          <w:ilvl w:val="1"/>
          <w:numId w:val="17"/>
        </w:numPr>
        <w:ind w:left="0" w:firstLine="0"/>
        <w:rPr>
          <w:rFonts w:cs="Arial"/>
          <w:b/>
          <w:lang w:val="es-CO"/>
        </w:rPr>
      </w:pPr>
      <w:r w:rsidRPr="00241FAC">
        <w:rPr>
          <w:rFonts w:cs="Arial"/>
          <w:b/>
          <w:lang w:val="es-CO"/>
        </w:rPr>
        <w:t>Jurisdicción Competente</w:t>
      </w:r>
    </w:p>
    <w:p w:rsidR="00205871" w:rsidRPr="00241FAC" w:rsidRDefault="00205871" w:rsidP="00205871">
      <w:pPr>
        <w:pStyle w:val="Textoindependiente"/>
        <w:autoSpaceDE/>
        <w:adjustRightInd/>
        <w:rPr>
          <w:rFonts w:cs="Arial"/>
          <w:szCs w:val="24"/>
          <w:lang w:val="es-CO"/>
        </w:rPr>
      </w:pPr>
    </w:p>
    <w:p w:rsidR="00E27368" w:rsidRPr="00241FAC" w:rsidRDefault="00205871" w:rsidP="00E27368">
      <w:pPr>
        <w:pStyle w:val="Textoindependiente"/>
        <w:autoSpaceDE/>
        <w:adjustRightInd/>
        <w:rPr>
          <w:rFonts w:cs="Arial"/>
          <w:szCs w:val="24"/>
        </w:rPr>
      </w:pPr>
      <w:r w:rsidRPr="00241FAC">
        <w:rPr>
          <w:rFonts w:cs="Arial"/>
          <w:szCs w:val="24"/>
          <w:lang w:val="es-CO"/>
        </w:rPr>
        <w:t xml:space="preserve">El </w:t>
      </w:r>
      <w:r w:rsidRPr="00241FAC">
        <w:rPr>
          <w:rFonts w:cs="Arial"/>
          <w:szCs w:val="24"/>
          <w:lang w:val="es-ES"/>
        </w:rPr>
        <w:t>artículo 82 del Código Contencioso Administrativo, modificado por el artículo 30 de la Ley 446 de 1998, vigente para la época en que se presentó la demanda, le asignó a l</w:t>
      </w:r>
      <w:r w:rsidRPr="00241FAC">
        <w:rPr>
          <w:rFonts w:cs="Arial"/>
          <w:color w:val="000000"/>
          <w:szCs w:val="24"/>
        </w:rPr>
        <w:t xml:space="preserve">a Jurisdicción de lo Contencioso Administrativo el objeto de </w:t>
      </w:r>
      <w:r w:rsidRPr="00241FAC">
        <w:rPr>
          <w:rFonts w:cs="Arial"/>
          <w:i/>
          <w:iCs/>
          <w:szCs w:val="24"/>
        </w:rPr>
        <w:t>“juzgar las controversias y litigios originados en la actividad de las entidades públicas”</w:t>
      </w:r>
      <w:r w:rsidRPr="00241FAC">
        <w:rPr>
          <w:rStyle w:val="Refdenotaalpie"/>
          <w:rFonts w:cs="Arial"/>
          <w:i/>
          <w:iCs/>
          <w:szCs w:val="24"/>
        </w:rPr>
        <w:footnoteReference w:id="3"/>
      </w:r>
      <w:r w:rsidRPr="00241FAC">
        <w:rPr>
          <w:rFonts w:cs="Arial"/>
          <w:i/>
          <w:iCs/>
          <w:szCs w:val="24"/>
        </w:rPr>
        <w:t xml:space="preserve"> </w:t>
      </w:r>
      <w:r w:rsidRPr="00241FAC">
        <w:rPr>
          <w:rFonts w:cs="Arial"/>
          <w:iCs/>
          <w:szCs w:val="24"/>
        </w:rPr>
        <w:t>por lo cual esta Jurisdicción Especializada resulta competente para conocer de la presente controversia teniendo en cuenta que los actos acusados provienen del</w:t>
      </w:r>
      <w:r w:rsidRPr="00241FAC">
        <w:rPr>
          <w:rFonts w:cs="Arial"/>
          <w:color w:val="000000"/>
          <w:szCs w:val="24"/>
        </w:rPr>
        <w:t xml:space="preserve"> </w:t>
      </w:r>
      <w:r w:rsidR="00D404CD" w:rsidRPr="00241FAC">
        <w:rPr>
          <w:rFonts w:cs="Arial"/>
          <w:color w:val="000000"/>
          <w:szCs w:val="24"/>
        </w:rPr>
        <w:t>Municipio de Purificación</w:t>
      </w:r>
      <w:r w:rsidRPr="00241FAC">
        <w:rPr>
          <w:rFonts w:cs="Arial"/>
          <w:szCs w:val="24"/>
        </w:rPr>
        <w:t xml:space="preserve"> –</w:t>
      </w:r>
      <w:r w:rsidR="00182E44" w:rsidRPr="00241FAC">
        <w:rPr>
          <w:rFonts w:cs="Arial"/>
          <w:szCs w:val="24"/>
        </w:rPr>
        <w:t>e</w:t>
      </w:r>
      <w:r w:rsidR="00814E8B" w:rsidRPr="00241FAC">
        <w:rPr>
          <w:rFonts w:cs="Arial"/>
          <w:szCs w:val="24"/>
        </w:rPr>
        <w:t xml:space="preserve">ntidad territorial del orden municipal </w:t>
      </w:r>
      <w:r w:rsidR="00182E44" w:rsidRPr="00241FAC">
        <w:rPr>
          <w:rFonts w:cs="Arial"/>
          <w:szCs w:val="24"/>
        </w:rPr>
        <w:t xml:space="preserve">- </w:t>
      </w:r>
      <w:r w:rsidRPr="00241FAC">
        <w:rPr>
          <w:rFonts w:cs="Arial"/>
          <w:szCs w:val="24"/>
        </w:rPr>
        <w:t xml:space="preserve">medida en la cual </w:t>
      </w:r>
      <w:r w:rsidRPr="00241FAC">
        <w:rPr>
          <w:rFonts w:cs="Arial"/>
          <w:szCs w:val="24"/>
          <w:lang w:val="es-MX"/>
        </w:rPr>
        <w:t xml:space="preserve">tiene el carácter de </w:t>
      </w:r>
      <w:r w:rsidRPr="00241FAC">
        <w:rPr>
          <w:rFonts w:cs="Arial"/>
          <w:szCs w:val="24"/>
        </w:rPr>
        <w:t>entidad estatal, según lo dispuesto por el artículo 2º de la Ley 80 de 1993</w:t>
      </w:r>
      <w:r w:rsidRPr="00241FAC">
        <w:rPr>
          <w:rStyle w:val="Refdenotaalpie"/>
          <w:rFonts w:cs="Arial"/>
          <w:i/>
          <w:iCs/>
          <w:szCs w:val="24"/>
        </w:rPr>
        <w:footnoteReference w:id="4"/>
      </w:r>
      <w:r w:rsidRPr="00241FAC">
        <w:rPr>
          <w:rFonts w:cs="Arial"/>
          <w:szCs w:val="24"/>
        </w:rPr>
        <w:t xml:space="preserve">, amén de que </w:t>
      </w:r>
      <w:r w:rsidR="00D955D9" w:rsidRPr="00241FAC">
        <w:rPr>
          <w:rFonts w:cs="Arial"/>
          <w:szCs w:val="24"/>
        </w:rPr>
        <w:t xml:space="preserve">la controversia se planteó en la adjudicación de un contrato de obra, </w:t>
      </w:r>
      <w:r w:rsidR="00E27368" w:rsidRPr="00241FAC">
        <w:rPr>
          <w:rFonts w:cs="Arial"/>
          <w:szCs w:val="24"/>
        </w:rPr>
        <w:t>consagrado como uno de los tipos de contratación estatal respecto de cuya regulación se ocupa el artículo 32 de la Ley 80 de 1993</w:t>
      </w:r>
      <w:r w:rsidR="00E27368" w:rsidRPr="00241FAC">
        <w:rPr>
          <w:rStyle w:val="Refdenotaalpie"/>
          <w:rFonts w:cs="Arial"/>
          <w:szCs w:val="24"/>
        </w:rPr>
        <w:footnoteReference w:id="5"/>
      </w:r>
      <w:r w:rsidR="00E27368" w:rsidRPr="00241FAC">
        <w:rPr>
          <w:rFonts w:cs="Arial"/>
          <w:szCs w:val="24"/>
        </w:rPr>
        <w:t>.</w:t>
      </w:r>
    </w:p>
    <w:p w:rsidR="00205871" w:rsidRPr="00241FAC" w:rsidRDefault="00205871" w:rsidP="00205871">
      <w:pPr>
        <w:pStyle w:val="Textoindependiente"/>
        <w:autoSpaceDE/>
        <w:adjustRightInd/>
        <w:rPr>
          <w:rFonts w:cs="Arial"/>
          <w:color w:val="FF0000"/>
          <w:szCs w:val="24"/>
        </w:rPr>
      </w:pPr>
    </w:p>
    <w:p w:rsidR="00E27368" w:rsidRPr="00241FAC" w:rsidRDefault="00E27368" w:rsidP="00E27368">
      <w:pPr>
        <w:pStyle w:val="Textoindependiente"/>
        <w:autoSpaceDE/>
        <w:adjustRightInd/>
        <w:rPr>
          <w:rFonts w:cs="Arial"/>
          <w:szCs w:val="24"/>
        </w:rPr>
      </w:pPr>
      <w:r w:rsidRPr="00241FAC">
        <w:rPr>
          <w:rFonts w:cs="Arial"/>
          <w:szCs w:val="24"/>
        </w:rPr>
        <w:t>Se agrega aquí que aquellos actos administrativos producidos con ocasión de la actividad contractual con anterioridad a la celebración del contrato, en la etapa de formación de la relación contractual, conocidos como actos previos, constituyen verdaderos actos administrativos pasibles de las acciones previstas en el artículo 87 del Código Contencioso Administrativo, en la forma y oportunidad que allí se contempla</w:t>
      </w:r>
      <w:r w:rsidRPr="00241FAC">
        <w:rPr>
          <w:rStyle w:val="Refdenotaalpie"/>
          <w:rFonts w:cs="Arial"/>
          <w:szCs w:val="24"/>
        </w:rPr>
        <w:footnoteReference w:id="6"/>
      </w:r>
      <w:r w:rsidRPr="00241FAC">
        <w:rPr>
          <w:rFonts w:cs="Arial"/>
          <w:szCs w:val="24"/>
        </w:rPr>
        <w:t xml:space="preserve"> y además la Jurisdicción de lo Contencioso Administrativo es la llamada a dirimir las controversias que se originan en la actividad contractual de las entidades estatales, de acuerdo con los dictados del  artículo 75 de la Ley 80 de 1993</w:t>
      </w:r>
      <w:r w:rsidRPr="00241FAC">
        <w:rPr>
          <w:rStyle w:val="Refdenotaalpie"/>
          <w:rFonts w:cs="Arial"/>
          <w:szCs w:val="24"/>
        </w:rPr>
        <w:footnoteReference w:id="7"/>
      </w:r>
      <w:r w:rsidRPr="00241FAC">
        <w:rPr>
          <w:rFonts w:cs="Arial"/>
          <w:szCs w:val="24"/>
        </w:rPr>
        <w:t>.</w:t>
      </w:r>
    </w:p>
    <w:p w:rsidR="00205871" w:rsidRPr="00241FAC" w:rsidRDefault="00205871" w:rsidP="00205871">
      <w:pPr>
        <w:rPr>
          <w:rFonts w:cs="Arial"/>
        </w:rPr>
      </w:pPr>
    </w:p>
    <w:p w:rsidR="00C874B4" w:rsidRPr="00241FAC" w:rsidRDefault="00C874B4" w:rsidP="00C874B4">
      <w:pPr>
        <w:pStyle w:val="Prrafodelista"/>
        <w:numPr>
          <w:ilvl w:val="1"/>
          <w:numId w:val="17"/>
        </w:numPr>
        <w:ind w:left="-142" w:firstLine="142"/>
        <w:rPr>
          <w:rFonts w:cs="Arial"/>
          <w:b/>
          <w:color w:val="000000"/>
        </w:rPr>
      </w:pPr>
      <w:r w:rsidRPr="00241FAC">
        <w:rPr>
          <w:rFonts w:cs="Arial"/>
          <w:b/>
          <w:color w:val="000000"/>
        </w:rPr>
        <w:t>Cuantía</w:t>
      </w:r>
    </w:p>
    <w:p w:rsidR="00C874B4" w:rsidRPr="00241FAC" w:rsidRDefault="00C874B4" w:rsidP="00205871">
      <w:pPr>
        <w:rPr>
          <w:rFonts w:cs="Arial"/>
          <w:color w:val="000000"/>
        </w:rPr>
      </w:pPr>
    </w:p>
    <w:p w:rsidR="00205871" w:rsidRPr="00241FAC" w:rsidRDefault="00C874B4" w:rsidP="00205871">
      <w:pPr>
        <w:rPr>
          <w:rFonts w:cs="Arial"/>
        </w:rPr>
      </w:pPr>
      <w:r w:rsidRPr="00241FAC">
        <w:rPr>
          <w:rFonts w:cs="Arial"/>
          <w:color w:val="000000"/>
        </w:rPr>
        <w:t>P</w:t>
      </w:r>
      <w:r w:rsidR="00205871" w:rsidRPr="00241FAC">
        <w:rPr>
          <w:rFonts w:cs="Arial"/>
        </w:rPr>
        <w:t>recisa la Sala que le asiste competencia para conocer del presente proceso en segunda instancia, toda vez que la pretensión por perjuicios e indemnizaciones se estimó en la suma de $</w:t>
      </w:r>
      <w:r w:rsidR="00E123F0" w:rsidRPr="00241FAC">
        <w:rPr>
          <w:rFonts w:cs="Arial"/>
        </w:rPr>
        <w:t>143</w:t>
      </w:r>
      <w:r w:rsidR="00205871" w:rsidRPr="00241FAC">
        <w:rPr>
          <w:rFonts w:cs="Arial"/>
        </w:rPr>
        <w:t>’</w:t>
      </w:r>
      <w:r w:rsidR="00E123F0" w:rsidRPr="00241FAC">
        <w:rPr>
          <w:rFonts w:cs="Arial"/>
        </w:rPr>
        <w:t>880.255</w:t>
      </w:r>
      <w:r w:rsidR="00205871" w:rsidRPr="00241FAC">
        <w:rPr>
          <w:rFonts w:cs="Arial"/>
        </w:rPr>
        <w:t xml:space="preserve">, valor que resulta superior </w:t>
      </w:r>
      <w:r w:rsidR="00FB0549" w:rsidRPr="00241FAC">
        <w:rPr>
          <w:rFonts w:cs="Arial"/>
        </w:rPr>
        <w:t>a la suma equivalente a 500 S.M.L.M.V. ($130’050.000)</w:t>
      </w:r>
      <w:r w:rsidR="00FB0549" w:rsidRPr="00241FAC">
        <w:rPr>
          <w:rStyle w:val="Refdenotaalpie"/>
          <w:rFonts w:cs="Arial"/>
        </w:rPr>
        <w:footnoteReference w:id="8"/>
      </w:r>
      <w:r w:rsidR="00FB0549" w:rsidRPr="00241FAC">
        <w:rPr>
          <w:rFonts w:cs="Arial"/>
        </w:rPr>
        <w:t>, exigida en la Ley 954 promulgada el 28 de abril de 2005, para que un proceso contractual tuviera vocación de doble instancia</w:t>
      </w:r>
      <w:r w:rsidR="00B705A4" w:rsidRPr="00241FAC">
        <w:rPr>
          <w:rFonts w:cs="Arial"/>
        </w:rPr>
        <w:t>.</w:t>
      </w:r>
    </w:p>
    <w:p w:rsidR="00205871" w:rsidRPr="00241FAC" w:rsidRDefault="00205871" w:rsidP="00205871">
      <w:pPr>
        <w:ind w:left="567" w:firstLine="708"/>
        <w:rPr>
          <w:rFonts w:cs="Arial"/>
          <w:i/>
          <w:iCs/>
          <w:lang w:val="es-ES_tradnl"/>
        </w:rPr>
      </w:pPr>
    </w:p>
    <w:p w:rsidR="00205871" w:rsidRPr="00241FAC" w:rsidRDefault="00205871" w:rsidP="00205871">
      <w:pPr>
        <w:pStyle w:val="Prrafodelista"/>
        <w:numPr>
          <w:ilvl w:val="0"/>
          <w:numId w:val="17"/>
        </w:numPr>
        <w:spacing w:line="240" w:lineRule="auto"/>
        <w:ind w:left="0" w:firstLine="0"/>
        <w:rPr>
          <w:rFonts w:cs="Arial"/>
          <w:b/>
        </w:rPr>
      </w:pPr>
      <w:r w:rsidRPr="00241FAC">
        <w:rPr>
          <w:rFonts w:cs="Arial"/>
          <w:b/>
        </w:rPr>
        <w:t xml:space="preserve"> </w:t>
      </w:r>
      <w:r w:rsidR="006821A8" w:rsidRPr="00241FAC">
        <w:rPr>
          <w:rFonts w:cs="Arial"/>
          <w:b/>
        </w:rPr>
        <w:t>C</w:t>
      </w:r>
      <w:r w:rsidRPr="00241FAC">
        <w:rPr>
          <w:rFonts w:cs="Arial"/>
          <w:b/>
        </w:rPr>
        <w:t>aducidad de la acción contractual respecto del acto administrativo de adjudicación del contrato estatal.</w:t>
      </w:r>
    </w:p>
    <w:p w:rsidR="00205871" w:rsidRPr="00241FAC" w:rsidRDefault="00205871" w:rsidP="00205871">
      <w:pPr>
        <w:rPr>
          <w:rFonts w:cs="Arial"/>
          <w:b/>
        </w:rPr>
      </w:pPr>
    </w:p>
    <w:p w:rsidR="00205871" w:rsidRPr="00241FAC" w:rsidRDefault="00205871" w:rsidP="00205871">
      <w:pPr>
        <w:rPr>
          <w:rFonts w:cs="Arial"/>
          <w:b/>
        </w:rPr>
      </w:pPr>
      <w:r w:rsidRPr="00241FAC">
        <w:rPr>
          <w:rFonts w:cs="Arial"/>
          <w:b/>
        </w:rPr>
        <w:t>2.1. Antecedentes</w:t>
      </w:r>
    </w:p>
    <w:p w:rsidR="00BC0EC4" w:rsidRPr="00241FAC" w:rsidRDefault="00BC0EC4" w:rsidP="00205871">
      <w:pPr>
        <w:rPr>
          <w:rFonts w:cs="Arial"/>
        </w:rPr>
      </w:pPr>
    </w:p>
    <w:p w:rsidR="00BC0EC4" w:rsidRPr="00241FAC" w:rsidRDefault="00BC0EC4" w:rsidP="00BC0EC4">
      <w:pPr>
        <w:rPr>
          <w:rFonts w:cs="Arial"/>
        </w:rPr>
      </w:pPr>
      <w:r w:rsidRPr="00241FAC">
        <w:rPr>
          <w:rFonts w:cs="Arial"/>
        </w:rPr>
        <w:t>El artículo 87 del Código Contencioso Administrativo, modificado por el artículo 32 de la Ley 446 de 1998, vigente para las acciones impetradas a partir del 8 de julio</w:t>
      </w:r>
      <w:r w:rsidR="0059763E">
        <w:rPr>
          <w:rFonts w:cs="Arial"/>
        </w:rPr>
        <w:t xml:space="preserve"> </w:t>
      </w:r>
      <w:r w:rsidRPr="00241FAC">
        <w:rPr>
          <w:rFonts w:cs="Arial"/>
        </w:rPr>
        <w:lastRenderedPageBreak/>
        <w:t>de 1998</w:t>
      </w:r>
      <w:r w:rsidRPr="00241FAC">
        <w:rPr>
          <w:rStyle w:val="Refdenotaalpie"/>
          <w:rFonts w:cs="Arial"/>
        </w:rPr>
        <w:footnoteReference w:id="9"/>
      </w:r>
      <w:r w:rsidRPr="00241FAC">
        <w:rPr>
          <w:rFonts w:cs="Arial"/>
        </w:rPr>
        <w:t xml:space="preserve"> y hasta el 2 de julio de 2011</w:t>
      </w:r>
      <w:r w:rsidRPr="00241FAC">
        <w:rPr>
          <w:rStyle w:val="Refdenotaalpie"/>
          <w:rFonts w:cs="Arial"/>
        </w:rPr>
        <w:footnoteReference w:id="10"/>
      </w:r>
      <w:r w:rsidRPr="00241FAC">
        <w:rPr>
          <w:rFonts w:cs="Arial"/>
        </w:rPr>
        <w:t xml:space="preserve">, introdujo una modificación acerca de la procedencia y oportunidad para el ejercicio </w:t>
      </w:r>
      <w:r w:rsidR="006863DF" w:rsidRPr="00241FAC">
        <w:rPr>
          <w:rFonts w:cs="Arial"/>
        </w:rPr>
        <w:t>de acciones judiciales contra los actos</w:t>
      </w:r>
      <w:r w:rsidRPr="00241FAC">
        <w:rPr>
          <w:rFonts w:cs="Arial"/>
        </w:rPr>
        <w:t xml:space="preserve"> proferidos con anterioridad a la celebración del contrato estatal, así: </w:t>
      </w:r>
    </w:p>
    <w:p w:rsidR="00BC0EC4" w:rsidRPr="00241FAC" w:rsidRDefault="00BC0EC4" w:rsidP="00BC0EC4">
      <w:pPr>
        <w:rPr>
          <w:rFonts w:cs="Arial"/>
        </w:rPr>
      </w:pPr>
    </w:p>
    <w:p w:rsidR="00BC0EC4" w:rsidRPr="00241FAC" w:rsidRDefault="00BC0EC4" w:rsidP="00BC0EC4">
      <w:pPr>
        <w:spacing w:line="240" w:lineRule="auto"/>
        <w:ind w:left="851" w:right="902"/>
        <w:rPr>
          <w:rFonts w:cs="Arial"/>
          <w:color w:val="000000"/>
        </w:rPr>
      </w:pPr>
      <w:r w:rsidRPr="00241FAC">
        <w:rPr>
          <w:rFonts w:cs="Arial"/>
          <w:b/>
          <w:bCs/>
          <w:i/>
          <w:iCs/>
          <w:color w:val="000000"/>
        </w:rPr>
        <w:t>"Artículo 87. (Modificado por el artículo 32 de la Ley 446 de 1998)</w:t>
      </w:r>
      <w:r w:rsidRPr="00241FAC">
        <w:rPr>
          <w:rFonts w:cs="Arial"/>
          <w:i/>
          <w:iCs/>
          <w:color w:val="000000"/>
        </w:rPr>
        <w:t> De las controversias contractuales. Cualquiera de las partes de un contrato estatal podrá pedir que se declare su existencia o su nulidad y que se hagan las declaraciones, condenas o restituciones consecuenciales, que se ordene su revisión, que se declare su incumplimiento y que se condene al responsable a indemnizar los perjuicios y que se hagan otras declaraciones y condenas.</w:t>
      </w:r>
    </w:p>
    <w:p w:rsidR="00BC0EC4" w:rsidRPr="00241FAC" w:rsidRDefault="00BC0EC4" w:rsidP="00BC0EC4">
      <w:pPr>
        <w:spacing w:line="240" w:lineRule="auto"/>
        <w:ind w:left="561" w:right="902"/>
        <w:rPr>
          <w:rFonts w:cs="Arial"/>
          <w:color w:val="000000"/>
        </w:rPr>
      </w:pPr>
      <w:r w:rsidRPr="00241FAC">
        <w:rPr>
          <w:rFonts w:cs="Arial"/>
          <w:color w:val="000000"/>
        </w:rPr>
        <w:t> </w:t>
      </w:r>
    </w:p>
    <w:p w:rsidR="00BC0EC4" w:rsidRPr="00241FAC" w:rsidRDefault="00BC0EC4" w:rsidP="00BC0EC4">
      <w:pPr>
        <w:spacing w:line="240" w:lineRule="auto"/>
        <w:ind w:left="851" w:right="902"/>
        <w:rPr>
          <w:rFonts w:cs="Arial"/>
          <w:iCs/>
          <w:color w:val="000000"/>
        </w:rPr>
      </w:pPr>
      <w:r w:rsidRPr="00241FAC">
        <w:rPr>
          <w:rFonts w:cs="Arial"/>
          <w:i/>
          <w:iCs/>
          <w:color w:val="000000"/>
        </w:rPr>
        <w:t xml:space="preserve">Los actos proferidos antes de la celebración del contrato, con ocasión de la actividad contractual, </w:t>
      </w:r>
      <w:r w:rsidRPr="00241FAC">
        <w:rPr>
          <w:rFonts w:cs="Arial"/>
          <w:i/>
          <w:iCs/>
          <w:color w:val="000000"/>
          <w:u w:val="single"/>
        </w:rPr>
        <w:t>serán demandables mediante las acciones de nulidad y de nulidad y restablecimiento del derecho, según el caso, dentro de los treinta (30) días siguientes a su comunicación, notificación o publicación.</w:t>
      </w:r>
      <w:r w:rsidRPr="00241FAC">
        <w:rPr>
          <w:rFonts w:cs="Arial"/>
          <w:i/>
          <w:iCs/>
          <w:color w:val="000000"/>
        </w:rPr>
        <w:t xml:space="preserve"> La interposición de estas acciones no interrumpirá el proceso licitatorio, ni la celebración y ejecución del contrato. </w:t>
      </w:r>
      <w:r w:rsidRPr="00241FAC">
        <w:rPr>
          <w:rFonts w:cs="Arial"/>
          <w:i/>
          <w:iCs/>
          <w:color w:val="000000"/>
          <w:u w:val="single"/>
        </w:rPr>
        <w:t>Una vez celebrado éste, la ilegalidad de los actos previos solamente podrá invocarse como fundamento de nulidad absoluta del contrato</w:t>
      </w:r>
      <w:r w:rsidRPr="00241FAC">
        <w:rPr>
          <w:rFonts w:cs="Arial"/>
          <w:i/>
          <w:iCs/>
          <w:color w:val="000000"/>
        </w:rPr>
        <w:t xml:space="preserve">.” </w:t>
      </w:r>
      <w:r w:rsidRPr="00241FAC">
        <w:rPr>
          <w:rFonts w:cs="Arial"/>
          <w:iCs/>
          <w:color w:val="000000"/>
        </w:rPr>
        <w:t>(La subraya no es del texto).</w:t>
      </w:r>
    </w:p>
    <w:p w:rsidR="00BC0EC4" w:rsidRPr="00241FAC" w:rsidRDefault="00BC0EC4" w:rsidP="00BC0EC4">
      <w:pPr>
        <w:spacing w:line="240" w:lineRule="auto"/>
        <w:ind w:left="562" w:right="902"/>
        <w:rPr>
          <w:rFonts w:cs="Arial"/>
          <w:color w:val="000000"/>
        </w:rPr>
      </w:pPr>
    </w:p>
    <w:p w:rsidR="00BC0EC4" w:rsidRPr="00241FAC" w:rsidRDefault="00BC0EC4" w:rsidP="00BC0EC4">
      <w:pPr>
        <w:spacing w:before="100" w:beforeAutospacing="1" w:after="100" w:afterAutospacing="1"/>
        <w:rPr>
          <w:rFonts w:cs="Arial"/>
          <w:color w:val="000000"/>
        </w:rPr>
      </w:pPr>
      <w:r w:rsidRPr="00241FAC">
        <w:rPr>
          <w:rFonts w:cs="Arial"/>
          <w:color w:val="000000"/>
        </w:rPr>
        <w:t xml:space="preserve">La Corte Constitucional, mediante sentencia C–1048 de 2001, declaró la </w:t>
      </w:r>
      <w:proofErr w:type="spellStart"/>
      <w:r w:rsidRPr="00241FAC">
        <w:rPr>
          <w:rFonts w:cs="Arial"/>
          <w:color w:val="000000"/>
        </w:rPr>
        <w:t>exequibilidad</w:t>
      </w:r>
      <w:proofErr w:type="spellEnd"/>
      <w:r w:rsidRPr="00241FAC">
        <w:rPr>
          <w:rFonts w:cs="Arial"/>
          <w:color w:val="000000"/>
        </w:rPr>
        <w:t xml:space="preserve"> de la disposición legal mencionada y observó acerca de la caducidad de las acciones procedentes contra el acto previo a la celebración del contrato estatal, lo siguiente: </w:t>
      </w:r>
    </w:p>
    <w:p w:rsidR="00BC0EC4" w:rsidRPr="00241FAC" w:rsidRDefault="00BC0EC4" w:rsidP="00BC0EC4">
      <w:pPr>
        <w:spacing w:before="100" w:beforeAutospacing="1" w:after="100" w:afterAutospacing="1" w:line="240" w:lineRule="auto"/>
        <w:ind w:left="851" w:right="902"/>
        <w:rPr>
          <w:rFonts w:cs="Arial"/>
          <w:i/>
          <w:color w:val="000000"/>
        </w:rPr>
      </w:pPr>
      <w:r w:rsidRPr="00241FAC">
        <w:rPr>
          <w:rFonts w:cs="Arial"/>
          <w:i/>
          <w:color w:val="000000"/>
        </w:rPr>
        <w:t xml:space="preserve">“La Corte estima que la norma ha sido objeto de dos interpretaciones diversas, pero que ninguna de ellas responde a la verdadera intención del legislador: según una la primera, la celebración del contrato extingue anticipadamente el término de caducidad y en consecuencia impide acudir posteriormente a las acciones de nulidad y de nulidad y restablecimiento del derecho para impugnar los actos previos, con lo cual quedan desprotegidos los intereses de terceros no contratantes, especialmente de quienes participaron en el proceso de licitación; según una segunda, tal celebración no extingue dicho plazo, pues la norma no lo dice expresamente, por lo cual, a pesar de haberse celebrado el contrato, sigue corriendo el término de caducidad; </w:t>
      </w:r>
      <w:r w:rsidRPr="00241FAC">
        <w:rPr>
          <w:rFonts w:cs="Arial"/>
          <w:i/>
          <w:color w:val="000000"/>
          <w:u w:val="single"/>
        </w:rPr>
        <w:t xml:space="preserve">a juicio de la Corte las anteriores interpretaciones no consultan la verdadera </w:t>
      </w:r>
      <w:r w:rsidRPr="00241FAC">
        <w:rPr>
          <w:rFonts w:cs="Arial"/>
          <w:i/>
          <w:color w:val="000000"/>
          <w:u w:val="single"/>
        </w:rPr>
        <w:lastRenderedPageBreak/>
        <w:t>intención del legislador, la cual puede extraerse de la lectura armónica de los incisos segundo y tercero de la disposición acusada</w:t>
      </w:r>
      <w:r w:rsidRPr="00241FAC">
        <w:rPr>
          <w:rFonts w:cs="Arial"/>
          <w:i/>
          <w:color w:val="000000"/>
        </w:rPr>
        <w:t>, interpretación armónica que la demanda, las intervenciones y la vista fiscal han omitido hacer  .</w:t>
      </w:r>
    </w:p>
    <w:p w:rsidR="00BC0EC4" w:rsidRPr="00241FAC" w:rsidRDefault="00BC0EC4" w:rsidP="00BC0EC4">
      <w:pPr>
        <w:spacing w:before="100" w:beforeAutospacing="1" w:after="100" w:afterAutospacing="1" w:line="240" w:lineRule="auto"/>
        <w:ind w:left="851" w:right="902"/>
        <w:rPr>
          <w:rFonts w:cs="Arial"/>
          <w:i/>
          <w:color w:val="000000"/>
          <w:u w:val="single"/>
        </w:rPr>
      </w:pPr>
      <w:r w:rsidRPr="00241FAC">
        <w:rPr>
          <w:rFonts w:cs="Arial"/>
          <w:i/>
          <w:color w:val="000000"/>
        </w:rPr>
        <w:t xml:space="preserve">En efecto, la segunda interpretación referida es contraria al tenor literal de la disposición, pues </w:t>
      </w:r>
      <w:r w:rsidRPr="00241FAC">
        <w:rPr>
          <w:rFonts w:cs="Arial"/>
          <w:i/>
          <w:color w:val="000000"/>
          <w:u w:val="single"/>
        </w:rPr>
        <w:t>es clara la intención legislativa de impedir la interposición de las acciones  no contractuales con posterioridad a la celebración del contrato. La expresión,</w:t>
      </w:r>
      <w:r w:rsidRPr="00241FAC">
        <w:rPr>
          <w:rFonts w:cs="Arial"/>
          <w:i/>
          <w:iCs/>
          <w:color w:val="000000"/>
          <w:u w:val="single"/>
        </w:rPr>
        <w:t>"(u)na vez celebrado éste, la ilegalidad de los actos previos solamente podrá invocarse como fundamento de la nulidad absoluta del contrato</w:t>
      </w:r>
      <w:r w:rsidRPr="00241FAC">
        <w:rPr>
          <w:rFonts w:cs="Arial"/>
          <w:i/>
          <w:color w:val="000000"/>
          <w:u w:val="single"/>
        </w:rPr>
        <w:t>", a juicio de la Corte es indicativa de la voluntad del legislador de fijar un límite a la separabilidad de los actos previos, definiendo que a partir de la firma del contrato tales actos se hacen inseparables del mismo.</w:t>
      </w:r>
    </w:p>
    <w:p w:rsidR="00BC0EC4" w:rsidRPr="00241FAC" w:rsidRDefault="00BC0EC4" w:rsidP="00BC0EC4">
      <w:pPr>
        <w:spacing w:before="100" w:beforeAutospacing="1" w:after="100" w:afterAutospacing="1" w:line="240" w:lineRule="auto"/>
        <w:ind w:left="851" w:right="902"/>
        <w:rPr>
          <w:rFonts w:cs="Arial"/>
          <w:i/>
          <w:color w:val="000000"/>
        </w:rPr>
      </w:pPr>
      <w:r w:rsidRPr="00241FAC">
        <w:rPr>
          <w:rFonts w:cs="Arial"/>
          <w:i/>
          <w:color w:val="000000"/>
        </w:rPr>
        <w:t xml:space="preserve">De su parte, la interpretación del demandante, si bien es acertada en cuanto reconoce que la suscripción del contrato extingue anticipadamente el término de caducidad (como consecuencia de la extinción de las acciones no contractuales), resulta equivocada en cuanto afirma que dicha extinción tiene el alcance de impedir la defensa judicial de los intereses de terceros participantes en la actividad precontractual. </w:t>
      </w:r>
      <w:r w:rsidRPr="00241FAC">
        <w:rPr>
          <w:rFonts w:cs="Arial"/>
          <w:i/>
          <w:color w:val="000000"/>
          <w:u w:val="single"/>
        </w:rPr>
        <w:t>La disposición no desprotege estos intereses, pues conforme ella misma lo señala en su tercer inciso, dichos terceros, por tener un interés directo, pueden pedir la nulidad absoluta del contrato con fundamento en la ilegalidad de los actos previos. No quedan por ende desamparados, pues esta acción satisface sus pretensiones, amén de que dicha nulidad absoluta, por las mismas razones, también puede ser invocada por el Ministerio Público, o aun ser declarada de oficio por el juez administrativo</w:t>
      </w:r>
      <w:r w:rsidRPr="00241FAC">
        <w:rPr>
          <w:rFonts w:cs="Arial"/>
          <w:i/>
          <w:color w:val="000000"/>
        </w:rPr>
        <w:t>.” (La subraya no es del texto)</w:t>
      </w:r>
    </w:p>
    <w:p w:rsidR="00BC0EC4" w:rsidRPr="00241FAC" w:rsidRDefault="00BC0EC4" w:rsidP="00BC0EC4">
      <w:pPr>
        <w:pStyle w:val="NormalWeb"/>
        <w:rPr>
          <w:rFonts w:cs="Arial"/>
          <w:color w:val="000000"/>
          <w:shd w:val="clear" w:color="auto" w:fill="FFFFFF"/>
        </w:rPr>
      </w:pPr>
      <w:r w:rsidRPr="00241FAC">
        <w:rPr>
          <w:rFonts w:cs="Arial"/>
        </w:rPr>
        <w:t xml:space="preserve">En el mismo sentido y con una precisión adicional acerca de la viabilidad de formular la demanda cuando la celebración del contrato ocurre con posterioridad al vencimiento del término de 30 días mencionado en la norma, observó el Consejo </w:t>
      </w:r>
      <w:r w:rsidRPr="00241FAC">
        <w:rPr>
          <w:rFonts w:cs="Arial"/>
          <w:color w:val="000000"/>
          <w:shd w:val="clear" w:color="auto" w:fill="FFFFFF"/>
        </w:rPr>
        <w:t>Estado en Sala de lo Contencioso Administrativo, Sección Tercera, según auto del 13 de diciembre de 2001, expediente 19.777, lo siguiente:</w:t>
      </w:r>
    </w:p>
    <w:p w:rsidR="00BC0EC4" w:rsidRPr="00241FAC" w:rsidRDefault="00BC0EC4" w:rsidP="00BC0EC4">
      <w:pPr>
        <w:spacing w:before="100" w:beforeAutospacing="1" w:after="100" w:afterAutospacing="1" w:line="240" w:lineRule="auto"/>
        <w:ind w:left="851" w:right="902"/>
        <w:rPr>
          <w:rFonts w:cs="Arial"/>
          <w:i/>
          <w:iCs/>
          <w:color w:val="000000"/>
          <w:shd w:val="clear" w:color="auto" w:fill="FFFFFF"/>
        </w:rPr>
      </w:pPr>
      <w:r w:rsidRPr="00241FAC">
        <w:rPr>
          <w:rFonts w:cs="Arial"/>
          <w:i/>
          <w:iCs/>
          <w:color w:val="000000"/>
          <w:shd w:val="clear" w:color="auto" w:fill="FFFFFF"/>
        </w:rPr>
        <w:t>“Dicho de otra manera, podrá pedirse o bien la nulidad del contrato por ilegalidad del acto de adjudicación o la nulidad del acto de adjudicación y como consecuencia la del contrato, sin que pueda en esta hipótesis hablarse de una acumulación indebida de pretensiones y en ambos casos la acción principal será la nulidad del contrato, o sea la de controversias contractuales prevista en el art. 87 citado.</w:t>
      </w:r>
    </w:p>
    <w:p w:rsidR="00BC0EC4" w:rsidRPr="00241FAC" w:rsidRDefault="00BC0EC4" w:rsidP="00BC0EC4">
      <w:pPr>
        <w:shd w:val="clear" w:color="auto" w:fill="FFFFFF"/>
        <w:spacing w:before="100" w:beforeAutospacing="1" w:after="100" w:afterAutospacing="1" w:line="240" w:lineRule="auto"/>
        <w:ind w:left="851" w:right="902"/>
        <w:rPr>
          <w:rFonts w:cs="Arial"/>
          <w:color w:val="000000"/>
        </w:rPr>
      </w:pPr>
      <w:r w:rsidRPr="00241FAC">
        <w:rPr>
          <w:rFonts w:cs="Arial"/>
          <w:i/>
          <w:iCs/>
          <w:color w:val="000000"/>
        </w:rPr>
        <w:t xml:space="preserve">(…) En este orden de ideas, si el contrato adjudicado se suscribe antes del vencimiento de los treinta días señalados para la caducidad de las acciones de nulidad y nulidad y restablecimiento del derecho de los actos previos, </w:t>
      </w:r>
      <w:r w:rsidRPr="00241FAC">
        <w:rPr>
          <w:rFonts w:cs="Arial"/>
          <w:i/>
          <w:iCs/>
          <w:color w:val="000000"/>
          <w:u w:val="single"/>
        </w:rPr>
        <w:t>o vencido este término</w:t>
      </w:r>
      <w:r w:rsidRPr="00241FAC">
        <w:rPr>
          <w:rFonts w:cs="Arial"/>
          <w:i/>
          <w:iCs/>
          <w:color w:val="000000"/>
        </w:rPr>
        <w:t xml:space="preserve">, quien esté legitimado para impugnarlos, sólo podrá hacerlo como fundamento de la nulidad del contrato, es decir, en ejercicio de la acción </w:t>
      </w:r>
      <w:r w:rsidRPr="00241FAC">
        <w:rPr>
          <w:rFonts w:cs="Arial"/>
          <w:i/>
          <w:iCs/>
          <w:color w:val="000000"/>
        </w:rPr>
        <w:lastRenderedPageBreak/>
        <w:t xml:space="preserve">contractual y dentro del término de caducidad de dos años previsto en el art. 136 del C.C.A. para las acciones contractuales. </w:t>
      </w:r>
      <w:r w:rsidRPr="00241FAC">
        <w:rPr>
          <w:rFonts w:cs="Arial"/>
          <w:i/>
          <w:iCs/>
          <w:color w:val="000000"/>
          <w:u w:val="single"/>
        </w:rPr>
        <w:t>Lo cual significa que esa disposición favorece también a aquel proponente o interesado en impugnar cualquiera de los actos previos a la celebración del contrato y que dejó vencer el término de los 30 días fijados por la ley, háyase celebrado o no el contrato. De persistir su interés en impugnarlos podrá hacerlo a través de la acción contractual, a condición de impugnar no sólo los actos sino necesariamente el contrato, que ya para ese momento debe haberse celebrado</w:t>
      </w:r>
      <w:r w:rsidRPr="00241FAC">
        <w:rPr>
          <w:rFonts w:cs="Arial"/>
          <w:i/>
          <w:iCs/>
          <w:color w:val="000000"/>
        </w:rPr>
        <w:t>."  </w:t>
      </w:r>
      <w:r w:rsidRPr="00241FAC">
        <w:rPr>
          <w:rFonts w:cs="Arial"/>
          <w:color w:val="000000"/>
        </w:rPr>
        <w:t>(Las subrayas no corresponden al texto).</w:t>
      </w:r>
    </w:p>
    <w:p w:rsidR="00BC0EC4" w:rsidRPr="00241FAC" w:rsidRDefault="00BC0EC4" w:rsidP="00BC0EC4">
      <w:pPr>
        <w:rPr>
          <w:rFonts w:cs="Arial"/>
        </w:rPr>
      </w:pPr>
      <w:r w:rsidRPr="00241FAC">
        <w:rPr>
          <w:rFonts w:cs="Arial"/>
        </w:rPr>
        <w:t xml:space="preserve">A partir de la jurisprudencia reseñada se desarrolló una línea acerca de las acciones </w:t>
      </w:r>
      <w:r w:rsidR="00502C21" w:rsidRPr="00241FAC">
        <w:rPr>
          <w:rFonts w:cs="Arial"/>
        </w:rPr>
        <w:t xml:space="preserve">procedentes </w:t>
      </w:r>
      <w:r w:rsidRPr="00241FAC">
        <w:rPr>
          <w:rFonts w:cs="Arial"/>
        </w:rPr>
        <w:t>contra los actos previos, en la cual se distingue consistentemente entre las clases de acciones previstas en el artículo 87 del Código Contencioso Administrativo, según se observa a continuación en la relación de diversas providencias, interpretación que se reitera en el presente proceso, además de que en oportunidad reciente esta Subsección diferenció el contenido y alcance de las acciones establecidas en el artículo 87 citado, distinguiendo tres hipótesis espacio temporales, según se expondrá más adelante</w:t>
      </w:r>
      <w:r w:rsidRPr="00241FAC">
        <w:rPr>
          <w:rStyle w:val="Refdenotaalpie"/>
          <w:rFonts w:cs="Arial"/>
        </w:rPr>
        <w:footnoteReference w:id="11"/>
      </w:r>
      <w:r w:rsidRPr="00241FAC">
        <w:rPr>
          <w:rFonts w:cs="Arial"/>
        </w:rPr>
        <w:t xml:space="preserve">. </w:t>
      </w:r>
    </w:p>
    <w:p w:rsidR="00BC0EC4" w:rsidRPr="00241FAC" w:rsidRDefault="00BC0EC4" w:rsidP="00205871">
      <w:pPr>
        <w:spacing w:line="240" w:lineRule="auto"/>
        <w:jc w:val="center"/>
        <w:rPr>
          <w:rFonts w:cs="Arial"/>
          <w:b/>
        </w:rPr>
      </w:pPr>
    </w:p>
    <w:p w:rsidR="00205871" w:rsidRPr="00241FAC" w:rsidRDefault="00205871" w:rsidP="00205871">
      <w:pPr>
        <w:spacing w:line="240" w:lineRule="auto"/>
        <w:jc w:val="center"/>
        <w:rPr>
          <w:rFonts w:cs="Arial"/>
          <w:b/>
        </w:rPr>
      </w:pPr>
      <w:r w:rsidRPr="00241FAC">
        <w:rPr>
          <w:rFonts w:cs="Arial"/>
          <w:b/>
        </w:rPr>
        <w:t>Cuadro resumen de jurisprudencia acerca de los presupuestos de la acción contra los actos previos</w:t>
      </w:r>
    </w:p>
    <w:p w:rsidR="00205871" w:rsidRPr="00241FAC" w:rsidRDefault="00205871" w:rsidP="00205871">
      <w:pPr>
        <w:rPr>
          <w:rFonts w:cs="Arial"/>
          <w:b/>
        </w:rPr>
      </w:pPr>
    </w:p>
    <w:tbl>
      <w:tblPr>
        <w:tblStyle w:val="Tablaconcuadrcula"/>
        <w:tblW w:w="9039" w:type="dxa"/>
        <w:tblLook w:val="04A0" w:firstRow="1" w:lastRow="0" w:firstColumn="1" w:lastColumn="0" w:noHBand="0" w:noVBand="1"/>
      </w:tblPr>
      <w:tblGrid>
        <w:gridCol w:w="417"/>
        <w:gridCol w:w="3020"/>
        <w:gridCol w:w="5602"/>
      </w:tblGrid>
      <w:tr w:rsidR="00205871" w:rsidRPr="00241FAC" w:rsidTr="00C4545D">
        <w:tc>
          <w:tcPr>
            <w:tcW w:w="392" w:type="dxa"/>
          </w:tcPr>
          <w:p w:rsidR="00205871" w:rsidRPr="00241FAC" w:rsidRDefault="00205871" w:rsidP="00C4545D">
            <w:pPr>
              <w:rPr>
                <w:rFonts w:cs="Arial"/>
              </w:rPr>
            </w:pPr>
            <w:r w:rsidRPr="00241FAC">
              <w:rPr>
                <w:rFonts w:cs="Arial"/>
              </w:rPr>
              <w:t>1.</w:t>
            </w:r>
          </w:p>
        </w:tc>
        <w:tc>
          <w:tcPr>
            <w:tcW w:w="2704" w:type="dxa"/>
          </w:tcPr>
          <w:p w:rsidR="00205871" w:rsidRPr="00241FAC" w:rsidRDefault="00205871" w:rsidP="00C4545D">
            <w:pPr>
              <w:spacing w:line="240" w:lineRule="auto"/>
              <w:rPr>
                <w:rFonts w:cs="Arial"/>
                <w:color w:val="000000"/>
              </w:rPr>
            </w:pPr>
            <w:r w:rsidRPr="00241FAC">
              <w:rPr>
                <w:rFonts w:cs="Arial"/>
                <w:color w:val="000000"/>
              </w:rPr>
              <w:t>Corte Constitucional en sentencia C – 1048 de 2001</w:t>
            </w:r>
          </w:p>
          <w:p w:rsidR="00205871" w:rsidRPr="00241FAC" w:rsidRDefault="00205871" w:rsidP="00C4545D">
            <w:pPr>
              <w:spacing w:line="240" w:lineRule="auto"/>
              <w:rPr>
                <w:rFonts w:cs="Arial"/>
              </w:rPr>
            </w:pPr>
          </w:p>
        </w:tc>
        <w:tc>
          <w:tcPr>
            <w:tcW w:w="5943" w:type="dxa"/>
          </w:tcPr>
          <w:p w:rsidR="00205871" w:rsidRPr="00241FAC" w:rsidRDefault="00205871" w:rsidP="00C4545D">
            <w:pPr>
              <w:pStyle w:val="NormalWeb"/>
              <w:spacing w:line="240" w:lineRule="auto"/>
              <w:ind w:left="34" w:right="34"/>
              <w:rPr>
                <w:rFonts w:cs="Arial"/>
                <w:color w:val="000000"/>
                <w:shd w:val="clear" w:color="auto" w:fill="FFFFFF"/>
              </w:rPr>
            </w:pPr>
            <w:r w:rsidRPr="00241FAC">
              <w:rPr>
                <w:rFonts w:cs="Arial"/>
                <w:color w:val="000000"/>
                <w:shd w:val="clear" w:color="auto" w:fill="FFFFFF"/>
              </w:rPr>
              <w:t xml:space="preserve">Véase lo ya transcrito.  </w:t>
            </w:r>
          </w:p>
        </w:tc>
      </w:tr>
      <w:tr w:rsidR="00205871" w:rsidRPr="00241FAC" w:rsidTr="00C4545D">
        <w:tc>
          <w:tcPr>
            <w:tcW w:w="392" w:type="dxa"/>
          </w:tcPr>
          <w:p w:rsidR="00205871" w:rsidRPr="00241FAC" w:rsidRDefault="00205871" w:rsidP="00C4545D">
            <w:pPr>
              <w:rPr>
                <w:rFonts w:cs="Arial"/>
              </w:rPr>
            </w:pPr>
            <w:r w:rsidRPr="00241FAC">
              <w:rPr>
                <w:rFonts w:cs="Arial"/>
              </w:rPr>
              <w:t>2.</w:t>
            </w:r>
          </w:p>
        </w:tc>
        <w:tc>
          <w:tcPr>
            <w:tcW w:w="2704" w:type="dxa"/>
          </w:tcPr>
          <w:p w:rsidR="00205871" w:rsidRPr="00241FAC" w:rsidRDefault="00205871" w:rsidP="00C4545D">
            <w:pPr>
              <w:spacing w:line="240" w:lineRule="auto"/>
              <w:rPr>
                <w:rFonts w:cs="Arial"/>
                <w:color w:val="000000"/>
                <w:shd w:val="clear" w:color="auto" w:fill="FFFFFF"/>
              </w:rPr>
            </w:pPr>
            <w:r w:rsidRPr="00241FAC">
              <w:rPr>
                <w:rFonts w:cs="Arial"/>
              </w:rPr>
              <w:t xml:space="preserve">Consejo </w:t>
            </w:r>
            <w:r w:rsidRPr="00241FAC">
              <w:rPr>
                <w:rFonts w:cs="Arial"/>
                <w:color w:val="000000"/>
                <w:shd w:val="clear" w:color="auto" w:fill="FFFFFF"/>
              </w:rPr>
              <w:t>Estado, Sala de lo Contencioso Administrativo, Sección Tercera, en auto del 13 de diciembre de 2001, expediente 19.777</w:t>
            </w:r>
          </w:p>
          <w:p w:rsidR="00205871" w:rsidRPr="00241FAC" w:rsidRDefault="00205871" w:rsidP="00C4545D">
            <w:pPr>
              <w:spacing w:line="240" w:lineRule="auto"/>
              <w:rPr>
                <w:rFonts w:cs="Arial"/>
                <w:color w:val="000000"/>
              </w:rPr>
            </w:pPr>
          </w:p>
        </w:tc>
        <w:tc>
          <w:tcPr>
            <w:tcW w:w="5943" w:type="dxa"/>
          </w:tcPr>
          <w:p w:rsidR="00205871" w:rsidRPr="00241FAC" w:rsidRDefault="00205871" w:rsidP="00C4545D">
            <w:pPr>
              <w:pStyle w:val="NormalWeb"/>
              <w:spacing w:line="240" w:lineRule="auto"/>
              <w:ind w:left="34" w:right="34"/>
              <w:rPr>
                <w:rFonts w:cs="Arial"/>
                <w:i/>
                <w:color w:val="000000"/>
                <w:shd w:val="clear" w:color="auto" w:fill="FFFFFF"/>
              </w:rPr>
            </w:pPr>
            <w:r w:rsidRPr="00241FAC">
              <w:rPr>
                <w:rFonts w:cs="Arial"/>
                <w:color w:val="000000"/>
                <w:shd w:val="clear" w:color="auto" w:fill="FFFFFF"/>
              </w:rPr>
              <w:t xml:space="preserve">Véase lo ya transcrito.  </w:t>
            </w:r>
          </w:p>
        </w:tc>
      </w:tr>
      <w:tr w:rsidR="00205871" w:rsidRPr="00241FAC" w:rsidTr="00C4545D">
        <w:tc>
          <w:tcPr>
            <w:tcW w:w="392" w:type="dxa"/>
          </w:tcPr>
          <w:p w:rsidR="00205871" w:rsidRPr="00241FAC" w:rsidRDefault="00205871" w:rsidP="00C4545D">
            <w:pPr>
              <w:rPr>
                <w:rFonts w:cs="Arial"/>
              </w:rPr>
            </w:pPr>
            <w:r w:rsidRPr="00241FAC">
              <w:rPr>
                <w:rFonts w:cs="Arial"/>
              </w:rPr>
              <w:t>3.</w:t>
            </w:r>
          </w:p>
        </w:tc>
        <w:tc>
          <w:tcPr>
            <w:tcW w:w="2704" w:type="dxa"/>
          </w:tcPr>
          <w:p w:rsidR="00205871" w:rsidRPr="00241FAC" w:rsidRDefault="00205871" w:rsidP="00C4545D">
            <w:pPr>
              <w:spacing w:line="240" w:lineRule="auto"/>
              <w:rPr>
                <w:rFonts w:cs="Arial"/>
              </w:rPr>
            </w:pPr>
            <w:r w:rsidRPr="00241FAC">
              <w:rPr>
                <w:rFonts w:cs="Arial"/>
              </w:rPr>
              <w:t>Corte Constitucional en sentencia C-712 de 2005</w:t>
            </w:r>
          </w:p>
        </w:tc>
        <w:tc>
          <w:tcPr>
            <w:tcW w:w="5943" w:type="dxa"/>
          </w:tcPr>
          <w:p w:rsidR="00205871" w:rsidRPr="00241FAC" w:rsidRDefault="00205871" w:rsidP="00C4545D">
            <w:pPr>
              <w:pStyle w:val="NormalWeb"/>
              <w:spacing w:line="240" w:lineRule="auto"/>
              <w:ind w:left="34" w:right="34"/>
              <w:rPr>
                <w:rFonts w:cs="Arial"/>
                <w:color w:val="000000"/>
                <w:shd w:val="clear" w:color="auto" w:fill="FFFFFF"/>
              </w:rPr>
            </w:pPr>
            <w:r w:rsidRPr="00241FAC">
              <w:rPr>
                <w:rFonts w:cs="Arial"/>
                <w:i/>
                <w:color w:val="000000"/>
                <w:shd w:val="clear" w:color="auto" w:fill="FFFFFF"/>
              </w:rPr>
              <w:t>“De esta manera, ha de resaltarse para efectos del presente proceso que en la sentencia que se cita</w:t>
            </w:r>
            <w:r w:rsidRPr="00241FAC">
              <w:rPr>
                <w:rStyle w:val="Refdenotaalpie"/>
                <w:rFonts w:cs="Arial"/>
                <w:i/>
                <w:color w:val="000000"/>
                <w:shd w:val="clear" w:color="auto" w:fill="FFFFFF"/>
              </w:rPr>
              <w:footnoteReference w:id="12"/>
            </w:r>
            <w:r w:rsidRPr="00241FAC">
              <w:rPr>
                <w:rFonts w:cs="Arial"/>
                <w:i/>
                <w:color w:val="000000"/>
                <w:shd w:val="clear" w:color="auto" w:fill="FFFFFF"/>
              </w:rPr>
              <w:t xml:space="preserve">, la Corte dejó en claro que </w:t>
            </w:r>
            <w:r w:rsidRPr="00241FAC">
              <w:rPr>
                <w:rFonts w:cs="Arial"/>
                <w:b/>
                <w:i/>
                <w:color w:val="000000"/>
                <w:shd w:val="clear" w:color="auto" w:fill="FFFFFF"/>
              </w:rPr>
              <w:t xml:space="preserve">la posibilidad de demandar los actos administrativos precontractuales por vía de las acciones de nulidad o nulidad y restablecimiento cesa a partir de la celebración del contrato estatal respectivo, y que cuando tal celebración </w:t>
            </w:r>
            <w:r w:rsidRPr="00241FAC">
              <w:rPr>
                <w:rFonts w:cs="Arial"/>
                <w:b/>
                <w:i/>
                <w:color w:val="000000"/>
                <w:shd w:val="clear" w:color="auto" w:fill="FFFFFF"/>
              </w:rPr>
              <w:lastRenderedPageBreak/>
              <w:t xml:space="preserve">ocurre antes de que se hayan vencido los treinta días que otorga la norma como término de caducidad, opera como una causal de extinción anticipada del término para hacer uso de las referidas acciones.” </w:t>
            </w:r>
            <w:r w:rsidRPr="00241FAC">
              <w:rPr>
                <w:rFonts w:cs="Arial"/>
                <w:color w:val="000000"/>
                <w:shd w:val="clear" w:color="auto" w:fill="FFFFFF"/>
              </w:rPr>
              <w:t>(La negrilla no es del texto).</w:t>
            </w:r>
          </w:p>
          <w:p w:rsidR="00205871" w:rsidRPr="00241FAC" w:rsidRDefault="00205871" w:rsidP="00C4545D">
            <w:pPr>
              <w:pStyle w:val="NormalWeb"/>
              <w:spacing w:line="240" w:lineRule="auto"/>
              <w:ind w:left="34" w:right="34"/>
              <w:rPr>
                <w:rFonts w:cs="Arial"/>
              </w:rPr>
            </w:pPr>
          </w:p>
        </w:tc>
      </w:tr>
      <w:tr w:rsidR="00205871" w:rsidRPr="00241FAC" w:rsidTr="00C4545D">
        <w:tc>
          <w:tcPr>
            <w:tcW w:w="392" w:type="dxa"/>
          </w:tcPr>
          <w:p w:rsidR="00205871" w:rsidRPr="00241FAC" w:rsidRDefault="00205871" w:rsidP="00C4545D">
            <w:pPr>
              <w:spacing w:line="240" w:lineRule="auto"/>
              <w:rPr>
                <w:rFonts w:cs="Arial"/>
                <w:bCs/>
              </w:rPr>
            </w:pPr>
            <w:r w:rsidRPr="00241FAC">
              <w:rPr>
                <w:rFonts w:cs="Arial"/>
                <w:bCs/>
              </w:rPr>
              <w:lastRenderedPageBreak/>
              <w:t>4.</w:t>
            </w:r>
          </w:p>
        </w:tc>
        <w:tc>
          <w:tcPr>
            <w:tcW w:w="2704" w:type="dxa"/>
          </w:tcPr>
          <w:p w:rsidR="00205871" w:rsidRPr="00241FAC" w:rsidRDefault="00205871" w:rsidP="00C4545D">
            <w:pPr>
              <w:spacing w:line="240" w:lineRule="auto"/>
              <w:rPr>
                <w:rFonts w:cs="Arial"/>
              </w:rPr>
            </w:pPr>
            <w:r w:rsidRPr="00241FAC">
              <w:rPr>
                <w:rFonts w:cs="Arial"/>
                <w:bCs/>
              </w:rPr>
              <w:t xml:space="preserve">Marzo 13 de 2006, </w:t>
            </w:r>
            <w:r w:rsidRPr="00241FAC">
              <w:rPr>
                <w:rFonts w:cs="Arial"/>
              </w:rPr>
              <w:t>Consejo de Estado. Sala de lo Contencioso Administrativo. Sección Tercera, Consejero Ponente: Ramiro Saavedra Becerra,</w:t>
            </w:r>
            <w:r w:rsidRPr="00241FAC">
              <w:rPr>
                <w:rFonts w:cs="Arial"/>
                <w:bCs/>
              </w:rPr>
              <w:t xml:space="preserve"> r</w:t>
            </w:r>
            <w:r w:rsidRPr="00241FAC">
              <w:rPr>
                <w:rFonts w:cs="Arial"/>
              </w:rPr>
              <w:t xml:space="preserve">adicación número: 50001-23-31-000-2003-00325-01(27995), actor: Constructora </w:t>
            </w:r>
            <w:r w:rsidR="00120249" w:rsidRPr="00241FAC">
              <w:rPr>
                <w:rFonts w:cs="Arial"/>
              </w:rPr>
              <w:t>Canaán</w:t>
            </w:r>
            <w:r w:rsidRPr="00241FAC">
              <w:rPr>
                <w:rFonts w:cs="Arial"/>
              </w:rPr>
              <w:t xml:space="preserve"> S.A. y otros, demandado: Departamento del Meta.</w:t>
            </w:r>
          </w:p>
          <w:p w:rsidR="00205871" w:rsidRPr="00241FAC" w:rsidRDefault="00205871" w:rsidP="00C4545D">
            <w:pPr>
              <w:spacing w:line="240" w:lineRule="auto"/>
              <w:rPr>
                <w:rFonts w:cs="Arial"/>
              </w:rPr>
            </w:pPr>
            <w:r w:rsidRPr="00241FAC">
              <w:rPr>
                <w:rFonts w:cs="Arial"/>
              </w:rPr>
              <w:t>Tema: Caducidad de la acción.</w:t>
            </w:r>
          </w:p>
          <w:p w:rsidR="00205871" w:rsidRPr="00241FAC" w:rsidRDefault="00205871" w:rsidP="00C4545D">
            <w:pPr>
              <w:rPr>
                <w:rFonts w:cs="Arial"/>
              </w:rPr>
            </w:pPr>
          </w:p>
        </w:tc>
        <w:tc>
          <w:tcPr>
            <w:tcW w:w="5943" w:type="dxa"/>
          </w:tcPr>
          <w:p w:rsidR="00205871" w:rsidRPr="00241FAC" w:rsidRDefault="00205871" w:rsidP="00C4545D">
            <w:pPr>
              <w:pStyle w:val="NormalWeb"/>
              <w:spacing w:line="240" w:lineRule="auto"/>
              <w:ind w:left="34" w:right="34"/>
              <w:rPr>
                <w:rFonts w:cs="Arial"/>
                <w:color w:val="000000"/>
                <w:shd w:val="clear" w:color="auto" w:fill="FFFFFF"/>
              </w:rPr>
            </w:pPr>
            <w:r w:rsidRPr="00241FAC">
              <w:rPr>
                <w:rFonts w:cs="Arial"/>
                <w:i/>
                <w:lang w:val="es-CO"/>
              </w:rPr>
              <w:t xml:space="preserve">”La Corte entendió que los terceros pueden demandar la nulidad de los actos previos al contrato, a través de las acciones de nulidad y nulidad y restablecimiento del derecho, dentro del término de caducidad de 30 días siguientes a su comunicación, notificación o publicación. </w:t>
            </w:r>
            <w:r w:rsidRPr="00241FAC">
              <w:rPr>
                <w:rFonts w:cs="Arial"/>
                <w:b/>
                <w:i/>
                <w:lang w:val="es-CO"/>
              </w:rPr>
              <w:t>Pero que una vez expirado este término o suscrito el contrato, desaparece la posibilidad de incoar tales acciones respecto de esta categoría de actos previos.</w:t>
            </w:r>
            <w:r w:rsidRPr="00241FAC">
              <w:rPr>
                <w:rFonts w:cs="Arial"/>
                <w:i/>
                <w:lang w:val="es-CO"/>
              </w:rPr>
              <w:t xml:space="preserve"> A partir de ese momento, los referidos actos previos sólo podrán ser impugnados a través de la acción de nulidad absoluta, la cual puede ser incoada, entre otras personas, por los terceros con interés directo, es decir los licitantes o proponentes. En este caso, la ilegalidad de los actos previos se puede alegar como fundamento de la nulidad absoluta del contrato.”</w:t>
            </w:r>
            <w:r w:rsidRPr="00241FAC">
              <w:rPr>
                <w:rFonts w:cs="Arial"/>
                <w:color w:val="000000"/>
                <w:shd w:val="clear" w:color="auto" w:fill="FFFFFF"/>
              </w:rPr>
              <w:t xml:space="preserve"> (La negrilla no es del texto).</w:t>
            </w:r>
          </w:p>
          <w:p w:rsidR="00205871" w:rsidRPr="00241FAC" w:rsidRDefault="00205871" w:rsidP="00C4545D">
            <w:pPr>
              <w:pStyle w:val="NormalWeb"/>
              <w:spacing w:line="240" w:lineRule="auto"/>
              <w:ind w:left="34" w:right="34"/>
              <w:rPr>
                <w:rFonts w:cs="Arial"/>
                <w:i/>
              </w:rPr>
            </w:pPr>
          </w:p>
        </w:tc>
      </w:tr>
      <w:tr w:rsidR="00205871" w:rsidRPr="00241FAC" w:rsidTr="00C4545D">
        <w:tc>
          <w:tcPr>
            <w:tcW w:w="392" w:type="dxa"/>
          </w:tcPr>
          <w:p w:rsidR="00205871" w:rsidRPr="00241FAC" w:rsidRDefault="00205871" w:rsidP="00C4545D">
            <w:pPr>
              <w:rPr>
                <w:rFonts w:cs="Arial"/>
              </w:rPr>
            </w:pPr>
            <w:r w:rsidRPr="00241FAC">
              <w:rPr>
                <w:rFonts w:cs="Arial"/>
              </w:rPr>
              <w:t>5.</w:t>
            </w:r>
          </w:p>
        </w:tc>
        <w:tc>
          <w:tcPr>
            <w:tcW w:w="2704" w:type="dxa"/>
          </w:tcPr>
          <w:p w:rsidR="00205871" w:rsidRPr="00241FAC" w:rsidRDefault="00205871" w:rsidP="00C4545D">
            <w:pPr>
              <w:spacing w:line="240" w:lineRule="auto"/>
              <w:rPr>
                <w:rFonts w:cs="Arial"/>
              </w:rPr>
            </w:pPr>
            <w:r w:rsidRPr="00241FAC">
              <w:rPr>
                <w:rFonts w:cs="Arial"/>
              </w:rPr>
              <w:t xml:space="preserve">Abril 1º de 2009, Consejo de Estado, Sala de lo Contencioso Administrativo, Sección Tercera, Consejera Ponente: Ruth Stella Correa Palacio, radicación número: 50001-23-31-000-2008-00282 – 01 (36124),  actor: </w:t>
            </w:r>
            <w:proofErr w:type="spellStart"/>
            <w:r w:rsidRPr="00241FAC">
              <w:rPr>
                <w:rFonts w:cs="Arial"/>
              </w:rPr>
              <w:t>Wolves</w:t>
            </w:r>
            <w:proofErr w:type="spellEnd"/>
            <w:r w:rsidRPr="00241FAC">
              <w:rPr>
                <w:rFonts w:cs="Arial"/>
              </w:rPr>
              <w:t xml:space="preserve"> Security Ltda., demandado: Departamento del Guaviare, referencia: acción Contractual-apelación auto.</w:t>
            </w:r>
          </w:p>
          <w:p w:rsidR="00205871" w:rsidRPr="00241FAC" w:rsidRDefault="00205871" w:rsidP="00C4545D">
            <w:pPr>
              <w:spacing w:line="240" w:lineRule="auto"/>
              <w:rPr>
                <w:rFonts w:cs="Arial"/>
              </w:rPr>
            </w:pPr>
            <w:r w:rsidRPr="00241FAC">
              <w:rPr>
                <w:rFonts w:cs="Arial"/>
              </w:rPr>
              <w:t>Tema: Caducidad de la acción.</w:t>
            </w:r>
          </w:p>
        </w:tc>
        <w:tc>
          <w:tcPr>
            <w:tcW w:w="5943" w:type="dxa"/>
          </w:tcPr>
          <w:p w:rsidR="00205871" w:rsidRPr="00241FAC" w:rsidRDefault="00205871" w:rsidP="00C4545D">
            <w:pPr>
              <w:pStyle w:val="NormalWeb"/>
              <w:spacing w:line="240" w:lineRule="auto"/>
              <w:ind w:left="34" w:right="34"/>
              <w:rPr>
                <w:rFonts w:cs="Arial"/>
                <w:color w:val="000000"/>
                <w:shd w:val="clear" w:color="auto" w:fill="FFFFFF"/>
              </w:rPr>
            </w:pPr>
            <w:r w:rsidRPr="00241FAC">
              <w:rPr>
                <w:rFonts w:cs="Arial"/>
                <w:i/>
              </w:rPr>
              <w:t xml:space="preserve">“iv) La caducidad se opera bien porque se deja vencer el término de treinta (30) días sin intentar la acción, o porque a pesar de no haberse vencido ese término se celebra el contrato como consecuencia de la ejecución del acto de adjudicación…”. </w:t>
            </w:r>
            <w:r w:rsidRPr="00241FAC">
              <w:rPr>
                <w:rFonts w:cs="Arial"/>
                <w:b/>
                <w:i/>
              </w:rPr>
              <w:t>Pero transcurrido el plazo de 30 días para impugnar mediante la acción de nulidad y restablecimiento derecho el acto previo del contrato o una vez celebrado éste, los actos precontractuales -como el de la adjudicación-,  únicamente, como se dijo, a términos de la norma procesal vigente, la ilegalidad de dicho acto podrá invocarse como fundamento de nulidad absoluta del mismo,</w:t>
            </w:r>
            <w:r w:rsidRPr="00241FAC">
              <w:rPr>
                <w:rFonts w:cs="Arial"/>
                <w:i/>
              </w:rPr>
              <w:t xml:space="preserve"> mediante la acción de controversias contractuales, la cual podrá ser </w:t>
            </w:r>
            <w:r w:rsidRPr="00241FAC">
              <w:rPr>
                <w:rFonts w:cs="Arial"/>
                <w:i/>
                <w:color w:val="000000"/>
              </w:rPr>
              <w:t>alegada por las partes contratantes, por el Ministerio Público o cualquier persona interesada directamente, dentro de los dos (2) años siguientes a su perfeccionamiento</w:t>
            </w:r>
            <w:r w:rsidRPr="00241FAC">
              <w:rPr>
                <w:rFonts w:cs="Arial"/>
                <w:i/>
              </w:rPr>
              <w:t>, según el numeral 10, letra e) del artículo 136 del C.C.A.;</w:t>
            </w:r>
            <w:r w:rsidRPr="00241FAC">
              <w:rPr>
                <w:rFonts w:cs="Arial"/>
                <w:i/>
                <w:color w:val="000000"/>
              </w:rPr>
              <w:t xml:space="preserve"> empero, señala esta misma disposición, que si el término de vigencia del contrato fuere superior a dos (2) años, el término de caducidad será igual al de su vigencia, sin que en ningún caso exceda de cinco (5) años, contados a partir de su perfeccionamiento. </w:t>
            </w:r>
            <w:r w:rsidRPr="00241FAC">
              <w:rPr>
                <w:rFonts w:cs="Arial"/>
                <w:i/>
              </w:rPr>
              <w:t xml:space="preserve">Finalmente, importa destacar que, según el texto de la norma procesal </w:t>
            </w:r>
            <w:r w:rsidRPr="00241FAC">
              <w:rPr>
                <w:rFonts w:cs="Arial"/>
                <w:i/>
              </w:rPr>
              <w:lastRenderedPageBreak/>
              <w:t xml:space="preserve">contenida en el artículo 87 del C.C.A. en concordancia con el numeral 10, letra e) del artículo 136 del C.C.A., la titularidad de la acción de controversias contractuales se encuentra consagrada para cualquiera de las partes del contrato estatal; y para pedir la nulidad absoluta del contrato se establece también que ella se puede ejercer en ese evento por el Ministerio Público o cualquier tercero que acredite un interés directo. Ahora, para la Sala, es claro, que interés directo y, por tanto, legitimación para ejercer la acción de controversias contractuales para que se declare la nulidad absoluta del contrato, ostentan quienes hubieran participado y presentado propuesta en el respectivo proceso de selección, en el evento de que se hubiere celebrado con otro proponente con inobservancia de los requisitos jurídicos establecidos en la ley y en el pliego de condiciones. </w:t>
            </w:r>
            <w:r w:rsidRPr="00241FAC">
              <w:rPr>
                <w:rStyle w:val="Refdenotaalpie"/>
                <w:rFonts w:cs="Arial"/>
                <w:i/>
              </w:rPr>
              <w:footnoteReference w:id="13"/>
            </w:r>
            <w:r w:rsidRPr="00241FAC">
              <w:rPr>
                <w:rFonts w:cs="Arial"/>
                <w:i/>
              </w:rPr>
              <w:t xml:space="preserve">  </w:t>
            </w:r>
            <w:r w:rsidRPr="00241FAC">
              <w:rPr>
                <w:rFonts w:cs="Arial"/>
                <w:color w:val="000000"/>
                <w:shd w:val="clear" w:color="auto" w:fill="FFFFFF"/>
              </w:rPr>
              <w:t>(La negrilla no es del texto).</w:t>
            </w:r>
          </w:p>
          <w:p w:rsidR="00205871" w:rsidRPr="00241FAC" w:rsidRDefault="00205871" w:rsidP="00C4545D">
            <w:pPr>
              <w:pStyle w:val="NormalWeb"/>
              <w:spacing w:line="240" w:lineRule="auto"/>
              <w:ind w:left="34" w:right="34"/>
              <w:rPr>
                <w:rFonts w:cs="Arial"/>
              </w:rPr>
            </w:pPr>
          </w:p>
        </w:tc>
      </w:tr>
      <w:tr w:rsidR="00205871" w:rsidRPr="00241FAC" w:rsidTr="00C4545D">
        <w:tc>
          <w:tcPr>
            <w:tcW w:w="392" w:type="dxa"/>
          </w:tcPr>
          <w:p w:rsidR="00205871" w:rsidRPr="00241FAC" w:rsidRDefault="00205871" w:rsidP="00C4545D">
            <w:pPr>
              <w:pStyle w:val="Default"/>
              <w:jc w:val="both"/>
              <w:rPr>
                <w:rFonts w:ascii="Arial" w:hAnsi="Arial" w:cs="Arial"/>
                <w:color w:val="auto"/>
              </w:rPr>
            </w:pPr>
            <w:r w:rsidRPr="00241FAC">
              <w:rPr>
                <w:rFonts w:ascii="Arial" w:hAnsi="Arial" w:cs="Arial"/>
                <w:color w:val="auto"/>
              </w:rPr>
              <w:t>6.</w:t>
            </w:r>
          </w:p>
        </w:tc>
        <w:tc>
          <w:tcPr>
            <w:tcW w:w="2704" w:type="dxa"/>
          </w:tcPr>
          <w:p w:rsidR="00205871" w:rsidRPr="00241FAC" w:rsidRDefault="00205871" w:rsidP="00C4545D">
            <w:pPr>
              <w:pStyle w:val="Default"/>
              <w:jc w:val="both"/>
              <w:rPr>
                <w:rFonts w:ascii="Arial" w:hAnsi="Arial" w:cs="Arial"/>
              </w:rPr>
            </w:pPr>
            <w:r w:rsidRPr="00241FAC">
              <w:rPr>
                <w:rFonts w:ascii="Arial" w:hAnsi="Arial" w:cs="Arial"/>
                <w:color w:val="auto"/>
              </w:rPr>
              <w:t xml:space="preserve">Junio 13 de 2011, </w:t>
            </w:r>
            <w:r w:rsidRPr="00241FAC">
              <w:rPr>
                <w:rFonts w:ascii="Arial" w:hAnsi="Arial" w:cs="Arial"/>
                <w:bCs/>
                <w:color w:val="auto"/>
              </w:rPr>
              <w:t>Consejo De Estado, Sala de lo Contencioso Administrativo, Sección Tercera, Consejera Ponente: Ruth Stella Correa Palacio, r</w:t>
            </w:r>
            <w:r w:rsidRPr="00241FAC">
              <w:rPr>
                <w:rFonts w:ascii="Arial" w:hAnsi="Arial" w:cs="Arial"/>
                <w:color w:val="auto"/>
              </w:rPr>
              <w:t>adicación número: 54001233100019981333 01 (19936), actor: Cámara de Comercio de Cúcuta y Personería Municipal de Cúcuta, demandado: Municipio de Cúcuta  a</w:t>
            </w:r>
            <w:r w:rsidRPr="00241FAC">
              <w:rPr>
                <w:rFonts w:ascii="Arial" w:hAnsi="Arial" w:cs="Arial"/>
              </w:rPr>
              <w:t xml:space="preserve">sunto: acción pública de nulidad </w:t>
            </w:r>
          </w:p>
          <w:p w:rsidR="00205871" w:rsidRPr="00241FAC" w:rsidRDefault="00205871" w:rsidP="00340CAB">
            <w:pPr>
              <w:pStyle w:val="Default"/>
              <w:jc w:val="both"/>
              <w:rPr>
                <w:rFonts w:ascii="Arial" w:hAnsi="Arial" w:cs="Arial"/>
                <w:bCs/>
              </w:rPr>
            </w:pPr>
            <w:r w:rsidRPr="00241FAC">
              <w:rPr>
                <w:rFonts w:ascii="Arial" w:hAnsi="Arial" w:cs="Arial"/>
              </w:rPr>
              <w:t xml:space="preserve">Tema: Legitimación activa. </w:t>
            </w:r>
          </w:p>
        </w:tc>
        <w:tc>
          <w:tcPr>
            <w:tcW w:w="5943" w:type="dxa"/>
          </w:tcPr>
          <w:p w:rsidR="00205871" w:rsidRPr="00241FAC" w:rsidRDefault="00205871" w:rsidP="00C4545D">
            <w:pPr>
              <w:pStyle w:val="Default"/>
              <w:ind w:left="34" w:right="34"/>
              <w:jc w:val="both"/>
              <w:rPr>
                <w:rFonts w:ascii="Arial" w:hAnsi="Arial" w:cs="Arial"/>
                <w:i/>
                <w:color w:val="auto"/>
              </w:rPr>
            </w:pPr>
            <w:r w:rsidRPr="00241FAC">
              <w:rPr>
                <w:rFonts w:ascii="Arial" w:hAnsi="Arial" w:cs="Arial"/>
                <w:i/>
                <w:color w:val="auto"/>
              </w:rPr>
              <w:t xml:space="preserve">“Con fundamento en las consideraciones precedentes se impone aceptar que la interpretación que en oportunidad precedente había hecho la Sala, en el sentido de que el acto de adjudicación del contrato es susceptible de ser demandado por cualquier persona interesada solamente en el restablecimiento de la legalidad, ampliaba sin soporte normativo la procedencia del contencioso objetivo de anulación a este evento, para en cambio precisar que el enjuiciamiento del citado acto solo procede, en los términos del artículo 77 de la Ley 80 de 1993, a través del contencioso subjetivo de anulación. </w:t>
            </w:r>
          </w:p>
          <w:p w:rsidR="00205871" w:rsidRPr="00241FAC" w:rsidRDefault="00205871" w:rsidP="00C4545D">
            <w:pPr>
              <w:pStyle w:val="Default"/>
              <w:ind w:left="34" w:right="34"/>
              <w:jc w:val="both"/>
              <w:rPr>
                <w:rFonts w:ascii="Arial" w:hAnsi="Arial" w:cs="Arial"/>
                <w:i/>
                <w:color w:val="auto"/>
              </w:rPr>
            </w:pPr>
          </w:p>
          <w:p w:rsidR="00205871" w:rsidRPr="00241FAC" w:rsidRDefault="00205871" w:rsidP="00C4545D">
            <w:pPr>
              <w:pStyle w:val="Default"/>
              <w:ind w:left="34" w:right="34"/>
              <w:jc w:val="both"/>
              <w:rPr>
                <w:rFonts w:ascii="Arial" w:hAnsi="Arial" w:cs="Arial"/>
                <w:i/>
                <w:color w:val="auto"/>
              </w:rPr>
            </w:pPr>
            <w:r w:rsidRPr="00241FAC">
              <w:rPr>
                <w:rFonts w:ascii="Arial" w:hAnsi="Arial" w:cs="Arial"/>
                <w:i/>
                <w:color w:val="auto"/>
              </w:rPr>
              <w:t xml:space="preserve">En otros términos, sólo quienes tuvieron un interés legítimo por haber formulado una oferta y la entidad que ha adelantado el proceso, tienen vocación para ocurrir ante la jurisdicción una vez concluya el procedimiento licitatorio en busca de la revisión de legalidad del acto de adjudicación, a través de la acción de nulidad y restablecimiento del derecho. </w:t>
            </w:r>
          </w:p>
          <w:p w:rsidR="00205871" w:rsidRPr="00241FAC" w:rsidRDefault="00205871" w:rsidP="00C4545D">
            <w:pPr>
              <w:pStyle w:val="NormalWeb"/>
              <w:spacing w:line="240" w:lineRule="auto"/>
              <w:ind w:left="34" w:right="34"/>
              <w:rPr>
                <w:rFonts w:cs="Arial"/>
                <w:b/>
              </w:rPr>
            </w:pPr>
            <w:r w:rsidRPr="00241FAC">
              <w:rPr>
                <w:rFonts w:cs="Arial"/>
                <w:b/>
                <w:i/>
              </w:rPr>
              <w:t xml:space="preserve">Lo anterior sin perjuicio de que una vez celebrado el contrato y por virtud de la acumulación de pretensiones, sea posible, a través de la acción contractual dirigida a buscar la nulidad absoluta del contrato derivada de la ilegalidad de los actos que dieron origen a su celebración, pretender </w:t>
            </w:r>
            <w:r w:rsidRPr="00241FAC">
              <w:rPr>
                <w:rFonts w:cs="Arial"/>
                <w:b/>
                <w:i/>
              </w:rPr>
              <w:lastRenderedPageBreak/>
              <w:t>también la nulidad del acto de adjudicación.”</w:t>
            </w:r>
            <w:r w:rsidRPr="00241FAC">
              <w:rPr>
                <w:rFonts w:cs="Arial"/>
                <w:b/>
              </w:rPr>
              <w:t xml:space="preserve"> </w:t>
            </w:r>
            <w:r w:rsidRPr="00241FAC">
              <w:rPr>
                <w:rFonts w:cs="Arial"/>
                <w:color w:val="000000"/>
                <w:shd w:val="clear" w:color="auto" w:fill="FFFFFF"/>
              </w:rPr>
              <w:t>(La negrilla no es del texto).</w:t>
            </w:r>
          </w:p>
          <w:p w:rsidR="00205871" w:rsidRPr="00241FAC" w:rsidRDefault="00205871" w:rsidP="00C4545D">
            <w:pPr>
              <w:spacing w:before="100" w:beforeAutospacing="1" w:after="100" w:afterAutospacing="1" w:line="240" w:lineRule="auto"/>
              <w:ind w:left="34" w:right="34"/>
              <w:rPr>
                <w:rFonts w:cs="Arial"/>
                <w:b/>
                <w:color w:val="000000"/>
                <w:shd w:val="clear" w:color="auto" w:fill="FFFFFF"/>
              </w:rPr>
            </w:pPr>
          </w:p>
        </w:tc>
      </w:tr>
      <w:tr w:rsidR="00205871" w:rsidRPr="00241FAC" w:rsidTr="00C4545D">
        <w:tc>
          <w:tcPr>
            <w:tcW w:w="392" w:type="dxa"/>
          </w:tcPr>
          <w:p w:rsidR="00205871" w:rsidRPr="00241FAC" w:rsidRDefault="00205871" w:rsidP="00C4545D">
            <w:pPr>
              <w:pStyle w:val="NormalWeb"/>
              <w:shd w:val="clear" w:color="auto" w:fill="FFFFFF"/>
              <w:spacing w:line="240" w:lineRule="auto"/>
              <w:rPr>
                <w:rFonts w:cs="Arial"/>
                <w:bCs/>
                <w:color w:val="000000"/>
              </w:rPr>
            </w:pPr>
            <w:r w:rsidRPr="00241FAC">
              <w:rPr>
                <w:rFonts w:cs="Arial"/>
                <w:bCs/>
                <w:color w:val="000000"/>
              </w:rPr>
              <w:lastRenderedPageBreak/>
              <w:t>7.</w:t>
            </w:r>
          </w:p>
        </w:tc>
        <w:tc>
          <w:tcPr>
            <w:tcW w:w="2704" w:type="dxa"/>
          </w:tcPr>
          <w:p w:rsidR="00205871" w:rsidRPr="00241FAC" w:rsidRDefault="00205871" w:rsidP="00C4545D">
            <w:pPr>
              <w:pStyle w:val="NormalWeb"/>
              <w:shd w:val="clear" w:color="auto" w:fill="FFFFFF"/>
              <w:spacing w:before="0" w:beforeAutospacing="0" w:after="0" w:afterAutospacing="0" w:line="240" w:lineRule="auto"/>
              <w:rPr>
                <w:rFonts w:cs="Arial"/>
                <w:bCs/>
                <w:color w:val="000000"/>
                <w:shd w:val="clear" w:color="auto" w:fill="FFFFFF"/>
              </w:rPr>
            </w:pPr>
            <w:r w:rsidRPr="00241FAC">
              <w:rPr>
                <w:rFonts w:cs="Arial"/>
                <w:bCs/>
                <w:color w:val="000000"/>
              </w:rPr>
              <w:t>Febrero 15 de 2012, Consejo de Estado</w:t>
            </w:r>
            <w:r w:rsidRPr="00241FAC">
              <w:rPr>
                <w:rFonts w:cs="Arial"/>
                <w:b/>
                <w:bCs/>
                <w:color w:val="000000"/>
              </w:rPr>
              <w:t xml:space="preserve">, </w:t>
            </w:r>
            <w:r w:rsidRPr="00241FAC">
              <w:rPr>
                <w:rFonts w:cs="Arial"/>
                <w:bCs/>
                <w:color w:val="000000"/>
                <w:shd w:val="clear" w:color="auto" w:fill="FFFFFF"/>
              </w:rPr>
              <w:t xml:space="preserve">Sala de lo Contencioso Administrativo, Sección Tercera, Subsección C Consejero Ponente </w:t>
            </w:r>
            <w:r w:rsidRPr="00241FAC">
              <w:rPr>
                <w:rFonts w:cs="Arial"/>
                <w:color w:val="000000"/>
                <w:shd w:val="clear" w:color="auto" w:fill="FFFFFF"/>
              </w:rPr>
              <w:t> </w:t>
            </w:r>
            <w:r w:rsidRPr="00241FAC">
              <w:rPr>
                <w:rFonts w:cs="Arial"/>
                <w:bCs/>
                <w:color w:val="000000"/>
                <w:shd w:val="clear" w:color="auto" w:fill="FFFFFF"/>
              </w:rPr>
              <w:t xml:space="preserve">Jaime Orlando </w:t>
            </w:r>
            <w:proofErr w:type="spellStart"/>
            <w:r w:rsidRPr="00241FAC">
              <w:rPr>
                <w:rFonts w:cs="Arial"/>
                <w:bCs/>
                <w:color w:val="000000"/>
                <w:shd w:val="clear" w:color="auto" w:fill="FFFFFF"/>
              </w:rPr>
              <w:t>Santofimio</w:t>
            </w:r>
            <w:proofErr w:type="spellEnd"/>
            <w:r w:rsidRPr="00241FAC">
              <w:rPr>
                <w:rFonts w:cs="Arial"/>
                <w:bCs/>
                <w:color w:val="000000"/>
                <w:shd w:val="clear" w:color="auto" w:fill="FFFFFF"/>
              </w:rPr>
              <w:t xml:space="preserve"> Gamboa, radicación: 66001-23-31-000-1999-0551-01 (19.880), actor: Industrias </w:t>
            </w:r>
            <w:proofErr w:type="spellStart"/>
            <w:r w:rsidRPr="00241FAC">
              <w:rPr>
                <w:rFonts w:cs="Arial"/>
                <w:bCs/>
                <w:color w:val="000000"/>
                <w:shd w:val="clear" w:color="auto" w:fill="FFFFFF"/>
              </w:rPr>
              <w:t>Mclaren</w:t>
            </w:r>
            <w:proofErr w:type="spellEnd"/>
            <w:r w:rsidRPr="00241FAC">
              <w:rPr>
                <w:rFonts w:cs="Arial"/>
                <w:bCs/>
                <w:color w:val="000000"/>
                <w:shd w:val="clear" w:color="auto" w:fill="FFFFFF"/>
              </w:rPr>
              <w:t xml:space="preserve"> Ltda., demandado: Municipio de Pereira, proceso: acción contractual, asunto: recurso de apelación.</w:t>
            </w:r>
          </w:p>
          <w:p w:rsidR="00205871" w:rsidRPr="00241FAC" w:rsidRDefault="00205871" w:rsidP="00C4545D">
            <w:pPr>
              <w:pStyle w:val="NormalWeb"/>
              <w:shd w:val="clear" w:color="auto" w:fill="FFFFFF"/>
              <w:spacing w:before="0" w:beforeAutospacing="0" w:after="0" w:afterAutospacing="0" w:line="240" w:lineRule="auto"/>
              <w:rPr>
                <w:rFonts w:cs="Arial"/>
                <w:bCs/>
                <w:color w:val="000000"/>
                <w:shd w:val="clear" w:color="auto" w:fill="FFFFFF"/>
              </w:rPr>
            </w:pPr>
            <w:r w:rsidRPr="00241FAC">
              <w:rPr>
                <w:rFonts w:cs="Arial"/>
                <w:bCs/>
                <w:color w:val="000000"/>
                <w:shd w:val="clear" w:color="auto" w:fill="FFFFFF"/>
              </w:rPr>
              <w:t>Tema: Ineptitud de la demanda.</w:t>
            </w:r>
          </w:p>
          <w:p w:rsidR="00205871" w:rsidRPr="00241FAC" w:rsidRDefault="00205871" w:rsidP="00C4545D">
            <w:pPr>
              <w:pStyle w:val="NormalWeb"/>
              <w:shd w:val="clear" w:color="auto" w:fill="FFFFFF"/>
              <w:spacing w:line="240" w:lineRule="auto"/>
              <w:rPr>
                <w:rFonts w:cs="Arial"/>
              </w:rPr>
            </w:pPr>
          </w:p>
        </w:tc>
        <w:tc>
          <w:tcPr>
            <w:tcW w:w="5943" w:type="dxa"/>
          </w:tcPr>
          <w:p w:rsidR="00205871" w:rsidRPr="00241FAC" w:rsidRDefault="00205871" w:rsidP="00C4545D">
            <w:pPr>
              <w:spacing w:before="100" w:beforeAutospacing="1" w:after="100" w:afterAutospacing="1" w:line="240" w:lineRule="auto"/>
              <w:ind w:left="34" w:right="34"/>
              <w:rPr>
                <w:rFonts w:cs="Arial"/>
                <w:i/>
                <w:color w:val="000000"/>
                <w:shd w:val="clear" w:color="auto" w:fill="FFFFFF"/>
              </w:rPr>
            </w:pPr>
            <w:r w:rsidRPr="00241FAC">
              <w:rPr>
                <w:rFonts w:cs="Arial"/>
                <w:color w:val="000000"/>
                <w:shd w:val="clear" w:color="auto" w:fill="FFFFFF"/>
              </w:rPr>
              <w:t>“</w:t>
            </w:r>
            <w:r w:rsidRPr="00241FAC">
              <w:rPr>
                <w:rFonts w:cs="Arial"/>
                <w:i/>
                <w:color w:val="000000"/>
                <w:shd w:val="clear" w:color="auto" w:fill="FFFFFF"/>
              </w:rPr>
              <w:t xml:space="preserve">Empero, como podrá observarse, la Sección Tercera no hizo referencia ni dilucidó lo atinente a si una vez celebrado el contrato y de este se pida su nulidad absoluta con fundamento en que el acto de adjudicación es ilegal, sea ineludible incluir dentro de las pretensiones, además de la atinente a la nulidad absoluta, la declaratoria de nulidad del acto administrativo que lo adjudicó, lo cual se justifica por no ser </w:t>
            </w:r>
            <w:proofErr w:type="spellStart"/>
            <w:r w:rsidRPr="00241FAC">
              <w:rPr>
                <w:rFonts w:cs="Arial"/>
                <w:i/>
                <w:color w:val="000000"/>
                <w:shd w:val="clear" w:color="auto" w:fill="FFFFFF"/>
              </w:rPr>
              <w:t>ésto</w:t>
            </w:r>
            <w:proofErr w:type="spellEnd"/>
            <w:r w:rsidRPr="00241FAC">
              <w:rPr>
                <w:rFonts w:cs="Arial"/>
                <w:i/>
                <w:color w:val="000000"/>
                <w:shd w:val="clear" w:color="auto" w:fill="FFFFFF"/>
              </w:rPr>
              <w:t xml:space="preserve"> allí el</w:t>
            </w:r>
            <w:r w:rsidRPr="00241FAC">
              <w:rPr>
                <w:rStyle w:val="apple-converted-space"/>
                <w:rFonts w:cs="Arial"/>
                <w:i/>
                <w:color w:val="000000"/>
                <w:shd w:val="clear" w:color="auto" w:fill="FFFFFF"/>
              </w:rPr>
              <w:t> </w:t>
            </w:r>
            <w:proofErr w:type="spellStart"/>
            <w:r w:rsidRPr="00241FAC">
              <w:rPr>
                <w:rFonts w:cs="Arial"/>
                <w:i/>
                <w:iCs/>
                <w:color w:val="000000"/>
                <w:shd w:val="clear" w:color="auto" w:fill="FFFFFF"/>
              </w:rPr>
              <w:t>thema</w:t>
            </w:r>
            <w:proofErr w:type="spellEnd"/>
            <w:r w:rsidRPr="00241FAC">
              <w:rPr>
                <w:rFonts w:cs="Arial"/>
                <w:i/>
                <w:iCs/>
                <w:color w:val="000000"/>
                <w:shd w:val="clear" w:color="auto" w:fill="FFFFFF"/>
              </w:rPr>
              <w:t xml:space="preserve"> </w:t>
            </w:r>
            <w:proofErr w:type="spellStart"/>
            <w:r w:rsidRPr="00241FAC">
              <w:rPr>
                <w:rFonts w:cs="Arial"/>
                <w:i/>
                <w:iCs/>
                <w:color w:val="000000"/>
                <w:shd w:val="clear" w:color="auto" w:fill="FFFFFF"/>
              </w:rPr>
              <w:t>decidendum</w:t>
            </w:r>
            <w:proofErr w:type="spellEnd"/>
            <w:r w:rsidRPr="00241FAC">
              <w:rPr>
                <w:rFonts w:cs="Arial"/>
                <w:i/>
                <w:iCs/>
                <w:color w:val="000000"/>
                <w:shd w:val="clear" w:color="auto" w:fill="FFFFFF"/>
              </w:rPr>
              <w:t>,</w:t>
            </w:r>
            <w:r w:rsidRPr="00241FAC">
              <w:rPr>
                <w:rStyle w:val="apple-converted-space"/>
                <w:rFonts w:cs="Arial"/>
                <w:i/>
                <w:iCs/>
                <w:color w:val="000000"/>
                <w:shd w:val="clear" w:color="auto" w:fill="FFFFFF"/>
              </w:rPr>
              <w:t> </w:t>
            </w:r>
            <w:r w:rsidRPr="00241FAC">
              <w:rPr>
                <w:rFonts w:cs="Arial"/>
                <w:i/>
                <w:color w:val="000000"/>
                <w:shd w:val="clear" w:color="auto" w:fill="FFFFFF"/>
              </w:rPr>
              <w:t>cuestión aquella que es la que constituye ahora el centro del debate en el asunto que aquí se revisa por la vía de la apelación.</w:t>
            </w:r>
          </w:p>
          <w:p w:rsidR="00205871" w:rsidRPr="00241FAC" w:rsidRDefault="00205871" w:rsidP="00C4545D">
            <w:pPr>
              <w:spacing w:before="100" w:beforeAutospacing="1" w:after="100" w:afterAutospacing="1" w:line="240" w:lineRule="auto"/>
              <w:ind w:left="34" w:right="34"/>
              <w:rPr>
                <w:rFonts w:cs="Arial"/>
                <w:i/>
                <w:color w:val="000000"/>
                <w:shd w:val="clear" w:color="auto" w:fill="FFFFFF"/>
                <w:lang w:val="es-MX" w:eastAsia="es-MX"/>
              </w:rPr>
            </w:pPr>
            <w:r w:rsidRPr="00241FAC">
              <w:rPr>
                <w:rFonts w:cs="Arial"/>
                <w:i/>
                <w:color w:val="000000"/>
                <w:shd w:val="clear" w:color="auto" w:fill="FFFFFF"/>
              </w:rPr>
              <w:t>(…)</w:t>
            </w:r>
          </w:p>
          <w:p w:rsidR="00205871" w:rsidRPr="00241FAC" w:rsidRDefault="00205871" w:rsidP="00C4545D">
            <w:pPr>
              <w:spacing w:before="100" w:beforeAutospacing="1" w:after="100" w:afterAutospacing="1" w:line="240" w:lineRule="auto"/>
              <w:ind w:left="34" w:right="34"/>
              <w:rPr>
                <w:rFonts w:cs="Arial"/>
                <w:i/>
                <w:color w:val="000000"/>
                <w:shd w:val="clear" w:color="auto" w:fill="FFFFFF"/>
                <w:lang w:val="es-MX" w:eastAsia="es-MX"/>
              </w:rPr>
            </w:pPr>
            <w:r w:rsidRPr="00241FAC">
              <w:rPr>
                <w:rFonts w:cs="Arial"/>
                <w:i/>
                <w:color w:val="000000"/>
                <w:shd w:val="clear" w:color="auto" w:fill="FFFFFF"/>
                <w:lang w:val="es-MX" w:eastAsia="es-MX"/>
              </w:rPr>
              <w:t xml:space="preserve">Pues bien, todos estos precedentes coinciden al señalar de manera irrefragable que </w:t>
            </w:r>
            <w:r w:rsidRPr="00241FAC">
              <w:rPr>
                <w:rFonts w:cs="Arial"/>
                <w:b/>
                <w:i/>
                <w:color w:val="000000"/>
                <w:shd w:val="clear" w:color="auto" w:fill="FFFFFF"/>
                <w:lang w:val="es-MX" w:eastAsia="es-MX"/>
              </w:rPr>
              <w:t>una vez celebrado el contrato la ilegalidad de los actos previos sólo puede cuestionarse mediante la acción contractual pretendiendo no sólo la nulidad del contrato sino también la nulidad de los actos administrativos cuestionados y en cuya ilicitud se fundamenta la invalidez del contrato.</w:t>
            </w:r>
          </w:p>
          <w:p w:rsidR="00205871" w:rsidRPr="00241FAC" w:rsidRDefault="00205871" w:rsidP="00C4545D">
            <w:pPr>
              <w:shd w:val="clear" w:color="auto" w:fill="FFFFFF"/>
              <w:spacing w:before="100" w:beforeAutospacing="1" w:after="100" w:afterAutospacing="1" w:line="240" w:lineRule="auto"/>
              <w:ind w:left="34" w:right="34"/>
              <w:rPr>
                <w:rFonts w:cs="Arial"/>
                <w:i/>
                <w:color w:val="000000"/>
                <w:lang w:val="es-MX" w:eastAsia="es-MX"/>
              </w:rPr>
            </w:pPr>
            <w:r w:rsidRPr="00241FAC">
              <w:rPr>
                <w:rFonts w:cs="Arial"/>
                <w:i/>
                <w:color w:val="000000"/>
                <w:lang w:val="es-MX" w:eastAsia="es-MX"/>
              </w:rPr>
              <w:t>Y este entendimiento es el que permite darle una cabal y armónica comprensión al numeral 4º del artículo 44 de la Ley 80 de 1993 cuando dispone que los contratos del estado son absolutamente nulos, entre otros casos, cuando </w:t>
            </w:r>
            <w:r w:rsidRPr="00241FAC">
              <w:rPr>
                <w:rFonts w:cs="Arial"/>
                <w:i/>
                <w:iCs/>
                <w:color w:val="000000"/>
                <w:lang w:val="es-MX" w:eastAsia="es-MX"/>
              </w:rPr>
              <w:t>"se declaren nulos los actos administrativos en que se fundamenten."</w:t>
            </w:r>
          </w:p>
          <w:p w:rsidR="00205871" w:rsidRPr="00241FAC" w:rsidRDefault="00205871" w:rsidP="00C4545D">
            <w:pPr>
              <w:spacing w:before="100" w:beforeAutospacing="1" w:after="100" w:afterAutospacing="1" w:line="240" w:lineRule="auto"/>
              <w:ind w:left="34" w:right="34"/>
              <w:rPr>
                <w:rFonts w:cs="Arial"/>
                <w:i/>
                <w:lang w:val="es-MX" w:eastAsia="es-MX"/>
              </w:rPr>
            </w:pPr>
            <w:r w:rsidRPr="00241FAC">
              <w:rPr>
                <w:rFonts w:cs="Arial"/>
                <w:i/>
                <w:lang w:val="es-MX" w:eastAsia="es-MX"/>
              </w:rPr>
              <w:t>(…)</w:t>
            </w:r>
          </w:p>
          <w:p w:rsidR="00205871" w:rsidRPr="00241FAC" w:rsidRDefault="00205871" w:rsidP="00C4545D">
            <w:pPr>
              <w:spacing w:before="100" w:beforeAutospacing="1" w:after="100" w:afterAutospacing="1" w:line="240" w:lineRule="auto"/>
              <w:ind w:left="34" w:right="34"/>
              <w:rPr>
                <w:rFonts w:cs="Arial"/>
                <w:i/>
                <w:lang w:val="es-MX" w:eastAsia="es-MX"/>
              </w:rPr>
            </w:pPr>
            <w:r w:rsidRPr="00241FAC">
              <w:rPr>
                <w:rFonts w:cs="Arial"/>
                <w:i/>
                <w:lang w:val="es-MX" w:eastAsia="es-MX"/>
              </w:rPr>
              <w:t>En efecto, resulta siendo irracional sostener que cuando se demanda la nulidad absoluta del contrato con fundamento en que los actos previos son ilegales no es necesario solicitar la nulidad de estos, pues tal aseveración equivale a afirmar que en ese caso la nulidad del contrato se genera sin causa alguna, lo cual desde luego repugna a la lógica toda vez que mientras no se declare la nulidad de los actos administrativos estos se presumen válidos y siguen justificando la celebración, la existencia y la validez del contrato.</w:t>
            </w:r>
          </w:p>
          <w:p w:rsidR="00205871" w:rsidRPr="00241FAC" w:rsidRDefault="00205871" w:rsidP="00C4545D">
            <w:pPr>
              <w:pStyle w:val="NormalWeb"/>
              <w:spacing w:line="240" w:lineRule="auto"/>
              <w:ind w:left="34" w:right="34"/>
              <w:rPr>
                <w:rFonts w:cs="Arial"/>
                <w:b/>
              </w:rPr>
            </w:pPr>
            <w:r w:rsidRPr="00241FAC">
              <w:rPr>
                <w:rFonts w:cs="Arial"/>
                <w:i/>
                <w:color w:val="000000"/>
                <w:lang w:val="es-MX" w:eastAsia="es-MX"/>
              </w:rPr>
              <w:t xml:space="preserve">Con otras palabras, si la invalidez del contrato estatal es la consecuencia de la ilicitud de esos actos administrativos, hay que declarar la ilegalidad de estos para poder decretar la nulidad </w:t>
            </w:r>
            <w:r w:rsidRPr="00241FAC">
              <w:rPr>
                <w:rFonts w:cs="Arial"/>
                <w:i/>
                <w:color w:val="000000"/>
                <w:lang w:val="es-MX" w:eastAsia="es-MX"/>
              </w:rPr>
              <w:lastRenderedPageBreak/>
              <w:t xml:space="preserve">absoluta de aquel y por supuesto que para que aquello ocurra, tal declaratoria de ilicitud debe haber sido pretendida en la demanda ya que ese extremo no puede ser objeto de un pronunciamiento oficioso como sí lo podría ser la nulidad absoluta del contrato.” </w:t>
            </w:r>
            <w:r w:rsidRPr="00241FAC">
              <w:rPr>
                <w:rFonts w:cs="Arial"/>
                <w:color w:val="000000"/>
                <w:shd w:val="clear" w:color="auto" w:fill="FFFFFF"/>
              </w:rPr>
              <w:t>(La negrilla no es del texto).</w:t>
            </w:r>
          </w:p>
          <w:p w:rsidR="00205871" w:rsidRPr="00241FAC" w:rsidRDefault="00205871" w:rsidP="00C4545D">
            <w:pPr>
              <w:pStyle w:val="Sangradetextonormal"/>
              <w:tabs>
                <w:tab w:val="left" w:pos="9047"/>
              </w:tabs>
              <w:spacing w:after="0" w:line="240" w:lineRule="auto"/>
              <w:ind w:left="34" w:right="34"/>
              <w:rPr>
                <w:rFonts w:ascii="Arial" w:hAnsi="Arial" w:cs="Arial"/>
                <w:i/>
                <w:szCs w:val="24"/>
              </w:rPr>
            </w:pPr>
          </w:p>
        </w:tc>
      </w:tr>
      <w:tr w:rsidR="00205871" w:rsidRPr="00241FAC" w:rsidTr="00C4545D">
        <w:tc>
          <w:tcPr>
            <w:tcW w:w="392" w:type="dxa"/>
          </w:tcPr>
          <w:p w:rsidR="00205871" w:rsidRPr="00241FAC" w:rsidRDefault="00205871" w:rsidP="00C4545D">
            <w:pPr>
              <w:spacing w:line="240" w:lineRule="auto"/>
              <w:rPr>
                <w:rFonts w:cs="Arial"/>
              </w:rPr>
            </w:pPr>
            <w:r w:rsidRPr="00241FAC">
              <w:rPr>
                <w:rFonts w:cs="Arial"/>
              </w:rPr>
              <w:t>8.</w:t>
            </w:r>
          </w:p>
        </w:tc>
        <w:tc>
          <w:tcPr>
            <w:tcW w:w="2704" w:type="dxa"/>
          </w:tcPr>
          <w:p w:rsidR="00205871" w:rsidRPr="00241FAC" w:rsidRDefault="00205871" w:rsidP="00C4545D">
            <w:pPr>
              <w:spacing w:line="240" w:lineRule="auto"/>
              <w:rPr>
                <w:rFonts w:cs="Arial"/>
                <w:bCs/>
              </w:rPr>
            </w:pPr>
            <w:r w:rsidRPr="00241FAC">
              <w:rPr>
                <w:rFonts w:cs="Arial"/>
              </w:rPr>
              <w:t>Marzo 14 de 2.013, Consejo de Estado, Sala de Lo Contencioso Administrativo, Sección Tercera  – Subsección A, r</w:t>
            </w:r>
            <w:r w:rsidRPr="00241FAC">
              <w:rPr>
                <w:rFonts w:cs="Arial"/>
                <w:bCs/>
              </w:rPr>
              <w:t>adicación: 440012331000199900827 01, expediente: 24.059, actor: Sociedad Ávila Ltda., demandado: Departamento de La Guajira, referencia: nulidad y restablecimiento del Derecho – Apelación Sentencia.</w:t>
            </w:r>
          </w:p>
          <w:p w:rsidR="00205871" w:rsidRPr="00241FAC" w:rsidRDefault="00205871" w:rsidP="00C4545D">
            <w:pPr>
              <w:spacing w:line="240" w:lineRule="auto"/>
              <w:rPr>
                <w:rFonts w:cs="Arial"/>
                <w:lang w:val="es-CO"/>
              </w:rPr>
            </w:pPr>
            <w:r w:rsidRPr="00241FAC">
              <w:rPr>
                <w:rFonts w:cs="Arial"/>
                <w:bCs/>
              </w:rPr>
              <w:t>Tema: Acción de nulidad y restablecimiento.</w:t>
            </w:r>
          </w:p>
          <w:p w:rsidR="00205871" w:rsidRPr="00241FAC" w:rsidRDefault="00205871" w:rsidP="00C4545D">
            <w:pPr>
              <w:rPr>
                <w:rFonts w:cs="Arial"/>
              </w:rPr>
            </w:pPr>
          </w:p>
        </w:tc>
        <w:tc>
          <w:tcPr>
            <w:tcW w:w="5943" w:type="dxa"/>
          </w:tcPr>
          <w:p w:rsidR="00205871" w:rsidRPr="00241FAC" w:rsidRDefault="00205871" w:rsidP="00C4545D">
            <w:pPr>
              <w:pStyle w:val="Sangradetextonormal"/>
              <w:tabs>
                <w:tab w:val="left" w:pos="9047"/>
              </w:tabs>
              <w:spacing w:after="0" w:line="240" w:lineRule="auto"/>
              <w:ind w:left="0" w:right="33" w:firstLine="34"/>
              <w:rPr>
                <w:rFonts w:ascii="Arial" w:hAnsi="Arial" w:cs="Arial"/>
                <w:i/>
                <w:szCs w:val="24"/>
                <w:lang w:val="es-CO"/>
              </w:rPr>
            </w:pPr>
            <w:r w:rsidRPr="00241FAC">
              <w:rPr>
                <w:rFonts w:ascii="Arial" w:hAnsi="Arial" w:cs="Arial"/>
                <w:i/>
                <w:szCs w:val="24"/>
              </w:rPr>
              <w:t>“D</w:t>
            </w:r>
            <w:proofErr w:type="spellStart"/>
            <w:r w:rsidRPr="00241FAC">
              <w:rPr>
                <w:rFonts w:ascii="Arial" w:hAnsi="Arial" w:cs="Arial"/>
                <w:i/>
                <w:szCs w:val="24"/>
                <w:lang w:val="es-CO"/>
              </w:rPr>
              <w:t>e</w:t>
            </w:r>
            <w:proofErr w:type="spellEnd"/>
            <w:r w:rsidRPr="00241FAC">
              <w:rPr>
                <w:rFonts w:ascii="Arial" w:hAnsi="Arial" w:cs="Arial"/>
                <w:i/>
                <w:szCs w:val="24"/>
                <w:lang w:val="es-CO"/>
              </w:rPr>
              <w:t xml:space="preserve"> la anterior previsión legislativa se desprende que al control jurisdiccional de los actos proferidos antes de la celebración del contrato, con ocasión de la actividad contractual, puede accederse mediante el ejercicio de las acciones de nulidad y de nulidad y restablecimiento del derecho, atendiendo para el efecto un término de caducidad de 30 días que se contabiliza a partir del día siguiente a aquel en que el acto se comunique, notifique o publique, según el caso.”</w:t>
            </w:r>
          </w:p>
          <w:p w:rsidR="00205871" w:rsidRPr="00241FAC" w:rsidRDefault="00205871" w:rsidP="00C4545D">
            <w:pPr>
              <w:pStyle w:val="Sangradetextonormal"/>
              <w:tabs>
                <w:tab w:val="left" w:pos="9047"/>
              </w:tabs>
              <w:spacing w:after="0" w:line="240" w:lineRule="auto"/>
              <w:ind w:left="0" w:right="33" w:firstLine="34"/>
              <w:rPr>
                <w:rFonts w:ascii="Arial" w:hAnsi="Arial" w:cs="Arial"/>
                <w:i/>
                <w:szCs w:val="24"/>
                <w:lang w:val="es-CO"/>
              </w:rPr>
            </w:pPr>
          </w:p>
          <w:p w:rsidR="00205871" w:rsidRPr="00241FAC" w:rsidRDefault="00205871" w:rsidP="00C4545D">
            <w:pPr>
              <w:rPr>
                <w:rFonts w:cs="Arial"/>
              </w:rPr>
            </w:pPr>
          </w:p>
        </w:tc>
      </w:tr>
    </w:tbl>
    <w:p w:rsidR="00205871" w:rsidRDefault="00205871" w:rsidP="00205871">
      <w:pPr>
        <w:pStyle w:val="Encabezado"/>
        <w:rPr>
          <w:rFonts w:cs="Arial"/>
          <w:szCs w:val="24"/>
          <w:lang w:val="es-ES"/>
        </w:rPr>
      </w:pPr>
    </w:p>
    <w:p w:rsidR="0059763E" w:rsidRPr="00241FAC" w:rsidRDefault="0059763E" w:rsidP="00205871">
      <w:pPr>
        <w:pStyle w:val="Encabezado"/>
        <w:rPr>
          <w:rFonts w:cs="Arial"/>
          <w:szCs w:val="24"/>
          <w:lang w:val="es-CO"/>
        </w:rPr>
      </w:pPr>
    </w:p>
    <w:p w:rsidR="00A60701" w:rsidRPr="00241FAC" w:rsidRDefault="00A60701" w:rsidP="00A60701">
      <w:pPr>
        <w:pStyle w:val="Encabezado"/>
        <w:spacing w:line="240" w:lineRule="auto"/>
        <w:rPr>
          <w:rFonts w:cs="Arial"/>
          <w:b/>
          <w:szCs w:val="24"/>
          <w:lang w:val="es-CO"/>
        </w:rPr>
      </w:pPr>
      <w:r w:rsidRPr="00241FAC">
        <w:rPr>
          <w:rFonts w:cs="Arial"/>
          <w:b/>
          <w:szCs w:val="24"/>
          <w:lang w:val="es-CO"/>
        </w:rPr>
        <w:t>2.2. Hipótesis espacio temporales en relación con el ejercicio de la acción procedente contra los actos administrativos previos.</w:t>
      </w:r>
    </w:p>
    <w:p w:rsidR="00A60701" w:rsidRPr="00241FAC" w:rsidRDefault="00A60701" w:rsidP="00A60701">
      <w:pPr>
        <w:pStyle w:val="Encabezado"/>
        <w:rPr>
          <w:rFonts w:cs="Arial"/>
          <w:szCs w:val="24"/>
          <w:lang w:val="es-CO"/>
        </w:rPr>
      </w:pPr>
    </w:p>
    <w:p w:rsidR="00A60701" w:rsidRPr="00241FAC" w:rsidRDefault="00A60701" w:rsidP="00A60701">
      <w:pPr>
        <w:pStyle w:val="Encabezado"/>
        <w:rPr>
          <w:rFonts w:cs="Arial"/>
          <w:szCs w:val="24"/>
          <w:lang w:val="es-CO"/>
        </w:rPr>
      </w:pPr>
      <w:r w:rsidRPr="00241FAC">
        <w:rPr>
          <w:rFonts w:cs="Arial"/>
          <w:szCs w:val="24"/>
          <w:lang w:val="es-CO"/>
        </w:rPr>
        <w:t xml:space="preserve">A propósito del ejercicio oportuno de la acción procedente para cuestionar la legalidad y obtener el restablecimiento del derecho en relación con un acto previo a la celebración del contrato –tal como puede ocurrir con el acto administrativo de adjudicación, o con el acto de declaratoria de desierta de una licitación o incluso con el acto de revocatoria de la decisión de apertura del correspondiente procedimiento de selección contractual–, cuestión que se relaciona íntimamente con la prosperidad de la pretensión encaminada a obtener el reconocimiento de la utilidad dejada de percibir por el proponente ilegalmente privado de la adjudicación del correspondiente contrato estatal, la Sala considera pertinente precisar un aspecto adicional que permite darle una comprensión cabal y una aplicación práctica, útil y efectiva a los dictados del citado artículo 87 del C.C.A., sin que ello signifique modificar y menos desconocer o recoger la jurisprudencia que de manera pacífica se ha venido desarrollando acerca de la consagración, aparentemente contradictoria o antinómica, de dos (2) términos de caducidad diferentes para </w:t>
      </w:r>
      <w:r w:rsidRPr="00241FAC">
        <w:rPr>
          <w:rFonts w:cs="Arial"/>
          <w:szCs w:val="24"/>
          <w:lang w:val="es-CO"/>
        </w:rPr>
        <w:lastRenderedPageBreak/>
        <w:t>cuestionar, en sede judicial, un mismo y único acto administrativo previo al contrato: treinta 30 días si el contrato no se ha celebrado o dos (2) años a partir de la celebración del contrato correspondiente.</w:t>
      </w:r>
    </w:p>
    <w:p w:rsidR="00A60701" w:rsidRPr="00241FAC" w:rsidRDefault="00A60701" w:rsidP="00A60701">
      <w:pPr>
        <w:pStyle w:val="Encabezado"/>
        <w:rPr>
          <w:rFonts w:cs="Arial"/>
          <w:szCs w:val="24"/>
          <w:lang w:val="es-CO"/>
        </w:rPr>
      </w:pPr>
    </w:p>
    <w:p w:rsidR="00A60701" w:rsidRPr="00241FAC" w:rsidRDefault="00A60701" w:rsidP="00A60701">
      <w:pPr>
        <w:pStyle w:val="Encabezado"/>
        <w:rPr>
          <w:rFonts w:cs="Arial"/>
          <w:szCs w:val="24"/>
          <w:lang w:val="es-CO"/>
        </w:rPr>
      </w:pPr>
      <w:r w:rsidRPr="00241FAC">
        <w:rPr>
          <w:rFonts w:cs="Arial"/>
          <w:szCs w:val="24"/>
          <w:lang w:val="es-CO"/>
        </w:rPr>
        <w:t>Naturalmente resultaría absurdo y carente de toda lógica suponer que el legislador hubiere consagrado, sin más, dos (2) términos de caducidad completamente distintos para un mismo y único propósito, de tal manera que el interesado pudiere utilizarlos indistintamente a su conveniencia, a tal punto que si por razón de su desidia, de su negligencia o de su descuido no hubiere demandado el acto administrativo previo dentro de los 30 días siguientes a su comunicación, notificación o publicación, según fuere el caso, ello no tendría consecuencia práctica alguna puesto que igual contaría entonces con una nueva y amplísima oportunidad de dos (2) años –nuevo plazo que superaría en duración al primero en más del 1.700%</w:t>
      </w:r>
      <w:r w:rsidRPr="00241FAC">
        <w:rPr>
          <w:rStyle w:val="Refdenotaalpie"/>
          <w:rFonts w:cs="Arial"/>
          <w:szCs w:val="24"/>
          <w:lang w:val="es-CO"/>
        </w:rPr>
        <w:footnoteReference w:id="14"/>
      </w:r>
      <w:r w:rsidRPr="00241FAC">
        <w:rPr>
          <w:rFonts w:cs="Arial"/>
          <w:szCs w:val="24"/>
          <w:lang w:val="es-CO"/>
        </w:rPr>
        <w:t>–, para igual promover la demanda contra el mismo acto previo sólo que ahora debería complementar sus pretensiones con las de declaratoria de nulidad del contrato estatal ya celebrado, pretensión que no sería más que una consecuencia de la pretensión de declaratoria de nulidad del acto administrativo previo que le sirvió de fundamento al contrato en cuestión</w:t>
      </w:r>
      <w:r w:rsidRPr="00241FAC">
        <w:rPr>
          <w:rStyle w:val="Refdenotaalpie"/>
          <w:rFonts w:cs="Arial"/>
          <w:szCs w:val="24"/>
          <w:lang w:val="es-CO"/>
        </w:rPr>
        <w:footnoteReference w:id="15"/>
      </w:r>
      <w:r w:rsidRPr="00241FAC">
        <w:rPr>
          <w:rFonts w:cs="Arial"/>
          <w:szCs w:val="24"/>
          <w:lang w:val="es-CO"/>
        </w:rPr>
        <w:t>.</w:t>
      </w:r>
    </w:p>
    <w:p w:rsidR="00A60701" w:rsidRPr="00241FAC" w:rsidRDefault="00A60701" w:rsidP="00A60701">
      <w:pPr>
        <w:pStyle w:val="Encabezado"/>
        <w:rPr>
          <w:rFonts w:cs="Arial"/>
          <w:szCs w:val="24"/>
          <w:lang w:val="es-CO"/>
        </w:rPr>
      </w:pPr>
    </w:p>
    <w:p w:rsidR="00A60701" w:rsidRPr="00241FAC" w:rsidRDefault="00A60701" w:rsidP="00A60701">
      <w:pPr>
        <w:pStyle w:val="Encabezado"/>
        <w:rPr>
          <w:rFonts w:cs="Arial"/>
          <w:szCs w:val="24"/>
          <w:lang w:val="es-CO"/>
        </w:rPr>
      </w:pPr>
      <w:r w:rsidRPr="00241FAC">
        <w:rPr>
          <w:rFonts w:cs="Arial"/>
          <w:szCs w:val="24"/>
          <w:lang w:val="es-CO"/>
        </w:rPr>
        <w:t xml:space="preserve">Tampoco podría admitirse sin cuestionamiento lógico al respecto, que al consagrar los dos (2) aludidos términos de caducidad, el legislador hubiere querido dejar en manos de la entidad estatal contratante y de su respectivo contratista u oferente adjudicatario, la posibilidad de privar al proponente ilegalmente vencido de toda opción válida y efectiva para acudir ante la jurisdicción competente en procura de obtener el restablecimiento de los derechos que le hubieren sido conculcados con la expedición del ilegal acto administrativo previo de adjudicación, por el hecho único de que las partes del contrato estatal procedan a celebrarlo en el mismo día de la adjudicación o en un término inmediatamente siguiente a ese momento, cuestión que trae como efecto la extinción de la opción de ejercer la acción de nulidad y </w:t>
      </w:r>
      <w:r w:rsidRPr="00241FAC">
        <w:rPr>
          <w:rFonts w:cs="Arial"/>
          <w:szCs w:val="24"/>
          <w:lang w:val="es-CO"/>
        </w:rPr>
        <w:lastRenderedPageBreak/>
        <w:t xml:space="preserve">restablecimiento del derecho y que únicamente abre la posibilidad de acudir al ejercicio de la correspondiente acción contractual o, igualmente, que a voluntad de las partes del contrato se reduzca sensiblemente el brevísimo término de caducidad de 30 días según que el perfeccionamiento del vínculo tuviere lugar, por ejemplo, a tan sólo 1, 3 o 5 días después de la adjudicación.   </w:t>
      </w:r>
    </w:p>
    <w:p w:rsidR="00A60701" w:rsidRPr="00241FAC" w:rsidRDefault="00A60701" w:rsidP="00A60701">
      <w:pPr>
        <w:pStyle w:val="Encabezado"/>
        <w:rPr>
          <w:rFonts w:cs="Arial"/>
          <w:szCs w:val="24"/>
          <w:lang w:val="es-CO"/>
        </w:rPr>
      </w:pPr>
    </w:p>
    <w:p w:rsidR="00A60701" w:rsidRPr="00241FAC" w:rsidRDefault="00A60701" w:rsidP="00A60701">
      <w:pPr>
        <w:pStyle w:val="Encabezado"/>
        <w:rPr>
          <w:rFonts w:cs="Arial"/>
          <w:szCs w:val="24"/>
          <w:lang w:val="es-CO"/>
        </w:rPr>
      </w:pPr>
      <w:r w:rsidRPr="00241FAC">
        <w:rPr>
          <w:rFonts w:cs="Arial"/>
          <w:szCs w:val="24"/>
          <w:lang w:val="es-CO"/>
        </w:rPr>
        <w:t>Así pues, con el propósito de precisar el sentido lógico y razonable con el cual la jurisprudencia de la Sección Tercera ha reconocido la plenitud de los efectos que se derivan del texto consagrado en el comentado inciso 2º del artículo 87 del C.C.A. –norma aplicable exclusivamente a los procesos judiciales iniciados con posterioridad al 8 de julio de 1998, fecha de la publicación de la Ley 446 de julio 7 de 1998 y anteriores al 2 de julio de 2012, puesto que la presentación de demandas con posterioridad a la última fecha señalada se han de regir por las nuevas disposiciones consagradas en el artículo 164-2-c) de la Ley 1437–, la Sala estima importante puntualizar las diversas hipótesis que se contemplan y regulan dentro de la norma legal en examen, en orden a clarificar la aplicación de los diversos términos de caducidad que en ella se consagran y aclarar así los efectos que se derivan de dicha disposición.</w:t>
      </w:r>
    </w:p>
    <w:p w:rsidR="00A60701" w:rsidRPr="00241FAC" w:rsidRDefault="00A60701" w:rsidP="00A60701">
      <w:pPr>
        <w:pStyle w:val="Encabezado"/>
        <w:rPr>
          <w:rFonts w:cs="Arial"/>
          <w:szCs w:val="24"/>
          <w:lang w:val="es-CO"/>
        </w:rPr>
      </w:pPr>
    </w:p>
    <w:p w:rsidR="00A60701" w:rsidRPr="00241FAC" w:rsidRDefault="00A60701" w:rsidP="00A60701">
      <w:pPr>
        <w:pStyle w:val="Encabezado"/>
        <w:numPr>
          <w:ilvl w:val="0"/>
          <w:numId w:val="18"/>
        </w:numPr>
        <w:ind w:left="284" w:hanging="284"/>
        <w:rPr>
          <w:rFonts w:cs="Arial"/>
          <w:szCs w:val="24"/>
          <w:lang w:val="es-CO"/>
        </w:rPr>
      </w:pPr>
      <w:r w:rsidRPr="00241FAC">
        <w:rPr>
          <w:rFonts w:cs="Arial"/>
          <w:szCs w:val="24"/>
          <w:lang w:val="es-CO"/>
        </w:rPr>
        <w:t xml:space="preserve">La </w:t>
      </w:r>
      <w:r w:rsidRPr="00241FAC">
        <w:rPr>
          <w:rFonts w:cs="Arial"/>
          <w:b/>
          <w:szCs w:val="24"/>
          <w:lang w:val="es-CO"/>
        </w:rPr>
        <w:t>primera hipótesis</w:t>
      </w:r>
      <w:r w:rsidRPr="00241FAC">
        <w:rPr>
          <w:rFonts w:cs="Arial"/>
          <w:szCs w:val="24"/>
          <w:lang w:val="es-CO"/>
        </w:rPr>
        <w:t xml:space="preserve"> se refiere a aquellos casos en los cuales </w:t>
      </w:r>
      <w:r w:rsidRPr="00241FAC">
        <w:rPr>
          <w:rFonts w:cs="Arial"/>
          <w:b/>
          <w:szCs w:val="24"/>
          <w:lang w:val="es-CO"/>
        </w:rPr>
        <w:t>el contrato estatal no se ha celebrado aun para la fecha en que, dentro de los 30 días</w:t>
      </w:r>
      <w:r w:rsidRPr="00241FAC">
        <w:rPr>
          <w:rFonts w:cs="Arial"/>
          <w:szCs w:val="24"/>
          <w:lang w:val="es-CO"/>
        </w:rPr>
        <w:t xml:space="preserve"> </w:t>
      </w:r>
      <w:r w:rsidRPr="00241FAC">
        <w:rPr>
          <w:rFonts w:cs="Arial"/>
          <w:b/>
          <w:szCs w:val="24"/>
          <w:lang w:val="es-CO"/>
        </w:rPr>
        <w:t>siguientes</w:t>
      </w:r>
      <w:r w:rsidRPr="00241FAC">
        <w:rPr>
          <w:rFonts w:cs="Arial"/>
          <w:szCs w:val="24"/>
          <w:lang w:val="es-CO"/>
        </w:rPr>
        <w:t xml:space="preserve"> a la comunicación, notificación o publicación del correspondiente acto administrativo de adjudicación, </w:t>
      </w:r>
      <w:r w:rsidRPr="00241FAC">
        <w:rPr>
          <w:rFonts w:cs="Arial"/>
          <w:b/>
          <w:szCs w:val="24"/>
          <w:lang w:val="es-CO"/>
        </w:rPr>
        <w:t>se demanda ese acto administrativo previo</w:t>
      </w:r>
      <w:r w:rsidRPr="00241FAC">
        <w:rPr>
          <w:rFonts w:cs="Arial"/>
          <w:szCs w:val="24"/>
          <w:lang w:val="es-CO"/>
        </w:rPr>
        <w:t xml:space="preserve"> en ejercicio de la acción de nulidad y restablecimiento del derecho, caso en el cual y sin mayor discusión se tiene que el interesado podrá pretender e incluso obtener tanto la declaratoria judicial de nulidad del aludido acto administrativo, como el restablecimiento de sus derechos, cuestión ésta que de ordinario se concreta en el reconocimiento de los perjuicios ocasionados por el acto nulo y la consiguiente condena para repararlos.  </w:t>
      </w:r>
    </w:p>
    <w:p w:rsidR="00A60701" w:rsidRPr="00241FAC" w:rsidRDefault="00A60701" w:rsidP="00A60701">
      <w:pPr>
        <w:pStyle w:val="Encabezado"/>
        <w:rPr>
          <w:rFonts w:cs="Arial"/>
          <w:b/>
          <w:szCs w:val="24"/>
          <w:lang w:val="es-CO"/>
        </w:rPr>
      </w:pPr>
    </w:p>
    <w:p w:rsidR="00A60701" w:rsidRPr="00241FAC" w:rsidRDefault="00A60701" w:rsidP="00A60701">
      <w:pPr>
        <w:pStyle w:val="Encabezado"/>
        <w:numPr>
          <w:ilvl w:val="0"/>
          <w:numId w:val="18"/>
        </w:numPr>
        <w:ind w:left="284" w:hanging="284"/>
        <w:rPr>
          <w:rFonts w:cs="Arial"/>
          <w:szCs w:val="24"/>
          <w:lang w:val="es-CO"/>
        </w:rPr>
      </w:pPr>
      <w:r w:rsidRPr="00241FAC">
        <w:rPr>
          <w:rFonts w:cs="Arial"/>
          <w:b/>
          <w:szCs w:val="24"/>
          <w:lang w:val="es-CO"/>
        </w:rPr>
        <w:t>Una segunda</w:t>
      </w:r>
      <w:r w:rsidRPr="00241FAC">
        <w:rPr>
          <w:rFonts w:cs="Arial"/>
          <w:szCs w:val="24"/>
          <w:lang w:val="es-CO"/>
        </w:rPr>
        <w:t xml:space="preserve"> </w:t>
      </w:r>
      <w:r w:rsidRPr="00241FAC">
        <w:rPr>
          <w:rFonts w:cs="Arial"/>
          <w:b/>
          <w:szCs w:val="24"/>
          <w:lang w:val="es-CO"/>
        </w:rPr>
        <w:t xml:space="preserve">hipótesis </w:t>
      </w:r>
      <w:r w:rsidRPr="00241FAC">
        <w:rPr>
          <w:rFonts w:cs="Arial"/>
          <w:szCs w:val="24"/>
          <w:lang w:val="es-CO"/>
        </w:rPr>
        <w:t xml:space="preserve">dice relación con aquellos casos en los cuales hubiere </w:t>
      </w:r>
      <w:r w:rsidRPr="00241FAC">
        <w:rPr>
          <w:rFonts w:cs="Arial"/>
          <w:b/>
          <w:szCs w:val="24"/>
          <w:lang w:val="es-CO"/>
        </w:rPr>
        <w:t xml:space="preserve">transcurrido el término de 30 días sin que se hubiere celebrado el correspondiente contrato estatal pero igual sin que se hubiere formulado demanda </w:t>
      </w:r>
      <w:r w:rsidRPr="00241FAC">
        <w:rPr>
          <w:rFonts w:cs="Arial"/>
          <w:szCs w:val="24"/>
          <w:lang w:val="es-CO"/>
        </w:rPr>
        <w:t xml:space="preserve">contra el acto administrativo previo dentro de ese mismo término, cuestión que, como resulta apenas natural, da lugar a la configuración de la caducidad de la acción de nulidad y restablecimiento del derecho, lo cual priva definitivamente al interesado de la posibilidad de revivir ese plazo y/o de acudir </w:t>
      </w:r>
      <w:r w:rsidRPr="00241FAC">
        <w:rPr>
          <w:rFonts w:cs="Arial"/>
          <w:szCs w:val="24"/>
          <w:lang w:val="es-CO"/>
        </w:rPr>
        <w:lastRenderedPageBreak/>
        <w:t>en una nueva oportunidad ante la Jurisdicción en procura de obtener el reconocimiento de los derechos que le habrían sido desconocidos con la expedición del correspondiente acto administrativo.</w:t>
      </w:r>
    </w:p>
    <w:p w:rsidR="00A60701" w:rsidRPr="00241FAC" w:rsidRDefault="00A60701" w:rsidP="00A60701">
      <w:pPr>
        <w:pStyle w:val="Encabezado"/>
        <w:ind w:left="284"/>
        <w:rPr>
          <w:rFonts w:cs="Arial"/>
          <w:szCs w:val="24"/>
          <w:lang w:val="es-CO"/>
        </w:rPr>
      </w:pPr>
    </w:p>
    <w:p w:rsidR="00A60701" w:rsidRPr="00241FAC" w:rsidRDefault="00A60701" w:rsidP="00A60701">
      <w:pPr>
        <w:pStyle w:val="Encabezado"/>
        <w:ind w:left="284"/>
        <w:rPr>
          <w:rFonts w:cs="Arial"/>
          <w:szCs w:val="24"/>
          <w:lang w:val="es-CO"/>
        </w:rPr>
      </w:pPr>
      <w:r w:rsidRPr="00241FAC">
        <w:rPr>
          <w:rFonts w:cs="Arial"/>
          <w:szCs w:val="24"/>
          <w:lang w:val="es-CO"/>
        </w:rPr>
        <w:t>Así pues, si con posterioridad al vencimiento del aludido plazo de los 30 días se celebra el correspondiente contrato estatal, mal podría considerarse que quien dejó operar la caducidad administrativa para demandar el acto previo en ejercicio de la acción de nulidad y restablecimiento del derecho, pudiere encontrar entonces en la acción contractual una oportunidad nueva para demandar aquello que no cuestionó judicialmente dentro del plazo que la ley le estableció para ese propósito</w:t>
      </w:r>
      <w:r w:rsidRPr="00241FAC">
        <w:rPr>
          <w:rStyle w:val="Refdenotaalpie"/>
          <w:rFonts w:cs="Arial"/>
          <w:szCs w:val="24"/>
          <w:lang w:val="es-CO"/>
        </w:rPr>
        <w:footnoteReference w:id="16"/>
      </w:r>
      <w:r w:rsidRPr="00241FAC">
        <w:rPr>
          <w:rFonts w:cs="Arial"/>
          <w:szCs w:val="24"/>
          <w:lang w:val="es-CO"/>
        </w:rPr>
        <w:t>.</w:t>
      </w:r>
    </w:p>
    <w:p w:rsidR="00A60701" w:rsidRPr="00241FAC" w:rsidRDefault="00A60701" w:rsidP="00A60701">
      <w:pPr>
        <w:pStyle w:val="Encabezado"/>
        <w:ind w:left="284"/>
        <w:rPr>
          <w:rFonts w:cs="Arial"/>
          <w:szCs w:val="24"/>
          <w:lang w:val="es-CO"/>
        </w:rPr>
      </w:pPr>
    </w:p>
    <w:p w:rsidR="00A60701" w:rsidRPr="00241FAC" w:rsidRDefault="00A60701" w:rsidP="00A60701">
      <w:pPr>
        <w:pStyle w:val="Encabezado"/>
        <w:ind w:left="284"/>
        <w:rPr>
          <w:rFonts w:cs="Arial"/>
          <w:i/>
          <w:szCs w:val="24"/>
          <w:lang w:val="es-CO"/>
        </w:rPr>
      </w:pPr>
      <w:r w:rsidRPr="00241FAC">
        <w:rPr>
          <w:rFonts w:cs="Arial"/>
          <w:szCs w:val="24"/>
          <w:lang w:val="es-CO"/>
        </w:rPr>
        <w:t xml:space="preserve">En consecuencia, la alternativa que le abre la ley para que pueda demandar la nulidad absoluta del contrato estatal con fundamento en, o como consecuencia de, la ilegalidad de los actos administrativos previos, si bien le permite elevar pretensiones para que dichos actos previos también sean judicialmente declarados nulos, lo cierto es que ya no podrá pretender y menos obtener resarcimientos o indemnizaciones de carácter económico o, lo que es lo mismo, el restablecimiento de sus derechos, puesto que en cuanto dicho interesado dejó operar la caducidad en relación con la acción de nulidad y restablecimiento del derecho, la oportunidad que tiene en esta nueva etapa para demandar esos mismos actos previos se encuentra limitada, como el propio texto de la ley lo determina, a reclamar la declaratoria de </w:t>
      </w:r>
      <w:r w:rsidRPr="00241FAC">
        <w:rPr>
          <w:rFonts w:cs="Arial"/>
          <w:i/>
          <w:szCs w:val="24"/>
          <w:lang w:val="es-CO"/>
        </w:rPr>
        <w:t xml:space="preserve">“… ilegalidad de los actos previos solamente como fundamento de </w:t>
      </w:r>
      <w:r w:rsidRPr="00241FAC">
        <w:rPr>
          <w:rFonts w:cs="Arial"/>
          <w:szCs w:val="24"/>
          <w:lang w:val="es-CO"/>
        </w:rPr>
        <w:t>[la]</w:t>
      </w:r>
      <w:r w:rsidRPr="00241FAC">
        <w:rPr>
          <w:rFonts w:cs="Arial"/>
          <w:i/>
          <w:szCs w:val="24"/>
          <w:lang w:val="es-CO"/>
        </w:rPr>
        <w:t xml:space="preserve"> nulidad absoluta del contrato”. </w:t>
      </w:r>
    </w:p>
    <w:p w:rsidR="00A60701" w:rsidRPr="00241FAC" w:rsidRDefault="00A60701" w:rsidP="00A60701">
      <w:pPr>
        <w:pStyle w:val="Encabezado"/>
        <w:rPr>
          <w:rFonts w:cs="Arial"/>
          <w:szCs w:val="24"/>
          <w:lang w:val="es-CO"/>
        </w:rPr>
      </w:pPr>
    </w:p>
    <w:p w:rsidR="00A60701" w:rsidRPr="00241FAC" w:rsidRDefault="00A60701" w:rsidP="00A60701">
      <w:pPr>
        <w:pStyle w:val="Encabezado"/>
        <w:numPr>
          <w:ilvl w:val="0"/>
          <w:numId w:val="18"/>
        </w:numPr>
        <w:ind w:left="284" w:hanging="284"/>
        <w:rPr>
          <w:rFonts w:cs="Arial"/>
          <w:szCs w:val="24"/>
          <w:lang w:val="es-CO"/>
        </w:rPr>
      </w:pPr>
      <w:r w:rsidRPr="00241FAC">
        <w:rPr>
          <w:rFonts w:cs="Arial"/>
          <w:szCs w:val="24"/>
          <w:lang w:val="es-CO"/>
        </w:rPr>
        <w:t xml:space="preserve">La </w:t>
      </w:r>
      <w:r w:rsidRPr="00241FAC">
        <w:rPr>
          <w:rFonts w:cs="Arial"/>
          <w:b/>
          <w:szCs w:val="24"/>
          <w:lang w:val="es-CO"/>
        </w:rPr>
        <w:t>tercera hipótesis</w:t>
      </w:r>
      <w:r w:rsidRPr="00241FAC">
        <w:rPr>
          <w:rFonts w:cs="Arial"/>
          <w:szCs w:val="24"/>
          <w:lang w:val="es-CO"/>
        </w:rPr>
        <w:t xml:space="preserve"> corresponderá a los eventos en los cuales la entidad estatal y el adjudicatario </w:t>
      </w:r>
      <w:r w:rsidRPr="00241FAC">
        <w:rPr>
          <w:rFonts w:cs="Arial"/>
          <w:b/>
          <w:szCs w:val="24"/>
          <w:lang w:val="es-CO"/>
        </w:rPr>
        <w:t>proceden a</w:t>
      </w:r>
      <w:r w:rsidRPr="00241FAC">
        <w:rPr>
          <w:rFonts w:cs="Arial"/>
          <w:szCs w:val="24"/>
          <w:lang w:val="es-CO"/>
        </w:rPr>
        <w:t xml:space="preserve"> </w:t>
      </w:r>
      <w:r w:rsidRPr="00241FAC">
        <w:rPr>
          <w:rFonts w:cs="Arial"/>
          <w:b/>
          <w:szCs w:val="24"/>
          <w:lang w:val="es-CO"/>
        </w:rPr>
        <w:t xml:space="preserve">celebrar el contrato estatal antes de que expire el término de los 30 días siguientes </w:t>
      </w:r>
      <w:r w:rsidRPr="00241FAC">
        <w:rPr>
          <w:rFonts w:cs="Arial"/>
          <w:szCs w:val="24"/>
          <w:lang w:val="es-CO"/>
        </w:rPr>
        <w:t>a la notificación, comunicación o publicación del acto de adjudicación, según fuere el caso</w:t>
      </w:r>
      <w:r w:rsidRPr="00241FAC">
        <w:rPr>
          <w:rFonts w:cs="Arial"/>
          <w:b/>
          <w:szCs w:val="24"/>
          <w:lang w:val="es-CO"/>
        </w:rPr>
        <w:t>, sin que para esa fecha el proponente vencido hubiere ejercido la correspondiente acción</w:t>
      </w:r>
      <w:r w:rsidRPr="00241FAC">
        <w:rPr>
          <w:rFonts w:cs="Arial"/>
          <w:szCs w:val="24"/>
          <w:lang w:val="es-CO"/>
        </w:rPr>
        <w:t xml:space="preserve"> de </w:t>
      </w:r>
      <w:r w:rsidRPr="00241FAC">
        <w:rPr>
          <w:rFonts w:cs="Arial"/>
          <w:szCs w:val="24"/>
          <w:lang w:val="es-CO"/>
        </w:rPr>
        <w:lastRenderedPageBreak/>
        <w:t>nulidad y restablecimiento del derecho en contra del acto previo, situación que si bien determina que el interesado ya no podrá ejercer la mencionada acción de nulidad y restablecimiento del derecho, la ley expresamente le dejó abierta la opción para ejercer válidamente la acción contractual, dentro de la cual deberá pretender la nulidad del contrato estatal y la declaratoria de ilegalidad de los actos previos</w:t>
      </w:r>
      <w:r w:rsidRPr="00241FAC">
        <w:rPr>
          <w:rStyle w:val="Refdenotaalpie"/>
          <w:rFonts w:cs="Arial"/>
          <w:szCs w:val="24"/>
          <w:lang w:val="es-CO"/>
        </w:rPr>
        <w:footnoteReference w:id="17"/>
      </w:r>
      <w:r w:rsidRPr="00241FAC">
        <w:rPr>
          <w:rFonts w:cs="Arial"/>
          <w:szCs w:val="24"/>
          <w:lang w:val="es-CO"/>
        </w:rPr>
        <w:t>, pretensión que –según ya se indicó– incluso servirá de fundamento para que prospere aquella de nulidad del contrato, con la anotación de que en estos casos y siempre que la acción contractual se ejerza dentro del mencionado término de 30 días, el interesado también estará legitimado para solicitar el restablecimiento de los derechos que le fueron desconocidos como resultado de la indebida adjudicación, puesto que resultaría ilógico y contrario a los más elementales conceptos de justicia y de equidad, que se asumiere que dicho interesado no pudiere ya formular pretensiones económicas o resarcitorias dentro de la acción contractual que será la única que en este caso tendrá a su disposición, aunque la ejerza dentro del plazo que inicialmente se le fijó para la acción de nulidad y restablecimiento del derecho cuya desaparición sobrevino por razón de la celebración del correspondiente contrato estatal.</w:t>
      </w:r>
    </w:p>
    <w:p w:rsidR="00A60701" w:rsidRPr="00241FAC" w:rsidRDefault="00A60701" w:rsidP="00A60701">
      <w:pPr>
        <w:pStyle w:val="Encabezado"/>
        <w:tabs>
          <w:tab w:val="clear" w:pos="4419"/>
          <w:tab w:val="center" w:pos="284"/>
        </w:tabs>
        <w:ind w:left="284"/>
        <w:rPr>
          <w:rFonts w:cs="Arial"/>
          <w:szCs w:val="24"/>
          <w:lang w:val="es-CO"/>
        </w:rPr>
      </w:pPr>
    </w:p>
    <w:p w:rsidR="00A60701" w:rsidRPr="00241FAC" w:rsidRDefault="00A60701" w:rsidP="00A60701">
      <w:pPr>
        <w:pStyle w:val="Encabezado"/>
        <w:tabs>
          <w:tab w:val="clear" w:pos="4419"/>
          <w:tab w:val="center" w:pos="284"/>
        </w:tabs>
        <w:ind w:left="284"/>
        <w:rPr>
          <w:rFonts w:cs="Arial"/>
          <w:szCs w:val="24"/>
          <w:lang w:val="es-CO"/>
        </w:rPr>
      </w:pPr>
      <w:r w:rsidRPr="00241FAC">
        <w:rPr>
          <w:rFonts w:cs="Arial"/>
          <w:szCs w:val="24"/>
          <w:lang w:val="es-CO"/>
        </w:rPr>
        <w:t>Ahora bien, si en el marco de esta tercera eventualidad se ejerce la correspondiente acción contractual con posterioridad al vencimiento de los mencionados 30 días siguientes a la notificación, comunicación o publicación del acto de adjudicación, según fuere el caso, necesariamente habrá de concluirse de nuevo que en este específico contexto las únicas pretensiones que podrían abrirse paso serán aquellas encaminadas a obtener las correspondientes declaratorias de nulidad del acto administrativo previo de adjudicación y la consiguiente o consecuencial nulidad absoluta del contrato, sin que resulte posible para el Juez de lo Contencioso Administrativo considerar y menos aún estimar las pretensiones económicas resarcitorias del restablecimiento del derecho por la no adjudicación del contrato estatal correspondiente</w:t>
      </w:r>
      <w:r w:rsidRPr="00241FAC">
        <w:rPr>
          <w:rStyle w:val="Refdenotaalpie"/>
          <w:rFonts w:cs="Arial"/>
          <w:szCs w:val="24"/>
          <w:lang w:val="es-CO"/>
        </w:rPr>
        <w:footnoteReference w:id="18"/>
      </w:r>
      <w:r w:rsidRPr="00241FAC">
        <w:rPr>
          <w:rFonts w:cs="Arial"/>
          <w:szCs w:val="24"/>
          <w:lang w:val="es-CO"/>
        </w:rPr>
        <w:t>.</w:t>
      </w:r>
    </w:p>
    <w:p w:rsidR="00A60701" w:rsidRPr="00241FAC" w:rsidRDefault="00A60701" w:rsidP="00205871">
      <w:pPr>
        <w:pStyle w:val="Encabezado"/>
        <w:rPr>
          <w:rFonts w:cs="Arial"/>
          <w:szCs w:val="24"/>
          <w:lang w:val="es-CO"/>
        </w:rPr>
      </w:pPr>
    </w:p>
    <w:p w:rsidR="00205871" w:rsidRPr="00241FAC" w:rsidRDefault="00205871" w:rsidP="00205871">
      <w:pPr>
        <w:rPr>
          <w:rFonts w:cs="Arial"/>
          <w:b/>
        </w:rPr>
      </w:pPr>
      <w:r w:rsidRPr="00241FAC">
        <w:rPr>
          <w:rFonts w:cs="Arial"/>
          <w:b/>
        </w:rPr>
        <w:t>2.3. Ubicación espacio temporal de la demanda en el caso concreto.</w:t>
      </w:r>
    </w:p>
    <w:p w:rsidR="00205871" w:rsidRPr="00241FAC" w:rsidRDefault="00205871" w:rsidP="00205871">
      <w:pPr>
        <w:rPr>
          <w:rFonts w:cs="Arial"/>
        </w:rPr>
      </w:pPr>
    </w:p>
    <w:p w:rsidR="00275819" w:rsidRPr="00241FAC" w:rsidRDefault="00205871" w:rsidP="00205871">
      <w:pPr>
        <w:pStyle w:val="Encabezado"/>
        <w:tabs>
          <w:tab w:val="clear" w:pos="4419"/>
          <w:tab w:val="center" w:pos="0"/>
        </w:tabs>
        <w:rPr>
          <w:rFonts w:cs="Arial"/>
          <w:szCs w:val="24"/>
          <w:lang w:val="es-CO"/>
        </w:rPr>
      </w:pPr>
      <w:r w:rsidRPr="00241FAC">
        <w:rPr>
          <w:rFonts w:cs="Arial"/>
          <w:szCs w:val="24"/>
        </w:rPr>
        <w:t xml:space="preserve">Ahora bien, descendiendo al caso concreto se tiene que la demanda se ubicó en la </w:t>
      </w:r>
      <w:r w:rsidR="002862F4" w:rsidRPr="00241FAC">
        <w:rPr>
          <w:rFonts w:cs="Arial"/>
          <w:b/>
          <w:szCs w:val="24"/>
        </w:rPr>
        <w:t xml:space="preserve">primera </w:t>
      </w:r>
      <w:r w:rsidRPr="00241FAC">
        <w:rPr>
          <w:rFonts w:cs="Arial"/>
          <w:b/>
          <w:szCs w:val="24"/>
        </w:rPr>
        <w:t>hipótesis</w:t>
      </w:r>
      <w:r w:rsidRPr="00241FAC">
        <w:rPr>
          <w:rFonts w:cs="Arial"/>
          <w:szCs w:val="24"/>
        </w:rPr>
        <w:t xml:space="preserve"> planteada en esta providencia</w:t>
      </w:r>
      <w:r w:rsidR="009002EC" w:rsidRPr="00241FAC">
        <w:rPr>
          <w:rFonts w:cs="Arial"/>
          <w:szCs w:val="24"/>
        </w:rPr>
        <w:t>,</w:t>
      </w:r>
      <w:r w:rsidRPr="00241FAC">
        <w:rPr>
          <w:rFonts w:cs="Arial"/>
          <w:szCs w:val="24"/>
        </w:rPr>
        <w:t xml:space="preserve"> como se detalla a continuación</w:t>
      </w:r>
      <w:r w:rsidR="009002EC" w:rsidRPr="00241FAC">
        <w:rPr>
          <w:rFonts w:cs="Arial"/>
          <w:szCs w:val="24"/>
        </w:rPr>
        <w:t>:</w:t>
      </w:r>
      <w:r w:rsidRPr="00241FAC">
        <w:rPr>
          <w:rFonts w:cs="Arial"/>
          <w:szCs w:val="24"/>
        </w:rPr>
        <w:t xml:space="preserve"> l</w:t>
      </w:r>
      <w:r w:rsidRPr="00241FAC">
        <w:rPr>
          <w:rFonts w:cs="Arial"/>
          <w:szCs w:val="24"/>
          <w:lang w:val="es-CO"/>
        </w:rPr>
        <w:t xml:space="preserve">a correspondiente acción </w:t>
      </w:r>
      <w:r w:rsidR="00CF44F9" w:rsidRPr="00241FAC">
        <w:rPr>
          <w:rFonts w:cs="Arial"/>
          <w:szCs w:val="24"/>
          <w:lang w:val="es-CO"/>
        </w:rPr>
        <w:t xml:space="preserve">de nulidad y restablecimiento del derecho </w:t>
      </w:r>
      <w:r w:rsidRPr="00241FAC">
        <w:rPr>
          <w:rFonts w:cs="Arial"/>
          <w:szCs w:val="24"/>
          <w:lang w:val="es-CO"/>
        </w:rPr>
        <w:t xml:space="preserve">se ejerció </w:t>
      </w:r>
      <w:r w:rsidR="001D3EBA" w:rsidRPr="00241FAC">
        <w:rPr>
          <w:rFonts w:cs="Arial"/>
          <w:szCs w:val="24"/>
          <w:lang w:val="es-CO"/>
        </w:rPr>
        <w:t>el</w:t>
      </w:r>
      <w:r w:rsidR="00A60701" w:rsidRPr="00241FAC">
        <w:rPr>
          <w:rFonts w:cs="Arial"/>
          <w:szCs w:val="24"/>
          <w:lang w:val="es-CO"/>
        </w:rPr>
        <w:t xml:space="preserve"> 1</w:t>
      </w:r>
      <w:r w:rsidR="00483F76" w:rsidRPr="00241FAC">
        <w:rPr>
          <w:rFonts w:cs="Arial"/>
          <w:szCs w:val="24"/>
          <w:lang w:val="es-CO"/>
        </w:rPr>
        <w:t>4</w:t>
      </w:r>
      <w:r w:rsidR="008B3602" w:rsidRPr="00241FAC">
        <w:rPr>
          <w:rFonts w:cs="Arial"/>
          <w:szCs w:val="24"/>
          <w:lang w:val="es-CO"/>
        </w:rPr>
        <w:t xml:space="preserve"> </w:t>
      </w:r>
      <w:r w:rsidR="001D3EBA" w:rsidRPr="00241FAC">
        <w:rPr>
          <w:rFonts w:cs="Arial"/>
          <w:szCs w:val="24"/>
          <w:lang w:val="es-CO"/>
        </w:rPr>
        <w:t xml:space="preserve">de </w:t>
      </w:r>
      <w:r w:rsidR="00A60701" w:rsidRPr="00241FAC">
        <w:rPr>
          <w:rFonts w:cs="Arial"/>
          <w:szCs w:val="24"/>
          <w:lang w:val="es-CO"/>
        </w:rPr>
        <w:t xml:space="preserve">noviembre </w:t>
      </w:r>
      <w:r w:rsidR="001D3EBA" w:rsidRPr="00241FAC">
        <w:rPr>
          <w:rFonts w:cs="Arial"/>
          <w:szCs w:val="24"/>
          <w:lang w:val="es-CO"/>
        </w:rPr>
        <w:t>de 20</w:t>
      </w:r>
      <w:r w:rsidR="00A60701" w:rsidRPr="00241FAC">
        <w:rPr>
          <w:rFonts w:cs="Arial"/>
          <w:szCs w:val="24"/>
          <w:lang w:val="es-CO"/>
        </w:rPr>
        <w:t>00</w:t>
      </w:r>
      <w:r w:rsidR="00D30C3C" w:rsidRPr="00241FAC">
        <w:rPr>
          <w:rFonts w:cs="Arial"/>
          <w:szCs w:val="24"/>
          <w:lang w:val="es-CO"/>
        </w:rPr>
        <w:t>, e</w:t>
      </w:r>
      <w:r w:rsidR="00755022" w:rsidRPr="00241FAC">
        <w:rPr>
          <w:rFonts w:cs="Arial"/>
          <w:szCs w:val="24"/>
          <w:lang w:val="es-CO"/>
        </w:rPr>
        <w:t xml:space="preserve">n la misma fecha de </w:t>
      </w:r>
      <w:r w:rsidRPr="00241FAC">
        <w:rPr>
          <w:rFonts w:cs="Arial"/>
          <w:szCs w:val="24"/>
          <w:lang w:val="es-CO"/>
        </w:rPr>
        <w:t xml:space="preserve">vencimiento de los </w:t>
      </w:r>
      <w:r w:rsidR="00483F76" w:rsidRPr="00241FAC">
        <w:rPr>
          <w:rFonts w:cs="Arial"/>
          <w:szCs w:val="24"/>
          <w:lang w:val="es-CO"/>
        </w:rPr>
        <w:t xml:space="preserve">treinta (30) </w:t>
      </w:r>
      <w:r w:rsidRPr="00241FAC">
        <w:rPr>
          <w:rFonts w:cs="Arial"/>
          <w:szCs w:val="24"/>
          <w:lang w:val="es-CO"/>
        </w:rPr>
        <w:t xml:space="preserve">días siguientes a la </w:t>
      </w:r>
      <w:r w:rsidR="001D3EBA" w:rsidRPr="00241FAC">
        <w:rPr>
          <w:rFonts w:cs="Arial"/>
          <w:szCs w:val="24"/>
          <w:lang w:val="es-CO"/>
        </w:rPr>
        <w:t xml:space="preserve">audiencia de adjudicación </w:t>
      </w:r>
      <w:r w:rsidR="0024168A" w:rsidRPr="00241FAC">
        <w:rPr>
          <w:rFonts w:cs="Arial"/>
          <w:szCs w:val="24"/>
          <w:lang w:val="es-CO"/>
        </w:rPr>
        <w:t xml:space="preserve">que </w:t>
      </w:r>
      <w:r w:rsidR="00483F76" w:rsidRPr="00241FAC">
        <w:rPr>
          <w:rFonts w:cs="Arial"/>
          <w:szCs w:val="24"/>
          <w:lang w:val="es-CO"/>
        </w:rPr>
        <w:t xml:space="preserve">se llevó a cabo </w:t>
      </w:r>
      <w:r w:rsidR="0024168A" w:rsidRPr="00241FAC">
        <w:rPr>
          <w:rFonts w:cs="Arial"/>
          <w:szCs w:val="24"/>
          <w:lang w:val="es-CO"/>
        </w:rPr>
        <w:t xml:space="preserve">el </w:t>
      </w:r>
      <w:r w:rsidR="00483F76" w:rsidRPr="00241FAC">
        <w:rPr>
          <w:rFonts w:cs="Arial"/>
          <w:szCs w:val="24"/>
          <w:lang w:val="es-CO"/>
        </w:rPr>
        <w:t>28</w:t>
      </w:r>
      <w:r w:rsidR="00BA5890" w:rsidRPr="00241FAC">
        <w:rPr>
          <w:rFonts w:cs="Arial"/>
          <w:szCs w:val="24"/>
          <w:lang w:val="es-CO"/>
        </w:rPr>
        <w:t xml:space="preserve"> </w:t>
      </w:r>
      <w:r w:rsidR="0024168A" w:rsidRPr="00241FAC">
        <w:rPr>
          <w:rFonts w:cs="Arial"/>
          <w:szCs w:val="24"/>
          <w:lang w:val="es-CO"/>
        </w:rPr>
        <w:t xml:space="preserve">de </w:t>
      </w:r>
      <w:r w:rsidR="00BA5890" w:rsidRPr="00241FAC">
        <w:rPr>
          <w:rFonts w:cs="Arial"/>
          <w:szCs w:val="24"/>
          <w:lang w:val="es-CO"/>
        </w:rPr>
        <w:t xml:space="preserve">septiembre </w:t>
      </w:r>
      <w:r w:rsidR="0024168A" w:rsidRPr="00241FAC">
        <w:rPr>
          <w:rFonts w:cs="Arial"/>
          <w:szCs w:val="24"/>
          <w:lang w:val="es-CO"/>
        </w:rPr>
        <w:t>de 20</w:t>
      </w:r>
      <w:r w:rsidR="00BA5890" w:rsidRPr="00241FAC">
        <w:rPr>
          <w:rFonts w:cs="Arial"/>
          <w:szCs w:val="24"/>
          <w:lang w:val="es-CO"/>
        </w:rPr>
        <w:t>00</w:t>
      </w:r>
      <w:r w:rsidR="0024168A" w:rsidRPr="00241FAC">
        <w:rPr>
          <w:rFonts w:cs="Arial"/>
          <w:szCs w:val="24"/>
          <w:lang w:val="es-CO"/>
        </w:rPr>
        <w:t xml:space="preserve">, en la cual </w:t>
      </w:r>
      <w:r w:rsidR="00FD6AD6" w:rsidRPr="00241FAC">
        <w:rPr>
          <w:rFonts w:cs="Arial"/>
          <w:szCs w:val="24"/>
          <w:lang w:val="es-CO"/>
        </w:rPr>
        <w:t>se comunicó la decisión de adjudicaci</w:t>
      </w:r>
      <w:r w:rsidR="009F5339" w:rsidRPr="00241FAC">
        <w:rPr>
          <w:rFonts w:cs="Arial"/>
          <w:szCs w:val="24"/>
          <w:lang w:val="es-CO"/>
        </w:rPr>
        <w:t>ó</w:t>
      </w:r>
      <w:r w:rsidR="00FD6AD6" w:rsidRPr="00241FAC">
        <w:rPr>
          <w:rFonts w:cs="Arial"/>
          <w:szCs w:val="24"/>
          <w:lang w:val="es-CO"/>
        </w:rPr>
        <w:t xml:space="preserve">n </w:t>
      </w:r>
      <w:r w:rsidR="006553F7" w:rsidRPr="00241FAC">
        <w:rPr>
          <w:rFonts w:cs="Arial"/>
          <w:szCs w:val="24"/>
          <w:lang w:val="es-CO"/>
        </w:rPr>
        <w:t>contenida en la Resolución No.</w:t>
      </w:r>
      <w:r w:rsidR="00BA5890" w:rsidRPr="00241FAC">
        <w:rPr>
          <w:rFonts w:cs="Arial"/>
          <w:szCs w:val="24"/>
          <w:lang w:val="es-CO"/>
        </w:rPr>
        <w:t>285</w:t>
      </w:r>
      <w:r w:rsidR="006553F7" w:rsidRPr="00241FAC">
        <w:rPr>
          <w:rFonts w:cs="Arial"/>
          <w:szCs w:val="24"/>
          <w:lang w:val="es-CO"/>
        </w:rPr>
        <w:t xml:space="preserve"> de la </w:t>
      </w:r>
      <w:r w:rsidR="00755022" w:rsidRPr="00241FAC">
        <w:rPr>
          <w:rFonts w:cs="Arial"/>
          <w:szCs w:val="24"/>
          <w:lang w:val="es-CO"/>
        </w:rPr>
        <w:t>citada</w:t>
      </w:r>
      <w:r w:rsidR="006553F7" w:rsidRPr="00241FAC">
        <w:rPr>
          <w:rFonts w:cs="Arial"/>
          <w:szCs w:val="24"/>
          <w:lang w:val="es-CO"/>
        </w:rPr>
        <w:t xml:space="preserve"> fecha, a todos los asistentes</w:t>
      </w:r>
      <w:r w:rsidR="005654F4" w:rsidRPr="00241FAC">
        <w:rPr>
          <w:rFonts w:cs="Arial"/>
          <w:szCs w:val="24"/>
          <w:lang w:val="es-CO"/>
        </w:rPr>
        <w:t>,</w:t>
      </w:r>
      <w:r w:rsidR="006553F7" w:rsidRPr="00241FAC">
        <w:rPr>
          <w:rFonts w:cs="Arial"/>
          <w:szCs w:val="24"/>
          <w:lang w:val="es-CO"/>
        </w:rPr>
        <w:t xml:space="preserve"> siendo uno de ellos el </w:t>
      </w:r>
      <w:r w:rsidR="00BA5890" w:rsidRPr="00241FAC">
        <w:rPr>
          <w:rFonts w:cs="Arial"/>
          <w:szCs w:val="24"/>
          <w:lang w:val="es-CO"/>
        </w:rPr>
        <w:t xml:space="preserve">representante legal del Consorcio </w:t>
      </w:r>
      <w:proofErr w:type="spellStart"/>
      <w:r w:rsidR="00BA5890" w:rsidRPr="00241FAC">
        <w:rPr>
          <w:rFonts w:cs="Arial"/>
          <w:szCs w:val="24"/>
          <w:lang w:val="es-CO"/>
        </w:rPr>
        <w:t>Construobras</w:t>
      </w:r>
      <w:proofErr w:type="spellEnd"/>
      <w:r w:rsidR="00BA5890" w:rsidRPr="00241FAC">
        <w:rPr>
          <w:rFonts w:cs="Arial"/>
          <w:szCs w:val="24"/>
          <w:lang w:val="es-CO"/>
        </w:rPr>
        <w:t xml:space="preserve">, cuyos integrantes acuden ahora como </w:t>
      </w:r>
      <w:r w:rsidR="001D3EBA" w:rsidRPr="00241FAC">
        <w:rPr>
          <w:rFonts w:cs="Arial"/>
          <w:szCs w:val="24"/>
          <w:lang w:val="es-CO"/>
        </w:rPr>
        <w:t>demandante</w:t>
      </w:r>
      <w:r w:rsidR="00BA5890" w:rsidRPr="00241FAC">
        <w:rPr>
          <w:rFonts w:cs="Arial"/>
          <w:szCs w:val="24"/>
          <w:lang w:val="es-CO"/>
        </w:rPr>
        <w:t>s</w:t>
      </w:r>
      <w:r w:rsidR="006553F7" w:rsidRPr="00241FAC">
        <w:rPr>
          <w:rFonts w:cs="Arial"/>
          <w:szCs w:val="24"/>
          <w:lang w:val="es-CO"/>
        </w:rPr>
        <w:t xml:space="preserve">, </w:t>
      </w:r>
      <w:r w:rsidR="0024168A" w:rsidRPr="00241FAC">
        <w:rPr>
          <w:rFonts w:cs="Arial"/>
          <w:szCs w:val="24"/>
          <w:lang w:val="es-CO"/>
        </w:rPr>
        <w:t xml:space="preserve">ante </w:t>
      </w:r>
      <w:r w:rsidRPr="00241FAC">
        <w:rPr>
          <w:rFonts w:cs="Arial"/>
          <w:szCs w:val="24"/>
          <w:lang w:val="es-CO"/>
        </w:rPr>
        <w:t xml:space="preserve">lo cual se concluye con apoyo en el artículo 87 del Código Contencioso Administrativo, que </w:t>
      </w:r>
      <w:r w:rsidR="0024168A" w:rsidRPr="00241FAC">
        <w:rPr>
          <w:rFonts w:cs="Arial"/>
          <w:szCs w:val="24"/>
          <w:lang w:val="es-CO"/>
        </w:rPr>
        <w:t xml:space="preserve">en este proceso se abre paso el estudio de las pretensiones de </w:t>
      </w:r>
      <w:r w:rsidRPr="00241FAC">
        <w:rPr>
          <w:rFonts w:cs="Arial"/>
          <w:szCs w:val="24"/>
          <w:lang w:val="es-CO"/>
        </w:rPr>
        <w:t>nulidad del acto administrativo previo de adjudicación</w:t>
      </w:r>
      <w:r w:rsidR="006553F7" w:rsidRPr="00241FAC">
        <w:rPr>
          <w:rFonts w:cs="Arial"/>
          <w:szCs w:val="24"/>
          <w:lang w:val="es-CO"/>
        </w:rPr>
        <w:t xml:space="preserve"> con el fin de determinar su procedencia</w:t>
      </w:r>
      <w:r w:rsidR="00275819" w:rsidRPr="00241FAC">
        <w:rPr>
          <w:rFonts w:cs="Arial"/>
          <w:szCs w:val="24"/>
          <w:lang w:val="es-CO"/>
        </w:rPr>
        <w:t xml:space="preserve"> y</w:t>
      </w:r>
      <w:r w:rsidR="007F23EA" w:rsidRPr="00241FAC">
        <w:rPr>
          <w:rFonts w:cs="Arial"/>
          <w:szCs w:val="24"/>
          <w:lang w:val="es-CO"/>
        </w:rPr>
        <w:t>,</w:t>
      </w:r>
      <w:r w:rsidR="00275819" w:rsidRPr="00241FAC">
        <w:rPr>
          <w:rFonts w:cs="Arial"/>
          <w:szCs w:val="24"/>
          <w:lang w:val="es-CO"/>
        </w:rPr>
        <w:t xml:space="preserve"> en caso </w:t>
      </w:r>
      <w:r w:rsidR="007F23EA" w:rsidRPr="00241FAC">
        <w:rPr>
          <w:rFonts w:cs="Arial"/>
          <w:szCs w:val="24"/>
          <w:lang w:val="es-CO"/>
        </w:rPr>
        <w:t>de encontrarlas prósperas</w:t>
      </w:r>
      <w:r w:rsidR="00275819" w:rsidRPr="00241FAC">
        <w:rPr>
          <w:rFonts w:cs="Arial"/>
          <w:szCs w:val="24"/>
          <w:lang w:val="es-CO"/>
        </w:rPr>
        <w:t xml:space="preserve">, igualmente habrá lugar a conocer de las pretensiones de restablecimiento del derecho, puesto que el demandante obró </w:t>
      </w:r>
      <w:r w:rsidR="007F23EA" w:rsidRPr="00241FAC">
        <w:rPr>
          <w:rFonts w:cs="Arial"/>
          <w:szCs w:val="24"/>
          <w:lang w:val="es-CO"/>
        </w:rPr>
        <w:t xml:space="preserve">dentro de </w:t>
      </w:r>
      <w:r w:rsidR="00275819" w:rsidRPr="00241FAC">
        <w:rPr>
          <w:rFonts w:cs="Arial"/>
          <w:szCs w:val="24"/>
          <w:lang w:val="es-CO"/>
        </w:rPr>
        <w:t xml:space="preserve">la oportunidad </w:t>
      </w:r>
      <w:r w:rsidR="007F23EA" w:rsidRPr="00241FAC">
        <w:rPr>
          <w:rFonts w:cs="Arial"/>
          <w:szCs w:val="24"/>
          <w:lang w:val="es-CO"/>
        </w:rPr>
        <w:t xml:space="preserve">legal establecida </w:t>
      </w:r>
      <w:r w:rsidR="00275819" w:rsidRPr="00241FAC">
        <w:rPr>
          <w:rFonts w:cs="Arial"/>
          <w:szCs w:val="24"/>
          <w:lang w:val="es-CO"/>
        </w:rPr>
        <w:t>para impetrar ambas pretensiones.</w:t>
      </w:r>
    </w:p>
    <w:p w:rsidR="0024168A" w:rsidRPr="00241FAC" w:rsidRDefault="0024168A" w:rsidP="00205871">
      <w:pPr>
        <w:pStyle w:val="Encabezado"/>
        <w:tabs>
          <w:tab w:val="clear" w:pos="4419"/>
          <w:tab w:val="center" w:pos="0"/>
        </w:tabs>
        <w:rPr>
          <w:rFonts w:cs="Arial"/>
          <w:szCs w:val="24"/>
          <w:lang w:val="es-CO"/>
        </w:rPr>
      </w:pPr>
    </w:p>
    <w:p w:rsidR="00205871" w:rsidRPr="00241FAC" w:rsidRDefault="00205871" w:rsidP="00205871">
      <w:pPr>
        <w:pStyle w:val="Textoindependiente"/>
        <w:widowControl w:val="0"/>
        <w:rPr>
          <w:rFonts w:cs="Arial"/>
          <w:szCs w:val="24"/>
        </w:rPr>
      </w:pPr>
      <w:r w:rsidRPr="00241FAC">
        <w:rPr>
          <w:rFonts w:cs="Arial"/>
          <w:szCs w:val="24"/>
        </w:rPr>
        <w:t xml:space="preserve">Al respecto cabe recordar que el cómputo de días hábiles para efectos del inciso segundo del artículo 87 del Código Contencioso Administrativo excluye los días no laborables de conformidad con el artículo 70 del Código Civil, </w:t>
      </w:r>
      <w:r w:rsidRPr="00241FAC">
        <w:rPr>
          <w:rFonts w:cs="Arial"/>
          <w:szCs w:val="24"/>
          <w:lang w:val="es-ES"/>
        </w:rPr>
        <w:t>subrogado por el artículo 62 del Código de Régimen Político y Municipal (CRPM)</w:t>
      </w:r>
      <w:r w:rsidRPr="00241FAC">
        <w:rPr>
          <w:rStyle w:val="Refdenotaalpie"/>
          <w:rFonts w:cs="Arial"/>
          <w:szCs w:val="24"/>
          <w:lang w:val="es-ES"/>
        </w:rPr>
        <w:footnoteReference w:id="19"/>
      </w:r>
      <w:r w:rsidR="007F23EA" w:rsidRPr="00241FAC">
        <w:rPr>
          <w:rFonts w:cs="Arial"/>
          <w:szCs w:val="24"/>
          <w:lang w:val="es-ES"/>
        </w:rPr>
        <w:t xml:space="preserve"> </w:t>
      </w:r>
      <w:r w:rsidRPr="00241FAC">
        <w:rPr>
          <w:rFonts w:cs="Arial"/>
          <w:szCs w:val="24"/>
        </w:rPr>
        <w:t>y, por otra parte</w:t>
      </w:r>
      <w:r w:rsidR="00F9493E" w:rsidRPr="00241FAC">
        <w:rPr>
          <w:rFonts w:cs="Arial"/>
          <w:szCs w:val="24"/>
        </w:rPr>
        <w:t>,</w:t>
      </w:r>
      <w:r w:rsidRPr="00241FAC">
        <w:rPr>
          <w:rFonts w:cs="Arial"/>
          <w:szCs w:val="24"/>
        </w:rPr>
        <w:t xml:space="preserve"> </w:t>
      </w:r>
      <w:r w:rsidR="007F23EA" w:rsidRPr="00241FAC">
        <w:rPr>
          <w:rFonts w:cs="Arial"/>
          <w:szCs w:val="24"/>
        </w:rPr>
        <w:t xml:space="preserve">si </w:t>
      </w:r>
      <w:r w:rsidRPr="00241FAC">
        <w:rPr>
          <w:rFonts w:cs="Arial"/>
          <w:szCs w:val="24"/>
        </w:rPr>
        <w:t>se tiene en cuenta que la Ley 51 de 1983 trasladó el descanso remunerado de algunos días festivos al lunes siguiente, por lo tanto, en el período que ocupa la atención de la Sala para el cómputo del término de caducidad, los días</w:t>
      </w:r>
      <w:r w:rsidR="009C142F" w:rsidRPr="00241FAC">
        <w:rPr>
          <w:rFonts w:cs="Arial"/>
          <w:szCs w:val="24"/>
        </w:rPr>
        <w:t xml:space="preserve"> 16 de octubre, 6 y 13 de noviembre de 2000</w:t>
      </w:r>
      <w:r w:rsidRPr="00241FAC">
        <w:rPr>
          <w:rFonts w:cs="Arial"/>
          <w:szCs w:val="24"/>
        </w:rPr>
        <w:t xml:space="preserve"> correspondieron a días no laborables</w:t>
      </w:r>
      <w:r w:rsidR="000E61D2" w:rsidRPr="00241FAC">
        <w:rPr>
          <w:rStyle w:val="Refdenotaalpie"/>
          <w:rFonts w:cs="Arial"/>
          <w:szCs w:val="24"/>
        </w:rPr>
        <w:footnoteReference w:id="20"/>
      </w:r>
      <w:r w:rsidRPr="00241FAC">
        <w:rPr>
          <w:rFonts w:cs="Arial"/>
          <w:szCs w:val="24"/>
        </w:rPr>
        <w:t>,</w:t>
      </w:r>
      <w:r w:rsidR="005C707E" w:rsidRPr="00241FAC">
        <w:rPr>
          <w:rFonts w:cs="Arial"/>
          <w:szCs w:val="24"/>
        </w:rPr>
        <w:t xml:space="preserve"> </w:t>
      </w:r>
      <w:r w:rsidRPr="00241FAC">
        <w:rPr>
          <w:rFonts w:cs="Arial"/>
          <w:szCs w:val="24"/>
        </w:rPr>
        <w:t>razón por la cual no pueden contarse dentro del respectivo término.</w:t>
      </w:r>
    </w:p>
    <w:p w:rsidR="00205871" w:rsidRPr="00241FAC" w:rsidRDefault="00205871" w:rsidP="00205871">
      <w:pPr>
        <w:pStyle w:val="Textoindependiente"/>
        <w:widowControl w:val="0"/>
        <w:rPr>
          <w:rFonts w:cs="Arial"/>
          <w:szCs w:val="24"/>
        </w:rPr>
      </w:pPr>
    </w:p>
    <w:p w:rsidR="005B5CC8" w:rsidRPr="00241FAC" w:rsidRDefault="00205871" w:rsidP="00205871">
      <w:pPr>
        <w:pStyle w:val="Textoindependiente"/>
        <w:autoSpaceDE/>
        <w:autoSpaceDN/>
        <w:adjustRightInd/>
        <w:rPr>
          <w:rFonts w:cs="Arial"/>
          <w:color w:val="000000"/>
          <w:szCs w:val="24"/>
        </w:rPr>
      </w:pPr>
      <w:r w:rsidRPr="00241FAC">
        <w:rPr>
          <w:rFonts w:cs="Arial"/>
          <w:color w:val="000000"/>
          <w:szCs w:val="24"/>
        </w:rPr>
        <w:lastRenderedPageBreak/>
        <w:t xml:space="preserve">Por otra parte, se debe tener </w:t>
      </w:r>
      <w:r w:rsidR="007F23EA" w:rsidRPr="00241FAC">
        <w:rPr>
          <w:rFonts w:cs="Arial"/>
          <w:color w:val="000000"/>
          <w:szCs w:val="24"/>
        </w:rPr>
        <w:t>presente</w:t>
      </w:r>
      <w:r w:rsidRPr="00241FAC">
        <w:rPr>
          <w:rFonts w:cs="Arial"/>
          <w:color w:val="000000"/>
          <w:szCs w:val="24"/>
        </w:rPr>
        <w:t xml:space="preserve"> que e</w:t>
      </w:r>
      <w:r w:rsidR="00575AC1" w:rsidRPr="00241FAC">
        <w:rPr>
          <w:rFonts w:cs="Arial"/>
          <w:color w:val="000000"/>
          <w:szCs w:val="24"/>
        </w:rPr>
        <w:t xml:space="preserve">n este proceso no se tuvo noticia de la </w:t>
      </w:r>
      <w:r w:rsidR="008B3807" w:rsidRPr="00241FAC">
        <w:rPr>
          <w:rFonts w:cs="Arial"/>
          <w:color w:val="000000"/>
          <w:szCs w:val="24"/>
        </w:rPr>
        <w:t xml:space="preserve">fecha de </w:t>
      </w:r>
      <w:r w:rsidR="00575AC1" w:rsidRPr="00241FAC">
        <w:rPr>
          <w:rFonts w:cs="Arial"/>
          <w:color w:val="000000"/>
          <w:szCs w:val="24"/>
        </w:rPr>
        <w:t>celebración del c</w:t>
      </w:r>
      <w:r w:rsidRPr="00241FAC">
        <w:rPr>
          <w:rFonts w:cs="Arial"/>
          <w:color w:val="000000"/>
          <w:szCs w:val="24"/>
        </w:rPr>
        <w:t xml:space="preserve">ontrato de </w:t>
      </w:r>
      <w:r w:rsidR="00575AC1" w:rsidRPr="00241FAC">
        <w:rPr>
          <w:rFonts w:cs="Arial"/>
          <w:color w:val="000000"/>
          <w:szCs w:val="24"/>
        </w:rPr>
        <w:t>obra adjudicado</w:t>
      </w:r>
      <w:r w:rsidR="00220DE1" w:rsidRPr="00241FAC">
        <w:rPr>
          <w:rFonts w:cs="Arial"/>
          <w:color w:val="000000"/>
          <w:szCs w:val="24"/>
        </w:rPr>
        <w:t xml:space="preserve"> </w:t>
      </w:r>
      <w:r w:rsidR="00CE7889" w:rsidRPr="00241FAC">
        <w:rPr>
          <w:rFonts w:cs="Arial"/>
          <w:color w:val="000000"/>
          <w:szCs w:val="24"/>
        </w:rPr>
        <w:t xml:space="preserve">mediante </w:t>
      </w:r>
      <w:r w:rsidR="00220DE1" w:rsidRPr="00241FAC">
        <w:rPr>
          <w:rFonts w:cs="Arial"/>
          <w:color w:val="000000"/>
          <w:szCs w:val="24"/>
        </w:rPr>
        <w:t>el acto administrativo demandado</w:t>
      </w:r>
      <w:r w:rsidR="00575AC1" w:rsidRPr="00241FAC">
        <w:rPr>
          <w:rFonts w:cs="Arial"/>
          <w:color w:val="000000"/>
          <w:szCs w:val="24"/>
        </w:rPr>
        <w:t>, p</w:t>
      </w:r>
      <w:r w:rsidR="00CE7889" w:rsidRPr="00241FAC">
        <w:rPr>
          <w:rFonts w:cs="Arial"/>
          <w:color w:val="000000"/>
          <w:szCs w:val="24"/>
        </w:rPr>
        <w:t xml:space="preserve">uesto </w:t>
      </w:r>
      <w:r w:rsidR="00575AC1" w:rsidRPr="00241FAC">
        <w:rPr>
          <w:rFonts w:cs="Arial"/>
          <w:color w:val="000000"/>
          <w:szCs w:val="24"/>
        </w:rPr>
        <w:t xml:space="preserve">que no hubo mención de tal hecho ni en la demanda </w:t>
      </w:r>
      <w:r w:rsidR="009D4AD8" w:rsidRPr="00241FAC">
        <w:rPr>
          <w:rFonts w:cs="Arial"/>
          <w:color w:val="000000"/>
          <w:szCs w:val="24"/>
        </w:rPr>
        <w:t>de la parte</w:t>
      </w:r>
      <w:r w:rsidR="00957F2A" w:rsidRPr="00241FAC">
        <w:rPr>
          <w:rFonts w:cs="Arial"/>
          <w:color w:val="000000"/>
          <w:szCs w:val="24"/>
        </w:rPr>
        <w:t xml:space="preserve"> actora, </w:t>
      </w:r>
      <w:r w:rsidR="00575AC1" w:rsidRPr="00241FAC">
        <w:rPr>
          <w:rFonts w:cs="Arial"/>
          <w:color w:val="000000"/>
          <w:szCs w:val="24"/>
        </w:rPr>
        <w:t>ni en la contestación de la demanda</w:t>
      </w:r>
      <w:r w:rsidR="008B3807" w:rsidRPr="00241FAC">
        <w:rPr>
          <w:rFonts w:cs="Arial"/>
          <w:color w:val="000000"/>
          <w:szCs w:val="24"/>
        </w:rPr>
        <w:t xml:space="preserve"> por parte del Municipio de Purificación</w:t>
      </w:r>
      <w:r w:rsidR="00575AC1" w:rsidRPr="00241FAC">
        <w:rPr>
          <w:rFonts w:cs="Arial"/>
          <w:color w:val="000000"/>
          <w:szCs w:val="24"/>
        </w:rPr>
        <w:t>, a</w:t>
      </w:r>
      <w:r w:rsidR="008B3807" w:rsidRPr="00241FAC">
        <w:rPr>
          <w:rFonts w:cs="Arial"/>
          <w:color w:val="000000"/>
          <w:szCs w:val="24"/>
        </w:rPr>
        <w:t xml:space="preserve">l paso que </w:t>
      </w:r>
      <w:r w:rsidR="00286525" w:rsidRPr="00241FAC">
        <w:rPr>
          <w:rFonts w:cs="Arial"/>
          <w:color w:val="000000"/>
          <w:szCs w:val="24"/>
        </w:rPr>
        <w:t xml:space="preserve">sólo </w:t>
      </w:r>
      <w:r w:rsidR="008B3807" w:rsidRPr="00241FAC">
        <w:rPr>
          <w:rFonts w:cs="Arial"/>
          <w:color w:val="000000"/>
          <w:szCs w:val="24"/>
        </w:rPr>
        <w:t xml:space="preserve">se supo que el contrato </w:t>
      </w:r>
      <w:r w:rsidR="0009634B" w:rsidRPr="00241FAC">
        <w:rPr>
          <w:rFonts w:cs="Arial"/>
          <w:color w:val="000000"/>
          <w:szCs w:val="24"/>
        </w:rPr>
        <w:t xml:space="preserve">correspondiente </w:t>
      </w:r>
      <w:r w:rsidR="008B3807" w:rsidRPr="00241FAC">
        <w:rPr>
          <w:rFonts w:cs="Arial"/>
          <w:color w:val="000000"/>
          <w:szCs w:val="24"/>
        </w:rPr>
        <w:t xml:space="preserve">se firmó con el </w:t>
      </w:r>
      <w:r w:rsidR="00957F2A" w:rsidRPr="00241FAC">
        <w:rPr>
          <w:rFonts w:cs="Arial"/>
          <w:color w:val="000000"/>
          <w:szCs w:val="24"/>
        </w:rPr>
        <w:t>número</w:t>
      </w:r>
      <w:r w:rsidR="008B3807" w:rsidRPr="00241FAC">
        <w:rPr>
          <w:rFonts w:cs="Arial"/>
          <w:color w:val="000000"/>
          <w:szCs w:val="24"/>
        </w:rPr>
        <w:t xml:space="preserve"> 176 de 2000,</w:t>
      </w:r>
      <w:r w:rsidR="00957F2A" w:rsidRPr="00241FAC">
        <w:rPr>
          <w:rFonts w:cs="Arial"/>
          <w:color w:val="000000"/>
          <w:szCs w:val="24"/>
        </w:rPr>
        <w:t xml:space="preserve"> sin conocerse </w:t>
      </w:r>
      <w:r w:rsidR="007F23EA" w:rsidRPr="00241FAC">
        <w:rPr>
          <w:rFonts w:cs="Arial"/>
          <w:color w:val="000000"/>
          <w:szCs w:val="24"/>
        </w:rPr>
        <w:t>su</w:t>
      </w:r>
      <w:r w:rsidR="00957F2A" w:rsidRPr="00241FAC">
        <w:rPr>
          <w:rFonts w:cs="Arial"/>
          <w:color w:val="000000"/>
          <w:szCs w:val="24"/>
        </w:rPr>
        <w:t xml:space="preserve"> fecha</w:t>
      </w:r>
      <w:r w:rsidR="00184268" w:rsidRPr="00241FAC">
        <w:rPr>
          <w:rFonts w:cs="Arial"/>
          <w:color w:val="000000"/>
          <w:szCs w:val="24"/>
        </w:rPr>
        <w:t xml:space="preserve"> de celebración</w:t>
      </w:r>
      <w:r w:rsidR="00957F2A" w:rsidRPr="00241FAC">
        <w:rPr>
          <w:rFonts w:cs="Arial"/>
          <w:color w:val="000000"/>
          <w:szCs w:val="24"/>
        </w:rPr>
        <w:t xml:space="preserve">, por cuanto este dato se allegó al proceso a través de </w:t>
      </w:r>
      <w:r w:rsidR="008B3807" w:rsidRPr="00241FAC">
        <w:rPr>
          <w:rFonts w:cs="Arial"/>
          <w:color w:val="000000"/>
          <w:szCs w:val="24"/>
        </w:rPr>
        <w:t xml:space="preserve">la Resolución No. 0082 de 20 de marzo de 2001 </w:t>
      </w:r>
      <w:r w:rsidR="00957F2A" w:rsidRPr="00241FAC">
        <w:rPr>
          <w:rFonts w:cs="Arial"/>
          <w:color w:val="000000"/>
          <w:szCs w:val="24"/>
        </w:rPr>
        <w:t xml:space="preserve">de la Alcaldía Municipal de Purificación, la cual </w:t>
      </w:r>
      <w:r w:rsidR="008B3807" w:rsidRPr="00241FAC">
        <w:rPr>
          <w:rFonts w:cs="Arial"/>
          <w:color w:val="000000"/>
          <w:szCs w:val="24"/>
        </w:rPr>
        <w:t xml:space="preserve">fue </w:t>
      </w:r>
      <w:r w:rsidR="00755022" w:rsidRPr="00241FAC">
        <w:rPr>
          <w:rFonts w:cs="Arial"/>
          <w:color w:val="000000"/>
          <w:szCs w:val="24"/>
        </w:rPr>
        <w:t xml:space="preserve">citada </w:t>
      </w:r>
      <w:r w:rsidR="00184268" w:rsidRPr="00241FAC">
        <w:rPr>
          <w:rFonts w:cs="Arial"/>
          <w:color w:val="000000"/>
          <w:szCs w:val="24"/>
        </w:rPr>
        <w:t xml:space="preserve">por el Consorcio Luis Eduardo Gómez y otro, </w:t>
      </w:r>
      <w:r w:rsidR="009D4AD8" w:rsidRPr="00241FAC">
        <w:rPr>
          <w:rFonts w:cs="Arial"/>
          <w:color w:val="000000"/>
          <w:szCs w:val="24"/>
        </w:rPr>
        <w:t>como anexo de la contestación a la demanda el 17 de febrero de 2003</w:t>
      </w:r>
      <w:r w:rsidR="00755022" w:rsidRPr="00241FAC">
        <w:rPr>
          <w:rFonts w:cs="Arial"/>
          <w:color w:val="000000"/>
          <w:szCs w:val="24"/>
        </w:rPr>
        <w:t>,</w:t>
      </w:r>
      <w:r w:rsidR="006F5355" w:rsidRPr="00241FAC">
        <w:rPr>
          <w:rFonts w:cs="Arial"/>
          <w:color w:val="000000"/>
          <w:szCs w:val="24"/>
        </w:rPr>
        <w:t xml:space="preserve"> todo lo cual lleva a concluir que para la fecha de la demanda no se conocía ni se debía conocer </w:t>
      </w:r>
      <w:r w:rsidR="004913FE" w:rsidRPr="00241FAC">
        <w:rPr>
          <w:rFonts w:cs="Arial"/>
          <w:color w:val="000000"/>
          <w:szCs w:val="24"/>
        </w:rPr>
        <w:t xml:space="preserve">por la parte actora, </w:t>
      </w:r>
      <w:r w:rsidR="006F5355" w:rsidRPr="00241FAC">
        <w:rPr>
          <w:rFonts w:cs="Arial"/>
          <w:color w:val="000000"/>
          <w:szCs w:val="24"/>
        </w:rPr>
        <w:t xml:space="preserve">el contrato </w:t>
      </w:r>
      <w:r w:rsidR="00EB1443" w:rsidRPr="00241FAC">
        <w:rPr>
          <w:rFonts w:cs="Arial"/>
          <w:color w:val="000000"/>
          <w:szCs w:val="24"/>
        </w:rPr>
        <w:t xml:space="preserve">correspondiente a la adjudicación realizada mediante el acto </w:t>
      </w:r>
      <w:r w:rsidR="004913FE" w:rsidRPr="00241FAC">
        <w:rPr>
          <w:rFonts w:cs="Arial"/>
          <w:color w:val="000000"/>
          <w:szCs w:val="24"/>
        </w:rPr>
        <w:t xml:space="preserve">administrativo </w:t>
      </w:r>
      <w:r w:rsidR="00EB1443" w:rsidRPr="00241FAC">
        <w:rPr>
          <w:rFonts w:cs="Arial"/>
          <w:color w:val="000000"/>
          <w:szCs w:val="24"/>
        </w:rPr>
        <w:t xml:space="preserve">acusado </w:t>
      </w:r>
      <w:r w:rsidR="00220DE1" w:rsidRPr="00241FAC">
        <w:rPr>
          <w:rFonts w:cs="Arial"/>
          <w:color w:val="000000"/>
          <w:szCs w:val="24"/>
        </w:rPr>
        <w:t>y</w:t>
      </w:r>
      <w:r w:rsidR="007F23EA" w:rsidRPr="00241FAC">
        <w:rPr>
          <w:rFonts w:cs="Arial"/>
          <w:color w:val="000000"/>
          <w:szCs w:val="24"/>
        </w:rPr>
        <w:t>,</w:t>
      </w:r>
      <w:r w:rsidR="00F90BF5" w:rsidRPr="00241FAC">
        <w:rPr>
          <w:rFonts w:cs="Arial"/>
          <w:color w:val="000000"/>
          <w:szCs w:val="24"/>
        </w:rPr>
        <w:t xml:space="preserve"> </w:t>
      </w:r>
      <w:r w:rsidR="005B5CC8" w:rsidRPr="00241FAC">
        <w:rPr>
          <w:rFonts w:cs="Arial"/>
          <w:color w:val="000000"/>
          <w:szCs w:val="24"/>
        </w:rPr>
        <w:t>en consecuencia</w:t>
      </w:r>
      <w:r w:rsidR="00855F32" w:rsidRPr="00241FAC">
        <w:rPr>
          <w:rFonts w:cs="Arial"/>
          <w:color w:val="000000"/>
          <w:szCs w:val="24"/>
        </w:rPr>
        <w:t>,</w:t>
      </w:r>
      <w:r w:rsidR="005B5CC8" w:rsidRPr="00241FAC">
        <w:rPr>
          <w:rFonts w:cs="Arial"/>
          <w:color w:val="000000"/>
          <w:szCs w:val="24"/>
        </w:rPr>
        <w:t xml:space="preserve"> en este caso particular </w:t>
      </w:r>
      <w:r w:rsidR="00F90BF5" w:rsidRPr="00241FAC">
        <w:rPr>
          <w:rFonts w:cs="Arial"/>
          <w:color w:val="000000"/>
          <w:szCs w:val="24"/>
        </w:rPr>
        <w:t>n</w:t>
      </w:r>
      <w:r w:rsidR="005B5CC8" w:rsidRPr="00241FAC">
        <w:rPr>
          <w:rFonts w:cs="Arial"/>
          <w:color w:val="000000"/>
          <w:szCs w:val="24"/>
        </w:rPr>
        <w:t>o se puede imponer al demandante la carga de</w:t>
      </w:r>
      <w:r w:rsidR="00855F32" w:rsidRPr="00241FAC">
        <w:rPr>
          <w:rFonts w:cs="Arial"/>
          <w:color w:val="000000"/>
          <w:szCs w:val="24"/>
        </w:rPr>
        <w:t xml:space="preserve"> haber </w:t>
      </w:r>
      <w:r w:rsidR="00921097" w:rsidRPr="00241FAC">
        <w:rPr>
          <w:rFonts w:cs="Arial"/>
          <w:color w:val="000000"/>
          <w:szCs w:val="24"/>
        </w:rPr>
        <w:t xml:space="preserve">impugnado </w:t>
      </w:r>
      <w:r w:rsidR="00855F32" w:rsidRPr="00241FAC">
        <w:rPr>
          <w:rFonts w:cs="Arial"/>
          <w:color w:val="000000"/>
          <w:szCs w:val="24"/>
        </w:rPr>
        <w:t>el contrato junto con el acto de adjudicación</w:t>
      </w:r>
      <w:r w:rsidR="005B5CC8" w:rsidRPr="00241FAC">
        <w:rPr>
          <w:rFonts w:cs="Arial"/>
          <w:color w:val="000000"/>
          <w:szCs w:val="24"/>
        </w:rPr>
        <w:t>.</w:t>
      </w:r>
    </w:p>
    <w:p w:rsidR="005B5CC8" w:rsidRPr="00241FAC" w:rsidRDefault="005B5CC8" w:rsidP="00205871">
      <w:pPr>
        <w:pStyle w:val="Textoindependiente"/>
        <w:autoSpaceDE/>
        <w:autoSpaceDN/>
        <w:adjustRightInd/>
        <w:rPr>
          <w:rFonts w:cs="Arial"/>
          <w:color w:val="000000"/>
          <w:szCs w:val="24"/>
        </w:rPr>
      </w:pPr>
    </w:p>
    <w:p w:rsidR="00E36658" w:rsidRPr="00241FAC" w:rsidRDefault="00921097" w:rsidP="00205871">
      <w:pPr>
        <w:pStyle w:val="Textoindependiente"/>
        <w:autoSpaceDE/>
        <w:autoSpaceDN/>
        <w:adjustRightInd/>
        <w:rPr>
          <w:rFonts w:cs="Arial"/>
          <w:color w:val="000000"/>
          <w:szCs w:val="24"/>
        </w:rPr>
      </w:pPr>
      <w:r w:rsidRPr="00241FAC">
        <w:rPr>
          <w:rFonts w:cs="Arial"/>
          <w:color w:val="000000"/>
          <w:szCs w:val="24"/>
        </w:rPr>
        <w:t xml:space="preserve">Igualmente se observa que </w:t>
      </w:r>
      <w:r w:rsidR="00575A4C" w:rsidRPr="00241FAC">
        <w:rPr>
          <w:rFonts w:cs="Arial"/>
          <w:color w:val="000000"/>
          <w:szCs w:val="24"/>
        </w:rPr>
        <w:t xml:space="preserve">en el Pliego de Condiciones </w:t>
      </w:r>
      <w:r w:rsidR="00895B30" w:rsidRPr="00241FAC">
        <w:rPr>
          <w:rFonts w:cs="Arial"/>
          <w:color w:val="000000"/>
          <w:szCs w:val="24"/>
        </w:rPr>
        <w:t xml:space="preserve">de la Licitación Pública 01 de 2000 </w:t>
      </w:r>
      <w:r w:rsidR="00B83402" w:rsidRPr="00241FAC">
        <w:rPr>
          <w:rFonts w:cs="Arial"/>
          <w:color w:val="000000"/>
          <w:szCs w:val="24"/>
        </w:rPr>
        <w:t>se establec</w:t>
      </w:r>
      <w:r w:rsidR="00855F32" w:rsidRPr="00241FAC">
        <w:rPr>
          <w:rFonts w:cs="Arial"/>
          <w:color w:val="000000"/>
          <w:szCs w:val="24"/>
        </w:rPr>
        <w:t>ió</w:t>
      </w:r>
      <w:r w:rsidR="00B83402" w:rsidRPr="00241FAC">
        <w:rPr>
          <w:rFonts w:cs="Arial"/>
          <w:color w:val="000000"/>
          <w:szCs w:val="24"/>
        </w:rPr>
        <w:t xml:space="preserve"> </w:t>
      </w:r>
      <w:r w:rsidR="00313DA5" w:rsidRPr="00241FAC">
        <w:rPr>
          <w:rFonts w:cs="Arial"/>
          <w:color w:val="000000"/>
          <w:szCs w:val="24"/>
        </w:rPr>
        <w:t xml:space="preserve">que </w:t>
      </w:r>
      <w:r w:rsidR="00B83402" w:rsidRPr="00241FAC">
        <w:rPr>
          <w:rFonts w:cs="Arial"/>
          <w:color w:val="000000"/>
          <w:szCs w:val="24"/>
        </w:rPr>
        <w:t xml:space="preserve">la firma del contrato </w:t>
      </w:r>
      <w:r w:rsidR="00313DA5" w:rsidRPr="00241FAC">
        <w:rPr>
          <w:rFonts w:cs="Arial"/>
          <w:color w:val="000000"/>
          <w:szCs w:val="24"/>
        </w:rPr>
        <w:t xml:space="preserve">se realizaría </w:t>
      </w:r>
      <w:r w:rsidR="00B83402" w:rsidRPr="00241FAC">
        <w:rPr>
          <w:rFonts w:cs="Arial"/>
          <w:color w:val="000000"/>
          <w:szCs w:val="24"/>
        </w:rPr>
        <w:t xml:space="preserve">dentro de los </w:t>
      </w:r>
      <w:r w:rsidR="008C0BE7" w:rsidRPr="00241FAC">
        <w:rPr>
          <w:rFonts w:cs="Arial"/>
          <w:color w:val="000000"/>
          <w:szCs w:val="24"/>
        </w:rPr>
        <w:t xml:space="preserve">cinco (5) días </w:t>
      </w:r>
      <w:r w:rsidR="00B83402" w:rsidRPr="00241FAC">
        <w:rPr>
          <w:rFonts w:cs="Arial"/>
          <w:color w:val="000000"/>
          <w:szCs w:val="24"/>
        </w:rPr>
        <w:t xml:space="preserve">siguientes a la fecha de </w:t>
      </w:r>
      <w:r w:rsidR="008C0BE7" w:rsidRPr="00241FAC">
        <w:rPr>
          <w:rFonts w:cs="Arial"/>
          <w:color w:val="000000"/>
          <w:szCs w:val="24"/>
        </w:rPr>
        <w:t>recibo de la minuta correspondiente por parte del proponente seleccionado</w:t>
      </w:r>
      <w:r w:rsidR="00895B30" w:rsidRPr="00241FAC">
        <w:rPr>
          <w:rStyle w:val="Refdenotaalpie"/>
          <w:rFonts w:cs="Arial"/>
          <w:color w:val="000000"/>
          <w:szCs w:val="24"/>
        </w:rPr>
        <w:footnoteReference w:id="21"/>
      </w:r>
      <w:r w:rsidR="008C0BE7" w:rsidRPr="00241FAC">
        <w:rPr>
          <w:rFonts w:cs="Arial"/>
          <w:color w:val="000000"/>
          <w:szCs w:val="24"/>
        </w:rPr>
        <w:t xml:space="preserve"> </w:t>
      </w:r>
      <w:r w:rsidR="0065649E" w:rsidRPr="00241FAC">
        <w:rPr>
          <w:rFonts w:cs="Arial"/>
          <w:color w:val="000000"/>
          <w:szCs w:val="24"/>
        </w:rPr>
        <w:t>y</w:t>
      </w:r>
      <w:r w:rsidR="00B83402" w:rsidRPr="00241FAC">
        <w:rPr>
          <w:rFonts w:cs="Arial"/>
          <w:color w:val="000000"/>
          <w:szCs w:val="24"/>
        </w:rPr>
        <w:t xml:space="preserve"> </w:t>
      </w:r>
      <w:r w:rsidR="00A65794" w:rsidRPr="00241FAC">
        <w:rPr>
          <w:rFonts w:cs="Arial"/>
          <w:color w:val="000000"/>
          <w:szCs w:val="24"/>
        </w:rPr>
        <w:t xml:space="preserve">sobre esa base se mencionó en el </w:t>
      </w:r>
      <w:proofErr w:type="spellStart"/>
      <w:r w:rsidR="00A65794" w:rsidRPr="00241FAC">
        <w:rPr>
          <w:rFonts w:cs="Arial"/>
          <w:color w:val="000000"/>
          <w:szCs w:val="24"/>
        </w:rPr>
        <w:t>adendo</w:t>
      </w:r>
      <w:proofErr w:type="spellEnd"/>
      <w:r w:rsidR="00A65794" w:rsidRPr="00241FAC">
        <w:rPr>
          <w:rFonts w:cs="Arial"/>
          <w:color w:val="000000"/>
          <w:szCs w:val="24"/>
        </w:rPr>
        <w:t xml:space="preserve"> No. 2 la fecha de firma el 5 de octubre de 2000, no obstante lo cual </w:t>
      </w:r>
      <w:r w:rsidR="008C0BE7" w:rsidRPr="00241FAC">
        <w:rPr>
          <w:rFonts w:cs="Arial"/>
          <w:color w:val="000000"/>
          <w:szCs w:val="24"/>
        </w:rPr>
        <w:t xml:space="preserve">no </w:t>
      </w:r>
      <w:r w:rsidR="00B83402" w:rsidRPr="00241FAC">
        <w:rPr>
          <w:rFonts w:cs="Arial"/>
          <w:color w:val="000000"/>
          <w:szCs w:val="24"/>
        </w:rPr>
        <w:t xml:space="preserve">se </w:t>
      </w:r>
      <w:r w:rsidR="00A65794" w:rsidRPr="00241FAC">
        <w:rPr>
          <w:rFonts w:cs="Arial"/>
          <w:color w:val="000000"/>
          <w:szCs w:val="24"/>
        </w:rPr>
        <w:t xml:space="preserve">conoció en este proceso </w:t>
      </w:r>
      <w:r w:rsidR="00313DA5" w:rsidRPr="00241FAC">
        <w:rPr>
          <w:rFonts w:cs="Arial"/>
          <w:color w:val="000000"/>
          <w:szCs w:val="24"/>
        </w:rPr>
        <w:t>cu</w:t>
      </w:r>
      <w:r w:rsidR="00226B31" w:rsidRPr="00241FAC">
        <w:rPr>
          <w:rFonts w:cs="Arial"/>
          <w:color w:val="000000"/>
          <w:szCs w:val="24"/>
        </w:rPr>
        <w:t>á</w:t>
      </w:r>
      <w:r w:rsidR="00313DA5" w:rsidRPr="00241FAC">
        <w:rPr>
          <w:rFonts w:cs="Arial"/>
          <w:color w:val="000000"/>
          <w:szCs w:val="24"/>
        </w:rPr>
        <w:t xml:space="preserve">l fue </w:t>
      </w:r>
      <w:r w:rsidR="00EB1443" w:rsidRPr="00241FAC">
        <w:rPr>
          <w:rFonts w:cs="Arial"/>
          <w:color w:val="000000"/>
          <w:szCs w:val="24"/>
        </w:rPr>
        <w:t xml:space="preserve">la </w:t>
      </w:r>
      <w:r w:rsidR="004913FE" w:rsidRPr="00241FAC">
        <w:rPr>
          <w:rFonts w:cs="Arial"/>
          <w:color w:val="000000"/>
          <w:szCs w:val="24"/>
        </w:rPr>
        <w:t xml:space="preserve">fecha de </w:t>
      </w:r>
      <w:r w:rsidR="00EB1443" w:rsidRPr="00241FAC">
        <w:rPr>
          <w:rFonts w:cs="Arial"/>
          <w:color w:val="000000"/>
          <w:szCs w:val="24"/>
        </w:rPr>
        <w:t xml:space="preserve">entrega de la </w:t>
      </w:r>
      <w:r w:rsidR="00895B30" w:rsidRPr="00241FAC">
        <w:rPr>
          <w:rFonts w:cs="Arial"/>
          <w:color w:val="000000"/>
          <w:szCs w:val="24"/>
        </w:rPr>
        <w:t>m</w:t>
      </w:r>
      <w:r w:rsidR="00EB1443" w:rsidRPr="00241FAC">
        <w:rPr>
          <w:rFonts w:cs="Arial"/>
          <w:color w:val="000000"/>
          <w:szCs w:val="24"/>
        </w:rPr>
        <w:t xml:space="preserve">inuta al </w:t>
      </w:r>
      <w:r w:rsidR="008C0BE7" w:rsidRPr="00241FAC">
        <w:rPr>
          <w:rFonts w:cs="Arial"/>
          <w:color w:val="000000"/>
          <w:szCs w:val="24"/>
        </w:rPr>
        <w:t>Consorcio Luis E Gó</w:t>
      </w:r>
      <w:r w:rsidR="00EB1443" w:rsidRPr="00241FAC">
        <w:rPr>
          <w:rFonts w:cs="Arial"/>
          <w:color w:val="000000"/>
          <w:szCs w:val="24"/>
        </w:rPr>
        <w:t xml:space="preserve">mez y otro, </w:t>
      </w:r>
      <w:r w:rsidR="00313DA5" w:rsidRPr="00241FAC">
        <w:rPr>
          <w:rFonts w:cs="Arial"/>
          <w:color w:val="000000"/>
          <w:szCs w:val="24"/>
        </w:rPr>
        <w:t xml:space="preserve">como tampoco se conoció </w:t>
      </w:r>
      <w:r w:rsidR="00EB1443" w:rsidRPr="00241FAC">
        <w:rPr>
          <w:rFonts w:cs="Arial"/>
          <w:color w:val="000000"/>
          <w:szCs w:val="24"/>
        </w:rPr>
        <w:t xml:space="preserve">hecho </w:t>
      </w:r>
      <w:r w:rsidR="00895B30" w:rsidRPr="00241FAC">
        <w:rPr>
          <w:rFonts w:cs="Arial"/>
          <w:color w:val="000000"/>
          <w:szCs w:val="24"/>
        </w:rPr>
        <w:t xml:space="preserve">alguno </w:t>
      </w:r>
      <w:r w:rsidR="00EB1443" w:rsidRPr="00241FAC">
        <w:rPr>
          <w:rFonts w:cs="Arial"/>
          <w:color w:val="000000"/>
          <w:szCs w:val="24"/>
        </w:rPr>
        <w:t>del que se pueda inferir</w:t>
      </w:r>
      <w:r w:rsidR="004913FE" w:rsidRPr="00241FAC">
        <w:rPr>
          <w:rFonts w:cs="Arial"/>
          <w:color w:val="000000"/>
          <w:szCs w:val="24"/>
        </w:rPr>
        <w:t xml:space="preserve"> </w:t>
      </w:r>
      <w:r w:rsidR="00EB1443" w:rsidRPr="00241FAC">
        <w:rPr>
          <w:rFonts w:cs="Arial"/>
          <w:color w:val="000000"/>
          <w:szCs w:val="24"/>
        </w:rPr>
        <w:t xml:space="preserve">la fecha en que </w:t>
      </w:r>
      <w:r w:rsidR="00A65794" w:rsidRPr="00241FAC">
        <w:rPr>
          <w:rFonts w:cs="Arial"/>
          <w:color w:val="000000"/>
          <w:szCs w:val="24"/>
        </w:rPr>
        <w:t xml:space="preserve">finalmente se </w:t>
      </w:r>
      <w:r w:rsidR="00EB1443" w:rsidRPr="00241FAC">
        <w:rPr>
          <w:rFonts w:cs="Arial"/>
          <w:color w:val="000000"/>
          <w:szCs w:val="24"/>
        </w:rPr>
        <w:t>suscribi</w:t>
      </w:r>
      <w:r w:rsidR="00A65794" w:rsidRPr="00241FAC">
        <w:rPr>
          <w:rFonts w:cs="Arial"/>
          <w:color w:val="000000"/>
          <w:szCs w:val="24"/>
        </w:rPr>
        <w:t>ó</w:t>
      </w:r>
      <w:r w:rsidR="00EB1443" w:rsidRPr="00241FAC">
        <w:rPr>
          <w:rFonts w:cs="Arial"/>
          <w:color w:val="000000"/>
          <w:szCs w:val="24"/>
        </w:rPr>
        <w:t xml:space="preserve"> el contrato de obra correspondiente</w:t>
      </w:r>
      <w:r w:rsidR="00895B30" w:rsidRPr="00241FAC">
        <w:rPr>
          <w:rFonts w:cs="Arial"/>
          <w:color w:val="000000"/>
          <w:szCs w:val="24"/>
        </w:rPr>
        <w:t xml:space="preserve">, </w:t>
      </w:r>
      <w:r w:rsidR="00942AD4" w:rsidRPr="00241FAC">
        <w:rPr>
          <w:rFonts w:cs="Arial"/>
          <w:color w:val="000000"/>
          <w:szCs w:val="24"/>
        </w:rPr>
        <w:t xml:space="preserve">por lo cual </w:t>
      </w:r>
      <w:r w:rsidR="00E36658" w:rsidRPr="00241FAC">
        <w:rPr>
          <w:rFonts w:cs="Arial"/>
          <w:color w:val="000000"/>
          <w:szCs w:val="24"/>
        </w:rPr>
        <w:t>-</w:t>
      </w:r>
      <w:r w:rsidR="004913FE" w:rsidRPr="00241FAC">
        <w:rPr>
          <w:rFonts w:cs="Arial"/>
          <w:color w:val="000000"/>
          <w:szCs w:val="24"/>
        </w:rPr>
        <w:t>se reitera</w:t>
      </w:r>
      <w:r w:rsidR="00E36658" w:rsidRPr="00241FAC">
        <w:rPr>
          <w:rFonts w:cs="Arial"/>
          <w:color w:val="000000"/>
          <w:szCs w:val="24"/>
        </w:rPr>
        <w:t>- no hay lugar a exigir la integración de la demanda con la pretensión de nulidad del contrato celebrado.</w:t>
      </w:r>
    </w:p>
    <w:p w:rsidR="007F168A" w:rsidRPr="00241FAC" w:rsidRDefault="00220DE1" w:rsidP="00205871">
      <w:pPr>
        <w:shd w:val="clear" w:color="auto" w:fill="FFFFFF"/>
        <w:tabs>
          <w:tab w:val="left" w:pos="8789"/>
        </w:tabs>
        <w:spacing w:before="100" w:beforeAutospacing="1" w:after="100" w:afterAutospacing="1"/>
        <w:ind w:right="-91"/>
        <w:rPr>
          <w:rFonts w:cs="Arial"/>
          <w:color w:val="000000"/>
        </w:rPr>
      </w:pPr>
      <w:r w:rsidRPr="00241FAC">
        <w:rPr>
          <w:rFonts w:cs="Arial"/>
          <w:color w:val="000000"/>
        </w:rPr>
        <w:t>L</w:t>
      </w:r>
      <w:r w:rsidR="00205871" w:rsidRPr="00241FAC">
        <w:rPr>
          <w:rFonts w:cs="Arial"/>
          <w:color w:val="000000"/>
        </w:rPr>
        <w:t xml:space="preserve">a Sala </w:t>
      </w:r>
      <w:r w:rsidRPr="00241FAC">
        <w:rPr>
          <w:rFonts w:cs="Arial"/>
          <w:color w:val="000000"/>
        </w:rPr>
        <w:t xml:space="preserve">acude </w:t>
      </w:r>
      <w:r w:rsidR="00B51F48" w:rsidRPr="00241FAC">
        <w:rPr>
          <w:rFonts w:cs="Arial"/>
          <w:color w:val="000000"/>
        </w:rPr>
        <w:t xml:space="preserve">a la anterior </w:t>
      </w:r>
      <w:r w:rsidRPr="00241FAC">
        <w:rPr>
          <w:rFonts w:cs="Arial"/>
          <w:color w:val="000000"/>
        </w:rPr>
        <w:t xml:space="preserve">precisión toda vez que </w:t>
      </w:r>
      <w:r w:rsidR="00F1588C" w:rsidRPr="00241FAC">
        <w:rPr>
          <w:rFonts w:cs="Arial"/>
          <w:color w:val="000000"/>
        </w:rPr>
        <w:t xml:space="preserve">la conclusión acerca de la </w:t>
      </w:r>
      <w:r w:rsidR="00CD7D57" w:rsidRPr="00241FAC">
        <w:rPr>
          <w:rFonts w:cs="Arial"/>
          <w:color w:val="000000"/>
        </w:rPr>
        <w:t>ineptidud de la demanda</w:t>
      </w:r>
      <w:r w:rsidR="00386A3E" w:rsidRPr="00241FAC">
        <w:rPr>
          <w:rFonts w:cs="Arial"/>
          <w:color w:val="000000"/>
        </w:rPr>
        <w:t xml:space="preserve"> se ha impuesto en otros casos </w:t>
      </w:r>
      <w:r w:rsidR="00833361" w:rsidRPr="00241FAC">
        <w:rPr>
          <w:rFonts w:cs="Arial"/>
          <w:color w:val="000000"/>
        </w:rPr>
        <w:t xml:space="preserve">teniendo en cuenta la aplicación del artículo 87 del Código Contencioso Administrativo, </w:t>
      </w:r>
      <w:r w:rsidR="00CD7D57" w:rsidRPr="00241FAC">
        <w:rPr>
          <w:rFonts w:cs="Arial"/>
          <w:color w:val="000000"/>
        </w:rPr>
        <w:t xml:space="preserve">ante la falta de </w:t>
      </w:r>
      <w:r w:rsidR="001B3D0C" w:rsidRPr="00241FAC">
        <w:rPr>
          <w:rFonts w:cs="Arial"/>
          <w:color w:val="000000"/>
        </w:rPr>
        <w:t xml:space="preserve">integración de la </w:t>
      </w:r>
      <w:r w:rsidR="007F723B" w:rsidRPr="00241FAC">
        <w:rPr>
          <w:rFonts w:cs="Arial"/>
          <w:color w:val="000000"/>
        </w:rPr>
        <w:t xml:space="preserve">pretensión de nulidad del contrato celebrado </w:t>
      </w:r>
      <w:r w:rsidR="00A46799" w:rsidRPr="00241FAC">
        <w:rPr>
          <w:rFonts w:cs="Arial"/>
          <w:color w:val="000000"/>
        </w:rPr>
        <w:t xml:space="preserve">en </w:t>
      </w:r>
      <w:r w:rsidR="00B51F48" w:rsidRPr="00241FAC">
        <w:rPr>
          <w:rFonts w:cs="Arial"/>
          <w:color w:val="000000"/>
        </w:rPr>
        <w:t>la demanda contra el acto previo de adjudicación</w:t>
      </w:r>
      <w:r w:rsidR="007F723B" w:rsidRPr="00241FAC">
        <w:rPr>
          <w:rFonts w:cs="Arial"/>
          <w:color w:val="000000"/>
        </w:rPr>
        <w:t xml:space="preserve">, </w:t>
      </w:r>
      <w:r w:rsidR="00833361" w:rsidRPr="00241FAC">
        <w:rPr>
          <w:rFonts w:cs="Arial"/>
          <w:color w:val="000000"/>
        </w:rPr>
        <w:t xml:space="preserve">puesto que </w:t>
      </w:r>
      <w:r w:rsidR="007F723B" w:rsidRPr="00241FAC">
        <w:rPr>
          <w:rFonts w:cs="Arial"/>
          <w:color w:val="000000"/>
        </w:rPr>
        <w:t xml:space="preserve">en aquellos </w:t>
      </w:r>
      <w:r w:rsidR="00833361" w:rsidRPr="00241FAC">
        <w:rPr>
          <w:rFonts w:cs="Arial"/>
          <w:color w:val="000000"/>
        </w:rPr>
        <w:t xml:space="preserve">litigios se probó que </w:t>
      </w:r>
      <w:r w:rsidR="007F723B" w:rsidRPr="00241FAC">
        <w:rPr>
          <w:rFonts w:cs="Arial"/>
          <w:color w:val="000000"/>
        </w:rPr>
        <w:t xml:space="preserve">el contrato </w:t>
      </w:r>
      <w:r w:rsidR="00833361" w:rsidRPr="00241FAC">
        <w:rPr>
          <w:rFonts w:cs="Arial"/>
          <w:color w:val="000000"/>
        </w:rPr>
        <w:t xml:space="preserve">se </w:t>
      </w:r>
      <w:r w:rsidR="00CD7D57" w:rsidRPr="00241FAC">
        <w:rPr>
          <w:rFonts w:cs="Arial"/>
          <w:color w:val="000000"/>
        </w:rPr>
        <w:t xml:space="preserve">celebró </w:t>
      </w:r>
      <w:r w:rsidR="007F723B" w:rsidRPr="00241FAC">
        <w:rPr>
          <w:rFonts w:cs="Arial"/>
          <w:color w:val="000000"/>
        </w:rPr>
        <w:t>antes de la presentación de la demanda</w:t>
      </w:r>
      <w:r w:rsidR="00833361" w:rsidRPr="00241FAC">
        <w:rPr>
          <w:rFonts w:cs="Arial"/>
          <w:color w:val="000000"/>
        </w:rPr>
        <w:t xml:space="preserve"> y </w:t>
      </w:r>
      <w:r w:rsidR="0065649E" w:rsidRPr="00241FAC">
        <w:rPr>
          <w:rFonts w:cs="Arial"/>
          <w:color w:val="000000"/>
        </w:rPr>
        <w:t xml:space="preserve">que </w:t>
      </w:r>
      <w:r w:rsidR="00833361" w:rsidRPr="00241FAC">
        <w:rPr>
          <w:rFonts w:cs="Arial"/>
          <w:color w:val="000000"/>
        </w:rPr>
        <w:t>fue conocido o debió conocerse por parte del demandante</w:t>
      </w:r>
      <w:r w:rsidR="0065649E" w:rsidRPr="00241FAC">
        <w:rPr>
          <w:rFonts w:cs="Arial"/>
          <w:color w:val="000000"/>
        </w:rPr>
        <w:t xml:space="preserve">, lo cual </w:t>
      </w:r>
      <w:r w:rsidR="007F168A" w:rsidRPr="00241FAC">
        <w:rPr>
          <w:rFonts w:cs="Arial"/>
          <w:color w:val="000000"/>
        </w:rPr>
        <w:t>constituye una hipótesis fáctica diferente a la que ocupa la atención de la Sala</w:t>
      </w:r>
      <w:r w:rsidR="008C26B1" w:rsidRPr="00241FAC">
        <w:rPr>
          <w:rFonts w:cs="Arial"/>
          <w:color w:val="000000"/>
        </w:rPr>
        <w:t xml:space="preserve"> en esta oportunidad</w:t>
      </w:r>
      <w:r w:rsidR="007F168A" w:rsidRPr="00241FAC">
        <w:rPr>
          <w:rFonts w:cs="Arial"/>
          <w:color w:val="000000"/>
        </w:rPr>
        <w:t>.</w:t>
      </w:r>
    </w:p>
    <w:p w:rsidR="00E36658" w:rsidRPr="00241FAC" w:rsidRDefault="007F168A" w:rsidP="00205871">
      <w:pPr>
        <w:shd w:val="clear" w:color="auto" w:fill="FFFFFF"/>
        <w:tabs>
          <w:tab w:val="left" w:pos="8789"/>
        </w:tabs>
        <w:spacing w:before="100" w:beforeAutospacing="1" w:after="100" w:afterAutospacing="1"/>
        <w:ind w:right="-91"/>
        <w:rPr>
          <w:rFonts w:cs="Arial"/>
          <w:color w:val="000000"/>
        </w:rPr>
      </w:pPr>
      <w:r w:rsidRPr="00241FAC">
        <w:rPr>
          <w:rFonts w:cs="Arial"/>
          <w:color w:val="000000"/>
        </w:rPr>
        <w:lastRenderedPageBreak/>
        <w:t xml:space="preserve">Así las cosas, </w:t>
      </w:r>
      <w:r w:rsidR="00B51F48" w:rsidRPr="00241FAC">
        <w:rPr>
          <w:rFonts w:cs="Arial"/>
          <w:color w:val="000000"/>
        </w:rPr>
        <w:t xml:space="preserve">los hechos probados en este proceso no permiten </w:t>
      </w:r>
      <w:r w:rsidR="00A46799" w:rsidRPr="00241FAC">
        <w:rPr>
          <w:rFonts w:cs="Arial"/>
          <w:color w:val="000000"/>
        </w:rPr>
        <w:t xml:space="preserve">imputar la falta de </w:t>
      </w:r>
      <w:r w:rsidR="00CD7D57" w:rsidRPr="00241FAC">
        <w:rPr>
          <w:rFonts w:cs="Arial"/>
          <w:color w:val="000000"/>
        </w:rPr>
        <w:t xml:space="preserve">una demanda </w:t>
      </w:r>
      <w:r w:rsidR="00CD7D57" w:rsidRPr="00241FAC">
        <w:rPr>
          <w:rFonts w:cs="Arial"/>
          <w:i/>
          <w:color w:val="000000"/>
        </w:rPr>
        <w:t>en forma</w:t>
      </w:r>
      <w:r w:rsidR="00CD7D57" w:rsidRPr="00241FAC">
        <w:rPr>
          <w:rFonts w:cs="Arial"/>
          <w:color w:val="000000"/>
        </w:rPr>
        <w:t xml:space="preserve"> </w:t>
      </w:r>
      <w:r w:rsidR="00B06D49" w:rsidRPr="00241FAC">
        <w:rPr>
          <w:rFonts w:cs="Arial"/>
          <w:color w:val="000000"/>
        </w:rPr>
        <w:t xml:space="preserve">con relación </w:t>
      </w:r>
      <w:r w:rsidRPr="00241FAC">
        <w:rPr>
          <w:rFonts w:cs="Arial"/>
          <w:color w:val="000000"/>
        </w:rPr>
        <w:t xml:space="preserve">con </w:t>
      </w:r>
      <w:r w:rsidR="00833361" w:rsidRPr="00241FAC">
        <w:rPr>
          <w:rFonts w:cs="Arial"/>
          <w:color w:val="000000"/>
        </w:rPr>
        <w:t xml:space="preserve">la </w:t>
      </w:r>
      <w:r w:rsidRPr="00241FAC">
        <w:rPr>
          <w:rFonts w:cs="Arial"/>
          <w:color w:val="000000"/>
        </w:rPr>
        <w:t xml:space="preserve">integración de la </w:t>
      </w:r>
      <w:r w:rsidR="00833361" w:rsidRPr="00241FAC">
        <w:rPr>
          <w:rFonts w:cs="Arial"/>
          <w:color w:val="000000"/>
        </w:rPr>
        <w:t>pretensión de nulidad del con</w:t>
      </w:r>
      <w:r w:rsidR="00B06D49" w:rsidRPr="00241FAC">
        <w:rPr>
          <w:rFonts w:cs="Arial"/>
          <w:color w:val="000000"/>
        </w:rPr>
        <w:t>trato</w:t>
      </w:r>
      <w:r w:rsidR="00F17D5C" w:rsidRPr="00241FAC">
        <w:rPr>
          <w:rFonts w:cs="Arial"/>
          <w:color w:val="000000"/>
        </w:rPr>
        <w:t xml:space="preserve">, el cual </w:t>
      </w:r>
      <w:r w:rsidR="00A46799" w:rsidRPr="00241FAC">
        <w:rPr>
          <w:rFonts w:cs="Arial"/>
          <w:color w:val="000000"/>
        </w:rPr>
        <w:t xml:space="preserve">–como se observó- </w:t>
      </w:r>
      <w:r w:rsidR="00B06D49" w:rsidRPr="00241FAC">
        <w:rPr>
          <w:rFonts w:cs="Arial"/>
          <w:color w:val="000000"/>
        </w:rPr>
        <w:t xml:space="preserve">no </w:t>
      </w:r>
      <w:r w:rsidRPr="00241FAC">
        <w:rPr>
          <w:rFonts w:cs="Arial"/>
          <w:color w:val="000000"/>
        </w:rPr>
        <w:t xml:space="preserve">se </w:t>
      </w:r>
      <w:r w:rsidR="00F17D5C" w:rsidRPr="00241FAC">
        <w:rPr>
          <w:rFonts w:cs="Arial"/>
          <w:color w:val="000000"/>
        </w:rPr>
        <w:t xml:space="preserve">encontró </w:t>
      </w:r>
      <w:r w:rsidRPr="00241FAC">
        <w:rPr>
          <w:rFonts w:cs="Arial"/>
          <w:color w:val="000000"/>
        </w:rPr>
        <w:t xml:space="preserve">como </w:t>
      </w:r>
      <w:r w:rsidR="00F17D5C" w:rsidRPr="00241FAC">
        <w:rPr>
          <w:rFonts w:cs="Arial"/>
          <w:color w:val="000000"/>
        </w:rPr>
        <w:t>celebrado para la fecha de la demanda</w:t>
      </w:r>
      <w:r w:rsidRPr="00241FAC">
        <w:rPr>
          <w:rFonts w:cs="Arial"/>
          <w:color w:val="000000"/>
        </w:rPr>
        <w:t xml:space="preserve"> y, </w:t>
      </w:r>
      <w:r w:rsidR="00B06D49" w:rsidRPr="00241FAC">
        <w:rPr>
          <w:rFonts w:cs="Arial"/>
          <w:color w:val="000000"/>
        </w:rPr>
        <w:t>por lo tanto</w:t>
      </w:r>
      <w:r w:rsidRPr="00241FAC">
        <w:rPr>
          <w:rFonts w:cs="Arial"/>
          <w:color w:val="000000"/>
        </w:rPr>
        <w:t xml:space="preserve">, mal </w:t>
      </w:r>
      <w:r w:rsidR="00B06D49" w:rsidRPr="00241FAC">
        <w:rPr>
          <w:rFonts w:cs="Arial"/>
          <w:color w:val="000000"/>
        </w:rPr>
        <w:t xml:space="preserve">puede </w:t>
      </w:r>
      <w:r w:rsidR="00F17D5C" w:rsidRPr="00241FAC">
        <w:rPr>
          <w:rFonts w:cs="Arial"/>
          <w:color w:val="000000"/>
        </w:rPr>
        <w:t xml:space="preserve">configurarse </w:t>
      </w:r>
      <w:r w:rsidR="00EE457B" w:rsidRPr="00241FAC">
        <w:rPr>
          <w:rFonts w:cs="Arial"/>
          <w:color w:val="000000"/>
        </w:rPr>
        <w:t>la ineptitud de la demanda</w:t>
      </w:r>
      <w:r w:rsidR="00EF7D3F" w:rsidRPr="00241FAC">
        <w:rPr>
          <w:rFonts w:cs="Arial"/>
          <w:color w:val="000000"/>
        </w:rPr>
        <w:t xml:space="preserve">. </w:t>
      </w:r>
    </w:p>
    <w:p w:rsidR="00190BBE" w:rsidRPr="00241FAC" w:rsidRDefault="00EF7D3F" w:rsidP="00205871">
      <w:pPr>
        <w:shd w:val="clear" w:color="auto" w:fill="FFFFFF"/>
        <w:tabs>
          <w:tab w:val="left" w:pos="8789"/>
        </w:tabs>
        <w:spacing w:before="100" w:beforeAutospacing="1" w:after="100" w:afterAutospacing="1"/>
        <w:ind w:right="-91"/>
        <w:rPr>
          <w:rFonts w:cs="Arial"/>
          <w:color w:val="000000"/>
        </w:rPr>
      </w:pPr>
      <w:r w:rsidRPr="00241FAC">
        <w:rPr>
          <w:rFonts w:cs="Arial"/>
          <w:color w:val="000000"/>
        </w:rPr>
        <w:t>P</w:t>
      </w:r>
      <w:r w:rsidR="00B06D49" w:rsidRPr="00241FAC">
        <w:rPr>
          <w:rFonts w:cs="Arial"/>
          <w:color w:val="000000"/>
        </w:rPr>
        <w:t>or el contrario</w:t>
      </w:r>
      <w:r w:rsidR="00F17D5C" w:rsidRPr="00241FAC">
        <w:rPr>
          <w:rFonts w:cs="Arial"/>
          <w:color w:val="000000"/>
        </w:rPr>
        <w:t>,</w:t>
      </w:r>
      <w:r w:rsidR="00B06D49" w:rsidRPr="00241FAC">
        <w:rPr>
          <w:rFonts w:cs="Arial"/>
          <w:color w:val="000000"/>
        </w:rPr>
        <w:t xml:space="preserve"> </w:t>
      </w:r>
      <w:r w:rsidRPr="00241FAC">
        <w:rPr>
          <w:rFonts w:cs="Arial"/>
          <w:color w:val="000000"/>
        </w:rPr>
        <w:t xml:space="preserve">en este caso </w:t>
      </w:r>
      <w:r w:rsidR="00EE457B" w:rsidRPr="00241FAC">
        <w:rPr>
          <w:rFonts w:cs="Arial"/>
          <w:color w:val="000000"/>
        </w:rPr>
        <w:t xml:space="preserve">no cabe duda </w:t>
      </w:r>
      <w:r w:rsidR="00A46799" w:rsidRPr="00241FAC">
        <w:rPr>
          <w:rFonts w:cs="Arial"/>
          <w:color w:val="000000"/>
        </w:rPr>
        <w:t xml:space="preserve">acerca del </w:t>
      </w:r>
      <w:r w:rsidR="00386A3E" w:rsidRPr="00241FAC">
        <w:rPr>
          <w:rFonts w:cs="Arial"/>
          <w:color w:val="000000"/>
        </w:rPr>
        <w:t xml:space="preserve">deber de </w:t>
      </w:r>
      <w:r w:rsidR="00EE457B" w:rsidRPr="00241FAC">
        <w:rPr>
          <w:rFonts w:cs="Arial"/>
          <w:color w:val="000000"/>
        </w:rPr>
        <w:t xml:space="preserve">conocer de fondo </w:t>
      </w:r>
      <w:r w:rsidR="001B3D0C" w:rsidRPr="00241FAC">
        <w:rPr>
          <w:rFonts w:cs="Arial"/>
          <w:color w:val="000000"/>
        </w:rPr>
        <w:t>sobre las pretensiones oportunamente impetradas.</w:t>
      </w:r>
    </w:p>
    <w:p w:rsidR="00205871" w:rsidRPr="00241FAC" w:rsidRDefault="00205871" w:rsidP="00FA545F">
      <w:pPr>
        <w:pStyle w:val="Prrafodelista"/>
        <w:numPr>
          <w:ilvl w:val="0"/>
          <w:numId w:val="17"/>
        </w:numPr>
        <w:spacing w:line="240" w:lineRule="auto"/>
        <w:ind w:left="0" w:firstLine="0"/>
        <w:rPr>
          <w:rFonts w:cs="Arial"/>
          <w:b/>
        </w:rPr>
      </w:pPr>
      <w:r w:rsidRPr="00241FAC">
        <w:rPr>
          <w:rFonts w:cs="Arial"/>
          <w:b/>
        </w:rPr>
        <w:t xml:space="preserve">Vinculación del Consorcio </w:t>
      </w:r>
      <w:r w:rsidR="00041150" w:rsidRPr="00241FAC">
        <w:rPr>
          <w:rFonts w:cs="Arial"/>
          <w:b/>
        </w:rPr>
        <w:t xml:space="preserve">adjudicatario de la Licitación Pública en el presente </w:t>
      </w:r>
      <w:r w:rsidRPr="00241FAC">
        <w:rPr>
          <w:rFonts w:cs="Arial"/>
          <w:b/>
        </w:rPr>
        <w:t>proceso judicial</w:t>
      </w:r>
      <w:r w:rsidR="00041150" w:rsidRPr="00241FAC">
        <w:rPr>
          <w:rFonts w:cs="Arial"/>
          <w:b/>
        </w:rPr>
        <w:t>.</w:t>
      </w:r>
    </w:p>
    <w:p w:rsidR="00205871" w:rsidRPr="00241FAC" w:rsidRDefault="00205871" w:rsidP="00205871">
      <w:pPr>
        <w:tabs>
          <w:tab w:val="left" w:pos="4920"/>
        </w:tabs>
        <w:rPr>
          <w:rFonts w:cs="Arial"/>
        </w:rPr>
      </w:pPr>
    </w:p>
    <w:p w:rsidR="00041150" w:rsidRPr="00241FAC" w:rsidRDefault="00205871" w:rsidP="00205871">
      <w:pPr>
        <w:tabs>
          <w:tab w:val="left" w:pos="4920"/>
        </w:tabs>
        <w:rPr>
          <w:rFonts w:cs="Arial"/>
        </w:rPr>
      </w:pPr>
      <w:r w:rsidRPr="00241FAC">
        <w:rPr>
          <w:rFonts w:cs="Arial"/>
        </w:rPr>
        <w:t xml:space="preserve">En relación con la vinculación al presente proceso del </w:t>
      </w:r>
      <w:r w:rsidR="0035202F" w:rsidRPr="00241FAC">
        <w:rPr>
          <w:rFonts w:cs="Arial"/>
        </w:rPr>
        <w:t>C</w:t>
      </w:r>
      <w:r w:rsidRPr="00241FAC">
        <w:rPr>
          <w:rFonts w:cs="Arial"/>
        </w:rPr>
        <w:t xml:space="preserve">onsorcio </w:t>
      </w:r>
      <w:r w:rsidR="0035202F" w:rsidRPr="00241FAC">
        <w:rPr>
          <w:rFonts w:cs="Arial"/>
        </w:rPr>
        <w:t>Luis E. Gómez y otro</w:t>
      </w:r>
      <w:r w:rsidR="00FF34C4" w:rsidRPr="00241FAC">
        <w:rPr>
          <w:rFonts w:cs="Arial"/>
        </w:rPr>
        <w:t xml:space="preserve">, </w:t>
      </w:r>
      <w:r w:rsidRPr="00241FAC">
        <w:rPr>
          <w:rFonts w:cs="Arial"/>
        </w:rPr>
        <w:t xml:space="preserve">adjudicatario </w:t>
      </w:r>
      <w:r w:rsidR="00FF34C4" w:rsidRPr="00241FAC">
        <w:rPr>
          <w:rFonts w:cs="Arial"/>
        </w:rPr>
        <w:t xml:space="preserve">de la Licitación Pública No. </w:t>
      </w:r>
      <w:r w:rsidR="008C26B1" w:rsidRPr="00241FAC">
        <w:rPr>
          <w:rFonts w:cs="Arial"/>
        </w:rPr>
        <w:t xml:space="preserve">01 de </w:t>
      </w:r>
      <w:r w:rsidR="0035202F" w:rsidRPr="00241FAC">
        <w:rPr>
          <w:rFonts w:cs="Arial"/>
        </w:rPr>
        <w:t>2000</w:t>
      </w:r>
      <w:r w:rsidRPr="00241FAC">
        <w:rPr>
          <w:rFonts w:cs="Arial"/>
        </w:rPr>
        <w:t xml:space="preserve">, se </w:t>
      </w:r>
      <w:r w:rsidR="00FF34C4" w:rsidRPr="00241FAC">
        <w:rPr>
          <w:rFonts w:cs="Arial"/>
        </w:rPr>
        <w:t xml:space="preserve">observa </w:t>
      </w:r>
      <w:r w:rsidRPr="00241FAC">
        <w:rPr>
          <w:rFonts w:cs="Arial"/>
        </w:rPr>
        <w:t xml:space="preserve">que fue debidamente realizada con la notificación personal al </w:t>
      </w:r>
      <w:r w:rsidR="0035202F" w:rsidRPr="00241FAC">
        <w:rPr>
          <w:rFonts w:cs="Arial"/>
        </w:rPr>
        <w:t xml:space="preserve">representante legal del Consorcio, reconocido por el Municipio de Purificación en relación con el </w:t>
      </w:r>
      <w:r w:rsidR="00F1588C" w:rsidRPr="00241FAC">
        <w:rPr>
          <w:rFonts w:cs="Arial"/>
        </w:rPr>
        <w:t>C</w:t>
      </w:r>
      <w:r w:rsidR="0035202F" w:rsidRPr="00241FAC">
        <w:rPr>
          <w:rFonts w:cs="Arial"/>
        </w:rPr>
        <w:t>ontrato respectivo</w:t>
      </w:r>
      <w:r w:rsidR="000E2CF7" w:rsidRPr="00241FAC">
        <w:rPr>
          <w:rFonts w:cs="Arial"/>
        </w:rPr>
        <w:t>,</w:t>
      </w:r>
      <w:r w:rsidR="0035202F" w:rsidRPr="00241FAC">
        <w:rPr>
          <w:rFonts w:cs="Arial"/>
        </w:rPr>
        <w:t xml:space="preserve"> </w:t>
      </w:r>
      <w:r w:rsidR="00041150" w:rsidRPr="00241FAC">
        <w:rPr>
          <w:rFonts w:cs="Arial"/>
        </w:rPr>
        <w:t xml:space="preserve">ante </w:t>
      </w:r>
      <w:r w:rsidR="0035202F" w:rsidRPr="00241FAC">
        <w:rPr>
          <w:rFonts w:cs="Arial"/>
        </w:rPr>
        <w:t xml:space="preserve">el fallecimiento del primer representante legal </w:t>
      </w:r>
      <w:r w:rsidR="000E2CF7" w:rsidRPr="00241FAC">
        <w:rPr>
          <w:rFonts w:cs="Arial"/>
        </w:rPr>
        <w:t xml:space="preserve">e </w:t>
      </w:r>
      <w:r w:rsidR="0035202F" w:rsidRPr="00241FAC">
        <w:rPr>
          <w:rFonts w:cs="Arial"/>
        </w:rPr>
        <w:t>integrante del mencionado consorcio</w:t>
      </w:r>
      <w:r w:rsidR="00041150" w:rsidRPr="00241FAC">
        <w:rPr>
          <w:rFonts w:cs="Arial"/>
        </w:rPr>
        <w:t xml:space="preserve">, </w:t>
      </w:r>
      <w:r w:rsidR="00942AD4" w:rsidRPr="00241FAC">
        <w:rPr>
          <w:rFonts w:cs="Arial"/>
        </w:rPr>
        <w:t xml:space="preserve">habiéndose </w:t>
      </w:r>
      <w:r w:rsidR="00041150" w:rsidRPr="00241FAC">
        <w:rPr>
          <w:rFonts w:cs="Arial"/>
        </w:rPr>
        <w:t>vincul</w:t>
      </w:r>
      <w:r w:rsidR="00942AD4" w:rsidRPr="00241FAC">
        <w:rPr>
          <w:rFonts w:cs="Arial"/>
        </w:rPr>
        <w:t>ado</w:t>
      </w:r>
      <w:r w:rsidR="00041150" w:rsidRPr="00241FAC">
        <w:rPr>
          <w:rFonts w:cs="Arial"/>
        </w:rPr>
        <w:t xml:space="preserve"> </w:t>
      </w:r>
      <w:r w:rsidR="00A46604" w:rsidRPr="00241FAC">
        <w:rPr>
          <w:rFonts w:cs="Arial"/>
        </w:rPr>
        <w:t xml:space="preserve">el Consorcio </w:t>
      </w:r>
      <w:r w:rsidR="00041150" w:rsidRPr="00241FAC">
        <w:rPr>
          <w:rFonts w:cs="Arial"/>
        </w:rPr>
        <w:t xml:space="preserve">debidamente al </w:t>
      </w:r>
      <w:r w:rsidR="00942AD4" w:rsidRPr="00241FAC">
        <w:rPr>
          <w:rFonts w:cs="Arial"/>
        </w:rPr>
        <w:t xml:space="preserve">presente </w:t>
      </w:r>
      <w:r w:rsidR="00041150" w:rsidRPr="00241FAC">
        <w:rPr>
          <w:rFonts w:cs="Arial"/>
        </w:rPr>
        <w:t>proceso</w:t>
      </w:r>
      <w:r w:rsidR="00A46604" w:rsidRPr="00241FAC">
        <w:rPr>
          <w:rFonts w:cs="Arial"/>
        </w:rPr>
        <w:t xml:space="preserve">, el cual </w:t>
      </w:r>
      <w:r w:rsidR="00942AD4" w:rsidRPr="00241FAC">
        <w:rPr>
          <w:rFonts w:cs="Arial"/>
        </w:rPr>
        <w:t>despleg</w:t>
      </w:r>
      <w:r w:rsidR="00A46604" w:rsidRPr="00241FAC">
        <w:rPr>
          <w:rFonts w:cs="Arial"/>
        </w:rPr>
        <w:t>ó</w:t>
      </w:r>
      <w:r w:rsidR="00942AD4" w:rsidRPr="00241FAC">
        <w:rPr>
          <w:rFonts w:cs="Arial"/>
        </w:rPr>
        <w:t xml:space="preserve"> </w:t>
      </w:r>
      <w:r w:rsidR="00F1588C" w:rsidRPr="00241FAC">
        <w:rPr>
          <w:rFonts w:cs="Arial"/>
        </w:rPr>
        <w:t>su</w:t>
      </w:r>
      <w:r w:rsidR="00041150" w:rsidRPr="00241FAC">
        <w:rPr>
          <w:rFonts w:cs="Arial"/>
        </w:rPr>
        <w:t xml:space="preserve"> derecho de defensa correspondiente.</w:t>
      </w:r>
    </w:p>
    <w:p w:rsidR="00041150" w:rsidRPr="00241FAC" w:rsidRDefault="00041150" w:rsidP="00205871">
      <w:pPr>
        <w:tabs>
          <w:tab w:val="left" w:pos="4920"/>
        </w:tabs>
        <w:rPr>
          <w:rFonts w:cs="Arial"/>
        </w:rPr>
      </w:pPr>
    </w:p>
    <w:p w:rsidR="00205871" w:rsidRPr="00241FAC" w:rsidRDefault="00041150" w:rsidP="00205871">
      <w:pPr>
        <w:tabs>
          <w:tab w:val="left" w:pos="4920"/>
        </w:tabs>
        <w:rPr>
          <w:rFonts w:cs="Arial"/>
        </w:rPr>
      </w:pPr>
      <w:r w:rsidRPr="00241FAC">
        <w:rPr>
          <w:rFonts w:cs="Arial"/>
        </w:rPr>
        <w:t xml:space="preserve">Vale la pena citar que </w:t>
      </w:r>
      <w:r w:rsidR="00703E2D" w:rsidRPr="00241FAC">
        <w:rPr>
          <w:rFonts w:cs="Arial"/>
        </w:rPr>
        <w:t xml:space="preserve">la vinculación del Consorcio adjudicatario </w:t>
      </w:r>
      <w:r w:rsidR="00942AD4" w:rsidRPr="00241FAC">
        <w:rPr>
          <w:rFonts w:cs="Arial"/>
        </w:rPr>
        <w:t>d</w:t>
      </w:r>
      <w:r w:rsidR="00703E2D" w:rsidRPr="00241FAC">
        <w:rPr>
          <w:rFonts w:cs="Arial"/>
        </w:rPr>
        <w:t xml:space="preserve">e la Licitación Pública se considera debidamente realizada </w:t>
      </w:r>
      <w:r w:rsidR="00942AD4" w:rsidRPr="00241FAC">
        <w:rPr>
          <w:rFonts w:cs="Arial"/>
        </w:rPr>
        <w:t xml:space="preserve">en el proceso entablado para obtener la nulidad del acto de adjudicación, </w:t>
      </w:r>
      <w:r w:rsidR="00703E2D" w:rsidRPr="00241FAC">
        <w:rPr>
          <w:rFonts w:cs="Arial"/>
        </w:rPr>
        <w:t xml:space="preserve">mediante la notificación al </w:t>
      </w:r>
      <w:r w:rsidR="00205871" w:rsidRPr="00241FAC">
        <w:rPr>
          <w:rFonts w:cs="Arial"/>
        </w:rPr>
        <w:t xml:space="preserve">representante legal del </w:t>
      </w:r>
      <w:r w:rsidR="00703E2D" w:rsidRPr="00241FAC">
        <w:rPr>
          <w:rFonts w:cs="Arial"/>
        </w:rPr>
        <w:t xml:space="preserve">respectivo </w:t>
      </w:r>
      <w:r w:rsidR="00205871" w:rsidRPr="00241FAC">
        <w:rPr>
          <w:rFonts w:cs="Arial"/>
        </w:rPr>
        <w:t>consorcio, conclusión a la cual se llega teniendo en cuenta la sentencia de unificación de 25 de septiembre de 2013, que se refiere a continuación.</w:t>
      </w:r>
    </w:p>
    <w:p w:rsidR="00205871" w:rsidRPr="00241FAC" w:rsidRDefault="00205871" w:rsidP="00205871">
      <w:pPr>
        <w:tabs>
          <w:tab w:val="left" w:pos="4920"/>
        </w:tabs>
        <w:rPr>
          <w:rFonts w:cs="Arial"/>
        </w:rPr>
      </w:pPr>
    </w:p>
    <w:p w:rsidR="00205871" w:rsidRPr="00241FAC" w:rsidRDefault="00205871" w:rsidP="00205871">
      <w:pPr>
        <w:tabs>
          <w:tab w:val="left" w:pos="4920"/>
        </w:tabs>
        <w:rPr>
          <w:rFonts w:cs="Arial"/>
          <w:i/>
          <w:lang w:val="es-CO"/>
        </w:rPr>
      </w:pPr>
      <w:r w:rsidRPr="00241FAC">
        <w:rPr>
          <w:rFonts w:cs="Arial"/>
        </w:rPr>
        <w:t>El Consejo de Estado en Sala Plena de la Sección Tercera, mediante sentencia de 25 de septiembre de 2013</w:t>
      </w:r>
      <w:r w:rsidRPr="00241FAC">
        <w:rPr>
          <w:rStyle w:val="Refdenotaalpie"/>
          <w:rFonts w:cs="Arial"/>
        </w:rPr>
        <w:footnoteReference w:id="22"/>
      </w:r>
      <w:r w:rsidRPr="00241FAC">
        <w:rPr>
          <w:rFonts w:cs="Arial"/>
        </w:rPr>
        <w:t xml:space="preserve">,  resolvió </w:t>
      </w:r>
      <w:r w:rsidRPr="00241FAC">
        <w:rPr>
          <w:rFonts w:cs="Arial"/>
          <w:i/>
        </w:rPr>
        <w:t>“</w:t>
      </w:r>
      <w:r w:rsidRPr="00241FAC">
        <w:rPr>
          <w:rFonts w:cs="Arial"/>
          <w:b/>
          <w:i/>
        </w:rPr>
        <w:t xml:space="preserve">UNIFICAR la Jurisprudencia </w:t>
      </w:r>
      <w:r w:rsidRPr="00241FAC">
        <w:rPr>
          <w:rFonts w:cs="Arial"/>
          <w:i/>
        </w:rPr>
        <w:t xml:space="preserve">en relación con </w:t>
      </w:r>
      <w:r w:rsidRPr="00241FAC">
        <w:rPr>
          <w:rFonts w:cs="Arial"/>
          <w:i/>
          <w:lang w:val="es-CO"/>
        </w:rPr>
        <w:t>la capacidad con la cual cuentan los consorcios para comparecer como partes en los procesos judiciales en los cuales se debaten asuntos relacionados con los derechos o intereses de los que son titulares o que discuten o que de alguna otra manera les conciernen.”</w:t>
      </w:r>
    </w:p>
    <w:p w:rsidR="00205871" w:rsidRPr="00241FAC" w:rsidRDefault="00205871" w:rsidP="00205871">
      <w:pPr>
        <w:tabs>
          <w:tab w:val="left" w:pos="4920"/>
        </w:tabs>
        <w:rPr>
          <w:rFonts w:cs="Arial"/>
          <w:lang w:val="es-CO"/>
        </w:rPr>
      </w:pPr>
    </w:p>
    <w:p w:rsidR="00205871" w:rsidRPr="00241FAC" w:rsidRDefault="00205871" w:rsidP="00205871">
      <w:pPr>
        <w:rPr>
          <w:rFonts w:cs="Arial"/>
        </w:rPr>
      </w:pPr>
      <w:r w:rsidRPr="00241FAC">
        <w:rPr>
          <w:rFonts w:cs="Arial"/>
        </w:rPr>
        <w:t>En lo que importa para el presente caso se destacan las siguientes consideraciones de la jurisprudencia unificada</w:t>
      </w:r>
      <w:r w:rsidR="00703E2D" w:rsidRPr="00241FAC">
        <w:rPr>
          <w:rFonts w:cs="Arial"/>
        </w:rPr>
        <w:t>:</w:t>
      </w:r>
    </w:p>
    <w:p w:rsidR="00205871" w:rsidRPr="00241FAC" w:rsidRDefault="00205871" w:rsidP="00205871">
      <w:pPr>
        <w:rPr>
          <w:rFonts w:cs="Arial"/>
        </w:rPr>
      </w:pPr>
    </w:p>
    <w:p w:rsidR="00205871" w:rsidRPr="00241FAC" w:rsidRDefault="00205871" w:rsidP="00205871">
      <w:pPr>
        <w:spacing w:line="240" w:lineRule="auto"/>
        <w:ind w:left="851" w:right="900"/>
        <w:rPr>
          <w:rFonts w:cs="Arial"/>
          <w:i/>
        </w:rPr>
      </w:pPr>
      <w:r w:rsidRPr="00241FAC">
        <w:rPr>
          <w:rFonts w:cs="Arial"/>
          <w:i/>
        </w:rPr>
        <w:t>“A juicio de la Sala, en esta ocasión debe retomarse el asunto para efectos de modificar la tesis jurisprudencial que se ha venido siguiendo y, por tanto, debe puntualizarse que si bien las uniones temporales y los consorcios no constituyen personas jurídicas distintas de quienes integran la respectiva figura plural de oferentes o de contratistas, lo cierto es que además de contar con la aptitud para ser parte en el correspondiente procedimiento administrativo de selección de contratistas –comoquiera que por ley cuentan con capacidad suficiente para ser titulares de los derechos y obligaciones derivadas tanto de los procedimientos administrativos de selección contractual como de los propios contratos estatales─, también se encuentran facultados para concurrir a los procesos judiciales que pudieren tener origen en controversias surgidas del mencionado procedimiento administrativo de selección de contratistas o de la celebración y ejecución del contrato estatal respectivo –</w:t>
      </w:r>
      <w:proofErr w:type="spellStart"/>
      <w:r w:rsidRPr="00241FAC">
        <w:rPr>
          <w:rFonts w:cs="Arial"/>
          <w:i/>
        </w:rPr>
        <w:t>legitimatio</w:t>
      </w:r>
      <w:proofErr w:type="spellEnd"/>
      <w:r w:rsidRPr="00241FAC">
        <w:rPr>
          <w:rFonts w:cs="Arial"/>
          <w:i/>
        </w:rPr>
        <w:t xml:space="preserve"> ad processum-, por intermedio de su representante.</w:t>
      </w:r>
    </w:p>
    <w:p w:rsidR="00205871" w:rsidRPr="00241FAC" w:rsidRDefault="00205871" w:rsidP="00205871">
      <w:pPr>
        <w:spacing w:line="240" w:lineRule="auto"/>
        <w:ind w:left="851" w:right="900"/>
        <w:rPr>
          <w:rFonts w:cs="Arial"/>
          <w:i/>
        </w:rPr>
      </w:pPr>
    </w:p>
    <w:p w:rsidR="00205871" w:rsidRPr="00241FAC" w:rsidRDefault="00205871" w:rsidP="00205871">
      <w:pPr>
        <w:spacing w:line="240" w:lineRule="auto"/>
        <w:ind w:left="851" w:right="900"/>
        <w:rPr>
          <w:rFonts w:cs="Arial"/>
          <w:i/>
        </w:rPr>
      </w:pPr>
      <w:r w:rsidRPr="00241FAC">
        <w:rPr>
          <w:rFonts w:cs="Arial"/>
          <w:i/>
        </w:rPr>
        <w:t>(…)</w:t>
      </w:r>
    </w:p>
    <w:p w:rsidR="00205871" w:rsidRPr="00241FAC" w:rsidRDefault="00205871" w:rsidP="00205871">
      <w:pPr>
        <w:spacing w:line="240" w:lineRule="auto"/>
        <w:ind w:left="851" w:right="900"/>
        <w:rPr>
          <w:rFonts w:cs="Arial"/>
          <w:i/>
        </w:rPr>
      </w:pPr>
    </w:p>
    <w:p w:rsidR="00205871" w:rsidRPr="00241FAC" w:rsidRDefault="00205871" w:rsidP="00205871">
      <w:pPr>
        <w:spacing w:line="240" w:lineRule="auto"/>
        <w:ind w:left="851" w:right="900"/>
        <w:rPr>
          <w:rFonts w:cs="Arial"/>
          <w:i/>
        </w:rPr>
      </w:pPr>
      <w:r w:rsidRPr="00241FAC">
        <w:rPr>
          <w:rFonts w:cs="Arial"/>
          <w:i/>
        </w:rPr>
        <w:t xml:space="preserve">Para abundar en razones que conducen a concluir que los consorcios y las uniones temporales se encuentran debidamente facultados para comparecer a los procesos judiciales que se promuevan u originen en relación con los procedimientos de selección o con los contratos estatales en los cuales aquellos pueden intervenir o asumir la condición de parte, según el caso, importa destacar que el inciso segundo del parágrafo primero del artículo séptimo de la citada Ley 80, determina que “[l]os miembros del consorcio y de la unión temporal deberán designar la persona que, </w:t>
      </w:r>
      <w:r w:rsidRPr="00241FAC">
        <w:rPr>
          <w:rFonts w:cs="Arial"/>
          <w:b/>
          <w:i/>
        </w:rPr>
        <w:t>para todos los efectos,</w:t>
      </w:r>
      <w:r w:rsidRPr="00241FAC">
        <w:rPr>
          <w:rFonts w:cs="Arial"/>
          <w:i/>
        </w:rPr>
        <w:t xml:space="preserve"> representará al consorcio o unión temporal (…)”, cuestión que obliga a destacar que el legislador no limitó y no condicionó, en modo alguno, el amplio alcance de las facultades que, por mandato normativo, acompaña a quien se designe como representante de una de esas organizaciones, lo cual se opone por completo a las indicaciones anteriormente formuladas por la Sala en cuanto se venía sosteniendo que el representante de un consorcio o unión temporal tendría facultades para </w:t>
      </w:r>
      <w:r w:rsidRPr="00241FAC">
        <w:rPr>
          <w:rFonts w:cs="Arial"/>
          <w:b/>
          <w:bCs/>
          <w:i/>
        </w:rPr>
        <w:t>los solos efectos</w:t>
      </w:r>
      <w:r w:rsidRPr="00241FAC">
        <w:rPr>
          <w:rFonts w:cs="Arial"/>
          <w:i/>
        </w:rPr>
        <w:t xml:space="preserve"> relativos a la celebración y ejecución del contrato.</w:t>
      </w:r>
    </w:p>
    <w:p w:rsidR="00205871" w:rsidRPr="00241FAC" w:rsidRDefault="00205871" w:rsidP="00205871">
      <w:pPr>
        <w:spacing w:line="240" w:lineRule="auto"/>
        <w:ind w:left="851" w:right="900"/>
        <w:rPr>
          <w:rFonts w:cs="Arial"/>
          <w:i/>
        </w:rPr>
      </w:pPr>
    </w:p>
    <w:p w:rsidR="00205871" w:rsidRPr="00241FAC" w:rsidRDefault="00205871" w:rsidP="00205871">
      <w:pPr>
        <w:spacing w:line="240" w:lineRule="auto"/>
        <w:ind w:left="851" w:right="900"/>
        <w:rPr>
          <w:rFonts w:cs="Arial"/>
          <w:i/>
        </w:rPr>
      </w:pPr>
      <w:r w:rsidRPr="00241FAC">
        <w:rPr>
          <w:rFonts w:cs="Arial"/>
          <w:i/>
        </w:rPr>
        <w:t xml:space="preserve">Así, en la medida en que la ley no hizo distinción alguna acerca de la </w:t>
      </w:r>
      <w:r w:rsidRPr="00241FAC">
        <w:rPr>
          <w:rFonts w:cs="Arial"/>
          <w:b/>
          <w:i/>
        </w:rPr>
        <w:t>totalidad</w:t>
      </w:r>
      <w:r w:rsidRPr="00241FAC">
        <w:rPr>
          <w:rFonts w:cs="Arial"/>
          <w:i/>
        </w:rPr>
        <w:t xml:space="preserve"> de los efectos para los cuales se hará la designación del representante del consorcio o unión temporal, es claro que no podrá hacerlo el intérprete. De manera que al determinar que las facultades correspondientes comprenderán </w:t>
      </w:r>
      <w:r w:rsidRPr="00241FAC">
        <w:rPr>
          <w:rFonts w:cs="Arial"/>
          <w:b/>
          <w:i/>
        </w:rPr>
        <w:t xml:space="preserve">todos los efectos, </w:t>
      </w:r>
      <w:r w:rsidRPr="00241FAC">
        <w:rPr>
          <w:rFonts w:cs="Arial"/>
          <w:i/>
        </w:rPr>
        <w:t xml:space="preserve">en ellos deben entenderse incluidas las actuaciones de índole precontractual y contractual que puedan y deban desplegarse en sede administrativa, como por ejemplo aquellas encaminadas a definir los términos de la oferta y la presentación de la misma; notificarse de la decisión de declaratoria de desierta, si a ella hubiere lugar e interponer el correspondiente recurso de reposición; notificarse de la resolución de adjudicación; celebrar el correspondiente contrato; constituir y presentar, para aprobación, </w:t>
      </w:r>
      <w:r w:rsidRPr="00241FAC">
        <w:rPr>
          <w:rFonts w:cs="Arial"/>
          <w:i/>
        </w:rPr>
        <w:lastRenderedPageBreak/>
        <w:t>las garantías que aseguren su cumplimiento; formular cuentas de cobro o facturas; recibir los pagos; efectuar las entregas o cumplir las prestaciones a que hubiere lugar; convenir modificaciones, ajustes, adiciones o prórrogas; concurrir a la liquidación del contrato y acordar los términos de la misma; lograr acuerdos o conciliaciones; notificarse de los actos administrativos de índole contractual que expida la entidad contratante e impugnarlos en vía gubernativa, etc.”</w:t>
      </w:r>
    </w:p>
    <w:p w:rsidR="00205871" w:rsidRPr="00241FAC" w:rsidRDefault="00205871" w:rsidP="00205871">
      <w:pPr>
        <w:spacing w:line="240" w:lineRule="auto"/>
        <w:ind w:left="851" w:right="900"/>
        <w:rPr>
          <w:rFonts w:cs="Arial"/>
          <w:i/>
        </w:rPr>
      </w:pPr>
    </w:p>
    <w:p w:rsidR="00205871" w:rsidRPr="00241FAC" w:rsidRDefault="00205871" w:rsidP="00205871">
      <w:pPr>
        <w:rPr>
          <w:rFonts w:cs="Arial"/>
        </w:rPr>
      </w:pPr>
      <w:r w:rsidRPr="00241FAC">
        <w:rPr>
          <w:rFonts w:cs="Arial"/>
        </w:rPr>
        <w:t xml:space="preserve">En relación con la citada providencia de unificación resulta útil para el caso sub lite, mencionar el efecto que se desprende de la misma regulación del artículo 7 de la Ley 80 de 1993, en cuanto a la suficiencia y pertinencia de la notificación al representante del consorcio, sin que sea necesario ni procedente notificar a todos los miembros o integrantes del mismo, puesto que la condición de </w:t>
      </w:r>
      <w:r w:rsidRPr="00241FAC">
        <w:rPr>
          <w:rFonts w:cs="Arial"/>
          <w:i/>
        </w:rPr>
        <w:t xml:space="preserve">parte </w:t>
      </w:r>
      <w:r w:rsidRPr="00241FAC">
        <w:rPr>
          <w:rFonts w:cs="Arial"/>
        </w:rPr>
        <w:t>tanto en el respectivo procedimiento administrativo de selección contractual, como en el proceso judicial de lo contencioso administrativo, en tratándose del contrato estatal, la tiene el consorcio y no cada partícipe y, por lo tanto, es el consorcio el ente que puede y debe ser notificado, a través de su representante legal, por lo cual esa resulta notificación idónea para producir los efectos propios de la misma.</w:t>
      </w:r>
    </w:p>
    <w:p w:rsidR="00205871" w:rsidRPr="00241FAC" w:rsidRDefault="00205871" w:rsidP="00205871">
      <w:pPr>
        <w:rPr>
          <w:rFonts w:cs="Arial"/>
        </w:rPr>
      </w:pPr>
    </w:p>
    <w:p w:rsidR="00205871" w:rsidRPr="00241FAC" w:rsidRDefault="00205871" w:rsidP="00205871">
      <w:pPr>
        <w:rPr>
          <w:rFonts w:cs="Arial"/>
        </w:rPr>
      </w:pPr>
      <w:r w:rsidRPr="00241FAC">
        <w:rPr>
          <w:rFonts w:cs="Arial"/>
        </w:rPr>
        <w:t xml:space="preserve">En el aspecto de la notificación, la sentencia de unificación puntualizó la siguiente consideración: </w:t>
      </w:r>
    </w:p>
    <w:p w:rsidR="00205871" w:rsidRPr="00241FAC" w:rsidRDefault="00205871" w:rsidP="00205871">
      <w:pPr>
        <w:rPr>
          <w:rFonts w:cs="Arial"/>
        </w:rPr>
      </w:pPr>
    </w:p>
    <w:p w:rsidR="00205871" w:rsidRPr="00241FAC" w:rsidRDefault="00205871" w:rsidP="00205871">
      <w:pPr>
        <w:spacing w:line="240" w:lineRule="auto"/>
        <w:ind w:left="851" w:right="900"/>
        <w:rPr>
          <w:rFonts w:cs="Arial"/>
          <w:i/>
        </w:rPr>
      </w:pPr>
      <w:r w:rsidRPr="00241FAC">
        <w:rPr>
          <w:rFonts w:cs="Arial"/>
          <w:i/>
        </w:rPr>
        <w:t xml:space="preserve">“Surge aquí un efecto adicional que importa destacar, consistente en que la notificación que de los actos contractuales expedidos por la entidad estatal en relación o con ocasión de un contrato celebrado con un consorcio o una unión temporal, se realice con el representante de la respectiva agrupación, será una notificación que se tendrá por bien hecha, sin que resulte necesario entonces, para que el acto administrativo correspondiente produzca la plenitud de sus efectos, que la entidad contratante deba buscar y hasta ‘perseguir’, por el país o por el mundo entero, a los múltiples y variados integrantes del consorcio o de la unión temporal contratista.” </w:t>
      </w:r>
    </w:p>
    <w:p w:rsidR="00205871" w:rsidRPr="00241FAC" w:rsidRDefault="00205871" w:rsidP="00205871">
      <w:pPr>
        <w:rPr>
          <w:rFonts w:cs="Arial"/>
        </w:rPr>
      </w:pPr>
    </w:p>
    <w:p w:rsidR="00AA0C81" w:rsidRPr="00241FAC" w:rsidRDefault="00205871" w:rsidP="00205871">
      <w:pPr>
        <w:rPr>
          <w:rFonts w:cs="Arial"/>
        </w:rPr>
      </w:pPr>
      <w:r w:rsidRPr="00241FAC">
        <w:rPr>
          <w:rFonts w:cs="Arial"/>
        </w:rPr>
        <w:t xml:space="preserve">De acuerdo con lo anterior, se tiene entonces que al proceso se vinculó en debida forma el </w:t>
      </w:r>
      <w:r w:rsidR="00DC385D" w:rsidRPr="00241FAC">
        <w:rPr>
          <w:rFonts w:cs="Arial"/>
        </w:rPr>
        <w:t>C</w:t>
      </w:r>
      <w:r w:rsidRPr="00241FAC">
        <w:rPr>
          <w:rFonts w:cs="Arial"/>
        </w:rPr>
        <w:t>onsorcio</w:t>
      </w:r>
      <w:r w:rsidR="00266CB6" w:rsidRPr="00241FAC">
        <w:rPr>
          <w:rFonts w:cs="Arial"/>
        </w:rPr>
        <w:t xml:space="preserve"> Luis E. Gómez y otro, </w:t>
      </w:r>
      <w:r w:rsidRPr="00241FAC">
        <w:rPr>
          <w:rFonts w:cs="Arial"/>
        </w:rPr>
        <w:t xml:space="preserve">puesto que fue debidamente notificado a través de su </w:t>
      </w:r>
      <w:r w:rsidR="00266CB6" w:rsidRPr="00241FAC">
        <w:rPr>
          <w:rFonts w:cs="Arial"/>
        </w:rPr>
        <w:t>representante legal</w:t>
      </w:r>
      <w:r w:rsidR="00DC385D" w:rsidRPr="00241FAC">
        <w:rPr>
          <w:rFonts w:cs="Arial"/>
        </w:rPr>
        <w:t xml:space="preserve">, </w:t>
      </w:r>
      <w:r w:rsidR="00266CB6" w:rsidRPr="00241FAC">
        <w:rPr>
          <w:rFonts w:cs="Arial"/>
        </w:rPr>
        <w:t xml:space="preserve">amén de que para la época de la notificación el citado representante legal fungía como único </w:t>
      </w:r>
      <w:r w:rsidR="00AA0C81" w:rsidRPr="00241FAC">
        <w:rPr>
          <w:rFonts w:cs="Arial"/>
        </w:rPr>
        <w:t xml:space="preserve">contratista por la aceptación expresa que realizó el Municipio de Purificación, ante el fallecimiento del otro integrante del consorcio. </w:t>
      </w:r>
    </w:p>
    <w:p w:rsidR="00AA0C81" w:rsidRPr="00241FAC" w:rsidRDefault="00AA0C81" w:rsidP="00205871">
      <w:pPr>
        <w:rPr>
          <w:rFonts w:cs="Arial"/>
        </w:rPr>
      </w:pPr>
    </w:p>
    <w:p w:rsidR="00BE793C" w:rsidRPr="00241FAC" w:rsidRDefault="00BE793C" w:rsidP="00BE793C">
      <w:pPr>
        <w:pStyle w:val="Lista"/>
        <w:rPr>
          <w:rFonts w:ascii="Arial" w:hAnsi="Arial" w:cs="Arial"/>
          <w:b/>
        </w:rPr>
      </w:pPr>
      <w:r w:rsidRPr="00241FAC">
        <w:rPr>
          <w:rFonts w:ascii="Arial" w:hAnsi="Arial" w:cs="Arial"/>
          <w:b/>
        </w:rPr>
        <w:t>4.</w:t>
      </w:r>
      <w:r w:rsidRPr="00241FAC">
        <w:rPr>
          <w:rFonts w:ascii="Arial" w:hAnsi="Arial" w:cs="Arial"/>
          <w:b/>
        </w:rPr>
        <w:tab/>
        <w:t>Las pruebas aportadas al proceso.</w:t>
      </w:r>
    </w:p>
    <w:p w:rsidR="00BE793C" w:rsidRPr="00241FAC" w:rsidRDefault="00BE793C" w:rsidP="00BE793C">
      <w:pPr>
        <w:widowControl w:val="0"/>
        <w:rPr>
          <w:rFonts w:cs="Arial"/>
          <w:lang w:val="es-ES_tradnl"/>
        </w:rPr>
      </w:pPr>
    </w:p>
    <w:p w:rsidR="00267437" w:rsidRPr="00241FAC" w:rsidRDefault="00267437" w:rsidP="00267437">
      <w:pPr>
        <w:widowControl w:val="0"/>
        <w:rPr>
          <w:rFonts w:cs="Arial"/>
          <w:lang w:val="es-ES_tradnl"/>
        </w:rPr>
      </w:pPr>
      <w:r w:rsidRPr="00241FAC">
        <w:rPr>
          <w:rFonts w:cs="Arial"/>
          <w:lang w:val="es-ES_tradnl"/>
        </w:rPr>
        <w:lastRenderedPageBreak/>
        <w:t>En su gran mayoría los documentos que obran en el expediente se aportaron en original o en copia autorizada por funcionario competente, las cuales se tienen como pruebas válidas en los términos de los artículos 252 y 254 del Código de Procedimiento Civil.</w:t>
      </w:r>
    </w:p>
    <w:p w:rsidR="00267437" w:rsidRPr="00241FAC" w:rsidRDefault="00267437" w:rsidP="00267437">
      <w:pPr>
        <w:widowControl w:val="0"/>
        <w:rPr>
          <w:rFonts w:cs="Arial"/>
          <w:lang w:val="es-ES_tradnl"/>
        </w:rPr>
      </w:pPr>
    </w:p>
    <w:p w:rsidR="00267437" w:rsidRPr="00241FAC" w:rsidRDefault="00267437" w:rsidP="00267437">
      <w:pPr>
        <w:tabs>
          <w:tab w:val="left" w:pos="180"/>
        </w:tabs>
        <w:rPr>
          <w:rFonts w:cs="Arial"/>
        </w:rPr>
      </w:pPr>
      <w:r w:rsidRPr="00241FAC">
        <w:rPr>
          <w:rFonts w:cs="Arial"/>
        </w:rPr>
        <w:t>Igualmente se presentaron al proceso otros documentos</w:t>
      </w:r>
      <w:r w:rsidRPr="00241FAC">
        <w:rPr>
          <w:rStyle w:val="Refdenotaalpie"/>
          <w:rFonts w:cs="Arial"/>
        </w:rPr>
        <w:footnoteReference w:id="23"/>
      </w:r>
      <w:r w:rsidRPr="00241FAC">
        <w:rPr>
          <w:rFonts w:cs="Arial"/>
        </w:rPr>
        <w:t xml:space="preserve"> en copia simple; al respecto se tiene que si bien con anterioridad de manera reiterada esta Corporación había sostenido que </w:t>
      </w:r>
      <w:r w:rsidRPr="00241FAC">
        <w:rPr>
          <w:rFonts w:cs="Arial"/>
          <w:iCs/>
          <w:lang w:val="es-MX"/>
        </w:rPr>
        <w:t xml:space="preserve">las copias simples no constituían medios de convicción que pudieran tener la virtualidad de hacer constar o de demostrar los hechos que con tales documentos se pretendían hacer valer ante la Jurisdicción, en cuanto su estado desprovisto de autenticación impedía su valoración probatoria, de conformidad con lo </w:t>
      </w:r>
      <w:r w:rsidRPr="00241FAC">
        <w:rPr>
          <w:rFonts w:cs="Arial"/>
        </w:rPr>
        <w:t>normado en los artículos 252 y 254 del Código de Procedimiento Civil</w:t>
      </w:r>
      <w:r w:rsidRPr="00241FAC">
        <w:rPr>
          <w:rStyle w:val="Refdenotaalpie"/>
          <w:rFonts w:cs="Arial"/>
        </w:rPr>
        <w:footnoteReference w:id="24"/>
      </w:r>
      <w:r w:rsidRPr="00241FAC">
        <w:rPr>
          <w:rFonts w:cs="Arial"/>
        </w:rPr>
        <w:t>, lo cierto es que la postura de la Sala fue modificada a partir de la Sentencia de Unificación proferida por la Sección Tercera el 28 de agosto de 2013</w:t>
      </w:r>
      <w:r w:rsidRPr="00241FAC">
        <w:rPr>
          <w:rStyle w:val="Refdenotaalpie"/>
          <w:rFonts w:cs="Arial"/>
        </w:rPr>
        <w:footnoteReference w:id="25"/>
      </w:r>
      <w:r w:rsidRPr="00241FAC">
        <w:rPr>
          <w:rFonts w:cs="Arial"/>
        </w:rPr>
        <w:t xml:space="preserve">. </w:t>
      </w:r>
    </w:p>
    <w:p w:rsidR="00267437" w:rsidRPr="00241FAC" w:rsidRDefault="00267437" w:rsidP="00267437">
      <w:pPr>
        <w:tabs>
          <w:tab w:val="left" w:pos="180"/>
        </w:tabs>
        <w:rPr>
          <w:rFonts w:cs="Arial"/>
        </w:rPr>
      </w:pPr>
    </w:p>
    <w:p w:rsidR="00267437" w:rsidRPr="00241FAC" w:rsidRDefault="00267437" w:rsidP="00267437">
      <w:pPr>
        <w:tabs>
          <w:tab w:val="left" w:pos="180"/>
        </w:tabs>
        <w:rPr>
          <w:rFonts w:cs="Arial"/>
          <w:i/>
        </w:rPr>
      </w:pPr>
      <w:r w:rsidRPr="00241FAC">
        <w:rPr>
          <w:rFonts w:cs="Arial"/>
        </w:rPr>
        <w:t xml:space="preserve">Ciertamente, en dicha providencia, se indicó que la postura de la Sala quedó unificada en el sentido de aceptar la valoración de los documentos aportados en copias simples que han hecho parte del expediente toda vez que frente a estos </w:t>
      </w:r>
      <w:r w:rsidRPr="00241FAC">
        <w:rPr>
          <w:rFonts w:cs="Arial"/>
          <w:i/>
        </w:rPr>
        <w:t>“se ha surtido el principio de contradicción y defensa de los sujetos procesales ya que pudieron tacharlas de falsas o controvertir su contenido”.</w:t>
      </w:r>
    </w:p>
    <w:p w:rsidR="00267437" w:rsidRPr="00241FAC" w:rsidRDefault="00267437" w:rsidP="00267437">
      <w:pPr>
        <w:tabs>
          <w:tab w:val="left" w:pos="180"/>
        </w:tabs>
        <w:rPr>
          <w:rFonts w:cs="Arial"/>
          <w:i/>
        </w:rPr>
      </w:pPr>
    </w:p>
    <w:p w:rsidR="00267437" w:rsidRPr="00241FAC" w:rsidRDefault="00267437" w:rsidP="00267437">
      <w:pPr>
        <w:tabs>
          <w:tab w:val="left" w:pos="180"/>
        </w:tabs>
        <w:rPr>
          <w:rFonts w:cs="Arial"/>
          <w:iCs/>
        </w:rPr>
      </w:pPr>
      <w:r w:rsidRPr="00241FAC">
        <w:rPr>
          <w:rFonts w:cs="Arial"/>
          <w:iCs/>
        </w:rPr>
        <w:t xml:space="preserve">Como fundamento principal para llegar a la anterior conclusión, la Sala señaló que a partir de la expedición de las Leyes 1395 de 2010 y 1437 de 2011 se constata una nueva visión respecto del derecho procesal en cuanto éste hace énfasis especial </w:t>
      </w:r>
      <w:r w:rsidR="00F1588C" w:rsidRPr="00241FAC">
        <w:rPr>
          <w:rFonts w:cs="Arial"/>
          <w:iCs/>
        </w:rPr>
        <w:t>acerca</w:t>
      </w:r>
      <w:r w:rsidRPr="00241FAC">
        <w:rPr>
          <w:rFonts w:cs="Arial"/>
          <w:iCs/>
        </w:rPr>
        <w:t xml:space="preserve"> de los principios de buena fe y lealtad que deben asumir las partes en el proceso, lo cual </w:t>
      </w:r>
      <w:r w:rsidR="00F1588C" w:rsidRPr="00241FAC">
        <w:rPr>
          <w:rFonts w:cs="Arial"/>
          <w:iCs/>
        </w:rPr>
        <w:t xml:space="preserve">determina </w:t>
      </w:r>
      <w:r w:rsidRPr="00241FAC">
        <w:rPr>
          <w:rFonts w:cs="Arial"/>
          <w:iCs/>
        </w:rPr>
        <w:t>un cambio en el modelo establecido por las normas procesales, circunstancia</w:t>
      </w:r>
      <w:r w:rsidR="00226B31" w:rsidRPr="00241FAC">
        <w:rPr>
          <w:rFonts w:cs="Arial"/>
          <w:iCs/>
        </w:rPr>
        <w:t>s</w:t>
      </w:r>
      <w:r w:rsidR="00F1588C" w:rsidRPr="00241FAC">
        <w:rPr>
          <w:rFonts w:cs="Arial"/>
          <w:iCs/>
        </w:rPr>
        <w:t xml:space="preserve"> </w:t>
      </w:r>
      <w:r w:rsidRPr="00241FAC">
        <w:rPr>
          <w:rFonts w:cs="Arial"/>
          <w:iCs/>
        </w:rPr>
        <w:t xml:space="preserve">que </w:t>
      </w:r>
      <w:r w:rsidRPr="00241FAC">
        <w:rPr>
          <w:rFonts w:cs="Arial"/>
          <w:i/>
          <w:iCs/>
        </w:rPr>
        <w:t>“permiten al juez tener mayor dinamismo en la valoración de las pruebas que integran el acervo probatorio”</w:t>
      </w:r>
      <w:r w:rsidR="00F1588C" w:rsidRPr="00241FAC">
        <w:rPr>
          <w:rFonts w:cs="Arial"/>
          <w:i/>
          <w:iCs/>
        </w:rPr>
        <w:t>;</w:t>
      </w:r>
      <w:r w:rsidRPr="00241FAC">
        <w:rPr>
          <w:rFonts w:cs="Arial"/>
          <w:iCs/>
        </w:rPr>
        <w:t xml:space="preserve"> lo que en últimas se traduce en la posibilidad de que el operador judicial pueda tomar en cuenta aquellos </w:t>
      </w:r>
      <w:r w:rsidRPr="00241FAC">
        <w:rPr>
          <w:rFonts w:cs="Arial"/>
          <w:iCs/>
        </w:rPr>
        <w:lastRenderedPageBreak/>
        <w:t xml:space="preserve">documentos que obran </w:t>
      </w:r>
      <w:r w:rsidR="00E94B00" w:rsidRPr="00241FAC">
        <w:rPr>
          <w:rFonts w:cs="Arial"/>
          <w:iCs/>
        </w:rPr>
        <w:t xml:space="preserve">en </w:t>
      </w:r>
      <w:r w:rsidRPr="00241FAC">
        <w:rPr>
          <w:rFonts w:cs="Arial"/>
          <w:iCs/>
        </w:rPr>
        <w:t xml:space="preserve">el expediente en copia simple y respecto de los cuales las partes no han cuestionado su veracidad.  </w:t>
      </w:r>
    </w:p>
    <w:p w:rsidR="00267437" w:rsidRPr="00241FAC" w:rsidRDefault="00267437" w:rsidP="00267437">
      <w:pPr>
        <w:pStyle w:val="BodyText22"/>
        <w:autoSpaceDE/>
        <w:adjustRightInd/>
        <w:ind w:firstLine="0"/>
        <w:rPr>
          <w:rFonts w:ascii="Arial" w:hAnsi="Arial" w:cs="Arial"/>
          <w:sz w:val="24"/>
          <w:szCs w:val="24"/>
        </w:rPr>
      </w:pPr>
    </w:p>
    <w:p w:rsidR="00267437" w:rsidRPr="00241FAC" w:rsidRDefault="00267437" w:rsidP="00267437">
      <w:pPr>
        <w:pStyle w:val="BodyText22"/>
        <w:autoSpaceDE/>
        <w:adjustRightInd/>
        <w:ind w:firstLine="0"/>
        <w:rPr>
          <w:rFonts w:ascii="Arial" w:hAnsi="Arial" w:cs="Arial"/>
          <w:sz w:val="24"/>
          <w:szCs w:val="24"/>
        </w:rPr>
      </w:pPr>
      <w:r w:rsidRPr="00241FAC">
        <w:rPr>
          <w:rFonts w:ascii="Arial" w:hAnsi="Arial" w:cs="Arial"/>
          <w:sz w:val="24"/>
          <w:szCs w:val="24"/>
        </w:rPr>
        <w:t>Por lo tanto, según la nueva postura jurisprudencial de la Sala, los documentos aportados en copia simple por la parte actora con la presentación de la demanda también serán tomados en cuenta en esta sentencia</w:t>
      </w:r>
      <w:r w:rsidRPr="00241FAC">
        <w:rPr>
          <w:rStyle w:val="Refdenotaalpie"/>
          <w:rFonts w:ascii="Arial" w:hAnsi="Arial" w:cs="Arial"/>
          <w:sz w:val="24"/>
          <w:szCs w:val="24"/>
        </w:rPr>
        <w:footnoteReference w:id="26"/>
      </w:r>
      <w:r w:rsidRPr="00241FAC">
        <w:rPr>
          <w:rFonts w:ascii="Arial" w:hAnsi="Arial" w:cs="Arial"/>
          <w:sz w:val="24"/>
          <w:szCs w:val="24"/>
        </w:rPr>
        <w:t>, al igual que aquellos que se presentaron en original o en copia auténtica.</w:t>
      </w:r>
    </w:p>
    <w:p w:rsidR="00267437" w:rsidRPr="00241FAC" w:rsidRDefault="00267437" w:rsidP="00267437">
      <w:pPr>
        <w:widowControl w:val="0"/>
        <w:rPr>
          <w:rFonts w:cs="Arial"/>
          <w:lang w:val="es-ES_tradnl"/>
        </w:rPr>
      </w:pPr>
    </w:p>
    <w:p w:rsidR="00267437" w:rsidRPr="00241FAC" w:rsidRDefault="00267437" w:rsidP="00267437">
      <w:pPr>
        <w:widowControl w:val="0"/>
        <w:rPr>
          <w:rFonts w:cs="Arial"/>
          <w:lang w:val="es-ES_tradnl"/>
        </w:rPr>
      </w:pPr>
      <w:r w:rsidRPr="00241FAC">
        <w:rPr>
          <w:rFonts w:cs="Arial"/>
          <w:lang w:val="es-ES_tradnl"/>
        </w:rPr>
        <w:t>A continuación se relacionan las pruebas documentales aportadas en el presente proceso:</w:t>
      </w:r>
    </w:p>
    <w:p w:rsidR="00BE793C" w:rsidRPr="00241FAC" w:rsidRDefault="00BE793C" w:rsidP="00BE793C">
      <w:pPr>
        <w:tabs>
          <w:tab w:val="left" w:pos="7938"/>
        </w:tabs>
        <w:spacing w:line="240" w:lineRule="auto"/>
        <w:ind w:right="567"/>
        <w:rPr>
          <w:rFonts w:cs="Arial"/>
          <w:b/>
          <w:i/>
        </w:rPr>
      </w:pPr>
    </w:p>
    <w:p w:rsidR="00BE793C" w:rsidRPr="00241FAC" w:rsidRDefault="00BC0312" w:rsidP="00BC0312">
      <w:pPr>
        <w:spacing w:after="200"/>
        <w:contextualSpacing/>
        <w:rPr>
          <w:rFonts w:cs="Arial"/>
        </w:rPr>
      </w:pPr>
      <w:r w:rsidRPr="00241FAC">
        <w:rPr>
          <w:rFonts w:cs="Arial"/>
          <w:b/>
        </w:rPr>
        <w:t>4.1.</w:t>
      </w:r>
      <w:r w:rsidRPr="00241FAC">
        <w:rPr>
          <w:rFonts w:cs="Arial"/>
        </w:rPr>
        <w:tab/>
      </w:r>
      <w:r w:rsidR="00BE793C" w:rsidRPr="00241FAC">
        <w:rPr>
          <w:rFonts w:cs="Arial"/>
        </w:rPr>
        <w:t xml:space="preserve">Resolución </w:t>
      </w:r>
      <w:r w:rsidR="001229B1" w:rsidRPr="00241FAC">
        <w:rPr>
          <w:rFonts w:cs="Arial"/>
        </w:rPr>
        <w:t xml:space="preserve">No. 209 de 21 de junio de 2000, expedida por el Alcalde Municipal de Purificación, </w:t>
      </w:r>
      <w:r w:rsidR="00BE793C" w:rsidRPr="00241FAC">
        <w:rPr>
          <w:rFonts w:cs="Arial"/>
        </w:rPr>
        <w:t xml:space="preserve">mediante la cual se ordenó la apertura de la Licitación Pública </w:t>
      </w:r>
      <w:r w:rsidR="001229B1" w:rsidRPr="00241FAC">
        <w:rPr>
          <w:rFonts w:cs="Arial"/>
        </w:rPr>
        <w:t xml:space="preserve">No. 01 de 2000 </w:t>
      </w:r>
      <w:r w:rsidR="00BE793C" w:rsidRPr="00241FAC">
        <w:rPr>
          <w:rFonts w:cs="Arial"/>
        </w:rPr>
        <w:t xml:space="preserve">(folios </w:t>
      </w:r>
      <w:r w:rsidR="001229B1" w:rsidRPr="00241FAC">
        <w:rPr>
          <w:rFonts w:cs="Arial"/>
        </w:rPr>
        <w:t>13 a 16, cuaderno 13</w:t>
      </w:r>
      <w:r w:rsidR="00BE793C" w:rsidRPr="00241FAC">
        <w:rPr>
          <w:rFonts w:cs="Arial"/>
        </w:rPr>
        <w:t>).</w:t>
      </w:r>
    </w:p>
    <w:p w:rsidR="00BE793C" w:rsidRPr="00241FAC" w:rsidRDefault="00BE793C" w:rsidP="00BE793C">
      <w:pPr>
        <w:rPr>
          <w:rFonts w:cs="Arial"/>
        </w:rPr>
      </w:pPr>
    </w:p>
    <w:p w:rsidR="008506F9" w:rsidRPr="00241FAC" w:rsidRDefault="00497EB1" w:rsidP="0007367B">
      <w:pPr>
        <w:spacing w:after="200"/>
        <w:contextualSpacing/>
        <w:rPr>
          <w:rFonts w:cs="Arial"/>
          <w:b/>
        </w:rPr>
      </w:pPr>
      <w:r w:rsidRPr="00241FAC">
        <w:rPr>
          <w:rFonts w:cs="Arial"/>
          <w:b/>
        </w:rPr>
        <w:t>4.2.</w:t>
      </w:r>
      <w:r w:rsidRPr="00241FAC">
        <w:rPr>
          <w:rFonts w:cs="Arial"/>
          <w:b/>
        </w:rPr>
        <w:tab/>
      </w:r>
      <w:r w:rsidR="008506F9" w:rsidRPr="00241FAC">
        <w:rPr>
          <w:rFonts w:cs="Arial"/>
        </w:rPr>
        <w:t xml:space="preserve">Documento titulado </w:t>
      </w:r>
      <w:r w:rsidR="00E20E19" w:rsidRPr="00241FAC">
        <w:rPr>
          <w:rFonts w:cs="Arial"/>
        </w:rPr>
        <w:t>“</w:t>
      </w:r>
      <w:r w:rsidR="00E20E19" w:rsidRPr="00241FAC">
        <w:rPr>
          <w:rFonts w:cs="Arial"/>
          <w:i/>
        </w:rPr>
        <w:t xml:space="preserve">Estudio de Conveniencia-Oportunidad–Adecuación, Parque Recreacional del Municipio de Purificación Tolima, </w:t>
      </w:r>
      <w:r w:rsidR="008506F9" w:rsidRPr="00241FAC">
        <w:rPr>
          <w:rFonts w:cs="Arial"/>
          <w:i/>
        </w:rPr>
        <w:t xml:space="preserve">Alcaldía Municipal, </w:t>
      </w:r>
      <w:r w:rsidR="00E20E19" w:rsidRPr="00241FAC">
        <w:rPr>
          <w:rFonts w:cs="Arial"/>
          <w:i/>
        </w:rPr>
        <w:t>Junio de</w:t>
      </w:r>
      <w:r w:rsidR="008506F9" w:rsidRPr="00241FAC">
        <w:rPr>
          <w:rFonts w:cs="Arial"/>
          <w:i/>
        </w:rPr>
        <w:t xml:space="preserve"> 2000</w:t>
      </w:r>
      <w:r w:rsidR="001540C2" w:rsidRPr="00241FAC">
        <w:rPr>
          <w:rFonts w:cs="Arial"/>
          <w:i/>
        </w:rPr>
        <w:t>”</w:t>
      </w:r>
      <w:r w:rsidR="008506F9" w:rsidRPr="00241FAC">
        <w:rPr>
          <w:rFonts w:cs="Arial"/>
        </w:rPr>
        <w:t xml:space="preserve"> (folios 1 a 11, cuaderno 13)</w:t>
      </w:r>
      <w:r w:rsidR="001540C2" w:rsidRPr="00241FAC">
        <w:rPr>
          <w:rFonts w:cs="Arial"/>
        </w:rPr>
        <w:t>.</w:t>
      </w:r>
      <w:r w:rsidR="00E20E19" w:rsidRPr="00241FAC">
        <w:rPr>
          <w:rFonts w:cs="Arial"/>
          <w:b/>
        </w:rPr>
        <w:t xml:space="preserve"> </w:t>
      </w:r>
    </w:p>
    <w:p w:rsidR="008506F9" w:rsidRPr="00241FAC" w:rsidRDefault="008506F9" w:rsidP="0007367B">
      <w:pPr>
        <w:spacing w:after="200"/>
        <w:contextualSpacing/>
        <w:rPr>
          <w:rFonts w:cs="Arial"/>
          <w:b/>
        </w:rPr>
      </w:pPr>
    </w:p>
    <w:p w:rsidR="0007367B" w:rsidRPr="00241FAC" w:rsidRDefault="0028487F" w:rsidP="0007367B">
      <w:pPr>
        <w:spacing w:after="200"/>
        <w:contextualSpacing/>
        <w:rPr>
          <w:rFonts w:cs="Arial"/>
        </w:rPr>
      </w:pPr>
      <w:r w:rsidRPr="00241FAC">
        <w:rPr>
          <w:rFonts w:cs="Arial"/>
          <w:b/>
        </w:rPr>
        <w:t>4.3.</w:t>
      </w:r>
      <w:r w:rsidRPr="00241FAC">
        <w:rPr>
          <w:rFonts w:cs="Arial"/>
        </w:rPr>
        <w:tab/>
      </w:r>
      <w:r w:rsidR="008506F9" w:rsidRPr="00241FAC">
        <w:rPr>
          <w:rFonts w:cs="Arial"/>
        </w:rPr>
        <w:t xml:space="preserve">Términos de Referencia de </w:t>
      </w:r>
      <w:r w:rsidR="00BE793C" w:rsidRPr="00241FAC">
        <w:rPr>
          <w:rFonts w:cs="Arial"/>
        </w:rPr>
        <w:t>la Licitación Pública</w:t>
      </w:r>
      <w:r w:rsidR="00F12724" w:rsidRPr="00241FAC">
        <w:rPr>
          <w:rFonts w:cs="Arial"/>
        </w:rPr>
        <w:t xml:space="preserve"> </w:t>
      </w:r>
      <w:r w:rsidR="00DD086F" w:rsidRPr="00241FAC">
        <w:rPr>
          <w:rFonts w:cs="Arial"/>
        </w:rPr>
        <w:t>No. 01 de 2000</w:t>
      </w:r>
      <w:r w:rsidR="00BE793C" w:rsidRPr="00241FAC">
        <w:rPr>
          <w:rFonts w:cs="Arial"/>
        </w:rPr>
        <w:t xml:space="preserve"> (folios </w:t>
      </w:r>
      <w:r w:rsidR="00DD086F" w:rsidRPr="00241FAC">
        <w:rPr>
          <w:rFonts w:cs="Arial"/>
        </w:rPr>
        <w:t>1 a 211 cuaderno 6</w:t>
      </w:r>
      <w:r w:rsidR="00BE793C" w:rsidRPr="00241FAC">
        <w:rPr>
          <w:rFonts w:cs="Arial"/>
        </w:rPr>
        <w:t>), el cual contiene l</w:t>
      </w:r>
      <w:r w:rsidR="0007367B" w:rsidRPr="00241FAC">
        <w:rPr>
          <w:rFonts w:cs="Arial"/>
        </w:rPr>
        <w:t xml:space="preserve">os siguientes </w:t>
      </w:r>
      <w:r w:rsidR="008D3A9E" w:rsidRPr="00241FAC">
        <w:rPr>
          <w:rFonts w:cs="Arial"/>
        </w:rPr>
        <w:t xml:space="preserve">requerimientos y </w:t>
      </w:r>
      <w:r w:rsidR="0007367B" w:rsidRPr="00241FAC">
        <w:rPr>
          <w:rFonts w:cs="Arial"/>
        </w:rPr>
        <w:t>factores de evaluación:</w:t>
      </w:r>
    </w:p>
    <w:p w:rsidR="008D3A9E" w:rsidRPr="00241FAC" w:rsidRDefault="008D3A9E" w:rsidP="0007367B">
      <w:pPr>
        <w:spacing w:after="200"/>
        <w:contextualSpacing/>
        <w:rPr>
          <w:rFonts w:cs="Arial"/>
        </w:rPr>
      </w:pPr>
    </w:p>
    <w:p w:rsidR="008D3A9E" w:rsidRPr="00241FAC" w:rsidRDefault="001E5E54" w:rsidP="004056BB">
      <w:pPr>
        <w:spacing w:after="200"/>
        <w:ind w:left="851" w:right="567"/>
        <w:contextualSpacing/>
        <w:rPr>
          <w:rFonts w:cs="Arial"/>
          <w:i/>
        </w:rPr>
      </w:pPr>
      <w:r w:rsidRPr="00241FAC">
        <w:rPr>
          <w:rFonts w:cs="Arial"/>
          <w:i/>
        </w:rPr>
        <w:t>“DOCUMENTOS INTEGRANTES DE LA OFERTA.</w:t>
      </w:r>
    </w:p>
    <w:p w:rsidR="008D3A9E" w:rsidRPr="00241FAC" w:rsidRDefault="001E5E54" w:rsidP="004056BB">
      <w:pPr>
        <w:spacing w:after="200"/>
        <w:ind w:left="851" w:right="567"/>
        <w:contextualSpacing/>
        <w:rPr>
          <w:rFonts w:cs="Arial"/>
        </w:rPr>
      </w:pPr>
      <w:r w:rsidRPr="00241FAC">
        <w:rPr>
          <w:rFonts w:cs="Arial"/>
        </w:rPr>
        <w:t>(…)</w:t>
      </w:r>
    </w:p>
    <w:p w:rsidR="00AB4F52" w:rsidRPr="00241FAC" w:rsidRDefault="008D3A9E" w:rsidP="004056BB">
      <w:pPr>
        <w:spacing w:after="200" w:line="240" w:lineRule="auto"/>
        <w:ind w:left="851" w:right="567"/>
        <w:contextualSpacing/>
        <w:rPr>
          <w:rFonts w:cs="Arial"/>
          <w:i/>
        </w:rPr>
      </w:pPr>
      <w:r w:rsidRPr="00241FAC">
        <w:rPr>
          <w:rFonts w:cs="Arial"/>
          <w:i/>
        </w:rPr>
        <w:t xml:space="preserve">“Balance General a diciembre 31 de 1999, Estado de Pérdidas y Ganancias a diciembre 31 de 1999 y declaraciones de renta del Oferente </w:t>
      </w:r>
      <w:r w:rsidR="001540C2" w:rsidRPr="00241FAC">
        <w:rPr>
          <w:rFonts w:cs="Arial"/>
          <w:i/>
        </w:rPr>
        <w:t xml:space="preserve">o de cada uno de los integrantes del Consorcio o Unión Temporal del año inmediatamente anterior, dichos documentos deberán ser firmados por Contador Público, para el caso de las Personas naturales; para Personas jurídicas deberán estar firmados por </w:t>
      </w:r>
      <w:r w:rsidR="00AB4F52" w:rsidRPr="00241FAC">
        <w:rPr>
          <w:rFonts w:cs="Arial"/>
          <w:i/>
        </w:rPr>
        <w:t>Contad</w:t>
      </w:r>
      <w:r w:rsidR="001E5E54" w:rsidRPr="00241FAC">
        <w:rPr>
          <w:rFonts w:cs="Arial"/>
          <w:i/>
        </w:rPr>
        <w:t>or</w:t>
      </w:r>
      <w:r w:rsidR="00AB4F52" w:rsidRPr="00241FAC">
        <w:rPr>
          <w:rFonts w:cs="Arial"/>
          <w:i/>
        </w:rPr>
        <w:t xml:space="preserve"> o Revisor Fiscal de acuerdo con el Capital de la Sociedad.</w:t>
      </w:r>
    </w:p>
    <w:p w:rsidR="001E5E54" w:rsidRPr="00241FAC" w:rsidRDefault="001E5E54" w:rsidP="004056BB">
      <w:pPr>
        <w:spacing w:after="200" w:line="240" w:lineRule="auto"/>
        <w:ind w:left="851" w:right="567"/>
        <w:contextualSpacing/>
        <w:rPr>
          <w:rFonts w:cs="Arial"/>
          <w:i/>
        </w:rPr>
      </w:pPr>
    </w:p>
    <w:p w:rsidR="00AB4F52" w:rsidRPr="00241FAC" w:rsidRDefault="001E5E54" w:rsidP="004056BB">
      <w:pPr>
        <w:spacing w:after="200" w:line="240" w:lineRule="auto"/>
        <w:ind w:left="851" w:right="567"/>
        <w:contextualSpacing/>
        <w:rPr>
          <w:rFonts w:cs="Arial"/>
          <w:i/>
        </w:rPr>
      </w:pPr>
      <w:r w:rsidRPr="00241FAC">
        <w:rPr>
          <w:rFonts w:cs="Arial"/>
          <w:i/>
        </w:rPr>
        <w:t>(</w:t>
      </w:r>
      <w:r w:rsidR="00AB4F52" w:rsidRPr="00241FAC">
        <w:rPr>
          <w:rFonts w:cs="Arial"/>
          <w:i/>
        </w:rPr>
        <w:t>…</w:t>
      </w:r>
      <w:r w:rsidRPr="00241FAC">
        <w:rPr>
          <w:rFonts w:cs="Arial"/>
          <w:i/>
        </w:rPr>
        <w:t>)</w:t>
      </w:r>
    </w:p>
    <w:p w:rsidR="001E5E54" w:rsidRPr="00241FAC" w:rsidRDefault="001E5E54" w:rsidP="004056BB">
      <w:pPr>
        <w:spacing w:after="200" w:line="240" w:lineRule="auto"/>
        <w:ind w:left="851" w:right="567"/>
        <w:contextualSpacing/>
        <w:rPr>
          <w:rFonts w:cs="Arial"/>
          <w:i/>
        </w:rPr>
      </w:pPr>
    </w:p>
    <w:p w:rsidR="00AB4F52" w:rsidRPr="00241FAC" w:rsidRDefault="00AB4F52" w:rsidP="004056BB">
      <w:pPr>
        <w:spacing w:after="200"/>
        <w:ind w:left="851" w:right="567"/>
        <w:contextualSpacing/>
        <w:rPr>
          <w:rFonts w:cs="Arial"/>
          <w:i/>
        </w:rPr>
      </w:pPr>
      <w:r w:rsidRPr="00241FAC">
        <w:rPr>
          <w:rFonts w:cs="Arial"/>
          <w:i/>
        </w:rPr>
        <w:t>CPM Y GANNT</w:t>
      </w:r>
      <w:r w:rsidR="00512715" w:rsidRPr="00241FAC">
        <w:rPr>
          <w:rFonts w:cs="Arial"/>
          <w:i/>
        </w:rPr>
        <w:t xml:space="preserve"> </w:t>
      </w:r>
      <w:r w:rsidR="00512715" w:rsidRPr="00241FAC">
        <w:rPr>
          <w:rFonts w:cs="Arial"/>
        </w:rPr>
        <w:t>(sic)</w:t>
      </w:r>
      <w:r w:rsidR="00512715" w:rsidRPr="00241FAC">
        <w:rPr>
          <w:rFonts w:cs="Arial"/>
          <w:i/>
        </w:rPr>
        <w:t xml:space="preserve"> </w:t>
      </w:r>
      <w:r w:rsidRPr="00241FAC">
        <w:rPr>
          <w:rFonts w:cs="Arial"/>
          <w:i/>
        </w:rPr>
        <w:t>(Programa de Trabajo y Flujo de desembolso).</w:t>
      </w:r>
    </w:p>
    <w:p w:rsidR="00AB4F52" w:rsidRPr="00241FAC" w:rsidRDefault="001E5E54" w:rsidP="004056BB">
      <w:pPr>
        <w:spacing w:after="200"/>
        <w:ind w:left="851" w:right="567"/>
        <w:contextualSpacing/>
        <w:rPr>
          <w:rFonts w:cs="Arial"/>
        </w:rPr>
      </w:pPr>
      <w:r w:rsidRPr="00241FAC">
        <w:rPr>
          <w:rFonts w:cs="Arial"/>
        </w:rPr>
        <w:t>(</w:t>
      </w:r>
      <w:r w:rsidR="00AB4F52" w:rsidRPr="00241FAC">
        <w:rPr>
          <w:rFonts w:cs="Arial"/>
        </w:rPr>
        <w:t>…</w:t>
      </w:r>
      <w:r w:rsidRPr="00241FAC">
        <w:rPr>
          <w:rFonts w:cs="Arial"/>
        </w:rPr>
        <w:t>)</w:t>
      </w:r>
    </w:p>
    <w:p w:rsidR="00603D67" w:rsidRPr="00241FAC" w:rsidRDefault="00603D67" w:rsidP="004056BB">
      <w:pPr>
        <w:spacing w:after="200"/>
        <w:ind w:left="851" w:right="567"/>
        <w:contextualSpacing/>
        <w:rPr>
          <w:rFonts w:cs="Arial"/>
        </w:rPr>
      </w:pPr>
      <w:r w:rsidRPr="00241FAC">
        <w:rPr>
          <w:rFonts w:cs="Arial"/>
        </w:rPr>
        <w:lastRenderedPageBreak/>
        <w:t>EVALUACION DE PROPUE</w:t>
      </w:r>
      <w:r w:rsidR="001E5E54" w:rsidRPr="00241FAC">
        <w:rPr>
          <w:rFonts w:cs="Arial"/>
        </w:rPr>
        <w:t>S</w:t>
      </w:r>
      <w:r w:rsidRPr="00241FAC">
        <w:rPr>
          <w:rFonts w:cs="Arial"/>
        </w:rPr>
        <w:t>TAS</w:t>
      </w:r>
    </w:p>
    <w:p w:rsidR="00BE793C" w:rsidRPr="00241FAC" w:rsidRDefault="00BE793C" w:rsidP="004056BB">
      <w:pPr>
        <w:spacing w:line="240" w:lineRule="auto"/>
        <w:ind w:left="851" w:right="567"/>
        <w:rPr>
          <w:rFonts w:cs="Arial"/>
          <w:i/>
        </w:rPr>
      </w:pPr>
    </w:p>
    <w:tbl>
      <w:tblPr>
        <w:tblStyle w:val="Tablaconcuadrcula"/>
        <w:tblW w:w="7532" w:type="dxa"/>
        <w:tblInd w:w="851" w:type="dxa"/>
        <w:tblLook w:val="04A0" w:firstRow="1" w:lastRow="0" w:firstColumn="1" w:lastColumn="0" w:noHBand="0" w:noVBand="1"/>
      </w:tblPr>
      <w:tblGrid>
        <w:gridCol w:w="2376"/>
        <w:gridCol w:w="3625"/>
        <w:gridCol w:w="1531"/>
      </w:tblGrid>
      <w:tr w:rsidR="001631E3" w:rsidRPr="00241FAC" w:rsidTr="004056BB">
        <w:tc>
          <w:tcPr>
            <w:tcW w:w="2376" w:type="dxa"/>
          </w:tcPr>
          <w:p w:rsidR="001631E3" w:rsidRPr="00241FAC" w:rsidRDefault="001631E3" w:rsidP="00392CF9">
            <w:pPr>
              <w:spacing w:line="240" w:lineRule="auto"/>
              <w:ind w:right="567"/>
              <w:rPr>
                <w:rFonts w:cs="Arial"/>
                <w:i/>
              </w:rPr>
            </w:pPr>
            <w:r w:rsidRPr="00241FAC">
              <w:rPr>
                <w:rFonts w:cs="Arial"/>
                <w:i/>
              </w:rPr>
              <w:t>Nivel</w:t>
            </w:r>
          </w:p>
        </w:tc>
        <w:tc>
          <w:tcPr>
            <w:tcW w:w="3625" w:type="dxa"/>
          </w:tcPr>
          <w:p w:rsidR="001631E3" w:rsidRPr="00241FAC" w:rsidRDefault="001631E3" w:rsidP="007B6B69">
            <w:pPr>
              <w:spacing w:line="240" w:lineRule="auto"/>
              <w:ind w:right="567"/>
              <w:rPr>
                <w:rFonts w:cs="Arial"/>
                <w:i/>
              </w:rPr>
            </w:pPr>
            <w:r w:rsidRPr="00241FAC">
              <w:rPr>
                <w:rFonts w:cs="Arial"/>
                <w:i/>
              </w:rPr>
              <w:t>Subnivel</w:t>
            </w:r>
          </w:p>
        </w:tc>
        <w:tc>
          <w:tcPr>
            <w:tcW w:w="1531" w:type="dxa"/>
          </w:tcPr>
          <w:p w:rsidR="001631E3" w:rsidRPr="00241FAC" w:rsidRDefault="001631E3" w:rsidP="007B6B69">
            <w:pPr>
              <w:spacing w:line="240" w:lineRule="auto"/>
              <w:ind w:right="567"/>
              <w:rPr>
                <w:rFonts w:cs="Arial"/>
                <w:i/>
              </w:rPr>
            </w:pPr>
            <w:r w:rsidRPr="00241FAC">
              <w:rPr>
                <w:rFonts w:cs="Arial"/>
                <w:i/>
              </w:rPr>
              <w:t>Total</w:t>
            </w:r>
          </w:p>
        </w:tc>
      </w:tr>
      <w:tr w:rsidR="007B6B69" w:rsidRPr="00241FAC" w:rsidTr="004056BB">
        <w:tc>
          <w:tcPr>
            <w:tcW w:w="2376" w:type="dxa"/>
          </w:tcPr>
          <w:p w:rsidR="00C50162" w:rsidRPr="00241FAC" w:rsidRDefault="00C50162" w:rsidP="00392CF9">
            <w:pPr>
              <w:spacing w:line="240" w:lineRule="auto"/>
              <w:ind w:right="567"/>
              <w:rPr>
                <w:rFonts w:cs="Arial"/>
                <w:i/>
              </w:rPr>
            </w:pPr>
            <w:r w:rsidRPr="00241FAC">
              <w:rPr>
                <w:rFonts w:cs="Arial"/>
                <w:i/>
              </w:rPr>
              <w:t>1.</w:t>
            </w:r>
          </w:p>
          <w:p w:rsidR="007B6B69" w:rsidRPr="00241FAC" w:rsidRDefault="007B6B69" w:rsidP="00C50162">
            <w:pPr>
              <w:spacing w:line="240" w:lineRule="auto"/>
              <w:ind w:right="567"/>
              <w:rPr>
                <w:rFonts w:cs="Arial"/>
                <w:i/>
              </w:rPr>
            </w:pPr>
            <w:r w:rsidRPr="00241FAC">
              <w:rPr>
                <w:rFonts w:cs="Arial"/>
                <w:i/>
              </w:rPr>
              <w:t>Procedimiento Constructivo, organización General y Cronograma</w:t>
            </w:r>
            <w:r w:rsidR="00C50162" w:rsidRPr="00241FAC">
              <w:rPr>
                <w:rFonts w:cs="Arial"/>
                <w:i/>
              </w:rPr>
              <w:t>.</w:t>
            </w:r>
          </w:p>
        </w:tc>
        <w:tc>
          <w:tcPr>
            <w:tcW w:w="3625" w:type="dxa"/>
          </w:tcPr>
          <w:p w:rsidR="00C12F78" w:rsidRPr="00241FAC" w:rsidRDefault="007B6B69" w:rsidP="007B6B69">
            <w:pPr>
              <w:spacing w:line="240" w:lineRule="auto"/>
              <w:ind w:right="567"/>
              <w:rPr>
                <w:rFonts w:cs="Arial"/>
                <w:i/>
              </w:rPr>
            </w:pPr>
            <w:r w:rsidRPr="00241FAC">
              <w:rPr>
                <w:rFonts w:cs="Arial"/>
                <w:i/>
              </w:rPr>
              <w:t>Descripción General de Trabajos: 10 puntos</w:t>
            </w:r>
            <w:r w:rsidR="00C12F78" w:rsidRPr="00241FAC">
              <w:rPr>
                <w:rFonts w:cs="Arial"/>
                <w:i/>
              </w:rPr>
              <w:t>.</w:t>
            </w:r>
          </w:p>
          <w:p w:rsidR="007B6B69" w:rsidRPr="00241FAC" w:rsidRDefault="007B6B69" w:rsidP="007B6B69">
            <w:pPr>
              <w:spacing w:line="240" w:lineRule="auto"/>
              <w:ind w:right="567"/>
              <w:rPr>
                <w:rFonts w:cs="Arial"/>
                <w:i/>
              </w:rPr>
            </w:pPr>
            <w:r w:rsidRPr="00241FAC">
              <w:rPr>
                <w:rFonts w:cs="Arial"/>
                <w:i/>
              </w:rPr>
              <w:t>Funciones del Personal: 10 puntos</w:t>
            </w:r>
            <w:r w:rsidR="00C12F78" w:rsidRPr="00241FAC">
              <w:rPr>
                <w:rFonts w:cs="Arial"/>
                <w:i/>
              </w:rPr>
              <w:t>.</w:t>
            </w:r>
          </w:p>
          <w:p w:rsidR="007B6B69" w:rsidRPr="00241FAC" w:rsidRDefault="007B6B69" w:rsidP="00C12F78">
            <w:pPr>
              <w:spacing w:line="240" w:lineRule="auto"/>
              <w:ind w:right="567"/>
              <w:rPr>
                <w:rFonts w:cs="Arial"/>
                <w:i/>
              </w:rPr>
            </w:pPr>
            <w:r w:rsidRPr="00241FAC">
              <w:rPr>
                <w:rFonts w:cs="Arial"/>
                <w:i/>
              </w:rPr>
              <w:t>Cronograma: 10 puntos</w:t>
            </w:r>
            <w:r w:rsidR="00C12F78" w:rsidRPr="00241FAC">
              <w:rPr>
                <w:rFonts w:cs="Arial"/>
                <w:i/>
              </w:rPr>
              <w:t>.</w:t>
            </w:r>
          </w:p>
        </w:tc>
        <w:tc>
          <w:tcPr>
            <w:tcW w:w="1531" w:type="dxa"/>
          </w:tcPr>
          <w:p w:rsidR="007B6B69" w:rsidRPr="00241FAC" w:rsidRDefault="007B6B69" w:rsidP="007B6B69">
            <w:pPr>
              <w:spacing w:line="240" w:lineRule="auto"/>
              <w:ind w:right="567"/>
              <w:rPr>
                <w:rFonts w:cs="Arial"/>
                <w:i/>
              </w:rPr>
            </w:pPr>
            <w:r w:rsidRPr="00241FAC">
              <w:rPr>
                <w:rFonts w:cs="Arial"/>
                <w:i/>
              </w:rPr>
              <w:t>30 puntos</w:t>
            </w:r>
          </w:p>
        </w:tc>
      </w:tr>
      <w:tr w:rsidR="007B6B69" w:rsidRPr="00241FAC" w:rsidTr="004056BB">
        <w:tc>
          <w:tcPr>
            <w:tcW w:w="2376" w:type="dxa"/>
          </w:tcPr>
          <w:p w:rsidR="007B6B69" w:rsidRPr="00241FAC" w:rsidRDefault="00392CF9" w:rsidP="00C50162">
            <w:pPr>
              <w:spacing w:line="240" w:lineRule="auto"/>
              <w:ind w:right="567"/>
              <w:rPr>
                <w:rFonts w:cs="Arial"/>
                <w:i/>
              </w:rPr>
            </w:pPr>
            <w:r w:rsidRPr="00241FAC">
              <w:rPr>
                <w:rFonts w:cs="Arial"/>
                <w:i/>
              </w:rPr>
              <w:t xml:space="preserve">2. </w:t>
            </w:r>
            <w:r w:rsidR="007B6B69" w:rsidRPr="00241FAC">
              <w:rPr>
                <w:rFonts w:cs="Arial"/>
                <w:i/>
              </w:rPr>
              <w:t>Programación de Obras</w:t>
            </w:r>
            <w:r w:rsidR="00C50162" w:rsidRPr="00241FAC">
              <w:rPr>
                <w:rFonts w:cs="Arial"/>
                <w:i/>
              </w:rPr>
              <w:t>.</w:t>
            </w:r>
            <w:r w:rsidR="007B6B69" w:rsidRPr="00241FAC">
              <w:rPr>
                <w:rFonts w:cs="Arial"/>
                <w:i/>
              </w:rPr>
              <w:t xml:space="preserve"> </w:t>
            </w:r>
          </w:p>
        </w:tc>
        <w:tc>
          <w:tcPr>
            <w:tcW w:w="3625" w:type="dxa"/>
          </w:tcPr>
          <w:p w:rsidR="007B6B69" w:rsidRPr="00241FAC" w:rsidRDefault="007B6B69" w:rsidP="00BE793C">
            <w:pPr>
              <w:spacing w:line="240" w:lineRule="auto"/>
              <w:ind w:right="567"/>
              <w:rPr>
                <w:rFonts w:cs="Arial"/>
                <w:i/>
              </w:rPr>
            </w:pPr>
            <w:r w:rsidRPr="00241FAC">
              <w:rPr>
                <w:rFonts w:cs="Arial"/>
                <w:i/>
              </w:rPr>
              <w:t>Porcentaje de ejecución: 110 puntos.</w:t>
            </w:r>
            <w:r w:rsidR="001631E3" w:rsidRPr="00241FAC">
              <w:rPr>
                <w:rFonts w:cs="Arial"/>
                <w:i/>
              </w:rPr>
              <w:t xml:space="preserve"> Calcula el porcentaje y lo indica sobre las barras.</w:t>
            </w:r>
          </w:p>
          <w:p w:rsidR="007B6B69" w:rsidRPr="00241FAC" w:rsidRDefault="00392CF9" w:rsidP="00BE793C">
            <w:pPr>
              <w:spacing w:line="240" w:lineRule="auto"/>
              <w:ind w:right="567"/>
              <w:rPr>
                <w:rFonts w:cs="Arial"/>
                <w:i/>
              </w:rPr>
            </w:pPr>
            <w:r w:rsidRPr="00241FAC">
              <w:rPr>
                <w:rFonts w:cs="Arial"/>
                <w:i/>
              </w:rPr>
              <w:t>Tiempos: 60 puntos.</w:t>
            </w:r>
            <w:r w:rsidR="001631E3" w:rsidRPr="00241FAC">
              <w:rPr>
                <w:rFonts w:cs="Arial"/>
                <w:i/>
              </w:rPr>
              <w:t xml:space="preserve"> Determinar sobre las barras el tiempo de iniciación y holgura.</w:t>
            </w:r>
          </w:p>
          <w:p w:rsidR="00392CF9" w:rsidRPr="00241FAC" w:rsidRDefault="00392CF9" w:rsidP="00C12F78">
            <w:pPr>
              <w:spacing w:line="240" w:lineRule="auto"/>
              <w:ind w:right="567"/>
              <w:rPr>
                <w:rFonts w:cs="Arial"/>
                <w:i/>
              </w:rPr>
            </w:pPr>
            <w:r w:rsidRPr="00241FAC">
              <w:rPr>
                <w:rFonts w:cs="Arial"/>
                <w:i/>
              </w:rPr>
              <w:t>Porcentaje y valor: 60 puntos</w:t>
            </w:r>
            <w:r w:rsidR="00C12F78" w:rsidRPr="00241FAC">
              <w:rPr>
                <w:rFonts w:cs="Arial"/>
                <w:i/>
              </w:rPr>
              <w:t>.</w:t>
            </w:r>
          </w:p>
        </w:tc>
        <w:tc>
          <w:tcPr>
            <w:tcW w:w="1531" w:type="dxa"/>
          </w:tcPr>
          <w:p w:rsidR="007B6B69" w:rsidRPr="00241FAC" w:rsidRDefault="007B6B69" w:rsidP="007B6B69">
            <w:pPr>
              <w:spacing w:line="240" w:lineRule="auto"/>
              <w:ind w:right="567"/>
              <w:rPr>
                <w:rFonts w:cs="Arial"/>
                <w:i/>
              </w:rPr>
            </w:pPr>
            <w:r w:rsidRPr="00241FAC">
              <w:rPr>
                <w:rFonts w:cs="Arial"/>
                <w:i/>
              </w:rPr>
              <w:t>230 puntos</w:t>
            </w:r>
          </w:p>
        </w:tc>
      </w:tr>
      <w:tr w:rsidR="007B6B69" w:rsidRPr="00241FAC" w:rsidTr="004056BB">
        <w:tc>
          <w:tcPr>
            <w:tcW w:w="2376" w:type="dxa"/>
          </w:tcPr>
          <w:p w:rsidR="00C50162" w:rsidRPr="00241FAC" w:rsidRDefault="00C50162" w:rsidP="00BE793C">
            <w:pPr>
              <w:spacing w:line="240" w:lineRule="auto"/>
              <w:ind w:right="567"/>
              <w:rPr>
                <w:rFonts w:cs="Arial"/>
                <w:i/>
              </w:rPr>
            </w:pPr>
            <w:r w:rsidRPr="00241FAC">
              <w:rPr>
                <w:rFonts w:cs="Arial"/>
                <w:i/>
              </w:rPr>
              <w:t>3.</w:t>
            </w:r>
          </w:p>
          <w:p w:rsidR="007B6B69" w:rsidRPr="00241FAC" w:rsidRDefault="00392CF9" w:rsidP="00C50162">
            <w:pPr>
              <w:spacing w:line="240" w:lineRule="auto"/>
              <w:ind w:right="567"/>
              <w:rPr>
                <w:rFonts w:cs="Arial"/>
                <w:i/>
              </w:rPr>
            </w:pPr>
            <w:r w:rsidRPr="00241FAC">
              <w:rPr>
                <w:rFonts w:cs="Arial"/>
                <w:i/>
              </w:rPr>
              <w:t>Flujo de Desembolsos</w:t>
            </w:r>
            <w:r w:rsidR="00C50162" w:rsidRPr="00241FAC">
              <w:rPr>
                <w:rFonts w:cs="Arial"/>
                <w:i/>
              </w:rPr>
              <w:t>.</w:t>
            </w:r>
          </w:p>
        </w:tc>
        <w:tc>
          <w:tcPr>
            <w:tcW w:w="3625" w:type="dxa"/>
          </w:tcPr>
          <w:p w:rsidR="007B6B69" w:rsidRPr="00241FAC" w:rsidRDefault="00FE22D4" w:rsidP="00BE793C">
            <w:pPr>
              <w:spacing w:line="240" w:lineRule="auto"/>
              <w:ind w:right="567"/>
              <w:rPr>
                <w:rFonts w:cs="Arial"/>
                <w:i/>
              </w:rPr>
            </w:pPr>
            <w:r w:rsidRPr="00241FAC">
              <w:rPr>
                <w:rFonts w:cs="Arial"/>
                <w:i/>
              </w:rPr>
              <w:t>Porcentaje de Ejecución: 50 puntos.</w:t>
            </w:r>
          </w:p>
          <w:p w:rsidR="00FE22D4" w:rsidRPr="00241FAC" w:rsidRDefault="00FE22D4" w:rsidP="00BE793C">
            <w:pPr>
              <w:spacing w:line="240" w:lineRule="auto"/>
              <w:ind w:right="567"/>
              <w:rPr>
                <w:rFonts w:cs="Arial"/>
                <w:i/>
              </w:rPr>
            </w:pPr>
            <w:r w:rsidRPr="00241FAC">
              <w:rPr>
                <w:rFonts w:cs="Arial"/>
                <w:i/>
              </w:rPr>
              <w:t>Inversión del Anticipo: 35 puntos</w:t>
            </w:r>
            <w:r w:rsidR="00C12F78" w:rsidRPr="00241FAC">
              <w:rPr>
                <w:rFonts w:cs="Arial"/>
                <w:i/>
              </w:rPr>
              <w:t>.</w:t>
            </w:r>
          </w:p>
          <w:p w:rsidR="00FE22D4" w:rsidRPr="00241FAC" w:rsidRDefault="00FE22D4" w:rsidP="00FE22D4">
            <w:pPr>
              <w:spacing w:line="240" w:lineRule="auto"/>
              <w:ind w:right="567"/>
              <w:rPr>
                <w:rFonts w:cs="Arial"/>
                <w:i/>
              </w:rPr>
            </w:pPr>
            <w:r w:rsidRPr="00241FAC">
              <w:rPr>
                <w:rFonts w:cs="Arial"/>
                <w:i/>
              </w:rPr>
              <w:t>Información Complementaria: 25 puntos</w:t>
            </w:r>
            <w:r w:rsidR="00C12F78" w:rsidRPr="00241FAC">
              <w:rPr>
                <w:rFonts w:cs="Arial"/>
                <w:i/>
              </w:rPr>
              <w:t>.</w:t>
            </w:r>
            <w:r w:rsidRPr="00241FAC">
              <w:rPr>
                <w:rFonts w:cs="Arial"/>
                <w:i/>
              </w:rPr>
              <w:t xml:space="preserve"> </w:t>
            </w:r>
          </w:p>
        </w:tc>
        <w:tc>
          <w:tcPr>
            <w:tcW w:w="1531" w:type="dxa"/>
          </w:tcPr>
          <w:p w:rsidR="007B6B69" w:rsidRPr="00241FAC" w:rsidRDefault="001631E3" w:rsidP="00BE793C">
            <w:pPr>
              <w:spacing w:line="240" w:lineRule="auto"/>
              <w:ind w:right="567"/>
              <w:rPr>
                <w:rFonts w:cs="Arial"/>
                <w:i/>
              </w:rPr>
            </w:pPr>
            <w:r w:rsidRPr="00241FAC">
              <w:rPr>
                <w:rFonts w:cs="Arial"/>
                <w:i/>
              </w:rPr>
              <w:t>110</w:t>
            </w:r>
            <w:r w:rsidR="00123510" w:rsidRPr="00241FAC">
              <w:rPr>
                <w:rFonts w:cs="Arial"/>
                <w:i/>
              </w:rPr>
              <w:t xml:space="preserve"> puntos</w:t>
            </w:r>
          </w:p>
        </w:tc>
      </w:tr>
      <w:tr w:rsidR="007B6B69" w:rsidRPr="00241FAC" w:rsidTr="004056BB">
        <w:tc>
          <w:tcPr>
            <w:tcW w:w="2376" w:type="dxa"/>
          </w:tcPr>
          <w:p w:rsidR="00C50162" w:rsidRPr="00241FAC" w:rsidRDefault="00C50162" w:rsidP="001631E3">
            <w:pPr>
              <w:spacing w:line="240" w:lineRule="auto"/>
              <w:ind w:right="567"/>
              <w:rPr>
                <w:rFonts w:cs="Arial"/>
                <w:i/>
              </w:rPr>
            </w:pPr>
            <w:r w:rsidRPr="00241FAC">
              <w:rPr>
                <w:rFonts w:cs="Arial"/>
                <w:i/>
              </w:rPr>
              <w:t>4.</w:t>
            </w:r>
          </w:p>
          <w:p w:rsidR="007B6B69" w:rsidRPr="00241FAC" w:rsidRDefault="001631E3" w:rsidP="00C50162">
            <w:pPr>
              <w:spacing w:line="240" w:lineRule="auto"/>
              <w:ind w:right="567"/>
              <w:rPr>
                <w:rFonts w:cs="Arial"/>
                <w:i/>
              </w:rPr>
            </w:pPr>
            <w:r w:rsidRPr="00241FAC">
              <w:rPr>
                <w:rFonts w:cs="Arial"/>
                <w:i/>
              </w:rPr>
              <w:t>Aspecto</w:t>
            </w:r>
            <w:r w:rsidR="00C50162" w:rsidRPr="00241FAC">
              <w:rPr>
                <w:rFonts w:cs="Arial"/>
                <w:i/>
              </w:rPr>
              <w:t>s</w:t>
            </w:r>
            <w:r w:rsidRPr="00241FAC">
              <w:rPr>
                <w:rFonts w:cs="Arial"/>
                <w:i/>
              </w:rPr>
              <w:t xml:space="preserve"> Económicos</w:t>
            </w:r>
            <w:r w:rsidR="00C50162" w:rsidRPr="00241FAC">
              <w:rPr>
                <w:rFonts w:cs="Arial"/>
                <w:i/>
              </w:rPr>
              <w:t>.</w:t>
            </w:r>
            <w:r w:rsidRPr="00241FAC">
              <w:rPr>
                <w:rFonts w:cs="Arial"/>
                <w:i/>
              </w:rPr>
              <w:t xml:space="preserve"> </w:t>
            </w:r>
          </w:p>
        </w:tc>
        <w:tc>
          <w:tcPr>
            <w:tcW w:w="3625" w:type="dxa"/>
          </w:tcPr>
          <w:p w:rsidR="00474381" w:rsidRPr="00241FAC" w:rsidRDefault="00474381" w:rsidP="00BE793C">
            <w:pPr>
              <w:spacing w:line="240" w:lineRule="auto"/>
              <w:ind w:right="567"/>
              <w:rPr>
                <w:rFonts w:cs="Arial"/>
                <w:i/>
              </w:rPr>
            </w:pPr>
            <w:r w:rsidRPr="00241FAC">
              <w:rPr>
                <w:rFonts w:cs="Arial"/>
                <w:i/>
              </w:rPr>
              <w:t>Análisis de precios unitarios: 50 puntos.</w:t>
            </w:r>
          </w:p>
          <w:p w:rsidR="007B6B69" w:rsidRPr="00241FAC" w:rsidRDefault="00474381" w:rsidP="00474381">
            <w:pPr>
              <w:spacing w:line="240" w:lineRule="auto"/>
              <w:ind w:right="567"/>
              <w:rPr>
                <w:rFonts w:cs="Arial"/>
                <w:i/>
              </w:rPr>
            </w:pPr>
            <w:r w:rsidRPr="00241FAC">
              <w:rPr>
                <w:rFonts w:cs="Arial"/>
                <w:i/>
              </w:rPr>
              <w:t xml:space="preserve">Análisis de Equipos y Herramientas para cada cuadrilla </w:t>
            </w:r>
            <w:r w:rsidR="006D2C28" w:rsidRPr="00241FAC">
              <w:rPr>
                <w:rFonts w:cs="Arial"/>
                <w:i/>
              </w:rPr>
              <w:t>t</w:t>
            </w:r>
            <w:r w:rsidRPr="00241FAC">
              <w:rPr>
                <w:rFonts w:cs="Arial"/>
                <w:i/>
              </w:rPr>
              <w:t>ipo: 10 puntos.</w:t>
            </w:r>
          </w:p>
          <w:p w:rsidR="00474381" w:rsidRPr="00241FAC" w:rsidRDefault="00474381" w:rsidP="00474381">
            <w:pPr>
              <w:spacing w:line="240" w:lineRule="auto"/>
              <w:ind w:right="567"/>
              <w:rPr>
                <w:rFonts w:cs="Arial"/>
                <w:i/>
              </w:rPr>
            </w:pPr>
            <w:r w:rsidRPr="00241FAC">
              <w:rPr>
                <w:rFonts w:cs="Arial"/>
                <w:i/>
              </w:rPr>
              <w:t>Análisis de cuadrillas tipo: 10 puntos.</w:t>
            </w:r>
          </w:p>
          <w:p w:rsidR="00474381" w:rsidRPr="00241FAC" w:rsidRDefault="00474381" w:rsidP="00474381">
            <w:pPr>
              <w:spacing w:line="240" w:lineRule="auto"/>
              <w:ind w:right="567"/>
              <w:rPr>
                <w:rFonts w:cs="Arial"/>
                <w:i/>
              </w:rPr>
            </w:pPr>
            <w:r w:rsidRPr="00241FAC">
              <w:rPr>
                <w:rFonts w:cs="Arial"/>
                <w:i/>
              </w:rPr>
              <w:t>Jornales básicos y prestaciones: 20 puntos.</w:t>
            </w:r>
          </w:p>
          <w:p w:rsidR="00D53410" w:rsidRPr="00241FAC" w:rsidRDefault="00D53410" w:rsidP="00474381">
            <w:pPr>
              <w:spacing w:line="240" w:lineRule="auto"/>
              <w:ind w:right="567"/>
              <w:rPr>
                <w:rFonts w:cs="Arial"/>
                <w:i/>
              </w:rPr>
            </w:pPr>
            <w:r w:rsidRPr="00241FAC">
              <w:rPr>
                <w:rFonts w:cs="Arial"/>
                <w:i/>
              </w:rPr>
              <w:t>Lista de materiales: 70 puntos</w:t>
            </w:r>
            <w:r w:rsidR="00C12F78" w:rsidRPr="00241FAC">
              <w:rPr>
                <w:rFonts w:cs="Arial"/>
                <w:i/>
              </w:rPr>
              <w:t>.</w:t>
            </w:r>
          </w:p>
        </w:tc>
        <w:tc>
          <w:tcPr>
            <w:tcW w:w="1531" w:type="dxa"/>
          </w:tcPr>
          <w:p w:rsidR="007B6B69" w:rsidRPr="00241FAC" w:rsidRDefault="00474381" w:rsidP="00BE793C">
            <w:pPr>
              <w:spacing w:line="240" w:lineRule="auto"/>
              <w:ind w:right="567"/>
              <w:rPr>
                <w:rFonts w:cs="Arial"/>
                <w:i/>
              </w:rPr>
            </w:pPr>
            <w:r w:rsidRPr="00241FAC">
              <w:rPr>
                <w:rFonts w:cs="Arial"/>
                <w:i/>
              </w:rPr>
              <w:t>160</w:t>
            </w:r>
          </w:p>
        </w:tc>
      </w:tr>
      <w:tr w:rsidR="007B6B69" w:rsidRPr="00241FAC" w:rsidTr="004056BB">
        <w:tc>
          <w:tcPr>
            <w:tcW w:w="2376" w:type="dxa"/>
          </w:tcPr>
          <w:p w:rsidR="00507C18" w:rsidRPr="00241FAC" w:rsidRDefault="00C50162" w:rsidP="00507C18">
            <w:pPr>
              <w:spacing w:line="240" w:lineRule="auto"/>
              <w:ind w:right="567"/>
              <w:rPr>
                <w:rFonts w:cs="Arial"/>
                <w:i/>
              </w:rPr>
            </w:pPr>
            <w:r w:rsidRPr="00241FAC">
              <w:rPr>
                <w:rFonts w:cs="Arial"/>
                <w:i/>
              </w:rPr>
              <w:t>5.</w:t>
            </w:r>
          </w:p>
          <w:p w:rsidR="007B6B69" w:rsidRPr="00241FAC" w:rsidRDefault="00D53410" w:rsidP="00507C18">
            <w:pPr>
              <w:spacing w:line="240" w:lineRule="auto"/>
              <w:ind w:right="567"/>
              <w:rPr>
                <w:rFonts w:cs="Arial"/>
                <w:i/>
              </w:rPr>
            </w:pPr>
            <w:r w:rsidRPr="00241FAC">
              <w:rPr>
                <w:rFonts w:cs="Arial"/>
                <w:i/>
              </w:rPr>
              <w:t>Experiencia</w:t>
            </w:r>
            <w:r w:rsidR="00C50162" w:rsidRPr="00241FAC">
              <w:rPr>
                <w:rFonts w:cs="Arial"/>
                <w:i/>
              </w:rPr>
              <w:t>.</w:t>
            </w:r>
          </w:p>
        </w:tc>
        <w:tc>
          <w:tcPr>
            <w:tcW w:w="3625" w:type="dxa"/>
          </w:tcPr>
          <w:p w:rsidR="007B6B69" w:rsidRPr="00241FAC" w:rsidRDefault="00D53410" w:rsidP="00BE793C">
            <w:pPr>
              <w:spacing w:line="240" w:lineRule="auto"/>
              <w:ind w:right="567"/>
              <w:rPr>
                <w:rFonts w:cs="Arial"/>
                <w:i/>
              </w:rPr>
            </w:pPr>
            <w:r w:rsidRPr="00241FAC">
              <w:rPr>
                <w:rFonts w:cs="Arial"/>
                <w:i/>
              </w:rPr>
              <w:t>Exper</w:t>
            </w:r>
            <w:r w:rsidR="00123510" w:rsidRPr="00241FAC">
              <w:rPr>
                <w:rFonts w:cs="Arial"/>
                <w:i/>
              </w:rPr>
              <w:t>i</w:t>
            </w:r>
            <w:r w:rsidRPr="00241FAC">
              <w:rPr>
                <w:rFonts w:cs="Arial"/>
                <w:i/>
              </w:rPr>
              <w:t>encia de la firma: 30 puntos</w:t>
            </w:r>
            <w:r w:rsidR="00C12F78" w:rsidRPr="00241FAC">
              <w:rPr>
                <w:rFonts w:cs="Arial"/>
                <w:i/>
              </w:rPr>
              <w:t>.</w:t>
            </w:r>
          </w:p>
          <w:p w:rsidR="00D53410" w:rsidRPr="00241FAC" w:rsidRDefault="00D53410" w:rsidP="00BE793C">
            <w:pPr>
              <w:spacing w:line="240" w:lineRule="auto"/>
              <w:ind w:right="567"/>
              <w:rPr>
                <w:rFonts w:cs="Arial"/>
                <w:i/>
              </w:rPr>
            </w:pPr>
            <w:r w:rsidRPr="00241FAC">
              <w:rPr>
                <w:rFonts w:cs="Arial"/>
                <w:i/>
              </w:rPr>
              <w:t>Experiencia del Personal:</w:t>
            </w:r>
          </w:p>
          <w:p w:rsidR="001E5E54" w:rsidRPr="00241FAC" w:rsidRDefault="00D53410" w:rsidP="001E5E54">
            <w:pPr>
              <w:spacing w:line="240" w:lineRule="auto"/>
              <w:ind w:right="567"/>
              <w:rPr>
                <w:rFonts w:cs="Arial"/>
                <w:i/>
              </w:rPr>
            </w:pPr>
            <w:r w:rsidRPr="00241FAC">
              <w:rPr>
                <w:rFonts w:cs="Arial"/>
                <w:i/>
              </w:rPr>
              <w:t>Director de Obr</w:t>
            </w:r>
            <w:r w:rsidR="00C12F78" w:rsidRPr="00241FAC">
              <w:rPr>
                <w:rFonts w:cs="Arial"/>
                <w:i/>
              </w:rPr>
              <w:t>a</w:t>
            </w:r>
            <w:r w:rsidRPr="00241FAC">
              <w:rPr>
                <w:rFonts w:cs="Arial"/>
                <w:i/>
              </w:rPr>
              <w:t>: 30 puntos</w:t>
            </w:r>
            <w:r w:rsidR="001E5E54" w:rsidRPr="00241FAC">
              <w:rPr>
                <w:rFonts w:cs="Arial"/>
                <w:i/>
              </w:rPr>
              <w:t>.</w:t>
            </w:r>
            <w:r w:rsidRPr="00241FAC">
              <w:rPr>
                <w:rFonts w:cs="Arial"/>
                <w:i/>
              </w:rPr>
              <w:t xml:space="preserve"> </w:t>
            </w:r>
          </w:p>
          <w:p w:rsidR="001E5E54" w:rsidRPr="00241FAC" w:rsidRDefault="00D53410" w:rsidP="001E5E54">
            <w:pPr>
              <w:spacing w:line="240" w:lineRule="auto"/>
              <w:ind w:right="567"/>
              <w:rPr>
                <w:rFonts w:cs="Arial"/>
                <w:i/>
              </w:rPr>
            </w:pPr>
            <w:r w:rsidRPr="00241FAC">
              <w:rPr>
                <w:rFonts w:cs="Arial"/>
                <w:i/>
              </w:rPr>
              <w:t>Persona</w:t>
            </w:r>
            <w:r w:rsidR="001E5E54" w:rsidRPr="00241FAC">
              <w:rPr>
                <w:rFonts w:cs="Arial"/>
                <w:i/>
              </w:rPr>
              <w:t>l</w:t>
            </w:r>
            <w:r w:rsidRPr="00241FAC">
              <w:rPr>
                <w:rFonts w:cs="Arial"/>
                <w:i/>
              </w:rPr>
              <w:t xml:space="preserve"> Técnico; Constructor Animales Decorativos en Concreto Reforzado y moldeado: 30 puntos</w:t>
            </w:r>
            <w:r w:rsidR="001E5E54" w:rsidRPr="00241FAC">
              <w:rPr>
                <w:rFonts w:cs="Arial"/>
                <w:i/>
              </w:rPr>
              <w:t>.</w:t>
            </w:r>
          </w:p>
          <w:p w:rsidR="00D53410" w:rsidRPr="00241FAC" w:rsidRDefault="001E5E54" w:rsidP="001E5E54">
            <w:pPr>
              <w:spacing w:line="240" w:lineRule="auto"/>
              <w:ind w:right="567"/>
              <w:rPr>
                <w:rFonts w:cs="Arial"/>
                <w:i/>
              </w:rPr>
            </w:pPr>
            <w:r w:rsidRPr="00241FAC">
              <w:rPr>
                <w:rFonts w:cs="Arial"/>
                <w:i/>
              </w:rPr>
              <w:t>P</w:t>
            </w:r>
            <w:r w:rsidR="00D53410" w:rsidRPr="00241FAC">
              <w:rPr>
                <w:rFonts w:cs="Arial"/>
                <w:i/>
              </w:rPr>
              <w:t>ersonal o firma propuesta para Suministro e Instalación de Equipos de Piscina: 30 puntos.</w:t>
            </w:r>
          </w:p>
        </w:tc>
        <w:tc>
          <w:tcPr>
            <w:tcW w:w="1531" w:type="dxa"/>
          </w:tcPr>
          <w:p w:rsidR="007B6B69" w:rsidRPr="00241FAC" w:rsidRDefault="00123510" w:rsidP="00BE793C">
            <w:pPr>
              <w:spacing w:line="240" w:lineRule="auto"/>
              <w:ind w:right="567"/>
              <w:rPr>
                <w:rFonts w:cs="Arial"/>
                <w:i/>
              </w:rPr>
            </w:pPr>
            <w:r w:rsidRPr="00241FAC">
              <w:rPr>
                <w:rFonts w:cs="Arial"/>
                <w:i/>
              </w:rPr>
              <w:t>120 puntos</w:t>
            </w:r>
          </w:p>
        </w:tc>
      </w:tr>
      <w:tr w:rsidR="007B6B69" w:rsidRPr="00241FAC" w:rsidTr="004056BB">
        <w:tc>
          <w:tcPr>
            <w:tcW w:w="2376" w:type="dxa"/>
          </w:tcPr>
          <w:p w:rsidR="00C50162" w:rsidRPr="00241FAC" w:rsidRDefault="00C50162" w:rsidP="00BE793C">
            <w:pPr>
              <w:spacing w:line="240" w:lineRule="auto"/>
              <w:ind w:right="567"/>
              <w:rPr>
                <w:rFonts w:cs="Arial"/>
                <w:i/>
              </w:rPr>
            </w:pPr>
            <w:r w:rsidRPr="00241FAC">
              <w:rPr>
                <w:rFonts w:cs="Arial"/>
                <w:i/>
              </w:rPr>
              <w:t>6.</w:t>
            </w:r>
            <w:r w:rsidR="00F66497" w:rsidRPr="00241FAC">
              <w:rPr>
                <w:rFonts w:cs="Arial"/>
                <w:i/>
              </w:rPr>
              <w:t xml:space="preserve"> </w:t>
            </w:r>
          </w:p>
          <w:p w:rsidR="007B6B69" w:rsidRPr="00241FAC" w:rsidRDefault="00123510" w:rsidP="00C50162">
            <w:pPr>
              <w:spacing w:line="240" w:lineRule="auto"/>
              <w:ind w:right="567"/>
              <w:rPr>
                <w:rFonts w:cs="Arial"/>
                <w:i/>
              </w:rPr>
            </w:pPr>
            <w:r w:rsidRPr="00241FAC">
              <w:rPr>
                <w:rFonts w:cs="Arial"/>
                <w:i/>
              </w:rPr>
              <w:t>Precio</w:t>
            </w:r>
          </w:p>
        </w:tc>
        <w:tc>
          <w:tcPr>
            <w:tcW w:w="3625" w:type="dxa"/>
          </w:tcPr>
          <w:p w:rsidR="006515AE" w:rsidRPr="00241FAC" w:rsidRDefault="006515AE" w:rsidP="006515AE">
            <w:pPr>
              <w:spacing w:line="240" w:lineRule="auto"/>
              <w:ind w:right="567"/>
              <w:rPr>
                <w:rFonts w:cs="Arial"/>
                <w:i/>
              </w:rPr>
            </w:pPr>
            <w:r w:rsidRPr="00241FAC">
              <w:rPr>
                <w:rFonts w:cs="Arial"/>
                <w:i/>
              </w:rPr>
              <w:t>Presupuesto Básico primera aproximación: 10 puntos</w:t>
            </w:r>
            <w:r w:rsidR="001E5E54" w:rsidRPr="00241FAC">
              <w:rPr>
                <w:rFonts w:cs="Arial"/>
                <w:i/>
              </w:rPr>
              <w:t>.</w:t>
            </w:r>
          </w:p>
          <w:p w:rsidR="006515AE" w:rsidRPr="00241FAC" w:rsidRDefault="006515AE" w:rsidP="006515AE">
            <w:pPr>
              <w:spacing w:line="240" w:lineRule="auto"/>
              <w:ind w:right="567"/>
              <w:rPr>
                <w:rFonts w:cs="Arial"/>
                <w:i/>
              </w:rPr>
            </w:pPr>
            <w:r w:rsidRPr="00241FAC">
              <w:rPr>
                <w:rFonts w:cs="Arial"/>
                <w:i/>
              </w:rPr>
              <w:lastRenderedPageBreak/>
              <w:t>Presupuesto Básico de segunda Aproximación: 30 puntos.</w:t>
            </w:r>
          </w:p>
          <w:p w:rsidR="006515AE" w:rsidRPr="00241FAC" w:rsidRDefault="006515AE" w:rsidP="006515AE">
            <w:pPr>
              <w:spacing w:line="240" w:lineRule="auto"/>
              <w:ind w:right="567"/>
              <w:rPr>
                <w:rFonts w:cs="Arial"/>
                <w:i/>
              </w:rPr>
            </w:pPr>
            <w:r w:rsidRPr="00241FAC">
              <w:rPr>
                <w:rFonts w:cs="Arial"/>
                <w:i/>
              </w:rPr>
              <w:t>Presupuesto Definitivo: 100 puntos.</w:t>
            </w:r>
          </w:p>
          <w:p w:rsidR="007B6B69" w:rsidRPr="00241FAC" w:rsidRDefault="006515AE" w:rsidP="00C50162">
            <w:pPr>
              <w:spacing w:line="240" w:lineRule="auto"/>
              <w:ind w:right="567"/>
              <w:rPr>
                <w:rFonts w:cs="Arial"/>
                <w:i/>
              </w:rPr>
            </w:pPr>
            <w:r w:rsidRPr="00241FAC">
              <w:rPr>
                <w:rFonts w:cs="Arial"/>
                <w:i/>
              </w:rPr>
              <w:t>Presupuesto de Menor Valor dentro del Rango: 10 puntos</w:t>
            </w:r>
            <w:r w:rsidR="00C50162" w:rsidRPr="00241FAC">
              <w:rPr>
                <w:rFonts w:cs="Arial"/>
                <w:i/>
              </w:rPr>
              <w:t>.</w:t>
            </w:r>
            <w:r w:rsidRPr="00241FAC">
              <w:rPr>
                <w:rFonts w:cs="Arial"/>
                <w:i/>
              </w:rPr>
              <w:t xml:space="preserve">  </w:t>
            </w:r>
          </w:p>
        </w:tc>
        <w:tc>
          <w:tcPr>
            <w:tcW w:w="1531" w:type="dxa"/>
          </w:tcPr>
          <w:p w:rsidR="007B6B69" w:rsidRPr="00241FAC" w:rsidRDefault="00123510" w:rsidP="00BE793C">
            <w:pPr>
              <w:spacing w:line="240" w:lineRule="auto"/>
              <w:ind w:right="567"/>
              <w:rPr>
                <w:rFonts w:cs="Arial"/>
                <w:i/>
              </w:rPr>
            </w:pPr>
            <w:r w:rsidRPr="00241FAC">
              <w:rPr>
                <w:rFonts w:cs="Arial"/>
                <w:i/>
              </w:rPr>
              <w:lastRenderedPageBreak/>
              <w:t>150 puntos</w:t>
            </w:r>
          </w:p>
        </w:tc>
      </w:tr>
      <w:tr w:rsidR="007B6B69" w:rsidRPr="00241FAC" w:rsidTr="004056BB">
        <w:tc>
          <w:tcPr>
            <w:tcW w:w="2376" w:type="dxa"/>
          </w:tcPr>
          <w:p w:rsidR="00C50162" w:rsidRPr="00241FAC" w:rsidRDefault="00C50162" w:rsidP="00BE793C">
            <w:pPr>
              <w:spacing w:line="240" w:lineRule="auto"/>
              <w:ind w:right="567"/>
              <w:rPr>
                <w:rFonts w:cs="Arial"/>
                <w:i/>
              </w:rPr>
            </w:pPr>
            <w:r w:rsidRPr="00241FAC">
              <w:rPr>
                <w:rFonts w:cs="Arial"/>
                <w:i/>
              </w:rPr>
              <w:t>7.</w:t>
            </w:r>
            <w:r w:rsidR="00F66497" w:rsidRPr="00241FAC">
              <w:rPr>
                <w:rFonts w:cs="Arial"/>
                <w:i/>
              </w:rPr>
              <w:t xml:space="preserve"> </w:t>
            </w:r>
          </w:p>
          <w:p w:rsidR="007B6B69" w:rsidRPr="00241FAC" w:rsidRDefault="00F66497" w:rsidP="00C50162">
            <w:pPr>
              <w:spacing w:line="240" w:lineRule="auto"/>
              <w:ind w:right="567"/>
              <w:rPr>
                <w:rFonts w:cs="Arial"/>
                <w:i/>
              </w:rPr>
            </w:pPr>
            <w:r w:rsidRPr="00241FAC">
              <w:rPr>
                <w:rFonts w:cs="Arial"/>
                <w:i/>
              </w:rPr>
              <w:t>Capacidad Financiera</w:t>
            </w:r>
            <w:r w:rsidR="00C50162" w:rsidRPr="00241FAC">
              <w:rPr>
                <w:rFonts w:cs="Arial"/>
                <w:i/>
              </w:rPr>
              <w:t>.</w:t>
            </w:r>
          </w:p>
        </w:tc>
        <w:tc>
          <w:tcPr>
            <w:tcW w:w="3625" w:type="dxa"/>
          </w:tcPr>
          <w:p w:rsidR="00C50162" w:rsidRPr="00241FAC" w:rsidRDefault="00F66497" w:rsidP="00BE793C">
            <w:pPr>
              <w:spacing w:line="240" w:lineRule="auto"/>
              <w:ind w:right="567"/>
              <w:rPr>
                <w:rFonts w:cs="Arial"/>
                <w:i/>
              </w:rPr>
            </w:pPr>
            <w:r w:rsidRPr="00241FAC">
              <w:rPr>
                <w:rFonts w:cs="Arial"/>
                <w:i/>
              </w:rPr>
              <w:t>CAPITAL DE TRABAJO=</w:t>
            </w:r>
          </w:p>
          <w:p w:rsidR="00C50162" w:rsidRPr="00241FAC" w:rsidRDefault="00F66497" w:rsidP="00BE793C">
            <w:pPr>
              <w:spacing w:line="240" w:lineRule="auto"/>
              <w:ind w:right="567"/>
              <w:rPr>
                <w:rFonts w:cs="Arial"/>
                <w:i/>
              </w:rPr>
            </w:pPr>
            <w:r w:rsidRPr="00241FAC">
              <w:rPr>
                <w:rFonts w:cs="Arial"/>
                <w:i/>
              </w:rPr>
              <w:t>ACTIVO</w:t>
            </w:r>
            <w:r w:rsidR="00C50162" w:rsidRPr="00241FAC">
              <w:rPr>
                <w:rFonts w:cs="Arial"/>
                <w:i/>
              </w:rPr>
              <w:t xml:space="preserve"> </w:t>
            </w:r>
            <w:r w:rsidRPr="00241FAC">
              <w:rPr>
                <w:rFonts w:cs="Arial"/>
                <w:i/>
              </w:rPr>
              <w:t>CORRIENTE</w:t>
            </w:r>
            <w:r w:rsidR="00C50162" w:rsidRPr="00241FAC">
              <w:rPr>
                <w:rFonts w:cs="Arial"/>
                <w:i/>
              </w:rPr>
              <w:t>-</w:t>
            </w:r>
            <w:r w:rsidR="009D205B" w:rsidRPr="00241FAC">
              <w:rPr>
                <w:rFonts w:cs="Arial"/>
                <w:i/>
              </w:rPr>
              <w:t>[menos]</w:t>
            </w:r>
          </w:p>
          <w:p w:rsidR="00F66497" w:rsidRPr="00241FAC" w:rsidRDefault="00F66497" w:rsidP="00BE793C">
            <w:pPr>
              <w:spacing w:line="240" w:lineRule="auto"/>
              <w:ind w:right="567"/>
              <w:rPr>
                <w:rFonts w:cs="Arial"/>
                <w:i/>
              </w:rPr>
            </w:pPr>
            <w:r w:rsidRPr="00241FAC">
              <w:rPr>
                <w:rFonts w:cs="Arial"/>
                <w:i/>
              </w:rPr>
              <w:t>PASIVO CORRIENTE</w:t>
            </w:r>
          </w:p>
          <w:p w:rsidR="001E5E54" w:rsidRPr="00241FAC" w:rsidRDefault="001E5E54" w:rsidP="00F66497">
            <w:pPr>
              <w:spacing w:line="240" w:lineRule="auto"/>
              <w:ind w:right="567"/>
              <w:rPr>
                <w:rFonts w:cs="Arial"/>
                <w:i/>
              </w:rPr>
            </w:pPr>
          </w:p>
          <w:p w:rsidR="00F66497" w:rsidRPr="00241FAC" w:rsidRDefault="00F66497" w:rsidP="00F66497">
            <w:pPr>
              <w:spacing w:line="240" w:lineRule="auto"/>
              <w:ind w:right="567"/>
              <w:rPr>
                <w:rFonts w:cs="Arial"/>
                <w:i/>
              </w:rPr>
            </w:pPr>
            <w:r w:rsidRPr="00241FAC">
              <w:rPr>
                <w:rFonts w:cs="Arial"/>
                <w:i/>
              </w:rPr>
              <w:t>El capital de trabajo deberá ser mayor a Doscientos Cincuenta millones de pesos ($250’000.000).</w:t>
            </w:r>
          </w:p>
          <w:p w:rsidR="001E5E54" w:rsidRPr="00241FAC" w:rsidRDefault="001E5E54" w:rsidP="00194AAF">
            <w:pPr>
              <w:spacing w:line="240" w:lineRule="auto"/>
              <w:ind w:right="567"/>
              <w:rPr>
                <w:rFonts w:cs="Arial"/>
                <w:i/>
              </w:rPr>
            </w:pPr>
          </w:p>
          <w:p w:rsidR="00194AAF" w:rsidRPr="00241FAC" w:rsidRDefault="00F66497" w:rsidP="00194AAF">
            <w:pPr>
              <w:spacing w:line="240" w:lineRule="auto"/>
              <w:ind w:right="567"/>
              <w:rPr>
                <w:rFonts w:cs="Arial"/>
                <w:i/>
              </w:rPr>
            </w:pPr>
            <w:r w:rsidRPr="00241FAC">
              <w:rPr>
                <w:rFonts w:cs="Arial"/>
                <w:i/>
              </w:rPr>
              <w:t>La propuesta que no cumpla con esta condición obtendrá cero (0) puntos en la puntuación prevista para to</w:t>
            </w:r>
            <w:r w:rsidR="00194AAF" w:rsidRPr="00241FAC">
              <w:rPr>
                <w:rFonts w:cs="Arial"/>
                <w:i/>
              </w:rPr>
              <w:t>d</w:t>
            </w:r>
            <w:r w:rsidRPr="00241FAC">
              <w:rPr>
                <w:rFonts w:cs="Arial"/>
                <w:i/>
              </w:rPr>
              <w:t>o el nivel 7 (C</w:t>
            </w:r>
            <w:r w:rsidR="00194AAF" w:rsidRPr="00241FAC">
              <w:rPr>
                <w:rFonts w:cs="Arial"/>
                <w:i/>
              </w:rPr>
              <w:t>a</w:t>
            </w:r>
            <w:r w:rsidRPr="00241FAC">
              <w:rPr>
                <w:rFonts w:cs="Arial"/>
                <w:i/>
              </w:rPr>
              <w:t>pacidad Financi</w:t>
            </w:r>
            <w:r w:rsidR="00194AAF" w:rsidRPr="00241FAC">
              <w:rPr>
                <w:rFonts w:cs="Arial"/>
                <w:i/>
              </w:rPr>
              <w:t>e</w:t>
            </w:r>
            <w:r w:rsidRPr="00241FAC">
              <w:rPr>
                <w:rFonts w:cs="Arial"/>
                <w:i/>
              </w:rPr>
              <w:t>ra</w:t>
            </w:r>
            <w:r w:rsidR="00194AAF" w:rsidRPr="00241FAC">
              <w:rPr>
                <w:rFonts w:cs="Arial"/>
                <w:i/>
              </w:rPr>
              <w:t xml:space="preserve">). </w:t>
            </w:r>
          </w:p>
          <w:p w:rsidR="001E5E54" w:rsidRPr="00241FAC" w:rsidRDefault="001E5E54" w:rsidP="00194AAF">
            <w:pPr>
              <w:spacing w:line="240" w:lineRule="auto"/>
              <w:ind w:right="567"/>
              <w:rPr>
                <w:rFonts w:cs="Arial"/>
                <w:i/>
              </w:rPr>
            </w:pPr>
          </w:p>
          <w:p w:rsidR="00194AAF" w:rsidRPr="00241FAC" w:rsidRDefault="00194AAF" w:rsidP="00194AAF">
            <w:pPr>
              <w:spacing w:line="240" w:lineRule="auto"/>
              <w:ind w:right="567"/>
              <w:rPr>
                <w:rFonts w:cs="Arial"/>
                <w:i/>
              </w:rPr>
            </w:pPr>
            <w:r w:rsidRPr="00241FAC">
              <w:rPr>
                <w:rFonts w:cs="Arial"/>
                <w:i/>
              </w:rPr>
              <w:t>Liquidez: 50 puntos.</w:t>
            </w:r>
          </w:p>
          <w:p w:rsidR="00194AAF" w:rsidRPr="00241FAC" w:rsidRDefault="00194AAF" w:rsidP="00194AAF">
            <w:pPr>
              <w:spacing w:line="240" w:lineRule="auto"/>
              <w:ind w:right="567"/>
              <w:rPr>
                <w:rFonts w:cs="Arial"/>
                <w:i/>
              </w:rPr>
            </w:pPr>
            <w:r w:rsidRPr="00241FAC">
              <w:rPr>
                <w:rFonts w:cs="Arial"/>
                <w:i/>
              </w:rPr>
              <w:t>Razón de Liquidez: 50 puntos.</w:t>
            </w:r>
          </w:p>
          <w:p w:rsidR="00194AAF" w:rsidRPr="00241FAC" w:rsidRDefault="00194AAF" w:rsidP="00194AAF">
            <w:pPr>
              <w:spacing w:line="240" w:lineRule="auto"/>
              <w:ind w:right="567"/>
              <w:rPr>
                <w:rFonts w:cs="Arial"/>
                <w:i/>
              </w:rPr>
            </w:pPr>
            <w:r w:rsidRPr="00241FAC">
              <w:rPr>
                <w:rFonts w:cs="Arial"/>
                <w:i/>
              </w:rPr>
              <w:t>Prueba Acida: 50 puntos</w:t>
            </w:r>
          </w:p>
          <w:p w:rsidR="00194AAF" w:rsidRPr="00241FAC" w:rsidRDefault="00194AAF" w:rsidP="00194AAF">
            <w:pPr>
              <w:spacing w:line="240" w:lineRule="auto"/>
              <w:ind w:right="567"/>
              <w:rPr>
                <w:rFonts w:cs="Arial"/>
                <w:i/>
              </w:rPr>
            </w:pPr>
            <w:r w:rsidRPr="00241FAC">
              <w:rPr>
                <w:rFonts w:cs="Arial"/>
                <w:i/>
              </w:rPr>
              <w:t xml:space="preserve">Solidez: 50 puntos. </w:t>
            </w:r>
          </w:p>
          <w:p w:rsidR="007B6B69" w:rsidRPr="00241FAC" w:rsidRDefault="007B6B69" w:rsidP="00194AAF">
            <w:pPr>
              <w:spacing w:line="240" w:lineRule="auto"/>
              <w:ind w:right="567"/>
              <w:rPr>
                <w:rFonts w:cs="Arial"/>
                <w:i/>
              </w:rPr>
            </w:pPr>
          </w:p>
        </w:tc>
        <w:tc>
          <w:tcPr>
            <w:tcW w:w="1531" w:type="dxa"/>
          </w:tcPr>
          <w:p w:rsidR="007B6B69" w:rsidRPr="00241FAC" w:rsidRDefault="00194AAF" w:rsidP="00BE793C">
            <w:pPr>
              <w:spacing w:line="240" w:lineRule="auto"/>
              <w:ind w:right="567"/>
              <w:rPr>
                <w:rFonts w:cs="Arial"/>
                <w:i/>
              </w:rPr>
            </w:pPr>
            <w:r w:rsidRPr="00241FAC">
              <w:rPr>
                <w:rFonts w:cs="Arial"/>
                <w:i/>
              </w:rPr>
              <w:t>200 puntos</w:t>
            </w:r>
          </w:p>
        </w:tc>
      </w:tr>
      <w:tr w:rsidR="00C12F78" w:rsidRPr="00241FAC" w:rsidTr="004056BB">
        <w:tc>
          <w:tcPr>
            <w:tcW w:w="2376" w:type="dxa"/>
          </w:tcPr>
          <w:p w:rsidR="00C12F78" w:rsidRPr="00241FAC" w:rsidRDefault="00C12F78" w:rsidP="00BE793C">
            <w:pPr>
              <w:spacing w:line="240" w:lineRule="auto"/>
              <w:ind w:right="567"/>
              <w:rPr>
                <w:rFonts w:cs="Arial"/>
                <w:i/>
              </w:rPr>
            </w:pPr>
            <w:r w:rsidRPr="00241FAC">
              <w:rPr>
                <w:rFonts w:cs="Arial"/>
                <w:i/>
              </w:rPr>
              <w:t>GRAN TOTAL</w:t>
            </w:r>
          </w:p>
        </w:tc>
        <w:tc>
          <w:tcPr>
            <w:tcW w:w="3625" w:type="dxa"/>
          </w:tcPr>
          <w:p w:rsidR="00C12F78" w:rsidRPr="00241FAC" w:rsidRDefault="00C12F78" w:rsidP="00BE793C">
            <w:pPr>
              <w:spacing w:line="240" w:lineRule="auto"/>
              <w:ind w:right="567"/>
              <w:rPr>
                <w:rFonts w:cs="Arial"/>
                <w:i/>
              </w:rPr>
            </w:pPr>
          </w:p>
        </w:tc>
        <w:tc>
          <w:tcPr>
            <w:tcW w:w="1531" w:type="dxa"/>
          </w:tcPr>
          <w:p w:rsidR="00C12F78" w:rsidRPr="00241FAC" w:rsidRDefault="00C12F78" w:rsidP="00BE793C">
            <w:pPr>
              <w:spacing w:line="240" w:lineRule="auto"/>
              <w:ind w:right="567"/>
              <w:rPr>
                <w:rFonts w:cs="Arial"/>
                <w:i/>
              </w:rPr>
            </w:pPr>
            <w:r w:rsidRPr="00241FAC">
              <w:rPr>
                <w:rFonts w:cs="Arial"/>
                <w:i/>
              </w:rPr>
              <w:t>1000</w:t>
            </w:r>
          </w:p>
          <w:p w:rsidR="00C12F78" w:rsidRPr="00241FAC" w:rsidRDefault="00C12F78" w:rsidP="00C12F78">
            <w:pPr>
              <w:spacing w:line="240" w:lineRule="auto"/>
              <w:ind w:right="567"/>
              <w:rPr>
                <w:rFonts w:cs="Arial"/>
                <w:i/>
              </w:rPr>
            </w:pPr>
            <w:r w:rsidRPr="00241FAC">
              <w:rPr>
                <w:rFonts w:cs="Arial"/>
                <w:i/>
              </w:rPr>
              <w:t>Puntos</w:t>
            </w:r>
          </w:p>
        </w:tc>
      </w:tr>
    </w:tbl>
    <w:p w:rsidR="00603D67" w:rsidRPr="00241FAC" w:rsidRDefault="00603D67" w:rsidP="00BE793C">
      <w:pPr>
        <w:spacing w:line="240" w:lineRule="auto"/>
        <w:ind w:left="851" w:right="567"/>
        <w:rPr>
          <w:rFonts w:cs="Arial"/>
          <w:i/>
        </w:rPr>
      </w:pPr>
    </w:p>
    <w:p w:rsidR="00BE793C" w:rsidRPr="00241FAC" w:rsidRDefault="00BE793C" w:rsidP="00BE793C">
      <w:pPr>
        <w:spacing w:after="200" w:line="276" w:lineRule="auto"/>
        <w:contextualSpacing/>
        <w:rPr>
          <w:rFonts w:cs="Arial"/>
        </w:rPr>
      </w:pPr>
    </w:p>
    <w:p w:rsidR="00BE793C" w:rsidRPr="00241FAC" w:rsidRDefault="00405244" w:rsidP="00BE793C">
      <w:pPr>
        <w:rPr>
          <w:rFonts w:cs="Arial"/>
        </w:rPr>
      </w:pPr>
      <w:r w:rsidRPr="00241FAC">
        <w:rPr>
          <w:rFonts w:cs="Arial"/>
          <w:b/>
        </w:rPr>
        <w:t>4.</w:t>
      </w:r>
      <w:r w:rsidR="001407A0" w:rsidRPr="00241FAC">
        <w:rPr>
          <w:rFonts w:cs="Arial"/>
          <w:b/>
        </w:rPr>
        <w:t>4</w:t>
      </w:r>
      <w:r w:rsidRPr="00241FAC">
        <w:rPr>
          <w:rFonts w:cs="Arial"/>
          <w:b/>
        </w:rPr>
        <w:t>.</w:t>
      </w:r>
      <w:r w:rsidRPr="00241FAC">
        <w:rPr>
          <w:rFonts w:cs="Arial"/>
        </w:rPr>
        <w:tab/>
        <w:t xml:space="preserve">Los siguientes </w:t>
      </w:r>
      <w:proofErr w:type="spellStart"/>
      <w:r w:rsidR="00BE793C" w:rsidRPr="00241FAC">
        <w:rPr>
          <w:rFonts w:cs="Arial"/>
        </w:rPr>
        <w:t>Adendos</w:t>
      </w:r>
      <w:proofErr w:type="spellEnd"/>
      <w:r w:rsidR="00BE793C" w:rsidRPr="00241FAC">
        <w:rPr>
          <w:rFonts w:cs="Arial"/>
        </w:rPr>
        <w:t xml:space="preserve"> expedidos por</w:t>
      </w:r>
      <w:r w:rsidR="00507C18" w:rsidRPr="00241FAC">
        <w:rPr>
          <w:rFonts w:cs="Arial"/>
        </w:rPr>
        <w:t xml:space="preserve"> la Alcaldía Municipal de Purificación:</w:t>
      </w:r>
    </w:p>
    <w:p w:rsidR="00BE793C" w:rsidRPr="00241FAC" w:rsidRDefault="00BE793C" w:rsidP="00BE793C">
      <w:pPr>
        <w:spacing w:line="240" w:lineRule="auto"/>
        <w:ind w:left="851" w:right="567"/>
        <w:rPr>
          <w:rFonts w:cs="Arial"/>
          <w:i/>
        </w:rPr>
      </w:pPr>
    </w:p>
    <w:tbl>
      <w:tblPr>
        <w:tblStyle w:val="Tablaconcuadrcula"/>
        <w:tblW w:w="8046" w:type="dxa"/>
        <w:tblInd w:w="465" w:type="dxa"/>
        <w:tblLayout w:type="fixed"/>
        <w:tblLook w:val="04A0" w:firstRow="1" w:lastRow="0" w:firstColumn="1" w:lastColumn="0" w:noHBand="0" w:noVBand="1"/>
      </w:tblPr>
      <w:tblGrid>
        <w:gridCol w:w="2234"/>
        <w:gridCol w:w="1134"/>
        <w:gridCol w:w="4678"/>
      </w:tblGrid>
      <w:tr w:rsidR="00BE793C" w:rsidRPr="00241FAC" w:rsidTr="00D53DA3">
        <w:tc>
          <w:tcPr>
            <w:tcW w:w="2234" w:type="dxa"/>
          </w:tcPr>
          <w:p w:rsidR="00BE793C" w:rsidRPr="00241FAC" w:rsidRDefault="00BE793C" w:rsidP="00D53DA3">
            <w:pPr>
              <w:spacing w:line="240" w:lineRule="auto"/>
              <w:ind w:right="567"/>
              <w:rPr>
                <w:rFonts w:cs="Arial"/>
                <w:b/>
                <w:i/>
              </w:rPr>
            </w:pPr>
            <w:r w:rsidRPr="00241FAC">
              <w:rPr>
                <w:rFonts w:cs="Arial"/>
                <w:b/>
                <w:i/>
              </w:rPr>
              <w:t>No.</w:t>
            </w:r>
          </w:p>
        </w:tc>
        <w:tc>
          <w:tcPr>
            <w:tcW w:w="1134" w:type="dxa"/>
          </w:tcPr>
          <w:p w:rsidR="00BE793C" w:rsidRPr="00241FAC" w:rsidRDefault="00BE793C" w:rsidP="00D53DA3">
            <w:pPr>
              <w:tabs>
                <w:tab w:val="left" w:pos="884"/>
                <w:tab w:val="left" w:pos="918"/>
              </w:tabs>
              <w:spacing w:line="240" w:lineRule="auto"/>
              <w:rPr>
                <w:rFonts w:cs="Arial"/>
                <w:b/>
                <w:i/>
              </w:rPr>
            </w:pPr>
            <w:r w:rsidRPr="00241FAC">
              <w:rPr>
                <w:rFonts w:cs="Arial"/>
                <w:b/>
                <w:i/>
              </w:rPr>
              <w:t>Fecha</w:t>
            </w:r>
          </w:p>
        </w:tc>
        <w:tc>
          <w:tcPr>
            <w:tcW w:w="4678" w:type="dxa"/>
          </w:tcPr>
          <w:p w:rsidR="00BE793C" w:rsidRPr="00241FAC" w:rsidRDefault="00BE793C" w:rsidP="0099301C">
            <w:pPr>
              <w:spacing w:line="240" w:lineRule="auto"/>
              <w:ind w:right="567"/>
              <w:rPr>
                <w:rFonts w:cs="Arial"/>
                <w:b/>
                <w:i/>
              </w:rPr>
            </w:pPr>
            <w:r w:rsidRPr="00241FAC">
              <w:rPr>
                <w:rFonts w:cs="Arial"/>
                <w:b/>
                <w:i/>
              </w:rPr>
              <w:t>Contenido</w:t>
            </w:r>
            <w:r w:rsidR="0099301C" w:rsidRPr="00241FAC">
              <w:rPr>
                <w:rFonts w:cs="Arial"/>
                <w:b/>
                <w:i/>
              </w:rPr>
              <w:t xml:space="preserve"> (relacionado con el asunto materia de este proceso). </w:t>
            </w:r>
          </w:p>
        </w:tc>
      </w:tr>
      <w:tr w:rsidR="00BE793C" w:rsidRPr="00241FAC" w:rsidTr="00D53DA3">
        <w:tc>
          <w:tcPr>
            <w:tcW w:w="2234" w:type="dxa"/>
          </w:tcPr>
          <w:p w:rsidR="002302F7" w:rsidRPr="00241FAC" w:rsidRDefault="0099301C" w:rsidP="00D53DA3">
            <w:pPr>
              <w:spacing w:line="240" w:lineRule="auto"/>
              <w:ind w:right="567"/>
              <w:rPr>
                <w:rFonts w:cs="Arial"/>
                <w:i/>
              </w:rPr>
            </w:pPr>
            <w:r w:rsidRPr="00241FAC">
              <w:rPr>
                <w:rFonts w:cs="Arial"/>
                <w:i/>
              </w:rPr>
              <w:t>ADENDO No. 1</w:t>
            </w:r>
            <w:r w:rsidR="00341FAC" w:rsidRPr="00241FAC">
              <w:rPr>
                <w:rFonts w:cs="Arial"/>
                <w:i/>
              </w:rPr>
              <w:t xml:space="preserve"> y Acta de Audiencia Aclaratoria</w:t>
            </w:r>
          </w:p>
          <w:p w:rsidR="00341FAC" w:rsidRPr="00241FAC" w:rsidRDefault="00341FAC" w:rsidP="00507C18">
            <w:pPr>
              <w:spacing w:line="240" w:lineRule="auto"/>
              <w:ind w:right="567"/>
              <w:rPr>
                <w:rFonts w:cs="Arial"/>
                <w:i/>
              </w:rPr>
            </w:pPr>
            <w:r w:rsidRPr="00241FAC">
              <w:rPr>
                <w:rFonts w:cs="Arial"/>
                <w:i/>
              </w:rPr>
              <w:t>(Folios 25 a 33, cuaderno 13).</w:t>
            </w:r>
          </w:p>
        </w:tc>
        <w:tc>
          <w:tcPr>
            <w:tcW w:w="1134" w:type="dxa"/>
          </w:tcPr>
          <w:p w:rsidR="00BE793C" w:rsidRPr="00241FAC" w:rsidRDefault="00AD5A9D" w:rsidP="0099301C">
            <w:pPr>
              <w:tabs>
                <w:tab w:val="left" w:pos="884"/>
                <w:tab w:val="left" w:pos="918"/>
              </w:tabs>
              <w:spacing w:line="240" w:lineRule="auto"/>
              <w:rPr>
                <w:rFonts w:cs="Arial"/>
                <w:i/>
              </w:rPr>
            </w:pPr>
            <w:r w:rsidRPr="00241FAC">
              <w:rPr>
                <w:rFonts w:cs="Arial"/>
                <w:i/>
              </w:rPr>
              <w:t>Agost</w:t>
            </w:r>
            <w:r w:rsidR="0099301C" w:rsidRPr="00241FAC">
              <w:rPr>
                <w:rFonts w:cs="Arial"/>
                <w:i/>
              </w:rPr>
              <w:t>o</w:t>
            </w:r>
            <w:r w:rsidRPr="00241FAC">
              <w:rPr>
                <w:rFonts w:cs="Arial"/>
                <w:i/>
              </w:rPr>
              <w:t xml:space="preserve"> 22 de 2000</w:t>
            </w:r>
          </w:p>
        </w:tc>
        <w:tc>
          <w:tcPr>
            <w:tcW w:w="4678" w:type="dxa"/>
          </w:tcPr>
          <w:p w:rsidR="002B6A96" w:rsidRPr="00241FAC" w:rsidRDefault="00341FAC" w:rsidP="00FD324B">
            <w:pPr>
              <w:spacing w:line="240" w:lineRule="auto"/>
              <w:rPr>
                <w:rFonts w:cs="Arial"/>
              </w:rPr>
            </w:pPr>
            <w:r w:rsidRPr="00241FAC">
              <w:rPr>
                <w:rFonts w:cs="Arial"/>
              </w:rPr>
              <w:t xml:space="preserve"> </w:t>
            </w:r>
            <w:r w:rsidR="00FD324B" w:rsidRPr="00241FAC">
              <w:rPr>
                <w:rFonts w:cs="Arial"/>
                <w:i/>
              </w:rPr>
              <w:t>“Respuestas del Municipio a inquietudes técnicas</w:t>
            </w:r>
            <w:r w:rsidR="00FD324B" w:rsidRPr="00241FAC">
              <w:rPr>
                <w:rFonts w:cs="Arial"/>
              </w:rPr>
              <w:t>.” (Folio 29, cuaderno 13)</w:t>
            </w:r>
          </w:p>
        </w:tc>
      </w:tr>
      <w:tr w:rsidR="00BE793C" w:rsidRPr="00241FAC" w:rsidTr="00D53DA3">
        <w:tc>
          <w:tcPr>
            <w:tcW w:w="2234" w:type="dxa"/>
          </w:tcPr>
          <w:p w:rsidR="00BE793C" w:rsidRPr="00241FAC" w:rsidRDefault="00620366" w:rsidP="00620366">
            <w:pPr>
              <w:spacing w:line="240" w:lineRule="auto"/>
              <w:ind w:right="567"/>
              <w:rPr>
                <w:rFonts w:cs="Arial"/>
                <w:i/>
              </w:rPr>
            </w:pPr>
            <w:r w:rsidRPr="00241FAC">
              <w:rPr>
                <w:rFonts w:cs="Arial"/>
                <w:i/>
              </w:rPr>
              <w:t>ADENDO No. 2</w:t>
            </w:r>
          </w:p>
        </w:tc>
        <w:tc>
          <w:tcPr>
            <w:tcW w:w="1134" w:type="dxa"/>
          </w:tcPr>
          <w:p w:rsidR="00BE793C" w:rsidRPr="00241FAC" w:rsidRDefault="00AD5A9D" w:rsidP="00AD5A9D">
            <w:pPr>
              <w:tabs>
                <w:tab w:val="left" w:pos="884"/>
                <w:tab w:val="left" w:pos="918"/>
              </w:tabs>
              <w:spacing w:line="240" w:lineRule="auto"/>
              <w:rPr>
                <w:rFonts w:cs="Arial"/>
                <w:i/>
              </w:rPr>
            </w:pPr>
            <w:r w:rsidRPr="00241FAC">
              <w:rPr>
                <w:rFonts w:cs="Arial"/>
                <w:i/>
              </w:rPr>
              <w:t>Agosto 24 de 2000.</w:t>
            </w:r>
          </w:p>
        </w:tc>
        <w:tc>
          <w:tcPr>
            <w:tcW w:w="4678" w:type="dxa"/>
          </w:tcPr>
          <w:p w:rsidR="0052735B" w:rsidRPr="00241FAC" w:rsidRDefault="0052735B" w:rsidP="0052735B">
            <w:pPr>
              <w:spacing w:line="240" w:lineRule="auto"/>
              <w:rPr>
                <w:rFonts w:cs="Arial"/>
                <w:i/>
              </w:rPr>
            </w:pPr>
            <w:r w:rsidRPr="00241FAC">
              <w:rPr>
                <w:rFonts w:cs="Arial"/>
                <w:i/>
              </w:rPr>
              <w:t>“</w:t>
            </w:r>
            <w:r w:rsidR="009D205B" w:rsidRPr="00241FAC">
              <w:rPr>
                <w:rFonts w:cs="Arial"/>
                <w:i/>
              </w:rPr>
              <w:t xml:space="preserve">(…) </w:t>
            </w:r>
            <w:r w:rsidRPr="00241FAC">
              <w:rPr>
                <w:rFonts w:cs="Arial"/>
                <w:i/>
              </w:rPr>
              <w:t>20. En el numeral 8 del Pliego de Licitaciones se solicitan las Declaraciones de Renta del oferente o de cada uno de los integrantes del Consorcio o Unión Temporal”  (</w:t>
            </w:r>
          </w:p>
          <w:p w:rsidR="0052735B" w:rsidRPr="00241FAC" w:rsidRDefault="0052735B" w:rsidP="0052735B">
            <w:pPr>
              <w:spacing w:line="240" w:lineRule="auto"/>
              <w:rPr>
                <w:rFonts w:cs="Arial"/>
                <w:i/>
              </w:rPr>
            </w:pPr>
          </w:p>
          <w:p w:rsidR="0052735B" w:rsidRPr="00241FAC" w:rsidRDefault="0052735B" w:rsidP="0052735B">
            <w:pPr>
              <w:spacing w:line="240" w:lineRule="auto"/>
              <w:rPr>
                <w:rFonts w:cs="Arial"/>
              </w:rPr>
            </w:pPr>
            <w:r w:rsidRPr="00241FAC">
              <w:rPr>
                <w:rFonts w:cs="Arial"/>
                <w:i/>
              </w:rPr>
              <w:lastRenderedPageBreak/>
              <w:t>21. Respecto del Puntaje Obtenido con un capital de trabajo mayor a $250’000.000, se modificó el numeral 29.1 del Pliego de Licitación en relación con la asignación de puntaje así: Capital de Trabajo  mayor que $250’000.000 se le otorgarán 50 puntos.”</w:t>
            </w:r>
            <w:r w:rsidR="00FD324B" w:rsidRPr="00241FAC">
              <w:rPr>
                <w:rFonts w:cs="Arial"/>
                <w:i/>
              </w:rPr>
              <w:t xml:space="preserve"> </w:t>
            </w:r>
            <w:r w:rsidR="00FD324B" w:rsidRPr="00241FAC">
              <w:rPr>
                <w:rFonts w:cs="Arial"/>
              </w:rPr>
              <w:t>(Folios 33 a 35, cuaderno 13)</w:t>
            </w:r>
          </w:p>
          <w:p w:rsidR="00BE793C" w:rsidRPr="00241FAC" w:rsidRDefault="0052735B" w:rsidP="0052735B">
            <w:pPr>
              <w:spacing w:line="240" w:lineRule="auto"/>
              <w:rPr>
                <w:rFonts w:cs="Arial"/>
                <w:i/>
              </w:rPr>
            </w:pPr>
            <w:r w:rsidRPr="00241FAC">
              <w:rPr>
                <w:rFonts w:cs="Arial"/>
                <w:i/>
              </w:rPr>
              <w:t xml:space="preserve"> </w:t>
            </w:r>
          </w:p>
        </w:tc>
      </w:tr>
      <w:tr w:rsidR="00BE793C" w:rsidRPr="00241FAC" w:rsidTr="00D53DA3">
        <w:tc>
          <w:tcPr>
            <w:tcW w:w="2234" w:type="dxa"/>
          </w:tcPr>
          <w:p w:rsidR="00BE793C" w:rsidRPr="00241FAC" w:rsidRDefault="00F73538" w:rsidP="00F73538">
            <w:pPr>
              <w:spacing w:line="240" w:lineRule="auto"/>
              <w:ind w:right="567"/>
              <w:rPr>
                <w:rFonts w:cs="Arial"/>
                <w:i/>
              </w:rPr>
            </w:pPr>
            <w:r w:rsidRPr="00241FAC">
              <w:rPr>
                <w:rFonts w:cs="Arial"/>
                <w:i/>
              </w:rPr>
              <w:lastRenderedPageBreak/>
              <w:t>ADENDO No. 3</w:t>
            </w:r>
          </w:p>
        </w:tc>
        <w:tc>
          <w:tcPr>
            <w:tcW w:w="1134" w:type="dxa"/>
          </w:tcPr>
          <w:p w:rsidR="00BE793C" w:rsidRPr="00241FAC" w:rsidRDefault="001407A0" w:rsidP="00D53DA3">
            <w:pPr>
              <w:tabs>
                <w:tab w:val="left" w:pos="884"/>
                <w:tab w:val="left" w:pos="918"/>
              </w:tabs>
              <w:spacing w:line="240" w:lineRule="auto"/>
              <w:rPr>
                <w:rFonts w:cs="Arial"/>
                <w:i/>
              </w:rPr>
            </w:pPr>
            <w:r w:rsidRPr="00241FAC">
              <w:rPr>
                <w:rFonts w:cs="Arial"/>
                <w:i/>
              </w:rPr>
              <w:t>Agosto 28 de 2000.</w:t>
            </w:r>
          </w:p>
        </w:tc>
        <w:tc>
          <w:tcPr>
            <w:tcW w:w="4678" w:type="dxa"/>
          </w:tcPr>
          <w:p w:rsidR="009B356F" w:rsidRPr="00241FAC" w:rsidRDefault="00F73538" w:rsidP="00AD5A9D">
            <w:pPr>
              <w:spacing w:line="240" w:lineRule="auto"/>
              <w:ind w:right="34"/>
              <w:rPr>
                <w:rFonts w:cs="Arial"/>
                <w:i/>
              </w:rPr>
            </w:pPr>
            <w:r w:rsidRPr="00241FAC">
              <w:rPr>
                <w:rFonts w:cs="Arial"/>
                <w:i/>
              </w:rPr>
              <w:t>“</w:t>
            </w:r>
            <w:r w:rsidR="00DD72AC" w:rsidRPr="00241FAC">
              <w:rPr>
                <w:rFonts w:cs="Arial"/>
                <w:i/>
              </w:rPr>
              <w:t xml:space="preserve">En este </w:t>
            </w:r>
            <w:proofErr w:type="spellStart"/>
            <w:r w:rsidR="00DD72AC" w:rsidRPr="00241FAC">
              <w:rPr>
                <w:rFonts w:cs="Arial"/>
                <w:i/>
              </w:rPr>
              <w:t>adendo</w:t>
            </w:r>
            <w:proofErr w:type="spellEnd"/>
            <w:r w:rsidR="00DD72AC" w:rsidRPr="00241FAC">
              <w:rPr>
                <w:rFonts w:cs="Arial"/>
                <w:i/>
              </w:rPr>
              <w:t xml:space="preserve"> se da respuesta a las últimas inquietudes planteadas en las comunicaciones recibidas y </w:t>
            </w:r>
            <w:r w:rsidR="009D205B" w:rsidRPr="00241FAC">
              <w:rPr>
                <w:rFonts w:cs="Arial"/>
                <w:i/>
              </w:rPr>
              <w:t xml:space="preserve">a </w:t>
            </w:r>
            <w:r w:rsidR="00DD72AC" w:rsidRPr="00241FAC">
              <w:rPr>
                <w:rFonts w:cs="Arial"/>
                <w:i/>
              </w:rPr>
              <w:t>las inquietudes manife</w:t>
            </w:r>
            <w:r w:rsidR="009B356F" w:rsidRPr="00241FAC">
              <w:rPr>
                <w:rFonts w:cs="Arial"/>
                <w:i/>
              </w:rPr>
              <w:t>stadas en la Audiencia Aclaratoria.</w:t>
            </w:r>
          </w:p>
          <w:p w:rsidR="009B356F" w:rsidRPr="00241FAC" w:rsidRDefault="009B356F" w:rsidP="00AD5A9D">
            <w:pPr>
              <w:spacing w:line="240" w:lineRule="auto"/>
              <w:ind w:right="34"/>
              <w:rPr>
                <w:rFonts w:cs="Arial"/>
                <w:i/>
              </w:rPr>
            </w:pPr>
          </w:p>
          <w:p w:rsidR="002302F7" w:rsidRPr="00241FAC" w:rsidRDefault="00F73538" w:rsidP="009D205B">
            <w:pPr>
              <w:spacing w:line="240" w:lineRule="auto"/>
              <w:ind w:right="34"/>
              <w:rPr>
                <w:rFonts w:cs="Arial"/>
                <w:i/>
              </w:rPr>
            </w:pPr>
            <w:r w:rsidRPr="00241FAC">
              <w:rPr>
                <w:rFonts w:cs="Arial"/>
                <w:i/>
              </w:rPr>
              <w:t xml:space="preserve">En cuanto a la fórmula de cálculo de Capital de </w:t>
            </w:r>
            <w:r w:rsidR="00A85854" w:rsidRPr="00241FAC">
              <w:rPr>
                <w:rFonts w:cs="Arial"/>
                <w:i/>
              </w:rPr>
              <w:t>T</w:t>
            </w:r>
            <w:r w:rsidRPr="00241FAC">
              <w:rPr>
                <w:rFonts w:cs="Arial"/>
                <w:i/>
              </w:rPr>
              <w:t xml:space="preserve">rabajo </w:t>
            </w:r>
            <w:r w:rsidR="00A85854" w:rsidRPr="00241FAC">
              <w:rPr>
                <w:rFonts w:cs="Arial"/>
                <w:i/>
              </w:rPr>
              <w:t>para Un</w:t>
            </w:r>
            <w:r w:rsidR="00AD5A9D" w:rsidRPr="00241FAC">
              <w:rPr>
                <w:rFonts w:cs="Arial"/>
                <w:i/>
              </w:rPr>
              <w:t>i</w:t>
            </w:r>
            <w:r w:rsidR="00A85854" w:rsidRPr="00241FAC">
              <w:rPr>
                <w:rFonts w:cs="Arial"/>
                <w:i/>
              </w:rPr>
              <w:t xml:space="preserve">ón Temporal se ratifica lo estipulado en el </w:t>
            </w:r>
            <w:proofErr w:type="spellStart"/>
            <w:r w:rsidR="00A85854" w:rsidRPr="00241FAC">
              <w:rPr>
                <w:rFonts w:cs="Arial"/>
                <w:i/>
              </w:rPr>
              <w:t>adendo</w:t>
            </w:r>
            <w:proofErr w:type="spellEnd"/>
            <w:r w:rsidR="00A85854" w:rsidRPr="00241FAC">
              <w:rPr>
                <w:rFonts w:cs="Arial"/>
                <w:i/>
              </w:rPr>
              <w:t xml:space="preserve"> No. 001 </w:t>
            </w:r>
            <w:r w:rsidR="009D205B" w:rsidRPr="00241FAC">
              <w:rPr>
                <w:rFonts w:cs="Arial"/>
                <w:i/>
              </w:rPr>
              <w:t xml:space="preserve">(sic) </w:t>
            </w:r>
            <w:r w:rsidR="00A85854" w:rsidRPr="00241FAC">
              <w:rPr>
                <w:rFonts w:cs="Arial"/>
                <w:i/>
              </w:rPr>
              <w:t>de agosto 22 del presente año</w:t>
            </w:r>
            <w:r w:rsidR="009B356F" w:rsidRPr="00241FAC">
              <w:rPr>
                <w:rFonts w:cs="Arial"/>
                <w:i/>
              </w:rPr>
              <w:t xml:space="preserve"> </w:t>
            </w:r>
            <w:r w:rsidR="00A85854" w:rsidRPr="00241FAC">
              <w:rPr>
                <w:rFonts w:cs="Arial"/>
              </w:rPr>
              <w:t>(</w:t>
            </w:r>
            <w:r w:rsidR="009B356F" w:rsidRPr="00241FAC">
              <w:rPr>
                <w:rFonts w:cs="Arial"/>
              </w:rPr>
              <w:t>F</w:t>
            </w:r>
            <w:r w:rsidR="00A85854" w:rsidRPr="00241FAC">
              <w:rPr>
                <w:rFonts w:cs="Arial"/>
              </w:rPr>
              <w:t>olio 61, cuader</w:t>
            </w:r>
            <w:r w:rsidR="00AD5A9D" w:rsidRPr="00241FAC">
              <w:rPr>
                <w:rFonts w:cs="Arial"/>
              </w:rPr>
              <w:t>n</w:t>
            </w:r>
            <w:r w:rsidR="00A85854" w:rsidRPr="00241FAC">
              <w:rPr>
                <w:rFonts w:cs="Arial"/>
              </w:rPr>
              <w:t>o 13)</w:t>
            </w:r>
          </w:p>
        </w:tc>
      </w:tr>
    </w:tbl>
    <w:p w:rsidR="00BE793C" w:rsidRPr="00241FAC" w:rsidRDefault="00BE793C" w:rsidP="00BE793C">
      <w:pPr>
        <w:spacing w:line="240" w:lineRule="auto"/>
        <w:ind w:left="851" w:right="567"/>
        <w:rPr>
          <w:rFonts w:cs="Arial"/>
          <w:i/>
        </w:rPr>
      </w:pPr>
    </w:p>
    <w:p w:rsidR="002276F5" w:rsidRPr="00241FAC" w:rsidRDefault="00405244" w:rsidP="008910E0">
      <w:pPr>
        <w:rPr>
          <w:rFonts w:cs="Arial"/>
        </w:rPr>
      </w:pPr>
      <w:r w:rsidRPr="00241FAC">
        <w:rPr>
          <w:rFonts w:cs="Arial"/>
          <w:b/>
        </w:rPr>
        <w:t>4.</w:t>
      </w:r>
      <w:r w:rsidR="001407A0" w:rsidRPr="00241FAC">
        <w:rPr>
          <w:rFonts w:cs="Arial"/>
          <w:b/>
        </w:rPr>
        <w:t>5</w:t>
      </w:r>
      <w:r w:rsidRPr="00241FAC">
        <w:rPr>
          <w:rFonts w:cs="Arial"/>
          <w:b/>
        </w:rPr>
        <w:t>.</w:t>
      </w:r>
      <w:r w:rsidRPr="00241FAC">
        <w:rPr>
          <w:rFonts w:cs="Arial"/>
        </w:rPr>
        <w:tab/>
      </w:r>
      <w:r w:rsidR="002276F5" w:rsidRPr="00241FAC">
        <w:rPr>
          <w:rFonts w:cs="Arial"/>
        </w:rPr>
        <w:t>Acta de Cierre de la Licitación Pública No. 01 de 1 de septiembre de 2000, suscrita por el Alcalde del Municipio de Purificación (folio 43, cuaderno 13).</w:t>
      </w:r>
    </w:p>
    <w:p w:rsidR="002276F5" w:rsidRPr="00241FAC" w:rsidRDefault="002276F5" w:rsidP="008910E0">
      <w:pPr>
        <w:rPr>
          <w:rFonts w:cs="Arial"/>
        </w:rPr>
      </w:pPr>
    </w:p>
    <w:p w:rsidR="005269B7" w:rsidRPr="00241FAC" w:rsidRDefault="001407A0" w:rsidP="005269B7">
      <w:pPr>
        <w:rPr>
          <w:rFonts w:cs="Arial"/>
        </w:rPr>
      </w:pPr>
      <w:r w:rsidRPr="00241FAC">
        <w:rPr>
          <w:rFonts w:cs="Arial"/>
          <w:b/>
        </w:rPr>
        <w:t>4.</w:t>
      </w:r>
      <w:r w:rsidR="00C123DD" w:rsidRPr="00241FAC">
        <w:rPr>
          <w:rFonts w:cs="Arial"/>
          <w:b/>
        </w:rPr>
        <w:t>6</w:t>
      </w:r>
      <w:r w:rsidRPr="00241FAC">
        <w:rPr>
          <w:rFonts w:cs="Arial"/>
          <w:b/>
        </w:rPr>
        <w:t>.</w:t>
      </w:r>
      <w:r w:rsidRPr="00241FAC">
        <w:rPr>
          <w:rFonts w:cs="Arial"/>
        </w:rPr>
        <w:tab/>
      </w:r>
      <w:r w:rsidR="005269B7" w:rsidRPr="00241FAC">
        <w:rPr>
          <w:rFonts w:cs="Arial"/>
        </w:rPr>
        <w:t xml:space="preserve">Resolución No. 241 expedida por el Alcalde del Municipio de Purificación, con fecha 24 de agosto de 2000, mediante la cual se dispuso ampliar los plazos para </w:t>
      </w:r>
      <w:r w:rsidR="00620366" w:rsidRPr="00241FAC">
        <w:rPr>
          <w:rFonts w:cs="Arial"/>
        </w:rPr>
        <w:t>el cierre de la Licitación Pública No. 01 de 200</w:t>
      </w:r>
      <w:r w:rsidR="0000193E" w:rsidRPr="00241FAC">
        <w:rPr>
          <w:rFonts w:cs="Arial"/>
        </w:rPr>
        <w:t>0 hasta el 1 de septiembre de 2000</w:t>
      </w:r>
      <w:r w:rsidR="00620366" w:rsidRPr="00241FAC">
        <w:rPr>
          <w:rFonts w:cs="Arial"/>
        </w:rPr>
        <w:t xml:space="preserve"> y </w:t>
      </w:r>
      <w:r w:rsidR="0000193E" w:rsidRPr="00241FAC">
        <w:rPr>
          <w:rFonts w:cs="Arial"/>
        </w:rPr>
        <w:t xml:space="preserve">se modificaron los </w:t>
      </w:r>
      <w:r w:rsidR="008F2813" w:rsidRPr="00241FAC">
        <w:rPr>
          <w:rFonts w:cs="Arial"/>
        </w:rPr>
        <w:t>términos</w:t>
      </w:r>
      <w:r w:rsidR="0000193E" w:rsidRPr="00241FAC">
        <w:rPr>
          <w:rFonts w:cs="Arial"/>
        </w:rPr>
        <w:t xml:space="preserve"> </w:t>
      </w:r>
      <w:r w:rsidR="00620366" w:rsidRPr="00241FAC">
        <w:rPr>
          <w:rFonts w:cs="Arial"/>
        </w:rPr>
        <w:t xml:space="preserve">para </w:t>
      </w:r>
      <w:r w:rsidR="0000193E" w:rsidRPr="00241FAC">
        <w:rPr>
          <w:rFonts w:cs="Arial"/>
        </w:rPr>
        <w:t xml:space="preserve">recibir el informe del </w:t>
      </w:r>
      <w:r w:rsidR="00620366" w:rsidRPr="00241FAC">
        <w:rPr>
          <w:rFonts w:cs="Arial"/>
        </w:rPr>
        <w:t>Comité Evaluador</w:t>
      </w:r>
      <w:r w:rsidR="0000193E" w:rsidRPr="00241FAC">
        <w:rPr>
          <w:rFonts w:cs="Arial"/>
        </w:rPr>
        <w:t>.</w:t>
      </w:r>
      <w:r w:rsidR="005269B7" w:rsidRPr="00241FAC">
        <w:rPr>
          <w:rFonts w:cs="Arial"/>
        </w:rPr>
        <w:t xml:space="preserve"> (folios </w:t>
      </w:r>
      <w:r w:rsidR="00620366" w:rsidRPr="00241FAC">
        <w:rPr>
          <w:rFonts w:cs="Arial"/>
        </w:rPr>
        <w:t>36</w:t>
      </w:r>
      <w:r w:rsidR="005269B7" w:rsidRPr="00241FAC">
        <w:rPr>
          <w:rFonts w:cs="Arial"/>
        </w:rPr>
        <w:t xml:space="preserve"> y </w:t>
      </w:r>
      <w:r w:rsidR="00620366" w:rsidRPr="00241FAC">
        <w:rPr>
          <w:rFonts w:cs="Arial"/>
        </w:rPr>
        <w:t>37</w:t>
      </w:r>
      <w:r w:rsidR="005269B7" w:rsidRPr="00241FAC">
        <w:rPr>
          <w:rFonts w:cs="Arial"/>
        </w:rPr>
        <w:t>, cuaderno 13).</w:t>
      </w:r>
    </w:p>
    <w:p w:rsidR="005269B7" w:rsidRPr="00241FAC" w:rsidRDefault="005269B7" w:rsidP="008910E0">
      <w:pPr>
        <w:rPr>
          <w:rFonts w:cs="Arial"/>
        </w:rPr>
      </w:pPr>
    </w:p>
    <w:p w:rsidR="0000193E" w:rsidRPr="00241FAC" w:rsidRDefault="001407A0" w:rsidP="0000193E">
      <w:pPr>
        <w:rPr>
          <w:rFonts w:cs="Arial"/>
        </w:rPr>
      </w:pPr>
      <w:r w:rsidRPr="00241FAC">
        <w:rPr>
          <w:rFonts w:cs="Arial"/>
          <w:b/>
        </w:rPr>
        <w:t>4.</w:t>
      </w:r>
      <w:r w:rsidR="0000193E" w:rsidRPr="00241FAC">
        <w:rPr>
          <w:rFonts w:cs="Arial"/>
          <w:b/>
        </w:rPr>
        <w:t>7</w:t>
      </w:r>
      <w:r w:rsidRPr="00241FAC">
        <w:rPr>
          <w:rFonts w:cs="Arial"/>
          <w:b/>
        </w:rPr>
        <w:t>.</w:t>
      </w:r>
      <w:r w:rsidRPr="00241FAC">
        <w:rPr>
          <w:rFonts w:cs="Arial"/>
        </w:rPr>
        <w:tab/>
      </w:r>
      <w:r w:rsidR="0000193E" w:rsidRPr="00241FAC">
        <w:rPr>
          <w:rFonts w:cs="Arial"/>
        </w:rPr>
        <w:t xml:space="preserve">Acta de </w:t>
      </w:r>
      <w:r w:rsidR="008F2813" w:rsidRPr="00241FAC">
        <w:rPr>
          <w:rFonts w:cs="Arial"/>
        </w:rPr>
        <w:t>a</w:t>
      </w:r>
      <w:r w:rsidR="0000193E" w:rsidRPr="00241FAC">
        <w:rPr>
          <w:rFonts w:cs="Arial"/>
        </w:rPr>
        <w:t xml:space="preserve">pertura de </w:t>
      </w:r>
      <w:r w:rsidR="008F2813" w:rsidRPr="00241FAC">
        <w:rPr>
          <w:rFonts w:cs="Arial"/>
        </w:rPr>
        <w:t>p</w:t>
      </w:r>
      <w:r w:rsidR="0000193E" w:rsidRPr="00241FAC">
        <w:rPr>
          <w:rFonts w:cs="Arial"/>
        </w:rPr>
        <w:t>ropuestas presentadas en la Licitación Pública No. 01 de 1 de septiembre de 2000, suscrita por el Alcalde del Municipio de Purificación (folio 38 a 41, cuaderno 13).</w:t>
      </w:r>
    </w:p>
    <w:p w:rsidR="0000193E" w:rsidRPr="00241FAC" w:rsidRDefault="0000193E" w:rsidP="008910E0">
      <w:pPr>
        <w:rPr>
          <w:rFonts w:cs="Arial"/>
        </w:rPr>
      </w:pPr>
    </w:p>
    <w:p w:rsidR="008910E0" w:rsidRPr="00241FAC" w:rsidRDefault="0000193E" w:rsidP="008910E0">
      <w:pPr>
        <w:rPr>
          <w:rFonts w:cs="Arial"/>
        </w:rPr>
      </w:pPr>
      <w:r w:rsidRPr="00241FAC">
        <w:rPr>
          <w:rFonts w:cs="Arial"/>
          <w:b/>
        </w:rPr>
        <w:t>4.8.</w:t>
      </w:r>
      <w:r w:rsidRPr="00241FAC">
        <w:rPr>
          <w:rFonts w:cs="Arial"/>
        </w:rPr>
        <w:tab/>
      </w:r>
      <w:r w:rsidR="008910E0" w:rsidRPr="00241FAC">
        <w:rPr>
          <w:rFonts w:cs="Arial"/>
        </w:rPr>
        <w:t xml:space="preserve">Resolución No. 263 expedida por el Alcalde del Municipio de Purificación, con fecha 7 de septiembre de 2000, mediante la cual dispuso ampliar </w:t>
      </w:r>
      <w:r w:rsidR="00620366" w:rsidRPr="00241FAC">
        <w:rPr>
          <w:rFonts w:cs="Arial"/>
        </w:rPr>
        <w:t xml:space="preserve">nuevamente </w:t>
      </w:r>
      <w:r w:rsidR="008910E0" w:rsidRPr="00241FAC">
        <w:rPr>
          <w:rFonts w:cs="Arial"/>
        </w:rPr>
        <w:t>el plazo para la adjudicación de la Licitación Pública No. 01 de 2000</w:t>
      </w:r>
      <w:r w:rsidR="008D34C2" w:rsidRPr="00241FAC">
        <w:rPr>
          <w:rFonts w:cs="Arial"/>
        </w:rPr>
        <w:t>, hasta el 28 de septiembre de 2000</w:t>
      </w:r>
      <w:r w:rsidR="008910E0" w:rsidRPr="00241FAC">
        <w:rPr>
          <w:rFonts w:cs="Arial"/>
        </w:rPr>
        <w:t xml:space="preserve"> (folios 62 y 63, cuaderno 13).</w:t>
      </w:r>
    </w:p>
    <w:p w:rsidR="008910E0" w:rsidRPr="00241FAC" w:rsidRDefault="008910E0" w:rsidP="008910E0">
      <w:pPr>
        <w:spacing w:line="240" w:lineRule="auto"/>
        <w:ind w:left="851" w:right="567"/>
        <w:rPr>
          <w:rFonts w:cs="Arial"/>
          <w:i/>
        </w:rPr>
      </w:pPr>
    </w:p>
    <w:p w:rsidR="00C123DD" w:rsidRPr="00241FAC" w:rsidRDefault="00C123DD" w:rsidP="00A630E2">
      <w:pPr>
        <w:rPr>
          <w:rFonts w:cs="Arial"/>
        </w:rPr>
      </w:pPr>
      <w:r w:rsidRPr="00241FAC">
        <w:rPr>
          <w:rFonts w:cs="Arial"/>
          <w:b/>
        </w:rPr>
        <w:t>4.9.</w:t>
      </w:r>
      <w:r w:rsidRPr="00241FAC">
        <w:rPr>
          <w:rFonts w:cs="Arial"/>
        </w:rPr>
        <w:tab/>
        <w:t>Acta No. 01 del Comité de Evaluación de la Licitación Pública No. 01, correspondiente a la sesión realizada el 14 de septiembre de 2000 (folios 65 a 92, cuaderno 13).</w:t>
      </w:r>
    </w:p>
    <w:p w:rsidR="00C123DD" w:rsidRPr="00241FAC" w:rsidRDefault="00C123DD" w:rsidP="00A630E2">
      <w:pPr>
        <w:rPr>
          <w:rFonts w:cs="Arial"/>
        </w:rPr>
      </w:pPr>
    </w:p>
    <w:p w:rsidR="00DC14DC" w:rsidRPr="00241FAC" w:rsidRDefault="001407A0" w:rsidP="00A630E2">
      <w:pPr>
        <w:rPr>
          <w:rFonts w:cs="Arial"/>
        </w:rPr>
      </w:pPr>
      <w:r w:rsidRPr="00241FAC">
        <w:rPr>
          <w:rFonts w:cs="Arial"/>
          <w:b/>
        </w:rPr>
        <w:t>4.</w:t>
      </w:r>
      <w:r w:rsidR="00C123DD" w:rsidRPr="00241FAC">
        <w:rPr>
          <w:rFonts w:cs="Arial"/>
          <w:b/>
        </w:rPr>
        <w:t>10</w:t>
      </w:r>
      <w:r w:rsidRPr="00241FAC">
        <w:rPr>
          <w:rFonts w:cs="Arial"/>
          <w:b/>
        </w:rPr>
        <w:t>.</w:t>
      </w:r>
      <w:r w:rsidRPr="00241FAC">
        <w:rPr>
          <w:rFonts w:cs="Arial"/>
        </w:rPr>
        <w:tab/>
      </w:r>
      <w:r w:rsidR="00D76432" w:rsidRPr="00241FAC">
        <w:rPr>
          <w:rFonts w:cs="Arial"/>
        </w:rPr>
        <w:t>Resolución No. 2</w:t>
      </w:r>
      <w:r w:rsidR="00527EC6" w:rsidRPr="00241FAC">
        <w:rPr>
          <w:rFonts w:cs="Arial"/>
        </w:rPr>
        <w:t>7</w:t>
      </w:r>
      <w:r w:rsidR="00D76432" w:rsidRPr="00241FAC">
        <w:rPr>
          <w:rFonts w:cs="Arial"/>
        </w:rPr>
        <w:t>5 expedida por el Alcalde del Municipio de Purificación, con fecha 20 de septiembre de 2000, mediante la cual dispuso la adjudicación</w:t>
      </w:r>
      <w:r w:rsidR="00DC14DC" w:rsidRPr="00241FAC">
        <w:rPr>
          <w:rFonts w:cs="Arial"/>
        </w:rPr>
        <w:t xml:space="preserve"> de la </w:t>
      </w:r>
      <w:r w:rsidR="00DC14DC" w:rsidRPr="00241FAC">
        <w:rPr>
          <w:rFonts w:cs="Arial"/>
        </w:rPr>
        <w:lastRenderedPageBreak/>
        <w:t>Licitación Pública No. 01 de 200</w:t>
      </w:r>
      <w:r w:rsidR="001A1942" w:rsidRPr="00241FAC">
        <w:rPr>
          <w:rFonts w:cs="Arial"/>
        </w:rPr>
        <w:t>0</w:t>
      </w:r>
      <w:r w:rsidR="00DC14DC" w:rsidRPr="00241FAC">
        <w:rPr>
          <w:rFonts w:cs="Arial"/>
        </w:rPr>
        <w:t>, en Audiencia Pública, señalada para el 28 de septiembre de 2000 (folios 104 a 106, cuaderno 13).</w:t>
      </w:r>
    </w:p>
    <w:p w:rsidR="00BE793C" w:rsidRPr="00241FAC" w:rsidRDefault="00BE793C" w:rsidP="00A630E2">
      <w:pPr>
        <w:ind w:right="567"/>
        <w:rPr>
          <w:rFonts w:cs="Arial"/>
          <w:i/>
        </w:rPr>
      </w:pPr>
    </w:p>
    <w:p w:rsidR="003B01C0" w:rsidRPr="00241FAC" w:rsidRDefault="00967FE3" w:rsidP="00A630E2">
      <w:pPr>
        <w:rPr>
          <w:rFonts w:cs="Arial"/>
        </w:rPr>
      </w:pPr>
      <w:r w:rsidRPr="00241FAC">
        <w:rPr>
          <w:rFonts w:cs="Arial"/>
          <w:b/>
        </w:rPr>
        <w:t>4.1</w:t>
      </w:r>
      <w:r w:rsidR="001A1942" w:rsidRPr="00241FAC">
        <w:rPr>
          <w:rFonts w:cs="Arial"/>
          <w:b/>
        </w:rPr>
        <w:t>1</w:t>
      </w:r>
      <w:r w:rsidRPr="00241FAC">
        <w:rPr>
          <w:rFonts w:cs="Arial"/>
          <w:b/>
        </w:rPr>
        <w:t>.</w:t>
      </w:r>
      <w:r w:rsidRPr="00241FAC">
        <w:rPr>
          <w:rFonts w:cs="Arial"/>
        </w:rPr>
        <w:tab/>
      </w:r>
      <w:r w:rsidR="00146202" w:rsidRPr="00241FAC">
        <w:rPr>
          <w:rFonts w:cs="Arial"/>
        </w:rPr>
        <w:t xml:space="preserve">Acta de la </w:t>
      </w:r>
      <w:r w:rsidR="00911192" w:rsidRPr="00241FAC">
        <w:rPr>
          <w:rFonts w:cs="Arial"/>
        </w:rPr>
        <w:t>Audiencia Pública de Adjudicación de la Licitación</w:t>
      </w:r>
      <w:r w:rsidR="00146202" w:rsidRPr="00241FAC">
        <w:rPr>
          <w:rFonts w:cs="Arial"/>
        </w:rPr>
        <w:t xml:space="preserve"> No. 01 de 2000, realizada el 28 de septiembre de 2000</w:t>
      </w:r>
      <w:r w:rsidR="002403DB" w:rsidRPr="00241FAC">
        <w:rPr>
          <w:rFonts w:cs="Arial"/>
        </w:rPr>
        <w:t xml:space="preserve">, en la cual se dio lectura </w:t>
      </w:r>
      <w:r w:rsidR="002636B7" w:rsidRPr="00241FAC">
        <w:rPr>
          <w:rFonts w:cs="Arial"/>
        </w:rPr>
        <w:t>a</w:t>
      </w:r>
      <w:r w:rsidR="002403DB" w:rsidRPr="00241FAC">
        <w:rPr>
          <w:rFonts w:cs="Arial"/>
        </w:rPr>
        <w:t xml:space="preserve"> las repuestas </w:t>
      </w:r>
      <w:r w:rsidR="00C123DD" w:rsidRPr="00241FAC">
        <w:rPr>
          <w:rFonts w:cs="Arial"/>
        </w:rPr>
        <w:t>a</w:t>
      </w:r>
      <w:r w:rsidR="00B25426" w:rsidRPr="00241FAC">
        <w:rPr>
          <w:rFonts w:cs="Arial"/>
        </w:rPr>
        <w:t xml:space="preserve"> </w:t>
      </w:r>
      <w:r w:rsidR="002403DB" w:rsidRPr="00241FAC">
        <w:rPr>
          <w:rFonts w:cs="Arial"/>
        </w:rPr>
        <w:t>las inquietudes de los participantes</w:t>
      </w:r>
      <w:r w:rsidR="00B25426" w:rsidRPr="00241FAC">
        <w:rPr>
          <w:rFonts w:cs="Arial"/>
        </w:rPr>
        <w:t>,</w:t>
      </w:r>
      <w:r w:rsidR="002403DB" w:rsidRPr="00241FAC">
        <w:rPr>
          <w:rFonts w:cs="Arial"/>
        </w:rPr>
        <w:t xml:space="preserve"> contenidas en las comunicaciones anexas</w:t>
      </w:r>
      <w:r w:rsidR="00E91945" w:rsidRPr="00241FAC">
        <w:rPr>
          <w:rFonts w:cs="Arial"/>
        </w:rPr>
        <w:t xml:space="preserve"> </w:t>
      </w:r>
      <w:r w:rsidR="00B25426" w:rsidRPr="00241FAC">
        <w:rPr>
          <w:rFonts w:cs="Arial"/>
        </w:rPr>
        <w:t xml:space="preserve">a la Resolución </w:t>
      </w:r>
      <w:r w:rsidR="008F2813" w:rsidRPr="00241FAC">
        <w:rPr>
          <w:rFonts w:cs="Arial"/>
        </w:rPr>
        <w:t xml:space="preserve">de adjudicación No. </w:t>
      </w:r>
      <w:r w:rsidR="002A7F9B" w:rsidRPr="00241FAC">
        <w:rPr>
          <w:rFonts w:cs="Arial"/>
        </w:rPr>
        <w:t>2</w:t>
      </w:r>
      <w:r w:rsidR="00527EC6" w:rsidRPr="00241FAC">
        <w:rPr>
          <w:rFonts w:cs="Arial"/>
        </w:rPr>
        <w:t>8</w:t>
      </w:r>
      <w:r w:rsidR="002A7F9B" w:rsidRPr="00241FAC">
        <w:rPr>
          <w:rFonts w:cs="Arial"/>
        </w:rPr>
        <w:t>5</w:t>
      </w:r>
      <w:r w:rsidR="008F2813" w:rsidRPr="00241FAC">
        <w:rPr>
          <w:rFonts w:cs="Arial"/>
        </w:rPr>
        <w:t xml:space="preserve"> de la misma fecha</w:t>
      </w:r>
      <w:r w:rsidR="002A7F9B" w:rsidRPr="00241FAC">
        <w:rPr>
          <w:rFonts w:cs="Arial"/>
        </w:rPr>
        <w:t xml:space="preserve"> </w:t>
      </w:r>
      <w:r w:rsidR="00E91945" w:rsidRPr="00241FAC">
        <w:rPr>
          <w:rFonts w:cs="Arial"/>
        </w:rPr>
        <w:t xml:space="preserve">(folios 5 a </w:t>
      </w:r>
      <w:r w:rsidR="002403DB" w:rsidRPr="00241FAC">
        <w:rPr>
          <w:rFonts w:cs="Arial"/>
        </w:rPr>
        <w:t>54</w:t>
      </w:r>
      <w:r w:rsidR="00E91945" w:rsidRPr="00241FAC">
        <w:rPr>
          <w:rFonts w:cs="Arial"/>
        </w:rPr>
        <w:t>, cuaderno 1)</w:t>
      </w:r>
      <w:r w:rsidR="00A630E2" w:rsidRPr="00241FAC">
        <w:rPr>
          <w:rFonts w:cs="Arial"/>
        </w:rPr>
        <w:t>.</w:t>
      </w:r>
    </w:p>
    <w:p w:rsidR="00B25426" w:rsidRPr="00241FAC" w:rsidRDefault="00B25426" w:rsidP="00911192">
      <w:pPr>
        <w:rPr>
          <w:rFonts w:cs="Arial"/>
        </w:rPr>
      </w:pPr>
    </w:p>
    <w:p w:rsidR="00B25426" w:rsidRPr="00241FAC" w:rsidRDefault="00B25426" w:rsidP="00911192">
      <w:pPr>
        <w:rPr>
          <w:rFonts w:cs="Arial"/>
        </w:rPr>
      </w:pPr>
      <w:r w:rsidRPr="00241FAC">
        <w:rPr>
          <w:rFonts w:cs="Arial"/>
        </w:rPr>
        <w:t>En el texto de</w:t>
      </w:r>
      <w:r w:rsidR="00527EC6" w:rsidRPr="00241FAC">
        <w:rPr>
          <w:rFonts w:cs="Arial"/>
        </w:rPr>
        <w:t xml:space="preserve">l acta </w:t>
      </w:r>
      <w:r w:rsidRPr="00241FAC">
        <w:rPr>
          <w:rFonts w:cs="Arial"/>
        </w:rPr>
        <w:t xml:space="preserve">se destacan las siguientes consideraciones: </w:t>
      </w:r>
    </w:p>
    <w:p w:rsidR="003B01C0" w:rsidRPr="00241FAC" w:rsidRDefault="003B01C0" w:rsidP="00911192">
      <w:pPr>
        <w:rPr>
          <w:rFonts w:cs="Arial"/>
        </w:rPr>
      </w:pPr>
    </w:p>
    <w:p w:rsidR="00EF6B94" w:rsidRPr="00241FAC" w:rsidRDefault="004056BB" w:rsidP="004056BB">
      <w:pPr>
        <w:spacing w:line="240" w:lineRule="auto"/>
        <w:ind w:left="851" w:right="567"/>
        <w:rPr>
          <w:rFonts w:cs="Arial"/>
          <w:i/>
        </w:rPr>
      </w:pPr>
      <w:r w:rsidRPr="00241FAC">
        <w:rPr>
          <w:rFonts w:cs="Arial"/>
          <w:i/>
        </w:rPr>
        <w:t>“</w:t>
      </w:r>
      <w:r w:rsidR="003B01C0" w:rsidRPr="00241FAC">
        <w:rPr>
          <w:rFonts w:cs="Arial"/>
          <w:i/>
        </w:rPr>
        <w:t>Sobre la anterior inquietud el comit</w:t>
      </w:r>
      <w:r w:rsidR="00D33234" w:rsidRPr="00241FAC">
        <w:rPr>
          <w:rFonts w:cs="Arial"/>
          <w:i/>
        </w:rPr>
        <w:t>é</w:t>
      </w:r>
      <w:r w:rsidR="003B01C0" w:rsidRPr="00241FAC">
        <w:rPr>
          <w:rFonts w:cs="Arial"/>
          <w:i/>
        </w:rPr>
        <w:t xml:space="preserve"> ha dicho que las razones por las cuales se calific</w:t>
      </w:r>
      <w:r w:rsidR="00D33234" w:rsidRPr="00241FAC">
        <w:rPr>
          <w:rFonts w:cs="Arial"/>
          <w:i/>
        </w:rPr>
        <w:t xml:space="preserve">ó </w:t>
      </w:r>
      <w:r w:rsidR="003B01C0" w:rsidRPr="00241FAC">
        <w:rPr>
          <w:rFonts w:cs="Arial"/>
          <w:i/>
        </w:rPr>
        <w:t>la capacidad fi</w:t>
      </w:r>
      <w:r w:rsidR="00D33234" w:rsidRPr="00241FAC">
        <w:rPr>
          <w:rFonts w:cs="Arial"/>
          <w:i/>
        </w:rPr>
        <w:t>n</w:t>
      </w:r>
      <w:r w:rsidR="003B01C0" w:rsidRPr="00241FAC">
        <w:rPr>
          <w:rFonts w:cs="Arial"/>
          <w:i/>
        </w:rPr>
        <w:t xml:space="preserve">anciera con cero puntos es porque si bien es cierto en el capítulo III numeral 29 del pliego de condiciones menciona que se realizará la evaluación de la capacidad financiera con base en el </w:t>
      </w:r>
      <w:r w:rsidR="00143B6E" w:rsidRPr="00241FAC">
        <w:rPr>
          <w:rFonts w:cs="Arial"/>
          <w:i/>
        </w:rPr>
        <w:t xml:space="preserve">balance exigido, en el caso de </w:t>
      </w:r>
      <w:proofErr w:type="spellStart"/>
      <w:r w:rsidR="00143B6E" w:rsidRPr="00241FAC">
        <w:rPr>
          <w:rFonts w:cs="Arial"/>
          <w:i/>
        </w:rPr>
        <w:t>Insetel</w:t>
      </w:r>
      <w:proofErr w:type="spellEnd"/>
      <w:r w:rsidR="00143B6E" w:rsidRPr="00241FAC">
        <w:rPr>
          <w:rFonts w:cs="Arial"/>
          <w:i/>
        </w:rPr>
        <w:t xml:space="preserve"> Ltda., este no se</w:t>
      </w:r>
      <w:r w:rsidR="00D33234" w:rsidRPr="00241FAC">
        <w:rPr>
          <w:rFonts w:cs="Arial"/>
          <w:i/>
        </w:rPr>
        <w:t xml:space="preserve"> </w:t>
      </w:r>
      <w:r w:rsidR="00143B6E" w:rsidRPr="00241FAC">
        <w:rPr>
          <w:rFonts w:cs="Arial"/>
          <w:i/>
        </w:rPr>
        <w:t>tuvo en cuenta debido a las diferencias presentadas frente a la declaración de renta del año gravable de 1999 y basados en propósitos fiscales y tributarios cua</w:t>
      </w:r>
      <w:r w:rsidR="005B4D2B" w:rsidRPr="00241FAC">
        <w:rPr>
          <w:rFonts w:cs="Arial"/>
          <w:i/>
        </w:rPr>
        <w:t>n</w:t>
      </w:r>
      <w:r w:rsidR="00143B6E" w:rsidRPr="00241FAC">
        <w:rPr>
          <w:rFonts w:cs="Arial"/>
          <w:i/>
        </w:rPr>
        <w:t>do se presentan incompatibilidades entre las normas tributarias y las contables por especialidad se prefiere las tributarias; en igual fo</w:t>
      </w:r>
      <w:r w:rsidR="00D33234" w:rsidRPr="00241FAC">
        <w:rPr>
          <w:rFonts w:cs="Arial"/>
          <w:i/>
        </w:rPr>
        <w:t>r</w:t>
      </w:r>
      <w:r w:rsidR="00143B6E" w:rsidRPr="00241FAC">
        <w:rPr>
          <w:rFonts w:cs="Arial"/>
          <w:i/>
        </w:rPr>
        <w:t>ma el Régimen de procedim</w:t>
      </w:r>
      <w:r w:rsidR="00D33234" w:rsidRPr="00241FAC">
        <w:rPr>
          <w:rFonts w:cs="Arial"/>
          <w:i/>
        </w:rPr>
        <w:t>ie</w:t>
      </w:r>
      <w:r w:rsidR="00143B6E" w:rsidRPr="00241FAC">
        <w:rPr>
          <w:rFonts w:cs="Arial"/>
          <w:i/>
        </w:rPr>
        <w:t>nto Tributario art. 620, Obligaciones de Entidades de Crédito y Entidades Públicas, dice en unos ap</w:t>
      </w:r>
      <w:r w:rsidR="00D45595" w:rsidRPr="00241FAC">
        <w:rPr>
          <w:rFonts w:cs="Arial"/>
          <w:i/>
        </w:rPr>
        <w:t>a</w:t>
      </w:r>
      <w:r w:rsidR="00143B6E" w:rsidRPr="00241FAC">
        <w:rPr>
          <w:rFonts w:cs="Arial"/>
          <w:i/>
        </w:rPr>
        <w:t>rtes que para medir la capacidad económica de los contratistas las Entidades Públicas tendrán en cuenta entre otros factores los informes que aparezcan en la declaración</w:t>
      </w:r>
      <w:r w:rsidR="00D33234" w:rsidRPr="00241FAC">
        <w:rPr>
          <w:rFonts w:cs="Arial"/>
          <w:i/>
        </w:rPr>
        <w:t xml:space="preserve"> </w:t>
      </w:r>
      <w:r w:rsidR="00143B6E" w:rsidRPr="00241FAC">
        <w:rPr>
          <w:rFonts w:cs="Arial"/>
          <w:i/>
        </w:rPr>
        <w:t>de renta y complementarios correspondientes al último per</w:t>
      </w:r>
      <w:r w:rsidR="002636B7" w:rsidRPr="00241FAC">
        <w:rPr>
          <w:rFonts w:cs="Arial"/>
          <w:i/>
        </w:rPr>
        <w:t>í</w:t>
      </w:r>
      <w:r w:rsidR="00143B6E" w:rsidRPr="00241FAC">
        <w:rPr>
          <w:rFonts w:cs="Arial"/>
          <w:i/>
        </w:rPr>
        <w:t>odo gravable; además el Decreto 1584 de 15 de junio de 1994 reglamentario del Régimen de Contratación Estatal, cap</w:t>
      </w:r>
      <w:r w:rsidR="002636B7" w:rsidRPr="00241FAC">
        <w:rPr>
          <w:rFonts w:cs="Arial"/>
          <w:i/>
        </w:rPr>
        <w:t>í</w:t>
      </w:r>
      <w:r w:rsidR="00143B6E" w:rsidRPr="00241FAC">
        <w:rPr>
          <w:rFonts w:cs="Arial"/>
          <w:i/>
        </w:rPr>
        <w:t>tulo II, calificación de constructores, consultores y proveedores art. 90 procedimiento para calificar constructores numeral 30</w:t>
      </w:r>
      <w:r w:rsidR="00D45595" w:rsidRPr="00241FAC">
        <w:rPr>
          <w:rFonts w:cs="Arial"/>
          <w:i/>
        </w:rPr>
        <w:t>,</w:t>
      </w:r>
      <w:r w:rsidR="00143B6E" w:rsidRPr="00241FAC">
        <w:rPr>
          <w:rFonts w:cs="Arial"/>
          <w:i/>
        </w:rPr>
        <w:t xml:space="preserve"> la capacidad fin</w:t>
      </w:r>
      <w:r w:rsidR="00D33234" w:rsidRPr="00241FAC">
        <w:rPr>
          <w:rFonts w:cs="Arial"/>
          <w:i/>
        </w:rPr>
        <w:t>an</w:t>
      </w:r>
      <w:r w:rsidR="00143B6E" w:rsidRPr="00241FAC">
        <w:rPr>
          <w:rFonts w:cs="Arial"/>
          <w:i/>
        </w:rPr>
        <w:t>ciera se establecerá</w:t>
      </w:r>
      <w:r w:rsidR="002E22D0" w:rsidRPr="00241FAC">
        <w:rPr>
          <w:rFonts w:cs="Arial"/>
          <w:i/>
        </w:rPr>
        <w:t xml:space="preserve"> con fundamento en el patrimonio, la liquidez medida como activo corriente sobre pasivo cor</w:t>
      </w:r>
      <w:r w:rsidR="00D33234" w:rsidRPr="00241FAC">
        <w:rPr>
          <w:rFonts w:cs="Arial"/>
          <w:i/>
        </w:rPr>
        <w:t>r</w:t>
      </w:r>
      <w:r w:rsidR="002E22D0" w:rsidRPr="00241FAC">
        <w:rPr>
          <w:rFonts w:cs="Arial"/>
          <w:i/>
        </w:rPr>
        <w:t>iente y el nivel de endeudam</w:t>
      </w:r>
      <w:r w:rsidR="00D33234" w:rsidRPr="00241FAC">
        <w:rPr>
          <w:rFonts w:cs="Arial"/>
          <w:i/>
        </w:rPr>
        <w:t>iento</w:t>
      </w:r>
      <w:r w:rsidR="002E22D0" w:rsidRPr="00241FAC">
        <w:rPr>
          <w:rFonts w:cs="Arial"/>
          <w:i/>
        </w:rPr>
        <w:t xml:space="preserve"> medido como pasivo total sobre activo total con base en la última declaración de renta y el último balance comercial. En ese orden el balance de </w:t>
      </w:r>
      <w:proofErr w:type="spellStart"/>
      <w:r w:rsidR="002E22D0" w:rsidRPr="00241FAC">
        <w:rPr>
          <w:rFonts w:cs="Arial"/>
          <w:i/>
        </w:rPr>
        <w:t>Insetel</w:t>
      </w:r>
      <w:proofErr w:type="spellEnd"/>
      <w:r w:rsidR="002E22D0" w:rsidRPr="00241FAC">
        <w:rPr>
          <w:rFonts w:cs="Arial"/>
          <w:i/>
        </w:rPr>
        <w:t xml:space="preserve"> Ltda., presentó diferencias con relación a la declaración de renta, al hacer la confrontación del balance general con la declaración de renta</w:t>
      </w:r>
      <w:r w:rsidR="005378C7" w:rsidRPr="00241FAC">
        <w:rPr>
          <w:rFonts w:cs="Arial"/>
          <w:i/>
        </w:rPr>
        <w:t xml:space="preserve"> de los socios de la Unión Temporal Germán Gait</w:t>
      </w:r>
      <w:r w:rsidR="00D33234" w:rsidRPr="00241FAC">
        <w:rPr>
          <w:rFonts w:cs="Arial"/>
          <w:i/>
        </w:rPr>
        <w:t>á</w:t>
      </w:r>
      <w:r w:rsidR="005378C7" w:rsidRPr="00241FAC">
        <w:rPr>
          <w:rFonts w:cs="Arial"/>
          <w:i/>
        </w:rPr>
        <w:t xml:space="preserve">n Rodríguez y Augusto Rafael Torres Suárez no presentan diferencias, el hecho solo se cometió en </w:t>
      </w:r>
      <w:proofErr w:type="spellStart"/>
      <w:r w:rsidR="005378C7" w:rsidRPr="00241FAC">
        <w:rPr>
          <w:rFonts w:cs="Arial"/>
          <w:i/>
        </w:rPr>
        <w:t>Insetel</w:t>
      </w:r>
      <w:proofErr w:type="spellEnd"/>
      <w:r w:rsidR="005378C7" w:rsidRPr="00241FAC">
        <w:rPr>
          <w:rFonts w:cs="Arial"/>
          <w:i/>
        </w:rPr>
        <w:t xml:space="preserve">. Así mismo ha agregado el Comité, los estados financieros </w:t>
      </w:r>
      <w:r w:rsidR="00D45595" w:rsidRPr="00241FAC">
        <w:rPr>
          <w:rFonts w:cs="Arial"/>
          <w:i/>
        </w:rPr>
        <w:t xml:space="preserve">no </w:t>
      </w:r>
      <w:r w:rsidR="005378C7" w:rsidRPr="00241FAC">
        <w:rPr>
          <w:rFonts w:cs="Arial"/>
          <w:i/>
        </w:rPr>
        <w:t>están acompañados de sus notas; el balance general y el estado de resultados son estados fin</w:t>
      </w:r>
      <w:r w:rsidR="00D33234" w:rsidRPr="00241FAC">
        <w:rPr>
          <w:rFonts w:cs="Arial"/>
          <w:i/>
        </w:rPr>
        <w:t>an</w:t>
      </w:r>
      <w:r w:rsidR="005378C7" w:rsidRPr="00241FAC">
        <w:rPr>
          <w:rFonts w:cs="Arial"/>
          <w:i/>
        </w:rPr>
        <w:t xml:space="preserve">cieros y por ende deben estar acompañados de sus notas para aclarar las inconsistencias que se presentan en el balance de </w:t>
      </w:r>
      <w:proofErr w:type="spellStart"/>
      <w:r w:rsidR="005378C7" w:rsidRPr="00241FAC">
        <w:rPr>
          <w:rFonts w:cs="Arial"/>
          <w:i/>
        </w:rPr>
        <w:t>Insetel</w:t>
      </w:r>
      <w:proofErr w:type="spellEnd"/>
      <w:r w:rsidR="005378C7" w:rsidRPr="00241FAC">
        <w:rPr>
          <w:rFonts w:cs="Arial"/>
          <w:i/>
        </w:rPr>
        <w:t xml:space="preserve"> m</w:t>
      </w:r>
      <w:r w:rsidR="00C70C9D" w:rsidRPr="00241FAC">
        <w:rPr>
          <w:rFonts w:cs="Arial"/>
          <w:i/>
        </w:rPr>
        <w:t>á</w:t>
      </w:r>
      <w:r w:rsidR="005378C7" w:rsidRPr="00241FAC">
        <w:rPr>
          <w:rFonts w:cs="Arial"/>
          <w:i/>
        </w:rPr>
        <w:t>s no en los de los otros dos socios.</w:t>
      </w:r>
    </w:p>
    <w:p w:rsidR="00EF6B94" w:rsidRPr="00241FAC" w:rsidRDefault="00EF6B94" w:rsidP="00911192">
      <w:pPr>
        <w:rPr>
          <w:rFonts w:cs="Arial"/>
        </w:rPr>
      </w:pPr>
    </w:p>
    <w:p w:rsidR="00EF6B94" w:rsidRPr="00241FAC" w:rsidRDefault="00EF6B94" w:rsidP="00C70C9D">
      <w:pPr>
        <w:spacing w:line="240" w:lineRule="auto"/>
        <w:ind w:left="851" w:right="567"/>
        <w:rPr>
          <w:rFonts w:cs="Arial"/>
          <w:i/>
        </w:rPr>
      </w:pPr>
      <w:r w:rsidRPr="00241FAC">
        <w:rPr>
          <w:rFonts w:cs="Arial"/>
          <w:i/>
        </w:rPr>
        <w:t>La siguiente inquietud del contador de Co</w:t>
      </w:r>
      <w:r w:rsidR="00DD2B15" w:rsidRPr="00241FAC">
        <w:rPr>
          <w:rFonts w:cs="Arial"/>
          <w:i/>
        </w:rPr>
        <w:t>n</w:t>
      </w:r>
      <w:r w:rsidRPr="00241FAC">
        <w:rPr>
          <w:rFonts w:cs="Arial"/>
          <w:i/>
        </w:rPr>
        <w:t>struobras tiene que ver c</w:t>
      </w:r>
      <w:r w:rsidR="00DD2B15" w:rsidRPr="00241FAC">
        <w:rPr>
          <w:rFonts w:cs="Arial"/>
          <w:i/>
        </w:rPr>
        <w:t>o</w:t>
      </w:r>
      <w:r w:rsidRPr="00241FAC">
        <w:rPr>
          <w:rFonts w:cs="Arial"/>
          <w:i/>
        </w:rPr>
        <w:t>n la solicitud para que se le demuestre que el activo corriente y el pasivo corriente se puede</w:t>
      </w:r>
      <w:r w:rsidR="002636B7" w:rsidRPr="00241FAC">
        <w:rPr>
          <w:rFonts w:cs="Arial"/>
          <w:i/>
        </w:rPr>
        <w:t>[n]</w:t>
      </w:r>
      <w:r w:rsidRPr="00241FAC">
        <w:rPr>
          <w:rFonts w:cs="Arial"/>
          <w:i/>
        </w:rPr>
        <w:t xml:space="preserve"> sacar con la declaración de renta y además que le aclaren dónde dice que si existe diferencias entre la declaración de renta y los estados financieros prima la declaración de renta.</w:t>
      </w:r>
    </w:p>
    <w:p w:rsidR="00EF6B94" w:rsidRPr="00241FAC" w:rsidRDefault="00EF6B94" w:rsidP="00911192">
      <w:pPr>
        <w:rPr>
          <w:rFonts w:cs="Arial"/>
        </w:rPr>
      </w:pPr>
    </w:p>
    <w:p w:rsidR="00050EC2" w:rsidRPr="00241FAC" w:rsidRDefault="00EF6B94" w:rsidP="00C70C9D">
      <w:pPr>
        <w:spacing w:line="240" w:lineRule="auto"/>
        <w:ind w:left="851" w:right="567"/>
        <w:rPr>
          <w:rFonts w:cs="Arial"/>
          <w:i/>
        </w:rPr>
      </w:pPr>
      <w:r w:rsidRPr="00241FAC">
        <w:rPr>
          <w:rFonts w:cs="Arial"/>
          <w:i/>
        </w:rPr>
        <w:t>El Comité ha respondido que de acuerdo con lo que se dijo en la anterior respuesta</w:t>
      </w:r>
      <w:r w:rsidR="00DD2B15" w:rsidRPr="00241FAC">
        <w:rPr>
          <w:rFonts w:cs="Arial"/>
          <w:i/>
        </w:rPr>
        <w:t xml:space="preserve"> </w:t>
      </w:r>
      <w:r w:rsidRPr="00241FAC">
        <w:rPr>
          <w:rFonts w:cs="Arial"/>
          <w:i/>
        </w:rPr>
        <w:t>s</w:t>
      </w:r>
      <w:r w:rsidR="00050EC2" w:rsidRPr="00241FAC">
        <w:rPr>
          <w:rFonts w:cs="Arial"/>
          <w:i/>
        </w:rPr>
        <w:t>e han aclarado las inquietudes, P</w:t>
      </w:r>
      <w:r w:rsidR="002636B7" w:rsidRPr="00241FAC">
        <w:rPr>
          <w:rFonts w:cs="Arial"/>
          <w:i/>
        </w:rPr>
        <w:t>[p]</w:t>
      </w:r>
      <w:r w:rsidR="00050EC2" w:rsidRPr="00241FAC">
        <w:rPr>
          <w:rFonts w:cs="Arial"/>
          <w:i/>
        </w:rPr>
        <w:t>ero se informa que en el art. 136 del Decreto 2649, como se está tomando como base la parte fiscal para ese conflicto de normas, cuando se presenta incompatibilidad entre las presentes disposiciones y las de carácter tributario prevalecerán éstas últimas</w:t>
      </w:r>
      <w:r w:rsidR="00D10D1B" w:rsidRPr="00241FAC">
        <w:rPr>
          <w:rFonts w:cs="Arial"/>
          <w:i/>
        </w:rPr>
        <w:t>.</w:t>
      </w:r>
      <w:r w:rsidR="00050EC2" w:rsidRPr="00241FAC">
        <w:rPr>
          <w:rFonts w:cs="Arial"/>
          <w:i/>
        </w:rPr>
        <w:t xml:space="preserve"> Por lo anterior se concreta la decisión del comit</w:t>
      </w:r>
      <w:r w:rsidR="00D33234" w:rsidRPr="00241FAC">
        <w:rPr>
          <w:rFonts w:cs="Arial"/>
          <w:i/>
        </w:rPr>
        <w:t>é</w:t>
      </w:r>
      <w:r w:rsidR="00050EC2" w:rsidRPr="00241FAC">
        <w:rPr>
          <w:rFonts w:cs="Arial"/>
          <w:i/>
        </w:rPr>
        <w:t xml:space="preserve"> evaluador de que efectivamente para efectos de este análisis se tomó la declaración de renta así como se anotó en las leyes mencionadas.</w:t>
      </w:r>
    </w:p>
    <w:p w:rsidR="002956BD" w:rsidRPr="00241FAC" w:rsidRDefault="002956BD" w:rsidP="00C70C9D">
      <w:pPr>
        <w:spacing w:line="240" w:lineRule="auto"/>
        <w:ind w:left="851" w:right="567"/>
        <w:rPr>
          <w:rFonts w:cs="Arial"/>
          <w:i/>
        </w:rPr>
      </w:pPr>
    </w:p>
    <w:p w:rsidR="00146202" w:rsidRDefault="00050EC2" w:rsidP="0059763E">
      <w:pPr>
        <w:ind w:left="851"/>
        <w:rPr>
          <w:rFonts w:cs="Arial"/>
        </w:rPr>
      </w:pPr>
      <w:r w:rsidRPr="00241FAC">
        <w:rPr>
          <w:rFonts w:cs="Arial"/>
        </w:rPr>
        <w:t xml:space="preserve"> (…)</w:t>
      </w:r>
    </w:p>
    <w:p w:rsidR="0059763E" w:rsidRPr="00241FAC" w:rsidRDefault="0059763E" w:rsidP="0059763E">
      <w:pPr>
        <w:ind w:left="851"/>
        <w:rPr>
          <w:rFonts w:cs="Arial"/>
        </w:rPr>
      </w:pPr>
    </w:p>
    <w:p w:rsidR="003961BA" w:rsidRPr="00241FAC" w:rsidRDefault="00D41B85" w:rsidP="00E91945">
      <w:pPr>
        <w:spacing w:line="240" w:lineRule="auto"/>
        <w:ind w:left="851" w:right="567"/>
        <w:rPr>
          <w:rFonts w:cs="Arial"/>
          <w:i/>
        </w:rPr>
      </w:pPr>
      <w:r w:rsidRPr="00241FAC">
        <w:rPr>
          <w:rFonts w:cs="Arial"/>
          <w:i/>
        </w:rPr>
        <w:t xml:space="preserve">Seguidamente y </w:t>
      </w:r>
      <w:r w:rsidR="00F04AC0" w:rsidRPr="00241FAC">
        <w:rPr>
          <w:rFonts w:cs="Arial"/>
          <w:i/>
        </w:rPr>
        <w:t xml:space="preserve">para </w:t>
      </w:r>
      <w:r w:rsidRPr="00241FAC">
        <w:rPr>
          <w:rFonts w:cs="Arial"/>
          <w:i/>
        </w:rPr>
        <w:t>terminar con este punto, el Secretario lee el puntaje final de cada proponente de la siguiente manera: Consorcio El Parque, puntaje fin</w:t>
      </w:r>
      <w:r w:rsidR="002B7F95" w:rsidRPr="00241FAC">
        <w:rPr>
          <w:rFonts w:cs="Arial"/>
          <w:i/>
        </w:rPr>
        <w:t>a</w:t>
      </w:r>
      <w:r w:rsidRPr="00241FAC">
        <w:rPr>
          <w:rFonts w:cs="Arial"/>
          <w:i/>
        </w:rPr>
        <w:t>l 487 puntos; Luis E. Mayorga 667 puntos; Unión Temporal Const</w:t>
      </w:r>
      <w:r w:rsidR="00D10D1B" w:rsidRPr="00241FAC">
        <w:rPr>
          <w:rFonts w:cs="Arial"/>
          <w:i/>
        </w:rPr>
        <w:t>r</w:t>
      </w:r>
      <w:r w:rsidRPr="00241FAC">
        <w:rPr>
          <w:rFonts w:cs="Arial"/>
          <w:i/>
        </w:rPr>
        <w:t>uobras 664.9 puntos y C</w:t>
      </w:r>
      <w:r w:rsidR="002B7F95" w:rsidRPr="00241FAC">
        <w:rPr>
          <w:rFonts w:cs="Arial"/>
          <w:i/>
        </w:rPr>
        <w:t>on</w:t>
      </w:r>
      <w:r w:rsidRPr="00241FAC">
        <w:rPr>
          <w:rFonts w:cs="Arial"/>
          <w:i/>
        </w:rPr>
        <w:t>sorcio Luis E. G</w:t>
      </w:r>
      <w:r w:rsidR="00B478D7" w:rsidRPr="00241FAC">
        <w:rPr>
          <w:rFonts w:cs="Arial"/>
          <w:i/>
        </w:rPr>
        <w:t xml:space="preserve"> G</w:t>
      </w:r>
      <w:r w:rsidRPr="00241FAC">
        <w:rPr>
          <w:rFonts w:cs="Arial"/>
          <w:i/>
        </w:rPr>
        <w:t>ómez 714 puntos.</w:t>
      </w:r>
    </w:p>
    <w:p w:rsidR="003961BA" w:rsidRPr="00241FAC" w:rsidRDefault="003961BA" w:rsidP="00E91945">
      <w:pPr>
        <w:spacing w:line="240" w:lineRule="auto"/>
        <w:ind w:left="851" w:right="567"/>
        <w:rPr>
          <w:rFonts w:cs="Arial"/>
          <w:i/>
        </w:rPr>
      </w:pPr>
    </w:p>
    <w:p w:rsidR="003961BA" w:rsidRPr="00241FAC" w:rsidRDefault="003961BA" w:rsidP="00E91945">
      <w:pPr>
        <w:spacing w:line="240" w:lineRule="auto"/>
        <w:ind w:left="851" w:right="567"/>
        <w:rPr>
          <w:rFonts w:cs="Arial"/>
          <w:i/>
        </w:rPr>
      </w:pPr>
      <w:r w:rsidRPr="00241FAC">
        <w:rPr>
          <w:rFonts w:cs="Arial"/>
          <w:i/>
        </w:rPr>
        <w:t>Finalmente como último punto se procedió a efectu</w:t>
      </w:r>
      <w:r w:rsidR="002956BD" w:rsidRPr="00241FAC">
        <w:rPr>
          <w:rFonts w:cs="Arial"/>
          <w:i/>
        </w:rPr>
        <w:t>ar</w:t>
      </w:r>
      <w:r w:rsidRPr="00241FAC">
        <w:rPr>
          <w:rFonts w:cs="Arial"/>
          <w:i/>
        </w:rPr>
        <w:t xml:space="preserve"> la adjudicación de la Licitación Pública No. 01 de 2000 (…) En este orden de ideas se comparten y se respaldan los criterios del Comit</w:t>
      </w:r>
      <w:r w:rsidR="00527EC6" w:rsidRPr="00241FAC">
        <w:rPr>
          <w:rFonts w:cs="Arial"/>
          <w:i/>
        </w:rPr>
        <w:t>é</w:t>
      </w:r>
      <w:r w:rsidRPr="00241FAC">
        <w:rPr>
          <w:rFonts w:cs="Arial"/>
          <w:i/>
        </w:rPr>
        <w:t xml:space="preserve"> </w:t>
      </w:r>
      <w:proofErr w:type="spellStart"/>
      <w:r w:rsidRPr="00241FAC">
        <w:rPr>
          <w:rFonts w:cs="Arial"/>
          <w:i/>
        </w:rPr>
        <w:t>Evlauador</w:t>
      </w:r>
      <w:proofErr w:type="spellEnd"/>
      <w:r w:rsidRPr="00241FAC">
        <w:rPr>
          <w:rFonts w:cs="Arial"/>
          <w:i/>
        </w:rPr>
        <w:t xml:space="preserve"> dentro del cual no sólo numéricamente se ha demostrado que el Consorcio de Luis Eduardo Gómez </w:t>
      </w:r>
      <w:r w:rsidR="00D10D1B" w:rsidRPr="00241FAC">
        <w:rPr>
          <w:rFonts w:cs="Arial"/>
          <w:i/>
        </w:rPr>
        <w:t>R</w:t>
      </w:r>
      <w:r w:rsidRPr="00241FAC">
        <w:rPr>
          <w:rFonts w:cs="Arial"/>
          <w:i/>
        </w:rPr>
        <w:t>einoso y Otro ha obtenido el primer puntaje, sino tambi</w:t>
      </w:r>
      <w:r w:rsidR="00084943" w:rsidRPr="00241FAC">
        <w:rPr>
          <w:rFonts w:cs="Arial"/>
          <w:i/>
        </w:rPr>
        <w:t>é</w:t>
      </w:r>
      <w:r w:rsidRPr="00241FAC">
        <w:rPr>
          <w:rFonts w:cs="Arial"/>
          <w:i/>
        </w:rPr>
        <w:t>n que evaluados los otros criterios como la experiencia técnica y su capacidad financiera nos permiten tomar la determinación de adjudicar la Licitación No. 01 de 2000 al Consorcio Luis E. Gómez y otro porque obtiene el mejor puntaje y cumple otros requisitos fundamentales y esenciales para el interés público.</w:t>
      </w:r>
    </w:p>
    <w:p w:rsidR="00D10D1B" w:rsidRPr="00241FAC" w:rsidRDefault="00D10D1B" w:rsidP="00E91945">
      <w:pPr>
        <w:spacing w:line="240" w:lineRule="auto"/>
        <w:ind w:left="851" w:right="567"/>
        <w:rPr>
          <w:rFonts w:cs="Arial"/>
          <w:i/>
        </w:rPr>
      </w:pPr>
    </w:p>
    <w:p w:rsidR="00084943" w:rsidRPr="00241FAC" w:rsidRDefault="00084943" w:rsidP="00E91945">
      <w:pPr>
        <w:spacing w:line="240" w:lineRule="auto"/>
        <w:ind w:left="851" w:right="567"/>
        <w:rPr>
          <w:rFonts w:cs="Arial"/>
          <w:i/>
        </w:rPr>
      </w:pPr>
      <w:r w:rsidRPr="00241FAC">
        <w:rPr>
          <w:rFonts w:cs="Arial"/>
          <w:i/>
        </w:rPr>
        <w:t>(…)</w:t>
      </w:r>
    </w:p>
    <w:p w:rsidR="00D10D1B" w:rsidRPr="00241FAC" w:rsidRDefault="00D10D1B" w:rsidP="00E91945">
      <w:pPr>
        <w:spacing w:line="240" w:lineRule="auto"/>
        <w:ind w:left="851" w:right="567"/>
        <w:rPr>
          <w:rFonts w:cs="Arial"/>
          <w:i/>
        </w:rPr>
      </w:pPr>
    </w:p>
    <w:p w:rsidR="00084943" w:rsidRPr="00241FAC" w:rsidRDefault="00084943" w:rsidP="00E91945">
      <w:pPr>
        <w:spacing w:line="240" w:lineRule="auto"/>
        <w:ind w:left="851" w:right="567"/>
        <w:rPr>
          <w:rFonts w:cs="Arial"/>
          <w:i/>
        </w:rPr>
      </w:pPr>
      <w:r w:rsidRPr="00241FAC">
        <w:rPr>
          <w:rFonts w:cs="Arial"/>
          <w:i/>
        </w:rPr>
        <w:t>Así mismo se advierte a todos los proponentes que quedan notificados en estrados de las determinaciones adoptadas en la audiencia especial de adjudicación de la Licitación Pública No. 01 de 2000.</w:t>
      </w:r>
    </w:p>
    <w:p w:rsidR="007C65FE" w:rsidRPr="00241FAC" w:rsidRDefault="007C65FE" w:rsidP="00E91945">
      <w:pPr>
        <w:spacing w:line="240" w:lineRule="auto"/>
        <w:ind w:left="851" w:right="567"/>
        <w:rPr>
          <w:rFonts w:cs="Arial"/>
          <w:i/>
        </w:rPr>
      </w:pPr>
    </w:p>
    <w:p w:rsidR="00084943" w:rsidRPr="00241FAC" w:rsidRDefault="00911192" w:rsidP="005A514A">
      <w:pPr>
        <w:rPr>
          <w:rFonts w:cs="Arial"/>
        </w:rPr>
      </w:pPr>
      <w:r w:rsidRPr="00241FAC">
        <w:rPr>
          <w:rFonts w:cs="Arial"/>
        </w:rPr>
        <w:t xml:space="preserve">En </w:t>
      </w:r>
      <w:r w:rsidR="00084943" w:rsidRPr="00241FAC">
        <w:rPr>
          <w:rFonts w:cs="Arial"/>
        </w:rPr>
        <w:t xml:space="preserve">el anexo de Resumen General de Calificaciones </w:t>
      </w:r>
      <w:r w:rsidR="005D6EBE" w:rsidRPr="00241FAC">
        <w:rPr>
          <w:rFonts w:cs="Arial"/>
        </w:rPr>
        <w:t xml:space="preserve">(folio 21, cuaderno 1) </w:t>
      </w:r>
      <w:r w:rsidR="00084943" w:rsidRPr="00241FAC">
        <w:rPr>
          <w:rFonts w:cs="Arial"/>
        </w:rPr>
        <w:t>se observa la siguiente asignación de puntajes</w:t>
      </w:r>
      <w:r w:rsidR="00F04AC0" w:rsidRPr="00241FAC">
        <w:rPr>
          <w:rFonts w:cs="Arial"/>
        </w:rPr>
        <w:t xml:space="preserve"> totales</w:t>
      </w:r>
      <w:r w:rsidR="00084943" w:rsidRPr="00241FAC">
        <w:rPr>
          <w:rFonts w:cs="Arial"/>
        </w:rPr>
        <w:t>:</w:t>
      </w:r>
    </w:p>
    <w:p w:rsidR="00E91945" w:rsidRPr="00241FAC" w:rsidRDefault="00E91945" w:rsidP="005A514A">
      <w:pPr>
        <w:rPr>
          <w:rFonts w:cs="Arial"/>
        </w:rPr>
      </w:pPr>
    </w:p>
    <w:tbl>
      <w:tblPr>
        <w:tblStyle w:val="Tablaconcuadrcula"/>
        <w:tblW w:w="0" w:type="auto"/>
        <w:tblLook w:val="04A0" w:firstRow="1" w:lastRow="0" w:firstColumn="1" w:lastColumn="0" w:noHBand="0" w:noVBand="1"/>
      </w:tblPr>
      <w:tblGrid>
        <w:gridCol w:w="1289"/>
        <w:gridCol w:w="1297"/>
        <w:gridCol w:w="1150"/>
        <w:gridCol w:w="2326"/>
        <w:gridCol w:w="2659"/>
      </w:tblGrid>
      <w:tr w:rsidR="003C6089" w:rsidRPr="00241FAC" w:rsidTr="00B478D7">
        <w:tc>
          <w:tcPr>
            <w:tcW w:w="1289" w:type="dxa"/>
          </w:tcPr>
          <w:p w:rsidR="003C6089" w:rsidRPr="00241FAC" w:rsidRDefault="003C6089" w:rsidP="005A514A">
            <w:pPr>
              <w:rPr>
                <w:rFonts w:cs="Arial"/>
              </w:rPr>
            </w:pPr>
            <w:r w:rsidRPr="00241FAC">
              <w:rPr>
                <w:rFonts w:cs="Arial"/>
              </w:rPr>
              <w:t xml:space="preserve">Concepto </w:t>
            </w:r>
          </w:p>
        </w:tc>
        <w:tc>
          <w:tcPr>
            <w:tcW w:w="1297" w:type="dxa"/>
          </w:tcPr>
          <w:p w:rsidR="003C6089" w:rsidRPr="00241FAC" w:rsidRDefault="003C6089" w:rsidP="005A514A">
            <w:pPr>
              <w:rPr>
                <w:rFonts w:cs="Arial"/>
              </w:rPr>
            </w:pPr>
            <w:r w:rsidRPr="00241FAC">
              <w:rPr>
                <w:rFonts w:cs="Arial"/>
              </w:rPr>
              <w:t>A</w:t>
            </w:r>
          </w:p>
          <w:p w:rsidR="00B478D7" w:rsidRPr="00241FAC" w:rsidRDefault="00B478D7" w:rsidP="005A514A">
            <w:pPr>
              <w:rPr>
                <w:rFonts w:cs="Arial"/>
              </w:rPr>
            </w:pPr>
            <w:r w:rsidRPr="00241FAC">
              <w:rPr>
                <w:rFonts w:cs="Arial"/>
              </w:rPr>
              <w:t>Consorcio El Parque</w:t>
            </w:r>
          </w:p>
        </w:tc>
        <w:tc>
          <w:tcPr>
            <w:tcW w:w="1150" w:type="dxa"/>
          </w:tcPr>
          <w:p w:rsidR="003C6089" w:rsidRPr="00241FAC" w:rsidRDefault="003C6089" w:rsidP="005A514A">
            <w:pPr>
              <w:rPr>
                <w:rFonts w:cs="Arial"/>
              </w:rPr>
            </w:pPr>
            <w:r w:rsidRPr="00241FAC">
              <w:rPr>
                <w:rFonts w:cs="Arial"/>
              </w:rPr>
              <w:t>B</w:t>
            </w:r>
          </w:p>
          <w:p w:rsidR="00B478D7" w:rsidRPr="00241FAC" w:rsidRDefault="00B478D7" w:rsidP="005A514A">
            <w:pPr>
              <w:rPr>
                <w:rFonts w:cs="Arial"/>
              </w:rPr>
            </w:pPr>
            <w:r w:rsidRPr="00241FAC">
              <w:rPr>
                <w:rFonts w:cs="Arial"/>
              </w:rPr>
              <w:t>Luis E. Mayorga</w:t>
            </w:r>
          </w:p>
        </w:tc>
        <w:tc>
          <w:tcPr>
            <w:tcW w:w="2326" w:type="dxa"/>
          </w:tcPr>
          <w:p w:rsidR="003C6089" w:rsidRPr="00241FAC" w:rsidRDefault="003C6089" w:rsidP="005A514A">
            <w:pPr>
              <w:rPr>
                <w:rFonts w:cs="Arial"/>
              </w:rPr>
            </w:pPr>
            <w:r w:rsidRPr="00241FAC">
              <w:rPr>
                <w:rFonts w:cs="Arial"/>
              </w:rPr>
              <w:t>C</w:t>
            </w:r>
          </w:p>
          <w:p w:rsidR="00B478D7" w:rsidRPr="00241FAC" w:rsidRDefault="00B478D7" w:rsidP="005A514A">
            <w:pPr>
              <w:rPr>
                <w:rFonts w:cs="Arial"/>
              </w:rPr>
            </w:pPr>
            <w:r w:rsidRPr="00241FAC">
              <w:rPr>
                <w:rFonts w:cs="Arial"/>
              </w:rPr>
              <w:t>Unión Temporal Const</w:t>
            </w:r>
            <w:r w:rsidR="005D6EBE" w:rsidRPr="00241FAC">
              <w:rPr>
                <w:rFonts w:cs="Arial"/>
              </w:rPr>
              <w:t>r</w:t>
            </w:r>
            <w:r w:rsidRPr="00241FAC">
              <w:rPr>
                <w:rFonts w:cs="Arial"/>
              </w:rPr>
              <w:t>uobras</w:t>
            </w:r>
          </w:p>
        </w:tc>
        <w:tc>
          <w:tcPr>
            <w:tcW w:w="2659" w:type="dxa"/>
          </w:tcPr>
          <w:p w:rsidR="003C6089" w:rsidRPr="00241FAC" w:rsidRDefault="003C6089" w:rsidP="005A514A">
            <w:pPr>
              <w:rPr>
                <w:rFonts w:cs="Arial"/>
              </w:rPr>
            </w:pPr>
            <w:r w:rsidRPr="00241FAC">
              <w:rPr>
                <w:rFonts w:cs="Arial"/>
              </w:rPr>
              <w:t>D</w:t>
            </w:r>
          </w:p>
          <w:p w:rsidR="00B478D7" w:rsidRPr="00241FAC" w:rsidRDefault="00B478D7" w:rsidP="005A514A">
            <w:pPr>
              <w:rPr>
                <w:rFonts w:cs="Arial"/>
              </w:rPr>
            </w:pPr>
            <w:r w:rsidRPr="00241FAC">
              <w:rPr>
                <w:rFonts w:cs="Arial"/>
              </w:rPr>
              <w:t>Consorcio Luis E. Gómez y otro</w:t>
            </w:r>
          </w:p>
        </w:tc>
      </w:tr>
      <w:tr w:rsidR="003C6089" w:rsidRPr="00241FAC" w:rsidTr="00B478D7">
        <w:tc>
          <w:tcPr>
            <w:tcW w:w="1289" w:type="dxa"/>
          </w:tcPr>
          <w:p w:rsidR="003C6089" w:rsidRPr="00241FAC" w:rsidRDefault="003C6089" w:rsidP="005A514A">
            <w:pPr>
              <w:rPr>
                <w:rFonts w:cs="Arial"/>
              </w:rPr>
            </w:pPr>
            <w:r w:rsidRPr="00241FAC">
              <w:rPr>
                <w:rFonts w:cs="Arial"/>
              </w:rPr>
              <w:t xml:space="preserve">Nivel 1 </w:t>
            </w:r>
          </w:p>
        </w:tc>
        <w:tc>
          <w:tcPr>
            <w:tcW w:w="1297" w:type="dxa"/>
          </w:tcPr>
          <w:p w:rsidR="003C6089" w:rsidRPr="00241FAC" w:rsidRDefault="003C6089" w:rsidP="001263EB">
            <w:pPr>
              <w:jc w:val="right"/>
              <w:rPr>
                <w:rFonts w:cs="Arial"/>
              </w:rPr>
            </w:pPr>
            <w:r w:rsidRPr="00241FAC">
              <w:rPr>
                <w:rFonts w:cs="Arial"/>
              </w:rPr>
              <w:t>10</w:t>
            </w:r>
          </w:p>
        </w:tc>
        <w:tc>
          <w:tcPr>
            <w:tcW w:w="1150" w:type="dxa"/>
          </w:tcPr>
          <w:p w:rsidR="003C6089" w:rsidRPr="00241FAC" w:rsidRDefault="003C6089" w:rsidP="001263EB">
            <w:pPr>
              <w:jc w:val="right"/>
              <w:rPr>
                <w:rFonts w:cs="Arial"/>
              </w:rPr>
            </w:pPr>
            <w:r w:rsidRPr="00241FAC">
              <w:rPr>
                <w:rFonts w:cs="Arial"/>
              </w:rPr>
              <w:t>0</w:t>
            </w:r>
          </w:p>
        </w:tc>
        <w:tc>
          <w:tcPr>
            <w:tcW w:w="2326" w:type="dxa"/>
          </w:tcPr>
          <w:p w:rsidR="003C6089" w:rsidRPr="00241FAC" w:rsidRDefault="003C6089" w:rsidP="001263EB">
            <w:pPr>
              <w:jc w:val="right"/>
              <w:rPr>
                <w:rFonts w:cs="Arial"/>
              </w:rPr>
            </w:pPr>
            <w:r w:rsidRPr="00241FAC">
              <w:rPr>
                <w:rFonts w:cs="Arial"/>
              </w:rPr>
              <w:t>30</w:t>
            </w:r>
          </w:p>
        </w:tc>
        <w:tc>
          <w:tcPr>
            <w:tcW w:w="2659" w:type="dxa"/>
          </w:tcPr>
          <w:p w:rsidR="003C6089" w:rsidRPr="00241FAC" w:rsidRDefault="003C6089" w:rsidP="001263EB">
            <w:pPr>
              <w:jc w:val="right"/>
              <w:rPr>
                <w:rFonts w:cs="Arial"/>
              </w:rPr>
            </w:pPr>
            <w:r w:rsidRPr="00241FAC">
              <w:rPr>
                <w:rFonts w:cs="Arial"/>
              </w:rPr>
              <w:t>20</w:t>
            </w:r>
          </w:p>
        </w:tc>
      </w:tr>
      <w:tr w:rsidR="003C6089" w:rsidRPr="00241FAC" w:rsidTr="00B478D7">
        <w:tc>
          <w:tcPr>
            <w:tcW w:w="1289" w:type="dxa"/>
          </w:tcPr>
          <w:p w:rsidR="003C6089" w:rsidRPr="00241FAC" w:rsidRDefault="003C6089" w:rsidP="003C6089">
            <w:pPr>
              <w:rPr>
                <w:rFonts w:cs="Arial"/>
              </w:rPr>
            </w:pPr>
            <w:r w:rsidRPr="00241FAC">
              <w:rPr>
                <w:rFonts w:cs="Arial"/>
              </w:rPr>
              <w:t>Nivel 2</w:t>
            </w:r>
          </w:p>
        </w:tc>
        <w:tc>
          <w:tcPr>
            <w:tcW w:w="1297" w:type="dxa"/>
          </w:tcPr>
          <w:p w:rsidR="003C6089" w:rsidRPr="00241FAC" w:rsidRDefault="003C6089" w:rsidP="001263EB">
            <w:pPr>
              <w:jc w:val="right"/>
              <w:rPr>
                <w:rFonts w:cs="Arial"/>
              </w:rPr>
            </w:pPr>
            <w:r w:rsidRPr="00241FAC">
              <w:rPr>
                <w:rFonts w:cs="Arial"/>
              </w:rPr>
              <w:t>0</w:t>
            </w:r>
          </w:p>
        </w:tc>
        <w:tc>
          <w:tcPr>
            <w:tcW w:w="1150" w:type="dxa"/>
          </w:tcPr>
          <w:p w:rsidR="003C6089" w:rsidRPr="00241FAC" w:rsidRDefault="003C6089" w:rsidP="001263EB">
            <w:pPr>
              <w:jc w:val="right"/>
              <w:rPr>
                <w:rFonts w:cs="Arial"/>
              </w:rPr>
            </w:pPr>
            <w:r w:rsidRPr="00241FAC">
              <w:rPr>
                <w:rFonts w:cs="Arial"/>
              </w:rPr>
              <w:t>60</w:t>
            </w:r>
          </w:p>
        </w:tc>
        <w:tc>
          <w:tcPr>
            <w:tcW w:w="2326" w:type="dxa"/>
          </w:tcPr>
          <w:p w:rsidR="003C6089" w:rsidRPr="00241FAC" w:rsidRDefault="003C6089" w:rsidP="001263EB">
            <w:pPr>
              <w:jc w:val="right"/>
              <w:rPr>
                <w:rFonts w:cs="Arial"/>
              </w:rPr>
            </w:pPr>
            <w:r w:rsidRPr="00241FAC">
              <w:rPr>
                <w:rFonts w:cs="Arial"/>
              </w:rPr>
              <w:t>170</w:t>
            </w:r>
          </w:p>
        </w:tc>
        <w:tc>
          <w:tcPr>
            <w:tcW w:w="2659" w:type="dxa"/>
          </w:tcPr>
          <w:p w:rsidR="003C6089" w:rsidRPr="00241FAC" w:rsidRDefault="003C6089" w:rsidP="001263EB">
            <w:pPr>
              <w:jc w:val="right"/>
              <w:rPr>
                <w:rFonts w:cs="Arial"/>
              </w:rPr>
            </w:pPr>
            <w:r w:rsidRPr="00241FAC">
              <w:rPr>
                <w:rFonts w:cs="Arial"/>
              </w:rPr>
              <w:t>120</w:t>
            </w:r>
          </w:p>
        </w:tc>
      </w:tr>
      <w:tr w:rsidR="003C6089" w:rsidRPr="00241FAC" w:rsidTr="00B478D7">
        <w:tc>
          <w:tcPr>
            <w:tcW w:w="1289" w:type="dxa"/>
          </w:tcPr>
          <w:p w:rsidR="003C6089" w:rsidRPr="00241FAC" w:rsidRDefault="003C6089" w:rsidP="005A514A">
            <w:pPr>
              <w:rPr>
                <w:rFonts w:cs="Arial"/>
              </w:rPr>
            </w:pPr>
            <w:r w:rsidRPr="00241FAC">
              <w:rPr>
                <w:rFonts w:cs="Arial"/>
              </w:rPr>
              <w:t>Nivel 3</w:t>
            </w:r>
          </w:p>
        </w:tc>
        <w:tc>
          <w:tcPr>
            <w:tcW w:w="1297" w:type="dxa"/>
          </w:tcPr>
          <w:p w:rsidR="003C6089" w:rsidRPr="00241FAC" w:rsidRDefault="003C6089" w:rsidP="001263EB">
            <w:pPr>
              <w:jc w:val="right"/>
              <w:rPr>
                <w:rFonts w:cs="Arial"/>
              </w:rPr>
            </w:pPr>
            <w:r w:rsidRPr="00241FAC">
              <w:rPr>
                <w:rFonts w:cs="Arial"/>
              </w:rPr>
              <w:t>35</w:t>
            </w:r>
          </w:p>
        </w:tc>
        <w:tc>
          <w:tcPr>
            <w:tcW w:w="1150" w:type="dxa"/>
          </w:tcPr>
          <w:p w:rsidR="003C6089" w:rsidRPr="00241FAC" w:rsidRDefault="003C6089" w:rsidP="001263EB">
            <w:pPr>
              <w:jc w:val="right"/>
              <w:rPr>
                <w:rFonts w:cs="Arial"/>
              </w:rPr>
            </w:pPr>
            <w:r w:rsidRPr="00241FAC">
              <w:rPr>
                <w:rFonts w:cs="Arial"/>
              </w:rPr>
              <w:t>60</w:t>
            </w:r>
          </w:p>
        </w:tc>
        <w:tc>
          <w:tcPr>
            <w:tcW w:w="2326" w:type="dxa"/>
          </w:tcPr>
          <w:p w:rsidR="003C6089" w:rsidRPr="00241FAC" w:rsidRDefault="003C6089" w:rsidP="001263EB">
            <w:pPr>
              <w:jc w:val="right"/>
              <w:rPr>
                <w:rFonts w:cs="Arial"/>
              </w:rPr>
            </w:pPr>
            <w:r w:rsidRPr="00241FAC">
              <w:rPr>
                <w:rFonts w:cs="Arial"/>
              </w:rPr>
              <w:t>84.9</w:t>
            </w:r>
          </w:p>
        </w:tc>
        <w:tc>
          <w:tcPr>
            <w:tcW w:w="2659" w:type="dxa"/>
          </w:tcPr>
          <w:p w:rsidR="003C6089" w:rsidRPr="00241FAC" w:rsidRDefault="003C6089" w:rsidP="001263EB">
            <w:pPr>
              <w:jc w:val="right"/>
              <w:rPr>
                <w:rFonts w:cs="Arial"/>
              </w:rPr>
            </w:pPr>
            <w:r w:rsidRPr="00241FAC">
              <w:rPr>
                <w:rFonts w:cs="Arial"/>
              </w:rPr>
              <w:t>85</w:t>
            </w:r>
          </w:p>
        </w:tc>
      </w:tr>
      <w:tr w:rsidR="003C6089" w:rsidRPr="00241FAC" w:rsidTr="00B478D7">
        <w:tc>
          <w:tcPr>
            <w:tcW w:w="1289" w:type="dxa"/>
          </w:tcPr>
          <w:p w:rsidR="003C6089" w:rsidRPr="00241FAC" w:rsidRDefault="003C6089" w:rsidP="005A514A">
            <w:pPr>
              <w:rPr>
                <w:rFonts w:cs="Arial"/>
              </w:rPr>
            </w:pPr>
            <w:r w:rsidRPr="00241FAC">
              <w:rPr>
                <w:rFonts w:cs="Arial"/>
              </w:rPr>
              <w:t>Nivel 4</w:t>
            </w:r>
          </w:p>
        </w:tc>
        <w:tc>
          <w:tcPr>
            <w:tcW w:w="1297" w:type="dxa"/>
          </w:tcPr>
          <w:p w:rsidR="003C6089" w:rsidRPr="00241FAC" w:rsidRDefault="003C6089" w:rsidP="001263EB">
            <w:pPr>
              <w:jc w:val="right"/>
              <w:rPr>
                <w:rFonts w:cs="Arial"/>
              </w:rPr>
            </w:pPr>
            <w:r w:rsidRPr="00241FAC">
              <w:rPr>
                <w:rFonts w:cs="Arial"/>
              </w:rPr>
              <w:t>87</w:t>
            </w:r>
          </w:p>
        </w:tc>
        <w:tc>
          <w:tcPr>
            <w:tcW w:w="1150" w:type="dxa"/>
          </w:tcPr>
          <w:p w:rsidR="003C6089" w:rsidRPr="00241FAC" w:rsidRDefault="003C6089" w:rsidP="001263EB">
            <w:pPr>
              <w:jc w:val="right"/>
              <w:rPr>
                <w:rFonts w:cs="Arial"/>
              </w:rPr>
            </w:pPr>
            <w:r w:rsidRPr="00241FAC">
              <w:rPr>
                <w:rFonts w:cs="Arial"/>
              </w:rPr>
              <w:t>145</w:t>
            </w:r>
          </w:p>
        </w:tc>
        <w:tc>
          <w:tcPr>
            <w:tcW w:w="2326" w:type="dxa"/>
          </w:tcPr>
          <w:p w:rsidR="003C6089" w:rsidRPr="00241FAC" w:rsidRDefault="003C6089" w:rsidP="001263EB">
            <w:pPr>
              <w:jc w:val="right"/>
              <w:rPr>
                <w:rFonts w:cs="Arial"/>
              </w:rPr>
            </w:pPr>
            <w:r w:rsidRPr="00241FAC">
              <w:rPr>
                <w:rFonts w:cs="Arial"/>
              </w:rPr>
              <w:t>160</w:t>
            </w:r>
          </w:p>
        </w:tc>
        <w:tc>
          <w:tcPr>
            <w:tcW w:w="2659" w:type="dxa"/>
          </w:tcPr>
          <w:p w:rsidR="003C6089" w:rsidRPr="00241FAC" w:rsidRDefault="003C6089" w:rsidP="001263EB">
            <w:pPr>
              <w:jc w:val="right"/>
              <w:rPr>
                <w:rFonts w:cs="Arial"/>
              </w:rPr>
            </w:pPr>
            <w:r w:rsidRPr="00241FAC">
              <w:rPr>
                <w:rFonts w:cs="Arial"/>
              </w:rPr>
              <w:t>139</w:t>
            </w:r>
          </w:p>
        </w:tc>
      </w:tr>
      <w:tr w:rsidR="003C6089" w:rsidRPr="00241FAC" w:rsidTr="00B478D7">
        <w:tc>
          <w:tcPr>
            <w:tcW w:w="1289" w:type="dxa"/>
          </w:tcPr>
          <w:p w:rsidR="003C6089" w:rsidRPr="00241FAC" w:rsidRDefault="003C6089" w:rsidP="005A514A">
            <w:pPr>
              <w:rPr>
                <w:rFonts w:cs="Arial"/>
              </w:rPr>
            </w:pPr>
            <w:r w:rsidRPr="00241FAC">
              <w:rPr>
                <w:rFonts w:cs="Arial"/>
              </w:rPr>
              <w:t>Nivel</w:t>
            </w:r>
            <w:r w:rsidR="002B7F95" w:rsidRPr="00241FAC">
              <w:rPr>
                <w:rFonts w:cs="Arial"/>
              </w:rPr>
              <w:t xml:space="preserve"> </w:t>
            </w:r>
            <w:r w:rsidRPr="00241FAC">
              <w:rPr>
                <w:rFonts w:cs="Arial"/>
              </w:rPr>
              <w:t>5</w:t>
            </w:r>
          </w:p>
        </w:tc>
        <w:tc>
          <w:tcPr>
            <w:tcW w:w="1297" w:type="dxa"/>
          </w:tcPr>
          <w:p w:rsidR="003C6089" w:rsidRPr="00241FAC" w:rsidRDefault="003C6089" w:rsidP="001263EB">
            <w:pPr>
              <w:jc w:val="right"/>
              <w:rPr>
                <w:rFonts w:cs="Arial"/>
              </w:rPr>
            </w:pPr>
            <w:r w:rsidRPr="00241FAC">
              <w:rPr>
                <w:rFonts w:cs="Arial"/>
              </w:rPr>
              <w:t>75</w:t>
            </w:r>
          </w:p>
        </w:tc>
        <w:tc>
          <w:tcPr>
            <w:tcW w:w="1150" w:type="dxa"/>
          </w:tcPr>
          <w:p w:rsidR="003C6089" w:rsidRPr="00241FAC" w:rsidRDefault="003C6089" w:rsidP="001263EB">
            <w:pPr>
              <w:jc w:val="right"/>
              <w:rPr>
                <w:rFonts w:cs="Arial"/>
              </w:rPr>
            </w:pPr>
            <w:r w:rsidRPr="00241FAC">
              <w:rPr>
                <w:rFonts w:cs="Arial"/>
              </w:rPr>
              <w:t>72</w:t>
            </w:r>
          </w:p>
        </w:tc>
        <w:tc>
          <w:tcPr>
            <w:tcW w:w="2326" w:type="dxa"/>
          </w:tcPr>
          <w:p w:rsidR="003C6089" w:rsidRPr="00241FAC" w:rsidRDefault="002B7F95" w:rsidP="001263EB">
            <w:pPr>
              <w:jc w:val="right"/>
              <w:rPr>
                <w:rFonts w:cs="Arial"/>
              </w:rPr>
            </w:pPr>
            <w:r w:rsidRPr="00241FAC">
              <w:rPr>
                <w:rFonts w:cs="Arial"/>
              </w:rPr>
              <w:t>80</w:t>
            </w:r>
          </w:p>
        </w:tc>
        <w:tc>
          <w:tcPr>
            <w:tcW w:w="2659" w:type="dxa"/>
          </w:tcPr>
          <w:p w:rsidR="003C6089" w:rsidRPr="00241FAC" w:rsidRDefault="002B7F95" w:rsidP="001263EB">
            <w:pPr>
              <w:jc w:val="right"/>
              <w:rPr>
                <w:rFonts w:cs="Arial"/>
              </w:rPr>
            </w:pPr>
            <w:r w:rsidRPr="00241FAC">
              <w:rPr>
                <w:rFonts w:cs="Arial"/>
              </w:rPr>
              <w:t>120</w:t>
            </w:r>
          </w:p>
        </w:tc>
      </w:tr>
      <w:tr w:rsidR="003C6089" w:rsidRPr="00241FAC" w:rsidTr="00B478D7">
        <w:tc>
          <w:tcPr>
            <w:tcW w:w="1289" w:type="dxa"/>
          </w:tcPr>
          <w:p w:rsidR="003C6089" w:rsidRPr="00241FAC" w:rsidRDefault="002B7F95" w:rsidP="005A514A">
            <w:pPr>
              <w:rPr>
                <w:rFonts w:cs="Arial"/>
              </w:rPr>
            </w:pPr>
            <w:r w:rsidRPr="00241FAC">
              <w:rPr>
                <w:rFonts w:cs="Arial"/>
              </w:rPr>
              <w:lastRenderedPageBreak/>
              <w:t>Nivel 6</w:t>
            </w:r>
          </w:p>
        </w:tc>
        <w:tc>
          <w:tcPr>
            <w:tcW w:w="1297" w:type="dxa"/>
          </w:tcPr>
          <w:p w:rsidR="003C6089" w:rsidRPr="00241FAC" w:rsidRDefault="002B7F95" w:rsidP="001263EB">
            <w:pPr>
              <w:jc w:val="right"/>
              <w:rPr>
                <w:rFonts w:cs="Arial"/>
              </w:rPr>
            </w:pPr>
            <w:r w:rsidRPr="00241FAC">
              <w:rPr>
                <w:rFonts w:cs="Arial"/>
              </w:rPr>
              <w:t>140</w:t>
            </w:r>
          </w:p>
        </w:tc>
        <w:tc>
          <w:tcPr>
            <w:tcW w:w="1150" w:type="dxa"/>
          </w:tcPr>
          <w:p w:rsidR="003C6089" w:rsidRPr="00241FAC" w:rsidRDefault="002B7F95" w:rsidP="001263EB">
            <w:pPr>
              <w:jc w:val="right"/>
              <w:rPr>
                <w:rFonts w:cs="Arial"/>
              </w:rPr>
            </w:pPr>
            <w:r w:rsidRPr="00241FAC">
              <w:rPr>
                <w:rFonts w:cs="Arial"/>
              </w:rPr>
              <w:t>150</w:t>
            </w:r>
          </w:p>
        </w:tc>
        <w:tc>
          <w:tcPr>
            <w:tcW w:w="2326" w:type="dxa"/>
          </w:tcPr>
          <w:p w:rsidR="003C6089" w:rsidRPr="00241FAC" w:rsidRDefault="002B7F95" w:rsidP="001263EB">
            <w:pPr>
              <w:jc w:val="right"/>
              <w:rPr>
                <w:rFonts w:cs="Arial"/>
              </w:rPr>
            </w:pPr>
            <w:r w:rsidRPr="00241FAC">
              <w:rPr>
                <w:rFonts w:cs="Arial"/>
              </w:rPr>
              <w:t>140</w:t>
            </w:r>
          </w:p>
        </w:tc>
        <w:tc>
          <w:tcPr>
            <w:tcW w:w="2659" w:type="dxa"/>
          </w:tcPr>
          <w:p w:rsidR="003C6089" w:rsidRPr="00241FAC" w:rsidRDefault="002B7F95" w:rsidP="001263EB">
            <w:pPr>
              <w:jc w:val="right"/>
              <w:rPr>
                <w:rFonts w:cs="Arial"/>
              </w:rPr>
            </w:pPr>
            <w:r w:rsidRPr="00241FAC">
              <w:rPr>
                <w:rFonts w:cs="Arial"/>
              </w:rPr>
              <w:t>40</w:t>
            </w:r>
          </w:p>
        </w:tc>
      </w:tr>
      <w:tr w:rsidR="002B7F95" w:rsidRPr="00241FAC" w:rsidTr="00B478D7">
        <w:tc>
          <w:tcPr>
            <w:tcW w:w="1289" w:type="dxa"/>
          </w:tcPr>
          <w:p w:rsidR="002B7F95" w:rsidRPr="00241FAC" w:rsidRDefault="002B7F95" w:rsidP="005A514A">
            <w:pPr>
              <w:rPr>
                <w:rFonts w:cs="Arial"/>
              </w:rPr>
            </w:pPr>
            <w:r w:rsidRPr="00241FAC">
              <w:rPr>
                <w:rFonts w:cs="Arial"/>
              </w:rPr>
              <w:t>Nivel 7</w:t>
            </w:r>
          </w:p>
        </w:tc>
        <w:tc>
          <w:tcPr>
            <w:tcW w:w="1297" w:type="dxa"/>
          </w:tcPr>
          <w:p w:rsidR="002B7F95" w:rsidRPr="00241FAC" w:rsidRDefault="002B7F95" w:rsidP="001263EB">
            <w:pPr>
              <w:jc w:val="right"/>
              <w:rPr>
                <w:rFonts w:cs="Arial"/>
              </w:rPr>
            </w:pPr>
            <w:r w:rsidRPr="00241FAC">
              <w:rPr>
                <w:rFonts w:cs="Arial"/>
              </w:rPr>
              <w:t>140</w:t>
            </w:r>
          </w:p>
        </w:tc>
        <w:tc>
          <w:tcPr>
            <w:tcW w:w="1150" w:type="dxa"/>
          </w:tcPr>
          <w:p w:rsidR="002B7F95" w:rsidRPr="00241FAC" w:rsidRDefault="002B7F95" w:rsidP="001263EB">
            <w:pPr>
              <w:jc w:val="right"/>
              <w:rPr>
                <w:rFonts w:cs="Arial"/>
              </w:rPr>
            </w:pPr>
            <w:r w:rsidRPr="00241FAC">
              <w:rPr>
                <w:rFonts w:cs="Arial"/>
              </w:rPr>
              <w:t>180</w:t>
            </w:r>
          </w:p>
        </w:tc>
        <w:tc>
          <w:tcPr>
            <w:tcW w:w="2326" w:type="dxa"/>
          </w:tcPr>
          <w:p w:rsidR="002B7F95" w:rsidRPr="00241FAC" w:rsidRDefault="002B7F95" w:rsidP="001263EB">
            <w:pPr>
              <w:jc w:val="right"/>
              <w:rPr>
                <w:rFonts w:cs="Arial"/>
              </w:rPr>
            </w:pPr>
            <w:r w:rsidRPr="00241FAC">
              <w:rPr>
                <w:rFonts w:cs="Arial"/>
              </w:rPr>
              <w:t>0</w:t>
            </w:r>
          </w:p>
        </w:tc>
        <w:tc>
          <w:tcPr>
            <w:tcW w:w="2659" w:type="dxa"/>
          </w:tcPr>
          <w:p w:rsidR="002B7F95" w:rsidRPr="00241FAC" w:rsidRDefault="002B7F95" w:rsidP="001263EB">
            <w:pPr>
              <w:jc w:val="right"/>
              <w:rPr>
                <w:rFonts w:cs="Arial"/>
              </w:rPr>
            </w:pPr>
            <w:r w:rsidRPr="00241FAC">
              <w:rPr>
                <w:rFonts w:cs="Arial"/>
              </w:rPr>
              <w:t>190</w:t>
            </w:r>
          </w:p>
        </w:tc>
      </w:tr>
      <w:tr w:rsidR="002B7F95" w:rsidRPr="00241FAC" w:rsidTr="00B478D7">
        <w:tc>
          <w:tcPr>
            <w:tcW w:w="1289" w:type="dxa"/>
          </w:tcPr>
          <w:p w:rsidR="002B7F95" w:rsidRPr="00241FAC" w:rsidRDefault="002B7F95" w:rsidP="005D6EBE">
            <w:pPr>
              <w:rPr>
                <w:rFonts w:cs="Arial"/>
                <w:b/>
              </w:rPr>
            </w:pPr>
            <w:r w:rsidRPr="00241FAC">
              <w:rPr>
                <w:rFonts w:cs="Arial"/>
                <w:b/>
              </w:rPr>
              <w:t xml:space="preserve">Gran </w:t>
            </w:r>
            <w:r w:rsidR="005D6EBE" w:rsidRPr="00241FAC">
              <w:rPr>
                <w:rFonts w:cs="Arial"/>
                <w:b/>
              </w:rPr>
              <w:t>T</w:t>
            </w:r>
            <w:r w:rsidRPr="00241FAC">
              <w:rPr>
                <w:rFonts w:cs="Arial"/>
                <w:b/>
              </w:rPr>
              <w:t>otal</w:t>
            </w:r>
          </w:p>
        </w:tc>
        <w:tc>
          <w:tcPr>
            <w:tcW w:w="1297" w:type="dxa"/>
          </w:tcPr>
          <w:p w:rsidR="002B7F95" w:rsidRPr="00241FAC" w:rsidRDefault="002B7F95" w:rsidP="001263EB">
            <w:pPr>
              <w:jc w:val="right"/>
              <w:rPr>
                <w:rFonts w:cs="Arial"/>
                <w:b/>
              </w:rPr>
            </w:pPr>
            <w:r w:rsidRPr="00241FAC">
              <w:rPr>
                <w:rFonts w:cs="Arial"/>
                <w:b/>
              </w:rPr>
              <w:t>487</w:t>
            </w:r>
          </w:p>
        </w:tc>
        <w:tc>
          <w:tcPr>
            <w:tcW w:w="1150" w:type="dxa"/>
          </w:tcPr>
          <w:p w:rsidR="002B7F95" w:rsidRPr="00241FAC" w:rsidRDefault="002B7F95" w:rsidP="001263EB">
            <w:pPr>
              <w:jc w:val="right"/>
              <w:rPr>
                <w:rFonts w:cs="Arial"/>
                <w:b/>
              </w:rPr>
            </w:pPr>
            <w:r w:rsidRPr="00241FAC">
              <w:rPr>
                <w:rFonts w:cs="Arial"/>
                <w:b/>
              </w:rPr>
              <w:t>667</w:t>
            </w:r>
          </w:p>
        </w:tc>
        <w:tc>
          <w:tcPr>
            <w:tcW w:w="2326" w:type="dxa"/>
          </w:tcPr>
          <w:p w:rsidR="002B7F95" w:rsidRPr="00241FAC" w:rsidRDefault="002B7F95" w:rsidP="001263EB">
            <w:pPr>
              <w:jc w:val="right"/>
              <w:rPr>
                <w:rFonts w:cs="Arial"/>
                <w:b/>
              </w:rPr>
            </w:pPr>
            <w:r w:rsidRPr="00241FAC">
              <w:rPr>
                <w:rFonts w:cs="Arial"/>
                <w:b/>
              </w:rPr>
              <w:t>664.9</w:t>
            </w:r>
          </w:p>
        </w:tc>
        <w:tc>
          <w:tcPr>
            <w:tcW w:w="2659" w:type="dxa"/>
          </w:tcPr>
          <w:p w:rsidR="002B7F95" w:rsidRPr="00241FAC" w:rsidRDefault="002B7F95" w:rsidP="001263EB">
            <w:pPr>
              <w:jc w:val="right"/>
              <w:rPr>
                <w:rFonts w:cs="Arial"/>
                <w:b/>
              </w:rPr>
            </w:pPr>
            <w:r w:rsidRPr="00241FAC">
              <w:rPr>
                <w:rFonts w:cs="Arial"/>
                <w:b/>
              </w:rPr>
              <w:t>714</w:t>
            </w:r>
          </w:p>
        </w:tc>
      </w:tr>
    </w:tbl>
    <w:p w:rsidR="00084943" w:rsidRPr="00241FAC" w:rsidRDefault="00084943" w:rsidP="005A514A">
      <w:pPr>
        <w:rPr>
          <w:rFonts w:cs="Arial"/>
        </w:rPr>
      </w:pPr>
    </w:p>
    <w:p w:rsidR="004E1FF5" w:rsidRPr="00241FAC" w:rsidRDefault="001A1942" w:rsidP="005A514A">
      <w:pPr>
        <w:rPr>
          <w:rFonts w:cs="Arial"/>
        </w:rPr>
      </w:pPr>
      <w:r w:rsidRPr="00241FAC">
        <w:rPr>
          <w:rFonts w:cs="Arial"/>
          <w:b/>
        </w:rPr>
        <w:t>4.12</w:t>
      </w:r>
      <w:r w:rsidRPr="00241FAC">
        <w:rPr>
          <w:rFonts w:cs="Arial"/>
          <w:b/>
        </w:rPr>
        <w:tab/>
      </w:r>
      <w:r w:rsidR="004E1FF5" w:rsidRPr="00241FAC">
        <w:rPr>
          <w:rFonts w:cs="Arial"/>
        </w:rPr>
        <w:t>Resolución No. 285 del 28 de septiembre de 2000, por medio de la cual se adjudicó la Licitación Pública No. 01 de 2000 al Consorcio Luis E. Gómez y otro (folio 3</w:t>
      </w:r>
      <w:r w:rsidR="005B0F94" w:rsidRPr="00241FAC">
        <w:rPr>
          <w:rFonts w:cs="Arial"/>
        </w:rPr>
        <w:t>,</w:t>
      </w:r>
      <w:r w:rsidR="004E1FF5" w:rsidRPr="00241FAC">
        <w:rPr>
          <w:rFonts w:cs="Arial"/>
        </w:rPr>
        <w:t xml:space="preserve"> cuaderno 1).</w:t>
      </w:r>
    </w:p>
    <w:p w:rsidR="004E1FF5" w:rsidRPr="00241FAC" w:rsidRDefault="004E1FF5" w:rsidP="005A514A">
      <w:pPr>
        <w:rPr>
          <w:rFonts w:cs="Arial"/>
        </w:rPr>
      </w:pPr>
    </w:p>
    <w:p w:rsidR="001A1942" w:rsidRPr="00241FAC" w:rsidRDefault="004E1FF5" w:rsidP="005A514A">
      <w:pPr>
        <w:rPr>
          <w:rFonts w:cs="Arial"/>
        </w:rPr>
      </w:pPr>
      <w:r w:rsidRPr="00241FAC">
        <w:rPr>
          <w:rFonts w:cs="Arial"/>
          <w:b/>
        </w:rPr>
        <w:t>4.13.</w:t>
      </w:r>
      <w:r w:rsidRPr="00241FAC">
        <w:rPr>
          <w:rFonts w:cs="Arial"/>
        </w:rPr>
        <w:tab/>
        <w:t xml:space="preserve"> </w:t>
      </w:r>
      <w:r w:rsidR="001A1942" w:rsidRPr="00241FAC">
        <w:rPr>
          <w:rFonts w:cs="Arial"/>
        </w:rPr>
        <w:t xml:space="preserve">Propuesta presentada por </w:t>
      </w:r>
      <w:r w:rsidR="00243105" w:rsidRPr="00241FAC">
        <w:rPr>
          <w:rFonts w:cs="Arial"/>
        </w:rPr>
        <w:t xml:space="preserve">el Consorcio Luis E. Gómez </w:t>
      </w:r>
      <w:r w:rsidR="002E133B" w:rsidRPr="00241FAC">
        <w:rPr>
          <w:rFonts w:cs="Arial"/>
        </w:rPr>
        <w:t xml:space="preserve">Reinoso </w:t>
      </w:r>
      <w:r w:rsidR="00243105" w:rsidRPr="00241FAC">
        <w:rPr>
          <w:rFonts w:cs="Arial"/>
        </w:rPr>
        <w:t xml:space="preserve">y otro, </w:t>
      </w:r>
      <w:r w:rsidR="002E133B" w:rsidRPr="00241FAC">
        <w:rPr>
          <w:rFonts w:cs="Arial"/>
        </w:rPr>
        <w:t>integrado por Luis E</w:t>
      </w:r>
      <w:r w:rsidR="00C80C44" w:rsidRPr="00241FAC">
        <w:rPr>
          <w:rFonts w:cs="Arial"/>
        </w:rPr>
        <w:t>duardo</w:t>
      </w:r>
      <w:r w:rsidR="002E133B" w:rsidRPr="00241FAC">
        <w:rPr>
          <w:rFonts w:cs="Arial"/>
        </w:rPr>
        <w:t xml:space="preserve"> Gómez </w:t>
      </w:r>
      <w:r w:rsidR="00C80C44" w:rsidRPr="00241FAC">
        <w:rPr>
          <w:rFonts w:cs="Arial"/>
        </w:rPr>
        <w:t xml:space="preserve">Reinoso </w:t>
      </w:r>
      <w:r w:rsidR="002E133B" w:rsidRPr="00241FAC">
        <w:rPr>
          <w:rFonts w:cs="Arial"/>
        </w:rPr>
        <w:t xml:space="preserve">y Carlos Fernando Córdoba </w:t>
      </w:r>
      <w:r w:rsidR="005E709B" w:rsidRPr="00241FAC">
        <w:rPr>
          <w:rFonts w:cs="Arial"/>
        </w:rPr>
        <w:t>Avilés</w:t>
      </w:r>
      <w:r w:rsidR="002E133B" w:rsidRPr="00241FAC">
        <w:rPr>
          <w:rFonts w:cs="Arial"/>
        </w:rPr>
        <w:t xml:space="preserve"> </w:t>
      </w:r>
      <w:r w:rsidR="00C80C44" w:rsidRPr="00241FAC">
        <w:rPr>
          <w:rFonts w:cs="Arial"/>
        </w:rPr>
        <w:t xml:space="preserve">presentada </w:t>
      </w:r>
      <w:r w:rsidR="00243105" w:rsidRPr="00241FAC">
        <w:rPr>
          <w:rFonts w:cs="Arial"/>
        </w:rPr>
        <w:t>en</w:t>
      </w:r>
      <w:r w:rsidR="003576E2" w:rsidRPr="00241FAC">
        <w:rPr>
          <w:rFonts w:cs="Arial"/>
        </w:rPr>
        <w:t xml:space="preserve"> 699 folios, dentro de la </w:t>
      </w:r>
      <w:r w:rsidR="00243105" w:rsidRPr="00241FAC">
        <w:rPr>
          <w:rFonts w:cs="Arial"/>
        </w:rPr>
        <w:t xml:space="preserve">cual se </w:t>
      </w:r>
      <w:r w:rsidR="007B6A27" w:rsidRPr="00241FAC">
        <w:rPr>
          <w:rFonts w:cs="Arial"/>
        </w:rPr>
        <w:t xml:space="preserve">destaca </w:t>
      </w:r>
      <w:r w:rsidR="00243105" w:rsidRPr="00241FAC">
        <w:rPr>
          <w:rFonts w:cs="Arial"/>
        </w:rPr>
        <w:t xml:space="preserve">el anexo titulado </w:t>
      </w:r>
      <w:r w:rsidR="00243105" w:rsidRPr="00241FAC">
        <w:rPr>
          <w:rFonts w:cs="Arial"/>
          <w:i/>
        </w:rPr>
        <w:t>“Cuadro No. 14 programación de obra, modelo de dia</w:t>
      </w:r>
      <w:r w:rsidR="00B140CE" w:rsidRPr="00241FAC">
        <w:rPr>
          <w:rFonts w:cs="Arial"/>
          <w:i/>
        </w:rPr>
        <w:t>g</w:t>
      </w:r>
      <w:r w:rsidR="00243105" w:rsidRPr="00241FAC">
        <w:rPr>
          <w:rFonts w:cs="Arial"/>
          <w:i/>
        </w:rPr>
        <w:t>rama de Gantt y flujo de desembolsos</w:t>
      </w:r>
      <w:r w:rsidR="00243105" w:rsidRPr="00241FAC">
        <w:rPr>
          <w:rFonts w:cs="Arial"/>
        </w:rPr>
        <w:t>”, a continuación del cual obra</w:t>
      </w:r>
      <w:r w:rsidR="005B0F94" w:rsidRPr="00241FAC">
        <w:rPr>
          <w:rFonts w:cs="Arial"/>
        </w:rPr>
        <w:t xml:space="preserve"> (</w:t>
      </w:r>
      <w:r w:rsidR="00243105" w:rsidRPr="00241FAC">
        <w:rPr>
          <w:rFonts w:cs="Arial"/>
        </w:rPr>
        <w:t xml:space="preserve">folio </w:t>
      </w:r>
      <w:r w:rsidR="00B140CE" w:rsidRPr="00241FAC">
        <w:rPr>
          <w:rFonts w:cs="Arial"/>
        </w:rPr>
        <w:t>6</w:t>
      </w:r>
      <w:r w:rsidR="00243105" w:rsidRPr="00241FAC">
        <w:rPr>
          <w:rFonts w:cs="Arial"/>
        </w:rPr>
        <w:t>84, cuaderno 12</w:t>
      </w:r>
      <w:r w:rsidR="005B0F94" w:rsidRPr="00241FAC">
        <w:rPr>
          <w:rFonts w:cs="Arial"/>
        </w:rPr>
        <w:t>)</w:t>
      </w:r>
      <w:r w:rsidR="00243105" w:rsidRPr="00241FAC">
        <w:rPr>
          <w:rFonts w:cs="Arial"/>
        </w:rPr>
        <w:t xml:space="preserve"> el </w:t>
      </w:r>
      <w:r w:rsidR="00CE3A70" w:rsidRPr="00241FAC">
        <w:rPr>
          <w:rFonts w:cs="Arial"/>
        </w:rPr>
        <w:t xml:space="preserve">documento titulado </w:t>
      </w:r>
      <w:r w:rsidR="003576E2" w:rsidRPr="00241FAC">
        <w:rPr>
          <w:rFonts w:cs="Arial"/>
        </w:rPr>
        <w:t>“</w:t>
      </w:r>
      <w:r w:rsidR="00243105" w:rsidRPr="00241FAC">
        <w:rPr>
          <w:rFonts w:cs="Arial"/>
          <w:i/>
        </w:rPr>
        <w:t>Procedim</w:t>
      </w:r>
      <w:r w:rsidR="00B140CE" w:rsidRPr="00241FAC">
        <w:rPr>
          <w:rFonts w:cs="Arial"/>
          <w:i/>
        </w:rPr>
        <w:t xml:space="preserve">iento </w:t>
      </w:r>
      <w:r w:rsidR="00243105" w:rsidRPr="00241FAC">
        <w:rPr>
          <w:rFonts w:cs="Arial"/>
          <w:i/>
        </w:rPr>
        <w:t>Constructivo, Organización General y Cronograma</w:t>
      </w:r>
      <w:r w:rsidR="00CE3A70" w:rsidRPr="00241FAC">
        <w:rPr>
          <w:rFonts w:cs="Arial"/>
          <w:i/>
        </w:rPr>
        <w:t>”</w:t>
      </w:r>
      <w:r w:rsidR="00243105" w:rsidRPr="00241FAC">
        <w:rPr>
          <w:rFonts w:cs="Arial"/>
        </w:rPr>
        <w:t xml:space="preserve"> </w:t>
      </w:r>
      <w:r w:rsidR="00B140CE" w:rsidRPr="00241FAC">
        <w:rPr>
          <w:rFonts w:cs="Arial"/>
        </w:rPr>
        <w:t xml:space="preserve">y el documento de </w:t>
      </w:r>
      <w:r w:rsidR="00CE3A70" w:rsidRPr="00241FAC">
        <w:rPr>
          <w:rFonts w:cs="Arial"/>
          <w:i/>
        </w:rPr>
        <w:t>“</w:t>
      </w:r>
      <w:r w:rsidR="00B140CE" w:rsidRPr="00241FAC">
        <w:rPr>
          <w:rFonts w:cs="Arial"/>
          <w:i/>
        </w:rPr>
        <w:t>Funciones del Personal</w:t>
      </w:r>
      <w:r w:rsidR="00CE3A70" w:rsidRPr="00241FAC">
        <w:rPr>
          <w:rFonts w:cs="Arial"/>
          <w:i/>
        </w:rPr>
        <w:t>”</w:t>
      </w:r>
      <w:r w:rsidR="00B140CE" w:rsidRPr="00241FAC">
        <w:rPr>
          <w:rFonts w:cs="Arial"/>
        </w:rPr>
        <w:t xml:space="preserve"> (folio 687, cuaderno 12).</w:t>
      </w:r>
    </w:p>
    <w:p w:rsidR="003576E2" w:rsidRPr="00241FAC" w:rsidRDefault="003576E2" w:rsidP="005A514A">
      <w:pPr>
        <w:rPr>
          <w:rFonts w:cs="Arial"/>
        </w:rPr>
      </w:pPr>
    </w:p>
    <w:p w:rsidR="003576E2" w:rsidRPr="00241FAC" w:rsidRDefault="003576E2" w:rsidP="003576E2">
      <w:pPr>
        <w:rPr>
          <w:rFonts w:cs="Arial"/>
        </w:rPr>
      </w:pPr>
      <w:r w:rsidRPr="00241FAC">
        <w:rPr>
          <w:rFonts w:cs="Arial"/>
          <w:b/>
        </w:rPr>
        <w:t>4.1</w:t>
      </w:r>
      <w:r w:rsidR="00473353" w:rsidRPr="00241FAC">
        <w:rPr>
          <w:rFonts w:cs="Arial"/>
          <w:b/>
        </w:rPr>
        <w:t>4</w:t>
      </w:r>
      <w:r w:rsidRPr="00241FAC">
        <w:rPr>
          <w:rFonts w:cs="Arial"/>
          <w:b/>
        </w:rPr>
        <w:t>.</w:t>
      </w:r>
      <w:r w:rsidRPr="00241FAC">
        <w:rPr>
          <w:rFonts w:cs="Arial"/>
        </w:rPr>
        <w:tab/>
        <w:t xml:space="preserve">Propuesta presentada por Unión Temporal Construobras, en </w:t>
      </w:r>
      <w:r w:rsidR="009755CF" w:rsidRPr="00241FAC">
        <w:rPr>
          <w:rFonts w:cs="Arial"/>
        </w:rPr>
        <w:t>534</w:t>
      </w:r>
      <w:r w:rsidRPr="00241FAC">
        <w:rPr>
          <w:rFonts w:cs="Arial"/>
        </w:rPr>
        <w:t xml:space="preserve"> folios,</w:t>
      </w:r>
      <w:r w:rsidR="009755CF" w:rsidRPr="00241FAC">
        <w:rPr>
          <w:rFonts w:cs="Arial"/>
        </w:rPr>
        <w:t xml:space="preserve"> </w:t>
      </w:r>
      <w:r w:rsidR="00F372CE" w:rsidRPr="00241FAC">
        <w:rPr>
          <w:rFonts w:cs="Arial"/>
        </w:rPr>
        <w:t>(</w:t>
      </w:r>
      <w:r w:rsidR="009755CF" w:rsidRPr="00241FAC">
        <w:rPr>
          <w:rFonts w:cs="Arial"/>
        </w:rPr>
        <w:t>cuadernos 2</w:t>
      </w:r>
      <w:r w:rsidR="0014233F" w:rsidRPr="00241FAC">
        <w:rPr>
          <w:rFonts w:cs="Arial"/>
        </w:rPr>
        <w:t xml:space="preserve"> </w:t>
      </w:r>
      <w:r w:rsidR="009755CF" w:rsidRPr="00241FAC">
        <w:rPr>
          <w:rFonts w:cs="Arial"/>
        </w:rPr>
        <w:t>y 7</w:t>
      </w:r>
      <w:r w:rsidR="00F372CE" w:rsidRPr="00241FAC">
        <w:rPr>
          <w:rFonts w:cs="Arial"/>
        </w:rPr>
        <w:t>)</w:t>
      </w:r>
      <w:r w:rsidR="009755CF" w:rsidRPr="00241FAC">
        <w:rPr>
          <w:rFonts w:cs="Arial"/>
        </w:rPr>
        <w:t>,</w:t>
      </w:r>
      <w:r w:rsidRPr="00241FAC">
        <w:rPr>
          <w:rFonts w:cs="Arial"/>
        </w:rPr>
        <w:t xml:space="preserve"> dentro de la cual se </w:t>
      </w:r>
      <w:r w:rsidR="00F320B2" w:rsidRPr="00241FAC">
        <w:rPr>
          <w:rFonts w:cs="Arial"/>
        </w:rPr>
        <w:t xml:space="preserve">destacan los siguientes documentos de la sociedad </w:t>
      </w:r>
      <w:proofErr w:type="spellStart"/>
      <w:r w:rsidR="00F320B2" w:rsidRPr="00241FAC">
        <w:rPr>
          <w:rFonts w:cs="Arial"/>
        </w:rPr>
        <w:t>Insetel</w:t>
      </w:r>
      <w:proofErr w:type="spellEnd"/>
      <w:r w:rsidR="00F320B2" w:rsidRPr="00241FAC">
        <w:rPr>
          <w:rFonts w:cs="Arial"/>
        </w:rPr>
        <w:t xml:space="preserve"> Ltda</w:t>
      </w:r>
      <w:r w:rsidR="007A33E0" w:rsidRPr="00241FAC">
        <w:rPr>
          <w:rFonts w:cs="Arial"/>
        </w:rPr>
        <w:t>.</w:t>
      </w:r>
      <w:r w:rsidR="007B6A27" w:rsidRPr="00241FAC">
        <w:rPr>
          <w:rFonts w:cs="Arial"/>
        </w:rPr>
        <w:t>:</w:t>
      </w:r>
      <w:r w:rsidRPr="00241FAC">
        <w:rPr>
          <w:rFonts w:cs="Arial"/>
        </w:rPr>
        <w:t xml:space="preserve"> </w:t>
      </w:r>
      <w:r w:rsidR="009755CF" w:rsidRPr="00241FAC">
        <w:rPr>
          <w:rFonts w:cs="Arial"/>
        </w:rPr>
        <w:t xml:space="preserve">Balance </w:t>
      </w:r>
      <w:r w:rsidR="007B6A27" w:rsidRPr="00241FAC">
        <w:rPr>
          <w:rFonts w:cs="Arial"/>
        </w:rPr>
        <w:t>G</w:t>
      </w:r>
      <w:r w:rsidR="009755CF" w:rsidRPr="00241FAC">
        <w:rPr>
          <w:rFonts w:cs="Arial"/>
        </w:rPr>
        <w:t>eneral a 31 de Diciembre de 1999</w:t>
      </w:r>
      <w:r w:rsidR="00F320B2" w:rsidRPr="00241FAC">
        <w:rPr>
          <w:rFonts w:cs="Arial"/>
        </w:rPr>
        <w:t>, suscrito por la Subgerente y el Contador Público, Estado de Pérdidas y Ganancias de 1 de enero a 31 de diciembre de 1999, suscrito por la Subgerente y el Contador Público</w:t>
      </w:r>
      <w:r w:rsidR="008A2F0A" w:rsidRPr="00241FAC">
        <w:rPr>
          <w:rFonts w:cs="Arial"/>
        </w:rPr>
        <w:t>, D</w:t>
      </w:r>
      <w:r w:rsidR="00F320B2" w:rsidRPr="00241FAC">
        <w:rPr>
          <w:rFonts w:cs="Arial"/>
        </w:rPr>
        <w:t xml:space="preserve">eclaración de </w:t>
      </w:r>
      <w:r w:rsidR="008A2F0A" w:rsidRPr="00241FAC">
        <w:rPr>
          <w:rFonts w:cs="Arial"/>
        </w:rPr>
        <w:t>R</w:t>
      </w:r>
      <w:r w:rsidR="00F320B2" w:rsidRPr="00241FAC">
        <w:rPr>
          <w:rFonts w:cs="Arial"/>
        </w:rPr>
        <w:t xml:space="preserve">enta </w:t>
      </w:r>
      <w:r w:rsidR="008A2F0A" w:rsidRPr="00241FAC">
        <w:rPr>
          <w:rFonts w:cs="Arial"/>
        </w:rPr>
        <w:t xml:space="preserve">y Complementarios </w:t>
      </w:r>
      <w:r w:rsidR="00F320B2" w:rsidRPr="00241FAC">
        <w:rPr>
          <w:rFonts w:cs="Arial"/>
        </w:rPr>
        <w:t>por el año gravable de 1999</w:t>
      </w:r>
      <w:r w:rsidR="008A2F0A" w:rsidRPr="00241FAC">
        <w:rPr>
          <w:rFonts w:cs="Arial"/>
        </w:rPr>
        <w:t xml:space="preserve">, correspondiente a la sociedad </w:t>
      </w:r>
      <w:proofErr w:type="spellStart"/>
      <w:r w:rsidR="008A2F0A" w:rsidRPr="00241FAC">
        <w:rPr>
          <w:rFonts w:cs="Arial"/>
        </w:rPr>
        <w:t>Insetel</w:t>
      </w:r>
      <w:proofErr w:type="spellEnd"/>
      <w:r w:rsidR="008A2F0A" w:rsidRPr="00241FAC">
        <w:rPr>
          <w:rFonts w:cs="Arial"/>
        </w:rPr>
        <w:t xml:space="preserve"> Ltda.</w:t>
      </w:r>
      <w:r w:rsidR="007B6A27" w:rsidRPr="00241FAC">
        <w:rPr>
          <w:rFonts w:cs="Arial"/>
        </w:rPr>
        <w:t xml:space="preserve"> (Folios 48,49 y 50, cuaderno 2).</w:t>
      </w:r>
    </w:p>
    <w:p w:rsidR="007B6A27" w:rsidRPr="00241FAC" w:rsidRDefault="007B6A27" w:rsidP="003576E2">
      <w:pPr>
        <w:rPr>
          <w:rFonts w:cs="Arial"/>
        </w:rPr>
      </w:pPr>
    </w:p>
    <w:p w:rsidR="004F5AB7" w:rsidRPr="00241FAC" w:rsidRDefault="00C0389F" w:rsidP="004F5AB7">
      <w:pPr>
        <w:rPr>
          <w:rFonts w:cs="Arial"/>
        </w:rPr>
      </w:pPr>
      <w:r w:rsidRPr="00241FAC">
        <w:rPr>
          <w:rFonts w:cs="Arial"/>
          <w:b/>
        </w:rPr>
        <w:t>4.1</w:t>
      </w:r>
      <w:r w:rsidR="001263EB" w:rsidRPr="00241FAC">
        <w:rPr>
          <w:rFonts w:cs="Arial"/>
          <w:b/>
        </w:rPr>
        <w:t>5</w:t>
      </w:r>
      <w:r w:rsidRPr="00241FAC">
        <w:rPr>
          <w:rFonts w:cs="Arial"/>
          <w:b/>
        </w:rPr>
        <w:t>.</w:t>
      </w:r>
      <w:r w:rsidRPr="00241FAC">
        <w:rPr>
          <w:rFonts w:cs="Arial"/>
        </w:rPr>
        <w:tab/>
      </w:r>
      <w:r w:rsidR="004F5AB7" w:rsidRPr="00241FAC">
        <w:rPr>
          <w:rFonts w:cs="Arial"/>
        </w:rPr>
        <w:t xml:space="preserve">Propuesta presentada por el señor Luis Enrique Mayorga Aguirre, en </w:t>
      </w:r>
      <w:r w:rsidR="002C3F82" w:rsidRPr="00241FAC">
        <w:rPr>
          <w:rFonts w:cs="Arial"/>
        </w:rPr>
        <w:t>534</w:t>
      </w:r>
      <w:r w:rsidR="004F5AB7" w:rsidRPr="00241FAC">
        <w:rPr>
          <w:rFonts w:cs="Arial"/>
        </w:rPr>
        <w:t xml:space="preserve"> folios, </w:t>
      </w:r>
      <w:r w:rsidR="005D287C" w:rsidRPr="00241FAC">
        <w:rPr>
          <w:rFonts w:cs="Arial"/>
        </w:rPr>
        <w:t>(</w:t>
      </w:r>
      <w:r w:rsidR="004F5AB7" w:rsidRPr="00241FAC">
        <w:rPr>
          <w:rFonts w:cs="Arial"/>
        </w:rPr>
        <w:t>cuaderno</w:t>
      </w:r>
      <w:r w:rsidR="002C3F82" w:rsidRPr="00241FAC">
        <w:rPr>
          <w:rFonts w:cs="Arial"/>
        </w:rPr>
        <w:t>s 7, 8, 9 y 10</w:t>
      </w:r>
      <w:r w:rsidR="005D287C" w:rsidRPr="00241FAC">
        <w:rPr>
          <w:rFonts w:cs="Arial"/>
        </w:rPr>
        <w:t>)</w:t>
      </w:r>
      <w:r w:rsidR="004F5AB7" w:rsidRPr="00241FAC">
        <w:rPr>
          <w:rFonts w:cs="Arial"/>
        </w:rPr>
        <w:t>.</w:t>
      </w:r>
    </w:p>
    <w:p w:rsidR="005D287C" w:rsidRPr="00241FAC" w:rsidRDefault="005D287C" w:rsidP="004F5AB7">
      <w:pPr>
        <w:rPr>
          <w:rFonts w:cs="Arial"/>
        </w:rPr>
      </w:pPr>
    </w:p>
    <w:p w:rsidR="005D287C" w:rsidRPr="00241FAC" w:rsidRDefault="00C0389F" w:rsidP="005D287C">
      <w:pPr>
        <w:rPr>
          <w:rFonts w:cs="Arial"/>
        </w:rPr>
      </w:pPr>
      <w:r w:rsidRPr="00241FAC">
        <w:rPr>
          <w:rFonts w:cs="Arial"/>
          <w:b/>
        </w:rPr>
        <w:t>4.1</w:t>
      </w:r>
      <w:r w:rsidR="001263EB" w:rsidRPr="00241FAC">
        <w:rPr>
          <w:rFonts w:cs="Arial"/>
          <w:b/>
        </w:rPr>
        <w:t>6</w:t>
      </w:r>
      <w:r w:rsidRPr="00241FAC">
        <w:rPr>
          <w:rFonts w:cs="Arial"/>
          <w:b/>
        </w:rPr>
        <w:t>.</w:t>
      </w:r>
      <w:r w:rsidRPr="00241FAC">
        <w:rPr>
          <w:rFonts w:cs="Arial"/>
          <w:b/>
        </w:rPr>
        <w:tab/>
      </w:r>
      <w:r w:rsidR="005D287C" w:rsidRPr="00241FAC">
        <w:rPr>
          <w:rFonts w:cs="Arial"/>
        </w:rPr>
        <w:t xml:space="preserve">Propuesta presentada por el Consorcio El Parque, en </w:t>
      </w:r>
      <w:r w:rsidR="0014233F" w:rsidRPr="00241FAC">
        <w:rPr>
          <w:rFonts w:cs="Arial"/>
        </w:rPr>
        <w:t>545</w:t>
      </w:r>
      <w:r w:rsidR="005D287C" w:rsidRPr="00241FAC">
        <w:rPr>
          <w:rFonts w:cs="Arial"/>
        </w:rPr>
        <w:t xml:space="preserve"> folios (</w:t>
      </w:r>
      <w:r w:rsidR="0014233F" w:rsidRPr="00241FAC">
        <w:rPr>
          <w:rFonts w:cs="Arial"/>
        </w:rPr>
        <w:t>cuadernos 5, 6 y 11)</w:t>
      </w:r>
      <w:r w:rsidR="005D287C" w:rsidRPr="00241FAC">
        <w:rPr>
          <w:rFonts w:cs="Arial"/>
        </w:rPr>
        <w:t>.</w:t>
      </w:r>
    </w:p>
    <w:p w:rsidR="00374689" w:rsidRPr="00241FAC" w:rsidRDefault="00374689" w:rsidP="0059763E">
      <w:pPr>
        <w:spacing w:line="240" w:lineRule="auto"/>
        <w:ind w:right="567"/>
        <w:rPr>
          <w:rFonts w:cs="Arial"/>
          <w:i/>
        </w:rPr>
      </w:pPr>
    </w:p>
    <w:p w:rsidR="00374689" w:rsidRPr="00241FAC" w:rsidRDefault="00374689" w:rsidP="00575954">
      <w:pPr>
        <w:spacing w:line="240" w:lineRule="auto"/>
        <w:ind w:right="566"/>
        <w:rPr>
          <w:rFonts w:cs="Arial"/>
          <w:b/>
        </w:rPr>
      </w:pPr>
      <w:r w:rsidRPr="00241FAC">
        <w:rPr>
          <w:rFonts w:cs="Arial"/>
          <w:b/>
        </w:rPr>
        <w:t>Otras Pruebas</w:t>
      </w:r>
    </w:p>
    <w:p w:rsidR="00575954" w:rsidRPr="00241FAC" w:rsidRDefault="00575954" w:rsidP="00575954">
      <w:pPr>
        <w:spacing w:line="240" w:lineRule="auto"/>
        <w:ind w:right="566"/>
        <w:rPr>
          <w:rFonts w:cs="Arial"/>
          <w:i/>
        </w:rPr>
      </w:pPr>
    </w:p>
    <w:p w:rsidR="00AF714C" w:rsidRPr="00241FAC" w:rsidRDefault="00BF4903" w:rsidP="00943181">
      <w:pPr>
        <w:pStyle w:val="Lista"/>
        <w:ind w:left="0" w:firstLine="0"/>
        <w:rPr>
          <w:rFonts w:ascii="Arial" w:hAnsi="Arial" w:cs="Arial"/>
        </w:rPr>
      </w:pPr>
      <w:r w:rsidRPr="00241FAC">
        <w:rPr>
          <w:rFonts w:ascii="Arial" w:hAnsi="Arial" w:cs="Arial"/>
        </w:rPr>
        <w:t>El 4 de mayo de 2004 e</w:t>
      </w:r>
      <w:r w:rsidR="006F27C6" w:rsidRPr="00241FAC">
        <w:rPr>
          <w:rFonts w:ascii="Arial" w:hAnsi="Arial" w:cs="Arial"/>
        </w:rPr>
        <w:t>l perito ingeniero presentó el dictamen pericial</w:t>
      </w:r>
      <w:r w:rsidRPr="00241FAC">
        <w:rPr>
          <w:rFonts w:ascii="Arial" w:hAnsi="Arial" w:cs="Arial"/>
        </w:rPr>
        <w:t xml:space="preserve">; posteriormente </w:t>
      </w:r>
      <w:r w:rsidR="00943181" w:rsidRPr="00241FAC">
        <w:rPr>
          <w:rFonts w:ascii="Arial" w:hAnsi="Arial" w:cs="Arial"/>
        </w:rPr>
        <w:t xml:space="preserve">radicó </w:t>
      </w:r>
      <w:r w:rsidR="006F27C6" w:rsidRPr="00241FAC">
        <w:rPr>
          <w:rFonts w:ascii="Arial" w:hAnsi="Arial" w:cs="Arial"/>
        </w:rPr>
        <w:t xml:space="preserve">la </w:t>
      </w:r>
      <w:r w:rsidR="00971B5A" w:rsidRPr="00241FAC">
        <w:rPr>
          <w:rFonts w:ascii="Arial" w:hAnsi="Arial" w:cs="Arial"/>
        </w:rPr>
        <w:t>complementación solicitada por las partes</w:t>
      </w:r>
      <w:r w:rsidR="001263EB" w:rsidRPr="00241FAC">
        <w:rPr>
          <w:rFonts w:ascii="Arial" w:hAnsi="Arial" w:cs="Arial"/>
        </w:rPr>
        <w:t>,</w:t>
      </w:r>
      <w:r w:rsidR="00971B5A" w:rsidRPr="00241FAC">
        <w:rPr>
          <w:rFonts w:ascii="Arial" w:hAnsi="Arial" w:cs="Arial"/>
        </w:rPr>
        <w:t xml:space="preserve"> el 9 de agosto de 2004</w:t>
      </w:r>
      <w:r w:rsidR="00086ABF" w:rsidRPr="00241FAC">
        <w:rPr>
          <w:rFonts w:ascii="Arial" w:hAnsi="Arial" w:cs="Arial"/>
        </w:rPr>
        <w:t xml:space="preserve"> (folios 19 a 24, cuaderno 4)</w:t>
      </w:r>
      <w:r w:rsidR="00971B5A" w:rsidRPr="00241FAC">
        <w:rPr>
          <w:rFonts w:ascii="Arial" w:hAnsi="Arial" w:cs="Arial"/>
        </w:rPr>
        <w:t xml:space="preserve">. En el dictamen </w:t>
      </w:r>
      <w:r w:rsidR="00C0389F" w:rsidRPr="00241FAC">
        <w:rPr>
          <w:rFonts w:ascii="Arial" w:hAnsi="Arial" w:cs="Arial"/>
        </w:rPr>
        <w:t xml:space="preserve">pericial </w:t>
      </w:r>
      <w:r w:rsidR="00FE490F" w:rsidRPr="00241FAC">
        <w:rPr>
          <w:rFonts w:ascii="Arial" w:hAnsi="Arial" w:cs="Arial"/>
        </w:rPr>
        <w:t xml:space="preserve">realizó una </w:t>
      </w:r>
      <w:r w:rsidR="00971B5A" w:rsidRPr="00241FAC">
        <w:rPr>
          <w:rFonts w:ascii="Arial" w:hAnsi="Arial" w:cs="Arial"/>
        </w:rPr>
        <w:t>reevaluación de las propuestas</w:t>
      </w:r>
      <w:r w:rsidR="00FE490F" w:rsidRPr="00241FAC">
        <w:rPr>
          <w:rFonts w:ascii="Arial" w:hAnsi="Arial" w:cs="Arial"/>
        </w:rPr>
        <w:t xml:space="preserve"> </w:t>
      </w:r>
      <w:r w:rsidR="00943181" w:rsidRPr="00241FAC">
        <w:rPr>
          <w:rFonts w:ascii="Arial" w:hAnsi="Arial" w:cs="Arial"/>
        </w:rPr>
        <w:t xml:space="preserve">con base en </w:t>
      </w:r>
      <w:r w:rsidR="002255C6" w:rsidRPr="00241FAC">
        <w:rPr>
          <w:rFonts w:ascii="Arial" w:hAnsi="Arial" w:cs="Arial"/>
        </w:rPr>
        <w:t xml:space="preserve">los balances, de acuerdo con </w:t>
      </w:r>
      <w:r w:rsidR="00943181" w:rsidRPr="00241FAC">
        <w:rPr>
          <w:rFonts w:ascii="Arial" w:hAnsi="Arial" w:cs="Arial"/>
        </w:rPr>
        <w:t xml:space="preserve">la cual </w:t>
      </w:r>
      <w:r w:rsidR="00BF5C59" w:rsidRPr="00241FAC">
        <w:rPr>
          <w:rFonts w:ascii="Arial" w:hAnsi="Arial" w:cs="Arial"/>
        </w:rPr>
        <w:t xml:space="preserve">determinó </w:t>
      </w:r>
      <w:r w:rsidRPr="00241FAC">
        <w:rPr>
          <w:rFonts w:ascii="Arial" w:hAnsi="Arial" w:cs="Arial"/>
        </w:rPr>
        <w:t xml:space="preserve">que el </w:t>
      </w:r>
      <w:r w:rsidR="00943181" w:rsidRPr="00241FAC">
        <w:rPr>
          <w:rFonts w:ascii="Arial" w:hAnsi="Arial" w:cs="Arial"/>
        </w:rPr>
        <w:t xml:space="preserve">primer lugar </w:t>
      </w:r>
      <w:r w:rsidR="00BF5C59" w:rsidRPr="00241FAC">
        <w:rPr>
          <w:rFonts w:ascii="Arial" w:hAnsi="Arial" w:cs="Arial"/>
        </w:rPr>
        <w:t xml:space="preserve">para la adjudicación correspondía a </w:t>
      </w:r>
      <w:r w:rsidR="00FE490F" w:rsidRPr="00241FAC">
        <w:rPr>
          <w:rFonts w:ascii="Arial" w:hAnsi="Arial" w:cs="Arial"/>
        </w:rPr>
        <w:t xml:space="preserve">la propuesta de la Unión </w:t>
      </w:r>
      <w:r w:rsidR="00FE490F" w:rsidRPr="00241FAC">
        <w:rPr>
          <w:rFonts w:ascii="Arial" w:hAnsi="Arial" w:cs="Arial"/>
        </w:rPr>
        <w:lastRenderedPageBreak/>
        <w:t>Temporal Construobras</w:t>
      </w:r>
      <w:r w:rsidR="001263EB" w:rsidRPr="00241FAC">
        <w:rPr>
          <w:rFonts w:ascii="Arial" w:hAnsi="Arial" w:cs="Arial"/>
        </w:rPr>
        <w:t>,</w:t>
      </w:r>
      <w:r w:rsidR="00FE490F" w:rsidRPr="00241FAC">
        <w:rPr>
          <w:rFonts w:ascii="Arial" w:hAnsi="Arial" w:cs="Arial"/>
        </w:rPr>
        <w:t xml:space="preserve"> con un total de 903,89 pu</w:t>
      </w:r>
      <w:r w:rsidR="00390CE7" w:rsidRPr="00241FAC">
        <w:rPr>
          <w:rFonts w:ascii="Arial" w:hAnsi="Arial" w:cs="Arial"/>
        </w:rPr>
        <w:t>n</w:t>
      </w:r>
      <w:r w:rsidR="00FE490F" w:rsidRPr="00241FAC">
        <w:rPr>
          <w:rFonts w:ascii="Arial" w:hAnsi="Arial" w:cs="Arial"/>
        </w:rPr>
        <w:t>tos</w:t>
      </w:r>
      <w:r w:rsidR="00086ABF" w:rsidRPr="00241FAC">
        <w:rPr>
          <w:rFonts w:ascii="Arial" w:hAnsi="Arial" w:cs="Arial"/>
        </w:rPr>
        <w:t xml:space="preserve"> (folio 18,</w:t>
      </w:r>
      <w:r w:rsidR="004E0476" w:rsidRPr="00241FAC">
        <w:rPr>
          <w:rFonts w:ascii="Arial" w:hAnsi="Arial" w:cs="Arial"/>
        </w:rPr>
        <w:t xml:space="preserve"> </w:t>
      </w:r>
      <w:r w:rsidR="00086ABF" w:rsidRPr="00241FAC">
        <w:rPr>
          <w:rFonts w:ascii="Arial" w:hAnsi="Arial" w:cs="Arial"/>
        </w:rPr>
        <w:t>cuaderno 4)</w:t>
      </w:r>
      <w:r w:rsidR="00F04AC0" w:rsidRPr="00241FAC">
        <w:rPr>
          <w:rFonts w:ascii="Arial" w:hAnsi="Arial" w:cs="Arial"/>
        </w:rPr>
        <w:t xml:space="preserve">; </w:t>
      </w:r>
      <w:r w:rsidR="001263EB" w:rsidRPr="00241FAC">
        <w:rPr>
          <w:rFonts w:ascii="Arial" w:hAnsi="Arial" w:cs="Arial"/>
        </w:rPr>
        <w:t xml:space="preserve">en el mismo dictamen se </w:t>
      </w:r>
      <w:r w:rsidR="00AF714C" w:rsidRPr="00241FAC">
        <w:rPr>
          <w:rFonts w:ascii="Arial" w:hAnsi="Arial" w:cs="Arial"/>
        </w:rPr>
        <w:t xml:space="preserve">presentó </w:t>
      </w:r>
      <w:r w:rsidR="00BF5C59" w:rsidRPr="00241FAC">
        <w:rPr>
          <w:rFonts w:ascii="Arial" w:hAnsi="Arial" w:cs="Arial"/>
        </w:rPr>
        <w:t>la</w:t>
      </w:r>
      <w:r w:rsidR="00AF714C" w:rsidRPr="00241FAC">
        <w:rPr>
          <w:rFonts w:ascii="Arial" w:hAnsi="Arial" w:cs="Arial"/>
        </w:rPr>
        <w:t xml:space="preserve"> liquidación </w:t>
      </w:r>
      <w:r w:rsidR="00390CE7" w:rsidRPr="00241FAC">
        <w:rPr>
          <w:rFonts w:ascii="Arial" w:hAnsi="Arial" w:cs="Arial"/>
        </w:rPr>
        <w:t xml:space="preserve">para establecer el </w:t>
      </w:r>
      <w:r w:rsidR="00AF714C" w:rsidRPr="00241FAC">
        <w:rPr>
          <w:rFonts w:ascii="Arial" w:hAnsi="Arial" w:cs="Arial"/>
        </w:rPr>
        <w:t xml:space="preserve">valor actualizado de la utilidad </w:t>
      </w:r>
      <w:r w:rsidR="008635C4" w:rsidRPr="00241FAC">
        <w:rPr>
          <w:rFonts w:ascii="Arial" w:hAnsi="Arial" w:cs="Arial"/>
        </w:rPr>
        <w:t xml:space="preserve">prevista en la propuesta del Consorcio Construobras, la cual </w:t>
      </w:r>
      <w:r w:rsidR="00301814" w:rsidRPr="00241FAC">
        <w:rPr>
          <w:rFonts w:ascii="Arial" w:hAnsi="Arial" w:cs="Arial"/>
        </w:rPr>
        <w:t xml:space="preserve">según los cálculos del perito </w:t>
      </w:r>
      <w:r w:rsidR="00BF5C59" w:rsidRPr="00241FAC">
        <w:rPr>
          <w:rFonts w:ascii="Arial" w:hAnsi="Arial" w:cs="Arial"/>
        </w:rPr>
        <w:t>ascend</w:t>
      </w:r>
      <w:r w:rsidR="002255C6" w:rsidRPr="00241FAC">
        <w:rPr>
          <w:rFonts w:ascii="Arial" w:hAnsi="Arial" w:cs="Arial"/>
        </w:rPr>
        <w:t>ió</w:t>
      </w:r>
      <w:r w:rsidR="00BF5C59" w:rsidRPr="00241FAC">
        <w:rPr>
          <w:rFonts w:ascii="Arial" w:hAnsi="Arial" w:cs="Arial"/>
        </w:rPr>
        <w:t xml:space="preserve"> </w:t>
      </w:r>
      <w:r w:rsidR="00AF714C" w:rsidRPr="00241FAC">
        <w:rPr>
          <w:rFonts w:ascii="Arial" w:hAnsi="Arial" w:cs="Arial"/>
        </w:rPr>
        <w:t xml:space="preserve">a </w:t>
      </w:r>
      <w:r w:rsidR="00BF5C59" w:rsidRPr="00241FAC">
        <w:rPr>
          <w:rFonts w:ascii="Arial" w:hAnsi="Arial" w:cs="Arial"/>
        </w:rPr>
        <w:t xml:space="preserve">la suma de </w:t>
      </w:r>
      <w:r w:rsidR="00AF714C" w:rsidRPr="00241FAC">
        <w:rPr>
          <w:rFonts w:ascii="Arial" w:hAnsi="Arial" w:cs="Arial"/>
        </w:rPr>
        <w:t>$59’055.427,77.</w:t>
      </w:r>
    </w:p>
    <w:p w:rsidR="00AF714C" w:rsidRPr="00241FAC" w:rsidRDefault="00AF714C" w:rsidP="00943181">
      <w:pPr>
        <w:pStyle w:val="Lista"/>
        <w:ind w:left="0" w:firstLine="0"/>
        <w:rPr>
          <w:rFonts w:ascii="Arial" w:hAnsi="Arial" w:cs="Arial"/>
        </w:rPr>
      </w:pPr>
    </w:p>
    <w:p w:rsidR="00AD4D82" w:rsidRPr="00241FAC" w:rsidRDefault="00BF5C59" w:rsidP="00943181">
      <w:pPr>
        <w:pStyle w:val="Lista"/>
        <w:ind w:left="0" w:firstLine="0"/>
        <w:rPr>
          <w:rFonts w:ascii="Arial" w:hAnsi="Arial" w:cs="Arial"/>
        </w:rPr>
      </w:pPr>
      <w:r w:rsidRPr="00241FAC">
        <w:rPr>
          <w:rFonts w:ascii="Arial" w:hAnsi="Arial" w:cs="Arial"/>
        </w:rPr>
        <w:t>Po</w:t>
      </w:r>
      <w:r w:rsidR="004003C1" w:rsidRPr="00241FAC">
        <w:rPr>
          <w:rFonts w:ascii="Arial" w:hAnsi="Arial" w:cs="Arial"/>
        </w:rPr>
        <w:t>r</w:t>
      </w:r>
      <w:r w:rsidRPr="00241FAC">
        <w:rPr>
          <w:rFonts w:ascii="Arial" w:hAnsi="Arial" w:cs="Arial"/>
        </w:rPr>
        <w:t xml:space="preserve"> su parte, e</w:t>
      </w:r>
      <w:r w:rsidR="00B32235" w:rsidRPr="00241FAC">
        <w:rPr>
          <w:rFonts w:ascii="Arial" w:hAnsi="Arial" w:cs="Arial"/>
        </w:rPr>
        <w:t xml:space="preserve">l Municipio de Purificación presentó objeciones </w:t>
      </w:r>
      <w:r w:rsidR="00086ABF" w:rsidRPr="00241FAC">
        <w:rPr>
          <w:rFonts w:ascii="Arial" w:hAnsi="Arial" w:cs="Arial"/>
        </w:rPr>
        <w:t xml:space="preserve">al </w:t>
      </w:r>
      <w:r w:rsidRPr="00241FAC">
        <w:rPr>
          <w:rFonts w:ascii="Arial" w:hAnsi="Arial" w:cs="Arial"/>
        </w:rPr>
        <w:t>d</w:t>
      </w:r>
      <w:r w:rsidR="00086ABF" w:rsidRPr="00241FAC">
        <w:rPr>
          <w:rFonts w:ascii="Arial" w:hAnsi="Arial" w:cs="Arial"/>
        </w:rPr>
        <w:t xml:space="preserve">ictamen pericial </w:t>
      </w:r>
      <w:r w:rsidR="00B32235" w:rsidRPr="00241FAC">
        <w:rPr>
          <w:rFonts w:ascii="Arial" w:hAnsi="Arial" w:cs="Arial"/>
        </w:rPr>
        <w:t>por error grave</w:t>
      </w:r>
      <w:r w:rsidR="006F14E8" w:rsidRPr="00241FAC">
        <w:rPr>
          <w:rFonts w:ascii="Arial" w:hAnsi="Arial" w:cs="Arial"/>
        </w:rPr>
        <w:t xml:space="preserve">, </w:t>
      </w:r>
      <w:r w:rsidRPr="00241FAC">
        <w:rPr>
          <w:rFonts w:ascii="Arial" w:hAnsi="Arial" w:cs="Arial"/>
        </w:rPr>
        <w:t xml:space="preserve">con fundamento en </w:t>
      </w:r>
      <w:r w:rsidR="00086ABF" w:rsidRPr="00241FAC">
        <w:rPr>
          <w:rFonts w:ascii="Arial" w:hAnsi="Arial" w:cs="Arial"/>
        </w:rPr>
        <w:t>los siguientes puntos</w:t>
      </w:r>
      <w:r w:rsidR="006F14E8" w:rsidRPr="00241FAC">
        <w:rPr>
          <w:rFonts w:ascii="Arial" w:hAnsi="Arial" w:cs="Arial"/>
        </w:rPr>
        <w:t>:</w:t>
      </w:r>
      <w:r w:rsidR="00C7107A" w:rsidRPr="00241FAC">
        <w:rPr>
          <w:rFonts w:ascii="Arial" w:hAnsi="Arial" w:cs="Arial"/>
        </w:rPr>
        <w:t xml:space="preserve"> </w:t>
      </w:r>
      <w:r w:rsidR="009E4E38" w:rsidRPr="00241FAC">
        <w:rPr>
          <w:rFonts w:ascii="Arial" w:hAnsi="Arial" w:cs="Arial"/>
          <w:b/>
        </w:rPr>
        <w:t>i)</w:t>
      </w:r>
      <w:r w:rsidR="00C7107A" w:rsidRPr="00241FAC">
        <w:rPr>
          <w:rFonts w:ascii="Arial" w:hAnsi="Arial" w:cs="Arial"/>
        </w:rPr>
        <w:t xml:space="preserve"> La validación de la pólizas de seriedad de la oferta debió llevar a</w:t>
      </w:r>
      <w:r w:rsidR="002255C6" w:rsidRPr="00241FAC">
        <w:rPr>
          <w:rFonts w:ascii="Arial" w:hAnsi="Arial" w:cs="Arial"/>
        </w:rPr>
        <w:t>l perito a</w:t>
      </w:r>
      <w:r w:rsidR="00C7107A" w:rsidRPr="00241FAC">
        <w:rPr>
          <w:rFonts w:ascii="Arial" w:hAnsi="Arial" w:cs="Arial"/>
        </w:rPr>
        <w:t xml:space="preserve"> un</w:t>
      </w:r>
      <w:r w:rsidR="00F04AC0" w:rsidRPr="00241FAC">
        <w:rPr>
          <w:rFonts w:ascii="Arial" w:hAnsi="Arial" w:cs="Arial"/>
        </w:rPr>
        <w:t>a</w:t>
      </w:r>
      <w:r w:rsidR="00C7107A" w:rsidRPr="00241FAC">
        <w:rPr>
          <w:rFonts w:ascii="Arial" w:hAnsi="Arial" w:cs="Arial"/>
        </w:rPr>
        <w:t xml:space="preserve"> asignación de cero puntos p</w:t>
      </w:r>
      <w:r w:rsidR="00643A63" w:rsidRPr="00241FAC">
        <w:rPr>
          <w:rFonts w:ascii="Arial" w:hAnsi="Arial" w:cs="Arial"/>
        </w:rPr>
        <w:t xml:space="preserve">ara aquellos </w:t>
      </w:r>
      <w:r w:rsidR="00C7107A" w:rsidRPr="00241FAC">
        <w:rPr>
          <w:rFonts w:ascii="Arial" w:hAnsi="Arial" w:cs="Arial"/>
        </w:rPr>
        <w:t>proponentes</w:t>
      </w:r>
      <w:r w:rsidR="00F04AC0" w:rsidRPr="00241FAC">
        <w:rPr>
          <w:rFonts w:ascii="Arial" w:hAnsi="Arial" w:cs="Arial"/>
        </w:rPr>
        <w:t xml:space="preserve"> que</w:t>
      </w:r>
      <w:r w:rsidR="00C7107A" w:rsidRPr="00241FAC">
        <w:rPr>
          <w:rFonts w:ascii="Arial" w:hAnsi="Arial" w:cs="Arial"/>
        </w:rPr>
        <w:t xml:space="preserve"> no constituyeron la póliza por más de 120 días en contravención a lo exigido </w:t>
      </w:r>
      <w:r w:rsidR="00AD4D82" w:rsidRPr="00241FAC">
        <w:rPr>
          <w:rFonts w:ascii="Arial" w:hAnsi="Arial" w:cs="Arial"/>
        </w:rPr>
        <w:t>en</w:t>
      </w:r>
      <w:r w:rsidR="00C7107A" w:rsidRPr="00241FAC">
        <w:rPr>
          <w:rFonts w:ascii="Arial" w:hAnsi="Arial" w:cs="Arial"/>
        </w:rPr>
        <w:t xml:space="preserve"> el Pliego</w:t>
      </w:r>
      <w:r w:rsidR="00AD4D82" w:rsidRPr="00241FAC">
        <w:rPr>
          <w:rFonts w:ascii="Arial" w:hAnsi="Arial" w:cs="Arial"/>
        </w:rPr>
        <w:t xml:space="preserve"> de Condiciones</w:t>
      </w:r>
      <w:r w:rsidR="00F04AC0" w:rsidRPr="00241FAC">
        <w:rPr>
          <w:rFonts w:ascii="Arial" w:hAnsi="Arial" w:cs="Arial"/>
        </w:rPr>
        <w:t>;</w:t>
      </w:r>
      <w:r w:rsidR="00C7107A" w:rsidRPr="00241FAC">
        <w:rPr>
          <w:rFonts w:ascii="Arial" w:hAnsi="Arial" w:cs="Arial"/>
        </w:rPr>
        <w:t xml:space="preserve"> </w:t>
      </w:r>
      <w:r w:rsidR="00C7107A" w:rsidRPr="00241FAC">
        <w:rPr>
          <w:rFonts w:ascii="Arial" w:hAnsi="Arial" w:cs="Arial"/>
          <w:b/>
        </w:rPr>
        <w:t>ii)</w:t>
      </w:r>
      <w:r w:rsidR="006F14E8" w:rsidRPr="00241FAC">
        <w:rPr>
          <w:rFonts w:ascii="Arial" w:hAnsi="Arial" w:cs="Arial"/>
        </w:rPr>
        <w:t xml:space="preserve"> se </w:t>
      </w:r>
      <w:r w:rsidR="00AD4D82" w:rsidRPr="00241FAC">
        <w:rPr>
          <w:rFonts w:ascii="Arial" w:hAnsi="Arial" w:cs="Arial"/>
        </w:rPr>
        <w:t xml:space="preserve">advirtió que </w:t>
      </w:r>
      <w:r w:rsidR="006F14E8" w:rsidRPr="00241FAC">
        <w:rPr>
          <w:rFonts w:ascii="Arial" w:hAnsi="Arial" w:cs="Arial"/>
        </w:rPr>
        <w:t xml:space="preserve">el perito </w:t>
      </w:r>
      <w:r w:rsidR="00AD4D82" w:rsidRPr="00241FAC">
        <w:rPr>
          <w:rFonts w:ascii="Arial" w:hAnsi="Arial" w:cs="Arial"/>
        </w:rPr>
        <w:t xml:space="preserve">omitió </w:t>
      </w:r>
      <w:r w:rsidR="006F14E8" w:rsidRPr="00241FAC">
        <w:rPr>
          <w:rFonts w:ascii="Arial" w:hAnsi="Arial" w:cs="Arial"/>
        </w:rPr>
        <w:t>evaluar la información de la</w:t>
      </w:r>
      <w:r w:rsidR="008635C4" w:rsidRPr="00241FAC">
        <w:rPr>
          <w:rFonts w:ascii="Arial" w:hAnsi="Arial" w:cs="Arial"/>
        </w:rPr>
        <w:t>s</w:t>
      </w:r>
      <w:r w:rsidR="006F14E8" w:rsidRPr="00241FAC">
        <w:rPr>
          <w:rFonts w:ascii="Arial" w:hAnsi="Arial" w:cs="Arial"/>
        </w:rPr>
        <w:t xml:space="preserve"> declaraci</w:t>
      </w:r>
      <w:r w:rsidR="008635C4" w:rsidRPr="00241FAC">
        <w:rPr>
          <w:rFonts w:ascii="Arial" w:hAnsi="Arial" w:cs="Arial"/>
        </w:rPr>
        <w:t xml:space="preserve">ones de renta </w:t>
      </w:r>
      <w:r w:rsidR="00AD4D82" w:rsidRPr="00241FAC">
        <w:rPr>
          <w:rFonts w:ascii="Arial" w:hAnsi="Arial" w:cs="Arial"/>
        </w:rPr>
        <w:t xml:space="preserve">de los miembros del </w:t>
      </w:r>
      <w:r w:rsidR="006F14E8" w:rsidRPr="00241FAC">
        <w:rPr>
          <w:rFonts w:ascii="Arial" w:hAnsi="Arial" w:cs="Arial"/>
        </w:rPr>
        <w:t>Co</w:t>
      </w:r>
      <w:r w:rsidR="00943181" w:rsidRPr="00241FAC">
        <w:rPr>
          <w:rFonts w:ascii="Arial" w:hAnsi="Arial" w:cs="Arial"/>
        </w:rPr>
        <w:t>n</w:t>
      </w:r>
      <w:r w:rsidR="006F14E8" w:rsidRPr="00241FAC">
        <w:rPr>
          <w:rFonts w:ascii="Arial" w:hAnsi="Arial" w:cs="Arial"/>
        </w:rPr>
        <w:t>sorcio Construobras</w:t>
      </w:r>
      <w:r w:rsidR="00086ABF" w:rsidRPr="00241FAC">
        <w:rPr>
          <w:rFonts w:ascii="Arial" w:hAnsi="Arial" w:cs="Arial"/>
        </w:rPr>
        <w:t>.</w:t>
      </w:r>
      <w:r w:rsidR="00290C4F" w:rsidRPr="00241FAC">
        <w:rPr>
          <w:rFonts w:ascii="Arial" w:hAnsi="Arial" w:cs="Arial"/>
        </w:rPr>
        <w:t xml:space="preserve"> </w:t>
      </w:r>
    </w:p>
    <w:p w:rsidR="00AD4D82" w:rsidRPr="00241FAC" w:rsidRDefault="00AD4D82" w:rsidP="00943181">
      <w:pPr>
        <w:pStyle w:val="Lista"/>
        <w:ind w:left="0" w:firstLine="0"/>
        <w:rPr>
          <w:rFonts w:ascii="Arial" w:hAnsi="Arial" w:cs="Arial"/>
        </w:rPr>
      </w:pPr>
    </w:p>
    <w:p w:rsidR="007E475A" w:rsidRPr="00241FAC" w:rsidRDefault="00231799" w:rsidP="00943181">
      <w:pPr>
        <w:pStyle w:val="Lista"/>
        <w:ind w:left="0" w:firstLine="0"/>
        <w:rPr>
          <w:rFonts w:ascii="Arial" w:hAnsi="Arial" w:cs="Arial"/>
        </w:rPr>
      </w:pPr>
      <w:r w:rsidRPr="00241FAC">
        <w:rPr>
          <w:rFonts w:ascii="Arial" w:hAnsi="Arial" w:cs="Arial"/>
        </w:rPr>
        <w:t>En el traslado de las objeciones</w:t>
      </w:r>
      <w:r w:rsidR="00F04AC0" w:rsidRPr="00241FAC">
        <w:rPr>
          <w:rFonts w:ascii="Arial" w:hAnsi="Arial" w:cs="Arial"/>
        </w:rPr>
        <w:t>,</w:t>
      </w:r>
      <w:r w:rsidRPr="00241FAC">
        <w:rPr>
          <w:rFonts w:ascii="Arial" w:hAnsi="Arial" w:cs="Arial"/>
        </w:rPr>
        <w:t xml:space="preserve"> la parte actora </w:t>
      </w:r>
      <w:r w:rsidR="00EC0C4A" w:rsidRPr="00241FAC">
        <w:rPr>
          <w:rFonts w:ascii="Arial" w:hAnsi="Arial" w:cs="Arial"/>
        </w:rPr>
        <w:t>se opuso a su prosperidad</w:t>
      </w:r>
      <w:r w:rsidR="00AD4D82" w:rsidRPr="00241FAC">
        <w:rPr>
          <w:rFonts w:ascii="Arial" w:hAnsi="Arial" w:cs="Arial"/>
        </w:rPr>
        <w:t xml:space="preserve"> </w:t>
      </w:r>
      <w:r w:rsidRPr="00241FAC">
        <w:rPr>
          <w:rFonts w:ascii="Arial" w:hAnsi="Arial" w:cs="Arial"/>
        </w:rPr>
        <w:t>por</w:t>
      </w:r>
      <w:r w:rsidR="00E31EBB" w:rsidRPr="00241FAC">
        <w:rPr>
          <w:rFonts w:ascii="Arial" w:hAnsi="Arial" w:cs="Arial"/>
        </w:rPr>
        <w:t xml:space="preserve"> las siguientes razones:</w:t>
      </w:r>
      <w:r w:rsidR="00643A63" w:rsidRPr="00241FAC">
        <w:rPr>
          <w:rFonts w:ascii="Arial" w:hAnsi="Arial" w:cs="Arial"/>
        </w:rPr>
        <w:t xml:space="preserve"> </w:t>
      </w:r>
      <w:r w:rsidR="00643A63" w:rsidRPr="00241FAC">
        <w:rPr>
          <w:rFonts w:ascii="Arial" w:hAnsi="Arial" w:cs="Arial"/>
          <w:b/>
        </w:rPr>
        <w:t>i)</w:t>
      </w:r>
      <w:r w:rsidR="00643A63" w:rsidRPr="00241FAC">
        <w:rPr>
          <w:rFonts w:ascii="Arial" w:hAnsi="Arial" w:cs="Arial"/>
        </w:rPr>
        <w:t xml:space="preserve"> </w:t>
      </w:r>
      <w:r w:rsidR="007E475A" w:rsidRPr="00241FAC">
        <w:rPr>
          <w:rFonts w:ascii="Arial" w:hAnsi="Arial" w:cs="Arial"/>
        </w:rPr>
        <w:t xml:space="preserve">El aspecto de las pólizas de seriedad de la oferta fue una problemática que validó </w:t>
      </w:r>
      <w:r w:rsidR="00AD4D82" w:rsidRPr="00241FAC">
        <w:rPr>
          <w:rFonts w:ascii="Arial" w:hAnsi="Arial" w:cs="Arial"/>
        </w:rPr>
        <w:t xml:space="preserve">y aprobó </w:t>
      </w:r>
      <w:r w:rsidR="007E475A" w:rsidRPr="00241FAC">
        <w:rPr>
          <w:rFonts w:ascii="Arial" w:hAnsi="Arial" w:cs="Arial"/>
        </w:rPr>
        <w:t xml:space="preserve">el Municipio </w:t>
      </w:r>
      <w:r w:rsidR="00AD4D82" w:rsidRPr="00241FAC">
        <w:rPr>
          <w:rFonts w:ascii="Arial" w:hAnsi="Arial" w:cs="Arial"/>
        </w:rPr>
        <w:t xml:space="preserve">en su oportunidad </w:t>
      </w:r>
      <w:r w:rsidR="007E475A" w:rsidRPr="00241FAC">
        <w:rPr>
          <w:rFonts w:ascii="Arial" w:hAnsi="Arial" w:cs="Arial"/>
        </w:rPr>
        <w:t>y</w:t>
      </w:r>
      <w:r w:rsidR="00AD4D82" w:rsidRPr="00241FAC">
        <w:rPr>
          <w:rFonts w:ascii="Arial" w:hAnsi="Arial" w:cs="Arial"/>
        </w:rPr>
        <w:t>,</w:t>
      </w:r>
      <w:r w:rsidR="007E475A" w:rsidRPr="00241FAC">
        <w:rPr>
          <w:rFonts w:ascii="Arial" w:hAnsi="Arial" w:cs="Arial"/>
        </w:rPr>
        <w:t xml:space="preserve"> </w:t>
      </w:r>
      <w:r w:rsidR="007E475A" w:rsidRPr="00241FAC">
        <w:rPr>
          <w:rFonts w:ascii="Arial" w:hAnsi="Arial" w:cs="Arial"/>
          <w:b/>
        </w:rPr>
        <w:t>ii)</w:t>
      </w:r>
      <w:r w:rsidR="007E475A" w:rsidRPr="00241FAC">
        <w:rPr>
          <w:rFonts w:ascii="Arial" w:hAnsi="Arial" w:cs="Arial"/>
        </w:rPr>
        <w:t xml:space="preserve"> </w:t>
      </w:r>
      <w:r w:rsidRPr="00241FAC">
        <w:rPr>
          <w:rFonts w:ascii="Arial" w:hAnsi="Arial" w:cs="Arial"/>
        </w:rPr>
        <w:t>la capacidad financiera debía apreciarse con base en los balances</w:t>
      </w:r>
      <w:r w:rsidR="00643A63" w:rsidRPr="00241FAC">
        <w:rPr>
          <w:rFonts w:ascii="Arial" w:hAnsi="Arial" w:cs="Arial"/>
        </w:rPr>
        <w:t xml:space="preserve"> de acuerdo con </w:t>
      </w:r>
      <w:r w:rsidR="00290C4F" w:rsidRPr="00241FAC">
        <w:rPr>
          <w:rFonts w:ascii="Arial" w:hAnsi="Arial" w:cs="Arial"/>
        </w:rPr>
        <w:t>las normas del Estatuto Tributario y el Decreto 1584 de 1984</w:t>
      </w:r>
      <w:r w:rsidR="007E475A" w:rsidRPr="00241FAC">
        <w:rPr>
          <w:rFonts w:ascii="Arial" w:hAnsi="Arial" w:cs="Arial"/>
        </w:rPr>
        <w:t>.</w:t>
      </w:r>
    </w:p>
    <w:p w:rsidR="000E35AE" w:rsidRPr="00241FAC" w:rsidRDefault="000E35AE" w:rsidP="008A6C60">
      <w:pPr>
        <w:pStyle w:val="Lista"/>
        <w:spacing w:line="240" w:lineRule="auto"/>
        <w:ind w:left="284" w:hanging="284"/>
        <w:rPr>
          <w:rFonts w:ascii="Arial" w:hAnsi="Arial" w:cs="Arial"/>
          <w:b/>
          <w:color w:val="000000"/>
        </w:rPr>
      </w:pPr>
    </w:p>
    <w:p w:rsidR="000E35AE" w:rsidRPr="00241FAC" w:rsidRDefault="006F5381" w:rsidP="008E1105">
      <w:pPr>
        <w:pStyle w:val="Lista"/>
        <w:spacing w:line="240" w:lineRule="auto"/>
        <w:ind w:left="284" w:hanging="284"/>
        <w:rPr>
          <w:rStyle w:val="Textoennegrita"/>
          <w:rFonts w:ascii="Arial" w:hAnsi="Arial" w:cs="Arial"/>
          <w:color w:val="000000"/>
        </w:rPr>
      </w:pPr>
      <w:r w:rsidRPr="00241FAC">
        <w:rPr>
          <w:rFonts w:ascii="Arial" w:hAnsi="Arial" w:cs="Arial"/>
          <w:b/>
          <w:color w:val="000000"/>
        </w:rPr>
        <w:t>5</w:t>
      </w:r>
      <w:r w:rsidR="002302F9" w:rsidRPr="00241FAC">
        <w:rPr>
          <w:rFonts w:ascii="Arial" w:hAnsi="Arial" w:cs="Arial"/>
          <w:b/>
          <w:color w:val="000000"/>
        </w:rPr>
        <w:t>.</w:t>
      </w:r>
      <w:r w:rsidR="002302F9" w:rsidRPr="00241FAC">
        <w:rPr>
          <w:rFonts w:ascii="Arial" w:hAnsi="Arial" w:cs="Arial"/>
          <w:b/>
          <w:color w:val="000000"/>
        </w:rPr>
        <w:tab/>
      </w:r>
      <w:r w:rsidR="000E35AE" w:rsidRPr="00241FAC">
        <w:rPr>
          <w:rFonts w:ascii="Arial" w:hAnsi="Arial" w:cs="Arial"/>
          <w:b/>
        </w:rPr>
        <w:tab/>
      </w:r>
      <w:r w:rsidR="000E35AE" w:rsidRPr="00241FAC">
        <w:rPr>
          <w:rStyle w:val="Textoennegrita"/>
          <w:rFonts w:ascii="Arial" w:hAnsi="Arial" w:cs="Arial"/>
          <w:color w:val="000000"/>
        </w:rPr>
        <w:t>Prueba de la capacidad financiera con base en el Registro Único de Proponentes.</w:t>
      </w:r>
    </w:p>
    <w:p w:rsidR="000E35AE" w:rsidRPr="00241FAC" w:rsidRDefault="000E35AE" w:rsidP="000E35AE">
      <w:pPr>
        <w:pStyle w:val="NormalWeb"/>
        <w:shd w:val="clear" w:color="auto" w:fill="FFFFFF"/>
        <w:rPr>
          <w:rStyle w:val="Textoennegrita"/>
          <w:rFonts w:cs="Arial"/>
          <w:b w:val="0"/>
          <w:color w:val="000000"/>
        </w:rPr>
      </w:pPr>
      <w:r w:rsidRPr="00241FAC">
        <w:rPr>
          <w:rStyle w:val="Textoennegrita"/>
          <w:rFonts w:cs="Arial"/>
          <w:b w:val="0"/>
          <w:color w:val="000000"/>
        </w:rPr>
        <w:t>Según se observa en la disposición original del artículo 22 de la Ley 80 de 1993, el régimen de contratación expedido en esa oportunidad acudió a la sustitución de los registros de proponentes que tenían las entidades estatales por un Registro Único (R.U.P</w:t>
      </w:r>
      <w:r w:rsidR="00EC0C4A" w:rsidRPr="00241FAC">
        <w:rPr>
          <w:rStyle w:val="Textoennegrita"/>
          <w:rFonts w:cs="Arial"/>
          <w:b w:val="0"/>
          <w:color w:val="000000"/>
        </w:rPr>
        <w:t>.</w:t>
      </w:r>
      <w:r w:rsidRPr="00241FAC">
        <w:rPr>
          <w:rStyle w:val="Textoennegrita"/>
          <w:rFonts w:cs="Arial"/>
          <w:b w:val="0"/>
          <w:color w:val="000000"/>
        </w:rPr>
        <w:t>) a cargo de las Cámaras de Comercio</w:t>
      </w:r>
      <w:r w:rsidRPr="00241FAC">
        <w:rPr>
          <w:rStyle w:val="Refdenotaalpie"/>
          <w:rFonts w:cs="Arial"/>
          <w:bCs/>
          <w:color w:val="000000"/>
        </w:rPr>
        <w:footnoteReference w:id="27"/>
      </w:r>
      <w:r w:rsidRPr="00241FAC">
        <w:rPr>
          <w:rStyle w:val="Textoennegrita"/>
          <w:rFonts w:cs="Arial"/>
          <w:b w:val="0"/>
          <w:color w:val="000000"/>
        </w:rPr>
        <w:t>, en el cual debían inscribirse todas las personas que aspiraran a celebrar los contratos estatales sometidos por la Ley a este requisito:</w:t>
      </w:r>
    </w:p>
    <w:p w:rsidR="000E35AE" w:rsidRPr="00241FAC" w:rsidRDefault="000E35AE" w:rsidP="000E35AE">
      <w:pPr>
        <w:pStyle w:val="NormalWeb"/>
        <w:shd w:val="clear" w:color="auto" w:fill="FFFFFF"/>
        <w:spacing w:beforeAutospacing="0" w:afterAutospacing="0" w:line="240" w:lineRule="auto"/>
        <w:ind w:left="851" w:right="567"/>
        <w:rPr>
          <w:rStyle w:val="Textoennegrita"/>
          <w:rFonts w:cs="Arial"/>
          <w:b w:val="0"/>
          <w:i/>
          <w:color w:val="000000"/>
        </w:rPr>
      </w:pPr>
      <w:r w:rsidRPr="00241FAC">
        <w:rPr>
          <w:rStyle w:val="Textoennegrita"/>
          <w:rFonts w:cs="Arial"/>
          <w:b w:val="0"/>
          <w:i/>
          <w:color w:val="000000"/>
        </w:rPr>
        <w:t xml:space="preserve">“ARTICULO 22. DE LOS REGISTROS DE PROPONENTES. Todas las personas naturales o jurídicas que aspiren a celebrar con las entidades estatales, contratos de obra, consultoría, suministro y compraventa de bienes muebles, se inscribirán en la Cámara de Comercio de su jurisdicción y deberán estar clasificadas y calificadas de conformidad con lo previsto en este artículo. (…)” </w:t>
      </w:r>
    </w:p>
    <w:p w:rsidR="000E35AE" w:rsidRPr="00241FAC" w:rsidRDefault="000E35AE" w:rsidP="000E35AE">
      <w:pPr>
        <w:pStyle w:val="NormalWeb"/>
        <w:shd w:val="clear" w:color="auto" w:fill="FFFFFF"/>
        <w:spacing w:beforeAutospacing="0" w:afterAutospacing="0" w:line="240" w:lineRule="auto"/>
        <w:rPr>
          <w:rStyle w:val="Textoennegrita"/>
          <w:rFonts w:cs="Arial"/>
          <w:b w:val="0"/>
          <w:color w:val="000000"/>
        </w:rPr>
      </w:pPr>
    </w:p>
    <w:p w:rsidR="000E35AE" w:rsidRPr="00241FAC" w:rsidRDefault="000E35AE" w:rsidP="000E35AE">
      <w:pPr>
        <w:pStyle w:val="NormalWeb"/>
        <w:shd w:val="clear" w:color="auto" w:fill="FFFFFF"/>
        <w:rPr>
          <w:rStyle w:val="Textoennegrita"/>
          <w:rFonts w:cs="Arial"/>
          <w:b w:val="0"/>
          <w:color w:val="000000"/>
        </w:rPr>
      </w:pPr>
      <w:r w:rsidRPr="00241FAC">
        <w:rPr>
          <w:rStyle w:val="Textoennegrita"/>
          <w:rFonts w:cs="Arial"/>
          <w:b w:val="0"/>
          <w:color w:val="000000"/>
        </w:rPr>
        <w:lastRenderedPageBreak/>
        <w:t>Acerca de los aspectos probatorios del Registro Único de Proponentes, en el régimen de la Ley 80 se observa lo siguiente:</w:t>
      </w:r>
    </w:p>
    <w:p w:rsidR="000E35AE" w:rsidRPr="00241FAC" w:rsidRDefault="000E35AE" w:rsidP="000E35AE">
      <w:pPr>
        <w:pStyle w:val="NormalWeb"/>
        <w:shd w:val="clear" w:color="auto" w:fill="FFFFFF"/>
        <w:rPr>
          <w:rStyle w:val="Textoennegrita"/>
          <w:rFonts w:cs="Arial"/>
          <w:b w:val="0"/>
          <w:i/>
          <w:color w:val="000000"/>
        </w:rPr>
      </w:pPr>
      <w:r w:rsidRPr="00241FAC">
        <w:rPr>
          <w:rStyle w:val="Textoennegrita"/>
          <w:rFonts w:cs="Arial"/>
          <w:color w:val="000000"/>
        </w:rPr>
        <w:t>i)</w:t>
      </w:r>
      <w:r w:rsidRPr="00241FAC">
        <w:rPr>
          <w:rStyle w:val="Textoennegrita"/>
          <w:rFonts w:cs="Arial"/>
          <w:b w:val="0"/>
          <w:color w:val="000000"/>
        </w:rPr>
        <w:tab/>
        <w:t xml:space="preserve">El Registro Único de Proponentes se erigió inicialmente como prueba </w:t>
      </w:r>
      <w:r w:rsidRPr="00241FAC">
        <w:rPr>
          <w:rStyle w:val="Textoennegrita"/>
          <w:rFonts w:cs="Arial"/>
          <w:b w:val="0"/>
          <w:i/>
          <w:color w:val="000000"/>
        </w:rPr>
        <w:t xml:space="preserve">válida </w:t>
      </w:r>
      <w:r w:rsidRPr="00241FAC">
        <w:rPr>
          <w:rStyle w:val="Textoennegrita"/>
          <w:rFonts w:cs="Arial"/>
          <w:b w:val="0"/>
          <w:color w:val="000000"/>
        </w:rPr>
        <w:t xml:space="preserve">de la calificación de la capacidad máxima de contratación (conocida como </w:t>
      </w:r>
      <w:r w:rsidRPr="00241FAC">
        <w:rPr>
          <w:rStyle w:val="Textoennegrita"/>
          <w:rFonts w:cs="Arial"/>
          <w:b w:val="0"/>
          <w:i/>
          <w:color w:val="000000"/>
        </w:rPr>
        <w:t>K</w:t>
      </w:r>
      <w:r w:rsidRPr="00241FAC">
        <w:rPr>
          <w:rStyle w:val="Textoennegrita"/>
          <w:rFonts w:cs="Arial"/>
          <w:b w:val="0"/>
          <w:color w:val="000000"/>
        </w:rPr>
        <w:t>)</w:t>
      </w:r>
      <w:r w:rsidRPr="00241FAC">
        <w:rPr>
          <w:rStyle w:val="Refdenotaalpie"/>
          <w:rFonts w:cs="Arial"/>
          <w:bCs/>
          <w:color w:val="000000"/>
        </w:rPr>
        <w:footnoteReference w:id="28"/>
      </w:r>
      <w:r w:rsidRPr="00241FAC">
        <w:rPr>
          <w:rStyle w:val="Textoennegrita"/>
          <w:rFonts w:cs="Arial"/>
          <w:b w:val="0"/>
          <w:color w:val="000000"/>
        </w:rPr>
        <w:t xml:space="preserve">, la cual se debía establecer por </w:t>
      </w:r>
      <w:r w:rsidR="000A15C5" w:rsidRPr="00241FAC">
        <w:rPr>
          <w:rStyle w:val="Textoennegrita"/>
          <w:rFonts w:cs="Arial"/>
          <w:b w:val="0"/>
          <w:color w:val="000000"/>
        </w:rPr>
        <w:t>e</w:t>
      </w:r>
      <w:r w:rsidRPr="00241FAC">
        <w:rPr>
          <w:rStyle w:val="Textoennegrita"/>
          <w:rFonts w:cs="Arial"/>
          <w:b w:val="0"/>
          <w:color w:val="000000"/>
        </w:rPr>
        <w:t xml:space="preserve">l mismo solicitante -con fundamento en un sistema de </w:t>
      </w:r>
      <w:proofErr w:type="spellStart"/>
      <w:r w:rsidRPr="00241FAC">
        <w:rPr>
          <w:rStyle w:val="Textoennegrita"/>
          <w:rFonts w:cs="Arial"/>
          <w:b w:val="0"/>
          <w:color w:val="000000"/>
        </w:rPr>
        <w:t>autodeclaración</w:t>
      </w:r>
      <w:proofErr w:type="spellEnd"/>
      <w:r w:rsidR="00EC0C4A" w:rsidRPr="00241FAC">
        <w:rPr>
          <w:rStyle w:val="Textoennegrita"/>
          <w:rFonts w:cs="Arial"/>
          <w:b w:val="0"/>
          <w:color w:val="000000"/>
        </w:rPr>
        <w:t xml:space="preserve">, </w:t>
      </w:r>
      <w:proofErr w:type="spellStart"/>
      <w:r w:rsidR="00EC0C4A" w:rsidRPr="00241FAC">
        <w:rPr>
          <w:rStyle w:val="Textoennegrita"/>
          <w:rFonts w:cs="Arial"/>
          <w:b w:val="0"/>
          <w:color w:val="000000"/>
        </w:rPr>
        <w:t>autoclasificación</w:t>
      </w:r>
      <w:proofErr w:type="spellEnd"/>
      <w:r w:rsidR="00EC0C4A" w:rsidRPr="00241FAC">
        <w:rPr>
          <w:rStyle w:val="Textoennegrita"/>
          <w:rFonts w:cs="Arial"/>
          <w:b w:val="0"/>
          <w:color w:val="000000"/>
        </w:rPr>
        <w:t xml:space="preserve"> y </w:t>
      </w:r>
      <w:proofErr w:type="spellStart"/>
      <w:r w:rsidR="00EC0C4A" w:rsidRPr="00241FAC">
        <w:rPr>
          <w:rStyle w:val="Textoennegrita"/>
          <w:rFonts w:cs="Arial"/>
          <w:b w:val="0"/>
          <w:color w:val="000000"/>
        </w:rPr>
        <w:t>autoc</w:t>
      </w:r>
      <w:r w:rsidR="000D099B" w:rsidRPr="00241FAC">
        <w:rPr>
          <w:rStyle w:val="Textoennegrita"/>
          <w:rFonts w:cs="Arial"/>
          <w:b w:val="0"/>
          <w:color w:val="000000"/>
        </w:rPr>
        <w:t>ali</w:t>
      </w:r>
      <w:r w:rsidR="00EC0C4A" w:rsidRPr="00241FAC">
        <w:rPr>
          <w:rStyle w:val="Textoennegrita"/>
          <w:rFonts w:cs="Arial"/>
          <w:b w:val="0"/>
          <w:color w:val="000000"/>
        </w:rPr>
        <w:t>ficación</w:t>
      </w:r>
      <w:proofErr w:type="spellEnd"/>
      <w:r w:rsidRPr="00241FAC">
        <w:rPr>
          <w:rStyle w:val="Textoennegrita"/>
          <w:rFonts w:cs="Arial"/>
          <w:b w:val="0"/>
          <w:color w:val="000000"/>
        </w:rPr>
        <w:t xml:space="preserve">- puesto que </w:t>
      </w:r>
      <w:r w:rsidR="00D1408D" w:rsidRPr="00241FAC">
        <w:rPr>
          <w:rStyle w:val="Textoennegrita"/>
          <w:rFonts w:cs="Arial"/>
          <w:b w:val="0"/>
          <w:color w:val="000000"/>
        </w:rPr>
        <w:t>le correspondía</w:t>
      </w:r>
      <w:r w:rsidRPr="00241FAC">
        <w:rPr>
          <w:rStyle w:val="Textoennegrita"/>
          <w:rFonts w:cs="Arial"/>
          <w:b w:val="0"/>
          <w:color w:val="000000"/>
        </w:rPr>
        <w:t xml:space="preserve"> suministrar su propia información y calificación al Registro </w:t>
      </w:r>
      <w:r w:rsidR="00D1408D" w:rsidRPr="00241FAC">
        <w:rPr>
          <w:rStyle w:val="Textoennegrita"/>
          <w:rFonts w:cs="Arial"/>
          <w:b w:val="0"/>
          <w:color w:val="000000"/>
        </w:rPr>
        <w:t xml:space="preserve">Único, </w:t>
      </w:r>
      <w:r w:rsidRPr="00241FAC">
        <w:rPr>
          <w:rStyle w:val="Textoennegrita"/>
          <w:rFonts w:cs="Arial"/>
          <w:b w:val="0"/>
          <w:color w:val="000000"/>
        </w:rPr>
        <w:t xml:space="preserve">con base en </w:t>
      </w:r>
      <w:r w:rsidRPr="00241FAC">
        <w:rPr>
          <w:rStyle w:val="Textoennegrita"/>
          <w:rFonts w:cs="Arial"/>
          <w:b w:val="0"/>
          <w:i/>
          <w:color w:val="000000"/>
        </w:rPr>
        <w:t xml:space="preserve">“la declaración de renta y en el último balance comercial con sus anexos”. </w:t>
      </w:r>
    </w:p>
    <w:p w:rsidR="000E35AE" w:rsidRPr="00241FAC" w:rsidRDefault="000E35AE" w:rsidP="000E35AE">
      <w:pPr>
        <w:pStyle w:val="NormalWeb"/>
        <w:shd w:val="clear" w:color="auto" w:fill="FFFFFF"/>
        <w:rPr>
          <w:rStyle w:val="Textoennegrita"/>
          <w:rFonts w:cs="Arial"/>
          <w:b w:val="0"/>
          <w:i/>
          <w:color w:val="000000"/>
        </w:rPr>
      </w:pPr>
      <w:r w:rsidRPr="00241FAC">
        <w:rPr>
          <w:rStyle w:val="Textoennegrita"/>
          <w:rFonts w:cs="Arial"/>
          <w:color w:val="000000"/>
        </w:rPr>
        <w:t>ii)</w:t>
      </w:r>
      <w:r w:rsidRPr="00241FAC">
        <w:rPr>
          <w:rStyle w:val="Textoennegrita"/>
          <w:rFonts w:cs="Arial"/>
          <w:b w:val="0"/>
          <w:color w:val="000000"/>
        </w:rPr>
        <w:tab/>
        <w:t>De acuerdo con la Ley 80</w:t>
      </w:r>
      <w:r w:rsidRPr="00241FAC">
        <w:rPr>
          <w:rStyle w:val="Textoennegrita"/>
          <w:rFonts w:cs="Arial"/>
          <w:b w:val="0"/>
          <w:i/>
          <w:color w:val="000000"/>
        </w:rPr>
        <w:t>,</w:t>
      </w:r>
      <w:r w:rsidRPr="00241FAC">
        <w:rPr>
          <w:rStyle w:val="Textoennegrita"/>
          <w:rFonts w:cs="Arial"/>
          <w:b w:val="0"/>
          <w:color w:val="000000"/>
        </w:rPr>
        <w:t xml:space="preserve"> la capacidad máxima de contratación </w:t>
      </w:r>
      <w:r w:rsidRPr="00241FAC">
        <w:rPr>
          <w:rStyle w:val="Textoennegrita"/>
          <w:rFonts w:cs="Arial"/>
          <w:b w:val="0"/>
          <w:i/>
          <w:color w:val="000000"/>
        </w:rPr>
        <w:t>(K)</w:t>
      </w:r>
      <w:r w:rsidRPr="00241FAC">
        <w:rPr>
          <w:rStyle w:val="Textoennegrita"/>
          <w:rFonts w:cs="Arial"/>
          <w:b w:val="0"/>
          <w:color w:val="000000"/>
        </w:rPr>
        <w:t xml:space="preserve"> fue establecida como un requisito de </w:t>
      </w:r>
      <w:r w:rsidRPr="00241FAC">
        <w:rPr>
          <w:rStyle w:val="Textoennegrita"/>
          <w:rFonts w:cs="Arial"/>
          <w:b w:val="0"/>
          <w:i/>
          <w:color w:val="000000"/>
        </w:rPr>
        <w:t xml:space="preserve">habilitación </w:t>
      </w:r>
      <w:r w:rsidRPr="00241FAC">
        <w:rPr>
          <w:rStyle w:val="Textoennegrita"/>
          <w:rFonts w:cs="Arial"/>
          <w:b w:val="0"/>
          <w:color w:val="000000"/>
        </w:rPr>
        <w:t xml:space="preserve">para contratar, esto es que se definió una fórmula con arreglo a la cual el solicitante calculaba los puntajes de calificación y capacidad de contratación en las distintas actividades que eran objeto del registro; pero, por otra parte, dentro de la libertad de estructuración de los Pliegos de Condiciones se permitió que, según las características de cada procedimiento, en el respectivo Pliego de Condiciones la entidad contratante estableciera requisitos financieros específicos como factores de </w:t>
      </w:r>
      <w:r w:rsidRPr="00241FAC">
        <w:rPr>
          <w:rStyle w:val="Textoennegrita"/>
          <w:rFonts w:cs="Arial"/>
          <w:b w:val="0"/>
          <w:i/>
          <w:color w:val="000000"/>
        </w:rPr>
        <w:t>calificación.</w:t>
      </w:r>
    </w:p>
    <w:p w:rsidR="000E35AE" w:rsidRPr="00241FAC" w:rsidRDefault="000E35AE" w:rsidP="000E35AE">
      <w:pPr>
        <w:pStyle w:val="NormalWeb"/>
        <w:shd w:val="clear" w:color="auto" w:fill="FFFFFF"/>
        <w:rPr>
          <w:rStyle w:val="Textoennegrita"/>
          <w:rFonts w:cs="Arial"/>
          <w:b w:val="0"/>
          <w:color w:val="000000"/>
        </w:rPr>
      </w:pPr>
      <w:r w:rsidRPr="00241FAC">
        <w:rPr>
          <w:rStyle w:val="Textoennegrita"/>
          <w:rFonts w:cs="Arial"/>
          <w:color w:val="000000"/>
        </w:rPr>
        <w:t>iii)</w:t>
      </w:r>
      <w:r w:rsidRPr="00241FAC">
        <w:rPr>
          <w:rStyle w:val="Textoennegrita"/>
          <w:rFonts w:cs="Arial"/>
          <w:b w:val="0"/>
          <w:color w:val="000000"/>
        </w:rPr>
        <w:tab/>
        <w:t xml:space="preserve">De acuerdo con </w:t>
      </w:r>
      <w:r w:rsidR="000A15C5" w:rsidRPr="00241FAC">
        <w:rPr>
          <w:rStyle w:val="Textoennegrita"/>
          <w:rFonts w:cs="Arial"/>
          <w:b w:val="0"/>
          <w:color w:val="000000"/>
        </w:rPr>
        <w:t xml:space="preserve">el </w:t>
      </w:r>
      <w:r w:rsidRPr="00241FAC">
        <w:rPr>
          <w:rStyle w:val="Textoennegrita"/>
          <w:rFonts w:cs="Arial"/>
          <w:b w:val="0"/>
          <w:color w:val="000000"/>
        </w:rPr>
        <w:t xml:space="preserve">numeral 22.3, la citada Ley 80 dispuso que la entidad contratante debía reservarse la facultad de verificar la información contenida en el certificado expedido por la </w:t>
      </w:r>
      <w:r w:rsidR="00EC0C4A" w:rsidRPr="00241FAC">
        <w:rPr>
          <w:rStyle w:val="Textoennegrita"/>
          <w:rFonts w:cs="Arial"/>
          <w:b w:val="0"/>
          <w:color w:val="000000"/>
        </w:rPr>
        <w:t xml:space="preserve">respectiva </w:t>
      </w:r>
      <w:r w:rsidRPr="00241FAC">
        <w:rPr>
          <w:rStyle w:val="Textoennegrita"/>
          <w:rFonts w:cs="Arial"/>
          <w:b w:val="0"/>
          <w:color w:val="000000"/>
        </w:rPr>
        <w:t>Cámara de Comercio</w:t>
      </w:r>
      <w:r w:rsidR="003C2C8E" w:rsidRPr="00241FAC">
        <w:rPr>
          <w:rStyle w:val="Textoennegrita"/>
          <w:rFonts w:cs="Arial"/>
          <w:b w:val="0"/>
          <w:color w:val="000000"/>
        </w:rPr>
        <w:t xml:space="preserve"> y en el formulario de calificación correspondiente</w:t>
      </w:r>
      <w:r w:rsidRPr="00241FAC">
        <w:rPr>
          <w:rStyle w:val="Textoennegrita"/>
          <w:rFonts w:cs="Arial"/>
          <w:b w:val="0"/>
          <w:color w:val="000000"/>
        </w:rPr>
        <w:t>, por manera que el análisis de la información financiera no recayó en las Cámaras de Comercio, las cuales cumplían con un registro sólo para fines informativos o de publicidad, para efectos de la capacidad de contratación.</w:t>
      </w:r>
    </w:p>
    <w:p w:rsidR="000E35AE" w:rsidRPr="00241FAC" w:rsidRDefault="000E35AE" w:rsidP="000E35AE">
      <w:pPr>
        <w:pStyle w:val="NormalWeb"/>
        <w:shd w:val="clear" w:color="auto" w:fill="FFFFFF"/>
        <w:rPr>
          <w:rFonts w:cs="Arial"/>
          <w:shd w:val="clear" w:color="auto" w:fill="E6E6E6"/>
        </w:rPr>
      </w:pPr>
      <w:r w:rsidRPr="00241FAC">
        <w:rPr>
          <w:rStyle w:val="Textoennegrita"/>
          <w:rFonts w:cs="Arial"/>
          <w:b w:val="0"/>
          <w:color w:val="000000"/>
        </w:rPr>
        <w:t>Lo anterior se observa en las siguientes disposiciones contenidas en los incisos cuarto y séptimo del citado artículo 22 y en el numeral 22.3 de la Ley 80:</w:t>
      </w:r>
    </w:p>
    <w:p w:rsidR="000E35AE" w:rsidRPr="00241FAC" w:rsidRDefault="000E35AE" w:rsidP="000E35AE">
      <w:pPr>
        <w:spacing w:line="240" w:lineRule="auto"/>
        <w:ind w:left="851" w:right="709"/>
        <w:rPr>
          <w:rStyle w:val="Textoennegrita"/>
          <w:rFonts w:cs="Arial"/>
          <w:b w:val="0"/>
          <w:i/>
        </w:rPr>
      </w:pPr>
      <w:r w:rsidRPr="00241FAC">
        <w:rPr>
          <w:rStyle w:val="Textoennegrita"/>
          <w:rFonts w:cs="Arial"/>
          <w:b w:val="0"/>
          <w:i/>
          <w:color w:val="000000"/>
        </w:rPr>
        <w:t>“Artículo 22</w:t>
      </w:r>
    </w:p>
    <w:p w:rsidR="000E35AE" w:rsidRPr="00241FAC" w:rsidRDefault="000E35AE" w:rsidP="000E35AE">
      <w:pPr>
        <w:spacing w:line="240" w:lineRule="auto"/>
        <w:ind w:left="851" w:right="709"/>
        <w:rPr>
          <w:rStyle w:val="Textoennegrita"/>
          <w:rFonts w:cs="Arial"/>
          <w:b w:val="0"/>
          <w:i/>
          <w:color w:val="000000"/>
        </w:rPr>
      </w:pPr>
      <w:r w:rsidRPr="00241FAC">
        <w:rPr>
          <w:rStyle w:val="Textoennegrita"/>
          <w:rFonts w:cs="Arial"/>
          <w:b w:val="0"/>
          <w:i/>
          <w:color w:val="000000"/>
        </w:rPr>
        <w:t>(…)</w:t>
      </w:r>
    </w:p>
    <w:p w:rsidR="000E35AE" w:rsidRPr="00241FAC" w:rsidRDefault="000E35AE" w:rsidP="000E35AE">
      <w:pPr>
        <w:spacing w:line="240" w:lineRule="auto"/>
        <w:ind w:left="851" w:right="709"/>
        <w:rPr>
          <w:rStyle w:val="Textoennegrita"/>
          <w:rFonts w:cs="Arial"/>
          <w:b w:val="0"/>
          <w:i/>
          <w:color w:val="000000"/>
        </w:rPr>
      </w:pPr>
      <w:r w:rsidRPr="00241FAC">
        <w:rPr>
          <w:rStyle w:val="Textoennegrita"/>
          <w:rFonts w:cs="Arial"/>
          <w:b w:val="0"/>
          <w:i/>
          <w:color w:val="000000"/>
        </w:rPr>
        <w:lastRenderedPageBreak/>
        <w:t>La certificación servirá de prueba de la existencia y representación del contratista y de las facultades de su representante legal e incluirá la información relacionada con la clasificación y calificación del inscrito.</w:t>
      </w:r>
    </w:p>
    <w:p w:rsidR="000E35AE" w:rsidRPr="00241FAC" w:rsidRDefault="000E35AE" w:rsidP="000E35AE">
      <w:pPr>
        <w:spacing w:line="240" w:lineRule="auto"/>
        <w:ind w:left="851" w:right="709"/>
        <w:rPr>
          <w:rStyle w:val="Textoennegrita"/>
          <w:rFonts w:cs="Arial"/>
          <w:b w:val="0"/>
          <w:i/>
          <w:color w:val="000000"/>
        </w:rPr>
      </w:pPr>
      <w:r w:rsidRPr="00241FAC">
        <w:rPr>
          <w:rStyle w:val="Textoennegrita"/>
          <w:rFonts w:cs="Arial"/>
          <w:b w:val="0"/>
          <w:i/>
          <w:color w:val="000000"/>
        </w:rPr>
        <w:t>(…)</w:t>
      </w:r>
    </w:p>
    <w:p w:rsidR="000E35AE" w:rsidRPr="00241FAC" w:rsidRDefault="000E35AE" w:rsidP="0059763E">
      <w:pPr>
        <w:spacing w:line="240" w:lineRule="auto"/>
        <w:ind w:left="851" w:right="709"/>
        <w:rPr>
          <w:rStyle w:val="Textoennegrita"/>
          <w:rFonts w:cs="Arial"/>
          <w:b w:val="0"/>
          <w:i/>
          <w:color w:val="000000"/>
        </w:rPr>
      </w:pPr>
      <w:r w:rsidRPr="00241FAC">
        <w:rPr>
          <w:rStyle w:val="Textoennegrita"/>
          <w:rFonts w:cs="Arial"/>
          <w:b w:val="0"/>
          <w:i/>
          <w:color w:val="000000"/>
        </w:rPr>
        <w:t>El registro de proponentes será público y por tanto cualquier persona puede solicitar que se le expidan certificaciones sobre las inscripciones, calificaciones y clasificaciones que contenga.</w:t>
      </w:r>
    </w:p>
    <w:p w:rsidR="000E35AE" w:rsidRPr="00241FAC" w:rsidRDefault="000E35AE" w:rsidP="000E35AE">
      <w:pPr>
        <w:spacing w:line="240" w:lineRule="auto"/>
        <w:ind w:left="851" w:right="709"/>
        <w:rPr>
          <w:rFonts w:cs="Arial"/>
          <w:shd w:val="clear" w:color="auto" w:fill="E6E6E6"/>
        </w:rPr>
      </w:pPr>
      <w:r w:rsidRPr="00241FAC">
        <w:rPr>
          <w:rStyle w:val="Textoennegrita"/>
          <w:rFonts w:cs="Arial"/>
          <w:b w:val="0"/>
          <w:i/>
          <w:color w:val="000000"/>
        </w:rPr>
        <w:t>(…)</w:t>
      </w:r>
    </w:p>
    <w:p w:rsidR="000E35AE" w:rsidRPr="00241FAC" w:rsidRDefault="000E35AE" w:rsidP="000E35AE">
      <w:pPr>
        <w:pStyle w:val="NormalWeb"/>
        <w:shd w:val="clear" w:color="auto" w:fill="FFFFFF"/>
        <w:spacing w:beforeAutospacing="0" w:afterAutospacing="0" w:line="240" w:lineRule="auto"/>
        <w:ind w:left="851" w:right="709"/>
        <w:rPr>
          <w:rStyle w:val="Textoennegrita"/>
          <w:rFonts w:cs="Arial"/>
        </w:rPr>
      </w:pPr>
      <w:r w:rsidRPr="00241FAC">
        <w:rPr>
          <w:rStyle w:val="Textoennegrita"/>
          <w:rFonts w:cs="Arial"/>
          <w:b w:val="0"/>
          <w:i/>
          <w:color w:val="000000"/>
        </w:rPr>
        <w:t>22.3 DE LA CLASIFICACION Y CALIFICACION DE LOS INSCRITOS. La clasificación y calificación la efectuarán las mismas personas naturales o jurídicas interesadas en contratar con las entidades estatales, ciñéndose estrictamente a la reglamentación que expida el gobierno nacional en aplicación de criterios de experiencia, capacidad financiera, técnica, organización, disponibilidad de equipos, y se presentará a la respectiva Cámara de Comercio simultáneamente con la solicitud de inscripción. La entidad contratante se reservará la facultad de verificar la información contenida en el certificado expedido por la Cámara de Comercio y en el formulario de clasificación y calificación.</w:t>
      </w:r>
      <w:r w:rsidRPr="00241FAC">
        <w:rPr>
          <w:rStyle w:val="Textoennegrita"/>
          <w:rFonts w:cs="Arial"/>
          <w:color w:val="000000"/>
        </w:rPr>
        <w:t xml:space="preserve"> </w:t>
      </w:r>
    </w:p>
    <w:p w:rsidR="000E35AE" w:rsidRPr="00241FAC" w:rsidRDefault="000E35AE" w:rsidP="000E35AE">
      <w:pPr>
        <w:pStyle w:val="NormalWeb"/>
        <w:shd w:val="clear" w:color="auto" w:fill="FFFFFF"/>
        <w:spacing w:beforeAutospacing="0" w:afterAutospacing="0" w:line="240" w:lineRule="auto"/>
        <w:ind w:left="851" w:right="567"/>
        <w:rPr>
          <w:rStyle w:val="Textoennegrita"/>
          <w:rFonts w:cs="Arial"/>
          <w:b w:val="0"/>
          <w:i/>
          <w:color w:val="000000"/>
        </w:rPr>
      </w:pPr>
      <w:r w:rsidRPr="00241FAC">
        <w:rPr>
          <w:rStyle w:val="Textoennegrita"/>
          <w:rFonts w:cs="Arial"/>
          <w:b w:val="0"/>
          <w:i/>
          <w:color w:val="000000"/>
        </w:rPr>
        <w:t>La capacidad financiera del inscrito se establecerá con base en la última declaración de renta y en el último balance comercial con sus anexos para las personas nacionales y en los documentos equivalentes a los anteriores, para las personas extranjeras.</w:t>
      </w:r>
      <w:r w:rsidRPr="00241FAC">
        <w:rPr>
          <w:rStyle w:val="Refdenotaalpie"/>
          <w:rFonts w:cs="Arial"/>
          <w:bCs/>
          <w:i/>
          <w:color w:val="000000"/>
        </w:rPr>
        <w:footnoteReference w:id="29"/>
      </w:r>
      <w:r w:rsidRPr="00241FAC">
        <w:rPr>
          <w:rStyle w:val="Textoennegrita"/>
          <w:rFonts w:cs="Arial"/>
          <w:b w:val="0"/>
          <w:i/>
          <w:color w:val="000000"/>
        </w:rPr>
        <w:t xml:space="preserve"> </w:t>
      </w:r>
    </w:p>
    <w:p w:rsidR="000E35AE" w:rsidRPr="00241FAC" w:rsidRDefault="000E35AE" w:rsidP="008D6267">
      <w:pPr>
        <w:pStyle w:val="NormalWeb"/>
        <w:shd w:val="clear" w:color="auto" w:fill="FFFFFF"/>
        <w:spacing w:beforeAutospacing="0" w:afterAutospacing="0" w:line="240" w:lineRule="auto"/>
        <w:ind w:left="851" w:right="567"/>
        <w:rPr>
          <w:rStyle w:val="Textoennegrita"/>
          <w:rFonts w:cs="Arial"/>
          <w:b w:val="0"/>
          <w:i/>
          <w:color w:val="000000"/>
        </w:rPr>
      </w:pPr>
      <w:r w:rsidRPr="00241FAC">
        <w:rPr>
          <w:rStyle w:val="Textoennegrita"/>
          <w:rFonts w:cs="Arial"/>
          <w:b w:val="0"/>
          <w:i/>
          <w:color w:val="000000"/>
        </w:rPr>
        <w:lastRenderedPageBreak/>
        <w:t>La calificación determinará la capacidad máxima de contratación del inscrito y será válida ante todas las entidades estatales de todos los órdenes y niveles. “</w:t>
      </w:r>
    </w:p>
    <w:p w:rsidR="008D6267" w:rsidRPr="00241FAC" w:rsidRDefault="008D6267" w:rsidP="008D6267">
      <w:pPr>
        <w:pStyle w:val="NormalWeb"/>
        <w:shd w:val="clear" w:color="auto" w:fill="FFFFFF"/>
        <w:spacing w:beforeAutospacing="0" w:afterAutospacing="0" w:line="240" w:lineRule="auto"/>
        <w:ind w:left="851" w:right="567"/>
        <w:rPr>
          <w:rStyle w:val="Textoennegrita"/>
          <w:rFonts w:cs="Arial"/>
          <w:b w:val="0"/>
          <w:i/>
          <w:color w:val="000000"/>
        </w:rPr>
      </w:pPr>
    </w:p>
    <w:p w:rsidR="004B596A" w:rsidRPr="00241FAC" w:rsidRDefault="000E35AE" w:rsidP="000E35AE">
      <w:pPr>
        <w:rPr>
          <w:rFonts w:cs="Arial"/>
          <w:color w:val="000000"/>
        </w:rPr>
      </w:pPr>
      <w:r w:rsidRPr="00241FAC">
        <w:rPr>
          <w:rFonts w:cs="Arial"/>
          <w:color w:val="000000"/>
        </w:rPr>
        <w:t xml:space="preserve">En consecuencia, tratándose de los procedimientos de contratación estatal en </w:t>
      </w:r>
      <w:r w:rsidR="00EC0C4A" w:rsidRPr="00241FAC">
        <w:rPr>
          <w:rFonts w:cs="Arial"/>
          <w:color w:val="000000"/>
        </w:rPr>
        <w:t xml:space="preserve">los cuales </w:t>
      </w:r>
      <w:r w:rsidRPr="00241FAC">
        <w:rPr>
          <w:rFonts w:cs="Arial"/>
          <w:color w:val="000000"/>
        </w:rPr>
        <w:t>cual era exigible el Registro Único de Proponentes en vigencia de la Ley 80 de 1993 -con anterioridad a la fecha en que entró a regir el Registro Único de Proponentes bajo las nuevas reglas de la Ley 1150 de 2007 a que se hará referencia más adelante-, le correspondía a cada entidad contratante proceder a la calificación de las propuestas con base en las reglas de capacidad financiera establecidas en el Pliego de Condiciones del respectivo procedimiento de selección contractual, para lo cual la entidad estatal deb</w:t>
      </w:r>
      <w:r w:rsidR="000D331B" w:rsidRPr="00241FAC">
        <w:rPr>
          <w:rFonts w:cs="Arial"/>
          <w:color w:val="000000"/>
        </w:rPr>
        <w:t>ía</w:t>
      </w:r>
      <w:r w:rsidRPr="00241FAC">
        <w:rPr>
          <w:rFonts w:cs="Arial"/>
          <w:color w:val="000000"/>
        </w:rPr>
        <w:t xml:space="preserve"> apoyarse en la prueba del Registro Único de Proponentes en cuanto a la información incluida en el respectivo certificado; sin embargo, cada entidad contratante mantenía la </w:t>
      </w:r>
      <w:r w:rsidRPr="00241FAC">
        <w:rPr>
          <w:rFonts w:cs="Arial"/>
          <w:i/>
          <w:color w:val="000000"/>
        </w:rPr>
        <w:t>facultad-deber</w:t>
      </w:r>
      <w:r w:rsidRPr="00241FAC">
        <w:rPr>
          <w:rFonts w:cs="Arial"/>
          <w:color w:val="000000"/>
        </w:rPr>
        <w:t xml:space="preserve"> de verificar las fuentes de información financiera establecidas en la Ley para los propósitos de la contratación,</w:t>
      </w:r>
      <w:r w:rsidR="003C2C8E" w:rsidRPr="00241FAC">
        <w:rPr>
          <w:rFonts w:cs="Arial"/>
          <w:color w:val="000000"/>
        </w:rPr>
        <w:t xml:space="preserve"> y en ese escenario era posible solicitar</w:t>
      </w:r>
      <w:r w:rsidR="004B596A" w:rsidRPr="00241FAC">
        <w:rPr>
          <w:rFonts w:cs="Arial"/>
          <w:color w:val="000000"/>
        </w:rPr>
        <w:t xml:space="preserve"> a los proponentes y, por lo tanto, verificar </w:t>
      </w:r>
      <w:r w:rsidRPr="00241FAC">
        <w:rPr>
          <w:rFonts w:cs="Arial"/>
          <w:color w:val="000000"/>
        </w:rPr>
        <w:t>la última declaración de renta y el último balance comercial</w:t>
      </w:r>
      <w:r w:rsidR="004B596A" w:rsidRPr="00241FAC">
        <w:rPr>
          <w:rFonts w:cs="Arial"/>
          <w:color w:val="000000"/>
        </w:rPr>
        <w:t xml:space="preserve">, documentos que </w:t>
      </w:r>
      <w:r w:rsidR="00E8504A" w:rsidRPr="00241FAC">
        <w:rPr>
          <w:rFonts w:cs="Arial"/>
          <w:color w:val="000000"/>
        </w:rPr>
        <w:t xml:space="preserve">debían </w:t>
      </w:r>
      <w:r w:rsidR="004B596A" w:rsidRPr="00241FAC">
        <w:rPr>
          <w:rFonts w:cs="Arial"/>
          <w:color w:val="000000"/>
        </w:rPr>
        <w:t>constitu</w:t>
      </w:r>
      <w:r w:rsidR="00D276E8" w:rsidRPr="00241FAC">
        <w:rPr>
          <w:rFonts w:cs="Arial"/>
          <w:color w:val="000000"/>
        </w:rPr>
        <w:t>i</w:t>
      </w:r>
      <w:r w:rsidR="00E8504A" w:rsidRPr="00241FAC">
        <w:rPr>
          <w:rFonts w:cs="Arial"/>
          <w:color w:val="000000"/>
        </w:rPr>
        <w:t>r</w:t>
      </w:r>
      <w:r w:rsidR="00D276E8" w:rsidRPr="00241FAC">
        <w:rPr>
          <w:rFonts w:cs="Arial"/>
          <w:color w:val="000000"/>
        </w:rPr>
        <w:t>se como</w:t>
      </w:r>
      <w:r w:rsidR="004B596A" w:rsidRPr="00241FAC">
        <w:rPr>
          <w:rFonts w:cs="Arial"/>
          <w:color w:val="000000"/>
        </w:rPr>
        <w:t xml:space="preserve"> fuentes de la información de</w:t>
      </w:r>
      <w:r w:rsidR="00E8504A" w:rsidRPr="00241FAC">
        <w:rPr>
          <w:rFonts w:cs="Arial"/>
          <w:color w:val="000000"/>
        </w:rPr>
        <w:t xml:space="preserve"> </w:t>
      </w:r>
      <w:r w:rsidR="004B596A" w:rsidRPr="00241FAC">
        <w:rPr>
          <w:rFonts w:cs="Arial"/>
          <w:color w:val="000000"/>
        </w:rPr>
        <w:t>l</w:t>
      </w:r>
      <w:r w:rsidR="00E8504A" w:rsidRPr="00241FAC">
        <w:rPr>
          <w:rFonts w:cs="Arial"/>
          <w:color w:val="000000"/>
        </w:rPr>
        <w:t xml:space="preserve">os inscritos en el </w:t>
      </w:r>
      <w:r w:rsidR="004B596A" w:rsidRPr="00241FAC">
        <w:rPr>
          <w:rFonts w:cs="Arial"/>
          <w:color w:val="000000"/>
        </w:rPr>
        <w:t>Registro</w:t>
      </w:r>
      <w:r w:rsidR="00E8504A" w:rsidRPr="00241FAC">
        <w:rPr>
          <w:rFonts w:cs="Arial"/>
          <w:color w:val="000000"/>
        </w:rPr>
        <w:t xml:space="preserve"> Único de Proponentes</w:t>
      </w:r>
      <w:r w:rsidR="00D276E8" w:rsidRPr="00241FAC">
        <w:rPr>
          <w:rFonts w:cs="Arial"/>
          <w:color w:val="000000"/>
        </w:rPr>
        <w:t>,</w:t>
      </w:r>
      <w:r w:rsidR="00E8504A" w:rsidRPr="00241FAC">
        <w:rPr>
          <w:rFonts w:cs="Arial"/>
          <w:color w:val="000000"/>
        </w:rPr>
        <w:t xml:space="preserve"> siguiendo las voces de </w:t>
      </w:r>
      <w:r w:rsidR="004B596A" w:rsidRPr="00241FAC">
        <w:rPr>
          <w:rFonts w:cs="Arial"/>
          <w:color w:val="000000"/>
        </w:rPr>
        <w:t>la Ley 80.</w:t>
      </w:r>
    </w:p>
    <w:p w:rsidR="000E35AE" w:rsidRPr="00241FAC" w:rsidRDefault="000E35AE" w:rsidP="000E35AE">
      <w:pPr>
        <w:rPr>
          <w:rFonts w:cs="Arial"/>
          <w:color w:val="000000"/>
        </w:rPr>
      </w:pPr>
    </w:p>
    <w:p w:rsidR="00E8504A" w:rsidRPr="00241FAC" w:rsidRDefault="000E35AE" w:rsidP="000E35AE">
      <w:pPr>
        <w:rPr>
          <w:rFonts w:cs="Arial"/>
          <w:color w:val="000000"/>
        </w:rPr>
      </w:pPr>
      <w:r w:rsidRPr="00241FAC">
        <w:rPr>
          <w:rFonts w:cs="Arial"/>
          <w:color w:val="000000"/>
        </w:rPr>
        <w:t xml:space="preserve">En otras palabras, en cuanto constituía una carga de la entidad estatal la verificación de la información financiera de acuerdo con la Ley 80 de 1993, resultaba totalmente ajustado a derecho exigir </w:t>
      </w:r>
      <w:r w:rsidR="007B669A" w:rsidRPr="00241FAC">
        <w:rPr>
          <w:rFonts w:cs="Arial"/>
          <w:color w:val="000000"/>
        </w:rPr>
        <w:t xml:space="preserve">a los proponentes </w:t>
      </w:r>
      <w:r w:rsidRPr="00241FAC">
        <w:rPr>
          <w:rFonts w:cs="Arial"/>
          <w:color w:val="000000"/>
        </w:rPr>
        <w:t>la presentación de la última declaración de renta y el último balance comercial y sus anexos</w:t>
      </w:r>
      <w:r w:rsidR="007B669A" w:rsidRPr="00241FAC">
        <w:rPr>
          <w:rFonts w:cs="Arial"/>
          <w:color w:val="000000"/>
        </w:rPr>
        <w:t>, de acuerdo con el artículo 22 de la citada Ley</w:t>
      </w:r>
      <w:r w:rsidR="00E8504A" w:rsidRPr="00241FAC">
        <w:rPr>
          <w:rFonts w:cs="Arial"/>
          <w:color w:val="000000"/>
        </w:rPr>
        <w:t>.</w:t>
      </w:r>
    </w:p>
    <w:p w:rsidR="000E35AE" w:rsidRPr="00241FAC" w:rsidRDefault="000E35AE" w:rsidP="000E35AE">
      <w:pPr>
        <w:rPr>
          <w:rFonts w:cs="Arial"/>
          <w:color w:val="000000"/>
        </w:rPr>
      </w:pPr>
    </w:p>
    <w:p w:rsidR="002812FE" w:rsidRPr="00241FAC" w:rsidRDefault="002812FE" w:rsidP="002812FE">
      <w:pPr>
        <w:rPr>
          <w:rFonts w:cs="Arial"/>
          <w:color w:val="000000"/>
        </w:rPr>
      </w:pPr>
      <w:r w:rsidRPr="00241FAC">
        <w:rPr>
          <w:rFonts w:cs="Arial"/>
          <w:color w:val="000000"/>
        </w:rPr>
        <w:t>Por otra parte, en lo que importa para este caso, debe invocarse el artículo 620 del Estatuto Tributario</w:t>
      </w:r>
      <w:r w:rsidR="00D276E8" w:rsidRPr="00241FAC">
        <w:rPr>
          <w:rStyle w:val="Refdenotaalpie"/>
          <w:rFonts w:cs="Arial"/>
          <w:color w:val="000000"/>
        </w:rPr>
        <w:footnoteReference w:id="30"/>
      </w:r>
      <w:r w:rsidRPr="00241FAC">
        <w:rPr>
          <w:rFonts w:cs="Arial"/>
          <w:color w:val="000000"/>
        </w:rPr>
        <w:t xml:space="preserve"> que estableció</w:t>
      </w:r>
      <w:r w:rsidR="00B616D6" w:rsidRPr="00241FAC">
        <w:rPr>
          <w:rFonts w:cs="Arial"/>
          <w:color w:val="000000"/>
        </w:rPr>
        <w:t xml:space="preserve"> la obligación de las entidades públicas consistente en tener en cuenta, entre otros factores, los informes contenidos en la declaración de renta,</w:t>
      </w:r>
      <w:r w:rsidRPr="00241FAC">
        <w:rPr>
          <w:rFonts w:cs="Arial"/>
          <w:color w:val="000000"/>
        </w:rPr>
        <w:t xml:space="preserve"> </w:t>
      </w:r>
      <w:r w:rsidR="00B616D6" w:rsidRPr="00241FAC">
        <w:rPr>
          <w:rFonts w:cs="Arial"/>
          <w:color w:val="000000"/>
        </w:rPr>
        <w:t xml:space="preserve">para efectos de medir </w:t>
      </w:r>
      <w:r w:rsidRPr="00241FAC">
        <w:rPr>
          <w:rFonts w:cs="Arial"/>
          <w:color w:val="000000"/>
        </w:rPr>
        <w:t>la capacidad económica de los contratistas sujetos al impuesto de renta y complementarios, así:</w:t>
      </w:r>
    </w:p>
    <w:p w:rsidR="002812FE" w:rsidRPr="00241FAC" w:rsidRDefault="002812FE" w:rsidP="002812FE">
      <w:pPr>
        <w:rPr>
          <w:rFonts w:cs="Arial"/>
          <w:color w:val="000000"/>
        </w:rPr>
      </w:pPr>
    </w:p>
    <w:p w:rsidR="002812FE" w:rsidRPr="00241FAC" w:rsidRDefault="00B616D6" w:rsidP="002812FE">
      <w:pPr>
        <w:spacing w:line="240" w:lineRule="auto"/>
        <w:ind w:left="851" w:right="567"/>
        <w:rPr>
          <w:rFonts w:cs="Arial"/>
          <w:i/>
          <w:color w:val="000000"/>
        </w:rPr>
      </w:pPr>
      <w:r w:rsidRPr="00241FAC">
        <w:rPr>
          <w:rStyle w:val="textonavy"/>
          <w:rFonts w:cs="Arial"/>
          <w:i/>
          <w:color w:val="000080"/>
        </w:rPr>
        <w:t>“</w:t>
      </w:r>
      <w:r w:rsidR="002812FE" w:rsidRPr="00241FAC">
        <w:rPr>
          <w:rStyle w:val="textonavy"/>
          <w:rFonts w:cs="Arial"/>
          <w:i/>
          <w:color w:val="000080"/>
        </w:rPr>
        <w:t>ARTICULO 620. OBLIGACIÓN DE FUNDAMENTARSE EN LA DECLARACIÓN DE RENTA.</w:t>
      </w:r>
    </w:p>
    <w:p w:rsidR="002812FE" w:rsidRPr="00241FAC" w:rsidRDefault="002812FE" w:rsidP="002812FE">
      <w:pPr>
        <w:spacing w:line="240" w:lineRule="auto"/>
        <w:ind w:left="851" w:right="567"/>
        <w:rPr>
          <w:rFonts w:cs="Arial"/>
          <w:i/>
          <w:color w:val="000000"/>
        </w:rPr>
      </w:pPr>
      <w:r w:rsidRPr="00241FAC">
        <w:rPr>
          <w:rFonts w:cs="Arial"/>
          <w:i/>
          <w:color w:val="000000"/>
        </w:rPr>
        <w:lastRenderedPageBreak/>
        <w:t>(…)</w:t>
      </w:r>
    </w:p>
    <w:p w:rsidR="002812FE" w:rsidRPr="00241FAC" w:rsidRDefault="002812FE" w:rsidP="002812FE">
      <w:pPr>
        <w:spacing w:line="240" w:lineRule="auto"/>
        <w:ind w:left="851" w:right="567"/>
        <w:rPr>
          <w:rFonts w:cs="Arial"/>
          <w:i/>
          <w:color w:val="000000"/>
        </w:rPr>
      </w:pPr>
      <w:r w:rsidRPr="00241FAC">
        <w:rPr>
          <w:rFonts w:cs="Arial"/>
          <w:i/>
          <w:color w:val="000000"/>
        </w:rPr>
        <w:t>Para medir la capacidad económica de los contratistas, las entidades públicas tendrán en cuenta, entre otros factores, los informes que aparezcan en la declaración de renta y complementarios correspondiente al último período gravable, cuando dichos contratistas fueren sujetos del impuesto.</w:t>
      </w:r>
      <w:r w:rsidR="00B616D6" w:rsidRPr="00241FAC">
        <w:rPr>
          <w:rFonts w:cs="Arial"/>
          <w:i/>
          <w:color w:val="000000"/>
        </w:rPr>
        <w:t>”</w:t>
      </w:r>
    </w:p>
    <w:p w:rsidR="002812FE" w:rsidRPr="00241FAC" w:rsidRDefault="002812FE" w:rsidP="000E35AE">
      <w:pPr>
        <w:rPr>
          <w:rFonts w:cs="Arial"/>
          <w:color w:val="000000"/>
        </w:rPr>
      </w:pPr>
    </w:p>
    <w:p w:rsidR="00F2082B" w:rsidRPr="00241FAC" w:rsidRDefault="00007C4A" w:rsidP="000E35AE">
      <w:pPr>
        <w:rPr>
          <w:rStyle w:val="Textoennegrita"/>
          <w:rFonts w:cs="Arial"/>
          <w:b w:val="0"/>
          <w:color w:val="000000"/>
          <w:shd w:val="clear" w:color="auto" w:fill="FFFFFF"/>
        </w:rPr>
      </w:pPr>
      <w:r w:rsidRPr="00241FAC">
        <w:rPr>
          <w:rFonts w:cs="Arial"/>
          <w:color w:val="000000"/>
        </w:rPr>
        <w:t xml:space="preserve">En el mismo orden de requerimientos, </w:t>
      </w:r>
      <w:r w:rsidR="00992ACA" w:rsidRPr="00241FAC">
        <w:rPr>
          <w:rFonts w:cs="Arial"/>
          <w:color w:val="000000"/>
        </w:rPr>
        <w:t>el Decreto 92 de 1998</w:t>
      </w:r>
      <w:r w:rsidR="00073C49" w:rsidRPr="00241FAC">
        <w:rPr>
          <w:rStyle w:val="Refdenotaalpie"/>
          <w:rFonts w:cs="Arial"/>
          <w:color w:val="000000"/>
        </w:rPr>
        <w:footnoteReference w:id="31"/>
      </w:r>
      <w:r w:rsidR="00313EC4" w:rsidRPr="00241FAC">
        <w:rPr>
          <w:rFonts w:cs="Arial"/>
          <w:color w:val="000000"/>
        </w:rPr>
        <w:t>,</w:t>
      </w:r>
      <w:r w:rsidR="00313EC4" w:rsidRPr="00241FAC">
        <w:rPr>
          <w:rFonts w:cs="Arial"/>
          <w:b/>
          <w:color w:val="000000"/>
        </w:rPr>
        <w:t xml:space="preserve"> </w:t>
      </w:r>
      <w:r w:rsidR="00313EC4" w:rsidRPr="00241FAC">
        <w:rPr>
          <w:rFonts w:cs="Arial"/>
          <w:color w:val="000000"/>
        </w:rPr>
        <w:t>p</w:t>
      </w:r>
      <w:r w:rsidR="00313EC4" w:rsidRPr="00241FAC">
        <w:rPr>
          <w:rStyle w:val="Textoennegrita"/>
          <w:rFonts w:cs="Arial"/>
          <w:b w:val="0"/>
          <w:color w:val="000000"/>
          <w:shd w:val="clear" w:color="auto" w:fill="FFFFFF"/>
        </w:rPr>
        <w:t>or el cual se reglamentó la clasificación y calificación en el Registro Único de Proponentes</w:t>
      </w:r>
      <w:r w:rsidR="008E08FB" w:rsidRPr="00241FAC">
        <w:rPr>
          <w:rStyle w:val="Textoennegrita"/>
          <w:rFonts w:cs="Arial"/>
          <w:b w:val="0"/>
          <w:color w:val="000000"/>
          <w:shd w:val="clear" w:color="auto" w:fill="FFFFFF"/>
        </w:rPr>
        <w:t xml:space="preserve">, determinó en su artículo 9º </w:t>
      </w:r>
      <w:r w:rsidR="00F2082B" w:rsidRPr="00241FAC">
        <w:rPr>
          <w:rStyle w:val="Textoennegrita"/>
          <w:rFonts w:cs="Arial"/>
          <w:b w:val="0"/>
          <w:color w:val="000000"/>
          <w:shd w:val="clear" w:color="auto" w:fill="FFFFFF"/>
        </w:rPr>
        <w:t>las bases para la calificación de</w:t>
      </w:r>
      <w:r w:rsidR="008E08FB" w:rsidRPr="00241FAC">
        <w:rPr>
          <w:rStyle w:val="Textoennegrita"/>
          <w:rFonts w:cs="Arial"/>
          <w:b w:val="0"/>
          <w:color w:val="000000"/>
          <w:shd w:val="clear" w:color="auto" w:fill="FFFFFF"/>
        </w:rPr>
        <w:t xml:space="preserve"> la capacidad financiera de los </w:t>
      </w:r>
      <w:r w:rsidR="00F2082B" w:rsidRPr="00241FAC">
        <w:rPr>
          <w:rStyle w:val="Textoennegrita"/>
          <w:rFonts w:cs="Arial"/>
          <w:b w:val="0"/>
          <w:color w:val="000000"/>
          <w:shd w:val="clear" w:color="auto" w:fill="FFFFFF"/>
        </w:rPr>
        <w:t xml:space="preserve">constructores, </w:t>
      </w:r>
      <w:r w:rsidR="00985270" w:rsidRPr="00241FAC">
        <w:rPr>
          <w:rStyle w:val="Textoennegrita"/>
          <w:rFonts w:cs="Arial"/>
          <w:b w:val="0"/>
          <w:color w:val="000000"/>
          <w:shd w:val="clear" w:color="auto" w:fill="FFFFFF"/>
        </w:rPr>
        <w:t xml:space="preserve">con </w:t>
      </w:r>
      <w:r w:rsidR="00F2082B" w:rsidRPr="00241FAC">
        <w:rPr>
          <w:rStyle w:val="Textoennegrita"/>
          <w:rFonts w:cs="Arial"/>
          <w:b w:val="0"/>
          <w:color w:val="000000"/>
          <w:shd w:val="clear" w:color="auto" w:fill="FFFFFF"/>
        </w:rPr>
        <w:t>fun</w:t>
      </w:r>
      <w:r w:rsidR="00985270" w:rsidRPr="00241FAC">
        <w:rPr>
          <w:rStyle w:val="Textoennegrita"/>
          <w:rFonts w:cs="Arial"/>
          <w:b w:val="0"/>
          <w:color w:val="000000"/>
          <w:shd w:val="clear" w:color="auto" w:fill="FFFFFF"/>
        </w:rPr>
        <w:t>damento en l</w:t>
      </w:r>
      <w:r w:rsidR="00864AE3" w:rsidRPr="00241FAC">
        <w:rPr>
          <w:rStyle w:val="Textoennegrita"/>
          <w:rFonts w:cs="Arial"/>
          <w:b w:val="0"/>
          <w:color w:val="000000"/>
          <w:shd w:val="clear" w:color="auto" w:fill="FFFFFF"/>
        </w:rPr>
        <w:t>o</w:t>
      </w:r>
      <w:r w:rsidR="00985270" w:rsidRPr="00241FAC">
        <w:rPr>
          <w:rStyle w:val="Textoennegrita"/>
          <w:rFonts w:cs="Arial"/>
          <w:b w:val="0"/>
          <w:color w:val="000000"/>
          <w:shd w:val="clear" w:color="auto" w:fill="FFFFFF"/>
        </w:rPr>
        <w:t xml:space="preserve">s indicadores establecidos </w:t>
      </w:r>
      <w:r w:rsidRPr="00241FAC">
        <w:rPr>
          <w:rStyle w:val="Textoennegrita"/>
          <w:rFonts w:cs="Arial"/>
          <w:b w:val="0"/>
          <w:color w:val="000000"/>
          <w:shd w:val="clear" w:color="auto" w:fill="FFFFFF"/>
        </w:rPr>
        <w:t xml:space="preserve">por concepto de </w:t>
      </w:r>
      <w:r w:rsidR="00985270" w:rsidRPr="00241FAC">
        <w:rPr>
          <w:rStyle w:val="Textoennegrita"/>
          <w:rFonts w:cs="Arial"/>
          <w:b w:val="0"/>
          <w:color w:val="000000"/>
          <w:shd w:val="clear" w:color="auto" w:fill="FFFFFF"/>
        </w:rPr>
        <w:t>patrimonio, liquidez y endeudamiento</w:t>
      </w:r>
      <w:r w:rsidRPr="00241FAC">
        <w:rPr>
          <w:rStyle w:val="Textoennegrita"/>
          <w:rFonts w:cs="Arial"/>
          <w:b w:val="0"/>
          <w:color w:val="000000"/>
          <w:shd w:val="clear" w:color="auto" w:fill="FFFFFF"/>
        </w:rPr>
        <w:t xml:space="preserve">, los cuales debían </w:t>
      </w:r>
      <w:r w:rsidR="00953F45" w:rsidRPr="00241FAC">
        <w:rPr>
          <w:rStyle w:val="Textoennegrita"/>
          <w:rFonts w:cs="Arial"/>
          <w:b w:val="0"/>
          <w:color w:val="000000"/>
          <w:shd w:val="clear" w:color="auto" w:fill="FFFFFF"/>
        </w:rPr>
        <w:t xml:space="preserve">determinarse </w:t>
      </w:r>
      <w:r w:rsidRPr="00241FAC">
        <w:rPr>
          <w:rStyle w:val="Textoennegrita"/>
          <w:rFonts w:cs="Arial"/>
          <w:b w:val="0"/>
          <w:color w:val="000000"/>
          <w:shd w:val="clear" w:color="auto" w:fill="FFFFFF"/>
        </w:rPr>
        <w:t xml:space="preserve">de acuerdo con </w:t>
      </w:r>
      <w:r w:rsidR="00F2082B" w:rsidRPr="00241FAC">
        <w:rPr>
          <w:rStyle w:val="Textoennegrita"/>
          <w:rFonts w:cs="Arial"/>
          <w:b w:val="0"/>
          <w:color w:val="000000"/>
          <w:shd w:val="clear" w:color="auto" w:fill="FFFFFF"/>
        </w:rPr>
        <w:t xml:space="preserve">información </w:t>
      </w:r>
      <w:r w:rsidR="000D331B" w:rsidRPr="00241FAC">
        <w:rPr>
          <w:rStyle w:val="Textoennegrita"/>
          <w:rFonts w:cs="Arial"/>
          <w:b w:val="0"/>
          <w:color w:val="000000"/>
          <w:shd w:val="clear" w:color="auto" w:fill="FFFFFF"/>
        </w:rPr>
        <w:t xml:space="preserve">de </w:t>
      </w:r>
      <w:r w:rsidR="00F2082B" w:rsidRPr="00241FAC">
        <w:rPr>
          <w:rStyle w:val="Textoennegrita"/>
          <w:rFonts w:cs="Arial"/>
          <w:b w:val="0"/>
          <w:color w:val="000000"/>
          <w:shd w:val="clear" w:color="auto" w:fill="FFFFFF"/>
        </w:rPr>
        <w:t>la declaración de renta y el balance comercial</w:t>
      </w:r>
      <w:r w:rsidR="000D331B" w:rsidRPr="00241FAC">
        <w:rPr>
          <w:rStyle w:val="Textoennegrita"/>
          <w:rFonts w:cs="Arial"/>
          <w:b w:val="0"/>
          <w:color w:val="000000"/>
          <w:shd w:val="clear" w:color="auto" w:fill="FFFFFF"/>
        </w:rPr>
        <w:t>,</w:t>
      </w:r>
      <w:r w:rsidR="00F2082B" w:rsidRPr="00241FAC">
        <w:rPr>
          <w:rStyle w:val="Textoennegrita"/>
          <w:rFonts w:cs="Arial"/>
          <w:b w:val="0"/>
          <w:color w:val="000000"/>
          <w:shd w:val="clear" w:color="auto" w:fill="FFFFFF"/>
        </w:rPr>
        <w:t xml:space="preserve"> </w:t>
      </w:r>
      <w:r w:rsidRPr="00241FAC">
        <w:rPr>
          <w:rStyle w:val="Textoennegrita"/>
          <w:rFonts w:cs="Arial"/>
          <w:b w:val="0"/>
          <w:color w:val="000000"/>
          <w:shd w:val="clear" w:color="auto" w:fill="FFFFFF"/>
        </w:rPr>
        <w:t xml:space="preserve">según el </w:t>
      </w:r>
      <w:r w:rsidR="00F2082B" w:rsidRPr="00241FAC">
        <w:rPr>
          <w:rStyle w:val="Textoennegrita"/>
          <w:rFonts w:cs="Arial"/>
          <w:b w:val="0"/>
          <w:color w:val="000000"/>
          <w:shd w:val="clear" w:color="auto" w:fill="FFFFFF"/>
        </w:rPr>
        <w:t>caso, así:</w:t>
      </w:r>
    </w:p>
    <w:p w:rsidR="00992ACA" w:rsidRPr="00241FAC" w:rsidRDefault="00992ACA" w:rsidP="00D276E8">
      <w:pPr>
        <w:pStyle w:val="Textonotapie"/>
        <w:spacing w:line="240" w:lineRule="auto"/>
        <w:ind w:left="851" w:right="567"/>
        <w:rPr>
          <w:rFonts w:eastAsia="Calibri" w:cs="Arial"/>
          <w:sz w:val="24"/>
          <w:szCs w:val="24"/>
          <w:lang w:val="es-CO" w:eastAsia="en-US"/>
        </w:rPr>
      </w:pPr>
    </w:p>
    <w:p w:rsidR="00992ACA" w:rsidRPr="00241FAC" w:rsidRDefault="00992ACA" w:rsidP="00D276E8">
      <w:pPr>
        <w:spacing w:line="240" w:lineRule="auto"/>
        <w:ind w:left="851" w:right="567"/>
        <w:rPr>
          <w:rFonts w:cs="Arial"/>
          <w:color w:val="000000"/>
          <w:shd w:val="clear" w:color="auto" w:fill="FFFFFF"/>
        </w:rPr>
      </w:pPr>
      <w:r w:rsidRPr="00241FAC">
        <w:rPr>
          <w:rFonts w:cs="Arial"/>
          <w:i/>
          <w:color w:val="000000"/>
          <w:shd w:val="clear" w:color="auto" w:fill="FFFFFF"/>
        </w:rPr>
        <w:t xml:space="preserve">“3. La Capacidad financiera (Cf) se establecerá con fundamento en el patrimonio, la liquidez medida como activo corriente sobre pasivo corriente, y el nivel de endeudamiento medido como pasivo total sobre activo total, </w:t>
      </w:r>
      <w:r w:rsidRPr="00241FAC">
        <w:rPr>
          <w:rFonts w:cs="Arial"/>
          <w:b/>
          <w:i/>
          <w:color w:val="000000"/>
          <w:shd w:val="clear" w:color="auto" w:fill="FFFFFF"/>
        </w:rPr>
        <w:t>con base en la última declaración de renta y el último balance comercial según el caso,</w:t>
      </w:r>
      <w:r w:rsidRPr="00241FAC">
        <w:rPr>
          <w:rFonts w:cs="Arial"/>
          <w:i/>
          <w:color w:val="000000"/>
          <w:shd w:val="clear" w:color="auto" w:fill="FFFFFF"/>
        </w:rPr>
        <w:t xml:space="preserve"> o balance de apertura para aquellas personas naturales o jurídicas que iniciaron operaciones en el último año. Para efectos de actualización se tomará el último balance comercial.” </w:t>
      </w:r>
      <w:r w:rsidRPr="00241FAC">
        <w:rPr>
          <w:rFonts w:cs="Arial"/>
          <w:color w:val="000000"/>
          <w:shd w:val="clear" w:color="auto" w:fill="FFFFFF"/>
        </w:rPr>
        <w:t>(La negrilla no es del texto).</w:t>
      </w:r>
    </w:p>
    <w:p w:rsidR="00992ACA" w:rsidRPr="00241FAC" w:rsidRDefault="00992ACA" w:rsidP="000E35AE">
      <w:pPr>
        <w:rPr>
          <w:rFonts w:cs="Arial"/>
          <w:color w:val="000000"/>
        </w:rPr>
      </w:pPr>
    </w:p>
    <w:p w:rsidR="00B616D6" w:rsidRPr="00241FAC" w:rsidRDefault="000E35AE" w:rsidP="000E35AE">
      <w:pPr>
        <w:rPr>
          <w:rFonts w:cs="Arial"/>
          <w:color w:val="000000"/>
        </w:rPr>
      </w:pPr>
      <w:r w:rsidRPr="00241FAC">
        <w:rPr>
          <w:rFonts w:cs="Arial"/>
          <w:color w:val="000000"/>
        </w:rPr>
        <w:t xml:space="preserve">Ahora bien, toda vez que no existió una tarifa legal probatoria para la información financiera valorada en el procedimiento de contratación estatal, le correspondía a la entidad contratante acudir a las reglas de prueba aplicables a la actuación administrativa, </w:t>
      </w:r>
      <w:r w:rsidR="000D331B" w:rsidRPr="00241FAC">
        <w:rPr>
          <w:rFonts w:cs="Arial"/>
          <w:color w:val="000000"/>
        </w:rPr>
        <w:t xml:space="preserve">manteniendo siempre respeto por el </w:t>
      </w:r>
      <w:r w:rsidRPr="00241FAC">
        <w:rPr>
          <w:rFonts w:cs="Arial"/>
          <w:color w:val="000000"/>
        </w:rPr>
        <w:t xml:space="preserve">debido proceso </w:t>
      </w:r>
      <w:r w:rsidR="000D331B" w:rsidRPr="00241FAC">
        <w:rPr>
          <w:rFonts w:cs="Arial"/>
          <w:color w:val="000000"/>
        </w:rPr>
        <w:t xml:space="preserve">consagrado como derecho fundamental </w:t>
      </w:r>
      <w:r w:rsidRPr="00241FAC">
        <w:rPr>
          <w:rFonts w:cs="Arial"/>
          <w:color w:val="000000"/>
        </w:rPr>
        <w:t xml:space="preserve">por virtud del artículo 29 de la Constitución </w:t>
      </w:r>
      <w:r w:rsidR="000D331B" w:rsidRPr="00241FAC">
        <w:rPr>
          <w:rFonts w:cs="Arial"/>
          <w:color w:val="000000"/>
        </w:rPr>
        <w:t>Política</w:t>
      </w:r>
      <w:r w:rsidRPr="00241FAC">
        <w:rPr>
          <w:rFonts w:cs="Arial"/>
          <w:color w:val="000000"/>
        </w:rPr>
        <w:t xml:space="preserve"> y las </w:t>
      </w:r>
      <w:r w:rsidR="000D331B" w:rsidRPr="00241FAC">
        <w:rPr>
          <w:rFonts w:cs="Arial"/>
          <w:color w:val="000000"/>
        </w:rPr>
        <w:t xml:space="preserve">exigencias </w:t>
      </w:r>
      <w:r w:rsidRPr="00241FAC">
        <w:rPr>
          <w:rFonts w:cs="Arial"/>
          <w:color w:val="000000"/>
        </w:rPr>
        <w:t xml:space="preserve">contenidas en el </w:t>
      </w:r>
      <w:r w:rsidR="008435B1" w:rsidRPr="00241FAC">
        <w:rPr>
          <w:rFonts w:cs="Arial"/>
          <w:color w:val="000000"/>
        </w:rPr>
        <w:t xml:space="preserve">respectivo </w:t>
      </w:r>
      <w:r w:rsidRPr="00241FAC">
        <w:rPr>
          <w:rFonts w:cs="Arial"/>
          <w:color w:val="000000"/>
        </w:rPr>
        <w:t xml:space="preserve">Pliego de Condiciones, por virtud de </w:t>
      </w:r>
      <w:r w:rsidR="008435B1" w:rsidRPr="00241FAC">
        <w:rPr>
          <w:rFonts w:cs="Arial"/>
          <w:color w:val="000000"/>
        </w:rPr>
        <w:t xml:space="preserve">lo dispuesto tanto en el </w:t>
      </w:r>
      <w:r w:rsidRPr="00241FAC">
        <w:rPr>
          <w:rFonts w:cs="Arial"/>
          <w:color w:val="000000"/>
        </w:rPr>
        <w:t>artículo 23 de la Ley 80 de 1993</w:t>
      </w:r>
      <w:r w:rsidRPr="00241FAC">
        <w:rPr>
          <w:rStyle w:val="Refdenotaalpie"/>
          <w:rFonts w:cs="Arial"/>
          <w:color w:val="000000"/>
        </w:rPr>
        <w:footnoteReference w:id="32"/>
      </w:r>
      <w:r w:rsidRPr="00241FAC">
        <w:rPr>
          <w:rFonts w:cs="Arial"/>
          <w:color w:val="000000"/>
        </w:rPr>
        <w:t xml:space="preserve">, </w:t>
      </w:r>
      <w:r w:rsidR="008435B1" w:rsidRPr="00241FAC">
        <w:rPr>
          <w:rFonts w:cs="Arial"/>
          <w:color w:val="000000"/>
        </w:rPr>
        <w:t>como en el artículo 29 y el numeral 6 del artículo 30</w:t>
      </w:r>
      <w:r w:rsidR="00761C0D" w:rsidRPr="00241FAC">
        <w:rPr>
          <w:rFonts w:cs="Arial"/>
          <w:color w:val="000000"/>
        </w:rPr>
        <w:t xml:space="preserve"> de ese mismo Estatuto Contractual, </w:t>
      </w:r>
      <w:r w:rsidRPr="00241FAC">
        <w:rPr>
          <w:rFonts w:cs="Arial"/>
          <w:color w:val="000000"/>
        </w:rPr>
        <w:t xml:space="preserve">puesto que los Términos de Referencia constituyen precisamente las reglas de la contratación, esto es la “Ley del Contrato”, bajo las cuales se debe regir la actuación contractual de la entidad estatal, en los términos de la norma citada. </w:t>
      </w:r>
    </w:p>
    <w:p w:rsidR="00B616D6" w:rsidRPr="00241FAC" w:rsidRDefault="00B616D6" w:rsidP="000E35AE">
      <w:pPr>
        <w:rPr>
          <w:rFonts w:cs="Arial"/>
          <w:color w:val="000000"/>
        </w:rPr>
      </w:pPr>
    </w:p>
    <w:p w:rsidR="000E35AE" w:rsidRPr="00241FAC" w:rsidRDefault="000E35AE" w:rsidP="000E35AE">
      <w:pPr>
        <w:rPr>
          <w:rFonts w:cs="Arial"/>
          <w:color w:val="000000"/>
        </w:rPr>
      </w:pPr>
      <w:r w:rsidRPr="00241FAC">
        <w:rPr>
          <w:rFonts w:cs="Arial"/>
          <w:color w:val="000000"/>
        </w:rPr>
        <w:lastRenderedPageBreak/>
        <w:t>Por supuesto la entidad contratante siempre deb</w:t>
      </w:r>
      <w:r w:rsidR="00B616D6" w:rsidRPr="00241FAC">
        <w:rPr>
          <w:rFonts w:cs="Arial"/>
          <w:color w:val="000000"/>
        </w:rPr>
        <w:t>e</w:t>
      </w:r>
      <w:r w:rsidRPr="00241FAC">
        <w:rPr>
          <w:rFonts w:cs="Arial"/>
          <w:color w:val="000000"/>
        </w:rPr>
        <w:t xml:space="preserve"> obrar </w:t>
      </w:r>
      <w:r w:rsidR="005C69F3" w:rsidRPr="00241FAC">
        <w:rPr>
          <w:rFonts w:cs="Arial"/>
          <w:color w:val="000000"/>
        </w:rPr>
        <w:t xml:space="preserve">en el procedimiento de selección de contratistas </w:t>
      </w:r>
      <w:r w:rsidRPr="00241FAC">
        <w:rPr>
          <w:rFonts w:cs="Arial"/>
          <w:color w:val="000000"/>
        </w:rPr>
        <w:t xml:space="preserve">de acuerdo </w:t>
      </w:r>
      <w:r w:rsidR="00761C0D" w:rsidRPr="00241FAC">
        <w:rPr>
          <w:rFonts w:cs="Arial"/>
          <w:color w:val="000000"/>
        </w:rPr>
        <w:t xml:space="preserve">con </w:t>
      </w:r>
      <w:r w:rsidRPr="00241FAC">
        <w:rPr>
          <w:rFonts w:cs="Arial"/>
          <w:color w:val="000000"/>
        </w:rPr>
        <w:t xml:space="preserve">las reglas </w:t>
      </w:r>
      <w:r w:rsidRPr="00241FAC">
        <w:rPr>
          <w:rFonts w:cs="Arial"/>
          <w:i/>
          <w:color w:val="000000"/>
        </w:rPr>
        <w:t>“objetivas, justas, claras y completas”</w:t>
      </w:r>
      <w:r w:rsidRPr="00241FAC">
        <w:rPr>
          <w:rFonts w:cs="Arial"/>
          <w:color w:val="000000"/>
        </w:rPr>
        <w:t xml:space="preserve"> que le correspond</w:t>
      </w:r>
      <w:r w:rsidR="004C5078" w:rsidRPr="00241FAC">
        <w:rPr>
          <w:rFonts w:cs="Arial"/>
          <w:color w:val="000000"/>
        </w:rPr>
        <w:t>e</w:t>
      </w:r>
      <w:r w:rsidRPr="00241FAC">
        <w:rPr>
          <w:rFonts w:cs="Arial"/>
          <w:color w:val="000000"/>
        </w:rPr>
        <w:t xml:space="preserve"> establecer previamente en el respectivo Pliego de Condiciones, según la exigencia del artículo 24 de la Ley 80, referido al principio de la transparencia en la escogencia del contratista. </w:t>
      </w:r>
    </w:p>
    <w:p w:rsidR="000E35AE" w:rsidRPr="00241FAC" w:rsidRDefault="00835228" w:rsidP="000E35AE">
      <w:pPr>
        <w:pStyle w:val="NormalWeb"/>
        <w:shd w:val="clear" w:color="auto" w:fill="FFFFFF"/>
        <w:rPr>
          <w:rStyle w:val="Textoennegrita"/>
          <w:rFonts w:cs="Arial"/>
          <w:b w:val="0"/>
          <w:color w:val="000000"/>
        </w:rPr>
      </w:pPr>
      <w:r w:rsidRPr="00241FAC">
        <w:rPr>
          <w:rStyle w:val="Textoennegrita"/>
          <w:rFonts w:cs="Arial"/>
          <w:b w:val="0"/>
          <w:color w:val="000000"/>
        </w:rPr>
        <w:t>P</w:t>
      </w:r>
      <w:r w:rsidR="000E35AE" w:rsidRPr="00241FAC">
        <w:rPr>
          <w:rStyle w:val="Textoennegrita"/>
          <w:rFonts w:cs="Arial"/>
          <w:b w:val="0"/>
          <w:color w:val="000000"/>
        </w:rPr>
        <w:t>or último, la Sala observa a título ilustrativo</w:t>
      </w:r>
      <w:r w:rsidR="007922EE" w:rsidRPr="00241FAC">
        <w:rPr>
          <w:rStyle w:val="Textoennegrita"/>
          <w:rFonts w:cs="Arial"/>
          <w:b w:val="0"/>
          <w:color w:val="000000"/>
        </w:rPr>
        <w:t xml:space="preserve"> –por tratarse de Ley posterior a los hechos materia de este proceso- </w:t>
      </w:r>
      <w:r w:rsidR="000E35AE" w:rsidRPr="00241FAC">
        <w:rPr>
          <w:rStyle w:val="Textoennegrita"/>
          <w:rFonts w:cs="Arial"/>
          <w:b w:val="0"/>
          <w:color w:val="000000"/>
        </w:rPr>
        <w:t>que el valor probatorio atribuido al Registro Único de Proponentes y el alcance de las facultades de verificación documental por parte de las Cámaras de Comercio, cambió en forma importante con la reforma introducida por la Ley 1150 de 2007</w:t>
      </w:r>
      <w:r w:rsidR="000E35AE" w:rsidRPr="00241FAC">
        <w:rPr>
          <w:rStyle w:val="Refdenotaalpie"/>
          <w:rFonts w:cs="Arial"/>
          <w:bCs/>
          <w:color w:val="000000"/>
        </w:rPr>
        <w:footnoteReference w:id="33"/>
      </w:r>
      <w:r w:rsidR="000E35AE" w:rsidRPr="00241FAC">
        <w:rPr>
          <w:rStyle w:val="Textoennegrita"/>
          <w:rFonts w:cs="Arial"/>
          <w:b w:val="0"/>
          <w:color w:val="000000"/>
        </w:rPr>
        <w:t>, que derogó el artículo 22 de la Ley 80 de 1993 e introdujo los siguientes cambios:</w:t>
      </w:r>
    </w:p>
    <w:p w:rsidR="000E35AE" w:rsidRPr="00241FAC" w:rsidRDefault="000E35AE" w:rsidP="000E35AE">
      <w:pPr>
        <w:pStyle w:val="NormalWeb"/>
        <w:shd w:val="clear" w:color="auto" w:fill="FFFFFF"/>
        <w:rPr>
          <w:rStyle w:val="Textoennegrita"/>
          <w:rFonts w:cs="Arial"/>
          <w:b w:val="0"/>
          <w:color w:val="000000"/>
        </w:rPr>
      </w:pPr>
      <w:r w:rsidRPr="00241FAC">
        <w:rPr>
          <w:rStyle w:val="Textoennegrita"/>
          <w:rFonts w:cs="Arial"/>
          <w:color w:val="000000"/>
        </w:rPr>
        <w:t>i)</w:t>
      </w:r>
      <w:r w:rsidRPr="00241FAC">
        <w:rPr>
          <w:rStyle w:val="Textoennegrita"/>
          <w:rFonts w:cs="Arial"/>
          <w:color w:val="000000"/>
        </w:rPr>
        <w:tab/>
      </w:r>
      <w:r w:rsidRPr="00241FAC">
        <w:rPr>
          <w:rStyle w:val="Textoennegrita"/>
          <w:rFonts w:cs="Arial"/>
          <w:b w:val="0"/>
          <w:color w:val="000000"/>
        </w:rPr>
        <w:t xml:space="preserve">El certificado del Registro Único de Proponentes se erigió como </w:t>
      </w:r>
      <w:r w:rsidRPr="00241FAC">
        <w:rPr>
          <w:rStyle w:val="Textoennegrita"/>
          <w:rFonts w:cs="Arial"/>
          <w:b w:val="0"/>
          <w:i/>
          <w:color w:val="000000"/>
        </w:rPr>
        <w:t>“plena prueba”</w:t>
      </w:r>
      <w:r w:rsidRPr="00241FAC">
        <w:rPr>
          <w:rStyle w:val="Textoennegrita"/>
          <w:rFonts w:cs="Arial"/>
          <w:b w:val="0"/>
          <w:color w:val="000000"/>
        </w:rPr>
        <w:t xml:space="preserve"> de las circunstancias sometidas al mismo, además de que se estableció que en el procedimiento de contratación no se pueden solicitar de nuevo los mismos documentos verificados por las Cámaras de Comercio, según se observa de la disposición contenida en el artículo 5º de la Ley 1150: </w:t>
      </w:r>
    </w:p>
    <w:p w:rsidR="000E35AE" w:rsidRPr="00241FAC" w:rsidRDefault="000E35AE" w:rsidP="000E35AE">
      <w:pPr>
        <w:spacing w:line="240" w:lineRule="auto"/>
        <w:ind w:left="851" w:right="708"/>
        <w:rPr>
          <w:rFonts w:cs="Arial"/>
          <w:i/>
          <w:iCs/>
          <w:color w:val="000080"/>
        </w:rPr>
      </w:pPr>
      <w:r w:rsidRPr="00241FAC">
        <w:rPr>
          <w:rFonts w:cs="Arial"/>
          <w:i/>
          <w:color w:val="000080"/>
        </w:rPr>
        <w:t>“ARTÍCULO 5o. </w:t>
      </w:r>
      <w:r w:rsidRPr="00241FAC">
        <w:rPr>
          <w:rFonts w:cs="Arial"/>
          <w:i/>
          <w:iCs/>
          <w:color w:val="000080"/>
        </w:rPr>
        <w:t>DE LA SELECCIÓN OBJETIVA</w:t>
      </w:r>
    </w:p>
    <w:p w:rsidR="000E35AE" w:rsidRPr="00241FAC" w:rsidRDefault="000E35AE" w:rsidP="000E35AE">
      <w:pPr>
        <w:spacing w:line="240" w:lineRule="auto"/>
        <w:ind w:left="851" w:right="708"/>
        <w:rPr>
          <w:rFonts w:cs="Arial"/>
          <w:i/>
          <w:color w:val="000000"/>
        </w:rPr>
      </w:pPr>
    </w:p>
    <w:p w:rsidR="000E35AE" w:rsidRPr="00241FAC" w:rsidRDefault="000E35AE" w:rsidP="000E35AE">
      <w:pPr>
        <w:spacing w:line="240" w:lineRule="auto"/>
        <w:ind w:left="851" w:right="708"/>
        <w:rPr>
          <w:rFonts w:cs="Arial"/>
          <w:i/>
          <w:color w:val="000000"/>
        </w:rPr>
      </w:pPr>
      <w:r w:rsidRPr="00241FAC">
        <w:rPr>
          <w:rFonts w:cs="Arial"/>
          <w:i/>
          <w:color w:val="000000"/>
        </w:rPr>
        <w:t>(…)</w:t>
      </w:r>
    </w:p>
    <w:p w:rsidR="000E35AE" w:rsidRPr="00241FAC" w:rsidRDefault="000E35AE" w:rsidP="000E35AE">
      <w:pPr>
        <w:spacing w:line="240" w:lineRule="auto"/>
        <w:ind w:left="851" w:right="708"/>
        <w:rPr>
          <w:rFonts w:cs="Arial"/>
          <w:i/>
          <w:color w:val="000000"/>
        </w:rPr>
      </w:pPr>
    </w:p>
    <w:p w:rsidR="000E35AE" w:rsidRPr="00241FAC" w:rsidRDefault="000E35AE" w:rsidP="000E35AE">
      <w:pPr>
        <w:spacing w:line="240" w:lineRule="auto"/>
        <w:ind w:left="851" w:right="708"/>
        <w:rPr>
          <w:rFonts w:cs="Arial"/>
          <w:i/>
          <w:color w:val="000000"/>
        </w:rPr>
      </w:pPr>
      <w:r w:rsidRPr="00241FAC">
        <w:rPr>
          <w:rFonts w:cs="Arial"/>
          <w:i/>
          <w:color w:val="000000"/>
        </w:rPr>
        <w:t xml:space="preserve">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w:t>
      </w:r>
      <w:r w:rsidRPr="00241FAC">
        <w:rPr>
          <w:rFonts w:cs="Arial"/>
          <w:b/>
          <w:i/>
          <w:color w:val="000000"/>
        </w:rPr>
        <w:t xml:space="preserve">La verificación </w:t>
      </w:r>
      <w:r w:rsidRPr="00241FAC">
        <w:rPr>
          <w:rFonts w:cs="Arial"/>
          <w:b/>
          <w:i/>
          <w:color w:val="000000"/>
        </w:rPr>
        <w:lastRenderedPageBreak/>
        <w:t>documental de las condiciones antes señaladas será efectuada por las Cámaras de Comercio</w:t>
      </w:r>
      <w:r w:rsidRPr="00241FAC">
        <w:rPr>
          <w:rFonts w:cs="Arial"/>
          <w:i/>
          <w:color w:val="000000"/>
        </w:rPr>
        <w:t xml:space="preserve"> de conformidad con lo establecido en el artículo 6 de la presente ley, de acuerdo con lo cual se expedirá la respectiva certificación.</w:t>
      </w:r>
      <w:r w:rsidR="00761C0D" w:rsidRPr="00241FAC">
        <w:rPr>
          <w:rFonts w:cs="Arial"/>
          <w:i/>
          <w:color w:val="000000"/>
        </w:rPr>
        <w:t>” (La negrilla no es del texto).</w:t>
      </w:r>
    </w:p>
    <w:p w:rsidR="000E35AE" w:rsidRPr="00241FAC" w:rsidRDefault="000E35AE" w:rsidP="000E35AE">
      <w:pPr>
        <w:spacing w:line="240" w:lineRule="auto"/>
        <w:ind w:left="851" w:right="708"/>
        <w:rPr>
          <w:rFonts w:cs="Arial"/>
          <w:i/>
          <w:color w:val="000000"/>
        </w:rPr>
      </w:pPr>
    </w:p>
    <w:p w:rsidR="000E35AE" w:rsidRPr="00241FAC" w:rsidRDefault="000E35AE" w:rsidP="000E35AE">
      <w:pPr>
        <w:rPr>
          <w:rFonts w:cs="Arial"/>
          <w:color w:val="000000"/>
        </w:rPr>
      </w:pPr>
      <w:r w:rsidRPr="00241FAC">
        <w:rPr>
          <w:rStyle w:val="Textoennegrita"/>
          <w:rFonts w:cs="Arial"/>
          <w:color w:val="000000"/>
        </w:rPr>
        <w:t>ii)</w:t>
      </w:r>
      <w:r w:rsidRPr="00241FAC">
        <w:rPr>
          <w:rStyle w:val="Textoennegrita"/>
          <w:rFonts w:cs="Arial"/>
          <w:b w:val="0"/>
          <w:color w:val="000000"/>
        </w:rPr>
        <w:t xml:space="preserve"> </w:t>
      </w:r>
      <w:r w:rsidRPr="00241FAC">
        <w:rPr>
          <w:rFonts w:cs="Arial"/>
          <w:color w:val="000000"/>
        </w:rPr>
        <w:t xml:space="preserve">Vale la pena puntualizar que a partir de la Ley 1150 de 207, la capacidad financiera sólo puede constituirse como un requisito de </w:t>
      </w:r>
      <w:r w:rsidRPr="00241FAC">
        <w:rPr>
          <w:rFonts w:cs="Arial"/>
          <w:i/>
          <w:color w:val="000000"/>
        </w:rPr>
        <w:t>habilitación</w:t>
      </w:r>
      <w:r w:rsidRPr="00241FAC">
        <w:rPr>
          <w:rFonts w:cs="Arial"/>
          <w:color w:val="000000"/>
        </w:rPr>
        <w:t>, para participar en el proceso de contratación y</w:t>
      </w:r>
      <w:r w:rsidR="00E94F4E" w:rsidRPr="00241FAC">
        <w:rPr>
          <w:rFonts w:cs="Arial"/>
          <w:color w:val="000000"/>
        </w:rPr>
        <w:t xml:space="preserve">, como regla general, </w:t>
      </w:r>
      <w:r w:rsidRPr="00241FAC">
        <w:rPr>
          <w:rFonts w:cs="Arial"/>
          <w:color w:val="000000"/>
        </w:rPr>
        <w:t xml:space="preserve">se eliminó la posibilidad </w:t>
      </w:r>
      <w:r w:rsidR="001E730E" w:rsidRPr="00241FAC">
        <w:rPr>
          <w:rFonts w:cs="Arial"/>
          <w:color w:val="000000"/>
        </w:rPr>
        <w:t>de</w:t>
      </w:r>
      <w:r w:rsidRPr="00241FAC">
        <w:rPr>
          <w:rFonts w:cs="Arial"/>
          <w:color w:val="000000"/>
        </w:rPr>
        <w:t xml:space="preserve"> exigirla como factor para asignar puntaje, tal como se estableció claramente en el artículo 5º ya citado.</w:t>
      </w:r>
    </w:p>
    <w:p w:rsidR="000E35AE" w:rsidRPr="00DC0179" w:rsidRDefault="000E35AE" w:rsidP="00DC0179">
      <w:pPr>
        <w:pStyle w:val="NormalWeb"/>
        <w:shd w:val="clear" w:color="auto" w:fill="FFFFFF"/>
        <w:rPr>
          <w:rFonts w:cs="Arial"/>
        </w:rPr>
      </w:pPr>
      <w:r w:rsidRPr="00241FAC">
        <w:rPr>
          <w:rStyle w:val="Textoennegrita"/>
          <w:rFonts w:cs="Arial"/>
          <w:color w:val="000000"/>
        </w:rPr>
        <w:t>iii)</w:t>
      </w:r>
      <w:r w:rsidRPr="00241FAC">
        <w:rPr>
          <w:rStyle w:val="Textoennegrita"/>
          <w:rFonts w:cs="Arial"/>
          <w:b w:val="0"/>
          <w:color w:val="000000"/>
        </w:rPr>
        <w:tab/>
        <w:t xml:space="preserve">Por su parte, el Decreto-ley 019 de 2012 precisó que esa condición probatoria de plena prueba opera en relación con las circunstancias que deban ser objeto de </w:t>
      </w:r>
      <w:r w:rsidRPr="00241FAC">
        <w:rPr>
          <w:rStyle w:val="Textoennegrita"/>
          <w:rFonts w:cs="Arial"/>
          <w:b w:val="0"/>
          <w:i/>
          <w:color w:val="000000"/>
        </w:rPr>
        <w:t>verificación documental</w:t>
      </w:r>
      <w:r w:rsidRPr="00241FAC">
        <w:rPr>
          <w:rStyle w:val="Textoennegrita"/>
          <w:rFonts w:cs="Arial"/>
          <w:b w:val="0"/>
          <w:color w:val="000000"/>
        </w:rPr>
        <w:t xml:space="preserve"> por parte de las Cámaras de Comercio, según se observa en el artículo 60 de la Ley 1150 modificado por el citado Decreto-ley 019:</w:t>
      </w:r>
    </w:p>
    <w:p w:rsidR="000E35AE" w:rsidRPr="00241FAC" w:rsidRDefault="000E35AE" w:rsidP="000E35AE">
      <w:pPr>
        <w:spacing w:line="240" w:lineRule="auto"/>
        <w:ind w:left="851" w:right="708"/>
        <w:rPr>
          <w:rFonts w:cs="Arial"/>
          <w:i/>
          <w:color w:val="000000"/>
        </w:rPr>
      </w:pPr>
      <w:r w:rsidRPr="00241FAC">
        <w:rPr>
          <w:rFonts w:cs="Arial"/>
          <w:i/>
          <w:color w:val="000080"/>
        </w:rPr>
        <w:t>“ARTÍCULO 6o. </w:t>
      </w:r>
      <w:r w:rsidRPr="00241FAC">
        <w:rPr>
          <w:rFonts w:cs="Arial"/>
          <w:i/>
          <w:iCs/>
          <w:color w:val="000080"/>
        </w:rPr>
        <w:t>DE LA VERIFICACIÓN DE LAS CONDICIONES DE LOS PROPONENTES.</w:t>
      </w:r>
      <w:r w:rsidRPr="00241FAC">
        <w:rPr>
          <w:rFonts w:cs="Arial"/>
          <w:i/>
          <w:color w:val="000000"/>
        </w:rPr>
        <w:t> </w:t>
      </w:r>
    </w:p>
    <w:p w:rsidR="000E35AE" w:rsidRPr="00241FAC" w:rsidRDefault="000E35AE" w:rsidP="000E35AE">
      <w:pPr>
        <w:spacing w:line="240" w:lineRule="auto"/>
        <w:ind w:left="851" w:right="708"/>
        <w:rPr>
          <w:rFonts w:cs="Arial"/>
          <w:i/>
          <w:color w:val="000000"/>
        </w:rPr>
      </w:pPr>
    </w:p>
    <w:p w:rsidR="000E35AE" w:rsidRPr="00241FAC" w:rsidRDefault="000E35AE" w:rsidP="000E35AE">
      <w:pPr>
        <w:spacing w:line="240" w:lineRule="auto"/>
        <w:ind w:left="851" w:right="708"/>
        <w:rPr>
          <w:rFonts w:cs="Arial"/>
          <w:i/>
          <w:color w:val="000000"/>
        </w:rPr>
      </w:pPr>
      <w:r w:rsidRPr="00241FAC">
        <w:rPr>
          <w:rFonts w:cs="Arial"/>
          <w:i/>
          <w:color w:val="000000"/>
        </w:rPr>
        <w:t>(…)</w:t>
      </w:r>
    </w:p>
    <w:p w:rsidR="000E35AE" w:rsidRPr="00241FAC" w:rsidRDefault="000E35AE" w:rsidP="000E35AE">
      <w:pPr>
        <w:spacing w:line="240" w:lineRule="auto"/>
        <w:ind w:left="851" w:right="708"/>
        <w:rPr>
          <w:rFonts w:cs="Arial"/>
          <w:i/>
          <w:color w:val="000000"/>
        </w:rPr>
      </w:pPr>
    </w:p>
    <w:p w:rsidR="000E35AE" w:rsidRPr="00241FAC" w:rsidRDefault="000E35AE" w:rsidP="000E35AE">
      <w:pPr>
        <w:spacing w:line="240" w:lineRule="auto"/>
        <w:ind w:left="851" w:right="708"/>
        <w:rPr>
          <w:rFonts w:cs="Arial"/>
          <w:i/>
          <w:color w:val="000000"/>
        </w:rPr>
      </w:pPr>
      <w:r w:rsidRPr="00241FAC">
        <w:rPr>
          <w:rFonts w:cs="Arial"/>
          <w:i/>
          <w:color w:val="000000"/>
        </w:rPr>
        <w:t xml:space="preserve">El certificado de Registro Único de Proponentes será plena prueba de las circunstancias que en ella se hagan constar </w:t>
      </w:r>
      <w:r w:rsidRPr="00241FAC">
        <w:rPr>
          <w:rFonts w:cs="Arial"/>
          <w:b/>
          <w:i/>
          <w:color w:val="000000"/>
          <w:u w:val="single"/>
        </w:rPr>
        <w:t>y que hayan sido verificadas por las Cámaras de Comercio</w:t>
      </w:r>
      <w:r w:rsidRPr="00241FAC">
        <w:rPr>
          <w:rStyle w:val="Refdenotaalpie"/>
          <w:rFonts w:cs="Arial"/>
          <w:i/>
          <w:color w:val="000000"/>
        </w:rPr>
        <w:footnoteReference w:id="34"/>
      </w:r>
      <w:r w:rsidRPr="00241FAC">
        <w:rPr>
          <w:rFonts w:cs="Arial"/>
          <w:i/>
          <w:color w:val="000000"/>
        </w:rPr>
        <w:t>.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rsidR="000E35AE" w:rsidRPr="00241FAC" w:rsidRDefault="000E35AE" w:rsidP="000E35AE">
      <w:pPr>
        <w:spacing w:line="240" w:lineRule="auto"/>
        <w:ind w:left="851" w:right="708"/>
        <w:rPr>
          <w:rFonts w:cs="Arial"/>
          <w:i/>
          <w:color w:val="000000"/>
        </w:rPr>
      </w:pPr>
    </w:p>
    <w:p w:rsidR="000E35AE" w:rsidRDefault="000E35AE" w:rsidP="000E35AE">
      <w:pPr>
        <w:spacing w:line="240" w:lineRule="auto"/>
        <w:ind w:left="851" w:right="708"/>
        <w:rPr>
          <w:rFonts w:cs="Arial"/>
          <w:color w:val="000000"/>
        </w:rPr>
      </w:pPr>
      <w:r w:rsidRPr="00241FAC">
        <w:rPr>
          <w:rFonts w:cs="Arial"/>
          <w:i/>
          <w:color w:val="000000"/>
        </w:rPr>
        <w:t>No obstante lo anterior, sólo en aquellos casos en que por las características del objeto a contratar se requiera la verificación de requisitos del proponente adicionales a los contenidos en el Registro, la entidad podrá hacer tal verificación en forma directa.” (…)</w:t>
      </w:r>
      <w:r w:rsidRPr="00241FAC">
        <w:rPr>
          <w:rStyle w:val="Refdenotaalpie"/>
          <w:rFonts w:cs="Arial"/>
          <w:i/>
          <w:color w:val="000000"/>
        </w:rPr>
        <w:footnoteReference w:id="35"/>
      </w:r>
      <w:r w:rsidRPr="00241FAC">
        <w:rPr>
          <w:rFonts w:cs="Arial"/>
          <w:i/>
          <w:color w:val="000000"/>
        </w:rPr>
        <w:t xml:space="preserve"> </w:t>
      </w:r>
      <w:r w:rsidRPr="00241FAC">
        <w:rPr>
          <w:rFonts w:cs="Arial"/>
          <w:color w:val="000000"/>
        </w:rPr>
        <w:t>(La negrilla no es del texto).</w:t>
      </w:r>
    </w:p>
    <w:p w:rsidR="00DC0179" w:rsidRPr="00241FAC" w:rsidRDefault="00DC0179" w:rsidP="000E35AE">
      <w:pPr>
        <w:spacing w:line="240" w:lineRule="auto"/>
        <w:ind w:left="851" w:right="708"/>
        <w:rPr>
          <w:rFonts w:cs="Arial"/>
          <w:color w:val="000000"/>
        </w:rPr>
      </w:pPr>
    </w:p>
    <w:p w:rsidR="00454A42" w:rsidRPr="00241FAC" w:rsidRDefault="00940C0D" w:rsidP="000E35AE">
      <w:pPr>
        <w:spacing w:line="240" w:lineRule="auto"/>
        <w:ind w:left="851" w:right="708"/>
        <w:rPr>
          <w:rFonts w:cs="Arial"/>
          <w:color w:val="000000"/>
        </w:rPr>
      </w:pPr>
      <w:r w:rsidRPr="00241FAC">
        <w:rPr>
          <w:rFonts w:cs="Arial"/>
          <w:color w:val="000000"/>
        </w:rPr>
        <w:t xml:space="preserve">6) </w:t>
      </w:r>
      <w:r w:rsidR="00906B25" w:rsidRPr="00241FAC">
        <w:rPr>
          <w:rFonts w:cs="Arial"/>
          <w:color w:val="000000"/>
        </w:rPr>
        <w:t>La documentación del balance como prueba dentro de la actuación administrativa</w:t>
      </w:r>
    </w:p>
    <w:p w:rsidR="00940C0D" w:rsidRPr="00241FAC" w:rsidRDefault="00940C0D" w:rsidP="000E35AE">
      <w:pPr>
        <w:spacing w:line="240" w:lineRule="auto"/>
        <w:ind w:left="851" w:right="708"/>
        <w:rPr>
          <w:rFonts w:cs="Arial"/>
          <w:color w:val="000000"/>
        </w:rPr>
      </w:pPr>
    </w:p>
    <w:p w:rsidR="00454A42" w:rsidRPr="00241FAC" w:rsidRDefault="00454A42" w:rsidP="00454A42">
      <w:pPr>
        <w:rPr>
          <w:rFonts w:cs="Arial"/>
          <w:color w:val="000000"/>
        </w:rPr>
      </w:pPr>
      <w:r w:rsidRPr="00241FAC">
        <w:rPr>
          <w:rFonts w:cs="Arial"/>
          <w:color w:val="000000"/>
        </w:rPr>
        <w:t>En cuanto a la exigencia de presentar el balance comercial cuando fue incorporada en el Pliego de Condiciones de conformidad con las reglas de la Ley 80, se</w:t>
      </w:r>
      <w:r w:rsidR="00906B25" w:rsidRPr="00241FAC">
        <w:rPr>
          <w:rFonts w:cs="Arial"/>
          <w:color w:val="000000"/>
        </w:rPr>
        <w:t xml:space="preserve"> reitera que </w:t>
      </w:r>
      <w:r w:rsidRPr="00241FAC">
        <w:rPr>
          <w:rFonts w:cs="Arial"/>
          <w:color w:val="000000"/>
        </w:rPr>
        <w:t>no existió una forma de prueba legalmente obligatoria</w:t>
      </w:r>
      <w:r w:rsidR="00906B25" w:rsidRPr="00241FAC">
        <w:rPr>
          <w:rFonts w:cs="Arial"/>
          <w:color w:val="000000"/>
        </w:rPr>
        <w:t>, no obstante lo cual</w:t>
      </w:r>
      <w:r w:rsidRPr="00241FAC">
        <w:rPr>
          <w:rFonts w:cs="Arial"/>
          <w:color w:val="000000"/>
        </w:rPr>
        <w:t xml:space="preserve"> </w:t>
      </w:r>
      <w:r w:rsidR="002F2D8B" w:rsidRPr="00241FAC">
        <w:rPr>
          <w:rFonts w:cs="Arial"/>
          <w:color w:val="000000"/>
        </w:rPr>
        <w:t xml:space="preserve">para cumplir con el mandato de establecer </w:t>
      </w:r>
      <w:r w:rsidRPr="00241FAC">
        <w:rPr>
          <w:rFonts w:cs="Arial"/>
          <w:color w:val="000000"/>
        </w:rPr>
        <w:t xml:space="preserve">reglas claras y completas para la selección objetiva, </w:t>
      </w:r>
      <w:r w:rsidR="002F2D8B" w:rsidRPr="00241FAC">
        <w:rPr>
          <w:rFonts w:cs="Arial"/>
          <w:color w:val="000000"/>
        </w:rPr>
        <w:t xml:space="preserve">lo aconsejable para la entidad contratante </w:t>
      </w:r>
      <w:r w:rsidR="009861C4" w:rsidRPr="00241FAC">
        <w:rPr>
          <w:rFonts w:cs="Arial"/>
          <w:color w:val="000000"/>
        </w:rPr>
        <w:t xml:space="preserve">era </w:t>
      </w:r>
      <w:r w:rsidRPr="00241FAC">
        <w:rPr>
          <w:rFonts w:cs="Arial"/>
          <w:color w:val="000000"/>
        </w:rPr>
        <w:t xml:space="preserve">exigir los balances con su </w:t>
      </w:r>
      <w:r w:rsidRPr="00241FAC">
        <w:rPr>
          <w:rFonts w:cs="Arial"/>
          <w:i/>
          <w:color w:val="000000"/>
        </w:rPr>
        <w:t>certificación</w:t>
      </w:r>
      <w:r w:rsidRPr="00241FAC">
        <w:rPr>
          <w:rStyle w:val="Refdenotaalpie"/>
          <w:rFonts w:cs="Arial"/>
          <w:i/>
          <w:color w:val="000000"/>
        </w:rPr>
        <w:footnoteReference w:id="36"/>
      </w:r>
      <w:r w:rsidRPr="00241FAC">
        <w:rPr>
          <w:rFonts w:cs="Arial"/>
          <w:color w:val="000000"/>
        </w:rPr>
        <w:t xml:space="preserve"> –la cual se constituye mediante una atestación o declaración adicional a la mera firma</w:t>
      </w:r>
      <w:r w:rsidR="007922EE" w:rsidRPr="00241FAC">
        <w:rPr>
          <w:rFonts w:cs="Arial"/>
          <w:color w:val="000000"/>
        </w:rPr>
        <w:t xml:space="preserve"> a partir de la precisión realizada por la Ley 222 de 1995</w:t>
      </w:r>
      <w:r w:rsidRPr="00241FAC">
        <w:rPr>
          <w:rFonts w:cs="Arial"/>
          <w:color w:val="000000"/>
        </w:rPr>
        <w:t xml:space="preserve">- con el fin de que </w:t>
      </w:r>
      <w:r w:rsidR="009861C4" w:rsidRPr="00241FAC">
        <w:rPr>
          <w:rFonts w:cs="Arial"/>
          <w:color w:val="000000"/>
        </w:rPr>
        <w:t xml:space="preserve">se </w:t>
      </w:r>
      <w:r w:rsidRPr="00241FAC">
        <w:rPr>
          <w:rFonts w:cs="Arial"/>
          <w:color w:val="000000"/>
        </w:rPr>
        <w:t>pudiera asegurar que los estado</w:t>
      </w:r>
      <w:r w:rsidR="002F2D8B" w:rsidRPr="00241FAC">
        <w:rPr>
          <w:rFonts w:cs="Arial"/>
          <w:color w:val="000000"/>
        </w:rPr>
        <w:t>s</w:t>
      </w:r>
      <w:r w:rsidRPr="00241FAC">
        <w:rPr>
          <w:rFonts w:cs="Arial"/>
          <w:color w:val="000000"/>
        </w:rPr>
        <w:t xml:space="preserve"> financieros cumplían con las disposiciones del Decreto 2649 de 1993, </w:t>
      </w:r>
      <w:r w:rsidR="005F3065" w:rsidRPr="00241FAC">
        <w:rPr>
          <w:rFonts w:cs="Arial"/>
          <w:color w:val="000000"/>
        </w:rPr>
        <w:t xml:space="preserve">contentivo de </w:t>
      </w:r>
      <w:r w:rsidRPr="00241FAC">
        <w:rPr>
          <w:rFonts w:cs="Arial"/>
          <w:color w:val="000000"/>
        </w:rPr>
        <w:t xml:space="preserve">las Normas de Contabilidad Generalmente Aceptadas en Colombia, entre ellas las que </w:t>
      </w:r>
      <w:r w:rsidR="005F3065" w:rsidRPr="00241FAC">
        <w:rPr>
          <w:rFonts w:cs="Arial"/>
          <w:color w:val="000000"/>
        </w:rPr>
        <w:t xml:space="preserve">regulaban </w:t>
      </w:r>
      <w:r w:rsidRPr="00241FAC">
        <w:rPr>
          <w:rFonts w:cs="Arial"/>
          <w:color w:val="000000"/>
        </w:rPr>
        <w:t>la contabilidad como prueba</w:t>
      </w:r>
      <w:r w:rsidRPr="00241FAC">
        <w:rPr>
          <w:rStyle w:val="Refdenotaalpie"/>
          <w:rFonts w:cs="Arial"/>
          <w:color w:val="000000"/>
        </w:rPr>
        <w:footnoteReference w:id="37"/>
      </w:r>
      <w:r w:rsidRPr="00241FAC">
        <w:rPr>
          <w:rFonts w:cs="Arial"/>
          <w:color w:val="000000"/>
        </w:rPr>
        <w:t>, así como con las disposiciones que resultaban aplicables por el Código de Comercio y la Ley 222 de 1995, en el caso de los comerciantes.</w:t>
      </w:r>
    </w:p>
    <w:p w:rsidR="00454A42" w:rsidRPr="00241FAC" w:rsidRDefault="00454A42" w:rsidP="00454A42">
      <w:pPr>
        <w:rPr>
          <w:rFonts w:cs="Arial"/>
          <w:color w:val="000000"/>
        </w:rPr>
      </w:pPr>
    </w:p>
    <w:p w:rsidR="00CE279E" w:rsidRPr="00241FAC" w:rsidRDefault="00235167" w:rsidP="0034274C">
      <w:pPr>
        <w:rPr>
          <w:rFonts w:cs="Arial"/>
          <w:bCs/>
          <w:color w:val="000000"/>
        </w:rPr>
      </w:pPr>
      <w:r w:rsidRPr="00241FAC">
        <w:rPr>
          <w:rFonts w:cs="Arial"/>
          <w:bCs/>
          <w:color w:val="000000"/>
        </w:rPr>
        <w:t xml:space="preserve">Esta </w:t>
      </w:r>
      <w:r w:rsidR="007E3252" w:rsidRPr="00241FAC">
        <w:rPr>
          <w:rFonts w:cs="Arial"/>
          <w:bCs/>
          <w:color w:val="000000"/>
        </w:rPr>
        <w:t>S</w:t>
      </w:r>
      <w:r w:rsidRPr="00241FAC">
        <w:rPr>
          <w:rFonts w:cs="Arial"/>
          <w:bCs/>
          <w:color w:val="000000"/>
        </w:rPr>
        <w:t xml:space="preserve">ubsección ha observado </w:t>
      </w:r>
      <w:r w:rsidR="00DD2EBC" w:rsidRPr="00241FAC">
        <w:rPr>
          <w:rFonts w:cs="Arial"/>
          <w:bCs/>
          <w:color w:val="000000"/>
        </w:rPr>
        <w:t xml:space="preserve">que la </w:t>
      </w:r>
      <w:r w:rsidR="00884C5B" w:rsidRPr="00241FAC">
        <w:rPr>
          <w:rFonts w:cs="Arial"/>
          <w:bCs/>
          <w:color w:val="000000"/>
        </w:rPr>
        <w:t xml:space="preserve">decisión </w:t>
      </w:r>
      <w:r w:rsidR="00DD2EBC" w:rsidRPr="00241FAC">
        <w:rPr>
          <w:rFonts w:cs="Arial"/>
          <w:bCs/>
          <w:color w:val="000000"/>
        </w:rPr>
        <w:t xml:space="preserve">consistente en exigir estados financieros </w:t>
      </w:r>
      <w:r w:rsidR="00DD2EBC" w:rsidRPr="00241FAC">
        <w:rPr>
          <w:rFonts w:cs="Arial"/>
          <w:bCs/>
          <w:i/>
          <w:color w:val="000000"/>
        </w:rPr>
        <w:t>debidamente certificados</w:t>
      </w:r>
      <w:r w:rsidR="00281CE6" w:rsidRPr="00241FAC">
        <w:rPr>
          <w:rFonts w:cs="Arial"/>
          <w:bCs/>
          <w:color w:val="000000"/>
        </w:rPr>
        <w:t xml:space="preserve"> en el procedimiento </w:t>
      </w:r>
      <w:r w:rsidR="001571FF" w:rsidRPr="00241FAC">
        <w:rPr>
          <w:rFonts w:cs="Arial"/>
          <w:bCs/>
          <w:color w:val="000000"/>
        </w:rPr>
        <w:t>de contratación</w:t>
      </w:r>
      <w:r w:rsidR="00EC60DD" w:rsidRPr="00241FAC">
        <w:rPr>
          <w:rFonts w:cs="Arial"/>
          <w:bCs/>
          <w:color w:val="000000"/>
        </w:rPr>
        <w:t xml:space="preserve"> estatal</w:t>
      </w:r>
      <w:r w:rsidR="00DD2EBC" w:rsidRPr="00241FAC">
        <w:rPr>
          <w:rFonts w:cs="Arial"/>
          <w:bCs/>
          <w:color w:val="000000"/>
        </w:rPr>
        <w:t>, guarda total conformidad con la ley</w:t>
      </w:r>
      <w:r w:rsidR="00B226C2" w:rsidRPr="00241FAC">
        <w:rPr>
          <w:rFonts w:cs="Arial"/>
          <w:bCs/>
          <w:color w:val="000000"/>
        </w:rPr>
        <w:t xml:space="preserve"> así como</w:t>
      </w:r>
      <w:r w:rsidR="001571FF" w:rsidRPr="00241FAC">
        <w:rPr>
          <w:rFonts w:cs="Arial"/>
          <w:bCs/>
          <w:color w:val="000000"/>
        </w:rPr>
        <w:t xml:space="preserve"> constituye un requisito razonable y fundado</w:t>
      </w:r>
      <w:r w:rsidR="00B226C2" w:rsidRPr="00241FAC">
        <w:rPr>
          <w:rFonts w:cs="Arial"/>
          <w:bCs/>
          <w:color w:val="000000"/>
        </w:rPr>
        <w:t xml:space="preserve"> dentro de las reglas de la contratación estatal</w:t>
      </w:r>
      <w:r w:rsidR="00DD2EBC" w:rsidRPr="00241FAC">
        <w:rPr>
          <w:rFonts w:cs="Arial"/>
          <w:bCs/>
          <w:color w:val="000000"/>
        </w:rPr>
        <w:t xml:space="preserve">, </w:t>
      </w:r>
      <w:r w:rsidR="00281CE6" w:rsidRPr="00241FAC">
        <w:rPr>
          <w:rFonts w:cs="Arial"/>
          <w:bCs/>
          <w:color w:val="000000"/>
        </w:rPr>
        <w:t>por razón de la</w:t>
      </w:r>
      <w:r w:rsidR="00252BA5" w:rsidRPr="00241FAC">
        <w:rPr>
          <w:rFonts w:cs="Arial"/>
          <w:bCs/>
          <w:color w:val="000000"/>
        </w:rPr>
        <w:t xml:space="preserve">s normas legales acerca de </w:t>
      </w:r>
      <w:r w:rsidR="00281CE6" w:rsidRPr="00241FAC">
        <w:rPr>
          <w:rFonts w:cs="Arial"/>
          <w:bCs/>
          <w:color w:val="000000"/>
        </w:rPr>
        <w:t xml:space="preserve">la </w:t>
      </w:r>
      <w:r w:rsidR="00C46280" w:rsidRPr="00241FAC">
        <w:rPr>
          <w:rFonts w:cs="Arial"/>
          <w:bCs/>
          <w:color w:val="000000"/>
        </w:rPr>
        <w:t xml:space="preserve">profesión del </w:t>
      </w:r>
      <w:r w:rsidR="00B226C2" w:rsidRPr="00241FAC">
        <w:rPr>
          <w:rFonts w:cs="Arial"/>
          <w:bCs/>
          <w:color w:val="000000"/>
        </w:rPr>
        <w:t>C</w:t>
      </w:r>
      <w:r w:rsidR="00C46280" w:rsidRPr="00241FAC">
        <w:rPr>
          <w:rFonts w:cs="Arial"/>
          <w:bCs/>
          <w:color w:val="000000"/>
        </w:rPr>
        <w:t xml:space="preserve">ontador </w:t>
      </w:r>
      <w:r w:rsidR="00B226C2" w:rsidRPr="00241FAC">
        <w:rPr>
          <w:rFonts w:cs="Arial"/>
          <w:bCs/>
          <w:color w:val="000000"/>
        </w:rPr>
        <w:t>P</w:t>
      </w:r>
      <w:r w:rsidR="00C46280" w:rsidRPr="00241FAC">
        <w:rPr>
          <w:rFonts w:cs="Arial"/>
          <w:bCs/>
          <w:color w:val="000000"/>
        </w:rPr>
        <w:t>úblico</w:t>
      </w:r>
      <w:r w:rsidR="00C46280" w:rsidRPr="00241FAC">
        <w:rPr>
          <w:rStyle w:val="Refdenotaalpie"/>
          <w:rFonts w:cs="Arial"/>
          <w:bCs/>
          <w:color w:val="000000"/>
        </w:rPr>
        <w:footnoteReference w:id="38"/>
      </w:r>
      <w:r w:rsidR="00C46280" w:rsidRPr="00241FAC">
        <w:rPr>
          <w:rFonts w:cs="Arial"/>
          <w:bCs/>
          <w:color w:val="000000"/>
        </w:rPr>
        <w:t xml:space="preserve">, </w:t>
      </w:r>
      <w:r w:rsidR="002B64D4" w:rsidRPr="00241FAC">
        <w:rPr>
          <w:rFonts w:cs="Arial"/>
          <w:bCs/>
          <w:color w:val="000000"/>
        </w:rPr>
        <w:t xml:space="preserve">así como por virtud de las </w:t>
      </w:r>
      <w:r w:rsidR="00B226C2" w:rsidRPr="00241FAC">
        <w:rPr>
          <w:rFonts w:cs="Arial"/>
          <w:bCs/>
          <w:color w:val="000000"/>
        </w:rPr>
        <w:t>N</w:t>
      </w:r>
      <w:r w:rsidR="00C46280" w:rsidRPr="00241FAC">
        <w:rPr>
          <w:rFonts w:cs="Arial"/>
          <w:bCs/>
          <w:color w:val="000000"/>
        </w:rPr>
        <w:t xml:space="preserve">ormas de </w:t>
      </w:r>
      <w:r w:rsidR="00B226C2" w:rsidRPr="00241FAC">
        <w:rPr>
          <w:rFonts w:cs="Arial"/>
          <w:bCs/>
          <w:color w:val="000000"/>
        </w:rPr>
        <w:t>C</w:t>
      </w:r>
      <w:r w:rsidR="00C46280" w:rsidRPr="00241FAC">
        <w:rPr>
          <w:rFonts w:cs="Arial"/>
          <w:bCs/>
          <w:color w:val="000000"/>
        </w:rPr>
        <w:t xml:space="preserve">ontabilidad </w:t>
      </w:r>
      <w:r w:rsidR="00B226C2" w:rsidRPr="00241FAC">
        <w:rPr>
          <w:rFonts w:cs="Arial"/>
          <w:bCs/>
          <w:color w:val="000000"/>
        </w:rPr>
        <w:t>G</w:t>
      </w:r>
      <w:r w:rsidR="00C46280" w:rsidRPr="00241FAC">
        <w:rPr>
          <w:rFonts w:cs="Arial"/>
          <w:bCs/>
          <w:color w:val="000000"/>
        </w:rPr>
        <w:t xml:space="preserve">eneralmente </w:t>
      </w:r>
      <w:r w:rsidR="00B226C2" w:rsidRPr="00241FAC">
        <w:rPr>
          <w:rFonts w:cs="Arial"/>
          <w:bCs/>
          <w:color w:val="000000"/>
        </w:rPr>
        <w:t>A</w:t>
      </w:r>
      <w:r w:rsidR="00C46280" w:rsidRPr="00241FAC">
        <w:rPr>
          <w:rFonts w:cs="Arial"/>
          <w:bCs/>
          <w:color w:val="000000"/>
        </w:rPr>
        <w:t>ceptadas en Colombia</w:t>
      </w:r>
      <w:r w:rsidR="00B226C2" w:rsidRPr="00241FAC">
        <w:rPr>
          <w:rStyle w:val="Refdenotaalpie"/>
          <w:rFonts w:cs="Arial"/>
          <w:bCs/>
          <w:color w:val="000000"/>
        </w:rPr>
        <w:footnoteReference w:id="39"/>
      </w:r>
      <w:r w:rsidR="00281CE6" w:rsidRPr="00241FAC">
        <w:rPr>
          <w:rFonts w:cs="Arial"/>
          <w:bCs/>
          <w:color w:val="000000"/>
        </w:rPr>
        <w:t xml:space="preserve"> y las disposiciones legales </w:t>
      </w:r>
      <w:r w:rsidR="002B64D4" w:rsidRPr="00241FAC">
        <w:rPr>
          <w:rFonts w:cs="Arial"/>
          <w:bCs/>
          <w:color w:val="000000"/>
        </w:rPr>
        <w:t xml:space="preserve">que regulan la </w:t>
      </w:r>
      <w:r w:rsidR="00CE279E" w:rsidRPr="00241FAC">
        <w:rPr>
          <w:rFonts w:cs="Arial"/>
          <w:bCs/>
          <w:color w:val="000000"/>
        </w:rPr>
        <w:t>elaboración y presentación de estados financieros</w:t>
      </w:r>
      <w:r w:rsidR="00102D36" w:rsidRPr="00241FAC">
        <w:rPr>
          <w:rStyle w:val="Refdenotaalpie"/>
          <w:rFonts w:cs="Arial"/>
          <w:bCs/>
          <w:color w:val="000000"/>
        </w:rPr>
        <w:footnoteReference w:id="40"/>
      </w:r>
      <w:r w:rsidR="00CE279E" w:rsidRPr="00241FAC">
        <w:rPr>
          <w:rFonts w:cs="Arial"/>
          <w:bCs/>
          <w:color w:val="000000"/>
        </w:rPr>
        <w:t>.</w:t>
      </w:r>
    </w:p>
    <w:p w:rsidR="00DC0179" w:rsidRDefault="00DC0179" w:rsidP="0034274C">
      <w:pPr>
        <w:rPr>
          <w:rFonts w:cs="Arial"/>
          <w:bCs/>
          <w:color w:val="000000"/>
        </w:rPr>
      </w:pPr>
    </w:p>
    <w:p w:rsidR="00031646" w:rsidRPr="00DC0179" w:rsidRDefault="009861C4" w:rsidP="0034274C">
      <w:pPr>
        <w:rPr>
          <w:rFonts w:cs="Arial"/>
          <w:bCs/>
          <w:color w:val="000000"/>
        </w:rPr>
      </w:pPr>
      <w:r w:rsidRPr="00241FAC">
        <w:rPr>
          <w:rFonts w:cs="Arial"/>
          <w:bCs/>
          <w:color w:val="000000"/>
        </w:rPr>
        <w:lastRenderedPageBreak/>
        <w:t xml:space="preserve">Igualmente </w:t>
      </w:r>
      <w:r w:rsidR="00C46280" w:rsidRPr="00241FAC">
        <w:rPr>
          <w:rFonts w:cs="Arial"/>
          <w:bCs/>
          <w:color w:val="000000"/>
        </w:rPr>
        <w:t xml:space="preserve">la exigencia de estados financieros </w:t>
      </w:r>
      <w:r w:rsidR="00C46280" w:rsidRPr="00241FAC">
        <w:rPr>
          <w:rFonts w:cs="Arial"/>
          <w:bCs/>
          <w:i/>
          <w:color w:val="000000"/>
        </w:rPr>
        <w:t xml:space="preserve">certificados </w:t>
      </w:r>
      <w:r w:rsidR="00C46280" w:rsidRPr="00241FAC">
        <w:rPr>
          <w:rFonts w:cs="Arial"/>
          <w:bCs/>
          <w:color w:val="000000"/>
        </w:rPr>
        <w:t>con la firma del representante legal, del contador público -y la del Revisor Fiscal en su caso-, constitu</w:t>
      </w:r>
      <w:r w:rsidR="009B4F08" w:rsidRPr="00241FAC">
        <w:rPr>
          <w:rFonts w:cs="Arial"/>
          <w:bCs/>
          <w:color w:val="000000"/>
        </w:rPr>
        <w:t xml:space="preserve">ye </w:t>
      </w:r>
      <w:r w:rsidR="00C46280" w:rsidRPr="00241FAC">
        <w:rPr>
          <w:rFonts w:cs="Arial"/>
          <w:bCs/>
          <w:color w:val="000000"/>
        </w:rPr>
        <w:t xml:space="preserve">un requisito </w:t>
      </w:r>
      <w:r w:rsidR="00884C5B" w:rsidRPr="00241FAC">
        <w:rPr>
          <w:rFonts w:cs="Arial"/>
          <w:bCs/>
          <w:color w:val="000000"/>
        </w:rPr>
        <w:t xml:space="preserve">idóneo </w:t>
      </w:r>
      <w:r w:rsidR="00C46280" w:rsidRPr="00241FAC">
        <w:rPr>
          <w:rFonts w:cs="Arial"/>
          <w:bCs/>
          <w:color w:val="000000"/>
        </w:rPr>
        <w:t xml:space="preserve">para acreditar </w:t>
      </w:r>
      <w:r w:rsidR="00640D79" w:rsidRPr="00241FAC">
        <w:rPr>
          <w:rFonts w:cs="Arial"/>
          <w:bCs/>
          <w:color w:val="000000"/>
        </w:rPr>
        <w:t xml:space="preserve">debidamente </w:t>
      </w:r>
      <w:r w:rsidR="00C46280" w:rsidRPr="00241FAC">
        <w:rPr>
          <w:rFonts w:cs="Arial"/>
          <w:bCs/>
          <w:color w:val="000000"/>
        </w:rPr>
        <w:t xml:space="preserve">las condiciones financieras del proponente </w:t>
      </w:r>
      <w:r w:rsidR="008A5271" w:rsidRPr="00241FAC">
        <w:rPr>
          <w:rFonts w:cs="Arial"/>
          <w:bCs/>
          <w:color w:val="000000"/>
        </w:rPr>
        <w:t xml:space="preserve">en aquellos casos en que </w:t>
      </w:r>
      <w:r w:rsidR="00275A30" w:rsidRPr="00241FAC">
        <w:rPr>
          <w:rFonts w:cs="Arial"/>
          <w:bCs/>
          <w:color w:val="000000"/>
        </w:rPr>
        <w:t xml:space="preserve">la entidad contratante </w:t>
      </w:r>
      <w:r w:rsidR="00B75542" w:rsidRPr="00241FAC">
        <w:rPr>
          <w:rFonts w:cs="Arial"/>
          <w:bCs/>
          <w:color w:val="000000"/>
        </w:rPr>
        <w:t xml:space="preserve">decide </w:t>
      </w:r>
      <w:r w:rsidR="00C46280" w:rsidRPr="00241FAC">
        <w:rPr>
          <w:rFonts w:cs="Arial"/>
          <w:bCs/>
          <w:color w:val="000000"/>
        </w:rPr>
        <w:t>exig</w:t>
      </w:r>
      <w:r w:rsidR="00B75542" w:rsidRPr="00241FAC">
        <w:rPr>
          <w:rFonts w:cs="Arial"/>
          <w:bCs/>
          <w:color w:val="000000"/>
        </w:rPr>
        <w:t>ir</w:t>
      </w:r>
      <w:r w:rsidR="008A5271" w:rsidRPr="00241FAC">
        <w:rPr>
          <w:rFonts w:cs="Arial"/>
          <w:bCs/>
          <w:color w:val="000000"/>
        </w:rPr>
        <w:t xml:space="preserve"> la presentación de estados financieros </w:t>
      </w:r>
      <w:r w:rsidR="00B75542" w:rsidRPr="00241FAC">
        <w:rPr>
          <w:rFonts w:cs="Arial"/>
          <w:bCs/>
          <w:color w:val="000000"/>
        </w:rPr>
        <w:t xml:space="preserve">para efectos de </w:t>
      </w:r>
      <w:r w:rsidR="00C46280" w:rsidRPr="00241FAC">
        <w:rPr>
          <w:rFonts w:cs="Arial"/>
          <w:bCs/>
          <w:color w:val="000000"/>
        </w:rPr>
        <w:t xml:space="preserve">la </w:t>
      </w:r>
      <w:r w:rsidR="00631A8A" w:rsidRPr="00241FAC">
        <w:rPr>
          <w:rFonts w:cs="Arial"/>
          <w:bCs/>
          <w:color w:val="000000"/>
        </w:rPr>
        <w:t xml:space="preserve">contratación </w:t>
      </w:r>
      <w:r w:rsidR="00C46280" w:rsidRPr="00241FAC">
        <w:rPr>
          <w:rFonts w:cs="Arial"/>
          <w:bCs/>
          <w:color w:val="000000"/>
        </w:rPr>
        <w:t>pública</w:t>
      </w:r>
      <w:r w:rsidR="00C46280" w:rsidRPr="00241FAC">
        <w:rPr>
          <w:rStyle w:val="Refdenotaalpie"/>
          <w:rFonts w:cs="Arial"/>
          <w:bCs/>
          <w:color w:val="000000"/>
        </w:rPr>
        <w:footnoteReference w:id="41"/>
      </w:r>
      <w:r w:rsidR="00C46280" w:rsidRPr="00241FAC">
        <w:rPr>
          <w:rFonts w:cs="Arial"/>
          <w:bCs/>
          <w:color w:val="000000"/>
        </w:rPr>
        <w:t xml:space="preserve">, por las siguientes razones: </w:t>
      </w:r>
      <w:r w:rsidR="00235167" w:rsidRPr="00241FAC">
        <w:rPr>
          <w:rFonts w:cs="Arial"/>
          <w:b/>
          <w:bCs/>
          <w:color w:val="000000"/>
        </w:rPr>
        <w:t>i)</w:t>
      </w:r>
      <w:r w:rsidR="00235167" w:rsidRPr="00241FAC">
        <w:rPr>
          <w:rFonts w:cs="Arial"/>
          <w:bCs/>
          <w:color w:val="000000"/>
        </w:rPr>
        <w:t xml:space="preserve"> </w:t>
      </w:r>
      <w:r w:rsidR="00C46280" w:rsidRPr="00241FAC">
        <w:rPr>
          <w:rFonts w:cs="Arial"/>
          <w:bCs/>
          <w:color w:val="000000"/>
        </w:rPr>
        <w:t xml:space="preserve">La delegación para otorgar fe pública contable acerca de los aspectos definidos en la ley en relación con los estados financieros, se encuentra radicada en cabeza del Contador Público </w:t>
      </w:r>
      <w:r w:rsidR="00235167" w:rsidRPr="00241FAC">
        <w:rPr>
          <w:rFonts w:cs="Arial"/>
          <w:bCs/>
          <w:color w:val="000000"/>
        </w:rPr>
        <w:t xml:space="preserve">de acuerdo con la </w:t>
      </w:r>
      <w:r w:rsidR="00C46280" w:rsidRPr="00241FAC">
        <w:rPr>
          <w:rFonts w:cs="Arial"/>
          <w:bCs/>
          <w:color w:val="000000"/>
        </w:rPr>
        <w:t>Ley 43 de 1990</w:t>
      </w:r>
      <w:r w:rsidR="008170EC" w:rsidRPr="00241FAC">
        <w:rPr>
          <w:rStyle w:val="Refdenotaalpie"/>
          <w:rFonts w:cs="Arial"/>
          <w:bCs/>
          <w:color w:val="000000"/>
        </w:rPr>
        <w:footnoteReference w:id="42"/>
      </w:r>
      <w:r w:rsidR="00C46280" w:rsidRPr="00241FAC">
        <w:rPr>
          <w:rFonts w:cs="Arial"/>
          <w:bCs/>
          <w:color w:val="000000"/>
        </w:rPr>
        <w:t xml:space="preserve"> </w:t>
      </w:r>
      <w:r w:rsidR="001946DE" w:rsidRPr="00241FAC">
        <w:rPr>
          <w:rFonts w:cs="Arial"/>
          <w:bCs/>
          <w:color w:val="000000"/>
        </w:rPr>
        <w:t xml:space="preserve">y </w:t>
      </w:r>
      <w:r w:rsidR="001946DE" w:rsidRPr="00241FAC">
        <w:rPr>
          <w:rFonts w:cs="Arial"/>
          <w:b/>
          <w:bCs/>
          <w:color w:val="000000"/>
        </w:rPr>
        <w:t>ii)</w:t>
      </w:r>
      <w:r w:rsidR="001946DE" w:rsidRPr="00241FAC">
        <w:rPr>
          <w:rFonts w:cs="Arial"/>
          <w:bCs/>
          <w:color w:val="000000"/>
        </w:rPr>
        <w:t xml:space="preserve"> </w:t>
      </w:r>
      <w:r w:rsidR="00330134" w:rsidRPr="00241FAC">
        <w:rPr>
          <w:rFonts w:cs="Arial"/>
          <w:bCs/>
          <w:color w:val="000000"/>
        </w:rPr>
        <w:t>El Decreto 26</w:t>
      </w:r>
      <w:r w:rsidR="00951472" w:rsidRPr="00241FAC">
        <w:rPr>
          <w:rFonts w:cs="Arial"/>
          <w:bCs/>
          <w:color w:val="000000"/>
        </w:rPr>
        <w:t>4</w:t>
      </w:r>
      <w:r w:rsidR="00330134" w:rsidRPr="00241FAC">
        <w:rPr>
          <w:rFonts w:cs="Arial"/>
          <w:bCs/>
          <w:color w:val="000000"/>
        </w:rPr>
        <w:t>9 de 1993</w:t>
      </w:r>
      <w:r w:rsidR="005C0C13" w:rsidRPr="00241FAC">
        <w:rPr>
          <w:rStyle w:val="Refdenotaalpie"/>
          <w:rFonts w:cs="Arial"/>
          <w:bCs/>
          <w:color w:val="000000"/>
        </w:rPr>
        <w:footnoteReference w:id="43"/>
      </w:r>
      <w:r w:rsidR="00330134" w:rsidRPr="00241FAC">
        <w:rPr>
          <w:rFonts w:cs="Arial"/>
          <w:bCs/>
          <w:color w:val="000000"/>
        </w:rPr>
        <w:t>, estableció un contenido específico</w:t>
      </w:r>
      <w:r w:rsidR="006F0954" w:rsidRPr="00241FAC">
        <w:rPr>
          <w:rFonts w:cs="Arial"/>
          <w:bCs/>
          <w:color w:val="000000"/>
        </w:rPr>
        <w:t xml:space="preserve"> para</w:t>
      </w:r>
      <w:r w:rsidR="00330134" w:rsidRPr="00241FAC">
        <w:rPr>
          <w:rFonts w:cs="Arial"/>
          <w:bCs/>
          <w:color w:val="000000"/>
        </w:rPr>
        <w:t xml:space="preserve"> la certificación de los estados financieros</w:t>
      </w:r>
      <w:r w:rsidR="001239DC" w:rsidRPr="00241FAC">
        <w:rPr>
          <w:rFonts w:cs="Arial"/>
          <w:bCs/>
          <w:color w:val="000000"/>
        </w:rPr>
        <w:t xml:space="preserve">, aspecto </w:t>
      </w:r>
      <w:r w:rsidR="007E3252" w:rsidRPr="00241FAC">
        <w:rPr>
          <w:rFonts w:cs="Arial"/>
          <w:bCs/>
          <w:color w:val="000000"/>
        </w:rPr>
        <w:t xml:space="preserve">que se </w:t>
      </w:r>
      <w:r w:rsidR="002D423B" w:rsidRPr="00241FAC">
        <w:rPr>
          <w:rFonts w:cs="Arial"/>
          <w:bCs/>
          <w:color w:val="000000"/>
        </w:rPr>
        <w:t xml:space="preserve">consagró </w:t>
      </w:r>
      <w:r w:rsidR="00441C05" w:rsidRPr="00241FAC">
        <w:rPr>
          <w:rFonts w:cs="Arial"/>
          <w:bCs/>
          <w:color w:val="000000"/>
        </w:rPr>
        <w:t xml:space="preserve">a nivel legal </w:t>
      </w:r>
      <w:r w:rsidR="00ED13FC" w:rsidRPr="00241FAC">
        <w:rPr>
          <w:rFonts w:cs="Arial"/>
          <w:bCs/>
          <w:color w:val="000000"/>
        </w:rPr>
        <w:t xml:space="preserve">acompañado de </w:t>
      </w:r>
      <w:r w:rsidR="00D80FB9" w:rsidRPr="00241FAC">
        <w:rPr>
          <w:rFonts w:cs="Arial"/>
          <w:bCs/>
          <w:color w:val="000000"/>
        </w:rPr>
        <w:t xml:space="preserve">una </w:t>
      </w:r>
      <w:r w:rsidR="00D80FB9" w:rsidRPr="00241FAC">
        <w:rPr>
          <w:rFonts w:cs="Arial"/>
          <w:bCs/>
          <w:i/>
          <w:color w:val="000000"/>
        </w:rPr>
        <w:t>presunción de autenticidad</w:t>
      </w:r>
      <w:r w:rsidR="00D80FB9" w:rsidRPr="00241FAC">
        <w:rPr>
          <w:rFonts w:cs="Arial"/>
          <w:bCs/>
          <w:color w:val="000000"/>
        </w:rPr>
        <w:t xml:space="preserve">, </w:t>
      </w:r>
      <w:r w:rsidR="007E3252" w:rsidRPr="00241FAC">
        <w:rPr>
          <w:rFonts w:cs="Arial"/>
          <w:bCs/>
          <w:color w:val="000000"/>
        </w:rPr>
        <w:t xml:space="preserve">de </w:t>
      </w:r>
      <w:r w:rsidR="00D80FB9" w:rsidRPr="00241FAC">
        <w:rPr>
          <w:rFonts w:cs="Arial"/>
          <w:bCs/>
          <w:color w:val="000000"/>
        </w:rPr>
        <w:t xml:space="preserve">acuerdo con </w:t>
      </w:r>
      <w:r w:rsidR="001239DC" w:rsidRPr="00241FAC">
        <w:rPr>
          <w:rFonts w:cs="Arial"/>
          <w:bCs/>
          <w:color w:val="000000"/>
        </w:rPr>
        <w:t xml:space="preserve">la </w:t>
      </w:r>
      <w:r w:rsidR="00801243" w:rsidRPr="00241FAC">
        <w:rPr>
          <w:rFonts w:cs="Arial"/>
          <w:bCs/>
          <w:color w:val="000000"/>
        </w:rPr>
        <w:t>Ley 222 de 1995</w:t>
      </w:r>
      <w:r w:rsidR="00640D79" w:rsidRPr="00241FAC">
        <w:rPr>
          <w:rStyle w:val="Refdenotaalpie"/>
          <w:rFonts w:cs="Arial"/>
          <w:bCs/>
          <w:color w:val="000000"/>
        </w:rPr>
        <w:footnoteReference w:id="44"/>
      </w:r>
      <w:r w:rsidR="00801243" w:rsidRPr="00241FAC">
        <w:rPr>
          <w:rFonts w:cs="Arial"/>
          <w:bCs/>
          <w:color w:val="000000"/>
        </w:rPr>
        <w:t xml:space="preserve">, </w:t>
      </w:r>
      <w:r w:rsidR="00D80FB9" w:rsidRPr="00241FAC">
        <w:rPr>
          <w:rFonts w:cs="Arial"/>
          <w:color w:val="000000"/>
        </w:rPr>
        <w:t xml:space="preserve">en cuanto </w:t>
      </w:r>
      <w:r w:rsidR="001E730E" w:rsidRPr="00241FAC">
        <w:rPr>
          <w:rFonts w:cs="Arial"/>
          <w:color w:val="000000"/>
        </w:rPr>
        <w:t xml:space="preserve">se </w:t>
      </w:r>
      <w:r w:rsidR="00D80FB9" w:rsidRPr="00241FAC">
        <w:rPr>
          <w:rFonts w:cs="Arial"/>
          <w:color w:val="000000"/>
        </w:rPr>
        <w:t>disp</w:t>
      </w:r>
      <w:r w:rsidR="0034274C" w:rsidRPr="00241FAC">
        <w:rPr>
          <w:rFonts w:cs="Arial"/>
          <w:color w:val="000000"/>
        </w:rPr>
        <w:t xml:space="preserve">uso </w:t>
      </w:r>
      <w:r w:rsidR="00D80FB9" w:rsidRPr="00241FAC">
        <w:rPr>
          <w:rFonts w:cs="Arial"/>
          <w:color w:val="000000"/>
        </w:rPr>
        <w:t xml:space="preserve">que </w:t>
      </w:r>
      <w:r w:rsidR="00C156FE" w:rsidRPr="00241FAC">
        <w:rPr>
          <w:rFonts w:cs="Arial"/>
          <w:color w:val="000000"/>
        </w:rPr>
        <w:t>“</w:t>
      </w:r>
      <w:r w:rsidR="00C156FE" w:rsidRPr="00241FAC">
        <w:rPr>
          <w:rFonts w:cs="Arial"/>
          <w:i/>
          <w:color w:val="000000"/>
          <w:lang w:val="es-MX" w:eastAsia="es-MX"/>
        </w:rPr>
        <w:t xml:space="preserve">La certificación consiste en declarar que </w:t>
      </w:r>
      <w:r w:rsidR="00C156FE" w:rsidRPr="00241FAC">
        <w:rPr>
          <w:rFonts w:cs="Arial"/>
          <w:i/>
          <w:color w:val="000000"/>
          <w:lang w:val="es-MX" w:eastAsia="es-MX"/>
        </w:rPr>
        <w:lastRenderedPageBreak/>
        <w:t xml:space="preserve">se han verificado previamente las afirmaciones contenidas en </w:t>
      </w:r>
      <w:r w:rsidR="00ED13FC" w:rsidRPr="00241FAC">
        <w:rPr>
          <w:rFonts w:cs="Arial"/>
          <w:i/>
          <w:color w:val="000000"/>
          <w:lang w:val="es-MX" w:eastAsia="es-MX"/>
        </w:rPr>
        <w:t xml:space="preserve">los </w:t>
      </w:r>
      <w:r w:rsidR="00031646" w:rsidRPr="00241FAC">
        <w:rPr>
          <w:rFonts w:cs="Arial"/>
          <w:i/>
          <w:color w:val="000000"/>
          <w:lang w:val="es-MX" w:eastAsia="es-MX"/>
        </w:rPr>
        <w:t xml:space="preserve">mismos [estados financieros] </w:t>
      </w:r>
      <w:r w:rsidR="00ED13FC" w:rsidRPr="00241FAC">
        <w:rPr>
          <w:rFonts w:cs="Arial"/>
          <w:i/>
          <w:color w:val="000000"/>
          <w:lang w:val="es-MX" w:eastAsia="es-MX"/>
        </w:rPr>
        <w:t xml:space="preserve"> </w:t>
      </w:r>
      <w:r w:rsidR="00C156FE" w:rsidRPr="00241FAC">
        <w:rPr>
          <w:rFonts w:cs="Arial"/>
          <w:i/>
          <w:color w:val="000000"/>
          <w:lang w:val="es-MX" w:eastAsia="es-MX"/>
        </w:rPr>
        <w:t>conforme al reglamento, y que las mismas se han tomado fielmente de los libros</w:t>
      </w:r>
      <w:r w:rsidR="00330134" w:rsidRPr="00241FAC">
        <w:rPr>
          <w:rFonts w:cs="Arial"/>
          <w:i/>
          <w:color w:val="000000"/>
          <w:lang w:val="es-MX" w:eastAsia="es-MX"/>
        </w:rPr>
        <w:t>”</w:t>
      </w:r>
      <w:r w:rsidR="00ED13FC" w:rsidRPr="00241FAC">
        <w:rPr>
          <w:rFonts w:cs="Arial"/>
          <w:i/>
          <w:color w:val="000000"/>
        </w:rPr>
        <w:t xml:space="preserve">, </w:t>
      </w:r>
      <w:r w:rsidR="005E595C" w:rsidRPr="00241FAC">
        <w:rPr>
          <w:rFonts w:cs="Arial"/>
          <w:color w:val="000000"/>
        </w:rPr>
        <w:t>así</w:t>
      </w:r>
      <w:r w:rsidR="00CE279E" w:rsidRPr="00241FAC">
        <w:rPr>
          <w:rFonts w:cs="Arial"/>
          <w:color w:val="000000"/>
        </w:rPr>
        <w:t xml:space="preserve"> </w:t>
      </w:r>
      <w:r w:rsidR="005E595C" w:rsidRPr="00241FAC">
        <w:rPr>
          <w:rFonts w:cs="Arial"/>
          <w:color w:val="000000"/>
        </w:rPr>
        <w:t xml:space="preserve">como </w:t>
      </w:r>
      <w:r w:rsidR="00285A0C" w:rsidRPr="00241FAC">
        <w:rPr>
          <w:rFonts w:cs="Arial"/>
          <w:color w:val="000000"/>
        </w:rPr>
        <w:t xml:space="preserve">también la </w:t>
      </w:r>
      <w:r w:rsidR="009A479F" w:rsidRPr="00241FAC">
        <w:rPr>
          <w:rFonts w:cs="Arial"/>
          <w:color w:val="000000"/>
        </w:rPr>
        <w:t xml:space="preserve">misma </w:t>
      </w:r>
      <w:r w:rsidR="00285A0C" w:rsidRPr="00241FAC">
        <w:rPr>
          <w:rFonts w:cs="Arial"/>
          <w:color w:val="000000"/>
        </w:rPr>
        <w:t xml:space="preserve">Ley </w:t>
      </w:r>
      <w:r w:rsidR="008A5271" w:rsidRPr="00241FAC">
        <w:rPr>
          <w:rFonts w:cs="Arial"/>
          <w:color w:val="000000"/>
        </w:rPr>
        <w:t>consagr</w:t>
      </w:r>
      <w:r w:rsidR="00285A0C" w:rsidRPr="00241FAC">
        <w:rPr>
          <w:rFonts w:cs="Arial"/>
          <w:color w:val="000000"/>
        </w:rPr>
        <w:t>ó</w:t>
      </w:r>
      <w:r w:rsidR="008A5271" w:rsidRPr="00241FAC">
        <w:rPr>
          <w:rFonts w:cs="Arial"/>
          <w:color w:val="000000"/>
        </w:rPr>
        <w:t xml:space="preserve"> un valor probatorio a los estados fina</w:t>
      </w:r>
      <w:r w:rsidR="00673DDA" w:rsidRPr="00241FAC">
        <w:rPr>
          <w:rFonts w:cs="Arial"/>
          <w:color w:val="000000"/>
        </w:rPr>
        <w:t>n</w:t>
      </w:r>
      <w:r w:rsidR="008A5271" w:rsidRPr="00241FAC">
        <w:rPr>
          <w:rFonts w:cs="Arial"/>
          <w:color w:val="000000"/>
        </w:rPr>
        <w:t xml:space="preserve">cieros certificados, </w:t>
      </w:r>
      <w:r w:rsidR="00673DDA" w:rsidRPr="00241FAC">
        <w:rPr>
          <w:rFonts w:cs="Arial"/>
          <w:color w:val="000000"/>
        </w:rPr>
        <w:t>así</w:t>
      </w:r>
      <w:r w:rsidR="005E595C" w:rsidRPr="00241FAC">
        <w:rPr>
          <w:rFonts w:cs="Arial"/>
          <w:color w:val="000000"/>
        </w:rPr>
        <w:t>:</w:t>
      </w:r>
      <w:r w:rsidR="005E595C" w:rsidRPr="00241FAC">
        <w:rPr>
          <w:rFonts w:cs="Arial"/>
          <w:i/>
          <w:color w:val="000000"/>
        </w:rPr>
        <w:t xml:space="preserve"> </w:t>
      </w:r>
      <w:r w:rsidR="00031646" w:rsidRPr="00241FAC">
        <w:rPr>
          <w:rFonts w:cs="Arial"/>
          <w:i/>
          <w:color w:val="000000"/>
        </w:rPr>
        <w:t>”Salvo prueba en contrario, los estados financieros certificados y los dictámenes correspondientes se presumen auténticos.”</w:t>
      </w:r>
      <w:r w:rsidR="00CE279E" w:rsidRPr="00241FAC">
        <w:rPr>
          <w:rStyle w:val="Ttulo1Car"/>
          <w:rFonts w:ascii="Arial" w:hAnsi="Arial" w:cs="Arial"/>
          <w:i/>
          <w:color w:val="000000"/>
          <w:sz w:val="24"/>
        </w:rPr>
        <w:t xml:space="preserve"> </w:t>
      </w:r>
      <w:r w:rsidR="00CE279E" w:rsidRPr="00241FAC">
        <w:rPr>
          <w:rStyle w:val="Refdenotaalpie"/>
          <w:rFonts w:cs="Arial"/>
          <w:i/>
          <w:color w:val="000000"/>
        </w:rPr>
        <w:footnoteReference w:id="45"/>
      </w:r>
    </w:p>
    <w:p w:rsidR="00031646" w:rsidRPr="00241FAC" w:rsidRDefault="00031646" w:rsidP="007E3252">
      <w:pPr>
        <w:spacing w:line="240" w:lineRule="auto"/>
        <w:rPr>
          <w:rFonts w:cs="Arial"/>
          <w:i/>
          <w:color w:val="000000"/>
        </w:rPr>
      </w:pPr>
    </w:p>
    <w:p w:rsidR="00ED13FC" w:rsidRPr="00241FAC" w:rsidRDefault="00F85977" w:rsidP="007E3252">
      <w:pPr>
        <w:spacing w:line="240" w:lineRule="auto"/>
        <w:rPr>
          <w:rFonts w:cs="Arial"/>
          <w:color w:val="000000"/>
        </w:rPr>
      </w:pPr>
      <w:r w:rsidRPr="00241FAC">
        <w:rPr>
          <w:rFonts w:cs="Arial"/>
          <w:color w:val="000000"/>
        </w:rPr>
        <w:t>En su oportunidad esta Subsección puntualizó lo siguiente:</w:t>
      </w:r>
    </w:p>
    <w:p w:rsidR="00C46280" w:rsidRPr="00241FAC" w:rsidRDefault="00C46280" w:rsidP="00C46280">
      <w:pPr>
        <w:spacing w:line="240" w:lineRule="auto"/>
        <w:ind w:left="851" w:right="902"/>
        <w:rPr>
          <w:rFonts w:cs="Arial"/>
          <w:i/>
          <w:color w:val="000000"/>
        </w:rPr>
      </w:pPr>
    </w:p>
    <w:p w:rsidR="00C46280" w:rsidRPr="00241FAC" w:rsidRDefault="00F85977" w:rsidP="00F85977">
      <w:pPr>
        <w:pStyle w:val="NormalWeb"/>
        <w:shd w:val="clear" w:color="auto" w:fill="FFFFFF"/>
        <w:spacing w:line="240" w:lineRule="auto"/>
        <w:ind w:left="851" w:right="567"/>
        <w:rPr>
          <w:rFonts w:cs="Arial"/>
          <w:bCs/>
          <w:i/>
          <w:color w:val="000000"/>
        </w:rPr>
      </w:pPr>
      <w:r w:rsidRPr="00241FAC">
        <w:rPr>
          <w:rFonts w:cs="Arial"/>
          <w:bCs/>
          <w:i/>
          <w:color w:val="000000"/>
        </w:rPr>
        <w:t>“</w:t>
      </w:r>
      <w:r w:rsidR="00C46280" w:rsidRPr="00241FAC">
        <w:rPr>
          <w:rFonts w:cs="Arial"/>
          <w:bCs/>
          <w:i/>
          <w:color w:val="000000"/>
        </w:rPr>
        <w:t>De acuerdo con la normativa antes citada cabe preguntar cuál es el estatus de los estados financieros que no se encuentran certificados, frente a los cual ha de decirse que tales estados financieros no estarían cobijados por la fe pública acerca de la conformidad de los saldos con los libros de contabilidad y de la fidelidad de su contenido, vale decir constituyen una información financiera de la cual no se conoce si es fidedigna o no.</w:t>
      </w:r>
      <w:r w:rsidRPr="00241FAC">
        <w:rPr>
          <w:rFonts w:cs="Arial"/>
          <w:bCs/>
          <w:i/>
          <w:color w:val="000000"/>
        </w:rPr>
        <w:t>”</w:t>
      </w:r>
      <w:r w:rsidR="00C46280" w:rsidRPr="00241FAC">
        <w:rPr>
          <w:rFonts w:cs="Arial"/>
          <w:bCs/>
          <w:i/>
          <w:color w:val="000000"/>
        </w:rPr>
        <w:t xml:space="preserve"> </w:t>
      </w:r>
      <w:r w:rsidR="00A307E4" w:rsidRPr="00241FAC">
        <w:rPr>
          <w:rStyle w:val="Refdenotaalpie"/>
          <w:rFonts w:cs="Arial"/>
          <w:bCs/>
          <w:i/>
          <w:color w:val="000000"/>
        </w:rPr>
        <w:footnoteReference w:id="46"/>
      </w:r>
    </w:p>
    <w:p w:rsidR="00C46280" w:rsidRPr="00241FAC" w:rsidRDefault="00C46280" w:rsidP="00C46280">
      <w:pPr>
        <w:pStyle w:val="NormalWeb"/>
        <w:shd w:val="clear" w:color="auto" w:fill="FFFFFF"/>
        <w:rPr>
          <w:rFonts w:cs="Arial"/>
          <w:bCs/>
          <w:color w:val="000000"/>
        </w:rPr>
      </w:pPr>
      <w:r w:rsidRPr="00241FAC">
        <w:rPr>
          <w:rFonts w:cs="Arial"/>
          <w:bCs/>
          <w:color w:val="000000"/>
        </w:rPr>
        <w:t>En e</w:t>
      </w:r>
      <w:r w:rsidR="0034274C" w:rsidRPr="00241FAC">
        <w:rPr>
          <w:rFonts w:cs="Arial"/>
          <w:bCs/>
          <w:color w:val="000000"/>
        </w:rPr>
        <w:t xml:space="preserve">l mismo </w:t>
      </w:r>
      <w:r w:rsidRPr="00241FAC">
        <w:rPr>
          <w:rFonts w:cs="Arial"/>
          <w:bCs/>
          <w:color w:val="000000"/>
        </w:rPr>
        <w:t>sentido</w:t>
      </w:r>
      <w:r w:rsidR="003D1F91" w:rsidRPr="00241FAC">
        <w:rPr>
          <w:rFonts w:cs="Arial"/>
          <w:bCs/>
          <w:color w:val="000000"/>
        </w:rPr>
        <w:t>,</w:t>
      </w:r>
      <w:r w:rsidRPr="00241FAC">
        <w:rPr>
          <w:rFonts w:cs="Arial"/>
          <w:bCs/>
          <w:color w:val="000000"/>
        </w:rPr>
        <w:t xml:space="preserve"> </w:t>
      </w:r>
      <w:r w:rsidR="003D1F91" w:rsidRPr="00241FAC">
        <w:rPr>
          <w:rFonts w:cs="Arial"/>
          <w:bCs/>
          <w:color w:val="000000"/>
        </w:rPr>
        <w:t>la Sección Cuarta d</w:t>
      </w:r>
      <w:r w:rsidRPr="00241FAC">
        <w:rPr>
          <w:rFonts w:cs="Arial"/>
          <w:bCs/>
          <w:color w:val="000000"/>
        </w:rPr>
        <w:t>el Consejo de Estado ha observado que los estados financieros carecen de valor probatorio cuanto no se encuentren certificados, así:</w:t>
      </w:r>
    </w:p>
    <w:p w:rsidR="00C46280" w:rsidRPr="00241FAC" w:rsidRDefault="00C46280" w:rsidP="00C46280">
      <w:pPr>
        <w:pStyle w:val="NormalWeb"/>
        <w:shd w:val="clear" w:color="auto" w:fill="FFFFFF"/>
        <w:spacing w:beforeAutospacing="0" w:afterAutospacing="0" w:line="240" w:lineRule="auto"/>
        <w:ind w:left="851" w:right="900"/>
        <w:rPr>
          <w:rFonts w:cs="Arial"/>
          <w:b/>
          <w:bCs/>
          <w:i/>
          <w:color w:val="000000"/>
        </w:rPr>
      </w:pPr>
      <w:r w:rsidRPr="00241FAC">
        <w:rPr>
          <w:rFonts w:cs="Arial"/>
          <w:i/>
          <w:color w:val="000000"/>
          <w:shd w:val="clear" w:color="auto" w:fill="FFFFFF"/>
        </w:rPr>
        <w:lastRenderedPageBreak/>
        <w:t>“(...) tanto el contador público como el representante legal deben certificar los estados financieros. Por tanto, si el representante legal omite la firma de los estados financieros, no se está frente a un estado financiero certificado, y un estado financiero que no esté certificado no tiene valor probatorio, puesto que no cumple con los requisitos legales mínimos para que goce de la presunción de autenticidad que le confiere el artículo 39 de la Ley 222 de 1995 (...)</w:t>
      </w:r>
      <w:r w:rsidRPr="00241FAC">
        <w:rPr>
          <w:rStyle w:val="Refdenotaalpie"/>
          <w:rFonts w:cs="Arial"/>
          <w:i/>
          <w:color w:val="000000"/>
          <w:shd w:val="clear" w:color="auto" w:fill="FFFFFF"/>
        </w:rPr>
        <w:footnoteReference w:id="47"/>
      </w:r>
    </w:p>
    <w:p w:rsidR="00CB02BC" w:rsidRPr="00241FAC" w:rsidRDefault="00CB02BC" w:rsidP="009861C4">
      <w:pPr>
        <w:pStyle w:val="Lista"/>
        <w:spacing w:line="360" w:lineRule="auto"/>
        <w:ind w:left="0" w:firstLine="0"/>
        <w:rPr>
          <w:rFonts w:ascii="Arial" w:hAnsi="Arial" w:cs="Arial"/>
          <w:b/>
        </w:rPr>
      </w:pPr>
    </w:p>
    <w:p w:rsidR="009861C4" w:rsidRPr="00241FAC" w:rsidRDefault="006F5381" w:rsidP="009861C4">
      <w:pPr>
        <w:pStyle w:val="Lista"/>
        <w:spacing w:line="360" w:lineRule="auto"/>
        <w:ind w:left="0" w:firstLine="0"/>
        <w:rPr>
          <w:rFonts w:ascii="Arial" w:hAnsi="Arial" w:cs="Arial"/>
          <w:b/>
        </w:rPr>
      </w:pPr>
      <w:r w:rsidRPr="00241FAC">
        <w:rPr>
          <w:rFonts w:ascii="Arial" w:hAnsi="Arial" w:cs="Arial"/>
          <w:b/>
        </w:rPr>
        <w:t>6</w:t>
      </w:r>
      <w:r w:rsidR="005C2766" w:rsidRPr="00241FAC">
        <w:rPr>
          <w:rFonts w:ascii="Arial" w:hAnsi="Arial" w:cs="Arial"/>
          <w:b/>
        </w:rPr>
        <w:t>.</w:t>
      </w:r>
      <w:r w:rsidR="005C2766" w:rsidRPr="00241FAC">
        <w:rPr>
          <w:rFonts w:ascii="Arial" w:hAnsi="Arial" w:cs="Arial"/>
          <w:b/>
        </w:rPr>
        <w:tab/>
      </w:r>
      <w:r w:rsidR="009861C4" w:rsidRPr="00241FAC">
        <w:rPr>
          <w:rFonts w:ascii="Arial" w:hAnsi="Arial" w:cs="Arial"/>
          <w:b/>
        </w:rPr>
        <w:t>Conciliación entre la</w:t>
      </w:r>
      <w:r w:rsidR="00CB02BC" w:rsidRPr="00241FAC">
        <w:rPr>
          <w:rFonts w:ascii="Arial" w:hAnsi="Arial" w:cs="Arial"/>
          <w:b/>
        </w:rPr>
        <w:t xml:space="preserve"> información contable </w:t>
      </w:r>
      <w:r w:rsidR="009861C4" w:rsidRPr="00241FAC">
        <w:rPr>
          <w:rFonts w:ascii="Arial" w:hAnsi="Arial" w:cs="Arial"/>
          <w:b/>
        </w:rPr>
        <w:t>y fiscal.</w:t>
      </w:r>
    </w:p>
    <w:p w:rsidR="009861C4" w:rsidRPr="00241FAC" w:rsidRDefault="009861C4" w:rsidP="009861C4">
      <w:pPr>
        <w:pStyle w:val="Lista"/>
        <w:spacing w:line="360" w:lineRule="auto"/>
        <w:ind w:left="0" w:firstLine="0"/>
        <w:rPr>
          <w:rFonts w:ascii="Arial" w:hAnsi="Arial" w:cs="Arial"/>
        </w:rPr>
      </w:pPr>
    </w:p>
    <w:p w:rsidR="009861C4" w:rsidRPr="00241FAC" w:rsidRDefault="009861C4" w:rsidP="009861C4">
      <w:pPr>
        <w:pStyle w:val="Lista"/>
        <w:spacing w:line="360" w:lineRule="auto"/>
        <w:ind w:left="0" w:firstLine="0"/>
        <w:rPr>
          <w:rFonts w:ascii="Arial" w:hAnsi="Arial" w:cs="Arial"/>
        </w:rPr>
      </w:pPr>
      <w:r w:rsidRPr="00241FAC">
        <w:rPr>
          <w:rFonts w:ascii="Arial" w:hAnsi="Arial" w:cs="Arial"/>
        </w:rPr>
        <w:t>Se ha mencionado en esta providencia que el artículo 22 de la Ley 80 de 1993 estableció que la información de los inscritos en el Registro Único de Proponentes debía fundarse en dos documentos: la declaración de renta y el balance comercial, por lo cual la Sala estima útil identificar a continuación la relación entre las dos fuentes de información referidas y la conciliación de sus cifras.</w:t>
      </w:r>
    </w:p>
    <w:p w:rsidR="009861C4" w:rsidRPr="00241FAC" w:rsidRDefault="009861C4" w:rsidP="009861C4">
      <w:pPr>
        <w:pStyle w:val="Lista"/>
        <w:spacing w:line="360" w:lineRule="auto"/>
        <w:ind w:left="0" w:firstLine="0"/>
        <w:rPr>
          <w:rFonts w:ascii="Arial" w:hAnsi="Arial" w:cs="Arial"/>
        </w:rPr>
      </w:pPr>
    </w:p>
    <w:p w:rsidR="009861C4" w:rsidRPr="00241FAC" w:rsidRDefault="009861C4" w:rsidP="009861C4">
      <w:pPr>
        <w:pStyle w:val="Lista"/>
        <w:spacing w:line="360" w:lineRule="auto"/>
        <w:ind w:left="0" w:firstLine="0"/>
        <w:rPr>
          <w:rFonts w:ascii="Arial" w:hAnsi="Arial" w:cs="Arial"/>
        </w:rPr>
      </w:pPr>
      <w:r w:rsidRPr="00241FAC">
        <w:rPr>
          <w:rFonts w:ascii="Arial" w:hAnsi="Arial" w:cs="Arial"/>
        </w:rPr>
        <w:t>Sea lo primero advertir que no escapa a la Sala la diferencia</w:t>
      </w:r>
      <w:r w:rsidR="009A479F" w:rsidRPr="00241FAC">
        <w:rPr>
          <w:rFonts w:ascii="Arial" w:hAnsi="Arial" w:cs="Arial"/>
        </w:rPr>
        <w:t xml:space="preserve"> existente</w:t>
      </w:r>
      <w:r w:rsidRPr="00241FAC">
        <w:rPr>
          <w:rFonts w:ascii="Arial" w:hAnsi="Arial" w:cs="Arial"/>
        </w:rPr>
        <w:t xml:space="preserve"> entre las bases de presentación de la declaración de renta y del estado financiero de balance, con ocasión del diverso tratamiento regulatorio para efectos tributarios y contables</w:t>
      </w:r>
      <w:r w:rsidR="009A479F" w:rsidRPr="00241FAC">
        <w:rPr>
          <w:rFonts w:ascii="Arial" w:hAnsi="Arial" w:cs="Arial"/>
        </w:rPr>
        <w:t>,</w:t>
      </w:r>
      <w:r w:rsidRPr="00241FAC">
        <w:rPr>
          <w:rFonts w:ascii="Arial" w:hAnsi="Arial" w:cs="Arial"/>
        </w:rPr>
        <w:t xml:space="preserve"> por manera que no puede exigirse la identidad de las cifras en todos las cuentas sino que procede analizar la consistencia entre las mismas</w:t>
      </w:r>
      <w:r w:rsidR="00CC3933" w:rsidRPr="00241FAC">
        <w:rPr>
          <w:rFonts w:ascii="Arial" w:hAnsi="Arial" w:cs="Arial"/>
        </w:rPr>
        <w:t>. A</w:t>
      </w:r>
      <w:r w:rsidRPr="00241FAC">
        <w:rPr>
          <w:rFonts w:ascii="Arial" w:hAnsi="Arial" w:cs="Arial"/>
        </w:rPr>
        <w:t>sí por ejemplo, la ley limita las deducciones contables para efectos tributarios</w:t>
      </w:r>
      <w:r w:rsidRPr="00241FAC">
        <w:rPr>
          <w:rStyle w:val="Refdenotaalpie"/>
          <w:rFonts w:ascii="Arial" w:hAnsi="Arial" w:cs="Arial"/>
        </w:rPr>
        <w:footnoteReference w:id="48"/>
      </w:r>
      <w:r w:rsidRPr="00241FAC">
        <w:rPr>
          <w:rFonts w:ascii="Arial" w:hAnsi="Arial" w:cs="Arial"/>
        </w:rPr>
        <w:t xml:space="preserve"> y</w:t>
      </w:r>
      <w:r w:rsidR="00946B9D" w:rsidRPr="00241FAC">
        <w:rPr>
          <w:rFonts w:ascii="Arial" w:hAnsi="Arial" w:cs="Arial"/>
        </w:rPr>
        <w:t>,</w:t>
      </w:r>
      <w:r w:rsidRPr="00241FAC">
        <w:rPr>
          <w:rFonts w:ascii="Arial" w:hAnsi="Arial" w:cs="Arial"/>
        </w:rPr>
        <w:t xml:space="preserve"> por otro lado, la norma tributaria obliga a la presunción de derecho sobre determinados ingresos para efectos fiscales</w:t>
      </w:r>
      <w:r w:rsidRPr="00241FAC">
        <w:rPr>
          <w:rStyle w:val="Refdenotaalpie"/>
          <w:rFonts w:ascii="Arial" w:hAnsi="Arial" w:cs="Arial"/>
        </w:rPr>
        <w:footnoteReference w:id="49"/>
      </w:r>
      <w:r w:rsidRPr="00241FAC">
        <w:rPr>
          <w:rFonts w:ascii="Arial" w:hAnsi="Arial" w:cs="Arial"/>
        </w:rPr>
        <w:t xml:space="preserve">, lo cual </w:t>
      </w:r>
      <w:r w:rsidR="00946B9D" w:rsidRPr="00241FAC">
        <w:rPr>
          <w:rFonts w:ascii="Arial" w:hAnsi="Arial" w:cs="Arial"/>
        </w:rPr>
        <w:t xml:space="preserve">origina y </w:t>
      </w:r>
      <w:r w:rsidRPr="00241FAC">
        <w:rPr>
          <w:rFonts w:ascii="Arial" w:hAnsi="Arial" w:cs="Arial"/>
        </w:rPr>
        <w:t xml:space="preserve">explica las diferencias que se pueden presentar </w:t>
      </w:r>
      <w:r w:rsidRPr="00241FAC">
        <w:rPr>
          <w:rFonts w:ascii="Arial" w:hAnsi="Arial" w:cs="Arial"/>
        </w:rPr>
        <w:lastRenderedPageBreak/>
        <w:t>entre algunos de los datos de las dos fuentes de información.</w:t>
      </w:r>
    </w:p>
    <w:p w:rsidR="009861C4" w:rsidRPr="00241FAC" w:rsidRDefault="009861C4" w:rsidP="009861C4">
      <w:pPr>
        <w:pStyle w:val="Lista"/>
        <w:spacing w:line="360" w:lineRule="auto"/>
        <w:ind w:left="0" w:firstLine="0"/>
        <w:rPr>
          <w:rFonts w:ascii="Arial" w:hAnsi="Arial" w:cs="Arial"/>
        </w:rPr>
      </w:pPr>
    </w:p>
    <w:p w:rsidR="00405A0B" w:rsidRPr="00241FAC" w:rsidRDefault="009861C4" w:rsidP="009861C4">
      <w:pPr>
        <w:pStyle w:val="Lista"/>
        <w:spacing w:line="360" w:lineRule="auto"/>
        <w:ind w:left="0" w:firstLine="0"/>
        <w:rPr>
          <w:rFonts w:ascii="Arial" w:hAnsi="Arial" w:cs="Arial"/>
        </w:rPr>
      </w:pPr>
      <w:r w:rsidRPr="00241FAC">
        <w:rPr>
          <w:rFonts w:ascii="Arial" w:hAnsi="Arial" w:cs="Arial"/>
        </w:rPr>
        <w:t xml:space="preserve">Otro aspecto que tampoco escapa en la valoración probatoria de los documentos correspondientes –estados financieros y declaración de renta- </w:t>
      </w:r>
      <w:r w:rsidR="009A479F" w:rsidRPr="00241FAC">
        <w:rPr>
          <w:rFonts w:ascii="Arial" w:hAnsi="Arial" w:cs="Arial"/>
        </w:rPr>
        <w:t xml:space="preserve">dice relación con el hecho de que </w:t>
      </w:r>
      <w:r w:rsidRPr="00241FAC">
        <w:rPr>
          <w:rFonts w:ascii="Arial" w:hAnsi="Arial" w:cs="Arial"/>
        </w:rPr>
        <w:t>el formulario de la declaración de renta se orienta a la determinación y agrupación de las cifras para efectos fiscales, mientras que la presentación del balance se ordena de acuerdo con las cuentas definidas en el plan único de cuentas del ente económico</w:t>
      </w:r>
      <w:r w:rsidR="00EB736A" w:rsidRPr="00241FAC">
        <w:rPr>
          <w:rFonts w:ascii="Arial" w:hAnsi="Arial" w:cs="Arial"/>
        </w:rPr>
        <w:t xml:space="preserve">, lo cual </w:t>
      </w:r>
      <w:r w:rsidR="00D36E6C" w:rsidRPr="00241FAC">
        <w:rPr>
          <w:rFonts w:ascii="Arial" w:hAnsi="Arial" w:cs="Arial"/>
        </w:rPr>
        <w:t xml:space="preserve">significa que </w:t>
      </w:r>
      <w:r w:rsidR="00405A0B" w:rsidRPr="00241FAC">
        <w:rPr>
          <w:rFonts w:ascii="Arial" w:hAnsi="Arial" w:cs="Arial"/>
        </w:rPr>
        <w:t xml:space="preserve">para efectos de la presentación de la información existen </w:t>
      </w:r>
      <w:r w:rsidR="00D36E6C" w:rsidRPr="00241FAC">
        <w:rPr>
          <w:rFonts w:ascii="Arial" w:hAnsi="Arial" w:cs="Arial"/>
        </w:rPr>
        <w:t>diferencias en la denominación, contenido y agrupación de las cifras</w:t>
      </w:r>
      <w:r w:rsidR="00946B9D" w:rsidRPr="00241FAC">
        <w:rPr>
          <w:rFonts w:ascii="Arial" w:hAnsi="Arial" w:cs="Arial"/>
        </w:rPr>
        <w:t xml:space="preserve"> entre las cuentas del balance y los renglones de la declaración de renta</w:t>
      </w:r>
      <w:r w:rsidR="00405A0B" w:rsidRPr="00241FAC">
        <w:rPr>
          <w:rFonts w:ascii="Arial" w:hAnsi="Arial" w:cs="Arial"/>
        </w:rPr>
        <w:t>.</w:t>
      </w:r>
    </w:p>
    <w:p w:rsidR="00D36E6C" w:rsidRPr="00241FAC" w:rsidRDefault="00D36E6C" w:rsidP="009861C4">
      <w:pPr>
        <w:pStyle w:val="Lista"/>
        <w:spacing w:line="360" w:lineRule="auto"/>
        <w:ind w:left="0" w:firstLine="0"/>
        <w:rPr>
          <w:rFonts w:ascii="Arial" w:hAnsi="Arial" w:cs="Arial"/>
        </w:rPr>
      </w:pPr>
    </w:p>
    <w:p w:rsidR="009861C4" w:rsidRPr="00241FAC" w:rsidRDefault="009861C4" w:rsidP="009861C4">
      <w:pPr>
        <w:pStyle w:val="Lista"/>
        <w:spacing w:line="360" w:lineRule="auto"/>
        <w:ind w:left="0" w:firstLine="0"/>
        <w:rPr>
          <w:rFonts w:ascii="Arial" w:hAnsi="Arial" w:cs="Arial"/>
        </w:rPr>
      </w:pPr>
      <w:r w:rsidRPr="00241FAC">
        <w:rPr>
          <w:rFonts w:ascii="Arial" w:hAnsi="Arial" w:cs="Arial"/>
        </w:rPr>
        <w:t>Por lo tanto, la verificación de la información, o en su caso el análisis probatorio, en relación con el estado financiero versus la declaración de renta, requiere acudir a la conciliación de las cuentas para efectos de la comprensión de la información financiera y es allí donde resulta importante el despliegue de la prueba contable y</w:t>
      </w:r>
      <w:r w:rsidR="009438EE" w:rsidRPr="00241FAC">
        <w:rPr>
          <w:rFonts w:ascii="Arial" w:hAnsi="Arial" w:cs="Arial"/>
        </w:rPr>
        <w:t>,</w:t>
      </w:r>
      <w:r w:rsidRPr="00241FAC">
        <w:rPr>
          <w:rFonts w:ascii="Arial" w:hAnsi="Arial" w:cs="Arial"/>
        </w:rPr>
        <w:t xml:space="preserve"> en su caso</w:t>
      </w:r>
      <w:r w:rsidR="009438EE" w:rsidRPr="00241FAC">
        <w:rPr>
          <w:rFonts w:ascii="Arial" w:hAnsi="Arial" w:cs="Arial"/>
        </w:rPr>
        <w:t>,</w:t>
      </w:r>
      <w:r w:rsidRPr="00241FAC">
        <w:rPr>
          <w:rFonts w:ascii="Arial" w:hAnsi="Arial" w:cs="Arial"/>
        </w:rPr>
        <w:t xml:space="preserve"> el apoyo de</w:t>
      </w:r>
      <w:r w:rsidR="00405A0B" w:rsidRPr="00241FAC">
        <w:rPr>
          <w:rFonts w:ascii="Arial" w:hAnsi="Arial" w:cs="Arial"/>
        </w:rPr>
        <w:t>l</w:t>
      </w:r>
      <w:r w:rsidRPr="00241FAC">
        <w:rPr>
          <w:rFonts w:ascii="Arial" w:hAnsi="Arial" w:cs="Arial"/>
        </w:rPr>
        <w:t xml:space="preserve"> experto </w:t>
      </w:r>
      <w:r w:rsidR="00405A0B" w:rsidRPr="00241FAC">
        <w:rPr>
          <w:rFonts w:ascii="Arial" w:hAnsi="Arial" w:cs="Arial"/>
        </w:rPr>
        <w:t>en la materia</w:t>
      </w:r>
      <w:r w:rsidR="009438EE" w:rsidRPr="00241FAC">
        <w:rPr>
          <w:rFonts w:ascii="Arial" w:hAnsi="Arial" w:cs="Arial"/>
        </w:rPr>
        <w:t>,</w:t>
      </w:r>
      <w:r w:rsidR="00405A0B" w:rsidRPr="00241FAC">
        <w:rPr>
          <w:rFonts w:ascii="Arial" w:hAnsi="Arial" w:cs="Arial"/>
        </w:rPr>
        <w:t xml:space="preserve"> con el propósito de </w:t>
      </w:r>
      <w:r w:rsidRPr="00241FAC">
        <w:rPr>
          <w:rFonts w:ascii="Arial" w:hAnsi="Arial" w:cs="Arial"/>
        </w:rPr>
        <w:t xml:space="preserve">asegurar que el operador en la actuación administrativa o judicial no incurra en exigencias o rechazos improcedentes, </w:t>
      </w:r>
      <w:r w:rsidR="009438EE" w:rsidRPr="00241FAC">
        <w:rPr>
          <w:rFonts w:ascii="Arial" w:hAnsi="Arial" w:cs="Arial"/>
        </w:rPr>
        <w:t>por razón de</w:t>
      </w:r>
      <w:r w:rsidRPr="00241FAC">
        <w:rPr>
          <w:rFonts w:ascii="Arial" w:hAnsi="Arial" w:cs="Arial"/>
        </w:rPr>
        <w:t xml:space="preserve"> las diferencias </w:t>
      </w:r>
      <w:r w:rsidR="00405A0B" w:rsidRPr="00241FAC">
        <w:rPr>
          <w:rFonts w:ascii="Arial" w:hAnsi="Arial" w:cs="Arial"/>
        </w:rPr>
        <w:t xml:space="preserve">formales </w:t>
      </w:r>
      <w:r w:rsidRPr="00241FAC">
        <w:rPr>
          <w:rFonts w:ascii="Arial" w:hAnsi="Arial" w:cs="Arial"/>
        </w:rPr>
        <w:t xml:space="preserve">advertidas </w:t>
      </w:r>
      <w:r w:rsidRPr="00241FAC">
        <w:rPr>
          <w:rFonts w:ascii="Arial" w:hAnsi="Arial" w:cs="Arial"/>
          <w:i/>
        </w:rPr>
        <w:t xml:space="preserve">prima facie, </w:t>
      </w:r>
      <w:r w:rsidRPr="00241FAC">
        <w:rPr>
          <w:rFonts w:ascii="Arial" w:hAnsi="Arial" w:cs="Arial"/>
        </w:rPr>
        <w:t>así como se torna importante la conducta asumida por la parte responsable de la información, de la cual se e</w:t>
      </w:r>
      <w:r w:rsidR="00405A0B" w:rsidRPr="00241FAC">
        <w:rPr>
          <w:rFonts w:ascii="Arial" w:hAnsi="Arial" w:cs="Arial"/>
        </w:rPr>
        <w:t xml:space="preserve">xige la buena </w:t>
      </w:r>
      <w:r w:rsidR="007A33E0" w:rsidRPr="00241FAC">
        <w:rPr>
          <w:rFonts w:ascii="Arial" w:hAnsi="Arial" w:cs="Arial"/>
        </w:rPr>
        <w:t>fe</w:t>
      </w:r>
      <w:r w:rsidR="00405A0B" w:rsidRPr="00241FAC">
        <w:rPr>
          <w:rFonts w:ascii="Arial" w:hAnsi="Arial" w:cs="Arial"/>
        </w:rPr>
        <w:t xml:space="preserve">, </w:t>
      </w:r>
      <w:r w:rsidRPr="00241FAC">
        <w:rPr>
          <w:rFonts w:ascii="Arial" w:hAnsi="Arial" w:cs="Arial"/>
        </w:rPr>
        <w:t>la debida revelación</w:t>
      </w:r>
      <w:r w:rsidR="00EC504A" w:rsidRPr="00241FAC">
        <w:rPr>
          <w:rFonts w:ascii="Arial" w:hAnsi="Arial" w:cs="Arial"/>
        </w:rPr>
        <w:t>,</w:t>
      </w:r>
      <w:r w:rsidRPr="00241FAC">
        <w:rPr>
          <w:rFonts w:ascii="Arial" w:hAnsi="Arial" w:cs="Arial"/>
        </w:rPr>
        <w:t xml:space="preserve"> claridad y transparencia </w:t>
      </w:r>
      <w:r w:rsidR="009438EE" w:rsidRPr="00241FAC">
        <w:rPr>
          <w:rFonts w:ascii="Arial" w:hAnsi="Arial" w:cs="Arial"/>
        </w:rPr>
        <w:t xml:space="preserve">para </w:t>
      </w:r>
      <w:r w:rsidRPr="00241FAC">
        <w:rPr>
          <w:rFonts w:ascii="Arial" w:hAnsi="Arial" w:cs="Arial"/>
        </w:rPr>
        <w:t>permit</w:t>
      </w:r>
      <w:r w:rsidR="009438EE" w:rsidRPr="00241FAC">
        <w:rPr>
          <w:rFonts w:ascii="Arial" w:hAnsi="Arial" w:cs="Arial"/>
        </w:rPr>
        <w:t xml:space="preserve">ir </w:t>
      </w:r>
      <w:r w:rsidRPr="00241FAC">
        <w:rPr>
          <w:rFonts w:ascii="Arial" w:hAnsi="Arial" w:cs="Arial"/>
        </w:rPr>
        <w:t>el análisis técnico requerido</w:t>
      </w:r>
      <w:r w:rsidR="00D7552B" w:rsidRPr="00241FAC">
        <w:rPr>
          <w:rStyle w:val="Refdenotaalpie"/>
          <w:rFonts w:ascii="Arial" w:hAnsi="Arial" w:cs="Arial"/>
        </w:rPr>
        <w:footnoteReference w:id="50"/>
      </w:r>
      <w:r w:rsidRPr="00241FAC">
        <w:rPr>
          <w:rFonts w:ascii="Arial" w:hAnsi="Arial" w:cs="Arial"/>
        </w:rPr>
        <w:t>.</w:t>
      </w:r>
    </w:p>
    <w:p w:rsidR="009861C4" w:rsidRPr="00241FAC" w:rsidRDefault="009861C4" w:rsidP="009861C4">
      <w:pPr>
        <w:pStyle w:val="Lista"/>
        <w:spacing w:line="360" w:lineRule="auto"/>
        <w:ind w:left="0" w:firstLine="0"/>
        <w:rPr>
          <w:rFonts w:ascii="Arial" w:hAnsi="Arial" w:cs="Arial"/>
        </w:rPr>
      </w:pPr>
      <w:r w:rsidRPr="00241FAC">
        <w:rPr>
          <w:rFonts w:ascii="Arial" w:hAnsi="Arial" w:cs="Arial"/>
        </w:rPr>
        <w:lastRenderedPageBreak/>
        <w:t>Una herramienta dispuesta por la regulación contable para facilitar la comprensión de los estados financieros</w:t>
      </w:r>
      <w:r w:rsidR="009438EE" w:rsidRPr="00241FAC">
        <w:rPr>
          <w:rFonts w:ascii="Arial" w:hAnsi="Arial" w:cs="Arial"/>
        </w:rPr>
        <w:t xml:space="preserve"> en el aspecto que se viene comentando, </w:t>
      </w:r>
      <w:r w:rsidRPr="00241FAC">
        <w:rPr>
          <w:rFonts w:ascii="Arial" w:hAnsi="Arial" w:cs="Arial"/>
        </w:rPr>
        <w:t>es precisamente la nota de conciliación fiscal</w:t>
      </w:r>
      <w:r w:rsidRPr="00241FAC">
        <w:rPr>
          <w:rStyle w:val="Refdenotaalpie"/>
          <w:rFonts w:ascii="Arial" w:hAnsi="Arial" w:cs="Arial"/>
        </w:rPr>
        <w:footnoteReference w:id="51"/>
      </w:r>
      <w:r w:rsidRPr="00241FAC">
        <w:rPr>
          <w:rFonts w:ascii="Arial" w:hAnsi="Arial" w:cs="Arial"/>
        </w:rPr>
        <w:t xml:space="preserve">, la cual busca revelar las diferencias –y la explicación de las mismas- entre las distintas cuentas sometidas a diversos tratamientos en </w:t>
      </w:r>
      <w:r w:rsidR="009438EE" w:rsidRPr="00241FAC">
        <w:rPr>
          <w:rFonts w:ascii="Arial" w:hAnsi="Arial" w:cs="Arial"/>
        </w:rPr>
        <w:t xml:space="preserve">la regulación </w:t>
      </w:r>
      <w:r w:rsidRPr="00241FAC">
        <w:rPr>
          <w:rFonts w:ascii="Arial" w:hAnsi="Arial" w:cs="Arial"/>
        </w:rPr>
        <w:t xml:space="preserve">contable y </w:t>
      </w:r>
      <w:r w:rsidR="0084555D" w:rsidRPr="00241FAC">
        <w:rPr>
          <w:rFonts w:ascii="Arial" w:hAnsi="Arial" w:cs="Arial"/>
        </w:rPr>
        <w:t>tributaria</w:t>
      </w:r>
      <w:r w:rsidRPr="00241FAC">
        <w:rPr>
          <w:rFonts w:ascii="Arial" w:hAnsi="Arial" w:cs="Arial"/>
        </w:rPr>
        <w:t>.</w:t>
      </w:r>
    </w:p>
    <w:p w:rsidR="009861C4" w:rsidRPr="00241FAC" w:rsidRDefault="009861C4" w:rsidP="009861C4">
      <w:pPr>
        <w:pStyle w:val="Lista"/>
        <w:spacing w:line="360" w:lineRule="auto"/>
        <w:ind w:left="0" w:firstLine="0"/>
        <w:rPr>
          <w:rFonts w:ascii="Arial" w:hAnsi="Arial" w:cs="Arial"/>
        </w:rPr>
      </w:pPr>
    </w:p>
    <w:p w:rsidR="009861C4" w:rsidRPr="00241FAC" w:rsidRDefault="009861C4" w:rsidP="009861C4">
      <w:pPr>
        <w:pStyle w:val="Lista"/>
        <w:spacing w:line="360" w:lineRule="auto"/>
        <w:ind w:left="0" w:firstLine="0"/>
        <w:rPr>
          <w:rFonts w:ascii="Arial" w:hAnsi="Arial" w:cs="Arial"/>
        </w:rPr>
      </w:pPr>
      <w:r w:rsidRPr="00241FAC">
        <w:rPr>
          <w:rFonts w:ascii="Arial" w:hAnsi="Arial" w:cs="Arial"/>
        </w:rPr>
        <w:t xml:space="preserve">En este orden de ideas, descendiendo al procedimiento </w:t>
      </w:r>
      <w:r w:rsidR="0084555D" w:rsidRPr="00241FAC">
        <w:rPr>
          <w:rFonts w:ascii="Arial" w:hAnsi="Arial" w:cs="Arial"/>
        </w:rPr>
        <w:t xml:space="preserve">administrativo </w:t>
      </w:r>
      <w:r w:rsidRPr="00241FAC">
        <w:rPr>
          <w:rFonts w:ascii="Arial" w:hAnsi="Arial" w:cs="Arial"/>
        </w:rPr>
        <w:t>de selección de contratistas, se tiene que la verificación de la información financiera puede requerir de la conciliación de las cifras entre los estados financieros</w:t>
      </w:r>
      <w:r w:rsidR="0084555D" w:rsidRPr="00241FAC">
        <w:rPr>
          <w:rFonts w:ascii="Arial" w:hAnsi="Arial" w:cs="Arial"/>
        </w:rPr>
        <w:t xml:space="preserve"> y la declaración de renta</w:t>
      </w:r>
      <w:r w:rsidRPr="00241FAC">
        <w:rPr>
          <w:rFonts w:ascii="Arial" w:hAnsi="Arial" w:cs="Arial"/>
        </w:rPr>
        <w:t xml:space="preserve">, toda vez que, como se ha expuesto en esta providencia, justamente el artículo 22.3 de la Ley 80 de 1993 establecía como fundamento de la información de la capacidad financiera para efectos del Registro Único de Proponentes, ambos documentos y, por lo tanto, en vigencia de la mencionada norma se </w:t>
      </w:r>
      <w:r w:rsidR="009A479F" w:rsidRPr="00241FAC">
        <w:rPr>
          <w:rFonts w:ascii="Arial" w:hAnsi="Arial" w:cs="Arial"/>
        </w:rPr>
        <w:t xml:space="preserve">le asignó a </w:t>
      </w:r>
      <w:r w:rsidRPr="00241FAC">
        <w:rPr>
          <w:rFonts w:ascii="Arial" w:hAnsi="Arial" w:cs="Arial"/>
        </w:rPr>
        <w:t xml:space="preserve">la entidad contratante la </w:t>
      </w:r>
      <w:r w:rsidRPr="00241FAC">
        <w:rPr>
          <w:rFonts w:ascii="Arial" w:hAnsi="Arial" w:cs="Arial"/>
          <w:i/>
        </w:rPr>
        <w:t>facultad-deber</w:t>
      </w:r>
      <w:r w:rsidRPr="00241FAC">
        <w:rPr>
          <w:rFonts w:ascii="Arial" w:hAnsi="Arial" w:cs="Arial"/>
        </w:rPr>
        <w:t xml:space="preserve"> de verificar la</w:t>
      </w:r>
      <w:r w:rsidR="0084555D" w:rsidRPr="00241FAC">
        <w:rPr>
          <w:rFonts w:ascii="Arial" w:hAnsi="Arial" w:cs="Arial"/>
        </w:rPr>
        <w:t>s fuentes de</w:t>
      </w:r>
      <w:r w:rsidRPr="00241FAC">
        <w:rPr>
          <w:rFonts w:ascii="Arial" w:hAnsi="Arial" w:cs="Arial"/>
        </w:rPr>
        <w:t xml:space="preserve"> información, c</w:t>
      </w:r>
      <w:r w:rsidR="00E24F0F" w:rsidRPr="00241FAC">
        <w:rPr>
          <w:rFonts w:ascii="Arial" w:hAnsi="Arial" w:cs="Arial"/>
        </w:rPr>
        <w:t xml:space="preserve">uestión que </w:t>
      </w:r>
      <w:r w:rsidRPr="00241FAC">
        <w:rPr>
          <w:rFonts w:ascii="Arial" w:hAnsi="Arial" w:cs="Arial"/>
        </w:rPr>
        <w:t xml:space="preserve">debe entenderse desde el ángulo -ahora aclarado- de la consistencia, sin </w:t>
      </w:r>
      <w:r w:rsidR="00CD2724" w:rsidRPr="00241FAC">
        <w:rPr>
          <w:rFonts w:ascii="Arial" w:hAnsi="Arial" w:cs="Arial"/>
        </w:rPr>
        <w:t xml:space="preserve">incurrir en </w:t>
      </w:r>
      <w:r w:rsidRPr="00241FAC">
        <w:rPr>
          <w:rFonts w:ascii="Arial" w:hAnsi="Arial" w:cs="Arial"/>
        </w:rPr>
        <w:t>un rechazo generalizado</w:t>
      </w:r>
      <w:r w:rsidR="00CD2724" w:rsidRPr="00241FAC">
        <w:rPr>
          <w:rFonts w:ascii="Arial" w:hAnsi="Arial" w:cs="Arial"/>
        </w:rPr>
        <w:t xml:space="preserve"> de las cifras del balance</w:t>
      </w:r>
      <w:r w:rsidRPr="00241FAC">
        <w:rPr>
          <w:rFonts w:ascii="Arial" w:hAnsi="Arial" w:cs="Arial"/>
        </w:rPr>
        <w:t xml:space="preserve"> únicamente </w:t>
      </w:r>
      <w:r w:rsidR="00CD2724" w:rsidRPr="00241FAC">
        <w:rPr>
          <w:rFonts w:ascii="Arial" w:hAnsi="Arial" w:cs="Arial"/>
        </w:rPr>
        <w:t xml:space="preserve">por razón de </w:t>
      </w:r>
      <w:r w:rsidRPr="00241FAC">
        <w:rPr>
          <w:rFonts w:ascii="Arial" w:hAnsi="Arial" w:cs="Arial"/>
        </w:rPr>
        <w:t xml:space="preserve">la falta de equivalencia matemática de cada cuenta contable </w:t>
      </w:r>
      <w:r w:rsidR="00E24F0F" w:rsidRPr="00241FAC">
        <w:rPr>
          <w:rFonts w:ascii="Arial" w:hAnsi="Arial" w:cs="Arial"/>
        </w:rPr>
        <w:t xml:space="preserve">para </w:t>
      </w:r>
      <w:r w:rsidRPr="00241FAC">
        <w:rPr>
          <w:rFonts w:ascii="Arial" w:hAnsi="Arial" w:cs="Arial"/>
        </w:rPr>
        <w:t xml:space="preserve">con </w:t>
      </w:r>
      <w:r w:rsidR="00E24F0F" w:rsidRPr="00241FAC">
        <w:rPr>
          <w:rFonts w:ascii="Arial" w:hAnsi="Arial" w:cs="Arial"/>
        </w:rPr>
        <w:t>cada</w:t>
      </w:r>
      <w:r w:rsidRPr="00241FAC">
        <w:rPr>
          <w:rFonts w:ascii="Arial" w:hAnsi="Arial" w:cs="Arial"/>
        </w:rPr>
        <w:t xml:space="preserve"> renglón de la declaración de renta.</w:t>
      </w:r>
    </w:p>
    <w:p w:rsidR="009861C4" w:rsidRPr="00241FAC" w:rsidRDefault="009861C4" w:rsidP="009861C4">
      <w:pPr>
        <w:pStyle w:val="Lista"/>
        <w:spacing w:line="360" w:lineRule="auto"/>
        <w:ind w:left="0" w:firstLine="0"/>
        <w:rPr>
          <w:rFonts w:ascii="Arial" w:hAnsi="Arial" w:cs="Arial"/>
        </w:rPr>
      </w:pPr>
    </w:p>
    <w:p w:rsidR="009861C4" w:rsidRPr="00241FAC" w:rsidRDefault="009861C4" w:rsidP="009861C4">
      <w:pPr>
        <w:pStyle w:val="Lista"/>
        <w:spacing w:line="360" w:lineRule="auto"/>
        <w:ind w:left="0" w:firstLine="0"/>
        <w:rPr>
          <w:rFonts w:ascii="Arial" w:hAnsi="Arial" w:cs="Arial"/>
        </w:rPr>
      </w:pPr>
      <w:r w:rsidRPr="00241FAC">
        <w:rPr>
          <w:rFonts w:ascii="Arial" w:hAnsi="Arial" w:cs="Arial"/>
        </w:rPr>
        <w:t>En el análisis del caso concreto se tendrá en cuenta la valoración probatoria de los documentos mencionados, para efectos de evaluar los motivos de la calificación asignada a la Unión Temporal Construobras, cuya diferente apreciación constituye precisamente el fundamento central y de mayor peso en el recurso de apelación.</w:t>
      </w:r>
    </w:p>
    <w:p w:rsidR="009861C4" w:rsidRPr="00241FAC" w:rsidRDefault="009861C4" w:rsidP="009861C4">
      <w:pPr>
        <w:rPr>
          <w:rFonts w:cs="Arial"/>
          <w:b/>
        </w:rPr>
      </w:pPr>
    </w:p>
    <w:p w:rsidR="009861C4" w:rsidRPr="00241FAC" w:rsidRDefault="006F5381" w:rsidP="009861C4">
      <w:pPr>
        <w:rPr>
          <w:rFonts w:cs="Arial"/>
          <w:b/>
        </w:rPr>
      </w:pPr>
      <w:r w:rsidRPr="00241FAC">
        <w:rPr>
          <w:rFonts w:cs="Arial"/>
          <w:b/>
        </w:rPr>
        <w:t>7</w:t>
      </w:r>
      <w:r w:rsidR="001206FC" w:rsidRPr="00241FAC">
        <w:rPr>
          <w:rFonts w:cs="Arial"/>
          <w:b/>
        </w:rPr>
        <w:t>.</w:t>
      </w:r>
      <w:r w:rsidR="001206FC" w:rsidRPr="00241FAC">
        <w:rPr>
          <w:rFonts w:cs="Arial"/>
          <w:b/>
        </w:rPr>
        <w:tab/>
      </w:r>
      <w:r w:rsidR="009861C4" w:rsidRPr="00241FAC">
        <w:rPr>
          <w:rFonts w:cs="Arial"/>
          <w:b/>
        </w:rPr>
        <w:t>El caso concreto</w:t>
      </w:r>
    </w:p>
    <w:p w:rsidR="002302F9" w:rsidRPr="00241FAC" w:rsidRDefault="002302F9" w:rsidP="009861C4">
      <w:pPr>
        <w:rPr>
          <w:rFonts w:cs="Arial"/>
        </w:rPr>
      </w:pPr>
    </w:p>
    <w:p w:rsidR="0018721E" w:rsidRPr="00241FAC" w:rsidRDefault="006F5381" w:rsidP="009861C4">
      <w:pPr>
        <w:rPr>
          <w:rFonts w:cs="Arial"/>
          <w:b/>
        </w:rPr>
      </w:pPr>
      <w:r w:rsidRPr="00241FAC">
        <w:rPr>
          <w:rFonts w:cs="Arial"/>
          <w:b/>
        </w:rPr>
        <w:t>7</w:t>
      </w:r>
      <w:r w:rsidR="002302F9" w:rsidRPr="00241FAC">
        <w:rPr>
          <w:rFonts w:cs="Arial"/>
          <w:b/>
        </w:rPr>
        <w:t>.1.</w:t>
      </w:r>
      <w:r w:rsidR="002302F9" w:rsidRPr="00241FAC">
        <w:rPr>
          <w:rFonts w:cs="Arial"/>
          <w:b/>
        </w:rPr>
        <w:tab/>
      </w:r>
      <w:r w:rsidR="0018721E" w:rsidRPr="00241FAC">
        <w:rPr>
          <w:rFonts w:cs="Arial"/>
          <w:b/>
        </w:rPr>
        <w:t>Objeción al Dictamen Pericial por error grave</w:t>
      </w:r>
      <w:r w:rsidR="00E24F0F" w:rsidRPr="00241FAC">
        <w:rPr>
          <w:rFonts w:cs="Arial"/>
          <w:b/>
        </w:rPr>
        <w:t>.</w:t>
      </w:r>
    </w:p>
    <w:p w:rsidR="002302F9" w:rsidRPr="00241FAC" w:rsidRDefault="002302F9" w:rsidP="0018721E">
      <w:pPr>
        <w:rPr>
          <w:rFonts w:cs="Arial"/>
        </w:rPr>
      </w:pPr>
    </w:p>
    <w:p w:rsidR="005B1F35" w:rsidRPr="00241FAC" w:rsidRDefault="0018721E" w:rsidP="0018721E">
      <w:pPr>
        <w:rPr>
          <w:rFonts w:cs="Arial"/>
        </w:rPr>
      </w:pPr>
      <w:r w:rsidRPr="00241FAC">
        <w:rPr>
          <w:rFonts w:cs="Arial"/>
        </w:rPr>
        <w:t>Teniendo en cuenta que la entidad demandada presentó objeci</w:t>
      </w:r>
      <w:r w:rsidR="00CD2724" w:rsidRPr="00241FAC">
        <w:rPr>
          <w:rFonts w:cs="Arial"/>
        </w:rPr>
        <w:t xml:space="preserve">ón por error grave en relación con el </w:t>
      </w:r>
      <w:r w:rsidR="00E24F0F" w:rsidRPr="00241FAC">
        <w:rPr>
          <w:rFonts w:cs="Arial"/>
        </w:rPr>
        <w:t>d</w:t>
      </w:r>
      <w:r w:rsidRPr="00241FAC">
        <w:rPr>
          <w:rFonts w:cs="Arial"/>
        </w:rPr>
        <w:t xml:space="preserve">ictamen </w:t>
      </w:r>
      <w:r w:rsidR="00E24F0F" w:rsidRPr="00241FAC">
        <w:rPr>
          <w:rFonts w:cs="Arial"/>
        </w:rPr>
        <w:t>p</w:t>
      </w:r>
      <w:r w:rsidRPr="00241FAC">
        <w:rPr>
          <w:rFonts w:cs="Arial"/>
        </w:rPr>
        <w:t>ericial, l</w:t>
      </w:r>
      <w:r w:rsidR="00CD2724" w:rsidRPr="00241FAC">
        <w:rPr>
          <w:rFonts w:cs="Arial"/>
        </w:rPr>
        <w:t xml:space="preserve">o cual </w:t>
      </w:r>
      <w:r w:rsidRPr="00241FAC">
        <w:rPr>
          <w:rFonts w:cs="Arial"/>
        </w:rPr>
        <w:t>se debi</w:t>
      </w:r>
      <w:r w:rsidR="00CD2724" w:rsidRPr="00241FAC">
        <w:rPr>
          <w:rFonts w:cs="Arial"/>
        </w:rPr>
        <w:t>ó</w:t>
      </w:r>
      <w:r w:rsidRPr="00241FAC">
        <w:rPr>
          <w:rFonts w:cs="Arial"/>
        </w:rPr>
        <w:t xml:space="preserve"> resolver en la sentencia de primera instancia, asunto que no se encontró específicamente desatado y que tampoco fue objeto de apelación, se hará una mención al contenido de las objeciones, con el propósito de </w:t>
      </w:r>
      <w:r w:rsidR="002302F9" w:rsidRPr="00241FAC">
        <w:rPr>
          <w:rFonts w:cs="Arial"/>
        </w:rPr>
        <w:t xml:space="preserve">definir </w:t>
      </w:r>
      <w:r w:rsidR="005B1F35" w:rsidRPr="00241FAC">
        <w:rPr>
          <w:rFonts w:cs="Arial"/>
        </w:rPr>
        <w:t xml:space="preserve">su </w:t>
      </w:r>
      <w:r w:rsidR="00863D08" w:rsidRPr="00241FAC">
        <w:rPr>
          <w:rFonts w:cs="Arial"/>
        </w:rPr>
        <w:t>p</w:t>
      </w:r>
      <w:r w:rsidR="005B1F35" w:rsidRPr="00241FAC">
        <w:rPr>
          <w:rFonts w:cs="Arial"/>
        </w:rPr>
        <w:t>rocedencia.</w:t>
      </w:r>
    </w:p>
    <w:p w:rsidR="002302F9" w:rsidRPr="00241FAC" w:rsidRDefault="002302F9" w:rsidP="00993C18">
      <w:pPr>
        <w:rPr>
          <w:rFonts w:cs="Arial"/>
        </w:rPr>
      </w:pPr>
    </w:p>
    <w:p w:rsidR="00993C18" w:rsidRPr="00241FAC" w:rsidRDefault="005B1F35" w:rsidP="00993C18">
      <w:pPr>
        <w:rPr>
          <w:rFonts w:cs="Arial"/>
        </w:rPr>
      </w:pPr>
      <w:r w:rsidRPr="00241FAC">
        <w:rPr>
          <w:rFonts w:cs="Arial"/>
          <w:b/>
        </w:rPr>
        <w:t>i)</w:t>
      </w:r>
      <w:r w:rsidRPr="00241FAC">
        <w:rPr>
          <w:rFonts w:cs="Arial"/>
        </w:rPr>
        <w:t xml:space="preserve"> En relación con la v</w:t>
      </w:r>
      <w:r w:rsidR="00876D61" w:rsidRPr="00241FAC">
        <w:rPr>
          <w:rFonts w:cs="Arial"/>
        </w:rPr>
        <w:t>a</w:t>
      </w:r>
      <w:r w:rsidRPr="00241FAC">
        <w:rPr>
          <w:rFonts w:cs="Arial"/>
        </w:rPr>
        <w:t xml:space="preserve">lidación que realizó la entidad contratante acerca del plazo de vigencia de las pólizas de seriedad de la oferta, se tiene que </w:t>
      </w:r>
      <w:r w:rsidR="004003C1" w:rsidRPr="00241FAC">
        <w:rPr>
          <w:rFonts w:cs="Arial"/>
        </w:rPr>
        <w:t xml:space="preserve">este punto </w:t>
      </w:r>
      <w:r w:rsidRPr="00241FAC">
        <w:rPr>
          <w:rFonts w:cs="Arial"/>
        </w:rPr>
        <w:t>no</w:t>
      </w:r>
      <w:r w:rsidR="004003C1" w:rsidRPr="00241FAC">
        <w:rPr>
          <w:rFonts w:cs="Arial"/>
        </w:rPr>
        <w:t xml:space="preserve"> fue objeto de la demanda ni </w:t>
      </w:r>
      <w:r w:rsidR="00876D61" w:rsidRPr="00241FAC">
        <w:rPr>
          <w:rFonts w:cs="Arial"/>
        </w:rPr>
        <w:t xml:space="preserve">formó </w:t>
      </w:r>
      <w:r w:rsidR="004003C1" w:rsidRPr="00241FAC">
        <w:rPr>
          <w:rFonts w:cs="Arial"/>
        </w:rPr>
        <w:t xml:space="preserve">parte de los factores de calificación de las propuestas de acuerdo con los Términos de </w:t>
      </w:r>
      <w:r w:rsidR="00876D61" w:rsidRPr="00241FAC">
        <w:rPr>
          <w:rFonts w:cs="Arial"/>
        </w:rPr>
        <w:t>R</w:t>
      </w:r>
      <w:r w:rsidR="004003C1" w:rsidRPr="00241FAC">
        <w:rPr>
          <w:rFonts w:cs="Arial"/>
        </w:rPr>
        <w:t>eferencia de la Licitación No. 01 de 2000</w:t>
      </w:r>
      <w:r w:rsidR="00876D61" w:rsidRPr="00241FAC">
        <w:rPr>
          <w:rFonts w:cs="Arial"/>
        </w:rPr>
        <w:t xml:space="preserve">, </w:t>
      </w:r>
      <w:r w:rsidR="00916B68" w:rsidRPr="00241FAC">
        <w:rPr>
          <w:rFonts w:cs="Arial"/>
        </w:rPr>
        <w:t xml:space="preserve">frente a </w:t>
      </w:r>
      <w:r w:rsidR="00876D61" w:rsidRPr="00241FAC">
        <w:rPr>
          <w:rFonts w:cs="Arial"/>
        </w:rPr>
        <w:t xml:space="preserve">lo cual </w:t>
      </w:r>
      <w:r w:rsidR="00916B68" w:rsidRPr="00241FAC">
        <w:rPr>
          <w:rFonts w:cs="Arial"/>
        </w:rPr>
        <w:t xml:space="preserve">la Sala observa que </w:t>
      </w:r>
      <w:r w:rsidR="00876D61" w:rsidRPr="00241FAC">
        <w:rPr>
          <w:rFonts w:cs="Arial"/>
        </w:rPr>
        <w:t xml:space="preserve">no existió error del perito por el hecho de </w:t>
      </w:r>
      <w:r w:rsidR="0079526E" w:rsidRPr="00241FAC">
        <w:rPr>
          <w:rFonts w:cs="Arial"/>
        </w:rPr>
        <w:t xml:space="preserve">no </w:t>
      </w:r>
      <w:r w:rsidR="00876D61" w:rsidRPr="00241FAC">
        <w:rPr>
          <w:rFonts w:cs="Arial"/>
        </w:rPr>
        <w:t>haber</w:t>
      </w:r>
      <w:r w:rsidR="0079526E" w:rsidRPr="00241FAC">
        <w:rPr>
          <w:rFonts w:cs="Arial"/>
        </w:rPr>
        <w:t xml:space="preserve"> realizado un </w:t>
      </w:r>
      <w:r w:rsidR="00B83DC2" w:rsidRPr="00241FAC">
        <w:rPr>
          <w:rFonts w:cs="Arial"/>
        </w:rPr>
        <w:t xml:space="preserve">análisis de </w:t>
      </w:r>
      <w:r w:rsidR="00876D61" w:rsidRPr="00241FAC">
        <w:rPr>
          <w:rFonts w:cs="Arial"/>
        </w:rPr>
        <w:t xml:space="preserve">este </w:t>
      </w:r>
      <w:r w:rsidR="00B83DC2" w:rsidRPr="00241FAC">
        <w:rPr>
          <w:rFonts w:cs="Arial"/>
        </w:rPr>
        <w:t xml:space="preserve">documento </w:t>
      </w:r>
      <w:r w:rsidR="00876D61" w:rsidRPr="00241FAC">
        <w:rPr>
          <w:rFonts w:cs="Arial"/>
        </w:rPr>
        <w:t>en la recalificación de las propuestas.</w:t>
      </w:r>
      <w:r w:rsidR="0079526E" w:rsidRPr="00241FAC">
        <w:rPr>
          <w:rFonts w:cs="Arial"/>
        </w:rPr>
        <w:t xml:space="preserve"> </w:t>
      </w:r>
    </w:p>
    <w:p w:rsidR="00993C18" w:rsidRPr="00241FAC" w:rsidRDefault="00993C18" w:rsidP="00993C18">
      <w:pPr>
        <w:rPr>
          <w:rFonts w:cs="Arial"/>
        </w:rPr>
      </w:pPr>
    </w:p>
    <w:p w:rsidR="00876D61" w:rsidRPr="00241FAC" w:rsidRDefault="00916B68" w:rsidP="00993C18">
      <w:pPr>
        <w:rPr>
          <w:rFonts w:cs="Arial"/>
        </w:rPr>
      </w:pPr>
      <w:r w:rsidRPr="00241FAC">
        <w:rPr>
          <w:rFonts w:cs="Arial"/>
        </w:rPr>
        <w:t xml:space="preserve">En este sentido se trae a colación </w:t>
      </w:r>
      <w:r w:rsidR="0079526E" w:rsidRPr="00241FAC">
        <w:rPr>
          <w:rFonts w:cs="Arial"/>
        </w:rPr>
        <w:t xml:space="preserve">la aclaración al </w:t>
      </w:r>
      <w:r w:rsidR="00E24F0F" w:rsidRPr="00241FAC">
        <w:rPr>
          <w:rFonts w:cs="Arial"/>
        </w:rPr>
        <w:t>d</w:t>
      </w:r>
      <w:r w:rsidR="0079526E" w:rsidRPr="00241FAC">
        <w:rPr>
          <w:rFonts w:cs="Arial"/>
        </w:rPr>
        <w:t>ictamen</w:t>
      </w:r>
      <w:r w:rsidR="00F27068" w:rsidRPr="00241FAC">
        <w:rPr>
          <w:rFonts w:cs="Arial"/>
        </w:rPr>
        <w:t xml:space="preserve">, en la cual </w:t>
      </w:r>
      <w:r w:rsidR="0079526E" w:rsidRPr="00241FAC">
        <w:rPr>
          <w:rFonts w:cs="Arial"/>
        </w:rPr>
        <w:t>el Perito indicó que “</w:t>
      </w:r>
      <w:r w:rsidR="0079526E" w:rsidRPr="00241FAC">
        <w:rPr>
          <w:rFonts w:cs="Arial"/>
          <w:i/>
        </w:rPr>
        <w:t>en lo que se refiere a la calificación de este ítem no me detuve a analizar detenidamente ya que en lo que se pidió como pericia no se refería a este punto”.</w:t>
      </w:r>
      <w:r w:rsidR="00993C18" w:rsidRPr="00241FAC">
        <w:rPr>
          <w:rFonts w:cs="Arial"/>
        </w:rPr>
        <w:t xml:space="preserve"> (</w:t>
      </w:r>
      <w:r w:rsidR="007A33E0" w:rsidRPr="00241FAC">
        <w:rPr>
          <w:rFonts w:cs="Arial"/>
        </w:rPr>
        <w:t>F</w:t>
      </w:r>
      <w:r w:rsidR="00993C18" w:rsidRPr="00241FAC">
        <w:rPr>
          <w:rFonts w:cs="Arial"/>
        </w:rPr>
        <w:t>olio 21, cuaderno 4)</w:t>
      </w:r>
      <w:r w:rsidR="007A33E0" w:rsidRPr="00241FAC">
        <w:rPr>
          <w:rFonts w:cs="Arial"/>
        </w:rPr>
        <w:t>.</w:t>
      </w:r>
    </w:p>
    <w:p w:rsidR="00876D61" w:rsidRPr="00241FAC" w:rsidRDefault="00876D61" w:rsidP="0018721E">
      <w:pPr>
        <w:rPr>
          <w:rFonts w:cs="Arial"/>
        </w:rPr>
      </w:pPr>
    </w:p>
    <w:p w:rsidR="00F67419" w:rsidRPr="00241FAC" w:rsidRDefault="00876D61" w:rsidP="0018721E">
      <w:pPr>
        <w:rPr>
          <w:rFonts w:cs="Arial"/>
        </w:rPr>
      </w:pPr>
      <w:r w:rsidRPr="00241FAC">
        <w:rPr>
          <w:rFonts w:cs="Arial"/>
        </w:rPr>
        <w:t xml:space="preserve">ii) </w:t>
      </w:r>
      <w:r w:rsidR="00B83DC2" w:rsidRPr="00241FAC">
        <w:rPr>
          <w:rFonts w:cs="Arial"/>
        </w:rPr>
        <w:t>La objeción re</w:t>
      </w:r>
      <w:r w:rsidR="00993C18" w:rsidRPr="00241FAC">
        <w:rPr>
          <w:rFonts w:cs="Arial"/>
        </w:rPr>
        <w:t xml:space="preserve">lacionada con el hecho de haber tomado los </w:t>
      </w:r>
      <w:r w:rsidR="005902AE" w:rsidRPr="00241FAC">
        <w:rPr>
          <w:rFonts w:cs="Arial"/>
        </w:rPr>
        <w:t xml:space="preserve">estados financieros presentados por todas las partes convocadas, sin importar si eran o no todos los </w:t>
      </w:r>
      <w:r w:rsidR="00993C18" w:rsidRPr="00241FAC">
        <w:rPr>
          <w:rFonts w:cs="Arial"/>
        </w:rPr>
        <w:t xml:space="preserve">documentos </w:t>
      </w:r>
      <w:r w:rsidR="005902AE" w:rsidRPr="00241FAC">
        <w:rPr>
          <w:rFonts w:cs="Arial"/>
        </w:rPr>
        <w:t>exigidos</w:t>
      </w:r>
      <w:r w:rsidR="00F27068" w:rsidRPr="00241FAC">
        <w:rPr>
          <w:rFonts w:cs="Arial"/>
        </w:rPr>
        <w:t xml:space="preserve"> en el Pliego de Condiciones</w:t>
      </w:r>
      <w:r w:rsidR="005902AE" w:rsidRPr="00241FAC">
        <w:rPr>
          <w:rFonts w:cs="Arial"/>
        </w:rPr>
        <w:t>, no hace referencia a un error del perito</w:t>
      </w:r>
      <w:r w:rsidR="00F27068" w:rsidRPr="00241FAC">
        <w:rPr>
          <w:rFonts w:cs="Arial"/>
        </w:rPr>
        <w:t xml:space="preserve">, </w:t>
      </w:r>
      <w:r w:rsidR="005902AE" w:rsidRPr="00241FAC">
        <w:rPr>
          <w:rFonts w:cs="Arial"/>
        </w:rPr>
        <w:t xml:space="preserve">sino </w:t>
      </w:r>
      <w:r w:rsidR="00F27068" w:rsidRPr="00241FAC">
        <w:rPr>
          <w:rFonts w:cs="Arial"/>
        </w:rPr>
        <w:t xml:space="preserve">más bien pone de presente </w:t>
      </w:r>
      <w:r w:rsidR="005902AE" w:rsidRPr="00241FAC">
        <w:rPr>
          <w:rFonts w:cs="Arial"/>
        </w:rPr>
        <w:t xml:space="preserve">una limitación en el alcance de la prueba </w:t>
      </w:r>
      <w:r w:rsidR="00EE491E" w:rsidRPr="00241FAC">
        <w:rPr>
          <w:rFonts w:cs="Arial"/>
        </w:rPr>
        <w:t xml:space="preserve">para efectos de su apreciación, </w:t>
      </w:r>
      <w:r w:rsidR="005902AE" w:rsidRPr="00241FAC">
        <w:rPr>
          <w:rFonts w:cs="Arial"/>
        </w:rPr>
        <w:t>toda vez que el dictamen no comprendió un concepto contable acerca de la conciliación de las cifras del balance con la declaración de renta</w:t>
      </w:r>
      <w:r w:rsidR="00F8520D" w:rsidRPr="00241FAC">
        <w:rPr>
          <w:rFonts w:cs="Arial"/>
        </w:rPr>
        <w:t xml:space="preserve"> </w:t>
      </w:r>
      <w:r w:rsidR="00EE491E" w:rsidRPr="00241FAC">
        <w:rPr>
          <w:rFonts w:cs="Arial"/>
        </w:rPr>
        <w:t>–</w:t>
      </w:r>
      <w:r w:rsidR="00F27068" w:rsidRPr="00241FAC">
        <w:rPr>
          <w:rFonts w:cs="Arial"/>
        </w:rPr>
        <w:t xml:space="preserve">lo cual se explica en que </w:t>
      </w:r>
      <w:r w:rsidR="00EE491E" w:rsidRPr="00241FAC">
        <w:rPr>
          <w:rFonts w:cs="Arial"/>
        </w:rPr>
        <w:t xml:space="preserve">provino solamente del perito ingeniero- </w:t>
      </w:r>
      <w:r w:rsidR="007B73F9" w:rsidRPr="00241FAC">
        <w:rPr>
          <w:rFonts w:cs="Arial"/>
        </w:rPr>
        <w:t>ni</w:t>
      </w:r>
      <w:r w:rsidR="00F8520D" w:rsidRPr="00241FAC">
        <w:rPr>
          <w:rFonts w:cs="Arial"/>
        </w:rPr>
        <w:t xml:space="preserve"> </w:t>
      </w:r>
      <w:r w:rsidR="00F27068" w:rsidRPr="00241FAC">
        <w:rPr>
          <w:rFonts w:cs="Arial"/>
        </w:rPr>
        <w:t xml:space="preserve">tampoco comprendió </w:t>
      </w:r>
      <w:r w:rsidR="00F8520D" w:rsidRPr="00241FAC">
        <w:rPr>
          <w:rFonts w:cs="Arial"/>
        </w:rPr>
        <w:t xml:space="preserve">la recalificación que se habría realizado </w:t>
      </w:r>
      <w:r w:rsidR="00F67419" w:rsidRPr="00241FAC">
        <w:rPr>
          <w:rFonts w:cs="Arial"/>
        </w:rPr>
        <w:t xml:space="preserve">sobre la evaluación de propuestas </w:t>
      </w:r>
      <w:r w:rsidR="00F8520D" w:rsidRPr="00241FAC">
        <w:rPr>
          <w:rFonts w:cs="Arial"/>
        </w:rPr>
        <w:t xml:space="preserve">en caso de considerar los dos documentos en la evaluación de </w:t>
      </w:r>
      <w:r w:rsidR="007B73F9" w:rsidRPr="00241FAC">
        <w:rPr>
          <w:rFonts w:cs="Arial"/>
        </w:rPr>
        <w:t xml:space="preserve">las </w:t>
      </w:r>
      <w:r w:rsidR="00F67419" w:rsidRPr="00241FAC">
        <w:rPr>
          <w:rFonts w:cs="Arial"/>
        </w:rPr>
        <w:t>mismas</w:t>
      </w:r>
      <w:r w:rsidR="00F8520D" w:rsidRPr="00241FAC">
        <w:rPr>
          <w:rFonts w:cs="Arial"/>
        </w:rPr>
        <w:t xml:space="preserve">. </w:t>
      </w:r>
    </w:p>
    <w:p w:rsidR="00F67419" w:rsidRPr="00241FAC" w:rsidRDefault="00F67419" w:rsidP="0018721E">
      <w:pPr>
        <w:rPr>
          <w:rFonts w:cs="Arial"/>
        </w:rPr>
      </w:pPr>
    </w:p>
    <w:p w:rsidR="00F67419" w:rsidRPr="00241FAC" w:rsidRDefault="00F8520D" w:rsidP="0018721E">
      <w:pPr>
        <w:rPr>
          <w:rFonts w:cs="Arial"/>
        </w:rPr>
      </w:pPr>
      <w:r w:rsidRPr="00241FAC">
        <w:rPr>
          <w:rFonts w:cs="Arial"/>
        </w:rPr>
        <w:t xml:space="preserve">De esta manera, </w:t>
      </w:r>
      <w:r w:rsidR="007B73F9" w:rsidRPr="00241FAC">
        <w:rPr>
          <w:rFonts w:cs="Arial"/>
        </w:rPr>
        <w:t>no se configura un error grave en cu</w:t>
      </w:r>
      <w:r w:rsidR="00F67419" w:rsidRPr="00241FAC">
        <w:rPr>
          <w:rFonts w:cs="Arial"/>
        </w:rPr>
        <w:t>a</w:t>
      </w:r>
      <w:r w:rsidR="007B73F9" w:rsidRPr="00241FAC">
        <w:rPr>
          <w:rFonts w:cs="Arial"/>
        </w:rPr>
        <w:t>nt</w:t>
      </w:r>
      <w:r w:rsidR="00EE491E" w:rsidRPr="00241FAC">
        <w:rPr>
          <w:rFonts w:cs="Arial"/>
        </w:rPr>
        <w:t xml:space="preserve">o </w:t>
      </w:r>
      <w:r w:rsidR="00F67419" w:rsidRPr="00241FAC">
        <w:rPr>
          <w:rFonts w:cs="Arial"/>
        </w:rPr>
        <w:t xml:space="preserve">la salvedad </w:t>
      </w:r>
      <w:r w:rsidR="00EE491E" w:rsidRPr="00241FAC">
        <w:rPr>
          <w:rFonts w:cs="Arial"/>
        </w:rPr>
        <w:t>fue anotad</w:t>
      </w:r>
      <w:r w:rsidR="00F67419" w:rsidRPr="00241FAC">
        <w:rPr>
          <w:rFonts w:cs="Arial"/>
        </w:rPr>
        <w:t xml:space="preserve">a por el perito </w:t>
      </w:r>
      <w:r w:rsidR="00EE491E" w:rsidRPr="00241FAC">
        <w:rPr>
          <w:rFonts w:cs="Arial"/>
        </w:rPr>
        <w:t xml:space="preserve">en la aclaración al dictamen, mediante la advertencia de que </w:t>
      </w:r>
      <w:r w:rsidRPr="00241FAC">
        <w:rPr>
          <w:rFonts w:cs="Arial"/>
        </w:rPr>
        <w:t>s</w:t>
      </w:r>
      <w:r w:rsidR="00E24F0F" w:rsidRPr="00241FAC">
        <w:rPr>
          <w:rFonts w:cs="Arial"/>
        </w:rPr>
        <w:t>ó</w:t>
      </w:r>
      <w:r w:rsidRPr="00241FAC">
        <w:rPr>
          <w:rFonts w:cs="Arial"/>
        </w:rPr>
        <w:t xml:space="preserve">lo </w:t>
      </w:r>
      <w:r w:rsidR="00EE491E" w:rsidRPr="00241FAC">
        <w:rPr>
          <w:rFonts w:cs="Arial"/>
        </w:rPr>
        <w:t xml:space="preserve">se </w:t>
      </w:r>
      <w:r w:rsidRPr="00241FAC">
        <w:rPr>
          <w:rFonts w:cs="Arial"/>
        </w:rPr>
        <w:t xml:space="preserve">incluyó la recalificación de propuestas </w:t>
      </w:r>
      <w:r w:rsidR="007B73F9" w:rsidRPr="00241FAC">
        <w:rPr>
          <w:rFonts w:cs="Arial"/>
        </w:rPr>
        <w:t xml:space="preserve">con base en los balances, </w:t>
      </w:r>
      <w:r w:rsidR="00EE491E" w:rsidRPr="00241FAC">
        <w:rPr>
          <w:rFonts w:cs="Arial"/>
        </w:rPr>
        <w:t xml:space="preserve">sin entrar en el análisis –correspondiente al fallador- de si </w:t>
      </w:r>
      <w:r w:rsidR="00F67419" w:rsidRPr="00241FAC">
        <w:rPr>
          <w:rFonts w:cs="Arial"/>
        </w:rPr>
        <w:t xml:space="preserve">esa información constituía o no </w:t>
      </w:r>
      <w:r w:rsidR="00EE491E" w:rsidRPr="00241FAC">
        <w:rPr>
          <w:rFonts w:cs="Arial"/>
        </w:rPr>
        <w:t>tod</w:t>
      </w:r>
      <w:r w:rsidR="00F67419" w:rsidRPr="00241FAC">
        <w:rPr>
          <w:rFonts w:cs="Arial"/>
        </w:rPr>
        <w:t>a la que debía</w:t>
      </w:r>
      <w:r w:rsidR="00EE491E" w:rsidRPr="00241FAC">
        <w:rPr>
          <w:rFonts w:cs="Arial"/>
        </w:rPr>
        <w:t xml:space="preserve"> </w:t>
      </w:r>
      <w:r w:rsidR="00E24F0F" w:rsidRPr="00241FAC">
        <w:rPr>
          <w:rFonts w:cs="Arial"/>
        </w:rPr>
        <w:t>considerarse</w:t>
      </w:r>
      <w:r w:rsidR="00E46712" w:rsidRPr="00241FAC">
        <w:rPr>
          <w:rFonts w:cs="Arial"/>
        </w:rPr>
        <w:t xml:space="preserve">. </w:t>
      </w:r>
    </w:p>
    <w:p w:rsidR="007B73F9" w:rsidRPr="00241FAC" w:rsidRDefault="007B2316" w:rsidP="0018721E">
      <w:pPr>
        <w:rPr>
          <w:rFonts w:cs="Arial"/>
        </w:rPr>
      </w:pPr>
      <w:r w:rsidRPr="00241FAC">
        <w:rPr>
          <w:rFonts w:cs="Arial"/>
        </w:rPr>
        <w:lastRenderedPageBreak/>
        <w:t>Finalmente, se</w:t>
      </w:r>
      <w:r w:rsidR="00E46712" w:rsidRPr="00241FAC">
        <w:rPr>
          <w:rFonts w:cs="Arial"/>
        </w:rPr>
        <w:t xml:space="preserve"> ten</w:t>
      </w:r>
      <w:r w:rsidRPr="00241FAC">
        <w:rPr>
          <w:rFonts w:cs="Arial"/>
        </w:rPr>
        <w:t>drá</w:t>
      </w:r>
      <w:r w:rsidR="00E46712" w:rsidRPr="00241FAC">
        <w:rPr>
          <w:rFonts w:cs="Arial"/>
        </w:rPr>
        <w:t xml:space="preserve"> en cuenta que la </w:t>
      </w:r>
      <w:r w:rsidR="007B73F9" w:rsidRPr="00241FAC">
        <w:rPr>
          <w:rFonts w:cs="Arial"/>
        </w:rPr>
        <w:t xml:space="preserve">prueba tendría que ser valorada </w:t>
      </w:r>
      <w:proofErr w:type="spellStart"/>
      <w:r w:rsidR="007B73F9" w:rsidRPr="00241FAC">
        <w:rPr>
          <w:rFonts w:cs="Arial"/>
        </w:rPr>
        <w:t>s</w:t>
      </w:r>
      <w:r w:rsidR="00E24F0F" w:rsidRPr="00241FAC">
        <w:rPr>
          <w:rFonts w:cs="Arial"/>
        </w:rPr>
        <w:t>ó</w:t>
      </w:r>
      <w:r w:rsidR="007B73F9" w:rsidRPr="00241FAC">
        <w:rPr>
          <w:rFonts w:cs="Arial"/>
        </w:rPr>
        <w:t>lamente</w:t>
      </w:r>
      <w:proofErr w:type="spellEnd"/>
      <w:r w:rsidR="007B73F9" w:rsidRPr="00241FAC">
        <w:rPr>
          <w:rFonts w:cs="Arial"/>
        </w:rPr>
        <w:t xml:space="preserve"> en </w:t>
      </w:r>
      <w:r w:rsidR="00F8520D" w:rsidRPr="00241FAC">
        <w:rPr>
          <w:rFonts w:cs="Arial"/>
        </w:rPr>
        <w:t>el evento en que el fallador decidiera dar total prelación a la información del balance</w:t>
      </w:r>
      <w:r w:rsidR="007B73F9" w:rsidRPr="00241FAC">
        <w:rPr>
          <w:rFonts w:cs="Arial"/>
        </w:rPr>
        <w:t xml:space="preserve"> para efectos de la calificación de las propuestas</w:t>
      </w:r>
      <w:r w:rsidR="00E46712" w:rsidRPr="00241FAC">
        <w:rPr>
          <w:rFonts w:cs="Arial"/>
        </w:rPr>
        <w:t xml:space="preserve">, aspecto al que no hubo lugar en la sentencia de primera instancia toda vez que en esa oportunidad el Tribunal </w:t>
      </w:r>
      <w:r w:rsidR="00E46712" w:rsidRPr="00241FAC">
        <w:rPr>
          <w:rFonts w:cs="Arial"/>
          <w:i/>
        </w:rPr>
        <w:t>a quo</w:t>
      </w:r>
      <w:r w:rsidR="00E46712" w:rsidRPr="00241FAC">
        <w:rPr>
          <w:rFonts w:cs="Arial"/>
        </w:rPr>
        <w:t xml:space="preserve"> consideró </w:t>
      </w:r>
      <w:r w:rsidR="00737BFA" w:rsidRPr="00241FAC">
        <w:rPr>
          <w:rFonts w:cs="Arial"/>
          <w:i/>
        </w:rPr>
        <w:t xml:space="preserve">“razonable que la entidad haya tenido en cuenta las declaraciones de renta para medir la capacidad financiera, al haberse presentado inconsistencias entre las mismas y los balances presentados” </w:t>
      </w:r>
      <w:r w:rsidR="00737BFA" w:rsidRPr="00241FAC">
        <w:rPr>
          <w:rFonts w:cs="Arial"/>
        </w:rPr>
        <w:t>(folio 195, cuaderno principal)</w:t>
      </w:r>
      <w:r w:rsidRPr="00241FAC">
        <w:rPr>
          <w:rFonts w:cs="Arial"/>
        </w:rPr>
        <w:t>.</w:t>
      </w:r>
    </w:p>
    <w:p w:rsidR="00F8520D" w:rsidRPr="00241FAC" w:rsidRDefault="00F8520D" w:rsidP="0018721E">
      <w:pPr>
        <w:rPr>
          <w:rFonts w:cs="Arial"/>
        </w:rPr>
      </w:pPr>
    </w:p>
    <w:p w:rsidR="009861C4" w:rsidRPr="00241FAC" w:rsidRDefault="006F5381" w:rsidP="009861C4">
      <w:pPr>
        <w:rPr>
          <w:rFonts w:cs="Arial"/>
          <w:b/>
        </w:rPr>
      </w:pPr>
      <w:r w:rsidRPr="00241FAC">
        <w:rPr>
          <w:rFonts w:cs="Arial"/>
          <w:b/>
        </w:rPr>
        <w:t>7.2.</w:t>
      </w:r>
      <w:r w:rsidRPr="00241FAC">
        <w:rPr>
          <w:rFonts w:cs="Arial"/>
          <w:b/>
        </w:rPr>
        <w:tab/>
      </w:r>
      <w:r w:rsidR="009861C4" w:rsidRPr="00241FAC">
        <w:rPr>
          <w:rFonts w:cs="Arial"/>
          <w:b/>
        </w:rPr>
        <w:t>Calificación de la capacidad financiera</w:t>
      </w:r>
      <w:r w:rsidR="00E24F0F" w:rsidRPr="00241FAC">
        <w:rPr>
          <w:rFonts w:cs="Arial"/>
          <w:b/>
        </w:rPr>
        <w:t>.</w:t>
      </w:r>
    </w:p>
    <w:p w:rsidR="00737BFA" w:rsidRPr="00241FAC" w:rsidRDefault="00737BFA" w:rsidP="009861C4">
      <w:pPr>
        <w:rPr>
          <w:rFonts w:cs="Arial"/>
        </w:rPr>
      </w:pPr>
    </w:p>
    <w:p w:rsidR="009861C4" w:rsidRPr="00241FAC" w:rsidRDefault="009861C4" w:rsidP="009861C4">
      <w:pPr>
        <w:rPr>
          <w:rFonts w:cs="Arial"/>
        </w:rPr>
      </w:pPr>
      <w:r w:rsidRPr="00241FAC">
        <w:rPr>
          <w:rFonts w:cs="Arial"/>
        </w:rPr>
        <w:t xml:space="preserve">Acerca de las diferencias encontradas en la información financiera de la sociedad </w:t>
      </w:r>
      <w:proofErr w:type="spellStart"/>
      <w:r w:rsidRPr="00241FAC">
        <w:rPr>
          <w:rFonts w:cs="Arial"/>
        </w:rPr>
        <w:t>Insetel</w:t>
      </w:r>
      <w:proofErr w:type="spellEnd"/>
      <w:r w:rsidRPr="00241FAC">
        <w:rPr>
          <w:rFonts w:cs="Arial"/>
        </w:rPr>
        <w:t xml:space="preserve"> Ltda., la parte demandante acudió a dos argumentos</w:t>
      </w:r>
      <w:r w:rsidR="003607B3" w:rsidRPr="00241FAC">
        <w:rPr>
          <w:rFonts w:cs="Arial"/>
        </w:rPr>
        <w:t>;</w:t>
      </w:r>
      <w:r w:rsidRPr="00241FAC">
        <w:rPr>
          <w:rFonts w:cs="Arial"/>
        </w:rPr>
        <w:t xml:space="preserve"> </w:t>
      </w:r>
      <w:r w:rsidRPr="00241FAC">
        <w:rPr>
          <w:rFonts w:cs="Arial"/>
          <w:b/>
        </w:rPr>
        <w:t>i)</w:t>
      </w:r>
      <w:r w:rsidRPr="00241FAC">
        <w:rPr>
          <w:rFonts w:cs="Arial"/>
        </w:rPr>
        <w:t xml:space="preserve"> invocó la aplicación del artículo 775 del Estatuto Tributario, el cual establece la prevalencia de los libros de contabilidad como medio de prueba dentro del procedimiento tributario, así como la Ley 43 de 1990 en relación con la </w:t>
      </w:r>
      <w:r w:rsidR="007A33E0" w:rsidRPr="00241FAC">
        <w:rPr>
          <w:rFonts w:cs="Arial"/>
        </w:rPr>
        <w:t>fe</w:t>
      </w:r>
      <w:r w:rsidRPr="00241FAC">
        <w:rPr>
          <w:rFonts w:cs="Arial"/>
        </w:rPr>
        <w:t xml:space="preserve"> pública debida a l</w:t>
      </w:r>
      <w:r w:rsidR="007B2316" w:rsidRPr="00241FAC">
        <w:rPr>
          <w:rFonts w:cs="Arial"/>
        </w:rPr>
        <w:t xml:space="preserve">a atestación del </w:t>
      </w:r>
      <w:r w:rsidRPr="00241FAC">
        <w:rPr>
          <w:rFonts w:cs="Arial"/>
        </w:rPr>
        <w:t xml:space="preserve">Contador Público y el artículo 48 del Código de Comercio en relación con la obligación del comerciante de llevar la contabilidad con arreglo a las normas comerciales y, de otra parte, </w:t>
      </w:r>
      <w:r w:rsidRPr="00241FAC">
        <w:rPr>
          <w:rFonts w:cs="Arial"/>
          <w:b/>
        </w:rPr>
        <w:t xml:space="preserve">ii) </w:t>
      </w:r>
      <w:r w:rsidRPr="00241FAC">
        <w:rPr>
          <w:rFonts w:cs="Arial"/>
        </w:rPr>
        <w:t xml:space="preserve">observó que la disposición del numeral 29 del Pliego de Condiciones acerca de la calificación de la capacidad financiera se refirió únicamente al balance, sin mencionar la declaración de renta, la cual apareció requerida </w:t>
      </w:r>
      <w:proofErr w:type="spellStart"/>
      <w:r w:rsidRPr="00241FAC">
        <w:rPr>
          <w:rFonts w:cs="Arial"/>
        </w:rPr>
        <w:t>s</w:t>
      </w:r>
      <w:r w:rsidR="003607B3" w:rsidRPr="00241FAC">
        <w:rPr>
          <w:rFonts w:cs="Arial"/>
        </w:rPr>
        <w:t>ó</w:t>
      </w:r>
      <w:r w:rsidRPr="00241FAC">
        <w:rPr>
          <w:rFonts w:cs="Arial"/>
        </w:rPr>
        <w:t>lamente</w:t>
      </w:r>
      <w:proofErr w:type="spellEnd"/>
      <w:r w:rsidRPr="00241FAC">
        <w:rPr>
          <w:rFonts w:cs="Arial"/>
        </w:rPr>
        <w:t xml:space="preserve"> en el acápite de los documentos de la respectiva Licitación Pública No. 01.</w:t>
      </w:r>
    </w:p>
    <w:p w:rsidR="00C95DB1" w:rsidRPr="00241FAC" w:rsidRDefault="00C95DB1" w:rsidP="009861C4">
      <w:pPr>
        <w:spacing w:line="240" w:lineRule="auto"/>
        <w:rPr>
          <w:rFonts w:cs="Arial"/>
        </w:rPr>
      </w:pPr>
    </w:p>
    <w:p w:rsidR="009861C4" w:rsidRPr="00241FAC" w:rsidRDefault="009861C4" w:rsidP="00C95DB1">
      <w:pPr>
        <w:rPr>
          <w:rFonts w:cs="Arial"/>
        </w:rPr>
      </w:pPr>
      <w:r w:rsidRPr="00241FAC">
        <w:rPr>
          <w:rFonts w:cs="Arial"/>
        </w:rPr>
        <w:t xml:space="preserve">En relación con las normas legales invocadas </w:t>
      </w:r>
      <w:r w:rsidR="00C95DB1" w:rsidRPr="00241FAC">
        <w:rPr>
          <w:rFonts w:cs="Arial"/>
        </w:rPr>
        <w:t xml:space="preserve">en el </w:t>
      </w:r>
      <w:proofErr w:type="spellStart"/>
      <w:r w:rsidR="003607B3" w:rsidRPr="00241FAC">
        <w:rPr>
          <w:rFonts w:cs="Arial"/>
        </w:rPr>
        <w:t>subnumeral</w:t>
      </w:r>
      <w:proofErr w:type="spellEnd"/>
      <w:r w:rsidR="003607B3" w:rsidRPr="00241FAC">
        <w:rPr>
          <w:rFonts w:cs="Arial"/>
        </w:rPr>
        <w:t xml:space="preserve"> </w:t>
      </w:r>
      <w:r w:rsidR="00C95DB1" w:rsidRPr="00241FAC">
        <w:rPr>
          <w:rFonts w:cs="Arial"/>
          <w:b/>
        </w:rPr>
        <w:t>i)</w:t>
      </w:r>
      <w:r w:rsidR="00C95DB1" w:rsidRPr="00241FAC">
        <w:rPr>
          <w:rFonts w:cs="Arial"/>
        </w:rPr>
        <w:t xml:space="preserve"> anterior, </w:t>
      </w:r>
      <w:r w:rsidRPr="00241FAC">
        <w:rPr>
          <w:rFonts w:cs="Arial"/>
        </w:rPr>
        <w:t>se advierte lo siguiente:</w:t>
      </w:r>
    </w:p>
    <w:p w:rsidR="009861C4" w:rsidRPr="00241FAC" w:rsidRDefault="009861C4" w:rsidP="00C95DB1">
      <w:pPr>
        <w:rPr>
          <w:rFonts w:cs="Arial"/>
        </w:rPr>
      </w:pPr>
    </w:p>
    <w:p w:rsidR="009861C4" w:rsidRPr="00241FAC" w:rsidRDefault="009861C4" w:rsidP="00C95DB1">
      <w:pPr>
        <w:rPr>
          <w:rFonts w:cs="Arial"/>
        </w:rPr>
      </w:pPr>
      <w:r w:rsidRPr="00241FAC">
        <w:rPr>
          <w:rFonts w:cs="Arial"/>
        </w:rPr>
        <w:t xml:space="preserve">El artículo 775 se encuentra ubicado en </w:t>
      </w:r>
      <w:r w:rsidR="00E32C35" w:rsidRPr="00241FAC">
        <w:rPr>
          <w:rFonts w:cs="Arial"/>
        </w:rPr>
        <w:t xml:space="preserve">el </w:t>
      </w:r>
      <w:r w:rsidRPr="00241FAC">
        <w:rPr>
          <w:rFonts w:cs="Arial"/>
        </w:rPr>
        <w:t xml:space="preserve">Estatuto Tributario, Libro Quinto, </w:t>
      </w:r>
      <w:r w:rsidRPr="00241FAC">
        <w:rPr>
          <w:rFonts w:cs="Arial"/>
          <w:i/>
        </w:rPr>
        <w:t>“Del  Procedimiento Tributario”</w:t>
      </w:r>
      <w:r w:rsidRPr="00241FAC">
        <w:rPr>
          <w:rFonts w:cs="Arial"/>
        </w:rPr>
        <w:t xml:space="preserve">, Titulo VI, referente al régimen probatorio </w:t>
      </w:r>
      <w:r w:rsidR="003607B3" w:rsidRPr="00241FAC">
        <w:rPr>
          <w:rFonts w:cs="Arial"/>
        </w:rPr>
        <w:t>que debe observarse dentro de las actuaciones y decisiones que deban cumplirse y/o proferirse durante el curso del referido procedimiento tributario</w:t>
      </w:r>
      <w:r w:rsidRPr="00241FAC">
        <w:rPr>
          <w:rFonts w:cs="Arial"/>
        </w:rPr>
        <w:t xml:space="preserve">, por cuya especialidad </w:t>
      </w:r>
      <w:r w:rsidR="003607B3" w:rsidRPr="00241FAC">
        <w:rPr>
          <w:rFonts w:cs="Arial"/>
        </w:rPr>
        <w:t xml:space="preserve">dicha norma </w:t>
      </w:r>
      <w:r w:rsidRPr="00241FAC">
        <w:rPr>
          <w:rFonts w:cs="Arial"/>
        </w:rPr>
        <w:t>no resulta aplicable al procedimiento administrativo de selección de contratista</w:t>
      </w:r>
      <w:r w:rsidR="00C95DB1" w:rsidRPr="00241FAC">
        <w:rPr>
          <w:rFonts w:cs="Arial"/>
        </w:rPr>
        <w:t>s</w:t>
      </w:r>
      <w:r w:rsidRPr="00241FAC">
        <w:rPr>
          <w:rFonts w:cs="Arial"/>
        </w:rPr>
        <w:t xml:space="preserve"> regulado en régimen de contratación estatal contenido en la Ley 80 de 1993, ni a la acción contractual establecida en el artículo 87 del Código Contencioso Administrativo, que en este caso ocupa la atención de la Sala</w:t>
      </w:r>
      <w:r w:rsidRPr="00241FAC">
        <w:rPr>
          <w:rStyle w:val="Refdenotaalpie"/>
          <w:rFonts w:cs="Arial"/>
        </w:rPr>
        <w:footnoteReference w:id="52"/>
      </w:r>
      <w:r w:rsidRPr="00241FAC">
        <w:rPr>
          <w:rFonts w:cs="Arial"/>
        </w:rPr>
        <w:t>.</w:t>
      </w:r>
    </w:p>
    <w:p w:rsidR="009861C4" w:rsidRPr="00241FAC" w:rsidRDefault="009861C4" w:rsidP="009861C4">
      <w:pPr>
        <w:rPr>
          <w:rFonts w:cs="Arial"/>
        </w:rPr>
      </w:pPr>
      <w:r w:rsidRPr="00241FAC">
        <w:rPr>
          <w:rFonts w:cs="Arial"/>
        </w:rPr>
        <w:lastRenderedPageBreak/>
        <w:t>No obstante, se puede observar que la citada norma estaba precedida de otras disposiciones procedimentales acerca de los requisitos de la prueba contable, fijados en los artículos 772, 773 y 774 del Estatuto Tributario, los cuales no se predica</w:t>
      </w:r>
      <w:r w:rsidR="000170A9" w:rsidRPr="00241FAC">
        <w:rPr>
          <w:rFonts w:cs="Arial"/>
        </w:rPr>
        <w:t>ba</w:t>
      </w:r>
      <w:r w:rsidRPr="00241FAC">
        <w:rPr>
          <w:rFonts w:cs="Arial"/>
        </w:rPr>
        <w:t>n en el caso sub judice, toda vez que la entidad contratante sólo disponía de un balance comercial no certificado y no de los libros del comerciante</w:t>
      </w:r>
      <w:r w:rsidR="000170A9" w:rsidRPr="00241FAC">
        <w:rPr>
          <w:rFonts w:cs="Arial"/>
        </w:rPr>
        <w:t xml:space="preserve"> a que se refiere el artículo 775 citado</w:t>
      </w:r>
      <w:r w:rsidRPr="00241FAC">
        <w:rPr>
          <w:rFonts w:cs="Arial"/>
        </w:rPr>
        <w:t xml:space="preserve">, </w:t>
      </w:r>
      <w:r w:rsidR="000170A9" w:rsidRPr="00241FAC">
        <w:rPr>
          <w:rFonts w:cs="Arial"/>
        </w:rPr>
        <w:t xml:space="preserve">como tampoco </w:t>
      </w:r>
      <w:r w:rsidRPr="00241FAC">
        <w:rPr>
          <w:rFonts w:cs="Arial"/>
        </w:rPr>
        <w:t xml:space="preserve">se acreditó que la información del precitado balance guardara la correspondencia debida con los libros de contabilidad, ni que estos se llevaran de acuerdo con el Título IV del Libro I del Código de Comercio, ni se </w:t>
      </w:r>
      <w:r w:rsidR="000170A9" w:rsidRPr="00241FAC">
        <w:rPr>
          <w:rFonts w:cs="Arial"/>
        </w:rPr>
        <w:t xml:space="preserve">presentó </w:t>
      </w:r>
      <w:r w:rsidRPr="00241FAC">
        <w:rPr>
          <w:rFonts w:cs="Arial"/>
        </w:rPr>
        <w:t>la atestación del Contador Público a dicho balance, en los términos del artículo 37 de la Ley 222 de 1995, ni tal balance constituyó una información completa con arreglo a las normas de contabilidad, por la ausencia de las notas a los estados financieros</w:t>
      </w:r>
      <w:r w:rsidR="000170A9" w:rsidRPr="00241FAC">
        <w:rPr>
          <w:rFonts w:cs="Arial"/>
        </w:rPr>
        <w:t>, exigidos en la norma</w:t>
      </w:r>
      <w:r w:rsidRPr="00241FAC">
        <w:rPr>
          <w:rFonts w:cs="Arial"/>
        </w:rPr>
        <w:t>.</w:t>
      </w:r>
    </w:p>
    <w:p w:rsidR="002302F9" w:rsidRPr="00241FAC" w:rsidRDefault="002302F9" w:rsidP="009861C4">
      <w:pPr>
        <w:rPr>
          <w:rFonts w:cs="Arial"/>
        </w:rPr>
      </w:pPr>
    </w:p>
    <w:p w:rsidR="009861C4" w:rsidRPr="00241FAC" w:rsidRDefault="009861C4" w:rsidP="009861C4">
      <w:pPr>
        <w:rPr>
          <w:rFonts w:cs="Arial"/>
        </w:rPr>
      </w:pPr>
      <w:r w:rsidRPr="00241FAC">
        <w:rPr>
          <w:rFonts w:cs="Arial"/>
        </w:rPr>
        <w:t xml:space="preserve">También se </w:t>
      </w:r>
      <w:r w:rsidR="00C567F2" w:rsidRPr="00241FAC">
        <w:rPr>
          <w:rFonts w:cs="Arial"/>
        </w:rPr>
        <w:t>advierte</w:t>
      </w:r>
      <w:r w:rsidRPr="00241FAC">
        <w:rPr>
          <w:rFonts w:cs="Arial"/>
        </w:rPr>
        <w:t xml:space="preserve"> que</w:t>
      </w:r>
      <w:r w:rsidR="00C33E0C" w:rsidRPr="00241FAC">
        <w:rPr>
          <w:rFonts w:cs="Arial"/>
        </w:rPr>
        <w:t>,</w:t>
      </w:r>
      <w:r w:rsidRPr="00241FAC">
        <w:rPr>
          <w:rFonts w:cs="Arial"/>
        </w:rPr>
        <w:t xml:space="preserve"> por ejemplo</w:t>
      </w:r>
      <w:r w:rsidR="00C33E0C" w:rsidRPr="00241FAC">
        <w:rPr>
          <w:rFonts w:cs="Arial"/>
        </w:rPr>
        <w:t>,</w:t>
      </w:r>
      <w:r w:rsidRPr="00241FAC">
        <w:rPr>
          <w:rFonts w:cs="Arial"/>
        </w:rPr>
        <w:t xml:space="preserve"> en relación con los requisitos de los libros de contabilidad referidos en el artículo 774</w:t>
      </w:r>
      <w:r w:rsidR="00C33E0C" w:rsidRPr="00241FAC">
        <w:rPr>
          <w:rFonts w:cs="Arial"/>
        </w:rPr>
        <w:t xml:space="preserve"> del Estatuto Tributario</w:t>
      </w:r>
      <w:r w:rsidRPr="00241FAC">
        <w:rPr>
          <w:rFonts w:cs="Arial"/>
        </w:rPr>
        <w:t xml:space="preserve">, uno de </w:t>
      </w:r>
      <w:r w:rsidR="00C33E0C" w:rsidRPr="00241FAC">
        <w:rPr>
          <w:rFonts w:cs="Arial"/>
        </w:rPr>
        <w:t xml:space="preserve">los </w:t>
      </w:r>
      <w:r w:rsidRPr="00241FAC">
        <w:rPr>
          <w:rFonts w:cs="Arial"/>
        </w:rPr>
        <w:t xml:space="preserve">supuestos </w:t>
      </w:r>
      <w:r w:rsidR="00C33E0C" w:rsidRPr="00241FAC">
        <w:rPr>
          <w:rFonts w:cs="Arial"/>
        </w:rPr>
        <w:t xml:space="preserve">de la prueba </w:t>
      </w:r>
      <w:r w:rsidR="00C567F2" w:rsidRPr="00241FAC">
        <w:rPr>
          <w:rFonts w:cs="Arial"/>
        </w:rPr>
        <w:t>consistente en</w:t>
      </w:r>
      <w:r w:rsidRPr="00241FAC">
        <w:rPr>
          <w:rFonts w:cs="Arial"/>
        </w:rPr>
        <w:t xml:space="preserve">: </w:t>
      </w:r>
      <w:r w:rsidRPr="00241FAC">
        <w:rPr>
          <w:rFonts w:cs="Arial"/>
          <w:i/>
        </w:rPr>
        <w:t xml:space="preserve">“4. No haber sido desvirtuados por medios probatorios directos o indirectos que no estén prohibidos por la ley” </w:t>
      </w:r>
      <w:r w:rsidRPr="00241FAC">
        <w:rPr>
          <w:rFonts w:cs="Arial"/>
        </w:rPr>
        <w:t>cosa que precisamente quedó en tela de juicio para la entidad contratante, con arreglo a</w:t>
      </w:r>
      <w:r w:rsidR="00C33E0C" w:rsidRPr="00241FAC">
        <w:rPr>
          <w:rFonts w:cs="Arial"/>
        </w:rPr>
        <w:t xml:space="preserve"> la disposición del </w:t>
      </w:r>
      <w:r w:rsidRPr="00241FAC">
        <w:rPr>
          <w:rFonts w:cs="Arial"/>
        </w:rPr>
        <w:t xml:space="preserve"> artículo 620 del mismo Estatuto Tributario, que </w:t>
      </w:r>
      <w:r w:rsidR="00C33E0C" w:rsidRPr="00241FAC">
        <w:rPr>
          <w:rFonts w:cs="Arial"/>
        </w:rPr>
        <w:t xml:space="preserve">exigía </w:t>
      </w:r>
      <w:r w:rsidRPr="00241FAC">
        <w:rPr>
          <w:rFonts w:cs="Arial"/>
          <w:i/>
        </w:rPr>
        <w:t>“fundamentarse en la declaración de renta”</w:t>
      </w:r>
      <w:r w:rsidRPr="00241FAC">
        <w:rPr>
          <w:rFonts w:cs="Arial"/>
        </w:rPr>
        <w:t>, entre otros factores, para medir la capacidad económica del contratista</w:t>
      </w:r>
      <w:r w:rsidR="00803680" w:rsidRPr="00241FAC">
        <w:rPr>
          <w:rFonts w:cs="Arial"/>
        </w:rPr>
        <w:t>,</w:t>
      </w:r>
      <w:r w:rsidR="00C567F2" w:rsidRPr="00241FAC">
        <w:rPr>
          <w:rFonts w:cs="Arial"/>
        </w:rPr>
        <w:t xml:space="preserve"> </w:t>
      </w:r>
      <w:r w:rsidRPr="00241FAC">
        <w:rPr>
          <w:rFonts w:cs="Arial"/>
        </w:rPr>
        <w:t xml:space="preserve">regla </w:t>
      </w:r>
      <w:r w:rsidR="00C567F2" w:rsidRPr="00241FAC">
        <w:rPr>
          <w:rFonts w:cs="Arial"/>
        </w:rPr>
        <w:t xml:space="preserve">esta </w:t>
      </w:r>
      <w:r w:rsidRPr="00241FAC">
        <w:rPr>
          <w:rFonts w:cs="Arial"/>
        </w:rPr>
        <w:t>prevista en el Cap</w:t>
      </w:r>
      <w:r w:rsidR="00803680" w:rsidRPr="00241FAC">
        <w:rPr>
          <w:rFonts w:cs="Arial"/>
        </w:rPr>
        <w:t>í</w:t>
      </w:r>
      <w:r w:rsidRPr="00241FAC">
        <w:rPr>
          <w:rFonts w:cs="Arial"/>
        </w:rPr>
        <w:t>tulo correspondiente a los otros deberes formales de los sujetos pasivos de las obligaciones tributarias y de terceros.</w:t>
      </w:r>
    </w:p>
    <w:p w:rsidR="00803680" w:rsidRPr="00241FAC" w:rsidRDefault="00803680" w:rsidP="009861C4">
      <w:pPr>
        <w:rPr>
          <w:rFonts w:cs="Arial"/>
        </w:rPr>
      </w:pPr>
    </w:p>
    <w:p w:rsidR="00803680" w:rsidRPr="00241FAC" w:rsidRDefault="009861C4" w:rsidP="009861C4">
      <w:pPr>
        <w:rPr>
          <w:rFonts w:cs="Arial"/>
        </w:rPr>
      </w:pPr>
      <w:r w:rsidRPr="00241FAC">
        <w:rPr>
          <w:rFonts w:cs="Arial"/>
        </w:rPr>
        <w:t xml:space="preserve">Así las cosas, la prevalencia de los libros de contabilidad </w:t>
      </w:r>
      <w:r w:rsidR="00D15D58" w:rsidRPr="00241FAC">
        <w:rPr>
          <w:rFonts w:cs="Arial"/>
        </w:rPr>
        <w:t xml:space="preserve">a que hace referencia </w:t>
      </w:r>
      <w:r w:rsidRPr="00241FAC">
        <w:rPr>
          <w:rFonts w:cs="Arial"/>
        </w:rPr>
        <w:t>el artículo 775 del Estatuto Tributario</w:t>
      </w:r>
      <w:r w:rsidR="00D15D58" w:rsidRPr="00241FAC">
        <w:rPr>
          <w:rFonts w:cs="Arial"/>
        </w:rPr>
        <w:t>,</w:t>
      </w:r>
      <w:r w:rsidRPr="00241FAC">
        <w:rPr>
          <w:rFonts w:cs="Arial"/>
        </w:rPr>
        <w:t xml:space="preserve"> no result</w:t>
      </w:r>
      <w:r w:rsidR="00D15D58" w:rsidRPr="00241FAC">
        <w:rPr>
          <w:rFonts w:cs="Arial"/>
        </w:rPr>
        <w:t>a</w:t>
      </w:r>
      <w:r w:rsidRPr="00241FAC">
        <w:rPr>
          <w:rFonts w:cs="Arial"/>
        </w:rPr>
        <w:t xml:space="preserve"> ser una regla aplicable en el caso concreto y</w:t>
      </w:r>
      <w:r w:rsidR="00D15D58" w:rsidRPr="00241FAC">
        <w:rPr>
          <w:rFonts w:cs="Arial"/>
        </w:rPr>
        <w:t>,</w:t>
      </w:r>
      <w:r w:rsidRPr="00241FAC">
        <w:rPr>
          <w:rFonts w:cs="Arial"/>
        </w:rPr>
        <w:t xml:space="preserve"> por el contrario</w:t>
      </w:r>
      <w:r w:rsidR="00D15D58" w:rsidRPr="00241FAC">
        <w:rPr>
          <w:rFonts w:cs="Arial"/>
        </w:rPr>
        <w:t>,</w:t>
      </w:r>
      <w:r w:rsidRPr="00241FAC">
        <w:rPr>
          <w:rFonts w:cs="Arial"/>
        </w:rPr>
        <w:t xml:space="preserve"> se encuentra que en relación con la Licitación Pública No. 01 de 2000 procedió la </w:t>
      </w:r>
      <w:r w:rsidR="00D15D58" w:rsidRPr="00241FAC">
        <w:rPr>
          <w:rFonts w:cs="Arial"/>
        </w:rPr>
        <w:t xml:space="preserve">aplicación de </w:t>
      </w:r>
      <w:r w:rsidRPr="00241FAC">
        <w:rPr>
          <w:rFonts w:cs="Arial"/>
          <w:i/>
        </w:rPr>
        <w:t>facultad-deber</w:t>
      </w:r>
      <w:r w:rsidRPr="00241FAC">
        <w:rPr>
          <w:rFonts w:cs="Arial"/>
        </w:rPr>
        <w:t xml:space="preserve"> de verificación de la información </w:t>
      </w:r>
      <w:r w:rsidR="00803680" w:rsidRPr="00241FAC">
        <w:rPr>
          <w:rFonts w:cs="Arial"/>
        </w:rPr>
        <w:t xml:space="preserve">para medir la capacidad financiera, </w:t>
      </w:r>
      <w:r w:rsidRPr="00241FAC">
        <w:rPr>
          <w:rFonts w:cs="Arial"/>
        </w:rPr>
        <w:t>de acuerdo con las disposiciones del art</w:t>
      </w:r>
      <w:r w:rsidR="00803680" w:rsidRPr="00241FAC">
        <w:rPr>
          <w:rFonts w:cs="Arial"/>
        </w:rPr>
        <w:t>í</w:t>
      </w:r>
      <w:r w:rsidRPr="00241FAC">
        <w:rPr>
          <w:rFonts w:cs="Arial"/>
        </w:rPr>
        <w:t>culo 22.3 de la Ley 80 de 1993 y el Decreto 92 de 1998</w:t>
      </w:r>
      <w:r w:rsidR="00803680" w:rsidRPr="00241FAC">
        <w:rPr>
          <w:rFonts w:cs="Arial"/>
        </w:rPr>
        <w:t>.</w:t>
      </w:r>
    </w:p>
    <w:p w:rsidR="002302F9" w:rsidRPr="00241FAC" w:rsidRDefault="002302F9" w:rsidP="009861C4">
      <w:pPr>
        <w:rPr>
          <w:rFonts w:cs="Arial"/>
        </w:rPr>
      </w:pPr>
    </w:p>
    <w:p w:rsidR="009861C4" w:rsidRPr="00241FAC" w:rsidRDefault="009861C4" w:rsidP="009861C4">
      <w:pPr>
        <w:rPr>
          <w:rFonts w:cs="Arial"/>
        </w:rPr>
      </w:pPr>
      <w:r w:rsidRPr="00241FAC">
        <w:rPr>
          <w:rFonts w:cs="Arial"/>
        </w:rPr>
        <w:t>Entonces, la Sala concluye que la prevalencia de la prueba contable en el procedimiento de selección del contratista no t</w:t>
      </w:r>
      <w:r w:rsidR="00D15D58" w:rsidRPr="00241FAC">
        <w:rPr>
          <w:rFonts w:cs="Arial"/>
        </w:rPr>
        <w:t xml:space="preserve">enía cabida en este caso concreto </w:t>
      </w:r>
      <w:r w:rsidRPr="00241FAC">
        <w:rPr>
          <w:rFonts w:cs="Arial"/>
        </w:rPr>
        <w:t xml:space="preserve">por las falencias de la misma, no sólo frente a la normativa del Estatuto Tributario impropiamente invocado, sino especialmente por </w:t>
      </w:r>
      <w:r w:rsidR="003E3029" w:rsidRPr="00241FAC">
        <w:rPr>
          <w:rFonts w:cs="Arial"/>
        </w:rPr>
        <w:t xml:space="preserve">razón de </w:t>
      </w:r>
      <w:proofErr w:type="spellStart"/>
      <w:r w:rsidRPr="00241FAC">
        <w:rPr>
          <w:rFonts w:cs="Arial"/>
        </w:rPr>
        <w:t>de</w:t>
      </w:r>
      <w:proofErr w:type="spellEnd"/>
      <w:r w:rsidRPr="00241FAC">
        <w:rPr>
          <w:rFonts w:cs="Arial"/>
        </w:rPr>
        <w:t xml:space="preserve"> las reglas de la </w:t>
      </w:r>
      <w:r w:rsidRPr="00241FAC">
        <w:rPr>
          <w:rFonts w:cs="Arial"/>
        </w:rPr>
        <w:lastRenderedPageBreak/>
        <w:t>contabilidad del comerciante</w:t>
      </w:r>
      <w:r w:rsidR="00506A0A" w:rsidRPr="00241FAC">
        <w:rPr>
          <w:rFonts w:cs="Arial"/>
        </w:rPr>
        <w:t xml:space="preserve">, aplicables a la sociedad comercial que hizo </w:t>
      </w:r>
      <w:r w:rsidR="00D943A4" w:rsidRPr="00241FAC">
        <w:rPr>
          <w:rFonts w:cs="Arial"/>
        </w:rPr>
        <w:t xml:space="preserve">parte de la Unión Temporal Construobras, </w:t>
      </w:r>
      <w:r w:rsidRPr="00241FAC">
        <w:rPr>
          <w:rFonts w:cs="Arial"/>
        </w:rPr>
        <w:t xml:space="preserve">contenidas en el Código de Comercio, </w:t>
      </w:r>
      <w:r w:rsidR="00D943A4" w:rsidRPr="00241FAC">
        <w:rPr>
          <w:rFonts w:cs="Arial"/>
        </w:rPr>
        <w:t xml:space="preserve">en </w:t>
      </w:r>
      <w:r w:rsidRPr="00241FAC">
        <w:rPr>
          <w:rFonts w:cs="Arial"/>
        </w:rPr>
        <w:t xml:space="preserve">el artículo 37 de la Ley 222 de 1995 que </w:t>
      </w:r>
      <w:r w:rsidR="003E3029" w:rsidRPr="00241FAC">
        <w:rPr>
          <w:rFonts w:cs="Arial"/>
        </w:rPr>
        <w:t>se ocupa d</w:t>
      </w:r>
      <w:r w:rsidR="00BE2EDE" w:rsidRPr="00241FAC">
        <w:rPr>
          <w:rFonts w:cs="Arial"/>
        </w:rPr>
        <w:t>e</w:t>
      </w:r>
      <w:r w:rsidRPr="00241FAC">
        <w:rPr>
          <w:rFonts w:cs="Arial"/>
        </w:rPr>
        <w:t xml:space="preserve">l contenido de la certificación de los estados financieros y </w:t>
      </w:r>
      <w:r w:rsidR="00D943A4" w:rsidRPr="00241FAC">
        <w:rPr>
          <w:rFonts w:cs="Arial"/>
        </w:rPr>
        <w:t xml:space="preserve">finalmente en </w:t>
      </w:r>
      <w:r w:rsidRPr="00241FAC">
        <w:rPr>
          <w:rFonts w:cs="Arial"/>
        </w:rPr>
        <w:t>el artículo 115 del Decreto 2649 de 1993, el cual regula las notas a los estados financieros y concretamente a la obligación de revelación de la conciliación fiscal.</w:t>
      </w:r>
    </w:p>
    <w:p w:rsidR="00D943A4" w:rsidRPr="00241FAC" w:rsidRDefault="00D943A4" w:rsidP="009861C4">
      <w:pPr>
        <w:rPr>
          <w:rFonts w:cs="Arial"/>
        </w:rPr>
      </w:pPr>
    </w:p>
    <w:p w:rsidR="009861C4" w:rsidRPr="00241FAC" w:rsidRDefault="009861C4" w:rsidP="009861C4">
      <w:pPr>
        <w:rPr>
          <w:rFonts w:cs="Arial"/>
        </w:rPr>
      </w:pPr>
      <w:r w:rsidRPr="00241FAC">
        <w:rPr>
          <w:rFonts w:cs="Arial"/>
        </w:rPr>
        <w:t xml:space="preserve">La anterior conclusión se funda en el análisis de los hechos y los documentos </w:t>
      </w:r>
      <w:r w:rsidR="00D943A4" w:rsidRPr="00241FAC">
        <w:rPr>
          <w:rFonts w:cs="Arial"/>
        </w:rPr>
        <w:t xml:space="preserve">presentados en </w:t>
      </w:r>
      <w:r w:rsidRPr="00241FAC">
        <w:rPr>
          <w:rFonts w:cs="Arial"/>
        </w:rPr>
        <w:t xml:space="preserve">la Licitación Pública No. 01 de 2000 llevada a cabo por el Municipio de Purificación, toda vez que </w:t>
      </w:r>
      <w:r w:rsidR="00E51E1B" w:rsidRPr="00241FAC">
        <w:rPr>
          <w:rFonts w:cs="Arial"/>
        </w:rPr>
        <w:t xml:space="preserve">se corrobora que </w:t>
      </w:r>
      <w:r w:rsidRPr="00241FAC">
        <w:rPr>
          <w:rFonts w:cs="Arial"/>
        </w:rPr>
        <w:t xml:space="preserve">dentro del respectivo procedimiento administrativo de selección </w:t>
      </w:r>
      <w:r w:rsidR="003E3029" w:rsidRPr="00241FAC">
        <w:rPr>
          <w:rFonts w:cs="Arial"/>
        </w:rPr>
        <w:t>contractual</w:t>
      </w:r>
      <w:r w:rsidRPr="00241FAC">
        <w:rPr>
          <w:rFonts w:cs="Arial"/>
        </w:rPr>
        <w:t>, en la oportunidad en que la entidad contratante dio traslado de las evaluaciones y puso de presente las diferencias encontradas en la información financiera, el proponente Unión Temporal Construobras –cuyos integrantes actúan ahora como demandantes-  no entró a explicar las tales diferencias, ni aportó documentos para apoyar la información del balance comercial y</w:t>
      </w:r>
      <w:r w:rsidR="003E3029" w:rsidRPr="00241FAC">
        <w:rPr>
          <w:rFonts w:cs="Arial"/>
        </w:rPr>
        <w:t>,</w:t>
      </w:r>
      <w:r w:rsidRPr="00241FAC">
        <w:rPr>
          <w:rFonts w:cs="Arial"/>
        </w:rPr>
        <w:t xml:space="preserve"> por el contrario, tal como hizo notar el Consorcio vinculado a la parte pasiva de este proceso, se demostró que en esa oportunidad la Unión Temporal Construobras dejó de lado su defensa y se concentró en destacar las diferencias numéricas entre el balance y la declaración de renta del Consorcio Luis E.</w:t>
      </w:r>
      <w:r w:rsidR="007A33E0" w:rsidRPr="00241FAC">
        <w:rPr>
          <w:rFonts w:cs="Arial"/>
        </w:rPr>
        <w:t xml:space="preserve"> </w:t>
      </w:r>
      <w:r w:rsidRPr="00241FAC">
        <w:rPr>
          <w:rFonts w:cs="Arial"/>
        </w:rPr>
        <w:t>Gómez y otro, acerca de lo cual la entidad contratante contestó las observaciones, las cuales en el caso del citado Consorcio sí pudo aclarar con la respectiva información, por lo cual se observa que todos los proponentes fueron objeto del mismo análisis para efectos de la capacidad financiera, pero sólo la Unión Temporal Construobras no pudo aclarar la inconsistencia de sus cifras.</w:t>
      </w:r>
    </w:p>
    <w:p w:rsidR="009861C4" w:rsidRPr="00241FAC" w:rsidRDefault="009861C4" w:rsidP="009861C4">
      <w:pPr>
        <w:spacing w:line="240" w:lineRule="auto"/>
        <w:rPr>
          <w:rFonts w:cs="Arial"/>
        </w:rPr>
      </w:pPr>
    </w:p>
    <w:p w:rsidR="009861C4" w:rsidRPr="00241FAC" w:rsidRDefault="009861C4" w:rsidP="00E51E1B">
      <w:pPr>
        <w:rPr>
          <w:rFonts w:cs="Arial"/>
        </w:rPr>
      </w:pPr>
      <w:r w:rsidRPr="00241FAC">
        <w:rPr>
          <w:rFonts w:cs="Arial"/>
        </w:rPr>
        <w:t xml:space="preserve">En relación con lo anterior, no resultó cierto que la entidad contratante hubiera impuesto la prevalencia de las cifras de la declaración de renta, sin motivo ni razón, toda vez que en la carta de fecha 28 de septiembre de 2000, cuya lectura se dio en el Acta de Adjudicación de la misma fecha (folio 4,cuaderno 1 y folio 85,cuaderno 4), se observa claramente la respuesta a las explicaciones presentadas por la Unión Temporal Construobras y el análisis realizado por la entidad contratante acerca de las diferencias encontradas en la información de </w:t>
      </w:r>
      <w:proofErr w:type="spellStart"/>
      <w:r w:rsidRPr="00241FAC">
        <w:rPr>
          <w:rFonts w:cs="Arial"/>
        </w:rPr>
        <w:t>Insetel</w:t>
      </w:r>
      <w:proofErr w:type="spellEnd"/>
      <w:r w:rsidRPr="00241FAC">
        <w:rPr>
          <w:rFonts w:cs="Arial"/>
        </w:rPr>
        <w:t xml:space="preserve"> Ltda., así:</w:t>
      </w:r>
    </w:p>
    <w:p w:rsidR="009861C4" w:rsidRPr="00241FAC" w:rsidRDefault="009861C4" w:rsidP="009861C4">
      <w:pPr>
        <w:spacing w:line="240" w:lineRule="auto"/>
        <w:rPr>
          <w:rFonts w:cs="Arial"/>
          <w:i/>
          <w:w w:val="81"/>
          <w:lang w:bidi="he-IL"/>
        </w:rPr>
      </w:pPr>
      <w:r w:rsidRPr="00241FAC">
        <w:rPr>
          <w:rFonts w:cs="Arial"/>
          <w:i/>
          <w:w w:val="81"/>
          <w:lang w:bidi="he-IL"/>
        </w:rPr>
        <w:t xml:space="preserve"> </w:t>
      </w:r>
    </w:p>
    <w:p w:rsidR="009861C4" w:rsidRPr="00241FAC" w:rsidRDefault="009861C4" w:rsidP="009861C4">
      <w:pPr>
        <w:spacing w:line="240" w:lineRule="auto"/>
        <w:ind w:left="851" w:right="566"/>
        <w:rPr>
          <w:rFonts w:cs="Arial"/>
          <w:i/>
          <w:w w:val="88"/>
          <w:lang w:val="es-ES_tradnl" w:bidi="he-IL"/>
        </w:rPr>
      </w:pPr>
      <w:r w:rsidRPr="00241FAC">
        <w:rPr>
          <w:rFonts w:cs="Arial"/>
          <w:i/>
          <w:w w:val="81"/>
          <w:lang w:val="es-ES_tradnl" w:bidi="he-IL"/>
        </w:rPr>
        <w:t xml:space="preserve">“El Balance General de </w:t>
      </w:r>
      <w:proofErr w:type="spellStart"/>
      <w:r w:rsidRPr="00241FAC">
        <w:rPr>
          <w:rFonts w:cs="Arial"/>
          <w:i/>
          <w:w w:val="81"/>
          <w:lang w:val="es-ES_tradnl" w:bidi="he-IL"/>
        </w:rPr>
        <w:t>Insetel</w:t>
      </w:r>
      <w:proofErr w:type="spellEnd"/>
      <w:r w:rsidRPr="00241FAC">
        <w:rPr>
          <w:rFonts w:cs="Arial"/>
          <w:i/>
          <w:w w:val="81"/>
          <w:lang w:val="es-ES_tradnl" w:bidi="he-IL"/>
        </w:rPr>
        <w:t xml:space="preserve"> </w:t>
      </w:r>
      <w:proofErr w:type="spellStart"/>
      <w:r w:rsidRPr="00241FAC">
        <w:rPr>
          <w:rFonts w:cs="Arial"/>
          <w:i/>
          <w:w w:val="81"/>
          <w:lang w:val="es-ES_tradnl" w:bidi="he-IL"/>
        </w:rPr>
        <w:t>Ltda</w:t>
      </w:r>
      <w:proofErr w:type="spellEnd"/>
      <w:r w:rsidRPr="00241FAC">
        <w:rPr>
          <w:rFonts w:cs="Arial"/>
          <w:i/>
          <w:w w:val="81"/>
          <w:vertAlign w:val="subscript"/>
          <w:lang w:val="es-ES_tradnl" w:bidi="he-IL"/>
        </w:rPr>
        <w:t>,</w:t>
      </w:r>
      <w:r w:rsidRPr="00241FAC">
        <w:rPr>
          <w:rFonts w:cs="Arial"/>
          <w:i/>
          <w:w w:val="81"/>
          <w:lang w:val="es-ES_tradnl" w:bidi="he-IL"/>
        </w:rPr>
        <w:t xml:space="preserve"> presentó diferencias con relación a la declaración de renta de 1999, así</w:t>
      </w:r>
      <w:r w:rsidRPr="00241FAC">
        <w:rPr>
          <w:rFonts w:cs="Arial"/>
          <w:i/>
          <w:w w:val="88"/>
          <w:lang w:val="es-ES_tradnl" w:bidi="he-IL"/>
        </w:rPr>
        <w:t xml:space="preserve">: </w:t>
      </w:r>
    </w:p>
    <w:p w:rsidR="00E51E1B" w:rsidRPr="00241FAC" w:rsidRDefault="00E51E1B" w:rsidP="009861C4">
      <w:pPr>
        <w:spacing w:line="240" w:lineRule="auto"/>
        <w:ind w:left="851" w:right="566"/>
        <w:rPr>
          <w:rFonts w:cs="Arial"/>
          <w:i/>
          <w:w w:val="88"/>
          <w:lang w:val="es-ES_tradnl" w:bidi="he-IL"/>
        </w:rPr>
      </w:pPr>
    </w:p>
    <w:p w:rsidR="009861C4" w:rsidRPr="00241FAC" w:rsidRDefault="009861C4" w:rsidP="009861C4">
      <w:pPr>
        <w:spacing w:line="240" w:lineRule="auto"/>
        <w:ind w:left="851" w:right="567"/>
        <w:rPr>
          <w:rFonts w:cs="Arial"/>
          <w:i/>
          <w:w w:val="88"/>
          <w:lang w:val="es-ES_tradnl" w:bidi="he-IL"/>
        </w:rPr>
      </w:pPr>
      <w:r w:rsidRPr="00241FAC">
        <w:rPr>
          <w:rFonts w:cs="Arial"/>
          <w:i/>
          <w:w w:val="88"/>
          <w:lang w:val="es-ES_tradnl" w:bidi="he-IL"/>
        </w:rPr>
        <w:t xml:space="preserve">En las cuentas de Caja, Bancos </w:t>
      </w:r>
      <w:r w:rsidRPr="00241FAC">
        <w:rPr>
          <w:rFonts w:cs="Arial"/>
          <w:i/>
          <w:w w:val="89"/>
          <w:lang w:val="es-ES_tradnl" w:bidi="he-IL"/>
        </w:rPr>
        <w:t xml:space="preserve">y </w:t>
      </w:r>
      <w:r w:rsidRPr="00241FAC">
        <w:rPr>
          <w:rFonts w:cs="Arial"/>
          <w:i/>
          <w:w w:val="88"/>
          <w:lang w:val="es-ES_tradnl" w:bidi="he-IL"/>
        </w:rPr>
        <w:t xml:space="preserve">Cuentas de Ahorro en el Balance General </w:t>
      </w:r>
      <w:r w:rsidRPr="00241FAC">
        <w:rPr>
          <w:rFonts w:cs="Arial"/>
          <w:i/>
          <w:w w:val="81"/>
          <w:lang w:val="es-ES_tradnl" w:bidi="he-IL"/>
        </w:rPr>
        <w:t>figuran $14´765.000,00</w:t>
      </w:r>
      <w:r w:rsidRPr="00241FAC">
        <w:rPr>
          <w:rFonts w:cs="Arial"/>
          <w:i/>
          <w:w w:val="88"/>
          <w:lang w:val="es-ES_tradnl" w:bidi="he-IL"/>
        </w:rPr>
        <w:t xml:space="preserve"> </w:t>
      </w:r>
      <w:r w:rsidRPr="00241FAC">
        <w:rPr>
          <w:rFonts w:cs="Arial"/>
          <w:i/>
          <w:w w:val="85"/>
          <w:lang w:val="es-ES_tradnl" w:bidi="he-IL"/>
        </w:rPr>
        <w:t xml:space="preserve">y </w:t>
      </w:r>
      <w:r w:rsidRPr="00241FAC">
        <w:rPr>
          <w:rFonts w:cs="Arial"/>
          <w:i/>
          <w:w w:val="81"/>
          <w:lang w:val="es-ES_tradnl" w:bidi="he-IL"/>
        </w:rPr>
        <w:t xml:space="preserve">en la Declaración de Renta aparece en </w:t>
      </w:r>
      <w:r w:rsidRPr="00241FAC">
        <w:rPr>
          <w:rFonts w:cs="Arial"/>
          <w:i/>
          <w:w w:val="88"/>
          <w:lang w:val="es-ES_tradnl" w:bidi="he-IL"/>
        </w:rPr>
        <w:t xml:space="preserve">el </w:t>
      </w:r>
      <w:r w:rsidRPr="00241FAC">
        <w:rPr>
          <w:rFonts w:cs="Arial"/>
          <w:i/>
          <w:w w:val="81"/>
          <w:lang w:val="es-ES_tradnl" w:bidi="he-IL"/>
        </w:rPr>
        <w:t xml:space="preserve">renglón </w:t>
      </w:r>
      <w:r w:rsidRPr="00241FAC">
        <w:rPr>
          <w:rFonts w:cs="Arial"/>
          <w:i/>
          <w:w w:val="88"/>
          <w:lang w:val="es-ES_tradnl" w:bidi="he-IL"/>
        </w:rPr>
        <w:t xml:space="preserve">1 (PA), </w:t>
      </w:r>
      <w:r w:rsidRPr="00241FAC">
        <w:rPr>
          <w:rFonts w:cs="Arial"/>
          <w:i/>
          <w:w w:val="88"/>
          <w:lang w:val="es-ES_tradnl" w:bidi="he-IL"/>
        </w:rPr>
        <w:lastRenderedPageBreak/>
        <w:t>Efectivo, Bancos, Cuentas de Ahorro la suma de $1´626.000,00</w:t>
      </w:r>
      <w:r w:rsidRPr="00241FAC">
        <w:rPr>
          <w:rFonts w:cs="Arial"/>
          <w:i/>
          <w:lang w:val="es-ES_tradnl" w:bidi="he-IL"/>
        </w:rPr>
        <w:t>;</w:t>
      </w:r>
      <w:r w:rsidRPr="00241FAC">
        <w:rPr>
          <w:rFonts w:cs="Arial"/>
          <w:i/>
          <w:w w:val="81"/>
          <w:lang w:val="es-ES_tradnl" w:bidi="he-IL"/>
        </w:rPr>
        <w:t xml:space="preserve"> Presentando una diferencia de $13´139.000</w:t>
      </w:r>
      <w:r w:rsidRPr="00241FAC">
        <w:rPr>
          <w:rFonts w:cs="Arial"/>
          <w:i/>
          <w:w w:val="88"/>
          <w:lang w:val="es-ES_tradnl" w:bidi="he-IL"/>
        </w:rPr>
        <w:t xml:space="preserve">, </w:t>
      </w:r>
      <w:r w:rsidRPr="00241FAC">
        <w:rPr>
          <w:rFonts w:cs="Arial"/>
          <w:i/>
          <w:w w:val="81"/>
          <w:lang w:val="es-ES_tradnl" w:bidi="he-IL"/>
        </w:rPr>
        <w:t xml:space="preserve">lo cual disminuye el Activo </w:t>
      </w:r>
      <w:r w:rsidRPr="00241FAC">
        <w:rPr>
          <w:rFonts w:cs="Arial"/>
          <w:i/>
          <w:w w:val="88"/>
          <w:lang w:val="es-ES_tradnl" w:bidi="he-IL"/>
        </w:rPr>
        <w:t xml:space="preserve">Corriente. </w:t>
      </w:r>
    </w:p>
    <w:p w:rsidR="009861C4" w:rsidRPr="00241FAC" w:rsidRDefault="009861C4" w:rsidP="00E51E1B">
      <w:pPr>
        <w:pStyle w:val="Estilo"/>
        <w:tabs>
          <w:tab w:val="left" w:pos="378"/>
        </w:tabs>
        <w:spacing w:before="100" w:beforeAutospacing="1" w:after="100" w:afterAutospacing="1" w:line="240" w:lineRule="auto"/>
        <w:ind w:left="851" w:right="567"/>
        <w:rPr>
          <w:i/>
          <w:w w:val="81"/>
          <w:lang w:val="es-ES_tradnl" w:bidi="he-IL"/>
        </w:rPr>
      </w:pPr>
      <w:r w:rsidRPr="00241FAC">
        <w:rPr>
          <w:i/>
          <w:w w:val="88"/>
          <w:lang w:val="es-ES_tradnl" w:bidi="he-IL"/>
        </w:rPr>
        <w:t xml:space="preserve">En el Balance General de </w:t>
      </w:r>
      <w:proofErr w:type="spellStart"/>
      <w:r w:rsidRPr="00241FAC">
        <w:rPr>
          <w:i/>
          <w:w w:val="88"/>
          <w:lang w:val="es-ES_tradnl" w:bidi="he-IL"/>
        </w:rPr>
        <w:t>Insetel</w:t>
      </w:r>
      <w:proofErr w:type="spellEnd"/>
      <w:r w:rsidRPr="00241FAC">
        <w:rPr>
          <w:i/>
          <w:w w:val="88"/>
          <w:lang w:val="es-ES_tradnl" w:bidi="he-IL"/>
        </w:rPr>
        <w:t xml:space="preserve"> </w:t>
      </w:r>
      <w:proofErr w:type="spellStart"/>
      <w:proofErr w:type="gramStart"/>
      <w:r w:rsidRPr="00241FAC">
        <w:rPr>
          <w:i/>
          <w:w w:val="88"/>
          <w:lang w:val="es-ES_tradnl" w:bidi="he-IL"/>
        </w:rPr>
        <w:t>Ltda</w:t>
      </w:r>
      <w:proofErr w:type="spellEnd"/>
      <w:r w:rsidRPr="00241FAC">
        <w:rPr>
          <w:i/>
          <w:w w:val="88"/>
          <w:lang w:val="es-ES_tradnl" w:bidi="he-IL"/>
        </w:rPr>
        <w:t>,.</w:t>
      </w:r>
      <w:proofErr w:type="gramEnd"/>
      <w:r w:rsidRPr="00241FAC">
        <w:rPr>
          <w:i/>
          <w:w w:val="88"/>
          <w:lang w:val="es-ES_tradnl" w:bidi="he-IL"/>
        </w:rPr>
        <w:t xml:space="preserve"> aparece en el Pasivo Corriente, cuenta </w:t>
      </w:r>
      <w:r w:rsidRPr="00241FAC">
        <w:rPr>
          <w:i/>
          <w:w w:val="81"/>
          <w:lang w:val="es-ES_tradnl" w:bidi="he-IL"/>
        </w:rPr>
        <w:t xml:space="preserve">Bancos un registro por valor de </w:t>
      </w:r>
      <w:r w:rsidRPr="00241FAC">
        <w:rPr>
          <w:i/>
          <w:w w:val="88"/>
          <w:lang w:val="es-ES_tradnl" w:bidi="he-IL"/>
        </w:rPr>
        <w:t xml:space="preserve">$432.000,00 </w:t>
      </w:r>
      <w:r w:rsidRPr="00241FAC">
        <w:rPr>
          <w:i/>
          <w:w w:val="81"/>
          <w:lang w:val="es-ES_tradnl" w:bidi="he-IL"/>
        </w:rPr>
        <w:t xml:space="preserve">y en la Declaración de Renta </w:t>
      </w:r>
      <w:r w:rsidRPr="00241FAC">
        <w:rPr>
          <w:i/>
          <w:w w:val="88"/>
          <w:lang w:val="es-ES_tradnl" w:bidi="he-IL"/>
        </w:rPr>
        <w:t xml:space="preserve">renglón </w:t>
      </w:r>
      <w:r w:rsidRPr="00241FAC">
        <w:rPr>
          <w:i/>
          <w:lang w:val="es-ES_tradnl" w:bidi="he-IL"/>
        </w:rPr>
        <w:t xml:space="preserve">16 </w:t>
      </w:r>
      <w:r w:rsidRPr="00241FAC">
        <w:rPr>
          <w:i/>
          <w:iCs/>
          <w:w w:val="83"/>
          <w:lang w:val="es-ES_tradnl" w:bidi="he-IL"/>
        </w:rPr>
        <w:t xml:space="preserve">(OC) </w:t>
      </w:r>
      <w:r w:rsidRPr="00241FAC">
        <w:rPr>
          <w:i/>
          <w:lang w:val="es-ES_tradnl" w:bidi="he-IL"/>
        </w:rPr>
        <w:t xml:space="preserve">correspondiente </w:t>
      </w:r>
      <w:r w:rsidRPr="00241FAC">
        <w:rPr>
          <w:i/>
          <w:w w:val="88"/>
          <w:lang w:val="es-ES_tradnl" w:bidi="he-IL"/>
        </w:rPr>
        <w:t xml:space="preserve">a Cuentas por pagar Sector Financiero, figura </w:t>
      </w:r>
      <w:r w:rsidRPr="00241FAC">
        <w:rPr>
          <w:i/>
          <w:iCs/>
          <w:w w:val="76"/>
          <w:lang w:val="es-ES_tradnl" w:bidi="he-IL"/>
        </w:rPr>
        <w:t xml:space="preserve">cero </w:t>
      </w:r>
      <w:r w:rsidRPr="00241FAC">
        <w:rPr>
          <w:i/>
          <w:w w:val="81"/>
          <w:lang w:val="es-ES_tradnl" w:bidi="he-IL"/>
        </w:rPr>
        <w:t xml:space="preserve">(O); Lo cual disminuye en igual forma el Pasivo Corriente. </w:t>
      </w:r>
    </w:p>
    <w:p w:rsidR="009861C4" w:rsidRPr="00241FAC" w:rsidRDefault="009861C4" w:rsidP="00E51E1B">
      <w:pPr>
        <w:pStyle w:val="Estilo"/>
        <w:spacing w:before="100" w:beforeAutospacing="1" w:after="100" w:afterAutospacing="1" w:line="240" w:lineRule="auto"/>
        <w:ind w:left="851" w:right="567"/>
        <w:rPr>
          <w:i/>
          <w:w w:val="88"/>
          <w:lang w:val="es-ES_tradnl" w:bidi="he-IL"/>
        </w:rPr>
      </w:pPr>
      <w:r w:rsidRPr="00241FAC">
        <w:rPr>
          <w:i/>
          <w:w w:val="81"/>
          <w:lang w:val="es-ES_tradnl" w:bidi="he-IL"/>
        </w:rPr>
        <w:t xml:space="preserve">En el Pasivo no corriente del Balance General, figuran Deudas </w:t>
      </w:r>
      <w:r w:rsidRPr="00241FAC">
        <w:rPr>
          <w:i/>
          <w:iCs/>
          <w:w w:val="72"/>
          <w:lang w:val="es-ES_tradnl" w:bidi="he-IL"/>
        </w:rPr>
        <w:t xml:space="preserve">con </w:t>
      </w:r>
      <w:r w:rsidRPr="00241FAC">
        <w:rPr>
          <w:i/>
          <w:w w:val="81"/>
          <w:lang w:val="es-ES_tradnl" w:bidi="he-IL"/>
        </w:rPr>
        <w:t xml:space="preserve">Accionistas </w:t>
      </w:r>
      <w:r w:rsidRPr="00241FAC">
        <w:rPr>
          <w:i/>
          <w:w w:val="88"/>
          <w:lang w:val="es-ES_tradnl" w:bidi="he-IL"/>
        </w:rPr>
        <w:t>o socios el valor de $273´614.000,00</w:t>
      </w:r>
      <w:r w:rsidRPr="00241FAC">
        <w:rPr>
          <w:i/>
          <w:lang w:val="es-ES_tradnl" w:bidi="he-IL"/>
        </w:rPr>
        <w:t xml:space="preserve">, </w:t>
      </w:r>
      <w:r w:rsidRPr="00241FAC">
        <w:rPr>
          <w:i/>
          <w:w w:val="88"/>
          <w:lang w:val="es-ES_tradnl" w:bidi="he-IL"/>
        </w:rPr>
        <w:t xml:space="preserve">que de acuerdo con el régimen contable </w:t>
      </w:r>
      <w:r w:rsidRPr="00241FAC">
        <w:rPr>
          <w:i/>
          <w:w w:val="81"/>
          <w:lang w:val="es-ES_tradnl" w:bidi="he-IL"/>
        </w:rPr>
        <w:t>colombiano</w:t>
      </w:r>
      <w:r w:rsidRPr="00241FAC">
        <w:rPr>
          <w:i/>
          <w:w w:val="81"/>
          <w:vertAlign w:val="subscript"/>
          <w:lang w:val="es-ES_tradnl" w:bidi="he-IL"/>
        </w:rPr>
        <w:t>,</w:t>
      </w:r>
      <w:r w:rsidRPr="00241FAC">
        <w:rPr>
          <w:i/>
          <w:w w:val="81"/>
          <w:lang w:val="es-ES_tradnl" w:bidi="he-IL"/>
        </w:rPr>
        <w:t xml:space="preserve"> las Deudas </w:t>
      </w:r>
      <w:r w:rsidRPr="00241FAC">
        <w:rPr>
          <w:i/>
          <w:iCs/>
          <w:w w:val="76"/>
          <w:lang w:val="es-ES_tradnl" w:bidi="he-IL"/>
        </w:rPr>
        <w:t xml:space="preserve">con </w:t>
      </w:r>
      <w:r w:rsidRPr="00241FAC">
        <w:rPr>
          <w:i/>
          <w:w w:val="81"/>
          <w:lang w:val="es-ES_tradnl" w:bidi="he-IL"/>
        </w:rPr>
        <w:t xml:space="preserve">Accionistas o Socios corresponden a Pasivos </w:t>
      </w:r>
      <w:r w:rsidRPr="00241FAC">
        <w:rPr>
          <w:i/>
          <w:w w:val="88"/>
          <w:lang w:val="es-ES_tradnl" w:bidi="he-IL"/>
        </w:rPr>
        <w:t xml:space="preserve">Corrientes; lo cual implica un error en la clasificación de la mencionada cuenta </w:t>
      </w:r>
      <w:r w:rsidRPr="00241FAC">
        <w:rPr>
          <w:i/>
          <w:w w:val="81"/>
          <w:lang w:val="es-ES_tradnl" w:bidi="he-IL"/>
        </w:rPr>
        <w:t xml:space="preserve">dentro del Pasivo No Corriente del Balance General. Seguidamente se </w:t>
      </w:r>
      <w:r w:rsidRPr="00241FAC">
        <w:rPr>
          <w:i/>
          <w:w w:val="88"/>
          <w:lang w:val="es-ES_tradnl" w:bidi="he-IL"/>
        </w:rPr>
        <w:t xml:space="preserve">procedió hacer la confrontación de la mencionada cuenta con la declaración de </w:t>
      </w:r>
      <w:r w:rsidRPr="00241FAC">
        <w:rPr>
          <w:i/>
          <w:w w:val="81"/>
          <w:lang w:val="es-ES_tradnl" w:bidi="he-IL"/>
        </w:rPr>
        <w:t xml:space="preserve">renta renglón </w:t>
      </w:r>
      <w:r w:rsidRPr="00241FAC">
        <w:rPr>
          <w:i/>
          <w:w w:val="88"/>
          <w:lang w:val="es-ES_tradnl" w:bidi="he-IL"/>
        </w:rPr>
        <w:t xml:space="preserve">15 (OB) </w:t>
      </w:r>
      <w:r w:rsidRPr="00241FAC">
        <w:rPr>
          <w:i/>
          <w:w w:val="81"/>
          <w:lang w:val="es-ES_tradnl" w:bidi="he-IL"/>
        </w:rPr>
        <w:t xml:space="preserve">Cuentas por Pagar Compañías Vinculadas </w:t>
      </w:r>
      <w:r w:rsidRPr="00241FAC">
        <w:rPr>
          <w:i/>
          <w:w w:val="85"/>
          <w:lang w:val="es-ES_tradnl" w:bidi="he-IL"/>
        </w:rPr>
        <w:t xml:space="preserve">y </w:t>
      </w:r>
      <w:r w:rsidRPr="00241FAC">
        <w:rPr>
          <w:i/>
          <w:w w:val="81"/>
          <w:lang w:val="es-ES_tradnl" w:bidi="he-IL"/>
        </w:rPr>
        <w:t xml:space="preserve">Accionistas </w:t>
      </w:r>
      <w:r w:rsidRPr="00241FAC">
        <w:rPr>
          <w:i/>
          <w:w w:val="88"/>
          <w:lang w:val="es-ES_tradnl" w:bidi="he-IL"/>
        </w:rPr>
        <w:t>o socios reflejando un valor de $72´000.000</w:t>
      </w:r>
      <w:r w:rsidRPr="00241FAC">
        <w:rPr>
          <w:i/>
          <w:lang w:val="es-ES_tradnl" w:bidi="he-IL"/>
        </w:rPr>
        <w:t xml:space="preserve">. </w:t>
      </w:r>
      <w:r w:rsidRPr="00241FAC">
        <w:rPr>
          <w:i/>
          <w:w w:val="88"/>
          <w:lang w:val="es-ES_tradnl" w:bidi="he-IL"/>
        </w:rPr>
        <w:t xml:space="preserve">Por presentarse las </w:t>
      </w:r>
      <w:r w:rsidRPr="00241FAC">
        <w:rPr>
          <w:i/>
          <w:w w:val="81"/>
          <w:lang w:val="es-ES_tradnl" w:bidi="he-IL"/>
        </w:rPr>
        <w:t xml:space="preserve">diferencias señaladas tomamos </w:t>
      </w:r>
      <w:r w:rsidRPr="00241FAC">
        <w:rPr>
          <w:i/>
          <w:iCs/>
          <w:w w:val="76"/>
          <w:lang w:val="es-ES_tradnl" w:bidi="he-IL"/>
        </w:rPr>
        <w:t xml:space="preserve">como </w:t>
      </w:r>
      <w:r w:rsidRPr="00241FAC">
        <w:rPr>
          <w:i/>
          <w:w w:val="81"/>
          <w:lang w:val="es-ES_tradnl" w:bidi="he-IL"/>
        </w:rPr>
        <w:t xml:space="preserve">base para efectos </w:t>
      </w:r>
      <w:r w:rsidRPr="00241FAC">
        <w:rPr>
          <w:i/>
          <w:iCs/>
          <w:w w:val="76"/>
          <w:lang w:val="es-ES_tradnl" w:bidi="he-IL"/>
        </w:rPr>
        <w:t xml:space="preserve">de </w:t>
      </w:r>
      <w:r w:rsidRPr="00241FAC">
        <w:rPr>
          <w:i/>
          <w:w w:val="81"/>
          <w:lang w:val="es-ES_tradnl" w:bidi="he-IL"/>
        </w:rPr>
        <w:t>l</w:t>
      </w:r>
      <w:r w:rsidR="003E3029" w:rsidRPr="00241FAC">
        <w:rPr>
          <w:i/>
          <w:w w:val="81"/>
          <w:lang w:val="es-ES_tradnl" w:bidi="he-IL"/>
        </w:rPr>
        <w:t>a</w:t>
      </w:r>
      <w:r w:rsidRPr="00241FAC">
        <w:rPr>
          <w:i/>
          <w:w w:val="81"/>
          <w:lang w:val="es-ES_tradnl" w:bidi="he-IL"/>
        </w:rPr>
        <w:t xml:space="preserve"> evaluación </w:t>
      </w:r>
      <w:r w:rsidR="00132875" w:rsidRPr="00241FAC">
        <w:rPr>
          <w:i/>
          <w:w w:val="81"/>
          <w:lang w:val="es-ES_tradnl" w:bidi="he-IL"/>
        </w:rPr>
        <w:t xml:space="preserve">de </w:t>
      </w:r>
      <w:r w:rsidRPr="00241FAC">
        <w:rPr>
          <w:i/>
          <w:w w:val="81"/>
          <w:lang w:val="es-ES_tradnl" w:bidi="he-IL"/>
        </w:rPr>
        <w:t xml:space="preserve">la </w:t>
      </w:r>
      <w:r w:rsidRPr="00241FAC">
        <w:rPr>
          <w:i/>
          <w:w w:val="88"/>
          <w:lang w:val="es-ES_tradnl" w:bidi="he-IL"/>
        </w:rPr>
        <w:t>declaración de renta conforme lo señalado en las normas antes citadas.</w:t>
      </w:r>
    </w:p>
    <w:p w:rsidR="009861C4" w:rsidRPr="00241FAC" w:rsidRDefault="009861C4" w:rsidP="00E51E1B">
      <w:pPr>
        <w:pStyle w:val="Estilo"/>
        <w:spacing w:before="100" w:beforeAutospacing="1" w:after="100" w:afterAutospacing="1" w:line="240" w:lineRule="auto"/>
        <w:ind w:left="851" w:right="567"/>
        <w:rPr>
          <w:i/>
          <w:w w:val="88"/>
          <w:lang w:val="es-ES_tradnl" w:bidi="he-IL"/>
        </w:rPr>
      </w:pPr>
      <w:r w:rsidRPr="00241FAC">
        <w:rPr>
          <w:i/>
          <w:w w:val="88"/>
          <w:lang w:val="es-ES_tradnl" w:bidi="he-IL"/>
        </w:rPr>
        <w:t xml:space="preserve">Al hacer la confrontación del Balance General con la declaración de renta de los </w:t>
      </w:r>
      <w:r w:rsidRPr="00241FAC">
        <w:rPr>
          <w:i/>
          <w:w w:val="81"/>
          <w:lang w:val="es-ES_tradnl" w:bidi="he-IL"/>
        </w:rPr>
        <w:t xml:space="preserve">socios </w:t>
      </w:r>
      <w:r w:rsidRPr="00241FAC">
        <w:rPr>
          <w:i/>
          <w:iCs/>
          <w:w w:val="77"/>
          <w:lang w:val="es-ES_tradnl" w:bidi="he-IL"/>
        </w:rPr>
        <w:t xml:space="preserve">de </w:t>
      </w:r>
      <w:r w:rsidRPr="00241FAC">
        <w:rPr>
          <w:i/>
          <w:w w:val="81"/>
          <w:lang w:val="es-ES_tradnl" w:bidi="he-IL"/>
        </w:rPr>
        <w:t>la Unión Temporal Germán Gaitán Rodríguez y Augusto Rafael Torres Suárez, no presentan diferencias.</w:t>
      </w:r>
      <w:r w:rsidRPr="00241FAC">
        <w:rPr>
          <w:i/>
          <w:w w:val="88"/>
          <w:lang w:val="es-ES_tradnl" w:bidi="he-IL"/>
        </w:rPr>
        <w:t xml:space="preserve"> </w:t>
      </w:r>
    </w:p>
    <w:p w:rsidR="009861C4" w:rsidRPr="00241FAC" w:rsidRDefault="009861C4" w:rsidP="00E51E1B">
      <w:pPr>
        <w:pStyle w:val="Estilo"/>
        <w:spacing w:before="100" w:beforeAutospacing="1" w:after="100" w:afterAutospacing="1" w:line="240" w:lineRule="auto"/>
        <w:ind w:left="851" w:right="567"/>
        <w:rPr>
          <w:i/>
          <w:w w:val="88"/>
          <w:lang w:val="es-ES_tradnl" w:bidi="he-IL"/>
        </w:rPr>
      </w:pPr>
      <w:r w:rsidRPr="00241FAC">
        <w:rPr>
          <w:i/>
          <w:w w:val="88"/>
          <w:lang w:val="es-ES_tradnl" w:bidi="he-IL"/>
        </w:rPr>
        <w:t xml:space="preserve">Es de anotar que según el Código de Comercio en su Artículo 36 NOTAS A LOS ESTADOS FINANCIEROS Y NORMAS DE PREPARACIÒN, reza: 'los estados financieros estarán acompañados de sus Notas, con los cuales conforman un todo </w:t>
      </w:r>
      <w:r w:rsidRPr="00241FAC">
        <w:rPr>
          <w:i/>
          <w:w w:val="81"/>
          <w:lang w:val="es-ES_tradnl" w:bidi="he-IL"/>
        </w:rPr>
        <w:t xml:space="preserve">indivisible. Los estados financieros y sus notas se prepararán y se presentarán </w:t>
      </w:r>
      <w:r w:rsidRPr="00241FAC">
        <w:rPr>
          <w:i/>
          <w:w w:val="88"/>
          <w:lang w:val="es-ES_tradnl" w:bidi="he-IL"/>
        </w:rPr>
        <w:t>conforme a los principios de contabilidad generalmente aceptados"</w:t>
      </w:r>
      <w:r w:rsidRPr="00241FAC">
        <w:rPr>
          <w:rStyle w:val="Refdenotaalpie"/>
          <w:i/>
          <w:w w:val="88"/>
          <w:lang w:val="es-ES_tradnl" w:bidi="he-IL"/>
        </w:rPr>
        <w:footnoteReference w:id="53"/>
      </w:r>
      <w:r w:rsidRPr="00241FAC">
        <w:rPr>
          <w:i/>
          <w:w w:val="88"/>
          <w:lang w:val="es-ES_tradnl" w:bidi="he-IL"/>
        </w:rPr>
        <w:t xml:space="preserve">. </w:t>
      </w:r>
    </w:p>
    <w:p w:rsidR="009861C4" w:rsidRPr="00DC0179" w:rsidRDefault="009861C4" w:rsidP="00DC0179">
      <w:pPr>
        <w:pStyle w:val="Estilo"/>
        <w:spacing w:before="100" w:beforeAutospacing="1" w:after="100" w:afterAutospacing="1" w:line="240" w:lineRule="auto"/>
        <w:ind w:left="851" w:right="567"/>
        <w:rPr>
          <w:i/>
          <w:w w:val="82"/>
          <w:lang w:val="es-ES_tradnl" w:bidi="he-IL"/>
        </w:rPr>
      </w:pPr>
      <w:r w:rsidRPr="00241FAC">
        <w:rPr>
          <w:i/>
        </w:rPr>
        <w:t>Por lo anterior y al no anexarse notas a los estados financieros motiv</w:t>
      </w:r>
      <w:r w:rsidR="00C776B6" w:rsidRPr="00241FAC">
        <w:rPr>
          <w:i/>
        </w:rPr>
        <w:t>ó</w:t>
      </w:r>
      <w:r w:rsidRPr="00241FAC">
        <w:rPr>
          <w:i/>
        </w:rPr>
        <w:t xml:space="preserve"> al Comité Evaluador tomar como base para el análisis de la capacidad financiera, lo reflejado en la declaración de renta</w:t>
      </w:r>
      <w:r w:rsidR="00DC0179">
        <w:rPr>
          <w:i/>
          <w:w w:val="82"/>
          <w:lang w:val="es-ES_tradnl" w:bidi="he-IL"/>
        </w:rPr>
        <w:t xml:space="preserve">.” </w:t>
      </w:r>
    </w:p>
    <w:p w:rsidR="009861C4" w:rsidRPr="00241FAC" w:rsidRDefault="009861C4" w:rsidP="00E51E1B">
      <w:pPr>
        <w:rPr>
          <w:rFonts w:cs="Arial"/>
        </w:rPr>
      </w:pPr>
      <w:r w:rsidRPr="00241FAC">
        <w:rPr>
          <w:rFonts w:cs="Arial"/>
        </w:rPr>
        <w:t>La Sala pasa ahora a analizar en concreto los fundamentos de las anteriores consideraciones</w:t>
      </w:r>
      <w:r w:rsidR="00956CBA" w:rsidRPr="00241FAC">
        <w:rPr>
          <w:rFonts w:cs="Arial"/>
        </w:rPr>
        <w:t xml:space="preserve"> realizadas por la entidad contratante</w:t>
      </w:r>
      <w:r w:rsidRPr="00241FAC">
        <w:rPr>
          <w:rFonts w:cs="Arial"/>
        </w:rPr>
        <w:t>:</w:t>
      </w:r>
    </w:p>
    <w:p w:rsidR="009861C4" w:rsidRPr="00241FAC" w:rsidRDefault="009861C4" w:rsidP="00E51E1B">
      <w:pPr>
        <w:rPr>
          <w:rFonts w:cs="Arial"/>
        </w:rPr>
      </w:pPr>
    </w:p>
    <w:p w:rsidR="009861C4" w:rsidRPr="00241FAC" w:rsidRDefault="009861C4" w:rsidP="00E51E1B">
      <w:pPr>
        <w:rPr>
          <w:rFonts w:cs="Arial"/>
        </w:rPr>
      </w:pPr>
      <w:r w:rsidRPr="00241FAC">
        <w:rPr>
          <w:rFonts w:cs="Arial"/>
          <w:b/>
        </w:rPr>
        <w:t>i)</w:t>
      </w:r>
      <w:r w:rsidRPr="00241FAC">
        <w:rPr>
          <w:rFonts w:cs="Arial"/>
        </w:rPr>
        <w:t xml:space="preserve"> En la cuenta de caja y bancos se encontró una diferencia por la suma de $13’139.000, que representaba el 88.98% del total de la cuenta, valor que no fue objeto de reporte en la declaración de renta, más si se presentó en el activo corriente del balance comercial allegado a la propuesta. </w:t>
      </w:r>
    </w:p>
    <w:p w:rsidR="009861C4" w:rsidRPr="00241FAC" w:rsidRDefault="009861C4" w:rsidP="00E51E1B">
      <w:pPr>
        <w:rPr>
          <w:rFonts w:cs="Arial"/>
        </w:rPr>
      </w:pPr>
    </w:p>
    <w:p w:rsidR="009861C4" w:rsidRPr="00241FAC" w:rsidRDefault="009861C4" w:rsidP="00E51E1B">
      <w:pPr>
        <w:rPr>
          <w:rFonts w:cs="Arial"/>
        </w:rPr>
      </w:pPr>
      <w:r w:rsidRPr="00241FAC">
        <w:rPr>
          <w:rFonts w:cs="Arial"/>
        </w:rPr>
        <w:t xml:space="preserve">Se observa que al no encontrar una conciliación de las dos cifras que pudiera explicar las diferencias entre el activo contable y el fiscal y </w:t>
      </w:r>
      <w:r w:rsidR="00C776B6" w:rsidRPr="00241FAC">
        <w:rPr>
          <w:rFonts w:cs="Arial"/>
        </w:rPr>
        <w:t xml:space="preserve">dado </w:t>
      </w:r>
      <w:r w:rsidRPr="00241FAC">
        <w:rPr>
          <w:rFonts w:cs="Arial"/>
        </w:rPr>
        <w:t xml:space="preserve">que las observaciones del proponente no dieron claridad alguna sobre ello, la entidad contratante llegó a una conclusión válida y legalmente fundada, tratándose de un </w:t>
      </w:r>
      <w:r w:rsidRPr="00241FAC">
        <w:rPr>
          <w:rFonts w:cs="Arial"/>
        </w:rPr>
        <w:lastRenderedPageBreak/>
        <w:t xml:space="preserve">balance con las falencias advertidas y de un activo corriente que no tenía razón para presentar tratamiento diferencial </w:t>
      </w:r>
      <w:r w:rsidR="00C776B6" w:rsidRPr="00241FAC">
        <w:rPr>
          <w:rFonts w:cs="Arial"/>
        </w:rPr>
        <w:t xml:space="preserve">alguno </w:t>
      </w:r>
      <w:r w:rsidRPr="00241FAC">
        <w:rPr>
          <w:rFonts w:cs="Arial"/>
        </w:rPr>
        <w:t>entre la información contable y fiscal.</w:t>
      </w:r>
    </w:p>
    <w:p w:rsidR="009861C4" w:rsidRPr="00241FAC" w:rsidRDefault="009861C4" w:rsidP="00E51E1B">
      <w:pPr>
        <w:rPr>
          <w:rFonts w:cs="Arial"/>
        </w:rPr>
      </w:pPr>
    </w:p>
    <w:p w:rsidR="009861C4" w:rsidRPr="00241FAC" w:rsidRDefault="009861C4" w:rsidP="00E51E1B">
      <w:pPr>
        <w:rPr>
          <w:rFonts w:cs="Arial"/>
        </w:rPr>
      </w:pPr>
      <w:r w:rsidRPr="00241FAC">
        <w:rPr>
          <w:rFonts w:cs="Arial"/>
        </w:rPr>
        <w:t>Se agrega que la entidad contratante s</w:t>
      </w:r>
      <w:r w:rsidR="00A67D52" w:rsidRPr="00241FAC">
        <w:rPr>
          <w:rFonts w:cs="Arial"/>
        </w:rPr>
        <w:t>í</w:t>
      </w:r>
      <w:r w:rsidRPr="00241FAC">
        <w:rPr>
          <w:rFonts w:cs="Arial"/>
        </w:rPr>
        <w:t xml:space="preserve"> tuvo en cuenta la información del balance, pero </w:t>
      </w:r>
      <w:r w:rsidR="00A67D52" w:rsidRPr="00241FAC">
        <w:rPr>
          <w:rFonts w:cs="Arial"/>
        </w:rPr>
        <w:t xml:space="preserve">la aceptó </w:t>
      </w:r>
      <w:r w:rsidRPr="00241FAC">
        <w:rPr>
          <w:rFonts w:cs="Arial"/>
        </w:rPr>
        <w:t xml:space="preserve">sólo hasta por el monto coincidente con la información de la declaración de renta, </w:t>
      </w:r>
      <w:r w:rsidR="00C776B6" w:rsidRPr="00241FAC">
        <w:rPr>
          <w:rFonts w:cs="Arial"/>
        </w:rPr>
        <w:t>puesto que la misma</w:t>
      </w:r>
      <w:r w:rsidR="00A67D52" w:rsidRPr="00241FAC">
        <w:rPr>
          <w:rFonts w:cs="Arial"/>
        </w:rPr>
        <w:t xml:space="preserve"> </w:t>
      </w:r>
      <w:r w:rsidRPr="00241FAC">
        <w:rPr>
          <w:rFonts w:cs="Arial"/>
        </w:rPr>
        <w:t xml:space="preserve">hacía parte de los documentos solicitados en el Pliego de Condiciones y que por Ley </w:t>
      </w:r>
      <w:r w:rsidR="00956CBA" w:rsidRPr="00241FAC">
        <w:rPr>
          <w:rFonts w:cs="Arial"/>
        </w:rPr>
        <w:t xml:space="preserve">–se repite una vez más- </w:t>
      </w:r>
      <w:r w:rsidRPr="00241FAC">
        <w:rPr>
          <w:rFonts w:cs="Arial"/>
        </w:rPr>
        <w:t xml:space="preserve">tenía la </w:t>
      </w:r>
      <w:r w:rsidRPr="00241FAC">
        <w:rPr>
          <w:rFonts w:cs="Arial"/>
          <w:i/>
        </w:rPr>
        <w:t xml:space="preserve">facultad-deber </w:t>
      </w:r>
      <w:r w:rsidRPr="00241FAC">
        <w:rPr>
          <w:rFonts w:cs="Arial"/>
        </w:rPr>
        <w:t xml:space="preserve">de verificar </w:t>
      </w:r>
      <w:r w:rsidR="00A67D52" w:rsidRPr="00241FAC">
        <w:rPr>
          <w:rFonts w:cs="Arial"/>
        </w:rPr>
        <w:t xml:space="preserve">dichas </w:t>
      </w:r>
      <w:r w:rsidRPr="00241FAC">
        <w:rPr>
          <w:rFonts w:cs="Arial"/>
        </w:rPr>
        <w:t>fuente</w:t>
      </w:r>
      <w:r w:rsidR="00A67D52" w:rsidRPr="00241FAC">
        <w:rPr>
          <w:rFonts w:cs="Arial"/>
        </w:rPr>
        <w:t>s</w:t>
      </w:r>
      <w:r w:rsidRPr="00241FAC">
        <w:rPr>
          <w:rFonts w:cs="Arial"/>
        </w:rPr>
        <w:t xml:space="preserve"> de la información y</w:t>
      </w:r>
      <w:r w:rsidR="00A67D52" w:rsidRPr="00241FAC">
        <w:rPr>
          <w:rFonts w:cs="Arial"/>
        </w:rPr>
        <w:t>,</w:t>
      </w:r>
      <w:r w:rsidRPr="00241FAC">
        <w:rPr>
          <w:rFonts w:cs="Arial"/>
        </w:rPr>
        <w:t xml:space="preserve"> por lo tanto</w:t>
      </w:r>
      <w:r w:rsidR="00A67D52" w:rsidRPr="00241FAC">
        <w:rPr>
          <w:rFonts w:cs="Arial"/>
        </w:rPr>
        <w:t>,</w:t>
      </w:r>
      <w:r w:rsidRPr="00241FAC">
        <w:rPr>
          <w:rFonts w:cs="Arial"/>
        </w:rPr>
        <w:t xml:space="preserve"> la consistencia de la</w:t>
      </w:r>
      <w:r w:rsidR="00A67D52" w:rsidRPr="00241FAC">
        <w:rPr>
          <w:rFonts w:cs="Arial"/>
        </w:rPr>
        <w:t>s</w:t>
      </w:r>
      <w:r w:rsidRPr="00241FAC">
        <w:rPr>
          <w:rFonts w:cs="Arial"/>
        </w:rPr>
        <w:t xml:space="preserve"> misma</w:t>
      </w:r>
      <w:r w:rsidR="00A67D52" w:rsidRPr="00241FAC">
        <w:rPr>
          <w:rFonts w:cs="Arial"/>
        </w:rPr>
        <w:t>s</w:t>
      </w:r>
      <w:r w:rsidR="002B4FE1" w:rsidRPr="00241FAC">
        <w:rPr>
          <w:rFonts w:cs="Arial"/>
        </w:rPr>
        <w:t xml:space="preserve"> para efectos de la evaluación y calificación de las propuestas</w:t>
      </w:r>
      <w:r w:rsidR="00956CBA" w:rsidRPr="00241FAC">
        <w:rPr>
          <w:rFonts w:cs="Arial"/>
        </w:rPr>
        <w:t>,</w:t>
      </w:r>
      <w:r w:rsidR="002B4FE1" w:rsidRPr="00241FAC">
        <w:rPr>
          <w:rFonts w:cs="Arial"/>
        </w:rPr>
        <w:t xml:space="preserve"> considerando ambos factores</w:t>
      </w:r>
      <w:r w:rsidR="00956CBA" w:rsidRPr="00241FAC">
        <w:rPr>
          <w:rFonts w:cs="Arial"/>
        </w:rPr>
        <w:t xml:space="preserve"> y no sólo el</w:t>
      </w:r>
      <w:r w:rsidR="00C13236" w:rsidRPr="00241FAC">
        <w:rPr>
          <w:rFonts w:cs="Arial"/>
        </w:rPr>
        <w:t xml:space="preserve"> balance</w:t>
      </w:r>
    </w:p>
    <w:p w:rsidR="009861C4" w:rsidRPr="00241FAC" w:rsidRDefault="009861C4" w:rsidP="00E51E1B">
      <w:pPr>
        <w:rPr>
          <w:rFonts w:cs="Arial"/>
        </w:rPr>
      </w:pPr>
    </w:p>
    <w:p w:rsidR="00C13236" w:rsidRPr="00241FAC" w:rsidRDefault="009861C4" w:rsidP="00E51E1B">
      <w:pPr>
        <w:rPr>
          <w:rFonts w:cs="Arial"/>
        </w:rPr>
      </w:pPr>
      <w:r w:rsidRPr="00241FAC">
        <w:rPr>
          <w:rFonts w:cs="Arial"/>
          <w:b/>
        </w:rPr>
        <w:t>ii)</w:t>
      </w:r>
      <w:r w:rsidRPr="00241FAC">
        <w:rPr>
          <w:rFonts w:cs="Arial"/>
        </w:rPr>
        <w:t xml:space="preserve"> En cuanto a las diferencias encontradas en las cuentas del pasivo, se observó una inconsistencia entre las obligaciones por pagar al sector financiero, la cual consistió en que en la declaración de renta se reportó un saldo de $0 y en el balance un saldo de $432.000.</w:t>
      </w:r>
    </w:p>
    <w:p w:rsidR="00C13236" w:rsidRPr="00241FAC" w:rsidRDefault="00C13236" w:rsidP="00E51E1B">
      <w:pPr>
        <w:rPr>
          <w:rFonts w:cs="Arial"/>
        </w:rPr>
      </w:pPr>
    </w:p>
    <w:p w:rsidR="009861C4" w:rsidRPr="00241FAC" w:rsidRDefault="009861C4" w:rsidP="00E51E1B">
      <w:pPr>
        <w:rPr>
          <w:rFonts w:cs="Arial"/>
        </w:rPr>
      </w:pPr>
      <w:r w:rsidRPr="00241FAC">
        <w:rPr>
          <w:rFonts w:cs="Arial"/>
        </w:rPr>
        <w:t xml:space="preserve">La Sala encuentra probada la </w:t>
      </w:r>
      <w:r w:rsidR="00C13236" w:rsidRPr="00241FAC">
        <w:rPr>
          <w:rFonts w:cs="Arial"/>
        </w:rPr>
        <w:t>diferencia</w:t>
      </w:r>
      <w:r w:rsidRPr="00241FAC">
        <w:rPr>
          <w:rFonts w:cs="Arial"/>
        </w:rPr>
        <w:t xml:space="preserve">, pero advierte que no era </w:t>
      </w:r>
      <w:r w:rsidR="002B4FE1" w:rsidRPr="00241FAC">
        <w:rPr>
          <w:rFonts w:cs="Arial"/>
        </w:rPr>
        <w:t xml:space="preserve">un valor </w:t>
      </w:r>
      <w:r w:rsidRPr="00241FAC">
        <w:rPr>
          <w:rFonts w:cs="Arial"/>
        </w:rPr>
        <w:t>material</w:t>
      </w:r>
      <w:r w:rsidR="002B4FE1" w:rsidRPr="00241FAC">
        <w:rPr>
          <w:rFonts w:cs="Arial"/>
        </w:rPr>
        <w:t xml:space="preserve"> puesto que representaba el </w:t>
      </w:r>
      <w:r w:rsidR="000F6382" w:rsidRPr="00241FAC">
        <w:rPr>
          <w:rFonts w:cs="Arial"/>
        </w:rPr>
        <w:t xml:space="preserve">0.9% del </w:t>
      </w:r>
      <w:r w:rsidR="000E426D" w:rsidRPr="00241FAC">
        <w:rPr>
          <w:rFonts w:cs="Arial"/>
        </w:rPr>
        <w:t>pasivo</w:t>
      </w:r>
      <w:r w:rsidR="000F6382" w:rsidRPr="00241FAC">
        <w:rPr>
          <w:rFonts w:cs="Arial"/>
        </w:rPr>
        <w:t xml:space="preserve"> corriente y </w:t>
      </w:r>
      <w:r w:rsidR="000E426D" w:rsidRPr="00241FAC">
        <w:rPr>
          <w:rFonts w:cs="Arial"/>
        </w:rPr>
        <w:t xml:space="preserve">sólo </w:t>
      </w:r>
      <w:r w:rsidR="000F6382" w:rsidRPr="00241FAC">
        <w:rPr>
          <w:rFonts w:cs="Arial"/>
        </w:rPr>
        <w:t>el 0.1</w:t>
      </w:r>
      <w:r w:rsidR="000E426D" w:rsidRPr="00241FAC">
        <w:rPr>
          <w:rFonts w:cs="Arial"/>
        </w:rPr>
        <w:t>% del pasivo total,</w:t>
      </w:r>
      <w:r w:rsidR="002B4FE1" w:rsidRPr="00241FAC">
        <w:rPr>
          <w:rFonts w:cs="Arial"/>
        </w:rPr>
        <w:t xml:space="preserve"> </w:t>
      </w:r>
      <w:r w:rsidR="000E426D" w:rsidRPr="00241FAC">
        <w:rPr>
          <w:rFonts w:cs="Arial"/>
        </w:rPr>
        <w:t>además</w:t>
      </w:r>
      <w:r w:rsidR="00C13236" w:rsidRPr="00241FAC">
        <w:rPr>
          <w:rFonts w:cs="Arial"/>
        </w:rPr>
        <w:t xml:space="preserve"> de que </w:t>
      </w:r>
      <w:r w:rsidR="000E426D" w:rsidRPr="00241FAC">
        <w:rPr>
          <w:rFonts w:cs="Arial"/>
        </w:rPr>
        <w:t xml:space="preserve">su valor absoluto no </w:t>
      </w:r>
      <w:r w:rsidR="0023311E" w:rsidRPr="00241FAC">
        <w:rPr>
          <w:rFonts w:cs="Arial"/>
        </w:rPr>
        <w:t xml:space="preserve">fue el que </w:t>
      </w:r>
      <w:r w:rsidR="000E426D" w:rsidRPr="00241FAC">
        <w:rPr>
          <w:rFonts w:cs="Arial"/>
        </w:rPr>
        <w:t xml:space="preserve">constituyó la diferencia para afectar </w:t>
      </w:r>
      <w:r w:rsidRPr="00241FAC">
        <w:rPr>
          <w:rFonts w:cs="Arial"/>
        </w:rPr>
        <w:t>el monto del capital de trabajo requerido</w:t>
      </w:r>
      <w:r w:rsidR="0023311E" w:rsidRPr="00241FAC">
        <w:rPr>
          <w:rFonts w:cs="Arial"/>
        </w:rPr>
        <w:t xml:space="preserve"> en la Licitación Pública No. 01</w:t>
      </w:r>
      <w:r w:rsidRPr="00241FAC">
        <w:rPr>
          <w:rFonts w:cs="Arial"/>
        </w:rPr>
        <w:t>.</w:t>
      </w:r>
    </w:p>
    <w:p w:rsidR="009861C4" w:rsidRPr="00241FAC" w:rsidRDefault="009861C4" w:rsidP="00E51E1B">
      <w:pPr>
        <w:rPr>
          <w:rFonts w:cs="Arial"/>
        </w:rPr>
      </w:pPr>
    </w:p>
    <w:p w:rsidR="00F3656B" w:rsidRPr="00241FAC" w:rsidRDefault="009861C4" w:rsidP="00E51E1B">
      <w:pPr>
        <w:rPr>
          <w:rFonts w:cs="Arial"/>
        </w:rPr>
      </w:pPr>
      <w:r w:rsidRPr="00241FAC">
        <w:rPr>
          <w:rFonts w:cs="Arial"/>
        </w:rPr>
        <w:t>P</w:t>
      </w:r>
      <w:r w:rsidR="0023311E" w:rsidRPr="00241FAC">
        <w:rPr>
          <w:rFonts w:cs="Arial"/>
        </w:rPr>
        <w:t>asando ahora a</w:t>
      </w:r>
      <w:r w:rsidR="00C13236" w:rsidRPr="00241FAC">
        <w:rPr>
          <w:rFonts w:cs="Arial"/>
        </w:rPr>
        <w:t xml:space="preserve"> la consideración acerca del </w:t>
      </w:r>
      <w:r w:rsidRPr="00241FAC">
        <w:rPr>
          <w:rFonts w:cs="Arial"/>
        </w:rPr>
        <w:t xml:space="preserve">pasivo </w:t>
      </w:r>
      <w:r w:rsidR="00C13236" w:rsidRPr="00241FAC">
        <w:rPr>
          <w:rFonts w:cs="Arial"/>
        </w:rPr>
        <w:t xml:space="preserve">reportado en </w:t>
      </w:r>
      <w:r w:rsidR="0023311E" w:rsidRPr="00241FAC">
        <w:rPr>
          <w:rFonts w:cs="Arial"/>
        </w:rPr>
        <w:t>el renglón 15 de la declaración de renta</w:t>
      </w:r>
      <w:r w:rsidR="00F3656B" w:rsidRPr="00241FAC">
        <w:rPr>
          <w:rFonts w:cs="Arial"/>
        </w:rPr>
        <w:t xml:space="preserve">, </w:t>
      </w:r>
      <w:r w:rsidR="0023311E" w:rsidRPr="00241FAC">
        <w:rPr>
          <w:rFonts w:cs="Arial"/>
          <w:i/>
        </w:rPr>
        <w:t>“cuentas por pagar compañías vinculadas y accionistas o socios”</w:t>
      </w:r>
      <w:r w:rsidRPr="00241FAC">
        <w:rPr>
          <w:rFonts w:cs="Arial"/>
        </w:rPr>
        <w:t xml:space="preserve">, se encontró una diferencia de $201´614.000 </w:t>
      </w:r>
      <w:r w:rsidR="0023311E" w:rsidRPr="00241FAC">
        <w:rPr>
          <w:rFonts w:cs="Arial"/>
        </w:rPr>
        <w:t xml:space="preserve">en relación con el balance comercial, </w:t>
      </w:r>
      <w:r w:rsidRPr="00241FAC">
        <w:rPr>
          <w:rFonts w:cs="Arial"/>
        </w:rPr>
        <w:t xml:space="preserve">correspondiente al 73.68% del valor de la cuenta </w:t>
      </w:r>
      <w:r w:rsidR="0023311E" w:rsidRPr="00241FAC">
        <w:rPr>
          <w:rFonts w:cs="Arial"/>
        </w:rPr>
        <w:t>contable</w:t>
      </w:r>
      <w:r w:rsidR="00093234" w:rsidRPr="00241FAC">
        <w:rPr>
          <w:rFonts w:cs="Arial"/>
        </w:rPr>
        <w:t>,</w:t>
      </w:r>
      <w:r w:rsidRPr="00241FAC">
        <w:rPr>
          <w:rFonts w:cs="Arial"/>
        </w:rPr>
        <w:t xml:space="preserve"> cuya clasificación como pasivo corriente sí implic</w:t>
      </w:r>
      <w:r w:rsidR="00093234" w:rsidRPr="00241FAC">
        <w:rPr>
          <w:rFonts w:cs="Arial"/>
        </w:rPr>
        <w:t>ó</w:t>
      </w:r>
      <w:r w:rsidRPr="00241FAC">
        <w:rPr>
          <w:rFonts w:cs="Arial"/>
        </w:rPr>
        <w:t xml:space="preserve"> una incidencia material sobre el capital de trabajo requerido para la Licitación Pública</w:t>
      </w:r>
      <w:r w:rsidR="00093234" w:rsidRPr="00241FAC">
        <w:rPr>
          <w:rFonts w:cs="Arial"/>
        </w:rPr>
        <w:t xml:space="preserve"> No. 01</w:t>
      </w:r>
      <w:r w:rsidRPr="00241FAC">
        <w:rPr>
          <w:rFonts w:cs="Arial"/>
        </w:rPr>
        <w:t xml:space="preserve">, </w:t>
      </w:r>
      <w:r w:rsidR="00093234" w:rsidRPr="00241FAC">
        <w:rPr>
          <w:rFonts w:cs="Arial"/>
        </w:rPr>
        <w:t xml:space="preserve">puesto que </w:t>
      </w:r>
      <w:r w:rsidR="00F3656B" w:rsidRPr="00241FAC">
        <w:rPr>
          <w:rFonts w:cs="Arial"/>
        </w:rPr>
        <w:t xml:space="preserve">de acuerdo con </w:t>
      </w:r>
      <w:r w:rsidRPr="00241FAC">
        <w:rPr>
          <w:rFonts w:cs="Arial"/>
        </w:rPr>
        <w:t>e</w:t>
      </w:r>
      <w:r w:rsidR="00093234" w:rsidRPr="00241FAC">
        <w:rPr>
          <w:rFonts w:cs="Arial"/>
        </w:rPr>
        <w:t xml:space="preserve">l análisis </w:t>
      </w:r>
      <w:r w:rsidRPr="00241FAC">
        <w:rPr>
          <w:rFonts w:cs="Arial"/>
        </w:rPr>
        <w:t xml:space="preserve">de la entidad contratante, el cálculo del capital de trabajo se disminuyó en $57´600.000, precisamente situándolo en $207´648.700 por debajo de </w:t>
      </w:r>
      <w:r w:rsidR="00093234" w:rsidRPr="00241FAC">
        <w:rPr>
          <w:rFonts w:cs="Arial"/>
        </w:rPr>
        <w:t xml:space="preserve">la suma de </w:t>
      </w:r>
      <w:r w:rsidRPr="00241FAC">
        <w:rPr>
          <w:rFonts w:cs="Arial"/>
        </w:rPr>
        <w:t>$250´000.000 que era la mínima requerida para liberar el puntaje correspondiente al factor de capacidad financiera</w:t>
      </w:r>
      <w:r w:rsidR="00F3656B" w:rsidRPr="00241FAC">
        <w:rPr>
          <w:rFonts w:cs="Arial"/>
        </w:rPr>
        <w:t>.</w:t>
      </w:r>
    </w:p>
    <w:p w:rsidR="009861C4" w:rsidRPr="00241FAC" w:rsidRDefault="009861C4" w:rsidP="00E51E1B">
      <w:pPr>
        <w:rPr>
          <w:rFonts w:cs="Arial"/>
        </w:rPr>
      </w:pPr>
    </w:p>
    <w:p w:rsidR="00D72315" w:rsidRPr="00241FAC" w:rsidRDefault="009861C4" w:rsidP="00E51E1B">
      <w:pPr>
        <w:rPr>
          <w:rFonts w:cs="Arial"/>
        </w:rPr>
      </w:pPr>
      <w:r w:rsidRPr="00241FAC">
        <w:rPr>
          <w:rFonts w:cs="Arial"/>
        </w:rPr>
        <w:t xml:space="preserve">Sin embargo, </w:t>
      </w:r>
      <w:r w:rsidR="00AF1E7A" w:rsidRPr="00241FAC">
        <w:rPr>
          <w:rFonts w:cs="Arial"/>
        </w:rPr>
        <w:t xml:space="preserve">el </w:t>
      </w:r>
      <w:r w:rsidR="00F3656B" w:rsidRPr="00241FAC">
        <w:rPr>
          <w:rFonts w:cs="Arial"/>
        </w:rPr>
        <w:t xml:space="preserve">fundamento que </w:t>
      </w:r>
      <w:r w:rsidRPr="00241FAC">
        <w:rPr>
          <w:rFonts w:cs="Arial"/>
        </w:rPr>
        <w:t xml:space="preserve">la entidad </w:t>
      </w:r>
      <w:r w:rsidR="00AF1E7A" w:rsidRPr="00241FAC">
        <w:rPr>
          <w:rFonts w:cs="Arial"/>
        </w:rPr>
        <w:t xml:space="preserve">contratante </w:t>
      </w:r>
      <w:r w:rsidR="00F3656B" w:rsidRPr="00241FAC">
        <w:rPr>
          <w:rFonts w:cs="Arial"/>
        </w:rPr>
        <w:t xml:space="preserve">invocó para el tratamiento de </w:t>
      </w:r>
      <w:r w:rsidRPr="00241FAC">
        <w:rPr>
          <w:rFonts w:cs="Arial"/>
        </w:rPr>
        <w:t xml:space="preserve">esta diferencia, en vista de </w:t>
      </w:r>
      <w:r w:rsidR="00AF1E7A" w:rsidRPr="00241FAC">
        <w:rPr>
          <w:rFonts w:cs="Arial"/>
        </w:rPr>
        <w:t xml:space="preserve">la ausencia de notas a los estados financieros, así como de </w:t>
      </w:r>
      <w:r w:rsidRPr="00241FAC">
        <w:rPr>
          <w:rFonts w:cs="Arial"/>
        </w:rPr>
        <w:t xml:space="preserve">explicaciones </w:t>
      </w:r>
      <w:r w:rsidR="00AF1E7A" w:rsidRPr="00241FAC">
        <w:rPr>
          <w:rFonts w:cs="Arial"/>
        </w:rPr>
        <w:t>o aclaraciones</w:t>
      </w:r>
      <w:r w:rsidRPr="00241FAC">
        <w:rPr>
          <w:rFonts w:cs="Arial"/>
        </w:rPr>
        <w:t xml:space="preserve">, consistió en clasificar como pasivo corriente el valor reportado en la declaración de renta, con el siguiente </w:t>
      </w:r>
      <w:r w:rsidR="00F3656B" w:rsidRPr="00241FAC">
        <w:rPr>
          <w:rFonts w:cs="Arial"/>
        </w:rPr>
        <w:t>soporte:</w:t>
      </w:r>
      <w:r w:rsidRPr="00241FAC">
        <w:rPr>
          <w:rFonts w:cs="Arial"/>
        </w:rPr>
        <w:t xml:space="preserve"> </w:t>
      </w:r>
      <w:r w:rsidRPr="00241FAC">
        <w:rPr>
          <w:rFonts w:cs="Arial"/>
          <w:i/>
        </w:rPr>
        <w:t xml:space="preserve">“de acuerdo con el régimen contable colombiano, las deudas con Accionistas o Socios </w:t>
      </w:r>
      <w:r w:rsidRPr="00241FAC">
        <w:rPr>
          <w:rFonts w:cs="Arial"/>
          <w:i/>
        </w:rPr>
        <w:lastRenderedPageBreak/>
        <w:t>corresponden</w:t>
      </w:r>
      <w:r w:rsidR="00C776B6" w:rsidRPr="00241FAC">
        <w:rPr>
          <w:rFonts w:cs="Arial"/>
          <w:i/>
        </w:rPr>
        <w:t xml:space="preserve"> a</w:t>
      </w:r>
      <w:r w:rsidRPr="00241FAC">
        <w:rPr>
          <w:rFonts w:cs="Arial"/>
          <w:i/>
        </w:rPr>
        <w:t xml:space="preserve"> pasivos corrientes”</w:t>
      </w:r>
      <w:r w:rsidRPr="00241FAC">
        <w:rPr>
          <w:rFonts w:cs="Arial"/>
        </w:rPr>
        <w:t xml:space="preserve">, afirmación que no </w:t>
      </w:r>
      <w:r w:rsidR="00D72315" w:rsidRPr="00241FAC">
        <w:rPr>
          <w:rFonts w:cs="Arial"/>
        </w:rPr>
        <w:t>resultó correcta de acuerdo con las normas contables invocadas.</w:t>
      </w:r>
    </w:p>
    <w:p w:rsidR="009861C4" w:rsidRPr="00241FAC" w:rsidRDefault="009861C4" w:rsidP="00E51E1B">
      <w:pPr>
        <w:rPr>
          <w:rFonts w:cs="Arial"/>
        </w:rPr>
      </w:pPr>
    </w:p>
    <w:p w:rsidR="00D72315" w:rsidRPr="00241FAC" w:rsidRDefault="009861C4" w:rsidP="00E51E1B">
      <w:pPr>
        <w:rPr>
          <w:rFonts w:cs="Arial"/>
        </w:rPr>
      </w:pPr>
      <w:r w:rsidRPr="00241FAC">
        <w:rPr>
          <w:rFonts w:cs="Arial"/>
        </w:rPr>
        <w:t xml:space="preserve">En efecto, se debe tener en cuenta que </w:t>
      </w:r>
      <w:r w:rsidR="00D72315" w:rsidRPr="00241FAC">
        <w:rPr>
          <w:rFonts w:cs="Arial"/>
        </w:rPr>
        <w:t xml:space="preserve">la </w:t>
      </w:r>
      <w:r w:rsidRPr="00241FAC">
        <w:rPr>
          <w:rFonts w:cs="Arial"/>
        </w:rPr>
        <w:t>norma de contabilidad acerca de la clasificación de los pasivos para efectos de la presentación en los estados financieros, contenida en el artículo 115 del Decreto 2649 de 1993, se basó en el criterio del plazo de las obligaciones, según la cual se debió clasificar como pasivo corriente el de plazo inferior a un año o al ciclo del negocio</w:t>
      </w:r>
      <w:r w:rsidR="00FB3DAE" w:rsidRPr="00241FAC">
        <w:rPr>
          <w:rStyle w:val="Refdenotaalpie"/>
          <w:rFonts w:cs="Arial"/>
        </w:rPr>
        <w:footnoteReference w:id="54"/>
      </w:r>
      <w:r w:rsidRPr="00241FAC">
        <w:rPr>
          <w:rFonts w:cs="Arial"/>
        </w:rPr>
        <w:t xml:space="preserve">. </w:t>
      </w:r>
    </w:p>
    <w:p w:rsidR="00D72315" w:rsidRPr="00241FAC" w:rsidRDefault="00D72315" w:rsidP="00E51E1B">
      <w:pPr>
        <w:rPr>
          <w:rFonts w:cs="Arial"/>
        </w:rPr>
      </w:pPr>
    </w:p>
    <w:p w:rsidR="009861C4" w:rsidRPr="00241FAC" w:rsidRDefault="009861C4" w:rsidP="00E51E1B">
      <w:pPr>
        <w:rPr>
          <w:rFonts w:cs="Arial"/>
        </w:rPr>
      </w:pPr>
      <w:r w:rsidRPr="00241FAC">
        <w:rPr>
          <w:rFonts w:cs="Arial"/>
        </w:rPr>
        <w:t xml:space="preserve">En parte alguna </w:t>
      </w:r>
      <w:r w:rsidR="0062005A" w:rsidRPr="00241FAC">
        <w:rPr>
          <w:rFonts w:cs="Arial"/>
        </w:rPr>
        <w:t>d</w:t>
      </w:r>
      <w:r w:rsidRPr="00241FAC">
        <w:rPr>
          <w:rFonts w:cs="Arial"/>
        </w:rPr>
        <w:t xml:space="preserve">el </w:t>
      </w:r>
      <w:r w:rsidR="0062005A" w:rsidRPr="00241FAC">
        <w:rPr>
          <w:rFonts w:cs="Arial"/>
        </w:rPr>
        <w:t xml:space="preserve">citado </w:t>
      </w:r>
      <w:r w:rsidRPr="00241FAC">
        <w:rPr>
          <w:rFonts w:cs="Arial"/>
        </w:rPr>
        <w:t>régimen contable</w:t>
      </w:r>
      <w:r w:rsidR="0062005A" w:rsidRPr="00241FAC">
        <w:rPr>
          <w:rFonts w:cs="Arial"/>
        </w:rPr>
        <w:t>, que era el que se encontraba</w:t>
      </w:r>
      <w:r w:rsidRPr="00241FAC">
        <w:rPr>
          <w:rFonts w:cs="Arial"/>
        </w:rPr>
        <w:t xml:space="preserve"> vigente para las sociedades comerciales en la época de los hechos</w:t>
      </w:r>
      <w:r w:rsidR="0062005A" w:rsidRPr="00241FAC">
        <w:rPr>
          <w:rFonts w:cs="Arial"/>
        </w:rPr>
        <w:t xml:space="preserve">, </w:t>
      </w:r>
      <w:r w:rsidRPr="00241FAC">
        <w:rPr>
          <w:rFonts w:cs="Arial"/>
        </w:rPr>
        <w:t>se encuentra una disposición como la invocada por la entidad contratante para fundamentar su decisión de reclasificar el pasivo</w:t>
      </w:r>
      <w:r w:rsidR="0062005A" w:rsidRPr="00241FAC">
        <w:rPr>
          <w:rFonts w:cs="Arial"/>
        </w:rPr>
        <w:t xml:space="preserve"> con los socios</w:t>
      </w:r>
      <w:r w:rsidR="00D72315" w:rsidRPr="00241FAC">
        <w:rPr>
          <w:rFonts w:cs="Arial"/>
        </w:rPr>
        <w:t xml:space="preserve">, por el contrario, </w:t>
      </w:r>
      <w:r w:rsidRPr="00241FAC">
        <w:rPr>
          <w:rFonts w:cs="Arial"/>
        </w:rPr>
        <w:t xml:space="preserve">las </w:t>
      </w:r>
      <w:r w:rsidR="0062005A" w:rsidRPr="00241FAC">
        <w:rPr>
          <w:rFonts w:cs="Arial"/>
        </w:rPr>
        <w:t xml:space="preserve">obligaciones con los </w:t>
      </w:r>
      <w:r w:rsidRPr="00241FAC">
        <w:rPr>
          <w:rFonts w:cs="Arial"/>
        </w:rPr>
        <w:t xml:space="preserve">socios podían ser clasificadas como pasivo corriente o no corriente, de acuerdo con el plazo de las </w:t>
      </w:r>
      <w:r w:rsidR="0062005A" w:rsidRPr="00241FAC">
        <w:rPr>
          <w:rFonts w:cs="Arial"/>
        </w:rPr>
        <w:t>mismas.</w:t>
      </w:r>
      <w:r w:rsidRPr="00241FAC">
        <w:rPr>
          <w:rFonts w:cs="Arial"/>
        </w:rPr>
        <w:t xml:space="preserve"> </w:t>
      </w:r>
    </w:p>
    <w:p w:rsidR="009861C4" w:rsidRPr="00241FAC" w:rsidRDefault="009861C4" w:rsidP="00E51E1B">
      <w:pPr>
        <w:rPr>
          <w:rFonts w:cs="Arial"/>
        </w:rPr>
      </w:pPr>
    </w:p>
    <w:p w:rsidR="009861C4" w:rsidRPr="00241FAC" w:rsidRDefault="009861C4" w:rsidP="00E51E1B">
      <w:pPr>
        <w:rPr>
          <w:rFonts w:cs="Arial"/>
        </w:rPr>
      </w:pPr>
      <w:r w:rsidRPr="00241FAC">
        <w:rPr>
          <w:rFonts w:cs="Arial"/>
        </w:rPr>
        <w:t>La Sala observa</w:t>
      </w:r>
      <w:r w:rsidR="00F461C3" w:rsidRPr="00241FAC">
        <w:rPr>
          <w:rFonts w:cs="Arial"/>
        </w:rPr>
        <w:t>,</w:t>
      </w:r>
      <w:r w:rsidRPr="00241FAC">
        <w:rPr>
          <w:rFonts w:cs="Arial"/>
        </w:rPr>
        <w:t xml:space="preserve"> al margen</w:t>
      </w:r>
      <w:r w:rsidR="00F461C3" w:rsidRPr="00241FAC">
        <w:rPr>
          <w:rFonts w:cs="Arial"/>
        </w:rPr>
        <w:t>,</w:t>
      </w:r>
      <w:r w:rsidRPr="00241FAC">
        <w:rPr>
          <w:rFonts w:cs="Arial"/>
        </w:rPr>
        <w:t xml:space="preserve"> que la diferencia presentada </w:t>
      </w:r>
      <w:r w:rsidR="00F461C3" w:rsidRPr="00241FAC">
        <w:rPr>
          <w:rFonts w:cs="Arial"/>
        </w:rPr>
        <w:t xml:space="preserve">en la cuenta de </w:t>
      </w:r>
      <w:r w:rsidR="0097306E" w:rsidRPr="00241FAC">
        <w:rPr>
          <w:rFonts w:cs="Arial"/>
        </w:rPr>
        <w:t>deudas con accionistas o socios</w:t>
      </w:r>
      <w:r w:rsidR="005B1962" w:rsidRPr="00241FAC">
        <w:rPr>
          <w:rFonts w:cs="Arial"/>
        </w:rPr>
        <w:t>,</w:t>
      </w:r>
      <w:r w:rsidR="0097306E" w:rsidRPr="00241FAC">
        <w:rPr>
          <w:rFonts w:cs="Arial"/>
        </w:rPr>
        <w:t xml:space="preserve"> indicada en el balance por la suma de $273´614.000 y en l</w:t>
      </w:r>
      <w:r w:rsidR="005B1962" w:rsidRPr="00241FAC">
        <w:rPr>
          <w:rFonts w:cs="Arial"/>
        </w:rPr>
        <w:t>a declaración de renta por la suma de $72´000.000,</w:t>
      </w:r>
      <w:r w:rsidR="0097306E" w:rsidRPr="00241FAC">
        <w:rPr>
          <w:rFonts w:cs="Arial"/>
        </w:rPr>
        <w:t xml:space="preserve"> </w:t>
      </w:r>
      <w:r w:rsidRPr="00241FAC">
        <w:rPr>
          <w:rFonts w:cs="Arial"/>
        </w:rPr>
        <w:t xml:space="preserve">podía tener una explicación en la clasificación </w:t>
      </w:r>
      <w:r w:rsidR="00744274" w:rsidRPr="00241FAC">
        <w:rPr>
          <w:rFonts w:cs="Arial"/>
        </w:rPr>
        <w:t xml:space="preserve">que utilizó la Sociedad </w:t>
      </w:r>
      <w:proofErr w:type="spellStart"/>
      <w:r w:rsidR="00744274" w:rsidRPr="00241FAC">
        <w:rPr>
          <w:rFonts w:cs="Arial"/>
        </w:rPr>
        <w:t>Insetel</w:t>
      </w:r>
      <w:proofErr w:type="spellEnd"/>
      <w:r w:rsidR="00744274" w:rsidRPr="00241FAC">
        <w:rPr>
          <w:rFonts w:cs="Arial"/>
        </w:rPr>
        <w:t xml:space="preserve"> Ltda., para efectos de reportar la </w:t>
      </w:r>
      <w:r w:rsidRPr="00241FAC">
        <w:rPr>
          <w:rFonts w:cs="Arial"/>
        </w:rPr>
        <w:t xml:space="preserve">información </w:t>
      </w:r>
      <w:r w:rsidR="00C05573" w:rsidRPr="00241FAC">
        <w:rPr>
          <w:rFonts w:cs="Arial"/>
        </w:rPr>
        <w:t>para fines tr</w:t>
      </w:r>
      <w:r w:rsidR="007A33E0" w:rsidRPr="00241FAC">
        <w:rPr>
          <w:rFonts w:cs="Arial"/>
        </w:rPr>
        <w:t>i</w:t>
      </w:r>
      <w:r w:rsidR="00C05573" w:rsidRPr="00241FAC">
        <w:rPr>
          <w:rFonts w:cs="Arial"/>
        </w:rPr>
        <w:t xml:space="preserve">butarios, </w:t>
      </w:r>
      <w:r w:rsidRPr="00241FAC">
        <w:rPr>
          <w:rFonts w:cs="Arial"/>
        </w:rPr>
        <w:t xml:space="preserve">toda vez que el </w:t>
      </w:r>
      <w:r w:rsidRPr="00241FAC">
        <w:rPr>
          <w:rFonts w:cs="Arial"/>
          <w:i/>
        </w:rPr>
        <w:t>valor total</w:t>
      </w:r>
      <w:r w:rsidRPr="00241FAC">
        <w:rPr>
          <w:rFonts w:cs="Arial"/>
        </w:rPr>
        <w:t xml:space="preserve"> de pasivos entre las dos fuentes de información solo difería en $</w:t>
      </w:r>
      <w:r w:rsidR="00D30E08" w:rsidRPr="00241FAC">
        <w:rPr>
          <w:rFonts w:cs="Arial"/>
        </w:rPr>
        <w:t>859.000</w:t>
      </w:r>
      <w:r w:rsidR="00E67280" w:rsidRPr="00241FAC">
        <w:rPr>
          <w:rStyle w:val="Refdenotaalpie"/>
          <w:rFonts w:cs="Arial"/>
        </w:rPr>
        <w:footnoteReference w:id="55"/>
      </w:r>
      <w:r w:rsidR="00D30E08" w:rsidRPr="00241FAC">
        <w:rPr>
          <w:rFonts w:cs="Arial"/>
        </w:rPr>
        <w:t>,</w:t>
      </w:r>
      <w:r w:rsidRPr="00241FAC">
        <w:rPr>
          <w:rFonts w:cs="Arial"/>
        </w:rPr>
        <w:t xml:space="preserve"> de donde se </w:t>
      </w:r>
      <w:r w:rsidR="00D30E08" w:rsidRPr="00241FAC">
        <w:rPr>
          <w:rFonts w:cs="Arial"/>
        </w:rPr>
        <w:t xml:space="preserve">puede inferir </w:t>
      </w:r>
      <w:r w:rsidRPr="00241FAC">
        <w:rPr>
          <w:rFonts w:cs="Arial"/>
        </w:rPr>
        <w:t xml:space="preserve">que la suma de $201´614.000 correspondiente a la diferencia en las obligaciones con los socios, se </w:t>
      </w:r>
      <w:r w:rsidR="00C05573" w:rsidRPr="00241FAC">
        <w:rPr>
          <w:rFonts w:cs="Arial"/>
        </w:rPr>
        <w:t xml:space="preserve">habría </w:t>
      </w:r>
      <w:r w:rsidRPr="00241FAC">
        <w:rPr>
          <w:rFonts w:cs="Arial"/>
        </w:rPr>
        <w:t>report</w:t>
      </w:r>
      <w:r w:rsidR="00C05573" w:rsidRPr="00241FAC">
        <w:rPr>
          <w:rFonts w:cs="Arial"/>
        </w:rPr>
        <w:t>ado</w:t>
      </w:r>
      <w:r w:rsidRPr="00241FAC">
        <w:rPr>
          <w:rFonts w:cs="Arial"/>
        </w:rPr>
        <w:t xml:space="preserve"> fiscalmente dentro del renglón </w:t>
      </w:r>
      <w:r w:rsidR="00D30E08" w:rsidRPr="00241FAC">
        <w:rPr>
          <w:rFonts w:cs="Arial"/>
        </w:rPr>
        <w:t xml:space="preserve">17 </w:t>
      </w:r>
      <w:r w:rsidR="00801036" w:rsidRPr="00241FAC">
        <w:rPr>
          <w:rFonts w:cs="Arial"/>
        </w:rPr>
        <w:t>bajo el rubro de “</w:t>
      </w:r>
      <w:r w:rsidRPr="00241FAC">
        <w:rPr>
          <w:rFonts w:cs="Arial"/>
        </w:rPr>
        <w:t>otros pasivos</w:t>
      </w:r>
      <w:r w:rsidR="00801036" w:rsidRPr="00241FAC">
        <w:rPr>
          <w:rFonts w:cs="Arial"/>
        </w:rPr>
        <w:t>”</w:t>
      </w:r>
      <w:r w:rsidR="00C05573" w:rsidRPr="00241FAC">
        <w:rPr>
          <w:rFonts w:cs="Arial"/>
        </w:rPr>
        <w:t xml:space="preserve"> y no en el renglón 15 de obligaciones con socios</w:t>
      </w:r>
      <w:r w:rsidRPr="00241FAC">
        <w:rPr>
          <w:rFonts w:cs="Arial"/>
        </w:rPr>
        <w:t xml:space="preserve">, </w:t>
      </w:r>
      <w:r w:rsidR="00C05573" w:rsidRPr="00241FAC">
        <w:rPr>
          <w:rFonts w:cs="Arial"/>
        </w:rPr>
        <w:t xml:space="preserve">toda vez que </w:t>
      </w:r>
      <w:r w:rsidR="006D1F96" w:rsidRPr="00241FAC">
        <w:rPr>
          <w:rFonts w:cs="Arial"/>
        </w:rPr>
        <w:t xml:space="preserve">el renglón 17 </w:t>
      </w:r>
      <w:r w:rsidR="00C05573" w:rsidRPr="00241FAC">
        <w:rPr>
          <w:rFonts w:cs="Arial"/>
        </w:rPr>
        <w:t xml:space="preserve">ascendió a </w:t>
      </w:r>
      <w:r w:rsidR="00D30E08" w:rsidRPr="00241FAC">
        <w:rPr>
          <w:rFonts w:cs="Arial"/>
        </w:rPr>
        <w:t xml:space="preserve">$218’825.000; sin embargo, </w:t>
      </w:r>
      <w:r w:rsidRPr="00241FAC">
        <w:rPr>
          <w:rFonts w:cs="Arial"/>
        </w:rPr>
        <w:t xml:space="preserve">para lo que importa en este caso </w:t>
      </w:r>
      <w:r w:rsidRPr="00241FAC">
        <w:rPr>
          <w:rFonts w:cs="Arial"/>
        </w:rPr>
        <w:lastRenderedPageBreak/>
        <w:t xml:space="preserve">no existen elementos de juicio </w:t>
      </w:r>
      <w:r w:rsidR="00744274" w:rsidRPr="00241FAC">
        <w:rPr>
          <w:rFonts w:cs="Arial"/>
        </w:rPr>
        <w:t xml:space="preserve">suficientes </w:t>
      </w:r>
      <w:r w:rsidR="00D30E08" w:rsidRPr="00241FAC">
        <w:rPr>
          <w:rFonts w:cs="Arial"/>
        </w:rPr>
        <w:t xml:space="preserve">que permitan </w:t>
      </w:r>
      <w:r w:rsidR="0007792C" w:rsidRPr="00241FAC">
        <w:rPr>
          <w:rFonts w:cs="Arial"/>
        </w:rPr>
        <w:t xml:space="preserve">tener </w:t>
      </w:r>
      <w:r w:rsidR="00D30E08" w:rsidRPr="00241FAC">
        <w:rPr>
          <w:rFonts w:cs="Arial"/>
        </w:rPr>
        <w:t xml:space="preserve">certeza </w:t>
      </w:r>
      <w:r w:rsidRPr="00241FAC">
        <w:rPr>
          <w:rFonts w:cs="Arial"/>
        </w:rPr>
        <w:t>acerca de cu</w:t>
      </w:r>
      <w:r w:rsidR="00D30E08" w:rsidRPr="00241FAC">
        <w:rPr>
          <w:rFonts w:cs="Arial"/>
        </w:rPr>
        <w:t>á</w:t>
      </w:r>
      <w:r w:rsidRPr="00241FAC">
        <w:rPr>
          <w:rFonts w:cs="Arial"/>
        </w:rPr>
        <w:t xml:space="preserve">l era la información correcta, debido a que la cuenta no fue explicada, desglosada ni soportada por </w:t>
      </w:r>
      <w:r w:rsidR="00544DA9" w:rsidRPr="00241FAC">
        <w:rPr>
          <w:rFonts w:cs="Arial"/>
        </w:rPr>
        <w:t>la Unión Temporal Construobras, ni por sus integrantes que a</w:t>
      </w:r>
      <w:r w:rsidR="006D1F96" w:rsidRPr="00241FAC">
        <w:rPr>
          <w:rFonts w:cs="Arial"/>
        </w:rPr>
        <w:t xml:space="preserve">hora obran </w:t>
      </w:r>
      <w:r w:rsidR="00544DA9" w:rsidRPr="00241FAC">
        <w:rPr>
          <w:rFonts w:cs="Arial"/>
        </w:rPr>
        <w:t>como demandante</w:t>
      </w:r>
      <w:r w:rsidR="0007792C" w:rsidRPr="00241FAC">
        <w:rPr>
          <w:rFonts w:cs="Arial"/>
        </w:rPr>
        <w:t>s</w:t>
      </w:r>
      <w:r w:rsidR="00544DA9" w:rsidRPr="00241FAC">
        <w:rPr>
          <w:rFonts w:cs="Arial"/>
        </w:rPr>
        <w:t xml:space="preserve"> en el presente proceso </w:t>
      </w:r>
      <w:r w:rsidRPr="00241FAC">
        <w:rPr>
          <w:rFonts w:cs="Arial"/>
        </w:rPr>
        <w:t>y</w:t>
      </w:r>
      <w:r w:rsidR="00A67D52" w:rsidRPr="00241FAC">
        <w:rPr>
          <w:rFonts w:cs="Arial"/>
        </w:rPr>
        <w:t>,</w:t>
      </w:r>
      <w:r w:rsidRPr="00241FAC">
        <w:rPr>
          <w:rFonts w:cs="Arial"/>
        </w:rPr>
        <w:t xml:space="preserve"> </w:t>
      </w:r>
      <w:r w:rsidR="00544DA9" w:rsidRPr="00241FAC">
        <w:rPr>
          <w:rFonts w:cs="Arial"/>
        </w:rPr>
        <w:t xml:space="preserve">además, </w:t>
      </w:r>
      <w:r w:rsidRPr="00241FAC">
        <w:rPr>
          <w:rFonts w:cs="Arial"/>
        </w:rPr>
        <w:t xml:space="preserve">no se puede </w:t>
      </w:r>
      <w:r w:rsidR="006D1F96" w:rsidRPr="00241FAC">
        <w:rPr>
          <w:rFonts w:cs="Arial"/>
        </w:rPr>
        <w:t xml:space="preserve">determinar </w:t>
      </w:r>
      <w:r w:rsidR="00744274" w:rsidRPr="00241FAC">
        <w:rPr>
          <w:rFonts w:cs="Arial"/>
        </w:rPr>
        <w:t xml:space="preserve">que </w:t>
      </w:r>
      <w:r w:rsidRPr="00241FAC">
        <w:rPr>
          <w:rFonts w:cs="Arial"/>
        </w:rPr>
        <w:t>el pasivo era corriente o no</w:t>
      </w:r>
      <w:r w:rsidR="00544DA9" w:rsidRPr="00241FAC">
        <w:rPr>
          <w:rFonts w:cs="Arial"/>
        </w:rPr>
        <w:t xml:space="preserve"> corriente</w:t>
      </w:r>
      <w:r w:rsidRPr="00241FAC">
        <w:rPr>
          <w:rFonts w:cs="Arial"/>
        </w:rPr>
        <w:t xml:space="preserve">, debido a que </w:t>
      </w:r>
      <w:r w:rsidR="00544DA9" w:rsidRPr="00241FAC">
        <w:rPr>
          <w:rFonts w:cs="Arial"/>
        </w:rPr>
        <w:t xml:space="preserve">se desconoce el plazo de las </w:t>
      </w:r>
      <w:r w:rsidRPr="00241FAC">
        <w:rPr>
          <w:rFonts w:cs="Arial"/>
        </w:rPr>
        <w:t>obligaciones correspondientes.</w:t>
      </w:r>
    </w:p>
    <w:p w:rsidR="009861C4" w:rsidRPr="00241FAC" w:rsidRDefault="009861C4" w:rsidP="00E51E1B">
      <w:pPr>
        <w:rPr>
          <w:rFonts w:cs="Arial"/>
        </w:rPr>
      </w:pPr>
    </w:p>
    <w:p w:rsidR="009861C4" w:rsidRPr="00241FAC" w:rsidRDefault="0007792C" w:rsidP="00E51E1B">
      <w:pPr>
        <w:rPr>
          <w:rFonts w:cs="Arial"/>
        </w:rPr>
      </w:pPr>
      <w:r w:rsidRPr="00241FAC">
        <w:rPr>
          <w:rFonts w:cs="Arial"/>
        </w:rPr>
        <w:t xml:space="preserve">Puesto </w:t>
      </w:r>
      <w:r w:rsidR="009861C4" w:rsidRPr="00241FAC">
        <w:rPr>
          <w:rFonts w:cs="Arial"/>
        </w:rPr>
        <w:t>que la verificación de la información financiera no permite concluir acerca de la veracidad de una u otra cifra, y que tampoco en este proceso el proponente aportó pruebas para aclarar o soportar el contenido de su información, considera la Sala que no procede corregir el cálculo realizado por la entidad contratante.</w:t>
      </w:r>
    </w:p>
    <w:p w:rsidR="009861C4" w:rsidRPr="00241FAC" w:rsidRDefault="009861C4" w:rsidP="00E51E1B">
      <w:pPr>
        <w:rPr>
          <w:rFonts w:cs="Arial"/>
        </w:rPr>
      </w:pPr>
    </w:p>
    <w:p w:rsidR="009861C4" w:rsidRPr="00241FAC" w:rsidRDefault="009861C4" w:rsidP="00E51E1B">
      <w:pPr>
        <w:rPr>
          <w:rFonts w:cs="Arial"/>
        </w:rPr>
      </w:pPr>
      <w:r w:rsidRPr="00241FAC">
        <w:rPr>
          <w:rFonts w:cs="Arial"/>
        </w:rPr>
        <w:t>Finalmente</w:t>
      </w:r>
      <w:r w:rsidR="0007792C" w:rsidRPr="00241FAC">
        <w:rPr>
          <w:rFonts w:cs="Arial"/>
        </w:rPr>
        <w:t>,</w:t>
      </w:r>
      <w:r w:rsidRPr="00241FAC">
        <w:rPr>
          <w:rFonts w:cs="Arial"/>
        </w:rPr>
        <w:t xml:space="preserve"> en el análisis del acervo probatorio, la Sala advierte a la parte demandante que no cumplió con la carga de la prueba que le correspondía de acuerdo con el artículo 177 del Código de Procedimiento Civi</w:t>
      </w:r>
      <w:r w:rsidR="007A33E0" w:rsidRPr="00241FAC">
        <w:rPr>
          <w:rFonts w:cs="Arial"/>
        </w:rPr>
        <w:t>l</w:t>
      </w:r>
      <w:r w:rsidR="006D1F96" w:rsidRPr="00241FAC">
        <w:rPr>
          <w:rStyle w:val="Refdenotaalpie"/>
          <w:rFonts w:cs="Arial"/>
        </w:rPr>
        <w:footnoteReference w:id="56"/>
      </w:r>
      <w:r w:rsidR="0007792C" w:rsidRPr="00241FAC">
        <w:rPr>
          <w:rFonts w:cs="Arial"/>
        </w:rPr>
        <w:t>,</w:t>
      </w:r>
      <w:r w:rsidRPr="00241FAC">
        <w:rPr>
          <w:rFonts w:cs="Arial"/>
        </w:rPr>
        <w:t xml:space="preserve"> para desvirtuar los motivos fundados que se expresaron en el acto de adjudicación acusado, asunto que estaba totalmente a su alcance, toda vez que si el balance presentado correspondía a sus libros y los registros en ellos tenían un soporte contable de acuerdo con su realidad económica, lo procedente era aportarlos al proceso, o allegar la certificación de los registros contables para acreditar la autenticidad de la prueba contable y ampararse en la fe pública debida a la atestación del Contador Público, nada de lo cual se desplegó en el esfuerzo probatorio a cargo de la parte actora.</w:t>
      </w:r>
    </w:p>
    <w:p w:rsidR="009861C4" w:rsidRPr="00241FAC" w:rsidRDefault="009861C4" w:rsidP="00E51E1B">
      <w:pPr>
        <w:rPr>
          <w:rFonts w:cs="Arial"/>
        </w:rPr>
      </w:pPr>
    </w:p>
    <w:p w:rsidR="009861C4" w:rsidRPr="00241FAC" w:rsidRDefault="009861C4" w:rsidP="00E51E1B">
      <w:pPr>
        <w:rPr>
          <w:rFonts w:cs="Arial"/>
        </w:rPr>
      </w:pPr>
      <w:r w:rsidRPr="00241FAC">
        <w:rPr>
          <w:rFonts w:cs="Arial"/>
        </w:rPr>
        <w:t xml:space="preserve">En apoyo de la anterior conclusión se </w:t>
      </w:r>
      <w:r w:rsidR="00836CD7" w:rsidRPr="00241FAC">
        <w:rPr>
          <w:rFonts w:cs="Arial"/>
        </w:rPr>
        <w:t xml:space="preserve">recuerda </w:t>
      </w:r>
      <w:r w:rsidRPr="00241FAC">
        <w:rPr>
          <w:rFonts w:cs="Arial"/>
        </w:rPr>
        <w:t xml:space="preserve">–y no sobra reiterarlo- que  el balance a 31 de diciembre de 1999 presentado por </w:t>
      </w:r>
      <w:proofErr w:type="spellStart"/>
      <w:r w:rsidRPr="00241FAC">
        <w:rPr>
          <w:rFonts w:cs="Arial"/>
        </w:rPr>
        <w:t>Insetel</w:t>
      </w:r>
      <w:proofErr w:type="spellEnd"/>
      <w:r w:rsidRPr="00241FAC">
        <w:rPr>
          <w:rFonts w:cs="Arial"/>
        </w:rPr>
        <w:t xml:space="preserve"> Ltda., como miembro de la Unión Temporal Construobras no gozaba de la presunción de autenticidad que le hubiera otorgado la certificación de los estados financieros de conformidad con la Ley 222 de 1995, asunto que -una vez más se </w:t>
      </w:r>
      <w:r w:rsidR="00836CD7" w:rsidRPr="00241FAC">
        <w:rPr>
          <w:rFonts w:cs="Arial"/>
        </w:rPr>
        <w:t>advierte</w:t>
      </w:r>
      <w:r w:rsidRPr="00241FAC">
        <w:rPr>
          <w:rFonts w:cs="Arial"/>
        </w:rPr>
        <w:t>- tampoco se ocupó de acreditar la parte actora en el presente proceso.</w:t>
      </w:r>
    </w:p>
    <w:p w:rsidR="009861C4" w:rsidRPr="00241FAC" w:rsidRDefault="009861C4" w:rsidP="00E51E1B">
      <w:pPr>
        <w:rPr>
          <w:rFonts w:cs="Arial"/>
        </w:rPr>
      </w:pPr>
    </w:p>
    <w:p w:rsidR="009861C4" w:rsidRPr="00241FAC" w:rsidRDefault="009861C4" w:rsidP="00E51E1B">
      <w:pPr>
        <w:rPr>
          <w:rFonts w:cs="Arial"/>
        </w:rPr>
      </w:pPr>
      <w:r w:rsidRPr="00241FAC">
        <w:rPr>
          <w:rFonts w:cs="Arial"/>
        </w:rPr>
        <w:t xml:space="preserve">Vale la pena observar que </w:t>
      </w:r>
      <w:r w:rsidR="00F970D8" w:rsidRPr="00241FAC">
        <w:rPr>
          <w:rFonts w:cs="Arial"/>
        </w:rPr>
        <w:t xml:space="preserve">eventualmente </w:t>
      </w:r>
      <w:r w:rsidRPr="00241FAC">
        <w:rPr>
          <w:rFonts w:cs="Arial"/>
        </w:rPr>
        <w:t>las diferencias</w:t>
      </w:r>
      <w:r w:rsidR="00F970D8" w:rsidRPr="00241FAC">
        <w:rPr>
          <w:rFonts w:cs="Arial"/>
        </w:rPr>
        <w:t xml:space="preserve"> habrían podido explicarse con las </w:t>
      </w:r>
      <w:r w:rsidRPr="00241FAC">
        <w:rPr>
          <w:rFonts w:cs="Arial"/>
        </w:rPr>
        <w:t>Notas a los Estados Financieros</w:t>
      </w:r>
      <w:r w:rsidR="00F970D8" w:rsidRPr="00241FAC">
        <w:rPr>
          <w:rFonts w:cs="Arial"/>
        </w:rPr>
        <w:t xml:space="preserve"> del balance de fin de ejercicio</w:t>
      </w:r>
      <w:r w:rsidR="00836CD7" w:rsidRPr="00241FAC">
        <w:rPr>
          <w:rFonts w:cs="Arial"/>
        </w:rPr>
        <w:t xml:space="preserve"> –conocimiento al que nunca se pudo llegar</w:t>
      </w:r>
      <w:r w:rsidR="00A47BD8" w:rsidRPr="00241FAC">
        <w:rPr>
          <w:rFonts w:cs="Arial"/>
        </w:rPr>
        <w:t xml:space="preserve"> en este debate</w:t>
      </w:r>
      <w:r w:rsidR="00836CD7" w:rsidRPr="00241FAC">
        <w:rPr>
          <w:rFonts w:cs="Arial"/>
        </w:rPr>
        <w:t xml:space="preserve">- pero </w:t>
      </w:r>
      <w:r w:rsidRPr="00241FAC">
        <w:rPr>
          <w:rFonts w:cs="Arial"/>
        </w:rPr>
        <w:t xml:space="preserve">la actitud pasiva que </w:t>
      </w:r>
      <w:r w:rsidRPr="00241FAC">
        <w:rPr>
          <w:rFonts w:cs="Arial"/>
        </w:rPr>
        <w:lastRenderedPageBreak/>
        <w:t>adoptó la demandante al no acreditar</w:t>
      </w:r>
      <w:r w:rsidR="00A47BD8" w:rsidRPr="00241FAC">
        <w:rPr>
          <w:rFonts w:cs="Arial"/>
        </w:rPr>
        <w:t xml:space="preserve"> </w:t>
      </w:r>
      <w:r w:rsidRPr="00241FAC">
        <w:rPr>
          <w:rFonts w:cs="Arial"/>
        </w:rPr>
        <w:t>la</w:t>
      </w:r>
      <w:r w:rsidR="00A47BD8" w:rsidRPr="00241FAC">
        <w:rPr>
          <w:rFonts w:cs="Arial"/>
        </w:rPr>
        <w:t xml:space="preserve"> información</w:t>
      </w:r>
      <w:r w:rsidRPr="00241FAC">
        <w:rPr>
          <w:rFonts w:cs="Arial"/>
        </w:rPr>
        <w:t xml:space="preserve">, produjo efectos en su contra, toda vez que justamente </w:t>
      </w:r>
      <w:r w:rsidR="00F970D8" w:rsidRPr="00241FAC">
        <w:rPr>
          <w:rFonts w:cs="Arial"/>
        </w:rPr>
        <w:t xml:space="preserve">la apreciación de </w:t>
      </w:r>
      <w:r w:rsidR="00A47BD8" w:rsidRPr="00241FAC">
        <w:rPr>
          <w:rFonts w:cs="Arial"/>
        </w:rPr>
        <w:t xml:space="preserve">la inconsistencia </w:t>
      </w:r>
      <w:r w:rsidRPr="00241FAC">
        <w:rPr>
          <w:rFonts w:cs="Arial"/>
        </w:rPr>
        <w:t xml:space="preserve">constituía el punto central de su demanda y </w:t>
      </w:r>
      <w:r w:rsidR="00071336" w:rsidRPr="00241FAC">
        <w:rPr>
          <w:rFonts w:cs="Arial"/>
        </w:rPr>
        <w:t xml:space="preserve">por razón de la materialidad de su valor, </w:t>
      </w:r>
      <w:r w:rsidRPr="00241FAC">
        <w:rPr>
          <w:rFonts w:cs="Arial"/>
        </w:rPr>
        <w:t xml:space="preserve">no podía ser ignorada ni por parte de la entidad contratante en su momento. ni por el operador en la instancia judicial. </w:t>
      </w:r>
    </w:p>
    <w:p w:rsidR="009861C4" w:rsidRPr="00241FAC" w:rsidRDefault="009861C4" w:rsidP="00E51E1B">
      <w:pPr>
        <w:rPr>
          <w:rFonts w:cs="Arial"/>
        </w:rPr>
      </w:pPr>
    </w:p>
    <w:p w:rsidR="001048BA" w:rsidRPr="00241FAC" w:rsidRDefault="009861C4" w:rsidP="00E51E1B">
      <w:pPr>
        <w:rPr>
          <w:rFonts w:cs="Arial"/>
        </w:rPr>
      </w:pPr>
      <w:r w:rsidRPr="00241FAC">
        <w:rPr>
          <w:rFonts w:cs="Arial"/>
        </w:rPr>
        <w:t>Precisamente la prueba requerida en este proceso ha debido apoyarse en la información contable allegada por la p</w:t>
      </w:r>
      <w:r w:rsidR="00071336" w:rsidRPr="00241FAC">
        <w:rPr>
          <w:rFonts w:cs="Arial"/>
        </w:rPr>
        <w:t xml:space="preserve">arte actora </w:t>
      </w:r>
      <w:r w:rsidRPr="00241FAC">
        <w:rPr>
          <w:rFonts w:cs="Arial"/>
        </w:rPr>
        <w:t>y no en los argumentos legales, los cuales no pueden prosperar en solitario, puesto que sólo llevarían a dejar sin sentido el requerimiento de la presentación del balance y la declaración de renta, información que se solicitó en el Pliego de Condiciones de acuerdo con lo permitido en la Ley 80 de 1993 y que debía tener algún objeto, el cual no era otro que el de desplegar la verificación de la información y considerar, entre otros factores, la información de soporte de la declaración de renta, de conformidad con las obligaciones de orden legal que le correspond</w:t>
      </w:r>
      <w:r w:rsidR="00071336" w:rsidRPr="00241FAC">
        <w:rPr>
          <w:rFonts w:cs="Arial"/>
        </w:rPr>
        <w:t>ía</w:t>
      </w:r>
      <w:r w:rsidRPr="00241FAC">
        <w:rPr>
          <w:rFonts w:cs="Arial"/>
        </w:rPr>
        <w:t xml:space="preserve"> cumplir a la entidad contratante.</w:t>
      </w:r>
      <w:r w:rsidR="00E056CD" w:rsidRPr="00241FAC">
        <w:rPr>
          <w:rFonts w:cs="Arial"/>
        </w:rPr>
        <w:t xml:space="preserve"> </w:t>
      </w:r>
    </w:p>
    <w:p w:rsidR="001048BA" w:rsidRPr="00241FAC" w:rsidRDefault="001048BA" w:rsidP="00E51E1B">
      <w:pPr>
        <w:rPr>
          <w:rFonts w:cs="Arial"/>
        </w:rPr>
      </w:pPr>
    </w:p>
    <w:p w:rsidR="00FF4E9A" w:rsidRPr="00241FAC" w:rsidRDefault="001048BA" w:rsidP="00E51E1B">
      <w:pPr>
        <w:rPr>
          <w:rFonts w:cs="Arial"/>
        </w:rPr>
      </w:pPr>
      <w:r w:rsidRPr="00241FAC">
        <w:rPr>
          <w:rFonts w:cs="Arial"/>
        </w:rPr>
        <w:t xml:space="preserve">Otra </w:t>
      </w:r>
      <w:r w:rsidR="00E056CD" w:rsidRPr="00241FAC">
        <w:rPr>
          <w:rFonts w:cs="Arial"/>
        </w:rPr>
        <w:t>interpretación</w:t>
      </w:r>
      <w:r w:rsidRPr="00241FAC">
        <w:rPr>
          <w:rFonts w:cs="Arial"/>
        </w:rPr>
        <w:t>,</w:t>
      </w:r>
      <w:r w:rsidR="00E056CD" w:rsidRPr="00241FAC">
        <w:rPr>
          <w:rFonts w:cs="Arial"/>
        </w:rPr>
        <w:t xml:space="preserve"> orientada a patentar que la presentación de la declaración de renta era solo parte de una lista de chequeo formal, </w:t>
      </w:r>
      <w:r w:rsidR="001840AD" w:rsidRPr="00241FAC">
        <w:rPr>
          <w:rFonts w:cs="Arial"/>
        </w:rPr>
        <w:t>sin conexión ninguna con la información del balance</w:t>
      </w:r>
      <w:r w:rsidR="00206350" w:rsidRPr="00241FAC">
        <w:rPr>
          <w:rFonts w:cs="Arial"/>
        </w:rPr>
        <w:t>,</w:t>
      </w:r>
      <w:r w:rsidR="001840AD" w:rsidRPr="00241FAC">
        <w:rPr>
          <w:rFonts w:cs="Arial"/>
        </w:rPr>
        <w:t xml:space="preserve"> </w:t>
      </w:r>
      <w:r w:rsidR="00E056CD" w:rsidRPr="00241FAC">
        <w:rPr>
          <w:rFonts w:cs="Arial"/>
        </w:rPr>
        <w:t xml:space="preserve">contradice el efecto útil de la norma </w:t>
      </w:r>
      <w:r w:rsidR="001840AD" w:rsidRPr="00241FAC">
        <w:rPr>
          <w:rFonts w:cs="Arial"/>
        </w:rPr>
        <w:t xml:space="preserve">en su momento </w:t>
      </w:r>
      <w:r w:rsidR="00E056CD" w:rsidRPr="00241FAC">
        <w:rPr>
          <w:rFonts w:cs="Arial"/>
        </w:rPr>
        <w:t>contenida en el artículo 22.3</w:t>
      </w:r>
      <w:r w:rsidR="001840AD" w:rsidRPr="00241FAC">
        <w:rPr>
          <w:rFonts w:cs="Arial"/>
        </w:rPr>
        <w:t xml:space="preserve"> de la Ley 80, </w:t>
      </w:r>
      <w:r w:rsidR="00E056CD" w:rsidRPr="00241FAC">
        <w:rPr>
          <w:rFonts w:cs="Arial"/>
        </w:rPr>
        <w:t xml:space="preserve">además de que </w:t>
      </w:r>
      <w:r w:rsidR="001840AD" w:rsidRPr="00241FAC">
        <w:rPr>
          <w:rFonts w:cs="Arial"/>
        </w:rPr>
        <w:t xml:space="preserve">fue clara la orientación legislativa </w:t>
      </w:r>
      <w:r w:rsidR="00206350" w:rsidRPr="00241FAC">
        <w:rPr>
          <w:rFonts w:cs="Arial"/>
        </w:rPr>
        <w:t xml:space="preserve">para </w:t>
      </w:r>
      <w:r w:rsidR="001840AD" w:rsidRPr="00241FAC">
        <w:rPr>
          <w:rFonts w:cs="Arial"/>
        </w:rPr>
        <w:t xml:space="preserve">exigir la verificación de los dos documentos, </w:t>
      </w:r>
      <w:r w:rsidR="00143E4D" w:rsidRPr="00241FAC">
        <w:rPr>
          <w:rFonts w:cs="Arial"/>
        </w:rPr>
        <w:t xml:space="preserve">en armonía con y/o en desarrollo de </w:t>
      </w:r>
      <w:r w:rsidR="001840AD" w:rsidRPr="00241FAC">
        <w:rPr>
          <w:rFonts w:cs="Arial"/>
        </w:rPr>
        <w:t>la exigencia</w:t>
      </w:r>
      <w:r w:rsidR="00FF4E9A" w:rsidRPr="00241FAC">
        <w:rPr>
          <w:rFonts w:cs="Arial"/>
        </w:rPr>
        <w:t xml:space="preserve"> de buena fe y </w:t>
      </w:r>
      <w:r w:rsidR="00206350" w:rsidRPr="00241FAC">
        <w:rPr>
          <w:rFonts w:cs="Arial"/>
        </w:rPr>
        <w:t xml:space="preserve">debida revelación de información, que </w:t>
      </w:r>
      <w:r w:rsidR="00143E4D" w:rsidRPr="00241FAC">
        <w:rPr>
          <w:rFonts w:cs="Arial"/>
        </w:rPr>
        <w:t xml:space="preserve">debe cumplir el </w:t>
      </w:r>
      <w:r w:rsidR="00206350" w:rsidRPr="00241FAC">
        <w:rPr>
          <w:rFonts w:cs="Arial"/>
        </w:rPr>
        <w:t xml:space="preserve">contratista </w:t>
      </w:r>
      <w:r w:rsidR="00FF4E9A" w:rsidRPr="00241FAC">
        <w:rPr>
          <w:rFonts w:cs="Arial"/>
        </w:rPr>
        <w:t xml:space="preserve">frente al Estado contratante y para </w:t>
      </w:r>
      <w:r w:rsidR="001C1419" w:rsidRPr="00241FAC">
        <w:rPr>
          <w:rFonts w:cs="Arial"/>
        </w:rPr>
        <w:t xml:space="preserve">asegurar la salud financiera de los contratistas, o si se quiere también como instrumento para </w:t>
      </w:r>
      <w:r w:rsidR="00FF4E9A" w:rsidRPr="00241FAC">
        <w:rPr>
          <w:rFonts w:cs="Arial"/>
        </w:rPr>
        <w:t xml:space="preserve">apoyar el control </w:t>
      </w:r>
      <w:r w:rsidR="0079706D" w:rsidRPr="00241FAC">
        <w:rPr>
          <w:rFonts w:cs="Arial"/>
        </w:rPr>
        <w:t xml:space="preserve">de </w:t>
      </w:r>
      <w:r w:rsidR="001C1419" w:rsidRPr="00241FAC">
        <w:rPr>
          <w:rFonts w:cs="Arial"/>
        </w:rPr>
        <w:t>la información con fines tributarios</w:t>
      </w:r>
      <w:r w:rsidR="0079706D" w:rsidRPr="00241FAC">
        <w:rPr>
          <w:rFonts w:cs="Arial"/>
        </w:rPr>
        <w:t xml:space="preserve">, el cual </w:t>
      </w:r>
      <w:r w:rsidR="00FF4E9A" w:rsidRPr="00241FAC">
        <w:rPr>
          <w:rFonts w:cs="Arial"/>
        </w:rPr>
        <w:t>en su momento podía requerir de la colaboración de las entidades públicas contratantes</w:t>
      </w:r>
      <w:r w:rsidR="0079706D" w:rsidRPr="00241FAC">
        <w:rPr>
          <w:rFonts w:cs="Arial"/>
        </w:rPr>
        <w:t xml:space="preserve"> cuando accedían a la información de la declaración de renta y del balance</w:t>
      </w:r>
      <w:r w:rsidR="00FF4E9A" w:rsidRPr="00241FAC">
        <w:rPr>
          <w:rFonts w:cs="Arial"/>
        </w:rPr>
        <w:t xml:space="preserve">, como se aprecia </w:t>
      </w:r>
      <w:r w:rsidR="001C1419" w:rsidRPr="00241FAC">
        <w:rPr>
          <w:rFonts w:cs="Arial"/>
        </w:rPr>
        <w:t>en</w:t>
      </w:r>
      <w:r w:rsidR="00FF4E9A" w:rsidRPr="00241FAC">
        <w:rPr>
          <w:rFonts w:cs="Arial"/>
        </w:rPr>
        <w:t xml:space="preserve"> la </w:t>
      </w:r>
      <w:r w:rsidR="00206350" w:rsidRPr="00241FAC">
        <w:rPr>
          <w:rFonts w:cs="Arial"/>
        </w:rPr>
        <w:t xml:space="preserve">obligación </w:t>
      </w:r>
      <w:r w:rsidR="001C1419" w:rsidRPr="00241FAC">
        <w:rPr>
          <w:rFonts w:cs="Arial"/>
        </w:rPr>
        <w:t xml:space="preserve">impuesta </w:t>
      </w:r>
      <w:r w:rsidR="00206350" w:rsidRPr="00241FAC">
        <w:rPr>
          <w:rFonts w:cs="Arial"/>
        </w:rPr>
        <w:t xml:space="preserve">en </w:t>
      </w:r>
      <w:r w:rsidR="00FF4E9A" w:rsidRPr="00241FAC">
        <w:rPr>
          <w:rFonts w:cs="Arial"/>
        </w:rPr>
        <w:t xml:space="preserve">el artículo 620 del Estatuto Tributario. </w:t>
      </w:r>
    </w:p>
    <w:p w:rsidR="00FF4E9A" w:rsidRPr="00241FAC" w:rsidRDefault="00FF4E9A" w:rsidP="00E51E1B">
      <w:pPr>
        <w:rPr>
          <w:rFonts w:cs="Arial"/>
        </w:rPr>
      </w:pPr>
    </w:p>
    <w:p w:rsidR="009A5B50" w:rsidRPr="00241FAC" w:rsidRDefault="00827D28" w:rsidP="00E51E1B">
      <w:pPr>
        <w:rPr>
          <w:rFonts w:cs="Arial"/>
        </w:rPr>
      </w:pPr>
      <w:r w:rsidRPr="00241FAC">
        <w:rPr>
          <w:rFonts w:cs="Arial"/>
        </w:rPr>
        <w:t>No se desconoce en ningún momento y</w:t>
      </w:r>
      <w:r w:rsidR="001048BA" w:rsidRPr="00241FAC">
        <w:rPr>
          <w:rFonts w:cs="Arial"/>
        </w:rPr>
        <w:t>,</w:t>
      </w:r>
      <w:r w:rsidRPr="00241FAC">
        <w:rPr>
          <w:rFonts w:cs="Arial"/>
        </w:rPr>
        <w:t xml:space="preserve"> por el contrario</w:t>
      </w:r>
      <w:r w:rsidR="001048BA" w:rsidRPr="00241FAC">
        <w:rPr>
          <w:rFonts w:cs="Arial"/>
        </w:rPr>
        <w:t>,</w:t>
      </w:r>
      <w:r w:rsidRPr="00241FAC">
        <w:rPr>
          <w:rFonts w:cs="Arial"/>
        </w:rPr>
        <w:t xml:space="preserve"> se descubre el valor de la prueba contable</w:t>
      </w:r>
      <w:r w:rsidR="00663011" w:rsidRPr="00241FAC">
        <w:rPr>
          <w:rFonts w:cs="Arial"/>
        </w:rPr>
        <w:t xml:space="preserve"> por parte del comerciante</w:t>
      </w:r>
      <w:r w:rsidRPr="00241FAC">
        <w:rPr>
          <w:rFonts w:cs="Arial"/>
        </w:rPr>
        <w:t xml:space="preserve"> </w:t>
      </w:r>
      <w:r w:rsidR="00663011" w:rsidRPr="00241FAC">
        <w:rPr>
          <w:rFonts w:cs="Arial"/>
        </w:rPr>
        <w:t xml:space="preserve">cuando </w:t>
      </w:r>
      <w:r w:rsidR="001C1419" w:rsidRPr="00241FAC">
        <w:rPr>
          <w:rFonts w:cs="Arial"/>
        </w:rPr>
        <w:t>sea</w:t>
      </w:r>
      <w:r w:rsidR="00663011" w:rsidRPr="00241FAC">
        <w:rPr>
          <w:rFonts w:cs="Arial"/>
        </w:rPr>
        <w:t xml:space="preserve"> </w:t>
      </w:r>
      <w:r w:rsidRPr="00241FAC">
        <w:rPr>
          <w:rFonts w:cs="Arial"/>
        </w:rPr>
        <w:t xml:space="preserve">producida y allegada de conformidad con las normas del Código de Comercio, </w:t>
      </w:r>
      <w:r w:rsidR="00BB4205" w:rsidRPr="00241FAC">
        <w:rPr>
          <w:rFonts w:cs="Arial"/>
        </w:rPr>
        <w:t xml:space="preserve">así como </w:t>
      </w:r>
      <w:r w:rsidR="00BF1502" w:rsidRPr="00241FAC">
        <w:rPr>
          <w:rFonts w:cs="Arial"/>
        </w:rPr>
        <w:t xml:space="preserve">se </w:t>
      </w:r>
      <w:r w:rsidR="001048BA" w:rsidRPr="00241FAC">
        <w:rPr>
          <w:rFonts w:cs="Arial"/>
        </w:rPr>
        <w:t xml:space="preserve">tiene presente </w:t>
      </w:r>
      <w:r w:rsidR="002966C1" w:rsidRPr="00241FAC">
        <w:rPr>
          <w:rFonts w:cs="Arial"/>
        </w:rPr>
        <w:t xml:space="preserve">que el comerciante puede verse enfrentado a </w:t>
      </w:r>
      <w:r w:rsidR="00BB4205" w:rsidRPr="00241FAC">
        <w:rPr>
          <w:rFonts w:cs="Arial"/>
        </w:rPr>
        <w:t xml:space="preserve">eventos </w:t>
      </w:r>
      <w:r w:rsidR="002966C1" w:rsidRPr="00241FAC">
        <w:rPr>
          <w:rFonts w:cs="Arial"/>
        </w:rPr>
        <w:t xml:space="preserve">calificados con la </w:t>
      </w:r>
      <w:r w:rsidR="00BB4205" w:rsidRPr="00241FAC">
        <w:rPr>
          <w:rFonts w:cs="Arial"/>
        </w:rPr>
        <w:t xml:space="preserve">ineficacia probatoria </w:t>
      </w:r>
      <w:r w:rsidR="002966C1" w:rsidRPr="00241FAC">
        <w:rPr>
          <w:rFonts w:cs="Arial"/>
        </w:rPr>
        <w:t xml:space="preserve">o a casos en que el </w:t>
      </w:r>
      <w:r w:rsidR="00BB4205" w:rsidRPr="00241FAC">
        <w:rPr>
          <w:rFonts w:cs="Arial"/>
        </w:rPr>
        <w:t xml:space="preserve">valor probatorio </w:t>
      </w:r>
      <w:r w:rsidR="002966C1" w:rsidRPr="00241FAC">
        <w:rPr>
          <w:rFonts w:cs="Arial"/>
        </w:rPr>
        <w:t xml:space="preserve">de la contabilidad obra </w:t>
      </w:r>
      <w:r w:rsidR="00BB4205" w:rsidRPr="00241FAC">
        <w:rPr>
          <w:rFonts w:cs="Arial"/>
        </w:rPr>
        <w:t xml:space="preserve">en </w:t>
      </w:r>
      <w:r w:rsidR="00F13A73" w:rsidRPr="00241FAC">
        <w:rPr>
          <w:rFonts w:cs="Arial"/>
        </w:rPr>
        <w:t xml:space="preserve">su </w:t>
      </w:r>
      <w:r w:rsidR="00BB4205" w:rsidRPr="00241FAC">
        <w:rPr>
          <w:rFonts w:cs="Arial"/>
        </w:rPr>
        <w:t xml:space="preserve">contra, </w:t>
      </w:r>
      <w:r w:rsidR="00663011" w:rsidRPr="00241FAC">
        <w:rPr>
          <w:rFonts w:cs="Arial"/>
        </w:rPr>
        <w:t xml:space="preserve">tal como lo ha reconocido reiteradamente la Sección Tercera del Consejo de Estado, </w:t>
      </w:r>
      <w:r w:rsidR="009A5B50" w:rsidRPr="00241FAC">
        <w:rPr>
          <w:rFonts w:cs="Arial"/>
        </w:rPr>
        <w:t xml:space="preserve">según se </w:t>
      </w:r>
      <w:r w:rsidR="00625EBB" w:rsidRPr="00241FAC">
        <w:rPr>
          <w:rFonts w:cs="Arial"/>
        </w:rPr>
        <w:t xml:space="preserve">encuentra expuesto en </w:t>
      </w:r>
      <w:r w:rsidR="009A5B50" w:rsidRPr="00241FAC">
        <w:rPr>
          <w:rFonts w:cs="Arial"/>
        </w:rPr>
        <w:t>la siguiente providencia:</w:t>
      </w:r>
    </w:p>
    <w:p w:rsidR="009A5B50" w:rsidRPr="00241FAC" w:rsidRDefault="009A5B50" w:rsidP="00E51E1B">
      <w:pPr>
        <w:rPr>
          <w:rFonts w:cs="Arial"/>
        </w:rPr>
      </w:pPr>
    </w:p>
    <w:p w:rsidR="009A5B50" w:rsidRPr="00241FAC" w:rsidRDefault="00625EBB" w:rsidP="009A5B50">
      <w:pPr>
        <w:pStyle w:val="Sangra2detindependiente2"/>
        <w:ind w:left="851" w:right="567"/>
        <w:rPr>
          <w:rFonts w:cs="Arial"/>
          <w:i/>
          <w:szCs w:val="24"/>
        </w:rPr>
      </w:pPr>
      <w:r w:rsidRPr="00241FAC">
        <w:rPr>
          <w:rFonts w:cs="Arial"/>
          <w:i/>
          <w:szCs w:val="24"/>
        </w:rPr>
        <w:lastRenderedPageBreak/>
        <w:t>“</w:t>
      </w:r>
      <w:r w:rsidR="009A5B50" w:rsidRPr="00241FAC">
        <w:rPr>
          <w:rFonts w:cs="Arial"/>
          <w:i/>
          <w:szCs w:val="24"/>
        </w:rPr>
        <w:t>La jurisprudencia del Consejo de Estado ha sido reiterada en aplicar las disposiciones de los artículos 48 y siguientes del Código de Comercio para reconocer las pruebas aportadas con base en la contabilidad del comerciante y en exigir el cumplimiento de la regulación respectiva para aquellos soportes allegados como pruebas, sin perjuicio de admitir la prueba contable complementada por otros medios idóneos, cuando la contabilidad se lleva en debida forma.</w:t>
      </w:r>
    </w:p>
    <w:p w:rsidR="009A5B50" w:rsidRPr="00241FAC" w:rsidRDefault="009A5B50" w:rsidP="009A5B50">
      <w:pPr>
        <w:pStyle w:val="Sangra2detindependiente2"/>
        <w:ind w:left="851" w:right="567"/>
        <w:rPr>
          <w:rFonts w:cs="Arial"/>
          <w:i/>
          <w:szCs w:val="24"/>
        </w:rPr>
      </w:pPr>
    </w:p>
    <w:p w:rsidR="009A5B50" w:rsidRPr="00241FAC" w:rsidRDefault="009A5B50" w:rsidP="009A5B50">
      <w:pPr>
        <w:pStyle w:val="Sangra2detindependiente2"/>
        <w:ind w:left="851" w:right="567"/>
        <w:rPr>
          <w:rFonts w:cs="Arial"/>
          <w:i/>
          <w:szCs w:val="24"/>
        </w:rPr>
      </w:pPr>
      <w:r w:rsidRPr="00241FAC">
        <w:rPr>
          <w:rFonts w:cs="Arial"/>
          <w:i/>
          <w:szCs w:val="24"/>
        </w:rPr>
        <w:t>Ahora bien, el artículo 70 del Código de Comercio establece la valoración de la prueba de la contabilidad del comerciante cuando éste no lleva los libros, los oculta o los lleva irregularmente, caso en el cual de conformidad con el numeral 3 de la disposición citada, el Juez puede decidir conforme a los registros contables de la contraparte, salvo que el contratista aduzca plena prueba de los hechos.</w:t>
      </w:r>
    </w:p>
    <w:p w:rsidR="009A5B50" w:rsidRPr="00241FAC" w:rsidRDefault="009A5B50" w:rsidP="009A5B50">
      <w:pPr>
        <w:pStyle w:val="Sangra2detindependiente2"/>
        <w:ind w:left="851" w:right="567"/>
        <w:rPr>
          <w:rFonts w:cs="Arial"/>
          <w:i/>
          <w:szCs w:val="24"/>
        </w:rPr>
      </w:pPr>
    </w:p>
    <w:p w:rsidR="009A5B50" w:rsidRPr="00241FAC" w:rsidRDefault="009A5B50" w:rsidP="009A5B50">
      <w:pPr>
        <w:pStyle w:val="Sangra2detindependiente2"/>
        <w:ind w:left="851" w:right="567"/>
        <w:rPr>
          <w:rFonts w:cs="Arial"/>
          <w:i/>
          <w:szCs w:val="24"/>
        </w:rPr>
      </w:pPr>
      <w:r w:rsidRPr="00241FAC">
        <w:rPr>
          <w:rFonts w:cs="Arial"/>
          <w:i/>
          <w:szCs w:val="24"/>
        </w:rPr>
        <w:t xml:space="preserve">Otra situación probatoria regulada en la ley en forma diferente a la mencionada en el artículo 70 del Código de Comercio es la prevista </w:t>
      </w:r>
      <w:r w:rsidR="0052509D" w:rsidRPr="00241FAC">
        <w:rPr>
          <w:rFonts w:cs="Arial"/>
          <w:i/>
          <w:szCs w:val="24"/>
        </w:rPr>
        <w:t xml:space="preserve">en </w:t>
      </w:r>
      <w:r w:rsidRPr="00241FAC">
        <w:rPr>
          <w:rFonts w:cs="Arial"/>
          <w:i/>
          <w:szCs w:val="24"/>
        </w:rPr>
        <w:t>los artículos 57, 58 y 59 del mismo Código que contemplan el caso de los libros de contabilidad alterados, con espacios para facilitar intercalaciones, borrados o tachados, y el evento de los asientos contables que se encuentran sin la debida correspondencia en los comprobantes de respaldo, siendo esto último lo que se encontró probado en el sub lite, tal como se hizo constar por los peritos con base en la diligencia de inspección judicial practicada a la contabilidad del demandante, quien exhibió al margen de su contabilidad registrada, diversos comprobantes de egreso no incluidos en su contabilidad, sin los soportes respectivos y de acuerdo con la normativa del Código de Comercio se debe aplicar la sanción para el comerciante de la ineficacia probatoria de lo que pretende acreditar a su favor, de manera que en este caso no se admite al demandante probar como perjuicios los egresos no registrados en la contabilidad por otro medio de prueba distinto y por ello la Sala no puede aceptar los comprobantes así entregados por el demandante por lo cual se abstendrá de considerarlos como base para acreditar un eventual perjuicio.</w:t>
      </w:r>
    </w:p>
    <w:p w:rsidR="009A5B50" w:rsidRPr="00241FAC" w:rsidRDefault="009A5B50" w:rsidP="009A5B50">
      <w:pPr>
        <w:pStyle w:val="Sangra2detindependiente2"/>
        <w:ind w:left="851" w:right="567"/>
        <w:rPr>
          <w:rFonts w:cs="Arial"/>
          <w:i/>
          <w:szCs w:val="24"/>
        </w:rPr>
      </w:pPr>
    </w:p>
    <w:p w:rsidR="009A5B50" w:rsidRPr="00241FAC" w:rsidRDefault="009A5B50" w:rsidP="009A5B50">
      <w:pPr>
        <w:pStyle w:val="Sangra2detindependiente2"/>
        <w:ind w:left="851" w:right="567"/>
        <w:rPr>
          <w:rFonts w:cs="Arial"/>
          <w:i/>
          <w:szCs w:val="24"/>
        </w:rPr>
      </w:pPr>
      <w:r w:rsidRPr="00241FAC">
        <w:rPr>
          <w:rFonts w:cs="Arial"/>
          <w:i/>
          <w:szCs w:val="24"/>
        </w:rPr>
        <w:t>Al margen se agrega que el artículo 74 del Código de Comercio contempla la sanción para el caso en que el comerciante lleve doble contabilidad, o sea dos o más libros iguales en los que registre en forma diferente o distintos comprobantes sobre los mismos hechos, caso en el cual los libros y papeles “solo tendrán valor en su contra”</w:t>
      </w:r>
      <w:r w:rsidR="00BF1502" w:rsidRPr="00241FAC">
        <w:rPr>
          <w:rStyle w:val="Refdenotaalpie"/>
          <w:rFonts w:cs="Arial"/>
          <w:i/>
          <w:szCs w:val="24"/>
        </w:rPr>
        <w:footnoteReference w:id="57"/>
      </w:r>
      <w:r w:rsidRPr="00241FAC">
        <w:rPr>
          <w:rFonts w:cs="Arial"/>
          <w:i/>
          <w:szCs w:val="24"/>
        </w:rPr>
        <w:t>.</w:t>
      </w:r>
    </w:p>
    <w:p w:rsidR="00BE2EDE" w:rsidRPr="00241FAC" w:rsidRDefault="00BE2EDE" w:rsidP="009A5B50">
      <w:pPr>
        <w:pStyle w:val="Sangra2detindependiente2"/>
        <w:ind w:left="851" w:right="567"/>
        <w:rPr>
          <w:rFonts w:cs="Arial"/>
          <w:i/>
          <w:szCs w:val="24"/>
        </w:rPr>
      </w:pPr>
    </w:p>
    <w:p w:rsidR="009861C4" w:rsidRPr="00241FAC" w:rsidRDefault="009861C4" w:rsidP="00E51E1B">
      <w:pPr>
        <w:rPr>
          <w:rFonts w:cs="Arial"/>
        </w:rPr>
      </w:pPr>
      <w:r w:rsidRPr="00241FAC">
        <w:rPr>
          <w:rFonts w:cs="Arial"/>
        </w:rPr>
        <w:t>Por lo tanto, la Sala considera que la proponente no demostró el capital de trabajo requerido para acceder al puntaje por el factor de la calificación financiera distinguido como Nivel 7 en el Pliego de Condiciones y en ese sentido no tenía derecho a los</w:t>
      </w:r>
      <w:r w:rsidR="00B6390D" w:rsidRPr="00241FAC">
        <w:rPr>
          <w:rFonts w:cs="Arial"/>
        </w:rPr>
        <w:t xml:space="preserve"> </w:t>
      </w:r>
      <w:r w:rsidRPr="00241FAC">
        <w:rPr>
          <w:rFonts w:cs="Arial"/>
        </w:rPr>
        <w:t>130 puntos que alegó, ni menos aún al máximo puntaje de 200 puntos invocado en la demanda.</w:t>
      </w:r>
    </w:p>
    <w:p w:rsidR="009861C4" w:rsidRPr="00241FAC" w:rsidRDefault="009A6B91" w:rsidP="00E51E1B">
      <w:pPr>
        <w:rPr>
          <w:rFonts w:cs="Arial"/>
          <w:i/>
        </w:rPr>
      </w:pPr>
      <w:r w:rsidRPr="00241FAC">
        <w:rPr>
          <w:rFonts w:cs="Arial"/>
        </w:rPr>
        <w:lastRenderedPageBreak/>
        <w:t xml:space="preserve">Todo cuanto se ha expuesto llevará a </w:t>
      </w:r>
      <w:r w:rsidR="009861C4" w:rsidRPr="00241FAC">
        <w:rPr>
          <w:rFonts w:cs="Arial"/>
        </w:rPr>
        <w:t xml:space="preserve">confirmar la sentencia impugnada, aunque </w:t>
      </w:r>
      <w:r w:rsidR="009B681A" w:rsidRPr="00241FAC">
        <w:rPr>
          <w:rFonts w:cs="Arial"/>
        </w:rPr>
        <w:t xml:space="preserve">con fundamento en algunas consideraciones adicionales y </w:t>
      </w:r>
      <w:r w:rsidR="009861C4" w:rsidRPr="00241FAC">
        <w:rPr>
          <w:rFonts w:cs="Arial"/>
        </w:rPr>
        <w:t xml:space="preserve">distintas </w:t>
      </w:r>
      <w:r w:rsidR="009B681A" w:rsidRPr="00241FAC">
        <w:rPr>
          <w:rFonts w:cs="Arial"/>
        </w:rPr>
        <w:t>de</w:t>
      </w:r>
      <w:r w:rsidR="009861C4" w:rsidRPr="00241FAC">
        <w:rPr>
          <w:rFonts w:cs="Arial"/>
        </w:rPr>
        <w:t xml:space="preserve"> las que tuvo en cuenta el Tribunal </w:t>
      </w:r>
      <w:r w:rsidR="009861C4" w:rsidRPr="00241FAC">
        <w:rPr>
          <w:rFonts w:cs="Arial"/>
          <w:i/>
        </w:rPr>
        <w:t>a quo</w:t>
      </w:r>
      <w:r w:rsidR="009B681A" w:rsidRPr="00241FAC">
        <w:rPr>
          <w:rFonts w:cs="Arial"/>
          <w:i/>
        </w:rPr>
        <w:t xml:space="preserve">, </w:t>
      </w:r>
      <w:r w:rsidR="009B681A" w:rsidRPr="00241FAC">
        <w:rPr>
          <w:rFonts w:cs="Arial"/>
        </w:rPr>
        <w:t>según se ha exp</w:t>
      </w:r>
      <w:r w:rsidRPr="00241FAC">
        <w:rPr>
          <w:rFonts w:cs="Arial"/>
        </w:rPr>
        <w:t>licado en detalle.</w:t>
      </w:r>
    </w:p>
    <w:p w:rsidR="009861C4" w:rsidRPr="00241FAC" w:rsidRDefault="009861C4" w:rsidP="00E51E1B">
      <w:pPr>
        <w:rPr>
          <w:rFonts w:cs="Arial"/>
        </w:rPr>
      </w:pPr>
    </w:p>
    <w:p w:rsidR="009861C4" w:rsidRPr="00241FAC" w:rsidRDefault="006F5381" w:rsidP="009861C4">
      <w:pPr>
        <w:spacing w:line="240" w:lineRule="auto"/>
        <w:rPr>
          <w:rFonts w:cs="Arial"/>
          <w:b/>
        </w:rPr>
      </w:pPr>
      <w:r w:rsidRPr="00241FAC">
        <w:rPr>
          <w:rFonts w:cs="Arial"/>
          <w:b/>
        </w:rPr>
        <w:t>7.3.</w:t>
      </w:r>
      <w:r w:rsidRPr="00241FAC">
        <w:rPr>
          <w:rFonts w:cs="Arial"/>
          <w:b/>
        </w:rPr>
        <w:tab/>
      </w:r>
      <w:r w:rsidR="009861C4" w:rsidRPr="00241FAC">
        <w:rPr>
          <w:rFonts w:cs="Arial"/>
          <w:b/>
        </w:rPr>
        <w:t xml:space="preserve"> La prueba de la experiencia del personal asignado.</w:t>
      </w:r>
    </w:p>
    <w:p w:rsidR="009861C4" w:rsidRPr="00241FAC" w:rsidRDefault="009861C4" w:rsidP="009861C4">
      <w:pPr>
        <w:spacing w:line="240" w:lineRule="auto"/>
        <w:rPr>
          <w:rFonts w:cs="Arial"/>
        </w:rPr>
      </w:pPr>
    </w:p>
    <w:p w:rsidR="009861C4" w:rsidRPr="00241FAC" w:rsidRDefault="009861C4" w:rsidP="001C5898">
      <w:pPr>
        <w:rPr>
          <w:rFonts w:cs="Arial"/>
        </w:rPr>
      </w:pPr>
      <w:r w:rsidRPr="00241FAC">
        <w:rPr>
          <w:rFonts w:cs="Arial"/>
        </w:rPr>
        <w:t xml:space="preserve">La parte demandante indicó en la demanda que en el denominado Nivel 5 </w:t>
      </w:r>
      <w:r w:rsidR="009A6B91" w:rsidRPr="00241FAC">
        <w:rPr>
          <w:rFonts w:cs="Arial"/>
        </w:rPr>
        <w:t xml:space="preserve">de los factores de calificación </w:t>
      </w:r>
      <w:r w:rsidRPr="00241FAC">
        <w:rPr>
          <w:rFonts w:cs="Arial"/>
        </w:rPr>
        <w:t>se le han debido asignar 30 puntos más por la experiencia de uno de sus profesionales –</w:t>
      </w:r>
      <w:r w:rsidR="00F13A73" w:rsidRPr="00241FAC">
        <w:rPr>
          <w:rFonts w:cs="Arial"/>
        </w:rPr>
        <w:t>e</w:t>
      </w:r>
      <w:r w:rsidRPr="00241FAC">
        <w:rPr>
          <w:rFonts w:cs="Arial"/>
        </w:rPr>
        <w:t xml:space="preserve">l Director de </w:t>
      </w:r>
      <w:r w:rsidR="00F13A73" w:rsidRPr="00241FAC">
        <w:rPr>
          <w:rFonts w:cs="Arial"/>
        </w:rPr>
        <w:t>o</w:t>
      </w:r>
      <w:r w:rsidRPr="00241FAC">
        <w:rPr>
          <w:rFonts w:cs="Arial"/>
        </w:rPr>
        <w:t>bra-, la cual pretendió acreditar con la copia de un contrato que fue desconocido por la entidad contratante,</w:t>
      </w:r>
      <w:r w:rsidR="001C5898" w:rsidRPr="00241FAC">
        <w:rPr>
          <w:rFonts w:cs="Arial"/>
        </w:rPr>
        <w:t xml:space="preserve"> como fundamento para la calificación respectiva.</w:t>
      </w:r>
    </w:p>
    <w:p w:rsidR="009861C4" w:rsidRPr="00241FAC" w:rsidRDefault="009861C4" w:rsidP="001C5898">
      <w:pPr>
        <w:rPr>
          <w:rFonts w:cs="Arial"/>
        </w:rPr>
      </w:pPr>
    </w:p>
    <w:p w:rsidR="007062CE" w:rsidRPr="00241FAC" w:rsidRDefault="001C5898" w:rsidP="00586FD6">
      <w:pPr>
        <w:rPr>
          <w:rFonts w:cs="Arial"/>
        </w:rPr>
      </w:pPr>
      <w:r w:rsidRPr="00241FAC">
        <w:rPr>
          <w:rFonts w:cs="Arial"/>
        </w:rPr>
        <w:t xml:space="preserve">El Municipio de Purificación </w:t>
      </w:r>
      <w:r w:rsidR="009861C4" w:rsidRPr="00241FAC">
        <w:rPr>
          <w:rFonts w:cs="Arial"/>
        </w:rPr>
        <w:t xml:space="preserve">se fundó en la ausencia de la certificación exigida en el Pliego de Condiciones, tal como hizo constar en la carta de septiembre 28 de 2000 leída en la Audiencia de Adjudicación de la misma fecha, consideración que se encuentra ajustada al numeral 27 del Capítulo III del Pliego de Condiciones </w:t>
      </w:r>
      <w:r w:rsidR="00CC7A5F" w:rsidRPr="00241FAC">
        <w:rPr>
          <w:rFonts w:cs="Arial"/>
        </w:rPr>
        <w:t xml:space="preserve">referido a la Experiencia Nivel 5, en cuyo párrafo inicial </w:t>
      </w:r>
      <w:r w:rsidR="009861C4" w:rsidRPr="00241FAC">
        <w:rPr>
          <w:rFonts w:cs="Arial"/>
        </w:rPr>
        <w:t xml:space="preserve">textualmente </w:t>
      </w:r>
      <w:r w:rsidR="007062CE" w:rsidRPr="00241FAC">
        <w:rPr>
          <w:rFonts w:cs="Arial"/>
        </w:rPr>
        <w:t xml:space="preserve">se </w:t>
      </w:r>
      <w:r w:rsidR="00AD5294" w:rsidRPr="00241FAC">
        <w:rPr>
          <w:rFonts w:cs="Arial"/>
        </w:rPr>
        <w:t xml:space="preserve">requirió </w:t>
      </w:r>
      <w:r w:rsidR="009861C4" w:rsidRPr="00241FAC">
        <w:rPr>
          <w:rFonts w:cs="Arial"/>
          <w:i/>
        </w:rPr>
        <w:t>“presentar certificación de experiencia</w:t>
      </w:r>
      <w:r w:rsidR="009861C4" w:rsidRPr="00241FAC">
        <w:rPr>
          <w:rFonts w:cs="Arial"/>
        </w:rPr>
        <w:t>”</w:t>
      </w:r>
      <w:r w:rsidR="00CC7A5F" w:rsidRPr="00241FAC">
        <w:rPr>
          <w:rFonts w:cs="Arial"/>
        </w:rPr>
        <w:t xml:space="preserve"> (folio 25, cuaderno 6). </w:t>
      </w:r>
    </w:p>
    <w:p w:rsidR="007062CE" w:rsidRPr="00241FAC" w:rsidRDefault="007062CE" w:rsidP="00586FD6">
      <w:pPr>
        <w:rPr>
          <w:rFonts w:cs="Arial"/>
        </w:rPr>
      </w:pPr>
    </w:p>
    <w:p w:rsidR="009861C4" w:rsidRPr="00241FAC" w:rsidRDefault="00CC7A5F" w:rsidP="00586FD6">
      <w:pPr>
        <w:rPr>
          <w:rFonts w:cs="Arial"/>
        </w:rPr>
      </w:pPr>
      <w:r w:rsidRPr="00241FAC">
        <w:rPr>
          <w:rFonts w:cs="Arial"/>
        </w:rPr>
        <w:t xml:space="preserve">Adicionalmente </w:t>
      </w:r>
      <w:r w:rsidR="003C2B0F" w:rsidRPr="00241FAC">
        <w:rPr>
          <w:rFonts w:cs="Arial"/>
        </w:rPr>
        <w:t>esta consideración fue debidamente razonada</w:t>
      </w:r>
      <w:r w:rsidR="009861C4" w:rsidRPr="00241FAC">
        <w:rPr>
          <w:rFonts w:cs="Arial"/>
        </w:rPr>
        <w:t>, teniendo en cuenta que el contrato aportado no dio fe de su ejecución y. por lo tanto, no p</w:t>
      </w:r>
      <w:r w:rsidR="003C2B0F" w:rsidRPr="00241FAC">
        <w:rPr>
          <w:rFonts w:cs="Arial"/>
        </w:rPr>
        <w:t xml:space="preserve">odía </w:t>
      </w:r>
      <w:r w:rsidR="009861C4" w:rsidRPr="00241FAC">
        <w:rPr>
          <w:rFonts w:cs="Arial"/>
        </w:rPr>
        <w:t>ser asimilado a la referida certificación.</w:t>
      </w:r>
    </w:p>
    <w:p w:rsidR="009861C4" w:rsidRPr="00241FAC" w:rsidRDefault="009861C4" w:rsidP="009861C4">
      <w:pPr>
        <w:spacing w:line="240" w:lineRule="auto"/>
        <w:rPr>
          <w:rFonts w:cs="Arial"/>
        </w:rPr>
      </w:pPr>
    </w:p>
    <w:p w:rsidR="009861C4" w:rsidRPr="00241FAC" w:rsidRDefault="00F13A73" w:rsidP="007062CE">
      <w:pPr>
        <w:rPr>
          <w:rFonts w:cs="Arial"/>
        </w:rPr>
      </w:pPr>
      <w:r w:rsidRPr="00241FAC">
        <w:rPr>
          <w:rFonts w:cs="Arial"/>
        </w:rPr>
        <w:t xml:space="preserve">En cuanto el </w:t>
      </w:r>
      <w:r w:rsidR="009861C4" w:rsidRPr="00241FAC">
        <w:rPr>
          <w:rFonts w:cs="Arial"/>
        </w:rPr>
        <w:t xml:space="preserve">Pliego de Condiciones </w:t>
      </w:r>
      <w:r w:rsidRPr="00241FAC">
        <w:rPr>
          <w:rFonts w:cs="Arial"/>
        </w:rPr>
        <w:t xml:space="preserve">como </w:t>
      </w:r>
      <w:r w:rsidR="009861C4" w:rsidRPr="00241FAC">
        <w:rPr>
          <w:rFonts w:cs="Arial"/>
        </w:rPr>
        <w:t>Ley del Contrato</w:t>
      </w:r>
      <w:r w:rsidR="00062AE2" w:rsidRPr="00241FAC">
        <w:rPr>
          <w:rFonts w:cs="Arial"/>
        </w:rPr>
        <w:t>,</w:t>
      </w:r>
      <w:r w:rsidR="009861C4" w:rsidRPr="00241FAC">
        <w:rPr>
          <w:rFonts w:cs="Arial"/>
        </w:rPr>
        <w:t xml:space="preserve"> </w:t>
      </w:r>
      <w:r w:rsidRPr="00241FAC">
        <w:rPr>
          <w:rFonts w:cs="Arial"/>
        </w:rPr>
        <w:t xml:space="preserve">incorporó </w:t>
      </w:r>
      <w:r w:rsidR="003C2B0F" w:rsidRPr="00241FAC">
        <w:rPr>
          <w:rFonts w:cs="Arial"/>
        </w:rPr>
        <w:t>una regla simple</w:t>
      </w:r>
      <w:r w:rsidR="00062AE2" w:rsidRPr="00241FAC">
        <w:rPr>
          <w:rFonts w:cs="Arial"/>
        </w:rPr>
        <w:t xml:space="preserve">, </w:t>
      </w:r>
      <w:r w:rsidR="003C2B0F" w:rsidRPr="00241FAC">
        <w:rPr>
          <w:rFonts w:cs="Arial"/>
        </w:rPr>
        <w:t xml:space="preserve">pero </w:t>
      </w:r>
      <w:r w:rsidR="009861C4" w:rsidRPr="00241FAC">
        <w:rPr>
          <w:rFonts w:cs="Arial"/>
        </w:rPr>
        <w:t>clara y completa en este punto y</w:t>
      </w:r>
      <w:r w:rsidR="00A94114" w:rsidRPr="00241FAC">
        <w:rPr>
          <w:rFonts w:cs="Arial"/>
        </w:rPr>
        <w:t xml:space="preserve"> dado que se ha establecido que </w:t>
      </w:r>
      <w:r w:rsidR="00062AE2" w:rsidRPr="00241FAC">
        <w:rPr>
          <w:rFonts w:cs="Arial"/>
        </w:rPr>
        <w:t xml:space="preserve">la misma se aplicó de manera </w:t>
      </w:r>
      <w:r w:rsidR="009861C4" w:rsidRPr="00241FAC">
        <w:rPr>
          <w:rFonts w:cs="Arial"/>
        </w:rPr>
        <w:t>uniforme a todos los proponentes, no hay lugar a ninguna consideración adicional.</w:t>
      </w:r>
    </w:p>
    <w:p w:rsidR="009861C4" w:rsidRPr="00241FAC" w:rsidRDefault="009861C4" w:rsidP="009861C4">
      <w:pPr>
        <w:spacing w:line="240" w:lineRule="auto"/>
        <w:rPr>
          <w:rFonts w:cs="Arial"/>
        </w:rPr>
      </w:pPr>
    </w:p>
    <w:p w:rsidR="009861C4" w:rsidRPr="00241FAC" w:rsidRDefault="006F5381" w:rsidP="009861C4">
      <w:pPr>
        <w:spacing w:line="240" w:lineRule="auto"/>
        <w:rPr>
          <w:rFonts w:cs="Arial"/>
          <w:b/>
        </w:rPr>
      </w:pPr>
      <w:r w:rsidRPr="00241FAC">
        <w:rPr>
          <w:rFonts w:cs="Arial"/>
          <w:b/>
        </w:rPr>
        <w:t>7.4.</w:t>
      </w:r>
      <w:r w:rsidRPr="00241FAC">
        <w:rPr>
          <w:rFonts w:cs="Arial"/>
          <w:b/>
        </w:rPr>
        <w:tab/>
      </w:r>
      <w:r w:rsidR="009861C4" w:rsidRPr="00241FAC">
        <w:rPr>
          <w:rFonts w:cs="Arial"/>
          <w:b/>
        </w:rPr>
        <w:t xml:space="preserve"> La calificación del Consorcio Luis E. Gómez y otro.</w:t>
      </w:r>
    </w:p>
    <w:p w:rsidR="009861C4" w:rsidRPr="00241FAC" w:rsidRDefault="009861C4" w:rsidP="009861C4">
      <w:pPr>
        <w:spacing w:line="240" w:lineRule="auto"/>
        <w:rPr>
          <w:rFonts w:cs="Arial"/>
        </w:rPr>
      </w:pPr>
    </w:p>
    <w:p w:rsidR="009861C4" w:rsidRPr="00241FAC" w:rsidRDefault="009861C4" w:rsidP="00164819">
      <w:pPr>
        <w:rPr>
          <w:rFonts w:cs="Arial"/>
        </w:rPr>
      </w:pPr>
      <w:r w:rsidRPr="00241FAC">
        <w:rPr>
          <w:rFonts w:cs="Arial"/>
        </w:rPr>
        <w:t>Tal como quedó aclarado en este proceso, la calificación del Consorcio Luis E. Gómez y otro</w:t>
      </w:r>
      <w:r w:rsidR="00AE2715" w:rsidRPr="00241FAC">
        <w:rPr>
          <w:rFonts w:cs="Arial"/>
        </w:rPr>
        <w:t>,</w:t>
      </w:r>
      <w:r w:rsidRPr="00241FAC">
        <w:rPr>
          <w:rFonts w:cs="Arial"/>
        </w:rPr>
        <w:t xml:space="preserve"> por concepto de</w:t>
      </w:r>
      <w:r w:rsidR="00A94114" w:rsidRPr="00241FAC">
        <w:rPr>
          <w:rFonts w:cs="Arial"/>
        </w:rPr>
        <w:t xml:space="preserve">l </w:t>
      </w:r>
      <w:proofErr w:type="spellStart"/>
      <w:r w:rsidR="00A94114" w:rsidRPr="00241FAC">
        <w:rPr>
          <w:rFonts w:cs="Arial"/>
        </w:rPr>
        <w:t>subítem</w:t>
      </w:r>
      <w:proofErr w:type="spellEnd"/>
      <w:r w:rsidR="00A94114" w:rsidRPr="00241FAC">
        <w:rPr>
          <w:rFonts w:cs="Arial"/>
        </w:rPr>
        <w:t xml:space="preserve"> de</w:t>
      </w:r>
      <w:r w:rsidRPr="00241FAC">
        <w:rPr>
          <w:rFonts w:cs="Arial"/>
        </w:rPr>
        <w:t xml:space="preserve"> ejecución de obra en el Nivel </w:t>
      </w:r>
      <w:r w:rsidR="00DE3E88" w:rsidRPr="00241FAC">
        <w:rPr>
          <w:rFonts w:cs="Arial"/>
        </w:rPr>
        <w:t>2</w:t>
      </w:r>
      <w:r w:rsidRPr="00241FAC">
        <w:rPr>
          <w:rFonts w:cs="Arial"/>
        </w:rPr>
        <w:t xml:space="preserve">, fue de cero puntos, </w:t>
      </w:r>
      <w:r w:rsidR="007062CE" w:rsidRPr="00241FAC">
        <w:rPr>
          <w:rFonts w:cs="Arial"/>
        </w:rPr>
        <w:t xml:space="preserve">según se </w:t>
      </w:r>
      <w:r w:rsidRPr="00241FAC">
        <w:rPr>
          <w:rFonts w:cs="Arial"/>
        </w:rPr>
        <w:t>corroboró con el resumen general de calificaciones</w:t>
      </w:r>
      <w:r w:rsidR="007062CE" w:rsidRPr="00241FAC">
        <w:rPr>
          <w:rFonts w:cs="Arial"/>
        </w:rPr>
        <w:t xml:space="preserve"> (</w:t>
      </w:r>
      <w:r w:rsidRPr="00241FAC">
        <w:rPr>
          <w:rFonts w:cs="Arial"/>
        </w:rPr>
        <w:t>folio 22 del cuaderno 1</w:t>
      </w:r>
      <w:r w:rsidR="007062CE" w:rsidRPr="00241FAC">
        <w:rPr>
          <w:rFonts w:cs="Arial"/>
        </w:rPr>
        <w:t>)</w:t>
      </w:r>
      <w:r w:rsidRPr="00241FAC">
        <w:rPr>
          <w:rFonts w:cs="Arial"/>
        </w:rPr>
        <w:t xml:space="preserve"> y no de 110 puntos como indicó inicialmente la parte demandante.</w:t>
      </w:r>
    </w:p>
    <w:p w:rsidR="00A94114" w:rsidRPr="00241FAC" w:rsidRDefault="00A94114" w:rsidP="00164819">
      <w:pPr>
        <w:rPr>
          <w:rFonts w:cs="Arial"/>
        </w:rPr>
      </w:pPr>
    </w:p>
    <w:p w:rsidR="00BF7A62" w:rsidRPr="00241FAC" w:rsidRDefault="00A94114" w:rsidP="00164819">
      <w:pPr>
        <w:rPr>
          <w:rFonts w:cs="Arial"/>
        </w:rPr>
      </w:pPr>
      <w:r w:rsidRPr="00241FAC">
        <w:rPr>
          <w:rFonts w:cs="Arial"/>
        </w:rPr>
        <w:t xml:space="preserve">En efecto la calificación del Nivel </w:t>
      </w:r>
      <w:r w:rsidR="00DE3E88" w:rsidRPr="00241FAC">
        <w:rPr>
          <w:rFonts w:cs="Arial"/>
        </w:rPr>
        <w:t>2</w:t>
      </w:r>
      <w:r w:rsidRPr="00241FAC">
        <w:rPr>
          <w:rFonts w:cs="Arial"/>
        </w:rPr>
        <w:t xml:space="preserve"> para el mencionado Consorcio </w:t>
      </w:r>
      <w:r w:rsidR="00BF7A62" w:rsidRPr="00241FAC">
        <w:rPr>
          <w:rFonts w:cs="Arial"/>
        </w:rPr>
        <w:t>se desagregó de la siguiente manera:</w:t>
      </w:r>
    </w:p>
    <w:p w:rsidR="002277E4" w:rsidRPr="00241FAC" w:rsidRDefault="002277E4" w:rsidP="00164819">
      <w:pPr>
        <w:rPr>
          <w:rFonts w:cs="Arial"/>
        </w:rPr>
      </w:pPr>
    </w:p>
    <w:tbl>
      <w:tblPr>
        <w:tblStyle w:val="Tablaconcuadrcula"/>
        <w:tblW w:w="0" w:type="auto"/>
        <w:tblLook w:val="04A0" w:firstRow="1" w:lastRow="0" w:firstColumn="1" w:lastColumn="0" w:noHBand="0" w:noVBand="1"/>
      </w:tblPr>
      <w:tblGrid>
        <w:gridCol w:w="4644"/>
        <w:gridCol w:w="4001"/>
      </w:tblGrid>
      <w:tr w:rsidR="002277E4" w:rsidRPr="00241FAC" w:rsidTr="009C1707">
        <w:tc>
          <w:tcPr>
            <w:tcW w:w="4644" w:type="dxa"/>
          </w:tcPr>
          <w:p w:rsidR="002277E4" w:rsidRPr="00241FAC" w:rsidRDefault="002277E4" w:rsidP="00CA2580">
            <w:pPr>
              <w:jc w:val="left"/>
              <w:rPr>
                <w:rFonts w:cs="Arial"/>
              </w:rPr>
            </w:pPr>
            <w:r w:rsidRPr="00241FAC">
              <w:rPr>
                <w:rFonts w:cs="Arial"/>
              </w:rPr>
              <w:lastRenderedPageBreak/>
              <w:t xml:space="preserve">Nivel 2 PROGRAMACION DE OBRA </w:t>
            </w:r>
          </w:p>
        </w:tc>
        <w:tc>
          <w:tcPr>
            <w:tcW w:w="4001" w:type="dxa"/>
          </w:tcPr>
          <w:p w:rsidR="002277E4" w:rsidRPr="00241FAC" w:rsidRDefault="002277E4" w:rsidP="009C1707">
            <w:pPr>
              <w:ind w:left="-108"/>
              <w:jc w:val="right"/>
              <w:rPr>
                <w:rFonts w:cs="Arial"/>
              </w:rPr>
            </w:pPr>
            <w:r w:rsidRPr="00241FAC">
              <w:rPr>
                <w:rFonts w:cs="Arial"/>
              </w:rPr>
              <w:t xml:space="preserve">Puntaje asignado al proponente D. (Consorcio Luis E. </w:t>
            </w:r>
            <w:proofErr w:type="spellStart"/>
            <w:r w:rsidRPr="00241FAC">
              <w:rPr>
                <w:rFonts w:cs="Arial"/>
              </w:rPr>
              <w:t>Gomez</w:t>
            </w:r>
            <w:proofErr w:type="spellEnd"/>
            <w:r w:rsidRPr="00241FAC">
              <w:rPr>
                <w:rFonts w:cs="Arial"/>
              </w:rPr>
              <w:t xml:space="preserve"> y Otro)</w:t>
            </w:r>
          </w:p>
        </w:tc>
      </w:tr>
      <w:tr w:rsidR="00BF7A62" w:rsidRPr="00241FAC" w:rsidTr="009C1707">
        <w:tc>
          <w:tcPr>
            <w:tcW w:w="4644" w:type="dxa"/>
          </w:tcPr>
          <w:p w:rsidR="00BF7A62" w:rsidRPr="00241FAC" w:rsidRDefault="00DE3E88" w:rsidP="009C1707">
            <w:pPr>
              <w:jc w:val="left"/>
              <w:rPr>
                <w:rFonts w:cs="Arial"/>
                <w:b/>
                <w:i/>
              </w:rPr>
            </w:pPr>
            <w:r w:rsidRPr="00241FAC">
              <w:rPr>
                <w:rFonts w:cs="Arial"/>
                <w:b/>
                <w:i/>
              </w:rPr>
              <w:t>Porcentaje de ejecución</w:t>
            </w:r>
            <w:r w:rsidR="009C1707" w:rsidRPr="00241FAC">
              <w:rPr>
                <w:rFonts w:cs="Arial"/>
                <w:b/>
                <w:i/>
              </w:rPr>
              <w:t>:</w:t>
            </w:r>
            <w:r w:rsidRPr="00241FAC">
              <w:rPr>
                <w:rFonts w:cs="Arial"/>
                <w:b/>
                <w:i/>
              </w:rPr>
              <w:t xml:space="preserve"> 110 puntos </w:t>
            </w:r>
          </w:p>
        </w:tc>
        <w:tc>
          <w:tcPr>
            <w:tcW w:w="4001" w:type="dxa"/>
          </w:tcPr>
          <w:p w:rsidR="00BF7A62" w:rsidRPr="00241FAC" w:rsidRDefault="00DE3E88" w:rsidP="002277E4">
            <w:pPr>
              <w:jc w:val="right"/>
              <w:rPr>
                <w:rFonts w:cs="Arial"/>
                <w:b/>
                <w:i/>
              </w:rPr>
            </w:pPr>
            <w:r w:rsidRPr="00241FAC">
              <w:rPr>
                <w:rFonts w:cs="Arial"/>
                <w:b/>
                <w:i/>
              </w:rPr>
              <w:t>0</w:t>
            </w:r>
          </w:p>
        </w:tc>
      </w:tr>
      <w:tr w:rsidR="00BF7A62" w:rsidRPr="00241FAC" w:rsidTr="009C1707">
        <w:tc>
          <w:tcPr>
            <w:tcW w:w="4644" w:type="dxa"/>
          </w:tcPr>
          <w:p w:rsidR="00BF7A62" w:rsidRPr="00241FAC" w:rsidRDefault="002277E4" w:rsidP="009C1707">
            <w:pPr>
              <w:jc w:val="left"/>
              <w:rPr>
                <w:rFonts w:cs="Arial"/>
              </w:rPr>
            </w:pPr>
            <w:r w:rsidRPr="00241FAC">
              <w:rPr>
                <w:rFonts w:cs="Arial"/>
              </w:rPr>
              <w:t>Tiempos</w:t>
            </w:r>
            <w:r w:rsidR="009C1707" w:rsidRPr="00241FAC">
              <w:rPr>
                <w:rFonts w:cs="Arial"/>
              </w:rPr>
              <w:t>:</w:t>
            </w:r>
            <w:r w:rsidRPr="00241FAC">
              <w:rPr>
                <w:rFonts w:cs="Arial"/>
              </w:rPr>
              <w:t xml:space="preserve"> 60 puntos</w:t>
            </w:r>
          </w:p>
        </w:tc>
        <w:tc>
          <w:tcPr>
            <w:tcW w:w="4001" w:type="dxa"/>
          </w:tcPr>
          <w:p w:rsidR="00BF7A62" w:rsidRPr="00241FAC" w:rsidRDefault="002277E4" w:rsidP="002277E4">
            <w:pPr>
              <w:jc w:val="right"/>
              <w:rPr>
                <w:rFonts w:cs="Arial"/>
              </w:rPr>
            </w:pPr>
            <w:r w:rsidRPr="00241FAC">
              <w:rPr>
                <w:rFonts w:cs="Arial"/>
              </w:rPr>
              <w:t>60</w:t>
            </w:r>
          </w:p>
        </w:tc>
      </w:tr>
      <w:tr w:rsidR="00BF7A62" w:rsidRPr="00241FAC" w:rsidTr="009C1707">
        <w:tc>
          <w:tcPr>
            <w:tcW w:w="4644" w:type="dxa"/>
          </w:tcPr>
          <w:p w:rsidR="00BF7A62" w:rsidRPr="00241FAC" w:rsidRDefault="002277E4" w:rsidP="009C1707">
            <w:pPr>
              <w:jc w:val="left"/>
              <w:rPr>
                <w:rFonts w:cs="Arial"/>
              </w:rPr>
            </w:pPr>
            <w:r w:rsidRPr="00241FAC">
              <w:rPr>
                <w:rFonts w:cs="Arial"/>
              </w:rPr>
              <w:t>Porcentaje y valor</w:t>
            </w:r>
            <w:r w:rsidR="009C1707" w:rsidRPr="00241FAC">
              <w:rPr>
                <w:rFonts w:cs="Arial"/>
              </w:rPr>
              <w:t xml:space="preserve">: </w:t>
            </w:r>
            <w:r w:rsidRPr="00241FAC">
              <w:rPr>
                <w:rFonts w:cs="Arial"/>
              </w:rPr>
              <w:t xml:space="preserve">60 puntos </w:t>
            </w:r>
          </w:p>
        </w:tc>
        <w:tc>
          <w:tcPr>
            <w:tcW w:w="4001" w:type="dxa"/>
          </w:tcPr>
          <w:p w:rsidR="00BF7A62" w:rsidRPr="00241FAC" w:rsidRDefault="002277E4" w:rsidP="002277E4">
            <w:pPr>
              <w:jc w:val="right"/>
              <w:rPr>
                <w:rFonts w:cs="Arial"/>
              </w:rPr>
            </w:pPr>
            <w:r w:rsidRPr="00241FAC">
              <w:rPr>
                <w:rFonts w:cs="Arial"/>
              </w:rPr>
              <w:t>60</w:t>
            </w:r>
          </w:p>
        </w:tc>
      </w:tr>
      <w:tr w:rsidR="00BF7A62" w:rsidRPr="00241FAC" w:rsidTr="009C1707">
        <w:tc>
          <w:tcPr>
            <w:tcW w:w="4644" w:type="dxa"/>
          </w:tcPr>
          <w:p w:rsidR="00BF7A62" w:rsidRPr="00241FAC" w:rsidRDefault="002277E4" w:rsidP="009C1707">
            <w:pPr>
              <w:jc w:val="left"/>
              <w:rPr>
                <w:rFonts w:cs="Arial"/>
              </w:rPr>
            </w:pPr>
            <w:r w:rsidRPr="00241FAC">
              <w:rPr>
                <w:rFonts w:cs="Arial"/>
              </w:rPr>
              <w:t>Total</w:t>
            </w:r>
            <w:r w:rsidR="009C1707" w:rsidRPr="00241FAC">
              <w:rPr>
                <w:rFonts w:cs="Arial"/>
              </w:rPr>
              <w:t>:</w:t>
            </w:r>
            <w:r w:rsidR="00812D0F" w:rsidRPr="00241FAC">
              <w:rPr>
                <w:rFonts w:cs="Arial"/>
              </w:rPr>
              <w:t xml:space="preserve"> 230 puntos</w:t>
            </w:r>
          </w:p>
        </w:tc>
        <w:tc>
          <w:tcPr>
            <w:tcW w:w="4001" w:type="dxa"/>
          </w:tcPr>
          <w:p w:rsidR="00BF7A62" w:rsidRPr="00241FAC" w:rsidRDefault="002277E4" w:rsidP="002277E4">
            <w:pPr>
              <w:jc w:val="right"/>
              <w:rPr>
                <w:rFonts w:cs="Arial"/>
              </w:rPr>
            </w:pPr>
            <w:r w:rsidRPr="00241FAC">
              <w:rPr>
                <w:rFonts w:cs="Arial"/>
              </w:rPr>
              <w:t>120</w:t>
            </w:r>
          </w:p>
        </w:tc>
      </w:tr>
    </w:tbl>
    <w:p w:rsidR="00A94114" w:rsidRPr="00241FAC" w:rsidRDefault="00A94114" w:rsidP="002277E4">
      <w:pPr>
        <w:jc w:val="right"/>
        <w:rPr>
          <w:rFonts w:cs="Arial"/>
        </w:rPr>
      </w:pPr>
      <w:r w:rsidRPr="00241FAC">
        <w:rPr>
          <w:rFonts w:cs="Arial"/>
        </w:rPr>
        <w:t xml:space="preserve">  </w:t>
      </w:r>
    </w:p>
    <w:p w:rsidR="009861C4" w:rsidRPr="00241FAC" w:rsidRDefault="009861C4" w:rsidP="00164819">
      <w:pPr>
        <w:rPr>
          <w:rFonts w:cs="Arial"/>
        </w:rPr>
      </w:pPr>
      <w:r w:rsidRPr="00241FAC">
        <w:rPr>
          <w:rFonts w:cs="Arial"/>
        </w:rPr>
        <w:t>En cuanto al argumento de que hab</w:t>
      </w:r>
      <w:r w:rsidR="007062CE" w:rsidRPr="00241FAC">
        <w:rPr>
          <w:rFonts w:cs="Arial"/>
        </w:rPr>
        <w:t>r</w:t>
      </w:r>
      <w:r w:rsidRPr="00241FAC">
        <w:rPr>
          <w:rFonts w:cs="Arial"/>
        </w:rPr>
        <w:t xml:space="preserve">ía lugar al rechazo de la propuesta por la falta del </w:t>
      </w:r>
      <w:r w:rsidRPr="00241FAC">
        <w:rPr>
          <w:rFonts w:cs="Arial"/>
          <w:i/>
        </w:rPr>
        <w:t>Diagrama de Gantt,</w:t>
      </w:r>
      <w:r w:rsidRPr="00241FAC">
        <w:rPr>
          <w:rFonts w:cs="Arial"/>
        </w:rPr>
        <w:t xml:space="preserve"> utilizado para presentar gráficamente los tiempos de obra, </w:t>
      </w:r>
      <w:r w:rsidR="00AE2715" w:rsidRPr="00241FAC">
        <w:rPr>
          <w:rFonts w:cs="Arial"/>
        </w:rPr>
        <w:t>l</w:t>
      </w:r>
      <w:r w:rsidRPr="00241FAC">
        <w:rPr>
          <w:rFonts w:cs="Arial"/>
        </w:rPr>
        <w:t xml:space="preserve">a Sala no acompaña tal planteamiento puesto que en el Pliego de Condiciones se dispuso </w:t>
      </w:r>
      <w:r w:rsidR="007062CE" w:rsidRPr="00241FAC">
        <w:rPr>
          <w:rFonts w:cs="Arial"/>
        </w:rPr>
        <w:t>e</w:t>
      </w:r>
      <w:r w:rsidR="00BA2A50" w:rsidRPr="00241FAC">
        <w:rPr>
          <w:rFonts w:cs="Arial"/>
        </w:rPr>
        <w:t>l diligenciamiento de un cuadro de</w:t>
      </w:r>
      <w:r w:rsidR="000C29B5" w:rsidRPr="00241FAC">
        <w:rPr>
          <w:rFonts w:cs="Arial"/>
        </w:rPr>
        <w:t xml:space="preserve"> información de PROGRAMACION DE OBRA, MODELO DIAGRAMA DE GANTT y FLUJO DE DESEMBOLSO, información </w:t>
      </w:r>
      <w:r w:rsidR="00D61715" w:rsidRPr="00241FAC">
        <w:rPr>
          <w:rFonts w:cs="Arial"/>
        </w:rPr>
        <w:t xml:space="preserve">que el Municipio de Purificación encontró </w:t>
      </w:r>
      <w:r w:rsidR="000C29B5" w:rsidRPr="00241FAC">
        <w:rPr>
          <w:rFonts w:cs="Arial"/>
        </w:rPr>
        <w:t>s</w:t>
      </w:r>
      <w:r w:rsidR="00D61715" w:rsidRPr="00241FAC">
        <w:rPr>
          <w:rFonts w:cs="Arial"/>
        </w:rPr>
        <w:t xml:space="preserve">atisfactoriamente en </w:t>
      </w:r>
      <w:r w:rsidRPr="00241FAC">
        <w:rPr>
          <w:rFonts w:cs="Arial"/>
        </w:rPr>
        <w:t xml:space="preserve">el anexo </w:t>
      </w:r>
      <w:r w:rsidR="00D61715" w:rsidRPr="00241FAC">
        <w:rPr>
          <w:rFonts w:cs="Arial"/>
        </w:rPr>
        <w:t xml:space="preserve">No. </w:t>
      </w:r>
      <w:r w:rsidRPr="00241FAC">
        <w:rPr>
          <w:rFonts w:cs="Arial"/>
        </w:rPr>
        <w:t xml:space="preserve">14 </w:t>
      </w:r>
      <w:r w:rsidR="000C29B5" w:rsidRPr="00241FAC">
        <w:rPr>
          <w:rFonts w:cs="Arial"/>
        </w:rPr>
        <w:t>presentado por el Consorcio Luis E. Gómez y o</w:t>
      </w:r>
      <w:r w:rsidR="00727197" w:rsidRPr="00241FAC">
        <w:rPr>
          <w:rFonts w:cs="Arial"/>
        </w:rPr>
        <w:t>tro, (folios 683 a 697 cuaderno 12)</w:t>
      </w:r>
      <w:r w:rsidR="00D61715" w:rsidRPr="00241FAC">
        <w:rPr>
          <w:rFonts w:cs="Arial"/>
        </w:rPr>
        <w:t xml:space="preserve">, a lo cual la Sala observa que </w:t>
      </w:r>
      <w:r w:rsidR="00727197" w:rsidRPr="00241FAC">
        <w:rPr>
          <w:rFonts w:cs="Arial"/>
        </w:rPr>
        <w:t xml:space="preserve">ciertamente el documento titulado </w:t>
      </w:r>
      <w:r w:rsidR="00D61715" w:rsidRPr="00241FAC">
        <w:rPr>
          <w:rFonts w:cs="Arial"/>
        </w:rPr>
        <w:t>“</w:t>
      </w:r>
      <w:r w:rsidR="00727197" w:rsidRPr="00241FAC">
        <w:rPr>
          <w:rFonts w:cs="Arial"/>
          <w:i/>
        </w:rPr>
        <w:t>Procedimiento Co</w:t>
      </w:r>
      <w:r w:rsidR="00D61715" w:rsidRPr="00241FAC">
        <w:rPr>
          <w:rFonts w:cs="Arial"/>
          <w:i/>
        </w:rPr>
        <w:t>n</w:t>
      </w:r>
      <w:r w:rsidR="00727197" w:rsidRPr="00241FAC">
        <w:rPr>
          <w:rFonts w:cs="Arial"/>
          <w:i/>
        </w:rPr>
        <w:t>structivo, Organización General y Cronograma Nivel 1</w:t>
      </w:r>
      <w:r w:rsidR="00D61715" w:rsidRPr="00241FAC">
        <w:rPr>
          <w:rFonts w:cs="Arial"/>
          <w:i/>
        </w:rPr>
        <w:t>”</w:t>
      </w:r>
      <w:r w:rsidR="00727197" w:rsidRPr="00241FAC">
        <w:rPr>
          <w:rFonts w:cs="Arial"/>
          <w:i/>
        </w:rPr>
        <w:t xml:space="preserve"> </w:t>
      </w:r>
      <w:r w:rsidRPr="00241FAC">
        <w:rPr>
          <w:rFonts w:cs="Arial"/>
        </w:rPr>
        <w:t>contenía, en texto escrito, la información de actividades de la programación de obras</w:t>
      </w:r>
      <w:r w:rsidR="002028B9" w:rsidRPr="00241FAC">
        <w:rPr>
          <w:rFonts w:cs="Arial"/>
        </w:rPr>
        <w:t xml:space="preserve"> con </w:t>
      </w:r>
      <w:r w:rsidR="00D61715" w:rsidRPr="00241FAC">
        <w:rPr>
          <w:rFonts w:cs="Arial"/>
        </w:rPr>
        <w:t xml:space="preserve">el detalle de tiempos de </w:t>
      </w:r>
      <w:r w:rsidR="002028B9" w:rsidRPr="00241FAC">
        <w:rPr>
          <w:rFonts w:cs="Arial"/>
        </w:rPr>
        <w:t>inicio y terminación</w:t>
      </w:r>
      <w:r w:rsidRPr="00241FAC">
        <w:rPr>
          <w:rFonts w:cs="Arial"/>
        </w:rPr>
        <w:t xml:space="preserve">, </w:t>
      </w:r>
      <w:r w:rsidR="00D61715" w:rsidRPr="00241FAC">
        <w:rPr>
          <w:rFonts w:cs="Arial"/>
        </w:rPr>
        <w:t xml:space="preserve">tal como </w:t>
      </w:r>
      <w:r w:rsidRPr="00241FAC">
        <w:rPr>
          <w:rFonts w:cs="Arial"/>
        </w:rPr>
        <w:t>se hizo constar en el acta de adjudicación</w:t>
      </w:r>
      <w:r w:rsidR="002028B9" w:rsidRPr="00241FAC">
        <w:rPr>
          <w:rFonts w:cs="Arial"/>
        </w:rPr>
        <w:t xml:space="preserve"> como </w:t>
      </w:r>
      <w:r w:rsidR="00164819" w:rsidRPr="00241FAC">
        <w:rPr>
          <w:rFonts w:cs="Arial"/>
        </w:rPr>
        <w:t xml:space="preserve">base idónea </w:t>
      </w:r>
      <w:r w:rsidR="002028B9" w:rsidRPr="00241FAC">
        <w:rPr>
          <w:rFonts w:cs="Arial"/>
        </w:rPr>
        <w:t xml:space="preserve">para efectos de calificar </w:t>
      </w:r>
      <w:r w:rsidR="0065605F" w:rsidRPr="00241FAC">
        <w:rPr>
          <w:rFonts w:cs="Arial"/>
        </w:rPr>
        <w:t xml:space="preserve">el ítem de </w:t>
      </w:r>
      <w:r w:rsidR="002028B9" w:rsidRPr="00241FAC">
        <w:rPr>
          <w:rFonts w:cs="Arial"/>
        </w:rPr>
        <w:t>tiempo</w:t>
      </w:r>
      <w:r w:rsidR="0065605F" w:rsidRPr="00241FAC">
        <w:rPr>
          <w:rFonts w:cs="Arial"/>
        </w:rPr>
        <w:t xml:space="preserve">s, así como el de </w:t>
      </w:r>
      <w:r w:rsidR="002028B9" w:rsidRPr="00241FAC">
        <w:rPr>
          <w:rFonts w:cs="Arial"/>
        </w:rPr>
        <w:t>porcentaje</w:t>
      </w:r>
      <w:r w:rsidR="0065605F" w:rsidRPr="00241FAC">
        <w:rPr>
          <w:rFonts w:cs="Arial"/>
        </w:rPr>
        <w:t xml:space="preserve"> y valor</w:t>
      </w:r>
      <w:r w:rsidR="00164819" w:rsidRPr="00241FAC">
        <w:rPr>
          <w:rFonts w:cs="Arial"/>
        </w:rPr>
        <w:t xml:space="preserve"> del referido </w:t>
      </w:r>
      <w:r w:rsidR="00812D0F" w:rsidRPr="00241FAC">
        <w:rPr>
          <w:rFonts w:cs="Arial"/>
        </w:rPr>
        <w:t xml:space="preserve">el </w:t>
      </w:r>
      <w:r w:rsidR="00164819" w:rsidRPr="00241FAC">
        <w:rPr>
          <w:rFonts w:cs="Arial"/>
        </w:rPr>
        <w:t xml:space="preserve">Nivel </w:t>
      </w:r>
      <w:r w:rsidR="00812D0F" w:rsidRPr="00241FAC">
        <w:rPr>
          <w:rFonts w:cs="Arial"/>
        </w:rPr>
        <w:t xml:space="preserve">3 </w:t>
      </w:r>
      <w:r w:rsidR="00FB1191" w:rsidRPr="00241FAC">
        <w:rPr>
          <w:rFonts w:cs="Arial"/>
        </w:rPr>
        <w:t>-</w:t>
      </w:r>
      <w:r w:rsidR="00812D0F" w:rsidRPr="00241FAC">
        <w:rPr>
          <w:rFonts w:cs="Arial"/>
        </w:rPr>
        <w:t>Flujo de Desembolso</w:t>
      </w:r>
      <w:r w:rsidR="00FB1191" w:rsidRPr="00241FAC">
        <w:rPr>
          <w:rFonts w:cs="Arial"/>
        </w:rPr>
        <w:t>-</w:t>
      </w:r>
      <w:r w:rsidRPr="00241FAC">
        <w:rPr>
          <w:rFonts w:cs="Arial"/>
        </w:rPr>
        <w:t xml:space="preserve"> de manera que </w:t>
      </w:r>
      <w:r w:rsidR="00164819" w:rsidRPr="00241FAC">
        <w:rPr>
          <w:rFonts w:cs="Arial"/>
        </w:rPr>
        <w:t xml:space="preserve">resulta </w:t>
      </w:r>
      <w:r w:rsidR="00473596" w:rsidRPr="00241FAC">
        <w:rPr>
          <w:rFonts w:cs="Arial"/>
        </w:rPr>
        <w:t xml:space="preserve">ajustada a derecho y por lo tanto </w:t>
      </w:r>
      <w:r w:rsidR="00164819" w:rsidRPr="00241FAC">
        <w:rPr>
          <w:rFonts w:cs="Arial"/>
        </w:rPr>
        <w:t>inmodificable</w:t>
      </w:r>
      <w:r w:rsidR="00473596" w:rsidRPr="00241FAC">
        <w:rPr>
          <w:rFonts w:cs="Arial"/>
        </w:rPr>
        <w:t xml:space="preserve"> e</w:t>
      </w:r>
      <w:r w:rsidR="00FB1191" w:rsidRPr="00241FAC">
        <w:rPr>
          <w:rFonts w:cs="Arial"/>
        </w:rPr>
        <w:t>n</w:t>
      </w:r>
      <w:r w:rsidR="00473596" w:rsidRPr="00241FAC">
        <w:rPr>
          <w:rFonts w:cs="Arial"/>
        </w:rPr>
        <w:t xml:space="preserve"> este proceso,</w:t>
      </w:r>
      <w:r w:rsidR="00164819" w:rsidRPr="00241FAC">
        <w:rPr>
          <w:rFonts w:cs="Arial"/>
        </w:rPr>
        <w:t xml:space="preserve"> </w:t>
      </w:r>
      <w:r w:rsidRPr="00241FAC">
        <w:rPr>
          <w:rFonts w:cs="Arial"/>
        </w:rPr>
        <w:t>la decisión de la entidad contratante de no rechazar la propuesta por la ausencia del citado Diagrama.</w:t>
      </w:r>
    </w:p>
    <w:p w:rsidR="009D2CB7" w:rsidRPr="00241FAC" w:rsidRDefault="009D2CB7" w:rsidP="00164819">
      <w:pPr>
        <w:rPr>
          <w:rFonts w:cs="Arial"/>
        </w:rPr>
      </w:pPr>
    </w:p>
    <w:p w:rsidR="009861C4" w:rsidRPr="00241FAC" w:rsidRDefault="009861C4" w:rsidP="00164819">
      <w:pPr>
        <w:rPr>
          <w:rFonts w:cs="Arial"/>
        </w:rPr>
      </w:pPr>
      <w:r w:rsidRPr="00241FAC">
        <w:rPr>
          <w:rFonts w:cs="Arial"/>
        </w:rPr>
        <w:t xml:space="preserve">Similar consideración se hace en relación con el requisito </w:t>
      </w:r>
      <w:r w:rsidR="0065605F" w:rsidRPr="00241FAC">
        <w:rPr>
          <w:rFonts w:cs="Arial"/>
        </w:rPr>
        <w:t xml:space="preserve">según el cual el proponente debía </w:t>
      </w:r>
      <w:r w:rsidR="009622A6" w:rsidRPr="00241FAC">
        <w:rPr>
          <w:rFonts w:cs="Arial"/>
        </w:rPr>
        <w:t xml:space="preserve">indicar </w:t>
      </w:r>
      <w:r w:rsidRPr="00241FAC">
        <w:rPr>
          <w:rFonts w:cs="Arial"/>
        </w:rPr>
        <w:t>encima de cada barra de la gráfica el dato de tiempo</w:t>
      </w:r>
      <w:r w:rsidR="00164819" w:rsidRPr="00241FAC">
        <w:rPr>
          <w:rFonts w:cs="Arial"/>
        </w:rPr>
        <w:t>s</w:t>
      </w:r>
      <w:r w:rsidRPr="00241FAC">
        <w:rPr>
          <w:rFonts w:cs="Arial"/>
        </w:rPr>
        <w:t xml:space="preserve"> de obra, en cuanto se trató de </w:t>
      </w:r>
      <w:r w:rsidR="0065605F" w:rsidRPr="00241FAC">
        <w:rPr>
          <w:rFonts w:cs="Arial"/>
        </w:rPr>
        <w:t xml:space="preserve">un </w:t>
      </w:r>
      <w:r w:rsidRPr="00241FAC">
        <w:rPr>
          <w:rFonts w:cs="Arial"/>
        </w:rPr>
        <w:t>requisito formal</w:t>
      </w:r>
      <w:r w:rsidR="0065605F" w:rsidRPr="00241FAC">
        <w:rPr>
          <w:rFonts w:cs="Arial"/>
        </w:rPr>
        <w:t xml:space="preserve"> que no afectaba la calificación</w:t>
      </w:r>
      <w:r w:rsidR="00D7502B" w:rsidRPr="00241FAC">
        <w:rPr>
          <w:rFonts w:cs="Arial"/>
        </w:rPr>
        <w:t xml:space="preserve"> de los factores de evaluación </w:t>
      </w:r>
      <w:r w:rsidR="0065605F" w:rsidRPr="00241FAC">
        <w:rPr>
          <w:rFonts w:cs="Arial"/>
        </w:rPr>
        <w:t xml:space="preserve">y </w:t>
      </w:r>
      <w:r w:rsidR="00D7502B" w:rsidRPr="00241FAC">
        <w:rPr>
          <w:rFonts w:cs="Arial"/>
        </w:rPr>
        <w:t>mal</w:t>
      </w:r>
      <w:r w:rsidRPr="00241FAC">
        <w:rPr>
          <w:rFonts w:cs="Arial"/>
        </w:rPr>
        <w:t xml:space="preserve"> podía ser erigido como un aspecto material para rechazar la propuesta.</w:t>
      </w:r>
    </w:p>
    <w:p w:rsidR="009861C4" w:rsidRPr="00241FAC" w:rsidRDefault="009861C4" w:rsidP="00164819">
      <w:pPr>
        <w:rPr>
          <w:rFonts w:cs="Arial"/>
        </w:rPr>
      </w:pPr>
    </w:p>
    <w:p w:rsidR="009861C4" w:rsidRPr="00241FAC" w:rsidRDefault="009861C4" w:rsidP="00164819">
      <w:pPr>
        <w:pStyle w:val="Lista"/>
        <w:spacing w:line="360" w:lineRule="auto"/>
        <w:ind w:left="0" w:firstLine="0"/>
        <w:rPr>
          <w:rFonts w:ascii="Arial" w:hAnsi="Arial" w:cs="Arial"/>
        </w:rPr>
      </w:pPr>
      <w:r w:rsidRPr="00241FAC">
        <w:rPr>
          <w:rFonts w:ascii="Arial" w:hAnsi="Arial" w:cs="Arial"/>
        </w:rPr>
        <w:t>En este punto cabe traer a colación que el numeral 2 del artículo 25 de la Ley 80 de 1993 establece que las normas y los procedimientos contractuales se deben interpretar en el sentido en que no den ocasión a trámites distintos de los expresamente previstos y que los defectos de forma no pueden servir de fundamento a decisiones inhibitorias y además se reitera una vez más la Jurisprudencia de</w:t>
      </w:r>
      <w:r w:rsidR="000D5033" w:rsidRPr="00241FAC">
        <w:rPr>
          <w:rFonts w:ascii="Arial" w:hAnsi="Arial" w:cs="Arial"/>
        </w:rPr>
        <w:t xml:space="preserve"> la Sección Tercera del</w:t>
      </w:r>
      <w:r w:rsidRPr="00241FAC">
        <w:rPr>
          <w:rFonts w:ascii="Arial" w:hAnsi="Arial" w:cs="Arial"/>
        </w:rPr>
        <w:t xml:space="preserve"> Consejo de Estado, consistente en distinguir entre los requisitos formales y sustanciales del Pliego de Condiciones, </w:t>
      </w:r>
      <w:r w:rsidRPr="00241FAC">
        <w:rPr>
          <w:rFonts w:ascii="Arial" w:hAnsi="Arial" w:cs="Arial"/>
        </w:rPr>
        <w:lastRenderedPageBreak/>
        <w:t>bajo la cual e</w:t>
      </w:r>
      <w:r w:rsidR="000D5033" w:rsidRPr="00241FAC">
        <w:rPr>
          <w:rFonts w:ascii="Arial" w:hAnsi="Arial" w:cs="Arial"/>
        </w:rPr>
        <w:t xml:space="preserve">sta Corporación </w:t>
      </w:r>
      <w:r w:rsidRPr="00241FAC">
        <w:rPr>
          <w:rFonts w:ascii="Arial" w:hAnsi="Arial" w:cs="Arial"/>
        </w:rPr>
        <w:t xml:space="preserve">ha accedido a decretar, por ejemplo, la nulidad del acto de declaratoria de desierta de una licitación cuando </w:t>
      </w:r>
      <w:r w:rsidR="009622A6" w:rsidRPr="00241FAC">
        <w:rPr>
          <w:rFonts w:ascii="Arial" w:hAnsi="Arial" w:cs="Arial"/>
        </w:rPr>
        <w:t xml:space="preserve">ha </w:t>
      </w:r>
      <w:r w:rsidRPr="00241FAC">
        <w:rPr>
          <w:rFonts w:ascii="Arial" w:hAnsi="Arial" w:cs="Arial"/>
        </w:rPr>
        <w:t>encontr</w:t>
      </w:r>
      <w:r w:rsidR="009622A6" w:rsidRPr="00241FAC">
        <w:rPr>
          <w:rFonts w:ascii="Arial" w:hAnsi="Arial" w:cs="Arial"/>
        </w:rPr>
        <w:t>ado</w:t>
      </w:r>
      <w:r w:rsidRPr="00241FAC">
        <w:rPr>
          <w:rFonts w:ascii="Arial" w:hAnsi="Arial" w:cs="Arial"/>
        </w:rPr>
        <w:t xml:space="preserve"> dicha decisión fundada en asuntos eminentemente formales y no necesarios para la comparación de propuestas, a la vez que, en desarrollo de los principios y las normas de la contratación estatal ha establecido que la entidad estatal contratante carece de la potestad para fijar formas o ritualidades que no tengan respaldo legal, puesto que por esta vía se limitaría en forma antijurídica la participación de los proponentes</w:t>
      </w:r>
      <w:r w:rsidRPr="00241FAC">
        <w:rPr>
          <w:rStyle w:val="Refdenotaalpie"/>
          <w:rFonts w:ascii="Arial" w:hAnsi="Arial" w:cs="Arial"/>
        </w:rPr>
        <w:footnoteReference w:id="58"/>
      </w:r>
      <w:r w:rsidRPr="00241FAC">
        <w:rPr>
          <w:rFonts w:ascii="Arial" w:hAnsi="Arial" w:cs="Arial"/>
        </w:rPr>
        <w:t xml:space="preserve">, amén de que la aplicación de requisitos meramente formales </w:t>
      </w:r>
      <w:r w:rsidR="000D5033" w:rsidRPr="00241FAC">
        <w:rPr>
          <w:rFonts w:ascii="Arial" w:hAnsi="Arial" w:cs="Arial"/>
        </w:rPr>
        <w:t xml:space="preserve">en perjuicio de uno o algunos de los proponentes y </w:t>
      </w:r>
      <w:r w:rsidR="00C664F9" w:rsidRPr="00241FAC">
        <w:rPr>
          <w:rFonts w:ascii="Arial" w:hAnsi="Arial" w:cs="Arial"/>
        </w:rPr>
        <w:t xml:space="preserve">en </w:t>
      </w:r>
      <w:r w:rsidR="000D5033" w:rsidRPr="00241FAC">
        <w:rPr>
          <w:rFonts w:ascii="Arial" w:hAnsi="Arial" w:cs="Arial"/>
        </w:rPr>
        <w:t>favorecimiento de otro u otros</w:t>
      </w:r>
      <w:r w:rsidR="007F6217" w:rsidRPr="00241FAC">
        <w:rPr>
          <w:rFonts w:ascii="Arial" w:hAnsi="Arial" w:cs="Arial"/>
        </w:rPr>
        <w:t xml:space="preserve">, </w:t>
      </w:r>
      <w:r w:rsidRPr="00241FAC">
        <w:rPr>
          <w:rFonts w:ascii="Arial" w:hAnsi="Arial" w:cs="Arial"/>
        </w:rPr>
        <w:t>contraviene los principios de moralidad, igualdad e imparcialidad, establecidos en el artículo 209 de la Constitución Política.</w:t>
      </w:r>
      <w:r w:rsidRPr="00241FAC">
        <w:rPr>
          <w:rStyle w:val="Refdenotaalpie"/>
          <w:rFonts w:ascii="Arial" w:hAnsi="Arial" w:cs="Arial"/>
        </w:rPr>
        <w:footnoteReference w:id="59"/>
      </w:r>
    </w:p>
    <w:p w:rsidR="009861C4" w:rsidRPr="00241FAC" w:rsidRDefault="009861C4" w:rsidP="009861C4">
      <w:pPr>
        <w:spacing w:line="240" w:lineRule="auto"/>
        <w:rPr>
          <w:rFonts w:cs="Arial"/>
        </w:rPr>
      </w:pPr>
    </w:p>
    <w:p w:rsidR="009861C4" w:rsidRPr="00241FAC" w:rsidRDefault="009861C4" w:rsidP="00255ED6">
      <w:pPr>
        <w:rPr>
          <w:rFonts w:cs="Arial"/>
        </w:rPr>
      </w:pPr>
      <w:r w:rsidRPr="00241FAC">
        <w:rPr>
          <w:rFonts w:cs="Arial"/>
        </w:rPr>
        <w:t xml:space="preserve">En consecuencia, la Sala reafirma </w:t>
      </w:r>
      <w:r w:rsidR="007F6217" w:rsidRPr="00241FAC">
        <w:rPr>
          <w:rFonts w:cs="Arial"/>
        </w:rPr>
        <w:t xml:space="preserve">su decisión de </w:t>
      </w:r>
      <w:r w:rsidRPr="00241FAC">
        <w:rPr>
          <w:rFonts w:cs="Arial"/>
        </w:rPr>
        <w:t>confirma</w:t>
      </w:r>
      <w:r w:rsidR="007F6217" w:rsidRPr="00241FAC">
        <w:rPr>
          <w:rFonts w:cs="Arial"/>
        </w:rPr>
        <w:t>r</w:t>
      </w:r>
      <w:r w:rsidRPr="00241FAC">
        <w:rPr>
          <w:rFonts w:cs="Arial"/>
        </w:rPr>
        <w:t xml:space="preserve"> de la sentencia impugnada.</w:t>
      </w:r>
    </w:p>
    <w:p w:rsidR="007F6217" w:rsidRPr="00241FAC" w:rsidRDefault="007F6217" w:rsidP="00255ED6">
      <w:pPr>
        <w:rPr>
          <w:rFonts w:cs="Arial"/>
        </w:rPr>
      </w:pPr>
    </w:p>
    <w:p w:rsidR="00CF76FD" w:rsidRPr="00241FAC" w:rsidRDefault="006F5381" w:rsidP="002F5868">
      <w:pPr>
        <w:pStyle w:val="Lista2"/>
        <w:ind w:left="0" w:firstLine="0"/>
        <w:rPr>
          <w:rFonts w:cs="Arial"/>
          <w:b/>
        </w:rPr>
      </w:pPr>
      <w:r w:rsidRPr="00241FAC">
        <w:rPr>
          <w:rFonts w:cs="Arial"/>
          <w:b/>
        </w:rPr>
        <w:t>8</w:t>
      </w:r>
      <w:r w:rsidR="007A7EDE" w:rsidRPr="00241FAC">
        <w:rPr>
          <w:rFonts w:cs="Arial"/>
          <w:b/>
        </w:rPr>
        <w:t>.</w:t>
      </w:r>
      <w:r w:rsidR="009D2A60" w:rsidRPr="00241FAC">
        <w:rPr>
          <w:rFonts w:cs="Arial"/>
          <w:b/>
        </w:rPr>
        <w:tab/>
      </w:r>
      <w:r w:rsidR="001C6D0F" w:rsidRPr="00241FAC">
        <w:rPr>
          <w:rFonts w:cs="Arial"/>
          <w:b/>
        </w:rPr>
        <w:t>Costas</w:t>
      </w:r>
      <w:r w:rsidR="009C1707" w:rsidRPr="00241FAC">
        <w:rPr>
          <w:rFonts w:cs="Arial"/>
          <w:b/>
        </w:rPr>
        <w:t>.</w:t>
      </w:r>
    </w:p>
    <w:p w:rsidR="001C6D0F" w:rsidRPr="00241FAC" w:rsidRDefault="001C6D0F" w:rsidP="00CF76FD">
      <w:pPr>
        <w:rPr>
          <w:rFonts w:cs="Arial"/>
        </w:rPr>
      </w:pPr>
    </w:p>
    <w:p w:rsidR="00CF76FD" w:rsidRPr="00241FAC" w:rsidRDefault="00CF76FD" w:rsidP="00120249">
      <w:pPr>
        <w:pStyle w:val="Continuarlista2"/>
        <w:ind w:left="0"/>
        <w:rPr>
          <w:rFonts w:cs="Arial"/>
        </w:rPr>
      </w:pPr>
      <w:r w:rsidRPr="00241FAC">
        <w:rPr>
          <w:rFonts w:cs="Arial"/>
        </w:rPr>
        <w:t>Habida cuenta que para el momento en que se dicta es</w:t>
      </w:r>
      <w:r w:rsidR="005D4B0D" w:rsidRPr="00241FAC">
        <w:rPr>
          <w:rFonts w:cs="Arial"/>
        </w:rPr>
        <w:t>te fallo, el artículo 55 de la L</w:t>
      </w:r>
      <w:r w:rsidRPr="00241FAC">
        <w:rPr>
          <w:rFonts w:cs="Arial"/>
        </w:rPr>
        <w:t xml:space="preserve">ey 446 de 1998 indica que sólo hay lugar a la imposición de costas cuando alguna de las partes hubiere actuado temerariamente y, en el </w:t>
      </w:r>
      <w:r w:rsidRPr="00241FAC">
        <w:rPr>
          <w:rFonts w:cs="Arial"/>
          <w:i/>
          <w:iCs/>
        </w:rPr>
        <w:t>sub lite</w:t>
      </w:r>
      <w:r w:rsidRPr="00241FAC">
        <w:rPr>
          <w:rFonts w:cs="Arial"/>
        </w:rPr>
        <w:t>, ninguna actuó de esa forma, en el presente asunto no habrá lugar a imponerlas.</w:t>
      </w:r>
    </w:p>
    <w:p w:rsidR="00B35501" w:rsidRPr="00241FAC" w:rsidRDefault="00B35501" w:rsidP="002D4371">
      <w:pPr>
        <w:pStyle w:val="Textoindependiente22"/>
        <w:numPr>
          <w:ilvl w:val="12"/>
          <w:numId w:val="0"/>
        </w:numPr>
        <w:overflowPunct/>
        <w:autoSpaceDE/>
        <w:autoSpaceDN/>
        <w:adjustRightInd/>
        <w:textAlignment w:val="auto"/>
        <w:rPr>
          <w:rFonts w:cs="Arial"/>
          <w:szCs w:val="24"/>
        </w:rPr>
      </w:pPr>
    </w:p>
    <w:p w:rsidR="002D4371" w:rsidRPr="00241FAC" w:rsidRDefault="002D4371" w:rsidP="002D4371">
      <w:pPr>
        <w:pStyle w:val="Textoindependiente22"/>
        <w:numPr>
          <w:ilvl w:val="12"/>
          <w:numId w:val="0"/>
        </w:numPr>
        <w:overflowPunct/>
        <w:autoSpaceDE/>
        <w:autoSpaceDN/>
        <w:adjustRightInd/>
        <w:textAlignment w:val="auto"/>
        <w:rPr>
          <w:rFonts w:cs="Arial"/>
          <w:szCs w:val="24"/>
        </w:rPr>
      </w:pPr>
      <w:r w:rsidRPr="00241FAC">
        <w:rPr>
          <w:rFonts w:cs="Arial"/>
          <w:szCs w:val="24"/>
        </w:rPr>
        <w:t>En mérito de lo expuesto, el Consejo de Estado, en Sala de lo Contencioso Administrativo, Sección Tercera,</w:t>
      </w:r>
      <w:r w:rsidR="00AD4DBE" w:rsidRPr="00241FAC">
        <w:rPr>
          <w:rFonts w:cs="Arial"/>
          <w:szCs w:val="24"/>
        </w:rPr>
        <w:t xml:space="preserve"> Subsección A,</w:t>
      </w:r>
      <w:r w:rsidRPr="00241FAC">
        <w:rPr>
          <w:rFonts w:cs="Arial"/>
          <w:szCs w:val="24"/>
        </w:rPr>
        <w:t xml:space="preserve"> administrando justicia en nombre de la República de Colombia y por autoridad de la ley,</w:t>
      </w:r>
    </w:p>
    <w:p w:rsidR="008F2EA9" w:rsidRPr="00241FAC" w:rsidRDefault="008F2EA9" w:rsidP="0009687C">
      <w:pPr>
        <w:rPr>
          <w:rFonts w:cs="Arial"/>
        </w:rPr>
      </w:pPr>
    </w:p>
    <w:p w:rsidR="00ED77A2" w:rsidRPr="00241FAC" w:rsidRDefault="00ED77A2" w:rsidP="0009687C">
      <w:pPr>
        <w:rPr>
          <w:rFonts w:cs="Arial"/>
        </w:rPr>
      </w:pPr>
    </w:p>
    <w:p w:rsidR="00EA2611" w:rsidRPr="00241FAC" w:rsidRDefault="00EA2611" w:rsidP="00EA2611">
      <w:pPr>
        <w:pStyle w:val="Ttulo5"/>
        <w:rPr>
          <w:rFonts w:cs="Arial"/>
          <w:bCs/>
          <w:sz w:val="24"/>
          <w:szCs w:val="24"/>
        </w:rPr>
      </w:pPr>
      <w:r w:rsidRPr="00241FAC">
        <w:rPr>
          <w:rFonts w:cs="Arial"/>
          <w:bCs/>
          <w:sz w:val="24"/>
          <w:szCs w:val="24"/>
        </w:rPr>
        <w:t xml:space="preserve">F A L </w:t>
      </w:r>
      <w:proofErr w:type="spellStart"/>
      <w:r w:rsidRPr="00241FAC">
        <w:rPr>
          <w:rFonts w:cs="Arial"/>
          <w:bCs/>
          <w:sz w:val="24"/>
          <w:szCs w:val="24"/>
        </w:rPr>
        <w:t>L</w:t>
      </w:r>
      <w:proofErr w:type="spellEnd"/>
      <w:r w:rsidRPr="00241FAC">
        <w:rPr>
          <w:rFonts w:cs="Arial"/>
          <w:bCs/>
          <w:sz w:val="24"/>
          <w:szCs w:val="24"/>
        </w:rPr>
        <w:t xml:space="preserve"> A</w:t>
      </w:r>
    </w:p>
    <w:p w:rsidR="00EA2611" w:rsidRPr="00241FAC" w:rsidRDefault="00EA2611" w:rsidP="00EA2611">
      <w:pPr>
        <w:widowControl w:val="0"/>
        <w:autoSpaceDE w:val="0"/>
        <w:autoSpaceDN w:val="0"/>
        <w:adjustRightInd w:val="0"/>
        <w:rPr>
          <w:rFonts w:cs="Arial"/>
          <w:b/>
        </w:rPr>
      </w:pPr>
    </w:p>
    <w:p w:rsidR="00ED77A2" w:rsidRPr="00241FAC" w:rsidRDefault="00ED77A2" w:rsidP="00EA2611">
      <w:pPr>
        <w:widowControl w:val="0"/>
        <w:autoSpaceDE w:val="0"/>
        <w:autoSpaceDN w:val="0"/>
        <w:adjustRightInd w:val="0"/>
        <w:rPr>
          <w:rFonts w:cs="Arial"/>
          <w:b/>
        </w:rPr>
      </w:pPr>
    </w:p>
    <w:p w:rsidR="00EA2611" w:rsidRPr="00241FAC" w:rsidRDefault="00EA2611" w:rsidP="00EA2611">
      <w:pPr>
        <w:widowControl w:val="0"/>
        <w:autoSpaceDE w:val="0"/>
        <w:autoSpaceDN w:val="0"/>
        <w:adjustRightInd w:val="0"/>
        <w:rPr>
          <w:rFonts w:cs="Arial"/>
          <w:b/>
        </w:rPr>
      </w:pPr>
      <w:r w:rsidRPr="00241FAC">
        <w:rPr>
          <w:rFonts w:cs="Arial"/>
          <w:b/>
        </w:rPr>
        <w:lastRenderedPageBreak/>
        <w:t xml:space="preserve">PRIMERO.- DESESTIMAR </w:t>
      </w:r>
      <w:r w:rsidRPr="00241FAC">
        <w:rPr>
          <w:rFonts w:cs="Arial"/>
        </w:rPr>
        <w:t>la objeción que por error grave formuló la entidad demandada contra el dictamen pericial presentado en este proceso.</w:t>
      </w:r>
    </w:p>
    <w:p w:rsidR="00EA2611" w:rsidRPr="00241FAC" w:rsidRDefault="00EA2611" w:rsidP="00EA2611">
      <w:pPr>
        <w:widowControl w:val="0"/>
        <w:autoSpaceDE w:val="0"/>
        <w:autoSpaceDN w:val="0"/>
        <w:adjustRightInd w:val="0"/>
        <w:rPr>
          <w:rFonts w:cs="Arial"/>
          <w:b/>
        </w:rPr>
      </w:pPr>
    </w:p>
    <w:p w:rsidR="00EA2611" w:rsidRPr="00241FAC" w:rsidRDefault="00EA2611" w:rsidP="00EA2611">
      <w:pPr>
        <w:widowControl w:val="0"/>
        <w:autoSpaceDE w:val="0"/>
        <w:autoSpaceDN w:val="0"/>
        <w:adjustRightInd w:val="0"/>
        <w:rPr>
          <w:rFonts w:cs="Arial"/>
          <w:lang w:val="es-CO"/>
        </w:rPr>
      </w:pPr>
      <w:r w:rsidRPr="00241FAC">
        <w:rPr>
          <w:rFonts w:cs="Arial"/>
          <w:b/>
        </w:rPr>
        <w:t xml:space="preserve">SEGUNDO.- CONFIRMAR </w:t>
      </w:r>
      <w:r w:rsidRPr="00241FAC">
        <w:rPr>
          <w:rFonts w:cs="Arial"/>
          <w:lang w:val="es-CO"/>
        </w:rPr>
        <w:t>la sentencia proferida el dieciocho (18) de julio de 2005 por el Tribunal Administrativo del Tolima.</w:t>
      </w:r>
    </w:p>
    <w:p w:rsidR="00EA2611" w:rsidRPr="00241FAC" w:rsidRDefault="00EA2611" w:rsidP="00EA2611">
      <w:pPr>
        <w:widowControl w:val="0"/>
        <w:ind w:left="851"/>
        <w:rPr>
          <w:rFonts w:cs="Arial"/>
        </w:rPr>
      </w:pPr>
    </w:p>
    <w:p w:rsidR="00EA2611" w:rsidRPr="00241FAC" w:rsidRDefault="00EA2611" w:rsidP="00EA2611">
      <w:pPr>
        <w:widowControl w:val="0"/>
        <w:autoSpaceDE w:val="0"/>
        <w:autoSpaceDN w:val="0"/>
        <w:adjustRightInd w:val="0"/>
        <w:rPr>
          <w:rFonts w:cs="Arial"/>
        </w:rPr>
      </w:pPr>
      <w:r w:rsidRPr="00241FAC">
        <w:rPr>
          <w:rFonts w:cs="Arial"/>
          <w:b/>
        </w:rPr>
        <w:t xml:space="preserve">TERCERO: </w:t>
      </w:r>
      <w:r w:rsidRPr="00241FAC">
        <w:rPr>
          <w:rFonts w:cs="Arial"/>
        </w:rPr>
        <w:t>Sin condena en costas.</w:t>
      </w:r>
    </w:p>
    <w:p w:rsidR="00EA2611" w:rsidRPr="00241FAC" w:rsidRDefault="00EA2611" w:rsidP="00EA2611">
      <w:pPr>
        <w:widowControl w:val="0"/>
        <w:autoSpaceDE w:val="0"/>
        <w:autoSpaceDN w:val="0"/>
        <w:adjustRightInd w:val="0"/>
        <w:rPr>
          <w:rFonts w:cs="Arial"/>
        </w:rPr>
      </w:pPr>
    </w:p>
    <w:p w:rsidR="00EA2611" w:rsidRPr="00241FAC" w:rsidRDefault="00EA2611" w:rsidP="00EA2611">
      <w:pPr>
        <w:widowControl w:val="0"/>
        <w:autoSpaceDE w:val="0"/>
        <w:autoSpaceDN w:val="0"/>
        <w:adjustRightInd w:val="0"/>
        <w:rPr>
          <w:rFonts w:cs="Arial"/>
        </w:rPr>
      </w:pPr>
      <w:r w:rsidRPr="00241FAC">
        <w:rPr>
          <w:rFonts w:cs="Arial"/>
          <w:b/>
        </w:rPr>
        <w:t xml:space="preserve">CUARTO: </w:t>
      </w:r>
      <w:r w:rsidRPr="00241FAC">
        <w:rPr>
          <w:rFonts w:cs="Arial"/>
        </w:rPr>
        <w:t>En firme esta providencia, devuélvase el expediente al Tribunal de origen.</w:t>
      </w:r>
    </w:p>
    <w:p w:rsidR="00EA2611" w:rsidRPr="00241FAC" w:rsidRDefault="00EA2611" w:rsidP="00EA2611">
      <w:pPr>
        <w:jc w:val="center"/>
        <w:rPr>
          <w:rFonts w:cs="Arial"/>
          <w:b/>
          <w:bCs/>
          <w:noProof/>
        </w:rPr>
      </w:pPr>
    </w:p>
    <w:p w:rsidR="00EA2611" w:rsidRPr="00241FAC" w:rsidRDefault="00EA2611" w:rsidP="00EA2611">
      <w:pPr>
        <w:jc w:val="center"/>
        <w:rPr>
          <w:rFonts w:cs="Arial"/>
          <w:b/>
          <w:bCs/>
          <w:noProof/>
        </w:rPr>
      </w:pPr>
      <w:r w:rsidRPr="00241FAC">
        <w:rPr>
          <w:rFonts w:cs="Arial"/>
          <w:b/>
          <w:bCs/>
          <w:noProof/>
        </w:rPr>
        <w:t>CÓPIESE, NOTIFÍQUESE Y CÚMPLASE</w:t>
      </w:r>
    </w:p>
    <w:p w:rsidR="00EA2611" w:rsidRPr="00241FAC" w:rsidRDefault="00EA2611" w:rsidP="00EA2611">
      <w:pPr>
        <w:spacing w:line="240" w:lineRule="auto"/>
        <w:rPr>
          <w:rFonts w:cs="Arial"/>
        </w:rPr>
      </w:pPr>
    </w:p>
    <w:p w:rsidR="00EA2611" w:rsidRPr="00241FAC" w:rsidRDefault="00EA2611" w:rsidP="00EA2611">
      <w:pPr>
        <w:spacing w:line="240" w:lineRule="auto"/>
        <w:rPr>
          <w:rFonts w:cs="Arial"/>
        </w:rPr>
      </w:pPr>
    </w:p>
    <w:p w:rsidR="00EA2611" w:rsidRPr="00241FAC" w:rsidRDefault="00EA2611" w:rsidP="00EA2611">
      <w:pPr>
        <w:spacing w:line="240" w:lineRule="auto"/>
        <w:rPr>
          <w:rFonts w:cs="Arial"/>
        </w:rPr>
      </w:pPr>
    </w:p>
    <w:p w:rsidR="00EA2611" w:rsidRPr="00241FAC" w:rsidRDefault="00EA2611" w:rsidP="00EA2611">
      <w:pPr>
        <w:spacing w:line="240" w:lineRule="auto"/>
        <w:rPr>
          <w:rFonts w:cs="Arial"/>
        </w:rPr>
      </w:pPr>
    </w:p>
    <w:p w:rsidR="00EA2611" w:rsidRPr="00241FAC" w:rsidRDefault="00EA2611" w:rsidP="00EA2611">
      <w:pPr>
        <w:widowControl w:val="0"/>
        <w:autoSpaceDE w:val="0"/>
        <w:autoSpaceDN w:val="0"/>
        <w:adjustRightInd w:val="0"/>
        <w:rPr>
          <w:rFonts w:cs="Arial"/>
          <w:b/>
        </w:rPr>
      </w:pPr>
      <w:r w:rsidRPr="00241FAC">
        <w:rPr>
          <w:rFonts w:cs="Arial"/>
          <w:b/>
          <w:lang w:val="es-CO"/>
        </w:rPr>
        <w:t>H</w:t>
      </w:r>
      <w:r w:rsidRPr="00241FAC">
        <w:rPr>
          <w:rFonts w:cs="Arial"/>
          <w:b/>
        </w:rPr>
        <w:t>ERNÁN ANDRADE RINCÓN</w:t>
      </w:r>
      <w:r w:rsidRPr="00241FAC">
        <w:rPr>
          <w:rFonts w:cs="Arial"/>
          <w:b/>
        </w:rPr>
        <w:tab/>
      </w:r>
      <w:r w:rsidRPr="00241FAC">
        <w:rPr>
          <w:rFonts w:cs="Arial"/>
          <w:b/>
        </w:rPr>
        <w:tab/>
        <w:t xml:space="preserve">         MAURICIO FAJARDO GÓMEZ</w:t>
      </w:r>
    </w:p>
    <w:p w:rsidR="00EA2611" w:rsidRPr="00241FAC" w:rsidRDefault="00EA2611" w:rsidP="00EA2611">
      <w:pPr>
        <w:widowControl w:val="0"/>
        <w:autoSpaceDE w:val="0"/>
        <w:autoSpaceDN w:val="0"/>
        <w:adjustRightInd w:val="0"/>
        <w:rPr>
          <w:rFonts w:cs="Arial"/>
          <w:b/>
        </w:rPr>
      </w:pPr>
    </w:p>
    <w:p w:rsidR="00EA2611" w:rsidRPr="00241FAC" w:rsidRDefault="00EA2611" w:rsidP="00EA2611">
      <w:pPr>
        <w:widowControl w:val="0"/>
        <w:autoSpaceDE w:val="0"/>
        <w:autoSpaceDN w:val="0"/>
        <w:adjustRightInd w:val="0"/>
        <w:rPr>
          <w:rFonts w:cs="Arial"/>
          <w:b/>
        </w:rPr>
      </w:pPr>
    </w:p>
    <w:p w:rsidR="00EA2611" w:rsidRPr="00241FAC" w:rsidRDefault="00EA2611" w:rsidP="00EA2611">
      <w:pPr>
        <w:widowControl w:val="0"/>
        <w:autoSpaceDE w:val="0"/>
        <w:autoSpaceDN w:val="0"/>
        <w:adjustRightInd w:val="0"/>
        <w:rPr>
          <w:rFonts w:cs="Arial"/>
          <w:b/>
        </w:rPr>
      </w:pPr>
    </w:p>
    <w:p w:rsidR="00EA2611" w:rsidRPr="00241FAC" w:rsidRDefault="00EA2611" w:rsidP="00EA2611">
      <w:pPr>
        <w:widowControl w:val="0"/>
        <w:autoSpaceDE w:val="0"/>
        <w:autoSpaceDN w:val="0"/>
        <w:adjustRightInd w:val="0"/>
        <w:jc w:val="center"/>
        <w:rPr>
          <w:rFonts w:cs="Arial"/>
          <w:b/>
        </w:rPr>
      </w:pPr>
      <w:r w:rsidRPr="00241FAC">
        <w:rPr>
          <w:rFonts w:cs="Arial"/>
          <w:b/>
        </w:rPr>
        <w:t>CARLOS ALBERTO ZAMBRANO BARRERA</w:t>
      </w:r>
    </w:p>
    <w:sectPr w:rsidR="00EA2611" w:rsidRPr="00241FAC" w:rsidSect="009D7CE6">
      <w:headerReference w:type="even" r:id="rId11"/>
      <w:headerReference w:type="default" r:id="rId12"/>
      <w:footerReference w:type="even" r:id="rId13"/>
      <w:pgSz w:w="12242" w:h="18705" w:code="119"/>
      <w:pgMar w:top="1701" w:right="1701" w:bottom="1701" w:left="1701" w:header="0" w:footer="0"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ECB" w:rsidRDefault="005D2ECB" w:rsidP="00C85395">
      <w:r>
        <w:separator/>
      </w:r>
    </w:p>
  </w:endnote>
  <w:endnote w:type="continuationSeparator" w:id="0">
    <w:p w:rsidR="005D2ECB" w:rsidRDefault="005D2ECB" w:rsidP="00C85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JICAK+Arial">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63E" w:rsidRDefault="0059763E" w:rsidP="0064345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9763E" w:rsidRDefault="0059763E" w:rsidP="00643457">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ECB" w:rsidRDefault="005D2ECB" w:rsidP="00C85395">
      <w:r>
        <w:separator/>
      </w:r>
    </w:p>
  </w:footnote>
  <w:footnote w:type="continuationSeparator" w:id="0">
    <w:p w:rsidR="005D2ECB" w:rsidRDefault="005D2ECB" w:rsidP="00C85395">
      <w:r>
        <w:continuationSeparator/>
      </w:r>
    </w:p>
  </w:footnote>
  <w:footnote w:id="1">
    <w:p w:rsidR="0059763E" w:rsidRDefault="0059763E" w:rsidP="001F4664">
      <w:pPr>
        <w:pStyle w:val="Textonotapie"/>
        <w:spacing w:line="240" w:lineRule="auto"/>
        <w:rPr>
          <w:sz w:val="18"/>
          <w:szCs w:val="18"/>
        </w:rPr>
      </w:pPr>
      <w:r w:rsidRPr="00E67B35">
        <w:rPr>
          <w:rStyle w:val="Refdenotaalpie"/>
          <w:sz w:val="18"/>
          <w:szCs w:val="18"/>
        </w:rPr>
        <w:footnoteRef/>
      </w:r>
      <w:r w:rsidRPr="00E67B35">
        <w:rPr>
          <w:sz w:val="18"/>
          <w:szCs w:val="18"/>
        </w:rPr>
        <w:t xml:space="preserve"> </w:t>
      </w:r>
      <w:r>
        <w:rPr>
          <w:sz w:val="18"/>
          <w:szCs w:val="18"/>
        </w:rPr>
        <w:t>Entidad territorial de carácter municipal.</w:t>
      </w:r>
    </w:p>
    <w:p w:rsidR="0059763E" w:rsidRPr="00E67B35" w:rsidRDefault="0059763E" w:rsidP="004D2045">
      <w:pPr>
        <w:pStyle w:val="Textonotapie"/>
        <w:spacing w:line="240" w:lineRule="auto"/>
        <w:rPr>
          <w:sz w:val="18"/>
          <w:szCs w:val="18"/>
          <w:lang w:val="es-CO"/>
        </w:rPr>
      </w:pPr>
      <w:r>
        <w:rPr>
          <w:sz w:val="18"/>
          <w:szCs w:val="18"/>
        </w:rPr>
        <w:t>.</w:t>
      </w:r>
    </w:p>
  </w:footnote>
  <w:footnote w:id="2">
    <w:p w:rsidR="0059763E" w:rsidRPr="00763010" w:rsidRDefault="0059763E" w:rsidP="00763010">
      <w:pPr>
        <w:pStyle w:val="NormalWeb"/>
        <w:spacing w:line="240" w:lineRule="auto"/>
        <w:rPr>
          <w:rFonts w:cs="Arial"/>
          <w:i/>
          <w:sz w:val="18"/>
          <w:szCs w:val="18"/>
        </w:rPr>
      </w:pPr>
      <w:r w:rsidRPr="00763010">
        <w:rPr>
          <w:rStyle w:val="Refdenotaalpie"/>
          <w:sz w:val="18"/>
          <w:szCs w:val="18"/>
        </w:rPr>
        <w:footnoteRef/>
      </w:r>
      <w:r w:rsidRPr="00763010">
        <w:rPr>
          <w:sz w:val="18"/>
          <w:szCs w:val="18"/>
        </w:rPr>
        <w:t xml:space="preserve"> </w:t>
      </w:r>
      <w:r>
        <w:rPr>
          <w:sz w:val="18"/>
          <w:szCs w:val="18"/>
        </w:rPr>
        <w:t>“</w:t>
      </w:r>
      <w:r w:rsidRPr="00763010">
        <w:rPr>
          <w:rFonts w:cs="Arial"/>
          <w:bCs/>
          <w:i/>
          <w:sz w:val="18"/>
          <w:szCs w:val="18"/>
        </w:rPr>
        <w:t>Artículo 1º.-</w:t>
      </w:r>
      <w:r w:rsidRPr="00763010">
        <w:rPr>
          <w:rFonts w:cs="Arial"/>
          <w:i/>
          <w:sz w:val="18"/>
          <w:szCs w:val="18"/>
        </w:rPr>
        <w:t xml:space="preserve"> Los pliegos de condiciones o términos de referencia deberán indicar el presupuesto oficial de la licitación o concurso, y las consecuencias que se deriven del hecho de que las propuestas no se ajusten al mismo.</w:t>
      </w:r>
    </w:p>
    <w:p w:rsidR="0059763E" w:rsidRPr="00763010" w:rsidRDefault="0059763E" w:rsidP="00763010">
      <w:pPr>
        <w:spacing w:before="100" w:beforeAutospacing="1" w:after="100" w:afterAutospacing="1" w:line="240" w:lineRule="auto"/>
        <w:rPr>
          <w:rFonts w:cs="Arial"/>
          <w:sz w:val="18"/>
          <w:szCs w:val="18"/>
        </w:rPr>
      </w:pPr>
      <w:r w:rsidRPr="00763010">
        <w:rPr>
          <w:rFonts w:cs="Arial"/>
          <w:bCs/>
          <w:i/>
          <w:sz w:val="18"/>
          <w:szCs w:val="18"/>
        </w:rPr>
        <w:t>Artículo 2º</w:t>
      </w:r>
      <w:r w:rsidRPr="00763010">
        <w:rPr>
          <w:rFonts w:cs="Arial"/>
          <w:b/>
          <w:bCs/>
          <w:i/>
          <w:sz w:val="18"/>
          <w:szCs w:val="18"/>
        </w:rPr>
        <w:t>.-</w:t>
      </w:r>
      <w:r w:rsidRPr="00763010">
        <w:rPr>
          <w:rFonts w:cs="Arial"/>
          <w:i/>
          <w:sz w:val="18"/>
          <w:szCs w:val="18"/>
        </w:rPr>
        <w:t xml:space="preserve"> Las observaciones formuladas por los oferentes a los estudios técnicos, económicos y jurídicos elaborados por la entidad para la evaluación de las propuestas deberán ser resueltas por el jefe de la entidad estatal en el acto de adjudicación.</w:t>
      </w:r>
      <w:r>
        <w:rPr>
          <w:rFonts w:cs="Arial"/>
          <w:i/>
          <w:sz w:val="18"/>
          <w:szCs w:val="18"/>
        </w:rPr>
        <w:t>”</w:t>
      </w:r>
    </w:p>
    <w:p w:rsidR="0059763E" w:rsidRPr="00763010" w:rsidRDefault="0059763E">
      <w:pPr>
        <w:pStyle w:val="Textonotapie"/>
        <w:rPr>
          <w:lang w:val="es-CO"/>
        </w:rPr>
      </w:pPr>
    </w:p>
  </w:footnote>
  <w:footnote w:id="3">
    <w:p w:rsidR="0059763E" w:rsidRPr="007A206B" w:rsidRDefault="0059763E" w:rsidP="00205871">
      <w:pPr>
        <w:spacing w:line="240" w:lineRule="auto"/>
        <w:rPr>
          <w:rFonts w:cs="Arial"/>
          <w:sz w:val="18"/>
          <w:szCs w:val="18"/>
        </w:rPr>
      </w:pPr>
      <w:r w:rsidRPr="007A206B">
        <w:rPr>
          <w:rStyle w:val="Refdenotaalpie"/>
          <w:sz w:val="18"/>
          <w:szCs w:val="18"/>
        </w:rPr>
        <w:footnoteRef/>
      </w:r>
      <w:r w:rsidRPr="007A206B">
        <w:rPr>
          <w:sz w:val="18"/>
          <w:szCs w:val="18"/>
        </w:rPr>
        <w:t xml:space="preserve"> E</w:t>
      </w:r>
      <w:r w:rsidRPr="007A206B">
        <w:rPr>
          <w:rFonts w:cs="Arial"/>
          <w:sz w:val="18"/>
          <w:szCs w:val="18"/>
        </w:rPr>
        <w:t>l artículo 82 del Código Contencioso Administrativo, modificado por la Ley 1107 de 2007, defin</w:t>
      </w:r>
      <w:r>
        <w:rPr>
          <w:rFonts w:cs="Arial"/>
          <w:sz w:val="18"/>
          <w:szCs w:val="18"/>
        </w:rPr>
        <w:t>ió</w:t>
      </w:r>
      <w:r w:rsidRPr="007A206B">
        <w:rPr>
          <w:rFonts w:cs="Arial"/>
          <w:sz w:val="18"/>
          <w:szCs w:val="18"/>
        </w:rPr>
        <w:t xml:space="preserve"> el objeto de la Jurisdicción de lo Contencioso Administrativo, </w:t>
      </w:r>
      <w:r>
        <w:rPr>
          <w:rFonts w:cs="Arial"/>
          <w:sz w:val="18"/>
          <w:szCs w:val="18"/>
        </w:rPr>
        <w:t xml:space="preserve">con base en el criterio objetivo de la actividad de las </w:t>
      </w:r>
      <w:r w:rsidRPr="006A7052">
        <w:rPr>
          <w:rFonts w:cs="Arial"/>
          <w:i/>
          <w:sz w:val="18"/>
          <w:szCs w:val="18"/>
        </w:rPr>
        <w:t>entidades públicas</w:t>
      </w:r>
      <w:r>
        <w:rPr>
          <w:rFonts w:cs="Arial"/>
          <w:sz w:val="18"/>
          <w:szCs w:val="18"/>
        </w:rPr>
        <w:t xml:space="preserve">, en </w:t>
      </w:r>
      <w:r w:rsidRPr="007A206B">
        <w:rPr>
          <w:rFonts w:cs="Arial"/>
          <w:sz w:val="18"/>
          <w:szCs w:val="18"/>
        </w:rPr>
        <w:t>los siguientes términos:</w:t>
      </w:r>
    </w:p>
    <w:p w:rsidR="0059763E" w:rsidRPr="007A206B" w:rsidRDefault="0059763E" w:rsidP="00205871">
      <w:pPr>
        <w:rPr>
          <w:rFonts w:cs="Arial"/>
          <w:b/>
          <w:bCs/>
          <w:sz w:val="18"/>
          <w:szCs w:val="18"/>
        </w:rPr>
      </w:pPr>
    </w:p>
    <w:p w:rsidR="0059763E" w:rsidRPr="007A206B" w:rsidRDefault="0059763E" w:rsidP="00205871">
      <w:pPr>
        <w:tabs>
          <w:tab w:val="left" w:pos="851"/>
        </w:tabs>
        <w:adjustRightInd w:val="0"/>
        <w:spacing w:line="240" w:lineRule="auto"/>
        <w:ind w:left="851" w:right="567"/>
        <w:textAlignment w:val="center"/>
        <w:rPr>
          <w:rFonts w:cs="Arial"/>
          <w:i/>
          <w:iCs/>
          <w:color w:val="000000"/>
          <w:sz w:val="18"/>
          <w:szCs w:val="18"/>
          <w:lang w:val="es-ES_tradnl"/>
        </w:rPr>
      </w:pPr>
      <w:r w:rsidRPr="007A206B">
        <w:rPr>
          <w:rFonts w:cs="Arial"/>
          <w:i/>
          <w:iCs/>
          <w:color w:val="000000"/>
          <w:sz w:val="18"/>
          <w:szCs w:val="18"/>
          <w:lang w:val="es-ES_tradnl"/>
        </w:rPr>
        <w:t>“Artículo 1°. El artículo 82 del Código Contencioso Administrativo modificado por el artículo 30 de la Ley 446 de 1998, quedará así:</w:t>
      </w:r>
    </w:p>
    <w:p w:rsidR="0059763E" w:rsidRPr="007A206B" w:rsidRDefault="0059763E" w:rsidP="00205871">
      <w:pPr>
        <w:tabs>
          <w:tab w:val="left" w:pos="851"/>
        </w:tabs>
        <w:adjustRightInd w:val="0"/>
        <w:spacing w:line="240" w:lineRule="auto"/>
        <w:ind w:left="851" w:right="567"/>
        <w:textAlignment w:val="center"/>
        <w:rPr>
          <w:rFonts w:cs="Arial"/>
          <w:i/>
          <w:iCs/>
          <w:color w:val="000000"/>
          <w:sz w:val="18"/>
          <w:szCs w:val="18"/>
          <w:lang w:val="es-ES_tradnl"/>
        </w:rPr>
      </w:pPr>
      <w:r w:rsidRPr="007A206B">
        <w:rPr>
          <w:rFonts w:cs="Arial"/>
          <w:i/>
          <w:iCs/>
          <w:color w:val="000000"/>
          <w:sz w:val="18"/>
          <w:szCs w:val="18"/>
          <w:lang w:val="es-ES_tradnl"/>
        </w:rPr>
        <w:tab/>
      </w:r>
      <w:r w:rsidRPr="007A206B">
        <w:rPr>
          <w:rFonts w:cs="Arial"/>
          <w:i/>
          <w:iCs/>
          <w:color w:val="000000"/>
          <w:sz w:val="18"/>
          <w:szCs w:val="18"/>
          <w:lang w:val="es-ES_tradnl"/>
        </w:rPr>
        <w:tab/>
      </w:r>
    </w:p>
    <w:p w:rsidR="0059763E" w:rsidRPr="007A206B" w:rsidRDefault="0059763E" w:rsidP="00205871">
      <w:pPr>
        <w:tabs>
          <w:tab w:val="left" w:pos="851"/>
        </w:tabs>
        <w:adjustRightInd w:val="0"/>
        <w:spacing w:line="240" w:lineRule="auto"/>
        <w:ind w:left="851" w:right="567"/>
        <w:textAlignment w:val="center"/>
        <w:rPr>
          <w:rFonts w:cs="Arial"/>
          <w:i/>
          <w:iCs/>
          <w:color w:val="000000"/>
          <w:sz w:val="18"/>
          <w:szCs w:val="18"/>
          <w:lang w:val="es-ES_tradnl"/>
        </w:rPr>
      </w:pPr>
      <w:r w:rsidRPr="007A206B">
        <w:rPr>
          <w:rFonts w:cs="Arial"/>
          <w:i/>
          <w:iCs/>
          <w:color w:val="000000"/>
          <w:sz w:val="18"/>
          <w:szCs w:val="18"/>
          <w:lang w:val="es-ES_tradnl"/>
        </w:rPr>
        <w:t xml:space="preserve">“Artículo 82. Objeto de la jurisdicción de lo contencioso administrativo. La jurisdicción de lo contencioso administrativo está instituida para juzgar las controversias y litigios originados en la actividad de las </w:t>
      </w:r>
      <w:r w:rsidRPr="007A206B">
        <w:rPr>
          <w:rFonts w:cs="Arial"/>
          <w:b/>
          <w:bCs/>
          <w:i/>
          <w:iCs/>
          <w:color w:val="000000"/>
          <w:sz w:val="18"/>
          <w:szCs w:val="18"/>
          <w:lang w:val="es-ES_tradnl"/>
        </w:rPr>
        <w:t xml:space="preserve">entidades públicas </w:t>
      </w:r>
      <w:r w:rsidRPr="007A206B">
        <w:rPr>
          <w:rFonts w:cs="Arial"/>
          <w:i/>
          <w:iCs/>
          <w:color w:val="000000"/>
          <w:sz w:val="18"/>
          <w:szCs w:val="18"/>
          <w:lang w:val="es-ES_tradnl"/>
        </w:rPr>
        <w:t>incluidas las sociedades de economía mixta con capital público superior al 50% y de las personas privadas que desempeñen funciones propias de los distintos órganos del Estado. Se ejerce por el Consejo de Estado, los tribunales administrativos y los juzgados administrativos de conformidad con la Constitución y la ley.”</w:t>
      </w:r>
    </w:p>
    <w:p w:rsidR="0059763E" w:rsidRPr="007A206B" w:rsidRDefault="0059763E" w:rsidP="00205871">
      <w:pPr>
        <w:pStyle w:val="Textonotapie"/>
        <w:rPr>
          <w:sz w:val="18"/>
          <w:szCs w:val="18"/>
          <w:lang w:val="es-CO"/>
        </w:rPr>
      </w:pPr>
    </w:p>
  </w:footnote>
  <w:footnote w:id="4">
    <w:p w:rsidR="0059763E" w:rsidRDefault="0059763E" w:rsidP="00205871">
      <w:pPr>
        <w:spacing w:line="240" w:lineRule="auto"/>
        <w:rPr>
          <w:rStyle w:val="Nmerodepgina"/>
          <w:rFonts w:cs="Arial"/>
          <w:sz w:val="18"/>
          <w:szCs w:val="18"/>
        </w:rPr>
      </w:pPr>
      <w:r w:rsidRPr="00D42F0D">
        <w:rPr>
          <w:rStyle w:val="Nmerodepgina"/>
          <w:rFonts w:cs="Arial"/>
          <w:sz w:val="18"/>
          <w:szCs w:val="18"/>
          <w:vertAlign w:val="superscript"/>
        </w:rPr>
        <w:footnoteRef/>
      </w:r>
      <w:r w:rsidRPr="00D42F0D">
        <w:rPr>
          <w:rStyle w:val="Nmerodepgina"/>
          <w:rFonts w:cs="Arial"/>
          <w:sz w:val="18"/>
          <w:szCs w:val="18"/>
        </w:rPr>
        <w:t xml:space="preserve"> Según </w:t>
      </w:r>
      <w:r>
        <w:rPr>
          <w:rStyle w:val="Nmerodepgina"/>
          <w:rFonts w:cs="Arial"/>
          <w:sz w:val="18"/>
          <w:szCs w:val="18"/>
        </w:rPr>
        <w:t>el artículo 32 de la Ley 80 de 1993</w:t>
      </w:r>
      <w:r w:rsidRPr="00D42F0D">
        <w:rPr>
          <w:rStyle w:val="Nmerodepgina"/>
          <w:rFonts w:cs="Arial"/>
          <w:sz w:val="18"/>
          <w:szCs w:val="18"/>
        </w:rPr>
        <w:t>, son contratos estatales aquellos celebrados por las entidades descritas en el artículo 2º de la Ley 80 de 1993, el cual dispone:</w:t>
      </w:r>
    </w:p>
    <w:p w:rsidR="0059763E" w:rsidRPr="00D42F0D" w:rsidRDefault="0059763E" w:rsidP="00205871">
      <w:pPr>
        <w:spacing w:line="240" w:lineRule="auto"/>
        <w:rPr>
          <w:rStyle w:val="Nmerodepgina"/>
          <w:rFonts w:cs="Arial"/>
          <w:sz w:val="18"/>
          <w:szCs w:val="18"/>
        </w:rPr>
      </w:pPr>
    </w:p>
    <w:p w:rsidR="0059763E" w:rsidRDefault="0059763E" w:rsidP="00205871">
      <w:pPr>
        <w:spacing w:line="240" w:lineRule="auto"/>
        <w:rPr>
          <w:rStyle w:val="Nmerodepgina"/>
          <w:rFonts w:cs="Arial"/>
          <w:i/>
          <w:iCs/>
          <w:sz w:val="18"/>
          <w:szCs w:val="18"/>
        </w:rPr>
      </w:pPr>
      <w:r w:rsidRPr="00D42F0D">
        <w:rPr>
          <w:rStyle w:val="Nmerodepgina"/>
          <w:rFonts w:cs="Arial"/>
          <w:i/>
          <w:iCs/>
          <w:sz w:val="18"/>
          <w:szCs w:val="18"/>
        </w:rPr>
        <w:t xml:space="preserve">“Para los solos efectos de esta ley: </w:t>
      </w:r>
    </w:p>
    <w:p w:rsidR="0059763E" w:rsidRPr="00D42F0D" w:rsidRDefault="0059763E" w:rsidP="00205871">
      <w:pPr>
        <w:spacing w:line="240" w:lineRule="auto"/>
        <w:rPr>
          <w:rStyle w:val="Nmerodepgina"/>
          <w:rFonts w:cs="Arial"/>
          <w:i/>
          <w:iCs/>
          <w:sz w:val="18"/>
          <w:szCs w:val="18"/>
        </w:rPr>
      </w:pPr>
    </w:p>
    <w:p w:rsidR="0059763E" w:rsidRDefault="0059763E" w:rsidP="00205871">
      <w:pPr>
        <w:spacing w:line="240" w:lineRule="auto"/>
        <w:rPr>
          <w:rStyle w:val="Nmerodepgina"/>
          <w:rFonts w:cs="Arial"/>
          <w:i/>
          <w:iCs/>
          <w:sz w:val="18"/>
          <w:szCs w:val="18"/>
        </w:rPr>
      </w:pPr>
      <w:r w:rsidRPr="00D42F0D">
        <w:rPr>
          <w:rStyle w:val="Nmerodepgina"/>
          <w:rFonts w:cs="Arial"/>
          <w:i/>
          <w:iCs/>
          <w:sz w:val="18"/>
          <w:szCs w:val="18"/>
        </w:rPr>
        <w:t xml:space="preserve">“1o. Se denominan entidades estatales: </w:t>
      </w:r>
    </w:p>
    <w:p w:rsidR="0059763E" w:rsidRPr="00D42F0D" w:rsidRDefault="0059763E" w:rsidP="00205871">
      <w:pPr>
        <w:spacing w:line="240" w:lineRule="auto"/>
        <w:rPr>
          <w:rStyle w:val="Nmerodepgina"/>
          <w:rFonts w:cs="Arial"/>
          <w:i/>
          <w:iCs/>
          <w:sz w:val="18"/>
          <w:szCs w:val="18"/>
        </w:rPr>
      </w:pPr>
    </w:p>
    <w:p w:rsidR="0059763E" w:rsidRPr="00E40E31" w:rsidRDefault="0059763E" w:rsidP="00205871">
      <w:pPr>
        <w:spacing w:line="240" w:lineRule="auto"/>
        <w:rPr>
          <w:rStyle w:val="Nmerodepgina"/>
          <w:rFonts w:cs="Arial"/>
          <w:iCs/>
          <w:sz w:val="18"/>
          <w:szCs w:val="18"/>
        </w:rPr>
      </w:pPr>
      <w:r w:rsidRPr="00D42F0D">
        <w:rPr>
          <w:rStyle w:val="Nmerodepgina"/>
          <w:rFonts w:cs="Arial"/>
          <w:i/>
          <w:iCs/>
          <w:sz w:val="18"/>
          <w:szCs w:val="18"/>
        </w:rPr>
        <w:t xml:space="preserve">“a) La Nación, las regiones, los  departamentos, las provincias, el distrito capital y los distritos especiales, las áreas metropolitanas, las asociaciones de municipios, los territorios indígenas </w:t>
      </w:r>
      <w:r w:rsidRPr="00814E8B">
        <w:rPr>
          <w:rStyle w:val="Nmerodepgina"/>
          <w:rFonts w:cs="Arial"/>
          <w:b/>
          <w:i/>
          <w:iCs/>
          <w:sz w:val="18"/>
          <w:szCs w:val="18"/>
        </w:rPr>
        <w:t>y los municipios;</w:t>
      </w:r>
      <w:r w:rsidRPr="00182E44">
        <w:rPr>
          <w:rStyle w:val="Nmerodepgina"/>
          <w:rFonts w:cs="Arial"/>
          <w:b/>
          <w:i/>
          <w:iCs/>
          <w:sz w:val="18"/>
          <w:szCs w:val="18"/>
        </w:rPr>
        <w:t xml:space="preserve"> </w:t>
      </w:r>
      <w:r w:rsidRPr="00814E8B">
        <w:rPr>
          <w:rStyle w:val="Nmerodepgina"/>
          <w:rFonts w:cs="Arial"/>
          <w:i/>
          <w:iCs/>
          <w:sz w:val="18"/>
          <w:szCs w:val="18"/>
        </w:rPr>
        <w:t>los establecimientos públicos</w:t>
      </w:r>
      <w:r w:rsidRPr="00182E44">
        <w:rPr>
          <w:rStyle w:val="Nmerodepgina"/>
          <w:rFonts w:cs="Arial"/>
          <w:b/>
          <w:i/>
          <w:iCs/>
          <w:sz w:val="18"/>
          <w:szCs w:val="18"/>
        </w:rPr>
        <w:t>,</w:t>
      </w:r>
      <w:r w:rsidRPr="00D42F0D">
        <w:rPr>
          <w:rStyle w:val="Nmerodepgina"/>
          <w:rFonts w:cs="Arial"/>
          <w:i/>
          <w:iCs/>
          <w:sz w:val="18"/>
          <w:szCs w:val="18"/>
        </w:rPr>
        <w:t xml:space="preserve">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r>
        <w:rPr>
          <w:rStyle w:val="Nmerodepgina"/>
          <w:rFonts w:cs="Arial"/>
          <w:i/>
          <w:iCs/>
          <w:sz w:val="18"/>
          <w:szCs w:val="18"/>
        </w:rPr>
        <w:t xml:space="preserve"> </w:t>
      </w:r>
      <w:r w:rsidRPr="00E40E31">
        <w:rPr>
          <w:rStyle w:val="Nmerodepgina"/>
          <w:rFonts w:cs="Arial"/>
          <w:iCs/>
          <w:sz w:val="18"/>
          <w:szCs w:val="18"/>
        </w:rPr>
        <w:t>(La negrilla no es del texto, se destaca para distinguir la condición jurídica de la entidad demandada)</w:t>
      </w:r>
      <w:r>
        <w:rPr>
          <w:rStyle w:val="Nmerodepgina"/>
          <w:rFonts w:cs="Arial"/>
          <w:iCs/>
          <w:sz w:val="18"/>
          <w:szCs w:val="18"/>
        </w:rPr>
        <w:t>.</w:t>
      </w:r>
      <w:r w:rsidRPr="00E40E31">
        <w:rPr>
          <w:rStyle w:val="Nmerodepgina"/>
          <w:rFonts w:cs="Arial"/>
          <w:iCs/>
          <w:sz w:val="18"/>
          <w:szCs w:val="18"/>
        </w:rPr>
        <w:t xml:space="preserve"> </w:t>
      </w:r>
    </w:p>
    <w:p w:rsidR="0059763E" w:rsidRPr="00E40E31" w:rsidRDefault="0059763E" w:rsidP="00205871">
      <w:pPr>
        <w:spacing w:line="240" w:lineRule="auto"/>
        <w:rPr>
          <w:sz w:val="18"/>
          <w:szCs w:val="18"/>
        </w:rPr>
      </w:pPr>
    </w:p>
  </w:footnote>
  <w:footnote w:id="5">
    <w:p w:rsidR="0059763E" w:rsidRDefault="0059763E" w:rsidP="00E27368">
      <w:pPr>
        <w:spacing w:line="240" w:lineRule="auto"/>
        <w:rPr>
          <w:rFonts w:cs="Arial"/>
          <w:i/>
          <w:color w:val="000000"/>
          <w:sz w:val="18"/>
          <w:szCs w:val="18"/>
          <w:lang w:val="es-MX" w:eastAsia="es-MX"/>
        </w:rPr>
      </w:pPr>
      <w:r w:rsidRPr="005B7595">
        <w:rPr>
          <w:rStyle w:val="Refdenotaalpie"/>
          <w:rFonts w:cs="Arial"/>
          <w:i/>
          <w:sz w:val="18"/>
          <w:szCs w:val="18"/>
        </w:rPr>
        <w:footnoteRef/>
      </w:r>
      <w:r>
        <w:rPr>
          <w:rFonts w:cs="Arial"/>
          <w:i/>
          <w:sz w:val="18"/>
          <w:szCs w:val="18"/>
        </w:rPr>
        <w:t xml:space="preserve">“Artículo 32 (…) </w:t>
      </w:r>
      <w:r w:rsidRPr="00C355F6">
        <w:rPr>
          <w:rFonts w:cs="Arial"/>
          <w:i/>
          <w:sz w:val="18"/>
          <w:szCs w:val="18"/>
        </w:rPr>
        <w:t>1</w:t>
      </w:r>
      <w:r w:rsidRPr="00C355F6">
        <w:rPr>
          <w:rFonts w:cs="Arial"/>
          <w:bCs/>
          <w:i/>
          <w:color w:val="000000"/>
          <w:sz w:val="18"/>
          <w:szCs w:val="18"/>
          <w:lang w:val="es-MX" w:eastAsia="es-MX"/>
        </w:rPr>
        <w:t>o. Contrato de Obra.</w:t>
      </w:r>
      <w:r>
        <w:rPr>
          <w:rFonts w:cs="Arial"/>
          <w:b/>
          <w:bCs/>
          <w:i/>
          <w:color w:val="000000"/>
          <w:sz w:val="18"/>
          <w:szCs w:val="18"/>
          <w:lang w:val="es-MX" w:eastAsia="es-MX"/>
        </w:rPr>
        <w:t xml:space="preserve"> </w:t>
      </w:r>
      <w:r w:rsidRPr="005B7595">
        <w:rPr>
          <w:rFonts w:cs="Arial"/>
          <w:i/>
          <w:color w:val="000000"/>
          <w:sz w:val="18"/>
          <w:szCs w:val="18"/>
          <w:lang w:val="es-MX" w:eastAsia="es-MX"/>
        </w:rPr>
        <w:t xml:space="preserve">Son contratos de </w:t>
      </w:r>
      <w:r>
        <w:rPr>
          <w:rFonts w:cs="Arial"/>
          <w:i/>
          <w:color w:val="000000"/>
          <w:sz w:val="18"/>
          <w:szCs w:val="18"/>
          <w:lang w:val="es-MX" w:eastAsia="es-MX"/>
        </w:rPr>
        <w:t>obra los que celebren las entidades estatales para la construcción, mantenimiento, instalación y en general para la realización de cualquier otro trabajo material sobre bienes inmuebles, cualquiera que sea la modalidad de ejecución y pago.</w:t>
      </w:r>
    </w:p>
    <w:p w:rsidR="0059763E" w:rsidRPr="005B7595" w:rsidRDefault="0059763E" w:rsidP="00E27368">
      <w:pPr>
        <w:pStyle w:val="Textonotapie"/>
        <w:rPr>
          <w:rFonts w:cs="Arial"/>
          <w:i/>
          <w:sz w:val="18"/>
          <w:szCs w:val="18"/>
          <w:lang w:val="es-MX"/>
        </w:rPr>
      </w:pPr>
    </w:p>
  </w:footnote>
  <w:footnote w:id="6">
    <w:p w:rsidR="0059763E" w:rsidRPr="00C802FC" w:rsidRDefault="0059763E" w:rsidP="00E27368">
      <w:pPr>
        <w:pStyle w:val="Textonotapie"/>
        <w:spacing w:line="240" w:lineRule="auto"/>
        <w:rPr>
          <w:i/>
          <w:sz w:val="18"/>
          <w:szCs w:val="18"/>
          <w:lang w:val="es-CO"/>
        </w:rPr>
      </w:pPr>
      <w:r w:rsidRPr="00C802FC">
        <w:rPr>
          <w:rStyle w:val="Refdenotaalpie"/>
          <w:i/>
          <w:sz w:val="18"/>
          <w:szCs w:val="18"/>
        </w:rPr>
        <w:footnoteRef/>
      </w:r>
      <w:r w:rsidRPr="00C802FC">
        <w:rPr>
          <w:i/>
          <w:sz w:val="18"/>
          <w:szCs w:val="18"/>
        </w:rPr>
        <w:t xml:space="preserve"> </w:t>
      </w:r>
      <w:r w:rsidRPr="00C802FC">
        <w:rPr>
          <w:i/>
          <w:sz w:val="18"/>
          <w:szCs w:val="18"/>
          <w:lang w:val="es-CO"/>
        </w:rPr>
        <w:t>Artículo 87. -</w:t>
      </w:r>
      <w:r w:rsidRPr="00F57323">
        <w:rPr>
          <w:i/>
          <w:sz w:val="18"/>
          <w:szCs w:val="18"/>
          <w:lang w:val="es-CO"/>
        </w:rPr>
        <w:t>De las controversias contractuales</w:t>
      </w:r>
      <w:r w:rsidRPr="00C802FC">
        <w:rPr>
          <w:b/>
          <w:i/>
          <w:sz w:val="18"/>
          <w:szCs w:val="18"/>
          <w:lang w:val="es-CO"/>
        </w:rPr>
        <w:t>.</w:t>
      </w:r>
      <w:r w:rsidRPr="00C802FC">
        <w:rPr>
          <w:i/>
          <w:sz w:val="18"/>
          <w:szCs w:val="18"/>
          <w:lang w:val="es-CO"/>
        </w:rPr>
        <w:t xml:space="preserve"> (…) Los actos proferidos antes de la celebración del contrato, con ocasión de la actividad contractual, serán demandables mediante las acciones de nulidad y de nulidad y restablecimiento del derecho, según el caso, dentro de los treinta (30) días siguientes a su comunicación, notificación o publicación.” </w:t>
      </w:r>
    </w:p>
    <w:p w:rsidR="0059763E" w:rsidRPr="00C802FC" w:rsidRDefault="0059763E" w:rsidP="00E27368">
      <w:pPr>
        <w:pStyle w:val="Textonotapie"/>
        <w:spacing w:line="240" w:lineRule="auto"/>
        <w:rPr>
          <w:i/>
          <w:sz w:val="18"/>
          <w:szCs w:val="18"/>
          <w:lang w:val="es-CO"/>
        </w:rPr>
      </w:pPr>
    </w:p>
  </w:footnote>
  <w:footnote w:id="7">
    <w:p w:rsidR="0059763E" w:rsidRDefault="0059763E" w:rsidP="00E27368">
      <w:pPr>
        <w:pStyle w:val="Textonotapie"/>
        <w:spacing w:line="240" w:lineRule="auto"/>
        <w:rPr>
          <w:i/>
          <w:sz w:val="18"/>
          <w:szCs w:val="18"/>
          <w:lang w:val="es-CO"/>
        </w:rPr>
      </w:pPr>
      <w:r w:rsidRPr="00C802FC">
        <w:rPr>
          <w:rStyle w:val="Refdenotaalpie"/>
          <w:i/>
          <w:sz w:val="18"/>
          <w:szCs w:val="18"/>
        </w:rPr>
        <w:footnoteRef/>
      </w:r>
      <w:r w:rsidRPr="00C802FC">
        <w:rPr>
          <w:i/>
          <w:sz w:val="18"/>
          <w:szCs w:val="18"/>
        </w:rPr>
        <w:t xml:space="preserve"> Artículo 75</w:t>
      </w:r>
      <w:r w:rsidRPr="00F57323">
        <w:rPr>
          <w:i/>
          <w:sz w:val="18"/>
          <w:szCs w:val="18"/>
        </w:rPr>
        <w:t xml:space="preserve">.- </w:t>
      </w:r>
      <w:r w:rsidRPr="00F57323">
        <w:rPr>
          <w:i/>
          <w:sz w:val="18"/>
          <w:szCs w:val="18"/>
          <w:lang w:val="es-CO"/>
        </w:rPr>
        <w:t>Del Juez competente,</w:t>
      </w:r>
      <w:r w:rsidRPr="00C802FC">
        <w:rPr>
          <w:i/>
          <w:sz w:val="18"/>
          <w:szCs w:val="18"/>
          <w:lang w:val="es-CO"/>
        </w:rPr>
        <w:t xml:space="preserve"> Sin perjuicio de lo dispuesto en los artículos anteriores, el juez competente para conocer de las controversias derivadas de los contratos estatales y de los procesos de ejecución o cumplimiento será el de la jurisdicción contencioso administrativo.”</w:t>
      </w:r>
    </w:p>
    <w:p w:rsidR="0059763E" w:rsidRPr="00C802FC" w:rsidRDefault="0059763E" w:rsidP="00E27368">
      <w:pPr>
        <w:pStyle w:val="Textonotapie"/>
        <w:spacing w:line="240" w:lineRule="auto"/>
        <w:rPr>
          <w:i/>
          <w:sz w:val="18"/>
          <w:szCs w:val="18"/>
          <w:lang w:val="es-CO"/>
        </w:rPr>
      </w:pPr>
    </w:p>
  </w:footnote>
  <w:footnote w:id="8">
    <w:p w:rsidR="0059763E" w:rsidRDefault="0059763E" w:rsidP="00FB0549">
      <w:pPr>
        <w:pStyle w:val="Textonotapie"/>
        <w:spacing w:line="240" w:lineRule="auto"/>
        <w:ind w:right="-284"/>
        <w:rPr>
          <w:sz w:val="18"/>
          <w:szCs w:val="18"/>
        </w:rPr>
      </w:pPr>
      <w:r w:rsidRPr="00662B1D">
        <w:rPr>
          <w:rStyle w:val="Refdenotaalpie"/>
          <w:sz w:val="18"/>
          <w:szCs w:val="18"/>
        </w:rPr>
        <w:footnoteRef/>
      </w:r>
      <w:r w:rsidRPr="00662B1D">
        <w:rPr>
          <w:sz w:val="18"/>
          <w:szCs w:val="18"/>
        </w:rPr>
        <w:t xml:space="preserve">  De acuerdo con el salario mínimo mensual legal vigente del año 2000, toda vez que la demanda se presentó el 1</w:t>
      </w:r>
      <w:r>
        <w:rPr>
          <w:sz w:val="18"/>
          <w:szCs w:val="18"/>
        </w:rPr>
        <w:t>6</w:t>
      </w:r>
      <w:r w:rsidRPr="00662B1D">
        <w:rPr>
          <w:sz w:val="18"/>
          <w:szCs w:val="18"/>
        </w:rPr>
        <w:t xml:space="preserve"> de </w:t>
      </w:r>
      <w:r>
        <w:rPr>
          <w:sz w:val="18"/>
          <w:szCs w:val="18"/>
        </w:rPr>
        <w:t xml:space="preserve">noviembre </w:t>
      </w:r>
      <w:r w:rsidRPr="00662B1D">
        <w:rPr>
          <w:sz w:val="18"/>
          <w:szCs w:val="18"/>
        </w:rPr>
        <w:t>de 2000</w:t>
      </w:r>
      <w:r>
        <w:rPr>
          <w:sz w:val="18"/>
          <w:szCs w:val="18"/>
        </w:rPr>
        <w:t xml:space="preserve"> </w:t>
      </w:r>
      <w:r w:rsidRPr="00662B1D">
        <w:rPr>
          <w:sz w:val="18"/>
          <w:szCs w:val="18"/>
        </w:rPr>
        <w:t xml:space="preserve">y el recurso de apelación se interpuso el </w:t>
      </w:r>
      <w:r>
        <w:rPr>
          <w:sz w:val="18"/>
          <w:szCs w:val="18"/>
        </w:rPr>
        <w:t>27</w:t>
      </w:r>
      <w:r w:rsidRPr="00662B1D">
        <w:rPr>
          <w:sz w:val="18"/>
          <w:szCs w:val="18"/>
        </w:rPr>
        <w:t xml:space="preserve"> de </w:t>
      </w:r>
      <w:r>
        <w:rPr>
          <w:sz w:val="18"/>
          <w:szCs w:val="18"/>
        </w:rPr>
        <w:t>julio</w:t>
      </w:r>
      <w:r w:rsidRPr="00662B1D">
        <w:rPr>
          <w:sz w:val="18"/>
          <w:szCs w:val="18"/>
        </w:rPr>
        <w:t xml:space="preserve"> de 2005, en vigencia de la Ley 954 de 2005</w:t>
      </w:r>
      <w:r>
        <w:rPr>
          <w:sz w:val="18"/>
          <w:szCs w:val="18"/>
        </w:rPr>
        <w:t xml:space="preserve"> </w:t>
      </w:r>
      <w:r w:rsidRPr="00662B1D">
        <w:rPr>
          <w:sz w:val="18"/>
          <w:szCs w:val="18"/>
        </w:rPr>
        <w:t xml:space="preserve">(folio </w:t>
      </w:r>
      <w:r>
        <w:rPr>
          <w:sz w:val="18"/>
          <w:szCs w:val="18"/>
        </w:rPr>
        <w:t>199</w:t>
      </w:r>
      <w:r w:rsidRPr="00662B1D">
        <w:rPr>
          <w:sz w:val="18"/>
          <w:szCs w:val="18"/>
        </w:rPr>
        <w:t>, cuaderno principal)</w:t>
      </w:r>
      <w:r>
        <w:rPr>
          <w:sz w:val="18"/>
          <w:szCs w:val="18"/>
        </w:rPr>
        <w:t>.</w:t>
      </w:r>
    </w:p>
    <w:p w:rsidR="0059763E" w:rsidRPr="009F63C0" w:rsidRDefault="0059763E" w:rsidP="00FB0549">
      <w:pPr>
        <w:pStyle w:val="Textonotapie"/>
        <w:spacing w:line="240" w:lineRule="auto"/>
        <w:rPr>
          <w:sz w:val="18"/>
          <w:szCs w:val="18"/>
          <w:lang w:val="es-CO"/>
        </w:rPr>
      </w:pPr>
    </w:p>
  </w:footnote>
  <w:footnote w:id="9">
    <w:p w:rsidR="0059763E" w:rsidRDefault="0059763E" w:rsidP="00BC0EC4">
      <w:pPr>
        <w:pStyle w:val="Textonotapie"/>
        <w:rPr>
          <w:rFonts w:cs="Arial"/>
          <w:sz w:val="18"/>
          <w:szCs w:val="18"/>
        </w:rPr>
      </w:pPr>
      <w:r w:rsidRPr="00F50747">
        <w:rPr>
          <w:rStyle w:val="Refdenotaalpie"/>
          <w:rFonts w:cs="Arial"/>
          <w:sz w:val="18"/>
          <w:szCs w:val="18"/>
        </w:rPr>
        <w:footnoteRef/>
      </w:r>
      <w:r w:rsidRPr="00F50747">
        <w:rPr>
          <w:rFonts w:cs="Arial"/>
          <w:sz w:val="18"/>
          <w:szCs w:val="18"/>
        </w:rPr>
        <w:t xml:space="preserve"> </w:t>
      </w:r>
      <w:r>
        <w:rPr>
          <w:rFonts w:cs="Arial"/>
          <w:sz w:val="18"/>
          <w:szCs w:val="18"/>
        </w:rPr>
        <w:t>Fecha de publicación de la Ley 446 de 1998, en cuyo artículo 164 se dispuso</w:t>
      </w:r>
    </w:p>
    <w:p w:rsidR="0059763E" w:rsidRDefault="0059763E" w:rsidP="00BC0EC4">
      <w:pPr>
        <w:pStyle w:val="Textonotapie"/>
        <w:spacing w:line="240" w:lineRule="auto"/>
        <w:rPr>
          <w:rFonts w:cs="Arial"/>
          <w:i/>
          <w:sz w:val="18"/>
          <w:szCs w:val="18"/>
        </w:rPr>
      </w:pPr>
      <w:r>
        <w:rPr>
          <w:rFonts w:cs="Arial"/>
          <w:i/>
          <w:sz w:val="18"/>
          <w:szCs w:val="18"/>
        </w:rPr>
        <w:t>“</w:t>
      </w:r>
      <w:r w:rsidRPr="004C306B">
        <w:rPr>
          <w:rFonts w:cs="Arial"/>
          <w:i/>
          <w:sz w:val="18"/>
          <w:szCs w:val="18"/>
        </w:rPr>
        <w:t>En los procesos iniciados ante la jurisdicción de lo contencioso administrativa, los recursos interpuestos, la práctica de pruebas decretadas, los términos que hubieren empezado a correr, los incidentes en curso, y las notificaciones y citaciones que se estén surtiendo, se regirán por la ley vigente cuando se interpuso el recurso, se decretaron las pruebas, empezó a correr el término, se promovió el incidente o principio a surtirse la notificación”</w:t>
      </w:r>
      <w:r>
        <w:rPr>
          <w:rFonts w:cs="Arial"/>
          <w:i/>
          <w:sz w:val="18"/>
          <w:szCs w:val="18"/>
        </w:rPr>
        <w:t>.</w:t>
      </w:r>
    </w:p>
    <w:p w:rsidR="0059763E" w:rsidRPr="004C306B" w:rsidRDefault="0059763E" w:rsidP="00BC0EC4">
      <w:pPr>
        <w:pStyle w:val="Textonotapie"/>
        <w:spacing w:line="240" w:lineRule="auto"/>
        <w:rPr>
          <w:rFonts w:cs="Arial"/>
          <w:i/>
          <w:sz w:val="18"/>
          <w:szCs w:val="18"/>
          <w:lang w:val="es-CO"/>
        </w:rPr>
      </w:pPr>
    </w:p>
  </w:footnote>
  <w:footnote w:id="10">
    <w:p w:rsidR="0059763E" w:rsidRPr="00947600" w:rsidRDefault="0059763E" w:rsidP="00BC0EC4">
      <w:pPr>
        <w:pStyle w:val="Textonotapie"/>
        <w:spacing w:line="240" w:lineRule="auto"/>
        <w:rPr>
          <w:sz w:val="18"/>
          <w:szCs w:val="18"/>
          <w:lang w:val="es-CO"/>
        </w:rPr>
      </w:pPr>
      <w:r w:rsidRPr="00947600">
        <w:rPr>
          <w:rStyle w:val="Refdenotaalpie"/>
          <w:sz w:val="18"/>
          <w:szCs w:val="18"/>
        </w:rPr>
        <w:footnoteRef/>
      </w:r>
      <w:r w:rsidRPr="00947600">
        <w:rPr>
          <w:sz w:val="18"/>
          <w:szCs w:val="18"/>
        </w:rPr>
        <w:t xml:space="preserve"> </w:t>
      </w:r>
      <w:r w:rsidRPr="00947600">
        <w:rPr>
          <w:sz w:val="18"/>
          <w:szCs w:val="18"/>
          <w:lang w:val="es-CO"/>
        </w:rPr>
        <w:t>Fecha en la cual empezó a regir el nuevo Código Contencioso Administrativo contenido en la Ley 1437 de 2011, el cual no aplica a las actuaciones administrativas, demandas y procesos en curso, de acuerdo con su artículo 308.</w:t>
      </w:r>
    </w:p>
  </w:footnote>
  <w:footnote w:id="11">
    <w:p w:rsidR="0059763E" w:rsidRDefault="0059763E" w:rsidP="00BC0EC4">
      <w:pPr>
        <w:pStyle w:val="Textonotapie"/>
        <w:spacing w:line="240" w:lineRule="auto"/>
        <w:rPr>
          <w:rFonts w:cs="Arial"/>
          <w:sz w:val="18"/>
          <w:szCs w:val="18"/>
        </w:rPr>
      </w:pPr>
      <w:r w:rsidRPr="00F31596">
        <w:rPr>
          <w:rStyle w:val="Refdenotaalpie"/>
        </w:rPr>
        <w:footnoteRef/>
      </w:r>
      <w:r w:rsidRPr="00F31596">
        <w:t xml:space="preserve"> </w:t>
      </w:r>
      <w:r w:rsidRPr="00F31596">
        <w:rPr>
          <w:sz w:val="18"/>
          <w:szCs w:val="18"/>
        </w:rPr>
        <w:t xml:space="preserve">Consejo de Estado, </w:t>
      </w:r>
      <w:r w:rsidRPr="00F31596">
        <w:rPr>
          <w:rFonts w:cs="Arial"/>
          <w:sz w:val="18"/>
          <w:szCs w:val="18"/>
        </w:rPr>
        <w:t xml:space="preserve">Sala de lo Contencioso Administrativo, Sección Tercera – Subsección A, sentencia de 13 de noviembre de 2013, Radicación 25000232600 1999 02197 01, expediente: 25.646, actor: </w:t>
      </w:r>
      <w:proofErr w:type="spellStart"/>
      <w:r w:rsidRPr="00F31596">
        <w:rPr>
          <w:rFonts w:cs="Arial"/>
          <w:sz w:val="18"/>
          <w:szCs w:val="18"/>
        </w:rPr>
        <w:t>Ciarquelet</w:t>
      </w:r>
      <w:proofErr w:type="spellEnd"/>
      <w:r w:rsidRPr="00F31596">
        <w:rPr>
          <w:rFonts w:cs="Arial"/>
          <w:sz w:val="18"/>
          <w:szCs w:val="18"/>
        </w:rPr>
        <w:t xml:space="preserve"> Ltda., demandados: Distrito Capital – Departamento Administrativo de Acción Comunal Distrital y el Consorcio Comunidad y Construcción.</w:t>
      </w:r>
    </w:p>
    <w:p w:rsidR="0059763E" w:rsidRPr="000605F0" w:rsidRDefault="0059763E" w:rsidP="00BC0EC4">
      <w:pPr>
        <w:pStyle w:val="Textonotapie"/>
        <w:spacing w:line="240" w:lineRule="auto"/>
        <w:rPr>
          <w:lang w:val="es-CO"/>
        </w:rPr>
      </w:pPr>
    </w:p>
    <w:p w:rsidR="0059763E" w:rsidRPr="00A51677" w:rsidRDefault="0059763E" w:rsidP="00BC0EC4">
      <w:pPr>
        <w:pStyle w:val="Textonotapie"/>
        <w:spacing w:line="240" w:lineRule="auto"/>
        <w:rPr>
          <w:sz w:val="18"/>
          <w:szCs w:val="18"/>
          <w:lang w:val="es-CO"/>
        </w:rPr>
      </w:pPr>
      <w:r w:rsidRPr="00A51677">
        <w:rPr>
          <w:rStyle w:val="Refdenotaalpie"/>
          <w:sz w:val="18"/>
          <w:szCs w:val="18"/>
        </w:rPr>
        <w:footnoteRef/>
      </w:r>
      <w:r w:rsidRPr="00A51677">
        <w:rPr>
          <w:sz w:val="18"/>
          <w:szCs w:val="18"/>
        </w:rPr>
        <w:t xml:space="preserve"> </w:t>
      </w:r>
      <w:r w:rsidRPr="00A51677">
        <w:rPr>
          <w:color w:val="000000"/>
          <w:sz w:val="18"/>
          <w:szCs w:val="18"/>
          <w:shd w:val="clear" w:color="auto" w:fill="FFFFFF"/>
        </w:rPr>
        <w:t>C-1048 de 2001</w:t>
      </w:r>
    </w:p>
    <w:p w:rsidR="0059763E" w:rsidRPr="005476BB" w:rsidRDefault="0059763E" w:rsidP="00BC0EC4">
      <w:pPr>
        <w:pStyle w:val="Textonotapie"/>
        <w:rPr>
          <w:lang w:val="es-CO"/>
        </w:rPr>
      </w:pPr>
    </w:p>
  </w:footnote>
  <w:footnote w:id="12">
    <w:p w:rsidR="0059763E" w:rsidRPr="00A51677" w:rsidRDefault="0059763E" w:rsidP="00205871">
      <w:pPr>
        <w:pStyle w:val="Textonotapie"/>
        <w:rPr>
          <w:sz w:val="18"/>
          <w:szCs w:val="18"/>
          <w:lang w:val="es-CO"/>
        </w:rPr>
      </w:pPr>
      <w:r w:rsidRPr="00A51677">
        <w:rPr>
          <w:rStyle w:val="Refdenotaalpie"/>
          <w:sz w:val="18"/>
          <w:szCs w:val="18"/>
        </w:rPr>
        <w:footnoteRef/>
      </w:r>
      <w:r w:rsidRPr="00A51677">
        <w:rPr>
          <w:sz w:val="18"/>
          <w:szCs w:val="18"/>
        </w:rPr>
        <w:t xml:space="preserve"> </w:t>
      </w:r>
      <w:r w:rsidRPr="00A51677">
        <w:rPr>
          <w:color w:val="000000"/>
          <w:sz w:val="18"/>
          <w:szCs w:val="18"/>
          <w:shd w:val="clear" w:color="auto" w:fill="FFFFFF"/>
        </w:rPr>
        <w:t>C-1048 de 2001</w:t>
      </w:r>
    </w:p>
  </w:footnote>
  <w:footnote w:id="13">
    <w:p w:rsidR="0059763E" w:rsidRDefault="0059763E"/>
    <w:p w:rsidR="0059763E" w:rsidRPr="00A36D17" w:rsidRDefault="0059763E" w:rsidP="00205871">
      <w:pPr>
        <w:spacing w:line="240" w:lineRule="auto"/>
        <w:rPr>
          <w:sz w:val="18"/>
          <w:szCs w:val="18"/>
          <w:lang w:val="es-CO"/>
        </w:rPr>
      </w:pPr>
    </w:p>
  </w:footnote>
  <w:footnote w:id="14">
    <w:p w:rsidR="0059763E" w:rsidRDefault="0059763E" w:rsidP="00A60701">
      <w:pPr>
        <w:pStyle w:val="Textonotapie"/>
        <w:spacing w:line="240" w:lineRule="auto"/>
        <w:rPr>
          <w:sz w:val="18"/>
          <w:szCs w:val="18"/>
          <w:lang w:val="es-CO"/>
        </w:rPr>
      </w:pPr>
      <w:r w:rsidRPr="004D72B6">
        <w:rPr>
          <w:rStyle w:val="Refdenotaalpie"/>
          <w:sz w:val="18"/>
          <w:szCs w:val="18"/>
        </w:rPr>
        <w:footnoteRef/>
      </w:r>
      <w:r w:rsidRPr="004D72B6">
        <w:rPr>
          <w:sz w:val="18"/>
          <w:szCs w:val="18"/>
        </w:rPr>
        <w:t xml:space="preserve"> Comparando 30 días hábiles con 520 días hábiles</w:t>
      </w:r>
      <w:r>
        <w:rPr>
          <w:sz w:val="18"/>
          <w:szCs w:val="18"/>
        </w:rPr>
        <w:t>,</w:t>
      </w:r>
      <w:r w:rsidRPr="004D72B6">
        <w:rPr>
          <w:sz w:val="18"/>
          <w:szCs w:val="18"/>
        </w:rPr>
        <w:t xml:space="preserve"> correspondientes a 52 semana de 5 días hábiles por cada uno de los 2 años.</w:t>
      </w:r>
      <w:r w:rsidRPr="004D72B6">
        <w:rPr>
          <w:sz w:val="18"/>
          <w:szCs w:val="18"/>
          <w:lang w:val="es-CO"/>
        </w:rPr>
        <w:t xml:space="preserve"> </w:t>
      </w:r>
    </w:p>
    <w:p w:rsidR="0059763E" w:rsidRPr="004D72B6" w:rsidRDefault="0059763E" w:rsidP="00A60701">
      <w:pPr>
        <w:pStyle w:val="Textonotapie"/>
        <w:spacing w:line="240" w:lineRule="auto"/>
        <w:rPr>
          <w:sz w:val="18"/>
          <w:szCs w:val="18"/>
          <w:lang w:val="es-CO"/>
        </w:rPr>
      </w:pPr>
    </w:p>
  </w:footnote>
  <w:footnote w:id="15">
    <w:p w:rsidR="0059763E" w:rsidRPr="001F09C9" w:rsidRDefault="0059763E" w:rsidP="00A60701">
      <w:pPr>
        <w:pStyle w:val="Textonotapie"/>
        <w:spacing w:line="240" w:lineRule="auto"/>
        <w:rPr>
          <w:sz w:val="18"/>
          <w:szCs w:val="18"/>
          <w:lang w:val="es-CO"/>
        </w:rPr>
      </w:pPr>
      <w:r w:rsidRPr="000F05BD">
        <w:rPr>
          <w:rStyle w:val="Refdenotaalpie"/>
          <w:i/>
          <w:sz w:val="18"/>
          <w:szCs w:val="18"/>
        </w:rPr>
        <w:footnoteRef/>
      </w:r>
      <w:r w:rsidRPr="000F05BD">
        <w:rPr>
          <w:i/>
          <w:sz w:val="18"/>
          <w:szCs w:val="18"/>
        </w:rPr>
        <w:t xml:space="preserve"> “</w:t>
      </w:r>
      <w:r w:rsidRPr="000F05BD">
        <w:rPr>
          <w:i/>
          <w:sz w:val="18"/>
          <w:szCs w:val="18"/>
          <w:lang w:val="es-CO"/>
        </w:rPr>
        <w:t>Según la Corte Constitucional, la nueva versión del artículo 87 del Código Contencioso Administrativo situó nuestro sistema en medio camino, entre la doctrina de la separabilidad absoluta de los actos previos, aquella de la inseparabilidad de los mismos, además que combina las ventajas garantistas y proteccionistas de los derechos de terceros a la relación contractual, propias de la primera, con los principios de la eficacia y celeridad consagrados en el artículo 209, que se hallan en la segunda doctrina de la carta Política</w:t>
      </w:r>
      <w:r w:rsidRPr="000F05BD">
        <w:rPr>
          <w:sz w:val="18"/>
          <w:szCs w:val="18"/>
          <w:lang w:val="es-CO"/>
        </w:rPr>
        <w:t xml:space="preserve">.”  Sentencia C 1048 de 2001, comentada por: Galindo </w:t>
      </w:r>
      <w:proofErr w:type="spellStart"/>
      <w:r w:rsidRPr="000F05BD">
        <w:rPr>
          <w:sz w:val="18"/>
          <w:szCs w:val="18"/>
          <w:lang w:val="es-CO"/>
        </w:rPr>
        <w:t>V</w:t>
      </w:r>
      <w:r>
        <w:rPr>
          <w:sz w:val="18"/>
          <w:szCs w:val="18"/>
          <w:lang w:val="es-CO"/>
        </w:rPr>
        <w:t>á</w:t>
      </w:r>
      <w:r w:rsidRPr="000F05BD">
        <w:rPr>
          <w:sz w:val="18"/>
          <w:szCs w:val="18"/>
          <w:lang w:val="es-CO"/>
        </w:rPr>
        <w:t>cha</w:t>
      </w:r>
      <w:proofErr w:type="spellEnd"/>
      <w:r w:rsidRPr="000F05BD">
        <w:rPr>
          <w:sz w:val="18"/>
          <w:szCs w:val="18"/>
          <w:lang w:val="es-CO"/>
        </w:rPr>
        <w:t xml:space="preserve"> Juan Carlos, Lecciones de Derecho Procesal Administrativo, Volumen I, Pontificia Universidad Javeriana, Facultad de Ciencias Jurídicas, Colección </w:t>
      </w:r>
      <w:proofErr w:type="spellStart"/>
      <w:r w:rsidRPr="000F05BD">
        <w:rPr>
          <w:sz w:val="18"/>
          <w:szCs w:val="18"/>
          <w:lang w:val="es-CO"/>
        </w:rPr>
        <w:t>Discentibus</w:t>
      </w:r>
      <w:proofErr w:type="spellEnd"/>
      <w:r w:rsidRPr="000F05BD">
        <w:rPr>
          <w:sz w:val="18"/>
          <w:szCs w:val="18"/>
          <w:lang w:val="es-CO"/>
        </w:rPr>
        <w:t xml:space="preserve"> auxilia 1, Bogotá 2003, </w:t>
      </w:r>
      <w:proofErr w:type="spellStart"/>
      <w:r w:rsidRPr="000F05BD">
        <w:rPr>
          <w:sz w:val="18"/>
          <w:szCs w:val="18"/>
          <w:lang w:val="es-CO"/>
        </w:rPr>
        <w:t>pg</w:t>
      </w:r>
      <w:proofErr w:type="spellEnd"/>
      <w:r>
        <w:rPr>
          <w:sz w:val="18"/>
          <w:szCs w:val="18"/>
          <w:lang w:val="es-CO"/>
        </w:rPr>
        <w:t>,</w:t>
      </w:r>
      <w:r w:rsidRPr="000F05BD">
        <w:rPr>
          <w:sz w:val="18"/>
          <w:szCs w:val="18"/>
          <w:lang w:val="es-CO"/>
        </w:rPr>
        <w:t xml:space="preserve"> 430.</w:t>
      </w:r>
    </w:p>
    <w:p w:rsidR="0059763E" w:rsidRPr="008A79FD" w:rsidRDefault="0059763E" w:rsidP="00A60701">
      <w:pPr>
        <w:pStyle w:val="Textonotapie"/>
        <w:rPr>
          <w:lang w:val="es-CO"/>
        </w:rPr>
      </w:pPr>
    </w:p>
  </w:footnote>
  <w:footnote w:id="16">
    <w:p w:rsidR="0059763E" w:rsidRDefault="0059763E" w:rsidP="00A60701">
      <w:pPr>
        <w:pStyle w:val="Textonotapie"/>
        <w:spacing w:line="240" w:lineRule="auto"/>
        <w:rPr>
          <w:lang w:val="es-CO"/>
        </w:rPr>
      </w:pPr>
      <w:r w:rsidRPr="009A4FF3">
        <w:rPr>
          <w:rStyle w:val="Refdenotaalpie"/>
        </w:rPr>
        <w:footnoteRef/>
      </w:r>
      <w:r w:rsidRPr="009A4FF3">
        <w:t xml:space="preserve"> </w:t>
      </w:r>
      <w:r w:rsidRPr="009A4FF3">
        <w:rPr>
          <w:sz w:val="18"/>
          <w:szCs w:val="18"/>
          <w:lang w:val="es-CO"/>
        </w:rPr>
        <w:t xml:space="preserve">Se acude aquí tanto a la interpretación gramatical como sistemática del texto del artículo 87 del Código Contencioso Administrativo modificado por la Ley 446 de 1998, de conformidad con las reglas de interpretación de los artículos 27 y 30 del Código Civil, para lo cual se emplea una técnica de hermenéutica jurídica conocida como la </w:t>
      </w:r>
      <w:r w:rsidRPr="009A4FF3">
        <w:rPr>
          <w:i/>
          <w:sz w:val="18"/>
          <w:szCs w:val="18"/>
          <w:lang w:val="es-CO"/>
        </w:rPr>
        <w:t>reducción al absurdo</w:t>
      </w:r>
      <w:r w:rsidRPr="009A4FF3">
        <w:rPr>
          <w:sz w:val="18"/>
          <w:szCs w:val="18"/>
          <w:lang w:val="es-CO"/>
        </w:rPr>
        <w:t>, puesto que evidentemente si la interpretación fuera la contraria, se llegaría a la consecuencia de que el término de 30 días fijado en la norma no tendría ningún alcance y que su vencimiento no conllevaría ningún efecto -puesto que estaría subsumido en el término general de 2 años- con lo cual se llegaría al absurdo de un</w:t>
      </w:r>
      <w:r>
        <w:rPr>
          <w:sz w:val="18"/>
          <w:szCs w:val="18"/>
          <w:lang w:val="es-CO"/>
        </w:rPr>
        <w:t>a</w:t>
      </w:r>
      <w:r w:rsidRPr="009A4FF3">
        <w:rPr>
          <w:sz w:val="18"/>
          <w:szCs w:val="18"/>
          <w:lang w:val="es-CO"/>
        </w:rPr>
        <w:t xml:space="preserve"> disposición legal sin sentido u objeto, cuestión que resultaría contraria al principio de interpretación normativa, reiteradamente aplicado por la jurisprudencia del Consejo de Estado, del </w:t>
      </w:r>
      <w:r w:rsidRPr="009A4FF3">
        <w:rPr>
          <w:i/>
          <w:sz w:val="18"/>
          <w:szCs w:val="18"/>
          <w:lang w:val="es-CO"/>
        </w:rPr>
        <w:t>efecto útil de la norma</w:t>
      </w:r>
      <w:r w:rsidRPr="009A4FF3">
        <w:rPr>
          <w:sz w:val="18"/>
          <w:szCs w:val="18"/>
          <w:lang w:val="es-CO"/>
        </w:rPr>
        <w:t>.</w:t>
      </w:r>
      <w:r>
        <w:rPr>
          <w:lang w:val="es-CO"/>
        </w:rPr>
        <w:t xml:space="preserve"> </w:t>
      </w:r>
    </w:p>
    <w:p w:rsidR="0059763E" w:rsidRPr="00E62FD8" w:rsidRDefault="0059763E" w:rsidP="00A60701">
      <w:pPr>
        <w:pStyle w:val="Textonotapie"/>
        <w:spacing w:line="240" w:lineRule="auto"/>
        <w:rPr>
          <w:lang w:val="es-CO"/>
        </w:rPr>
      </w:pPr>
    </w:p>
  </w:footnote>
  <w:footnote w:id="17">
    <w:p w:rsidR="0059763E" w:rsidRPr="009A4FF3" w:rsidRDefault="0059763E" w:rsidP="00A60701">
      <w:pPr>
        <w:pStyle w:val="Textonotapie"/>
        <w:spacing w:line="240" w:lineRule="auto"/>
        <w:rPr>
          <w:sz w:val="18"/>
          <w:szCs w:val="18"/>
        </w:rPr>
      </w:pPr>
      <w:r w:rsidRPr="009A4FF3">
        <w:rPr>
          <w:rStyle w:val="Refdenotaalpie"/>
          <w:sz w:val="18"/>
          <w:szCs w:val="18"/>
        </w:rPr>
        <w:footnoteRef/>
      </w:r>
      <w:r w:rsidRPr="009A4FF3">
        <w:rPr>
          <w:sz w:val="18"/>
          <w:szCs w:val="18"/>
        </w:rPr>
        <w:t xml:space="preserve"> De acuerdo con la sentencia C-712 de 2005 se advirtió que la posibilidad de demandar en forma separada los actos precontractuales cesa a partir de la celebración del contrato respectivo, interpretación en la cual se siguió la jurisprudencia del Consejo de Estado en auto de 13 de diciembre de 2001, expediente 19.777 y que se ha respetado en diversos pronunciamientos de la Sección Tercera de esta Corporación, según se relacionó anteriormente en el cuadro resumen de jurisprudencia.</w:t>
      </w:r>
    </w:p>
    <w:p w:rsidR="0059763E" w:rsidRPr="00684F90" w:rsidRDefault="0059763E" w:rsidP="00A60701">
      <w:pPr>
        <w:pStyle w:val="Textonotapie"/>
        <w:rPr>
          <w:sz w:val="18"/>
          <w:szCs w:val="18"/>
          <w:lang w:val="es-CO"/>
        </w:rPr>
      </w:pPr>
    </w:p>
  </w:footnote>
  <w:footnote w:id="18">
    <w:p w:rsidR="0059763E" w:rsidRDefault="0059763E" w:rsidP="00A60701">
      <w:pPr>
        <w:pStyle w:val="Textonotapie"/>
        <w:spacing w:line="240" w:lineRule="auto"/>
        <w:rPr>
          <w:sz w:val="18"/>
          <w:szCs w:val="18"/>
        </w:rPr>
      </w:pPr>
      <w:r w:rsidRPr="00AB2BCD">
        <w:rPr>
          <w:rStyle w:val="Refdenotaalpie"/>
          <w:sz w:val="18"/>
          <w:szCs w:val="18"/>
        </w:rPr>
        <w:footnoteRef/>
      </w:r>
      <w:r w:rsidRPr="00AB2BCD">
        <w:rPr>
          <w:sz w:val="18"/>
          <w:szCs w:val="18"/>
        </w:rPr>
        <w:t xml:space="preserve"> Esta conclusión se apoya también con un argumento </w:t>
      </w:r>
      <w:r w:rsidRPr="00AB2BCD">
        <w:rPr>
          <w:i/>
          <w:sz w:val="18"/>
          <w:szCs w:val="18"/>
        </w:rPr>
        <w:t>a contrario sensu</w:t>
      </w:r>
      <w:r w:rsidRPr="00AB2BCD">
        <w:rPr>
          <w:sz w:val="18"/>
          <w:szCs w:val="18"/>
        </w:rPr>
        <w:t>, que se utiliza para cuidarse de no extender la consecuencia de la norma a casos no previstos en ella, como sería la de permitir a la acción que se incoa después de vencido el término de 30 días un alcance distinto del establecido explícitamente en la parte final del párrafo segundo del artículo 87, cual es el de obtener la nulidad del contrato celebrado; en este sentido</w:t>
      </w:r>
      <w:r>
        <w:rPr>
          <w:sz w:val="18"/>
          <w:szCs w:val="18"/>
        </w:rPr>
        <w:t>,</w:t>
      </w:r>
      <w:r w:rsidRPr="00AB2BCD">
        <w:rPr>
          <w:sz w:val="18"/>
          <w:szCs w:val="18"/>
        </w:rPr>
        <w:t xml:space="preserve"> el argumento que soporta la hipótesis consiste en señalar que la norma dispone que antes del vencimiento del término de los 30 días </w:t>
      </w:r>
      <w:r>
        <w:rPr>
          <w:sz w:val="18"/>
          <w:szCs w:val="18"/>
        </w:rPr>
        <w:t xml:space="preserve">sí </w:t>
      </w:r>
      <w:r w:rsidRPr="00AB2BCD">
        <w:rPr>
          <w:sz w:val="18"/>
          <w:szCs w:val="18"/>
        </w:rPr>
        <w:t xml:space="preserve">no se ha celebrado el contrato, procede demandar el acto en forma separada con el objeto de obtener su nulidad o la nulidad y el restablecimiento del derecho y </w:t>
      </w:r>
      <w:r w:rsidRPr="00AB2BCD">
        <w:rPr>
          <w:i/>
          <w:sz w:val="18"/>
          <w:szCs w:val="18"/>
        </w:rPr>
        <w:t>en sentido contrario</w:t>
      </w:r>
      <w:r w:rsidRPr="00AB2BCD">
        <w:rPr>
          <w:sz w:val="18"/>
          <w:szCs w:val="18"/>
        </w:rPr>
        <w:t xml:space="preserve"> una vez vencido el término mencionado s</w:t>
      </w:r>
      <w:r>
        <w:rPr>
          <w:sz w:val="18"/>
          <w:szCs w:val="18"/>
        </w:rPr>
        <w:t>ó</w:t>
      </w:r>
      <w:r w:rsidRPr="00AB2BCD">
        <w:rPr>
          <w:sz w:val="18"/>
          <w:szCs w:val="18"/>
        </w:rPr>
        <w:t>lo procede la impugnación conjunta de ambos actos y con el objeto exclusivo de la declaratoria de nulidad del contrato, lo cual excluye el restablecimiento del derecho no impetrado oportunamente.</w:t>
      </w:r>
    </w:p>
    <w:p w:rsidR="0059763E" w:rsidRPr="00BC7BF0" w:rsidRDefault="0059763E" w:rsidP="00A60701">
      <w:pPr>
        <w:pStyle w:val="Textonotapie"/>
        <w:spacing w:line="240" w:lineRule="auto"/>
        <w:rPr>
          <w:sz w:val="18"/>
          <w:szCs w:val="18"/>
          <w:lang w:val="es-CO"/>
        </w:rPr>
      </w:pPr>
    </w:p>
  </w:footnote>
  <w:footnote w:id="19">
    <w:p w:rsidR="0059763E" w:rsidRPr="00DD7209" w:rsidRDefault="0059763E" w:rsidP="00205871">
      <w:pPr>
        <w:pStyle w:val="Textonotapie"/>
        <w:spacing w:line="240" w:lineRule="auto"/>
        <w:rPr>
          <w:rFonts w:cs="Arial"/>
          <w:i/>
          <w:color w:val="000000"/>
          <w:sz w:val="18"/>
          <w:szCs w:val="18"/>
        </w:rPr>
      </w:pPr>
      <w:r w:rsidRPr="00586F03">
        <w:rPr>
          <w:rStyle w:val="Refdenotaalpie"/>
          <w:rFonts w:cs="Arial"/>
          <w:sz w:val="18"/>
          <w:szCs w:val="18"/>
        </w:rPr>
        <w:footnoteRef/>
      </w:r>
      <w:r w:rsidRPr="00586F03">
        <w:rPr>
          <w:rFonts w:cs="Arial"/>
          <w:sz w:val="18"/>
          <w:szCs w:val="18"/>
        </w:rPr>
        <w:t xml:space="preserve"> Ley 4 de 1913.</w:t>
      </w:r>
      <w:r>
        <w:rPr>
          <w:rFonts w:cs="Arial"/>
          <w:sz w:val="18"/>
          <w:szCs w:val="18"/>
        </w:rPr>
        <w:t xml:space="preserve"> A</w:t>
      </w:r>
      <w:r w:rsidRPr="00586F03">
        <w:rPr>
          <w:rFonts w:cs="Arial"/>
          <w:sz w:val="18"/>
          <w:szCs w:val="18"/>
        </w:rPr>
        <w:t>rtículo 62</w:t>
      </w:r>
      <w:r w:rsidRPr="00586F03">
        <w:rPr>
          <w:rStyle w:val="textonavy"/>
          <w:rFonts w:cs="Arial"/>
          <w:color w:val="000080"/>
          <w:sz w:val="18"/>
          <w:szCs w:val="18"/>
        </w:rPr>
        <w:t>.</w:t>
      </w:r>
      <w:r>
        <w:rPr>
          <w:rStyle w:val="textonavy"/>
          <w:rFonts w:cs="Arial"/>
          <w:color w:val="000080"/>
          <w:sz w:val="18"/>
          <w:szCs w:val="18"/>
        </w:rPr>
        <w:t xml:space="preserve"> “</w:t>
      </w:r>
      <w:r w:rsidRPr="00DD7209">
        <w:rPr>
          <w:rFonts w:cs="Arial"/>
          <w:i/>
          <w:color w:val="000000"/>
          <w:sz w:val="18"/>
          <w:szCs w:val="18"/>
        </w:rPr>
        <w:t>En los plazos de días que se señalen en las leyes y actos oficiales, se entienden suprimidos los feriados y de vacantes, a menos de expresarse lo contrario. Los de meses y años se computan según el calendario; pero si el último día fuere feriado o de vacante, se extenderá el plazo hasta el primer día hábil.”</w:t>
      </w:r>
    </w:p>
    <w:p w:rsidR="0059763E" w:rsidRPr="00586F03" w:rsidRDefault="0059763E" w:rsidP="00205871">
      <w:pPr>
        <w:pStyle w:val="Textonotapie"/>
        <w:spacing w:line="240" w:lineRule="auto"/>
        <w:rPr>
          <w:rFonts w:cs="Arial"/>
          <w:sz w:val="18"/>
          <w:szCs w:val="18"/>
        </w:rPr>
      </w:pPr>
    </w:p>
  </w:footnote>
  <w:footnote w:id="20">
    <w:p w:rsidR="0059763E" w:rsidRDefault="0059763E" w:rsidP="00D30C3C">
      <w:pPr>
        <w:pStyle w:val="Textonotapie"/>
        <w:spacing w:line="240" w:lineRule="auto"/>
        <w:rPr>
          <w:rFonts w:cs="Arial"/>
          <w:sz w:val="18"/>
          <w:szCs w:val="18"/>
        </w:rPr>
      </w:pPr>
      <w:r w:rsidRPr="00D30C3C">
        <w:rPr>
          <w:rStyle w:val="Refdenotaalpie"/>
          <w:sz w:val="18"/>
          <w:szCs w:val="18"/>
        </w:rPr>
        <w:footnoteRef/>
      </w:r>
      <w:r w:rsidRPr="00D30C3C">
        <w:rPr>
          <w:sz w:val="18"/>
          <w:szCs w:val="18"/>
        </w:rPr>
        <w:t xml:space="preserve"> El </w:t>
      </w:r>
      <w:r>
        <w:rPr>
          <w:sz w:val="18"/>
          <w:szCs w:val="18"/>
        </w:rPr>
        <w:t>12</w:t>
      </w:r>
      <w:r w:rsidRPr="00D30C3C">
        <w:rPr>
          <w:sz w:val="18"/>
          <w:szCs w:val="18"/>
        </w:rPr>
        <w:t xml:space="preserve"> de </w:t>
      </w:r>
      <w:r>
        <w:rPr>
          <w:sz w:val="18"/>
          <w:szCs w:val="18"/>
        </w:rPr>
        <w:t xml:space="preserve">octubre. </w:t>
      </w:r>
      <w:r>
        <w:rPr>
          <w:rFonts w:cs="Arial"/>
          <w:sz w:val="18"/>
          <w:szCs w:val="18"/>
        </w:rPr>
        <w:t>2 de noviembre y 11 de noviembre</w:t>
      </w:r>
      <w:r w:rsidRPr="00D30C3C">
        <w:rPr>
          <w:rFonts w:cs="Arial"/>
          <w:sz w:val="18"/>
          <w:szCs w:val="18"/>
        </w:rPr>
        <w:t xml:space="preserve">, </w:t>
      </w:r>
      <w:r>
        <w:rPr>
          <w:rFonts w:cs="Arial"/>
          <w:sz w:val="18"/>
          <w:szCs w:val="18"/>
        </w:rPr>
        <w:t>f</w:t>
      </w:r>
      <w:r w:rsidRPr="00D30C3C">
        <w:rPr>
          <w:rFonts w:cs="Arial"/>
          <w:sz w:val="18"/>
          <w:szCs w:val="18"/>
        </w:rPr>
        <w:t>estivo</w:t>
      </w:r>
      <w:r>
        <w:rPr>
          <w:rFonts w:cs="Arial"/>
          <w:sz w:val="18"/>
          <w:szCs w:val="18"/>
        </w:rPr>
        <w:t>s</w:t>
      </w:r>
      <w:r w:rsidRPr="00D30C3C">
        <w:rPr>
          <w:rFonts w:cs="Arial"/>
          <w:sz w:val="18"/>
          <w:szCs w:val="18"/>
        </w:rPr>
        <w:t xml:space="preserve"> trasladado</w:t>
      </w:r>
      <w:r>
        <w:rPr>
          <w:rFonts w:cs="Arial"/>
          <w:sz w:val="18"/>
          <w:szCs w:val="18"/>
        </w:rPr>
        <w:t>s</w:t>
      </w:r>
      <w:r w:rsidRPr="00D30C3C">
        <w:rPr>
          <w:rFonts w:cs="Arial"/>
          <w:sz w:val="18"/>
          <w:szCs w:val="18"/>
        </w:rPr>
        <w:t xml:space="preserve"> al lunes siguiente, </w:t>
      </w:r>
      <w:r>
        <w:rPr>
          <w:rFonts w:cs="Arial"/>
          <w:sz w:val="18"/>
          <w:szCs w:val="18"/>
        </w:rPr>
        <w:t xml:space="preserve">de acuerdo con </w:t>
      </w:r>
      <w:r w:rsidRPr="00D30C3C">
        <w:rPr>
          <w:rFonts w:cs="Arial"/>
          <w:sz w:val="18"/>
          <w:szCs w:val="18"/>
        </w:rPr>
        <w:t xml:space="preserve">la Ley 51 de 1983. </w:t>
      </w:r>
    </w:p>
    <w:p w:rsidR="0059763E" w:rsidRPr="00D30C3C" w:rsidRDefault="0059763E" w:rsidP="00D30C3C">
      <w:pPr>
        <w:pStyle w:val="Textonotapie"/>
        <w:spacing w:line="240" w:lineRule="auto"/>
        <w:rPr>
          <w:sz w:val="18"/>
          <w:szCs w:val="18"/>
          <w:lang w:val="es-CO"/>
        </w:rPr>
      </w:pPr>
    </w:p>
  </w:footnote>
  <w:footnote w:id="21">
    <w:p w:rsidR="0059763E" w:rsidRPr="00895B30" w:rsidRDefault="0059763E">
      <w:pPr>
        <w:pStyle w:val="Textonotapie"/>
        <w:rPr>
          <w:sz w:val="18"/>
          <w:szCs w:val="18"/>
          <w:lang w:val="es-CO"/>
        </w:rPr>
      </w:pPr>
      <w:r w:rsidRPr="00895B30">
        <w:rPr>
          <w:rStyle w:val="Refdenotaalpie"/>
          <w:sz w:val="18"/>
          <w:szCs w:val="18"/>
        </w:rPr>
        <w:footnoteRef/>
      </w:r>
      <w:r w:rsidRPr="00895B30">
        <w:rPr>
          <w:sz w:val="18"/>
          <w:szCs w:val="18"/>
        </w:rPr>
        <w:t xml:space="preserve"> </w:t>
      </w:r>
      <w:r w:rsidRPr="00895B30">
        <w:rPr>
          <w:sz w:val="18"/>
          <w:szCs w:val="18"/>
          <w:lang w:val="es-CO"/>
        </w:rPr>
        <w:t>Folio 34, cuaderno 6, Pliego de Condiciones, punto 37.</w:t>
      </w:r>
    </w:p>
  </w:footnote>
  <w:footnote w:id="22">
    <w:p w:rsidR="0059763E" w:rsidRPr="001C3772" w:rsidRDefault="0059763E" w:rsidP="00205871">
      <w:pPr>
        <w:spacing w:line="240" w:lineRule="auto"/>
        <w:jc w:val="left"/>
        <w:rPr>
          <w:rFonts w:cs="Arial"/>
          <w:sz w:val="18"/>
          <w:szCs w:val="18"/>
        </w:rPr>
      </w:pPr>
      <w:r>
        <w:rPr>
          <w:rStyle w:val="Refdenotaalpie"/>
        </w:rPr>
        <w:footnoteRef/>
      </w:r>
      <w:r>
        <w:t xml:space="preserve"> </w:t>
      </w:r>
      <w:r>
        <w:rPr>
          <w:rFonts w:cs="Arial"/>
          <w:sz w:val="18"/>
          <w:szCs w:val="18"/>
        </w:rPr>
        <w:t xml:space="preserve">Consejo de Estado, Sala de lo Contencioso Administrativo, Sección Tercera, Sala Plena: </w:t>
      </w:r>
      <w:r w:rsidRPr="001C3772">
        <w:rPr>
          <w:rFonts w:cs="Arial"/>
          <w:sz w:val="18"/>
          <w:szCs w:val="18"/>
        </w:rPr>
        <w:t xml:space="preserve">Radicación No.:25000 23 26 000 1997 13930 01, </w:t>
      </w:r>
      <w:r>
        <w:rPr>
          <w:rFonts w:cs="Arial"/>
          <w:sz w:val="18"/>
          <w:szCs w:val="18"/>
        </w:rPr>
        <w:t>e</w:t>
      </w:r>
      <w:r w:rsidRPr="001C3772">
        <w:rPr>
          <w:rFonts w:cs="Arial"/>
          <w:sz w:val="18"/>
          <w:szCs w:val="18"/>
        </w:rPr>
        <w:t>xpediente No.</w:t>
      </w:r>
      <w:r>
        <w:rPr>
          <w:rFonts w:cs="Arial"/>
          <w:sz w:val="18"/>
          <w:szCs w:val="18"/>
        </w:rPr>
        <w:t xml:space="preserve"> </w:t>
      </w:r>
      <w:r w:rsidRPr="001C3772">
        <w:rPr>
          <w:rFonts w:cs="Arial"/>
          <w:sz w:val="18"/>
          <w:szCs w:val="18"/>
        </w:rPr>
        <w:t xml:space="preserve">19.933, </w:t>
      </w:r>
      <w:r>
        <w:rPr>
          <w:rFonts w:cs="Arial"/>
          <w:sz w:val="18"/>
          <w:szCs w:val="18"/>
        </w:rPr>
        <w:t>a</w:t>
      </w:r>
      <w:r w:rsidRPr="001C3772">
        <w:rPr>
          <w:rFonts w:cs="Arial"/>
          <w:sz w:val="18"/>
          <w:szCs w:val="18"/>
        </w:rPr>
        <w:t>ctor:</w:t>
      </w:r>
      <w:r>
        <w:rPr>
          <w:rFonts w:cs="Arial"/>
          <w:sz w:val="18"/>
          <w:szCs w:val="18"/>
        </w:rPr>
        <w:t xml:space="preserve"> </w:t>
      </w:r>
      <w:r w:rsidRPr="001C3772">
        <w:rPr>
          <w:rFonts w:cs="Arial"/>
          <w:sz w:val="18"/>
          <w:szCs w:val="18"/>
        </w:rPr>
        <w:t>Consorcio</w:t>
      </w:r>
      <w:r>
        <w:rPr>
          <w:rFonts w:cs="Arial"/>
          <w:sz w:val="18"/>
          <w:szCs w:val="18"/>
        </w:rPr>
        <w:t xml:space="preserve"> </w:t>
      </w:r>
      <w:proofErr w:type="spellStart"/>
      <w:r w:rsidRPr="001C3772">
        <w:rPr>
          <w:rFonts w:cs="Arial"/>
          <w:sz w:val="18"/>
          <w:szCs w:val="18"/>
        </w:rPr>
        <w:t>Glonmarex</w:t>
      </w:r>
      <w:proofErr w:type="spellEnd"/>
      <w:r w:rsidRPr="001C3772">
        <w:rPr>
          <w:rFonts w:cs="Arial"/>
          <w:sz w:val="18"/>
          <w:szCs w:val="18"/>
        </w:rPr>
        <w:t>,</w:t>
      </w:r>
      <w:r>
        <w:rPr>
          <w:rFonts w:cs="Arial"/>
          <w:sz w:val="18"/>
          <w:szCs w:val="18"/>
        </w:rPr>
        <w:t xml:space="preserve"> d</w:t>
      </w:r>
      <w:r w:rsidRPr="001C3772">
        <w:rPr>
          <w:rFonts w:cs="Arial"/>
          <w:sz w:val="18"/>
          <w:szCs w:val="18"/>
        </w:rPr>
        <w:t>emandado:</w:t>
      </w:r>
      <w:r>
        <w:rPr>
          <w:rFonts w:cs="Arial"/>
          <w:sz w:val="18"/>
          <w:szCs w:val="18"/>
        </w:rPr>
        <w:t xml:space="preserve"> </w:t>
      </w:r>
      <w:r w:rsidRPr="001C3772">
        <w:rPr>
          <w:rFonts w:cs="Arial"/>
          <w:sz w:val="18"/>
          <w:szCs w:val="18"/>
        </w:rPr>
        <w:t>Consejo Superior de la Judicatura –Dirección Ejecutiva de Administración Judicial-</w:t>
      </w:r>
      <w:r>
        <w:rPr>
          <w:rFonts w:cs="Arial"/>
          <w:sz w:val="18"/>
          <w:szCs w:val="18"/>
        </w:rPr>
        <w:t xml:space="preserve">. </w:t>
      </w:r>
    </w:p>
    <w:p w:rsidR="0059763E" w:rsidRPr="0011634B" w:rsidRDefault="0059763E" w:rsidP="00205871">
      <w:pPr>
        <w:pStyle w:val="Cuadrculamedia1-nfasis21"/>
        <w:rPr>
          <w:rFonts w:ascii="Times New Roman" w:eastAsia="Times New Roman" w:hAnsi="Times New Roman"/>
          <w:szCs w:val="24"/>
          <w:lang w:val="es-CO" w:eastAsia="es-ES"/>
        </w:rPr>
      </w:pPr>
    </w:p>
    <w:p w:rsidR="0059763E" w:rsidRPr="008F61F6" w:rsidRDefault="0059763E" w:rsidP="00205871">
      <w:pPr>
        <w:pStyle w:val="Textonotapie"/>
        <w:rPr>
          <w:lang w:val="es-MX"/>
        </w:rPr>
      </w:pPr>
    </w:p>
  </w:footnote>
  <w:footnote w:id="23">
    <w:p w:rsidR="0059763E" w:rsidRDefault="0059763E" w:rsidP="00267437">
      <w:pPr>
        <w:pStyle w:val="Textonotapie"/>
        <w:rPr>
          <w:rFonts w:cs="Arial"/>
          <w:sz w:val="18"/>
          <w:szCs w:val="18"/>
        </w:rPr>
      </w:pPr>
    </w:p>
    <w:p w:rsidR="0059763E" w:rsidRDefault="0059763E" w:rsidP="008E711E">
      <w:pPr>
        <w:pStyle w:val="Textonotapie"/>
        <w:spacing w:line="240" w:lineRule="auto"/>
        <w:rPr>
          <w:rFonts w:cs="Arial"/>
          <w:sz w:val="18"/>
          <w:szCs w:val="18"/>
        </w:rPr>
      </w:pPr>
      <w:r>
        <w:rPr>
          <w:rStyle w:val="Refdenotaalpie"/>
          <w:rFonts w:cs="Arial"/>
          <w:sz w:val="18"/>
          <w:szCs w:val="18"/>
        </w:rPr>
        <w:footnoteRef/>
      </w:r>
      <w:r>
        <w:rPr>
          <w:rFonts w:cs="Arial"/>
          <w:sz w:val="18"/>
          <w:szCs w:val="18"/>
        </w:rPr>
        <w:t xml:space="preserve"> Pruebas relacionadas con las propuestas presentadas por los distintos proponentes, que aparecen en los cuadernos 5 a 12.</w:t>
      </w:r>
    </w:p>
    <w:p w:rsidR="0059763E" w:rsidRDefault="0059763E" w:rsidP="008E711E">
      <w:pPr>
        <w:pStyle w:val="Textonotapie"/>
        <w:spacing w:line="240" w:lineRule="auto"/>
        <w:rPr>
          <w:rFonts w:cs="Arial"/>
          <w:sz w:val="18"/>
          <w:szCs w:val="18"/>
        </w:rPr>
      </w:pPr>
    </w:p>
  </w:footnote>
  <w:footnote w:id="24">
    <w:p w:rsidR="0059763E" w:rsidRDefault="0059763E" w:rsidP="00267437">
      <w:pPr>
        <w:tabs>
          <w:tab w:val="left" w:pos="4920"/>
        </w:tabs>
        <w:spacing w:line="240" w:lineRule="auto"/>
        <w:rPr>
          <w:rFonts w:cs="Arial"/>
          <w:sz w:val="18"/>
          <w:szCs w:val="18"/>
        </w:rPr>
      </w:pPr>
      <w:r>
        <w:rPr>
          <w:rStyle w:val="Refdenotaalpie"/>
          <w:rFonts w:cs="Arial"/>
          <w:sz w:val="18"/>
          <w:szCs w:val="18"/>
        </w:rPr>
        <w:footnoteRef/>
      </w:r>
      <w:r>
        <w:rPr>
          <w:rFonts w:cs="Arial"/>
          <w:sz w:val="18"/>
          <w:szCs w:val="18"/>
        </w:rPr>
        <w:t xml:space="preserve"> En este sentido se pronunció, de manera reciente esta Subsección, a través de sentencia de marzo 10 de 2011, expediente  19.347.</w:t>
      </w:r>
    </w:p>
    <w:p w:rsidR="0059763E" w:rsidRDefault="0059763E" w:rsidP="00267437">
      <w:pPr>
        <w:tabs>
          <w:tab w:val="left" w:pos="4920"/>
        </w:tabs>
        <w:spacing w:line="240" w:lineRule="auto"/>
        <w:rPr>
          <w:rFonts w:cs="Arial"/>
          <w:sz w:val="18"/>
          <w:szCs w:val="18"/>
        </w:rPr>
      </w:pPr>
    </w:p>
  </w:footnote>
  <w:footnote w:id="25">
    <w:p w:rsidR="0059763E" w:rsidRDefault="0059763E" w:rsidP="00267437">
      <w:pPr>
        <w:pStyle w:val="Textonotapie"/>
        <w:spacing w:line="240" w:lineRule="auto"/>
        <w:rPr>
          <w:rFonts w:cs="Arial"/>
          <w:sz w:val="18"/>
          <w:szCs w:val="18"/>
          <w:lang w:val="es-MX"/>
        </w:rPr>
      </w:pPr>
      <w:r>
        <w:rPr>
          <w:rStyle w:val="Refdenotaalpie"/>
          <w:sz w:val="18"/>
          <w:szCs w:val="18"/>
        </w:rPr>
        <w:footnoteRef/>
      </w:r>
      <w:r>
        <w:rPr>
          <w:sz w:val="18"/>
          <w:szCs w:val="18"/>
        </w:rPr>
        <w:t xml:space="preserve"> </w:t>
      </w:r>
      <w:r>
        <w:rPr>
          <w:rFonts w:cs="Arial"/>
          <w:sz w:val="18"/>
          <w:szCs w:val="18"/>
          <w:lang w:val="es-MX"/>
        </w:rPr>
        <w:t>Consejo de Estado. Sección Tercera. Sentencia del 28 de agosto de 2013. M.P.: Dr. Enrique Gil Botero. Expediente: 25.022.</w:t>
      </w:r>
    </w:p>
    <w:p w:rsidR="0059763E" w:rsidRDefault="0059763E" w:rsidP="00267437">
      <w:pPr>
        <w:pStyle w:val="Textonotapie"/>
        <w:spacing w:line="240" w:lineRule="auto"/>
        <w:rPr>
          <w:rFonts w:ascii="Times New Roman" w:hAnsi="Times New Roman"/>
        </w:rPr>
      </w:pPr>
    </w:p>
  </w:footnote>
  <w:footnote w:id="26">
    <w:p w:rsidR="0059763E" w:rsidRDefault="0059763E" w:rsidP="00267437">
      <w:pPr>
        <w:pStyle w:val="Textonotapie"/>
        <w:spacing w:line="240" w:lineRule="auto"/>
      </w:pPr>
      <w:r>
        <w:rPr>
          <w:rStyle w:val="Refdenotaalpie"/>
          <w:rFonts w:cs="Arial"/>
          <w:sz w:val="18"/>
          <w:szCs w:val="18"/>
        </w:rPr>
        <w:footnoteRef/>
      </w:r>
      <w:r>
        <w:rPr>
          <w:rFonts w:cs="Arial"/>
          <w:sz w:val="18"/>
          <w:szCs w:val="18"/>
        </w:rPr>
        <w:t xml:space="preserve"> Si bien el Magistrado Ponente de esta providencia no compartió la posición mayoritaria frente a este asunto, lo cierto es que se acoge a la nueva línea jurisprudencial fijada por la Sala en aras del respeto de la misma y el principio de eficiencia</w:t>
      </w:r>
      <w:r>
        <w:rPr>
          <w:rFonts w:cs="Arial"/>
        </w:rPr>
        <w:t>.</w:t>
      </w:r>
    </w:p>
  </w:footnote>
  <w:footnote w:id="27">
    <w:p w:rsidR="0059763E" w:rsidRDefault="0059763E" w:rsidP="000E35AE">
      <w:pPr>
        <w:shd w:val="clear" w:color="auto" w:fill="FFFFFF"/>
        <w:spacing w:line="240" w:lineRule="auto"/>
        <w:rPr>
          <w:rFonts w:cs="Arial"/>
          <w:bCs/>
          <w:color w:val="000000"/>
          <w:sz w:val="18"/>
          <w:szCs w:val="18"/>
        </w:rPr>
      </w:pPr>
      <w:r>
        <w:rPr>
          <w:rStyle w:val="Refdenotaalpie"/>
          <w:rFonts w:cs="Arial"/>
          <w:i/>
          <w:sz w:val="18"/>
          <w:szCs w:val="18"/>
        </w:rPr>
        <w:footnoteRef/>
      </w:r>
      <w:r>
        <w:rPr>
          <w:rFonts w:cs="Arial"/>
          <w:i/>
          <w:sz w:val="18"/>
          <w:szCs w:val="18"/>
        </w:rPr>
        <w:t xml:space="preserve"> (…) </w:t>
      </w:r>
      <w:r>
        <w:rPr>
          <w:rFonts w:cs="Arial"/>
          <w:i/>
          <w:color w:val="000000"/>
          <w:sz w:val="18"/>
          <w:szCs w:val="18"/>
          <w:shd w:val="clear" w:color="auto" w:fill="FFFFFF"/>
        </w:rPr>
        <w:t>las diferencias más significativas con el régimen anterior pueden resumirse en que el registro es único, vale decir, la inscripción tiene valor ante todas las entidades del Estado; la función se le asignó a las Cámaras de Comercio, su temporalidad se redujo a un año y de manera expresa se ordena la cancelación del registro con “previa audiencia del afectado”, cuando se demuestre que “el inscrito de mala fe presentó documentos o informaciones para la inscripción, calificación o clasificación que no correspondan a la realidad”, quedando en tal caso inhabilitado para contratar con las entidades estatales por el tér</w:t>
      </w:r>
      <w:r>
        <w:rPr>
          <w:rFonts w:cs="Arial"/>
          <w:color w:val="000000"/>
          <w:sz w:val="18"/>
          <w:szCs w:val="18"/>
          <w:shd w:val="clear" w:color="auto" w:fill="FFFFFF"/>
        </w:rPr>
        <w:t>mino de diez (10) años</w:t>
      </w:r>
      <w:r>
        <w:rPr>
          <w:rFonts w:cs="Arial"/>
          <w:i/>
          <w:color w:val="000000"/>
          <w:sz w:val="18"/>
          <w:szCs w:val="18"/>
          <w:shd w:val="clear" w:color="auto" w:fill="FFFFFF"/>
        </w:rPr>
        <w:t xml:space="preserve">, sin perjuicio de las acciones penales a que haya lugar (art. 22.6 ley 80 de 1993). </w:t>
      </w:r>
      <w:r>
        <w:rPr>
          <w:rFonts w:cs="Arial"/>
          <w:color w:val="000000"/>
          <w:sz w:val="18"/>
          <w:szCs w:val="18"/>
          <w:shd w:val="clear" w:color="auto" w:fill="FFFFFF"/>
        </w:rPr>
        <w:t>C</w:t>
      </w:r>
      <w:r>
        <w:rPr>
          <w:rFonts w:cs="Arial"/>
          <w:bCs/>
          <w:color w:val="000000"/>
          <w:sz w:val="18"/>
          <w:szCs w:val="18"/>
        </w:rPr>
        <w:t>onsejo de Estado, Sala de lo Contencioso Administrativo, Sección Tercera, Consejero Ponente: Ricardo Hoyos Duque, 28 de noviembre de 2002, radicación: 25000-23-26-000-1992-2602-01(14040).</w:t>
      </w:r>
    </w:p>
    <w:p w:rsidR="0059763E" w:rsidRDefault="0059763E" w:rsidP="000E35AE">
      <w:pPr>
        <w:pStyle w:val="Textonotapie"/>
        <w:rPr>
          <w:rFonts w:ascii="Calibri" w:eastAsia="Calibri" w:hAnsi="Calibri"/>
          <w:lang w:val="es-CO" w:eastAsia="en-US"/>
        </w:rPr>
      </w:pPr>
    </w:p>
  </w:footnote>
  <w:footnote w:id="28">
    <w:p w:rsidR="0059763E" w:rsidRDefault="0059763E" w:rsidP="000E35AE">
      <w:pPr>
        <w:shd w:val="clear" w:color="auto" w:fill="FFFFFF"/>
        <w:spacing w:line="240" w:lineRule="auto"/>
        <w:rPr>
          <w:rFonts w:cs="Arial"/>
          <w:color w:val="000000"/>
          <w:sz w:val="18"/>
          <w:szCs w:val="18"/>
        </w:rPr>
      </w:pPr>
      <w:r>
        <w:rPr>
          <w:rStyle w:val="Refdenotaalpie"/>
          <w:rFonts w:cs="Arial"/>
          <w:sz w:val="18"/>
          <w:szCs w:val="18"/>
        </w:rPr>
        <w:footnoteRef/>
      </w:r>
      <w:r>
        <w:rPr>
          <w:rFonts w:cs="Arial"/>
          <w:sz w:val="18"/>
          <w:szCs w:val="18"/>
        </w:rPr>
        <w:t xml:space="preserve"> </w:t>
      </w:r>
      <w:r>
        <w:rPr>
          <w:rFonts w:cs="Arial"/>
          <w:color w:val="000000"/>
          <w:sz w:val="18"/>
          <w:szCs w:val="18"/>
          <w:shd w:val="clear" w:color="auto" w:fill="FFFFFF"/>
        </w:rPr>
        <w:t>C</w:t>
      </w:r>
      <w:r>
        <w:rPr>
          <w:rFonts w:cs="Arial"/>
          <w:bCs/>
          <w:color w:val="000000"/>
          <w:sz w:val="18"/>
          <w:szCs w:val="18"/>
        </w:rPr>
        <w:t>onsejo de Estado, Sala de lo Contencioso Administrativo, Sección Tercera, Consejero Ponente: Ricardo Hoyos Duque, 28 de noviembre de 2002, radicación: 25000-23-26-000-1992-2602-01(14040)</w:t>
      </w:r>
      <w:r>
        <w:rPr>
          <w:rFonts w:cs="Arial"/>
          <w:b/>
          <w:bCs/>
          <w:color w:val="000000"/>
          <w:sz w:val="18"/>
          <w:szCs w:val="18"/>
        </w:rPr>
        <w:t> </w:t>
      </w:r>
    </w:p>
    <w:p w:rsidR="0059763E" w:rsidRDefault="0059763E" w:rsidP="000E35AE">
      <w:pPr>
        <w:shd w:val="clear" w:color="auto" w:fill="FFFFFF"/>
        <w:spacing w:line="240" w:lineRule="auto"/>
        <w:rPr>
          <w:rFonts w:eastAsia="Calibri" w:cs="Arial"/>
          <w:color w:val="000000"/>
          <w:sz w:val="18"/>
          <w:szCs w:val="18"/>
          <w:shd w:val="clear" w:color="auto" w:fill="FFFFFF"/>
          <w:lang w:eastAsia="en-US"/>
        </w:rPr>
      </w:pPr>
      <w:r>
        <w:rPr>
          <w:rFonts w:cs="Arial"/>
          <w:i/>
          <w:sz w:val="18"/>
          <w:szCs w:val="18"/>
        </w:rPr>
        <w:t xml:space="preserve"> “</w:t>
      </w:r>
      <w:r>
        <w:rPr>
          <w:rFonts w:cs="Arial"/>
          <w:i/>
          <w:color w:val="000000"/>
          <w:sz w:val="18"/>
          <w:szCs w:val="18"/>
        </w:rPr>
        <w:t>El registro de proponentes constituye, por regla general, un requisito previo para la contratación con el Estado. Su formación se traduce en la certificación de  la  capacidad de las personas inscritas para poder contratar, en tanto la inscripción las habilita para participar en las licitaciones o concursos y celebrar contratos con la administración pública,  respecto al tipo de contratos en los que la ley lo exige.”</w:t>
      </w:r>
      <w:r>
        <w:rPr>
          <w:rFonts w:cs="Arial"/>
          <w:color w:val="000000"/>
          <w:sz w:val="18"/>
          <w:szCs w:val="18"/>
          <w:shd w:val="clear" w:color="auto" w:fill="FFFFFF"/>
        </w:rPr>
        <w:t xml:space="preserve"> </w:t>
      </w:r>
    </w:p>
    <w:p w:rsidR="0059763E" w:rsidRDefault="0059763E" w:rsidP="000E35AE">
      <w:pPr>
        <w:shd w:val="clear" w:color="auto" w:fill="FFFFFF"/>
        <w:spacing w:line="240" w:lineRule="auto"/>
        <w:rPr>
          <w:rFonts w:cs="Arial"/>
          <w:i/>
          <w:color w:val="000000"/>
          <w:sz w:val="18"/>
          <w:szCs w:val="18"/>
        </w:rPr>
      </w:pPr>
      <w:r>
        <w:rPr>
          <w:rFonts w:cs="Arial"/>
          <w:i/>
          <w:color w:val="000000"/>
          <w:sz w:val="18"/>
          <w:szCs w:val="18"/>
        </w:rPr>
        <w:t>La inscripción y calificación en el registro de proponentes es un acto administrativo como lo es también su cancelación, y por consiguiente, está sometida a los mecanismos de control de legalidad de la actividad administrativa, esto es, tanto a los recursos de la vía gubernativa como a las acciones judiciales.”</w:t>
      </w:r>
    </w:p>
    <w:p w:rsidR="0059763E" w:rsidRDefault="0059763E" w:rsidP="000E35AE">
      <w:pPr>
        <w:shd w:val="clear" w:color="auto" w:fill="FFFFFF"/>
        <w:spacing w:line="240" w:lineRule="auto"/>
        <w:rPr>
          <w:rFonts w:ascii="Lucida Bright" w:hAnsi="Lucida Bright"/>
          <w:color w:val="000000"/>
        </w:rPr>
      </w:pPr>
      <w:r>
        <w:rPr>
          <w:rFonts w:ascii="Verdana" w:hAnsi="Verdana"/>
          <w:color w:val="000000"/>
        </w:rPr>
        <w:t> </w:t>
      </w:r>
    </w:p>
    <w:p w:rsidR="0059763E" w:rsidRDefault="0059763E" w:rsidP="000E35AE">
      <w:pPr>
        <w:pStyle w:val="Textonotapie"/>
        <w:rPr>
          <w:lang w:val="es-CO"/>
        </w:rPr>
      </w:pPr>
    </w:p>
  </w:footnote>
  <w:footnote w:id="29">
    <w:p w:rsidR="0059763E" w:rsidRDefault="0059763E" w:rsidP="000E35AE">
      <w:pPr>
        <w:spacing w:line="240" w:lineRule="auto"/>
        <w:rPr>
          <w:rFonts w:cs="Arial"/>
          <w:sz w:val="18"/>
          <w:szCs w:val="18"/>
        </w:rPr>
      </w:pPr>
      <w:r>
        <w:rPr>
          <w:rStyle w:val="Refdenotaalpie"/>
          <w:rFonts w:cs="Arial"/>
          <w:sz w:val="18"/>
          <w:szCs w:val="18"/>
        </w:rPr>
        <w:footnoteRef/>
      </w:r>
      <w:r>
        <w:rPr>
          <w:rFonts w:cs="Arial"/>
          <w:sz w:val="18"/>
          <w:szCs w:val="18"/>
        </w:rPr>
        <w:t xml:space="preserve"> I) Esta norma fue reglamentada por el Decreto 1584 de 1994, en cuanto a los indicadores para la calificación de constructores, replicando la fuente de información exigida por la Ley 80, así:</w:t>
      </w:r>
    </w:p>
    <w:p w:rsidR="0059763E" w:rsidRDefault="0059763E" w:rsidP="000E35AE">
      <w:pPr>
        <w:spacing w:line="240" w:lineRule="auto"/>
        <w:rPr>
          <w:rFonts w:cs="Arial"/>
          <w:sz w:val="18"/>
          <w:szCs w:val="18"/>
        </w:rPr>
      </w:pPr>
    </w:p>
    <w:p w:rsidR="0059763E" w:rsidRDefault="0059763E" w:rsidP="000E35AE">
      <w:pPr>
        <w:spacing w:line="240" w:lineRule="auto"/>
        <w:rPr>
          <w:rFonts w:cs="Arial"/>
          <w:color w:val="000000"/>
          <w:sz w:val="18"/>
          <w:szCs w:val="18"/>
        </w:rPr>
      </w:pPr>
      <w:r>
        <w:rPr>
          <w:rFonts w:cs="Arial"/>
          <w:i/>
          <w:color w:val="000000"/>
          <w:sz w:val="18"/>
          <w:szCs w:val="18"/>
        </w:rPr>
        <w:t>“3. La capacidad financiera se establecerá con fundamento en el patrimonio: la liquidez medida como activo corriente sobre pasivo corriente; y el nivel de endeudamiento medido como pasivo total sobre activo total,</w:t>
      </w:r>
      <w:r>
        <w:rPr>
          <w:rFonts w:cs="Arial"/>
          <w:b/>
          <w:i/>
          <w:color w:val="000000"/>
          <w:sz w:val="18"/>
          <w:szCs w:val="18"/>
        </w:rPr>
        <w:t xml:space="preserve"> con base en la última declaración de renta y el último balance comercial.” </w:t>
      </w:r>
      <w:r>
        <w:rPr>
          <w:rFonts w:cs="Arial"/>
          <w:color w:val="000000"/>
          <w:sz w:val="18"/>
          <w:szCs w:val="18"/>
        </w:rPr>
        <w:t>(La negrilla no es del texto).</w:t>
      </w:r>
    </w:p>
    <w:p w:rsidR="0059763E" w:rsidRDefault="0059763E" w:rsidP="000E35AE">
      <w:pPr>
        <w:spacing w:line="240" w:lineRule="auto"/>
        <w:rPr>
          <w:rFonts w:cs="Arial"/>
          <w:b/>
          <w:color w:val="000000"/>
          <w:sz w:val="18"/>
          <w:szCs w:val="18"/>
        </w:rPr>
      </w:pPr>
    </w:p>
    <w:p w:rsidR="0059763E" w:rsidRDefault="0059763E" w:rsidP="000E35AE">
      <w:pPr>
        <w:pStyle w:val="Textonotapie"/>
        <w:spacing w:line="240" w:lineRule="auto"/>
        <w:rPr>
          <w:rFonts w:cs="Arial"/>
          <w:sz w:val="18"/>
          <w:szCs w:val="18"/>
          <w:lang w:val="es-CO"/>
        </w:rPr>
      </w:pPr>
      <w:r>
        <w:rPr>
          <w:rFonts w:cs="Arial"/>
          <w:sz w:val="18"/>
          <w:szCs w:val="18"/>
          <w:lang w:val="es-CO"/>
        </w:rPr>
        <w:t>ii) La anterior disposición fue reiterada y adicionada por el Decreto 92 de 1998, precisando la fuente de información financiera aplicable, “según el caso”, así:</w:t>
      </w:r>
    </w:p>
    <w:p w:rsidR="0059763E" w:rsidRDefault="0059763E" w:rsidP="000E35AE">
      <w:pPr>
        <w:pStyle w:val="Textonotapie"/>
        <w:spacing w:line="240" w:lineRule="auto"/>
        <w:rPr>
          <w:rFonts w:eastAsia="Calibri" w:cs="Arial"/>
          <w:sz w:val="18"/>
          <w:szCs w:val="18"/>
          <w:lang w:val="es-CO" w:eastAsia="en-US"/>
        </w:rPr>
      </w:pPr>
    </w:p>
    <w:p w:rsidR="0059763E" w:rsidRDefault="0059763E" w:rsidP="000E35AE">
      <w:pPr>
        <w:spacing w:line="240" w:lineRule="auto"/>
        <w:rPr>
          <w:rFonts w:cs="Arial"/>
          <w:color w:val="000000"/>
          <w:sz w:val="18"/>
          <w:szCs w:val="18"/>
          <w:shd w:val="clear" w:color="auto" w:fill="FFFFFF"/>
        </w:rPr>
      </w:pPr>
      <w:r>
        <w:rPr>
          <w:rFonts w:cs="Arial"/>
          <w:i/>
          <w:color w:val="000000"/>
          <w:sz w:val="18"/>
          <w:szCs w:val="18"/>
          <w:shd w:val="clear" w:color="auto" w:fill="FFFFFF"/>
        </w:rPr>
        <w:t xml:space="preserve">“3. La Capacidad financiera (Cf) se establecerá con fundamento en el patrimonio, la liquidez medida como activo corriente sobre pasivo corriente, y el nivel de endeudamiento medido como pasivo total sobre activo total, </w:t>
      </w:r>
      <w:r>
        <w:rPr>
          <w:rFonts w:cs="Arial"/>
          <w:b/>
          <w:i/>
          <w:color w:val="000000"/>
          <w:sz w:val="18"/>
          <w:szCs w:val="18"/>
          <w:shd w:val="clear" w:color="auto" w:fill="FFFFFF"/>
        </w:rPr>
        <w:t>con base en la última declaración de renta y el último balance comercial según el caso,</w:t>
      </w:r>
      <w:r>
        <w:rPr>
          <w:rFonts w:cs="Arial"/>
          <w:i/>
          <w:color w:val="000000"/>
          <w:sz w:val="18"/>
          <w:szCs w:val="18"/>
          <w:shd w:val="clear" w:color="auto" w:fill="FFFFFF"/>
        </w:rPr>
        <w:t xml:space="preserve"> o balance de apertura para aquellas personas naturales o jurídicas que iniciaron operaciones en el último año. Para efectos de actualización se tomará el último balance comercial.” </w:t>
      </w:r>
      <w:r>
        <w:rPr>
          <w:rFonts w:cs="Arial"/>
          <w:color w:val="000000"/>
          <w:sz w:val="18"/>
          <w:szCs w:val="18"/>
          <w:shd w:val="clear" w:color="auto" w:fill="FFFFFF"/>
        </w:rPr>
        <w:t>(La negrilla no es del texto).</w:t>
      </w:r>
    </w:p>
    <w:p w:rsidR="0059763E" w:rsidRDefault="0059763E" w:rsidP="000E35AE">
      <w:pPr>
        <w:pStyle w:val="Textonotapie"/>
        <w:spacing w:line="240" w:lineRule="auto"/>
        <w:rPr>
          <w:rFonts w:cs="Arial"/>
          <w:sz w:val="18"/>
          <w:szCs w:val="18"/>
          <w:lang w:val="es-CO"/>
        </w:rPr>
      </w:pPr>
    </w:p>
    <w:p w:rsidR="0059763E" w:rsidRDefault="0059763E" w:rsidP="000E35AE">
      <w:pPr>
        <w:pStyle w:val="Textonotapie"/>
        <w:spacing w:line="240" w:lineRule="auto"/>
        <w:rPr>
          <w:rFonts w:cs="Arial"/>
          <w:sz w:val="18"/>
          <w:szCs w:val="18"/>
          <w:lang w:val="es-CO"/>
        </w:rPr>
      </w:pPr>
      <w:r>
        <w:rPr>
          <w:rFonts w:cs="Arial"/>
          <w:sz w:val="18"/>
          <w:szCs w:val="18"/>
          <w:lang w:val="es-CO"/>
        </w:rPr>
        <w:t>iii) El Decreto 92 de 1998 fue modificado por el Decreto 393 de 2002, en cuanto a los factores de  medición de la capacidad financiera de los constructores, en  cuyo texto se conservó la fuente de información de la declaración de renta y el balance comercial referido en la Ley 80,  pero con la conjunción  “o“, aspecto que se transcribe a continuación, sin entrar en el análisis de la norma, teniendo en cuenta que se expidió con posterioridad a los hechos materia de este proceso:</w:t>
      </w:r>
    </w:p>
    <w:p w:rsidR="0059763E" w:rsidRDefault="0059763E" w:rsidP="000E35AE">
      <w:pPr>
        <w:pStyle w:val="NormalWeb"/>
        <w:shd w:val="clear" w:color="auto" w:fill="FFFFFF"/>
        <w:spacing w:line="240" w:lineRule="auto"/>
        <w:rPr>
          <w:rFonts w:cs="Arial"/>
          <w:i/>
          <w:color w:val="000000"/>
          <w:sz w:val="18"/>
          <w:szCs w:val="18"/>
        </w:rPr>
      </w:pPr>
      <w:r>
        <w:rPr>
          <w:rFonts w:cs="Arial"/>
          <w:color w:val="000000"/>
          <w:sz w:val="18"/>
          <w:szCs w:val="18"/>
        </w:rPr>
        <w:t>“La capacidad financiera</w:t>
      </w:r>
      <w:r>
        <w:rPr>
          <w:rStyle w:val="apple-converted-space"/>
          <w:rFonts w:cs="Arial"/>
          <w:color w:val="000000"/>
          <w:sz w:val="18"/>
          <w:szCs w:val="18"/>
        </w:rPr>
        <w:t> </w:t>
      </w:r>
      <w:r>
        <w:rPr>
          <w:rFonts w:cs="Arial"/>
          <w:color w:val="000000"/>
          <w:sz w:val="18"/>
          <w:szCs w:val="18"/>
        </w:rPr>
        <w:t xml:space="preserve">se determinará tomando en cuenta dos componentes, el factor de </w:t>
      </w:r>
      <w:r>
        <w:rPr>
          <w:rFonts w:cs="Arial"/>
          <w:i/>
          <w:color w:val="000000"/>
          <w:sz w:val="18"/>
          <w:szCs w:val="18"/>
        </w:rPr>
        <w:t>endeudamiento y la capacidad circulante.</w:t>
      </w:r>
    </w:p>
    <w:p w:rsidR="0059763E" w:rsidRDefault="0059763E" w:rsidP="000E35AE">
      <w:pPr>
        <w:pStyle w:val="NormalWeb"/>
        <w:shd w:val="clear" w:color="auto" w:fill="FFFFFF"/>
        <w:spacing w:line="240" w:lineRule="auto"/>
        <w:rPr>
          <w:rFonts w:cs="Arial"/>
          <w:i/>
          <w:color w:val="000000"/>
          <w:sz w:val="18"/>
          <w:szCs w:val="18"/>
        </w:rPr>
      </w:pPr>
      <w:r>
        <w:rPr>
          <w:rFonts w:cs="Arial"/>
          <w:bCs/>
          <w:i/>
          <w:color w:val="000000"/>
          <w:sz w:val="18"/>
          <w:szCs w:val="18"/>
        </w:rPr>
        <w:t>1. Factor de endeudamiento (Fe):</w:t>
      </w:r>
      <w:r>
        <w:rPr>
          <w:rStyle w:val="apple-converted-space"/>
          <w:rFonts w:cs="Arial"/>
          <w:i/>
          <w:color w:val="000000"/>
          <w:sz w:val="18"/>
          <w:szCs w:val="18"/>
        </w:rPr>
        <w:t> </w:t>
      </w:r>
      <w:r>
        <w:rPr>
          <w:rFonts w:cs="Arial"/>
          <w:i/>
          <w:color w:val="000000"/>
          <w:sz w:val="18"/>
          <w:szCs w:val="18"/>
        </w:rPr>
        <w:t>Se determinará en función de los pasivos totales y los activos totales con base en la última declaración de renta y el último balance comercial, según sea el caso o balance de apertura para aquellas personas naturales o jurídicas que iniciaron operaciones el último año. Para efectos de su actualización se tomará el último balance comercial.</w:t>
      </w:r>
    </w:p>
    <w:p w:rsidR="0059763E" w:rsidRDefault="0059763E" w:rsidP="000E35AE">
      <w:pPr>
        <w:pStyle w:val="NormalWeb"/>
        <w:shd w:val="clear" w:color="auto" w:fill="FFFFFF"/>
        <w:spacing w:line="240" w:lineRule="auto"/>
        <w:rPr>
          <w:rFonts w:cs="Arial"/>
          <w:i/>
          <w:color w:val="000000"/>
          <w:sz w:val="18"/>
          <w:szCs w:val="18"/>
        </w:rPr>
      </w:pPr>
      <w:r>
        <w:rPr>
          <w:rFonts w:cs="Arial"/>
          <w:bCs/>
          <w:i/>
          <w:color w:val="000000"/>
          <w:sz w:val="18"/>
          <w:szCs w:val="18"/>
        </w:rPr>
        <w:t>2. Capacidad Circulante (</w:t>
      </w:r>
      <w:proofErr w:type="spellStart"/>
      <w:r>
        <w:rPr>
          <w:rFonts w:cs="Arial"/>
          <w:bCs/>
          <w:i/>
          <w:color w:val="000000"/>
          <w:sz w:val="18"/>
          <w:szCs w:val="18"/>
        </w:rPr>
        <w:t>Cc</w:t>
      </w:r>
      <w:proofErr w:type="spellEnd"/>
      <w:r>
        <w:rPr>
          <w:rFonts w:cs="Arial"/>
          <w:bCs/>
          <w:i/>
          <w:color w:val="000000"/>
          <w:sz w:val="18"/>
          <w:szCs w:val="18"/>
        </w:rPr>
        <w:t>):</w:t>
      </w:r>
      <w:r>
        <w:rPr>
          <w:rStyle w:val="apple-converted-space"/>
          <w:rFonts w:cs="Arial"/>
          <w:i/>
          <w:color w:val="000000"/>
          <w:sz w:val="18"/>
          <w:szCs w:val="18"/>
        </w:rPr>
        <w:t> </w:t>
      </w:r>
      <w:r>
        <w:rPr>
          <w:rFonts w:cs="Arial"/>
          <w:i/>
          <w:color w:val="000000"/>
          <w:sz w:val="18"/>
          <w:szCs w:val="18"/>
        </w:rPr>
        <w:t xml:space="preserve">Se define como la diferencia entre los activos corrientes y los pasivos corrientes, expresados en </w:t>
      </w:r>
      <w:proofErr w:type="spellStart"/>
      <w:r>
        <w:rPr>
          <w:rFonts w:cs="Arial"/>
          <w:i/>
          <w:color w:val="000000"/>
          <w:sz w:val="18"/>
          <w:szCs w:val="18"/>
        </w:rPr>
        <w:t>s.m.m.l.v</w:t>
      </w:r>
      <w:proofErr w:type="spellEnd"/>
      <w:r>
        <w:rPr>
          <w:rFonts w:cs="Arial"/>
          <w:i/>
          <w:color w:val="000000"/>
          <w:sz w:val="18"/>
          <w:szCs w:val="18"/>
        </w:rPr>
        <w:t>. al momento de corte de los estados financieros</w:t>
      </w:r>
      <w:r>
        <w:rPr>
          <w:rFonts w:cs="Arial"/>
          <w:b/>
          <w:i/>
          <w:color w:val="000000"/>
          <w:sz w:val="18"/>
          <w:szCs w:val="18"/>
        </w:rPr>
        <w:t>, con base en la última declaración de renta o el último balance comercial según sea el caso</w:t>
      </w:r>
      <w:r>
        <w:rPr>
          <w:rFonts w:cs="Arial"/>
          <w:i/>
          <w:color w:val="000000"/>
          <w:sz w:val="18"/>
          <w:szCs w:val="18"/>
        </w:rPr>
        <w:t xml:space="preserve"> o balance de apertura para aquellas personas naturales o jurídicas que iniciaron operaciones el último año. Para efectos de actualización se tomará el último balance comercial.</w:t>
      </w:r>
    </w:p>
    <w:p w:rsidR="0059763E" w:rsidRDefault="0059763E" w:rsidP="000E35AE">
      <w:pPr>
        <w:pStyle w:val="NormalWeb"/>
        <w:shd w:val="clear" w:color="auto" w:fill="FFFFFF"/>
        <w:spacing w:line="240" w:lineRule="auto"/>
        <w:rPr>
          <w:rFonts w:cs="Arial"/>
          <w:color w:val="000000"/>
          <w:sz w:val="18"/>
          <w:szCs w:val="18"/>
        </w:rPr>
      </w:pPr>
      <w:r>
        <w:rPr>
          <w:rFonts w:cs="Arial"/>
          <w:i/>
          <w:color w:val="000000"/>
          <w:sz w:val="18"/>
          <w:szCs w:val="18"/>
        </w:rPr>
        <w:t>Las cifras numéricas de esta información no deberán simplificarse y se presentarán con los siguientes signos de puntuación: Punto, para separar decimales y coma, para separar miles.”</w:t>
      </w:r>
      <w:r>
        <w:rPr>
          <w:rFonts w:cs="Arial"/>
          <w:color w:val="000000"/>
          <w:sz w:val="18"/>
          <w:szCs w:val="18"/>
        </w:rPr>
        <w:t xml:space="preserve"> ( La negrilla no es del texto)</w:t>
      </w:r>
    </w:p>
    <w:p w:rsidR="0059763E" w:rsidRPr="007B669A" w:rsidRDefault="0059763E" w:rsidP="000E35AE">
      <w:pPr>
        <w:pStyle w:val="Textonotapie"/>
        <w:spacing w:line="240" w:lineRule="auto"/>
        <w:rPr>
          <w:rFonts w:ascii="Calibri" w:hAnsi="Calibri"/>
          <w:sz w:val="18"/>
          <w:szCs w:val="18"/>
          <w:lang w:val="es-CO"/>
        </w:rPr>
      </w:pPr>
      <w:r w:rsidRPr="007B669A">
        <w:rPr>
          <w:sz w:val="18"/>
          <w:szCs w:val="18"/>
          <w:lang w:val="es-CO"/>
        </w:rPr>
        <w:t>iv) El régimen de transición de las modificaciones al R</w:t>
      </w:r>
      <w:r>
        <w:rPr>
          <w:sz w:val="18"/>
          <w:szCs w:val="18"/>
          <w:lang w:val="es-CO"/>
        </w:rPr>
        <w:t>e</w:t>
      </w:r>
      <w:r w:rsidRPr="007B669A">
        <w:rPr>
          <w:sz w:val="18"/>
          <w:szCs w:val="18"/>
          <w:lang w:val="es-CO"/>
        </w:rPr>
        <w:t xml:space="preserve">gistro Único de Proponentes se definió a través de los Decretos 3212 de 2002, 780 de 2003, 3401 de 2003. </w:t>
      </w:r>
    </w:p>
  </w:footnote>
  <w:footnote w:id="30">
    <w:p w:rsidR="0059763E" w:rsidRPr="00D276E8" w:rsidRDefault="0059763E">
      <w:pPr>
        <w:pStyle w:val="Textonotapie"/>
        <w:rPr>
          <w:sz w:val="18"/>
          <w:szCs w:val="18"/>
          <w:lang w:val="es-CO"/>
        </w:rPr>
      </w:pPr>
      <w:r w:rsidRPr="00D276E8">
        <w:rPr>
          <w:rStyle w:val="Refdenotaalpie"/>
          <w:sz w:val="18"/>
          <w:szCs w:val="18"/>
        </w:rPr>
        <w:footnoteRef/>
      </w:r>
      <w:r w:rsidRPr="00D276E8">
        <w:rPr>
          <w:sz w:val="18"/>
          <w:szCs w:val="18"/>
        </w:rPr>
        <w:t xml:space="preserve"> </w:t>
      </w:r>
      <w:r w:rsidRPr="00D276E8">
        <w:rPr>
          <w:sz w:val="18"/>
          <w:szCs w:val="18"/>
          <w:lang w:val="es-CO"/>
        </w:rPr>
        <w:t>Decreto 624 de 1989.</w:t>
      </w:r>
    </w:p>
  </w:footnote>
  <w:footnote w:id="31">
    <w:p w:rsidR="0059763E" w:rsidRPr="000D331B" w:rsidRDefault="0059763E" w:rsidP="00DD560C">
      <w:pPr>
        <w:pStyle w:val="Textonotapie"/>
        <w:spacing w:line="240" w:lineRule="auto"/>
        <w:rPr>
          <w:sz w:val="18"/>
          <w:szCs w:val="18"/>
          <w:lang w:val="es-CO"/>
        </w:rPr>
      </w:pPr>
      <w:r w:rsidRPr="000D331B">
        <w:rPr>
          <w:rStyle w:val="Refdenotaalpie"/>
          <w:sz w:val="18"/>
          <w:szCs w:val="18"/>
        </w:rPr>
        <w:footnoteRef/>
      </w:r>
      <w:r w:rsidRPr="000D331B">
        <w:rPr>
          <w:sz w:val="18"/>
          <w:szCs w:val="18"/>
        </w:rPr>
        <w:t xml:space="preserve"> </w:t>
      </w:r>
      <w:r w:rsidRPr="000D331B">
        <w:rPr>
          <w:sz w:val="18"/>
          <w:szCs w:val="18"/>
          <w:lang w:val="es-CO"/>
        </w:rPr>
        <w:t xml:space="preserve">El cual sustituyó en lo pertinente las disposiciones del Decreto 1584 de 1994 que fue citado por las partes en este proceso. </w:t>
      </w:r>
    </w:p>
  </w:footnote>
  <w:footnote w:id="32">
    <w:p w:rsidR="0059763E" w:rsidRDefault="0059763E" w:rsidP="000E35AE">
      <w:pPr>
        <w:pStyle w:val="Textonotapie"/>
        <w:spacing w:line="240" w:lineRule="auto"/>
        <w:rPr>
          <w:rFonts w:cs="Arial"/>
          <w:i/>
          <w:color w:val="000000"/>
          <w:sz w:val="18"/>
          <w:szCs w:val="18"/>
          <w:shd w:val="clear" w:color="auto" w:fill="FFFFFF"/>
        </w:rPr>
      </w:pPr>
      <w:r>
        <w:rPr>
          <w:rStyle w:val="Refdenotaalpie"/>
          <w:rFonts w:cs="Arial"/>
          <w:i/>
          <w:sz w:val="18"/>
          <w:szCs w:val="18"/>
        </w:rPr>
        <w:footnoteRef/>
      </w:r>
      <w:r>
        <w:rPr>
          <w:rFonts w:cs="Arial"/>
          <w:i/>
          <w:sz w:val="18"/>
          <w:szCs w:val="18"/>
        </w:rPr>
        <w:t xml:space="preserve"> “</w:t>
      </w:r>
      <w:r>
        <w:rPr>
          <w:rFonts w:cs="Arial"/>
          <w:bCs/>
          <w:i/>
          <w:color w:val="000000"/>
          <w:sz w:val="18"/>
          <w:szCs w:val="18"/>
          <w:shd w:val="clear" w:color="auto" w:fill="FFFFFF"/>
        </w:rPr>
        <w:t>Artículo  23º.</w:t>
      </w:r>
      <w:r>
        <w:rPr>
          <w:rFonts w:cs="Arial"/>
          <w:b/>
          <w:bCs/>
          <w:i/>
          <w:color w:val="000000"/>
          <w:sz w:val="18"/>
          <w:szCs w:val="18"/>
          <w:shd w:val="clear" w:color="auto" w:fill="FFFFFF"/>
        </w:rPr>
        <w:t>-</w:t>
      </w:r>
      <w:r>
        <w:rPr>
          <w:rStyle w:val="apple-converted-space"/>
          <w:rFonts w:cs="Arial"/>
          <w:b/>
          <w:bCs/>
          <w:i/>
          <w:color w:val="000000"/>
          <w:sz w:val="18"/>
          <w:szCs w:val="18"/>
          <w:shd w:val="clear" w:color="auto" w:fill="FFFFFF"/>
        </w:rPr>
        <w:t> </w:t>
      </w:r>
      <w:r>
        <w:rPr>
          <w:rFonts w:cs="Arial"/>
          <w:i/>
          <w:iCs/>
          <w:color w:val="000000"/>
          <w:sz w:val="18"/>
          <w:szCs w:val="18"/>
          <w:shd w:val="clear" w:color="auto" w:fill="FFFFFF"/>
        </w:rPr>
        <w:t>De Los Principios de las Actuaciones Contractuales de las Entidades Estatales</w:t>
      </w:r>
      <w:r>
        <w:rPr>
          <w:rFonts w:cs="Arial"/>
          <w:i/>
          <w:color w:val="000000"/>
          <w:sz w:val="18"/>
          <w:szCs w:val="18"/>
          <w:shd w:val="clear" w:color="auto" w:fill="FFFFFF"/>
        </w:rPr>
        <w:t>. Las actuaciones de quienes intervengan en la contratación estatal se desarrollarán con arreglo a los principios de transparencia, economía y responsabilidad y de conformidad con los postulados que rigen la función administrativa. Igualmente, se aplicarán en las mismas las normas que regulan la conducta de los servidores públicos, las reglas de interpretación de la contratación, los principios generales del derecho y los particulares del derecho administrativo.”</w:t>
      </w:r>
    </w:p>
    <w:p w:rsidR="0059763E" w:rsidRDefault="0059763E" w:rsidP="000E35AE">
      <w:pPr>
        <w:pStyle w:val="Textonotapie"/>
        <w:spacing w:line="240" w:lineRule="auto"/>
        <w:rPr>
          <w:rFonts w:cs="Arial"/>
          <w:i/>
          <w:sz w:val="18"/>
          <w:szCs w:val="18"/>
          <w:lang w:val="es-CO"/>
        </w:rPr>
      </w:pPr>
    </w:p>
  </w:footnote>
  <w:footnote w:id="33">
    <w:p w:rsidR="0059763E" w:rsidRDefault="0059763E" w:rsidP="000E35AE">
      <w:pPr>
        <w:pStyle w:val="Textonotapie"/>
        <w:spacing w:line="240" w:lineRule="auto"/>
        <w:rPr>
          <w:rFonts w:cs="Arial"/>
          <w:sz w:val="18"/>
          <w:szCs w:val="18"/>
          <w:lang w:val="es-CO"/>
        </w:rPr>
      </w:pPr>
      <w:r>
        <w:rPr>
          <w:rStyle w:val="Refdenotaalpie"/>
          <w:rFonts w:cs="Arial"/>
          <w:sz w:val="18"/>
          <w:szCs w:val="18"/>
        </w:rPr>
        <w:footnoteRef/>
      </w:r>
      <w:r>
        <w:rPr>
          <w:rFonts w:cs="Arial"/>
          <w:sz w:val="18"/>
          <w:szCs w:val="18"/>
        </w:rPr>
        <w:t xml:space="preserve"> </w:t>
      </w:r>
      <w:r>
        <w:rPr>
          <w:rFonts w:cs="Arial"/>
          <w:sz w:val="18"/>
          <w:szCs w:val="18"/>
          <w:lang w:val="es-CO"/>
        </w:rPr>
        <w:t xml:space="preserve">Reglamentado por diversos decretos, entre ellos; </w:t>
      </w:r>
      <w:hyperlink r:id="rId1" w:anchor="0" w:history="1">
        <w:r>
          <w:rPr>
            <w:rStyle w:val="Hipervnculo"/>
            <w:rFonts w:cs="Arial"/>
            <w:szCs w:val="18"/>
            <w:shd w:val="clear" w:color="auto" w:fill="FFFFFF"/>
          </w:rPr>
          <w:t>066</w:t>
        </w:r>
      </w:hyperlink>
      <w:r>
        <w:rPr>
          <w:rStyle w:val="apple-converted-space"/>
          <w:rFonts w:cs="Arial"/>
          <w:color w:val="000000"/>
          <w:sz w:val="18"/>
          <w:szCs w:val="18"/>
          <w:shd w:val="clear" w:color="auto" w:fill="FFFFFF"/>
        </w:rPr>
        <w:t> </w:t>
      </w:r>
      <w:r>
        <w:rPr>
          <w:rFonts w:cs="Arial"/>
          <w:color w:val="000000"/>
          <w:sz w:val="18"/>
          <w:szCs w:val="18"/>
          <w:shd w:val="clear" w:color="auto" w:fill="FFFFFF"/>
        </w:rPr>
        <w:t>de 2008,</w:t>
      </w:r>
      <w:r>
        <w:rPr>
          <w:rStyle w:val="apple-converted-space"/>
          <w:rFonts w:cs="Arial"/>
          <w:color w:val="000000"/>
          <w:sz w:val="18"/>
          <w:szCs w:val="18"/>
          <w:shd w:val="clear" w:color="auto" w:fill="FFFFFF"/>
        </w:rPr>
        <w:t> </w:t>
      </w:r>
      <w:hyperlink r:id="rId2" w:anchor="0" w:history="1">
        <w:r>
          <w:rPr>
            <w:rStyle w:val="Hipervnculo"/>
            <w:rFonts w:cs="Arial"/>
            <w:szCs w:val="18"/>
            <w:shd w:val="clear" w:color="auto" w:fill="FFFFFF"/>
          </w:rPr>
          <w:t>1170</w:t>
        </w:r>
      </w:hyperlink>
      <w:r>
        <w:rPr>
          <w:rStyle w:val="apple-converted-space"/>
          <w:rFonts w:cs="Arial"/>
          <w:color w:val="000000"/>
          <w:sz w:val="18"/>
          <w:szCs w:val="18"/>
          <w:shd w:val="clear" w:color="auto" w:fill="FFFFFF"/>
        </w:rPr>
        <w:t> </w:t>
      </w:r>
      <w:r>
        <w:rPr>
          <w:rFonts w:cs="Arial"/>
          <w:color w:val="000000"/>
          <w:sz w:val="18"/>
          <w:szCs w:val="18"/>
          <w:shd w:val="clear" w:color="auto" w:fill="FFFFFF"/>
        </w:rPr>
        <w:t>de 2008,</w:t>
      </w:r>
      <w:hyperlink r:id="rId3" w:anchor="0" w:history="1">
        <w:r>
          <w:rPr>
            <w:rStyle w:val="Hipervnculo"/>
            <w:rFonts w:cs="Arial"/>
            <w:szCs w:val="18"/>
            <w:shd w:val="clear" w:color="auto" w:fill="FFFFFF"/>
          </w:rPr>
          <w:t>2474</w:t>
        </w:r>
      </w:hyperlink>
      <w:r>
        <w:rPr>
          <w:rStyle w:val="apple-converted-space"/>
          <w:rFonts w:cs="Arial"/>
          <w:color w:val="000000"/>
          <w:sz w:val="18"/>
          <w:szCs w:val="18"/>
          <w:shd w:val="clear" w:color="auto" w:fill="FFFFFF"/>
        </w:rPr>
        <w:t> </w:t>
      </w:r>
      <w:r>
        <w:rPr>
          <w:rFonts w:cs="Arial"/>
          <w:color w:val="000000"/>
          <w:sz w:val="18"/>
          <w:szCs w:val="18"/>
          <w:shd w:val="clear" w:color="auto" w:fill="FFFFFF"/>
        </w:rPr>
        <w:t>de 2008,</w:t>
      </w:r>
      <w:r>
        <w:rPr>
          <w:rStyle w:val="apple-converted-space"/>
          <w:rFonts w:cs="Arial"/>
          <w:color w:val="000000"/>
          <w:sz w:val="18"/>
          <w:szCs w:val="18"/>
          <w:shd w:val="clear" w:color="auto" w:fill="FFFFFF"/>
        </w:rPr>
        <w:t> </w:t>
      </w:r>
      <w:hyperlink r:id="rId4" w:anchor="0" w:history="1">
        <w:r>
          <w:rPr>
            <w:rStyle w:val="Hipervnculo"/>
            <w:rFonts w:cs="Arial"/>
            <w:szCs w:val="18"/>
            <w:shd w:val="clear" w:color="auto" w:fill="FFFFFF"/>
          </w:rPr>
          <w:t>3460</w:t>
        </w:r>
      </w:hyperlink>
      <w:r>
        <w:rPr>
          <w:rStyle w:val="apple-converted-space"/>
          <w:rFonts w:cs="Arial"/>
          <w:color w:val="000000"/>
          <w:sz w:val="18"/>
          <w:szCs w:val="18"/>
          <w:shd w:val="clear" w:color="auto" w:fill="FFFFFF"/>
        </w:rPr>
        <w:t> </w:t>
      </w:r>
      <w:r>
        <w:rPr>
          <w:rFonts w:cs="Arial"/>
          <w:color w:val="000000"/>
          <w:sz w:val="18"/>
          <w:szCs w:val="18"/>
          <w:shd w:val="clear" w:color="auto" w:fill="FFFFFF"/>
        </w:rPr>
        <w:t>de 2008,</w:t>
      </w:r>
      <w:r>
        <w:rPr>
          <w:rStyle w:val="apple-converted-space"/>
          <w:rFonts w:cs="Arial"/>
          <w:color w:val="000000"/>
          <w:sz w:val="18"/>
          <w:szCs w:val="18"/>
          <w:shd w:val="clear" w:color="auto" w:fill="FFFFFF"/>
        </w:rPr>
        <w:t> </w:t>
      </w:r>
      <w:hyperlink r:id="rId5" w:anchor="0" w:history="1">
        <w:r>
          <w:rPr>
            <w:rStyle w:val="Hipervnculo"/>
            <w:rFonts w:cs="Arial"/>
            <w:szCs w:val="18"/>
            <w:shd w:val="clear" w:color="auto" w:fill="FFFFFF"/>
          </w:rPr>
          <w:t>4828</w:t>
        </w:r>
      </w:hyperlink>
      <w:r>
        <w:rPr>
          <w:rStyle w:val="apple-converted-space"/>
          <w:rFonts w:cs="Arial"/>
          <w:color w:val="000000"/>
          <w:sz w:val="18"/>
          <w:szCs w:val="18"/>
          <w:shd w:val="clear" w:color="auto" w:fill="FFFFFF"/>
        </w:rPr>
        <w:t> </w:t>
      </w:r>
      <w:r>
        <w:rPr>
          <w:rFonts w:cs="Arial"/>
          <w:color w:val="000000"/>
          <w:sz w:val="18"/>
          <w:szCs w:val="18"/>
          <w:shd w:val="clear" w:color="auto" w:fill="FFFFFF"/>
        </w:rPr>
        <w:t>de 2008,</w:t>
      </w:r>
      <w:r>
        <w:rPr>
          <w:rStyle w:val="apple-converted-space"/>
          <w:rFonts w:cs="Arial"/>
          <w:color w:val="000000"/>
          <w:sz w:val="18"/>
          <w:szCs w:val="18"/>
          <w:shd w:val="clear" w:color="auto" w:fill="FFFFFF"/>
        </w:rPr>
        <w:t> </w:t>
      </w:r>
      <w:hyperlink r:id="rId6" w:anchor="0" w:history="1">
        <w:r>
          <w:rPr>
            <w:rStyle w:val="Hipervnculo"/>
            <w:rFonts w:cs="Arial"/>
            <w:szCs w:val="18"/>
            <w:shd w:val="clear" w:color="auto" w:fill="FFFFFF"/>
          </w:rPr>
          <w:t>4444</w:t>
        </w:r>
      </w:hyperlink>
      <w:r>
        <w:rPr>
          <w:rStyle w:val="apple-converted-space"/>
          <w:rFonts w:cs="Arial"/>
          <w:color w:val="000000"/>
          <w:sz w:val="18"/>
          <w:szCs w:val="18"/>
          <w:shd w:val="clear" w:color="auto" w:fill="FFFFFF"/>
        </w:rPr>
        <w:t> </w:t>
      </w:r>
      <w:r>
        <w:rPr>
          <w:rFonts w:cs="Arial"/>
          <w:color w:val="000000"/>
          <w:sz w:val="18"/>
          <w:szCs w:val="18"/>
          <w:shd w:val="clear" w:color="auto" w:fill="FFFFFF"/>
        </w:rPr>
        <w:t>de 2008,</w:t>
      </w:r>
      <w:hyperlink r:id="rId7" w:anchor="0" w:history="1">
        <w:r>
          <w:rPr>
            <w:rStyle w:val="Hipervnculo"/>
            <w:rFonts w:cs="Arial"/>
            <w:szCs w:val="18"/>
            <w:shd w:val="clear" w:color="auto" w:fill="FFFFFF"/>
          </w:rPr>
          <w:t>4533</w:t>
        </w:r>
      </w:hyperlink>
      <w:r>
        <w:rPr>
          <w:rStyle w:val="apple-converted-space"/>
          <w:rFonts w:cs="Arial"/>
          <w:color w:val="000000"/>
          <w:sz w:val="18"/>
          <w:szCs w:val="18"/>
          <w:shd w:val="clear" w:color="auto" w:fill="FFFFFF"/>
        </w:rPr>
        <w:t> </w:t>
      </w:r>
      <w:r>
        <w:rPr>
          <w:rFonts w:cs="Arial"/>
          <w:color w:val="000000"/>
          <w:sz w:val="18"/>
          <w:szCs w:val="18"/>
          <w:shd w:val="clear" w:color="auto" w:fill="FFFFFF"/>
        </w:rPr>
        <w:t>de 2008,</w:t>
      </w:r>
      <w:r>
        <w:rPr>
          <w:rStyle w:val="apple-converted-space"/>
          <w:rFonts w:cs="Arial"/>
          <w:color w:val="000000"/>
          <w:sz w:val="18"/>
          <w:szCs w:val="18"/>
          <w:shd w:val="clear" w:color="auto" w:fill="FFFFFF"/>
        </w:rPr>
        <w:t> </w:t>
      </w:r>
      <w:hyperlink r:id="rId8" w:anchor="0" w:history="1">
        <w:r>
          <w:rPr>
            <w:rStyle w:val="Hipervnculo"/>
            <w:rFonts w:cs="Arial"/>
            <w:szCs w:val="18"/>
            <w:shd w:val="clear" w:color="auto" w:fill="FFFFFF"/>
          </w:rPr>
          <w:t>127</w:t>
        </w:r>
      </w:hyperlink>
      <w:r>
        <w:rPr>
          <w:rStyle w:val="apple-converted-space"/>
          <w:rFonts w:cs="Arial"/>
          <w:color w:val="000000"/>
          <w:sz w:val="18"/>
          <w:szCs w:val="18"/>
          <w:shd w:val="clear" w:color="auto" w:fill="FFFFFF"/>
        </w:rPr>
        <w:t> </w:t>
      </w:r>
      <w:r>
        <w:rPr>
          <w:rFonts w:cs="Arial"/>
          <w:color w:val="000000"/>
          <w:sz w:val="18"/>
          <w:szCs w:val="18"/>
          <w:shd w:val="clear" w:color="auto" w:fill="FFFFFF"/>
        </w:rPr>
        <w:t>de 2009,</w:t>
      </w:r>
      <w:r>
        <w:rPr>
          <w:rStyle w:val="apple-converted-space"/>
          <w:rFonts w:cs="Arial"/>
          <w:color w:val="000000"/>
          <w:sz w:val="18"/>
          <w:szCs w:val="18"/>
          <w:shd w:val="clear" w:color="auto" w:fill="FFFFFF"/>
        </w:rPr>
        <w:t> </w:t>
      </w:r>
      <w:hyperlink r:id="rId9" w:anchor="0" w:history="1">
        <w:r>
          <w:rPr>
            <w:rStyle w:val="Hipervnculo"/>
            <w:rFonts w:cs="Arial"/>
            <w:szCs w:val="18"/>
            <w:shd w:val="clear" w:color="auto" w:fill="FFFFFF"/>
          </w:rPr>
          <w:t>490</w:t>
        </w:r>
      </w:hyperlink>
      <w:r>
        <w:rPr>
          <w:rStyle w:val="apple-converted-space"/>
          <w:rFonts w:cs="Arial"/>
          <w:color w:val="000000"/>
          <w:sz w:val="18"/>
          <w:szCs w:val="18"/>
          <w:shd w:val="clear" w:color="auto" w:fill="FFFFFF"/>
        </w:rPr>
        <w:t> </w:t>
      </w:r>
      <w:r>
        <w:rPr>
          <w:rFonts w:cs="Arial"/>
          <w:color w:val="000000"/>
          <w:sz w:val="18"/>
          <w:szCs w:val="18"/>
          <w:shd w:val="clear" w:color="auto" w:fill="FFFFFF"/>
        </w:rPr>
        <w:t>de 2009,</w:t>
      </w:r>
      <w:r>
        <w:rPr>
          <w:rStyle w:val="apple-converted-space"/>
          <w:rFonts w:cs="Arial"/>
          <w:color w:val="000000"/>
          <w:sz w:val="18"/>
          <w:szCs w:val="18"/>
          <w:shd w:val="clear" w:color="auto" w:fill="FFFFFF"/>
        </w:rPr>
        <w:t> </w:t>
      </w:r>
      <w:hyperlink r:id="rId10" w:anchor="0" w:history="1">
        <w:r>
          <w:rPr>
            <w:rStyle w:val="Hipervnculo"/>
            <w:rFonts w:cs="Arial"/>
            <w:szCs w:val="18"/>
            <w:shd w:val="clear" w:color="auto" w:fill="FFFFFF"/>
          </w:rPr>
          <w:t>931</w:t>
        </w:r>
      </w:hyperlink>
      <w:r>
        <w:rPr>
          <w:rStyle w:val="apple-converted-space"/>
          <w:rFonts w:cs="Arial"/>
          <w:color w:val="000000"/>
          <w:sz w:val="18"/>
          <w:szCs w:val="18"/>
          <w:shd w:val="clear" w:color="auto" w:fill="FFFFFF"/>
        </w:rPr>
        <w:t> </w:t>
      </w:r>
      <w:r>
        <w:rPr>
          <w:rFonts w:cs="Arial"/>
          <w:color w:val="000000"/>
          <w:sz w:val="18"/>
          <w:szCs w:val="18"/>
          <w:shd w:val="clear" w:color="auto" w:fill="FFFFFF"/>
        </w:rPr>
        <w:t>de 2009,</w:t>
      </w:r>
      <w:r>
        <w:rPr>
          <w:rStyle w:val="apple-converted-space"/>
          <w:rFonts w:cs="Arial"/>
          <w:color w:val="000000"/>
          <w:sz w:val="18"/>
          <w:szCs w:val="18"/>
          <w:shd w:val="clear" w:color="auto" w:fill="FFFFFF"/>
        </w:rPr>
        <w:t> </w:t>
      </w:r>
      <w:hyperlink r:id="rId11" w:anchor="0" w:history="1">
        <w:r>
          <w:rPr>
            <w:rStyle w:val="Hipervnculo"/>
            <w:rFonts w:cs="Arial"/>
            <w:szCs w:val="18"/>
            <w:shd w:val="clear" w:color="auto" w:fill="FFFFFF"/>
          </w:rPr>
          <w:t>2025</w:t>
        </w:r>
      </w:hyperlink>
      <w:r>
        <w:rPr>
          <w:rFonts w:cs="Arial"/>
          <w:color w:val="000000"/>
          <w:sz w:val="18"/>
          <w:szCs w:val="18"/>
          <w:shd w:val="clear" w:color="auto" w:fill="FFFFFF"/>
        </w:rPr>
        <w:t>de 2009,</w:t>
      </w:r>
      <w:r>
        <w:rPr>
          <w:rStyle w:val="apple-converted-space"/>
          <w:rFonts w:cs="Arial"/>
          <w:color w:val="000000"/>
          <w:sz w:val="18"/>
          <w:szCs w:val="18"/>
          <w:shd w:val="clear" w:color="auto" w:fill="FFFFFF"/>
        </w:rPr>
        <w:t> </w:t>
      </w:r>
      <w:hyperlink r:id="rId12" w:anchor="0" w:history="1">
        <w:r>
          <w:rPr>
            <w:rStyle w:val="Hipervnculo"/>
            <w:rFonts w:cs="Arial"/>
            <w:szCs w:val="18"/>
            <w:shd w:val="clear" w:color="auto" w:fill="FFFFFF"/>
          </w:rPr>
          <w:t>2493</w:t>
        </w:r>
      </w:hyperlink>
      <w:r>
        <w:rPr>
          <w:rStyle w:val="apple-converted-space"/>
          <w:rFonts w:cs="Arial"/>
          <w:color w:val="000000"/>
          <w:sz w:val="18"/>
          <w:szCs w:val="18"/>
          <w:shd w:val="clear" w:color="auto" w:fill="FFFFFF"/>
        </w:rPr>
        <w:t> </w:t>
      </w:r>
      <w:r>
        <w:rPr>
          <w:rFonts w:cs="Arial"/>
          <w:color w:val="000000"/>
          <w:sz w:val="18"/>
          <w:szCs w:val="18"/>
          <w:shd w:val="clear" w:color="auto" w:fill="FFFFFF"/>
        </w:rPr>
        <w:t>de 2009,</w:t>
      </w:r>
      <w:r>
        <w:rPr>
          <w:rStyle w:val="apple-converted-space"/>
          <w:rFonts w:cs="Arial"/>
          <w:color w:val="000000"/>
          <w:sz w:val="18"/>
          <w:szCs w:val="18"/>
          <w:shd w:val="clear" w:color="auto" w:fill="FFFFFF"/>
        </w:rPr>
        <w:t> </w:t>
      </w:r>
      <w:hyperlink r:id="rId13" w:anchor="0" w:history="1">
        <w:r>
          <w:rPr>
            <w:rStyle w:val="Hipervnculo"/>
            <w:rFonts w:cs="Arial"/>
            <w:szCs w:val="18"/>
            <w:shd w:val="clear" w:color="auto" w:fill="FFFFFF"/>
          </w:rPr>
          <w:t>3806</w:t>
        </w:r>
      </w:hyperlink>
      <w:r>
        <w:rPr>
          <w:rStyle w:val="apple-converted-space"/>
          <w:rFonts w:cs="Arial"/>
          <w:color w:val="000000"/>
          <w:sz w:val="18"/>
          <w:szCs w:val="18"/>
          <w:shd w:val="clear" w:color="auto" w:fill="FFFFFF"/>
        </w:rPr>
        <w:t> </w:t>
      </w:r>
      <w:r>
        <w:rPr>
          <w:rFonts w:cs="Arial"/>
          <w:color w:val="000000"/>
          <w:sz w:val="18"/>
          <w:szCs w:val="18"/>
          <w:shd w:val="clear" w:color="auto" w:fill="FFFFFF"/>
        </w:rPr>
        <w:t>de 2009,</w:t>
      </w:r>
      <w:r>
        <w:rPr>
          <w:rStyle w:val="apple-converted-space"/>
          <w:rFonts w:cs="Arial"/>
          <w:color w:val="000000"/>
          <w:sz w:val="18"/>
          <w:szCs w:val="18"/>
          <w:shd w:val="clear" w:color="auto" w:fill="FFFFFF"/>
        </w:rPr>
        <w:t> </w:t>
      </w:r>
      <w:hyperlink r:id="rId14" w:anchor="0" w:history="1">
        <w:r>
          <w:rPr>
            <w:rStyle w:val="Hipervnculo"/>
            <w:rFonts w:cs="Arial"/>
            <w:szCs w:val="18"/>
            <w:shd w:val="clear" w:color="auto" w:fill="FFFFFF"/>
          </w:rPr>
          <w:t>3576</w:t>
        </w:r>
      </w:hyperlink>
      <w:r>
        <w:rPr>
          <w:rStyle w:val="apple-converted-space"/>
          <w:rFonts w:cs="Arial"/>
          <w:color w:val="000000"/>
          <w:sz w:val="18"/>
          <w:szCs w:val="18"/>
          <w:shd w:val="clear" w:color="auto" w:fill="FFFFFF"/>
        </w:rPr>
        <w:t> </w:t>
      </w:r>
      <w:r>
        <w:rPr>
          <w:rFonts w:cs="Arial"/>
          <w:color w:val="000000"/>
          <w:sz w:val="18"/>
          <w:szCs w:val="18"/>
          <w:shd w:val="clear" w:color="auto" w:fill="FFFFFF"/>
        </w:rPr>
        <w:t>de 2009,</w:t>
      </w:r>
      <w:r>
        <w:rPr>
          <w:rStyle w:val="apple-converted-space"/>
          <w:rFonts w:cs="Arial"/>
          <w:color w:val="000000"/>
          <w:sz w:val="18"/>
          <w:szCs w:val="18"/>
          <w:shd w:val="clear" w:color="auto" w:fill="FFFFFF"/>
        </w:rPr>
        <w:t> </w:t>
      </w:r>
      <w:hyperlink r:id="rId15" w:anchor="0" w:history="1">
        <w:r>
          <w:rPr>
            <w:rStyle w:val="Hipervnculo"/>
            <w:rFonts w:cs="Arial"/>
            <w:szCs w:val="18"/>
            <w:shd w:val="clear" w:color="auto" w:fill="FFFFFF"/>
          </w:rPr>
          <w:t>1039</w:t>
        </w:r>
      </w:hyperlink>
      <w:r>
        <w:rPr>
          <w:rStyle w:val="apple-converted-space"/>
          <w:rFonts w:cs="Arial"/>
          <w:color w:val="000000"/>
          <w:sz w:val="18"/>
          <w:szCs w:val="18"/>
          <w:shd w:val="clear" w:color="auto" w:fill="FFFFFF"/>
        </w:rPr>
        <w:t> </w:t>
      </w:r>
      <w:r>
        <w:rPr>
          <w:rFonts w:cs="Arial"/>
          <w:color w:val="000000"/>
          <w:sz w:val="18"/>
          <w:szCs w:val="18"/>
          <w:shd w:val="clear" w:color="auto" w:fill="FFFFFF"/>
        </w:rPr>
        <w:t>de 2010,</w:t>
      </w:r>
      <w:r>
        <w:rPr>
          <w:rStyle w:val="apple-converted-space"/>
          <w:rFonts w:cs="Arial"/>
          <w:color w:val="000000"/>
          <w:sz w:val="18"/>
          <w:szCs w:val="18"/>
          <w:shd w:val="clear" w:color="auto" w:fill="FFFFFF"/>
        </w:rPr>
        <w:t> </w:t>
      </w:r>
      <w:hyperlink r:id="rId16" w:anchor="0" w:history="1">
        <w:r>
          <w:rPr>
            <w:rStyle w:val="Hipervnculo"/>
            <w:rFonts w:cs="Arial"/>
            <w:szCs w:val="18"/>
            <w:shd w:val="clear" w:color="auto" w:fill="FFFFFF"/>
          </w:rPr>
          <w:t>1430</w:t>
        </w:r>
      </w:hyperlink>
      <w:r>
        <w:rPr>
          <w:rStyle w:val="apple-converted-space"/>
          <w:rFonts w:cs="Arial"/>
          <w:color w:val="000000"/>
          <w:sz w:val="18"/>
          <w:szCs w:val="18"/>
          <w:shd w:val="clear" w:color="auto" w:fill="FFFFFF"/>
        </w:rPr>
        <w:t> </w:t>
      </w:r>
      <w:r>
        <w:rPr>
          <w:rFonts w:cs="Arial"/>
          <w:color w:val="000000"/>
          <w:sz w:val="18"/>
          <w:szCs w:val="18"/>
          <w:shd w:val="clear" w:color="auto" w:fill="FFFFFF"/>
        </w:rPr>
        <w:t>de 2010,</w:t>
      </w:r>
      <w:r>
        <w:rPr>
          <w:rStyle w:val="apple-converted-space"/>
          <w:rFonts w:cs="Arial"/>
          <w:color w:val="000000"/>
          <w:sz w:val="18"/>
          <w:szCs w:val="18"/>
          <w:shd w:val="clear" w:color="auto" w:fill="FFFFFF"/>
        </w:rPr>
        <w:t> </w:t>
      </w:r>
      <w:hyperlink r:id="rId17" w:anchor="0" w:history="1">
        <w:r>
          <w:rPr>
            <w:rStyle w:val="Hipervnculo"/>
            <w:rFonts w:cs="Arial"/>
            <w:szCs w:val="18"/>
            <w:shd w:val="clear" w:color="auto" w:fill="FFFFFF"/>
          </w:rPr>
          <w:t>1464</w:t>
        </w:r>
      </w:hyperlink>
      <w:r>
        <w:rPr>
          <w:rStyle w:val="apple-converted-space"/>
          <w:rFonts w:cs="Arial"/>
          <w:color w:val="000000"/>
          <w:sz w:val="18"/>
          <w:szCs w:val="18"/>
          <w:shd w:val="clear" w:color="auto" w:fill="FFFFFF"/>
        </w:rPr>
        <w:t> </w:t>
      </w:r>
      <w:r>
        <w:rPr>
          <w:rFonts w:cs="Arial"/>
          <w:color w:val="000000"/>
          <w:sz w:val="18"/>
          <w:szCs w:val="18"/>
          <w:shd w:val="clear" w:color="auto" w:fill="FFFFFF"/>
        </w:rPr>
        <w:t>de 2010,</w:t>
      </w:r>
      <w:r>
        <w:rPr>
          <w:rStyle w:val="apple-converted-space"/>
          <w:rFonts w:cs="Arial"/>
          <w:color w:val="000000"/>
          <w:sz w:val="18"/>
          <w:szCs w:val="18"/>
          <w:shd w:val="clear" w:color="auto" w:fill="FFFFFF"/>
        </w:rPr>
        <w:t> </w:t>
      </w:r>
      <w:hyperlink r:id="rId18" w:anchor="0" w:history="1">
        <w:r>
          <w:rPr>
            <w:rStyle w:val="Hipervnculo"/>
            <w:rFonts w:cs="Arial"/>
            <w:szCs w:val="18"/>
            <w:shd w:val="clear" w:color="auto" w:fill="FFFFFF"/>
          </w:rPr>
          <w:t>2473</w:t>
        </w:r>
      </w:hyperlink>
      <w:r>
        <w:rPr>
          <w:rStyle w:val="apple-converted-space"/>
          <w:rFonts w:cs="Arial"/>
          <w:color w:val="000000"/>
          <w:sz w:val="18"/>
          <w:szCs w:val="18"/>
          <w:shd w:val="clear" w:color="auto" w:fill="FFFFFF"/>
        </w:rPr>
        <w:t> </w:t>
      </w:r>
      <w:r>
        <w:rPr>
          <w:rFonts w:cs="Arial"/>
          <w:color w:val="000000"/>
          <w:sz w:val="18"/>
          <w:szCs w:val="18"/>
          <w:shd w:val="clear" w:color="auto" w:fill="FFFFFF"/>
        </w:rPr>
        <w:t>de 2010,</w:t>
      </w:r>
      <w:r>
        <w:rPr>
          <w:rStyle w:val="apple-converted-space"/>
          <w:rFonts w:cs="Arial"/>
          <w:color w:val="000000"/>
          <w:sz w:val="18"/>
          <w:szCs w:val="18"/>
          <w:shd w:val="clear" w:color="auto" w:fill="FFFFFF"/>
        </w:rPr>
        <w:t> </w:t>
      </w:r>
      <w:hyperlink r:id="rId19" w:anchor="0" w:history="1">
        <w:r>
          <w:rPr>
            <w:rStyle w:val="Hipervnculo"/>
            <w:rFonts w:cs="Arial"/>
            <w:szCs w:val="18"/>
            <w:shd w:val="clear" w:color="auto" w:fill="FFFFFF"/>
          </w:rPr>
          <w:t>3844</w:t>
        </w:r>
      </w:hyperlink>
      <w:r>
        <w:rPr>
          <w:rStyle w:val="apple-converted-space"/>
          <w:rFonts w:cs="Arial"/>
          <w:color w:val="000000"/>
          <w:sz w:val="18"/>
          <w:szCs w:val="18"/>
          <w:shd w:val="clear" w:color="auto" w:fill="FFFFFF"/>
        </w:rPr>
        <w:t> </w:t>
      </w:r>
      <w:r>
        <w:rPr>
          <w:rFonts w:cs="Arial"/>
          <w:color w:val="000000"/>
          <w:sz w:val="18"/>
          <w:szCs w:val="18"/>
          <w:shd w:val="clear" w:color="auto" w:fill="FFFFFF"/>
        </w:rPr>
        <w:t>de 2010,</w:t>
      </w:r>
      <w:r>
        <w:rPr>
          <w:rStyle w:val="apple-converted-space"/>
          <w:rFonts w:cs="Arial"/>
          <w:color w:val="000000"/>
          <w:sz w:val="18"/>
          <w:szCs w:val="18"/>
          <w:shd w:val="clear" w:color="auto" w:fill="FFFFFF"/>
        </w:rPr>
        <w:t> </w:t>
      </w:r>
      <w:hyperlink r:id="rId20" w:anchor="0" w:history="1">
        <w:r>
          <w:rPr>
            <w:rStyle w:val="Hipervnculo"/>
            <w:rFonts w:cs="Arial"/>
            <w:szCs w:val="18"/>
            <w:shd w:val="clear" w:color="auto" w:fill="FFFFFF"/>
          </w:rPr>
          <w:t>4266</w:t>
        </w:r>
      </w:hyperlink>
      <w:r>
        <w:rPr>
          <w:rStyle w:val="apple-converted-space"/>
          <w:rFonts w:cs="Arial"/>
          <w:color w:val="000000"/>
          <w:sz w:val="18"/>
          <w:szCs w:val="18"/>
          <w:shd w:val="clear" w:color="auto" w:fill="FFFFFF"/>
        </w:rPr>
        <w:t> </w:t>
      </w:r>
      <w:r>
        <w:rPr>
          <w:rFonts w:cs="Arial"/>
          <w:color w:val="000000"/>
          <w:sz w:val="18"/>
          <w:szCs w:val="18"/>
          <w:shd w:val="clear" w:color="auto" w:fill="FFFFFF"/>
        </w:rPr>
        <w:t>de 2010,</w:t>
      </w:r>
      <w:r>
        <w:rPr>
          <w:rStyle w:val="apple-converted-space"/>
          <w:rFonts w:cs="Arial"/>
          <w:color w:val="000000"/>
          <w:sz w:val="18"/>
          <w:szCs w:val="18"/>
          <w:shd w:val="clear" w:color="auto" w:fill="FFFFFF"/>
        </w:rPr>
        <w:t> </w:t>
      </w:r>
      <w:hyperlink r:id="rId21" w:anchor="0" w:history="1">
        <w:r>
          <w:rPr>
            <w:rStyle w:val="Hipervnculo"/>
            <w:rFonts w:cs="Arial"/>
            <w:szCs w:val="18"/>
            <w:shd w:val="clear" w:color="auto" w:fill="FFFFFF"/>
          </w:rPr>
          <w:t>2516</w:t>
        </w:r>
      </w:hyperlink>
      <w:r>
        <w:rPr>
          <w:rStyle w:val="apple-converted-space"/>
          <w:rFonts w:cs="Arial"/>
          <w:color w:val="000000"/>
          <w:sz w:val="18"/>
          <w:szCs w:val="18"/>
          <w:shd w:val="clear" w:color="auto" w:fill="FFFFFF"/>
        </w:rPr>
        <w:t> </w:t>
      </w:r>
      <w:r>
        <w:rPr>
          <w:rFonts w:cs="Arial"/>
          <w:color w:val="000000"/>
          <w:sz w:val="18"/>
          <w:szCs w:val="18"/>
          <w:shd w:val="clear" w:color="auto" w:fill="FFFFFF"/>
        </w:rPr>
        <w:t>de 2011,</w:t>
      </w:r>
      <w:r>
        <w:rPr>
          <w:rStyle w:val="apple-converted-space"/>
          <w:rFonts w:cs="Arial"/>
          <w:color w:val="000000"/>
          <w:sz w:val="18"/>
          <w:szCs w:val="18"/>
          <w:shd w:val="clear" w:color="auto" w:fill="FFFFFF"/>
        </w:rPr>
        <w:t> </w:t>
      </w:r>
      <w:hyperlink r:id="rId22" w:anchor="0" w:history="1">
        <w:r>
          <w:rPr>
            <w:rStyle w:val="Hipervnculo"/>
            <w:rFonts w:cs="Arial"/>
            <w:szCs w:val="18"/>
            <w:shd w:val="clear" w:color="auto" w:fill="FFFFFF"/>
          </w:rPr>
          <w:t>3485</w:t>
        </w:r>
      </w:hyperlink>
      <w:r>
        <w:rPr>
          <w:rStyle w:val="apple-converted-space"/>
          <w:rFonts w:cs="Arial"/>
          <w:color w:val="000000"/>
          <w:sz w:val="18"/>
          <w:szCs w:val="18"/>
          <w:shd w:val="clear" w:color="auto" w:fill="FFFFFF"/>
        </w:rPr>
        <w:t> </w:t>
      </w:r>
      <w:r>
        <w:rPr>
          <w:rFonts w:cs="Arial"/>
          <w:color w:val="000000"/>
          <w:sz w:val="18"/>
          <w:szCs w:val="18"/>
          <w:shd w:val="clear" w:color="auto" w:fill="FFFFFF"/>
        </w:rPr>
        <w:t xml:space="preserve">de 2011; </w:t>
      </w:r>
      <w:r>
        <w:rPr>
          <w:rFonts w:cs="Arial"/>
          <w:sz w:val="18"/>
          <w:szCs w:val="18"/>
          <w:lang w:val="es-CO"/>
        </w:rPr>
        <w:t>recogidos en el  Decreto 734 de 2012, el cual será sustituido por el Decreto 1510 de 2013, de acuerdo con el régimen de transición dispuesto en éste último.</w:t>
      </w:r>
    </w:p>
    <w:p w:rsidR="0059763E" w:rsidRDefault="0059763E" w:rsidP="000E35AE">
      <w:pPr>
        <w:pStyle w:val="Textonotapie"/>
        <w:spacing w:line="240" w:lineRule="auto"/>
        <w:rPr>
          <w:rFonts w:cs="Arial"/>
          <w:sz w:val="18"/>
          <w:szCs w:val="18"/>
          <w:lang w:val="es-CO"/>
        </w:rPr>
      </w:pPr>
    </w:p>
    <w:p w:rsidR="0059763E" w:rsidRDefault="0059763E" w:rsidP="000E35AE">
      <w:pPr>
        <w:pStyle w:val="Textonotapie"/>
        <w:spacing w:line="240" w:lineRule="auto"/>
        <w:rPr>
          <w:rFonts w:cs="Arial"/>
          <w:sz w:val="18"/>
          <w:szCs w:val="18"/>
          <w:lang w:val="es-CO"/>
        </w:rPr>
      </w:pPr>
      <w:r>
        <w:rPr>
          <w:rFonts w:cs="Arial"/>
          <w:sz w:val="18"/>
          <w:szCs w:val="18"/>
          <w:lang w:val="es-CO"/>
        </w:rPr>
        <w:t xml:space="preserve">En esta normativa, compilada en el Decreto 734 de 2012 se dispuso la presentación de soportes de la información financiera correspondiente al cierre fiscal del año anterior a la vez que se estableció el deber de coherencia de la información financiera con respecto de la información que reposa en el Registro Mercantil o en el Registro de Entidades sin Ánimo de Lucro, así </w:t>
      </w:r>
    </w:p>
    <w:p w:rsidR="0059763E" w:rsidRDefault="0059763E" w:rsidP="000E35AE">
      <w:pPr>
        <w:pStyle w:val="Textonotapie"/>
        <w:spacing w:line="240" w:lineRule="auto"/>
        <w:rPr>
          <w:rFonts w:cs="Arial"/>
          <w:sz w:val="18"/>
          <w:szCs w:val="18"/>
          <w:lang w:val="es-CO"/>
        </w:rPr>
      </w:pPr>
    </w:p>
    <w:p w:rsidR="0059763E" w:rsidRDefault="0059763E" w:rsidP="000E35AE">
      <w:pPr>
        <w:pStyle w:val="Textonotapie"/>
        <w:spacing w:line="240" w:lineRule="auto"/>
        <w:rPr>
          <w:rFonts w:cs="Arial"/>
          <w:i/>
          <w:color w:val="000000"/>
          <w:sz w:val="18"/>
          <w:szCs w:val="18"/>
          <w:shd w:val="clear" w:color="auto" w:fill="FFFFFF"/>
        </w:rPr>
      </w:pPr>
      <w:r>
        <w:rPr>
          <w:rFonts w:cs="Arial"/>
          <w:i/>
          <w:color w:val="000000"/>
          <w:sz w:val="18"/>
          <w:szCs w:val="18"/>
          <w:shd w:val="clear" w:color="auto" w:fill="FFFFFF"/>
        </w:rPr>
        <w:t>“6.2.1.2.4. (…) Para la inscripción, renovación o actualización de la información financiera en el Registro Único de Proponentes, en todos los casos deberá presentarse el respectivo soporte y la fecha de corte deberá corresponder siempre al cierre fiscal del año inmediatamente anterior salvo lo estipulado en el artículo 6.2.1.5 del presente decreto. En todo caso la información financiera reportada por el proponente deberá ser coherente con la información que reposa en el Registro Mercantil.</w:t>
      </w:r>
    </w:p>
    <w:p w:rsidR="0059763E" w:rsidRDefault="0059763E" w:rsidP="000E35AE">
      <w:pPr>
        <w:pStyle w:val="Textonotapie"/>
        <w:spacing w:line="240" w:lineRule="auto"/>
        <w:rPr>
          <w:rFonts w:cs="Arial"/>
          <w:i/>
          <w:color w:val="000000"/>
          <w:sz w:val="18"/>
          <w:szCs w:val="18"/>
          <w:shd w:val="clear" w:color="auto" w:fill="FFFFFF"/>
        </w:rPr>
      </w:pPr>
      <w:r>
        <w:rPr>
          <w:rFonts w:cs="Arial"/>
          <w:i/>
          <w:color w:val="000000"/>
          <w:sz w:val="18"/>
          <w:szCs w:val="18"/>
          <w:shd w:val="clear" w:color="auto" w:fill="FFFFFF"/>
        </w:rPr>
        <w:t>(…)</w:t>
      </w:r>
    </w:p>
    <w:p w:rsidR="0059763E" w:rsidRDefault="0059763E" w:rsidP="000E35AE">
      <w:pPr>
        <w:pStyle w:val="Textonotapie"/>
        <w:spacing w:line="240" w:lineRule="auto"/>
        <w:rPr>
          <w:rFonts w:cs="Arial"/>
          <w:i/>
          <w:sz w:val="18"/>
          <w:szCs w:val="18"/>
          <w:lang w:val="es-CO"/>
        </w:rPr>
      </w:pPr>
      <w:r>
        <w:rPr>
          <w:rFonts w:cs="Arial"/>
          <w:i/>
          <w:color w:val="000000"/>
          <w:sz w:val="18"/>
          <w:szCs w:val="18"/>
          <w:shd w:val="clear" w:color="auto" w:fill="FFFFFF"/>
        </w:rPr>
        <w:t>6.2.1.2.6. (…) El certificado constituye plena prueba respecto de la información verificada documentalmente y cuyo registro se encuentra en firme. Lo mismo ocurre en relación con la información que proviene del Registro Mercantil o del Registro de Entidades Sin Ánimo de Lucro para los efectos de lo previsto en el presente decreto.”</w:t>
      </w:r>
    </w:p>
  </w:footnote>
  <w:footnote w:id="34">
    <w:p w:rsidR="0059763E" w:rsidRDefault="0059763E" w:rsidP="000E35AE">
      <w:pPr>
        <w:pStyle w:val="Textonotapie"/>
        <w:spacing w:line="240" w:lineRule="auto"/>
        <w:rPr>
          <w:rFonts w:cs="Arial"/>
          <w:sz w:val="18"/>
          <w:szCs w:val="18"/>
        </w:rPr>
      </w:pPr>
      <w:r>
        <w:rPr>
          <w:rStyle w:val="Refdenotaalpie"/>
          <w:rFonts w:cs="Arial"/>
          <w:sz w:val="18"/>
          <w:szCs w:val="18"/>
        </w:rPr>
        <w:footnoteRef/>
      </w:r>
      <w:r>
        <w:rPr>
          <w:rFonts w:cs="Arial"/>
          <w:sz w:val="18"/>
          <w:szCs w:val="18"/>
        </w:rPr>
        <w:t xml:space="preserve"> La frase subrayada corresponde a la modificación introducida por el Decreto 019 de 2012.</w:t>
      </w:r>
    </w:p>
    <w:p w:rsidR="0059763E" w:rsidRDefault="0059763E" w:rsidP="000E35AE">
      <w:pPr>
        <w:pStyle w:val="Textonotapie"/>
        <w:spacing w:line="240" w:lineRule="auto"/>
        <w:rPr>
          <w:rFonts w:cs="Arial"/>
          <w:sz w:val="18"/>
          <w:szCs w:val="18"/>
          <w:lang w:val="es-CO"/>
        </w:rPr>
      </w:pPr>
    </w:p>
  </w:footnote>
  <w:footnote w:id="35">
    <w:p w:rsidR="0059763E" w:rsidRDefault="0059763E" w:rsidP="000E35AE">
      <w:pPr>
        <w:pStyle w:val="Textonotapie"/>
        <w:spacing w:line="240" w:lineRule="auto"/>
        <w:rPr>
          <w:rFonts w:cs="Arial"/>
          <w:bCs/>
          <w:i/>
          <w:color w:val="000000"/>
          <w:sz w:val="18"/>
          <w:szCs w:val="18"/>
          <w:shd w:val="clear" w:color="auto" w:fill="FFFFFF"/>
        </w:rPr>
      </w:pPr>
      <w:r>
        <w:rPr>
          <w:rStyle w:val="Refdenotaalpie"/>
          <w:rFonts w:cs="Arial"/>
          <w:sz w:val="18"/>
          <w:szCs w:val="18"/>
        </w:rPr>
        <w:footnoteRef/>
      </w:r>
      <w:r>
        <w:rPr>
          <w:rFonts w:cs="Arial"/>
          <w:sz w:val="18"/>
          <w:szCs w:val="18"/>
        </w:rPr>
        <w:t xml:space="preserve"> El Registro Único de Proponentes se estableció como plena prueba a la vez que se reguló el procedimiento para impugnar la inscripción en el RUP ante la Cámara de Comercio  así como para cancelar el Registro en caso de inconsistencias. En -</w:t>
      </w:r>
      <w:r>
        <w:rPr>
          <w:rFonts w:cs="Arial"/>
          <w:bCs/>
          <w:color w:val="000000"/>
          <w:sz w:val="18"/>
          <w:szCs w:val="18"/>
          <w:shd w:val="clear" w:color="auto" w:fill="FFFFFF"/>
        </w:rPr>
        <w:t xml:space="preserve">Sentencia C-1016/12, la Corte Constitucional declaró exequible la disposición del numeral 6.3., del artículo 6º de la Ley 1150 de 2007,  referente a la inhabilidad para contratar con el Estado en caso de que la Cámara de Comercio establezca la cancelación del RUP por inconsistencias. La disposición citada establece: </w:t>
      </w:r>
      <w:r>
        <w:rPr>
          <w:rFonts w:cs="Arial"/>
          <w:b/>
          <w:bCs/>
          <w:color w:val="000000"/>
          <w:sz w:val="18"/>
          <w:szCs w:val="18"/>
          <w:shd w:val="clear" w:color="auto" w:fill="FFFFFF"/>
        </w:rPr>
        <w:t>“</w:t>
      </w:r>
      <w:r>
        <w:rPr>
          <w:rFonts w:cs="Arial"/>
          <w:i/>
          <w:color w:val="000000"/>
          <w:sz w:val="18"/>
          <w:szCs w:val="18"/>
          <w:shd w:val="clear" w:color="auto" w:fill="FFFFFF"/>
        </w:rPr>
        <w:t>En el evento en que la Cámara de Comercio establezca la existencia de graves inconsistencias se le cancelará la inscripción en el registro quedando en tal caso inhabilitado para contratar con las entidades estatales por el término de cinco (5) años, sin perjuicio de las acciones penales a que haya lugar.</w:t>
      </w:r>
      <w:r>
        <w:rPr>
          <w:rStyle w:val="apple-converted-space"/>
          <w:rFonts w:cs="Arial"/>
          <w:i/>
          <w:color w:val="000000"/>
          <w:sz w:val="18"/>
          <w:szCs w:val="18"/>
          <w:shd w:val="clear" w:color="auto" w:fill="FFFFFF"/>
        </w:rPr>
        <w:t> </w:t>
      </w:r>
      <w:r>
        <w:rPr>
          <w:rFonts w:cs="Arial"/>
          <w:bCs/>
          <w:i/>
          <w:color w:val="000000"/>
          <w:sz w:val="18"/>
          <w:szCs w:val="18"/>
          <w:shd w:val="clear" w:color="auto" w:fill="FFFFFF"/>
        </w:rPr>
        <w:t>En caso de reincidencia la inhabilidad será permanente.”</w:t>
      </w:r>
    </w:p>
    <w:p w:rsidR="0059763E" w:rsidRDefault="0059763E" w:rsidP="000E35AE">
      <w:pPr>
        <w:pStyle w:val="Textonotapie"/>
        <w:spacing w:line="240" w:lineRule="auto"/>
        <w:rPr>
          <w:rFonts w:cs="Arial"/>
          <w:sz w:val="18"/>
          <w:szCs w:val="18"/>
          <w:lang w:val="es-CO"/>
        </w:rPr>
      </w:pPr>
    </w:p>
  </w:footnote>
  <w:footnote w:id="36">
    <w:p w:rsidR="0059763E" w:rsidRPr="00774869" w:rsidRDefault="0059763E" w:rsidP="00454A42">
      <w:pPr>
        <w:spacing w:line="240" w:lineRule="auto"/>
        <w:rPr>
          <w:rFonts w:cs="Arial"/>
          <w:i/>
          <w:color w:val="000000"/>
          <w:sz w:val="18"/>
          <w:szCs w:val="18"/>
        </w:rPr>
      </w:pPr>
      <w:r>
        <w:rPr>
          <w:rStyle w:val="Refdenotaalpie"/>
        </w:rPr>
        <w:footnoteRef/>
      </w:r>
      <w:r>
        <w:t xml:space="preserve"> </w:t>
      </w:r>
      <w:r w:rsidRPr="00044360">
        <w:rPr>
          <w:sz w:val="18"/>
          <w:szCs w:val="18"/>
        </w:rPr>
        <w:t xml:space="preserve">Decreto 2649 de 1993, </w:t>
      </w:r>
      <w:r w:rsidRPr="00044360">
        <w:rPr>
          <w:rFonts w:cs="Arial"/>
          <w:i/>
          <w:color w:val="000080"/>
          <w:sz w:val="18"/>
          <w:szCs w:val="18"/>
        </w:rPr>
        <w:t>ARTICULO 33. ESTADOS FINANCIEROS CERTIFICADOS Y DICTAMINADOS.</w:t>
      </w:r>
      <w:r w:rsidRPr="00044360">
        <w:rPr>
          <w:rFonts w:cs="Arial"/>
          <w:i/>
          <w:color w:val="000000"/>
          <w:sz w:val="18"/>
          <w:szCs w:val="18"/>
        </w:rPr>
        <w:t xml:space="preserve">  Son estados financieros certificados aquellos firmados por el representante legal, por el contador público que los hubiere preparado y por el Revisor Fiscal, si lo hubiere, </w:t>
      </w:r>
      <w:r w:rsidRPr="00412182">
        <w:rPr>
          <w:rFonts w:cs="Arial"/>
          <w:i/>
          <w:color w:val="000000"/>
          <w:sz w:val="18"/>
          <w:szCs w:val="18"/>
          <w:u w:val="single"/>
        </w:rPr>
        <w:t>dando así testimonio de que han sido fielmente tomados de los libros</w:t>
      </w:r>
      <w:r w:rsidRPr="00774869">
        <w:rPr>
          <w:rFonts w:cs="Arial"/>
          <w:i/>
          <w:color w:val="000000"/>
          <w:sz w:val="18"/>
          <w:szCs w:val="18"/>
        </w:rPr>
        <w:t>. (La subraya no es del text</w:t>
      </w:r>
      <w:r>
        <w:rPr>
          <w:rFonts w:cs="Arial"/>
          <w:i/>
          <w:color w:val="000000"/>
          <w:sz w:val="18"/>
          <w:szCs w:val="18"/>
        </w:rPr>
        <w:t>o</w:t>
      </w:r>
      <w:r w:rsidRPr="00774869">
        <w:rPr>
          <w:rFonts w:cs="Arial"/>
          <w:i/>
          <w:color w:val="000000"/>
          <w:sz w:val="18"/>
          <w:szCs w:val="18"/>
        </w:rPr>
        <w:t>)</w:t>
      </w:r>
      <w:r>
        <w:rPr>
          <w:rFonts w:cs="Arial"/>
          <w:i/>
          <w:color w:val="000000"/>
          <w:sz w:val="18"/>
          <w:szCs w:val="18"/>
        </w:rPr>
        <w:t>.</w:t>
      </w:r>
    </w:p>
    <w:p w:rsidR="0059763E" w:rsidRPr="00774869" w:rsidRDefault="0059763E" w:rsidP="00454A42">
      <w:pPr>
        <w:spacing w:line="240" w:lineRule="auto"/>
        <w:rPr>
          <w:rFonts w:cs="Arial"/>
          <w:i/>
          <w:color w:val="000000"/>
          <w:sz w:val="18"/>
          <w:szCs w:val="18"/>
        </w:rPr>
      </w:pPr>
    </w:p>
    <w:p w:rsidR="0059763E" w:rsidRPr="00412182" w:rsidRDefault="0059763E" w:rsidP="001E730E">
      <w:pPr>
        <w:pStyle w:val="Textonotapie"/>
        <w:spacing w:line="240" w:lineRule="auto"/>
        <w:rPr>
          <w:lang w:val="es-CO"/>
        </w:rPr>
      </w:pPr>
      <w:r>
        <w:rPr>
          <w:rFonts w:cs="Arial"/>
          <w:i/>
          <w:sz w:val="18"/>
          <w:szCs w:val="18"/>
        </w:rPr>
        <w:t xml:space="preserve">Ley 222 de 1995. </w:t>
      </w:r>
      <w:r>
        <w:rPr>
          <w:rFonts w:cs="Arial"/>
          <w:i/>
          <w:color w:val="000080"/>
          <w:sz w:val="18"/>
          <w:szCs w:val="18"/>
          <w:lang w:val="es-MX" w:eastAsia="es-MX"/>
        </w:rPr>
        <w:t>“ARTICULO 37. ESTADOS FINANCIEROS CERTIFICADOS.</w:t>
      </w:r>
      <w:r>
        <w:rPr>
          <w:rFonts w:cs="Arial"/>
          <w:i/>
          <w:color w:val="000000"/>
          <w:sz w:val="18"/>
          <w:szCs w:val="18"/>
          <w:lang w:val="es-MX" w:eastAsia="es-MX"/>
        </w:rPr>
        <w:t xml:space="preserve"> El representante legal y el contador público bajo cuya responsabilidad se hubiesen preparado los estados financieros deberán certificar aquellos que se pongan a disposición de los asociados o de terceros. </w:t>
      </w:r>
      <w:r w:rsidRPr="00774869">
        <w:rPr>
          <w:rFonts w:cs="Arial"/>
          <w:i/>
          <w:color w:val="000000"/>
          <w:sz w:val="18"/>
          <w:szCs w:val="18"/>
          <w:u w:val="single"/>
          <w:lang w:val="es-MX" w:eastAsia="es-MX"/>
        </w:rPr>
        <w:t>La certificación consiste en declarar que se han verificado previamente las afirmaciones contenidas en ellos, conforme al reglamento, y que las mismas se han tomado fielmente de los libros</w:t>
      </w:r>
      <w:r w:rsidRPr="00774869">
        <w:rPr>
          <w:rFonts w:cs="Arial"/>
          <w:i/>
          <w:color w:val="000000"/>
          <w:sz w:val="18"/>
          <w:szCs w:val="18"/>
          <w:lang w:val="es-MX" w:eastAsia="es-MX"/>
        </w:rPr>
        <w:t xml:space="preserve">. </w:t>
      </w:r>
      <w:r w:rsidRPr="00774869">
        <w:rPr>
          <w:rFonts w:cs="Arial"/>
          <w:color w:val="000000"/>
          <w:sz w:val="18"/>
          <w:szCs w:val="18"/>
          <w:lang w:val="es-MX" w:eastAsia="es-MX"/>
        </w:rPr>
        <w:t xml:space="preserve">(La subraya no es del texto) </w:t>
      </w:r>
    </w:p>
  </w:footnote>
  <w:footnote w:id="37">
    <w:p w:rsidR="0059763E" w:rsidRDefault="0059763E" w:rsidP="00003C47">
      <w:pPr>
        <w:pStyle w:val="NormalWeb"/>
        <w:shd w:val="clear" w:color="auto" w:fill="FFFFFF"/>
        <w:spacing w:line="240" w:lineRule="auto"/>
        <w:rPr>
          <w:rFonts w:cs="Arial"/>
          <w:i/>
          <w:color w:val="000000"/>
          <w:sz w:val="18"/>
          <w:szCs w:val="18"/>
        </w:rPr>
      </w:pPr>
      <w:r>
        <w:rPr>
          <w:rStyle w:val="Refdenotaalpie"/>
          <w:rFonts w:cs="Arial"/>
          <w:i/>
          <w:sz w:val="18"/>
          <w:szCs w:val="18"/>
        </w:rPr>
        <w:footnoteRef/>
      </w:r>
      <w:r>
        <w:rPr>
          <w:rFonts w:cs="Arial"/>
          <w:i/>
          <w:sz w:val="18"/>
          <w:szCs w:val="18"/>
        </w:rPr>
        <w:t xml:space="preserve"> </w:t>
      </w:r>
      <w:r>
        <w:rPr>
          <w:rFonts w:cs="Arial"/>
          <w:bCs/>
          <w:i/>
          <w:color w:val="000000"/>
          <w:sz w:val="18"/>
          <w:szCs w:val="18"/>
        </w:rPr>
        <w:t>ARTICULO 2o.</w:t>
      </w:r>
      <w:r>
        <w:rPr>
          <w:rStyle w:val="apple-converted-space"/>
          <w:rFonts w:cs="Arial"/>
          <w:i/>
          <w:color w:val="000000"/>
          <w:sz w:val="18"/>
          <w:szCs w:val="18"/>
        </w:rPr>
        <w:t> </w:t>
      </w:r>
      <w:r>
        <w:rPr>
          <w:rFonts w:cs="Arial"/>
          <w:i/>
          <w:color w:val="000000"/>
          <w:sz w:val="18"/>
          <w:szCs w:val="18"/>
        </w:rPr>
        <w:t>AMBITO DE APLICACION. El presente decreto debe ser aplicado por todas las personas que de acuerdo con la Ley estén obligadas a llevar contabilidad.</w:t>
      </w:r>
    </w:p>
    <w:p w:rsidR="0059763E" w:rsidRDefault="0059763E" w:rsidP="00003C47">
      <w:pPr>
        <w:pStyle w:val="NormalWeb"/>
        <w:shd w:val="clear" w:color="auto" w:fill="FFFFFF"/>
        <w:spacing w:line="240" w:lineRule="auto"/>
        <w:rPr>
          <w:rFonts w:cs="Arial"/>
          <w:i/>
          <w:sz w:val="18"/>
          <w:szCs w:val="18"/>
          <w:lang w:val="es-CO"/>
        </w:rPr>
      </w:pPr>
      <w:r>
        <w:rPr>
          <w:rFonts w:cs="Arial"/>
          <w:i/>
          <w:color w:val="000000"/>
          <w:sz w:val="18"/>
          <w:szCs w:val="18"/>
        </w:rPr>
        <w:t>Su aplicación es necesaria también para quienes sin estar obligados a llevar contabilidad, pretendan hacerla valer como prueba.”</w:t>
      </w:r>
    </w:p>
  </w:footnote>
  <w:footnote w:id="38">
    <w:p w:rsidR="0059763E" w:rsidRPr="00102D36" w:rsidRDefault="0059763E" w:rsidP="00C46280">
      <w:pPr>
        <w:pStyle w:val="Textonotapie"/>
        <w:rPr>
          <w:rFonts w:cs="Calibri"/>
          <w:sz w:val="18"/>
          <w:szCs w:val="18"/>
          <w:lang w:val="es-CO"/>
        </w:rPr>
      </w:pPr>
      <w:r w:rsidRPr="00102D36">
        <w:rPr>
          <w:rStyle w:val="Refdenotaalpie"/>
          <w:sz w:val="18"/>
          <w:szCs w:val="18"/>
        </w:rPr>
        <w:footnoteRef/>
      </w:r>
      <w:r w:rsidRPr="00102D36">
        <w:rPr>
          <w:sz w:val="18"/>
          <w:szCs w:val="18"/>
        </w:rPr>
        <w:t xml:space="preserve"> </w:t>
      </w:r>
      <w:r w:rsidRPr="00102D36">
        <w:rPr>
          <w:sz w:val="18"/>
          <w:szCs w:val="18"/>
          <w:lang w:val="es-CO"/>
        </w:rPr>
        <w:t>Ley 43 de 1990.</w:t>
      </w:r>
    </w:p>
  </w:footnote>
  <w:footnote w:id="39">
    <w:p w:rsidR="0059763E" w:rsidRPr="00102D36" w:rsidRDefault="0059763E">
      <w:pPr>
        <w:pStyle w:val="Textonotapie"/>
        <w:rPr>
          <w:sz w:val="18"/>
          <w:szCs w:val="18"/>
          <w:lang w:val="es-CO"/>
        </w:rPr>
      </w:pPr>
      <w:r w:rsidRPr="00102D36">
        <w:rPr>
          <w:rStyle w:val="Refdenotaalpie"/>
          <w:sz w:val="18"/>
          <w:szCs w:val="18"/>
        </w:rPr>
        <w:footnoteRef/>
      </w:r>
      <w:r w:rsidRPr="00102D36">
        <w:rPr>
          <w:sz w:val="18"/>
          <w:szCs w:val="18"/>
        </w:rPr>
        <w:t xml:space="preserve"> </w:t>
      </w:r>
      <w:r w:rsidRPr="00102D36">
        <w:rPr>
          <w:sz w:val="18"/>
          <w:szCs w:val="18"/>
          <w:lang w:val="es-CO"/>
        </w:rPr>
        <w:t>Decreto 2649 de 1993.</w:t>
      </w:r>
    </w:p>
  </w:footnote>
  <w:footnote w:id="40">
    <w:p w:rsidR="0059763E" w:rsidRPr="00102D36" w:rsidRDefault="0059763E">
      <w:pPr>
        <w:pStyle w:val="Textonotapie"/>
        <w:rPr>
          <w:sz w:val="18"/>
          <w:szCs w:val="18"/>
          <w:lang w:val="es-CO"/>
        </w:rPr>
      </w:pPr>
      <w:r w:rsidRPr="00102D36">
        <w:rPr>
          <w:rStyle w:val="Refdenotaalpie"/>
          <w:sz w:val="18"/>
          <w:szCs w:val="18"/>
        </w:rPr>
        <w:footnoteRef/>
      </w:r>
      <w:r w:rsidRPr="00102D36">
        <w:rPr>
          <w:sz w:val="18"/>
          <w:szCs w:val="18"/>
        </w:rPr>
        <w:t xml:space="preserve"> </w:t>
      </w:r>
      <w:r w:rsidRPr="00102D36">
        <w:rPr>
          <w:sz w:val="18"/>
          <w:szCs w:val="18"/>
          <w:lang w:val="es-CO"/>
        </w:rPr>
        <w:t>Ley 222 de 1995 y Ley 1314 de 2009.</w:t>
      </w:r>
    </w:p>
  </w:footnote>
  <w:footnote w:id="41">
    <w:p w:rsidR="0059763E" w:rsidRPr="00632F04" w:rsidRDefault="0059763E" w:rsidP="00C46280">
      <w:pPr>
        <w:pStyle w:val="Textonotapie"/>
        <w:spacing w:line="240" w:lineRule="auto"/>
        <w:rPr>
          <w:sz w:val="18"/>
          <w:szCs w:val="18"/>
        </w:rPr>
      </w:pPr>
      <w:r w:rsidRPr="00632F04">
        <w:rPr>
          <w:rStyle w:val="Refdenotaalpie"/>
          <w:sz w:val="18"/>
          <w:szCs w:val="18"/>
        </w:rPr>
        <w:footnoteRef/>
      </w:r>
      <w:r w:rsidRPr="00632F04">
        <w:rPr>
          <w:sz w:val="18"/>
          <w:szCs w:val="18"/>
        </w:rPr>
        <w:t xml:space="preserve"> Actualmente los requisitos se acreditan ante el Registro Único de Proponentes (R.U.P</w:t>
      </w:r>
      <w:r>
        <w:rPr>
          <w:sz w:val="18"/>
          <w:szCs w:val="18"/>
        </w:rPr>
        <w:t>.</w:t>
      </w:r>
      <w:r w:rsidRPr="00632F04">
        <w:rPr>
          <w:sz w:val="18"/>
          <w:szCs w:val="18"/>
        </w:rPr>
        <w:t>) para l</w:t>
      </w:r>
      <w:r>
        <w:rPr>
          <w:sz w:val="18"/>
          <w:szCs w:val="18"/>
        </w:rPr>
        <w:t xml:space="preserve">as modalidades contractuales que así lo requieren de conformidad con </w:t>
      </w:r>
      <w:r w:rsidRPr="00632F04">
        <w:rPr>
          <w:sz w:val="18"/>
          <w:szCs w:val="18"/>
        </w:rPr>
        <w:t>la Ley 1150 de 2007 y</w:t>
      </w:r>
      <w:r>
        <w:rPr>
          <w:sz w:val="18"/>
          <w:szCs w:val="18"/>
        </w:rPr>
        <w:t xml:space="preserve">, por su parte, se </w:t>
      </w:r>
      <w:r w:rsidRPr="00632F04">
        <w:rPr>
          <w:sz w:val="18"/>
          <w:szCs w:val="18"/>
        </w:rPr>
        <w:t xml:space="preserve">ha expedido el Decreto 1510 de 2013, </w:t>
      </w:r>
      <w:r>
        <w:rPr>
          <w:sz w:val="18"/>
          <w:szCs w:val="18"/>
        </w:rPr>
        <w:t xml:space="preserve">que contiene </w:t>
      </w:r>
      <w:r w:rsidRPr="00632F04">
        <w:rPr>
          <w:sz w:val="18"/>
          <w:szCs w:val="18"/>
        </w:rPr>
        <w:t xml:space="preserve">una disposición reglamentaria acerca de los requisitos de la inscripción </w:t>
      </w:r>
      <w:r>
        <w:rPr>
          <w:sz w:val="18"/>
          <w:szCs w:val="18"/>
        </w:rPr>
        <w:t xml:space="preserve">en el citado registro, </w:t>
      </w:r>
      <w:r w:rsidRPr="00632F04">
        <w:rPr>
          <w:sz w:val="18"/>
          <w:szCs w:val="18"/>
        </w:rPr>
        <w:t xml:space="preserve"> incluyendo la presentación de información contable y </w:t>
      </w:r>
      <w:r>
        <w:rPr>
          <w:sz w:val="18"/>
          <w:szCs w:val="18"/>
        </w:rPr>
        <w:t xml:space="preserve">de </w:t>
      </w:r>
      <w:r w:rsidRPr="00632F04">
        <w:rPr>
          <w:sz w:val="18"/>
          <w:szCs w:val="18"/>
        </w:rPr>
        <w:t>estados financieros</w:t>
      </w:r>
      <w:r>
        <w:rPr>
          <w:sz w:val="18"/>
          <w:szCs w:val="18"/>
        </w:rPr>
        <w:t xml:space="preserve"> auditados, según se trate de personas naturales o jurídicas, </w:t>
      </w:r>
      <w:r w:rsidRPr="00632F04">
        <w:rPr>
          <w:sz w:val="18"/>
          <w:szCs w:val="18"/>
        </w:rPr>
        <w:t>la cual no es materia de análisis en e</w:t>
      </w:r>
      <w:r>
        <w:rPr>
          <w:sz w:val="18"/>
          <w:szCs w:val="18"/>
        </w:rPr>
        <w:t>ste</w:t>
      </w:r>
      <w:r w:rsidRPr="00632F04">
        <w:rPr>
          <w:sz w:val="18"/>
          <w:szCs w:val="18"/>
        </w:rPr>
        <w:t xml:space="preserve"> caso concreto.</w:t>
      </w:r>
    </w:p>
    <w:p w:rsidR="0059763E" w:rsidRDefault="0059763E" w:rsidP="00C46280">
      <w:pPr>
        <w:pStyle w:val="Textonotapie"/>
        <w:spacing w:line="240" w:lineRule="auto"/>
        <w:rPr>
          <w:lang w:val="es-CO"/>
        </w:rPr>
      </w:pPr>
    </w:p>
  </w:footnote>
  <w:footnote w:id="42">
    <w:p w:rsidR="0059763E" w:rsidRPr="00044360" w:rsidRDefault="0059763E" w:rsidP="001946DE">
      <w:pPr>
        <w:pStyle w:val="NormalWeb"/>
        <w:shd w:val="clear" w:color="auto" w:fill="FFFFFF"/>
        <w:spacing w:beforeAutospacing="0" w:afterAutospacing="0" w:line="240" w:lineRule="auto"/>
        <w:rPr>
          <w:rFonts w:cs="Arial"/>
          <w:bCs/>
          <w:i/>
          <w:color w:val="000000"/>
          <w:sz w:val="18"/>
          <w:szCs w:val="18"/>
        </w:rPr>
      </w:pPr>
      <w:r w:rsidRPr="001946DE">
        <w:rPr>
          <w:rStyle w:val="Refdenotaalpie"/>
          <w:sz w:val="18"/>
          <w:szCs w:val="18"/>
        </w:rPr>
        <w:footnoteRef/>
      </w:r>
      <w:r w:rsidRPr="001946DE">
        <w:rPr>
          <w:sz w:val="18"/>
          <w:szCs w:val="18"/>
        </w:rPr>
        <w:t xml:space="preserve"> </w:t>
      </w:r>
      <w:r w:rsidRPr="001946DE">
        <w:rPr>
          <w:rFonts w:cs="Arial"/>
          <w:bCs/>
          <w:i/>
          <w:color w:val="000000"/>
          <w:sz w:val="18"/>
          <w:szCs w:val="18"/>
        </w:rPr>
        <w:t xml:space="preserve">“Artículo 1o. Del Contador Público. Se entiende por Contador Público la persona natural que, mediante la inscripción que acredite su competencia profesional en los términos de la presente Ley, está facultada </w:t>
      </w:r>
      <w:r w:rsidRPr="00044360">
        <w:rPr>
          <w:rFonts w:cs="Arial"/>
          <w:bCs/>
          <w:i/>
          <w:color w:val="000000"/>
          <w:sz w:val="18"/>
          <w:szCs w:val="18"/>
        </w:rPr>
        <w:t>para dar  fe pública de hechos propios del ámbito de su profesión, dictaminar  sobre estados  financieros, y  realizar  las demás actividades relacionadas con la ciencia contable en general. La relación de dependencia laboral inhabilita al Contador para dar fe pública sobre actos que interesen a su empleador. Esta inhabilidad no se aplica a los revisores fiscales, ni a los Contadores Públicos que presten sus servicios a sociedades que no estén obligadas, por la ley o por estatutos, a tener Revisor Fiscal.”</w:t>
      </w:r>
    </w:p>
    <w:p w:rsidR="0059763E" w:rsidRPr="00044360" w:rsidRDefault="0059763E" w:rsidP="001946DE">
      <w:pPr>
        <w:pStyle w:val="NormalWeb"/>
        <w:shd w:val="clear" w:color="auto" w:fill="FFFFFF"/>
        <w:spacing w:beforeAutospacing="0" w:afterAutospacing="0" w:line="240" w:lineRule="auto"/>
        <w:rPr>
          <w:rFonts w:cs="Arial"/>
          <w:bCs/>
          <w:i/>
          <w:color w:val="000000"/>
          <w:sz w:val="18"/>
          <w:szCs w:val="18"/>
          <w:u w:val="single"/>
        </w:rPr>
      </w:pPr>
      <w:r w:rsidRPr="00044360">
        <w:rPr>
          <w:rFonts w:cs="Arial"/>
          <w:bCs/>
          <w:i/>
          <w:color w:val="000000"/>
          <w:sz w:val="18"/>
          <w:szCs w:val="18"/>
        </w:rPr>
        <w:t xml:space="preserve">“Artículo 10. De la fe pública. La atestación o firma de un Contador Público en los actos propios  de su profesión hará presumir, salvo prueba en contrario, que el acto respectivo se ajusta a los requisitos legales, lo mismo que a los estatutarios en casos de personas jurídicas. </w:t>
      </w:r>
      <w:r w:rsidRPr="00044360">
        <w:rPr>
          <w:rFonts w:cs="Arial"/>
          <w:bCs/>
          <w:i/>
          <w:color w:val="000000"/>
          <w:sz w:val="18"/>
          <w:szCs w:val="18"/>
          <w:u w:val="single"/>
        </w:rPr>
        <w:t>Tratándose de balances, se presumirá además que los saldos se han tomado fielmente de los libros, que éstos se ajustan a las normas legales y que las cifras registradas en ellos reflejan en forma fidedigna la correspondiente situación financiera en la fecha del balance</w:t>
      </w:r>
      <w:r w:rsidRPr="00044360">
        <w:rPr>
          <w:rFonts w:cs="Arial"/>
          <w:bCs/>
          <w:i/>
          <w:color w:val="000000"/>
          <w:sz w:val="18"/>
          <w:szCs w:val="18"/>
        </w:rPr>
        <w:t>.</w:t>
      </w:r>
    </w:p>
    <w:p w:rsidR="0059763E" w:rsidRPr="00044360" w:rsidRDefault="0059763E" w:rsidP="001946DE">
      <w:pPr>
        <w:pStyle w:val="NormalWeb"/>
        <w:shd w:val="clear" w:color="auto" w:fill="FFFFFF"/>
        <w:spacing w:beforeAutospacing="0" w:afterAutospacing="0" w:line="240" w:lineRule="auto"/>
        <w:rPr>
          <w:rFonts w:cs="Arial"/>
          <w:bCs/>
          <w:color w:val="000000"/>
          <w:sz w:val="18"/>
          <w:szCs w:val="18"/>
        </w:rPr>
      </w:pPr>
      <w:r w:rsidRPr="00044360">
        <w:rPr>
          <w:rFonts w:cs="Arial"/>
          <w:bCs/>
          <w:i/>
          <w:color w:val="000000"/>
          <w:sz w:val="18"/>
          <w:szCs w:val="18"/>
        </w:rPr>
        <w:t xml:space="preserve">Parágrafo. Los Contadores Públicos, cuando otorguen fe pública en materia contable, se asimilarán a funcionarios públicos para efectos de las sanciones penales por los delitos que cometieren en el ejercicio de las actividades propias de su profesión, sin perjuicio de las  responsabilidades de orden civil que hubiere lugar conforme a las leyes.” </w:t>
      </w:r>
      <w:r w:rsidRPr="00044360">
        <w:rPr>
          <w:rFonts w:cs="Arial"/>
          <w:bCs/>
          <w:color w:val="000000"/>
          <w:sz w:val="18"/>
          <w:szCs w:val="18"/>
        </w:rPr>
        <w:t>(La subraya no es del texto).</w:t>
      </w:r>
    </w:p>
    <w:p w:rsidR="0059763E" w:rsidRPr="00044360" w:rsidRDefault="0059763E" w:rsidP="008170EC">
      <w:pPr>
        <w:pStyle w:val="NormalWeb"/>
        <w:shd w:val="clear" w:color="auto" w:fill="FFFFFF"/>
        <w:tabs>
          <w:tab w:val="left" w:pos="8505"/>
        </w:tabs>
        <w:spacing w:beforeAutospacing="0" w:afterAutospacing="0" w:line="240" w:lineRule="auto"/>
        <w:rPr>
          <w:sz w:val="18"/>
          <w:szCs w:val="18"/>
        </w:rPr>
      </w:pPr>
    </w:p>
    <w:p w:rsidR="0059763E" w:rsidRPr="00044360" w:rsidRDefault="0059763E" w:rsidP="008170EC">
      <w:pPr>
        <w:pStyle w:val="NormalWeb"/>
        <w:shd w:val="clear" w:color="auto" w:fill="FFFFFF"/>
        <w:tabs>
          <w:tab w:val="left" w:pos="8505"/>
        </w:tabs>
        <w:spacing w:beforeAutospacing="0" w:afterAutospacing="0" w:line="240" w:lineRule="auto"/>
        <w:rPr>
          <w:rFonts w:cs="Arial"/>
          <w:bCs/>
          <w:i/>
          <w:color w:val="000000"/>
          <w:sz w:val="18"/>
          <w:szCs w:val="18"/>
        </w:rPr>
      </w:pPr>
      <w:r w:rsidRPr="00044360">
        <w:rPr>
          <w:rFonts w:cs="Arial"/>
          <w:bCs/>
          <w:i/>
          <w:color w:val="000000"/>
          <w:sz w:val="18"/>
          <w:szCs w:val="18"/>
        </w:rPr>
        <w:t>“Artículo 13. Además de lo exigido por  las leyes anteriores, se requiere tener  la calidad de Contador Público en los siguientes casos:</w:t>
      </w:r>
    </w:p>
    <w:p w:rsidR="0059763E" w:rsidRPr="00044360" w:rsidRDefault="0059763E" w:rsidP="008170EC">
      <w:pPr>
        <w:pStyle w:val="NormalWeb"/>
        <w:shd w:val="clear" w:color="auto" w:fill="FFFFFF"/>
        <w:tabs>
          <w:tab w:val="left" w:pos="8505"/>
        </w:tabs>
        <w:spacing w:beforeAutospacing="0" w:afterAutospacing="0" w:line="240" w:lineRule="auto"/>
        <w:rPr>
          <w:rFonts w:cs="Arial"/>
          <w:bCs/>
          <w:color w:val="000000"/>
          <w:sz w:val="18"/>
          <w:szCs w:val="18"/>
        </w:rPr>
      </w:pPr>
      <w:r w:rsidRPr="00044360">
        <w:rPr>
          <w:rFonts w:cs="Arial"/>
          <w:bCs/>
          <w:color w:val="000000"/>
          <w:sz w:val="18"/>
          <w:szCs w:val="18"/>
        </w:rPr>
        <w:t>(…)</w:t>
      </w:r>
    </w:p>
    <w:p w:rsidR="0059763E" w:rsidRPr="00044360" w:rsidRDefault="0059763E" w:rsidP="008170EC">
      <w:pPr>
        <w:pStyle w:val="NormalWeb"/>
        <w:shd w:val="clear" w:color="auto" w:fill="FFFFFF"/>
        <w:tabs>
          <w:tab w:val="left" w:pos="8505"/>
        </w:tabs>
        <w:spacing w:beforeAutospacing="0" w:afterAutospacing="0" w:line="240" w:lineRule="auto"/>
        <w:rPr>
          <w:rFonts w:cs="Arial"/>
          <w:bCs/>
          <w:i/>
          <w:color w:val="000000"/>
          <w:sz w:val="18"/>
          <w:szCs w:val="18"/>
        </w:rPr>
      </w:pPr>
      <w:r w:rsidRPr="00044360">
        <w:rPr>
          <w:rFonts w:cs="Arial"/>
          <w:bCs/>
          <w:i/>
          <w:color w:val="000000"/>
          <w:sz w:val="18"/>
          <w:szCs w:val="18"/>
        </w:rPr>
        <w:t>e)  Para certificar  y  dictaminar  sobre los balances generales y  otros  estados financieros y  atestar documentos contables que deban presentar los proponentes a intervenir en licitaciones  públicas, abiertas por  instituciones o entidades de creación legal, cuando el monto de la licitación sea superior al equivalente a dos mil salarios mínimos.”</w:t>
      </w:r>
    </w:p>
    <w:p w:rsidR="0059763E" w:rsidRPr="00044360" w:rsidRDefault="0059763E" w:rsidP="008170EC">
      <w:pPr>
        <w:pStyle w:val="Textonotapie"/>
        <w:tabs>
          <w:tab w:val="left" w:pos="8505"/>
        </w:tabs>
        <w:rPr>
          <w:sz w:val="18"/>
          <w:szCs w:val="18"/>
          <w:lang w:val="es-CO"/>
        </w:rPr>
      </w:pPr>
    </w:p>
  </w:footnote>
  <w:footnote w:id="43">
    <w:p w:rsidR="0059763E" w:rsidRPr="00044360" w:rsidRDefault="0059763E" w:rsidP="009F54C7">
      <w:pPr>
        <w:spacing w:line="240" w:lineRule="auto"/>
        <w:rPr>
          <w:rFonts w:cs="Arial"/>
          <w:i/>
          <w:color w:val="000000"/>
          <w:sz w:val="18"/>
          <w:szCs w:val="18"/>
        </w:rPr>
      </w:pPr>
      <w:r w:rsidRPr="00044360">
        <w:rPr>
          <w:rStyle w:val="Refdenotaalpie"/>
          <w:sz w:val="18"/>
          <w:szCs w:val="18"/>
        </w:rPr>
        <w:footnoteRef/>
      </w:r>
      <w:r w:rsidRPr="00044360">
        <w:rPr>
          <w:sz w:val="18"/>
          <w:szCs w:val="18"/>
        </w:rPr>
        <w:t xml:space="preserve"> Decreto 2649 de 1993, </w:t>
      </w:r>
      <w:r w:rsidRPr="00E32C35">
        <w:rPr>
          <w:rFonts w:cs="Arial"/>
          <w:i/>
          <w:sz w:val="18"/>
          <w:szCs w:val="18"/>
        </w:rPr>
        <w:t xml:space="preserve">ARTICULO 33. ESTADOS FINANCIEROS CERTIFICADOS Y DICTAMINADOS.  </w:t>
      </w:r>
      <w:r w:rsidRPr="00044360">
        <w:rPr>
          <w:rFonts w:cs="Arial"/>
          <w:i/>
          <w:color w:val="000000"/>
          <w:sz w:val="18"/>
          <w:szCs w:val="18"/>
        </w:rPr>
        <w:t>Son estados financieros certificados aquellos firmados por el representante legal, por el contador público que los hubiere preparado y por el Revisor Fiscal, si lo hubiere, dando así testimonio de que han sido fielmente tomados de los libros.</w:t>
      </w:r>
    </w:p>
    <w:p w:rsidR="0059763E" w:rsidRPr="00044360" w:rsidRDefault="0059763E" w:rsidP="009F54C7">
      <w:pPr>
        <w:spacing w:line="240" w:lineRule="auto"/>
        <w:ind w:left="851" w:right="902"/>
        <w:rPr>
          <w:rFonts w:cs="Arial"/>
          <w:i/>
          <w:color w:val="000000"/>
          <w:sz w:val="18"/>
          <w:szCs w:val="18"/>
        </w:rPr>
      </w:pPr>
    </w:p>
    <w:p w:rsidR="0059763E" w:rsidRPr="00044360" w:rsidRDefault="0059763E" w:rsidP="009F54C7">
      <w:pPr>
        <w:pStyle w:val="Textonotapie"/>
        <w:spacing w:line="240" w:lineRule="auto"/>
        <w:rPr>
          <w:sz w:val="18"/>
          <w:szCs w:val="18"/>
          <w:lang w:val="es-CO"/>
        </w:rPr>
      </w:pPr>
      <w:r w:rsidRPr="00044360">
        <w:rPr>
          <w:rFonts w:cs="Arial"/>
          <w:i/>
          <w:color w:val="000000"/>
          <w:sz w:val="18"/>
          <w:szCs w:val="18"/>
        </w:rPr>
        <w:t>Son estados financieros dictaminados aquellos acompañados por la opinión profesional del contador público que los hubiere examinado con sujeción a las normas de auditoría generalmente aceptadas</w:t>
      </w:r>
    </w:p>
    <w:p w:rsidR="0059763E" w:rsidRPr="00044360" w:rsidRDefault="0059763E">
      <w:pPr>
        <w:pStyle w:val="Textonotapie"/>
        <w:rPr>
          <w:sz w:val="18"/>
          <w:szCs w:val="18"/>
          <w:lang w:val="es-CO"/>
        </w:rPr>
      </w:pPr>
    </w:p>
  </w:footnote>
  <w:footnote w:id="44">
    <w:p w:rsidR="0059763E" w:rsidRPr="00044360" w:rsidRDefault="0059763E" w:rsidP="00640D79">
      <w:pPr>
        <w:pStyle w:val="Textonotapie"/>
        <w:spacing w:line="240" w:lineRule="auto"/>
        <w:rPr>
          <w:rFonts w:cs="Arial"/>
          <w:bCs/>
          <w:color w:val="000000"/>
          <w:sz w:val="18"/>
          <w:szCs w:val="18"/>
        </w:rPr>
      </w:pPr>
      <w:r w:rsidRPr="00044360">
        <w:rPr>
          <w:rStyle w:val="Refdenotaalpie"/>
          <w:sz w:val="18"/>
          <w:szCs w:val="18"/>
        </w:rPr>
        <w:footnoteRef/>
      </w:r>
      <w:r w:rsidRPr="00044360">
        <w:rPr>
          <w:sz w:val="18"/>
          <w:szCs w:val="18"/>
        </w:rPr>
        <w:t xml:space="preserve"> A</w:t>
      </w:r>
      <w:r w:rsidRPr="00044360">
        <w:rPr>
          <w:rFonts w:cs="Arial"/>
          <w:bCs/>
          <w:color w:val="000000"/>
          <w:sz w:val="18"/>
          <w:szCs w:val="18"/>
        </w:rPr>
        <w:t>plicable actualmente por extensión a otros entes económicos que no tuvieren norma específica de conformidad con los dictados de la Ley 1314 de 2009.</w:t>
      </w:r>
    </w:p>
    <w:p w:rsidR="0059763E" w:rsidRPr="00640D79" w:rsidRDefault="0059763E" w:rsidP="00640D79">
      <w:pPr>
        <w:pStyle w:val="Textonotapie"/>
        <w:spacing w:line="240" w:lineRule="auto"/>
        <w:rPr>
          <w:sz w:val="18"/>
          <w:szCs w:val="18"/>
          <w:lang w:val="es-CO"/>
        </w:rPr>
      </w:pPr>
    </w:p>
  </w:footnote>
  <w:footnote w:id="45">
    <w:p w:rsidR="0059763E" w:rsidRDefault="0059763E" w:rsidP="008954B2">
      <w:pPr>
        <w:pStyle w:val="Textonotapie"/>
        <w:spacing w:line="240" w:lineRule="auto"/>
        <w:rPr>
          <w:rFonts w:cs="Arial"/>
          <w:i/>
          <w:sz w:val="18"/>
          <w:szCs w:val="18"/>
        </w:rPr>
      </w:pPr>
      <w:r>
        <w:rPr>
          <w:rStyle w:val="Refdenotaalpie"/>
          <w:rFonts w:cs="Arial"/>
          <w:sz w:val="18"/>
          <w:szCs w:val="18"/>
        </w:rPr>
        <w:footnoteRef/>
      </w:r>
      <w:r>
        <w:rPr>
          <w:rFonts w:cs="Arial"/>
          <w:sz w:val="18"/>
          <w:szCs w:val="18"/>
          <w:lang w:val="es-CO"/>
        </w:rPr>
        <w:t xml:space="preserve">. </w:t>
      </w:r>
      <w:r>
        <w:rPr>
          <w:rFonts w:cs="Arial"/>
          <w:i/>
          <w:sz w:val="18"/>
          <w:szCs w:val="18"/>
        </w:rPr>
        <w:t>Ley 222 de 1995</w:t>
      </w:r>
    </w:p>
    <w:p w:rsidR="0059763E" w:rsidRDefault="0059763E" w:rsidP="00CE279E">
      <w:pPr>
        <w:spacing w:line="240" w:lineRule="auto"/>
        <w:rPr>
          <w:rFonts w:cs="Arial"/>
          <w:color w:val="000080"/>
          <w:sz w:val="18"/>
          <w:szCs w:val="18"/>
          <w:lang w:val="es-MX" w:eastAsia="es-MX"/>
        </w:rPr>
      </w:pPr>
    </w:p>
    <w:p w:rsidR="0059763E" w:rsidRPr="00E32C35" w:rsidRDefault="0059763E" w:rsidP="00CE279E">
      <w:pPr>
        <w:spacing w:line="240" w:lineRule="auto"/>
        <w:rPr>
          <w:rFonts w:cs="Arial"/>
          <w:i/>
          <w:sz w:val="18"/>
          <w:szCs w:val="18"/>
          <w:lang w:val="es-MX" w:eastAsia="es-MX"/>
        </w:rPr>
      </w:pPr>
      <w:r>
        <w:rPr>
          <w:rFonts w:cs="Arial"/>
          <w:i/>
          <w:color w:val="000080"/>
          <w:sz w:val="18"/>
          <w:szCs w:val="18"/>
          <w:lang w:val="es-MX" w:eastAsia="es-MX"/>
        </w:rPr>
        <w:t>“</w:t>
      </w:r>
      <w:r w:rsidRPr="00E32C35">
        <w:rPr>
          <w:rFonts w:cs="Arial"/>
          <w:i/>
          <w:sz w:val="18"/>
          <w:szCs w:val="18"/>
          <w:lang w:val="es-MX" w:eastAsia="es-MX"/>
        </w:rPr>
        <w:t>ARTICULO 37. ESTADOS FINANCIEROS CERTIFICADOS</w:t>
      </w:r>
      <w:r>
        <w:rPr>
          <w:rFonts w:cs="Arial"/>
          <w:i/>
          <w:color w:val="000080"/>
          <w:sz w:val="18"/>
          <w:szCs w:val="18"/>
          <w:lang w:val="es-MX" w:eastAsia="es-MX"/>
        </w:rPr>
        <w:t>.</w:t>
      </w:r>
      <w:r>
        <w:rPr>
          <w:rFonts w:cs="Arial"/>
          <w:i/>
          <w:color w:val="000000"/>
          <w:sz w:val="18"/>
          <w:szCs w:val="18"/>
          <w:lang w:val="es-MX" w:eastAsia="es-MX"/>
        </w:rPr>
        <w:t xml:space="preserve"> El representante legal y el contador público </w:t>
      </w:r>
      <w:r w:rsidRPr="00E32C35">
        <w:rPr>
          <w:rFonts w:cs="Arial"/>
          <w:i/>
          <w:sz w:val="18"/>
          <w:szCs w:val="18"/>
          <w:lang w:val="es-MX" w:eastAsia="es-MX"/>
        </w:rPr>
        <w:t>bajo cuya responsabilidad se hubiesen preparado los estados financieros deberán certificar aquellos que se pongan a disposición de los asociados o de terceros. La certificación consiste en declarar que se han verificado previamente las afirmaciones contenidas en ellos, conforme al reglamento, y que las mismas se han tomado fielmente de los libros.</w:t>
      </w:r>
    </w:p>
    <w:p w:rsidR="0059763E" w:rsidRPr="00E32C35" w:rsidRDefault="0059763E" w:rsidP="00CE279E">
      <w:pPr>
        <w:spacing w:line="240" w:lineRule="auto"/>
        <w:rPr>
          <w:rFonts w:cs="Arial"/>
          <w:i/>
          <w:sz w:val="18"/>
          <w:szCs w:val="18"/>
          <w:lang w:val="es-MX" w:eastAsia="es-MX"/>
        </w:rPr>
      </w:pPr>
      <w:bookmarkStart w:id="1" w:name="38"/>
      <w:bookmarkEnd w:id="1"/>
    </w:p>
    <w:p w:rsidR="0059763E" w:rsidRPr="00E32C35" w:rsidRDefault="0059763E" w:rsidP="00CE279E">
      <w:pPr>
        <w:spacing w:line="240" w:lineRule="auto"/>
        <w:rPr>
          <w:rFonts w:cs="Arial"/>
          <w:i/>
          <w:sz w:val="18"/>
          <w:szCs w:val="18"/>
          <w:lang w:val="es-MX" w:eastAsia="es-MX"/>
        </w:rPr>
      </w:pPr>
      <w:r w:rsidRPr="00E32C35">
        <w:rPr>
          <w:rFonts w:cs="Arial"/>
          <w:i/>
          <w:sz w:val="18"/>
          <w:szCs w:val="18"/>
          <w:lang w:val="es-MX" w:eastAsia="es-MX"/>
        </w:rPr>
        <w:t>ARTICULO 38. ESTADOS FINANCIEROS DICTAMINADOS. Son dictaminados aquellos estados financieros certificados que se acompañen de la opinión profesional del Revisor Fiscal o, a falta de éste, del contador público independiente que los hubiere examinado de conformidad con las normas de auditoría generalmente aceptadas.</w:t>
      </w:r>
    </w:p>
    <w:p w:rsidR="0059763E" w:rsidRPr="00E32C35" w:rsidRDefault="0059763E" w:rsidP="00CE279E">
      <w:pPr>
        <w:spacing w:line="240" w:lineRule="auto"/>
        <w:rPr>
          <w:rFonts w:cs="Arial"/>
          <w:i/>
          <w:sz w:val="18"/>
          <w:szCs w:val="18"/>
          <w:lang w:val="es-MX" w:eastAsia="es-MX"/>
        </w:rPr>
      </w:pPr>
    </w:p>
    <w:p w:rsidR="0059763E" w:rsidRPr="00E32C35" w:rsidRDefault="0059763E" w:rsidP="00CE279E">
      <w:pPr>
        <w:spacing w:line="240" w:lineRule="auto"/>
        <w:rPr>
          <w:rFonts w:cs="Arial"/>
          <w:i/>
          <w:sz w:val="18"/>
          <w:szCs w:val="18"/>
          <w:lang w:val="es-MX" w:eastAsia="es-MX"/>
        </w:rPr>
      </w:pPr>
      <w:r w:rsidRPr="00E32C35">
        <w:rPr>
          <w:rFonts w:cs="Arial"/>
          <w:i/>
          <w:sz w:val="18"/>
          <w:szCs w:val="18"/>
          <w:lang w:val="es-MX" w:eastAsia="es-MX"/>
        </w:rPr>
        <w:t>Estos estados deben ser suscritos por dicho profesional, anteponiendo la expresión "ver la opinión adjunta" u otra similar. El sentido y alcance de su firma será el que se indique en el dictamen correspondiente, </w:t>
      </w:r>
    </w:p>
    <w:p w:rsidR="0059763E" w:rsidRPr="00E32C35" w:rsidRDefault="0059763E" w:rsidP="00CE279E">
      <w:pPr>
        <w:spacing w:line="240" w:lineRule="auto"/>
        <w:rPr>
          <w:rStyle w:val="textonavy"/>
          <w:u w:val="single"/>
        </w:rPr>
      </w:pPr>
    </w:p>
    <w:p w:rsidR="0059763E" w:rsidRPr="00E32C35" w:rsidRDefault="0059763E" w:rsidP="00CE279E">
      <w:pPr>
        <w:spacing w:line="240" w:lineRule="auto"/>
      </w:pPr>
      <w:r w:rsidRPr="00E32C35">
        <w:rPr>
          <w:rStyle w:val="textonavy"/>
          <w:rFonts w:cs="Arial"/>
          <w:i/>
          <w:sz w:val="18"/>
          <w:szCs w:val="18"/>
        </w:rPr>
        <w:t xml:space="preserve">ARTICULO 39. AUTENTICIDAD DE LOS ESTADOS FINANCIEROS Y DE LOS DICTAMENES. </w:t>
      </w:r>
      <w:r w:rsidRPr="00E32C35">
        <w:rPr>
          <w:rFonts w:cs="Arial"/>
          <w:i/>
          <w:sz w:val="18"/>
          <w:szCs w:val="18"/>
        </w:rPr>
        <w:t>Salvo prueba en contrario, los estados financieros certificados y los dictámenes correspondientes se presumen auténticos.”</w:t>
      </w:r>
    </w:p>
    <w:p w:rsidR="0059763E" w:rsidRPr="00E32C35" w:rsidRDefault="0059763E" w:rsidP="00CE279E">
      <w:pPr>
        <w:spacing w:line="240" w:lineRule="auto"/>
        <w:rPr>
          <w:rFonts w:cs="Arial"/>
          <w:i/>
          <w:sz w:val="18"/>
          <w:szCs w:val="18"/>
        </w:rPr>
      </w:pPr>
    </w:p>
    <w:p w:rsidR="0059763E" w:rsidRPr="00E32C35" w:rsidRDefault="0059763E" w:rsidP="00CE279E">
      <w:pPr>
        <w:spacing w:line="240" w:lineRule="auto"/>
        <w:rPr>
          <w:rFonts w:cs="Arial"/>
          <w:sz w:val="18"/>
          <w:szCs w:val="18"/>
        </w:rPr>
      </w:pPr>
      <w:r w:rsidRPr="00E32C35">
        <w:rPr>
          <w:rFonts w:cs="Arial"/>
          <w:sz w:val="18"/>
          <w:szCs w:val="18"/>
        </w:rPr>
        <w:t>Ley 1314 de 2009</w:t>
      </w:r>
    </w:p>
    <w:p w:rsidR="0059763E" w:rsidRPr="00E32C35" w:rsidRDefault="0059763E" w:rsidP="00CE279E">
      <w:pPr>
        <w:spacing w:line="240" w:lineRule="auto"/>
        <w:rPr>
          <w:rStyle w:val="textonavy"/>
          <w:i/>
        </w:rPr>
      </w:pPr>
    </w:p>
    <w:p w:rsidR="0059763E" w:rsidRDefault="0059763E" w:rsidP="00CE279E">
      <w:pPr>
        <w:spacing w:line="240" w:lineRule="auto"/>
      </w:pPr>
      <w:r w:rsidRPr="00E32C35">
        <w:rPr>
          <w:rStyle w:val="textonavy"/>
          <w:rFonts w:cs="Arial"/>
          <w:i/>
          <w:sz w:val="18"/>
          <w:szCs w:val="18"/>
        </w:rPr>
        <w:t>“ARTÍCULO 15.</w:t>
      </w:r>
      <w:r w:rsidRPr="00E32C35">
        <w:rPr>
          <w:rStyle w:val="apple-converted-space"/>
          <w:rFonts w:cs="Arial"/>
          <w:i/>
          <w:sz w:val="18"/>
          <w:szCs w:val="18"/>
        </w:rPr>
        <w:t> </w:t>
      </w:r>
      <w:r w:rsidRPr="00E32C35">
        <w:rPr>
          <w:rStyle w:val="textonavy"/>
          <w:rFonts w:cs="Arial"/>
          <w:i/>
          <w:iCs/>
          <w:sz w:val="18"/>
          <w:szCs w:val="18"/>
        </w:rPr>
        <w:t>APLICACIÓN EXTENSIVA.</w:t>
      </w:r>
      <w:bookmarkStart w:id="2" w:name="15"/>
      <w:bookmarkEnd w:id="2"/>
      <w:r w:rsidRPr="00E32C35">
        <w:rPr>
          <w:rStyle w:val="textonavy"/>
          <w:rFonts w:cs="Arial"/>
          <w:i/>
          <w:iCs/>
          <w:sz w:val="18"/>
          <w:szCs w:val="18"/>
        </w:rPr>
        <w:t xml:space="preserve"> </w:t>
      </w:r>
      <w:r w:rsidRPr="00E32C35">
        <w:rPr>
          <w:rFonts w:cs="Arial"/>
          <w:i/>
          <w:sz w:val="18"/>
          <w:szCs w:val="18"/>
        </w:rPr>
        <w:t xml:space="preserve">Cuando al aplicar el régimen legal propio de una persona jurídica no comerciante se advierta que </w:t>
      </w:r>
      <w:r>
        <w:rPr>
          <w:rFonts w:cs="Arial"/>
          <w:i/>
          <w:color w:val="000000"/>
          <w:sz w:val="18"/>
          <w:szCs w:val="18"/>
        </w:rPr>
        <w:t xml:space="preserve">él no contempla normas en materia de contabilidad, estados financieros, control interno, administradores, rendición de cuentas, informes a los máximos órganos sociales, revisoría fiscal, auditoría, o cuando como consecuencia de una normatividad incompleta se adviertan vacíos legales en dicho régimen, se aplicarán en forma </w:t>
      </w:r>
      <w:proofErr w:type="spellStart"/>
      <w:r>
        <w:rPr>
          <w:rFonts w:cs="Arial"/>
          <w:i/>
          <w:color w:val="000000"/>
          <w:sz w:val="18"/>
          <w:szCs w:val="18"/>
        </w:rPr>
        <w:t>supletiva</w:t>
      </w:r>
      <w:proofErr w:type="spellEnd"/>
      <w:r>
        <w:rPr>
          <w:rFonts w:cs="Arial"/>
          <w:i/>
          <w:color w:val="000000"/>
          <w:sz w:val="18"/>
          <w:szCs w:val="18"/>
        </w:rPr>
        <w:t xml:space="preserve"> las disposiciones para las sociedades comerciales previstas en el Código de Comercio y en las demás normas que modifican y adicionan a este.”</w:t>
      </w:r>
    </w:p>
    <w:p w:rsidR="0059763E" w:rsidRDefault="0059763E" w:rsidP="00CE279E">
      <w:pPr>
        <w:pStyle w:val="Textonotapie"/>
        <w:rPr>
          <w:rFonts w:cs="Calibri"/>
          <w:i/>
          <w:lang w:val="es-CO"/>
        </w:rPr>
      </w:pPr>
      <w:r>
        <w:rPr>
          <w:i/>
          <w:lang w:val="es-CO"/>
        </w:rPr>
        <w:t xml:space="preserve"> </w:t>
      </w:r>
    </w:p>
  </w:footnote>
  <w:footnote w:id="46">
    <w:p w:rsidR="0059763E" w:rsidRPr="00EE368E" w:rsidRDefault="0059763E" w:rsidP="00EE368E">
      <w:pPr>
        <w:pStyle w:val="Encabezado"/>
        <w:spacing w:line="240" w:lineRule="auto"/>
        <w:rPr>
          <w:rFonts w:cs="Arial"/>
          <w:sz w:val="18"/>
          <w:szCs w:val="18"/>
        </w:rPr>
      </w:pPr>
      <w:r w:rsidRPr="00EE368E">
        <w:rPr>
          <w:rStyle w:val="Refdenotaalpie"/>
          <w:sz w:val="18"/>
          <w:szCs w:val="18"/>
        </w:rPr>
        <w:footnoteRef/>
      </w:r>
      <w:r w:rsidRPr="00EE368E">
        <w:rPr>
          <w:sz w:val="18"/>
          <w:szCs w:val="18"/>
        </w:rPr>
        <w:t xml:space="preserve"> Consejo de Estado, Sala de lo Contencioso Administrativo, Sección Tercera, Subsección A, sentencia de 24</w:t>
      </w:r>
      <w:r w:rsidRPr="00EE368E">
        <w:rPr>
          <w:rFonts w:cs="Arial"/>
          <w:sz w:val="18"/>
          <w:szCs w:val="18"/>
        </w:rPr>
        <w:t xml:space="preserve"> de julio de 2013, radicación: 25 000 23 26 000 2000 02482 01 acumulado 25 000 23 26 000 2000 02757 01. expediente: 28.041, acumulado 28.598, actor: Cooperativa de Trabajo Servicios de Seguridad y Vigilancia  COOSEGURIDAD (28.041). Consorcio Seguridad </w:t>
      </w:r>
      <w:proofErr w:type="spellStart"/>
      <w:r w:rsidRPr="00EE368E">
        <w:rPr>
          <w:rFonts w:cs="Arial"/>
          <w:sz w:val="18"/>
          <w:szCs w:val="18"/>
        </w:rPr>
        <w:t>Atempi</w:t>
      </w:r>
      <w:proofErr w:type="spellEnd"/>
      <w:r w:rsidRPr="00EE368E">
        <w:rPr>
          <w:rFonts w:cs="Arial"/>
          <w:sz w:val="18"/>
          <w:szCs w:val="18"/>
        </w:rPr>
        <w:t xml:space="preserve"> Ltda., – Su Oportuno Servicio S.O.S. Ltda. (28.598), demandado: Distrito Capital – Secretaría de Gobierno.</w:t>
      </w:r>
    </w:p>
    <w:p w:rsidR="0059763E" w:rsidRPr="00A307E4" w:rsidRDefault="0059763E">
      <w:pPr>
        <w:pStyle w:val="Textonotapie"/>
        <w:rPr>
          <w:lang w:val="es-CO"/>
        </w:rPr>
      </w:pPr>
    </w:p>
  </w:footnote>
  <w:footnote w:id="47">
    <w:p w:rsidR="0059763E" w:rsidRDefault="0059763E" w:rsidP="00C46280">
      <w:pPr>
        <w:pStyle w:val="Textonotapie"/>
        <w:spacing w:line="240" w:lineRule="auto"/>
        <w:rPr>
          <w:rFonts w:cs="Arial"/>
          <w:color w:val="000000"/>
          <w:sz w:val="18"/>
          <w:szCs w:val="18"/>
        </w:rPr>
      </w:pPr>
      <w:r>
        <w:rPr>
          <w:rStyle w:val="Refdenotaalpie"/>
          <w:sz w:val="18"/>
          <w:szCs w:val="18"/>
        </w:rPr>
        <w:footnoteRef/>
      </w:r>
      <w:r>
        <w:rPr>
          <w:sz w:val="18"/>
          <w:szCs w:val="18"/>
        </w:rPr>
        <w:t xml:space="preserve"> </w:t>
      </w:r>
      <w:r>
        <w:rPr>
          <w:rFonts w:cs="Arial"/>
          <w:color w:val="000000"/>
          <w:sz w:val="18"/>
          <w:szCs w:val="18"/>
        </w:rPr>
        <w:t>Consejo de Estado,</w:t>
      </w:r>
      <w:r>
        <w:rPr>
          <w:rFonts w:cs="Arial"/>
          <w:sz w:val="18"/>
          <w:szCs w:val="18"/>
        </w:rPr>
        <w:t xml:space="preserve"> </w:t>
      </w:r>
      <w:r>
        <w:rPr>
          <w:rFonts w:cs="Arial"/>
          <w:color w:val="000000"/>
          <w:sz w:val="18"/>
          <w:szCs w:val="18"/>
        </w:rPr>
        <w:t>Sala de lo Contencioso Administrativo,</w:t>
      </w:r>
      <w:r>
        <w:rPr>
          <w:rFonts w:cs="Arial"/>
          <w:sz w:val="18"/>
          <w:szCs w:val="18"/>
        </w:rPr>
        <w:t xml:space="preserve"> </w:t>
      </w:r>
      <w:r>
        <w:rPr>
          <w:rFonts w:cs="Arial"/>
          <w:color w:val="000000"/>
          <w:sz w:val="18"/>
          <w:szCs w:val="18"/>
        </w:rPr>
        <w:t>Sección Cuarta,</w:t>
      </w:r>
      <w:r>
        <w:rPr>
          <w:rFonts w:cs="Arial"/>
          <w:sz w:val="18"/>
          <w:szCs w:val="18"/>
        </w:rPr>
        <w:t xml:space="preserve"> </w:t>
      </w:r>
      <w:r>
        <w:rPr>
          <w:rFonts w:cs="Arial"/>
          <w:color w:val="000000"/>
          <w:sz w:val="18"/>
          <w:szCs w:val="18"/>
        </w:rPr>
        <w:t>Consejero Ponente:</w:t>
      </w:r>
      <w:r>
        <w:rPr>
          <w:rFonts w:cs="Arial"/>
          <w:sz w:val="18"/>
          <w:szCs w:val="18"/>
        </w:rPr>
        <w:t xml:space="preserve"> </w:t>
      </w:r>
      <w:r>
        <w:rPr>
          <w:rFonts w:cs="Arial"/>
          <w:bCs/>
          <w:color w:val="000000"/>
          <w:sz w:val="18"/>
          <w:szCs w:val="18"/>
        </w:rPr>
        <w:t>Doctor Hugo Fernando Bastidas Bárcenas, sentencia de 28 de febrero de 2013,</w:t>
      </w:r>
      <w:r>
        <w:rPr>
          <w:rFonts w:cs="Arial"/>
          <w:sz w:val="18"/>
          <w:szCs w:val="18"/>
        </w:rPr>
        <w:t xml:space="preserve"> r</w:t>
      </w:r>
      <w:r>
        <w:rPr>
          <w:rFonts w:cs="Arial"/>
          <w:color w:val="000000"/>
          <w:sz w:val="18"/>
          <w:szCs w:val="18"/>
        </w:rPr>
        <w:t>adicación: 410012331000200501488-01</w:t>
      </w:r>
      <w:r>
        <w:rPr>
          <w:rFonts w:cs="Arial"/>
          <w:sz w:val="18"/>
          <w:szCs w:val="18"/>
        </w:rPr>
        <w:t xml:space="preserve"> nú</w:t>
      </w:r>
      <w:r>
        <w:rPr>
          <w:rFonts w:cs="Arial"/>
          <w:color w:val="000000"/>
          <w:sz w:val="18"/>
          <w:szCs w:val="18"/>
        </w:rPr>
        <w:t>mero interno: 18197, asunto: acción de nulidad y restablecimiento del derecho,</w:t>
      </w:r>
      <w:r>
        <w:rPr>
          <w:rFonts w:cs="Arial"/>
          <w:sz w:val="18"/>
          <w:szCs w:val="18"/>
        </w:rPr>
        <w:t xml:space="preserve"> d</w:t>
      </w:r>
      <w:r>
        <w:rPr>
          <w:rFonts w:cs="Arial"/>
          <w:color w:val="000000"/>
          <w:sz w:val="18"/>
          <w:szCs w:val="18"/>
        </w:rPr>
        <w:t>emandante: Inversiones Vargas Perdomo y Cía. S. en C.,</w:t>
      </w:r>
      <w:r>
        <w:rPr>
          <w:rFonts w:cs="Arial"/>
          <w:sz w:val="18"/>
          <w:szCs w:val="18"/>
        </w:rPr>
        <w:t xml:space="preserve"> d</w:t>
      </w:r>
      <w:r>
        <w:rPr>
          <w:rFonts w:cs="Arial"/>
          <w:color w:val="000000"/>
          <w:sz w:val="18"/>
          <w:szCs w:val="18"/>
        </w:rPr>
        <w:t>emandado: UAE Dirección de Impuestos y Aduanas Nacionales.</w:t>
      </w:r>
    </w:p>
    <w:p w:rsidR="0059763E" w:rsidRDefault="0059763E" w:rsidP="00C46280">
      <w:pPr>
        <w:pStyle w:val="Textonotapie"/>
        <w:spacing w:line="240" w:lineRule="auto"/>
        <w:rPr>
          <w:rFonts w:cs="Arial"/>
          <w:sz w:val="18"/>
          <w:szCs w:val="18"/>
          <w:lang w:val="es-CO"/>
        </w:rPr>
      </w:pPr>
    </w:p>
  </w:footnote>
  <w:footnote w:id="48">
    <w:p w:rsidR="0059763E" w:rsidRDefault="0059763E" w:rsidP="009861C4">
      <w:pPr>
        <w:spacing w:line="240" w:lineRule="auto"/>
        <w:rPr>
          <w:rFonts w:cs="Arial"/>
          <w:color w:val="000000"/>
          <w:sz w:val="18"/>
          <w:szCs w:val="18"/>
        </w:rPr>
      </w:pPr>
      <w:r w:rsidRPr="004E3937">
        <w:rPr>
          <w:rStyle w:val="Refdenotaalpie"/>
          <w:rFonts w:cs="Arial"/>
          <w:sz w:val="18"/>
          <w:szCs w:val="18"/>
        </w:rPr>
        <w:footnoteRef/>
      </w:r>
      <w:r w:rsidRPr="004E3937">
        <w:rPr>
          <w:rFonts w:cs="Arial"/>
          <w:sz w:val="18"/>
          <w:szCs w:val="18"/>
        </w:rPr>
        <w:t xml:space="preserve"> </w:t>
      </w:r>
      <w:proofErr w:type="spellStart"/>
      <w:r w:rsidRPr="004E3937">
        <w:rPr>
          <w:rFonts w:cs="Arial"/>
          <w:color w:val="000080"/>
          <w:sz w:val="18"/>
          <w:szCs w:val="18"/>
        </w:rPr>
        <w:t>A</w:t>
      </w:r>
      <w:r>
        <w:rPr>
          <w:rFonts w:cs="Arial"/>
          <w:color w:val="000080"/>
          <w:sz w:val="18"/>
          <w:szCs w:val="18"/>
        </w:rPr>
        <w:t>rticulo</w:t>
      </w:r>
      <w:proofErr w:type="spellEnd"/>
      <w:r>
        <w:rPr>
          <w:rFonts w:cs="Arial"/>
          <w:color w:val="000080"/>
          <w:sz w:val="18"/>
          <w:szCs w:val="18"/>
        </w:rPr>
        <w:t xml:space="preserve"> </w:t>
      </w:r>
      <w:r w:rsidRPr="004E3937">
        <w:rPr>
          <w:rFonts w:cs="Arial"/>
          <w:color w:val="000080"/>
          <w:sz w:val="18"/>
          <w:szCs w:val="18"/>
        </w:rPr>
        <w:t>117 d</w:t>
      </w:r>
      <w:r w:rsidRPr="004E3937">
        <w:rPr>
          <w:rStyle w:val="textonavy"/>
          <w:rFonts w:cs="Arial"/>
          <w:color w:val="000080"/>
          <w:sz w:val="18"/>
          <w:szCs w:val="18"/>
        </w:rPr>
        <w:t>el Decreto 624 de 1989</w:t>
      </w:r>
      <w:r>
        <w:rPr>
          <w:rStyle w:val="textonavy"/>
          <w:rFonts w:cs="Arial"/>
          <w:color w:val="000080"/>
          <w:sz w:val="18"/>
          <w:szCs w:val="18"/>
        </w:rPr>
        <w:t>,</w:t>
      </w:r>
      <w:r w:rsidRPr="004E3937">
        <w:rPr>
          <w:rFonts w:cs="Arial"/>
          <w:color w:val="000080"/>
          <w:sz w:val="18"/>
          <w:szCs w:val="18"/>
        </w:rPr>
        <w:t xml:space="preserve"> </w:t>
      </w:r>
      <w:r w:rsidRPr="004E3937">
        <w:rPr>
          <w:rFonts w:cs="Arial"/>
          <w:color w:val="000000"/>
          <w:sz w:val="18"/>
          <w:szCs w:val="18"/>
        </w:rPr>
        <w:t xml:space="preserve">modificado por el artículo 3 de la Ley 488 de 1998: </w:t>
      </w:r>
    </w:p>
    <w:p w:rsidR="0059763E" w:rsidRDefault="0059763E" w:rsidP="009861C4">
      <w:pPr>
        <w:spacing w:line="240" w:lineRule="auto"/>
        <w:rPr>
          <w:rFonts w:cs="Arial"/>
          <w:color w:val="000000"/>
          <w:sz w:val="18"/>
          <w:szCs w:val="18"/>
        </w:rPr>
      </w:pPr>
    </w:p>
    <w:p w:rsidR="0059763E" w:rsidRPr="004C72AE" w:rsidRDefault="0059763E" w:rsidP="009861C4">
      <w:pPr>
        <w:spacing w:line="240" w:lineRule="auto"/>
        <w:rPr>
          <w:rFonts w:cs="Arial"/>
          <w:i/>
          <w:color w:val="000000"/>
          <w:sz w:val="18"/>
          <w:szCs w:val="18"/>
        </w:rPr>
      </w:pPr>
      <w:r>
        <w:rPr>
          <w:rFonts w:cs="Arial"/>
          <w:i/>
          <w:color w:val="000000"/>
          <w:sz w:val="18"/>
          <w:szCs w:val="18"/>
        </w:rPr>
        <w:t>“</w:t>
      </w:r>
      <w:r w:rsidRPr="004C72AE">
        <w:rPr>
          <w:rFonts w:cs="Arial"/>
          <w:i/>
          <w:color w:val="000000"/>
          <w:sz w:val="18"/>
          <w:szCs w:val="18"/>
        </w:rPr>
        <w:t>Los intereses que se causen a entidades sometidas a la vigilancia de la Superintendencia Bancaria* son deducibles en su totalidad, sin perjuicio de lo dispuesto en el artículo siguiente.</w:t>
      </w:r>
    </w:p>
    <w:p w:rsidR="0059763E" w:rsidRPr="004C72AE" w:rsidRDefault="0059763E" w:rsidP="009861C4">
      <w:pPr>
        <w:spacing w:line="240" w:lineRule="auto"/>
        <w:rPr>
          <w:rFonts w:cs="Arial"/>
          <w:i/>
          <w:color w:val="000000"/>
          <w:sz w:val="18"/>
          <w:szCs w:val="18"/>
        </w:rPr>
      </w:pPr>
    </w:p>
    <w:p w:rsidR="0059763E" w:rsidRPr="004C72AE" w:rsidRDefault="0059763E" w:rsidP="009861C4">
      <w:pPr>
        <w:spacing w:line="240" w:lineRule="auto"/>
        <w:rPr>
          <w:rFonts w:cs="Arial"/>
          <w:i/>
          <w:color w:val="000000"/>
          <w:sz w:val="18"/>
          <w:szCs w:val="18"/>
        </w:rPr>
      </w:pPr>
      <w:r w:rsidRPr="004C72AE">
        <w:rPr>
          <w:rFonts w:cs="Arial"/>
          <w:i/>
          <w:color w:val="000000"/>
          <w:sz w:val="18"/>
          <w:szCs w:val="18"/>
        </w:rPr>
        <w:t>Los intereses que se causen a otras personas o entidades, únicamente son deducibles en la parte que no exceda la tasa más alta que se haya autorizado cobrar a los establecimientos bancarios, durante el respectivo año o período gravable, la cual será certificada anualmente por la Superintendencia Bancaria*, por vía general.</w:t>
      </w:r>
      <w:r>
        <w:rPr>
          <w:rFonts w:cs="Arial"/>
          <w:i/>
          <w:color w:val="000000"/>
          <w:sz w:val="18"/>
          <w:szCs w:val="18"/>
        </w:rPr>
        <w:t>”</w:t>
      </w:r>
    </w:p>
    <w:p w:rsidR="0059763E" w:rsidRPr="004E3937" w:rsidRDefault="0059763E" w:rsidP="009861C4">
      <w:pPr>
        <w:pStyle w:val="Textonotapie"/>
        <w:rPr>
          <w:rFonts w:cs="Arial"/>
          <w:sz w:val="18"/>
          <w:szCs w:val="18"/>
          <w:lang w:val="es-CO"/>
        </w:rPr>
      </w:pPr>
    </w:p>
  </w:footnote>
  <w:footnote w:id="49">
    <w:p w:rsidR="0059763E" w:rsidRDefault="0059763E" w:rsidP="005B5FDA">
      <w:pPr>
        <w:pStyle w:val="Textonotapie"/>
        <w:spacing w:line="240" w:lineRule="auto"/>
        <w:rPr>
          <w:rFonts w:cs="Arial"/>
          <w:sz w:val="18"/>
          <w:szCs w:val="18"/>
          <w:lang w:val="es-CO"/>
        </w:rPr>
      </w:pPr>
      <w:r w:rsidRPr="004E3937">
        <w:rPr>
          <w:rStyle w:val="Refdenotaalpie"/>
          <w:rFonts w:cs="Arial"/>
          <w:sz w:val="18"/>
          <w:szCs w:val="18"/>
        </w:rPr>
        <w:footnoteRef/>
      </w:r>
      <w:r w:rsidRPr="004E3937">
        <w:rPr>
          <w:rFonts w:cs="Arial"/>
          <w:sz w:val="18"/>
          <w:szCs w:val="18"/>
        </w:rPr>
        <w:t xml:space="preserve"> </w:t>
      </w:r>
      <w:r>
        <w:rPr>
          <w:rFonts w:cs="Arial"/>
          <w:sz w:val="18"/>
          <w:szCs w:val="18"/>
        </w:rPr>
        <w:t xml:space="preserve"> Para citar un caso, a título de ejemplo, se hace mención de la consagración de una presunción de derecho aplicable al </w:t>
      </w:r>
      <w:r w:rsidRPr="004E3937">
        <w:rPr>
          <w:rFonts w:cs="Arial"/>
          <w:sz w:val="18"/>
          <w:szCs w:val="18"/>
        </w:rPr>
        <w:t>rendimiento mínimo en los</w:t>
      </w:r>
      <w:r>
        <w:rPr>
          <w:rFonts w:cs="Arial"/>
          <w:sz w:val="18"/>
          <w:szCs w:val="18"/>
        </w:rPr>
        <w:t xml:space="preserve"> </w:t>
      </w:r>
      <w:r w:rsidRPr="004E3937">
        <w:rPr>
          <w:rFonts w:cs="Arial"/>
          <w:sz w:val="18"/>
          <w:szCs w:val="18"/>
          <w:lang w:val="es-CO"/>
        </w:rPr>
        <w:t>préstamos de los socios, así:</w:t>
      </w:r>
    </w:p>
    <w:p w:rsidR="0059763E" w:rsidRPr="004E3937" w:rsidRDefault="0059763E" w:rsidP="005B5FDA">
      <w:pPr>
        <w:pStyle w:val="Textonotapie"/>
        <w:spacing w:line="240" w:lineRule="auto"/>
        <w:rPr>
          <w:rFonts w:cs="Arial"/>
          <w:sz w:val="18"/>
          <w:szCs w:val="18"/>
          <w:lang w:val="es-CO"/>
        </w:rPr>
      </w:pPr>
    </w:p>
    <w:p w:rsidR="0059763E" w:rsidRDefault="0059763E" w:rsidP="005B5FDA">
      <w:pPr>
        <w:pStyle w:val="NormalWeb"/>
        <w:spacing w:before="0" w:beforeAutospacing="0" w:after="0" w:afterAutospacing="0" w:line="240" w:lineRule="auto"/>
        <w:rPr>
          <w:rFonts w:cs="Arial"/>
          <w:color w:val="000000"/>
          <w:sz w:val="18"/>
          <w:szCs w:val="18"/>
        </w:rPr>
      </w:pPr>
      <w:r w:rsidRPr="004E3937">
        <w:rPr>
          <w:rFonts w:cs="Arial"/>
          <w:color w:val="000000"/>
          <w:sz w:val="18"/>
          <w:szCs w:val="18"/>
        </w:rPr>
        <w:t>Ley 9º  de 1983  Artículo 20.</w:t>
      </w:r>
    </w:p>
    <w:p w:rsidR="0059763E" w:rsidRDefault="0059763E" w:rsidP="005B5FDA">
      <w:pPr>
        <w:pStyle w:val="NormalWeb"/>
        <w:spacing w:before="0" w:beforeAutospacing="0" w:after="0" w:afterAutospacing="0" w:line="240" w:lineRule="auto"/>
        <w:rPr>
          <w:rFonts w:cs="Arial"/>
          <w:color w:val="000000"/>
          <w:sz w:val="18"/>
          <w:szCs w:val="18"/>
        </w:rPr>
      </w:pPr>
    </w:p>
    <w:p w:rsidR="0059763E" w:rsidRPr="00EB736A" w:rsidRDefault="0059763E" w:rsidP="005B5FDA">
      <w:pPr>
        <w:pStyle w:val="NormalWeb"/>
        <w:spacing w:before="0" w:beforeAutospacing="0" w:after="0" w:afterAutospacing="0" w:line="240" w:lineRule="auto"/>
        <w:rPr>
          <w:rFonts w:cs="Arial"/>
          <w:i/>
          <w:color w:val="000000"/>
          <w:sz w:val="18"/>
          <w:szCs w:val="18"/>
        </w:rPr>
      </w:pPr>
      <w:r w:rsidRPr="00EB736A">
        <w:rPr>
          <w:rFonts w:cs="Arial"/>
          <w:i/>
          <w:color w:val="000000"/>
          <w:sz w:val="18"/>
          <w:szCs w:val="18"/>
        </w:rPr>
        <w:t>“Para efectos del impuesto sobre la renta, a partir de 1983, se presume de derecho que todo préstamo en dinero, cualquiera que sea su naturaleza o denominación, que otorguen las sociedades a sus socios o accionistas, genera un rendimiento mínimo anual y proporcional al tiempo de posesión, equivalente a la tasa de corrección monetaria del sistema de valor constante a 31 de diciembre del año inmediatamente anterior al gravable.</w:t>
      </w:r>
    </w:p>
    <w:p w:rsidR="0059763E" w:rsidRPr="00EB736A" w:rsidRDefault="0059763E" w:rsidP="005B5FDA">
      <w:pPr>
        <w:pStyle w:val="NormalWeb"/>
        <w:spacing w:before="0" w:beforeAutospacing="0" w:after="0" w:afterAutospacing="0" w:line="240" w:lineRule="auto"/>
        <w:rPr>
          <w:rFonts w:cs="Arial"/>
          <w:i/>
          <w:color w:val="000000"/>
          <w:sz w:val="18"/>
          <w:szCs w:val="18"/>
        </w:rPr>
      </w:pPr>
    </w:p>
    <w:p w:rsidR="0059763E" w:rsidRPr="00EB736A" w:rsidRDefault="0059763E" w:rsidP="005B5FDA">
      <w:pPr>
        <w:pStyle w:val="NormalWeb"/>
        <w:spacing w:before="0" w:beforeAutospacing="0" w:after="0" w:afterAutospacing="0" w:line="240" w:lineRule="auto"/>
        <w:rPr>
          <w:rFonts w:cs="Arial"/>
          <w:i/>
          <w:color w:val="000000"/>
          <w:sz w:val="18"/>
          <w:szCs w:val="18"/>
        </w:rPr>
      </w:pPr>
      <w:r w:rsidRPr="00EB736A">
        <w:rPr>
          <w:rFonts w:cs="Arial"/>
          <w:i/>
          <w:color w:val="000000"/>
          <w:sz w:val="18"/>
          <w:szCs w:val="18"/>
        </w:rPr>
        <w:t>La presunción a que se refiere este artículo, no limita la facultad de que dispone la Administración Tributaria para determinar los rendimientos reales cuando éstos fueren superiores.”</w:t>
      </w:r>
    </w:p>
    <w:p w:rsidR="0059763E" w:rsidRPr="004E3937" w:rsidRDefault="0059763E" w:rsidP="005B5FDA">
      <w:pPr>
        <w:spacing w:line="240" w:lineRule="auto"/>
        <w:rPr>
          <w:rFonts w:cs="Arial"/>
          <w:sz w:val="18"/>
          <w:szCs w:val="18"/>
        </w:rPr>
      </w:pPr>
    </w:p>
    <w:p w:rsidR="0059763E" w:rsidRPr="00E32C35" w:rsidRDefault="0059763E" w:rsidP="005B5FDA">
      <w:pPr>
        <w:spacing w:line="240" w:lineRule="auto"/>
        <w:rPr>
          <w:rStyle w:val="textonavy"/>
          <w:rFonts w:cs="Arial"/>
          <w:sz w:val="18"/>
          <w:szCs w:val="18"/>
        </w:rPr>
      </w:pPr>
      <w:r w:rsidRPr="00E32C35">
        <w:rPr>
          <w:rStyle w:val="textonavy"/>
          <w:rFonts w:cs="Arial"/>
          <w:sz w:val="18"/>
          <w:szCs w:val="18"/>
        </w:rPr>
        <w:t xml:space="preserve">El supuesto de la norma anterior fue ampliado en la modificación realizada por la Ley 788 de 2002, artículo 94 e incorporada en el Artículo 35 del Estatuto Tributario, así: </w:t>
      </w:r>
    </w:p>
    <w:p w:rsidR="0059763E" w:rsidRPr="00E32C35" w:rsidRDefault="0059763E" w:rsidP="005B5FDA">
      <w:pPr>
        <w:spacing w:line="240" w:lineRule="auto"/>
        <w:rPr>
          <w:rStyle w:val="textonavy"/>
          <w:rFonts w:cs="Arial"/>
          <w:sz w:val="18"/>
          <w:szCs w:val="18"/>
        </w:rPr>
      </w:pPr>
    </w:p>
    <w:p w:rsidR="0059763E" w:rsidRDefault="0059763E" w:rsidP="005B5FDA">
      <w:pPr>
        <w:spacing w:line="240" w:lineRule="auto"/>
        <w:rPr>
          <w:rFonts w:cs="Arial"/>
          <w:i/>
          <w:color w:val="000000"/>
          <w:sz w:val="18"/>
          <w:szCs w:val="18"/>
        </w:rPr>
      </w:pPr>
      <w:r w:rsidRPr="00EB736A">
        <w:rPr>
          <w:rFonts w:cs="Arial"/>
          <w:i/>
          <w:color w:val="000000"/>
          <w:sz w:val="18"/>
          <w:szCs w:val="18"/>
        </w:rPr>
        <w:t>“Para efectos del impuesto sobre la renta, se presume de derecho que todo préstamo en dinero, cualquiera que sea su naturaleza o denominación, que otorguen las sociedades a sus socios o accionistas o estos a la sociedad, genera un rendimiento mínimo anual y proporcional al tiempo de posesión, equivalente a la tasa para DTF vigente a 31 de diciembre del año inmediatamente anterior al gravable.</w:t>
      </w:r>
    </w:p>
    <w:p w:rsidR="0059763E" w:rsidRPr="00EB736A" w:rsidRDefault="0059763E" w:rsidP="005B5FDA">
      <w:pPr>
        <w:spacing w:line="240" w:lineRule="auto"/>
        <w:rPr>
          <w:rFonts w:cs="Arial"/>
          <w:i/>
          <w:color w:val="000000"/>
          <w:sz w:val="18"/>
          <w:szCs w:val="18"/>
        </w:rPr>
      </w:pPr>
    </w:p>
    <w:p w:rsidR="0059763E" w:rsidRPr="00EB736A" w:rsidRDefault="0059763E" w:rsidP="005B5FDA">
      <w:pPr>
        <w:spacing w:line="240" w:lineRule="auto"/>
        <w:rPr>
          <w:rFonts w:cs="Arial"/>
          <w:i/>
          <w:color w:val="000000"/>
          <w:sz w:val="18"/>
          <w:szCs w:val="18"/>
        </w:rPr>
      </w:pPr>
      <w:r w:rsidRPr="00EB736A">
        <w:rPr>
          <w:rFonts w:cs="Arial"/>
          <w:i/>
          <w:color w:val="000000"/>
          <w:sz w:val="18"/>
          <w:szCs w:val="18"/>
        </w:rPr>
        <w:t>La presunción a que se refiere este artículo, no limita la facultad de que dispone la Administración Tributaria para determinar los rendimientos reales cuando éstos fueren superiores.</w:t>
      </w:r>
    </w:p>
    <w:p w:rsidR="0059763E" w:rsidRPr="007E244E" w:rsidRDefault="0059763E" w:rsidP="009861C4">
      <w:pPr>
        <w:pStyle w:val="Textonotapie"/>
        <w:rPr>
          <w:lang w:val="es-CO"/>
        </w:rPr>
      </w:pPr>
    </w:p>
  </w:footnote>
  <w:footnote w:id="50">
    <w:p w:rsidR="0059763E" w:rsidRDefault="0059763E" w:rsidP="0019265A">
      <w:pPr>
        <w:widowControl w:val="0"/>
        <w:autoSpaceDE w:val="0"/>
        <w:autoSpaceDN w:val="0"/>
        <w:adjustRightInd w:val="0"/>
        <w:spacing w:line="240" w:lineRule="auto"/>
        <w:rPr>
          <w:sz w:val="18"/>
          <w:szCs w:val="18"/>
        </w:rPr>
      </w:pPr>
      <w:r w:rsidRPr="0019265A">
        <w:rPr>
          <w:rStyle w:val="Refdenotaalpie"/>
          <w:sz w:val="18"/>
          <w:szCs w:val="18"/>
        </w:rPr>
        <w:footnoteRef/>
      </w:r>
      <w:r w:rsidRPr="0019265A">
        <w:rPr>
          <w:sz w:val="18"/>
          <w:szCs w:val="18"/>
        </w:rPr>
        <w:t xml:space="preserve"> </w:t>
      </w:r>
      <w:r>
        <w:rPr>
          <w:sz w:val="18"/>
          <w:szCs w:val="18"/>
        </w:rPr>
        <w:t>C</w:t>
      </w:r>
      <w:r w:rsidRPr="0019265A">
        <w:rPr>
          <w:sz w:val="18"/>
          <w:szCs w:val="18"/>
        </w:rPr>
        <w:t xml:space="preserve">onsejo de </w:t>
      </w:r>
      <w:r>
        <w:rPr>
          <w:sz w:val="18"/>
          <w:szCs w:val="18"/>
        </w:rPr>
        <w:t>E</w:t>
      </w:r>
      <w:r w:rsidRPr="0019265A">
        <w:rPr>
          <w:sz w:val="18"/>
          <w:szCs w:val="18"/>
        </w:rPr>
        <w:t xml:space="preserve">stado, </w:t>
      </w:r>
      <w:r>
        <w:rPr>
          <w:sz w:val="18"/>
          <w:szCs w:val="18"/>
        </w:rPr>
        <w:t>Sala de lo Contencioso Administrativo, S</w:t>
      </w:r>
      <w:r w:rsidRPr="0019265A">
        <w:rPr>
          <w:sz w:val="18"/>
          <w:szCs w:val="18"/>
        </w:rPr>
        <w:t xml:space="preserve">ección </w:t>
      </w:r>
      <w:r>
        <w:rPr>
          <w:sz w:val="18"/>
          <w:szCs w:val="18"/>
        </w:rPr>
        <w:t>T</w:t>
      </w:r>
      <w:r w:rsidRPr="0019265A">
        <w:rPr>
          <w:sz w:val="18"/>
          <w:szCs w:val="18"/>
        </w:rPr>
        <w:t xml:space="preserve">ercera, </w:t>
      </w:r>
      <w:r>
        <w:rPr>
          <w:sz w:val="18"/>
          <w:szCs w:val="18"/>
        </w:rPr>
        <w:t>S</w:t>
      </w:r>
      <w:r w:rsidRPr="0019265A">
        <w:rPr>
          <w:sz w:val="18"/>
          <w:szCs w:val="18"/>
        </w:rPr>
        <w:t xml:space="preserve">ubsección </w:t>
      </w:r>
      <w:r>
        <w:rPr>
          <w:sz w:val="18"/>
          <w:szCs w:val="18"/>
        </w:rPr>
        <w:t>A</w:t>
      </w:r>
      <w:r w:rsidRPr="0019265A">
        <w:rPr>
          <w:sz w:val="18"/>
          <w:szCs w:val="18"/>
        </w:rPr>
        <w:t xml:space="preserve">, </w:t>
      </w:r>
      <w:r>
        <w:rPr>
          <w:sz w:val="18"/>
          <w:szCs w:val="18"/>
        </w:rPr>
        <w:t xml:space="preserve">sentencia de marzo 14 de 2013, </w:t>
      </w:r>
      <w:r w:rsidRPr="0019265A">
        <w:rPr>
          <w:rFonts w:cs="Arial"/>
          <w:bCs/>
          <w:sz w:val="18"/>
          <w:szCs w:val="18"/>
        </w:rPr>
        <w:t xml:space="preserve">radicación: 440012331000199900827 01, expediente: 24.059, </w:t>
      </w:r>
      <w:r>
        <w:rPr>
          <w:rFonts w:cs="Arial"/>
          <w:bCs/>
          <w:sz w:val="18"/>
          <w:szCs w:val="18"/>
        </w:rPr>
        <w:t>a</w:t>
      </w:r>
      <w:r w:rsidRPr="0019265A">
        <w:rPr>
          <w:rFonts w:cs="Arial"/>
          <w:bCs/>
          <w:sz w:val="18"/>
          <w:szCs w:val="18"/>
        </w:rPr>
        <w:t xml:space="preserve">ctor: </w:t>
      </w:r>
      <w:r>
        <w:rPr>
          <w:rFonts w:cs="Arial"/>
          <w:bCs/>
          <w:sz w:val="18"/>
          <w:szCs w:val="18"/>
        </w:rPr>
        <w:t>S</w:t>
      </w:r>
      <w:r w:rsidRPr="0019265A">
        <w:rPr>
          <w:rFonts w:cs="Arial"/>
          <w:bCs/>
          <w:sz w:val="18"/>
          <w:szCs w:val="18"/>
        </w:rPr>
        <w:t xml:space="preserve">ociedad </w:t>
      </w:r>
      <w:r>
        <w:rPr>
          <w:rFonts w:cs="Arial"/>
          <w:bCs/>
          <w:sz w:val="18"/>
          <w:szCs w:val="18"/>
        </w:rPr>
        <w:t>Á</w:t>
      </w:r>
      <w:r w:rsidRPr="0019265A">
        <w:rPr>
          <w:rFonts w:cs="Arial"/>
          <w:bCs/>
          <w:sz w:val="18"/>
          <w:szCs w:val="18"/>
        </w:rPr>
        <w:t xml:space="preserve">vila </w:t>
      </w:r>
      <w:proofErr w:type="spellStart"/>
      <w:r>
        <w:rPr>
          <w:rFonts w:cs="Arial"/>
          <w:bCs/>
          <w:sz w:val="18"/>
          <w:szCs w:val="18"/>
        </w:rPr>
        <w:t>l</w:t>
      </w:r>
      <w:r w:rsidRPr="0019265A">
        <w:rPr>
          <w:rFonts w:cs="Arial"/>
          <w:bCs/>
          <w:sz w:val="18"/>
          <w:szCs w:val="18"/>
        </w:rPr>
        <w:t>tda.</w:t>
      </w:r>
      <w:proofErr w:type="spellEnd"/>
      <w:r w:rsidRPr="0019265A">
        <w:rPr>
          <w:rFonts w:cs="Arial"/>
          <w:bCs/>
          <w:sz w:val="18"/>
          <w:szCs w:val="18"/>
        </w:rPr>
        <w:t xml:space="preserve">, demandado: </w:t>
      </w:r>
      <w:r>
        <w:rPr>
          <w:rFonts w:cs="Arial"/>
          <w:bCs/>
          <w:sz w:val="18"/>
          <w:szCs w:val="18"/>
        </w:rPr>
        <w:t>D</w:t>
      </w:r>
      <w:r w:rsidRPr="0019265A">
        <w:rPr>
          <w:rFonts w:cs="Arial"/>
          <w:bCs/>
          <w:sz w:val="18"/>
          <w:szCs w:val="18"/>
        </w:rPr>
        <w:t xml:space="preserve">epartamento de la </w:t>
      </w:r>
      <w:r>
        <w:rPr>
          <w:rFonts w:cs="Arial"/>
          <w:bCs/>
          <w:sz w:val="18"/>
          <w:szCs w:val="18"/>
        </w:rPr>
        <w:t>G</w:t>
      </w:r>
      <w:r w:rsidRPr="0019265A">
        <w:rPr>
          <w:rFonts w:cs="Arial"/>
          <w:bCs/>
          <w:sz w:val="18"/>
          <w:szCs w:val="18"/>
        </w:rPr>
        <w:t>uajira, referencia: nulidad y restablecimiento del derecho – apelación sentencia</w:t>
      </w:r>
      <w:r>
        <w:rPr>
          <w:rFonts w:cs="Arial"/>
          <w:bCs/>
          <w:sz w:val="18"/>
          <w:szCs w:val="18"/>
        </w:rPr>
        <w:t xml:space="preserve">. En la referida providencia esta </w:t>
      </w:r>
      <w:r>
        <w:rPr>
          <w:sz w:val="18"/>
          <w:szCs w:val="18"/>
        </w:rPr>
        <w:t xml:space="preserve">subsección invocó la aplicación del postulado de la Buena Fe, en el procedimiento precontractual observando lo siguiente: </w:t>
      </w:r>
    </w:p>
    <w:p w:rsidR="0059763E" w:rsidRDefault="0059763E" w:rsidP="00D53F42">
      <w:pPr>
        <w:spacing w:line="240" w:lineRule="auto"/>
        <w:rPr>
          <w:sz w:val="18"/>
          <w:szCs w:val="18"/>
        </w:rPr>
      </w:pPr>
    </w:p>
    <w:p w:rsidR="0059763E" w:rsidRPr="005B5FDA" w:rsidRDefault="0059763E" w:rsidP="00D53F42">
      <w:pPr>
        <w:spacing w:line="240" w:lineRule="auto"/>
        <w:rPr>
          <w:rFonts w:cs="Arial"/>
          <w:i/>
          <w:sz w:val="18"/>
          <w:szCs w:val="18"/>
        </w:rPr>
      </w:pPr>
      <w:r w:rsidRPr="005B5FDA">
        <w:rPr>
          <w:rFonts w:cs="Arial"/>
          <w:i/>
          <w:sz w:val="18"/>
          <w:szCs w:val="18"/>
        </w:rPr>
        <w:t xml:space="preserve">“En consecuencia, para la Sala sería inadmisible sostener que la entidad estatal contratante tuviere el deber de adjudicar el procedimiento administrativo de selección a una determinada oferta a sabiendas de que, aunque en apariencia tendría las mejores condiciones, en realidad sería, por su contenido, total o parcialmente, una propuesta mentirosa, fraudulenta, engañosa o proveniente de un proponente que pretende sacar provecho o ventaja, frente a la entidad contratante y/o ante sus competidores, de la manipulación de información errónea, inexacta o falaz, tal como no resultaría válida, de ninguna manera, la adjudicación que se quisiera hacer recaer en un oferente que se encuentre incurso en una causal de inhabilidad o de incompatibilidad, por lo cual resulta plausible que en estos casos la entidad decida rechazar o excluir esa clase de ofertas, independientemente de que así lo haya previsto, o no, el correspondiente pliego de condiciones, decisión que, de todos modos, la entidad estatal contratante está en el deber de motivar de manera clara, precisa, completa y detallada.   </w:t>
      </w:r>
    </w:p>
    <w:p w:rsidR="0059763E" w:rsidRPr="005B5FDA" w:rsidRDefault="0059763E" w:rsidP="00D53F42">
      <w:pPr>
        <w:spacing w:line="240" w:lineRule="auto"/>
        <w:rPr>
          <w:rFonts w:cs="Arial"/>
          <w:i/>
          <w:sz w:val="18"/>
          <w:szCs w:val="18"/>
        </w:rPr>
      </w:pPr>
    </w:p>
    <w:p w:rsidR="0059763E" w:rsidRPr="005B5FDA" w:rsidRDefault="0059763E" w:rsidP="00D53F42">
      <w:pPr>
        <w:spacing w:line="240" w:lineRule="auto"/>
        <w:rPr>
          <w:rFonts w:cs="Arial"/>
          <w:i/>
          <w:sz w:val="18"/>
          <w:szCs w:val="18"/>
        </w:rPr>
      </w:pPr>
      <w:r w:rsidRPr="005B5FDA">
        <w:rPr>
          <w:rFonts w:cs="Arial"/>
          <w:i/>
          <w:sz w:val="18"/>
          <w:szCs w:val="18"/>
        </w:rPr>
        <w:t>Lo que acaba de señalarse se robustece al consultar el mandato legal que contiene el artículo 863 del Código de Comercio –norma incorporada al Estatuto de Contratación Estatal de conformidad con lo dispuesto en el artículo 13 de la Ley 80– el cual hace explícita y clara referencia al período precontractual –que es precisamente al que corresponden los procedimientos administrativos de selección– en cuanto dicho mandato les impone a las partes el deber de proceder de “buena fe exenta de culpa”, noción que, como lo ha puesto de presente la doctrina autorizada, involucra un concepto más exigente y riguroso, así:</w:t>
      </w:r>
    </w:p>
    <w:p w:rsidR="0059763E" w:rsidRPr="005B5FDA" w:rsidRDefault="0059763E" w:rsidP="00D53F42">
      <w:pPr>
        <w:spacing w:line="240" w:lineRule="auto"/>
        <w:rPr>
          <w:rFonts w:cs="Arial"/>
          <w:i/>
          <w:sz w:val="18"/>
          <w:szCs w:val="18"/>
        </w:rPr>
      </w:pPr>
    </w:p>
    <w:p w:rsidR="0059763E" w:rsidRPr="005B5FDA" w:rsidRDefault="0059763E" w:rsidP="00D53F42">
      <w:pPr>
        <w:spacing w:line="240" w:lineRule="auto"/>
        <w:ind w:left="709" w:right="618"/>
        <w:rPr>
          <w:rFonts w:cs="Arial"/>
          <w:i/>
          <w:sz w:val="18"/>
          <w:szCs w:val="18"/>
        </w:rPr>
      </w:pPr>
      <w:r w:rsidRPr="005B5FDA">
        <w:rPr>
          <w:rFonts w:cs="Arial"/>
          <w:i/>
          <w:sz w:val="18"/>
          <w:szCs w:val="18"/>
        </w:rPr>
        <w:t xml:space="preserve">“Artículo 863.- Las partes deberán proceder de buena fe exenta de culpa en el período precontractual, so pena de indemnizar los perjuicios que causen”. </w:t>
      </w:r>
      <w:r>
        <w:rPr>
          <w:rFonts w:cs="Arial"/>
          <w:i/>
          <w:sz w:val="18"/>
          <w:szCs w:val="18"/>
        </w:rPr>
        <w:t>“</w:t>
      </w:r>
    </w:p>
    <w:p w:rsidR="0059763E" w:rsidRPr="00D7552B" w:rsidRDefault="0059763E">
      <w:pPr>
        <w:pStyle w:val="Textonotapie"/>
        <w:rPr>
          <w:lang w:val="es-CO"/>
        </w:rPr>
      </w:pPr>
    </w:p>
  </w:footnote>
  <w:footnote w:id="51">
    <w:p w:rsidR="0059763E" w:rsidRDefault="0059763E" w:rsidP="006103A9">
      <w:pPr>
        <w:pStyle w:val="Textonotapie"/>
        <w:spacing w:line="240" w:lineRule="auto"/>
        <w:rPr>
          <w:rFonts w:cs="Arial"/>
          <w:sz w:val="18"/>
          <w:szCs w:val="18"/>
        </w:rPr>
      </w:pPr>
      <w:r>
        <w:rPr>
          <w:rStyle w:val="Refdenotaalpie"/>
        </w:rPr>
        <w:footnoteRef/>
      </w:r>
      <w:r>
        <w:t xml:space="preserve"> </w:t>
      </w:r>
      <w:r w:rsidRPr="007A013D">
        <w:rPr>
          <w:rFonts w:cs="Arial"/>
          <w:sz w:val="18"/>
          <w:szCs w:val="18"/>
        </w:rPr>
        <w:t>Decreto 2649 de 1993</w:t>
      </w:r>
      <w:r>
        <w:rPr>
          <w:rFonts w:cs="Arial"/>
          <w:sz w:val="18"/>
          <w:szCs w:val="18"/>
        </w:rPr>
        <w:t xml:space="preserve">, </w:t>
      </w:r>
      <w:r w:rsidRPr="007A013D">
        <w:rPr>
          <w:rFonts w:cs="Arial"/>
          <w:sz w:val="18"/>
          <w:szCs w:val="18"/>
        </w:rPr>
        <w:t>Artículo 115, numeral 19</w:t>
      </w:r>
      <w:r>
        <w:rPr>
          <w:rFonts w:cs="Arial"/>
          <w:sz w:val="18"/>
          <w:szCs w:val="18"/>
        </w:rPr>
        <w:t>:</w:t>
      </w:r>
    </w:p>
    <w:p w:rsidR="0059763E" w:rsidRDefault="0059763E" w:rsidP="006103A9">
      <w:pPr>
        <w:pStyle w:val="Textonotapie"/>
        <w:spacing w:line="240" w:lineRule="auto"/>
        <w:rPr>
          <w:rFonts w:cs="Arial"/>
          <w:sz w:val="18"/>
          <w:szCs w:val="18"/>
        </w:rPr>
      </w:pPr>
    </w:p>
    <w:p w:rsidR="0059763E" w:rsidRPr="00333B5A" w:rsidRDefault="0059763E" w:rsidP="006103A9">
      <w:pPr>
        <w:pStyle w:val="Textonotapie"/>
        <w:spacing w:line="240" w:lineRule="auto"/>
        <w:rPr>
          <w:rFonts w:cs="Arial"/>
          <w:i/>
          <w:sz w:val="18"/>
          <w:szCs w:val="18"/>
        </w:rPr>
      </w:pPr>
      <w:r w:rsidRPr="00333B5A">
        <w:rPr>
          <w:rFonts w:cs="Arial"/>
          <w:i/>
          <w:sz w:val="18"/>
          <w:szCs w:val="18"/>
        </w:rPr>
        <w:t>“En f</w:t>
      </w:r>
      <w:r>
        <w:rPr>
          <w:rFonts w:cs="Arial"/>
          <w:i/>
          <w:sz w:val="18"/>
          <w:szCs w:val="18"/>
        </w:rPr>
        <w:t>o</w:t>
      </w:r>
      <w:r w:rsidRPr="00333B5A">
        <w:rPr>
          <w:rFonts w:cs="Arial"/>
          <w:i/>
          <w:sz w:val="18"/>
          <w:szCs w:val="18"/>
        </w:rPr>
        <w:t>rma comparativa cuando sea del caso, los estados financieros deben revelar por separado como mínimo la naturaleza y cuantía de cada uno de los siguientes asuntos, preferiblemente en los respectivos cuadros para darles énfasis o subsidiariamente en notas: (…)</w:t>
      </w:r>
    </w:p>
    <w:p w:rsidR="0059763E" w:rsidRDefault="0059763E" w:rsidP="006103A9">
      <w:pPr>
        <w:pStyle w:val="Textonotapie"/>
        <w:spacing w:line="240" w:lineRule="auto"/>
        <w:rPr>
          <w:rFonts w:cs="Arial"/>
          <w:i/>
          <w:sz w:val="18"/>
          <w:szCs w:val="18"/>
        </w:rPr>
      </w:pPr>
    </w:p>
    <w:p w:rsidR="0059763E" w:rsidRPr="00333B5A" w:rsidRDefault="0059763E" w:rsidP="006103A9">
      <w:pPr>
        <w:pStyle w:val="Textonotapie"/>
        <w:spacing w:line="240" w:lineRule="auto"/>
        <w:rPr>
          <w:i/>
        </w:rPr>
      </w:pPr>
      <w:r w:rsidRPr="00333B5A">
        <w:rPr>
          <w:rFonts w:cs="Arial"/>
          <w:i/>
          <w:sz w:val="18"/>
          <w:szCs w:val="18"/>
        </w:rPr>
        <w:t>19. conciliación entre el patrimonio contable y el fiscal, entre la utilidad contable y la renta gravable y entre la cuenta de corrección monetaria y la fiscal, con indicación de la cuantía y origen de las diferencias y su repercusión en los impuestos del ejercicio y en los impuestos diferidos. Si existieren ajustes de períodos anteriores que incidan en la determinación del impuesto, en la conciliación deberá indicarse tal circunstancia.”</w:t>
      </w:r>
    </w:p>
  </w:footnote>
  <w:footnote w:id="52">
    <w:p w:rsidR="0059763E" w:rsidRDefault="0059763E" w:rsidP="00C95DB1">
      <w:pPr>
        <w:pStyle w:val="Textonotapie"/>
        <w:spacing w:line="240" w:lineRule="auto"/>
      </w:pPr>
      <w:r>
        <w:rPr>
          <w:rStyle w:val="Refdenotaalpie"/>
        </w:rPr>
        <w:footnoteRef/>
      </w:r>
      <w:r>
        <w:t xml:space="preserve">  La independencia de esta regla del procedimiento tributario se ha visto afianzada a partir de la Ley 1314 de 2009, mediante la cual se regularon los principios de contabilidad e información financiera, toda vez que en su artículo 4º se dispuso la independencia y autonomía de las normas tributarias y la prevalencia de las normas fiscales cuando se presente </w:t>
      </w:r>
      <w:proofErr w:type="spellStart"/>
      <w:r>
        <w:t>incompatililidad</w:t>
      </w:r>
      <w:proofErr w:type="spellEnd"/>
      <w:r>
        <w:t xml:space="preserve"> con las normas contables y de información financiera “únicamente para fines fiscales”.</w:t>
      </w:r>
    </w:p>
  </w:footnote>
  <w:footnote w:id="53">
    <w:p w:rsidR="0059763E" w:rsidRPr="001969A6" w:rsidRDefault="0059763E" w:rsidP="00C13236">
      <w:pPr>
        <w:pStyle w:val="Textonotapie"/>
        <w:spacing w:line="240" w:lineRule="auto"/>
        <w:rPr>
          <w:rFonts w:cs="Arial"/>
          <w:sz w:val="18"/>
          <w:szCs w:val="18"/>
        </w:rPr>
      </w:pPr>
      <w:r w:rsidRPr="001969A6">
        <w:rPr>
          <w:rStyle w:val="Refdenotaalpie"/>
          <w:rFonts w:cs="Arial"/>
          <w:sz w:val="18"/>
          <w:szCs w:val="18"/>
        </w:rPr>
        <w:footnoteRef/>
      </w:r>
      <w:r w:rsidRPr="001969A6">
        <w:rPr>
          <w:rFonts w:cs="Arial"/>
          <w:sz w:val="18"/>
          <w:szCs w:val="18"/>
        </w:rPr>
        <w:t xml:space="preserve"> La cita no corresponde al texto del artículo 36 del Código de Comercio, el contenido citado es similar al del art</w:t>
      </w:r>
      <w:r>
        <w:rPr>
          <w:rFonts w:cs="Arial"/>
          <w:sz w:val="18"/>
          <w:szCs w:val="18"/>
        </w:rPr>
        <w:t>í</w:t>
      </w:r>
      <w:r w:rsidRPr="001969A6">
        <w:rPr>
          <w:rFonts w:cs="Arial"/>
          <w:sz w:val="18"/>
          <w:szCs w:val="18"/>
        </w:rPr>
        <w:t xml:space="preserve">culo 114 del Decreto 2649 de 1993. </w:t>
      </w:r>
    </w:p>
    <w:p w:rsidR="0059763E" w:rsidRDefault="0059763E" w:rsidP="009861C4">
      <w:pPr>
        <w:pStyle w:val="Textonotapie"/>
      </w:pPr>
    </w:p>
  </w:footnote>
  <w:footnote w:id="54">
    <w:p w:rsidR="0059763E" w:rsidRDefault="0059763E" w:rsidP="0062005A">
      <w:pPr>
        <w:pStyle w:val="NormalWeb"/>
        <w:spacing w:line="240" w:lineRule="auto"/>
        <w:rPr>
          <w:rFonts w:cs="Arial"/>
          <w:i/>
          <w:sz w:val="18"/>
          <w:szCs w:val="18"/>
        </w:rPr>
      </w:pPr>
      <w:r w:rsidRPr="00FB3DAE">
        <w:rPr>
          <w:rStyle w:val="Refdenotaalpie"/>
          <w:i/>
          <w:sz w:val="18"/>
          <w:szCs w:val="18"/>
        </w:rPr>
        <w:footnoteRef/>
      </w:r>
      <w:r w:rsidRPr="00FB3DAE">
        <w:rPr>
          <w:i/>
          <w:sz w:val="18"/>
          <w:szCs w:val="18"/>
        </w:rPr>
        <w:t xml:space="preserve"> N</w:t>
      </w:r>
      <w:r>
        <w:rPr>
          <w:i/>
          <w:sz w:val="18"/>
          <w:szCs w:val="18"/>
        </w:rPr>
        <w:t>umeral 4. ”</w:t>
      </w:r>
      <w:r w:rsidRPr="00FB3DAE">
        <w:rPr>
          <w:rFonts w:cs="Arial"/>
          <w:i/>
          <w:sz w:val="18"/>
          <w:szCs w:val="18"/>
        </w:rPr>
        <w:t>Principales clases de activos y pasivos, clasificados según el uso a que se destinan o según su grado de realización, exigibilidad o liquidación, en términos de tiempo y valores.</w:t>
      </w:r>
    </w:p>
    <w:p w:rsidR="0059763E" w:rsidRPr="00FB3DAE" w:rsidRDefault="0059763E" w:rsidP="0062005A">
      <w:pPr>
        <w:pStyle w:val="NormalWeb"/>
        <w:spacing w:line="240" w:lineRule="auto"/>
        <w:rPr>
          <w:rFonts w:cs="Arial"/>
          <w:i/>
          <w:sz w:val="18"/>
          <w:szCs w:val="18"/>
        </w:rPr>
      </w:pPr>
      <w:r w:rsidRPr="00FB3DAE">
        <w:rPr>
          <w:rFonts w:cs="Arial"/>
          <w:i/>
          <w:sz w:val="18"/>
          <w:szCs w:val="18"/>
        </w:rPr>
        <w:t>Para tal efecto se entiende como activos o pasivos corrientes aquellas sumas que serán realizables o exigibles, respectivamente, en un plazo no mayor a un año, así como aquellas que serán realizables o exigibles dentro de un mismo ciclo de operación en aquellos casos en que el ciclo normal sea superior a un año, lo cual debe revelarse.</w:t>
      </w:r>
    </w:p>
    <w:p w:rsidR="0059763E" w:rsidRPr="00FB3DAE" w:rsidRDefault="0059763E" w:rsidP="00FB3DAE">
      <w:pPr>
        <w:spacing w:before="100" w:beforeAutospacing="1" w:after="100" w:afterAutospacing="1" w:line="240" w:lineRule="auto"/>
        <w:jc w:val="left"/>
        <w:rPr>
          <w:rFonts w:cs="Arial"/>
          <w:i/>
          <w:sz w:val="18"/>
          <w:szCs w:val="18"/>
        </w:rPr>
      </w:pPr>
      <w:r w:rsidRPr="00FB3DAE">
        <w:rPr>
          <w:rFonts w:cs="Arial"/>
          <w:i/>
          <w:sz w:val="18"/>
          <w:szCs w:val="18"/>
        </w:rPr>
        <w:t>Se deben revelar por separado los activos y pasivos mantenidos en unidades de medida distintas de la moneda funcional.</w:t>
      </w:r>
      <w:r>
        <w:rPr>
          <w:rFonts w:cs="Arial"/>
          <w:i/>
          <w:sz w:val="18"/>
          <w:szCs w:val="18"/>
        </w:rPr>
        <w:t>”</w:t>
      </w:r>
    </w:p>
    <w:p w:rsidR="0059763E" w:rsidRPr="00FB3DAE" w:rsidRDefault="0059763E">
      <w:pPr>
        <w:pStyle w:val="Textonotapie"/>
        <w:rPr>
          <w:lang w:val="es-CO"/>
        </w:rPr>
      </w:pPr>
    </w:p>
  </w:footnote>
  <w:footnote w:id="55">
    <w:tbl>
      <w:tblPr>
        <w:tblStyle w:val="Tablaconcuadrcula"/>
        <w:tblW w:w="0" w:type="auto"/>
        <w:tblLook w:val="04A0" w:firstRow="1" w:lastRow="0" w:firstColumn="1" w:lastColumn="0" w:noHBand="0" w:noVBand="1"/>
      </w:tblPr>
      <w:tblGrid>
        <w:gridCol w:w="1526"/>
        <w:gridCol w:w="2835"/>
        <w:gridCol w:w="4284"/>
      </w:tblGrid>
      <w:tr w:rsidR="0059763E" w:rsidTr="00801036">
        <w:tc>
          <w:tcPr>
            <w:tcW w:w="1526" w:type="dxa"/>
          </w:tcPr>
          <w:p w:rsidR="0059763E" w:rsidRPr="00290EAA" w:rsidRDefault="0059763E" w:rsidP="00801036">
            <w:pPr>
              <w:spacing w:line="240" w:lineRule="auto"/>
              <w:rPr>
                <w:rFonts w:cs="Arial"/>
                <w:sz w:val="18"/>
                <w:szCs w:val="18"/>
              </w:rPr>
            </w:pPr>
            <w:r w:rsidRPr="00290EAA">
              <w:rPr>
                <w:rStyle w:val="Refdenotaalpie"/>
                <w:sz w:val="18"/>
                <w:szCs w:val="18"/>
              </w:rPr>
              <w:footnoteRef/>
            </w:r>
            <w:r w:rsidRPr="00290EAA">
              <w:rPr>
                <w:sz w:val="18"/>
                <w:szCs w:val="18"/>
              </w:rPr>
              <w:t xml:space="preserve"> </w:t>
            </w:r>
            <w:r w:rsidRPr="00290EAA">
              <w:rPr>
                <w:rFonts w:cs="Arial"/>
                <w:sz w:val="18"/>
                <w:szCs w:val="18"/>
              </w:rPr>
              <w:t>Total Pasivo</w:t>
            </w:r>
            <w:r>
              <w:rPr>
                <w:rFonts w:cs="Arial"/>
                <w:sz w:val="18"/>
                <w:szCs w:val="18"/>
              </w:rPr>
              <w:t>:</w:t>
            </w:r>
          </w:p>
        </w:tc>
        <w:tc>
          <w:tcPr>
            <w:tcW w:w="2835" w:type="dxa"/>
          </w:tcPr>
          <w:p w:rsidR="0059763E" w:rsidRPr="00290EAA" w:rsidRDefault="0059763E" w:rsidP="00801036">
            <w:pPr>
              <w:spacing w:line="240" w:lineRule="auto"/>
              <w:rPr>
                <w:rFonts w:cs="Arial"/>
                <w:sz w:val="18"/>
                <w:szCs w:val="18"/>
              </w:rPr>
            </w:pPr>
            <w:r w:rsidRPr="00290EAA">
              <w:rPr>
                <w:rFonts w:cs="Arial"/>
                <w:sz w:val="18"/>
                <w:szCs w:val="18"/>
              </w:rPr>
              <w:t>Según balance: $320’291.000</w:t>
            </w:r>
            <w:r>
              <w:rPr>
                <w:rFonts w:cs="Arial"/>
                <w:sz w:val="18"/>
                <w:szCs w:val="18"/>
              </w:rPr>
              <w:t xml:space="preserve"> (folio 48, cuaderno 2).</w:t>
            </w:r>
          </w:p>
        </w:tc>
        <w:tc>
          <w:tcPr>
            <w:tcW w:w="4284" w:type="dxa"/>
          </w:tcPr>
          <w:p w:rsidR="0059763E" w:rsidRPr="00290EAA" w:rsidRDefault="0059763E" w:rsidP="00801036">
            <w:pPr>
              <w:spacing w:line="240" w:lineRule="auto"/>
              <w:rPr>
                <w:rFonts w:cs="Arial"/>
                <w:sz w:val="18"/>
                <w:szCs w:val="18"/>
              </w:rPr>
            </w:pPr>
            <w:r w:rsidRPr="00290EAA">
              <w:rPr>
                <w:rFonts w:cs="Arial"/>
                <w:sz w:val="18"/>
                <w:szCs w:val="18"/>
              </w:rPr>
              <w:t>Según renglón 18 de la declaración de renta: $319’432.000</w:t>
            </w:r>
            <w:r>
              <w:rPr>
                <w:rFonts w:cs="Arial"/>
                <w:sz w:val="18"/>
                <w:szCs w:val="18"/>
              </w:rPr>
              <w:t xml:space="preserve"> (folio 50 cuaderno 2).</w:t>
            </w:r>
          </w:p>
        </w:tc>
      </w:tr>
    </w:tbl>
    <w:p w:rsidR="0059763E" w:rsidRPr="00E67280" w:rsidRDefault="0059763E">
      <w:pPr>
        <w:pStyle w:val="Textonotapie"/>
        <w:rPr>
          <w:lang w:val="es-CO"/>
        </w:rPr>
      </w:pPr>
    </w:p>
  </w:footnote>
  <w:footnote w:id="56">
    <w:p w:rsidR="0059763E" w:rsidRPr="00AE51B8" w:rsidRDefault="0059763E" w:rsidP="006D1F96">
      <w:pPr>
        <w:pStyle w:val="Textonotapie"/>
        <w:spacing w:line="240" w:lineRule="auto"/>
        <w:rPr>
          <w:rFonts w:cs="Arial"/>
          <w:i/>
          <w:sz w:val="18"/>
          <w:szCs w:val="18"/>
          <w:lang w:val="es-CO"/>
        </w:rPr>
      </w:pPr>
      <w:r w:rsidRPr="006D1F96">
        <w:rPr>
          <w:rStyle w:val="Refdenotaalpie"/>
          <w:rFonts w:cs="Arial"/>
          <w:sz w:val="18"/>
          <w:szCs w:val="18"/>
        </w:rPr>
        <w:footnoteRef/>
      </w:r>
      <w:r w:rsidRPr="006D1F96">
        <w:rPr>
          <w:rFonts w:cs="Arial"/>
          <w:sz w:val="18"/>
          <w:szCs w:val="18"/>
        </w:rPr>
        <w:t xml:space="preserve"> </w:t>
      </w:r>
      <w:r w:rsidRPr="00AE51B8">
        <w:rPr>
          <w:rFonts w:cs="Arial"/>
          <w:i/>
          <w:sz w:val="18"/>
          <w:szCs w:val="18"/>
        </w:rPr>
        <w:t>“Incumbe a las partes probar el supuesto de hecho de las normas que consagran el efecto jurídico que ellas persiguen.”</w:t>
      </w:r>
    </w:p>
  </w:footnote>
  <w:footnote w:id="57">
    <w:p w:rsidR="0059763E" w:rsidRPr="00586FD6" w:rsidRDefault="0059763E" w:rsidP="00586FD6">
      <w:pPr>
        <w:widowControl w:val="0"/>
        <w:autoSpaceDE w:val="0"/>
        <w:autoSpaceDN w:val="0"/>
        <w:adjustRightInd w:val="0"/>
        <w:spacing w:line="240" w:lineRule="auto"/>
        <w:ind w:right="283"/>
        <w:rPr>
          <w:sz w:val="18"/>
          <w:szCs w:val="18"/>
          <w:lang w:val="es-CO"/>
        </w:rPr>
      </w:pPr>
      <w:r>
        <w:rPr>
          <w:rStyle w:val="Refdenotaalpie"/>
        </w:rPr>
        <w:footnoteRef/>
      </w:r>
      <w:r>
        <w:t xml:space="preserve"> </w:t>
      </w:r>
      <w:r w:rsidRPr="00586FD6">
        <w:rPr>
          <w:sz w:val="18"/>
          <w:szCs w:val="18"/>
        </w:rPr>
        <w:t>Consejo de Estado, Sala de lo Contencioso Administrativo, Sección Tercera, Subsección A, sentencia de 27 de junio de 2013, radicación</w:t>
      </w:r>
      <w:r w:rsidRPr="00586FD6">
        <w:rPr>
          <w:rFonts w:cs="Arial"/>
          <w:b/>
          <w:bCs/>
          <w:sz w:val="18"/>
          <w:szCs w:val="18"/>
        </w:rPr>
        <w:t>:</w:t>
      </w:r>
      <w:r>
        <w:rPr>
          <w:rFonts w:cs="Arial"/>
          <w:b/>
          <w:bCs/>
          <w:sz w:val="18"/>
          <w:szCs w:val="18"/>
        </w:rPr>
        <w:t xml:space="preserve"> </w:t>
      </w:r>
      <w:r w:rsidRPr="00586FD6">
        <w:rPr>
          <w:rFonts w:cs="Arial"/>
          <w:bCs/>
          <w:sz w:val="18"/>
          <w:szCs w:val="18"/>
        </w:rPr>
        <w:t>47001-03-000-1993-3570-01, expediente:</w:t>
      </w:r>
      <w:r>
        <w:rPr>
          <w:rFonts w:cs="Arial"/>
          <w:bCs/>
          <w:sz w:val="18"/>
          <w:szCs w:val="18"/>
        </w:rPr>
        <w:t xml:space="preserve"> </w:t>
      </w:r>
      <w:r w:rsidRPr="00586FD6">
        <w:rPr>
          <w:rFonts w:cs="Arial"/>
          <w:bCs/>
          <w:sz w:val="18"/>
          <w:szCs w:val="18"/>
        </w:rPr>
        <w:t xml:space="preserve">17.431, actor: </w:t>
      </w:r>
      <w:r>
        <w:rPr>
          <w:rFonts w:cs="Arial"/>
          <w:bCs/>
          <w:sz w:val="18"/>
          <w:szCs w:val="18"/>
        </w:rPr>
        <w:t>A</w:t>
      </w:r>
      <w:r w:rsidRPr="00586FD6">
        <w:rPr>
          <w:rFonts w:cs="Arial"/>
          <w:bCs/>
          <w:sz w:val="18"/>
          <w:szCs w:val="18"/>
        </w:rPr>
        <w:t xml:space="preserve">ntonio </w:t>
      </w:r>
      <w:proofErr w:type="spellStart"/>
      <w:r>
        <w:rPr>
          <w:rFonts w:cs="Arial"/>
          <w:bCs/>
          <w:sz w:val="18"/>
          <w:szCs w:val="18"/>
        </w:rPr>
        <w:t>S</w:t>
      </w:r>
      <w:r w:rsidRPr="00586FD6">
        <w:rPr>
          <w:rFonts w:cs="Arial"/>
          <w:bCs/>
          <w:sz w:val="18"/>
          <w:szCs w:val="18"/>
        </w:rPr>
        <w:t>umoza</w:t>
      </w:r>
      <w:proofErr w:type="spellEnd"/>
      <w:r w:rsidRPr="00586FD6">
        <w:rPr>
          <w:rFonts w:cs="Arial"/>
          <w:bCs/>
          <w:sz w:val="18"/>
          <w:szCs w:val="18"/>
        </w:rPr>
        <w:t xml:space="preserve"> </w:t>
      </w:r>
      <w:r>
        <w:rPr>
          <w:rFonts w:cs="Arial"/>
          <w:bCs/>
          <w:sz w:val="18"/>
          <w:szCs w:val="18"/>
        </w:rPr>
        <w:t>T</w:t>
      </w:r>
      <w:r w:rsidRPr="00586FD6">
        <w:rPr>
          <w:rFonts w:cs="Arial"/>
          <w:bCs/>
          <w:sz w:val="18"/>
          <w:szCs w:val="18"/>
        </w:rPr>
        <w:t>orres, demandado:</w:t>
      </w:r>
      <w:r>
        <w:rPr>
          <w:rFonts w:cs="Arial"/>
          <w:bCs/>
          <w:sz w:val="18"/>
          <w:szCs w:val="18"/>
        </w:rPr>
        <w:t xml:space="preserve"> C</w:t>
      </w:r>
      <w:r w:rsidRPr="00586FD6">
        <w:rPr>
          <w:rFonts w:cs="Arial"/>
          <w:bCs/>
          <w:sz w:val="18"/>
          <w:szCs w:val="18"/>
        </w:rPr>
        <w:t>orporaci</w:t>
      </w:r>
      <w:r>
        <w:rPr>
          <w:rFonts w:cs="Arial"/>
          <w:bCs/>
          <w:sz w:val="18"/>
          <w:szCs w:val="18"/>
        </w:rPr>
        <w:t>ó</w:t>
      </w:r>
      <w:r w:rsidRPr="00586FD6">
        <w:rPr>
          <w:rFonts w:cs="Arial"/>
          <w:bCs/>
          <w:sz w:val="18"/>
          <w:szCs w:val="18"/>
        </w:rPr>
        <w:t xml:space="preserve">n </w:t>
      </w:r>
      <w:r>
        <w:rPr>
          <w:rFonts w:cs="Arial"/>
          <w:bCs/>
          <w:sz w:val="18"/>
          <w:szCs w:val="18"/>
        </w:rPr>
        <w:t>N</w:t>
      </w:r>
      <w:r w:rsidRPr="00586FD6">
        <w:rPr>
          <w:rFonts w:cs="Arial"/>
          <w:bCs/>
          <w:sz w:val="18"/>
          <w:szCs w:val="18"/>
        </w:rPr>
        <w:t xml:space="preserve">acional de </w:t>
      </w:r>
      <w:r>
        <w:rPr>
          <w:rFonts w:cs="Arial"/>
          <w:bCs/>
          <w:sz w:val="18"/>
          <w:szCs w:val="18"/>
        </w:rPr>
        <w:t>T</w:t>
      </w:r>
      <w:r w:rsidRPr="00586FD6">
        <w:rPr>
          <w:rFonts w:cs="Arial"/>
          <w:bCs/>
          <w:sz w:val="18"/>
          <w:szCs w:val="18"/>
        </w:rPr>
        <w:t xml:space="preserve">urismo de </w:t>
      </w:r>
      <w:r>
        <w:rPr>
          <w:rFonts w:cs="Arial"/>
          <w:bCs/>
          <w:sz w:val="18"/>
          <w:szCs w:val="18"/>
        </w:rPr>
        <w:t>C</w:t>
      </w:r>
      <w:r w:rsidRPr="00586FD6">
        <w:rPr>
          <w:rFonts w:cs="Arial"/>
          <w:bCs/>
          <w:sz w:val="18"/>
          <w:szCs w:val="18"/>
        </w:rPr>
        <w:t>olombia, referencia: contractual-apelaci</w:t>
      </w:r>
      <w:r>
        <w:rPr>
          <w:rFonts w:cs="Arial"/>
          <w:bCs/>
          <w:sz w:val="18"/>
          <w:szCs w:val="18"/>
        </w:rPr>
        <w:t>ó</w:t>
      </w:r>
      <w:r w:rsidRPr="00586FD6">
        <w:rPr>
          <w:rFonts w:cs="Arial"/>
          <w:bCs/>
          <w:sz w:val="18"/>
          <w:szCs w:val="18"/>
        </w:rPr>
        <w:t>n sentencia</w:t>
      </w:r>
      <w:r>
        <w:rPr>
          <w:rFonts w:cs="Arial"/>
          <w:bCs/>
          <w:sz w:val="18"/>
          <w:szCs w:val="18"/>
        </w:rPr>
        <w:t>.</w:t>
      </w:r>
    </w:p>
  </w:footnote>
  <w:footnote w:id="58">
    <w:p w:rsidR="0059763E" w:rsidRDefault="0059763E" w:rsidP="00F461C3">
      <w:pPr>
        <w:pStyle w:val="Textonotapie"/>
        <w:spacing w:line="240" w:lineRule="auto"/>
        <w:rPr>
          <w:rFonts w:cs="Calibri"/>
          <w:sz w:val="18"/>
          <w:szCs w:val="18"/>
        </w:rPr>
      </w:pPr>
      <w:r>
        <w:rPr>
          <w:rStyle w:val="Refdenotaalpie"/>
          <w:sz w:val="18"/>
          <w:szCs w:val="18"/>
        </w:rPr>
        <w:footnoteRef/>
      </w:r>
      <w:r>
        <w:rPr>
          <w:sz w:val="18"/>
          <w:szCs w:val="18"/>
        </w:rPr>
        <w:t xml:space="preserve"> Véase: Consejo de Estado, Sala de lo Contencioso Administrativo, Sección Tercera, Expediente No. 4.694, 19 de Febrero de 1987; No. 6.535, 28 de mayo de 1992; No. 12.344, 3 de mayo de 1999; No. 13.074, 30 de noviembre de 2006; No. 8431, 5 de Junio de 2008; 24.059, 14 de marzo de 2013; </w:t>
      </w:r>
      <w:r>
        <w:rPr>
          <w:rStyle w:val="Refdenotaalpie"/>
          <w:sz w:val="18"/>
          <w:szCs w:val="18"/>
        </w:rPr>
        <w:footnoteRef/>
      </w:r>
      <w:r>
        <w:rPr>
          <w:sz w:val="18"/>
          <w:szCs w:val="18"/>
        </w:rPr>
        <w:t xml:space="preserve"> línea jurisprudencial analizada en la obra: </w:t>
      </w:r>
      <w:r w:rsidRPr="007F6217">
        <w:rPr>
          <w:i/>
          <w:sz w:val="18"/>
          <w:szCs w:val="18"/>
          <w:lang w:val="es-CO"/>
        </w:rPr>
        <w:t>Los Grandes Fallos de la Jurisprudencia Administrativa Colombiana</w:t>
      </w:r>
      <w:r>
        <w:rPr>
          <w:sz w:val="18"/>
          <w:szCs w:val="18"/>
          <w:lang w:val="es-CO"/>
        </w:rPr>
        <w:t>, editor Andrés Fernando Ospina Guzmán, Estudio Preliminar de Juan Carlos Henao, publicada por la Universidad Externado de Colombia, Bogotá, septiembre de 2013.</w:t>
      </w:r>
    </w:p>
    <w:p w:rsidR="0059763E" w:rsidRDefault="0059763E" w:rsidP="00F461C3">
      <w:pPr>
        <w:pStyle w:val="Textonotapie"/>
        <w:spacing w:line="240" w:lineRule="auto"/>
        <w:rPr>
          <w:rFonts w:cs="Arial"/>
          <w:sz w:val="18"/>
          <w:szCs w:val="18"/>
          <w:lang w:val="es-CO"/>
        </w:rPr>
      </w:pPr>
    </w:p>
  </w:footnote>
  <w:footnote w:id="59">
    <w:p w:rsidR="0059763E" w:rsidRDefault="0059763E" w:rsidP="00F461C3">
      <w:pPr>
        <w:pStyle w:val="Textonotapie"/>
        <w:spacing w:line="240" w:lineRule="auto"/>
        <w:rPr>
          <w:rFonts w:cs="Arial"/>
          <w:i/>
          <w:color w:val="000000"/>
          <w:sz w:val="18"/>
          <w:szCs w:val="18"/>
        </w:rPr>
      </w:pPr>
      <w:r>
        <w:rPr>
          <w:rStyle w:val="Refdenotaalpie"/>
          <w:rFonts w:cs="Arial"/>
          <w:i/>
          <w:sz w:val="18"/>
          <w:szCs w:val="18"/>
        </w:rPr>
        <w:footnoteRef/>
      </w:r>
      <w:r>
        <w:rPr>
          <w:rFonts w:cs="Arial"/>
          <w:i/>
          <w:sz w:val="18"/>
          <w:szCs w:val="18"/>
        </w:rPr>
        <w:t xml:space="preserve"> </w:t>
      </w:r>
      <w:r>
        <w:rPr>
          <w:rStyle w:val="textonavy"/>
          <w:rFonts w:cs="Arial"/>
          <w:i/>
          <w:color w:val="000080"/>
          <w:sz w:val="18"/>
          <w:szCs w:val="18"/>
        </w:rPr>
        <w:t>ARTICULO 209.</w:t>
      </w:r>
      <w:r>
        <w:rPr>
          <w:rStyle w:val="apple-converted-space"/>
          <w:rFonts w:cs="Arial"/>
          <w:i/>
          <w:color w:val="000080"/>
          <w:sz w:val="18"/>
          <w:szCs w:val="18"/>
        </w:rPr>
        <w:t> </w:t>
      </w:r>
      <w:r>
        <w:rPr>
          <w:rFonts w:cs="Arial"/>
          <w:i/>
          <w:color w:val="000000"/>
          <w:sz w:val="18"/>
          <w:szCs w:val="18"/>
        </w:rPr>
        <w:t>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w:t>
      </w:r>
    </w:p>
    <w:p w:rsidR="0059763E" w:rsidRDefault="0059763E" w:rsidP="00F461C3">
      <w:pPr>
        <w:pStyle w:val="Textonotapie"/>
        <w:spacing w:line="240" w:lineRule="auto"/>
        <w:rPr>
          <w:rFonts w:cs="Arial"/>
          <w:i/>
          <w:sz w:val="18"/>
          <w:szCs w:val="18"/>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63E" w:rsidRDefault="0059763E" w:rsidP="0064345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9763E" w:rsidRDefault="0059763E" w:rsidP="0064345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63E" w:rsidRDefault="0059763E" w:rsidP="003620C2">
    <w:pPr>
      <w:widowControl w:val="0"/>
      <w:autoSpaceDE w:val="0"/>
      <w:autoSpaceDN w:val="0"/>
      <w:adjustRightInd w:val="0"/>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47C2B"/>
    <w:multiLevelType w:val="hybridMultilevel"/>
    <w:tmpl w:val="B95C99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C281A55"/>
    <w:multiLevelType w:val="hybridMultilevel"/>
    <w:tmpl w:val="BB6E18A4"/>
    <w:lvl w:ilvl="0" w:tplc="0C0A000F">
      <w:start w:val="1"/>
      <w:numFmt w:val="decimal"/>
      <w:lvlText w:val="%1."/>
      <w:lvlJc w:val="left"/>
      <w:pPr>
        <w:ind w:left="1003" w:hanging="360"/>
      </w:pPr>
    </w:lvl>
    <w:lvl w:ilvl="1" w:tplc="0C0A0019" w:tentative="1">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abstractNum w:abstractNumId="2" w15:restartNumberingAfterBreak="0">
    <w:nsid w:val="15451D36"/>
    <w:multiLevelType w:val="hybridMultilevel"/>
    <w:tmpl w:val="C9DCBB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73F724E"/>
    <w:multiLevelType w:val="hybridMultilevel"/>
    <w:tmpl w:val="0BB8EEF4"/>
    <w:lvl w:ilvl="0" w:tplc="30C2EBC0">
      <w:start w:val="1"/>
      <w:numFmt w:val="decimal"/>
      <w:lvlText w:val="%1."/>
      <w:lvlJc w:val="left"/>
      <w:pPr>
        <w:ind w:left="720" w:hanging="360"/>
      </w:pPr>
      <w:rPr>
        <w:sz w:val="24"/>
        <w:szCs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15:restartNumberingAfterBreak="0">
    <w:nsid w:val="19ED53C0"/>
    <w:multiLevelType w:val="multilevel"/>
    <w:tmpl w:val="C9066EBC"/>
    <w:lvl w:ilvl="0">
      <w:start w:val="1"/>
      <w:numFmt w:val="decimal"/>
      <w:lvlText w:val="%1."/>
      <w:lvlJc w:val="left"/>
      <w:pPr>
        <w:ind w:left="720" w:hanging="360"/>
      </w:pPr>
      <w:rPr>
        <w:rFonts w:cs="Aria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F261E49"/>
    <w:multiLevelType w:val="hybridMultilevel"/>
    <w:tmpl w:val="75D4C5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7C906FD"/>
    <w:multiLevelType w:val="hybridMultilevel"/>
    <w:tmpl w:val="7EB4414A"/>
    <w:lvl w:ilvl="0" w:tplc="9C504814">
      <w:start w:val="1"/>
      <w:numFmt w:val="lowerRoman"/>
      <w:lvlText w:val="%1)"/>
      <w:lvlJc w:val="left"/>
      <w:pPr>
        <w:ind w:left="1143" w:hanging="720"/>
      </w:pPr>
      <w:rPr>
        <w:rFonts w:hint="default"/>
        <w:b/>
      </w:rPr>
    </w:lvl>
    <w:lvl w:ilvl="1" w:tplc="0C0A0019" w:tentative="1">
      <w:start w:val="1"/>
      <w:numFmt w:val="lowerLetter"/>
      <w:lvlText w:val="%2."/>
      <w:lvlJc w:val="left"/>
      <w:pPr>
        <w:ind w:left="1503" w:hanging="360"/>
      </w:pPr>
    </w:lvl>
    <w:lvl w:ilvl="2" w:tplc="0C0A001B" w:tentative="1">
      <w:start w:val="1"/>
      <w:numFmt w:val="lowerRoman"/>
      <w:lvlText w:val="%3."/>
      <w:lvlJc w:val="right"/>
      <w:pPr>
        <w:ind w:left="2223" w:hanging="180"/>
      </w:pPr>
    </w:lvl>
    <w:lvl w:ilvl="3" w:tplc="0C0A000F" w:tentative="1">
      <w:start w:val="1"/>
      <w:numFmt w:val="decimal"/>
      <w:lvlText w:val="%4."/>
      <w:lvlJc w:val="left"/>
      <w:pPr>
        <w:ind w:left="2943" w:hanging="360"/>
      </w:pPr>
    </w:lvl>
    <w:lvl w:ilvl="4" w:tplc="0C0A0019" w:tentative="1">
      <w:start w:val="1"/>
      <w:numFmt w:val="lowerLetter"/>
      <w:lvlText w:val="%5."/>
      <w:lvlJc w:val="left"/>
      <w:pPr>
        <w:ind w:left="3663" w:hanging="360"/>
      </w:pPr>
    </w:lvl>
    <w:lvl w:ilvl="5" w:tplc="0C0A001B" w:tentative="1">
      <w:start w:val="1"/>
      <w:numFmt w:val="lowerRoman"/>
      <w:lvlText w:val="%6."/>
      <w:lvlJc w:val="right"/>
      <w:pPr>
        <w:ind w:left="4383" w:hanging="180"/>
      </w:pPr>
    </w:lvl>
    <w:lvl w:ilvl="6" w:tplc="0C0A000F" w:tentative="1">
      <w:start w:val="1"/>
      <w:numFmt w:val="decimal"/>
      <w:lvlText w:val="%7."/>
      <w:lvlJc w:val="left"/>
      <w:pPr>
        <w:ind w:left="5103" w:hanging="360"/>
      </w:pPr>
    </w:lvl>
    <w:lvl w:ilvl="7" w:tplc="0C0A0019" w:tentative="1">
      <w:start w:val="1"/>
      <w:numFmt w:val="lowerLetter"/>
      <w:lvlText w:val="%8."/>
      <w:lvlJc w:val="left"/>
      <w:pPr>
        <w:ind w:left="5823" w:hanging="360"/>
      </w:pPr>
    </w:lvl>
    <w:lvl w:ilvl="8" w:tplc="0C0A001B" w:tentative="1">
      <w:start w:val="1"/>
      <w:numFmt w:val="lowerRoman"/>
      <w:lvlText w:val="%9."/>
      <w:lvlJc w:val="right"/>
      <w:pPr>
        <w:ind w:left="6543" w:hanging="180"/>
      </w:pPr>
    </w:lvl>
  </w:abstractNum>
  <w:abstractNum w:abstractNumId="7" w15:restartNumberingAfterBreak="0">
    <w:nsid w:val="28447A58"/>
    <w:multiLevelType w:val="hybridMultilevel"/>
    <w:tmpl w:val="C040F5C0"/>
    <w:lvl w:ilvl="0" w:tplc="0C0A000F">
      <w:start w:val="1"/>
      <w:numFmt w:val="decimal"/>
      <w:lvlText w:val="%1."/>
      <w:lvlJc w:val="left"/>
      <w:pPr>
        <w:ind w:left="1003" w:hanging="360"/>
      </w:pPr>
    </w:lvl>
    <w:lvl w:ilvl="1" w:tplc="0C0A0019" w:tentative="1">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abstractNum w:abstractNumId="8" w15:restartNumberingAfterBreak="0">
    <w:nsid w:val="2BC30EEC"/>
    <w:multiLevelType w:val="hybridMultilevel"/>
    <w:tmpl w:val="DAC205D0"/>
    <w:lvl w:ilvl="0" w:tplc="0C0A0001">
      <w:start w:val="1"/>
      <w:numFmt w:val="bullet"/>
      <w:lvlText w:val=""/>
      <w:lvlJc w:val="left"/>
      <w:pPr>
        <w:ind w:left="780" w:hanging="720"/>
      </w:pPr>
      <w:rPr>
        <w:rFonts w:ascii="Symbol" w:hAnsi="Symbol" w:hint="default"/>
        <w:b/>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9" w15:restartNumberingAfterBreak="0">
    <w:nsid w:val="2C1D0756"/>
    <w:multiLevelType w:val="hybridMultilevel"/>
    <w:tmpl w:val="70C8476C"/>
    <w:lvl w:ilvl="0" w:tplc="7076E286">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F7E3314"/>
    <w:multiLevelType w:val="hybridMultilevel"/>
    <w:tmpl w:val="893EB33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BA44302"/>
    <w:multiLevelType w:val="multilevel"/>
    <w:tmpl w:val="DFA2F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785D89"/>
    <w:multiLevelType w:val="hybridMultilevel"/>
    <w:tmpl w:val="4E22FE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A596EEA"/>
    <w:multiLevelType w:val="hybridMultilevel"/>
    <w:tmpl w:val="AABA10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B890B2A"/>
    <w:multiLevelType w:val="hybridMultilevel"/>
    <w:tmpl w:val="F4BA21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0F45CF7"/>
    <w:multiLevelType w:val="hybridMultilevel"/>
    <w:tmpl w:val="00981258"/>
    <w:lvl w:ilvl="0" w:tplc="30C2EBC0">
      <w:start w:val="1"/>
      <w:numFmt w:val="decimal"/>
      <w:lvlText w:val="%1."/>
      <w:lvlJc w:val="left"/>
      <w:pPr>
        <w:ind w:left="720" w:hanging="360"/>
      </w:pPr>
      <w:rPr>
        <w:sz w:val="24"/>
        <w:szCs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0">
    <w:nsid w:val="59EC70A7"/>
    <w:multiLevelType w:val="hybridMultilevel"/>
    <w:tmpl w:val="A3F45E50"/>
    <w:lvl w:ilvl="0" w:tplc="9C504814">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BE0615D"/>
    <w:multiLevelType w:val="hybridMultilevel"/>
    <w:tmpl w:val="DAA0C6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08238BE"/>
    <w:multiLevelType w:val="hybridMultilevel"/>
    <w:tmpl w:val="EA64874A"/>
    <w:lvl w:ilvl="0" w:tplc="C1C2AEA8">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7027534"/>
    <w:multiLevelType w:val="hybridMultilevel"/>
    <w:tmpl w:val="1ABE5F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BD9070F"/>
    <w:multiLevelType w:val="multilevel"/>
    <w:tmpl w:val="32A433B4"/>
    <w:lvl w:ilvl="0">
      <w:start w:val="4"/>
      <w:numFmt w:val="decimal"/>
      <w:lvlText w:val="%1."/>
      <w:lvlJc w:val="left"/>
      <w:pPr>
        <w:ind w:left="390" w:hanging="390"/>
      </w:pPr>
      <w:rPr>
        <w:sz w:val="24"/>
      </w:rPr>
    </w:lvl>
    <w:lvl w:ilvl="1">
      <w:start w:val="6"/>
      <w:numFmt w:val="decimal"/>
      <w:lvlText w:val="%1.%2."/>
      <w:lvlJc w:val="left"/>
      <w:pPr>
        <w:ind w:left="1004" w:hanging="720"/>
      </w:pPr>
      <w:rPr>
        <w:b/>
        <w:sz w:val="24"/>
      </w:rPr>
    </w:lvl>
    <w:lvl w:ilvl="2">
      <w:start w:val="1"/>
      <w:numFmt w:val="decimal"/>
      <w:lvlText w:val="%1.%2.%3."/>
      <w:lvlJc w:val="left"/>
      <w:pPr>
        <w:ind w:left="1288" w:hanging="720"/>
      </w:pPr>
      <w:rPr>
        <w:b/>
        <w:sz w:val="24"/>
      </w:rPr>
    </w:lvl>
    <w:lvl w:ilvl="3">
      <w:start w:val="1"/>
      <w:numFmt w:val="decimal"/>
      <w:lvlText w:val="%1.%2.%3.%4."/>
      <w:lvlJc w:val="left"/>
      <w:pPr>
        <w:ind w:left="1932" w:hanging="1080"/>
      </w:pPr>
      <w:rPr>
        <w:sz w:val="24"/>
      </w:rPr>
    </w:lvl>
    <w:lvl w:ilvl="4">
      <w:start w:val="1"/>
      <w:numFmt w:val="decimal"/>
      <w:lvlText w:val="%1.%2.%3.%4.%5."/>
      <w:lvlJc w:val="left"/>
      <w:pPr>
        <w:ind w:left="2216" w:hanging="1080"/>
      </w:pPr>
      <w:rPr>
        <w:sz w:val="24"/>
      </w:rPr>
    </w:lvl>
    <w:lvl w:ilvl="5">
      <w:start w:val="1"/>
      <w:numFmt w:val="decimal"/>
      <w:lvlText w:val="%1.%2.%3.%4.%5.%6."/>
      <w:lvlJc w:val="left"/>
      <w:pPr>
        <w:ind w:left="2860" w:hanging="1440"/>
      </w:pPr>
      <w:rPr>
        <w:sz w:val="24"/>
      </w:rPr>
    </w:lvl>
    <w:lvl w:ilvl="6">
      <w:start w:val="1"/>
      <w:numFmt w:val="decimal"/>
      <w:lvlText w:val="%1.%2.%3.%4.%5.%6.%7."/>
      <w:lvlJc w:val="left"/>
      <w:pPr>
        <w:ind w:left="3144" w:hanging="1440"/>
      </w:pPr>
      <w:rPr>
        <w:sz w:val="24"/>
      </w:rPr>
    </w:lvl>
    <w:lvl w:ilvl="7">
      <w:start w:val="1"/>
      <w:numFmt w:val="decimal"/>
      <w:lvlText w:val="%1.%2.%3.%4.%5.%6.%7.%8."/>
      <w:lvlJc w:val="left"/>
      <w:pPr>
        <w:ind w:left="3788" w:hanging="1800"/>
      </w:pPr>
      <w:rPr>
        <w:sz w:val="24"/>
      </w:rPr>
    </w:lvl>
    <w:lvl w:ilvl="8">
      <w:start w:val="1"/>
      <w:numFmt w:val="decimal"/>
      <w:lvlText w:val="%1.%2.%3.%4.%5.%6.%7.%8.%9."/>
      <w:lvlJc w:val="left"/>
      <w:pPr>
        <w:ind w:left="4072" w:hanging="1800"/>
      </w:pPr>
      <w:rPr>
        <w:sz w:val="24"/>
      </w:rPr>
    </w:lvl>
  </w:abstractNum>
  <w:num w:numId="1">
    <w:abstractNumId w:val="9"/>
  </w:num>
  <w:num w:numId="2">
    <w:abstractNumId w:val="18"/>
  </w:num>
  <w:num w:numId="3">
    <w:abstractNumId w:val="16"/>
  </w:num>
  <w:num w:numId="4">
    <w:abstractNumId w:val="6"/>
  </w:num>
  <w:num w:numId="5">
    <w:abstractNumId w:val="8"/>
  </w:num>
  <w:num w:numId="6">
    <w:abstractNumId w:val="2"/>
  </w:num>
  <w:num w:numId="7">
    <w:abstractNumId w:val="17"/>
  </w:num>
  <w:num w:numId="8">
    <w:abstractNumId w:val="3"/>
  </w:num>
  <w:num w:numId="9">
    <w:abstractNumId w:val="20"/>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1"/>
  </w:num>
  <w:num w:numId="12">
    <w:abstractNumId w:val="5"/>
  </w:num>
  <w:num w:numId="13">
    <w:abstractNumId w:val="3"/>
  </w:num>
  <w:num w:numId="14">
    <w:abstractNumId w:val="15"/>
  </w:num>
  <w:num w:numId="15">
    <w:abstractNumId w:val="1"/>
  </w:num>
  <w:num w:numId="16">
    <w:abstractNumId w:val="7"/>
  </w:num>
  <w:num w:numId="17">
    <w:abstractNumId w:val="4"/>
  </w:num>
  <w:num w:numId="18">
    <w:abstractNumId w:val="10"/>
  </w:num>
  <w:num w:numId="19">
    <w:abstractNumId w:val="14"/>
  </w:num>
  <w:num w:numId="20">
    <w:abstractNumId w:val="19"/>
  </w:num>
  <w:num w:numId="21">
    <w:abstractNumId w:val="12"/>
  </w:num>
  <w:num w:numId="2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gutterAtTop/>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395"/>
    <w:rsid w:val="000004FE"/>
    <w:rsid w:val="0000071A"/>
    <w:rsid w:val="0000092F"/>
    <w:rsid w:val="00000F07"/>
    <w:rsid w:val="000012E0"/>
    <w:rsid w:val="00001679"/>
    <w:rsid w:val="0000193E"/>
    <w:rsid w:val="00001C09"/>
    <w:rsid w:val="00001F90"/>
    <w:rsid w:val="00002E38"/>
    <w:rsid w:val="000031A5"/>
    <w:rsid w:val="00003330"/>
    <w:rsid w:val="00003649"/>
    <w:rsid w:val="000036B8"/>
    <w:rsid w:val="000039FF"/>
    <w:rsid w:val="00003C47"/>
    <w:rsid w:val="000041F0"/>
    <w:rsid w:val="00004616"/>
    <w:rsid w:val="000049E1"/>
    <w:rsid w:val="00006BE4"/>
    <w:rsid w:val="000072F1"/>
    <w:rsid w:val="00007C4A"/>
    <w:rsid w:val="00010098"/>
    <w:rsid w:val="00010466"/>
    <w:rsid w:val="000104E1"/>
    <w:rsid w:val="000107A5"/>
    <w:rsid w:val="00010DB5"/>
    <w:rsid w:val="00013063"/>
    <w:rsid w:val="00013615"/>
    <w:rsid w:val="00013E02"/>
    <w:rsid w:val="00013EC4"/>
    <w:rsid w:val="00014595"/>
    <w:rsid w:val="000148A2"/>
    <w:rsid w:val="0001495C"/>
    <w:rsid w:val="000150BD"/>
    <w:rsid w:val="000151C6"/>
    <w:rsid w:val="000152A8"/>
    <w:rsid w:val="00015C11"/>
    <w:rsid w:val="00016B27"/>
    <w:rsid w:val="00016B62"/>
    <w:rsid w:val="0001706A"/>
    <w:rsid w:val="000170A9"/>
    <w:rsid w:val="00017F4B"/>
    <w:rsid w:val="000203FE"/>
    <w:rsid w:val="00020AE9"/>
    <w:rsid w:val="00021148"/>
    <w:rsid w:val="00021342"/>
    <w:rsid w:val="00021A58"/>
    <w:rsid w:val="0002287B"/>
    <w:rsid w:val="0002326F"/>
    <w:rsid w:val="000232F7"/>
    <w:rsid w:val="0002353C"/>
    <w:rsid w:val="00023675"/>
    <w:rsid w:val="00024457"/>
    <w:rsid w:val="000247CD"/>
    <w:rsid w:val="0002571A"/>
    <w:rsid w:val="00025A21"/>
    <w:rsid w:val="00025C0C"/>
    <w:rsid w:val="00025C7D"/>
    <w:rsid w:val="000260FB"/>
    <w:rsid w:val="000262BF"/>
    <w:rsid w:val="000263A9"/>
    <w:rsid w:val="00027837"/>
    <w:rsid w:val="00027A49"/>
    <w:rsid w:val="0003004D"/>
    <w:rsid w:val="00030283"/>
    <w:rsid w:val="000302C0"/>
    <w:rsid w:val="00031536"/>
    <w:rsid w:val="00031646"/>
    <w:rsid w:val="0003177A"/>
    <w:rsid w:val="00031F50"/>
    <w:rsid w:val="000320EB"/>
    <w:rsid w:val="000321D5"/>
    <w:rsid w:val="000323EA"/>
    <w:rsid w:val="00032C85"/>
    <w:rsid w:val="0003316F"/>
    <w:rsid w:val="00033185"/>
    <w:rsid w:val="000335CC"/>
    <w:rsid w:val="00033A87"/>
    <w:rsid w:val="00033E47"/>
    <w:rsid w:val="00033E59"/>
    <w:rsid w:val="00034270"/>
    <w:rsid w:val="00034796"/>
    <w:rsid w:val="00035DEC"/>
    <w:rsid w:val="0003632B"/>
    <w:rsid w:val="0003635B"/>
    <w:rsid w:val="000363FD"/>
    <w:rsid w:val="00036F1E"/>
    <w:rsid w:val="000400F3"/>
    <w:rsid w:val="00040808"/>
    <w:rsid w:val="00040A0A"/>
    <w:rsid w:val="00041150"/>
    <w:rsid w:val="00041167"/>
    <w:rsid w:val="00041D8F"/>
    <w:rsid w:val="00042364"/>
    <w:rsid w:val="00042AFC"/>
    <w:rsid w:val="000439A7"/>
    <w:rsid w:val="000442CE"/>
    <w:rsid w:val="00044360"/>
    <w:rsid w:val="00044ABB"/>
    <w:rsid w:val="00044F75"/>
    <w:rsid w:val="0004539B"/>
    <w:rsid w:val="00045C62"/>
    <w:rsid w:val="00045C63"/>
    <w:rsid w:val="00045DCF"/>
    <w:rsid w:val="000460C4"/>
    <w:rsid w:val="0004636C"/>
    <w:rsid w:val="00047AFA"/>
    <w:rsid w:val="00050CA0"/>
    <w:rsid w:val="00050E71"/>
    <w:rsid w:val="00050EC2"/>
    <w:rsid w:val="00051050"/>
    <w:rsid w:val="0005134F"/>
    <w:rsid w:val="0005135E"/>
    <w:rsid w:val="000527C6"/>
    <w:rsid w:val="00052B55"/>
    <w:rsid w:val="00053041"/>
    <w:rsid w:val="00053778"/>
    <w:rsid w:val="0005420C"/>
    <w:rsid w:val="00054863"/>
    <w:rsid w:val="00054E45"/>
    <w:rsid w:val="00055411"/>
    <w:rsid w:val="00055A2C"/>
    <w:rsid w:val="00056023"/>
    <w:rsid w:val="00056F8F"/>
    <w:rsid w:val="000570EE"/>
    <w:rsid w:val="0005739B"/>
    <w:rsid w:val="00057514"/>
    <w:rsid w:val="00060280"/>
    <w:rsid w:val="0006047E"/>
    <w:rsid w:val="0006071E"/>
    <w:rsid w:val="00060962"/>
    <w:rsid w:val="00060A10"/>
    <w:rsid w:val="00060D51"/>
    <w:rsid w:val="00061160"/>
    <w:rsid w:val="00061169"/>
    <w:rsid w:val="00061758"/>
    <w:rsid w:val="000619AB"/>
    <w:rsid w:val="00062A8C"/>
    <w:rsid w:val="00062AE2"/>
    <w:rsid w:val="00062EC8"/>
    <w:rsid w:val="0006314A"/>
    <w:rsid w:val="00063833"/>
    <w:rsid w:val="00063FDB"/>
    <w:rsid w:val="000641E1"/>
    <w:rsid w:val="00064582"/>
    <w:rsid w:val="00064D83"/>
    <w:rsid w:val="00064FE5"/>
    <w:rsid w:val="000657C5"/>
    <w:rsid w:val="00065E78"/>
    <w:rsid w:val="00066448"/>
    <w:rsid w:val="000701BA"/>
    <w:rsid w:val="000705E6"/>
    <w:rsid w:val="0007060C"/>
    <w:rsid w:val="000708AE"/>
    <w:rsid w:val="00071336"/>
    <w:rsid w:val="00071BC7"/>
    <w:rsid w:val="00071DAB"/>
    <w:rsid w:val="000722F8"/>
    <w:rsid w:val="000730E5"/>
    <w:rsid w:val="0007367B"/>
    <w:rsid w:val="000739F5"/>
    <w:rsid w:val="00073C49"/>
    <w:rsid w:val="00073DB3"/>
    <w:rsid w:val="000745CE"/>
    <w:rsid w:val="00074C0F"/>
    <w:rsid w:val="00074C56"/>
    <w:rsid w:val="0007558A"/>
    <w:rsid w:val="00075779"/>
    <w:rsid w:val="00075DF6"/>
    <w:rsid w:val="0007608D"/>
    <w:rsid w:val="00076631"/>
    <w:rsid w:val="0007667D"/>
    <w:rsid w:val="00076AFF"/>
    <w:rsid w:val="000775AE"/>
    <w:rsid w:val="0007792C"/>
    <w:rsid w:val="00077B7D"/>
    <w:rsid w:val="00077E42"/>
    <w:rsid w:val="00077F0F"/>
    <w:rsid w:val="00080157"/>
    <w:rsid w:val="0008074F"/>
    <w:rsid w:val="00081F74"/>
    <w:rsid w:val="00082852"/>
    <w:rsid w:val="00082FB7"/>
    <w:rsid w:val="0008343C"/>
    <w:rsid w:val="00083AEA"/>
    <w:rsid w:val="00084000"/>
    <w:rsid w:val="000843C9"/>
    <w:rsid w:val="00084419"/>
    <w:rsid w:val="0008441D"/>
    <w:rsid w:val="00084943"/>
    <w:rsid w:val="0008509A"/>
    <w:rsid w:val="00085283"/>
    <w:rsid w:val="00085297"/>
    <w:rsid w:val="00085443"/>
    <w:rsid w:val="000865D7"/>
    <w:rsid w:val="00086ABF"/>
    <w:rsid w:val="00086D58"/>
    <w:rsid w:val="0008798C"/>
    <w:rsid w:val="00087B20"/>
    <w:rsid w:val="00087B3A"/>
    <w:rsid w:val="00087C29"/>
    <w:rsid w:val="0009017C"/>
    <w:rsid w:val="000902CC"/>
    <w:rsid w:val="000903DB"/>
    <w:rsid w:val="0009054D"/>
    <w:rsid w:val="00090865"/>
    <w:rsid w:val="00090A63"/>
    <w:rsid w:val="00090C49"/>
    <w:rsid w:val="00090F3F"/>
    <w:rsid w:val="00091462"/>
    <w:rsid w:val="000923E9"/>
    <w:rsid w:val="00092A06"/>
    <w:rsid w:val="00093234"/>
    <w:rsid w:val="000935A8"/>
    <w:rsid w:val="00093953"/>
    <w:rsid w:val="00093CE2"/>
    <w:rsid w:val="00093FAE"/>
    <w:rsid w:val="0009429B"/>
    <w:rsid w:val="000946D8"/>
    <w:rsid w:val="000954D9"/>
    <w:rsid w:val="000958F8"/>
    <w:rsid w:val="00095DC4"/>
    <w:rsid w:val="00095DE2"/>
    <w:rsid w:val="0009606A"/>
    <w:rsid w:val="0009634B"/>
    <w:rsid w:val="000964A2"/>
    <w:rsid w:val="0009687C"/>
    <w:rsid w:val="00097392"/>
    <w:rsid w:val="00097454"/>
    <w:rsid w:val="00097E28"/>
    <w:rsid w:val="00097FFE"/>
    <w:rsid w:val="000A0632"/>
    <w:rsid w:val="000A10EB"/>
    <w:rsid w:val="000A15C5"/>
    <w:rsid w:val="000A1C44"/>
    <w:rsid w:val="000A2287"/>
    <w:rsid w:val="000A263C"/>
    <w:rsid w:val="000A2EF8"/>
    <w:rsid w:val="000A2F71"/>
    <w:rsid w:val="000A344C"/>
    <w:rsid w:val="000A3F4D"/>
    <w:rsid w:val="000A43A4"/>
    <w:rsid w:val="000A4AC6"/>
    <w:rsid w:val="000A5AB6"/>
    <w:rsid w:val="000A5CC8"/>
    <w:rsid w:val="000A5F64"/>
    <w:rsid w:val="000A6106"/>
    <w:rsid w:val="000A6819"/>
    <w:rsid w:val="000A6E70"/>
    <w:rsid w:val="000A700C"/>
    <w:rsid w:val="000A7800"/>
    <w:rsid w:val="000A79D1"/>
    <w:rsid w:val="000A7F66"/>
    <w:rsid w:val="000B00FB"/>
    <w:rsid w:val="000B0BFA"/>
    <w:rsid w:val="000B194A"/>
    <w:rsid w:val="000B1BC1"/>
    <w:rsid w:val="000B2B5A"/>
    <w:rsid w:val="000B3002"/>
    <w:rsid w:val="000B393A"/>
    <w:rsid w:val="000B3DED"/>
    <w:rsid w:val="000B4594"/>
    <w:rsid w:val="000B45E5"/>
    <w:rsid w:val="000B48A9"/>
    <w:rsid w:val="000B4DDE"/>
    <w:rsid w:val="000B572D"/>
    <w:rsid w:val="000B5AC9"/>
    <w:rsid w:val="000B5B53"/>
    <w:rsid w:val="000B5BD6"/>
    <w:rsid w:val="000B5D70"/>
    <w:rsid w:val="000B5DB0"/>
    <w:rsid w:val="000B60B3"/>
    <w:rsid w:val="000B6230"/>
    <w:rsid w:val="000B6431"/>
    <w:rsid w:val="000B697D"/>
    <w:rsid w:val="000B7709"/>
    <w:rsid w:val="000B771B"/>
    <w:rsid w:val="000C0124"/>
    <w:rsid w:val="000C0E6F"/>
    <w:rsid w:val="000C160D"/>
    <w:rsid w:val="000C1611"/>
    <w:rsid w:val="000C189E"/>
    <w:rsid w:val="000C1CDB"/>
    <w:rsid w:val="000C1EB8"/>
    <w:rsid w:val="000C2328"/>
    <w:rsid w:val="000C26D8"/>
    <w:rsid w:val="000C29B5"/>
    <w:rsid w:val="000C3490"/>
    <w:rsid w:val="000C3C31"/>
    <w:rsid w:val="000C4289"/>
    <w:rsid w:val="000C4728"/>
    <w:rsid w:val="000C4C7A"/>
    <w:rsid w:val="000C55C9"/>
    <w:rsid w:val="000C6608"/>
    <w:rsid w:val="000C6624"/>
    <w:rsid w:val="000C695F"/>
    <w:rsid w:val="000C7086"/>
    <w:rsid w:val="000C74FA"/>
    <w:rsid w:val="000C7A5D"/>
    <w:rsid w:val="000C7AAF"/>
    <w:rsid w:val="000C7D37"/>
    <w:rsid w:val="000C7F42"/>
    <w:rsid w:val="000C7FA2"/>
    <w:rsid w:val="000D094E"/>
    <w:rsid w:val="000D099B"/>
    <w:rsid w:val="000D0BCC"/>
    <w:rsid w:val="000D12CC"/>
    <w:rsid w:val="000D13B1"/>
    <w:rsid w:val="000D24AB"/>
    <w:rsid w:val="000D25BF"/>
    <w:rsid w:val="000D27BB"/>
    <w:rsid w:val="000D2D7B"/>
    <w:rsid w:val="000D32C3"/>
    <w:rsid w:val="000D331B"/>
    <w:rsid w:val="000D3769"/>
    <w:rsid w:val="000D3852"/>
    <w:rsid w:val="000D44D5"/>
    <w:rsid w:val="000D47FA"/>
    <w:rsid w:val="000D4DED"/>
    <w:rsid w:val="000D501B"/>
    <w:rsid w:val="000D5033"/>
    <w:rsid w:val="000D6865"/>
    <w:rsid w:val="000D69A6"/>
    <w:rsid w:val="000D7488"/>
    <w:rsid w:val="000E0D85"/>
    <w:rsid w:val="000E17DE"/>
    <w:rsid w:val="000E1CE3"/>
    <w:rsid w:val="000E20DD"/>
    <w:rsid w:val="000E2AD6"/>
    <w:rsid w:val="000E2CB1"/>
    <w:rsid w:val="000E2CF7"/>
    <w:rsid w:val="000E325E"/>
    <w:rsid w:val="000E3283"/>
    <w:rsid w:val="000E334F"/>
    <w:rsid w:val="000E353A"/>
    <w:rsid w:val="000E35AE"/>
    <w:rsid w:val="000E363C"/>
    <w:rsid w:val="000E3BA3"/>
    <w:rsid w:val="000E41A9"/>
    <w:rsid w:val="000E426D"/>
    <w:rsid w:val="000E4364"/>
    <w:rsid w:val="000E4683"/>
    <w:rsid w:val="000E4DCC"/>
    <w:rsid w:val="000E4E92"/>
    <w:rsid w:val="000E52CC"/>
    <w:rsid w:val="000E61D2"/>
    <w:rsid w:val="000E6697"/>
    <w:rsid w:val="000E6C2F"/>
    <w:rsid w:val="000E76A0"/>
    <w:rsid w:val="000F03E0"/>
    <w:rsid w:val="000F05E1"/>
    <w:rsid w:val="000F0C2F"/>
    <w:rsid w:val="000F0C94"/>
    <w:rsid w:val="000F180A"/>
    <w:rsid w:val="000F22FF"/>
    <w:rsid w:val="000F265A"/>
    <w:rsid w:val="000F26E1"/>
    <w:rsid w:val="000F2F49"/>
    <w:rsid w:val="000F3037"/>
    <w:rsid w:val="000F34A9"/>
    <w:rsid w:val="000F3716"/>
    <w:rsid w:val="000F3BDF"/>
    <w:rsid w:val="000F3DF5"/>
    <w:rsid w:val="000F48E0"/>
    <w:rsid w:val="000F494D"/>
    <w:rsid w:val="000F55D2"/>
    <w:rsid w:val="000F59B3"/>
    <w:rsid w:val="000F5B4E"/>
    <w:rsid w:val="000F61E7"/>
    <w:rsid w:val="000F6382"/>
    <w:rsid w:val="000F65E7"/>
    <w:rsid w:val="000F7158"/>
    <w:rsid w:val="000F7BB7"/>
    <w:rsid w:val="000F7F26"/>
    <w:rsid w:val="001002CF"/>
    <w:rsid w:val="00100AD0"/>
    <w:rsid w:val="00100AD9"/>
    <w:rsid w:val="00100C07"/>
    <w:rsid w:val="00100E68"/>
    <w:rsid w:val="001011E7"/>
    <w:rsid w:val="0010130B"/>
    <w:rsid w:val="00101519"/>
    <w:rsid w:val="00101534"/>
    <w:rsid w:val="00101FD2"/>
    <w:rsid w:val="00102224"/>
    <w:rsid w:val="00102685"/>
    <w:rsid w:val="00102D36"/>
    <w:rsid w:val="0010300A"/>
    <w:rsid w:val="001031B3"/>
    <w:rsid w:val="001031B7"/>
    <w:rsid w:val="001036A6"/>
    <w:rsid w:val="00103A87"/>
    <w:rsid w:val="00103DD6"/>
    <w:rsid w:val="00103ED3"/>
    <w:rsid w:val="00103EEF"/>
    <w:rsid w:val="001048BA"/>
    <w:rsid w:val="0010497F"/>
    <w:rsid w:val="00104C98"/>
    <w:rsid w:val="00104DE5"/>
    <w:rsid w:val="0010526A"/>
    <w:rsid w:val="001055E6"/>
    <w:rsid w:val="0010587D"/>
    <w:rsid w:val="00105AB1"/>
    <w:rsid w:val="00105C2B"/>
    <w:rsid w:val="0010721D"/>
    <w:rsid w:val="001072BE"/>
    <w:rsid w:val="00107852"/>
    <w:rsid w:val="00107FB9"/>
    <w:rsid w:val="0011056D"/>
    <w:rsid w:val="00110674"/>
    <w:rsid w:val="00110AF3"/>
    <w:rsid w:val="00110C75"/>
    <w:rsid w:val="0011113C"/>
    <w:rsid w:val="00111357"/>
    <w:rsid w:val="001116E5"/>
    <w:rsid w:val="001118A8"/>
    <w:rsid w:val="0011227D"/>
    <w:rsid w:val="001126A8"/>
    <w:rsid w:val="001128E0"/>
    <w:rsid w:val="001128FC"/>
    <w:rsid w:val="0011390B"/>
    <w:rsid w:val="00113F61"/>
    <w:rsid w:val="001143E9"/>
    <w:rsid w:val="0011467E"/>
    <w:rsid w:val="001146DB"/>
    <w:rsid w:val="00114BD0"/>
    <w:rsid w:val="00114CA2"/>
    <w:rsid w:val="00114F68"/>
    <w:rsid w:val="00115037"/>
    <w:rsid w:val="001158A2"/>
    <w:rsid w:val="001160A0"/>
    <w:rsid w:val="0011628F"/>
    <w:rsid w:val="001168FB"/>
    <w:rsid w:val="00116C60"/>
    <w:rsid w:val="00117245"/>
    <w:rsid w:val="00117B6F"/>
    <w:rsid w:val="00117C54"/>
    <w:rsid w:val="00117F62"/>
    <w:rsid w:val="00120249"/>
    <w:rsid w:val="0012045C"/>
    <w:rsid w:val="001204EE"/>
    <w:rsid w:val="001206FC"/>
    <w:rsid w:val="00120A14"/>
    <w:rsid w:val="00120E8F"/>
    <w:rsid w:val="00120EA7"/>
    <w:rsid w:val="00120F4B"/>
    <w:rsid w:val="0012136D"/>
    <w:rsid w:val="001229B1"/>
    <w:rsid w:val="00122FBE"/>
    <w:rsid w:val="00123510"/>
    <w:rsid w:val="001235E1"/>
    <w:rsid w:val="001239DC"/>
    <w:rsid w:val="00123C45"/>
    <w:rsid w:val="00123D2C"/>
    <w:rsid w:val="0012473C"/>
    <w:rsid w:val="00124B07"/>
    <w:rsid w:val="00124BCC"/>
    <w:rsid w:val="001250FD"/>
    <w:rsid w:val="001251CA"/>
    <w:rsid w:val="00125331"/>
    <w:rsid w:val="00125551"/>
    <w:rsid w:val="0012558D"/>
    <w:rsid w:val="00125C69"/>
    <w:rsid w:val="001263EB"/>
    <w:rsid w:val="0012681B"/>
    <w:rsid w:val="00126EFE"/>
    <w:rsid w:val="00127103"/>
    <w:rsid w:val="001273CB"/>
    <w:rsid w:val="00127748"/>
    <w:rsid w:val="00127B3D"/>
    <w:rsid w:val="00127E59"/>
    <w:rsid w:val="001302AE"/>
    <w:rsid w:val="001306FC"/>
    <w:rsid w:val="00130EAA"/>
    <w:rsid w:val="00130FC6"/>
    <w:rsid w:val="00131311"/>
    <w:rsid w:val="0013154C"/>
    <w:rsid w:val="001316F1"/>
    <w:rsid w:val="0013204A"/>
    <w:rsid w:val="00132875"/>
    <w:rsid w:val="001329D5"/>
    <w:rsid w:val="00132A98"/>
    <w:rsid w:val="00132BAD"/>
    <w:rsid w:val="0013334F"/>
    <w:rsid w:val="00133490"/>
    <w:rsid w:val="00134B7A"/>
    <w:rsid w:val="00135CC1"/>
    <w:rsid w:val="00136487"/>
    <w:rsid w:val="0013679B"/>
    <w:rsid w:val="00136A61"/>
    <w:rsid w:val="001371BA"/>
    <w:rsid w:val="00137C26"/>
    <w:rsid w:val="00140307"/>
    <w:rsid w:val="0014059F"/>
    <w:rsid w:val="001407A0"/>
    <w:rsid w:val="00141037"/>
    <w:rsid w:val="001414A3"/>
    <w:rsid w:val="001415A6"/>
    <w:rsid w:val="001415F6"/>
    <w:rsid w:val="001416DF"/>
    <w:rsid w:val="00142212"/>
    <w:rsid w:val="00142266"/>
    <w:rsid w:val="0014233F"/>
    <w:rsid w:val="00143396"/>
    <w:rsid w:val="00143B6E"/>
    <w:rsid w:val="00143CB4"/>
    <w:rsid w:val="00143E4D"/>
    <w:rsid w:val="001449DF"/>
    <w:rsid w:val="00144D5C"/>
    <w:rsid w:val="00145AB1"/>
    <w:rsid w:val="00146202"/>
    <w:rsid w:val="00146993"/>
    <w:rsid w:val="00146AFC"/>
    <w:rsid w:val="00146C5F"/>
    <w:rsid w:val="00147456"/>
    <w:rsid w:val="00147CA9"/>
    <w:rsid w:val="00147F6D"/>
    <w:rsid w:val="00147F79"/>
    <w:rsid w:val="0015002B"/>
    <w:rsid w:val="00150215"/>
    <w:rsid w:val="001502AE"/>
    <w:rsid w:val="00150B9F"/>
    <w:rsid w:val="00150D74"/>
    <w:rsid w:val="00150FB5"/>
    <w:rsid w:val="001524DF"/>
    <w:rsid w:val="0015263D"/>
    <w:rsid w:val="00152DDD"/>
    <w:rsid w:val="00152F97"/>
    <w:rsid w:val="00153240"/>
    <w:rsid w:val="001535AA"/>
    <w:rsid w:val="001539DF"/>
    <w:rsid w:val="00153A2E"/>
    <w:rsid w:val="00153CED"/>
    <w:rsid w:val="001540C2"/>
    <w:rsid w:val="00154F12"/>
    <w:rsid w:val="00155D82"/>
    <w:rsid w:val="0015683C"/>
    <w:rsid w:val="00156D10"/>
    <w:rsid w:val="001571FF"/>
    <w:rsid w:val="0015721D"/>
    <w:rsid w:val="00157224"/>
    <w:rsid w:val="0015741E"/>
    <w:rsid w:val="001578B4"/>
    <w:rsid w:val="001579E6"/>
    <w:rsid w:val="00157AEB"/>
    <w:rsid w:val="00157F93"/>
    <w:rsid w:val="00161891"/>
    <w:rsid w:val="00161AF9"/>
    <w:rsid w:val="0016213E"/>
    <w:rsid w:val="001621B3"/>
    <w:rsid w:val="00162248"/>
    <w:rsid w:val="001629CA"/>
    <w:rsid w:val="00162B64"/>
    <w:rsid w:val="0016305C"/>
    <w:rsid w:val="001631E3"/>
    <w:rsid w:val="00163E82"/>
    <w:rsid w:val="00163FD6"/>
    <w:rsid w:val="0016412E"/>
    <w:rsid w:val="001642D5"/>
    <w:rsid w:val="00164819"/>
    <w:rsid w:val="00164C0A"/>
    <w:rsid w:val="00164F12"/>
    <w:rsid w:val="00165A48"/>
    <w:rsid w:val="00166260"/>
    <w:rsid w:val="00167243"/>
    <w:rsid w:val="0016750F"/>
    <w:rsid w:val="00167F39"/>
    <w:rsid w:val="001702DD"/>
    <w:rsid w:val="00170494"/>
    <w:rsid w:val="00170BDE"/>
    <w:rsid w:val="001711CC"/>
    <w:rsid w:val="0017137C"/>
    <w:rsid w:val="00171503"/>
    <w:rsid w:val="00171E82"/>
    <w:rsid w:val="00171F50"/>
    <w:rsid w:val="00172746"/>
    <w:rsid w:val="00172F16"/>
    <w:rsid w:val="00173A1D"/>
    <w:rsid w:val="00173DD1"/>
    <w:rsid w:val="00174312"/>
    <w:rsid w:val="001749C7"/>
    <w:rsid w:val="00175220"/>
    <w:rsid w:val="0017535F"/>
    <w:rsid w:val="001758E1"/>
    <w:rsid w:val="00175A7E"/>
    <w:rsid w:val="00175E8E"/>
    <w:rsid w:val="00176100"/>
    <w:rsid w:val="00176402"/>
    <w:rsid w:val="00176469"/>
    <w:rsid w:val="001767F3"/>
    <w:rsid w:val="00176B30"/>
    <w:rsid w:val="00176E12"/>
    <w:rsid w:val="00177780"/>
    <w:rsid w:val="00177DB2"/>
    <w:rsid w:val="0018002C"/>
    <w:rsid w:val="00181F73"/>
    <w:rsid w:val="00181F94"/>
    <w:rsid w:val="00182253"/>
    <w:rsid w:val="001826B1"/>
    <w:rsid w:val="00182860"/>
    <w:rsid w:val="00182E44"/>
    <w:rsid w:val="00183325"/>
    <w:rsid w:val="00183754"/>
    <w:rsid w:val="00183B36"/>
    <w:rsid w:val="00183B89"/>
    <w:rsid w:val="001840AD"/>
    <w:rsid w:val="00184268"/>
    <w:rsid w:val="00184384"/>
    <w:rsid w:val="001845F6"/>
    <w:rsid w:val="00184F7D"/>
    <w:rsid w:val="001852A9"/>
    <w:rsid w:val="00185455"/>
    <w:rsid w:val="00185DF2"/>
    <w:rsid w:val="00186AC5"/>
    <w:rsid w:val="00186F53"/>
    <w:rsid w:val="00186FCD"/>
    <w:rsid w:val="0018721E"/>
    <w:rsid w:val="00187254"/>
    <w:rsid w:val="00187564"/>
    <w:rsid w:val="001900B1"/>
    <w:rsid w:val="001905C0"/>
    <w:rsid w:val="00190B67"/>
    <w:rsid w:val="00190BBE"/>
    <w:rsid w:val="00190BDA"/>
    <w:rsid w:val="00191284"/>
    <w:rsid w:val="00191329"/>
    <w:rsid w:val="00191445"/>
    <w:rsid w:val="00191712"/>
    <w:rsid w:val="00191C4E"/>
    <w:rsid w:val="00192133"/>
    <w:rsid w:val="0019265A"/>
    <w:rsid w:val="00192934"/>
    <w:rsid w:val="00193652"/>
    <w:rsid w:val="001937A3"/>
    <w:rsid w:val="001946DE"/>
    <w:rsid w:val="00194AAF"/>
    <w:rsid w:val="001957C6"/>
    <w:rsid w:val="00195920"/>
    <w:rsid w:val="001959D7"/>
    <w:rsid w:val="00195F15"/>
    <w:rsid w:val="00196B97"/>
    <w:rsid w:val="00196EE5"/>
    <w:rsid w:val="00197FE9"/>
    <w:rsid w:val="001A0DD9"/>
    <w:rsid w:val="001A1538"/>
    <w:rsid w:val="001A1942"/>
    <w:rsid w:val="001A2665"/>
    <w:rsid w:val="001A3250"/>
    <w:rsid w:val="001A3504"/>
    <w:rsid w:val="001A3F9A"/>
    <w:rsid w:val="001A4082"/>
    <w:rsid w:val="001A41AC"/>
    <w:rsid w:val="001A5C66"/>
    <w:rsid w:val="001A604A"/>
    <w:rsid w:val="001A77F6"/>
    <w:rsid w:val="001B09CA"/>
    <w:rsid w:val="001B0F84"/>
    <w:rsid w:val="001B1497"/>
    <w:rsid w:val="001B15F6"/>
    <w:rsid w:val="001B1C4A"/>
    <w:rsid w:val="001B1D26"/>
    <w:rsid w:val="001B22E6"/>
    <w:rsid w:val="001B28D2"/>
    <w:rsid w:val="001B2F11"/>
    <w:rsid w:val="001B3038"/>
    <w:rsid w:val="001B332A"/>
    <w:rsid w:val="001B36E3"/>
    <w:rsid w:val="001B3D0C"/>
    <w:rsid w:val="001B4C5E"/>
    <w:rsid w:val="001B5156"/>
    <w:rsid w:val="001B54C5"/>
    <w:rsid w:val="001B60FB"/>
    <w:rsid w:val="001B6109"/>
    <w:rsid w:val="001B6A1E"/>
    <w:rsid w:val="001B7012"/>
    <w:rsid w:val="001B7AEB"/>
    <w:rsid w:val="001C08EB"/>
    <w:rsid w:val="001C0F3C"/>
    <w:rsid w:val="001C11DD"/>
    <w:rsid w:val="001C1419"/>
    <w:rsid w:val="001C1747"/>
    <w:rsid w:val="001C181C"/>
    <w:rsid w:val="001C1BD5"/>
    <w:rsid w:val="001C2C4F"/>
    <w:rsid w:val="001C2C99"/>
    <w:rsid w:val="001C3642"/>
    <w:rsid w:val="001C47A1"/>
    <w:rsid w:val="001C5898"/>
    <w:rsid w:val="001C59EF"/>
    <w:rsid w:val="001C5E87"/>
    <w:rsid w:val="001C6080"/>
    <w:rsid w:val="001C6D0F"/>
    <w:rsid w:val="001C7217"/>
    <w:rsid w:val="001C7A7E"/>
    <w:rsid w:val="001D01DA"/>
    <w:rsid w:val="001D07EF"/>
    <w:rsid w:val="001D0D8E"/>
    <w:rsid w:val="001D10FB"/>
    <w:rsid w:val="001D11D4"/>
    <w:rsid w:val="001D176C"/>
    <w:rsid w:val="001D1D8A"/>
    <w:rsid w:val="001D1E1B"/>
    <w:rsid w:val="001D22F7"/>
    <w:rsid w:val="001D29F0"/>
    <w:rsid w:val="001D370C"/>
    <w:rsid w:val="001D3841"/>
    <w:rsid w:val="001D3DEB"/>
    <w:rsid w:val="001D3EBA"/>
    <w:rsid w:val="001D45B7"/>
    <w:rsid w:val="001D469F"/>
    <w:rsid w:val="001D4F2A"/>
    <w:rsid w:val="001D52E5"/>
    <w:rsid w:val="001D5BBA"/>
    <w:rsid w:val="001D6366"/>
    <w:rsid w:val="001D6B91"/>
    <w:rsid w:val="001D6FE4"/>
    <w:rsid w:val="001D735C"/>
    <w:rsid w:val="001D7B51"/>
    <w:rsid w:val="001E0457"/>
    <w:rsid w:val="001E056A"/>
    <w:rsid w:val="001E0757"/>
    <w:rsid w:val="001E13FB"/>
    <w:rsid w:val="001E26A9"/>
    <w:rsid w:val="001E2CCD"/>
    <w:rsid w:val="001E32C6"/>
    <w:rsid w:val="001E3B25"/>
    <w:rsid w:val="001E4055"/>
    <w:rsid w:val="001E4547"/>
    <w:rsid w:val="001E4FCD"/>
    <w:rsid w:val="001E5708"/>
    <w:rsid w:val="001E57FC"/>
    <w:rsid w:val="001E5BA6"/>
    <w:rsid w:val="001E5E54"/>
    <w:rsid w:val="001E643F"/>
    <w:rsid w:val="001E6A84"/>
    <w:rsid w:val="001E7059"/>
    <w:rsid w:val="001E7166"/>
    <w:rsid w:val="001E71EC"/>
    <w:rsid w:val="001E730E"/>
    <w:rsid w:val="001E7632"/>
    <w:rsid w:val="001E78C1"/>
    <w:rsid w:val="001E7B8F"/>
    <w:rsid w:val="001E7E8B"/>
    <w:rsid w:val="001E7F63"/>
    <w:rsid w:val="001F0525"/>
    <w:rsid w:val="001F05AB"/>
    <w:rsid w:val="001F0996"/>
    <w:rsid w:val="001F09F2"/>
    <w:rsid w:val="001F0D0F"/>
    <w:rsid w:val="001F0F10"/>
    <w:rsid w:val="001F17DB"/>
    <w:rsid w:val="001F2749"/>
    <w:rsid w:val="001F278D"/>
    <w:rsid w:val="001F2F82"/>
    <w:rsid w:val="001F3870"/>
    <w:rsid w:val="001F3B44"/>
    <w:rsid w:val="001F4664"/>
    <w:rsid w:val="001F495C"/>
    <w:rsid w:val="001F4A51"/>
    <w:rsid w:val="001F4BD7"/>
    <w:rsid w:val="001F5566"/>
    <w:rsid w:val="001F6B09"/>
    <w:rsid w:val="001F72C1"/>
    <w:rsid w:val="001F75A8"/>
    <w:rsid w:val="002001B2"/>
    <w:rsid w:val="0020045A"/>
    <w:rsid w:val="00200792"/>
    <w:rsid w:val="00200C9E"/>
    <w:rsid w:val="00200D1D"/>
    <w:rsid w:val="0020130B"/>
    <w:rsid w:val="00201352"/>
    <w:rsid w:val="0020160A"/>
    <w:rsid w:val="00201AF5"/>
    <w:rsid w:val="00202244"/>
    <w:rsid w:val="002025B2"/>
    <w:rsid w:val="002028B9"/>
    <w:rsid w:val="00202E63"/>
    <w:rsid w:val="00202E7C"/>
    <w:rsid w:val="002031E2"/>
    <w:rsid w:val="00203279"/>
    <w:rsid w:val="002034FF"/>
    <w:rsid w:val="002037DD"/>
    <w:rsid w:val="00204316"/>
    <w:rsid w:val="00204534"/>
    <w:rsid w:val="00205871"/>
    <w:rsid w:val="00205B0C"/>
    <w:rsid w:val="00205D5C"/>
    <w:rsid w:val="00206350"/>
    <w:rsid w:val="002106E1"/>
    <w:rsid w:val="00210801"/>
    <w:rsid w:val="00210A27"/>
    <w:rsid w:val="0021125D"/>
    <w:rsid w:val="002116A2"/>
    <w:rsid w:val="00212A33"/>
    <w:rsid w:val="00213686"/>
    <w:rsid w:val="00213F54"/>
    <w:rsid w:val="00214B0C"/>
    <w:rsid w:val="00215026"/>
    <w:rsid w:val="00215250"/>
    <w:rsid w:val="0021540C"/>
    <w:rsid w:val="0021593F"/>
    <w:rsid w:val="002168EA"/>
    <w:rsid w:val="00216962"/>
    <w:rsid w:val="00217BA1"/>
    <w:rsid w:val="0022009C"/>
    <w:rsid w:val="002200AD"/>
    <w:rsid w:val="002203AE"/>
    <w:rsid w:val="00220BA7"/>
    <w:rsid w:val="00220DE1"/>
    <w:rsid w:val="00221732"/>
    <w:rsid w:val="00221DCA"/>
    <w:rsid w:val="00221E02"/>
    <w:rsid w:val="002227B4"/>
    <w:rsid w:val="00223036"/>
    <w:rsid w:val="00223AB3"/>
    <w:rsid w:val="00223F9C"/>
    <w:rsid w:val="00224546"/>
    <w:rsid w:val="0022528E"/>
    <w:rsid w:val="002255C6"/>
    <w:rsid w:val="002256F7"/>
    <w:rsid w:val="002261AE"/>
    <w:rsid w:val="002265BE"/>
    <w:rsid w:val="002266BC"/>
    <w:rsid w:val="00226776"/>
    <w:rsid w:val="00226B31"/>
    <w:rsid w:val="00226B3A"/>
    <w:rsid w:val="002276F5"/>
    <w:rsid w:val="002277E4"/>
    <w:rsid w:val="00227C2C"/>
    <w:rsid w:val="00227DAF"/>
    <w:rsid w:val="002302F7"/>
    <w:rsid w:val="002302F9"/>
    <w:rsid w:val="0023051E"/>
    <w:rsid w:val="002307B9"/>
    <w:rsid w:val="00231315"/>
    <w:rsid w:val="00231799"/>
    <w:rsid w:val="0023220D"/>
    <w:rsid w:val="002324A0"/>
    <w:rsid w:val="0023287D"/>
    <w:rsid w:val="002329C2"/>
    <w:rsid w:val="00232DE0"/>
    <w:rsid w:val="0023311E"/>
    <w:rsid w:val="00233A07"/>
    <w:rsid w:val="002342B7"/>
    <w:rsid w:val="00234489"/>
    <w:rsid w:val="002348DC"/>
    <w:rsid w:val="00235167"/>
    <w:rsid w:val="00235279"/>
    <w:rsid w:val="0023538B"/>
    <w:rsid w:val="0023539B"/>
    <w:rsid w:val="00235F3E"/>
    <w:rsid w:val="00236353"/>
    <w:rsid w:val="00236684"/>
    <w:rsid w:val="002369BE"/>
    <w:rsid w:val="00236B13"/>
    <w:rsid w:val="00236B7D"/>
    <w:rsid w:val="00237896"/>
    <w:rsid w:val="002403DB"/>
    <w:rsid w:val="0024050D"/>
    <w:rsid w:val="002406D6"/>
    <w:rsid w:val="00240752"/>
    <w:rsid w:val="00240DAF"/>
    <w:rsid w:val="0024164C"/>
    <w:rsid w:val="0024168A"/>
    <w:rsid w:val="0024190F"/>
    <w:rsid w:val="00241FAC"/>
    <w:rsid w:val="002420FF"/>
    <w:rsid w:val="002423FD"/>
    <w:rsid w:val="002424FE"/>
    <w:rsid w:val="00243105"/>
    <w:rsid w:val="002432E8"/>
    <w:rsid w:val="002436C7"/>
    <w:rsid w:val="00243F2B"/>
    <w:rsid w:val="002446B5"/>
    <w:rsid w:val="0024630C"/>
    <w:rsid w:val="00246749"/>
    <w:rsid w:val="00246BDB"/>
    <w:rsid w:val="00250035"/>
    <w:rsid w:val="002504A7"/>
    <w:rsid w:val="0025072E"/>
    <w:rsid w:val="002507D5"/>
    <w:rsid w:val="00250D86"/>
    <w:rsid w:val="00251132"/>
    <w:rsid w:val="00251351"/>
    <w:rsid w:val="00251B6D"/>
    <w:rsid w:val="00251DAB"/>
    <w:rsid w:val="002522C2"/>
    <w:rsid w:val="00252B5E"/>
    <w:rsid w:val="00252BA5"/>
    <w:rsid w:val="00252BC4"/>
    <w:rsid w:val="0025303C"/>
    <w:rsid w:val="002532CD"/>
    <w:rsid w:val="002537E4"/>
    <w:rsid w:val="00253A56"/>
    <w:rsid w:val="00253AB7"/>
    <w:rsid w:val="00254286"/>
    <w:rsid w:val="002542F6"/>
    <w:rsid w:val="00254A92"/>
    <w:rsid w:val="00254BB6"/>
    <w:rsid w:val="002552CF"/>
    <w:rsid w:val="0025532D"/>
    <w:rsid w:val="002558C1"/>
    <w:rsid w:val="00255ED6"/>
    <w:rsid w:val="0025686C"/>
    <w:rsid w:val="00256BC5"/>
    <w:rsid w:val="002571B8"/>
    <w:rsid w:val="00257805"/>
    <w:rsid w:val="00257B4D"/>
    <w:rsid w:val="00257CDE"/>
    <w:rsid w:val="00257E22"/>
    <w:rsid w:val="00257F1A"/>
    <w:rsid w:val="002625B1"/>
    <w:rsid w:val="0026267C"/>
    <w:rsid w:val="00262C70"/>
    <w:rsid w:val="00262FB9"/>
    <w:rsid w:val="002636B7"/>
    <w:rsid w:val="002639F9"/>
    <w:rsid w:val="00263CBC"/>
    <w:rsid w:val="00263F56"/>
    <w:rsid w:val="00263F5E"/>
    <w:rsid w:val="00263FA2"/>
    <w:rsid w:val="002643F7"/>
    <w:rsid w:val="002647C3"/>
    <w:rsid w:val="00264DF5"/>
    <w:rsid w:val="002652D6"/>
    <w:rsid w:val="0026563D"/>
    <w:rsid w:val="00265AB0"/>
    <w:rsid w:val="00265D85"/>
    <w:rsid w:val="00266100"/>
    <w:rsid w:val="0026623F"/>
    <w:rsid w:val="00266472"/>
    <w:rsid w:val="00266A3D"/>
    <w:rsid w:val="00266CB6"/>
    <w:rsid w:val="00267437"/>
    <w:rsid w:val="0027012B"/>
    <w:rsid w:val="0027040D"/>
    <w:rsid w:val="00271675"/>
    <w:rsid w:val="00271AC8"/>
    <w:rsid w:val="0027215F"/>
    <w:rsid w:val="00272594"/>
    <w:rsid w:val="002728AF"/>
    <w:rsid w:val="00273A64"/>
    <w:rsid w:val="00273EC6"/>
    <w:rsid w:val="00274A86"/>
    <w:rsid w:val="00274BD0"/>
    <w:rsid w:val="002752EE"/>
    <w:rsid w:val="002753DC"/>
    <w:rsid w:val="002756BE"/>
    <w:rsid w:val="00275819"/>
    <w:rsid w:val="00275A30"/>
    <w:rsid w:val="00275A73"/>
    <w:rsid w:val="00275E16"/>
    <w:rsid w:val="00276074"/>
    <w:rsid w:val="002767D6"/>
    <w:rsid w:val="00277145"/>
    <w:rsid w:val="00277D7C"/>
    <w:rsid w:val="002800AE"/>
    <w:rsid w:val="002801A0"/>
    <w:rsid w:val="002804FA"/>
    <w:rsid w:val="00280BBE"/>
    <w:rsid w:val="00280C95"/>
    <w:rsid w:val="00280F23"/>
    <w:rsid w:val="00281262"/>
    <w:rsid w:val="002812AE"/>
    <w:rsid w:val="002812FE"/>
    <w:rsid w:val="00281CE6"/>
    <w:rsid w:val="00281FE6"/>
    <w:rsid w:val="00282C48"/>
    <w:rsid w:val="00283254"/>
    <w:rsid w:val="00283A2B"/>
    <w:rsid w:val="00284571"/>
    <w:rsid w:val="0028487F"/>
    <w:rsid w:val="00284B77"/>
    <w:rsid w:val="00284E7D"/>
    <w:rsid w:val="00285144"/>
    <w:rsid w:val="00285331"/>
    <w:rsid w:val="0028580D"/>
    <w:rsid w:val="00285A0C"/>
    <w:rsid w:val="002862F4"/>
    <w:rsid w:val="00286525"/>
    <w:rsid w:val="00286DC0"/>
    <w:rsid w:val="002878B7"/>
    <w:rsid w:val="00290C4F"/>
    <w:rsid w:val="00290EAA"/>
    <w:rsid w:val="002912B8"/>
    <w:rsid w:val="00291C94"/>
    <w:rsid w:val="00292500"/>
    <w:rsid w:val="00292C17"/>
    <w:rsid w:val="00292E39"/>
    <w:rsid w:val="00293449"/>
    <w:rsid w:val="00293488"/>
    <w:rsid w:val="00293661"/>
    <w:rsid w:val="00293EA2"/>
    <w:rsid w:val="00294062"/>
    <w:rsid w:val="0029411C"/>
    <w:rsid w:val="002949F2"/>
    <w:rsid w:val="002956BD"/>
    <w:rsid w:val="00295DBC"/>
    <w:rsid w:val="00295FFC"/>
    <w:rsid w:val="002966C1"/>
    <w:rsid w:val="0029712D"/>
    <w:rsid w:val="0029732D"/>
    <w:rsid w:val="0029772C"/>
    <w:rsid w:val="00297F59"/>
    <w:rsid w:val="00297F73"/>
    <w:rsid w:val="00297FF0"/>
    <w:rsid w:val="002A094E"/>
    <w:rsid w:val="002A0D0B"/>
    <w:rsid w:val="002A0DC8"/>
    <w:rsid w:val="002A0F75"/>
    <w:rsid w:val="002A10CB"/>
    <w:rsid w:val="002A1626"/>
    <w:rsid w:val="002A1A21"/>
    <w:rsid w:val="002A20E0"/>
    <w:rsid w:val="002A2123"/>
    <w:rsid w:val="002A216E"/>
    <w:rsid w:val="002A249C"/>
    <w:rsid w:val="002A351A"/>
    <w:rsid w:val="002A39E7"/>
    <w:rsid w:val="002A40F4"/>
    <w:rsid w:val="002A452D"/>
    <w:rsid w:val="002A477D"/>
    <w:rsid w:val="002A496D"/>
    <w:rsid w:val="002A4AED"/>
    <w:rsid w:val="002A4C62"/>
    <w:rsid w:val="002A5DA1"/>
    <w:rsid w:val="002A5F66"/>
    <w:rsid w:val="002A5FB0"/>
    <w:rsid w:val="002A6236"/>
    <w:rsid w:val="002A6841"/>
    <w:rsid w:val="002A69BD"/>
    <w:rsid w:val="002A6D09"/>
    <w:rsid w:val="002A7168"/>
    <w:rsid w:val="002A747D"/>
    <w:rsid w:val="002A76A7"/>
    <w:rsid w:val="002A78D6"/>
    <w:rsid w:val="002A7AB1"/>
    <w:rsid w:val="002A7E8A"/>
    <w:rsid w:val="002A7F9B"/>
    <w:rsid w:val="002B042F"/>
    <w:rsid w:val="002B0CBE"/>
    <w:rsid w:val="002B0D30"/>
    <w:rsid w:val="002B13A9"/>
    <w:rsid w:val="002B142B"/>
    <w:rsid w:val="002B1792"/>
    <w:rsid w:val="002B18FC"/>
    <w:rsid w:val="002B212D"/>
    <w:rsid w:val="002B2ADE"/>
    <w:rsid w:val="002B32EC"/>
    <w:rsid w:val="002B42E0"/>
    <w:rsid w:val="002B4FE1"/>
    <w:rsid w:val="002B5548"/>
    <w:rsid w:val="002B5767"/>
    <w:rsid w:val="002B58EC"/>
    <w:rsid w:val="002B5979"/>
    <w:rsid w:val="002B5AF6"/>
    <w:rsid w:val="002B5B51"/>
    <w:rsid w:val="002B5F3D"/>
    <w:rsid w:val="002B64D4"/>
    <w:rsid w:val="002B6536"/>
    <w:rsid w:val="002B6579"/>
    <w:rsid w:val="002B6A76"/>
    <w:rsid w:val="002B6A96"/>
    <w:rsid w:val="002B6B08"/>
    <w:rsid w:val="002B7E65"/>
    <w:rsid w:val="002B7F95"/>
    <w:rsid w:val="002C0CA0"/>
    <w:rsid w:val="002C109F"/>
    <w:rsid w:val="002C11EE"/>
    <w:rsid w:val="002C1DCF"/>
    <w:rsid w:val="002C24E6"/>
    <w:rsid w:val="002C254E"/>
    <w:rsid w:val="002C329E"/>
    <w:rsid w:val="002C336C"/>
    <w:rsid w:val="002C35E4"/>
    <w:rsid w:val="002C37C1"/>
    <w:rsid w:val="002C3C8F"/>
    <w:rsid w:val="002C3F82"/>
    <w:rsid w:val="002C428D"/>
    <w:rsid w:val="002C45D0"/>
    <w:rsid w:val="002C4749"/>
    <w:rsid w:val="002C492B"/>
    <w:rsid w:val="002C4B26"/>
    <w:rsid w:val="002C4E93"/>
    <w:rsid w:val="002C4FD7"/>
    <w:rsid w:val="002C4FE8"/>
    <w:rsid w:val="002C520F"/>
    <w:rsid w:val="002C5418"/>
    <w:rsid w:val="002C544D"/>
    <w:rsid w:val="002C5DA3"/>
    <w:rsid w:val="002C6EA1"/>
    <w:rsid w:val="002C75F0"/>
    <w:rsid w:val="002C774C"/>
    <w:rsid w:val="002C798C"/>
    <w:rsid w:val="002C7C95"/>
    <w:rsid w:val="002C7E38"/>
    <w:rsid w:val="002D06C7"/>
    <w:rsid w:val="002D0DB5"/>
    <w:rsid w:val="002D1D9B"/>
    <w:rsid w:val="002D2A78"/>
    <w:rsid w:val="002D31E4"/>
    <w:rsid w:val="002D339F"/>
    <w:rsid w:val="002D41DE"/>
    <w:rsid w:val="002D423B"/>
    <w:rsid w:val="002D4371"/>
    <w:rsid w:val="002D494C"/>
    <w:rsid w:val="002D55BA"/>
    <w:rsid w:val="002D5E88"/>
    <w:rsid w:val="002D6D54"/>
    <w:rsid w:val="002D6EAA"/>
    <w:rsid w:val="002E012E"/>
    <w:rsid w:val="002E0228"/>
    <w:rsid w:val="002E07A2"/>
    <w:rsid w:val="002E0E48"/>
    <w:rsid w:val="002E133B"/>
    <w:rsid w:val="002E22D0"/>
    <w:rsid w:val="002E23F5"/>
    <w:rsid w:val="002E2418"/>
    <w:rsid w:val="002E3228"/>
    <w:rsid w:val="002E37B1"/>
    <w:rsid w:val="002E43E0"/>
    <w:rsid w:val="002E454F"/>
    <w:rsid w:val="002E50D4"/>
    <w:rsid w:val="002E52D3"/>
    <w:rsid w:val="002E5983"/>
    <w:rsid w:val="002E6392"/>
    <w:rsid w:val="002E64C5"/>
    <w:rsid w:val="002E68CF"/>
    <w:rsid w:val="002E6DFF"/>
    <w:rsid w:val="002E6F6B"/>
    <w:rsid w:val="002E7086"/>
    <w:rsid w:val="002E784C"/>
    <w:rsid w:val="002E798D"/>
    <w:rsid w:val="002F04F2"/>
    <w:rsid w:val="002F07A8"/>
    <w:rsid w:val="002F07B2"/>
    <w:rsid w:val="002F0AFA"/>
    <w:rsid w:val="002F0F27"/>
    <w:rsid w:val="002F10B7"/>
    <w:rsid w:val="002F1EE5"/>
    <w:rsid w:val="002F2165"/>
    <w:rsid w:val="002F2D8B"/>
    <w:rsid w:val="002F2F89"/>
    <w:rsid w:val="002F34A7"/>
    <w:rsid w:val="002F3D1B"/>
    <w:rsid w:val="002F42B5"/>
    <w:rsid w:val="002F4A61"/>
    <w:rsid w:val="002F4A73"/>
    <w:rsid w:val="002F513A"/>
    <w:rsid w:val="002F5868"/>
    <w:rsid w:val="002F59D3"/>
    <w:rsid w:val="002F5A66"/>
    <w:rsid w:val="002F6165"/>
    <w:rsid w:val="002F61F3"/>
    <w:rsid w:val="002F6FA4"/>
    <w:rsid w:val="002F720A"/>
    <w:rsid w:val="002F7320"/>
    <w:rsid w:val="002F79B0"/>
    <w:rsid w:val="002F7A71"/>
    <w:rsid w:val="002F7D0C"/>
    <w:rsid w:val="003002F1"/>
    <w:rsid w:val="003006D5"/>
    <w:rsid w:val="00300761"/>
    <w:rsid w:val="00300893"/>
    <w:rsid w:val="003013DC"/>
    <w:rsid w:val="00301814"/>
    <w:rsid w:val="00301A21"/>
    <w:rsid w:val="00302139"/>
    <w:rsid w:val="003021D8"/>
    <w:rsid w:val="00302582"/>
    <w:rsid w:val="00302A9A"/>
    <w:rsid w:val="00302BC7"/>
    <w:rsid w:val="00302CA8"/>
    <w:rsid w:val="00302E4A"/>
    <w:rsid w:val="00302E6C"/>
    <w:rsid w:val="00303092"/>
    <w:rsid w:val="003034A0"/>
    <w:rsid w:val="00303592"/>
    <w:rsid w:val="003036CF"/>
    <w:rsid w:val="003036E6"/>
    <w:rsid w:val="00303965"/>
    <w:rsid w:val="00303E1A"/>
    <w:rsid w:val="00304F03"/>
    <w:rsid w:val="00304FB2"/>
    <w:rsid w:val="00305567"/>
    <w:rsid w:val="00305689"/>
    <w:rsid w:val="003057D3"/>
    <w:rsid w:val="003067FF"/>
    <w:rsid w:val="0030684A"/>
    <w:rsid w:val="0030685B"/>
    <w:rsid w:val="003073E8"/>
    <w:rsid w:val="003076F9"/>
    <w:rsid w:val="00307DC8"/>
    <w:rsid w:val="00307FCC"/>
    <w:rsid w:val="003117AC"/>
    <w:rsid w:val="003117BE"/>
    <w:rsid w:val="003117FE"/>
    <w:rsid w:val="00312656"/>
    <w:rsid w:val="0031298C"/>
    <w:rsid w:val="00312D07"/>
    <w:rsid w:val="00312E2A"/>
    <w:rsid w:val="00313735"/>
    <w:rsid w:val="00313DA5"/>
    <w:rsid w:val="00313EC4"/>
    <w:rsid w:val="00314376"/>
    <w:rsid w:val="00314C04"/>
    <w:rsid w:val="00314C3A"/>
    <w:rsid w:val="00314D45"/>
    <w:rsid w:val="00315316"/>
    <w:rsid w:val="003155F2"/>
    <w:rsid w:val="00315645"/>
    <w:rsid w:val="00316628"/>
    <w:rsid w:val="00316713"/>
    <w:rsid w:val="00317346"/>
    <w:rsid w:val="003200BE"/>
    <w:rsid w:val="00320451"/>
    <w:rsid w:val="00320862"/>
    <w:rsid w:val="00320998"/>
    <w:rsid w:val="00320A42"/>
    <w:rsid w:val="00321512"/>
    <w:rsid w:val="00321DB8"/>
    <w:rsid w:val="00322199"/>
    <w:rsid w:val="003225A7"/>
    <w:rsid w:val="00322F6B"/>
    <w:rsid w:val="00323032"/>
    <w:rsid w:val="003231D6"/>
    <w:rsid w:val="00323369"/>
    <w:rsid w:val="00323492"/>
    <w:rsid w:val="00324961"/>
    <w:rsid w:val="0032511B"/>
    <w:rsid w:val="003255C6"/>
    <w:rsid w:val="003256DB"/>
    <w:rsid w:val="00325EE5"/>
    <w:rsid w:val="003263A9"/>
    <w:rsid w:val="003269EA"/>
    <w:rsid w:val="00326B68"/>
    <w:rsid w:val="00327181"/>
    <w:rsid w:val="003274AC"/>
    <w:rsid w:val="003300B2"/>
    <w:rsid w:val="00330134"/>
    <w:rsid w:val="003301C9"/>
    <w:rsid w:val="003301CF"/>
    <w:rsid w:val="003301D9"/>
    <w:rsid w:val="003306B0"/>
    <w:rsid w:val="0033132A"/>
    <w:rsid w:val="003315CD"/>
    <w:rsid w:val="003320FA"/>
    <w:rsid w:val="00332D87"/>
    <w:rsid w:val="00332DCC"/>
    <w:rsid w:val="0033319E"/>
    <w:rsid w:val="00333536"/>
    <w:rsid w:val="0033354E"/>
    <w:rsid w:val="003335B9"/>
    <w:rsid w:val="00334E06"/>
    <w:rsid w:val="00334E6C"/>
    <w:rsid w:val="00334F5C"/>
    <w:rsid w:val="0033510A"/>
    <w:rsid w:val="003353E9"/>
    <w:rsid w:val="00335B9F"/>
    <w:rsid w:val="00335FED"/>
    <w:rsid w:val="0033603F"/>
    <w:rsid w:val="003360F4"/>
    <w:rsid w:val="00336183"/>
    <w:rsid w:val="00336A59"/>
    <w:rsid w:val="00336C78"/>
    <w:rsid w:val="00336F21"/>
    <w:rsid w:val="00336F89"/>
    <w:rsid w:val="0033755D"/>
    <w:rsid w:val="00337B19"/>
    <w:rsid w:val="00340286"/>
    <w:rsid w:val="00340754"/>
    <w:rsid w:val="00340CAB"/>
    <w:rsid w:val="0034161F"/>
    <w:rsid w:val="00341BC4"/>
    <w:rsid w:val="00341DA2"/>
    <w:rsid w:val="00341FAC"/>
    <w:rsid w:val="0034274C"/>
    <w:rsid w:val="00342976"/>
    <w:rsid w:val="00342D98"/>
    <w:rsid w:val="00343824"/>
    <w:rsid w:val="003441BC"/>
    <w:rsid w:val="00344797"/>
    <w:rsid w:val="00344AF4"/>
    <w:rsid w:val="00344BA0"/>
    <w:rsid w:val="0034598C"/>
    <w:rsid w:val="003460F6"/>
    <w:rsid w:val="003462E7"/>
    <w:rsid w:val="00346464"/>
    <w:rsid w:val="0034695C"/>
    <w:rsid w:val="00346B74"/>
    <w:rsid w:val="00346E8A"/>
    <w:rsid w:val="00346F7D"/>
    <w:rsid w:val="00346FF5"/>
    <w:rsid w:val="0034765D"/>
    <w:rsid w:val="003501D4"/>
    <w:rsid w:val="00350314"/>
    <w:rsid w:val="00350430"/>
    <w:rsid w:val="0035060B"/>
    <w:rsid w:val="0035084D"/>
    <w:rsid w:val="003509F2"/>
    <w:rsid w:val="00350D2D"/>
    <w:rsid w:val="00350E83"/>
    <w:rsid w:val="00350FAB"/>
    <w:rsid w:val="003518DB"/>
    <w:rsid w:val="0035202F"/>
    <w:rsid w:val="0035212A"/>
    <w:rsid w:val="00352389"/>
    <w:rsid w:val="003526AF"/>
    <w:rsid w:val="003527DF"/>
    <w:rsid w:val="00353572"/>
    <w:rsid w:val="00353E99"/>
    <w:rsid w:val="003540F3"/>
    <w:rsid w:val="00354389"/>
    <w:rsid w:val="00355664"/>
    <w:rsid w:val="0035574F"/>
    <w:rsid w:val="003557A8"/>
    <w:rsid w:val="003557AC"/>
    <w:rsid w:val="0035706D"/>
    <w:rsid w:val="003576E2"/>
    <w:rsid w:val="00357777"/>
    <w:rsid w:val="003578A6"/>
    <w:rsid w:val="0036024B"/>
    <w:rsid w:val="003607B3"/>
    <w:rsid w:val="00360DDE"/>
    <w:rsid w:val="003615A0"/>
    <w:rsid w:val="0036194C"/>
    <w:rsid w:val="00361F13"/>
    <w:rsid w:val="003620C2"/>
    <w:rsid w:val="0036264B"/>
    <w:rsid w:val="00362925"/>
    <w:rsid w:val="003636F5"/>
    <w:rsid w:val="00364520"/>
    <w:rsid w:val="0036502C"/>
    <w:rsid w:val="0036514F"/>
    <w:rsid w:val="003654DD"/>
    <w:rsid w:val="00365E02"/>
    <w:rsid w:val="00366AB8"/>
    <w:rsid w:val="00366DEC"/>
    <w:rsid w:val="0036705C"/>
    <w:rsid w:val="00367535"/>
    <w:rsid w:val="00367B03"/>
    <w:rsid w:val="003708C7"/>
    <w:rsid w:val="00370C14"/>
    <w:rsid w:val="00371089"/>
    <w:rsid w:val="0037159A"/>
    <w:rsid w:val="00371CA4"/>
    <w:rsid w:val="003728AB"/>
    <w:rsid w:val="00372D1F"/>
    <w:rsid w:val="0037352E"/>
    <w:rsid w:val="00373820"/>
    <w:rsid w:val="00373F22"/>
    <w:rsid w:val="00374161"/>
    <w:rsid w:val="0037467B"/>
    <w:rsid w:val="00374689"/>
    <w:rsid w:val="003749C4"/>
    <w:rsid w:val="003756FA"/>
    <w:rsid w:val="00375BCB"/>
    <w:rsid w:val="00376B13"/>
    <w:rsid w:val="00376F4A"/>
    <w:rsid w:val="003773AC"/>
    <w:rsid w:val="003773C4"/>
    <w:rsid w:val="00377656"/>
    <w:rsid w:val="00377B26"/>
    <w:rsid w:val="00380430"/>
    <w:rsid w:val="0038069C"/>
    <w:rsid w:val="00380755"/>
    <w:rsid w:val="003815D5"/>
    <w:rsid w:val="00381878"/>
    <w:rsid w:val="00381AD6"/>
    <w:rsid w:val="00381CA6"/>
    <w:rsid w:val="003829B7"/>
    <w:rsid w:val="003829E8"/>
    <w:rsid w:val="00383012"/>
    <w:rsid w:val="00383080"/>
    <w:rsid w:val="003834BA"/>
    <w:rsid w:val="00383C34"/>
    <w:rsid w:val="00384468"/>
    <w:rsid w:val="003846CB"/>
    <w:rsid w:val="00384B85"/>
    <w:rsid w:val="00384C72"/>
    <w:rsid w:val="00385741"/>
    <w:rsid w:val="0038585C"/>
    <w:rsid w:val="003858FC"/>
    <w:rsid w:val="00385A78"/>
    <w:rsid w:val="00385E41"/>
    <w:rsid w:val="00385E4A"/>
    <w:rsid w:val="00385F63"/>
    <w:rsid w:val="00386006"/>
    <w:rsid w:val="003865B6"/>
    <w:rsid w:val="00386991"/>
    <w:rsid w:val="00386A3E"/>
    <w:rsid w:val="00386CE1"/>
    <w:rsid w:val="00387033"/>
    <w:rsid w:val="00387367"/>
    <w:rsid w:val="0039006A"/>
    <w:rsid w:val="00390CE7"/>
    <w:rsid w:val="00391B14"/>
    <w:rsid w:val="00391B76"/>
    <w:rsid w:val="00391EDE"/>
    <w:rsid w:val="0039201C"/>
    <w:rsid w:val="00392CF9"/>
    <w:rsid w:val="00393040"/>
    <w:rsid w:val="00393203"/>
    <w:rsid w:val="003939D6"/>
    <w:rsid w:val="00393B17"/>
    <w:rsid w:val="00394284"/>
    <w:rsid w:val="00394839"/>
    <w:rsid w:val="00395CBD"/>
    <w:rsid w:val="003961BA"/>
    <w:rsid w:val="00396226"/>
    <w:rsid w:val="00396CFF"/>
    <w:rsid w:val="00396D0A"/>
    <w:rsid w:val="00396D6A"/>
    <w:rsid w:val="00396E27"/>
    <w:rsid w:val="00396F5E"/>
    <w:rsid w:val="00397D10"/>
    <w:rsid w:val="00397F52"/>
    <w:rsid w:val="003A06A2"/>
    <w:rsid w:val="003A0767"/>
    <w:rsid w:val="003A0C0C"/>
    <w:rsid w:val="003A1EA2"/>
    <w:rsid w:val="003A2C38"/>
    <w:rsid w:val="003A2C6A"/>
    <w:rsid w:val="003A2D52"/>
    <w:rsid w:val="003A3003"/>
    <w:rsid w:val="003A3104"/>
    <w:rsid w:val="003A3111"/>
    <w:rsid w:val="003A3408"/>
    <w:rsid w:val="003A36EB"/>
    <w:rsid w:val="003A3955"/>
    <w:rsid w:val="003A4362"/>
    <w:rsid w:val="003A4979"/>
    <w:rsid w:val="003A54A2"/>
    <w:rsid w:val="003A559E"/>
    <w:rsid w:val="003A6C61"/>
    <w:rsid w:val="003A7311"/>
    <w:rsid w:val="003A745F"/>
    <w:rsid w:val="003A746B"/>
    <w:rsid w:val="003A76A2"/>
    <w:rsid w:val="003B00EE"/>
    <w:rsid w:val="003B01C0"/>
    <w:rsid w:val="003B1033"/>
    <w:rsid w:val="003B1291"/>
    <w:rsid w:val="003B1347"/>
    <w:rsid w:val="003B148D"/>
    <w:rsid w:val="003B1C58"/>
    <w:rsid w:val="003B2738"/>
    <w:rsid w:val="003B2A11"/>
    <w:rsid w:val="003B2A8F"/>
    <w:rsid w:val="003B34A9"/>
    <w:rsid w:val="003B3931"/>
    <w:rsid w:val="003B3F95"/>
    <w:rsid w:val="003B42B5"/>
    <w:rsid w:val="003B4B46"/>
    <w:rsid w:val="003B4F61"/>
    <w:rsid w:val="003B60A8"/>
    <w:rsid w:val="003B61E5"/>
    <w:rsid w:val="003B7984"/>
    <w:rsid w:val="003B7AC4"/>
    <w:rsid w:val="003C00AD"/>
    <w:rsid w:val="003C02F8"/>
    <w:rsid w:val="003C0A9F"/>
    <w:rsid w:val="003C13A4"/>
    <w:rsid w:val="003C1975"/>
    <w:rsid w:val="003C1C06"/>
    <w:rsid w:val="003C1CCD"/>
    <w:rsid w:val="003C2652"/>
    <w:rsid w:val="003C2B0F"/>
    <w:rsid w:val="003C2C8E"/>
    <w:rsid w:val="003C2E5E"/>
    <w:rsid w:val="003C32EF"/>
    <w:rsid w:val="003C3C76"/>
    <w:rsid w:val="003C400E"/>
    <w:rsid w:val="003C40F2"/>
    <w:rsid w:val="003C4224"/>
    <w:rsid w:val="003C4435"/>
    <w:rsid w:val="003C49BF"/>
    <w:rsid w:val="003C4ABB"/>
    <w:rsid w:val="003C519C"/>
    <w:rsid w:val="003C584C"/>
    <w:rsid w:val="003C5A32"/>
    <w:rsid w:val="003C6067"/>
    <w:rsid w:val="003C6089"/>
    <w:rsid w:val="003C63FD"/>
    <w:rsid w:val="003C69EF"/>
    <w:rsid w:val="003C6D0A"/>
    <w:rsid w:val="003C6F0A"/>
    <w:rsid w:val="003D07F9"/>
    <w:rsid w:val="003D08D1"/>
    <w:rsid w:val="003D15F7"/>
    <w:rsid w:val="003D178D"/>
    <w:rsid w:val="003D1863"/>
    <w:rsid w:val="003D1CAD"/>
    <w:rsid w:val="003D1E49"/>
    <w:rsid w:val="003D1F91"/>
    <w:rsid w:val="003D2359"/>
    <w:rsid w:val="003D279C"/>
    <w:rsid w:val="003D28BE"/>
    <w:rsid w:val="003D2FD5"/>
    <w:rsid w:val="003D3385"/>
    <w:rsid w:val="003D3670"/>
    <w:rsid w:val="003D36B0"/>
    <w:rsid w:val="003D3945"/>
    <w:rsid w:val="003D3AB4"/>
    <w:rsid w:val="003D3B07"/>
    <w:rsid w:val="003D3C09"/>
    <w:rsid w:val="003D4403"/>
    <w:rsid w:val="003D5599"/>
    <w:rsid w:val="003D5E15"/>
    <w:rsid w:val="003D5F05"/>
    <w:rsid w:val="003D61BE"/>
    <w:rsid w:val="003D6258"/>
    <w:rsid w:val="003D6383"/>
    <w:rsid w:val="003D6625"/>
    <w:rsid w:val="003D682A"/>
    <w:rsid w:val="003D69A1"/>
    <w:rsid w:val="003D7C66"/>
    <w:rsid w:val="003D7F77"/>
    <w:rsid w:val="003E027E"/>
    <w:rsid w:val="003E02DC"/>
    <w:rsid w:val="003E05AF"/>
    <w:rsid w:val="003E0B80"/>
    <w:rsid w:val="003E0CD2"/>
    <w:rsid w:val="003E0E40"/>
    <w:rsid w:val="003E1E71"/>
    <w:rsid w:val="003E209B"/>
    <w:rsid w:val="003E2ADF"/>
    <w:rsid w:val="003E2FA8"/>
    <w:rsid w:val="003E3029"/>
    <w:rsid w:val="003E31D4"/>
    <w:rsid w:val="003E37A2"/>
    <w:rsid w:val="003E38F6"/>
    <w:rsid w:val="003E3D5C"/>
    <w:rsid w:val="003E44B8"/>
    <w:rsid w:val="003E4910"/>
    <w:rsid w:val="003E51BD"/>
    <w:rsid w:val="003E55F2"/>
    <w:rsid w:val="003E598A"/>
    <w:rsid w:val="003E637A"/>
    <w:rsid w:val="003E661E"/>
    <w:rsid w:val="003E66EA"/>
    <w:rsid w:val="003E6CE9"/>
    <w:rsid w:val="003E73B5"/>
    <w:rsid w:val="003E768F"/>
    <w:rsid w:val="003E7C5E"/>
    <w:rsid w:val="003F02C4"/>
    <w:rsid w:val="003F0457"/>
    <w:rsid w:val="003F0746"/>
    <w:rsid w:val="003F0E64"/>
    <w:rsid w:val="003F104A"/>
    <w:rsid w:val="003F2208"/>
    <w:rsid w:val="003F22B5"/>
    <w:rsid w:val="003F2643"/>
    <w:rsid w:val="003F2F8B"/>
    <w:rsid w:val="003F45A4"/>
    <w:rsid w:val="003F505D"/>
    <w:rsid w:val="003F5D88"/>
    <w:rsid w:val="003F5DA9"/>
    <w:rsid w:val="003F6130"/>
    <w:rsid w:val="003F63C9"/>
    <w:rsid w:val="003F78B7"/>
    <w:rsid w:val="003F7BB3"/>
    <w:rsid w:val="004003C1"/>
    <w:rsid w:val="00400B67"/>
    <w:rsid w:val="00401E91"/>
    <w:rsid w:val="004028FC"/>
    <w:rsid w:val="00402D19"/>
    <w:rsid w:val="00402DE6"/>
    <w:rsid w:val="0040329A"/>
    <w:rsid w:val="00403752"/>
    <w:rsid w:val="004039DF"/>
    <w:rsid w:val="00403D69"/>
    <w:rsid w:val="00403E0A"/>
    <w:rsid w:val="004041CA"/>
    <w:rsid w:val="0040433E"/>
    <w:rsid w:val="00404542"/>
    <w:rsid w:val="00404B3E"/>
    <w:rsid w:val="00404EC6"/>
    <w:rsid w:val="00405244"/>
    <w:rsid w:val="004052A3"/>
    <w:rsid w:val="0040545B"/>
    <w:rsid w:val="00405499"/>
    <w:rsid w:val="0040564C"/>
    <w:rsid w:val="004056BB"/>
    <w:rsid w:val="00405A0B"/>
    <w:rsid w:val="00405C53"/>
    <w:rsid w:val="0040605D"/>
    <w:rsid w:val="00406883"/>
    <w:rsid w:val="00406B37"/>
    <w:rsid w:val="00407934"/>
    <w:rsid w:val="00407E75"/>
    <w:rsid w:val="00407EA2"/>
    <w:rsid w:val="004105D1"/>
    <w:rsid w:val="00411BD1"/>
    <w:rsid w:val="00411D06"/>
    <w:rsid w:val="00412182"/>
    <w:rsid w:val="004128E3"/>
    <w:rsid w:val="004129E2"/>
    <w:rsid w:val="00414521"/>
    <w:rsid w:val="004145B2"/>
    <w:rsid w:val="00414640"/>
    <w:rsid w:val="00414DAB"/>
    <w:rsid w:val="00415FE3"/>
    <w:rsid w:val="004164D9"/>
    <w:rsid w:val="00416729"/>
    <w:rsid w:val="00416B59"/>
    <w:rsid w:val="00416BC1"/>
    <w:rsid w:val="00416FA1"/>
    <w:rsid w:val="00416FBB"/>
    <w:rsid w:val="00417396"/>
    <w:rsid w:val="004177F3"/>
    <w:rsid w:val="00420581"/>
    <w:rsid w:val="00420A36"/>
    <w:rsid w:val="00420EE2"/>
    <w:rsid w:val="004210D7"/>
    <w:rsid w:val="0042116F"/>
    <w:rsid w:val="0042193F"/>
    <w:rsid w:val="004219B0"/>
    <w:rsid w:val="00421EA7"/>
    <w:rsid w:val="004226E0"/>
    <w:rsid w:val="00422B0C"/>
    <w:rsid w:val="00422CD1"/>
    <w:rsid w:val="00422D28"/>
    <w:rsid w:val="004236A8"/>
    <w:rsid w:val="004239F6"/>
    <w:rsid w:val="00424634"/>
    <w:rsid w:val="004250D8"/>
    <w:rsid w:val="004254CB"/>
    <w:rsid w:val="004259E2"/>
    <w:rsid w:val="0042654B"/>
    <w:rsid w:val="004269CA"/>
    <w:rsid w:val="00426AC4"/>
    <w:rsid w:val="00426D1C"/>
    <w:rsid w:val="00426E70"/>
    <w:rsid w:val="00427509"/>
    <w:rsid w:val="00427A4A"/>
    <w:rsid w:val="004300C8"/>
    <w:rsid w:val="00430650"/>
    <w:rsid w:val="00430A90"/>
    <w:rsid w:val="004318E7"/>
    <w:rsid w:val="00431A3B"/>
    <w:rsid w:val="00431DC9"/>
    <w:rsid w:val="004323C6"/>
    <w:rsid w:val="0043258F"/>
    <w:rsid w:val="00432602"/>
    <w:rsid w:val="00432816"/>
    <w:rsid w:val="00432DEA"/>
    <w:rsid w:val="004332A0"/>
    <w:rsid w:val="0043338F"/>
    <w:rsid w:val="004333F8"/>
    <w:rsid w:val="004337F0"/>
    <w:rsid w:val="0043399D"/>
    <w:rsid w:val="00433FD9"/>
    <w:rsid w:val="004345D5"/>
    <w:rsid w:val="00434FB7"/>
    <w:rsid w:val="00435553"/>
    <w:rsid w:val="00435C78"/>
    <w:rsid w:val="00436400"/>
    <w:rsid w:val="004378B3"/>
    <w:rsid w:val="00437958"/>
    <w:rsid w:val="00440786"/>
    <w:rsid w:val="004407B2"/>
    <w:rsid w:val="004408BD"/>
    <w:rsid w:val="00441125"/>
    <w:rsid w:val="00441C05"/>
    <w:rsid w:val="00441C82"/>
    <w:rsid w:val="00442344"/>
    <w:rsid w:val="00442483"/>
    <w:rsid w:val="004425FA"/>
    <w:rsid w:val="00443966"/>
    <w:rsid w:val="00443B39"/>
    <w:rsid w:val="00443CF5"/>
    <w:rsid w:val="004442A0"/>
    <w:rsid w:val="004449A2"/>
    <w:rsid w:val="0044564D"/>
    <w:rsid w:val="00445973"/>
    <w:rsid w:val="00445A76"/>
    <w:rsid w:val="00445DF3"/>
    <w:rsid w:val="00445E0C"/>
    <w:rsid w:val="004462F0"/>
    <w:rsid w:val="0044654D"/>
    <w:rsid w:val="0044672C"/>
    <w:rsid w:val="00446834"/>
    <w:rsid w:val="00446E91"/>
    <w:rsid w:val="00446F74"/>
    <w:rsid w:val="004474F8"/>
    <w:rsid w:val="00447922"/>
    <w:rsid w:val="004479AF"/>
    <w:rsid w:val="004502E7"/>
    <w:rsid w:val="0045050A"/>
    <w:rsid w:val="00450A50"/>
    <w:rsid w:val="0045101C"/>
    <w:rsid w:val="00451469"/>
    <w:rsid w:val="00452085"/>
    <w:rsid w:val="00452461"/>
    <w:rsid w:val="00452CCF"/>
    <w:rsid w:val="004532D7"/>
    <w:rsid w:val="004533EA"/>
    <w:rsid w:val="0045365B"/>
    <w:rsid w:val="004537FA"/>
    <w:rsid w:val="00453BEE"/>
    <w:rsid w:val="00454A42"/>
    <w:rsid w:val="00456344"/>
    <w:rsid w:val="00456969"/>
    <w:rsid w:val="00456E50"/>
    <w:rsid w:val="00457612"/>
    <w:rsid w:val="00457AD3"/>
    <w:rsid w:val="00460860"/>
    <w:rsid w:val="00460A20"/>
    <w:rsid w:val="00460D69"/>
    <w:rsid w:val="004610E9"/>
    <w:rsid w:val="00461326"/>
    <w:rsid w:val="00461F2A"/>
    <w:rsid w:val="00461F8B"/>
    <w:rsid w:val="0046266B"/>
    <w:rsid w:val="00462B0A"/>
    <w:rsid w:val="00464C91"/>
    <w:rsid w:val="00464E7A"/>
    <w:rsid w:val="00464FFC"/>
    <w:rsid w:val="0046527B"/>
    <w:rsid w:val="0046630C"/>
    <w:rsid w:val="00466B86"/>
    <w:rsid w:val="00466C21"/>
    <w:rsid w:val="00466D73"/>
    <w:rsid w:val="004672FB"/>
    <w:rsid w:val="00467A8C"/>
    <w:rsid w:val="00467BCD"/>
    <w:rsid w:val="00471353"/>
    <w:rsid w:val="004713A8"/>
    <w:rsid w:val="0047153F"/>
    <w:rsid w:val="00471727"/>
    <w:rsid w:val="0047180E"/>
    <w:rsid w:val="004718F8"/>
    <w:rsid w:val="00471959"/>
    <w:rsid w:val="00471D30"/>
    <w:rsid w:val="00471FF3"/>
    <w:rsid w:val="00472C38"/>
    <w:rsid w:val="00472EB7"/>
    <w:rsid w:val="004731B8"/>
    <w:rsid w:val="00473353"/>
    <w:rsid w:val="00473431"/>
    <w:rsid w:val="00473596"/>
    <w:rsid w:val="00473617"/>
    <w:rsid w:val="00473CC9"/>
    <w:rsid w:val="00473F85"/>
    <w:rsid w:val="0047431E"/>
    <w:rsid w:val="00474381"/>
    <w:rsid w:val="00474545"/>
    <w:rsid w:val="00474CBA"/>
    <w:rsid w:val="00475823"/>
    <w:rsid w:val="00475FE0"/>
    <w:rsid w:val="004760FF"/>
    <w:rsid w:val="0047617F"/>
    <w:rsid w:val="00476915"/>
    <w:rsid w:val="00477472"/>
    <w:rsid w:val="00477595"/>
    <w:rsid w:val="004800C2"/>
    <w:rsid w:val="004802DE"/>
    <w:rsid w:val="0048042B"/>
    <w:rsid w:val="00480828"/>
    <w:rsid w:val="0048082C"/>
    <w:rsid w:val="004808DE"/>
    <w:rsid w:val="00481155"/>
    <w:rsid w:val="00481E5E"/>
    <w:rsid w:val="00481EDD"/>
    <w:rsid w:val="004821C2"/>
    <w:rsid w:val="00482642"/>
    <w:rsid w:val="004832D9"/>
    <w:rsid w:val="00483DE5"/>
    <w:rsid w:val="00483E29"/>
    <w:rsid w:val="00483F76"/>
    <w:rsid w:val="00484746"/>
    <w:rsid w:val="0048477B"/>
    <w:rsid w:val="00484F35"/>
    <w:rsid w:val="00485139"/>
    <w:rsid w:val="004852EB"/>
    <w:rsid w:val="004854D4"/>
    <w:rsid w:val="004857EA"/>
    <w:rsid w:val="0048581E"/>
    <w:rsid w:val="00485832"/>
    <w:rsid w:val="004858D1"/>
    <w:rsid w:val="004860AE"/>
    <w:rsid w:val="0048662D"/>
    <w:rsid w:val="00486729"/>
    <w:rsid w:val="0048692D"/>
    <w:rsid w:val="0048739B"/>
    <w:rsid w:val="0048739F"/>
    <w:rsid w:val="00490589"/>
    <w:rsid w:val="004909A1"/>
    <w:rsid w:val="004913FE"/>
    <w:rsid w:val="0049176E"/>
    <w:rsid w:val="004918D7"/>
    <w:rsid w:val="004921C4"/>
    <w:rsid w:val="0049385E"/>
    <w:rsid w:val="00493C80"/>
    <w:rsid w:val="00494029"/>
    <w:rsid w:val="00494813"/>
    <w:rsid w:val="00495722"/>
    <w:rsid w:val="00495BAC"/>
    <w:rsid w:val="004960F5"/>
    <w:rsid w:val="0049624D"/>
    <w:rsid w:val="00496BC1"/>
    <w:rsid w:val="004970DC"/>
    <w:rsid w:val="00497EB1"/>
    <w:rsid w:val="004A28EB"/>
    <w:rsid w:val="004A30D9"/>
    <w:rsid w:val="004A3226"/>
    <w:rsid w:val="004A3E8A"/>
    <w:rsid w:val="004A43F5"/>
    <w:rsid w:val="004A46AC"/>
    <w:rsid w:val="004A4896"/>
    <w:rsid w:val="004A4973"/>
    <w:rsid w:val="004A50B6"/>
    <w:rsid w:val="004A5E7D"/>
    <w:rsid w:val="004A6623"/>
    <w:rsid w:val="004A67AB"/>
    <w:rsid w:val="004A6802"/>
    <w:rsid w:val="004A6EE8"/>
    <w:rsid w:val="004A71EC"/>
    <w:rsid w:val="004A7E65"/>
    <w:rsid w:val="004B05FC"/>
    <w:rsid w:val="004B0CD5"/>
    <w:rsid w:val="004B0CDF"/>
    <w:rsid w:val="004B10D9"/>
    <w:rsid w:val="004B195F"/>
    <w:rsid w:val="004B19DD"/>
    <w:rsid w:val="004B19FB"/>
    <w:rsid w:val="004B1C4D"/>
    <w:rsid w:val="004B25F6"/>
    <w:rsid w:val="004B287C"/>
    <w:rsid w:val="004B2E84"/>
    <w:rsid w:val="004B3A33"/>
    <w:rsid w:val="004B3F63"/>
    <w:rsid w:val="004B41DF"/>
    <w:rsid w:val="004B47B4"/>
    <w:rsid w:val="004B4ED7"/>
    <w:rsid w:val="004B5048"/>
    <w:rsid w:val="004B5834"/>
    <w:rsid w:val="004B596A"/>
    <w:rsid w:val="004B5BD1"/>
    <w:rsid w:val="004B5C0F"/>
    <w:rsid w:val="004B6191"/>
    <w:rsid w:val="004B717B"/>
    <w:rsid w:val="004B723D"/>
    <w:rsid w:val="004B75E0"/>
    <w:rsid w:val="004C06E9"/>
    <w:rsid w:val="004C0766"/>
    <w:rsid w:val="004C098C"/>
    <w:rsid w:val="004C0EF0"/>
    <w:rsid w:val="004C13F7"/>
    <w:rsid w:val="004C1F31"/>
    <w:rsid w:val="004C2E8C"/>
    <w:rsid w:val="004C3F58"/>
    <w:rsid w:val="004C5078"/>
    <w:rsid w:val="004C5447"/>
    <w:rsid w:val="004C5FF5"/>
    <w:rsid w:val="004C61C6"/>
    <w:rsid w:val="004C64BB"/>
    <w:rsid w:val="004C683D"/>
    <w:rsid w:val="004C6EED"/>
    <w:rsid w:val="004C704B"/>
    <w:rsid w:val="004C71B7"/>
    <w:rsid w:val="004C72AE"/>
    <w:rsid w:val="004C73F1"/>
    <w:rsid w:val="004C762D"/>
    <w:rsid w:val="004C7E06"/>
    <w:rsid w:val="004D0CFF"/>
    <w:rsid w:val="004D101F"/>
    <w:rsid w:val="004D13EE"/>
    <w:rsid w:val="004D1AD5"/>
    <w:rsid w:val="004D1B24"/>
    <w:rsid w:val="004D1E96"/>
    <w:rsid w:val="004D2045"/>
    <w:rsid w:val="004D2855"/>
    <w:rsid w:val="004D2BAE"/>
    <w:rsid w:val="004D3300"/>
    <w:rsid w:val="004D36D2"/>
    <w:rsid w:val="004D3965"/>
    <w:rsid w:val="004D3A1C"/>
    <w:rsid w:val="004D3D4B"/>
    <w:rsid w:val="004D3F1C"/>
    <w:rsid w:val="004D440D"/>
    <w:rsid w:val="004D4F8B"/>
    <w:rsid w:val="004D5238"/>
    <w:rsid w:val="004D54F8"/>
    <w:rsid w:val="004D56AA"/>
    <w:rsid w:val="004D6118"/>
    <w:rsid w:val="004D6498"/>
    <w:rsid w:val="004D7779"/>
    <w:rsid w:val="004D7BE9"/>
    <w:rsid w:val="004E0042"/>
    <w:rsid w:val="004E041F"/>
    <w:rsid w:val="004E0476"/>
    <w:rsid w:val="004E0AF9"/>
    <w:rsid w:val="004E0FC2"/>
    <w:rsid w:val="004E138D"/>
    <w:rsid w:val="004E1694"/>
    <w:rsid w:val="004E1A86"/>
    <w:rsid w:val="004E1FF5"/>
    <w:rsid w:val="004E20E1"/>
    <w:rsid w:val="004E2853"/>
    <w:rsid w:val="004E3C01"/>
    <w:rsid w:val="004E3C71"/>
    <w:rsid w:val="004E3D35"/>
    <w:rsid w:val="004E43BE"/>
    <w:rsid w:val="004E4416"/>
    <w:rsid w:val="004E4A38"/>
    <w:rsid w:val="004E5006"/>
    <w:rsid w:val="004E5838"/>
    <w:rsid w:val="004E5BC2"/>
    <w:rsid w:val="004E5C0A"/>
    <w:rsid w:val="004E5D24"/>
    <w:rsid w:val="004E5E98"/>
    <w:rsid w:val="004E64F3"/>
    <w:rsid w:val="004E6704"/>
    <w:rsid w:val="004E6C4A"/>
    <w:rsid w:val="004E6E35"/>
    <w:rsid w:val="004E6FE1"/>
    <w:rsid w:val="004E703B"/>
    <w:rsid w:val="004E73A8"/>
    <w:rsid w:val="004E76A4"/>
    <w:rsid w:val="004E7C85"/>
    <w:rsid w:val="004F0657"/>
    <w:rsid w:val="004F0988"/>
    <w:rsid w:val="004F1469"/>
    <w:rsid w:val="004F24C0"/>
    <w:rsid w:val="004F30EB"/>
    <w:rsid w:val="004F3227"/>
    <w:rsid w:val="004F3296"/>
    <w:rsid w:val="004F3C9F"/>
    <w:rsid w:val="004F3CAB"/>
    <w:rsid w:val="004F4EDB"/>
    <w:rsid w:val="004F585B"/>
    <w:rsid w:val="004F5AB7"/>
    <w:rsid w:val="004F5BF0"/>
    <w:rsid w:val="004F5F0D"/>
    <w:rsid w:val="004F5FC7"/>
    <w:rsid w:val="004F64C2"/>
    <w:rsid w:val="004F64ED"/>
    <w:rsid w:val="004F6644"/>
    <w:rsid w:val="004F6C7A"/>
    <w:rsid w:val="004F703F"/>
    <w:rsid w:val="004F7174"/>
    <w:rsid w:val="004F7BA8"/>
    <w:rsid w:val="004F7CCD"/>
    <w:rsid w:val="00501E0D"/>
    <w:rsid w:val="005020E5"/>
    <w:rsid w:val="00502232"/>
    <w:rsid w:val="0050266A"/>
    <w:rsid w:val="005026E3"/>
    <w:rsid w:val="00502800"/>
    <w:rsid w:val="00502C21"/>
    <w:rsid w:val="00502CE5"/>
    <w:rsid w:val="0050351D"/>
    <w:rsid w:val="00503B1A"/>
    <w:rsid w:val="00503E4D"/>
    <w:rsid w:val="005043FD"/>
    <w:rsid w:val="0050480C"/>
    <w:rsid w:val="00505206"/>
    <w:rsid w:val="00505DD5"/>
    <w:rsid w:val="00505E80"/>
    <w:rsid w:val="0050635E"/>
    <w:rsid w:val="005065F1"/>
    <w:rsid w:val="00506A0A"/>
    <w:rsid w:val="00506AFC"/>
    <w:rsid w:val="00506C39"/>
    <w:rsid w:val="00506DDD"/>
    <w:rsid w:val="00507C18"/>
    <w:rsid w:val="0051097A"/>
    <w:rsid w:val="00510B76"/>
    <w:rsid w:val="00510C80"/>
    <w:rsid w:val="005110F0"/>
    <w:rsid w:val="005114BC"/>
    <w:rsid w:val="005116D5"/>
    <w:rsid w:val="00511CA4"/>
    <w:rsid w:val="005121E3"/>
    <w:rsid w:val="0051229D"/>
    <w:rsid w:val="00512605"/>
    <w:rsid w:val="00512715"/>
    <w:rsid w:val="00512B04"/>
    <w:rsid w:val="00513A11"/>
    <w:rsid w:val="0051426B"/>
    <w:rsid w:val="00514ABC"/>
    <w:rsid w:val="00514E96"/>
    <w:rsid w:val="0051505B"/>
    <w:rsid w:val="00515BB9"/>
    <w:rsid w:val="00516799"/>
    <w:rsid w:val="005171E3"/>
    <w:rsid w:val="005173D2"/>
    <w:rsid w:val="005174D1"/>
    <w:rsid w:val="005179C9"/>
    <w:rsid w:val="00517FC4"/>
    <w:rsid w:val="00520076"/>
    <w:rsid w:val="00520B31"/>
    <w:rsid w:val="00521475"/>
    <w:rsid w:val="005220B2"/>
    <w:rsid w:val="005221BC"/>
    <w:rsid w:val="0052220F"/>
    <w:rsid w:val="005228E8"/>
    <w:rsid w:val="005229F9"/>
    <w:rsid w:val="00522D29"/>
    <w:rsid w:val="00522E69"/>
    <w:rsid w:val="00522E81"/>
    <w:rsid w:val="00522F45"/>
    <w:rsid w:val="0052386F"/>
    <w:rsid w:val="00523B2D"/>
    <w:rsid w:val="005243F4"/>
    <w:rsid w:val="00524545"/>
    <w:rsid w:val="00524928"/>
    <w:rsid w:val="005249F9"/>
    <w:rsid w:val="00524A73"/>
    <w:rsid w:val="00524DAF"/>
    <w:rsid w:val="0052500E"/>
    <w:rsid w:val="0052509D"/>
    <w:rsid w:val="0052529B"/>
    <w:rsid w:val="00525395"/>
    <w:rsid w:val="0052591F"/>
    <w:rsid w:val="00525A5F"/>
    <w:rsid w:val="00526286"/>
    <w:rsid w:val="0052692F"/>
    <w:rsid w:val="005269B3"/>
    <w:rsid w:val="005269B7"/>
    <w:rsid w:val="00526BB8"/>
    <w:rsid w:val="00526E68"/>
    <w:rsid w:val="0052717D"/>
    <w:rsid w:val="0052735B"/>
    <w:rsid w:val="00527382"/>
    <w:rsid w:val="005273C1"/>
    <w:rsid w:val="00527B79"/>
    <w:rsid w:val="00527BF9"/>
    <w:rsid w:val="00527D66"/>
    <w:rsid w:val="00527EC6"/>
    <w:rsid w:val="00527EE6"/>
    <w:rsid w:val="00527F03"/>
    <w:rsid w:val="00527F13"/>
    <w:rsid w:val="00527F5A"/>
    <w:rsid w:val="00530285"/>
    <w:rsid w:val="00530D4B"/>
    <w:rsid w:val="00530E44"/>
    <w:rsid w:val="0053176B"/>
    <w:rsid w:val="00531AC9"/>
    <w:rsid w:val="00531B91"/>
    <w:rsid w:val="00532390"/>
    <w:rsid w:val="0053257C"/>
    <w:rsid w:val="00532936"/>
    <w:rsid w:val="00532B4A"/>
    <w:rsid w:val="00533A58"/>
    <w:rsid w:val="005349B2"/>
    <w:rsid w:val="00534A88"/>
    <w:rsid w:val="0053534C"/>
    <w:rsid w:val="005357BA"/>
    <w:rsid w:val="00536950"/>
    <w:rsid w:val="005369BF"/>
    <w:rsid w:val="00536E00"/>
    <w:rsid w:val="005371F7"/>
    <w:rsid w:val="005377F2"/>
    <w:rsid w:val="005378C7"/>
    <w:rsid w:val="00537E80"/>
    <w:rsid w:val="00540610"/>
    <w:rsid w:val="0054082A"/>
    <w:rsid w:val="00540B98"/>
    <w:rsid w:val="00540E9D"/>
    <w:rsid w:val="00541B1F"/>
    <w:rsid w:val="0054244D"/>
    <w:rsid w:val="00542950"/>
    <w:rsid w:val="00542A89"/>
    <w:rsid w:val="005431B3"/>
    <w:rsid w:val="0054354F"/>
    <w:rsid w:val="00543619"/>
    <w:rsid w:val="00543624"/>
    <w:rsid w:val="0054431B"/>
    <w:rsid w:val="00544750"/>
    <w:rsid w:val="00544DA9"/>
    <w:rsid w:val="00545091"/>
    <w:rsid w:val="00545CC1"/>
    <w:rsid w:val="00545E71"/>
    <w:rsid w:val="0054678C"/>
    <w:rsid w:val="005472AF"/>
    <w:rsid w:val="005472FC"/>
    <w:rsid w:val="0054734B"/>
    <w:rsid w:val="005478C9"/>
    <w:rsid w:val="005478D9"/>
    <w:rsid w:val="0054793A"/>
    <w:rsid w:val="00547A0D"/>
    <w:rsid w:val="0055034E"/>
    <w:rsid w:val="00550CED"/>
    <w:rsid w:val="005514B5"/>
    <w:rsid w:val="00551580"/>
    <w:rsid w:val="00551649"/>
    <w:rsid w:val="00552016"/>
    <w:rsid w:val="00552C81"/>
    <w:rsid w:val="00552EDD"/>
    <w:rsid w:val="005533D8"/>
    <w:rsid w:val="00554026"/>
    <w:rsid w:val="00554A38"/>
    <w:rsid w:val="00555051"/>
    <w:rsid w:val="0055519F"/>
    <w:rsid w:val="005551EE"/>
    <w:rsid w:val="00555A1F"/>
    <w:rsid w:val="00556047"/>
    <w:rsid w:val="005561EB"/>
    <w:rsid w:val="00556858"/>
    <w:rsid w:val="00556E36"/>
    <w:rsid w:val="00557D18"/>
    <w:rsid w:val="00560568"/>
    <w:rsid w:val="00560606"/>
    <w:rsid w:val="00560701"/>
    <w:rsid w:val="00561947"/>
    <w:rsid w:val="00561B8A"/>
    <w:rsid w:val="00561E71"/>
    <w:rsid w:val="00561E93"/>
    <w:rsid w:val="00562528"/>
    <w:rsid w:val="00562E55"/>
    <w:rsid w:val="00563446"/>
    <w:rsid w:val="0056352B"/>
    <w:rsid w:val="00564ACF"/>
    <w:rsid w:val="00564DB8"/>
    <w:rsid w:val="00564E67"/>
    <w:rsid w:val="00565175"/>
    <w:rsid w:val="00565312"/>
    <w:rsid w:val="005654F4"/>
    <w:rsid w:val="00566293"/>
    <w:rsid w:val="00566FCB"/>
    <w:rsid w:val="00567342"/>
    <w:rsid w:val="00567504"/>
    <w:rsid w:val="0056773E"/>
    <w:rsid w:val="00567871"/>
    <w:rsid w:val="00567C87"/>
    <w:rsid w:val="00567DA6"/>
    <w:rsid w:val="005714EE"/>
    <w:rsid w:val="005715D5"/>
    <w:rsid w:val="00571E3C"/>
    <w:rsid w:val="00572248"/>
    <w:rsid w:val="00572AE3"/>
    <w:rsid w:val="00572C0C"/>
    <w:rsid w:val="00572CA4"/>
    <w:rsid w:val="0057326B"/>
    <w:rsid w:val="005740EE"/>
    <w:rsid w:val="00574271"/>
    <w:rsid w:val="0057430B"/>
    <w:rsid w:val="0057439C"/>
    <w:rsid w:val="0057449A"/>
    <w:rsid w:val="00574990"/>
    <w:rsid w:val="00574995"/>
    <w:rsid w:val="00574EA9"/>
    <w:rsid w:val="00575954"/>
    <w:rsid w:val="00575A4C"/>
    <w:rsid w:val="00575AC1"/>
    <w:rsid w:val="0057611F"/>
    <w:rsid w:val="0057694D"/>
    <w:rsid w:val="00576CB9"/>
    <w:rsid w:val="00577651"/>
    <w:rsid w:val="005777E9"/>
    <w:rsid w:val="005807EC"/>
    <w:rsid w:val="00580D0D"/>
    <w:rsid w:val="00581454"/>
    <w:rsid w:val="00581F99"/>
    <w:rsid w:val="0058216F"/>
    <w:rsid w:val="005821CB"/>
    <w:rsid w:val="00583180"/>
    <w:rsid w:val="00583231"/>
    <w:rsid w:val="00583697"/>
    <w:rsid w:val="00583744"/>
    <w:rsid w:val="00584341"/>
    <w:rsid w:val="005859F0"/>
    <w:rsid w:val="00585B61"/>
    <w:rsid w:val="00586FD6"/>
    <w:rsid w:val="005870BD"/>
    <w:rsid w:val="005870E7"/>
    <w:rsid w:val="0058758F"/>
    <w:rsid w:val="00587CE9"/>
    <w:rsid w:val="00587EAB"/>
    <w:rsid w:val="005902AE"/>
    <w:rsid w:val="005906DD"/>
    <w:rsid w:val="00590BB9"/>
    <w:rsid w:val="00590C87"/>
    <w:rsid w:val="00590DF3"/>
    <w:rsid w:val="00590FB6"/>
    <w:rsid w:val="00591908"/>
    <w:rsid w:val="00591F55"/>
    <w:rsid w:val="00592028"/>
    <w:rsid w:val="00592036"/>
    <w:rsid w:val="0059261F"/>
    <w:rsid w:val="00592980"/>
    <w:rsid w:val="00592BAD"/>
    <w:rsid w:val="00593096"/>
    <w:rsid w:val="00593208"/>
    <w:rsid w:val="0059365F"/>
    <w:rsid w:val="00593EA3"/>
    <w:rsid w:val="00594A0E"/>
    <w:rsid w:val="005963F7"/>
    <w:rsid w:val="005969DB"/>
    <w:rsid w:val="00596E02"/>
    <w:rsid w:val="005975A2"/>
    <w:rsid w:val="00597628"/>
    <w:rsid w:val="0059763E"/>
    <w:rsid w:val="005977CF"/>
    <w:rsid w:val="005A01F7"/>
    <w:rsid w:val="005A036C"/>
    <w:rsid w:val="005A074A"/>
    <w:rsid w:val="005A08D2"/>
    <w:rsid w:val="005A0AA4"/>
    <w:rsid w:val="005A0F8E"/>
    <w:rsid w:val="005A11EF"/>
    <w:rsid w:val="005A179D"/>
    <w:rsid w:val="005A1CD6"/>
    <w:rsid w:val="005A29A0"/>
    <w:rsid w:val="005A2BFC"/>
    <w:rsid w:val="005A3C81"/>
    <w:rsid w:val="005A3E3C"/>
    <w:rsid w:val="005A4E9A"/>
    <w:rsid w:val="005A514A"/>
    <w:rsid w:val="005A5197"/>
    <w:rsid w:val="005A5C5C"/>
    <w:rsid w:val="005A6612"/>
    <w:rsid w:val="005A670B"/>
    <w:rsid w:val="005A6895"/>
    <w:rsid w:val="005A6C56"/>
    <w:rsid w:val="005A75E6"/>
    <w:rsid w:val="005A7732"/>
    <w:rsid w:val="005A7A7A"/>
    <w:rsid w:val="005B071D"/>
    <w:rsid w:val="005B0C6C"/>
    <w:rsid w:val="005B0D46"/>
    <w:rsid w:val="005B0F94"/>
    <w:rsid w:val="005B1816"/>
    <w:rsid w:val="005B1882"/>
    <w:rsid w:val="005B1962"/>
    <w:rsid w:val="005B1AE1"/>
    <w:rsid w:val="005B1F35"/>
    <w:rsid w:val="005B1F6E"/>
    <w:rsid w:val="005B2046"/>
    <w:rsid w:val="005B2077"/>
    <w:rsid w:val="005B217E"/>
    <w:rsid w:val="005B24D5"/>
    <w:rsid w:val="005B2597"/>
    <w:rsid w:val="005B2892"/>
    <w:rsid w:val="005B2B9F"/>
    <w:rsid w:val="005B313E"/>
    <w:rsid w:val="005B328B"/>
    <w:rsid w:val="005B35BA"/>
    <w:rsid w:val="005B3B75"/>
    <w:rsid w:val="005B3C70"/>
    <w:rsid w:val="005B3D81"/>
    <w:rsid w:val="005B4D2B"/>
    <w:rsid w:val="005B5013"/>
    <w:rsid w:val="005B532B"/>
    <w:rsid w:val="005B5750"/>
    <w:rsid w:val="005B5A37"/>
    <w:rsid w:val="005B5A71"/>
    <w:rsid w:val="005B5C3F"/>
    <w:rsid w:val="005B5CB1"/>
    <w:rsid w:val="005B5CC8"/>
    <w:rsid w:val="005B5F01"/>
    <w:rsid w:val="005B5FDA"/>
    <w:rsid w:val="005B6291"/>
    <w:rsid w:val="005B6425"/>
    <w:rsid w:val="005B65F0"/>
    <w:rsid w:val="005B6AB5"/>
    <w:rsid w:val="005B76F2"/>
    <w:rsid w:val="005B7A0E"/>
    <w:rsid w:val="005B7B3B"/>
    <w:rsid w:val="005C03E7"/>
    <w:rsid w:val="005C0C13"/>
    <w:rsid w:val="005C109F"/>
    <w:rsid w:val="005C11E3"/>
    <w:rsid w:val="005C14D2"/>
    <w:rsid w:val="005C1602"/>
    <w:rsid w:val="005C197B"/>
    <w:rsid w:val="005C1AC2"/>
    <w:rsid w:val="005C1C12"/>
    <w:rsid w:val="005C2766"/>
    <w:rsid w:val="005C29DE"/>
    <w:rsid w:val="005C2CDA"/>
    <w:rsid w:val="005C2EC1"/>
    <w:rsid w:val="005C306B"/>
    <w:rsid w:val="005C32C4"/>
    <w:rsid w:val="005C3887"/>
    <w:rsid w:val="005C38AE"/>
    <w:rsid w:val="005C4608"/>
    <w:rsid w:val="005C4930"/>
    <w:rsid w:val="005C55BE"/>
    <w:rsid w:val="005C5750"/>
    <w:rsid w:val="005C5B55"/>
    <w:rsid w:val="005C5F45"/>
    <w:rsid w:val="005C5F78"/>
    <w:rsid w:val="005C66E5"/>
    <w:rsid w:val="005C69F3"/>
    <w:rsid w:val="005C6A33"/>
    <w:rsid w:val="005C6C9C"/>
    <w:rsid w:val="005C6CB3"/>
    <w:rsid w:val="005C704D"/>
    <w:rsid w:val="005C707E"/>
    <w:rsid w:val="005C70F2"/>
    <w:rsid w:val="005D011C"/>
    <w:rsid w:val="005D05CB"/>
    <w:rsid w:val="005D1F62"/>
    <w:rsid w:val="005D2211"/>
    <w:rsid w:val="005D2567"/>
    <w:rsid w:val="005D287C"/>
    <w:rsid w:val="005D2ECB"/>
    <w:rsid w:val="005D4085"/>
    <w:rsid w:val="005D4305"/>
    <w:rsid w:val="005D4B0D"/>
    <w:rsid w:val="005D4F00"/>
    <w:rsid w:val="005D5D8C"/>
    <w:rsid w:val="005D6C55"/>
    <w:rsid w:val="005D6EBE"/>
    <w:rsid w:val="005D6F26"/>
    <w:rsid w:val="005D791C"/>
    <w:rsid w:val="005D7CD4"/>
    <w:rsid w:val="005E0015"/>
    <w:rsid w:val="005E04D2"/>
    <w:rsid w:val="005E09F5"/>
    <w:rsid w:val="005E1592"/>
    <w:rsid w:val="005E15F5"/>
    <w:rsid w:val="005E1B87"/>
    <w:rsid w:val="005E1FDA"/>
    <w:rsid w:val="005E249F"/>
    <w:rsid w:val="005E299B"/>
    <w:rsid w:val="005E33C9"/>
    <w:rsid w:val="005E3769"/>
    <w:rsid w:val="005E39B4"/>
    <w:rsid w:val="005E3BB9"/>
    <w:rsid w:val="005E3C01"/>
    <w:rsid w:val="005E3E37"/>
    <w:rsid w:val="005E3E56"/>
    <w:rsid w:val="005E409B"/>
    <w:rsid w:val="005E41C8"/>
    <w:rsid w:val="005E5199"/>
    <w:rsid w:val="005E559D"/>
    <w:rsid w:val="005E5647"/>
    <w:rsid w:val="005E595C"/>
    <w:rsid w:val="005E5BDE"/>
    <w:rsid w:val="005E612E"/>
    <w:rsid w:val="005E616B"/>
    <w:rsid w:val="005E634C"/>
    <w:rsid w:val="005E65FE"/>
    <w:rsid w:val="005E69F5"/>
    <w:rsid w:val="005E6C38"/>
    <w:rsid w:val="005E6EA6"/>
    <w:rsid w:val="005E6FD2"/>
    <w:rsid w:val="005E709B"/>
    <w:rsid w:val="005E7744"/>
    <w:rsid w:val="005E7CB8"/>
    <w:rsid w:val="005E7EDF"/>
    <w:rsid w:val="005F0023"/>
    <w:rsid w:val="005F02F3"/>
    <w:rsid w:val="005F099D"/>
    <w:rsid w:val="005F1773"/>
    <w:rsid w:val="005F1E5F"/>
    <w:rsid w:val="005F20C7"/>
    <w:rsid w:val="005F24ED"/>
    <w:rsid w:val="005F2B2F"/>
    <w:rsid w:val="005F2C0A"/>
    <w:rsid w:val="005F2DB8"/>
    <w:rsid w:val="005F3065"/>
    <w:rsid w:val="005F30DA"/>
    <w:rsid w:val="005F3562"/>
    <w:rsid w:val="005F36CB"/>
    <w:rsid w:val="005F37E5"/>
    <w:rsid w:val="005F3D34"/>
    <w:rsid w:val="005F4984"/>
    <w:rsid w:val="005F4BD5"/>
    <w:rsid w:val="005F4C89"/>
    <w:rsid w:val="005F4F50"/>
    <w:rsid w:val="005F508F"/>
    <w:rsid w:val="005F6058"/>
    <w:rsid w:val="005F64B0"/>
    <w:rsid w:val="005F69EA"/>
    <w:rsid w:val="005F729F"/>
    <w:rsid w:val="005F7D19"/>
    <w:rsid w:val="005F7F46"/>
    <w:rsid w:val="006001C2"/>
    <w:rsid w:val="0060086E"/>
    <w:rsid w:val="0060188E"/>
    <w:rsid w:val="00601BB2"/>
    <w:rsid w:val="00601D07"/>
    <w:rsid w:val="00602070"/>
    <w:rsid w:val="006022A8"/>
    <w:rsid w:val="006023A5"/>
    <w:rsid w:val="006023AA"/>
    <w:rsid w:val="00602F73"/>
    <w:rsid w:val="0060326B"/>
    <w:rsid w:val="00603688"/>
    <w:rsid w:val="006039AB"/>
    <w:rsid w:val="00603D67"/>
    <w:rsid w:val="00604478"/>
    <w:rsid w:val="00604539"/>
    <w:rsid w:val="00604A77"/>
    <w:rsid w:val="00604BC9"/>
    <w:rsid w:val="006052B9"/>
    <w:rsid w:val="00605319"/>
    <w:rsid w:val="006054E1"/>
    <w:rsid w:val="00605564"/>
    <w:rsid w:val="0060558C"/>
    <w:rsid w:val="00606B72"/>
    <w:rsid w:val="00606E77"/>
    <w:rsid w:val="006073D0"/>
    <w:rsid w:val="00607E59"/>
    <w:rsid w:val="00607E85"/>
    <w:rsid w:val="00610094"/>
    <w:rsid w:val="006103A9"/>
    <w:rsid w:val="00610487"/>
    <w:rsid w:val="0061051E"/>
    <w:rsid w:val="0061152A"/>
    <w:rsid w:val="006118F7"/>
    <w:rsid w:val="00611AA3"/>
    <w:rsid w:val="00611E8C"/>
    <w:rsid w:val="00613C19"/>
    <w:rsid w:val="006145CA"/>
    <w:rsid w:val="006149DF"/>
    <w:rsid w:val="00614CED"/>
    <w:rsid w:val="00615298"/>
    <w:rsid w:val="00615805"/>
    <w:rsid w:val="00616542"/>
    <w:rsid w:val="00616A1C"/>
    <w:rsid w:val="00617159"/>
    <w:rsid w:val="0062005A"/>
    <w:rsid w:val="00620092"/>
    <w:rsid w:val="00620150"/>
    <w:rsid w:val="00620366"/>
    <w:rsid w:val="0062046F"/>
    <w:rsid w:val="00620933"/>
    <w:rsid w:val="00620AA4"/>
    <w:rsid w:val="00620CE4"/>
    <w:rsid w:val="006213A7"/>
    <w:rsid w:val="0062143C"/>
    <w:rsid w:val="006221C6"/>
    <w:rsid w:val="00622891"/>
    <w:rsid w:val="0062320A"/>
    <w:rsid w:val="006238BB"/>
    <w:rsid w:val="00624830"/>
    <w:rsid w:val="006248E0"/>
    <w:rsid w:val="00624B00"/>
    <w:rsid w:val="00624D3B"/>
    <w:rsid w:val="00624E1F"/>
    <w:rsid w:val="006252DC"/>
    <w:rsid w:val="0062588A"/>
    <w:rsid w:val="00625BA7"/>
    <w:rsid w:val="00625EBB"/>
    <w:rsid w:val="00625ED9"/>
    <w:rsid w:val="00626059"/>
    <w:rsid w:val="006270DA"/>
    <w:rsid w:val="00627269"/>
    <w:rsid w:val="00627659"/>
    <w:rsid w:val="00627D80"/>
    <w:rsid w:val="00627FA8"/>
    <w:rsid w:val="0063059B"/>
    <w:rsid w:val="00631A8A"/>
    <w:rsid w:val="006323F5"/>
    <w:rsid w:val="00632580"/>
    <w:rsid w:val="00632F00"/>
    <w:rsid w:val="00632F04"/>
    <w:rsid w:val="0063301E"/>
    <w:rsid w:val="00633813"/>
    <w:rsid w:val="006338C3"/>
    <w:rsid w:val="006344E5"/>
    <w:rsid w:val="0063497A"/>
    <w:rsid w:val="00634C6E"/>
    <w:rsid w:val="00635AA9"/>
    <w:rsid w:val="006364B2"/>
    <w:rsid w:val="006369B3"/>
    <w:rsid w:val="00636ABD"/>
    <w:rsid w:val="00637A6B"/>
    <w:rsid w:val="006404A2"/>
    <w:rsid w:val="00640D79"/>
    <w:rsid w:val="006413E7"/>
    <w:rsid w:val="00641421"/>
    <w:rsid w:val="00641545"/>
    <w:rsid w:val="00641A19"/>
    <w:rsid w:val="00642114"/>
    <w:rsid w:val="0064263D"/>
    <w:rsid w:val="0064307B"/>
    <w:rsid w:val="00643457"/>
    <w:rsid w:val="00643971"/>
    <w:rsid w:val="00643A63"/>
    <w:rsid w:val="00644A66"/>
    <w:rsid w:val="00644D3A"/>
    <w:rsid w:val="0064591E"/>
    <w:rsid w:val="00645CD9"/>
    <w:rsid w:val="00646187"/>
    <w:rsid w:val="0064722C"/>
    <w:rsid w:val="006477F8"/>
    <w:rsid w:val="00647B34"/>
    <w:rsid w:val="00647CF0"/>
    <w:rsid w:val="00647D8B"/>
    <w:rsid w:val="00647EB7"/>
    <w:rsid w:val="00647FFE"/>
    <w:rsid w:val="00650CFF"/>
    <w:rsid w:val="006513B2"/>
    <w:rsid w:val="006515AE"/>
    <w:rsid w:val="00651D72"/>
    <w:rsid w:val="006520F6"/>
    <w:rsid w:val="006523E9"/>
    <w:rsid w:val="00652676"/>
    <w:rsid w:val="00652E25"/>
    <w:rsid w:val="006531EA"/>
    <w:rsid w:val="00653664"/>
    <w:rsid w:val="006538E5"/>
    <w:rsid w:val="00653E55"/>
    <w:rsid w:val="00654256"/>
    <w:rsid w:val="0065433E"/>
    <w:rsid w:val="006547DA"/>
    <w:rsid w:val="00654EC5"/>
    <w:rsid w:val="006553F7"/>
    <w:rsid w:val="0065605F"/>
    <w:rsid w:val="0065649E"/>
    <w:rsid w:val="00656E06"/>
    <w:rsid w:val="00656FFD"/>
    <w:rsid w:val="006572DC"/>
    <w:rsid w:val="00657650"/>
    <w:rsid w:val="00657A30"/>
    <w:rsid w:val="00657FA9"/>
    <w:rsid w:val="00660B62"/>
    <w:rsid w:val="0066224C"/>
    <w:rsid w:val="00663011"/>
    <w:rsid w:val="0066395B"/>
    <w:rsid w:val="00663A5A"/>
    <w:rsid w:val="00663ECF"/>
    <w:rsid w:val="00663F07"/>
    <w:rsid w:val="00664055"/>
    <w:rsid w:val="00664B5A"/>
    <w:rsid w:val="00664DEB"/>
    <w:rsid w:val="00664E85"/>
    <w:rsid w:val="006655CA"/>
    <w:rsid w:val="00665ADB"/>
    <w:rsid w:val="00667994"/>
    <w:rsid w:val="00667B47"/>
    <w:rsid w:val="00670171"/>
    <w:rsid w:val="006710F9"/>
    <w:rsid w:val="0067260F"/>
    <w:rsid w:val="00673BC7"/>
    <w:rsid w:val="00673DDA"/>
    <w:rsid w:val="00674359"/>
    <w:rsid w:val="00674694"/>
    <w:rsid w:val="006746FD"/>
    <w:rsid w:val="00674826"/>
    <w:rsid w:val="00675B44"/>
    <w:rsid w:val="00675C10"/>
    <w:rsid w:val="00675C90"/>
    <w:rsid w:val="00675D8B"/>
    <w:rsid w:val="006763BD"/>
    <w:rsid w:val="006767A8"/>
    <w:rsid w:val="00676950"/>
    <w:rsid w:val="00676AFC"/>
    <w:rsid w:val="006776D6"/>
    <w:rsid w:val="006802F8"/>
    <w:rsid w:val="00680380"/>
    <w:rsid w:val="00680831"/>
    <w:rsid w:val="00680ABE"/>
    <w:rsid w:val="00680ECB"/>
    <w:rsid w:val="00681758"/>
    <w:rsid w:val="0068178A"/>
    <w:rsid w:val="00681CD6"/>
    <w:rsid w:val="00681D34"/>
    <w:rsid w:val="00681F1B"/>
    <w:rsid w:val="00682115"/>
    <w:rsid w:val="006821A8"/>
    <w:rsid w:val="00682333"/>
    <w:rsid w:val="006823D2"/>
    <w:rsid w:val="006823F8"/>
    <w:rsid w:val="006827AB"/>
    <w:rsid w:val="00682CCB"/>
    <w:rsid w:val="00683108"/>
    <w:rsid w:val="00683214"/>
    <w:rsid w:val="006832DE"/>
    <w:rsid w:val="00683B49"/>
    <w:rsid w:val="00684135"/>
    <w:rsid w:val="00684570"/>
    <w:rsid w:val="00684D74"/>
    <w:rsid w:val="006851D6"/>
    <w:rsid w:val="006863DF"/>
    <w:rsid w:val="00687EEB"/>
    <w:rsid w:val="00690057"/>
    <w:rsid w:val="006903F6"/>
    <w:rsid w:val="0069071B"/>
    <w:rsid w:val="00690A75"/>
    <w:rsid w:val="00691568"/>
    <w:rsid w:val="00691682"/>
    <w:rsid w:val="00691816"/>
    <w:rsid w:val="00693480"/>
    <w:rsid w:val="0069453B"/>
    <w:rsid w:val="006949D3"/>
    <w:rsid w:val="00694AB8"/>
    <w:rsid w:val="00694F08"/>
    <w:rsid w:val="00694F89"/>
    <w:rsid w:val="00695838"/>
    <w:rsid w:val="0069636C"/>
    <w:rsid w:val="00696370"/>
    <w:rsid w:val="00696703"/>
    <w:rsid w:val="006969CD"/>
    <w:rsid w:val="00696D73"/>
    <w:rsid w:val="00697225"/>
    <w:rsid w:val="006A087D"/>
    <w:rsid w:val="006A117B"/>
    <w:rsid w:val="006A153D"/>
    <w:rsid w:val="006A16C1"/>
    <w:rsid w:val="006A17E4"/>
    <w:rsid w:val="006A189C"/>
    <w:rsid w:val="006A18A3"/>
    <w:rsid w:val="006A18B8"/>
    <w:rsid w:val="006A1A9C"/>
    <w:rsid w:val="006A1D4A"/>
    <w:rsid w:val="006A24A2"/>
    <w:rsid w:val="006A2B1E"/>
    <w:rsid w:val="006A2FAC"/>
    <w:rsid w:val="006A32F8"/>
    <w:rsid w:val="006A3823"/>
    <w:rsid w:val="006A49F1"/>
    <w:rsid w:val="006A4B3F"/>
    <w:rsid w:val="006A4D70"/>
    <w:rsid w:val="006A551E"/>
    <w:rsid w:val="006A5712"/>
    <w:rsid w:val="006A5AF6"/>
    <w:rsid w:val="006A5B9E"/>
    <w:rsid w:val="006A6B66"/>
    <w:rsid w:val="006A7F33"/>
    <w:rsid w:val="006B0A2A"/>
    <w:rsid w:val="006B0BA6"/>
    <w:rsid w:val="006B153B"/>
    <w:rsid w:val="006B1903"/>
    <w:rsid w:val="006B1989"/>
    <w:rsid w:val="006B2004"/>
    <w:rsid w:val="006B26B6"/>
    <w:rsid w:val="006B289F"/>
    <w:rsid w:val="006B2C66"/>
    <w:rsid w:val="006B325D"/>
    <w:rsid w:val="006B3552"/>
    <w:rsid w:val="006B391C"/>
    <w:rsid w:val="006B3AFC"/>
    <w:rsid w:val="006B40F4"/>
    <w:rsid w:val="006B4607"/>
    <w:rsid w:val="006B4BD9"/>
    <w:rsid w:val="006B4FD9"/>
    <w:rsid w:val="006B54A1"/>
    <w:rsid w:val="006B5B35"/>
    <w:rsid w:val="006B6234"/>
    <w:rsid w:val="006B7ADE"/>
    <w:rsid w:val="006C04E3"/>
    <w:rsid w:val="006C0521"/>
    <w:rsid w:val="006C0CCC"/>
    <w:rsid w:val="006C1380"/>
    <w:rsid w:val="006C1AAC"/>
    <w:rsid w:val="006C1F59"/>
    <w:rsid w:val="006C2416"/>
    <w:rsid w:val="006C2515"/>
    <w:rsid w:val="006C3426"/>
    <w:rsid w:val="006C4372"/>
    <w:rsid w:val="006C4508"/>
    <w:rsid w:val="006C4B97"/>
    <w:rsid w:val="006C5039"/>
    <w:rsid w:val="006C567E"/>
    <w:rsid w:val="006C59A7"/>
    <w:rsid w:val="006C5B24"/>
    <w:rsid w:val="006C5C74"/>
    <w:rsid w:val="006C643A"/>
    <w:rsid w:val="006C71F5"/>
    <w:rsid w:val="006C73BC"/>
    <w:rsid w:val="006C7407"/>
    <w:rsid w:val="006C74F9"/>
    <w:rsid w:val="006C7652"/>
    <w:rsid w:val="006C780F"/>
    <w:rsid w:val="006C7E46"/>
    <w:rsid w:val="006C7EDE"/>
    <w:rsid w:val="006C7FCE"/>
    <w:rsid w:val="006D1826"/>
    <w:rsid w:val="006D1F96"/>
    <w:rsid w:val="006D2492"/>
    <w:rsid w:val="006D2A89"/>
    <w:rsid w:val="006D2C28"/>
    <w:rsid w:val="006D34C9"/>
    <w:rsid w:val="006D38BE"/>
    <w:rsid w:val="006D38E6"/>
    <w:rsid w:val="006D3F6C"/>
    <w:rsid w:val="006D5136"/>
    <w:rsid w:val="006D6665"/>
    <w:rsid w:val="006D68B9"/>
    <w:rsid w:val="006D69DF"/>
    <w:rsid w:val="006D765F"/>
    <w:rsid w:val="006D7845"/>
    <w:rsid w:val="006E051B"/>
    <w:rsid w:val="006E07DA"/>
    <w:rsid w:val="006E1484"/>
    <w:rsid w:val="006E1781"/>
    <w:rsid w:val="006E195D"/>
    <w:rsid w:val="006E1DB3"/>
    <w:rsid w:val="006E1F2D"/>
    <w:rsid w:val="006E2650"/>
    <w:rsid w:val="006E3350"/>
    <w:rsid w:val="006E33B0"/>
    <w:rsid w:val="006E36DB"/>
    <w:rsid w:val="006E3D11"/>
    <w:rsid w:val="006E4368"/>
    <w:rsid w:val="006E4369"/>
    <w:rsid w:val="006E4440"/>
    <w:rsid w:val="006E4C15"/>
    <w:rsid w:val="006E5912"/>
    <w:rsid w:val="006E607D"/>
    <w:rsid w:val="006E6102"/>
    <w:rsid w:val="006E632C"/>
    <w:rsid w:val="006E6580"/>
    <w:rsid w:val="006E6A31"/>
    <w:rsid w:val="006E7F5D"/>
    <w:rsid w:val="006F0203"/>
    <w:rsid w:val="006F04AE"/>
    <w:rsid w:val="006F0954"/>
    <w:rsid w:val="006F14E8"/>
    <w:rsid w:val="006F16CD"/>
    <w:rsid w:val="006F17E1"/>
    <w:rsid w:val="006F1E5F"/>
    <w:rsid w:val="006F27C6"/>
    <w:rsid w:val="006F2810"/>
    <w:rsid w:val="006F37A1"/>
    <w:rsid w:val="006F3EC8"/>
    <w:rsid w:val="006F40A8"/>
    <w:rsid w:val="006F4820"/>
    <w:rsid w:val="006F4DA6"/>
    <w:rsid w:val="006F522F"/>
    <w:rsid w:val="006F5355"/>
    <w:rsid w:val="006F5381"/>
    <w:rsid w:val="006F58F6"/>
    <w:rsid w:val="006F5977"/>
    <w:rsid w:val="006F5DD1"/>
    <w:rsid w:val="006F62FC"/>
    <w:rsid w:val="006F77AD"/>
    <w:rsid w:val="006F7C9B"/>
    <w:rsid w:val="006F7FB9"/>
    <w:rsid w:val="007001D5"/>
    <w:rsid w:val="007006F1"/>
    <w:rsid w:val="00700DD4"/>
    <w:rsid w:val="0070148B"/>
    <w:rsid w:val="00702A93"/>
    <w:rsid w:val="007033F8"/>
    <w:rsid w:val="0070398D"/>
    <w:rsid w:val="00703E2D"/>
    <w:rsid w:val="0070454C"/>
    <w:rsid w:val="0070474A"/>
    <w:rsid w:val="0070527E"/>
    <w:rsid w:val="00705999"/>
    <w:rsid w:val="00705C19"/>
    <w:rsid w:val="00706032"/>
    <w:rsid w:val="007062CE"/>
    <w:rsid w:val="00706366"/>
    <w:rsid w:val="00706368"/>
    <w:rsid w:val="00706ACD"/>
    <w:rsid w:val="00706DCB"/>
    <w:rsid w:val="00707220"/>
    <w:rsid w:val="00711019"/>
    <w:rsid w:val="0071114E"/>
    <w:rsid w:val="0071123B"/>
    <w:rsid w:val="0071145C"/>
    <w:rsid w:val="00711CAF"/>
    <w:rsid w:val="00711FFC"/>
    <w:rsid w:val="0071457A"/>
    <w:rsid w:val="00714706"/>
    <w:rsid w:val="0071472C"/>
    <w:rsid w:val="00714813"/>
    <w:rsid w:val="00714EC6"/>
    <w:rsid w:val="007159AB"/>
    <w:rsid w:val="007159CB"/>
    <w:rsid w:val="00715DD7"/>
    <w:rsid w:val="00716F1D"/>
    <w:rsid w:val="00717688"/>
    <w:rsid w:val="00717B6E"/>
    <w:rsid w:val="00717C78"/>
    <w:rsid w:val="00720FDC"/>
    <w:rsid w:val="00721762"/>
    <w:rsid w:val="007219EE"/>
    <w:rsid w:val="00721A74"/>
    <w:rsid w:val="007222BC"/>
    <w:rsid w:val="00723389"/>
    <w:rsid w:val="00723EF9"/>
    <w:rsid w:val="00724A7D"/>
    <w:rsid w:val="007255DF"/>
    <w:rsid w:val="0072567B"/>
    <w:rsid w:val="0072570E"/>
    <w:rsid w:val="00726172"/>
    <w:rsid w:val="00726753"/>
    <w:rsid w:val="00726F87"/>
    <w:rsid w:val="00727197"/>
    <w:rsid w:val="00727390"/>
    <w:rsid w:val="0072777D"/>
    <w:rsid w:val="00727CD1"/>
    <w:rsid w:val="00727D4D"/>
    <w:rsid w:val="0073012B"/>
    <w:rsid w:val="00730301"/>
    <w:rsid w:val="0073051A"/>
    <w:rsid w:val="00730702"/>
    <w:rsid w:val="00730B7E"/>
    <w:rsid w:val="00730C38"/>
    <w:rsid w:val="00730C5B"/>
    <w:rsid w:val="007315ED"/>
    <w:rsid w:val="00731653"/>
    <w:rsid w:val="00731AB5"/>
    <w:rsid w:val="0073288C"/>
    <w:rsid w:val="00732FC2"/>
    <w:rsid w:val="007337C5"/>
    <w:rsid w:val="00733A59"/>
    <w:rsid w:val="0073400F"/>
    <w:rsid w:val="00734265"/>
    <w:rsid w:val="007343D8"/>
    <w:rsid w:val="00735103"/>
    <w:rsid w:val="0073556E"/>
    <w:rsid w:val="0073558C"/>
    <w:rsid w:val="0073584C"/>
    <w:rsid w:val="00736498"/>
    <w:rsid w:val="00736587"/>
    <w:rsid w:val="007366F1"/>
    <w:rsid w:val="00736AC2"/>
    <w:rsid w:val="00736DA1"/>
    <w:rsid w:val="00737BFA"/>
    <w:rsid w:val="00737ED0"/>
    <w:rsid w:val="00740A52"/>
    <w:rsid w:val="00740D0A"/>
    <w:rsid w:val="00740D86"/>
    <w:rsid w:val="00741091"/>
    <w:rsid w:val="007416D9"/>
    <w:rsid w:val="00741D9F"/>
    <w:rsid w:val="00741FFD"/>
    <w:rsid w:val="0074242A"/>
    <w:rsid w:val="00742E08"/>
    <w:rsid w:val="00742E7C"/>
    <w:rsid w:val="0074337C"/>
    <w:rsid w:val="007441D6"/>
    <w:rsid w:val="00744274"/>
    <w:rsid w:val="007448FB"/>
    <w:rsid w:val="0074490E"/>
    <w:rsid w:val="00744930"/>
    <w:rsid w:val="00744E0E"/>
    <w:rsid w:val="00745108"/>
    <w:rsid w:val="007454FE"/>
    <w:rsid w:val="00745E7A"/>
    <w:rsid w:val="0074692B"/>
    <w:rsid w:val="00747761"/>
    <w:rsid w:val="00747CB1"/>
    <w:rsid w:val="00750679"/>
    <w:rsid w:val="0075073C"/>
    <w:rsid w:val="00750828"/>
    <w:rsid w:val="00750AEA"/>
    <w:rsid w:val="00750E67"/>
    <w:rsid w:val="00750EDC"/>
    <w:rsid w:val="00751B7F"/>
    <w:rsid w:val="00751D35"/>
    <w:rsid w:val="007523D5"/>
    <w:rsid w:val="007528AF"/>
    <w:rsid w:val="00752B49"/>
    <w:rsid w:val="00752D2C"/>
    <w:rsid w:val="00752DAB"/>
    <w:rsid w:val="007544F4"/>
    <w:rsid w:val="00754D59"/>
    <w:rsid w:val="00755022"/>
    <w:rsid w:val="00755183"/>
    <w:rsid w:val="007559B0"/>
    <w:rsid w:val="00755B2D"/>
    <w:rsid w:val="007562A9"/>
    <w:rsid w:val="007562E9"/>
    <w:rsid w:val="00756491"/>
    <w:rsid w:val="00756ABC"/>
    <w:rsid w:val="007577F5"/>
    <w:rsid w:val="00757A5E"/>
    <w:rsid w:val="0076011B"/>
    <w:rsid w:val="00760D2F"/>
    <w:rsid w:val="00761057"/>
    <w:rsid w:val="00761999"/>
    <w:rsid w:val="00761C0D"/>
    <w:rsid w:val="00761CCC"/>
    <w:rsid w:val="00761D13"/>
    <w:rsid w:val="00762220"/>
    <w:rsid w:val="007629A8"/>
    <w:rsid w:val="00762B2D"/>
    <w:rsid w:val="00763010"/>
    <w:rsid w:val="0076476E"/>
    <w:rsid w:val="007648D0"/>
    <w:rsid w:val="007652ED"/>
    <w:rsid w:val="0076533F"/>
    <w:rsid w:val="00765470"/>
    <w:rsid w:val="00765689"/>
    <w:rsid w:val="00765CF4"/>
    <w:rsid w:val="00765F6E"/>
    <w:rsid w:val="007662A6"/>
    <w:rsid w:val="00766BC4"/>
    <w:rsid w:val="00767231"/>
    <w:rsid w:val="00767925"/>
    <w:rsid w:val="00767BD1"/>
    <w:rsid w:val="007707C5"/>
    <w:rsid w:val="0077090F"/>
    <w:rsid w:val="00770A92"/>
    <w:rsid w:val="00770DC0"/>
    <w:rsid w:val="00770F0B"/>
    <w:rsid w:val="00770F3C"/>
    <w:rsid w:val="00771331"/>
    <w:rsid w:val="007722F4"/>
    <w:rsid w:val="00772AC2"/>
    <w:rsid w:val="00773817"/>
    <w:rsid w:val="00773856"/>
    <w:rsid w:val="00773FFD"/>
    <w:rsid w:val="00774802"/>
    <w:rsid w:val="00774869"/>
    <w:rsid w:val="00775A4F"/>
    <w:rsid w:val="00775B45"/>
    <w:rsid w:val="00775E12"/>
    <w:rsid w:val="007762A6"/>
    <w:rsid w:val="007767A1"/>
    <w:rsid w:val="007768D1"/>
    <w:rsid w:val="00777040"/>
    <w:rsid w:val="007772AA"/>
    <w:rsid w:val="00777C6E"/>
    <w:rsid w:val="00777EA9"/>
    <w:rsid w:val="0078021A"/>
    <w:rsid w:val="0078049E"/>
    <w:rsid w:val="00780C72"/>
    <w:rsid w:val="00781015"/>
    <w:rsid w:val="0078251C"/>
    <w:rsid w:val="00782D13"/>
    <w:rsid w:val="00782F6C"/>
    <w:rsid w:val="00783065"/>
    <w:rsid w:val="00783488"/>
    <w:rsid w:val="007834A4"/>
    <w:rsid w:val="00783A58"/>
    <w:rsid w:val="00783E4E"/>
    <w:rsid w:val="0078400A"/>
    <w:rsid w:val="0078427A"/>
    <w:rsid w:val="0078435F"/>
    <w:rsid w:val="00784CEE"/>
    <w:rsid w:val="00784D65"/>
    <w:rsid w:val="00784EB4"/>
    <w:rsid w:val="007854B9"/>
    <w:rsid w:val="00785567"/>
    <w:rsid w:val="007857A3"/>
    <w:rsid w:val="00785909"/>
    <w:rsid w:val="00785CCB"/>
    <w:rsid w:val="00785F06"/>
    <w:rsid w:val="007861E1"/>
    <w:rsid w:val="007862DD"/>
    <w:rsid w:val="007868E9"/>
    <w:rsid w:val="007871AB"/>
    <w:rsid w:val="00787431"/>
    <w:rsid w:val="00787B6C"/>
    <w:rsid w:val="0079020B"/>
    <w:rsid w:val="007908A3"/>
    <w:rsid w:val="00790B7A"/>
    <w:rsid w:val="00790EA6"/>
    <w:rsid w:val="00790F8F"/>
    <w:rsid w:val="007914E0"/>
    <w:rsid w:val="00791549"/>
    <w:rsid w:val="00791729"/>
    <w:rsid w:val="007921EA"/>
    <w:rsid w:val="007922C7"/>
    <w:rsid w:val="007922EE"/>
    <w:rsid w:val="0079266A"/>
    <w:rsid w:val="007928B4"/>
    <w:rsid w:val="00792B5B"/>
    <w:rsid w:val="00792CC3"/>
    <w:rsid w:val="00792E5B"/>
    <w:rsid w:val="007939DB"/>
    <w:rsid w:val="00793A09"/>
    <w:rsid w:val="007940F3"/>
    <w:rsid w:val="007940F7"/>
    <w:rsid w:val="00794AED"/>
    <w:rsid w:val="00794D4E"/>
    <w:rsid w:val="0079526E"/>
    <w:rsid w:val="00795348"/>
    <w:rsid w:val="00795CC2"/>
    <w:rsid w:val="007962B6"/>
    <w:rsid w:val="00796E33"/>
    <w:rsid w:val="0079706D"/>
    <w:rsid w:val="0079739C"/>
    <w:rsid w:val="007975D2"/>
    <w:rsid w:val="00797C17"/>
    <w:rsid w:val="00797C49"/>
    <w:rsid w:val="00797DE5"/>
    <w:rsid w:val="007A0224"/>
    <w:rsid w:val="007A030C"/>
    <w:rsid w:val="007A032E"/>
    <w:rsid w:val="007A05B9"/>
    <w:rsid w:val="007A16C4"/>
    <w:rsid w:val="007A1B12"/>
    <w:rsid w:val="007A1E1B"/>
    <w:rsid w:val="007A1E98"/>
    <w:rsid w:val="007A1F63"/>
    <w:rsid w:val="007A20F9"/>
    <w:rsid w:val="007A2358"/>
    <w:rsid w:val="007A23BF"/>
    <w:rsid w:val="007A2462"/>
    <w:rsid w:val="007A25B2"/>
    <w:rsid w:val="007A274B"/>
    <w:rsid w:val="007A2D1A"/>
    <w:rsid w:val="007A332C"/>
    <w:rsid w:val="007A33E0"/>
    <w:rsid w:val="007A3A6A"/>
    <w:rsid w:val="007A3CEA"/>
    <w:rsid w:val="007A3D46"/>
    <w:rsid w:val="007A3F48"/>
    <w:rsid w:val="007A45A5"/>
    <w:rsid w:val="007A47CB"/>
    <w:rsid w:val="007A5126"/>
    <w:rsid w:val="007A52C2"/>
    <w:rsid w:val="007A53D8"/>
    <w:rsid w:val="007A5E1A"/>
    <w:rsid w:val="007A62C9"/>
    <w:rsid w:val="007A65B3"/>
    <w:rsid w:val="007A6C8D"/>
    <w:rsid w:val="007A6CB2"/>
    <w:rsid w:val="007A7C17"/>
    <w:rsid w:val="007A7EDE"/>
    <w:rsid w:val="007A7FCD"/>
    <w:rsid w:val="007B0A94"/>
    <w:rsid w:val="007B0B28"/>
    <w:rsid w:val="007B0D07"/>
    <w:rsid w:val="007B0FB0"/>
    <w:rsid w:val="007B0FEB"/>
    <w:rsid w:val="007B141B"/>
    <w:rsid w:val="007B2008"/>
    <w:rsid w:val="007B2316"/>
    <w:rsid w:val="007B25B2"/>
    <w:rsid w:val="007B3311"/>
    <w:rsid w:val="007B338C"/>
    <w:rsid w:val="007B39DB"/>
    <w:rsid w:val="007B3B39"/>
    <w:rsid w:val="007B3B9E"/>
    <w:rsid w:val="007B3E04"/>
    <w:rsid w:val="007B3EBC"/>
    <w:rsid w:val="007B3F68"/>
    <w:rsid w:val="007B413E"/>
    <w:rsid w:val="007B4837"/>
    <w:rsid w:val="007B525E"/>
    <w:rsid w:val="007B5F41"/>
    <w:rsid w:val="007B61B8"/>
    <w:rsid w:val="007B61EE"/>
    <w:rsid w:val="007B6331"/>
    <w:rsid w:val="007B669A"/>
    <w:rsid w:val="007B6A27"/>
    <w:rsid w:val="007B6B69"/>
    <w:rsid w:val="007B7145"/>
    <w:rsid w:val="007B73F9"/>
    <w:rsid w:val="007B77F8"/>
    <w:rsid w:val="007C045B"/>
    <w:rsid w:val="007C0518"/>
    <w:rsid w:val="007C08EF"/>
    <w:rsid w:val="007C0A00"/>
    <w:rsid w:val="007C0D5A"/>
    <w:rsid w:val="007C100E"/>
    <w:rsid w:val="007C11A3"/>
    <w:rsid w:val="007C1332"/>
    <w:rsid w:val="007C1398"/>
    <w:rsid w:val="007C161F"/>
    <w:rsid w:val="007C166F"/>
    <w:rsid w:val="007C2207"/>
    <w:rsid w:val="007C22F1"/>
    <w:rsid w:val="007C2AB4"/>
    <w:rsid w:val="007C3395"/>
    <w:rsid w:val="007C45A5"/>
    <w:rsid w:val="007C49BB"/>
    <w:rsid w:val="007C4C0C"/>
    <w:rsid w:val="007C4C39"/>
    <w:rsid w:val="007C5623"/>
    <w:rsid w:val="007C65FE"/>
    <w:rsid w:val="007C6828"/>
    <w:rsid w:val="007D039D"/>
    <w:rsid w:val="007D0B01"/>
    <w:rsid w:val="007D0B11"/>
    <w:rsid w:val="007D1531"/>
    <w:rsid w:val="007D1CAC"/>
    <w:rsid w:val="007D1D04"/>
    <w:rsid w:val="007D2083"/>
    <w:rsid w:val="007D2271"/>
    <w:rsid w:val="007D2366"/>
    <w:rsid w:val="007D2BE5"/>
    <w:rsid w:val="007D2C3D"/>
    <w:rsid w:val="007D2F34"/>
    <w:rsid w:val="007D3637"/>
    <w:rsid w:val="007D382F"/>
    <w:rsid w:val="007D3847"/>
    <w:rsid w:val="007D4EDB"/>
    <w:rsid w:val="007D5364"/>
    <w:rsid w:val="007D54DA"/>
    <w:rsid w:val="007D56CB"/>
    <w:rsid w:val="007D5C60"/>
    <w:rsid w:val="007D6D4D"/>
    <w:rsid w:val="007E00AA"/>
    <w:rsid w:val="007E06D5"/>
    <w:rsid w:val="007E0B27"/>
    <w:rsid w:val="007E0B49"/>
    <w:rsid w:val="007E12D5"/>
    <w:rsid w:val="007E1719"/>
    <w:rsid w:val="007E184C"/>
    <w:rsid w:val="007E1A71"/>
    <w:rsid w:val="007E1E5F"/>
    <w:rsid w:val="007E2762"/>
    <w:rsid w:val="007E2FA5"/>
    <w:rsid w:val="007E319A"/>
    <w:rsid w:val="007E3252"/>
    <w:rsid w:val="007E3929"/>
    <w:rsid w:val="007E40B3"/>
    <w:rsid w:val="007E4317"/>
    <w:rsid w:val="007E475A"/>
    <w:rsid w:val="007E604B"/>
    <w:rsid w:val="007E62B0"/>
    <w:rsid w:val="007E6394"/>
    <w:rsid w:val="007E6851"/>
    <w:rsid w:val="007E68B4"/>
    <w:rsid w:val="007E7249"/>
    <w:rsid w:val="007E7366"/>
    <w:rsid w:val="007E73F6"/>
    <w:rsid w:val="007E7783"/>
    <w:rsid w:val="007E79BC"/>
    <w:rsid w:val="007F0011"/>
    <w:rsid w:val="007F0702"/>
    <w:rsid w:val="007F0D0D"/>
    <w:rsid w:val="007F1365"/>
    <w:rsid w:val="007F168A"/>
    <w:rsid w:val="007F23EA"/>
    <w:rsid w:val="007F25A5"/>
    <w:rsid w:val="007F2A4A"/>
    <w:rsid w:val="007F2A7C"/>
    <w:rsid w:val="007F3124"/>
    <w:rsid w:val="007F365E"/>
    <w:rsid w:val="007F4119"/>
    <w:rsid w:val="007F4473"/>
    <w:rsid w:val="007F48D6"/>
    <w:rsid w:val="007F4ADC"/>
    <w:rsid w:val="007F4B78"/>
    <w:rsid w:val="007F585B"/>
    <w:rsid w:val="007F6217"/>
    <w:rsid w:val="007F62C3"/>
    <w:rsid w:val="007F65FB"/>
    <w:rsid w:val="007F673E"/>
    <w:rsid w:val="007F6C11"/>
    <w:rsid w:val="007F6D4B"/>
    <w:rsid w:val="007F723B"/>
    <w:rsid w:val="007F7ACF"/>
    <w:rsid w:val="007F7B1F"/>
    <w:rsid w:val="008006F9"/>
    <w:rsid w:val="00800A70"/>
    <w:rsid w:val="00801036"/>
    <w:rsid w:val="00801243"/>
    <w:rsid w:val="00801B70"/>
    <w:rsid w:val="00801E41"/>
    <w:rsid w:val="00802DAC"/>
    <w:rsid w:val="00803680"/>
    <w:rsid w:val="00803683"/>
    <w:rsid w:val="00803FFA"/>
    <w:rsid w:val="0080485B"/>
    <w:rsid w:val="0080489D"/>
    <w:rsid w:val="00804D16"/>
    <w:rsid w:val="00805203"/>
    <w:rsid w:val="0080540F"/>
    <w:rsid w:val="00805448"/>
    <w:rsid w:val="00805481"/>
    <w:rsid w:val="00805893"/>
    <w:rsid w:val="00805D43"/>
    <w:rsid w:val="0080697B"/>
    <w:rsid w:val="008069D9"/>
    <w:rsid w:val="00806A6C"/>
    <w:rsid w:val="00806C74"/>
    <w:rsid w:val="00807029"/>
    <w:rsid w:val="008073FF"/>
    <w:rsid w:val="00807646"/>
    <w:rsid w:val="00810424"/>
    <w:rsid w:val="00810624"/>
    <w:rsid w:val="00810E49"/>
    <w:rsid w:val="00811580"/>
    <w:rsid w:val="008115B7"/>
    <w:rsid w:val="00811715"/>
    <w:rsid w:val="008117D3"/>
    <w:rsid w:val="0081188A"/>
    <w:rsid w:val="00811ECF"/>
    <w:rsid w:val="0081205A"/>
    <w:rsid w:val="00812B35"/>
    <w:rsid w:val="00812BCB"/>
    <w:rsid w:val="00812D0F"/>
    <w:rsid w:val="00813165"/>
    <w:rsid w:val="00813484"/>
    <w:rsid w:val="00813619"/>
    <w:rsid w:val="00813BFC"/>
    <w:rsid w:val="008145BA"/>
    <w:rsid w:val="00814D65"/>
    <w:rsid w:val="00814E8B"/>
    <w:rsid w:val="008154D6"/>
    <w:rsid w:val="00815E22"/>
    <w:rsid w:val="0081633F"/>
    <w:rsid w:val="00816EE6"/>
    <w:rsid w:val="008170EC"/>
    <w:rsid w:val="0081729C"/>
    <w:rsid w:val="00817476"/>
    <w:rsid w:val="00817C73"/>
    <w:rsid w:val="00817E6C"/>
    <w:rsid w:val="00820D8C"/>
    <w:rsid w:val="00821C07"/>
    <w:rsid w:val="00821F60"/>
    <w:rsid w:val="008236E5"/>
    <w:rsid w:val="008248B0"/>
    <w:rsid w:val="00824A74"/>
    <w:rsid w:val="00825475"/>
    <w:rsid w:val="00825A26"/>
    <w:rsid w:val="00825E83"/>
    <w:rsid w:val="0082732F"/>
    <w:rsid w:val="00827899"/>
    <w:rsid w:val="008278D4"/>
    <w:rsid w:val="00827A08"/>
    <w:rsid w:val="00827D03"/>
    <w:rsid w:val="00827D28"/>
    <w:rsid w:val="008301DB"/>
    <w:rsid w:val="0083024A"/>
    <w:rsid w:val="008308C4"/>
    <w:rsid w:val="008321AA"/>
    <w:rsid w:val="008325B6"/>
    <w:rsid w:val="00833220"/>
    <w:rsid w:val="00833361"/>
    <w:rsid w:val="00833809"/>
    <w:rsid w:val="00833BE6"/>
    <w:rsid w:val="008341D9"/>
    <w:rsid w:val="008342B4"/>
    <w:rsid w:val="008348D0"/>
    <w:rsid w:val="00834BF3"/>
    <w:rsid w:val="00835228"/>
    <w:rsid w:val="00835586"/>
    <w:rsid w:val="0083566A"/>
    <w:rsid w:val="00835921"/>
    <w:rsid w:val="00835BF2"/>
    <w:rsid w:val="00835C93"/>
    <w:rsid w:val="00835DC2"/>
    <w:rsid w:val="008361FD"/>
    <w:rsid w:val="00836578"/>
    <w:rsid w:val="00836CC1"/>
    <w:rsid w:val="00836CD7"/>
    <w:rsid w:val="00837A87"/>
    <w:rsid w:val="00840160"/>
    <w:rsid w:val="008405BB"/>
    <w:rsid w:val="00840AAD"/>
    <w:rsid w:val="00840E3E"/>
    <w:rsid w:val="00841482"/>
    <w:rsid w:val="008417EC"/>
    <w:rsid w:val="00841C3D"/>
    <w:rsid w:val="008420A7"/>
    <w:rsid w:val="00843058"/>
    <w:rsid w:val="008435B1"/>
    <w:rsid w:val="00844258"/>
    <w:rsid w:val="00844897"/>
    <w:rsid w:val="00844AAA"/>
    <w:rsid w:val="00844FAA"/>
    <w:rsid w:val="0084523B"/>
    <w:rsid w:val="0084555D"/>
    <w:rsid w:val="00845CB5"/>
    <w:rsid w:val="008462BA"/>
    <w:rsid w:val="0084646F"/>
    <w:rsid w:val="00847056"/>
    <w:rsid w:val="0084720E"/>
    <w:rsid w:val="00847D60"/>
    <w:rsid w:val="00850264"/>
    <w:rsid w:val="00850648"/>
    <w:rsid w:val="008506F9"/>
    <w:rsid w:val="00850C11"/>
    <w:rsid w:val="008512EE"/>
    <w:rsid w:val="008518B0"/>
    <w:rsid w:val="008519C5"/>
    <w:rsid w:val="00851D0D"/>
    <w:rsid w:val="00851E28"/>
    <w:rsid w:val="00852782"/>
    <w:rsid w:val="00853002"/>
    <w:rsid w:val="00853716"/>
    <w:rsid w:val="00853961"/>
    <w:rsid w:val="008539F4"/>
    <w:rsid w:val="00853C94"/>
    <w:rsid w:val="00853CCA"/>
    <w:rsid w:val="00853D66"/>
    <w:rsid w:val="008543E8"/>
    <w:rsid w:val="00854DBC"/>
    <w:rsid w:val="00855254"/>
    <w:rsid w:val="008556A8"/>
    <w:rsid w:val="00855F32"/>
    <w:rsid w:val="00856441"/>
    <w:rsid w:val="00856570"/>
    <w:rsid w:val="00856CB6"/>
    <w:rsid w:val="00856EB8"/>
    <w:rsid w:val="00856F57"/>
    <w:rsid w:val="00857758"/>
    <w:rsid w:val="0086055D"/>
    <w:rsid w:val="00860D5A"/>
    <w:rsid w:val="00860FF7"/>
    <w:rsid w:val="008620D8"/>
    <w:rsid w:val="00863552"/>
    <w:rsid w:val="008635C4"/>
    <w:rsid w:val="008638CF"/>
    <w:rsid w:val="00863C73"/>
    <w:rsid w:val="00863D08"/>
    <w:rsid w:val="00863DF4"/>
    <w:rsid w:val="008641C7"/>
    <w:rsid w:val="00864467"/>
    <w:rsid w:val="00864789"/>
    <w:rsid w:val="00864AE3"/>
    <w:rsid w:val="0086611F"/>
    <w:rsid w:val="0086649B"/>
    <w:rsid w:val="00866680"/>
    <w:rsid w:val="00867C00"/>
    <w:rsid w:val="00867F1A"/>
    <w:rsid w:val="008702C8"/>
    <w:rsid w:val="0087045C"/>
    <w:rsid w:val="008704AE"/>
    <w:rsid w:val="00870516"/>
    <w:rsid w:val="008705C5"/>
    <w:rsid w:val="00870ED8"/>
    <w:rsid w:val="00871F2E"/>
    <w:rsid w:val="00872095"/>
    <w:rsid w:val="008720D3"/>
    <w:rsid w:val="00872C1B"/>
    <w:rsid w:val="00873151"/>
    <w:rsid w:val="008733E6"/>
    <w:rsid w:val="008741C3"/>
    <w:rsid w:val="0087471D"/>
    <w:rsid w:val="00874796"/>
    <w:rsid w:val="00875F93"/>
    <w:rsid w:val="00876917"/>
    <w:rsid w:val="00876C7F"/>
    <w:rsid w:val="00876D61"/>
    <w:rsid w:val="00876F7E"/>
    <w:rsid w:val="0087708A"/>
    <w:rsid w:val="00877443"/>
    <w:rsid w:val="008779FC"/>
    <w:rsid w:val="0088008C"/>
    <w:rsid w:val="00882012"/>
    <w:rsid w:val="00882136"/>
    <w:rsid w:val="008828BD"/>
    <w:rsid w:val="00882D51"/>
    <w:rsid w:val="00882DA6"/>
    <w:rsid w:val="00883990"/>
    <w:rsid w:val="00883CE1"/>
    <w:rsid w:val="0088424B"/>
    <w:rsid w:val="0088444B"/>
    <w:rsid w:val="008848C7"/>
    <w:rsid w:val="00884A23"/>
    <w:rsid w:val="00884C5B"/>
    <w:rsid w:val="008856FC"/>
    <w:rsid w:val="00885781"/>
    <w:rsid w:val="00885A4A"/>
    <w:rsid w:val="00885B39"/>
    <w:rsid w:val="00885D27"/>
    <w:rsid w:val="00885FCF"/>
    <w:rsid w:val="00886064"/>
    <w:rsid w:val="008862A5"/>
    <w:rsid w:val="0088648E"/>
    <w:rsid w:val="008867DF"/>
    <w:rsid w:val="008869FA"/>
    <w:rsid w:val="0088721D"/>
    <w:rsid w:val="008873E2"/>
    <w:rsid w:val="0088761C"/>
    <w:rsid w:val="00887FEB"/>
    <w:rsid w:val="008901DA"/>
    <w:rsid w:val="008906ED"/>
    <w:rsid w:val="008910E0"/>
    <w:rsid w:val="0089123E"/>
    <w:rsid w:val="008917B4"/>
    <w:rsid w:val="008917EA"/>
    <w:rsid w:val="00891D37"/>
    <w:rsid w:val="0089235F"/>
    <w:rsid w:val="0089281D"/>
    <w:rsid w:val="00892A84"/>
    <w:rsid w:val="00892C9A"/>
    <w:rsid w:val="00893914"/>
    <w:rsid w:val="0089424A"/>
    <w:rsid w:val="008943CD"/>
    <w:rsid w:val="00894B32"/>
    <w:rsid w:val="00894BFE"/>
    <w:rsid w:val="00894E5B"/>
    <w:rsid w:val="008951E1"/>
    <w:rsid w:val="008954B2"/>
    <w:rsid w:val="00895977"/>
    <w:rsid w:val="00895B24"/>
    <w:rsid w:val="00895B30"/>
    <w:rsid w:val="00895F3B"/>
    <w:rsid w:val="0089648F"/>
    <w:rsid w:val="0089671B"/>
    <w:rsid w:val="00896C68"/>
    <w:rsid w:val="008A0308"/>
    <w:rsid w:val="008A0B0A"/>
    <w:rsid w:val="008A0EAA"/>
    <w:rsid w:val="008A0EDF"/>
    <w:rsid w:val="008A0FC6"/>
    <w:rsid w:val="008A229A"/>
    <w:rsid w:val="008A23F4"/>
    <w:rsid w:val="008A24D8"/>
    <w:rsid w:val="008A2556"/>
    <w:rsid w:val="008A2C14"/>
    <w:rsid w:val="008A2F0A"/>
    <w:rsid w:val="008A31B0"/>
    <w:rsid w:val="008A3C56"/>
    <w:rsid w:val="008A4461"/>
    <w:rsid w:val="008A4AD4"/>
    <w:rsid w:val="008A4D34"/>
    <w:rsid w:val="008A4DFC"/>
    <w:rsid w:val="008A5271"/>
    <w:rsid w:val="008A528A"/>
    <w:rsid w:val="008A5647"/>
    <w:rsid w:val="008A5A9E"/>
    <w:rsid w:val="008A5EA8"/>
    <w:rsid w:val="008A68B0"/>
    <w:rsid w:val="008A6AA0"/>
    <w:rsid w:val="008A6C60"/>
    <w:rsid w:val="008A6EC1"/>
    <w:rsid w:val="008A7852"/>
    <w:rsid w:val="008A7A7F"/>
    <w:rsid w:val="008A7D2A"/>
    <w:rsid w:val="008B0331"/>
    <w:rsid w:val="008B05A7"/>
    <w:rsid w:val="008B0B7D"/>
    <w:rsid w:val="008B0D97"/>
    <w:rsid w:val="008B0E4F"/>
    <w:rsid w:val="008B1989"/>
    <w:rsid w:val="008B1FD8"/>
    <w:rsid w:val="008B277D"/>
    <w:rsid w:val="008B2827"/>
    <w:rsid w:val="008B2B9E"/>
    <w:rsid w:val="008B2DC1"/>
    <w:rsid w:val="008B2EC5"/>
    <w:rsid w:val="008B33A5"/>
    <w:rsid w:val="008B35EC"/>
    <w:rsid w:val="008B3602"/>
    <w:rsid w:val="008B3807"/>
    <w:rsid w:val="008B3C30"/>
    <w:rsid w:val="008B4051"/>
    <w:rsid w:val="008B42D3"/>
    <w:rsid w:val="008B4888"/>
    <w:rsid w:val="008B48B5"/>
    <w:rsid w:val="008B48EF"/>
    <w:rsid w:val="008B5FF9"/>
    <w:rsid w:val="008B6838"/>
    <w:rsid w:val="008B692B"/>
    <w:rsid w:val="008B6A19"/>
    <w:rsid w:val="008B6D1E"/>
    <w:rsid w:val="008B743E"/>
    <w:rsid w:val="008B75B2"/>
    <w:rsid w:val="008B7E4C"/>
    <w:rsid w:val="008B7FC2"/>
    <w:rsid w:val="008C0045"/>
    <w:rsid w:val="008C05B1"/>
    <w:rsid w:val="008C08B2"/>
    <w:rsid w:val="008C0BE7"/>
    <w:rsid w:val="008C0C6B"/>
    <w:rsid w:val="008C10E6"/>
    <w:rsid w:val="008C1B95"/>
    <w:rsid w:val="008C2107"/>
    <w:rsid w:val="008C254A"/>
    <w:rsid w:val="008C26B1"/>
    <w:rsid w:val="008C2B22"/>
    <w:rsid w:val="008C3726"/>
    <w:rsid w:val="008C466B"/>
    <w:rsid w:val="008C4ABA"/>
    <w:rsid w:val="008C4D1C"/>
    <w:rsid w:val="008C4F9A"/>
    <w:rsid w:val="008C567A"/>
    <w:rsid w:val="008C5A2F"/>
    <w:rsid w:val="008C5F24"/>
    <w:rsid w:val="008C699A"/>
    <w:rsid w:val="008C6B82"/>
    <w:rsid w:val="008C6F2F"/>
    <w:rsid w:val="008C70F4"/>
    <w:rsid w:val="008C7909"/>
    <w:rsid w:val="008C7968"/>
    <w:rsid w:val="008C7AB1"/>
    <w:rsid w:val="008D0A63"/>
    <w:rsid w:val="008D11B7"/>
    <w:rsid w:val="008D142B"/>
    <w:rsid w:val="008D1A5C"/>
    <w:rsid w:val="008D1D9A"/>
    <w:rsid w:val="008D1E1D"/>
    <w:rsid w:val="008D2212"/>
    <w:rsid w:val="008D25A6"/>
    <w:rsid w:val="008D2C95"/>
    <w:rsid w:val="008D32BE"/>
    <w:rsid w:val="008D32F6"/>
    <w:rsid w:val="008D34C2"/>
    <w:rsid w:val="008D3A9E"/>
    <w:rsid w:val="008D3C0E"/>
    <w:rsid w:val="008D3E15"/>
    <w:rsid w:val="008D3E7B"/>
    <w:rsid w:val="008D450A"/>
    <w:rsid w:val="008D487E"/>
    <w:rsid w:val="008D48AC"/>
    <w:rsid w:val="008D4A87"/>
    <w:rsid w:val="008D4AE7"/>
    <w:rsid w:val="008D4F01"/>
    <w:rsid w:val="008D5203"/>
    <w:rsid w:val="008D54BE"/>
    <w:rsid w:val="008D58C8"/>
    <w:rsid w:val="008D5EE5"/>
    <w:rsid w:val="008D60C7"/>
    <w:rsid w:val="008D6267"/>
    <w:rsid w:val="008D6471"/>
    <w:rsid w:val="008D777A"/>
    <w:rsid w:val="008D7B69"/>
    <w:rsid w:val="008D7ED7"/>
    <w:rsid w:val="008E063F"/>
    <w:rsid w:val="008E08FB"/>
    <w:rsid w:val="008E0995"/>
    <w:rsid w:val="008E0BAF"/>
    <w:rsid w:val="008E0CFD"/>
    <w:rsid w:val="008E1105"/>
    <w:rsid w:val="008E1B41"/>
    <w:rsid w:val="008E1BA8"/>
    <w:rsid w:val="008E1BD8"/>
    <w:rsid w:val="008E3204"/>
    <w:rsid w:val="008E3518"/>
    <w:rsid w:val="008E3BC5"/>
    <w:rsid w:val="008E4153"/>
    <w:rsid w:val="008E5331"/>
    <w:rsid w:val="008E55E9"/>
    <w:rsid w:val="008E56F2"/>
    <w:rsid w:val="008E57E9"/>
    <w:rsid w:val="008E595B"/>
    <w:rsid w:val="008E619B"/>
    <w:rsid w:val="008E6253"/>
    <w:rsid w:val="008E66E5"/>
    <w:rsid w:val="008E6ED1"/>
    <w:rsid w:val="008E711E"/>
    <w:rsid w:val="008E7D7B"/>
    <w:rsid w:val="008F0E1A"/>
    <w:rsid w:val="008F0FD4"/>
    <w:rsid w:val="008F12D8"/>
    <w:rsid w:val="008F12E3"/>
    <w:rsid w:val="008F164B"/>
    <w:rsid w:val="008F1A6E"/>
    <w:rsid w:val="008F1D9F"/>
    <w:rsid w:val="008F2333"/>
    <w:rsid w:val="008F234F"/>
    <w:rsid w:val="008F2813"/>
    <w:rsid w:val="008F292E"/>
    <w:rsid w:val="008F2935"/>
    <w:rsid w:val="008F2E5B"/>
    <w:rsid w:val="008F2EA9"/>
    <w:rsid w:val="008F310F"/>
    <w:rsid w:val="008F3904"/>
    <w:rsid w:val="008F3AB8"/>
    <w:rsid w:val="008F47A3"/>
    <w:rsid w:val="008F4D08"/>
    <w:rsid w:val="008F5638"/>
    <w:rsid w:val="008F56CB"/>
    <w:rsid w:val="008F5E45"/>
    <w:rsid w:val="008F60AA"/>
    <w:rsid w:val="008F60E4"/>
    <w:rsid w:val="008F635E"/>
    <w:rsid w:val="008F6A1B"/>
    <w:rsid w:val="008F6A39"/>
    <w:rsid w:val="009002EC"/>
    <w:rsid w:val="009006DC"/>
    <w:rsid w:val="009008AE"/>
    <w:rsid w:val="00900913"/>
    <w:rsid w:val="00900A8E"/>
    <w:rsid w:val="00900C39"/>
    <w:rsid w:val="0090155D"/>
    <w:rsid w:val="0090169C"/>
    <w:rsid w:val="00901945"/>
    <w:rsid w:val="00901A1D"/>
    <w:rsid w:val="00901D16"/>
    <w:rsid w:val="0090258A"/>
    <w:rsid w:val="009025AF"/>
    <w:rsid w:val="00902696"/>
    <w:rsid w:val="009034F0"/>
    <w:rsid w:val="00903784"/>
    <w:rsid w:val="00903827"/>
    <w:rsid w:val="00903A0B"/>
    <w:rsid w:val="00904101"/>
    <w:rsid w:val="00904910"/>
    <w:rsid w:val="00904BBC"/>
    <w:rsid w:val="00904CF0"/>
    <w:rsid w:val="00904DCD"/>
    <w:rsid w:val="00905C28"/>
    <w:rsid w:val="009060C9"/>
    <w:rsid w:val="00906B25"/>
    <w:rsid w:val="00906FBE"/>
    <w:rsid w:val="009070F3"/>
    <w:rsid w:val="0090782C"/>
    <w:rsid w:val="00907985"/>
    <w:rsid w:val="00910107"/>
    <w:rsid w:val="0091034A"/>
    <w:rsid w:val="0091089B"/>
    <w:rsid w:val="009109C6"/>
    <w:rsid w:val="00911192"/>
    <w:rsid w:val="0091143C"/>
    <w:rsid w:val="009115C4"/>
    <w:rsid w:val="009115DD"/>
    <w:rsid w:val="0091197C"/>
    <w:rsid w:val="009121AF"/>
    <w:rsid w:val="00912B35"/>
    <w:rsid w:val="00912DAE"/>
    <w:rsid w:val="009138AB"/>
    <w:rsid w:val="00914197"/>
    <w:rsid w:val="009151D3"/>
    <w:rsid w:val="009155CE"/>
    <w:rsid w:val="00915866"/>
    <w:rsid w:val="0091597B"/>
    <w:rsid w:val="00915AC0"/>
    <w:rsid w:val="00916031"/>
    <w:rsid w:val="009169FB"/>
    <w:rsid w:val="00916B68"/>
    <w:rsid w:val="00916DA1"/>
    <w:rsid w:val="00917351"/>
    <w:rsid w:val="00917941"/>
    <w:rsid w:val="00917F35"/>
    <w:rsid w:val="0092007C"/>
    <w:rsid w:val="00920284"/>
    <w:rsid w:val="009202DD"/>
    <w:rsid w:val="00920C00"/>
    <w:rsid w:val="00920ED7"/>
    <w:rsid w:val="00921097"/>
    <w:rsid w:val="00921432"/>
    <w:rsid w:val="00921A9E"/>
    <w:rsid w:val="00921CED"/>
    <w:rsid w:val="0092225E"/>
    <w:rsid w:val="00922ADD"/>
    <w:rsid w:val="00922BB7"/>
    <w:rsid w:val="00923DFA"/>
    <w:rsid w:val="00923E80"/>
    <w:rsid w:val="00923F62"/>
    <w:rsid w:val="00924384"/>
    <w:rsid w:val="00924A16"/>
    <w:rsid w:val="00924B50"/>
    <w:rsid w:val="009250C9"/>
    <w:rsid w:val="009255A4"/>
    <w:rsid w:val="00925D8E"/>
    <w:rsid w:val="009260F9"/>
    <w:rsid w:val="009262C6"/>
    <w:rsid w:val="00926557"/>
    <w:rsid w:val="00926E65"/>
    <w:rsid w:val="00926F25"/>
    <w:rsid w:val="00926F4F"/>
    <w:rsid w:val="0092719F"/>
    <w:rsid w:val="00927BE0"/>
    <w:rsid w:val="00927FD1"/>
    <w:rsid w:val="00930497"/>
    <w:rsid w:val="00930629"/>
    <w:rsid w:val="00930E3E"/>
    <w:rsid w:val="009312C3"/>
    <w:rsid w:val="009313E3"/>
    <w:rsid w:val="00931AF9"/>
    <w:rsid w:val="00932800"/>
    <w:rsid w:val="00932BA8"/>
    <w:rsid w:val="009337C1"/>
    <w:rsid w:val="009339E5"/>
    <w:rsid w:val="00933DFA"/>
    <w:rsid w:val="00933F29"/>
    <w:rsid w:val="0093445F"/>
    <w:rsid w:val="0093460D"/>
    <w:rsid w:val="0093471F"/>
    <w:rsid w:val="009347F4"/>
    <w:rsid w:val="00934B6A"/>
    <w:rsid w:val="00934C7B"/>
    <w:rsid w:val="0093535C"/>
    <w:rsid w:val="009356DD"/>
    <w:rsid w:val="00935F7A"/>
    <w:rsid w:val="009364EB"/>
    <w:rsid w:val="0093786C"/>
    <w:rsid w:val="00940022"/>
    <w:rsid w:val="009406C7"/>
    <w:rsid w:val="009407FD"/>
    <w:rsid w:val="00940C0D"/>
    <w:rsid w:val="00941962"/>
    <w:rsid w:val="00941B33"/>
    <w:rsid w:val="00941C3F"/>
    <w:rsid w:val="00941EF0"/>
    <w:rsid w:val="00942482"/>
    <w:rsid w:val="009424FB"/>
    <w:rsid w:val="009426F3"/>
    <w:rsid w:val="00942AD4"/>
    <w:rsid w:val="00942FDF"/>
    <w:rsid w:val="00943181"/>
    <w:rsid w:val="0094382E"/>
    <w:rsid w:val="009438EE"/>
    <w:rsid w:val="00943EDA"/>
    <w:rsid w:val="00944723"/>
    <w:rsid w:val="00944AB1"/>
    <w:rsid w:val="009450B2"/>
    <w:rsid w:val="009465C9"/>
    <w:rsid w:val="00946A3B"/>
    <w:rsid w:val="00946B9D"/>
    <w:rsid w:val="00947571"/>
    <w:rsid w:val="009477AC"/>
    <w:rsid w:val="009479F7"/>
    <w:rsid w:val="00947A9D"/>
    <w:rsid w:val="00950C9B"/>
    <w:rsid w:val="00950CD5"/>
    <w:rsid w:val="00951388"/>
    <w:rsid w:val="00951472"/>
    <w:rsid w:val="0095216D"/>
    <w:rsid w:val="00952896"/>
    <w:rsid w:val="00952A71"/>
    <w:rsid w:val="00953F45"/>
    <w:rsid w:val="009542D6"/>
    <w:rsid w:val="00954957"/>
    <w:rsid w:val="00954A4F"/>
    <w:rsid w:val="009552CC"/>
    <w:rsid w:val="009559C8"/>
    <w:rsid w:val="00955C3B"/>
    <w:rsid w:val="009565FA"/>
    <w:rsid w:val="00956CBA"/>
    <w:rsid w:val="009574C8"/>
    <w:rsid w:val="00957AE8"/>
    <w:rsid w:val="00957F2A"/>
    <w:rsid w:val="00957F3C"/>
    <w:rsid w:val="00960012"/>
    <w:rsid w:val="0096023D"/>
    <w:rsid w:val="00960A76"/>
    <w:rsid w:val="00960C6A"/>
    <w:rsid w:val="00960EB0"/>
    <w:rsid w:val="00960F3F"/>
    <w:rsid w:val="009611CD"/>
    <w:rsid w:val="009612E9"/>
    <w:rsid w:val="009615E3"/>
    <w:rsid w:val="009622A6"/>
    <w:rsid w:val="009622C2"/>
    <w:rsid w:val="00962520"/>
    <w:rsid w:val="00962CA5"/>
    <w:rsid w:val="00962E12"/>
    <w:rsid w:val="00963207"/>
    <w:rsid w:val="00963AF0"/>
    <w:rsid w:val="00963C7C"/>
    <w:rsid w:val="00964D70"/>
    <w:rsid w:val="009657C2"/>
    <w:rsid w:val="009667FE"/>
    <w:rsid w:val="009669C2"/>
    <w:rsid w:val="00966D8C"/>
    <w:rsid w:val="00967BE7"/>
    <w:rsid w:val="00967D70"/>
    <w:rsid w:val="00967D83"/>
    <w:rsid w:val="00967FE3"/>
    <w:rsid w:val="0097018E"/>
    <w:rsid w:val="0097047A"/>
    <w:rsid w:val="00970766"/>
    <w:rsid w:val="00970B58"/>
    <w:rsid w:val="0097111B"/>
    <w:rsid w:val="00971435"/>
    <w:rsid w:val="0097179D"/>
    <w:rsid w:val="00971B5A"/>
    <w:rsid w:val="00971B6B"/>
    <w:rsid w:val="00972368"/>
    <w:rsid w:val="009723C6"/>
    <w:rsid w:val="00972CD9"/>
    <w:rsid w:val="0097306E"/>
    <w:rsid w:val="0097306F"/>
    <w:rsid w:val="0097355E"/>
    <w:rsid w:val="0097390C"/>
    <w:rsid w:val="00973AE0"/>
    <w:rsid w:val="00973D06"/>
    <w:rsid w:val="00973DE9"/>
    <w:rsid w:val="0097409A"/>
    <w:rsid w:val="0097492B"/>
    <w:rsid w:val="00974DF7"/>
    <w:rsid w:val="009755CF"/>
    <w:rsid w:val="009757B8"/>
    <w:rsid w:val="00975976"/>
    <w:rsid w:val="0097630E"/>
    <w:rsid w:val="00976BF6"/>
    <w:rsid w:val="00976C76"/>
    <w:rsid w:val="00976F90"/>
    <w:rsid w:val="00977710"/>
    <w:rsid w:val="00977BF2"/>
    <w:rsid w:val="00980747"/>
    <w:rsid w:val="00980D7C"/>
    <w:rsid w:val="009812F7"/>
    <w:rsid w:val="009818C5"/>
    <w:rsid w:val="0098196E"/>
    <w:rsid w:val="009823E2"/>
    <w:rsid w:val="00982615"/>
    <w:rsid w:val="00982BCC"/>
    <w:rsid w:val="009848AA"/>
    <w:rsid w:val="00984C54"/>
    <w:rsid w:val="00984F29"/>
    <w:rsid w:val="00985270"/>
    <w:rsid w:val="00985377"/>
    <w:rsid w:val="009858FF"/>
    <w:rsid w:val="0098592E"/>
    <w:rsid w:val="00985A33"/>
    <w:rsid w:val="009861C4"/>
    <w:rsid w:val="0098623F"/>
    <w:rsid w:val="009866CB"/>
    <w:rsid w:val="00986B73"/>
    <w:rsid w:val="00986FF0"/>
    <w:rsid w:val="009874E5"/>
    <w:rsid w:val="0098786B"/>
    <w:rsid w:val="00987881"/>
    <w:rsid w:val="0099063B"/>
    <w:rsid w:val="00990B32"/>
    <w:rsid w:val="0099126E"/>
    <w:rsid w:val="0099188D"/>
    <w:rsid w:val="009918D1"/>
    <w:rsid w:val="00992ACA"/>
    <w:rsid w:val="00992F4A"/>
    <w:rsid w:val="0099301C"/>
    <w:rsid w:val="0099367F"/>
    <w:rsid w:val="009936F4"/>
    <w:rsid w:val="00993C18"/>
    <w:rsid w:val="00994761"/>
    <w:rsid w:val="00994968"/>
    <w:rsid w:val="00994A15"/>
    <w:rsid w:val="009952E5"/>
    <w:rsid w:val="009954FD"/>
    <w:rsid w:val="00995D4B"/>
    <w:rsid w:val="0099612A"/>
    <w:rsid w:val="0099682D"/>
    <w:rsid w:val="00997BF7"/>
    <w:rsid w:val="00997C6B"/>
    <w:rsid w:val="00997C92"/>
    <w:rsid w:val="00997FE1"/>
    <w:rsid w:val="009A0012"/>
    <w:rsid w:val="009A02B4"/>
    <w:rsid w:val="009A05E8"/>
    <w:rsid w:val="009A090D"/>
    <w:rsid w:val="009A1CF9"/>
    <w:rsid w:val="009A25E1"/>
    <w:rsid w:val="009A26E2"/>
    <w:rsid w:val="009A274F"/>
    <w:rsid w:val="009A280B"/>
    <w:rsid w:val="009A30FA"/>
    <w:rsid w:val="009A3250"/>
    <w:rsid w:val="009A34A4"/>
    <w:rsid w:val="009A366D"/>
    <w:rsid w:val="009A367E"/>
    <w:rsid w:val="009A3FFD"/>
    <w:rsid w:val="009A479F"/>
    <w:rsid w:val="009A4DB0"/>
    <w:rsid w:val="009A4E28"/>
    <w:rsid w:val="009A5AD2"/>
    <w:rsid w:val="009A5B50"/>
    <w:rsid w:val="009A60E5"/>
    <w:rsid w:val="009A6A46"/>
    <w:rsid w:val="009A6B54"/>
    <w:rsid w:val="009A6B91"/>
    <w:rsid w:val="009A6D72"/>
    <w:rsid w:val="009A7138"/>
    <w:rsid w:val="009A7257"/>
    <w:rsid w:val="009B055A"/>
    <w:rsid w:val="009B0743"/>
    <w:rsid w:val="009B0814"/>
    <w:rsid w:val="009B106F"/>
    <w:rsid w:val="009B1B3F"/>
    <w:rsid w:val="009B2364"/>
    <w:rsid w:val="009B356F"/>
    <w:rsid w:val="009B4F08"/>
    <w:rsid w:val="009B67D1"/>
    <w:rsid w:val="009B681A"/>
    <w:rsid w:val="009B70C0"/>
    <w:rsid w:val="009B75F0"/>
    <w:rsid w:val="009C0180"/>
    <w:rsid w:val="009C026B"/>
    <w:rsid w:val="009C0387"/>
    <w:rsid w:val="009C0915"/>
    <w:rsid w:val="009C0AA3"/>
    <w:rsid w:val="009C142F"/>
    <w:rsid w:val="009C1707"/>
    <w:rsid w:val="009C18B9"/>
    <w:rsid w:val="009C1C05"/>
    <w:rsid w:val="009C31BA"/>
    <w:rsid w:val="009C34C8"/>
    <w:rsid w:val="009C36D7"/>
    <w:rsid w:val="009C3722"/>
    <w:rsid w:val="009C4EC5"/>
    <w:rsid w:val="009C5061"/>
    <w:rsid w:val="009C5B27"/>
    <w:rsid w:val="009C5EFF"/>
    <w:rsid w:val="009C611F"/>
    <w:rsid w:val="009C640F"/>
    <w:rsid w:val="009C7477"/>
    <w:rsid w:val="009D05EB"/>
    <w:rsid w:val="009D06B4"/>
    <w:rsid w:val="009D0F31"/>
    <w:rsid w:val="009D14E8"/>
    <w:rsid w:val="009D1633"/>
    <w:rsid w:val="009D19F8"/>
    <w:rsid w:val="009D1A98"/>
    <w:rsid w:val="009D205B"/>
    <w:rsid w:val="009D2947"/>
    <w:rsid w:val="009D2A60"/>
    <w:rsid w:val="009D2CB7"/>
    <w:rsid w:val="009D2EBA"/>
    <w:rsid w:val="009D35D3"/>
    <w:rsid w:val="009D4524"/>
    <w:rsid w:val="009D4AD8"/>
    <w:rsid w:val="009D5817"/>
    <w:rsid w:val="009D5A8F"/>
    <w:rsid w:val="009D5BFD"/>
    <w:rsid w:val="009D66A1"/>
    <w:rsid w:val="009D6830"/>
    <w:rsid w:val="009D6B05"/>
    <w:rsid w:val="009D7836"/>
    <w:rsid w:val="009D7CE6"/>
    <w:rsid w:val="009D7E34"/>
    <w:rsid w:val="009E1B0A"/>
    <w:rsid w:val="009E1E3C"/>
    <w:rsid w:val="009E252F"/>
    <w:rsid w:val="009E2CF8"/>
    <w:rsid w:val="009E2FD2"/>
    <w:rsid w:val="009E32C2"/>
    <w:rsid w:val="009E358C"/>
    <w:rsid w:val="009E3AD1"/>
    <w:rsid w:val="009E3B49"/>
    <w:rsid w:val="009E3E34"/>
    <w:rsid w:val="009E4AE3"/>
    <w:rsid w:val="009E4B5C"/>
    <w:rsid w:val="009E4E38"/>
    <w:rsid w:val="009E516A"/>
    <w:rsid w:val="009E57B9"/>
    <w:rsid w:val="009E5B2F"/>
    <w:rsid w:val="009E5C74"/>
    <w:rsid w:val="009E6653"/>
    <w:rsid w:val="009E69FC"/>
    <w:rsid w:val="009E6EEE"/>
    <w:rsid w:val="009E7A62"/>
    <w:rsid w:val="009E7F7F"/>
    <w:rsid w:val="009F03DD"/>
    <w:rsid w:val="009F072F"/>
    <w:rsid w:val="009F0786"/>
    <w:rsid w:val="009F1CBA"/>
    <w:rsid w:val="009F28D6"/>
    <w:rsid w:val="009F2BFE"/>
    <w:rsid w:val="009F2C0B"/>
    <w:rsid w:val="009F2CDD"/>
    <w:rsid w:val="009F2E3F"/>
    <w:rsid w:val="009F2E8D"/>
    <w:rsid w:val="009F3D3D"/>
    <w:rsid w:val="009F4549"/>
    <w:rsid w:val="009F48DE"/>
    <w:rsid w:val="009F4A80"/>
    <w:rsid w:val="009F4EB9"/>
    <w:rsid w:val="009F5339"/>
    <w:rsid w:val="009F54C7"/>
    <w:rsid w:val="009F5A4E"/>
    <w:rsid w:val="009F5AC5"/>
    <w:rsid w:val="009F6209"/>
    <w:rsid w:val="009F73AA"/>
    <w:rsid w:val="009F7E65"/>
    <w:rsid w:val="00A00A3E"/>
    <w:rsid w:val="00A00B72"/>
    <w:rsid w:val="00A00FDA"/>
    <w:rsid w:val="00A02C85"/>
    <w:rsid w:val="00A02D0F"/>
    <w:rsid w:val="00A03090"/>
    <w:rsid w:val="00A03260"/>
    <w:rsid w:val="00A033DF"/>
    <w:rsid w:val="00A039B9"/>
    <w:rsid w:val="00A041D8"/>
    <w:rsid w:val="00A0486E"/>
    <w:rsid w:val="00A05239"/>
    <w:rsid w:val="00A055DD"/>
    <w:rsid w:val="00A060E1"/>
    <w:rsid w:val="00A06475"/>
    <w:rsid w:val="00A064AC"/>
    <w:rsid w:val="00A06D06"/>
    <w:rsid w:val="00A077CA"/>
    <w:rsid w:val="00A07D52"/>
    <w:rsid w:val="00A07E5A"/>
    <w:rsid w:val="00A10418"/>
    <w:rsid w:val="00A106E3"/>
    <w:rsid w:val="00A107FF"/>
    <w:rsid w:val="00A10ACC"/>
    <w:rsid w:val="00A10CCB"/>
    <w:rsid w:val="00A11170"/>
    <w:rsid w:val="00A1166E"/>
    <w:rsid w:val="00A11693"/>
    <w:rsid w:val="00A11A69"/>
    <w:rsid w:val="00A123F8"/>
    <w:rsid w:val="00A12A47"/>
    <w:rsid w:val="00A12DA4"/>
    <w:rsid w:val="00A12E02"/>
    <w:rsid w:val="00A12E7E"/>
    <w:rsid w:val="00A12EE5"/>
    <w:rsid w:val="00A13124"/>
    <w:rsid w:val="00A13148"/>
    <w:rsid w:val="00A13193"/>
    <w:rsid w:val="00A13381"/>
    <w:rsid w:val="00A1338F"/>
    <w:rsid w:val="00A13566"/>
    <w:rsid w:val="00A13E15"/>
    <w:rsid w:val="00A13FC8"/>
    <w:rsid w:val="00A14173"/>
    <w:rsid w:val="00A14748"/>
    <w:rsid w:val="00A15E12"/>
    <w:rsid w:val="00A15F2E"/>
    <w:rsid w:val="00A16119"/>
    <w:rsid w:val="00A17099"/>
    <w:rsid w:val="00A171BD"/>
    <w:rsid w:val="00A174C2"/>
    <w:rsid w:val="00A17572"/>
    <w:rsid w:val="00A179CD"/>
    <w:rsid w:val="00A17E98"/>
    <w:rsid w:val="00A20048"/>
    <w:rsid w:val="00A2053E"/>
    <w:rsid w:val="00A20D95"/>
    <w:rsid w:val="00A22349"/>
    <w:rsid w:val="00A225D4"/>
    <w:rsid w:val="00A2362C"/>
    <w:rsid w:val="00A23F79"/>
    <w:rsid w:val="00A2423A"/>
    <w:rsid w:val="00A24972"/>
    <w:rsid w:val="00A254E9"/>
    <w:rsid w:val="00A258C2"/>
    <w:rsid w:val="00A25B5A"/>
    <w:rsid w:val="00A25D2C"/>
    <w:rsid w:val="00A261D1"/>
    <w:rsid w:val="00A26CA2"/>
    <w:rsid w:val="00A272E8"/>
    <w:rsid w:val="00A3018E"/>
    <w:rsid w:val="00A30302"/>
    <w:rsid w:val="00A30444"/>
    <w:rsid w:val="00A307E4"/>
    <w:rsid w:val="00A30CE5"/>
    <w:rsid w:val="00A30D83"/>
    <w:rsid w:val="00A30E64"/>
    <w:rsid w:val="00A31522"/>
    <w:rsid w:val="00A3159F"/>
    <w:rsid w:val="00A31E85"/>
    <w:rsid w:val="00A32199"/>
    <w:rsid w:val="00A323E8"/>
    <w:rsid w:val="00A324BD"/>
    <w:rsid w:val="00A32E09"/>
    <w:rsid w:val="00A32F64"/>
    <w:rsid w:val="00A3352B"/>
    <w:rsid w:val="00A34416"/>
    <w:rsid w:val="00A34598"/>
    <w:rsid w:val="00A34A3A"/>
    <w:rsid w:val="00A3557E"/>
    <w:rsid w:val="00A355EF"/>
    <w:rsid w:val="00A358B3"/>
    <w:rsid w:val="00A35A8B"/>
    <w:rsid w:val="00A35D46"/>
    <w:rsid w:val="00A36078"/>
    <w:rsid w:val="00A3609B"/>
    <w:rsid w:val="00A36486"/>
    <w:rsid w:val="00A364B8"/>
    <w:rsid w:val="00A36875"/>
    <w:rsid w:val="00A36B05"/>
    <w:rsid w:val="00A36C9D"/>
    <w:rsid w:val="00A36D2E"/>
    <w:rsid w:val="00A37132"/>
    <w:rsid w:val="00A377EA"/>
    <w:rsid w:val="00A37B80"/>
    <w:rsid w:val="00A37F6F"/>
    <w:rsid w:val="00A40346"/>
    <w:rsid w:val="00A403E0"/>
    <w:rsid w:val="00A406A3"/>
    <w:rsid w:val="00A40A9B"/>
    <w:rsid w:val="00A40C92"/>
    <w:rsid w:val="00A40D65"/>
    <w:rsid w:val="00A41AE7"/>
    <w:rsid w:val="00A41C82"/>
    <w:rsid w:val="00A420D8"/>
    <w:rsid w:val="00A42A42"/>
    <w:rsid w:val="00A42BD7"/>
    <w:rsid w:val="00A4346C"/>
    <w:rsid w:val="00A43895"/>
    <w:rsid w:val="00A43898"/>
    <w:rsid w:val="00A43BAA"/>
    <w:rsid w:val="00A44123"/>
    <w:rsid w:val="00A44AAE"/>
    <w:rsid w:val="00A45AD1"/>
    <w:rsid w:val="00A46604"/>
    <w:rsid w:val="00A46799"/>
    <w:rsid w:val="00A46C4C"/>
    <w:rsid w:val="00A47866"/>
    <w:rsid w:val="00A47BD8"/>
    <w:rsid w:val="00A47D03"/>
    <w:rsid w:val="00A506E6"/>
    <w:rsid w:val="00A50912"/>
    <w:rsid w:val="00A509DC"/>
    <w:rsid w:val="00A50BE3"/>
    <w:rsid w:val="00A50DE1"/>
    <w:rsid w:val="00A50F0F"/>
    <w:rsid w:val="00A51173"/>
    <w:rsid w:val="00A5146E"/>
    <w:rsid w:val="00A51FF4"/>
    <w:rsid w:val="00A5298C"/>
    <w:rsid w:val="00A52BEA"/>
    <w:rsid w:val="00A5328C"/>
    <w:rsid w:val="00A538C9"/>
    <w:rsid w:val="00A539C4"/>
    <w:rsid w:val="00A54640"/>
    <w:rsid w:val="00A54A81"/>
    <w:rsid w:val="00A54CAE"/>
    <w:rsid w:val="00A554A9"/>
    <w:rsid w:val="00A5586C"/>
    <w:rsid w:val="00A55A6A"/>
    <w:rsid w:val="00A560A5"/>
    <w:rsid w:val="00A569FA"/>
    <w:rsid w:val="00A56EDB"/>
    <w:rsid w:val="00A60701"/>
    <w:rsid w:val="00A60BDE"/>
    <w:rsid w:val="00A61006"/>
    <w:rsid w:val="00A6139A"/>
    <w:rsid w:val="00A617A9"/>
    <w:rsid w:val="00A6196E"/>
    <w:rsid w:val="00A61BD7"/>
    <w:rsid w:val="00A61CD5"/>
    <w:rsid w:val="00A621F0"/>
    <w:rsid w:val="00A6239D"/>
    <w:rsid w:val="00A6255C"/>
    <w:rsid w:val="00A625EB"/>
    <w:rsid w:val="00A6278E"/>
    <w:rsid w:val="00A63096"/>
    <w:rsid w:val="00A630E2"/>
    <w:rsid w:val="00A633B8"/>
    <w:rsid w:val="00A63529"/>
    <w:rsid w:val="00A64343"/>
    <w:rsid w:val="00A6464B"/>
    <w:rsid w:val="00A6470E"/>
    <w:rsid w:val="00A649DB"/>
    <w:rsid w:val="00A64ADC"/>
    <w:rsid w:val="00A651AB"/>
    <w:rsid w:val="00A65794"/>
    <w:rsid w:val="00A65BC9"/>
    <w:rsid w:val="00A6616D"/>
    <w:rsid w:val="00A66577"/>
    <w:rsid w:val="00A665F2"/>
    <w:rsid w:val="00A667D7"/>
    <w:rsid w:val="00A67C23"/>
    <w:rsid w:val="00A67CC1"/>
    <w:rsid w:val="00A67D52"/>
    <w:rsid w:val="00A7090B"/>
    <w:rsid w:val="00A71D26"/>
    <w:rsid w:val="00A71E5F"/>
    <w:rsid w:val="00A72430"/>
    <w:rsid w:val="00A72AA6"/>
    <w:rsid w:val="00A72AE0"/>
    <w:rsid w:val="00A7341D"/>
    <w:rsid w:val="00A73EB1"/>
    <w:rsid w:val="00A74653"/>
    <w:rsid w:val="00A748D8"/>
    <w:rsid w:val="00A750BA"/>
    <w:rsid w:val="00A752CE"/>
    <w:rsid w:val="00A757C5"/>
    <w:rsid w:val="00A75A8B"/>
    <w:rsid w:val="00A7690B"/>
    <w:rsid w:val="00A76941"/>
    <w:rsid w:val="00A76D29"/>
    <w:rsid w:val="00A779D0"/>
    <w:rsid w:val="00A80747"/>
    <w:rsid w:val="00A807F2"/>
    <w:rsid w:val="00A80990"/>
    <w:rsid w:val="00A8135A"/>
    <w:rsid w:val="00A81980"/>
    <w:rsid w:val="00A8299E"/>
    <w:rsid w:val="00A82A0C"/>
    <w:rsid w:val="00A82CA2"/>
    <w:rsid w:val="00A82D4A"/>
    <w:rsid w:val="00A83524"/>
    <w:rsid w:val="00A838FB"/>
    <w:rsid w:val="00A83A98"/>
    <w:rsid w:val="00A83C1F"/>
    <w:rsid w:val="00A84290"/>
    <w:rsid w:val="00A854D3"/>
    <w:rsid w:val="00A85719"/>
    <w:rsid w:val="00A85854"/>
    <w:rsid w:val="00A86EC0"/>
    <w:rsid w:val="00A87E2B"/>
    <w:rsid w:val="00A905B6"/>
    <w:rsid w:val="00A9096C"/>
    <w:rsid w:val="00A90AF3"/>
    <w:rsid w:val="00A90F95"/>
    <w:rsid w:val="00A912B5"/>
    <w:rsid w:val="00A914F8"/>
    <w:rsid w:val="00A91826"/>
    <w:rsid w:val="00A919D8"/>
    <w:rsid w:val="00A91A0D"/>
    <w:rsid w:val="00A92499"/>
    <w:rsid w:val="00A925E9"/>
    <w:rsid w:val="00A94114"/>
    <w:rsid w:val="00A9440E"/>
    <w:rsid w:val="00A947C9"/>
    <w:rsid w:val="00A948B2"/>
    <w:rsid w:val="00A94B57"/>
    <w:rsid w:val="00A95C65"/>
    <w:rsid w:val="00A96685"/>
    <w:rsid w:val="00A967BA"/>
    <w:rsid w:val="00A969FB"/>
    <w:rsid w:val="00A97615"/>
    <w:rsid w:val="00A97A96"/>
    <w:rsid w:val="00A97BEB"/>
    <w:rsid w:val="00A97E70"/>
    <w:rsid w:val="00A97FBD"/>
    <w:rsid w:val="00AA0C81"/>
    <w:rsid w:val="00AA0DBD"/>
    <w:rsid w:val="00AA0F1C"/>
    <w:rsid w:val="00AA1149"/>
    <w:rsid w:val="00AA14D3"/>
    <w:rsid w:val="00AA1F14"/>
    <w:rsid w:val="00AA2041"/>
    <w:rsid w:val="00AA2407"/>
    <w:rsid w:val="00AA263B"/>
    <w:rsid w:val="00AA2EC8"/>
    <w:rsid w:val="00AA3457"/>
    <w:rsid w:val="00AA3B8F"/>
    <w:rsid w:val="00AA3D05"/>
    <w:rsid w:val="00AA3EBA"/>
    <w:rsid w:val="00AA3F85"/>
    <w:rsid w:val="00AA45BF"/>
    <w:rsid w:val="00AA4748"/>
    <w:rsid w:val="00AA4ACC"/>
    <w:rsid w:val="00AA5074"/>
    <w:rsid w:val="00AA5342"/>
    <w:rsid w:val="00AA54F5"/>
    <w:rsid w:val="00AA550A"/>
    <w:rsid w:val="00AA5972"/>
    <w:rsid w:val="00AA5C99"/>
    <w:rsid w:val="00AA5D97"/>
    <w:rsid w:val="00AA65E3"/>
    <w:rsid w:val="00AA66F1"/>
    <w:rsid w:val="00AA67A0"/>
    <w:rsid w:val="00AA6803"/>
    <w:rsid w:val="00AA6BD2"/>
    <w:rsid w:val="00AA6CC3"/>
    <w:rsid w:val="00AA6E65"/>
    <w:rsid w:val="00AA79E6"/>
    <w:rsid w:val="00AA7A75"/>
    <w:rsid w:val="00AA7BB0"/>
    <w:rsid w:val="00AA7ECA"/>
    <w:rsid w:val="00AB00B4"/>
    <w:rsid w:val="00AB0384"/>
    <w:rsid w:val="00AB0E1C"/>
    <w:rsid w:val="00AB1027"/>
    <w:rsid w:val="00AB1C78"/>
    <w:rsid w:val="00AB2C4D"/>
    <w:rsid w:val="00AB2F1E"/>
    <w:rsid w:val="00AB35D0"/>
    <w:rsid w:val="00AB36AE"/>
    <w:rsid w:val="00AB3BF4"/>
    <w:rsid w:val="00AB4F52"/>
    <w:rsid w:val="00AB5614"/>
    <w:rsid w:val="00AB56D7"/>
    <w:rsid w:val="00AB5A67"/>
    <w:rsid w:val="00AB65AD"/>
    <w:rsid w:val="00AB6D47"/>
    <w:rsid w:val="00AB70EE"/>
    <w:rsid w:val="00AB7942"/>
    <w:rsid w:val="00AB7E4C"/>
    <w:rsid w:val="00AC00F6"/>
    <w:rsid w:val="00AC061A"/>
    <w:rsid w:val="00AC0866"/>
    <w:rsid w:val="00AC0D50"/>
    <w:rsid w:val="00AC0F8A"/>
    <w:rsid w:val="00AC13BB"/>
    <w:rsid w:val="00AC1EC3"/>
    <w:rsid w:val="00AC28CC"/>
    <w:rsid w:val="00AC2D68"/>
    <w:rsid w:val="00AC317C"/>
    <w:rsid w:val="00AC3891"/>
    <w:rsid w:val="00AC3AAE"/>
    <w:rsid w:val="00AC3C21"/>
    <w:rsid w:val="00AC45B0"/>
    <w:rsid w:val="00AC4903"/>
    <w:rsid w:val="00AC4A9F"/>
    <w:rsid w:val="00AC4DBF"/>
    <w:rsid w:val="00AC52BC"/>
    <w:rsid w:val="00AC54BF"/>
    <w:rsid w:val="00AC596F"/>
    <w:rsid w:val="00AC5ADC"/>
    <w:rsid w:val="00AC5F8D"/>
    <w:rsid w:val="00AC6209"/>
    <w:rsid w:val="00AC6AD1"/>
    <w:rsid w:val="00AC6F9A"/>
    <w:rsid w:val="00AC706E"/>
    <w:rsid w:val="00AC78E6"/>
    <w:rsid w:val="00AD102F"/>
    <w:rsid w:val="00AD151B"/>
    <w:rsid w:val="00AD193B"/>
    <w:rsid w:val="00AD1B13"/>
    <w:rsid w:val="00AD20DF"/>
    <w:rsid w:val="00AD2296"/>
    <w:rsid w:val="00AD2B5A"/>
    <w:rsid w:val="00AD3D58"/>
    <w:rsid w:val="00AD47D8"/>
    <w:rsid w:val="00AD4D82"/>
    <w:rsid w:val="00AD4DBE"/>
    <w:rsid w:val="00AD519B"/>
    <w:rsid w:val="00AD5294"/>
    <w:rsid w:val="00AD56E2"/>
    <w:rsid w:val="00AD5890"/>
    <w:rsid w:val="00AD5A9D"/>
    <w:rsid w:val="00AD5BC5"/>
    <w:rsid w:val="00AD6196"/>
    <w:rsid w:val="00AD63D0"/>
    <w:rsid w:val="00AD688F"/>
    <w:rsid w:val="00AD693C"/>
    <w:rsid w:val="00AD69F4"/>
    <w:rsid w:val="00AD6E13"/>
    <w:rsid w:val="00AD76CA"/>
    <w:rsid w:val="00AD7E95"/>
    <w:rsid w:val="00AD7EEC"/>
    <w:rsid w:val="00AE01EC"/>
    <w:rsid w:val="00AE0CC9"/>
    <w:rsid w:val="00AE1B40"/>
    <w:rsid w:val="00AE1C9F"/>
    <w:rsid w:val="00AE2327"/>
    <w:rsid w:val="00AE2348"/>
    <w:rsid w:val="00AE2715"/>
    <w:rsid w:val="00AE2760"/>
    <w:rsid w:val="00AE2E18"/>
    <w:rsid w:val="00AE3873"/>
    <w:rsid w:val="00AE3F2A"/>
    <w:rsid w:val="00AE4417"/>
    <w:rsid w:val="00AE4421"/>
    <w:rsid w:val="00AE51B8"/>
    <w:rsid w:val="00AE5573"/>
    <w:rsid w:val="00AE572F"/>
    <w:rsid w:val="00AE5C4E"/>
    <w:rsid w:val="00AE6B4A"/>
    <w:rsid w:val="00AE6BD2"/>
    <w:rsid w:val="00AE7DDA"/>
    <w:rsid w:val="00AE7F8F"/>
    <w:rsid w:val="00AF02AA"/>
    <w:rsid w:val="00AF034F"/>
    <w:rsid w:val="00AF0CE7"/>
    <w:rsid w:val="00AF0F34"/>
    <w:rsid w:val="00AF13F9"/>
    <w:rsid w:val="00AF1889"/>
    <w:rsid w:val="00AF1CD2"/>
    <w:rsid w:val="00AF1E7A"/>
    <w:rsid w:val="00AF2437"/>
    <w:rsid w:val="00AF2A92"/>
    <w:rsid w:val="00AF2AC4"/>
    <w:rsid w:val="00AF3116"/>
    <w:rsid w:val="00AF3CA2"/>
    <w:rsid w:val="00AF3EFE"/>
    <w:rsid w:val="00AF4007"/>
    <w:rsid w:val="00AF406E"/>
    <w:rsid w:val="00AF4274"/>
    <w:rsid w:val="00AF5550"/>
    <w:rsid w:val="00AF5B68"/>
    <w:rsid w:val="00AF5E48"/>
    <w:rsid w:val="00AF714C"/>
    <w:rsid w:val="00AF788F"/>
    <w:rsid w:val="00AF795C"/>
    <w:rsid w:val="00AF7F51"/>
    <w:rsid w:val="00B00134"/>
    <w:rsid w:val="00B01C90"/>
    <w:rsid w:val="00B01D31"/>
    <w:rsid w:val="00B02311"/>
    <w:rsid w:val="00B0281D"/>
    <w:rsid w:val="00B02BC3"/>
    <w:rsid w:val="00B02E35"/>
    <w:rsid w:val="00B02F5B"/>
    <w:rsid w:val="00B0344E"/>
    <w:rsid w:val="00B03B8C"/>
    <w:rsid w:val="00B03C88"/>
    <w:rsid w:val="00B04421"/>
    <w:rsid w:val="00B045B4"/>
    <w:rsid w:val="00B046B4"/>
    <w:rsid w:val="00B04A7A"/>
    <w:rsid w:val="00B04EFB"/>
    <w:rsid w:val="00B04FF9"/>
    <w:rsid w:val="00B0539B"/>
    <w:rsid w:val="00B05577"/>
    <w:rsid w:val="00B059F7"/>
    <w:rsid w:val="00B05C9D"/>
    <w:rsid w:val="00B06D49"/>
    <w:rsid w:val="00B06F4A"/>
    <w:rsid w:val="00B07261"/>
    <w:rsid w:val="00B07467"/>
    <w:rsid w:val="00B10427"/>
    <w:rsid w:val="00B11D3F"/>
    <w:rsid w:val="00B126F7"/>
    <w:rsid w:val="00B140CE"/>
    <w:rsid w:val="00B143A4"/>
    <w:rsid w:val="00B14550"/>
    <w:rsid w:val="00B147C3"/>
    <w:rsid w:val="00B15876"/>
    <w:rsid w:val="00B15A06"/>
    <w:rsid w:val="00B1616D"/>
    <w:rsid w:val="00B1659A"/>
    <w:rsid w:val="00B16996"/>
    <w:rsid w:val="00B16A9B"/>
    <w:rsid w:val="00B172A3"/>
    <w:rsid w:val="00B1733A"/>
    <w:rsid w:val="00B1759E"/>
    <w:rsid w:val="00B176B8"/>
    <w:rsid w:val="00B1784C"/>
    <w:rsid w:val="00B17BA2"/>
    <w:rsid w:val="00B17CF4"/>
    <w:rsid w:val="00B17E7F"/>
    <w:rsid w:val="00B20BE0"/>
    <w:rsid w:val="00B21067"/>
    <w:rsid w:val="00B21262"/>
    <w:rsid w:val="00B21DA9"/>
    <w:rsid w:val="00B21F22"/>
    <w:rsid w:val="00B226C2"/>
    <w:rsid w:val="00B2270A"/>
    <w:rsid w:val="00B233BE"/>
    <w:rsid w:val="00B233E6"/>
    <w:rsid w:val="00B23617"/>
    <w:rsid w:val="00B25162"/>
    <w:rsid w:val="00B25426"/>
    <w:rsid w:val="00B25AA2"/>
    <w:rsid w:val="00B25C9D"/>
    <w:rsid w:val="00B25CEE"/>
    <w:rsid w:val="00B2612E"/>
    <w:rsid w:val="00B27308"/>
    <w:rsid w:val="00B27352"/>
    <w:rsid w:val="00B2768F"/>
    <w:rsid w:val="00B27DD6"/>
    <w:rsid w:val="00B304E2"/>
    <w:rsid w:val="00B30861"/>
    <w:rsid w:val="00B31754"/>
    <w:rsid w:val="00B319C9"/>
    <w:rsid w:val="00B31FC9"/>
    <w:rsid w:val="00B32235"/>
    <w:rsid w:val="00B3260B"/>
    <w:rsid w:val="00B328A1"/>
    <w:rsid w:val="00B32AEA"/>
    <w:rsid w:val="00B3387E"/>
    <w:rsid w:val="00B3415C"/>
    <w:rsid w:val="00B347B3"/>
    <w:rsid w:val="00B34845"/>
    <w:rsid w:val="00B34EF4"/>
    <w:rsid w:val="00B35501"/>
    <w:rsid w:val="00B359AD"/>
    <w:rsid w:val="00B36710"/>
    <w:rsid w:val="00B3790F"/>
    <w:rsid w:val="00B37950"/>
    <w:rsid w:val="00B37B58"/>
    <w:rsid w:val="00B37E14"/>
    <w:rsid w:val="00B37F29"/>
    <w:rsid w:val="00B400DF"/>
    <w:rsid w:val="00B4013E"/>
    <w:rsid w:val="00B4026E"/>
    <w:rsid w:val="00B40F37"/>
    <w:rsid w:val="00B41B04"/>
    <w:rsid w:val="00B41BD2"/>
    <w:rsid w:val="00B41C3B"/>
    <w:rsid w:val="00B41DFB"/>
    <w:rsid w:val="00B4203C"/>
    <w:rsid w:val="00B420BB"/>
    <w:rsid w:val="00B423C0"/>
    <w:rsid w:val="00B4362D"/>
    <w:rsid w:val="00B43686"/>
    <w:rsid w:val="00B448E8"/>
    <w:rsid w:val="00B44C79"/>
    <w:rsid w:val="00B44CC4"/>
    <w:rsid w:val="00B44DCD"/>
    <w:rsid w:val="00B44F4A"/>
    <w:rsid w:val="00B45A78"/>
    <w:rsid w:val="00B45A7C"/>
    <w:rsid w:val="00B45E14"/>
    <w:rsid w:val="00B46415"/>
    <w:rsid w:val="00B464AF"/>
    <w:rsid w:val="00B46A48"/>
    <w:rsid w:val="00B46BCE"/>
    <w:rsid w:val="00B46D5B"/>
    <w:rsid w:val="00B478D7"/>
    <w:rsid w:val="00B47BD8"/>
    <w:rsid w:val="00B500CE"/>
    <w:rsid w:val="00B5026B"/>
    <w:rsid w:val="00B50380"/>
    <w:rsid w:val="00B51305"/>
    <w:rsid w:val="00B51BE5"/>
    <w:rsid w:val="00B51DE9"/>
    <w:rsid w:val="00B51E5E"/>
    <w:rsid w:val="00B51F48"/>
    <w:rsid w:val="00B520BD"/>
    <w:rsid w:val="00B524B6"/>
    <w:rsid w:val="00B5287C"/>
    <w:rsid w:val="00B52A45"/>
    <w:rsid w:val="00B53BF7"/>
    <w:rsid w:val="00B53EBD"/>
    <w:rsid w:val="00B54024"/>
    <w:rsid w:val="00B54151"/>
    <w:rsid w:val="00B547B3"/>
    <w:rsid w:val="00B54C28"/>
    <w:rsid w:val="00B54E6E"/>
    <w:rsid w:val="00B55D75"/>
    <w:rsid w:val="00B55DBF"/>
    <w:rsid w:val="00B5719A"/>
    <w:rsid w:val="00B57479"/>
    <w:rsid w:val="00B57CE2"/>
    <w:rsid w:val="00B57CF0"/>
    <w:rsid w:val="00B57E79"/>
    <w:rsid w:val="00B57F84"/>
    <w:rsid w:val="00B57FEA"/>
    <w:rsid w:val="00B6061D"/>
    <w:rsid w:val="00B616D6"/>
    <w:rsid w:val="00B61842"/>
    <w:rsid w:val="00B62153"/>
    <w:rsid w:val="00B62654"/>
    <w:rsid w:val="00B6390D"/>
    <w:rsid w:val="00B63ED8"/>
    <w:rsid w:val="00B641EB"/>
    <w:rsid w:val="00B64A51"/>
    <w:rsid w:val="00B64B92"/>
    <w:rsid w:val="00B64CDC"/>
    <w:rsid w:val="00B653D9"/>
    <w:rsid w:val="00B654C1"/>
    <w:rsid w:val="00B655B4"/>
    <w:rsid w:val="00B66073"/>
    <w:rsid w:val="00B660B2"/>
    <w:rsid w:val="00B6640B"/>
    <w:rsid w:val="00B66643"/>
    <w:rsid w:val="00B66C39"/>
    <w:rsid w:val="00B6765D"/>
    <w:rsid w:val="00B6797E"/>
    <w:rsid w:val="00B679EC"/>
    <w:rsid w:val="00B67BA1"/>
    <w:rsid w:val="00B67DA1"/>
    <w:rsid w:val="00B67E7D"/>
    <w:rsid w:val="00B7045F"/>
    <w:rsid w:val="00B705A4"/>
    <w:rsid w:val="00B70D13"/>
    <w:rsid w:val="00B70EF5"/>
    <w:rsid w:val="00B71782"/>
    <w:rsid w:val="00B71DE5"/>
    <w:rsid w:val="00B71FD7"/>
    <w:rsid w:val="00B72305"/>
    <w:rsid w:val="00B726B9"/>
    <w:rsid w:val="00B72994"/>
    <w:rsid w:val="00B72E37"/>
    <w:rsid w:val="00B72F3B"/>
    <w:rsid w:val="00B7326B"/>
    <w:rsid w:val="00B73A31"/>
    <w:rsid w:val="00B73A7F"/>
    <w:rsid w:val="00B73E51"/>
    <w:rsid w:val="00B73E86"/>
    <w:rsid w:val="00B740C1"/>
    <w:rsid w:val="00B742B6"/>
    <w:rsid w:val="00B750D9"/>
    <w:rsid w:val="00B7529B"/>
    <w:rsid w:val="00B75542"/>
    <w:rsid w:val="00B7591D"/>
    <w:rsid w:val="00B75959"/>
    <w:rsid w:val="00B75ACC"/>
    <w:rsid w:val="00B7607C"/>
    <w:rsid w:val="00B765D2"/>
    <w:rsid w:val="00B77076"/>
    <w:rsid w:val="00B774A4"/>
    <w:rsid w:val="00B77B8C"/>
    <w:rsid w:val="00B80502"/>
    <w:rsid w:val="00B80C34"/>
    <w:rsid w:val="00B80C36"/>
    <w:rsid w:val="00B80C45"/>
    <w:rsid w:val="00B811A4"/>
    <w:rsid w:val="00B81580"/>
    <w:rsid w:val="00B817BF"/>
    <w:rsid w:val="00B81D4B"/>
    <w:rsid w:val="00B820EB"/>
    <w:rsid w:val="00B82202"/>
    <w:rsid w:val="00B825EC"/>
    <w:rsid w:val="00B82A0F"/>
    <w:rsid w:val="00B831C4"/>
    <w:rsid w:val="00B83402"/>
    <w:rsid w:val="00B8384A"/>
    <w:rsid w:val="00B83D14"/>
    <w:rsid w:val="00B83DC2"/>
    <w:rsid w:val="00B84360"/>
    <w:rsid w:val="00B84583"/>
    <w:rsid w:val="00B845B8"/>
    <w:rsid w:val="00B84659"/>
    <w:rsid w:val="00B8484F"/>
    <w:rsid w:val="00B84B45"/>
    <w:rsid w:val="00B850E1"/>
    <w:rsid w:val="00B85AA4"/>
    <w:rsid w:val="00B85E43"/>
    <w:rsid w:val="00B85E58"/>
    <w:rsid w:val="00B863EE"/>
    <w:rsid w:val="00B868B1"/>
    <w:rsid w:val="00B86B46"/>
    <w:rsid w:val="00B86E4C"/>
    <w:rsid w:val="00B87333"/>
    <w:rsid w:val="00B87F7D"/>
    <w:rsid w:val="00B90C87"/>
    <w:rsid w:val="00B9114E"/>
    <w:rsid w:val="00B9133C"/>
    <w:rsid w:val="00B91D63"/>
    <w:rsid w:val="00B91DF0"/>
    <w:rsid w:val="00B920A3"/>
    <w:rsid w:val="00B922D1"/>
    <w:rsid w:val="00B92F3A"/>
    <w:rsid w:val="00B930ED"/>
    <w:rsid w:val="00B931E1"/>
    <w:rsid w:val="00B93952"/>
    <w:rsid w:val="00B93A00"/>
    <w:rsid w:val="00B93E2B"/>
    <w:rsid w:val="00B94739"/>
    <w:rsid w:val="00B947B7"/>
    <w:rsid w:val="00B94D63"/>
    <w:rsid w:val="00B9511A"/>
    <w:rsid w:val="00B96F3A"/>
    <w:rsid w:val="00B97448"/>
    <w:rsid w:val="00B97AB8"/>
    <w:rsid w:val="00BA0296"/>
    <w:rsid w:val="00BA0AB0"/>
    <w:rsid w:val="00BA0E2A"/>
    <w:rsid w:val="00BA1990"/>
    <w:rsid w:val="00BA1DB2"/>
    <w:rsid w:val="00BA1FFF"/>
    <w:rsid w:val="00BA218C"/>
    <w:rsid w:val="00BA2A50"/>
    <w:rsid w:val="00BA307F"/>
    <w:rsid w:val="00BA3B30"/>
    <w:rsid w:val="00BA3B3F"/>
    <w:rsid w:val="00BA3C1A"/>
    <w:rsid w:val="00BA3F93"/>
    <w:rsid w:val="00BA49ED"/>
    <w:rsid w:val="00BA4BFF"/>
    <w:rsid w:val="00BA4C89"/>
    <w:rsid w:val="00BA5444"/>
    <w:rsid w:val="00BA54B5"/>
    <w:rsid w:val="00BA5890"/>
    <w:rsid w:val="00BA5CF6"/>
    <w:rsid w:val="00BA6144"/>
    <w:rsid w:val="00BA6887"/>
    <w:rsid w:val="00BA6D32"/>
    <w:rsid w:val="00BA6EF7"/>
    <w:rsid w:val="00BA6F01"/>
    <w:rsid w:val="00BA7A72"/>
    <w:rsid w:val="00BB077B"/>
    <w:rsid w:val="00BB089A"/>
    <w:rsid w:val="00BB092C"/>
    <w:rsid w:val="00BB0995"/>
    <w:rsid w:val="00BB0DF2"/>
    <w:rsid w:val="00BB0FF0"/>
    <w:rsid w:val="00BB13AB"/>
    <w:rsid w:val="00BB3075"/>
    <w:rsid w:val="00BB3146"/>
    <w:rsid w:val="00BB34E9"/>
    <w:rsid w:val="00BB37A1"/>
    <w:rsid w:val="00BB3E9F"/>
    <w:rsid w:val="00BB4205"/>
    <w:rsid w:val="00BB45F0"/>
    <w:rsid w:val="00BB4639"/>
    <w:rsid w:val="00BB4DB9"/>
    <w:rsid w:val="00BB505A"/>
    <w:rsid w:val="00BB5DE0"/>
    <w:rsid w:val="00BB600E"/>
    <w:rsid w:val="00BB64AD"/>
    <w:rsid w:val="00BB659C"/>
    <w:rsid w:val="00BB67AC"/>
    <w:rsid w:val="00BB7A0B"/>
    <w:rsid w:val="00BC0091"/>
    <w:rsid w:val="00BC0312"/>
    <w:rsid w:val="00BC0B50"/>
    <w:rsid w:val="00BC0CF7"/>
    <w:rsid w:val="00BC0EC4"/>
    <w:rsid w:val="00BC1110"/>
    <w:rsid w:val="00BC2930"/>
    <w:rsid w:val="00BC2B8B"/>
    <w:rsid w:val="00BC2BC7"/>
    <w:rsid w:val="00BC300F"/>
    <w:rsid w:val="00BC4149"/>
    <w:rsid w:val="00BC429F"/>
    <w:rsid w:val="00BC44A5"/>
    <w:rsid w:val="00BC4576"/>
    <w:rsid w:val="00BC46B5"/>
    <w:rsid w:val="00BC4EF6"/>
    <w:rsid w:val="00BC5092"/>
    <w:rsid w:val="00BC5493"/>
    <w:rsid w:val="00BC597A"/>
    <w:rsid w:val="00BC6D07"/>
    <w:rsid w:val="00BC72BA"/>
    <w:rsid w:val="00BC759A"/>
    <w:rsid w:val="00BD024A"/>
    <w:rsid w:val="00BD0FE7"/>
    <w:rsid w:val="00BD1216"/>
    <w:rsid w:val="00BD1570"/>
    <w:rsid w:val="00BD1E53"/>
    <w:rsid w:val="00BD2142"/>
    <w:rsid w:val="00BD2270"/>
    <w:rsid w:val="00BD23F5"/>
    <w:rsid w:val="00BD2873"/>
    <w:rsid w:val="00BD2892"/>
    <w:rsid w:val="00BD2C79"/>
    <w:rsid w:val="00BD3675"/>
    <w:rsid w:val="00BD3A1C"/>
    <w:rsid w:val="00BD4730"/>
    <w:rsid w:val="00BD485E"/>
    <w:rsid w:val="00BD4C06"/>
    <w:rsid w:val="00BD534F"/>
    <w:rsid w:val="00BD5491"/>
    <w:rsid w:val="00BD562C"/>
    <w:rsid w:val="00BD56C8"/>
    <w:rsid w:val="00BD56D1"/>
    <w:rsid w:val="00BD57D3"/>
    <w:rsid w:val="00BD6F70"/>
    <w:rsid w:val="00BD748C"/>
    <w:rsid w:val="00BD75A8"/>
    <w:rsid w:val="00BD782D"/>
    <w:rsid w:val="00BD7876"/>
    <w:rsid w:val="00BD7995"/>
    <w:rsid w:val="00BD7C53"/>
    <w:rsid w:val="00BE0084"/>
    <w:rsid w:val="00BE04D3"/>
    <w:rsid w:val="00BE0B5E"/>
    <w:rsid w:val="00BE0E48"/>
    <w:rsid w:val="00BE103E"/>
    <w:rsid w:val="00BE171D"/>
    <w:rsid w:val="00BE1D6E"/>
    <w:rsid w:val="00BE2759"/>
    <w:rsid w:val="00BE2EDE"/>
    <w:rsid w:val="00BE33C6"/>
    <w:rsid w:val="00BE362C"/>
    <w:rsid w:val="00BE364C"/>
    <w:rsid w:val="00BE38AA"/>
    <w:rsid w:val="00BE3F1E"/>
    <w:rsid w:val="00BE4740"/>
    <w:rsid w:val="00BE4E64"/>
    <w:rsid w:val="00BE5AA2"/>
    <w:rsid w:val="00BE5AF0"/>
    <w:rsid w:val="00BE67C2"/>
    <w:rsid w:val="00BE73D1"/>
    <w:rsid w:val="00BE793C"/>
    <w:rsid w:val="00BE7AA6"/>
    <w:rsid w:val="00BE7FA3"/>
    <w:rsid w:val="00BF00C8"/>
    <w:rsid w:val="00BF0435"/>
    <w:rsid w:val="00BF0B5E"/>
    <w:rsid w:val="00BF0B91"/>
    <w:rsid w:val="00BF0F57"/>
    <w:rsid w:val="00BF1182"/>
    <w:rsid w:val="00BF1502"/>
    <w:rsid w:val="00BF1F0C"/>
    <w:rsid w:val="00BF2197"/>
    <w:rsid w:val="00BF2842"/>
    <w:rsid w:val="00BF2925"/>
    <w:rsid w:val="00BF349C"/>
    <w:rsid w:val="00BF3E21"/>
    <w:rsid w:val="00BF3EEF"/>
    <w:rsid w:val="00BF44E8"/>
    <w:rsid w:val="00BF45D7"/>
    <w:rsid w:val="00BF464C"/>
    <w:rsid w:val="00BF4903"/>
    <w:rsid w:val="00BF4AA1"/>
    <w:rsid w:val="00BF5C59"/>
    <w:rsid w:val="00BF5F44"/>
    <w:rsid w:val="00BF603B"/>
    <w:rsid w:val="00BF6A77"/>
    <w:rsid w:val="00BF6E64"/>
    <w:rsid w:val="00BF70C1"/>
    <w:rsid w:val="00BF7197"/>
    <w:rsid w:val="00BF72A8"/>
    <w:rsid w:val="00BF72CB"/>
    <w:rsid w:val="00BF7A62"/>
    <w:rsid w:val="00C00FEE"/>
    <w:rsid w:val="00C016CC"/>
    <w:rsid w:val="00C017AE"/>
    <w:rsid w:val="00C021DE"/>
    <w:rsid w:val="00C02379"/>
    <w:rsid w:val="00C0290E"/>
    <w:rsid w:val="00C02C88"/>
    <w:rsid w:val="00C02FC8"/>
    <w:rsid w:val="00C0389F"/>
    <w:rsid w:val="00C0407D"/>
    <w:rsid w:val="00C04A89"/>
    <w:rsid w:val="00C04C22"/>
    <w:rsid w:val="00C04C98"/>
    <w:rsid w:val="00C05477"/>
    <w:rsid w:val="00C05573"/>
    <w:rsid w:val="00C05661"/>
    <w:rsid w:val="00C05758"/>
    <w:rsid w:val="00C05C0E"/>
    <w:rsid w:val="00C06160"/>
    <w:rsid w:val="00C06543"/>
    <w:rsid w:val="00C06B28"/>
    <w:rsid w:val="00C06D84"/>
    <w:rsid w:val="00C06E43"/>
    <w:rsid w:val="00C07133"/>
    <w:rsid w:val="00C07D73"/>
    <w:rsid w:val="00C105B8"/>
    <w:rsid w:val="00C105CE"/>
    <w:rsid w:val="00C109CA"/>
    <w:rsid w:val="00C10C2D"/>
    <w:rsid w:val="00C11444"/>
    <w:rsid w:val="00C11C72"/>
    <w:rsid w:val="00C12134"/>
    <w:rsid w:val="00C123DD"/>
    <w:rsid w:val="00C1240F"/>
    <w:rsid w:val="00C12F78"/>
    <w:rsid w:val="00C13016"/>
    <w:rsid w:val="00C13236"/>
    <w:rsid w:val="00C139F1"/>
    <w:rsid w:val="00C13F37"/>
    <w:rsid w:val="00C1495C"/>
    <w:rsid w:val="00C14D22"/>
    <w:rsid w:val="00C15596"/>
    <w:rsid w:val="00C156FE"/>
    <w:rsid w:val="00C1583F"/>
    <w:rsid w:val="00C16260"/>
    <w:rsid w:val="00C170B1"/>
    <w:rsid w:val="00C171E0"/>
    <w:rsid w:val="00C171FE"/>
    <w:rsid w:val="00C172D3"/>
    <w:rsid w:val="00C172E5"/>
    <w:rsid w:val="00C174F0"/>
    <w:rsid w:val="00C176ED"/>
    <w:rsid w:val="00C17DB5"/>
    <w:rsid w:val="00C17E0A"/>
    <w:rsid w:val="00C200BD"/>
    <w:rsid w:val="00C20128"/>
    <w:rsid w:val="00C23021"/>
    <w:rsid w:val="00C233A9"/>
    <w:rsid w:val="00C238AC"/>
    <w:rsid w:val="00C24356"/>
    <w:rsid w:val="00C24B43"/>
    <w:rsid w:val="00C24B97"/>
    <w:rsid w:val="00C255E7"/>
    <w:rsid w:val="00C258A1"/>
    <w:rsid w:val="00C25AAF"/>
    <w:rsid w:val="00C25CA1"/>
    <w:rsid w:val="00C25DA7"/>
    <w:rsid w:val="00C26B8F"/>
    <w:rsid w:val="00C27311"/>
    <w:rsid w:val="00C27317"/>
    <w:rsid w:val="00C27542"/>
    <w:rsid w:val="00C27BBA"/>
    <w:rsid w:val="00C27FE7"/>
    <w:rsid w:val="00C30211"/>
    <w:rsid w:val="00C30B0F"/>
    <w:rsid w:val="00C30D32"/>
    <w:rsid w:val="00C30F98"/>
    <w:rsid w:val="00C3135C"/>
    <w:rsid w:val="00C32B00"/>
    <w:rsid w:val="00C332A3"/>
    <w:rsid w:val="00C335DF"/>
    <w:rsid w:val="00C33699"/>
    <w:rsid w:val="00C33E0C"/>
    <w:rsid w:val="00C33EA3"/>
    <w:rsid w:val="00C355F6"/>
    <w:rsid w:val="00C35BFE"/>
    <w:rsid w:val="00C36356"/>
    <w:rsid w:val="00C369B5"/>
    <w:rsid w:val="00C36DC0"/>
    <w:rsid w:val="00C376BD"/>
    <w:rsid w:val="00C37AFE"/>
    <w:rsid w:val="00C37D8D"/>
    <w:rsid w:val="00C37F5A"/>
    <w:rsid w:val="00C406F3"/>
    <w:rsid w:val="00C407D1"/>
    <w:rsid w:val="00C410B6"/>
    <w:rsid w:val="00C4119D"/>
    <w:rsid w:val="00C4122A"/>
    <w:rsid w:val="00C4201E"/>
    <w:rsid w:val="00C42A9F"/>
    <w:rsid w:val="00C42B8C"/>
    <w:rsid w:val="00C43112"/>
    <w:rsid w:val="00C432A4"/>
    <w:rsid w:val="00C43CE6"/>
    <w:rsid w:val="00C44CEC"/>
    <w:rsid w:val="00C45201"/>
    <w:rsid w:val="00C4545D"/>
    <w:rsid w:val="00C45896"/>
    <w:rsid w:val="00C459A8"/>
    <w:rsid w:val="00C45B1A"/>
    <w:rsid w:val="00C46280"/>
    <w:rsid w:val="00C46289"/>
    <w:rsid w:val="00C46532"/>
    <w:rsid w:val="00C46879"/>
    <w:rsid w:val="00C469D5"/>
    <w:rsid w:val="00C46F8D"/>
    <w:rsid w:val="00C471B1"/>
    <w:rsid w:val="00C50162"/>
    <w:rsid w:val="00C50236"/>
    <w:rsid w:val="00C508FC"/>
    <w:rsid w:val="00C519DF"/>
    <w:rsid w:val="00C51AF1"/>
    <w:rsid w:val="00C521E3"/>
    <w:rsid w:val="00C52422"/>
    <w:rsid w:val="00C52776"/>
    <w:rsid w:val="00C53418"/>
    <w:rsid w:val="00C53C60"/>
    <w:rsid w:val="00C54127"/>
    <w:rsid w:val="00C543BD"/>
    <w:rsid w:val="00C54A56"/>
    <w:rsid w:val="00C550FC"/>
    <w:rsid w:val="00C552FF"/>
    <w:rsid w:val="00C567F2"/>
    <w:rsid w:val="00C56CEC"/>
    <w:rsid w:val="00C56CF1"/>
    <w:rsid w:val="00C56E5E"/>
    <w:rsid w:val="00C575C0"/>
    <w:rsid w:val="00C6113E"/>
    <w:rsid w:val="00C61251"/>
    <w:rsid w:val="00C61390"/>
    <w:rsid w:val="00C61876"/>
    <w:rsid w:val="00C61936"/>
    <w:rsid w:val="00C61956"/>
    <w:rsid w:val="00C61A9C"/>
    <w:rsid w:val="00C61E82"/>
    <w:rsid w:val="00C6209C"/>
    <w:rsid w:val="00C622D5"/>
    <w:rsid w:val="00C6249C"/>
    <w:rsid w:val="00C62536"/>
    <w:rsid w:val="00C62A62"/>
    <w:rsid w:val="00C62D6E"/>
    <w:rsid w:val="00C62E57"/>
    <w:rsid w:val="00C62EE4"/>
    <w:rsid w:val="00C63945"/>
    <w:rsid w:val="00C6499D"/>
    <w:rsid w:val="00C64B59"/>
    <w:rsid w:val="00C651FF"/>
    <w:rsid w:val="00C65D72"/>
    <w:rsid w:val="00C65F0E"/>
    <w:rsid w:val="00C65F4B"/>
    <w:rsid w:val="00C66202"/>
    <w:rsid w:val="00C664F9"/>
    <w:rsid w:val="00C6668E"/>
    <w:rsid w:val="00C667BC"/>
    <w:rsid w:val="00C66849"/>
    <w:rsid w:val="00C66FE0"/>
    <w:rsid w:val="00C675FB"/>
    <w:rsid w:val="00C67648"/>
    <w:rsid w:val="00C67C03"/>
    <w:rsid w:val="00C709A4"/>
    <w:rsid w:val="00C70C9D"/>
    <w:rsid w:val="00C7107A"/>
    <w:rsid w:val="00C715F0"/>
    <w:rsid w:val="00C71714"/>
    <w:rsid w:val="00C717A1"/>
    <w:rsid w:val="00C72423"/>
    <w:rsid w:val="00C7256E"/>
    <w:rsid w:val="00C73353"/>
    <w:rsid w:val="00C7355D"/>
    <w:rsid w:val="00C739B9"/>
    <w:rsid w:val="00C75319"/>
    <w:rsid w:val="00C7569E"/>
    <w:rsid w:val="00C7611A"/>
    <w:rsid w:val="00C7651D"/>
    <w:rsid w:val="00C776B6"/>
    <w:rsid w:val="00C77886"/>
    <w:rsid w:val="00C77C5F"/>
    <w:rsid w:val="00C807DD"/>
    <w:rsid w:val="00C80C3F"/>
    <w:rsid w:val="00C80C44"/>
    <w:rsid w:val="00C80D13"/>
    <w:rsid w:val="00C80FF8"/>
    <w:rsid w:val="00C810AB"/>
    <w:rsid w:val="00C818DA"/>
    <w:rsid w:val="00C81C86"/>
    <w:rsid w:val="00C81F08"/>
    <w:rsid w:val="00C8342C"/>
    <w:rsid w:val="00C8432B"/>
    <w:rsid w:val="00C845ED"/>
    <w:rsid w:val="00C84D90"/>
    <w:rsid w:val="00C850E1"/>
    <w:rsid w:val="00C85170"/>
    <w:rsid w:val="00C8524F"/>
    <w:rsid w:val="00C85395"/>
    <w:rsid w:val="00C854AB"/>
    <w:rsid w:val="00C8608C"/>
    <w:rsid w:val="00C86543"/>
    <w:rsid w:val="00C86844"/>
    <w:rsid w:val="00C86BAC"/>
    <w:rsid w:val="00C874B4"/>
    <w:rsid w:val="00C8781B"/>
    <w:rsid w:val="00C87887"/>
    <w:rsid w:val="00C87E5D"/>
    <w:rsid w:val="00C902A2"/>
    <w:rsid w:val="00C90332"/>
    <w:rsid w:val="00C90583"/>
    <w:rsid w:val="00C906B5"/>
    <w:rsid w:val="00C90C3E"/>
    <w:rsid w:val="00C91C0F"/>
    <w:rsid w:val="00C920A2"/>
    <w:rsid w:val="00C924F0"/>
    <w:rsid w:val="00C924F2"/>
    <w:rsid w:val="00C9336F"/>
    <w:rsid w:val="00C940F8"/>
    <w:rsid w:val="00C94172"/>
    <w:rsid w:val="00C945C7"/>
    <w:rsid w:val="00C94CE6"/>
    <w:rsid w:val="00C9568F"/>
    <w:rsid w:val="00C95AB0"/>
    <w:rsid w:val="00C95BB6"/>
    <w:rsid w:val="00C95DB1"/>
    <w:rsid w:val="00C95F1E"/>
    <w:rsid w:val="00C95F45"/>
    <w:rsid w:val="00C96836"/>
    <w:rsid w:val="00C969E0"/>
    <w:rsid w:val="00C96B5E"/>
    <w:rsid w:val="00C96C6A"/>
    <w:rsid w:val="00C971B9"/>
    <w:rsid w:val="00C9721A"/>
    <w:rsid w:val="00C97AE8"/>
    <w:rsid w:val="00CA00D2"/>
    <w:rsid w:val="00CA09CD"/>
    <w:rsid w:val="00CA0BB8"/>
    <w:rsid w:val="00CA0CF7"/>
    <w:rsid w:val="00CA1C2A"/>
    <w:rsid w:val="00CA1EB0"/>
    <w:rsid w:val="00CA2196"/>
    <w:rsid w:val="00CA2227"/>
    <w:rsid w:val="00CA2580"/>
    <w:rsid w:val="00CA2F00"/>
    <w:rsid w:val="00CA3381"/>
    <w:rsid w:val="00CA3469"/>
    <w:rsid w:val="00CA380B"/>
    <w:rsid w:val="00CA3E4C"/>
    <w:rsid w:val="00CA4181"/>
    <w:rsid w:val="00CA462B"/>
    <w:rsid w:val="00CA4DFF"/>
    <w:rsid w:val="00CA505D"/>
    <w:rsid w:val="00CA5188"/>
    <w:rsid w:val="00CA5487"/>
    <w:rsid w:val="00CA6044"/>
    <w:rsid w:val="00CA7654"/>
    <w:rsid w:val="00CA7A16"/>
    <w:rsid w:val="00CA7A52"/>
    <w:rsid w:val="00CB02BC"/>
    <w:rsid w:val="00CB1066"/>
    <w:rsid w:val="00CB2251"/>
    <w:rsid w:val="00CB2794"/>
    <w:rsid w:val="00CB2C7B"/>
    <w:rsid w:val="00CB3478"/>
    <w:rsid w:val="00CB370D"/>
    <w:rsid w:val="00CB4F0E"/>
    <w:rsid w:val="00CB4F9F"/>
    <w:rsid w:val="00CB5348"/>
    <w:rsid w:val="00CB5E7A"/>
    <w:rsid w:val="00CB6523"/>
    <w:rsid w:val="00CB6638"/>
    <w:rsid w:val="00CB6E1D"/>
    <w:rsid w:val="00CB7169"/>
    <w:rsid w:val="00CC013C"/>
    <w:rsid w:val="00CC0855"/>
    <w:rsid w:val="00CC19FA"/>
    <w:rsid w:val="00CC1EFA"/>
    <w:rsid w:val="00CC2563"/>
    <w:rsid w:val="00CC2D1C"/>
    <w:rsid w:val="00CC3933"/>
    <w:rsid w:val="00CC3AE2"/>
    <w:rsid w:val="00CC3D6E"/>
    <w:rsid w:val="00CC3F6F"/>
    <w:rsid w:val="00CC4910"/>
    <w:rsid w:val="00CC510B"/>
    <w:rsid w:val="00CC53EF"/>
    <w:rsid w:val="00CC5486"/>
    <w:rsid w:val="00CC5F0E"/>
    <w:rsid w:val="00CC64E7"/>
    <w:rsid w:val="00CC676D"/>
    <w:rsid w:val="00CC6901"/>
    <w:rsid w:val="00CC6C05"/>
    <w:rsid w:val="00CC72CE"/>
    <w:rsid w:val="00CC7A01"/>
    <w:rsid w:val="00CC7A5F"/>
    <w:rsid w:val="00CC7DEB"/>
    <w:rsid w:val="00CD07B8"/>
    <w:rsid w:val="00CD0932"/>
    <w:rsid w:val="00CD1359"/>
    <w:rsid w:val="00CD1708"/>
    <w:rsid w:val="00CD1892"/>
    <w:rsid w:val="00CD1F03"/>
    <w:rsid w:val="00CD200A"/>
    <w:rsid w:val="00CD256B"/>
    <w:rsid w:val="00CD2724"/>
    <w:rsid w:val="00CD27CC"/>
    <w:rsid w:val="00CD292E"/>
    <w:rsid w:val="00CD2FE9"/>
    <w:rsid w:val="00CD336C"/>
    <w:rsid w:val="00CD4030"/>
    <w:rsid w:val="00CD419C"/>
    <w:rsid w:val="00CD461C"/>
    <w:rsid w:val="00CD4680"/>
    <w:rsid w:val="00CD4798"/>
    <w:rsid w:val="00CD49AC"/>
    <w:rsid w:val="00CD4ABF"/>
    <w:rsid w:val="00CD4B41"/>
    <w:rsid w:val="00CD4F4C"/>
    <w:rsid w:val="00CD5693"/>
    <w:rsid w:val="00CD5B28"/>
    <w:rsid w:val="00CD620F"/>
    <w:rsid w:val="00CD6721"/>
    <w:rsid w:val="00CD69C8"/>
    <w:rsid w:val="00CD6AEC"/>
    <w:rsid w:val="00CD6CFD"/>
    <w:rsid w:val="00CD7D57"/>
    <w:rsid w:val="00CE1600"/>
    <w:rsid w:val="00CE1711"/>
    <w:rsid w:val="00CE1F6C"/>
    <w:rsid w:val="00CE279E"/>
    <w:rsid w:val="00CE28D6"/>
    <w:rsid w:val="00CE2A05"/>
    <w:rsid w:val="00CE393F"/>
    <w:rsid w:val="00CE3A70"/>
    <w:rsid w:val="00CE3D31"/>
    <w:rsid w:val="00CE403B"/>
    <w:rsid w:val="00CE45BA"/>
    <w:rsid w:val="00CE53C4"/>
    <w:rsid w:val="00CE54E0"/>
    <w:rsid w:val="00CE54E1"/>
    <w:rsid w:val="00CE58FA"/>
    <w:rsid w:val="00CE59CD"/>
    <w:rsid w:val="00CE5FDA"/>
    <w:rsid w:val="00CE66C8"/>
    <w:rsid w:val="00CE76FA"/>
    <w:rsid w:val="00CE7847"/>
    <w:rsid w:val="00CE7889"/>
    <w:rsid w:val="00CE7EAC"/>
    <w:rsid w:val="00CF0303"/>
    <w:rsid w:val="00CF046D"/>
    <w:rsid w:val="00CF06B3"/>
    <w:rsid w:val="00CF101F"/>
    <w:rsid w:val="00CF11BE"/>
    <w:rsid w:val="00CF1310"/>
    <w:rsid w:val="00CF16F5"/>
    <w:rsid w:val="00CF2B2B"/>
    <w:rsid w:val="00CF3030"/>
    <w:rsid w:val="00CF31DA"/>
    <w:rsid w:val="00CF42B4"/>
    <w:rsid w:val="00CF4384"/>
    <w:rsid w:val="00CF4478"/>
    <w:rsid w:val="00CF44F9"/>
    <w:rsid w:val="00CF4B33"/>
    <w:rsid w:val="00CF4BD5"/>
    <w:rsid w:val="00CF56BC"/>
    <w:rsid w:val="00CF65F3"/>
    <w:rsid w:val="00CF6B59"/>
    <w:rsid w:val="00CF76FD"/>
    <w:rsid w:val="00D001C4"/>
    <w:rsid w:val="00D0045E"/>
    <w:rsid w:val="00D00478"/>
    <w:rsid w:val="00D00911"/>
    <w:rsid w:val="00D00A78"/>
    <w:rsid w:val="00D01151"/>
    <w:rsid w:val="00D012B4"/>
    <w:rsid w:val="00D01476"/>
    <w:rsid w:val="00D01627"/>
    <w:rsid w:val="00D01665"/>
    <w:rsid w:val="00D01C27"/>
    <w:rsid w:val="00D02898"/>
    <w:rsid w:val="00D03C09"/>
    <w:rsid w:val="00D03D3D"/>
    <w:rsid w:val="00D046C3"/>
    <w:rsid w:val="00D05B72"/>
    <w:rsid w:val="00D06201"/>
    <w:rsid w:val="00D063AC"/>
    <w:rsid w:val="00D06746"/>
    <w:rsid w:val="00D06A78"/>
    <w:rsid w:val="00D06A91"/>
    <w:rsid w:val="00D06FC3"/>
    <w:rsid w:val="00D071B2"/>
    <w:rsid w:val="00D07561"/>
    <w:rsid w:val="00D078F9"/>
    <w:rsid w:val="00D07DB4"/>
    <w:rsid w:val="00D07ED3"/>
    <w:rsid w:val="00D10258"/>
    <w:rsid w:val="00D104E0"/>
    <w:rsid w:val="00D10530"/>
    <w:rsid w:val="00D10A24"/>
    <w:rsid w:val="00D10D1B"/>
    <w:rsid w:val="00D119CF"/>
    <w:rsid w:val="00D11C4E"/>
    <w:rsid w:val="00D12059"/>
    <w:rsid w:val="00D1209D"/>
    <w:rsid w:val="00D125E5"/>
    <w:rsid w:val="00D12C2C"/>
    <w:rsid w:val="00D1308D"/>
    <w:rsid w:val="00D1408D"/>
    <w:rsid w:val="00D14239"/>
    <w:rsid w:val="00D148D4"/>
    <w:rsid w:val="00D14E0D"/>
    <w:rsid w:val="00D152B5"/>
    <w:rsid w:val="00D15D58"/>
    <w:rsid w:val="00D15F59"/>
    <w:rsid w:val="00D15FCB"/>
    <w:rsid w:val="00D165F4"/>
    <w:rsid w:val="00D16940"/>
    <w:rsid w:val="00D178D3"/>
    <w:rsid w:val="00D202A8"/>
    <w:rsid w:val="00D206FC"/>
    <w:rsid w:val="00D2092D"/>
    <w:rsid w:val="00D20DE3"/>
    <w:rsid w:val="00D210C6"/>
    <w:rsid w:val="00D2125C"/>
    <w:rsid w:val="00D21D1F"/>
    <w:rsid w:val="00D2248D"/>
    <w:rsid w:val="00D22F0C"/>
    <w:rsid w:val="00D23163"/>
    <w:rsid w:val="00D235D3"/>
    <w:rsid w:val="00D247B7"/>
    <w:rsid w:val="00D24ADA"/>
    <w:rsid w:val="00D2506C"/>
    <w:rsid w:val="00D25B08"/>
    <w:rsid w:val="00D26AFB"/>
    <w:rsid w:val="00D26C56"/>
    <w:rsid w:val="00D26EB7"/>
    <w:rsid w:val="00D276E8"/>
    <w:rsid w:val="00D2787E"/>
    <w:rsid w:val="00D27BB0"/>
    <w:rsid w:val="00D302C2"/>
    <w:rsid w:val="00D3031D"/>
    <w:rsid w:val="00D30407"/>
    <w:rsid w:val="00D30C3C"/>
    <w:rsid w:val="00D30C65"/>
    <w:rsid w:val="00D30E08"/>
    <w:rsid w:val="00D31DA6"/>
    <w:rsid w:val="00D322AB"/>
    <w:rsid w:val="00D327E7"/>
    <w:rsid w:val="00D3288A"/>
    <w:rsid w:val="00D3299A"/>
    <w:rsid w:val="00D33234"/>
    <w:rsid w:val="00D336DB"/>
    <w:rsid w:val="00D33E6C"/>
    <w:rsid w:val="00D34301"/>
    <w:rsid w:val="00D34338"/>
    <w:rsid w:val="00D35476"/>
    <w:rsid w:val="00D355E3"/>
    <w:rsid w:val="00D35BB7"/>
    <w:rsid w:val="00D360A8"/>
    <w:rsid w:val="00D3620E"/>
    <w:rsid w:val="00D3653D"/>
    <w:rsid w:val="00D36E6C"/>
    <w:rsid w:val="00D371DF"/>
    <w:rsid w:val="00D37741"/>
    <w:rsid w:val="00D4011A"/>
    <w:rsid w:val="00D404CD"/>
    <w:rsid w:val="00D4101C"/>
    <w:rsid w:val="00D41218"/>
    <w:rsid w:val="00D414E8"/>
    <w:rsid w:val="00D41B85"/>
    <w:rsid w:val="00D43162"/>
    <w:rsid w:val="00D43617"/>
    <w:rsid w:val="00D43652"/>
    <w:rsid w:val="00D436A4"/>
    <w:rsid w:val="00D43935"/>
    <w:rsid w:val="00D43AE4"/>
    <w:rsid w:val="00D44056"/>
    <w:rsid w:val="00D440B4"/>
    <w:rsid w:val="00D44207"/>
    <w:rsid w:val="00D44948"/>
    <w:rsid w:val="00D44B87"/>
    <w:rsid w:val="00D45019"/>
    <w:rsid w:val="00D4522C"/>
    <w:rsid w:val="00D45595"/>
    <w:rsid w:val="00D4562D"/>
    <w:rsid w:val="00D45945"/>
    <w:rsid w:val="00D45ABC"/>
    <w:rsid w:val="00D45B0F"/>
    <w:rsid w:val="00D45B65"/>
    <w:rsid w:val="00D46289"/>
    <w:rsid w:val="00D46743"/>
    <w:rsid w:val="00D46AA4"/>
    <w:rsid w:val="00D4761B"/>
    <w:rsid w:val="00D50682"/>
    <w:rsid w:val="00D50970"/>
    <w:rsid w:val="00D509DE"/>
    <w:rsid w:val="00D50A49"/>
    <w:rsid w:val="00D51386"/>
    <w:rsid w:val="00D51749"/>
    <w:rsid w:val="00D5184E"/>
    <w:rsid w:val="00D51ABC"/>
    <w:rsid w:val="00D51E0B"/>
    <w:rsid w:val="00D522A8"/>
    <w:rsid w:val="00D52632"/>
    <w:rsid w:val="00D52987"/>
    <w:rsid w:val="00D53410"/>
    <w:rsid w:val="00D53CDB"/>
    <w:rsid w:val="00D53DA3"/>
    <w:rsid w:val="00D53F1B"/>
    <w:rsid w:val="00D53F42"/>
    <w:rsid w:val="00D54136"/>
    <w:rsid w:val="00D54BD4"/>
    <w:rsid w:val="00D550F9"/>
    <w:rsid w:val="00D55D06"/>
    <w:rsid w:val="00D56298"/>
    <w:rsid w:val="00D563A2"/>
    <w:rsid w:val="00D56892"/>
    <w:rsid w:val="00D577DF"/>
    <w:rsid w:val="00D57D66"/>
    <w:rsid w:val="00D607B7"/>
    <w:rsid w:val="00D60AA7"/>
    <w:rsid w:val="00D60B38"/>
    <w:rsid w:val="00D60BAA"/>
    <w:rsid w:val="00D61385"/>
    <w:rsid w:val="00D61640"/>
    <w:rsid w:val="00D61715"/>
    <w:rsid w:val="00D61788"/>
    <w:rsid w:val="00D61865"/>
    <w:rsid w:val="00D61896"/>
    <w:rsid w:val="00D61CBC"/>
    <w:rsid w:val="00D623A4"/>
    <w:rsid w:val="00D62C09"/>
    <w:rsid w:val="00D63FD6"/>
    <w:rsid w:val="00D6417B"/>
    <w:rsid w:val="00D641E6"/>
    <w:rsid w:val="00D6465C"/>
    <w:rsid w:val="00D64D84"/>
    <w:rsid w:val="00D651A9"/>
    <w:rsid w:val="00D65406"/>
    <w:rsid w:val="00D65A6E"/>
    <w:rsid w:val="00D65BDF"/>
    <w:rsid w:val="00D6606D"/>
    <w:rsid w:val="00D667AD"/>
    <w:rsid w:val="00D66BE9"/>
    <w:rsid w:val="00D67045"/>
    <w:rsid w:val="00D6723F"/>
    <w:rsid w:val="00D672F0"/>
    <w:rsid w:val="00D67590"/>
    <w:rsid w:val="00D6786E"/>
    <w:rsid w:val="00D67ADD"/>
    <w:rsid w:val="00D67DE1"/>
    <w:rsid w:val="00D704CB"/>
    <w:rsid w:val="00D70853"/>
    <w:rsid w:val="00D708D0"/>
    <w:rsid w:val="00D71401"/>
    <w:rsid w:val="00D716C7"/>
    <w:rsid w:val="00D71990"/>
    <w:rsid w:val="00D71AE5"/>
    <w:rsid w:val="00D71CBC"/>
    <w:rsid w:val="00D71DCE"/>
    <w:rsid w:val="00D72008"/>
    <w:rsid w:val="00D72256"/>
    <w:rsid w:val="00D72315"/>
    <w:rsid w:val="00D72ABD"/>
    <w:rsid w:val="00D72BED"/>
    <w:rsid w:val="00D72C2C"/>
    <w:rsid w:val="00D732FE"/>
    <w:rsid w:val="00D7418D"/>
    <w:rsid w:val="00D7442C"/>
    <w:rsid w:val="00D7502B"/>
    <w:rsid w:val="00D7552B"/>
    <w:rsid w:val="00D7589B"/>
    <w:rsid w:val="00D75AC2"/>
    <w:rsid w:val="00D76116"/>
    <w:rsid w:val="00D76432"/>
    <w:rsid w:val="00D766A4"/>
    <w:rsid w:val="00D76A3E"/>
    <w:rsid w:val="00D804A5"/>
    <w:rsid w:val="00D80FB9"/>
    <w:rsid w:val="00D8115A"/>
    <w:rsid w:val="00D811FB"/>
    <w:rsid w:val="00D81807"/>
    <w:rsid w:val="00D81D81"/>
    <w:rsid w:val="00D81EFA"/>
    <w:rsid w:val="00D82486"/>
    <w:rsid w:val="00D82818"/>
    <w:rsid w:val="00D83148"/>
    <w:rsid w:val="00D83725"/>
    <w:rsid w:val="00D8398F"/>
    <w:rsid w:val="00D83FF9"/>
    <w:rsid w:val="00D84432"/>
    <w:rsid w:val="00D84D60"/>
    <w:rsid w:val="00D853ED"/>
    <w:rsid w:val="00D85E16"/>
    <w:rsid w:val="00D86386"/>
    <w:rsid w:val="00D864A6"/>
    <w:rsid w:val="00D86AC9"/>
    <w:rsid w:val="00D87078"/>
    <w:rsid w:val="00D87088"/>
    <w:rsid w:val="00D87459"/>
    <w:rsid w:val="00D8769A"/>
    <w:rsid w:val="00D876CD"/>
    <w:rsid w:val="00D87934"/>
    <w:rsid w:val="00D90494"/>
    <w:rsid w:val="00D90567"/>
    <w:rsid w:val="00D907EF"/>
    <w:rsid w:val="00D90C09"/>
    <w:rsid w:val="00D90C29"/>
    <w:rsid w:val="00D90EAA"/>
    <w:rsid w:val="00D91189"/>
    <w:rsid w:val="00D925AA"/>
    <w:rsid w:val="00D92AA2"/>
    <w:rsid w:val="00D92DB9"/>
    <w:rsid w:val="00D92F1A"/>
    <w:rsid w:val="00D92F40"/>
    <w:rsid w:val="00D941F0"/>
    <w:rsid w:val="00D943A4"/>
    <w:rsid w:val="00D94C0B"/>
    <w:rsid w:val="00D95034"/>
    <w:rsid w:val="00D953F3"/>
    <w:rsid w:val="00D955D9"/>
    <w:rsid w:val="00D9568F"/>
    <w:rsid w:val="00D95ADE"/>
    <w:rsid w:val="00D95B78"/>
    <w:rsid w:val="00D97394"/>
    <w:rsid w:val="00D973ED"/>
    <w:rsid w:val="00D977DE"/>
    <w:rsid w:val="00D97B9D"/>
    <w:rsid w:val="00DA0016"/>
    <w:rsid w:val="00DA0CC8"/>
    <w:rsid w:val="00DA1C9A"/>
    <w:rsid w:val="00DA1F03"/>
    <w:rsid w:val="00DA1F7D"/>
    <w:rsid w:val="00DA25D3"/>
    <w:rsid w:val="00DA2AB1"/>
    <w:rsid w:val="00DA3495"/>
    <w:rsid w:val="00DA3D5F"/>
    <w:rsid w:val="00DA4013"/>
    <w:rsid w:val="00DA437F"/>
    <w:rsid w:val="00DA4F55"/>
    <w:rsid w:val="00DA5276"/>
    <w:rsid w:val="00DA543E"/>
    <w:rsid w:val="00DA568E"/>
    <w:rsid w:val="00DA5699"/>
    <w:rsid w:val="00DA5AB6"/>
    <w:rsid w:val="00DA5B39"/>
    <w:rsid w:val="00DA5CDE"/>
    <w:rsid w:val="00DA653E"/>
    <w:rsid w:val="00DA6564"/>
    <w:rsid w:val="00DA6659"/>
    <w:rsid w:val="00DA6E96"/>
    <w:rsid w:val="00DA7530"/>
    <w:rsid w:val="00DA7979"/>
    <w:rsid w:val="00DB015D"/>
    <w:rsid w:val="00DB030A"/>
    <w:rsid w:val="00DB0A6B"/>
    <w:rsid w:val="00DB0B04"/>
    <w:rsid w:val="00DB141E"/>
    <w:rsid w:val="00DB1A74"/>
    <w:rsid w:val="00DB1AE7"/>
    <w:rsid w:val="00DB1E3C"/>
    <w:rsid w:val="00DB2098"/>
    <w:rsid w:val="00DB2154"/>
    <w:rsid w:val="00DB27AE"/>
    <w:rsid w:val="00DB2C9A"/>
    <w:rsid w:val="00DB2E06"/>
    <w:rsid w:val="00DB35BB"/>
    <w:rsid w:val="00DB3D89"/>
    <w:rsid w:val="00DB40D0"/>
    <w:rsid w:val="00DB4D94"/>
    <w:rsid w:val="00DB560F"/>
    <w:rsid w:val="00DB6019"/>
    <w:rsid w:val="00DB78BD"/>
    <w:rsid w:val="00DC0179"/>
    <w:rsid w:val="00DC049D"/>
    <w:rsid w:val="00DC0933"/>
    <w:rsid w:val="00DC0A97"/>
    <w:rsid w:val="00DC0B94"/>
    <w:rsid w:val="00DC14DC"/>
    <w:rsid w:val="00DC1726"/>
    <w:rsid w:val="00DC2515"/>
    <w:rsid w:val="00DC2528"/>
    <w:rsid w:val="00DC26B4"/>
    <w:rsid w:val="00DC2EB9"/>
    <w:rsid w:val="00DC3205"/>
    <w:rsid w:val="00DC3235"/>
    <w:rsid w:val="00DC34AF"/>
    <w:rsid w:val="00DC3519"/>
    <w:rsid w:val="00DC385D"/>
    <w:rsid w:val="00DC3A6B"/>
    <w:rsid w:val="00DC403D"/>
    <w:rsid w:val="00DC4882"/>
    <w:rsid w:val="00DC575B"/>
    <w:rsid w:val="00DC61A4"/>
    <w:rsid w:val="00DC641E"/>
    <w:rsid w:val="00DC6D48"/>
    <w:rsid w:val="00DD070A"/>
    <w:rsid w:val="00DD086F"/>
    <w:rsid w:val="00DD13F7"/>
    <w:rsid w:val="00DD1533"/>
    <w:rsid w:val="00DD1F00"/>
    <w:rsid w:val="00DD214C"/>
    <w:rsid w:val="00DD2969"/>
    <w:rsid w:val="00DD2A87"/>
    <w:rsid w:val="00DD2B15"/>
    <w:rsid w:val="00DD2D30"/>
    <w:rsid w:val="00DD2EBC"/>
    <w:rsid w:val="00DD3D85"/>
    <w:rsid w:val="00DD3E54"/>
    <w:rsid w:val="00DD42B7"/>
    <w:rsid w:val="00DD4F20"/>
    <w:rsid w:val="00DD508A"/>
    <w:rsid w:val="00DD550A"/>
    <w:rsid w:val="00DD560C"/>
    <w:rsid w:val="00DD5FF5"/>
    <w:rsid w:val="00DD60ED"/>
    <w:rsid w:val="00DD693C"/>
    <w:rsid w:val="00DD6B36"/>
    <w:rsid w:val="00DD723B"/>
    <w:rsid w:val="00DD72AC"/>
    <w:rsid w:val="00DD7E7E"/>
    <w:rsid w:val="00DE0B15"/>
    <w:rsid w:val="00DE0BE8"/>
    <w:rsid w:val="00DE0CAD"/>
    <w:rsid w:val="00DE119E"/>
    <w:rsid w:val="00DE181C"/>
    <w:rsid w:val="00DE1BF2"/>
    <w:rsid w:val="00DE27C1"/>
    <w:rsid w:val="00DE2CAE"/>
    <w:rsid w:val="00DE318B"/>
    <w:rsid w:val="00DE31B4"/>
    <w:rsid w:val="00DE3502"/>
    <w:rsid w:val="00DE3878"/>
    <w:rsid w:val="00DE3E88"/>
    <w:rsid w:val="00DE3F88"/>
    <w:rsid w:val="00DE3FE7"/>
    <w:rsid w:val="00DE42B2"/>
    <w:rsid w:val="00DE4951"/>
    <w:rsid w:val="00DE4B7C"/>
    <w:rsid w:val="00DE544D"/>
    <w:rsid w:val="00DE5B48"/>
    <w:rsid w:val="00DF08E4"/>
    <w:rsid w:val="00DF09F9"/>
    <w:rsid w:val="00DF0D46"/>
    <w:rsid w:val="00DF1365"/>
    <w:rsid w:val="00DF16E7"/>
    <w:rsid w:val="00DF2193"/>
    <w:rsid w:val="00DF2492"/>
    <w:rsid w:val="00DF2B16"/>
    <w:rsid w:val="00DF2B9E"/>
    <w:rsid w:val="00DF2D10"/>
    <w:rsid w:val="00DF2E47"/>
    <w:rsid w:val="00DF3457"/>
    <w:rsid w:val="00DF4031"/>
    <w:rsid w:val="00DF40B5"/>
    <w:rsid w:val="00DF4F51"/>
    <w:rsid w:val="00DF6AE8"/>
    <w:rsid w:val="00DF6BD5"/>
    <w:rsid w:val="00DF6CE0"/>
    <w:rsid w:val="00DF6E80"/>
    <w:rsid w:val="00DF7CDA"/>
    <w:rsid w:val="00E00E90"/>
    <w:rsid w:val="00E01743"/>
    <w:rsid w:val="00E01B74"/>
    <w:rsid w:val="00E020C0"/>
    <w:rsid w:val="00E021CF"/>
    <w:rsid w:val="00E024F1"/>
    <w:rsid w:val="00E02BC7"/>
    <w:rsid w:val="00E04144"/>
    <w:rsid w:val="00E04BE8"/>
    <w:rsid w:val="00E04D00"/>
    <w:rsid w:val="00E05181"/>
    <w:rsid w:val="00E051C2"/>
    <w:rsid w:val="00E056CD"/>
    <w:rsid w:val="00E057C8"/>
    <w:rsid w:val="00E06381"/>
    <w:rsid w:val="00E068AD"/>
    <w:rsid w:val="00E06C03"/>
    <w:rsid w:val="00E06C1E"/>
    <w:rsid w:val="00E07A4A"/>
    <w:rsid w:val="00E07AF6"/>
    <w:rsid w:val="00E07D1C"/>
    <w:rsid w:val="00E100E3"/>
    <w:rsid w:val="00E10167"/>
    <w:rsid w:val="00E101F3"/>
    <w:rsid w:val="00E10394"/>
    <w:rsid w:val="00E10B40"/>
    <w:rsid w:val="00E10F44"/>
    <w:rsid w:val="00E11007"/>
    <w:rsid w:val="00E11055"/>
    <w:rsid w:val="00E112F7"/>
    <w:rsid w:val="00E11493"/>
    <w:rsid w:val="00E117EB"/>
    <w:rsid w:val="00E11A33"/>
    <w:rsid w:val="00E123F0"/>
    <w:rsid w:val="00E12FAB"/>
    <w:rsid w:val="00E1395F"/>
    <w:rsid w:val="00E13B2F"/>
    <w:rsid w:val="00E13E5F"/>
    <w:rsid w:val="00E14129"/>
    <w:rsid w:val="00E14476"/>
    <w:rsid w:val="00E14586"/>
    <w:rsid w:val="00E14794"/>
    <w:rsid w:val="00E15D1E"/>
    <w:rsid w:val="00E16378"/>
    <w:rsid w:val="00E165DE"/>
    <w:rsid w:val="00E16CB1"/>
    <w:rsid w:val="00E177C8"/>
    <w:rsid w:val="00E177E0"/>
    <w:rsid w:val="00E17D49"/>
    <w:rsid w:val="00E2028F"/>
    <w:rsid w:val="00E20C99"/>
    <w:rsid w:val="00E20D8A"/>
    <w:rsid w:val="00E20E19"/>
    <w:rsid w:val="00E218CA"/>
    <w:rsid w:val="00E220FF"/>
    <w:rsid w:val="00E22527"/>
    <w:rsid w:val="00E22747"/>
    <w:rsid w:val="00E22900"/>
    <w:rsid w:val="00E22F76"/>
    <w:rsid w:val="00E23508"/>
    <w:rsid w:val="00E236C4"/>
    <w:rsid w:val="00E23B48"/>
    <w:rsid w:val="00E23CA9"/>
    <w:rsid w:val="00E24F0F"/>
    <w:rsid w:val="00E259C5"/>
    <w:rsid w:val="00E25B48"/>
    <w:rsid w:val="00E25FAA"/>
    <w:rsid w:val="00E26ACE"/>
    <w:rsid w:val="00E27368"/>
    <w:rsid w:val="00E27608"/>
    <w:rsid w:val="00E27753"/>
    <w:rsid w:val="00E27898"/>
    <w:rsid w:val="00E27A87"/>
    <w:rsid w:val="00E3006A"/>
    <w:rsid w:val="00E302BB"/>
    <w:rsid w:val="00E30587"/>
    <w:rsid w:val="00E30E09"/>
    <w:rsid w:val="00E31A21"/>
    <w:rsid w:val="00E31EBB"/>
    <w:rsid w:val="00E3287D"/>
    <w:rsid w:val="00E32C35"/>
    <w:rsid w:val="00E33373"/>
    <w:rsid w:val="00E336F7"/>
    <w:rsid w:val="00E33973"/>
    <w:rsid w:val="00E33A83"/>
    <w:rsid w:val="00E33E42"/>
    <w:rsid w:val="00E3413B"/>
    <w:rsid w:val="00E3471B"/>
    <w:rsid w:val="00E34C5B"/>
    <w:rsid w:val="00E36512"/>
    <w:rsid w:val="00E36658"/>
    <w:rsid w:val="00E371BB"/>
    <w:rsid w:val="00E37594"/>
    <w:rsid w:val="00E37867"/>
    <w:rsid w:val="00E37F26"/>
    <w:rsid w:val="00E37F9A"/>
    <w:rsid w:val="00E4093D"/>
    <w:rsid w:val="00E40E31"/>
    <w:rsid w:val="00E4166F"/>
    <w:rsid w:val="00E41DE5"/>
    <w:rsid w:val="00E4299E"/>
    <w:rsid w:val="00E42C70"/>
    <w:rsid w:val="00E430D1"/>
    <w:rsid w:val="00E4322A"/>
    <w:rsid w:val="00E44544"/>
    <w:rsid w:val="00E44F0C"/>
    <w:rsid w:val="00E44FDC"/>
    <w:rsid w:val="00E45325"/>
    <w:rsid w:val="00E4592D"/>
    <w:rsid w:val="00E45C87"/>
    <w:rsid w:val="00E46700"/>
    <w:rsid w:val="00E46712"/>
    <w:rsid w:val="00E4688F"/>
    <w:rsid w:val="00E46DD5"/>
    <w:rsid w:val="00E477FD"/>
    <w:rsid w:val="00E47DD3"/>
    <w:rsid w:val="00E50557"/>
    <w:rsid w:val="00E513C9"/>
    <w:rsid w:val="00E51E1B"/>
    <w:rsid w:val="00E522AC"/>
    <w:rsid w:val="00E5414A"/>
    <w:rsid w:val="00E54450"/>
    <w:rsid w:val="00E54FE9"/>
    <w:rsid w:val="00E550ED"/>
    <w:rsid w:val="00E5521E"/>
    <w:rsid w:val="00E55444"/>
    <w:rsid w:val="00E55D2D"/>
    <w:rsid w:val="00E562B6"/>
    <w:rsid w:val="00E566F4"/>
    <w:rsid w:val="00E566FD"/>
    <w:rsid w:val="00E569C8"/>
    <w:rsid w:val="00E5706F"/>
    <w:rsid w:val="00E57389"/>
    <w:rsid w:val="00E576C6"/>
    <w:rsid w:val="00E60461"/>
    <w:rsid w:val="00E60858"/>
    <w:rsid w:val="00E608E5"/>
    <w:rsid w:val="00E61BB2"/>
    <w:rsid w:val="00E62142"/>
    <w:rsid w:val="00E6222F"/>
    <w:rsid w:val="00E625DE"/>
    <w:rsid w:val="00E632C0"/>
    <w:rsid w:val="00E635C6"/>
    <w:rsid w:val="00E640F3"/>
    <w:rsid w:val="00E64255"/>
    <w:rsid w:val="00E643ED"/>
    <w:rsid w:val="00E64588"/>
    <w:rsid w:val="00E64FC2"/>
    <w:rsid w:val="00E651A8"/>
    <w:rsid w:val="00E655C5"/>
    <w:rsid w:val="00E65D30"/>
    <w:rsid w:val="00E65DB0"/>
    <w:rsid w:val="00E65EB4"/>
    <w:rsid w:val="00E66299"/>
    <w:rsid w:val="00E66673"/>
    <w:rsid w:val="00E67280"/>
    <w:rsid w:val="00E67570"/>
    <w:rsid w:val="00E678C9"/>
    <w:rsid w:val="00E67B35"/>
    <w:rsid w:val="00E70030"/>
    <w:rsid w:val="00E70484"/>
    <w:rsid w:val="00E7091E"/>
    <w:rsid w:val="00E710F5"/>
    <w:rsid w:val="00E71131"/>
    <w:rsid w:val="00E714FD"/>
    <w:rsid w:val="00E718E0"/>
    <w:rsid w:val="00E71F35"/>
    <w:rsid w:val="00E728C4"/>
    <w:rsid w:val="00E730A9"/>
    <w:rsid w:val="00E7398E"/>
    <w:rsid w:val="00E73DEA"/>
    <w:rsid w:val="00E75283"/>
    <w:rsid w:val="00E752C9"/>
    <w:rsid w:val="00E7531A"/>
    <w:rsid w:val="00E75909"/>
    <w:rsid w:val="00E759BE"/>
    <w:rsid w:val="00E75E82"/>
    <w:rsid w:val="00E76615"/>
    <w:rsid w:val="00E8039D"/>
    <w:rsid w:val="00E804C6"/>
    <w:rsid w:val="00E8061F"/>
    <w:rsid w:val="00E8149C"/>
    <w:rsid w:val="00E8161D"/>
    <w:rsid w:val="00E8227B"/>
    <w:rsid w:val="00E83B39"/>
    <w:rsid w:val="00E83EB7"/>
    <w:rsid w:val="00E8408B"/>
    <w:rsid w:val="00E84152"/>
    <w:rsid w:val="00E84FE1"/>
    <w:rsid w:val="00E8504A"/>
    <w:rsid w:val="00E850F6"/>
    <w:rsid w:val="00E857BF"/>
    <w:rsid w:val="00E862D7"/>
    <w:rsid w:val="00E863A9"/>
    <w:rsid w:val="00E86E9C"/>
    <w:rsid w:val="00E87356"/>
    <w:rsid w:val="00E8751A"/>
    <w:rsid w:val="00E875E6"/>
    <w:rsid w:val="00E87794"/>
    <w:rsid w:val="00E8782F"/>
    <w:rsid w:val="00E87FAE"/>
    <w:rsid w:val="00E90115"/>
    <w:rsid w:val="00E90234"/>
    <w:rsid w:val="00E90730"/>
    <w:rsid w:val="00E91945"/>
    <w:rsid w:val="00E91D83"/>
    <w:rsid w:val="00E921E7"/>
    <w:rsid w:val="00E9260B"/>
    <w:rsid w:val="00E928A7"/>
    <w:rsid w:val="00E92FB4"/>
    <w:rsid w:val="00E9353C"/>
    <w:rsid w:val="00E936F5"/>
    <w:rsid w:val="00E939A0"/>
    <w:rsid w:val="00E93D8F"/>
    <w:rsid w:val="00E93FA0"/>
    <w:rsid w:val="00E9418D"/>
    <w:rsid w:val="00E94469"/>
    <w:rsid w:val="00E946C3"/>
    <w:rsid w:val="00E94B00"/>
    <w:rsid w:val="00E94F4E"/>
    <w:rsid w:val="00E956A1"/>
    <w:rsid w:val="00E95A5F"/>
    <w:rsid w:val="00E95DD2"/>
    <w:rsid w:val="00E96569"/>
    <w:rsid w:val="00E966F5"/>
    <w:rsid w:val="00E96ACF"/>
    <w:rsid w:val="00E9722C"/>
    <w:rsid w:val="00E97D54"/>
    <w:rsid w:val="00EA038B"/>
    <w:rsid w:val="00EA0A6D"/>
    <w:rsid w:val="00EA0EB1"/>
    <w:rsid w:val="00EA148C"/>
    <w:rsid w:val="00EA19C4"/>
    <w:rsid w:val="00EA1F23"/>
    <w:rsid w:val="00EA2611"/>
    <w:rsid w:val="00EA285A"/>
    <w:rsid w:val="00EA29FD"/>
    <w:rsid w:val="00EA2A08"/>
    <w:rsid w:val="00EA2F02"/>
    <w:rsid w:val="00EA3113"/>
    <w:rsid w:val="00EA33E0"/>
    <w:rsid w:val="00EA3960"/>
    <w:rsid w:val="00EA3A5A"/>
    <w:rsid w:val="00EA4226"/>
    <w:rsid w:val="00EA4236"/>
    <w:rsid w:val="00EA4ADC"/>
    <w:rsid w:val="00EA4B61"/>
    <w:rsid w:val="00EA4B84"/>
    <w:rsid w:val="00EA501B"/>
    <w:rsid w:val="00EA52C7"/>
    <w:rsid w:val="00EA5882"/>
    <w:rsid w:val="00EA5953"/>
    <w:rsid w:val="00EA68D8"/>
    <w:rsid w:val="00EA6A98"/>
    <w:rsid w:val="00EB0334"/>
    <w:rsid w:val="00EB0BE4"/>
    <w:rsid w:val="00EB11A6"/>
    <w:rsid w:val="00EB1443"/>
    <w:rsid w:val="00EB1ACE"/>
    <w:rsid w:val="00EB20F5"/>
    <w:rsid w:val="00EB24C5"/>
    <w:rsid w:val="00EB2710"/>
    <w:rsid w:val="00EB2C46"/>
    <w:rsid w:val="00EB3DC9"/>
    <w:rsid w:val="00EB448B"/>
    <w:rsid w:val="00EB4510"/>
    <w:rsid w:val="00EB5972"/>
    <w:rsid w:val="00EB5D4C"/>
    <w:rsid w:val="00EB736A"/>
    <w:rsid w:val="00EC0C4A"/>
    <w:rsid w:val="00EC0E87"/>
    <w:rsid w:val="00EC187C"/>
    <w:rsid w:val="00EC1F2F"/>
    <w:rsid w:val="00EC226E"/>
    <w:rsid w:val="00EC26FC"/>
    <w:rsid w:val="00EC294E"/>
    <w:rsid w:val="00EC3479"/>
    <w:rsid w:val="00EC36AC"/>
    <w:rsid w:val="00EC37E2"/>
    <w:rsid w:val="00EC4168"/>
    <w:rsid w:val="00EC4212"/>
    <w:rsid w:val="00EC43C5"/>
    <w:rsid w:val="00EC45F7"/>
    <w:rsid w:val="00EC4986"/>
    <w:rsid w:val="00EC4DEB"/>
    <w:rsid w:val="00EC4F17"/>
    <w:rsid w:val="00EC504A"/>
    <w:rsid w:val="00EC5083"/>
    <w:rsid w:val="00EC60DD"/>
    <w:rsid w:val="00EC6AEA"/>
    <w:rsid w:val="00EC729E"/>
    <w:rsid w:val="00EC72E4"/>
    <w:rsid w:val="00EC75B4"/>
    <w:rsid w:val="00ED0160"/>
    <w:rsid w:val="00ED03AF"/>
    <w:rsid w:val="00ED03BB"/>
    <w:rsid w:val="00ED05B8"/>
    <w:rsid w:val="00ED06D7"/>
    <w:rsid w:val="00ED08EF"/>
    <w:rsid w:val="00ED0E1D"/>
    <w:rsid w:val="00ED13A5"/>
    <w:rsid w:val="00ED13AC"/>
    <w:rsid w:val="00ED13FC"/>
    <w:rsid w:val="00ED1571"/>
    <w:rsid w:val="00ED1C06"/>
    <w:rsid w:val="00ED1D82"/>
    <w:rsid w:val="00ED1D86"/>
    <w:rsid w:val="00ED1DF3"/>
    <w:rsid w:val="00ED269D"/>
    <w:rsid w:val="00ED2BFA"/>
    <w:rsid w:val="00ED2FDA"/>
    <w:rsid w:val="00ED3AD9"/>
    <w:rsid w:val="00ED3C21"/>
    <w:rsid w:val="00ED3EDA"/>
    <w:rsid w:val="00ED4051"/>
    <w:rsid w:val="00ED433B"/>
    <w:rsid w:val="00ED4F33"/>
    <w:rsid w:val="00ED5C2C"/>
    <w:rsid w:val="00ED5FB4"/>
    <w:rsid w:val="00ED68FD"/>
    <w:rsid w:val="00ED6957"/>
    <w:rsid w:val="00ED69E3"/>
    <w:rsid w:val="00ED6BEF"/>
    <w:rsid w:val="00ED7518"/>
    <w:rsid w:val="00ED776E"/>
    <w:rsid w:val="00ED77A2"/>
    <w:rsid w:val="00EE02C7"/>
    <w:rsid w:val="00EE051F"/>
    <w:rsid w:val="00EE0C88"/>
    <w:rsid w:val="00EE0CAA"/>
    <w:rsid w:val="00EE1096"/>
    <w:rsid w:val="00EE14D8"/>
    <w:rsid w:val="00EE16D3"/>
    <w:rsid w:val="00EE20F3"/>
    <w:rsid w:val="00EE2C4F"/>
    <w:rsid w:val="00EE368E"/>
    <w:rsid w:val="00EE38A0"/>
    <w:rsid w:val="00EE3AB2"/>
    <w:rsid w:val="00EE4344"/>
    <w:rsid w:val="00EE457B"/>
    <w:rsid w:val="00EE491E"/>
    <w:rsid w:val="00EE4EFD"/>
    <w:rsid w:val="00EE4F79"/>
    <w:rsid w:val="00EE509E"/>
    <w:rsid w:val="00EE5424"/>
    <w:rsid w:val="00EE5652"/>
    <w:rsid w:val="00EE5A01"/>
    <w:rsid w:val="00EE5FBB"/>
    <w:rsid w:val="00EE6122"/>
    <w:rsid w:val="00EE63FD"/>
    <w:rsid w:val="00EE6461"/>
    <w:rsid w:val="00EE66BA"/>
    <w:rsid w:val="00EE6CCA"/>
    <w:rsid w:val="00EE6DC1"/>
    <w:rsid w:val="00EE7F14"/>
    <w:rsid w:val="00EF0138"/>
    <w:rsid w:val="00EF0198"/>
    <w:rsid w:val="00EF0E69"/>
    <w:rsid w:val="00EF149D"/>
    <w:rsid w:val="00EF15AD"/>
    <w:rsid w:val="00EF1B22"/>
    <w:rsid w:val="00EF1F43"/>
    <w:rsid w:val="00EF35AA"/>
    <w:rsid w:val="00EF39AB"/>
    <w:rsid w:val="00EF3D8B"/>
    <w:rsid w:val="00EF425B"/>
    <w:rsid w:val="00EF47F3"/>
    <w:rsid w:val="00EF4C02"/>
    <w:rsid w:val="00EF5281"/>
    <w:rsid w:val="00EF5640"/>
    <w:rsid w:val="00EF5BD3"/>
    <w:rsid w:val="00EF6B09"/>
    <w:rsid w:val="00EF6B94"/>
    <w:rsid w:val="00EF7318"/>
    <w:rsid w:val="00EF7344"/>
    <w:rsid w:val="00EF7472"/>
    <w:rsid w:val="00EF7D3F"/>
    <w:rsid w:val="00EF7F59"/>
    <w:rsid w:val="00F0028F"/>
    <w:rsid w:val="00F00A7F"/>
    <w:rsid w:val="00F00B55"/>
    <w:rsid w:val="00F00C50"/>
    <w:rsid w:val="00F00D63"/>
    <w:rsid w:val="00F0138F"/>
    <w:rsid w:val="00F017AA"/>
    <w:rsid w:val="00F0181F"/>
    <w:rsid w:val="00F0183B"/>
    <w:rsid w:val="00F019AD"/>
    <w:rsid w:val="00F019E6"/>
    <w:rsid w:val="00F01D8C"/>
    <w:rsid w:val="00F01E81"/>
    <w:rsid w:val="00F020AB"/>
    <w:rsid w:val="00F027C1"/>
    <w:rsid w:val="00F02D08"/>
    <w:rsid w:val="00F03153"/>
    <w:rsid w:val="00F0358D"/>
    <w:rsid w:val="00F03793"/>
    <w:rsid w:val="00F03CC3"/>
    <w:rsid w:val="00F03DC2"/>
    <w:rsid w:val="00F042D3"/>
    <w:rsid w:val="00F0440E"/>
    <w:rsid w:val="00F04777"/>
    <w:rsid w:val="00F04AC0"/>
    <w:rsid w:val="00F04BDF"/>
    <w:rsid w:val="00F0537B"/>
    <w:rsid w:val="00F0537E"/>
    <w:rsid w:val="00F064D2"/>
    <w:rsid w:val="00F06733"/>
    <w:rsid w:val="00F06BDE"/>
    <w:rsid w:val="00F06E54"/>
    <w:rsid w:val="00F0748C"/>
    <w:rsid w:val="00F075C0"/>
    <w:rsid w:val="00F07D2B"/>
    <w:rsid w:val="00F07E68"/>
    <w:rsid w:val="00F100BC"/>
    <w:rsid w:val="00F105AD"/>
    <w:rsid w:val="00F106A9"/>
    <w:rsid w:val="00F10920"/>
    <w:rsid w:val="00F10E82"/>
    <w:rsid w:val="00F10F16"/>
    <w:rsid w:val="00F112C3"/>
    <w:rsid w:val="00F11F08"/>
    <w:rsid w:val="00F12140"/>
    <w:rsid w:val="00F12230"/>
    <w:rsid w:val="00F125A4"/>
    <w:rsid w:val="00F12724"/>
    <w:rsid w:val="00F1276E"/>
    <w:rsid w:val="00F130A4"/>
    <w:rsid w:val="00F13892"/>
    <w:rsid w:val="00F1391E"/>
    <w:rsid w:val="00F13974"/>
    <w:rsid w:val="00F13A73"/>
    <w:rsid w:val="00F13C84"/>
    <w:rsid w:val="00F1409C"/>
    <w:rsid w:val="00F1524D"/>
    <w:rsid w:val="00F1588C"/>
    <w:rsid w:val="00F15D91"/>
    <w:rsid w:val="00F15DBF"/>
    <w:rsid w:val="00F15FE0"/>
    <w:rsid w:val="00F160F3"/>
    <w:rsid w:val="00F16231"/>
    <w:rsid w:val="00F16740"/>
    <w:rsid w:val="00F16CBC"/>
    <w:rsid w:val="00F17792"/>
    <w:rsid w:val="00F17A93"/>
    <w:rsid w:val="00F17CD8"/>
    <w:rsid w:val="00F17D5C"/>
    <w:rsid w:val="00F17D87"/>
    <w:rsid w:val="00F17F85"/>
    <w:rsid w:val="00F202D1"/>
    <w:rsid w:val="00F20760"/>
    <w:rsid w:val="00F2082B"/>
    <w:rsid w:val="00F20860"/>
    <w:rsid w:val="00F20C1B"/>
    <w:rsid w:val="00F21177"/>
    <w:rsid w:val="00F212BB"/>
    <w:rsid w:val="00F21484"/>
    <w:rsid w:val="00F21667"/>
    <w:rsid w:val="00F216BA"/>
    <w:rsid w:val="00F21CFE"/>
    <w:rsid w:val="00F21D7B"/>
    <w:rsid w:val="00F2220C"/>
    <w:rsid w:val="00F227B1"/>
    <w:rsid w:val="00F2376B"/>
    <w:rsid w:val="00F23D20"/>
    <w:rsid w:val="00F247A1"/>
    <w:rsid w:val="00F24A0B"/>
    <w:rsid w:val="00F25AAA"/>
    <w:rsid w:val="00F25C04"/>
    <w:rsid w:val="00F25EFD"/>
    <w:rsid w:val="00F26DE6"/>
    <w:rsid w:val="00F27068"/>
    <w:rsid w:val="00F27562"/>
    <w:rsid w:val="00F27936"/>
    <w:rsid w:val="00F27F36"/>
    <w:rsid w:val="00F31596"/>
    <w:rsid w:val="00F316E4"/>
    <w:rsid w:val="00F31D39"/>
    <w:rsid w:val="00F320B2"/>
    <w:rsid w:val="00F3214C"/>
    <w:rsid w:val="00F3295C"/>
    <w:rsid w:val="00F32A10"/>
    <w:rsid w:val="00F32C88"/>
    <w:rsid w:val="00F32ED0"/>
    <w:rsid w:val="00F336CC"/>
    <w:rsid w:val="00F3388E"/>
    <w:rsid w:val="00F3448A"/>
    <w:rsid w:val="00F346AC"/>
    <w:rsid w:val="00F3489D"/>
    <w:rsid w:val="00F34DCB"/>
    <w:rsid w:val="00F350B2"/>
    <w:rsid w:val="00F356E9"/>
    <w:rsid w:val="00F35810"/>
    <w:rsid w:val="00F3656B"/>
    <w:rsid w:val="00F365AE"/>
    <w:rsid w:val="00F367C4"/>
    <w:rsid w:val="00F36A64"/>
    <w:rsid w:val="00F36AC1"/>
    <w:rsid w:val="00F36CF8"/>
    <w:rsid w:val="00F372CE"/>
    <w:rsid w:val="00F37490"/>
    <w:rsid w:val="00F3764A"/>
    <w:rsid w:val="00F4086D"/>
    <w:rsid w:val="00F40EEA"/>
    <w:rsid w:val="00F40F57"/>
    <w:rsid w:val="00F410D0"/>
    <w:rsid w:val="00F41F98"/>
    <w:rsid w:val="00F42111"/>
    <w:rsid w:val="00F4278D"/>
    <w:rsid w:val="00F4293C"/>
    <w:rsid w:val="00F437B5"/>
    <w:rsid w:val="00F43902"/>
    <w:rsid w:val="00F43A2F"/>
    <w:rsid w:val="00F44032"/>
    <w:rsid w:val="00F44CCB"/>
    <w:rsid w:val="00F452CC"/>
    <w:rsid w:val="00F455B6"/>
    <w:rsid w:val="00F45B67"/>
    <w:rsid w:val="00F45E63"/>
    <w:rsid w:val="00F461C3"/>
    <w:rsid w:val="00F47C1E"/>
    <w:rsid w:val="00F47EA4"/>
    <w:rsid w:val="00F50042"/>
    <w:rsid w:val="00F50461"/>
    <w:rsid w:val="00F5087A"/>
    <w:rsid w:val="00F50D0C"/>
    <w:rsid w:val="00F51372"/>
    <w:rsid w:val="00F51B41"/>
    <w:rsid w:val="00F51D8E"/>
    <w:rsid w:val="00F5263D"/>
    <w:rsid w:val="00F52A53"/>
    <w:rsid w:val="00F5300D"/>
    <w:rsid w:val="00F53188"/>
    <w:rsid w:val="00F533BE"/>
    <w:rsid w:val="00F53424"/>
    <w:rsid w:val="00F5352D"/>
    <w:rsid w:val="00F539BF"/>
    <w:rsid w:val="00F53CD4"/>
    <w:rsid w:val="00F53D8C"/>
    <w:rsid w:val="00F53E65"/>
    <w:rsid w:val="00F53FED"/>
    <w:rsid w:val="00F545D5"/>
    <w:rsid w:val="00F5477F"/>
    <w:rsid w:val="00F556DB"/>
    <w:rsid w:val="00F560FD"/>
    <w:rsid w:val="00F5645B"/>
    <w:rsid w:val="00F5672A"/>
    <w:rsid w:val="00F568A1"/>
    <w:rsid w:val="00F56BF1"/>
    <w:rsid w:val="00F57323"/>
    <w:rsid w:val="00F57CAA"/>
    <w:rsid w:val="00F60EA8"/>
    <w:rsid w:val="00F616C1"/>
    <w:rsid w:val="00F618AC"/>
    <w:rsid w:val="00F622A1"/>
    <w:rsid w:val="00F622DF"/>
    <w:rsid w:val="00F62432"/>
    <w:rsid w:val="00F6275A"/>
    <w:rsid w:val="00F6299C"/>
    <w:rsid w:val="00F62A9B"/>
    <w:rsid w:val="00F62CED"/>
    <w:rsid w:val="00F6324B"/>
    <w:rsid w:val="00F63BC6"/>
    <w:rsid w:val="00F64138"/>
    <w:rsid w:val="00F64DDC"/>
    <w:rsid w:val="00F65244"/>
    <w:rsid w:val="00F65597"/>
    <w:rsid w:val="00F657AC"/>
    <w:rsid w:val="00F65BAF"/>
    <w:rsid w:val="00F66497"/>
    <w:rsid w:val="00F665CB"/>
    <w:rsid w:val="00F66979"/>
    <w:rsid w:val="00F66A85"/>
    <w:rsid w:val="00F66B64"/>
    <w:rsid w:val="00F66F21"/>
    <w:rsid w:val="00F67419"/>
    <w:rsid w:val="00F67997"/>
    <w:rsid w:val="00F70AB5"/>
    <w:rsid w:val="00F7117C"/>
    <w:rsid w:val="00F71487"/>
    <w:rsid w:val="00F72007"/>
    <w:rsid w:val="00F72021"/>
    <w:rsid w:val="00F72534"/>
    <w:rsid w:val="00F72CF3"/>
    <w:rsid w:val="00F73538"/>
    <w:rsid w:val="00F73E3D"/>
    <w:rsid w:val="00F73EFB"/>
    <w:rsid w:val="00F7404D"/>
    <w:rsid w:val="00F740D2"/>
    <w:rsid w:val="00F7425C"/>
    <w:rsid w:val="00F74577"/>
    <w:rsid w:val="00F75052"/>
    <w:rsid w:val="00F76319"/>
    <w:rsid w:val="00F7684E"/>
    <w:rsid w:val="00F76F69"/>
    <w:rsid w:val="00F774B1"/>
    <w:rsid w:val="00F779C8"/>
    <w:rsid w:val="00F77A8A"/>
    <w:rsid w:val="00F77DCC"/>
    <w:rsid w:val="00F80CF2"/>
    <w:rsid w:val="00F80D7F"/>
    <w:rsid w:val="00F810DD"/>
    <w:rsid w:val="00F813EB"/>
    <w:rsid w:val="00F8153A"/>
    <w:rsid w:val="00F81556"/>
    <w:rsid w:val="00F81EB2"/>
    <w:rsid w:val="00F82E49"/>
    <w:rsid w:val="00F82F8C"/>
    <w:rsid w:val="00F832F1"/>
    <w:rsid w:val="00F83C8D"/>
    <w:rsid w:val="00F84576"/>
    <w:rsid w:val="00F84FA4"/>
    <w:rsid w:val="00F8520D"/>
    <w:rsid w:val="00F855A8"/>
    <w:rsid w:val="00F85977"/>
    <w:rsid w:val="00F85D97"/>
    <w:rsid w:val="00F86316"/>
    <w:rsid w:val="00F8684A"/>
    <w:rsid w:val="00F868AF"/>
    <w:rsid w:val="00F86C23"/>
    <w:rsid w:val="00F87022"/>
    <w:rsid w:val="00F87343"/>
    <w:rsid w:val="00F87383"/>
    <w:rsid w:val="00F901AB"/>
    <w:rsid w:val="00F90790"/>
    <w:rsid w:val="00F90BF5"/>
    <w:rsid w:val="00F90F19"/>
    <w:rsid w:val="00F91B00"/>
    <w:rsid w:val="00F91E45"/>
    <w:rsid w:val="00F92084"/>
    <w:rsid w:val="00F9256F"/>
    <w:rsid w:val="00F9493E"/>
    <w:rsid w:val="00F949E7"/>
    <w:rsid w:val="00F94F23"/>
    <w:rsid w:val="00F95131"/>
    <w:rsid w:val="00F9527D"/>
    <w:rsid w:val="00F95428"/>
    <w:rsid w:val="00F95753"/>
    <w:rsid w:val="00F95905"/>
    <w:rsid w:val="00F961D3"/>
    <w:rsid w:val="00F96559"/>
    <w:rsid w:val="00F968C8"/>
    <w:rsid w:val="00F96959"/>
    <w:rsid w:val="00F970D8"/>
    <w:rsid w:val="00F971E0"/>
    <w:rsid w:val="00F9723E"/>
    <w:rsid w:val="00F97E23"/>
    <w:rsid w:val="00FA0870"/>
    <w:rsid w:val="00FA0B13"/>
    <w:rsid w:val="00FA1C42"/>
    <w:rsid w:val="00FA1C68"/>
    <w:rsid w:val="00FA1CE9"/>
    <w:rsid w:val="00FA24CE"/>
    <w:rsid w:val="00FA2625"/>
    <w:rsid w:val="00FA288C"/>
    <w:rsid w:val="00FA2A08"/>
    <w:rsid w:val="00FA2EC7"/>
    <w:rsid w:val="00FA303C"/>
    <w:rsid w:val="00FA3445"/>
    <w:rsid w:val="00FA3FB6"/>
    <w:rsid w:val="00FA4048"/>
    <w:rsid w:val="00FA5011"/>
    <w:rsid w:val="00FA545F"/>
    <w:rsid w:val="00FA56A2"/>
    <w:rsid w:val="00FA587B"/>
    <w:rsid w:val="00FA5A5D"/>
    <w:rsid w:val="00FA5B5A"/>
    <w:rsid w:val="00FA5F69"/>
    <w:rsid w:val="00FA66BD"/>
    <w:rsid w:val="00FA66F1"/>
    <w:rsid w:val="00FA6EC9"/>
    <w:rsid w:val="00FA6EE8"/>
    <w:rsid w:val="00FA6FA5"/>
    <w:rsid w:val="00FA727B"/>
    <w:rsid w:val="00FA7C43"/>
    <w:rsid w:val="00FB040D"/>
    <w:rsid w:val="00FB0549"/>
    <w:rsid w:val="00FB05AE"/>
    <w:rsid w:val="00FB08F3"/>
    <w:rsid w:val="00FB095D"/>
    <w:rsid w:val="00FB0D60"/>
    <w:rsid w:val="00FB1191"/>
    <w:rsid w:val="00FB127E"/>
    <w:rsid w:val="00FB18CA"/>
    <w:rsid w:val="00FB1A9B"/>
    <w:rsid w:val="00FB1D17"/>
    <w:rsid w:val="00FB20DC"/>
    <w:rsid w:val="00FB31B3"/>
    <w:rsid w:val="00FB336A"/>
    <w:rsid w:val="00FB3DAE"/>
    <w:rsid w:val="00FB4187"/>
    <w:rsid w:val="00FB4240"/>
    <w:rsid w:val="00FB48F3"/>
    <w:rsid w:val="00FB4B10"/>
    <w:rsid w:val="00FB4C64"/>
    <w:rsid w:val="00FB4D57"/>
    <w:rsid w:val="00FB4DC5"/>
    <w:rsid w:val="00FB4E50"/>
    <w:rsid w:val="00FB5003"/>
    <w:rsid w:val="00FB5841"/>
    <w:rsid w:val="00FB699F"/>
    <w:rsid w:val="00FB6AD8"/>
    <w:rsid w:val="00FB70DB"/>
    <w:rsid w:val="00FB73E5"/>
    <w:rsid w:val="00FB7445"/>
    <w:rsid w:val="00FB7447"/>
    <w:rsid w:val="00FB75BC"/>
    <w:rsid w:val="00FB7AAF"/>
    <w:rsid w:val="00FB7EDC"/>
    <w:rsid w:val="00FC1205"/>
    <w:rsid w:val="00FC197F"/>
    <w:rsid w:val="00FC2817"/>
    <w:rsid w:val="00FC2EE7"/>
    <w:rsid w:val="00FC3574"/>
    <w:rsid w:val="00FC3ADF"/>
    <w:rsid w:val="00FC3E97"/>
    <w:rsid w:val="00FC3F76"/>
    <w:rsid w:val="00FC3FBF"/>
    <w:rsid w:val="00FC4D3E"/>
    <w:rsid w:val="00FC4DDA"/>
    <w:rsid w:val="00FC534C"/>
    <w:rsid w:val="00FC603D"/>
    <w:rsid w:val="00FC7178"/>
    <w:rsid w:val="00FC7867"/>
    <w:rsid w:val="00FC7E2A"/>
    <w:rsid w:val="00FC7F88"/>
    <w:rsid w:val="00FD0148"/>
    <w:rsid w:val="00FD0168"/>
    <w:rsid w:val="00FD0598"/>
    <w:rsid w:val="00FD062D"/>
    <w:rsid w:val="00FD0A3A"/>
    <w:rsid w:val="00FD0B27"/>
    <w:rsid w:val="00FD11E5"/>
    <w:rsid w:val="00FD14B4"/>
    <w:rsid w:val="00FD1E8D"/>
    <w:rsid w:val="00FD249A"/>
    <w:rsid w:val="00FD2CC7"/>
    <w:rsid w:val="00FD324B"/>
    <w:rsid w:val="00FD3455"/>
    <w:rsid w:val="00FD3858"/>
    <w:rsid w:val="00FD3A95"/>
    <w:rsid w:val="00FD3DDB"/>
    <w:rsid w:val="00FD4223"/>
    <w:rsid w:val="00FD44FB"/>
    <w:rsid w:val="00FD478D"/>
    <w:rsid w:val="00FD47A4"/>
    <w:rsid w:val="00FD5088"/>
    <w:rsid w:val="00FD50B8"/>
    <w:rsid w:val="00FD568E"/>
    <w:rsid w:val="00FD5B49"/>
    <w:rsid w:val="00FD6AD6"/>
    <w:rsid w:val="00FD6D41"/>
    <w:rsid w:val="00FD6E92"/>
    <w:rsid w:val="00FD7189"/>
    <w:rsid w:val="00FD72EE"/>
    <w:rsid w:val="00FD76C4"/>
    <w:rsid w:val="00FE0C8A"/>
    <w:rsid w:val="00FE17F0"/>
    <w:rsid w:val="00FE22D4"/>
    <w:rsid w:val="00FE22E6"/>
    <w:rsid w:val="00FE2BAB"/>
    <w:rsid w:val="00FE2DFE"/>
    <w:rsid w:val="00FE3128"/>
    <w:rsid w:val="00FE3C33"/>
    <w:rsid w:val="00FE42DF"/>
    <w:rsid w:val="00FE490F"/>
    <w:rsid w:val="00FE5EA8"/>
    <w:rsid w:val="00FE618D"/>
    <w:rsid w:val="00FE648A"/>
    <w:rsid w:val="00FE6757"/>
    <w:rsid w:val="00FE737F"/>
    <w:rsid w:val="00FF068E"/>
    <w:rsid w:val="00FF0BE2"/>
    <w:rsid w:val="00FF0C0B"/>
    <w:rsid w:val="00FF0F68"/>
    <w:rsid w:val="00FF131E"/>
    <w:rsid w:val="00FF14B2"/>
    <w:rsid w:val="00FF15EF"/>
    <w:rsid w:val="00FF1985"/>
    <w:rsid w:val="00FF1E67"/>
    <w:rsid w:val="00FF276D"/>
    <w:rsid w:val="00FF27DC"/>
    <w:rsid w:val="00FF27E5"/>
    <w:rsid w:val="00FF2EFB"/>
    <w:rsid w:val="00FF3250"/>
    <w:rsid w:val="00FF3328"/>
    <w:rsid w:val="00FF3426"/>
    <w:rsid w:val="00FF34C4"/>
    <w:rsid w:val="00FF3AA9"/>
    <w:rsid w:val="00FF3F99"/>
    <w:rsid w:val="00FF474C"/>
    <w:rsid w:val="00FF49F4"/>
    <w:rsid w:val="00FF4E9A"/>
    <w:rsid w:val="00FF5232"/>
    <w:rsid w:val="00FF550D"/>
    <w:rsid w:val="00FF573E"/>
    <w:rsid w:val="00FF5A26"/>
    <w:rsid w:val="00FF5AD7"/>
    <w:rsid w:val="00FF652A"/>
    <w:rsid w:val="00FF659D"/>
    <w:rsid w:val="00FF66F1"/>
    <w:rsid w:val="00FF6ABB"/>
    <w:rsid w:val="00FF6B04"/>
    <w:rsid w:val="00FF7440"/>
    <w:rsid w:val="00FF7979"/>
    <w:rsid w:val="00FF7AD8"/>
    <w:rsid w:val="00FF7C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CE015D"/>
  <w15:docId w15:val="{50484C07-0E9E-4C65-9B26-F9F2E3493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uiPriority="9"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869"/>
    <w:pPr>
      <w:spacing w:line="360" w:lineRule="auto"/>
      <w:jc w:val="both"/>
    </w:pPr>
    <w:rPr>
      <w:rFonts w:ascii="Arial" w:hAnsi="Arial" w:cs="Times New Roman"/>
      <w:sz w:val="24"/>
      <w:szCs w:val="24"/>
    </w:rPr>
  </w:style>
  <w:style w:type="paragraph" w:styleId="Ttulo1">
    <w:name w:val="heading 1"/>
    <w:basedOn w:val="Normal"/>
    <w:next w:val="Normal"/>
    <w:link w:val="Ttulo1Car"/>
    <w:uiPriority w:val="9"/>
    <w:qFormat/>
    <w:rsid w:val="00C85395"/>
    <w:pPr>
      <w:keepNext/>
      <w:spacing w:before="240" w:after="60"/>
      <w:outlineLvl w:val="0"/>
    </w:pPr>
    <w:rPr>
      <w:rFonts w:ascii="Cambria" w:hAnsi="Cambria"/>
      <w:b/>
      <w:kern w:val="32"/>
      <w:sz w:val="32"/>
      <w:szCs w:val="20"/>
    </w:rPr>
  </w:style>
  <w:style w:type="paragraph" w:styleId="Ttulo3">
    <w:name w:val="heading 3"/>
    <w:basedOn w:val="Normal"/>
    <w:next w:val="Normal"/>
    <w:link w:val="Ttulo3Car"/>
    <w:uiPriority w:val="9"/>
    <w:qFormat/>
    <w:rsid w:val="00C85395"/>
    <w:pPr>
      <w:keepNext/>
      <w:spacing w:before="240" w:after="60"/>
      <w:outlineLvl w:val="2"/>
    </w:pPr>
    <w:rPr>
      <w:b/>
      <w:sz w:val="26"/>
      <w:szCs w:val="20"/>
    </w:rPr>
  </w:style>
  <w:style w:type="paragraph" w:styleId="Ttulo5">
    <w:name w:val="heading 5"/>
    <w:basedOn w:val="Normal"/>
    <w:next w:val="Normal"/>
    <w:link w:val="Ttulo5Car"/>
    <w:uiPriority w:val="9"/>
    <w:qFormat/>
    <w:rsid w:val="00C85395"/>
    <w:pPr>
      <w:keepNext/>
      <w:jc w:val="center"/>
      <w:outlineLvl w:val="4"/>
    </w:pPr>
    <w:rPr>
      <w:b/>
      <w:sz w:val="20"/>
      <w:szCs w:val="20"/>
    </w:rPr>
  </w:style>
  <w:style w:type="paragraph" w:styleId="Ttulo6">
    <w:name w:val="heading 6"/>
    <w:basedOn w:val="Normal"/>
    <w:next w:val="Normal"/>
    <w:link w:val="Ttulo6Car"/>
    <w:uiPriority w:val="9"/>
    <w:qFormat/>
    <w:rsid w:val="00C85395"/>
    <w:pPr>
      <w:spacing w:before="240" w:after="60"/>
      <w:outlineLvl w:val="5"/>
    </w:pPr>
    <w:rPr>
      <w:rFonts w:ascii="Calibri" w:hAnsi="Calibri"/>
      <w:b/>
      <w:sz w:val="20"/>
      <w:szCs w:val="20"/>
    </w:rPr>
  </w:style>
  <w:style w:type="paragraph" w:styleId="Ttulo7">
    <w:name w:val="heading 7"/>
    <w:basedOn w:val="Normal"/>
    <w:next w:val="Normal"/>
    <w:link w:val="Ttulo7Car"/>
    <w:uiPriority w:val="9"/>
    <w:qFormat/>
    <w:rsid w:val="00C85395"/>
    <w:pPr>
      <w:spacing w:before="240" w:after="60"/>
      <w:outlineLvl w:val="6"/>
    </w:pPr>
    <w:rPr>
      <w:szCs w:val="20"/>
    </w:rPr>
  </w:style>
  <w:style w:type="paragraph" w:styleId="Ttulo9">
    <w:name w:val="heading 9"/>
    <w:basedOn w:val="Normal"/>
    <w:next w:val="Normal"/>
    <w:link w:val="Ttulo9Car"/>
    <w:uiPriority w:val="9"/>
    <w:qFormat/>
    <w:rsid w:val="00C85395"/>
    <w:pPr>
      <w:spacing w:before="240" w:after="60"/>
      <w:outlineLvl w:val="8"/>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C85395"/>
    <w:rPr>
      <w:rFonts w:ascii="Cambria" w:hAnsi="Cambria"/>
      <w:b/>
      <w:kern w:val="32"/>
      <w:sz w:val="32"/>
      <w:lang w:eastAsia="es-ES"/>
    </w:rPr>
  </w:style>
  <w:style w:type="character" w:customStyle="1" w:styleId="Ttulo3Car">
    <w:name w:val="Título 3 Car"/>
    <w:link w:val="Ttulo3"/>
    <w:uiPriority w:val="9"/>
    <w:locked/>
    <w:rsid w:val="00C85395"/>
    <w:rPr>
      <w:rFonts w:ascii="Arial" w:hAnsi="Arial"/>
      <w:b/>
      <w:sz w:val="26"/>
      <w:lang w:eastAsia="es-ES"/>
    </w:rPr>
  </w:style>
  <w:style w:type="character" w:customStyle="1" w:styleId="Ttulo5Car">
    <w:name w:val="Título 5 Car"/>
    <w:link w:val="Ttulo5"/>
    <w:uiPriority w:val="9"/>
    <w:locked/>
    <w:rsid w:val="00C85395"/>
    <w:rPr>
      <w:rFonts w:ascii="Arial" w:hAnsi="Arial"/>
      <w:b/>
      <w:lang w:eastAsia="es-ES"/>
    </w:rPr>
  </w:style>
  <w:style w:type="character" w:customStyle="1" w:styleId="Ttulo6Car">
    <w:name w:val="Título 6 Car"/>
    <w:link w:val="Ttulo6"/>
    <w:uiPriority w:val="9"/>
    <w:locked/>
    <w:rsid w:val="00C85395"/>
    <w:rPr>
      <w:rFonts w:ascii="Calibri" w:hAnsi="Calibri"/>
      <w:b/>
      <w:lang w:eastAsia="es-ES"/>
    </w:rPr>
  </w:style>
  <w:style w:type="character" w:customStyle="1" w:styleId="Ttulo7Car">
    <w:name w:val="Título 7 Car"/>
    <w:link w:val="Ttulo7"/>
    <w:uiPriority w:val="9"/>
    <w:locked/>
    <w:rsid w:val="00C85395"/>
    <w:rPr>
      <w:rFonts w:ascii="Arial" w:hAnsi="Arial"/>
      <w:sz w:val="24"/>
      <w:lang w:eastAsia="es-ES"/>
    </w:rPr>
  </w:style>
  <w:style w:type="character" w:customStyle="1" w:styleId="Ttulo9Car">
    <w:name w:val="Título 9 Car"/>
    <w:link w:val="Ttulo9"/>
    <w:uiPriority w:val="9"/>
    <w:locked/>
    <w:rsid w:val="00C85395"/>
    <w:rPr>
      <w:rFonts w:ascii="Arial" w:hAnsi="Arial"/>
      <w:lang w:eastAsia="es-ES"/>
    </w:rPr>
  </w:style>
  <w:style w:type="paragraph" w:styleId="Textoindependiente2">
    <w:name w:val="Body Text 2"/>
    <w:basedOn w:val="Normal"/>
    <w:link w:val="Textoindependiente2Car"/>
    <w:uiPriority w:val="99"/>
    <w:semiHidden/>
    <w:rsid w:val="00C85395"/>
    <w:pPr>
      <w:spacing w:after="120"/>
      <w:ind w:left="283"/>
    </w:pPr>
    <w:rPr>
      <w:szCs w:val="20"/>
    </w:rPr>
  </w:style>
  <w:style w:type="character" w:customStyle="1" w:styleId="Textoindependiente2Car">
    <w:name w:val="Texto independiente 2 Car"/>
    <w:link w:val="Textoindependiente2"/>
    <w:uiPriority w:val="99"/>
    <w:semiHidden/>
    <w:locked/>
    <w:rsid w:val="00C85395"/>
    <w:rPr>
      <w:rFonts w:ascii="Arial" w:hAnsi="Arial"/>
      <w:sz w:val="24"/>
      <w:lang w:eastAsia="es-ES"/>
    </w:rPr>
  </w:style>
  <w:style w:type="paragraph" w:customStyle="1" w:styleId="Textoindependiente21">
    <w:name w:val="Texto independiente 21"/>
    <w:basedOn w:val="Normal"/>
    <w:rsid w:val="00C85395"/>
    <w:pPr>
      <w:tabs>
        <w:tab w:val="left" w:pos="3969"/>
      </w:tabs>
      <w:overflowPunct w:val="0"/>
      <w:autoSpaceDE w:val="0"/>
      <w:autoSpaceDN w:val="0"/>
      <w:adjustRightInd w:val="0"/>
      <w:textAlignment w:val="baseline"/>
    </w:pPr>
    <w:rPr>
      <w:rFonts w:cs="Arial"/>
      <w:i/>
      <w:iCs/>
      <w:sz w:val="26"/>
      <w:szCs w:val="26"/>
      <w:lang w:val="es-ES_tradnl"/>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uiPriority w:val="99"/>
    <w:rsid w:val="00C85395"/>
    <w:rPr>
      <w:vertAlign w:val="superscript"/>
    </w:rPr>
  </w:style>
  <w:style w:type="paragraph" w:styleId="Textoindependiente">
    <w:name w:val="Body Text"/>
    <w:aliases w:val="Texto independiente Car Car Car"/>
    <w:basedOn w:val="Normal"/>
    <w:link w:val="TextoindependienteCar"/>
    <w:rsid w:val="00C85395"/>
    <w:pPr>
      <w:autoSpaceDE w:val="0"/>
      <w:autoSpaceDN w:val="0"/>
      <w:adjustRightInd w:val="0"/>
    </w:pPr>
    <w:rPr>
      <w:szCs w:val="20"/>
      <w:lang w:val="es-ES_tradnl"/>
    </w:rPr>
  </w:style>
  <w:style w:type="paragraph" w:styleId="NormalWeb">
    <w:name w:val="Normal (Web)"/>
    <w:basedOn w:val="Normal"/>
    <w:uiPriority w:val="99"/>
    <w:rsid w:val="00C85395"/>
    <w:pPr>
      <w:spacing w:before="100" w:beforeAutospacing="1" w:after="100" w:afterAutospacing="1"/>
    </w:pPr>
  </w:style>
  <w:style w:type="paragraph" w:styleId="Textoindependiente3">
    <w:name w:val="Body Text 3"/>
    <w:basedOn w:val="Normal"/>
    <w:link w:val="Textoindependiente3Car"/>
    <w:uiPriority w:val="99"/>
    <w:rsid w:val="00F0748C"/>
    <w:pPr>
      <w:overflowPunct w:val="0"/>
      <w:autoSpaceDE w:val="0"/>
      <w:autoSpaceDN w:val="0"/>
      <w:adjustRightInd w:val="0"/>
      <w:textAlignment w:val="baseline"/>
    </w:pPr>
    <w:rPr>
      <w:sz w:val="20"/>
      <w:szCs w:val="20"/>
    </w:rPr>
  </w:style>
  <w:style w:type="character" w:customStyle="1" w:styleId="Textoindependiente3Car">
    <w:name w:val="Texto independiente 3 Car"/>
    <w:link w:val="Textoindependiente3"/>
    <w:uiPriority w:val="99"/>
    <w:locked/>
    <w:rsid w:val="00C85395"/>
    <w:rPr>
      <w:rFonts w:ascii="Arial" w:hAnsi="Arial"/>
      <w:lang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uiPriority w:val="99"/>
    <w:locked/>
    <w:rsid w:val="00C85395"/>
    <w:rPr>
      <w:rFonts w:ascii="Arial" w:hAnsi="Arial"/>
      <w:sz w:val="20"/>
      <w:lang w:eastAsia="es-ES"/>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uiPriority w:val="99"/>
    <w:rsid w:val="00C85395"/>
    <w:rPr>
      <w:sz w:val="20"/>
      <w:szCs w:val="20"/>
    </w:rPr>
  </w:style>
  <w:style w:type="character" w:customStyle="1" w:styleId="TextonotapieCar1">
    <w:name w:val="Texto nota pie Car1"/>
    <w:aliases w:val="Footnote Text Char Char Char Char Char Car1,Footnote Text Char Char Char Char Car1,Ref. de nota al pie1 Car1,FA Fu Car1,Footnote Text Cha Car1,Footnote Text Char Char Char Car1,FA Fußnotentext Car1,FA Fuﬂnotentext Car1"/>
    <w:uiPriority w:val="99"/>
    <w:rsid w:val="00D7442C"/>
    <w:rPr>
      <w:rFonts w:ascii="Arial" w:hAnsi="Arial" w:cs="Times New Roman"/>
      <w:lang w:val="es-ES" w:eastAsia="es-ES"/>
    </w:rPr>
  </w:style>
  <w:style w:type="character" w:customStyle="1" w:styleId="TextonotapieCar12">
    <w:name w:val="Texto nota pie Car12"/>
    <w:aliases w:val="Footnote Text Char Char Char Char Char Car12,Footnote Text Char Char Char Char Car12,Ref. de nota al pie1 Car11,FA Fu Car12,Footnote Text Cha Car12,Footnote Text Char Char Char Car12,FA Fußnotentext Car12,FA Fuﬂnotentext Car11"/>
    <w:uiPriority w:val="99"/>
    <w:semiHidden/>
    <w:rsid w:val="00D7442C"/>
    <w:rPr>
      <w:rFonts w:ascii="Arial" w:hAnsi="Arial"/>
    </w:rPr>
  </w:style>
  <w:style w:type="paragraph" w:styleId="Encabezado">
    <w:name w:val="header"/>
    <w:basedOn w:val="Normal"/>
    <w:link w:val="EncabezadoCar"/>
    <w:uiPriority w:val="99"/>
    <w:rsid w:val="00C85395"/>
    <w:pPr>
      <w:tabs>
        <w:tab w:val="center" w:pos="4419"/>
        <w:tab w:val="right" w:pos="8838"/>
      </w:tabs>
      <w:overflowPunct w:val="0"/>
      <w:autoSpaceDE w:val="0"/>
      <w:autoSpaceDN w:val="0"/>
      <w:adjustRightInd w:val="0"/>
      <w:textAlignment w:val="baseline"/>
    </w:pPr>
    <w:rPr>
      <w:szCs w:val="20"/>
      <w:lang w:val="es-ES_tradnl"/>
    </w:rPr>
  </w:style>
  <w:style w:type="character" w:customStyle="1" w:styleId="EncabezadoCar">
    <w:name w:val="Encabezado Car"/>
    <w:link w:val="Encabezado"/>
    <w:uiPriority w:val="99"/>
    <w:locked/>
    <w:rsid w:val="00C85395"/>
    <w:rPr>
      <w:rFonts w:ascii="Arial" w:hAnsi="Arial"/>
      <w:sz w:val="24"/>
      <w:lang w:val="es-ES_tradnl" w:eastAsia="es-ES"/>
    </w:rPr>
  </w:style>
  <w:style w:type="character" w:customStyle="1" w:styleId="TextoindependienteCar">
    <w:name w:val="Texto independiente Car"/>
    <w:aliases w:val="Texto independiente Car Car Car Car2"/>
    <w:link w:val="Textoindependiente"/>
    <w:locked/>
    <w:rsid w:val="00C85395"/>
    <w:rPr>
      <w:rFonts w:ascii="Arial" w:hAnsi="Arial"/>
      <w:sz w:val="24"/>
      <w:lang w:val="es-ES_tradnl" w:eastAsia="es-ES"/>
    </w:rPr>
  </w:style>
  <w:style w:type="paragraph" w:styleId="Piedepgina">
    <w:name w:val="footer"/>
    <w:basedOn w:val="Normal"/>
    <w:link w:val="PiedepginaCar"/>
    <w:rsid w:val="00C85395"/>
    <w:pPr>
      <w:tabs>
        <w:tab w:val="center" w:pos="4252"/>
        <w:tab w:val="right" w:pos="8504"/>
      </w:tabs>
    </w:pPr>
    <w:rPr>
      <w:szCs w:val="20"/>
    </w:rPr>
  </w:style>
  <w:style w:type="character" w:customStyle="1" w:styleId="PiedepginaCar">
    <w:name w:val="Pie de página Car"/>
    <w:link w:val="Piedepgina"/>
    <w:locked/>
    <w:rsid w:val="00C85395"/>
    <w:rPr>
      <w:rFonts w:ascii="Arial" w:hAnsi="Arial"/>
      <w:sz w:val="24"/>
      <w:lang w:eastAsia="es-ES"/>
    </w:rPr>
  </w:style>
  <w:style w:type="character" w:styleId="Nmerodepgina">
    <w:name w:val="page number"/>
    <w:rsid w:val="00C85395"/>
  </w:style>
  <w:style w:type="paragraph" w:styleId="Textodebloque">
    <w:name w:val="Block Text"/>
    <w:basedOn w:val="Normal"/>
    <w:rsid w:val="00C85395"/>
    <w:pPr>
      <w:tabs>
        <w:tab w:val="left" w:pos="288"/>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3" w:right="567"/>
    </w:pPr>
    <w:rPr>
      <w:rFonts w:ascii="Century Gothic" w:hAnsi="Century Gothic" w:cs="Century Gothic"/>
      <w:sz w:val="22"/>
      <w:szCs w:val="22"/>
    </w:rPr>
  </w:style>
  <w:style w:type="paragraph" w:customStyle="1" w:styleId="Estilo">
    <w:name w:val="Estilo"/>
    <w:rsid w:val="00C85395"/>
    <w:pPr>
      <w:widowControl w:val="0"/>
      <w:autoSpaceDE w:val="0"/>
      <w:autoSpaceDN w:val="0"/>
      <w:adjustRightInd w:val="0"/>
      <w:spacing w:line="360" w:lineRule="auto"/>
      <w:jc w:val="both"/>
    </w:pPr>
    <w:rPr>
      <w:rFonts w:ascii="Arial" w:hAnsi="Arial" w:cs="Arial"/>
      <w:sz w:val="24"/>
      <w:szCs w:val="24"/>
    </w:rPr>
  </w:style>
  <w:style w:type="paragraph" w:customStyle="1" w:styleId="Textoindependiente22">
    <w:name w:val="Texto independiente 22"/>
    <w:basedOn w:val="Normal"/>
    <w:rsid w:val="00C85395"/>
    <w:pPr>
      <w:overflowPunct w:val="0"/>
      <w:autoSpaceDE w:val="0"/>
      <w:autoSpaceDN w:val="0"/>
      <w:adjustRightInd w:val="0"/>
      <w:ind w:firstLine="1418"/>
      <w:textAlignment w:val="baseline"/>
    </w:pPr>
    <w:rPr>
      <w:szCs w:val="20"/>
    </w:rPr>
  </w:style>
  <w:style w:type="paragraph" w:customStyle="1" w:styleId="CUERPO">
    <w:name w:val="CUERPO"/>
    <w:rsid w:val="00C85395"/>
    <w:pPr>
      <w:spacing w:before="144" w:after="144" w:line="360" w:lineRule="auto"/>
      <w:ind w:firstLine="360"/>
      <w:jc w:val="both"/>
    </w:pPr>
    <w:rPr>
      <w:rFonts w:ascii="Arial" w:hAnsi="Arial" w:cs="Times New Roman"/>
      <w:lang w:val="en-US" w:eastAsia="en-US"/>
    </w:rPr>
  </w:style>
  <w:style w:type="paragraph" w:customStyle="1" w:styleId="Textodebloque1">
    <w:name w:val="Texto de bloque1"/>
    <w:basedOn w:val="Normal"/>
    <w:qFormat/>
    <w:rsid w:val="00C85395"/>
    <w:pPr>
      <w:overflowPunct w:val="0"/>
      <w:autoSpaceDE w:val="0"/>
      <w:autoSpaceDN w:val="0"/>
      <w:adjustRightInd w:val="0"/>
      <w:ind w:left="851" w:right="851" w:firstLine="567"/>
      <w:textAlignment w:val="baseline"/>
    </w:pPr>
    <w:rPr>
      <w:rFonts w:ascii="Century Gothic" w:hAnsi="Century Gothic" w:cs="Arial"/>
      <w:sz w:val="22"/>
    </w:rPr>
  </w:style>
  <w:style w:type="paragraph" w:customStyle="1" w:styleId="Sangra3detindependiente1">
    <w:name w:val="Sangría 3 de t. independiente1"/>
    <w:basedOn w:val="Normal"/>
    <w:rsid w:val="00C85395"/>
    <w:pPr>
      <w:overflowPunct w:val="0"/>
      <w:autoSpaceDE w:val="0"/>
      <w:autoSpaceDN w:val="0"/>
      <w:adjustRightInd w:val="0"/>
      <w:ind w:firstLine="540"/>
      <w:textAlignment w:val="baseline"/>
    </w:pPr>
    <w:rPr>
      <w:b/>
      <w:szCs w:val="20"/>
    </w:rPr>
  </w:style>
  <w:style w:type="paragraph" w:customStyle="1" w:styleId="BodyText21">
    <w:name w:val="Body Text 21"/>
    <w:basedOn w:val="Normal"/>
    <w:rsid w:val="00C85395"/>
    <w:pPr>
      <w:overflowPunct w:val="0"/>
      <w:autoSpaceDE w:val="0"/>
      <w:autoSpaceDN w:val="0"/>
      <w:adjustRightInd w:val="0"/>
      <w:ind w:left="1418"/>
      <w:textAlignment w:val="baseline"/>
    </w:pPr>
    <w:rPr>
      <w:szCs w:val="20"/>
    </w:rPr>
  </w:style>
  <w:style w:type="paragraph" w:styleId="Sangra3detindependiente">
    <w:name w:val="Body Text Indent 3"/>
    <w:basedOn w:val="Normal"/>
    <w:link w:val="Sangra3detindependienteCar"/>
    <w:uiPriority w:val="99"/>
    <w:rsid w:val="00C85395"/>
    <w:pPr>
      <w:overflowPunct w:val="0"/>
      <w:autoSpaceDE w:val="0"/>
      <w:autoSpaceDN w:val="0"/>
      <w:adjustRightInd w:val="0"/>
      <w:spacing w:after="120"/>
      <w:ind w:left="283"/>
      <w:textAlignment w:val="baseline"/>
    </w:pPr>
    <w:rPr>
      <w:sz w:val="16"/>
      <w:szCs w:val="20"/>
    </w:rPr>
  </w:style>
  <w:style w:type="character" w:customStyle="1" w:styleId="Sangra3detindependienteCar">
    <w:name w:val="Sangría 3 de t. independiente Car"/>
    <w:link w:val="Sangra3detindependiente"/>
    <w:uiPriority w:val="99"/>
    <w:locked/>
    <w:rsid w:val="00C85395"/>
    <w:rPr>
      <w:rFonts w:ascii="Arial" w:hAnsi="Arial"/>
      <w:sz w:val="16"/>
      <w:lang w:eastAsia="es-ES"/>
    </w:rPr>
  </w:style>
  <w:style w:type="paragraph" w:customStyle="1" w:styleId="Textonormal">
    <w:name w:val="Texto normal"/>
    <w:basedOn w:val="Normal"/>
    <w:rsid w:val="00C85395"/>
    <w:pPr>
      <w:spacing w:line="360" w:lineRule="atLeast"/>
    </w:pPr>
    <w:rPr>
      <w:szCs w:val="20"/>
    </w:rPr>
  </w:style>
  <w:style w:type="paragraph" w:customStyle="1" w:styleId="tesis">
    <w:name w:val="tesis"/>
    <w:basedOn w:val="Cuerpotexto"/>
    <w:rsid w:val="00C85395"/>
    <w:pPr>
      <w:spacing w:before="0" w:after="170"/>
      <w:ind w:left="567" w:right="0" w:firstLine="0"/>
    </w:pPr>
    <w:rPr>
      <w:b/>
      <w:color w:val="auto"/>
    </w:rPr>
  </w:style>
  <w:style w:type="paragraph" w:customStyle="1" w:styleId="Cuerpotexto">
    <w:name w:val="Cuerpo texto"/>
    <w:rsid w:val="00C85395"/>
    <w:pPr>
      <w:overflowPunct w:val="0"/>
      <w:autoSpaceDE w:val="0"/>
      <w:autoSpaceDN w:val="0"/>
      <w:adjustRightInd w:val="0"/>
      <w:spacing w:before="1" w:after="171" w:line="360" w:lineRule="auto"/>
      <w:ind w:left="1" w:right="1" w:firstLine="397"/>
      <w:jc w:val="both"/>
      <w:textAlignment w:val="baseline"/>
    </w:pPr>
    <w:rPr>
      <w:rFonts w:ascii="Times New Roman" w:hAnsi="Times New Roman" w:cs="Times New Roman"/>
      <w:color w:val="000000"/>
      <w:sz w:val="22"/>
      <w:lang w:val="es-ES_tradnl"/>
    </w:rPr>
  </w:style>
  <w:style w:type="character" w:customStyle="1" w:styleId="TextonotapieCarCarCar">
    <w:name w:val="Texto nota pie Car Car Car"/>
    <w:aliases w:val="Texto nota pie Car1 Car Car"/>
    <w:rsid w:val="00C85395"/>
    <w:rPr>
      <w:lang w:val="es-CO" w:eastAsia="es-ES"/>
    </w:rPr>
  </w:style>
  <w:style w:type="paragraph" w:styleId="Textonotaalfinal">
    <w:name w:val="endnote text"/>
    <w:basedOn w:val="Normal"/>
    <w:link w:val="TextonotaalfinalCar"/>
    <w:uiPriority w:val="99"/>
    <w:unhideWhenUsed/>
    <w:rsid w:val="00C85395"/>
    <w:rPr>
      <w:sz w:val="20"/>
      <w:szCs w:val="20"/>
    </w:rPr>
  </w:style>
  <w:style w:type="character" w:customStyle="1" w:styleId="TextonotaalfinalCar">
    <w:name w:val="Texto nota al final Car"/>
    <w:link w:val="Textonotaalfinal"/>
    <w:uiPriority w:val="99"/>
    <w:locked/>
    <w:rsid w:val="00C85395"/>
    <w:rPr>
      <w:rFonts w:ascii="Arial" w:hAnsi="Arial"/>
      <w:sz w:val="20"/>
      <w:lang w:eastAsia="es-ES"/>
    </w:rPr>
  </w:style>
  <w:style w:type="paragraph" w:customStyle="1" w:styleId="BodyText22">
    <w:name w:val="Body Text 22"/>
    <w:basedOn w:val="Normal"/>
    <w:rsid w:val="00C85395"/>
    <w:pPr>
      <w:autoSpaceDE w:val="0"/>
      <w:autoSpaceDN w:val="0"/>
      <w:adjustRightInd w:val="0"/>
      <w:ind w:firstLine="708"/>
    </w:pPr>
    <w:rPr>
      <w:rFonts w:ascii="Century Gothic" w:hAnsi="Century Gothic"/>
      <w:sz w:val="22"/>
      <w:szCs w:val="22"/>
    </w:rPr>
  </w:style>
  <w:style w:type="character" w:customStyle="1" w:styleId="TextoindependienteCarCarCarCar">
    <w:name w:val="Texto independiente Car Car Car Car"/>
    <w:aliases w:val="Texto independiente Car Car Car1"/>
    <w:rsid w:val="00C85395"/>
    <w:rPr>
      <w:rFonts w:ascii="Arial" w:hAnsi="Arial"/>
      <w:sz w:val="24"/>
      <w:lang w:val="es-ES_tradnl" w:eastAsia="es-ES"/>
    </w:rPr>
  </w:style>
  <w:style w:type="character" w:styleId="Hipervnculo">
    <w:name w:val="Hyperlink"/>
    <w:uiPriority w:val="99"/>
    <w:rsid w:val="00C85395"/>
    <w:rPr>
      <w:rFonts w:ascii="Arial" w:hAnsi="Arial"/>
      <w:color w:val="auto"/>
      <w:sz w:val="18"/>
      <w:u w:val="none"/>
      <w:effect w:val="none"/>
    </w:rPr>
  </w:style>
  <w:style w:type="character" w:customStyle="1" w:styleId="CarCar10">
    <w:name w:val="Car Car10"/>
    <w:rsid w:val="00C85395"/>
    <w:rPr>
      <w:rFonts w:ascii="Arial" w:hAnsi="Arial"/>
      <w:b/>
      <w:sz w:val="26"/>
      <w:lang w:eastAsia="es-ES"/>
    </w:rPr>
  </w:style>
  <w:style w:type="paragraph" w:customStyle="1" w:styleId="BodyText28">
    <w:name w:val="Body Text 28"/>
    <w:basedOn w:val="Normal"/>
    <w:rsid w:val="00C85395"/>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textAlignment w:val="baseline"/>
    </w:pPr>
    <w:rPr>
      <w:spacing w:val="-2"/>
      <w:sz w:val="22"/>
      <w:szCs w:val="20"/>
      <w:lang w:val="es-CO"/>
    </w:rPr>
  </w:style>
  <w:style w:type="character" w:customStyle="1" w:styleId="TextoindependienteCarCarCarCarCar">
    <w:name w:val="Texto independiente Car Car Car Car Car"/>
    <w:rsid w:val="00C85395"/>
    <w:rPr>
      <w:rFonts w:ascii="Arial" w:hAnsi="Arial"/>
      <w:sz w:val="24"/>
      <w:lang w:val="es-ES_tradnl" w:eastAsia="es-ES"/>
    </w:rPr>
  </w:style>
  <w:style w:type="character" w:customStyle="1" w:styleId="CarCar11">
    <w:name w:val="Car Car11"/>
    <w:rsid w:val="00C85395"/>
    <w:rPr>
      <w:rFonts w:ascii="Arial" w:hAnsi="Arial"/>
      <w:b/>
      <w:sz w:val="26"/>
      <w:lang w:val="es-ES" w:eastAsia="es-ES"/>
    </w:rPr>
  </w:style>
  <w:style w:type="paragraph" w:styleId="Sangradetextonormal">
    <w:name w:val="Body Text Indent"/>
    <w:basedOn w:val="Normal"/>
    <w:link w:val="SangradetextonormalCar"/>
    <w:uiPriority w:val="99"/>
    <w:rsid w:val="00C85395"/>
    <w:pPr>
      <w:spacing w:after="120"/>
      <w:ind w:left="283"/>
    </w:pPr>
    <w:rPr>
      <w:rFonts w:ascii="Times New Roman" w:hAnsi="Times New Roman"/>
      <w:szCs w:val="20"/>
    </w:rPr>
  </w:style>
  <w:style w:type="character" w:customStyle="1" w:styleId="SangradetextonormalCar">
    <w:name w:val="Sangría de texto normal Car"/>
    <w:link w:val="Sangradetextonormal"/>
    <w:uiPriority w:val="99"/>
    <w:locked/>
    <w:rsid w:val="00C85395"/>
    <w:rPr>
      <w:rFonts w:ascii="Times New Roman" w:hAnsi="Times New Roman"/>
      <w:sz w:val="24"/>
      <w:lang w:eastAsia="es-ES"/>
    </w:rPr>
  </w:style>
  <w:style w:type="paragraph" w:styleId="Sangra2detindependiente">
    <w:name w:val="Body Text Indent 2"/>
    <w:basedOn w:val="Normal"/>
    <w:link w:val="Sangra2detindependienteCar"/>
    <w:uiPriority w:val="99"/>
    <w:rsid w:val="00C85395"/>
    <w:pPr>
      <w:spacing w:after="120" w:line="480" w:lineRule="auto"/>
      <w:ind w:left="283"/>
    </w:pPr>
    <w:rPr>
      <w:rFonts w:ascii="Times New Roman" w:hAnsi="Times New Roman"/>
      <w:szCs w:val="20"/>
    </w:rPr>
  </w:style>
  <w:style w:type="character" w:customStyle="1" w:styleId="Sangra2detindependienteCar">
    <w:name w:val="Sangría 2 de t. independiente Car"/>
    <w:link w:val="Sangra2detindependiente"/>
    <w:uiPriority w:val="99"/>
    <w:locked/>
    <w:rsid w:val="00C85395"/>
    <w:rPr>
      <w:rFonts w:ascii="Times New Roman" w:hAnsi="Times New Roman"/>
      <w:sz w:val="24"/>
      <w:lang w:eastAsia="es-ES"/>
    </w:rPr>
  </w:style>
  <w:style w:type="paragraph" w:customStyle="1" w:styleId="Sangra3detindependiente11">
    <w:name w:val="Sangría 3 de t. independiente11"/>
    <w:basedOn w:val="Normal"/>
    <w:rsid w:val="00C85395"/>
    <w:pPr>
      <w:overflowPunct w:val="0"/>
      <w:autoSpaceDE w:val="0"/>
      <w:autoSpaceDN w:val="0"/>
      <w:adjustRightInd w:val="0"/>
      <w:ind w:firstLine="709"/>
      <w:textAlignment w:val="baseline"/>
    </w:pPr>
    <w:rPr>
      <w:szCs w:val="20"/>
    </w:rPr>
  </w:style>
  <w:style w:type="paragraph" w:customStyle="1" w:styleId="Sangra2detindependiente1">
    <w:name w:val="Sangría 2 de t. independiente1"/>
    <w:basedOn w:val="Normal"/>
    <w:rsid w:val="00C85395"/>
    <w:pPr>
      <w:overflowPunct w:val="0"/>
      <w:autoSpaceDE w:val="0"/>
      <w:autoSpaceDN w:val="0"/>
      <w:adjustRightInd w:val="0"/>
      <w:ind w:left="1418"/>
      <w:textAlignment w:val="baseline"/>
    </w:pPr>
    <w:rPr>
      <w:szCs w:val="20"/>
    </w:rPr>
  </w:style>
  <w:style w:type="paragraph" w:customStyle="1" w:styleId="03Cuerpo">
    <w:name w:val="03Cuerpo"/>
    <w:rsid w:val="00C85395"/>
    <w:pPr>
      <w:autoSpaceDE w:val="0"/>
      <w:autoSpaceDN w:val="0"/>
      <w:spacing w:line="240" w:lineRule="atLeast"/>
      <w:ind w:firstLine="454"/>
      <w:jc w:val="both"/>
    </w:pPr>
    <w:rPr>
      <w:rFonts w:ascii="Book Antiqua" w:hAnsi="Book Antiqua" w:cs="Book Antiqua"/>
      <w:sz w:val="22"/>
      <w:szCs w:val="22"/>
      <w:lang w:val="es-ES_tradnl"/>
    </w:rPr>
  </w:style>
  <w:style w:type="paragraph" w:styleId="Sangranormal">
    <w:name w:val="Normal Indent"/>
    <w:basedOn w:val="Normal"/>
    <w:uiPriority w:val="99"/>
    <w:rsid w:val="00C85395"/>
    <w:pPr>
      <w:widowControl w:val="0"/>
      <w:adjustRightInd w:val="0"/>
      <w:spacing w:line="360" w:lineRule="atLeast"/>
      <w:ind w:left="708"/>
      <w:textAlignment w:val="baseline"/>
    </w:pPr>
    <w:rPr>
      <w:rFonts w:ascii="Times New Roman" w:hAnsi="Times New Roman"/>
    </w:rPr>
  </w:style>
  <w:style w:type="paragraph" w:styleId="Lista">
    <w:name w:val="List"/>
    <w:basedOn w:val="Normal"/>
    <w:uiPriority w:val="99"/>
    <w:rsid w:val="00C85395"/>
    <w:pPr>
      <w:widowControl w:val="0"/>
      <w:adjustRightInd w:val="0"/>
      <w:spacing w:line="360" w:lineRule="atLeast"/>
      <w:ind w:left="283" w:hanging="283"/>
      <w:textAlignment w:val="baseline"/>
    </w:pPr>
    <w:rPr>
      <w:rFonts w:ascii="Times New Roman" w:hAnsi="Times New Roman"/>
    </w:rPr>
  </w:style>
  <w:style w:type="paragraph" w:styleId="Continuarlista">
    <w:name w:val="List Continue"/>
    <w:basedOn w:val="Normal"/>
    <w:uiPriority w:val="99"/>
    <w:rsid w:val="00C85395"/>
    <w:pPr>
      <w:widowControl w:val="0"/>
      <w:adjustRightInd w:val="0"/>
      <w:spacing w:after="120" w:line="360" w:lineRule="atLeast"/>
      <w:ind w:left="283"/>
      <w:textAlignment w:val="baseline"/>
    </w:pPr>
    <w:rPr>
      <w:rFonts w:ascii="Times New Roman" w:hAnsi="Times New Roman"/>
    </w:rPr>
  </w:style>
  <w:style w:type="character" w:styleId="Hipervnculovisitado">
    <w:name w:val="FollowedHyperlink"/>
    <w:uiPriority w:val="99"/>
    <w:rsid w:val="00C85395"/>
    <w:rPr>
      <w:color w:val="800080"/>
      <w:u w:val="single"/>
    </w:rPr>
  </w:style>
  <w:style w:type="character" w:customStyle="1" w:styleId="CarCar13">
    <w:name w:val="Car Car13"/>
    <w:rsid w:val="00C85395"/>
    <w:rPr>
      <w:rFonts w:ascii="Arial" w:hAnsi="Arial"/>
      <w:sz w:val="24"/>
      <w:lang w:val="es-ES_tradnl" w:eastAsia="es-ES"/>
    </w:rPr>
  </w:style>
  <w:style w:type="paragraph" w:customStyle="1" w:styleId="07Resaltado">
    <w:name w:val="07Resaltado"/>
    <w:basedOn w:val="Normal"/>
    <w:rsid w:val="00C85395"/>
    <w:pPr>
      <w:overflowPunct w:val="0"/>
      <w:autoSpaceDE w:val="0"/>
      <w:autoSpaceDN w:val="0"/>
      <w:adjustRightInd w:val="0"/>
      <w:spacing w:line="240" w:lineRule="atLeast"/>
      <w:ind w:left="454" w:right="454"/>
      <w:textAlignment w:val="baseline"/>
    </w:pPr>
    <w:rPr>
      <w:rFonts w:ascii="Book Antiqua" w:hAnsi="Book Antiqua"/>
      <w:i/>
      <w:sz w:val="22"/>
      <w:szCs w:val="20"/>
      <w:lang w:val="es-ES_tradnl"/>
    </w:rPr>
  </w:style>
  <w:style w:type="paragraph" w:styleId="Prrafodelista">
    <w:name w:val="List Paragraph"/>
    <w:basedOn w:val="Normal"/>
    <w:uiPriority w:val="34"/>
    <w:qFormat/>
    <w:rsid w:val="00C85395"/>
    <w:pPr>
      <w:ind w:left="708"/>
    </w:pPr>
  </w:style>
  <w:style w:type="character" w:customStyle="1" w:styleId="TextoindependienteCarCarCarCar1">
    <w:name w:val="Texto independiente Car Car Car Car1"/>
    <w:aliases w:val="Texto independiente Car Car Car2"/>
    <w:rsid w:val="007D56CB"/>
    <w:rPr>
      <w:rFonts w:ascii="Arial" w:hAnsi="Arial"/>
      <w:sz w:val="24"/>
      <w:lang w:val="es-ES_tradnl" w:eastAsia="es-ES"/>
    </w:rPr>
  </w:style>
  <w:style w:type="paragraph" w:styleId="Textosinformato">
    <w:name w:val="Plain Text"/>
    <w:basedOn w:val="Normal"/>
    <w:link w:val="TextosinformatoCar"/>
    <w:uiPriority w:val="99"/>
    <w:rsid w:val="006E5912"/>
    <w:rPr>
      <w:rFonts w:ascii="Courier New" w:hAnsi="Courier New"/>
      <w:sz w:val="20"/>
      <w:szCs w:val="20"/>
    </w:rPr>
  </w:style>
  <w:style w:type="character" w:customStyle="1" w:styleId="TextosinformatoCar">
    <w:name w:val="Texto sin formato Car"/>
    <w:link w:val="Textosinformato"/>
    <w:uiPriority w:val="99"/>
    <w:semiHidden/>
    <w:locked/>
    <w:rsid w:val="00D7442C"/>
    <w:rPr>
      <w:rFonts w:ascii="Courier New" w:hAnsi="Courier New"/>
      <w:lang w:val="es-ES" w:eastAsia="es-ES"/>
    </w:rPr>
  </w:style>
  <w:style w:type="character" w:customStyle="1" w:styleId="TextonotapieCar11">
    <w:name w:val="Texto nota pie Car11"/>
    <w:aliases w:val="Texto nota pie Car Car,Footnote Text Char Char Char Char Char Car11,Footnote Text Char Char Char Char Car11,Footnote reference Car1,FA Fu Car11,Footnote Text Cha Car11,Footnote Text Char Char Char Car11,FA Fußnotentext Car11"/>
    <w:rsid w:val="00F21484"/>
    <w:rPr>
      <w:lang w:val="es-ES" w:eastAsia="es-ES"/>
    </w:rPr>
  </w:style>
  <w:style w:type="table" w:styleId="Tablaconcuadrcula">
    <w:name w:val="Table Grid"/>
    <w:basedOn w:val="Tablanormal"/>
    <w:uiPriority w:val="59"/>
    <w:rsid w:val="000D27B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E14D8"/>
    <w:pPr>
      <w:spacing w:line="240" w:lineRule="auto"/>
    </w:pPr>
    <w:rPr>
      <w:rFonts w:ascii="Tahoma" w:hAnsi="Tahoma"/>
      <w:sz w:val="16"/>
      <w:szCs w:val="20"/>
    </w:rPr>
  </w:style>
  <w:style w:type="character" w:customStyle="1" w:styleId="TextodegloboCar">
    <w:name w:val="Texto de globo Car"/>
    <w:link w:val="Textodeglobo"/>
    <w:uiPriority w:val="99"/>
    <w:semiHidden/>
    <w:locked/>
    <w:rsid w:val="00EE14D8"/>
    <w:rPr>
      <w:rFonts w:ascii="Tahoma" w:hAnsi="Tahoma"/>
      <w:sz w:val="16"/>
      <w:lang w:val="es-ES" w:eastAsia="es-ES"/>
    </w:rPr>
  </w:style>
  <w:style w:type="paragraph" w:customStyle="1" w:styleId="Style11">
    <w:name w:val="Style11"/>
    <w:basedOn w:val="Normal"/>
    <w:rsid w:val="00D56298"/>
    <w:pPr>
      <w:widowControl w:val="0"/>
      <w:autoSpaceDE w:val="0"/>
      <w:autoSpaceDN w:val="0"/>
      <w:adjustRightInd w:val="0"/>
      <w:spacing w:line="230" w:lineRule="exact"/>
      <w:ind w:firstLine="264"/>
    </w:pPr>
  </w:style>
  <w:style w:type="character" w:customStyle="1" w:styleId="FontStyle92">
    <w:name w:val="Font Style92"/>
    <w:rsid w:val="00D56298"/>
    <w:rPr>
      <w:rFonts w:ascii="Times New Roman" w:hAnsi="Times New Roman"/>
      <w:sz w:val="18"/>
    </w:rPr>
  </w:style>
  <w:style w:type="paragraph" w:customStyle="1" w:styleId="Textodebloque2">
    <w:name w:val="Texto de bloque2"/>
    <w:basedOn w:val="Normal"/>
    <w:rsid w:val="00182253"/>
    <w:pPr>
      <w:overflowPunct w:val="0"/>
      <w:autoSpaceDE w:val="0"/>
      <w:autoSpaceDN w:val="0"/>
      <w:adjustRightInd w:val="0"/>
      <w:spacing w:line="240" w:lineRule="auto"/>
      <w:ind w:left="576" w:right="576"/>
      <w:textAlignment w:val="baseline"/>
    </w:pPr>
    <w:rPr>
      <w:i/>
      <w:sz w:val="20"/>
      <w:szCs w:val="20"/>
      <w:lang w:val="es-ES_tradnl"/>
    </w:rPr>
  </w:style>
  <w:style w:type="paragraph" w:customStyle="1" w:styleId="Sangra2detindependiente2">
    <w:name w:val="Sangría 2 de t. independiente2"/>
    <w:basedOn w:val="Normal"/>
    <w:rsid w:val="00CF76FD"/>
    <w:pPr>
      <w:overflowPunct w:val="0"/>
      <w:autoSpaceDE w:val="0"/>
      <w:autoSpaceDN w:val="0"/>
      <w:adjustRightInd w:val="0"/>
      <w:spacing w:line="240" w:lineRule="auto"/>
      <w:ind w:left="1418"/>
      <w:textAlignment w:val="baseline"/>
    </w:pPr>
    <w:rPr>
      <w:szCs w:val="20"/>
    </w:rPr>
  </w:style>
  <w:style w:type="character" w:customStyle="1" w:styleId="textonavy1">
    <w:name w:val="texto_navy1"/>
    <w:rsid w:val="004800C2"/>
    <w:rPr>
      <w:color w:val="000080"/>
    </w:rPr>
  </w:style>
  <w:style w:type="paragraph" w:customStyle="1" w:styleId="Enconsecueencia">
    <w:name w:val="En consecueencia"/>
    <w:basedOn w:val="Normal"/>
    <w:rsid w:val="001C6080"/>
    <w:pPr>
      <w:tabs>
        <w:tab w:val="left" w:pos="1276"/>
      </w:tabs>
      <w:spacing w:line="240" w:lineRule="auto"/>
    </w:pPr>
    <w:rPr>
      <w:sz w:val="22"/>
      <w:szCs w:val="20"/>
      <w:lang w:val="es-ES_tradnl"/>
    </w:rPr>
  </w:style>
  <w:style w:type="paragraph" w:customStyle="1" w:styleId="Ed">
    <w:name w:val="Ed"/>
    <w:basedOn w:val="Normal"/>
    <w:rsid w:val="00F00B55"/>
    <w:pPr>
      <w:overflowPunct w:val="0"/>
      <w:autoSpaceDE w:val="0"/>
      <w:autoSpaceDN w:val="0"/>
      <w:adjustRightInd w:val="0"/>
      <w:spacing w:line="480" w:lineRule="auto"/>
      <w:textAlignment w:val="baseline"/>
    </w:pPr>
    <w:rPr>
      <w:szCs w:val="20"/>
      <w:lang w:val="es-ES_tradnl" w:eastAsia="es-CO"/>
    </w:rPr>
  </w:style>
  <w:style w:type="character" w:styleId="Textoennegrita">
    <w:name w:val="Strong"/>
    <w:uiPriority w:val="22"/>
    <w:qFormat/>
    <w:rsid w:val="00915AC0"/>
    <w:rPr>
      <w:b/>
    </w:rPr>
  </w:style>
  <w:style w:type="character" w:customStyle="1" w:styleId="apple-converted-space">
    <w:name w:val="apple-converted-space"/>
    <w:rsid w:val="00CD1359"/>
  </w:style>
  <w:style w:type="paragraph" w:customStyle="1" w:styleId="Default">
    <w:name w:val="Default"/>
    <w:rsid w:val="00117B6F"/>
    <w:pPr>
      <w:autoSpaceDE w:val="0"/>
      <w:autoSpaceDN w:val="0"/>
      <w:adjustRightInd w:val="0"/>
    </w:pPr>
    <w:rPr>
      <w:rFonts w:ascii="NJICAK+Arial" w:hAnsi="NJICAK+Arial" w:cs="NJICAK+Arial"/>
      <w:color w:val="000000"/>
      <w:sz w:val="24"/>
      <w:szCs w:val="24"/>
      <w:lang w:val="es-CO" w:eastAsia="es-CO"/>
    </w:rPr>
  </w:style>
  <w:style w:type="character" w:customStyle="1" w:styleId="t132">
    <w:name w:val="t132"/>
    <w:basedOn w:val="Fuentedeprrafopredeter"/>
    <w:rsid w:val="00D95B78"/>
  </w:style>
  <w:style w:type="character" w:customStyle="1" w:styleId="toctoggle">
    <w:name w:val="toctoggle"/>
    <w:basedOn w:val="Fuentedeprrafopredeter"/>
    <w:rsid w:val="00D95B78"/>
  </w:style>
  <w:style w:type="character" w:customStyle="1" w:styleId="t125">
    <w:name w:val="t125"/>
    <w:basedOn w:val="Fuentedeprrafopredeter"/>
    <w:rsid w:val="00F25C04"/>
  </w:style>
  <w:style w:type="paragraph" w:customStyle="1" w:styleId="parrafo-division">
    <w:name w:val="parrafo-division"/>
    <w:basedOn w:val="Normal"/>
    <w:rsid w:val="00747CB1"/>
    <w:pPr>
      <w:spacing w:before="100" w:beforeAutospacing="1" w:after="100" w:afterAutospacing="1" w:line="240" w:lineRule="auto"/>
      <w:jc w:val="left"/>
    </w:pPr>
    <w:rPr>
      <w:rFonts w:ascii="Times New Roman" w:hAnsi="Times New Roman"/>
    </w:rPr>
  </w:style>
  <w:style w:type="character" w:customStyle="1" w:styleId="textonavy">
    <w:name w:val="texto_navy"/>
    <w:basedOn w:val="Fuentedeprrafopredeter"/>
    <w:rsid w:val="00850264"/>
  </w:style>
  <w:style w:type="paragraph" w:customStyle="1" w:styleId="Textoindependiente23">
    <w:name w:val="Texto independiente 23"/>
    <w:basedOn w:val="Normal"/>
    <w:rsid w:val="000F05E1"/>
    <w:pPr>
      <w:overflowPunct w:val="0"/>
      <w:autoSpaceDE w:val="0"/>
      <w:autoSpaceDN w:val="0"/>
      <w:adjustRightInd w:val="0"/>
      <w:ind w:firstLine="1418"/>
      <w:textAlignment w:val="baseline"/>
    </w:pPr>
    <w:rPr>
      <w:szCs w:val="20"/>
      <w:lang w:val="es-CO"/>
    </w:rPr>
  </w:style>
  <w:style w:type="paragraph" w:customStyle="1" w:styleId="Textoindependiente24">
    <w:name w:val="Texto independiente 24"/>
    <w:basedOn w:val="Normal"/>
    <w:rsid w:val="00C81F08"/>
    <w:pPr>
      <w:overflowPunct w:val="0"/>
      <w:autoSpaceDE w:val="0"/>
      <w:autoSpaceDN w:val="0"/>
      <w:adjustRightInd w:val="0"/>
      <w:spacing w:line="480" w:lineRule="auto"/>
      <w:textAlignment w:val="baseline"/>
    </w:pPr>
    <w:rPr>
      <w:szCs w:val="20"/>
    </w:rPr>
  </w:style>
  <w:style w:type="paragraph" w:styleId="Ttulo">
    <w:name w:val="Title"/>
    <w:basedOn w:val="Normal"/>
    <w:link w:val="TtuloCar"/>
    <w:qFormat/>
    <w:rsid w:val="00D210C6"/>
    <w:pPr>
      <w:spacing w:line="240" w:lineRule="auto"/>
      <w:jc w:val="center"/>
    </w:pPr>
    <w:rPr>
      <w:rFonts w:eastAsia="Batang" w:cs="Arial"/>
      <w:b/>
      <w:bCs/>
      <w:sz w:val="22"/>
      <w:lang w:val="es-ES_tradnl"/>
    </w:rPr>
  </w:style>
  <w:style w:type="character" w:customStyle="1" w:styleId="TtuloCar">
    <w:name w:val="Título Car"/>
    <w:basedOn w:val="Fuentedeprrafopredeter"/>
    <w:link w:val="Ttulo"/>
    <w:rsid w:val="00D210C6"/>
    <w:rPr>
      <w:rFonts w:ascii="Arial" w:eastAsia="Batang" w:hAnsi="Arial" w:cs="Arial"/>
      <w:b/>
      <w:bCs/>
      <w:sz w:val="22"/>
      <w:szCs w:val="24"/>
      <w:lang w:val="es-ES_tradnl"/>
    </w:rPr>
  </w:style>
  <w:style w:type="paragraph" w:customStyle="1" w:styleId="Textoindependiente25">
    <w:name w:val="Texto independiente 25"/>
    <w:basedOn w:val="Normal"/>
    <w:rsid w:val="001235E1"/>
    <w:pPr>
      <w:overflowPunct w:val="0"/>
      <w:autoSpaceDE w:val="0"/>
      <w:autoSpaceDN w:val="0"/>
      <w:adjustRightInd w:val="0"/>
      <w:ind w:firstLine="710"/>
      <w:textAlignment w:val="baseline"/>
    </w:pPr>
    <w:rPr>
      <w:szCs w:val="20"/>
      <w:lang w:val="es-CO"/>
    </w:rPr>
  </w:style>
  <w:style w:type="paragraph" w:customStyle="1" w:styleId="textocaja">
    <w:name w:val="textocaja"/>
    <w:basedOn w:val="Normal"/>
    <w:rsid w:val="00C61876"/>
    <w:pPr>
      <w:spacing w:before="100" w:beforeAutospacing="1" w:after="100" w:afterAutospacing="1" w:line="240" w:lineRule="auto"/>
      <w:jc w:val="left"/>
    </w:pPr>
    <w:rPr>
      <w:rFonts w:ascii="Times New Roman" w:hAnsi="Times New Roman"/>
    </w:rPr>
  </w:style>
  <w:style w:type="paragraph" w:customStyle="1" w:styleId="Textoindependiente26">
    <w:name w:val="Texto independiente 26"/>
    <w:basedOn w:val="Normal"/>
    <w:rsid w:val="008462BA"/>
    <w:pPr>
      <w:overflowPunct w:val="0"/>
      <w:autoSpaceDE w:val="0"/>
      <w:autoSpaceDN w:val="0"/>
      <w:adjustRightInd w:val="0"/>
      <w:spacing w:line="240" w:lineRule="auto"/>
      <w:jc w:val="left"/>
      <w:textAlignment w:val="baseline"/>
    </w:pPr>
    <w:rPr>
      <w:i/>
      <w:sz w:val="22"/>
      <w:szCs w:val="20"/>
      <w:lang w:val="es-CO"/>
    </w:rPr>
  </w:style>
  <w:style w:type="paragraph" w:styleId="Lista2">
    <w:name w:val="List 2"/>
    <w:basedOn w:val="Normal"/>
    <w:uiPriority w:val="99"/>
    <w:unhideWhenUsed/>
    <w:rsid w:val="00E759BE"/>
    <w:pPr>
      <w:ind w:left="566" w:hanging="283"/>
      <w:contextualSpacing/>
    </w:pPr>
  </w:style>
  <w:style w:type="paragraph" w:styleId="Lista3">
    <w:name w:val="List 3"/>
    <w:basedOn w:val="Normal"/>
    <w:uiPriority w:val="99"/>
    <w:unhideWhenUsed/>
    <w:rsid w:val="00E759BE"/>
    <w:pPr>
      <w:ind w:left="849" w:hanging="283"/>
      <w:contextualSpacing/>
    </w:pPr>
  </w:style>
  <w:style w:type="paragraph" w:styleId="Lista4">
    <w:name w:val="List 4"/>
    <w:basedOn w:val="Normal"/>
    <w:uiPriority w:val="99"/>
    <w:unhideWhenUsed/>
    <w:rsid w:val="00E759BE"/>
    <w:pPr>
      <w:ind w:left="1132" w:hanging="283"/>
      <w:contextualSpacing/>
    </w:pPr>
  </w:style>
  <w:style w:type="paragraph" w:styleId="Lista5">
    <w:name w:val="List 5"/>
    <w:basedOn w:val="Normal"/>
    <w:uiPriority w:val="99"/>
    <w:unhideWhenUsed/>
    <w:rsid w:val="00E759BE"/>
    <w:pPr>
      <w:ind w:left="1415" w:hanging="283"/>
      <w:contextualSpacing/>
    </w:pPr>
  </w:style>
  <w:style w:type="paragraph" w:styleId="Saludo">
    <w:name w:val="Salutation"/>
    <w:basedOn w:val="Normal"/>
    <w:next w:val="Normal"/>
    <w:link w:val="SaludoCar"/>
    <w:uiPriority w:val="99"/>
    <w:unhideWhenUsed/>
    <w:rsid w:val="00E759BE"/>
  </w:style>
  <w:style w:type="character" w:customStyle="1" w:styleId="SaludoCar">
    <w:name w:val="Saludo Car"/>
    <w:basedOn w:val="Fuentedeprrafopredeter"/>
    <w:link w:val="Saludo"/>
    <w:uiPriority w:val="99"/>
    <w:rsid w:val="00E759BE"/>
    <w:rPr>
      <w:rFonts w:ascii="Arial" w:hAnsi="Arial" w:cs="Times New Roman"/>
      <w:sz w:val="24"/>
      <w:szCs w:val="24"/>
    </w:rPr>
  </w:style>
  <w:style w:type="paragraph" w:styleId="Continuarlista2">
    <w:name w:val="List Continue 2"/>
    <w:basedOn w:val="Normal"/>
    <w:uiPriority w:val="99"/>
    <w:unhideWhenUsed/>
    <w:rsid w:val="00E759BE"/>
    <w:pPr>
      <w:spacing w:after="120"/>
      <w:ind w:left="566"/>
      <w:contextualSpacing/>
    </w:pPr>
  </w:style>
  <w:style w:type="paragraph" w:styleId="Continuarlista3">
    <w:name w:val="List Continue 3"/>
    <w:basedOn w:val="Normal"/>
    <w:uiPriority w:val="99"/>
    <w:unhideWhenUsed/>
    <w:rsid w:val="00E759BE"/>
    <w:pPr>
      <w:spacing w:after="120"/>
      <w:ind w:left="849"/>
      <w:contextualSpacing/>
    </w:pPr>
  </w:style>
  <w:style w:type="paragraph" w:styleId="Textoindependienteprimerasangra2">
    <w:name w:val="Body Text First Indent 2"/>
    <w:basedOn w:val="Sangradetextonormal"/>
    <w:link w:val="Textoindependienteprimerasangra2Car"/>
    <w:uiPriority w:val="99"/>
    <w:unhideWhenUsed/>
    <w:rsid w:val="00E759BE"/>
    <w:pPr>
      <w:spacing w:after="0"/>
      <w:ind w:left="360" w:firstLine="360"/>
    </w:pPr>
    <w:rPr>
      <w:rFonts w:ascii="Arial" w:hAnsi="Arial"/>
      <w:szCs w:val="24"/>
    </w:rPr>
  </w:style>
  <w:style w:type="character" w:customStyle="1" w:styleId="Textoindependienteprimerasangra2Car">
    <w:name w:val="Texto independiente primera sangría 2 Car"/>
    <w:basedOn w:val="SangradetextonormalCar"/>
    <w:link w:val="Textoindependienteprimerasangra2"/>
    <w:uiPriority w:val="99"/>
    <w:rsid w:val="00E759BE"/>
    <w:rPr>
      <w:rFonts w:ascii="Arial" w:hAnsi="Arial" w:cs="Times New Roman"/>
      <w:sz w:val="24"/>
      <w:szCs w:val="24"/>
      <w:lang w:eastAsia="es-ES"/>
    </w:rPr>
  </w:style>
  <w:style w:type="paragraph" w:customStyle="1" w:styleId="Cuadrculamedia1-nfasis21">
    <w:name w:val="Cuadrícula media 1 - Énfasis 21"/>
    <w:basedOn w:val="Normal"/>
    <w:qFormat/>
    <w:rsid w:val="00A307E4"/>
    <w:pPr>
      <w:spacing w:line="240" w:lineRule="auto"/>
      <w:ind w:left="851" w:right="851"/>
      <w:contextualSpacing/>
    </w:pPr>
    <w:rPr>
      <w:rFonts w:ascii="Century Gothic" w:eastAsia="Calibri" w:hAnsi="Century Gothic"/>
      <w:sz w:val="22"/>
      <w:szCs w:val="22"/>
      <w:lang w:val="es-ES_tradnl" w:eastAsia="en-US"/>
    </w:rPr>
  </w:style>
  <w:style w:type="paragraph" w:customStyle="1" w:styleId="western">
    <w:name w:val="western"/>
    <w:basedOn w:val="Normal"/>
    <w:rsid w:val="006A1D4A"/>
    <w:pPr>
      <w:spacing w:before="100" w:beforeAutospacing="1" w:after="100" w:afterAutospacing="1" w:line="240" w:lineRule="auto"/>
      <w:jc w:val="left"/>
    </w:pPr>
    <w:rPr>
      <w:rFonts w:ascii="Times New Roman" w:hAnsi="Times New Roman"/>
    </w:rPr>
  </w:style>
  <w:style w:type="character" w:styleId="Refdenotaalfinal">
    <w:name w:val="endnote reference"/>
    <w:basedOn w:val="Fuentedeprrafopredeter"/>
    <w:uiPriority w:val="99"/>
    <w:semiHidden/>
    <w:unhideWhenUsed/>
    <w:rsid w:val="00AE27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6344">
      <w:bodyDiv w:val="1"/>
      <w:marLeft w:val="0"/>
      <w:marRight w:val="0"/>
      <w:marTop w:val="0"/>
      <w:marBottom w:val="0"/>
      <w:divBdr>
        <w:top w:val="none" w:sz="0" w:space="0" w:color="auto"/>
        <w:left w:val="none" w:sz="0" w:space="0" w:color="auto"/>
        <w:bottom w:val="none" w:sz="0" w:space="0" w:color="auto"/>
        <w:right w:val="none" w:sz="0" w:space="0" w:color="auto"/>
      </w:divBdr>
      <w:divsChild>
        <w:div w:id="353653285">
          <w:marLeft w:val="0"/>
          <w:marRight w:val="0"/>
          <w:marTop w:val="0"/>
          <w:marBottom w:val="0"/>
          <w:divBdr>
            <w:top w:val="none" w:sz="0" w:space="0" w:color="auto"/>
            <w:left w:val="none" w:sz="0" w:space="0" w:color="auto"/>
            <w:bottom w:val="none" w:sz="0" w:space="0" w:color="auto"/>
            <w:right w:val="none" w:sz="0" w:space="0" w:color="auto"/>
          </w:divBdr>
          <w:divsChild>
            <w:div w:id="51762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268354">
      <w:bodyDiv w:val="1"/>
      <w:marLeft w:val="0"/>
      <w:marRight w:val="0"/>
      <w:marTop w:val="0"/>
      <w:marBottom w:val="0"/>
      <w:divBdr>
        <w:top w:val="none" w:sz="0" w:space="0" w:color="auto"/>
        <w:left w:val="none" w:sz="0" w:space="0" w:color="auto"/>
        <w:bottom w:val="none" w:sz="0" w:space="0" w:color="auto"/>
        <w:right w:val="none" w:sz="0" w:space="0" w:color="auto"/>
      </w:divBdr>
    </w:div>
    <w:div w:id="286012431">
      <w:bodyDiv w:val="1"/>
      <w:marLeft w:val="0"/>
      <w:marRight w:val="0"/>
      <w:marTop w:val="0"/>
      <w:marBottom w:val="0"/>
      <w:divBdr>
        <w:top w:val="none" w:sz="0" w:space="0" w:color="auto"/>
        <w:left w:val="none" w:sz="0" w:space="0" w:color="auto"/>
        <w:bottom w:val="none" w:sz="0" w:space="0" w:color="auto"/>
        <w:right w:val="none" w:sz="0" w:space="0" w:color="auto"/>
      </w:divBdr>
      <w:divsChild>
        <w:div w:id="1122305107">
          <w:marLeft w:val="0"/>
          <w:marRight w:val="0"/>
          <w:marTop w:val="300"/>
          <w:marBottom w:val="300"/>
          <w:divBdr>
            <w:top w:val="none" w:sz="0" w:space="0" w:color="auto"/>
            <w:left w:val="none" w:sz="0" w:space="0" w:color="auto"/>
            <w:bottom w:val="none" w:sz="0" w:space="0" w:color="auto"/>
            <w:right w:val="none" w:sz="0" w:space="0" w:color="auto"/>
          </w:divBdr>
        </w:div>
        <w:div w:id="1204555232">
          <w:marLeft w:val="0"/>
          <w:marRight w:val="0"/>
          <w:marTop w:val="300"/>
          <w:marBottom w:val="300"/>
          <w:divBdr>
            <w:top w:val="none" w:sz="0" w:space="0" w:color="auto"/>
            <w:left w:val="none" w:sz="0" w:space="0" w:color="auto"/>
            <w:bottom w:val="none" w:sz="0" w:space="0" w:color="auto"/>
            <w:right w:val="none" w:sz="0" w:space="0" w:color="auto"/>
          </w:divBdr>
        </w:div>
        <w:div w:id="1283614969">
          <w:marLeft w:val="0"/>
          <w:marRight w:val="0"/>
          <w:marTop w:val="0"/>
          <w:marBottom w:val="150"/>
          <w:divBdr>
            <w:top w:val="none" w:sz="0" w:space="0" w:color="auto"/>
            <w:left w:val="none" w:sz="0" w:space="0" w:color="auto"/>
            <w:bottom w:val="none" w:sz="0" w:space="0" w:color="auto"/>
            <w:right w:val="none" w:sz="0" w:space="0" w:color="auto"/>
          </w:divBdr>
        </w:div>
        <w:div w:id="1772973511">
          <w:marLeft w:val="0"/>
          <w:marRight w:val="0"/>
          <w:marTop w:val="0"/>
          <w:marBottom w:val="150"/>
          <w:divBdr>
            <w:top w:val="none" w:sz="0" w:space="0" w:color="auto"/>
            <w:left w:val="none" w:sz="0" w:space="0" w:color="auto"/>
            <w:bottom w:val="none" w:sz="0" w:space="0" w:color="auto"/>
            <w:right w:val="none" w:sz="0" w:space="0" w:color="auto"/>
          </w:divBdr>
        </w:div>
      </w:divsChild>
    </w:div>
    <w:div w:id="306863218">
      <w:bodyDiv w:val="1"/>
      <w:marLeft w:val="0"/>
      <w:marRight w:val="0"/>
      <w:marTop w:val="0"/>
      <w:marBottom w:val="0"/>
      <w:divBdr>
        <w:top w:val="none" w:sz="0" w:space="0" w:color="auto"/>
        <w:left w:val="none" w:sz="0" w:space="0" w:color="auto"/>
        <w:bottom w:val="none" w:sz="0" w:space="0" w:color="auto"/>
        <w:right w:val="none" w:sz="0" w:space="0" w:color="auto"/>
      </w:divBdr>
    </w:div>
    <w:div w:id="353195991">
      <w:bodyDiv w:val="1"/>
      <w:marLeft w:val="0"/>
      <w:marRight w:val="0"/>
      <w:marTop w:val="0"/>
      <w:marBottom w:val="0"/>
      <w:divBdr>
        <w:top w:val="none" w:sz="0" w:space="0" w:color="auto"/>
        <w:left w:val="none" w:sz="0" w:space="0" w:color="auto"/>
        <w:bottom w:val="none" w:sz="0" w:space="0" w:color="auto"/>
        <w:right w:val="none" w:sz="0" w:space="0" w:color="auto"/>
      </w:divBdr>
      <w:divsChild>
        <w:div w:id="637879158">
          <w:marLeft w:val="0"/>
          <w:marRight w:val="0"/>
          <w:marTop w:val="0"/>
          <w:marBottom w:val="0"/>
          <w:divBdr>
            <w:top w:val="none" w:sz="0" w:space="0" w:color="auto"/>
            <w:left w:val="none" w:sz="0" w:space="0" w:color="auto"/>
            <w:bottom w:val="none" w:sz="0" w:space="0" w:color="auto"/>
            <w:right w:val="none" w:sz="0" w:space="0" w:color="auto"/>
          </w:divBdr>
          <w:divsChild>
            <w:div w:id="979075062">
              <w:marLeft w:val="0"/>
              <w:marRight w:val="0"/>
              <w:marTop w:val="0"/>
              <w:marBottom w:val="0"/>
              <w:divBdr>
                <w:top w:val="single" w:sz="6" w:space="0" w:color="666666"/>
                <w:left w:val="single" w:sz="6" w:space="0" w:color="666666"/>
                <w:bottom w:val="single" w:sz="6" w:space="0" w:color="666666"/>
                <w:right w:val="single" w:sz="6" w:space="0" w:color="666666"/>
              </w:divBdr>
            </w:div>
          </w:divsChild>
        </w:div>
        <w:div w:id="922761311">
          <w:marLeft w:val="0"/>
          <w:marRight w:val="0"/>
          <w:marTop w:val="0"/>
          <w:marBottom w:val="0"/>
          <w:divBdr>
            <w:top w:val="none" w:sz="0" w:space="0" w:color="auto"/>
            <w:left w:val="none" w:sz="0" w:space="0" w:color="auto"/>
            <w:bottom w:val="none" w:sz="0" w:space="0" w:color="auto"/>
            <w:right w:val="none" w:sz="0" w:space="0" w:color="auto"/>
          </w:divBdr>
          <w:divsChild>
            <w:div w:id="5631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79744">
      <w:bodyDiv w:val="1"/>
      <w:marLeft w:val="0"/>
      <w:marRight w:val="0"/>
      <w:marTop w:val="0"/>
      <w:marBottom w:val="0"/>
      <w:divBdr>
        <w:top w:val="none" w:sz="0" w:space="0" w:color="auto"/>
        <w:left w:val="none" w:sz="0" w:space="0" w:color="auto"/>
        <w:bottom w:val="none" w:sz="0" w:space="0" w:color="auto"/>
        <w:right w:val="none" w:sz="0" w:space="0" w:color="auto"/>
      </w:divBdr>
    </w:div>
    <w:div w:id="450173775">
      <w:bodyDiv w:val="1"/>
      <w:marLeft w:val="0"/>
      <w:marRight w:val="0"/>
      <w:marTop w:val="0"/>
      <w:marBottom w:val="0"/>
      <w:divBdr>
        <w:top w:val="none" w:sz="0" w:space="0" w:color="auto"/>
        <w:left w:val="none" w:sz="0" w:space="0" w:color="auto"/>
        <w:bottom w:val="none" w:sz="0" w:space="0" w:color="auto"/>
        <w:right w:val="none" w:sz="0" w:space="0" w:color="auto"/>
      </w:divBdr>
    </w:div>
    <w:div w:id="477918723">
      <w:bodyDiv w:val="1"/>
      <w:marLeft w:val="0"/>
      <w:marRight w:val="0"/>
      <w:marTop w:val="0"/>
      <w:marBottom w:val="0"/>
      <w:divBdr>
        <w:top w:val="none" w:sz="0" w:space="0" w:color="auto"/>
        <w:left w:val="none" w:sz="0" w:space="0" w:color="auto"/>
        <w:bottom w:val="none" w:sz="0" w:space="0" w:color="auto"/>
        <w:right w:val="none" w:sz="0" w:space="0" w:color="auto"/>
      </w:divBdr>
    </w:div>
    <w:div w:id="506096148">
      <w:bodyDiv w:val="1"/>
      <w:marLeft w:val="0"/>
      <w:marRight w:val="0"/>
      <w:marTop w:val="0"/>
      <w:marBottom w:val="0"/>
      <w:divBdr>
        <w:top w:val="none" w:sz="0" w:space="0" w:color="auto"/>
        <w:left w:val="none" w:sz="0" w:space="0" w:color="auto"/>
        <w:bottom w:val="none" w:sz="0" w:space="0" w:color="auto"/>
        <w:right w:val="none" w:sz="0" w:space="0" w:color="auto"/>
      </w:divBdr>
    </w:div>
    <w:div w:id="530609917">
      <w:bodyDiv w:val="1"/>
      <w:marLeft w:val="0"/>
      <w:marRight w:val="0"/>
      <w:marTop w:val="0"/>
      <w:marBottom w:val="0"/>
      <w:divBdr>
        <w:top w:val="none" w:sz="0" w:space="0" w:color="auto"/>
        <w:left w:val="none" w:sz="0" w:space="0" w:color="auto"/>
        <w:bottom w:val="none" w:sz="0" w:space="0" w:color="auto"/>
        <w:right w:val="none" w:sz="0" w:space="0" w:color="auto"/>
      </w:divBdr>
      <w:divsChild>
        <w:div w:id="2045863400">
          <w:marLeft w:val="0"/>
          <w:marRight w:val="0"/>
          <w:marTop w:val="0"/>
          <w:marBottom w:val="0"/>
          <w:divBdr>
            <w:top w:val="none" w:sz="0" w:space="0" w:color="auto"/>
            <w:left w:val="none" w:sz="0" w:space="0" w:color="auto"/>
            <w:bottom w:val="none" w:sz="0" w:space="0" w:color="auto"/>
            <w:right w:val="none" w:sz="0" w:space="0" w:color="auto"/>
          </w:divBdr>
          <w:divsChild>
            <w:div w:id="109027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531706">
      <w:bodyDiv w:val="1"/>
      <w:marLeft w:val="0"/>
      <w:marRight w:val="0"/>
      <w:marTop w:val="0"/>
      <w:marBottom w:val="0"/>
      <w:divBdr>
        <w:top w:val="none" w:sz="0" w:space="0" w:color="auto"/>
        <w:left w:val="none" w:sz="0" w:space="0" w:color="auto"/>
        <w:bottom w:val="none" w:sz="0" w:space="0" w:color="auto"/>
        <w:right w:val="none" w:sz="0" w:space="0" w:color="auto"/>
      </w:divBdr>
    </w:div>
    <w:div w:id="721712255">
      <w:bodyDiv w:val="1"/>
      <w:marLeft w:val="0"/>
      <w:marRight w:val="0"/>
      <w:marTop w:val="0"/>
      <w:marBottom w:val="0"/>
      <w:divBdr>
        <w:top w:val="none" w:sz="0" w:space="0" w:color="auto"/>
        <w:left w:val="none" w:sz="0" w:space="0" w:color="auto"/>
        <w:bottom w:val="none" w:sz="0" w:space="0" w:color="auto"/>
        <w:right w:val="none" w:sz="0" w:space="0" w:color="auto"/>
      </w:divBdr>
    </w:div>
    <w:div w:id="805512102">
      <w:bodyDiv w:val="1"/>
      <w:marLeft w:val="0"/>
      <w:marRight w:val="0"/>
      <w:marTop w:val="0"/>
      <w:marBottom w:val="0"/>
      <w:divBdr>
        <w:top w:val="none" w:sz="0" w:space="0" w:color="auto"/>
        <w:left w:val="none" w:sz="0" w:space="0" w:color="auto"/>
        <w:bottom w:val="none" w:sz="0" w:space="0" w:color="auto"/>
        <w:right w:val="none" w:sz="0" w:space="0" w:color="auto"/>
      </w:divBdr>
      <w:divsChild>
        <w:div w:id="156045468">
          <w:marLeft w:val="0"/>
          <w:marRight w:val="0"/>
          <w:marTop w:val="0"/>
          <w:marBottom w:val="150"/>
          <w:divBdr>
            <w:top w:val="none" w:sz="0" w:space="0" w:color="auto"/>
            <w:left w:val="none" w:sz="0" w:space="0" w:color="auto"/>
            <w:bottom w:val="none" w:sz="0" w:space="0" w:color="auto"/>
            <w:right w:val="none" w:sz="0" w:space="0" w:color="auto"/>
          </w:divBdr>
        </w:div>
        <w:div w:id="1511214518">
          <w:marLeft w:val="0"/>
          <w:marRight w:val="0"/>
          <w:marTop w:val="0"/>
          <w:marBottom w:val="150"/>
          <w:divBdr>
            <w:top w:val="none" w:sz="0" w:space="0" w:color="auto"/>
            <w:left w:val="none" w:sz="0" w:space="0" w:color="auto"/>
            <w:bottom w:val="none" w:sz="0" w:space="0" w:color="auto"/>
            <w:right w:val="none" w:sz="0" w:space="0" w:color="auto"/>
          </w:divBdr>
        </w:div>
        <w:div w:id="1525558565">
          <w:marLeft w:val="0"/>
          <w:marRight w:val="0"/>
          <w:marTop w:val="0"/>
          <w:marBottom w:val="150"/>
          <w:divBdr>
            <w:top w:val="none" w:sz="0" w:space="0" w:color="auto"/>
            <w:left w:val="none" w:sz="0" w:space="0" w:color="auto"/>
            <w:bottom w:val="none" w:sz="0" w:space="0" w:color="auto"/>
            <w:right w:val="none" w:sz="0" w:space="0" w:color="auto"/>
          </w:divBdr>
        </w:div>
      </w:divsChild>
    </w:div>
    <w:div w:id="869994694">
      <w:bodyDiv w:val="1"/>
      <w:marLeft w:val="0"/>
      <w:marRight w:val="0"/>
      <w:marTop w:val="0"/>
      <w:marBottom w:val="0"/>
      <w:divBdr>
        <w:top w:val="none" w:sz="0" w:space="0" w:color="auto"/>
        <w:left w:val="none" w:sz="0" w:space="0" w:color="auto"/>
        <w:bottom w:val="none" w:sz="0" w:space="0" w:color="auto"/>
        <w:right w:val="none" w:sz="0" w:space="0" w:color="auto"/>
      </w:divBdr>
    </w:div>
    <w:div w:id="940726732">
      <w:marLeft w:val="0"/>
      <w:marRight w:val="0"/>
      <w:marTop w:val="0"/>
      <w:marBottom w:val="0"/>
      <w:divBdr>
        <w:top w:val="none" w:sz="0" w:space="0" w:color="auto"/>
        <w:left w:val="none" w:sz="0" w:space="0" w:color="auto"/>
        <w:bottom w:val="none" w:sz="0" w:space="0" w:color="auto"/>
        <w:right w:val="none" w:sz="0" w:space="0" w:color="auto"/>
      </w:divBdr>
    </w:div>
    <w:div w:id="940726733">
      <w:marLeft w:val="150"/>
      <w:marRight w:val="150"/>
      <w:marTop w:val="150"/>
      <w:marBottom w:val="150"/>
      <w:divBdr>
        <w:top w:val="none" w:sz="0" w:space="0" w:color="auto"/>
        <w:left w:val="none" w:sz="0" w:space="0" w:color="auto"/>
        <w:bottom w:val="none" w:sz="0" w:space="0" w:color="auto"/>
        <w:right w:val="none" w:sz="0" w:space="0" w:color="auto"/>
      </w:divBdr>
      <w:divsChild>
        <w:div w:id="940726737">
          <w:marLeft w:val="0"/>
          <w:marRight w:val="0"/>
          <w:marTop w:val="0"/>
          <w:marBottom w:val="0"/>
          <w:divBdr>
            <w:top w:val="none" w:sz="0" w:space="0" w:color="auto"/>
            <w:left w:val="none" w:sz="0" w:space="0" w:color="auto"/>
            <w:bottom w:val="none" w:sz="0" w:space="0" w:color="auto"/>
            <w:right w:val="none" w:sz="0" w:space="0" w:color="auto"/>
          </w:divBdr>
        </w:div>
        <w:div w:id="940726743">
          <w:marLeft w:val="0"/>
          <w:marRight w:val="0"/>
          <w:marTop w:val="0"/>
          <w:marBottom w:val="0"/>
          <w:divBdr>
            <w:top w:val="none" w:sz="0" w:space="0" w:color="auto"/>
            <w:left w:val="none" w:sz="0" w:space="0" w:color="auto"/>
            <w:bottom w:val="none" w:sz="0" w:space="0" w:color="auto"/>
            <w:right w:val="none" w:sz="0" w:space="0" w:color="auto"/>
          </w:divBdr>
        </w:div>
        <w:div w:id="940726744">
          <w:marLeft w:val="0"/>
          <w:marRight w:val="0"/>
          <w:marTop w:val="0"/>
          <w:marBottom w:val="0"/>
          <w:divBdr>
            <w:top w:val="none" w:sz="0" w:space="0" w:color="auto"/>
            <w:left w:val="none" w:sz="0" w:space="0" w:color="auto"/>
            <w:bottom w:val="none" w:sz="0" w:space="0" w:color="auto"/>
            <w:right w:val="none" w:sz="0" w:space="0" w:color="auto"/>
          </w:divBdr>
        </w:div>
        <w:div w:id="940726749">
          <w:marLeft w:val="0"/>
          <w:marRight w:val="0"/>
          <w:marTop w:val="0"/>
          <w:marBottom w:val="0"/>
          <w:divBdr>
            <w:top w:val="none" w:sz="0" w:space="0" w:color="auto"/>
            <w:left w:val="none" w:sz="0" w:space="0" w:color="auto"/>
            <w:bottom w:val="none" w:sz="0" w:space="0" w:color="auto"/>
            <w:right w:val="none" w:sz="0" w:space="0" w:color="auto"/>
          </w:divBdr>
        </w:div>
        <w:div w:id="940726751">
          <w:marLeft w:val="0"/>
          <w:marRight w:val="0"/>
          <w:marTop w:val="0"/>
          <w:marBottom w:val="0"/>
          <w:divBdr>
            <w:top w:val="none" w:sz="0" w:space="0" w:color="auto"/>
            <w:left w:val="none" w:sz="0" w:space="0" w:color="auto"/>
            <w:bottom w:val="none" w:sz="0" w:space="0" w:color="auto"/>
            <w:right w:val="none" w:sz="0" w:space="0" w:color="auto"/>
          </w:divBdr>
        </w:div>
        <w:div w:id="940726753">
          <w:marLeft w:val="0"/>
          <w:marRight w:val="0"/>
          <w:marTop w:val="0"/>
          <w:marBottom w:val="0"/>
          <w:divBdr>
            <w:top w:val="none" w:sz="0" w:space="0" w:color="auto"/>
            <w:left w:val="none" w:sz="0" w:space="0" w:color="auto"/>
            <w:bottom w:val="none" w:sz="0" w:space="0" w:color="auto"/>
            <w:right w:val="none" w:sz="0" w:space="0" w:color="auto"/>
          </w:divBdr>
        </w:div>
        <w:div w:id="940726756">
          <w:marLeft w:val="0"/>
          <w:marRight w:val="0"/>
          <w:marTop w:val="0"/>
          <w:marBottom w:val="0"/>
          <w:divBdr>
            <w:top w:val="none" w:sz="0" w:space="0" w:color="auto"/>
            <w:left w:val="none" w:sz="0" w:space="0" w:color="auto"/>
            <w:bottom w:val="none" w:sz="0" w:space="0" w:color="auto"/>
            <w:right w:val="none" w:sz="0" w:space="0" w:color="auto"/>
          </w:divBdr>
        </w:div>
      </w:divsChild>
    </w:div>
    <w:div w:id="940726735">
      <w:marLeft w:val="0"/>
      <w:marRight w:val="0"/>
      <w:marTop w:val="0"/>
      <w:marBottom w:val="0"/>
      <w:divBdr>
        <w:top w:val="none" w:sz="0" w:space="0" w:color="auto"/>
        <w:left w:val="none" w:sz="0" w:space="0" w:color="auto"/>
        <w:bottom w:val="none" w:sz="0" w:space="0" w:color="auto"/>
        <w:right w:val="none" w:sz="0" w:space="0" w:color="auto"/>
      </w:divBdr>
      <w:divsChild>
        <w:div w:id="940726742">
          <w:marLeft w:val="0"/>
          <w:marRight w:val="0"/>
          <w:marTop w:val="0"/>
          <w:marBottom w:val="0"/>
          <w:divBdr>
            <w:top w:val="none" w:sz="0" w:space="0" w:color="auto"/>
            <w:left w:val="none" w:sz="0" w:space="0" w:color="auto"/>
            <w:bottom w:val="none" w:sz="0" w:space="0" w:color="auto"/>
            <w:right w:val="none" w:sz="0" w:space="0" w:color="auto"/>
          </w:divBdr>
          <w:divsChild>
            <w:div w:id="940726734">
              <w:marLeft w:val="0"/>
              <w:marRight w:val="0"/>
              <w:marTop w:val="0"/>
              <w:marBottom w:val="0"/>
              <w:divBdr>
                <w:top w:val="none" w:sz="0" w:space="0" w:color="auto"/>
                <w:left w:val="none" w:sz="0" w:space="0" w:color="auto"/>
                <w:bottom w:val="none" w:sz="0" w:space="0" w:color="auto"/>
                <w:right w:val="none" w:sz="0" w:space="0" w:color="auto"/>
              </w:divBdr>
              <w:divsChild>
                <w:div w:id="94072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26736">
      <w:marLeft w:val="0"/>
      <w:marRight w:val="0"/>
      <w:marTop w:val="0"/>
      <w:marBottom w:val="0"/>
      <w:divBdr>
        <w:top w:val="none" w:sz="0" w:space="0" w:color="auto"/>
        <w:left w:val="none" w:sz="0" w:space="0" w:color="auto"/>
        <w:bottom w:val="none" w:sz="0" w:space="0" w:color="auto"/>
        <w:right w:val="none" w:sz="0" w:space="0" w:color="auto"/>
      </w:divBdr>
    </w:div>
    <w:div w:id="940726738">
      <w:marLeft w:val="0"/>
      <w:marRight w:val="0"/>
      <w:marTop w:val="0"/>
      <w:marBottom w:val="0"/>
      <w:divBdr>
        <w:top w:val="none" w:sz="0" w:space="0" w:color="auto"/>
        <w:left w:val="none" w:sz="0" w:space="0" w:color="auto"/>
        <w:bottom w:val="none" w:sz="0" w:space="0" w:color="auto"/>
        <w:right w:val="none" w:sz="0" w:space="0" w:color="auto"/>
      </w:divBdr>
    </w:div>
    <w:div w:id="940726739">
      <w:marLeft w:val="0"/>
      <w:marRight w:val="0"/>
      <w:marTop w:val="0"/>
      <w:marBottom w:val="0"/>
      <w:divBdr>
        <w:top w:val="none" w:sz="0" w:space="0" w:color="auto"/>
        <w:left w:val="none" w:sz="0" w:space="0" w:color="auto"/>
        <w:bottom w:val="none" w:sz="0" w:space="0" w:color="auto"/>
        <w:right w:val="none" w:sz="0" w:space="0" w:color="auto"/>
      </w:divBdr>
    </w:div>
    <w:div w:id="940726741">
      <w:marLeft w:val="0"/>
      <w:marRight w:val="0"/>
      <w:marTop w:val="0"/>
      <w:marBottom w:val="0"/>
      <w:divBdr>
        <w:top w:val="none" w:sz="0" w:space="0" w:color="auto"/>
        <w:left w:val="none" w:sz="0" w:space="0" w:color="auto"/>
        <w:bottom w:val="none" w:sz="0" w:space="0" w:color="auto"/>
        <w:right w:val="none" w:sz="0" w:space="0" w:color="auto"/>
      </w:divBdr>
    </w:div>
    <w:div w:id="940726746">
      <w:marLeft w:val="0"/>
      <w:marRight w:val="0"/>
      <w:marTop w:val="0"/>
      <w:marBottom w:val="0"/>
      <w:divBdr>
        <w:top w:val="none" w:sz="0" w:space="0" w:color="auto"/>
        <w:left w:val="none" w:sz="0" w:space="0" w:color="auto"/>
        <w:bottom w:val="none" w:sz="0" w:space="0" w:color="auto"/>
        <w:right w:val="none" w:sz="0" w:space="0" w:color="auto"/>
      </w:divBdr>
    </w:div>
    <w:div w:id="940726747">
      <w:marLeft w:val="0"/>
      <w:marRight w:val="0"/>
      <w:marTop w:val="0"/>
      <w:marBottom w:val="0"/>
      <w:divBdr>
        <w:top w:val="none" w:sz="0" w:space="0" w:color="auto"/>
        <w:left w:val="none" w:sz="0" w:space="0" w:color="auto"/>
        <w:bottom w:val="none" w:sz="0" w:space="0" w:color="auto"/>
        <w:right w:val="none" w:sz="0" w:space="0" w:color="auto"/>
      </w:divBdr>
    </w:div>
    <w:div w:id="940726748">
      <w:marLeft w:val="0"/>
      <w:marRight w:val="0"/>
      <w:marTop w:val="0"/>
      <w:marBottom w:val="0"/>
      <w:divBdr>
        <w:top w:val="none" w:sz="0" w:space="0" w:color="auto"/>
        <w:left w:val="none" w:sz="0" w:space="0" w:color="auto"/>
        <w:bottom w:val="none" w:sz="0" w:space="0" w:color="auto"/>
        <w:right w:val="none" w:sz="0" w:space="0" w:color="auto"/>
      </w:divBdr>
    </w:div>
    <w:div w:id="940726750">
      <w:marLeft w:val="0"/>
      <w:marRight w:val="0"/>
      <w:marTop w:val="0"/>
      <w:marBottom w:val="0"/>
      <w:divBdr>
        <w:top w:val="none" w:sz="0" w:space="0" w:color="auto"/>
        <w:left w:val="none" w:sz="0" w:space="0" w:color="auto"/>
        <w:bottom w:val="none" w:sz="0" w:space="0" w:color="auto"/>
        <w:right w:val="none" w:sz="0" w:space="0" w:color="auto"/>
      </w:divBdr>
    </w:div>
    <w:div w:id="940726752">
      <w:marLeft w:val="0"/>
      <w:marRight w:val="0"/>
      <w:marTop w:val="0"/>
      <w:marBottom w:val="0"/>
      <w:divBdr>
        <w:top w:val="none" w:sz="0" w:space="0" w:color="auto"/>
        <w:left w:val="none" w:sz="0" w:space="0" w:color="auto"/>
        <w:bottom w:val="none" w:sz="0" w:space="0" w:color="auto"/>
        <w:right w:val="none" w:sz="0" w:space="0" w:color="auto"/>
      </w:divBdr>
      <w:divsChild>
        <w:div w:id="940726740">
          <w:marLeft w:val="0"/>
          <w:marRight w:val="0"/>
          <w:marTop w:val="0"/>
          <w:marBottom w:val="0"/>
          <w:divBdr>
            <w:top w:val="none" w:sz="0" w:space="0" w:color="auto"/>
            <w:left w:val="none" w:sz="0" w:space="0" w:color="auto"/>
            <w:bottom w:val="none" w:sz="0" w:space="0" w:color="auto"/>
            <w:right w:val="none" w:sz="0" w:space="0" w:color="auto"/>
          </w:divBdr>
          <w:divsChild>
            <w:div w:id="940726755">
              <w:marLeft w:val="0"/>
              <w:marRight w:val="0"/>
              <w:marTop w:val="0"/>
              <w:marBottom w:val="0"/>
              <w:divBdr>
                <w:top w:val="none" w:sz="0" w:space="0" w:color="auto"/>
                <w:left w:val="none" w:sz="0" w:space="0" w:color="auto"/>
                <w:bottom w:val="none" w:sz="0" w:space="0" w:color="auto"/>
                <w:right w:val="none" w:sz="0" w:space="0" w:color="auto"/>
              </w:divBdr>
              <w:divsChild>
                <w:div w:id="94072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26754">
      <w:marLeft w:val="0"/>
      <w:marRight w:val="0"/>
      <w:marTop w:val="0"/>
      <w:marBottom w:val="0"/>
      <w:divBdr>
        <w:top w:val="none" w:sz="0" w:space="0" w:color="auto"/>
        <w:left w:val="none" w:sz="0" w:space="0" w:color="auto"/>
        <w:bottom w:val="none" w:sz="0" w:space="0" w:color="auto"/>
        <w:right w:val="none" w:sz="0" w:space="0" w:color="auto"/>
      </w:divBdr>
    </w:div>
    <w:div w:id="940726758">
      <w:marLeft w:val="0"/>
      <w:marRight w:val="0"/>
      <w:marTop w:val="0"/>
      <w:marBottom w:val="0"/>
      <w:divBdr>
        <w:top w:val="none" w:sz="0" w:space="0" w:color="auto"/>
        <w:left w:val="none" w:sz="0" w:space="0" w:color="auto"/>
        <w:bottom w:val="none" w:sz="0" w:space="0" w:color="auto"/>
        <w:right w:val="none" w:sz="0" w:space="0" w:color="auto"/>
      </w:divBdr>
    </w:div>
    <w:div w:id="940726778">
      <w:marLeft w:val="0"/>
      <w:marRight w:val="0"/>
      <w:marTop w:val="0"/>
      <w:marBottom w:val="0"/>
      <w:divBdr>
        <w:top w:val="none" w:sz="0" w:space="0" w:color="auto"/>
        <w:left w:val="none" w:sz="0" w:space="0" w:color="auto"/>
        <w:bottom w:val="none" w:sz="0" w:space="0" w:color="auto"/>
        <w:right w:val="none" w:sz="0" w:space="0" w:color="auto"/>
      </w:divBdr>
    </w:div>
    <w:div w:id="940726779">
      <w:marLeft w:val="0"/>
      <w:marRight w:val="0"/>
      <w:marTop w:val="0"/>
      <w:marBottom w:val="0"/>
      <w:divBdr>
        <w:top w:val="none" w:sz="0" w:space="0" w:color="auto"/>
        <w:left w:val="none" w:sz="0" w:space="0" w:color="auto"/>
        <w:bottom w:val="none" w:sz="0" w:space="0" w:color="auto"/>
        <w:right w:val="none" w:sz="0" w:space="0" w:color="auto"/>
      </w:divBdr>
      <w:divsChild>
        <w:div w:id="940726795">
          <w:marLeft w:val="0"/>
          <w:marRight w:val="0"/>
          <w:marTop w:val="0"/>
          <w:marBottom w:val="0"/>
          <w:divBdr>
            <w:top w:val="none" w:sz="0" w:space="0" w:color="auto"/>
            <w:left w:val="none" w:sz="0" w:space="0" w:color="auto"/>
            <w:bottom w:val="none" w:sz="0" w:space="0" w:color="auto"/>
            <w:right w:val="none" w:sz="0" w:space="0" w:color="auto"/>
          </w:divBdr>
          <w:divsChild>
            <w:div w:id="94072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26785">
      <w:marLeft w:val="0"/>
      <w:marRight w:val="0"/>
      <w:marTop w:val="0"/>
      <w:marBottom w:val="0"/>
      <w:divBdr>
        <w:top w:val="none" w:sz="0" w:space="0" w:color="auto"/>
        <w:left w:val="none" w:sz="0" w:space="0" w:color="auto"/>
        <w:bottom w:val="none" w:sz="0" w:space="0" w:color="auto"/>
        <w:right w:val="none" w:sz="0" w:space="0" w:color="auto"/>
      </w:divBdr>
      <w:divsChild>
        <w:div w:id="940726784">
          <w:marLeft w:val="0"/>
          <w:marRight w:val="0"/>
          <w:marTop w:val="0"/>
          <w:marBottom w:val="0"/>
          <w:divBdr>
            <w:top w:val="none" w:sz="0" w:space="0" w:color="auto"/>
            <w:left w:val="none" w:sz="0" w:space="0" w:color="auto"/>
            <w:bottom w:val="none" w:sz="0" w:space="0" w:color="auto"/>
            <w:right w:val="none" w:sz="0" w:space="0" w:color="auto"/>
          </w:divBdr>
          <w:divsChild>
            <w:div w:id="940726759">
              <w:marLeft w:val="0"/>
              <w:marRight w:val="0"/>
              <w:marTop w:val="0"/>
              <w:marBottom w:val="0"/>
              <w:divBdr>
                <w:top w:val="none" w:sz="0" w:space="0" w:color="auto"/>
                <w:left w:val="none" w:sz="0" w:space="0" w:color="auto"/>
                <w:bottom w:val="none" w:sz="0" w:space="0" w:color="auto"/>
                <w:right w:val="none" w:sz="0" w:space="0" w:color="auto"/>
              </w:divBdr>
              <w:divsChild>
                <w:div w:id="940726773">
                  <w:marLeft w:val="0"/>
                  <w:marRight w:val="0"/>
                  <w:marTop w:val="0"/>
                  <w:marBottom w:val="0"/>
                  <w:divBdr>
                    <w:top w:val="none" w:sz="0" w:space="0" w:color="auto"/>
                    <w:left w:val="none" w:sz="0" w:space="0" w:color="auto"/>
                    <w:bottom w:val="none" w:sz="0" w:space="0" w:color="auto"/>
                    <w:right w:val="none" w:sz="0" w:space="0" w:color="auto"/>
                  </w:divBdr>
                  <w:divsChild>
                    <w:div w:id="940726788">
                      <w:marLeft w:val="0"/>
                      <w:marRight w:val="0"/>
                      <w:marTop w:val="0"/>
                      <w:marBottom w:val="0"/>
                      <w:divBdr>
                        <w:top w:val="none" w:sz="0" w:space="0" w:color="auto"/>
                        <w:left w:val="none" w:sz="0" w:space="0" w:color="auto"/>
                        <w:bottom w:val="none" w:sz="0" w:space="0" w:color="auto"/>
                        <w:right w:val="none" w:sz="0" w:space="0" w:color="auto"/>
                      </w:divBdr>
                      <w:divsChild>
                        <w:div w:id="940726787">
                          <w:marLeft w:val="0"/>
                          <w:marRight w:val="0"/>
                          <w:marTop w:val="0"/>
                          <w:marBottom w:val="0"/>
                          <w:divBdr>
                            <w:top w:val="none" w:sz="0" w:space="0" w:color="auto"/>
                            <w:left w:val="none" w:sz="0" w:space="0" w:color="auto"/>
                            <w:bottom w:val="none" w:sz="0" w:space="0" w:color="auto"/>
                            <w:right w:val="none" w:sz="0" w:space="0" w:color="auto"/>
                          </w:divBdr>
                          <w:divsChild>
                            <w:div w:id="940726790">
                              <w:marLeft w:val="0"/>
                              <w:marRight w:val="0"/>
                              <w:marTop w:val="0"/>
                              <w:marBottom w:val="0"/>
                              <w:divBdr>
                                <w:top w:val="none" w:sz="0" w:space="0" w:color="auto"/>
                                <w:left w:val="none" w:sz="0" w:space="0" w:color="auto"/>
                                <w:bottom w:val="none" w:sz="0" w:space="0" w:color="auto"/>
                                <w:right w:val="none" w:sz="0" w:space="0" w:color="auto"/>
                              </w:divBdr>
                              <w:divsChild>
                                <w:div w:id="940726781">
                                  <w:marLeft w:val="0"/>
                                  <w:marRight w:val="0"/>
                                  <w:marTop w:val="0"/>
                                  <w:marBottom w:val="0"/>
                                  <w:divBdr>
                                    <w:top w:val="none" w:sz="0" w:space="0" w:color="auto"/>
                                    <w:left w:val="none" w:sz="0" w:space="0" w:color="auto"/>
                                    <w:bottom w:val="none" w:sz="0" w:space="0" w:color="auto"/>
                                    <w:right w:val="none" w:sz="0" w:space="0" w:color="auto"/>
                                  </w:divBdr>
                                  <w:divsChild>
                                    <w:div w:id="940726760">
                                      <w:marLeft w:val="0"/>
                                      <w:marRight w:val="0"/>
                                      <w:marTop w:val="0"/>
                                      <w:marBottom w:val="0"/>
                                      <w:divBdr>
                                        <w:top w:val="none" w:sz="0" w:space="0" w:color="auto"/>
                                        <w:left w:val="none" w:sz="0" w:space="0" w:color="auto"/>
                                        <w:bottom w:val="none" w:sz="0" w:space="0" w:color="auto"/>
                                        <w:right w:val="none" w:sz="0" w:space="0" w:color="auto"/>
                                      </w:divBdr>
                                      <w:divsChild>
                                        <w:div w:id="940726729">
                                          <w:marLeft w:val="0"/>
                                          <w:marRight w:val="0"/>
                                          <w:marTop w:val="0"/>
                                          <w:marBottom w:val="0"/>
                                          <w:divBdr>
                                            <w:top w:val="none" w:sz="0" w:space="0" w:color="auto"/>
                                            <w:left w:val="none" w:sz="0" w:space="0" w:color="auto"/>
                                            <w:bottom w:val="none" w:sz="0" w:space="0" w:color="auto"/>
                                            <w:right w:val="none" w:sz="0" w:space="0" w:color="auto"/>
                                          </w:divBdr>
                                          <w:divsChild>
                                            <w:div w:id="940726725">
                                              <w:marLeft w:val="0"/>
                                              <w:marRight w:val="0"/>
                                              <w:marTop w:val="0"/>
                                              <w:marBottom w:val="0"/>
                                              <w:divBdr>
                                                <w:top w:val="none" w:sz="0" w:space="0" w:color="auto"/>
                                                <w:left w:val="none" w:sz="0" w:space="0" w:color="auto"/>
                                                <w:bottom w:val="none" w:sz="0" w:space="0" w:color="auto"/>
                                                <w:right w:val="none" w:sz="0" w:space="0" w:color="auto"/>
                                              </w:divBdr>
                                              <w:divsChild>
                                                <w:div w:id="940726724">
                                                  <w:marLeft w:val="0"/>
                                                  <w:marRight w:val="0"/>
                                                  <w:marTop w:val="0"/>
                                                  <w:marBottom w:val="0"/>
                                                  <w:divBdr>
                                                    <w:top w:val="none" w:sz="0" w:space="0" w:color="auto"/>
                                                    <w:left w:val="none" w:sz="0" w:space="0" w:color="auto"/>
                                                    <w:bottom w:val="none" w:sz="0" w:space="0" w:color="auto"/>
                                                    <w:right w:val="none" w:sz="0" w:space="0" w:color="auto"/>
                                                  </w:divBdr>
                                                  <w:divsChild>
                                                    <w:div w:id="940726765">
                                                      <w:marLeft w:val="0"/>
                                                      <w:marRight w:val="0"/>
                                                      <w:marTop w:val="0"/>
                                                      <w:marBottom w:val="0"/>
                                                      <w:divBdr>
                                                        <w:top w:val="none" w:sz="0" w:space="0" w:color="auto"/>
                                                        <w:left w:val="none" w:sz="0" w:space="0" w:color="auto"/>
                                                        <w:bottom w:val="none" w:sz="0" w:space="0" w:color="auto"/>
                                                        <w:right w:val="none" w:sz="0" w:space="0" w:color="auto"/>
                                                      </w:divBdr>
                                                      <w:divsChild>
                                                        <w:div w:id="940726726">
                                                          <w:marLeft w:val="0"/>
                                                          <w:marRight w:val="0"/>
                                                          <w:marTop w:val="0"/>
                                                          <w:marBottom w:val="0"/>
                                                          <w:divBdr>
                                                            <w:top w:val="none" w:sz="0" w:space="0" w:color="auto"/>
                                                            <w:left w:val="none" w:sz="0" w:space="0" w:color="auto"/>
                                                            <w:bottom w:val="none" w:sz="0" w:space="0" w:color="auto"/>
                                                            <w:right w:val="none" w:sz="0" w:space="0" w:color="auto"/>
                                                          </w:divBdr>
                                                        </w:div>
                                                        <w:div w:id="940726727">
                                                          <w:marLeft w:val="0"/>
                                                          <w:marRight w:val="0"/>
                                                          <w:marTop w:val="0"/>
                                                          <w:marBottom w:val="0"/>
                                                          <w:divBdr>
                                                            <w:top w:val="none" w:sz="0" w:space="0" w:color="auto"/>
                                                            <w:left w:val="none" w:sz="0" w:space="0" w:color="auto"/>
                                                            <w:bottom w:val="none" w:sz="0" w:space="0" w:color="auto"/>
                                                            <w:right w:val="none" w:sz="0" w:space="0" w:color="auto"/>
                                                          </w:divBdr>
                                                        </w:div>
                                                        <w:div w:id="940726728">
                                                          <w:marLeft w:val="0"/>
                                                          <w:marRight w:val="0"/>
                                                          <w:marTop w:val="0"/>
                                                          <w:marBottom w:val="0"/>
                                                          <w:divBdr>
                                                            <w:top w:val="none" w:sz="0" w:space="0" w:color="auto"/>
                                                            <w:left w:val="none" w:sz="0" w:space="0" w:color="auto"/>
                                                            <w:bottom w:val="none" w:sz="0" w:space="0" w:color="auto"/>
                                                            <w:right w:val="none" w:sz="0" w:space="0" w:color="auto"/>
                                                          </w:divBdr>
                                                        </w:div>
                                                        <w:div w:id="940726730">
                                                          <w:marLeft w:val="0"/>
                                                          <w:marRight w:val="0"/>
                                                          <w:marTop w:val="0"/>
                                                          <w:marBottom w:val="0"/>
                                                          <w:divBdr>
                                                            <w:top w:val="none" w:sz="0" w:space="0" w:color="auto"/>
                                                            <w:left w:val="none" w:sz="0" w:space="0" w:color="auto"/>
                                                            <w:bottom w:val="none" w:sz="0" w:space="0" w:color="auto"/>
                                                            <w:right w:val="none" w:sz="0" w:space="0" w:color="auto"/>
                                                          </w:divBdr>
                                                        </w:div>
                                                        <w:div w:id="940726731">
                                                          <w:marLeft w:val="0"/>
                                                          <w:marRight w:val="0"/>
                                                          <w:marTop w:val="0"/>
                                                          <w:marBottom w:val="0"/>
                                                          <w:divBdr>
                                                            <w:top w:val="none" w:sz="0" w:space="0" w:color="auto"/>
                                                            <w:left w:val="none" w:sz="0" w:space="0" w:color="auto"/>
                                                            <w:bottom w:val="none" w:sz="0" w:space="0" w:color="auto"/>
                                                            <w:right w:val="none" w:sz="0" w:space="0" w:color="auto"/>
                                                          </w:divBdr>
                                                        </w:div>
                                                        <w:div w:id="940726761">
                                                          <w:marLeft w:val="0"/>
                                                          <w:marRight w:val="0"/>
                                                          <w:marTop w:val="0"/>
                                                          <w:marBottom w:val="0"/>
                                                          <w:divBdr>
                                                            <w:top w:val="none" w:sz="0" w:space="0" w:color="auto"/>
                                                            <w:left w:val="none" w:sz="0" w:space="0" w:color="auto"/>
                                                            <w:bottom w:val="none" w:sz="0" w:space="0" w:color="auto"/>
                                                            <w:right w:val="none" w:sz="0" w:space="0" w:color="auto"/>
                                                          </w:divBdr>
                                                        </w:div>
                                                        <w:div w:id="940726762">
                                                          <w:marLeft w:val="0"/>
                                                          <w:marRight w:val="0"/>
                                                          <w:marTop w:val="0"/>
                                                          <w:marBottom w:val="0"/>
                                                          <w:divBdr>
                                                            <w:top w:val="none" w:sz="0" w:space="0" w:color="auto"/>
                                                            <w:left w:val="none" w:sz="0" w:space="0" w:color="auto"/>
                                                            <w:bottom w:val="none" w:sz="0" w:space="0" w:color="auto"/>
                                                            <w:right w:val="none" w:sz="0" w:space="0" w:color="auto"/>
                                                          </w:divBdr>
                                                        </w:div>
                                                        <w:div w:id="940726763">
                                                          <w:marLeft w:val="0"/>
                                                          <w:marRight w:val="0"/>
                                                          <w:marTop w:val="0"/>
                                                          <w:marBottom w:val="0"/>
                                                          <w:divBdr>
                                                            <w:top w:val="none" w:sz="0" w:space="0" w:color="auto"/>
                                                            <w:left w:val="none" w:sz="0" w:space="0" w:color="auto"/>
                                                            <w:bottom w:val="none" w:sz="0" w:space="0" w:color="auto"/>
                                                            <w:right w:val="none" w:sz="0" w:space="0" w:color="auto"/>
                                                          </w:divBdr>
                                                        </w:div>
                                                        <w:div w:id="940726764">
                                                          <w:marLeft w:val="0"/>
                                                          <w:marRight w:val="0"/>
                                                          <w:marTop w:val="0"/>
                                                          <w:marBottom w:val="0"/>
                                                          <w:divBdr>
                                                            <w:top w:val="none" w:sz="0" w:space="0" w:color="auto"/>
                                                            <w:left w:val="none" w:sz="0" w:space="0" w:color="auto"/>
                                                            <w:bottom w:val="none" w:sz="0" w:space="0" w:color="auto"/>
                                                            <w:right w:val="none" w:sz="0" w:space="0" w:color="auto"/>
                                                          </w:divBdr>
                                                        </w:div>
                                                        <w:div w:id="940726766">
                                                          <w:marLeft w:val="0"/>
                                                          <w:marRight w:val="0"/>
                                                          <w:marTop w:val="0"/>
                                                          <w:marBottom w:val="0"/>
                                                          <w:divBdr>
                                                            <w:top w:val="none" w:sz="0" w:space="0" w:color="auto"/>
                                                            <w:left w:val="none" w:sz="0" w:space="0" w:color="auto"/>
                                                            <w:bottom w:val="none" w:sz="0" w:space="0" w:color="auto"/>
                                                            <w:right w:val="none" w:sz="0" w:space="0" w:color="auto"/>
                                                          </w:divBdr>
                                                        </w:div>
                                                        <w:div w:id="940726767">
                                                          <w:marLeft w:val="0"/>
                                                          <w:marRight w:val="0"/>
                                                          <w:marTop w:val="0"/>
                                                          <w:marBottom w:val="0"/>
                                                          <w:divBdr>
                                                            <w:top w:val="none" w:sz="0" w:space="0" w:color="auto"/>
                                                            <w:left w:val="none" w:sz="0" w:space="0" w:color="auto"/>
                                                            <w:bottom w:val="none" w:sz="0" w:space="0" w:color="auto"/>
                                                            <w:right w:val="none" w:sz="0" w:space="0" w:color="auto"/>
                                                          </w:divBdr>
                                                        </w:div>
                                                        <w:div w:id="940726768">
                                                          <w:marLeft w:val="0"/>
                                                          <w:marRight w:val="0"/>
                                                          <w:marTop w:val="0"/>
                                                          <w:marBottom w:val="0"/>
                                                          <w:divBdr>
                                                            <w:top w:val="none" w:sz="0" w:space="0" w:color="auto"/>
                                                            <w:left w:val="none" w:sz="0" w:space="0" w:color="auto"/>
                                                            <w:bottom w:val="none" w:sz="0" w:space="0" w:color="auto"/>
                                                            <w:right w:val="none" w:sz="0" w:space="0" w:color="auto"/>
                                                          </w:divBdr>
                                                        </w:div>
                                                        <w:div w:id="940726769">
                                                          <w:marLeft w:val="0"/>
                                                          <w:marRight w:val="0"/>
                                                          <w:marTop w:val="0"/>
                                                          <w:marBottom w:val="0"/>
                                                          <w:divBdr>
                                                            <w:top w:val="none" w:sz="0" w:space="0" w:color="auto"/>
                                                            <w:left w:val="none" w:sz="0" w:space="0" w:color="auto"/>
                                                            <w:bottom w:val="none" w:sz="0" w:space="0" w:color="auto"/>
                                                            <w:right w:val="none" w:sz="0" w:space="0" w:color="auto"/>
                                                          </w:divBdr>
                                                        </w:div>
                                                        <w:div w:id="940726770">
                                                          <w:marLeft w:val="0"/>
                                                          <w:marRight w:val="0"/>
                                                          <w:marTop w:val="0"/>
                                                          <w:marBottom w:val="0"/>
                                                          <w:divBdr>
                                                            <w:top w:val="none" w:sz="0" w:space="0" w:color="auto"/>
                                                            <w:left w:val="none" w:sz="0" w:space="0" w:color="auto"/>
                                                            <w:bottom w:val="none" w:sz="0" w:space="0" w:color="auto"/>
                                                            <w:right w:val="none" w:sz="0" w:space="0" w:color="auto"/>
                                                          </w:divBdr>
                                                        </w:div>
                                                        <w:div w:id="940726772">
                                                          <w:marLeft w:val="0"/>
                                                          <w:marRight w:val="0"/>
                                                          <w:marTop w:val="0"/>
                                                          <w:marBottom w:val="0"/>
                                                          <w:divBdr>
                                                            <w:top w:val="none" w:sz="0" w:space="0" w:color="auto"/>
                                                            <w:left w:val="none" w:sz="0" w:space="0" w:color="auto"/>
                                                            <w:bottom w:val="none" w:sz="0" w:space="0" w:color="auto"/>
                                                            <w:right w:val="none" w:sz="0" w:space="0" w:color="auto"/>
                                                          </w:divBdr>
                                                        </w:div>
                                                        <w:div w:id="940726774">
                                                          <w:marLeft w:val="0"/>
                                                          <w:marRight w:val="0"/>
                                                          <w:marTop w:val="0"/>
                                                          <w:marBottom w:val="0"/>
                                                          <w:divBdr>
                                                            <w:top w:val="none" w:sz="0" w:space="0" w:color="auto"/>
                                                            <w:left w:val="none" w:sz="0" w:space="0" w:color="auto"/>
                                                            <w:bottom w:val="none" w:sz="0" w:space="0" w:color="auto"/>
                                                            <w:right w:val="none" w:sz="0" w:space="0" w:color="auto"/>
                                                          </w:divBdr>
                                                        </w:div>
                                                        <w:div w:id="940726775">
                                                          <w:marLeft w:val="0"/>
                                                          <w:marRight w:val="0"/>
                                                          <w:marTop w:val="0"/>
                                                          <w:marBottom w:val="0"/>
                                                          <w:divBdr>
                                                            <w:top w:val="none" w:sz="0" w:space="0" w:color="auto"/>
                                                            <w:left w:val="none" w:sz="0" w:space="0" w:color="auto"/>
                                                            <w:bottom w:val="none" w:sz="0" w:space="0" w:color="auto"/>
                                                            <w:right w:val="none" w:sz="0" w:space="0" w:color="auto"/>
                                                          </w:divBdr>
                                                        </w:div>
                                                        <w:div w:id="940726776">
                                                          <w:marLeft w:val="0"/>
                                                          <w:marRight w:val="0"/>
                                                          <w:marTop w:val="0"/>
                                                          <w:marBottom w:val="0"/>
                                                          <w:divBdr>
                                                            <w:top w:val="none" w:sz="0" w:space="0" w:color="auto"/>
                                                            <w:left w:val="none" w:sz="0" w:space="0" w:color="auto"/>
                                                            <w:bottom w:val="none" w:sz="0" w:space="0" w:color="auto"/>
                                                            <w:right w:val="none" w:sz="0" w:space="0" w:color="auto"/>
                                                          </w:divBdr>
                                                        </w:div>
                                                        <w:div w:id="940726777">
                                                          <w:marLeft w:val="0"/>
                                                          <w:marRight w:val="0"/>
                                                          <w:marTop w:val="0"/>
                                                          <w:marBottom w:val="0"/>
                                                          <w:divBdr>
                                                            <w:top w:val="none" w:sz="0" w:space="0" w:color="auto"/>
                                                            <w:left w:val="none" w:sz="0" w:space="0" w:color="auto"/>
                                                            <w:bottom w:val="none" w:sz="0" w:space="0" w:color="auto"/>
                                                            <w:right w:val="none" w:sz="0" w:space="0" w:color="auto"/>
                                                          </w:divBdr>
                                                        </w:div>
                                                        <w:div w:id="940726780">
                                                          <w:marLeft w:val="0"/>
                                                          <w:marRight w:val="0"/>
                                                          <w:marTop w:val="0"/>
                                                          <w:marBottom w:val="0"/>
                                                          <w:divBdr>
                                                            <w:top w:val="none" w:sz="0" w:space="0" w:color="auto"/>
                                                            <w:left w:val="none" w:sz="0" w:space="0" w:color="auto"/>
                                                            <w:bottom w:val="none" w:sz="0" w:space="0" w:color="auto"/>
                                                            <w:right w:val="none" w:sz="0" w:space="0" w:color="auto"/>
                                                          </w:divBdr>
                                                        </w:div>
                                                        <w:div w:id="940726782">
                                                          <w:marLeft w:val="0"/>
                                                          <w:marRight w:val="0"/>
                                                          <w:marTop w:val="0"/>
                                                          <w:marBottom w:val="0"/>
                                                          <w:divBdr>
                                                            <w:top w:val="none" w:sz="0" w:space="0" w:color="auto"/>
                                                            <w:left w:val="none" w:sz="0" w:space="0" w:color="auto"/>
                                                            <w:bottom w:val="none" w:sz="0" w:space="0" w:color="auto"/>
                                                            <w:right w:val="none" w:sz="0" w:space="0" w:color="auto"/>
                                                          </w:divBdr>
                                                        </w:div>
                                                        <w:div w:id="940726783">
                                                          <w:marLeft w:val="0"/>
                                                          <w:marRight w:val="0"/>
                                                          <w:marTop w:val="0"/>
                                                          <w:marBottom w:val="0"/>
                                                          <w:divBdr>
                                                            <w:top w:val="none" w:sz="0" w:space="0" w:color="auto"/>
                                                            <w:left w:val="none" w:sz="0" w:space="0" w:color="auto"/>
                                                            <w:bottom w:val="none" w:sz="0" w:space="0" w:color="auto"/>
                                                            <w:right w:val="none" w:sz="0" w:space="0" w:color="auto"/>
                                                          </w:divBdr>
                                                        </w:div>
                                                        <w:div w:id="940726786">
                                                          <w:marLeft w:val="0"/>
                                                          <w:marRight w:val="0"/>
                                                          <w:marTop w:val="0"/>
                                                          <w:marBottom w:val="0"/>
                                                          <w:divBdr>
                                                            <w:top w:val="none" w:sz="0" w:space="0" w:color="auto"/>
                                                            <w:left w:val="none" w:sz="0" w:space="0" w:color="auto"/>
                                                            <w:bottom w:val="none" w:sz="0" w:space="0" w:color="auto"/>
                                                            <w:right w:val="none" w:sz="0" w:space="0" w:color="auto"/>
                                                          </w:divBdr>
                                                        </w:div>
                                                        <w:div w:id="940726789">
                                                          <w:marLeft w:val="0"/>
                                                          <w:marRight w:val="0"/>
                                                          <w:marTop w:val="0"/>
                                                          <w:marBottom w:val="0"/>
                                                          <w:divBdr>
                                                            <w:top w:val="none" w:sz="0" w:space="0" w:color="auto"/>
                                                            <w:left w:val="none" w:sz="0" w:space="0" w:color="auto"/>
                                                            <w:bottom w:val="none" w:sz="0" w:space="0" w:color="auto"/>
                                                            <w:right w:val="none" w:sz="0" w:space="0" w:color="auto"/>
                                                          </w:divBdr>
                                                        </w:div>
                                                        <w:div w:id="940726791">
                                                          <w:marLeft w:val="0"/>
                                                          <w:marRight w:val="0"/>
                                                          <w:marTop w:val="0"/>
                                                          <w:marBottom w:val="0"/>
                                                          <w:divBdr>
                                                            <w:top w:val="none" w:sz="0" w:space="0" w:color="auto"/>
                                                            <w:left w:val="none" w:sz="0" w:space="0" w:color="auto"/>
                                                            <w:bottom w:val="none" w:sz="0" w:space="0" w:color="auto"/>
                                                            <w:right w:val="none" w:sz="0" w:space="0" w:color="auto"/>
                                                          </w:divBdr>
                                                        </w:div>
                                                        <w:div w:id="940726792">
                                                          <w:marLeft w:val="0"/>
                                                          <w:marRight w:val="0"/>
                                                          <w:marTop w:val="0"/>
                                                          <w:marBottom w:val="0"/>
                                                          <w:divBdr>
                                                            <w:top w:val="none" w:sz="0" w:space="0" w:color="auto"/>
                                                            <w:left w:val="none" w:sz="0" w:space="0" w:color="auto"/>
                                                            <w:bottom w:val="none" w:sz="0" w:space="0" w:color="auto"/>
                                                            <w:right w:val="none" w:sz="0" w:space="0" w:color="auto"/>
                                                          </w:divBdr>
                                                        </w:div>
                                                        <w:div w:id="940726793">
                                                          <w:marLeft w:val="0"/>
                                                          <w:marRight w:val="0"/>
                                                          <w:marTop w:val="0"/>
                                                          <w:marBottom w:val="0"/>
                                                          <w:divBdr>
                                                            <w:top w:val="none" w:sz="0" w:space="0" w:color="auto"/>
                                                            <w:left w:val="none" w:sz="0" w:space="0" w:color="auto"/>
                                                            <w:bottom w:val="none" w:sz="0" w:space="0" w:color="auto"/>
                                                            <w:right w:val="none" w:sz="0" w:space="0" w:color="auto"/>
                                                          </w:divBdr>
                                                        </w:div>
                                                        <w:div w:id="940726794">
                                                          <w:marLeft w:val="0"/>
                                                          <w:marRight w:val="0"/>
                                                          <w:marTop w:val="0"/>
                                                          <w:marBottom w:val="0"/>
                                                          <w:divBdr>
                                                            <w:top w:val="none" w:sz="0" w:space="0" w:color="auto"/>
                                                            <w:left w:val="none" w:sz="0" w:space="0" w:color="auto"/>
                                                            <w:bottom w:val="none" w:sz="0" w:space="0" w:color="auto"/>
                                                            <w:right w:val="none" w:sz="0" w:space="0" w:color="auto"/>
                                                          </w:divBdr>
                                                        </w:div>
                                                        <w:div w:id="940726796">
                                                          <w:marLeft w:val="0"/>
                                                          <w:marRight w:val="0"/>
                                                          <w:marTop w:val="0"/>
                                                          <w:marBottom w:val="0"/>
                                                          <w:divBdr>
                                                            <w:top w:val="none" w:sz="0" w:space="0" w:color="auto"/>
                                                            <w:left w:val="none" w:sz="0" w:space="0" w:color="auto"/>
                                                            <w:bottom w:val="none" w:sz="0" w:space="0" w:color="auto"/>
                                                            <w:right w:val="none" w:sz="0" w:space="0" w:color="auto"/>
                                                          </w:divBdr>
                                                        </w:div>
                                                        <w:div w:id="940726797">
                                                          <w:marLeft w:val="0"/>
                                                          <w:marRight w:val="0"/>
                                                          <w:marTop w:val="0"/>
                                                          <w:marBottom w:val="0"/>
                                                          <w:divBdr>
                                                            <w:top w:val="none" w:sz="0" w:space="0" w:color="auto"/>
                                                            <w:left w:val="none" w:sz="0" w:space="0" w:color="auto"/>
                                                            <w:bottom w:val="none" w:sz="0" w:space="0" w:color="auto"/>
                                                            <w:right w:val="none" w:sz="0" w:space="0" w:color="auto"/>
                                                          </w:divBdr>
                                                        </w:div>
                                                        <w:div w:id="940726798">
                                                          <w:marLeft w:val="0"/>
                                                          <w:marRight w:val="0"/>
                                                          <w:marTop w:val="0"/>
                                                          <w:marBottom w:val="0"/>
                                                          <w:divBdr>
                                                            <w:top w:val="none" w:sz="0" w:space="0" w:color="auto"/>
                                                            <w:left w:val="none" w:sz="0" w:space="0" w:color="auto"/>
                                                            <w:bottom w:val="none" w:sz="0" w:space="0" w:color="auto"/>
                                                            <w:right w:val="none" w:sz="0" w:space="0" w:color="auto"/>
                                                          </w:divBdr>
                                                        </w:div>
                                                        <w:div w:id="940726799">
                                                          <w:marLeft w:val="0"/>
                                                          <w:marRight w:val="0"/>
                                                          <w:marTop w:val="0"/>
                                                          <w:marBottom w:val="0"/>
                                                          <w:divBdr>
                                                            <w:top w:val="none" w:sz="0" w:space="0" w:color="auto"/>
                                                            <w:left w:val="none" w:sz="0" w:space="0" w:color="auto"/>
                                                            <w:bottom w:val="none" w:sz="0" w:space="0" w:color="auto"/>
                                                            <w:right w:val="none" w:sz="0" w:space="0" w:color="auto"/>
                                                          </w:divBdr>
                                                        </w:div>
                                                        <w:div w:id="940726800">
                                                          <w:marLeft w:val="0"/>
                                                          <w:marRight w:val="0"/>
                                                          <w:marTop w:val="0"/>
                                                          <w:marBottom w:val="0"/>
                                                          <w:divBdr>
                                                            <w:top w:val="none" w:sz="0" w:space="0" w:color="auto"/>
                                                            <w:left w:val="none" w:sz="0" w:space="0" w:color="auto"/>
                                                            <w:bottom w:val="none" w:sz="0" w:space="0" w:color="auto"/>
                                                            <w:right w:val="none" w:sz="0" w:space="0" w:color="auto"/>
                                                          </w:divBdr>
                                                        </w:div>
                                                        <w:div w:id="940726801">
                                                          <w:marLeft w:val="0"/>
                                                          <w:marRight w:val="0"/>
                                                          <w:marTop w:val="0"/>
                                                          <w:marBottom w:val="0"/>
                                                          <w:divBdr>
                                                            <w:top w:val="none" w:sz="0" w:space="0" w:color="auto"/>
                                                            <w:left w:val="none" w:sz="0" w:space="0" w:color="auto"/>
                                                            <w:bottom w:val="none" w:sz="0" w:space="0" w:color="auto"/>
                                                            <w:right w:val="none" w:sz="0" w:space="0" w:color="auto"/>
                                                          </w:divBdr>
                                                        </w:div>
                                                        <w:div w:id="940726802">
                                                          <w:marLeft w:val="0"/>
                                                          <w:marRight w:val="0"/>
                                                          <w:marTop w:val="0"/>
                                                          <w:marBottom w:val="0"/>
                                                          <w:divBdr>
                                                            <w:top w:val="none" w:sz="0" w:space="0" w:color="auto"/>
                                                            <w:left w:val="none" w:sz="0" w:space="0" w:color="auto"/>
                                                            <w:bottom w:val="none" w:sz="0" w:space="0" w:color="auto"/>
                                                            <w:right w:val="none" w:sz="0" w:space="0" w:color="auto"/>
                                                          </w:divBdr>
                                                        </w:div>
                                                        <w:div w:id="94072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2368161">
      <w:bodyDiv w:val="1"/>
      <w:marLeft w:val="0"/>
      <w:marRight w:val="0"/>
      <w:marTop w:val="0"/>
      <w:marBottom w:val="0"/>
      <w:divBdr>
        <w:top w:val="none" w:sz="0" w:space="0" w:color="auto"/>
        <w:left w:val="none" w:sz="0" w:space="0" w:color="auto"/>
        <w:bottom w:val="none" w:sz="0" w:space="0" w:color="auto"/>
        <w:right w:val="none" w:sz="0" w:space="0" w:color="auto"/>
      </w:divBdr>
    </w:div>
    <w:div w:id="1071973567">
      <w:bodyDiv w:val="1"/>
      <w:marLeft w:val="0"/>
      <w:marRight w:val="0"/>
      <w:marTop w:val="0"/>
      <w:marBottom w:val="0"/>
      <w:divBdr>
        <w:top w:val="none" w:sz="0" w:space="0" w:color="auto"/>
        <w:left w:val="none" w:sz="0" w:space="0" w:color="auto"/>
        <w:bottom w:val="none" w:sz="0" w:space="0" w:color="auto"/>
        <w:right w:val="none" w:sz="0" w:space="0" w:color="auto"/>
      </w:divBdr>
    </w:div>
    <w:div w:id="1111321302">
      <w:bodyDiv w:val="1"/>
      <w:marLeft w:val="0"/>
      <w:marRight w:val="0"/>
      <w:marTop w:val="0"/>
      <w:marBottom w:val="0"/>
      <w:divBdr>
        <w:top w:val="none" w:sz="0" w:space="0" w:color="auto"/>
        <w:left w:val="none" w:sz="0" w:space="0" w:color="auto"/>
        <w:bottom w:val="none" w:sz="0" w:space="0" w:color="auto"/>
        <w:right w:val="none" w:sz="0" w:space="0" w:color="auto"/>
      </w:divBdr>
    </w:div>
    <w:div w:id="1406955147">
      <w:bodyDiv w:val="1"/>
      <w:marLeft w:val="0"/>
      <w:marRight w:val="0"/>
      <w:marTop w:val="0"/>
      <w:marBottom w:val="0"/>
      <w:divBdr>
        <w:top w:val="none" w:sz="0" w:space="0" w:color="auto"/>
        <w:left w:val="none" w:sz="0" w:space="0" w:color="auto"/>
        <w:bottom w:val="none" w:sz="0" w:space="0" w:color="auto"/>
        <w:right w:val="none" w:sz="0" w:space="0" w:color="auto"/>
      </w:divBdr>
    </w:div>
    <w:div w:id="1418751971">
      <w:bodyDiv w:val="1"/>
      <w:marLeft w:val="0"/>
      <w:marRight w:val="0"/>
      <w:marTop w:val="0"/>
      <w:marBottom w:val="0"/>
      <w:divBdr>
        <w:top w:val="none" w:sz="0" w:space="0" w:color="auto"/>
        <w:left w:val="none" w:sz="0" w:space="0" w:color="auto"/>
        <w:bottom w:val="none" w:sz="0" w:space="0" w:color="auto"/>
        <w:right w:val="none" w:sz="0" w:space="0" w:color="auto"/>
      </w:divBdr>
    </w:div>
    <w:div w:id="1429934891">
      <w:bodyDiv w:val="1"/>
      <w:marLeft w:val="0"/>
      <w:marRight w:val="0"/>
      <w:marTop w:val="0"/>
      <w:marBottom w:val="0"/>
      <w:divBdr>
        <w:top w:val="none" w:sz="0" w:space="0" w:color="auto"/>
        <w:left w:val="none" w:sz="0" w:space="0" w:color="auto"/>
        <w:bottom w:val="none" w:sz="0" w:space="0" w:color="auto"/>
        <w:right w:val="none" w:sz="0" w:space="0" w:color="auto"/>
      </w:divBdr>
    </w:div>
    <w:div w:id="1431701508">
      <w:bodyDiv w:val="1"/>
      <w:marLeft w:val="0"/>
      <w:marRight w:val="0"/>
      <w:marTop w:val="0"/>
      <w:marBottom w:val="0"/>
      <w:divBdr>
        <w:top w:val="none" w:sz="0" w:space="0" w:color="auto"/>
        <w:left w:val="none" w:sz="0" w:space="0" w:color="auto"/>
        <w:bottom w:val="none" w:sz="0" w:space="0" w:color="auto"/>
        <w:right w:val="none" w:sz="0" w:space="0" w:color="auto"/>
      </w:divBdr>
    </w:div>
    <w:div w:id="1443764315">
      <w:bodyDiv w:val="1"/>
      <w:marLeft w:val="0"/>
      <w:marRight w:val="0"/>
      <w:marTop w:val="0"/>
      <w:marBottom w:val="0"/>
      <w:divBdr>
        <w:top w:val="none" w:sz="0" w:space="0" w:color="auto"/>
        <w:left w:val="none" w:sz="0" w:space="0" w:color="auto"/>
        <w:bottom w:val="none" w:sz="0" w:space="0" w:color="auto"/>
        <w:right w:val="none" w:sz="0" w:space="0" w:color="auto"/>
      </w:divBdr>
    </w:div>
    <w:div w:id="1509059072">
      <w:bodyDiv w:val="1"/>
      <w:marLeft w:val="0"/>
      <w:marRight w:val="0"/>
      <w:marTop w:val="0"/>
      <w:marBottom w:val="0"/>
      <w:divBdr>
        <w:top w:val="none" w:sz="0" w:space="0" w:color="auto"/>
        <w:left w:val="none" w:sz="0" w:space="0" w:color="auto"/>
        <w:bottom w:val="none" w:sz="0" w:space="0" w:color="auto"/>
        <w:right w:val="none" w:sz="0" w:space="0" w:color="auto"/>
      </w:divBdr>
    </w:div>
    <w:div w:id="1593080909">
      <w:bodyDiv w:val="1"/>
      <w:marLeft w:val="0"/>
      <w:marRight w:val="0"/>
      <w:marTop w:val="0"/>
      <w:marBottom w:val="0"/>
      <w:divBdr>
        <w:top w:val="none" w:sz="0" w:space="0" w:color="auto"/>
        <w:left w:val="none" w:sz="0" w:space="0" w:color="auto"/>
        <w:bottom w:val="none" w:sz="0" w:space="0" w:color="auto"/>
        <w:right w:val="none" w:sz="0" w:space="0" w:color="auto"/>
      </w:divBdr>
    </w:div>
    <w:div w:id="1604996715">
      <w:bodyDiv w:val="1"/>
      <w:marLeft w:val="0"/>
      <w:marRight w:val="0"/>
      <w:marTop w:val="0"/>
      <w:marBottom w:val="0"/>
      <w:divBdr>
        <w:top w:val="none" w:sz="0" w:space="0" w:color="auto"/>
        <w:left w:val="none" w:sz="0" w:space="0" w:color="auto"/>
        <w:bottom w:val="none" w:sz="0" w:space="0" w:color="auto"/>
        <w:right w:val="none" w:sz="0" w:space="0" w:color="auto"/>
      </w:divBdr>
    </w:div>
    <w:div w:id="1667127492">
      <w:bodyDiv w:val="1"/>
      <w:marLeft w:val="0"/>
      <w:marRight w:val="0"/>
      <w:marTop w:val="0"/>
      <w:marBottom w:val="0"/>
      <w:divBdr>
        <w:top w:val="none" w:sz="0" w:space="0" w:color="auto"/>
        <w:left w:val="none" w:sz="0" w:space="0" w:color="auto"/>
        <w:bottom w:val="none" w:sz="0" w:space="0" w:color="auto"/>
        <w:right w:val="none" w:sz="0" w:space="0" w:color="auto"/>
      </w:divBdr>
    </w:div>
    <w:div w:id="1678268436">
      <w:bodyDiv w:val="1"/>
      <w:marLeft w:val="0"/>
      <w:marRight w:val="0"/>
      <w:marTop w:val="0"/>
      <w:marBottom w:val="0"/>
      <w:divBdr>
        <w:top w:val="none" w:sz="0" w:space="0" w:color="auto"/>
        <w:left w:val="none" w:sz="0" w:space="0" w:color="auto"/>
        <w:bottom w:val="none" w:sz="0" w:space="0" w:color="auto"/>
        <w:right w:val="none" w:sz="0" w:space="0" w:color="auto"/>
      </w:divBdr>
    </w:div>
    <w:div w:id="1710760959">
      <w:bodyDiv w:val="1"/>
      <w:marLeft w:val="0"/>
      <w:marRight w:val="0"/>
      <w:marTop w:val="0"/>
      <w:marBottom w:val="0"/>
      <w:divBdr>
        <w:top w:val="none" w:sz="0" w:space="0" w:color="auto"/>
        <w:left w:val="none" w:sz="0" w:space="0" w:color="auto"/>
        <w:bottom w:val="none" w:sz="0" w:space="0" w:color="auto"/>
        <w:right w:val="none" w:sz="0" w:space="0" w:color="auto"/>
      </w:divBdr>
    </w:div>
    <w:div w:id="1766878599">
      <w:bodyDiv w:val="1"/>
      <w:marLeft w:val="0"/>
      <w:marRight w:val="0"/>
      <w:marTop w:val="0"/>
      <w:marBottom w:val="0"/>
      <w:divBdr>
        <w:top w:val="none" w:sz="0" w:space="0" w:color="auto"/>
        <w:left w:val="none" w:sz="0" w:space="0" w:color="auto"/>
        <w:bottom w:val="none" w:sz="0" w:space="0" w:color="auto"/>
        <w:right w:val="none" w:sz="0" w:space="0" w:color="auto"/>
      </w:divBdr>
    </w:div>
    <w:div w:id="1780832622">
      <w:bodyDiv w:val="1"/>
      <w:marLeft w:val="0"/>
      <w:marRight w:val="0"/>
      <w:marTop w:val="0"/>
      <w:marBottom w:val="0"/>
      <w:divBdr>
        <w:top w:val="none" w:sz="0" w:space="0" w:color="auto"/>
        <w:left w:val="none" w:sz="0" w:space="0" w:color="auto"/>
        <w:bottom w:val="none" w:sz="0" w:space="0" w:color="auto"/>
        <w:right w:val="none" w:sz="0" w:space="0" w:color="auto"/>
      </w:divBdr>
    </w:div>
    <w:div w:id="1830515931">
      <w:bodyDiv w:val="1"/>
      <w:marLeft w:val="0"/>
      <w:marRight w:val="0"/>
      <w:marTop w:val="0"/>
      <w:marBottom w:val="0"/>
      <w:divBdr>
        <w:top w:val="none" w:sz="0" w:space="0" w:color="auto"/>
        <w:left w:val="none" w:sz="0" w:space="0" w:color="auto"/>
        <w:bottom w:val="none" w:sz="0" w:space="0" w:color="auto"/>
        <w:right w:val="none" w:sz="0" w:space="0" w:color="auto"/>
      </w:divBdr>
    </w:div>
    <w:div w:id="1883134409">
      <w:bodyDiv w:val="1"/>
      <w:marLeft w:val="0"/>
      <w:marRight w:val="0"/>
      <w:marTop w:val="0"/>
      <w:marBottom w:val="0"/>
      <w:divBdr>
        <w:top w:val="none" w:sz="0" w:space="0" w:color="auto"/>
        <w:left w:val="none" w:sz="0" w:space="0" w:color="auto"/>
        <w:bottom w:val="none" w:sz="0" w:space="0" w:color="auto"/>
        <w:right w:val="none" w:sz="0" w:space="0" w:color="auto"/>
      </w:divBdr>
    </w:div>
    <w:div w:id="1929925056">
      <w:bodyDiv w:val="1"/>
      <w:marLeft w:val="0"/>
      <w:marRight w:val="0"/>
      <w:marTop w:val="0"/>
      <w:marBottom w:val="0"/>
      <w:divBdr>
        <w:top w:val="none" w:sz="0" w:space="0" w:color="auto"/>
        <w:left w:val="none" w:sz="0" w:space="0" w:color="auto"/>
        <w:bottom w:val="none" w:sz="0" w:space="0" w:color="auto"/>
        <w:right w:val="none" w:sz="0" w:space="0" w:color="auto"/>
      </w:divBdr>
    </w:div>
    <w:div w:id="1956642875">
      <w:bodyDiv w:val="1"/>
      <w:marLeft w:val="0"/>
      <w:marRight w:val="0"/>
      <w:marTop w:val="0"/>
      <w:marBottom w:val="0"/>
      <w:divBdr>
        <w:top w:val="none" w:sz="0" w:space="0" w:color="auto"/>
        <w:left w:val="none" w:sz="0" w:space="0" w:color="auto"/>
        <w:bottom w:val="none" w:sz="0" w:space="0" w:color="auto"/>
        <w:right w:val="none" w:sz="0" w:space="0" w:color="auto"/>
      </w:divBdr>
    </w:div>
    <w:div w:id="1984197253">
      <w:bodyDiv w:val="1"/>
      <w:marLeft w:val="0"/>
      <w:marRight w:val="0"/>
      <w:marTop w:val="0"/>
      <w:marBottom w:val="0"/>
      <w:divBdr>
        <w:top w:val="none" w:sz="0" w:space="0" w:color="auto"/>
        <w:left w:val="none" w:sz="0" w:space="0" w:color="auto"/>
        <w:bottom w:val="none" w:sz="0" w:space="0" w:color="auto"/>
        <w:right w:val="none" w:sz="0" w:space="0" w:color="auto"/>
      </w:divBdr>
    </w:div>
    <w:div w:id="2023508164">
      <w:bodyDiv w:val="1"/>
      <w:marLeft w:val="0"/>
      <w:marRight w:val="0"/>
      <w:marTop w:val="0"/>
      <w:marBottom w:val="0"/>
      <w:divBdr>
        <w:top w:val="none" w:sz="0" w:space="0" w:color="auto"/>
        <w:left w:val="none" w:sz="0" w:space="0" w:color="auto"/>
        <w:bottom w:val="none" w:sz="0" w:space="0" w:color="auto"/>
        <w:right w:val="none" w:sz="0" w:space="0" w:color="auto"/>
      </w:divBdr>
    </w:div>
    <w:div w:id="2051875067">
      <w:bodyDiv w:val="1"/>
      <w:marLeft w:val="0"/>
      <w:marRight w:val="0"/>
      <w:marTop w:val="0"/>
      <w:marBottom w:val="0"/>
      <w:divBdr>
        <w:top w:val="none" w:sz="0" w:space="0" w:color="auto"/>
        <w:left w:val="none" w:sz="0" w:space="0" w:color="auto"/>
        <w:bottom w:val="none" w:sz="0" w:space="0" w:color="auto"/>
        <w:right w:val="none" w:sz="0" w:space="0" w:color="auto"/>
      </w:divBdr>
    </w:div>
    <w:div w:id="2111851986">
      <w:bodyDiv w:val="1"/>
      <w:marLeft w:val="0"/>
      <w:marRight w:val="0"/>
      <w:marTop w:val="0"/>
      <w:marBottom w:val="0"/>
      <w:divBdr>
        <w:top w:val="none" w:sz="0" w:space="0" w:color="auto"/>
        <w:left w:val="none" w:sz="0" w:space="0" w:color="auto"/>
        <w:bottom w:val="none" w:sz="0" w:space="0" w:color="auto"/>
        <w:right w:val="none" w:sz="0" w:space="0" w:color="auto"/>
      </w:divBdr>
    </w:div>
    <w:div w:id="214697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alcaldiabogota.gov.co/sisjur/normas/Norma1.jsp?i=34708" TargetMode="External"/><Relationship Id="rId13" Type="http://schemas.openxmlformats.org/officeDocument/2006/relationships/hyperlink" Target="http://www.alcaldiabogota.gov.co/sisjur/normas/Norma1.jsp?i=37524" TargetMode="External"/><Relationship Id="rId18" Type="http://schemas.openxmlformats.org/officeDocument/2006/relationships/hyperlink" Target="http://www.alcaldiabogota.gov.co/sisjur/normas/Norma1.jsp?i=40002" TargetMode="External"/><Relationship Id="rId3" Type="http://schemas.openxmlformats.org/officeDocument/2006/relationships/hyperlink" Target="http://www.alcaldiabogota.gov.co/sisjur/normas/Norma1.jsp?i=31185" TargetMode="External"/><Relationship Id="rId21" Type="http://schemas.openxmlformats.org/officeDocument/2006/relationships/hyperlink" Target="http://www.alcaldiabogota.gov.co/sisjur/normas/Norma1.jsp?i=43309" TargetMode="External"/><Relationship Id="rId7" Type="http://schemas.openxmlformats.org/officeDocument/2006/relationships/hyperlink" Target="http://www.alcaldiabogota.gov.co/sisjur/normas/Norma1.jsp?i=34051" TargetMode="External"/><Relationship Id="rId12" Type="http://schemas.openxmlformats.org/officeDocument/2006/relationships/hyperlink" Target="http://www.alcaldiabogota.gov.co/sisjur/normas/Norma1.jsp?i=36606" TargetMode="External"/><Relationship Id="rId17" Type="http://schemas.openxmlformats.org/officeDocument/2006/relationships/hyperlink" Target="http://www.alcaldiabogota.gov.co/sisjur/normas/Norma1.jsp?i=39442" TargetMode="External"/><Relationship Id="rId2" Type="http://schemas.openxmlformats.org/officeDocument/2006/relationships/hyperlink" Target="http://www.alcaldiabogota.gov.co/sisjur/normas/Norma1.jsp?i=29773" TargetMode="External"/><Relationship Id="rId16" Type="http://schemas.openxmlformats.org/officeDocument/2006/relationships/hyperlink" Target="http://www.alcaldiabogota.gov.co/sisjur/normas/Norma1.jsp?i=39429" TargetMode="External"/><Relationship Id="rId20" Type="http://schemas.openxmlformats.org/officeDocument/2006/relationships/hyperlink" Target="http://www.alcaldiabogota.gov.co/sisjur/normas/Norma1.jsp?i=40748" TargetMode="External"/><Relationship Id="rId1" Type="http://schemas.openxmlformats.org/officeDocument/2006/relationships/hyperlink" Target="http://www.alcaldiabogota.gov.co/sisjur/normas/Norma1.jsp?i=28244" TargetMode="External"/><Relationship Id="rId6" Type="http://schemas.openxmlformats.org/officeDocument/2006/relationships/hyperlink" Target="http://www.alcaldiabogota.gov.co/sisjur/normas/Norma1.jsp?i=33877" TargetMode="External"/><Relationship Id="rId11" Type="http://schemas.openxmlformats.org/officeDocument/2006/relationships/hyperlink" Target="http://www.alcaldiabogota.gov.co/sisjur/normas/Norma1.jsp?i=36333" TargetMode="External"/><Relationship Id="rId5" Type="http://schemas.openxmlformats.org/officeDocument/2006/relationships/hyperlink" Target="http://www.alcaldiabogota.gov.co/sisjur/normas/Norma1.jsp?i=34389" TargetMode="External"/><Relationship Id="rId15" Type="http://schemas.openxmlformats.org/officeDocument/2006/relationships/hyperlink" Target="http://www.alcaldiabogota.gov.co/sisjur/normas/Norma1.jsp?i=39257" TargetMode="External"/><Relationship Id="rId10" Type="http://schemas.openxmlformats.org/officeDocument/2006/relationships/hyperlink" Target="http://www.alcaldiabogota.gov.co/sisjur/normas/Norma1.jsp?i=35607" TargetMode="External"/><Relationship Id="rId19" Type="http://schemas.openxmlformats.org/officeDocument/2006/relationships/hyperlink" Target="http://www.alcaldiabogota.gov.co/sisjur/normas/Norma1.jsp?i=40560" TargetMode="External"/><Relationship Id="rId4" Type="http://schemas.openxmlformats.org/officeDocument/2006/relationships/hyperlink" Target="http://www.alcaldiabogota.gov.co/sisjur/normas/Norma1.jsp?i=32716" TargetMode="External"/><Relationship Id="rId9" Type="http://schemas.openxmlformats.org/officeDocument/2006/relationships/hyperlink" Target="http://www.alcaldiabogota.gov.co/sisjur/normas/Norma1.jsp?i=35298" TargetMode="External"/><Relationship Id="rId14" Type="http://schemas.openxmlformats.org/officeDocument/2006/relationships/hyperlink" Target="http://www.alcaldiabogota.gov.co/sisjur/normas/Norma1.jsp?i=37345" TargetMode="External"/><Relationship Id="rId22" Type="http://schemas.openxmlformats.org/officeDocument/2006/relationships/hyperlink" Target="http://www.alcaldiabogota.gov.co/sisjur/normas/Norma1.jsp?i=4403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5C05B-6F0F-473F-9B29-80EC413E8B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1B7B80-B21D-400D-8868-CA5B1AFCE430}">
  <ds:schemaRefs>
    <ds:schemaRef ds:uri="http://schemas.microsoft.com/sharepoint/v3/contenttype/forms"/>
  </ds:schemaRefs>
</ds:datastoreItem>
</file>

<file path=customXml/itemProps3.xml><?xml version="1.0" encoding="utf-8"?>
<ds:datastoreItem xmlns:ds="http://schemas.openxmlformats.org/officeDocument/2006/customXml" ds:itemID="{A0CC4E46-DFE2-4B38-90A6-618DC20238B0}"/>
</file>

<file path=customXml/itemProps4.xml><?xml version="1.0" encoding="utf-8"?>
<ds:datastoreItem xmlns:ds="http://schemas.openxmlformats.org/officeDocument/2006/customXml" ds:itemID="{45B1BCC2-EA1E-4E87-859D-A4E8B4A9E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20111</Words>
  <Characters>114638</Characters>
  <Application>Microsoft Office Word</Application>
  <DocSecurity>0</DocSecurity>
  <Lines>955</Lines>
  <Paragraphs>268</Paragraphs>
  <ScaleCrop>false</ScaleCrop>
  <HeadingPairs>
    <vt:vector size="2" baseType="variant">
      <vt:variant>
        <vt:lpstr>Título</vt:lpstr>
      </vt:variant>
      <vt:variant>
        <vt:i4>1</vt:i4>
      </vt:variant>
    </vt:vector>
  </HeadingPairs>
  <TitlesOfParts>
    <vt:vector size="1" baseType="lpstr">
      <vt:lpstr>CONSEJO DE ESTADO</vt:lpstr>
    </vt:vector>
  </TitlesOfParts>
  <Company>Toshiba</Company>
  <LinksUpToDate>false</LinksUpToDate>
  <CharactersWithSpaces>134481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CONSEJO DE ESTADO</dc:title>
  <dc:creator>Usuario Autorizado</dc:creator>
  <cp:lastModifiedBy>Nina María Padrón</cp:lastModifiedBy>
  <cp:revision>2</cp:revision>
  <cp:lastPrinted>2014-02-12T16:39:00Z</cp:lastPrinted>
  <dcterms:created xsi:type="dcterms:W3CDTF">2020-11-25T08:01:00Z</dcterms:created>
  <dcterms:modified xsi:type="dcterms:W3CDTF">2020-11-25T08:01:00Z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