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24730" w14:textId="17A1A03F" w:rsidR="009764DB" w:rsidRDefault="009764DB" w:rsidP="009764DB">
      <w:pPr>
        <w:spacing w:after="0"/>
        <w:ind w:left="1701" w:right="1582"/>
        <w:jc w:val="both"/>
      </w:pPr>
      <w:r w:rsidRPr="38DDADE4">
        <w:rPr>
          <w:rFonts w:eastAsia="Arial" w:cs="Arial"/>
          <w:b/>
          <w:bCs/>
          <w:color w:val="FF0000"/>
          <w:szCs w:val="20"/>
        </w:rPr>
        <w:t>Nota:</w:t>
      </w:r>
      <w:r w:rsidRPr="38DDADE4">
        <w:rPr>
          <w:rFonts w:eastAsia="Arial" w:cs="Arial"/>
          <w:color w:val="FF0000"/>
          <w:szCs w:val="20"/>
        </w:rPr>
        <w:t xml:space="preserve"> la siguiente norma se trascribe completa, pero de ella la Agencia Nacional de Contratación Pública –Colombia Compra Eficiente– solo ha emitido conceptos que interpretan las siguientes disposiciones relacionadas con la contratación estatal: </w:t>
      </w:r>
      <w:r>
        <w:rPr>
          <w:rFonts w:eastAsia="Arial" w:cs="Arial"/>
          <w:color w:val="FF0000"/>
          <w:szCs w:val="20"/>
        </w:rPr>
        <w:t>90, 91, 92, 93, 94 y 95</w:t>
      </w:r>
      <w:r w:rsidRPr="38DDADE4">
        <w:rPr>
          <w:rFonts w:eastAsia="Arial" w:cs="Arial"/>
          <w:color w:val="FF0000"/>
          <w:szCs w:val="20"/>
        </w:rPr>
        <w:t>.</w:t>
      </w:r>
    </w:p>
    <w:p w14:paraId="0F21FA18" w14:textId="77777777" w:rsidR="009764DB" w:rsidRDefault="009764DB" w:rsidP="009764DB">
      <w:pPr>
        <w:spacing w:after="0"/>
        <w:ind w:left="1701" w:right="1582"/>
        <w:jc w:val="both"/>
      </w:pPr>
      <w:r w:rsidRPr="38DDADE4">
        <w:rPr>
          <w:rFonts w:eastAsia="Arial" w:cs="Arial"/>
          <w:color w:val="FF0000"/>
          <w:szCs w:val="20"/>
        </w:rPr>
        <w:t xml:space="preserve"> </w:t>
      </w:r>
    </w:p>
    <w:p w14:paraId="258435A6" w14:textId="77777777" w:rsidR="009764DB" w:rsidRDefault="009764DB" w:rsidP="009764DB">
      <w:pPr>
        <w:spacing w:after="0"/>
        <w:ind w:left="1701" w:right="1582"/>
        <w:jc w:val="both"/>
      </w:pPr>
      <w:r w:rsidRPr="38DDADE4">
        <w:rPr>
          <w:rFonts w:eastAsia="Arial" w:cs="Arial"/>
          <w:color w:val="FF0000"/>
          <w:szCs w:val="20"/>
        </w:rPr>
        <w:t>Los conceptos se relacionan al pie de cada disposición, y abren dando “clic” en el hipervínculo.</w:t>
      </w:r>
    </w:p>
    <w:p w14:paraId="1FF602F2" w14:textId="77777777" w:rsidR="00BF2084" w:rsidRDefault="00BF2084" w:rsidP="00BF2084">
      <w:pPr>
        <w:pStyle w:val="NormalWeb"/>
        <w:spacing w:before="0" w:beforeAutospacing="0" w:after="0" w:afterAutospacing="0" w:line="390" w:lineRule="atLeast"/>
        <w:jc w:val="center"/>
        <w:rPr>
          <w:rFonts w:ascii="Arial" w:hAnsi="Arial" w:cs="Arial"/>
          <w:b/>
          <w:bCs/>
          <w:color w:val="000000"/>
          <w:sz w:val="30"/>
          <w:szCs w:val="30"/>
        </w:rPr>
      </w:pPr>
    </w:p>
    <w:p w14:paraId="7831B2D1" w14:textId="4B192D91" w:rsidR="00BF2084" w:rsidRDefault="00BF2084" w:rsidP="00BF2084">
      <w:pPr>
        <w:pStyle w:val="NormalWeb"/>
        <w:spacing w:before="0" w:beforeAutospacing="0" w:after="0" w:afterAutospacing="0" w:line="390" w:lineRule="atLeast"/>
        <w:jc w:val="center"/>
        <w:rPr>
          <w:rFonts w:ascii="Arial" w:hAnsi="Arial" w:cs="Arial"/>
          <w:b/>
          <w:bCs/>
          <w:color w:val="000000"/>
          <w:sz w:val="30"/>
          <w:szCs w:val="30"/>
        </w:rPr>
      </w:pPr>
      <w:r>
        <w:rPr>
          <w:rFonts w:ascii="Arial" w:hAnsi="Arial" w:cs="Arial"/>
          <w:b/>
          <w:bCs/>
          <w:color w:val="000000"/>
          <w:sz w:val="30"/>
          <w:szCs w:val="30"/>
        </w:rPr>
        <w:t>LEY 418 DE 1997</w:t>
      </w:r>
    </w:p>
    <w:p w14:paraId="1CAEB972" w14:textId="77777777" w:rsidR="00BF2084" w:rsidRDefault="00BF2084" w:rsidP="00BF2084">
      <w:pPr>
        <w:pStyle w:val="NormalWeb"/>
        <w:spacing w:before="0" w:beforeAutospacing="0" w:after="0" w:afterAutospacing="0" w:line="254" w:lineRule="atLeast"/>
        <w:jc w:val="center"/>
        <w:rPr>
          <w:rFonts w:ascii="Arial" w:hAnsi="Arial" w:cs="Arial"/>
          <w:b/>
          <w:bCs/>
          <w:color w:val="000000"/>
          <w:sz w:val="20"/>
          <w:szCs w:val="20"/>
        </w:rPr>
      </w:pPr>
    </w:p>
    <w:p w14:paraId="6B0B7837" w14:textId="0E242BBD" w:rsidR="00BF2084" w:rsidRDefault="00BF2084" w:rsidP="00BF2084">
      <w:pPr>
        <w:pStyle w:val="NormalWeb"/>
        <w:spacing w:before="0" w:beforeAutospacing="0" w:after="0" w:afterAutospacing="0" w:line="254" w:lineRule="atLeast"/>
        <w:jc w:val="center"/>
        <w:rPr>
          <w:rFonts w:ascii="Arial" w:hAnsi="Arial" w:cs="Arial"/>
          <w:color w:val="000000"/>
          <w:sz w:val="20"/>
          <w:szCs w:val="20"/>
        </w:rPr>
      </w:pPr>
      <w:r>
        <w:rPr>
          <w:rFonts w:ascii="Arial" w:hAnsi="Arial" w:cs="Arial"/>
          <w:b/>
          <w:bCs/>
          <w:color w:val="000000"/>
          <w:sz w:val="20"/>
          <w:szCs w:val="20"/>
        </w:rPr>
        <w:t>Por la cual se consagran unos instrumentos para la búsqueda de la convivencia, la eficacia de la justicia y se dictan otras disposiciones</w:t>
      </w:r>
    </w:p>
    <w:p w14:paraId="3C56C3A5" w14:textId="760CFE56" w:rsidR="00BE0D4A" w:rsidRDefault="00BE0D4A" w:rsidP="001C06D8">
      <w:pPr>
        <w:spacing w:after="0"/>
        <w:jc w:val="both"/>
        <w:rPr>
          <w:rFonts w:cs="Arial"/>
          <w:sz w:val="22"/>
        </w:rPr>
      </w:pPr>
    </w:p>
    <w:p w14:paraId="143BB43D" w14:textId="77777777" w:rsidR="00BF2084" w:rsidRDefault="00BF2084" w:rsidP="00BF2084">
      <w:pPr>
        <w:spacing w:after="0" w:line="240" w:lineRule="auto"/>
        <w:jc w:val="center"/>
        <w:rPr>
          <w:rFonts w:eastAsia="Arial" w:cs="Arial"/>
          <w:b/>
          <w:bCs/>
          <w:lang w:eastAsia="es-CO"/>
        </w:rPr>
      </w:pPr>
      <w:r w:rsidRPr="007E6BD6">
        <w:rPr>
          <w:rFonts w:eastAsia="Arial" w:cs="Arial"/>
          <w:b/>
          <w:bCs/>
          <w:lang w:eastAsia="es-CO"/>
        </w:rPr>
        <w:t>EL CONGRESO DE LA REPÚBLICA DE COLOMBIA,</w:t>
      </w:r>
    </w:p>
    <w:p w14:paraId="517E3258" w14:textId="77777777" w:rsidR="00BF2084" w:rsidRPr="005F5514" w:rsidRDefault="00BF2084" w:rsidP="00BF2084">
      <w:pPr>
        <w:spacing w:after="0" w:line="240" w:lineRule="auto"/>
        <w:jc w:val="both"/>
        <w:rPr>
          <w:rFonts w:eastAsia="Times New Roman" w:cs="Arial"/>
          <w:b/>
          <w:color w:val="000000"/>
          <w:lang w:eastAsia="es-CO"/>
        </w:rPr>
      </w:pPr>
      <w:r w:rsidRPr="005F5514">
        <w:rPr>
          <w:rFonts w:eastAsia="Times New Roman" w:cs="Arial"/>
          <w:b/>
          <w:color w:val="000000" w:themeColor="text1"/>
          <w:lang w:eastAsia="es-CO"/>
        </w:rPr>
        <w:t>  </w:t>
      </w:r>
    </w:p>
    <w:p w14:paraId="715E3DEC" w14:textId="77777777" w:rsidR="00BF2084" w:rsidRPr="005F5514" w:rsidRDefault="00BF2084" w:rsidP="00BF2084">
      <w:pPr>
        <w:spacing w:after="0" w:line="240" w:lineRule="auto"/>
        <w:jc w:val="center"/>
        <w:rPr>
          <w:rFonts w:eastAsia="Times New Roman" w:cs="Arial"/>
          <w:b/>
          <w:color w:val="000000"/>
          <w:lang w:eastAsia="es-CO"/>
        </w:rPr>
      </w:pPr>
      <w:r w:rsidRPr="005F5514">
        <w:rPr>
          <w:rFonts w:eastAsia="Times New Roman" w:cs="Arial"/>
          <w:b/>
          <w:color w:val="000000" w:themeColor="text1"/>
          <w:lang w:eastAsia="es-CO"/>
        </w:rPr>
        <w:t>DECRETA: </w:t>
      </w:r>
    </w:p>
    <w:p w14:paraId="477A6C69" w14:textId="2E8D5AFE" w:rsidR="00BF2084" w:rsidRDefault="00BF2084" w:rsidP="00BF2084">
      <w:pPr>
        <w:spacing w:after="0" w:line="240" w:lineRule="auto"/>
        <w:jc w:val="both"/>
        <w:rPr>
          <w:rFonts w:eastAsia="Times New Roman" w:cs="Arial"/>
          <w:bCs/>
          <w:color w:val="000000" w:themeColor="text1"/>
          <w:lang w:eastAsia="es-CO"/>
        </w:rPr>
      </w:pPr>
      <w:r w:rsidRPr="005F5514">
        <w:rPr>
          <w:rFonts w:eastAsia="Times New Roman" w:cs="Arial"/>
          <w:bCs/>
          <w:color w:val="000000" w:themeColor="text1"/>
          <w:lang w:eastAsia="es-CO"/>
        </w:rPr>
        <w:t>  </w:t>
      </w:r>
      <w:bookmarkStart w:id="0" w:name="ver_1594597"/>
      <w:bookmarkEnd w:id="0"/>
    </w:p>
    <w:p w14:paraId="7FE88E66" w14:textId="1E1DFF5A" w:rsidR="009764DB" w:rsidRDefault="009764DB" w:rsidP="00BF2084">
      <w:pPr>
        <w:spacing w:after="0" w:line="240" w:lineRule="auto"/>
        <w:jc w:val="both"/>
        <w:rPr>
          <w:rFonts w:eastAsia="Times New Roman" w:cs="Arial"/>
          <w:bCs/>
          <w:color w:val="000000" w:themeColor="text1"/>
          <w:lang w:eastAsia="es-CO"/>
        </w:rPr>
      </w:pPr>
      <w:r>
        <w:rPr>
          <w:rFonts w:eastAsia="Times New Roman" w:cs="Arial"/>
          <w:bCs/>
          <w:color w:val="000000" w:themeColor="text1"/>
          <w:lang w:eastAsia="es-CO"/>
        </w:rPr>
        <w:t>[…]</w:t>
      </w:r>
    </w:p>
    <w:p w14:paraId="7FD9EFB7" w14:textId="66CE3F62" w:rsidR="009764DB" w:rsidRDefault="009764DB" w:rsidP="00BF2084">
      <w:pPr>
        <w:spacing w:after="0" w:line="240" w:lineRule="auto"/>
        <w:jc w:val="both"/>
        <w:rPr>
          <w:rFonts w:eastAsia="Times New Roman" w:cs="Arial"/>
          <w:bCs/>
          <w:color w:val="000000" w:themeColor="text1"/>
          <w:lang w:eastAsia="es-CO"/>
        </w:rPr>
      </w:pPr>
    </w:p>
    <w:p w14:paraId="47B6C40A" w14:textId="77777777" w:rsidR="009764DB" w:rsidRPr="009764DB" w:rsidRDefault="009764DB" w:rsidP="009764DB">
      <w:pPr>
        <w:pStyle w:val="parrafo-division"/>
        <w:spacing w:before="0" w:beforeAutospacing="0" w:after="0" w:afterAutospacing="0" w:line="293" w:lineRule="atLeast"/>
        <w:jc w:val="center"/>
        <w:rPr>
          <w:rFonts w:ascii="Arial" w:hAnsi="Arial" w:cs="Arial"/>
          <w:b/>
          <w:bCs/>
          <w:color w:val="000000"/>
          <w:sz w:val="22"/>
          <w:szCs w:val="22"/>
        </w:rPr>
      </w:pPr>
      <w:r w:rsidRPr="009764DB">
        <w:rPr>
          <w:rFonts w:ascii="Arial" w:hAnsi="Arial" w:cs="Arial"/>
          <w:b/>
          <w:bCs/>
          <w:color w:val="000000"/>
          <w:sz w:val="22"/>
          <w:szCs w:val="22"/>
        </w:rPr>
        <w:t>CAPITULO II</w:t>
      </w:r>
    </w:p>
    <w:p w14:paraId="498BA047" w14:textId="77777777" w:rsidR="009764DB" w:rsidRPr="009764DB" w:rsidRDefault="009764DB" w:rsidP="009764DB">
      <w:pPr>
        <w:pStyle w:val="parrafo-division"/>
        <w:spacing w:before="0" w:beforeAutospacing="0" w:after="0" w:afterAutospacing="0" w:line="293" w:lineRule="atLeast"/>
        <w:jc w:val="center"/>
        <w:rPr>
          <w:rFonts w:ascii="Arial" w:hAnsi="Arial" w:cs="Arial"/>
          <w:b/>
          <w:bCs/>
          <w:color w:val="000000"/>
          <w:sz w:val="22"/>
          <w:szCs w:val="22"/>
        </w:rPr>
      </w:pPr>
      <w:r w:rsidRPr="009764DB">
        <w:rPr>
          <w:rFonts w:ascii="Arial" w:hAnsi="Arial" w:cs="Arial"/>
          <w:b/>
          <w:bCs/>
          <w:color w:val="000000"/>
          <w:sz w:val="22"/>
          <w:szCs w:val="22"/>
        </w:rPr>
        <w:t>Sanciones a contratistas</w:t>
      </w:r>
    </w:p>
    <w:p w14:paraId="0C90AC2C" w14:textId="77777777" w:rsidR="009764DB" w:rsidRPr="009764DB" w:rsidRDefault="009764DB" w:rsidP="009764DB">
      <w:pPr>
        <w:jc w:val="both"/>
        <w:rPr>
          <w:rFonts w:cs="Arial"/>
          <w:color w:val="000000"/>
          <w:sz w:val="22"/>
        </w:rPr>
      </w:pPr>
      <w:bookmarkStart w:id="1" w:name="ver_30162887"/>
      <w:bookmarkStart w:id="2" w:name="ver_1660005"/>
      <w:bookmarkEnd w:id="1"/>
    </w:p>
    <w:p w14:paraId="2529C870"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Style w:val="Textoennegrita"/>
          <w:rFonts w:ascii="Arial" w:hAnsi="Arial" w:cs="Arial"/>
          <w:color w:val="000000"/>
          <w:sz w:val="22"/>
          <w:szCs w:val="22"/>
        </w:rPr>
        <w:t>Artículo 90.</w:t>
      </w:r>
      <w:r w:rsidRPr="009764DB">
        <w:rPr>
          <w:rFonts w:ascii="Arial" w:hAnsi="Arial" w:cs="Arial"/>
          <w:color w:val="000000"/>
          <w:sz w:val="22"/>
          <w:szCs w:val="22"/>
        </w:rPr>
        <w:t> El Gobierno podrá declarar la caducidad o decretar la liquidación unilateral de todo contrato celebrado por una entidad pública, cuando el contratista incurra, con ocasión del contrato y en relación con los grupos armados organizados al margen de la ley, en cualquiera de las siguientes causales:  </w:t>
      </w:r>
    </w:p>
    <w:p w14:paraId="4EFB29DB"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1481A71B"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Ceder injustificadamente ante las amenazas proferidas por dichos grupos.  </w:t>
      </w:r>
    </w:p>
    <w:p w14:paraId="4CF4638A"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569B8FD4"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Recibir, suministrar, administrar, intervenir, financiar, transferir, guardar, transportar, almacenar o conservar dineros o bienes provenientes de o con destino a tales grupos o colaborar y prestar ayuda a los mismos.  </w:t>
      </w:r>
    </w:p>
    <w:p w14:paraId="28E9AB08"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275324C7"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Construir, ceder, arrendar, poner a disposición, facilitar o transferir a cualquier título, bienes para ser destinados a la ocultación de personas o al depósito o almacenamiento de pertenencias de dichos grupos.  </w:t>
      </w:r>
    </w:p>
    <w:p w14:paraId="3BB6BC16"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6C5A7101"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Paralizar, suspender o disminuir notoriamente el cumplimiento de sus obligaciones contractuales por atender instrucciones de dichos grupos.  </w:t>
      </w:r>
    </w:p>
    <w:p w14:paraId="64AE2B79"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08C6A165"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Incumplir el deber de denunciar hechos punibles, cuya comisión sea imputable a dichos grupos, conocidos con ocasión del contrato.  </w:t>
      </w:r>
    </w:p>
    <w:p w14:paraId="472A4A67"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3C75196D"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Style w:val="Textoennegrita"/>
          <w:rFonts w:ascii="Arial" w:hAnsi="Arial" w:cs="Arial"/>
          <w:color w:val="000000"/>
          <w:sz w:val="22"/>
          <w:szCs w:val="22"/>
        </w:rPr>
        <w:t>Parágrafo.</w:t>
      </w:r>
      <w:r w:rsidRPr="009764DB">
        <w:rPr>
          <w:rFonts w:ascii="Arial" w:hAnsi="Arial" w:cs="Arial"/>
          <w:color w:val="000000"/>
          <w:sz w:val="22"/>
          <w:szCs w:val="22"/>
        </w:rPr>
        <w:t> Para efecto de lo dispuesto en el presente artículo, constituye hecho del contratista la conducta de sus agentes o dependientes, de la cual haya tenido conocimiento.  </w:t>
      </w:r>
    </w:p>
    <w:p w14:paraId="735D336D" w14:textId="277190F6" w:rsidR="009764DB" w:rsidRDefault="009764DB" w:rsidP="009764DB">
      <w:pPr>
        <w:pStyle w:val="NormalWeb"/>
        <w:spacing w:before="0" w:beforeAutospacing="0" w:after="0" w:afterAutospacing="0" w:line="254" w:lineRule="atLeast"/>
        <w:jc w:val="both"/>
        <w:rPr>
          <w:rFonts w:ascii="Arial" w:hAnsi="Arial" w:cs="Arial"/>
          <w:color w:val="000000"/>
          <w:sz w:val="22"/>
          <w:szCs w:val="22"/>
        </w:rPr>
      </w:pPr>
    </w:p>
    <w:p w14:paraId="4AD2ED95" w14:textId="59B793B4" w:rsidR="009764DB" w:rsidRPr="009764DB" w:rsidRDefault="009764DB" w:rsidP="7D507040">
      <w:pPr>
        <w:pStyle w:val="NormalWeb"/>
        <w:spacing w:before="0" w:beforeAutospacing="0" w:after="0" w:afterAutospacing="0" w:line="254" w:lineRule="atLeast"/>
        <w:jc w:val="both"/>
        <w:rPr>
          <w:rFonts w:ascii="Arial" w:hAnsi="Arial" w:cs="Arial"/>
          <w:color w:val="000000"/>
          <w:sz w:val="22"/>
          <w:szCs w:val="22"/>
        </w:rPr>
      </w:pPr>
      <w:r w:rsidRPr="7D507040">
        <w:rPr>
          <w:rFonts w:ascii="Arial" w:hAnsi="Arial" w:cs="Arial"/>
          <w:color w:val="000000" w:themeColor="text1"/>
          <w:sz w:val="22"/>
          <w:szCs w:val="22"/>
        </w:rPr>
        <w:t xml:space="preserve">(Ver conceptos: </w:t>
      </w:r>
      <w:hyperlink r:id="rId8">
        <w:r w:rsidRPr="7D507040">
          <w:rPr>
            <w:rStyle w:val="Hipervnculo"/>
            <w:rFonts w:ascii="Arial" w:hAnsi="Arial" w:cs="Arial"/>
            <w:sz w:val="22"/>
            <w:szCs w:val="22"/>
          </w:rPr>
          <w:t>C-025 del 25/02/2020</w:t>
        </w:r>
      </w:hyperlink>
      <w:r w:rsidRPr="7D507040">
        <w:rPr>
          <w:rFonts w:ascii="Arial" w:hAnsi="Arial" w:cs="Arial"/>
          <w:color w:val="000000" w:themeColor="text1"/>
          <w:sz w:val="22"/>
          <w:szCs w:val="22"/>
        </w:rPr>
        <w:t>)</w:t>
      </w:r>
    </w:p>
    <w:p w14:paraId="301ED3A2"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p>
    <w:p w14:paraId="29A9AF44" w14:textId="77777777" w:rsidR="009764DB" w:rsidRPr="009764DB" w:rsidRDefault="009764DB" w:rsidP="009764DB">
      <w:pPr>
        <w:jc w:val="both"/>
        <w:rPr>
          <w:rFonts w:cs="Arial"/>
          <w:color w:val="000000"/>
          <w:sz w:val="22"/>
        </w:rPr>
      </w:pPr>
      <w:bookmarkStart w:id="3" w:name="ver_30162885"/>
      <w:bookmarkStart w:id="4" w:name="ver_1660006"/>
      <w:bookmarkEnd w:id="2"/>
      <w:bookmarkEnd w:id="3"/>
    </w:p>
    <w:p w14:paraId="6DB58D21"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Style w:val="Textoennegrita"/>
          <w:rFonts w:ascii="Arial" w:hAnsi="Arial" w:cs="Arial"/>
          <w:color w:val="000000"/>
          <w:sz w:val="22"/>
          <w:szCs w:val="22"/>
        </w:rPr>
        <w:t>Artículo 91.</w:t>
      </w:r>
      <w:r w:rsidRPr="009764DB">
        <w:rPr>
          <w:rFonts w:ascii="Arial" w:hAnsi="Arial" w:cs="Arial"/>
          <w:color w:val="000000"/>
          <w:sz w:val="22"/>
          <w:szCs w:val="22"/>
        </w:rPr>
        <w:t> La declaratoria de caducidad deberá proferirse mediante resolución motivada de la entidad contratante, haciendo efectivas la cláusula penal y las multas contractuales a que hubiere lugar. Dicha resolución prestará mérito ejecutivo contra el contratista y las personas que hayan constituido las respectivas garantías y se hará efectiva por jurisdicción coactiva.  </w:t>
      </w:r>
    </w:p>
    <w:p w14:paraId="68F42B7D"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7A354807"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La notificación de la providencia de caducidad se sujetará a lo dispuesto en el Código de Procedimiento Administrativo y de lo Contencioso Administrativo, Ley 1437 de 2011.  </w:t>
      </w:r>
    </w:p>
    <w:p w14:paraId="69192AC7"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058B066A"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En firme la providencia de caducidad, se procederá a liquidar el contrato sin que haya lugar al pago de indemnización alguna a favor del contratista.  </w:t>
      </w:r>
    </w:p>
    <w:p w14:paraId="4181B61F"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2834A425"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En ningún caso la aplicación de esta cláusula podrá ser sometida a conciliación o a decisión arbitral.  </w:t>
      </w:r>
    </w:p>
    <w:p w14:paraId="0689F3F7"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7560FA02"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Los contratistas a quienes les sea declarada la caducidad quedarán inhabilitados para celebrar por sí, o por interpuesta persona, contratos con las entidades públicas definidas en la Ley 80 de 1993.  </w:t>
      </w:r>
    </w:p>
    <w:p w14:paraId="301635B8" w14:textId="74FB5FA8" w:rsidR="009764DB" w:rsidRDefault="009764DB" w:rsidP="009764DB">
      <w:pPr>
        <w:jc w:val="both"/>
        <w:rPr>
          <w:rFonts w:cs="Arial"/>
          <w:color w:val="000000"/>
          <w:sz w:val="22"/>
        </w:rPr>
      </w:pPr>
      <w:bookmarkStart w:id="5" w:name="ver_1660007"/>
      <w:bookmarkEnd w:id="4"/>
      <w:bookmarkEnd w:id="5"/>
    </w:p>
    <w:p w14:paraId="6EAA8794"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Pr>
          <w:rFonts w:ascii="Arial" w:hAnsi="Arial" w:cs="Arial"/>
          <w:color w:val="000000"/>
          <w:sz w:val="22"/>
          <w:szCs w:val="22"/>
        </w:rPr>
        <w:t>(Ver conceptos: C-025 del 25/02/2020)</w:t>
      </w:r>
    </w:p>
    <w:p w14:paraId="6A919914" w14:textId="77777777" w:rsidR="009764DB" w:rsidRPr="009764DB" w:rsidRDefault="009764DB" w:rsidP="009764DB">
      <w:pPr>
        <w:jc w:val="both"/>
        <w:rPr>
          <w:rFonts w:cs="Arial"/>
          <w:color w:val="000000"/>
          <w:sz w:val="22"/>
        </w:rPr>
      </w:pPr>
    </w:p>
    <w:p w14:paraId="5F179182"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Artículo 92</w:t>
      </w:r>
      <w:r w:rsidRPr="009764DB">
        <w:rPr>
          <w:rFonts w:ascii="Arial" w:hAnsi="Arial" w:cs="Arial"/>
          <w:b/>
          <w:bCs/>
          <w:color w:val="000000"/>
          <w:sz w:val="22"/>
          <w:szCs w:val="22"/>
        </w:rPr>
        <w:t>.</w:t>
      </w:r>
      <w:r w:rsidRPr="009764DB">
        <w:rPr>
          <w:rFonts w:ascii="Arial" w:hAnsi="Arial" w:cs="Arial"/>
          <w:color w:val="000000"/>
          <w:sz w:val="22"/>
          <w:szCs w:val="22"/>
        </w:rPr>
        <w:t xml:space="preserve"> Cuando el Procurador General de la Nación o el Fiscal General de la Nación, en desarrollo de investigaciones adelantadas en el ejercicio de sus </w:t>
      </w:r>
      <w:proofErr w:type="spellStart"/>
      <w:r w:rsidRPr="009764DB">
        <w:rPr>
          <w:rFonts w:ascii="Arial" w:hAnsi="Arial" w:cs="Arial"/>
          <w:color w:val="000000"/>
          <w:sz w:val="22"/>
          <w:szCs w:val="22"/>
        </w:rPr>
        <w:t>funciones,establezcan</w:t>
      </w:r>
      <w:proofErr w:type="spellEnd"/>
      <w:r w:rsidRPr="009764DB">
        <w:rPr>
          <w:rFonts w:ascii="Arial" w:hAnsi="Arial" w:cs="Arial"/>
          <w:color w:val="000000"/>
          <w:sz w:val="22"/>
          <w:szCs w:val="22"/>
        </w:rPr>
        <w:t xml:space="preserve"> la existencia de las conductas a que se refiere el artículo 90 de esta ley, solicitará a la autoridad competente que declare la caducidad del contrato, con base en las circunstancias que señalen dichos funcionarios en su solicitud. </w:t>
      </w:r>
    </w:p>
    <w:p w14:paraId="263614E0"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1F202783" w14:textId="77777777" w:rsidR="009764DB" w:rsidRPr="009764DB" w:rsidRDefault="009764DB" w:rsidP="7D507040">
      <w:pPr>
        <w:pStyle w:val="NormalWeb"/>
        <w:spacing w:before="0" w:beforeAutospacing="0" w:after="0" w:afterAutospacing="0" w:line="254" w:lineRule="atLeast"/>
        <w:jc w:val="both"/>
        <w:rPr>
          <w:rFonts w:ascii="Arial" w:hAnsi="Arial" w:cs="Arial"/>
          <w:color w:val="000000"/>
          <w:sz w:val="22"/>
          <w:szCs w:val="22"/>
        </w:rPr>
      </w:pPr>
      <w:bookmarkStart w:id="6" w:name="ver_1660008"/>
      <w:bookmarkEnd w:id="6"/>
      <w:r w:rsidRPr="7D507040">
        <w:rPr>
          <w:rFonts w:ascii="Arial" w:hAnsi="Arial" w:cs="Arial"/>
          <w:color w:val="000000" w:themeColor="text1"/>
          <w:sz w:val="22"/>
          <w:szCs w:val="22"/>
        </w:rPr>
        <w:t xml:space="preserve">(Ver conceptos: </w:t>
      </w:r>
      <w:hyperlink r:id="rId9">
        <w:r w:rsidRPr="7D507040">
          <w:rPr>
            <w:rStyle w:val="Hipervnculo"/>
            <w:rFonts w:ascii="Arial" w:hAnsi="Arial" w:cs="Arial"/>
            <w:sz w:val="22"/>
            <w:szCs w:val="22"/>
          </w:rPr>
          <w:t>C-025 del 25/02/2020</w:t>
        </w:r>
      </w:hyperlink>
      <w:r w:rsidRPr="7D507040">
        <w:rPr>
          <w:rFonts w:ascii="Arial" w:hAnsi="Arial" w:cs="Arial"/>
          <w:color w:val="000000" w:themeColor="text1"/>
          <w:sz w:val="22"/>
          <w:szCs w:val="22"/>
        </w:rPr>
        <w:t>)</w:t>
      </w:r>
    </w:p>
    <w:p w14:paraId="02AE30D5" w14:textId="77777777" w:rsidR="009764DB" w:rsidRPr="009764DB" w:rsidRDefault="009764DB" w:rsidP="009764DB">
      <w:pPr>
        <w:jc w:val="both"/>
        <w:rPr>
          <w:rFonts w:cs="Arial"/>
          <w:color w:val="000000"/>
          <w:sz w:val="22"/>
        </w:rPr>
      </w:pPr>
    </w:p>
    <w:p w14:paraId="6F93FF31"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Artículo 93</w:t>
      </w:r>
      <w:r w:rsidRPr="009764DB">
        <w:rPr>
          <w:rFonts w:ascii="Arial" w:hAnsi="Arial" w:cs="Arial"/>
          <w:b/>
          <w:bCs/>
          <w:color w:val="000000"/>
          <w:sz w:val="22"/>
          <w:szCs w:val="22"/>
        </w:rPr>
        <w:t>.</w:t>
      </w:r>
      <w:r w:rsidRPr="009764DB">
        <w:rPr>
          <w:rFonts w:ascii="Arial" w:hAnsi="Arial" w:cs="Arial"/>
          <w:color w:val="000000"/>
          <w:sz w:val="22"/>
          <w:szCs w:val="22"/>
        </w:rPr>
        <w:t> El Contratista procederá a terminar unilateralmente los subcontratos que celebre en desarrollo de los contratos a que hace referencia el artículo 90 de la presente ley, cuando establezca que el subcontratista incurrió en alguna de las conductas previstas en el mismo artículo. Igualmente deberá terminarlos cuando se lo solicite la entidad pública contratante, el Fiscal General de la Nación o el Procurador General de la Nación, en razón de que dichos funcionarios establezcan la ocurrencia de los hechos a que se ha hecho referencia. </w:t>
      </w:r>
    </w:p>
    <w:p w14:paraId="1BB1F444"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14F489AE"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Cuando, sin justa causa, el contratista no dé por terminado unilateralmente el subcontrato, o cuando no atienda la solicitud que en tal sentido le formule la entidad pública contratante, el Procurador o el Fiscal, la entidad competente procederá a aplicar las multas previstas en el contrato, y, si es del caso, a declarar su caducidad. </w:t>
      </w:r>
    </w:p>
    <w:p w14:paraId="04529BCD"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702FB4CD" w14:textId="71E2F84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Parágrafo. La terminación unilateral a que hace referencia el presente artículo no requerirá decisión judicial ni dará lugar al pago de indemnización de perjuicios. </w:t>
      </w:r>
    </w:p>
    <w:p w14:paraId="7138188D" w14:textId="2F98920D" w:rsid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0ECFECFC" w14:textId="77777777" w:rsidR="009764DB" w:rsidRPr="009764DB" w:rsidRDefault="009764DB" w:rsidP="7D507040">
      <w:pPr>
        <w:pStyle w:val="NormalWeb"/>
        <w:spacing w:before="0" w:beforeAutospacing="0" w:after="0" w:afterAutospacing="0" w:line="254" w:lineRule="atLeast"/>
        <w:jc w:val="both"/>
        <w:rPr>
          <w:rFonts w:ascii="Arial" w:hAnsi="Arial" w:cs="Arial"/>
          <w:color w:val="000000"/>
          <w:sz w:val="22"/>
          <w:szCs w:val="22"/>
        </w:rPr>
      </w:pPr>
      <w:r w:rsidRPr="7D507040">
        <w:rPr>
          <w:rFonts w:ascii="Arial" w:hAnsi="Arial" w:cs="Arial"/>
          <w:color w:val="000000" w:themeColor="text1"/>
          <w:sz w:val="22"/>
          <w:szCs w:val="22"/>
        </w:rPr>
        <w:t xml:space="preserve">(Ver conceptos: </w:t>
      </w:r>
      <w:hyperlink r:id="rId10">
        <w:r w:rsidRPr="7D507040">
          <w:rPr>
            <w:rStyle w:val="Hipervnculo"/>
            <w:rFonts w:ascii="Arial" w:hAnsi="Arial" w:cs="Arial"/>
            <w:sz w:val="22"/>
            <w:szCs w:val="22"/>
          </w:rPr>
          <w:t>C-025 del 25/02/2020</w:t>
        </w:r>
      </w:hyperlink>
      <w:r w:rsidRPr="7D507040">
        <w:rPr>
          <w:rFonts w:ascii="Arial" w:hAnsi="Arial" w:cs="Arial"/>
          <w:color w:val="000000" w:themeColor="text1"/>
          <w:sz w:val="22"/>
          <w:szCs w:val="22"/>
        </w:rPr>
        <w:t>)</w:t>
      </w:r>
    </w:p>
    <w:p w14:paraId="0B27BED0"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p>
    <w:p w14:paraId="48857788"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bookmarkStart w:id="7" w:name="ver_1660009"/>
      <w:bookmarkEnd w:id="7"/>
      <w:r w:rsidRPr="009764DB">
        <w:rPr>
          <w:rFonts w:ascii="Arial" w:hAnsi="Arial" w:cs="Arial"/>
          <w:color w:val="000000"/>
          <w:sz w:val="22"/>
          <w:szCs w:val="22"/>
        </w:rPr>
        <w:t>Artículo 94</w:t>
      </w:r>
      <w:r w:rsidRPr="009764DB">
        <w:rPr>
          <w:rFonts w:ascii="Arial" w:hAnsi="Arial" w:cs="Arial"/>
          <w:b/>
          <w:bCs/>
          <w:color w:val="000000"/>
          <w:sz w:val="22"/>
          <w:szCs w:val="22"/>
        </w:rPr>
        <w:t>.</w:t>
      </w:r>
      <w:r w:rsidRPr="009764DB">
        <w:rPr>
          <w:rFonts w:ascii="Arial" w:hAnsi="Arial" w:cs="Arial"/>
          <w:color w:val="000000"/>
          <w:sz w:val="22"/>
          <w:szCs w:val="22"/>
        </w:rPr>
        <w:t xml:space="preserve"> Las cláusulas de caducidad y de terminación unilateral a que se refiere el presente capítulo, se entienden incorporadas, respectivamente, en todos los contratos </w:t>
      </w:r>
      <w:proofErr w:type="spellStart"/>
      <w:r w:rsidRPr="009764DB">
        <w:rPr>
          <w:rFonts w:ascii="Arial" w:hAnsi="Arial" w:cs="Arial"/>
          <w:color w:val="000000"/>
          <w:sz w:val="22"/>
          <w:szCs w:val="22"/>
        </w:rPr>
        <w:t>ysubcontratos</w:t>
      </w:r>
      <w:proofErr w:type="spellEnd"/>
      <w:r w:rsidRPr="009764DB">
        <w:rPr>
          <w:rFonts w:ascii="Arial" w:hAnsi="Arial" w:cs="Arial"/>
          <w:color w:val="000000"/>
          <w:sz w:val="22"/>
          <w:szCs w:val="22"/>
        </w:rPr>
        <w:t xml:space="preserve"> que se encuentren en ejecución a la fecha de promulgación de la presente ley, así como en aquellos que se celebren a partir de la misma. </w:t>
      </w:r>
    </w:p>
    <w:p w14:paraId="30C59C23" w14:textId="77777777" w:rsid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712A0B58" w14:textId="77777777" w:rsidR="009764DB" w:rsidRPr="009764DB" w:rsidRDefault="009764DB" w:rsidP="7D507040">
      <w:pPr>
        <w:pStyle w:val="NormalWeb"/>
        <w:spacing w:before="0" w:beforeAutospacing="0" w:after="0" w:afterAutospacing="0" w:line="254" w:lineRule="atLeast"/>
        <w:jc w:val="both"/>
        <w:rPr>
          <w:rFonts w:ascii="Arial" w:hAnsi="Arial" w:cs="Arial"/>
          <w:color w:val="000000"/>
          <w:sz w:val="22"/>
          <w:szCs w:val="22"/>
        </w:rPr>
      </w:pPr>
      <w:r w:rsidRPr="7D507040">
        <w:rPr>
          <w:rFonts w:ascii="Arial" w:hAnsi="Arial" w:cs="Arial"/>
          <w:color w:val="000000" w:themeColor="text1"/>
          <w:sz w:val="22"/>
          <w:szCs w:val="22"/>
        </w:rPr>
        <w:t xml:space="preserve">(Ver conceptos: </w:t>
      </w:r>
      <w:hyperlink r:id="rId11">
        <w:r w:rsidRPr="7D507040">
          <w:rPr>
            <w:rStyle w:val="Hipervnculo"/>
            <w:rFonts w:ascii="Arial" w:hAnsi="Arial" w:cs="Arial"/>
            <w:sz w:val="22"/>
            <w:szCs w:val="22"/>
          </w:rPr>
          <w:t>C-025 del 25/02/2020</w:t>
        </w:r>
      </w:hyperlink>
      <w:r w:rsidRPr="7D507040">
        <w:rPr>
          <w:rFonts w:ascii="Arial" w:hAnsi="Arial" w:cs="Arial"/>
          <w:color w:val="000000" w:themeColor="text1"/>
          <w:sz w:val="22"/>
          <w:szCs w:val="22"/>
        </w:rPr>
        <w:t>)</w:t>
      </w:r>
    </w:p>
    <w:p w14:paraId="281776B4" w14:textId="2803BA4A"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bookmarkStart w:id="8" w:name="ver_1660010"/>
      <w:bookmarkEnd w:id="8"/>
    </w:p>
    <w:p w14:paraId="2731A34B"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Artículo 95</w:t>
      </w:r>
      <w:r w:rsidRPr="009764DB">
        <w:rPr>
          <w:rFonts w:ascii="Arial" w:hAnsi="Arial" w:cs="Arial"/>
          <w:b/>
          <w:bCs/>
          <w:color w:val="000000"/>
          <w:sz w:val="22"/>
          <w:szCs w:val="22"/>
        </w:rPr>
        <w:t>.</w:t>
      </w:r>
      <w:r w:rsidRPr="009764DB">
        <w:rPr>
          <w:rFonts w:ascii="Arial" w:hAnsi="Arial" w:cs="Arial"/>
          <w:color w:val="000000"/>
          <w:sz w:val="22"/>
          <w:szCs w:val="22"/>
        </w:rPr>
        <w:t> El servidor público, que sin justa causa, no declare la caducidad, no ordene la terminación unilateral de los subcontratos, o no informe de los hechos irregulares a las autoridades competentes, incurrirá en causal de mala conducta, cuando conforme a esta ley deba hacerlo. </w:t>
      </w:r>
    </w:p>
    <w:p w14:paraId="36524E29"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  </w:t>
      </w:r>
    </w:p>
    <w:p w14:paraId="0E8D538A" w14:textId="77777777" w:rsidR="009764DB" w:rsidRPr="009764DB" w:rsidRDefault="009764DB" w:rsidP="009764DB">
      <w:pPr>
        <w:pStyle w:val="NormalWeb"/>
        <w:spacing w:before="0" w:beforeAutospacing="0" w:after="0" w:afterAutospacing="0" w:line="254" w:lineRule="atLeast"/>
        <w:jc w:val="both"/>
        <w:rPr>
          <w:rFonts w:ascii="Arial" w:hAnsi="Arial" w:cs="Arial"/>
          <w:color w:val="000000"/>
          <w:sz w:val="22"/>
          <w:szCs w:val="22"/>
        </w:rPr>
      </w:pPr>
      <w:r w:rsidRPr="009764DB">
        <w:rPr>
          <w:rFonts w:ascii="Arial" w:hAnsi="Arial" w:cs="Arial"/>
          <w:color w:val="000000"/>
          <w:sz w:val="22"/>
          <w:szCs w:val="22"/>
        </w:rPr>
        <w:t>La sanción respectiva se aplicará conforme al procedimiento previsto en las normas legales, y en el caso de gobernadores y alcaldes, con sujeción a los procedimientos previstos en el Título IV de la segunda parte de esta ley</w:t>
      </w:r>
    </w:p>
    <w:p w14:paraId="11626ED7" w14:textId="75021697" w:rsidR="009764DB" w:rsidRDefault="009764DB" w:rsidP="009764DB">
      <w:pPr>
        <w:spacing w:after="0" w:line="240" w:lineRule="auto"/>
        <w:jc w:val="both"/>
        <w:rPr>
          <w:rFonts w:eastAsia="Times New Roman" w:cs="Arial"/>
          <w:bCs/>
          <w:color w:val="000000"/>
          <w:sz w:val="22"/>
          <w:lang w:eastAsia="es-CO"/>
        </w:rPr>
      </w:pPr>
    </w:p>
    <w:p w14:paraId="14FE463B" w14:textId="77777777" w:rsidR="009764DB" w:rsidRPr="009764DB" w:rsidRDefault="009764DB" w:rsidP="7D507040">
      <w:pPr>
        <w:pStyle w:val="NormalWeb"/>
        <w:spacing w:before="0" w:beforeAutospacing="0" w:after="0" w:afterAutospacing="0" w:line="254" w:lineRule="atLeast"/>
        <w:jc w:val="both"/>
        <w:rPr>
          <w:rFonts w:ascii="Arial" w:hAnsi="Arial" w:cs="Arial"/>
          <w:color w:val="000000"/>
          <w:sz w:val="22"/>
          <w:szCs w:val="22"/>
        </w:rPr>
      </w:pPr>
      <w:r w:rsidRPr="7D507040">
        <w:rPr>
          <w:rFonts w:ascii="Arial" w:hAnsi="Arial" w:cs="Arial"/>
          <w:color w:val="000000" w:themeColor="text1"/>
          <w:sz w:val="22"/>
          <w:szCs w:val="22"/>
        </w:rPr>
        <w:t xml:space="preserve">(Ver conceptos: </w:t>
      </w:r>
      <w:hyperlink r:id="rId12">
        <w:r w:rsidRPr="7D507040">
          <w:rPr>
            <w:rStyle w:val="Hipervnculo"/>
            <w:rFonts w:ascii="Arial" w:hAnsi="Arial" w:cs="Arial"/>
            <w:sz w:val="22"/>
            <w:szCs w:val="22"/>
          </w:rPr>
          <w:t>C-025 del 25/02/2020</w:t>
        </w:r>
      </w:hyperlink>
      <w:r w:rsidRPr="7D507040">
        <w:rPr>
          <w:rFonts w:ascii="Arial" w:hAnsi="Arial" w:cs="Arial"/>
          <w:color w:val="000000" w:themeColor="text1"/>
          <w:sz w:val="22"/>
          <w:szCs w:val="22"/>
        </w:rPr>
        <w:t>)</w:t>
      </w:r>
    </w:p>
    <w:p w14:paraId="6C29A726" w14:textId="77777777" w:rsidR="009764DB" w:rsidRPr="009764DB" w:rsidRDefault="009764DB" w:rsidP="009764DB">
      <w:pPr>
        <w:spacing w:after="0" w:line="240" w:lineRule="auto"/>
        <w:jc w:val="both"/>
        <w:rPr>
          <w:rFonts w:eastAsia="Times New Roman" w:cs="Arial"/>
          <w:bCs/>
          <w:color w:val="000000"/>
          <w:sz w:val="22"/>
          <w:lang w:eastAsia="es-CO"/>
        </w:rPr>
      </w:pPr>
    </w:p>
    <w:p w14:paraId="6B8624B9" w14:textId="77777777" w:rsidR="00BF2084" w:rsidRPr="009764DB" w:rsidRDefault="00BF2084" w:rsidP="009764DB">
      <w:pPr>
        <w:spacing w:after="0"/>
        <w:jc w:val="both"/>
        <w:rPr>
          <w:rFonts w:cs="Arial"/>
          <w:sz w:val="22"/>
        </w:rPr>
      </w:pPr>
    </w:p>
    <w:p w14:paraId="78196C72" w14:textId="02624794" w:rsidR="00BE0D4A" w:rsidRPr="009D7294" w:rsidRDefault="00BE0D4A" w:rsidP="001C06D8">
      <w:pPr>
        <w:spacing w:after="0"/>
        <w:jc w:val="both"/>
        <w:rPr>
          <w:rFonts w:cs="Arial"/>
          <w:sz w:val="22"/>
        </w:rPr>
      </w:pPr>
    </w:p>
    <w:p w14:paraId="0F60BD7A" w14:textId="0D51BA75" w:rsidR="00BE0D4A" w:rsidRPr="009D7294" w:rsidRDefault="00BE0D4A" w:rsidP="001C06D8">
      <w:pPr>
        <w:spacing w:after="0"/>
        <w:jc w:val="both"/>
        <w:rPr>
          <w:rFonts w:cs="Arial"/>
          <w:sz w:val="22"/>
        </w:rPr>
      </w:pPr>
    </w:p>
    <w:p w14:paraId="136AC969" w14:textId="02BD8FC0" w:rsidR="00BE0D4A" w:rsidRDefault="00BE0D4A" w:rsidP="001C06D8">
      <w:pPr>
        <w:spacing w:after="0"/>
        <w:jc w:val="both"/>
        <w:rPr>
          <w:rFonts w:cs="Arial"/>
          <w:szCs w:val="20"/>
        </w:rPr>
      </w:pPr>
    </w:p>
    <w:p w14:paraId="3D405A9E" w14:textId="77777777" w:rsidR="00BE0D4A" w:rsidRDefault="00BE0D4A" w:rsidP="001C06D8">
      <w:pPr>
        <w:spacing w:after="0"/>
        <w:jc w:val="both"/>
        <w:rPr>
          <w:rFonts w:cs="Arial"/>
          <w:szCs w:val="20"/>
        </w:rPr>
      </w:pPr>
    </w:p>
    <w:p w14:paraId="13110E52" w14:textId="105F26E6" w:rsidR="00BE0D4A" w:rsidRDefault="00BE0D4A" w:rsidP="001C06D8">
      <w:pPr>
        <w:spacing w:after="0"/>
        <w:jc w:val="both"/>
        <w:rPr>
          <w:rFonts w:cs="Arial"/>
          <w:szCs w:val="20"/>
        </w:rPr>
      </w:pPr>
    </w:p>
    <w:p w14:paraId="2D64077E" w14:textId="7180409E" w:rsidR="00BE0D4A" w:rsidRDefault="00BE0D4A" w:rsidP="001C06D8">
      <w:pPr>
        <w:spacing w:after="0"/>
        <w:jc w:val="both"/>
        <w:rPr>
          <w:rFonts w:cs="Arial"/>
          <w:szCs w:val="20"/>
        </w:rPr>
      </w:pPr>
    </w:p>
    <w:p w14:paraId="603BD10D" w14:textId="77777777" w:rsidR="00BE0D4A" w:rsidRDefault="00BE0D4A" w:rsidP="001C06D8">
      <w:pPr>
        <w:spacing w:after="0"/>
        <w:jc w:val="both"/>
        <w:rPr>
          <w:rFonts w:cs="Arial"/>
          <w:szCs w:val="20"/>
        </w:rPr>
      </w:pPr>
    </w:p>
    <w:p w14:paraId="3C6ACB4D" w14:textId="6806134D" w:rsidR="001C06D8" w:rsidRDefault="001C06D8" w:rsidP="001C06D8">
      <w:pPr>
        <w:spacing w:after="0"/>
        <w:jc w:val="both"/>
        <w:rPr>
          <w:rFonts w:cs="Arial"/>
          <w:szCs w:val="20"/>
        </w:rPr>
      </w:pPr>
    </w:p>
    <w:p w14:paraId="4C1F5201" w14:textId="6899D2D1" w:rsidR="001C06D8" w:rsidRDefault="001C06D8" w:rsidP="001C06D8">
      <w:pPr>
        <w:spacing w:after="0"/>
        <w:jc w:val="both"/>
        <w:rPr>
          <w:rFonts w:cs="Arial"/>
          <w:szCs w:val="20"/>
        </w:rPr>
      </w:pPr>
    </w:p>
    <w:p w14:paraId="70398FB0" w14:textId="6B4A4520" w:rsidR="001C06D8" w:rsidRDefault="001C06D8" w:rsidP="001C06D8">
      <w:pPr>
        <w:spacing w:after="0"/>
        <w:jc w:val="both"/>
        <w:rPr>
          <w:rFonts w:cs="Arial"/>
          <w:szCs w:val="20"/>
        </w:rPr>
      </w:pPr>
    </w:p>
    <w:p w14:paraId="3AF5580C" w14:textId="77777777" w:rsidR="000B0BF2" w:rsidRDefault="000B0BF2"/>
    <w:sectPr w:rsidR="000B0B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064F8"/>
    <w:multiLevelType w:val="hybridMultilevel"/>
    <w:tmpl w:val="B3CC4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4B112D"/>
    <w:multiLevelType w:val="hybridMultilevel"/>
    <w:tmpl w:val="5BECD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DDF4CAB"/>
    <w:multiLevelType w:val="hybridMultilevel"/>
    <w:tmpl w:val="ED72ABD8"/>
    <w:lvl w:ilvl="0" w:tplc="E7FAE9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F2748F"/>
    <w:multiLevelType w:val="hybridMultilevel"/>
    <w:tmpl w:val="ED72ABD8"/>
    <w:lvl w:ilvl="0" w:tplc="E7FAE96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E5113ED"/>
    <w:multiLevelType w:val="hybridMultilevel"/>
    <w:tmpl w:val="313E6028"/>
    <w:lvl w:ilvl="0" w:tplc="EED0677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1A71C93"/>
    <w:multiLevelType w:val="hybridMultilevel"/>
    <w:tmpl w:val="D2E2E56C"/>
    <w:lvl w:ilvl="0" w:tplc="EED0677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236E0B"/>
    <w:multiLevelType w:val="hybridMultilevel"/>
    <w:tmpl w:val="9CDE8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28E11C6"/>
    <w:multiLevelType w:val="hybridMultilevel"/>
    <w:tmpl w:val="F4D4E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9"/>
  </w:num>
  <w:num w:numId="6">
    <w:abstractNumId w:val="8"/>
  </w:num>
  <w:num w:numId="7">
    <w:abstractNumId w:val="0"/>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F2"/>
    <w:rsid w:val="00051326"/>
    <w:rsid w:val="000B0BF2"/>
    <w:rsid w:val="001C06D8"/>
    <w:rsid w:val="00204109"/>
    <w:rsid w:val="0052365C"/>
    <w:rsid w:val="00847D26"/>
    <w:rsid w:val="008D11D8"/>
    <w:rsid w:val="008D7804"/>
    <w:rsid w:val="00942733"/>
    <w:rsid w:val="009764DB"/>
    <w:rsid w:val="009D7294"/>
    <w:rsid w:val="00A65FCF"/>
    <w:rsid w:val="00B13C99"/>
    <w:rsid w:val="00BD48A9"/>
    <w:rsid w:val="00BE0D4A"/>
    <w:rsid w:val="00BF2084"/>
    <w:rsid w:val="00D71B42"/>
    <w:rsid w:val="00E35858"/>
    <w:rsid w:val="513E8803"/>
    <w:rsid w:val="7D5070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5705"/>
  <w15:chartTrackingRefBased/>
  <w15:docId w15:val="{41F0F0DB-AF79-4E52-8391-34447835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BF2"/>
    <w:rPr>
      <w:rFonts w:ascii="Arial" w:hAnsi="Arial"/>
      <w:color w:val="3B3838" w:themeColor="background2" w:themeShade="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B0BF2"/>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0B0BF2"/>
    <w:rPr>
      <w:rFonts w:ascii="Calibri" w:eastAsia="Calibri" w:hAnsi="Calibri" w:cs="Times New Roman"/>
    </w:rPr>
  </w:style>
  <w:style w:type="character" w:styleId="Hipervnculo">
    <w:name w:val="Hyperlink"/>
    <w:uiPriority w:val="99"/>
    <w:unhideWhenUsed/>
    <w:rsid w:val="000B0BF2"/>
    <w:rPr>
      <w:color w:val="0000FF"/>
      <w:u w:val="single"/>
    </w:rPr>
  </w:style>
  <w:style w:type="paragraph" w:styleId="NormalWeb">
    <w:name w:val="Normal (Web)"/>
    <w:basedOn w:val="Normal"/>
    <w:uiPriority w:val="99"/>
    <w:unhideWhenUsed/>
    <w:rsid w:val="00BF2084"/>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paragraph" w:customStyle="1" w:styleId="parrafo-division">
    <w:name w:val="parrafo-division"/>
    <w:basedOn w:val="Normal"/>
    <w:rsid w:val="009764DB"/>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character" w:styleId="Textoennegrita">
    <w:name w:val="Strong"/>
    <w:basedOn w:val="Fuentedeprrafopredeter"/>
    <w:uiPriority w:val="22"/>
    <w:qFormat/>
    <w:rsid w:val="009764DB"/>
    <w:rPr>
      <w:b/>
      <w:bCs/>
    </w:rPr>
  </w:style>
  <w:style w:type="character" w:customStyle="1" w:styleId="toctoggle">
    <w:name w:val="toctoggle"/>
    <w:basedOn w:val="Fuentedeprrafopredeter"/>
    <w:rsid w:val="00976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82376">
      <w:bodyDiv w:val="1"/>
      <w:marLeft w:val="0"/>
      <w:marRight w:val="0"/>
      <w:marTop w:val="0"/>
      <w:marBottom w:val="0"/>
      <w:divBdr>
        <w:top w:val="none" w:sz="0" w:space="0" w:color="auto"/>
        <w:left w:val="none" w:sz="0" w:space="0" w:color="auto"/>
        <w:bottom w:val="none" w:sz="0" w:space="0" w:color="auto"/>
        <w:right w:val="none" w:sz="0" w:space="0" w:color="auto"/>
      </w:divBdr>
      <w:divsChild>
        <w:div w:id="1638299515">
          <w:marLeft w:val="0"/>
          <w:marRight w:val="0"/>
          <w:marTop w:val="0"/>
          <w:marBottom w:val="0"/>
          <w:divBdr>
            <w:top w:val="none" w:sz="0" w:space="0" w:color="auto"/>
            <w:left w:val="none" w:sz="0" w:space="0" w:color="auto"/>
            <w:bottom w:val="none" w:sz="0" w:space="0" w:color="auto"/>
            <w:right w:val="none" w:sz="0" w:space="0" w:color="auto"/>
          </w:divBdr>
        </w:div>
        <w:div w:id="1668166972">
          <w:marLeft w:val="0"/>
          <w:marRight w:val="0"/>
          <w:marTop w:val="0"/>
          <w:marBottom w:val="150"/>
          <w:divBdr>
            <w:top w:val="none" w:sz="0" w:space="0" w:color="auto"/>
            <w:left w:val="none" w:sz="0" w:space="0" w:color="auto"/>
            <w:bottom w:val="none" w:sz="0" w:space="0" w:color="auto"/>
            <w:right w:val="none" w:sz="0" w:space="0" w:color="auto"/>
          </w:divBdr>
        </w:div>
        <w:div w:id="1492720252">
          <w:marLeft w:val="0"/>
          <w:marRight w:val="0"/>
          <w:marTop w:val="0"/>
          <w:marBottom w:val="150"/>
          <w:divBdr>
            <w:top w:val="none" w:sz="0" w:space="0" w:color="auto"/>
            <w:left w:val="none" w:sz="0" w:space="0" w:color="auto"/>
            <w:bottom w:val="none" w:sz="0" w:space="0" w:color="auto"/>
            <w:right w:val="none" w:sz="0" w:space="0" w:color="auto"/>
          </w:divBdr>
        </w:div>
      </w:divsChild>
    </w:div>
    <w:div w:id="1607692222">
      <w:bodyDiv w:val="1"/>
      <w:marLeft w:val="0"/>
      <w:marRight w:val="0"/>
      <w:marTop w:val="0"/>
      <w:marBottom w:val="0"/>
      <w:divBdr>
        <w:top w:val="none" w:sz="0" w:space="0" w:color="auto"/>
        <w:left w:val="none" w:sz="0" w:space="0" w:color="auto"/>
        <w:bottom w:val="none" w:sz="0" w:space="0" w:color="auto"/>
        <w:right w:val="none" w:sz="0" w:space="0" w:color="auto"/>
      </w:divBdr>
      <w:divsChild>
        <w:div w:id="679353867">
          <w:marLeft w:val="0"/>
          <w:marRight w:val="0"/>
          <w:marTop w:val="300"/>
          <w:marBottom w:val="300"/>
          <w:divBdr>
            <w:top w:val="none" w:sz="0" w:space="0" w:color="auto"/>
            <w:left w:val="none" w:sz="0" w:space="0" w:color="auto"/>
            <w:bottom w:val="none" w:sz="0" w:space="0" w:color="auto"/>
            <w:right w:val="none" w:sz="0" w:space="0" w:color="auto"/>
          </w:divBdr>
        </w:div>
        <w:div w:id="1508791894">
          <w:marLeft w:val="0"/>
          <w:marRight w:val="0"/>
          <w:marTop w:val="0"/>
          <w:marBottom w:val="0"/>
          <w:divBdr>
            <w:top w:val="none" w:sz="0" w:space="0" w:color="auto"/>
            <w:left w:val="none" w:sz="0" w:space="0" w:color="auto"/>
            <w:bottom w:val="none" w:sz="0" w:space="0" w:color="auto"/>
            <w:right w:val="none" w:sz="0" w:space="0" w:color="auto"/>
          </w:divBdr>
          <w:divsChild>
            <w:div w:id="800267225">
              <w:marLeft w:val="0"/>
              <w:marRight w:val="0"/>
              <w:marTop w:val="0"/>
              <w:marBottom w:val="0"/>
              <w:divBdr>
                <w:top w:val="none" w:sz="0" w:space="0" w:color="auto"/>
                <w:left w:val="none" w:sz="0" w:space="0" w:color="auto"/>
                <w:bottom w:val="none" w:sz="0" w:space="0" w:color="auto"/>
                <w:right w:val="none" w:sz="0" w:space="0" w:color="auto"/>
              </w:divBdr>
            </w:div>
          </w:divsChild>
        </w:div>
        <w:div w:id="842862362">
          <w:marLeft w:val="0"/>
          <w:marRight w:val="0"/>
          <w:marTop w:val="0"/>
          <w:marBottom w:val="0"/>
          <w:divBdr>
            <w:top w:val="none" w:sz="0" w:space="0" w:color="auto"/>
            <w:left w:val="none" w:sz="0" w:space="0" w:color="auto"/>
            <w:bottom w:val="none" w:sz="0" w:space="0" w:color="auto"/>
            <w:right w:val="none" w:sz="0" w:space="0" w:color="auto"/>
          </w:divBdr>
          <w:divsChild>
            <w:div w:id="1034189684">
              <w:marLeft w:val="0"/>
              <w:marRight w:val="0"/>
              <w:marTop w:val="0"/>
              <w:marBottom w:val="0"/>
              <w:divBdr>
                <w:top w:val="none" w:sz="0" w:space="0" w:color="auto"/>
                <w:left w:val="none" w:sz="0" w:space="0" w:color="auto"/>
                <w:bottom w:val="none" w:sz="0" w:space="0" w:color="auto"/>
                <w:right w:val="none" w:sz="0" w:space="0" w:color="auto"/>
              </w:divBdr>
            </w:div>
          </w:divsChild>
        </w:div>
        <w:div w:id="2111585173">
          <w:marLeft w:val="0"/>
          <w:marRight w:val="0"/>
          <w:marTop w:val="0"/>
          <w:marBottom w:val="0"/>
          <w:divBdr>
            <w:top w:val="none" w:sz="0" w:space="0" w:color="auto"/>
            <w:left w:val="none" w:sz="0" w:space="0" w:color="auto"/>
            <w:bottom w:val="none" w:sz="0" w:space="0" w:color="auto"/>
            <w:right w:val="none" w:sz="0" w:space="0" w:color="auto"/>
          </w:divBdr>
          <w:divsChild>
            <w:div w:id="1578856492">
              <w:marLeft w:val="0"/>
              <w:marRight w:val="0"/>
              <w:marTop w:val="0"/>
              <w:marBottom w:val="0"/>
              <w:divBdr>
                <w:top w:val="none" w:sz="0" w:space="0" w:color="auto"/>
                <w:left w:val="none" w:sz="0" w:space="0" w:color="auto"/>
                <w:bottom w:val="none" w:sz="0" w:space="0" w:color="auto"/>
                <w:right w:val="none" w:sz="0" w:space="0" w:color="auto"/>
              </w:divBdr>
            </w:div>
          </w:divsChild>
        </w:div>
        <w:div w:id="1737362579">
          <w:marLeft w:val="0"/>
          <w:marRight w:val="0"/>
          <w:marTop w:val="0"/>
          <w:marBottom w:val="0"/>
          <w:divBdr>
            <w:top w:val="none" w:sz="0" w:space="0" w:color="auto"/>
            <w:left w:val="none" w:sz="0" w:space="0" w:color="auto"/>
            <w:bottom w:val="none" w:sz="0" w:space="0" w:color="auto"/>
            <w:right w:val="none" w:sz="0" w:space="0" w:color="auto"/>
          </w:divBdr>
          <w:divsChild>
            <w:div w:id="1719160853">
              <w:marLeft w:val="0"/>
              <w:marRight w:val="0"/>
              <w:marTop w:val="0"/>
              <w:marBottom w:val="0"/>
              <w:divBdr>
                <w:top w:val="none" w:sz="0" w:space="0" w:color="auto"/>
                <w:left w:val="none" w:sz="0" w:space="0" w:color="auto"/>
                <w:bottom w:val="none" w:sz="0" w:space="0" w:color="auto"/>
                <w:right w:val="none" w:sz="0" w:space="0" w:color="auto"/>
              </w:divBdr>
            </w:div>
          </w:divsChild>
        </w:div>
        <w:div w:id="9071777">
          <w:marLeft w:val="0"/>
          <w:marRight w:val="0"/>
          <w:marTop w:val="0"/>
          <w:marBottom w:val="0"/>
          <w:divBdr>
            <w:top w:val="none" w:sz="0" w:space="0" w:color="auto"/>
            <w:left w:val="none" w:sz="0" w:space="0" w:color="auto"/>
            <w:bottom w:val="none" w:sz="0" w:space="0" w:color="auto"/>
            <w:right w:val="none" w:sz="0" w:space="0" w:color="auto"/>
          </w:divBdr>
          <w:divsChild>
            <w:div w:id="1865820573">
              <w:marLeft w:val="0"/>
              <w:marRight w:val="0"/>
              <w:marTop w:val="0"/>
              <w:marBottom w:val="0"/>
              <w:divBdr>
                <w:top w:val="none" w:sz="0" w:space="0" w:color="auto"/>
                <w:left w:val="none" w:sz="0" w:space="0" w:color="auto"/>
                <w:bottom w:val="none" w:sz="0" w:space="0" w:color="auto"/>
                <w:right w:val="none" w:sz="0" w:space="0" w:color="auto"/>
              </w:divBdr>
            </w:div>
          </w:divsChild>
        </w:div>
        <w:div w:id="277881140">
          <w:marLeft w:val="0"/>
          <w:marRight w:val="0"/>
          <w:marTop w:val="0"/>
          <w:marBottom w:val="0"/>
          <w:divBdr>
            <w:top w:val="none" w:sz="0" w:space="0" w:color="auto"/>
            <w:left w:val="none" w:sz="0" w:space="0" w:color="auto"/>
            <w:bottom w:val="none" w:sz="0" w:space="0" w:color="auto"/>
            <w:right w:val="none" w:sz="0" w:space="0" w:color="auto"/>
          </w:divBdr>
          <w:divsChild>
            <w:div w:id="422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025%20de%20202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latoria.colombiacompra.gov.co/ficha/C-025%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latoria.colombiacompra.gov.co/ficha/C-025%20de%202020" TargetMode="External"/><Relationship Id="rId5" Type="http://schemas.openxmlformats.org/officeDocument/2006/relationships/styles" Target="styles.xml"/><Relationship Id="rId10" Type="http://schemas.openxmlformats.org/officeDocument/2006/relationships/hyperlink" Target="http://relatoria.colombiacompra.gov.co/ficha/C-025%20de%202020" TargetMode="External"/><Relationship Id="rId4" Type="http://schemas.openxmlformats.org/officeDocument/2006/relationships/numbering" Target="numbering.xml"/><Relationship Id="rId9" Type="http://schemas.openxmlformats.org/officeDocument/2006/relationships/hyperlink" Target="http://relatoria.colombiacompra.gov.co/ficha/C-025%20de%20202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9292B-E118-4197-B059-A73D2ADECBB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AA9AAB8-43BD-4263-8B0D-7F4A4C2E27EB}">
  <ds:schemaRefs>
    <ds:schemaRef ds:uri="http://schemas.microsoft.com/sharepoint/v3/contenttype/forms"/>
  </ds:schemaRefs>
</ds:datastoreItem>
</file>

<file path=customXml/itemProps3.xml><?xml version="1.0" encoding="utf-8"?>
<ds:datastoreItem xmlns:ds="http://schemas.openxmlformats.org/officeDocument/2006/customXml" ds:itemID="{0653B8FA-9C83-4D81-8B2E-63F9F8A68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5004</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JUAN CAMILO VESGA BONILLA</cp:lastModifiedBy>
  <cp:revision>2</cp:revision>
  <dcterms:created xsi:type="dcterms:W3CDTF">2021-06-11T15:55:00Z</dcterms:created>
  <dcterms:modified xsi:type="dcterms:W3CDTF">2021-06-11T15:55:00Z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