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1F85" w:rsidR="00601F85" w:rsidP="00601F85" w:rsidRDefault="00601F85" w14:paraId="0A8D0871"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DECRETO 399 DE 2021</w:t>
      </w:r>
    </w:p>
    <w:p w:rsidRPr="00601F85" w:rsidR="00601F85" w:rsidP="00601F85" w:rsidRDefault="00601F85" w14:paraId="6E7BEAA2"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70D8C723"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w:t>
      </w:r>
      <w:proofErr w:type="gramStart"/>
      <w:r w:rsidRPr="00601F85">
        <w:rPr>
          <w:rFonts w:ascii="Arial" w:hAnsi="Arial" w:eastAsia="Times New Roman" w:cs="Arial"/>
          <w:b/>
          <w:bCs/>
          <w:color w:val="333333"/>
          <w:sz w:val="25"/>
          <w:szCs w:val="25"/>
          <w:lang w:eastAsia="es-ES_tradnl"/>
        </w:rPr>
        <w:t>Abril</w:t>
      </w:r>
      <w:proofErr w:type="gramEnd"/>
      <w:r w:rsidRPr="00601F85">
        <w:rPr>
          <w:rFonts w:ascii="Arial" w:hAnsi="Arial" w:eastAsia="Times New Roman" w:cs="Arial"/>
          <w:b/>
          <w:bCs/>
          <w:color w:val="333333"/>
          <w:sz w:val="25"/>
          <w:szCs w:val="25"/>
          <w:lang w:eastAsia="es-ES_tradnl"/>
        </w:rPr>
        <w:t xml:space="preserve"> 13)</w:t>
      </w:r>
    </w:p>
    <w:p w:rsidRPr="00601F85" w:rsidR="00601F85" w:rsidP="00601F85" w:rsidRDefault="00601F85" w14:paraId="63E4A9CD"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26386546"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"Por el cual se modifican los artículos </w:t>
      </w:r>
      <w:hyperlink w:history="1" w:anchor="2.2.1.1.2.1.1" r:id="rId7">
        <w:r w:rsidRPr="00601F85">
          <w:rPr>
            <w:rFonts w:ascii="Arial" w:hAnsi="Arial" w:eastAsia="Times New Roman" w:cs="Arial"/>
            <w:b/>
            <w:bCs/>
            <w:color w:val="007BFF"/>
            <w:sz w:val="25"/>
            <w:szCs w:val="25"/>
            <w:u w:val="single"/>
            <w:lang w:eastAsia="es-ES_tradnl"/>
          </w:rPr>
          <w:t>2.2.1.1.2.1.1</w:t>
        </w:r>
      </w:hyperlink>
      <w:r w:rsidRPr="00601F85">
        <w:rPr>
          <w:rFonts w:ascii="Arial" w:hAnsi="Arial" w:eastAsia="Times New Roman" w:cs="Arial"/>
          <w:b/>
          <w:bCs/>
          <w:color w:val="333333"/>
          <w:sz w:val="25"/>
          <w:szCs w:val="25"/>
          <w:lang w:eastAsia="es-ES_tradnl"/>
        </w:rPr>
        <w:t>., </w:t>
      </w:r>
      <w:hyperlink w:history="1" w:anchor="2.2.1.2.1.3.2" r:id="rId8">
        <w:r w:rsidRPr="00601F85">
          <w:rPr>
            <w:rFonts w:ascii="Arial" w:hAnsi="Arial" w:eastAsia="Times New Roman" w:cs="Arial"/>
            <w:b/>
            <w:bCs/>
            <w:color w:val="007BFF"/>
            <w:sz w:val="25"/>
            <w:szCs w:val="25"/>
            <w:u w:val="single"/>
            <w:lang w:eastAsia="es-ES_tradnl"/>
          </w:rPr>
          <w:t>2.2.1.2.1.3.2</w:t>
        </w:r>
      </w:hyperlink>
      <w:r w:rsidRPr="00601F85">
        <w:rPr>
          <w:rFonts w:ascii="Arial" w:hAnsi="Arial" w:eastAsia="Times New Roman" w:cs="Arial"/>
          <w:b/>
          <w:bCs/>
          <w:color w:val="333333"/>
          <w:sz w:val="25"/>
          <w:szCs w:val="25"/>
          <w:lang w:eastAsia="es-ES_tradnl"/>
        </w:rPr>
        <w:t>. y </w:t>
      </w:r>
      <w:hyperlink w:history="1" w:anchor="2.2.1.2.3.1.14" r:id="rId9">
        <w:r w:rsidRPr="00601F85">
          <w:rPr>
            <w:rFonts w:ascii="Arial" w:hAnsi="Arial" w:eastAsia="Times New Roman" w:cs="Arial"/>
            <w:b/>
            <w:bCs/>
            <w:color w:val="007BFF"/>
            <w:sz w:val="25"/>
            <w:szCs w:val="25"/>
            <w:u w:val="single"/>
            <w:lang w:eastAsia="es-ES_tradnl"/>
          </w:rPr>
          <w:t>2.2.1.2.3.1.14</w:t>
        </w:r>
      </w:hyperlink>
      <w:r w:rsidRPr="00601F85">
        <w:rPr>
          <w:rFonts w:ascii="Arial" w:hAnsi="Arial" w:eastAsia="Times New Roman" w:cs="Arial"/>
          <w:b/>
          <w:bCs/>
          <w:color w:val="333333"/>
          <w:sz w:val="25"/>
          <w:szCs w:val="25"/>
          <w:lang w:eastAsia="es-ES_tradnl"/>
        </w:rPr>
        <w:t>., y se adicionan unos parágrafos transitorios a los artículos </w:t>
      </w:r>
      <w:hyperlink w:history="1" w:anchor="2.2.1.1.1.5.2" r:id="rId10">
        <w:r w:rsidRPr="00601F85">
          <w:rPr>
            <w:rFonts w:ascii="Arial" w:hAnsi="Arial" w:eastAsia="Times New Roman" w:cs="Arial"/>
            <w:b/>
            <w:bCs/>
            <w:color w:val="007BFF"/>
            <w:sz w:val="25"/>
            <w:szCs w:val="25"/>
            <w:u w:val="single"/>
            <w:lang w:eastAsia="es-ES_tradnl"/>
          </w:rPr>
          <w:t>2.2.1.1.1.5.2</w:t>
        </w:r>
      </w:hyperlink>
      <w:r w:rsidRPr="00601F85">
        <w:rPr>
          <w:rFonts w:ascii="Arial" w:hAnsi="Arial" w:eastAsia="Times New Roman" w:cs="Arial"/>
          <w:b/>
          <w:bCs/>
          <w:color w:val="333333"/>
          <w:sz w:val="25"/>
          <w:szCs w:val="25"/>
          <w:lang w:eastAsia="es-ES_tradnl"/>
        </w:rPr>
        <w:t>., </w:t>
      </w:r>
      <w:hyperlink w:history="1" w:anchor="2.2.1.1.1.5.6" r:id="rId11">
        <w:r w:rsidRPr="00601F85">
          <w:rPr>
            <w:rFonts w:ascii="Arial" w:hAnsi="Arial" w:eastAsia="Times New Roman" w:cs="Arial"/>
            <w:b/>
            <w:bCs/>
            <w:color w:val="007BFF"/>
            <w:sz w:val="25"/>
            <w:szCs w:val="25"/>
            <w:u w:val="single"/>
            <w:lang w:eastAsia="es-ES_tradnl"/>
          </w:rPr>
          <w:t>2.2.1.1.1.5.6</w:t>
        </w:r>
      </w:hyperlink>
      <w:r w:rsidRPr="00601F85">
        <w:rPr>
          <w:rFonts w:ascii="Arial" w:hAnsi="Arial" w:eastAsia="Times New Roman" w:cs="Arial"/>
          <w:b/>
          <w:bCs/>
          <w:color w:val="333333"/>
          <w:sz w:val="25"/>
          <w:szCs w:val="25"/>
          <w:lang w:eastAsia="es-ES_tradnl"/>
        </w:rPr>
        <w:t>. y </w:t>
      </w:r>
      <w:hyperlink w:history="1" w:anchor="2.2.1.1.1.6.2" r:id="rId12">
        <w:r w:rsidRPr="00601F85">
          <w:rPr>
            <w:rFonts w:ascii="Arial" w:hAnsi="Arial" w:eastAsia="Times New Roman" w:cs="Arial"/>
            <w:b/>
            <w:bCs/>
            <w:color w:val="007BFF"/>
            <w:sz w:val="25"/>
            <w:szCs w:val="25"/>
            <w:u w:val="single"/>
            <w:lang w:eastAsia="es-ES_tradnl"/>
          </w:rPr>
          <w:t>2.2.1.1.1.6.2</w:t>
        </w:r>
      </w:hyperlink>
      <w:r w:rsidRPr="00601F85">
        <w:rPr>
          <w:rFonts w:ascii="Arial" w:hAnsi="Arial" w:eastAsia="Times New Roman" w:cs="Arial"/>
          <w:b/>
          <w:bCs/>
          <w:color w:val="333333"/>
          <w:sz w:val="25"/>
          <w:szCs w:val="25"/>
          <w:lang w:eastAsia="es-ES_tradnl"/>
        </w:rPr>
        <w:t>. del Decreto 1082 de 2015, Único Reglamentario del Sector Administrativo de Planeación Nacional".</w:t>
      </w:r>
    </w:p>
    <w:p w:rsidRPr="00601F85" w:rsidR="00601F85" w:rsidP="00601F85" w:rsidRDefault="00601F85" w14:paraId="4F6584BE"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61B5DFB5"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EL PRESIDENTE DE LA REPÚBLICA DE COLOMBIA</w:t>
      </w:r>
    </w:p>
    <w:p w:rsidRPr="00601F85" w:rsidR="00601F85" w:rsidP="00601F85" w:rsidRDefault="00601F85" w14:paraId="09AF38FC"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147BC5CE"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En ejercicio de las facultades constitucionales y legales, en especial las conferidas por el numeral 11 del artículo 189 de la Constitución Política y la Ley 1150 de 2007, y</w:t>
      </w:r>
    </w:p>
    <w:p w:rsidRPr="00601F85" w:rsidR="00601F85" w:rsidP="00601F85" w:rsidRDefault="00601F85" w14:paraId="15AA318D"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01276949"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CONSIDERANDO:</w:t>
      </w:r>
    </w:p>
    <w:p w:rsidRPr="00601F85" w:rsidR="00601F85" w:rsidP="00601F85" w:rsidRDefault="00601F85" w14:paraId="01512BE8" w14:textId="77777777">
      <w:pPr>
        <w:shd w:val="clear" w:color="auto" w:fill="FFFFFF"/>
        <w:spacing w:after="100" w:afterAutospacing="1"/>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65F2A37B"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la racionalización y simplificación del ordenamiento jurídico es una de las principales herramientas para asegurar la eficiencia económica y social del sistema legal y para afianzar la seguridad jurídica.</w:t>
      </w:r>
    </w:p>
    <w:p w:rsidRPr="00601F85" w:rsidR="00601F85" w:rsidP="00601F85" w:rsidRDefault="00601F85" w14:paraId="0DA70637"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465A427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xml:space="preserve">Que el numeral 11 del artículo 189 de la Constitución Política establece que corresponde al </w:t>
      </w:r>
      <w:proofErr w:type="gramStart"/>
      <w:r w:rsidRPr="00601F85">
        <w:rPr>
          <w:rFonts w:ascii="Arial" w:hAnsi="Arial" w:eastAsia="Times New Roman" w:cs="Arial"/>
          <w:color w:val="333333"/>
          <w:sz w:val="25"/>
          <w:szCs w:val="25"/>
          <w:lang w:eastAsia="es-ES_tradnl"/>
        </w:rPr>
        <w:t>Presidente</w:t>
      </w:r>
      <w:proofErr w:type="gramEnd"/>
      <w:r w:rsidRPr="00601F85">
        <w:rPr>
          <w:rFonts w:ascii="Arial" w:hAnsi="Arial" w:eastAsia="Times New Roman" w:cs="Arial"/>
          <w:color w:val="333333"/>
          <w:sz w:val="25"/>
          <w:szCs w:val="25"/>
          <w:lang w:eastAsia="es-ES_tradnl"/>
        </w:rPr>
        <w:t xml:space="preserve"> de la República ejercer la potestad reglamentaria, mediante la expedición de los decretos, resoluciones y órdenes necesarios para la cumplida ejecución de las leyes.</w:t>
      </w:r>
    </w:p>
    <w:p w:rsidRPr="00601F85" w:rsidR="00601F85" w:rsidP="00601F85" w:rsidRDefault="00601F85" w14:paraId="46624170"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1D20351E" w14:textId="77777777">
      <w:pPr>
        <w:shd w:val="clear" w:color="auto" w:fill="FFFFFF"/>
        <w:spacing w:after="100" w:afterAutospacing="1"/>
        <w:jc w:val="both"/>
        <w:rPr>
          <w:rFonts w:ascii="Arial" w:hAnsi="Arial" w:eastAsia="Times New Roman" w:cs="Arial"/>
          <w:color w:val="333333"/>
          <w:sz w:val="25"/>
          <w:szCs w:val="25"/>
          <w:lang w:eastAsia="es-ES_tradnl"/>
        </w:rPr>
      </w:pPr>
      <w:proofErr w:type="gramStart"/>
      <w:r w:rsidRPr="00601F85">
        <w:rPr>
          <w:rFonts w:ascii="Arial" w:hAnsi="Arial" w:eastAsia="Times New Roman" w:cs="Arial"/>
          <w:color w:val="333333"/>
          <w:sz w:val="25"/>
          <w:szCs w:val="25"/>
          <w:lang w:eastAsia="es-ES_tradnl"/>
        </w:rPr>
        <w:t>Que</w:t>
      </w:r>
      <w:proofErr w:type="gramEnd"/>
      <w:r w:rsidRPr="00601F85">
        <w:rPr>
          <w:rFonts w:ascii="Arial" w:hAnsi="Arial" w:eastAsia="Times New Roman" w:cs="Arial"/>
          <w:color w:val="333333"/>
          <w:sz w:val="25"/>
          <w:szCs w:val="25"/>
          <w:lang w:eastAsia="es-ES_tradnl"/>
        </w:rPr>
        <w:t xml:space="preserve"> con fundamento en lo anterior, el Presidente de la República expidió el Decreto 1082 de 2015, Único Reglamentario del Sector Administrativo de </w:t>
      </w:r>
      <w:r w:rsidRPr="00601F85">
        <w:rPr>
          <w:rFonts w:ascii="Arial" w:hAnsi="Arial" w:eastAsia="Times New Roman" w:cs="Arial"/>
          <w:color w:val="333333"/>
          <w:sz w:val="25"/>
          <w:szCs w:val="25"/>
          <w:lang w:eastAsia="es-ES_tradnl"/>
        </w:rPr>
        <w:lastRenderedPageBreak/>
        <w:t>Planeación Nacional, con el objetivo de compilar y racionalizar las normas de carácter reglamentario que rigen en el sector administrativo de planeación nacional, donde se incluyen las disposiciones relacionadas con la contratación estatal.</w:t>
      </w:r>
    </w:p>
    <w:p w:rsidRPr="00601F85" w:rsidR="00601F85" w:rsidP="00601F85" w:rsidRDefault="00601F85" w14:paraId="4B8484D5"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23D458B6"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la Subsección 1 de la Sección 2 del Capítulo 1 del Título 1 de la Parte 2 del Libro 2 del Decreto 1082 de 2015, Único Reglamentario del Sector Administrativo de Planeación Nacional, establece los contenidos generales de los Estudios y Documentos previos que soportan los procesos de contratación.</w:t>
      </w:r>
    </w:p>
    <w:p w:rsidRPr="00601F85" w:rsidR="00601F85" w:rsidP="00601F85" w:rsidRDefault="00601F85" w14:paraId="4F8F56C0"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27E7C659"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xml:space="preserve">Que actualmente el numeral 4 del artículo 2.2.1.1.2.1.1. del citado Decreto establece que la Entidad Estatal no debe publicar las variables utilizadas para calcular el valor estimado del contrato cuando la modalidad de selección del contratista sea en concurso de méritos y </w:t>
      </w:r>
      <w:proofErr w:type="gramStart"/>
      <w:r w:rsidRPr="00601F85">
        <w:rPr>
          <w:rFonts w:ascii="Arial" w:hAnsi="Arial" w:eastAsia="Times New Roman" w:cs="Arial"/>
          <w:color w:val="333333"/>
          <w:sz w:val="25"/>
          <w:szCs w:val="25"/>
          <w:lang w:eastAsia="es-ES_tradnl"/>
        </w:rPr>
        <w:t>que</w:t>
      </w:r>
      <w:proofErr w:type="gramEnd"/>
      <w:r w:rsidRPr="00601F85">
        <w:rPr>
          <w:rFonts w:ascii="Arial" w:hAnsi="Arial" w:eastAsia="Times New Roman" w:cs="Arial"/>
          <w:color w:val="333333"/>
          <w:sz w:val="25"/>
          <w:szCs w:val="25"/>
          <w:lang w:eastAsia="es-ES_tradnl"/>
        </w:rPr>
        <w:t xml:space="preserve"> si el contrato es de concesión, la Entidad Estatal no debe publicar el modelo financiero utilizado en su estructuración.</w:t>
      </w:r>
    </w:p>
    <w:p w:rsidRPr="00601F85" w:rsidR="00601F85" w:rsidP="00601F85" w:rsidRDefault="00601F85" w14:paraId="649CC1F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7FE14E53"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en consideración a la importancia de conocer los valores y criterios utilizados por las entidades estatales que sirvan de soporte para definir el valor estimado del contrato en la modalidad de selección de concurso de méritos, y ante la inexistencia de una reserva legal de esta información, es necesario eliminar la restricción respecto al deber de publicación de dichos análisis.</w:t>
      </w:r>
    </w:p>
    <w:p w:rsidRPr="00601F85" w:rsidR="00601F85" w:rsidP="00601F85" w:rsidRDefault="00601F85" w14:paraId="10EF996B"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07214A6C"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se considera conveniente dar publicidad a la forma como se calcula el valor del contrato en los concursos de méritos, con la finalidad de garantizar al máximo los principios de publicidad y transparencia. Además, para que los interesados, de conformidad con el artículo 8 de la Ley 1150 de 2007, puedan realizar observaciones al proyecto de pliego de condiciones, que debe incluir el valor estimado del contrato.</w:t>
      </w:r>
    </w:p>
    <w:p w:rsidRPr="00601F85" w:rsidR="00601F85" w:rsidP="00601F85" w:rsidRDefault="00601F85" w14:paraId="5E3886A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7C58394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el numeral 4 del artículo 5 de la Ley 1150 de 2007 establece que en los procesos para la selección de consultores se hará uso de factores de calificación destinados a valorar los aspectos técnicos de la oferta o proyecto, pudiendo utilizarse criterios de experiencia específica del oferente y del equipo de trabajo, en el campo de que se trate.</w:t>
      </w:r>
    </w:p>
    <w:p w:rsidRPr="00601F85" w:rsidR="00601F85" w:rsidP="00601F85" w:rsidRDefault="00601F85" w14:paraId="4ECEB11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6F11B451"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xml:space="preserve">Que teniendo en cuenta que el Auto del 20 de febrero de 2019 </w:t>
      </w:r>
      <w:proofErr w:type="spellStart"/>
      <w:r w:rsidRPr="00601F85">
        <w:rPr>
          <w:rFonts w:ascii="Arial" w:hAnsi="Arial" w:eastAsia="Times New Roman" w:cs="Arial"/>
          <w:color w:val="333333"/>
          <w:sz w:val="25"/>
          <w:szCs w:val="25"/>
          <w:lang w:eastAsia="es-ES_tradnl"/>
        </w:rPr>
        <w:t>Exp</w:t>
      </w:r>
      <w:proofErr w:type="spellEnd"/>
      <w:r w:rsidRPr="00601F85">
        <w:rPr>
          <w:rFonts w:ascii="Arial" w:hAnsi="Arial" w:eastAsia="Times New Roman" w:cs="Arial"/>
          <w:color w:val="333333"/>
          <w:sz w:val="25"/>
          <w:szCs w:val="25"/>
          <w:lang w:eastAsia="es-ES_tradnl"/>
        </w:rPr>
        <w:t xml:space="preserve">. 61.463 de la Subsección A de la Sección Tercera del Consejo de Estado suspendió provisionalmente los numerales 3, 4 y 5 del artículo 2.2.1.2.1.3.2. del Decreto 1082 de 2015, Único Reglamentario del Sector Administrativo de Planeación Nacional y que el Auto del 25 de julio de 2018 </w:t>
      </w:r>
      <w:proofErr w:type="spellStart"/>
      <w:r w:rsidRPr="00601F85">
        <w:rPr>
          <w:rFonts w:ascii="Arial" w:hAnsi="Arial" w:eastAsia="Times New Roman" w:cs="Arial"/>
          <w:color w:val="333333"/>
          <w:sz w:val="25"/>
          <w:szCs w:val="25"/>
          <w:lang w:eastAsia="es-ES_tradnl"/>
        </w:rPr>
        <w:t>Exp</w:t>
      </w:r>
      <w:proofErr w:type="spellEnd"/>
      <w:r w:rsidRPr="00601F85">
        <w:rPr>
          <w:rFonts w:ascii="Arial" w:hAnsi="Arial" w:eastAsia="Times New Roman" w:cs="Arial"/>
          <w:color w:val="333333"/>
          <w:sz w:val="25"/>
          <w:szCs w:val="25"/>
          <w:lang w:eastAsia="es-ES_tradnl"/>
        </w:rPr>
        <w:t>. 56.165 de la Subsección A de la Sección Tercera del Consejo de Estado suspendió provisionalmente el numeral 6 de la misma disposición, los cuales están relacionados con las reglas aplicables al procedimiento de concurso de méritos, es necesario modificar dicho artículo para establecer las reglas aplicables a esta modalidad de selección.</w:t>
      </w:r>
    </w:p>
    <w:p w:rsidRPr="00601F85" w:rsidR="00601F85" w:rsidP="00601F85" w:rsidRDefault="00601F85" w14:paraId="0D8BF348"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1787D19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el artículo 7 de la Ley 1150 de 2007 faculta al Gobierno nacional para señalar las condiciones generales que deberán ser incluidas en las pólizas de cumplimiento de los contratos estatales y para establecer los criterios que seguirán las entidades para las exigencias de garantías, las clases y niveles de amparo de los riesgos de los contratos, así como los casos en que, por las características y complejidad del contrato a celebrar, la garantía puede ser dividida teniendo en cuenta las etapas o riesgos relativos a la ejecución del respectivo contrato.</w:t>
      </w:r>
    </w:p>
    <w:p w:rsidRPr="00601F85" w:rsidR="00601F85" w:rsidP="00601F85" w:rsidRDefault="00601F85" w14:paraId="5EDB29A5"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48C6691D"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la Subsección 1 de la Sección 3 del Capítulo 2 del Título 1 de la Parte 2 del Libro 2 del Decreto 1082 de 2015, Único Reglamentario del Sector Administrativo de Planeación Nacional, establece las condiciones generales para el otorgamiento de garantías en los contratos celebrados con las entidades estatales indicando el tipo de garantías que los oferentes o contratistas pueden otorgar para asegurar el cumplimiento de sus obligaciones, su cobertura y suficiencia.</w:t>
      </w:r>
    </w:p>
    <w:p w:rsidRPr="00601F85" w:rsidR="00601F85" w:rsidP="00601F85" w:rsidRDefault="00601F85" w14:paraId="4474F8A0"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00BA7A6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el artículo 2.2.1.2.3.1.7. del mencionado Decreto prevé que la garantía de cumplimiento del contrato debe cubrir, entre otros, los perjuicios ocasionados por cualquier tipo de daño o deterioro, imputable al contratista, sufrido por la obra entregada a satisfacción.</w:t>
      </w:r>
    </w:p>
    <w:p w:rsidRPr="00601F85" w:rsidR="00601F85" w:rsidP="00601F85" w:rsidRDefault="00601F85" w14:paraId="5E6F60B5"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32DEF03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el artículo 2.2.1.2.3.1.14. del Decreto 1082 de 2015 establece que la garantía de estabilidad y calidad de la obra debe estar vigente por un término no inferior a cinco (5) años contados a partir de la fecha en la cual la entidad estatal recibe a satisfacción la obra. Además, que la entidad determinará el valor de esta garantía en los pliegos de condiciones de la contratación, de acuerdo con el objeto, el valor, la naturaleza y las obligaciones contenidas en el contrato. Al respecto, la mencionada norma permite que la Entidad Estatal acepte una vigencia inferior a cinco (5) años previa justificación técnica de un experto en la materia objeto del contrato.</w:t>
      </w:r>
    </w:p>
    <w:p w:rsidRPr="00601F85" w:rsidR="00601F85" w:rsidP="00601F85" w:rsidRDefault="00601F85" w14:paraId="1DF8BA61"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36BBF971"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debido a que la garantía de estabilidad y calidad de la obra rige a cualquier contrato de obra, es importante definir el término de su vigencia atendiendo a la complejidad técnica y riesgos asociados a cada contrato, de manera que se establezcan términos diferenciados.</w:t>
      </w:r>
    </w:p>
    <w:p w:rsidRPr="00601F85" w:rsidR="00601F85" w:rsidP="00601F85" w:rsidRDefault="00601F85" w14:paraId="365DB198"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19E6B2DB"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rsidRPr="00601F85" w:rsidR="00601F85" w:rsidP="00601F85" w:rsidRDefault="00601F85" w14:paraId="1D5BCD6B"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352B654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xml:space="preserve">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w:t>
      </w:r>
      <w:proofErr w:type="gramStart"/>
      <w:r w:rsidRPr="00601F85">
        <w:rPr>
          <w:rFonts w:ascii="Arial" w:hAnsi="Arial" w:eastAsia="Times New Roman" w:cs="Arial"/>
          <w:color w:val="333333"/>
          <w:sz w:val="25"/>
          <w:szCs w:val="25"/>
          <w:lang w:eastAsia="es-ES_tradnl"/>
        </w:rPr>
        <w:t>sectores</w:t>
      </w:r>
      <w:proofErr w:type="gramEnd"/>
      <w:r w:rsidRPr="00601F85">
        <w:rPr>
          <w:rFonts w:ascii="Arial" w:hAnsi="Arial" w:eastAsia="Times New Roman" w:cs="Arial"/>
          <w:color w:val="333333"/>
          <w:sz w:val="25"/>
          <w:szCs w:val="25"/>
          <w:lang w:eastAsia="es-ES_tradnl"/>
        </w:rPr>
        <w:t xml:space="preserve"> económicos han sufrido efectos negativos a causa de esta.</w:t>
      </w:r>
    </w:p>
    <w:p w:rsidRPr="00601F85" w:rsidR="00601F85" w:rsidP="00601F85" w:rsidRDefault="00601F85" w14:paraId="3BC5EC03"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271E4E27"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rsidRPr="00601F85" w:rsidR="00601F85" w:rsidP="00601F85" w:rsidRDefault="00601F85" w14:paraId="3751300F"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5E33076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mediante lo anterior se propenderá por una mayor pluralidad de oferentes en los procedimientos de selección y se fortalecerá la reactivación económica del país, al permitir la participación en estos procedimientos de proponentes que fueron afectados negativamente por la pandemia del COVID-19.</w:t>
      </w:r>
    </w:p>
    <w:p w:rsidRPr="00601F85" w:rsidR="00601F85" w:rsidP="00601F85" w:rsidRDefault="00601F85" w14:paraId="35F0889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06D76AC3"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Que en cumplimiento de lo dispuesto en los artículos 3 y 8 de la Ley 1437 de 2011, así como en el artículo 2.1.2.1.14. del Decreto 1081 de 2015, Único Reglamentario del Sector Presidencia de la República, el Decreto fue publicado en la página web del Departamento Nacional de Planeación.</w:t>
      </w:r>
    </w:p>
    <w:p w:rsidRPr="00601F85" w:rsidR="00601F85" w:rsidP="00601F85" w:rsidRDefault="00601F85" w14:paraId="6B515302"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2360668E" w14:textId="77777777">
      <w:pPr>
        <w:shd w:val="clear" w:color="auto" w:fill="FFFFFF"/>
        <w:spacing w:after="100" w:afterAutospacing="1"/>
        <w:jc w:val="both"/>
        <w:rPr>
          <w:rFonts w:ascii="Arial" w:hAnsi="Arial" w:eastAsia="Times New Roman" w:cs="Arial"/>
          <w:color w:val="333333"/>
          <w:sz w:val="25"/>
          <w:szCs w:val="25"/>
          <w:lang w:eastAsia="es-ES_tradnl"/>
        </w:rPr>
      </w:pPr>
      <w:proofErr w:type="gramStart"/>
      <w:r w:rsidRPr="00601F85">
        <w:rPr>
          <w:rFonts w:ascii="Arial" w:hAnsi="Arial" w:eastAsia="Times New Roman" w:cs="Arial"/>
          <w:color w:val="333333"/>
          <w:sz w:val="25"/>
          <w:szCs w:val="25"/>
          <w:lang w:eastAsia="es-ES_tradnl"/>
        </w:rPr>
        <w:t>Que</w:t>
      </w:r>
      <w:proofErr w:type="gramEnd"/>
      <w:r w:rsidRPr="00601F85">
        <w:rPr>
          <w:rFonts w:ascii="Arial" w:hAnsi="Arial" w:eastAsia="Times New Roman" w:cs="Arial"/>
          <w:color w:val="333333"/>
          <w:sz w:val="25"/>
          <w:szCs w:val="25"/>
          <w:lang w:eastAsia="es-ES_tradnl"/>
        </w:rPr>
        <w:t xml:space="preserve"> en mérito de lo expuesto,</w:t>
      </w:r>
    </w:p>
    <w:p w:rsidRPr="00601F85" w:rsidR="00601F85" w:rsidP="00601F85" w:rsidRDefault="00601F85" w14:paraId="4253EF77" w14:textId="77777777">
      <w:pPr>
        <w:shd w:val="clear" w:color="auto" w:fill="FFFFFF"/>
        <w:spacing w:after="100" w:afterAutospacing="1"/>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0EF7068F"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DECRETA:</w:t>
      </w:r>
    </w:p>
    <w:p w:rsidRPr="00601F85" w:rsidR="00601F85" w:rsidP="00601F85" w:rsidRDefault="00601F85" w14:paraId="2D6473E8" w14:textId="77777777">
      <w:pPr>
        <w:shd w:val="clear" w:color="auto" w:fill="FFFFFF"/>
        <w:spacing w:after="100" w:afterAutospacing="1"/>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2243ED4F"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ARTÍCULO </w:t>
      </w:r>
      <w:bookmarkStart w:name="1" w:id="0"/>
      <w:r w:rsidRPr="00601F85">
        <w:rPr>
          <w:rFonts w:ascii="Arial" w:hAnsi="Arial" w:eastAsia="Times New Roman" w:cs="Arial"/>
          <w:b/>
          <w:bCs/>
          <w:color w:val="333333"/>
          <w:sz w:val="25"/>
          <w:szCs w:val="25"/>
          <w:lang w:eastAsia="es-ES_tradnl"/>
        </w:rPr>
        <w:t> </w:t>
      </w:r>
      <w:bookmarkEnd w:id="0"/>
      <w:r w:rsidRPr="00601F85">
        <w:rPr>
          <w:rFonts w:ascii="Arial" w:hAnsi="Arial" w:eastAsia="Times New Roman" w:cs="Arial"/>
          <w:b/>
          <w:bCs/>
          <w:color w:val="333333"/>
          <w:sz w:val="25"/>
          <w:szCs w:val="25"/>
          <w:lang w:eastAsia="es-ES_tradnl"/>
        </w:rPr>
        <w:t>1. Modificación del artículo </w:t>
      </w:r>
      <w:hyperlink w:history="1" w:anchor="2.2.1.1.2.1.1" r:id="rId13">
        <w:r w:rsidRPr="00601F85">
          <w:rPr>
            <w:rFonts w:ascii="Arial" w:hAnsi="Arial" w:eastAsia="Times New Roman" w:cs="Arial"/>
            <w:b/>
            <w:bCs/>
            <w:color w:val="007BFF"/>
            <w:sz w:val="25"/>
            <w:szCs w:val="25"/>
            <w:u w:val="single"/>
            <w:lang w:eastAsia="es-ES_tradnl"/>
          </w:rPr>
          <w:t>2.2.1.1.2.1.1</w:t>
        </w:r>
      </w:hyperlink>
      <w:r w:rsidRPr="00601F85">
        <w:rPr>
          <w:rFonts w:ascii="Arial" w:hAnsi="Arial" w:eastAsia="Times New Roman" w:cs="Arial"/>
          <w:b/>
          <w:bCs/>
          <w:color w:val="333333"/>
          <w:sz w:val="25"/>
          <w:szCs w:val="25"/>
          <w:lang w:eastAsia="es-ES_tradnl"/>
        </w:rPr>
        <w:t>. del Decreto 1082 de 2015, único Reglamentario del Sector Administrativo de Planeación Nacional.</w:t>
      </w:r>
      <w:r w:rsidRPr="00601F85">
        <w:rPr>
          <w:rFonts w:ascii="Arial" w:hAnsi="Arial" w:eastAsia="Times New Roman" w:cs="Arial"/>
          <w:color w:val="333333"/>
          <w:sz w:val="25"/>
          <w:szCs w:val="25"/>
          <w:lang w:eastAsia="es-ES_tradnl"/>
        </w:rPr>
        <w:t> Modifíquese el artículo 2.2.1.1.2.1.1. de la Subsección 1 de la Sección 2 del Capítulo 1 del Título 1 de la Parte 2 del Libro 2 del Decreto 1082 de 2015, Único Reglamentario del Sector Administrativo de Planeación Nacional, el cual quedará así:</w:t>
      </w:r>
    </w:p>
    <w:p w:rsidRPr="00601F85" w:rsidR="00601F85" w:rsidP="00601F85" w:rsidRDefault="00601F85" w14:paraId="696D69FC"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0719BF0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"ARTÍCULO 2.2.1.1.2.1.1. Estudios y documentos previos.</w:t>
      </w:r>
      <w:r w:rsidRPr="00601F85">
        <w:rPr>
          <w:rFonts w:ascii="Arial" w:hAnsi="Arial" w:eastAsia="Times New Roman" w:cs="Arial"/>
          <w:color w:val="333333"/>
          <w:sz w:val="25"/>
          <w:szCs w:val="25"/>
          <w:lang w:eastAsia="es-ES_tradnl"/>
        </w:rPr>
        <w:t>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w:t>
      </w:r>
    </w:p>
    <w:p w:rsidRPr="00601F85" w:rsidR="00601F85" w:rsidP="00601F85" w:rsidRDefault="00601F85" w14:paraId="72302A59"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4E6216F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1. La descripción de la necesidad que la Entidad Estatal pretende satisfacer con el Proceso de Contratación.</w:t>
      </w:r>
    </w:p>
    <w:p w:rsidRPr="00601F85" w:rsidR="00601F85" w:rsidP="00601F85" w:rsidRDefault="00601F85" w14:paraId="31CBAF0D"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3A42E1DD"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2. El objeto a contratar, con sus especificaciones, las autorizaciones, permisos y licencias requeridos para su ejecución, y cuando el contrato incluye diseño y construcción, los documentos técnicos para el desarrollo del proyecto.</w:t>
      </w:r>
    </w:p>
    <w:p w:rsidRPr="00601F85" w:rsidR="00601F85" w:rsidP="00601F85" w:rsidRDefault="00601F85" w14:paraId="4A7717C8"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77780550"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3. La modalidad de selección del contratista y su justificación, incluyendo los fundamentos jurídicos.</w:t>
      </w:r>
    </w:p>
    <w:p w:rsidRPr="00601F85" w:rsidR="00601F85" w:rsidP="00601F85" w:rsidRDefault="00601F85" w14:paraId="419A23A7"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27A74CA5"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xml:space="preserve">4. El valor estimado del contrato y la justificación </w:t>
      </w:r>
      <w:proofErr w:type="gramStart"/>
      <w:r w:rsidRPr="00601F85">
        <w:rPr>
          <w:rFonts w:ascii="Arial" w:hAnsi="Arial" w:eastAsia="Times New Roman" w:cs="Arial"/>
          <w:color w:val="333333"/>
          <w:sz w:val="25"/>
          <w:szCs w:val="25"/>
          <w:lang w:eastAsia="es-ES_tradnl"/>
        </w:rPr>
        <w:t>del mismo</w:t>
      </w:r>
      <w:proofErr w:type="gramEnd"/>
      <w:r w:rsidRPr="00601F85">
        <w:rPr>
          <w:rFonts w:ascii="Arial" w:hAnsi="Arial" w:eastAsia="Times New Roman" w:cs="Arial"/>
          <w:color w:val="333333"/>
          <w:sz w:val="25"/>
          <w:szCs w:val="25"/>
          <w:lang w:eastAsia="es-ES_tradnl"/>
        </w:rPr>
        <w:t>.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w:t>
      </w:r>
    </w:p>
    <w:p w:rsidRPr="00601F85" w:rsidR="00601F85" w:rsidP="00601F85" w:rsidRDefault="00601F85" w14:paraId="74536B0D"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426FEC5C"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5. Los criterios para seleccionar la oferta más favorable.</w:t>
      </w:r>
    </w:p>
    <w:p w:rsidRPr="00601F85" w:rsidR="00601F85" w:rsidP="00601F85" w:rsidRDefault="00601F85" w14:paraId="7D7A3EC8"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65CAB5C0"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6. El análisis de Riesgo y la forma de mitigarlo.</w:t>
      </w:r>
    </w:p>
    <w:p w:rsidRPr="00601F85" w:rsidR="00601F85" w:rsidP="00601F85" w:rsidRDefault="00601F85" w14:paraId="129C278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596C20D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7. Las garantías que la Entidad Estatal contempla exigir en el proceso de contratación.</w:t>
      </w:r>
    </w:p>
    <w:p w:rsidRPr="00601F85" w:rsidR="00601F85" w:rsidP="00601F85" w:rsidRDefault="00601F85" w14:paraId="2790C8A6"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62E5CEC1"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8. La indicación de sí el proceso de contratación está cobijado por un acuerdo comercial. El presente artículo no es aplicable a la contratación por mínima cuantía".</w:t>
      </w:r>
    </w:p>
    <w:p w:rsidRPr="00601F85" w:rsidR="00601F85" w:rsidP="00601F85" w:rsidRDefault="00601F85" w14:paraId="6ECDD213"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1082B0E8"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ARTÍCULO </w:t>
      </w:r>
      <w:bookmarkStart w:name="2" w:id="1"/>
      <w:r w:rsidRPr="00601F85">
        <w:rPr>
          <w:rFonts w:ascii="Arial" w:hAnsi="Arial" w:eastAsia="Times New Roman" w:cs="Arial"/>
          <w:b/>
          <w:bCs/>
          <w:color w:val="333333"/>
          <w:sz w:val="25"/>
          <w:szCs w:val="25"/>
          <w:lang w:eastAsia="es-ES_tradnl"/>
        </w:rPr>
        <w:t> </w:t>
      </w:r>
      <w:bookmarkEnd w:id="1"/>
      <w:r w:rsidRPr="00601F85">
        <w:rPr>
          <w:rFonts w:ascii="Arial" w:hAnsi="Arial" w:eastAsia="Times New Roman" w:cs="Arial"/>
          <w:b/>
          <w:bCs/>
          <w:color w:val="333333"/>
          <w:sz w:val="25"/>
          <w:szCs w:val="25"/>
          <w:lang w:eastAsia="es-ES_tradnl"/>
        </w:rPr>
        <w:t>2. Modificación del artículo </w:t>
      </w:r>
      <w:hyperlink w:history="1" w:anchor="2.2.1.2.1.3.2" r:id="rId14">
        <w:r w:rsidRPr="00601F85">
          <w:rPr>
            <w:rFonts w:ascii="Arial" w:hAnsi="Arial" w:eastAsia="Times New Roman" w:cs="Arial"/>
            <w:b/>
            <w:bCs/>
            <w:color w:val="007BFF"/>
            <w:sz w:val="25"/>
            <w:szCs w:val="25"/>
            <w:u w:val="single"/>
            <w:lang w:eastAsia="es-ES_tradnl"/>
          </w:rPr>
          <w:t>2.2.1.2.1.3.2</w:t>
        </w:r>
      </w:hyperlink>
      <w:r w:rsidRPr="00601F85">
        <w:rPr>
          <w:rFonts w:ascii="Arial" w:hAnsi="Arial" w:eastAsia="Times New Roman" w:cs="Arial"/>
          <w:b/>
          <w:bCs/>
          <w:color w:val="333333"/>
          <w:sz w:val="25"/>
          <w:szCs w:val="25"/>
          <w:lang w:eastAsia="es-ES_tradnl"/>
        </w:rPr>
        <w:t>. del Decreto 1082 de 2015, Único Reglamentario del Sector Administrativo de Planeación Nacional.</w:t>
      </w:r>
      <w:r w:rsidRPr="00601F85">
        <w:rPr>
          <w:rFonts w:ascii="Arial" w:hAnsi="Arial" w:eastAsia="Times New Roman" w:cs="Arial"/>
          <w:color w:val="333333"/>
          <w:sz w:val="25"/>
          <w:szCs w:val="25"/>
          <w:lang w:eastAsia="es-ES_tradnl"/>
        </w:rPr>
        <w:t> Modifíquese el artículo 2.2.1.2.1.3.2. de la Subsección 3 de la Sección 1 del Capítulo 2 del Título 1 de la Parte 2 del Libro 2 del Decreto 1082 de 2015, Único Reglamentario del Sector Administrativo de Planeación Nacional, el cual quedará así:</w:t>
      </w:r>
    </w:p>
    <w:p w:rsidRPr="00601F85" w:rsidR="00601F85" w:rsidP="00601F85" w:rsidRDefault="00601F85" w14:paraId="71CA320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497A9D49"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"ARTÍCULO 2.2.1.2.1.3.2. Procedimiento del concurso de méritos</w:t>
      </w:r>
      <w:r w:rsidRPr="00601F85">
        <w:rPr>
          <w:rFonts w:ascii="Arial" w:hAnsi="Arial" w:eastAsia="Times New Roman" w:cs="Arial"/>
          <w:color w:val="333333"/>
          <w:sz w:val="25"/>
          <w:szCs w:val="25"/>
          <w:lang w:eastAsia="es-ES_tradnl"/>
        </w:rPr>
        <w:t>. Además de las reglas generales previstas en la ley y en el presente título, las siguientes reglas son aplicables al concurso de méritos abierto o con precalificación:</w:t>
      </w:r>
    </w:p>
    <w:p w:rsidRPr="00601F85" w:rsidR="00601F85" w:rsidP="00601F85" w:rsidRDefault="00601F85" w14:paraId="6D71D07C"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68F4B937"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1. La Entidad Estatal en los pliegos de condiciones debe indicar la forma como calificará, entre otros, los siguientes criterios: a) la experiencia del interesado y del equipo de trabajo y b) la formación académica del equipo de trabajo.</w:t>
      </w:r>
    </w:p>
    <w:p w:rsidRPr="00601F85" w:rsidR="00601F85" w:rsidP="00601F85" w:rsidRDefault="00601F85" w14:paraId="64AD8D1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44FB1564"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2. La Entidad Estatal debe publicar durante tres (3) días hábiles el informe de evaluación, el cual debe contener la evaluación de las ofertas frente a todos los requisitos exigidos en el pliego de condiciones, incluyendo los requisitos habilitantes y los de asignación de puntaje.</w:t>
      </w:r>
    </w:p>
    <w:p w:rsidRPr="00601F85" w:rsidR="00601F85" w:rsidP="00601F85" w:rsidRDefault="00601F85" w14:paraId="4A586566"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6F60D9D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3. Una vez resueltas las observaciones al informe de evaluación, la entidad adjudicará el contrato mediante acto administrativo al oferente que haya cumplido todos los requisitos exigidos en el pliego de condiciones y haya obtenido el mayor puntaje".</w:t>
      </w:r>
    </w:p>
    <w:p w:rsidRPr="00601F85" w:rsidR="0005623F" w:rsidP="4680F64A" w:rsidRDefault="00601F85" w14:paraId="5529CAB2" w14:textId="115D52A9">
      <w:pPr>
        <w:pStyle w:val="NormalWeb"/>
        <w:shd w:val="clear" w:color="auto" w:fill="FFFFFF" w:themeFill="background1"/>
        <w:spacing w:before="0" w:beforeAutospacing="off"/>
        <w:jc w:val="both"/>
        <w:rPr>
          <w:rFonts w:ascii="Arial" w:hAnsi="Arial" w:cs="Arial"/>
          <w:color w:val="333333"/>
          <w:sz w:val="25"/>
          <w:szCs w:val="25"/>
        </w:rPr>
      </w:pPr>
      <w:r w:rsidRPr="4680F64A" w:rsidR="00601F85">
        <w:rPr>
          <w:rFonts w:ascii="Arial" w:hAnsi="Arial" w:cs="Arial"/>
          <w:color w:val="333333"/>
          <w:sz w:val="25"/>
          <w:szCs w:val="25"/>
        </w:rPr>
        <w:t> </w:t>
      </w:r>
      <w:r w:rsidRPr="4680F64A" w:rsidR="0005623F">
        <w:rPr>
          <w:rFonts w:ascii="Arial" w:hAnsi="Arial" w:cs="Arial"/>
          <w:color w:val="333333"/>
          <w:sz w:val="25"/>
          <w:szCs w:val="25"/>
        </w:rPr>
        <w:t xml:space="preserve"> (Ver conceptos: </w:t>
      </w:r>
      <w:hyperlink r:id="Rcec082023b3643e0">
        <w:r w:rsidRPr="4680F64A" w:rsidR="0005623F">
          <w:rPr>
            <w:rStyle w:val="Hipervnculo"/>
            <w:rFonts w:ascii="Arial" w:hAnsi="Arial" w:cs="Arial"/>
            <w:sz w:val="25"/>
            <w:szCs w:val="25"/>
          </w:rPr>
          <w:t>C-297 del 17/06/2021</w:t>
        </w:r>
      </w:hyperlink>
      <w:r w:rsidRPr="4680F64A" w:rsidR="2F9B1706">
        <w:rPr>
          <w:rFonts w:ascii="Arial" w:hAnsi="Arial" w:cs="Arial"/>
          <w:sz w:val="25"/>
          <w:szCs w:val="25"/>
        </w:rPr>
        <w:t xml:space="preserve">, </w:t>
      </w:r>
      <w:hyperlink r:id="Ra5d2df821f824e06">
        <w:r w:rsidRPr="4680F64A" w:rsidR="2F9B1706">
          <w:rPr>
            <w:rStyle w:val="Hipervnculo"/>
            <w:rFonts w:ascii="Arial" w:hAnsi="Arial" w:cs="Arial"/>
            <w:sz w:val="25"/>
            <w:szCs w:val="25"/>
          </w:rPr>
          <w:t>C-277 del 21/06/2021</w:t>
        </w:r>
        <w:r w:rsidRPr="4680F64A" w:rsidR="0005623F">
          <w:rPr>
            <w:rStyle w:val="Hipervnculo"/>
            <w:rFonts w:ascii="Arial" w:hAnsi="Arial" w:cs="Arial"/>
            <w:sz w:val="25"/>
            <w:szCs w:val="25"/>
          </w:rPr>
          <w:t>)</w:t>
        </w:r>
      </w:hyperlink>
      <w:r w:rsidRPr="4680F64A" w:rsidR="436862E2">
        <w:rPr>
          <w:rFonts w:ascii="Arial" w:hAnsi="Arial" w:cs="Arial"/>
          <w:color w:val="333333"/>
          <w:sz w:val="25"/>
          <w:szCs w:val="25"/>
        </w:rPr>
        <w:t xml:space="preserve"> </w:t>
      </w:r>
      <w:hyperlink r:id="R0601b4437e7e418a">
        <w:r w:rsidRPr="4680F64A" w:rsidR="436862E2">
          <w:rPr>
            <w:rStyle w:val="Hipervnculo"/>
            <w:rFonts w:ascii="Arial" w:hAnsi="Arial" w:cs="Arial"/>
            <w:sz w:val="25"/>
            <w:szCs w:val="25"/>
          </w:rPr>
          <w:t>C-402 del 19/08/2021</w:t>
        </w:r>
      </w:hyperlink>
    </w:p>
    <w:p w:rsidRPr="00601F85" w:rsidR="00601F85" w:rsidP="00601F85" w:rsidRDefault="00601F85" w14:paraId="672A6659" w14:textId="77777777">
      <w:pPr>
        <w:shd w:val="clear" w:color="auto" w:fill="FFFFFF"/>
        <w:spacing w:after="100" w:afterAutospacing="1"/>
        <w:jc w:val="both"/>
        <w:rPr>
          <w:rFonts w:ascii="Arial" w:hAnsi="Arial" w:eastAsia="Times New Roman" w:cs="Arial"/>
          <w:color w:val="333333"/>
          <w:sz w:val="25"/>
          <w:szCs w:val="25"/>
          <w:lang w:eastAsia="es-ES_tradnl"/>
        </w:rPr>
      </w:pPr>
    </w:p>
    <w:p w:rsidRPr="00601F85" w:rsidR="00601F85" w:rsidP="00601F85" w:rsidRDefault="00601F85" w14:paraId="5CC9ABC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ARTÍCULO </w:t>
      </w:r>
      <w:bookmarkStart w:name="3" w:id="2"/>
      <w:r w:rsidRPr="00601F85">
        <w:rPr>
          <w:rFonts w:ascii="Arial" w:hAnsi="Arial" w:eastAsia="Times New Roman" w:cs="Arial"/>
          <w:b/>
          <w:bCs/>
          <w:color w:val="333333"/>
          <w:sz w:val="25"/>
          <w:szCs w:val="25"/>
          <w:lang w:eastAsia="es-ES_tradnl"/>
        </w:rPr>
        <w:t> </w:t>
      </w:r>
      <w:bookmarkEnd w:id="2"/>
      <w:r w:rsidRPr="00601F85">
        <w:rPr>
          <w:rFonts w:ascii="Arial" w:hAnsi="Arial" w:eastAsia="Times New Roman" w:cs="Arial"/>
          <w:b/>
          <w:bCs/>
          <w:color w:val="333333"/>
          <w:sz w:val="25"/>
          <w:szCs w:val="25"/>
          <w:lang w:eastAsia="es-ES_tradnl"/>
        </w:rPr>
        <w:t>3. Modificación del artículo </w:t>
      </w:r>
      <w:hyperlink w:history="1" w:anchor="2.2.1.2.3.1.14" r:id="rId17">
        <w:r w:rsidRPr="00601F85">
          <w:rPr>
            <w:rFonts w:ascii="Arial" w:hAnsi="Arial" w:eastAsia="Times New Roman" w:cs="Arial"/>
            <w:b/>
            <w:bCs/>
            <w:color w:val="007BFF"/>
            <w:sz w:val="25"/>
            <w:szCs w:val="25"/>
            <w:u w:val="single"/>
            <w:lang w:eastAsia="es-ES_tradnl"/>
          </w:rPr>
          <w:t>2.2.1.2.3.1.14</w:t>
        </w:r>
      </w:hyperlink>
      <w:r w:rsidRPr="00601F85">
        <w:rPr>
          <w:rFonts w:ascii="Arial" w:hAnsi="Arial" w:eastAsia="Times New Roman" w:cs="Arial"/>
          <w:b/>
          <w:bCs/>
          <w:color w:val="333333"/>
          <w:sz w:val="25"/>
          <w:szCs w:val="25"/>
          <w:lang w:eastAsia="es-ES_tradnl"/>
        </w:rPr>
        <w:t>. del Decreto 1082 de 2015, Único Reglamentario del Sector Administrativo de Planeación Nacional.</w:t>
      </w:r>
      <w:r w:rsidRPr="00601F85">
        <w:rPr>
          <w:rFonts w:ascii="Arial" w:hAnsi="Arial" w:eastAsia="Times New Roman" w:cs="Arial"/>
          <w:color w:val="333333"/>
          <w:sz w:val="25"/>
          <w:szCs w:val="25"/>
          <w:lang w:eastAsia="es-ES_tradnl"/>
        </w:rPr>
        <w:t> Modifíquese el artículo 2.2.1.2.3.1.14. de la Subsección 1 de la Sección 3 del Capítulo 2 del Título 1 de la Parte 2 del Libro 2 del Decreto 1082 de 2015, Único Reglamentario del Sector Administrativo de Planeación Nacional, el cual quedará así:</w:t>
      </w:r>
    </w:p>
    <w:p w:rsidRPr="00601F85" w:rsidR="00601F85" w:rsidP="00601F85" w:rsidRDefault="00601F85" w14:paraId="1721E545"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070ED0FE"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"ARTÍCULO 2.2.1.2.3.1.14. Suficiencia de la garantía de estabilidad y calidad de la obra.</w:t>
      </w:r>
      <w:r w:rsidRPr="00601F85">
        <w:rPr>
          <w:rFonts w:ascii="Arial" w:hAnsi="Arial" w:eastAsia="Times New Roman" w:cs="Arial"/>
          <w:color w:val="333333"/>
          <w:sz w:val="25"/>
          <w:szCs w:val="25"/>
          <w:lang w:eastAsia="es-ES_tradnl"/>
        </w:rPr>
        <w:t> Esta garantía debe estar vigente por un término no inferior a cinco (5) años contados a partir de la fecha en la cual la Entidad Estatal recibe a satisfacción la obra. La Entidad Estatal debe determinar el valor asegurado de esta garantía en los documentos del proceso, de acuerdo con el objeto, la cuantía, la naturaleza y las obligaciones contenidas en el contrato a celebrar.</w:t>
      </w:r>
    </w:p>
    <w:p w:rsidRPr="00601F85" w:rsidR="00601F85" w:rsidP="00601F85" w:rsidRDefault="00601F85" w14:paraId="3DD1135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046CE911"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La Entidad Estatal puede aceptar que esta garantía tenga una vigencia inferior a cinco (5) años previa justificación técnica de un experto en la materia objeto del contrato, lo cual se debe reflejar en los documentos del proceso. Como consecuencia del análisis anterior y según la complejidad técnica del contrato a celebrar, esta garantía podrá tener una vigencia inferior a cinco (5) años y en todo caso de mínimo un (1) año.</w:t>
      </w:r>
    </w:p>
    <w:p w:rsidRPr="00601F85" w:rsidR="00601F85" w:rsidP="00601F85" w:rsidRDefault="00601F85" w14:paraId="0236E82D"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601F85" w14:paraId="6AA84F25"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Para establecer la complejidad técnica del proyecto, y por ende la vigencia de la garantía de estabilidad y calidad de la obra por un término inferior a los cinco (5) años, la justificación técnica del experto en la materia objeto del contrato tendrá en consideración variables como las siguientes: el tipo de actividades que serán realizadas, la experticia técnica requerida, el alcance físico de las obras, entre otros, pero sin limitarse únicamente a la cuantía del proceso."</w:t>
      </w:r>
    </w:p>
    <w:p w:rsidRPr="00601F85" w:rsidR="00601F85" w:rsidP="00601F85" w:rsidRDefault="00601F85" w14:paraId="7ADA28FF"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00A2740F" w:rsidP="00A2740F" w:rsidRDefault="00601F85" w14:paraId="746DF54B" w14:textId="77777777">
      <w:pPr>
        <w:pStyle w:val="NormalWeb"/>
        <w:shd w:val="clear" w:color="auto" w:fill="FFFFFF"/>
        <w:spacing w:before="0" w:beforeAutospacing="0"/>
        <w:jc w:val="both"/>
        <w:rPr>
          <w:rFonts w:ascii="Arial" w:hAnsi="Arial" w:cs="Arial"/>
          <w:color w:val="333333"/>
          <w:sz w:val="25"/>
          <w:szCs w:val="25"/>
        </w:rPr>
      </w:pPr>
      <w:r w:rsidRPr="00601F85">
        <w:rPr>
          <w:rFonts w:ascii="Arial" w:hAnsi="Arial" w:cs="Arial"/>
          <w:b/>
          <w:bCs/>
          <w:color w:val="333333"/>
          <w:sz w:val="25"/>
          <w:szCs w:val="25"/>
        </w:rPr>
        <w:t>ARTÍCULO </w:t>
      </w:r>
      <w:bookmarkStart w:name="4" w:id="3"/>
      <w:r w:rsidRPr="00601F85">
        <w:rPr>
          <w:rFonts w:ascii="Arial" w:hAnsi="Arial" w:cs="Arial"/>
          <w:b/>
          <w:bCs/>
          <w:color w:val="333333"/>
          <w:sz w:val="25"/>
          <w:szCs w:val="25"/>
        </w:rPr>
        <w:t> </w:t>
      </w:r>
      <w:bookmarkEnd w:id="3"/>
      <w:r w:rsidRPr="00601F85">
        <w:rPr>
          <w:rFonts w:ascii="Arial" w:hAnsi="Arial" w:cs="Arial"/>
          <w:b/>
          <w:bCs/>
          <w:color w:val="333333"/>
          <w:sz w:val="25"/>
          <w:szCs w:val="25"/>
        </w:rPr>
        <w:t xml:space="preserve">4. </w:t>
      </w:r>
      <w:r w:rsidR="00A2740F">
        <w:rPr>
          <w:rFonts w:ascii="Arial" w:hAnsi="Arial" w:cs="Arial"/>
          <w:b/>
          <w:bCs/>
          <w:color w:val="333333"/>
          <w:sz w:val="25"/>
          <w:szCs w:val="25"/>
        </w:rPr>
        <w:t>Modificado por el artículo 1 del Decreto 579 de 2021. El nuevo texto es el siguiente. Sustitución de los parágrafos transitorios del artículo </w:t>
      </w:r>
      <w:hyperlink w:history="1" w:anchor="2.2.1.1.1.5.2" r:id="rId18">
        <w:r w:rsidR="00A2740F">
          <w:rPr>
            <w:rStyle w:val="Hipervnculo"/>
            <w:rFonts w:ascii="Arial" w:hAnsi="Arial" w:cs="Arial"/>
            <w:b/>
            <w:bCs/>
            <w:color w:val="007BFF"/>
            <w:sz w:val="25"/>
            <w:szCs w:val="25"/>
          </w:rPr>
          <w:t>2.2.1.1.1.5.2</w:t>
        </w:r>
      </w:hyperlink>
      <w:r w:rsidR="00A2740F">
        <w:rPr>
          <w:rFonts w:ascii="Arial" w:hAnsi="Arial" w:cs="Arial"/>
          <w:b/>
          <w:bCs/>
          <w:color w:val="333333"/>
          <w:sz w:val="25"/>
          <w:szCs w:val="25"/>
        </w:rPr>
        <w:t>. del Decreto 1082 de 2015, Único Reglamentario del Sector Administrativo de Planeación Nacional.</w:t>
      </w:r>
      <w:r w:rsidR="00A2740F">
        <w:rPr>
          <w:rFonts w:ascii="Arial" w:hAnsi="Arial" w:cs="Arial"/>
          <w:color w:val="333333"/>
          <w:sz w:val="25"/>
          <w:szCs w:val="25"/>
        </w:rPr>
        <w:t> Sustitúyanse los parágrafos transitorios del artículo 2.2.1.1.1.5.2. de la Subsección 5 de la Sección 1 del Capítulo 1 del Título 1 de la Parte 2 del Libro 2 del Decreto 1082 de 2015, único Reglamentario del Sector Administrativo de Planeación Nacional, los cuales quedarán así:</w:t>
      </w:r>
    </w:p>
    <w:p w:rsidR="00A2740F" w:rsidP="00A2740F" w:rsidRDefault="00A2740F" w14:paraId="12673AC1"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A2740F" w:rsidP="00A2740F" w:rsidRDefault="00A2740F" w14:paraId="1CFEC462"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w:t>
      </w:r>
      <w:hyperlink w:history="1" w:anchor="2.2.1.1.1.5.2.p1" r:id="rId19">
        <w:r>
          <w:rPr>
            <w:rStyle w:val="Hipervnculo"/>
            <w:rFonts w:ascii="Arial" w:hAnsi="Arial" w:cs="Arial"/>
            <w:b/>
            <w:bCs/>
            <w:color w:val="007BFF"/>
            <w:sz w:val="25"/>
            <w:szCs w:val="25"/>
          </w:rPr>
          <w:t>PARÁGRAFO TRANSITORIO 1:</w:t>
        </w:r>
      </w:hyperlink>
      <w:r>
        <w:rPr>
          <w:rFonts w:ascii="Arial" w:hAnsi="Arial" w:cs="Arial"/>
          <w:color w:val="333333"/>
          <w:sz w:val="25"/>
          <w:szCs w:val="25"/>
        </w:rPr>
        <w:t> A partir del 1 de junio de 2021, para efectos de la inscripción en el Registro Único de Proponentes, el interesado reportará la información contable de que tratan los numerales 1.3 y 2.3 de este artículo, correspondiente a los últimos tres (3) años fiscales anteriores al respectivo acto.</w:t>
      </w:r>
    </w:p>
    <w:p w:rsidR="00A2740F" w:rsidP="00A2740F" w:rsidRDefault="00A2740F" w14:paraId="2C6BD880"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A2740F" w:rsidP="00A2740F" w:rsidRDefault="00A2740F" w14:paraId="63A4B0EF"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En aquellos eventos en que el proponente no tenga la antigüedad suficiente para aportar la información financiera correspondiente a los tres (3) años descritos en el inciso anterior, podrá acreditar dicha información desde su primer cierre fiscal.</w:t>
      </w:r>
    </w:p>
    <w:p w:rsidR="00A2740F" w:rsidP="00A2740F" w:rsidRDefault="00A2740F" w14:paraId="5561E1DE"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A2740F" w:rsidP="00A2740F" w:rsidRDefault="00A2740F" w14:paraId="700B0825"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El proponente con inscripción activa y vigente que no tenga la información de la capacidad financiera y organizacional de los años 2018 y/o 2019 inscrita en el Registro Único de Proponentes, durante el mes de junio de 2021, podrá reportar por única vez, mediante una solicitud de actualización, únicamente la información contable correspondiente a estos años, sin costo alguno.</w:t>
      </w:r>
    </w:p>
    <w:p w:rsidR="00A2740F" w:rsidP="00A2740F" w:rsidRDefault="00A2740F" w14:paraId="48D3F40D"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A2740F" w:rsidP="00A2740F" w:rsidRDefault="00A2740F" w14:paraId="445B0FF2"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El proponente que tenga o haya tenido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rsidR="00A2740F" w:rsidP="00A2740F" w:rsidRDefault="00A2740F" w14:paraId="222CCC41"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A2740F" w:rsidP="00A2740F" w:rsidRDefault="00E13B98" w14:paraId="35B9C3DA" w14:textId="77777777">
      <w:pPr>
        <w:pStyle w:val="NormalWeb"/>
        <w:shd w:val="clear" w:color="auto" w:fill="FFFFFF"/>
        <w:spacing w:before="0" w:beforeAutospacing="0"/>
        <w:jc w:val="both"/>
        <w:rPr>
          <w:rFonts w:ascii="Arial" w:hAnsi="Arial" w:cs="Arial"/>
          <w:color w:val="333333"/>
          <w:sz w:val="25"/>
          <w:szCs w:val="25"/>
        </w:rPr>
      </w:pPr>
      <w:hyperlink w:history="1" w:anchor="2.2.1.1.1.5.2.p2" r:id="rId20">
        <w:r w:rsidR="00A2740F">
          <w:rPr>
            <w:rStyle w:val="Hipervnculo"/>
            <w:rFonts w:ascii="Arial" w:hAnsi="Arial" w:cs="Arial"/>
            <w:b/>
            <w:bCs/>
            <w:color w:val="007BFF"/>
            <w:sz w:val="25"/>
            <w:szCs w:val="25"/>
          </w:rPr>
          <w:t>PARÁGRAFO TRANSITORIO 2.</w:t>
        </w:r>
      </w:hyperlink>
      <w:r w:rsidR="00A2740F">
        <w:rPr>
          <w:rFonts w:ascii="Arial" w:hAnsi="Arial" w:cs="Arial"/>
          <w:color w:val="333333"/>
          <w:sz w:val="25"/>
          <w:szCs w:val="25"/>
        </w:rPr>
        <w:t>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rsidR="00A2740F" w:rsidP="00A2740F" w:rsidRDefault="00A2740F" w14:paraId="7BFC34AB"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A2740F" w:rsidP="00A2740F" w:rsidRDefault="00A2740F" w14:paraId="7B68AB83"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En aquellos eventos en que el proponente no tenga la antigüedad suficiente para aportar la información financiera correspondiente a los tres (3) años descritos en el inciso anterior, podrá acreditar dicha información desde su primer cierre fiscal.</w:t>
      </w:r>
    </w:p>
    <w:p w:rsidR="00A2740F" w:rsidP="00A2740F" w:rsidRDefault="00A2740F" w14:paraId="2CA4ECA7"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A2740F" w:rsidP="00A2740F" w:rsidRDefault="00A2740F" w14:paraId="38DD4424"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El proponente que tenga o haya tenido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p w:rsidR="00B541B1" w:rsidP="69672668" w:rsidRDefault="00B541B1" w14:paraId="66440A21" w14:textId="0FBA2FAB">
      <w:pPr>
        <w:pStyle w:val="NormalWeb"/>
        <w:shd w:val="clear" w:color="auto" w:fill="FFFFFF" w:themeFill="background1"/>
        <w:spacing w:before="0" w:beforeAutospacing="off"/>
        <w:jc w:val="both"/>
        <w:rPr>
          <w:rFonts w:ascii="Arial" w:hAnsi="Arial" w:cs="Arial"/>
          <w:color w:val="333333"/>
          <w:sz w:val="25"/>
          <w:szCs w:val="25"/>
        </w:rPr>
      </w:pPr>
      <w:r w:rsidRPr="5E1004AD" w:rsidR="00B541B1">
        <w:rPr>
          <w:rFonts w:ascii="Arial" w:hAnsi="Arial" w:cs="Arial"/>
          <w:color w:val="333333"/>
          <w:sz w:val="25"/>
          <w:szCs w:val="25"/>
        </w:rPr>
        <w:t xml:space="preserve">(Ver conceptos: </w:t>
      </w:r>
      <w:hyperlink r:id="R918d999444154ca0">
        <w:r w:rsidRPr="5E1004AD" w:rsidR="00B541B1">
          <w:rPr>
            <w:rStyle w:val="Hipervnculo"/>
            <w:rFonts w:ascii="Arial" w:hAnsi="Arial" w:cs="Arial"/>
            <w:sz w:val="25"/>
            <w:szCs w:val="25"/>
          </w:rPr>
          <w:t>C-288 del 17/06/2021</w:t>
        </w:r>
        <w:r w:rsidRPr="5E1004AD" w:rsidR="06D28709">
          <w:rPr>
            <w:rStyle w:val="Hipervnculo"/>
            <w:rFonts w:ascii="Arial" w:hAnsi="Arial" w:cs="Arial"/>
            <w:sz w:val="25"/>
            <w:szCs w:val="25"/>
          </w:rPr>
          <w:t>,</w:t>
        </w:r>
      </w:hyperlink>
      <w:r w:rsidRPr="5E1004AD" w:rsidR="06D28709">
        <w:rPr>
          <w:rFonts w:ascii="Arial" w:hAnsi="Arial" w:cs="Arial"/>
          <w:color w:val="333333"/>
          <w:sz w:val="25"/>
          <w:szCs w:val="25"/>
        </w:rPr>
        <w:t xml:space="preserve"> </w:t>
      </w:r>
      <w:hyperlink r:id="R741c1d5e8d9d4976">
        <w:r w:rsidRPr="5E1004AD" w:rsidR="06D28709">
          <w:rPr>
            <w:rStyle w:val="Hipervnculo"/>
            <w:b w:val="0"/>
            <w:bCs w:val="0"/>
            <w:i w:val="0"/>
            <w:iCs w:val="0"/>
            <w:caps w:val="0"/>
            <w:smallCaps w:val="0"/>
            <w:strike w:val="0"/>
            <w:dstrike w:val="0"/>
            <w:noProof w:val="0"/>
            <w:sz w:val="19"/>
            <w:szCs w:val="19"/>
            <w:lang w:val="es-MX"/>
          </w:rPr>
          <w:t>C-407 del 25/08/2021</w:t>
        </w:r>
      </w:hyperlink>
      <w:r w:rsidRPr="5E1004AD" w:rsidR="00B541B1">
        <w:rPr>
          <w:rFonts w:ascii="Arial" w:hAnsi="Arial" w:cs="Arial"/>
          <w:color w:val="333333"/>
          <w:sz w:val="25"/>
          <w:szCs w:val="25"/>
        </w:rPr>
        <w:t>)</w:t>
      </w:r>
    </w:p>
    <w:p w:rsidRPr="00601F85" w:rsidR="00601F85" w:rsidP="00A2740F" w:rsidRDefault="00601F85" w14:paraId="157D6B25"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6C0FD8F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ARTÍCULO </w:t>
      </w:r>
      <w:bookmarkStart w:name="5" w:id="4"/>
      <w:r w:rsidRPr="00601F85">
        <w:rPr>
          <w:rFonts w:ascii="Arial" w:hAnsi="Arial" w:eastAsia="Times New Roman" w:cs="Arial"/>
          <w:b/>
          <w:bCs/>
          <w:color w:val="333333"/>
          <w:sz w:val="25"/>
          <w:szCs w:val="25"/>
          <w:lang w:eastAsia="es-ES_tradnl"/>
        </w:rPr>
        <w:t> </w:t>
      </w:r>
      <w:bookmarkEnd w:id="4"/>
      <w:r w:rsidRPr="00601F85">
        <w:rPr>
          <w:rFonts w:ascii="Arial" w:hAnsi="Arial" w:eastAsia="Times New Roman" w:cs="Arial"/>
          <w:b/>
          <w:bCs/>
          <w:color w:val="333333"/>
          <w:sz w:val="25"/>
          <w:szCs w:val="25"/>
          <w:lang w:eastAsia="es-ES_tradnl"/>
        </w:rPr>
        <w:t>5. Adición de dos parágrafos transitorios al artículo </w:t>
      </w:r>
      <w:hyperlink w:history="1" w:anchor="2.2.1.1.1.5.6" r:id="rId22">
        <w:r w:rsidRPr="00601F85">
          <w:rPr>
            <w:rFonts w:ascii="Arial" w:hAnsi="Arial" w:eastAsia="Times New Roman" w:cs="Arial"/>
            <w:b/>
            <w:bCs/>
            <w:color w:val="007BFF"/>
            <w:sz w:val="25"/>
            <w:szCs w:val="25"/>
            <w:u w:val="single"/>
            <w:lang w:eastAsia="es-ES_tradnl"/>
          </w:rPr>
          <w:t>2.2.1.1.1.5.6.</w:t>
        </w:r>
      </w:hyperlink>
      <w:r w:rsidRPr="00601F85">
        <w:rPr>
          <w:rFonts w:ascii="Arial" w:hAnsi="Arial" w:eastAsia="Times New Roman" w:cs="Arial"/>
          <w:b/>
          <w:bCs/>
          <w:color w:val="333333"/>
          <w:sz w:val="25"/>
          <w:szCs w:val="25"/>
          <w:lang w:eastAsia="es-ES_tradnl"/>
        </w:rPr>
        <w:t> del Decreto 1082 de 2015, Único Reglamentario del Sector Administrativo de Planeación Nacional.</w:t>
      </w:r>
      <w:r w:rsidRPr="00601F85">
        <w:rPr>
          <w:rFonts w:ascii="Arial" w:hAnsi="Arial" w:eastAsia="Times New Roman" w:cs="Arial"/>
          <w:color w:val="333333"/>
          <w:sz w:val="25"/>
          <w:szCs w:val="25"/>
          <w:lang w:eastAsia="es-ES_tradnl"/>
        </w:rPr>
        <w:t> Adiciónense dos (2) parágrafos transitorios al artículo 2.2.1.1.1.5.6. de la Subsección 5 de la Sección 1 del Capítulo 1 del Título 1 de la Parte 2 del Libro 2 del Decreto 1082 de 2015, Único Reglamentario del Sector Administrativo de Planeación Nacional, los cuales quedarán así:</w:t>
      </w:r>
    </w:p>
    <w:p w:rsidRPr="00601F85" w:rsidR="00601F85" w:rsidP="00601F85" w:rsidRDefault="00601F85" w14:paraId="79E427E6"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00C35009" w:rsidP="00C35009" w:rsidRDefault="00C35009" w14:paraId="352FFC49"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Modificado por el artículo 2 del Decreto 579 de 2021. El nuevo texto es el siguiente. Sustitución del parágrafo </w:t>
      </w:r>
      <w:hyperlink w:history="1" w:anchor="2.2.1.1.1.5.6.p1" r:id="rId23">
        <w:r>
          <w:rPr>
            <w:rStyle w:val="Hipervnculo"/>
            <w:rFonts w:ascii="Arial" w:hAnsi="Arial" w:cs="Arial"/>
            <w:b/>
            <w:bCs/>
            <w:color w:val="007BFF"/>
            <w:sz w:val="25"/>
            <w:szCs w:val="25"/>
          </w:rPr>
          <w:t>transitorio 1</w:t>
        </w:r>
      </w:hyperlink>
      <w:r>
        <w:rPr>
          <w:rFonts w:ascii="Arial" w:hAnsi="Arial" w:cs="Arial"/>
          <w:b/>
          <w:bCs/>
          <w:color w:val="333333"/>
          <w:sz w:val="25"/>
          <w:szCs w:val="25"/>
        </w:rPr>
        <w:t> del artículo 2.2.1.1.1.5.6. del Decreto 1082 de 2015, Único Reglamentario del Sector Administrativo de Planeación Nacional.</w:t>
      </w:r>
      <w:r>
        <w:rPr>
          <w:rFonts w:ascii="Arial" w:hAnsi="Arial" w:cs="Arial"/>
          <w:color w:val="333333"/>
          <w:sz w:val="25"/>
          <w:szCs w:val="25"/>
        </w:rPr>
        <w:t> Sustitúyase el parágrafo transitorio 1 del artículo 2.2.1.1.1.5.6. de la Subsección 5 de la Sección 1 del Capítulo 1 del Título 1 de la Parte 2 del Libro 2 del Decreto 1082 de 2015, Único Reglamentario del Sector Administrativo de Planeación Nacional, el cual quedarán así:</w:t>
      </w:r>
    </w:p>
    <w:p w:rsidR="00C35009" w:rsidP="00C35009" w:rsidRDefault="00C35009" w14:paraId="566C1BCE"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C35009" w:rsidP="00C35009" w:rsidRDefault="00C35009" w14:paraId="2AD674ED"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"PARÁGRAFO TRANSITORIO 1:</w:t>
      </w:r>
      <w:r>
        <w:rPr>
          <w:rFonts w:ascii="Arial" w:hAnsi="Arial" w:cs="Arial"/>
          <w:color w:val="333333"/>
          <w:sz w:val="25"/>
          <w:szCs w:val="25"/>
        </w:rPr>
        <w:t> De conformidad con los parágrafos transitorios del artículo 2.2.1.1.1.5.2. del presente Decreto, los requisitos e indicadores de la capacidad financiera y organizacional de que trata el literal (b) del artículo 2.2.1.1.1.5.6. del Decreto número 1082 de 2015 corresponderán a los últimos tres (3) años fiscales anteriores a la inscripción o renovación, dependiendo de la antigüedad del proponente. En armonía con lo anterior, a partir del 1 de julio de 2021, las cámaras de comercio certificarán la información de que tratan los parágrafos transitorios 1 y 2 del artículo 2.2.1.1.1.5.2. de este Decreto".</w:t>
      </w:r>
    </w:p>
    <w:p w:rsidRPr="00601F85" w:rsidR="00601F85" w:rsidP="00601F85" w:rsidRDefault="00601F85" w14:paraId="1DB36F4A" w14:textId="77777777">
      <w:pPr>
        <w:shd w:val="clear" w:color="auto" w:fill="FFFFFF"/>
        <w:spacing w:after="100" w:afterAutospacing="1"/>
        <w:jc w:val="both"/>
        <w:rPr>
          <w:rFonts w:ascii="Arial" w:hAnsi="Arial" w:eastAsia="Times New Roman" w:cs="Arial"/>
          <w:color w:val="333333"/>
          <w:sz w:val="25"/>
          <w:szCs w:val="25"/>
          <w:lang w:eastAsia="es-ES_tradnl"/>
        </w:rPr>
      </w:pPr>
      <w:r w:rsidRPr="00601F85">
        <w:rPr>
          <w:rFonts w:ascii="Arial" w:hAnsi="Arial" w:eastAsia="Times New Roman" w:cs="Arial"/>
          <w:color w:val="333333"/>
          <w:sz w:val="25"/>
          <w:szCs w:val="25"/>
          <w:lang w:eastAsia="es-ES_tradnl"/>
        </w:rPr>
        <w:t> </w:t>
      </w:r>
    </w:p>
    <w:p w:rsidRPr="00601F85" w:rsidR="00601F85" w:rsidP="00601F85" w:rsidRDefault="00E13B98" w14:paraId="728A48D2" w14:textId="77777777">
      <w:pPr>
        <w:shd w:val="clear" w:color="auto" w:fill="FFFFFF"/>
        <w:spacing w:after="100" w:afterAutospacing="1"/>
        <w:jc w:val="both"/>
        <w:rPr>
          <w:rFonts w:ascii="Arial" w:hAnsi="Arial" w:eastAsia="Times New Roman" w:cs="Arial"/>
          <w:color w:val="333333"/>
          <w:sz w:val="25"/>
          <w:szCs w:val="25"/>
          <w:lang w:eastAsia="es-ES_tradnl"/>
        </w:rPr>
      </w:pPr>
      <w:hyperlink w:history="1" w:anchor="2.2.1.1.1.5.6.p2" r:id="rId24">
        <w:r w:rsidRPr="00601F85" w:rsidR="00601F85">
          <w:rPr>
            <w:rFonts w:ascii="Arial" w:hAnsi="Arial" w:eastAsia="Times New Roman" w:cs="Arial"/>
            <w:b/>
            <w:bCs/>
            <w:color w:val="007BFF"/>
            <w:sz w:val="25"/>
            <w:szCs w:val="25"/>
            <w:u w:val="single"/>
            <w:lang w:eastAsia="es-ES_tradnl"/>
          </w:rPr>
          <w:t>PARÁGRAFO TRANSITORIO 2</w:t>
        </w:r>
      </w:hyperlink>
      <w:r w:rsidRPr="00601F85" w:rsidR="00601F85">
        <w:rPr>
          <w:rFonts w:ascii="Arial" w:hAnsi="Arial" w:eastAsia="Times New Roman" w:cs="Arial"/>
          <w:b/>
          <w:bCs/>
          <w:color w:val="333333"/>
          <w:sz w:val="25"/>
          <w:szCs w:val="25"/>
          <w:lang w:eastAsia="es-ES_tradnl"/>
        </w:rPr>
        <w:t>:</w:t>
      </w:r>
      <w:r w:rsidRPr="00601F85" w:rsidR="00601F85">
        <w:rPr>
          <w:rFonts w:ascii="Arial" w:hAnsi="Arial" w:eastAsia="Times New Roman" w:cs="Arial"/>
          <w:color w:val="333333"/>
          <w:sz w:val="25"/>
          <w:szCs w:val="25"/>
          <w:lang w:eastAsia="es-ES_tradnl"/>
        </w:rPr>
        <w:t> 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rsidRPr="00601F85" w:rsidR="00601F85" w:rsidP="69672668" w:rsidRDefault="00601F85" w14:paraId="4579A89C" w14:textId="13B17557">
      <w:pPr>
        <w:pStyle w:val="NormalWeb"/>
        <w:shd w:val="clear" w:color="auto" w:fill="FFFFFF" w:themeFill="background1"/>
        <w:spacing w:before="0" w:beforeAutospacing="off"/>
        <w:jc w:val="both"/>
        <w:rPr>
          <w:rFonts w:ascii="Arial" w:hAnsi="Arial" w:cs="Arial"/>
          <w:color w:val="333333"/>
          <w:sz w:val="25"/>
          <w:szCs w:val="25"/>
        </w:rPr>
      </w:pPr>
      <w:r w:rsidRPr="5E1004AD" w:rsidR="00601F85">
        <w:rPr>
          <w:rFonts w:ascii="Arial" w:hAnsi="Arial" w:cs="Arial"/>
          <w:color w:val="333333"/>
          <w:sz w:val="25"/>
          <w:szCs w:val="25"/>
        </w:rPr>
        <w:t> </w:t>
      </w:r>
      <w:r w:rsidRPr="5E1004AD" w:rsidR="00B541B1">
        <w:rPr>
          <w:rFonts w:ascii="Arial" w:hAnsi="Arial" w:cs="Arial"/>
          <w:color w:val="333333"/>
          <w:sz w:val="25"/>
          <w:szCs w:val="25"/>
        </w:rPr>
        <w:t xml:space="preserve">(Ver conceptos: </w:t>
      </w:r>
      <w:hyperlink r:id="Rdb314f0b06484099">
        <w:r w:rsidRPr="5E1004AD" w:rsidR="00B541B1">
          <w:rPr>
            <w:rStyle w:val="Hipervnculo"/>
            <w:rFonts w:ascii="Arial" w:hAnsi="Arial" w:cs="Arial"/>
            <w:sz w:val="25"/>
            <w:szCs w:val="25"/>
          </w:rPr>
          <w:t>C-288 del 17/06/2021</w:t>
        </w:r>
        <w:r w:rsidRPr="5E1004AD" w:rsidR="343C5294">
          <w:rPr>
            <w:rStyle w:val="Hipervnculo"/>
            <w:rFonts w:ascii="Arial" w:hAnsi="Arial" w:cs="Arial"/>
            <w:sz w:val="25"/>
            <w:szCs w:val="25"/>
          </w:rPr>
          <w:t>,</w:t>
        </w:r>
      </w:hyperlink>
      <w:r w:rsidRPr="5E1004AD" w:rsidR="343C5294">
        <w:rPr>
          <w:rFonts w:ascii="Arial" w:hAnsi="Arial" w:cs="Arial"/>
          <w:color w:val="333333"/>
          <w:sz w:val="25"/>
          <w:szCs w:val="25"/>
        </w:rPr>
        <w:t xml:space="preserve"> </w:t>
      </w:r>
      <w:hyperlink r:id="R0e458a293d3449e6">
        <w:r w:rsidRPr="5E1004AD" w:rsidR="343C5294">
          <w:rPr>
            <w:rStyle w:val="Hipervnculo"/>
            <w:b w:val="0"/>
            <w:bCs w:val="0"/>
            <w:i w:val="0"/>
            <w:iCs w:val="0"/>
            <w:caps w:val="0"/>
            <w:smallCaps w:val="0"/>
            <w:strike w:val="0"/>
            <w:dstrike w:val="0"/>
            <w:noProof w:val="0"/>
            <w:sz w:val="19"/>
            <w:szCs w:val="19"/>
            <w:lang w:val="es-MX"/>
          </w:rPr>
          <w:t>C-407 del 25/08/202</w:t>
        </w:r>
      </w:hyperlink>
      <w:r w:rsidRPr="5E1004AD" w:rsidR="343C5294">
        <w:rPr>
          <w:b w:val="0"/>
          <w:bCs w:val="0"/>
          <w:i w:val="0"/>
          <w:iCs w:val="0"/>
          <w:caps w:val="0"/>
          <w:smallCaps w:val="0"/>
          <w:strike w:val="0"/>
          <w:dstrike w:val="0"/>
          <w:noProof w:val="0"/>
          <w:color w:val="000000" w:themeColor="text1" w:themeTint="FF" w:themeShade="FF"/>
          <w:sz w:val="19"/>
          <w:szCs w:val="19"/>
          <w:u w:val="none"/>
          <w:lang w:val="es-MX"/>
        </w:rPr>
        <w:t>1</w:t>
      </w:r>
      <w:r w:rsidRPr="5E1004AD" w:rsidR="00B541B1">
        <w:rPr>
          <w:rFonts w:ascii="Arial" w:hAnsi="Arial" w:cs="Arial"/>
          <w:color w:val="333333"/>
          <w:sz w:val="25"/>
          <w:szCs w:val="25"/>
        </w:rPr>
        <w:t>)</w:t>
      </w:r>
    </w:p>
    <w:p w:rsidR="4CC9445E" w:rsidP="4CC9445E" w:rsidRDefault="4CC9445E" w14:paraId="3ED06843" w14:textId="3503EE47">
      <w:pPr>
        <w:pStyle w:val="NormalWeb"/>
        <w:shd w:val="clear" w:color="auto" w:fill="FFFFFF" w:themeFill="background1"/>
        <w:spacing w:before="0" w:beforeAutospacing="0"/>
        <w:jc w:val="both"/>
        <w:rPr>
          <w:rFonts w:ascii="Arial" w:hAnsi="Arial" w:cs="Arial"/>
          <w:b/>
          <w:bCs/>
          <w:color w:val="333333"/>
          <w:sz w:val="25"/>
          <w:szCs w:val="25"/>
        </w:rPr>
      </w:pPr>
    </w:p>
    <w:p w:rsidR="00F73D7E" w:rsidP="4CC9445E" w:rsidRDefault="00601F85" w14:paraId="68496AB3" w14:textId="3CD96A80">
      <w:pPr>
        <w:pStyle w:val="NormalWeb"/>
        <w:shd w:val="clear" w:color="auto" w:fill="FFFFFF" w:themeFill="background1"/>
        <w:spacing w:before="0" w:beforeAutospacing="0"/>
        <w:jc w:val="both"/>
        <w:rPr>
          <w:rFonts w:ascii="Arial" w:hAnsi="Arial" w:cs="Arial"/>
          <w:color w:val="333333"/>
          <w:sz w:val="25"/>
          <w:szCs w:val="25"/>
        </w:rPr>
      </w:pPr>
      <w:r w:rsidRPr="4CC9445E">
        <w:rPr>
          <w:rFonts w:ascii="Arial" w:hAnsi="Arial" w:cs="Arial"/>
          <w:b/>
          <w:bCs/>
          <w:color w:val="333333"/>
          <w:sz w:val="25"/>
          <w:szCs w:val="25"/>
        </w:rPr>
        <w:t>ARTÍCULO </w:t>
      </w:r>
      <w:bookmarkStart w:name="6" w:id="5"/>
      <w:r w:rsidRPr="4CC9445E">
        <w:rPr>
          <w:rFonts w:ascii="Arial" w:hAnsi="Arial" w:cs="Arial"/>
          <w:b/>
          <w:bCs/>
          <w:color w:val="333333"/>
          <w:sz w:val="25"/>
          <w:szCs w:val="25"/>
        </w:rPr>
        <w:t> </w:t>
      </w:r>
      <w:bookmarkEnd w:id="5"/>
      <w:r w:rsidRPr="4CC9445E">
        <w:rPr>
          <w:rFonts w:ascii="Arial" w:hAnsi="Arial" w:cs="Arial"/>
          <w:b/>
          <w:bCs/>
          <w:color w:val="333333"/>
          <w:sz w:val="25"/>
          <w:szCs w:val="25"/>
        </w:rPr>
        <w:t xml:space="preserve">6. </w:t>
      </w:r>
      <w:r w:rsidRPr="4CC9445E" w:rsidR="00F73D7E">
        <w:rPr>
          <w:rFonts w:ascii="Arial" w:hAnsi="Arial" w:cs="Arial"/>
          <w:b/>
          <w:bCs/>
          <w:color w:val="333333"/>
          <w:sz w:val="25"/>
          <w:szCs w:val="25"/>
        </w:rPr>
        <w:t xml:space="preserve">Modificado por el artículo 3 del Decreto </w:t>
      </w:r>
      <w:r w:rsidRPr="4CC9445E" w:rsidR="36F78D7C">
        <w:rPr>
          <w:rFonts w:ascii="Arial" w:hAnsi="Arial" w:cs="Arial"/>
          <w:b/>
          <w:bCs/>
          <w:color w:val="333333"/>
          <w:sz w:val="25"/>
          <w:szCs w:val="25"/>
        </w:rPr>
        <w:t>5</w:t>
      </w:r>
      <w:r w:rsidRPr="4CC9445E" w:rsidR="00F73D7E">
        <w:rPr>
          <w:rFonts w:ascii="Arial" w:hAnsi="Arial" w:cs="Arial"/>
          <w:b/>
          <w:bCs/>
          <w:color w:val="333333"/>
          <w:sz w:val="25"/>
          <w:szCs w:val="25"/>
        </w:rPr>
        <w:t>79 de 2021. El nuevo texto es el siguiente. Sustitución del </w:t>
      </w:r>
      <w:hyperlink w:anchor="2.2.1.1.1.6.2.p" r:id="rId26">
        <w:r w:rsidRPr="4CC9445E" w:rsidR="00F73D7E">
          <w:rPr>
            <w:rStyle w:val="Hipervnculo"/>
            <w:rFonts w:ascii="Arial" w:hAnsi="Arial" w:cs="Arial"/>
            <w:b/>
            <w:bCs/>
            <w:color w:val="007BFF"/>
            <w:sz w:val="25"/>
            <w:szCs w:val="25"/>
          </w:rPr>
          <w:t>parágrafo transitorio</w:t>
        </w:r>
      </w:hyperlink>
      <w:r w:rsidRPr="4CC9445E" w:rsidR="00F73D7E">
        <w:rPr>
          <w:rFonts w:ascii="Arial" w:hAnsi="Arial" w:cs="Arial"/>
          <w:b/>
          <w:bCs/>
          <w:color w:val="333333"/>
          <w:sz w:val="25"/>
          <w:szCs w:val="25"/>
        </w:rPr>
        <w:t> del artículo 2.2.1.1.1.6.2. del Decreto 1082 de 2015, Único Reglamentario del Sector Administrativo de Planeación Nacional.</w:t>
      </w:r>
      <w:r w:rsidRPr="4CC9445E" w:rsidR="00F73D7E">
        <w:rPr>
          <w:rFonts w:ascii="Arial" w:hAnsi="Arial" w:cs="Arial"/>
          <w:color w:val="333333"/>
          <w:sz w:val="25"/>
          <w:szCs w:val="25"/>
        </w:rPr>
        <w:t> Sustitúyase el parágrafo transitorio al artículo 2.2.1.1.1.6.2. de la Subsección 6 de la Sección 1 del Capítulo 1 del Título 1 de la Parte 2 del Libro 2 del Decreto 1082 de 2015, Único Reglamentario del Sector Administrativo de Planeación Nacional, el cual quedará así:</w:t>
      </w:r>
    </w:p>
    <w:p w:rsidR="00F73D7E" w:rsidP="00F73D7E" w:rsidRDefault="00F73D7E" w14:paraId="28D17827"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 </w:t>
      </w:r>
    </w:p>
    <w:p w:rsidR="00F73D7E" w:rsidP="00F73D7E" w:rsidRDefault="00F73D7E" w14:paraId="4E2E5513"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b/>
          <w:bCs/>
          <w:color w:val="333333"/>
          <w:sz w:val="25"/>
          <w:szCs w:val="25"/>
        </w:rPr>
        <w:t>"PARÁGRAFO TRANSITORIO:</w:t>
      </w:r>
      <w:r>
        <w:rPr>
          <w:rFonts w:ascii="Arial" w:hAnsi="Arial" w:cs="Arial"/>
          <w:color w:val="333333"/>
          <w:sz w:val="25"/>
          <w:szCs w:val="25"/>
        </w:rPr>
        <w:t> De conformidad con los parágrafos transitorios de los artículos 2.2.1.1.1.5.2. y 2.2.1.1.1.5.6., y en desarrollo del deber de análisis de las Entidades Estatales, de que trata el artículo 2.2. 1.1.1.6.1. de este Decreto, a partir del 1 de julio de 2021 las Entidades Estatales establecerán y evaluarán los requisitos habilitantes de capacidad financiera y organizacional teniendo en cuenta la información que conste en el Registro Único de Proponentes. En todo caso, se establecerán indicadores proporcionales al procedimiento de contratación.</w:t>
      </w:r>
    </w:p>
    <w:p w:rsidR="00F73D7E" w:rsidP="00F73D7E" w:rsidRDefault="00F73D7E" w14:paraId="5D86C630"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 </w:t>
      </w:r>
    </w:p>
    <w:p w:rsidR="00F73D7E" w:rsidP="00F73D7E" w:rsidRDefault="00F73D7E" w14:paraId="5F1C5FC6" w14:textId="77777777">
      <w:pPr>
        <w:pStyle w:val="NormalWeb"/>
        <w:shd w:val="clear" w:color="auto" w:fill="FFFFFF"/>
        <w:spacing w:before="0" w:beforeAutospacing="0"/>
        <w:jc w:val="both"/>
        <w:rPr>
          <w:rFonts w:ascii="Arial" w:hAnsi="Arial" w:cs="Arial"/>
          <w:color w:val="333333"/>
          <w:sz w:val="25"/>
          <w:szCs w:val="25"/>
        </w:rPr>
      </w:pPr>
      <w:r>
        <w:rPr>
          <w:rFonts w:ascii="Arial" w:hAnsi="Arial" w:cs="Arial"/>
          <w:color w:val="333333"/>
          <w:sz w:val="25"/>
          <w:szCs w:val="25"/>
        </w:rPr>
        <w:t>Para ello, atendiendo a las condiciones aludidas, en relación con los indicadores de la capacidad financiera y organizacional, de los procesos de selección cuyo acto administrativo de apertura o invitación se publique a partir del 1 de julio de 2021, se tendrá en cuenta la información vigente y en firme en el RUP, por lo que las Entidades Estatales evaluarán estos indicadores, teniendo en cuenta el mejor año fiscal que se refleje en el registro de cada proponente".</w:t>
      </w:r>
    </w:p>
    <w:p w:rsidRPr="00601F85" w:rsidR="00601F85" w:rsidP="69672668" w:rsidRDefault="00601F85" w14:paraId="7445F118" w14:textId="0DB37281">
      <w:pPr>
        <w:pStyle w:val="NormalWeb"/>
        <w:shd w:val="clear" w:color="auto" w:fill="FFFFFF" w:themeFill="background1"/>
        <w:spacing w:before="0" w:beforeAutospacing="off"/>
        <w:jc w:val="both"/>
        <w:rPr>
          <w:rFonts w:ascii="Arial" w:hAnsi="Arial" w:cs="Arial"/>
          <w:color w:val="333333"/>
          <w:sz w:val="25"/>
          <w:szCs w:val="25"/>
        </w:rPr>
      </w:pPr>
      <w:r w:rsidRPr="5E1004AD" w:rsidR="00601F85">
        <w:rPr>
          <w:rFonts w:ascii="Arial" w:hAnsi="Arial" w:cs="Arial"/>
          <w:color w:val="333333"/>
          <w:sz w:val="25"/>
          <w:szCs w:val="25"/>
        </w:rPr>
        <w:t> </w:t>
      </w:r>
      <w:r w:rsidRPr="5E1004AD" w:rsidR="00B541B1">
        <w:rPr>
          <w:rFonts w:ascii="Arial" w:hAnsi="Arial" w:cs="Arial"/>
          <w:color w:val="333333"/>
          <w:sz w:val="25"/>
          <w:szCs w:val="25"/>
        </w:rPr>
        <w:t xml:space="preserve">(Ver conceptos: </w:t>
      </w:r>
      <w:hyperlink r:id="R083f74d5744d4e8c">
        <w:r w:rsidRPr="5E1004AD" w:rsidR="00B541B1">
          <w:rPr>
            <w:rStyle w:val="Hipervnculo"/>
            <w:rFonts w:ascii="Arial" w:hAnsi="Arial" w:cs="Arial"/>
            <w:sz w:val="25"/>
            <w:szCs w:val="25"/>
          </w:rPr>
          <w:t>C-288 del 17/06/2021</w:t>
        </w:r>
        <w:r w:rsidRPr="5E1004AD" w:rsidR="22360F2C">
          <w:rPr>
            <w:rStyle w:val="Hipervnculo"/>
            <w:rFonts w:ascii="Arial" w:hAnsi="Arial" w:cs="Arial"/>
            <w:sz w:val="25"/>
            <w:szCs w:val="25"/>
          </w:rPr>
          <w:t>,</w:t>
        </w:r>
      </w:hyperlink>
      <w:r w:rsidRPr="5E1004AD" w:rsidR="22360F2C">
        <w:rPr>
          <w:rFonts w:ascii="Arial" w:hAnsi="Arial" w:cs="Arial"/>
          <w:color w:val="333333"/>
          <w:sz w:val="25"/>
          <w:szCs w:val="25"/>
        </w:rPr>
        <w:t xml:space="preserve"> </w:t>
      </w:r>
      <w:hyperlink r:id="R0d76326751654102">
        <w:r w:rsidRPr="5E1004AD" w:rsidR="22360F2C">
          <w:rPr>
            <w:rStyle w:val="Hipervnculo"/>
            <w:b w:val="0"/>
            <w:bCs w:val="0"/>
            <w:i w:val="0"/>
            <w:iCs w:val="0"/>
            <w:caps w:val="0"/>
            <w:smallCaps w:val="0"/>
            <w:strike w:val="0"/>
            <w:dstrike w:val="0"/>
            <w:noProof w:val="0"/>
            <w:sz w:val="19"/>
            <w:szCs w:val="19"/>
            <w:lang w:val="es-MX"/>
          </w:rPr>
          <w:t>C-407 del 25/08/2021</w:t>
        </w:r>
      </w:hyperlink>
      <w:r w:rsidRPr="5E1004AD" w:rsidR="00B541B1">
        <w:rPr>
          <w:rFonts w:ascii="Arial" w:hAnsi="Arial" w:cs="Arial"/>
          <w:color w:val="333333"/>
          <w:sz w:val="25"/>
          <w:szCs w:val="25"/>
        </w:rPr>
        <w:t>)</w:t>
      </w:r>
    </w:p>
    <w:p w:rsidR="4CC9445E" w:rsidP="4CC9445E" w:rsidRDefault="4CC9445E" w14:paraId="13E508BA" w14:textId="48D72FFB">
      <w:pPr>
        <w:shd w:val="clear" w:color="auto" w:fill="FFFFFF" w:themeFill="background1"/>
        <w:spacing w:afterAutospacing="1"/>
        <w:jc w:val="both"/>
        <w:rPr>
          <w:rFonts w:ascii="Arial" w:hAnsi="Arial" w:eastAsia="Times New Roman" w:cs="Arial"/>
          <w:b/>
          <w:bCs/>
          <w:color w:val="333333"/>
          <w:sz w:val="25"/>
          <w:szCs w:val="25"/>
          <w:lang w:eastAsia="es-ES"/>
        </w:rPr>
      </w:pPr>
    </w:p>
    <w:p w:rsidRPr="00E13B98" w:rsidR="00601F85" w:rsidP="00601F85" w:rsidRDefault="00601F85" w14:paraId="40392150" w14:textId="77777777">
      <w:pPr>
        <w:shd w:val="clear" w:color="auto" w:fill="FFFFFF"/>
        <w:spacing w:after="100" w:afterAutospacing="1"/>
        <w:jc w:val="both"/>
        <w:rPr>
          <w:rFonts w:ascii="Arial" w:hAnsi="Arial" w:eastAsia="Times New Roman" w:cs="Arial"/>
          <w:color w:val="333333"/>
          <w:sz w:val="25"/>
          <w:szCs w:val="25"/>
          <w:lang w:eastAsia="es-ES_tradnl"/>
        </w:rPr>
      </w:pPr>
      <w:r w:rsidRPr="00E13B98">
        <w:rPr>
          <w:rFonts w:ascii="Arial" w:hAnsi="Arial" w:eastAsia="Times New Roman" w:cs="Arial"/>
          <w:color w:val="333333"/>
          <w:sz w:val="25"/>
          <w:szCs w:val="25"/>
          <w:lang w:eastAsia="es-ES_tradnl"/>
        </w:rPr>
        <w:t>ARTÍCULO </w:t>
      </w:r>
      <w:bookmarkStart w:name="7" w:id="6"/>
      <w:r w:rsidRPr="00E13B98">
        <w:rPr>
          <w:rFonts w:ascii="Arial" w:hAnsi="Arial" w:eastAsia="Times New Roman" w:cs="Arial"/>
          <w:color w:val="333333"/>
          <w:sz w:val="25"/>
          <w:szCs w:val="25"/>
          <w:lang w:eastAsia="es-ES_tradnl"/>
        </w:rPr>
        <w:t> </w:t>
      </w:r>
      <w:bookmarkEnd w:id="6"/>
      <w:r w:rsidRPr="00E13B98">
        <w:rPr>
          <w:rFonts w:ascii="Arial" w:hAnsi="Arial" w:eastAsia="Times New Roman" w:cs="Arial"/>
          <w:color w:val="333333"/>
          <w:sz w:val="25"/>
          <w:szCs w:val="25"/>
          <w:lang w:eastAsia="es-ES_tradnl"/>
        </w:rPr>
        <w:t>7. Vigencia. El presente Decreto rige a partir de su publicación y modifica los artículos </w:t>
      </w:r>
      <w:hyperlink w:history="1" w:anchor="2.2.1.1.2.1.1" r:id="rId28">
        <w:r w:rsidRPr="00E13B98">
          <w:rPr>
            <w:rFonts w:ascii="Arial" w:hAnsi="Arial" w:eastAsia="Times New Roman" w:cs="Arial"/>
            <w:color w:val="007BFF"/>
            <w:sz w:val="25"/>
            <w:szCs w:val="25"/>
            <w:u w:val="single"/>
            <w:lang w:eastAsia="es-ES_tradnl"/>
          </w:rPr>
          <w:t>2.2.1.1.2.1.1</w:t>
        </w:r>
      </w:hyperlink>
      <w:r w:rsidRPr="00E13B98">
        <w:rPr>
          <w:rFonts w:ascii="Arial" w:hAnsi="Arial" w:eastAsia="Times New Roman" w:cs="Arial"/>
          <w:color w:val="333333"/>
          <w:sz w:val="25"/>
          <w:szCs w:val="25"/>
          <w:lang w:eastAsia="es-ES_tradnl"/>
        </w:rPr>
        <w:t>., </w:t>
      </w:r>
      <w:hyperlink w:history="1" w:anchor="2.2.1.2.1.3.2" r:id="rId29">
        <w:r w:rsidRPr="00E13B98">
          <w:rPr>
            <w:rFonts w:ascii="Arial" w:hAnsi="Arial" w:eastAsia="Times New Roman" w:cs="Arial"/>
            <w:color w:val="007BFF"/>
            <w:sz w:val="25"/>
            <w:szCs w:val="25"/>
            <w:u w:val="single"/>
            <w:lang w:eastAsia="es-ES_tradnl"/>
          </w:rPr>
          <w:t>2.2.1.2.1.3.2</w:t>
        </w:r>
      </w:hyperlink>
      <w:r w:rsidRPr="00E13B98">
        <w:rPr>
          <w:rFonts w:ascii="Arial" w:hAnsi="Arial" w:eastAsia="Times New Roman" w:cs="Arial"/>
          <w:color w:val="333333"/>
          <w:sz w:val="25"/>
          <w:szCs w:val="25"/>
          <w:lang w:eastAsia="es-ES_tradnl"/>
        </w:rPr>
        <w:t>. y </w:t>
      </w:r>
      <w:hyperlink w:history="1" w:anchor="2.2.1.2.3.1.14" r:id="rId30">
        <w:r w:rsidRPr="00E13B98">
          <w:rPr>
            <w:rFonts w:ascii="Arial" w:hAnsi="Arial" w:eastAsia="Times New Roman" w:cs="Arial"/>
            <w:color w:val="007BFF"/>
            <w:sz w:val="25"/>
            <w:szCs w:val="25"/>
            <w:u w:val="single"/>
            <w:lang w:eastAsia="es-ES_tradnl"/>
          </w:rPr>
          <w:t>2.2.1.2.3.1.14</w:t>
        </w:r>
      </w:hyperlink>
      <w:r w:rsidRPr="00E13B98">
        <w:rPr>
          <w:rFonts w:ascii="Arial" w:hAnsi="Arial" w:eastAsia="Times New Roman" w:cs="Arial"/>
          <w:color w:val="333333"/>
          <w:sz w:val="25"/>
          <w:szCs w:val="25"/>
          <w:lang w:eastAsia="es-ES_tradnl"/>
        </w:rPr>
        <w:t>.; adiciona dos parágrafos transitorios al artículo </w:t>
      </w:r>
      <w:hyperlink w:history="1" w:anchor="2.2.1.1.1.5.2" r:id="rId31">
        <w:r w:rsidRPr="00E13B98">
          <w:rPr>
            <w:rFonts w:ascii="Arial" w:hAnsi="Arial" w:eastAsia="Times New Roman" w:cs="Arial"/>
            <w:color w:val="007BFF"/>
            <w:sz w:val="25"/>
            <w:szCs w:val="25"/>
            <w:u w:val="single"/>
            <w:lang w:eastAsia="es-ES_tradnl"/>
          </w:rPr>
          <w:t>2.2.1.1.1.5.2</w:t>
        </w:r>
      </w:hyperlink>
      <w:r w:rsidRPr="00E13B98">
        <w:rPr>
          <w:rFonts w:ascii="Arial" w:hAnsi="Arial" w:eastAsia="Times New Roman" w:cs="Arial"/>
          <w:color w:val="333333"/>
          <w:sz w:val="25"/>
          <w:szCs w:val="25"/>
          <w:lang w:eastAsia="es-ES_tradnl"/>
        </w:rPr>
        <w:t>.; adiciona dos parágrafos transitorios al artículo </w:t>
      </w:r>
      <w:hyperlink w:history="1" w:anchor="2.2.1.1.1.5.6" r:id="rId32">
        <w:r w:rsidRPr="00E13B98">
          <w:rPr>
            <w:rFonts w:ascii="Arial" w:hAnsi="Arial" w:eastAsia="Times New Roman" w:cs="Arial"/>
            <w:color w:val="007BFF"/>
            <w:sz w:val="25"/>
            <w:szCs w:val="25"/>
            <w:u w:val="single"/>
            <w:lang w:eastAsia="es-ES_tradnl"/>
          </w:rPr>
          <w:t>2.2.1.1.1.5.6</w:t>
        </w:r>
      </w:hyperlink>
      <w:r w:rsidRPr="00E13B98">
        <w:rPr>
          <w:rFonts w:ascii="Arial" w:hAnsi="Arial" w:eastAsia="Times New Roman" w:cs="Arial"/>
          <w:color w:val="333333"/>
          <w:sz w:val="25"/>
          <w:szCs w:val="25"/>
          <w:lang w:eastAsia="es-ES_tradnl"/>
        </w:rPr>
        <w:t>. y adiciona un parágrafo transitorio al artículo </w:t>
      </w:r>
      <w:hyperlink w:history="1" w:anchor="2.2.1.1.1.6.2" r:id="rId33">
        <w:r w:rsidRPr="00E13B98">
          <w:rPr>
            <w:rFonts w:ascii="Arial" w:hAnsi="Arial" w:eastAsia="Times New Roman" w:cs="Arial"/>
            <w:color w:val="007BFF"/>
            <w:sz w:val="25"/>
            <w:szCs w:val="25"/>
            <w:u w:val="single"/>
            <w:lang w:eastAsia="es-ES_tradnl"/>
          </w:rPr>
          <w:t>2.2.1.1.1.6.2</w:t>
        </w:r>
      </w:hyperlink>
      <w:r w:rsidRPr="00E13B98">
        <w:rPr>
          <w:rFonts w:ascii="Arial" w:hAnsi="Arial" w:eastAsia="Times New Roman" w:cs="Arial"/>
          <w:color w:val="333333"/>
          <w:sz w:val="25"/>
          <w:szCs w:val="25"/>
          <w:lang w:eastAsia="es-ES_tradnl"/>
        </w:rPr>
        <w:t>. del Decreto 1082 de 2015, Único Reglamentario del Sector Administrativo de Planeación Nacional.</w:t>
      </w:r>
    </w:p>
    <w:p w:rsidRPr="00E13B98" w:rsidR="00601F85" w:rsidP="00601F85" w:rsidRDefault="00601F85" w14:paraId="5380F020" w14:textId="77777777">
      <w:pPr>
        <w:shd w:val="clear" w:color="auto" w:fill="FFFFFF"/>
        <w:spacing w:after="100" w:afterAutospacing="1"/>
        <w:jc w:val="both"/>
        <w:rPr>
          <w:rFonts w:ascii="Arial" w:hAnsi="Arial" w:eastAsia="Times New Roman" w:cs="Arial"/>
          <w:color w:val="333333"/>
          <w:sz w:val="25"/>
          <w:szCs w:val="25"/>
          <w:lang w:eastAsia="es-ES_tradnl"/>
        </w:rPr>
      </w:pPr>
      <w:r w:rsidRPr="00E13B98">
        <w:rPr>
          <w:rFonts w:ascii="Arial" w:hAnsi="Arial" w:eastAsia="Times New Roman" w:cs="Arial"/>
          <w:color w:val="333333"/>
          <w:sz w:val="25"/>
          <w:szCs w:val="25"/>
          <w:lang w:eastAsia="es-ES_tradnl"/>
        </w:rPr>
        <w:t> </w:t>
      </w:r>
    </w:p>
    <w:p w:rsidRPr="00E13B98" w:rsidR="00601F85" w:rsidP="4EE7B336" w:rsidRDefault="00601F85" w14:paraId="7704E73F" w14:textId="77777777">
      <w:pPr>
        <w:shd w:val="clear" w:color="auto" w:fill="FFFFFF" w:themeFill="background1"/>
        <w:spacing w:after="100" w:afterAutospacing="on"/>
        <w:jc w:val="both"/>
        <w:rPr>
          <w:rFonts w:ascii="Arial" w:hAnsi="Arial" w:eastAsia="Times New Roman" w:cs="Arial"/>
          <w:color w:val="333333"/>
          <w:sz w:val="25"/>
          <w:szCs w:val="25"/>
          <w:lang w:eastAsia="es-ES"/>
        </w:rPr>
      </w:pPr>
      <w:r w:rsidRPr="4EE7B336" w:rsidR="00601F85">
        <w:rPr>
          <w:rFonts w:ascii="Arial" w:hAnsi="Arial" w:eastAsia="Times New Roman" w:cs="Arial"/>
          <w:color w:val="333333"/>
          <w:sz w:val="25"/>
          <w:szCs w:val="25"/>
          <w:lang w:eastAsia="es-ES"/>
        </w:rPr>
        <w:t xml:space="preserve">PARÁGRAFO. Los procedimientos de selección en que se hubiera publicado el aviso de convocatoria con anterioridad a la </w:t>
      </w:r>
      <w:r w:rsidRPr="4EE7B336" w:rsidR="00601F85">
        <w:rPr>
          <w:rFonts w:ascii="Arial" w:hAnsi="Arial" w:eastAsia="Times New Roman" w:cs="Arial"/>
          <w:color w:val="333333"/>
          <w:sz w:val="25"/>
          <w:szCs w:val="25"/>
          <w:lang w:eastAsia="es-ES"/>
        </w:rPr>
        <w:t>entrada en vigencia</w:t>
      </w:r>
      <w:r w:rsidRPr="4EE7B336" w:rsidR="00601F85">
        <w:rPr>
          <w:rFonts w:ascii="Arial" w:hAnsi="Arial" w:eastAsia="Times New Roman" w:cs="Arial"/>
          <w:color w:val="333333"/>
          <w:sz w:val="25"/>
          <w:szCs w:val="25"/>
          <w:lang w:eastAsia="es-ES"/>
        </w:rPr>
        <w:t xml:space="preserve"> del presente Decreto se continuarán rigiendo por las disposiciones vigentes para dicho momento.</w:t>
      </w:r>
    </w:p>
    <w:p w:rsidR="7D115710" w:rsidP="4EE7B336" w:rsidRDefault="7D115710" w14:paraId="4845F48D" w14:textId="0055FF3C">
      <w:pPr>
        <w:pStyle w:val="Normal"/>
        <w:shd w:val="clear" w:color="auto" w:fill="FFFFFF" w:themeFill="background1"/>
        <w:spacing w:afterAutospacing="on"/>
        <w:jc w:val="both"/>
        <w:rPr>
          <w:rFonts w:ascii="Arial" w:hAnsi="Arial" w:eastAsia="Times New Roman" w:cs="Arial"/>
          <w:color w:val="333333"/>
          <w:sz w:val="25"/>
          <w:szCs w:val="25"/>
          <w:lang w:eastAsia="es-ES"/>
        </w:rPr>
      </w:pPr>
      <w:r w:rsidRPr="4EE7B336" w:rsidR="7D115710">
        <w:rPr>
          <w:rFonts w:ascii="Arial" w:hAnsi="Arial" w:eastAsia="Times New Roman" w:cs="Arial"/>
          <w:color w:val="333333"/>
          <w:sz w:val="25"/>
          <w:szCs w:val="25"/>
          <w:lang w:eastAsia="es-ES"/>
        </w:rPr>
        <w:t xml:space="preserve"> </w:t>
      </w:r>
    </w:p>
    <w:p w:rsidR="7D115710" w:rsidP="4EE7B336" w:rsidRDefault="7D115710" w14:paraId="7A57C2D8" w14:textId="6AB8AE38">
      <w:pPr>
        <w:pStyle w:val="Normal"/>
        <w:shd w:val="clear" w:color="auto" w:fill="FFFFFF" w:themeFill="background1"/>
        <w:spacing w:afterAutospacing="on"/>
        <w:jc w:val="both"/>
        <w:rPr>
          <w:rFonts w:ascii="Arial" w:hAnsi="Arial" w:eastAsia="Times New Roman" w:cs="Arial"/>
          <w:color w:val="333333"/>
          <w:sz w:val="25"/>
          <w:szCs w:val="25"/>
          <w:lang w:eastAsia="es-ES"/>
        </w:rPr>
      </w:pPr>
      <w:r w:rsidRPr="50DC3803" w:rsidR="7D115710">
        <w:rPr>
          <w:rFonts w:ascii="Arial" w:hAnsi="Arial" w:eastAsia="Times New Roman" w:cs="Arial"/>
          <w:color w:val="333333"/>
          <w:sz w:val="25"/>
          <w:szCs w:val="25"/>
          <w:lang w:eastAsia="es-ES"/>
        </w:rPr>
        <w:t>Ver conceptos: (</w:t>
      </w:r>
      <w:hyperlink r:id="R2d32efb20c2f4178">
        <w:r w:rsidRPr="50DC3803" w:rsidR="7D115710">
          <w:rPr>
            <w:rStyle w:val="Hipervnculo"/>
            <w:rFonts w:ascii="Arial" w:hAnsi="Arial" w:eastAsia="Times New Roman" w:cs="Arial"/>
            <w:sz w:val="25"/>
            <w:szCs w:val="25"/>
            <w:lang w:eastAsia="es-ES"/>
          </w:rPr>
          <w:t>C-540 del 25/08/2021</w:t>
        </w:r>
      </w:hyperlink>
      <w:r w:rsidRPr="50DC3803" w:rsidR="7D115710">
        <w:rPr>
          <w:rFonts w:ascii="Arial" w:hAnsi="Arial" w:eastAsia="Times New Roman" w:cs="Arial"/>
          <w:color w:val="333333"/>
          <w:sz w:val="25"/>
          <w:szCs w:val="25"/>
          <w:lang w:eastAsia="es-ES"/>
        </w:rPr>
        <w:t>)</w:t>
      </w:r>
      <w:r w:rsidRPr="50DC3803" w:rsidR="2A80AD5C">
        <w:rPr>
          <w:rFonts w:ascii="Arial" w:hAnsi="Arial" w:eastAsia="Times New Roman" w:cs="Arial"/>
          <w:color w:val="333333"/>
          <w:sz w:val="25"/>
          <w:szCs w:val="25"/>
          <w:lang w:eastAsia="es-ES"/>
        </w:rPr>
        <w:t xml:space="preserve">, </w:t>
      </w:r>
      <w:hyperlink r:id="Rc55f5fd98d824000">
        <w:r w:rsidRPr="50DC3803" w:rsidR="2A80AD5C">
          <w:rPr>
            <w:rStyle w:val="Hipervnculo"/>
            <w:rFonts w:ascii="Arial" w:hAnsi="Arial" w:eastAsia="Times New Roman" w:cs="Arial"/>
            <w:sz w:val="25"/>
            <w:szCs w:val="25"/>
            <w:lang w:eastAsia="es-ES"/>
          </w:rPr>
          <w:t>C-538 del 27/09/2021</w:t>
        </w:r>
      </w:hyperlink>
    </w:p>
    <w:p w:rsidRPr="00601F85" w:rsidR="00601F85" w:rsidP="00601F85" w:rsidRDefault="00601F85" w14:paraId="3F8C8A50"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46D0C747"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PUBLÍQUESE Y CÚMPLASE</w:t>
      </w:r>
    </w:p>
    <w:p w:rsidRPr="00601F85" w:rsidR="00601F85" w:rsidP="00601F85" w:rsidRDefault="00601F85" w14:paraId="3CEEED34"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4573C12E"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Dado en Bogotá D.C., a los 13 días del mes de abril de 2021</w:t>
      </w:r>
    </w:p>
    <w:p w:rsidRPr="00601F85" w:rsidR="00601F85" w:rsidP="00601F85" w:rsidRDefault="00601F85" w14:paraId="42F19EF9"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0A87EBF0"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EL PRESIDENTE DE LA REPÚBLICA</w:t>
      </w:r>
    </w:p>
    <w:p w:rsidRPr="00601F85" w:rsidR="00601F85" w:rsidP="00601F85" w:rsidRDefault="00601F85" w14:paraId="4D855984"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486C0722"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(FDO.) IVÁN DUQUE MÁRQUEZ</w:t>
      </w:r>
    </w:p>
    <w:p w:rsidRPr="00601F85" w:rsidR="00601F85" w:rsidP="00601F85" w:rsidRDefault="00601F85" w14:paraId="6CE2FCB8"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74AA37CE"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EL DIRECTOR DEL DEPARTAMENTO NACIONAL DE PLANEACIÓN,</w:t>
      </w:r>
    </w:p>
    <w:p w:rsidRPr="00601F85" w:rsidR="00601F85" w:rsidP="00601F85" w:rsidRDefault="00601F85" w14:paraId="6A84B78A"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 </w:t>
      </w:r>
    </w:p>
    <w:p w:rsidRPr="00601F85" w:rsidR="00601F85" w:rsidP="00601F85" w:rsidRDefault="00601F85" w14:paraId="79C39399" w14:textId="77777777">
      <w:pPr>
        <w:shd w:val="clear" w:color="auto" w:fill="FFFFFF"/>
        <w:spacing w:after="100" w:afterAutospacing="1"/>
        <w:jc w:val="center"/>
        <w:rPr>
          <w:rFonts w:ascii="Arial" w:hAnsi="Arial" w:eastAsia="Times New Roman" w:cs="Arial"/>
          <w:color w:val="333333"/>
          <w:sz w:val="25"/>
          <w:szCs w:val="25"/>
          <w:lang w:eastAsia="es-ES_tradnl"/>
        </w:rPr>
      </w:pPr>
      <w:r w:rsidRPr="00601F85">
        <w:rPr>
          <w:rFonts w:ascii="Arial" w:hAnsi="Arial" w:eastAsia="Times New Roman" w:cs="Arial"/>
          <w:b/>
          <w:bCs/>
          <w:color w:val="333333"/>
          <w:sz w:val="25"/>
          <w:szCs w:val="25"/>
          <w:lang w:eastAsia="es-ES_tradnl"/>
        </w:rPr>
        <w:t>LUIS ALBERTO RODRÍGUEZ OSPINO</w:t>
      </w:r>
    </w:p>
    <w:p w:rsidR="00001AED" w:rsidRDefault="00E13B98" w14:paraId="0A37501D" w14:textId="77777777"/>
    <w:sectPr w:rsidR="00001AED" w:rsidSect="009922D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85"/>
    <w:rsid w:val="0005623F"/>
    <w:rsid w:val="004D09E6"/>
    <w:rsid w:val="00601F85"/>
    <w:rsid w:val="00971F1E"/>
    <w:rsid w:val="009922D6"/>
    <w:rsid w:val="00A2740F"/>
    <w:rsid w:val="00B541B1"/>
    <w:rsid w:val="00C35009"/>
    <w:rsid w:val="00CF0CF0"/>
    <w:rsid w:val="00E13B98"/>
    <w:rsid w:val="00F73D7E"/>
    <w:rsid w:val="00FD187E"/>
    <w:rsid w:val="06D28709"/>
    <w:rsid w:val="0A847E89"/>
    <w:rsid w:val="0AE69A7E"/>
    <w:rsid w:val="0B457394"/>
    <w:rsid w:val="0EEBF11D"/>
    <w:rsid w:val="22360F2C"/>
    <w:rsid w:val="2A80AD5C"/>
    <w:rsid w:val="2F9B1706"/>
    <w:rsid w:val="343C5294"/>
    <w:rsid w:val="36F78D7C"/>
    <w:rsid w:val="436862E2"/>
    <w:rsid w:val="4680F64A"/>
    <w:rsid w:val="4CC9445E"/>
    <w:rsid w:val="4E625975"/>
    <w:rsid w:val="4EA1EE51"/>
    <w:rsid w:val="4EE7B336"/>
    <w:rsid w:val="50DC3803"/>
    <w:rsid w:val="5496F7D1"/>
    <w:rsid w:val="5E1004AD"/>
    <w:rsid w:val="69672668"/>
    <w:rsid w:val="6A97D10E"/>
    <w:rsid w:val="728C6887"/>
    <w:rsid w:val="747A2ABB"/>
    <w:rsid w:val="7D1157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4C1C"/>
  <w15:chartTrackingRefBased/>
  <w15:docId w15:val="{5002BC5E-DE6B-3544-99DE-C3CA764E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601F85"/>
    <w:pPr>
      <w:spacing w:before="100" w:beforeAutospacing="1" w:after="100" w:afterAutospacing="1"/>
    </w:pPr>
    <w:rPr>
      <w:rFonts w:ascii="Times New Roman" w:hAnsi="Times New Roman" w:eastAsia="Times New Roman" w:cs="Times New Roman"/>
      <w:lang w:eastAsia="es-ES_tradnl"/>
    </w:rPr>
  </w:style>
  <w:style w:type="character" w:styleId="Hipervnculo">
    <w:name w:val="Hyperlink"/>
    <w:basedOn w:val="Fuentedeprrafopredeter"/>
    <w:uiPriority w:val="99"/>
    <w:semiHidden/>
    <w:unhideWhenUsed/>
    <w:rsid w:val="00601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9579">
      <w:bodyDiv w:val="1"/>
      <w:marLeft w:val="0"/>
      <w:marRight w:val="0"/>
      <w:marTop w:val="0"/>
      <w:marBottom w:val="0"/>
      <w:divBdr>
        <w:top w:val="none" w:sz="0" w:space="0" w:color="auto"/>
        <w:left w:val="none" w:sz="0" w:space="0" w:color="auto"/>
        <w:bottom w:val="none" w:sz="0" w:space="0" w:color="auto"/>
        <w:right w:val="none" w:sz="0" w:space="0" w:color="auto"/>
      </w:divBdr>
    </w:div>
    <w:div w:id="712114256">
      <w:bodyDiv w:val="1"/>
      <w:marLeft w:val="0"/>
      <w:marRight w:val="0"/>
      <w:marTop w:val="0"/>
      <w:marBottom w:val="0"/>
      <w:divBdr>
        <w:top w:val="none" w:sz="0" w:space="0" w:color="auto"/>
        <w:left w:val="none" w:sz="0" w:space="0" w:color="auto"/>
        <w:bottom w:val="none" w:sz="0" w:space="0" w:color="auto"/>
        <w:right w:val="none" w:sz="0" w:space="0" w:color="auto"/>
      </w:divBdr>
    </w:div>
    <w:div w:id="922646879">
      <w:bodyDiv w:val="1"/>
      <w:marLeft w:val="0"/>
      <w:marRight w:val="0"/>
      <w:marTop w:val="0"/>
      <w:marBottom w:val="0"/>
      <w:divBdr>
        <w:top w:val="none" w:sz="0" w:space="0" w:color="auto"/>
        <w:left w:val="none" w:sz="0" w:space="0" w:color="auto"/>
        <w:bottom w:val="none" w:sz="0" w:space="0" w:color="auto"/>
        <w:right w:val="none" w:sz="0" w:space="0" w:color="auto"/>
      </w:divBdr>
    </w:div>
    <w:div w:id="10436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uncionpublica.gov.co/eva/gestornormativo/norma.php?i=77653" TargetMode="External" Id="rId8" /><Relationship Type="http://schemas.openxmlformats.org/officeDocument/2006/relationships/hyperlink" Target="https://www.funcionpublica.gov.co/eva/gestornormativo/norma.php?i=77653" TargetMode="External" Id="rId13" /><Relationship Type="http://schemas.openxmlformats.org/officeDocument/2006/relationships/hyperlink" Target="https://www.funcionpublica.gov.co/eva/gestornormativo/norma.php?i=77653" TargetMode="External" Id="rId18" /><Relationship Type="http://schemas.openxmlformats.org/officeDocument/2006/relationships/hyperlink" Target="https://www.funcionpublica.gov.co/eva/gestornormativo/norma.php?i=77653" TargetMode="External" Id="rId26" /><Relationship Type="http://schemas.openxmlformats.org/officeDocument/2006/relationships/customXml" Target="../customXml/item3.xml" Id="rId3" /><Relationship Type="http://schemas.openxmlformats.org/officeDocument/2006/relationships/fontTable" Target="fontTable.xml" Id="rId34" /><Relationship Type="http://schemas.openxmlformats.org/officeDocument/2006/relationships/hyperlink" Target="https://www.funcionpublica.gov.co/eva/gestornormativo/norma.php?i=77653" TargetMode="External" Id="rId7" /><Relationship Type="http://schemas.openxmlformats.org/officeDocument/2006/relationships/hyperlink" Target="https://www.funcionpublica.gov.co/eva/gestornormativo/norma.php?i=77653" TargetMode="External" Id="rId12" /><Relationship Type="http://schemas.openxmlformats.org/officeDocument/2006/relationships/hyperlink" Target="https://www.funcionpublica.gov.co/eva/gestornormativo/norma.php?i=77653" TargetMode="External" Id="rId17" /><Relationship Type="http://schemas.openxmlformats.org/officeDocument/2006/relationships/hyperlink" Target="https://www.funcionpublica.gov.co/eva/gestornormativo/norma.php?i=77653" TargetMode="External" Id="rId33" /><Relationship Type="http://schemas.openxmlformats.org/officeDocument/2006/relationships/customXml" Target="../customXml/item2.xml" Id="rId2" /><Relationship Type="http://schemas.openxmlformats.org/officeDocument/2006/relationships/hyperlink" Target="https://www.funcionpublica.gov.co/eva/gestornormativo/norma.php?i=77653" TargetMode="External" Id="rId20" /><Relationship Type="http://schemas.openxmlformats.org/officeDocument/2006/relationships/hyperlink" Target="https://www.funcionpublica.gov.co/eva/gestornormativo/norma.php?i=77653"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funcionpublica.gov.co/eva/gestornormativo/norma.php?i=77653" TargetMode="External" Id="rId11" /><Relationship Type="http://schemas.openxmlformats.org/officeDocument/2006/relationships/hyperlink" Target="https://www.funcionpublica.gov.co/eva/gestornormativo/norma.php?i=77653" TargetMode="External" Id="rId24" /><Relationship Type="http://schemas.openxmlformats.org/officeDocument/2006/relationships/hyperlink" Target="https://www.funcionpublica.gov.co/eva/gestornormativo/norma.php?i=77653" TargetMode="External" Id="rId32" /><Relationship Type="http://schemas.openxmlformats.org/officeDocument/2006/relationships/settings" Target="settings.xml" Id="rId5" /><Relationship Type="http://schemas.openxmlformats.org/officeDocument/2006/relationships/hyperlink" Target="https://www.funcionpublica.gov.co/eva/gestornormativo/norma.php?i=77653" TargetMode="External" Id="rId23" /><Relationship Type="http://schemas.openxmlformats.org/officeDocument/2006/relationships/hyperlink" Target="https://www.funcionpublica.gov.co/eva/gestornormativo/norma.php?i=77653" TargetMode="External" Id="rId28" /><Relationship Type="http://schemas.openxmlformats.org/officeDocument/2006/relationships/hyperlink" Target="https://www.funcionpublica.gov.co/eva/gestornormativo/norma.php?i=77653" TargetMode="External" Id="rId10" /><Relationship Type="http://schemas.openxmlformats.org/officeDocument/2006/relationships/hyperlink" Target="https://www.funcionpublica.gov.co/eva/gestornormativo/norma.php?i=77653" TargetMode="External" Id="rId19" /><Relationship Type="http://schemas.openxmlformats.org/officeDocument/2006/relationships/hyperlink" Target="https://www.funcionpublica.gov.co/eva/gestornormativo/norma.php?i=77653" TargetMode="External" Id="rId31" /><Relationship Type="http://schemas.openxmlformats.org/officeDocument/2006/relationships/styles" Target="styles.xml" Id="rId4" /><Relationship Type="http://schemas.openxmlformats.org/officeDocument/2006/relationships/hyperlink" Target="https://www.funcionpublica.gov.co/eva/gestornormativo/norma.php?i=77653" TargetMode="External" Id="rId9" /><Relationship Type="http://schemas.openxmlformats.org/officeDocument/2006/relationships/hyperlink" Target="https://www.funcionpublica.gov.co/eva/gestornormativo/norma.php?i=77653" TargetMode="External" Id="rId14" /><Relationship Type="http://schemas.openxmlformats.org/officeDocument/2006/relationships/hyperlink" Target="https://www.funcionpublica.gov.co/eva/gestornormativo/norma.php?i=77653" TargetMode="External" Id="rId22" /><Relationship Type="http://schemas.openxmlformats.org/officeDocument/2006/relationships/hyperlink" Target="https://www.funcionpublica.gov.co/eva/gestornormativo/norma.php?i=77653" TargetMode="External" Id="rId30" /><Relationship Type="http://schemas.openxmlformats.org/officeDocument/2006/relationships/theme" Target="theme/theme1.xml" Id="rId35" /><Relationship Type="http://schemas.openxmlformats.org/officeDocument/2006/relationships/hyperlink" Target="http://relatoria.colombiacompra.gov.co/ficha/C-288%20de%202021" TargetMode="External" Id="R918d999444154ca0" /><Relationship Type="http://schemas.openxmlformats.org/officeDocument/2006/relationships/hyperlink" Target="https://relatoria.colombiacompra.gov.co/ficha/C-407%20de%202021" TargetMode="External" Id="R741c1d5e8d9d4976" /><Relationship Type="http://schemas.openxmlformats.org/officeDocument/2006/relationships/hyperlink" Target="http://relatoria.colombiacompra.gov.co/ficha/C-288%20de%202021" TargetMode="External" Id="Rdb314f0b06484099" /><Relationship Type="http://schemas.openxmlformats.org/officeDocument/2006/relationships/hyperlink" Target="https://relatoria.colombiacompra.gov.co/ficha/C-407%20de%202021" TargetMode="External" Id="R0e458a293d3449e6" /><Relationship Type="http://schemas.openxmlformats.org/officeDocument/2006/relationships/hyperlink" Target="http://relatoria.colombiacompra.gov.co/ficha/C-288%20de%202021" TargetMode="External" Id="R083f74d5744d4e8c" /><Relationship Type="http://schemas.openxmlformats.org/officeDocument/2006/relationships/hyperlink" Target="https://relatoria.colombiacompra.gov.co/ficha/C-407%20de%202021" TargetMode="External" Id="R0d76326751654102" /><Relationship Type="http://schemas.openxmlformats.org/officeDocument/2006/relationships/hyperlink" Target="http://relatoria.colombiacompra.gov.co/ficha/C-297%20de%202021" TargetMode="External" Id="Rcec082023b3643e0" /><Relationship Type="http://schemas.openxmlformats.org/officeDocument/2006/relationships/hyperlink" Target="http://relatoria.colombiacompra.gov.co/ficha/C-277%20de%202021" TargetMode="External" Id="Ra5d2df821f824e06" /><Relationship Type="http://schemas.openxmlformats.org/officeDocument/2006/relationships/hyperlink" Target="https://relatoria.colombiacompra.gov.co/ficha/C-402%20de%202021" TargetMode="External" Id="R0601b4437e7e418a" /><Relationship Type="http://schemas.openxmlformats.org/officeDocument/2006/relationships/hyperlink" Target="https://relatoria.colombiacompra.gov.co/ficha/C-540%20del%202021" TargetMode="External" Id="R2d32efb20c2f4178" /><Relationship Type="http://schemas.openxmlformats.org/officeDocument/2006/relationships/hyperlink" Target="https://relatoria.colombiacompra.gov.co/ficha/C-538%20de%202021" TargetMode="External" Id="Rc55f5fd98d824000"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5658E79-5D22-4A85-B416-8BD2CCDB2D68}">
  <ds:schemaRefs>
    <ds:schemaRef ds:uri="http://schemas.microsoft.com/sharepoint/v3/contenttype/forms"/>
  </ds:schemaRefs>
</ds:datastoreItem>
</file>

<file path=customXml/itemProps2.xml><?xml version="1.0" encoding="utf-8"?>
<ds:datastoreItem xmlns:ds="http://schemas.openxmlformats.org/officeDocument/2006/customXml" ds:itemID="{0E60B936-14D2-4CCC-9D33-A4B3E819F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C4F46-8447-4F94-BE02-DE390368DFE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CRISTIAN ANDRES DIAZ DIEZ</dc:creator>
  <keywords/>
  <dc:description/>
  <lastModifiedBy>Nasly Yeana Mosquera Rivas</lastModifiedBy>
  <revision>16</revision>
  <dcterms:created xsi:type="dcterms:W3CDTF">2021-06-18T00:55:00.0000000Z</dcterms:created>
  <dcterms:modified xsi:type="dcterms:W3CDTF">2021-10-07T14:23:53.8576704Z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