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B7EE6" w14:textId="64AA35C1" w:rsidR="00356937" w:rsidRDefault="00356937" w:rsidP="00356937">
      <w:pPr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  <w:bookmarkStart w:id="0" w:name="_Hlk48988720"/>
      <w:r w:rsidRPr="00CD3860">
        <w:rPr>
          <w:rFonts w:ascii="Arial" w:eastAsia="Arial" w:hAnsi="Arial" w:cs="Arial"/>
          <w:b/>
          <w:bCs/>
          <w:color w:val="FF0000"/>
          <w:sz w:val="20"/>
          <w:szCs w:val="20"/>
        </w:rPr>
        <w:t>Nota:</w:t>
      </w:r>
      <w:r w:rsidRPr="000B24CB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la siguiente norma se trascribe completa, pero de ella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la Agencia Nacional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de Contratación Pública </w:t>
      </w:r>
      <w:r>
        <w:rPr>
          <w:rFonts w:ascii="Arial" w:eastAsia="Arial" w:hAnsi="Arial" w:cs="Arial"/>
          <w:color w:val="FF0000"/>
          <w:sz w:val="20"/>
          <w:szCs w:val="20"/>
        </w:rPr>
        <w:t>–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Colombia Compra Eficiente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– solo 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ha emitido conceptos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que interpretan</w:t>
      </w:r>
      <w:r w:rsidRPr="00CD3860">
        <w:rPr>
          <w:rFonts w:ascii="Arial" w:eastAsia="Arial" w:hAnsi="Arial" w:cs="Arial"/>
          <w:color w:val="FF0000"/>
          <w:sz w:val="20"/>
          <w:szCs w:val="20"/>
        </w:rPr>
        <w:t> 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las siguientes disposiciones relacionadas con la contratación estatal: 1 y </w:t>
      </w:r>
      <w:r w:rsidR="00E865AF">
        <w:rPr>
          <w:rFonts w:ascii="Arial" w:eastAsia="Arial" w:hAnsi="Arial" w:cs="Arial"/>
          <w:color w:val="FF0000"/>
          <w:sz w:val="20"/>
          <w:szCs w:val="20"/>
        </w:rPr>
        <w:t>3</w:t>
      </w:r>
      <w:r>
        <w:rPr>
          <w:rFonts w:ascii="Arial" w:eastAsia="Arial" w:hAnsi="Arial" w:cs="Arial"/>
          <w:color w:val="FF0000"/>
          <w:sz w:val="20"/>
          <w:szCs w:val="20"/>
        </w:rPr>
        <w:t>.</w:t>
      </w:r>
    </w:p>
    <w:p w14:paraId="72600003" w14:textId="77777777" w:rsidR="00356937" w:rsidRDefault="00356937" w:rsidP="00356937">
      <w:pPr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7ED77B6" w14:textId="77777777" w:rsidR="00356937" w:rsidRPr="00987585" w:rsidRDefault="00356937" w:rsidP="00356937">
      <w:pPr>
        <w:ind w:left="1701" w:right="1581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Los conceptos se relacionan al pie de cada disposición, y abren dando “clic” en el hipervínculo.</w:t>
      </w:r>
    </w:p>
    <w:bookmarkEnd w:id="0"/>
    <w:p w14:paraId="6BFEE697" w14:textId="77777777" w:rsidR="00356937" w:rsidRDefault="00356937" w:rsidP="00235E40">
      <w:pPr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</w:pPr>
    </w:p>
    <w:p w14:paraId="3AD2D4D5" w14:textId="49496A1A" w:rsidR="00D37530" w:rsidRPr="00205ECD" w:rsidRDefault="00D37530" w:rsidP="00356937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s-ES"/>
        </w:rPr>
      </w:pPr>
      <w:r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LEY 1089 DE 2006</w:t>
      </w:r>
    </w:p>
    <w:p w14:paraId="44E6F1EA" w14:textId="77777777" w:rsidR="002F7F97" w:rsidRPr="00205ECD" w:rsidRDefault="002F7F97" w:rsidP="58B2319B">
      <w:pPr>
        <w:spacing w:line="254" w:lineRule="atLeast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</w:pPr>
    </w:p>
    <w:p w14:paraId="744A470C" w14:textId="6F80737D" w:rsidR="00D37530" w:rsidRPr="00205ECD" w:rsidRDefault="002F7F97" w:rsidP="58B2319B">
      <w:pPr>
        <w:spacing w:line="254" w:lineRule="atLeast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</w:pPr>
      <w:r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P</w:t>
      </w:r>
      <w:r w:rsidR="00D37530"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or medio de la cual se regula la adquisición de bienes y servicios destinados a la defensa y seguridad nacional.</w:t>
      </w:r>
      <w:bookmarkStart w:id="1" w:name="ver_1673462"/>
      <w:bookmarkEnd w:id="1"/>
    </w:p>
    <w:p w14:paraId="02D077A5" w14:textId="77777777" w:rsidR="002F7F97" w:rsidRPr="00205ECD" w:rsidRDefault="002F7F97" w:rsidP="58B2319B">
      <w:pPr>
        <w:spacing w:line="254" w:lineRule="atLeas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s-ES"/>
        </w:rPr>
      </w:pPr>
    </w:p>
    <w:p w14:paraId="6094916A" w14:textId="7449570A" w:rsidR="00D37530" w:rsidRPr="00205ECD" w:rsidRDefault="002F7F97" w:rsidP="58B2319B">
      <w:pPr>
        <w:spacing w:line="254" w:lineRule="atLeas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s-ES"/>
        </w:rPr>
      </w:pPr>
      <w:r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EL CONGRESO DE LA REPÚBLICA,</w:t>
      </w:r>
    </w:p>
    <w:p w14:paraId="3E9B8BAA" w14:textId="77777777" w:rsidR="00D37530" w:rsidRPr="00205ECD" w:rsidRDefault="00D37530" w:rsidP="58B2319B">
      <w:pPr>
        <w:spacing w:line="254" w:lineRule="atLeast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eastAsia="es-ES"/>
        </w:rPr>
      </w:pPr>
      <w:r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  </w:t>
      </w:r>
    </w:p>
    <w:p w14:paraId="5B016AAD" w14:textId="079455AB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Arial" w:hAnsi="Arial" w:cs="Arial"/>
          <w:b/>
          <w:bCs/>
          <w:color w:val="000000" w:themeColor="text1"/>
          <w:sz w:val="22"/>
          <w:szCs w:val="22"/>
          <w:lang w:eastAsia="es-ES"/>
        </w:rPr>
        <w:t>DECRETA: </w:t>
      </w: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</w:t>
      </w:r>
    </w:p>
    <w:p w14:paraId="60664F47" w14:textId="77777777" w:rsidR="00D37530" w:rsidRPr="00205ECD" w:rsidRDefault="00D37530" w:rsidP="58B2319B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bookmarkStart w:id="2" w:name="ver_1673463"/>
      <w:bookmarkEnd w:id="2"/>
    </w:p>
    <w:p w14:paraId="4FFC4E3A" w14:textId="7777777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Artículo 1º. La adquisición de bienes y servicios destinados a la seguridad y defensa nacional, que sean de producción nacional, en la cantidad, calidad y oportunidad requerida se efectuará con los productores nacionales. El Ministerio de Comercio, Industria y Turismo, certificará la existencia de su producción, dentro del territorio nacional y la comprobación de que esta se lleva a cabo en términos de competencia abierta. </w:t>
      </w:r>
    </w:p>
    <w:p w14:paraId="1D51F571" w14:textId="77777777" w:rsidR="00D37530" w:rsidRPr="00205ECD" w:rsidRDefault="00D37530" w:rsidP="58B2319B">
      <w:pPr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</w:t>
      </w:r>
    </w:p>
    <w:p w14:paraId="6C41B8E1" w14:textId="7777777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Parágrafo. El Estado podrá adquirir bienes y servicios que se produzcan en el país a productores extranjeros, cuando los intereses de seguridad y defensor nacional señalen su conveniencia. </w:t>
      </w:r>
    </w:p>
    <w:p w14:paraId="305E7EDC" w14:textId="77777777" w:rsidR="00D37530" w:rsidRPr="00205ECD" w:rsidRDefault="00D37530" w:rsidP="58B2319B">
      <w:pPr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</w:p>
    <w:p w14:paraId="34357FC9" w14:textId="637EE52D" w:rsidR="00D37530" w:rsidRPr="00205ECD" w:rsidRDefault="00D37530" w:rsidP="6BCB0E32">
      <w:pPr>
        <w:spacing w:line="254" w:lineRule="atLeast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(Ver</w:t>
      </w:r>
      <w:r w:rsidR="35D63F0F"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c</w:t>
      </w:r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oncepto</w:t>
      </w:r>
      <w:r w:rsidR="42F76C69"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s:</w:t>
      </w:r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hyperlink r:id="rId7" w:history="1"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C</w:t>
        </w:r>
        <w:r w:rsidR="00FB066D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−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360 del 16</w:t>
        </w:r>
        <w:r w:rsidR="7B89D34B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/07/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2020</w:t>
        </w:r>
      </w:hyperlink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, </w:t>
      </w:r>
      <w:hyperlink r:id="rId8" w:history="1"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C</w:t>
        </w:r>
        <w:r w:rsidR="00FB066D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−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417 del 16</w:t>
        </w:r>
        <w:r w:rsidR="206657C9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/07/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2020</w:t>
        </w:r>
      </w:hyperlink>
      <w:r w:rsidR="00FB066D"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</w:t>
      </w:r>
    </w:p>
    <w:p w14:paraId="03740EE6" w14:textId="77777777" w:rsidR="00D37530" w:rsidRPr="00205ECD" w:rsidRDefault="00D37530" w:rsidP="58B2319B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bookmarkStart w:id="3" w:name="ver_1673464"/>
      <w:bookmarkEnd w:id="3"/>
    </w:p>
    <w:p w14:paraId="166C4EF8" w14:textId="7777777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Artículo 2º. Para los efectos señalados en el artículo anterior se tendrán en cuenta los siguientes criterios orientadores: </w:t>
      </w:r>
    </w:p>
    <w:p w14:paraId="541E4986" w14:textId="77777777" w:rsidR="00D37530" w:rsidRPr="00205ECD" w:rsidRDefault="00D37530" w:rsidP="58B2319B">
      <w:pPr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</w:t>
      </w:r>
    </w:p>
    <w:p w14:paraId="28F773D2" w14:textId="7777777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1. Se incluirán los bienes y servicios destinados a seguridad y defensa nacional expresamente enlistados en los Decretos 855 de 1994 y 219 de enero 26 de 2006, reglamentarios del numeral 1, literal i) del artículo 24 de la Ley 80 de 1993 y las normas que los modifiquen o sustituyan. </w:t>
      </w:r>
    </w:p>
    <w:p w14:paraId="38230679" w14:textId="77777777" w:rsidR="00D37530" w:rsidRPr="00205ECD" w:rsidRDefault="00D37530" w:rsidP="58B2319B">
      <w:pPr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</w:t>
      </w:r>
    </w:p>
    <w:p w14:paraId="7512A602" w14:textId="02F04BB4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2. Se incluirán los bienes y servicios que sean calificados por el Gobierno Nacional como necesarios para garantizar intereses esenciales de seguida d y defensa, así como aquellos que tengan por propósito asegurar el abastecimiento de la Fuerza Pública.   </w:t>
      </w:r>
    </w:p>
    <w:p w14:paraId="67777EC1" w14:textId="77777777" w:rsidR="00D37530" w:rsidRPr="00205ECD" w:rsidRDefault="00D37530" w:rsidP="58B2319B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bookmarkStart w:id="4" w:name="ver_1673465"/>
      <w:bookmarkEnd w:id="4"/>
    </w:p>
    <w:p w14:paraId="6E469ED5" w14:textId="7777777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Artículo 3º. Esta ley se aplicará sin perjuicio de lo establecido en los tratados internacionales aprobados por el Congreso de la República. </w:t>
      </w:r>
    </w:p>
    <w:p w14:paraId="264840B9" w14:textId="1E7E98C4" w:rsidR="00D37530" w:rsidRPr="00205ECD" w:rsidRDefault="00DA21B0" w:rsidP="00DA21B0">
      <w:pPr>
        <w:tabs>
          <w:tab w:val="left" w:pos="3795"/>
        </w:tabs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/>
          <w:sz w:val="22"/>
          <w:szCs w:val="22"/>
          <w:lang w:eastAsia="es-ES"/>
        </w:rPr>
        <w:tab/>
      </w:r>
    </w:p>
    <w:p w14:paraId="24254A35" w14:textId="0225BFFD" w:rsidR="00D37530" w:rsidRPr="00205ECD" w:rsidRDefault="00D37530" w:rsidP="6BCB0E32">
      <w:pPr>
        <w:spacing w:line="254" w:lineRule="atLeast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(Ver Concepto</w:t>
      </w:r>
      <w:r w:rsidR="00FB066D"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s:</w:t>
      </w:r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 </w:t>
      </w:r>
      <w:hyperlink r:id="rId9" w:history="1"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C</w:t>
        </w:r>
        <w:r w:rsidR="00FB066D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−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 xml:space="preserve">360 </w:t>
        </w:r>
        <w:r w:rsidR="44214E50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del 17/07/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2020</w:t>
        </w:r>
      </w:hyperlink>
      <w:r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 xml:space="preserve">, </w:t>
      </w:r>
      <w:hyperlink r:id="rId10" w:history="1"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C</w:t>
        </w:r>
        <w:r w:rsidR="00FB066D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−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417 del 16</w:t>
        </w:r>
        <w:r w:rsidR="6554266E"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/07/</w:t>
        </w:r>
        <w:r w:rsidRPr="00205ECD">
          <w:rPr>
            <w:rStyle w:val="Hipervnculo"/>
            <w:rFonts w:ascii="Arial" w:eastAsia="Times New Roman" w:hAnsi="Arial" w:cs="Arial"/>
            <w:sz w:val="20"/>
            <w:szCs w:val="20"/>
            <w:lang w:eastAsia="es-ES"/>
          </w:rPr>
          <w:t>2020</w:t>
        </w:r>
      </w:hyperlink>
      <w:r w:rsidR="00FB066D" w:rsidRPr="00205ECD"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  <w:t>)</w:t>
      </w:r>
      <w:r w:rsidRPr="00205EC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</w:t>
      </w:r>
    </w:p>
    <w:p w14:paraId="459C91AB" w14:textId="77777777" w:rsidR="00D37530" w:rsidRPr="00205ECD" w:rsidRDefault="00D37530" w:rsidP="58B2319B">
      <w:pPr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bookmarkStart w:id="5" w:name="ver_1673466"/>
      <w:bookmarkEnd w:id="5"/>
    </w:p>
    <w:p w14:paraId="228D32BA" w14:textId="200926D7" w:rsidR="00D37530" w:rsidRPr="00205ECD" w:rsidRDefault="00D37530" w:rsidP="58B2319B">
      <w:pPr>
        <w:spacing w:line="254" w:lineRule="atLeast"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Artículo 4º. La presente ley rige a partir de la fecha de su publicación y deroga las disposiciones que le sean contrarias. </w:t>
      </w:r>
    </w:p>
    <w:p w14:paraId="10A76DA3" w14:textId="77777777" w:rsidR="00671B87" w:rsidRPr="00205ECD" w:rsidRDefault="00671B87" w:rsidP="58B2319B">
      <w:pPr>
        <w:spacing w:line="254" w:lineRule="atLeast"/>
        <w:jc w:val="both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</w:p>
    <w:p w14:paraId="1DDFC8BD" w14:textId="7A57469E" w:rsidR="00D37530" w:rsidRPr="00205ECD" w:rsidRDefault="00D37530" w:rsidP="00B13477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bookmarkStart w:id="6" w:name="ver_1673467"/>
      <w:bookmarkEnd w:id="6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La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Presidenta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del honorable Senado de la República,</w:t>
      </w:r>
    </w:p>
    <w:p w14:paraId="73EE5E3C" w14:textId="3A7335A1" w:rsidR="00D37530" w:rsidRPr="00205ECD" w:rsidRDefault="00D37530" w:rsidP="00B13477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lastRenderedPageBreak/>
        <w:t>Dilian Francisca Toro Torres.</w:t>
      </w:r>
    </w:p>
    <w:p w14:paraId="5A90B70F" w14:textId="4BA1F1E9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  El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Secretario General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del honorable Senado de la República, </w:t>
      </w:r>
    </w:p>
    <w:p w14:paraId="28275684" w14:textId="559FDA3E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Emilio Ramón Otero Dajud. </w:t>
      </w:r>
    </w:p>
    <w:p w14:paraId="050DB14F" w14:textId="293F5AF0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  El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Presidente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 la honorable Cámara de Representantes, </w:t>
      </w:r>
    </w:p>
    <w:p w14:paraId="3790C5EC" w14:textId="2DF0DED8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Alfredo Ape Cuello Baute. </w:t>
      </w:r>
    </w:p>
    <w:p w14:paraId="1D1B2D0C" w14:textId="04F5D18C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  El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Secretario General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 la honorable Cámara de Representantes, </w:t>
      </w:r>
    </w:p>
    <w:p w14:paraId="16CB7989" w14:textId="3A32D1B9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Angelino Lizcano Rivera. </w:t>
      </w:r>
    </w:p>
    <w:p w14:paraId="491BBCE8" w14:textId="4A82AEE1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REPUBLICA DE COLOMBIA - GOBIERNO NACIONAL </w:t>
      </w:r>
    </w:p>
    <w:p w14:paraId="2EFD549C" w14:textId="12CD6DFF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Publíquese y cúmplase. </w:t>
      </w:r>
    </w:p>
    <w:p w14:paraId="6FADFAD0" w14:textId="4791EC5E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Dada en Bogotá, D. C., a 31 de agosto de 2006. </w:t>
      </w:r>
    </w:p>
    <w:p w14:paraId="2B9B89CD" w14:textId="73C6F0F1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ÁLVARO URIBE VÉLEZ </w:t>
      </w:r>
    </w:p>
    <w:p w14:paraId="3960DACC" w14:textId="4772E857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  El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Ministro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 Defensa Nacional, </w:t>
      </w:r>
    </w:p>
    <w:p w14:paraId="1FC675A0" w14:textId="792A78A7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Juan Manuel Santos C. </w:t>
      </w:r>
    </w:p>
    <w:p w14:paraId="2E263B49" w14:textId="30785A25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  El </w:t>
      </w:r>
      <w:proofErr w:type="gramStart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Ministro</w:t>
      </w:r>
      <w:proofErr w:type="gramEnd"/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 xml:space="preserve"> de Comercio, Industria y Turismo, </w:t>
      </w:r>
    </w:p>
    <w:p w14:paraId="7611C74C" w14:textId="1C526569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Jorge Humberto Botero Angulo. </w:t>
      </w:r>
    </w:p>
    <w:p w14:paraId="2317A2AD" w14:textId="77777777" w:rsidR="00D37530" w:rsidRPr="00205ECD" w:rsidRDefault="00D37530" w:rsidP="58B2319B">
      <w:pPr>
        <w:spacing w:line="254" w:lineRule="atLeast"/>
        <w:jc w:val="center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205ECD">
        <w:rPr>
          <w:rFonts w:ascii="Arial" w:eastAsia="Times New Roman" w:hAnsi="Arial" w:cs="Arial"/>
          <w:color w:val="000000" w:themeColor="text1"/>
          <w:sz w:val="22"/>
          <w:szCs w:val="22"/>
          <w:lang w:eastAsia="es-ES"/>
        </w:rPr>
        <w:t>  </w:t>
      </w:r>
    </w:p>
    <w:p w14:paraId="5CC88842" w14:textId="77777777" w:rsidR="00B92817" w:rsidRPr="00205ECD" w:rsidRDefault="00A262B3">
      <w:pPr>
        <w:rPr>
          <w:rFonts w:ascii="Arial" w:hAnsi="Arial" w:cs="Arial"/>
          <w:sz w:val="22"/>
          <w:szCs w:val="22"/>
        </w:rPr>
      </w:pPr>
    </w:p>
    <w:sectPr w:rsidR="00B92817" w:rsidRPr="00205ECD" w:rsidSect="00724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30"/>
    <w:rsid w:val="000E5BCF"/>
    <w:rsid w:val="00205ECD"/>
    <w:rsid w:val="00235E40"/>
    <w:rsid w:val="002F7F97"/>
    <w:rsid w:val="00304D25"/>
    <w:rsid w:val="00356937"/>
    <w:rsid w:val="005900D0"/>
    <w:rsid w:val="00671B87"/>
    <w:rsid w:val="006C55A0"/>
    <w:rsid w:val="00724CE8"/>
    <w:rsid w:val="0087637D"/>
    <w:rsid w:val="0089145E"/>
    <w:rsid w:val="00A262B3"/>
    <w:rsid w:val="00B13477"/>
    <w:rsid w:val="00D37530"/>
    <w:rsid w:val="00DA21B0"/>
    <w:rsid w:val="00E378A3"/>
    <w:rsid w:val="00E865AF"/>
    <w:rsid w:val="00EC3AC1"/>
    <w:rsid w:val="00FB066D"/>
    <w:rsid w:val="08AA6E60"/>
    <w:rsid w:val="11F4265F"/>
    <w:rsid w:val="206657C9"/>
    <w:rsid w:val="28431981"/>
    <w:rsid w:val="2EB085B6"/>
    <w:rsid w:val="35D63F0F"/>
    <w:rsid w:val="35E44A0E"/>
    <w:rsid w:val="3606D532"/>
    <w:rsid w:val="3870259A"/>
    <w:rsid w:val="3B8FBD60"/>
    <w:rsid w:val="42BF7DAF"/>
    <w:rsid w:val="42F76C69"/>
    <w:rsid w:val="44214E50"/>
    <w:rsid w:val="53E0245A"/>
    <w:rsid w:val="58B2319B"/>
    <w:rsid w:val="5FC82E3E"/>
    <w:rsid w:val="623808AC"/>
    <w:rsid w:val="6554266E"/>
    <w:rsid w:val="6BCB0E32"/>
    <w:rsid w:val="7B89D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51A1"/>
  <w15:chartTrackingRefBased/>
  <w15:docId w15:val="{89DB1766-8060-524F-819D-74479BF4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7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octoggle">
    <w:name w:val="toctoggle"/>
    <w:basedOn w:val="Fuentedeprrafopredeter"/>
    <w:rsid w:val="00D37530"/>
  </w:style>
  <w:style w:type="character" w:styleId="Hipervnculo">
    <w:name w:val="Hyperlink"/>
    <w:basedOn w:val="Fuentedeprrafopredeter"/>
    <w:uiPriority w:val="99"/>
    <w:unhideWhenUsed/>
    <w:rsid w:val="00D3753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7530"/>
    <w:rPr>
      <w:b/>
      <w:bCs/>
    </w:rPr>
  </w:style>
  <w:style w:type="character" w:styleId="nfasis">
    <w:name w:val="Emphasis"/>
    <w:basedOn w:val="Fuentedeprrafopredeter"/>
    <w:uiPriority w:val="20"/>
    <w:qFormat/>
    <w:rsid w:val="00D37530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378A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00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6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latoria.colombiacompra.gov.co/ficha/C-417%20de%20202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relatoria.colombiacompra.gov.co/ficha/C-360%20de%20202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elatoria.colombiacompra.gov.co/ficha/C-417%20de%202020" TargetMode="External"/><Relationship Id="rId4" Type="http://schemas.openxmlformats.org/officeDocument/2006/relationships/styles" Target="styles.xml"/><Relationship Id="rId9" Type="http://schemas.openxmlformats.org/officeDocument/2006/relationships/hyperlink" Target="http://relatoria.colombiacompra.gov.co/ficha/C-360%20de%20202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6" ma:contentTypeDescription="Crear nuevo documento." ma:contentTypeScope="" ma:versionID="4d0aff64a573d8785e6a72518a5ad9d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f36a2f457a6205ac8ec841d28bbb076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05a6f2-09f1-4f7d-bab9-e03f1dc4ac6e}" ma:internalName="TaxCatchAll" ma:showField="CatchAllData" ma:web="a6cb9e4b-f1d1-4245-83ec-6cad768d5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  <TaxCatchAll xmlns="a6cb9e4b-f1d1-4245-83ec-6cad768d538a" xsi:nil="true"/>
    <lcf76f155ced4ddcb4097134ff3c332f xmlns="9d85dbaf-23eb-4e57-a637-93dcacc8b1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8B8543-A680-4B74-8E19-55F29ABDB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8E9EF-D486-4315-8BBA-DD58F6946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F94BB-4D84-446F-9F94-CD865E82BE11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d85dbaf-23eb-4e57-a637-93dcacc8b1a1"/>
    <ds:schemaRef ds:uri="http://schemas.microsoft.com/office/infopath/2007/PartnerControls"/>
    <ds:schemaRef ds:uri="a6cb9e4b-f1d1-4245-83ec-6cad768d53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ANDRES DIAZ DIEZ</dc:creator>
  <cp:keywords/>
  <dc:description/>
  <cp:lastModifiedBy>Melissa Fernández Reinoso</cp:lastModifiedBy>
  <cp:revision>2</cp:revision>
  <dcterms:created xsi:type="dcterms:W3CDTF">2022-08-04T16:26:00Z</dcterms:created>
  <dcterms:modified xsi:type="dcterms:W3CDTF">2022-08-04T16:26:00Z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MediaServiceImageTags">
    <vt:lpwstr/>
  </property>
</Properties>
</file>